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C46DB9D" w14:textId="084E1545" w:rsidR="000144FF" w:rsidRPr="00142E04" w:rsidRDefault="00142E04" w:rsidP="00142E04">
      <w:pPr>
        <w:rPr>
          <w:rFonts w:cs="Calibri"/>
          <w:b/>
        </w:rPr>
      </w:pPr>
      <w:r>
        <w:rPr>
          <w:rFonts w:asciiTheme="majorHAnsi" w:hAnsiTheme="majorHAnsi"/>
          <w:caps/>
          <w:noProof/>
          <w:color w:val="E7E6E6" w:themeColor="background2"/>
          <w:sz w:val="36"/>
          <w:szCs w:val="40"/>
        </w:rPr>
        <mc:AlternateContent>
          <mc:Choice Requires="wps">
            <w:drawing>
              <wp:anchor distT="0" distB="0" distL="114300" distR="114300" simplePos="0" relativeHeight="251663360" behindDoc="0" locked="0" layoutInCell="1" allowOverlap="1" wp14:anchorId="2A969096" wp14:editId="4E81B310">
                <wp:simplePos x="0" y="0"/>
                <wp:positionH relativeFrom="margin">
                  <wp:posOffset>-412115</wp:posOffset>
                </wp:positionH>
                <wp:positionV relativeFrom="page">
                  <wp:posOffset>3647790</wp:posOffset>
                </wp:positionV>
                <wp:extent cx="6718041" cy="268922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041" cy="268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195A" w14:textId="5F59E8EA" w:rsidR="00142E04" w:rsidRDefault="00754BB2" w:rsidP="00142E04">
                            <w:pPr>
                              <w:pStyle w:val="Title"/>
                              <w:keepNext w:val="0"/>
                              <w:spacing w:after="120" w:line="680" w:lineRule="exact"/>
                              <w:rPr>
                                <w:b w:val="0"/>
                                <w:bCs w:val="0"/>
                                <w:color w:val="FFFFFF"/>
                                <w:lang w:val="en-US"/>
                              </w:rPr>
                            </w:pPr>
                            <w:r w:rsidRPr="00142E04">
                              <w:rPr>
                                <w:b w:val="0"/>
                                <w:bCs w:val="0"/>
                                <w:color w:val="FFFFFF"/>
                                <w:lang w:val="en-US"/>
                              </w:rPr>
                              <w:t>ACT MODEL FINANCIAL STATEMENTS FOR DIRECTORATES</w:t>
                            </w:r>
                          </w:p>
                          <w:p w14:paraId="76787E2F" w14:textId="4AC956F5" w:rsidR="00754BB2" w:rsidRDefault="00754BB2" w:rsidP="00142E04">
                            <w:pPr>
                              <w:pStyle w:val="Title"/>
                              <w:keepNext w:val="0"/>
                              <w:spacing w:after="120" w:line="680" w:lineRule="exact"/>
                              <w:rPr>
                                <w:b w:val="0"/>
                                <w:bCs w:val="0"/>
                                <w:color w:val="FFFFFF"/>
                                <w:lang w:val="en-US"/>
                              </w:rPr>
                            </w:pPr>
                            <w:r w:rsidRPr="00142E04">
                              <w:rPr>
                                <w:b w:val="0"/>
                                <w:bCs w:val="0"/>
                                <w:color w:val="FFFFFF"/>
                                <w:lang w:val="en-US"/>
                              </w:rPr>
                              <w:t>AND TERRI</w:t>
                            </w:r>
                            <w:r w:rsidR="00142E04" w:rsidRPr="00142E04">
                              <w:rPr>
                                <w:b w:val="0"/>
                                <w:bCs w:val="0"/>
                                <w:color w:val="FFFFFF"/>
                                <w:lang w:val="en-US"/>
                              </w:rPr>
                              <w:t>TORY AUTHORITIES</w:t>
                            </w:r>
                          </w:p>
                          <w:p w14:paraId="2919D9C9" w14:textId="77777777" w:rsidR="00142E04" w:rsidRPr="00142E04" w:rsidRDefault="00142E04" w:rsidP="00142E04">
                            <w:pPr>
                              <w:pStyle w:val="Title"/>
                              <w:keepNext w:val="0"/>
                              <w:spacing w:after="120" w:line="680" w:lineRule="exact"/>
                              <w:rPr>
                                <w:b w:val="0"/>
                                <w:bCs w:val="0"/>
                                <w:color w:val="FFFFFF"/>
                                <w:lang w:val="en-US"/>
                              </w:rPr>
                            </w:pPr>
                          </w:p>
                          <w:p w14:paraId="2F945571" w14:textId="0CDEDE7C" w:rsidR="00142E04" w:rsidRPr="00142E04" w:rsidRDefault="00142E04" w:rsidP="00142E04">
                            <w:pPr>
                              <w:pStyle w:val="Title"/>
                              <w:keepNext w:val="0"/>
                              <w:spacing w:after="120" w:line="680" w:lineRule="exact"/>
                              <w:rPr>
                                <w:rFonts w:asciiTheme="minorHAnsi" w:eastAsiaTheme="minorHAnsi" w:hAnsiTheme="minorHAnsi"/>
                                <w:b w:val="0"/>
                                <w:bCs w:val="0"/>
                                <w:color w:val="FFFFFF"/>
                                <w:w w:val="110"/>
                                <w:sz w:val="72"/>
                                <w:szCs w:val="72"/>
                                <w:lang w:val="en-US" w:eastAsia="en-AU"/>
                              </w:rPr>
                            </w:pPr>
                            <w:r w:rsidRPr="00142E04">
                              <w:rPr>
                                <w:b w:val="0"/>
                                <w:bCs w:val="0"/>
                                <w:color w:val="FFFFFF"/>
                                <w:lang w:val="en-US"/>
                              </w:rPr>
                              <w:t>FOR THE REPORTING PERIOD ENDED 30 June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969096" id="_x0000_t202" coordsize="21600,21600" o:spt="202" path="m,l,21600r21600,l21600,xe">
                <v:stroke joinstyle="miter"/>
                <v:path gradientshapeok="t" o:connecttype="rect"/>
              </v:shapetype>
              <v:shape id="Text Box 9" o:spid="_x0000_s1026" type="#_x0000_t202" style="position:absolute;margin-left:-32.45pt;margin-top:287.25pt;width:529pt;height:21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" filled="f" stroked="f">
                <v:textbox>
                  <w:txbxContent>
                    <w:p w14:paraId="4C1E195A" w14:textId="5F59E8EA" w:rsidR="00142E04" w:rsidRDefault="00754BB2" w:rsidP="00142E04">
                      <w:pPr>
                        <w:pStyle w:val="Title"/>
                        <w:keepNext w:val="0"/>
                        <w:spacing w:after="120" w:line="680" w:lineRule="exact"/>
                        <w:rPr>
                          <w:b w:val="0"/>
                          <w:bCs w:val="0"/>
                          <w:color w:val="FFFFFF"/>
                          <w:lang w:val="en-US"/>
                        </w:rPr>
                      </w:pPr>
                      <w:r w:rsidRPr="00142E04">
                        <w:rPr>
                          <w:b w:val="0"/>
                          <w:bCs w:val="0"/>
                          <w:color w:val="FFFFFF"/>
                          <w:lang w:val="en-US"/>
                        </w:rPr>
                        <w:t>ACT MODEL FINANCIAL STATEMENTS FOR DIRECTORATES</w:t>
                      </w:r>
                    </w:p>
                    <w:p w14:paraId="76787E2F" w14:textId="4AC956F5" w:rsidR="00754BB2" w:rsidRDefault="00754BB2" w:rsidP="00142E04">
                      <w:pPr>
                        <w:pStyle w:val="Title"/>
                        <w:keepNext w:val="0"/>
                        <w:spacing w:after="120" w:line="680" w:lineRule="exact"/>
                        <w:rPr>
                          <w:b w:val="0"/>
                          <w:bCs w:val="0"/>
                          <w:color w:val="FFFFFF"/>
                          <w:lang w:val="en-US"/>
                        </w:rPr>
                      </w:pPr>
                      <w:r w:rsidRPr="00142E04">
                        <w:rPr>
                          <w:b w:val="0"/>
                          <w:bCs w:val="0"/>
                          <w:color w:val="FFFFFF"/>
                          <w:lang w:val="en-US"/>
                        </w:rPr>
                        <w:t>AND TERRI</w:t>
                      </w:r>
                      <w:r w:rsidR="00142E04" w:rsidRPr="00142E04">
                        <w:rPr>
                          <w:b w:val="0"/>
                          <w:bCs w:val="0"/>
                          <w:color w:val="FFFFFF"/>
                          <w:lang w:val="en-US"/>
                        </w:rPr>
                        <w:t>TORY AUTHORITIES</w:t>
                      </w:r>
                    </w:p>
                    <w:p w14:paraId="2919D9C9" w14:textId="77777777" w:rsidR="00142E04" w:rsidRPr="00142E04" w:rsidRDefault="00142E04" w:rsidP="00142E04">
                      <w:pPr>
                        <w:pStyle w:val="Title"/>
                        <w:keepNext w:val="0"/>
                        <w:spacing w:after="120" w:line="680" w:lineRule="exact"/>
                        <w:rPr>
                          <w:b w:val="0"/>
                          <w:bCs w:val="0"/>
                          <w:color w:val="FFFFFF"/>
                          <w:lang w:val="en-US"/>
                        </w:rPr>
                      </w:pPr>
                    </w:p>
                    <w:p w14:paraId="2F945571" w14:textId="0CDEDE7C" w:rsidR="00142E04" w:rsidRPr="00142E04" w:rsidRDefault="00142E04" w:rsidP="00142E04">
                      <w:pPr>
                        <w:pStyle w:val="Title"/>
                        <w:keepNext w:val="0"/>
                        <w:spacing w:after="120" w:line="680" w:lineRule="exact"/>
                        <w:rPr>
                          <w:rFonts w:asciiTheme="minorHAnsi" w:eastAsiaTheme="minorHAnsi" w:hAnsiTheme="minorHAnsi"/>
                          <w:b w:val="0"/>
                          <w:bCs w:val="0"/>
                          <w:color w:val="FFFFFF"/>
                          <w:w w:val="110"/>
                          <w:sz w:val="72"/>
                          <w:szCs w:val="72"/>
                          <w:lang w:val="en-US" w:eastAsia="en-AU"/>
                        </w:rPr>
                      </w:pPr>
                      <w:r w:rsidRPr="00142E04">
                        <w:rPr>
                          <w:b w:val="0"/>
                          <w:bCs w:val="0"/>
                          <w:color w:val="FFFFFF"/>
                          <w:lang w:val="en-US"/>
                        </w:rPr>
                        <w:t>FOR THE REPORTING PERIOD ENDED 30 June 2022</w:t>
                      </w:r>
                    </w:p>
                  </w:txbxContent>
                </v:textbox>
                <w10:wrap anchorx="margin" anchory="page"/>
              </v:shape>
            </w:pict>
          </mc:Fallback>
        </mc:AlternateContent>
      </w:r>
      <w:r>
        <w:rPr>
          <w:rFonts w:asciiTheme="majorHAnsi" w:hAnsiTheme="majorHAnsi"/>
          <w:caps/>
          <w:noProof/>
          <w:color w:val="E7E6E6" w:themeColor="background2"/>
          <w:sz w:val="36"/>
          <w:szCs w:val="40"/>
        </w:rPr>
        <mc:AlternateContent>
          <mc:Choice Requires="wps">
            <w:drawing>
              <wp:anchor distT="0" distB="0" distL="114300" distR="114300" simplePos="0" relativeHeight="251665408" behindDoc="0" locked="0" layoutInCell="1" allowOverlap="1" wp14:anchorId="0857174A" wp14:editId="7C2FE95A">
                <wp:simplePos x="0" y="0"/>
                <wp:positionH relativeFrom="margin">
                  <wp:posOffset>-355600</wp:posOffset>
                </wp:positionH>
                <wp:positionV relativeFrom="page">
                  <wp:posOffset>7417306</wp:posOffset>
                </wp:positionV>
                <wp:extent cx="4777273" cy="91694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273"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AA095" w14:textId="221E780D" w:rsidR="00754BB2" w:rsidRPr="00142E04" w:rsidRDefault="00754BB2" w:rsidP="00754BB2">
                            <w:pPr>
                              <w:pStyle w:val="Intro"/>
                              <w:rPr>
                                <w:b/>
                                <w:bCs/>
                                <w:color w:val="FFFFFF"/>
                                <w:sz w:val="20"/>
                                <w:szCs w:val="20"/>
                              </w:rPr>
                            </w:pPr>
                            <w:r w:rsidRPr="00142E04">
                              <w:rPr>
                                <w:b/>
                                <w:bCs/>
                                <w:color w:val="FFFFFF"/>
                                <w:sz w:val="20"/>
                                <w:szCs w:val="20"/>
                              </w:rPr>
                              <w:t>Chief Minister, Treasury and Economic Development Directorate</w:t>
                            </w:r>
                          </w:p>
                          <w:p w14:paraId="701E333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Produced by:</w:t>
                            </w:r>
                          </w:p>
                          <w:p w14:paraId="519F2942" w14:textId="77777777" w:rsidR="00142E04" w:rsidRPr="00142E04" w:rsidRDefault="00142E04" w:rsidP="00142E04">
                            <w:pPr>
                              <w:rPr>
                                <w:color w:val="FFFFFF" w:themeColor="background1"/>
                                <w:sz w:val="20"/>
                                <w:szCs w:val="20"/>
                              </w:rPr>
                            </w:pPr>
                            <w:r w:rsidRPr="00142E04">
                              <w:rPr>
                                <w:color w:val="FFFFFF" w:themeColor="background1"/>
                                <w:sz w:val="20"/>
                                <w:szCs w:val="20"/>
                              </w:rPr>
                              <w:t>Financial Reporting &amp; Framework (FR&amp;F) Branch</w:t>
                            </w:r>
                          </w:p>
                          <w:p w14:paraId="569C1CAB" w14:textId="77777777" w:rsidR="00142E04" w:rsidRPr="00142E04" w:rsidRDefault="00142E04" w:rsidP="00142E04">
                            <w:pPr>
                              <w:rPr>
                                <w:color w:val="FFFFFF" w:themeColor="background1"/>
                                <w:sz w:val="20"/>
                                <w:szCs w:val="20"/>
                              </w:rPr>
                            </w:pPr>
                          </w:p>
                          <w:p w14:paraId="3E04B3D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Contact:</w:t>
                            </w:r>
                          </w:p>
                          <w:p w14:paraId="476DFECB" w14:textId="77777777" w:rsidR="00142E04" w:rsidRPr="00B26110" w:rsidRDefault="00142E04" w:rsidP="00142E04">
                            <w:pPr>
                              <w:rPr>
                                <w:strike/>
                                <w:color w:val="FFFFFF" w:themeColor="background1"/>
                                <w:sz w:val="20"/>
                                <w:szCs w:val="20"/>
                              </w:rPr>
                            </w:pPr>
                            <w:r w:rsidRPr="00B26110">
                              <w:rPr>
                                <w:color w:val="FFFFFF" w:themeColor="background1"/>
                                <w:sz w:val="20"/>
                                <w:szCs w:val="20"/>
                              </w:rPr>
                              <w:t>Email</w:t>
                            </w:r>
                            <w:r w:rsidRPr="00B26110">
                              <w:rPr>
                                <w:color w:val="FFFFFF" w:themeColor="background1"/>
                                <w:sz w:val="20"/>
                                <w:szCs w:val="20"/>
                              </w:rPr>
                              <w:fldChar w:fldCharType="begin"/>
                            </w:r>
                            <w:r w:rsidRPr="00B26110">
                              <w:rPr>
                                <w:color w:val="FFFFFF" w:themeColor="background1"/>
                                <w:sz w:val="20"/>
                                <w:szCs w:val="20"/>
                              </w:rPr>
                              <w:instrText xml:space="preserve"> HYPERLINK "mailto:: Hamish.Palfreyman@act.gov.au</w:instrText>
                            </w:r>
                          </w:p>
                          <w:p w14:paraId="61D49EEA" w14:textId="77777777" w:rsidR="00142E04" w:rsidRPr="00B26110" w:rsidRDefault="00142E04" w:rsidP="00142E04">
                            <w:pPr>
                              <w:rPr>
                                <w:color w:val="FFFFFF" w:themeColor="background1"/>
                                <w:sz w:val="20"/>
                                <w:szCs w:val="20"/>
                              </w:rPr>
                            </w:pPr>
                            <w:r w:rsidRPr="00B26110">
                              <w:rPr>
                                <w:color w:val="FFFFFF" w:themeColor="background1"/>
                                <w:sz w:val="20"/>
                                <w:szCs w:val="20"/>
                              </w:rPr>
                              <w:instrText>Telephone: +61 2 6207 0245</w:instrText>
                            </w:r>
                          </w:p>
                          <w:p w14:paraId="34E169CD" w14:textId="77777777" w:rsidR="00142E04" w:rsidRPr="00B26110" w:rsidRDefault="00142E04" w:rsidP="00142E04">
                            <w:pPr>
                              <w:rPr>
                                <w:rStyle w:val="Hyperlink"/>
                                <w:color w:val="FFFFFF" w:themeColor="background1"/>
                                <w:sz w:val="20"/>
                                <w:szCs w:val="20"/>
                                <w:u w:val="none"/>
                              </w:rPr>
                            </w:pPr>
                            <w:r w:rsidRPr="00B26110">
                              <w:rPr>
                                <w:color w:val="FFFFFF" w:themeColor="background1"/>
                                <w:sz w:val="20"/>
                                <w:szCs w:val="20"/>
                              </w:rPr>
                              <w:instrText xml:space="preserve">" </w:instrText>
                            </w:r>
                            <w:r w:rsidRPr="00B26110">
                              <w:rPr>
                                <w:color w:val="FFFFFF" w:themeColor="background1"/>
                                <w:sz w:val="20"/>
                                <w:szCs w:val="20"/>
                              </w:rPr>
                            </w:r>
                            <w:r w:rsidRPr="00B26110">
                              <w:rPr>
                                <w:color w:val="FFFFFF" w:themeColor="background1"/>
                                <w:sz w:val="20"/>
                                <w:szCs w:val="20"/>
                              </w:rPr>
                              <w:fldChar w:fldCharType="separate"/>
                            </w:r>
                            <w:r w:rsidRPr="00B26110">
                              <w:rPr>
                                <w:rStyle w:val="Hyperlink"/>
                                <w:color w:val="FFFFFF" w:themeColor="background1"/>
                                <w:sz w:val="20"/>
                                <w:szCs w:val="20"/>
                                <w:u w:val="none"/>
                              </w:rPr>
                              <w:t>: Hamish.Palfreyman@act.gov.au</w:t>
                            </w:r>
                          </w:p>
                          <w:p w14:paraId="46A49B70" w14:textId="77777777" w:rsidR="00142E04" w:rsidRPr="00B26110" w:rsidRDefault="00142E04" w:rsidP="00142E04">
                            <w:pPr>
                              <w:rPr>
                                <w:rStyle w:val="Hyperlink"/>
                                <w:color w:val="FFFFFF" w:themeColor="background1"/>
                                <w:sz w:val="20"/>
                                <w:szCs w:val="20"/>
                                <w:u w:val="none"/>
                              </w:rPr>
                            </w:pPr>
                            <w:r w:rsidRPr="00B26110">
                              <w:rPr>
                                <w:rStyle w:val="Hyperlink"/>
                                <w:color w:val="FFFFFF" w:themeColor="background1"/>
                                <w:sz w:val="20"/>
                                <w:szCs w:val="20"/>
                                <w:u w:val="none"/>
                              </w:rPr>
                              <w:t>Telephone: +61 2 6207 0245</w:t>
                            </w:r>
                          </w:p>
                          <w:p w14:paraId="092E586B" w14:textId="77777777" w:rsidR="00B26110" w:rsidRDefault="00142E04" w:rsidP="00754BB2">
                            <w:pPr>
                              <w:pStyle w:val="Intro"/>
                              <w:rPr>
                                <w:color w:val="FFFFFF" w:themeColor="background1"/>
                                <w:sz w:val="20"/>
                                <w:szCs w:val="20"/>
                              </w:rPr>
                            </w:pPr>
                            <w:r w:rsidRPr="00B26110">
                              <w:rPr>
                                <w:color w:val="FFFFFF" w:themeColor="background1"/>
                                <w:sz w:val="20"/>
                                <w:szCs w:val="20"/>
                              </w:rPr>
                              <w:fldChar w:fldCharType="end"/>
                            </w:r>
                          </w:p>
                          <w:p w14:paraId="670F444D" w14:textId="44D06137" w:rsidR="00754BB2" w:rsidRPr="00142E04" w:rsidRDefault="00142E04" w:rsidP="00754BB2">
                            <w:pPr>
                              <w:pStyle w:val="Intro"/>
                              <w:rPr>
                                <w:caps/>
                                <w:color w:val="FFFFFF"/>
                                <w:sz w:val="20"/>
                                <w:szCs w:val="20"/>
                              </w:rPr>
                            </w:pPr>
                            <w:r w:rsidRPr="00142E04">
                              <w:rPr>
                                <w:b/>
                                <w:bCs/>
                                <w:color w:val="FFFFFF"/>
                                <w:sz w:val="20"/>
                                <w:szCs w:val="20"/>
                              </w:rPr>
                              <w:t>Issued:</w:t>
                            </w:r>
                            <w:r w:rsidRPr="00142E04">
                              <w:rPr>
                                <w:color w:val="FFFFFF"/>
                                <w:sz w:val="20"/>
                                <w:szCs w:val="20"/>
                              </w:rPr>
                              <w:t xml:space="preserve"> March 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57174A" id="Text Box 10" o:spid="_x0000_s1027" type="#_x0000_t202" style="position:absolute;margin-left:-28pt;margin-top:584.05pt;width:376.15pt;height:72.2pt;z-index:251665408;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" filled="f" stroked="f">
                <v:textbox style="mso-fit-shape-to-text:t">
                  <w:txbxContent>
                    <w:p w14:paraId="209AA095" w14:textId="221E780D" w:rsidR="00754BB2" w:rsidRPr="00142E04" w:rsidRDefault="00754BB2" w:rsidP="00754BB2">
                      <w:pPr>
                        <w:pStyle w:val="Intro"/>
                        <w:rPr>
                          <w:b/>
                          <w:bCs/>
                          <w:color w:val="FFFFFF"/>
                          <w:sz w:val="20"/>
                          <w:szCs w:val="20"/>
                        </w:rPr>
                      </w:pPr>
                      <w:r w:rsidRPr="00142E04">
                        <w:rPr>
                          <w:b/>
                          <w:bCs/>
                          <w:color w:val="FFFFFF"/>
                          <w:sz w:val="20"/>
                          <w:szCs w:val="20"/>
                        </w:rPr>
                        <w:t>Chief Minister, Treasury and Economic Development Directorate</w:t>
                      </w:r>
                    </w:p>
                    <w:p w14:paraId="701E333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Produced by:</w:t>
                      </w:r>
                    </w:p>
                    <w:p w14:paraId="519F2942" w14:textId="77777777" w:rsidR="00142E04" w:rsidRPr="00142E04" w:rsidRDefault="00142E04" w:rsidP="00142E04">
                      <w:pPr>
                        <w:rPr>
                          <w:color w:val="FFFFFF" w:themeColor="background1"/>
                          <w:sz w:val="20"/>
                          <w:szCs w:val="20"/>
                        </w:rPr>
                      </w:pPr>
                      <w:r w:rsidRPr="00142E04">
                        <w:rPr>
                          <w:color w:val="FFFFFF" w:themeColor="background1"/>
                          <w:sz w:val="20"/>
                          <w:szCs w:val="20"/>
                        </w:rPr>
                        <w:t>Financial Reporting &amp; Framework (FR&amp;F) Branch</w:t>
                      </w:r>
                    </w:p>
                    <w:p w14:paraId="569C1CAB" w14:textId="77777777" w:rsidR="00142E04" w:rsidRPr="00142E04" w:rsidRDefault="00142E04" w:rsidP="00142E04">
                      <w:pPr>
                        <w:rPr>
                          <w:color w:val="FFFFFF" w:themeColor="background1"/>
                          <w:sz w:val="20"/>
                          <w:szCs w:val="20"/>
                        </w:rPr>
                      </w:pPr>
                    </w:p>
                    <w:p w14:paraId="3E04B3D3" w14:textId="77777777" w:rsidR="00142E04" w:rsidRPr="00142E04" w:rsidRDefault="00142E04" w:rsidP="00142E04">
                      <w:pPr>
                        <w:rPr>
                          <w:b/>
                          <w:bCs/>
                          <w:color w:val="FFFFFF" w:themeColor="background1"/>
                          <w:sz w:val="20"/>
                          <w:szCs w:val="20"/>
                        </w:rPr>
                      </w:pPr>
                      <w:r w:rsidRPr="00142E04">
                        <w:rPr>
                          <w:b/>
                          <w:bCs/>
                          <w:color w:val="FFFFFF" w:themeColor="background1"/>
                          <w:sz w:val="20"/>
                          <w:szCs w:val="20"/>
                        </w:rPr>
                        <w:t>Contact:</w:t>
                      </w:r>
                    </w:p>
                    <w:p w14:paraId="476DFECB" w14:textId="77777777" w:rsidR="00142E04" w:rsidRPr="00B26110" w:rsidRDefault="00142E04" w:rsidP="00142E04">
                      <w:pPr>
                        <w:rPr>
                          <w:strike/>
                          <w:color w:val="FFFFFF" w:themeColor="background1"/>
                          <w:sz w:val="20"/>
                          <w:szCs w:val="20"/>
                        </w:rPr>
                      </w:pPr>
                      <w:r w:rsidRPr="00B26110">
                        <w:rPr>
                          <w:color w:val="FFFFFF" w:themeColor="background1"/>
                          <w:sz w:val="20"/>
                          <w:szCs w:val="20"/>
                        </w:rPr>
                        <w:t>Email</w:t>
                      </w:r>
                      <w:r w:rsidRPr="00B26110">
                        <w:rPr>
                          <w:color w:val="FFFFFF" w:themeColor="background1"/>
                          <w:sz w:val="20"/>
                          <w:szCs w:val="20"/>
                        </w:rPr>
                        <w:fldChar w:fldCharType="begin"/>
                      </w:r>
                      <w:r w:rsidRPr="00B26110">
                        <w:rPr>
                          <w:color w:val="FFFFFF" w:themeColor="background1"/>
                          <w:sz w:val="20"/>
                          <w:szCs w:val="20"/>
                        </w:rPr>
                        <w:instrText xml:space="preserve"> HYPERLINK "mailto:: Hamish.Palfreyman@act.gov.au</w:instrText>
                      </w:r>
                    </w:p>
                    <w:p w14:paraId="61D49EEA" w14:textId="77777777" w:rsidR="00142E04" w:rsidRPr="00B26110" w:rsidRDefault="00142E04" w:rsidP="00142E04">
                      <w:pPr>
                        <w:rPr>
                          <w:color w:val="FFFFFF" w:themeColor="background1"/>
                          <w:sz w:val="20"/>
                          <w:szCs w:val="20"/>
                        </w:rPr>
                      </w:pPr>
                      <w:r w:rsidRPr="00B26110">
                        <w:rPr>
                          <w:color w:val="FFFFFF" w:themeColor="background1"/>
                          <w:sz w:val="20"/>
                          <w:szCs w:val="20"/>
                        </w:rPr>
                        <w:instrText>Telephone: +61 2 6207 0245</w:instrText>
                      </w:r>
                    </w:p>
                    <w:p w14:paraId="34E169CD" w14:textId="77777777" w:rsidR="00142E04" w:rsidRPr="00B26110" w:rsidRDefault="00142E04" w:rsidP="00142E04">
                      <w:pPr>
                        <w:rPr>
                          <w:rStyle w:val="Hyperlink"/>
                          <w:color w:val="FFFFFF" w:themeColor="background1"/>
                          <w:sz w:val="20"/>
                          <w:szCs w:val="20"/>
                          <w:u w:val="none"/>
                        </w:rPr>
                      </w:pPr>
                      <w:r w:rsidRPr="00B26110">
                        <w:rPr>
                          <w:color w:val="FFFFFF" w:themeColor="background1"/>
                          <w:sz w:val="20"/>
                          <w:szCs w:val="20"/>
                        </w:rPr>
                        <w:instrText xml:space="preserve">" </w:instrText>
                      </w:r>
                      <w:r w:rsidRPr="00B26110">
                        <w:rPr>
                          <w:color w:val="FFFFFF" w:themeColor="background1"/>
                          <w:sz w:val="20"/>
                          <w:szCs w:val="20"/>
                        </w:rPr>
                        <w:fldChar w:fldCharType="separate"/>
                      </w:r>
                      <w:r w:rsidRPr="00B26110">
                        <w:rPr>
                          <w:rStyle w:val="Hyperlink"/>
                          <w:color w:val="FFFFFF" w:themeColor="background1"/>
                          <w:sz w:val="20"/>
                          <w:szCs w:val="20"/>
                          <w:u w:val="none"/>
                        </w:rPr>
                        <w:t>: Hamish.Palfreyman@act.gov.au</w:t>
                      </w:r>
                    </w:p>
                    <w:p w14:paraId="46A49B70" w14:textId="77777777" w:rsidR="00142E04" w:rsidRPr="00B26110" w:rsidRDefault="00142E04" w:rsidP="00142E04">
                      <w:pPr>
                        <w:rPr>
                          <w:rStyle w:val="Hyperlink"/>
                          <w:color w:val="FFFFFF" w:themeColor="background1"/>
                          <w:sz w:val="20"/>
                          <w:szCs w:val="20"/>
                          <w:u w:val="none"/>
                        </w:rPr>
                      </w:pPr>
                      <w:r w:rsidRPr="00B26110">
                        <w:rPr>
                          <w:rStyle w:val="Hyperlink"/>
                          <w:color w:val="FFFFFF" w:themeColor="background1"/>
                          <w:sz w:val="20"/>
                          <w:szCs w:val="20"/>
                          <w:u w:val="none"/>
                        </w:rPr>
                        <w:t>Telephone: +61 2 6207 0245</w:t>
                      </w:r>
                    </w:p>
                    <w:p w14:paraId="092E586B" w14:textId="77777777" w:rsidR="00B26110" w:rsidRDefault="00142E04" w:rsidP="00754BB2">
                      <w:pPr>
                        <w:pStyle w:val="Intro"/>
                        <w:rPr>
                          <w:color w:val="FFFFFF" w:themeColor="background1"/>
                          <w:sz w:val="20"/>
                          <w:szCs w:val="20"/>
                        </w:rPr>
                      </w:pPr>
                      <w:r w:rsidRPr="00B26110">
                        <w:rPr>
                          <w:color w:val="FFFFFF" w:themeColor="background1"/>
                          <w:sz w:val="20"/>
                          <w:szCs w:val="20"/>
                        </w:rPr>
                        <w:fldChar w:fldCharType="end"/>
                      </w:r>
                    </w:p>
                    <w:p w14:paraId="670F444D" w14:textId="44D06137" w:rsidR="00754BB2" w:rsidRPr="00142E04" w:rsidRDefault="00142E04" w:rsidP="00754BB2">
                      <w:pPr>
                        <w:pStyle w:val="Intro"/>
                        <w:rPr>
                          <w:caps/>
                          <w:color w:val="FFFFFF"/>
                          <w:sz w:val="20"/>
                          <w:szCs w:val="20"/>
                        </w:rPr>
                      </w:pPr>
                      <w:r w:rsidRPr="00142E04">
                        <w:rPr>
                          <w:b/>
                          <w:bCs/>
                          <w:color w:val="FFFFFF"/>
                          <w:sz w:val="20"/>
                          <w:szCs w:val="20"/>
                        </w:rPr>
                        <w:t>Issued:</w:t>
                      </w:r>
                      <w:r w:rsidRPr="00142E04">
                        <w:rPr>
                          <w:color w:val="FFFFFF"/>
                          <w:sz w:val="20"/>
                          <w:szCs w:val="20"/>
                        </w:rPr>
                        <w:t xml:space="preserve"> March 2022</w:t>
                      </w:r>
                    </w:p>
                  </w:txbxContent>
                </v:textbox>
                <w10:wrap anchorx="margin" anchory="page"/>
              </v:shape>
            </w:pict>
          </mc:Fallback>
        </mc:AlternateContent>
      </w:r>
      <w:r w:rsidR="00754BB2">
        <w:rPr>
          <w:noProof/>
        </w:rPr>
        <w:drawing>
          <wp:anchor distT="0" distB="0" distL="114300" distR="114300" simplePos="0" relativeHeight="251661312" behindDoc="0" locked="0" layoutInCell="1" allowOverlap="1" wp14:anchorId="4E305C45" wp14:editId="56346569">
            <wp:simplePos x="0" y="0"/>
            <wp:positionH relativeFrom="margin">
              <wp:posOffset>138624</wp:posOffset>
            </wp:positionH>
            <wp:positionV relativeFrom="page">
              <wp:posOffset>1278294</wp:posOffset>
            </wp:positionV>
            <wp:extent cx="1413510" cy="723265"/>
            <wp:effectExtent l="19050" t="0" r="0" b="0"/>
            <wp:wrapSquare wrapText="bothSides"/>
            <wp:docPr id="7"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11" cstate="print"/>
                    <a:srcRect/>
                    <a:stretch>
                      <a:fillRect/>
                    </a:stretch>
                  </pic:blipFill>
                  <pic:spPr bwMode="auto">
                    <a:xfrm>
                      <a:off x="0" y="0"/>
                      <a:ext cx="1413510" cy="723265"/>
                    </a:xfrm>
                    <a:prstGeom prst="rect">
                      <a:avLst/>
                    </a:prstGeom>
                    <a:noFill/>
                  </pic:spPr>
                </pic:pic>
              </a:graphicData>
            </a:graphic>
          </wp:anchor>
        </w:drawing>
      </w:r>
      <w:r w:rsidR="00754BB2">
        <w:rPr>
          <w:noProof/>
        </w:rPr>
        <w:drawing>
          <wp:anchor distT="0" distB="0" distL="114300" distR="114300" simplePos="0" relativeHeight="251659264" behindDoc="1" locked="0" layoutInCell="1" allowOverlap="1" wp14:anchorId="268BDA54" wp14:editId="68A5C452">
            <wp:simplePos x="0" y="0"/>
            <wp:positionH relativeFrom="page">
              <wp:posOffset>-45020</wp:posOffset>
            </wp:positionH>
            <wp:positionV relativeFrom="page">
              <wp:posOffset>998</wp:posOffset>
            </wp:positionV>
            <wp:extent cx="7619913" cy="10778490"/>
            <wp:effectExtent l="0" t="0" r="635" b="381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flipV="1">
                      <a:off x="0" y="0"/>
                      <a:ext cx="7619913" cy="10778490"/>
                    </a:xfrm>
                    <a:prstGeom prst="rect">
                      <a:avLst/>
                    </a:prstGeom>
                    <a:noFill/>
                  </pic:spPr>
                </pic:pic>
              </a:graphicData>
            </a:graphic>
          </wp:anchor>
        </w:drawing>
      </w:r>
      <w:r w:rsidR="00754BB2">
        <w:rPr>
          <w:rFonts w:cs="Calibri"/>
          <w:b/>
        </w:rPr>
        <w:br w:type="page"/>
      </w:r>
      <w:bookmarkStart w:id="0" w:name="_Hlk70693919"/>
      <w:bookmarkStart w:id="1" w:name="_Toc194918615"/>
      <w:bookmarkEnd w:id="0"/>
      <w:r w:rsidR="000144FF" w:rsidRPr="00110E1C">
        <w:rPr>
          <w:rFonts w:cs="Calibri"/>
          <w:b/>
          <w:sz w:val="32"/>
        </w:rPr>
        <w:lastRenderedPageBreak/>
        <w:t>Table of Contents</w:t>
      </w:r>
      <w:bookmarkEnd w:id="1"/>
    </w:p>
    <w:p w14:paraId="47525F74" w14:textId="1F769D3E" w:rsidR="00887060" w:rsidRDefault="0088111C">
      <w:pPr>
        <w:pStyle w:val="TOC1"/>
        <w:rPr>
          <w:rFonts w:asciiTheme="minorHAnsi" w:eastAsiaTheme="minorEastAsia" w:hAnsiTheme="minorHAnsi" w:cstheme="minorBidi"/>
          <w:b w:val="0"/>
          <w:bCs w:val="0"/>
          <w:noProof/>
          <w:color w:val="auto"/>
          <w:szCs w:val="22"/>
          <w:lang w:eastAsia="en-AU"/>
        </w:rPr>
      </w:pPr>
      <w:r w:rsidRPr="00110E1C">
        <w:rPr>
          <w:rFonts w:cs="Calibri"/>
          <w:bCs w:val="0"/>
          <w:sz w:val="32"/>
        </w:rPr>
        <w:fldChar w:fldCharType="begin"/>
      </w:r>
      <w:r w:rsidRPr="00110E1C">
        <w:rPr>
          <w:rFonts w:cs="Calibri"/>
          <w:bCs w:val="0"/>
          <w:sz w:val="32"/>
        </w:rPr>
        <w:instrText xml:space="preserve"> TOC \o "1-4" \h \z \u </w:instrText>
      </w:r>
      <w:r w:rsidRPr="00110E1C">
        <w:rPr>
          <w:rFonts w:cs="Calibri"/>
          <w:bCs w:val="0"/>
          <w:sz w:val="32"/>
        </w:rPr>
        <w:fldChar w:fldCharType="separate"/>
      </w:r>
      <w:hyperlink w:anchor="_Toc98762985" w:history="1">
        <w:r w:rsidR="00887060" w:rsidRPr="00597616">
          <w:rPr>
            <w:rStyle w:val="Hyperlink"/>
            <w:noProof/>
          </w:rPr>
          <w:t>Financial Statement Guidelines for Agencies</w:t>
        </w:r>
        <w:r w:rsidR="00887060">
          <w:rPr>
            <w:noProof/>
            <w:webHidden/>
          </w:rPr>
          <w:tab/>
        </w:r>
        <w:r w:rsidR="00887060">
          <w:rPr>
            <w:noProof/>
            <w:webHidden/>
          </w:rPr>
          <w:fldChar w:fldCharType="begin"/>
        </w:r>
        <w:r w:rsidR="00887060">
          <w:rPr>
            <w:noProof/>
            <w:webHidden/>
          </w:rPr>
          <w:instrText xml:space="preserve"> PAGEREF _Toc98762985 \h </w:instrText>
        </w:r>
        <w:r w:rsidR="00887060">
          <w:rPr>
            <w:noProof/>
            <w:webHidden/>
          </w:rPr>
        </w:r>
        <w:r w:rsidR="00887060">
          <w:rPr>
            <w:noProof/>
            <w:webHidden/>
          </w:rPr>
          <w:fldChar w:fldCharType="separate"/>
        </w:r>
        <w:r w:rsidR="00C736E0">
          <w:rPr>
            <w:noProof/>
            <w:webHidden/>
          </w:rPr>
          <w:t>1</w:t>
        </w:r>
        <w:r w:rsidR="00887060">
          <w:rPr>
            <w:noProof/>
            <w:webHidden/>
          </w:rPr>
          <w:fldChar w:fldCharType="end"/>
        </w:r>
      </w:hyperlink>
    </w:p>
    <w:p w14:paraId="3E24CDAB" w14:textId="236B8743"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2986" w:history="1">
        <w:r w:rsidR="00887060" w:rsidRPr="00597616">
          <w:rPr>
            <w:rStyle w:val="Hyperlink"/>
            <w:noProof/>
          </w:rPr>
          <w:t>1.1</w:t>
        </w:r>
        <w:r w:rsidR="00887060">
          <w:rPr>
            <w:rFonts w:asciiTheme="minorHAnsi" w:eastAsiaTheme="minorEastAsia" w:hAnsiTheme="minorHAnsi" w:cstheme="minorBidi"/>
            <w:bCs w:val="0"/>
            <w:noProof/>
            <w:szCs w:val="22"/>
            <w:lang w:eastAsia="en-AU"/>
          </w:rPr>
          <w:tab/>
        </w:r>
        <w:r w:rsidR="00887060" w:rsidRPr="00597616">
          <w:rPr>
            <w:rStyle w:val="Hyperlink"/>
            <w:noProof/>
          </w:rPr>
          <w:t>Preface</w:t>
        </w:r>
        <w:r w:rsidR="00887060">
          <w:rPr>
            <w:noProof/>
            <w:webHidden/>
          </w:rPr>
          <w:tab/>
        </w:r>
        <w:r w:rsidR="00887060">
          <w:rPr>
            <w:noProof/>
            <w:webHidden/>
          </w:rPr>
          <w:fldChar w:fldCharType="begin"/>
        </w:r>
        <w:r w:rsidR="00887060">
          <w:rPr>
            <w:noProof/>
            <w:webHidden/>
          </w:rPr>
          <w:instrText xml:space="preserve"> PAGEREF _Toc98762986 \h </w:instrText>
        </w:r>
        <w:r w:rsidR="00887060">
          <w:rPr>
            <w:noProof/>
            <w:webHidden/>
          </w:rPr>
        </w:r>
        <w:r w:rsidR="00887060">
          <w:rPr>
            <w:noProof/>
            <w:webHidden/>
          </w:rPr>
          <w:fldChar w:fldCharType="separate"/>
        </w:r>
        <w:r w:rsidR="00C736E0">
          <w:rPr>
            <w:noProof/>
            <w:webHidden/>
          </w:rPr>
          <w:t>1</w:t>
        </w:r>
        <w:r w:rsidR="00887060">
          <w:rPr>
            <w:noProof/>
            <w:webHidden/>
          </w:rPr>
          <w:fldChar w:fldCharType="end"/>
        </w:r>
      </w:hyperlink>
    </w:p>
    <w:p w14:paraId="24F2DB82" w14:textId="4129C258"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2987" w:history="1">
        <w:r w:rsidR="00887060" w:rsidRPr="00597616">
          <w:rPr>
            <w:rStyle w:val="Hyperlink"/>
            <w:noProof/>
          </w:rPr>
          <w:t>1.2</w:t>
        </w:r>
        <w:r w:rsidR="00887060">
          <w:rPr>
            <w:rFonts w:asciiTheme="minorHAnsi" w:eastAsiaTheme="minorEastAsia" w:hAnsiTheme="minorHAnsi" w:cstheme="minorBidi"/>
            <w:bCs w:val="0"/>
            <w:noProof/>
            <w:szCs w:val="22"/>
            <w:lang w:eastAsia="en-AU"/>
          </w:rPr>
          <w:tab/>
        </w:r>
        <w:r w:rsidR="00887060" w:rsidRPr="00597616">
          <w:rPr>
            <w:rStyle w:val="Hyperlink"/>
            <w:noProof/>
          </w:rPr>
          <w:t>Materiality Guidance</w:t>
        </w:r>
        <w:r w:rsidR="00887060">
          <w:rPr>
            <w:noProof/>
            <w:webHidden/>
          </w:rPr>
          <w:tab/>
        </w:r>
        <w:r w:rsidR="00887060">
          <w:rPr>
            <w:noProof/>
            <w:webHidden/>
          </w:rPr>
          <w:fldChar w:fldCharType="begin"/>
        </w:r>
        <w:r w:rsidR="00887060">
          <w:rPr>
            <w:noProof/>
            <w:webHidden/>
          </w:rPr>
          <w:instrText xml:space="preserve"> PAGEREF _Toc98762987 \h </w:instrText>
        </w:r>
        <w:r w:rsidR="00887060">
          <w:rPr>
            <w:noProof/>
            <w:webHidden/>
          </w:rPr>
        </w:r>
        <w:r w:rsidR="00887060">
          <w:rPr>
            <w:noProof/>
            <w:webHidden/>
          </w:rPr>
          <w:fldChar w:fldCharType="separate"/>
        </w:r>
        <w:r w:rsidR="00C736E0">
          <w:rPr>
            <w:noProof/>
            <w:webHidden/>
          </w:rPr>
          <w:t>1</w:t>
        </w:r>
        <w:r w:rsidR="00887060">
          <w:rPr>
            <w:noProof/>
            <w:webHidden/>
          </w:rPr>
          <w:fldChar w:fldCharType="end"/>
        </w:r>
      </w:hyperlink>
    </w:p>
    <w:p w14:paraId="13DBE185" w14:textId="0B62403D"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2988" w:history="1">
        <w:r w:rsidR="00887060" w:rsidRPr="00597616">
          <w:rPr>
            <w:rStyle w:val="Hyperlink"/>
            <w:noProof/>
          </w:rPr>
          <w:t>1.2</w:t>
        </w:r>
        <w:r w:rsidR="00887060">
          <w:rPr>
            <w:rFonts w:asciiTheme="minorHAnsi" w:eastAsiaTheme="minorEastAsia" w:hAnsiTheme="minorHAnsi" w:cstheme="minorBidi"/>
            <w:bCs w:val="0"/>
            <w:noProof/>
            <w:szCs w:val="22"/>
            <w:lang w:eastAsia="en-AU"/>
          </w:rPr>
          <w:tab/>
        </w:r>
        <w:r w:rsidR="00887060" w:rsidRPr="00597616">
          <w:rPr>
            <w:rStyle w:val="Hyperlink"/>
            <w:noProof/>
          </w:rPr>
          <w:t>Materiality Guidance – Continued</w:t>
        </w:r>
        <w:r w:rsidR="00887060">
          <w:rPr>
            <w:noProof/>
            <w:webHidden/>
          </w:rPr>
          <w:tab/>
        </w:r>
        <w:r w:rsidR="00887060">
          <w:rPr>
            <w:noProof/>
            <w:webHidden/>
          </w:rPr>
          <w:fldChar w:fldCharType="begin"/>
        </w:r>
        <w:r w:rsidR="00887060">
          <w:rPr>
            <w:noProof/>
            <w:webHidden/>
          </w:rPr>
          <w:instrText xml:space="preserve"> PAGEREF _Toc98762988 \h </w:instrText>
        </w:r>
        <w:r w:rsidR="00887060">
          <w:rPr>
            <w:noProof/>
            <w:webHidden/>
          </w:rPr>
        </w:r>
        <w:r w:rsidR="00887060">
          <w:rPr>
            <w:noProof/>
            <w:webHidden/>
          </w:rPr>
          <w:fldChar w:fldCharType="separate"/>
        </w:r>
        <w:r w:rsidR="00C736E0">
          <w:rPr>
            <w:noProof/>
            <w:webHidden/>
          </w:rPr>
          <w:t>2</w:t>
        </w:r>
        <w:r w:rsidR="00887060">
          <w:rPr>
            <w:noProof/>
            <w:webHidden/>
          </w:rPr>
          <w:fldChar w:fldCharType="end"/>
        </w:r>
      </w:hyperlink>
    </w:p>
    <w:p w14:paraId="7567763E" w14:textId="6AC709D9"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2989" w:history="1">
        <w:r w:rsidR="00887060" w:rsidRPr="00597616">
          <w:rPr>
            <w:rStyle w:val="Hyperlink"/>
            <w:noProof/>
            <w14:scene3d>
              <w14:camera w14:prst="orthographicFront"/>
              <w14:lightRig w14:rig="threePt" w14:dir="t">
                <w14:rot w14:lat="0" w14:lon="0" w14:rev="0"/>
              </w14:lightRig>
            </w14:scene3d>
          </w:rPr>
          <w:t>1.2.1</w:t>
        </w:r>
        <w:r w:rsidR="00887060">
          <w:rPr>
            <w:rFonts w:asciiTheme="minorHAnsi" w:eastAsiaTheme="minorEastAsia" w:hAnsiTheme="minorHAnsi" w:cstheme="minorBidi"/>
            <w:noProof/>
            <w:szCs w:val="22"/>
            <w:lang w:eastAsia="en-AU"/>
          </w:rPr>
          <w:tab/>
        </w:r>
        <w:r w:rsidR="00887060" w:rsidRPr="00597616">
          <w:rPr>
            <w:rStyle w:val="Hyperlink"/>
            <w:noProof/>
          </w:rPr>
          <w:t>Benefits of Streamlined Financial Reporting</w:t>
        </w:r>
        <w:r w:rsidR="00887060">
          <w:rPr>
            <w:noProof/>
            <w:webHidden/>
          </w:rPr>
          <w:tab/>
        </w:r>
        <w:r w:rsidR="00887060">
          <w:rPr>
            <w:noProof/>
            <w:webHidden/>
          </w:rPr>
          <w:fldChar w:fldCharType="begin"/>
        </w:r>
        <w:r w:rsidR="00887060">
          <w:rPr>
            <w:noProof/>
            <w:webHidden/>
          </w:rPr>
          <w:instrText xml:space="preserve"> PAGEREF _Toc98762989 \h </w:instrText>
        </w:r>
        <w:r w:rsidR="00887060">
          <w:rPr>
            <w:noProof/>
            <w:webHidden/>
          </w:rPr>
        </w:r>
        <w:r w:rsidR="00887060">
          <w:rPr>
            <w:noProof/>
            <w:webHidden/>
          </w:rPr>
          <w:fldChar w:fldCharType="separate"/>
        </w:r>
        <w:r w:rsidR="00C736E0">
          <w:rPr>
            <w:noProof/>
            <w:webHidden/>
          </w:rPr>
          <w:t>2</w:t>
        </w:r>
        <w:r w:rsidR="00887060">
          <w:rPr>
            <w:noProof/>
            <w:webHidden/>
          </w:rPr>
          <w:fldChar w:fldCharType="end"/>
        </w:r>
      </w:hyperlink>
    </w:p>
    <w:p w14:paraId="1D301AF1" w14:textId="3957E301"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2990" w:history="1">
        <w:r w:rsidR="00887060" w:rsidRPr="00597616">
          <w:rPr>
            <w:rStyle w:val="Hyperlink"/>
            <w:noProof/>
            <w14:scene3d>
              <w14:camera w14:prst="orthographicFront"/>
              <w14:lightRig w14:rig="threePt" w14:dir="t">
                <w14:rot w14:lat="0" w14:lon="0" w14:rev="0"/>
              </w14:lightRig>
            </w14:scene3d>
          </w:rPr>
          <w:t>1.2.2</w:t>
        </w:r>
        <w:r w:rsidR="00887060">
          <w:rPr>
            <w:rFonts w:asciiTheme="minorHAnsi" w:eastAsiaTheme="minorEastAsia" w:hAnsiTheme="minorHAnsi" w:cstheme="minorBidi"/>
            <w:noProof/>
            <w:szCs w:val="22"/>
            <w:lang w:eastAsia="en-AU"/>
          </w:rPr>
          <w:tab/>
        </w:r>
        <w:r w:rsidR="00887060" w:rsidRPr="00597616">
          <w:rPr>
            <w:rStyle w:val="Hyperlink"/>
            <w:noProof/>
          </w:rPr>
          <w:t>General Guidance</w:t>
        </w:r>
        <w:r w:rsidR="00887060">
          <w:rPr>
            <w:noProof/>
            <w:webHidden/>
          </w:rPr>
          <w:tab/>
        </w:r>
        <w:r w:rsidR="00887060">
          <w:rPr>
            <w:noProof/>
            <w:webHidden/>
          </w:rPr>
          <w:fldChar w:fldCharType="begin"/>
        </w:r>
        <w:r w:rsidR="00887060">
          <w:rPr>
            <w:noProof/>
            <w:webHidden/>
          </w:rPr>
          <w:instrText xml:space="preserve"> PAGEREF _Toc98762990 \h </w:instrText>
        </w:r>
        <w:r w:rsidR="00887060">
          <w:rPr>
            <w:noProof/>
            <w:webHidden/>
          </w:rPr>
        </w:r>
        <w:r w:rsidR="00887060">
          <w:rPr>
            <w:noProof/>
            <w:webHidden/>
          </w:rPr>
          <w:fldChar w:fldCharType="separate"/>
        </w:r>
        <w:r w:rsidR="00C736E0">
          <w:rPr>
            <w:noProof/>
            <w:webHidden/>
          </w:rPr>
          <w:t>2</w:t>
        </w:r>
        <w:r w:rsidR="00887060">
          <w:rPr>
            <w:noProof/>
            <w:webHidden/>
          </w:rPr>
          <w:fldChar w:fldCharType="end"/>
        </w:r>
      </w:hyperlink>
    </w:p>
    <w:p w14:paraId="5986511D" w14:textId="1F243D12"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2991" w:history="1">
        <w:r w:rsidR="00887060" w:rsidRPr="00597616">
          <w:rPr>
            <w:rStyle w:val="Hyperlink"/>
            <w:noProof/>
            <w14:scene3d>
              <w14:camera w14:prst="orthographicFront"/>
              <w14:lightRig w14:rig="threePt" w14:dir="t">
                <w14:rot w14:lat="0" w14:lon="0" w14:rev="0"/>
              </w14:lightRig>
            </w14:scene3d>
          </w:rPr>
          <w:t>1.2.3</w:t>
        </w:r>
        <w:r w:rsidR="00887060">
          <w:rPr>
            <w:rFonts w:asciiTheme="minorHAnsi" w:eastAsiaTheme="minorEastAsia" w:hAnsiTheme="minorHAnsi" w:cstheme="minorBidi"/>
            <w:noProof/>
            <w:szCs w:val="22"/>
            <w:lang w:eastAsia="en-AU"/>
          </w:rPr>
          <w:tab/>
        </w:r>
        <w:r w:rsidR="00887060" w:rsidRPr="00597616">
          <w:rPr>
            <w:rStyle w:val="Hyperlink"/>
            <w:noProof/>
          </w:rPr>
          <w:t>General Guidance – Continued</w:t>
        </w:r>
        <w:r w:rsidR="00887060">
          <w:rPr>
            <w:noProof/>
            <w:webHidden/>
          </w:rPr>
          <w:tab/>
        </w:r>
        <w:r w:rsidR="00887060">
          <w:rPr>
            <w:noProof/>
            <w:webHidden/>
          </w:rPr>
          <w:fldChar w:fldCharType="begin"/>
        </w:r>
        <w:r w:rsidR="00887060">
          <w:rPr>
            <w:noProof/>
            <w:webHidden/>
          </w:rPr>
          <w:instrText xml:space="preserve"> PAGEREF _Toc98762991 \h </w:instrText>
        </w:r>
        <w:r w:rsidR="00887060">
          <w:rPr>
            <w:noProof/>
            <w:webHidden/>
          </w:rPr>
        </w:r>
        <w:r w:rsidR="00887060">
          <w:rPr>
            <w:noProof/>
            <w:webHidden/>
          </w:rPr>
          <w:fldChar w:fldCharType="separate"/>
        </w:r>
        <w:r w:rsidR="00C736E0">
          <w:rPr>
            <w:noProof/>
            <w:webHidden/>
          </w:rPr>
          <w:t>3</w:t>
        </w:r>
        <w:r w:rsidR="00887060">
          <w:rPr>
            <w:noProof/>
            <w:webHidden/>
          </w:rPr>
          <w:fldChar w:fldCharType="end"/>
        </w:r>
      </w:hyperlink>
    </w:p>
    <w:p w14:paraId="10E29CE8" w14:textId="711554D0"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2992" w:history="1">
        <w:r w:rsidR="00887060" w:rsidRPr="00597616">
          <w:rPr>
            <w:rStyle w:val="Hyperlink"/>
            <w:noProof/>
            <w14:scene3d>
              <w14:camera w14:prst="orthographicFront"/>
              <w14:lightRig w14:rig="threePt" w14:dir="t">
                <w14:rot w14:lat="0" w14:lon="0" w14:rev="0"/>
              </w14:lightRig>
            </w14:scene3d>
          </w:rPr>
          <w:t>1.2.4</w:t>
        </w:r>
        <w:r w:rsidR="00887060">
          <w:rPr>
            <w:rFonts w:asciiTheme="minorHAnsi" w:eastAsiaTheme="minorEastAsia" w:hAnsiTheme="minorHAnsi" w:cstheme="minorBidi"/>
            <w:noProof/>
            <w:szCs w:val="22"/>
            <w:lang w:eastAsia="en-AU"/>
          </w:rPr>
          <w:tab/>
        </w:r>
        <w:r w:rsidR="00887060" w:rsidRPr="00597616">
          <w:rPr>
            <w:rStyle w:val="Hyperlink"/>
            <w:noProof/>
          </w:rPr>
          <w:t>Requirement for Separate Line Items on the Face of the Financial Statements</w:t>
        </w:r>
        <w:r w:rsidR="00887060">
          <w:rPr>
            <w:noProof/>
            <w:webHidden/>
          </w:rPr>
          <w:tab/>
        </w:r>
        <w:r w:rsidR="00887060">
          <w:rPr>
            <w:noProof/>
            <w:webHidden/>
          </w:rPr>
          <w:fldChar w:fldCharType="begin"/>
        </w:r>
        <w:r w:rsidR="00887060">
          <w:rPr>
            <w:noProof/>
            <w:webHidden/>
          </w:rPr>
          <w:instrText xml:space="preserve"> PAGEREF _Toc98762992 \h </w:instrText>
        </w:r>
        <w:r w:rsidR="00887060">
          <w:rPr>
            <w:noProof/>
            <w:webHidden/>
          </w:rPr>
        </w:r>
        <w:r w:rsidR="00887060">
          <w:rPr>
            <w:noProof/>
            <w:webHidden/>
          </w:rPr>
          <w:fldChar w:fldCharType="separate"/>
        </w:r>
        <w:r w:rsidR="00C736E0">
          <w:rPr>
            <w:noProof/>
            <w:webHidden/>
          </w:rPr>
          <w:t>3</w:t>
        </w:r>
        <w:r w:rsidR="00887060">
          <w:rPr>
            <w:noProof/>
            <w:webHidden/>
          </w:rPr>
          <w:fldChar w:fldCharType="end"/>
        </w:r>
      </w:hyperlink>
    </w:p>
    <w:p w14:paraId="60AA1BD0" w14:textId="3910B55A"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2993" w:history="1">
        <w:r w:rsidR="00887060" w:rsidRPr="00597616">
          <w:rPr>
            <w:rStyle w:val="Hyperlink"/>
            <w:noProof/>
            <w14:scene3d>
              <w14:camera w14:prst="orthographicFront"/>
              <w14:lightRig w14:rig="threePt" w14:dir="t">
                <w14:rot w14:lat="0" w14:lon="0" w14:rev="0"/>
              </w14:lightRig>
            </w14:scene3d>
          </w:rPr>
          <w:t>1.2.5</w:t>
        </w:r>
        <w:r w:rsidR="00887060">
          <w:rPr>
            <w:rFonts w:asciiTheme="minorHAnsi" w:eastAsiaTheme="minorEastAsia" w:hAnsiTheme="minorHAnsi" w:cstheme="minorBidi"/>
            <w:noProof/>
            <w:szCs w:val="22"/>
            <w:lang w:eastAsia="en-AU"/>
          </w:rPr>
          <w:tab/>
        </w:r>
        <w:r w:rsidR="00887060" w:rsidRPr="00597616">
          <w:rPr>
            <w:rStyle w:val="Hyperlink"/>
            <w:noProof/>
          </w:rPr>
          <w:t>Requirement for Separate Note Disclosures</w:t>
        </w:r>
        <w:r w:rsidR="00887060">
          <w:rPr>
            <w:noProof/>
            <w:webHidden/>
          </w:rPr>
          <w:tab/>
        </w:r>
        <w:r w:rsidR="00887060">
          <w:rPr>
            <w:noProof/>
            <w:webHidden/>
          </w:rPr>
          <w:fldChar w:fldCharType="begin"/>
        </w:r>
        <w:r w:rsidR="00887060">
          <w:rPr>
            <w:noProof/>
            <w:webHidden/>
          </w:rPr>
          <w:instrText xml:space="preserve"> PAGEREF _Toc98762993 \h </w:instrText>
        </w:r>
        <w:r w:rsidR="00887060">
          <w:rPr>
            <w:noProof/>
            <w:webHidden/>
          </w:rPr>
        </w:r>
        <w:r w:rsidR="00887060">
          <w:rPr>
            <w:noProof/>
            <w:webHidden/>
          </w:rPr>
          <w:fldChar w:fldCharType="separate"/>
        </w:r>
        <w:r w:rsidR="00C736E0">
          <w:rPr>
            <w:noProof/>
            <w:webHidden/>
          </w:rPr>
          <w:t>3</w:t>
        </w:r>
        <w:r w:rsidR="00887060">
          <w:rPr>
            <w:noProof/>
            <w:webHidden/>
          </w:rPr>
          <w:fldChar w:fldCharType="end"/>
        </w:r>
      </w:hyperlink>
    </w:p>
    <w:p w14:paraId="78F9E8DB" w14:textId="0C6386DE"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2994" w:history="1">
        <w:r w:rsidR="00887060" w:rsidRPr="00597616">
          <w:rPr>
            <w:rStyle w:val="Hyperlink"/>
            <w:noProof/>
            <w14:scene3d>
              <w14:camera w14:prst="orthographicFront"/>
              <w14:lightRig w14:rig="threePt" w14:dir="t">
                <w14:rot w14:lat="0" w14:lon="0" w14:rev="0"/>
              </w14:lightRig>
            </w14:scene3d>
          </w:rPr>
          <w:t>1.2.6</w:t>
        </w:r>
        <w:r w:rsidR="00887060">
          <w:rPr>
            <w:rFonts w:asciiTheme="minorHAnsi" w:eastAsiaTheme="minorEastAsia" w:hAnsiTheme="minorHAnsi" w:cstheme="minorBidi"/>
            <w:noProof/>
            <w:szCs w:val="22"/>
            <w:lang w:eastAsia="en-AU"/>
          </w:rPr>
          <w:tab/>
        </w:r>
        <w:r w:rsidR="00887060" w:rsidRPr="00597616">
          <w:rPr>
            <w:rStyle w:val="Hyperlink"/>
            <w:noProof/>
          </w:rPr>
          <w:t>Detail in Separate Note Disclosures</w:t>
        </w:r>
        <w:r w:rsidR="00887060">
          <w:rPr>
            <w:noProof/>
            <w:webHidden/>
          </w:rPr>
          <w:tab/>
        </w:r>
        <w:r w:rsidR="00887060">
          <w:rPr>
            <w:noProof/>
            <w:webHidden/>
          </w:rPr>
          <w:fldChar w:fldCharType="begin"/>
        </w:r>
        <w:r w:rsidR="00887060">
          <w:rPr>
            <w:noProof/>
            <w:webHidden/>
          </w:rPr>
          <w:instrText xml:space="preserve"> PAGEREF _Toc98762994 \h </w:instrText>
        </w:r>
        <w:r w:rsidR="00887060">
          <w:rPr>
            <w:noProof/>
            <w:webHidden/>
          </w:rPr>
        </w:r>
        <w:r w:rsidR="00887060">
          <w:rPr>
            <w:noProof/>
            <w:webHidden/>
          </w:rPr>
          <w:fldChar w:fldCharType="separate"/>
        </w:r>
        <w:r w:rsidR="00C736E0">
          <w:rPr>
            <w:noProof/>
            <w:webHidden/>
          </w:rPr>
          <w:t>3</w:t>
        </w:r>
        <w:r w:rsidR="00887060">
          <w:rPr>
            <w:noProof/>
            <w:webHidden/>
          </w:rPr>
          <w:fldChar w:fldCharType="end"/>
        </w:r>
      </w:hyperlink>
    </w:p>
    <w:p w14:paraId="266701C9" w14:textId="79FA9E90"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2995" w:history="1">
        <w:r w:rsidR="00887060" w:rsidRPr="00597616">
          <w:rPr>
            <w:rStyle w:val="Hyperlink"/>
            <w:noProof/>
            <w14:scene3d>
              <w14:camera w14:prst="orthographicFront"/>
              <w14:lightRig w14:rig="threePt" w14:dir="t">
                <w14:rot w14:lat="0" w14:lon="0" w14:rev="0"/>
              </w14:lightRig>
            </w14:scene3d>
          </w:rPr>
          <w:t>1.2.7</w:t>
        </w:r>
        <w:r w:rsidR="00887060">
          <w:rPr>
            <w:rFonts w:asciiTheme="minorHAnsi" w:eastAsiaTheme="minorEastAsia" w:hAnsiTheme="minorHAnsi" w:cstheme="minorBidi"/>
            <w:noProof/>
            <w:szCs w:val="22"/>
            <w:lang w:eastAsia="en-AU"/>
          </w:rPr>
          <w:tab/>
        </w:r>
        <w:r w:rsidR="00887060" w:rsidRPr="00597616">
          <w:rPr>
            <w:rStyle w:val="Hyperlink"/>
            <w:noProof/>
          </w:rPr>
          <w:t>Exceptions to the General Guidance on Materiality</w:t>
        </w:r>
        <w:r w:rsidR="00887060">
          <w:rPr>
            <w:noProof/>
            <w:webHidden/>
          </w:rPr>
          <w:tab/>
        </w:r>
        <w:r w:rsidR="00887060">
          <w:rPr>
            <w:noProof/>
            <w:webHidden/>
          </w:rPr>
          <w:fldChar w:fldCharType="begin"/>
        </w:r>
        <w:r w:rsidR="00887060">
          <w:rPr>
            <w:noProof/>
            <w:webHidden/>
          </w:rPr>
          <w:instrText xml:space="preserve"> PAGEREF _Toc98762995 \h </w:instrText>
        </w:r>
        <w:r w:rsidR="00887060">
          <w:rPr>
            <w:noProof/>
            <w:webHidden/>
          </w:rPr>
        </w:r>
        <w:r w:rsidR="00887060">
          <w:rPr>
            <w:noProof/>
            <w:webHidden/>
          </w:rPr>
          <w:fldChar w:fldCharType="separate"/>
        </w:r>
        <w:r w:rsidR="00C736E0">
          <w:rPr>
            <w:noProof/>
            <w:webHidden/>
          </w:rPr>
          <w:t>4</w:t>
        </w:r>
        <w:r w:rsidR="00887060">
          <w:rPr>
            <w:noProof/>
            <w:webHidden/>
          </w:rPr>
          <w:fldChar w:fldCharType="end"/>
        </w:r>
      </w:hyperlink>
    </w:p>
    <w:p w14:paraId="58BC48F8" w14:textId="470BCC03"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2996" w:history="1">
        <w:r w:rsidR="00887060" w:rsidRPr="00597616">
          <w:rPr>
            <w:rStyle w:val="Hyperlink"/>
            <w:noProof/>
            <w14:scene3d>
              <w14:camera w14:prst="orthographicFront"/>
              <w14:lightRig w14:rig="threePt" w14:dir="t">
                <w14:rot w14:lat="0" w14:lon="0" w14:rev="0"/>
              </w14:lightRig>
            </w14:scene3d>
          </w:rPr>
          <w:t>1.2.8</w:t>
        </w:r>
        <w:r w:rsidR="00887060">
          <w:rPr>
            <w:rFonts w:asciiTheme="minorHAnsi" w:eastAsiaTheme="minorEastAsia" w:hAnsiTheme="minorHAnsi" w:cstheme="minorBidi"/>
            <w:noProof/>
            <w:szCs w:val="22"/>
            <w:lang w:eastAsia="en-AU"/>
          </w:rPr>
          <w:tab/>
        </w:r>
        <w:r w:rsidR="00887060" w:rsidRPr="00597616">
          <w:rPr>
            <w:rStyle w:val="Hyperlink"/>
            <w:noProof/>
          </w:rPr>
          <w:t>Variance Explanations between Current, Budget and Prior Year Figures</w:t>
        </w:r>
        <w:r w:rsidR="00887060">
          <w:rPr>
            <w:noProof/>
            <w:webHidden/>
          </w:rPr>
          <w:tab/>
        </w:r>
        <w:r w:rsidR="00887060">
          <w:rPr>
            <w:noProof/>
            <w:webHidden/>
          </w:rPr>
          <w:fldChar w:fldCharType="begin"/>
        </w:r>
        <w:r w:rsidR="00887060">
          <w:rPr>
            <w:noProof/>
            <w:webHidden/>
          </w:rPr>
          <w:instrText xml:space="preserve"> PAGEREF _Toc98762996 \h </w:instrText>
        </w:r>
        <w:r w:rsidR="00887060">
          <w:rPr>
            <w:noProof/>
            <w:webHidden/>
          </w:rPr>
        </w:r>
        <w:r w:rsidR="00887060">
          <w:rPr>
            <w:noProof/>
            <w:webHidden/>
          </w:rPr>
          <w:fldChar w:fldCharType="separate"/>
        </w:r>
        <w:r w:rsidR="00C736E0">
          <w:rPr>
            <w:noProof/>
            <w:webHidden/>
          </w:rPr>
          <w:t>4</w:t>
        </w:r>
        <w:r w:rsidR="00887060">
          <w:rPr>
            <w:noProof/>
            <w:webHidden/>
          </w:rPr>
          <w:fldChar w:fldCharType="end"/>
        </w:r>
      </w:hyperlink>
    </w:p>
    <w:p w14:paraId="4A4840D6" w14:textId="1BF54F93"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2997" w:history="1">
        <w:r w:rsidR="00887060" w:rsidRPr="00597616">
          <w:rPr>
            <w:rStyle w:val="Hyperlink"/>
            <w:noProof/>
            <w14:scene3d>
              <w14:camera w14:prst="orthographicFront"/>
              <w14:lightRig w14:rig="threePt" w14:dir="t">
                <w14:rot w14:lat="0" w14:lon="0" w14:rev="0"/>
              </w14:lightRig>
            </w14:scene3d>
          </w:rPr>
          <w:t>1.2.9</w:t>
        </w:r>
        <w:r w:rsidR="00887060">
          <w:rPr>
            <w:rFonts w:asciiTheme="minorHAnsi" w:eastAsiaTheme="minorEastAsia" w:hAnsiTheme="minorHAnsi" w:cstheme="minorBidi"/>
            <w:noProof/>
            <w:szCs w:val="22"/>
            <w:lang w:eastAsia="en-AU"/>
          </w:rPr>
          <w:tab/>
        </w:r>
        <w:r w:rsidR="00887060" w:rsidRPr="00597616">
          <w:rPr>
            <w:rStyle w:val="Hyperlink"/>
            <w:noProof/>
          </w:rPr>
          <w:t>Consultation with Audit Committee and the Audit Office</w:t>
        </w:r>
        <w:r w:rsidR="00887060">
          <w:rPr>
            <w:noProof/>
            <w:webHidden/>
          </w:rPr>
          <w:tab/>
        </w:r>
        <w:r w:rsidR="00887060">
          <w:rPr>
            <w:noProof/>
            <w:webHidden/>
          </w:rPr>
          <w:fldChar w:fldCharType="begin"/>
        </w:r>
        <w:r w:rsidR="00887060">
          <w:rPr>
            <w:noProof/>
            <w:webHidden/>
          </w:rPr>
          <w:instrText xml:space="preserve"> PAGEREF _Toc98762997 \h </w:instrText>
        </w:r>
        <w:r w:rsidR="00887060">
          <w:rPr>
            <w:noProof/>
            <w:webHidden/>
          </w:rPr>
        </w:r>
        <w:r w:rsidR="00887060">
          <w:rPr>
            <w:noProof/>
            <w:webHidden/>
          </w:rPr>
          <w:fldChar w:fldCharType="separate"/>
        </w:r>
        <w:r w:rsidR="00C736E0">
          <w:rPr>
            <w:noProof/>
            <w:webHidden/>
          </w:rPr>
          <w:t>5</w:t>
        </w:r>
        <w:r w:rsidR="00887060">
          <w:rPr>
            <w:noProof/>
            <w:webHidden/>
          </w:rPr>
          <w:fldChar w:fldCharType="end"/>
        </w:r>
      </w:hyperlink>
    </w:p>
    <w:p w14:paraId="50EC3D6A" w14:textId="1DCF087E" w:rsidR="00887060" w:rsidRDefault="00D20569">
      <w:pPr>
        <w:pStyle w:val="TOC3"/>
        <w:tabs>
          <w:tab w:val="left" w:pos="2160"/>
          <w:tab w:val="right" w:leader="dot" w:pos="9629"/>
        </w:tabs>
        <w:rPr>
          <w:rFonts w:asciiTheme="minorHAnsi" w:eastAsiaTheme="minorEastAsia" w:hAnsiTheme="minorHAnsi" w:cstheme="minorBidi"/>
          <w:noProof/>
          <w:szCs w:val="22"/>
          <w:lang w:eastAsia="en-AU"/>
        </w:rPr>
      </w:pPr>
      <w:hyperlink w:anchor="_Toc98762998" w:history="1">
        <w:r w:rsidR="00887060" w:rsidRPr="00597616">
          <w:rPr>
            <w:rStyle w:val="Hyperlink"/>
            <w:noProof/>
            <w14:scene3d>
              <w14:camera w14:prst="orthographicFront"/>
              <w14:lightRig w14:rig="threePt" w14:dir="t">
                <w14:rot w14:lat="0" w14:lon="0" w14:rev="0"/>
              </w14:lightRig>
            </w14:scene3d>
          </w:rPr>
          <w:t>1.2.10</w:t>
        </w:r>
        <w:r w:rsidR="00887060">
          <w:rPr>
            <w:rFonts w:asciiTheme="minorHAnsi" w:eastAsiaTheme="minorEastAsia" w:hAnsiTheme="minorHAnsi" w:cstheme="minorBidi"/>
            <w:noProof/>
            <w:szCs w:val="22"/>
            <w:lang w:eastAsia="en-AU"/>
          </w:rPr>
          <w:tab/>
        </w:r>
        <w:r w:rsidR="00887060" w:rsidRPr="00597616">
          <w:rPr>
            <w:rStyle w:val="Hyperlink"/>
            <w:noProof/>
          </w:rPr>
          <w:t>Impact of the COVID-19 Pandemic</w:t>
        </w:r>
        <w:r w:rsidR="00887060">
          <w:rPr>
            <w:noProof/>
            <w:webHidden/>
          </w:rPr>
          <w:tab/>
        </w:r>
        <w:r w:rsidR="00887060">
          <w:rPr>
            <w:noProof/>
            <w:webHidden/>
          </w:rPr>
          <w:fldChar w:fldCharType="begin"/>
        </w:r>
        <w:r w:rsidR="00887060">
          <w:rPr>
            <w:noProof/>
            <w:webHidden/>
          </w:rPr>
          <w:instrText xml:space="preserve"> PAGEREF _Toc98762998 \h </w:instrText>
        </w:r>
        <w:r w:rsidR="00887060">
          <w:rPr>
            <w:noProof/>
            <w:webHidden/>
          </w:rPr>
        </w:r>
        <w:r w:rsidR="00887060">
          <w:rPr>
            <w:noProof/>
            <w:webHidden/>
          </w:rPr>
          <w:fldChar w:fldCharType="separate"/>
        </w:r>
        <w:r w:rsidR="00C736E0">
          <w:rPr>
            <w:noProof/>
            <w:webHidden/>
          </w:rPr>
          <w:t>5</w:t>
        </w:r>
        <w:r w:rsidR="00887060">
          <w:rPr>
            <w:noProof/>
            <w:webHidden/>
          </w:rPr>
          <w:fldChar w:fldCharType="end"/>
        </w:r>
      </w:hyperlink>
    </w:p>
    <w:p w14:paraId="11FCE606" w14:textId="5E596F77"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2999" w:history="1">
        <w:r w:rsidR="00887060" w:rsidRPr="00597616">
          <w:rPr>
            <w:rStyle w:val="Hyperlink"/>
            <w:noProof/>
          </w:rPr>
          <w:t>1.3</w:t>
        </w:r>
        <w:r w:rsidR="00887060">
          <w:rPr>
            <w:rFonts w:asciiTheme="minorHAnsi" w:eastAsiaTheme="minorEastAsia" w:hAnsiTheme="minorHAnsi" w:cstheme="minorBidi"/>
            <w:bCs w:val="0"/>
            <w:noProof/>
            <w:szCs w:val="22"/>
            <w:lang w:eastAsia="en-AU"/>
          </w:rPr>
          <w:tab/>
        </w:r>
        <w:r w:rsidR="00887060" w:rsidRPr="00597616">
          <w:rPr>
            <w:rStyle w:val="Hyperlink"/>
            <w:noProof/>
          </w:rPr>
          <w:t>What’s New</w:t>
        </w:r>
        <w:r w:rsidR="00887060">
          <w:rPr>
            <w:noProof/>
            <w:webHidden/>
          </w:rPr>
          <w:tab/>
        </w:r>
        <w:r w:rsidR="00887060">
          <w:rPr>
            <w:noProof/>
            <w:webHidden/>
          </w:rPr>
          <w:fldChar w:fldCharType="begin"/>
        </w:r>
        <w:r w:rsidR="00887060">
          <w:rPr>
            <w:noProof/>
            <w:webHidden/>
          </w:rPr>
          <w:instrText xml:space="preserve"> PAGEREF _Toc98762999 \h </w:instrText>
        </w:r>
        <w:r w:rsidR="00887060">
          <w:rPr>
            <w:noProof/>
            <w:webHidden/>
          </w:rPr>
        </w:r>
        <w:r w:rsidR="00887060">
          <w:rPr>
            <w:noProof/>
            <w:webHidden/>
          </w:rPr>
          <w:fldChar w:fldCharType="separate"/>
        </w:r>
        <w:r w:rsidR="00C736E0">
          <w:rPr>
            <w:noProof/>
            <w:webHidden/>
          </w:rPr>
          <w:t>5</w:t>
        </w:r>
        <w:r w:rsidR="00887060">
          <w:rPr>
            <w:noProof/>
            <w:webHidden/>
          </w:rPr>
          <w:fldChar w:fldCharType="end"/>
        </w:r>
      </w:hyperlink>
    </w:p>
    <w:p w14:paraId="2E1137D7" w14:textId="6F0CA1B3"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3000" w:history="1">
        <w:r w:rsidR="00887060" w:rsidRPr="00597616">
          <w:rPr>
            <w:rStyle w:val="Hyperlink"/>
            <w:noProof/>
            <w14:scene3d>
              <w14:camera w14:prst="orthographicFront"/>
              <w14:lightRig w14:rig="threePt" w14:dir="t">
                <w14:rot w14:lat="0" w14:lon="0" w14:rev="0"/>
              </w14:lightRig>
            </w14:scene3d>
          </w:rPr>
          <w:t>1.3.1</w:t>
        </w:r>
        <w:r w:rsidR="00887060">
          <w:rPr>
            <w:rFonts w:asciiTheme="minorHAnsi" w:eastAsiaTheme="minorEastAsia" w:hAnsiTheme="minorHAnsi" w:cstheme="minorBidi"/>
            <w:noProof/>
            <w:szCs w:val="22"/>
            <w:lang w:eastAsia="en-AU"/>
          </w:rPr>
          <w:tab/>
        </w:r>
        <w:r w:rsidR="00887060" w:rsidRPr="00597616">
          <w:rPr>
            <w:rStyle w:val="Hyperlink"/>
            <w:noProof/>
          </w:rPr>
          <w:t>Changes to the Model Resulting from Accounting Standard Changes</w:t>
        </w:r>
        <w:r w:rsidR="00887060">
          <w:rPr>
            <w:noProof/>
            <w:webHidden/>
          </w:rPr>
          <w:tab/>
        </w:r>
        <w:r w:rsidR="00887060">
          <w:rPr>
            <w:noProof/>
            <w:webHidden/>
          </w:rPr>
          <w:fldChar w:fldCharType="begin"/>
        </w:r>
        <w:r w:rsidR="00887060">
          <w:rPr>
            <w:noProof/>
            <w:webHidden/>
          </w:rPr>
          <w:instrText xml:space="preserve"> PAGEREF _Toc98763000 \h </w:instrText>
        </w:r>
        <w:r w:rsidR="00887060">
          <w:rPr>
            <w:noProof/>
            <w:webHidden/>
          </w:rPr>
        </w:r>
        <w:r w:rsidR="00887060">
          <w:rPr>
            <w:noProof/>
            <w:webHidden/>
          </w:rPr>
          <w:fldChar w:fldCharType="separate"/>
        </w:r>
        <w:r w:rsidR="00C736E0">
          <w:rPr>
            <w:noProof/>
            <w:webHidden/>
          </w:rPr>
          <w:t>5</w:t>
        </w:r>
        <w:r w:rsidR="00887060">
          <w:rPr>
            <w:noProof/>
            <w:webHidden/>
          </w:rPr>
          <w:fldChar w:fldCharType="end"/>
        </w:r>
      </w:hyperlink>
    </w:p>
    <w:p w14:paraId="65980DC4" w14:textId="0402E0A1"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3001" w:history="1">
        <w:r w:rsidR="00887060" w:rsidRPr="00597616">
          <w:rPr>
            <w:rStyle w:val="Hyperlink"/>
            <w:noProof/>
            <w14:scene3d>
              <w14:camera w14:prst="orthographicFront"/>
              <w14:lightRig w14:rig="threePt" w14:dir="t">
                <w14:rot w14:lat="0" w14:lon="0" w14:rev="0"/>
              </w14:lightRig>
            </w14:scene3d>
          </w:rPr>
          <w:t>1.3.2</w:t>
        </w:r>
        <w:r w:rsidR="00887060">
          <w:rPr>
            <w:rFonts w:asciiTheme="minorHAnsi" w:eastAsiaTheme="minorEastAsia" w:hAnsiTheme="minorHAnsi" w:cstheme="minorBidi"/>
            <w:noProof/>
            <w:szCs w:val="22"/>
            <w:lang w:eastAsia="en-AU"/>
          </w:rPr>
          <w:tab/>
        </w:r>
        <w:r w:rsidR="00887060" w:rsidRPr="00597616">
          <w:rPr>
            <w:rStyle w:val="Hyperlink"/>
            <w:noProof/>
          </w:rPr>
          <w:t>Changes to the Model Resulting from Streamling and Decluttering</w:t>
        </w:r>
        <w:r w:rsidR="00887060">
          <w:rPr>
            <w:noProof/>
            <w:webHidden/>
          </w:rPr>
          <w:tab/>
        </w:r>
        <w:r w:rsidR="00887060">
          <w:rPr>
            <w:noProof/>
            <w:webHidden/>
          </w:rPr>
          <w:fldChar w:fldCharType="begin"/>
        </w:r>
        <w:r w:rsidR="00887060">
          <w:rPr>
            <w:noProof/>
            <w:webHidden/>
          </w:rPr>
          <w:instrText xml:space="preserve"> PAGEREF _Toc98763001 \h </w:instrText>
        </w:r>
        <w:r w:rsidR="00887060">
          <w:rPr>
            <w:noProof/>
            <w:webHidden/>
          </w:rPr>
        </w:r>
        <w:r w:rsidR="00887060">
          <w:rPr>
            <w:noProof/>
            <w:webHidden/>
          </w:rPr>
          <w:fldChar w:fldCharType="separate"/>
        </w:r>
        <w:r w:rsidR="00C736E0">
          <w:rPr>
            <w:noProof/>
            <w:webHidden/>
          </w:rPr>
          <w:t>5</w:t>
        </w:r>
        <w:r w:rsidR="00887060">
          <w:rPr>
            <w:noProof/>
            <w:webHidden/>
          </w:rPr>
          <w:fldChar w:fldCharType="end"/>
        </w:r>
      </w:hyperlink>
    </w:p>
    <w:p w14:paraId="1360A9B1" w14:textId="5740DCFA"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3008" w:history="1">
        <w:r w:rsidR="00887060" w:rsidRPr="00597616">
          <w:rPr>
            <w:rStyle w:val="Hyperlink"/>
            <w:noProof/>
          </w:rPr>
          <w:t>1.4</w:t>
        </w:r>
        <w:r w:rsidR="00887060">
          <w:rPr>
            <w:rFonts w:asciiTheme="minorHAnsi" w:eastAsiaTheme="minorEastAsia" w:hAnsiTheme="minorHAnsi" w:cstheme="minorBidi"/>
            <w:bCs w:val="0"/>
            <w:noProof/>
            <w:szCs w:val="22"/>
            <w:lang w:eastAsia="en-AU"/>
          </w:rPr>
          <w:tab/>
        </w:r>
        <w:r w:rsidR="00887060" w:rsidRPr="00597616">
          <w:rPr>
            <w:rStyle w:val="Hyperlink"/>
            <w:noProof/>
          </w:rPr>
          <w:t>Application</w:t>
        </w:r>
        <w:r w:rsidR="00887060">
          <w:rPr>
            <w:noProof/>
            <w:webHidden/>
          </w:rPr>
          <w:tab/>
        </w:r>
        <w:r w:rsidR="00887060">
          <w:rPr>
            <w:noProof/>
            <w:webHidden/>
          </w:rPr>
          <w:fldChar w:fldCharType="begin"/>
        </w:r>
        <w:r w:rsidR="00887060">
          <w:rPr>
            <w:noProof/>
            <w:webHidden/>
          </w:rPr>
          <w:instrText xml:space="preserve"> PAGEREF _Toc98763008 \h </w:instrText>
        </w:r>
        <w:r w:rsidR="00887060">
          <w:rPr>
            <w:noProof/>
            <w:webHidden/>
          </w:rPr>
        </w:r>
        <w:r w:rsidR="00887060">
          <w:rPr>
            <w:noProof/>
            <w:webHidden/>
          </w:rPr>
          <w:fldChar w:fldCharType="separate"/>
        </w:r>
        <w:r w:rsidR="00C736E0">
          <w:rPr>
            <w:noProof/>
            <w:webHidden/>
          </w:rPr>
          <w:t>8</w:t>
        </w:r>
        <w:r w:rsidR="00887060">
          <w:rPr>
            <w:noProof/>
            <w:webHidden/>
          </w:rPr>
          <w:fldChar w:fldCharType="end"/>
        </w:r>
      </w:hyperlink>
    </w:p>
    <w:p w14:paraId="7E5AAFB5" w14:textId="7BFF3890"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3009" w:history="1">
        <w:r w:rsidR="00887060" w:rsidRPr="00597616">
          <w:rPr>
            <w:rStyle w:val="Hyperlink"/>
            <w:noProof/>
          </w:rPr>
          <w:t>1.5</w:t>
        </w:r>
        <w:r w:rsidR="00887060">
          <w:rPr>
            <w:rFonts w:asciiTheme="minorHAnsi" w:eastAsiaTheme="minorEastAsia" w:hAnsiTheme="minorHAnsi" w:cstheme="minorBidi"/>
            <w:bCs w:val="0"/>
            <w:noProof/>
            <w:szCs w:val="22"/>
            <w:lang w:eastAsia="en-AU"/>
          </w:rPr>
          <w:tab/>
        </w:r>
        <w:r w:rsidR="00887060" w:rsidRPr="00597616">
          <w:rPr>
            <w:rStyle w:val="Hyperlink"/>
            <w:noProof/>
          </w:rPr>
          <w:t>Accounting Standards and Guidance Releases</w:t>
        </w:r>
        <w:r w:rsidR="00887060">
          <w:rPr>
            <w:noProof/>
            <w:webHidden/>
          </w:rPr>
          <w:tab/>
        </w:r>
        <w:r w:rsidR="00887060">
          <w:rPr>
            <w:noProof/>
            <w:webHidden/>
          </w:rPr>
          <w:fldChar w:fldCharType="begin"/>
        </w:r>
        <w:r w:rsidR="00887060">
          <w:rPr>
            <w:noProof/>
            <w:webHidden/>
          </w:rPr>
          <w:instrText xml:space="preserve"> PAGEREF _Toc98763009 \h </w:instrText>
        </w:r>
        <w:r w:rsidR="00887060">
          <w:rPr>
            <w:noProof/>
            <w:webHidden/>
          </w:rPr>
        </w:r>
        <w:r w:rsidR="00887060">
          <w:rPr>
            <w:noProof/>
            <w:webHidden/>
          </w:rPr>
          <w:fldChar w:fldCharType="separate"/>
        </w:r>
        <w:r w:rsidR="00C736E0">
          <w:rPr>
            <w:noProof/>
            <w:webHidden/>
          </w:rPr>
          <w:t>8</w:t>
        </w:r>
        <w:r w:rsidR="00887060">
          <w:rPr>
            <w:noProof/>
            <w:webHidden/>
          </w:rPr>
          <w:fldChar w:fldCharType="end"/>
        </w:r>
      </w:hyperlink>
    </w:p>
    <w:p w14:paraId="7813ACBC" w14:textId="29A54738"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3010" w:history="1">
        <w:r w:rsidR="00887060" w:rsidRPr="00597616">
          <w:rPr>
            <w:rStyle w:val="Hyperlink"/>
            <w:noProof/>
          </w:rPr>
          <w:t>1.6</w:t>
        </w:r>
        <w:r w:rsidR="00887060">
          <w:rPr>
            <w:rFonts w:asciiTheme="minorHAnsi" w:eastAsiaTheme="minorEastAsia" w:hAnsiTheme="minorHAnsi" w:cstheme="minorBidi"/>
            <w:bCs w:val="0"/>
            <w:noProof/>
            <w:szCs w:val="22"/>
            <w:lang w:eastAsia="en-AU"/>
          </w:rPr>
          <w:tab/>
        </w:r>
        <w:r w:rsidR="00887060" w:rsidRPr="00597616">
          <w:rPr>
            <w:rStyle w:val="Hyperlink"/>
            <w:noProof/>
          </w:rPr>
          <w:t>Adapting the Model to Individual Agency Requirements</w:t>
        </w:r>
        <w:r w:rsidR="00887060">
          <w:rPr>
            <w:noProof/>
            <w:webHidden/>
          </w:rPr>
          <w:tab/>
        </w:r>
        <w:r w:rsidR="00887060">
          <w:rPr>
            <w:noProof/>
            <w:webHidden/>
          </w:rPr>
          <w:fldChar w:fldCharType="begin"/>
        </w:r>
        <w:r w:rsidR="00887060">
          <w:rPr>
            <w:noProof/>
            <w:webHidden/>
          </w:rPr>
          <w:instrText xml:space="preserve"> PAGEREF _Toc98763010 \h </w:instrText>
        </w:r>
        <w:r w:rsidR="00887060">
          <w:rPr>
            <w:noProof/>
            <w:webHidden/>
          </w:rPr>
        </w:r>
        <w:r w:rsidR="00887060">
          <w:rPr>
            <w:noProof/>
            <w:webHidden/>
          </w:rPr>
          <w:fldChar w:fldCharType="separate"/>
        </w:r>
        <w:r w:rsidR="00C736E0">
          <w:rPr>
            <w:noProof/>
            <w:webHidden/>
          </w:rPr>
          <w:t>8</w:t>
        </w:r>
        <w:r w:rsidR="00887060">
          <w:rPr>
            <w:noProof/>
            <w:webHidden/>
          </w:rPr>
          <w:fldChar w:fldCharType="end"/>
        </w:r>
      </w:hyperlink>
    </w:p>
    <w:p w14:paraId="25D69D69" w14:textId="453B7AC7"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3011" w:history="1">
        <w:r w:rsidR="00887060" w:rsidRPr="00597616">
          <w:rPr>
            <w:rStyle w:val="Hyperlink"/>
            <w:noProof/>
            <w14:scene3d>
              <w14:camera w14:prst="orthographicFront"/>
              <w14:lightRig w14:rig="threePt" w14:dir="t">
                <w14:rot w14:lat="0" w14:lon="0" w14:rev="0"/>
              </w14:lightRig>
            </w14:scene3d>
          </w:rPr>
          <w:t>1.6.1</w:t>
        </w:r>
        <w:r w:rsidR="00887060">
          <w:rPr>
            <w:rFonts w:asciiTheme="minorHAnsi" w:eastAsiaTheme="minorEastAsia" w:hAnsiTheme="minorHAnsi" w:cstheme="minorBidi"/>
            <w:noProof/>
            <w:szCs w:val="22"/>
            <w:lang w:eastAsia="en-AU"/>
          </w:rPr>
          <w:tab/>
        </w:r>
        <w:r w:rsidR="00887060" w:rsidRPr="00597616">
          <w:rPr>
            <w:rStyle w:val="Hyperlink"/>
            <w:noProof/>
          </w:rPr>
          <w:t>Decluttering Financial Statements</w:t>
        </w:r>
        <w:r w:rsidR="00887060">
          <w:rPr>
            <w:noProof/>
            <w:webHidden/>
          </w:rPr>
          <w:tab/>
        </w:r>
        <w:r w:rsidR="00887060">
          <w:rPr>
            <w:noProof/>
            <w:webHidden/>
          </w:rPr>
          <w:fldChar w:fldCharType="begin"/>
        </w:r>
        <w:r w:rsidR="00887060">
          <w:rPr>
            <w:noProof/>
            <w:webHidden/>
          </w:rPr>
          <w:instrText xml:space="preserve"> PAGEREF _Toc98763011 \h </w:instrText>
        </w:r>
        <w:r w:rsidR="00887060">
          <w:rPr>
            <w:noProof/>
            <w:webHidden/>
          </w:rPr>
        </w:r>
        <w:r w:rsidR="00887060">
          <w:rPr>
            <w:noProof/>
            <w:webHidden/>
          </w:rPr>
          <w:fldChar w:fldCharType="separate"/>
        </w:r>
        <w:r w:rsidR="00C736E0">
          <w:rPr>
            <w:noProof/>
            <w:webHidden/>
          </w:rPr>
          <w:t>8</w:t>
        </w:r>
        <w:r w:rsidR="00887060">
          <w:rPr>
            <w:noProof/>
            <w:webHidden/>
          </w:rPr>
          <w:fldChar w:fldCharType="end"/>
        </w:r>
      </w:hyperlink>
    </w:p>
    <w:p w14:paraId="35619B63" w14:textId="1BF2F81A"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3012" w:history="1">
        <w:r w:rsidR="00887060" w:rsidRPr="00597616">
          <w:rPr>
            <w:rStyle w:val="Hyperlink"/>
            <w:noProof/>
            <w14:scene3d>
              <w14:camera w14:prst="orthographicFront"/>
              <w14:lightRig w14:rig="threePt" w14:dir="t">
                <w14:rot w14:lat="0" w14:lon="0" w14:rev="0"/>
              </w14:lightRig>
            </w14:scene3d>
          </w:rPr>
          <w:t>1.6.2</w:t>
        </w:r>
        <w:r w:rsidR="00887060">
          <w:rPr>
            <w:rFonts w:asciiTheme="minorHAnsi" w:eastAsiaTheme="minorEastAsia" w:hAnsiTheme="minorHAnsi" w:cstheme="minorBidi"/>
            <w:noProof/>
            <w:szCs w:val="22"/>
            <w:lang w:eastAsia="en-AU"/>
          </w:rPr>
          <w:tab/>
        </w:r>
        <w:r w:rsidR="00887060" w:rsidRPr="00597616">
          <w:rPr>
            <w:rStyle w:val="Hyperlink"/>
            <w:rFonts w:cs="Calibri"/>
            <w:noProof/>
          </w:rPr>
          <w:t>Presentation</w:t>
        </w:r>
        <w:r w:rsidR="00887060">
          <w:rPr>
            <w:noProof/>
            <w:webHidden/>
          </w:rPr>
          <w:tab/>
        </w:r>
        <w:r w:rsidR="00887060">
          <w:rPr>
            <w:noProof/>
            <w:webHidden/>
          </w:rPr>
          <w:fldChar w:fldCharType="begin"/>
        </w:r>
        <w:r w:rsidR="00887060">
          <w:rPr>
            <w:noProof/>
            <w:webHidden/>
          </w:rPr>
          <w:instrText xml:space="preserve"> PAGEREF _Toc98763012 \h </w:instrText>
        </w:r>
        <w:r w:rsidR="00887060">
          <w:rPr>
            <w:noProof/>
            <w:webHidden/>
          </w:rPr>
        </w:r>
        <w:r w:rsidR="00887060">
          <w:rPr>
            <w:noProof/>
            <w:webHidden/>
          </w:rPr>
          <w:fldChar w:fldCharType="separate"/>
        </w:r>
        <w:r w:rsidR="00C736E0">
          <w:rPr>
            <w:noProof/>
            <w:webHidden/>
          </w:rPr>
          <w:t>8</w:t>
        </w:r>
        <w:r w:rsidR="00887060">
          <w:rPr>
            <w:noProof/>
            <w:webHidden/>
          </w:rPr>
          <w:fldChar w:fldCharType="end"/>
        </w:r>
      </w:hyperlink>
    </w:p>
    <w:p w14:paraId="7C93016C" w14:textId="424DB7C7"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3013" w:history="1">
        <w:r w:rsidR="00887060" w:rsidRPr="00597616">
          <w:rPr>
            <w:rStyle w:val="Hyperlink"/>
            <w:noProof/>
            <w14:scene3d>
              <w14:camera w14:prst="orthographicFront"/>
              <w14:lightRig w14:rig="threePt" w14:dir="t">
                <w14:rot w14:lat="0" w14:lon="0" w14:rev="0"/>
              </w14:lightRig>
            </w14:scene3d>
          </w:rPr>
          <w:t>1.6.3</w:t>
        </w:r>
        <w:r w:rsidR="00887060">
          <w:rPr>
            <w:rFonts w:asciiTheme="minorHAnsi" w:eastAsiaTheme="minorEastAsia" w:hAnsiTheme="minorHAnsi" w:cstheme="minorBidi"/>
            <w:noProof/>
            <w:szCs w:val="22"/>
            <w:lang w:eastAsia="en-AU"/>
          </w:rPr>
          <w:tab/>
        </w:r>
        <w:r w:rsidR="00887060" w:rsidRPr="00597616">
          <w:rPr>
            <w:rStyle w:val="Hyperlink"/>
            <w:rFonts w:cs="Calibri"/>
            <w:noProof/>
          </w:rPr>
          <w:t>Note Disclosures</w:t>
        </w:r>
        <w:r w:rsidR="00887060">
          <w:rPr>
            <w:noProof/>
            <w:webHidden/>
          </w:rPr>
          <w:tab/>
        </w:r>
        <w:r w:rsidR="00887060">
          <w:rPr>
            <w:noProof/>
            <w:webHidden/>
          </w:rPr>
          <w:fldChar w:fldCharType="begin"/>
        </w:r>
        <w:r w:rsidR="00887060">
          <w:rPr>
            <w:noProof/>
            <w:webHidden/>
          </w:rPr>
          <w:instrText xml:space="preserve"> PAGEREF _Toc98763013 \h </w:instrText>
        </w:r>
        <w:r w:rsidR="00887060">
          <w:rPr>
            <w:noProof/>
            <w:webHidden/>
          </w:rPr>
        </w:r>
        <w:r w:rsidR="00887060">
          <w:rPr>
            <w:noProof/>
            <w:webHidden/>
          </w:rPr>
          <w:fldChar w:fldCharType="separate"/>
        </w:r>
        <w:r w:rsidR="00C736E0">
          <w:rPr>
            <w:noProof/>
            <w:webHidden/>
          </w:rPr>
          <w:t>9</w:t>
        </w:r>
        <w:r w:rsidR="00887060">
          <w:rPr>
            <w:noProof/>
            <w:webHidden/>
          </w:rPr>
          <w:fldChar w:fldCharType="end"/>
        </w:r>
      </w:hyperlink>
    </w:p>
    <w:p w14:paraId="2EAA91FC" w14:textId="45378C2C"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3014" w:history="1">
        <w:r w:rsidR="00887060" w:rsidRPr="00597616">
          <w:rPr>
            <w:rStyle w:val="Hyperlink"/>
            <w:noProof/>
            <w14:scene3d>
              <w14:camera w14:prst="orthographicFront"/>
              <w14:lightRig w14:rig="threePt" w14:dir="t">
                <w14:rot w14:lat="0" w14:lon="0" w14:rev="0"/>
              </w14:lightRig>
            </w14:scene3d>
          </w:rPr>
          <w:t>1.6.4</w:t>
        </w:r>
        <w:r w:rsidR="00887060">
          <w:rPr>
            <w:rFonts w:asciiTheme="minorHAnsi" w:eastAsiaTheme="minorEastAsia" w:hAnsiTheme="minorHAnsi" w:cstheme="minorBidi"/>
            <w:noProof/>
            <w:szCs w:val="22"/>
            <w:lang w:eastAsia="en-AU"/>
          </w:rPr>
          <w:tab/>
        </w:r>
        <w:r w:rsidR="00887060" w:rsidRPr="00597616">
          <w:rPr>
            <w:rStyle w:val="Hyperlink"/>
            <w:rFonts w:cs="Calibri"/>
            <w:noProof/>
          </w:rPr>
          <w:t>Comparative Figures for New Agencies</w:t>
        </w:r>
        <w:r w:rsidR="00887060">
          <w:rPr>
            <w:noProof/>
            <w:webHidden/>
          </w:rPr>
          <w:tab/>
        </w:r>
        <w:r w:rsidR="00887060">
          <w:rPr>
            <w:noProof/>
            <w:webHidden/>
          </w:rPr>
          <w:fldChar w:fldCharType="begin"/>
        </w:r>
        <w:r w:rsidR="00887060">
          <w:rPr>
            <w:noProof/>
            <w:webHidden/>
          </w:rPr>
          <w:instrText xml:space="preserve"> PAGEREF _Toc98763014 \h </w:instrText>
        </w:r>
        <w:r w:rsidR="00887060">
          <w:rPr>
            <w:noProof/>
            <w:webHidden/>
          </w:rPr>
        </w:r>
        <w:r w:rsidR="00887060">
          <w:rPr>
            <w:noProof/>
            <w:webHidden/>
          </w:rPr>
          <w:fldChar w:fldCharType="separate"/>
        </w:r>
        <w:r w:rsidR="00C736E0">
          <w:rPr>
            <w:noProof/>
            <w:webHidden/>
          </w:rPr>
          <w:t>9</w:t>
        </w:r>
        <w:r w:rsidR="00887060">
          <w:rPr>
            <w:noProof/>
            <w:webHidden/>
          </w:rPr>
          <w:fldChar w:fldCharType="end"/>
        </w:r>
      </w:hyperlink>
    </w:p>
    <w:p w14:paraId="60AF2CDD" w14:textId="243A7AF9"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3015" w:history="1">
        <w:r w:rsidR="00887060" w:rsidRPr="00597616">
          <w:rPr>
            <w:rStyle w:val="Hyperlink"/>
            <w:rFonts w:cs="Calibri"/>
            <w:noProof/>
          </w:rPr>
          <w:t>1.7</w:t>
        </w:r>
        <w:r w:rsidR="00887060">
          <w:rPr>
            <w:rFonts w:asciiTheme="minorHAnsi" w:eastAsiaTheme="minorEastAsia" w:hAnsiTheme="minorHAnsi" w:cstheme="minorBidi"/>
            <w:bCs w:val="0"/>
            <w:noProof/>
            <w:szCs w:val="22"/>
            <w:lang w:eastAsia="en-AU"/>
          </w:rPr>
          <w:tab/>
        </w:r>
        <w:r w:rsidR="00887060" w:rsidRPr="00597616">
          <w:rPr>
            <w:rStyle w:val="Hyperlink"/>
            <w:rFonts w:cs="Calibri"/>
            <w:noProof/>
          </w:rPr>
          <w:t>Consolidation</w:t>
        </w:r>
        <w:r w:rsidR="00887060">
          <w:rPr>
            <w:noProof/>
            <w:webHidden/>
          </w:rPr>
          <w:tab/>
        </w:r>
        <w:r w:rsidR="00887060">
          <w:rPr>
            <w:noProof/>
            <w:webHidden/>
          </w:rPr>
          <w:fldChar w:fldCharType="begin"/>
        </w:r>
        <w:r w:rsidR="00887060">
          <w:rPr>
            <w:noProof/>
            <w:webHidden/>
          </w:rPr>
          <w:instrText xml:space="preserve"> PAGEREF _Toc98763015 \h </w:instrText>
        </w:r>
        <w:r w:rsidR="00887060">
          <w:rPr>
            <w:noProof/>
            <w:webHidden/>
          </w:rPr>
        </w:r>
        <w:r w:rsidR="00887060">
          <w:rPr>
            <w:noProof/>
            <w:webHidden/>
          </w:rPr>
          <w:fldChar w:fldCharType="separate"/>
        </w:r>
        <w:r w:rsidR="00C736E0">
          <w:rPr>
            <w:noProof/>
            <w:webHidden/>
          </w:rPr>
          <w:t>9</w:t>
        </w:r>
        <w:r w:rsidR="00887060">
          <w:rPr>
            <w:noProof/>
            <w:webHidden/>
          </w:rPr>
          <w:fldChar w:fldCharType="end"/>
        </w:r>
      </w:hyperlink>
    </w:p>
    <w:p w14:paraId="3B58FC97" w14:textId="0D2B3F1A"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3016" w:history="1">
        <w:r w:rsidR="00887060" w:rsidRPr="00597616">
          <w:rPr>
            <w:rStyle w:val="Hyperlink"/>
            <w:rFonts w:cs="Calibri"/>
            <w:noProof/>
          </w:rPr>
          <w:t>1.8</w:t>
        </w:r>
        <w:r w:rsidR="00887060">
          <w:rPr>
            <w:rFonts w:asciiTheme="minorHAnsi" w:eastAsiaTheme="minorEastAsia" w:hAnsiTheme="minorHAnsi" w:cstheme="minorBidi"/>
            <w:bCs w:val="0"/>
            <w:noProof/>
            <w:szCs w:val="22"/>
            <w:lang w:eastAsia="en-AU"/>
          </w:rPr>
          <w:tab/>
        </w:r>
        <w:r w:rsidR="00887060" w:rsidRPr="00597616">
          <w:rPr>
            <w:rStyle w:val="Hyperlink"/>
            <w:rFonts w:cs="Calibri"/>
            <w:noProof/>
          </w:rPr>
          <w:t>Certification</w:t>
        </w:r>
        <w:r w:rsidR="00887060">
          <w:rPr>
            <w:noProof/>
            <w:webHidden/>
          </w:rPr>
          <w:tab/>
        </w:r>
        <w:r w:rsidR="00887060">
          <w:rPr>
            <w:noProof/>
            <w:webHidden/>
          </w:rPr>
          <w:fldChar w:fldCharType="begin"/>
        </w:r>
        <w:r w:rsidR="00887060">
          <w:rPr>
            <w:noProof/>
            <w:webHidden/>
          </w:rPr>
          <w:instrText xml:space="preserve"> PAGEREF _Toc98763016 \h </w:instrText>
        </w:r>
        <w:r w:rsidR="00887060">
          <w:rPr>
            <w:noProof/>
            <w:webHidden/>
          </w:rPr>
        </w:r>
        <w:r w:rsidR="00887060">
          <w:rPr>
            <w:noProof/>
            <w:webHidden/>
          </w:rPr>
          <w:fldChar w:fldCharType="separate"/>
        </w:r>
        <w:r w:rsidR="00C736E0">
          <w:rPr>
            <w:noProof/>
            <w:webHidden/>
          </w:rPr>
          <w:t>9</w:t>
        </w:r>
        <w:r w:rsidR="00887060">
          <w:rPr>
            <w:noProof/>
            <w:webHidden/>
          </w:rPr>
          <w:fldChar w:fldCharType="end"/>
        </w:r>
      </w:hyperlink>
    </w:p>
    <w:p w14:paraId="5FDF12AE" w14:textId="2E2D482A" w:rsidR="00887060" w:rsidRDefault="00D20569">
      <w:pPr>
        <w:pStyle w:val="TOC3"/>
        <w:tabs>
          <w:tab w:val="left" w:pos="1854"/>
          <w:tab w:val="right" w:leader="dot" w:pos="9629"/>
        </w:tabs>
        <w:rPr>
          <w:rFonts w:asciiTheme="minorHAnsi" w:eastAsiaTheme="minorEastAsia" w:hAnsiTheme="minorHAnsi" w:cstheme="minorBidi"/>
          <w:noProof/>
          <w:szCs w:val="22"/>
          <w:lang w:eastAsia="en-AU"/>
        </w:rPr>
      </w:pPr>
      <w:hyperlink w:anchor="_Toc98763017" w:history="1">
        <w:r w:rsidR="00887060" w:rsidRPr="00597616">
          <w:rPr>
            <w:rStyle w:val="Hyperlink"/>
            <w:noProof/>
            <w14:scene3d>
              <w14:camera w14:prst="orthographicFront"/>
              <w14:lightRig w14:rig="threePt" w14:dir="t">
                <w14:rot w14:lat="0" w14:lon="0" w14:rev="0"/>
              </w14:lightRig>
            </w14:scene3d>
          </w:rPr>
          <w:t>1.8.1</w:t>
        </w:r>
        <w:r w:rsidR="00887060">
          <w:rPr>
            <w:rFonts w:asciiTheme="minorHAnsi" w:eastAsiaTheme="minorEastAsia" w:hAnsiTheme="minorHAnsi" w:cstheme="minorBidi"/>
            <w:noProof/>
            <w:szCs w:val="22"/>
            <w:lang w:eastAsia="en-AU"/>
          </w:rPr>
          <w:tab/>
        </w:r>
        <w:r w:rsidR="00887060" w:rsidRPr="00597616">
          <w:rPr>
            <w:rStyle w:val="Hyperlink"/>
            <w:rFonts w:cs="Calibri"/>
            <w:noProof/>
          </w:rPr>
          <w:t>Independent Auditor’s Report</w:t>
        </w:r>
        <w:r w:rsidR="00887060">
          <w:rPr>
            <w:noProof/>
            <w:webHidden/>
          </w:rPr>
          <w:tab/>
        </w:r>
        <w:r w:rsidR="00887060">
          <w:rPr>
            <w:noProof/>
            <w:webHidden/>
          </w:rPr>
          <w:fldChar w:fldCharType="begin"/>
        </w:r>
        <w:r w:rsidR="00887060">
          <w:rPr>
            <w:noProof/>
            <w:webHidden/>
          </w:rPr>
          <w:instrText xml:space="preserve"> PAGEREF _Toc98763017 \h </w:instrText>
        </w:r>
        <w:r w:rsidR="00887060">
          <w:rPr>
            <w:noProof/>
            <w:webHidden/>
          </w:rPr>
        </w:r>
        <w:r w:rsidR="00887060">
          <w:rPr>
            <w:noProof/>
            <w:webHidden/>
          </w:rPr>
          <w:fldChar w:fldCharType="separate"/>
        </w:r>
        <w:r w:rsidR="00C736E0">
          <w:rPr>
            <w:noProof/>
            <w:webHidden/>
          </w:rPr>
          <w:t>9</w:t>
        </w:r>
        <w:r w:rsidR="00887060">
          <w:rPr>
            <w:noProof/>
            <w:webHidden/>
          </w:rPr>
          <w:fldChar w:fldCharType="end"/>
        </w:r>
      </w:hyperlink>
    </w:p>
    <w:p w14:paraId="0BDC97A6" w14:textId="2D69EA16" w:rsidR="00887060" w:rsidRDefault="00D20569">
      <w:pPr>
        <w:pStyle w:val="TOC2"/>
        <w:tabs>
          <w:tab w:val="left" w:pos="1440"/>
          <w:tab w:val="right" w:leader="dot" w:pos="9629"/>
        </w:tabs>
        <w:rPr>
          <w:rFonts w:asciiTheme="minorHAnsi" w:eastAsiaTheme="minorEastAsia" w:hAnsiTheme="minorHAnsi" w:cstheme="minorBidi"/>
          <w:bCs w:val="0"/>
          <w:noProof/>
          <w:szCs w:val="22"/>
          <w:lang w:eastAsia="en-AU"/>
        </w:rPr>
      </w:pPr>
      <w:hyperlink w:anchor="_Toc98763018" w:history="1">
        <w:r w:rsidR="00887060" w:rsidRPr="00597616">
          <w:rPr>
            <w:rStyle w:val="Hyperlink"/>
            <w:noProof/>
          </w:rPr>
          <w:t>1.9</w:t>
        </w:r>
        <w:r w:rsidR="00887060">
          <w:rPr>
            <w:rFonts w:asciiTheme="minorHAnsi" w:eastAsiaTheme="minorEastAsia" w:hAnsiTheme="minorHAnsi" w:cstheme="minorBidi"/>
            <w:bCs w:val="0"/>
            <w:noProof/>
            <w:szCs w:val="22"/>
            <w:lang w:eastAsia="en-AU"/>
          </w:rPr>
          <w:tab/>
        </w:r>
        <w:r w:rsidR="00887060" w:rsidRPr="00597616">
          <w:rPr>
            <w:rStyle w:val="Hyperlink"/>
            <w:noProof/>
          </w:rPr>
          <w:t>Submission Date for Financial Statements</w:t>
        </w:r>
        <w:r w:rsidR="00887060">
          <w:rPr>
            <w:noProof/>
            <w:webHidden/>
          </w:rPr>
          <w:tab/>
        </w:r>
        <w:r w:rsidR="00887060">
          <w:rPr>
            <w:noProof/>
            <w:webHidden/>
          </w:rPr>
          <w:fldChar w:fldCharType="begin"/>
        </w:r>
        <w:r w:rsidR="00887060">
          <w:rPr>
            <w:noProof/>
            <w:webHidden/>
          </w:rPr>
          <w:instrText xml:space="preserve"> PAGEREF _Toc98763018 \h </w:instrText>
        </w:r>
        <w:r w:rsidR="00887060">
          <w:rPr>
            <w:noProof/>
            <w:webHidden/>
          </w:rPr>
        </w:r>
        <w:r w:rsidR="00887060">
          <w:rPr>
            <w:noProof/>
            <w:webHidden/>
          </w:rPr>
          <w:fldChar w:fldCharType="separate"/>
        </w:r>
        <w:r w:rsidR="00C736E0">
          <w:rPr>
            <w:noProof/>
            <w:webHidden/>
          </w:rPr>
          <w:t>10</w:t>
        </w:r>
        <w:r w:rsidR="00887060">
          <w:rPr>
            <w:noProof/>
            <w:webHidden/>
          </w:rPr>
          <w:fldChar w:fldCharType="end"/>
        </w:r>
      </w:hyperlink>
    </w:p>
    <w:p w14:paraId="28B26724" w14:textId="448CF266" w:rsidR="00887060" w:rsidRDefault="00D20569">
      <w:pPr>
        <w:pStyle w:val="TOC1"/>
        <w:rPr>
          <w:rFonts w:asciiTheme="minorHAnsi" w:eastAsiaTheme="minorEastAsia" w:hAnsiTheme="minorHAnsi" w:cstheme="minorBidi"/>
          <w:b w:val="0"/>
          <w:bCs w:val="0"/>
          <w:noProof/>
          <w:color w:val="auto"/>
          <w:szCs w:val="22"/>
          <w:lang w:eastAsia="en-AU"/>
        </w:rPr>
      </w:pPr>
      <w:hyperlink w:anchor="_Toc98763019" w:history="1">
        <w:r w:rsidR="00887060" w:rsidRPr="00597616">
          <w:rPr>
            <w:rStyle w:val="Hyperlink"/>
            <w:rFonts w:cstheme="minorHAnsi"/>
            <w:noProof/>
          </w:rPr>
          <w:t>ACT MODEL FINANCIAL STATEMENTS</w:t>
        </w:r>
        <w:r w:rsidR="00887060">
          <w:rPr>
            <w:noProof/>
            <w:webHidden/>
          </w:rPr>
          <w:tab/>
        </w:r>
        <w:r w:rsidR="00887060">
          <w:rPr>
            <w:noProof/>
            <w:webHidden/>
          </w:rPr>
          <w:fldChar w:fldCharType="begin"/>
        </w:r>
        <w:r w:rsidR="00887060">
          <w:rPr>
            <w:noProof/>
            <w:webHidden/>
          </w:rPr>
          <w:instrText xml:space="preserve"> PAGEREF _Toc98763019 \h </w:instrText>
        </w:r>
        <w:r w:rsidR="00887060">
          <w:rPr>
            <w:noProof/>
            <w:webHidden/>
          </w:rPr>
        </w:r>
        <w:r w:rsidR="00887060">
          <w:rPr>
            <w:noProof/>
            <w:webHidden/>
          </w:rPr>
          <w:fldChar w:fldCharType="separate"/>
        </w:r>
        <w:r w:rsidR="00C736E0">
          <w:rPr>
            <w:noProof/>
            <w:webHidden/>
          </w:rPr>
          <w:t>11</w:t>
        </w:r>
        <w:r w:rsidR="00887060">
          <w:rPr>
            <w:noProof/>
            <w:webHidden/>
          </w:rPr>
          <w:fldChar w:fldCharType="end"/>
        </w:r>
      </w:hyperlink>
    </w:p>
    <w:p w14:paraId="5F2B8D85" w14:textId="0E605A8B" w:rsidR="00887060" w:rsidRDefault="00D20569">
      <w:pPr>
        <w:pStyle w:val="TOC1"/>
        <w:rPr>
          <w:rFonts w:asciiTheme="minorHAnsi" w:eastAsiaTheme="minorEastAsia" w:hAnsiTheme="minorHAnsi" w:cstheme="minorBidi"/>
          <w:b w:val="0"/>
          <w:bCs w:val="0"/>
          <w:noProof/>
          <w:color w:val="auto"/>
          <w:szCs w:val="22"/>
          <w:lang w:eastAsia="en-AU"/>
        </w:rPr>
      </w:pPr>
      <w:hyperlink w:anchor="_Toc98763020" w:history="1">
        <w:r w:rsidR="00887060" w:rsidRPr="00597616">
          <w:rPr>
            <w:rStyle w:val="Hyperlink"/>
            <w:noProof/>
          </w:rPr>
          <w:t>Independent Auditor’s Report</w:t>
        </w:r>
        <w:r w:rsidR="00887060">
          <w:rPr>
            <w:noProof/>
            <w:webHidden/>
          </w:rPr>
          <w:tab/>
        </w:r>
        <w:r w:rsidR="00887060">
          <w:rPr>
            <w:noProof/>
            <w:webHidden/>
          </w:rPr>
          <w:fldChar w:fldCharType="begin"/>
        </w:r>
        <w:r w:rsidR="00887060">
          <w:rPr>
            <w:noProof/>
            <w:webHidden/>
          </w:rPr>
          <w:instrText xml:space="preserve"> PAGEREF _Toc98763020 \h </w:instrText>
        </w:r>
        <w:r w:rsidR="00887060">
          <w:rPr>
            <w:noProof/>
            <w:webHidden/>
          </w:rPr>
        </w:r>
        <w:r w:rsidR="00887060">
          <w:rPr>
            <w:noProof/>
            <w:webHidden/>
          </w:rPr>
          <w:fldChar w:fldCharType="separate"/>
        </w:r>
        <w:r w:rsidR="00C736E0">
          <w:rPr>
            <w:noProof/>
            <w:webHidden/>
          </w:rPr>
          <w:t>12</w:t>
        </w:r>
        <w:r w:rsidR="00887060">
          <w:rPr>
            <w:noProof/>
            <w:webHidden/>
          </w:rPr>
          <w:fldChar w:fldCharType="end"/>
        </w:r>
      </w:hyperlink>
    </w:p>
    <w:p w14:paraId="24E0FF0F" w14:textId="026058AF" w:rsidR="00887060" w:rsidRDefault="00D20569">
      <w:pPr>
        <w:pStyle w:val="TOC1"/>
        <w:rPr>
          <w:rFonts w:asciiTheme="minorHAnsi" w:eastAsiaTheme="minorEastAsia" w:hAnsiTheme="minorHAnsi" w:cstheme="minorBidi"/>
          <w:b w:val="0"/>
          <w:bCs w:val="0"/>
          <w:noProof/>
          <w:color w:val="auto"/>
          <w:szCs w:val="22"/>
          <w:lang w:eastAsia="en-AU"/>
        </w:rPr>
      </w:pPr>
      <w:hyperlink w:anchor="_Toc98763021" w:history="1">
        <w:r w:rsidR="00887060" w:rsidRPr="00597616">
          <w:rPr>
            <w:rStyle w:val="Hyperlink"/>
            <w:noProof/>
          </w:rPr>
          <w:t>Statement of Responsibility</w:t>
        </w:r>
        <w:r w:rsidR="00887060">
          <w:rPr>
            <w:noProof/>
            <w:webHidden/>
          </w:rPr>
          <w:tab/>
        </w:r>
        <w:r w:rsidR="00887060">
          <w:rPr>
            <w:noProof/>
            <w:webHidden/>
          </w:rPr>
          <w:fldChar w:fldCharType="begin"/>
        </w:r>
        <w:r w:rsidR="00887060">
          <w:rPr>
            <w:noProof/>
            <w:webHidden/>
          </w:rPr>
          <w:instrText xml:space="preserve"> PAGEREF _Toc98763021 \h </w:instrText>
        </w:r>
        <w:r w:rsidR="00887060">
          <w:rPr>
            <w:noProof/>
            <w:webHidden/>
          </w:rPr>
        </w:r>
        <w:r w:rsidR="00887060">
          <w:rPr>
            <w:noProof/>
            <w:webHidden/>
          </w:rPr>
          <w:fldChar w:fldCharType="separate"/>
        </w:r>
        <w:r w:rsidR="00C736E0">
          <w:rPr>
            <w:noProof/>
            <w:webHidden/>
          </w:rPr>
          <w:t>13</w:t>
        </w:r>
        <w:r w:rsidR="00887060">
          <w:rPr>
            <w:noProof/>
            <w:webHidden/>
          </w:rPr>
          <w:fldChar w:fldCharType="end"/>
        </w:r>
      </w:hyperlink>
    </w:p>
    <w:p w14:paraId="66A5B0D2" w14:textId="67962308" w:rsidR="00887060" w:rsidRDefault="00D20569">
      <w:pPr>
        <w:pStyle w:val="TOC1"/>
        <w:rPr>
          <w:rFonts w:asciiTheme="minorHAnsi" w:eastAsiaTheme="minorEastAsia" w:hAnsiTheme="minorHAnsi" w:cstheme="minorBidi"/>
          <w:b w:val="0"/>
          <w:bCs w:val="0"/>
          <w:noProof/>
          <w:color w:val="auto"/>
          <w:szCs w:val="22"/>
          <w:lang w:eastAsia="en-AU"/>
        </w:rPr>
      </w:pPr>
      <w:hyperlink w:anchor="_Toc98763022" w:history="1">
        <w:r w:rsidR="00887060" w:rsidRPr="00597616">
          <w:rPr>
            <w:rStyle w:val="Hyperlink"/>
            <w:noProof/>
          </w:rPr>
          <w:t>Statement by the Chief Finance Officer</w:t>
        </w:r>
        <w:r w:rsidR="00887060">
          <w:rPr>
            <w:noProof/>
            <w:webHidden/>
          </w:rPr>
          <w:tab/>
        </w:r>
        <w:r w:rsidR="00887060">
          <w:rPr>
            <w:noProof/>
            <w:webHidden/>
          </w:rPr>
          <w:fldChar w:fldCharType="begin"/>
        </w:r>
        <w:r w:rsidR="00887060">
          <w:rPr>
            <w:noProof/>
            <w:webHidden/>
          </w:rPr>
          <w:instrText xml:space="preserve"> PAGEREF _Toc98763022 \h </w:instrText>
        </w:r>
        <w:r w:rsidR="00887060">
          <w:rPr>
            <w:noProof/>
            <w:webHidden/>
          </w:rPr>
        </w:r>
        <w:r w:rsidR="00887060">
          <w:rPr>
            <w:noProof/>
            <w:webHidden/>
          </w:rPr>
          <w:fldChar w:fldCharType="separate"/>
        </w:r>
        <w:r w:rsidR="00C736E0">
          <w:rPr>
            <w:noProof/>
            <w:webHidden/>
          </w:rPr>
          <w:t>14</w:t>
        </w:r>
        <w:r w:rsidR="00887060">
          <w:rPr>
            <w:noProof/>
            <w:webHidden/>
          </w:rPr>
          <w:fldChar w:fldCharType="end"/>
        </w:r>
      </w:hyperlink>
    </w:p>
    <w:p w14:paraId="28AEB115" w14:textId="77777777" w:rsidR="00887060" w:rsidRDefault="00887060">
      <w:pPr>
        <w:rPr>
          <w:rStyle w:val="Hyperlink"/>
          <w:b/>
          <w:bCs/>
          <w:noProof/>
          <w:szCs w:val="28"/>
        </w:rPr>
      </w:pPr>
      <w:r>
        <w:rPr>
          <w:rStyle w:val="Hyperlink"/>
          <w:noProof/>
        </w:rPr>
        <w:br w:type="page"/>
      </w:r>
    </w:p>
    <w:p w14:paraId="7D7D6857" w14:textId="50AFD1F1" w:rsidR="00887060" w:rsidRDefault="00D20569">
      <w:pPr>
        <w:pStyle w:val="TOC1"/>
        <w:rPr>
          <w:rFonts w:asciiTheme="minorHAnsi" w:eastAsiaTheme="minorEastAsia" w:hAnsiTheme="minorHAnsi" w:cstheme="minorBidi"/>
          <w:b w:val="0"/>
          <w:bCs w:val="0"/>
          <w:noProof/>
          <w:color w:val="auto"/>
          <w:szCs w:val="22"/>
          <w:lang w:eastAsia="en-AU"/>
        </w:rPr>
      </w:pPr>
      <w:hyperlink w:anchor="_Toc98763023" w:history="1">
        <w:r w:rsidR="00887060" w:rsidRPr="00597616">
          <w:rPr>
            <w:rStyle w:val="Hyperlink"/>
            <w:rFonts w:cstheme="minorHAnsi"/>
            <w:noProof/>
          </w:rPr>
          <w:t>CONTROLLED FINANCIAL STATEMENTS</w:t>
        </w:r>
        <w:r w:rsidR="00887060">
          <w:rPr>
            <w:noProof/>
            <w:webHidden/>
          </w:rPr>
          <w:tab/>
        </w:r>
        <w:r w:rsidR="00887060">
          <w:rPr>
            <w:noProof/>
            <w:webHidden/>
          </w:rPr>
          <w:fldChar w:fldCharType="begin"/>
        </w:r>
        <w:r w:rsidR="00887060">
          <w:rPr>
            <w:noProof/>
            <w:webHidden/>
          </w:rPr>
          <w:instrText xml:space="preserve"> PAGEREF _Toc98763023 \h </w:instrText>
        </w:r>
        <w:r w:rsidR="00887060">
          <w:rPr>
            <w:noProof/>
            <w:webHidden/>
          </w:rPr>
        </w:r>
        <w:r w:rsidR="00887060">
          <w:rPr>
            <w:noProof/>
            <w:webHidden/>
          </w:rPr>
          <w:fldChar w:fldCharType="separate"/>
        </w:r>
        <w:r w:rsidR="00C736E0">
          <w:rPr>
            <w:noProof/>
            <w:webHidden/>
          </w:rPr>
          <w:t>15</w:t>
        </w:r>
        <w:r w:rsidR="00887060">
          <w:rPr>
            <w:noProof/>
            <w:webHidden/>
          </w:rPr>
          <w:fldChar w:fldCharType="end"/>
        </w:r>
      </w:hyperlink>
    </w:p>
    <w:p w14:paraId="4F18BBB4" w14:textId="5A76D901" w:rsidR="00887060" w:rsidRDefault="00D20569">
      <w:pPr>
        <w:pStyle w:val="TOC1"/>
        <w:rPr>
          <w:rFonts w:asciiTheme="minorHAnsi" w:eastAsiaTheme="minorEastAsia" w:hAnsiTheme="minorHAnsi" w:cstheme="minorBidi"/>
          <w:b w:val="0"/>
          <w:bCs w:val="0"/>
          <w:noProof/>
          <w:color w:val="auto"/>
          <w:szCs w:val="22"/>
          <w:lang w:eastAsia="en-AU"/>
        </w:rPr>
      </w:pPr>
      <w:hyperlink w:anchor="_Toc98763024" w:history="1">
        <w:r w:rsidR="00887060" w:rsidRPr="00597616">
          <w:rPr>
            <w:rStyle w:val="Hyperlink"/>
            <w:rFonts w:cstheme="minorHAnsi"/>
            <w:noProof/>
          </w:rPr>
          <w:t>Operating Statement</w:t>
        </w:r>
        <w:r w:rsidR="00887060">
          <w:rPr>
            <w:noProof/>
            <w:webHidden/>
          </w:rPr>
          <w:tab/>
        </w:r>
        <w:r w:rsidR="00887060">
          <w:rPr>
            <w:noProof/>
            <w:webHidden/>
          </w:rPr>
          <w:fldChar w:fldCharType="begin"/>
        </w:r>
        <w:r w:rsidR="00887060">
          <w:rPr>
            <w:noProof/>
            <w:webHidden/>
          </w:rPr>
          <w:instrText xml:space="preserve"> PAGEREF _Toc98763024 \h </w:instrText>
        </w:r>
        <w:r w:rsidR="00887060">
          <w:rPr>
            <w:noProof/>
            <w:webHidden/>
          </w:rPr>
        </w:r>
        <w:r w:rsidR="00887060">
          <w:rPr>
            <w:noProof/>
            <w:webHidden/>
          </w:rPr>
          <w:fldChar w:fldCharType="separate"/>
        </w:r>
        <w:r w:rsidR="00C736E0">
          <w:rPr>
            <w:noProof/>
            <w:webHidden/>
          </w:rPr>
          <w:t>18</w:t>
        </w:r>
        <w:r w:rsidR="00887060">
          <w:rPr>
            <w:noProof/>
            <w:webHidden/>
          </w:rPr>
          <w:fldChar w:fldCharType="end"/>
        </w:r>
      </w:hyperlink>
    </w:p>
    <w:p w14:paraId="02E5CA07" w14:textId="08F421D5" w:rsidR="00887060" w:rsidRDefault="00D20569">
      <w:pPr>
        <w:pStyle w:val="TOC1"/>
        <w:rPr>
          <w:rFonts w:asciiTheme="minorHAnsi" w:eastAsiaTheme="minorEastAsia" w:hAnsiTheme="minorHAnsi" w:cstheme="minorBidi"/>
          <w:b w:val="0"/>
          <w:bCs w:val="0"/>
          <w:noProof/>
          <w:color w:val="auto"/>
          <w:szCs w:val="22"/>
          <w:lang w:eastAsia="en-AU"/>
        </w:rPr>
      </w:pPr>
      <w:hyperlink w:anchor="_Toc98763025" w:history="1">
        <w:r w:rsidR="00887060" w:rsidRPr="00597616">
          <w:rPr>
            <w:rStyle w:val="Hyperlink"/>
            <w:rFonts w:cstheme="minorHAnsi"/>
            <w:noProof/>
          </w:rPr>
          <w:t>Balance Sheet</w:t>
        </w:r>
        <w:r w:rsidR="00887060">
          <w:rPr>
            <w:noProof/>
            <w:webHidden/>
          </w:rPr>
          <w:tab/>
        </w:r>
        <w:r w:rsidR="00887060">
          <w:rPr>
            <w:noProof/>
            <w:webHidden/>
          </w:rPr>
          <w:fldChar w:fldCharType="begin"/>
        </w:r>
        <w:r w:rsidR="00887060">
          <w:rPr>
            <w:noProof/>
            <w:webHidden/>
          </w:rPr>
          <w:instrText xml:space="preserve"> PAGEREF _Toc98763025 \h </w:instrText>
        </w:r>
        <w:r w:rsidR="00887060">
          <w:rPr>
            <w:noProof/>
            <w:webHidden/>
          </w:rPr>
        </w:r>
        <w:r w:rsidR="00887060">
          <w:rPr>
            <w:noProof/>
            <w:webHidden/>
          </w:rPr>
          <w:fldChar w:fldCharType="separate"/>
        </w:r>
        <w:r w:rsidR="00C736E0">
          <w:rPr>
            <w:noProof/>
            <w:webHidden/>
          </w:rPr>
          <w:t>21</w:t>
        </w:r>
        <w:r w:rsidR="00887060">
          <w:rPr>
            <w:noProof/>
            <w:webHidden/>
          </w:rPr>
          <w:fldChar w:fldCharType="end"/>
        </w:r>
      </w:hyperlink>
    </w:p>
    <w:p w14:paraId="448415A8" w14:textId="7FF2AEEC" w:rsidR="00887060" w:rsidRDefault="00D20569">
      <w:pPr>
        <w:pStyle w:val="TOC1"/>
        <w:rPr>
          <w:rFonts w:asciiTheme="minorHAnsi" w:eastAsiaTheme="minorEastAsia" w:hAnsiTheme="minorHAnsi" w:cstheme="minorBidi"/>
          <w:b w:val="0"/>
          <w:bCs w:val="0"/>
          <w:noProof/>
          <w:color w:val="auto"/>
          <w:szCs w:val="22"/>
          <w:lang w:eastAsia="en-AU"/>
        </w:rPr>
      </w:pPr>
      <w:hyperlink w:anchor="_Toc98763026" w:history="1">
        <w:r w:rsidR="00887060" w:rsidRPr="00597616">
          <w:rPr>
            <w:rStyle w:val="Hyperlink"/>
            <w:rFonts w:cstheme="minorHAnsi"/>
            <w:noProof/>
          </w:rPr>
          <w:t>Statement of Changes in Equity</w:t>
        </w:r>
        <w:r w:rsidR="00887060">
          <w:rPr>
            <w:noProof/>
            <w:webHidden/>
          </w:rPr>
          <w:tab/>
        </w:r>
        <w:r w:rsidR="00887060">
          <w:rPr>
            <w:noProof/>
            <w:webHidden/>
          </w:rPr>
          <w:fldChar w:fldCharType="begin"/>
        </w:r>
        <w:r w:rsidR="00887060">
          <w:rPr>
            <w:noProof/>
            <w:webHidden/>
          </w:rPr>
          <w:instrText xml:space="preserve"> PAGEREF _Toc98763026 \h </w:instrText>
        </w:r>
        <w:r w:rsidR="00887060">
          <w:rPr>
            <w:noProof/>
            <w:webHidden/>
          </w:rPr>
        </w:r>
        <w:r w:rsidR="00887060">
          <w:rPr>
            <w:noProof/>
            <w:webHidden/>
          </w:rPr>
          <w:fldChar w:fldCharType="separate"/>
        </w:r>
        <w:r w:rsidR="00C736E0">
          <w:rPr>
            <w:noProof/>
            <w:webHidden/>
          </w:rPr>
          <w:t>24</w:t>
        </w:r>
        <w:r w:rsidR="00887060">
          <w:rPr>
            <w:noProof/>
            <w:webHidden/>
          </w:rPr>
          <w:fldChar w:fldCharType="end"/>
        </w:r>
      </w:hyperlink>
    </w:p>
    <w:p w14:paraId="1A3FA0D5" w14:textId="199FE663" w:rsidR="00887060" w:rsidRDefault="00D20569">
      <w:pPr>
        <w:pStyle w:val="TOC1"/>
        <w:rPr>
          <w:rFonts w:asciiTheme="minorHAnsi" w:eastAsiaTheme="minorEastAsia" w:hAnsiTheme="minorHAnsi" w:cstheme="minorBidi"/>
          <w:b w:val="0"/>
          <w:bCs w:val="0"/>
          <w:noProof/>
          <w:color w:val="auto"/>
          <w:szCs w:val="22"/>
          <w:lang w:eastAsia="en-AU"/>
        </w:rPr>
      </w:pPr>
      <w:hyperlink w:anchor="_Toc98763027" w:history="1">
        <w:r w:rsidR="00887060" w:rsidRPr="00597616">
          <w:rPr>
            <w:rStyle w:val="Hyperlink"/>
            <w:rFonts w:cstheme="minorHAnsi"/>
            <w:noProof/>
          </w:rPr>
          <w:t>Statement of Cash Flows</w:t>
        </w:r>
        <w:r w:rsidR="00887060">
          <w:rPr>
            <w:noProof/>
            <w:webHidden/>
          </w:rPr>
          <w:tab/>
        </w:r>
        <w:r w:rsidR="00887060">
          <w:rPr>
            <w:noProof/>
            <w:webHidden/>
          </w:rPr>
          <w:fldChar w:fldCharType="begin"/>
        </w:r>
        <w:r w:rsidR="00887060">
          <w:rPr>
            <w:noProof/>
            <w:webHidden/>
          </w:rPr>
          <w:instrText xml:space="preserve"> PAGEREF _Toc98763027 \h </w:instrText>
        </w:r>
        <w:r w:rsidR="00887060">
          <w:rPr>
            <w:noProof/>
            <w:webHidden/>
          </w:rPr>
        </w:r>
        <w:r w:rsidR="00887060">
          <w:rPr>
            <w:noProof/>
            <w:webHidden/>
          </w:rPr>
          <w:fldChar w:fldCharType="separate"/>
        </w:r>
        <w:r w:rsidR="00C736E0">
          <w:rPr>
            <w:noProof/>
            <w:webHidden/>
          </w:rPr>
          <w:t>27</w:t>
        </w:r>
        <w:r w:rsidR="00887060">
          <w:rPr>
            <w:noProof/>
            <w:webHidden/>
          </w:rPr>
          <w:fldChar w:fldCharType="end"/>
        </w:r>
      </w:hyperlink>
    </w:p>
    <w:p w14:paraId="10B7948B" w14:textId="4F6F3FFD" w:rsidR="00887060" w:rsidRDefault="00D20569">
      <w:pPr>
        <w:pStyle w:val="TOC1"/>
        <w:rPr>
          <w:rFonts w:asciiTheme="minorHAnsi" w:eastAsiaTheme="minorEastAsia" w:hAnsiTheme="minorHAnsi" w:cstheme="minorBidi"/>
          <w:b w:val="0"/>
          <w:bCs w:val="0"/>
          <w:noProof/>
          <w:color w:val="auto"/>
          <w:szCs w:val="22"/>
          <w:lang w:eastAsia="en-AU"/>
        </w:rPr>
      </w:pPr>
      <w:hyperlink w:anchor="_Toc98763029" w:history="1">
        <w:r w:rsidR="00887060" w:rsidRPr="00597616">
          <w:rPr>
            <w:rStyle w:val="Hyperlink"/>
            <w:rFonts w:cstheme="minorHAnsi"/>
            <w:noProof/>
          </w:rPr>
          <w:t>Statement of Appropriation</w:t>
        </w:r>
        <w:r w:rsidR="00887060">
          <w:rPr>
            <w:noProof/>
            <w:webHidden/>
          </w:rPr>
          <w:tab/>
        </w:r>
        <w:r w:rsidR="00887060">
          <w:rPr>
            <w:noProof/>
            <w:webHidden/>
          </w:rPr>
          <w:fldChar w:fldCharType="begin"/>
        </w:r>
        <w:r w:rsidR="00887060">
          <w:rPr>
            <w:noProof/>
            <w:webHidden/>
          </w:rPr>
          <w:instrText xml:space="preserve"> PAGEREF _Toc98763029 \h </w:instrText>
        </w:r>
        <w:r w:rsidR="00887060">
          <w:rPr>
            <w:noProof/>
            <w:webHidden/>
          </w:rPr>
        </w:r>
        <w:r w:rsidR="00887060">
          <w:rPr>
            <w:noProof/>
            <w:webHidden/>
          </w:rPr>
          <w:fldChar w:fldCharType="separate"/>
        </w:r>
        <w:r w:rsidR="00C736E0">
          <w:rPr>
            <w:noProof/>
            <w:webHidden/>
          </w:rPr>
          <w:t>31</w:t>
        </w:r>
        <w:r w:rsidR="00887060">
          <w:rPr>
            <w:noProof/>
            <w:webHidden/>
          </w:rPr>
          <w:fldChar w:fldCharType="end"/>
        </w:r>
      </w:hyperlink>
    </w:p>
    <w:p w14:paraId="03AC2E53" w14:textId="0978A21F" w:rsidR="00887060" w:rsidRDefault="00D20569">
      <w:pPr>
        <w:pStyle w:val="TOC1"/>
        <w:rPr>
          <w:rFonts w:asciiTheme="minorHAnsi" w:eastAsiaTheme="minorEastAsia" w:hAnsiTheme="minorHAnsi" w:cstheme="minorBidi"/>
          <w:b w:val="0"/>
          <w:bCs w:val="0"/>
          <w:noProof/>
          <w:color w:val="auto"/>
          <w:szCs w:val="22"/>
          <w:lang w:eastAsia="en-AU"/>
        </w:rPr>
      </w:pPr>
      <w:hyperlink w:anchor="_Toc98763031" w:history="1">
        <w:r w:rsidR="00887060" w:rsidRPr="00597616">
          <w:rPr>
            <w:rStyle w:val="Hyperlink"/>
            <w:rFonts w:cstheme="minorHAnsi"/>
            <w:noProof/>
          </w:rPr>
          <w:t>Operating Statement for Output Class 1 – Management of Land</w:t>
        </w:r>
        <w:r w:rsidR="00887060">
          <w:rPr>
            <w:noProof/>
            <w:webHidden/>
          </w:rPr>
          <w:tab/>
        </w:r>
        <w:r w:rsidR="00887060">
          <w:rPr>
            <w:noProof/>
            <w:webHidden/>
          </w:rPr>
          <w:fldChar w:fldCharType="begin"/>
        </w:r>
        <w:r w:rsidR="00887060">
          <w:rPr>
            <w:noProof/>
            <w:webHidden/>
          </w:rPr>
          <w:instrText xml:space="preserve"> PAGEREF _Toc98763031 \h </w:instrText>
        </w:r>
        <w:r w:rsidR="00887060">
          <w:rPr>
            <w:noProof/>
            <w:webHidden/>
          </w:rPr>
        </w:r>
        <w:r w:rsidR="00887060">
          <w:rPr>
            <w:noProof/>
            <w:webHidden/>
          </w:rPr>
          <w:fldChar w:fldCharType="separate"/>
        </w:r>
        <w:r w:rsidR="00C736E0">
          <w:rPr>
            <w:noProof/>
            <w:webHidden/>
          </w:rPr>
          <w:t>34</w:t>
        </w:r>
        <w:r w:rsidR="00887060">
          <w:rPr>
            <w:noProof/>
            <w:webHidden/>
          </w:rPr>
          <w:fldChar w:fldCharType="end"/>
        </w:r>
      </w:hyperlink>
    </w:p>
    <w:p w14:paraId="7F79D787" w14:textId="5EE8E493" w:rsidR="00887060" w:rsidRDefault="00D20569">
      <w:pPr>
        <w:pStyle w:val="TOC1"/>
        <w:rPr>
          <w:rFonts w:asciiTheme="minorHAnsi" w:eastAsiaTheme="minorEastAsia" w:hAnsiTheme="minorHAnsi" w:cstheme="minorBidi"/>
          <w:b w:val="0"/>
          <w:bCs w:val="0"/>
          <w:noProof/>
          <w:color w:val="auto"/>
          <w:szCs w:val="22"/>
          <w:lang w:eastAsia="en-AU"/>
        </w:rPr>
      </w:pPr>
      <w:hyperlink w:anchor="_Toc98763032" w:history="1">
        <w:r w:rsidR="00887060" w:rsidRPr="00597616">
          <w:rPr>
            <w:rStyle w:val="Hyperlink"/>
            <w:rFonts w:cstheme="minorHAnsi"/>
            <w:noProof/>
          </w:rPr>
          <w:t>Operating Statement for Output Class 2 – Municipal Services and Transportation</w:t>
        </w:r>
        <w:r w:rsidR="00887060">
          <w:rPr>
            <w:noProof/>
            <w:webHidden/>
          </w:rPr>
          <w:tab/>
        </w:r>
        <w:r w:rsidR="00887060">
          <w:rPr>
            <w:noProof/>
            <w:webHidden/>
          </w:rPr>
          <w:fldChar w:fldCharType="begin"/>
        </w:r>
        <w:r w:rsidR="00887060">
          <w:rPr>
            <w:noProof/>
            <w:webHidden/>
          </w:rPr>
          <w:instrText xml:space="preserve"> PAGEREF _Toc98763032 \h </w:instrText>
        </w:r>
        <w:r w:rsidR="00887060">
          <w:rPr>
            <w:noProof/>
            <w:webHidden/>
          </w:rPr>
        </w:r>
        <w:r w:rsidR="00887060">
          <w:rPr>
            <w:noProof/>
            <w:webHidden/>
          </w:rPr>
          <w:fldChar w:fldCharType="separate"/>
        </w:r>
        <w:r w:rsidR="00C736E0">
          <w:rPr>
            <w:noProof/>
            <w:webHidden/>
          </w:rPr>
          <w:t>35</w:t>
        </w:r>
        <w:r w:rsidR="00887060">
          <w:rPr>
            <w:noProof/>
            <w:webHidden/>
          </w:rPr>
          <w:fldChar w:fldCharType="end"/>
        </w:r>
      </w:hyperlink>
    </w:p>
    <w:p w14:paraId="004E4AC9" w14:textId="3808BE28" w:rsidR="00887060" w:rsidRDefault="00D20569">
      <w:pPr>
        <w:pStyle w:val="TOC1"/>
        <w:rPr>
          <w:rFonts w:asciiTheme="minorHAnsi" w:eastAsiaTheme="minorEastAsia" w:hAnsiTheme="minorHAnsi" w:cstheme="minorBidi"/>
          <w:b w:val="0"/>
          <w:bCs w:val="0"/>
          <w:noProof/>
          <w:color w:val="auto"/>
          <w:szCs w:val="22"/>
          <w:lang w:eastAsia="en-AU"/>
        </w:rPr>
      </w:pPr>
      <w:hyperlink w:anchor="_Toc98763033" w:history="1">
        <w:r w:rsidR="00887060" w:rsidRPr="00597616">
          <w:rPr>
            <w:rStyle w:val="Hyperlink"/>
            <w:rFonts w:cstheme="minorHAnsi"/>
            <w:noProof/>
          </w:rPr>
          <w:t>Operating Statement for Output Class 3 – Environment and Heritage</w:t>
        </w:r>
        <w:r w:rsidR="00887060">
          <w:rPr>
            <w:noProof/>
            <w:webHidden/>
          </w:rPr>
          <w:tab/>
        </w:r>
        <w:r w:rsidR="00887060">
          <w:rPr>
            <w:noProof/>
            <w:webHidden/>
          </w:rPr>
          <w:fldChar w:fldCharType="begin"/>
        </w:r>
        <w:r w:rsidR="00887060">
          <w:rPr>
            <w:noProof/>
            <w:webHidden/>
          </w:rPr>
          <w:instrText xml:space="preserve"> PAGEREF _Toc98763033 \h </w:instrText>
        </w:r>
        <w:r w:rsidR="00887060">
          <w:rPr>
            <w:noProof/>
            <w:webHidden/>
          </w:rPr>
        </w:r>
        <w:r w:rsidR="00887060">
          <w:rPr>
            <w:noProof/>
            <w:webHidden/>
          </w:rPr>
          <w:fldChar w:fldCharType="separate"/>
        </w:r>
        <w:r w:rsidR="00C736E0">
          <w:rPr>
            <w:noProof/>
            <w:webHidden/>
          </w:rPr>
          <w:t>36</w:t>
        </w:r>
        <w:r w:rsidR="00887060">
          <w:rPr>
            <w:noProof/>
            <w:webHidden/>
          </w:rPr>
          <w:fldChar w:fldCharType="end"/>
        </w:r>
      </w:hyperlink>
    </w:p>
    <w:p w14:paraId="5697B47F" w14:textId="73576679" w:rsidR="00887060" w:rsidRDefault="00D20569">
      <w:pPr>
        <w:pStyle w:val="TOC1"/>
        <w:rPr>
          <w:rFonts w:asciiTheme="minorHAnsi" w:eastAsiaTheme="minorEastAsia" w:hAnsiTheme="minorHAnsi" w:cstheme="minorBidi"/>
          <w:b w:val="0"/>
          <w:bCs w:val="0"/>
          <w:noProof/>
          <w:color w:val="auto"/>
          <w:szCs w:val="22"/>
          <w:lang w:eastAsia="en-AU"/>
        </w:rPr>
      </w:pPr>
      <w:hyperlink w:anchor="_Toc98763034" w:history="1">
        <w:r w:rsidR="00887060" w:rsidRPr="00597616">
          <w:rPr>
            <w:rStyle w:val="Hyperlink"/>
            <w:rFonts w:cstheme="minorHAnsi"/>
            <w:noProof/>
          </w:rPr>
          <w:t>Operating Statement for Output Class 4 – Courts and Tribunals</w:t>
        </w:r>
        <w:r w:rsidR="00887060">
          <w:rPr>
            <w:noProof/>
            <w:webHidden/>
          </w:rPr>
          <w:tab/>
        </w:r>
        <w:r w:rsidR="00887060">
          <w:rPr>
            <w:noProof/>
            <w:webHidden/>
          </w:rPr>
          <w:fldChar w:fldCharType="begin"/>
        </w:r>
        <w:r w:rsidR="00887060">
          <w:rPr>
            <w:noProof/>
            <w:webHidden/>
          </w:rPr>
          <w:instrText xml:space="preserve"> PAGEREF _Toc98763034 \h </w:instrText>
        </w:r>
        <w:r w:rsidR="00887060">
          <w:rPr>
            <w:noProof/>
            <w:webHidden/>
          </w:rPr>
        </w:r>
        <w:r w:rsidR="00887060">
          <w:rPr>
            <w:noProof/>
            <w:webHidden/>
          </w:rPr>
          <w:fldChar w:fldCharType="separate"/>
        </w:r>
        <w:r w:rsidR="00C736E0">
          <w:rPr>
            <w:noProof/>
            <w:webHidden/>
          </w:rPr>
          <w:t>37</w:t>
        </w:r>
        <w:r w:rsidR="00887060">
          <w:rPr>
            <w:noProof/>
            <w:webHidden/>
          </w:rPr>
          <w:fldChar w:fldCharType="end"/>
        </w:r>
      </w:hyperlink>
    </w:p>
    <w:p w14:paraId="14F43DD0" w14:textId="42110106" w:rsidR="00887060" w:rsidRDefault="00D20569">
      <w:pPr>
        <w:pStyle w:val="TOC1"/>
        <w:rPr>
          <w:rFonts w:asciiTheme="minorHAnsi" w:eastAsiaTheme="minorEastAsia" w:hAnsiTheme="minorHAnsi" w:cstheme="minorBidi"/>
          <w:b w:val="0"/>
          <w:bCs w:val="0"/>
          <w:noProof/>
          <w:color w:val="auto"/>
          <w:szCs w:val="22"/>
          <w:lang w:eastAsia="en-AU"/>
        </w:rPr>
      </w:pPr>
      <w:hyperlink w:anchor="_Toc98763035" w:history="1">
        <w:r w:rsidR="00887060" w:rsidRPr="00597616">
          <w:rPr>
            <w:rStyle w:val="Hyperlink"/>
            <w:rFonts w:cstheme="minorHAnsi"/>
            <w:noProof/>
          </w:rPr>
          <w:t>Disaggregated Disclosure of Assets and Liabilities [Directorates Only]</w:t>
        </w:r>
        <w:r w:rsidR="00887060">
          <w:rPr>
            <w:noProof/>
            <w:webHidden/>
          </w:rPr>
          <w:tab/>
        </w:r>
        <w:r w:rsidR="00887060">
          <w:rPr>
            <w:noProof/>
            <w:webHidden/>
          </w:rPr>
          <w:fldChar w:fldCharType="begin"/>
        </w:r>
        <w:r w:rsidR="00887060">
          <w:rPr>
            <w:noProof/>
            <w:webHidden/>
          </w:rPr>
          <w:instrText xml:space="preserve"> PAGEREF _Toc98763035 \h </w:instrText>
        </w:r>
        <w:r w:rsidR="00887060">
          <w:rPr>
            <w:noProof/>
            <w:webHidden/>
          </w:rPr>
        </w:r>
        <w:r w:rsidR="00887060">
          <w:rPr>
            <w:noProof/>
            <w:webHidden/>
          </w:rPr>
          <w:fldChar w:fldCharType="separate"/>
        </w:r>
        <w:r w:rsidR="00C736E0">
          <w:rPr>
            <w:noProof/>
            <w:webHidden/>
          </w:rPr>
          <w:t>39</w:t>
        </w:r>
        <w:r w:rsidR="00887060">
          <w:rPr>
            <w:noProof/>
            <w:webHidden/>
          </w:rPr>
          <w:fldChar w:fldCharType="end"/>
        </w:r>
      </w:hyperlink>
    </w:p>
    <w:p w14:paraId="78F415F9" w14:textId="262194CD" w:rsidR="00887060" w:rsidRDefault="00D20569">
      <w:pPr>
        <w:pStyle w:val="TOC1"/>
        <w:rPr>
          <w:rFonts w:asciiTheme="minorHAnsi" w:eastAsiaTheme="minorEastAsia" w:hAnsiTheme="minorHAnsi" w:cstheme="minorBidi"/>
          <w:b w:val="0"/>
          <w:bCs w:val="0"/>
          <w:noProof/>
          <w:color w:val="auto"/>
          <w:szCs w:val="22"/>
          <w:lang w:eastAsia="en-AU"/>
        </w:rPr>
      </w:pPr>
      <w:hyperlink w:anchor="_Toc98763036" w:history="1">
        <w:r w:rsidR="00887060" w:rsidRPr="00597616">
          <w:rPr>
            <w:rStyle w:val="Hyperlink"/>
            <w:rFonts w:cstheme="minorHAnsi"/>
            <w:noProof/>
          </w:rPr>
          <w:t>Note 1.  Objectives of ‘</w:t>
        </w:r>
        <w:r w:rsidR="00887060" w:rsidRPr="00597616">
          <w:rPr>
            <w:rStyle w:val="Hyperlink"/>
            <w:noProof/>
          </w:rPr>
          <w:t xml:space="preserve">Burley Griffin </w:t>
        </w:r>
        <w:r w:rsidR="00887060" w:rsidRPr="00597616">
          <w:rPr>
            <w:rStyle w:val="Hyperlink"/>
            <w:rFonts w:cstheme="minorHAnsi"/>
            <w:noProof/>
          </w:rPr>
          <w:t>Agency’</w:t>
        </w:r>
        <w:r w:rsidR="00887060">
          <w:rPr>
            <w:noProof/>
            <w:webHidden/>
          </w:rPr>
          <w:tab/>
        </w:r>
        <w:r w:rsidR="00887060">
          <w:rPr>
            <w:noProof/>
            <w:webHidden/>
          </w:rPr>
          <w:fldChar w:fldCharType="begin"/>
        </w:r>
        <w:r w:rsidR="00887060">
          <w:rPr>
            <w:noProof/>
            <w:webHidden/>
          </w:rPr>
          <w:instrText xml:space="preserve"> PAGEREF _Toc98763036 \h </w:instrText>
        </w:r>
        <w:r w:rsidR="00887060">
          <w:rPr>
            <w:noProof/>
            <w:webHidden/>
          </w:rPr>
        </w:r>
        <w:r w:rsidR="00887060">
          <w:rPr>
            <w:noProof/>
            <w:webHidden/>
          </w:rPr>
          <w:fldChar w:fldCharType="separate"/>
        </w:r>
        <w:r w:rsidR="00C736E0">
          <w:rPr>
            <w:noProof/>
            <w:webHidden/>
          </w:rPr>
          <w:t>43</w:t>
        </w:r>
        <w:r w:rsidR="00887060">
          <w:rPr>
            <w:noProof/>
            <w:webHidden/>
          </w:rPr>
          <w:fldChar w:fldCharType="end"/>
        </w:r>
      </w:hyperlink>
    </w:p>
    <w:p w14:paraId="46FBE140" w14:textId="13FB7D9F" w:rsidR="00887060" w:rsidRPr="00887060" w:rsidRDefault="00D20569" w:rsidP="00887060">
      <w:pPr>
        <w:pStyle w:val="TOC2"/>
        <w:tabs>
          <w:tab w:val="right" w:leader="dot" w:pos="9629"/>
        </w:tabs>
        <w:ind w:left="0" w:firstLine="0"/>
        <w:rPr>
          <w:rFonts w:asciiTheme="minorHAnsi" w:eastAsiaTheme="minorEastAsia" w:hAnsiTheme="minorHAnsi" w:cstheme="minorBidi"/>
          <w:b/>
          <w:bCs w:val="0"/>
          <w:noProof/>
          <w:szCs w:val="22"/>
          <w:lang w:eastAsia="en-AU"/>
        </w:rPr>
      </w:pPr>
      <w:hyperlink w:anchor="_Toc98763037" w:history="1">
        <w:r w:rsidR="00887060" w:rsidRPr="00887060">
          <w:rPr>
            <w:rStyle w:val="Hyperlink"/>
            <w:rFonts w:cstheme="minorHAnsi"/>
            <w:b/>
            <w:bCs w:val="0"/>
            <w:noProof/>
          </w:rPr>
          <w:t>Note 2. Basis of Preparation of the Financial Statements</w:t>
        </w:r>
        <w:r w:rsidR="00887060" w:rsidRPr="00887060">
          <w:rPr>
            <w:b/>
            <w:bCs w:val="0"/>
            <w:noProof/>
            <w:webHidden/>
          </w:rPr>
          <w:tab/>
        </w:r>
        <w:r w:rsidR="00887060" w:rsidRPr="00887060">
          <w:rPr>
            <w:b/>
            <w:bCs w:val="0"/>
            <w:noProof/>
            <w:webHidden/>
          </w:rPr>
          <w:fldChar w:fldCharType="begin"/>
        </w:r>
        <w:r w:rsidR="00887060" w:rsidRPr="00887060">
          <w:rPr>
            <w:b/>
            <w:bCs w:val="0"/>
            <w:noProof/>
            <w:webHidden/>
          </w:rPr>
          <w:instrText xml:space="preserve"> PAGEREF _Toc98763037 \h </w:instrText>
        </w:r>
        <w:r w:rsidR="00887060" w:rsidRPr="00887060">
          <w:rPr>
            <w:b/>
            <w:bCs w:val="0"/>
            <w:noProof/>
            <w:webHidden/>
          </w:rPr>
        </w:r>
        <w:r w:rsidR="00887060" w:rsidRPr="00887060">
          <w:rPr>
            <w:b/>
            <w:bCs w:val="0"/>
            <w:noProof/>
            <w:webHidden/>
          </w:rPr>
          <w:fldChar w:fldCharType="separate"/>
        </w:r>
        <w:r w:rsidR="00C736E0">
          <w:rPr>
            <w:b/>
            <w:bCs w:val="0"/>
            <w:noProof/>
            <w:webHidden/>
          </w:rPr>
          <w:t>43</w:t>
        </w:r>
        <w:r w:rsidR="00887060" w:rsidRPr="00887060">
          <w:rPr>
            <w:b/>
            <w:bCs w:val="0"/>
            <w:noProof/>
            <w:webHidden/>
          </w:rPr>
          <w:fldChar w:fldCharType="end"/>
        </w:r>
      </w:hyperlink>
    </w:p>
    <w:p w14:paraId="56E97982" w14:textId="058CFE85" w:rsidR="00887060" w:rsidRDefault="00D20569">
      <w:pPr>
        <w:pStyle w:val="TOC1"/>
        <w:rPr>
          <w:rFonts w:asciiTheme="minorHAnsi" w:eastAsiaTheme="minorEastAsia" w:hAnsiTheme="minorHAnsi" w:cstheme="minorBidi"/>
          <w:b w:val="0"/>
          <w:bCs w:val="0"/>
          <w:noProof/>
          <w:color w:val="auto"/>
          <w:szCs w:val="22"/>
          <w:lang w:eastAsia="en-AU"/>
        </w:rPr>
      </w:pPr>
      <w:hyperlink w:anchor="_Toc98763039" w:history="1">
        <w:r w:rsidR="00887060" w:rsidRPr="00597616">
          <w:rPr>
            <w:rStyle w:val="Hyperlink"/>
            <w:rFonts w:cstheme="minorHAnsi"/>
            <w:noProof/>
          </w:rPr>
          <w:t>Note 3.  Impact of Accounting Standards Issued But Yet to Be Applied</w:t>
        </w:r>
        <w:r w:rsidR="00887060">
          <w:rPr>
            <w:noProof/>
            <w:webHidden/>
          </w:rPr>
          <w:tab/>
        </w:r>
        <w:r w:rsidR="00887060">
          <w:rPr>
            <w:noProof/>
            <w:webHidden/>
          </w:rPr>
          <w:fldChar w:fldCharType="begin"/>
        </w:r>
        <w:r w:rsidR="00887060">
          <w:rPr>
            <w:noProof/>
            <w:webHidden/>
          </w:rPr>
          <w:instrText xml:space="preserve"> PAGEREF _Toc98763039 \h </w:instrText>
        </w:r>
        <w:r w:rsidR="00887060">
          <w:rPr>
            <w:noProof/>
            <w:webHidden/>
          </w:rPr>
        </w:r>
        <w:r w:rsidR="00887060">
          <w:rPr>
            <w:noProof/>
            <w:webHidden/>
          </w:rPr>
          <w:fldChar w:fldCharType="separate"/>
        </w:r>
        <w:r w:rsidR="00C736E0">
          <w:rPr>
            <w:noProof/>
            <w:webHidden/>
          </w:rPr>
          <w:t>46</w:t>
        </w:r>
        <w:r w:rsidR="00887060">
          <w:rPr>
            <w:noProof/>
            <w:webHidden/>
          </w:rPr>
          <w:fldChar w:fldCharType="end"/>
        </w:r>
      </w:hyperlink>
    </w:p>
    <w:p w14:paraId="55E75F7E" w14:textId="450DD26F" w:rsidR="00887060" w:rsidRDefault="00D20569">
      <w:pPr>
        <w:pStyle w:val="TOC1"/>
        <w:rPr>
          <w:rFonts w:asciiTheme="minorHAnsi" w:eastAsiaTheme="minorEastAsia" w:hAnsiTheme="minorHAnsi" w:cstheme="minorBidi"/>
          <w:b w:val="0"/>
          <w:bCs w:val="0"/>
          <w:noProof/>
          <w:color w:val="auto"/>
          <w:szCs w:val="22"/>
          <w:lang w:eastAsia="en-AU"/>
        </w:rPr>
      </w:pPr>
      <w:hyperlink w:anchor="_Toc98763040" w:history="1">
        <w:r w:rsidR="00887060" w:rsidRPr="00597616">
          <w:rPr>
            <w:rStyle w:val="Hyperlink"/>
            <w:rFonts w:cstheme="minorHAnsi"/>
            <w:noProof/>
          </w:rPr>
          <w:t>Note 4. Change in Accounting Policy and Accounting Estimates, and Correction of a Prior Period Error</w:t>
        </w:r>
        <w:r w:rsidR="00887060">
          <w:rPr>
            <w:noProof/>
            <w:webHidden/>
          </w:rPr>
          <w:tab/>
        </w:r>
        <w:r w:rsidR="00887060">
          <w:rPr>
            <w:noProof/>
            <w:webHidden/>
          </w:rPr>
          <w:fldChar w:fldCharType="begin"/>
        </w:r>
        <w:r w:rsidR="00887060">
          <w:rPr>
            <w:noProof/>
            <w:webHidden/>
          </w:rPr>
          <w:instrText xml:space="preserve"> PAGEREF _Toc98763040 \h </w:instrText>
        </w:r>
        <w:r w:rsidR="00887060">
          <w:rPr>
            <w:noProof/>
            <w:webHidden/>
          </w:rPr>
        </w:r>
        <w:r w:rsidR="00887060">
          <w:rPr>
            <w:noProof/>
            <w:webHidden/>
          </w:rPr>
          <w:fldChar w:fldCharType="separate"/>
        </w:r>
        <w:r w:rsidR="00C736E0">
          <w:rPr>
            <w:noProof/>
            <w:webHidden/>
          </w:rPr>
          <w:t>47</w:t>
        </w:r>
        <w:r w:rsidR="00887060">
          <w:rPr>
            <w:noProof/>
            <w:webHidden/>
          </w:rPr>
          <w:fldChar w:fldCharType="end"/>
        </w:r>
      </w:hyperlink>
    </w:p>
    <w:p w14:paraId="28475ADD" w14:textId="6D829D08" w:rsidR="00887060" w:rsidRDefault="00D20569">
      <w:pPr>
        <w:pStyle w:val="TOC1"/>
        <w:rPr>
          <w:rFonts w:asciiTheme="minorHAnsi" w:eastAsiaTheme="minorEastAsia" w:hAnsiTheme="minorHAnsi" w:cstheme="minorBidi"/>
          <w:b w:val="0"/>
          <w:bCs w:val="0"/>
          <w:noProof/>
          <w:color w:val="auto"/>
          <w:szCs w:val="22"/>
          <w:lang w:eastAsia="en-AU"/>
        </w:rPr>
      </w:pPr>
      <w:hyperlink w:anchor="_Toc98763041" w:history="1">
        <w:r w:rsidR="00887060" w:rsidRPr="00597616">
          <w:rPr>
            <w:rStyle w:val="Hyperlink"/>
            <w:rFonts w:cstheme="minorHAnsi"/>
            <w:noProof/>
          </w:rPr>
          <w:t>Income Notes</w:t>
        </w:r>
        <w:r w:rsidR="00887060">
          <w:rPr>
            <w:noProof/>
            <w:webHidden/>
          </w:rPr>
          <w:tab/>
        </w:r>
        <w:r w:rsidR="00887060">
          <w:rPr>
            <w:noProof/>
            <w:webHidden/>
          </w:rPr>
          <w:fldChar w:fldCharType="begin"/>
        </w:r>
        <w:r w:rsidR="00887060">
          <w:rPr>
            <w:noProof/>
            <w:webHidden/>
          </w:rPr>
          <w:instrText xml:space="preserve"> PAGEREF _Toc98763041 \h </w:instrText>
        </w:r>
        <w:r w:rsidR="00887060">
          <w:rPr>
            <w:noProof/>
            <w:webHidden/>
          </w:rPr>
        </w:r>
        <w:r w:rsidR="00887060">
          <w:rPr>
            <w:noProof/>
            <w:webHidden/>
          </w:rPr>
          <w:fldChar w:fldCharType="separate"/>
        </w:r>
        <w:r w:rsidR="00C736E0">
          <w:rPr>
            <w:noProof/>
            <w:webHidden/>
          </w:rPr>
          <w:t>48</w:t>
        </w:r>
        <w:r w:rsidR="00887060">
          <w:rPr>
            <w:noProof/>
            <w:webHidden/>
          </w:rPr>
          <w:fldChar w:fldCharType="end"/>
        </w:r>
      </w:hyperlink>
    </w:p>
    <w:p w14:paraId="54758DF3" w14:textId="176A0E1C" w:rsidR="00887060" w:rsidRDefault="00D20569">
      <w:pPr>
        <w:pStyle w:val="TOC1"/>
        <w:rPr>
          <w:rFonts w:asciiTheme="minorHAnsi" w:eastAsiaTheme="minorEastAsia" w:hAnsiTheme="minorHAnsi" w:cstheme="minorBidi"/>
          <w:b w:val="0"/>
          <w:bCs w:val="0"/>
          <w:noProof/>
          <w:color w:val="auto"/>
          <w:szCs w:val="22"/>
          <w:lang w:eastAsia="en-AU"/>
        </w:rPr>
      </w:pPr>
      <w:hyperlink w:anchor="_Toc98763042" w:history="1">
        <w:r w:rsidR="00887060" w:rsidRPr="00597616">
          <w:rPr>
            <w:rStyle w:val="Hyperlink"/>
            <w:rFonts w:cs="Calibri"/>
            <w:noProof/>
          </w:rPr>
          <w:t>Material Accounting Policies – Income</w:t>
        </w:r>
        <w:r w:rsidR="00887060">
          <w:rPr>
            <w:noProof/>
            <w:webHidden/>
          </w:rPr>
          <w:tab/>
        </w:r>
        <w:r w:rsidR="00887060">
          <w:rPr>
            <w:noProof/>
            <w:webHidden/>
          </w:rPr>
          <w:fldChar w:fldCharType="begin"/>
        </w:r>
        <w:r w:rsidR="00887060">
          <w:rPr>
            <w:noProof/>
            <w:webHidden/>
          </w:rPr>
          <w:instrText xml:space="preserve"> PAGEREF _Toc98763042 \h </w:instrText>
        </w:r>
        <w:r w:rsidR="00887060">
          <w:rPr>
            <w:noProof/>
            <w:webHidden/>
          </w:rPr>
        </w:r>
        <w:r w:rsidR="00887060">
          <w:rPr>
            <w:noProof/>
            <w:webHidden/>
          </w:rPr>
          <w:fldChar w:fldCharType="separate"/>
        </w:r>
        <w:r w:rsidR="00C736E0">
          <w:rPr>
            <w:noProof/>
            <w:webHidden/>
          </w:rPr>
          <w:t>48</w:t>
        </w:r>
        <w:r w:rsidR="00887060">
          <w:rPr>
            <w:noProof/>
            <w:webHidden/>
          </w:rPr>
          <w:fldChar w:fldCharType="end"/>
        </w:r>
      </w:hyperlink>
    </w:p>
    <w:p w14:paraId="3CD38FED" w14:textId="16B614E1" w:rsidR="00887060" w:rsidRDefault="00D20569">
      <w:pPr>
        <w:pStyle w:val="TOC1"/>
        <w:rPr>
          <w:rFonts w:asciiTheme="minorHAnsi" w:eastAsiaTheme="minorEastAsia" w:hAnsiTheme="minorHAnsi" w:cstheme="minorBidi"/>
          <w:b w:val="0"/>
          <w:bCs w:val="0"/>
          <w:noProof/>
          <w:color w:val="auto"/>
          <w:szCs w:val="22"/>
          <w:lang w:eastAsia="en-AU"/>
        </w:rPr>
      </w:pPr>
      <w:hyperlink w:anchor="_Toc98763043" w:history="1">
        <w:r w:rsidR="00887060" w:rsidRPr="00597616">
          <w:rPr>
            <w:rStyle w:val="Hyperlink"/>
            <w:rFonts w:cs="Calibri"/>
            <w:noProof/>
          </w:rPr>
          <w:t>Income Recognition</w:t>
        </w:r>
        <w:r w:rsidR="00887060">
          <w:rPr>
            <w:noProof/>
            <w:webHidden/>
          </w:rPr>
          <w:tab/>
        </w:r>
        <w:r w:rsidR="00887060">
          <w:rPr>
            <w:noProof/>
            <w:webHidden/>
          </w:rPr>
          <w:fldChar w:fldCharType="begin"/>
        </w:r>
        <w:r w:rsidR="00887060">
          <w:rPr>
            <w:noProof/>
            <w:webHidden/>
          </w:rPr>
          <w:instrText xml:space="preserve"> PAGEREF _Toc98763043 \h </w:instrText>
        </w:r>
        <w:r w:rsidR="00887060">
          <w:rPr>
            <w:noProof/>
            <w:webHidden/>
          </w:rPr>
        </w:r>
        <w:r w:rsidR="00887060">
          <w:rPr>
            <w:noProof/>
            <w:webHidden/>
          </w:rPr>
          <w:fldChar w:fldCharType="separate"/>
        </w:r>
        <w:r w:rsidR="00C736E0">
          <w:rPr>
            <w:noProof/>
            <w:webHidden/>
          </w:rPr>
          <w:t>48</w:t>
        </w:r>
        <w:r w:rsidR="00887060">
          <w:rPr>
            <w:noProof/>
            <w:webHidden/>
          </w:rPr>
          <w:fldChar w:fldCharType="end"/>
        </w:r>
      </w:hyperlink>
    </w:p>
    <w:p w14:paraId="1B45391D" w14:textId="0E9BAAFD" w:rsidR="00887060" w:rsidRDefault="00D20569">
      <w:pPr>
        <w:pStyle w:val="TOC1"/>
        <w:rPr>
          <w:rFonts w:asciiTheme="minorHAnsi" w:eastAsiaTheme="minorEastAsia" w:hAnsiTheme="minorHAnsi" w:cstheme="minorBidi"/>
          <w:b w:val="0"/>
          <w:bCs w:val="0"/>
          <w:noProof/>
          <w:color w:val="auto"/>
          <w:szCs w:val="22"/>
          <w:lang w:eastAsia="en-AU"/>
        </w:rPr>
      </w:pPr>
      <w:hyperlink w:anchor="_Toc98763044" w:history="1">
        <w:r w:rsidR="00887060" w:rsidRPr="00597616">
          <w:rPr>
            <w:rStyle w:val="Hyperlink"/>
            <w:rFonts w:cstheme="minorHAnsi"/>
            <w:noProof/>
          </w:rPr>
          <w:t>Note 5. Sale</w:t>
        </w:r>
        <w:r w:rsidR="00887060">
          <w:rPr>
            <w:rStyle w:val="Hyperlink"/>
            <w:rFonts w:cstheme="minorHAnsi"/>
            <w:noProof/>
          </w:rPr>
          <w:t>s</w:t>
        </w:r>
        <w:r w:rsidR="00887060" w:rsidRPr="00597616">
          <w:rPr>
            <w:rStyle w:val="Hyperlink"/>
            <w:rFonts w:cstheme="minorHAnsi"/>
            <w:noProof/>
          </w:rPr>
          <w:t xml:space="preserve"> of Goods and Services from Contracts with Customers</w:t>
        </w:r>
        <w:r w:rsidR="00887060">
          <w:rPr>
            <w:noProof/>
            <w:webHidden/>
          </w:rPr>
          <w:tab/>
        </w:r>
        <w:r w:rsidR="00887060">
          <w:rPr>
            <w:noProof/>
            <w:webHidden/>
          </w:rPr>
          <w:fldChar w:fldCharType="begin"/>
        </w:r>
        <w:r w:rsidR="00887060">
          <w:rPr>
            <w:noProof/>
            <w:webHidden/>
          </w:rPr>
          <w:instrText xml:space="preserve"> PAGEREF _Toc98763044 \h </w:instrText>
        </w:r>
        <w:r w:rsidR="00887060">
          <w:rPr>
            <w:noProof/>
            <w:webHidden/>
          </w:rPr>
        </w:r>
        <w:r w:rsidR="00887060">
          <w:rPr>
            <w:noProof/>
            <w:webHidden/>
          </w:rPr>
          <w:fldChar w:fldCharType="separate"/>
        </w:r>
        <w:r w:rsidR="00C736E0">
          <w:rPr>
            <w:noProof/>
            <w:webHidden/>
          </w:rPr>
          <w:t>49</w:t>
        </w:r>
        <w:r w:rsidR="00887060">
          <w:rPr>
            <w:noProof/>
            <w:webHidden/>
          </w:rPr>
          <w:fldChar w:fldCharType="end"/>
        </w:r>
      </w:hyperlink>
    </w:p>
    <w:p w14:paraId="31F78964" w14:textId="3C6CF4C8" w:rsidR="00887060" w:rsidRDefault="00D20569">
      <w:pPr>
        <w:pStyle w:val="TOC1"/>
        <w:rPr>
          <w:rFonts w:asciiTheme="minorHAnsi" w:eastAsiaTheme="minorEastAsia" w:hAnsiTheme="minorHAnsi" w:cstheme="minorBidi"/>
          <w:b w:val="0"/>
          <w:bCs w:val="0"/>
          <w:noProof/>
          <w:color w:val="auto"/>
          <w:szCs w:val="22"/>
          <w:lang w:eastAsia="en-AU"/>
        </w:rPr>
      </w:pPr>
      <w:hyperlink w:anchor="_Toc98763064" w:history="1">
        <w:r w:rsidR="00887060" w:rsidRPr="00597616">
          <w:rPr>
            <w:rStyle w:val="Hyperlink"/>
            <w:noProof/>
          </w:rPr>
          <w:t>Note 6.  Grants and contributions</w:t>
        </w:r>
        <w:r w:rsidR="00887060" w:rsidRPr="00597616">
          <w:rPr>
            <w:rStyle w:val="Hyperlink"/>
            <w:rFonts w:cs="Calibri"/>
            <w:noProof/>
          </w:rPr>
          <w:t xml:space="preserve"> Revenue</w:t>
        </w:r>
        <w:r w:rsidR="00887060">
          <w:rPr>
            <w:noProof/>
            <w:webHidden/>
          </w:rPr>
          <w:tab/>
        </w:r>
        <w:r w:rsidR="00887060">
          <w:rPr>
            <w:noProof/>
            <w:webHidden/>
          </w:rPr>
          <w:fldChar w:fldCharType="begin"/>
        </w:r>
        <w:r w:rsidR="00887060">
          <w:rPr>
            <w:noProof/>
            <w:webHidden/>
          </w:rPr>
          <w:instrText xml:space="preserve"> PAGEREF _Toc98763064 \h </w:instrText>
        </w:r>
        <w:r w:rsidR="00887060">
          <w:rPr>
            <w:noProof/>
            <w:webHidden/>
          </w:rPr>
        </w:r>
        <w:r w:rsidR="00887060">
          <w:rPr>
            <w:noProof/>
            <w:webHidden/>
          </w:rPr>
          <w:fldChar w:fldCharType="separate"/>
        </w:r>
        <w:r w:rsidR="00C736E0">
          <w:rPr>
            <w:noProof/>
            <w:webHidden/>
          </w:rPr>
          <w:t>53</w:t>
        </w:r>
        <w:r w:rsidR="00887060">
          <w:rPr>
            <w:noProof/>
            <w:webHidden/>
          </w:rPr>
          <w:fldChar w:fldCharType="end"/>
        </w:r>
      </w:hyperlink>
    </w:p>
    <w:p w14:paraId="36F2960F" w14:textId="419562CD" w:rsidR="00887060" w:rsidRDefault="00D20569">
      <w:pPr>
        <w:pStyle w:val="TOC1"/>
        <w:rPr>
          <w:rFonts w:asciiTheme="minorHAnsi" w:eastAsiaTheme="minorEastAsia" w:hAnsiTheme="minorHAnsi" w:cstheme="minorBidi"/>
          <w:b w:val="0"/>
          <w:bCs w:val="0"/>
          <w:noProof/>
          <w:color w:val="auto"/>
          <w:szCs w:val="22"/>
          <w:lang w:eastAsia="en-AU"/>
        </w:rPr>
      </w:pPr>
      <w:hyperlink w:anchor="_Toc98763070" w:history="1">
        <w:r w:rsidR="00887060" w:rsidRPr="00597616">
          <w:rPr>
            <w:rStyle w:val="Hyperlink"/>
            <w:noProof/>
          </w:rPr>
          <w:t>Note 7.  Investment and Interest Revenue</w:t>
        </w:r>
        <w:r w:rsidR="00887060">
          <w:rPr>
            <w:noProof/>
            <w:webHidden/>
          </w:rPr>
          <w:tab/>
        </w:r>
        <w:r w:rsidR="00887060">
          <w:rPr>
            <w:noProof/>
            <w:webHidden/>
          </w:rPr>
          <w:fldChar w:fldCharType="begin"/>
        </w:r>
        <w:r w:rsidR="00887060">
          <w:rPr>
            <w:noProof/>
            <w:webHidden/>
          </w:rPr>
          <w:instrText xml:space="preserve"> PAGEREF _Toc98763070 \h </w:instrText>
        </w:r>
        <w:r w:rsidR="00887060">
          <w:rPr>
            <w:noProof/>
            <w:webHidden/>
          </w:rPr>
        </w:r>
        <w:r w:rsidR="00887060">
          <w:rPr>
            <w:noProof/>
            <w:webHidden/>
          </w:rPr>
          <w:fldChar w:fldCharType="separate"/>
        </w:r>
        <w:r w:rsidR="00C736E0">
          <w:rPr>
            <w:noProof/>
            <w:webHidden/>
          </w:rPr>
          <w:t>56</w:t>
        </w:r>
        <w:r w:rsidR="00887060">
          <w:rPr>
            <w:noProof/>
            <w:webHidden/>
          </w:rPr>
          <w:fldChar w:fldCharType="end"/>
        </w:r>
      </w:hyperlink>
    </w:p>
    <w:p w14:paraId="0FAE8CF9" w14:textId="57EC22D8" w:rsidR="00887060" w:rsidRDefault="00D20569">
      <w:pPr>
        <w:pStyle w:val="TOC1"/>
        <w:rPr>
          <w:rFonts w:asciiTheme="minorHAnsi" w:eastAsiaTheme="minorEastAsia" w:hAnsiTheme="minorHAnsi" w:cstheme="minorBidi"/>
          <w:b w:val="0"/>
          <w:bCs w:val="0"/>
          <w:noProof/>
          <w:color w:val="auto"/>
          <w:szCs w:val="22"/>
          <w:lang w:eastAsia="en-AU"/>
        </w:rPr>
      </w:pPr>
      <w:hyperlink w:anchor="_Toc98763073" w:history="1">
        <w:r w:rsidR="00887060" w:rsidRPr="00597616">
          <w:rPr>
            <w:rStyle w:val="Hyperlink"/>
            <w:noProof/>
          </w:rPr>
          <w:t>Note 8.  Gains from Disposals, DeRecognition and ReMeasurement of Assets</w:t>
        </w:r>
        <w:r w:rsidR="00887060">
          <w:rPr>
            <w:noProof/>
            <w:webHidden/>
          </w:rPr>
          <w:tab/>
        </w:r>
        <w:r w:rsidR="00887060">
          <w:rPr>
            <w:noProof/>
            <w:webHidden/>
          </w:rPr>
          <w:fldChar w:fldCharType="begin"/>
        </w:r>
        <w:r w:rsidR="00887060">
          <w:rPr>
            <w:noProof/>
            <w:webHidden/>
          </w:rPr>
          <w:instrText xml:space="preserve"> PAGEREF _Toc98763073 \h </w:instrText>
        </w:r>
        <w:r w:rsidR="00887060">
          <w:rPr>
            <w:noProof/>
            <w:webHidden/>
          </w:rPr>
        </w:r>
        <w:r w:rsidR="00887060">
          <w:rPr>
            <w:noProof/>
            <w:webHidden/>
          </w:rPr>
          <w:fldChar w:fldCharType="separate"/>
        </w:r>
        <w:r w:rsidR="00C736E0">
          <w:rPr>
            <w:noProof/>
            <w:webHidden/>
          </w:rPr>
          <w:t>58</w:t>
        </w:r>
        <w:r w:rsidR="00887060">
          <w:rPr>
            <w:noProof/>
            <w:webHidden/>
          </w:rPr>
          <w:fldChar w:fldCharType="end"/>
        </w:r>
      </w:hyperlink>
    </w:p>
    <w:p w14:paraId="3EEAD0D1" w14:textId="6ED7B587" w:rsidR="00887060" w:rsidRDefault="00D20569">
      <w:pPr>
        <w:pStyle w:val="TOC1"/>
        <w:rPr>
          <w:rFonts w:asciiTheme="minorHAnsi" w:eastAsiaTheme="minorEastAsia" w:hAnsiTheme="minorHAnsi" w:cstheme="minorBidi"/>
          <w:b w:val="0"/>
          <w:bCs w:val="0"/>
          <w:noProof/>
          <w:color w:val="auto"/>
          <w:szCs w:val="22"/>
          <w:lang w:eastAsia="en-AU"/>
        </w:rPr>
      </w:pPr>
      <w:hyperlink w:anchor="_Toc98763077" w:history="1">
        <w:r w:rsidR="00887060" w:rsidRPr="00597616">
          <w:rPr>
            <w:rStyle w:val="Hyperlink"/>
            <w:noProof/>
          </w:rPr>
          <w:t>Note 9.  Other Income</w:t>
        </w:r>
        <w:r w:rsidR="00887060">
          <w:rPr>
            <w:noProof/>
            <w:webHidden/>
          </w:rPr>
          <w:tab/>
        </w:r>
        <w:r w:rsidR="00887060">
          <w:rPr>
            <w:noProof/>
            <w:webHidden/>
          </w:rPr>
          <w:fldChar w:fldCharType="begin"/>
        </w:r>
        <w:r w:rsidR="00887060">
          <w:rPr>
            <w:noProof/>
            <w:webHidden/>
          </w:rPr>
          <w:instrText xml:space="preserve"> PAGEREF _Toc98763077 \h </w:instrText>
        </w:r>
        <w:r w:rsidR="00887060">
          <w:rPr>
            <w:noProof/>
            <w:webHidden/>
          </w:rPr>
        </w:r>
        <w:r w:rsidR="00887060">
          <w:rPr>
            <w:noProof/>
            <w:webHidden/>
          </w:rPr>
          <w:fldChar w:fldCharType="separate"/>
        </w:r>
        <w:r w:rsidR="00C736E0">
          <w:rPr>
            <w:noProof/>
            <w:webHidden/>
          </w:rPr>
          <w:t>59</w:t>
        </w:r>
        <w:r w:rsidR="00887060">
          <w:rPr>
            <w:noProof/>
            <w:webHidden/>
          </w:rPr>
          <w:fldChar w:fldCharType="end"/>
        </w:r>
      </w:hyperlink>
    </w:p>
    <w:p w14:paraId="584BB8E5" w14:textId="3819AC5C" w:rsidR="00887060" w:rsidRPr="00887060" w:rsidRDefault="00D20569">
      <w:pPr>
        <w:pStyle w:val="TOC1"/>
        <w:rPr>
          <w:rStyle w:val="Hyperlink"/>
          <w:noProof/>
        </w:rPr>
      </w:pPr>
      <w:hyperlink w:anchor="_Toc98763083" w:history="1">
        <w:r w:rsidR="00887060" w:rsidRPr="00887060">
          <w:rPr>
            <w:rStyle w:val="Hyperlink"/>
            <w:noProof/>
          </w:rPr>
          <w:t>Note 10.  Employee and Superannution Expenses</w:t>
        </w:r>
        <w:r w:rsidR="00887060" w:rsidRPr="00887060">
          <w:rPr>
            <w:rStyle w:val="Hyperlink"/>
            <w:noProof/>
            <w:webHidden/>
          </w:rPr>
          <w:tab/>
        </w:r>
        <w:r w:rsidR="00887060" w:rsidRPr="00887060">
          <w:rPr>
            <w:rStyle w:val="Hyperlink"/>
            <w:noProof/>
            <w:webHidden/>
          </w:rPr>
          <w:fldChar w:fldCharType="begin"/>
        </w:r>
        <w:r w:rsidR="00887060" w:rsidRPr="00887060">
          <w:rPr>
            <w:rStyle w:val="Hyperlink"/>
            <w:noProof/>
            <w:webHidden/>
          </w:rPr>
          <w:instrText xml:space="preserve"> PAGEREF _Toc98763083 \h </w:instrText>
        </w:r>
        <w:r w:rsidR="00887060" w:rsidRPr="00887060">
          <w:rPr>
            <w:rStyle w:val="Hyperlink"/>
            <w:noProof/>
            <w:webHidden/>
          </w:rPr>
        </w:r>
        <w:r w:rsidR="00887060" w:rsidRPr="00887060">
          <w:rPr>
            <w:rStyle w:val="Hyperlink"/>
            <w:noProof/>
            <w:webHidden/>
          </w:rPr>
          <w:fldChar w:fldCharType="separate"/>
        </w:r>
        <w:r w:rsidR="00C736E0">
          <w:rPr>
            <w:rStyle w:val="Hyperlink"/>
            <w:noProof/>
            <w:webHidden/>
          </w:rPr>
          <w:t>60</w:t>
        </w:r>
        <w:r w:rsidR="00887060" w:rsidRPr="00887060">
          <w:rPr>
            <w:rStyle w:val="Hyperlink"/>
            <w:noProof/>
            <w:webHidden/>
          </w:rPr>
          <w:fldChar w:fldCharType="end"/>
        </w:r>
      </w:hyperlink>
    </w:p>
    <w:p w14:paraId="6C00FDB5" w14:textId="3D08B447" w:rsidR="00887060" w:rsidRDefault="00D20569">
      <w:pPr>
        <w:pStyle w:val="TOC1"/>
        <w:rPr>
          <w:rFonts w:asciiTheme="minorHAnsi" w:eastAsiaTheme="minorEastAsia" w:hAnsiTheme="minorHAnsi" w:cstheme="minorBidi"/>
          <w:b w:val="0"/>
          <w:bCs w:val="0"/>
          <w:noProof/>
          <w:color w:val="auto"/>
          <w:szCs w:val="22"/>
          <w:lang w:eastAsia="en-AU"/>
        </w:rPr>
      </w:pPr>
      <w:hyperlink w:anchor="_Toc98763084" w:history="1">
        <w:r w:rsidR="00887060" w:rsidRPr="00597616">
          <w:rPr>
            <w:rStyle w:val="Hyperlink"/>
            <w:noProof/>
          </w:rPr>
          <w:t>Note 11.  Supplies and Services</w:t>
        </w:r>
        <w:r w:rsidR="00887060">
          <w:rPr>
            <w:noProof/>
            <w:webHidden/>
          </w:rPr>
          <w:tab/>
        </w:r>
        <w:r w:rsidR="00887060">
          <w:rPr>
            <w:noProof/>
            <w:webHidden/>
          </w:rPr>
          <w:fldChar w:fldCharType="begin"/>
        </w:r>
        <w:r w:rsidR="00887060">
          <w:rPr>
            <w:noProof/>
            <w:webHidden/>
          </w:rPr>
          <w:instrText xml:space="preserve"> PAGEREF _Toc98763084 \h </w:instrText>
        </w:r>
        <w:r w:rsidR="00887060">
          <w:rPr>
            <w:noProof/>
            <w:webHidden/>
          </w:rPr>
        </w:r>
        <w:r w:rsidR="00887060">
          <w:rPr>
            <w:noProof/>
            <w:webHidden/>
          </w:rPr>
          <w:fldChar w:fldCharType="separate"/>
        </w:r>
        <w:r w:rsidR="00C736E0">
          <w:rPr>
            <w:noProof/>
            <w:webHidden/>
          </w:rPr>
          <w:t>61</w:t>
        </w:r>
        <w:r w:rsidR="00887060">
          <w:rPr>
            <w:noProof/>
            <w:webHidden/>
          </w:rPr>
          <w:fldChar w:fldCharType="end"/>
        </w:r>
      </w:hyperlink>
    </w:p>
    <w:p w14:paraId="2D650329" w14:textId="145F30BE" w:rsidR="00887060" w:rsidRDefault="00D20569">
      <w:pPr>
        <w:pStyle w:val="TOC1"/>
        <w:rPr>
          <w:rFonts w:asciiTheme="minorHAnsi" w:eastAsiaTheme="minorEastAsia" w:hAnsiTheme="minorHAnsi" w:cstheme="minorBidi"/>
          <w:b w:val="0"/>
          <w:bCs w:val="0"/>
          <w:noProof/>
          <w:color w:val="auto"/>
          <w:szCs w:val="22"/>
          <w:lang w:eastAsia="en-AU"/>
        </w:rPr>
      </w:pPr>
      <w:hyperlink w:anchor="_Toc98763095" w:history="1">
        <w:r w:rsidR="00887060" w:rsidRPr="00597616">
          <w:rPr>
            <w:rStyle w:val="Hyperlink"/>
            <w:noProof/>
          </w:rPr>
          <w:t>Note 12.  Grants and Purchased Services</w:t>
        </w:r>
        <w:r w:rsidR="00887060">
          <w:rPr>
            <w:noProof/>
            <w:webHidden/>
          </w:rPr>
          <w:tab/>
        </w:r>
        <w:r w:rsidR="00887060">
          <w:rPr>
            <w:noProof/>
            <w:webHidden/>
          </w:rPr>
          <w:fldChar w:fldCharType="begin"/>
        </w:r>
        <w:r w:rsidR="00887060">
          <w:rPr>
            <w:noProof/>
            <w:webHidden/>
          </w:rPr>
          <w:instrText xml:space="preserve"> PAGEREF _Toc98763095 \h </w:instrText>
        </w:r>
        <w:r w:rsidR="00887060">
          <w:rPr>
            <w:noProof/>
            <w:webHidden/>
          </w:rPr>
        </w:r>
        <w:r w:rsidR="00887060">
          <w:rPr>
            <w:noProof/>
            <w:webHidden/>
          </w:rPr>
          <w:fldChar w:fldCharType="separate"/>
        </w:r>
        <w:r w:rsidR="00C736E0">
          <w:rPr>
            <w:noProof/>
            <w:webHidden/>
          </w:rPr>
          <w:t>63</w:t>
        </w:r>
        <w:r w:rsidR="00887060">
          <w:rPr>
            <w:noProof/>
            <w:webHidden/>
          </w:rPr>
          <w:fldChar w:fldCharType="end"/>
        </w:r>
      </w:hyperlink>
    </w:p>
    <w:p w14:paraId="37DF183F" w14:textId="2ADDCB45" w:rsidR="00887060" w:rsidRDefault="00D20569">
      <w:pPr>
        <w:pStyle w:val="TOC1"/>
        <w:rPr>
          <w:rFonts w:asciiTheme="minorHAnsi" w:eastAsiaTheme="minorEastAsia" w:hAnsiTheme="minorHAnsi" w:cstheme="minorBidi"/>
          <w:b w:val="0"/>
          <w:bCs w:val="0"/>
          <w:noProof/>
          <w:color w:val="auto"/>
          <w:szCs w:val="22"/>
          <w:lang w:eastAsia="en-AU"/>
        </w:rPr>
      </w:pPr>
      <w:hyperlink w:anchor="_Toc98763097" w:history="1">
        <w:r w:rsidR="00887060" w:rsidRPr="00597616">
          <w:rPr>
            <w:rStyle w:val="Hyperlink"/>
            <w:noProof/>
          </w:rPr>
          <w:t>Note 13.  Borrowing Costs</w:t>
        </w:r>
        <w:r w:rsidR="00887060">
          <w:rPr>
            <w:noProof/>
            <w:webHidden/>
          </w:rPr>
          <w:tab/>
        </w:r>
        <w:r w:rsidR="00887060">
          <w:rPr>
            <w:noProof/>
            <w:webHidden/>
          </w:rPr>
          <w:fldChar w:fldCharType="begin"/>
        </w:r>
        <w:r w:rsidR="00887060">
          <w:rPr>
            <w:noProof/>
            <w:webHidden/>
          </w:rPr>
          <w:instrText xml:space="preserve"> PAGEREF _Toc98763097 \h </w:instrText>
        </w:r>
        <w:r w:rsidR="00887060">
          <w:rPr>
            <w:noProof/>
            <w:webHidden/>
          </w:rPr>
        </w:r>
        <w:r w:rsidR="00887060">
          <w:rPr>
            <w:noProof/>
            <w:webHidden/>
          </w:rPr>
          <w:fldChar w:fldCharType="separate"/>
        </w:r>
        <w:r w:rsidR="00C736E0">
          <w:rPr>
            <w:noProof/>
            <w:webHidden/>
          </w:rPr>
          <w:t>64</w:t>
        </w:r>
        <w:r w:rsidR="00887060">
          <w:rPr>
            <w:noProof/>
            <w:webHidden/>
          </w:rPr>
          <w:fldChar w:fldCharType="end"/>
        </w:r>
      </w:hyperlink>
    </w:p>
    <w:p w14:paraId="38AFD2D1" w14:textId="3B5B7B85" w:rsidR="00887060" w:rsidRDefault="00D20569">
      <w:pPr>
        <w:pStyle w:val="TOC1"/>
        <w:rPr>
          <w:rFonts w:asciiTheme="minorHAnsi" w:eastAsiaTheme="minorEastAsia" w:hAnsiTheme="minorHAnsi" w:cstheme="minorBidi"/>
          <w:b w:val="0"/>
          <w:bCs w:val="0"/>
          <w:noProof/>
          <w:color w:val="auto"/>
          <w:szCs w:val="22"/>
          <w:lang w:eastAsia="en-AU"/>
        </w:rPr>
      </w:pPr>
      <w:hyperlink w:anchor="_Toc98763099" w:history="1">
        <w:r w:rsidR="00887060" w:rsidRPr="00597616">
          <w:rPr>
            <w:rStyle w:val="Hyperlink"/>
            <w:noProof/>
          </w:rPr>
          <w:t>Note 14.  Other Expenses</w:t>
        </w:r>
        <w:r w:rsidR="00887060">
          <w:rPr>
            <w:noProof/>
            <w:webHidden/>
          </w:rPr>
          <w:tab/>
        </w:r>
        <w:r w:rsidR="00887060">
          <w:rPr>
            <w:noProof/>
            <w:webHidden/>
          </w:rPr>
          <w:fldChar w:fldCharType="begin"/>
        </w:r>
        <w:r w:rsidR="00887060">
          <w:rPr>
            <w:noProof/>
            <w:webHidden/>
          </w:rPr>
          <w:instrText xml:space="preserve"> PAGEREF _Toc98763099 \h </w:instrText>
        </w:r>
        <w:r w:rsidR="00887060">
          <w:rPr>
            <w:noProof/>
            <w:webHidden/>
          </w:rPr>
        </w:r>
        <w:r w:rsidR="00887060">
          <w:rPr>
            <w:noProof/>
            <w:webHidden/>
          </w:rPr>
          <w:fldChar w:fldCharType="separate"/>
        </w:r>
        <w:r w:rsidR="00C736E0">
          <w:rPr>
            <w:noProof/>
            <w:webHidden/>
          </w:rPr>
          <w:t>65</w:t>
        </w:r>
        <w:r w:rsidR="00887060">
          <w:rPr>
            <w:noProof/>
            <w:webHidden/>
          </w:rPr>
          <w:fldChar w:fldCharType="end"/>
        </w:r>
      </w:hyperlink>
    </w:p>
    <w:p w14:paraId="05DEBB31" w14:textId="3D3FABDA" w:rsidR="00887060" w:rsidRDefault="00D20569">
      <w:pPr>
        <w:pStyle w:val="TOC1"/>
        <w:rPr>
          <w:rFonts w:asciiTheme="minorHAnsi" w:eastAsiaTheme="minorEastAsia" w:hAnsiTheme="minorHAnsi" w:cstheme="minorBidi"/>
          <w:b w:val="0"/>
          <w:bCs w:val="0"/>
          <w:noProof/>
          <w:color w:val="auto"/>
          <w:szCs w:val="22"/>
          <w:lang w:eastAsia="en-AU"/>
        </w:rPr>
      </w:pPr>
      <w:hyperlink w:anchor="_Toc98763101" w:history="1">
        <w:r w:rsidR="00887060" w:rsidRPr="00597616">
          <w:rPr>
            <w:rStyle w:val="Hyperlink"/>
            <w:rFonts w:cstheme="minorHAnsi"/>
            <w:noProof/>
          </w:rPr>
          <w:t>ASSET Notes</w:t>
        </w:r>
        <w:r w:rsidR="00887060">
          <w:rPr>
            <w:noProof/>
            <w:webHidden/>
          </w:rPr>
          <w:tab/>
        </w:r>
        <w:r w:rsidR="00887060">
          <w:rPr>
            <w:noProof/>
            <w:webHidden/>
          </w:rPr>
          <w:fldChar w:fldCharType="begin"/>
        </w:r>
        <w:r w:rsidR="00887060">
          <w:rPr>
            <w:noProof/>
            <w:webHidden/>
          </w:rPr>
          <w:instrText xml:space="preserve"> PAGEREF _Toc98763101 \h </w:instrText>
        </w:r>
        <w:r w:rsidR="00887060">
          <w:rPr>
            <w:noProof/>
            <w:webHidden/>
          </w:rPr>
        </w:r>
        <w:r w:rsidR="00887060">
          <w:rPr>
            <w:noProof/>
            <w:webHidden/>
          </w:rPr>
          <w:fldChar w:fldCharType="separate"/>
        </w:r>
        <w:r w:rsidR="00C736E0">
          <w:rPr>
            <w:noProof/>
            <w:webHidden/>
          </w:rPr>
          <w:t>68</w:t>
        </w:r>
        <w:r w:rsidR="00887060">
          <w:rPr>
            <w:noProof/>
            <w:webHidden/>
          </w:rPr>
          <w:fldChar w:fldCharType="end"/>
        </w:r>
      </w:hyperlink>
    </w:p>
    <w:p w14:paraId="4CBFEFA3" w14:textId="66D73E5E" w:rsidR="00887060" w:rsidRDefault="00D20569">
      <w:pPr>
        <w:pStyle w:val="TOC1"/>
        <w:rPr>
          <w:rFonts w:asciiTheme="minorHAnsi" w:eastAsiaTheme="minorEastAsia" w:hAnsiTheme="minorHAnsi" w:cstheme="minorBidi"/>
          <w:b w:val="0"/>
          <w:bCs w:val="0"/>
          <w:noProof/>
          <w:color w:val="auto"/>
          <w:szCs w:val="22"/>
          <w:lang w:eastAsia="en-AU"/>
        </w:rPr>
      </w:pPr>
      <w:hyperlink w:anchor="_Toc98763102" w:history="1">
        <w:r w:rsidR="00887060" w:rsidRPr="00597616">
          <w:rPr>
            <w:rStyle w:val="Hyperlink"/>
            <w:rFonts w:cs="Calibri"/>
            <w:noProof/>
          </w:rPr>
          <w:t>Material Accounting Policies – Assets</w:t>
        </w:r>
        <w:r w:rsidR="00887060">
          <w:rPr>
            <w:noProof/>
            <w:webHidden/>
          </w:rPr>
          <w:tab/>
        </w:r>
        <w:r w:rsidR="00887060">
          <w:rPr>
            <w:noProof/>
            <w:webHidden/>
          </w:rPr>
          <w:fldChar w:fldCharType="begin"/>
        </w:r>
        <w:r w:rsidR="00887060">
          <w:rPr>
            <w:noProof/>
            <w:webHidden/>
          </w:rPr>
          <w:instrText xml:space="preserve"> PAGEREF _Toc98763102 \h </w:instrText>
        </w:r>
        <w:r w:rsidR="00887060">
          <w:rPr>
            <w:noProof/>
            <w:webHidden/>
          </w:rPr>
        </w:r>
        <w:r w:rsidR="00887060">
          <w:rPr>
            <w:noProof/>
            <w:webHidden/>
          </w:rPr>
          <w:fldChar w:fldCharType="separate"/>
        </w:r>
        <w:r w:rsidR="00C736E0">
          <w:rPr>
            <w:noProof/>
            <w:webHidden/>
          </w:rPr>
          <w:t>68</w:t>
        </w:r>
        <w:r w:rsidR="00887060">
          <w:rPr>
            <w:noProof/>
            <w:webHidden/>
          </w:rPr>
          <w:fldChar w:fldCharType="end"/>
        </w:r>
      </w:hyperlink>
    </w:p>
    <w:p w14:paraId="7A5919D3" w14:textId="5DC25681" w:rsidR="00887060" w:rsidRDefault="00D20569">
      <w:pPr>
        <w:pStyle w:val="TOC1"/>
        <w:rPr>
          <w:rFonts w:asciiTheme="minorHAnsi" w:eastAsiaTheme="minorEastAsia" w:hAnsiTheme="minorHAnsi" w:cstheme="minorBidi"/>
          <w:b w:val="0"/>
          <w:bCs w:val="0"/>
          <w:noProof/>
          <w:color w:val="auto"/>
          <w:szCs w:val="22"/>
          <w:lang w:eastAsia="en-AU"/>
        </w:rPr>
      </w:pPr>
      <w:hyperlink w:anchor="_Toc98763103" w:history="1">
        <w:r w:rsidR="00887060" w:rsidRPr="00597616">
          <w:rPr>
            <w:rStyle w:val="Hyperlink"/>
            <w:noProof/>
          </w:rPr>
          <w:t>Note 15.  C</w:t>
        </w:r>
        <w:r w:rsidR="00887060">
          <w:rPr>
            <w:rStyle w:val="Hyperlink"/>
            <w:noProof/>
          </w:rPr>
          <w:t>ash and</w:t>
        </w:r>
        <w:r w:rsidR="00887060" w:rsidRPr="00597616">
          <w:rPr>
            <w:rStyle w:val="Hyperlink"/>
            <w:noProof/>
          </w:rPr>
          <w:t xml:space="preserve"> Investments</w:t>
        </w:r>
        <w:r w:rsidR="00887060">
          <w:rPr>
            <w:noProof/>
            <w:webHidden/>
          </w:rPr>
          <w:tab/>
        </w:r>
        <w:r w:rsidR="00887060">
          <w:rPr>
            <w:noProof/>
            <w:webHidden/>
          </w:rPr>
          <w:fldChar w:fldCharType="begin"/>
        </w:r>
        <w:r w:rsidR="00887060">
          <w:rPr>
            <w:noProof/>
            <w:webHidden/>
          </w:rPr>
          <w:instrText xml:space="preserve"> PAGEREF _Toc98763103 \h </w:instrText>
        </w:r>
        <w:r w:rsidR="00887060">
          <w:rPr>
            <w:noProof/>
            <w:webHidden/>
          </w:rPr>
        </w:r>
        <w:r w:rsidR="00887060">
          <w:rPr>
            <w:noProof/>
            <w:webHidden/>
          </w:rPr>
          <w:fldChar w:fldCharType="separate"/>
        </w:r>
        <w:r w:rsidR="00C736E0">
          <w:rPr>
            <w:noProof/>
            <w:webHidden/>
          </w:rPr>
          <w:t>68</w:t>
        </w:r>
        <w:r w:rsidR="00887060">
          <w:rPr>
            <w:noProof/>
            <w:webHidden/>
          </w:rPr>
          <w:fldChar w:fldCharType="end"/>
        </w:r>
      </w:hyperlink>
    </w:p>
    <w:p w14:paraId="4FB219E9" w14:textId="7D66EB11" w:rsidR="00887060" w:rsidRDefault="00D20569">
      <w:pPr>
        <w:pStyle w:val="TOC1"/>
        <w:rPr>
          <w:rFonts w:asciiTheme="minorHAnsi" w:eastAsiaTheme="minorEastAsia" w:hAnsiTheme="minorHAnsi" w:cstheme="minorBidi"/>
          <w:b w:val="0"/>
          <w:bCs w:val="0"/>
          <w:noProof/>
          <w:color w:val="auto"/>
          <w:szCs w:val="22"/>
          <w:lang w:eastAsia="en-AU"/>
        </w:rPr>
      </w:pPr>
      <w:hyperlink w:anchor="_Toc98763107" w:history="1">
        <w:r w:rsidR="00887060" w:rsidRPr="00597616">
          <w:rPr>
            <w:rStyle w:val="Hyperlink"/>
            <w:noProof/>
          </w:rPr>
          <w:t>Note 16.  Receivables and Contract Assets</w:t>
        </w:r>
        <w:r w:rsidR="00887060">
          <w:rPr>
            <w:noProof/>
            <w:webHidden/>
          </w:rPr>
          <w:tab/>
        </w:r>
        <w:r w:rsidR="00887060">
          <w:rPr>
            <w:noProof/>
            <w:webHidden/>
          </w:rPr>
          <w:fldChar w:fldCharType="begin"/>
        </w:r>
        <w:r w:rsidR="00887060">
          <w:rPr>
            <w:noProof/>
            <w:webHidden/>
          </w:rPr>
          <w:instrText xml:space="preserve"> PAGEREF _Toc98763107 \h </w:instrText>
        </w:r>
        <w:r w:rsidR="00887060">
          <w:rPr>
            <w:noProof/>
            <w:webHidden/>
          </w:rPr>
        </w:r>
        <w:r w:rsidR="00887060">
          <w:rPr>
            <w:noProof/>
            <w:webHidden/>
          </w:rPr>
          <w:fldChar w:fldCharType="separate"/>
        </w:r>
        <w:r w:rsidR="00C736E0">
          <w:rPr>
            <w:noProof/>
            <w:webHidden/>
          </w:rPr>
          <w:t>71</w:t>
        </w:r>
        <w:r w:rsidR="00887060">
          <w:rPr>
            <w:noProof/>
            <w:webHidden/>
          </w:rPr>
          <w:fldChar w:fldCharType="end"/>
        </w:r>
      </w:hyperlink>
    </w:p>
    <w:p w14:paraId="04692203" w14:textId="06AB44FC" w:rsidR="00887060" w:rsidRDefault="00D20569">
      <w:pPr>
        <w:pStyle w:val="TOC1"/>
        <w:rPr>
          <w:rFonts w:asciiTheme="minorHAnsi" w:eastAsiaTheme="minorEastAsia" w:hAnsiTheme="minorHAnsi" w:cstheme="minorBidi"/>
          <w:b w:val="0"/>
          <w:bCs w:val="0"/>
          <w:noProof/>
          <w:color w:val="auto"/>
          <w:szCs w:val="22"/>
          <w:lang w:eastAsia="en-AU"/>
        </w:rPr>
      </w:pPr>
      <w:hyperlink w:anchor="_Toc98763113" w:history="1">
        <w:r w:rsidR="00887060" w:rsidRPr="00597616">
          <w:rPr>
            <w:rStyle w:val="Hyperlink"/>
            <w:noProof/>
          </w:rPr>
          <w:t>Note 17.   Inventories</w:t>
        </w:r>
        <w:r w:rsidR="00887060">
          <w:rPr>
            <w:noProof/>
            <w:webHidden/>
          </w:rPr>
          <w:tab/>
        </w:r>
        <w:r w:rsidR="00887060">
          <w:rPr>
            <w:noProof/>
            <w:webHidden/>
          </w:rPr>
          <w:fldChar w:fldCharType="begin"/>
        </w:r>
        <w:r w:rsidR="00887060">
          <w:rPr>
            <w:noProof/>
            <w:webHidden/>
          </w:rPr>
          <w:instrText xml:space="preserve"> PAGEREF _Toc98763113 \h </w:instrText>
        </w:r>
        <w:r w:rsidR="00887060">
          <w:rPr>
            <w:noProof/>
            <w:webHidden/>
          </w:rPr>
        </w:r>
        <w:r w:rsidR="00887060">
          <w:rPr>
            <w:noProof/>
            <w:webHidden/>
          </w:rPr>
          <w:fldChar w:fldCharType="separate"/>
        </w:r>
        <w:r w:rsidR="00C736E0">
          <w:rPr>
            <w:noProof/>
            <w:webHidden/>
          </w:rPr>
          <w:t>78</w:t>
        </w:r>
        <w:r w:rsidR="00887060">
          <w:rPr>
            <w:noProof/>
            <w:webHidden/>
          </w:rPr>
          <w:fldChar w:fldCharType="end"/>
        </w:r>
      </w:hyperlink>
    </w:p>
    <w:p w14:paraId="2947C20F" w14:textId="62D36132" w:rsidR="00887060" w:rsidRDefault="00D20569">
      <w:pPr>
        <w:pStyle w:val="TOC1"/>
        <w:rPr>
          <w:rFonts w:asciiTheme="minorHAnsi" w:eastAsiaTheme="minorEastAsia" w:hAnsiTheme="minorHAnsi" w:cstheme="minorBidi"/>
          <w:b w:val="0"/>
          <w:bCs w:val="0"/>
          <w:noProof/>
          <w:color w:val="auto"/>
          <w:szCs w:val="22"/>
          <w:lang w:eastAsia="en-AU"/>
        </w:rPr>
      </w:pPr>
      <w:hyperlink w:anchor="_Toc98763119" w:history="1">
        <w:r w:rsidR="00887060" w:rsidRPr="00597616">
          <w:rPr>
            <w:rStyle w:val="Hyperlink"/>
            <w:noProof/>
          </w:rPr>
          <w:t>Note 18.  Non–Current Assets Held For Sale</w:t>
        </w:r>
        <w:r w:rsidR="00887060">
          <w:rPr>
            <w:noProof/>
            <w:webHidden/>
          </w:rPr>
          <w:tab/>
        </w:r>
        <w:r w:rsidR="00887060">
          <w:rPr>
            <w:noProof/>
            <w:webHidden/>
          </w:rPr>
          <w:fldChar w:fldCharType="begin"/>
        </w:r>
        <w:r w:rsidR="00887060">
          <w:rPr>
            <w:noProof/>
            <w:webHidden/>
          </w:rPr>
          <w:instrText xml:space="preserve"> PAGEREF _Toc98763119 \h </w:instrText>
        </w:r>
        <w:r w:rsidR="00887060">
          <w:rPr>
            <w:noProof/>
            <w:webHidden/>
          </w:rPr>
        </w:r>
        <w:r w:rsidR="00887060">
          <w:rPr>
            <w:noProof/>
            <w:webHidden/>
          </w:rPr>
          <w:fldChar w:fldCharType="separate"/>
        </w:r>
        <w:r w:rsidR="00C736E0">
          <w:rPr>
            <w:noProof/>
            <w:webHidden/>
          </w:rPr>
          <w:t>81</w:t>
        </w:r>
        <w:r w:rsidR="00887060">
          <w:rPr>
            <w:noProof/>
            <w:webHidden/>
          </w:rPr>
          <w:fldChar w:fldCharType="end"/>
        </w:r>
      </w:hyperlink>
    </w:p>
    <w:p w14:paraId="40EC8966" w14:textId="7F73723C" w:rsidR="00887060" w:rsidRDefault="00D20569">
      <w:pPr>
        <w:pStyle w:val="TOC1"/>
        <w:rPr>
          <w:rFonts w:asciiTheme="minorHAnsi" w:eastAsiaTheme="minorEastAsia" w:hAnsiTheme="minorHAnsi" w:cstheme="minorBidi"/>
          <w:b w:val="0"/>
          <w:bCs w:val="0"/>
          <w:noProof/>
          <w:color w:val="auto"/>
          <w:szCs w:val="22"/>
          <w:lang w:eastAsia="en-AU"/>
        </w:rPr>
      </w:pPr>
      <w:hyperlink w:anchor="_Toc98763120" w:history="1">
        <w:r w:rsidR="00887060" w:rsidRPr="00597616">
          <w:rPr>
            <w:rStyle w:val="Hyperlink"/>
            <w:noProof/>
          </w:rPr>
          <w:t>Note 19.  Property, Plant and Equipment</w:t>
        </w:r>
        <w:r w:rsidR="00887060">
          <w:rPr>
            <w:noProof/>
            <w:webHidden/>
          </w:rPr>
          <w:tab/>
        </w:r>
        <w:r w:rsidR="00887060">
          <w:rPr>
            <w:noProof/>
            <w:webHidden/>
          </w:rPr>
          <w:fldChar w:fldCharType="begin"/>
        </w:r>
        <w:r w:rsidR="00887060">
          <w:rPr>
            <w:noProof/>
            <w:webHidden/>
          </w:rPr>
          <w:instrText xml:space="preserve"> PAGEREF _Toc98763120 \h </w:instrText>
        </w:r>
        <w:r w:rsidR="00887060">
          <w:rPr>
            <w:noProof/>
            <w:webHidden/>
          </w:rPr>
        </w:r>
        <w:r w:rsidR="00887060">
          <w:rPr>
            <w:noProof/>
            <w:webHidden/>
          </w:rPr>
          <w:fldChar w:fldCharType="separate"/>
        </w:r>
        <w:r w:rsidR="00C736E0">
          <w:rPr>
            <w:noProof/>
            <w:webHidden/>
          </w:rPr>
          <w:t>82</w:t>
        </w:r>
        <w:r w:rsidR="00887060">
          <w:rPr>
            <w:noProof/>
            <w:webHidden/>
          </w:rPr>
          <w:fldChar w:fldCharType="end"/>
        </w:r>
      </w:hyperlink>
    </w:p>
    <w:p w14:paraId="30F3ED53" w14:textId="0F2DE987" w:rsidR="00887060" w:rsidRDefault="00D20569">
      <w:pPr>
        <w:pStyle w:val="TOC1"/>
        <w:rPr>
          <w:rFonts w:asciiTheme="minorHAnsi" w:eastAsiaTheme="minorEastAsia" w:hAnsiTheme="minorHAnsi" w:cstheme="minorBidi"/>
          <w:b w:val="0"/>
          <w:bCs w:val="0"/>
          <w:noProof/>
          <w:color w:val="auto"/>
          <w:szCs w:val="22"/>
          <w:lang w:eastAsia="en-AU"/>
        </w:rPr>
      </w:pPr>
      <w:hyperlink w:anchor="_Toc98763130" w:history="1">
        <w:r w:rsidR="00887060" w:rsidRPr="00597616">
          <w:rPr>
            <w:rStyle w:val="Hyperlink"/>
            <w:noProof/>
          </w:rPr>
          <w:t>Note 20.  Investment Properties</w:t>
        </w:r>
        <w:r w:rsidR="00887060">
          <w:rPr>
            <w:noProof/>
            <w:webHidden/>
          </w:rPr>
          <w:tab/>
        </w:r>
        <w:r w:rsidR="00887060">
          <w:rPr>
            <w:noProof/>
            <w:webHidden/>
          </w:rPr>
          <w:fldChar w:fldCharType="begin"/>
        </w:r>
        <w:r w:rsidR="00887060">
          <w:rPr>
            <w:noProof/>
            <w:webHidden/>
          </w:rPr>
          <w:instrText xml:space="preserve"> PAGEREF _Toc98763130 \h </w:instrText>
        </w:r>
        <w:r w:rsidR="00887060">
          <w:rPr>
            <w:noProof/>
            <w:webHidden/>
          </w:rPr>
        </w:r>
        <w:r w:rsidR="00887060">
          <w:rPr>
            <w:noProof/>
            <w:webHidden/>
          </w:rPr>
          <w:fldChar w:fldCharType="separate"/>
        </w:r>
        <w:r w:rsidR="00C736E0">
          <w:rPr>
            <w:noProof/>
            <w:webHidden/>
          </w:rPr>
          <w:t>95</w:t>
        </w:r>
        <w:r w:rsidR="00887060">
          <w:rPr>
            <w:noProof/>
            <w:webHidden/>
          </w:rPr>
          <w:fldChar w:fldCharType="end"/>
        </w:r>
      </w:hyperlink>
    </w:p>
    <w:p w14:paraId="5FD4EE16" w14:textId="021174C2" w:rsidR="00887060" w:rsidRDefault="00D20569">
      <w:pPr>
        <w:pStyle w:val="TOC1"/>
        <w:rPr>
          <w:rFonts w:asciiTheme="minorHAnsi" w:eastAsiaTheme="minorEastAsia" w:hAnsiTheme="minorHAnsi" w:cstheme="minorBidi"/>
          <w:b w:val="0"/>
          <w:bCs w:val="0"/>
          <w:noProof/>
          <w:color w:val="auto"/>
          <w:szCs w:val="22"/>
          <w:lang w:eastAsia="en-AU"/>
        </w:rPr>
      </w:pPr>
      <w:hyperlink w:anchor="_Toc98763136" w:history="1">
        <w:r w:rsidR="00887060" w:rsidRPr="00597616">
          <w:rPr>
            <w:rStyle w:val="Hyperlink"/>
            <w:noProof/>
          </w:rPr>
          <w:t>Note 21.  Intangible Assets</w:t>
        </w:r>
        <w:r w:rsidR="00887060">
          <w:rPr>
            <w:noProof/>
            <w:webHidden/>
          </w:rPr>
          <w:tab/>
        </w:r>
        <w:r w:rsidR="00887060">
          <w:rPr>
            <w:noProof/>
            <w:webHidden/>
          </w:rPr>
          <w:fldChar w:fldCharType="begin"/>
        </w:r>
        <w:r w:rsidR="00887060">
          <w:rPr>
            <w:noProof/>
            <w:webHidden/>
          </w:rPr>
          <w:instrText xml:space="preserve"> PAGEREF _Toc98763136 \h </w:instrText>
        </w:r>
        <w:r w:rsidR="00887060">
          <w:rPr>
            <w:noProof/>
            <w:webHidden/>
          </w:rPr>
        </w:r>
        <w:r w:rsidR="00887060">
          <w:rPr>
            <w:noProof/>
            <w:webHidden/>
          </w:rPr>
          <w:fldChar w:fldCharType="separate"/>
        </w:r>
        <w:r w:rsidR="00C736E0">
          <w:rPr>
            <w:noProof/>
            <w:webHidden/>
          </w:rPr>
          <w:t>98</w:t>
        </w:r>
        <w:r w:rsidR="00887060">
          <w:rPr>
            <w:noProof/>
            <w:webHidden/>
          </w:rPr>
          <w:fldChar w:fldCharType="end"/>
        </w:r>
      </w:hyperlink>
    </w:p>
    <w:p w14:paraId="5AA93DD3" w14:textId="3A0E11A9" w:rsidR="00887060" w:rsidRDefault="00D20569">
      <w:pPr>
        <w:pStyle w:val="TOC1"/>
        <w:rPr>
          <w:rFonts w:asciiTheme="minorHAnsi" w:eastAsiaTheme="minorEastAsia" w:hAnsiTheme="minorHAnsi" w:cstheme="minorBidi"/>
          <w:b w:val="0"/>
          <w:bCs w:val="0"/>
          <w:noProof/>
          <w:color w:val="auto"/>
          <w:szCs w:val="22"/>
          <w:lang w:eastAsia="en-AU"/>
        </w:rPr>
      </w:pPr>
      <w:hyperlink w:anchor="_Toc98763138" w:history="1">
        <w:r w:rsidR="00887060" w:rsidRPr="00597616">
          <w:rPr>
            <w:rStyle w:val="Hyperlink"/>
            <w:noProof/>
          </w:rPr>
          <w:t>Note 22.  Capital Works in Progress</w:t>
        </w:r>
        <w:r w:rsidR="00887060">
          <w:rPr>
            <w:noProof/>
            <w:webHidden/>
          </w:rPr>
          <w:tab/>
        </w:r>
        <w:r w:rsidR="00887060">
          <w:rPr>
            <w:noProof/>
            <w:webHidden/>
          </w:rPr>
          <w:fldChar w:fldCharType="begin"/>
        </w:r>
        <w:r w:rsidR="00887060">
          <w:rPr>
            <w:noProof/>
            <w:webHidden/>
          </w:rPr>
          <w:instrText xml:space="preserve"> PAGEREF _Toc98763138 \h </w:instrText>
        </w:r>
        <w:r w:rsidR="00887060">
          <w:rPr>
            <w:noProof/>
            <w:webHidden/>
          </w:rPr>
        </w:r>
        <w:r w:rsidR="00887060">
          <w:rPr>
            <w:noProof/>
            <w:webHidden/>
          </w:rPr>
          <w:fldChar w:fldCharType="separate"/>
        </w:r>
        <w:r w:rsidR="00C736E0">
          <w:rPr>
            <w:noProof/>
            <w:webHidden/>
          </w:rPr>
          <w:t>100</w:t>
        </w:r>
        <w:r w:rsidR="00887060">
          <w:rPr>
            <w:noProof/>
            <w:webHidden/>
          </w:rPr>
          <w:fldChar w:fldCharType="end"/>
        </w:r>
      </w:hyperlink>
    </w:p>
    <w:p w14:paraId="38FE2511" w14:textId="4A48B550" w:rsidR="00887060" w:rsidRDefault="00D20569">
      <w:pPr>
        <w:pStyle w:val="TOC1"/>
        <w:rPr>
          <w:rFonts w:asciiTheme="minorHAnsi" w:eastAsiaTheme="minorEastAsia" w:hAnsiTheme="minorHAnsi" w:cstheme="minorBidi"/>
          <w:b w:val="0"/>
          <w:bCs w:val="0"/>
          <w:noProof/>
          <w:color w:val="auto"/>
          <w:szCs w:val="22"/>
          <w:lang w:eastAsia="en-AU"/>
        </w:rPr>
      </w:pPr>
      <w:hyperlink w:anchor="_Toc98763140" w:history="1">
        <w:r w:rsidR="00887060" w:rsidRPr="00597616">
          <w:rPr>
            <w:rStyle w:val="Hyperlink"/>
            <w:noProof/>
          </w:rPr>
          <w:t>Note 23.  Other Assets</w:t>
        </w:r>
        <w:r w:rsidR="00887060">
          <w:rPr>
            <w:noProof/>
            <w:webHidden/>
          </w:rPr>
          <w:tab/>
        </w:r>
        <w:r w:rsidR="00887060">
          <w:rPr>
            <w:noProof/>
            <w:webHidden/>
          </w:rPr>
          <w:fldChar w:fldCharType="begin"/>
        </w:r>
        <w:r w:rsidR="00887060">
          <w:rPr>
            <w:noProof/>
            <w:webHidden/>
          </w:rPr>
          <w:instrText xml:space="preserve"> PAGEREF _Toc98763140 \h </w:instrText>
        </w:r>
        <w:r w:rsidR="00887060">
          <w:rPr>
            <w:noProof/>
            <w:webHidden/>
          </w:rPr>
        </w:r>
        <w:r w:rsidR="00887060">
          <w:rPr>
            <w:noProof/>
            <w:webHidden/>
          </w:rPr>
          <w:fldChar w:fldCharType="separate"/>
        </w:r>
        <w:r w:rsidR="00C736E0">
          <w:rPr>
            <w:noProof/>
            <w:webHidden/>
          </w:rPr>
          <w:t>102</w:t>
        </w:r>
        <w:r w:rsidR="00887060">
          <w:rPr>
            <w:noProof/>
            <w:webHidden/>
          </w:rPr>
          <w:fldChar w:fldCharType="end"/>
        </w:r>
      </w:hyperlink>
    </w:p>
    <w:p w14:paraId="08E0C530" w14:textId="2E0F51D5" w:rsidR="00887060" w:rsidRDefault="00D20569">
      <w:pPr>
        <w:pStyle w:val="TOC1"/>
        <w:rPr>
          <w:rFonts w:asciiTheme="minorHAnsi" w:eastAsiaTheme="minorEastAsia" w:hAnsiTheme="minorHAnsi" w:cstheme="minorBidi"/>
          <w:b w:val="0"/>
          <w:bCs w:val="0"/>
          <w:noProof/>
          <w:color w:val="auto"/>
          <w:szCs w:val="22"/>
          <w:lang w:eastAsia="en-AU"/>
        </w:rPr>
      </w:pPr>
      <w:hyperlink w:anchor="_Toc98763141" w:history="1">
        <w:r w:rsidR="00887060">
          <w:rPr>
            <w:rStyle w:val="Hyperlink"/>
            <w:rFonts w:cstheme="minorHAnsi"/>
            <w:noProof/>
          </w:rPr>
          <w:t xml:space="preserve">Liability </w:t>
        </w:r>
        <w:r w:rsidR="00887060" w:rsidRPr="00597616">
          <w:rPr>
            <w:rStyle w:val="Hyperlink"/>
            <w:rFonts w:cstheme="minorHAnsi"/>
            <w:noProof/>
          </w:rPr>
          <w:t>Notes</w:t>
        </w:r>
        <w:r w:rsidR="00887060">
          <w:rPr>
            <w:noProof/>
            <w:webHidden/>
          </w:rPr>
          <w:tab/>
        </w:r>
        <w:r w:rsidR="00887060">
          <w:rPr>
            <w:noProof/>
            <w:webHidden/>
          </w:rPr>
          <w:fldChar w:fldCharType="begin"/>
        </w:r>
        <w:r w:rsidR="00887060">
          <w:rPr>
            <w:noProof/>
            <w:webHidden/>
          </w:rPr>
          <w:instrText xml:space="preserve"> PAGEREF _Toc98763141 \h </w:instrText>
        </w:r>
        <w:r w:rsidR="00887060">
          <w:rPr>
            <w:noProof/>
            <w:webHidden/>
          </w:rPr>
        </w:r>
        <w:r w:rsidR="00887060">
          <w:rPr>
            <w:noProof/>
            <w:webHidden/>
          </w:rPr>
          <w:fldChar w:fldCharType="separate"/>
        </w:r>
        <w:r w:rsidR="00C736E0">
          <w:rPr>
            <w:noProof/>
            <w:webHidden/>
          </w:rPr>
          <w:t>103</w:t>
        </w:r>
        <w:r w:rsidR="00887060">
          <w:rPr>
            <w:noProof/>
            <w:webHidden/>
          </w:rPr>
          <w:fldChar w:fldCharType="end"/>
        </w:r>
      </w:hyperlink>
    </w:p>
    <w:p w14:paraId="47A0E109" w14:textId="07701FC3" w:rsidR="00887060" w:rsidRDefault="00D20569">
      <w:pPr>
        <w:pStyle w:val="TOC1"/>
        <w:rPr>
          <w:rFonts w:asciiTheme="minorHAnsi" w:eastAsiaTheme="minorEastAsia" w:hAnsiTheme="minorHAnsi" w:cstheme="minorBidi"/>
          <w:b w:val="0"/>
          <w:bCs w:val="0"/>
          <w:noProof/>
          <w:color w:val="auto"/>
          <w:szCs w:val="22"/>
          <w:lang w:eastAsia="en-AU"/>
        </w:rPr>
      </w:pPr>
      <w:hyperlink w:anchor="_Toc98763143" w:history="1">
        <w:r w:rsidR="00887060" w:rsidRPr="00597616">
          <w:rPr>
            <w:rStyle w:val="Hyperlink"/>
            <w:noProof/>
          </w:rPr>
          <w:t xml:space="preserve">Note 24.  Payables </w:t>
        </w:r>
        <w:r w:rsidR="00887060" w:rsidRPr="00597616">
          <w:rPr>
            <w:rStyle w:val="Hyperlink"/>
            <w:rFonts w:cs="Calibri"/>
            <w:noProof/>
          </w:rPr>
          <w:t>and Contract Liabilities</w:t>
        </w:r>
        <w:r w:rsidR="00887060">
          <w:rPr>
            <w:noProof/>
            <w:webHidden/>
          </w:rPr>
          <w:tab/>
        </w:r>
        <w:r w:rsidR="00887060">
          <w:rPr>
            <w:noProof/>
            <w:webHidden/>
          </w:rPr>
          <w:fldChar w:fldCharType="begin"/>
        </w:r>
        <w:r w:rsidR="00887060">
          <w:rPr>
            <w:noProof/>
            <w:webHidden/>
          </w:rPr>
          <w:instrText xml:space="preserve"> PAGEREF _Toc98763143 \h </w:instrText>
        </w:r>
        <w:r w:rsidR="00887060">
          <w:rPr>
            <w:noProof/>
            <w:webHidden/>
          </w:rPr>
        </w:r>
        <w:r w:rsidR="00887060">
          <w:rPr>
            <w:noProof/>
            <w:webHidden/>
          </w:rPr>
          <w:fldChar w:fldCharType="separate"/>
        </w:r>
        <w:r w:rsidR="00C736E0">
          <w:rPr>
            <w:noProof/>
            <w:webHidden/>
          </w:rPr>
          <w:t>103</w:t>
        </w:r>
        <w:r w:rsidR="00887060">
          <w:rPr>
            <w:noProof/>
            <w:webHidden/>
          </w:rPr>
          <w:fldChar w:fldCharType="end"/>
        </w:r>
      </w:hyperlink>
    </w:p>
    <w:p w14:paraId="01E5FE6D" w14:textId="6FF99719" w:rsidR="00887060" w:rsidRDefault="00D20569">
      <w:pPr>
        <w:pStyle w:val="TOC1"/>
        <w:rPr>
          <w:rFonts w:asciiTheme="minorHAnsi" w:eastAsiaTheme="minorEastAsia" w:hAnsiTheme="minorHAnsi" w:cstheme="minorBidi"/>
          <w:b w:val="0"/>
          <w:bCs w:val="0"/>
          <w:noProof/>
          <w:color w:val="auto"/>
          <w:szCs w:val="22"/>
          <w:lang w:eastAsia="en-AU"/>
        </w:rPr>
      </w:pPr>
      <w:hyperlink w:anchor="_Toc98763144" w:history="1">
        <w:r w:rsidR="00887060" w:rsidRPr="00597616">
          <w:rPr>
            <w:rStyle w:val="Hyperlink"/>
            <w:noProof/>
          </w:rPr>
          <w:t>Note 25.  Borrowings</w:t>
        </w:r>
        <w:r w:rsidR="00887060">
          <w:rPr>
            <w:noProof/>
            <w:webHidden/>
          </w:rPr>
          <w:tab/>
        </w:r>
        <w:r w:rsidR="00887060">
          <w:rPr>
            <w:noProof/>
            <w:webHidden/>
          </w:rPr>
          <w:fldChar w:fldCharType="begin"/>
        </w:r>
        <w:r w:rsidR="00887060">
          <w:rPr>
            <w:noProof/>
            <w:webHidden/>
          </w:rPr>
          <w:instrText xml:space="preserve"> PAGEREF _Toc98763144 \h </w:instrText>
        </w:r>
        <w:r w:rsidR="00887060">
          <w:rPr>
            <w:noProof/>
            <w:webHidden/>
          </w:rPr>
        </w:r>
        <w:r w:rsidR="00887060">
          <w:rPr>
            <w:noProof/>
            <w:webHidden/>
          </w:rPr>
          <w:fldChar w:fldCharType="separate"/>
        </w:r>
        <w:r w:rsidR="00C736E0">
          <w:rPr>
            <w:noProof/>
            <w:webHidden/>
          </w:rPr>
          <w:t>105</w:t>
        </w:r>
        <w:r w:rsidR="00887060">
          <w:rPr>
            <w:noProof/>
            <w:webHidden/>
          </w:rPr>
          <w:fldChar w:fldCharType="end"/>
        </w:r>
      </w:hyperlink>
    </w:p>
    <w:p w14:paraId="0D0FBFFB" w14:textId="41D4D87A" w:rsidR="00887060" w:rsidRDefault="00D20569">
      <w:pPr>
        <w:pStyle w:val="TOC1"/>
        <w:rPr>
          <w:rFonts w:asciiTheme="minorHAnsi" w:eastAsiaTheme="minorEastAsia" w:hAnsiTheme="minorHAnsi" w:cstheme="minorBidi"/>
          <w:b w:val="0"/>
          <w:bCs w:val="0"/>
          <w:noProof/>
          <w:color w:val="auto"/>
          <w:szCs w:val="22"/>
          <w:lang w:eastAsia="en-AU"/>
        </w:rPr>
      </w:pPr>
      <w:hyperlink w:anchor="_Toc98763146" w:history="1">
        <w:r w:rsidR="00887060" w:rsidRPr="00597616">
          <w:rPr>
            <w:rStyle w:val="Hyperlink"/>
            <w:noProof/>
          </w:rPr>
          <w:t>Note 26 Lease Liabilities</w:t>
        </w:r>
        <w:r w:rsidR="00887060">
          <w:rPr>
            <w:noProof/>
            <w:webHidden/>
          </w:rPr>
          <w:tab/>
        </w:r>
        <w:r w:rsidR="00887060">
          <w:rPr>
            <w:noProof/>
            <w:webHidden/>
          </w:rPr>
          <w:fldChar w:fldCharType="begin"/>
        </w:r>
        <w:r w:rsidR="00887060">
          <w:rPr>
            <w:noProof/>
            <w:webHidden/>
          </w:rPr>
          <w:instrText xml:space="preserve"> PAGEREF _Toc98763146 \h </w:instrText>
        </w:r>
        <w:r w:rsidR="00887060">
          <w:rPr>
            <w:noProof/>
            <w:webHidden/>
          </w:rPr>
        </w:r>
        <w:r w:rsidR="00887060">
          <w:rPr>
            <w:noProof/>
            <w:webHidden/>
          </w:rPr>
          <w:fldChar w:fldCharType="separate"/>
        </w:r>
        <w:r w:rsidR="00C736E0">
          <w:rPr>
            <w:noProof/>
            <w:webHidden/>
          </w:rPr>
          <w:t>106</w:t>
        </w:r>
        <w:r w:rsidR="00887060">
          <w:rPr>
            <w:noProof/>
            <w:webHidden/>
          </w:rPr>
          <w:fldChar w:fldCharType="end"/>
        </w:r>
      </w:hyperlink>
    </w:p>
    <w:p w14:paraId="3044B9F4" w14:textId="1170F825" w:rsidR="00887060" w:rsidRDefault="00D20569">
      <w:pPr>
        <w:pStyle w:val="TOC1"/>
        <w:rPr>
          <w:rFonts w:asciiTheme="minorHAnsi" w:eastAsiaTheme="minorEastAsia" w:hAnsiTheme="minorHAnsi" w:cstheme="minorBidi"/>
          <w:b w:val="0"/>
          <w:bCs w:val="0"/>
          <w:noProof/>
          <w:color w:val="auto"/>
          <w:szCs w:val="22"/>
          <w:lang w:eastAsia="en-AU"/>
        </w:rPr>
      </w:pPr>
      <w:hyperlink w:anchor="_Toc98763147" w:history="1">
        <w:r w:rsidR="00887060" w:rsidRPr="00597616">
          <w:rPr>
            <w:rStyle w:val="Hyperlink"/>
            <w:noProof/>
          </w:rPr>
          <w:t>Note 27.  Employee Benefits</w:t>
        </w:r>
        <w:r w:rsidR="00887060">
          <w:rPr>
            <w:noProof/>
            <w:webHidden/>
          </w:rPr>
          <w:tab/>
        </w:r>
        <w:r w:rsidR="00887060">
          <w:rPr>
            <w:noProof/>
            <w:webHidden/>
          </w:rPr>
          <w:fldChar w:fldCharType="begin"/>
        </w:r>
        <w:r w:rsidR="00887060">
          <w:rPr>
            <w:noProof/>
            <w:webHidden/>
          </w:rPr>
          <w:instrText xml:space="preserve"> PAGEREF _Toc98763147 \h </w:instrText>
        </w:r>
        <w:r w:rsidR="00887060">
          <w:rPr>
            <w:noProof/>
            <w:webHidden/>
          </w:rPr>
        </w:r>
        <w:r w:rsidR="00887060">
          <w:rPr>
            <w:noProof/>
            <w:webHidden/>
          </w:rPr>
          <w:fldChar w:fldCharType="separate"/>
        </w:r>
        <w:r w:rsidR="00C736E0">
          <w:rPr>
            <w:noProof/>
            <w:webHidden/>
          </w:rPr>
          <w:t>111</w:t>
        </w:r>
        <w:r w:rsidR="00887060">
          <w:rPr>
            <w:noProof/>
            <w:webHidden/>
          </w:rPr>
          <w:fldChar w:fldCharType="end"/>
        </w:r>
      </w:hyperlink>
    </w:p>
    <w:p w14:paraId="7B9B2061" w14:textId="48CC1027" w:rsidR="00887060" w:rsidRDefault="00D20569">
      <w:pPr>
        <w:pStyle w:val="TOC1"/>
        <w:rPr>
          <w:rFonts w:asciiTheme="minorHAnsi" w:eastAsiaTheme="minorEastAsia" w:hAnsiTheme="minorHAnsi" w:cstheme="minorBidi"/>
          <w:b w:val="0"/>
          <w:bCs w:val="0"/>
          <w:noProof/>
          <w:color w:val="auto"/>
          <w:szCs w:val="22"/>
          <w:lang w:eastAsia="en-AU"/>
        </w:rPr>
      </w:pPr>
      <w:hyperlink w:anchor="_Toc98763149" w:history="1">
        <w:r w:rsidR="00887060" w:rsidRPr="00597616">
          <w:rPr>
            <w:rStyle w:val="Hyperlink"/>
            <w:noProof/>
          </w:rPr>
          <w:t>Note 28.  Other Provisions</w:t>
        </w:r>
        <w:r w:rsidR="00887060">
          <w:rPr>
            <w:noProof/>
            <w:webHidden/>
          </w:rPr>
          <w:tab/>
        </w:r>
        <w:r w:rsidR="00887060">
          <w:rPr>
            <w:noProof/>
            <w:webHidden/>
          </w:rPr>
          <w:fldChar w:fldCharType="begin"/>
        </w:r>
        <w:r w:rsidR="00887060">
          <w:rPr>
            <w:noProof/>
            <w:webHidden/>
          </w:rPr>
          <w:instrText xml:space="preserve"> PAGEREF _Toc98763149 \h </w:instrText>
        </w:r>
        <w:r w:rsidR="00887060">
          <w:rPr>
            <w:noProof/>
            <w:webHidden/>
          </w:rPr>
        </w:r>
        <w:r w:rsidR="00887060">
          <w:rPr>
            <w:noProof/>
            <w:webHidden/>
          </w:rPr>
          <w:fldChar w:fldCharType="separate"/>
        </w:r>
        <w:r w:rsidR="00C736E0">
          <w:rPr>
            <w:noProof/>
            <w:webHidden/>
          </w:rPr>
          <w:t>113</w:t>
        </w:r>
        <w:r w:rsidR="00887060">
          <w:rPr>
            <w:noProof/>
            <w:webHidden/>
          </w:rPr>
          <w:fldChar w:fldCharType="end"/>
        </w:r>
      </w:hyperlink>
    </w:p>
    <w:p w14:paraId="1285FA51" w14:textId="7726FA14" w:rsidR="00887060" w:rsidRDefault="00D20569">
      <w:pPr>
        <w:pStyle w:val="TOC1"/>
        <w:rPr>
          <w:rFonts w:asciiTheme="minorHAnsi" w:eastAsiaTheme="minorEastAsia" w:hAnsiTheme="minorHAnsi" w:cstheme="minorBidi"/>
          <w:b w:val="0"/>
          <w:bCs w:val="0"/>
          <w:noProof/>
          <w:color w:val="auto"/>
          <w:szCs w:val="22"/>
          <w:lang w:eastAsia="en-AU"/>
        </w:rPr>
      </w:pPr>
      <w:hyperlink w:anchor="_Toc98763158" w:history="1">
        <w:r w:rsidR="00887060" w:rsidRPr="00597616">
          <w:rPr>
            <w:rStyle w:val="Hyperlink"/>
            <w:noProof/>
          </w:rPr>
          <w:t>Note 29.  Other Liabilities</w:t>
        </w:r>
        <w:r w:rsidR="00887060">
          <w:rPr>
            <w:noProof/>
            <w:webHidden/>
          </w:rPr>
          <w:tab/>
        </w:r>
        <w:r w:rsidR="00887060">
          <w:rPr>
            <w:noProof/>
            <w:webHidden/>
          </w:rPr>
          <w:fldChar w:fldCharType="begin"/>
        </w:r>
        <w:r w:rsidR="00887060">
          <w:rPr>
            <w:noProof/>
            <w:webHidden/>
          </w:rPr>
          <w:instrText xml:space="preserve"> PAGEREF _Toc98763158 \h </w:instrText>
        </w:r>
        <w:r w:rsidR="00887060">
          <w:rPr>
            <w:noProof/>
            <w:webHidden/>
          </w:rPr>
        </w:r>
        <w:r w:rsidR="00887060">
          <w:rPr>
            <w:noProof/>
            <w:webHidden/>
          </w:rPr>
          <w:fldChar w:fldCharType="separate"/>
        </w:r>
        <w:r w:rsidR="00C736E0">
          <w:rPr>
            <w:noProof/>
            <w:webHidden/>
          </w:rPr>
          <w:t>117</w:t>
        </w:r>
        <w:r w:rsidR="00887060">
          <w:rPr>
            <w:noProof/>
            <w:webHidden/>
          </w:rPr>
          <w:fldChar w:fldCharType="end"/>
        </w:r>
      </w:hyperlink>
    </w:p>
    <w:p w14:paraId="21237068" w14:textId="266B4301" w:rsidR="00887060" w:rsidRDefault="00D20569">
      <w:pPr>
        <w:pStyle w:val="TOC1"/>
        <w:rPr>
          <w:rFonts w:asciiTheme="minorHAnsi" w:eastAsiaTheme="minorEastAsia" w:hAnsiTheme="minorHAnsi" w:cstheme="minorBidi"/>
          <w:b w:val="0"/>
          <w:bCs w:val="0"/>
          <w:noProof/>
          <w:color w:val="auto"/>
          <w:szCs w:val="22"/>
          <w:lang w:eastAsia="en-AU"/>
        </w:rPr>
      </w:pPr>
      <w:hyperlink w:anchor="_Toc98763160" w:history="1">
        <w:r w:rsidR="00887060" w:rsidRPr="00597616">
          <w:rPr>
            <w:rStyle w:val="Hyperlink"/>
            <w:noProof/>
          </w:rPr>
          <w:t>Note 30. Restructure of Administrative Arrangements [Directorates Only]</w:t>
        </w:r>
        <w:r w:rsidR="00887060">
          <w:rPr>
            <w:noProof/>
            <w:webHidden/>
          </w:rPr>
          <w:tab/>
        </w:r>
        <w:r w:rsidR="00887060">
          <w:rPr>
            <w:noProof/>
            <w:webHidden/>
          </w:rPr>
          <w:fldChar w:fldCharType="begin"/>
        </w:r>
        <w:r w:rsidR="00887060">
          <w:rPr>
            <w:noProof/>
            <w:webHidden/>
          </w:rPr>
          <w:instrText xml:space="preserve"> PAGEREF _Toc98763160 \h </w:instrText>
        </w:r>
        <w:r w:rsidR="00887060">
          <w:rPr>
            <w:noProof/>
            <w:webHidden/>
          </w:rPr>
        </w:r>
        <w:r w:rsidR="00887060">
          <w:rPr>
            <w:noProof/>
            <w:webHidden/>
          </w:rPr>
          <w:fldChar w:fldCharType="separate"/>
        </w:r>
        <w:r w:rsidR="00C736E0">
          <w:rPr>
            <w:noProof/>
            <w:webHidden/>
          </w:rPr>
          <w:t>118</w:t>
        </w:r>
        <w:r w:rsidR="00887060">
          <w:rPr>
            <w:noProof/>
            <w:webHidden/>
          </w:rPr>
          <w:fldChar w:fldCharType="end"/>
        </w:r>
      </w:hyperlink>
    </w:p>
    <w:p w14:paraId="679C0A1D" w14:textId="337C6313" w:rsidR="00887060" w:rsidRDefault="00D20569">
      <w:pPr>
        <w:pStyle w:val="TOC1"/>
        <w:rPr>
          <w:rFonts w:asciiTheme="minorHAnsi" w:eastAsiaTheme="minorEastAsia" w:hAnsiTheme="minorHAnsi" w:cstheme="minorBidi"/>
          <w:b w:val="0"/>
          <w:bCs w:val="0"/>
          <w:noProof/>
          <w:color w:val="auto"/>
          <w:szCs w:val="22"/>
          <w:lang w:eastAsia="en-AU"/>
        </w:rPr>
      </w:pPr>
      <w:hyperlink w:anchor="_Toc98763161" w:history="1">
        <w:r w:rsidR="00887060" w:rsidRPr="00597616">
          <w:rPr>
            <w:rStyle w:val="Hyperlink"/>
            <w:noProof/>
          </w:rPr>
          <w:t>Note 31.  Financial Instruments</w:t>
        </w:r>
        <w:r w:rsidR="00887060">
          <w:rPr>
            <w:noProof/>
            <w:webHidden/>
          </w:rPr>
          <w:tab/>
        </w:r>
        <w:r w:rsidR="00887060">
          <w:rPr>
            <w:noProof/>
            <w:webHidden/>
          </w:rPr>
          <w:fldChar w:fldCharType="begin"/>
        </w:r>
        <w:r w:rsidR="00887060">
          <w:rPr>
            <w:noProof/>
            <w:webHidden/>
          </w:rPr>
          <w:instrText xml:space="preserve"> PAGEREF _Toc98763161 \h </w:instrText>
        </w:r>
        <w:r w:rsidR="00887060">
          <w:rPr>
            <w:noProof/>
            <w:webHidden/>
          </w:rPr>
        </w:r>
        <w:r w:rsidR="00887060">
          <w:rPr>
            <w:noProof/>
            <w:webHidden/>
          </w:rPr>
          <w:fldChar w:fldCharType="separate"/>
        </w:r>
        <w:r w:rsidR="00C736E0">
          <w:rPr>
            <w:noProof/>
            <w:webHidden/>
          </w:rPr>
          <w:t>121</w:t>
        </w:r>
        <w:r w:rsidR="00887060">
          <w:rPr>
            <w:noProof/>
            <w:webHidden/>
          </w:rPr>
          <w:fldChar w:fldCharType="end"/>
        </w:r>
      </w:hyperlink>
    </w:p>
    <w:p w14:paraId="491AE272" w14:textId="60748D70" w:rsidR="00887060" w:rsidRDefault="00D20569">
      <w:pPr>
        <w:pStyle w:val="TOC1"/>
        <w:rPr>
          <w:rFonts w:asciiTheme="minorHAnsi" w:eastAsiaTheme="minorEastAsia" w:hAnsiTheme="minorHAnsi" w:cstheme="minorBidi"/>
          <w:b w:val="0"/>
          <w:bCs w:val="0"/>
          <w:noProof/>
          <w:color w:val="auto"/>
          <w:szCs w:val="22"/>
          <w:lang w:eastAsia="en-AU"/>
        </w:rPr>
      </w:pPr>
      <w:hyperlink w:anchor="_Toc98763167" w:history="1">
        <w:r w:rsidR="00887060" w:rsidRPr="00597616">
          <w:rPr>
            <w:rStyle w:val="Hyperlink"/>
            <w:noProof/>
          </w:rPr>
          <w:t>Note 32. Capital and Other Expenditure Commitments</w:t>
        </w:r>
        <w:r w:rsidR="00887060">
          <w:rPr>
            <w:noProof/>
            <w:webHidden/>
          </w:rPr>
          <w:tab/>
        </w:r>
        <w:r w:rsidR="00887060">
          <w:rPr>
            <w:noProof/>
            <w:webHidden/>
          </w:rPr>
          <w:fldChar w:fldCharType="begin"/>
        </w:r>
        <w:r w:rsidR="00887060">
          <w:rPr>
            <w:noProof/>
            <w:webHidden/>
          </w:rPr>
          <w:instrText xml:space="preserve"> PAGEREF _Toc98763167 \h </w:instrText>
        </w:r>
        <w:r w:rsidR="00887060">
          <w:rPr>
            <w:noProof/>
            <w:webHidden/>
          </w:rPr>
        </w:r>
        <w:r w:rsidR="00887060">
          <w:rPr>
            <w:noProof/>
            <w:webHidden/>
          </w:rPr>
          <w:fldChar w:fldCharType="separate"/>
        </w:r>
        <w:r w:rsidR="00C736E0">
          <w:rPr>
            <w:noProof/>
            <w:webHidden/>
          </w:rPr>
          <w:t>129</w:t>
        </w:r>
        <w:r w:rsidR="00887060">
          <w:rPr>
            <w:noProof/>
            <w:webHidden/>
          </w:rPr>
          <w:fldChar w:fldCharType="end"/>
        </w:r>
      </w:hyperlink>
    </w:p>
    <w:p w14:paraId="410A2F72" w14:textId="598BEDAC" w:rsidR="00887060" w:rsidRDefault="00D20569">
      <w:pPr>
        <w:pStyle w:val="TOC1"/>
        <w:rPr>
          <w:rFonts w:asciiTheme="minorHAnsi" w:eastAsiaTheme="minorEastAsia" w:hAnsiTheme="minorHAnsi" w:cstheme="minorBidi"/>
          <w:b w:val="0"/>
          <w:bCs w:val="0"/>
          <w:noProof/>
          <w:color w:val="auto"/>
          <w:szCs w:val="22"/>
          <w:lang w:eastAsia="en-AU"/>
        </w:rPr>
      </w:pPr>
      <w:hyperlink w:anchor="_Toc98763169" w:history="1">
        <w:r w:rsidR="00887060" w:rsidRPr="00597616">
          <w:rPr>
            <w:rStyle w:val="Hyperlink"/>
            <w:noProof/>
          </w:rPr>
          <w:t>Note 33.  Contingent Liabilities and Contingent Assets</w:t>
        </w:r>
        <w:r w:rsidR="00887060">
          <w:rPr>
            <w:noProof/>
            <w:webHidden/>
          </w:rPr>
          <w:tab/>
        </w:r>
        <w:r w:rsidR="00887060">
          <w:rPr>
            <w:noProof/>
            <w:webHidden/>
          </w:rPr>
          <w:fldChar w:fldCharType="begin"/>
        </w:r>
        <w:r w:rsidR="00887060">
          <w:rPr>
            <w:noProof/>
            <w:webHidden/>
          </w:rPr>
          <w:instrText xml:space="preserve"> PAGEREF _Toc98763169 \h </w:instrText>
        </w:r>
        <w:r w:rsidR="00887060">
          <w:rPr>
            <w:noProof/>
            <w:webHidden/>
          </w:rPr>
        </w:r>
        <w:r w:rsidR="00887060">
          <w:rPr>
            <w:noProof/>
            <w:webHidden/>
          </w:rPr>
          <w:fldChar w:fldCharType="separate"/>
        </w:r>
        <w:r w:rsidR="00C736E0">
          <w:rPr>
            <w:noProof/>
            <w:webHidden/>
          </w:rPr>
          <w:t>130</w:t>
        </w:r>
        <w:r w:rsidR="00887060">
          <w:rPr>
            <w:noProof/>
            <w:webHidden/>
          </w:rPr>
          <w:fldChar w:fldCharType="end"/>
        </w:r>
      </w:hyperlink>
    </w:p>
    <w:p w14:paraId="0A87674B" w14:textId="2807452A" w:rsidR="00887060" w:rsidRDefault="00D20569">
      <w:pPr>
        <w:pStyle w:val="TOC1"/>
        <w:rPr>
          <w:rFonts w:asciiTheme="minorHAnsi" w:eastAsiaTheme="minorEastAsia" w:hAnsiTheme="minorHAnsi" w:cstheme="minorBidi"/>
          <w:b w:val="0"/>
          <w:bCs w:val="0"/>
          <w:noProof/>
          <w:color w:val="auto"/>
          <w:szCs w:val="22"/>
          <w:lang w:eastAsia="en-AU"/>
        </w:rPr>
      </w:pPr>
      <w:hyperlink w:anchor="_Toc98763171" w:history="1">
        <w:r w:rsidR="00887060" w:rsidRPr="00597616">
          <w:rPr>
            <w:rStyle w:val="Hyperlink"/>
            <w:noProof/>
          </w:rPr>
          <w:t>Note 34.  Interest in a Joint Venture</w:t>
        </w:r>
        <w:r w:rsidR="00887060">
          <w:rPr>
            <w:noProof/>
            <w:webHidden/>
          </w:rPr>
          <w:tab/>
        </w:r>
        <w:r w:rsidR="00887060">
          <w:rPr>
            <w:noProof/>
            <w:webHidden/>
          </w:rPr>
          <w:fldChar w:fldCharType="begin"/>
        </w:r>
        <w:r w:rsidR="00887060">
          <w:rPr>
            <w:noProof/>
            <w:webHidden/>
          </w:rPr>
          <w:instrText xml:space="preserve"> PAGEREF _Toc98763171 \h </w:instrText>
        </w:r>
        <w:r w:rsidR="00887060">
          <w:rPr>
            <w:noProof/>
            <w:webHidden/>
          </w:rPr>
        </w:r>
        <w:r w:rsidR="00887060">
          <w:rPr>
            <w:noProof/>
            <w:webHidden/>
          </w:rPr>
          <w:fldChar w:fldCharType="separate"/>
        </w:r>
        <w:r w:rsidR="00C736E0">
          <w:rPr>
            <w:noProof/>
            <w:webHidden/>
          </w:rPr>
          <w:t>132</w:t>
        </w:r>
        <w:r w:rsidR="00887060">
          <w:rPr>
            <w:noProof/>
            <w:webHidden/>
          </w:rPr>
          <w:fldChar w:fldCharType="end"/>
        </w:r>
      </w:hyperlink>
    </w:p>
    <w:p w14:paraId="017624E4" w14:textId="0DA80016" w:rsidR="00887060" w:rsidRDefault="00D20569">
      <w:pPr>
        <w:pStyle w:val="TOC1"/>
        <w:rPr>
          <w:rFonts w:asciiTheme="minorHAnsi" w:eastAsiaTheme="minorEastAsia" w:hAnsiTheme="minorHAnsi" w:cstheme="minorBidi"/>
          <w:b w:val="0"/>
          <w:bCs w:val="0"/>
          <w:noProof/>
          <w:color w:val="auto"/>
          <w:szCs w:val="22"/>
          <w:lang w:eastAsia="en-AU"/>
        </w:rPr>
      </w:pPr>
      <w:hyperlink w:anchor="_Toc98763175" w:history="1">
        <w:r w:rsidR="00887060" w:rsidRPr="00597616">
          <w:rPr>
            <w:rStyle w:val="Hyperlink"/>
            <w:noProof/>
          </w:rPr>
          <w:t>Note 35</w:t>
        </w:r>
        <w:r w:rsidR="00887060" w:rsidRPr="00597616">
          <w:rPr>
            <w:rStyle w:val="Hyperlink"/>
            <w:rFonts w:ascii="Arial Bold" w:hAnsi="Arial Bold"/>
            <w:noProof/>
          </w:rPr>
          <w:t>.</w:t>
        </w:r>
        <w:r w:rsidR="00887060" w:rsidRPr="00597616">
          <w:rPr>
            <w:rStyle w:val="Hyperlink"/>
            <w:noProof/>
          </w:rPr>
          <w:t xml:space="preserve">  Interest in A Joint Operation</w:t>
        </w:r>
        <w:r w:rsidR="00887060">
          <w:rPr>
            <w:noProof/>
            <w:webHidden/>
          </w:rPr>
          <w:tab/>
        </w:r>
        <w:r w:rsidR="00887060">
          <w:rPr>
            <w:noProof/>
            <w:webHidden/>
          </w:rPr>
          <w:fldChar w:fldCharType="begin"/>
        </w:r>
        <w:r w:rsidR="00887060">
          <w:rPr>
            <w:noProof/>
            <w:webHidden/>
          </w:rPr>
          <w:instrText xml:space="preserve"> PAGEREF _Toc98763175 \h </w:instrText>
        </w:r>
        <w:r w:rsidR="00887060">
          <w:rPr>
            <w:noProof/>
            <w:webHidden/>
          </w:rPr>
        </w:r>
        <w:r w:rsidR="00887060">
          <w:rPr>
            <w:noProof/>
            <w:webHidden/>
          </w:rPr>
          <w:fldChar w:fldCharType="separate"/>
        </w:r>
        <w:r w:rsidR="00C736E0">
          <w:rPr>
            <w:noProof/>
            <w:webHidden/>
          </w:rPr>
          <w:t>135</w:t>
        </w:r>
        <w:r w:rsidR="00887060">
          <w:rPr>
            <w:noProof/>
            <w:webHidden/>
          </w:rPr>
          <w:fldChar w:fldCharType="end"/>
        </w:r>
      </w:hyperlink>
    </w:p>
    <w:p w14:paraId="4906D1B5" w14:textId="12E3D6EC" w:rsidR="00887060" w:rsidRDefault="00D20569">
      <w:pPr>
        <w:pStyle w:val="TOC1"/>
        <w:rPr>
          <w:rFonts w:asciiTheme="minorHAnsi" w:eastAsiaTheme="minorEastAsia" w:hAnsiTheme="minorHAnsi" w:cstheme="minorBidi"/>
          <w:b w:val="0"/>
          <w:bCs w:val="0"/>
          <w:noProof/>
          <w:color w:val="auto"/>
          <w:szCs w:val="22"/>
          <w:lang w:eastAsia="en-AU"/>
        </w:rPr>
      </w:pPr>
      <w:hyperlink w:anchor="_Toc98763178" w:history="1">
        <w:r w:rsidR="00887060" w:rsidRPr="00597616">
          <w:rPr>
            <w:rStyle w:val="Hyperlink"/>
            <w:noProof/>
          </w:rPr>
          <w:t>Note 36.  Events after the Reporting Period</w:t>
        </w:r>
        <w:r w:rsidR="00887060">
          <w:rPr>
            <w:noProof/>
            <w:webHidden/>
          </w:rPr>
          <w:tab/>
        </w:r>
        <w:r w:rsidR="00887060">
          <w:rPr>
            <w:noProof/>
            <w:webHidden/>
          </w:rPr>
          <w:fldChar w:fldCharType="begin"/>
        </w:r>
        <w:r w:rsidR="00887060">
          <w:rPr>
            <w:noProof/>
            <w:webHidden/>
          </w:rPr>
          <w:instrText xml:space="preserve"> PAGEREF _Toc98763178 \h </w:instrText>
        </w:r>
        <w:r w:rsidR="00887060">
          <w:rPr>
            <w:noProof/>
            <w:webHidden/>
          </w:rPr>
        </w:r>
        <w:r w:rsidR="00887060">
          <w:rPr>
            <w:noProof/>
            <w:webHidden/>
          </w:rPr>
          <w:fldChar w:fldCharType="separate"/>
        </w:r>
        <w:r w:rsidR="00C736E0">
          <w:rPr>
            <w:noProof/>
            <w:webHidden/>
          </w:rPr>
          <w:t>136</w:t>
        </w:r>
        <w:r w:rsidR="00887060">
          <w:rPr>
            <w:noProof/>
            <w:webHidden/>
          </w:rPr>
          <w:fldChar w:fldCharType="end"/>
        </w:r>
      </w:hyperlink>
    </w:p>
    <w:p w14:paraId="25A7F445" w14:textId="51906C30" w:rsidR="00887060" w:rsidRDefault="00D20569">
      <w:pPr>
        <w:pStyle w:val="TOC1"/>
        <w:rPr>
          <w:rFonts w:asciiTheme="minorHAnsi" w:eastAsiaTheme="minorEastAsia" w:hAnsiTheme="minorHAnsi" w:cstheme="minorBidi"/>
          <w:b w:val="0"/>
          <w:bCs w:val="0"/>
          <w:noProof/>
          <w:color w:val="auto"/>
          <w:szCs w:val="22"/>
          <w:lang w:eastAsia="en-AU"/>
        </w:rPr>
      </w:pPr>
      <w:hyperlink w:anchor="_Toc98763179" w:history="1">
        <w:r w:rsidR="00887060" w:rsidRPr="00597616">
          <w:rPr>
            <w:rStyle w:val="Hyperlink"/>
            <w:noProof/>
          </w:rPr>
          <w:t>Note 37.  Third Party Monies</w:t>
        </w:r>
        <w:r w:rsidR="00887060">
          <w:rPr>
            <w:noProof/>
            <w:webHidden/>
          </w:rPr>
          <w:tab/>
        </w:r>
        <w:r w:rsidR="00887060">
          <w:rPr>
            <w:noProof/>
            <w:webHidden/>
          </w:rPr>
          <w:fldChar w:fldCharType="begin"/>
        </w:r>
        <w:r w:rsidR="00887060">
          <w:rPr>
            <w:noProof/>
            <w:webHidden/>
          </w:rPr>
          <w:instrText xml:space="preserve"> PAGEREF _Toc98763179 \h </w:instrText>
        </w:r>
        <w:r w:rsidR="00887060">
          <w:rPr>
            <w:noProof/>
            <w:webHidden/>
          </w:rPr>
        </w:r>
        <w:r w:rsidR="00887060">
          <w:rPr>
            <w:noProof/>
            <w:webHidden/>
          </w:rPr>
          <w:fldChar w:fldCharType="separate"/>
        </w:r>
        <w:r w:rsidR="00C736E0">
          <w:rPr>
            <w:noProof/>
            <w:webHidden/>
          </w:rPr>
          <w:t>137</w:t>
        </w:r>
        <w:r w:rsidR="00887060">
          <w:rPr>
            <w:noProof/>
            <w:webHidden/>
          </w:rPr>
          <w:fldChar w:fldCharType="end"/>
        </w:r>
      </w:hyperlink>
    </w:p>
    <w:p w14:paraId="3752BF41" w14:textId="2941DF0B" w:rsidR="00887060" w:rsidRDefault="00D20569">
      <w:pPr>
        <w:pStyle w:val="TOC1"/>
        <w:rPr>
          <w:rFonts w:asciiTheme="minorHAnsi" w:eastAsiaTheme="minorEastAsia" w:hAnsiTheme="minorHAnsi" w:cstheme="minorBidi"/>
          <w:b w:val="0"/>
          <w:bCs w:val="0"/>
          <w:noProof/>
          <w:color w:val="auto"/>
          <w:szCs w:val="22"/>
          <w:lang w:eastAsia="en-AU"/>
        </w:rPr>
      </w:pPr>
      <w:hyperlink w:anchor="_Toc98763180" w:history="1">
        <w:r w:rsidR="00887060" w:rsidRPr="00597616">
          <w:rPr>
            <w:rStyle w:val="Hyperlink"/>
            <w:noProof/>
          </w:rPr>
          <w:t>Note 38.  Related Party Disclosures</w:t>
        </w:r>
        <w:r w:rsidR="00887060">
          <w:rPr>
            <w:noProof/>
            <w:webHidden/>
          </w:rPr>
          <w:tab/>
        </w:r>
        <w:r w:rsidR="00887060">
          <w:rPr>
            <w:noProof/>
            <w:webHidden/>
          </w:rPr>
          <w:fldChar w:fldCharType="begin"/>
        </w:r>
        <w:r w:rsidR="00887060">
          <w:rPr>
            <w:noProof/>
            <w:webHidden/>
          </w:rPr>
          <w:instrText xml:space="preserve"> PAGEREF _Toc98763180 \h </w:instrText>
        </w:r>
        <w:r w:rsidR="00887060">
          <w:rPr>
            <w:noProof/>
            <w:webHidden/>
          </w:rPr>
        </w:r>
        <w:r w:rsidR="00887060">
          <w:rPr>
            <w:noProof/>
            <w:webHidden/>
          </w:rPr>
          <w:fldChar w:fldCharType="separate"/>
        </w:r>
        <w:r w:rsidR="00C736E0">
          <w:rPr>
            <w:noProof/>
            <w:webHidden/>
          </w:rPr>
          <w:t>138</w:t>
        </w:r>
        <w:r w:rsidR="00887060">
          <w:rPr>
            <w:noProof/>
            <w:webHidden/>
          </w:rPr>
          <w:fldChar w:fldCharType="end"/>
        </w:r>
      </w:hyperlink>
    </w:p>
    <w:p w14:paraId="7C7FDF53" w14:textId="7C898A37" w:rsidR="00887060" w:rsidRDefault="00D20569">
      <w:pPr>
        <w:pStyle w:val="TOC1"/>
        <w:rPr>
          <w:rFonts w:asciiTheme="minorHAnsi" w:eastAsiaTheme="minorEastAsia" w:hAnsiTheme="minorHAnsi" w:cstheme="minorBidi"/>
          <w:b w:val="0"/>
          <w:bCs w:val="0"/>
          <w:noProof/>
          <w:color w:val="auto"/>
          <w:szCs w:val="22"/>
          <w:lang w:eastAsia="en-AU"/>
        </w:rPr>
      </w:pPr>
      <w:hyperlink w:anchor="_Toc98763181" w:history="1">
        <w:r w:rsidR="00887060" w:rsidRPr="00597616">
          <w:rPr>
            <w:rStyle w:val="Hyperlink"/>
            <w:noProof/>
          </w:rPr>
          <w:t>Note 39 Service Concession Arrangements</w:t>
        </w:r>
        <w:r w:rsidR="00887060">
          <w:rPr>
            <w:noProof/>
            <w:webHidden/>
          </w:rPr>
          <w:tab/>
        </w:r>
        <w:r w:rsidR="00887060">
          <w:rPr>
            <w:noProof/>
            <w:webHidden/>
          </w:rPr>
          <w:fldChar w:fldCharType="begin"/>
        </w:r>
        <w:r w:rsidR="00887060">
          <w:rPr>
            <w:noProof/>
            <w:webHidden/>
          </w:rPr>
          <w:instrText xml:space="preserve"> PAGEREF _Toc98763181 \h </w:instrText>
        </w:r>
        <w:r w:rsidR="00887060">
          <w:rPr>
            <w:noProof/>
            <w:webHidden/>
          </w:rPr>
        </w:r>
        <w:r w:rsidR="00887060">
          <w:rPr>
            <w:noProof/>
            <w:webHidden/>
          </w:rPr>
          <w:fldChar w:fldCharType="separate"/>
        </w:r>
        <w:r w:rsidR="00C736E0">
          <w:rPr>
            <w:noProof/>
            <w:webHidden/>
          </w:rPr>
          <w:t>143</w:t>
        </w:r>
        <w:r w:rsidR="00887060">
          <w:rPr>
            <w:noProof/>
            <w:webHidden/>
          </w:rPr>
          <w:fldChar w:fldCharType="end"/>
        </w:r>
      </w:hyperlink>
    </w:p>
    <w:p w14:paraId="50A774A1" w14:textId="5FB3F5DB" w:rsidR="00887060" w:rsidRDefault="00D20569">
      <w:pPr>
        <w:pStyle w:val="TOC1"/>
        <w:rPr>
          <w:rFonts w:asciiTheme="minorHAnsi" w:eastAsiaTheme="minorEastAsia" w:hAnsiTheme="minorHAnsi" w:cstheme="minorBidi"/>
          <w:b w:val="0"/>
          <w:bCs w:val="0"/>
          <w:noProof/>
          <w:color w:val="auto"/>
          <w:szCs w:val="22"/>
          <w:lang w:eastAsia="en-AU"/>
        </w:rPr>
      </w:pPr>
      <w:hyperlink w:anchor="_Toc98763182" w:history="1">
        <w:r w:rsidR="00887060" w:rsidRPr="00597616">
          <w:rPr>
            <w:rStyle w:val="Hyperlink"/>
            <w:noProof/>
          </w:rPr>
          <w:t>Note 40.  Budgetary Reporting</w:t>
        </w:r>
        <w:r w:rsidR="00887060">
          <w:rPr>
            <w:noProof/>
            <w:webHidden/>
          </w:rPr>
          <w:tab/>
        </w:r>
        <w:r w:rsidR="00887060">
          <w:rPr>
            <w:noProof/>
            <w:webHidden/>
          </w:rPr>
          <w:fldChar w:fldCharType="begin"/>
        </w:r>
        <w:r w:rsidR="00887060">
          <w:rPr>
            <w:noProof/>
            <w:webHidden/>
          </w:rPr>
          <w:instrText xml:space="preserve"> PAGEREF _Toc98763182 \h </w:instrText>
        </w:r>
        <w:r w:rsidR="00887060">
          <w:rPr>
            <w:noProof/>
            <w:webHidden/>
          </w:rPr>
        </w:r>
        <w:r w:rsidR="00887060">
          <w:rPr>
            <w:noProof/>
            <w:webHidden/>
          </w:rPr>
          <w:fldChar w:fldCharType="separate"/>
        </w:r>
        <w:r w:rsidR="00C736E0">
          <w:rPr>
            <w:noProof/>
            <w:webHidden/>
          </w:rPr>
          <w:t>146</w:t>
        </w:r>
        <w:r w:rsidR="00887060">
          <w:rPr>
            <w:noProof/>
            <w:webHidden/>
          </w:rPr>
          <w:fldChar w:fldCharType="end"/>
        </w:r>
      </w:hyperlink>
    </w:p>
    <w:p w14:paraId="740A5676" w14:textId="0DBD312B" w:rsidR="00887060" w:rsidRDefault="00D20569">
      <w:pPr>
        <w:pStyle w:val="TOC1"/>
        <w:rPr>
          <w:rFonts w:asciiTheme="minorHAnsi" w:eastAsiaTheme="minorEastAsia" w:hAnsiTheme="minorHAnsi" w:cstheme="minorBidi"/>
          <w:b w:val="0"/>
          <w:bCs w:val="0"/>
          <w:noProof/>
          <w:color w:val="auto"/>
          <w:szCs w:val="22"/>
          <w:lang w:eastAsia="en-AU"/>
        </w:rPr>
      </w:pPr>
      <w:hyperlink w:anchor="_Toc98763184" w:history="1">
        <w:r w:rsidR="00887060" w:rsidRPr="00597616">
          <w:rPr>
            <w:rStyle w:val="Hyperlink"/>
            <w:noProof/>
          </w:rPr>
          <w:t>TERRITORIAL FINANCIAL STATEMENTS</w:t>
        </w:r>
        <w:r w:rsidR="00887060">
          <w:rPr>
            <w:noProof/>
            <w:webHidden/>
          </w:rPr>
          <w:tab/>
        </w:r>
        <w:r w:rsidR="00887060">
          <w:rPr>
            <w:noProof/>
            <w:webHidden/>
          </w:rPr>
          <w:fldChar w:fldCharType="begin"/>
        </w:r>
        <w:r w:rsidR="00887060">
          <w:rPr>
            <w:noProof/>
            <w:webHidden/>
          </w:rPr>
          <w:instrText xml:space="preserve"> PAGEREF _Toc98763184 \h </w:instrText>
        </w:r>
        <w:r w:rsidR="00887060">
          <w:rPr>
            <w:noProof/>
            <w:webHidden/>
          </w:rPr>
        </w:r>
        <w:r w:rsidR="00887060">
          <w:rPr>
            <w:noProof/>
            <w:webHidden/>
          </w:rPr>
          <w:fldChar w:fldCharType="separate"/>
        </w:r>
        <w:r w:rsidR="00C736E0">
          <w:rPr>
            <w:noProof/>
            <w:webHidden/>
          </w:rPr>
          <w:t>151</w:t>
        </w:r>
        <w:r w:rsidR="00887060">
          <w:rPr>
            <w:noProof/>
            <w:webHidden/>
          </w:rPr>
          <w:fldChar w:fldCharType="end"/>
        </w:r>
      </w:hyperlink>
    </w:p>
    <w:p w14:paraId="4BA3E7D3" w14:textId="505AC250" w:rsidR="00887060" w:rsidRDefault="00D20569">
      <w:pPr>
        <w:pStyle w:val="TOC1"/>
        <w:rPr>
          <w:rFonts w:asciiTheme="minorHAnsi" w:eastAsiaTheme="minorEastAsia" w:hAnsiTheme="minorHAnsi" w:cstheme="minorBidi"/>
          <w:b w:val="0"/>
          <w:bCs w:val="0"/>
          <w:noProof/>
          <w:color w:val="auto"/>
          <w:szCs w:val="22"/>
          <w:lang w:eastAsia="en-AU"/>
        </w:rPr>
      </w:pPr>
      <w:hyperlink w:anchor="_Toc98763185" w:history="1">
        <w:r w:rsidR="00887060" w:rsidRPr="00597616">
          <w:rPr>
            <w:rStyle w:val="Hyperlink"/>
            <w:rFonts w:cstheme="minorHAnsi"/>
            <w:noProof/>
          </w:rPr>
          <w:t xml:space="preserve">Content of Territorial </w:t>
        </w:r>
        <w:r w:rsidR="00887060" w:rsidRPr="00597616">
          <w:rPr>
            <w:rStyle w:val="Hyperlink"/>
            <w:noProof/>
          </w:rPr>
          <w:t>Financial Statements</w:t>
        </w:r>
        <w:r w:rsidR="00887060">
          <w:rPr>
            <w:noProof/>
            <w:webHidden/>
          </w:rPr>
          <w:tab/>
        </w:r>
        <w:r w:rsidR="00887060">
          <w:rPr>
            <w:noProof/>
            <w:webHidden/>
          </w:rPr>
          <w:fldChar w:fldCharType="begin"/>
        </w:r>
        <w:r w:rsidR="00887060">
          <w:rPr>
            <w:noProof/>
            <w:webHidden/>
          </w:rPr>
          <w:instrText xml:space="preserve"> PAGEREF _Toc98763185 \h </w:instrText>
        </w:r>
        <w:r w:rsidR="00887060">
          <w:rPr>
            <w:noProof/>
            <w:webHidden/>
          </w:rPr>
        </w:r>
        <w:r w:rsidR="00887060">
          <w:rPr>
            <w:noProof/>
            <w:webHidden/>
          </w:rPr>
          <w:fldChar w:fldCharType="separate"/>
        </w:r>
        <w:r w:rsidR="00C736E0">
          <w:rPr>
            <w:noProof/>
            <w:webHidden/>
          </w:rPr>
          <w:t>152</w:t>
        </w:r>
        <w:r w:rsidR="00887060">
          <w:rPr>
            <w:noProof/>
            <w:webHidden/>
          </w:rPr>
          <w:fldChar w:fldCharType="end"/>
        </w:r>
      </w:hyperlink>
    </w:p>
    <w:p w14:paraId="641C84C4" w14:textId="77A6B468" w:rsidR="00887060" w:rsidRDefault="00D20569">
      <w:pPr>
        <w:pStyle w:val="TOC1"/>
        <w:rPr>
          <w:rFonts w:asciiTheme="minorHAnsi" w:eastAsiaTheme="minorEastAsia" w:hAnsiTheme="minorHAnsi" w:cstheme="minorBidi"/>
          <w:b w:val="0"/>
          <w:bCs w:val="0"/>
          <w:noProof/>
          <w:color w:val="auto"/>
          <w:szCs w:val="22"/>
          <w:lang w:eastAsia="en-AU"/>
        </w:rPr>
      </w:pPr>
      <w:hyperlink w:anchor="_Toc98763189" w:history="1">
        <w:r w:rsidR="00887060" w:rsidRPr="00597616">
          <w:rPr>
            <w:rStyle w:val="Hyperlink"/>
            <w:rFonts w:cstheme="minorHAnsi"/>
            <w:noProof/>
          </w:rPr>
          <w:t>Statement of Income and Expenses on Behalf of the Territory</w:t>
        </w:r>
        <w:r w:rsidR="00887060">
          <w:rPr>
            <w:noProof/>
            <w:webHidden/>
          </w:rPr>
          <w:tab/>
        </w:r>
        <w:r w:rsidR="00887060">
          <w:rPr>
            <w:noProof/>
            <w:webHidden/>
          </w:rPr>
          <w:fldChar w:fldCharType="begin"/>
        </w:r>
        <w:r w:rsidR="00887060">
          <w:rPr>
            <w:noProof/>
            <w:webHidden/>
          </w:rPr>
          <w:instrText xml:space="preserve"> PAGEREF _Toc98763189 \h </w:instrText>
        </w:r>
        <w:r w:rsidR="00887060">
          <w:rPr>
            <w:noProof/>
            <w:webHidden/>
          </w:rPr>
        </w:r>
        <w:r w:rsidR="00887060">
          <w:rPr>
            <w:noProof/>
            <w:webHidden/>
          </w:rPr>
          <w:fldChar w:fldCharType="separate"/>
        </w:r>
        <w:r w:rsidR="00C736E0">
          <w:rPr>
            <w:noProof/>
            <w:webHidden/>
          </w:rPr>
          <w:t>153</w:t>
        </w:r>
        <w:r w:rsidR="00887060">
          <w:rPr>
            <w:noProof/>
            <w:webHidden/>
          </w:rPr>
          <w:fldChar w:fldCharType="end"/>
        </w:r>
      </w:hyperlink>
    </w:p>
    <w:p w14:paraId="351E3296" w14:textId="051AD778" w:rsidR="00887060" w:rsidRDefault="00D20569">
      <w:pPr>
        <w:pStyle w:val="TOC1"/>
        <w:rPr>
          <w:rFonts w:asciiTheme="minorHAnsi" w:eastAsiaTheme="minorEastAsia" w:hAnsiTheme="minorHAnsi" w:cstheme="minorBidi"/>
          <w:b w:val="0"/>
          <w:bCs w:val="0"/>
          <w:noProof/>
          <w:color w:val="auto"/>
          <w:szCs w:val="22"/>
          <w:lang w:eastAsia="en-AU"/>
        </w:rPr>
      </w:pPr>
      <w:hyperlink w:anchor="_Toc98763190" w:history="1">
        <w:r w:rsidR="00887060" w:rsidRPr="00597616">
          <w:rPr>
            <w:rStyle w:val="Hyperlink"/>
            <w:noProof/>
          </w:rPr>
          <w:t>Statement of Assets and Liabilities on Behalf of the Territory</w:t>
        </w:r>
        <w:r w:rsidR="00887060">
          <w:rPr>
            <w:noProof/>
            <w:webHidden/>
          </w:rPr>
          <w:tab/>
        </w:r>
        <w:r w:rsidR="00887060">
          <w:rPr>
            <w:noProof/>
            <w:webHidden/>
          </w:rPr>
          <w:fldChar w:fldCharType="begin"/>
        </w:r>
        <w:r w:rsidR="00887060">
          <w:rPr>
            <w:noProof/>
            <w:webHidden/>
          </w:rPr>
          <w:instrText xml:space="preserve"> PAGEREF _Toc98763190 \h </w:instrText>
        </w:r>
        <w:r w:rsidR="00887060">
          <w:rPr>
            <w:noProof/>
            <w:webHidden/>
          </w:rPr>
        </w:r>
        <w:r w:rsidR="00887060">
          <w:rPr>
            <w:noProof/>
            <w:webHidden/>
          </w:rPr>
          <w:fldChar w:fldCharType="separate"/>
        </w:r>
        <w:r w:rsidR="00C736E0">
          <w:rPr>
            <w:noProof/>
            <w:webHidden/>
          </w:rPr>
          <w:t>154</w:t>
        </w:r>
        <w:r w:rsidR="00887060">
          <w:rPr>
            <w:noProof/>
            <w:webHidden/>
          </w:rPr>
          <w:fldChar w:fldCharType="end"/>
        </w:r>
      </w:hyperlink>
    </w:p>
    <w:p w14:paraId="62878719" w14:textId="415B6AEC" w:rsidR="00887060" w:rsidRDefault="00D20569">
      <w:pPr>
        <w:pStyle w:val="TOC1"/>
        <w:rPr>
          <w:rFonts w:asciiTheme="minorHAnsi" w:eastAsiaTheme="minorEastAsia" w:hAnsiTheme="minorHAnsi" w:cstheme="minorBidi"/>
          <w:b w:val="0"/>
          <w:bCs w:val="0"/>
          <w:noProof/>
          <w:color w:val="auto"/>
          <w:szCs w:val="22"/>
          <w:lang w:eastAsia="en-AU"/>
        </w:rPr>
      </w:pPr>
      <w:hyperlink w:anchor="_Toc98763191" w:history="1">
        <w:r w:rsidR="00887060" w:rsidRPr="00597616">
          <w:rPr>
            <w:rStyle w:val="Hyperlink"/>
            <w:rFonts w:cstheme="minorHAnsi"/>
            <w:noProof/>
          </w:rPr>
          <w:t>Statement of Changes in Equity on Behalf of the Territory</w:t>
        </w:r>
        <w:r w:rsidR="00887060">
          <w:rPr>
            <w:noProof/>
            <w:webHidden/>
          </w:rPr>
          <w:tab/>
        </w:r>
        <w:r w:rsidR="00887060">
          <w:rPr>
            <w:noProof/>
            <w:webHidden/>
          </w:rPr>
          <w:fldChar w:fldCharType="begin"/>
        </w:r>
        <w:r w:rsidR="00887060">
          <w:rPr>
            <w:noProof/>
            <w:webHidden/>
          </w:rPr>
          <w:instrText xml:space="preserve"> PAGEREF _Toc98763191 \h </w:instrText>
        </w:r>
        <w:r w:rsidR="00887060">
          <w:rPr>
            <w:noProof/>
            <w:webHidden/>
          </w:rPr>
        </w:r>
        <w:r w:rsidR="00887060">
          <w:rPr>
            <w:noProof/>
            <w:webHidden/>
          </w:rPr>
          <w:fldChar w:fldCharType="separate"/>
        </w:r>
        <w:r w:rsidR="00C736E0">
          <w:rPr>
            <w:noProof/>
            <w:webHidden/>
          </w:rPr>
          <w:t>155</w:t>
        </w:r>
        <w:r w:rsidR="00887060">
          <w:rPr>
            <w:noProof/>
            <w:webHidden/>
          </w:rPr>
          <w:fldChar w:fldCharType="end"/>
        </w:r>
      </w:hyperlink>
    </w:p>
    <w:p w14:paraId="0456A56C" w14:textId="09B6389C" w:rsidR="00887060" w:rsidRDefault="00D20569">
      <w:pPr>
        <w:pStyle w:val="TOC1"/>
        <w:rPr>
          <w:rFonts w:asciiTheme="minorHAnsi" w:eastAsiaTheme="minorEastAsia" w:hAnsiTheme="minorHAnsi" w:cstheme="minorBidi"/>
          <w:b w:val="0"/>
          <w:bCs w:val="0"/>
          <w:noProof/>
          <w:color w:val="auto"/>
          <w:szCs w:val="22"/>
          <w:lang w:eastAsia="en-AU"/>
        </w:rPr>
      </w:pPr>
      <w:hyperlink w:anchor="_Toc98763192" w:history="1">
        <w:r w:rsidR="00887060" w:rsidRPr="00597616">
          <w:rPr>
            <w:rStyle w:val="Hyperlink"/>
            <w:rFonts w:cstheme="minorHAnsi"/>
            <w:noProof/>
          </w:rPr>
          <w:t>Statement of Cash Flows on Behalf of the Territory</w:t>
        </w:r>
        <w:r w:rsidR="00887060">
          <w:rPr>
            <w:noProof/>
            <w:webHidden/>
          </w:rPr>
          <w:tab/>
        </w:r>
        <w:r w:rsidR="00887060">
          <w:rPr>
            <w:noProof/>
            <w:webHidden/>
          </w:rPr>
          <w:fldChar w:fldCharType="begin"/>
        </w:r>
        <w:r w:rsidR="00887060">
          <w:rPr>
            <w:noProof/>
            <w:webHidden/>
          </w:rPr>
          <w:instrText xml:space="preserve"> PAGEREF _Toc98763192 \h </w:instrText>
        </w:r>
        <w:r w:rsidR="00887060">
          <w:rPr>
            <w:noProof/>
            <w:webHidden/>
          </w:rPr>
        </w:r>
        <w:r w:rsidR="00887060">
          <w:rPr>
            <w:noProof/>
            <w:webHidden/>
          </w:rPr>
          <w:fldChar w:fldCharType="separate"/>
        </w:r>
        <w:r w:rsidR="00C736E0">
          <w:rPr>
            <w:noProof/>
            <w:webHidden/>
          </w:rPr>
          <w:t>157</w:t>
        </w:r>
        <w:r w:rsidR="00887060">
          <w:rPr>
            <w:noProof/>
            <w:webHidden/>
          </w:rPr>
          <w:fldChar w:fldCharType="end"/>
        </w:r>
      </w:hyperlink>
    </w:p>
    <w:p w14:paraId="0B14E3D3" w14:textId="4275B521" w:rsidR="00887060" w:rsidRDefault="00D20569">
      <w:pPr>
        <w:pStyle w:val="TOC1"/>
        <w:rPr>
          <w:rFonts w:asciiTheme="minorHAnsi" w:eastAsiaTheme="minorEastAsia" w:hAnsiTheme="minorHAnsi" w:cstheme="minorBidi"/>
          <w:b w:val="0"/>
          <w:bCs w:val="0"/>
          <w:noProof/>
          <w:color w:val="auto"/>
          <w:szCs w:val="22"/>
          <w:lang w:eastAsia="en-AU"/>
        </w:rPr>
      </w:pPr>
      <w:hyperlink w:anchor="_Toc98763193" w:history="1">
        <w:r w:rsidR="00887060" w:rsidRPr="00597616">
          <w:rPr>
            <w:rStyle w:val="Hyperlink"/>
            <w:rFonts w:cstheme="minorHAnsi"/>
            <w:noProof/>
            <w:snapToGrid w:val="0"/>
          </w:rPr>
          <w:t>Territorial Statement of Appropriation</w:t>
        </w:r>
        <w:r w:rsidR="00887060">
          <w:rPr>
            <w:noProof/>
            <w:webHidden/>
          </w:rPr>
          <w:tab/>
        </w:r>
        <w:r w:rsidR="00887060">
          <w:rPr>
            <w:noProof/>
            <w:webHidden/>
          </w:rPr>
          <w:fldChar w:fldCharType="begin"/>
        </w:r>
        <w:r w:rsidR="00887060">
          <w:rPr>
            <w:noProof/>
            <w:webHidden/>
          </w:rPr>
          <w:instrText xml:space="preserve"> PAGEREF _Toc98763193 \h </w:instrText>
        </w:r>
        <w:r w:rsidR="00887060">
          <w:rPr>
            <w:noProof/>
            <w:webHidden/>
          </w:rPr>
        </w:r>
        <w:r w:rsidR="00887060">
          <w:rPr>
            <w:noProof/>
            <w:webHidden/>
          </w:rPr>
          <w:fldChar w:fldCharType="separate"/>
        </w:r>
        <w:r w:rsidR="00C736E0">
          <w:rPr>
            <w:noProof/>
            <w:webHidden/>
          </w:rPr>
          <w:t>158</w:t>
        </w:r>
        <w:r w:rsidR="00887060">
          <w:rPr>
            <w:noProof/>
            <w:webHidden/>
          </w:rPr>
          <w:fldChar w:fldCharType="end"/>
        </w:r>
      </w:hyperlink>
    </w:p>
    <w:p w14:paraId="3B74C2FC" w14:textId="37161891" w:rsidR="00887060" w:rsidRDefault="00D20569">
      <w:pPr>
        <w:pStyle w:val="TOC1"/>
        <w:rPr>
          <w:rFonts w:asciiTheme="minorHAnsi" w:eastAsiaTheme="minorEastAsia" w:hAnsiTheme="minorHAnsi" w:cstheme="minorBidi"/>
          <w:b w:val="0"/>
          <w:bCs w:val="0"/>
          <w:noProof/>
          <w:color w:val="auto"/>
          <w:szCs w:val="22"/>
          <w:lang w:eastAsia="en-AU"/>
        </w:rPr>
      </w:pPr>
      <w:hyperlink w:anchor="_Toc98763194" w:history="1">
        <w:r w:rsidR="00887060" w:rsidRPr="00597616">
          <w:rPr>
            <w:rStyle w:val="Hyperlink"/>
            <w:noProof/>
          </w:rPr>
          <w:t>Note 41.  Basis of Preparation of the Financial Statements – Territorial</w:t>
        </w:r>
        <w:r w:rsidR="00887060">
          <w:rPr>
            <w:noProof/>
            <w:webHidden/>
          </w:rPr>
          <w:tab/>
        </w:r>
        <w:r w:rsidR="00887060">
          <w:rPr>
            <w:noProof/>
            <w:webHidden/>
          </w:rPr>
          <w:fldChar w:fldCharType="begin"/>
        </w:r>
        <w:r w:rsidR="00887060">
          <w:rPr>
            <w:noProof/>
            <w:webHidden/>
          </w:rPr>
          <w:instrText xml:space="preserve"> PAGEREF _Toc98763194 \h </w:instrText>
        </w:r>
        <w:r w:rsidR="00887060">
          <w:rPr>
            <w:noProof/>
            <w:webHidden/>
          </w:rPr>
        </w:r>
        <w:r w:rsidR="00887060">
          <w:rPr>
            <w:noProof/>
            <w:webHidden/>
          </w:rPr>
          <w:fldChar w:fldCharType="separate"/>
        </w:r>
        <w:r w:rsidR="00C736E0">
          <w:rPr>
            <w:noProof/>
            <w:webHidden/>
          </w:rPr>
          <w:t>158</w:t>
        </w:r>
        <w:r w:rsidR="00887060">
          <w:rPr>
            <w:noProof/>
            <w:webHidden/>
          </w:rPr>
          <w:fldChar w:fldCharType="end"/>
        </w:r>
      </w:hyperlink>
    </w:p>
    <w:p w14:paraId="09691345" w14:textId="0CA2E4B4" w:rsidR="00887060" w:rsidRDefault="00D20569">
      <w:pPr>
        <w:pStyle w:val="TOC1"/>
        <w:rPr>
          <w:rFonts w:asciiTheme="minorHAnsi" w:eastAsiaTheme="minorEastAsia" w:hAnsiTheme="minorHAnsi" w:cstheme="minorBidi"/>
          <w:b w:val="0"/>
          <w:bCs w:val="0"/>
          <w:noProof/>
          <w:color w:val="auto"/>
          <w:szCs w:val="22"/>
          <w:lang w:eastAsia="en-AU"/>
        </w:rPr>
      </w:pPr>
      <w:hyperlink w:anchor="_Toc98763195" w:history="1">
        <w:r w:rsidR="00887060" w:rsidRPr="00597616">
          <w:rPr>
            <w:rStyle w:val="Hyperlink"/>
            <w:noProof/>
          </w:rPr>
          <w:t>Note 42.  Taxes, Licences, Fees and Fines – Territorial</w:t>
        </w:r>
        <w:r w:rsidR="00887060">
          <w:rPr>
            <w:noProof/>
            <w:webHidden/>
          </w:rPr>
          <w:tab/>
        </w:r>
        <w:r w:rsidR="00887060">
          <w:rPr>
            <w:noProof/>
            <w:webHidden/>
          </w:rPr>
          <w:fldChar w:fldCharType="begin"/>
        </w:r>
        <w:r w:rsidR="00887060">
          <w:rPr>
            <w:noProof/>
            <w:webHidden/>
          </w:rPr>
          <w:instrText xml:space="preserve"> PAGEREF _Toc98763195 \h </w:instrText>
        </w:r>
        <w:r w:rsidR="00887060">
          <w:rPr>
            <w:noProof/>
            <w:webHidden/>
          </w:rPr>
        </w:r>
        <w:r w:rsidR="00887060">
          <w:rPr>
            <w:noProof/>
            <w:webHidden/>
          </w:rPr>
          <w:fldChar w:fldCharType="separate"/>
        </w:r>
        <w:r w:rsidR="00C736E0">
          <w:rPr>
            <w:noProof/>
            <w:webHidden/>
          </w:rPr>
          <w:t>159</w:t>
        </w:r>
        <w:r w:rsidR="00887060">
          <w:rPr>
            <w:noProof/>
            <w:webHidden/>
          </w:rPr>
          <w:fldChar w:fldCharType="end"/>
        </w:r>
      </w:hyperlink>
    </w:p>
    <w:p w14:paraId="15385F97" w14:textId="26DCD060" w:rsidR="00887060" w:rsidRDefault="00D20569">
      <w:pPr>
        <w:pStyle w:val="TOC1"/>
        <w:rPr>
          <w:rFonts w:asciiTheme="minorHAnsi" w:eastAsiaTheme="minorEastAsia" w:hAnsiTheme="minorHAnsi" w:cstheme="minorBidi"/>
          <w:b w:val="0"/>
          <w:bCs w:val="0"/>
          <w:noProof/>
          <w:color w:val="auto"/>
          <w:szCs w:val="22"/>
          <w:lang w:eastAsia="en-AU"/>
        </w:rPr>
      </w:pPr>
      <w:hyperlink w:anchor="_Toc98763201" w:history="1">
        <w:r w:rsidR="00887060" w:rsidRPr="00597616">
          <w:rPr>
            <w:rStyle w:val="Hyperlink"/>
            <w:noProof/>
          </w:rPr>
          <w:t>Note 43. Other Income – Territorial</w:t>
        </w:r>
        <w:r w:rsidR="00887060">
          <w:rPr>
            <w:noProof/>
            <w:webHidden/>
          </w:rPr>
          <w:tab/>
        </w:r>
        <w:r w:rsidR="00887060">
          <w:rPr>
            <w:noProof/>
            <w:webHidden/>
          </w:rPr>
          <w:fldChar w:fldCharType="begin"/>
        </w:r>
        <w:r w:rsidR="00887060">
          <w:rPr>
            <w:noProof/>
            <w:webHidden/>
          </w:rPr>
          <w:instrText xml:space="preserve"> PAGEREF _Toc98763201 \h </w:instrText>
        </w:r>
        <w:r w:rsidR="00887060">
          <w:rPr>
            <w:noProof/>
            <w:webHidden/>
          </w:rPr>
        </w:r>
        <w:r w:rsidR="00887060">
          <w:rPr>
            <w:noProof/>
            <w:webHidden/>
          </w:rPr>
          <w:fldChar w:fldCharType="separate"/>
        </w:r>
        <w:r w:rsidR="00C736E0">
          <w:rPr>
            <w:noProof/>
            <w:webHidden/>
          </w:rPr>
          <w:t>160</w:t>
        </w:r>
        <w:r w:rsidR="00887060">
          <w:rPr>
            <w:noProof/>
            <w:webHidden/>
          </w:rPr>
          <w:fldChar w:fldCharType="end"/>
        </w:r>
      </w:hyperlink>
    </w:p>
    <w:p w14:paraId="2EB7E9C4" w14:textId="32699944" w:rsidR="00887060" w:rsidRDefault="00D20569">
      <w:pPr>
        <w:pStyle w:val="TOC1"/>
        <w:rPr>
          <w:rFonts w:asciiTheme="minorHAnsi" w:eastAsiaTheme="minorEastAsia" w:hAnsiTheme="minorHAnsi" w:cstheme="minorBidi"/>
          <w:b w:val="0"/>
          <w:bCs w:val="0"/>
          <w:noProof/>
          <w:color w:val="auto"/>
          <w:szCs w:val="22"/>
          <w:lang w:eastAsia="en-AU"/>
        </w:rPr>
      </w:pPr>
      <w:hyperlink w:anchor="_Toc98763202" w:history="1">
        <w:r w:rsidR="00887060" w:rsidRPr="00597616">
          <w:rPr>
            <w:rStyle w:val="Hyperlink"/>
            <w:noProof/>
          </w:rPr>
          <w:t>Note 44. Grants and Purchased Services – Territorial</w:t>
        </w:r>
        <w:r w:rsidR="00887060">
          <w:rPr>
            <w:noProof/>
            <w:webHidden/>
          </w:rPr>
          <w:tab/>
        </w:r>
        <w:r w:rsidR="00887060">
          <w:rPr>
            <w:noProof/>
            <w:webHidden/>
          </w:rPr>
          <w:fldChar w:fldCharType="begin"/>
        </w:r>
        <w:r w:rsidR="00887060">
          <w:rPr>
            <w:noProof/>
            <w:webHidden/>
          </w:rPr>
          <w:instrText xml:space="preserve"> PAGEREF _Toc98763202 \h </w:instrText>
        </w:r>
        <w:r w:rsidR="00887060">
          <w:rPr>
            <w:noProof/>
            <w:webHidden/>
          </w:rPr>
        </w:r>
        <w:r w:rsidR="00887060">
          <w:rPr>
            <w:noProof/>
            <w:webHidden/>
          </w:rPr>
          <w:fldChar w:fldCharType="separate"/>
        </w:r>
        <w:r w:rsidR="00C736E0">
          <w:rPr>
            <w:noProof/>
            <w:webHidden/>
          </w:rPr>
          <w:t>161</w:t>
        </w:r>
        <w:r w:rsidR="00887060">
          <w:rPr>
            <w:noProof/>
            <w:webHidden/>
          </w:rPr>
          <w:fldChar w:fldCharType="end"/>
        </w:r>
      </w:hyperlink>
    </w:p>
    <w:p w14:paraId="608FC9BC" w14:textId="0C765E9D" w:rsidR="00887060" w:rsidRDefault="00D20569">
      <w:pPr>
        <w:pStyle w:val="TOC1"/>
        <w:rPr>
          <w:rFonts w:asciiTheme="minorHAnsi" w:eastAsiaTheme="minorEastAsia" w:hAnsiTheme="minorHAnsi" w:cstheme="minorBidi"/>
          <w:b w:val="0"/>
          <w:bCs w:val="0"/>
          <w:noProof/>
          <w:color w:val="auto"/>
          <w:szCs w:val="22"/>
          <w:lang w:eastAsia="en-AU"/>
        </w:rPr>
      </w:pPr>
      <w:hyperlink w:anchor="_Toc98763203" w:history="1">
        <w:r w:rsidR="00887060" w:rsidRPr="00597616">
          <w:rPr>
            <w:rStyle w:val="Hyperlink"/>
            <w:noProof/>
          </w:rPr>
          <w:t>Note 45.  Other Expenses – Territorial</w:t>
        </w:r>
        <w:r w:rsidR="00887060">
          <w:rPr>
            <w:noProof/>
            <w:webHidden/>
          </w:rPr>
          <w:tab/>
        </w:r>
        <w:r w:rsidR="00887060">
          <w:rPr>
            <w:noProof/>
            <w:webHidden/>
          </w:rPr>
          <w:fldChar w:fldCharType="begin"/>
        </w:r>
        <w:r w:rsidR="00887060">
          <w:rPr>
            <w:noProof/>
            <w:webHidden/>
          </w:rPr>
          <w:instrText xml:space="preserve"> PAGEREF _Toc98763203 \h </w:instrText>
        </w:r>
        <w:r w:rsidR="00887060">
          <w:rPr>
            <w:noProof/>
            <w:webHidden/>
          </w:rPr>
        </w:r>
        <w:r w:rsidR="00887060">
          <w:rPr>
            <w:noProof/>
            <w:webHidden/>
          </w:rPr>
          <w:fldChar w:fldCharType="separate"/>
        </w:r>
        <w:r w:rsidR="00C736E0">
          <w:rPr>
            <w:noProof/>
            <w:webHidden/>
          </w:rPr>
          <w:t>162</w:t>
        </w:r>
        <w:r w:rsidR="00887060">
          <w:rPr>
            <w:noProof/>
            <w:webHidden/>
          </w:rPr>
          <w:fldChar w:fldCharType="end"/>
        </w:r>
      </w:hyperlink>
    </w:p>
    <w:p w14:paraId="073B20B8" w14:textId="27FBBF17" w:rsidR="00887060" w:rsidRDefault="00D20569">
      <w:pPr>
        <w:pStyle w:val="TOC1"/>
        <w:rPr>
          <w:rFonts w:asciiTheme="minorHAnsi" w:eastAsiaTheme="minorEastAsia" w:hAnsiTheme="minorHAnsi" w:cstheme="minorBidi"/>
          <w:b w:val="0"/>
          <w:bCs w:val="0"/>
          <w:noProof/>
          <w:color w:val="auto"/>
          <w:szCs w:val="22"/>
          <w:lang w:eastAsia="en-AU"/>
        </w:rPr>
      </w:pPr>
      <w:hyperlink w:anchor="_Toc98763204" w:history="1">
        <w:r w:rsidR="00887060" w:rsidRPr="00597616">
          <w:rPr>
            <w:rStyle w:val="Hyperlink"/>
            <w:noProof/>
          </w:rPr>
          <w:t>Note 46.  Cash and Investments – Territorial</w:t>
        </w:r>
        <w:r w:rsidR="00887060">
          <w:rPr>
            <w:noProof/>
            <w:webHidden/>
          </w:rPr>
          <w:tab/>
        </w:r>
        <w:r w:rsidR="00887060">
          <w:rPr>
            <w:noProof/>
            <w:webHidden/>
          </w:rPr>
          <w:fldChar w:fldCharType="begin"/>
        </w:r>
        <w:r w:rsidR="00887060">
          <w:rPr>
            <w:noProof/>
            <w:webHidden/>
          </w:rPr>
          <w:instrText xml:space="preserve"> PAGEREF _Toc98763204 \h </w:instrText>
        </w:r>
        <w:r w:rsidR="00887060">
          <w:rPr>
            <w:noProof/>
            <w:webHidden/>
          </w:rPr>
        </w:r>
        <w:r w:rsidR="00887060">
          <w:rPr>
            <w:noProof/>
            <w:webHidden/>
          </w:rPr>
          <w:fldChar w:fldCharType="separate"/>
        </w:r>
        <w:r w:rsidR="00C736E0">
          <w:rPr>
            <w:noProof/>
            <w:webHidden/>
          </w:rPr>
          <w:t>163</w:t>
        </w:r>
        <w:r w:rsidR="00887060">
          <w:rPr>
            <w:noProof/>
            <w:webHidden/>
          </w:rPr>
          <w:fldChar w:fldCharType="end"/>
        </w:r>
      </w:hyperlink>
    </w:p>
    <w:p w14:paraId="0262EA25" w14:textId="188755CB" w:rsidR="00887060" w:rsidRDefault="00D20569">
      <w:pPr>
        <w:pStyle w:val="TOC1"/>
        <w:rPr>
          <w:rFonts w:asciiTheme="minorHAnsi" w:eastAsiaTheme="minorEastAsia" w:hAnsiTheme="minorHAnsi" w:cstheme="minorBidi"/>
          <w:b w:val="0"/>
          <w:bCs w:val="0"/>
          <w:noProof/>
          <w:color w:val="auto"/>
          <w:szCs w:val="22"/>
          <w:lang w:eastAsia="en-AU"/>
        </w:rPr>
      </w:pPr>
      <w:hyperlink w:anchor="_Toc98763205" w:history="1">
        <w:r w:rsidR="00887060" w:rsidRPr="00597616">
          <w:rPr>
            <w:rStyle w:val="Hyperlink"/>
            <w:noProof/>
          </w:rPr>
          <w:t>Note 47.  Receivables and Contract Assets –Territorial</w:t>
        </w:r>
        <w:r w:rsidR="00887060">
          <w:rPr>
            <w:noProof/>
            <w:webHidden/>
          </w:rPr>
          <w:tab/>
        </w:r>
        <w:r w:rsidR="00887060">
          <w:rPr>
            <w:noProof/>
            <w:webHidden/>
          </w:rPr>
          <w:fldChar w:fldCharType="begin"/>
        </w:r>
        <w:r w:rsidR="00887060">
          <w:rPr>
            <w:noProof/>
            <w:webHidden/>
          </w:rPr>
          <w:instrText xml:space="preserve"> PAGEREF _Toc98763205 \h </w:instrText>
        </w:r>
        <w:r w:rsidR="00887060">
          <w:rPr>
            <w:noProof/>
            <w:webHidden/>
          </w:rPr>
        </w:r>
        <w:r w:rsidR="00887060">
          <w:rPr>
            <w:noProof/>
            <w:webHidden/>
          </w:rPr>
          <w:fldChar w:fldCharType="separate"/>
        </w:r>
        <w:r w:rsidR="00C736E0">
          <w:rPr>
            <w:noProof/>
            <w:webHidden/>
          </w:rPr>
          <w:t>164</w:t>
        </w:r>
        <w:r w:rsidR="00887060">
          <w:rPr>
            <w:noProof/>
            <w:webHidden/>
          </w:rPr>
          <w:fldChar w:fldCharType="end"/>
        </w:r>
      </w:hyperlink>
    </w:p>
    <w:p w14:paraId="27BD42DE" w14:textId="792847AF" w:rsidR="00887060" w:rsidRDefault="00D20569">
      <w:pPr>
        <w:pStyle w:val="TOC1"/>
        <w:rPr>
          <w:rFonts w:asciiTheme="minorHAnsi" w:eastAsiaTheme="minorEastAsia" w:hAnsiTheme="minorHAnsi" w:cstheme="minorBidi"/>
          <w:b w:val="0"/>
          <w:bCs w:val="0"/>
          <w:noProof/>
          <w:color w:val="auto"/>
          <w:szCs w:val="22"/>
          <w:lang w:eastAsia="en-AU"/>
        </w:rPr>
      </w:pPr>
      <w:hyperlink w:anchor="_Toc98763206" w:history="1">
        <w:r w:rsidR="00887060" w:rsidRPr="00597616">
          <w:rPr>
            <w:rStyle w:val="Hyperlink"/>
            <w:noProof/>
          </w:rPr>
          <w:t>Note 48.  Other Assets – Territorial</w:t>
        </w:r>
        <w:r w:rsidR="00887060">
          <w:rPr>
            <w:noProof/>
            <w:webHidden/>
          </w:rPr>
          <w:tab/>
        </w:r>
        <w:r w:rsidR="00887060">
          <w:rPr>
            <w:noProof/>
            <w:webHidden/>
          </w:rPr>
          <w:fldChar w:fldCharType="begin"/>
        </w:r>
        <w:r w:rsidR="00887060">
          <w:rPr>
            <w:noProof/>
            <w:webHidden/>
          </w:rPr>
          <w:instrText xml:space="preserve"> PAGEREF _Toc98763206 \h </w:instrText>
        </w:r>
        <w:r w:rsidR="00887060">
          <w:rPr>
            <w:noProof/>
            <w:webHidden/>
          </w:rPr>
        </w:r>
        <w:r w:rsidR="00887060">
          <w:rPr>
            <w:noProof/>
            <w:webHidden/>
          </w:rPr>
          <w:fldChar w:fldCharType="separate"/>
        </w:r>
        <w:r w:rsidR="00C736E0">
          <w:rPr>
            <w:noProof/>
            <w:webHidden/>
          </w:rPr>
          <w:t>165</w:t>
        </w:r>
        <w:r w:rsidR="00887060">
          <w:rPr>
            <w:noProof/>
            <w:webHidden/>
          </w:rPr>
          <w:fldChar w:fldCharType="end"/>
        </w:r>
      </w:hyperlink>
    </w:p>
    <w:p w14:paraId="22BB05AF" w14:textId="1FC5E53C" w:rsidR="00887060" w:rsidRDefault="00D20569">
      <w:pPr>
        <w:pStyle w:val="TOC1"/>
        <w:rPr>
          <w:rFonts w:asciiTheme="minorHAnsi" w:eastAsiaTheme="minorEastAsia" w:hAnsiTheme="minorHAnsi" w:cstheme="minorBidi"/>
          <w:b w:val="0"/>
          <w:bCs w:val="0"/>
          <w:noProof/>
          <w:color w:val="auto"/>
          <w:szCs w:val="22"/>
          <w:lang w:eastAsia="en-AU"/>
        </w:rPr>
      </w:pPr>
      <w:hyperlink w:anchor="_Toc98763207" w:history="1">
        <w:r w:rsidR="00887060" w:rsidRPr="00597616">
          <w:rPr>
            <w:rStyle w:val="Hyperlink"/>
            <w:noProof/>
          </w:rPr>
          <w:t xml:space="preserve">Note 49.  Payables </w:t>
        </w:r>
        <w:r w:rsidR="00887060" w:rsidRPr="00597616">
          <w:rPr>
            <w:rStyle w:val="Hyperlink"/>
            <w:rFonts w:cs="Calibri"/>
            <w:noProof/>
          </w:rPr>
          <w:t>and Contract Liabilities</w:t>
        </w:r>
        <w:r w:rsidR="00887060" w:rsidRPr="00597616">
          <w:rPr>
            <w:rStyle w:val="Hyperlink"/>
            <w:noProof/>
          </w:rPr>
          <w:t xml:space="preserve"> – Territorial</w:t>
        </w:r>
        <w:r w:rsidR="00887060">
          <w:rPr>
            <w:noProof/>
            <w:webHidden/>
          </w:rPr>
          <w:tab/>
        </w:r>
        <w:r w:rsidR="00887060">
          <w:rPr>
            <w:noProof/>
            <w:webHidden/>
          </w:rPr>
          <w:fldChar w:fldCharType="begin"/>
        </w:r>
        <w:r w:rsidR="00887060">
          <w:rPr>
            <w:noProof/>
            <w:webHidden/>
          </w:rPr>
          <w:instrText xml:space="preserve"> PAGEREF _Toc98763207 \h </w:instrText>
        </w:r>
        <w:r w:rsidR="00887060">
          <w:rPr>
            <w:noProof/>
            <w:webHidden/>
          </w:rPr>
        </w:r>
        <w:r w:rsidR="00887060">
          <w:rPr>
            <w:noProof/>
            <w:webHidden/>
          </w:rPr>
          <w:fldChar w:fldCharType="separate"/>
        </w:r>
        <w:r w:rsidR="00C736E0">
          <w:rPr>
            <w:noProof/>
            <w:webHidden/>
          </w:rPr>
          <w:t>166</w:t>
        </w:r>
        <w:r w:rsidR="00887060">
          <w:rPr>
            <w:noProof/>
            <w:webHidden/>
          </w:rPr>
          <w:fldChar w:fldCharType="end"/>
        </w:r>
      </w:hyperlink>
    </w:p>
    <w:p w14:paraId="7BD5DC8B" w14:textId="126B40B3" w:rsidR="00887060" w:rsidRDefault="00D20569">
      <w:pPr>
        <w:pStyle w:val="TOC1"/>
        <w:rPr>
          <w:rFonts w:asciiTheme="minorHAnsi" w:eastAsiaTheme="minorEastAsia" w:hAnsiTheme="minorHAnsi" w:cstheme="minorBidi"/>
          <w:b w:val="0"/>
          <w:bCs w:val="0"/>
          <w:noProof/>
          <w:color w:val="auto"/>
          <w:szCs w:val="22"/>
          <w:lang w:eastAsia="en-AU"/>
        </w:rPr>
      </w:pPr>
      <w:hyperlink w:anchor="_Toc98763208" w:history="1">
        <w:r w:rsidR="00887060" w:rsidRPr="00597616">
          <w:rPr>
            <w:rStyle w:val="Hyperlink"/>
            <w:noProof/>
          </w:rPr>
          <w:t>Note 50.  Other Provisions – Territorial</w:t>
        </w:r>
        <w:r w:rsidR="00887060">
          <w:rPr>
            <w:noProof/>
            <w:webHidden/>
          </w:rPr>
          <w:tab/>
        </w:r>
        <w:r w:rsidR="00887060">
          <w:rPr>
            <w:noProof/>
            <w:webHidden/>
          </w:rPr>
          <w:fldChar w:fldCharType="begin"/>
        </w:r>
        <w:r w:rsidR="00887060">
          <w:rPr>
            <w:noProof/>
            <w:webHidden/>
          </w:rPr>
          <w:instrText xml:space="preserve"> PAGEREF _Toc98763208 \h </w:instrText>
        </w:r>
        <w:r w:rsidR="00887060">
          <w:rPr>
            <w:noProof/>
            <w:webHidden/>
          </w:rPr>
        </w:r>
        <w:r w:rsidR="00887060">
          <w:rPr>
            <w:noProof/>
            <w:webHidden/>
          </w:rPr>
          <w:fldChar w:fldCharType="separate"/>
        </w:r>
        <w:r w:rsidR="00C736E0">
          <w:rPr>
            <w:noProof/>
            <w:webHidden/>
          </w:rPr>
          <w:t>167</w:t>
        </w:r>
        <w:r w:rsidR="00887060">
          <w:rPr>
            <w:noProof/>
            <w:webHidden/>
          </w:rPr>
          <w:fldChar w:fldCharType="end"/>
        </w:r>
      </w:hyperlink>
    </w:p>
    <w:p w14:paraId="567AB5C2" w14:textId="3ADDB426" w:rsidR="00887060" w:rsidRDefault="00D20569">
      <w:pPr>
        <w:pStyle w:val="TOC1"/>
        <w:rPr>
          <w:rFonts w:asciiTheme="minorHAnsi" w:eastAsiaTheme="minorEastAsia" w:hAnsiTheme="minorHAnsi" w:cstheme="minorBidi"/>
          <w:b w:val="0"/>
          <w:bCs w:val="0"/>
          <w:noProof/>
          <w:color w:val="auto"/>
          <w:szCs w:val="22"/>
          <w:lang w:eastAsia="en-AU"/>
        </w:rPr>
      </w:pPr>
      <w:hyperlink w:anchor="_Toc98763209" w:history="1">
        <w:r w:rsidR="00887060" w:rsidRPr="00597616">
          <w:rPr>
            <w:rStyle w:val="Hyperlink"/>
            <w:noProof/>
          </w:rPr>
          <w:t>Note 51.  Other Liabilities – Territorial</w:t>
        </w:r>
        <w:r w:rsidR="00887060">
          <w:rPr>
            <w:noProof/>
            <w:webHidden/>
          </w:rPr>
          <w:tab/>
        </w:r>
        <w:r w:rsidR="00887060">
          <w:rPr>
            <w:noProof/>
            <w:webHidden/>
          </w:rPr>
          <w:fldChar w:fldCharType="begin"/>
        </w:r>
        <w:r w:rsidR="00887060">
          <w:rPr>
            <w:noProof/>
            <w:webHidden/>
          </w:rPr>
          <w:instrText xml:space="preserve"> PAGEREF _Toc98763209 \h </w:instrText>
        </w:r>
        <w:r w:rsidR="00887060">
          <w:rPr>
            <w:noProof/>
            <w:webHidden/>
          </w:rPr>
        </w:r>
        <w:r w:rsidR="00887060">
          <w:rPr>
            <w:noProof/>
            <w:webHidden/>
          </w:rPr>
          <w:fldChar w:fldCharType="separate"/>
        </w:r>
        <w:r w:rsidR="00C736E0">
          <w:rPr>
            <w:noProof/>
            <w:webHidden/>
          </w:rPr>
          <w:t>167</w:t>
        </w:r>
        <w:r w:rsidR="00887060">
          <w:rPr>
            <w:noProof/>
            <w:webHidden/>
          </w:rPr>
          <w:fldChar w:fldCharType="end"/>
        </w:r>
      </w:hyperlink>
    </w:p>
    <w:p w14:paraId="3C9BB7A8" w14:textId="618ED4BA" w:rsidR="00887060" w:rsidRDefault="00D20569">
      <w:pPr>
        <w:pStyle w:val="TOC1"/>
        <w:rPr>
          <w:rFonts w:asciiTheme="minorHAnsi" w:eastAsiaTheme="minorEastAsia" w:hAnsiTheme="minorHAnsi" w:cstheme="minorBidi"/>
          <w:b w:val="0"/>
          <w:bCs w:val="0"/>
          <w:noProof/>
          <w:color w:val="auto"/>
          <w:szCs w:val="22"/>
          <w:lang w:eastAsia="en-AU"/>
        </w:rPr>
      </w:pPr>
      <w:hyperlink w:anchor="_Toc98763210" w:history="1">
        <w:r w:rsidR="00887060" w:rsidRPr="00597616">
          <w:rPr>
            <w:rStyle w:val="Hyperlink"/>
            <w:noProof/>
            <w:lang w:eastAsia="en-AU"/>
          </w:rPr>
          <w:t xml:space="preserve">Note 52.  Restructure of Administrative Arrangements </w:t>
        </w:r>
        <w:r w:rsidR="00887060" w:rsidRPr="00597616">
          <w:rPr>
            <w:rStyle w:val="Hyperlink"/>
            <w:noProof/>
          </w:rPr>
          <w:t xml:space="preserve">– </w:t>
        </w:r>
        <w:r w:rsidR="00887060" w:rsidRPr="00597616">
          <w:rPr>
            <w:rStyle w:val="Hyperlink"/>
            <w:noProof/>
            <w:lang w:eastAsia="en-AU"/>
          </w:rPr>
          <w:t>Territorial</w:t>
        </w:r>
        <w:r w:rsidR="00887060">
          <w:rPr>
            <w:noProof/>
            <w:webHidden/>
          </w:rPr>
          <w:tab/>
        </w:r>
        <w:r w:rsidR="00887060">
          <w:rPr>
            <w:noProof/>
            <w:webHidden/>
          </w:rPr>
          <w:fldChar w:fldCharType="begin"/>
        </w:r>
        <w:r w:rsidR="00887060">
          <w:rPr>
            <w:noProof/>
            <w:webHidden/>
          </w:rPr>
          <w:instrText xml:space="preserve"> PAGEREF _Toc98763210 \h </w:instrText>
        </w:r>
        <w:r w:rsidR="00887060">
          <w:rPr>
            <w:noProof/>
            <w:webHidden/>
          </w:rPr>
        </w:r>
        <w:r w:rsidR="00887060">
          <w:rPr>
            <w:noProof/>
            <w:webHidden/>
          </w:rPr>
          <w:fldChar w:fldCharType="separate"/>
        </w:r>
        <w:r w:rsidR="00C736E0">
          <w:rPr>
            <w:noProof/>
            <w:webHidden/>
          </w:rPr>
          <w:t>167</w:t>
        </w:r>
        <w:r w:rsidR="00887060">
          <w:rPr>
            <w:noProof/>
            <w:webHidden/>
          </w:rPr>
          <w:fldChar w:fldCharType="end"/>
        </w:r>
      </w:hyperlink>
    </w:p>
    <w:p w14:paraId="3CE17C40" w14:textId="3E143F26" w:rsidR="00887060" w:rsidRDefault="00D20569">
      <w:pPr>
        <w:pStyle w:val="TOC1"/>
        <w:rPr>
          <w:rFonts w:asciiTheme="minorHAnsi" w:eastAsiaTheme="minorEastAsia" w:hAnsiTheme="minorHAnsi" w:cstheme="minorBidi"/>
          <w:b w:val="0"/>
          <w:bCs w:val="0"/>
          <w:noProof/>
          <w:color w:val="auto"/>
          <w:szCs w:val="22"/>
          <w:lang w:eastAsia="en-AU"/>
        </w:rPr>
      </w:pPr>
      <w:hyperlink w:anchor="_Toc98763211" w:history="1">
        <w:r w:rsidR="00887060" w:rsidRPr="00597616">
          <w:rPr>
            <w:rStyle w:val="Hyperlink"/>
            <w:noProof/>
          </w:rPr>
          <w:t>Note 53.  Financial Instruments – Territorial</w:t>
        </w:r>
        <w:r w:rsidR="00887060">
          <w:rPr>
            <w:noProof/>
            <w:webHidden/>
          </w:rPr>
          <w:tab/>
        </w:r>
        <w:r w:rsidR="00887060">
          <w:rPr>
            <w:noProof/>
            <w:webHidden/>
          </w:rPr>
          <w:fldChar w:fldCharType="begin"/>
        </w:r>
        <w:r w:rsidR="00887060">
          <w:rPr>
            <w:noProof/>
            <w:webHidden/>
          </w:rPr>
          <w:instrText xml:space="preserve"> PAGEREF _Toc98763211 \h </w:instrText>
        </w:r>
        <w:r w:rsidR="00887060">
          <w:rPr>
            <w:noProof/>
            <w:webHidden/>
          </w:rPr>
        </w:r>
        <w:r w:rsidR="00887060">
          <w:rPr>
            <w:noProof/>
            <w:webHidden/>
          </w:rPr>
          <w:fldChar w:fldCharType="separate"/>
        </w:r>
        <w:r w:rsidR="00C736E0">
          <w:rPr>
            <w:noProof/>
            <w:webHidden/>
          </w:rPr>
          <w:t>169</w:t>
        </w:r>
        <w:r w:rsidR="00887060">
          <w:rPr>
            <w:noProof/>
            <w:webHidden/>
          </w:rPr>
          <w:fldChar w:fldCharType="end"/>
        </w:r>
      </w:hyperlink>
    </w:p>
    <w:p w14:paraId="31688362" w14:textId="64D24BC1" w:rsidR="00887060" w:rsidRDefault="00D20569">
      <w:pPr>
        <w:pStyle w:val="TOC1"/>
        <w:rPr>
          <w:rFonts w:asciiTheme="minorHAnsi" w:eastAsiaTheme="minorEastAsia" w:hAnsiTheme="minorHAnsi" w:cstheme="minorBidi"/>
          <w:b w:val="0"/>
          <w:bCs w:val="0"/>
          <w:noProof/>
          <w:color w:val="auto"/>
          <w:szCs w:val="22"/>
          <w:lang w:eastAsia="en-AU"/>
        </w:rPr>
      </w:pPr>
      <w:hyperlink w:anchor="_Toc98763212" w:history="1">
        <w:r w:rsidR="00887060" w:rsidRPr="00597616">
          <w:rPr>
            <w:rStyle w:val="Hyperlink"/>
            <w:noProof/>
          </w:rPr>
          <w:t>Note 54.  Commitments – Territorial</w:t>
        </w:r>
        <w:r w:rsidR="00887060">
          <w:rPr>
            <w:noProof/>
            <w:webHidden/>
          </w:rPr>
          <w:tab/>
        </w:r>
        <w:r w:rsidR="00887060">
          <w:rPr>
            <w:noProof/>
            <w:webHidden/>
          </w:rPr>
          <w:fldChar w:fldCharType="begin"/>
        </w:r>
        <w:r w:rsidR="00887060">
          <w:rPr>
            <w:noProof/>
            <w:webHidden/>
          </w:rPr>
          <w:instrText xml:space="preserve"> PAGEREF _Toc98763212 \h </w:instrText>
        </w:r>
        <w:r w:rsidR="00887060">
          <w:rPr>
            <w:noProof/>
            <w:webHidden/>
          </w:rPr>
        </w:r>
        <w:r w:rsidR="00887060">
          <w:rPr>
            <w:noProof/>
            <w:webHidden/>
          </w:rPr>
          <w:fldChar w:fldCharType="separate"/>
        </w:r>
        <w:r w:rsidR="00C736E0">
          <w:rPr>
            <w:noProof/>
            <w:webHidden/>
          </w:rPr>
          <w:t>171</w:t>
        </w:r>
        <w:r w:rsidR="00887060">
          <w:rPr>
            <w:noProof/>
            <w:webHidden/>
          </w:rPr>
          <w:fldChar w:fldCharType="end"/>
        </w:r>
      </w:hyperlink>
    </w:p>
    <w:p w14:paraId="1185222B" w14:textId="10E33F18" w:rsidR="00887060" w:rsidRDefault="00D20569">
      <w:pPr>
        <w:pStyle w:val="TOC1"/>
        <w:rPr>
          <w:rFonts w:asciiTheme="minorHAnsi" w:eastAsiaTheme="minorEastAsia" w:hAnsiTheme="minorHAnsi" w:cstheme="minorBidi"/>
          <w:b w:val="0"/>
          <w:bCs w:val="0"/>
          <w:noProof/>
          <w:color w:val="auto"/>
          <w:szCs w:val="22"/>
          <w:lang w:eastAsia="en-AU"/>
        </w:rPr>
      </w:pPr>
      <w:hyperlink w:anchor="_Toc98763213" w:history="1">
        <w:r w:rsidR="00887060" w:rsidRPr="00597616">
          <w:rPr>
            <w:rStyle w:val="Hyperlink"/>
            <w:noProof/>
          </w:rPr>
          <w:t>Note 55.  Contingent Liabilities and Contingent Assets – Territorial</w:t>
        </w:r>
        <w:r w:rsidR="00887060">
          <w:rPr>
            <w:noProof/>
            <w:webHidden/>
          </w:rPr>
          <w:tab/>
        </w:r>
        <w:r w:rsidR="00887060">
          <w:rPr>
            <w:noProof/>
            <w:webHidden/>
          </w:rPr>
          <w:fldChar w:fldCharType="begin"/>
        </w:r>
        <w:r w:rsidR="00887060">
          <w:rPr>
            <w:noProof/>
            <w:webHidden/>
          </w:rPr>
          <w:instrText xml:space="preserve"> PAGEREF _Toc98763213 \h </w:instrText>
        </w:r>
        <w:r w:rsidR="00887060">
          <w:rPr>
            <w:noProof/>
            <w:webHidden/>
          </w:rPr>
        </w:r>
        <w:r w:rsidR="00887060">
          <w:rPr>
            <w:noProof/>
            <w:webHidden/>
          </w:rPr>
          <w:fldChar w:fldCharType="separate"/>
        </w:r>
        <w:r w:rsidR="00C736E0">
          <w:rPr>
            <w:noProof/>
            <w:webHidden/>
          </w:rPr>
          <w:t>172</w:t>
        </w:r>
        <w:r w:rsidR="00887060">
          <w:rPr>
            <w:noProof/>
            <w:webHidden/>
          </w:rPr>
          <w:fldChar w:fldCharType="end"/>
        </w:r>
      </w:hyperlink>
    </w:p>
    <w:p w14:paraId="3B7C7DC0" w14:textId="64E99AD1" w:rsidR="00887060" w:rsidRDefault="00D20569">
      <w:pPr>
        <w:pStyle w:val="TOC1"/>
        <w:rPr>
          <w:rFonts w:asciiTheme="minorHAnsi" w:eastAsiaTheme="minorEastAsia" w:hAnsiTheme="minorHAnsi" w:cstheme="minorBidi"/>
          <w:b w:val="0"/>
          <w:bCs w:val="0"/>
          <w:noProof/>
          <w:color w:val="auto"/>
          <w:szCs w:val="22"/>
          <w:lang w:eastAsia="en-AU"/>
        </w:rPr>
      </w:pPr>
      <w:hyperlink w:anchor="_Toc98763214" w:history="1">
        <w:r w:rsidR="00887060" w:rsidRPr="00597616">
          <w:rPr>
            <w:rStyle w:val="Hyperlink"/>
            <w:noProof/>
          </w:rPr>
          <w:t>Note 56.  Events after the Reporting Period – Territorial</w:t>
        </w:r>
        <w:r w:rsidR="00887060">
          <w:rPr>
            <w:noProof/>
            <w:webHidden/>
          </w:rPr>
          <w:tab/>
        </w:r>
        <w:r w:rsidR="00887060">
          <w:rPr>
            <w:noProof/>
            <w:webHidden/>
          </w:rPr>
          <w:fldChar w:fldCharType="begin"/>
        </w:r>
        <w:r w:rsidR="00887060">
          <w:rPr>
            <w:noProof/>
            <w:webHidden/>
          </w:rPr>
          <w:instrText xml:space="preserve"> PAGEREF _Toc98763214 \h </w:instrText>
        </w:r>
        <w:r w:rsidR="00887060">
          <w:rPr>
            <w:noProof/>
            <w:webHidden/>
          </w:rPr>
        </w:r>
        <w:r w:rsidR="00887060">
          <w:rPr>
            <w:noProof/>
            <w:webHidden/>
          </w:rPr>
          <w:fldChar w:fldCharType="separate"/>
        </w:r>
        <w:r w:rsidR="00C736E0">
          <w:rPr>
            <w:noProof/>
            <w:webHidden/>
          </w:rPr>
          <w:t>172</w:t>
        </w:r>
        <w:r w:rsidR="00887060">
          <w:rPr>
            <w:noProof/>
            <w:webHidden/>
          </w:rPr>
          <w:fldChar w:fldCharType="end"/>
        </w:r>
      </w:hyperlink>
    </w:p>
    <w:p w14:paraId="31F0F615" w14:textId="2296A426" w:rsidR="00887060" w:rsidRDefault="00D20569">
      <w:pPr>
        <w:pStyle w:val="TOC1"/>
        <w:rPr>
          <w:rFonts w:asciiTheme="minorHAnsi" w:eastAsiaTheme="minorEastAsia" w:hAnsiTheme="minorHAnsi" w:cstheme="minorBidi"/>
          <w:b w:val="0"/>
          <w:bCs w:val="0"/>
          <w:noProof/>
          <w:color w:val="auto"/>
          <w:szCs w:val="22"/>
          <w:lang w:eastAsia="en-AU"/>
        </w:rPr>
      </w:pPr>
      <w:hyperlink w:anchor="_Toc98763215" w:history="1">
        <w:r w:rsidR="00887060" w:rsidRPr="00597616">
          <w:rPr>
            <w:rStyle w:val="Hyperlink"/>
            <w:noProof/>
          </w:rPr>
          <w:t>Note 57.  Related Party Disclosures – Territorial</w:t>
        </w:r>
        <w:r w:rsidR="00887060">
          <w:rPr>
            <w:noProof/>
            <w:webHidden/>
          </w:rPr>
          <w:tab/>
        </w:r>
        <w:r w:rsidR="00887060">
          <w:rPr>
            <w:noProof/>
            <w:webHidden/>
          </w:rPr>
          <w:fldChar w:fldCharType="begin"/>
        </w:r>
        <w:r w:rsidR="00887060">
          <w:rPr>
            <w:noProof/>
            <w:webHidden/>
          </w:rPr>
          <w:instrText xml:space="preserve"> PAGEREF _Toc98763215 \h </w:instrText>
        </w:r>
        <w:r w:rsidR="00887060">
          <w:rPr>
            <w:noProof/>
            <w:webHidden/>
          </w:rPr>
        </w:r>
        <w:r w:rsidR="00887060">
          <w:rPr>
            <w:noProof/>
            <w:webHidden/>
          </w:rPr>
          <w:fldChar w:fldCharType="separate"/>
        </w:r>
        <w:r w:rsidR="00C736E0">
          <w:rPr>
            <w:noProof/>
            <w:webHidden/>
          </w:rPr>
          <w:t>172</w:t>
        </w:r>
        <w:r w:rsidR="00887060">
          <w:rPr>
            <w:noProof/>
            <w:webHidden/>
          </w:rPr>
          <w:fldChar w:fldCharType="end"/>
        </w:r>
      </w:hyperlink>
    </w:p>
    <w:p w14:paraId="041D5A7A" w14:textId="6C8E523B" w:rsidR="00887060" w:rsidRDefault="00D20569">
      <w:pPr>
        <w:pStyle w:val="TOC1"/>
        <w:rPr>
          <w:rFonts w:asciiTheme="minorHAnsi" w:eastAsiaTheme="minorEastAsia" w:hAnsiTheme="minorHAnsi" w:cstheme="minorBidi"/>
          <w:b w:val="0"/>
          <w:bCs w:val="0"/>
          <w:noProof/>
          <w:color w:val="auto"/>
          <w:szCs w:val="22"/>
          <w:lang w:eastAsia="en-AU"/>
        </w:rPr>
      </w:pPr>
      <w:hyperlink w:anchor="_Toc98763216" w:history="1">
        <w:r w:rsidR="00887060" w:rsidRPr="00597616">
          <w:rPr>
            <w:rStyle w:val="Hyperlink"/>
            <w:noProof/>
          </w:rPr>
          <w:t>Note 58.  Budgetary Reporting – Territorial</w:t>
        </w:r>
        <w:r w:rsidR="00887060">
          <w:rPr>
            <w:noProof/>
            <w:webHidden/>
          </w:rPr>
          <w:tab/>
        </w:r>
        <w:r w:rsidR="00887060">
          <w:rPr>
            <w:noProof/>
            <w:webHidden/>
          </w:rPr>
          <w:fldChar w:fldCharType="begin"/>
        </w:r>
        <w:r w:rsidR="00887060">
          <w:rPr>
            <w:noProof/>
            <w:webHidden/>
          </w:rPr>
          <w:instrText xml:space="preserve"> PAGEREF _Toc98763216 \h </w:instrText>
        </w:r>
        <w:r w:rsidR="00887060">
          <w:rPr>
            <w:noProof/>
            <w:webHidden/>
          </w:rPr>
        </w:r>
        <w:r w:rsidR="00887060">
          <w:rPr>
            <w:noProof/>
            <w:webHidden/>
          </w:rPr>
          <w:fldChar w:fldCharType="separate"/>
        </w:r>
        <w:r w:rsidR="00C736E0">
          <w:rPr>
            <w:noProof/>
            <w:webHidden/>
          </w:rPr>
          <w:t>172</w:t>
        </w:r>
        <w:r w:rsidR="00887060">
          <w:rPr>
            <w:noProof/>
            <w:webHidden/>
          </w:rPr>
          <w:fldChar w:fldCharType="end"/>
        </w:r>
      </w:hyperlink>
    </w:p>
    <w:p w14:paraId="75249B70" w14:textId="38EDFFBA" w:rsidR="00887060" w:rsidRDefault="00887060">
      <w:pPr>
        <w:pStyle w:val="TOC1"/>
        <w:rPr>
          <w:rFonts w:asciiTheme="minorHAnsi" w:eastAsiaTheme="minorEastAsia" w:hAnsiTheme="minorHAnsi" w:cstheme="minorBidi"/>
          <w:b w:val="0"/>
          <w:bCs w:val="0"/>
          <w:noProof/>
          <w:color w:val="auto"/>
          <w:szCs w:val="22"/>
          <w:lang w:eastAsia="en-AU"/>
        </w:rPr>
      </w:pPr>
    </w:p>
    <w:p w14:paraId="14986AC6" w14:textId="186BFC78" w:rsidR="007D7CF5" w:rsidRPr="00CF7E1B" w:rsidRDefault="0088111C" w:rsidP="002F1378">
      <w:pPr>
        <w:pStyle w:val="TOC1"/>
        <w:rPr>
          <w:rFonts w:cs="Calibri"/>
        </w:rPr>
      </w:pPr>
      <w:r w:rsidRPr="00110E1C">
        <w:rPr>
          <w:rFonts w:cs="Calibri"/>
          <w:bCs w:val="0"/>
          <w:sz w:val="32"/>
        </w:rPr>
        <w:fldChar w:fldCharType="end"/>
      </w:r>
    </w:p>
    <w:p w14:paraId="3644F689" w14:textId="77777777" w:rsidR="008437B5" w:rsidRPr="00CF7E1B" w:rsidRDefault="008437B5">
      <w:pPr>
        <w:tabs>
          <w:tab w:val="left" w:pos="3306"/>
        </w:tabs>
        <w:jc w:val="center"/>
        <w:rPr>
          <w:rFonts w:cs="Calibri"/>
        </w:rPr>
        <w:sectPr w:rsidR="008437B5" w:rsidRPr="00CF7E1B" w:rsidSect="00986F4D">
          <w:footerReference w:type="default" r:id="rId13"/>
          <w:footerReference w:type="first" r:id="rId14"/>
          <w:footnotePr>
            <w:numRestart w:val="eachPage"/>
          </w:footnotePr>
          <w:type w:val="nextColumn"/>
          <w:pgSz w:w="11907" w:h="16840" w:code="9"/>
          <w:pgMar w:top="1134" w:right="1134" w:bottom="567" w:left="1134" w:header="426" w:footer="242" w:gutter="0"/>
          <w:pgNumType w:fmt="lowerRoman" w:start="2"/>
          <w:cols w:space="720"/>
          <w:titlePg/>
          <w:docGrid w:linePitch="326"/>
        </w:sectPr>
      </w:pPr>
    </w:p>
    <w:p w14:paraId="7A7BF4B2" w14:textId="77777777" w:rsidR="000144FF" w:rsidRPr="00CA4852" w:rsidRDefault="000144FF" w:rsidP="00CA4852">
      <w:pPr>
        <w:pStyle w:val="Subtitle"/>
      </w:pPr>
      <w:bookmarkStart w:id="2" w:name="_Toc9655100"/>
      <w:bookmarkStart w:id="3" w:name="_Toc9660117"/>
      <w:bookmarkStart w:id="4" w:name="_Toc9755418"/>
      <w:bookmarkStart w:id="5" w:name="_Toc9759271"/>
      <w:bookmarkStart w:id="6" w:name="_Toc9762431"/>
      <w:bookmarkStart w:id="7" w:name="_Toc40072433"/>
      <w:bookmarkStart w:id="8" w:name="_Toc50440297"/>
      <w:bookmarkStart w:id="9" w:name="_Toc194918616"/>
      <w:bookmarkStart w:id="10" w:name="_Toc400627276"/>
      <w:bookmarkStart w:id="11" w:name="_Toc98762985"/>
      <w:r w:rsidRPr="00CA4852">
        <w:t xml:space="preserve">Financial </w:t>
      </w:r>
      <w:r w:rsidR="00580AE8" w:rsidRPr="00CA4852">
        <w:t>Statement</w:t>
      </w:r>
      <w:r w:rsidRPr="00CA4852">
        <w:t xml:space="preserve"> Guidelines for </w:t>
      </w:r>
      <w:r w:rsidR="00333B8F" w:rsidRPr="00CA4852">
        <w:t>Agenc</w:t>
      </w:r>
      <w:r w:rsidR="00BC6A13" w:rsidRPr="00CA4852">
        <w:t>ie</w:t>
      </w:r>
      <w:r w:rsidRPr="00CA4852">
        <w:t>s</w:t>
      </w:r>
      <w:bookmarkEnd w:id="2"/>
      <w:bookmarkEnd w:id="3"/>
      <w:bookmarkEnd w:id="4"/>
      <w:bookmarkEnd w:id="5"/>
      <w:bookmarkEnd w:id="6"/>
      <w:bookmarkEnd w:id="7"/>
      <w:bookmarkEnd w:id="8"/>
      <w:bookmarkEnd w:id="9"/>
      <w:bookmarkEnd w:id="10"/>
      <w:bookmarkEnd w:id="11"/>
    </w:p>
    <w:p w14:paraId="00673BD1" w14:textId="77777777" w:rsidR="000144FF" w:rsidRPr="00CF7E1B" w:rsidRDefault="000144FF" w:rsidP="006F42DC">
      <w:pPr>
        <w:pStyle w:val="Heading2"/>
      </w:pPr>
      <w:bookmarkStart w:id="12" w:name="_Toc9660118"/>
      <w:bookmarkStart w:id="13" w:name="_Toc9755419"/>
      <w:bookmarkStart w:id="14" w:name="_Toc9759272"/>
      <w:bookmarkStart w:id="15" w:name="_Toc9762432"/>
      <w:bookmarkStart w:id="16" w:name="_Toc40072434"/>
      <w:bookmarkStart w:id="17" w:name="_Toc48468194"/>
      <w:bookmarkStart w:id="18" w:name="_Toc49155388"/>
      <w:bookmarkStart w:id="19" w:name="_Toc49223834"/>
      <w:bookmarkStart w:id="20" w:name="_Toc50440298"/>
      <w:bookmarkStart w:id="21" w:name="_Toc194918617"/>
      <w:bookmarkStart w:id="22" w:name="_Toc400627277"/>
      <w:bookmarkStart w:id="23" w:name="_Toc98762986"/>
      <w:r w:rsidRPr="006F42DC">
        <w:t>Preface</w:t>
      </w:r>
      <w:bookmarkEnd w:id="12"/>
      <w:bookmarkEnd w:id="13"/>
      <w:bookmarkEnd w:id="14"/>
      <w:bookmarkEnd w:id="15"/>
      <w:bookmarkEnd w:id="16"/>
      <w:bookmarkEnd w:id="17"/>
      <w:bookmarkEnd w:id="18"/>
      <w:bookmarkEnd w:id="19"/>
      <w:bookmarkEnd w:id="20"/>
      <w:bookmarkEnd w:id="21"/>
      <w:bookmarkEnd w:id="22"/>
      <w:bookmarkEnd w:id="23"/>
    </w:p>
    <w:p w14:paraId="136E6AD0" w14:textId="17975F20" w:rsidR="000144FF" w:rsidRPr="00B55331" w:rsidRDefault="000144FF" w:rsidP="00AE3092">
      <w:pPr>
        <w:pStyle w:val="BodyText"/>
        <w:spacing w:after="120"/>
        <w:rPr>
          <w:rFonts w:cs="Calibri"/>
        </w:rPr>
      </w:pPr>
      <w:r w:rsidRPr="00B55331">
        <w:t xml:space="preserve">The Model Financial </w:t>
      </w:r>
      <w:r w:rsidR="00580AE8" w:rsidRPr="00B55331">
        <w:t>Statements</w:t>
      </w:r>
      <w:r w:rsidRPr="00B55331">
        <w:t xml:space="preserve"> </w:t>
      </w:r>
      <w:r w:rsidR="0030712E" w:rsidRPr="00B55331">
        <w:t xml:space="preserve">(Model) </w:t>
      </w:r>
      <w:r w:rsidR="005B0D04" w:rsidRPr="00B55331">
        <w:t>have</w:t>
      </w:r>
      <w:r w:rsidRPr="00B55331">
        <w:t xml:space="preserve"> been developed to assist </w:t>
      </w:r>
      <w:r w:rsidR="00580AE8" w:rsidRPr="00B55331">
        <w:t>a</w:t>
      </w:r>
      <w:r w:rsidR="00BC6A13" w:rsidRPr="00B55331">
        <w:t>gencies</w:t>
      </w:r>
      <w:r w:rsidRPr="00B55331">
        <w:t xml:space="preserve"> with the preparation</w:t>
      </w:r>
      <w:r w:rsidRPr="00B55331">
        <w:rPr>
          <w:rFonts w:cs="Calibri"/>
        </w:rPr>
        <w:t xml:space="preserve"> of their annual financial </w:t>
      </w:r>
      <w:r w:rsidR="00580AE8" w:rsidRPr="00B55331">
        <w:rPr>
          <w:rFonts w:cs="Calibri"/>
        </w:rPr>
        <w:t>statements</w:t>
      </w:r>
      <w:r w:rsidRPr="00B55331">
        <w:rPr>
          <w:rFonts w:cs="Calibri"/>
        </w:rPr>
        <w:t>.</w:t>
      </w:r>
      <w:r w:rsidR="00FA7C77">
        <w:rPr>
          <w:rFonts w:cs="Calibri"/>
        </w:rPr>
        <w:t xml:space="preserve"> </w:t>
      </w:r>
    </w:p>
    <w:p w14:paraId="5C22191B" w14:textId="1AB2D62B" w:rsidR="000144FF" w:rsidRPr="00B55331" w:rsidRDefault="000144FF" w:rsidP="00AE3092">
      <w:pPr>
        <w:pStyle w:val="BodyText"/>
        <w:spacing w:after="120"/>
        <w:rPr>
          <w:rFonts w:cs="Calibri"/>
        </w:rPr>
      </w:pPr>
      <w:r w:rsidRPr="00B55331">
        <w:rPr>
          <w:rFonts w:cs="Calibri"/>
        </w:rPr>
        <w:t xml:space="preserve">The Model is designed to clearly explain presentational requirements within the current reporting framework of the Territory. Disclosures contained in </w:t>
      </w:r>
      <w:r w:rsidR="00D01B64" w:rsidRPr="00B55331">
        <w:rPr>
          <w:rFonts w:cs="Calibri"/>
        </w:rPr>
        <w:t>the</w:t>
      </w:r>
      <w:r w:rsidRPr="00B55331">
        <w:rPr>
          <w:rFonts w:cs="Calibri"/>
        </w:rPr>
        <w:t xml:space="preserve"> Model should only be included in </w:t>
      </w:r>
      <w:r w:rsidR="00B96D8D" w:rsidRPr="00B55331">
        <w:rPr>
          <w:rFonts w:cs="Calibri"/>
        </w:rPr>
        <w:t xml:space="preserve">an </w:t>
      </w:r>
      <w:r w:rsidR="00580AE8" w:rsidRPr="00B55331">
        <w:rPr>
          <w:rFonts w:cs="Calibri"/>
        </w:rPr>
        <w:t>a</w:t>
      </w:r>
      <w:r w:rsidR="00B96D8D" w:rsidRPr="00B55331">
        <w:rPr>
          <w:rFonts w:cs="Calibri"/>
        </w:rPr>
        <w:t>gency</w:t>
      </w:r>
      <w:r w:rsidRPr="00B55331">
        <w:rPr>
          <w:rFonts w:cs="Calibri"/>
        </w:rPr>
        <w:t xml:space="preserve">’s </w:t>
      </w:r>
      <w:r w:rsidR="00580AE8" w:rsidRPr="00B55331">
        <w:rPr>
          <w:rFonts w:cs="Calibri"/>
        </w:rPr>
        <w:t>f</w:t>
      </w:r>
      <w:r w:rsidRPr="00B55331">
        <w:rPr>
          <w:rFonts w:cs="Calibri"/>
        </w:rPr>
        <w:t xml:space="preserve">inancial </w:t>
      </w:r>
      <w:r w:rsidR="00580AE8" w:rsidRPr="00B55331">
        <w:rPr>
          <w:rFonts w:cs="Calibri"/>
        </w:rPr>
        <w:t>statements</w:t>
      </w:r>
      <w:r w:rsidRPr="00B55331">
        <w:rPr>
          <w:rFonts w:cs="Calibri"/>
        </w:rPr>
        <w:t xml:space="preserve"> if they are applicable</w:t>
      </w:r>
      <w:r w:rsidR="00977CF1" w:rsidRPr="00B55331">
        <w:rPr>
          <w:rFonts w:cs="Calibri"/>
        </w:rPr>
        <w:t xml:space="preserve"> and material</w:t>
      </w:r>
      <w:r w:rsidRPr="00B55331">
        <w:rPr>
          <w:rFonts w:cs="Calibri"/>
        </w:rPr>
        <w:t>.</w:t>
      </w:r>
      <w:r w:rsidR="00FA7C77">
        <w:rPr>
          <w:rFonts w:cs="Calibri"/>
        </w:rPr>
        <w:t xml:space="preserve"> </w:t>
      </w:r>
      <w:r w:rsidRPr="00B55331">
        <w:rPr>
          <w:rFonts w:cs="Calibri"/>
        </w:rPr>
        <w:t xml:space="preserve">For example, where </w:t>
      </w:r>
      <w:r w:rsidR="00B96D8D" w:rsidRPr="00B55331">
        <w:rPr>
          <w:rFonts w:cs="Calibri"/>
        </w:rPr>
        <w:t xml:space="preserve">an </w:t>
      </w:r>
      <w:r w:rsidR="00580AE8" w:rsidRPr="00B55331">
        <w:rPr>
          <w:rFonts w:cs="Calibri"/>
        </w:rPr>
        <w:t>a</w:t>
      </w:r>
      <w:r w:rsidR="00B96D8D" w:rsidRPr="00B55331">
        <w:rPr>
          <w:rFonts w:cs="Calibri"/>
        </w:rPr>
        <w:t>gency</w:t>
      </w:r>
      <w:r w:rsidRPr="00B55331">
        <w:rPr>
          <w:rFonts w:cs="Calibri"/>
        </w:rPr>
        <w:t xml:space="preserve"> does not have any investment properties, the investment property note disclosure contained in the Model should not be included in the </w:t>
      </w:r>
      <w:r w:rsidR="00580AE8" w:rsidRPr="00B55331">
        <w:rPr>
          <w:rFonts w:cs="Calibri"/>
        </w:rPr>
        <w:t>a</w:t>
      </w:r>
      <w:r w:rsidR="00333B8F" w:rsidRPr="00B55331">
        <w:rPr>
          <w:rFonts w:cs="Calibri"/>
        </w:rPr>
        <w:t>gency</w:t>
      </w:r>
      <w:r w:rsidR="006B46E4" w:rsidRPr="00B55331">
        <w:rPr>
          <w:rFonts w:cs="Calibri"/>
        </w:rPr>
        <w:t xml:space="preserve">’s financial </w:t>
      </w:r>
      <w:r w:rsidR="00580AE8" w:rsidRPr="00B55331">
        <w:rPr>
          <w:rFonts w:cs="Calibri"/>
        </w:rPr>
        <w:t>statements</w:t>
      </w:r>
      <w:r w:rsidR="006B46E4" w:rsidRPr="00B55331">
        <w:rPr>
          <w:rFonts w:cs="Calibri"/>
        </w:rPr>
        <w:t>.</w:t>
      </w:r>
      <w:r w:rsidRPr="00B55331">
        <w:rPr>
          <w:rFonts w:cs="Calibri"/>
        </w:rPr>
        <w:t xml:space="preserve"> Additional disclosure should also be included where the information is considered to enhance the comprehension of the financial </w:t>
      </w:r>
      <w:r w:rsidR="00580AE8" w:rsidRPr="00B55331">
        <w:rPr>
          <w:rFonts w:cs="Calibri"/>
        </w:rPr>
        <w:t>statements</w:t>
      </w:r>
      <w:r w:rsidRPr="00B55331">
        <w:rPr>
          <w:rFonts w:cs="Calibri"/>
        </w:rPr>
        <w:t xml:space="preserve"> and is of relevance to </w:t>
      </w:r>
      <w:r w:rsidR="0045648F" w:rsidRPr="00B55331">
        <w:t>primary users</w:t>
      </w:r>
      <w:r w:rsidRPr="00B55331">
        <w:rPr>
          <w:rFonts w:cs="Calibri"/>
        </w:rPr>
        <w:t>.</w:t>
      </w:r>
      <w:r w:rsidR="00FA7C77">
        <w:rPr>
          <w:rFonts w:cs="Calibri"/>
        </w:rPr>
        <w:t xml:space="preserve"> </w:t>
      </w:r>
      <w:r w:rsidRPr="00B55331">
        <w:rPr>
          <w:rFonts w:cs="Calibri"/>
        </w:rPr>
        <w:t>The requirements in this Model are effective for the year ending 30</w:t>
      </w:r>
      <w:r w:rsidR="00DC05AF" w:rsidRPr="00B55331">
        <w:rPr>
          <w:rFonts w:cs="Calibri"/>
        </w:rPr>
        <w:t xml:space="preserve"> </w:t>
      </w:r>
      <w:r w:rsidRPr="00B55331">
        <w:rPr>
          <w:rFonts w:cs="Calibri"/>
        </w:rPr>
        <w:t>June</w:t>
      </w:r>
      <w:r w:rsidR="00DC05AF" w:rsidRPr="00B55331">
        <w:rPr>
          <w:rFonts w:cs="Calibri"/>
        </w:rPr>
        <w:t xml:space="preserve"> </w:t>
      </w:r>
      <w:r w:rsidR="004B3FED" w:rsidRPr="00B55331">
        <w:rPr>
          <w:rFonts w:cs="Calibri"/>
        </w:rPr>
        <w:t>202</w:t>
      </w:r>
      <w:r w:rsidR="00C27562" w:rsidRPr="00B55331">
        <w:rPr>
          <w:rFonts w:cs="Calibri"/>
        </w:rPr>
        <w:t>2</w:t>
      </w:r>
      <w:r w:rsidR="00342707" w:rsidRPr="00B55331">
        <w:rPr>
          <w:rFonts w:cs="Calibri"/>
        </w:rPr>
        <w:t>.</w:t>
      </w:r>
    </w:p>
    <w:p w14:paraId="0B0F8BA4" w14:textId="57801D05" w:rsidR="004C7A57" w:rsidRPr="00B55331" w:rsidRDefault="004C7A57" w:rsidP="00AE3092">
      <w:pPr>
        <w:pStyle w:val="BodyText"/>
        <w:spacing w:after="120"/>
        <w:rPr>
          <w:rFonts w:cs="Calibri"/>
        </w:rPr>
      </w:pPr>
      <w:r w:rsidRPr="00B55331">
        <w:rPr>
          <w:rFonts w:cs="Calibri"/>
        </w:rPr>
        <w:t>The Model illustrates the consistency and quality of financial information considered necessary to meet the information needs of primary users. The Model is a set of ‘general purpose financial statements’ which are concerned with providing information to meet the common needs of primary users who rely on information communicated to them by an agency’s financial statements. One of the primary users is considered to be the Legislative Assembly.</w:t>
      </w:r>
    </w:p>
    <w:p w14:paraId="5BD1D175" w14:textId="77777777" w:rsidR="004C7A57" w:rsidRPr="00B55331" w:rsidRDefault="004C7A57" w:rsidP="00AE3092">
      <w:pPr>
        <w:spacing w:after="60"/>
        <w:rPr>
          <w:rFonts w:cs="Calibri"/>
        </w:rPr>
      </w:pPr>
      <w:r w:rsidRPr="00B55331">
        <w:t>The Model is based on the following principles</w:t>
      </w:r>
      <w:r w:rsidRPr="00B55331">
        <w:rPr>
          <w:rFonts w:cs="Calibri"/>
        </w:rPr>
        <w:t>:</w:t>
      </w:r>
    </w:p>
    <w:p w14:paraId="1B5D62D4" w14:textId="40140930" w:rsidR="004C7A57" w:rsidRPr="00B55331" w:rsidRDefault="004C7A57" w:rsidP="00AE3092">
      <w:pPr>
        <w:pStyle w:val="BodyText"/>
        <w:tabs>
          <w:tab w:val="left" w:pos="1701"/>
        </w:tabs>
        <w:spacing w:after="60"/>
        <w:ind w:left="1701" w:hanging="1695"/>
        <w:rPr>
          <w:rFonts w:cs="Calibri"/>
        </w:rPr>
      </w:pPr>
      <w:r w:rsidRPr="00B55331">
        <w:rPr>
          <w:rFonts w:cs="Calibri"/>
        </w:rPr>
        <w:t>Accountability</w:t>
      </w:r>
      <w:r w:rsidR="00B55331" w:rsidRPr="00B55331">
        <w:rPr>
          <w:rFonts w:cs="Calibri"/>
        </w:rPr>
        <w:t xml:space="preserve"> </w:t>
      </w:r>
      <w:r w:rsidRPr="00B55331">
        <w:rPr>
          <w:rFonts w:cs="Calibri"/>
        </w:rPr>
        <w:t>-</w:t>
      </w:r>
      <w:r w:rsidRPr="00B55331">
        <w:rPr>
          <w:rFonts w:cs="Calibri"/>
        </w:rPr>
        <w:tab/>
        <w:t>Directors-General are accountable for the efficient and effective use of resources for which they are responsible and the safekeeping of public monies. The financial statements are to disclose information relevant to assessing their performance in this respect.</w:t>
      </w:r>
    </w:p>
    <w:p w14:paraId="68A51304" w14:textId="2048C185" w:rsidR="004C7A57" w:rsidRPr="00B55331" w:rsidRDefault="004C7A57" w:rsidP="00AE3092">
      <w:pPr>
        <w:pStyle w:val="BodyText"/>
        <w:tabs>
          <w:tab w:val="left" w:pos="1701"/>
        </w:tabs>
        <w:spacing w:after="60"/>
        <w:ind w:left="1701" w:hanging="1701"/>
        <w:rPr>
          <w:rFonts w:cs="Calibri"/>
        </w:rPr>
      </w:pPr>
      <w:r w:rsidRPr="00B55331">
        <w:rPr>
          <w:rFonts w:cs="Calibri"/>
        </w:rPr>
        <w:t>Compliance -</w:t>
      </w:r>
      <w:r w:rsidRPr="00B55331">
        <w:rPr>
          <w:rFonts w:cs="Calibri"/>
        </w:rPr>
        <w:tab/>
        <w:t xml:space="preserve">The financial statements must disclose the information required by legislation and the applicable </w:t>
      </w:r>
      <w:bookmarkStart w:id="24" w:name="_Hlk96892688"/>
      <w:r w:rsidR="00B55331" w:rsidRPr="00B55331">
        <w:rPr>
          <w:rFonts w:cs="Calibri"/>
        </w:rPr>
        <w:t>Australian A</w:t>
      </w:r>
      <w:r w:rsidRPr="00B55331">
        <w:rPr>
          <w:rFonts w:cs="Calibri"/>
        </w:rPr>
        <w:t xml:space="preserve">ccounting </w:t>
      </w:r>
      <w:r w:rsidR="00B55331" w:rsidRPr="00B55331">
        <w:rPr>
          <w:rFonts w:cs="Calibri"/>
        </w:rPr>
        <w:t>S</w:t>
      </w:r>
      <w:r w:rsidRPr="00B55331">
        <w:rPr>
          <w:rFonts w:cs="Calibri"/>
        </w:rPr>
        <w:t>tandards</w:t>
      </w:r>
      <w:bookmarkEnd w:id="24"/>
      <w:r w:rsidRPr="00B55331">
        <w:rPr>
          <w:rFonts w:cs="Calibri"/>
        </w:rPr>
        <w:t>.</w:t>
      </w:r>
    </w:p>
    <w:p w14:paraId="232A0EDD" w14:textId="5BB13E08" w:rsidR="00A8727A" w:rsidRPr="00B55331" w:rsidRDefault="004C7A57" w:rsidP="004C7A57">
      <w:pPr>
        <w:pStyle w:val="BodyText"/>
        <w:tabs>
          <w:tab w:val="left" w:pos="1701"/>
        </w:tabs>
        <w:ind w:left="1701" w:hanging="1701"/>
        <w:rPr>
          <w:rFonts w:cs="Calibri"/>
        </w:rPr>
      </w:pPr>
      <w:r w:rsidRPr="00B55331">
        <w:rPr>
          <w:rFonts w:cs="Calibri"/>
        </w:rPr>
        <w:t>Comparability</w:t>
      </w:r>
      <w:r w:rsidR="00B55331" w:rsidRPr="00B55331">
        <w:rPr>
          <w:rFonts w:cs="Calibri"/>
        </w:rPr>
        <w:t xml:space="preserve"> </w:t>
      </w:r>
      <w:r w:rsidRPr="00B55331">
        <w:rPr>
          <w:rFonts w:cs="Calibri"/>
        </w:rPr>
        <w:t>-</w:t>
      </w:r>
      <w:r w:rsidRPr="00B55331">
        <w:rPr>
          <w:rFonts w:cs="Calibri"/>
        </w:rPr>
        <w:tab/>
        <w:t>The financial statements are to provide operational information that is comparable between periods and between agencies.</w:t>
      </w:r>
    </w:p>
    <w:p w14:paraId="2AEE17B0" w14:textId="77777777" w:rsidR="004C7A57" w:rsidRPr="00B55331" w:rsidRDefault="004C7A57" w:rsidP="00BF7295">
      <w:pPr>
        <w:pStyle w:val="BodyText"/>
        <w:ind w:left="284"/>
        <w:rPr>
          <w:rFonts w:cs="Calibri"/>
        </w:rPr>
      </w:pPr>
    </w:p>
    <w:p w14:paraId="1F88E91D" w14:textId="45AE626A" w:rsidR="000144FF" w:rsidRPr="00B55331" w:rsidRDefault="000144FF">
      <w:pPr>
        <w:pStyle w:val="BodyText"/>
        <w:rPr>
          <w:rFonts w:cs="Calibri"/>
        </w:rPr>
      </w:pPr>
      <w:r w:rsidRPr="00B55331">
        <w:rPr>
          <w:rFonts w:cs="Calibri"/>
        </w:rPr>
        <w:t>The Model ‘</w:t>
      </w:r>
      <w:r w:rsidR="00350670" w:rsidRPr="00B55331">
        <w:rPr>
          <w:rFonts w:cs="Calibri"/>
        </w:rPr>
        <w:t xml:space="preserve">Burley Griffin </w:t>
      </w:r>
      <w:r w:rsidR="00333B8F" w:rsidRPr="00B55331">
        <w:rPr>
          <w:rFonts w:cs="Calibri"/>
        </w:rPr>
        <w:t>Agency</w:t>
      </w:r>
      <w:r w:rsidRPr="00B55331">
        <w:rPr>
          <w:rFonts w:cs="Calibri"/>
        </w:rPr>
        <w:t xml:space="preserve">’ is a fictitious agency and has only been used for the purposes of illustrating the financial reporting requirements for ACT Government </w:t>
      </w:r>
      <w:r w:rsidR="00D65811" w:rsidRPr="00B55331">
        <w:rPr>
          <w:rFonts w:cs="Calibri"/>
        </w:rPr>
        <w:t>a</w:t>
      </w:r>
      <w:r w:rsidR="00BC6A13" w:rsidRPr="00B55331">
        <w:rPr>
          <w:rFonts w:cs="Calibri"/>
        </w:rPr>
        <w:t>gencies</w:t>
      </w:r>
      <w:r w:rsidRPr="00B55331">
        <w:rPr>
          <w:rFonts w:cs="Calibri"/>
        </w:rPr>
        <w:t>.</w:t>
      </w:r>
    </w:p>
    <w:p w14:paraId="25DDEE03" w14:textId="77777777" w:rsidR="00C32F4F" w:rsidRDefault="00D849FC" w:rsidP="00C32F4F">
      <w:pPr>
        <w:pStyle w:val="Heading2"/>
        <w:rPr>
          <w:color w:val="000000" w:themeColor="text1"/>
        </w:rPr>
      </w:pPr>
      <w:bookmarkStart w:id="25" w:name="_Toc98762987"/>
      <w:r w:rsidRPr="00CF4393">
        <w:rPr>
          <w:color w:val="000000" w:themeColor="text1"/>
        </w:rPr>
        <w:t>Materiality Guidance</w:t>
      </w:r>
      <w:bookmarkEnd w:id="25"/>
      <w:r w:rsidRPr="00CF4393">
        <w:rPr>
          <w:color w:val="000000" w:themeColor="text1"/>
        </w:rPr>
        <w:t xml:space="preserve"> </w:t>
      </w:r>
    </w:p>
    <w:p w14:paraId="3E47D60C" w14:textId="45C2C698" w:rsidR="00236204" w:rsidRPr="00457876" w:rsidRDefault="00D849FC" w:rsidP="00A054D1">
      <w:pPr>
        <w:pStyle w:val="BodyText"/>
        <w:rPr>
          <w:rFonts w:cs="Calibri"/>
        </w:rPr>
      </w:pPr>
      <w:r w:rsidRPr="00734C56">
        <w:rPr>
          <w:rFonts w:cs="Calibri"/>
        </w:rPr>
        <w:t xml:space="preserve">Agencies are encouraged to consider materiality in preparing and streamlining their financial statements. </w:t>
      </w:r>
      <w:r w:rsidR="00127699" w:rsidRPr="00734C56">
        <w:rPr>
          <w:rFonts w:cs="Calibri"/>
        </w:rPr>
        <w:t xml:space="preserve">AASB 101 defines information as </w:t>
      </w:r>
      <w:r w:rsidR="003931AB" w:rsidRPr="00734C56">
        <w:rPr>
          <w:rFonts w:cs="Calibri"/>
        </w:rPr>
        <w:t>material if</w:t>
      </w:r>
      <w:r w:rsidR="00A843B2" w:rsidRPr="00734C56">
        <w:t xml:space="preserve"> omitting, misstating or </w:t>
      </w:r>
      <w:bookmarkStart w:id="26" w:name="_Hlk92208917"/>
      <w:r w:rsidR="00A843B2" w:rsidRPr="00734C56">
        <w:t xml:space="preserve">obscuring it could reasonably be expected to influence decisions that the primary users of general purpose financial statements make </w:t>
      </w:r>
      <w:r w:rsidR="003931AB" w:rsidRPr="00734C56">
        <w:t>based on</w:t>
      </w:r>
      <w:r w:rsidR="00A843B2" w:rsidRPr="00734C56">
        <w:t xml:space="preserve"> those financial statements, which provide financial </w:t>
      </w:r>
      <w:r w:rsidR="00A843B2" w:rsidRPr="00236204">
        <w:rPr>
          <w:rFonts w:cs="Calibri"/>
        </w:rPr>
        <w:t xml:space="preserve">information about a specific reporting </w:t>
      </w:r>
      <w:r w:rsidR="00A843B2" w:rsidRPr="00457876">
        <w:rPr>
          <w:rFonts w:cs="Calibri"/>
        </w:rPr>
        <w:t>entity</w:t>
      </w:r>
      <w:bookmarkEnd w:id="26"/>
      <w:r w:rsidR="00A843B2" w:rsidRPr="00457876">
        <w:rPr>
          <w:rFonts w:cs="Calibri"/>
        </w:rPr>
        <w:t>.</w:t>
      </w:r>
      <w:r w:rsidR="00FA7C77">
        <w:rPr>
          <w:rFonts w:cs="Calibri"/>
        </w:rPr>
        <w:t xml:space="preserve"> </w:t>
      </w:r>
      <w:r w:rsidR="00A054D1" w:rsidRPr="00457876">
        <w:rPr>
          <w:rFonts w:cs="Calibri"/>
        </w:rPr>
        <w:t>The definition of materiality includes a reference to ‘obscured’.</w:t>
      </w:r>
      <w:r w:rsidR="00FA7C77">
        <w:rPr>
          <w:rFonts w:cs="Calibri"/>
        </w:rPr>
        <w:t xml:space="preserve"> </w:t>
      </w:r>
      <w:r w:rsidR="00236204" w:rsidRPr="00457876">
        <w:rPr>
          <w:rFonts w:cs="Calibri"/>
        </w:rPr>
        <w:t xml:space="preserve">Information is obscured if it is communicated in a way that would have a similar effect </w:t>
      </w:r>
      <w:r w:rsidR="00457876" w:rsidRPr="00457876">
        <w:rPr>
          <w:rFonts w:cs="Calibri"/>
        </w:rPr>
        <w:t xml:space="preserve">to </w:t>
      </w:r>
      <w:r w:rsidR="00236204" w:rsidRPr="00457876">
        <w:rPr>
          <w:rFonts w:cs="Calibri"/>
        </w:rPr>
        <w:t xml:space="preserve">primary users of omitting or misstating that information. The following are examples of circumstances that may result in material information being obscured: </w:t>
      </w:r>
    </w:p>
    <w:p w14:paraId="664A9664" w14:textId="77777777" w:rsidR="00236204" w:rsidRPr="00457876" w:rsidRDefault="00236204" w:rsidP="007122BC">
      <w:pPr>
        <w:pStyle w:val="Default"/>
        <w:numPr>
          <w:ilvl w:val="0"/>
          <w:numId w:val="58"/>
        </w:numPr>
        <w:rPr>
          <w:rFonts w:ascii="Calibri" w:hAnsi="Calibri" w:cs="Calibri"/>
          <w:color w:val="auto"/>
          <w:sz w:val="22"/>
          <w:szCs w:val="16"/>
          <w:lang w:eastAsia="en-US"/>
        </w:rPr>
      </w:pPr>
      <w:r w:rsidRPr="00457876">
        <w:rPr>
          <w:rFonts w:ascii="Calibri" w:hAnsi="Calibri" w:cs="Calibri"/>
          <w:color w:val="auto"/>
          <w:sz w:val="22"/>
          <w:szCs w:val="16"/>
          <w:lang w:eastAsia="en-US"/>
        </w:rPr>
        <w:t xml:space="preserve">information regarding a material item, transaction or other event is disclosed in the financial statements but the language used is vague or unclear; </w:t>
      </w:r>
    </w:p>
    <w:p w14:paraId="0231A71C" w14:textId="77777777" w:rsidR="00236204" w:rsidRPr="00457876" w:rsidRDefault="00236204" w:rsidP="007122BC">
      <w:pPr>
        <w:pStyle w:val="Default"/>
        <w:numPr>
          <w:ilvl w:val="0"/>
          <w:numId w:val="58"/>
        </w:numPr>
        <w:rPr>
          <w:rFonts w:ascii="Calibri" w:hAnsi="Calibri" w:cs="Calibri"/>
          <w:color w:val="auto"/>
          <w:sz w:val="22"/>
          <w:szCs w:val="16"/>
          <w:lang w:eastAsia="en-US"/>
        </w:rPr>
      </w:pPr>
      <w:r w:rsidRPr="00457876">
        <w:rPr>
          <w:rFonts w:ascii="Calibri" w:hAnsi="Calibri" w:cs="Calibri"/>
          <w:color w:val="auto"/>
          <w:sz w:val="22"/>
          <w:szCs w:val="16"/>
          <w:lang w:eastAsia="en-US"/>
        </w:rPr>
        <w:t>information regarding a material item, transaction or other event is scattered throughout the financial statements;</w:t>
      </w:r>
    </w:p>
    <w:p w14:paraId="77CF440F" w14:textId="45E488A1" w:rsidR="00236204" w:rsidRPr="00457876" w:rsidRDefault="00236204" w:rsidP="007122BC">
      <w:pPr>
        <w:pStyle w:val="Default"/>
        <w:numPr>
          <w:ilvl w:val="0"/>
          <w:numId w:val="58"/>
        </w:numPr>
        <w:rPr>
          <w:rFonts w:ascii="Calibri" w:hAnsi="Calibri" w:cs="Calibri"/>
          <w:color w:val="auto"/>
          <w:sz w:val="22"/>
          <w:szCs w:val="16"/>
          <w:lang w:eastAsia="en-US"/>
        </w:rPr>
      </w:pPr>
      <w:r w:rsidRPr="00457876">
        <w:rPr>
          <w:rFonts w:ascii="Calibri" w:hAnsi="Calibri" w:cs="Calibri"/>
          <w:color w:val="auto"/>
          <w:sz w:val="22"/>
          <w:szCs w:val="16"/>
          <w:lang w:eastAsia="en-US"/>
        </w:rPr>
        <w:t xml:space="preserve">dissimilar items, transactions or other events are inappropriately aggregated; </w:t>
      </w:r>
    </w:p>
    <w:p w14:paraId="6572ECFB" w14:textId="3D35069B" w:rsidR="00236204" w:rsidRPr="00457876" w:rsidRDefault="00236204" w:rsidP="007122BC">
      <w:pPr>
        <w:pStyle w:val="Default"/>
        <w:numPr>
          <w:ilvl w:val="0"/>
          <w:numId w:val="58"/>
        </w:numPr>
        <w:rPr>
          <w:rFonts w:ascii="Calibri" w:hAnsi="Calibri" w:cs="Calibri"/>
          <w:color w:val="auto"/>
          <w:sz w:val="22"/>
          <w:szCs w:val="16"/>
          <w:lang w:eastAsia="en-US"/>
        </w:rPr>
      </w:pPr>
      <w:r w:rsidRPr="00457876">
        <w:rPr>
          <w:rFonts w:ascii="Calibri" w:hAnsi="Calibri" w:cs="Calibri"/>
          <w:color w:val="auto"/>
          <w:sz w:val="22"/>
          <w:szCs w:val="16"/>
          <w:lang w:eastAsia="en-US"/>
        </w:rPr>
        <w:t xml:space="preserve">similar items, transactions or other events are inappropriately disaggregated; and </w:t>
      </w:r>
    </w:p>
    <w:p w14:paraId="3234EDAB" w14:textId="5FABCE75" w:rsidR="00236204" w:rsidRPr="00457876" w:rsidRDefault="00236204" w:rsidP="007122BC">
      <w:pPr>
        <w:pStyle w:val="Default"/>
        <w:numPr>
          <w:ilvl w:val="0"/>
          <w:numId w:val="58"/>
        </w:numPr>
        <w:rPr>
          <w:rFonts w:ascii="Calibri" w:hAnsi="Calibri" w:cs="Calibri"/>
          <w:color w:val="auto"/>
          <w:sz w:val="22"/>
          <w:szCs w:val="16"/>
          <w:lang w:eastAsia="en-US"/>
        </w:rPr>
      </w:pPr>
      <w:r w:rsidRPr="00457876">
        <w:rPr>
          <w:rFonts w:ascii="Calibri" w:hAnsi="Calibri" w:cs="Calibri"/>
          <w:color w:val="auto"/>
          <w:sz w:val="22"/>
          <w:szCs w:val="16"/>
          <w:lang w:eastAsia="en-US"/>
        </w:rPr>
        <w:t>the understandability of the financial statements is reduced as a result of material information being hidden by immaterial information to the extent that a primary user is unable to determine what information is material.</w:t>
      </w:r>
    </w:p>
    <w:p w14:paraId="0D881E8B" w14:textId="77777777" w:rsidR="00D849FC" w:rsidRPr="00236204" w:rsidRDefault="00D849FC" w:rsidP="005D7F4C">
      <w:pPr>
        <w:pStyle w:val="BodyText"/>
        <w:rPr>
          <w:rFonts w:cs="Calibri"/>
        </w:rPr>
      </w:pPr>
    </w:p>
    <w:p w14:paraId="645A0B3A" w14:textId="76527B97" w:rsidR="004367E9" w:rsidRPr="00457876" w:rsidRDefault="004367E9" w:rsidP="004367E9">
      <w:pPr>
        <w:pStyle w:val="NormalSF"/>
        <w:spacing w:before="0" w:after="0"/>
        <w:jc w:val="both"/>
        <w:rPr>
          <w:rFonts w:cs="Calibri"/>
          <w:szCs w:val="16"/>
          <w:lang w:val="en-AU" w:eastAsia="en-US"/>
        </w:rPr>
      </w:pPr>
      <w:r w:rsidRPr="00457876">
        <w:rPr>
          <w:rFonts w:cs="Calibri"/>
          <w:szCs w:val="16"/>
          <w:lang w:val="en-AU" w:eastAsia="en-US"/>
        </w:rPr>
        <w:t>The concept of materiality means that a specific disclosure requirement in an Australian Accounting Standard need not be satisfied if the information resulting from that disclosure is not material.</w:t>
      </w:r>
      <w:r w:rsidR="00FA7C77">
        <w:rPr>
          <w:rFonts w:cs="Calibri"/>
          <w:szCs w:val="16"/>
          <w:lang w:val="en-AU" w:eastAsia="en-US"/>
        </w:rPr>
        <w:t xml:space="preserve"> </w:t>
      </w:r>
      <w:r w:rsidRPr="00457876">
        <w:rPr>
          <w:rFonts w:cs="Calibri"/>
          <w:szCs w:val="16"/>
          <w:lang w:val="en-AU" w:eastAsia="en-US"/>
        </w:rPr>
        <w:t>This is the case even if the Australian Accounting Standard contains a list of specific requirements or describes them as minimum requirements.</w:t>
      </w:r>
      <w:r w:rsidR="00FA7C77">
        <w:rPr>
          <w:rFonts w:cs="Calibri"/>
          <w:szCs w:val="16"/>
          <w:lang w:val="en-AU" w:eastAsia="en-US"/>
        </w:rPr>
        <w:t xml:space="preserve"> </w:t>
      </w:r>
      <w:r w:rsidRPr="00457876">
        <w:rPr>
          <w:rFonts w:cs="Calibri"/>
          <w:szCs w:val="16"/>
          <w:lang w:val="en-AU" w:eastAsia="en-US"/>
        </w:rPr>
        <w:t>Alternatively, where an item is not specifically required to be disclosed by an Australian Accounting Standard but is material, it shall be disclosed in either the Financial Statements or in the notes to the financial statements, whichever one is appropriate to enable primary users of financial statements to understand the impact of particular transactions, other events and conditions.</w:t>
      </w:r>
    </w:p>
    <w:p w14:paraId="6FF3503C" w14:textId="77777777" w:rsidR="004367E9" w:rsidRDefault="004367E9" w:rsidP="005D7F4C">
      <w:pPr>
        <w:pStyle w:val="BodyText"/>
        <w:rPr>
          <w:rFonts w:cs="Calibri"/>
        </w:rPr>
      </w:pPr>
    </w:p>
    <w:p w14:paraId="1BA019E6" w14:textId="3A1D2A8D" w:rsidR="00BD1DCB" w:rsidRPr="00BD1DCB" w:rsidRDefault="00BD1DCB" w:rsidP="00BD1DCB">
      <w:pPr>
        <w:pStyle w:val="Heading2"/>
        <w:numPr>
          <w:ilvl w:val="1"/>
          <w:numId w:val="85"/>
        </w:numPr>
        <w:rPr>
          <w:color w:val="000000" w:themeColor="text1"/>
        </w:rPr>
      </w:pPr>
      <w:bookmarkStart w:id="27" w:name="_Toc98762988"/>
      <w:r w:rsidRPr="00BD1DCB">
        <w:rPr>
          <w:color w:val="000000" w:themeColor="text1"/>
        </w:rPr>
        <w:t>Materiality Guidance – Continued</w:t>
      </w:r>
      <w:bookmarkEnd w:id="27"/>
      <w:r w:rsidRPr="00BD1DCB">
        <w:rPr>
          <w:color w:val="000000" w:themeColor="text1"/>
        </w:rPr>
        <w:t xml:space="preserve"> </w:t>
      </w:r>
    </w:p>
    <w:p w14:paraId="3A086CD9" w14:textId="0C53A42D" w:rsidR="00D849FC" w:rsidRDefault="00D849FC" w:rsidP="005D7F4C">
      <w:pPr>
        <w:pStyle w:val="BodyText"/>
        <w:rPr>
          <w:rFonts w:cs="Calibri"/>
          <w:color w:val="000000" w:themeColor="text1"/>
        </w:rPr>
      </w:pPr>
      <w:r w:rsidRPr="00236204">
        <w:rPr>
          <w:rFonts w:cs="Calibri"/>
        </w:rPr>
        <w:t>The AASB Practice Statem</w:t>
      </w:r>
      <w:r w:rsidRPr="00CF4393">
        <w:rPr>
          <w:rFonts w:cs="Calibri"/>
          <w:color w:val="000000" w:themeColor="text1"/>
        </w:rPr>
        <w:t xml:space="preserve">ent 2 </w:t>
      </w:r>
      <w:r w:rsidRPr="00CF4393">
        <w:rPr>
          <w:rFonts w:cs="Calibri"/>
          <w:i/>
          <w:color w:val="000000" w:themeColor="text1"/>
        </w:rPr>
        <w:t>Making Materiality Judgements</w:t>
      </w:r>
      <w:r w:rsidRPr="00CF4393">
        <w:rPr>
          <w:rFonts w:cs="Calibri"/>
          <w:color w:val="000000" w:themeColor="text1"/>
        </w:rPr>
        <w:t xml:space="preserve"> should be used by agencies in their assessment of materiality.</w:t>
      </w:r>
      <w:r w:rsidR="00FA7C77">
        <w:rPr>
          <w:rFonts w:cs="Calibri"/>
          <w:color w:val="000000" w:themeColor="text1"/>
        </w:rPr>
        <w:t xml:space="preserve"> </w:t>
      </w:r>
      <w:r w:rsidRPr="00CF4393">
        <w:rPr>
          <w:rFonts w:cs="Calibri"/>
          <w:color w:val="000000" w:themeColor="text1"/>
        </w:rPr>
        <w:t>Making materiality judgements involves both quantitative and qualitative considerations.</w:t>
      </w:r>
      <w:r w:rsidR="00FA7C77">
        <w:rPr>
          <w:rFonts w:cs="Calibri"/>
          <w:color w:val="000000" w:themeColor="text1"/>
        </w:rPr>
        <w:t xml:space="preserve"> </w:t>
      </w:r>
      <w:r w:rsidRPr="00CF4393">
        <w:rPr>
          <w:rFonts w:cs="Calibri"/>
          <w:color w:val="000000" w:themeColor="text1"/>
        </w:rPr>
        <w:t xml:space="preserve">A quantitative threshold - a specified level, rate or amount used in assessing size - can be a helpful tool in making a materiality judgement. However, a quantitative assessment alone is not always sufficient to conclude that an item of information is not material. The entity should further assess the presence of qualitative factors. </w:t>
      </w:r>
    </w:p>
    <w:p w14:paraId="321B72EA" w14:textId="77777777" w:rsidR="004367E9" w:rsidRPr="00CF4393" w:rsidRDefault="004367E9" w:rsidP="005D7F4C">
      <w:pPr>
        <w:pStyle w:val="BodyText"/>
        <w:rPr>
          <w:rFonts w:cs="Calibri"/>
          <w:color w:val="000000" w:themeColor="text1"/>
        </w:rPr>
      </w:pPr>
    </w:p>
    <w:p w14:paraId="47985D3B" w14:textId="6268D485" w:rsidR="004367E9" w:rsidRPr="00A11CD3" w:rsidRDefault="000C54CB" w:rsidP="004367E9">
      <w:pPr>
        <w:pStyle w:val="NormalSF"/>
        <w:spacing w:before="0" w:after="0"/>
        <w:jc w:val="both"/>
        <w:rPr>
          <w:szCs w:val="22"/>
        </w:rPr>
      </w:pPr>
      <w:r w:rsidRPr="00A11CD3">
        <w:rPr>
          <w:rFonts w:cs="Calibri"/>
          <w:szCs w:val="22"/>
        </w:rPr>
        <w:t>Materiality depends on the size and nature of the omission or misstatement judged in the surrounding circumstances.</w:t>
      </w:r>
      <w:r w:rsidR="00FA7C77">
        <w:rPr>
          <w:rFonts w:cs="Calibri"/>
          <w:szCs w:val="22"/>
        </w:rPr>
        <w:t xml:space="preserve"> </w:t>
      </w:r>
      <w:r w:rsidRPr="00A11CD3">
        <w:rPr>
          <w:rFonts w:cs="Calibri"/>
          <w:szCs w:val="22"/>
        </w:rPr>
        <w:t>The size or nature of the item, or a combination of both, could be the determining factor.</w:t>
      </w:r>
      <w:r w:rsidR="00FA7C77">
        <w:rPr>
          <w:rFonts w:cs="Calibri"/>
          <w:szCs w:val="22"/>
        </w:rPr>
        <w:t xml:space="preserve"> </w:t>
      </w:r>
      <w:r w:rsidR="004367E9" w:rsidRPr="00A11CD3">
        <w:rPr>
          <w:rFonts w:cs="Calibri"/>
          <w:szCs w:val="22"/>
        </w:rPr>
        <w:t xml:space="preserve">Assessing whether an omission or misstatement could influence economic decisions of </w:t>
      </w:r>
      <w:r w:rsidR="004C0D32" w:rsidRPr="00A11CD3">
        <w:rPr>
          <w:rFonts w:cs="Calibri"/>
          <w:szCs w:val="22"/>
        </w:rPr>
        <w:t>primary u</w:t>
      </w:r>
      <w:r w:rsidR="004367E9" w:rsidRPr="00A11CD3">
        <w:rPr>
          <w:rFonts w:cs="Calibri"/>
          <w:szCs w:val="22"/>
        </w:rPr>
        <w:t>sers, and so be material, requires consideration of the characteristics of those users.</w:t>
      </w:r>
      <w:r w:rsidR="00FA7C77">
        <w:rPr>
          <w:rFonts w:cs="Calibri"/>
          <w:szCs w:val="22"/>
        </w:rPr>
        <w:t xml:space="preserve"> </w:t>
      </w:r>
      <w:bookmarkStart w:id="28" w:name="_Hlk96932250"/>
      <w:r w:rsidR="004C0D32" w:rsidRPr="00A11CD3">
        <w:rPr>
          <w:rFonts w:cs="Calibri"/>
        </w:rPr>
        <w:t xml:space="preserve">AASB 101 states that the </w:t>
      </w:r>
      <w:r w:rsidR="00A11CD3">
        <w:rPr>
          <w:rFonts w:cs="Calibri"/>
        </w:rPr>
        <w:t>“</w:t>
      </w:r>
      <w:r w:rsidR="004C0D32" w:rsidRPr="00A11CD3">
        <w:rPr>
          <w:rFonts w:cs="Calibri"/>
          <w:i/>
          <w:iCs/>
        </w:rPr>
        <w:t>f</w:t>
      </w:r>
      <w:r w:rsidR="004C0D32" w:rsidRPr="00A11CD3">
        <w:rPr>
          <w:i/>
          <w:iCs/>
        </w:rPr>
        <w:t>inancial statements are prepared for users who have a reasonable knowledge of business and economic activities and who review and analyse the information diligently. At times, even well-informed and diligent users may need to seek the aid of an adviser to understand information about complex economic phenomena</w:t>
      </w:r>
      <w:r w:rsidR="00A11CD3">
        <w:rPr>
          <w:i/>
          <w:iCs/>
        </w:rPr>
        <w:t>”</w:t>
      </w:r>
      <w:r w:rsidR="004C0D32" w:rsidRPr="00A11CD3">
        <w:rPr>
          <w:i/>
          <w:iCs/>
        </w:rPr>
        <w:t>.</w:t>
      </w:r>
      <w:r w:rsidR="00FA7C77">
        <w:rPr>
          <w:i/>
          <w:iCs/>
        </w:rPr>
        <w:t xml:space="preserve"> </w:t>
      </w:r>
      <w:r w:rsidR="004C0D32" w:rsidRPr="00A11CD3">
        <w:t>As such, u</w:t>
      </w:r>
      <w:bookmarkEnd w:id="28"/>
      <w:r w:rsidR="004367E9" w:rsidRPr="00A11CD3">
        <w:rPr>
          <w:rFonts w:cs="Calibri"/>
          <w:szCs w:val="22"/>
        </w:rPr>
        <w:t xml:space="preserve">sers </w:t>
      </w:r>
      <w:bookmarkStart w:id="29" w:name="_Hlk96932284"/>
      <w:r w:rsidR="004367E9" w:rsidRPr="00A11CD3">
        <w:rPr>
          <w:rFonts w:cs="Calibri"/>
          <w:szCs w:val="22"/>
        </w:rPr>
        <w:t xml:space="preserve">are assumed to have a reasonable </w:t>
      </w:r>
      <w:r w:rsidR="004C0D32" w:rsidRPr="00A11CD3">
        <w:rPr>
          <w:rFonts w:cs="Calibri"/>
          <w:szCs w:val="22"/>
        </w:rPr>
        <w:t xml:space="preserve">financial </w:t>
      </w:r>
      <w:r w:rsidR="004367E9" w:rsidRPr="00A11CD3">
        <w:rPr>
          <w:rFonts w:cs="Calibri"/>
          <w:szCs w:val="22"/>
        </w:rPr>
        <w:t xml:space="preserve">knowledge and a willingness to study the information with due diligence. Therefore, the assessment needs to </w:t>
      </w:r>
      <w:r w:rsidR="003931AB" w:rsidRPr="00A11CD3">
        <w:rPr>
          <w:rFonts w:cs="Calibri"/>
          <w:szCs w:val="22"/>
        </w:rPr>
        <w:t>consider</w:t>
      </w:r>
      <w:r w:rsidR="004367E9" w:rsidRPr="00A11CD3">
        <w:rPr>
          <w:rFonts w:cs="Calibri"/>
          <w:szCs w:val="22"/>
        </w:rPr>
        <w:t xml:space="preserve"> how users with such attributes could reasonably be expected to be influenced in making economic decisions.</w:t>
      </w:r>
      <w:r w:rsidR="004C0D32" w:rsidRPr="00A11CD3">
        <w:rPr>
          <w:rFonts w:cs="Calibri"/>
        </w:rPr>
        <w:t xml:space="preserve"> </w:t>
      </w:r>
      <w:bookmarkEnd w:id="29"/>
    </w:p>
    <w:p w14:paraId="70449D11" w14:textId="77777777" w:rsidR="00D849FC" w:rsidRPr="00CF4393" w:rsidRDefault="00D849FC" w:rsidP="005D7F4C">
      <w:pPr>
        <w:pStyle w:val="BodyText"/>
        <w:rPr>
          <w:rFonts w:cs="Calibri"/>
          <w:color w:val="000000" w:themeColor="text1"/>
        </w:rPr>
      </w:pPr>
    </w:p>
    <w:p w14:paraId="134A8605" w14:textId="0C4F955C" w:rsidR="00A24224" w:rsidRPr="00FB40FE" w:rsidRDefault="00C847B1" w:rsidP="005D7F4C">
      <w:pPr>
        <w:pStyle w:val="NormalSF"/>
        <w:spacing w:before="0" w:after="0"/>
        <w:jc w:val="both"/>
      </w:pPr>
      <w:r w:rsidRPr="00FB40FE">
        <w:t xml:space="preserve">AASB 101 </w:t>
      </w:r>
      <w:r w:rsidR="00F95EC8" w:rsidRPr="00FB40FE">
        <w:rPr>
          <w:i/>
          <w:iCs/>
        </w:rPr>
        <w:t>Presentation of Financial Statements</w:t>
      </w:r>
      <w:r w:rsidR="00F95EC8" w:rsidRPr="00FB40FE">
        <w:t xml:space="preserve"> </w:t>
      </w:r>
      <w:r w:rsidR="00FB40FE" w:rsidRPr="00FB40FE">
        <w:t>c</w:t>
      </w:r>
      <w:r w:rsidR="00DD29FB" w:rsidRPr="00FB40FE">
        <w:t>larifies</w:t>
      </w:r>
      <w:r w:rsidR="00A054D1" w:rsidRPr="00FB40FE">
        <w:t xml:space="preserve"> </w:t>
      </w:r>
      <w:r w:rsidR="00D849FC" w:rsidRPr="00FB40FE">
        <w:t xml:space="preserve">that entities should not disclose immaterial information in their financial statements and that the presentation of information in notes can and should be tailored to provide </w:t>
      </w:r>
      <w:r w:rsidR="00A054D1" w:rsidRPr="00FB40FE">
        <w:t xml:space="preserve">primary </w:t>
      </w:r>
      <w:r w:rsidR="00D849FC" w:rsidRPr="00FB40FE">
        <w:t xml:space="preserve">users with the clearest story of an entity’s financial performance and financial position. </w:t>
      </w:r>
      <w:r w:rsidR="001A5C97" w:rsidRPr="00FB40FE">
        <w:t>Agencies are strongly encouraged to undertake an annual assessment with the view to further simplify the presentation of their financial statements.</w:t>
      </w:r>
    </w:p>
    <w:p w14:paraId="20AFF364" w14:textId="77777777" w:rsidR="000C54CB" w:rsidRDefault="000C54CB" w:rsidP="005D7F4C">
      <w:pPr>
        <w:pStyle w:val="NormalSF"/>
        <w:spacing w:before="0" w:after="0"/>
        <w:jc w:val="both"/>
      </w:pPr>
    </w:p>
    <w:p w14:paraId="15AE6731" w14:textId="77777777" w:rsidR="00D849FC" w:rsidRPr="00CF4393" w:rsidRDefault="00D849FC" w:rsidP="006049C1">
      <w:pPr>
        <w:pStyle w:val="Heading3"/>
        <w:ind w:left="851"/>
      </w:pPr>
      <w:bookmarkStart w:id="30" w:name="_Toc98762989"/>
      <w:r w:rsidRPr="00CF4393">
        <w:t>Benefits of Streamlined Financial Reporting</w:t>
      </w:r>
      <w:bookmarkEnd w:id="30"/>
    </w:p>
    <w:p w14:paraId="5EB988B5" w14:textId="77777777" w:rsidR="00D849FC" w:rsidRPr="00FB40FE" w:rsidRDefault="00D849FC" w:rsidP="005D7F4C">
      <w:pPr>
        <w:pStyle w:val="NormalSFLeadIn"/>
        <w:spacing w:before="0" w:after="0"/>
        <w:jc w:val="both"/>
      </w:pPr>
      <w:r w:rsidRPr="00FB40FE">
        <w:t>Benefits of financial statement simplification include:</w:t>
      </w:r>
    </w:p>
    <w:p w14:paraId="0EBE73A7" w14:textId="682767C6" w:rsidR="00D849FC" w:rsidRPr="00FB40FE" w:rsidRDefault="00D849FC" w:rsidP="007122BC">
      <w:pPr>
        <w:pStyle w:val="SFDot1"/>
        <w:numPr>
          <w:ilvl w:val="0"/>
          <w:numId w:val="47"/>
        </w:numPr>
        <w:spacing w:before="0" w:after="0"/>
        <w:ind w:left="567" w:hanging="425"/>
        <w:jc w:val="both"/>
      </w:pPr>
      <w:r w:rsidRPr="00FB40FE">
        <w:t xml:space="preserve">improving the readability of the financial statements by reducing the level of detail included in relation to immaterial balances in separate note disclosures that does not add value to the </w:t>
      </w:r>
      <w:r w:rsidR="00350670" w:rsidRPr="00FB40FE">
        <w:t xml:space="preserve">primary users’ </w:t>
      </w:r>
      <w:r w:rsidRPr="00FB40FE">
        <w:t xml:space="preserve">understanding of agencies’ financial results, in order to focus on material areas; </w:t>
      </w:r>
    </w:p>
    <w:p w14:paraId="3B6796B9" w14:textId="77777777" w:rsidR="00D849FC" w:rsidRPr="00FB40FE" w:rsidRDefault="00D849FC" w:rsidP="007122BC">
      <w:pPr>
        <w:pStyle w:val="SFDot1"/>
        <w:numPr>
          <w:ilvl w:val="0"/>
          <w:numId w:val="47"/>
        </w:numPr>
        <w:spacing w:before="0" w:after="0"/>
        <w:ind w:left="567" w:hanging="425"/>
        <w:jc w:val="both"/>
      </w:pPr>
      <w:r w:rsidRPr="00FB40FE">
        <w:t>reducing financial statement preparation time – due to the ability to use system solutions to assist with the identification of notes and line items that are material from those that may not be material, as well as reducing the size of the financial statements that need preparation and review; and</w:t>
      </w:r>
    </w:p>
    <w:p w14:paraId="100E14DF" w14:textId="77777777" w:rsidR="00D849FC" w:rsidRPr="00FB40FE" w:rsidRDefault="00D849FC" w:rsidP="007122BC">
      <w:pPr>
        <w:pStyle w:val="SFDot1"/>
        <w:numPr>
          <w:ilvl w:val="0"/>
          <w:numId w:val="47"/>
        </w:numPr>
        <w:spacing w:before="0" w:after="0"/>
        <w:ind w:left="567" w:hanging="425"/>
        <w:jc w:val="both"/>
      </w:pPr>
      <w:r w:rsidRPr="00FB40FE">
        <w:t>reducing the level of unnecessary work required during the audit process.</w:t>
      </w:r>
    </w:p>
    <w:p w14:paraId="353812CE" w14:textId="77777777" w:rsidR="00A26218" w:rsidRDefault="00A26218" w:rsidP="00A26218"/>
    <w:p w14:paraId="3F70E3B8" w14:textId="1F9BB503" w:rsidR="00D849FC" w:rsidRPr="00A26218" w:rsidRDefault="00D849FC" w:rsidP="006049C1">
      <w:pPr>
        <w:pStyle w:val="Heading3"/>
        <w:ind w:left="851"/>
      </w:pPr>
      <w:bookmarkStart w:id="31" w:name="_Toc98762990"/>
      <w:r w:rsidRPr="00A26218">
        <w:t>General Guidance</w:t>
      </w:r>
      <w:bookmarkEnd w:id="31"/>
    </w:p>
    <w:p w14:paraId="68DCEB2C" w14:textId="297800F4" w:rsidR="00D849FC" w:rsidRPr="00FB40FE" w:rsidRDefault="00D849FC" w:rsidP="005D7F4C">
      <w:pPr>
        <w:pStyle w:val="NormalSFLeadIn"/>
        <w:spacing w:before="0" w:after="0"/>
        <w:jc w:val="both"/>
      </w:pPr>
      <w:r w:rsidRPr="00FB40FE">
        <w:t>Agencies need to exercise judgement when assessing whether information is material to the financial statements.</w:t>
      </w:r>
      <w:r w:rsidR="00FA7C77">
        <w:t xml:space="preserve"> </w:t>
      </w:r>
      <w:r w:rsidRPr="00FB40FE">
        <w:t>The following quantitative and qualitative criteria may be applied in the assessment process:</w:t>
      </w:r>
    </w:p>
    <w:p w14:paraId="7E36F54F" w14:textId="77777777" w:rsidR="00D849FC" w:rsidRPr="00FB40FE" w:rsidRDefault="00D849FC" w:rsidP="007122BC">
      <w:pPr>
        <w:pStyle w:val="SFDot1"/>
        <w:numPr>
          <w:ilvl w:val="0"/>
          <w:numId w:val="47"/>
        </w:numPr>
        <w:spacing w:before="0" w:after="0"/>
        <w:ind w:left="567" w:hanging="425"/>
        <w:jc w:val="both"/>
      </w:pPr>
      <w:r w:rsidRPr="00FB40FE">
        <w:t>size or dollar amount of the item;</w:t>
      </w:r>
    </w:p>
    <w:p w14:paraId="1D6DE158" w14:textId="77777777" w:rsidR="00D849FC" w:rsidRPr="00FB40FE" w:rsidRDefault="00D849FC" w:rsidP="007122BC">
      <w:pPr>
        <w:pStyle w:val="SFDot1"/>
        <w:numPr>
          <w:ilvl w:val="0"/>
          <w:numId w:val="47"/>
        </w:numPr>
        <w:spacing w:before="0" w:after="0"/>
        <w:ind w:left="567" w:hanging="425"/>
        <w:jc w:val="both"/>
      </w:pPr>
      <w:r w:rsidRPr="00FB40FE">
        <w:t>nature of the item;</w:t>
      </w:r>
    </w:p>
    <w:p w14:paraId="1B6ABA5F" w14:textId="10849D60" w:rsidR="00D849FC" w:rsidRPr="00FB40FE" w:rsidRDefault="00D849FC" w:rsidP="007122BC">
      <w:pPr>
        <w:pStyle w:val="SFDot1"/>
        <w:numPr>
          <w:ilvl w:val="0"/>
          <w:numId w:val="47"/>
        </w:numPr>
        <w:spacing w:before="0" w:after="0"/>
        <w:ind w:left="567" w:hanging="425"/>
        <w:jc w:val="both"/>
      </w:pPr>
      <w:r w:rsidRPr="00FB40FE">
        <w:t xml:space="preserve">whether the </w:t>
      </w:r>
      <w:r w:rsidR="00350670" w:rsidRPr="00FB40FE">
        <w:t xml:space="preserve">agencies’ </w:t>
      </w:r>
      <w:r w:rsidRPr="00FB40FE">
        <w:t>results cannot be understood without the specific disclosure;</w:t>
      </w:r>
    </w:p>
    <w:p w14:paraId="687C9A56" w14:textId="77777777" w:rsidR="00D849FC" w:rsidRPr="00FB40FE" w:rsidRDefault="00D849FC" w:rsidP="007122BC">
      <w:pPr>
        <w:pStyle w:val="SFDot1"/>
        <w:numPr>
          <w:ilvl w:val="0"/>
          <w:numId w:val="47"/>
        </w:numPr>
        <w:spacing w:before="0" w:after="0"/>
        <w:ind w:left="567" w:hanging="425"/>
        <w:jc w:val="both"/>
      </w:pPr>
      <w:r w:rsidRPr="00FB40FE">
        <w:t>reporting requirement associated with the item (i.e. it needs to be disclosed to comply with a reporting requirement, regardless of the amount); and/or</w:t>
      </w:r>
    </w:p>
    <w:p w14:paraId="0F39CE8E" w14:textId="306ACDE2" w:rsidR="00D849FC" w:rsidRPr="00FB40FE" w:rsidRDefault="00D849FC" w:rsidP="007122BC">
      <w:pPr>
        <w:pStyle w:val="SFDot1"/>
        <w:numPr>
          <w:ilvl w:val="0"/>
          <w:numId w:val="47"/>
        </w:numPr>
        <w:spacing w:before="0" w:after="0"/>
        <w:ind w:left="567" w:hanging="425"/>
        <w:jc w:val="both"/>
      </w:pPr>
      <w:r w:rsidRPr="00FB40FE">
        <w:t xml:space="preserve">it is required to meet the needs of a </w:t>
      </w:r>
      <w:r w:rsidR="0045648F" w:rsidRPr="00FB40FE">
        <w:t>primary user</w:t>
      </w:r>
      <w:r w:rsidRPr="00FB40FE">
        <w:t>.</w:t>
      </w:r>
    </w:p>
    <w:p w14:paraId="37B5D3FC" w14:textId="77777777" w:rsidR="00D849FC" w:rsidRPr="00FB40FE" w:rsidRDefault="00D849FC" w:rsidP="005D7F4C">
      <w:pPr>
        <w:pStyle w:val="SFDot1"/>
        <w:numPr>
          <w:ilvl w:val="0"/>
          <w:numId w:val="0"/>
        </w:numPr>
        <w:spacing w:before="0" w:after="0"/>
        <w:ind w:left="567"/>
        <w:jc w:val="both"/>
      </w:pPr>
    </w:p>
    <w:p w14:paraId="55923F71" w14:textId="77777777" w:rsidR="00D849FC" w:rsidRPr="00CF4393" w:rsidRDefault="00D849FC" w:rsidP="005D7F4C">
      <w:pPr>
        <w:pStyle w:val="NormalSFLeadIn"/>
        <w:spacing w:before="0" w:after="0"/>
        <w:jc w:val="both"/>
        <w:rPr>
          <w:color w:val="000000" w:themeColor="text1"/>
        </w:rPr>
      </w:pPr>
      <w:r w:rsidRPr="00CF4393">
        <w:rPr>
          <w:color w:val="000000" w:themeColor="text1"/>
        </w:rPr>
        <w:t xml:space="preserve">The following generally accepted </w:t>
      </w:r>
      <w:r w:rsidR="00977CF1" w:rsidRPr="00CF4393">
        <w:rPr>
          <w:color w:val="000000" w:themeColor="text1"/>
        </w:rPr>
        <w:t>quantitative</w:t>
      </w:r>
      <w:r w:rsidRPr="00CF4393">
        <w:rPr>
          <w:color w:val="000000" w:themeColor="text1"/>
        </w:rPr>
        <w:t xml:space="preserve"> benchmarks may be applied by agencies in assessing materiality:</w:t>
      </w:r>
    </w:p>
    <w:p w14:paraId="6698A42C" w14:textId="06646F42" w:rsidR="00D849FC" w:rsidRPr="0057337B" w:rsidRDefault="00D849FC" w:rsidP="007122BC">
      <w:pPr>
        <w:pStyle w:val="SFDot1"/>
        <w:numPr>
          <w:ilvl w:val="0"/>
          <w:numId w:val="47"/>
        </w:numPr>
        <w:spacing w:before="0" w:after="0"/>
        <w:ind w:left="567" w:hanging="425"/>
        <w:jc w:val="both"/>
      </w:pPr>
      <w:r w:rsidRPr="00CF4393">
        <w:rPr>
          <w:color w:val="000000" w:themeColor="text1"/>
        </w:rPr>
        <w:t xml:space="preserve">below 5 per cent of the applicable benchmark is assumed to be immaterial, unless disclosure is required by legislation, </w:t>
      </w:r>
      <w:bookmarkStart w:id="32" w:name="_Hlk96933200"/>
      <w:r w:rsidRPr="0057337B">
        <w:t>policy</w:t>
      </w:r>
      <w:r w:rsidR="0057337B" w:rsidRPr="0057337B">
        <w:t>,</w:t>
      </w:r>
      <w:r w:rsidRPr="0057337B">
        <w:t xml:space="preserve"> specific stakeholder requirement</w:t>
      </w:r>
      <w:r w:rsidR="0057337B" w:rsidRPr="0057337B">
        <w:t xml:space="preserve"> or qualitative materiality considerations</w:t>
      </w:r>
      <w:r w:rsidRPr="0057337B">
        <w:t>;</w:t>
      </w:r>
    </w:p>
    <w:bookmarkEnd w:id="32"/>
    <w:p w14:paraId="08DF08D3" w14:textId="77777777" w:rsidR="00D849FC" w:rsidRPr="00CF4393" w:rsidRDefault="00D849FC" w:rsidP="007122BC">
      <w:pPr>
        <w:pStyle w:val="SFDot1"/>
        <w:numPr>
          <w:ilvl w:val="0"/>
          <w:numId w:val="47"/>
        </w:numPr>
        <w:spacing w:before="0" w:after="0"/>
        <w:ind w:left="567" w:hanging="425"/>
        <w:jc w:val="both"/>
        <w:rPr>
          <w:color w:val="000000" w:themeColor="text1"/>
        </w:rPr>
      </w:pPr>
      <w:r w:rsidRPr="00CF4393">
        <w:rPr>
          <w:color w:val="000000" w:themeColor="text1"/>
        </w:rPr>
        <w:t>between 5 per cent and 10 per cent of the applicable benchmark needs to be considered in the context of qualitative materiality criteria or specific stakeholder requirement; and</w:t>
      </w:r>
    </w:p>
    <w:p w14:paraId="6F623C26" w14:textId="77777777" w:rsidR="00D849FC" w:rsidRPr="00CF4393" w:rsidRDefault="00D849FC" w:rsidP="007122BC">
      <w:pPr>
        <w:pStyle w:val="SFDot1"/>
        <w:numPr>
          <w:ilvl w:val="0"/>
          <w:numId w:val="47"/>
        </w:numPr>
        <w:spacing w:before="0" w:after="0"/>
        <w:ind w:left="567" w:hanging="425"/>
        <w:jc w:val="both"/>
        <w:rPr>
          <w:color w:val="000000" w:themeColor="text1"/>
        </w:rPr>
      </w:pPr>
      <w:r w:rsidRPr="00CF4393">
        <w:rPr>
          <w:color w:val="000000" w:themeColor="text1"/>
        </w:rPr>
        <w:t>over 10 per cent of the applicable benchmark is deemed material.</w:t>
      </w:r>
    </w:p>
    <w:p w14:paraId="26AA722C" w14:textId="77777777" w:rsidR="00D849FC" w:rsidRPr="00CF4393" w:rsidRDefault="00D849FC" w:rsidP="005D7F4C">
      <w:pPr>
        <w:pStyle w:val="NormalSFLeadIn"/>
        <w:spacing w:before="0" w:after="0"/>
        <w:jc w:val="both"/>
        <w:rPr>
          <w:color w:val="000000" w:themeColor="text1"/>
        </w:rPr>
      </w:pPr>
    </w:p>
    <w:p w14:paraId="53378458" w14:textId="6DFE9BCB" w:rsidR="00BD1DCB" w:rsidRPr="00A26218" w:rsidRDefault="00BD1DCB" w:rsidP="00BD1DCB">
      <w:pPr>
        <w:pStyle w:val="Heading3"/>
        <w:ind w:left="851"/>
      </w:pPr>
      <w:bookmarkStart w:id="33" w:name="_Toc98762991"/>
      <w:r w:rsidRPr="00A26218">
        <w:t>General Guidance</w:t>
      </w:r>
      <w:r>
        <w:t xml:space="preserve"> – Continued</w:t>
      </w:r>
      <w:bookmarkEnd w:id="33"/>
      <w:r>
        <w:t xml:space="preserve"> </w:t>
      </w:r>
    </w:p>
    <w:p w14:paraId="73EAB8E7" w14:textId="09E03777" w:rsidR="00D849FC" w:rsidRPr="00CF4393" w:rsidRDefault="00D849FC" w:rsidP="005D7F4C">
      <w:pPr>
        <w:pStyle w:val="NormalSF"/>
        <w:keepNext/>
        <w:spacing w:before="0" w:after="0"/>
        <w:jc w:val="both"/>
        <w:rPr>
          <w:color w:val="000000" w:themeColor="text1"/>
        </w:rPr>
      </w:pPr>
      <w:r w:rsidRPr="00CF4393">
        <w:rPr>
          <w:color w:val="000000" w:themeColor="text1"/>
        </w:rPr>
        <w:t>While there is no ‘one size fits all’ approach to streamlining financial statements, the following guidance should be considered, to determine when to:</w:t>
      </w:r>
    </w:p>
    <w:p w14:paraId="0EC47B98" w14:textId="6DB5C785" w:rsidR="00D849FC" w:rsidRPr="00734C56" w:rsidRDefault="00D849FC" w:rsidP="007122BC">
      <w:pPr>
        <w:pStyle w:val="SFDot1"/>
        <w:numPr>
          <w:ilvl w:val="0"/>
          <w:numId w:val="47"/>
        </w:numPr>
        <w:spacing w:before="0" w:after="0"/>
        <w:ind w:left="567" w:hanging="425"/>
        <w:jc w:val="both"/>
      </w:pPr>
      <w:r w:rsidRPr="00734C56">
        <w:t xml:space="preserve">provide separate line items on the face of the financial statements (i.e. Operating Statement, Balance Sheet, Statement of Changes in Equity and </w:t>
      </w:r>
      <w:r w:rsidR="005D7F4C" w:rsidRPr="00734C56">
        <w:t>Statement of Cash Flows</w:t>
      </w:r>
      <w:r w:rsidRPr="00734C56">
        <w:t>);</w:t>
      </w:r>
    </w:p>
    <w:p w14:paraId="22C62B7F" w14:textId="18B6E120" w:rsidR="00D849FC" w:rsidRPr="00CF4393" w:rsidRDefault="00D849FC" w:rsidP="007122BC">
      <w:pPr>
        <w:pStyle w:val="SFDot1"/>
        <w:numPr>
          <w:ilvl w:val="0"/>
          <w:numId w:val="47"/>
        </w:numPr>
        <w:spacing w:before="0" w:after="0"/>
        <w:ind w:left="567" w:hanging="425"/>
        <w:jc w:val="both"/>
        <w:rPr>
          <w:color w:val="000000" w:themeColor="text1"/>
        </w:rPr>
      </w:pPr>
      <w:r w:rsidRPr="00CF4393">
        <w:rPr>
          <w:color w:val="000000" w:themeColor="text1"/>
        </w:rPr>
        <w:t>provide separate note disclosures for a face statement line item;</w:t>
      </w:r>
      <w:r w:rsidR="00820D1A">
        <w:rPr>
          <w:color w:val="000000" w:themeColor="text1"/>
        </w:rPr>
        <w:t xml:space="preserve"> </w:t>
      </w:r>
    </w:p>
    <w:p w14:paraId="277F603C" w14:textId="3AE747A4" w:rsidR="00D849FC" w:rsidRPr="00DE2804" w:rsidRDefault="00D849FC" w:rsidP="007122BC">
      <w:pPr>
        <w:pStyle w:val="SFDot1"/>
        <w:numPr>
          <w:ilvl w:val="0"/>
          <w:numId w:val="47"/>
        </w:numPr>
        <w:spacing w:before="0" w:after="0"/>
        <w:ind w:left="567" w:hanging="425"/>
        <w:jc w:val="both"/>
      </w:pPr>
      <w:r w:rsidRPr="00CF4393">
        <w:rPr>
          <w:color w:val="000000" w:themeColor="text1"/>
        </w:rPr>
        <w:t>reduce immaterial detail provided in separate note disclosures</w:t>
      </w:r>
      <w:r w:rsidRPr="00DE2804">
        <w:t>; and</w:t>
      </w:r>
    </w:p>
    <w:p w14:paraId="5C9BA102" w14:textId="20135972" w:rsidR="00D849FC" w:rsidRPr="00DE2804" w:rsidRDefault="00D849FC" w:rsidP="007122BC">
      <w:pPr>
        <w:pStyle w:val="SFDot1"/>
        <w:numPr>
          <w:ilvl w:val="0"/>
          <w:numId w:val="47"/>
        </w:numPr>
        <w:spacing w:before="0" w:after="0"/>
        <w:ind w:left="567" w:hanging="425"/>
        <w:jc w:val="both"/>
      </w:pPr>
      <w:r w:rsidRPr="00DE2804">
        <w:t>provide explanations for variances between prior and current year actual figures</w:t>
      </w:r>
      <w:r w:rsidR="00820D1A" w:rsidRPr="00DE2804">
        <w:t>.</w:t>
      </w:r>
    </w:p>
    <w:p w14:paraId="597CA0F1" w14:textId="77777777" w:rsidR="00D849FC" w:rsidRPr="00CF4393" w:rsidRDefault="00D849FC" w:rsidP="005D7F4C">
      <w:pPr>
        <w:autoSpaceDE w:val="0"/>
        <w:autoSpaceDN w:val="0"/>
        <w:adjustRightInd w:val="0"/>
        <w:jc w:val="both"/>
        <w:rPr>
          <w:rFonts w:ascii="Times New Roman" w:eastAsiaTheme="minorHAnsi" w:hAnsi="Times New Roman"/>
          <w:color w:val="000000" w:themeColor="text1"/>
          <w:szCs w:val="24"/>
        </w:rPr>
      </w:pPr>
    </w:p>
    <w:p w14:paraId="1D3727E0" w14:textId="65BFB2FE" w:rsidR="00D849FC" w:rsidRPr="00CF4393" w:rsidRDefault="00D849FC" w:rsidP="005D7F4C">
      <w:pPr>
        <w:pStyle w:val="NormalSF"/>
        <w:keepNext/>
        <w:spacing w:before="0" w:after="0"/>
        <w:jc w:val="both"/>
        <w:rPr>
          <w:color w:val="000000" w:themeColor="text1"/>
        </w:rPr>
      </w:pPr>
      <w:r w:rsidRPr="00CF4393">
        <w:rPr>
          <w:color w:val="000000" w:themeColor="text1"/>
        </w:rPr>
        <w:t>As circumstances change over time, materiality judgements should be reassessed at each reporting date.</w:t>
      </w:r>
    </w:p>
    <w:p w14:paraId="1E79BE56" w14:textId="77777777" w:rsidR="00D849FC" w:rsidRPr="00CF4393" w:rsidRDefault="00D849FC" w:rsidP="006049C1">
      <w:pPr>
        <w:pStyle w:val="Heading3"/>
        <w:ind w:left="851"/>
        <w:jc w:val="both"/>
      </w:pPr>
      <w:bookmarkStart w:id="34" w:name="_Toc98762992"/>
      <w:r w:rsidRPr="00CF4393">
        <w:t>Requirement for Separate Line Items on the Face of the Financial Statements</w:t>
      </w:r>
      <w:bookmarkEnd w:id="34"/>
    </w:p>
    <w:p w14:paraId="3F87BD2A" w14:textId="76F8BA05" w:rsidR="00D849FC" w:rsidRPr="00A7037A" w:rsidRDefault="00D849FC" w:rsidP="005D7F4C">
      <w:pPr>
        <w:pStyle w:val="NormalSF"/>
        <w:spacing w:before="0" w:after="0"/>
        <w:jc w:val="both"/>
      </w:pPr>
      <w:r w:rsidRPr="00A7037A">
        <w:t>Face statement line items which are less than 10 per cent of the relevant category total (a category is for instance total Income, Expenses</w:t>
      </w:r>
      <w:r w:rsidR="00DE2804" w:rsidRPr="00A7037A">
        <w:t>, Assets, Liabilities</w:t>
      </w:r>
      <w:r w:rsidR="00AC0ED1" w:rsidRPr="00A7037A">
        <w:t>,</w:t>
      </w:r>
      <w:r w:rsidRPr="00A7037A">
        <w:t xml:space="preserve"> Equity</w:t>
      </w:r>
      <w:r w:rsidR="00AC0ED1" w:rsidRPr="00A7037A">
        <w:t xml:space="preserve">, Receipts from Operating Activities, </w:t>
      </w:r>
      <w:r w:rsidR="00AC0ED1" w:rsidRPr="00A7037A">
        <w:rPr>
          <w:rFonts w:cs="Calibri"/>
        </w:rPr>
        <w:t>Payments from Operating Activities, Receipts from Investing Activities, Payments from Investing Activities, Receipts from Financing Activities or Payments from Financing Activities</w:t>
      </w:r>
      <w:r w:rsidRPr="00A7037A">
        <w:t>) maybe aggregated with other line items.</w:t>
      </w:r>
      <w:r w:rsidR="00FA7C77">
        <w:t xml:space="preserve"> </w:t>
      </w:r>
      <w:r w:rsidRPr="00A7037A">
        <w:t>An item that is not sufficiently material to warrant separate presentation on the face of the statements may still warrant separate presentation in the notes.</w:t>
      </w:r>
    </w:p>
    <w:p w14:paraId="5570B884" w14:textId="77777777" w:rsidR="00D849FC" w:rsidRPr="00A7037A" w:rsidRDefault="00D849FC" w:rsidP="005D7F4C">
      <w:pPr>
        <w:pStyle w:val="NormalSF"/>
        <w:spacing w:before="0" w:after="0"/>
        <w:jc w:val="both"/>
      </w:pPr>
    </w:p>
    <w:p w14:paraId="60638C00" w14:textId="40A73BB7" w:rsidR="00D849FC" w:rsidRPr="00CE21AE" w:rsidRDefault="00D849FC" w:rsidP="005D7F4C">
      <w:pPr>
        <w:pStyle w:val="NormalSF"/>
        <w:spacing w:before="0" w:after="0"/>
        <w:jc w:val="both"/>
      </w:pPr>
      <w:r w:rsidRPr="00A7037A">
        <w:t>Agencies may also consider re-naming line items where it represents only one type of transaction (e.g. where ‘other assets’ only include prepayments</w:t>
      </w:r>
      <w:r w:rsidR="00702347" w:rsidRPr="00A7037A">
        <w:t>;</w:t>
      </w:r>
      <w:r w:rsidRPr="00A7037A">
        <w:t xml:space="preserve"> agencies may change the name of the line item to ‘prepayments’).</w:t>
      </w:r>
      <w:r w:rsidR="00FA7C77">
        <w:t xml:space="preserve"> </w:t>
      </w:r>
      <w:r w:rsidR="00DE2804" w:rsidRPr="00A7037A">
        <w:t xml:space="preserve">Agencies need to be mindful that when considering changing the name of a line item on the face of the financial statements in the Annual Report this still needs to be comparable to the financial statements in the Budget Papers </w:t>
      </w:r>
      <w:r w:rsidR="00DE2804" w:rsidRPr="00A7037A">
        <w:rPr>
          <w:rFonts w:cs="Calibri"/>
        </w:rPr>
        <w:t>(as per section 27(2) and section 63 (</w:t>
      </w:r>
      <w:r w:rsidR="003931AB" w:rsidRPr="00A7037A">
        <w:rPr>
          <w:rFonts w:cs="Calibri"/>
        </w:rPr>
        <w:t>2) of</w:t>
      </w:r>
      <w:r w:rsidR="00DE2804" w:rsidRPr="00A7037A">
        <w:rPr>
          <w:rFonts w:cs="Calibri"/>
        </w:rPr>
        <w:t xml:space="preserve"> the FMA)</w:t>
      </w:r>
      <w:r w:rsidR="00DE2804" w:rsidRPr="00A7037A">
        <w:t>.</w:t>
      </w:r>
      <w:r w:rsidR="00FA7C77">
        <w:t xml:space="preserve">  </w:t>
      </w:r>
    </w:p>
    <w:p w14:paraId="65FEB2FD" w14:textId="77777777" w:rsidR="00D849FC" w:rsidRPr="00CF4393" w:rsidRDefault="00D849FC" w:rsidP="005D7F4C">
      <w:pPr>
        <w:pStyle w:val="NormalSF"/>
        <w:spacing w:before="0" w:after="0"/>
        <w:jc w:val="both"/>
      </w:pPr>
    </w:p>
    <w:p w14:paraId="77258FB0" w14:textId="594935DD" w:rsidR="0033279C" w:rsidRDefault="00D849FC" w:rsidP="005D7F4C">
      <w:pPr>
        <w:pStyle w:val="NormalSF"/>
        <w:spacing w:before="0" w:after="0"/>
        <w:jc w:val="both"/>
      </w:pPr>
      <w:r w:rsidRPr="00CF4393">
        <w:t>Agencies need to refer to the commentary in the Model for further guidance on aggregation of line items on the face of the financial statements.</w:t>
      </w:r>
    </w:p>
    <w:p w14:paraId="5C15067B" w14:textId="77777777" w:rsidR="00EC4D28" w:rsidRPr="00CF4393" w:rsidRDefault="00EC4D28" w:rsidP="005D7F4C">
      <w:pPr>
        <w:pStyle w:val="NormalSF"/>
        <w:spacing w:before="0" w:after="0"/>
        <w:jc w:val="both"/>
      </w:pPr>
    </w:p>
    <w:p w14:paraId="4917D92B" w14:textId="77777777" w:rsidR="00D849FC" w:rsidRPr="00CF4393" w:rsidRDefault="00D849FC" w:rsidP="006049C1">
      <w:pPr>
        <w:pStyle w:val="Heading3"/>
        <w:ind w:left="851"/>
        <w:jc w:val="both"/>
      </w:pPr>
      <w:bookmarkStart w:id="35" w:name="_Toc98762993"/>
      <w:r w:rsidRPr="00CF4393">
        <w:t>Requirement for Separate Note Disclosures</w:t>
      </w:r>
      <w:bookmarkEnd w:id="35"/>
    </w:p>
    <w:p w14:paraId="35F18C5D" w14:textId="572895F8" w:rsidR="00D849FC" w:rsidRPr="00216AE0" w:rsidRDefault="00D849FC" w:rsidP="005D7F4C">
      <w:pPr>
        <w:pStyle w:val="NormalSF"/>
        <w:spacing w:before="0" w:after="0"/>
        <w:jc w:val="both"/>
        <w:rPr>
          <w:rFonts w:cs="Calibri"/>
        </w:rPr>
      </w:pPr>
      <w:r w:rsidRPr="00216AE0">
        <w:t>Face statement line items which are less than 10 per cent of that category’s total (a category is for instance total Income, Expenses</w:t>
      </w:r>
      <w:r w:rsidR="007D5C59" w:rsidRPr="00216AE0">
        <w:t>, Assets, Liabilities</w:t>
      </w:r>
      <w:r w:rsidRPr="00216AE0">
        <w:t xml:space="preserve"> or Equity), may not require separate note disclosure.</w:t>
      </w:r>
      <w:r w:rsidR="00FA7C77">
        <w:t xml:space="preserve"> </w:t>
      </w:r>
      <w:r w:rsidRPr="00216AE0">
        <w:t>The intention being that small value line items will be shown at the face statement level only.</w:t>
      </w:r>
      <w:r w:rsidR="00FA7C77">
        <w:t xml:space="preserve"> </w:t>
      </w:r>
      <w:r w:rsidRPr="00216AE0">
        <w:t>However, for these line items, if the variance between the current and prior year actual values is greater than the threshold for variance explanations (refer section on ‘</w:t>
      </w:r>
      <w:r w:rsidRPr="00216AE0">
        <w:rPr>
          <w:i/>
          <w:kern w:val="32"/>
        </w:rPr>
        <w:t>Variance explanations between Current and Prior Year Figures</w:t>
      </w:r>
      <w:r w:rsidRPr="00216AE0">
        <w:rPr>
          <w:i/>
        </w:rPr>
        <w:t>’</w:t>
      </w:r>
      <w:r w:rsidRPr="00216AE0">
        <w:t>), a separate note with the variance explanation may be required.</w:t>
      </w:r>
      <w:r w:rsidR="00FA7C77">
        <w:t xml:space="preserve"> </w:t>
      </w:r>
      <w:r w:rsidR="0045648F" w:rsidRPr="00216AE0">
        <w:t xml:space="preserve">Alternatively, an agency could </w:t>
      </w:r>
      <w:r w:rsidR="00C66E0D" w:rsidRPr="00216AE0">
        <w:t>provide a variance explanation at the bottom of the relevant face statement (ie the Operating Statement, Balance Sheet</w:t>
      </w:r>
      <w:r w:rsidR="00820D1A" w:rsidRPr="00216AE0">
        <w:t>, Statement of Changes in Equity and Statement of Cash Flows), thereby not necessitating a separate note</w:t>
      </w:r>
      <w:r w:rsidR="00DE2804" w:rsidRPr="00216AE0">
        <w:rPr>
          <w:rFonts w:cs="Calibri"/>
        </w:rPr>
        <w:t xml:space="preserve">. </w:t>
      </w:r>
    </w:p>
    <w:p w14:paraId="77F4CB2B" w14:textId="77777777" w:rsidR="007D5C59" w:rsidRPr="00CF4393" w:rsidRDefault="007D5C59" w:rsidP="005D7F4C">
      <w:pPr>
        <w:pStyle w:val="NormalSF"/>
        <w:spacing w:before="0" w:after="0"/>
        <w:jc w:val="both"/>
      </w:pPr>
    </w:p>
    <w:p w14:paraId="0EA2AE78" w14:textId="07238713" w:rsidR="00D849FC" w:rsidRPr="00216AE0" w:rsidRDefault="00D849FC" w:rsidP="005D7F4C">
      <w:pPr>
        <w:pStyle w:val="NormalSF"/>
        <w:spacing w:before="0" w:after="0"/>
        <w:jc w:val="both"/>
      </w:pPr>
      <w:r w:rsidRPr="00CF4393">
        <w:t>A s</w:t>
      </w:r>
      <w:r w:rsidRPr="00216AE0">
        <w:t xml:space="preserve">eparate note is not required if the item is assessed as not material (following evaluation of quantitative and qualitative materiality factors) and/or </w:t>
      </w:r>
      <w:r w:rsidR="00AC0ED1" w:rsidRPr="00216AE0">
        <w:t xml:space="preserve">the </w:t>
      </w:r>
      <w:r w:rsidRPr="00216AE0">
        <w:t xml:space="preserve">note only restates the information </w:t>
      </w:r>
      <w:r w:rsidR="00AC0ED1" w:rsidRPr="00216AE0">
        <w:t xml:space="preserve">that is </w:t>
      </w:r>
      <w:r w:rsidRPr="00216AE0">
        <w:t>on the face of the financial statements and does not provide any additional information.</w:t>
      </w:r>
    </w:p>
    <w:p w14:paraId="120BED8A" w14:textId="77777777" w:rsidR="00D849FC" w:rsidRPr="00216AE0" w:rsidRDefault="00D849FC" w:rsidP="005D7F4C">
      <w:pPr>
        <w:pStyle w:val="NormalSF"/>
        <w:spacing w:before="0" w:after="0"/>
        <w:jc w:val="both"/>
      </w:pPr>
    </w:p>
    <w:p w14:paraId="6EA48698" w14:textId="79554EDD" w:rsidR="00D849FC" w:rsidRPr="00216AE0" w:rsidRDefault="00D849FC" w:rsidP="005D7F4C">
      <w:pPr>
        <w:pStyle w:val="NormalSF"/>
        <w:spacing w:before="0" w:after="0"/>
        <w:jc w:val="both"/>
      </w:pPr>
      <w:r w:rsidRPr="00216AE0">
        <w:t>These thresholds are a guide only and agencies need to determine the most appropriate thresholds specific to their financial statements.</w:t>
      </w:r>
      <w:r w:rsidR="00FA7C77">
        <w:t xml:space="preserve"> </w:t>
      </w:r>
    </w:p>
    <w:p w14:paraId="639D334E" w14:textId="77777777" w:rsidR="00EC4D28" w:rsidRPr="00CF4393" w:rsidRDefault="00EC4D28" w:rsidP="005D7F4C">
      <w:pPr>
        <w:pStyle w:val="NormalSF"/>
        <w:spacing w:before="0" w:after="0"/>
        <w:jc w:val="both"/>
      </w:pPr>
    </w:p>
    <w:p w14:paraId="38CC6FA7" w14:textId="77777777" w:rsidR="00D849FC" w:rsidRPr="00CF4393" w:rsidRDefault="00D849FC" w:rsidP="006049C1">
      <w:pPr>
        <w:pStyle w:val="Heading3"/>
        <w:ind w:left="851"/>
        <w:jc w:val="both"/>
      </w:pPr>
      <w:bookmarkStart w:id="36" w:name="_Toc98762994"/>
      <w:r w:rsidRPr="00CF4393">
        <w:t>Detail in Separate Note Disclosures</w:t>
      </w:r>
      <w:bookmarkEnd w:id="36"/>
    </w:p>
    <w:p w14:paraId="15723DA1" w14:textId="359715BF" w:rsidR="00173796" w:rsidRPr="00CF4393" w:rsidRDefault="00173796" w:rsidP="00173796">
      <w:pPr>
        <w:pStyle w:val="NormalSF"/>
        <w:spacing w:before="0" w:after="0"/>
        <w:jc w:val="both"/>
      </w:pPr>
      <w:r w:rsidRPr="00CF4393">
        <w:t xml:space="preserve">Within notes, any line item less than 10 per cent of that note total, may be </w:t>
      </w:r>
      <w:r>
        <w:t xml:space="preserve">grouped with </w:t>
      </w:r>
      <w:r w:rsidRPr="00CF4393">
        <w:t>another</w:t>
      </w:r>
      <w:r>
        <w:t xml:space="preserve"> appropriate line</w:t>
      </w:r>
      <w:r w:rsidRPr="00CF4393">
        <w:t xml:space="preserve"> and labelled accordingly.</w:t>
      </w:r>
      <w:r w:rsidR="00FA7C77">
        <w:t xml:space="preserve"> </w:t>
      </w:r>
      <w:r w:rsidRPr="00CF4393">
        <w:t>Where the line ‘Other’ is used, it should not represent any more than 10</w:t>
      </w:r>
      <w:r>
        <w:t> </w:t>
      </w:r>
      <w:r w:rsidRPr="00CF4393">
        <w:t>per</w:t>
      </w:r>
      <w:r>
        <w:t> </w:t>
      </w:r>
      <w:r w:rsidRPr="00CF4393">
        <w:t>cent of the Note total.</w:t>
      </w:r>
      <w:r w:rsidR="00FA7C77">
        <w:t xml:space="preserve"> </w:t>
      </w:r>
      <w:r w:rsidRPr="00CF4393">
        <w:t>The intention is that line items in notes are reduced and material items remain visible.</w:t>
      </w:r>
    </w:p>
    <w:p w14:paraId="6D7960D4" w14:textId="77777777" w:rsidR="00D849FC" w:rsidRPr="00CF4393" w:rsidRDefault="00D849FC" w:rsidP="005D7F4C">
      <w:pPr>
        <w:pStyle w:val="HeadingSF3"/>
        <w:spacing w:before="0" w:after="0"/>
        <w:jc w:val="both"/>
        <w:rPr>
          <w:i w:val="0"/>
          <w:color w:val="auto"/>
          <w:szCs w:val="24"/>
        </w:rPr>
      </w:pPr>
    </w:p>
    <w:p w14:paraId="64849AE0" w14:textId="6A9BD079" w:rsidR="00D849FC" w:rsidRPr="00C75AA3" w:rsidRDefault="00D849FC" w:rsidP="005D7F4C">
      <w:pPr>
        <w:pStyle w:val="NormalSF"/>
        <w:spacing w:before="0" w:after="0"/>
        <w:jc w:val="both"/>
        <w:rPr>
          <w:color w:val="FF0000"/>
        </w:rPr>
      </w:pPr>
      <w:r w:rsidRPr="00C75AA3">
        <w:t>Agencies may restate prior year line items within the notes to accommodate for this simplification (i.e. a higher level of aggregation), however, the totals in each note will remain the same as the published prior year amount.</w:t>
      </w:r>
      <w:r w:rsidR="00FA7C77">
        <w:t xml:space="preserve"> </w:t>
      </w:r>
    </w:p>
    <w:p w14:paraId="2C0FC35D" w14:textId="3AF4C848" w:rsidR="00173796" w:rsidRDefault="00173796">
      <w:pPr>
        <w:rPr>
          <w:szCs w:val="24"/>
          <w:lang w:val="en-US" w:eastAsia="en-AU"/>
        </w:rPr>
      </w:pPr>
      <w:r>
        <w:br w:type="page"/>
      </w:r>
    </w:p>
    <w:p w14:paraId="3007D979" w14:textId="7E2173CF" w:rsidR="00173796" w:rsidRPr="00216AE0" w:rsidRDefault="00173796" w:rsidP="00173796">
      <w:pPr>
        <w:pStyle w:val="Heading3"/>
        <w:ind w:left="851"/>
        <w:jc w:val="both"/>
      </w:pPr>
      <w:bookmarkStart w:id="37" w:name="_Toc98762995"/>
      <w:r w:rsidRPr="00216AE0">
        <w:t>Exceptions to the General Guidance on Materiality (outlined in Section 1.2.2 above)</w:t>
      </w:r>
      <w:bookmarkEnd w:id="37"/>
      <w:r w:rsidR="00FA7C77">
        <w:t xml:space="preserve"> </w:t>
      </w:r>
    </w:p>
    <w:p w14:paraId="382EBD64" w14:textId="0705BF92" w:rsidR="00173796" w:rsidRDefault="00173796" w:rsidP="00173796">
      <w:pPr>
        <w:pStyle w:val="NormalSFLeadIn"/>
        <w:spacing w:before="0" w:after="0"/>
        <w:jc w:val="both"/>
        <w:rPr>
          <w:rFonts w:cs="Calibri"/>
          <w:szCs w:val="22"/>
        </w:rPr>
      </w:pPr>
      <w:r w:rsidRPr="00216AE0">
        <w:rPr>
          <w:rFonts w:cs="Calibri"/>
        </w:rPr>
        <w:t>As specified in the Model Financial Statements, some disclosures are required by the ACT disclosure policy regardless of the amount or the threshold for disclosure, such as waivers</w:t>
      </w:r>
      <w:r w:rsidRPr="00216AE0">
        <w:rPr>
          <w:rFonts w:cs="Calibri"/>
          <w:szCs w:val="22"/>
        </w:rPr>
        <w:t>, write-offs, act of grace payments</w:t>
      </w:r>
      <w:r w:rsidRPr="00216AE0">
        <w:rPr>
          <w:rFonts w:cs="Calibri"/>
        </w:rPr>
        <w:t xml:space="preserve"> and compensation to key management personnel.</w:t>
      </w:r>
      <w:r w:rsidR="00FA7C77">
        <w:rPr>
          <w:rFonts w:cs="Calibri"/>
        </w:rPr>
        <w:t xml:space="preserve"> </w:t>
      </w:r>
      <w:r w:rsidRPr="00216AE0">
        <w:rPr>
          <w:rFonts w:cs="Calibri"/>
          <w:szCs w:val="22"/>
        </w:rPr>
        <w:t>However, if a prior period error is discovered in relation to any of these items, then the error would have to be material by amount for a correction of a prior period error disclosure to be included in the ‘Change in Accounting Policy and Accounting Estimates, and Correction of a Prior Period Error’ Note.</w:t>
      </w:r>
    </w:p>
    <w:p w14:paraId="74247546" w14:textId="77777777" w:rsidR="00173796" w:rsidRDefault="00173796" w:rsidP="00173796">
      <w:pPr>
        <w:pStyle w:val="NormalSFLeadIn"/>
        <w:spacing w:before="0" w:after="0"/>
        <w:jc w:val="both"/>
        <w:rPr>
          <w:rFonts w:cs="Calibri"/>
          <w:szCs w:val="22"/>
        </w:rPr>
      </w:pPr>
    </w:p>
    <w:p w14:paraId="35B3F75D" w14:textId="362A3D9F" w:rsidR="00173796" w:rsidRPr="00216AE0" w:rsidRDefault="00173796" w:rsidP="00173796">
      <w:pPr>
        <w:pStyle w:val="NormalSFLeadIn"/>
        <w:spacing w:before="0" w:after="0"/>
        <w:jc w:val="both"/>
      </w:pPr>
      <w:r w:rsidRPr="00216AE0">
        <w:t>Exceptions may also need to be made despite the threshold tests to ensure the most appropriate information is presented in agencies financial statements for the benefit of primary users.</w:t>
      </w:r>
      <w:r w:rsidR="00FA7C77">
        <w:t xml:space="preserve"> </w:t>
      </w:r>
      <w:r w:rsidRPr="00216AE0">
        <w:t>However, this is a matter for agency judgement on specific disclosures.</w:t>
      </w:r>
      <w:r w:rsidR="00FA7C77">
        <w:t xml:space="preserve"> </w:t>
      </w:r>
    </w:p>
    <w:p w14:paraId="5BB45403" w14:textId="77777777" w:rsidR="00EC4D28" w:rsidRPr="00CF4393" w:rsidRDefault="00EC4D28" w:rsidP="005D7F4C">
      <w:pPr>
        <w:pStyle w:val="NormalSF"/>
        <w:spacing w:before="0" w:after="0"/>
        <w:jc w:val="both"/>
      </w:pPr>
    </w:p>
    <w:p w14:paraId="1ACA68CE" w14:textId="366AA84F" w:rsidR="00D849FC" w:rsidRPr="00C50266" w:rsidRDefault="00D849FC" w:rsidP="006049C1">
      <w:pPr>
        <w:pStyle w:val="Heading3"/>
        <w:ind w:left="851"/>
        <w:jc w:val="both"/>
      </w:pPr>
      <w:bookmarkStart w:id="38" w:name="_Toc98762996"/>
      <w:r w:rsidRPr="00C50266">
        <w:t>Variance Explanations between Current</w:t>
      </w:r>
      <w:r w:rsidR="008C0EB6" w:rsidRPr="00C50266">
        <w:t>, Budget</w:t>
      </w:r>
      <w:r w:rsidRPr="00C50266">
        <w:t xml:space="preserve"> and Prior Year Figures</w:t>
      </w:r>
      <w:bookmarkEnd w:id="38"/>
    </w:p>
    <w:p w14:paraId="093B41BF" w14:textId="1CEC5D45" w:rsidR="00655E64" w:rsidRPr="00C50266" w:rsidRDefault="00655E64" w:rsidP="00655E64">
      <w:pPr>
        <w:pStyle w:val="BodyText"/>
        <w:rPr>
          <w:rFonts w:cs="Calibri"/>
        </w:rPr>
      </w:pPr>
      <w:r w:rsidRPr="00C50266">
        <w:rPr>
          <w:rFonts w:cs="Calibri"/>
        </w:rPr>
        <w:t xml:space="preserve">Agencies are to include concise explanations of major variances between the current, budget and prior year for material amounts in the financial statements. </w:t>
      </w:r>
      <w:r w:rsidR="00C51F43" w:rsidRPr="00C50266">
        <w:rPr>
          <w:rFonts w:cs="Calibri"/>
        </w:rPr>
        <w:t>Variance explanations included in each individual note are between current and prior year actuals.</w:t>
      </w:r>
      <w:r w:rsidR="00FA7C77">
        <w:rPr>
          <w:rFonts w:cs="Calibri"/>
        </w:rPr>
        <w:t xml:space="preserve"> </w:t>
      </w:r>
      <w:r w:rsidR="00C51F43" w:rsidRPr="00C50266">
        <w:rPr>
          <w:rFonts w:cs="Calibri"/>
        </w:rPr>
        <w:t xml:space="preserve">Variance explanations between actual and budget figures are generally contained in the Budgetary Reporting Note. </w:t>
      </w:r>
      <w:r w:rsidRPr="00C50266">
        <w:rPr>
          <w:rFonts w:cs="Calibri"/>
        </w:rPr>
        <w:t xml:space="preserve">Variance explanations included in the notes form part of the audited financial statements. Variance explanations </w:t>
      </w:r>
      <w:r w:rsidR="004C7A57" w:rsidRPr="00C50266">
        <w:rPr>
          <w:rFonts w:cs="Calibri"/>
        </w:rPr>
        <w:t xml:space="preserve">should identify the reason for the variance and </w:t>
      </w:r>
      <w:r w:rsidRPr="00C50266">
        <w:rPr>
          <w:rFonts w:cs="Calibri"/>
        </w:rPr>
        <w:t>must be able to be independently verified.</w:t>
      </w:r>
      <w:r w:rsidR="00FA7C77">
        <w:rPr>
          <w:rFonts w:cs="Calibri"/>
        </w:rPr>
        <w:t xml:space="preserve"> </w:t>
      </w:r>
      <w:r w:rsidR="004C7A57" w:rsidRPr="00C50266">
        <w:rPr>
          <w:rFonts w:cs="Calibri"/>
        </w:rPr>
        <w:t xml:space="preserve">As far as practicable, variance explanations should be written in plain </w:t>
      </w:r>
      <w:r w:rsidR="00173796">
        <w:rPr>
          <w:rFonts w:cs="Calibri"/>
        </w:rPr>
        <w:t>E</w:t>
      </w:r>
      <w:r w:rsidR="004C7A57" w:rsidRPr="00C50266">
        <w:rPr>
          <w:rFonts w:cs="Calibri"/>
        </w:rPr>
        <w:t>nglish</w:t>
      </w:r>
      <w:r w:rsidR="00173796">
        <w:rPr>
          <w:rFonts w:cs="Calibri"/>
        </w:rPr>
        <w:t xml:space="preserve">. </w:t>
      </w:r>
      <w:r w:rsidRPr="00C50266">
        <w:rPr>
          <w:rFonts w:cs="Calibri"/>
        </w:rPr>
        <w:t>The explanations are in addition to the Management Discussion and Analysis, which tends to be more strategic in nature.</w:t>
      </w:r>
      <w:r w:rsidR="00FA7C77">
        <w:rPr>
          <w:rFonts w:cs="Calibri"/>
        </w:rPr>
        <w:t xml:space="preserve"> </w:t>
      </w:r>
    </w:p>
    <w:p w14:paraId="0125B8E1" w14:textId="4155F568" w:rsidR="00655E64" w:rsidRPr="00655E64" w:rsidRDefault="00655E64" w:rsidP="00655E64">
      <w:pPr>
        <w:pStyle w:val="BodyText"/>
        <w:rPr>
          <w:rFonts w:cs="Calibri"/>
          <w:color w:val="538135" w:themeColor="accent6" w:themeShade="BF"/>
        </w:rPr>
      </w:pPr>
    </w:p>
    <w:p w14:paraId="6E075671" w14:textId="3A408FFA" w:rsidR="00702347" w:rsidRPr="00216AE0" w:rsidRDefault="00702347" w:rsidP="00702347">
      <w:pPr>
        <w:pStyle w:val="NormalSF"/>
        <w:spacing w:before="0" w:after="0"/>
        <w:jc w:val="both"/>
      </w:pPr>
      <w:r w:rsidRPr="00216AE0">
        <w:t>Variances are considered to be</w:t>
      </w:r>
      <w:r w:rsidR="00716478" w:rsidRPr="00216AE0">
        <w:t xml:space="preserve"> material</w:t>
      </w:r>
      <w:r w:rsidRPr="00216AE0">
        <w:t xml:space="preserve"> variances if both of the following criteria are met:</w:t>
      </w:r>
    </w:p>
    <w:p w14:paraId="2A8C24DD" w14:textId="5D0CF20E" w:rsidR="00702347" w:rsidRPr="00216AE0" w:rsidRDefault="00702347" w:rsidP="007122BC">
      <w:pPr>
        <w:pStyle w:val="SFDot1"/>
        <w:numPr>
          <w:ilvl w:val="0"/>
          <w:numId w:val="47"/>
        </w:numPr>
        <w:spacing w:before="0" w:after="0"/>
        <w:ind w:left="567" w:hanging="425"/>
        <w:jc w:val="both"/>
      </w:pPr>
      <w:r w:rsidRPr="00216AE0">
        <w:t>the line item is a significant line item: where either the line item actual amount accounts for more than 10% of the relevant associated category (Income, Expenses</w:t>
      </w:r>
      <w:r w:rsidR="00C75AA3" w:rsidRPr="00216AE0">
        <w:t>, Asset</w:t>
      </w:r>
      <w:r w:rsidR="008C0EB6" w:rsidRPr="00216AE0">
        <w:t>s</w:t>
      </w:r>
      <w:r w:rsidR="00C75AA3" w:rsidRPr="00216AE0">
        <w:t xml:space="preserve">, </w:t>
      </w:r>
      <w:r w:rsidR="008C0EB6" w:rsidRPr="00216AE0">
        <w:t>L</w:t>
      </w:r>
      <w:r w:rsidR="00C75AA3" w:rsidRPr="00216AE0">
        <w:t>iabilit</w:t>
      </w:r>
      <w:r w:rsidR="008C0EB6" w:rsidRPr="00216AE0">
        <w:t>ies</w:t>
      </w:r>
      <w:r w:rsidRPr="00216AE0">
        <w:t xml:space="preserve"> and Equity totals) or more than 10% of the sub-element (e.g. Current Liabilities and Receipts from Operating Activities totals) of the financial statements; and</w:t>
      </w:r>
    </w:p>
    <w:p w14:paraId="08703675" w14:textId="57F176CD" w:rsidR="00702347" w:rsidRPr="00216AE0" w:rsidRDefault="00702347" w:rsidP="007122BC">
      <w:pPr>
        <w:pStyle w:val="SFDot1"/>
        <w:numPr>
          <w:ilvl w:val="0"/>
          <w:numId w:val="47"/>
        </w:numPr>
        <w:spacing w:before="0" w:after="0"/>
        <w:ind w:left="567" w:hanging="425"/>
        <w:jc w:val="both"/>
      </w:pPr>
      <w:r w:rsidRPr="00216AE0">
        <w:t>the variances (original budget to actual</w:t>
      </w:r>
      <w:r w:rsidR="00DE2804" w:rsidRPr="00216AE0">
        <w:t xml:space="preserve"> and </w:t>
      </w:r>
      <w:r w:rsidR="00173796">
        <w:t xml:space="preserve">current year </w:t>
      </w:r>
      <w:r w:rsidR="00DE2804" w:rsidRPr="00216AE0">
        <w:t xml:space="preserve">actual to </w:t>
      </w:r>
      <w:r w:rsidR="00173796">
        <w:t xml:space="preserve">prior year </w:t>
      </w:r>
      <w:r w:rsidR="00DE2804" w:rsidRPr="00216AE0">
        <w:t>actual</w:t>
      </w:r>
      <w:r w:rsidRPr="00216AE0">
        <w:t xml:space="preserve">) are greater than plus (+) or minus (-) </w:t>
      </w:r>
      <w:r w:rsidR="00367409" w:rsidRPr="00216AE0">
        <w:t>10</w:t>
      </w:r>
      <w:r w:rsidRPr="00216AE0">
        <w:t xml:space="preserve">% and $500,000 of the budget for the financial statement line item for smaller agencies and greater than plus (+) or minus (-) </w:t>
      </w:r>
      <w:r w:rsidR="00C75AA3" w:rsidRPr="00216AE0">
        <w:t>10</w:t>
      </w:r>
      <w:r w:rsidRPr="00216AE0">
        <w:t xml:space="preserve">% and $15 million for large agencies. </w:t>
      </w:r>
    </w:p>
    <w:p w14:paraId="10859F20" w14:textId="77777777" w:rsidR="00702347" w:rsidRPr="00734C56" w:rsidRDefault="00702347" w:rsidP="00702347">
      <w:pPr>
        <w:pStyle w:val="SFDot1"/>
        <w:numPr>
          <w:ilvl w:val="0"/>
          <w:numId w:val="0"/>
        </w:numPr>
        <w:spacing w:before="0" w:after="0"/>
        <w:ind w:left="142"/>
        <w:jc w:val="both"/>
      </w:pPr>
    </w:p>
    <w:p w14:paraId="53E5CB98" w14:textId="66356AAF" w:rsidR="00702347" w:rsidRPr="00C50266" w:rsidRDefault="00702347" w:rsidP="002007FE">
      <w:pPr>
        <w:pStyle w:val="Footer"/>
        <w:tabs>
          <w:tab w:val="clear" w:pos="4153"/>
          <w:tab w:val="clear" w:pos="8306"/>
        </w:tabs>
        <w:jc w:val="both"/>
      </w:pPr>
      <w:bookmarkStart w:id="39" w:name="_Hlk90668267"/>
      <w:r w:rsidRPr="00C50266">
        <w:t xml:space="preserve">Small agencies include Office of the Legislative Assembly, </w:t>
      </w:r>
      <w:r w:rsidR="002007FE" w:rsidRPr="00C50266">
        <w:t xml:space="preserve">ACT </w:t>
      </w:r>
      <w:r w:rsidRPr="00C50266">
        <w:t>Auditor-General, Legal Aid</w:t>
      </w:r>
      <w:r w:rsidR="002007FE" w:rsidRPr="00C50266">
        <w:t xml:space="preserve"> </w:t>
      </w:r>
      <w:r w:rsidR="002007FE" w:rsidRPr="00C50266">
        <w:rPr>
          <w:rFonts w:asciiTheme="minorHAnsi" w:hAnsiTheme="minorHAnsi" w:cs="Calibri"/>
          <w:szCs w:val="22"/>
        </w:rPr>
        <w:t>Commission</w:t>
      </w:r>
      <w:r w:rsidRPr="00C50266">
        <w:t>, Public Trustee and Guardian, Cultural Facilities</w:t>
      </w:r>
      <w:r w:rsidR="00FB5CD5" w:rsidRPr="00C50266">
        <w:rPr>
          <w:rFonts w:asciiTheme="minorHAnsi" w:hAnsiTheme="minorHAnsi" w:cs="Calibri"/>
          <w:szCs w:val="22"/>
        </w:rPr>
        <w:t xml:space="preserve"> Corporation</w:t>
      </w:r>
      <w:r w:rsidRPr="00C50266">
        <w:t>,</w:t>
      </w:r>
      <w:r w:rsidR="005566F4" w:rsidRPr="00C50266">
        <w:t xml:space="preserve"> </w:t>
      </w:r>
      <w:r w:rsidR="00133505" w:rsidRPr="00C50266">
        <w:t>Cemeteries and Crematoria Authority</w:t>
      </w:r>
      <w:r w:rsidRPr="00C50266">
        <w:t xml:space="preserve">, </w:t>
      </w:r>
      <w:r w:rsidR="00FB5CD5" w:rsidRPr="00C50266">
        <w:t xml:space="preserve">ACT </w:t>
      </w:r>
      <w:r w:rsidRPr="00C50266">
        <w:t>Gambling and Racing</w:t>
      </w:r>
      <w:r w:rsidR="00FB5CD5" w:rsidRPr="00C50266">
        <w:t xml:space="preserve"> Commission</w:t>
      </w:r>
      <w:r w:rsidRPr="00C50266">
        <w:t>, Independent Competition and Regulatory Commission, Motor Accident Injuries</w:t>
      </w:r>
      <w:r w:rsidR="002007FE" w:rsidRPr="00C50266">
        <w:t xml:space="preserve"> Commission</w:t>
      </w:r>
      <w:r w:rsidRPr="00C50266">
        <w:t xml:space="preserve">, </w:t>
      </w:r>
      <w:r w:rsidR="002007FE" w:rsidRPr="00C50266">
        <w:t xml:space="preserve">ACT </w:t>
      </w:r>
      <w:r w:rsidRPr="00C50266">
        <w:t>Electoral Commissioner</w:t>
      </w:r>
      <w:r w:rsidR="00E27FC2" w:rsidRPr="00C50266">
        <w:t>,</w:t>
      </w:r>
      <w:r w:rsidRPr="00C50266">
        <w:t xml:space="preserve"> ACT Integrity Commission</w:t>
      </w:r>
      <w:r w:rsidR="00133505" w:rsidRPr="00C50266">
        <w:t>,</w:t>
      </w:r>
      <w:r w:rsidR="00A064C3" w:rsidRPr="00C50266">
        <w:t xml:space="preserve"> ACT Executive</w:t>
      </w:r>
      <w:r w:rsidR="00FB5CD5" w:rsidRPr="00C50266">
        <w:t xml:space="preserve">, </w:t>
      </w:r>
      <w:r w:rsidR="00FB5CD5" w:rsidRPr="00C50266">
        <w:rPr>
          <w:rFonts w:asciiTheme="minorHAnsi" w:hAnsiTheme="minorHAnsi" w:cs="Calibri"/>
          <w:szCs w:val="22"/>
        </w:rPr>
        <w:t>ACT Long Service Leave Authority, Building and Construction Industry Training Fund Authority, CIT Solutions Pty Ltd</w:t>
      </w:r>
      <w:r w:rsidR="002007FE" w:rsidRPr="00C50266">
        <w:rPr>
          <w:rFonts w:asciiTheme="minorHAnsi" w:hAnsiTheme="minorHAnsi" w:cs="Calibri"/>
          <w:szCs w:val="22"/>
        </w:rPr>
        <w:t>, Lifetime Care and Support Fund</w:t>
      </w:r>
      <w:r w:rsidR="00E27FC2" w:rsidRPr="00C50266">
        <w:rPr>
          <w:rFonts w:asciiTheme="minorHAnsi" w:hAnsiTheme="minorHAnsi" w:cs="Calibri"/>
          <w:szCs w:val="22"/>
        </w:rPr>
        <w:t>,</w:t>
      </w:r>
      <w:r w:rsidR="002007FE" w:rsidRPr="00C50266">
        <w:rPr>
          <w:rFonts w:asciiTheme="minorHAnsi" w:hAnsiTheme="minorHAnsi" w:cs="Calibri"/>
          <w:szCs w:val="22"/>
        </w:rPr>
        <w:t xml:space="preserve"> </w:t>
      </w:r>
      <w:r w:rsidR="00AE11DE" w:rsidRPr="00C50266">
        <w:rPr>
          <w:rFonts w:asciiTheme="minorHAnsi" w:hAnsiTheme="minorHAnsi" w:cs="Calibri"/>
          <w:szCs w:val="22"/>
        </w:rPr>
        <w:t xml:space="preserve">and </w:t>
      </w:r>
      <w:r w:rsidR="002007FE" w:rsidRPr="00C50266">
        <w:rPr>
          <w:rFonts w:asciiTheme="minorHAnsi" w:hAnsiTheme="minorHAnsi" w:cs="Calibri"/>
          <w:szCs w:val="22"/>
        </w:rPr>
        <w:t>Office of the Work Health and Safety Commissioner</w:t>
      </w:r>
      <w:r w:rsidR="00133505" w:rsidRPr="00C50266">
        <w:t>.</w:t>
      </w:r>
    </w:p>
    <w:p w14:paraId="7136531B" w14:textId="77777777" w:rsidR="00702347" w:rsidRPr="00C50266" w:rsidRDefault="00702347" w:rsidP="00702347">
      <w:pPr>
        <w:pStyle w:val="NormalSF"/>
        <w:spacing w:before="0" w:after="0"/>
        <w:jc w:val="both"/>
      </w:pPr>
    </w:p>
    <w:p w14:paraId="03083C8B" w14:textId="2A4A9D95" w:rsidR="00702347" w:rsidRPr="00474386" w:rsidRDefault="00702347" w:rsidP="00702347">
      <w:pPr>
        <w:pStyle w:val="NormalSF"/>
        <w:spacing w:before="0" w:after="0"/>
        <w:jc w:val="both"/>
        <w:rPr>
          <w:color w:val="FF0000"/>
        </w:rPr>
      </w:pPr>
      <w:r w:rsidRPr="00C50266">
        <w:t>Large agencies include Chief Minister, Treasury and Economic Development</w:t>
      </w:r>
      <w:r w:rsidR="00AE11DE" w:rsidRPr="00C50266">
        <w:t xml:space="preserve"> Directorate</w:t>
      </w:r>
      <w:r w:rsidRPr="00C50266">
        <w:t>, Canberra Health Services, Transport Canberra and City Services</w:t>
      </w:r>
      <w:r w:rsidR="00AE11DE" w:rsidRPr="00C50266">
        <w:t xml:space="preserve"> Directorate</w:t>
      </w:r>
      <w:r w:rsidRPr="00C50266">
        <w:t>, Housing ACT, Justice and Community Safety</w:t>
      </w:r>
      <w:r w:rsidR="00AE11DE" w:rsidRPr="00C50266">
        <w:t xml:space="preserve"> Directorate</w:t>
      </w:r>
      <w:r w:rsidRPr="00C50266">
        <w:t>, Education</w:t>
      </w:r>
      <w:r w:rsidR="00AE11DE" w:rsidRPr="00C50266">
        <w:t xml:space="preserve"> Directorate</w:t>
      </w:r>
      <w:r w:rsidRPr="00C50266">
        <w:t>, Community Services</w:t>
      </w:r>
      <w:r w:rsidR="00AE11DE" w:rsidRPr="00C50266">
        <w:t xml:space="preserve"> Directorate</w:t>
      </w:r>
      <w:r w:rsidRPr="00C50266">
        <w:t xml:space="preserve">, Transport Canberra Operations, </w:t>
      </w:r>
      <w:r w:rsidR="00C43190" w:rsidRPr="00C50266">
        <w:t>Environment, Planning and Sustainable Development</w:t>
      </w:r>
      <w:r w:rsidR="00474386" w:rsidRPr="00C50266">
        <w:t xml:space="preserve"> Directorate</w:t>
      </w:r>
      <w:r w:rsidRPr="00C50266">
        <w:t xml:space="preserve">, </w:t>
      </w:r>
      <w:r w:rsidR="00D617C2" w:rsidRPr="00C50266">
        <w:rPr>
          <w:rFonts w:asciiTheme="minorHAnsi" w:hAnsiTheme="minorHAnsi" w:cs="Calibri"/>
          <w:szCs w:val="22"/>
        </w:rPr>
        <w:t xml:space="preserve">ACT Local Hospital Network, </w:t>
      </w:r>
      <w:r w:rsidRPr="00C50266">
        <w:t>City Renewal Authority, Suburban Land Agency, Health</w:t>
      </w:r>
      <w:r w:rsidR="00474386" w:rsidRPr="00C50266">
        <w:t xml:space="preserve"> Directorate</w:t>
      </w:r>
      <w:r w:rsidR="00133505" w:rsidRPr="00C50266">
        <w:t>,</w:t>
      </w:r>
      <w:r w:rsidRPr="00C50266">
        <w:t xml:space="preserve"> Public Sector Workers Compensation Fund</w:t>
      </w:r>
      <w:r w:rsidR="00133505" w:rsidRPr="00C50266">
        <w:t xml:space="preserve"> Major Projects Canberra</w:t>
      </w:r>
      <w:r w:rsidR="00AE11DE" w:rsidRPr="00C50266">
        <w:t xml:space="preserve">, </w:t>
      </w:r>
      <w:r w:rsidR="00AE11DE" w:rsidRPr="00C50266">
        <w:rPr>
          <w:rFonts w:asciiTheme="minorHAnsi" w:hAnsiTheme="minorHAnsi" w:cs="Calibri"/>
        </w:rPr>
        <w:t>ACT Insurance Authority</w:t>
      </w:r>
      <w:r w:rsidR="00474386" w:rsidRPr="00C50266">
        <w:rPr>
          <w:rFonts w:asciiTheme="minorHAnsi" w:hAnsiTheme="minorHAnsi" w:cs="Calibri"/>
        </w:rPr>
        <w:t xml:space="preserve">, Canberra Institute of Technology, </w:t>
      </w:r>
      <w:r w:rsidR="00256D67" w:rsidRPr="00C50266">
        <w:rPr>
          <w:rFonts w:asciiTheme="minorHAnsi" w:hAnsiTheme="minorHAnsi" w:cs="Calibri"/>
        </w:rPr>
        <w:t xml:space="preserve">Territory Banking Account </w:t>
      </w:r>
      <w:r w:rsidR="00474386" w:rsidRPr="00C50266">
        <w:rPr>
          <w:rFonts w:asciiTheme="minorHAnsi" w:hAnsiTheme="minorHAnsi" w:cs="Calibri"/>
        </w:rPr>
        <w:t>and Superannuation Provision Account</w:t>
      </w:r>
      <w:r w:rsidR="00133505" w:rsidRPr="00C50266">
        <w:t>.</w:t>
      </w:r>
    </w:p>
    <w:bookmarkEnd w:id="39"/>
    <w:p w14:paraId="02B0F0B4" w14:textId="77777777" w:rsidR="00D849FC" w:rsidRPr="00734C56" w:rsidRDefault="00D849FC" w:rsidP="005D7F4C">
      <w:pPr>
        <w:pStyle w:val="NormalSF"/>
        <w:spacing w:before="0" w:after="0"/>
        <w:jc w:val="both"/>
      </w:pPr>
    </w:p>
    <w:p w14:paraId="0E004CC1" w14:textId="77777777" w:rsidR="00842442" w:rsidRDefault="00D849FC" w:rsidP="005D7F4C">
      <w:pPr>
        <w:pStyle w:val="NormalSF"/>
        <w:spacing w:before="0" w:after="0"/>
        <w:jc w:val="both"/>
      </w:pPr>
      <w:r w:rsidRPr="00734C56">
        <w:t xml:space="preserve">These thresholds are indicative </w:t>
      </w:r>
      <w:r w:rsidR="00702347" w:rsidRPr="00734C56">
        <w:t xml:space="preserve">only and are included </w:t>
      </w:r>
      <w:r w:rsidRPr="00734C56">
        <w:t xml:space="preserve">to assist agencies’ </w:t>
      </w:r>
      <w:r w:rsidR="00702347" w:rsidRPr="00734C56">
        <w:t xml:space="preserve">in making </w:t>
      </w:r>
      <w:r w:rsidRPr="00734C56">
        <w:t xml:space="preserve">judgement </w:t>
      </w:r>
      <w:r w:rsidR="00702347" w:rsidRPr="00734C56">
        <w:t xml:space="preserve">on </w:t>
      </w:r>
      <w:r w:rsidRPr="00734C56">
        <w:t>whether an explanation is required.</w:t>
      </w:r>
    </w:p>
    <w:p w14:paraId="1441BE5B" w14:textId="77777777" w:rsidR="00842442" w:rsidRDefault="00842442" w:rsidP="005D7F4C">
      <w:pPr>
        <w:pStyle w:val="NormalSF"/>
        <w:spacing w:before="0" w:after="0"/>
        <w:jc w:val="both"/>
      </w:pPr>
    </w:p>
    <w:p w14:paraId="61D0B830" w14:textId="1F36E766" w:rsidR="00842442" w:rsidRDefault="00842442" w:rsidP="00842442">
      <w:pPr>
        <w:pStyle w:val="NormalSFLeadIn"/>
        <w:spacing w:before="0" w:after="0"/>
        <w:jc w:val="both"/>
        <w:rPr>
          <w:rFonts w:cs="Calibri"/>
          <w:szCs w:val="22"/>
        </w:rPr>
      </w:pPr>
    </w:p>
    <w:p w14:paraId="1858055B" w14:textId="38A9FFFD" w:rsidR="00842442" w:rsidRPr="00216AE0" w:rsidRDefault="00842442" w:rsidP="00842442">
      <w:pPr>
        <w:pStyle w:val="NormalSFLeadIn"/>
        <w:spacing w:before="0" w:after="0"/>
        <w:jc w:val="both"/>
        <w:rPr>
          <w:szCs w:val="22"/>
          <w:u w:val="single"/>
        </w:rPr>
      </w:pPr>
    </w:p>
    <w:p w14:paraId="70143237" w14:textId="77777777" w:rsidR="00842442" w:rsidRDefault="00842442" w:rsidP="005D7F4C">
      <w:pPr>
        <w:pStyle w:val="NormalSF"/>
        <w:spacing w:before="0" w:after="0"/>
        <w:jc w:val="both"/>
      </w:pPr>
    </w:p>
    <w:p w14:paraId="590ED021" w14:textId="6CCE63E6" w:rsidR="00842442" w:rsidRDefault="00842442" w:rsidP="005D7F4C">
      <w:pPr>
        <w:pStyle w:val="NormalSF"/>
        <w:spacing w:before="0" w:after="0"/>
        <w:jc w:val="both"/>
      </w:pPr>
      <w:r>
        <w:br w:type="page"/>
      </w:r>
    </w:p>
    <w:p w14:paraId="01D59016" w14:textId="77777777" w:rsidR="00D849FC" w:rsidRPr="00CF4393" w:rsidRDefault="00D849FC" w:rsidP="006049C1">
      <w:pPr>
        <w:pStyle w:val="Heading3"/>
        <w:ind w:left="851"/>
        <w:jc w:val="both"/>
      </w:pPr>
      <w:bookmarkStart w:id="40" w:name="_Toc98762997"/>
      <w:r w:rsidRPr="00CF4393">
        <w:t>Consultation with Audit Committee and the Audit Office</w:t>
      </w:r>
      <w:bookmarkEnd w:id="40"/>
      <w:r w:rsidRPr="00CF4393">
        <w:t xml:space="preserve"> </w:t>
      </w:r>
    </w:p>
    <w:p w14:paraId="79054307" w14:textId="40E6C1A1" w:rsidR="00283B38" w:rsidRPr="00734353" w:rsidRDefault="00D849FC" w:rsidP="005D7F4C">
      <w:pPr>
        <w:pStyle w:val="NormalSFLeadIn"/>
        <w:spacing w:before="0" w:after="0"/>
        <w:jc w:val="both"/>
      </w:pPr>
      <w:r w:rsidRPr="00734353">
        <w:t>Each agency will need to exercise judgement in determining appropriate thresholds for disclosures in their financial statements.</w:t>
      </w:r>
      <w:r w:rsidR="00FA7C77">
        <w:t xml:space="preserve"> </w:t>
      </w:r>
      <w:r w:rsidRPr="00734353">
        <w:t>Agencies are encouraged to agree their specific thresholds for disclosures along with exceptions with their Audit Committee in the process of developing their financial statements.</w:t>
      </w:r>
      <w:r w:rsidR="00FA7C77">
        <w:t xml:space="preserve"> </w:t>
      </w:r>
      <w:r w:rsidR="00176ABD" w:rsidRPr="00734353">
        <w:t xml:space="preserve">Once the thresholds and exceptions have been determined, agencies should liase with the ACT </w:t>
      </w:r>
      <w:r w:rsidR="00173796">
        <w:t>Audit Office</w:t>
      </w:r>
      <w:r w:rsidR="00176ABD" w:rsidRPr="00734353">
        <w:t xml:space="preserve"> to ensure they consider these thresholds and exceptions are appropriate. </w:t>
      </w:r>
    </w:p>
    <w:p w14:paraId="77767526" w14:textId="09E0378C" w:rsidR="00734C56" w:rsidRDefault="00734C56">
      <w:pPr>
        <w:rPr>
          <w:rFonts w:ascii="Arial Bold" w:hAnsi="Arial Bold"/>
          <w:b/>
          <w:bCs/>
          <w:smallCaps/>
          <w:color w:val="FF0000"/>
        </w:rPr>
      </w:pPr>
    </w:p>
    <w:p w14:paraId="678AF751" w14:textId="26C53B08" w:rsidR="00283B38" w:rsidRPr="00734C56" w:rsidRDefault="002F1378" w:rsidP="006049C1">
      <w:pPr>
        <w:pStyle w:val="Heading3"/>
        <w:ind w:left="851"/>
        <w:jc w:val="both"/>
      </w:pPr>
      <w:bookmarkStart w:id="41" w:name="_Toc98762998"/>
      <w:r w:rsidRPr="00734C56">
        <w:t>Impact of the COVID-19 Pandemic</w:t>
      </w:r>
      <w:bookmarkEnd w:id="41"/>
    </w:p>
    <w:p w14:paraId="593EDF73" w14:textId="50DD0295" w:rsidR="00E90554" w:rsidRDefault="004904D9" w:rsidP="005D7F4C">
      <w:pPr>
        <w:jc w:val="both"/>
      </w:pPr>
      <w:r w:rsidRPr="00734C56">
        <w:rPr>
          <w:szCs w:val="24"/>
          <w:lang w:val="en-US" w:eastAsia="en-AU"/>
        </w:rPr>
        <w:t xml:space="preserve">The </w:t>
      </w:r>
      <w:r w:rsidR="005D7F4C" w:rsidRPr="00734C56">
        <w:rPr>
          <w:szCs w:val="24"/>
          <w:lang w:val="en-US" w:eastAsia="en-AU"/>
        </w:rPr>
        <w:t>COVID</w:t>
      </w:r>
      <w:r w:rsidR="00E90554" w:rsidRPr="00734C56">
        <w:rPr>
          <w:szCs w:val="24"/>
          <w:lang w:val="en-US" w:eastAsia="en-AU"/>
        </w:rPr>
        <w:t xml:space="preserve">-19 </w:t>
      </w:r>
      <w:r w:rsidRPr="00734C56">
        <w:rPr>
          <w:szCs w:val="24"/>
          <w:lang w:val="en-US" w:eastAsia="en-AU"/>
        </w:rPr>
        <w:t xml:space="preserve">pandemic </w:t>
      </w:r>
      <w:r w:rsidR="00E90554" w:rsidRPr="00734C56">
        <w:rPr>
          <w:szCs w:val="24"/>
          <w:lang w:val="en-US" w:eastAsia="en-AU"/>
        </w:rPr>
        <w:t>is likely to have an impact on agencies’ financial statements,</w:t>
      </w:r>
      <w:r w:rsidR="005D7F4C" w:rsidRPr="00734C56">
        <w:rPr>
          <w:szCs w:val="24"/>
          <w:lang w:val="en-US" w:eastAsia="en-AU"/>
        </w:rPr>
        <w:t xml:space="preserve"> including</w:t>
      </w:r>
      <w:r w:rsidR="00E90554" w:rsidRPr="00734C56">
        <w:rPr>
          <w:szCs w:val="24"/>
          <w:lang w:val="en-US" w:eastAsia="en-AU"/>
        </w:rPr>
        <w:t xml:space="preserve"> disclosures. In particular, agencies need to consider the impacts of specific actions undertaken by </w:t>
      </w:r>
      <w:r w:rsidR="00702347" w:rsidRPr="00734C56">
        <w:rPr>
          <w:szCs w:val="24"/>
          <w:lang w:val="en-US" w:eastAsia="en-AU"/>
        </w:rPr>
        <w:t xml:space="preserve">the ACT </w:t>
      </w:r>
      <w:r w:rsidR="00E90554" w:rsidRPr="00734C56">
        <w:rPr>
          <w:szCs w:val="24"/>
          <w:lang w:val="en-US" w:eastAsia="en-AU"/>
        </w:rPr>
        <w:t>Government</w:t>
      </w:r>
      <w:r w:rsidR="00702347" w:rsidRPr="00734C56">
        <w:rPr>
          <w:szCs w:val="24"/>
          <w:lang w:val="en-US" w:eastAsia="en-AU"/>
        </w:rPr>
        <w:t xml:space="preserve"> and Commonwealth</w:t>
      </w:r>
      <w:r w:rsidR="00E90554" w:rsidRPr="00734C56">
        <w:rPr>
          <w:szCs w:val="24"/>
          <w:lang w:val="en-US" w:eastAsia="en-AU"/>
        </w:rPr>
        <w:t xml:space="preserve"> in responding to </w:t>
      </w:r>
      <w:r w:rsidR="005D7F4C" w:rsidRPr="00734C56">
        <w:rPr>
          <w:szCs w:val="24"/>
          <w:lang w:val="en-US" w:eastAsia="en-AU"/>
        </w:rPr>
        <w:t>COVID-19</w:t>
      </w:r>
      <w:r w:rsidR="00E90554" w:rsidRPr="00734C56">
        <w:rPr>
          <w:szCs w:val="24"/>
          <w:lang w:val="en-US" w:eastAsia="en-AU"/>
        </w:rPr>
        <w:t>. For instance, determining the appropriate financial period in which to reflect the costs and liabilities associated with a policy intervention</w:t>
      </w:r>
      <w:r w:rsidR="00E90554" w:rsidRPr="00734C56">
        <w:t>.</w:t>
      </w:r>
      <w:r w:rsidR="006A55D8" w:rsidRPr="00734C56">
        <w:t xml:space="preserve"> Areas impacted could include expected credit losses</w:t>
      </w:r>
      <w:r w:rsidR="00A85933" w:rsidRPr="00734C56">
        <w:t xml:space="preserve"> on receivables</w:t>
      </w:r>
      <w:r w:rsidR="006A55D8" w:rsidRPr="00734C56">
        <w:t xml:space="preserve">, </w:t>
      </w:r>
      <w:r w:rsidR="00A85933" w:rsidRPr="00734C56">
        <w:t xml:space="preserve">the </w:t>
      </w:r>
      <w:r w:rsidR="006A55D8" w:rsidRPr="00734C56">
        <w:t xml:space="preserve">fair value of assets and events after the reporting period. </w:t>
      </w:r>
      <w:r w:rsidR="005D7F4C" w:rsidRPr="00734C56">
        <w:t xml:space="preserve">Agencies </w:t>
      </w:r>
      <w:r w:rsidR="00E43CA9" w:rsidRPr="00842442">
        <w:t>can</w:t>
      </w:r>
      <w:r w:rsidR="00E43CA9">
        <w:t xml:space="preserve"> </w:t>
      </w:r>
      <w:r w:rsidR="005D7F4C" w:rsidRPr="00734C56">
        <w:t xml:space="preserve">seek </w:t>
      </w:r>
      <w:r w:rsidR="0056449B" w:rsidRPr="00842442">
        <w:t>further</w:t>
      </w:r>
      <w:r w:rsidR="0056449B">
        <w:t xml:space="preserve"> </w:t>
      </w:r>
      <w:r w:rsidR="005D7F4C" w:rsidRPr="00734C56">
        <w:t xml:space="preserve">guidance </w:t>
      </w:r>
      <w:r w:rsidR="005D7F4C" w:rsidRPr="00E43CA9">
        <w:t>on</w:t>
      </w:r>
      <w:r w:rsidR="005D7F4C" w:rsidRPr="00734C56">
        <w:t xml:space="preserve"> </w:t>
      </w:r>
      <w:r w:rsidR="00E43CA9" w:rsidRPr="00842442">
        <w:t>COVID-19 contained in the ACT</w:t>
      </w:r>
      <w:r w:rsidR="00860419" w:rsidRPr="00842442">
        <w:t xml:space="preserve"> Disclosure</w:t>
      </w:r>
      <w:r w:rsidR="00E43CA9" w:rsidRPr="00842442">
        <w:t xml:space="preserve"> Paper on </w:t>
      </w:r>
      <w:r w:rsidR="00256D67" w:rsidRPr="00842442">
        <w:t xml:space="preserve">COVID-19 </w:t>
      </w:r>
      <w:r w:rsidR="00E43CA9" w:rsidRPr="00842442">
        <w:t>disclosures and workpapers</w:t>
      </w:r>
      <w:r w:rsidR="005D7F4C" w:rsidRPr="00734C56">
        <w:t>.</w:t>
      </w:r>
    </w:p>
    <w:p w14:paraId="59669E0B" w14:textId="77777777" w:rsidR="00EC4D28" w:rsidRPr="00734C56" w:rsidRDefault="00EC4D28" w:rsidP="005D7F4C">
      <w:pPr>
        <w:jc w:val="both"/>
      </w:pPr>
    </w:p>
    <w:p w14:paraId="4EB3C315" w14:textId="12DF7A30" w:rsidR="000144FF" w:rsidRPr="00354B92" w:rsidRDefault="000144FF" w:rsidP="00354B92">
      <w:pPr>
        <w:pStyle w:val="Heading2"/>
        <w:rPr>
          <w:color w:val="000000" w:themeColor="text1"/>
        </w:rPr>
      </w:pPr>
      <w:bookmarkStart w:id="42" w:name="_Toc40072435"/>
      <w:bookmarkStart w:id="43" w:name="_Toc48468195"/>
      <w:bookmarkStart w:id="44" w:name="_Toc49155389"/>
      <w:bookmarkStart w:id="45" w:name="_Toc49223835"/>
      <w:bookmarkStart w:id="46" w:name="_Toc50440299"/>
      <w:bookmarkStart w:id="47" w:name="_Toc194918618"/>
      <w:bookmarkStart w:id="48" w:name="_Toc400627278"/>
      <w:bookmarkStart w:id="49" w:name="_Toc98762999"/>
      <w:r w:rsidRPr="00354B92">
        <w:rPr>
          <w:color w:val="000000" w:themeColor="text1"/>
        </w:rPr>
        <w:t>What’s New</w:t>
      </w:r>
      <w:bookmarkEnd w:id="42"/>
      <w:bookmarkEnd w:id="43"/>
      <w:bookmarkEnd w:id="44"/>
      <w:bookmarkEnd w:id="45"/>
      <w:bookmarkEnd w:id="46"/>
      <w:bookmarkEnd w:id="47"/>
      <w:bookmarkEnd w:id="48"/>
      <w:bookmarkEnd w:id="49"/>
      <w:r w:rsidR="00BA6256" w:rsidRPr="00354B92">
        <w:rPr>
          <w:color w:val="000000" w:themeColor="text1"/>
        </w:rPr>
        <w:t xml:space="preserve"> </w:t>
      </w:r>
    </w:p>
    <w:p w14:paraId="614FCEF9" w14:textId="77777777" w:rsidR="00CA560B" w:rsidRPr="00783418" w:rsidRDefault="00F53678" w:rsidP="006049C1">
      <w:pPr>
        <w:pStyle w:val="Heading3"/>
        <w:ind w:left="851"/>
      </w:pPr>
      <w:bookmarkStart w:id="50" w:name="_Toc400627279"/>
      <w:bookmarkStart w:id="51" w:name="_Toc98763000"/>
      <w:r w:rsidRPr="00783418">
        <w:t>Changes to the Model Resulting from Accounting Standard Changes</w:t>
      </w:r>
      <w:bookmarkEnd w:id="50"/>
      <w:bookmarkEnd w:id="51"/>
      <w:r w:rsidRPr="00783418">
        <w:t xml:space="preserve"> </w:t>
      </w:r>
    </w:p>
    <w:p w14:paraId="013BB65A" w14:textId="77777777" w:rsidR="0018143C" w:rsidRDefault="0018143C" w:rsidP="0018143C">
      <w:pPr>
        <w:jc w:val="both"/>
        <w:rPr>
          <w:b/>
          <w:color w:val="FF0000"/>
        </w:rPr>
      </w:pPr>
    </w:p>
    <w:p w14:paraId="29D2A34D" w14:textId="5D69C61F" w:rsidR="00D31756" w:rsidRPr="00842442" w:rsidRDefault="00D31756" w:rsidP="00D31756">
      <w:pPr>
        <w:spacing w:after="120"/>
        <w:jc w:val="both"/>
        <w:rPr>
          <w:b/>
          <w:bCs/>
          <w:szCs w:val="22"/>
        </w:rPr>
      </w:pPr>
      <w:r w:rsidRPr="00842442">
        <w:rPr>
          <w:b/>
          <w:bCs/>
          <w:szCs w:val="22"/>
        </w:rPr>
        <w:t>AASB 2021/2 Amendments to Australian Accounting Standards – Disclosure to Accounting Policies and Definitions of Accounting Policies and Definition of Accounting Estimates</w:t>
      </w:r>
    </w:p>
    <w:p w14:paraId="1B40381B" w14:textId="00488ABD" w:rsidR="00CC320E" w:rsidRPr="00842442" w:rsidRDefault="00413F41" w:rsidP="00CC320E">
      <w:pPr>
        <w:spacing w:after="120"/>
        <w:jc w:val="both"/>
        <w:rPr>
          <w:szCs w:val="22"/>
        </w:rPr>
      </w:pPr>
      <w:r w:rsidRPr="00842442">
        <w:rPr>
          <w:szCs w:val="22"/>
        </w:rPr>
        <w:t xml:space="preserve">ACT Government policy is that the change to AASB 101 resulting from AASB 2021/2 </w:t>
      </w:r>
      <w:r w:rsidRPr="00842442">
        <w:rPr>
          <w:i/>
          <w:iCs/>
          <w:szCs w:val="22"/>
        </w:rPr>
        <w:t xml:space="preserve">Amendments to Australian Accounting Standards – Disclosure to Accounting Policies and Definitions of Accounting Policies and Definition of Accounting Estimates </w:t>
      </w:r>
      <w:r w:rsidRPr="00842442">
        <w:rPr>
          <w:szCs w:val="22"/>
        </w:rPr>
        <w:t>will be adopted early by all ACT Government Agencies.</w:t>
      </w:r>
      <w:r w:rsidR="00FA7C77">
        <w:rPr>
          <w:szCs w:val="22"/>
        </w:rPr>
        <w:t xml:space="preserve"> </w:t>
      </w:r>
      <w:r w:rsidRPr="00842442">
        <w:rPr>
          <w:szCs w:val="22"/>
        </w:rPr>
        <w:t xml:space="preserve">This change requires </w:t>
      </w:r>
      <w:r w:rsidR="007B35B5" w:rsidRPr="00842442">
        <w:rPr>
          <w:szCs w:val="22"/>
        </w:rPr>
        <w:t>a terminology change so that ACT Government agencies will now refer to ‘</w:t>
      </w:r>
      <w:r w:rsidR="00270F18" w:rsidRPr="00842442">
        <w:rPr>
          <w:szCs w:val="22"/>
        </w:rPr>
        <w:t>material</w:t>
      </w:r>
      <w:r w:rsidR="007B35B5" w:rsidRPr="00842442">
        <w:rPr>
          <w:szCs w:val="22"/>
        </w:rPr>
        <w:t>’ accounting policies rather than ‘</w:t>
      </w:r>
      <w:r w:rsidR="00270F18" w:rsidRPr="00842442">
        <w:rPr>
          <w:szCs w:val="22"/>
        </w:rPr>
        <w:t>significant</w:t>
      </w:r>
      <w:r w:rsidR="007B35B5" w:rsidRPr="00842442">
        <w:rPr>
          <w:szCs w:val="22"/>
        </w:rPr>
        <w:t>’ accounting policy in their financial statements.</w:t>
      </w:r>
      <w:r w:rsidR="00FA7C77">
        <w:rPr>
          <w:szCs w:val="22"/>
        </w:rPr>
        <w:t xml:space="preserve"> </w:t>
      </w:r>
      <w:r w:rsidRPr="00842442">
        <w:rPr>
          <w:szCs w:val="22"/>
        </w:rPr>
        <w:t>The Model Financial Statements reflects th</w:t>
      </w:r>
      <w:r w:rsidR="001F4222" w:rsidRPr="00842442">
        <w:rPr>
          <w:szCs w:val="22"/>
        </w:rPr>
        <w:t>e</w:t>
      </w:r>
      <w:r w:rsidRPr="00842442">
        <w:rPr>
          <w:szCs w:val="22"/>
        </w:rPr>
        <w:t xml:space="preserve"> early adoption</w:t>
      </w:r>
      <w:r w:rsidR="001F4222" w:rsidRPr="00842442">
        <w:rPr>
          <w:szCs w:val="22"/>
        </w:rPr>
        <w:t xml:space="preserve"> of this change</w:t>
      </w:r>
      <w:r w:rsidRPr="00842442">
        <w:rPr>
          <w:szCs w:val="22"/>
        </w:rPr>
        <w:t>.</w:t>
      </w:r>
      <w:r w:rsidR="00FA7C77">
        <w:rPr>
          <w:szCs w:val="22"/>
        </w:rPr>
        <w:t xml:space="preserve"> </w:t>
      </w:r>
    </w:p>
    <w:p w14:paraId="324404CB" w14:textId="77777777" w:rsidR="00632E57" w:rsidRPr="00842442" w:rsidRDefault="002430D0" w:rsidP="005D7F4C">
      <w:pPr>
        <w:jc w:val="both"/>
        <w:rPr>
          <w:b/>
          <w:i/>
        </w:rPr>
      </w:pPr>
      <w:r w:rsidRPr="00842442">
        <w:rPr>
          <w:b/>
          <w:i/>
        </w:rPr>
        <w:t>Impact of Accounting Standards Issued but yet to be Applied</w:t>
      </w:r>
    </w:p>
    <w:p w14:paraId="63F4596D" w14:textId="1A7B18C4" w:rsidR="00310ED3" w:rsidRPr="00842442" w:rsidRDefault="00310ED3" w:rsidP="00310ED3">
      <w:pPr>
        <w:jc w:val="both"/>
      </w:pPr>
      <w:r>
        <w:t xml:space="preserve">Note 3 </w:t>
      </w:r>
      <w:r>
        <w:rPr>
          <w:i/>
          <w:iCs/>
        </w:rPr>
        <w:t>Change in Accounting Policy and Accounting Estimates, and Correction of a Prior Period Error</w:t>
      </w:r>
      <w:r>
        <w:t xml:space="preserve"> includes </w:t>
      </w:r>
      <w:r w:rsidRPr="00842442">
        <w:t>an updated table listing the standards which are applicable but yet to be applied as at 30 June 2022. This includes brief commentary on the financial impact of these standards.</w:t>
      </w:r>
      <w:r w:rsidR="00FA7C77">
        <w:t xml:space="preserve"> </w:t>
      </w:r>
      <w:r w:rsidRPr="00842442">
        <w:t>In addition, agencies should review the 2021-22 Accounting Policy Paper on the Accounting Standards Released but yet to be Applied, to be issued in July 2022, in order to assess the likely impact of those standards, particularly the ones that have been issued between when the Model is released and when this Accounting Policy Paper is released.</w:t>
      </w:r>
      <w:r w:rsidR="00FA7C77">
        <w:t xml:space="preserve"> </w:t>
      </w:r>
    </w:p>
    <w:p w14:paraId="106EC16D" w14:textId="77777777" w:rsidR="00B271B5" w:rsidRDefault="00B271B5" w:rsidP="005D7F4C">
      <w:pPr>
        <w:jc w:val="both"/>
      </w:pPr>
    </w:p>
    <w:p w14:paraId="03FF2DDF" w14:textId="59B5FAA3" w:rsidR="00B271B5" w:rsidRDefault="00B271B5" w:rsidP="005D7F4C">
      <w:pPr>
        <w:jc w:val="both"/>
      </w:pPr>
      <w:r w:rsidRPr="00CF4393">
        <w:t xml:space="preserve">Agencies are </w:t>
      </w:r>
      <w:r w:rsidR="009C004A" w:rsidRPr="00CF4393">
        <w:t xml:space="preserve">required </w:t>
      </w:r>
      <w:r w:rsidRPr="00CF4393">
        <w:t xml:space="preserve">to </w:t>
      </w:r>
      <w:r w:rsidR="002B2688" w:rsidRPr="00CF4393">
        <w:t>disclose known or reasonably estimable information relevant to assessing the possible impact that the application of these standards will have on the agency’s financial statements in the period of initial application (AASB 108</w:t>
      </w:r>
      <w:r w:rsidR="00A42730" w:rsidRPr="00CF4393">
        <w:t>.30)</w:t>
      </w:r>
      <w:r w:rsidRPr="00CF4393">
        <w:t>.</w:t>
      </w:r>
    </w:p>
    <w:p w14:paraId="355D1442" w14:textId="77777777" w:rsidR="00EC4D28" w:rsidRPr="00CF4393" w:rsidRDefault="00EC4D28" w:rsidP="005D7F4C">
      <w:pPr>
        <w:jc w:val="both"/>
      </w:pPr>
    </w:p>
    <w:p w14:paraId="24EA7B31" w14:textId="09E64E1D" w:rsidR="007122BC" w:rsidRPr="007122BC" w:rsidRDefault="00F53678" w:rsidP="007122BC">
      <w:pPr>
        <w:pStyle w:val="Heading3"/>
        <w:ind w:left="851"/>
        <w:jc w:val="both"/>
        <w:rPr>
          <w:rFonts w:cs="Calibri"/>
        </w:rPr>
      </w:pPr>
      <w:bookmarkStart w:id="52" w:name="_Toc400627280"/>
      <w:bookmarkStart w:id="53" w:name="_Toc98763001"/>
      <w:r w:rsidRPr="001B7340">
        <w:t>Changes</w:t>
      </w:r>
      <w:r w:rsidRPr="003D2BCD">
        <w:t xml:space="preserve"> to the Model </w:t>
      </w:r>
      <w:bookmarkEnd w:id="52"/>
      <w:r w:rsidR="000E26AB">
        <w:t>Resulting from Streamling and Decluttering</w:t>
      </w:r>
      <w:bookmarkEnd w:id="53"/>
    </w:p>
    <w:p w14:paraId="567BEF2F" w14:textId="77777777" w:rsidR="007122BC" w:rsidRDefault="007122BC" w:rsidP="007122BC">
      <w:pPr>
        <w:jc w:val="both"/>
      </w:pPr>
      <w:r>
        <w:t xml:space="preserve">A major review of the Model Financial Statements has been undertaken which has resulted in a large number of changes. These changes have not come about from changes in accounting standards. This major update gives the model a contemporary and streamlined feel and makes it easier for users to understand the financial statements.  </w:t>
      </w:r>
    </w:p>
    <w:p w14:paraId="1FBDDE41" w14:textId="77777777" w:rsidR="007122BC" w:rsidRDefault="007122BC" w:rsidP="007122BC">
      <w:pPr>
        <w:jc w:val="both"/>
      </w:pPr>
    </w:p>
    <w:p w14:paraId="1E6EBBC3" w14:textId="263AFD2E" w:rsidR="000E26AB" w:rsidRDefault="007122BC" w:rsidP="000E26AB">
      <w:pPr>
        <w:jc w:val="both"/>
      </w:pPr>
      <w:r>
        <w:t>Information below outlines the main changes which have occurred to the financial statements and notes to the financial statements when compared to the 2019-20 Model Financial Statements.</w:t>
      </w:r>
      <w:r w:rsidR="000E26AB">
        <w:t xml:space="preserve"> It is not an exhaustive list and represents the major changes only. Agencies are required to review this updated model to align with the required changes as appropriate. All ACT Government entities are required to follow (as closely as practicable) this model to ensure consistency in reporting.</w:t>
      </w:r>
    </w:p>
    <w:p w14:paraId="1925E942" w14:textId="77777777" w:rsidR="000E26AB" w:rsidRDefault="000E26AB" w:rsidP="000E26AB">
      <w:pPr>
        <w:pStyle w:val="Heading3"/>
        <w:ind w:left="851"/>
        <w:jc w:val="both"/>
        <w:rPr>
          <w:rFonts w:cs="Calibri"/>
        </w:rPr>
      </w:pPr>
      <w:r>
        <w:rPr>
          <w:rFonts w:cs="Calibri"/>
        </w:rPr>
        <w:br w:type="page"/>
      </w:r>
    </w:p>
    <w:p w14:paraId="13F98635" w14:textId="77777777" w:rsidR="000E26AB" w:rsidRDefault="000E26AB" w:rsidP="007122BC">
      <w:pPr>
        <w:jc w:val="both"/>
      </w:pPr>
    </w:p>
    <w:p w14:paraId="3DE196C1" w14:textId="2498AA89" w:rsidR="000E26AB" w:rsidRPr="00BD1DCB" w:rsidRDefault="00BD1DCB" w:rsidP="00BD1DCB">
      <w:pPr>
        <w:pStyle w:val="Heading3"/>
        <w:ind w:left="851"/>
        <w:jc w:val="both"/>
        <w:rPr>
          <w:rFonts w:cs="Calibri"/>
        </w:rPr>
      </w:pPr>
      <w:bookmarkStart w:id="54" w:name="_Toc98763002"/>
      <w:r w:rsidRPr="001B7340">
        <w:t>Changes</w:t>
      </w:r>
      <w:r w:rsidRPr="003D2BCD">
        <w:t xml:space="preserve"> to the Model </w:t>
      </w:r>
      <w:r>
        <w:t>Resulting from Streamling and Decluttering</w:t>
      </w:r>
      <w:r>
        <w:rPr>
          <w:rFonts w:cs="Calibri"/>
        </w:rPr>
        <w:t xml:space="preserve"> </w:t>
      </w:r>
      <w:r w:rsidR="000E26AB">
        <w:t>– Continued</w:t>
      </w:r>
      <w:bookmarkEnd w:id="54"/>
      <w:r w:rsidR="000E26AB">
        <w:t xml:space="preserve"> </w:t>
      </w:r>
    </w:p>
    <w:p w14:paraId="4D4815AB" w14:textId="51F46EF6" w:rsidR="007122BC" w:rsidRPr="007122BC" w:rsidRDefault="007122BC" w:rsidP="007122BC">
      <w:pPr>
        <w:pStyle w:val="HeadingSF3"/>
        <w:spacing w:before="0"/>
        <w:rPr>
          <w:color w:val="auto"/>
        </w:rPr>
      </w:pPr>
      <w:bookmarkStart w:id="55" w:name="_Toc98763003"/>
      <w:r w:rsidRPr="007122BC">
        <w:rPr>
          <w:color w:val="auto"/>
        </w:rPr>
        <w:t xml:space="preserve">General </w:t>
      </w:r>
      <w:r>
        <w:rPr>
          <w:color w:val="auto"/>
        </w:rPr>
        <w:t>C</w:t>
      </w:r>
      <w:r w:rsidRPr="007122BC">
        <w:rPr>
          <w:color w:val="auto"/>
        </w:rPr>
        <w:t>hanges</w:t>
      </w:r>
      <w:bookmarkEnd w:id="55"/>
    </w:p>
    <w:p w14:paraId="3DB1273F" w14:textId="77777777" w:rsidR="007122BC" w:rsidRDefault="007122BC" w:rsidP="007122BC">
      <w:pPr>
        <w:pStyle w:val="SFDot1"/>
        <w:numPr>
          <w:ilvl w:val="0"/>
          <w:numId w:val="47"/>
        </w:numPr>
        <w:spacing w:before="0" w:after="0"/>
        <w:ind w:left="567" w:hanging="425"/>
        <w:jc w:val="both"/>
      </w:pPr>
      <w:r>
        <w:t xml:space="preserve">the Territory Authority Section (TAS) has been withdrawn and the specific disclosures relating to Territory Authorities have been included in the 2021-22 Model and marked throughout in blue or as separate headings in the commentary; </w:t>
      </w:r>
    </w:p>
    <w:p w14:paraId="503B7B45" w14:textId="23A183DF" w:rsidR="007122BC" w:rsidRDefault="007122BC" w:rsidP="007122BC">
      <w:pPr>
        <w:pStyle w:val="SFDot1"/>
        <w:numPr>
          <w:ilvl w:val="0"/>
          <w:numId w:val="47"/>
        </w:numPr>
        <w:spacing w:before="0" w:after="0"/>
        <w:ind w:left="567" w:hanging="425"/>
        <w:jc w:val="both"/>
      </w:pPr>
      <w:r>
        <w:t xml:space="preserve">the Model Addendum has been withdrawn. For this 2021-22 Model this section shows the high-level changes to the 2019-20 Model, and as such, this document does not contain individual marked up changes; </w:t>
      </w:r>
    </w:p>
    <w:p w14:paraId="14F4E8AD" w14:textId="184B20E9" w:rsidR="007122BC" w:rsidRDefault="007122BC" w:rsidP="007122BC">
      <w:pPr>
        <w:pStyle w:val="SFDot1"/>
        <w:numPr>
          <w:ilvl w:val="0"/>
          <w:numId w:val="47"/>
        </w:numPr>
        <w:spacing w:before="0" w:after="0"/>
        <w:ind w:left="567" w:hanging="425"/>
        <w:jc w:val="both"/>
      </w:pPr>
      <w:r>
        <w:t xml:space="preserve">where possible disclosures in the Model have been removed or combined to assist with decluttering; </w:t>
      </w:r>
    </w:p>
    <w:p w14:paraId="128EE9D3" w14:textId="3D714AC8" w:rsidR="007122BC" w:rsidRDefault="007122BC" w:rsidP="007122BC">
      <w:pPr>
        <w:pStyle w:val="SFDot1"/>
        <w:numPr>
          <w:ilvl w:val="0"/>
          <w:numId w:val="47"/>
        </w:numPr>
        <w:spacing w:before="0" w:after="0"/>
        <w:ind w:left="567" w:hanging="425"/>
        <w:jc w:val="both"/>
      </w:pPr>
      <w:r>
        <w:t xml:space="preserve">‘Significant Accounting Policies’ are now referred to as ‘Material Accounting Policies’see section 1.2 </w:t>
      </w:r>
      <w:r>
        <w:rPr>
          <w:i/>
          <w:iCs/>
        </w:rPr>
        <w:t>Materiality Guidance</w:t>
      </w:r>
      <w:r w:rsidR="000E26AB">
        <w:rPr>
          <w:i/>
          <w:iCs/>
        </w:rPr>
        <w:t xml:space="preserve"> </w:t>
      </w:r>
      <w:r w:rsidR="000E26AB">
        <w:t>above</w:t>
      </w:r>
      <w:r w:rsidR="00BD1515">
        <w:t>; and</w:t>
      </w:r>
    </w:p>
    <w:p w14:paraId="22F427D7" w14:textId="77777777" w:rsidR="000E26AB" w:rsidRDefault="000E26AB" w:rsidP="000E26AB">
      <w:pPr>
        <w:pStyle w:val="SFDot1"/>
        <w:numPr>
          <w:ilvl w:val="0"/>
          <w:numId w:val="47"/>
        </w:numPr>
        <w:spacing w:before="0" w:after="0"/>
        <w:ind w:left="567" w:hanging="425"/>
        <w:jc w:val="both"/>
      </w:pPr>
      <w:r>
        <w:t>variance explanations have been amended in the financial statement guidelines and budgetary reporting:</w:t>
      </w:r>
    </w:p>
    <w:p w14:paraId="0BA9330F" w14:textId="14286057" w:rsidR="000E26AB" w:rsidRDefault="000E26AB" w:rsidP="000E26AB">
      <w:pPr>
        <w:pStyle w:val="ListParagraph"/>
        <w:numPr>
          <w:ilvl w:val="0"/>
          <w:numId w:val="82"/>
        </w:numPr>
        <w:ind w:left="993" w:hanging="426"/>
      </w:pPr>
      <w:r>
        <w:t>Small Agencies – Criteria has changed from (+) or (</w:t>
      </w:r>
      <w:r>
        <w:noBreakHyphen/>
        <w:t>) 2.5% and $0.5 million to 10% and $0.5 million.</w:t>
      </w:r>
    </w:p>
    <w:p w14:paraId="751872A7" w14:textId="602E9510" w:rsidR="000E26AB" w:rsidRDefault="000E26AB" w:rsidP="000E26AB">
      <w:pPr>
        <w:pStyle w:val="ListParagraph"/>
        <w:numPr>
          <w:ilvl w:val="0"/>
          <w:numId w:val="82"/>
        </w:numPr>
        <w:ind w:left="993" w:hanging="426"/>
      </w:pPr>
      <w:r>
        <w:t>Large Agencies – Criteria has changed from (+) or (</w:t>
      </w:r>
      <w:r>
        <w:noBreakHyphen/>
        <w:t xml:space="preserve">) 5% and $15 million to 10% and $15 million. </w:t>
      </w:r>
    </w:p>
    <w:p w14:paraId="283521A3" w14:textId="7619643F" w:rsidR="000E26AB" w:rsidRDefault="000E26AB" w:rsidP="000E26AB">
      <w:pPr>
        <w:pStyle w:val="ListParagraph"/>
        <w:numPr>
          <w:ilvl w:val="0"/>
          <w:numId w:val="82"/>
        </w:numPr>
        <w:ind w:left="993" w:hanging="426"/>
      </w:pPr>
      <w:r>
        <w:t>Agencies which fall into the small category and large category have been updated.</w:t>
      </w:r>
    </w:p>
    <w:p w14:paraId="1A8158A3" w14:textId="6F3232C3" w:rsidR="007122BC" w:rsidRDefault="007122BC" w:rsidP="007122BC">
      <w:pPr>
        <w:pStyle w:val="SFDot1"/>
        <w:numPr>
          <w:ilvl w:val="0"/>
          <w:numId w:val="0"/>
        </w:numPr>
        <w:spacing w:before="0" w:after="0"/>
        <w:ind w:left="720" w:hanging="360"/>
        <w:jc w:val="both"/>
      </w:pPr>
    </w:p>
    <w:p w14:paraId="6D9DAD33" w14:textId="2FD41395" w:rsidR="007122BC" w:rsidRPr="007122BC" w:rsidRDefault="007122BC" w:rsidP="007122BC">
      <w:pPr>
        <w:pStyle w:val="HeadingSF3"/>
        <w:spacing w:before="0"/>
        <w:rPr>
          <w:color w:val="auto"/>
        </w:rPr>
      </w:pPr>
      <w:bookmarkStart w:id="56" w:name="_Toc98763004"/>
      <w:r>
        <w:rPr>
          <w:color w:val="auto"/>
        </w:rPr>
        <w:t>Structural C</w:t>
      </w:r>
      <w:r w:rsidRPr="007122BC">
        <w:rPr>
          <w:color w:val="auto"/>
        </w:rPr>
        <w:t>hanges</w:t>
      </w:r>
      <w:bookmarkEnd w:id="56"/>
    </w:p>
    <w:p w14:paraId="46EA32D7" w14:textId="568A8BD2" w:rsidR="007122BC" w:rsidRDefault="007122BC" w:rsidP="007122BC">
      <w:pPr>
        <w:pStyle w:val="SFDot1"/>
        <w:numPr>
          <w:ilvl w:val="0"/>
          <w:numId w:val="47"/>
        </w:numPr>
        <w:spacing w:before="0" w:after="0"/>
        <w:ind w:left="567" w:hanging="425"/>
        <w:jc w:val="both"/>
      </w:pPr>
      <w:r>
        <w:t xml:space="preserve">appendices have been removed and the relevant information has been moved into the individual notes such as, </w:t>
      </w:r>
      <w:r w:rsidRPr="007122BC">
        <w:t>Accounting Standards Issued but not yet Released</w:t>
      </w:r>
      <w:r>
        <w:t xml:space="preserve"> and </w:t>
      </w:r>
      <w:r w:rsidRPr="007122BC">
        <w:t>Basis of Preparation of the Financial Statements</w:t>
      </w:r>
      <w:r>
        <w:t xml:space="preserve"> that have been moved to the front of the Model. There is a new disclosure included for material accounting policies relating to all income notes;</w:t>
      </w:r>
    </w:p>
    <w:p w14:paraId="21AD380D" w14:textId="77777777" w:rsidR="007122BC" w:rsidRDefault="007122BC" w:rsidP="007122BC">
      <w:pPr>
        <w:pStyle w:val="SFDot1"/>
        <w:numPr>
          <w:ilvl w:val="0"/>
          <w:numId w:val="47"/>
        </w:numPr>
        <w:spacing w:before="0" w:after="0"/>
        <w:ind w:left="567" w:hanging="425"/>
        <w:jc w:val="both"/>
      </w:pPr>
      <w:r>
        <w:t>Material Accounting Policies have been moved from Appendix B to individual notes to which the polices relate;</w:t>
      </w:r>
    </w:p>
    <w:p w14:paraId="0D4C0B50" w14:textId="77777777" w:rsidR="007122BC" w:rsidRPr="00DB3A3D" w:rsidRDefault="007122BC" w:rsidP="007122BC">
      <w:pPr>
        <w:pStyle w:val="SFDot1"/>
        <w:numPr>
          <w:ilvl w:val="0"/>
          <w:numId w:val="47"/>
        </w:numPr>
        <w:spacing w:before="0" w:after="0"/>
        <w:ind w:left="567" w:hanging="425"/>
        <w:jc w:val="both"/>
      </w:pPr>
      <w:r>
        <w:t xml:space="preserve">the </w:t>
      </w:r>
      <w:r w:rsidRPr="007122BC">
        <w:t>Statement of Responsibility</w:t>
      </w:r>
      <w:r>
        <w:t xml:space="preserve"> </w:t>
      </w:r>
      <w:r w:rsidRPr="007122BC">
        <w:t>no longer has to state that ‘in the Director-General’s opinion the financial statements are in agreement with the Agency’s accounts and records’;</w:t>
      </w:r>
    </w:p>
    <w:p w14:paraId="395AC591" w14:textId="38B4061D" w:rsidR="007122BC" w:rsidRDefault="007122BC" w:rsidP="007122BC">
      <w:pPr>
        <w:pStyle w:val="SFDot1"/>
        <w:numPr>
          <w:ilvl w:val="0"/>
          <w:numId w:val="47"/>
        </w:numPr>
        <w:spacing w:before="0" w:after="0"/>
        <w:ind w:left="567" w:hanging="425"/>
        <w:jc w:val="both"/>
      </w:pPr>
      <w:r w:rsidRPr="007122BC">
        <w:t>the Summary of Agency Output Classes has been removed;</w:t>
      </w:r>
    </w:p>
    <w:p w14:paraId="6A5A2CC8" w14:textId="78B1FC6F" w:rsidR="007122BC" w:rsidRDefault="007122BC" w:rsidP="007122BC">
      <w:pPr>
        <w:pStyle w:val="SFDot1"/>
        <w:numPr>
          <w:ilvl w:val="0"/>
          <w:numId w:val="47"/>
        </w:numPr>
        <w:spacing w:before="0" w:after="0"/>
        <w:ind w:left="567" w:hanging="425"/>
        <w:jc w:val="both"/>
      </w:pPr>
      <w:r>
        <w:t xml:space="preserve">in many notes the </w:t>
      </w:r>
      <w:r w:rsidRPr="00641E42">
        <w:t>ACT/Non-ACT</w:t>
      </w:r>
      <w:r>
        <w:t xml:space="preserve"> Government</w:t>
      </w:r>
      <w:r w:rsidRPr="00641E42">
        <w:t xml:space="preserve"> </w:t>
      </w:r>
      <w:r>
        <w:t>s</w:t>
      </w:r>
      <w:r w:rsidRPr="00641E42">
        <w:t xml:space="preserve">plit </w:t>
      </w:r>
      <w:r>
        <w:t xml:space="preserve">is </w:t>
      </w:r>
      <w:r w:rsidRPr="00641E42">
        <w:t>no longer required</w:t>
      </w:r>
      <w:r w:rsidR="008B381B">
        <w:t>; and</w:t>
      </w:r>
    </w:p>
    <w:p w14:paraId="1F57CBDC" w14:textId="0B0933CB" w:rsidR="008B381B" w:rsidRDefault="008B381B" w:rsidP="008B381B">
      <w:pPr>
        <w:pStyle w:val="SFDot1"/>
        <w:numPr>
          <w:ilvl w:val="0"/>
          <w:numId w:val="47"/>
        </w:numPr>
        <w:spacing w:before="0" w:after="0"/>
        <w:ind w:left="567" w:hanging="425"/>
        <w:jc w:val="both"/>
      </w:pPr>
      <w:r>
        <w:t>the Note Index has been moved to before the financial statements and is now known as Content of the Financial Statements.</w:t>
      </w:r>
    </w:p>
    <w:p w14:paraId="2074DE15" w14:textId="77777777" w:rsidR="007122BC" w:rsidRDefault="007122BC" w:rsidP="007122BC"/>
    <w:p w14:paraId="3E7894E9" w14:textId="3207953E" w:rsidR="007122BC" w:rsidRPr="007122BC" w:rsidRDefault="007122BC" w:rsidP="007122BC">
      <w:pPr>
        <w:pStyle w:val="HeadingSF3"/>
        <w:spacing w:before="0"/>
        <w:rPr>
          <w:color w:val="auto"/>
        </w:rPr>
      </w:pPr>
      <w:bookmarkStart w:id="57" w:name="_Toc98763005"/>
      <w:r w:rsidRPr="007122BC">
        <w:rPr>
          <w:color w:val="auto"/>
        </w:rPr>
        <w:t>Changes to the Face of Statements</w:t>
      </w:r>
      <w:bookmarkEnd w:id="57"/>
    </w:p>
    <w:p w14:paraId="0E76A642" w14:textId="77777777" w:rsidR="007122BC" w:rsidRDefault="007122BC" w:rsidP="00F951F2">
      <w:pPr>
        <w:spacing w:after="120"/>
        <w:jc w:val="both"/>
      </w:pPr>
      <w:r>
        <w:t xml:space="preserve">Agencies are reminded that these changes </w:t>
      </w:r>
      <w:r w:rsidRPr="007122BC">
        <w:t>only</w:t>
      </w:r>
      <w:r>
        <w:t xml:space="preserve"> need to be made if they are relevant:</w:t>
      </w:r>
    </w:p>
    <w:tbl>
      <w:tblPr>
        <w:tblStyle w:val="TableGrid"/>
        <w:tblW w:w="9634" w:type="dxa"/>
        <w:tblLook w:val="04A0" w:firstRow="1" w:lastRow="0" w:firstColumn="1" w:lastColumn="0" w:noHBand="0" w:noVBand="1"/>
      </w:tblPr>
      <w:tblGrid>
        <w:gridCol w:w="3681"/>
        <w:gridCol w:w="5953"/>
      </w:tblGrid>
      <w:tr w:rsidR="007122BC" w14:paraId="41E8C083" w14:textId="77777777" w:rsidTr="007122BC">
        <w:tc>
          <w:tcPr>
            <w:tcW w:w="3681" w:type="dxa"/>
          </w:tcPr>
          <w:p w14:paraId="1D8CC11F" w14:textId="77777777" w:rsidR="007122BC" w:rsidRDefault="007122BC" w:rsidP="003C4C52">
            <w:r>
              <w:t>Operating Statement</w:t>
            </w:r>
          </w:p>
        </w:tc>
        <w:tc>
          <w:tcPr>
            <w:tcW w:w="5953" w:type="dxa"/>
          </w:tcPr>
          <w:p w14:paraId="3BD982ED" w14:textId="77777777" w:rsidR="007122BC" w:rsidRDefault="007122BC" w:rsidP="001A0A21">
            <w:pPr>
              <w:jc w:val="both"/>
            </w:pPr>
            <w:r>
              <w:t xml:space="preserve">Replace – </w:t>
            </w:r>
            <w:r w:rsidRPr="00DD2D97">
              <w:rPr>
                <w:i/>
                <w:iCs/>
              </w:rPr>
              <w:t>Operating Surplus/(Deficit)</w:t>
            </w:r>
            <w:r>
              <w:t xml:space="preserve"> with Operating Result</w:t>
            </w:r>
          </w:p>
          <w:p w14:paraId="22808E93" w14:textId="77777777" w:rsidR="007122BC" w:rsidRDefault="007122BC" w:rsidP="001A0A21">
            <w:pPr>
              <w:jc w:val="both"/>
              <w:rPr>
                <w:i/>
                <w:iCs/>
              </w:rPr>
            </w:pPr>
            <w:r>
              <w:t xml:space="preserve">Replace – </w:t>
            </w:r>
            <w:r w:rsidRPr="006F4A64">
              <w:rPr>
                <w:i/>
                <w:iCs/>
              </w:rPr>
              <w:t>User Charges from Contracts with Customers</w:t>
            </w:r>
            <w:r>
              <w:t xml:space="preserve"> with </w:t>
            </w:r>
            <w:r w:rsidRPr="006F4A64">
              <w:rPr>
                <w:i/>
                <w:iCs/>
              </w:rPr>
              <w:t>Sales of Goods and Services from Contracts with Customers</w:t>
            </w:r>
          </w:p>
          <w:p w14:paraId="10A653FB" w14:textId="2A90A6A0" w:rsidR="007122BC" w:rsidRPr="00F951F2" w:rsidRDefault="007122BC" w:rsidP="001A0A21">
            <w:pPr>
              <w:jc w:val="both"/>
            </w:pPr>
            <w:r>
              <w:t xml:space="preserve">Include </w:t>
            </w:r>
            <w:r w:rsidR="00F951F2">
              <w:t>–</w:t>
            </w:r>
            <w:r>
              <w:t xml:space="preserve"> </w:t>
            </w:r>
            <w:r w:rsidRPr="006F4A64">
              <w:rPr>
                <w:rFonts w:cs="Calibri"/>
                <w:i/>
                <w:iCs/>
              </w:rPr>
              <w:t>Income from Government Sources</w:t>
            </w:r>
            <w:r>
              <w:rPr>
                <w:rFonts w:cs="Calibri"/>
              </w:rPr>
              <w:t xml:space="preserve"> for each output class</w:t>
            </w:r>
            <w:r w:rsidR="00F951F2">
              <w:rPr>
                <w:rFonts w:cs="Calibri"/>
              </w:rPr>
              <w:t xml:space="preserve"> </w:t>
            </w:r>
          </w:p>
          <w:p w14:paraId="57F089F1" w14:textId="77777777" w:rsidR="007122BC" w:rsidRPr="006F4A64" w:rsidRDefault="007122BC" w:rsidP="001A0A21">
            <w:pPr>
              <w:jc w:val="both"/>
            </w:pPr>
            <w:r>
              <w:rPr>
                <w:rFonts w:cs="Calibri"/>
              </w:rPr>
              <w:t xml:space="preserve">Include – </w:t>
            </w:r>
            <w:r w:rsidRPr="000B0DDE">
              <w:rPr>
                <w:rFonts w:cs="Calibri"/>
                <w:i/>
                <w:iCs/>
              </w:rPr>
              <w:t>Interest Revenue</w:t>
            </w:r>
          </w:p>
        </w:tc>
      </w:tr>
      <w:tr w:rsidR="007122BC" w14:paraId="4A1C2D70" w14:textId="77777777" w:rsidTr="007122BC">
        <w:tc>
          <w:tcPr>
            <w:tcW w:w="3681" w:type="dxa"/>
          </w:tcPr>
          <w:p w14:paraId="192E32E4" w14:textId="77777777" w:rsidR="007122BC" w:rsidRDefault="007122BC" w:rsidP="003C4C52">
            <w:r>
              <w:t xml:space="preserve">Balance Sheet </w:t>
            </w:r>
          </w:p>
        </w:tc>
        <w:tc>
          <w:tcPr>
            <w:tcW w:w="5953" w:type="dxa"/>
          </w:tcPr>
          <w:p w14:paraId="1C630B61" w14:textId="77777777" w:rsidR="007122BC" w:rsidRPr="000B0DDE" w:rsidRDefault="007122BC" w:rsidP="001A0A21">
            <w:pPr>
              <w:jc w:val="both"/>
              <w:rPr>
                <w:i/>
                <w:iCs/>
              </w:rPr>
            </w:pPr>
            <w:r>
              <w:t xml:space="preserve">Replace – </w:t>
            </w:r>
            <w:r>
              <w:rPr>
                <w:i/>
                <w:iCs/>
              </w:rPr>
              <w:t xml:space="preserve">Interest Bearing Liabilities </w:t>
            </w:r>
            <w:r>
              <w:t xml:space="preserve">with </w:t>
            </w:r>
            <w:r>
              <w:rPr>
                <w:i/>
                <w:iCs/>
              </w:rPr>
              <w:t>Borrowings</w:t>
            </w:r>
          </w:p>
          <w:p w14:paraId="1EB844B5" w14:textId="77777777" w:rsidR="007122BC" w:rsidRDefault="007122BC" w:rsidP="001A0A21">
            <w:pPr>
              <w:jc w:val="both"/>
              <w:rPr>
                <w:i/>
                <w:iCs/>
              </w:rPr>
            </w:pPr>
            <w:r>
              <w:t xml:space="preserve">Remove – </w:t>
            </w:r>
            <w:r w:rsidRPr="00F26DFB">
              <w:rPr>
                <w:i/>
                <w:iCs/>
              </w:rPr>
              <w:t>Finance Lease</w:t>
            </w:r>
            <w:r>
              <w:rPr>
                <w:i/>
                <w:iCs/>
              </w:rPr>
              <w:t>s</w:t>
            </w:r>
          </w:p>
          <w:p w14:paraId="1E309DA3" w14:textId="723EC86A" w:rsidR="007122BC" w:rsidRPr="00F26DFB" w:rsidRDefault="00F951F2" w:rsidP="001A0A21">
            <w:pPr>
              <w:jc w:val="both"/>
            </w:pPr>
            <w:r>
              <w:t>Include</w:t>
            </w:r>
            <w:r w:rsidR="007122BC">
              <w:t xml:space="preserve"> – </w:t>
            </w:r>
            <w:r w:rsidR="007122BC" w:rsidRPr="00F26DFB">
              <w:rPr>
                <w:i/>
                <w:iCs/>
              </w:rPr>
              <w:t>Non-Current Inventories</w:t>
            </w:r>
          </w:p>
        </w:tc>
      </w:tr>
      <w:tr w:rsidR="007122BC" w14:paraId="1716FE33" w14:textId="77777777" w:rsidTr="007122BC">
        <w:tc>
          <w:tcPr>
            <w:tcW w:w="3681" w:type="dxa"/>
          </w:tcPr>
          <w:p w14:paraId="3607F682" w14:textId="77777777" w:rsidR="007122BC" w:rsidRDefault="007122BC" w:rsidP="003C4C52">
            <w:r>
              <w:t>Statement of Changes in Equity</w:t>
            </w:r>
          </w:p>
        </w:tc>
        <w:tc>
          <w:tcPr>
            <w:tcW w:w="5953" w:type="dxa"/>
          </w:tcPr>
          <w:p w14:paraId="6A88A461" w14:textId="47CDEE8B" w:rsidR="007122BC" w:rsidRDefault="00F951F2" w:rsidP="001A0A21">
            <w:pPr>
              <w:jc w:val="both"/>
            </w:pPr>
            <w:r>
              <w:t>Include</w:t>
            </w:r>
            <w:r w:rsidR="007122BC">
              <w:t xml:space="preserve"> – </w:t>
            </w:r>
            <w:r w:rsidR="007122BC">
              <w:rPr>
                <w:i/>
                <w:iCs/>
              </w:rPr>
              <w:t>C</w:t>
            </w:r>
            <w:r w:rsidR="007122BC" w:rsidRPr="00F26DFB">
              <w:rPr>
                <w:i/>
                <w:iCs/>
              </w:rPr>
              <w:t xml:space="preserve">orrection of </w:t>
            </w:r>
            <w:r w:rsidR="007122BC">
              <w:rPr>
                <w:i/>
                <w:iCs/>
              </w:rPr>
              <w:t>P</w:t>
            </w:r>
            <w:r w:rsidR="007122BC" w:rsidRPr="00F26DFB">
              <w:rPr>
                <w:i/>
                <w:iCs/>
              </w:rPr>
              <w:t xml:space="preserve">rior </w:t>
            </w:r>
            <w:r w:rsidR="007122BC">
              <w:rPr>
                <w:i/>
                <w:iCs/>
              </w:rPr>
              <w:t>P</w:t>
            </w:r>
            <w:r w:rsidR="007122BC" w:rsidRPr="00F26DFB">
              <w:rPr>
                <w:i/>
                <w:iCs/>
              </w:rPr>
              <w:t xml:space="preserve">eriod </w:t>
            </w:r>
            <w:r w:rsidR="007122BC">
              <w:rPr>
                <w:i/>
                <w:iCs/>
              </w:rPr>
              <w:t>E</w:t>
            </w:r>
            <w:r w:rsidR="007122BC" w:rsidRPr="00F26DFB">
              <w:rPr>
                <w:i/>
                <w:iCs/>
              </w:rPr>
              <w:t>rror</w:t>
            </w:r>
          </w:p>
        </w:tc>
      </w:tr>
      <w:tr w:rsidR="007122BC" w14:paraId="7C9C36A1" w14:textId="77777777" w:rsidTr="007122BC">
        <w:tc>
          <w:tcPr>
            <w:tcW w:w="3681" w:type="dxa"/>
          </w:tcPr>
          <w:p w14:paraId="68229FA6" w14:textId="3188A745" w:rsidR="007122BC" w:rsidRDefault="00F951F2" w:rsidP="003C4C52">
            <w:r>
              <w:t xml:space="preserve">Statement of </w:t>
            </w:r>
            <w:r w:rsidR="007122BC">
              <w:t>Cash Flow</w:t>
            </w:r>
            <w:r>
              <w:t>s</w:t>
            </w:r>
          </w:p>
        </w:tc>
        <w:tc>
          <w:tcPr>
            <w:tcW w:w="5953" w:type="dxa"/>
          </w:tcPr>
          <w:p w14:paraId="13539B31" w14:textId="77777777" w:rsidR="007122BC" w:rsidRDefault="007122BC" w:rsidP="001A0A21">
            <w:pPr>
              <w:jc w:val="both"/>
            </w:pPr>
            <w:r>
              <w:t xml:space="preserve">Remove – </w:t>
            </w:r>
            <w:r w:rsidRPr="00DD2D97">
              <w:rPr>
                <w:i/>
                <w:iCs/>
              </w:rPr>
              <w:t>User Charges</w:t>
            </w:r>
          </w:p>
          <w:p w14:paraId="09757242" w14:textId="77777777" w:rsidR="007122BC" w:rsidRDefault="007122BC" w:rsidP="001A0A21">
            <w:pPr>
              <w:jc w:val="both"/>
              <w:rPr>
                <w:i/>
                <w:iCs/>
              </w:rPr>
            </w:pPr>
            <w:r>
              <w:t xml:space="preserve">Remove – </w:t>
            </w:r>
            <w:r w:rsidRPr="00DD2D97">
              <w:rPr>
                <w:i/>
                <w:iCs/>
              </w:rPr>
              <w:t xml:space="preserve">Repayment of Finance Lease Liabilities </w:t>
            </w:r>
            <w:r>
              <w:rPr>
                <w:i/>
                <w:iCs/>
              </w:rPr>
              <w:t>–</w:t>
            </w:r>
            <w:r w:rsidRPr="00DD2D97">
              <w:rPr>
                <w:i/>
                <w:iCs/>
              </w:rPr>
              <w:t xml:space="preserve"> Principal</w:t>
            </w:r>
          </w:p>
          <w:p w14:paraId="79ACFE14" w14:textId="77777777" w:rsidR="007122BC" w:rsidRDefault="007122BC" w:rsidP="001A0A21">
            <w:pPr>
              <w:jc w:val="both"/>
            </w:pPr>
            <w:r>
              <w:rPr>
                <w:rFonts w:cs="Calibri"/>
              </w:rPr>
              <w:t>Include – Interest Received</w:t>
            </w:r>
          </w:p>
        </w:tc>
      </w:tr>
      <w:tr w:rsidR="007122BC" w14:paraId="380874B3" w14:textId="77777777" w:rsidTr="007122BC">
        <w:tc>
          <w:tcPr>
            <w:tcW w:w="3681" w:type="dxa"/>
          </w:tcPr>
          <w:p w14:paraId="0FE8B7F3" w14:textId="77777777" w:rsidR="007122BC" w:rsidRDefault="007122BC" w:rsidP="003C4C52">
            <w:r>
              <w:t>Statement of Appropriation</w:t>
            </w:r>
          </w:p>
        </w:tc>
        <w:tc>
          <w:tcPr>
            <w:tcW w:w="5953" w:type="dxa"/>
          </w:tcPr>
          <w:p w14:paraId="6DE5A9AF" w14:textId="77777777" w:rsidR="007122BC" w:rsidRDefault="007122BC" w:rsidP="001A0A21">
            <w:pPr>
              <w:jc w:val="both"/>
            </w:pPr>
            <w:r>
              <w:t>Include – Description and Material Accounting Policies relating to Controlled Recurrent Payments</w:t>
            </w:r>
          </w:p>
          <w:p w14:paraId="1EAB988F" w14:textId="77777777" w:rsidR="007122BC" w:rsidRDefault="007122BC" w:rsidP="001A0A21">
            <w:pPr>
              <w:jc w:val="both"/>
            </w:pPr>
            <w:r>
              <w:t>Include – Community Service Obligations line</w:t>
            </w:r>
          </w:p>
        </w:tc>
      </w:tr>
      <w:tr w:rsidR="007122BC" w14:paraId="40716BFC" w14:textId="77777777" w:rsidTr="007122BC">
        <w:tc>
          <w:tcPr>
            <w:tcW w:w="3681" w:type="dxa"/>
          </w:tcPr>
          <w:p w14:paraId="3771CD32" w14:textId="77777777" w:rsidR="007122BC" w:rsidRDefault="007122BC" w:rsidP="003C4C52">
            <w:r w:rsidRPr="00525020">
              <w:t>Disaggregated Disclosure of Assets and Liabilities</w:t>
            </w:r>
          </w:p>
        </w:tc>
        <w:tc>
          <w:tcPr>
            <w:tcW w:w="5953" w:type="dxa"/>
          </w:tcPr>
          <w:p w14:paraId="65C8839C" w14:textId="54EA399F" w:rsidR="00F951F2" w:rsidRDefault="00F951F2" w:rsidP="001A0A21">
            <w:pPr>
              <w:jc w:val="both"/>
              <w:rPr>
                <w:i/>
                <w:iCs/>
              </w:rPr>
            </w:pPr>
            <w:r>
              <w:t xml:space="preserve">Replace – </w:t>
            </w:r>
            <w:r>
              <w:rPr>
                <w:i/>
                <w:iCs/>
              </w:rPr>
              <w:t xml:space="preserve">Interest Bearing Liabilities </w:t>
            </w:r>
            <w:r>
              <w:t xml:space="preserve">with </w:t>
            </w:r>
            <w:r>
              <w:rPr>
                <w:i/>
                <w:iCs/>
              </w:rPr>
              <w:t>Borrowings</w:t>
            </w:r>
          </w:p>
          <w:p w14:paraId="0AA462A7" w14:textId="77777777" w:rsidR="00F951F2" w:rsidRDefault="00F951F2" w:rsidP="001A0A21">
            <w:pPr>
              <w:jc w:val="both"/>
              <w:rPr>
                <w:i/>
                <w:iCs/>
              </w:rPr>
            </w:pPr>
            <w:r>
              <w:t xml:space="preserve">Remove – </w:t>
            </w:r>
            <w:r w:rsidRPr="00F26DFB">
              <w:rPr>
                <w:i/>
                <w:iCs/>
              </w:rPr>
              <w:t>Finance Lease</w:t>
            </w:r>
            <w:r>
              <w:rPr>
                <w:i/>
                <w:iCs/>
              </w:rPr>
              <w:t>s</w:t>
            </w:r>
          </w:p>
          <w:p w14:paraId="23D9CCA9" w14:textId="6272B64D" w:rsidR="007122BC" w:rsidRDefault="007122BC" w:rsidP="001A0A21">
            <w:pPr>
              <w:jc w:val="both"/>
            </w:pPr>
            <w:r>
              <w:t xml:space="preserve">Include </w:t>
            </w:r>
            <w:r w:rsidR="00F951F2">
              <w:t>–</w:t>
            </w:r>
            <w:r>
              <w:t xml:space="preserve"> Non-Current Inventories</w:t>
            </w:r>
            <w:r w:rsidR="00F951F2">
              <w:t xml:space="preserve"> </w:t>
            </w:r>
          </w:p>
          <w:p w14:paraId="453FECEF" w14:textId="28A3F572" w:rsidR="007122BC" w:rsidRPr="00F951F2" w:rsidRDefault="007122BC" w:rsidP="001A0A21">
            <w:pPr>
              <w:jc w:val="both"/>
            </w:pPr>
            <w:r>
              <w:t xml:space="preserve">Include </w:t>
            </w:r>
            <w:r w:rsidR="00F951F2">
              <w:t>–</w:t>
            </w:r>
            <w:r>
              <w:t xml:space="preserve"> Contract Asset</w:t>
            </w:r>
            <w:r w:rsidR="00F951F2">
              <w:t>s</w:t>
            </w:r>
            <w:r>
              <w:t xml:space="preserve"> and Contract Liabilit</w:t>
            </w:r>
            <w:r w:rsidR="00F951F2">
              <w:t>ies</w:t>
            </w:r>
          </w:p>
        </w:tc>
      </w:tr>
    </w:tbl>
    <w:p w14:paraId="500F81CB" w14:textId="77777777" w:rsidR="00F951F2" w:rsidRDefault="00F951F2" w:rsidP="00F951F2">
      <w:pPr>
        <w:pStyle w:val="HeadingSF3"/>
        <w:spacing w:before="0" w:after="0"/>
        <w:rPr>
          <w:color w:val="auto"/>
        </w:rPr>
      </w:pPr>
    </w:p>
    <w:p w14:paraId="182CAF55" w14:textId="77777777" w:rsidR="000E26AB" w:rsidRDefault="000E26AB" w:rsidP="000E26AB">
      <w:pPr>
        <w:pStyle w:val="Heading3"/>
        <w:numPr>
          <w:ilvl w:val="2"/>
          <w:numId w:val="84"/>
        </w:numPr>
        <w:ind w:left="851"/>
        <w:jc w:val="both"/>
      </w:pPr>
      <w:bookmarkStart w:id="58" w:name="_Toc98763006"/>
      <w:r w:rsidRPr="001B7340">
        <w:t>Changes</w:t>
      </w:r>
      <w:r w:rsidRPr="003D2BCD">
        <w:t xml:space="preserve"> to the Model </w:t>
      </w:r>
      <w:r>
        <w:t>– Continued</w:t>
      </w:r>
      <w:bookmarkEnd w:id="58"/>
      <w:r>
        <w:t xml:space="preserve"> </w:t>
      </w:r>
    </w:p>
    <w:p w14:paraId="256BC688" w14:textId="054F08C1" w:rsidR="00F951F2" w:rsidRPr="007122BC" w:rsidRDefault="00F951F2" w:rsidP="00F951F2">
      <w:pPr>
        <w:pStyle w:val="HeadingSF3"/>
        <w:spacing w:before="0"/>
        <w:rPr>
          <w:color w:val="auto"/>
        </w:rPr>
      </w:pPr>
      <w:bookmarkStart w:id="59" w:name="_Toc98763007"/>
      <w:r w:rsidRPr="007122BC">
        <w:rPr>
          <w:color w:val="auto"/>
        </w:rPr>
        <w:t xml:space="preserve">Changes to the </w:t>
      </w:r>
      <w:r>
        <w:rPr>
          <w:color w:val="auto"/>
        </w:rPr>
        <w:t>Notes</w:t>
      </w:r>
      <w:bookmarkEnd w:id="59"/>
    </w:p>
    <w:tbl>
      <w:tblPr>
        <w:tblStyle w:val="TableGrid"/>
        <w:tblW w:w="9634" w:type="dxa"/>
        <w:tblLook w:val="04A0" w:firstRow="1" w:lastRow="0" w:firstColumn="1" w:lastColumn="0" w:noHBand="0" w:noVBand="1"/>
      </w:tblPr>
      <w:tblGrid>
        <w:gridCol w:w="3681"/>
        <w:gridCol w:w="5953"/>
      </w:tblGrid>
      <w:tr w:rsidR="007122BC" w:rsidRPr="00641E42" w14:paraId="53A566BE" w14:textId="77777777" w:rsidTr="001A0A21">
        <w:tc>
          <w:tcPr>
            <w:tcW w:w="3681" w:type="dxa"/>
          </w:tcPr>
          <w:p w14:paraId="30E14B51" w14:textId="77777777" w:rsidR="007122BC" w:rsidRPr="00641E42" w:rsidRDefault="007122BC" w:rsidP="003C4C52">
            <w:r w:rsidRPr="00641E42">
              <w:t xml:space="preserve">Note 9 </w:t>
            </w:r>
            <w:r w:rsidRPr="001A0A21">
              <w:rPr>
                <w:i/>
                <w:iCs/>
              </w:rPr>
              <w:t>Other Income</w:t>
            </w:r>
          </w:p>
        </w:tc>
        <w:tc>
          <w:tcPr>
            <w:tcW w:w="5953" w:type="dxa"/>
          </w:tcPr>
          <w:p w14:paraId="4E1340AF" w14:textId="4750E03E" w:rsidR="007122BC" w:rsidRPr="00641E42" w:rsidRDefault="007122BC" w:rsidP="001A0A21">
            <w:pPr>
              <w:jc w:val="both"/>
            </w:pPr>
            <w:r w:rsidRPr="001A0A21">
              <w:rPr>
                <w:i/>
                <w:iCs/>
              </w:rPr>
              <w:t>Other Revenue</w:t>
            </w:r>
            <w:r w:rsidRPr="00641E42">
              <w:t xml:space="preserve"> and </w:t>
            </w:r>
            <w:r w:rsidRPr="001A0A21">
              <w:rPr>
                <w:i/>
                <w:iCs/>
              </w:rPr>
              <w:t>Other Gains</w:t>
            </w:r>
            <w:r w:rsidRPr="00641E42">
              <w:t xml:space="preserve"> were included in separate notes in the 2019-20 Model Financial Statements. In the 2021</w:t>
            </w:r>
            <w:r w:rsidR="001A0A21">
              <w:noBreakHyphen/>
            </w:r>
            <w:r w:rsidRPr="00641E42">
              <w:t xml:space="preserve">22 Model these two notes have been combined into a single note titled </w:t>
            </w:r>
            <w:r w:rsidRPr="001A0A21">
              <w:rPr>
                <w:i/>
                <w:iCs/>
              </w:rPr>
              <w:t>Other Income</w:t>
            </w:r>
            <w:r w:rsidRPr="00641E42">
              <w:t>.</w:t>
            </w:r>
          </w:p>
        </w:tc>
      </w:tr>
      <w:tr w:rsidR="007122BC" w:rsidRPr="00641E42" w14:paraId="2CD980FC" w14:textId="77777777" w:rsidTr="001A0A21">
        <w:tc>
          <w:tcPr>
            <w:tcW w:w="3681" w:type="dxa"/>
          </w:tcPr>
          <w:p w14:paraId="0B6379D1" w14:textId="36583D37" w:rsidR="007122BC" w:rsidRPr="00641E42" w:rsidRDefault="007122BC" w:rsidP="003C4C52">
            <w:r w:rsidRPr="00641E42">
              <w:rPr>
                <w:rFonts w:cs="Calibri"/>
              </w:rPr>
              <w:t xml:space="preserve">Note 10 </w:t>
            </w:r>
            <w:r w:rsidRPr="001A0A21">
              <w:rPr>
                <w:rFonts w:cs="Calibri"/>
                <w:i/>
                <w:iCs/>
              </w:rPr>
              <w:t xml:space="preserve">Employee Benefit </w:t>
            </w:r>
            <w:r w:rsidR="00E24D6C">
              <w:rPr>
                <w:rFonts w:cs="Calibri"/>
                <w:i/>
                <w:iCs/>
              </w:rPr>
              <w:t xml:space="preserve"> and Superannuation </w:t>
            </w:r>
            <w:r w:rsidRPr="001A0A21">
              <w:rPr>
                <w:rFonts w:cs="Calibri"/>
                <w:i/>
                <w:iCs/>
              </w:rPr>
              <w:t>Expenses</w:t>
            </w:r>
          </w:p>
        </w:tc>
        <w:tc>
          <w:tcPr>
            <w:tcW w:w="5953" w:type="dxa"/>
          </w:tcPr>
          <w:p w14:paraId="024504E5" w14:textId="0FDAA927" w:rsidR="007122BC" w:rsidRPr="00641E42" w:rsidRDefault="007122BC" w:rsidP="001A0A21">
            <w:pPr>
              <w:jc w:val="both"/>
            </w:pPr>
            <w:r w:rsidRPr="001A0A21">
              <w:rPr>
                <w:i/>
                <w:iCs/>
              </w:rPr>
              <w:t xml:space="preserve">Employee </w:t>
            </w:r>
            <w:r w:rsidR="001A0A21" w:rsidRPr="001A0A21">
              <w:rPr>
                <w:i/>
                <w:iCs/>
              </w:rPr>
              <w:t>E</w:t>
            </w:r>
            <w:r w:rsidRPr="001A0A21">
              <w:rPr>
                <w:i/>
                <w:iCs/>
              </w:rPr>
              <w:t>xpenses</w:t>
            </w:r>
            <w:r w:rsidRPr="00641E42">
              <w:t xml:space="preserve"> and</w:t>
            </w:r>
            <w:r w:rsidRPr="001A0A21">
              <w:rPr>
                <w:i/>
                <w:iCs/>
              </w:rPr>
              <w:t xml:space="preserve"> </w:t>
            </w:r>
            <w:r w:rsidR="001A0A21" w:rsidRPr="001A0A21">
              <w:rPr>
                <w:i/>
                <w:iCs/>
              </w:rPr>
              <w:t>S</w:t>
            </w:r>
            <w:r w:rsidRPr="001A0A21">
              <w:rPr>
                <w:i/>
                <w:iCs/>
              </w:rPr>
              <w:t xml:space="preserve">uperannuation </w:t>
            </w:r>
            <w:r w:rsidR="001A0A21" w:rsidRPr="001A0A21">
              <w:rPr>
                <w:i/>
                <w:iCs/>
              </w:rPr>
              <w:t>E</w:t>
            </w:r>
            <w:r w:rsidRPr="001A0A21">
              <w:rPr>
                <w:i/>
                <w:iCs/>
              </w:rPr>
              <w:t>xpenses</w:t>
            </w:r>
            <w:r w:rsidRPr="00641E42">
              <w:t xml:space="preserve"> were included in separate notes in the 2019-20 Model Financial Statements. In the 2021-22 Model these two notes have been combined into a single note titled </w:t>
            </w:r>
            <w:r w:rsidRPr="001A0A21">
              <w:rPr>
                <w:i/>
                <w:iCs/>
              </w:rPr>
              <w:t>Employee and Superannuation Expenses</w:t>
            </w:r>
            <w:r w:rsidRPr="00641E42">
              <w:t>.</w:t>
            </w:r>
          </w:p>
        </w:tc>
      </w:tr>
      <w:tr w:rsidR="007122BC" w:rsidRPr="00641E42" w14:paraId="072C6DBF" w14:textId="77777777" w:rsidTr="000E26AB">
        <w:tc>
          <w:tcPr>
            <w:tcW w:w="3681" w:type="dxa"/>
          </w:tcPr>
          <w:p w14:paraId="2F361B71" w14:textId="0B1E8836" w:rsidR="007122BC" w:rsidRPr="00641E42" w:rsidRDefault="00F951F2" w:rsidP="003C4C52">
            <w:pPr>
              <w:rPr>
                <w:rFonts w:cs="Calibri"/>
              </w:rPr>
            </w:pPr>
            <w:r>
              <w:t xml:space="preserve"> </w:t>
            </w:r>
            <w:r w:rsidR="007122BC" w:rsidRPr="00641E42">
              <w:rPr>
                <w:rFonts w:cs="Calibri"/>
              </w:rPr>
              <w:t xml:space="preserve">Note 11 </w:t>
            </w:r>
            <w:r w:rsidR="007122BC" w:rsidRPr="001A0A21">
              <w:rPr>
                <w:rFonts w:cs="Calibri"/>
                <w:i/>
                <w:iCs/>
              </w:rPr>
              <w:t>Supplies and Services</w:t>
            </w:r>
          </w:p>
        </w:tc>
        <w:tc>
          <w:tcPr>
            <w:tcW w:w="5953" w:type="dxa"/>
          </w:tcPr>
          <w:p w14:paraId="49C78B00" w14:textId="3184CB56" w:rsidR="007122BC" w:rsidRPr="00641E42" w:rsidRDefault="007122BC" w:rsidP="001A0A21">
            <w:pPr>
              <w:jc w:val="both"/>
            </w:pPr>
            <w:r w:rsidRPr="00641E42">
              <w:t xml:space="preserve">In the 2019-20 Model Financial Statements there was a separate note for </w:t>
            </w:r>
            <w:r w:rsidRPr="001A0A21">
              <w:rPr>
                <w:i/>
                <w:iCs/>
              </w:rPr>
              <w:t>Auditor’s Remuneration</w:t>
            </w:r>
            <w:r w:rsidRPr="00641E42">
              <w:t>. In the 2021-22 Model the information from this note ha</w:t>
            </w:r>
            <w:r>
              <w:t>s</w:t>
            </w:r>
            <w:r w:rsidRPr="00641E42">
              <w:t xml:space="preserve"> been included in the </w:t>
            </w:r>
            <w:r w:rsidRPr="001A0A21">
              <w:rPr>
                <w:i/>
                <w:iCs/>
              </w:rPr>
              <w:t>Supplies and Services</w:t>
            </w:r>
            <w:r w:rsidRPr="00641E42">
              <w:t xml:space="preserve"> note.</w:t>
            </w:r>
          </w:p>
        </w:tc>
      </w:tr>
      <w:tr w:rsidR="007122BC" w:rsidRPr="00641E42" w14:paraId="3AF20F2D" w14:textId="77777777" w:rsidTr="000E26AB">
        <w:tc>
          <w:tcPr>
            <w:tcW w:w="3681" w:type="dxa"/>
          </w:tcPr>
          <w:p w14:paraId="4E7AFDB2" w14:textId="77777777" w:rsidR="007122BC" w:rsidRPr="00641E42" w:rsidRDefault="007122BC" w:rsidP="003C4C52">
            <w:r w:rsidRPr="00641E42">
              <w:t xml:space="preserve">Note 14 </w:t>
            </w:r>
            <w:r w:rsidRPr="001A0A21">
              <w:rPr>
                <w:i/>
                <w:iCs/>
              </w:rPr>
              <w:t>Other Expenses</w:t>
            </w:r>
          </w:p>
        </w:tc>
        <w:tc>
          <w:tcPr>
            <w:tcW w:w="5953" w:type="dxa"/>
          </w:tcPr>
          <w:p w14:paraId="5F63702D" w14:textId="1BBA2FFB" w:rsidR="007122BC" w:rsidRPr="00641E42" w:rsidRDefault="007122BC" w:rsidP="001A0A21">
            <w:pPr>
              <w:jc w:val="both"/>
            </w:pPr>
            <w:r w:rsidRPr="00641E42">
              <w:t xml:space="preserve">In the 2019-20 Model Financial Statements there was a separate note for </w:t>
            </w:r>
            <w:r w:rsidRPr="001A0A21">
              <w:rPr>
                <w:i/>
                <w:iCs/>
              </w:rPr>
              <w:t>Waivers, Impairment losses and Write-offs</w:t>
            </w:r>
            <w:r w:rsidRPr="00641E42">
              <w:t xml:space="preserve">, as well as </w:t>
            </w:r>
            <w:r w:rsidRPr="001A0A21">
              <w:rPr>
                <w:i/>
                <w:iCs/>
              </w:rPr>
              <w:t>Act of Grace Payments</w:t>
            </w:r>
            <w:r w:rsidRPr="00641E42">
              <w:t xml:space="preserve">. In the 2021-22 Model these two notes have been included in the </w:t>
            </w:r>
            <w:r w:rsidRPr="001A0A21">
              <w:rPr>
                <w:i/>
                <w:iCs/>
              </w:rPr>
              <w:t>Other Expenses</w:t>
            </w:r>
            <w:r w:rsidRPr="00641E42">
              <w:t xml:space="preserve"> note.</w:t>
            </w:r>
          </w:p>
          <w:p w14:paraId="3E99A2CB" w14:textId="77777777" w:rsidR="001A0A21" w:rsidRDefault="001A0A21" w:rsidP="001A0A21">
            <w:pPr>
              <w:jc w:val="both"/>
            </w:pPr>
          </w:p>
          <w:p w14:paraId="04D35860" w14:textId="50CF5FC3" w:rsidR="007122BC" w:rsidRPr="00641E42" w:rsidRDefault="007122BC" w:rsidP="001A0A21">
            <w:pPr>
              <w:jc w:val="both"/>
            </w:pPr>
            <w:r w:rsidRPr="00641E42">
              <w:t>In addition, Agencies are no longer required to disclose the number of impairment losses and write-offs for the financial year</w:t>
            </w:r>
            <w:r>
              <w:t xml:space="preserve"> as only</w:t>
            </w:r>
            <w:r w:rsidRPr="00641E42">
              <w:t xml:space="preserve"> the amount is required.</w:t>
            </w:r>
          </w:p>
        </w:tc>
      </w:tr>
      <w:tr w:rsidR="007122BC" w:rsidRPr="00641E42" w14:paraId="48934597" w14:textId="77777777" w:rsidTr="000E26AB">
        <w:tc>
          <w:tcPr>
            <w:tcW w:w="3681" w:type="dxa"/>
          </w:tcPr>
          <w:p w14:paraId="733D02F1" w14:textId="77777777" w:rsidR="007122BC" w:rsidRPr="00641E42" w:rsidRDefault="007122BC" w:rsidP="003C4C52">
            <w:r w:rsidRPr="00641E42">
              <w:t xml:space="preserve">Note 15 </w:t>
            </w:r>
            <w:r w:rsidRPr="001A0A21">
              <w:rPr>
                <w:i/>
                <w:iCs/>
              </w:rPr>
              <w:t>Cash and Investments</w:t>
            </w:r>
          </w:p>
        </w:tc>
        <w:tc>
          <w:tcPr>
            <w:tcW w:w="5953" w:type="dxa"/>
          </w:tcPr>
          <w:p w14:paraId="06A6D057" w14:textId="6BA3BD53" w:rsidR="007122BC" w:rsidRPr="00641E42" w:rsidRDefault="007122BC" w:rsidP="001A0A21">
            <w:pPr>
              <w:jc w:val="both"/>
            </w:pPr>
            <w:r w:rsidRPr="001A0A21">
              <w:rPr>
                <w:i/>
                <w:iCs/>
              </w:rPr>
              <w:t>Cash and Cash Equivalent</w:t>
            </w:r>
            <w:r w:rsidR="001A0A21">
              <w:rPr>
                <w:i/>
                <w:iCs/>
              </w:rPr>
              <w:t>s</w:t>
            </w:r>
            <w:r w:rsidRPr="00641E42">
              <w:t xml:space="preserve"> and </w:t>
            </w:r>
            <w:r w:rsidRPr="001A0A21">
              <w:rPr>
                <w:i/>
                <w:iCs/>
              </w:rPr>
              <w:t>Investments</w:t>
            </w:r>
            <w:r w:rsidRPr="00641E42">
              <w:t xml:space="preserve"> were included in separate notes in the 2019-20 Model Financial Statements. In the 2021-22 Model these two notes have been combined into a single note titled </w:t>
            </w:r>
            <w:r w:rsidRPr="001A0A21">
              <w:rPr>
                <w:i/>
                <w:iCs/>
              </w:rPr>
              <w:t>Cash and Investments</w:t>
            </w:r>
            <w:r w:rsidRPr="00641E42">
              <w:t>.</w:t>
            </w:r>
            <w:r>
              <w:t xml:space="preserve"> The Reconciliation of Cash and Cash Equivalents has also been combined in this note.</w:t>
            </w:r>
          </w:p>
        </w:tc>
      </w:tr>
      <w:tr w:rsidR="007122BC" w:rsidRPr="00641E42" w14:paraId="0FC5D0BD" w14:textId="77777777" w:rsidTr="000E26AB">
        <w:tc>
          <w:tcPr>
            <w:tcW w:w="3681" w:type="dxa"/>
          </w:tcPr>
          <w:p w14:paraId="54E17D3B" w14:textId="47CAB00E" w:rsidR="007122BC" w:rsidRPr="00641E42" w:rsidRDefault="007122BC" w:rsidP="003C4C52">
            <w:r w:rsidRPr="00641E42">
              <w:t xml:space="preserve">Note 16 </w:t>
            </w:r>
            <w:r w:rsidRPr="001A0A21">
              <w:rPr>
                <w:i/>
                <w:iCs/>
              </w:rPr>
              <w:t>Receivables</w:t>
            </w:r>
            <w:r w:rsidR="00E24D6C">
              <w:rPr>
                <w:i/>
                <w:iCs/>
              </w:rPr>
              <w:t xml:space="preserve"> and Contract Assets</w:t>
            </w:r>
          </w:p>
        </w:tc>
        <w:tc>
          <w:tcPr>
            <w:tcW w:w="5953" w:type="dxa"/>
          </w:tcPr>
          <w:p w14:paraId="698E364B" w14:textId="655B9F46" w:rsidR="007122BC" w:rsidRPr="00641E42" w:rsidRDefault="007122BC" w:rsidP="001A0A21">
            <w:pPr>
              <w:jc w:val="both"/>
            </w:pPr>
            <w:r w:rsidRPr="00641E42">
              <w:t xml:space="preserve">In the 2019-20 Model Financial Statements there was a separate note for </w:t>
            </w:r>
            <w:r w:rsidRPr="001A0A21">
              <w:rPr>
                <w:i/>
                <w:iCs/>
              </w:rPr>
              <w:t>Contract Assets</w:t>
            </w:r>
            <w:r w:rsidRPr="00641E42">
              <w:t>. In the 2021-22 Model the information from this note ha</w:t>
            </w:r>
            <w:r>
              <w:t>s</w:t>
            </w:r>
            <w:r w:rsidRPr="00641E42">
              <w:t xml:space="preserve"> been included in the </w:t>
            </w:r>
            <w:r w:rsidRPr="001A0A21">
              <w:rPr>
                <w:i/>
                <w:iCs/>
              </w:rPr>
              <w:t>Receivables</w:t>
            </w:r>
            <w:r w:rsidR="00E24D6C">
              <w:rPr>
                <w:i/>
                <w:iCs/>
              </w:rPr>
              <w:t xml:space="preserve"> and Contract Assets</w:t>
            </w:r>
            <w:r w:rsidRPr="00641E42">
              <w:t xml:space="preserve"> note.</w:t>
            </w:r>
          </w:p>
        </w:tc>
      </w:tr>
      <w:tr w:rsidR="007122BC" w:rsidRPr="00641E42" w14:paraId="24A48FDA" w14:textId="77777777" w:rsidTr="000E26AB">
        <w:tc>
          <w:tcPr>
            <w:tcW w:w="3681" w:type="dxa"/>
          </w:tcPr>
          <w:p w14:paraId="32E58EF2" w14:textId="77777777" w:rsidR="007122BC" w:rsidRPr="00641E42" w:rsidRDefault="007122BC" w:rsidP="003C4C52">
            <w:r>
              <w:t xml:space="preserve">Note 19 </w:t>
            </w:r>
            <w:r w:rsidRPr="001A0A21">
              <w:rPr>
                <w:i/>
                <w:iCs/>
              </w:rPr>
              <w:t>Property, Plant and Equipment</w:t>
            </w:r>
          </w:p>
        </w:tc>
        <w:tc>
          <w:tcPr>
            <w:tcW w:w="5953" w:type="dxa"/>
          </w:tcPr>
          <w:p w14:paraId="54ABF16A" w14:textId="77777777" w:rsidR="007122BC" w:rsidRDefault="007122BC" w:rsidP="001A0A21">
            <w:pPr>
              <w:jc w:val="both"/>
            </w:pPr>
            <w:r>
              <w:t xml:space="preserve">Carrying amount of each class has been combined with the reconcilation of Property, Plant and Equipment. </w:t>
            </w:r>
          </w:p>
          <w:p w14:paraId="75F1EF63" w14:textId="2213D0A7" w:rsidR="000E26AB" w:rsidRDefault="000E26AB" w:rsidP="001A0A21">
            <w:pPr>
              <w:jc w:val="both"/>
            </w:pPr>
          </w:p>
          <w:p w14:paraId="2BA99ACE" w14:textId="656DE947" w:rsidR="000E26AB" w:rsidRPr="00641E42" w:rsidRDefault="000E26AB" w:rsidP="000E26AB">
            <w:pPr>
              <w:jc w:val="both"/>
            </w:pPr>
            <w:r>
              <w:t>R</w:t>
            </w:r>
            <w:r w:rsidRPr="000B0DDE">
              <w:t>ight-of-use disclosures</w:t>
            </w:r>
            <w:r>
              <w:t xml:space="preserve"> in this note have also changed.</w:t>
            </w:r>
          </w:p>
        </w:tc>
      </w:tr>
      <w:tr w:rsidR="007122BC" w:rsidRPr="00641E42" w14:paraId="5E9A9063" w14:textId="77777777" w:rsidTr="000E26AB">
        <w:tc>
          <w:tcPr>
            <w:tcW w:w="3681" w:type="dxa"/>
          </w:tcPr>
          <w:p w14:paraId="582F6ED1" w14:textId="63CC1068" w:rsidR="007122BC" w:rsidRPr="00641E42" w:rsidRDefault="007122BC" w:rsidP="003C4C52">
            <w:r w:rsidRPr="00641E42">
              <w:t xml:space="preserve">Note </w:t>
            </w:r>
            <w:r>
              <w:t>24</w:t>
            </w:r>
            <w:r w:rsidRPr="00641E42">
              <w:t xml:space="preserve"> </w:t>
            </w:r>
            <w:r w:rsidRPr="001A0A21">
              <w:rPr>
                <w:i/>
                <w:iCs/>
              </w:rPr>
              <w:t>Payables</w:t>
            </w:r>
            <w:r w:rsidR="00E24D6C">
              <w:rPr>
                <w:i/>
                <w:iCs/>
              </w:rPr>
              <w:t xml:space="preserve"> and Contracts Liabilities</w:t>
            </w:r>
          </w:p>
        </w:tc>
        <w:tc>
          <w:tcPr>
            <w:tcW w:w="5953" w:type="dxa"/>
          </w:tcPr>
          <w:p w14:paraId="2EBB32DA" w14:textId="384DD849" w:rsidR="007122BC" w:rsidRPr="00641E42" w:rsidRDefault="007122BC" w:rsidP="001A0A21">
            <w:pPr>
              <w:jc w:val="both"/>
            </w:pPr>
            <w:r w:rsidRPr="00641E42">
              <w:t xml:space="preserve">In the 2019-20 Model Financial Statements there was a separate note for </w:t>
            </w:r>
            <w:r w:rsidRPr="001A0A21">
              <w:rPr>
                <w:i/>
                <w:iCs/>
              </w:rPr>
              <w:t>Contract Liabilities</w:t>
            </w:r>
            <w:r w:rsidRPr="00641E42">
              <w:t>. In the 2021-22 Model the information from this note ha</w:t>
            </w:r>
            <w:r>
              <w:t>s</w:t>
            </w:r>
            <w:r w:rsidRPr="00641E42">
              <w:t xml:space="preserve"> been included in the </w:t>
            </w:r>
            <w:r w:rsidRPr="001A0A21">
              <w:rPr>
                <w:i/>
                <w:iCs/>
              </w:rPr>
              <w:t>Payables</w:t>
            </w:r>
            <w:r w:rsidR="00E24D6C">
              <w:rPr>
                <w:i/>
                <w:iCs/>
              </w:rPr>
              <w:t xml:space="preserve"> and Contract Liabilities</w:t>
            </w:r>
            <w:r w:rsidRPr="00641E42">
              <w:t xml:space="preserve"> note.</w:t>
            </w:r>
          </w:p>
        </w:tc>
      </w:tr>
      <w:tr w:rsidR="000E26AB" w:rsidRPr="00641E42" w14:paraId="48CEB3BE" w14:textId="77777777" w:rsidTr="000E26AB">
        <w:tc>
          <w:tcPr>
            <w:tcW w:w="3681" w:type="dxa"/>
          </w:tcPr>
          <w:p w14:paraId="033A1006" w14:textId="3FE336B9" w:rsidR="000E26AB" w:rsidRPr="000E26AB" w:rsidRDefault="000E26AB" w:rsidP="003C4C52">
            <w:pPr>
              <w:rPr>
                <w:i/>
                <w:iCs/>
              </w:rPr>
            </w:pPr>
            <w:r>
              <w:t xml:space="preserve">Note 28 </w:t>
            </w:r>
            <w:r>
              <w:rPr>
                <w:i/>
                <w:iCs/>
              </w:rPr>
              <w:t>Other Provisions</w:t>
            </w:r>
          </w:p>
        </w:tc>
        <w:tc>
          <w:tcPr>
            <w:tcW w:w="5953" w:type="dxa"/>
          </w:tcPr>
          <w:p w14:paraId="6585605D" w14:textId="737F1E67" w:rsidR="000E26AB" w:rsidRPr="00641E42" w:rsidRDefault="000E26AB" w:rsidP="001A0A21">
            <w:pPr>
              <w:jc w:val="both"/>
            </w:pPr>
            <w:r>
              <w:t xml:space="preserve">Removal of the requirement for </w:t>
            </w:r>
            <w:r w:rsidRPr="000B0DDE">
              <w:t>prior period</w:t>
            </w:r>
            <w:r>
              <w:t xml:space="preserve"> disclosures</w:t>
            </w:r>
          </w:p>
        </w:tc>
      </w:tr>
      <w:tr w:rsidR="000E26AB" w:rsidRPr="00641E42" w14:paraId="0704D8A9" w14:textId="77777777" w:rsidTr="000E26AB">
        <w:tc>
          <w:tcPr>
            <w:tcW w:w="3681" w:type="dxa"/>
          </w:tcPr>
          <w:p w14:paraId="3C29BA80" w14:textId="5E53DDC7" w:rsidR="000E26AB" w:rsidRPr="000E26AB" w:rsidRDefault="000E26AB" w:rsidP="003C4C52">
            <w:pPr>
              <w:rPr>
                <w:i/>
                <w:iCs/>
              </w:rPr>
            </w:pPr>
            <w:r>
              <w:t xml:space="preserve">Note 31 </w:t>
            </w:r>
            <w:r>
              <w:rPr>
                <w:i/>
                <w:iCs/>
              </w:rPr>
              <w:t>Financial Instruments</w:t>
            </w:r>
          </w:p>
        </w:tc>
        <w:tc>
          <w:tcPr>
            <w:tcW w:w="5953" w:type="dxa"/>
          </w:tcPr>
          <w:p w14:paraId="27E493BF" w14:textId="362E7F0F" w:rsidR="000E26AB" w:rsidRDefault="000E26AB" w:rsidP="001A0A21">
            <w:pPr>
              <w:jc w:val="both"/>
            </w:pPr>
            <w:r>
              <w:t xml:space="preserve">Removal the requirement to disclose </w:t>
            </w:r>
            <w:r w:rsidRPr="000B0DDE">
              <w:t>Financial Assets in the Maturity</w:t>
            </w:r>
            <w:r>
              <w:t xml:space="preserve"> Analysis.</w:t>
            </w:r>
          </w:p>
        </w:tc>
      </w:tr>
      <w:tr w:rsidR="007122BC" w:rsidRPr="00641E42" w14:paraId="73708BD7" w14:textId="77777777" w:rsidTr="000E26AB">
        <w:tc>
          <w:tcPr>
            <w:tcW w:w="3681" w:type="dxa"/>
          </w:tcPr>
          <w:p w14:paraId="6AA212D5" w14:textId="77777777" w:rsidR="007122BC" w:rsidRPr="00641E42" w:rsidRDefault="007122BC" w:rsidP="003C4C52">
            <w:r>
              <w:t xml:space="preserve">Note 34 </w:t>
            </w:r>
            <w:r w:rsidRPr="001A0A21">
              <w:rPr>
                <w:i/>
                <w:iCs/>
              </w:rPr>
              <w:t>Interest in a Joint Venture</w:t>
            </w:r>
          </w:p>
        </w:tc>
        <w:tc>
          <w:tcPr>
            <w:tcW w:w="5953" w:type="dxa"/>
          </w:tcPr>
          <w:p w14:paraId="66B972A8" w14:textId="372BC5CE" w:rsidR="007122BC" w:rsidRPr="00641E42" w:rsidRDefault="001A0A21" w:rsidP="001A0A21">
            <w:pPr>
              <w:jc w:val="both"/>
            </w:pPr>
            <w:r>
              <w:t>This n</w:t>
            </w:r>
            <w:r w:rsidR="007122BC">
              <w:t xml:space="preserve">ote has been moved from Gains Notes </w:t>
            </w:r>
            <w:r>
              <w:t xml:space="preserve">section </w:t>
            </w:r>
            <w:r w:rsidR="007122BC">
              <w:t>to Other Notes.</w:t>
            </w:r>
          </w:p>
        </w:tc>
      </w:tr>
      <w:tr w:rsidR="007122BC" w:rsidRPr="00641E42" w14:paraId="0EB130B2" w14:textId="77777777" w:rsidTr="000E26AB">
        <w:tc>
          <w:tcPr>
            <w:tcW w:w="3681" w:type="dxa"/>
          </w:tcPr>
          <w:p w14:paraId="3FB1BE20" w14:textId="77777777" w:rsidR="007122BC" w:rsidRPr="001A0A21" w:rsidRDefault="007122BC" w:rsidP="003C4C52">
            <w:pPr>
              <w:rPr>
                <w:i/>
                <w:iCs/>
              </w:rPr>
            </w:pPr>
            <w:r w:rsidRPr="001A0A21">
              <w:rPr>
                <w:i/>
                <w:iCs/>
              </w:rPr>
              <w:t>Controlled Recurrent Payments</w:t>
            </w:r>
          </w:p>
        </w:tc>
        <w:tc>
          <w:tcPr>
            <w:tcW w:w="5953" w:type="dxa"/>
          </w:tcPr>
          <w:p w14:paraId="20D7B7C1" w14:textId="791C821D" w:rsidR="007122BC" w:rsidRPr="00641E42" w:rsidRDefault="007122BC" w:rsidP="001A0A21">
            <w:pPr>
              <w:jc w:val="both"/>
            </w:pPr>
            <w:r>
              <w:t xml:space="preserve">Note has been removed as information is available in the </w:t>
            </w:r>
            <w:r w:rsidRPr="001A0A21">
              <w:rPr>
                <w:i/>
                <w:iCs/>
              </w:rPr>
              <w:t>Statement of Appropriatio</w:t>
            </w:r>
            <w:r w:rsidR="001A0A21">
              <w:rPr>
                <w:i/>
                <w:iCs/>
              </w:rPr>
              <w:t>n</w:t>
            </w:r>
            <w:r>
              <w:t xml:space="preserve">. </w:t>
            </w:r>
          </w:p>
        </w:tc>
      </w:tr>
      <w:tr w:rsidR="007122BC" w:rsidRPr="00641E42" w14:paraId="47CE245E" w14:textId="77777777" w:rsidTr="000E26AB">
        <w:tc>
          <w:tcPr>
            <w:tcW w:w="3681" w:type="dxa"/>
          </w:tcPr>
          <w:p w14:paraId="3EA5DE60" w14:textId="77777777" w:rsidR="007122BC" w:rsidRPr="001A0A21" w:rsidRDefault="007122BC" w:rsidP="003C4C52">
            <w:pPr>
              <w:rPr>
                <w:i/>
                <w:iCs/>
              </w:rPr>
            </w:pPr>
            <w:r w:rsidRPr="001A0A21">
              <w:rPr>
                <w:i/>
                <w:iCs/>
              </w:rPr>
              <w:t>Depreciation and Amortisation</w:t>
            </w:r>
          </w:p>
        </w:tc>
        <w:tc>
          <w:tcPr>
            <w:tcW w:w="5953" w:type="dxa"/>
          </w:tcPr>
          <w:p w14:paraId="7C50EE2D" w14:textId="4F3E29FD" w:rsidR="007122BC" w:rsidRPr="00641E42" w:rsidRDefault="007122BC" w:rsidP="001A0A21">
            <w:pPr>
              <w:jc w:val="both"/>
            </w:pPr>
            <w:r>
              <w:t xml:space="preserve">Note has been removed as information is available in </w:t>
            </w:r>
            <w:r w:rsidRPr="001A0A21">
              <w:rPr>
                <w:i/>
                <w:iCs/>
              </w:rPr>
              <w:t>Property, Plant and Equipment</w:t>
            </w:r>
            <w:r>
              <w:t xml:space="preserve"> and </w:t>
            </w:r>
            <w:r w:rsidRPr="001A0A21">
              <w:rPr>
                <w:i/>
                <w:iCs/>
              </w:rPr>
              <w:t>Intangible Assets</w:t>
            </w:r>
            <w:r w:rsidR="001A0A21">
              <w:t>.</w:t>
            </w:r>
          </w:p>
        </w:tc>
      </w:tr>
    </w:tbl>
    <w:p w14:paraId="4A55F2E7" w14:textId="77777777" w:rsidR="007122BC" w:rsidRDefault="007122BC" w:rsidP="007122BC"/>
    <w:p w14:paraId="45FE476F" w14:textId="77777777" w:rsidR="000E26AB" w:rsidRDefault="000E26AB">
      <w:pPr>
        <w:rPr>
          <w:rFonts w:ascii="Arial Bold" w:hAnsi="Arial Bold"/>
          <w:b/>
          <w:bCs/>
          <w:caps/>
          <w:sz w:val="28"/>
          <w:szCs w:val="28"/>
        </w:rPr>
      </w:pPr>
      <w:bookmarkStart w:id="60" w:name="_Toc49155397"/>
      <w:bookmarkStart w:id="61" w:name="_Toc49223843"/>
      <w:bookmarkStart w:id="62" w:name="_Toc50440303"/>
      <w:bookmarkStart w:id="63" w:name="_Toc194918621"/>
      <w:bookmarkStart w:id="64" w:name="_Toc400627286"/>
      <w:r>
        <w:br w:type="page"/>
      </w:r>
    </w:p>
    <w:p w14:paraId="45DF4112" w14:textId="2D5C38DD" w:rsidR="000144FF" w:rsidRPr="00CF7E1B" w:rsidRDefault="000144FF" w:rsidP="00681AD1">
      <w:pPr>
        <w:pStyle w:val="Heading2"/>
      </w:pPr>
      <w:bookmarkStart w:id="65" w:name="_Toc98763008"/>
      <w:r w:rsidRPr="00CF7E1B">
        <w:t>Application</w:t>
      </w:r>
      <w:bookmarkEnd w:id="60"/>
      <w:bookmarkEnd w:id="61"/>
      <w:bookmarkEnd w:id="62"/>
      <w:bookmarkEnd w:id="63"/>
      <w:bookmarkEnd w:id="64"/>
      <w:bookmarkEnd w:id="65"/>
    </w:p>
    <w:p w14:paraId="20D0257C" w14:textId="71D4394A" w:rsidR="000144FF" w:rsidRPr="00CF7E1B" w:rsidRDefault="000144FF">
      <w:pPr>
        <w:pStyle w:val="BodyText"/>
        <w:rPr>
          <w:rFonts w:cs="Calibri"/>
        </w:rPr>
      </w:pPr>
      <w:r w:rsidRPr="00CF7E1B">
        <w:rPr>
          <w:rFonts w:cs="Calibri"/>
        </w:rPr>
        <w:t xml:space="preserve">Prescription of a common format for financial </w:t>
      </w:r>
      <w:r w:rsidR="006A138B" w:rsidRPr="00CF7E1B">
        <w:rPr>
          <w:rFonts w:cs="Calibri"/>
        </w:rPr>
        <w:t>statements</w:t>
      </w:r>
      <w:r w:rsidRPr="00CF7E1B">
        <w:rPr>
          <w:rFonts w:cs="Calibri"/>
        </w:rPr>
        <w:t xml:space="preserve"> assists with the comparability of information across </w:t>
      </w:r>
      <w:r w:rsidR="00806177" w:rsidRPr="00CF7E1B">
        <w:rPr>
          <w:rFonts w:cs="Calibri"/>
        </w:rPr>
        <w:t xml:space="preserve">ACT Government </w:t>
      </w:r>
      <w:r w:rsidR="00D65811" w:rsidRPr="00CF7E1B">
        <w:rPr>
          <w:rFonts w:cs="Calibri"/>
        </w:rPr>
        <w:t>a</w:t>
      </w:r>
      <w:r w:rsidR="00B04CAF" w:rsidRPr="00CF7E1B">
        <w:rPr>
          <w:rFonts w:cs="Calibri"/>
        </w:rPr>
        <w:t>genc</w:t>
      </w:r>
      <w:r w:rsidR="00A75097" w:rsidRPr="00CF7E1B">
        <w:rPr>
          <w:rFonts w:cs="Calibri"/>
        </w:rPr>
        <w:t>ie</w:t>
      </w:r>
      <w:r w:rsidRPr="00CF7E1B">
        <w:rPr>
          <w:rFonts w:cs="Calibri"/>
        </w:rPr>
        <w:t>s.</w:t>
      </w:r>
      <w:r w:rsidR="00FA7C77">
        <w:rPr>
          <w:rFonts w:cs="Calibri"/>
        </w:rPr>
        <w:t xml:space="preserve"> </w:t>
      </w:r>
      <w:r w:rsidRPr="00CF7E1B">
        <w:rPr>
          <w:rFonts w:cs="Calibri"/>
        </w:rPr>
        <w:t xml:space="preserve">The format and content prescribed in the Model </w:t>
      </w:r>
      <w:r w:rsidR="0030712E" w:rsidRPr="00CF7E1B">
        <w:rPr>
          <w:rFonts w:cs="Calibri"/>
        </w:rPr>
        <w:t>is</w:t>
      </w:r>
      <w:r w:rsidRPr="00CF7E1B">
        <w:rPr>
          <w:rFonts w:cs="Calibri"/>
        </w:rPr>
        <w:t xml:space="preserve"> to be followed</w:t>
      </w:r>
      <w:r w:rsidR="002827AB">
        <w:rPr>
          <w:rFonts w:cs="Calibri"/>
        </w:rPr>
        <w:t xml:space="preserve"> </w:t>
      </w:r>
      <w:r w:rsidR="002827AB" w:rsidRPr="00E118B7">
        <w:rPr>
          <w:rFonts w:cs="Calibri"/>
          <w:color w:val="000000"/>
        </w:rPr>
        <w:t>taking into account relevance and materiality considerations</w:t>
      </w:r>
      <w:r w:rsidRPr="00E118B7">
        <w:rPr>
          <w:rFonts w:cs="Calibri"/>
          <w:color w:val="000000"/>
        </w:rPr>
        <w:t>.</w:t>
      </w:r>
      <w:r w:rsidR="00FA7C77">
        <w:rPr>
          <w:rFonts w:cs="Calibri"/>
        </w:rPr>
        <w:t xml:space="preserve"> </w:t>
      </w:r>
      <w:r w:rsidRPr="00CF7E1B">
        <w:rPr>
          <w:rFonts w:cs="Calibri"/>
        </w:rPr>
        <w:t>It is recognised that disclosure of information in notes will need to be adapted to the specific</w:t>
      </w:r>
      <w:r w:rsidRPr="00CF7E1B">
        <w:rPr>
          <w:rFonts w:cs="Calibri"/>
          <w:b/>
        </w:rPr>
        <w:t xml:space="preserve"> </w:t>
      </w:r>
      <w:r w:rsidRPr="00CF7E1B">
        <w:rPr>
          <w:rFonts w:cs="Calibri"/>
        </w:rPr>
        <w:t xml:space="preserve">needs of each </w:t>
      </w:r>
      <w:r w:rsidR="004D44BC" w:rsidRPr="00CF7E1B">
        <w:rPr>
          <w:rFonts w:cs="Calibri"/>
        </w:rPr>
        <w:t>agency;</w:t>
      </w:r>
      <w:r w:rsidRPr="00CF7E1B">
        <w:rPr>
          <w:rFonts w:cs="Calibri"/>
        </w:rPr>
        <w:t xml:space="preserve"> however, the content and format requirements are to be complied with, where applicable.</w:t>
      </w:r>
    </w:p>
    <w:p w14:paraId="6C3AC6A2" w14:textId="77777777" w:rsidR="000144FF" w:rsidRPr="00CF7E1B" w:rsidRDefault="000144FF">
      <w:pPr>
        <w:pStyle w:val="BodyText"/>
        <w:rPr>
          <w:rFonts w:cs="Calibri"/>
        </w:rPr>
      </w:pPr>
    </w:p>
    <w:p w14:paraId="25E324B9" w14:textId="1BA271B9" w:rsidR="000144FF" w:rsidRPr="00CF7E1B" w:rsidRDefault="000144FF">
      <w:pPr>
        <w:pStyle w:val="BodyText"/>
        <w:rPr>
          <w:rFonts w:cs="Calibri"/>
        </w:rPr>
      </w:pPr>
      <w:r w:rsidRPr="00CF7E1B">
        <w:rPr>
          <w:rFonts w:cs="Calibri"/>
        </w:rPr>
        <w:t xml:space="preserve">Section 27 </w:t>
      </w:r>
      <w:r w:rsidR="00763E15" w:rsidRPr="00CF7E1B">
        <w:rPr>
          <w:rFonts w:cs="Calibri"/>
        </w:rPr>
        <w:t xml:space="preserve">and section 63 </w:t>
      </w:r>
      <w:r w:rsidRPr="00CF7E1B">
        <w:rPr>
          <w:rFonts w:cs="Calibri"/>
        </w:rPr>
        <w:t xml:space="preserve">of the </w:t>
      </w:r>
      <w:r w:rsidRPr="00CF7E1B">
        <w:rPr>
          <w:rFonts w:cs="Calibri"/>
          <w:i/>
          <w:iCs/>
        </w:rPr>
        <w:t>Financial Management Act 1996</w:t>
      </w:r>
      <w:r w:rsidRPr="00CF7E1B">
        <w:rPr>
          <w:rFonts w:cs="Calibri"/>
        </w:rPr>
        <w:t xml:space="preserve"> (FMA) requires </w:t>
      </w:r>
      <w:r w:rsidR="004E43B2" w:rsidRPr="00CF7E1B">
        <w:rPr>
          <w:rFonts w:cs="Calibri"/>
        </w:rPr>
        <w:t>directorate</w:t>
      </w:r>
      <w:r w:rsidR="006B6C14" w:rsidRPr="00CF7E1B">
        <w:rPr>
          <w:rFonts w:cs="Calibri"/>
        </w:rPr>
        <w:t>s</w:t>
      </w:r>
      <w:r w:rsidR="00763E15" w:rsidRPr="00CF7E1B">
        <w:rPr>
          <w:rFonts w:cs="Calibri"/>
        </w:rPr>
        <w:t xml:space="preserve"> and </w:t>
      </w:r>
      <w:r w:rsidR="006F6754" w:rsidRPr="00CF7E1B">
        <w:rPr>
          <w:rFonts w:cs="Calibri"/>
        </w:rPr>
        <w:t>t</w:t>
      </w:r>
      <w:r w:rsidR="00763E15" w:rsidRPr="00CF7E1B">
        <w:rPr>
          <w:rFonts w:cs="Calibri"/>
        </w:rPr>
        <w:t xml:space="preserve">erritory </w:t>
      </w:r>
      <w:r w:rsidR="006F6754" w:rsidRPr="00CF7E1B">
        <w:rPr>
          <w:rFonts w:cs="Calibri"/>
        </w:rPr>
        <w:t>a</w:t>
      </w:r>
      <w:r w:rsidR="00763E15" w:rsidRPr="00CF7E1B">
        <w:rPr>
          <w:rFonts w:cs="Calibri"/>
        </w:rPr>
        <w:t xml:space="preserve">uthorities respectively </w:t>
      </w:r>
      <w:r w:rsidRPr="00CF7E1B">
        <w:rPr>
          <w:rFonts w:cs="Calibri"/>
        </w:rPr>
        <w:t xml:space="preserve">to prepare their annual financial statements in accordance with </w:t>
      </w:r>
      <w:r w:rsidR="006065E6" w:rsidRPr="00787FB2">
        <w:rPr>
          <w:rFonts w:cs="Calibri"/>
        </w:rPr>
        <w:t>Australian Accounting Standards</w:t>
      </w:r>
      <w:r w:rsidRPr="00787FB2">
        <w:rPr>
          <w:rFonts w:cs="Calibri"/>
        </w:rPr>
        <w:t>.</w:t>
      </w:r>
      <w:r w:rsidR="00FA7C77">
        <w:rPr>
          <w:rFonts w:cs="Calibri"/>
        </w:rPr>
        <w:t xml:space="preserve"> </w:t>
      </w:r>
      <w:r w:rsidRPr="00CF7E1B">
        <w:rPr>
          <w:rFonts w:cs="Calibri"/>
        </w:rPr>
        <w:t xml:space="preserve">The Model </w:t>
      </w:r>
      <w:r w:rsidR="0030712E" w:rsidRPr="00CF7E1B">
        <w:rPr>
          <w:rFonts w:cs="Calibri"/>
        </w:rPr>
        <w:t>is</w:t>
      </w:r>
      <w:r w:rsidRPr="00CF7E1B">
        <w:rPr>
          <w:rFonts w:cs="Calibri"/>
        </w:rPr>
        <w:t xml:space="preserve"> considered to meet the reporting requirements of the FMA.</w:t>
      </w:r>
    </w:p>
    <w:p w14:paraId="16048807" w14:textId="77777777" w:rsidR="00E71FFA" w:rsidRPr="00CF7E1B" w:rsidRDefault="00E71FFA">
      <w:pPr>
        <w:pStyle w:val="BodyText"/>
        <w:rPr>
          <w:rFonts w:cs="Calibri"/>
        </w:rPr>
      </w:pPr>
    </w:p>
    <w:p w14:paraId="46E33E92" w14:textId="77777777" w:rsidR="000144FF" w:rsidRPr="00CF7E1B" w:rsidRDefault="00763E15">
      <w:pPr>
        <w:pStyle w:val="BodyText"/>
        <w:rPr>
          <w:rFonts w:cs="Calibri"/>
        </w:rPr>
      </w:pPr>
      <w:r w:rsidRPr="00CF7E1B">
        <w:rPr>
          <w:rFonts w:cs="Calibri"/>
        </w:rPr>
        <w:t>Where</w:t>
      </w:r>
      <w:r w:rsidR="000144FF" w:rsidRPr="00CF7E1B">
        <w:rPr>
          <w:rFonts w:cs="Calibri"/>
        </w:rPr>
        <w:t xml:space="preserve"> the Model refers to an agency, this shall be taken to include </w:t>
      </w:r>
      <w:r w:rsidR="004E43B2" w:rsidRPr="00CF7E1B">
        <w:rPr>
          <w:rFonts w:cs="Calibri"/>
        </w:rPr>
        <w:t>directorate</w:t>
      </w:r>
      <w:r w:rsidR="006B6C14" w:rsidRPr="00CF7E1B">
        <w:rPr>
          <w:rFonts w:cs="Calibri"/>
        </w:rPr>
        <w:t>s</w:t>
      </w:r>
      <w:r w:rsidR="008D3A1B" w:rsidRPr="00CF7E1B">
        <w:rPr>
          <w:rFonts w:cs="Calibri"/>
        </w:rPr>
        <w:t xml:space="preserve"> and</w:t>
      </w:r>
      <w:r w:rsidRPr="00CF7E1B">
        <w:rPr>
          <w:rFonts w:cs="Calibri"/>
        </w:rPr>
        <w:t xml:space="preserve"> </w:t>
      </w:r>
      <w:r w:rsidR="006F6754" w:rsidRPr="00CF7E1B">
        <w:rPr>
          <w:rFonts w:cs="Calibri"/>
        </w:rPr>
        <w:t>territory authorities</w:t>
      </w:r>
      <w:r w:rsidR="000144FF" w:rsidRPr="00CF7E1B">
        <w:rPr>
          <w:rFonts w:cs="Calibri"/>
        </w:rPr>
        <w:t xml:space="preserve">. </w:t>
      </w:r>
    </w:p>
    <w:p w14:paraId="16E45290" w14:textId="77777777" w:rsidR="000144FF" w:rsidRPr="00CF7E1B" w:rsidRDefault="000144FF">
      <w:pPr>
        <w:pStyle w:val="BodyText"/>
        <w:rPr>
          <w:rFonts w:cs="Calibri"/>
        </w:rPr>
      </w:pPr>
    </w:p>
    <w:p w14:paraId="50402AE3" w14:textId="6AC71E5C" w:rsidR="0033279C" w:rsidRPr="00842442" w:rsidRDefault="000144FF" w:rsidP="00DC05AF">
      <w:pPr>
        <w:pStyle w:val="BodyText"/>
        <w:rPr>
          <w:rFonts w:cs="Calibri"/>
        </w:rPr>
      </w:pPr>
      <w:r w:rsidRPr="00CF7E1B">
        <w:rPr>
          <w:rFonts w:cs="Calibri"/>
        </w:rPr>
        <w:t xml:space="preserve">ACT </w:t>
      </w:r>
      <w:r w:rsidR="00EB2C21" w:rsidRPr="00CF7E1B">
        <w:rPr>
          <w:rFonts w:cs="Calibri"/>
        </w:rPr>
        <w:t>Accounting</w:t>
      </w:r>
      <w:r w:rsidR="003820A0" w:rsidRPr="00CF7E1B">
        <w:rPr>
          <w:rFonts w:cs="Calibri"/>
        </w:rPr>
        <w:t xml:space="preserve"> P</w:t>
      </w:r>
      <w:r w:rsidRPr="00CF7E1B">
        <w:rPr>
          <w:rFonts w:cs="Calibri"/>
        </w:rPr>
        <w:t>olicies relating to recognition and measurement are incorporated in ACT</w:t>
      </w:r>
      <w:r w:rsidR="003820A0" w:rsidRPr="00CF7E1B">
        <w:rPr>
          <w:rFonts w:cs="Calibri"/>
        </w:rPr>
        <w:t> </w:t>
      </w:r>
      <w:r w:rsidRPr="00CF7E1B">
        <w:rPr>
          <w:rFonts w:cs="Calibri"/>
        </w:rPr>
        <w:t>Accounting Policy Papers</w:t>
      </w:r>
      <w:r w:rsidR="00787FB2">
        <w:rPr>
          <w:rFonts w:cs="Calibri"/>
        </w:rPr>
        <w:t>,</w:t>
      </w:r>
      <w:r w:rsidRPr="00CF7E1B">
        <w:rPr>
          <w:rFonts w:cs="Calibri"/>
        </w:rPr>
        <w:t xml:space="preserve"> which are available on the </w:t>
      </w:r>
      <w:r w:rsidR="00B27E42">
        <w:rPr>
          <w:rFonts w:cs="Calibri"/>
        </w:rPr>
        <w:t xml:space="preserve">ACT </w:t>
      </w:r>
      <w:r w:rsidRPr="00CF7E1B">
        <w:rPr>
          <w:rFonts w:cs="Calibri"/>
        </w:rPr>
        <w:t xml:space="preserve">Accounting website at </w:t>
      </w:r>
      <w:hyperlink r:id="rId15" w:history="1">
        <w:r w:rsidR="00C8690F" w:rsidRPr="00A6765B">
          <w:rPr>
            <w:rStyle w:val="Hyperlink"/>
            <w:rFonts w:cs="Calibri"/>
          </w:rPr>
          <w:t>www.act.gov.au/accounting</w:t>
        </w:r>
      </w:hyperlink>
      <w:r w:rsidRPr="00CF7E1B">
        <w:rPr>
          <w:rFonts w:cs="Calibri"/>
        </w:rPr>
        <w:t xml:space="preserve">. However, ACT Accounting Policies relating to disclosures are included in the </w:t>
      </w:r>
      <w:r w:rsidRPr="00842442">
        <w:rPr>
          <w:rFonts w:cs="Calibri"/>
        </w:rPr>
        <w:t>Model</w:t>
      </w:r>
      <w:r w:rsidR="00C42940" w:rsidRPr="00842442">
        <w:rPr>
          <w:rFonts w:cs="Calibri"/>
        </w:rPr>
        <w:t xml:space="preserve"> as well as any ACT Accounting Disclosure Papers issued by the Financial Reporting and Framework Branch</w:t>
      </w:r>
      <w:r w:rsidR="00B27E42" w:rsidRPr="00842442">
        <w:rPr>
          <w:rFonts w:cs="Calibri"/>
        </w:rPr>
        <w:t xml:space="preserve"> (which are also included on the ACT Accounting website).</w:t>
      </w:r>
      <w:r w:rsidR="00FA7C77">
        <w:rPr>
          <w:rFonts w:cs="Calibri"/>
        </w:rPr>
        <w:t xml:space="preserve"> </w:t>
      </w:r>
      <w:r w:rsidR="00DC05AF" w:rsidRPr="00842442">
        <w:rPr>
          <w:rFonts w:cs="Calibri"/>
        </w:rPr>
        <w:t xml:space="preserve"> </w:t>
      </w:r>
    </w:p>
    <w:p w14:paraId="6BE074DA" w14:textId="77777777" w:rsidR="00382EA3" w:rsidRDefault="00382EA3" w:rsidP="00DC05AF">
      <w:pPr>
        <w:pStyle w:val="BodyText"/>
        <w:rPr>
          <w:rFonts w:cs="Calibri"/>
        </w:rPr>
      </w:pPr>
    </w:p>
    <w:p w14:paraId="2B1F37D9" w14:textId="77777777" w:rsidR="000144FF" w:rsidRPr="00CF7E1B" w:rsidRDefault="000144FF" w:rsidP="007975D5">
      <w:pPr>
        <w:pStyle w:val="Heading2"/>
      </w:pPr>
      <w:bookmarkStart w:id="66" w:name="_Toc194918622"/>
      <w:bookmarkStart w:id="67" w:name="_Toc400627287"/>
      <w:bookmarkStart w:id="68" w:name="_Toc98763009"/>
      <w:r w:rsidRPr="007975D5">
        <w:t>Accounting</w:t>
      </w:r>
      <w:r w:rsidRPr="00CF7E1B">
        <w:t xml:space="preserve"> Standards and Guidance Releases</w:t>
      </w:r>
      <w:bookmarkEnd w:id="66"/>
      <w:bookmarkEnd w:id="67"/>
      <w:bookmarkEnd w:id="68"/>
      <w:r w:rsidRPr="00CF7E1B">
        <w:t xml:space="preserve"> </w:t>
      </w:r>
    </w:p>
    <w:p w14:paraId="67AE5878" w14:textId="264C6938" w:rsidR="000144FF" w:rsidRPr="00CF7E1B" w:rsidRDefault="000144FF">
      <w:pPr>
        <w:pStyle w:val="BodyText"/>
        <w:rPr>
          <w:rFonts w:cs="Calibri"/>
        </w:rPr>
      </w:pPr>
      <w:r w:rsidRPr="00CF7E1B">
        <w:rPr>
          <w:rFonts w:cs="Calibri"/>
        </w:rPr>
        <w:t xml:space="preserve">The Model </w:t>
      </w:r>
      <w:r w:rsidR="00DC12BC" w:rsidRPr="00CF7E1B">
        <w:rPr>
          <w:rFonts w:cs="Calibri"/>
        </w:rPr>
        <w:t>incorporate</w:t>
      </w:r>
      <w:r w:rsidR="00566839" w:rsidRPr="00CF7E1B">
        <w:rPr>
          <w:rFonts w:cs="Calibri"/>
        </w:rPr>
        <w:t>s</w:t>
      </w:r>
      <w:r w:rsidRPr="00CF7E1B">
        <w:rPr>
          <w:rFonts w:cs="Calibri"/>
        </w:rPr>
        <w:t xml:space="preserve">, as appropriate, </w:t>
      </w:r>
      <w:r w:rsidR="003820A0" w:rsidRPr="00CF7E1B">
        <w:rPr>
          <w:rFonts w:cs="Calibri"/>
        </w:rPr>
        <w:t xml:space="preserve">Australian </w:t>
      </w:r>
      <w:r w:rsidR="00DC12BC" w:rsidRPr="00CF7E1B">
        <w:rPr>
          <w:rFonts w:cs="Calibri"/>
        </w:rPr>
        <w:t>Accounting</w:t>
      </w:r>
      <w:r w:rsidR="003820A0" w:rsidRPr="00CF7E1B">
        <w:rPr>
          <w:rFonts w:cs="Calibri"/>
        </w:rPr>
        <w:t xml:space="preserve"> Standards</w:t>
      </w:r>
      <w:r w:rsidRPr="00CF7E1B">
        <w:rPr>
          <w:rFonts w:cs="Calibri"/>
        </w:rPr>
        <w:t xml:space="preserve"> and </w:t>
      </w:r>
      <w:r w:rsidR="00EF6403" w:rsidRPr="00CF7E1B">
        <w:rPr>
          <w:rFonts w:cs="Calibri"/>
        </w:rPr>
        <w:t>Accounting Interpretations as prepared by the A</w:t>
      </w:r>
      <w:r w:rsidR="0030712E" w:rsidRPr="00CF7E1B">
        <w:rPr>
          <w:rFonts w:cs="Calibri"/>
        </w:rPr>
        <w:t xml:space="preserve">ustralian </w:t>
      </w:r>
      <w:r w:rsidR="00EF6403" w:rsidRPr="00CF7E1B">
        <w:rPr>
          <w:rFonts w:cs="Calibri"/>
        </w:rPr>
        <w:t>A</w:t>
      </w:r>
      <w:r w:rsidR="0030712E" w:rsidRPr="00CF7E1B">
        <w:rPr>
          <w:rFonts w:cs="Calibri"/>
        </w:rPr>
        <w:t xml:space="preserve">ccounting </w:t>
      </w:r>
      <w:r w:rsidR="00EF6403" w:rsidRPr="00CF7E1B">
        <w:rPr>
          <w:rFonts w:cs="Calibri"/>
        </w:rPr>
        <w:t>S</w:t>
      </w:r>
      <w:r w:rsidR="0030712E" w:rsidRPr="00CF7E1B">
        <w:rPr>
          <w:rFonts w:cs="Calibri"/>
        </w:rPr>
        <w:t xml:space="preserve">tandards </w:t>
      </w:r>
      <w:r w:rsidR="00EF6403" w:rsidRPr="00CF7E1B">
        <w:rPr>
          <w:rFonts w:cs="Calibri"/>
        </w:rPr>
        <w:t>B</w:t>
      </w:r>
      <w:r w:rsidR="0030712E" w:rsidRPr="00CF7E1B">
        <w:rPr>
          <w:rFonts w:cs="Calibri"/>
        </w:rPr>
        <w:t>oard (AASB)</w:t>
      </w:r>
      <w:r w:rsidRPr="00CF7E1B">
        <w:rPr>
          <w:rFonts w:cs="Calibri"/>
        </w:rPr>
        <w:t>.</w:t>
      </w:r>
      <w:r w:rsidR="00FA7C77">
        <w:rPr>
          <w:rFonts w:cs="Calibri"/>
        </w:rPr>
        <w:t xml:space="preserve"> </w:t>
      </w:r>
    </w:p>
    <w:p w14:paraId="2684EF3A" w14:textId="77777777" w:rsidR="00D01B64" w:rsidRPr="00CF7E1B" w:rsidRDefault="00D01B64">
      <w:pPr>
        <w:pStyle w:val="BodyText"/>
        <w:rPr>
          <w:rFonts w:cs="Calibri"/>
        </w:rPr>
      </w:pPr>
    </w:p>
    <w:p w14:paraId="54DA52AB" w14:textId="184E72DF" w:rsidR="000144FF" w:rsidRDefault="000144FF">
      <w:pPr>
        <w:pStyle w:val="BodyText"/>
        <w:rPr>
          <w:rFonts w:cs="Calibri"/>
        </w:rPr>
      </w:pPr>
      <w:r w:rsidRPr="00CF7E1B">
        <w:rPr>
          <w:rFonts w:cs="Calibri"/>
        </w:rPr>
        <w:t xml:space="preserve">If </w:t>
      </w:r>
      <w:r w:rsidR="005768FD" w:rsidRPr="00CF7E1B">
        <w:rPr>
          <w:rFonts w:cs="Calibri"/>
        </w:rPr>
        <w:t>an a</w:t>
      </w:r>
      <w:r w:rsidR="00B96D8D" w:rsidRPr="00CF7E1B">
        <w:rPr>
          <w:rFonts w:cs="Calibri"/>
        </w:rPr>
        <w:t>gency</w:t>
      </w:r>
      <w:r w:rsidRPr="00CF7E1B">
        <w:rPr>
          <w:rFonts w:cs="Calibri"/>
        </w:rPr>
        <w:t xml:space="preserve"> is of the view that the Model does not comply with the accounting standards, </w:t>
      </w:r>
      <w:r w:rsidR="000603A8" w:rsidRPr="00CF7E1B">
        <w:rPr>
          <w:rFonts w:cs="Calibri"/>
        </w:rPr>
        <w:t>accounting interpretation</w:t>
      </w:r>
      <w:r w:rsidRPr="00CF7E1B">
        <w:rPr>
          <w:rFonts w:cs="Calibri"/>
        </w:rPr>
        <w:t>s</w:t>
      </w:r>
      <w:r w:rsidR="000603A8" w:rsidRPr="00CF7E1B">
        <w:rPr>
          <w:rFonts w:cs="Calibri"/>
        </w:rPr>
        <w:t>,</w:t>
      </w:r>
      <w:r w:rsidRPr="00CF7E1B">
        <w:rPr>
          <w:rFonts w:cs="Calibri"/>
        </w:rPr>
        <w:t xml:space="preserve"> or the FMA, this should be brought to the </w:t>
      </w:r>
      <w:r w:rsidRPr="00842442">
        <w:rPr>
          <w:rFonts w:cs="Calibri"/>
        </w:rPr>
        <w:t xml:space="preserve">attention of </w:t>
      </w:r>
      <w:r w:rsidR="00E427E2" w:rsidRPr="00842442">
        <w:rPr>
          <w:rFonts w:cs="Calibri"/>
        </w:rPr>
        <w:t xml:space="preserve">the </w:t>
      </w:r>
      <w:r w:rsidR="00A7506A" w:rsidRPr="00842442">
        <w:rPr>
          <w:rFonts w:cs="Calibri"/>
        </w:rPr>
        <w:t>Financial Reporting and Framework</w:t>
      </w:r>
      <w:r w:rsidR="00E427E2" w:rsidRPr="00842442">
        <w:rPr>
          <w:rFonts w:cs="Calibri"/>
        </w:rPr>
        <w:t xml:space="preserve"> Branch</w:t>
      </w:r>
      <w:r w:rsidRPr="00842442">
        <w:rPr>
          <w:rFonts w:cs="Calibri"/>
        </w:rPr>
        <w:t xml:space="preserve"> </w:t>
      </w:r>
      <w:r w:rsidR="003B6F86" w:rsidRPr="00842442">
        <w:rPr>
          <w:rFonts w:cs="Calibri"/>
        </w:rPr>
        <w:t>in</w:t>
      </w:r>
      <w:r w:rsidRPr="00842442">
        <w:rPr>
          <w:rFonts w:cs="Calibri"/>
        </w:rPr>
        <w:t xml:space="preserve"> the </w:t>
      </w:r>
      <w:r w:rsidR="006C7EE3" w:rsidRPr="00842442">
        <w:rPr>
          <w:rFonts w:cs="Calibri"/>
        </w:rPr>
        <w:t>Chief Minister</w:t>
      </w:r>
      <w:r w:rsidR="00E427E2" w:rsidRPr="00842442">
        <w:rPr>
          <w:rFonts w:cs="Calibri"/>
        </w:rPr>
        <w:t>,</w:t>
      </w:r>
      <w:r w:rsidR="006C7EE3" w:rsidRPr="00842442">
        <w:rPr>
          <w:rFonts w:cs="Calibri"/>
        </w:rPr>
        <w:t xml:space="preserve"> </w:t>
      </w:r>
      <w:r w:rsidR="00573238" w:rsidRPr="00842442">
        <w:rPr>
          <w:rFonts w:cs="Calibri"/>
        </w:rPr>
        <w:t>Treasury</w:t>
      </w:r>
      <w:r w:rsidR="000E2E89" w:rsidRPr="00842442">
        <w:rPr>
          <w:rFonts w:cs="Calibri"/>
        </w:rPr>
        <w:t xml:space="preserve"> and Economic Development</w:t>
      </w:r>
      <w:r w:rsidR="00573238" w:rsidRPr="00842442">
        <w:rPr>
          <w:rFonts w:cs="Calibri"/>
        </w:rPr>
        <w:t xml:space="preserve"> Directorate</w:t>
      </w:r>
      <w:r w:rsidRPr="00842442">
        <w:rPr>
          <w:rFonts w:cs="Calibri"/>
        </w:rPr>
        <w:t xml:space="preserve"> immediately</w:t>
      </w:r>
      <w:r w:rsidRPr="00CF7E1B">
        <w:rPr>
          <w:rFonts w:cs="Calibri"/>
        </w:rPr>
        <w:t>.</w:t>
      </w:r>
    </w:p>
    <w:p w14:paraId="33B2DB05" w14:textId="77777777" w:rsidR="00382EA3" w:rsidRDefault="00382EA3">
      <w:pPr>
        <w:pStyle w:val="BodyText"/>
        <w:rPr>
          <w:rFonts w:cs="Calibri"/>
        </w:rPr>
      </w:pPr>
    </w:p>
    <w:p w14:paraId="2D324238" w14:textId="77777777" w:rsidR="000144FF" w:rsidRPr="00CF7E1B" w:rsidRDefault="000144FF" w:rsidP="00681AD1">
      <w:pPr>
        <w:pStyle w:val="Heading2"/>
        <w:tabs>
          <w:tab w:val="num" w:pos="567"/>
        </w:tabs>
      </w:pPr>
      <w:bookmarkStart w:id="69" w:name="_Toc48468204"/>
      <w:bookmarkStart w:id="70" w:name="_Toc49155399"/>
      <w:bookmarkStart w:id="71" w:name="_Toc49223845"/>
      <w:bookmarkStart w:id="72" w:name="_Toc50440305"/>
      <w:bookmarkStart w:id="73" w:name="_Toc194918623"/>
      <w:bookmarkStart w:id="74" w:name="_Toc400627288"/>
      <w:bookmarkStart w:id="75" w:name="_Toc98763010"/>
      <w:r w:rsidRPr="007975D5">
        <w:t>Adapting</w:t>
      </w:r>
      <w:r w:rsidRPr="00CF7E1B">
        <w:t xml:space="preserve"> the Model </w:t>
      </w:r>
      <w:bookmarkEnd w:id="69"/>
      <w:bookmarkEnd w:id="70"/>
      <w:bookmarkEnd w:id="71"/>
      <w:bookmarkEnd w:id="72"/>
      <w:r w:rsidRPr="00CF7E1B">
        <w:t xml:space="preserve">to Individual </w:t>
      </w:r>
      <w:r w:rsidR="00B04CAF" w:rsidRPr="00CF7E1B">
        <w:t>Agency</w:t>
      </w:r>
      <w:r w:rsidRPr="00CF7E1B">
        <w:t xml:space="preserve"> Requirements</w:t>
      </w:r>
      <w:bookmarkEnd w:id="73"/>
      <w:bookmarkEnd w:id="74"/>
      <w:bookmarkEnd w:id="75"/>
      <w:r w:rsidRPr="00CF7E1B">
        <w:t xml:space="preserve"> </w:t>
      </w:r>
    </w:p>
    <w:p w14:paraId="7C231ABC" w14:textId="77777777" w:rsidR="00A24224" w:rsidRPr="002555E6" w:rsidRDefault="00A24224" w:rsidP="006049C1">
      <w:pPr>
        <w:pStyle w:val="Heading3"/>
        <w:ind w:left="851"/>
        <w:rPr>
          <w:rFonts w:cs="Calibri"/>
        </w:rPr>
      </w:pPr>
      <w:bookmarkStart w:id="76" w:name="_Toc98763011"/>
      <w:bookmarkStart w:id="77" w:name="_Toc400627289"/>
      <w:r w:rsidRPr="002555E6">
        <w:t>Decluttering Financial Statements</w:t>
      </w:r>
      <w:bookmarkEnd w:id="76"/>
    </w:p>
    <w:p w14:paraId="69C58792" w14:textId="6A29E343" w:rsidR="00A24224" w:rsidRPr="00F6508E" w:rsidRDefault="00A24224" w:rsidP="00A7506A">
      <w:pPr>
        <w:jc w:val="both"/>
      </w:pPr>
      <w:r w:rsidRPr="002555E6">
        <w:t>Agencies need to continue their efforts in further streamlining and decluttering their financial statements by removing immaterial, duplicate or irrelevant disclosures that have built up over time.</w:t>
      </w:r>
      <w:r w:rsidR="00FA7C77">
        <w:t xml:space="preserve"> </w:t>
      </w:r>
      <w:r w:rsidRPr="002555E6">
        <w:t xml:space="preserve">Agencies need to apply judgement in determining which disclosures could be omitted. Agencies need to consider the </w:t>
      </w:r>
      <w:r w:rsidR="00A71C9A" w:rsidRPr="002555E6">
        <w:t>M</w:t>
      </w:r>
      <w:r w:rsidRPr="002555E6">
        <w:t xml:space="preserve">ateriality Guidance at Section 1.2 in making </w:t>
      </w:r>
      <w:r w:rsidRPr="00F6508E">
        <w:t>this assessment</w:t>
      </w:r>
      <w:r w:rsidR="003A13A9" w:rsidRPr="00F6508E">
        <w:t>, in conjunction with the recent streamlining made to the 2021-22 Model Financial Statements</w:t>
      </w:r>
      <w:r w:rsidR="00382EA3" w:rsidRPr="00F6508E">
        <w:t xml:space="preserve"> to reduce clutter</w:t>
      </w:r>
      <w:r w:rsidRPr="00F6508E">
        <w:t>.</w:t>
      </w:r>
    </w:p>
    <w:p w14:paraId="47C13541" w14:textId="77777777" w:rsidR="00382EA3" w:rsidRPr="002555E6" w:rsidRDefault="00382EA3" w:rsidP="00A7506A">
      <w:pPr>
        <w:jc w:val="both"/>
      </w:pPr>
    </w:p>
    <w:p w14:paraId="395ACCB4" w14:textId="77777777" w:rsidR="000144FF" w:rsidRPr="00CF7E1B" w:rsidRDefault="000144FF" w:rsidP="006049C1">
      <w:pPr>
        <w:pStyle w:val="Heading3"/>
        <w:ind w:left="851"/>
        <w:rPr>
          <w:rFonts w:cs="Calibri"/>
        </w:rPr>
      </w:pPr>
      <w:bookmarkStart w:id="78" w:name="_Toc98763012"/>
      <w:r w:rsidRPr="00CF7E1B">
        <w:rPr>
          <w:rFonts w:cs="Calibri"/>
        </w:rPr>
        <w:t>Presentation</w:t>
      </w:r>
      <w:bookmarkEnd w:id="77"/>
      <w:bookmarkEnd w:id="78"/>
    </w:p>
    <w:p w14:paraId="6B6BDFF1" w14:textId="01C44B31" w:rsidR="000144FF" w:rsidRPr="00CF7E1B" w:rsidRDefault="000144FF">
      <w:pPr>
        <w:pStyle w:val="BodyText"/>
        <w:rPr>
          <w:rFonts w:cs="Calibri"/>
        </w:rPr>
      </w:pPr>
      <w:r w:rsidRPr="00CF7E1B">
        <w:rPr>
          <w:rFonts w:cs="Calibri"/>
        </w:rPr>
        <w:t>When a</w:t>
      </w:r>
      <w:r w:rsidR="00CE6352" w:rsidRPr="00CF7E1B">
        <w:rPr>
          <w:rFonts w:cs="Calibri"/>
        </w:rPr>
        <w:t>n</w:t>
      </w:r>
      <w:r w:rsidRPr="00CF7E1B">
        <w:rPr>
          <w:rFonts w:cs="Calibri"/>
        </w:rPr>
        <w:t xml:space="preserve"> </w:t>
      </w:r>
      <w:r w:rsidR="005768FD" w:rsidRPr="00CF7E1B">
        <w:rPr>
          <w:rFonts w:cs="Calibri"/>
        </w:rPr>
        <w:t>a</w:t>
      </w:r>
      <w:r w:rsidR="00B04CAF" w:rsidRPr="00CF7E1B">
        <w:rPr>
          <w:rFonts w:cs="Calibri"/>
        </w:rPr>
        <w:t>gency</w:t>
      </w:r>
      <w:r w:rsidRPr="00CF7E1B">
        <w:rPr>
          <w:rFonts w:cs="Calibri"/>
        </w:rPr>
        <w:t xml:space="preserve"> is formatting its financial </w:t>
      </w:r>
      <w:r w:rsidR="00DC12BC" w:rsidRPr="00CF7E1B">
        <w:rPr>
          <w:rFonts w:cs="Calibri"/>
        </w:rPr>
        <w:t>statements</w:t>
      </w:r>
      <w:r w:rsidRPr="00CF7E1B">
        <w:rPr>
          <w:rFonts w:cs="Calibri"/>
        </w:rPr>
        <w:t xml:space="preserve">, the ‘reference’ column on the left-hand side of the Model and the commentary notes are </w:t>
      </w:r>
      <w:r w:rsidRPr="00382EA3">
        <w:rPr>
          <w:rFonts w:cs="Calibri"/>
          <w:u w:val="single"/>
        </w:rPr>
        <w:t>not</w:t>
      </w:r>
      <w:r w:rsidRPr="00CF7E1B">
        <w:rPr>
          <w:rFonts w:cs="Calibri"/>
        </w:rPr>
        <w:t xml:space="preserve"> to be included.</w:t>
      </w:r>
      <w:r w:rsidR="00FA7C77">
        <w:rPr>
          <w:rFonts w:cs="Calibri"/>
        </w:rPr>
        <w:t xml:space="preserve"> </w:t>
      </w:r>
    </w:p>
    <w:p w14:paraId="247B167D" w14:textId="77777777" w:rsidR="000144FF" w:rsidRPr="00CF7E1B" w:rsidRDefault="000144FF">
      <w:pPr>
        <w:pStyle w:val="BodyText"/>
        <w:rPr>
          <w:rFonts w:cs="Calibri"/>
        </w:rPr>
      </w:pPr>
    </w:p>
    <w:p w14:paraId="211A8FA8" w14:textId="173C0083" w:rsidR="000144FF" w:rsidRPr="00CF7E1B" w:rsidRDefault="000144FF">
      <w:pPr>
        <w:pStyle w:val="BodyText"/>
        <w:rPr>
          <w:rFonts w:cs="Calibri"/>
        </w:rPr>
      </w:pPr>
      <w:r w:rsidRPr="00CF7E1B">
        <w:rPr>
          <w:rFonts w:cs="Calibri"/>
        </w:rPr>
        <w:t xml:space="preserve">Where an accounting standard requires a line item to be included in the financial </w:t>
      </w:r>
      <w:r w:rsidR="00DC12BC" w:rsidRPr="00CF7E1B">
        <w:rPr>
          <w:rFonts w:cs="Calibri"/>
        </w:rPr>
        <w:t>statements</w:t>
      </w:r>
      <w:r w:rsidRPr="00CF7E1B">
        <w:rPr>
          <w:rFonts w:cs="Calibri"/>
        </w:rPr>
        <w:t xml:space="preserve">, but the </w:t>
      </w:r>
      <w:r w:rsidR="005768FD" w:rsidRPr="00CF7E1B">
        <w:rPr>
          <w:rFonts w:cs="Calibri"/>
        </w:rPr>
        <w:t>a</w:t>
      </w:r>
      <w:r w:rsidR="00B04CAF" w:rsidRPr="00CF7E1B">
        <w:rPr>
          <w:rFonts w:cs="Calibri"/>
        </w:rPr>
        <w:t>gency</w:t>
      </w:r>
      <w:r w:rsidRPr="00CF7E1B">
        <w:rPr>
          <w:rFonts w:cs="Calibri"/>
        </w:rPr>
        <w:t xml:space="preserve"> does not have </w:t>
      </w:r>
      <w:r w:rsidR="00310ED3">
        <w:rPr>
          <w:rFonts w:cs="Calibri"/>
        </w:rPr>
        <w:t xml:space="preserve">any </w:t>
      </w:r>
      <w:r w:rsidRPr="00CF7E1B">
        <w:rPr>
          <w:rFonts w:cs="Calibri"/>
        </w:rPr>
        <w:t xml:space="preserve">current year, prior year or original budget figures against this line item, the line item need not </w:t>
      </w:r>
      <w:r w:rsidRPr="00734C56">
        <w:rPr>
          <w:rFonts w:cs="Calibri"/>
        </w:rPr>
        <w:t xml:space="preserve">be disclosed in the financial </w:t>
      </w:r>
      <w:r w:rsidR="00DC12BC" w:rsidRPr="00734C56">
        <w:rPr>
          <w:rFonts w:cs="Calibri"/>
        </w:rPr>
        <w:t>statements</w:t>
      </w:r>
      <w:r w:rsidRPr="00734C56">
        <w:rPr>
          <w:rFonts w:cs="Calibri"/>
        </w:rPr>
        <w:t xml:space="preserve">. The exceptions to this are the net cash inflows / (outflows) sub-totals in the </w:t>
      </w:r>
      <w:r w:rsidR="00A7506A" w:rsidRPr="00734C56">
        <w:rPr>
          <w:rFonts w:cs="Calibri"/>
        </w:rPr>
        <w:t>Statement of Cash Flows</w:t>
      </w:r>
      <w:r w:rsidR="00F155ED" w:rsidRPr="00734C56">
        <w:rPr>
          <w:rFonts w:cs="Calibri"/>
        </w:rPr>
        <w:t xml:space="preserve"> and where indicated </w:t>
      </w:r>
      <w:r w:rsidR="00F155ED" w:rsidRPr="00CF7E1B">
        <w:rPr>
          <w:rFonts w:cs="Calibri"/>
        </w:rPr>
        <w:t xml:space="preserve">in the commentary to a </w:t>
      </w:r>
      <w:r w:rsidR="00763E15" w:rsidRPr="00CF7E1B">
        <w:rPr>
          <w:rFonts w:cs="Calibri"/>
        </w:rPr>
        <w:t xml:space="preserve">statement or </w:t>
      </w:r>
      <w:r w:rsidR="00F155ED" w:rsidRPr="00CF7E1B">
        <w:rPr>
          <w:rFonts w:cs="Calibri"/>
        </w:rPr>
        <w:t>note</w:t>
      </w:r>
      <w:r w:rsidRPr="00CF7E1B">
        <w:rPr>
          <w:rFonts w:cs="Calibri"/>
        </w:rPr>
        <w:t xml:space="preserve">. For </w:t>
      </w:r>
      <w:r w:rsidR="00787FB2" w:rsidRPr="00CF7E1B">
        <w:rPr>
          <w:rFonts w:cs="Calibri"/>
        </w:rPr>
        <w:t>completeness,</w:t>
      </w:r>
      <w:r w:rsidRPr="00CF7E1B">
        <w:rPr>
          <w:rFonts w:cs="Calibri"/>
        </w:rPr>
        <w:t xml:space="preserve"> all 3 subtotals (for operating, investing and financing activities) should be displayed.</w:t>
      </w:r>
    </w:p>
    <w:p w14:paraId="1305D622" w14:textId="77777777" w:rsidR="000144FF" w:rsidRPr="00CF7E1B" w:rsidRDefault="000144FF">
      <w:pPr>
        <w:pStyle w:val="BodyText"/>
        <w:rPr>
          <w:rFonts w:cs="Calibri"/>
        </w:rPr>
      </w:pPr>
    </w:p>
    <w:p w14:paraId="61F48F5F" w14:textId="77777777" w:rsidR="00CE21AE" w:rsidRDefault="000144FF">
      <w:pPr>
        <w:pStyle w:val="BodyText"/>
        <w:rPr>
          <w:rFonts w:cs="Calibri"/>
          <w:iCs/>
        </w:rPr>
      </w:pPr>
      <w:r w:rsidRPr="00CF7E1B">
        <w:rPr>
          <w:rFonts w:cs="Calibri"/>
        </w:rPr>
        <w:t xml:space="preserve">If an item is not material, it need not be shown as a separate line item </w:t>
      </w:r>
      <w:r w:rsidR="00811466" w:rsidRPr="00CF7E1B">
        <w:rPr>
          <w:rFonts w:cs="Calibri"/>
        </w:rPr>
        <w:t xml:space="preserve">in </w:t>
      </w:r>
      <w:r w:rsidRPr="00CF7E1B">
        <w:rPr>
          <w:rFonts w:cs="Calibri"/>
        </w:rPr>
        <w:t>the statements</w:t>
      </w:r>
      <w:r w:rsidRPr="00622A71">
        <w:rPr>
          <w:rFonts w:cs="Calibri"/>
          <w:iCs/>
        </w:rPr>
        <w:t>.</w:t>
      </w:r>
    </w:p>
    <w:p w14:paraId="7E2D121D" w14:textId="77777777" w:rsidR="00CE21AE" w:rsidRDefault="00CE21AE">
      <w:pPr>
        <w:rPr>
          <w:rFonts w:cs="Calibri"/>
          <w:iCs/>
        </w:rPr>
      </w:pPr>
      <w:r>
        <w:rPr>
          <w:rFonts w:cs="Calibri"/>
          <w:iCs/>
        </w:rPr>
        <w:br w:type="page"/>
      </w:r>
    </w:p>
    <w:p w14:paraId="34789DBD" w14:textId="77777777" w:rsidR="000144FF" w:rsidRDefault="000144FF" w:rsidP="006049C1">
      <w:pPr>
        <w:pStyle w:val="Heading3"/>
        <w:ind w:left="851"/>
        <w:rPr>
          <w:rFonts w:cs="Calibri"/>
        </w:rPr>
      </w:pPr>
      <w:bookmarkStart w:id="79" w:name="_Toc400627292"/>
      <w:bookmarkStart w:id="80" w:name="_Toc98763013"/>
      <w:r w:rsidRPr="00CF7E1B">
        <w:rPr>
          <w:rFonts w:cs="Calibri"/>
        </w:rPr>
        <w:t>Note Disclosures</w:t>
      </w:r>
      <w:bookmarkEnd w:id="79"/>
      <w:bookmarkEnd w:id="80"/>
    </w:p>
    <w:p w14:paraId="12483CB2" w14:textId="231E3ACA" w:rsidR="00754CE3" w:rsidRPr="00F6508E" w:rsidRDefault="00754CE3" w:rsidP="001F55C8">
      <w:pPr>
        <w:jc w:val="both"/>
      </w:pPr>
      <w:r w:rsidRPr="00F6508E">
        <w:t xml:space="preserve">The primary purpose of the </w:t>
      </w:r>
      <w:r w:rsidR="00382EA3" w:rsidRPr="00F6508E">
        <w:t>Model F</w:t>
      </w:r>
      <w:r w:rsidRPr="00F6508E">
        <w:t xml:space="preserve">inancial </w:t>
      </w:r>
      <w:r w:rsidR="00382EA3" w:rsidRPr="00F6508E">
        <w:t>S</w:t>
      </w:r>
      <w:r w:rsidRPr="00F6508E">
        <w:t>tatements is to illustrate how the most commonly applicable disclosure requirements for ACT Government agencies can be met.</w:t>
      </w:r>
      <w:r w:rsidR="00FA7C77">
        <w:t xml:space="preserve"> </w:t>
      </w:r>
      <w:r w:rsidRPr="00F6508E">
        <w:t xml:space="preserve">The Model contains some disclosures that may not be overall material to </w:t>
      </w:r>
      <w:r w:rsidR="002F67B3" w:rsidRPr="00F6508E">
        <w:rPr>
          <w:rFonts w:cs="Calibri"/>
        </w:rPr>
        <w:t>‘Burley Griffin</w:t>
      </w:r>
      <w:r w:rsidR="00F6508E" w:rsidRPr="00F6508E">
        <w:rPr>
          <w:rFonts w:cs="Calibri"/>
        </w:rPr>
        <w:t xml:space="preserve"> </w:t>
      </w:r>
      <w:r w:rsidR="002F67B3" w:rsidRPr="00F6508E">
        <w:rPr>
          <w:rFonts w:cs="Calibri"/>
        </w:rPr>
        <w:t>Agency</w:t>
      </w:r>
      <w:r w:rsidR="0086368E" w:rsidRPr="00F6508E">
        <w:rPr>
          <w:rFonts w:cs="Calibri"/>
        </w:rPr>
        <w:t>’,</w:t>
      </w:r>
      <w:r w:rsidR="002F67B3" w:rsidRPr="00F6508E">
        <w:rPr>
          <w:rFonts w:cs="Calibri"/>
        </w:rPr>
        <w:t xml:space="preserve"> </w:t>
      </w:r>
      <w:r w:rsidRPr="00F6508E">
        <w:t>but the disclosure is included because it may be material to an agency.</w:t>
      </w:r>
      <w:r w:rsidR="00FA7C77">
        <w:t xml:space="preserve"> </w:t>
      </w:r>
      <w:r w:rsidRPr="00F6508E">
        <w:t>Agencies should consider their own specific circumstances when determining which disclosures to include.</w:t>
      </w:r>
    </w:p>
    <w:p w14:paraId="784D34C1" w14:textId="77777777" w:rsidR="00787FB2" w:rsidRPr="00F6508E" w:rsidRDefault="00787FB2" w:rsidP="001F55C8">
      <w:pPr>
        <w:jc w:val="both"/>
      </w:pPr>
    </w:p>
    <w:p w14:paraId="44EDC3E1" w14:textId="77777777" w:rsidR="000144FF" w:rsidRPr="0009580B" w:rsidRDefault="000144FF" w:rsidP="001F55C8">
      <w:pPr>
        <w:pStyle w:val="BodyText"/>
        <w:rPr>
          <w:rFonts w:cs="Calibri"/>
        </w:rPr>
      </w:pPr>
      <w:r w:rsidRPr="00F6508E">
        <w:rPr>
          <w:rFonts w:cs="Calibri"/>
        </w:rPr>
        <w:t xml:space="preserve">Not all note disclosures in the Model will apply to every </w:t>
      </w:r>
      <w:r w:rsidR="005768FD" w:rsidRPr="00F6508E">
        <w:rPr>
          <w:rFonts w:cs="Calibri"/>
        </w:rPr>
        <w:t>a</w:t>
      </w:r>
      <w:r w:rsidR="00CE6352" w:rsidRPr="00F6508E">
        <w:rPr>
          <w:rFonts w:cs="Calibri"/>
        </w:rPr>
        <w:t>gency</w:t>
      </w:r>
      <w:r w:rsidRPr="00F6508E">
        <w:rPr>
          <w:rFonts w:cs="Calibri"/>
        </w:rPr>
        <w:t xml:space="preserve">, so </w:t>
      </w:r>
      <w:r w:rsidR="005768FD" w:rsidRPr="00F6508E">
        <w:rPr>
          <w:rFonts w:cs="Calibri"/>
        </w:rPr>
        <w:t>a</w:t>
      </w:r>
      <w:r w:rsidR="00CE6352" w:rsidRPr="00F6508E">
        <w:rPr>
          <w:rFonts w:cs="Calibri"/>
        </w:rPr>
        <w:t>gencie</w:t>
      </w:r>
      <w:r w:rsidRPr="00F6508E">
        <w:rPr>
          <w:rFonts w:cs="Calibri"/>
        </w:rPr>
        <w:t xml:space="preserve">s must decide which notes are necessary. </w:t>
      </w:r>
      <w:r w:rsidR="005E37B8" w:rsidRPr="00F6508E">
        <w:rPr>
          <w:rFonts w:cs="Calibri"/>
        </w:rPr>
        <w:t>W</w:t>
      </w:r>
      <w:r w:rsidRPr="00F6508E">
        <w:rPr>
          <w:rFonts w:cs="Calibri"/>
        </w:rPr>
        <w:t>hil</w:t>
      </w:r>
      <w:r w:rsidR="005E37B8" w:rsidRPr="00F6508E">
        <w:rPr>
          <w:rFonts w:cs="Calibri"/>
        </w:rPr>
        <w:t>e</w:t>
      </w:r>
      <w:r w:rsidRPr="00F6508E">
        <w:rPr>
          <w:rFonts w:cs="Calibri"/>
        </w:rPr>
        <w:t xml:space="preserve"> the Model </w:t>
      </w:r>
      <w:r w:rsidR="0030712E" w:rsidRPr="00F6508E">
        <w:rPr>
          <w:rFonts w:cs="Calibri"/>
        </w:rPr>
        <w:t>has</w:t>
      </w:r>
      <w:r w:rsidRPr="00F6508E">
        <w:rPr>
          <w:rFonts w:cs="Calibri"/>
        </w:rPr>
        <w:t xml:space="preserve"> been developed to be as inclusive as possible, not all situations that may be encountered by </w:t>
      </w:r>
      <w:r w:rsidR="00D65811" w:rsidRPr="00F6508E">
        <w:rPr>
          <w:rFonts w:cs="Calibri"/>
        </w:rPr>
        <w:t>a</w:t>
      </w:r>
      <w:r w:rsidR="00CE6352" w:rsidRPr="00F6508E">
        <w:rPr>
          <w:rFonts w:cs="Calibri"/>
        </w:rPr>
        <w:t xml:space="preserve">gencies </w:t>
      </w:r>
      <w:r w:rsidRPr="00F6508E">
        <w:rPr>
          <w:rFonts w:cs="Calibri"/>
        </w:rPr>
        <w:t xml:space="preserve">have been addressed. Therefore, </w:t>
      </w:r>
      <w:r w:rsidR="00D65811" w:rsidRPr="00F6508E">
        <w:rPr>
          <w:rFonts w:cs="Calibri"/>
        </w:rPr>
        <w:t>a</w:t>
      </w:r>
      <w:r w:rsidR="00CE6352" w:rsidRPr="00F6508E">
        <w:rPr>
          <w:rFonts w:cs="Calibri"/>
        </w:rPr>
        <w:t xml:space="preserve">gencies </w:t>
      </w:r>
      <w:r w:rsidRPr="00F6508E">
        <w:rPr>
          <w:rFonts w:cs="Calibri"/>
        </w:rPr>
        <w:t xml:space="preserve">must ensure that their financial </w:t>
      </w:r>
      <w:r w:rsidR="002970C1" w:rsidRPr="00F6508E">
        <w:rPr>
          <w:rFonts w:cs="Calibri"/>
        </w:rPr>
        <w:t>statements</w:t>
      </w:r>
      <w:r w:rsidRPr="00F6508E">
        <w:rPr>
          <w:rFonts w:cs="Calibri"/>
        </w:rPr>
        <w:t xml:space="preserve"> meet the requirements outlined in the </w:t>
      </w:r>
      <w:r w:rsidR="00874CBE" w:rsidRPr="00F6508E">
        <w:rPr>
          <w:rFonts w:cs="Calibri"/>
        </w:rPr>
        <w:t xml:space="preserve">relevant </w:t>
      </w:r>
      <w:r w:rsidRPr="00F6508E">
        <w:rPr>
          <w:rFonts w:cs="Calibri"/>
        </w:rPr>
        <w:t>accounting standards</w:t>
      </w:r>
      <w:r w:rsidR="00754CE3" w:rsidRPr="00F6508E">
        <w:rPr>
          <w:rFonts w:cs="Calibri"/>
        </w:rPr>
        <w:t xml:space="preserve"> bearing in mind </w:t>
      </w:r>
      <w:r w:rsidR="00D40863" w:rsidRPr="00F6508E">
        <w:rPr>
          <w:rFonts w:cs="Calibri"/>
        </w:rPr>
        <w:t xml:space="preserve">the </w:t>
      </w:r>
      <w:r w:rsidR="00C202DD" w:rsidRPr="00F6508E">
        <w:rPr>
          <w:rFonts w:cs="Calibri"/>
        </w:rPr>
        <w:t xml:space="preserve">materiality </w:t>
      </w:r>
      <w:r w:rsidR="00D40863" w:rsidRPr="00F6508E">
        <w:rPr>
          <w:rFonts w:cs="Calibri"/>
        </w:rPr>
        <w:t>guidance in Section 1.2</w:t>
      </w:r>
      <w:r w:rsidRPr="00F6508E">
        <w:rPr>
          <w:rFonts w:cs="Calibri"/>
        </w:rPr>
        <w:t>.</w:t>
      </w:r>
    </w:p>
    <w:p w14:paraId="70805AA3" w14:textId="77777777" w:rsidR="000144FF" w:rsidRPr="00F6508E" w:rsidRDefault="000144FF">
      <w:pPr>
        <w:pStyle w:val="BodyText"/>
        <w:rPr>
          <w:rFonts w:cs="Calibri"/>
        </w:rPr>
      </w:pPr>
    </w:p>
    <w:p w14:paraId="07221F7F" w14:textId="77777777" w:rsidR="000144FF" w:rsidRPr="00F6508E" w:rsidRDefault="000144FF">
      <w:pPr>
        <w:pStyle w:val="BodyText"/>
        <w:rPr>
          <w:rFonts w:cs="Calibri"/>
        </w:rPr>
      </w:pPr>
      <w:r w:rsidRPr="00F6508E">
        <w:rPr>
          <w:rFonts w:cs="Calibri"/>
        </w:rPr>
        <w:t xml:space="preserve">The notes contained in the Model are considered to be ‘best practice’. </w:t>
      </w:r>
      <w:r w:rsidR="00CE6352" w:rsidRPr="00F6508E">
        <w:rPr>
          <w:rFonts w:cs="Calibri"/>
        </w:rPr>
        <w:t xml:space="preserve">Agencies </w:t>
      </w:r>
      <w:r w:rsidRPr="00F6508E">
        <w:rPr>
          <w:rFonts w:cs="Calibri"/>
        </w:rPr>
        <w:t xml:space="preserve">do have discretion to alter the Model notes to meet specific needs, so long as the applicable content requirements are still complied with. This is particularly the case with definitions and line item descriptions. </w:t>
      </w:r>
    </w:p>
    <w:p w14:paraId="431EFD6A" w14:textId="77777777" w:rsidR="000144FF" w:rsidRPr="00F6508E" w:rsidRDefault="000144FF">
      <w:pPr>
        <w:pStyle w:val="BodyText"/>
        <w:rPr>
          <w:rFonts w:cs="Calibri"/>
        </w:rPr>
      </w:pPr>
    </w:p>
    <w:p w14:paraId="16ECA0C7" w14:textId="538E1801" w:rsidR="000144FF" w:rsidRPr="00F6508E" w:rsidRDefault="000144FF">
      <w:pPr>
        <w:pStyle w:val="BodyText"/>
        <w:rPr>
          <w:rFonts w:cs="Calibri"/>
        </w:rPr>
      </w:pPr>
      <w:r w:rsidRPr="00F6508E">
        <w:rPr>
          <w:rFonts w:cs="Calibri"/>
        </w:rPr>
        <w:t>The breakdown of statement line items contained in various notes (e.g.</w:t>
      </w:r>
      <w:r w:rsidRPr="00F6508E">
        <w:rPr>
          <w:rFonts w:cs="Calibri"/>
          <w:b/>
          <w:i/>
        </w:rPr>
        <w:t xml:space="preserve"> </w:t>
      </w:r>
      <w:r w:rsidRPr="00F6508E">
        <w:rPr>
          <w:rFonts w:cs="Calibri"/>
        </w:rPr>
        <w:t xml:space="preserve">Note </w:t>
      </w:r>
      <w:r w:rsidR="000E2959" w:rsidRPr="00F6508E">
        <w:rPr>
          <w:rFonts w:cs="Calibri"/>
        </w:rPr>
        <w:t>11</w:t>
      </w:r>
      <w:r w:rsidRPr="00F6508E">
        <w:rPr>
          <w:rFonts w:cs="Calibri"/>
        </w:rPr>
        <w:t xml:space="preserve"> </w:t>
      </w:r>
      <w:r w:rsidRPr="00F6508E">
        <w:rPr>
          <w:rFonts w:cs="Calibri"/>
          <w:i/>
          <w:iCs/>
        </w:rPr>
        <w:t>Supplies and Services</w:t>
      </w:r>
      <w:r w:rsidRPr="00F6508E">
        <w:rPr>
          <w:rFonts w:cs="Calibri"/>
        </w:rPr>
        <w:t xml:space="preserve"> and Note </w:t>
      </w:r>
      <w:r w:rsidR="00B24F3C" w:rsidRPr="00F6508E">
        <w:rPr>
          <w:rFonts w:cs="Calibri"/>
        </w:rPr>
        <w:t xml:space="preserve">14 </w:t>
      </w:r>
      <w:r w:rsidR="008073D6" w:rsidRPr="00F6508E">
        <w:rPr>
          <w:rFonts w:cs="Calibri"/>
          <w:i/>
          <w:iCs/>
        </w:rPr>
        <w:t>Other Expenses</w:t>
      </w:r>
      <w:r w:rsidRPr="00F6508E">
        <w:rPr>
          <w:rFonts w:cs="Calibri"/>
          <w:bCs/>
          <w:iCs/>
        </w:rPr>
        <w:t>)</w:t>
      </w:r>
      <w:r w:rsidRPr="00F6508E">
        <w:rPr>
          <w:rFonts w:cs="Calibri"/>
        </w:rPr>
        <w:t xml:space="preserve"> need to be tailored to the requirements </w:t>
      </w:r>
      <w:r w:rsidR="00F155ED" w:rsidRPr="00F6508E">
        <w:rPr>
          <w:rFonts w:cs="Calibri"/>
        </w:rPr>
        <w:t>of</w:t>
      </w:r>
      <w:r w:rsidRPr="00F6508E">
        <w:rPr>
          <w:rFonts w:cs="Calibri"/>
        </w:rPr>
        <w:t xml:space="preserve"> each </w:t>
      </w:r>
      <w:r w:rsidR="005768FD" w:rsidRPr="00F6508E">
        <w:rPr>
          <w:rFonts w:cs="Calibri"/>
        </w:rPr>
        <w:t>a</w:t>
      </w:r>
      <w:r w:rsidR="00CE6352" w:rsidRPr="00F6508E">
        <w:rPr>
          <w:rFonts w:cs="Calibri"/>
        </w:rPr>
        <w:t>gency</w:t>
      </w:r>
      <w:r w:rsidRPr="00F6508E">
        <w:rPr>
          <w:rFonts w:cs="Calibri"/>
        </w:rPr>
        <w:t>. All material amounts are to be individually disclosed in these notes.</w:t>
      </w:r>
    </w:p>
    <w:p w14:paraId="0EE0C0E5" w14:textId="77777777" w:rsidR="00840D3E" w:rsidRDefault="00840D3E">
      <w:pPr>
        <w:pStyle w:val="BodyText"/>
        <w:rPr>
          <w:rFonts w:cs="Calibri"/>
        </w:rPr>
      </w:pPr>
    </w:p>
    <w:p w14:paraId="5F54D96C" w14:textId="052CFFD4" w:rsidR="00937027" w:rsidRDefault="000144FF" w:rsidP="00937027">
      <w:pPr>
        <w:pStyle w:val="BodyText"/>
        <w:rPr>
          <w:rFonts w:cs="Calibri"/>
        </w:rPr>
      </w:pPr>
      <w:r w:rsidRPr="00CF7E1B">
        <w:rPr>
          <w:rFonts w:cs="Calibri"/>
        </w:rPr>
        <w:t xml:space="preserve">Throughout the notes in the Model, brackets have been used to prompt preparers to adopt </w:t>
      </w:r>
      <w:r w:rsidR="005768FD" w:rsidRPr="00CF7E1B">
        <w:rPr>
          <w:rFonts w:cs="Calibri"/>
        </w:rPr>
        <w:t>a</w:t>
      </w:r>
      <w:r w:rsidR="00CE6352" w:rsidRPr="00CF7E1B">
        <w:rPr>
          <w:rFonts w:cs="Calibri"/>
        </w:rPr>
        <w:t>gency</w:t>
      </w:r>
      <w:r w:rsidRPr="00CF7E1B">
        <w:rPr>
          <w:rFonts w:cs="Calibri"/>
        </w:rPr>
        <w:t xml:space="preserve"> specific policy. The following brackets </w:t>
      </w:r>
      <w:r w:rsidRPr="00AA7D16">
        <w:rPr>
          <w:rFonts w:cs="Calibri"/>
          <w:color w:val="C45911" w:themeColor="accent2" w:themeShade="BF"/>
        </w:rPr>
        <w:t xml:space="preserve">&lt; &gt; </w:t>
      </w:r>
      <w:r w:rsidRPr="00CF7E1B">
        <w:rPr>
          <w:rFonts w:cs="Calibri"/>
        </w:rPr>
        <w:t xml:space="preserve">have been used to highlight that the numbers in them are not specific accounting policy requirements and hence each </w:t>
      </w:r>
      <w:r w:rsidR="005768FD" w:rsidRPr="00CF7E1B">
        <w:rPr>
          <w:rFonts w:cs="Calibri"/>
        </w:rPr>
        <w:t>a</w:t>
      </w:r>
      <w:r w:rsidR="00CE6352" w:rsidRPr="00CF7E1B">
        <w:rPr>
          <w:rFonts w:cs="Calibri"/>
        </w:rPr>
        <w:t>gency</w:t>
      </w:r>
      <w:r w:rsidRPr="00CF7E1B">
        <w:rPr>
          <w:rFonts w:cs="Calibri"/>
        </w:rPr>
        <w:t xml:space="preserve"> needs to insert its applicable accounting policy. </w:t>
      </w:r>
      <w:r w:rsidR="00CE6352" w:rsidRPr="00CF7E1B">
        <w:rPr>
          <w:rFonts w:cs="Calibri"/>
        </w:rPr>
        <w:t xml:space="preserve">Agencies </w:t>
      </w:r>
      <w:r w:rsidRPr="00CF7E1B">
        <w:rPr>
          <w:rFonts w:cs="Calibri"/>
        </w:rPr>
        <w:t>may adopt the number used in the brackets where it is appropriate to do so.</w:t>
      </w:r>
      <w:r w:rsidR="00FA7C77">
        <w:rPr>
          <w:rFonts w:cs="Calibri"/>
        </w:rPr>
        <w:t xml:space="preserve"> </w:t>
      </w:r>
      <w:r w:rsidRPr="00CF7E1B">
        <w:rPr>
          <w:rFonts w:cs="Calibri"/>
        </w:rPr>
        <w:t xml:space="preserve">An example of this is </w:t>
      </w:r>
      <w:r w:rsidR="00937027" w:rsidRPr="002555E6">
        <w:rPr>
          <w:rFonts w:cs="Calibri"/>
          <w:szCs w:val="20"/>
        </w:rPr>
        <w:t xml:space="preserve">property, plant and equipment with a minimum value of </w:t>
      </w:r>
      <w:r w:rsidR="00937027" w:rsidRPr="00AA7D16">
        <w:rPr>
          <w:rFonts w:cs="Calibri"/>
          <w:color w:val="C45911" w:themeColor="accent2" w:themeShade="BF"/>
          <w:szCs w:val="20"/>
        </w:rPr>
        <w:t>&lt;$5,000&gt;</w:t>
      </w:r>
      <w:r w:rsidR="00937027" w:rsidRPr="00AA7D16">
        <w:rPr>
          <w:rFonts w:cs="Calibri"/>
          <w:szCs w:val="20"/>
        </w:rPr>
        <w:t xml:space="preserve"> </w:t>
      </w:r>
      <w:r w:rsidR="00937027" w:rsidRPr="002555E6">
        <w:rPr>
          <w:rFonts w:cs="Calibri"/>
          <w:szCs w:val="20"/>
        </w:rPr>
        <w:t>being capitalised</w:t>
      </w:r>
      <w:r w:rsidR="00937027" w:rsidRPr="00A57A1F">
        <w:rPr>
          <w:rFonts w:cs="Calibri"/>
          <w:color w:val="000000"/>
        </w:rPr>
        <w:t xml:space="preserve">. Agencies are required to substitute the </w:t>
      </w:r>
      <w:r w:rsidR="00222AEE" w:rsidRPr="002555E6">
        <w:rPr>
          <w:rFonts w:cs="Calibri"/>
        </w:rPr>
        <w:t>$</w:t>
      </w:r>
      <w:r w:rsidR="00937027" w:rsidRPr="002555E6">
        <w:rPr>
          <w:rFonts w:cs="Calibri"/>
        </w:rPr>
        <w:t xml:space="preserve">5,000 amount </w:t>
      </w:r>
      <w:r w:rsidR="00937027" w:rsidRPr="00A57A1F">
        <w:rPr>
          <w:rFonts w:cs="Calibri"/>
          <w:color w:val="000000"/>
        </w:rPr>
        <w:t xml:space="preserve">if they use a different </w:t>
      </w:r>
      <w:r w:rsidR="00937027" w:rsidRPr="002555E6">
        <w:rPr>
          <w:rFonts w:cs="Calibri"/>
        </w:rPr>
        <w:t>capitalisation threshold.</w:t>
      </w:r>
    </w:p>
    <w:p w14:paraId="1A7B8421" w14:textId="77777777" w:rsidR="00B734D2" w:rsidRDefault="00B734D2" w:rsidP="00937027">
      <w:pPr>
        <w:pStyle w:val="BodyText"/>
        <w:rPr>
          <w:rFonts w:cs="Calibri"/>
        </w:rPr>
      </w:pPr>
    </w:p>
    <w:p w14:paraId="28564033" w14:textId="1EE7D45A" w:rsidR="00B734D2" w:rsidRPr="00B734D2" w:rsidRDefault="00B734D2" w:rsidP="00937027">
      <w:pPr>
        <w:pStyle w:val="BodyText"/>
        <w:rPr>
          <w:rFonts w:cs="Calibri"/>
          <w:color w:val="FF0000"/>
        </w:rPr>
      </w:pPr>
      <w:r w:rsidRPr="00F6508E">
        <w:rPr>
          <w:rFonts w:cs="Calibri"/>
        </w:rPr>
        <w:t>Given the Territory Authority Section (TAS) has been withdrawn</w:t>
      </w:r>
      <w:r w:rsidR="00FE575A" w:rsidRPr="00F6508E">
        <w:rPr>
          <w:rFonts w:cs="Calibri"/>
        </w:rPr>
        <w:t xml:space="preserve"> and the information incorporated into the Model, any text that </w:t>
      </w:r>
      <w:r w:rsidR="0086368E" w:rsidRPr="00F6508E">
        <w:rPr>
          <w:rFonts w:cs="Calibri"/>
        </w:rPr>
        <w:t>specifically</w:t>
      </w:r>
      <w:r w:rsidR="002071C0" w:rsidRPr="00F6508E">
        <w:rPr>
          <w:rFonts w:cs="Calibri"/>
        </w:rPr>
        <w:t xml:space="preserve"> </w:t>
      </w:r>
      <w:r w:rsidR="00FE575A" w:rsidRPr="00F6508E">
        <w:rPr>
          <w:rFonts w:cs="Calibri"/>
        </w:rPr>
        <w:t>relates to Territory Authorities will be included in [</w:t>
      </w:r>
      <w:r w:rsidR="002071C0" w:rsidRPr="00F6508E">
        <w:rPr>
          <w:rFonts w:cs="Calibri"/>
        </w:rPr>
        <w:t xml:space="preserve"> </w:t>
      </w:r>
      <w:r w:rsidR="00FE575A" w:rsidRPr="00F6508E">
        <w:rPr>
          <w:rFonts w:cs="Calibri"/>
        </w:rPr>
        <w:t xml:space="preserve">] in </w:t>
      </w:r>
      <w:r w:rsidR="00FE575A" w:rsidRPr="00310ED3">
        <w:rPr>
          <w:color w:val="2E74B5" w:themeColor="accent1" w:themeShade="BF"/>
          <w:szCs w:val="22"/>
        </w:rPr>
        <w:t>blue</w:t>
      </w:r>
      <w:r w:rsidR="00FE575A">
        <w:rPr>
          <w:rFonts w:cs="Calibri"/>
          <w:color w:val="FF0000"/>
        </w:rPr>
        <w:t xml:space="preserve"> </w:t>
      </w:r>
      <w:r w:rsidR="00FE575A" w:rsidRPr="00F6508E">
        <w:rPr>
          <w:rFonts w:cs="Calibri"/>
        </w:rPr>
        <w:t>text</w:t>
      </w:r>
      <w:r w:rsidR="002071C0" w:rsidRPr="00F6508E">
        <w:rPr>
          <w:rFonts w:cs="Calibri"/>
        </w:rPr>
        <w:t xml:space="preserve"> in the Model</w:t>
      </w:r>
      <w:r w:rsidR="00FE575A" w:rsidRPr="00F6508E">
        <w:rPr>
          <w:rFonts w:cs="Calibri"/>
        </w:rPr>
        <w:t>.</w:t>
      </w:r>
      <w:r w:rsidR="00950179">
        <w:rPr>
          <w:rFonts w:cs="Calibri"/>
        </w:rPr>
        <w:t xml:space="preserve"> In the commentary sections, Territory Authority information is included under a separate heading.</w:t>
      </w:r>
      <w:r w:rsidR="00FA7C77">
        <w:rPr>
          <w:rFonts w:cs="Calibri"/>
        </w:rPr>
        <w:t xml:space="preserve"> </w:t>
      </w:r>
    </w:p>
    <w:p w14:paraId="5942620A" w14:textId="77777777" w:rsidR="003C13E7" w:rsidRPr="00CF7E1B" w:rsidRDefault="003C13E7">
      <w:pPr>
        <w:pStyle w:val="BodyText"/>
        <w:rPr>
          <w:rFonts w:cs="Calibri"/>
        </w:rPr>
      </w:pPr>
    </w:p>
    <w:p w14:paraId="62B803BB" w14:textId="77777777" w:rsidR="000144FF" w:rsidRPr="00CF7E1B" w:rsidRDefault="000144FF" w:rsidP="006049C1">
      <w:pPr>
        <w:pStyle w:val="Heading3"/>
        <w:ind w:left="851"/>
        <w:rPr>
          <w:rFonts w:cs="Calibri"/>
        </w:rPr>
      </w:pPr>
      <w:bookmarkStart w:id="81" w:name="_Toc400627294"/>
      <w:bookmarkStart w:id="82" w:name="_Toc98763014"/>
      <w:r w:rsidRPr="00CF7E1B">
        <w:rPr>
          <w:rFonts w:cs="Calibri"/>
        </w:rPr>
        <w:t xml:space="preserve">Comparative Figures for New </w:t>
      </w:r>
      <w:r w:rsidR="00A859BD" w:rsidRPr="00CF7E1B">
        <w:rPr>
          <w:rFonts w:cs="Calibri"/>
        </w:rPr>
        <w:t>Agencies</w:t>
      </w:r>
      <w:bookmarkEnd w:id="81"/>
      <w:bookmarkEnd w:id="82"/>
    </w:p>
    <w:p w14:paraId="4873FE91" w14:textId="28552376" w:rsidR="0033279C" w:rsidRDefault="000144FF">
      <w:pPr>
        <w:pStyle w:val="BodyText"/>
        <w:rPr>
          <w:rFonts w:cs="Calibri"/>
        </w:rPr>
      </w:pPr>
      <w:r w:rsidRPr="00CF7E1B">
        <w:rPr>
          <w:rFonts w:cs="Calibri"/>
        </w:rPr>
        <w:t>Where a</w:t>
      </w:r>
      <w:r w:rsidR="00A859BD" w:rsidRPr="00CF7E1B">
        <w:rPr>
          <w:rFonts w:cs="Calibri"/>
        </w:rPr>
        <w:t>n</w:t>
      </w:r>
      <w:r w:rsidRPr="00CF7E1B">
        <w:rPr>
          <w:rFonts w:cs="Calibri"/>
        </w:rPr>
        <w:t xml:space="preserve"> </w:t>
      </w:r>
      <w:r w:rsidR="005768FD" w:rsidRPr="00CF7E1B">
        <w:rPr>
          <w:rFonts w:cs="Calibri"/>
        </w:rPr>
        <w:t>a</w:t>
      </w:r>
      <w:r w:rsidR="00A859BD" w:rsidRPr="00CF7E1B">
        <w:rPr>
          <w:rFonts w:cs="Calibri"/>
        </w:rPr>
        <w:t>gency</w:t>
      </w:r>
      <w:r w:rsidRPr="00CF7E1B">
        <w:rPr>
          <w:rFonts w:cs="Calibri"/>
        </w:rPr>
        <w:t xml:space="preserve"> first commences activities in the current financial reporting period, that </w:t>
      </w:r>
      <w:r w:rsidR="005768FD" w:rsidRPr="00CF7E1B">
        <w:rPr>
          <w:rFonts w:cs="Calibri"/>
        </w:rPr>
        <w:t>a</w:t>
      </w:r>
      <w:r w:rsidR="00A859BD" w:rsidRPr="00CF7E1B">
        <w:rPr>
          <w:rFonts w:cs="Calibri"/>
        </w:rPr>
        <w:t>gency</w:t>
      </w:r>
      <w:r w:rsidRPr="00CF7E1B">
        <w:rPr>
          <w:rFonts w:cs="Calibri"/>
        </w:rPr>
        <w:t xml:space="preserve"> need not disclose comparative figures in its financial </w:t>
      </w:r>
      <w:r w:rsidR="002970C1" w:rsidRPr="00CF7E1B">
        <w:rPr>
          <w:rFonts w:cs="Calibri"/>
        </w:rPr>
        <w:t>statements</w:t>
      </w:r>
      <w:r w:rsidRPr="00CF7E1B">
        <w:rPr>
          <w:rFonts w:cs="Calibri"/>
        </w:rPr>
        <w:t xml:space="preserve">. Where a new </w:t>
      </w:r>
      <w:r w:rsidR="005768FD" w:rsidRPr="00CF7E1B">
        <w:rPr>
          <w:rFonts w:cs="Calibri"/>
        </w:rPr>
        <w:t>a</w:t>
      </w:r>
      <w:r w:rsidR="00A859BD" w:rsidRPr="00CF7E1B">
        <w:rPr>
          <w:rFonts w:cs="Calibri"/>
        </w:rPr>
        <w:t>gency</w:t>
      </w:r>
      <w:r w:rsidRPr="00CF7E1B">
        <w:rPr>
          <w:rFonts w:cs="Calibri"/>
        </w:rPr>
        <w:t xml:space="preserve"> has been created and </w:t>
      </w:r>
      <w:r w:rsidR="00A859BD" w:rsidRPr="00CF7E1B">
        <w:rPr>
          <w:rFonts w:cs="Calibri"/>
        </w:rPr>
        <w:t xml:space="preserve">other </w:t>
      </w:r>
      <w:r w:rsidRPr="00CF7E1B">
        <w:rPr>
          <w:rFonts w:cs="Calibri"/>
        </w:rPr>
        <w:t xml:space="preserve">agencies have been merged or amalgamated into the new </w:t>
      </w:r>
      <w:r w:rsidR="005768FD" w:rsidRPr="00CF7E1B">
        <w:rPr>
          <w:rFonts w:cs="Calibri"/>
        </w:rPr>
        <w:t>a</w:t>
      </w:r>
      <w:r w:rsidR="00A859BD" w:rsidRPr="00CF7E1B">
        <w:rPr>
          <w:rFonts w:cs="Calibri"/>
        </w:rPr>
        <w:t>gency</w:t>
      </w:r>
      <w:r w:rsidRPr="00CF7E1B">
        <w:rPr>
          <w:rFonts w:cs="Calibri"/>
        </w:rPr>
        <w:t xml:space="preserve">, advice regarding comparatives should be sought from </w:t>
      </w:r>
      <w:r w:rsidR="00867AA2" w:rsidRPr="00F6508E">
        <w:rPr>
          <w:rFonts w:cs="Calibri"/>
        </w:rPr>
        <w:t>the</w:t>
      </w:r>
      <w:r w:rsidR="00867AA2">
        <w:rPr>
          <w:rFonts w:cs="Calibri"/>
        </w:rPr>
        <w:t xml:space="preserve"> </w:t>
      </w:r>
      <w:r w:rsidR="00DF0188">
        <w:rPr>
          <w:rFonts w:cs="Calibri"/>
        </w:rPr>
        <w:t xml:space="preserve">Financial </w:t>
      </w:r>
      <w:r w:rsidR="003616DC" w:rsidRPr="00E97A27">
        <w:rPr>
          <w:rFonts w:cs="Calibri"/>
        </w:rPr>
        <w:t xml:space="preserve">Reporting and </w:t>
      </w:r>
      <w:r w:rsidR="00DF0188" w:rsidRPr="00E97A27">
        <w:rPr>
          <w:rFonts w:cs="Calibri"/>
        </w:rPr>
        <w:t xml:space="preserve">Framework </w:t>
      </w:r>
      <w:r w:rsidR="00867AA2" w:rsidRPr="00F6508E">
        <w:rPr>
          <w:rFonts w:cs="Calibri"/>
        </w:rPr>
        <w:t>Branch</w:t>
      </w:r>
      <w:r w:rsidR="00867AA2">
        <w:rPr>
          <w:rFonts w:cs="Calibri"/>
        </w:rPr>
        <w:t xml:space="preserve"> </w:t>
      </w:r>
      <w:r w:rsidR="003820A0" w:rsidRPr="00CF7E1B">
        <w:rPr>
          <w:rFonts w:cs="Calibri"/>
        </w:rPr>
        <w:t xml:space="preserve">in </w:t>
      </w:r>
      <w:r w:rsidR="0030712E" w:rsidRPr="00CF7E1B">
        <w:rPr>
          <w:rFonts w:cs="Calibri"/>
        </w:rPr>
        <w:t xml:space="preserve">the </w:t>
      </w:r>
      <w:r w:rsidR="00F63AF4" w:rsidRPr="00CF7E1B">
        <w:rPr>
          <w:rFonts w:cs="Calibri"/>
        </w:rPr>
        <w:t>Chief Minister</w:t>
      </w:r>
      <w:r w:rsidR="006141EB">
        <w:rPr>
          <w:rFonts w:cs="Calibri"/>
        </w:rPr>
        <w:t>,</w:t>
      </w:r>
      <w:r w:rsidR="00F63AF4" w:rsidRPr="00CF7E1B">
        <w:rPr>
          <w:rFonts w:cs="Calibri"/>
        </w:rPr>
        <w:t xml:space="preserve"> </w:t>
      </w:r>
      <w:r w:rsidR="004F2565" w:rsidRPr="00CF7E1B">
        <w:rPr>
          <w:rFonts w:cs="Calibri"/>
        </w:rPr>
        <w:t xml:space="preserve">Treasury </w:t>
      </w:r>
      <w:r w:rsidR="006141EB">
        <w:rPr>
          <w:rFonts w:cs="Calibri"/>
        </w:rPr>
        <w:t xml:space="preserve">and Economic Development </w:t>
      </w:r>
      <w:r w:rsidR="004E43B2" w:rsidRPr="00CF7E1B">
        <w:rPr>
          <w:rFonts w:cs="Calibri"/>
        </w:rPr>
        <w:t>Directorate</w:t>
      </w:r>
      <w:r w:rsidR="00807E2B">
        <w:rPr>
          <w:rFonts w:cs="Calibri"/>
        </w:rPr>
        <w:t xml:space="preserve"> </w:t>
      </w:r>
      <w:r w:rsidR="00807E2B" w:rsidRPr="00CA70AE">
        <w:rPr>
          <w:rFonts w:cs="Calibri"/>
        </w:rPr>
        <w:t>(CMTEDD)</w:t>
      </w:r>
      <w:r w:rsidRPr="00CF7E1B">
        <w:rPr>
          <w:rFonts w:cs="Calibri"/>
        </w:rPr>
        <w:t>.</w:t>
      </w:r>
    </w:p>
    <w:p w14:paraId="4210109F" w14:textId="77777777" w:rsidR="002071C0" w:rsidRDefault="002071C0">
      <w:pPr>
        <w:pStyle w:val="BodyText"/>
        <w:rPr>
          <w:rFonts w:cs="Calibri"/>
        </w:rPr>
      </w:pPr>
    </w:p>
    <w:p w14:paraId="106473FF" w14:textId="569CDD55" w:rsidR="000144FF" w:rsidRPr="00F6508E" w:rsidRDefault="000144FF" w:rsidP="00F6508E">
      <w:pPr>
        <w:pStyle w:val="Heading2"/>
        <w:rPr>
          <w:rFonts w:cs="Calibri"/>
        </w:rPr>
      </w:pPr>
      <w:bookmarkStart w:id="83" w:name="_Toc400627297"/>
      <w:bookmarkStart w:id="84" w:name="_Toc98763015"/>
      <w:r w:rsidRPr="00F6508E">
        <w:rPr>
          <w:rFonts w:cs="Calibri"/>
        </w:rPr>
        <w:t>Consolidation</w:t>
      </w:r>
      <w:bookmarkEnd w:id="83"/>
      <w:bookmarkEnd w:id="84"/>
    </w:p>
    <w:p w14:paraId="78C2BB13" w14:textId="77777777" w:rsidR="002077BD" w:rsidRPr="00FE7FA6" w:rsidRDefault="00D95CB4" w:rsidP="00FE7FA6">
      <w:pPr>
        <w:pStyle w:val="BodyText"/>
        <w:spacing w:after="120"/>
        <w:rPr>
          <w:rFonts w:cs="Calibri"/>
        </w:rPr>
      </w:pPr>
      <w:r w:rsidRPr="00837448">
        <w:rPr>
          <w:rFonts w:cs="Calibri"/>
        </w:rPr>
        <w:t>A</w:t>
      </w:r>
      <w:r w:rsidR="002077BD" w:rsidRPr="00837448">
        <w:rPr>
          <w:rFonts w:cs="Calibri"/>
        </w:rPr>
        <w:t>g</w:t>
      </w:r>
      <w:r w:rsidR="002077BD" w:rsidRPr="00FE7FA6">
        <w:rPr>
          <w:rFonts w:cs="Calibri"/>
        </w:rPr>
        <w:t xml:space="preserve">encies with control over another entity must prepare consolidated financial statements in accordance with AASB 10 </w:t>
      </w:r>
      <w:r w:rsidR="002077BD" w:rsidRPr="00FE7FA6">
        <w:rPr>
          <w:rFonts w:cs="Calibri"/>
          <w:i/>
        </w:rPr>
        <w:t>Consolidated Financial Statements</w:t>
      </w:r>
      <w:r w:rsidR="002077BD" w:rsidRPr="00FE7FA6">
        <w:rPr>
          <w:rFonts w:cs="Calibri"/>
        </w:rPr>
        <w:t xml:space="preserve"> for the agency and all entities it controls.</w:t>
      </w:r>
    </w:p>
    <w:p w14:paraId="618FC601" w14:textId="6DA41BDB" w:rsidR="0033279C" w:rsidRDefault="0026050E" w:rsidP="00574DE1">
      <w:pPr>
        <w:tabs>
          <w:tab w:val="left" w:pos="9356"/>
        </w:tabs>
        <w:ind w:left="426" w:right="567"/>
        <w:jc w:val="both"/>
        <w:rPr>
          <w:i/>
        </w:rPr>
      </w:pPr>
      <w:r>
        <w:rPr>
          <w:i/>
        </w:rPr>
        <w:t>‘</w:t>
      </w:r>
      <w:r w:rsidR="002077BD" w:rsidRPr="0026050E">
        <w:t>An investor controls an investee when it is exposed, or has rights, to variable returns from its involvement with the investee</w:t>
      </w:r>
      <w:r w:rsidR="007E5622" w:rsidRPr="0026050E">
        <w:t xml:space="preserve"> </w:t>
      </w:r>
      <w:r w:rsidR="002077BD" w:rsidRPr="0026050E">
        <w:t xml:space="preserve">and has the ability </w:t>
      </w:r>
      <w:r w:rsidR="007E5622" w:rsidRPr="0026050E">
        <w:t>to affect those returns through its power over the investee</w:t>
      </w:r>
      <w:r>
        <w:t>’</w:t>
      </w:r>
      <w:r w:rsidR="007E5622" w:rsidRPr="000452F7">
        <w:rPr>
          <w:i/>
        </w:rPr>
        <w:t xml:space="preserve"> (AASB 10.6).</w:t>
      </w:r>
    </w:p>
    <w:p w14:paraId="63AC092D" w14:textId="77777777" w:rsidR="0026050E" w:rsidRPr="000452F7" w:rsidRDefault="0026050E" w:rsidP="0026050E"/>
    <w:p w14:paraId="59E8E401" w14:textId="77777777" w:rsidR="000144FF" w:rsidRPr="00CF7E1B" w:rsidRDefault="000144FF" w:rsidP="005B4031">
      <w:pPr>
        <w:pStyle w:val="Heading2"/>
        <w:tabs>
          <w:tab w:val="left" w:pos="3306"/>
        </w:tabs>
        <w:rPr>
          <w:rFonts w:cs="Calibri"/>
        </w:rPr>
      </w:pPr>
      <w:bookmarkStart w:id="85" w:name="_Toc194918629"/>
      <w:bookmarkStart w:id="86" w:name="_Toc400627298"/>
      <w:bookmarkStart w:id="87" w:name="_Toc98763016"/>
      <w:r w:rsidRPr="00CF7E1B">
        <w:rPr>
          <w:rFonts w:cs="Calibri"/>
        </w:rPr>
        <w:t>Certification</w:t>
      </w:r>
      <w:bookmarkEnd w:id="85"/>
      <w:bookmarkEnd w:id="86"/>
      <w:bookmarkEnd w:id="87"/>
    </w:p>
    <w:p w14:paraId="567FE057" w14:textId="13673B11" w:rsidR="000144FF" w:rsidRPr="00F6508E" w:rsidRDefault="000144FF" w:rsidP="0086368E">
      <w:pPr>
        <w:pStyle w:val="Heading3"/>
        <w:ind w:left="851"/>
        <w:rPr>
          <w:rFonts w:cs="Calibri"/>
        </w:rPr>
      </w:pPr>
      <w:bookmarkStart w:id="88" w:name="_Toc400627299"/>
      <w:bookmarkStart w:id="89" w:name="_Toc98763017"/>
      <w:r w:rsidRPr="00F6508E">
        <w:rPr>
          <w:rFonts w:cs="Calibri"/>
        </w:rPr>
        <w:t>Independent Audit</w:t>
      </w:r>
      <w:r w:rsidR="00972780" w:rsidRPr="00F6508E">
        <w:rPr>
          <w:rFonts w:cs="Calibri"/>
        </w:rPr>
        <w:t>or’s</w:t>
      </w:r>
      <w:r w:rsidRPr="00F6508E">
        <w:rPr>
          <w:rFonts w:cs="Calibri"/>
        </w:rPr>
        <w:t xml:space="preserve"> Report</w:t>
      </w:r>
      <w:bookmarkEnd w:id="88"/>
      <w:bookmarkEnd w:id="89"/>
    </w:p>
    <w:p w14:paraId="02CE4B9E" w14:textId="6FDB5B29" w:rsidR="00DC05AF" w:rsidRPr="00F6508E" w:rsidRDefault="000144FF" w:rsidP="007445DE">
      <w:pPr>
        <w:pStyle w:val="BodyText"/>
        <w:spacing w:after="120"/>
        <w:rPr>
          <w:rFonts w:cs="Calibri"/>
        </w:rPr>
      </w:pPr>
      <w:r w:rsidRPr="00F6508E">
        <w:rPr>
          <w:rFonts w:cs="Calibri"/>
        </w:rPr>
        <w:t>The independent audit</w:t>
      </w:r>
      <w:r w:rsidR="00972780" w:rsidRPr="00F6508E">
        <w:rPr>
          <w:rFonts w:cs="Calibri"/>
        </w:rPr>
        <w:t>or’s</w:t>
      </w:r>
      <w:r w:rsidRPr="00F6508E">
        <w:rPr>
          <w:rFonts w:cs="Calibri"/>
        </w:rPr>
        <w:t xml:space="preserve"> report on a</w:t>
      </w:r>
      <w:r w:rsidR="00A859BD" w:rsidRPr="00F6508E">
        <w:rPr>
          <w:rFonts w:cs="Calibri"/>
        </w:rPr>
        <w:t>n</w:t>
      </w:r>
      <w:r w:rsidRPr="00F6508E">
        <w:rPr>
          <w:rFonts w:cs="Calibri"/>
        </w:rPr>
        <w:t xml:space="preserve"> </w:t>
      </w:r>
      <w:r w:rsidR="005768FD" w:rsidRPr="00F6508E">
        <w:rPr>
          <w:rFonts w:cs="Calibri"/>
        </w:rPr>
        <w:t>a</w:t>
      </w:r>
      <w:r w:rsidR="00A859BD" w:rsidRPr="00F6508E">
        <w:rPr>
          <w:rFonts w:cs="Calibri"/>
        </w:rPr>
        <w:t>gency</w:t>
      </w:r>
      <w:r w:rsidRPr="00F6508E">
        <w:rPr>
          <w:rFonts w:cs="Calibri"/>
        </w:rPr>
        <w:t xml:space="preserve">’s financial </w:t>
      </w:r>
      <w:r w:rsidR="002970C1" w:rsidRPr="00F6508E">
        <w:rPr>
          <w:rFonts w:cs="Calibri"/>
        </w:rPr>
        <w:t>statements</w:t>
      </w:r>
      <w:r w:rsidRPr="00F6508E">
        <w:rPr>
          <w:rFonts w:cs="Calibri"/>
        </w:rPr>
        <w:t xml:space="preserve"> must be attached to the front of the </w:t>
      </w:r>
      <w:r w:rsidR="002970C1" w:rsidRPr="00F6508E">
        <w:rPr>
          <w:rFonts w:cs="Calibri"/>
        </w:rPr>
        <w:t>statements</w:t>
      </w:r>
      <w:r w:rsidRPr="00F6508E">
        <w:rPr>
          <w:rFonts w:cs="Calibri"/>
        </w:rPr>
        <w:t>, directly before the Statement of Respon</w:t>
      </w:r>
      <w:r w:rsidR="00554A71" w:rsidRPr="00F6508E">
        <w:rPr>
          <w:rFonts w:cs="Calibri"/>
        </w:rPr>
        <w:t xml:space="preserve">sibility by the </w:t>
      </w:r>
      <w:r w:rsidR="00B56E90" w:rsidRPr="00F6508E">
        <w:rPr>
          <w:rFonts w:cs="Calibri"/>
        </w:rPr>
        <w:t>Director-General</w:t>
      </w:r>
      <w:r w:rsidR="00763E15" w:rsidRPr="00F6508E">
        <w:rPr>
          <w:rFonts w:cs="Calibri"/>
        </w:rPr>
        <w:t>/Chief Executive Officer</w:t>
      </w:r>
      <w:r w:rsidR="001D0775" w:rsidRPr="00F6508E">
        <w:rPr>
          <w:rFonts w:cs="Calibri"/>
        </w:rPr>
        <w:t xml:space="preserve"> or </w:t>
      </w:r>
      <w:r w:rsidR="0086368E" w:rsidRPr="00F6508E">
        <w:rPr>
          <w:rFonts w:cs="Calibri"/>
        </w:rPr>
        <w:t>Chairperson</w:t>
      </w:r>
      <w:r w:rsidR="001D0775" w:rsidRPr="00F6508E">
        <w:rPr>
          <w:rFonts w:cs="Calibri"/>
        </w:rPr>
        <w:t>.</w:t>
      </w:r>
      <w:r w:rsidR="00FA7C77">
        <w:rPr>
          <w:rFonts w:cs="Calibri"/>
        </w:rPr>
        <w:t xml:space="preserve"> </w:t>
      </w:r>
    </w:p>
    <w:p w14:paraId="3D55D5B1" w14:textId="77777777" w:rsidR="00D4603C" w:rsidRDefault="00D4603C" w:rsidP="007445DE">
      <w:pPr>
        <w:pStyle w:val="BodyText"/>
        <w:spacing w:after="120"/>
        <w:rPr>
          <w:rFonts w:cs="Calibri"/>
        </w:rPr>
      </w:pPr>
    </w:p>
    <w:p w14:paraId="36E1EE2A" w14:textId="77777777" w:rsidR="004A644B" w:rsidRDefault="004A644B">
      <w:pPr>
        <w:pStyle w:val="BodyText"/>
        <w:rPr>
          <w:rFonts w:cs="Calibri"/>
        </w:rPr>
      </w:pPr>
    </w:p>
    <w:p w14:paraId="0B9B6FA9" w14:textId="77777777" w:rsidR="000144FF" w:rsidRPr="00CF7E1B" w:rsidRDefault="000144FF" w:rsidP="00EB11C0">
      <w:pPr>
        <w:pStyle w:val="Heading2"/>
      </w:pPr>
      <w:bookmarkStart w:id="90" w:name="_Toc194918630"/>
      <w:bookmarkStart w:id="91" w:name="_Toc400627302"/>
      <w:bookmarkStart w:id="92" w:name="_Toc98763018"/>
      <w:r w:rsidRPr="00CF7E1B">
        <w:t xml:space="preserve">Submission Date for Financial </w:t>
      </w:r>
      <w:bookmarkEnd w:id="90"/>
      <w:r w:rsidR="002970C1" w:rsidRPr="00CF7E1B">
        <w:t>Statement</w:t>
      </w:r>
      <w:r w:rsidR="004C4857">
        <w:t>s</w:t>
      </w:r>
      <w:bookmarkEnd w:id="91"/>
      <w:bookmarkEnd w:id="92"/>
    </w:p>
    <w:p w14:paraId="65175C57" w14:textId="70C76D74" w:rsidR="008216CA" w:rsidRPr="00F6508E" w:rsidRDefault="000144FF">
      <w:pPr>
        <w:pStyle w:val="BodyText"/>
        <w:rPr>
          <w:rFonts w:cs="Calibri"/>
        </w:rPr>
      </w:pPr>
      <w:r w:rsidRPr="00F6508E">
        <w:rPr>
          <w:rFonts w:cs="Calibri"/>
        </w:rPr>
        <w:t xml:space="preserve">The Chief Minister’s Annual Report Directions require agencies </w:t>
      </w:r>
      <w:r w:rsidR="00BA0136" w:rsidRPr="00F6508E">
        <w:rPr>
          <w:rFonts w:cs="Calibri"/>
        </w:rPr>
        <w:t xml:space="preserve">to </w:t>
      </w:r>
      <w:r w:rsidRPr="00F6508E">
        <w:rPr>
          <w:rFonts w:cs="Calibri"/>
        </w:rPr>
        <w:t xml:space="preserve">submit their annual financial </w:t>
      </w:r>
      <w:r w:rsidR="002970C1" w:rsidRPr="00F6508E">
        <w:rPr>
          <w:rFonts w:cs="Calibri"/>
        </w:rPr>
        <w:t>statements</w:t>
      </w:r>
      <w:r w:rsidRPr="00F6508E">
        <w:rPr>
          <w:rFonts w:cs="Calibri"/>
        </w:rPr>
        <w:t xml:space="preserve"> to the Auditor-General </w:t>
      </w:r>
      <w:r w:rsidR="008F534A" w:rsidRPr="00F6508E">
        <w:rPr>
          <w:rFonts w:cs="Calibri"/>
        </w:rPr>
        <w:t xml:space="preserve">and </w:t>
      </w:r>
      <w:r w:rsidR="00612C28" w:rsidRPr="00F6508E">
        <w:rPr>
          <w:rFonts w:cs="Calibri"/>
        </w:rPr>
        <w:t xml:space="preserve">CMTEDD </w:t>
      </w:r>
      <w:r w:rsidRPr="00F6508E">
        <w:rPr>
          <w:rFonts w:cs="Calibri"/>
        </w:rPr>
        <w:t xml:space="preserve">no later than the dates specified in the timetable issued by </w:t>
      </w:r>
      <w:r w:rsidR="00612C28" w:rsidRPr="00F6508E">
        <w:rPr>
          <w:rFonts w:cs="Calibri"/>
        </w:rPr>
        <w:t>CMTEDD</w:t>
      </w:r>
      <w:r w:rsidRPr="00F6508E">
        <w:rPr>
          <w:rFonts w:cs="Calibri"/>
        </w:rPr>
        <w:t xml:space="preserve">, in order to meet the whole-of-government financial reporting deadline. </w:t>
      </w:r>
      <w:r w:rsidR="008216CA" w:rsidRPr="00F6508E">
        <w:rPr>
          <w:rFonts w:cs="Calibri"/>
        </w:rPr>
        <w:t>Amendments to the FMA now allow</w:t>
      </w:r>
      <w:r w:rsidR="00394048" w:rsidRPr="00F6508E">
        <w:rPr>
          <w:rFonts w:cs="Calibri"/>
        </w:rPr>
        <w:t xml:space="preserve"> </w:t>
      </w:r>
      <w:r w:rsidR="007975D5" w:rsidRPr="00F6508E">
        <w:rPr>
          <w:rFonts w:cs="Calibri"/>
        </w:rPr>
        <w:t>the</w:t>
      </w:r>
      <w:r w:rsidR="008216CA" w:rsidRPr="00F6508E">
        <w:rPr>
          <w:rFonts w:cs="Calibri"/>
        </w:rPr>
        <w:t xml:space="preserve"> Statement of Responsibility to be signed by the </w:t>
      </w:r>
      <w:r w:rsidR="00612C28" w:rsidRPr="00F6508E">
        <w:rPr>
          <w:rFonts w:cs="Calibri"/>
        </w:rPr>
        <w:t xml:space="preserve">D-G/CEO </w:t>
      </w:r>
      <w:r w:rsidR="00DF6511" w:rsidRPr="00F6508E">
        <w:rPr>
          <w:rFonts w:cs="Calibri"/>
        </w:rPr>
        <w:t xml:space="preserve">or </w:t>
      </w:r>
      <w:r w:rsidR="0086368E" w:rsidRPr="00F6508E">
        <w:rPr>
          <w:rFonts w:cs="Calibri"/>
        </w:rPr>
        <w:t>Chairperson</w:t>
      </w:r>
      <w:r w:rsidR="00DF6511" w:rsidRPr="00F6508E">
        <w:rPr>
          <w:rFonts w:cs="Calibri"/>
        </w:rPr>
        <w:t xml:space="preserve"> </w:t>
      </w:r>
      <w:r w:rsidR="008216CA" w:rsidRPr="00F6508E">
        <w:rPr>
          <w:rFonts w:cs="Calibri"/>
        </w:rPr>
        <w:t>any time before the audit opinion</w:t>
      </w:r>
      <w:r w:rsidR="007975D5" w:rsidRPr="00F6508E">
        <w:rPr>
          <w:rFonts w:cs="Calibri"/>
        </w:rPr>
        <w:t>,</w:t>
      </w:r>
      <w:r w:rsidR="008216CA" w:rsidRPr="00F6508E">
        <w:rPr>
          <w:rFonts w:cs="Calibri"/>
        </w:rPr>
        <w:t xml:space="preserve"> is provided by the Auditor-General.</w:t>
      </w:r>
      <w:r w:rsidR="00FA7C77">
        <w:rPr>
          <w:rFonts w:cs="Calibri"/>
        </w:rPr>
        <w:t xml:space="preserve"> </w:t>
      </w:r>
      <w:r w:rsidR="00B86641" w:rsidRPr="00F6508E">
        <w:rPr>
          <w:rFonts w:cs="Calibri"/>
        </w:rPr>
        <w:t>However, to ensure there is no loss of quality, the draft financial statements need to be reviewed by the relevant Internal Audit Committee and authorised for issue t</w:t>
      </w:r>
      <w:r w:rsidR="00CB0181" w:rsidRPr="00F6508E">
        <w:rPr>
          <w:rFonts w:cs="Calibri"/>
        </w:rPr>
        <w:t xml:space="preserve">o the Auditor-General </w:t>
      </w:r>
      <w:r w:rsidR="00B86641" w:rsidRPr="00F6508E">
        <w:rPr>
          <w:rFonts w:cs="Calibri"/>
        </w:rPr>
        <w:t xml:space="preserve">by the </w:t>
      </w:r>
      <w:r w:rsidR="00D50CD5" w:rsidRPr="00F6508E">
        <w:rPr>
          <w:rFonts w:cs="Calibri"/>
        </w:rPr>
        <w:t>D</w:t>
      </w:r>
      <w:r w:rsidR="009F404C" w:rsidRPr="00F6508E">
        <w:rPr>
          <w:rFonts w:cs="Calibri"/>
        </w:rPr>
        <w:t>-</w:t>
      </w:r>
      <w:r w:rsidR="00D50CD5" w:rsidRPr="00F6508E">
        <w:rPr>
          <w:rFonts w:cs="Calibri"/>
        </w:rPr>
        <w:t xml:space="preserve">G/CEO </w:t>
      </w:r>
      <w:r w:rsidR="00CB0181" w:rsidRPr="00F6508E">
        <w:rPr>
          <w:rFonts w:cs="Calibri"/>
        </w:rPr>
        <w:t xml:space="preserve">or </w:t>
      </w:r>
      <w:r w:rsidR="0086368E" w:rsidRPr="00F6508E">
        <w:rPr>
          <w:rFonts w:cs="Calibri"/>
        </w:rPr>
        <w:t>Chairperson</w:t>
      </w:r>
      <w:r w:rsidR="00CB0181" w:rsidRPr="00F6508E">
        <w:rPr>
          <w:rFonts w:cs="Calibri"/>
        </w:rPr>
        <w:t xml:space="preserve">. </w:t>
      </w:r>
    </w:p>
    <w:p w14:paraId="4C3E6D6A" w14:textId="77777777" w:rsidR="008216CA" w:rsidRPr="00F6508E" w:rsidRDefault="008216CA">
      <w:pPr>
        <w:pStyle w:val="BodyText"/>
        <w:rPr>
          <w:rFonts w:cs="Calibri"/>
        </w:rPr>
      </w:pPr>
    </w:p>
    <w:p w14:paraId="11F8665C" w14:textId="23C32AB1" w:rsidR="00964F5C" w:rsidRPr="00F6508E" w:rsidRDefault="004C26D6">
      <w:pPr>
        <w:pStyle w:val="BodyText"/>
        <w:rPr>
          <w:rFonts w:cs="Calibri"/>
        </w:rPr>
      </w:pPr>
      <w:r w:rsidRPr="00F6508E">
        <w:rPr>
          <w:rFonts w:cs="Calibri"/>
        </w:rPr>
        <w:t>CMTEDD issues a timetable each year that provides the dates when:</w:t>
      </w:r>
    </w:p>
    <w:p w14:paraId="017B8BA7" w14:textId="77777777" w:rsidR="00964F5C" w:rsidRPr="00F6508E" w:rsidRDefault="00964F5C" w:rsidP="007122BC">
      <w:pPr>
        <w:pStyle w:val="BodyText"/>
        <w:numPr>
          <w:ilvl w:val="0"/>
          <w:numId w:val="12"/>
        </w:numPr>
        <w:ind w:hanging="218"/>
        <w:rPr>
          <w:rFonts w:cs="Calibri"/>
        </w:rPr>
      </w:pPr>
      <w:r w:rsidRPr="00F6508E">
        <w:rPr>
          <w:rFonts w:cs="Calibri"/>
        </w:rPr>
        <w:t xml:space="preserve">agencies are to provide annual financial </w:t>
      </w:r>
      <w:r w:rsidR="002970C1" w:rsidRPr="00F6508E">
        <w:rPr>
          <w:rFonts w:cs="Calibri"/>
        </w:rPr>
        <w:t>statements</w:t>
      </w:r>
      <w:r w:rsidRPr="00F6508E">
        <w:rPr>
          <w:rFonts w:cs="Calibri"/>
        </w:rPr>
        <w:t xml:space="preserve"> to the Audit Office;</w:t>
      </w:r>
      <w:r w:rsidR="00013121" w:rsidRPr="00F6508E">
        <w:rPr>
          <w:rFonts w:cs="Calibri"/>
        </w:rPr>
        <w:t xml:space="preserve"> and</w:t>
      </w:r>
    </w:p>
    <w:p w14:paraId="7BA929EE" w14:textId="77777777" w:rsidR="00DC05AF" w:rsidRPr="00F6508E" w:rsidRDefault="00964F5C" w:rsidP="007122BC">
      <w:pPr>
        <w:pStyle w:val="BodyText"/>
        <w:numPr>
          <w:ilvl w:val="0"/>
          <w:numId w:val="12"/>
        </w:numPr>
        <w:spacing w:after="120"/>
        <w:ind w:hanging="218"/>
        <w:rPr>
          <w:rFonts w:cs="Calibri"/>
        </w:rPr>
      </w:pPr>
      <w:r w:rsidRPr="00F6508E">
        <w:rPr>
          <w:rFonts w:cs="Calibri"/>
        </w:rPr>
        <w:t>the final audit report is issued.</w:t>
      </w:r>
    </w:p>
    <w:p w14:paraId="23BA8C5F" w14:textId="22AA57E9" w:rsidR="00DC05AF" w:rsidRDefault="00DC05AF">
      <w:pPr>
        <w:rPr>
          <w:rFonts w:cs="Calibri"/>
        </w:rPr>
      </w:pPr>
      <w:r>
        <w:rPr>
          <w:rFonts w:cs="Calibri"/>
        </w:rPr>
        <w:br w:type="page"/>
      </w:r>
    </w:p>
    <w:p w14:paraId="46A7CFBC" w14:textId="77777777" w:rsidR="0026628F" w:rsidRDefault="0026628F" w:rsidP="00DC687F"/>
    <w:p w14:paraId="2ED9341E" w14:textId="77777777" w:rsidR="00CE21AE" w:rsidRDefault="00CE21AE" w:rsidP="00DC687F"/>
    <w:p w14:paraId="5DB12E0D" w14:textId="77777777" w:rsidR="00CE21AE" w:rsidRDefault="00CE21AE" w:rsidP="00DC687F"/>
    <w:p w14:paraId="714089AD" w14:textId="77777777" w:rsidR="00CE21AE" w:rsidRDefault="00CE21AE" w:rsidP="00DC687F"/>
    <w:p w14:paraId="53EEB3B3" w14:textId="77777777" w:rsidR="00CE21AE" w:rsidRDefault="00CE21AE" w:rsidP="00DC687F"/>
    <w:p w14:paraId="0770ABA1" w14:textId="77777777" w:rsidR="00CE21AE" w:rsidRDefault="00CE21AE" w:rsidP="00DC687F"/>
    <w:p w14:paraId="0874EB8D" w14:textId="77777777" w:rsidR="00CE21AE" w:rsidRDefault="00CE21AE" w:rsidP="00DC687F"/>
    <w:p w14:paraId="087D2C36" w14:textId="77777777" w:rsidR="00CE21AE" w:rsidRDefault="00CE21AE" w:rsidP="00DC687F"/>
    <w:p w14:paraId="4515B8A2" w14:textId="77777777" w:rsidR="00CE21AE" w:rsidRPr="00574DE1" w:rsidRDefault="00CE21AE" w:rsidP="00DC687F">
      <w:pPr>
        <w:rPr>
          <w:rFonts w:asciiTheme="minorHAnsi" w:hAnsiTheme="minorHAnsi" w:cstheme="minorHAnsi"/>
          <w:sz w:val="52"/>
          <w:szCs w:val="52"/>
        </w:rPr>
      </w:pPr>
    </w:p>
    <w:p w14:paraId="6D58EE59" w14:textId="01495CC6" w:rsidR="00541371" w:rsidRPr="00B51BAD" w:rsidRDefault="00413F41" w:rsidP="00DC687F">
      <w:pPr>
        <w:pStyle w:val="Subtitle"/>
        <w:rPr>
          <w:rFonts w:asciiTheme="minorHAnsi" w:hAnsiTheme="minorHAnsi" w:cstheme="minorHAnsi"/>
          <w:sz w:val="52"/>
          <w:szCs w:val="52"/>
        </w:rPr>
      </w:pPr>
      <w:bookmarkStart w:id="93" w:name="_Toc400627303"/>
      <w:bookmarkStart w:id="94" w:name="_Toc98763019"/>
      <w:r w:rsidRPr="00B51BAD">
        <w:rPr>
          <w:rFonts w:asciiTheme="minorHAnsi" w:hAnsiTheme="minorHAnsi" w:cstheme="minorHAnsi"/>
          <w:sz w:val="52"/>
          <w:szCs w:val="52"/>
        </w:rPr>
        <w:t xml:space="preserve">ACT </w:t>
      </w:r>
      <w:r w:rsidR="000413B6" w:rsidRPr="00B51BAD">
        <w:rPr>
          <w:rFonts w:asciiTheme="minorHAnsi" w:hAnsiTheme="minorHAnsi" w:cstheme="minorHAnsi"/>
          <w:sz w:val="52"/>
          <w:szCs w:val="52"/>
        </w:rPr>
        <w:t>MODEL FINANCIAL STATEMENTS</w:t>
      </w:r>
      <w:bookmarkEnd w:id="93"/>
      <w:bookmarkEnd w:id="94"/>
    </w:p>
    <w:p w14:paraId="07BCC1D3" w14:textId="55FB401D" w:rsidR="00DC687F" w:rsidRPr="00B51BAD" w:rsidRDefault="00B51BAD" w:rsidP="001A1550">
      <w:pPr>
        <w:jc w:val="center"/>
        <w:rPr>
          <w:rFonts w:asciiTheme="minorHAnsi" w:hAnsiTheme="minorHAnsi" w:cstheme="minorHAnsi"/>
          <w:b/>
          <w:sz w:val="52"/>
          <w:szCs w:val="52"/>
        </w:rPr>
      </w:pPr>
      <w:r w:rsidRPr="00B51BAD">
        <w:rPr>
          <w:rFonts w:asciiTheme="minorHAnsi" w:hAnsiTheme="minorHAnsi" w:cstheme="minorHAnsi"/>
          <w:b/>
          <w:sz w:val="52"/>
          <w:szCs w:val="52"/>
        </w:rPr>
        <w:t>OF</w:t>
      </w:r>
    </w:p>
    <w:p w14:paraId="6F6467EF" w14:textId="573D96B8" w:rsidR="00DC687F" w:rsidRPr="00B51BAD" w:rsidRDefault="00DC687F" w:rsidP="001A1550">
      <w:pPr>
        <w:jc w:val="center"/>
        <w:rPr>
          <w:rFonts w:asciiTheme="minorHAnsi" w:hAnsiTheme="minorHAnsi" w:cstheme="minorHAnsi"/>
          <w:b/>
          <w:sz w:val="52"/>
          <w:szCs w:val="52"/>
        </w:rPr>
      </w:pPr>
      <w:r w:rsidRPr="00B51BAD">
        <w:rPr>
          <w:rFonts w:asciiTheme="minorHAnsi" w:hAnsiTheme="minorHAnsi" w:cstheme="minorHAnsi"/>
          <w:b/>
          <w:sz w:val="52"/>
          <w:szCs w:val="52"/>
        </w:rPr>
        <w:t>‘</w:t>
      </w:r>
      <w:r w:rsidR="007D5C59" w:rsidRPr="00B51BAD">
        <w:rPr>
          <w:rFonts w:asciiTheme="minorHAnsi" w:hAnsiTheme="minorHAnsi" w:cstheme="minorHAnsi"/>
          <w:b/>
          <w:sz w:val="52"/>
          <w:szCs w:val="52"/>
        </w:rPr>
        <w:t xml:space="preserve">BURLEY GRIFFIN </w:t>
      </w:r>
      <w:r w:rsidR="001B41EA" w:rsidRPr="00B51BAD">
        <w:rPr>
          <w:rFonts w:asciiTheme="minorHAnsi" w:hAnsiTheme="minorHAnsi" w:cstheme="minorHAnsi"/>
          <w:b/>
          <w:sz w:val="52"/>
          <w:szCs w:val="52"/>
        </w:rPr>
        <w:t>AGENCY</w:t>
      </w:r>
      <w:r w:rsidRPr="00B51BAD">
        <w:rPr>
          <w:rFonts w:asciiTheme="minorHAnsi" w:hAnsiTheme="minorHAnsi" w:cstheme="minorHAnsi"/>
          <w:b/>
          <w:sz w:val="52"/>
          <w:szCs w:val="52"/>
        </w:rPr>
        <w:t>’</w:t>
      </w:r>
    </w:p>
    <w:p w14:paraId="79F42312" w14:textId="77777777" w:rsidR="00DC687F" w:rsidRPr="00B51BAD" w:rsidRDefault="00DC687F" w:rsidP="001A1550">
      <w:pPr>
        <w:jc w:val="center"/>
        <w:rPr>
          <w:rFonts w:asciiTheme="minorHAnsi" w:hAnsiTheme="minorHAnsi" w:cstheme="minorHAnsi"/>
          <w:b/>
          <w:sz w:val="52"/>
          <w:szCs w:val="52"/>
        </w:rPr>
      </w:pPr>
    </w:p>
    <w:p w14:paraId="25F2756F" w14:textId="77777777" w:rsidR="00DC687F" w:rsidRPr="00B51BAD" w:rsidRDefault="00DC687F" w:rsidP="001A1550">
      <w:pPr>
        <w:jc w:val="center"/>
        <w:rPr>
          <w:rFonts w:asciiTheme="minorHAnsi" w:hAnsiTheme="minorHAnsi" w:cstheme="minorHAnsi"/>
          <w:b/>
          <w:sz w:val="52"/>
          <w:szCs w:val="52"/>
        </w:rPr>
      </w:pPr>
    </w:p>
    <w:p w14:paraId="618FDB98" w14:textId="77777777" w:rsidR="00DC687F" w:rsidRPr="00B51BAD" w:rsidRDefault="00DC687F" w:rsidP="001A1550">
      <w:pPr>
        <w:jc w:val="center"/>
        <w:rPr>
          <w:b/>
          <w:sz w:val="40"/>
          <w:szCs w:val="40"/>
        </w:rPr>
      </w:pPr>
    </w:p>
    <w:p w14:paraId="66E83FDE" w14:textId="77777777" w:rsidR="00541371" w:rsidRPr="00B51BAD" w:rsidRDefault="00541371" w:rsidP="001A1550">
      <w:pPr>
        <w:jc w:val="center"/>
        <w:rPr>
          <w:b/>
          <w:sz w:val="40"/>
          <w:szCs w:val="40"/>
        </w:rPr>
      </w:pPr>
      <w:r w:rsidRPr="00B51BAD">
        <w:rPr>
          <w:b/>
          <w:sz w:val="40"/>
          <w:szCs w:val="40"/>
        </w:rPr>
        <w:t>F</w:t>
      </w:r>
      <w:r w:rsidR="00DC687F" w:rsidRPr="00B51BAD">
        <w:rPr>
          <w:b/>
          <w:sz w:val="40"/>
          <w:szCs w:val="40"/>
        </w:rPr>
        <w:t xml:space="preserve">or </w:t>
      </w:r>
      <w:r w:rsidR="00DF611A" w:rsidRPr="00B51BAD">
        <w:rPr>
          <w:b/>
          <w:sz w:val="40"/>
          <w:szCs w:val="40"/>
        </w:rPr>
        <w:t>t</w:t>
      </w:r>
      <w:r w:rsidR="00DC687F" w:rsidRPr="00B51BAD">
        <w:rPr>
          <w:b/>
          <w:sz w:val="40"/>
          <w:szCs w:val="40"/>
        </w:rPr>
        <w:t>he Year End</w:t>
      </w:r>
      <w:r w:rsidR="009D190B" w:rsidRPr="00B51BAD">
        <w:rPr>
          <w:b/>
          <w:sz w:val="40"/>
          <w:szCs w:val="40"/>
        </w:rPr>
        <w:t>ed</w:t>
      </w:r>
    </w:p>
    <w:p w14:paraId="76E705D5" w14:textId="40F907B0" w:rsidR="00541371" w:rsidRPr="00B51BAD" w:rsidRDefault="00541371" w:rsidP="001A1550">
      <w:pPr>
        <w:jc w:val="center"/>
        <w:rPr>
          <w:b/>
          <w:sz w:val="40"/>
          <w:szCs w:val="40"/>
        </w:rPr>
      </w:pPr>
      <w:r w:rsidRPr="00B51BAD">
        <w:rPr>
          <w:b/>
          <w:sz w:val="40"/>
          <w:szCs w:val="40"/>
        </w:rPr>
        <w:t>30 J</w:t>
      </w:r>
      <w:r w:rsidR="00DC687F" w:rsidRPr="00B51BAD">
        <w:rPr>
          <w:b/>
          <w:sz w:val="40"/>
          <w:szCs w:val="40"/>
        </w:rPr>
        <w:t>une</w:t>
      </w:r>
      <w:r w:rsidRPr="00B51BAD">
        <w:rPr>
          <w:b/>
          <w:sz w:val="40"/>
          <w:szCs w:val="40"/>
        </w:rPr>
        <w:t xml:space="preserve"> </w:t>
      </w:r>
      <w:r w:rsidR="00CE40B2" w:rsidRPr="00B51BAD">
        <w:rPr>
          <w:b/>
          <w:sz w:val="40"/>
          <w:szCs w:val="40"/>
        </w:rPr>
        <w:t>202</w:t>
      </w:r>
      <w:r w:rsidR="00721C09" w:rsidRPr="00B51BAD">
        <w:rPr>
          <w:b/>
          <w:sz w:val="40"/>
          <w:szCs w:val="40"/>
        </w:rPr>
        <w:t>2</w:t>
      </w:r>
    </w:p>
    <w:p w14:paraId="17D7A295" w14:textId="77777777" w:rsidR="00541371" w:rsidRPr="001A1550" w:rsidRDefault="00541371" w:rsidP="001A1550">
      <w:pPr>
        <w:jc w:val="center"/>
        <w:rPr>
          <w:rFonts w:cs="Calibri"/>
          <w:b/>
          <w:bCs/>
          <w:sz w:val="40"/>
          <w:szCs w:val="40"/>
        </w:rPr>
      </w:pPr>
    </w:p>
    <w:p w14:paraId="4684FEAD" w14:textId="77777777" w:rsidR="00DC687F" w:rsidRDefault="00DC687F" w:rsidP="00541371">
      <w:pPr>
        <w:tabs>
          <w:tab w:val="left" w:pos="3306"/>
        </w:tabs>
        <w:jc w:val="center"/>
        <w:rPr>
          <w:rFonts w:cs="Calibri"/>
          <w:b/>
          <w:bCs/>
        </w:rPr>
      </w:pPr>
    </w:p>
    <w:p w14:paraId="772B16CD" w14:textId="77777777" w:rsidR="00541371" w:rsidRDefault="00541371" w:rsidP="00541371">
      <w:pPr>
        <w:tabs>
          <w:tab w:val="left" w:pos="3306"/>
        </w:tabs>
        <w:jc w:val="center"/>
        <w:rPr>
          <w:rFonts w:cs="Calibri"/>
          <w:b/>
          <w:bCs/>
        </w:rPr>
      </w:pPr>
    </w:p>
    <w:p w14:paraId="4B169C26" w14:textId="77777777" w:rsidR="00DC687F" w:rsidRDefault="00DC687F" w:rsidP="00541371">
      <w:pPr>
        <w:tabs>
          <w:tab w:val="left" w:pos="3306"/>
        </w:tabs>
        <w:jc w:val="center"/>
        <w:rPr>
          <w:rFonts w:cs="Calibri"/>
          <w:b/>
          <w:bCs/>
        </w:rPr>
      </w:pPr>
    </w:p>
    <w:p w14:paraId="3D714A60" w14:textId="77777777" w:rsidR="00541371" w:rsidRDefault="00541371" w:rsidP="00DC687F"/>
    <w:p w14:paraId="3E3F2648" w14:textId="77777777" w:rsidR="00541371" w:rsidRDefault="00541371" w:rsidP="00DC687F"/>
    <w:p w14:paraId="17AC7718" w14:textId="77777777" w:rsidR="00541371" w:rsidRPr="00CF7E1B" w:rsidRDefault="00541371" w:rsidP="00555A12">
      <w:pPr>
        <w:pStyle w:val="Title"/>
        <w:tabs>
          <w:tab w:val="left" w:pos="3306"/>
        </w:tabs>
        <w:jc w:val="left"/>
        <w:rPr>
          <w:rFonts w:cs="Calibri"/>
        </w:rPr>
        <w:sectPr w:rsidR="00541371" w:rsidRPr="00CF7E1B" w:rsidSect="00BF7295">
          <w:headerReference w:type="default" r:id="rId16"/>
          <w:footerReference w:type="default" r:id="rId17"/>
          <w:footnotePr>
            <w:numRestart w:val="eachPage"/>
          </w:footnotePr>
          <w:type w:val="nextColumn"/>
          <w:pgSz w:w="11907" w:h="16840" w:code="9"/>
          <w:pgMar w:top="826" w:right="992" w:bottom="284" w:left="1276" w:header="57" w:footer="57" w:gutter="0"/>
          <w:pgNumType w:start="1"/>
          <w:cols w:space="720"/>
        </w:sectPr>
      </w:pPr>
    </w:p>
    <w:p w14:paraId="4E618C84" w14:textId="77777777" w:rsidR="000144FF" w:rsidRDefault="000144FF">
      <w:pPr>
        <w:tabs>
          <w:tab w:val="left" w:pos="3306"/>
        </w:tabs>
        <w:jc w:val="center"/>
        <w:rPr>
          <w:rFonts w:cs="Calibri"/>
          <w:b/>
          <w:bCs/>
        </w:rPr>
      </w:pPr>
    </w:p>
    <w:p w14:paraId="0F5871A8" w14:textId="77777777" w:rsidR="00B5432D" w:rsidRDefault="00B5432D">
      <w:pPr>
        <w:tabs>
          <w:tab w:val="left" w:pos="3306"/>
        </w:tabs>
        <w:jc w:val="center"/>
        <w:rPr>
          <w:rFonts w:cs="Calibri"/>
          <w:b/>
          <w:bCs/>
        </w:rPr>
      </w:pPr>
    </w:p>
    <w:p w14:paraId="4F0CFB5E" w14:textId="77777777" w:rsidR="00B5432D" w:rsidRDefault="00B5432D">
      <w:pPr>
        <w:tabs>
          <w:tab w:val="left" w:pos="3306"/>
        </w:tabs>
        <w:jc w:val="center"/>
        <w:rPr>
          <w:rFonts w:cs="Calibri"/>
          <w:b/>
          <w:bCs/>
        </w:rPr>
      </w:pPr>
    </w:p>
    <w:p w14:paraId="40142DF9" w14:textId="77777777" w:rsidR="00B5432D" w:rsidRDefault="00B5432D">
      <w:pPr>
        <w:tabs>
          <w:tab w:val="left" w:pos="3306"/>
        </w:tabs>
        <w:jc w:val="center"/>
        <w:rPr>
          <w:rFonts w:cs="Calibri"/>
          <w:b/>
          <w:bCs/>
        </w:rPr>
      </w:pPr>
    </w:p>
    <w:p w14:paraId="613487B7" w14:textId="77777777" w:rsidR="00B5432D" w:rsidRPr="00CF7E1B" w:rsidRDefault="00B5432D">
      <w:pPr>
        <w:tabs>
          <w:tab w:val="left" w:pos="3306"/>
        </w:tabs>
        <w:jc w:val="center"/>
        <w:rPr>
          <w:rFonts w:cs="Calibri"/>
          <w:b/>
          <w:bCs/>
        </w:rPr>
      </w:pPr>
    </w:p>
    <w:p w14:paraId="5F71ADAC" w14:textId="77777777" w:rsidR="00432859" w:rsidRDefault="00432859" w:rsidP="001A1550">
      <w:pPr>
        <w:pStyle w:val="Subtitle"/>
      </w:pPr>
      <w:bookmarkStart w:id="95" w:name="_Toc49155402"/>
      <w:bookmarkStart w:id="96" w:name="_Toc49223848"/>
      <w:bookmarkStart w:id="97" w:name="_Toc50440308"/>
      <w:bookmarkStart w:id="98" w:name="_Toc194918633"/>
      <w:bookmarkStart w:id="99" w:name="_Toc400627304"/>
    </w:p>
    <w:p w14:paraId="272091E7" w14:textId="77777777" w:rsidR="00432859" w:rsidRDefault="00432859" w:rsidP="001A1550">
      <w:pPr>
        <w:pStyle w:val="Subtitle"/>
      </w:pPr>
    </w:p>
    <w:p w14:paraId="7BDE5D29" w14:textId="77777777" w:rsidR="00950179" w:rsidRDefault="00950179" w:rsidP="001A1550">
      <w:pPr>
        <w:pStyle w:val="Subtitle"/>
      </w:pPr>
    </w:p>
    <w:p w14:paraId="374764A7" w14:textId="0A33AF72" w:rsidR="000144FF" w:rsidRPr="00CF7E1B" w:rsidRDefault="000144FF" w:rsidP="001A1550">
      <w:pPr>
        <w:pStyle w:val="Subtitle"/>
      </w:pPr>
      <w:bookmarkStart w:id="100" w:name="_Toc98763020"/>
      <w:r w:rsidRPr="00CF7E1B">
        <w:t>Independent Audit</w:t>
      </w:r>
      <w:r w:rsidR="00325BC3" w:rsidRPr="00B51BAD">
        <w:t>or’s</w:t>
      </w:r>
      <w:r w:rsidRPr="00CF7E1B">
        <w:t xml:space="preserve"> </w:t>
      </w:r>
      <w:bookmarkEnd w:id="95"/>
      <w:bookmarkEnd w:id="96"/>
      <w:bookmarkEnd w:id="97"/>
      <w:r w:rsidRPr="00CF7E1B">
        <w:t>Report</w:t>
      </w:r>
      <w:bookmarkEnd w:id="98"/>
      <w:bookmarkEnd w:id="99"/>
      <w:bookmarkEnd w:id="100"/>
    </w:p>
    <w:p w14:paraId="48ED2718" w14:textId="77777777" w:rsidR="000144FF" w:rsidRPr="00CF7E1B" w:rsidRDefault="000144FF">
      <w:pPr>
        <w:tabs>
          <w:tab w:val="left" w:pos="3306"/>
        </w:tabs>
        <w:jc w:val="center"/>
        <w:rPr>
          <w:rFonts w:cs="Calibri"/>
          <w:b/>
          <w:bCs/>
        </w:rPr>
      </w:pPr>
    </w:p>
    <w:p w14:paraId="4D01A80C" w14:textId="77777777" w:rsidR="000144FF" w:rsidRPr="00CF7E1B" w:rsidRDefault="000144FF">
      <w:pPr>
        <w:tabs>
          <w:tab w:val="left" w:pos="3306"/>
        </w:tabs>
        <w:jc w:val="center"/>
        <w:rPr>
          <w:rFonts w:cs="Calibri"/>
          <w:b/>
          <w:bCs/>
        </w:rPr>
      </w:pPr>
    </w:p>
    <w:p w14:paraId="5398B684" w14:textId="77777777" w:rsidR="000144FF" w:rsidRPr="00CF7E1B" w:rsidRDefault="000144FF">
      <w:pPr>
        <w:tabs>
          <w:tab w:val="left" w:pos="3306"/>
        </w:tabs>
        <w:jc w:val="center"/>
        <w:rPr>
          <w:rFonts w:cs="Calibri"/>
          <w:b/>
          <w:bCs/>
        </w:rPr>
      </w:pPr>
    </w:p>
    <w:p w14:paraId="249EBDD9" w14:textId="77777777" w:rsidR="000144FF" w:rsidRPr="00CF7E1B" w:rsidRDefault="000144FF">
      <w:pPr>
        <w:tabs>
          <w:tab w:val="left" w:pos="3306"/>
        </w:tabs>
        <w:jc w:val="center"/>
        <w:rPr>
          <w:rFonts w:cs="Calibri"/>
          <w:b/>
          <w:bCs/>
        </w:rPr>
      </w:pPr>
    </w:p>
    <w:p w14:paraId="78E5E3C7" w14:textId="77777777" w:rsidR="000144FF" w:rsidRPr="00CF7E1B" w:rsidRDefault="000144FF">
      <w:pPr>
        <w:tabs>
          <w:tab w:val="left" w:pos="3306"/>
        </w:tabs>
        <w:jc w:val="center"/>
        <w:rPr>
          <w:rFonts w:cs="Calibri"/>
        </w:rPr>
      </w:pPr>
      <w:r w:rsidRPr="00CF7E1B">
        <w:rPr>
          <w:rFonts w:cs="Calibri"/>
        </w:rPr>
        <w:t>[Insert the Report from the ACT Audit</w:t>
      </w:r>
      <w:r w:rsidR="00CA3705">
        <w:rPr>
          <w:rFonts w:cs="Calibri"/>
        </w:rPr>
        <w:t xml:space="preserve"> </w:t>
      </w:r>
      <w:r w:rsidRPr="00CF7E1B">
        <w:rPr>
          <w:rFonts w:cs="Calibri"/>
        </w:rPr>
        <w:t>Office.]</w:t>
      </w:r>
    </w:p>
    <w:p w14:paraId="2660411B" w14:textId="77777777" w:rsidR="00986F4D" w:rsidRDefault="00986F4D" w:rsidP="00986F4D"/>
    <w:p w14:paraId="55AE6D5E" w14:textId="77777777" w:rsidR="00CE21AE" w:rsidRDefault="00CE21AE" w:rsidP="00986F4D"/>
    <w:p w14:paraId="1FA690B5" w14:textId="77777777" w:rsidR="00CE21AE" w:rsidRDefault="00CE21AE" w:rsidP="00986F4D"/>
    <w:p w14:paraId="540A3643" w14:textId="77777777" w:rsidR="00CE21AE" w:rsidRDefault="00CE21AE" w:rsidP="00986F4D"/>
    <w:p w14:paraId="26D07F42" w14:textId="77777777" w:rsidR="00CE21AE" w:rsidRPr="00986F4D" w:rsidRDefault="00CE21AE" w:rsidP="00986F4D"/>
    <w:p w14:paraId="27AED56E" w14:textId="77777777" w:rsidR="00986F4D" w:rsidRPr="00986F4D" w:rsidRDefault="00986F4D" w:rsidP="00986F4D"/>
    <w:p w14:paraId="793E9741" w14:textId="77777777" w:rsidR="00986F4D" w:rsidRPr="00986F4D" w:rsidRDefault="00986F4D" w:rsidP="00986F4D">
      <w:pPr>
        <w:jc w:val="center"/>
      </w:pPr>
    </w:p>
    <w:p w14:paraId="713D7E97" w14:textId="77777777" w:rsidR="00986F4D" w:rsidRDefault="00986F4D" w:rsidP="00986F4D"/>
    <w:p w14:paraId="5F2E48EF" w14:textId="77777777" w:rsidR="000144FF" w:rsidRPr="00986F4D" w:rsidRDefault="000144FF" w:rsidP="00986F4D">
      <w:pPr>
        <w:sectPr w:rsidR="000144FF" w:rsidRPr="00986F4D" w:rsidSect="009F7B79">
          <w:headerReference w:type="default" r:id="rId18"/>
          <w:footnotePr>
            <w:numRestart w:val="eachPage"/>
          </w:footnotePr>
          <w:type w:val="nextColumn"/>
          <w:pgSz w:w="11907" w:h="16840" w:code="9"/>
          <w:pgMar w:top="1134" w:right="1134" w:bottom="567" w:left="1134" w:header="568" w:footer="720" w:gutter="0"/>
          <w:cols w:space="720"/>
        </w:sectPr>
      </w:pPr>
    </w:p>
    <w:p w14:paraId="0DB0F030" w14:textId="77777777" w:rsidR="000144FF" w:rsidRDefault="000144FF" w:rsidP="00E20869"/>
    <w:p w14:paraId="57FB2279" w14:textId="77777777" w:rsidR="00E20869" w:rsidRPr="00CF7E1B" w:rsidRDefault="00E20869" w:rsidP="00E20869"/>
    <w:p w14:paraId="58666F45" w14:textId="40F27622" w:rsidR="00E20869" w:rsidRPr="00B51BAD" w:rsidRDefault="00E20869" w:rsidP="00413F41">
      <w:pPr>
        <w:jc w:val="center"/>
        <w:rPr>
          <w:b/>
          <w:sz w:val="40"/>
          <w:szCs w:val="40"/>
        </w:rPr>
      </w:pPr>
      <w:r w:rsidRPr="001A1550">
        <w:rPr>
          <w:b/>
          <w:sz w:val="40"/>
          <w:szCs w:val="40"/>
        </w:rPr>
        <w:t>‘</w:t>
      </w:r>
      <w:r w:rsidR="007D5C59" w:rsidRPr="00B51BAD">
        <w:rPr>
          <w:b/>
          <w:sz w:val="40"/>
          <w:szCs w:val="40"/>
        </w:rPr>
        <w:t xml:space="preserve">Burley Griffin </w:t>
      </w:r>
      <w:r w:rsidRPr="00B51BAD">
        <w:rPr>
          <w:b/>
          <w:sz w:val="40"/>
          <w:szCs w:val="40"/>
        </w:rPr>
        <w:t>Agency’</w:t>
      </w:r>
    </w:p>
    <w:p w14:paraId="6CC798CF" w14:textId="77777777" w:rsidR="00E20869" w:rsidRPr="00B51BAD" w:rsidRDefault="00E20869" w:rsidP="00413F41">
      <w:pPr>
        <w:jc w:val="center"/>
        <w:rPr>
          <w:b/>
          <w:sz w:val="40"/>
          <w:szCs w:val="40"/>
        </w:rPr>
      </w:pPr>
      <w:r w:rsidRPr="00B51BAD">
        <w:rPr>
          <w:b/>
          <w:sz w:val="40"/>
          <w:szCs w:val="40"/>
        </w:rPr>
        <w:t>Financial Statements</w:t>
      </w:r>
    </w:p>
    <w:p w14:paraId="403E28DF" w14:textId="16D2DC9D" w:rsidR="00E20869" w:rsidRPr="00B51BAD" w:rsidRDefault="00E20869" w:rsidP="00413F41">
      <w:pPr>
        <w:jc w:val="center"/>
        <w:rPr>
          <w:b/>
          <w:sz w:val="40"/>
          <w:szCs w:val="40"/>
        </w:rPr>
      </w:pPr>
      <w:r w:rsidRPr="00B51BAD">
        <w:rPr>
          <w:b/>
          <w:sz w:val="40"/>
          <w:szCs w:val="40"/>
        </w:rPr>
        <w:t xml:space="preserve">For the Year Ended 30 June </w:t>
      </w:r>
      <w:r w:rsidR="00C66E0D" w:rsidRPr="00B51BAD">
        <w:rPr>
          <w:b/>
          <w:sz w:val="40"/>
          <w:szCs w:val="40"/>
        </w:rPr>
        <w:t>202</w:t>
      </w:r>
      <w:r w:rsidR="00C479A8" w:rsidRPr="00B51BAD">
        <w:rPr>
          <w:b/>
          <w:sz w:val="40"/>
          <w:szCs w:val="40"/>
        </w:rPr>
        <w:t>2</w:t>
      </w:r>
    </w:p>
    <w:p w14:paraId="2BB2CD9A" w14:textId="77777777" w:rsidR="000144FF" w:rsidRDefault="000144FF" w:rsidP="00E20869"/>
    <w:p w14:paraId="05865794" w14:textId="77777777" w:rsidR="00B5432D" w:rsidRPr="00CF7E1B" w:rsidRDefault="00B5432D" w:rsidP="00E20869"/>
    <w:p w14:paraId="0DDA78F3" w14:textId="77777777" w:rsidR="00E20869" w:rsidRPr="00432859" w:rsidRDefault="00E20869" w:rsidP="00736D13">
      <w:pPr>
        <w:rPr>
          <w:rFonts w:asciiTheme="minorHAnsi" w:hAnsiTheme="minorHAnsi"/>
        </w:rPr>
      </w:pPr>
      <w:bookmarkStart w:id="101" w:name="_Toc40174826"/>
      <w:bookmarkStart w:id="102" w:name="_Toc40174862"/>
      <w:bookmarkStart w:id="103" w:name="_Toc48468207"/>
      <w:bookmarkStart w:id="104" w:name="_Toc49155403"/>
      <w:bookmarkStart w:id="105" w:name="_Toc49223849"/>
      <w:bookmarkStart w:id="106" w:name="_Toc50440309"/>
      <w:bookmarkStart w:id="107" w:name="_Toc194918634"/>
      <w:bookmarkStart w:id="108" w:name="_Toc400627305"/>
    </w:p>
    <w:p w14:paraId="115EADE4" w14:textId="77777777" w:rsidR="000144FF" w:rsidRPr="00432859" w:rsidRDefault="000144FF" w:rsidP="001A1550">
      <w:pPr>
        <w:pStyle w:val="Subtitle"/>
        <w:rPr>
          <w:rFonts w:asciiTheme="minorHAnsi" w:hAnsiTheme="minorHAnsi"/>
        </w:rPr>
      </w:pPr>
      <w:bookmarkStart w:id="109" w:name="_Toc98763021"/>
      <w:r w:rsidRPr="00432859">
        <w:rPr>
          <w:rFonts w:asciiTheme="minorHAnsi" w:hAnsiTheme="minorHAnsi"/>
        </w:rPr>
        <w:t>Statement of Responsibility</w:t>
      </w:r>
      <w:bookmarkEnd w:id="101"/>
      <w:bookmarkEnd w:id="102"/>
      <w:bookmarkEnd w:id="103"/>
      <w:bookmarkEnd w:id="104"/>
      <w:bookmarkEnd w:id="105"/>
      <w:bookmarkEnd w:id="106"/>
      <w:bookmarkEnd w:id="107"/>
      <w:bookmarkEnd w:id="108"/>
      <w:bookmarkEnd w:id="109"/>
    </w:p>
    <w:p w14:paraId="7841AC5C" w14:textId="77777777" w:rsidR="000144FF" w:rsidRPr="00CF7E1B" w:rsidRDefault="000144FF">
      <w:pPr>
        <w:tabs>
          <w:tab w:val="left" w:pos="3306"/>
        </w:tabs>
        <w:rPr>
          <w:rFonts w:cs="Calibri"/>
          <w:b/>
          <w:bCs/>
          <w:sz w:val="20"/>
        </w:rPr>
      </w:pPr>
    </w:p>
    <w:p w14:paraId="0A7E4FE5" w14:textId="77777777" w:rsidR="000144FF" w:rsidRPr="00CF7E1B" w:rsidRDefault="000144FF">
      <w:pPr>
        <w:tabs>
          <w:tab w:val="left" w:pos="3306"/>
        </w:tabs>
        <w:rPr>
          <w:rFonts w:cs="Calibri"/>
          <w:b/>
          <w:bCs/>
          <w:sz w:val="20"/>
        </w:rPr>
      </w:pPr>
    </w:p>
    <w:p w14:paraId="2ACBAB15" w14:textId="77777777" w:rsidR="000144FF" w:rsidRPr="00CF7E1B" w:rsidRDefault="000144FF">
      <w:pPr>
        <w:tabs>
          <w:tab w:val="left" w:pos="3306"/>
        </w:tabs>
        <w:rPr>
          <w:rFonts w:cs="Calibri"/>
          <w:b/>
          <w:bCs/>
          <w:sz w:val="20"/>
        </w:rPr>
      </w:pPr>
    </w:p>
    <w:p w14:paraId="626F0285" w14:textId="77777777" w:rsidR="000144FF" w:rsidRPr="00CF7E1B" w:rsidRDefault="000144FF">
      <w:pPr>
        <w:tabs>
          <w:tab w:val="left" w:pos="3306"/>
        </w:tabs>
        <w:rPr>
          <w:rFonts w:cs="Calibri"/>
          <w:b/>
          <w:bCs/>
          <w:sz w:val="20"/>
        </w:rPr>
      </w:pPr>
    </w:p>
    <w:p w14:paraId="0F81C7E1" w14:textId="7CD61217" w:rsidR="000144FF" w:rsidRPr="00B51BAD" w:rsidRDefault="000144FF" w:rsidP="007D5C59">
      <w:pPr>
        <w:tabs>
          <w:tab w:val="left" w:pos="3306"/>
        </w:tabs>
        <w:jc w:val="both"/>
        <w:rPr>
          <w:rFonts w:cs="Calibri"/>
          <w:sz w:val="18"/>
          <w:szCs w:val="18"/>
        </w:rPr>
      </w:pPr>
      <w:bookmarkStart w:id="110" w:name="_Hlk64292459"/>
      <w:r w:rsidRPr="00413F41">
        <w:rPr>
          <w:rFonts w:cs="Calibri"/>
          <w:sz w:val="18"/>
          <w:szCs w:val="18"/>
        </w:rPr>
        <w:t xml:space="preserve">In </w:t>
      </w:r>
      <w:r w:rsidRPr="00B51BAD">
        <w:rPr>
          <w:rFonts w:cs="Calibri"/>
          <w:sz w:val="18"/>
          <w:szCs w:val="18"/>
        </w:rPr>
        <w:t xml:space="preserve">my opinion, the </w:t>
      </w:r>
      <w:r w:rsidR="00867B88" w:rsidRPr="00B51BAD">
        <w:rPr>
          <w:rFonts w:cs="Calibri"/>
          <w:sz w:val="18"/>
          <w:szCs w:val="18"/>
        </w:rPr>
        <w:t>Directorate</w:t>
      </w:r>
      <w:r w:rsidR="00327BF3">
        <w:rPr>
          <w:rFonts w:cs="Calibri"/>
          <w:sz w:val="18"/>
          <w:szCs w:val="18"/>
        </w:rPr>
        <w:t>’s</w:t>
      </w:r>
      <w:r w:rsidR="00867B88" w:rsidRPr="00B51BAD">
        <w:rPr>
          <w:rFonts w:cs="Calibri"/>
          <w:sz w:val="18"/>
          <w:szCs w:val="18"/>
        </w:rPr>
        <w:t xml:space="preserve">* </w:t>
      </w:r>
      <w:r w:rsidRPr="00B51BAD">
        <w:rPr>
          <w:rFonts w:cs="Calibri"/>
          <w:sz w:val="18"/>
          <w:szCs w:val="18"/>
        </w:rPr>
        <w:t xml:space="preserve">financial </w:t>
      </w:r>
      <w:r w:rsidR="00284B31" w:rsidRPr="00B51BAD">
        <w:rPr>
          <w:rFonts w:cs="Calibri"/>
          <w:sz w:val="18"/>
          <w:szCs w:val="18"/>
        </w:rPr>
        <w:t>statements</w:t>
      </w:r>
      <w:r w:rsidRPr="00B51BAD">
        <w:rPr>
          <w:rFonts w:cs="Calibri"/>
          <w:sz w:val="18"/>
          <w:szCs w:val="18"/>
        </w:rPr>
        <w:t xml:space="preserve"> fairly reflect the financial operations for the year ended 30 June </w:t>
      </w:r>
      <w:r w:rsidR="001B41EA" w:rsidRPr="00B51BAD">
        <w:rPr>
          <w:rFonts w:cs="Calibri"/>
          <w:sz w:val="18"/>
          <w:szCs w:val="18"/>
        </w:rPr>
        <w:t>202</w:t>
      </w:r>
      <w:r w:rsidR="00C479A8" w:rsidRPr="00B51BAD">
        <w:rPr>
          <w:rFonts w:cs="Calibri"/>
          <w:sz w:val="18"/>
          <w:szCs w:val="18"/>
        </w:rPr>
        <w:t>2</w:t>
      </w:r>
      <w:r w:rsidR="001B41EA" w:rsidRPr="00B51BAD">
        <w:rPr>
          <w:rFonts w:cs="Calibri"/>
          <w:sz w:val="18"/>
          <w:szCs w:val="18"/>
        </w:rPr>
        <w:t xml:space="preserve"> </w:t>
      </w:r>
      <w:r w:rsidRPr="00B51BAD">
        <w:rPr>
          <w:rFonts w:cs="Calibri"/>
          <w:sz w:val="18"/>
          <w:szCs w:val="18"/>
        </w:rPr>
        <w:t>and</w:t>
      </w:r>
      <w:r w:rsidR="00CA3AC7" w:rsidRPr="00B51BAD">
        <w:rPr>
          <w:rFonts w:cs="Calibri"/>
          <w:sz w:val="18"/>
          <w:szCs w:val="18"/>
        </w:rPr>
        <w:t xml:space="preserve"> its</w:t>
      </w:r>
      <w:r w:rsidRPr="00B51BAD">
        <w:rPr>
          <w:rFonts w:cs="Calibri"/>
          <w:sz w:val="18"/>
          <w:szCs w:val="18"/>
        </w:rPr>
        <w:t xml:space="preserve"> financial position on that date.</w:t>
      </w:r>
    </w:p>
    <w:bookmarkEnd w:id="110"/>
    <w:p w14:paraId="00DDB851" w14:textId="77777777" w:rsidR="000144FF" w:rsidRPr="00413F41" w:rsidRDefault="000144FF">
      <w:pPr>
        <w:tabs>
          <w:tab w:val="left" w:pos="3306"/>
        </w:tabs>
        <w:rPr>
          <w:rFonts w:cs="Calibri"/>
          <w:sz w:val="18"/>
          <w:szCs w:val="18"/>
        </w:rPr>
      </w:pPr>
    </w:p>
    <w:p w14:paraId="54F4AA08" w14:textId="77777777" w:rsidR="000144FF" w:rsidRPr="00413F41" w:rsidRDefault="000144FF">
      <w:pPr>
        <w:tabs>
          <w:tab w:val="left" w:pos="3306"/>
        </w:tabs>
        <w:rPr>
          <w:rFonts w:cs="Calibri"/>
          <w:sz w:val="18"/>
          <w:szCs w:val="18"/>
        </w:rPr>
      </w:pPr>
    </w:p>
    <w:p w14:paraId="492BCDFF" w14:textId="77777777" w:rsidR="000144FF" w:rsidRPr="00413F41" w:rsidRDefault="000144FF">
      <w:pPr>
        <w:tabs>
          <w:tab w:val="left" w:pos="3306"/>
        </w:tabs>
        <w:rPr>
          <w:rFonts w:cs="Calibri"/>
          <w:sz w:val="18"/>
          <w:szCs w:val="18"/>
        </w:rPr>
      </w:pPr>
    </w:p>
    <w:p w14:paraId="308A93D1" w14:textId="77777777" w:rsidR="000144FF" w:rsidRPr="00413F41" w:rsidRDefault="000144FF">
      <w:pPr>
        <w:tabs>
          <w:tab w:val="left" w:pos="3306"/>
        </w:tabs>
        <w:rPr>
          <w:rFonts w:cs="Calibri"/>
          <w:sz w:val="18"/>
          <w:szCs w:val="18"/>
        </w:rPr>
      </w:pPr>
    </w:p>
    <w:p w14:paraId="4F558D25" w14:textId="77777777" w:rsidR="000144FF" w:rsidRPr="00413F41" w:rsidRDefault="000144FF">
      <w:pPr>
        <w:tabs>
          <w:tab w:val="left" w:pos="3306"/>
        </w:tabs>
        <w:rPr>
          <w:rFonts w:cs="Calibri"/>
          <w:sz w:val="18"/>
          <w:szCs w:val="18"/>
        </w:rPr>
      </w:pPr>
    </w:p>
    <w:p w14:paraId="2014A494" w14:textId="77777777" w:rsidR="000144FF" w:rsidRPr="00B51BAD" w:rsidRDefault="000144FF">
      <w:pPr>
        <w:tabs>
          <w:tab w:val="left" w:pos="3306"/>
        </w:tabs>
        <w:rPr>
          <w:rFonts w:cs="Calibri"/>
          <w:sz w:val="18"/>
          <w:szCs w:val="18"/>
        </w:rPr>
      </w:pPr>
    </w:p>
    <w:p w14:paraId="52FA76F7" w14:textId="07308CA6" w:rsidR="000144FF" w:rsidRPr="0009580B" w:rsidRDefault="009819D7">
      <w:pPr>
        <w:tabs>
          <w:tab w:val="left" w:pos="3306"/>
        </w:tabs>
        <w:rPr>
          <w:rFonts w:cs="Calibri"/>
          <w:sz w:val="18"/>
          <w:szCs w:val="18"/>
        </w:rPr>
      </w:pPr>
      <w:r w:rsidRPr="00B51BAD">
        <w:rPr>
          <w:rFonts w:cs="Calibri"/>
          <w:sz w:val="18"/>
          <w:szCs w:val="18"/>
        </w:rPr>
        <w:t>Chloe</w:t>
      </w:r>
      <w:r w:rsidR="00946581" w:rsidRPr="00B51BAD">
        <w:rPr>
          <w:rFonts w:cs="Calibri"/>
          <w:sz w:val="18"/>
          <w:szCs w:val="18"/>
        </w:rPr>
        <w:t xml:space="preserve"> Grace </w:t>
      </w:r>
    </w:p>
    <w:p w14:paraId="6DB2BA38" w14:textId="11BEAC9E" w:rsidR="00E20869" w:rsidRPr="00B51BAD" w:rsidRDefault="00E20869">
      <w:pPr>
        <w:tabs>
          <w:tab w:val="left" w:pos="3306"/>
        </w:tabs>
        <w:rPr>
          <w:rFonts w:cs="Calibri"/>
          <w:sz w:val="18"/>
          <w:szCs w:val="18"/>
        </w:rPr>
      </w:pPr>
      <w:r w:rsidRPr="00B51BAD">
        <w:rPr>
          <w:rFonts w:cs="Calibri"/>
          <w:sz w:val="18"/>
          <w:szCs w:val="18"/>
        </w:rPr>
        <w:t>Director-General</w:t>
      </w:r>
      <w:r w:rsidR="001B0CE4" w:rsidRPr="00B51BAD">
        <w:rPr>
          <w:rFonts w:cs="Calibri"/>
          <w:sz w:val="18"/>
          <w:szCs w:val="18"/>
        </w:rPr>
        <w:t xml:space="preserve"> </w:t>
      </w:r>
      <w:r w:rsidR="001B0CE4" w:rsidRPr="00C0127A">
        <w:rPr>
          <w:rFonts w:cs="Calibri"/>
          <w:i/>
          <w:iCs/>
          <w:color w:val="2E74B5" w:themeColor="accent1" w:themeShade="BF"/>
          <w:sz w:val="18"/>
          <w:szCs w:val="18"/>
        </w:rPr>
        <w:t>[</w:t>
      </w:r>
      <w:r w:rsidR="001B0CE4" w:rsidRPr="00C0127A">
        <w:rPr>
          <w:i/>
          <w:iCs/>
          <w:color w:val="2E74B5" w:themeColor="accent1" w:themeShade="BF"/>
          <w:sz w:val="18"/>
          <w:szCs w:val="18"/>
        </w:rPr>
        <w:t>Chief Executive Officer or Chairperson]</w:t>
      </w:r>
    </w:p>
    <w:p w14:paraId="7C9EE409" w14:textId="060375BB" w:rsidR="00E20869" w:rsidRPr="00B51BAD" w:rsidRDefault="002F67B3">
      <w:pPr>
        <w:tabs>
          <w:tab w:val="left" w:pos="3306"/>
        </w:tabs>
        <w:rPr>
          <w:rFonts w:cs="Calibri"/>
          <w:sz w:val="18"/>
          <w:szCs w:val="18"/>
        </w:rPr>
      </w:pPr>
      <w:r w:rsidRPr="00B51BAD">
        <w:rPr>
          <w:rFonts w:cs="Calibri"/>
          <w:sz w:val="18"/>
          <w:szCs w:val="18"/>
        </w:rPr>
        <w:t>‘Burley Griffin Agency’</w:t>
      </w:r>
    </w:p>
    <w:p w14:paraId="769F2A79" w14:textId="10E6E5D6" w:rsidR="00E20869" w:rsidRPr="00B51BAD" w:rsidRDefault="00FA7C77">
      <w:pPr>
        <w:tabs>
          <w:tab w:val="left" w:pos="3306"/>
        </w:tabs>
        <w:rPr>
          <w:rFonts w:cs="Calibri"/>
          <w:sz w:val="18"/>
          <w:szCs w:val="18"/>
        </w:rPr>
      </w:pPr>
      <w:r>
        <w:rPr>
          <w:rFonts w:cs="Calibri"/>
          <w:sz w:val="18"/>
          <w:szCs w:val="18"/>
        </w:rPr>
        <w:t xml:space="preserve">     </w:t>
      </w:r>
      <w:r w:rsidR="00CF2E06" w:rsidRPr="00B51BAD">
        <w:rPr>
          <w:rFonts w:cs="Calibri"/>
          <w:sz w:val="18"/>
          <w:szCs w:val="18"/>
        </w:rPr>
        <w:t>August</w:t>
      </w:r>
      <w:r w:rsidR="00E20869" w:rsidRPr="00B51BAD">
        <w:rPr>
          <w:rFonts w:cs="Calibri"/>
          <w:sz w:val="18"/>
          <w:szCs w:val="18"/>
        </w:rPr>
        <w:t xml:space="preserve"> </w:t>
      </w:r>
      <w:r w:rsidR="00CE40B2" w:rsidRPr="00B51BAD">
        <w:rPr>
          <w:rFonts w:cs="Calibri"/>
          <w:sz w:val="18"/>
          <w:szCs w:val="18"/>
        </w:rPr>
        <w:t>202</w:t>
      </w:r>
      <w:r w:rsidR="00C479A8" w:rsidRPr="00B51BAD">
        <w:rPr>
          <w:rFonts w:cs="Calibri"/>
          <w:sz w:val="18"/>
          <w:szCs w:val="18"/>
        </w:rPr>
        <w:t>2</w:t>
      </w:r>
    </w:p>
    <w:p w14:paraId="532D51E0" w14:textId="77777777" w:rsidR="000144FF" w:rsidRPr="00CF7E1B" w:rsidRDefault="000144FF">
      <w:pPr>
        <w:pStyle w:val="BodyText"/>
        <w:jc w:val="center"/>
        <w:rPr>
          <w:rFonts w:cs="Calibri"/>
          <w:b/>
          <w:bCs/>
        </w:rPr>
      </w:pPr>
    </w:p>
    <w:p w14:paraId="0CAAEA33" w14:textId="380E7B34" w:rsidR="000144FF" w:rsidRDefault="000144FF" w:rsidP="00413F41">
      <w:pPr>
        <w:pStyle w:val="BodyText"/>
        <w:jc w:val="left"/>
        <w:rPr>
          <w:rFonts w:cs="Calibri"/>
          <w:b/>
          <w:bCs/>
        </w:rPr>
      </w:pPr>
    </w:p>
    <w:p w14:paraId="1E995561" w14:textId="4B0B2422" w:rsidR="00413F41" w:rsidRDefault="00413F41" w:rsidP="00413F41">
      <w:pPr>
        <w:pStyle w:val="BodyText"/>
        <w:jc w:val="left"/>
        <w:rPr>
          <w:rFonts w:cs="Calibri"/>
          <w:b/>
          <w:bCs/>
        </w:rPr>
      </w:pPr>
    </w:p>
    <w:p w14:paraId="0575F82F" w14:textId="19BECFA9" w:rsidR="00413F41" w:rsidRDefault="00413F41" w:rsidP="00413F41">
      <w:pPr>
        <w:pStyle w:val="BodyText"/>
        <w:jc w:val="left"/>
        <w:rPr>
          <w:rFonts w:cs="Calibri"/>
          <w:b/>
          <w:bCs/>
        </w:rPr>
      </w:pPr>
    </w:p>
    <w:p w14:paraId="48313CCB" w14:textId="77777777" w:rsidR="00413F41" w:rsidRDefault="00413F41" w:rsidP="00413F41">
      <w:pPr>
        <w:pStyle w:val="BodyText"/>
        <w:jc w:val="left"/>
        <w:rPr>
          <w:rFonts w:cs="Calibri"/>
          <w:b/>
          <w:bCs/>
        </w:rPr>
      </w:pPr>
    </w:p>
    <w:p w14:paraId="289A734B" w14:textId="77777777" w:rsidR="00413F41" w:rsidRPr="00CF7E1B" w:rsidRDefault="00413F41" w:rsidP="00413F41">
      <w:pPr>
        <w:pStyle w:val="BodyText"/>
        <w:jc w:val="left"/>
        <w:rPr>
          <w:rFonts w:cs="Calibri"/>
          <w:b/>
          <w:bCs/>
        </w:rPr>
      </w:pPr>
    </w:p>
    <w:tbl>
      <w:tblPr>
        <w:tblW w:w="10491"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931"/>
      </w:tblGrid>
      <w:tr w:rsidR="000144FF" w:rsidRPr="00CF7E1B" w14:paraId="6F4E9D56" w14:textId="77777777" w:rsidTr="00BB0CA9">
        <w:trPr>
          <w:trHeight w:hRule="exact" w:val="707"/>
        </w:trPr>
        <w:tc>
          <w:tcPr>
            <w:tcW w:w="1560" w:type="dxa"/>
            <w:tcBorders>
              <w:top w:val="nil"/>
              <w:left w:val="single" w:sz="2" w:space="0" w:color="auto"/>
              <w:bottom w:val="nil"/>
              <w:right w:val="single" w:sz="2" w:space="0" w:color="auto"/>
            </w:tcBorders>
          </w:tcPr>
          <w:p w14:paraId="13E7689E" w14:textId="77777777" w:rsidR="000144FF" w:rsidRPr="00C0127A" w:rsidRDefault="000144FF" w:rsidP="003A523A">
            <w:pPr>
              <w:pStyle w:val="Reference"/>
              <w:spacing w:before="240"/>
              <w:rPr>
                <w:rFonts w:cs="Calibri"/>
                <w:color w:val="7030A0"/>
                <w:sz w:val="22"/>
                <w:szCs w:val="22"/>
              </w:rPr>
            </w:pPr>
            <w:r w:rsidRPr="00C0127A">
              <w:rPr>
                <w:rFonts w:cs="Calibri"/>
                <w:color w:val="7030A0"/>
                <w:sz w:val="22"/>
                <w:szCs w:val="22"/>
              </w:rPr>
              <w:t>Reference</w:t>
            </w:r>
          </w:p>
        </w:tc>
        <w:tc>
          <w:tcPr>
            <w:tcW w:w="8931" w:type="dxa"/>
            <w:tcBorders>
              <w:top w:val="nil"/>
              <w:left w:val="single" w:sz="2" w:space="0" w:color="auto"/>
              <w:bottom w:val="nil"/>
              <w:right w:val="nil"/>
            </w:tcBorders>
            <w:shd w:val="clear" w:color="auto" w:fill="7030A0"/>
            <w:vAlign w:val="bottom"/>
          </w:tcPr>
          <w:p w14:paraId="2FA530D1" w14:textId="77777777" w:rsidR="000144FF" w:rsidRPr="00C0127A" w:rsidRDefault="00E20869" w:rsidP="003A523A">
            <w:pPr>
              <w:spacing w:before="240" w:after="240"/>
              <w:rPr>
                <w:b/>
                <w:caps/>
                <w:color w:val="FFFFFF" w:themeColor="background1"/>
                <w:sz w:val="28"/>
                <w:szCs w:val="28"/>
              </w:rPr>
            </w:pPr>
            <w:bookmarkStart w:id="111" w:name="_Toc163106280"/>
            <w:r w:rsidRPr="00C0127A">
              <w:rPr>
                <w:b/>
                <w:color w:val="FFFFFF" w:themeColor="background1"/>
                <w:sz w:val="28"/>
                <w:szCs w:val="28"/>
              </w:rPr>
              <w:t>Commentary – Statement of Responsibility</w:t>
            </w:r>
            <w:bookmarkEnd w:id="111"/>
          </w:p>
        </w:tc>
      </w:tr>
      <w:tr w:rsidR="000144FF" w:rsidRPr="00CF7E1B" w14:paraId="2E243251"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54256A5A" w14:textId="1CA8E94E" w:rsidR="000144FF" w:rsidRPr="00C0127A" w:rsidRDefault="000144FF">
            <w:pPr>
              <w:pStyle w:val="TableReference"/>
              <w:tabs>
                <w:tab w:val="left" w:pos="3306"/>
              </w:tabs>
              <w:spacing w:before="60"/>
              <w:rPr>
                <w:rFonts w:cs="Calibri"/>
                <w:color w:val="7030A0"/>
                <w:sz w:val="14"/>
              </w:rPr>
            </w:pPr>
            <w:r w:rsidRPr="00C0127A">
              <w:rPr>
                <w:rFonts w:cs="Calibri"/>
                <w:color w:val="7030A0"/>
                <w:sz w:val="14"/>
              </w:rPr>
              <w:t>FMA Section 28</w:t>
            </w:r>
            <w:r w:rsidR="001B0CE4" w:rsidRPr="00C0127A">
              <w:rPr>
                <w:rFonts w:cs="Calibri"/>
                <w:color w:val="7030A0"/>
                <w:sz w:val="14"/>
              </w:rPr>
              <w:t xml:space="preserve"> and 64</w:t>
            </w:r>
          </w:p>
          <w:p w14:paraId="3A6DE6B2" w14:textId="77777777" w:rsidR="000144FF" w:rsidRPr="00C0127A" w:rsidRDefault="000144FF">
            <w:pPr>
              <w:pStyle w:val="TableReference"/>
              <w:tabs>
                <w:tab w:val="left" w:pos="3306"/>
              </w:tabs>
              <w:spacing w:before="60"/>
              <w:rPr>
                <w:rFonts w:cs="Calibri"/>
                <w:color w:val="7030A0"/>
              </w:rPr>
            </w:pPr>
          </w:p>
          <w:p w14:paraId="09B24D07" w14:textId="77777777" w:rsidR="003B0E8A" w:rsidRPr="00C0127A" w:rsidRDefault="003B0E8A">
            <w:pPr>
              <w:pStyle w:val="TableReference"/>
              <w:tabs>
                <w:tab w:val="left" w:pos="3306"/>
              </w:tabs>
              <w:spacing w:before="60"/>
              <w:rPr>
                <w:rFonts w:cs="Calibri"/>
                <w:strike/>
                <w:color w:val="7030A0"/>
              </w:rPr>
            </w:pPr>
          </w:p>
        </w:tc>
        <w:tc>
          <w:tcPr>
            <w:tcW w:w="8931" w:type="dxa"/>
            <w:tcBorders>
              <w:left w:val="single" w:sz="2" w:space="0" w:color="auto"/>
            </w:tcBorders>
            <w:shd w:val="clear" w:color="auto" w:fill="7030A0"/>
          </w:tcPr>
          <w:p w14:paraId="1841C4B6" w14:textId="645006D9" w:rsidR="000144FF" w:rsidRPr="00C0127A" w:rsidRDefault="000144FF" w:rsidP="00D31414">
            <w:pPr>
              <w:pStyle w:val="BodyText"/>
              <w:spacing w:after="120"/>
              <w:rPr>
                <w:rFonts w:cs="Calibri"/>
                <w:color w:val="FFFFFF" w:themeColor="background1"/>
                <w:sz w:val="18"/>
                <w:szCs w:val="18"/>
              </w:rPr>
            </w:pPr>
            <w:r w:rsidRPr="00C0127A">
              <w:rPr>
                <w:rFonts w:cs="Calibri"/>
                <w:color w:val="FFFFFF" w:themeColor="background1"/>
                <w:sz w:val="18"/>
                <w:szCs w:val="18"/>
              </w:rPr>
              <w:t xml:space="preserve">The </w:t>
            </w:r>
            <w:r w:rsidRPr="00C0127A">
              <w:rPr>
                <w:rFonts w:cs="Calibri"/>
                <w:i/>
                <w:iCs/>
                <w:color w:val="FFFFFF" w:themeColor="background1"/>
                <w:sz w:val="18"/>
                <w:szCs w:val="18"/>
              </w:rPr>
              <w:t>Financial Management Act 1996</w:t>
            </w:r>
            <w:r w:rsidRPr="00C0127A">
              <w:rPr>
                <w:rFonts w:cs="Calibri"/>
                <w:color w:val="FFFFFF" w:themeColor="background1"/>
                <w:sz w:val="18"/>
                <w:szCs w:val="18"/>
              </w:rPr>
              <w:t xml:space="preserve"> (FMA) requires the </w:t>
            </w:r>
            <w:r w:rsidR="009B7243" w:rsidRPr="00C0127A">
              <w:rPr>
                <w:rFonts w:cs="Calibri"/>
                <w:color w:val="FFFFFF" w:themeColor="background1"/>
                <w:sz w:val="18"/>
                <w:szCs w:val="18"/>
              </w:rPr>
              <w:t>Director-General</w:t>
            </w:r>
            <w:r w:rsidR="006A5947" w:rsidRPr="00C0127A">
              <w:rPr>
                <w:rFonts w:cs="Calibri"/>
                <w:color w:val="FFFFFF" w:themeColor="background1"/>
                <w:sz w:val="18"/>
                <w:szCs w:val="18"/>
              </w:rPr>
              <w:t>/</w:t>
            </w:r>
            <w:r w:rsidR="006A5947" w:rsidRPr="00C0127A">
              <w:rPr>
                <w:color w:val="FFFFFF" w:themeColor="background1"/>
                <w:sz w:val="18"/>
                <w:szCs w:val="18"/>
              </w:rPr>
              <w:t>Chief Executive Officer/</w:t>
            </w:r>
            <w:r w:rsidR="0086368E" w:rsidRPr="00C0127A">
              <w:rPr>
                <w:color w:val="FFFFFF" w:themeColor="background1"/>
                <w:sz w:val="18"/>
                <w:szCs w:val="18"/>
              </w:rPr>
              <w:t>Chairperson</w:t>
            </w:r>
            <w:r w:rsidR="001B231B" w:rsidRPr="00C0127A">
              <w:rPr>
                <w:rFonts w:cs="Calibri"/>
                <w:color w:val="FFFFFF" w:themeColor="background1"/>
                <w:sz w:val="18"/>
                <w:szCs w:val="18"/>
              </w:rPr>
              <w:t xml:space="preserve"> </w:t>
            </w:r>
            <w:r w:rsidRPr="00C0127A">
              <w:rPr>
                <w:rFonts w:cs="Calibri"/>
                <w:color w:val="FFFFFF" w:themeColor="background1"/>
                <w:sz w:val="18"/>
                <w:szCs w:val="18"/>
              </w:rPr>
              <w:t xml:space="preserve">to attach a ‘Statement of Responsibility’ to the financial </w:t>
            </w:r>
            <w:r w:rsidR="00284B31" w:rsidRPr="00C0127A">
              <w:rPr>
                <w:rFonts w:cs="Calibri"/>
                <w:color w:val="FFFFFF" w:themeColor="background1"/>
                <w:sz w:val="18"/>
                <w:szCs w:val="18"/>
              </w:rPr>
              <w:t>statements</w:t>
            </w:r>
            <w:r w:rsidRPr="00C0127A">
              <w:rPr>
                <w:rFonts w:cs="Calibri"/>
                <w:color w:val="FFFFFF" w:themeColor="background1"/>
                <w:sz w:val="18"/>
                <w:szCs w:val="18"/>
              </w:rPr>
              <w:t>.</w:t>
            </w:r>
            <w:r w:rsidR="00FA7C77">
              <w:rPr>
                <w:rFonts w:cs="Calibri"/>
                <w:color w:val="FFFFFF" w:themeColor="background1"/>
                <w:sz w:val="18"/>
                <w:szCs w:val="18"/>
              </w:rPr>
              <w:t xml:space="preserve"> </w:t>
            </w:r>
            <w:r w:rsidRPr="00C0127A">
              <w:rPr>
                <w:rFonts w:cs="Calibri"/>
                <w:color w:val="FFFFFF" w:themeColor="background1"/>
                <w:sz w:val="18"/>
                <w:szCs w:val="18"/>
              </w:rPr>
              <w:t xml:space="preserve">The statement is to be signed by the </w:t>
            </w:r>
            <w:r w:rsidR="009B7243" w:rsidRPr="00C0127A">
              <w:rPr>
                <w:rFonts w:cs="Calibri"/>
                <w:color w:val="FFFFFF" w:themeColor="background1"/>
                <w:sz w:val="18"/>
                <w:szCs w:val="18"/>
              </w:rPr>
              <w:t>Director-General</w:t>
            </w:r>
            <w:r w:rsidR="006A5947" w:rsidRPr="00C0127A">
              <w:rPr>
                <w:rFonts w:cs="Calibri"/>
                <w:color w:val="FFFFFF" w:themeColor="background1"/>
                <w:sz w:val="18"/>
                <w:szCs w:val="18"/>
              </w:rPr>
              <w:t xml:space="preserve"> of </w:t>
            </w:r>
            <w:r w:rsidR="000A505E" w:rsidRPr="00C0127A">
              <w:rPr>
                <w:rFonts w:cs="Calibri"/>
                <w:color w:val="FFFFFF" w:themeColor="background1"/>
                <w:sz w:val="18"/>
                <w:szCs w:val="18"/>
              </w:rPr>
              <w:t>a</w:t>
            </w:r>
            <w:r w:rsidR="006A5947" w:rsidRPr="00C0127A">
              <w:rPr>
                <w:rFonts w:cs="Calibri"/>
                <w:color w:val="FFFFFF" w:themeColor="background1"/>
                <w:sz w:val="18"/>
                <w:szCs w:val="18"/>
              </w:rPr>
              <w:t xml:space="preserve"> Directorate</w:t>
            </w:r>
            <w:r w:rsidR="001B0CE4" w:rsidRPr="00C0127A">
              <w:rPr>
                <w:rFonts w:cs="Calibri"/>
                <w:color w:val="FFFFFF" w:themeColor="background1"/>
                <w:sz w:val="18"/>
                <w:szCs w:val="18"/>
              </w:rPr>
              <w:t xml:space="preserve"> </w:t>
            </w:r>
            <w:r w:rsidR="006A5947" w:rsidRPr="00C0127A">
              <w:rPr>
                <w:rFonts w:cs="Calibri"/>
                <w:color w:val="FFFFFF" w:themeColor="background1"/>
                <w:sz w:val="18"/>
                <w:szCs w:val="18"/>
              </w:rPr>
              <w:t xml:space="preserve">or by the Chief Executive Officer of </w:t>
            </w:r>
            <w:r w:rsidR="000A505E" w:rsidRPr="00C0127A">
              <w:rPr>
                <w:rFonts w:cs="Calibri"/>
                <w:color w:val="FFFFFF" w:themeColor="background1"/>
                <w:sz w:val="18"/>
                <w:szCs w:val="18"/>
              </w:rPr>
              <w:t>a Territory</w:t>
            </w:r>
            <w:r w:rsidR="006A5947" w:rsidRPr="00C0127A">
              <w:rPr>
                <w:rFonts w:cs="Calibri"/>
                <w:color w:val="FFFFFF" w:themeColor="background1"/>
                <w:sz w:val="18"/>
                <w:szCs w:val="18"/>
              </w:rPr>
              <w:t xml:space="preserve"> Authority where the Authority does not have a governing board.</w:t>
            </w:r>
            <w:r w:rsidR="00FA7C77">
              <w:rPr>
                <w:rFonts w:cs="Calibri"/>
                <w:color w:val="FFFFFF" w:themeColor="background1"/>
                <w:sz w:val="18"/>
                <w:szCs w:val="18"/>
              </w:rPr>
              <w:t xml:space="preserve"> </w:t>
            </w:r>
            <w:r w:rsidR="000A505E" w:rsidRPr="00C0127A">
              <w:rPr>
                <w:rFonts w:cs="Calibri"/>
                <w:color w:val="FFFFFF" w:themeColor="background1"/>
                <w:sz w:val="18"/>
                <w:szCs w:val="18"/>
              </w:rPr>
              <w:t>W</w:t>
            </w:r>
            <w:r w:rsidR="006A5947" w:rsidRPr="00C0127A">
              <w:rPr>
                <w:rFonts w:cs="Calibri"/>
                <w:color w:val="FFFFFF" w:themeColor="background1"/>
                <w:sz w:val="18"/>
                <w:szCs w:val="18"/>
              </w:rPr>
              <w:t>here the Authority has a governing board the Chair of that board must sign the statement.</w:t>
            </w:r>
            <w:r w:rsidR="00FA7C77">
              <w:rPr>
                <w:rFonts w:cs="Calibri"/>
                <w:color w:val="FFFFFF" w:themeColor="background1"/>
                <w:sz w:val="18"/>
                <w:szCs w:val="18"/>
              </w:rPr>
              <w:t xml:space="preserve"> </w:t>
            </w:r>
          </w:p>
        </w:tc>
      </w:tr>
      <w:tr w:rsidR="008778FD" w:rsidRPr="00CF7E1B" w14:paraId="7F8A2507"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0C3830A9"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62AF70E0" w14:textId="08E6A801" w:rsidR="008778FD" w:rsidRPr="00C0127A" w:rsidRDefault="008778FD" w:rsidP="00D31414">
            <w:pPr>
              <w:pStyle w:val="BodyText"/>
              <w:spacing w:after="120"/>
              <w:rPr>
                <w:rFonts w:cs="Calibri"/>
                <w:color w:val="FFFFFF" w:themeColor="background1"/>
                <w:sz w:val="18"/>
                <w:szCs w:val="18"/>
              </w:rPr>
            </w:pPr>
            <w:r w:rsidRPr="00C0127A">
              <w:rPr>
                <w:rFonts w:cs="Calibri"/>
                <w:color w:val="FFFFFF" w:themeColor="background1"/>
                <w:sz w:val="18"/>
                <w:szCs w:val="18"/>
              </w:rPr>
              <w:t>For Directorates and Territory Authorities, the ‘Statement of Responsibility’ must state whether, in the opinion of the responsible Director-General/</w:t>
            </w:r>
            <w:r w:rsidRPr="00C0127A">
              <w:rPr>
                <w:color w:val="FFFFFF" w:themeColor="background1"/>
                <w:sz w:val="18"/>
                <w:szCs w:val="18"/>
              </w:rPr>
              <w:t>Chief Executive Officer/</w:t>
            </w:r>
            <w:r w:rsidR="0086368E" w:rsidRPr="00C0127A">
              <w:rPr>
                <w:color w:val="FFFFFF" w:themeColor="background1"/>
                <w:sz w:val="18"/>
                <w:szCs w:val="18"/>
              </w:rPr>
              <w:t>Chairperson</w:t>
            </w:r>
            <w:r w:rsidRPr="00C0127A">
              <w:rPr>
                <w:rFonts w:cs="Calibri"/>
                <w:color w:val="FFFFFF" w:themeColor="background1"/>
                <w:sz w:val="18"/>
                <w:szCs w:val="18"/>
              </w:rPr>
              <w:t>, the financial statements fairly reflect the financial operations of the agency during the reporting period and the financial position of the agency at the end of the reporting period.</w:t>
            </w:r>
            <w:r w:rsidR="00FA7C77">
              <w:rPr>
                <w:rFonts w:cs="Calibri"/>
                <w:color w:val="FFFFFF" w:themeColor="background1"/>
                <w:sz w:val="18"/>
                <w:szCs w:val="18"/>
              </w:rPr>
              <w:t xml:space="preserve"> </w:t>
            </w:r>
            <w:r w:rsidRPr="00C0127A">
              <w:rPr>
                <w:rFonts w:cs="Calibri"/>
                <w:color w:val="FFFFFF" w:themeColor="background1"/>
                <w:sz w:val="18"/>
                <w:szCs w:val="18"/>
              </w:rPr>
              <w:t xml:space="preserve">In addition, </w:t>
            </w:r>
            <w:r w:rsidR="0086368E" w:rsidRPr="00C0127A">
              <w:rPr>
                <w:rFonts w:cs="Calibri"/>
                <w:color w:val="FFFFFF" w:themeColor="background1"/>
                <w:sz w:val="18"/>
                <w:szCs w:val="18"/>
              </w:rPr>
              <w:t>Territory</w:t>
            </w:r>
            <w:r w:rsidRPr="00C0127A">
              <w:rPr>
                <w:rFonts w:cs="Calibri"/>
                <w:color w:val="FFFFFF" w:themeColor="background1"/>
                <w:sz w:val="18"/>
                <w:szCs w:val="18"/>
              </w:rPr>
              <w:t xml:space="preserve"> Authorities should also state that the Chief Executive Officer or Chairperson</w:t>
            </w:r>
            <w:r w:rsidR="00221FEC" w:rsidRPr="00C0127A">
              <w:rPr>
                <w:rFonts w:cs="Calibri"/>
                <w:color w:val="FFFFFF" w:themeColor="background1"/>
                <w:sz w:val="18"/>
                <w:szCs w:val="18"/>
              </w:rPr>
              <w:t xml:space="preserve"> i</w:t>
            </w:r>
            <w:r w:rsidRPr="00C0127A">
              <w:rPr>
                <w:rFonts w:cs="Calibri"/>
                <w:color w:val="FFFFFF" w:themeColor="background1"/>
                <w:sz w:val="18"/>
                <w:szCs w:val="18"/>
              </w:rPr>
              <w:t>s responsib</w:t>
            </w:r>
            <w:r w:rsidR="00597C01" w:rsidRPr="00C0127A">
              <w:rPr>
                <w:rFonts w:cs="Calibri"/>
                <w:color w:val="FFFFFF" w:themeColor="background1"/>
                <w:sz w:val="18"/>
                <w:szCs w:val="18"/>
              </w:rPr>
              <w:t>l</w:t>
            </w:r>
            <w:r w:rsidR="00221FEC" w:rsidRPr="00C0127A">
              <w:rPr>
                <w:rFonts w:cs="Calibri"/>
                <w:color w:val="FFFFFF" w:themeColor="background1"/>
                <w:sz w:val="18"/>
                <w:szCs w:val="18"/>
              </w:rPr>
              <w:t>e</w:t>
            </w:r>
            <w:r w:rsidRPr="00C0127A">
              <w:rPr>
                <w:rFonts w:cs="Calibri"/>
                <w:color w:val="FFFFFF" w:themeColor="background1"/>
                <w:sz w:val="18"/>
                <w:szCs w:val="18"/>
              </w:rPr>
              <w:t xml:space="preserve"> for the preparation of the annual financial statements and the judgements exercised in preparing it.</w:t>
            </w:r>
          </w:p>
        </w:tc>
      </w:tr>
      <w:tr w:rsidR="008778FD" w:rsidRPr="00CF7E1B" w14:paraId="6C62A105"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68890331"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1E4F5A60" w14:textId="77777777" w:rsidR="008778FD" w:rsidRDefault="008778FD" w:rsidP="00D31414">
            <w:pPr>
              <w:pStyle w:val="BodyText"/>
              <w:spacing w:after="120"/>
              <w:rPr>
                <w:rFonts w:cs="Calibri"/>
                <w:color w:val="FFFFFF" w:themeColor="background1"/>
                <w:sz w:val="18"/>
                <w:szCs w:val="18"/>
              </w:rPr>
            </w:pPr>
            <w:r w:rsidRPr="00C0127A">
              <w:rPr>
                <w:rFonts w:cs="Calibri"/>
                <w:color w:val="FFFFFF" w:themeColor="background1"/>
                <w:sz w:val="18"/>
                <w:szCs w:val="18"/>
              </w:rPr>
              <w:t>The name of the Director-General/</w:t>
            </w:r>
            <w:r w:rsidRPr="00C0127A">
              <w:rPr>
                <w:color w:val="FFFFFF" w:themeColor="background1"/>
                <w:sz w:val="18"/>
                <w:szCs w:val="18"/>
              </w:rPr>
              <w:t>Chief Executive Officer/</w:t>
            </w:r>
            <w:r w:rsidR="0086368E" w:rsidRPr="00C0127A">
              <w:rPr>
                <w:color w:val="FFFFFF" w:themeColor="background1"/>
                <w:sz w:val="18"/>
                <w:szCs w:val="18"/>
              </w:rPr>
              <w:t>Chairperson</w:t>
            </w:r>
            <w:r w:rsidRPr="00C0127A">
              <w:rPr>
                <w:rFonts w:cs="Calibri"/>
                <w:color w:val="FFFFFF" w:themeColor="background1"/>
                <w:sz w:val="18"/>
                <w:szCs w:val="18"/>
              </w:rPr>
              <w:t xml:space="preserve"> of the agency must be clearly printed on the statement.</w:t>
            </w:r>
          </w:p>
          <w:p w14:paraId="6B4C6243" w14:textId="06146AD8" w:rsidR="00950179" w:rsidRPr="00950179" w:rsidRDefault="00950179" w:rsidP="00D31414">
            <w:pPr>
              <w:pStyle w:val="BodyText"/>
              <w:spacing w:after="120"/>
              <w:rPr>
                <w:rFonts w:cs="Calibri"/>
                <w:b/>
                <w:bCs/>
                <w:color w:val="FFFFFF" w:themeColor="background1"/>
                <w:sz w:val="18"/>
                <w:szCs w:val="18"/>
              </w:rPr>
            </w:pPr>
            <w:r>
              <w:rPr>
                <w:rFonts w:cs="Calibri"/>
                <w:b/>
                <w:bCs/>
                <w:color w:val="FFFFFF" w:themeColor="background1"/>
                <w:sz w:val="18"/>
                <w:szCs w:val="18"/>
              </w:rPr>
              <w:t>Territory Authority Commentary</w:t>
            </w:r>
          </w:p>
        </w:tc>
      </w:tr>
      <w:tr w:rsidR="008778FD" w:rsidRPr="00CF7E1B" w14:paraId="01695D1E"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7C490999" w14:textId="77777777" w:rsidR="008778FD" w:rsidRPr="00A63513" w:rsidRDefault="008778FD">
            <w:pPr>
              <w:pStyle w:val="TableReference"/>
              <w:tabs>
                <w:tab w:val="left" w:pos="3306"/>
              </w:tabs>
              <w:spacing w:before="60"/>
              <w:rPr>
                <w:rFonts w:cs="Calibri"/>
                <w:color w:val="auto"/>
                <w:sz w:val="16"/>
                <w:szCs w:val="16"/>
              </w:rPr>
            </w:pPr>
          </w:p>
        </w:tc>
        <w:tc>
          <w:tcPr>
            <w:tcW w:w="8931" w:type="dxa"/>
            <w:tcBorders>
              <w:left w:val="single" w:sz="2" w:space="0" w:color="auto"/>
            </w:tcBorders>
            <w:shd w:val="clear" w:color="auto" w:fill="7030A0"/>
          </w:tcPr>
          <w:p w14:paraId="19021EEE" w14:textId="585398AA" w:rsidR="008778FD" w:rsidRPr="00950179" w:rsidRDefault="000313E2" w:rsidP="00D31414">
            <w:pPr>
              <w:pStyle w:val="BodyText"/>
              <w:spacing w:after="120"/>
              <w:rPr>
                <w:rFonts w:cs="Calibri"/>
                <w:color w:val="FFFFFF" w:themeColor="background1"/>
                <w:sz w:val="18"/>
                <w:szCs w:val="18"/>
              </w:rPr>
            </w:pPr>
            <w:r w:rsidRPr="00950179">
              <w:rPr>
                <w:rFonts w:cs="Calibri"/>
                <w:color w:val="FFFFFF" w:themeColor="background1"/>
                <w:sz w:val="18"/>
                <w:szCs w:val="18"/>
              </w:rPr>
              <w:t xml:space="preserve">A Territory Authority should use the following wording in its Statement of Responsibility: </w:t>
            </w:r>
          </w:p>
        </w:tc>
      </w:tr>
      <w:tr w:rsidR="001A1550" w:rsidRPr="00CF7E1B" w14:paraId="04909C59"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3DAB09BE" w14:textId="77777777" w:rsidR="001A1550" w:rsidRPr="00A63513" w:rsidRDefault="001A1550">
            <w:pPr>
              <w:pStyle w:val="TableReference"/>
              <w:tabs>
                <w:tab w:val="left" w:pos="3306"/>
              </w:tabs>
              <w:spacing w:before="60"/>
              <w:rPr>
                <w:rFonts w:cs="Calibri"/>
                <w:color w:val="auto"/>
                <w:sz w:val="16"/>
                <w:szCs w:val="16"/>
              </w:rPr>
            </w:pPr>
            <w:r>
              <w:rPr>
                <w:color w:val="auto"/>
                <w:sz w:val="24"/>
                <w:szCs w:val="16"/>
              </w:rPr>
              <w:br w:type="page"/>
            </w:r>
          </w:p>
        </w:tc>
        <w:tc>
          <w:tcPr>
            <w:tcW w:w="8931" w:type="dxa"/>
            <w:tcBorders>
              <w:left w:val="single" w:sz="2" w:space="0" w:color="auto"/>
            </w:tcBorders>
            <w:shd w:val="clear" w:color="auto" w:fill="7030A0"/>
          </w:tcPr>
          <w:p w14:paraId="65A1A054" w14:textId="758ECE04" w:rsidR="001A1550" w:rsidRPr="00950179" w:rsidRDefault="000313E2" w:rsidP="00D31414">
            <w:pPr>
              <w:pStyle w:val="BodyText"/>
              <w:spacing w:after="120"/>
              <w:rPr>
                <w:rFonts w:cs="Calibri"/>
                <w:color w:val="FFFFFF" w:themeColor="background1"/>
                <w:sz w:val="20"/>
              </w:rPr>
            </w:pPr>
            <w:r w:rsidRPr="00950179">
              <w:rPr>
                <w:rFonts w:cs="Calibri"/>
                <w:color w:val="FFFFFF" w:themeColor="background1"/>
                <w:sz w:val="18"/>
                <w:szCs w:val="18"/>
              </w:rPr>
              <w:t>[</w:t>
            </w:r>
            <w:r w:rsidR="008778FD" w:rsidRPr="00950179">
              <w:rPr>
                <w:rFonts w:cs="Calibri"/>
                <w:color w:val="FFFFFF" w:themeColor="background1"/>
                <w:sz w:val="18"/>
                <w:szCs w:val="18"/>
              </w:rPr>
              <w:t>As the Chief Executive Officer/</w:t>
            </w:r>
            <w:r w:rsidR="0086368E" w:rsidRPr="00950179">
              <w:rPr>
                <w:rFonts w:cs="Calibri"/>
                <w:color w:val="FFFFFF" w:themeColor="background1"/>
                <w:sz w:val="18"/>
                <w:szCs w:val="18"/>
              </w:rPr>
              <w:t>Chairperson</w:t>
            </w:r>
            <w:r w:rsidR="008778FD" w:rsidRPr="00950179">
              <w:rPr>
                <w:rFonts w:cs="Calibri"/>
                <w:color w:val="FFFFFF" w:themeColor="background1"/>
                <w:sz w:val="18"/>
                <w:szCs w:val="18"/>
              </w:rPr>
              <w:t xml:space="preserve"> of ‘</w:t>
            </w:r>
            <w:r w:rsidR="0086368E" w:rsidRPr="00950179">
              <w:rPr>
                <w:rFonts w:cs="Calibri"/>
                <w:color w:val="FFFFFF" w:themeColor="background1"/>
                <w:sz w:val="18"/>
                <w:szCs w:val="18"/>
              </w:rPr>
              <w:t>Example</w:t>
            </w:r>
            <w:r w:rsidRPr="00950179">
              <w:rPr>
                <w:rFonts w:cs="Calibri"/>
                <w:color w:val="FFFFFF" w:themeColor="background1"/>
                <w:sz w:val="18"/>
                <w:szCs w:val="18"/>
              </w:rPr>
              <w:t xml:space="preserve"> Territory Authority’ </w:t>
            </w:r>
            <w:r w:rsidR="008778FD" w:rsidRPr="00950179">
              <w:rPr>
                <w:rFonts w:cs="Calibri"/>
                <w:color w:val="FFFFFF" w:themeColor="background1"/>
                <w:sz w:val="18"/>
                <w:szCs w:val="18"/>
              </w:rPr>
              <w:t>I am responsibility for the preparation of the annual financial report as well as the judgements exercised in preparing it.</w:t>
            </w:r>
            <w:r w:rsidR="00FA7C77">
              <w:rPr>
                <w:rFonts w:cs="Calibri"/>
                <w:color w:val="FFFFFF" w:themeColor="background1"/>
                <w:sz w:val="18"/>
                <w:szCs w:val="18"/>
              </w:rPr>
              <w:t xml:space="preserve"> </w:t>
            </w:r>
            <w:r w:rsidR="008778FD" w:rsidRPr="00950179">
              <w:rPr>
                <w:rFonts w:cs="Calibri"/>
                <w:color w:val="FFFFFF" w:themeColor="background1"/>
                <w:sz w:val="18"/>
                <w:szCs w:val="18"/>
              </w:rPr>
              <w:t xml:space="preserve">In my opinion, the </w:t>
            </w:r>
            <w:r w:rsidR="00327BF3" w:rsidRPr="00950179">
              <w:rPr>
                <w:rFonts w:cs="Calibri"/>
                <w:color w:val="FFFFFF" w:themeColor="background1"/>
                <w:sz w:val="18"/>
                <w:szCs w:val="18"/>
              </w:rPr>
              <w:t xml:space="preserve">Authority’s </w:t>
            </w:r>
            <w:r w:rsidR="008778FD" w:rsidRPr="00950179">
              <w:rPr>
                <w:rFonts w:cs="Calibri"/>
                <w:color w:val="FFFFFF" w:themeColor="background1"/>
                <w:sz w:val="18"/>
                <w:szCs w:val="18"/>
              </w:rPr>
              <w:t>financial statements fairly reflect the financial operations for the year ended 30 June 2022 and the financial position on that date.</w:t>
            </w:r>
            <w:r w:rsidRPr="00950179">
              <w:rPr>
                <w:rFonts w:cs="Calibri"/>
                <w:color w:val="FFFFFF" w:themeColor="background1"/>
                <w:sz w:val="18"/>
                <w:szCs w:val="18"/>
              </w:rPr>
              <w:t>]</w:t>
            </w:r>
          </w:p>
        </w:tc>
      </w:tr>
    </w:tbl>
    <w:p w14:paraId="3ACAB00A" w14:textId="77777777" w:rsidR="001A1550" w:rsidRDefault="001A1550">
      <w:r>
        <w:br w:type="page"/>
      </w:r>
    </w:p>
    <w:p w14:paraId="0CD041D5" w14:textId="23F60CA4" w:rsidR="000144FF" w:rsidRDefault="000144FF" w:rsidP="00E20869"/>
    <w:p w14:paraId="314FC1B3" w14:textId="77777777" w:rsidR="00413F41" w:rsidRPr="00CF7E1B" w:rsidRDefault="00413F41" w:rsidP="00E20869"/>
    <w:p w14:paraId="2C7A45D2" w14:textId="5AB3C3E9" w:rsidR="00E20869" w:rsidRPr="00963583" w:rsidRDefault="00E20869" w:rsidP="00E20869">
      <w:pPr>
        <w:jc w:val="center"/>
        <w:rPr>
          <w:b/>
          <w:sz w:val="40"/>
          <w:szCs w:val="40"/>
        </w:rPr>
      </w:pPr>
      <w:r w:rsidRPr="00963583">
        <w:rPr>
          <w:b/>
          <w:sz w:val="40"/>
          <w:szCs w:val="40"/>
        </w:rPr>
        <w:t>‘</w:t>
      </w:r>
      <w:r w:rsidR="007D5C59" w:rsidRPr="00963583">
        <w:rPr>
          <w:b/>
          <w:sz w:val="40"/>
          <w:szCs w:val="40"/>
        </w:rPr>
        <w:t xml:space="preserve">Burley Griffin </w:t>
      </w:r>
      <w:r w:rsidRPr="00963583">
        <w:rPr>
          <w:b/>
          <w:sz w:val="40"/>
          <w:szCs w:val="40"/>
        </w:rPr>
        <w:t>Agency’</w:t>
      </w:r>
    </w:p>
    <w:p w14:paraId="69D56107" w14:textId="77777777" w:rsidR="00E20869" w:rsidRPr="00963583" w:rsidRDefault="00E20869" w:rsidP="00E20869">
      <w:pPr>
        <w:jc w:val="center"/>
        <w:rPr>
          <w:b/>
          <w:sz w:val="40"/>
          <w:szCs w:val="40"/>
        </w:rPr>
      </w:pPr>
      <w:r w:rsidRPr="00963583">
        <w:rPr>
          <w:b/>
          <w:sz w:val="40"/>
          <w:szCs w:val="40"/>
        </w:rPr>
        <w:t>Financial Statements</w:t>
      </w:r>
    </w:p>
    <w:p w14:paraId="39F83E48" w14:textId="25771C1F" w:rsidR="00E20869" w:rsidRPr="00963583" w:rsidRDefault="00E20869" w:rsidP="00E20869">
      <w:pPr>
        <w:jc w:val="center"/>
        <w:rPr>
          <w:b/>
          <w:sz w:val="40"/>
          <w:szCs w:val="40"/>
        </w:rPr>
      </w:pPr>
      <w:r w:rsidRPr="00963583">
        <w:rPr>
          <w:b/>
          <w:sz w:val="40"/>
          <w:szCs w:val="40"/>
        </w:rPr>
        <w:t xml:space="preserve">For the Year Ended 30 June </w:t>
      </w:r>
      <w:r w:rsidR="00C66E0D" w:rsidRPr="00963583">
        <w:rPr>
          <w:b/>
          <w:sz w:val="40"/>
          <w:szCs w:val="40"/>
        </w:rPr>
        <w:t>202</w:t>
      </w:r>
      <w:r w:rsidR="00C479A8" w:rsidRPr="00963583">
        <w:rPr>
          <w:b/>
          <w:sz w:val="40"/>
          <w:szCs w:val="40"/>
        </w:rPr>
        <w:t>2</w:t>
      </w:r>
    </w:p>
    <w:p w14:paraId="037A29D9" w14:textId="77777777" w:rsidR="000144FF" w:rsidRPr="00963583" w:rsidRDefault="000144FF" w:rsidP="00E20869"/>
    <w:p w14:paraId="00A42D92" w14:textId="77777777" w:rsidR="000144FF" w:rsidRPr="00963583" w:rsidRDefault="000144FF">
      <w:pPr>
        <w:pStyle w:val="BodyText"/>
        <w:jc w:val="center"/>
        <w:rPr>
          <w:rFonts w:cs="Calibri"/>
        </w:rPr>
      </w:pPr>
    </w:p>
    <w:p w14:paraId="3574F54F" w14:textId="77777777" w:rsidR="000144FF" w:rsidRPr="00963583" w:rsidRDefault="000144FF">
      <w:pPr>
        <w:pStyle w:val="BodyText"/>
        <w:jc w:val="center"/>
        <w:rPr>
          <w:rFonts w:cs="Calibri"/>
        </w:rPr>
      </w:pPr>
    </w:p>
    <w:p w14:paraId="62F3A52D" w14:textId="77777777" w:rsidR="000144FF" w:rsidRPr="00963583" w:rsidRDefault="000144FF" w:rsidP="001A1550">
      <w:pPr>
        <w:pStyle w:val="Subtitle"/>
        <w:rPr>
          <w:rFonts w:ascii="Calibri" w:hAnsi="Calibri"/>
        </w:rPr>
      </w:pPr>
      <w:bookmarkStart w:id="112" w:name="_Toc194918635"/>
      <w:bookmarkStart w:id="113" w:name="_Toc400627306"/>
      <w:bookmarkStart w:id="114" w:name="_Toc98763022"/>
      <w:r w:rsidRPr="00963583">
        <w:rPr>
          <w:rFonts w:ascii="Calibri" w:hAnsi="Calibri"/>
        </w:rPr>
        <w:t>Statement by the Chief Finance Officer</w:t>
      </w:r>
      <w:bookmarkEnd w:id="112"/>
      <w:bookmarkEnd w:id="113"/>
      <w:bookmarkEnd w:id="114"/>
    </w:p>
    <w:p w14:paraId="38148D9C" w14:textId="77777777" w:rsidR="000144FF" w:rsidRPr="00963583" w:rsidRDefault="000144FF">
      <w:pPr>
        <w:pStyle w:val="BodyText"/>
        <w:jc w:val="center"/>
        <w:rPr>
          <w:rFonts w:cs="Calibri"/>
        </w:rPr>
      </w:pPr>
    </w:p>
    <w:p w14:paraId="0789607C" w14:textId="77777777" w:rsidR="000144FF" w:rsidRPr="00963583" w:rsidRDefault="000144FF">
      <w:pPr>
        <w:pStyle w:val="BodyText"/>
        <w:jc w:val="center"/>
        <w:rPr>
          <w:rFonts w:cs="Calibri"/>
        </w:rPr>
      </w:pPr>
    </w:p>
    <w:p w14:paraId="3C471B1C" w14:textId="77777777" w:rsidR="000144FF" w:rsidRPr="00963583" w:rsidRDefault="000144FF">
      <w:pPr>
        <w:pStyle w:val="BodyText"/>
        <w:jc w:val="center"/>
        <w:rPr>
          <w:rFonts w:cs="Calibri"/>
        </w:rPr>
      </w:pPr>
    </w:p>
    <w:p w14:paraId="0EE7E581" w14:textId="63998F24" w:rsidR="000144FF" w:rsidRPr="00963583" w:rsidRDefault="000144FF">
      <w:pPr>
        <w:pStyle w:val="BodyText"/>
        <w:tabs>
          <w:tab w:val="left" w:pos="3306"/>
        </w:tabs>
        <w:rPr>
          <w:rFonts w:cs="Calibri"/>
          <w:sz w:val="18"/>
          <w:szCs w:val="18"/>
        </w:rPr>
      </w:pPr>
      <w:bookmarkStart w:id="115" w:name="_Hlk64292412"/>
      <w:r w:rsidRPr="00963583">
        <w:rPr>
          <w:rFonts w:cs="Calibri"/>
          <w:sz w:val="18"/>
          <w:szCs w:val="18"/>
        </w:rPr>
        <w:t xml:space="preserve">In my opinion, the </w:t>
      </w:r>
      <w:r w:rsidR="00CA3AC7" w:rsidRPr="00963583">
        <w:rPr>
          <w:rFonts w:cs="Calibri"/>
          <w:sz w:val="18"/>
          <w:szCs w:val="18"/>
        </w:rPr>
        <w:t xml:space="preserve">Agency’s </w:t>
      </w:r>
      <w:r w:rsidRPr="00963583">
        <w:rPr>
          <w:rFonts w:cs="Calibri"/>
          <w:sz w:val="18"/>
          <w:szCs w:val="18"/>
        </w:rPr>
        <w:t xml:space="preserve">financial </w:t>
      </w:r>
      <w:r w:rsidR="00284B31" w:rsidRPr="00963583">
        <w:rPr>
          <w:rFonts w:cs="Calibri"/>
          <w:sz w:val="18"/>
          <w:szCs w:val="18"/>
        </w:rPr>
        <w:t>statements</w:t>
      </w:r>
      <w:r w:rsidRPr="00963583">
        <w:rPr>
          <w:rFonts w:cs="Calibri"/>
          <w:sz w:val="18"/>
          <w:szCs w:val="18"/>
        </w:rPr>
        <w:t xml:space="preserve"> </w:t>
      </w:r>
      <w:r w:rsidR="00284B31" w:rsidRPr="00963583">
        <w:rPr>
          <w:rFonts w:cs="Calibri"/>
          <w:sz w:val="18"/>
          <w:szCs w:val="18"/>
        </w:rPr>
        <w:t>have</w:t>
      </w:r>
      <w:r w:rsidRPr="00963583">
        <w:rPr>
          <w:rFonts w:cs="Calibri"/>
          <w:sz w:val="18"/>
          <w:szCs w:val="18"/>
        </w:rPr>
        <w:t xml:space="preserve"> been prepared in accordance with </w:t>
      </w:r>
      <w:r w:rsidR="0038548D" w:rsidRPr="00963583">
        <w:rPr>
          <w:rFonts w:cs="Calibri"/>
          <w:sz w:val="18"/>
          <w:szCs w:val="18"/>
        </w:rPr>
        <w:t>the Australian A</w:t>
      </w:r>
      <w:r w:rsidR="00E1202B" w:rsidRPr="00963583">
        <w:rPr>
          <w:rFonts w:cs="Calibri"/>
          <w:sz w:val="18"/>
          <w:szCs w:val="18"/>
        </w:rPr>
        <w:t xml:space="preserve">ccounting </w:t>
      </w:r>
      <w:r w:rsidR="0038548D" w:rsidRPr="00963583">
        <w:rPr>
          <w:rFonts w:cs="Calibri"/>
          <w:sz w:val="18"/>
          <w:szCs w:val="18"/>
        </w:rPr>
        <w:t>S</w:t>
      </w:r>
      <w:r w:rsidR="00E1202B" w:rsidRPr="00963583">
        <w:rPr>
          <w:rFonts w:cs="Calibri"/>
          <w:sz w:val="18"/>
          <w:szCs w:val="18"/>
        </w:rPr>
        <w:t>tandards</w:t>
      </w:r>
      <w:r w:rsidRPr="00963583">
        <w:rPr>
          <w:rFonts w:cs="Calibri"/>
          <w:sz w:val="18"/>
          <w:szCs w:val="18"/>
        </w:rPr>
        <w:t xml:space="preserve">, </w:t>
      </w:r>
      <w:r w:rsidR="00284B31" w:rsidRPr="00963583">
        <w:rPr>
          <w:rFonts w:cs="Calibri"/>
          <w:sz w:val="18"/>
          <w:szCs w:val="18"/>
        </w:rPr>
        <w:t>are</w:t>
      </w:r>
      <w:r w:rsidRPr="00963583">
        <w:rPr>
          <w:rFonts w:cs="Calibri"/>
          <w:sz w:val="18"/>
          <w:szCs w:val="18"/>
        </w:rPr>
        <w:t xml:space="preserve"> in agreement with</w:t>
      </w:r>
      <w:r w:rsidR="00CA3AC7" w:rsidRPr="00963583">
        <w:rPr>
          <w:rFonts w:cs="Calibri"/>
          <w:sz w:val="18"/>
          <w:szCs w:val="18"/>
        </w:rPr>
        <w:t xml:space="preserve"> its</w:t>
      </w:r>
      <w:r w:rsidRPr="00963583">
        <w:rPr>
          <w:rFonts w:cs="Calibri"/>
          <w:sz w:val="18"/>
          <w:szCs w:val="18"/>
        </w:rPr>
        <w:t xml:space="preserve"> </w:t>
      </w:r>
      <w:r w:rsidR="00284B31" w:rsidRPr="00963583">
        <w:rPr>
          <w:rFonts w:cs="Calibri"/>
          <w:sz w:val="18"/>
          <w:szCs w:val="18"/>
        </w:rPr>
        <w:t>accounts and record</w:t>
      </w:r>
      <w:r w:rsidR="002934DF" w:rsidRPr="00963583">
        <w:rPr>
          <w:rFonts w:cs="Calibri"/>
          <w:sz w:val="18"/>
          <w:szCs w:val="18"/>
        </w:rPr>
        <w:t>s</w:t>
      </w:r>
      <w:r w:rsidRPr="00963583">
        <w:rPr>
          <w:rFonts w:cs="Calibri"/>
          <w:sz w:val="18"/>
          <w:szCs w:val="18"/>
        </w:rPr>
        <w:t xml:space="preserve"> and fair</w:t>
      </w:r>
      <w:r w:rsidR="00284B31" w:rsidRPr="00963583">
        <w:rPr>
          <w:rFonts w:cs="Calibri"/>
          <w:sz w:val="18"/>
          <w:szCs w:val="18"/>
        </w:rPr>
        <w:t>ly reflect</w:t>
      </w:r>
      <w:r w:rsidRPr="00963583">
        <w:rPr>
          <w:rFonts w:cs="Calibri"/>
          <w:sz w:val="18"/>
          <w:szCs w:val="18"/>
        </w:rPr>
        <w:t xml:space="preserve"> </w:t>
      </w:r>
      <w:r w:rsidR="00CA3AC7" w:rsidRPr="00963583">
        <w:rPr>
          <w:rFonts w:cs="Calibri"/>
          <w:sz w:val="18"/>
          <w:szCs w:val="18"/>
        </w:rPr>
        <w:t xml:space="preserve">its </w:t>
      </w:r>
      <w:r w:rsidRPr="00963583">
        <w:rPr>
          <w:rFonts w:cs="Calibri"/>
          <w:sz w:val="18"/>
          <w:szCs w:val="18"/>
        </w:rPr>
        <w:t xml:space="preserve">financial operations for the year ended 30 June </w:t>
      </w:r>
      <w:r w:rsidR="00A60941" w:rsidRPr="00963583">
        <w:rPr>
          <w:rFonts w:cs="Calibri"/>
          <w:sz w:val="18"/>
          <w:szCs w:val="18"/>
        </w:rPr>
        <w:t>202</w:t>
      </w:r>
      <w:r w:rsidR="00C479A8" w:rsidRPr="00963583">
        <w:rPr>
          <w:rFonts w:cs="Calibri"/>
          <w:sz w:val="18"/>
          <w:szCs w:val="18"/>
        </w:rPr>
        <w:t>2</w:t>
      </w:r>
      <w:r w:rsidR="00A60941" w:rsidRPr="00963583">
        <w:rPr>
          <w:rFonts w:cs="Calibri"/>
          <w:sz w:val="18"/>
          <w:szCs w:val="18"/>
        </w:rPr>
        <w:t xml:space="preserve"> </w:t>
      </w:r>
      <w:r w:rsidRPr="00963583">
        <w:rPr>
          <w:rFonts w:cs="Calibri"/>
          <w:sz w:val="18"/>
          <w:szCs w:val="18"/>
        </w:rPr>
        <w:t>and the financial position on that date.</w:t>
      </w:r>
    </w:p>
    <w:bookmarkEnd w:id="115"/>
    <w:p w14:paraId="715C41A7" w14:textId="77777777" w:rsidR="000144FF" w:rsidRPr="00963583" w:rsidRDefault="000144FF">
      <w:pPr>
        <w:tabs>
          <w:tab w:val="left" w:pos="3306"/>
        </w:tabs>
        <w:rPr>
          <w:rFonts w:cs="Calibri"/>
          <w:sz w:val="18"/>
          <w:szCs w:val="18"/>
        </w:rPr>
      </w:pPr>
    </w:p>
    <w:p w14:paraId="7B4FA1EB" w14:textId="77777777" w:rsidR="000144FF" w:rsidRPr="00963583" w:rsidRDefault="000144FF">
      <w:pPr>
        <w:tabs>
          <w:tab w:val="left" w:pos="3306"/>
        </w:tabs>
        <w:rPr>
          <w:rFonts w:cs="Calibri"/>
          <w:sz w:val="18"/>
          <w:szCs w:val="18"/>
        </w:rPr>
      </w:pPr>
    </w:p>
    <w:p w14:paraId="3903B71F" w14:textId="77777777" w:rsidR="000144FF" w:rsidRPr="00963583" w:rsidRDefault="000144FF">
      <w:pPr>
        <w:tabs>
          <w:tab w:val="left" w:pos="3306"/>
        </w:tabs>
        <w:rPr>
          <w:rFonts w:cs="Calibri"/>
          <w:sz w:val="18"/>
          <w:szCs w:val="18"/>
        </w:rPr>
      </w:pPr>
    </w:p>
    <w:p w14:paraId="5E94F8C0" w14:textId="77777777" w:rsidR="000144FF" w:rsidRPr="00963583" w:rsidRDefault="000144FF">
      <w:pPr>
        <w:tabs>
          <w:tab w:val="left" w:pos="3306"/>
        </w:tabs>
        <w:rPr>
          <w:rFonts w:cs="Calibri"/>
          <w:sz w:val="18"/>
          <w:szCs w:val="18"/>
        </w:rPr>
      </w:pPr>
    </w:p>
    <w:p w14:paraId="1417CB73" w14:textId="77777777" w:rsidR="000144FF" w:rsidRPr="00963583" w:rsidRDefault="000144FF">
      <w:pPr>
        <w:tabs>
          <w:tab w:val="left" w:pos="3306"/>
        </w:tabs>
        <w:rPr>
          <w:rFonts w:cs="Calibri"/>
          <w:sz w:val="18"/>
          <w:szCs w:val="18"/>
        </w:rPr>
      </w:pPr>
    </w:p>
    <w:p w14:paraId="6FE4AB41" w14:textId="02876929" w:rsidR="000144FF" w:rsidRPr="00963583" w:rsidRDefault="001B0CE4">
      <w:pPr>
        <w:tabs>
          <w:tab w:val="left" w:pos="3306"/>
        </w:tabs>
        <w:rPr>
          <w:rFonts w:cs="Calibri"/>
          <w:sz w:val="18"/>
          <w:szCs w:val="18"/>
        </w:rPr>
      </w:pPr>
      <w:r w:rsidRPr="00963583">
        <w:rPr>
          <w:rFonts w:cs="Calibri"/>
          <w:sz w:val="18"/>
          <w:szCs w:val="18"/>
        </w:rPr>
        <w:t>Harry</w:t>
      </w:r>
      <w:r w:rsidR="00151714" w:rsidRPr="00963583">
        <w:rPr>
          <w:rFonts w:cs="Calibri"/>
          <w:sz w:val="18"/>
          <w:szCs w:val="18"/>
        </w:rPr>
        <w:t xml:space="preserve"> </w:t>
      </w:r>
      <w:r w:rsidR="003F270D" w:rsidRPr="00963583">
        <w:rPr>
          <w:rFonts w:cs="Calibri"/>
          <w:sz w:val="18"/>
          <w:szCs w:val="18"/>
        </w:rPr>
        <w:t>Austin</w:t>
      </w:r>
    </w:p>
    <w:p w14:paraId="328ACA76" w14:textId="77777777" w:rsidR="000144FF" w:rsidRPr="00963583" w:rsidRDefault="003A523A">
      <w:pPr>
        <w:tabs>
          <w:tab w:val="left" w:pos="3306"/>
        </w:tabs>
        <w:rPr>
          <w:rFonts w:cs="Calibri"/>
          <w:sz w:val="18"/>
          <w:szCs w:val="18"/>
        </w:rPr>
      </w:pPr>
      <w:r w:rsidRPr="00963583">
        <w:rPr>
          <w:rFonts w:cs="Calibri"/>
          <w:sz w:val="18"/>
          <w:szCs w:val="18"/>
        </w:rPr>
        <w:t>Chief Finance Officer</w:t>
      </w:r>
    </w:p>
    <w:p w14:paraId="1185CF6F" w14:textId="5727DF00" w:rsidR="003A523A" w:rsidRPr="00963583" w:rsidRDefault="002F67B3">
      <w:pPr>
        <w:tabs>
          <w:tab w:val="left" w:pos="3306"/>
        </w:tabs>
        <w:rPr>
          <w:rFonts w:cs="Calibri"/>
          <w:sz w:val="18"/>
          <w:szCs w:val="18"/>
        </w:rPr>
      </w:pPr>
      <w:r w:rsidRPr="00963583">
        <w:rPr>
          <w:rFonts w:cs="Calibri"/>
          <w:sz w:val="18"/>
          <w:szCs w:val="18"/>
        </w:rPr>
        <w:t>‘Burley Griffin Agency’</w:t>
      </w:r>
    </w:p>
    <w:p w14:paraId="5573A280" w14:textId="464F479E" w:rsidR="003A523A" w:rsidRPr="00963583" w:rsidRDefault="00FA7C77">
      <w:pPr>
        <w:tabs>
          <w:tab w:val="left" w:pos="3306"/>
        </w:tabs>
        <w:rPr>
          <w:rFonts w:cs="Calibri"/>
          <w:sz w:val="18"/>
          <w:szCs w:val="18"/>
        </w:rPr>
      </w:pPr>
      <w:r>
        <w:rPr>
          <w:rFonts w:cs="Calibri"/>
          <w:sz w:val="18"/>
          <w:szCs w:val="18"/>
        </w:rPr>
        <w:t xml:space="preserve">     </w:t>
      </w:r>
      <w:r w:rsidR="00CF2E06" w:rsidRPr="00963583">
        <w:rPr>
          <w:rFonts w:cs="Calibri"/>
          <w:sz w:val="18"/>
          <w:szCs w:val="18"/>
        </w:rPr>
        <w:t xml:space="preserve">August </w:t>
      </w:r>
      <w:r w:rsidR="00A60941" w:rsidRPr="00963583">
        <w:rPr>
          <w:rFonts w:cs="Calibri"/>
          <w:sz w:val="18"/>
          <w:szCs w:val="18"/>
        </w:rPr>
        <w:t>202</w:t>
      </w:r>
      <w:r w:rsidR="00C479A8" w:rsidRPr="00963583">
        <w:rPr>
          <w:rFonts w:cs="Calibri"/>
          <w:sz w:val="18"/>
          <w:szCs w:val="18"/>
        </w:rPr>
        <w:t>2</w:t>
      </w:r>
    </w:p>
    <w:p w14:paraId="502DE5C9" w14:textId="77777777" w:rsidR="000144FF" w:rsidRPr="00413F41" w:rsidRDefault="000144FF">
      <w:pPr>
        <w:tabs>
          <w:tab w:val="left" w:pos="3306"/>
        </w:tabs>
        <w:rPr>
          <w:rFonts w:cs="Calibri"/>
          <w:sz w:val="18"/>
          <w:szCs w:val="18"/>
        </w:rPr>
      </w:pPr>
    </w:p>
    <w:p w14:paraId="0BD52F55" w14:textId="382243AD" w:rsidR="000144FF" w:rsidRDefault="000144FF">
      <w:pPr>
        <w:tabs>
          <w:tab w:val="left" w:pos="3306"/>
        </w:tabs>
        <w:rPr>
          <w:rFonts w:cs="Calibri"/>
        </w:rPr>
      </w:pPr>
    </w:p>
    <w:p w14:paraId="158B1047" w14:textId="12FC31C3" w:rsidR="00BC1B79" w:rsidRDefault="00BC1B79">
      <w:pPr>
        <w:tabs>
          <w:tab w:val="left" w:pos="3306"/>
        </w:tabs>
        <w:rPr>
          <w:rFonts w:cs="Calibri"/>
        </w:rPr>
      </w:pPr>
    </w:p>
    <w:p w14:paraId="700DC1A1" w14:textId="5ACA3BBE" w:rsidR="00BC1B79" w:rsidRDefault="00BC1B79">
      <w:pPr>
        <w:tabs>
          <w:tab w:val="left" w:pos="3306"/>
        </w:tabs>
        <w:rPr>
          <w:rFonts w:cs="Calibri"/>
        </w:rPr>
      </w:pPr>
    </w:p>
    <w:p w14:paraId="1B62C46A" w14:textId="3715C890" w:rsidR="00BC1B79" w:rsidRDefault="00BC1B79">
      <w:pPr>
        <w:tabs>
          <w:tab w:val="left" w:pos="3306"/>
        </w:tabs>
        <w:rPr>
          <w:rFonts w:cs="Calibri"/>
        </w:rPr>
      </w:pPr>
    </w:p>
    <w:p w14:paraId="59BBFCAD" w14:textId="1BD953D0" w:rsidR="00BC1B79" w:rsidRDefault="00BC1B79">
      <w:pPr>
        <w:tabs>
          <w:tab w:val="left" w:pos="3306"/>
        </w:tabs>
        <w:rPr>
          <w:rFonts w:cs="Calibri"/>
        </w:rPr>
      </w:pPr>
    </w:p>
    <w:p w14:paraId="7B7119AB" w14:textId="3CF29D6C" w:rsidR="00BC1B79" w:rsidRDefault="00BC1B79">
      <w:pPr>
        <w:tabs>
          <w:tab w:val="left" w:pos="3306"/>
        </w:tabs>
        <w:rPr>
          <w:rFonts w:cs="Calibri"/>
        </w:rPr>
      </w:pPr>
    </w:p>
    <w:p w14:paraId="428E0C14" w14:textId="77777777" w:rsidR="00BC1B79" w:rsidRPr="00CF7E1B" w:rsidRDefault="00BC1B79">
      <w:pPr>
        <w:tabs>
          <w:tab w:val="left" w:pos="3306"/>
        </w:tabs>
        <w:rPr>
          <w:rFonts w:cs="Calibri"/>
        </w:rPr>
      </w:pPr>
    </w:p>
    <w:p w14:paraId="0C858528" w14:textId="77777777" w:rsidR="000144FF" w:rsidRPr="00CF7E1B" w:rsidRDefault="000144FF">
      <w:pPr>
        <w:tabs>
          <w:tab w:val="left" w:pos="3306"/>
        </w:tabs>
        <w:rPr>
          <w:rFonts w:cs="Calibri"/>
        </w:rPr>
      </w:pPr>
    </w:p>
    <w:tbl>
      <w:tblPr>
        <w:tblW w:w="10425"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865"/>
      </w:tblGrid>
      <w:tr w:rsidR="000144FF" w:rsidRPr="00CF7E1B" w14:paraId="3A906952" w14:textId="77777777" w:rsidTr="00BB0CA9">
        <w:trPr>
          <w:trHeight w:val="23"/>
        </w:trPr>
        <w:tc>
          <w:tcPr>
            <w:tcW w:w="1560" w:type="dxa"/>
            <w:tcBorders>
              <w:top w:val="nil"/>
              <w:left w:val="single" w:sz="2" w:space="0" w:color="auto"/>
              <w:bottom w:val="nil"/>
              <w:right w:val="single" w:sz="2" w:space="0" w:color="auto"/>
            </w:tcBorders>
          </w:tcPr>
          <w:p w14:paraId="795208A0" w14:textId="77777777" w:rsidR="000144FF" w:rsidRPr="00963583" w:rsidRDefault="000144FF" w:rsidP="003A523A">
            <w:pPr>
              <w:pStyle w:val="Reference"/>
              <w:spacing w:before="240"/>
              <w:rPr>
                <w:rFonts w:cs="Calibri"/>
                <w:color w:val="7030A0"/>
              </w:rPr>
            </w:pPr>
            <w:r w:rsidRPr="00963583">
              <w:rPr>
                <w:rFonts w:cs="Calibri"/>
                <w:color w:val="7030A0"/>
              </w:rPr>
              <w:t>Reference</w:t>
            </w:r>
          </w:p>
        </w:tc>
        <w:tc>
          <w:tcPr>
            <w:tcW w:w="8865" w:type="dxa"/>
            <w:tcBorders>
              <w:top w:val="nil"/>
              <w:left w:val="single" w:sz="2" w:space="0" w:color="auto"/>
              <w:bottom w:val="nil"/>
              <w:right w:val="nil"/>
            </w:tcBorders>
            <w:shd w:val="clear" w:color="auto" w:fill="7030A0"/>
            <w:vAlign w:val="bottom"/>
          </w:tcPr>
          <w:p w14:paraId="5B21CBB3" w14:textId="77777777" w:rsidR="000144FF" w:rsidRPr="00950179" w:rsidRDefault="003A523A" w:rsidP="003A523A">
            <w:pPr>
              <w:spacing w:before="240" w:after="240"/>
              <w:rPr>
                <w:b/>
                <w:caps/>
                <w:color w:val="FFFFFF" w:themeColor="background1"/>
                <w:sz w:val="28"/>
                <w:szCs w:val="28"/>
              </w:rPr>
            </w:pPr>
            <w:bookmarkStart w:id="116" w:name="_Toc163106282"/>
            <w:r w:rsidRPr="00950179">
              <w:rPr>
                <w:b/>
                <w:color w:val="FFFFFF" w:themeColor="background1"/>
                <w:sz w:val="28"/>
                <w:szCs w:val="28"/>
              </w:rPr>
              <w:t>Commentary – Statement by the Chief Finance Officer</w:t>
            </w:r>
            <w:bookmarkEnd w:id="116"/>
          </w:p>
        </w:tc>
      </w:tr>
      <w:tr w:rsidR="000144FF" w:rsidRPr="00CF7E1B" w14:paraId="2F1C200B" w14:textId="77777777" w:rsidTr="00BB0CA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rPr>
        <w:tc>
          <w:tcPr>
            <w:tcW w:w="1560" w:type="dxa"/>
            <w:tcBorders>
              <w:left w:val="single" w:sz="2" w:space="0" w:color="auto"/>
              <w:right w:val="single" w:sz="2" w:space="0" w:color="auto"/>
            </w:tcBorders>
          </w:tcPr>
          <w:p w14:paraId="512539B7" w14:textId="77777777" w:rsidR="000144FF" w:rsidRPr="00963583" w:rsidRDefault="000144FF" w:rsidP="00574DE1">
            <w:pPr>
              <w:pStyle w:val="TableReference"/>
              <w:tabs>
                <w:tab w:val="left" w:pos="3306"/>
              </w:tabs>
              <w:spacing w:before="40"/>
              <w:rPr>
                <w:rFonts w:cs="Calibri"/>
                <w:color w:val="7030A0"/>
                <w:sz w:val="14"/>
              </w:rPr>
            </w:pPr>
            <w:r w:rsidRPr="00963583">
              <w:rPr>
                <w:rFonts w:cs="Calibri"/>
                <w:color w:val="7030A0"/>
                <w:sz w:val="14"/>
              </w:rPr>
              <w:t xml:space="preserve">ACT </w:t>
            </w:r>
            <w:r w:rsidR="00791016" w:rsidRPr="00963583">
              <w:rPr>
                <w:rFonts w:cs="Calibri"/>
                <w:color w:val="7030A0"/>
                <w:sz w:val="14"/>
              </w:rPr>
              <w:t>Disclosure</w:t>
            </w:r>
            <w:r w:rsidRPr="00963583">
              <w:rPr>
                <w:rFonts w:cs="Calibri"/>
                <w:color w:val="7030A0"/>
                <w:sz w:val="14"/>
              </w:rPr>
              <w:t xml:space="preserve"> Policy </w:t>
            </w:r>
          </w:p>
        </w:tc>
        <w:tc>
          <w:tcPr>
            <w:tcW w:w="8865" w:type="dxa"/>
            <w:tcBorders>
              <w:left w:val="single" w:sz="2" w:space="0" w:color="auto"/>
            </w:tcBorders>
            <w:shd w:val="clear" w:color="auto" w:fill="7030A0"/>
          </w:tcPr>
          <w:p w14:paraId="1C2413E6" w14:textId="154FAFBF" w:rsidR="000144FF" w:rsidRPr="00963583" w:rsidRDefault="000144FF" w:rsidP="00CF2E06">
            <w:pPr>
              <w:pStyle w:val="CommentaryText"/>
              <w:rPr>
                <w:rFonts w:cs="Calibri"/>
                <w:color w:val="FFFFFF" w:themeColor="background1"/>
                <w:sz w:val="18"/>
                <w:szCs w:val="18"/>
              </w:rPr>
            </w:pPr>
            <w:r w:rsidRPr="00963583">
              <w:rPr>
                <w:rFonts w:cs="Calibri"/>
                <w:color w:val="FFFFFF" w:themeColor="background1"/>
                <w:sz w:val="18"/>
                <w:szCs w:val="18"/>
              </w:rPr>
              <w:t>Although the FMA only requires that a Statement of Responsibility be provided by the</w:t>
            </w:r>
            <w:r w:rsidR="00B0341B" w:rsidRPr="00963583">
              <w:rPr>
                <w:rFonts w:cs="Calibri"/>
                <w:color w:val="FFFFFF" w:themeColor="background1"/>
                <w:sz w:val="18"/>
                <w:szCs w:val="18"/>
              </w:rPr>
              <w:t xml:space="preserve"> </w:t>
            </w:r>
            <w:r w:rsidR="009B7243" w:rsidRPr="00963583">
              <w:rPr>
                <w:rFonts w:cs="Calibri"/>
                <w:color w:val="FFFFFF" w:themeColor="background1"/>
                <w:sz w:val="18"/>
                <w:szCs w:val="18"/>
              </w:rPr>
              <w:t>Director</w:t>
            </w:r>
            <w:r w:rsidR="00CF2E06" w:rsidRPr="00963583">
              <w:rPr>
                <w:rFonts w:cs="Calibri"/>
                <w:color w:val="FFFFFF" w:themeColor="background1"/>
                <w:sz w:val="18"/>
                <w:szCs w:val="18"/>
              </w:rPr>
              <w:noBreakHyphen/>
            </w:r>
            <w:r w:rsidR="009B7243" w:rsidRPr="00963583">
              <w:rPr>
                <w:rFonts w:cs="Calibri"/>
                <w:color w:val="FFFFFF" w:themeColor="background1"/>
                <w:sz w:val="18"/>
                <w:szCs w:val="18"/>
              </w:rPr>
              <w:t>General</w:t>
            </w:r>
            <w:r w:rsidRPr="00963583">
              <w:rPr>
                <w:rFonts w:cs="Calibri"/>
                <w:color w:val="FFFFFF" w:themeColor="background1"/>
                <w:sz w:val="18"/>
                <w:szCs w:val="18"/>
              </w:rPr>
              <w:t xml:space="preserve">, it is ACT </w:t>
            </w:r>
            <w:r w:rsidR="00A67B85" w:rsidRPr="00963583">
              <w:rPr>
                <w:rFonts w:cs="Calibri"/>
                <w:color w:val="FFFFFF" w:themeColor="background1"/>
                <w:sz w:val="18"/>
                <w:szCs w:val="18"/>
              </w:rPr>
              <w:t>Disclosure</w:t>
            </w:r>
            <w:r w:rsidRPr="00963583">
              <w:rPr>
                <w:rFonts w:cs="Calibri"/>
                <w:color w:val="FFFFFF" w:themeColor="background1"/>
                <w:sz w:val="18"/>
                <w:szCs w:val="18"/>
              </w:rPr>
              <w:t xml:space="preserve"> Policy that the Chief Finance Officer</w:t>
            </w:r>
            <w:r w:rsidR="00325BC3" w:rsidRPr="00963583">
              <w:rPr>
                <w:rFonts w:cs="Calibri"/>
                <w:color w:val="FFFFFF" w:themeColor="background1"/>
                <w:sz w:val="18"/>
                <w:szCs w:val="18"/>
              </w:rPr>
              <w:t xml:space="preserve"> or equivalent</w:t>
            </w:r>
            <w:r w:rsidRPr="00963583">
              <w:rPr>
                <w:rFonts w:cs="Calibri"/>
                <w:color w:val="FFFFFF" w:themeColor="background1"/>
                <w:sz w:val="18"/>
                <w:szCs w:val="18"/>
              </w:rPr>
              <w:t xml:space="preserve"> </w:t>
            </w:r>
            <w:r w:rsidR="00A76AD6" w:rsidRPr="00963583">
              <w:rPr>
                <w:rFonts w:cs="Calibri"/>
                <w:color w:val="FFFFFF" w:themeColor="background1"/>
                <w:sz w:val="18"/>
                <w:szCs w:val="18"/>
              </w:rPr>
              <w:t xml:space="preserve">must also </w:t>
            </w:r>
            <w:r w:rsidRPr="00963583">
              <w:rPr>
                <w:rFonts w:cs="Calibri"/>
                <w:color w:val="FFFFFF" w:themeColor="background1"/>
                <w:sz w:val="18"/>
                <w:szCs w:val="18"/>
              </w:rPr>
              <w:t>provide a statement</w:t>
            </w:r>
            <w:r w:rsidR="00A76AD6" w:rsidRPr="00963583">
              <w:rPr>
                <w:rFonts w:cs="Calibri"/>
                <w:color w:val="FFFFFF" w:themeColor="background1"/>
                <w:sz w:val="18"/>
                <w:szCs w:val="18"/>
              </w:rPr>
              <w:t>.</w:t>
            </w:r>
            <w:r w:rsidR="00FA7C77">
              <w:rPr>
                <w:rFonts w:cs="Calibri"/>
                <w:color w:val="FFFFFF" w:themeColor="background1"/>
                <w:sz w:val="18"/>
                <w:szCs w:val="18"/>
              </w:rPr>
              <w:t xml:space="preserve"> </w:t>
            </w:r>
            <w:r w:rsidR="00A76AD6" w:rsidRPr="00963583">
              <w:rPr>
                <w:rFonts w:cs="Calibri"/>
                <w:color w:val="FFFFFF" w:themeColor="background1"/>
                <w:sz w:val="18"/>
                <w:szCs w:val="18"/>
              </w:rPr>
              <w:t>This statement should say</w:t>
            </w:r>
            <w:r w:rsidRPr="00963583">
              <w:rPr>
                <w:rFonts w:cs="Calibri"/>
                <w:color w:val="FFFFFF" w:themeColor="background1"/>
                <w:sz w:val="18"/>
                <w:szCs w:val="18"/>
              </w:rPr>
              <w:t xml:space="preserve"> that the financial </w:t>
            </w:r>
            <w:r w:rsidR="00284B31" w:rsidRPr="00963583">
              <w:rPr>
                <w:rFonts w:cs="Calibri"/>
                <w:color w:val="FFFFFF" w:themeColor="background1"/>
                <w:sz w:val="18"/>
                <w:szCs w:val="18"/>
              </w:rPr>
              <w:t>statements</w:t>
            </w:r>
            <w:r w:rsidRPr="00963583">
              <w:rPr>
                <w:rFonts w:cs="Calibri"/>
                <w:color w:val="FFFFFF" w:themeColor="background1"/>
                <w:sz w:val="18"/>
                <w:szCs w:val="18"/>
              </w:rPr>
              <w:t xml:space="preserve"> ha</w:t>
            </w:r>
            <w:r w:rsidR="00284B31" w:rsidRPr="00963583">
              <w:rPr>
                <w:rFonts w:cs="Calibri"/>
                <w:color w:val="FFFFFF" w:themeColor="background1"/>
                <w:sz w:val="18"/>
                <w:szCs w:val="18"/>
              </w:rPr>
              <w:t>ve</w:t>
            </w:r>
            <w:r w:rsidRPr="00963583">
              <w:rPr>
                <w:rFonts w:cs="Calibri"/>
                <w:color w:val="FFFFFF" w:themeColor="background1"/>
                <w:sz w:val="18"/>
                <w:szCs w:val="18"/>
              </w:rPr>
              <w:t xml:space="preserve"> been prepared in accordance with </w:t>
            </w:r>
            <w:r w:rsidR="00B92DDA" w:rsidRPr="00963583">
              <w:rPr>
                <w:rFonts w:cs="Calibri"/>
                <w:color w:val="FFFFFF" w:themeColor="background1"/>
                <w:sz w:val="18"/>
                <w:szCs w:val="18"/>
              </w:rPr>
              <w:t>Australian A</w:t>
            </w:r>
            <w:r w:rsidR="00106229" w:rsidRPr="00963583">
              <w:rPr>
                <w:rFonts w:cs="Calibri"/>
                <w:color w:val="FFFFFF" w:themeColor="background1"/>
                <w:sz w:val="18"/>
                <w:szCs w:val="18"/>
              </w:rPr>
              <w:t xml:space="preserve">ccounting </w:t>
            </w:r>
            <w:r w:rsidR="00B92DDA" w:rsidRPr="00963583">
              <w:rPr>
                <w:rFonts w:cs="Calibri"/>
                <w:color w:val="FFFFFF" w:themeColor="background1"/>
                <w:sz w:val="18"/>
                <w:szCs w:val="18"/>
              </w:rPr>
              <w:t>S</w:t>
            </w:r>
            <w:r w:rsidR="00106229" w:rsidRPr="00963583">
              <w:rPr>
                <w:rFonts w:cs="Calibri"/>
                <w:color w:val="FFFFFF" w:themeColor="background1"/>
                <w:sz w:val="18"/>
                <w:szCs w:val="18"/>
              </w:rPr>
              <w:t>tandards</w:t>
            </w:r>
            <w:r w:rsidRPr="00963583">
              <w:rPr>
                <w:rFonts w:cs="Calibri"/>
                <w:color w:val="FFFFFF" w:themeColor="background1"/>
                <w:sz w:val="18"/>
                <w:szCs w:val="18"/>
              </w:rPr>
              <w:t xml:space="preserve">, and </w:t>
            </w:r>
            <w:r w:rsidR="00284B31" w:rsidRPr="00963583">
              <w:rPr>
                <w:rFonts w:cs="Calibri"/>
                <w:color w:val="FFFFFF" w:themeColor="background1"/>
                <w:sz w:val="18"/>
                <w:szCs w:val="18"/>
              </w:rPr>
              <w:t>are</w:t>
            </w:r>
            <w:r w:rsidRPr="00963583">
              <w:rPr>
                <w:rFonts w:cs="Calibri"/>
                <w:color w:val="FFFFFF" w:themeColor="background1"/>
                <w:sz w:val="18"/>
                <w:szCs w:val="18"/>
              </w:rPr>
              <w:t xml:space="preserve"> in agreement with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00284B31" w:rsidRPr="00963583">
              <w:rPr>
                <w:rFonts w:cs="Calibri"/>
                <w:color w:val="FFFFFF" w:themeColor="background1"/>
                <w:sz w:val="18"/>
                <w:szCs w:val="18"/>
              </w:rPr>
              <w:t>’s accounts and record</w:t>
            </w:r>
            <w:r w:rsidR="002934DF" w:rsidRPr="00963583">
              <w:rPr>
                <w:rFonts w:cs="Calibri"/>
                <w:color w:val="FFFFFF" w:themeColor="background1"/>
                <w:sz w:val="18"/>
                <w:szCs w:val="18"/>
              </w:rPr>
              <w:t>s</w:t>
            </w:r>
            <w:r w:rsidR="00284B31" w:rsidRPr="00963583">
              <w:rPr>
                <w:rFonts w:cs="Calibri"/>
                <w:color w:val="FFFFFF" w:themeColor="background1"/>
                <w:sz w:val="18"/>
                <w:szCs w:val="18"/>
              </w:rPr>
              <w:t xml:space="preserve"> and fairly reflect</w:t>
            </w:r>
            <w:r w:rsidRPr="00963583">
              <w:rPr>
                <w:rFonts w:cs="Calibri"/>
                <w:color w:val="FFFFFF" w:themeColor="background1"/>
                <w:sz w:val="18"/>
                <w:szCs w:val="18"/>
              </w:rPr>
              <w:t xml:space="preserve"> the financial operations of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Pr="00963583">
              <w:rPr>
                <w:rFonts w:cs="Calibri"/>
                <w:color w:val="FFFFFF" w:themeColor="background1"/>
                <w:sz w:val="18"/>
                <w:szCs w:val="18"/>
              </w:rPr>
              <w:t>.</w:t>
            </w:r>
            <w:r w:rsidR="00FA7C77">
              <w:rPr>
                <w:rFonts w:cs="Calibri"/>
                <w:color w:val="FFFFFF" w:themeColor="background1"/>
                <w:sz w:val="18"/>
                <w:szCs w:val="18"/>
              </w:rPr>
              <w:t xml:space="preserve"> </w:t>
            </w:r>
            <w:r w:rsidRPr="00963583">
              <w:rPr>
                <w:rFonts w:cs="Calibri"/>
                <w:color w:val="FFFFFF" w:themeColor="background1"/>
                <w:sz w:val="18"/>
                <w:szCs w:val="18"/>
              </w:rPr>
              <w:t xml:space="preserve">This statement is usually signed prior to the </w:t>
            </w:r>
            <w:r w:rsidR="009B7243" w:rsidRPr="00963583">
              <w:rPr>
                <w:rFonts w:cs="Calibri"/>
                <w:color w:val="FFFFFF" w:themeColor="background1"/>
                <w:sz w:val="18"/>
                <w:szCs w:val="18"/>
              </w:rPr>
              <w:t>Director-General</w:t>
            </w:r>
            <w:r w:rsidRPr="00963583">
              <w:rPr>
                <w:rFonts w:cs="Calibri"/>
                <w:color w:val="FFFFFF" w:themeColor="background1"/>
                <w:sz w:val="18"/>
                <w:szCs w:val="18"/>
              </w:rPr>
              <w:t xml:space="preserve"> signing the Statement of Responsibility, and is to provide a level of assurance to the</w:t>
            </w:r>
            <w:r w:rsidR="00B0341B" w:rsidRPr="00963583">
              <w:rPr>
                <w:rFonts w:cs="Calibri"/>
                <w:color w:val="FFFFFF" w:themeColor="background1"/>
                <w:sz w:val="18"/>
                <w:szCs w:val="18"/>
              </w:rPr>
              <w:t xml:space="preserve"> </w:t>
            </w:r>
            <w:r w:rsidR="009B7243" w:rsidRPr="00963583">
              <w:rPr>
                <w:rFonts w:cs="Calibri"/>
                <w:color w:val="FFFFFF" w:themeColor="background1"/>
                <w:sz w:val="18"/>
                <w:szCs w:val="18"/>
              </w:rPr>
              <w:t>Director-General</w:t>
            </w:r>
            <w:r w:rsidRPr="00963583">
              <w:rPr>
                <w:rFonts w:cs="Calibri"/>
                <w:color w:val="FFFFFF" w:themeColor="background1"/>
                <w:sz w:val="18"/>
                <w:szCs w:val="18"/>
              </w:rPr>
              <w:t>.</w:t>
            </w:r>
            <w:r w:rsidR="00FA7C77">
              <w:rPr>
                <w:rFonts w:cs="Calibri"/>
                <w:color w:val="FFFFFF" w:themeColor="background1"/>
                <w:sz w:val="18"/>
                <w:szCs w:val="18"/>
              </w:rPr>
              <w:t xml:space="preserve"> </w:t>
            </w:r>
            <w:r w:rsidRPr="00963583">
              <w:rPr>
                <w:rFonts w:cs="Calibri"/>
                <w:color w:val="FFFFFF" w:themeColor="background1"/>
                <w:sz w:val="18"/>
                <w:szCs w:val="18"/>
              </w:rPr>
              <w:t>The name of the Chief Finance Officer</w:t>
            </w:r>
            <w:r w:rsidR="00867B88" w:rsidRPr="00963583">
              <w:rPr>
                <w:rFonts w:cs="Calibri"/>
                <w:color w:val="FFFFFF" w:themeColor="background1"/>
                <w:sz w:val="18"/>
                <w:szCs w:val="18"/>
              </w:rPr>
              <w:t xml:space="preserve"> or equivalent</w:t>
            </w:r>
            <w:r w:rsidRPr="00963583">
              <w:rPr>
                <w:rFonts w:cs="Calibri"/>
                <w:color w:val="FFFFFF" w:themeColor="background1"/>
                <w:sz w:val="18"/>
                <w:szCs w:val="18"/>
              </w:rPr>
              <w:t xml:space="preserve"> of the </w:t>
            </w:r>
            <w:r w:rsidR="005768FD" w:rsidRPr="00963583">
              <w:rPr>
                <w:rFonts w:cs="Calibri"/>
                <w:color w:val="FFFFFF" w:themeColor="background1"/>
                <w:sz w:val="18"/>
                <w:szCs w:val="18"/>
              </w:rPr>
              <w:t>a</w:t>
            </w:r>
            <w:r w:rsidR="005C6BD1" w:rsidRPr="00963583">
              <w:rPr>
                <w:rFonts w:cs="Calibri"/>
                <w:color w:val="FFFFFF" w:themeColor="background1"/>
                <w:sz w:val="18"/>
                <w:szCs w:val="18"/>
              </w:rPr>
              <w:t>gency</w:t>
            </w:r>
            <w:r w:rsidRPr="00963583">
              <w:rPr>
                <w:rFonts w:cs="Calibri"/>
                <w:color w:val="FFFFFF" w:themeColor="background1"/>
                <w:sz w:val="18"/>
                <w:szCs w:val="18"/>
              </w:rPr>
              <w:t xml:space="preserve"> must be clearly printed on the statement.</w:t>
            </w:r>
          </w:p>
        </w:tc>
      </w:tr>
    </w:tbl>
    <w:p w14:paraId="65061664" w14:textId="77777777" w:rsidR="00DC687F" w:rsidRDefault="00272522">
      <w:pPr>
        <w:tabs>
          <w:tab w:val="left" w:pos="3306"/>
        </w:tabs>
        <w:rPr>
          <w:rFonts w:cs="Calibri"/>
        </w:rPr>
      </w:pPr>
      <w:r>
        <w:rPr>
          <w:rFonts w:cs="Calibri"/>
        </w:rPr>
        <w:br w:type="page"/>
      </w:r>
    </w:p>
    <w:p w14:paraId="3595F6B6" w14:textId="77777777" w:rsidR="00272522" w:rsidRDefault="00272522" w:rsidP="00272522"/>
    <w:p w14:paraId="55266BAC" w14:textId="77777777" w:rsidR="00B5432D" w:rsidRDefault="00B5432D" w:rsidP="00261364">
      <w:bookmarkStart w:id="117" w:name="_Toc400627307"/>
    </w:p>
    <w:p w14:paraId="3DFD913B" w14:textId="77777777" w:rsidR="00B5432D" w:rsidRDefault="00B5432D" w:rsidP="00261364"/>
    <w:p w14:paraId="43B965EA" w14:textId="77777777" w:rsidR="00B5432D" w:rsidRDefault="00B5432D" w:rsidP="00261364"/>
    <w:p w14:paraId="3A87A7E9" w14:textId="77777777" w:rsidR="00B5432D" w:rsidRDefault="00B5432D" w:rsidP="00261364"/>
    <w:p w14:paraId="014170B0" w14:textId="77777777" w:rsidR="00B5432D" w:rsidRDefault="00B5432D" w:rsidP="00261364"/>
    <w:p w14:paraId="468CB7A6" w14:textId="77777777" w:rsidR="00B5432D" w:rsidRDefault="00B5432D" w:rsidP="00261364"/>
    <w:p w14:paraId="1F6E3F7D" w14:textId="37A117A0" w:rsidR="009F17F5" w:rsidRPr="008238E7" w:rsidRDefault="009F17F5" w:rsidP="009F17F5">
      <w:pPr>
        <w:jc w:val="center"/>
        <w:rPr>
          <w:rFonts w:asciiTheme="minorHAnsi" w:hAnsiTheme="minorHAnsi" w:cstheme="minorHAnsi"/>
          <w:b/>
          <w:sz w:val="52"/>
          <w:szCs w:val="52"/>
        </w:rPr>
      </w:pPr>
      <w:r w:rsidRPr="008238E7">
        <w:rPr>
          <w:rFonts w:asciiTheme="minorHAnsi" w:hAnsiTheme="minorHAnsi" w:cstheme="minorHAnsi"/>
          <w:b/>
          <w:sz w:val="52"/>
          <w:szCs w:val="52"/>
        </w:rPr>
        <w:t>‘</w:t>
      </w:r>
      <w:r w:rsidR="007D5C59" w:rsidRPr="008238E7">
        <w:rPr>
          <w:rFonts w:asciiTheme="minorHAnsi" w:hAnsiTheme="minorHAnsi" w:cstheme="minorHAnsi"/>
          <w:b/>
          <w:sz w:val="52"/>
          <w:szCs w:val="52"/>
        </w:rPr>
        <w:t xml:space="preserve">BURLEY GRIFFIN </w:t>
      </w:r>
      <w:r w:rsidR="001B231B" w:rsidRPr="008238E7">
        <w:rPr>
          <w:rFonts w:asciiTheme="minorHAnsi" w:hAnsiTheme="minorHAnsi" w:cstheme="minorHAnsi"/>
          <w:b/>
          <w:sz w:val="52"/>
          <w:szCs w:val="52"/>
        </w:rPr>
        <w:t>AGENCY</w:t>
      </w:r>
      <w:r w:rsidRPr="008238E7">
        <w:rPr>
          <w:rFonts w:asciiTheme="minorHAnsi" w:hAnsiTheme="minorHAnsi" w:cstheme="minorHAnsi"/>
          <w:b/>
          <w:sz w:val="52"/>
          <w:szCs w:val="52"/>
        </w:rPr>
        <w:t>’</w:t>
      </w:r>
    </w:p>
    <w:p w14:paraId="638657BA" w14:textId="77777777" w:rsidR="009F17F5" w:rsidRPr="008238E7" w:rsidRDefault="009F17F5" w:rsidP="00261364">
      <w:pPr>
        <w:rPr>
          <w:rFonts w:asciiTheme="minorHAnsi" w:hAnsiTheme="minorHAnsi" w:cstheme="minorHAnsi"/>
          <w:sz w:val="52"/>
          <w:szCs w:val="52"/>
        </w:rPr>
      </w:pPr>
    </w:p>
    <w:p w14:paraId="33E0790D" w14:textId="77777777" w:rsidR="00272522" w:rsidRPr="008238E7" w:rsidRDefault="00272522" w:rsidP="009F17F5">
      <w:pPr>
        <w:pStyle w:val="Subtitle"/>
        <w:rPr>
          <w:rFonts w:asciiTheme="minorHAnsi" w:hAnsiTheme="minorHAnsi" w:cstheme="minorHAnsi"/>
          <w:sz w:val="52"/>
          <w:szCs w:val="52"/>
        </w:rPr>
      </w:pPr>
      <w:bookmarkStart w:id="118" w:name="_Toc98763023"/>
      <w:r w:rsidRPr="008238E7">
        <w:rPr>
          <w:rFonts w:asciiTheme="minorHAnsi" w:hAnsiTheme="minorHAnsi" w:cstheme="minorHAnsi"/>
          <w:sz w:val="52"/>
          <w:szCs w:val="52"/>
        </w:rPr>
        <w:t>C</w:t>
      </w:r>
      <w:r w:rsidR="009F17F5" w:rsidRPr="008238E7">
        <w:rPr>
          <w:rFonts w:asciiTheme="minorHAnsi" w:hAnsiTheme="minorHAnsi" w:cstheme="minorHAnsi"/>
          <w:sz w:val="52"/>
          <w:szCs w:val="52"/>
        </w:rPr>
        <w:t>ONTROLLED FINANCIAL STATEMENTS</w:t>
      </w:r>
      <w:bookmarkEnd w:id="117"/>
      <w:bookmarkEnd w:id="118"/>
    </w:p>
    <w:p w14:paraId="4590B293" w14:textId="77777777" w:rsidR="009F17F5" w:rsidRPr="008238E7" w:rsidRDefault="009F17F5" w:rsidP="009F17F5">
      <w:pPr>
        <w:rPr>
          <w:rFonts w:asciiTheme="minorHAnsi" w:hAnsiTheme="minorHAnsi" w:cstheme="minorHAnsi"/>
          <w:sz w:val="52"/>
          <w:szCs w:val="52"/>
        </w:rPr>
      </w:pPr>
    </w:p>
    <w:p w14:paraId="5B1F9CD9" w14:textId="77777777" w:rsidR="006D2667" w:rsidRPr="008238E7" w:rsidRDefault="006D2667" w:rsidP="008305AF">
      <w:pPr>
        <w:rPr>
          <w:rFonts w:asciiTheme="minorHAnsi" w:hAnsiTheme="minorHAnsi" w:cstheme="minorHAnsi"/>
          <w:sz w:val="52"/>
          <w:szCs w:val="52"/>
        </w:rPr>
      </w:pPr>
    </w:p>
    <w:p w14:paraId="66D11CCD" w14:textId="77777777" w:rsidR="009F17F5" w:rsidRPr="008238E7" w:rsidRDefault="009F17F5" w:rsidP="008305AF">
      <w:pPr>
        <w:rPr>
          <w:rFonts w:asciiTheme="minorHAnsi" w:hAnsiTheme="minorHAnsi" w:cstheme="minorHAnsi"/>
          <w:sz w:val="52"/>
          <w:szCs w:val="52"/>
        </w:rPr>
      </w:pPr>
    </w:p>
    <w:p w14:paraId="7F4ADADB" w14:textId="77777777" w:rsidR="00272522" w:rsidRPr="008238E7" w:rsidRDefault="00272522" w:rsidP="008305AF">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For </w:t>
      </w:r>
      <w:r w:rsidR="00DF611A" w:rsidRPr="008238E7">
        <w:rPr>
          <w:rFonts w:asciiTheme="minorHAnsi" w:hAnsiTheme="minorHAnsi" w:cstheme="minorHAnsi"/>
          <w:b/>
          <w:sz w:val="52"/>
          <w:szCs w:val="52"/>
        </w:rPr>
        <w:t>t</w:t>
      </w:r>
      <w:r w:rsidRPr="008238E7">
        <w:rPr>
          <w:rFonts w:asciiTheme="minorHAnsi" w:hAnsiTheme="minorHAnsi" w:cstheme="minorHAnsi"/>
          <w:b/>
          <w:sz w:val="52"/>
          <w:szCs w:val="52"/>
        </w:rPr>
        <w:t>he Year End</w:t>
      </w:r>
      <w:r w:rsidR="009D190B" w:rsidRPr="008238E7">
        <w:rPr>
          <w:rFonts w:asciiTheme="minorHAnsi" w:hAnsiTheme="minorHAnsi" w:cstheme="minorHAnsi"/>
          <w:b/>
          <w:sz w:val="52"/>
          <w:szCs w:val="52"/>
        </w:rPr>
        <w:t>ed</w:t>
      </w:r>
    </w:p>
    <w:p w14:paraId="75BB0375" w14:textId="325A0186" w:rsidR="00272522" w:rsidRPr="008238E7" w:rsidRDefault="00272522" w:rsidP="008305AF">
      <w:pPr>
        <w:jc w:val="center"/>
        <w:rPr>
          <w:rFonts w:asciiTheme="minorHAnsi" w:hAnsiTheme="minorHAnsi" w:cstheme="minorHAnsi"/>
          <w:b/>
          <w:sz w:val="52"/>
          <w:szCs w:val="52"/>
        </w:rPr>
      </w:pPr>
      <w:r w:rsidRPr="008238E7">
        <w:rPr>
          <w:rFonts w:asciiTheme="minorHAnsi" w:hAnsiTheme="minorHAnsi" w:cstheme="minorHAnsi"/>
          <w:b/>
          <w:sz w:val="52"/>
          <w:szCs w:val="52"/>
        </w:rPr>
        <w:t xml:space="preserve">30 June </w:t>
      </w:r>
      <w:r w:rsidR="00C66E0D" w:rsidRPr="008238E7">
        <w:rPr>
          <w:rFonts w:asciiTheme="minorHAnsi" w:hAnsiTheme="minorHAnsi" w:cstheme="minorHAnsi"/>
          <w:b/>
          <w:sz w:val="52"/>
          <w:szCs w:val="52"/>
        </w:rPr>
        <w:t>202</w:t>
      </w:r>
      <w:r w:rsidR="00C479A8" w:rsidRPr="008238E7">
        <w:rPr>
          <w:rFonts w:asciiTheme="minorHAnsi" w:hAnsiTheme="minorHAnsi" w:cstheme="minorHAnsi"/>
          <w:b/>
          <w:sz w:val="52"/>
          <w:szCs w:val="52"/>
        </w:rPr>
        <w:t>2</w:t>
      </w:r>
    </w:p>
    <w:p w14:paraId="2280A21B" w14:textId="7917BC72" w:rsidR="00272522" w:rsidRDefault="00272522" w:rsidP="00272522"/>
    <w:p w14:paraId="1EA56238" w14:textId="49B5BB1C" w:rsidR="008238E7" w:rsidRDefault="008238E7" w:rsidP="00272522"/>
    <w:p w14:paraId="5BD806EC" w14:textId="098E7F34" w:rsidR="008238E7" w:rsidRDefault="008238E7" w:rsidP="00272522"/>
    <w:p w14:paraId="3AB29DD8" w14:textId="715E4AE5" w:rsidR="008238E7" w:rsidRDefault="008238E7" w:rsidP="00272522"/>
    <w:p w14:paraId="496C34D1" w14:textId="5733190E" w:rsidR="008238E7" w:rsidRDefault="008238E7" w:rsidP="00272522"/>
    <w:p w14:paraId="5E5513D6" w14:textId="00E6EC36" w:rsidR="008238E7" w:rsidRDefault="008238E7" w:rsidP="00272522"/>
    <w:p w14:paraId="36008392" w14:textId="4CC45B78" w:rsidR="008238E7" w:rsidRDefault="008238E7" w:rsidP="00272522"/>
    <w:p w14:paraId="23F5F153" w14:textId="2D37B1C1" w:rsidR="008238E7" w:rsidRDefault="008238E7" w:rsidP="00272522"/>
    <w:p w14:paraId="4CAB0038" w14:textId="57344CA5" w:rsidR="008238E7" w:rsidRDefault="008238E7" w:rsidP="00272522"/>
    <w:p w14:paraId="0C6D29CA" w14:textId="52E8E7AC" w:rsidR="008238E7" w:rsidRDefault="008238E7" w:rsidP="00272522"/>
    <w:p w14:paraId="4C0CA1A7" w14:textId="1BA25A4A" w:rsidR="008238E7" w:rsidRDefault="008238E7" w:rsidP="00272522"/>
    <w:p w14:paraId="3E6E7B76" w14:textId="2F8328A6" w:rsidR="008238E7" w:rsidRDefault="008238E7" w:rsidP="00272522"/>
    <w:p w14:paraId="55BB266B" w14:textId="07BDC6F8" w:rsidR="008238E7" w:rsidRDefault="008238E7" w:rsidP="00272522"/>
    <w:p w14:paraId="1686C162" w14:textId="4AB5834D" w:rsidR="008238E7" w:rsidRDefault="008238E7" w:rsidP="00272522"/>
    <w:p w14:paraId="307AEB61" w14:textId="76A4A9DF" w:rsidR="008238E7" w:rsidRDefault="008238E7" w:rsidP="00272522"/>
    <w:p w14:paraId="2615D4B6" w14:textId="2E8E17F8" w:rsidR="008238E7" w:rsidRDefault="008238E7" w:rsidP="00272522"/>
    <w:p w14:paraId="1C3A545F" w14:textId="04C37ABC" w:rsidR="008238E7" w:rsidRDefault="008238E7" w:rsidP="00272522"/>
    <w:p w14:paraId="5A4836F1" w14:textId="1F70A1AE" w:rsidR="008238E7" w:rsidRDefault="008238E7" w:rsidP="00272522"/>
    <w:p w14:paraId="3EF759CA" w14:textId="323C8276" w:rsidR="008238E7" w:rsidRDefault="008238E7" w:rsidP="00272522"/>
    <w:p w14:paraId="5665A7CE" w14:textId="14E379DB" w:rsidR="008238E7" w:rsidRDefault="008238E7" w:rsidP="00272522"/>
    <w:p w14:paraId="75C68F3C" w14:textId="5D71F857" w:rsidR="008238E7" w:rsidRDefault="008238E7" w:rsidP="00272522"/>
    <w:p w14:paraId="78511212" w14:textId="592F2F07" w:rsidR="008238E7" w:rsidRDefault="008238E7" w:rsidP="00272522"/>
    <w:p w14:paraId="022C0E5E" w14:textId="6F2FD20F" w:rsidR="008238E7" w:rsidRDefault="008238E7" w:rsidP="00272522"/>
    <w:p w14:paraId="189A8636" w14:textId="7B1B7A4A" w:rsidR="008238E7" w:rsidRDefault="008238E7" w:rsidP="00272522"/>
    <w:p w14:paraId="682F5D52" w14:textId="7C1BF71D" w:rsidR="008238E7" w:rsidRDefault="008238E7" w:rsidP="00272522"/>
    <w:p w14:paraId="57E41C0E" w14:textId="65151D20" w:rsidR="008238E7" w:rsidRDefault="008238E7" w:rsidP="00272522"/>
    <w:p w14:paraId="760B3EDF" w14:textId="77777777" w:rsidR="008238E7" w:rsidRDefault="008238E7" w:rsidP="00272522"/>
    <w:p w14:paraId="3BD7B05D" w14:textId="77777777" w:rsidR="00272522" w:rsidRDefault="00272522" w:rsidP="00272522"/>
    <w:p w14:paraId="5C95AF5C" w14:textId="1C48593B" w:rsidR="00272522" w:rsidRPr="00062DDD" w:rsidRDefault="00062DDD" w:rsidP="00272522">
      <w:pPr>
        <w:rPr>
          <w:color w:val="003366"/>
        </w:rPr>
      </w:pPr>
      <w:r w:rsidRPr="00062DDD">
        <w:rPr>
          <w:color w:val="003366"/>
        </w:rPr>
        <w:t>[</w:t>
      </w:r>
      <w:r w:rsidR="00272522" w:rsidRPr="00062DDD">
        <w:rPr>
          <w:color w:val="003366"/>
        </w:rPr>
        <w:t>Note: A ‘</w:t>
      </w:r>
      <w:r w:rsidR="00432859" w:rsidRPr="00062DDD">
        <w:rPr>
          <w:color w:val="003366"/>
        </w:rPr>
        <w:t>Controlled Financial Statements’</w:t>
      </w:r>
      <w:r w:rsidR="00272522" w:rsidRPr="00062DDD">
        <w:rPr>
          <w:color w:val="003366"/>
        </w:rPr>
        <w:t xml:space="preserve"> Title page is not required for ACT Territory Authorities</w:t>
      </w:r>
      <w:r w:rsidRPr="00062DDD">
        <w:rPr>
          <w:color w:val="003366"/>
        </w:rPr>
        <w:t>]</w:t>
      </w:r>
    </w:p>
    <w:p w14:paraId="75753283" w14:textId="77777777" w:rsidR="00272522" w:rsidRDefault="00272522">
      <w:pPr>
        <w:tabs>
          <w:tab w:val="left" w:pos="3306"/>
        </w:tabs>
        <w:rPr>
          <w:rFonts w:cs="Calibri"/>
        </w:rPr>
      </w:pPr>
    </w:p>
    <w:p w14:paraId="7708BE50" w14:textId="1A7EE9E3" w:rsidR="00206D31" w:rsidRPr="0046389C" w:rsidRDefault="007D5C59" w:rsidP="00206D31">
      <w:pPr>
        <w:spacing w:line="400" w:lineRule="exact"/>
        <w:jc w:val="center"/>
        <w:rPr>
          <w:rFonts w:asciiTheme="minorHAnsi" w:hAnsiTheme="minorHAnsi" w:cstheme="minorHAnsi"/>
          <w:b/>
          <w:sz w:val="40"/>
          <w:szCs w:val="24"/>
        </w:rPr>
      </w:pPr>
      <w:bookmarkStart w:id="119" w:name="_Hlk87973552"/>
      <w:r w:rsidRPr="0046389C">
        <w:rPr>
          <w:rFonts w:asciiTheme="minorHAnsi" w:hAnsiTheme="minorHAnsi" w:cstheme="minorHAnsi"/>
          <w:b/>
          <w:sz w:val="40"/>
          <w:szCs w:val="24"/>
        </w:rPr>
        <w:t xml:space="preserve">BURLEY GRIFFIN </w:t>
      </w:r>
      <w:r w:rsidR="00206D31" w:rsidRPr="0046389C">
        <w:rPr>
          <w:rFonts w:asciiTheme="minorHAnsi" w:hAnsiTheme="minorHAnsi" w:cstheme="minorHAnsi"/>
          <w:b/>
          <w:sz w:val="40"/>
          <w:szCs w:val="24"/>
        </w:rPr>
        <w:t xml:space="preserve">AGENCY’ </w:t>
      </w:r>
    </w:p>
    <w:p w14:paraId="2579FDCC" w14:textId="7A026411" w:rsidR="00206D31" w:rsidRPr="0046389C" w:rsidRDefault="00206D31" w:rsidP="00814CFD">
      <w:pPr>
        <w:spacing w:after="120" w:line="400" w:lineRule="exact"/>
        <w:jc w:val="center"/>
        <w:rPr>
          <w:rFonts w:asciiTheme="minorHAnsi" w:hAnsiTheme="minorHAnsi" w:cstheme="minorHAnsi"/>
          <w:b/>
          <w:sz w:val="40"/>
          <w:szCs w:val="24"/>
        </w:rPr>
      </w:pPr>
      <w:r w:rsidRPr="0046389C">
        <w:rPr>
          <w:rFonts w:asciiTheme="minorHAnsi" w:hAnsiTheme="minorHAnsi" w:cstheme="minorHAnsi"/>
          <w:b/>
          <w:sz w:val="40"/>
          <w:szCs w:val="24"/>
        </w:rPr>
        <w:t>CONTENT OF CONTROLLED FINANCIAL STATEMENTS</w:t>
      </w:r>
    </w:p>
    <w:bookmarkEnd w:id="119"/>
    <w:tbl>
      <w:tblPr>
        <w:tblW w:w="5147" w:type="pct"/>
        <w:tblLayout w:type="fixed"/>
        <w:tblLook w:val="00A0" w:firstRow="1" w:lastRow="0" w:firstColumn="1" w:lastColumn="0" w:noHBand="0" w:noVBand="0"/>
      </w:tblPr>
      <w:tblGrid>
        <w:gridCol w:w="1129"/>
        <w:gridCol w:w="7136"/>
        <w:gridCol w:w="1657"/>
      </w:tblGrid>
      <w:tr w:rsidR="0046389C" w:rsidRPr="0046389C" w14:paraId="0E078587" w14:textId="77777777" w:rsidTr="001F7F23">
        <w:tc>
          <w:tcPr>
            <w:tcW w:w="569" w:type="pct"/>
          </w:tcPr>
          <w:p w14:paraId="28B7DEFD" w14:textId="245795B9" w:rsidR="0000776A" w:rsidRPr="0046389C" w:rsidRDefault="0000776A" w:rsidP="0000776A">
            <w:pPr>
              <w:pStyle w:val="TableText"/>
              <w:tabs>
                <w:tab w:val="left" w:pos="3306"/>
              </w:tabs>
              <w:rPr>
                <w:rFonts w:cs="Calibri"/>
                <w:b/>
                <w:snapToGrid w:val="0"/>
                <w:sz w:val="24"/>
                <w:szCs w:val="24"/>
              </w:rPr>
            </w:pPr>
          </w:p>
        </w:tc>
        <w:tc>
          <w:tcPr>
            <w:tcW w:w="3596" w:type="pct"/>
          </w:tcPr>
          <w:p w14:paraId="30F260E9" w14:textId="70CDDB00" w:rsidR="0000776A" w:rsidRPr="0046389C" w:rsidRDefault="0000776A" w:rsidP="0000776A">
            <w:pPr>
              <w:pStyle w:val="TableText"/>
              <w:tabs>
                <w:tab w:val="left" w:pos="3306"/>
              </w:tabs>
              <w:spacing w:after="120"/>
              <w:rPr>
                <w:rFonts w:cs="Calibri"/>
                <w:b/>
                <w:sz w:val="24"/>
                <w:szCs w:val="24"/>
              </w:rPr>
            </w:pPr>
          </w:p>
        </w:tc>
        <w:tc>
          <w:tcPr>
            <w:tcW w:w="835" w:type="pct"/>
          </w:tcPr>
          <w:p w14:paraId="5D7C8BAE" w14:textId="77777777" w:rsidR="0000776A" w:rsidRPr="0046389C" w:rsidRDefault="0000776A" w:rsidP="0000776A">
            <w:pPr>
              <w:pStyle w:val="TableText"/>
              <w:tabs>
                <w:tab w:val="left" w:pos="3306"/>
              </w:tabs>
              <w:jc w:val="right"/>
              <w:rPr>
                <w:rFonts w:cs="Calibri"/>
                <w:b/>
                <w:snapToGrid w:val="0"/>
                <w:sz w:val="24"/>
                <w:szCs w:val="24"/>
              </w:rPr>
            </w:pPr>
            <w:r w:rsidRPr="0046389C">
              <w:rPr>
                <w:rFonts w:cs="Calibri"/>
                <w:b/>
                <w:snapToGrid w:val="0"/>
                <w:sz w:val="24"/>
                <w:szCs w:val="24"/>
              </w:rPr>
              <w:t>Page</w:t>
            </w:r>
          </w:p>
        </w:tc>
      </w:tr>
      <w:tr w:rsidR="0046389C" w:rsidRPr="0046389C" w14:paraId="3F87F061" w14:textId="77777777" w:rsidTr="001F7F23">
        <w:tc>
          <w:tcPr>
            <w:tcW w:w="4165" w:type="pct"/>
            <w:gridSpan w:val="2"/>
            <w:tcBorders>
              <w:bottom w:val="nil"/>
            </w:tcBorders>
            <w:shd w:val="clear" w:color="auto" w:fill="auto"/>
          </w:tcPr>
          <w:p w14:paraId="4001A673" w14:textId="42D580F0" w:rsidR="0000776A" w:rsidRPr="0046389C" w:rsidRDefault="0000776A" w:rsidP="0000776A">
            <w:pPr>
              <w:pStyle w:val="TableText"/>
              <w:tabs>
                <w:tab w:val="left" w:pos="3306"/>
              </w:tabs>
              <w:rPr>
                <w:b/>
                <w:bCs/>
              </w:rPr>
            </w:pPr>
            <w:r w:rsidRPr="0046389C">
              <w:rPr>
                <w:b/>
                <w:bCs/>
              </w:rPr>
              <w:t>Financial Statements</w:t>
            </w:r>
          </w:p>
        </w:tc>
        <w:tc>
          <w:tcPr>
            <w:tcW w:w="835" w:type="pct"/>
            <w:tcBorders>
              <w:bottom w:val="nil"/>
            </w:tcBorders>
            <w:shd w:val="clear" w:color="auto" w:fill="auto"/>
          </w:tcPr>
          <w:p w14:paraId="1A5B66EA" w14:textId="77777777" w:rsidR="0000776A" w:rsidRPr="0046389C" w:rsidRDefault="0000776A" w:rsidP="0000776A">
            <w:pPr>
              <w:pStyle w:val="TableText"/>
              <w:tabs>
                <w:tab w:val="left" w:pos="3306"/>
              </w:tabs>
              <w:jc w:val="right"/>
              <w:rPr>
                <w:rFonts w:cs="Calibri"/>
                <w:snapToGrid w:val="0"/>
              </w:rPr>
            </w:pPr>
          </w:p>
        </w:tc>
      </w:tr>
      <w:tr w:rsidR="0046389C" w:rsidRPr="0046389C" w14:paraId="1E9AC9C6" w14:textId="77777777" w:rsidTr="001F7F23">
        <w:tc>
          <w:tcPr>
            <w:tcW w:w="4165" w:type="pct"/>
            <w:gridSpan w:val="2"/>
            <w:tcBorders>
              <w:bottom w:val="nil"/>
            </w:tcBorders>
            <w:shd w:val="clear" w:color="auto" w:fill="auto"/>
          </w:tcPr>
          <w:p w14:paraId="28A59EE8" w14:textId="4F891FD6" w:rsidR="0000776A" w:rsidRPr="0046389C" w:rsidRDefault="00062DDD" w:rsidP="0000776A">
            <w:pPr>
              <w:pStyle w:val="TableText"/>
              <w:tabs>
                <w:tab w:val="left" w:pos="3306"/>
              </w:tabs>
              <w:rPr>
                <w:rFonts w:cs="Calibri"/>
                <w:snapToGrid w:val="0"/>
              </w:rPr>
            </w:pPr>
            <w:r w:rsidRPr="0046389C">
              <w:t xml:space="preserve">Operating </w:t>
            </w:r>
            <w:r w:rsidR="0000776A" w:rsidRPr="0046389C">
              <w:t>Statement</w:t>
            </w:r>
          </w:p>
        </w:tc>
        <w:tc>
          <w:tcPr>
            <w:tcW w:w="835" w:type="pct"/>
            <w:tcBorders>
              <w:bottom w:val="nil"/>
            </w:tcBorders>
            <w:shd w:val="clear" w:color="auto" w:fill="auto"/>
          </w:tcPr>
          <w:p w14:paraId="74CE04CB" w14:textId="0B74B33F"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9E89FB0" w14:textId="77777777" w:rsidTr="001F7F23">
        <w:tc>
          <w:tcPr>
            <w:tcW w:w="4165" w:type="pct"/>
            <w:gridSpan w:val="2"/>
            <w:tcBorders>
              <w:bottom w:val="nil"/>
            </w:tcBorders>
            <w:shd w:val="clear" w:color="auto" w:fill="auto"/>
          </w:tcPr>
          <w:p w14:paraId="5A49F515" w14:textId="59B56D9F" w:rsidR="0000776A" w:rsidRPr="0046389C" w:rsidRDefault="0000776A" w:rsidP="0000776A">
            <w:pPr>
              <w:pStyle w:val="TableText"/>
              <w:tabs>
                <w:tab w:val="left" w:pos="3306"/>
              </w:tabs>
              <w:rPr>
                <w:rFonts w:cs="Calibri"/>
                <w:snapToGrid w:val="0"/>
              </w:rPr>
            </w:pPr>
            <w:r w:rsidRPr="0046389C">
              <w:t>Balance Sheet</w:t>
            </w:r>
          </w:p>
        </w:tc>
        <w:tc>
          <w:tcPr>
            <w:tcW w:w="835" w:type="pct"/>
            <w:tcBorders>
              <w:bottom w:val="nil"/>
            </w:tcBorders>
            <w:shd w:val="clear" w:color="auto" w:fill="auto"/>
          </w:tcPr>
          <w:p w14:paraId="624C0855" w14:textId="713989F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D1657F2" w14:textId="77777777" w:rsidTr="001F7F23">
        <w:tc>
          <w:tcPr>
            <w:tcW w:w="4165" w:type="pct"/>
            <w:gridSpan w:val="2"/>
            <w:tcBorders>
              <w:bottom w:val="nil"/>
            </w:tcBorders>
            <w:shd w:val="clear" w:color="auto" w:fill="auto"/>
          </w:tcPr>
          <w:p w14:paraId="5D206667" w14:textId="1777B292" w:rsidR="0000776A" w:rsidRPr="0046389C" w:rsidRDefault="0000776A" w:rsidP="0000776A">
            <w:pPr>
              <w:pStyle w:val="TableText"/>
              <w:tabs>
                <w:tab w:val="left" w:pos="3306"/>
              </w:tabs>
              <w:rPr>
                <w:rFonts w:cs="Calibri"/>
                <w:snapToGrid w:val="0"/>
              </w:rPr>
            </w:pPr>
            <w:r w:rsidRPr="0046389C">
              <w:t>Statement of Changes in Equity</w:t>
            </w:r>
          </w:p>
        </w:tc>
        <w:tc>
          <w:tcPr>
            <w:tcW w:w="835" w:type="pct"/>
            <w:tcBorders>
              <w:bottom w:val="nil"/>
            </w:tcBorders>
            <w:shd w:val="clear" w:color="auto" w:fill="auto"/>
          </w:tcPr>
          <w:p w14:paraId="3F056592" w14:textId="11FC62B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8302F7E" w14:textId="77777777" w:rsidTr="001F7F23">
        <w:tc>
          <w:tcPr>
            <w:tcW w:w="4165" w:type="pct"/>
            <w:gridSpan w:val="2"/>
            <w:tcBorders>
              <w:bottom w:val="nil"/>
            </w:tcBorders>
            <w:shd w:val="clear" w:color="auto" w:fill="auto"/>
          </w:tcPr>
          <w:p w14:paraId="0E2A2AB8" w14:textId="4A00EC1F" w:rsidR="0000776A" w:rsidRPr="0046389C" w:rsidRDefault="0000776A" w:rsidP="0000776A">
            <w:pPr>
              <w:pStyle w:val="TableText"/>
              <w:tabs>
                <w:tab w:val="left" w:pos="3306"/>
              </w:tabs>
              <w:rPr>
                <w:rFonts w:cs="Calibri"/>
                <w:snapToGrid w:val="0"/>
              </w:rPr>
            </w:pPr>
            <w:r w:rsidRPr="0046389C">
              <w:t>Statement of Cash Flows</w:t>
            </w:r>
          </w:p>
        </w:tc>
        <w:tc>
          <w:tcPr>
            <w:tcW w:w="835" w:type="pct"/>
            <w:tcBorders>
              <w:bottom w:val="nil"/>
            </w:tcBorders>
            <w:shd w:val="clear" w:color="auto" w:fill="auto"/>
          </w:tcPr>
          <w:p w14:paraId="02B5815B" w14:textId="49BBA2CE"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6D3BFAF7" w14:textId="77777777" w:rsidTr="001F7F23">
        <w:tc>
          <w:tcPr>
            <w:tcW w:w="4165" w:type="pct"/>
            <w:gridSpan w:val="2"/>
            <w:tcBorders>
              <w:bottom w:val="nil"/>
            </w:tcBorders>
            <w:shd w:val="clear" w:color="auto" w:fill="auto"/>
          </w:tcPr>
          <w:p w14:paraId="736DCA77" w14:textId="3144C7D7" w:rsidR="0000776A" w:rsidRPr="0046389C" w:rsidRDefault="0000776A" w:rsidP="0000776A">
            <w:pPr>
              <w:spacing w:before="40"/>
              <w:rPr>
                <w:sz w:val="18"/>
                <w:szCs w:val="18"/>
              </w:rPr>
            </w:pPr>
            <w:r w:rsidRPr="0046389C">
              <w:rPr>
                <w:sz w:val="18"/>
                <w:szCs w:val="18"/>
              </w:rPr>
              <w:t>Statement of Appropriation</w:t>
            </w:r>
          </w:p>
        </w:tc>
        <w:tc>
          <w:tcPr>
            <w:tcW w:w="835" w:type="pct"/>
            <w:tcBorders>
              <w:bottom w:val="nil"/>
            </w:tcBorders>
            <w:shd w:val="clear" w:color="auto" w:fill="auto"/>
          </w:tcPr>
          <w:p w14:paraId="55FD308A" w14:textId="7A7476AC"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8F6FFFA" w14:textId="77777777" w:rsidTr="001F7F23">
        <w:tc>
          <w:tcPr>
            <w:tcW w:w="4165" w:type="pct"/>
            <w:gridSpan w:val="2"/>
            <w:tcBorders>
              <w:bottom w:val="nil"/>
            </w:tcBorders>
            <w:shd w:val="clear" w:color="auto" w:fill="auto"/>
          </w:tcPr>
          <w:p w14:paraId="15DD04FB" w14:textId="4D19EB9B" w:rsidR="0000776A" w:rsidRPr="0046389C" w:rsidRDefault="0000776A" w:rsidP="0000776A">
            <w:pPr>
              <w:spacing w:before="40"/>
              <w:rPr>
                <w:sz w:val="18"/>
                <w:szCs w:val="18"/>
              </w:rPr>
            </w:pPr>
            <w:r w:rsidRPr="0046389C">
              <w:rPr>
                <w:sz w:val="18"/>
                <w:szCs w:val="18"/>
              </w:rPr>
              <w:t>Operating Statement for Output Class 1 – Management of Land</w:t>
            </w:r>
          </w:p>
        </w:tc>
        <w:tc>
          <w:tcPr>
            <w:tcW w:w="835" w:type="pct"/>
            <w:tcBorders>
              <w:bottom w:val="nil"/>
            </w:tcBorders>
            <w:shd w:val="clear" w:color="auto" w:fill="auto"/>
          </w:tcPr>
          <w:p w14:paraId="5B14D332" w14:textId="5C41F4A9"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5034DF5" w14:textId="77777777" w:rsidTr="001F7F23">
        <w:tc>
          <w:tcPr>
            <w:tcW w:w="4165" w:type="pct"/>
            <w:gridSpan w:val="2"/>
            <w:tcBorders>
              <w:bottom w:val="nil"/>
            </w:tcBorders>
            <w:shd w:val="clear" w:color="auto" w:fill="auto"/>
          </w:tcPr>
          <w:p w14:paraId="4F0F36ED" w14:textId="1AF0CBDF" w:rsidR="0000776A" w:rsidRPr="0046389C" w:rsidRDefault="0000776A" w:rsidP="0000776A">
            <w:pPr>
              <w:spacing w:before="40"/>
              <w:rPr>
                <w:sz w:val="18"/>
                <w:szCs w:val="18"/>
              </w:rPr>
            </w:pPr>
            <w:r w:rsidRPr="0046389C">
              <w:rPr>
                <w:sz w:val="18"/>
                <w:szCs w:val="18"/>
              </w:rPr>
              <w:t>Operating Statement for Output Class 2 – Municipal Services</w:t>
            </w:r>
            <w:r w:rsidR="0029606A" w:rsidRPr="0046389C">
              <w:rPr>
                <w:sz w:val="18"/>
                <w:szCs w:val="18"/>
              </w:rPr>
              <w:t xml:space="preserve"> and Transportation</w:t>
            </w:r>
          </w:p>
        </w:tc>
        <w:tc>
          <w:tcPr>
            <w:tcW w:w="835" w:type="pct"/>
            <w:tcBorders>
              <w:bottom w:val="nil"/>
            </w:tcBorders>
            <w:shd w:val="clear" w:color="auto" w:fill="auto"/>
          </w:tcPr>
          <w:p w14:paraId="15BB1437" w14:textId="588683CB"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51A7063B" w14:textId="77777777" w:rsidTr="001F7F23">
        <w:tc>
          <w:tcPr>
            <w:tcW w:w="4165" w:type="pct"/>
            <w:gridSpan w:val="2"/>
            <w:tcBorders>
              <w:bottom w:val="nil"/>
            </w:tcBorders>
            <w:shd w:val="clear" w:color="auto" w:fill="auto"/>
          </w:tcPr>
          <w:p w14:paraId="515F9B53" w14:textId="1542A12C" w:rsidR="0000776A" w:rsidRPr="0046389C" w:rsidRDefault="0000776A" w:rsidP="0000776A">
            <w:pPr>
              <w:spacing w:before="40"/>
              <w:rPr>
                <w:sz w:val="18"/>
                <w:szCs w:val="18"/>
              </w:rPr>
            </w:pPr>
            <w:r w:rsidRPr="0046389C">
              <w:rPr>
                <w:sz w:val="18"/>
                <w:szCs w:val="18"/>
              </w:rPr>
              <w:t>Operating Statement for Output Class 3 – Environment and Heritage</w:t>
            </w:r>
          </w:p>
        </w:tc>
        <w:tc>
          <w:tcPr>
            <w:tcW w:w="835" w:type="pct"/>
            <w:tcBorders>
              <w:bottom w:val="nil"/>
            </w:tcBorders>
            <w:shd w:val="clear" w:color="auto" w:fill="auto"/>
          </w:tcPr>
          <w:p w14:paraId="5BD691DF" w14:textId="6F7C2E8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2A7842D0" w14:textId="77777777" w:rsidTr="001F7F23">
        <w:tc>
          <w:tcPr>
            <w:tcW w:w="4165" w:type="pct"/>
            <w:gridSpan w:val="2"/>
            <w:tcBorders>
              <w:bottom w:val="nil"/>
            </w:tcBorders>
            <w:shd w:val="clear" w:color="auto" w:fill="auto"/>
          </w:tcPr>
          <w:p w14:paraId="5FC11BC5" w14:textId="46B0D27D" w:rsidR="0000776A" w:rsidRPr="0046389C" w:rsidRDefault="0000776A" w:rsidP="0000776A">
            <w:pPr>
              <w:spacing w:before="40"/>
              <w:rPr>
                <w:sz w:val="18"/>
                <w:szCs w:val="18"/>
              </w:rPr>
            </w:pPr>
            <w:r w:rsidRPr="0046389C">
              <w:rPr>
                <w:rFonts w:asciiTheme="minorHAnsi" w:hAnsiTheme="minorHAnsi" w:cstheme="minorHAnsi"/>
                <w:sz w:val="18"/>
                <w:szCs w:val="18"/>
              </w:rPr>
              <w:t>Operating Statement for Output Class 4 – Courts and Tribunals</w:t>
            </w:r>
          </w:p>
        </w:tc>
        <w:tc>
          <w:tcPr>
            <w:tcW w:w="835" w:type="pct"/>
            <w:tcBorders>
              <w:bottom w:val="nil"/>
            </w:tcBorders>
            <w:shd w:val="clear" w:color="auto" w:fill="auto"/>
          </w:tcPr>
          <w:p w14:paraId="0E533DD8" w14:textId="162DF599"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5F9D1C7E" w14:textId="77777777" w:rsidTr="001F7F23">
        <w:trPr>
          <w:trHeight w:val="317"/>
        </w:trPr>
        <w:tc>
          <w:tcPr>
            <w:tcW w:w="4165" w:type="pct"/>
            <w:gridSpan w:val="2"/>
            <w:shd w:val="clear" w:color="auto" w:fill="auto"/>
          </w:tcPr>
          <w:p w14:paraId="51F4DB01" w14:textId="603122DE" w:rsidR="0000776A" w:rsidRPr="0046389C" w:rsidRDefault="0000776A" w:rsidP="0000776A">
            <w:pPr>
              <w:spacing w:before="40"/>
              <w:rPr>
                <w:sz w:val="18"/>
                <w:szCs w:val="18"/>
              </w:rPr>
            </w:pPr>
            <w:r w:rsidRPr="0046389C">
              <w:rPr>
                <w:sz w:val="18"/>
                <w:szCs w:val="18"/>
              </w:rPr>
              <w:t>Disaggregated Disclosure of Assets and Liabilities [Directorates Only]</w:t>
            </w:r>
          </w:p>
        </w:tc>
        <w:tc>
          <w:tcPr>
            <w:tcW w:w="835" w:type="pct"/>
            <w:tcBorders>
              <w:bottom w:val="nil"/>
            </w:tcBorders>
            <w:shd w:val="clear" w:color="auto" w:fill="auto"/>
          </w:tcPr>
          <w:p w14:paraId="398287B6" w14:textId="6BC4F730"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7642E30" w14:textId="77777777" w:rsidTr="001F7F23">
        <w:trPr>
          <w:trHeight w:val="317"/>
        </w:trPr>
        <w:tc>
          <w:tcPr>
            <w:tcW w:w="4165" w:type="pct"/>
            <w:gridSpan w:val="2"/>
            <w:shd w:val="clear" w:color="auto" w:fill="auto"/>
          </w:tcPr>
          <w:p w14:paraId="781D5F18" w14:textId="77777777" w:rsidR="0000776A" w:rsidRPr="0046389C" w:rsidRDefault="0000776A" w:rsidP="0000776A">
            <w:pPr>
              <w:spacing w:before="40"/>
              <w:rPr>
                <w:sz w:val="18"/>
                <w:szCs w:val="18"/>
              </w:rPr>
            </w:pPr>
          </w:p>
        </w:tc>
        <w:tc>
          <w:tcPr>
            <w:tcW w:w="835" w:type="pct"/>
            <w:tcBorders>
              <w:bottom w:val="nil"/>
            </w:tcBorders>
            <w:shd w:val="clear" w:color="auto" w:fill="auto"/>
          </w:tcPr>
          <w:p w14:paraId="19D6255D" w14:textId="77777777" w:rsidR="0000776A" w:rsidRPr="0046389C" w:rsidRDefault="0000776A" w:rsidP="0000776A">
            <w:pPr>
              <w:pStyle w:val="TableText"/>
              <w:tabs>
                <w:tab w:val="left" w:pos="3306"/>
              </w:tabs>
              <w:jc w:val="right"/>
              <w:rPr>
                <w:rFonts w:cs="Calibri"/>
                <w:snapToGrid w:val="0"/>
              </w:rPr>
            </w:pPr>
          </w:p>
        </w:tc>
      </w:tr>
      <w:tr w:rsidR="0046389C" w:rsidRPr="0046389C" w14:paraId="332A09EC" w14:textId="77777777" w:rsidTr="001F7F23">
        <w:trPr>
          <w:trHeight w:val="317"/>
        </w:trPr>
        <w:tc>
          <w:tcPr>
            <w:tcW w:w="4165" w:type="pct"/>
            <w:gridSpan w:val="2"/>
            <w:shd w:val="clear" w:color="auto" w:fill="auto"/>
          </w:tcPr>
          <w:p w14:paraId="35598B60" w14:textId="11363BA0" w:rsidR="0000776A" w:rsidRPr="0046389C" w:rsidRDefault="0000776A" w:rsidP="0000776A">
            <w:pPr>
              <w:spacing w:before="40"/>
              <w:rPr>
                <w:b/>
                <w:bCs/>
                <w:sz w:val="18"/>
                <w:szCs w:val="18"/>
              </w:rPr>
            </w:pPr>
            <w:r w:rsidRPr="0046389C">
              <w:rPr>
                <w:b/>
                <w:bCs/>
                <w:sz w:val="18"/>
                <w:szCs w:val="18"/>
              </w:rPr>
              <w:t>Overview Notes</w:t>
            </w:r>
          </w:p>
        </w:tc>
        <w:tc>
          <w:tcPr>
            <w:tcW w:w="835" w:type="pct"/>
            <w:tcBorders>
              <w:bottom w:val="nil"/>
            </w:tcBorders>
            <w:shd w:val="clear" w:color="auto" w:fill="auto"/>
          </w:tcPr>
          <w:p w14:paraId="4744BD96" w14:textId="77777777" w:rsidR="0000776A" w:rsidRPr="0046389C" w:rsidRDefault="0000776A" w:rsidP="0000776A">
            <w:pPr>
              <w:pStyle w:val="TableText"/>
              <w:tabs>
                <w:tab w:val="left" w:pos="3306"/>
              </w:tabs>
              <w:jc w:val="right"/>
              <w:rPr>
                <w:rFonts w:cs="Calibri"/>
                <w:snapToGrid w:val="0"/>
              </w:rPr>
            </w:pPr>
          </w:p>
        </w:tc>
      </w:tr>
      <w:tr w:rsidR="0046389C" w:rsidRPr="0046389C" w14:paraId="31C99F78" w14:textId="77777777" w:rsidTr="001F7F23">
        <w:tc>
          <w:tcPr>
            <w:tcW w:w="569" w:type="pct"/>
            <w:tcBorders>
              <w:bottom w:val="nil"/>
            </w:tcBorders>
            <w:shd w:val="clear" w:color="auto" w:fill="auto"/>
          </w:tcPr>
          <w:p w14:paraId="1663948A" w14:textId="04249027" w:rsidR="0000776A" w:rsidRPr="0046389C" w:rsidRDefault="0000776A" w:rsidP="0000776A">
            <w:pPr>
              <w:pStyle w:val="TableText"/>
              <w:tabs>
                <w:tab w:val="left" w:pos="3306"/>
              </w:tabs>
              <w:rPr>
                <w:rFonts w:cs="Calibri"/>
                <w:snapToGrid w:val="0"/>
              </w:rPr>
            </w:pPr>
            <w:r w:rsidRPr="0046389C">
              <w:rPr>
                <w:rFonts w:cs="Calibri"/>
                <w:snapToGrid w:val="0"/>
              </w:rPr>
              <w:t>Note 1</w:t>
            </w:r>
          </w:p>
        </w:tc>
        <w:tc>
          <w:tcPr>
            <w:tcW w:w="3596" w:type="pct"/>
            <w:tcBorders>
              <w:bottom w:val="nil"/>
            </w:tcBorders>
            <w:shd w:val="clear" w:color="auto" w:fill="auto"/>
          </w:tcPr>
          <w:p w14:paraId="05462910" w14:textId="24215DE9" w:rsidR="0000776A" w:rsidRPr="0046389C" w:rsidRDefault="0000776A" w:rsidP="002F67B3">
            <w:pPr>
              <w:tabs>
                <w:tab w:val="left" w:pos="3306"/>
              </w:tabs>
              <w:rPr>
                <w:rFonts w:cs="Calibri"/>
                <w:sz w:val="18"/>
                <w:szCs w:val="18"/>
              </w:rPr>
            </w:pPr>
            <w:r w:rsidRPr="0046389C">
              <w:rPr>
                <w:rFonts w:cs="Calibri"/>
                <w:sz w:val="18"/>
                <w:szCs w:val="18"/>
              </w:rPr>
              <w:t xml:space="preserve">Objectives of </w:t>
            </w:r>
            <w:r w:rsidR="002F67B3" w:rsidRPr="0046389C">
              <w:rPr>
                <w:rFonts w:cs="Calibri"/>
                <w:sz w:val="18"/>
                <w:szCs w:val="18"/>
              </w:rPr>
              <w:t>‘Burley Griffin Agency’</w:t>
            </w:r>
          </w:p>
        </w:tc>
        <w:tc>
          <w:tcPr>
            <w:tcW w:w="835" w:type="pct"/>
            <w:tcBorders>
              <w:bottom w:val="nil"/>
            </w:tcBorders>
            <w:shd w:val="clear" w:color="auto" w:fill="auto"/>
          </w:tcPr>
          <w:p w14:paraId="6FA1EB37" w14:textId="61CB0C21"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6133412" w14:textId="77777777" w:rsidTr="001F7F23">
        <w:tc>
          <w:tcPr>
            <w:tcW w:w="569" w:type="pct"/>
            <w:tcBorders>
              <w:bottom w:val="nil"/>
            </w:tcBorders>
            <w:shd w:val="clear" w:color="auto" w:fill="auto"/>
          </w:tcPr>
          <w:p w14:paraId="333B654E" w14:textId="77777777" w:rsidR="0000776A" w:rsidRPr="0046389C" w:rsidRDefault="0000776A" w:rsidP="00950179">
            <w:pPr>
              <w:pStyle w:val="TableText"/>
              <w:tabs>
                <w:tab w:val="left" w:pos="3306"/>
              </w:tabs>
              <w:spacing w:before="0"/>
              <w:rPr>
                <w:rFonts w:cs="Calibri"/>
                <w:snapToGrid w:val="0"/>
              </w:rPr>
            </w:pPr>
            <w:r w:rsidRPr="0046389C">
              <w:rPr>
                <w:rFonts w:cs="Calibri"/>
                <w:snapToGrid w:val="0"/>
              </w:rPr>
              <w:t>Note 2</w:t>
            </w:r>
          </w:p>
        </w:tc>
        <w:tc>
          <w:tcPr>
            <w:tcW w:w="3596" w:type="pct"/>
            <w:tcBorders>
              <w:bottom w:val="nil"/>
            </w:tcBorders>
            <w:shd w:val="clear" w:color="auto" w:fill="auto"/>
          </w:tcPr>
          <w:p w14:paraId="08AA39E8" w14:textId="77777777" w:rsidR="0000776A" w:rsidRPr="0046389C" w:rsidRDefault="0000776A" w:rsidP="00950179">
            <w:pPr>
              <w:pStyle w:val="TableText"/>
              <w:tabs>
                <w:tab w:val="left" w:pos="3306"/>
              </w:tabs>
              <w:spacing w:before="0"/>
              <w:rPr>
                <w:rFonts w:cs="Calibri"/>
              </w:rPr>
            </w:pPr>
            <w:r w:rsidRPr="0046389C">
              <w:rPr>
                <w:rFonts w:cs="Calibri"/>
              </w:rPr>
              <w:t>Basis of Preparation of the Financial Statements</w:t>
            </w:r>
          </w:p>
        </w:tc>
        <w:tc>
          <w:tcPr>
            <w:tcW w:w="835" w:type="pct"/>
            <w:tcBorders>
              <w:bottom w:val="nil"/>
            </w:tcBorders>
            <w:shd w:val="clear" w:color="auto" w:fill="auto"/>
          </w:tcPr>
          <w:p w14:paraId="057C2139" w14:textId="29795790" w:rsidR="0000776A" w:rsidRPr="0046389C" w:rsidRDefault="00C801EF" w:rsidP="00950179">
            <w:pPr>
              <w:pStyle w:val="TableText"/>
              <w:tabs>
                <w:tab w:val="left" w:pos="3306"/>
              </w:tabs>
              <w:spacing w:before="0"/>
              <w:jc w:val="right"/>
              <w:rPr>
                <w:rFonts w:cs="Calibri"/>
                <w:snapToGrid w:val="0"/>
              </w:rPr>
            </w:pPr>
            <w:r w:rsidRPr="0046389C">
              <w:rPr>
                <w:rFonts w:cs="Calibri"/>
                <w:snapToGrid w:val="0"/>
              </w:rPr>
              <w:t>XX</w:t>
            </w:r>
          </w:p>
        </w:tc>
      </w:tr>
      <w:tr w:rsidR="0046389C" w:rsidRPr="0046389C" w14:paraId="21EA8620" w14:textId="77777777" w:rsidTr="00814CFD">
        <w:tc>
          <w:tcPr>
            <w:tcW w:w="569" w:type="pct"/>
            <w:tcBorders>
              <w:top w:val="nil"/>
              <w:bottom w:val="nil"/>
            </w:tcBorders>
          </w:tcPr>
          <w:p w14:paraId="368F123B" w14:textId="77777777" w:rsidR="00814CFD" w:rsidRPr="0046389C" w:rsidRDefault="00814CFD" w:rsidP="0000776A">
            <w:pPr>
              <w:pStyle w:val="TableText"/>
              <w:tabs>
                <w:tab w:val="left" w:pos="3306"/>
              </w:tabs>
              <w:rPr>
                <w:rFonts w:cs="Calibri"/>
                <w:snapToGrid w:val="0"/>
              </w:rPr>
            </w:pPr>
            <w:r w:rsidRPr="0046389C">
              <w:rPr>
                <w:rFonts w:cs="Calibri"/>
                <w:snapToGrid w:val="0"/>
              </w:rPr>
              <w:t>Note 3</w:t>
            </w:r>
          </w:p>
        </w:tc>
        <w:tc>
          <w:tcPr>
            <w:tcW w:w="3596" w:type="pct"/>
            <w:tcBorders>
              <w:top w:val="nil"/>
              <w:bottom w:val="nil"/>
            </w:tcBorders>
          </w:tcPr>
          <w:p w14:paraId="0B71058D" w14:textId="4F911083" w:rsidR="00814CFD" w:rsidRPr="0046389C" w:rsidRDefault="00814CFD" w:rsidP="0000776A">
            <w:pPr>
              <w:pStyle w:val="TableText"/>
              <w:tabs>
                <w:tab w:val="left" w:pos="3306"/>
              </w:tabs>
              <w:rPr>
                <w:rFonts w:cs="Calibri"/>
              </w:rPr>
            </w:pPr>
            <w:r w:rsidRPr="0046389C">
              <w:rPr>
                <w:rFonts w:cs="Calibri"/>
              </w:rPr>
              <w:t>Impact of Accounting Standards Issued But Yet to be Applied</w:t>
            </w:r>
          </w:p>
        </w:tc>
        <w:tc>
          <w:tcPr>
            <w:tcW w:w="835" w:type="pct"/>
            <w:tcBorders>
              <w:top w:val="nil"/>
              <w:bottom w:val="nil"/>
            </w:tcBorders>
          </w:tcPr>
          <w:p w14:paraId="09EE9C30" w14:textId="77777777" w:rsidR="00814CFD" w:rsidRPr="0046389C" w:rsidRDefault="00814CFD" w:rsidP="0000776A">
            <w:pPr>
              <w:pStyle w:val="TableText"/>
              <w:tabs>
                <w:tab w:val="left" w:pos="3306"/>
              </w:tabs>
              <w:jc w:val="right"/>
              <w:rPr>
                <w:rFonts w:cs="Calibri"/>
                <w:snapToGrid w:val="0"/>
              </w:rPr>
            </w:pPr>
            <w:r w:rsidRPr="0046389C">
              <w:rPr>
                <w:rFonts w:cs="Calibri"/>
                <w:snapToGrid w:val="0"/>
              </w:rPr>
              <w:t>XX</w:t>
            </w:r>
          </w:p>
        </w:tc>
      </w:tr>
      <w:tr w:rsidR="0046389C" w:rsidRPr="0046389C" w14:paraId="78E99E99" w14:textId="77777777" w:rsidTr="001F7F23">
        <w:tc>
          <w:tcPr>
            <w:tcW w:w="569" w:type="pct"/>
            <w:tcBorders>
              <w:top w:val="nil"/>
              <w:bottom w:val="nil"/>
            </w:tcBorders>
          </w:tcPr>
          <w:p w14:paraId="3D28454E" w14:textId="77777777" w:rsidR="0000776A" w:rsidRPr="0046389C" w:rsidRDefault="0000776A" w:rsidP="0000776A">
            <w:pPr>
              <w:pStyle w:val="TableText"/>
              <w:tabs>
                <w:tab w:val="left" w:pos="3306"/>
              </w:tabs>
              <w:rPr>
                <w:rFonts w:cs="Calibri"/>
                <w:snapToGrid w:val="0"/>
              </w:rPr>
            </w:pPr>
            <w:r w:rsidRPr="0046389C">
              <w:rPr>
                <w:rFonts w:cs="Calibri"/>
                <w:snapToGrid w:val="0"/>
              </w:rPr>
              <w:t>Note 4</w:t>
            </w:r>
          </w:p>
        </w:tc>
        <w:tc>
          <w:tcPr>
            <w:tcW w:w="3596" w:type="pct"/>
            <w:tcBorders>
              <w:top w:val="nil"/>
              <w:bottom w:val="nil"/>
            </w:tcBorders>
          </w:tcPr>
          <w:p w14:paraId="4CF78658" w14:textId="34D12B29" w:rsidR="0000776A" w:rsidRPr="0046389C" w:rsidRDefault="0000776A" w:rsidP="0000776A">
            <w:pPr>
              <w:pStyle w:val="TableText"/>
              <w:tabs>
                <w:tab w:val="left" w:pos="3306"/>
              </w:tabs>
              <w:rPr>
                <w:rFonts w:cs="Calibri"/>
                <w:snapToGrid w:val="0"/>
              </w:rPr>
            </w:pPr>
            <w:r w:rsidRPr="0046389C">
              <w:rPr>
                <w:rFonts w:cs="Calibri"/>
              </w:rPr>
              <w:t>Change in Accounting Polic</w:t>
            </w:r>
            <w:r w:rsidRPr="0046389C">
              <w:rPr>
                <w:rFonts w:cs="Calibri"/>
                <w:snapToGrid w:val="0"/>
              </w:rPr>
              <w:t>y and Accounting Estimates, and Correction of a Prior Period Error</w:t>
            </w:r>
          </w:p>
        </w:tc>
        <w:tc>
          <w:tcPr>
            <w:tcW w:w="835" w:type="pct"/>
            <w:tcBorders>
              <w:top w:val="nil"/>
              <w:bottom w:val="nil"/>
            </w:tcBorders>
          </w:tcPr>
          <w:p w14:paraId="4EE9C2F9" w14:textId="3B462404" w:rsidR="0000776A" w:rsidRPr="0046389C" w:rsidRDefault="00C801EF" w:rsidP="0000776A">
            <w:pPr>
              <w:pStyle w:val="TableText"/>
              <w:tabs>
                <w:tab w:val="left" w:pos="3306"/>
              </w:tabs>
              <w:jc w:val="right"/>
              <w:rPr>
                <w:rFonts w:cs="Calibri"/>
                <w:strike/>
                <w:snapToGrid w:val="0"/>
              </w:rPr>
            </w:pPr>
            <w:r w:rsidRPr="0046389C">
              <w:rPr>
                <w:rFonts w:cs="Calibri"/>
                <w:snapToGrid w:val="0"/>
              </w:rPr>
              <w:t>XX</w:t>
            </w:r>
          </w:p>
        </w:tc>
      </w:tr>
      <w:tr w:rsidR="001701ED" w:rsidRPr="0046389C" w14:paraId="0280875C" w14:textId="77777777" w:rsidTr="001701ED">
        <w:tc>
          <w:tcPr>
            <w:tcW w:w="569" w:type="pct"/>
            <w:tcBorders>
              <w:top w:val="nil"/>
              <w:bottom w:val="nil"/>
            </w:tcBorders>
          </w:tcPr>
          <w:p w14:paraId="77644C25" w14:textId="77777777" w:rsidR="001701ED" w:rsidRPr="0046389C" w:rsidRDefault="001701ED" w:rsidP="0000776A">
            <w:pPr>
              <w:pStyle w:val="TableText"/>
              <w:tabs>
                <w:tab w:val="left" w:pos="3306"/>
              </w:tabs>
              <w:rPr>
                <w:rFonts w:cs="Calibri"/>
                <w:snapToGrid w:val="0"/>
              </w:rPr>
            </w:pPr>
          </w:p>
        </w:tc>
        <w:tc>
          <w:tcPr>
            <w:tcW w:w="3596" w:type="pct"/>
            <w:tcBorders>
              <w:top w:val="nil"/>
              <w:bottom w:val="nil"/>
            </w:tcBorders>
          </w:tcPr>
          <w:p w14:paraId="30CCC657" w14:textId="77777777" w:rsidR="001701ED" w:rsidRPr="0046389C" w:rsidRDefault="001701ED" w:rsidP="0000776A">
            <w:pPr>
              <w:rPr>
                <w:sz w:val="18"/>
                <w:szCs w:val="18"/>
              </w:rPr>
            </w:pPr>
          </w:p>
        </w:tc>
        <w:tc>
          <w:tcPr>
            <w:tcW w:w="835" w:type="pct"/>
            <w:tcBorders>
              <w:top w:val="nil"/>
              <w:bottom w:val="nil"/>
            </w:tcBorders>
          </w:tcPr>
          <w:p w14:paraId="3AE1C648" w14:textId="77777777" w:rsidR="001701ED" w:rsidRPr="0046389C" w:rsidRDefault="001701ED" w:rsidP="0000776A">
            <w:pPr>
              <w:pStyle w:val="TableText"/>
              <w:tabs>
                <w:tab w:val="left" w:pos="3306"/>
              </w:tabs>
              <w:jc w:val="right"/>
              <w:rPr>
                <w:rFonts w:cs="Calibri"/>
                <w:strike/>
                <w:snapToGrid w:val="0"/>
              </w:rPr>
            </w:pPr>
          </w:p>
        </w:tc>
      </w:tr>
      <w:tr w:rsidR="0046389C" w:rsidRPr="0046389C" w14:paraId="16E35394" w14:textId="77777777" w:rsidTr="001F7F23">
        <w:trPr>
          <w:cantSplit/>
        </w:trPr>
        <w:tc>
          <w:tcPr>
            <w:tcW w:w="4165" w:type="pct"/>
            <w:gridSpan w:val="2"/>
            <w:tcBorders>
              <w:top w:val="nil"/>
              <w:bottom w:val="nil"/>
            </w:tcBorders>
          </w:tcPr>
          <w:p w14:paraId="78F34B4B" w14:textId="77777777" w:rsidR="0000776A" w:rsidRPr="0046389C" w:rsidRDefault="0000776A" w:rsidP="0000776A">
            <w:pPr>
              <w:pStyle w:val="TableText"/>
              <w:tabs>
                <w:tab w:val="left" w:pos="3306"/>
              </w:tabs>
              <w:rPr>
                <w:rFonts w:cs="Calibri"/>
                <w:b/>
                <w:bCs/>
                <w:snapToGrid w:val="0"/>
              </w:rPr>
            </w:pPr>
            <w:r w:rsidRPr="0046389C">
              <w:rPr>
                <w:rFonts w:cs="Calibri"/>
                <w:b/>
                <w:bCs/>
                <w:snapToGrid w:val="0"/>
              </w:rPr>
              <w:t>Income Notes</w:t>
            </w:r>
          </w:p>
        </w:tc>
        <w:tc>
          <w:tcPr>
            <w:tcW w:w="835" w:type="pct"/>
            <w:tcBorders>
              <w:top w:val="nil"/>
              <w:bottom w:val="nil"/>
            </w:tcBorders>
          </w:tcPr>
          <w:p w14:paraId="289C7FE6"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2A5B878E" w14:textId="77777777" w:rsidTr="001F7F23">
        <w:tc>
          <w:tcPr>
            <w:tcW w:w="569" w:type="pct"/>
            <w:tcBorders>
              <w:top w:val="nil"/>
              <w:bottom w:val="nil"/>
            </w:tcBorders>
          </w:tcPr>
          <w:p w14:paraId="28624BCB" w14:textId="77777777" w:rsidR="0000776A" w:rsidRPr="0046389C" w:rsidRDefault="0000776A" w:rsidP="0000776A">
            <w:pPr>
              <w:pStyle w:val="TableText"/>
              <w:tabs>
                <w:tab w:val="left" w:pos="3306"/>
              </w:tabs>
              <w:rPr>
                <w:rFonts w:cs="Calibri"/>
                <w:snapToGrid w:val="0"/>
              </w:rPr>
            </w:pPr>
            <w:r w:rsidRPr="0046389C">
              <w:rPr>
                <w:rFonts w:cs="Calibri"/>
                <w:snapToGrid w:val="0"/>
              </w:rPr>
              <w:t>Note 5</w:t>
            </w:r>
          </w:p>
        </w:tc>
        <w:tc>
          <w:tcPr>
            <w:tcW w:w="3596" w:type="pct"/>
            <w:tcBorders>
              <w:top w:val="nil"/>
              <w:bottom w:val="nil"/>
            </w:tcBorders>
          </w:tcPr>
          <w:p w14:paraId="5E028555" w14:textId="77777777" w:rsidR="0000776A" w:rsidRPr="0046389C" w:rsidRDefault="0000776A" w:rsidP="0000776A">
            <w:pPr>
              <w:pStyle w:val="TableText"/>
              <w:tabs>
                <w:tab w:val="left" w:pos="3306"/>
              </w:tabs>
              <w:rPr>
                <w:rFonts w:cs="Calibri"/>
                <w:snapToGrid w:val="0"/>
              </w:rPr>
            </w:pPr>
            <w:r w:rsidRPr="0046389C">
              <w:rPr>
                <w:rFonts w:cs="Calibri"/>
              </w:rPr>
              <w:t>Sales of Goods and Services from Contracts with Customers</w:t>
            </w:r>
          </w:p>
        </w:tc>
        <w:tc>
          <w:tcPr>
            <w:tcW w:w="835" w:type="pct"/>
            <w:tcBorders>
              <w:top w:val="nil"/>
              <w:bottom w:val="nil"/>
            </w:tcBorders>
          </w:tcPr>
          <w:p w14:paraId="21C1FEDF" w14:textId="35FFF999"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1E895C71" w14:textId="77777777" w:rsidTr="001F7F23">
        <w:tc>
          <w:tcPr>
            <w:tcW w:w="569" w:type="pct"/>
            <w:tcBorders>
              <w:top w:val="nil"/>
              <w:bottom w:val="nil"/>
            </w:tcBorders>
          </w:tcPr>
          <w:p w14:paraId="146C248F" w14:textId="77777777" w:rsidR="0000776A" w:rsidRPr="0046389C" w:rsidRDefault="0000776A" w:rsidP="0000776A">
            <w:pPr>
              <w:pStyle w:val="TableText"/>
              <w:tabs>
                <w:tab w:val="left" w:pos="3306"/>
              </w:tabs>
              <w:rPr>
                <w:rFonts w:cs="Calibri"/>
                <w:snapToGrid w:val="0"/>
              </w:rPr>
            </w:pPr>
            <w:r w:rsidRPr="0046389C">
              <w:rPr>
                <w:rFonts w:cs="Calibri"/>
                <w:snapToGrid w:val="0"/>
              </w:rPr>
              <w:t>Note 6</w:t>
            </w:r>
          </w:p>
        </w:tc>
        <w:tc>
          <w:tcPr>
            <w:tcW w:w="3596" w:type="pct"/>
            <w:tcBorders>
              <w:top w:val="nil"/>
              <w:bottom w:val="nil"/>
            </w:tcBorders>
          </w:tcPr>
          <w:p w14:paraId="13C350DA" w14:textId="77777777" w:rsidR="0000776A" w:rsidRPr="0046389C" w:rsidRDefault="0000776A" w:rsidP="0000776A">
            <w:pPr>
              <w:pStyle w:val="TableText"/>
              <w:tabs>
                <w:tab w:val="left" w:pos="3306"/>
              </w:tabs>
              <w:rPr>
                <w:rFonts w:cs="Calibri"/>
                <w:strike/>
                <w:snapToGrid w:val="0"/>
              </w:rPr>
            </w:pPr>
            <w:r w:rsidRPr="0046389C">
              <w:rPr>
                <w:rFonts w:cs="Calibri"/>
              </w:rPr>
              <w:t>Grants and Contributions Revenue</w:t>
            </w:r>
          </w:p>
        </w:tc>
        <w:tc>
          <w:tcPr>
            <w:tcW w:w="835" w:type="pct"/>
            <w:tcBorders>
              <w:top w:val="nil"/>
              <w:bottom w:val="nil"/>
            </w:tcBorders>
          </w:tcPr>
          <w:p w14:paraId="470178F0" w14:textId="05794FD7"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4A97886C" w14:textId="77777777" w:rsidTr="001F7F23">
        <w:tc>
          <w:tcPr>
            <w:tcW w:w="569" w:type="pct"/>
            <w:tcBorders>
              <w:top w:val="nil"/>
              <w:bottom w:val="nil"/>
            </w:tcBorders>
          </w:tcPr>
          <w:p w14:paraId="16AC18F2" w14:textId="77777777" w:rsidR="0000776A" w:rsidRPr="0046389C" w:rsidRDefault="0000776A" w:rsidP="0000776A">
            <w:pPr>
              <w:pStyle w:val="TableText"/>
              <w:tabs>
                <w:tab w:val="left" w:pos="3306"/>
              </w:tabs>
              <w:rPr>
                <w:rFonts w:cs="Calibri"/>
                <w:snapToGrid w:val="0"/>
              </w:rPr>
            </w:pPr>
            <w:r w:rsidRPr="0046389C">
              <w:rPr>
                <w:rFonts w:cs="Calibri"/>
                <w:snapToGrid w:val="0"/>
              </w:rPr>
              <w:t>Note 7</w:t>
            </w:r>
          </w:p>
        </w:tc>
        <w:tc>
          <w:tcPr>
            <w:tcW w:w="3596" w:type="pct"/>
            <w:tcBorders>
              <w:top w:val="nil"/>
              <w:bottom w:val="nil"/>
            </w:tcBorders>
          </w:tcPr>
          <w:p w14:paraId="6345B0BD" w14:textId="4ED2D628" w:rsidR="0000776A" w:rsidRPr="0046389C" w:rsidRDefault="0000776A" w:rsidP="0000776A">
            <w:pPr>
              <w:pStyle w:val="TableText"/>
              <w:tabs>
                <w:tab w:val="left" w:pos="3306"/>
              </w:tabs>
              <w:rPr>
                <w:rFonts w:cs="Calibri"/>
                <w:snapToGrid w:val="0"/>
              </w:rPr>
            </w:pPr>
            <w:r w:rsidRPr="0046389C">
              <w:rPr>
                <w:rFonts w:cs="Calibri"/>
              </w:rPr>
              <w:t xml:space="preserve">Investment </w:t>
            </w:r>
            <w:r w:rsidR="003879D7">
              <w:rPr>
                <w:rFonts w:cs="Calibri"/>
              </w:rPr>
              <w:t xml:space="preserve">and Interest </w:t>
            </w:r>
            <w:r w:rsidRPr="0046389C">
              <w:rPr>
                <w:rFonts w:cs="Calibri"/>
              </w:rPr>
              <w:t xml:space="preserve">Revenue </w:t>
            </w:r>
          </w:p>
        </w:tc>
        <w:tc>
          <w:tcPr>
            <w:tcW w:w="835" w:type="pct"/>
            <w:tcBorders>
              <w:top w:val="nil"/>
              <w:bottom w:val="nil"/>
            </w:tcBorders>
          </w:tcPr>
          <w:p w14:paraId="039A1EAD" w14:textId="585E72AA" w:rsidR="0000776A" w:rsidRPr="0046389C" w:rsidRDefault="0000776A" w:rsidP="0000776A">
            <w:pPr>
              <w:pStyle w:val="TableText"/>
              <w:tabs>
                <w:tab w:val="left" w:pos="3306"/>
              </w:tabs>
              <w:ind w:firstLine="168"/>
              <w:jc w:val="right"/>
              <w:rPr>
                <w:rFonts w:cs="Calibri"/>
                <w:strike/>
                <w:snapToGrid w:val="0"/>
              </w:rPr>
            </w:pPr>
            <w:r w:rsidRPr="0046389C">
              <w:rPr>
                <w:rFonts w:cs="Calibri"/>
                <w:snapToGrid w:val="0"/>
              </w:rPr>
              <w:t>XX</w:t>
            </w:r>
          </w:p>
        </w:tc>
      </w:tr>
      <w:tr w:rsidR="0046389C" w:rsidRPr="0046389C" w14:paraId="116FCCB7" w14:textId="77777777" w:rsidTr="001F7F23">
        <w:tc>
          <w:tcPr>
            <w:tcW w:w="569" w:type="pct"/>
            <w:tcBorders>
              <w:top w:val="nil"/>
              <w:bottom w:val="nil"/>
            </w:tcBorders>
          </w:tcPr>
          <w:p w14:paraId="71997AAE" w14:textId="604143D4" w:rsidR="0000776A" w:rsidRPr="0046389C" w:rsidRDefault="0000776A" w:rsidP="0000776A">
            <w:pPr>
              <w:pStyle w:val="TableText"/>
              <w:tabs>
                <w:tab w:val="left" w:pos="3306"/>
              </w:tabs>
              <w:rPr>
                <w:rFonts w:cs="Calibri"/>
                <w:snapToGrid w:val="0"/>
              </w:rPr>
            </w:pPr>
            <w:r w:rsidRPr="0046389C">
              <w:rPr>
                <w:rFonts w:cs="Calibri"/>
                <w:snapToGrid w:val="0"/>
              </w:rPr>
              <w:t>Note 8</w:t>
            </w:r>
          </w:p>
        </w:tc>
        <w:tc>
          <w:tcPr>
            <w:tcW w:w="3596" w:type="pct"/>
            <w:tcBorders>
              <w:top w:val="nil"/>
              <w:bottom w:val="nil"/>
            </w:tcBorders>
          </w:tcPr>
          <w:p w14:paraId="28045109" w14:textId="6FAB04E9" w:rsidR="0000776A" w:rsidRPr="0046389C" w:rsidRDefault="0000776A" w:rsidP="0000776A">
            <w:pPr>
              <w:pStyle w:val="TableText"/>
              <w:tabs>
                <w:tab w:val="left" w:pos="3306"/>
              </w:tabs>
              <w:rPr>
                <w:rFonts w:cs="Calibri"/>
                <w:snapToGrid w:val="0"/>
              </w:rPr>
            </w:pPr>
            <w:r w:rsidRPr="0046389C">
              <w:rPr>
                <w:rFonts w:cs="Calibri"/>
                <w:snapToGrid w:val="0"/>
              </w:rPr>
              <w:t xml:space="preserve">Gains from Disposals, </w:t>
            </w:r>
            <w:r w:rsidR="00D44587" w:rsidRPr="0046389C">
              <w:rPr>
                <w:rFonts w:cs="Calibri"/>
                <w:snapToGrid w:val="0"/>
              </w:rPr>
              <w:t>Derecognition</w:t>
            </w:r>
            <w:r w:rsidRPr="0046389C">
              <w:rPr>
                <w:rFonts w:cs="Calibri"/>
                <w:snapToGrid w:val="0"/>
              </w:rPr>
              <w:t xml:space="preserve"> and Remeasurement of Assets</w:t>
            </w:r>
          </w:p>
        </w:tc>
        <w:tc>
          <w:tcPr>
            <w:tcW w:w="835" w:type="pct"/>
            <w:tcBorders>
              <w:top w:val="nil"/>
              <w:bottom w:val="nil"/>
            </w:tcBorders>
          </w:tcPr>
          <w:p w14:paraId="48A5886E" w14:textId="4B42ECEB"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113287E" w14:textId="77777777" w:rsidTr="001F7F23">
        <w:tc>
          <w:tcPr>
            <w:tcW w:w="569" w:type="pct"/>
            <w:tcBorders>
              <w:top w:val="nil"/>
              <w:bottom w:val="nil"/>
            </w:tcBorders>
          </w:tcPr>
          <w:p w14:paraId="090D396A" w14:textId="5D76AB96" w:rsidR="0000776A" w:rsidRPr="0046389C" w:rsidRDefault="0000776A" w:rsidP="0000776A">
            <w:pPr>
              <w:pStyle w:val="TableText"/>
              <w:tabs>
                <w:tab w:val="left" w:pos="3306"/>
              </w:tabs>
              <w:rPr>
                <w:rFonts w:cs="Calibri"/>
                <w:snapToGrid w:val="0"/>
              </w:rPr>
            </w:pPr>
            <w:r w:rsidRPr="0046389C">
              <w:rPr>
                <w:rFonts w:cs="Calibri"/>
                <w:snapToGrid w:val="0"/>
              </w:rPr>
              <w:t xml:space="preserve">Note 9 </w:t>
            </w:r>
          </w:p>
        </w:tc>
        <w:tc>
          <w:tcPr>
            <w:tcW w:w="3596" w:type="pct"/>
            <w:tcBorders>
              <w:top w:val="nil"/>
              <w:bottom w:val="nil"/>
            </w:tcBorders>
          </w:tcPr>
          <w:p w14:paraId="5B603C12" w14:textId="4BA3A6C2" w:rsidR="0000776A" w:rsidRPr="0046389C" w:rsidRDefault="0000776A" w:rsidP="0000776A">
            <w:pPr>
              <w:pStyle w:val="TableText"/>
              <w:tabs>
                <w:tab w:val="left" w:pos="3306"/>
              </w:tabs>
              <w:rPr>
                <w:rFonts w:cs="Calibri"/>
                <w:snapToGrid w:val="0"/>
              </w:rPr>
            </w:pPr>
            <w:r w:rsidRPr="0046389C">
              <w:rPr>
                <w:rFonts w:cs="Calibri"/>
                <w:snapToGrid w:val="0"/>
              </w:rPr>
              <w:t xml:space="preserve">Other </w:t>
            </w:r>
            <w:r w:rsidR="00D44587" w:rsidRPr="0046389C">
              <w:rPr>
                <w:rFonts w:cs="Calibri"/>
                <w:snapToGrid w:val="0"/>
              </w:rPr>
              <w:t>Income</w:t>
            </w:r>
          </w:p>
        </w:tc>
        <w:tc>
          <w:tcPr>
            <w:tcW w:w="835" w:type="pct"/>
            <w:tcBorders>
              <w:top w:val="nil"/>
              <w:bottom w:val="nil"/>
            </w:tcBorders>
          </w:tcPr>
          <w:p w14:paraId="15ED70F5" w14:textId="08C3A2C1"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D4B79DD" w14:textId="77777777" w:rsidTr="001F7F23">
        <w:trPr>
          <w:cantSplit/>
        </w:trPr>
        <w:tc>
          <w:tcPr>
            <w:tcW w:w="569" w:type="pct"/>
            <w:tcBorders>
              <w:top w:val="nil"/>
              <w:bottom w:val="nil"/>
            </w:tcBorders>
          </w:tcPr>
          <w:p w14:paraId="10CAAC62"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4A43EB37" w14:textId="77777777" w:rsidR="0000776A" w:rsidRPr="0046389C" w:rsidRDefault="0000776A" w:rsidP="0000776A">
            <w:pPr>
              <w:pStyle w:val="TableText"/>
              <w:tabs>
                <w:tab w:val="left" w:pos="3306"/>
              </w:tabs>
              <w:rPr>
                <w:rFonts w:cs="Calibri"/>
                <w:b/>
                <w:bCs/>
                <w:snapToGrid w:val="0"/>
              </w:rPr>
            </w:pPr>
          </w:p>
        </w:tc>
        <w:tc>
          <w:tcPr>
            <w:tcW w:w="835" w:type="pct"/>
            <w:tcBorders>
              <w:top w:val="nil"/>
              <w:bottom w:val="nil"/>
            </w:tcBorders>
          </w:tcPr>
          <w:p w14:paraId="2AA37EFD"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4A39AA38" w14:textId="77777777" w:rsidTr="001F7F23">
        <w:trPr>
          <w:cantSplit/>
        </w:trPr>
        <w:tc>
          <w:tcPr>
            <w:tcW w:w="4165" w:type="pct"/>
            <w:gridSpan w:val="2"/>
            <w:tcBorders>
              <w:top w:val="nil"/>
              <w:bottom w:val="nil"/>
            </w:tcBorders>
          </w:tcPr>
          <w:p w14:paraId="0EC6C3CE" w14:textId="77777777" w:rsidR="0000776A" w:rsidRPr="0046389C" w:rsidRDefault="0000776A" w:rsidP="0000776A">
            <w:pPr>
              <w:pStyle w:val="TableText"/>
              <w:tabs>
                <w:tab w:val="left" w:pos="3306"/>
              </w:tabs>
              <w:rPr>
                <w:rFonts w:cs="Calibri"/>
                <w:b/>
                <w:bCs/>
                <w:snapToGrid w:val="0"/>
              </w:rPr>
            </w:pPr>
            <w:r w:rsidRPr="0046389C">
              <w:rPr>
                <w:rFonts w:cs="Calibri"/>
                <w:b/>
                <w:bCs/>
                <w:snapToGrid w:val="0"/>
              </w:rPr>
              <w:t>Expense Notes</w:t>
            </w:r>
          </w:p>
        </w:tc>
        <w:tc>
          <w:tcPr>
            <w:tcW w:w="835" w:type="pct"/>
            <w:tcBorders>
              <w:top w:val="nil"/>
              <w:bottom w:val="nil"/>
            </w:tcBorders>
          </w:tcPr>
          <w:p w14:paraId="7A52815C"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50E4693D" w14:textId="77777777" w:rsidTr="001F7F23">
        <w:tc>
          <w:tcPr>
            <w:tcW w:w="569" w:type="pct"/>
            <w:tcBorders>
              <w:top w:val="nil"/>
              <w:bottom w:val="nil"/>
            </w:tcBorders>
          </w:tcPr>
          <w:p w14:paraId="214413AB" w14:textId="487659B0" w:rsidR="0000776A" w:rsidRPr="0046389C" w:rsidRDefault="0000776A" w:rsidP="0000776A">
            <w:pPr>
              <w:pStyle w:val="TableText"/>
              <w:tabs>
                <w:tab w:val="left" w:pos="3306"/>
              </w:tabs>
              <w:rPr>
                <w:rFonts w:cs="Calibri"/>
                <w:strike/>
                <w:snapToGrid w:val="0"/>
              </w:rPr>
            </w:pPr>
            <w:r w:rsidRPr="0046389C">
              <w:rPr>
                <w:rFonts w:cs="Calibri"/>
                <w:snapToGrid w:val="0"/>
              </w:rPr>
              <w:t>Note 10</w:t>
            </w:r>
          </w:p>
        </w:tc>
        <w:tc>
          <w:tcPr>
            <w:tcW w:w="3596" w:type="pct"/>
            <w:tcBorders>
              <w:top w:val="nil"/>
              <w:bottom w:val="nil"/>
            </w:tcBorders>
          </w:tcPr>
          <w:p w14:paraId="4BB33B1F" w14:textId="5AEFADD6" w:rsidR="0000776A" w:rsidRPr="0046389C" w:rsidRDefault="0000776A" w:rsidP="0000776A">
            <w:pPr>
              <w:pStyle w:val="TableText"/>
              <w:tabs>
                <w:tab w:val="left" w:pos="743"/>
              </w:tabs>
              <w:rPr>
                <w:rFonts w:cs="Calibri"/>
                <w:snapToGrid w:val="0"/>
              </w:rPr>
            </w:pPr>
            <w:r w:rsidRPr="0046389C">
              <w:rPr>
                <w:rFonts w:cs="Calibri"/>
              </w:rPr>
              <w:t xml:space="preserve">Employee </w:t>
            </w:r>
            <w:r w:rsidR="00770C22" w:rsidRPr="0046389C">
              <w:t xml:space="preserve">and Superannuation </w:t>
            </w:r>
            <w:r w:rsidRPr="0046389C">
              <w:rPr>
                <w:rFonts w:cs="Calibri"/>
              </w:rPr>
              <w:t>Expenses</w:t>
            </w:r>
          </w:p>
        </w:tc>
        <w:tc>
          <w:tcPr>
            <w:tcW w:w="835" w:type="pct"/>
            <w:tcBorders>
              <w:top w:val="nil"/>
              <w:bottom w:val="nil"/>
            </w:tcBorders>
          </w:tcPr>
          <w:p w14:paraId="35EFF059" w14:textId="47FA6CCF"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44B6786" w14:textId="77777777" w:rsidTr="001F7F23">
        <w:tc>
          <w:tcPr>
            <w:tcW w:w="569" w:type="pct"/>
            <w:tcBorders>
              <w:top w:val="nil"/>
              <w:bottom w:val="nil"/>
            </w:tcBorders>
          </w:tcPr>
          <w:p w14:paraId="39A6ED6B" w14:textId="78F3DDC5"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1</w:t>
            </w:r>
          </w:p>
        </w:tc>
        <w:tc>
          <w:tcPr>
            <w:tcW w:w="3596" w:type="pct"/>
            <w:tcBorders>
              <w:top w:val="nil"/>
              <w:bottom w:val="nil"/>
            </w:tcBorders>
          </w:tcPr>
          <w:p w14:paraId="53EEFF4E" w14:textId="77777777" w:rsidR="0000776A" w:rsidRPr="0046389C" w:rsidRDefault="0000776A" w:rsidP="0000776A">
            <w:pPr>
              <w:pStyle w:val="TableText"/>
              <w:tabs>
                <w:tab w:val="left" w:pos="2"/>
              </w:tabs>
              <w:rPr>
                <w:rFonts w:cs="Calibri"/>
                <w:snapToGrid w:val="0"/>
              </w:rPr>
            </w:pPr>
            <w:r w:rsidRPr="0046389C">
              <w:rPr>
                <w:rFonts w:cs="Calibri"/>
              </w:rPr>
              <w:t>Supplies and Services</w:t>
            </w:r>
          </w:p>
        </w:tc>
        <w:tc>
          <w:tcPr>
            <w:tcW w:w="835" w:type="pct"/>
            <w:tcBorders>
              <w:top w:val="nil"/>
              <w:bottom w:val="nil"/>
            </w:tcBorders>
          </w:tcPr>
          <w:p w14:paraId="12C54096" w14:textId="260AAFA1"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6B6BAB15" w14:textId="77777777" w:rsidTr="001F7F23">
        <w:tc>
          <w:tcPr>
            <w:tcW w:w="569" w:type="pct"/>
            <w:tcBorders>
              <w:top w:val="nil"/>
              <w:bottom w:val="nil"/>
            </w:tcBorders>
          </w:tcPr>
          <w:p w14:paraId="7AC94344" w14:textId="2B83C9C4"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2</w:t>
            </w:r>
          </w:p>
        </w:tc>
        <w:tc>
          <w:tcPr>
            <w:tcW w:w="3596" w:type="pct"/>
            <w:tcBorders>
              <w:top w:val="nil"/>
              <w:bottom w:val="nil"/>
            </w:tcBorders>
          </w:tcPr>
          <w:p w14:paraId="1626819D" w14:textId="77777777" w:rsidR="0000776A" w:rsidRPr="0046389C" w:rsidRDefault="0000776A" w:rsidP="0000776A">
            <w:pPr>
              <w:pStyle w:val="TableText"/>
              <w:tabs>
                <w:tab w:val="left" w:pos="2"/>
              </w:tabs>
              <w:rPr>
                <w:rFonts w:cs="Calibri"/>
                <w:snapToGrid w:val="0"/>
              </w:rPr>
            </w:pPr>
            <w:r w:rsidRPr="0046389C">
              <w:rPr>
                <w:rFonts w:cs="Calibri"/>
              </w:rPr>
              <w:t>Grants and Purchased Services</w:t>
            </w:r>
          </w:p>
        </w:tc>
        <w:tc>
          <w:tcPr>
            <w:tcW w:w="835" w:type="pct"/>
            <w:tcBorders>
              <w:top w:val="nil"/>
              <w:bottom w:val="nil"/>
            </w:tcBorders>
          </w:tcPr>
          <w:p w14:paraId="5E472BE4" w14:textId="065CE9A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73686DB9" w14:textId="77777777" w:rsidTr="001F7F23">
        <w:tc>
          <w:tcPr>
            <w:tcW w:w="569" w:type="pct"/>
            <w:tcBorders>
              <w:top w:val="nil"/>
              <w:bottom w:val="nil"/>
            </w:tcBorders>
          </w:tcPr>
          <w:p w14:paraId="1C8F3BFE" w14:textId="2996AABB"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3</w:t>
            </w:r>
          </w:p>
        </w:tc>
        <w:tc>
          <w:tcPr>
            <w:tcW w:w="3596" w:type="pct"/>
            <w:tcBorders>
              <w:top w:val="nil"/>
              <w:bottom w:val="nil"/>
            </w:tcBorders>
          </w:tcPr>
          <w:p w14:paraId="3DFD4063" w14:textId="77777777" w:rsidR="0000776A" w:rsidRPr="0046389C" w:rsidRDefault="0000776A" w:rsidP="0000776A">
            <w:pPr>
              <w:pStyle w:val="TableText"/>
              <w:tabs>
                <w:tab w:val="left" w:pos="2"/>
              </w:tabs>
              <w:rPr>
                <w:rFonts w:cs="Calibri"/>
                <w:snapToGrid w:val="0"/>
              </w:rPr>
            </w:pPr>
            <w:r w:rsidRPr="0046389C">
              <w:rPr>
                <w:rFonts w:cs="Calibri"/>
              </w:rPr>
              <w:t>Borrowing Costs</w:t>
            </w:r>
          </w:p>
        </w:tc>
        <w:tc>
          <w:tcPr>
            <w:tcW w:w="835" w:type="pct"/>
            <w:tcBorders>
              <w:top w:val="nil"/>
              <w:bottom w:val="nil"/>
            </w:tcBorders>
          </w:tcPr>
          <w:p w14:paraId="379BE9E3" w14:textId="6FEBCA48"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2DD66CE4" w14:textId="77777777" w:rsidTr="001F7F23">
        <w:trPr>
          <w:trHeight w:val="273"/>
        </w:trPr>
        <w:tc>
          <w:tcPr>
            <w:tcW w:w="569" w:type="pct"/>
            <w:tcBorders>
              <w:top w:val="nil"/>
              <w:bottom w:val="nil"/>
            </w:tcBorders>
          </w:tcPr>
          <w:p w14:paraId="08463E42" w14:textId="41FF4535"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4</w:t>
            </w:r>
          </w:p>
        </w:tc>
        <w:tc>
          <w:tcPr>
            <w:tcW w:w="3596" w:type="pct"/>
            <w:tcBorders>
              <w:top w:val="nil"/>
              <w:bottom w:val="nil"/>
            </w:tcBorders>
          </w:tcPr>
          <w:p w14:paraId="09CF1AC2" w14:textId="77777777" w:rsidR="0000776A" w:rsidRPr="0046389C" w:rsidRDefault="0000776A" w:rsidP="0000776A">
            <w:pPr>
              <w:pStyle w:val="TableText"/>
              <w:tabs>
                <w:tab w:val="left" w:pos="2"/>
              </w:tabs>
              <w:rPr>
                <w:rFonts w:cs="Calibri"/>
                <w:snapToGrid w:val="0"/>
              </w:rPr>
            </w:pPr>
            <w:r w:rsidRPr="0046389C">
              <w:rPr>
                <w:rFonts w:cs="Calibri"/>
              </w:rPr>
              <w:t>Other Expenses</w:t>
            </w:r>
          </w:p>
        </w:tc>
        <w:tc>
          <w:tcPr>
            <w:tcW w:w="835" w:type="pct"/>
            <w:tcBorders>
              <w:top w:val="nil"/>
              <w:bottom w:val="nil"/>
            </w:tcBorders>
          </w:tcPr>
          <w:p w14:paraId="69424177" w14:textId="73D4EA3D"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AE041AF" w14:textId="77777777" w:rsidTr="001F7F23">
        <w:trPr>
          <w:cantSplit/>
          <w:trHeight w:val="163"/>
        </w:trPr>
        <w:tc>
          <w:tcPr>
            <w:tcW w:w="569" w:type="pct"/>
            <w:tcBorders>
              <w:top w:val="nil"/>
              <w:bottom w:val="nil"/>
            </w:tcBorders>
          </w:tcPr>
          <w:p w14:paraId="6C3BF4E8"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532F5F44" w14:textId="77777777" w:rsidR="0000776A" w:rsidRPr="0046389C" w:rsidRDefault="0000776A" w:rsidP="0000776A">
            <w:pPr>
              <w:pStyle w:val="TableText"/>
              <w:tabs>
                <w:tab w:val="left" w:pos="3306"/>
              </w:tabs>
              <w:rPr>
                <w:rFonts w:cs="Calibri"/>
                <w:b/>
                <w:bCs/>
                <w:snapToGrid w:val="0"/>
              </w:rPr>
            </w:pPr>
          </w:p>
        </w:tc>
        <w:tc>
          <w:tcPr>
            <w:tcW w:w="835" w:type="pct"/>
            <w:tcBorders>
              <w:top w:val="nil"/>
              <w:bottom w:val="nil"/>
            </w:tcBorders>
          </w:tcPr>
          <w:p w14:paraId="5B669EA0"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45CCA95B" w14:textId="77777777" w:rsidTr="001F7F23">
        <w:trPr>
          <w:cantSplit/>
          <w:trHeight w:val="163"/>
        </w:trPr>
        <w:tc>
          <w:tcPr>
            <w:tcW w:w="4165" w:type="pct"/>
            <w:gridSpan w:val="2"/>
            <w:tcBorders>
              <w:top w:val="nil"/>
              <w:bottom w:val="nil"/>
            </w:tcBorders>
          </w:tcPr>
          <w:p w14:paraId="5B4B058B" w14:textId="77777777" w:rsidR="0000776A" w:rsidRPr="0046389C" w:rsidRDefault="0000776A" w:rsidP="0000776A">
            <w:pPr>
              <w:pStyle w:val="TableText"/>
              <w:tabs>
                <w:tab w:val="left" w:pos="3306"/>
              </w:tabs>
              <w:rPr>
                <w:rFonts w:cs="Calibri"/>
                <w:snapToGrid w:val="0"/>
              </w:rPr>
            </w:pPr>
            <w:r w:rsidRPr="0046389C">
              <w:rPr>
                <w:rFonts w:cs="Calibri"/>
                <w:b/>
                <w:bCs/>
                <w:snapToGrid w:val="0"/>
              </w:rPr>
              <w:t>Asset Notes</w:t>
            </w:r>
          </w:p>
        </w:tc>
        <w:tc>
          <w:tcPr>
            <w:tcW w:w="835" w:type="pct"/>
            <w:tcBorders>
              <w:top w:val="nil"/>
              <w:bottom w:val="nil"/>
            </w:tcBorders>
          </w:tcPr>
          <w:p w14:paraId="68209A4F" w14:textId="77777777" w:rsidR="0000776A" w:rsidRPr="0046389C" w:rsidRDefault="0000776A" w:rsidP="0000776A">
            <w:pPr>
              <w:pStyle w:val="TableText"/>
              <w:tabs>
                <w:tab w:val="left" w:pos="3306"/>
              </w:tabs>
              <w:jc w:val="right"/>
              <w:rPr>
                <w:rFonts w:cs="Calibri"/>
                <w:b/>
                <w:bCs/>
                <w:snapToGrid w:val="0"/>
              </w:rPr>
            </w:pPr>
          </w:p>
        </w:tc>
      </w:tr>
      <w:tr w:rsidR="0046389C" w:rsidRPr="0046389C" w14:paraId="5DE133D1" w14:textId="77777777" w:rsidTr="001F7F23">
        <w:tc>
          <w:tcPr>
            <w:tcW w:w="569" w:type="pct"/>
            <w:tcBorders>
              <w:top w:val="nil"/>
              <w:bottom w:val="nil"/>
            </w:tcBorders>
          </w:tcPr>
          <w:p w14:paraId="03518F41" w14:textId="4BAAFFDC" w:rsidR="0000776A" w:rsidRPr="0046389C" w:rsidRDefault="0000776A" w:rsidP="0000776A">
            <w:pPr>
              <w:pStyle w:val="TableText"/>
              <w:tabs>
                <w:tab w:val="left" w:pos="3306"/>
              </w:tabs>
              <w:rPr>
                <w:rFonts w:cs="Calibri"/>
                <w:snapToGrid w:val="0"/>
              </w:rPr>
            </w:pPr>
            <w:r w:rsidRPr="0046389C">
              <w:rPr>
                <w:rFonts w:cs="Calibri"/>
                <w:snapToGrid w:val="0"/>
              </w:rPr>
              <w:t>Note 1</w:t>
            </w:r>
            <w:r w:rsidR="004E4224" w:rsidRPr="0046389C">
              <w:rPr>
                <w:rFonts w:cs="Calibri"/>
                <w:snapToGrid w:val="0"/>
              </w:rPr>
              <w:t>5</w:t>
            </w:r>
          </w:p>
        </w:tc>
        <w:tc>
          <w:tcPr>
            <w:tcW w:w="3596" w:type="pct"/>
            <w:tcBorders>
              <w:top w:val="nil"/>
              <w:bottom w:val="nil"/>
            </w:tcBorders>
          </w:tcPr>
          <w:p w14:paraId="6AF155C7" w14:textId="5757DC67" w:rsidR="0000776A" w:rsidRPr="0046389C" w:rsidRDefault="004E4224" w:rsidP="0000776A">
            <w:pPr>
              <w:pStyle w:val="TableText"/>
              <w:tabs>
                <w:tab w:val="left" w:pos="0"/>
              </w:tabs>
              <w:rPr>
                <w:rFonts w:cs="Calibri"/>
                <w:snapToGrid w:val="0"/>
              </w:rPr>
            </w:pPr>
            <w:r w:rsidRPr="0046389C">
              <w:rPr>
                <w:rFonts w:cs="Calibri"/>
              </w:rPr>
              <w:t>Cash</w:t>
            </w:r>
            <w:r w:rsidRPr="0046389C">
              <w:rPr>
                <w:rFonts w:cs="Calibri"/>
                <w:snapToGrid w:val="0"/>
              </w:rPr>
              <w:t xml:space="preserve"> and </w:t>
            </w:r>
            <w:r w:rsidR="0000776A" w:rsidRPr="0046389C">
              <w:rPr>
                <w:rFonts w:cs="Calibri"/>
              </w:rPr>
              <w:t>Investments</w:t>
            </w:r>
          </w:p>
        </w:tc>
        <w:tc>
          <w:tcPr>
            <w:tcW w:w="835" w:type="pct"/>
            <w:tcBorders>
              <w:top w:val="nil"/>
              <w:bottom w:val="nil"/>
            </w:tcBorders>
          </w:tcPr>
          <w:p w14:paraId="477490BB" w14:textId="47C7B96B"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1126746" w14:textId="77777777" w:rsidTr="001F7F23">
        <w:tc>
          <w:tcPr>
            <w:tcW w:w="569" w:type="pct"/>
            <w:tcBorders>
              <w:top w:val="nil"/>
              <w:bottom w:val="nil"/>
            </w:tcBorders>
          </w:tcPr>
          <w:p w14:paraId="238DC99F" w14:textId="3165827C"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16</w:t>
            </w:r>
          </w:p>
        </w:tc>
        <w:tc>
          <w:tcPr>
            <w:tcW w:w="3596" w:type="pct"/>
            <w:tcBorders>
              <w:top w:val="nil"/>
              <w:bottom w:val="nil"/>
            </w:tcBorders>
          </w:tcPr>
          <w:p w14:paraId="117C936F" w14:textId="0BD61BBD" w:rsidR="0000776A" w:rsidRPr="0046389C" w:rsidRDefault="0000776A" w:rsidP="0000776A">
            <w:pPr>
              <w:pStyle w:val="TableText"/>
              <w:tabs>
                <w:tab w:val="left" w:pos="0"/>
              </w:tabs>
              <w:rPr>
                <w:rFonts w:cs="Calibri"/>
                <w:snapToGrid w:val="0"/>
              </w:rPr>
            </w:pPr>
            <w:r w:rsidRPr="0046389C">
              <w:rPr>
                <w:rFonts w:cs="Calibri"/>
              </w:rPr>
              <w:t>Receivables</w:t>
            </w:r>
            <w:r w:rsidR="00B9734C" w:rsidRPr="0046389C">
              <w:rPr>
                <w:rFonts w:cs="Calibri"/>
              </w:rPr>
              <w:t xml:space="preserve"> and Contract Assets</w:t>
            </w:r>
          </w:p>
        </w:tc>
        <w:tc>
          <w:tcPr>
            <w:tcW w:w="835" w:type="pct"/>
            <w:tcBorders>
              <w:top w:val="nil"/>
              <w:bottom w:val="nil"/>
            </w:tcBorders>
          </w:tcPr>
          <w:p w14:paraId="7330C56A" w14:textId="3BEC0B09"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F5FC45F" w14:textId="77777777" w:rsidTr="001F7F23">
        <w:tc>
          <w:tcPr>
            <w:tcW w:w="569" w:type="pct"/>
            <w:tcBorders>
              <w:top w:val="nil"/>
              <w:bottom w:val="nil"/>
            </w:tcBorders>
          </w:tcPr>
          <w:p w14:paraId="48703165" w14:textId="579ADE23"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17</w:t>
            </w:r>
          </w:p>
        </w:tc>
        <w:tc>
          <w:tcPr>
            <w:tcW w:w="3596" w:type="pct"/>
            <w:tcBorders>
              <w:top w:val="nil"/>
              <w:bottom w:val="nil"/>
            </w:tcBorders>
          </w:tcPr>
          <w:p w14:paraId="1323DE4A" w14:textId="755395D5" w:rsidR="0000776A" w:rsidRPr="0046389C" w:rsidRDefault="0000776A" w:rsidP="0000776A">
            <w:pPr>
              <w:pStyle w:val="TableText"/>
              <w:tabs>
                <w:tab w:val="left" w:pos="0"/>
              </w:tabs>
              <w:rPr>
                <w:rFonts w:cs="Calibri"/>
                <w:snapToGrid w:val="0"/>
              </w:rPr>
            </w:pPr>
            <w:r w:rsidRPr="0046389C">
              <w:rPr>
                <w:rFonts w:cs="Calibri"/>
              </w:rPr>
              <w:t>Inventories</w:t>
            </w:r>
          </w:p>
        </w:tc>
        <w:tc>
          <w:tcPr>
            <w:tcW w:w="835" w:type="pct"/>
            <w:tcBorders>
              <w:top w:val="nil"/>
              <w:bottom w:val="nil"/>
            </w:tcBorders>
          </w:tcPr>
          <w:p w14:paraId="62137441" w14:textId="4DC3A70C"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F2C214F" w14:textId="77777777" w:rsidTr="001F7F23">
        <w:tc>
          <w:tcPr>
            <w:tcW w:w="569" w:type="pct"/>
            <w:tcBorders>
              <w:top w:val="nil"/>
              <w:bottom w:val="nil"/>
            </w:tcBorders>
          </w:tcPr>
          <w:p w14:paraId="37FD336C" w14:textId="60B1E008"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18</w:t>
            </w:r>
          </w:p>
        </w:tc>
        <w:tc>
          <w:tcPr>
            <w:tcW w:w="3596" w:type="pct"/>
            <w:tcBorders>
              <w:top w:val="nil"/>
              <w:bottom w:val="nil"/>
            </w:tcBorders>
          </w:tcPr>
          <w:p w14:paraId="07AA97F2" w14:textId="77777777" w:rsidR="0000776A" w:rsidRPr="0046389C" w:rsidRDefault="0000776A" w:rsidP="0000776A">
            <w:pPr>
              <w:pStyle w:val="TableText"/>
              <w:tabs>
                <w:tab w:val="left" w:pos="0"/>
              </w:tabs>
              <w:rPr>
                <w:rFonts w:cs="Calibri"/>
                <w:snapToGrid w:val="0"/>
              </w:rPr>
            </w:pPr>
            <w:r w:rsidRPr="0046389C">
              <w:rPr>
                <w:rFonts w:cs="Calibri"/>
                <w:snapToGrid w:val="0"/>
              </w:rPr>
              <w:t>Non-Current Assets Held for Sale</w:t>
            </w:r>
          </w:p>
        </w:tc>
        <w:tc>
          <w:tcPr>
            <w:tcW w:w="835" w:type="pct"/>
            <w:tcBorders>
              <w:top w:val="nil"/>
              <w:bottom w:val="nil"/>
            </w:tcBorders>
          </w:tcPr>
          <w:p w14:paraId="3693CCFF" w14:textId="6DD666E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79EC5A51" w14:textId="77777777" w:rsidTr="001F7F23">
        <w:tc>
          <w:tcPr>
            <w:tcW w:w="569" w:type="pct"/>
            <w:tcBorders>
              <w:top w:val="nil"/>
              <w:bottom w:val="nil"/>
            </w:tcBorders>
          </w:tcPr>
          <w:p w14:paraId="3B06C943" w14:textId="66B80328"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19</w:t>
            </w:r>
          </w:p>
        </w:tc>
        <w:tc>
          <w:tcPr>
            <w:tcW w:w="3596" w:type="pct"/>
            <w:tcBorders>
              <w:top w:val="nil"/>
              <w:bottom w:val="nil"/>
            </w:tcBorders>
          </w:tcPr>
          <w:p w14:paraId="0E63E8F5" w14:textId="7DD78ABA" w:rsidR="0000776A" w:rsidRPr="0046389C" w:rsidRDefault="0000776A" w:rsidP="0000776A">
            <w:pPr>
              <w:pStyle w:val="TableText"/>
              <w:tabs>
                <w:tab w:val="left" w:pos="0"/>
              </w:tabs>
              <w:rPr>
                <w:rFonts w:cs="Calibri"/>
                <w:snapToGrid w:val="0"/>
              </w:rPr>
            </w:pPr>
            <w:r w:rsidRPr="0046389C">
              <w:rPr>
                <w:rFonts w:cs="Calibri"/>
              </w:rPr>
              <w:t>Property, Plant and Equipment</w:t>
            </w:r>
          </w:p>
        </w:tc>
        <w:tc>
          <w:tcPr>
            <w:tcW w:w="835" w:type="pct"/>
            <w:tcBorders>
              <w:top w:val="nil"/>
              <w:bottom w:val="nil"/>
            </w:tcBorders>
          </w:tcPr>
          <w:p w14:paraId="29ECBBC6" w14:textId="378688B2"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AFB370A" w14:textId="77777777" w:rsidTr="001F7F23">
        <w:tc>
          <w:tcPr>
            <w:tcW w:w="569" w:type="pct"/>
            <w:tcBorders>
              <w:top w:val="nil"/>
              <w:bottom w:val="nil"/>
            </w:tcBorders>
          </w:tcPr>
          <w:p w14:paraId="7B51C8E3" w14:textId="7BC31506"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0</w:t>
            </w:r>
          </w:p>
        </w:tc>
        <w:tc>
          <w:tcPr>
            <w:tcW w:w="3596" w:type="pct"/>
            <w:tcBorders>
              <w:top w:val="nil"/>
              <w:bottom w:val="nil"/>
            </w:tcBorders>
          </w:tcPr>
          <w:p w14:paraId="0B94A939" w14:textId="77777777" w:rsidR="0000776A" w:rsidRPr="0046389C" w:rsidRDefault="0000776A" w:rsidP="0000776A">
            <w:pPr>
              <w:pStyle w:val="TableText"/>
              <w:tabs>
                <w:tab w:val="left" w:pos="0"/>
              </w:tabs>
              <w:rPr>
                <w:rFonts w:cs="Calibri"/>
                <w:snapToGrid w:val="0"/>
              </w:rPr>
            </w:pPr>
            <w:r w:rsidRPr="0046389C">
              <w:rPr>
                <w:rFonts w:cs="Calibri"/>
                <w:snapToGrid w:val="0"/>
              </w:rPr>
              <w:t>Investment Properties</w:t>
            </w:r>
          </w:p>
        </w:tc>
        <w:tc>
          <w:tcPr>
            <w:tcW w:w="835" w:type="pct"/>
            <w:tcBorders>
              <w:top w:val="nil"/>
              <w:bottom w:val="nil"/>
            </w:tcBorders>
          </w:tcPr>
          <w:p w14:paraId="612CB3D1" w14:textId="07873020"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3D2590BF" w14:textId="77777777" w:rsidTr="001F7F23">
        <w:tc>
          <w:tcPr>
            <w:tcW w:w="569" w:type="pct"/>
            <w:tcBorders>
              <w:top w:val="nil"/>
              <w:bottom w:val="nil"/>
            </w:tcBorders>
          </w:tcPr>
          <w:p w14:paraId="627B3380" w14:textId="5C579397"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1</w:t>
            </w:r>
          </w:p>
        </w:tc>
        <w:tc>
          <w:tcPr>
            <w:tcW w:w="3596" w:type="pct"/>
            <w:tcBorders>
              <w:top w:val="nil"/>
              <w:bottom w:val="nil"/>
            </w:tcBorders>
          </w:tcPr>
          <w:p w14:paraId="2B73B089" w14:textId="4C80CC23" w:rsidR="0000776A" w:rsidRPr="0046389C" w:rsidRDefault="0000776A" w:rsidP="0000776A">
            <w:pPr>
              <w:pStyle w:val="TableText"/>
              <w:tabs>
                <w:tab w:val="left" w:pos="0"/>
              </w:tabs>
              <w:rPr>
                <w:rFonts w:cs="Calibri"/>
                <w:snapToGrid w:val="0"/>
              </w:rPr>
            </w:pPr>
            <w:r w:rsidRPr="0046389C">
              <w:rPr>
                <w:rFonts w:cs="Calibri"/>
                <w:snapToGrid w:val="0"/>
              </w:rPr>
              <w:t>Intangible Assets</w:t>
            </w:r>
          </w:p>
        </w:tc>
        <w:tc>
          <w:tcPr>
            <w:tcW w:w="835" w:type="pct"/>
            <w:tcBorders>
              <w:top w:val="nil"/>
              <w:bottom w:val="nil"/>
            </w:tcBorders>
          </w:tcPr>
          <w:p w14:paraId="104834FD" w14:textId="33289C14"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17AE3C2B" w14:textId="77777777" w:rsidTr="001F7F23">
        <w:tc>
          <w:tcPr>
            <w:tcW w:w="569" w:type="pct"/>
            <w:tcBorders>
              <w:top w:val="nil"/>
              <w:bottom w:val="nil"/>
            </w:tcBorders>
          </w:tcPr>
          <w:p w14:paraId="652ECA1F" w14:textId="11814F0E"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2</w:t>
            </w:r>
          </w:p>
        </w:tc>
        <w:tc>
          <w:tcPr>
            <w:tcW w:w="3596" w:type="pct"/>
            <w:tcBorders>
              <w:top w:val="nil"/>
              <w:bottom w:val="nil"/>
            </w:tcBorders>
          </w:tcPr>
          <w:p w14:paraId="4F0D0631" w14:textId="77777777" w:rsidR="0000776A" w:rsidRPr="0046389C" w:rsidRDefault="0000776A" w:rsidP="0000776A">
            <w:pPr>
              <w:pStyle w:val="TableText"/>
              <w:tabs>
                <w:tab w:val="left" w:pos="0"/>
              </w:tabs>
              <w:rPr>
                <w:rFonts w:cs="Calibri"/>
                <w:snapToGrid w:val="0"/>
              </w:rPr>
            </w:pPr>
            <w:r w:rsidRPr="0046389C">
              <w:rPr>
                <w:rFonts w:cs="Calibri"/>
              </w:rPr>
              <w:t>Capital Works in Progress</w:t>
            </w:r>
          </w:p>
        </w:tc>
        <w:tc>
          <w:tcPr>
            <w:tcW w:w="835" w:type="pct"/>
            <w:tcBorders>
              <w:top w:val="nil"/>
              <w:bottom w:val="nil"/>
            </w:tcBorders>
          </w:tcPr>
          <w:p w14:paraId="41B3541A" w14:textId="16781A0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29BB03F" w14:textId="77777777" w:rsidTr="001F7F23">
        <w:tc>
          <w:tcPr>
            <w:tcW w:w="569" w:type="pct"/>
            <w:tcBorders>
              <w:top w:val="nil"/>
              <w:bottom w:val="nil"/>
            </w:tcBorders>
          </w:tcPr>
          <w:p w14:paraId="1247057B" w14:textId="47657757"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3</w:t>
            </w:r>
            <w:r w:rsidRPr="0046389C">
              <w:rPr>
                <w:rFonts w:cs="Calibri"/>
                <w:snapToGrid w:val="0"/>
              </w:rPr>
              <w:t xml:space="preserve"> </w:t>
            </w:r>
          </w:p>
        </w:tc>
        <w:tc>
          <w:tcPr>
            <w:tcW w:w="3596" w:type="pct"/>
            <w:tcBorders>
              <w:top w:val="nil"/>
              <w:bottom w:val="nil"/>
            </w:tcBorders>
          </w:tcPr>
          <w:p w14:paraId="49A9FA94" w14:textId="77777777" w:rsidR="0000776A" w:rsidRPr="0046389C" w:rsidRDefault="0000776A" w:rsidP="0000776A">
            <w:pPr>
              <w:pStyle w:val="TableText"/>
              <w:tabs>
                <w:tab w:val="left" w:pos="0"/>
              </w:tabs>
              <w:rPr>
                <w:rFonts w:cs="Calibri"/>
                <w:snapToGrid w:val="0"/>
              </w:rPr>
            </w:pPr>
            <w:r w:rsidRPr="0046389C">
              <w:rPr>
                <w:rFonts w:cs="Calibri"/>
              </w:rPr>
              <w:t>Other Assets</w:t>
            </w:r>
          </w:p>
        </w:tc>
        <w:tc>
          <w:tcPr>
            <w:tcW w:w="835" w:type="pct"/>
            <w:tcBorders>
              <w:top w:val="nil"/>
              <w:bottom w:val="nil"/>
            </w:tcBorders>
          </w:tcPr>
          <w:p w14:paraId="18FED0C4" w14:textId="55279A5E"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0FFD998B" w14:textId="77777777" w:rsidTr="001F7F23">
        <w:tc>
          <w:tcPr>
            <w:tcW w:w="569" w:type="pct"/>
            <w:tcBorders>
              <w:top w:val="nil"/>
              <w:bottom w:val="nil"/>
            </w:tcBorders>
          </w:tcPr>
          <w:p w14:paraId="41EBA297" w14:textId="77777777" w:rsidR="0000776A" w:rsidRPr="0046389C" w:rsidRDefault="0000776A" w:rsidP="0000776A">
            <w:pPr>
              <w:pStyle w:val="TableText"/>
              <w:tabs>
                <w:tab w:val="left" w:pos="3306"/>
              </w:tabs>
              <w:rPr>
                <w:rFonts w:cs="Calibri"/>
                <w:snapToGrid w:val="0"/>
              </w:rPr>
            </w:pPr>
          </w:p>
        </w:tc>
        <w:tc>
          <w:tcPr>
            <w:tcW w:w="3596" w:type="pct"/>
            <w:tcBorders>
              <w:top w:val="nil"/>
              <w:bottom w:val="nil"/>
            </w:tcBorders>
          </w:tcPr>
          <w:p w14:paraId="07C95573" w14:textId="77777777" w:rsidR="0000776A" w:rsidRPr="0046389C" w:rsidRDefault="0000776A" w:rsidP="0000776A">
            <w:pPr>
              <w:pStyle w:val="TableText"/>
              <w:tabs>
                <w:tab w:val="left" w:pos="0"/>
              </w:tabs>
              <w:rPr>
                <w:rFonts w:cs="Calibri"/>
              </w:rPr>
            </w:pPr>
          </w:p>
        </w:tc>
        <w:tc>
          <w:tcPr>
            <w:tcW w:w="835" w:type="pct"/>
            <w:tcBorders>
              <w:top w:val="nil"/>
              <w:bottom w:val="nil"/>
            </w:tcBorders>
          </w:tcPr>
          <w:p w14:paraId="51DFC10B" w14:textId="77777777" w:rsidR="0000776A" w:rsidRPr="0046389C" w:rsidRDefault="0000776A" w:rsidP="0000776A">
            <w:pPr>
              <w:pStyle w:val="TableText"/>
              <w:tabs>
                <w:tab w:val="left" w:pos="3306"/>
              </w:tabs>
              <w:jc w:val="right"/>
              <w:rPr>
                <w:rFonts w:cs="Calibri"/>
                <w:snapToGrid w:val="0"/>
              </w:rPr>
            </w:pPr>
          </w:p>
        </w:tc>
      </w:tr>
      <w:tr w:rsidR="0046389C" w:rsidRPr="0046389C" w14:paraId="2A966F2D" w14:textId="77777777" w:rsidTr="001F7F23">
        <w:trPr>
          <w:cantSplit/>
        </w:trPr>
        <w:tc>
          <w:tcPr>
            <w:tcW w:w="4165" w:type="pct"/>
            <w:gridSpan w:val="2"/>
            <w:tcBorders>
              <w:top w:val="nil"/>
              <w:bottom w:val="nil"/>
            </w:tcBorders>
          </w:tcPr>
          <w:p w14:paraId="5E4E7BB5" w14:textId="77777777" w:rsidR="0000776A" w:rsidRPr="0046389C" w:rsidRDefault="0000776A" w:rsidP="0000776A">
            <w:pPr>
              <w:pStyle w:val="TableText"/>
              <w:tabs>
                <w:tab w:val="left" w:pos="0"/>
              </w:tabs>
              <w:rPr>
                <w:rFonts w:cs="Calibri"/>
                <w:b/>
                <w:bCs/>
                <w:snapToGrid w:val="0"/>
              </w:rPr>
            </w:pPr>
            <w:r w:rsidRPr="0046389C">
              <w:rPr>
                <w:rFonts w:cs="Calibri"/>
                <w:b/>
                <w:bCs/>
                <w:snapToGrid w:val="0"/>
              </w:rPr>
              <w:t>Liability Notes</w:t>
            </w:r>
          </w:p>
        </w:tc>
        <w:tc>
          <w:tcPr>
            <w:tcW w:w="835" w:type="pct"/>
            <w:tcBorders>
              <w:top w:val="nil"/>
              <w:bottom w:val="nil"/>
            </w:tcBorders>
          </w:tcPr>
          <w:p w14:paraId="03ECB2DD" w14:textId="77777777" w:rsidR="0000776A" w:rsidRPr="0046389C" w:rsidRDefault="0000776A" w:rsidP="0000776A">
            <w:pPr>
              <w:pStyle w:val="TableText"/>
              <w:tabs>
                <w:tab w:val="left" w:pos="3306"/>
              </w:tabs>
              <w:jc w:val="right"/>
              <w:rPr>
                <w:rFonts w:cs="Calibri"/>
                <w:snapToGrid w:val="0"/>
              </w:rPr>
            </w:pPr>
          </w:p>
        </w:tc>
      </w:tr>
      <w:tr w:rsidR="0046389C" w:rsidRPr="0046389C" w14:paraId="394D77E8" w14:textId="77777777" w:rsidTr="001F7F23">
        <w:tc>
          <w:tcPr>
            <w:tcW w:w="569" w:type="pct"/>
            <w:tcBorders>
              <w:top w:val="nil"/>
              <w:bottom w:val="nil"/>
            </w:tcBorders>
          </w:tcPr>
          <w:p w14:paraId="6833CF3C" w14:textId="0B3B72E9" w:rsidR="0000776A" w:rsidRPr="0046389C" w:rsidRDefault="0000776A" w:rsidP="0000776A">
            <w:pPr>
              <w:pStyle w:val="TableText"/>
              <w:tabs>
                <w:tab w:val="left" w:pos="3306"/>
              </w:tabs>
              <w:rPr>
                <w:rFonts w:cs="Calibri"/>
                <w:snapToGrid w:val="0"/>
              </w:rPr>
            </w:pPr>
            <w:r w:rsidRPr="0046389C">
              <w:rPr>
                <w:rFonts w:cs="Calibri"/>
                <w:snapToGrid w:val="0"/>
              </w:rPr>
              <w:t>Note 2</w:t>
            </w:r>
            <w:r w:rsidR="004E4224" w:rsidRPr="0046389C">
              <w:rPr>
                <w:rFonts w:cs="Calibri"/>
                <w:snapToGrid w:val="0"/>
              </w:rPr>
              <w:t>4</w:t>
            </w:r>
          </w:p>
        </w:tc>
        <w:tc>
          <w:tcPr>
            <w:tcW w:w="3596" w:type="pct"/>
            <w:tcBorders>
              <w:top w:val="nil"/>
              <w:bottom w:val="nil"/>
            </w:tcBorders>
          </w:tcPr>
          <w:p w14:paraId="26A2325A" w14:textId="5F8835AC" w:rsidR="0000776A" w:rsidRPr="0046389C" w:rsidRDefault="0000776A" w:rsidP="0000776A">
            <w:pPr>
              <w:pStyle w:val="TableText"/>
              <w:tabs>
                <w:tab w:val="left" w:pos="0"/>
              </w:tabs>
              <w:rPr>
                <w:rFonts w:cs="Calibri"/>
                <w:snapToGrid w:val="0"/>
              </w:rPr>
            </w:pPr>
            <w:r w:rsidRPr="0046389C">
              <w:rPr>
                <w:rFonts w:cs="Calibri"/>
              </w:rPr>
              <w:t>Payables</w:t>
            </w:r>
            <w:r w:rsidR="002541C3" w:rsidRPr="0046389C">
              <w:rPr>
                <w:rFonts w:cs="Calibri"/>
              </w:rPr>
              <w:t xml:space="preserve"> and Contract Liabilities</w:t>
            </w:r>
          </w:p>
        </w:tc>
        <w:tc>
          <w:tcPr>
            <w:tcW w:w="835" w:type="pct"/>
            <w:tcBorders>
              <w:top w:val="nil"/>
              <w:bottom w:val="nil"/>
            </w:tcBorders>
          </w:tcPr>
          <w:p w14:paraId="37725C58" w14:textId="74B21C63" w:rsidR="0000776A" w:rsidRPr="0046389C" w:rsidRDefault="0000776A" w:rsidP="0000776A">
            <w:pPr>
              <w:pStyle w:val="TableText"/>
              <w:tabs>
                <w:tab w:val="left" w:pos="3306"/>
              </w:tabs>
              <w:jc w:val="right"/>
              <w:rPr>
                <w:rFonts w:cs="Calibri"/>
                <w:snapToGrid w:val="0"/>
              </w:rPr>
            </w:pPr>
            <w:r w:rsidRPr="0046389C">
              <w:rPr>
                <w:rFonts w:cs="Calibri"/>
                <w:snapToGrid w:val="0"/>
              </w:rPr>
              <w:t>XX</w:t>
            </w:r>
          </w:p>
        </w:tc>
      </w:tr>
      <w:tr w:rsidR="0046389C" w:rsidRPr="0046389C" w14:paraId="4BAEE8DA" w14:textId="77777777" w:rsidTr="001F7F23">
        <w:trPr>
          <w:trHeight w:val="269"/>
        </w:trPr>
        <w:tc>
          <w:tcPr>
            <w:tcW w:w="569" w:type="pct"/>
            <w:tcBorders>
              <w:top w:val="nil"/>
              <w:bottom w:val="nil"/>
            </w:tcBorders>
          </w:tcPr>
          <w:p w14:paraId="47BDC4EA" w14:textId="4EA2CAB4"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25</w:t>
            </w:r>
          </w:p>
        </w:tc>
        <w:tc>
          <w:tcPr>
            <w:tcW w:w="3596" w:type="pct"/>
            <w:tcBorders>
              <w:top w:val="nil"/>
              <w:bottom w:val="nil"/>
            </w:tcBorders>
          </w:tcPr>
          <w:p w14:paraId="56380DFD" w14:textId="104F5373" w:rsidR="0000776A" w:rsidRPr="0046389C" w:rsidRDefault="0087520B" w:rsidP="0000776A">
            <w:pPr>
              <w:pStyle w:val="TableText"/>
              <w:tabs>
                <w:tab w:val="left" w:pos="3306"/>
              </w:tabs>
              <w:rPr>
                <w:rFonts w:cs="Calibri"/>
                <w:snapToGrid w:val="0"/>
              </w:rPr>
            </w:pPr>
            <w:r w:rsidRPr="0046389C">
              <w:t xml:space="preserve">Borrowings </w:t>
            </w:r>
          </w:p>
        </w:tc>
        <w:tc>
          <w:tcPr>
            <w:tcW w:w="835" w:type="pct"/>
            <w:tcBorders>
              <w:top w:val="nil"/>
              <w:bottom w:val="nil"/>
            </w:tcBorders>
          </w:tcPr>
          <w:p w14:paraId="3F7D799A" w14:textId="2DDC3B98"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75DE78AE" w14:textId="77777777" w:rsidTr="001F7F23">
        <w:trPr>
          <w:trHeight w:val="269"/>
        </w:trPr>
        <w:tc>
          <w:tcPr>
            <w:tcW w:w="569" w:type="pct"/>
            <w:tcBorders>
              <w:top w:val="nil"/>
              <w:bottom w:val="nil"/>
            </w:tcBorders>
          </w:tcPr>
          <w:p w14:paraId="1027E038" w14:textId="037630C3"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26</w:t>
            </w:r>
          </w:p>
        </w:tc>
        <w:tc>
          <w:tcPr>
            <w:tcW w:w="3596" w:type="pct"/>
            <w:tcBorders>
              <w:top w:val="nil"/>
              <w:bottom w:val="nil"/>
            </w:tcBorders>
          </w:tcPr>
          <w:p w14:paraId="64D182D5" w14:textId="77777777" w:rsidR="0000776A" w:rsidRPr="0046389C" w:rsidRDefault="0000776A" w:rsidP="0000776A">
            <w:pPr>
              <w:pStyle w:val="TableText"/>
              <w:tabs>
                <w:tab w:val="left" w:pos="3306"/>
              </w:tabs>
              <w:rPr>
                <w:rFonts w:cs="Calibri"/>
                <w:snapToGrid w:val="0"/>
              </w:rPr>
            </w:pPr>
            <w:r w:rsidRPr="0046389C">
              <w:rPr>
                <w:rFonts w:cs="Calibri"/>
                <w:snapToGrid w:val="0"/>
              </w:rPr>
              <w:t>Lease Liabilities</w:t>
            </w:r>
          </w:p>
        </w:tc>
        <w:tc>
          <w:tcPr>
            <w:tcW w:w="835" w:type="pct"/>
            <w:tcBorders>
              <w:top w:val="nil"/>
              <w:bottom w:val="nil"/>
            </w:tcBorders>
          </w:tcPr>
          <w:p w14:paraId="549511F3" w14:textId="4C7607E9"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68EFFC38" w14:textId="77777777" w:rsidTr="001F7F23">
        <w:trPr>
          <w:trHeight w:val="255"/>
        </w:trPr>
        <w:tc>
          <w:tcPr>
            <w:tcW w:w="569" w:type="pct"/>
            <w:tcBorders>
              <w:top w:val="nil"/>
              <w:bottom w:val="nil"/>
            </w:tcBorders>
          </w:tcPr>
          <w:p w14:paraId="72C8B081" w14:textId="7A2771A6"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27</w:t>
            </w:r>
            <w:r w:rsidRPr="0046389C">
              <w:rPr>
                <w:rFonts w:cs="Calibri"/>
                <w:snapToGrid w:val="0"/>
              </w:rPr>
              <w:t xml:space="preserve"> </w:t>
            </w:r>
          </w:p>
        </w:tc>
        <w:tc>
          <w:tcPr>
            <w:tcW w:w="3596" w:type="pct"/>
            <w:tcBorders>
              <w:top w:val="nil"/>
              <w:bottom w:val="nil"/>
            </w:tcBorders>
          </w:tcPr>
          <w:p w14:paraId="18284A77" w14:textId="77777777" w:rsidR="0000776A" w:rsidRPr="0046389C" w:rsidRDefault="0000776A" w:rsidP="0000776A">
            <w:pPr>
              <w:pStyle w:val="TableText"/>
              <w:tabs>
                <w:tab w:val="left" w:pos="3306"/>
              </w:tabs>
              <w:rPr>
                <w:rFonts w:cs="Calibri"/>
                <w:snapToGrid w:val="0"/>
              </w:rPr>
            </w:pPr>
            <w:r w:rsidRPr="0046389C">
              <w:rPr>
                <w:rFonts w:cs="Calibri"/>
                <w:snapToGrid w:val="0"/>
              </w:rPr>
              <w:t>Employee Benefits</w:t>
            </w:r>
          </w:p>
        </w:tc>
        <w:tc>
          <w:tcPr>
            <w:tcW w:w="835" w:type="pct"/>
            <w:tcBorders>
              <w:top w:val="nil"/>
              <w:bottom w:val="nil"/>
            </w:tcBorders>
          </w:tcPr>
          <w:p w14:paraId="5CBD659C" w14:textId="36E5E853"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13F0E4F0" w14:textId="77777777" w:rsidTr="001F7F23">
        <w:trPr>
          <w:trHeight w:val="269"/>
        </w:trPr>
        <w:tc>
          <w:tcPr>
            <w:tcW w:w="569" w:type="pct"/>
            <w:tcBorders>
              <w:top w:val="nil"/>
              <w:bottom w:val="nil"/>
            </w:tcBorders>
          </w:tcPr>
          <w:p w14:paraId="59ABD56C" w14:textId="6C06374D"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28</w:t>
            </w:r>
          </w:p>
        </w:tc>
        <w:tc>
          <w:tcPr>
            <w:tcW w:w="3596" w:type="pct"/>
            <w:tcBorders>
              <w:top w:val="nil"/>
              <w:bottom w:val="nil"/>
            </w:tcBorders>
          </w:tcPr>
          <w:p w14:paraId="30276B59" w14:textId="77777777" w:rsidR="0000776A" w:rsidRPr="0046389C" w:rsidRDefault="0000776A" w:rsidP="0000776A">
            <w:pPr>
              <w:pStyle w:val="TableText"/>
              <w:tabs>
                <w:tab w:val="left" w:pos="3306"/>
              </w:tabs>
              <w:rPr>
                <w:rFonts w:cs="Calibri"/>
                <w:snapToGrid w:val="0"/>
              </w:rPr>
            </w:pPr>
            <w:r w:rsidRPr="0046389C">
              <w:rPr>
                <w:rFonts w:cs="Calibri"/>
                <w:snapToGrid w:val="0"/>
              </w:rPr>
              <w:t>Other Provisions</w:t>
            </w:r>
          </w:p>
        </w:tc>
        <w:tc>
          <w:tcPr>
            <w:tcW w:w="835" w:type="pct"/>
            <w:tcBorders>
              <w:top w:val="nil"/>
              <w:bottom w:val="nil"/>
            </w:tcBorders>
          </w:tcPr>
          <w:p w14:paraId="734E0A5F" w14:textId="35AED41B"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r w:rsidR="0046389C" w:rsidRPr="0046389C" w14:paraId="58B43722" w14:textId="77777777" w:rsidTr="001F7F23">
        <w:trPr>
          <w:trHeight w:val="269"/>
        </w:trPr>
        <w:tc>
          <w:tcPr>
            <w:tcW w:w="569" w:type="pct"/>
            <w:tcBorders>
              <w:top w:val="nil"/>
              <w:bottom w:val="nil"/>
            </w:tcBorders>
          </w:tcPr>
          <w:p w14:paraId="1B8B7992" w14:textId="0574DDDD" w:rsidR="0000776A" w:rsidRPr="0046389C" w:rsidRDefault="0000776A" w:rsidP="0000776A">
            <w:pPr>
              <w:pStyle w:val="TableText"/>
              <w:tabs>
                <w:tab w:val="left" w:pos="3306"/>
              </w:tabs>
              <w:rPr>
                <w:rFonts w:cs="Calibri"/>
                <w:snapToGrid w:val="0"/>
              </w:rPr>
            </w:pPr>
            <w:r w:rsidRPr="0046389C">
              <w:rPr>
                <w:rFonts w:cs="Calibri"/>
                <w:snapToGrid w:val="0"/>
              </w:rPr>
              <w:t xml:space="preserve">Note </w:t>
            </w:r>
            <w:r w:rsidR="004E4224" w:rsidRPr="0046389C">
              <w:rPr>
                <w:rFonts w:cs="Calibri"/>
                <w:snapToGrid w:val="0"/>
              </w:rPr>
              <w:t>29</w:t>
            </w:r>
          </w:p>
        </w:tc>
        <w:tc>
          <w:tcPr>
            <w:tcW w:w="3596" w:type="pct"/>
            <w:tcBorders>
              <w:top w:val="nil"/>
              <w:bottom w:val="nil"/>
            </w:tcBorders>
          </w:tcPr>
          <w:p w14:paraId="50C39A39" w14:textId="77777777" w:rsidR="0000776A" w:rsidRPr="0046389C" w:rsidRDefault="0000776A" w:rsidP="0000776A">
            <w:pPr>
              <w:pStyle w:val="TableText"/>
              <w:tabs>
                <w:tab w:val="left" w:pos="3306"/>
              </w:tabs>
              <w:rPr>
                <w:rFonts w:cs="Calibri"/>
                <w:snapToGrid w:val="0"/>
              </w:rPr>
            </w:pPr>
            <w:r w:rsidRPr="0046389C">
              <w:rPr>
                <w:rFonts w:cs="Calibri"/>
                <w:snapToGrid w:val="0"/>
              </w:rPr>
              <w:t>Other Liabilities</w:t>
            </w:r>
          </w:p>
        </w:tc>
        <w:tc>
          <w:tcPr>
            <w:tcW w:w="835" w:type="pct"/>
            <w:tcBorders>
              <w:top w:val="nil"/>
              <w:bottom w:val="nil"/>
            </w:tcBorders>
          </w:tcPr>
          <w:p w14:paraId="7B0061C8" w14:textId="571514EE" w:rsidR="0000776A" w:rsidRPr="0046389C" w:rsidRDefault="0000776A" w:rsidP="0000776A">
            <w:pPr>
              <w:pStyle w:val="TableText"/>
              <w:tabs>
                <w:tab w:val="left" w:pos="3306"/>
              </w:tabs>
              <w:jc w:val="right"/>
              <w:rPr>
                <w:rFonts w:cs="Calibri"/>
                <w:strike/>
                <w:snapToGrid w:val="0"/>
              </w:rPr>
            </w:pPr>
            <w:r w:rsidRPr="0046389C">
              <w:rPr>
                <w:rFonts w:cs="Calibri"/>
                <w:snapToGrid w:val="0"/>
              </w:rPr>
              <w:t>XX</w:t>
            </w:r>
          </w:p>
        </w:tc>
      </w:tr>
    </w:tbl>
    <w:p w14:paraId="20703902" w14:textId="77777777" w:rsidR="00B12851" w:rsidRDefault="00B12851">
      <w:r>
        <w:br w:type="page"/>
      </w:r>
    </w:p>
    <w:p w14:paraId="24068A67" w14:textId="77777777" w:rsidR="00B12851" w:rsidRPr="0046389C" w:rsidRDefault="00B12851" w:rsidP="00B12851">
      <w:pPr>
        <w:spacing w:line="400" w:lineRule="exact"/>
        <w:jc w:val="center"/>
        <w:rPr>
          <w:rFonts w:asciiTheme="minorHAnsi" w:hAnsiTheme="minorHAnsi" w:cstheme="minorHAnsi"/>
          <w:b/>
          <w:sz w:val="40"/>
          <w:szCs w:val="24"/>
        </w:rPr>
      </w:pPr>
      <w:r w:rsidRPr="0046389C">
        <w:rPr>
          <w:rFonts w:asciiTheme="minorHAnsi" w:hAnsiTheme="minorHAnsi" w:cstheme="minorHAnsi"/>
          <w:b/>
          <w:sz w:val="40"/>
          <w:szCs w:val="24"/>
        </w:rPr>
        <w:t xml:space="preserve">‘BURLEY GRIFFIN AGENCY’ </w:t>
      </w:r>
    </w:p>
    <w:p w14:paraId="29F868F0" w14:textId="080227BB" w:rsidR="00B12851" w:rsidRDefault="00B12851" w:rsidP="00B12851">
      <w:pPr>
        <w:spacing w:after="120" w:line="400" w:lineRule="exact"/>
        <w:jc w:val="center"/>
        <w:rPr>
          <w:rFonts w:asciiTheme="minorHAnsi" w:hAnsiTheme="minorHAnsi" w:cstheme="minorHAnsi"/>
          <w:b/>
          <w:sz w:val="40"/>
          <w:szCs w:val="24"/>
        </w:rPr>
      </w:pPr>
      <w:r w:rsidRPr="0046389C">
        <w:rPr>
          <w:rFonts w:asciiTheme="minorHAnsi" w:hAnsiTheme="minorHAnsi" w:cstheme="minorHAnsi"/>
          <w:b/>
          <w:sz w:val="40"/>
          <w:szCs w:val="24"/>
        </w:rPr>
        <w:t xml:space="preserve">CONTENT OF CONTROLLED FINANCIAL STATEMENTS </w:t>
      </w:r>
      <w:r>
        <w:rPr>
          <w:rFonts w:asciiTheme="minorHAnsi" w:hAnsiTheme="minorHAnsi" w:cstheme="minorHAnsi"/>
          <w:b/>
          <w:sz w:val="40"/>
          <w:szCs w:val="24"/>
        </w:rPr>
        <w:t>–</w:t>
      </w:r>
      <w:r w:rsidRPr="0046389C">
        <w:rPr>
          <w:rFonts w:asciiTheme="minorHAnsi" w:hAnsiTheme="minorHAnsi" w:cstheme="minorHAnsi"/>
          <w:b/>
          <w:sz w:val="40"/>
          <w:szCs w:val="24"/>
        </w:rPr>
        <w:t>CONTINUED</w:t>
      </w:r>
      <w:r>
        <w:rPr>
          <w:rFonts w:asciiTheme="minorHAnsi" w:hAnsiTheme="minorHAnsi" w:cstheme="minorHAnsi"/>
          <w:b/>
          <w:sz w:val="40"/>
          <w:szCs w:val="24"/>
        </w:rPr>
        <w:t xml:space="preserve"> </w:t>
      </w:r>
    </w:p>
    <w:tbl>
      <w:tblPr>
        <w:tblW w:w="5147" w:type="pct"/>
        <w:tblLayout w:type="fixed"/>
        <w:tblLook w:val="00A0" w:firstRow="1" w:lastRow="0" w:firstColumn="1" w:lastColumn="0" w:noHBand="0" w:noVBand="0"/>
      </w:tblPr>
      <w:tblGrid>
        <w:gridCol w:w="1129"/>
        <w:gridCol w:w="7136"/>
        <w:gridCol w:w="1657"/>
      </w:tblGrid>
      <w:tr w:rsidR="00B12851" w:rsidRPr="0046389C" w14:paraId="0A5C4F7F" w14:textId="77777777" w:rsidTr="003C4C52">
        <w:trPr>
          <w:cantSplit/>
          <w:trHeight w:val="255"/>
        </w:trPr>
        <w:tc>
          <w:tcPr>
            <w:tcW w:w="4165" w:type="pct"/>
            <w:gridSpan w:val="2"/>
            <w:tcBorders>
              <w:bottom w:val="nil"/>
            </w:tcBorders>
          </w:tcPr>
          <w:p w14:paraId="7C66927F" w14:textId="77777777" w:rsidR="00B12851" w:rsidRPr="0046389C" w:rsidRDefault="00B12851" w:rsidP="003C4C52">
            <w:pPr>
              <w:pStyle w:val="TableText"/>
              <w:tabs>
                <w:tab w:val="left" w:pos="3306"/>
              </w:tabs>
              <w:rPr>
                <w:rFonts w:cs="Calibri"/>
                <w:snapToGrid w:val="0"/>
              </w:rPr>
            </w:pPr>
            <w:r w:rsidRPr="0046389C">
              <w:rPr>
                <w:rFonts w:cs="Calibri"/>
                <w:b/>
                <w:bCs/>
              </w:rPr>
              <w:t>Other Notes</w:t>
            </w:r>
          </w:p>
        </w:tc>
        <w:tc>
          <w:tcPr>
            <w:tcW w:w="835" w:type="pct"/>
            <w:tcBorders>
              <w:bottom w:val="nil"/>
            </w:tcBorders>
          </w:tcPr>
          <w:p w14:paraId="060F0C6C" w14:textId="77777777" w:rsidR="00B12851" w:rsidRPr="0046389C" w:rsidRDefault="00B12851" w:rsidP="003C4C52">
            <w:pPr>
              <w:pStyle w:val="TableText"/>
              <w:tabs>
                <w:tab w:val="left" w:pos="3306"/>
              </w:tabs>
              <w:spacing w:before="0"/>
              <w:jc w:val="right"/>
              <w:rPr>
                <w:rFonts w:cs="Calibri"/>
                <w:snapToGrid w:val="0"/>
              </w:rPr>
            </w:pPr>
          </w:p>
        </w:tc>
      </w:tr>
      <w:tr w:rsidR="00B12851" w:rsidRPr="0046389C" w14:paraId="415B2DF0" w14:textId="77777777" w:rsidTr="003C4C52">
        <w:trPr>
          <w:trHeight w:val="269"/>
        </w:trPr>
        <w:tc>
          <w:tcPr>
            <w:tcW w:w="569" w:type="pct"/>
            <w:tcBorders>
              <w:top w:val="nil"/>
              <w:bottom w:val="nil"/>
            </w:tcBorders>
          </w:tcPr>
          <w:p w14:paraId="126280D3" w14:textId="77777777" w:rsidR="00B12851" w:rsidRPr="0046389C" w:rsidRDefault="00B12851" w:rsidP="003C4C52">
            <w:pPr>
              <w:pStyle w:val="TableText"/>
              <w:tabs>
                <w:tab w:val="left" w:pos="3306"/>
              </w:tabs>
              <w:rPr>
                <w:rFonts w:cs="Calibri"/>
                <w:snapToGrid w:val="0"/>
                <w:highlight w:val="cyan"/>
              </w:rPr>
            </w:pPr>
            <w:r w:rsidRPr="0046389C">
              <w:rPr>
                <w:rFonts w:cs="Calibri"/>
                <w:snapToGrid w:val="0"/>
              </w:rPr>
              <w:t>Note 30</w:t>
            </w:r>
          </w:p>
        </w:tc>
        <w:tc>
          <w:tcPr>
            <w:tcW w:w="3596" w:type="pct"/>
            <w:tcBorders>
              <w:top w:val="nil"/>
              <w:bottom w:val="nil"/>
            </w:tcBorders>
          </w:tcPr>
          <w:p w14:paraId="67F4CF47" w14:textId="77777777" w:rsidR="00B12851" w:rsidRPr="0046389C" w:rsidRDefault="00B12851" w:rsidP="003C4C52">
            <w:pPr>
              <w:pStyle w:val="TableText"/>
              <w:tabs>
                <w:tab w:val="left" w:pos="3306"/>
              </w:tabs>
              <w:rPr>
                <w:rFonts w:cs="Calibri"/>
                <w:snapToGrid w:val="0"/>
                <w:highlight w:val="cyan"/>
              </w:rPr>
            </w:pPr>
            <w:r w:rsidRPr="0046389C">
              <w:rPr>
                <w:rFonts w:cs="Calibri"/>
                <w:snapToGrid w:val="0"/>
              </w:rPr>
              <w:t>Restructure of Administrative Arrangements</w:t>
            </w:r>
          </w:p>
        </w:tc>
        <w:tc>
          <w:tcPr>
            <w:tcW w:w="835" w:type="pct"/>
            <w:tcBorders>
              <w:top w:val="nil"/>
              <w:bottom w:val="nil"/>
            </w:tcBorders>
          </w:tcPr>
          <w:p w14:paraId="35C0D293"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6F86D799" w14:textId="77777777" w:rsidTr="003C4C52">
        <w:trPr>
          <w:trHeight w:val="269"/>
        </w:trPr>
        <w:tc>
          <w:tcPr>
            <w:tcW w:w="569" w:type="pct"/>
            <w:tcBorders>
              <w:top w:val="nil"/>
              <w:bottom w:val="nil"/>
            </w:tcBorders>
          </w:tcPr>
          <w:p w14:paraId="61FE368A" w14:textId="77777777" w:rsidR="00B12851" w:rsidRPr="0046389C" w:rsidRDefault="00B12851" w:rsidP="003C4C52">
            <w:pPr>
              <w:pStyle w:val="TableText"/>
              <w:tabs>
                <w:tab w:val="left" w:pos="3306"/>
              </w:tabs>
              <w:rPr>
                <w:rFonts w:cs="Calibri"/>
                <w:snapToGrid w:val="0"/>
              </w:rPr>
            </w:pPr>
            <w:r w:rsidRPr="0046389C">
              <w:rPr>
                <w:rFonts w:cs="Calibri"/>
                <w:snapToGrid w:val="0"/>
              </w:rPr>
              <w:t>Note 31</w:t>
            </w:r>
          </w:p>
        </w:tc>
        <w:tc>
          <w:tcPr>
            <w:tcW w:w="3596" w:type="pct"/>
            <w:tcBorders>
              <w:top w:val="nil"/>
              <w:bottom w:val="nil"/>
            </w:tcBorders>
          </w:tcPr>
          <w:p w14:paraId="707F2A9D" w14:textId="77777777" w:rsidR="00B12851" w:rsidRPr="0046389C" w:rsidRDefault="00B12851" w:rsidP="003C4C52">
            <w:pPr>
              <w:pStyle w:val="TableText"/>
              <w:tabs>
                <w:tab w:val="left" w:pos="3306"/>
              </w:tabs>
              <w:rPr>
                <w:rFonts w:cs="Calibri"/>
                <w:snapToGrid w:val="0"/>
              </w:rPr>
            </w:pPr>
            <w:r w:rsidRPr="0046389C">
              <w:rPr>
                <w:rFonts w:cs="Calibri"/>
                <w:snapToGrid w:val="0"/>
              </w:rPr>
              <w:t>Financial Instruments</w:t>
            </w:r>
          </w:p>
        </w:tc>
        <w:tc>
          <w:tcPr>
            <w:tcW w:w="835" w:type="pct"/>
            <w:tcBorders>
              <w:top w:val="nil"/>
              <w:bottom w:val="nil"/>
            </w:tcBorders>
          </w:tcPr>
          <w:p w14:paraId="5992CB1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49086AEB" w14:textId="77777777" w:rsidTr="003C4C52">
        <w:trPr>
          <w:trHeight w:val="269"/>
        </w:trPr>
        <w:tc>
          <w:tcPr>
            <w:tcW w:w="569" w:type="pct"/>
            <w:tcBorders>
              <w:top w:val="nil"/>
              <w:bottom w:val="nil"/>
            </w:tcBorders>
          </w:tcPr>
          <w:p w14:paraId="2309EE09" w14:textId="77777777" w:rsidR="00B12851" w:rsidRPr="0046389C" w:rsidRDefault="00B12851" w:rsidP="003C4C52">
            <w:pPr>
              <w:pStyle w:val="TableText"/>
              <w:tabs>
                <w:tab w:val="left" w:pos="3306"/>
              </w:tabs>
              <w:rPr>
                <w:rFonts w:cs="Calibri"/>
                <w:snapToGrid w:val="0"/>
              </w:rPr>
            </w:pPr>
            <w:r w:rsidRPr="0046389C">
              <w:rPr>
                <w:rFonts w:cs="Calibri"/>
                <w:snapToGrid w:val="0"/>
              </w:rPr>
              <w:t>Note 32</w:t>
            </w:r>
          </w:p>
        </w:tc>
        <w:tc>
          <w:tcPr>
            <w:tcW w:w="3596" w:type="pct"/>
            <w:tcBorders>
              <w:top w:val="nil"/>
              <w:bottom w:val="nil"/>
            </w:tcBorders>
          </w:tcPr>
          <w:p w14:paraId="4EFDA703" w14:textId="77777777" w:rsidR="00B12851" w:rsidRPr="0046389C" w:rsidRDefault="00B12851" w:rsidP="003C4C52">
            <w:pPr>
              <w:pStyle w:val="TableText"/>
              <w:tabs>
                <w:tab w:val="left" w:pos="743"/>
              </w:tabs>
              <w:rPr>
                <w:rFonts w:cs="Calibri"/>
                <w:snapToGrid w:val="0"/>
              </w:rPr>
            </w:pPr>
            <w:r w:rsidRPr="0046389C">
              <w:rPr>
                <w:rFonts w:cs="Calibri"/>
              </w:rPr>
              <w:t>Capital and Other Expenditure Commitments</w:t>
            </w:r>
          </w:p>
        </w:tc>
        <w:tc>
          <w:tcPr>
            <w:tcW w:w="835" w:type="pct"/>
            <w:tcBorders>
              <w:top w:val="nil"/>
              <w:bottom w:val="nil"/>
            </w:tcBorders>
          </w:tcPr>
          <w:p w14:paraId="73FCEC76"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349297DC" w14:textId="77777777" w:rsidTr="003C4C52">
        <w:trPr>
          <w:trHeight w:val="255"/>
        </w:trPr>
        <w:tc>
          <w:tcPr>
            <w:tcW w:w="569" w:type="pct"/>
            <w:tcBorders>
              <w:top w:val="nil"/>
              <w:bottom w:val="nil"/>
            </w:tcBorders>
          </w:tcPr>
          <w:p w14:paraId="62FAA38B" w14:textId="77777777" w:rsidR="00B12851" w:rsidRPr="0046389C" w:rsidRDefault="00B12851" w:rsidP="003C4C52">
            <w:pPr>
              <w:pStyle w:val="TableText"/>
              <w:tabs>
                <w:tab w:val="left" w:pos="3306"/>
              </w:tabs>
              <w:rPr>
                <w:rFonts w:cs="Calibri"/>
                <w:snapToGrid w:val="0"/>
              </w:rPr>
            </w:pPr>
            <w:r w:rsidRPr="0046389C">
              <w:rPr>
                <w:rFonts w:cs="Calibri"/>
                <w:snapToGrid w:val="0"/>
              </w:rPr>
              <w:t>Note 33</w:t>
            </w:r>
          </w:p>
        </w:tc>
        <w:tc>
          <w:tcPr>
            <w:tcW w:w="3596" w:type="pct"/>
            <w:tcBorders>
              <w:top w:val="nil"/>
              <w:bottom w:val="nil"/>
            </w:tcBorders>
          </w:tcPr>
          <w:p w14:paraId="4460F419" w14:textId="77777777" w:rsidR="00B12851" w:rsidRPr="0046389C" w:rsidRDefault="00B12851" w:rsidP="003C4C52">
            <w:pPr>
              <w:pStyle w:val="TableText"/>
              <w:tabs>
                <w:tab w:val="left" w:pos="743"/>
              </w:tabs>
              <w:rPr>
                <w:rFonts w:cs="Calibri"/>
                <w:snapToGrid w:val="0"/>
              </w:rPr>
            </w:pPr>
            <w:r w:rsidRPr="0046389C">
              <w:rPr>
                <w:rFonts w:cs="Calibri"/>
              </w:rPr>
              <w:t>Contingent Liabilities and Contingent Assets</w:t>
            </w:r>
          </w:p>
        </w:tc>
        <w:tc>
          <w:tcPr>
            <w:tcW w:w="835" w:type="pct"/>
            <w:tcBorders>
              <w:top w:val="nil"/>
              <w:bottom w:val="nil"/>
            </w:tcBorders>
          </w:tcPr>
          <w:p w14:paraId="56812C70"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78452C25" w14:textId="77777777" w:rsidTr="003C4C52">
        <w:trPr>
          <w:trHeight w:val="269"/>
        </w:trPr>
        <w:tc>
          <w:tcPr>
            <w:tcW w:w="569" w:type="pct"/>
            <w:tcBorders>
              <w:top w:val="nil"/>
              <w:bottom w:val="nil"/>
            </w:tcBorders>
          </w:tcPr>
          <w:p w14:paraId="76D89E39" w14:textId="77777777" w:rsidR="00B12851" w:rsidRPr="0046389C" w:rsidRDefault="00B12851" w:rsidP="003C4C52">
            <w:pPr>
              <w:pStyle w:val="TableText"/>
              <w:tabs>
                <w:tab w:val="left" w:pos="3306"/>
              </w:tabs>
              <w:rPr>
                <w:rFonts w:cs="Calibri"/>
                <w:snapToGrid w:val="0"/>
              </w:rPr>
            </w:pPr>
            <w:r w:rsidRPr="0046389C">
              <w:rPr>
                <w:rFonts w:cs="Calibri"/>
                <w:snapToGrid w:val="0"/>
              </w:rPr>
              <w:t>Note 34</w:t>
            </w:r>
          </w:p>
        </w:tc>
        <w:tc>
          <w:tcPr>
            <w:tcW w:w="3596" w:type="pct"/>
            <w:tcBorders>
              <w:top w:val="nil"/>
              <w:bottom w:val="nil"/>
            </w:tcBorders>
          </w:tcPr>
          <w:p w14:paraId="6F3ADF99" w14:textId="77777777" w:rsidR="00B12851" w:rsidRPr="0046389C" w:rsidRDefault="00B12851" w:rsidP="003C4C52">
            <w:pPr>
              <w:pStyle w:val="TableText"/>
              <w:tabs>
                <w:tab w:val="left" w:pos="743"/>
              </w:tabs>
              <w:rPr>
                <w:rFonts w:cs="Calibri"/>
                <w:snapToGrid w:val="0"/>
              </w:rPr>
            </w:pPr>
            <w:r w:rsidRPr="0046389C">
              <w:rPr>
                <w:rFonts w:cs="Calibri"/>
              </w:rPr>
              <w:t>Interest in a Joint Venture</w:t>
            </w:r>
          </w:p>
        </w:tc>
        <w:tc>
          <w:tcPr>
            <w:tcW w:w="835" w:type="pct"/>
            <w:tcBorders>
              <w:top w:val="nil"/>
              <w:bottom w:val="nil"/>
            </w:tcBorders>
          </w:tcPr>
          <w:p w14:paraId="40A0EA31"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4D3267A" w14:textId="77777777" w:rsidTr="003C4C52">
        <w:trPr>
          <w:trHeight w:val="269"/>
        </w:trPr>
        <w:tc>
          <w:tcPr>
            <w:tcW w:w="569" w:type="pct"/>
            <w:tcBorders>
              <w:top w:val="nil"/>
            </w:tcBorders>
          </w:tcPr>
          <w:p w14:paraId="10BB7930" w14:textId="77777777" w:rsidR="00B12851" w:rsidRPr="0046389C" w:rsidRDefault="00B12851" w:rsidP="003C4C52">
            <w:pPr>
              <w:pStyle w:val="TableText"/>
              <w:tabs>
                <w:tab w:val="left" w:pos="3306"/>
              </w:tabs>
              <w:rPr>
                <w:rFonts w:cs="Calibri"/>
                <w:snapToGrid w:val="0"/>
              </w:rPr>
            </w:pPr>
            <w:r w:rsidRPr="0046389C">
              <w:rPr>
                <w:rFonts w:cs="Calibri"/>
                <w:snapToGrid w:val="0"/>
              </w:rPr>
              <w:t>Note 35</w:t>
            </w:r>
          </w:p>
        </w:tc>
        <w:tc>
          <w:tcPr>
            <w:tcW w:w="3596" w:type="pct"/>
            <w:tcBorders>
              <w:top w:val="nil"/>
            </w:tcBorders>
          </w:tcPr>
          <w:p w14:paraId="0324CFBA" w14:textId="77777777" w:rsidR="00B12851" w:rsidRPr="0046389C" w:rsidRDefault="00B12851" w:rsidP="003C4C52">
            <w:pPr>
              <w:pStyle w:val="TableText"/>
              <w:tabs>
                <w:tab w:val="left" w:pos="743"/>
              </w:tabs>
              <w:rPr>
                <w:rFonts w:cs="Calibri"/>
                <w:snapToGrid w:val="0"/>
              </w:rPr>
            </w:pPr>
            <w:r w:rsidRPr="0046389C">
              <w:rPr>
                <w:rFonts w:cs="Calibri"/>
              </w:rPr>
              <w:t>Interest in a Joint Operation</w:t>
            </w:r>
          </w:p>
        </w:tc>
        <w:tc>
          <w:tcPr>
            <w:tcW w:w="835" w:type="pct"/>
            <w:tcBorders>
              <w:top w:val="nil"/>
            </w:tcBorders>
          </w:tcPr>
          <w:p w14:paraId="3641C945"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2B8A8958" w14:textId="77777777" w:rsidTr="003C4C52">
        <w:trPr>
          <w:trHeight w:val="255"/>
        </w:trPr>
        <w:tc>
          <w:tcPr>
            <w:tcW w:w="569" w:type="pct"/>
            <w:tcBorders>
              <w:top w:val="nil"/>
              <w:bottom w:val="nil"/>
            </w:tcBorders>
          </w:tcPr>
          <w:p w14:paraId="0377C89A" w14:textId="77777777" w:rsidR="00B12851" w:rsidRPr="0046389C" w:rsidRDefault="00B12851" w:rsidP="003C4C52">
            <w:pPr>
              <w:pStyle w:val="TableText"/>
              <w:tabs>
                <w:tab w:val="left" w:pos="3306"/>
              </w:tabs>
              <w:rPr>
                <w:rFonts w:cs="Calibri"/>
                <w:snapToGrid w:val="0"/>
              </w:rPr>
            </w:pPr>
            <w:r w:rsidRPr="0046389C">
              <w:rPr>
                <w:rFonts w:cs="Calibri"/>
                <w:snapToGrid w:val="0"/>
              </w:rPr>
              <w:t>Note 36</w:t>
            </w:r>
          </w:p>
        </w:tc>
        <w:tc>
          <w:tcPr>
            <w:tcW w:w="3596" w:type="pct"/>
            <w:tcBorders>
              <w:top w:val="nil"/>
              <w:bottom w:val="nil"/>
            </w:tcBorders>
          </w:tcPr>
          <w:p w14:paraId="25576ADA" w14:textId="77777777" w:rsidR="00B12851" w:rsidRPr="0046389C" w:rsidRDefault="00B12851" w:rsidP="003C4C52">
            <w:pPr>
              <w:pStyle w:val="TableText"/>
              <w:tabs>
                <w:tab w:val="left" w:pos="800"/>
              </w:tabs>
              <w:rPr>
                <w:rFonts w:cs="Calibri"/>
                <w:snapToGrid w:val="0"/>
              </w:rPr>
            </w:pPr>
            <w:r w:rsidRPr="0046389C">
              <w:rPr>
                <w:rFonts w:cs="Calibri"/>
              </w:rPr>
              <w:t>Events after the Reporting Period</w:t>
            </w:r>
          </w:p>
        </w:tc>
        <w:tc>
          <w:tcPr>
            <w:tcW w:w="835" w:type="pct"/>
            <w:tcBorders>
              <w:top w:val="nil"/>
              <w:bottom w:val="nil"/>
            </w:tcBorders>
          </w:tcPr>
          <w:p w14:paraId="25AAFBC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7B14A02F" w14:textId="77777777" w:rsidTr="003C4C52">
        <w:trPr>
          <w:trHeight w:val="269"/>
        </w:trPr>
        <w:tc>
          <w:tcPr>
            <w:tcW w:w="569" w:type="pct"/>
            <w:tcBorders>
              <w:top w:val="nil"/>
              <w:bottom w:val="nil"/>
            </w:tcBorders>
          </w:tcPr>
          <w:p w14:paraId="7CC3AC56" w14:textId="77777777" w:rsidR="00B12851" w:rsidRPr="0046389C" w:rsidRDefault="00B12851" w:rsidP="003C4C52">
            <w:pPr>
              <w:pStyle w:val="TableText"/>
              <w:tabs>
                <w:tab w:val="left" w:pos="3306"/>
              </w:tabs>
              <w:rPr>
                <w:rFonts w:cs="Calibri"/>
                <w:snapToGrid w:val="0"/>
              </w:rPr>
            </w:pPr>
            <w:r w:rsidRPr="0046389C">
              <w:rPr>
                <w:rFonts w:cs="Calibri"/>
                <w:snapToGrid w:val="0"/>
              </w:rPr>
              <w:t>Note 37</w:t>
            </w:r>
          </w:p>
        </w:tc>
        <w:tc>
          <w:tcPr>
            <w:tcW w:w="3596" w:type="pct"/>
            <w:tcBorders>
              <w:top w:val="nil"/>
              <w:bottom w:val="nil"/>
            </w:tcBorders>
          </w:tcPr>
          <w:p w14:paraId="79B7685C" w14:textId="77777777" w:rsidR="00B12851" w:rsidRPr="0046389C" w:rsidRDefault="00B12851" w:rsidP="003C4C52">
            <w:pPr>
              <w:pStyle w:val="TableText"/>
              <w:tabs>
                <w:tab w:val="left" w:pos="800"/>
              </w:tabs>
              <w:rPr>
                <w:rFonts w:cs="Calibri"/>
                <w:snapToGrid w:val="0"/>
              </w:rPr>
            </w:pPr>
            <w:r w:rsidRPr="0046389C">
              <w:rPr>
                <w:rFonts w:cs="Calibri"/>
              </w:rPr>
              <w:t>Third Party Monies</w:t>
            </w:r>
          </w:p>
        </w:tc>
        <w:tc>
          <w:tcPr>
            <w:tcW w:w="835" w:type="pct"/>
            <w:tcBorders>
              <w:top w:val="nil"/>
              <w:bottom w:val="nil"/>
            </w:tcBorders>
          </w:tcPr>
          <w:p w14:paraId="0C2B7AD9"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25217DB9" w14:textId="77777777" w:rsidTr="003C4C52">
        <w:trPr>
          <w:trHeight w:val="269"/>
        </w:trPr>
        <w:tc>
          <w:tcPr>
            <w:tcW w:w="569" w:type="pct"/>
            <w:tcBorders>
              <w:top w:val="nil"/>
              <w:bottom w:val="nil"/>
            </w:tcBorders>
          </w:tcPr>
          <w:p w14:paraId="6152249B" w14:textId="77777777" w:rsidR="00B12851" w:rsidRPr="0046389C" w:rsidRDefault="00B12851" w:rsidP="003C4C52">
            <w:pPr>
              <w:pStyle w:val="TableText"/>
              <w:tabs>
                <w:tab w:val="left" w:pos="3306"/>
              </w:tabs>
              <w:rPr>
                <w:rFonts w:cs="Calibri"/>
                <w:snapToGrid w:val="0"/>
              </w:rPr>
            </w:pPr>
            <w:r w:rsidRPr="0046389C">
              <w:rPr>
                <w:rFonts w:cs="Calibri"/>
                <w:snapToGrid w:val="0"/>
              </w:rPr>
              <w:t>Note 38</w:t>
            </w:r>
          </w:p>
        </w:tc>
        <w:tc>
          <w:tcPr>
            <w:tcW w:w="3596" w:type="pct"/>
            <w:tcBorders>
              <w:top w:val="nil"/>
              <w:bottom w:val="nil"/>
            </w:tcBorders>
          </w:tcPr>
          <w:p w14:paraId="27534020" w14:textId="77777777" w:rsidR="00B12851" w:rsidRPr="0046389C" w:rsidRDefault="00B12851" w:rsidP="003C4C52">
            <w:pPr>
              <w:pStyle w:val="TableText"/>
              <w:tabs>
                <w:tab w:val="left" w:pos="800"/>
              </w:tabs>
              <w:rPr>
                <w:rFonts w:cs="Calibri"/>
              </w:rPr>
            </w:pPr>
            <w:r w:rsidRPr="0046389C">
              <w:rPr>
                <w:rFonts w:cs="Calibri"/>
              </w:rPr>
              <w:t>Related Party Disclosures</w:t>
            </w:r>
          </w:p>
        </w:tc>
        <w:tc>
          <w:tcPr>
            <w:tcW w:w="835" w:type="pct"/>
            <w:tcBorders>
              <w:top w:val="nil"/>
              <w:bottom w:val="nil"/>
            </w:tcBorders>
          </w:tcPr>
          <w:p w14:paraId="3FCFE218"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13F0563" w14:textId="77777777" w:rsidTr="003C4C52">
        <w:trPr>
          <w:trHeight w:val="269"/>
        </w:trPr>
        <w:tc>
          <w:tcPr>
            <w:tcW w:w="569" w:type="pct"/>
            <w:tcBorders>
              <w:top w:val="nil"/>
            </w:tcBorders>
          </w:tcPr>
          <w:p w14:paraId="10E0F53B" w14:textId="77777777" w:rsidR="00B12851" w:rsidRPr="0046389C" w:rsidRDefault="00B12851" w:rsidP="003C4C52">
            <w:pPr>
              <w:pStyle w:val="TableText"/>
              <w:tabs>
                <w:tab w:val="left" w:pos="3306"/>
              </w:tabs>
              <w:rPr>
                <w:rFonts w:cs="Calibri"/>
                <w:snapToGrid w:val="0"/>
              </w:rPr>
            </w:pPr>
            <w:r w:rsidRPr="0046389C">
              <w:rPr>
                <w:rFonts w:cs="Calibri"/>
                <w:snapToGrid w:val="0"/>
              </w:rPr>
              <w:t>Note 39</w:t>
            </w:r>
          </w:p>
        </w:tc>
        <w:tc>
          <w:tcPr>
            <w:tcW w:w="3596" w:type="pct"/>
            <w:tcBorders>
              <w:top w:val="nil"/>
            </w:tcBorders>
          </w:tcPr>
          <w:p w14:paraId="212C95CD" w14:textId="77777777" w:rsidR="00B12851" w:rsidRPr="0046389C" w:rsidRDefault="00B12851" w:rsidP="003C4C52">
            <w:pPr>
              <w:pStyle w:val="TableText"/>
              <w:tabs>
                <w:tab w:val="left" w:pos="800"/>
              </w:tabs>
              <w:rPr>
                <w:rFonts w:cs="Calibri"/>
              </w:rPr>
            </w:pPr>
            <w:r w:rsidRPr="0046389C">
              <w:rPr>
                <w:rFonts w:cs="Calibri"/>
              </w:rPr>
              <w:t>Service Concession Arrangements</w:t>
            </w:r>
          </w:p>
        </w:tc>
        <w:tc>
          <w:tcPr>
            <w:tcW w:w="835" w:type="pct"/>
            <w:tcBorders>
              <w:top w:val="nil"/>
              <w:bottom w:val="nil"/>
            </w:tcBorders>
          </w:tcPr>
          <w:p w14:paraId="467BAA3F"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6D9A1663" w14:textId="77777777" w:rsidTr="003C4C52">
        <w:trPr>
          <w:trHeight w:val="269"/>
        </w:trPr>
        <w:tc>
          <w:tcPr>
            <w:tcW w:w="569" w:type="pct"/>
            <w:tcBorders>
              <w:top w:val="nil"/>
            </w:tcBorders>
          </w:tcPr>
          <w:p w14:paraId="39BE59EB" w14:textId="77777777" w:rsidR="00B12851" w:rsidRPr="0046389C" w:rsidRDefault="00B12851" w:rsidP="003C4C52">
            <w:pPr>
              <w:pStyle w:val="TableText"/>
              <w:tabs>
                <w:tab w:val="left" w:pos="3306"/>
              </w:tabs>
              <w:rPr>
                <w:rFonts w:cs="Calibri"/>
                <w:snapToGrid w:val="0"/>
              </w:rPr>
            </w:pPr>
            <w:r w:rsidRPr="0046389C">
              <w:rPr>
                <w:rFonts w:cs="Calibri"/>
                <w:snapToGrid w:val="0"/>
              </w:rPr>
              <w:t>Note 40</w:t>
            </w:r>
          </w:p>
        </w:tc>
        <w:tc>
          <w:tcPr>
            <w:tcW w:w="3596" w:type="pct"/>
            <w:tcBorders>
              <w:top w:val="nil"/>
            </w:tcBorders>
          </w:tcPr>
          <w:p w14:paraId="568C53A0" w14:textId="77777777" w:rsidR="00B12851" w:rsidRPr="0046389C" w:rsidRDefault="00B12851" w:rsidP="003C4C52">
            <w:pPr>
              <w:pStyle w:val="TableText"/>
              <w:tabs>
                <w:tab w:val="left" w:pos="800"/>
              </w:tabs>
              <w:rPr>
                <w:rFonts w:cs="Calibri"/>
                <w:snapToGrid w:val="0"/>
              </w:rPr>
            </w:pPr>
            <w:r w:rsidRPr="0046389C">
              <w:rPr>
                <w:rFonts w:cs="Calibri"/>
              </w:rPr>
              <w:t>Budgetary Reporting</w:t>
            </w:r>
          </w:p>
        </w:tc>
        <w:tc>
          <w:tcPr>
            <w:tcW w:w="835" w:type="pct"/>
            <w:tcBorders>
              <w:top w:val="nil"/>
            </w:tcBorders>
          </w:tcPr>
          <w:p w14:paraId="6071175C"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r w:rsidR="00B12851" w:rsidRPr="0046389C" w14:paraId="1888BD37" w14:textId="77777777" w:rsidTr="003C4C52">
        <w:trPr>
          <w:trHeight w:val="255"/>
        </w:trPr>
        <w:tc>
          <w:tcPr>
            <w:tcW w:w="569" w:type="pct"/>
            <w:tcBorders>
              <w:top w:val="nil"/>
            </w:tcBorders>
          </w:tcPr>
          <w:p w14:paraId="4B59B85E" w14:textId="77777777" w:rsidR="00B12851" w:rsidRPr="0046389C" w:rsidRDefault="00B12851" w:rsidP="003C4C52">
            <w:pPr>
              <w:pStyle w:val="TableText"/>
              <w:tabs>
                <w:tab w:val="left" w:pos="3306"/>
              </w:tabs>
              <w:rPr>
                <w:rFonts w:cs="Calibri"/>
                <w:snapToGrid w:val="0"/>
              </w:rPr>
            </w:pPr>
          </w:p>
        </w:tc>
        <w:tc>
          <w:tcPr>
            <w:tcW w:w="3596" w:type="pct"/>
            <w:tcBorders>
              <w:top w:val="nil"/>
            </w:tcBorders>
          </w:tcPr>
          <w:p w14:paraId="4C02D746" w14:textId="77777777" w:rsidR="00B12851" w:rsidRPr="0046389C" w:rsidRDefault="00B12851" w:rsidP="003C4C52">
            <w:pPr>
              <w:pStyle w:val="TableText"/>
              <w:tabs>
                <w:tab w:val="left" w:pos="3306"/>
              </w:tabs>
              <w:rPr>
                <w:rFonts w:cs="Calibri"/>
                <w:snapToGrid w:val="0"/>
              </w:rPr>
            </w:pPr>
            <w:r w:rsidRPr="0046389C">
              <w:rPr>
                <w:rFonts w:cs="Calibri"/>
                <w:snapToGrid w:val="0"/>
              </w:rPr>
              <w:t>Commentary – Discontinuing Operations</w:t>
            </w:r>
          </w:p>
        </w:tc>
        <w:tc>
          <w:tcPr>
            <w:tcW w:w="835" w:type="pct"/>
            <w:tcBorders>
              <w:top w:val="nil"/>
            </w:tcBorders>
          </w:tcPr>
          <w:p w14:paraId="24096C34" w14:textId="77777777" w:rsidR="00B12851" w:rsidRPr="0046389C" w:rsidRDefault="00B12851" w:rsidP="003C4C52">
            <w:pPr>
              <w:pStyle w:val="TableText"/>
              <w:tabs>
                <w:tab w:val="left" w:pos="3306"/>
              </w:tabs>
              <w:jc w:val="right"/>
              <w:rPr>
                <w:rFonts w:cs="Calibri"/>
                <w:strike/>
                <w:snapToGrid w:val="0"/>
              </w:rPr>
            </w:pPr>
            <w:r w:rsidRPr="0046389C">
              <w:rPr>
                <w:rFonts w:cs="Calibri"/>
                <w:snapToGrid w:val="0"/>
              </w:rPr>
              <w:t>XX</w:t>
            </w:r>
          </w:p>
        </w:tc>
      </w:tr>
    </w:tbl>
    <w:p w14:paraId="61E4E303" w14:textId="24E5D5EA" w:rsidR="00603743" w:rsidRDefault="00603743">
      <w:pPr>
        <w:tabs>
          <w:tab w:val="left" w:pos="3306"/>
        </w:tabs>
        <w:rPr>
          <w:rFonts w:cs="Calibri"/>
        </w:rPr>
      </w:pPr>
    </w:p>
    <w:tbl>
      <w:tblPr>
        <w:tblW w:w="5444" w:type="pct"/>
        <w:tblInd w:w="-429" w:type="dxa"/>
        <w:tblBorders>
          <w:left w:val="single" w:sz="2" w:space="0" w:color="7030A0"/>
        </w:tblBorders>
        <w:shd w:val="clear" w:color="auto" w:fill="CCFFCC"/>
        <w:tblLook w:val="0000" w:firstRow="0" w:lastRow="0" w:firstColumn="0" w:lastColumn="0" w:noHBand="0" w:noVBand="0"/>
      </w:tblPr>
      <w:tblGrid>
        <w:gridCol w:w="1559"/>
        <w:gridCol w:w="8933"/>
      </w:tblGrid>
      <w:tr w:rsidR="00603743" w:rsidRPr="00EF0DF0" w14:paraId="2D47EE90" w14:textId="77777777" w:rsidTr="00B66382">
        <w:trPr>
          <w:trHeight w:val="494"/>
        </w:trPr>
        <w:tc>
          <w:tcPr>
            <w:tcW w:w="743" w:type="pct"/>
            <w:tcBorders>
              <w:left w:val="single" w:sz="2" w:space="0" w:color="000000" w:themeColor="text1"/>
              <w:right w:val="single" w:sz="2" w:space="0" w:color="000000" w:themeColor="text1"/>
            </w:tcBorders>
          </w:tcPr>
          <w:p w14:paraId="26775E81" w14:textId="77777777" w:rsidR="00603743" w:rsidRPr="00814CFD" w:rsidRDefault="00603743" w:rsidP="009A0F2F">
            <w:pPr>
              <w:pStyle w:val="TableReference"/>
              <w:tabs>
                <w:tab w:val="left" w:pos="3306"/>
              </w:tabs>
              <w:spacing w:before="120" w:after="240"/>
              <w:rPr>
                <w:rFonts w:cs="Calibri"/>
                <w:b/>
                <w:color w:val="7030A0"/>
                <w:sz w:val="22"/>
                <w:szCs w:val="22"/>
              </w:rPr>
            </w:pPr>
            <w:r w:rsidRPr="00814CFD">
              <w:rPr>
                <w:rFonts w:cs="Calibri"/>
                <w:b/>
                <w:color w:val="7030A0"/>
                <w:sz w:val="22"/>
                <w:szCs w:val="22"/>
              </w:rPr>
              <w:t>Reference</w:t>
            </w:r>
          </w:p>
        </w:tc>
        <w:tc>
          <w:tcPr>
            <w:tcW w:w="4257" w:type="pct"/>
            <w:tcBorders>
              <w:left w:val="single" w:sz="2" w:space="0" w:color="000000" w:themeColor="text1"/>
            </w:tcBorders>
            <w:shd w:val="clear" w:color="auto" w:fill="7030A0"/>
          </w:tcPr>
          <w:p w14:paraId="4C712FE9" w14:textId="16485311" w:rsidR="00603743" w:rsidRPr="00814CFD" w:rsidRDefault="00603743" w:rsidP="009A0F2F">
            <w:pPr>
              <w:pStyle w:val="TableReference"/>
              <w:tabs>
                <w:tab w:val="left" w:pos="3306"/>
              </w:tabs>
              <w:spacing w:before="120" w:after="240"/>
              <w:rPr>
                <w:rFonts w:cs="Calibri"/>
                <w:b/>
                <w:color w:val="FFFFFF" w:themeColor="background1"/>
                <w:sz w:val="28"/>
                <w:szCs w:val="28"/>
              </w:rPr>
            </w:pPr>
            <w:r w:rsidRPr="00814CFD">
              <w:rPr>
                <w:rFonts w:cs="Calibri"/>
                <w:b/>
                <w:color w:val="FFFFFF" w:themeColor="background1"/>
                <w:sz w:val="28"/>
                <w:szCs w:val="28"/>
              </w:rPr>
              <w:t xml:space="preserve">Commentary </w:t>
            </w:r>
            <w:r w:rsidRPr="00814CFD">
              <w:rPr>
                <w:rFonts w:cs="Calibri"/>
                <w:b/>
                <w:color w:val="FFFFFF" w:themeColor="background1"/>
                <w:sz w:val="28"/>
                <w:szCs w:val="28"/>
              </w:rPr>
              <w:sym w:font="Symbol" w:char="F02D"/>
            </w:r>
            <w:r w:rsidRPr="00814CFD">
              <w:rPr>
                <w:rFonts w:cs="Calibri"/>
                <w:b/>
                <w:color w:val="FFFFFF" w:themeColor="background1"/>
                <w:sz w:val="28"/>
                <w:szCs w:val="28"/>
              </w:rPr>
              <w:t xml:space="preserve"> </w:t>
            </w:r>
            <w:r w:rsidR="006D4EC2" w:rsidRPr="00814CFD">
              <w:rPr>
                <w:rFonts w:cs="Calibri"/>
                <w:b/>
                <w:color w:val="FFFFFF" w:themeColor="background1"/>
                <w:sz w:val="28"/>
                <w:szCs w:val="28"/>
              </w:rPr>
              <w:t>Content of Financial Statements</w:t>
            </w:r>
          </w:p>
        </w:tc>
      </w:tr>
      <w:tr w:rsidR="00603743" w:rsidRPr="00CF7E1B" w14:paraId="3BF1CF7A" w14:textId="77777777" w:rsidTr="00B66382">
        <w:tc>
          <w:tcPr>
            <w:tcW w:w="743" w:type="pct"/>
            <w:tcBorders>
              <w:left w:val="single" w:sz="2" w:space="0" w:color="000000" w:themeColor="text1"/>
              <w:right w:val="single" w:sz="2" w:space="0" w:color="000000" w:themeColor="text1"/>
            </w:tcBorders>
          </w:tcPr>
          <w:p w14:paraId="3B97D9E3" w14:textId="77777777" w:rsidR="00603743" w:rsidRPr="00814CFD" w:rsidRDefault="00603743" w:rsidP="009A0F2F">
            <w:pPr>
              <w:pStyle w:val="TableReference"/>
              <w:tabs>
                <w:tab w:val="left" w:pos="3306"/>
              </w:tabs>
              <w:rPr>
                <w:rFonts w:cs="Calibri"/>
                <w:color w:val="7030A0"/>
                <w:sz w:val="16"/>
                <w:szCs w:val="16"/>
              </w:rPr>
            </w:pPr>
          </w:p>
        </w:tc>
        <w:tc>
          <w:tcPr>
            <w:tcW w:w="4257" w:type="pct"/>
            <w:tcBorders>
              <w:left w:val="single" w:sz="2" w:space="0" w:color="000000" w:themeColor="text1"/>
            </w:tcBorders>
            <w:shd w:val="clear" w:color="auto" w:fill="7030A0"/>
          </w:tcPr>
          <w:p w14:paraId="4B8EAF8F" w14:textId="77777777" w:rsidR="00603743" w:rsidRPr="00814CFD" w:rsidRDefault="00603743" w:rsidP="009A0F2F">
            <w:pPr>
              <w:pStyle w:val="CommentaryHeading"/>
              <w:tabs>
                <w:tab w:val="left" w:pos="3306"/>
              </w:tabs>
              <w:spacing w:after="0"/>
              <w:rPr>
                <w:rFonts w:cs="Calibri"/>
                <w:color w:val="FFFFFF" w:themeColor="background1"/>
              </w:rPr>
            </w:pPr>
            <w:r w:rsidRPr="00814CFD">
              <w:rPr>
                <w:rFonts w:cs="Calibri"/>
                <w:color w:val="FFFFFF" w:themeColor="background1"/>
              </w:rPr>
              <w:t>Presentation of Notes</w:t>
            </w:r>
          </w:p>
        </w:tc>
      </w:tr>
      <w:tr w:rsidR="00603743" w:rsidRPr="00262019" w14:paraId="4F4F02ED" w14:textId="77777777" w:rsidTr="00B66382">
        <w:tc>
          <w:tcPr>
            <w:tcW w:w="743" w:type="pct"/>
            <w:tcBorders>
              <w:left w:val="single" w:sz="2" w:space="0" w:color="000000" w:themeColor="text1"/>
              <w:right w:val="single" w:sz="2" w:space="0" w:color="000000" w:themeColor="text1"/>
            </w:tcBorders>
          </w:tcPr>
          <w:p w14:paraId="46B13C95"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101.113</w:t>
            </w:r>
          </w:p>
        </w:tc>
        <w:tc>
          <w:tcPr>
            <w:tcW w:w="4257" w:type="pct"/>
            <w:tcBorders>
              <w:left w:val="single" w:sz="2" w:space="0" w:color="000000" w:themeColor="text1"/>
            </w:tcBorders>
            <w:shd w:val="clear" w:color="auto" w:fill="7030A0"/>
          </w:tcPr>
          <w:p w14:paraId="186E01FD" w14:textId="3F5BFBB6" w:rsidR="00603743" w:rsidRPr="00814CFD" w:rsidRDefault="00603743" w:rsidP="009A0F2F">
            <w:pPr>
              <w:pStyle w:val="CommentaryText"/>
              <w:tabs>
                <w:tab w:val="left" w:pos="3306"/>
              </w:tabs>
              <w:rPr>
                <w:rFonts w:cs="Calibri"/>
                <w:color w:val="FFFFFF" w:themeColor="background1"/>
                <w:sz w:val="18"/>
                <w:szCs w:val="18"/>
              </w:rPr>
            </w:pPr>
            <w:r w:rsidRPr="00814CFD">
              <w:rPr>
                <w:rFonts w:cs="Calibri"/>
                <w:color w:val="FFFFFF" w:themeColor="background1"/>
                <w:sz w:val="18"/>
                <w:szCs w:val="18"/>
              </w:rPr>
              <w:t xml:space="preserve">A </w:t>
            </w:r>
            <w:r w:rsidR="0099570E" w:rsidRPr="00814CFD">
              <w:rPr>
                <w:rFonts w:cs="Calibri"/>
                <w:color w:val="FFFFFF" w:themeColor="background1"/>
                <w:sz w:val="18"/>
                <w:szCs w:val="18"/>
              </w:rPr>
              <w:t xml:space="preserve">table of contents </w:t>
            </w:r>
            <w:r w:rsidRPr="00814CFD">
              <w:rPr>
                <w:rFonts w:cs="Calibri"/>
                <w:color w:val="FFFFFF" w:themeColor="background1"/>
                <w:sz w:val="18"/>
                <w:szCs w:val="18"/>
              </w:rPr>
              <w:t xml:space="preserve">helps users to quickly access a particular </w:t>
            </w:r>
            <w:r w:rsidR="0099570E" w:rsidRPr="00814CFD">
              <w:rPr>
                <w:rFonts w:cs="Calibri"/>
                <w:color w:val="FFFFFF" w:themeColor="background1"/>
                <w:sz w:val="18"/>
                <w:szCs w:val="18"/>
              </w:rPr>
              <w:t xml:space="preserve">statement or </w:t>
            </w:r>
            <w:r w:rsidRPr="00814CFD">
              <w:rPr>
                <w:rFonts w:cs="Calibri"/>
                <w:color w:val="FFFFFF" w:themeColor="background1"/>
                <w:sz w:val="18"/>
                <w:szCs w:val="18"/>
              </w:rPr>
              <w:t>note.</w:t>
            </w:r>
            <w:r w:rsidR="00FA7C77">
              <w:rPr>
                <w:rFonts w:cs="Calibri"/>
                <w:color w:val="FFFFFF" w:themeColor="background1"/>
                <w:sz w:val="18"/>
                <w:szCs w:val="18"/>
              </w:rPr>
              <w:t xml:space="preserve"> </w:t>
            </w:r>
            <w:r w:rsidRPr="00814CFD">
              <w:rPr>
                <w:rFonts w:cs="Calibri"/>
                <w:color w:val="FFFFFF" w:themeColor="background1"/>
                <w:sz w:val="18"/>
                <w:szCs w:val="18"/>
              </w:rPr>
              <w:t xml:space="preserve">AASB 101 </w:t>
            </w:r>
            <w:r w:rsidRPr="00814CFD">
              <w:rPr>
                <w:rFonts w:cs="Calibri"/>
                <w:i/>
                <w:color w:val="FFFFFF" w:themeColor="background1"/>
                <w:sz w:val="18"/>
                <w:szCs w:val="18"/>
              </w:rPr>
              <w:t>Presentation of Financial Statements</w:t>
            </w:r>
            <w:r w:rsidRPr="00814CFD">
              <w:rPr>
                <w:rFonts w:cs="Calibri"/>
                <w:color w:val="FFFFFF" w:themeColor="background1"/>
                <w:sz w:val="18"/>
                <w:szCs w:val="18"/>
              </w:rPr>
              <w:t xml:space="preserve"> only requires that notes in the financial statements be presented in a systematic manner. In determining a systematic manner, an agency must consider the effect on the understandability and comparability of its financial statements. Each item in a financial statement must be cross-referenced to any directly related information in the notes.</w:t>
            </w:r>
          </w:p>
        </w:tc>
      </w:tr>
      <w:tr w:rsidR="00603743" w:rsidRPr="00262019" w14:paraId="11EA2EA7" w14:textId="77777777" w:rsidTr="00B66382">
        <w:tc>
          <w:tcPr>
            <w:tcW w:w="743" w:type="pct"/>
            <w:tcBorders>
              <w:left w:val="single" w:sz="2" w:space="0" w:color="000000" w:themeColor="text1"/>
              <w:right w:val="single" w:sz="2" w:space="0" w:color="000000" w:themeColor="text1"/>
            </w:tcBorders>
          </w:tcPr>
          <w:p w14:paraId="25302AE5" w14:textId="77777777" w:rsidR="00603743" w:rsidRPr="00814CFD" w:rsidRDefault="00603743" w:rsidP="009A0F2F">
            <w:pPr>
              <w:pStyle w:val="TableReference"/>
              <w:tabs>
                <w:tab w:val="left" w:pos="3306"/>
              </w:tabs>
              <w:spacing w:before="60"/>
              <w:rPr>
                <w:rFonts w:cs="Calibri"/>
                <w:color w:val="7030A0"/>
                <w:sz w:val="14"/>
              </w:rPr>
            </w:pPr>
          </w:p>
        </w:tc>
        <w:tc>
          <w:tcPr>
            <w:tcW w:w="4257" w:type="pct"/>
            <w:tcBorders>
              <w:left w:val="single" w:sz="2" w:space="0" w:color="000000" w:themeColor="text1"/>
            </w:tcBorders>
            <w:shd w:val="clear" w:color="auto" w:fill="7030A0"/>
          </w:tcPr>
          <w:p w14:paraId="43EA6324" w14:textId="5A309B50" w:rsidR="00603743" w:rsidRPr="00814CFD" w:rsidRDefault="00603743" w:rsidP="009A0F2F">
            <w:pPr>
              <w:pStyle w:val="CommentaryText"/>
              <w:tabs>
                <w:tab w:val="left" w:pos="3306"/>
              </w:tabs>
              <w:spacing w:before="60"/>
              <w:rPr>
                <w:rFonts w:cs="Calibri"/>
                <w:color w:val="FFFFFF" w:themeColor="background1"/>
                <w:sz w:val="18"/>
                <w:szCs w:val="18"/>
              </w:rPr>
            </w:pPr>
            <w:r w:rsidRPr="00814CFD">
              <w:rPr>
                <w:rFonts w:cs="Calibri"/>
                <w:color w:val="FFFFFF" w:themeColor="background1"/>
                <w:sz w:val="18"/>
                <w:szCs w:val="18"/>
              </w:rPr>
              <w:t>Page numbers are used in the Model for ease of reference.</w:t>
            </w:r>
            <w:r w:rsidR="00FA7C77">
              <w:rPr>
                <w:rFonts w:cs="Calibri"/>
                <w:color w:val="FFFFFF" w:themeColor="background1"/>
                <w:sz w:val="18"/>
                <w:szCs w:val="18"/>
              </w:rPr>
              <w:t xml:space="preserve"> </w:t>
            </w:r>
            <w:r w:rsidRPr="00814CFD">
              <w:rPr>
                <w:rFonts w:cs="Calibri"/>
                <w:color w:val="FFFFFF" w:themeColor="background1"/>
                <w:sz w:val="18"/>
                <w:szCs w:val="18"/>
              </w:rPr>
              <w:t xml:space="preserve">Agencies are not required to include page numbers in the </w:t>
            </w:r>
            <w:r w:rsidR="0099570E" w:rsidRPr="00814CFD">
              <w:rPr>
                <w:rFonts w:cs="Calibri"/>
                <w:color w:val="FFFFFF" w:themeColor="background1"/>
                <w:sz w:val="18"/>
                <w:szCs w:val="18"/>
              </w:rPr>
              <w:t xml:space="preserve">table of contents </w:t>
            </w:r>
            <w:r w:rsidRPr="00814CFD">
              <w:rPr>
                <w:rFonts w:cs="Calibri"/>
                <w:color w:val="FFFFFF" w:themeColor="background1"/>
                <w:sz w:val="18"/>
                <w:szCs w:val="18"/>
              </w:rPr>
              <w:t>due to the difficulty in knowing what page numbers the financial statements will have in the annual report.</w:t>
            </w:r>
          </w:p>
        </w:tc>
      </w:tr>
      <w:tr w:rsidR="00603743" w:rsidRPr="00262019" w14:paraId="0C9CE63B" w14:textId="77777777" w:rsidTr="00B66382">
        <w:tc>
          <w:tcPr>
            <w:tcW w:w="743" w:type="pct"/>
            <w:tcBorders>
              <w:left w:val="single" w:sz="2" w:space="0" w:color="000000" w:themeColor="text1"/>
              <w:right w:val="single" w:sz="2" w:space="0" w:color="000000" w:themeColor="text1"/>
            </w:tcBorders>
          </w:tcPr>
          <w:p w14:paraId="600C7696"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101.114</w:t>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r>
            <w:r w:rsidRPr="00814CFD">
              <w:rPr>
                <w:rFonts w:cs="Calibri"/>
                <w:color w:val="7030A0"/>
                <w:sz w:val="14"/>
              </w:rPr>
              <w:br/>
              <w:t>AASB 101.16</w:t>
            </w:r>
          </w:p>
          <w:p w14:paraId="592E41FD" w14:textId="77777777" w:rsidR="00603743" w:rsidRPr="00814CFD" w:rsidRDefault="00603743" w:rsidP="009A0F2F">
            <w:pPr>
              <w:pStyle w:val="TableReference"/>
              <w:tabs>
                <w:tab w:val="left" w:pos="3306"/>
              </w:tabs>
              <w:spacing w:before="60"/>
              <w:rPr>
                <w:rFonts w:cs="Calibri"/>
                <w:color w:val="7030A0"/>
                <w:sz w:val="14"/>
              </w:rPr>
            </w:pPr>
          </w:p>
          <w:p w14:paraId="5EA67D85" w14:textId="77777777" w:rsidR="00603743" w:rsidRPr="00814CFD" w:rsidRDefault="00603743" w:rsidP="009A0F2F">
            <w:pPr>
              <w:pStyle w:val="TableReference"/>
              <w:tabs>
                <w:tab w:val="left" w:pos="3306"/>
              </w:tabs>
              <w:spacing w:before="60"/>
              <w:rPr>
                <w:rFonts w:cs="Calibri"/>
                <w:color w:val="7030A0"/>
                <w:sz w:val="14"/>
              </w:rPr>
            </w:pPr>
          </w:p>
          <w:p w14:paraId="342A45C3" w14:textId="77777777" w:rsidR="00603743" w:rsidRPr="00814CFD" w:rsidRDefault="00603743" w:rsidP="009A0F2F">
            <w:pPr>
              <w:pStyle w:val="TableReference"/>
              <w:tabs>
                <w:tab w:val="left" w:pos="3306"/>
              </w:tabs>
              <w:spacing w:before="60"/>
              <w:rPr>
                <w:rFonts w:cs="Calibri"/>
                <w:color w:val="7030A0"/>
                <w:sz w:val="14"/>
              </w:rPr>
            </w:pPr>
          </w:p>
          <w:p w14:paraId="54C319A3" w14:textId="77777777" w:rsidR="00603743" w:rsidRPr="00814CFD" w:rsidRDefault="00603743" w:rsidP="009A0F2F">
            <w:pPr>
              <w:pStyle w:val="TableReference"/>
              <w:tabs>
                <w:tab w:val="left" w:pos="3306"/>
              </w:tabs>
              <w:spacing w:before="60"/>
              <w:rPr>
                <w:rFonts w:cs="Calibri"/>
                <w:color w:val="7030A0"/>
                <w:sz w:val="14"/>
              </w:rPr>
            </w:pPr>
          </w:p>
          <w:p w14:paraId="5BBB6D36" w14:textId="77777777" w:rsidR="00603743" w:rsidRPr="00814CFD" w:rsidRDefault="00603743" w:rsidP="009A0F2F">
            <w:pPr>
              <w:pStyle w:val="TableReference"/>
              <w:tabs>
                <w:tab w:val="left" w:pos="3306"/>
              </w:tabs>
              <w:spacing w:before="60"/>
              <w:rPr>
                <w:rFonts w:cs="Calibri"/>
                <w:color w:val="7030A0"/>
                <w:sz w:val="14"/>
              </w:rPr>
            </w:pPr>
          </w:p>
          <w:p w14:paraId="40599924" w14:textId="77777777" w:rsidR="00603743" w:rsidRPr="00814CFD" w:rsidRDefault="00603743" w:rsidP="009A0F2F">
            <w:pPr>
              <w:pStyle w:val="TableReference"/>
              <w:tabs>
                <w:tab w:val="left" w:pos="3306"/>
              </w:tabs>
              <w:spacing w:before="60"/>
              <w:rPr>
                <w:rFonts w:cs="Calibri"/>
                <w:color w:val="7030A0"/>
                <w:sz w:val="14"/>
              </w:rPr>
            </w:pPr>
          </w:p>
          <w:p w14:paraId="1BBCBBF3" w14:textId="43516827" w:rsidR="00603743" w:rsidRPr="00814CFD" w:rsidRDefault="00603743" w:rsidP="009A0F2F">
            <w:pPr>
              <w:pStyle w:val="TableReference"/>
              <w:tabs>
                <w:tab w:val="left" w:pos="3306"/>
              </w:tabs>
              <w:spacing w:before="60"/>
              <w:rPr>
                <w:rFonts w:cs="Calibri"/>
                <w:color w:val="7030A0"/>
                <w:sz w:val="14"/>
              </w:rPr>
            </w:pPr>
          </w:p>
        </w:tc>
        <w:tc>
          <w:tcPr>
            <w:tcW w:w="4257" w:type="pct"/>
            <w:tcBorders>
              <w:left w:val="single" w:sz="2" w:space="0" w:color="000000" w:themeColor="text1"/>
            </w:tcBorders>
            <w:shd w:val="clear" w:color="auto" w:fill="7030A0"/>
          </w:tcPr>
          <w:p w14:paraId="32830902" w14:textId="77777777" w:rsidR="00603743" w:rsidRPr="00814CFD" w:rsidRDefault="00603743" w:rsidP="009A0F2F">
            <w:pPr>
              <w:pStyle w:val="CommentaryText"/>
              <w:tabs>
                <w:tab w:val="left" w:pos="3306"/>
              </w:tabs>
              <w:spacing w:after="0"/>
              <w:rPr>
                <w:rFonts w:cs="Calibri"/>
                <w:color w:val="FFFFFF" w:themeColor="background1"/>
                <w:sz w:val="18"/>
                <w:szCs w:val="18"/>
              </w:rPr>
            </w:pPr>
            <w:r w:rsidRPr="00814CFD">
              <w:rPr>
                <w:rFonts w:cs="Calibri"/>
                <w:color w:val="FFFFFF" w:themeColor="background1"/>
                <w:sz w:val="18"/>
                <w:szCs w:val="18"/>
              </w:rPr>
              <w:t>Examples of systematic ordering or grouping of the notes include:</w:t>
            </w:r>
          </w:p>
          <w:p w14:paraId="67FD6040" w14:textId="77777777" w:rsidR="00603743" w:rsidRPr="00814CFD" w:rsidRDefault="00603743" w:rsidP="007122BC">
            <w:pPr>
              <w:pStyle w:val="CommentaryText"/>
              <w:numPr>
                <w:ilvl w:val="0"/>
                <w:numId w:val="22"/>
              </w:numPr>
              <w:tabs>
                <w:tab w:val="left" w:pos="3306"/>
              </w:tabs>
              <w:spacing w:after="0"/>
              <w:rPr>
                <w:rFonts w:cs="Calibri"/>
                <w:color w:val="FFFFFF" w:themeColor="background1"/>
                <w:sz w:val="18"/>
                <w:szCs w:val="18"/>
              </w:rPr>
            </w:pPr>
            <w:r w:rsidRPr="00814CFD">
              <w:rPr>
                <w:rFonts w:cs="Calibri"/>
                <w:color w:val="FFFFFF" w:themeColor="background1"/>
                <w:sz w:val="18"/>
                <w:szCs w:val="18"/>
              </w:rPr>
              <w:t>giving prominence to the areas of activities that the agency considers most relevant to an understanding of its operating statement and balance sheet, such as grouping together information about particular operating activities;</w:t>
            </w:r>
          </w:p>
          <w:p w14:paraId="7E625EDF" w14:textId="77777777" w:rsidR="00603743" w:rsidRPr="00814CFD" w:rsidRDefault="00603743" w:rsidP="007122BC">
            <w:pPr>
              <w:pStyle w:val="CommentaryText"/>
              <w:numPr>
                <w:ilvl w:val="0"/>
                <w:numId w:val="22"/>
              </w:numPr>
              <w:tabs>
                <w:tab w:val="left" w:pos="3306"/>
              </w:tabs>
              <w:spacing w:before="60" w:after="0"/>
              <w:rPr>
                <w:rFonts w:cs="Calibri"/>
                <w:color w:val="FFFFFF" w:themeColor="background1"/>
                <w:sz w:val="18"/>
                <w:szCs w:val="18"/>
              </w:rPr>
            </w:pPr>
            <w:r w:rsidRPr="00814CFD">
              <w:rPr>
                <w:rFonts w:cs="Calibri"/>
                <w:color w:val="FFFFFF" w:themeColor="background1"/>
                <w:sz w:val="18"/>
                <w:szCs w:val="18"/>
              </w:rPr>
              <w:t>grouping together information about items measured similarly such as assets measured at fair value; or</w:t>
            </w:r>
          </w:p>
          <w:p w14:paraId="1EDE993C" w14:textId="77777777" w:rsidR="00603743" w:rsidRPr="00814CFD" w:rsidRDefault="00603743" w:rsidP="007122BC">
            <w:pPr>
              <w:pStyle w:val="CommentaryText"/>
              <w:numPr>
                <w:ilvl w:val="0"/>
                <w:numId w:val="22"/>
              </w:numPr>
              <w:tabs>
                <w:tab w:val="left" w:pos="3306"/>
              </w:tabs>
              <w:spacing w:before="60" w:after="0"/>
              <w:rPr>
                <w:rFonts w:cs="Calibri"/>
                <w:color w:val="FFFFFF" w:themeColor="background1"/>
                <w:sz w:val="18"/>
                <w:szCs w:val="18"/>
              </w:rPr>
            </w:pPr>
            <w:r w:rsidRPr="00814CFD">
              <w:rPr>
                <w:rFonts w:cs="Calibri"/>
                <w:color w:val="FFFFFF" w:themeColor="background1"/>
                <w:sz w:val="18"/>
                <w:szCs w:val="18"/>
              </w:rPr>
              <w:t>following the order of the line items in the operating statement and the balance sheet, such as:</w:t>
            </w:r>
          </w:p>
          <w:p w14:paraId="5CA94EF6" w14:textId="77777777" w:rsidR="00603743" w:rsidRPr="00814CFD" w:rsidRDefault="00603743" w:rsidP="00E35CD2">
            <w:pPr>
              <w:pStyle w:val="CommentaryText"/>
              <w:numPr>
                <w:ilvl w:val="0"/>
                <w:numId w:val="7"/>
              </w:numPr>
              <w:tabs>
                <w:tab w:val="clear" w:pos="360"/>
                <w:tab w:val="num" w:pos="519"/>
                <w:tab w:val="left" w:pos="803"/>
              </w:tabs>
              <w:ind w:left="357" w:firstLine="17"/>
              <w:rPr>
                <w:rFonts w:cs="Calibri"/>
                <w:color w:val="FFFFFF" w:themeColor="background1"/>
                <w:sz w:val="18"/>
                <w:szCs w:val="18"/>
              </w:rPr>
            </w:pPr>
            <w:r w:rsidRPr="00814CFD">
              <w:rPr>
                <w:rFonts w:cs="Calibri"/>
                <w:color w:val="FFFFFF" w:themeColor="background1"/>
                <w:sz w:val="18"/>
                <w:szCs w:val="18"/>
              </w:rPr>
              <w:t>a statement of compliance with IFRSs*;</w:t>
            </w:r>
          </w:p>
          <w:p w14:paraId="53C06327" w14:textId="77777777" w:rsidR="00603743" w:rsidRPr="00814CFD" w:rsidRDefault="00603743" w:rsidP="00E35CD2">
            <w:pPr>
              <w:pStyle w:val="CommentaryText"/>
              <w:numPr>
                <w:ilvl w:val="0"/>
                <w:numId w:val="7"/>
              </w:numPr>
              <w:tabs>
                <w:tab w:val="clear" w:pos="360"/>
                <w:tab w:val="num" w:pos="803"/>
              </w:tabs>
              <w:ind w:left="803" w:hanging="426"/>
              <w:rPr>
                <w:rFonts w:cs="Calibri"/>
                <w:color w:val="FFFFFF" w:themeColor="background1"/>
                <w:sz w:val="18"/>
                <w:szCs w:val="18"/>
              </w:rPr>
            </w:pPr>
            <w:r w:rsidRPr="00814CFD">
              <w:rPr>
                <w:rFonts w:cs="Calibri"/>
                <w:color w:val="FFFFFF" w:themeColor="background1"/>
                <w:sz w:val="18"/>
                <w:szCs w:val="18"/>
              </w:rPr>
              <w:t>supporting information for items presented in the Operating Statement, Balance Sheet, Statement of Changes in Equity and Statement of Cash Flows, in the order in which each statement and each line item is presented; and</w:t>
            </w:r>
          </w:p>
          <w:p w14:paraId="16A8A27E" w14:textId="77777777" w:rsidR="00603743" w:rsidRPr="00814CFD" w:rsidRDefault="00603743" w:rsidP="00E35CD2">
            <w:pPr>
              <w:pStyle w:val="CommentaryText"/>
              <w:numPr>
                <w:ilvl w:val="0"/>
                <w:numId w:val="7"/>
              </w:numPr>
              <w:spacing w:after="0"/>
              <w:ind w:firstLine="17"/>
              <w:rPr>
                <w:rFonts w:cs="Calibri"/>
                <w:color w:val="FFFFFF" w:themeColor="background1"/>
                <w:sz w:val="18"/>
                <w:szCs w:val="18"/>
              </w:rPr>
            </w:pPr>
            <w:r w:rsidRPr="00814CFD">
              <w:rPr>
                <w:rFonts w:cs="Calibri"/>
                <w:color w:val="FFFFFF" w:themeColor="background1"/>
                <w:sz w:val="18"/>
                <w:szCs w:val="18"/>
              </w:rPr>
              <w:t>other disclosures, including:</w:t>
            </w:r>
          </w:p>
          <w:p w14:paraId="5E6E6EA6" w14:textId="77777777" w:rsidR="00603743" w:rsidRPr="00814CFD" w:rsidRDefault="00603743" w:rsidP="00E35CD2">
            <w:pPr>
              <w:pStyle w:val="CommentaryText"/>
              <w:numPr>
                <w:ilvl w:val="1"/>
                <w:numId w:val="7"/>
              </w:numPr>
              <w:tabs>
                <w:tab w:val="left" w:pos="1370"/>
              </w:tabs>
              <w:spacing w:after="0"/>
              <w:ind w:hanging="407"/>
              <w:rPr>
                <w:rFonts w:cs="Calibri"/>
                <w:color w:val="FFFFFF" w:themeColor="background1"/>
                <w:sz w:val="18"/>
                <w:szCs w:val="18"/>
              </w:rPr>
            </w:pPr>
            <w:r w:rsidRPr="00814CFD">
              <w:rPr>
                <w:rFonts w:cs="Calibri"/>
                <w:color w:val="FFFFFF" w:themeColor="background1"/>
                <w:sz w:val="18"/>
                <w:szCs w:val="18"/>
              </w:rPr>
              <w:t>contingent liabilities and unrecognised contractual commitments; and</w:t>
            </w:r>
          </w:p>
          <w:p w14:paraId="5138D6FF" w14:textId="756D653B" w:rsidR="00603743" w:rsidRPr="00814CFD" w:rsidRDefault="00603743" w:rsidP="00E35CD2">
            <w:pPr>
              <w:pStyle w:val="CommentaryText"/>
              <w:numPr>
                <w:ilvl w:val="1"/>
                <w:numId w:val="7"/>
              </w:numPr>
              <w:tabs>
                <w:tab w:val="left" w:pos="3306"/>
              </w:tabs>
              <w:spacing w:after="0"/>
              <w:ind w:hanging="407"/>
              <w:rPr>
                <w:rFonts w:cs="Calibri"/>
                <w:color w:val="FFFFFF" w:themeColor="background1"/>
                <w:sz w:val="18"/>
                <w:szCs w:val="18"/>
              </w:rPr>
            </w:pPr>
            <w:r w:rsidRPr="00814CFD">
              <w:rPr>
                <w:rFonts w:cs="Calibri"/>
                <w:color w:val="FFFFFF" w:themeColor="background1"/>
                <w:sz w:val="18"/>
                <w:szCs w:val="18"/>
              </w:rPr>
              <w:t>non-financial disclosures, for example the agency’s financial risk management objectives and policies.</w:t>
            </w:r>
          </w:p>
        </w:tc>
      </w:tr>
      <w:tr w:rsidR="00603743" w:rsidRPr="00CF7E1B" w14:paraId="248A5A48" w14:textId="77777777" w:rsidTr="00B66382">
        <w:tc>
          <w:tcPr>
            <w:tcW w:w="743" w:type="pct"/>
            <w:tcBorders>
              <w:left w:val="single" w:sz="2" w:space="0" w:color="000000" w:themeColor="text1"/>
              <w:right w:val="single" w:sz="2" w:space="0" w:color="000000" w:themeColor="text1"/>
            </w:tcBorders>
          </w:tcPr>
          <w:p w14:paraId="25156747" w14:textId="5ABF0E02" w:rsidR="00603743" w:rsidRPr="00814CFD" w:rsidRDefault="00603743" w:rsidP="00603743">
            <w:pPr>
              <w:pStyle w:val="TableReference"/>
              <w:tabs>
                <w:tab w:val="left" w:pos="3306"/>
              </w:tabs>
              <w:spacing w:before="60"/>
              <w:rPr>
                <w:rFonts w:cs="Calibri"/>
                <w:color w:val="7030A0"/>
                <w:sz w:val="14"/>
              </w:rPr>
            </w:pPr>
            <w:r w:rsidRPr="00814CFD">
              <w:rPr>
                <w:rFonts w:cs="Calibri"/>
                <w:color w:val="7030A0"/>
                <w:sz w:val="14"/>
              </w:rPr>
              <w:t>AASB 101.3</w:t>
            </w:r>
          </w:p>
          <w:p w14:paraId="4127D0BB" w14:textId="77777777" w:rsidR="00603743" w:rsidRPr="00814CFD" w:rsidRDefault="00603743" w:rsidP="00603743">
            <w:pPr>
              <w:pStyle w:val="TableReference"/>
              <w:tabs>
                <w:tab w:val="left" w:pos="3306"/>
              </w:tabs>
              <w:spacing w:before="60"/>
              <w:rPr>
                <w:rFonts w:cs="Calibri"/>
                <w:color w:val="7030A0"/>
                <w:sz w:val="14"/>
              </w:rPr>
            </w:pPr>
            <w:r w:rsidRPr="00814CFD">
              <w:rPr>
                <w:rFonts w:cs="Calibri"/>
                <w:color w:val="7030A0"/>
                <w:sz w:val="14"/>
              </w:rPr>
              <w:t>AASB 1054.7</w:t>
            </w:r>
          </w:p>
          <w:p w14:paraId="2F7F69C8" w14:textId="77777777" w:rsidR="00603743" w:rsidRPr="00814CFD" w:rsidRDefault="00603743" w:rsidP="00603743">
            <w:pPr>
              <w:pStyle w:val="TableReference"/>
              <w:tabs>
                <w:tab w:val="left" w:pos="3306"/>
              </w:tabs>
              <w:spacing w:before="60"/>
              <w:rPr>
                <w:color w:val="7030A0"/>
                <w:sz w:val="14"/>
              </w:rPr>
            </w:pPr>
            <w:r w:rsidRPr="00814CFD">
              <w:rPr>
                <w:color w:val="7030A0"/>
                <w:sz w:val="14"/>
              </w:rPr>
              <w:t xml:space="preserve">AASB 101.16 </w:t>
            </w:r>
          </w:p>
          <w:p w14:paraId="6876C87F" w14:textId="4609DAF3" w:rsidR="00603743" w:rsidRPr="00814CFD" w:rsidRDefault="00603743" w:rsidP="00603743">
            <w:pPr>
              <w:pStyle w:val="TableReference"/>
              <w:tabs>
                <w:tab w:val="left" w:pos="3306"/>
              </w:tabs>
              <w:rPr>
                <w:rFonts w:cs="Calibri"/>
                <w:color w:val="7030A0"/>
                <w:sz w:val="16"/>
                <w:szCs w:val="16"/>
              </w:rPr>
            </w:pPr>
            <w:r w:rsidRPr="00814CFD">
              <w:rPr>
                <w:color w:val="7030A0"/>
                <w:sz w:val="14"/>
              </w:rPr>
              <w:t>AASB 101.Aus16.2</w:t>
            </w:r>
          </w:p>
        </w:tc>
        <w:tc>
          <w:tcPr>
            <w:tcW w:w="4257" w:type="pct"/>
            <w:tcBorders>
              <w:left w:val="single" w:sz="2" w:space="0" w:color="000000" w:themeColor="text1"/>
            </w:tcBorders>
            <w:shd w:val="clear" w:color="auto" w:fill="7030A0"/>
          </w:tcPr>
          <w:p w14:paraId="2FF6A7A6" w14:textId="73163C64" w:rsidR="00603743" w:rsidRPr="00814CFD" w:rsidRDefault="00603743" w:rsidP="00BF7D65">
            <w:pPr>
              <w:pStyle w:val="CommentaryHeading"/>
              <w:tabs>
                <w:tab w:val="left" w:pos="3306"/>
              </w:tabs>
              <w:spacing w:after="0"/>
              <w:jc w:val="both"/>
              <w:rPr>
                <w:rFonts w:cs="Calibri"/>
                <w:b w:val="0"/>
                <w:bCs w:val="0"/>
                <w:color w:val="FFFFFF" w:themeColor="background1"/>
                <w:sz w:val="18"/>
              </w:rPr>
            </w:pPr>
            <w:r w:rsidRPr="00814CFD">
              <w:rPr>
                <w:rFonts w:cs="Calibri"/>
                <w:b w:val="0"/>
                <w:bCs w:val="0"/>
                <w:color w:val="FFFFFF" w:themeColor="background1"/>
                <w:sz w:val="18"/>
              </w:rPr>
              <w:t>*Note: ACT Government agencies cannot make a statement of compliance with IFRSs but shall make a statement of compliance with Australian Accounting Standards.</w:t>
            </w:r>
            <w:r w:rsidR="00FA7C77">
              <w:rPr>
                <w:rFonts w:cs="Calibri"/>
                <w:b w:val="0"/>
                <w:bCs w:val="0"/>
                <w:color w:val="FFFFFF" w:themeColor="background1"/>
                <w:sz w:val="18"/>
              </w:rPr>
              <w:t xml:space="preserve"> </w:t>
            </w:r>
            <w:r w:rsidRPr="00814CFD">
              <w:rPr>
                <w:rFonts w:cs="Calibri"/>
                <w:b w:val="0"/>
                <w:bCs w:val="0"/>
                <w:color w:val="FFFFFF" w:themeColor="background1"/>
                <w:sz w:val="18"/>
              </w:rPr>
              <w:t>The Model includes this statement of compliance in Note 2 </w:t>
            </w:r>
            <w:r w:rsidR="001F7F23" w:rsidRPr="00814CFD">
              <w:rPr>
                <w:rFonts w:cs="Calibri"/>
                <w:b w:val="0"/>
                <w:bCs w:val="0"/>
                <w:i/>
                <w:iCs/>
                <w:color w:val="FFFFFF" w:themeColor="background1"/>
                <w:sz w:val="18"/>
              </w:rPr>
              <w:t>Basis of Preparation of the Financial Statements</w:t>
            </w:r>
            <w:r w:rsidRPr="00814CFD">
              <w:rPr>
                <w:rFonts w:cs="Calibri"/>
                <w:b w:val="0"/>
                <w:bCs w:val="0"/>
                <w:color w:val="FFFFFF" w:themeColor="background1"/>
                <w:sz w:val="18"/>
              </w:rPr>
              <w:t>.</w:t>
            </w:r>
            <w:r w:rsidR="00FA7C77">
              <w:rPr>
                <w:rFonts w:cs="Calibri"/>
                <w:b w:val="0"/>
                <w:bCs w:val="0"/>
                <w:color w:val="FFFFFF" w:themeColor="background1"/>
                <w:sz w:val="18"/>
              </w:rPr>
              <w:t xml:space="preserve"> </w:t>
            </w:r>
            <w:r w:rsidRPr="00814CFD">
              <w:rPr>
                <w:b w:val="0"/>
                <w:bCs w:val="0"/>
                <w:color w:val="FFFFFF" w:themeColor="background1"/>
                <w:sz w:val="18"/>
              </w:rPr>
              <w:t>However, for-profit authorities are required to make an explicit and unreserved statement of compliance with IFRS in the notes where their financial statements comply with IFRSs. Compliance with Australian Accounting Standards by for-profit agencies will not necessarily lead to compliance with IFRSs.</w:t>
            </w:r>
            <w:r w:rsidR="00FA7C77">
              <w:rPr>
                <w:b w:val="0"/>
                <w:bCs w:val="0"/>
                <w:color w:val="FFFFFF" w:themeColor="background1"/>
                <w:sz w:val="18"/>
              </w:rPr>
              <w:t xml:space="preserve"> </w:t>
            </w:r>
            <w:r w:rsidRPr="00814CFD">
              <w:rPr>
                <w:b w:val="0"/>
                <w:bCs w:val="0"/>
                <w:color w:val="FFFFFF" w:themeColor="background1"/>
                <w:sz w:val="18"/>
              </w:rPr>
              <w:t xml:space="preserve">This circumstance arises when the entity is a for-profit government agency to which particular standards apply, such as AASB 1004 </w:t>
            </w:r>
            <w:r w:rsidRPr="00814CFD">
              <w:rPr>
                <w:b w:val="0"/>
                <w:bCs w:val="0"/>
                <w:i/>
                <w:iCs/>
                <w:color w:val="FFFFFF" w:themeColor="background1"/>
                <w:sz w:val="18"/>
              </w:rPr>
              <w:t>Contributions</w:t>
            </w:r>
            <w:r w:rsidRPr="00814CFD">
              <w:rPr>
                <w:b w:val="0"/>
                <w:bCs w:val="0"/>
                <w:color w:val="FFFFFF" w:themeColor="background1"/>
                <w:sz w:val="18"/>
              </w:rPr>
              <w:t>, and to which Aus paragraphs in various other Australian Accounting Standards apply, and the entity applies a requirement that is inconsistent with an IFRS requirement.</w:t>
            </w:r>
          </w:p>
        </w:tc>
      </w:tr>
      <w:tr w:rsidR="00603743" w:rsidRPr="00CF7E1B" w14:paraId="1299E46A" w14:textId="77777777" w:rsidTr="00B66382">
        <w:tc>
          <w:tcPr>
            <w:tcW w:w="743" w:type="pct"/>
            <w:tcBorders>
              <w:left w:val="single" w:sz="2" w:space="0" w:color="000000" w:themeColor="text1"/>
              <w:right w:val="single" w:sz="2" w:space="0" w:color="000000" w:themeColor="text1"/>
            </w:tcBorders>
          </w:tcPr>
          <w:p w14:paraId="7A3926FE" w14:textId="77777777" w:rsidR="00603743" w:rsidRPr="00814CFD" w:rsidRDefault="00603743" w:rsidP="009A0F2F">
            <w:pPr>
              <w:pStyle w:val="TableReference"/>
              <w:tabs>
                <w:tab w:val="left" w:pos="3306"/>
              </w:tabs>
              <w:rPr>
                <w:rFonts w:cs="Calibri"/>
                <w:color w:val="7030A0"/>
                <w:sz w:val="16"/>
                <w:szCs w:val="16"/>
              </w:rPr>
            </w:pPr>
          </w:p>
        </w:tc>
        <w:tc>
          <w:tcPr>
            <w:tcW w:w="4257" w:type="pct"/>
            <w:tcBorders>
              <w:left w:val="single" w:sz="2" w:space="0" w:color="000000" w:themeColor="text1"/>
            </w:tcBorders>
            <w:shd w:val="clear" w:color="auto" w:fill="7030A0"/>
          </w:tcPr>
          <w:p w14:paraId="7D99DC00" w14:textId="77777777" w:rsidR="00603743" w:rsidRPr="00950179" w:rsidRDefault="00603743" w:rsidP="009A0F2F">
            <w:pPr>
              <w:pStyle w:val="CommentaryHeading"/>
              <w:tabs>
                <w:tab w:val="left" w:pos="3306"/>
              </w:tabs>
              <w:spacing w:after="0"/>
              <w:rPr>
                <w:rFonts w:cs="Calibri"/>
                <w:color w:val="FFFFFF" w:themeColor="background1"/>
                <w:szCs w:val="20"/>
              </w:rPr>
            </w:pPr>
            <w:r w:rsidRPr="00950179">
              <w:rPr>
                <w:rFonts w:cs="Calibri"/>
                <w:color w:val="FFFFFF" w:themeColor="background1"/>
                <w:szCs w:val="20"/>
              </w:rPr>
              <w:t>Additional Information</w:t>
            </w:r>
          </w:p>
        </w:tc>
      </w:tr>
      <w:tr w:rsidR="00603743" w:rsidRPr="00CF7E1B" w14:paraId="29D94D6C" w14:textId="77777777" w:rsidTr="00B66382">
        <w:tc>
          <w:tcPr>
            <w:tcW w:w="743" w:type="pct"/>
            <w:tcBorders>
              <w:left w:val="single" w:sz="2" w:space="0" w:color="000000" w:themeColor="text1"/>
              <w:right w:val="single" w:sz="2" w:space="0" w:color="000000" w:themeColor="text1"/>
            </w:tcBorders>
          </w:tcPr>
          <w:p w14:paraId="34DC6617" w14:textId="77777777" w:rsidR="00603743" w:rsidRPr="00814CFD" w:rsidRDefault="00603743" w:rsidP="009A0F2F">
            <w:pPr>
              <w:pStyle w:val="TableReference"/>
              <w:tabs>
                <w:tab w:val="left" w:pos="3306"/>
              </w:tabs>
              <w:spacing w:before="60"/>
              <w:rPr>
                <w:rFonts w:cs="Calibri"/>
                <w:color w:val="7030A0"/>
                <w:sz w:val="14"/>
              </w:rPr>
            </w:pPr>
            <w:r w:rsidRPr="00814CFD">
              <w:rPr>
                <w:rFonts w:cs="Calibri"/>
                <w:color w:val="7030A0"/>
                <w:sz w:val="14"/>
              </w:rPr>
              <w:t>AASB 101.112(b) &amp;(c)</w:t>
            </w:r>
          </w:p>
        </w:tc>
        <w:tc>
          <w:tcPr>
            <w:tcW w:w="4257" w:type="pct"/>
            <w:tcBorders>
              <w:left w:val="single" w:sz="2" w:space="0" w:color="000000" w:themeColor="text1"/>
            </w:tcBorders>
            <w:shd w:val="clear" w:color="auto" w:fill="7030A0"/>
          </w:tcPr>
          <w:p w14:paraId="064540F3" w14:textId="28DAD762" w:rsidR="00603743" w:rsidRPr="00814CFD" w:rsidRDefault="00603743" w:rsidP="009A0F2F">
            <w:pPr>
              <w:pStyle w:val="CommentaryText"/>
              <w:tabs>
                <w:tab w:val="left" w:pos="3306"/>
              </w:tabs>
              <w:rPr>
                <w:rFonts w:cs="Calibri"/>
                <w:color w:val="FFFFFF" w:themeColor="background1"/>
                <w:sz w:val="18"/>
                <w:szCs w:val="18"/>
              </w:rPr>
            </w:pPr>
            <w:r w:rsidRPr="00814CFD">
              <w:rPr>
                <w:rFonts w:cs="Calibri"/>
                <w:color w:val="FFFFFF" w:themeColor="background1"/>
                <w:sz w:val="18"/>
                <w:szCs w:val="18"/>
              </w:rPr>
              <w:t>The notes must disclose additional information that is not presented in the financial statements as required by Australian Accounting Standards</w:t>
            </w:r>
            <w:r w:rsidR="001F7F23" w:rsidRPr="00814CFD">
              <w:rPr>
                <w:rFonts w:cs="Calibri"/>
                <w:color w:val="FFFFFF" w:themeColor="background1"/>
                <w:sz w:val="18"/>
                <w:szCs w:val="18"/>
              </w:rPr>
              <w:t>, ACT Disclosure Policy</w:t>
            </w:r>
            <w:r w:rsidRPr="00814CFD">
              <w:rPr>
                <w:rFonts w:cs="Calibri"/>
                <w:color w:val="FFFFFF" w:themeColor="background1"/>
                <w:sz w:val="18"/>
                <w:szCs w:val="18"/>
              </w:rPr>
              <w:t xml:space="preserve"> and where it is necessary to enable an assessment of the agency’s financial performance and financial position to be made.</w:t>
            </w:r>
          </w:p>
        </w:tc>
      </w:tr>
    </w:tbl>
    <w:p w14:paraId="27CB5E99" w14:textId="77777777" w:rsidR="00574DE1" w:rsidRDefault="00574DE1">
      <w:pPr>
        <w:tabs>
          <w:tab w:val="left" w:pos="3306"/>
        </w:tabs>
        <w:rPr>
          <w:rFonts w:cs="Calibri"/>
        </w:rPr>
        <w:sectPr w:rsidR="00574DE1" w:rsidSect="00206D31">
          <w:headerReference w:type="default" r:id="rId19"/>
          <w:footnotePr>
            <w:numRestart w:val="eachPage"/>
          </w:footnotePr>
          <w:pgSz w:w="11907" w:h="16840" w:code="9"/>
          <w:pgMar w:top="1134" w:right="1134" w:bottom="567" w:left="1134" w:header="426" w:footer="388" w:gutter="0"/>
          <w:cols w:space="720"/>
        </w:sectPr>
      </w:pPr>
    </w:p>
    <w:p w14:paraId="14507FF3" w14:textId="0B7A4DE2" w:rsidR="00272522" w:rsidRPr="00F54064" w:rsidRDefault="000144FF" w:rsidP="008238E7">
      <w:pPr>
        <w:spacing w:line="400" w:lineRule="exact"/>
        <w:jc w:val="center"/>
        <w:rPr>
          <w:rFonts w:asciiTheme="minorHAnsi" w:hAnsiTheme="minorHAnsi" w:cstheme="minorHAnsi"/>
          <w:b/>
          <w:sz w:val="40"/>
          <w:szCs w:val="40"/>
        </w:rPr>
      </w:pPr>
      <w:bookmarkStart w:id="120" w:name="_Toc194918638"/>
      <w:r w:rsidRPr="00F54064">
        <w:rPr>
          <w:rFonts w:asciiTheme="minorHAnsi" w:hAnsiTheme="minorHAnsi" w:cstheme="minorHAnsi"/>
          <w:b/>
          <w:sz w:val="40"/>
          <w:szCs w:val="40"/>
        </w:rPr>
        <w:t>‘</w:t>
      </w:r>
      <w:r w:rsidR="007D5C59" w:rsidRPr="00F54064">
        <w:rPr>
          <w:rFonts w:asciiTheme="minorHAnsi" w:hAnsiTheme="minorHAnsi" w:cstheme="minorHAnsi"/>
          <w:b/>
          <w:sz w:val="40"/>
          <w:szCs w:val="40"/>
        </w:rPr>
        <w:t>Burley Griffin</w:t>
      </w:r>
      <w:r w:rsidRPr="00F54064">
        <w:rPr>
          <w:rFonts w:asciiTheme="minorHAnsi" w:hAnsiTheme="minorHAnsi" w:cstheme="minorHAnsi"/>
          <w:b/>
          <w:sz w:val="40"/>
          <w:szCs w:val="40"/>
        </w:rPr>
        <w:t xml:space="preserve"> </w:t>
      </w:r>
      <w:r w:rsidR="005C6BD1" w:rsidRPr="00F54064">
        <w:rPr>
          <w:rFonts w:asciiTheme="minorHAnsi" w:hAnsiTheme="minorHAnsi" w:cstheme="minorHAnsi"/>
          <w:b/>
          <w:sz w:val="40"/>
          <w:szCs w:val="40"/>
        </w:rPr>
        <w:t>Agency</w:t>
      </w:r>
      <w:r w:rsidRPr="00F54064">
        <w:rPr>
          <w:rFonts w:asciiTheme="minorHAnsi" w:hAnsiTheme="minorHAnsi" w:cstheme="minorHAnsi"/>
          <w:b/>
          <w:sz w:val="40"/>
          <w:szCs w:val="40"/>
        </w:rPr>
        <w:t>’</w:t>
      </w:r>
      <w:bookmarkEnd w:id="120"/>
    </w:p>
    <w:p w14:paraId="6F4953C8" w14:textId="77777777" w:rsidR="000144FF" w:rsidRPr="00F54064" w:rsidRDefault="00272522" w:rsidP="00574DE1">
      <w:pPr>
        <w:pStyle w:val="Subtitle"/>
        <w:spacing w:line="400" w:lineRule="exact"/>
        <w:rPr>
          <w:rFonts w:asciiTheme="minorHAnsi" w:hAnsiTheme="minorHAnsi" w:cstheme="minorHAnsi"/>
        </w:rPr>
      </w:pPr>
      <w:bookmarkStart w:id="121" w:name="_Toc400627308"/>
      <w:bookmarkStart w:id="122" w:name="_Toc98763024"/>
      <w:r w:rsidRPr="00F54064">
        <w:rPr>
          <w:rFonts w:asciiTheme="minorHAnsi" w:hAnsiTheme="minorHAnsi" w:cstheme="minorHAnsi"/>
        </w:rPr>
        <w:t>Operating Statement</w:t>
      </w:r>
      <w:bookmarkEnd w:id="121"/>
      <w:bookmarkEnd w:id="122"/>
    </w:p>
    <w:p w14:paraId="6B201CEF" w14:textId="3C7CADDE" w:rsidR="000144FF" w:rsidRPr="00F54064" w:rsidRDefault="000144FF" w:rsidP="00574DE1">
      <w:pPr>
        <w:spacing w:line="400" w:lineRule="exact"/>
        <w:jc w:val="center"/>
        <w:rPr>
          <w:rFonts w:asciiTheme="minorHAnsi" w:hAnsiTheme="minorHAnsi" w:cstheme="minorHAnsi"/>
          <w:b/>
          <w:sz w:val="40"/>
          <w:szCs w:val="40"/>
        </w:rPr>
      </w:pPr>
      <w:bookmarkStart w:id="123" w:name="_Toc48468209"/>
      <w:bookmarkStart w:id="124" w:name="_Toc49155404"/>
      <w:r w:rsidRPr="00F54064">
        <w:rPr>
          <w:rFonts w:asciiTheme="minorHAnsi" w:hAnsiTheme="minorHAnsi" w:cstheme="minorHAnsi"/>
          <w:b/>
          <w:sz w:val="40"/>
          <w:szCs w:val="40"/>
        </w:rPr>
        <w:t xml:space="preserve">For the Year Ended 30 June </w:t>
      </w:r>
      <w:bookmarkEnd w:id="123"/>
      <w:bookmarkEnd w:id="124"/>
      <w:r w:rsidR="00C66E0D" w:rsidRPr="00F54064">
        <w:rPr>
          <w:rFonts w:asciiTheme="minorHAnsi" w:hAnsiTheme="minorHAnsi" w:cstheme="minorHAnsi"/>
          <w:b/>
          <w:sz w:val="40"/>
          <w:szCs w:val="40"/>
        </w:rPr>
        <w:t>202</w:t>
      </w:r>
      <w:r w:rsidR="00C479A8" w:rsidRPr="00F54064">
        <w:rPr>
          <w:rFonts w:asciiTheme="minorHAnsi" w:hAnsiTheme="minorHAnsi" w:cstheme="minorHAnsi"/>
          <w:b/>
          <w:sz w:val="40"/>
          <w:szCs w:val="40"/>
        </w:rPr>
        <w:t>2</w:t>
      </w:r>
    </w:p>
    <w:tbl>
      <w:tblPr>
        <w:tblW w:w="5005"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4749"/>
        <w:gridCol w:w="638"/>
        <w:gridCol w:w="1185"/>
        <w:gridCol w:w="1185"/>
        <w:gridCol w:w="1185"/>
      </w:tblGrid>
      <w:tr w:rsidR="000144FF" w:rsidRPr="00CF7E1B" w14:paraId="1EB4CF5D" w14:textId="77777777" w:rsidTr="00B66382">
        <w:trPr>
          <w:cantSplit/>
          <w:trHeight w:val="20"/>
        </w:trPr>
        <w:tc>
          <w:tcPr>
            <w:tcW w:w="1613" w:type="dxa"/>
            <w:tcBorders>
              <w:top w:val="nil"/>
              <w:left w:val="single" w:sz="2" w:space="0" w:color="auto"/>
              <w:bottom w:val="nil"/>
              <w:right w:val="single" w:sz="2" w:space="0" w:color="auto"/>
            </w:tcBorders>
          </w:tcPr>
          <w:p w14:paraId="4A02F1A3" w14:textId="77777777" w:rsidR="000144FF" w:rsidRPr="00F54064" w:rsidRDefault="000144FF" w:rsidP="003A523A">
            <w:pPr>
              <w:pStyle w:val="Reference"/>
              <w:tabs>
                <w:tab w:val="left" w:pos="3306"/>
              </w:tabs>
              <w:spacing w:before="240"/>
              <w:rPr>
                <w:rFonts w:cs="Calibri"/>
                <w:color w:val="7030A0"/>
                <w:sz w:val="22"/>
                <w:szCs w:val="22"/>
              </w:rPr>
            </w:pPr>
            <w:bookmarkStart w:id="125" w:name="_Toc48468210"/>
            <w:bookmarkStart w:id="126" w:name="_Toc49155405"/>
            <w:bookmarkStart w:id="127" w:name="_Toc49223851"/>
            <w:r w:rsidRPr="00F54064">
              <w:rPr>
                <w:rFonts w:cs="Calibri"/>
                <w:color w:val="7030A0"/>
                <w:sz w:val="22"/>
                <w:szCs w:val="22"/>
              </w:rPr>
              <w:t>Reference</w:t>
            </w:r>
            <w:bookmarkEnd w:id="125"/>
            <w:bookmarkEnd w:id="126"/>
            <w:bookmarkEnd w:id="127"/>
          </w:p>
        </w:tc>
        <w:tc>
          <w:tcPr>
            <w:tcW w:w="4749" w:type="dxa"/>
            <w:tcBorders>
              <w:top w:val="nil"/>
              <w:left w:val="single" w:sz="2" w:space="0" w:color="auto"/>
              <w:bottom w:val="nil"/>
              <w:right w:val="nil"/>
            </w:tcBorders>
            <w:vAlign w:val="bottom"/>
          </w:tcPr>
          <w:p w14:paraId="6DFCDAF2" w14:textId="77777777" w:rsidR="000144FF" w:rsidRPr="00F54064" w:rsidRDefault="000144FF" w:rsidP="003A523A">
            <w:pPr>
              <w:tabs>
                <w:tab w:val="left" w:pos="3306"/>
              </w:tabs>
              <w:rPr>
                <w:rFonts w:cs="Calibri"/>
              </w:rPr>
            </w:pPr>
          </w:p>
        </w:tc>
        <w:tc>
          <w:tcPr>
            <w:tcW w:w="638" w:type="dxa"/>
            <w:tcBorders>
              <w:top w:val="nil"/>
              <w:left w:val="nil"/>
              <w:bottom w:val="nil"/>
              <w:right w:val="nil"/>
            </w:tcBorders>
            <w:vAlign w:val="bottom"/>
          </w:tcPr>
          <w:p w14:paraId="186862DD" w14:textId="77777777" w:rsidR="000144FF" w:rsidRPr="00F54064" w:rsidRDefault="000144FF" w:rsidP="003A523A">
            <w:pPr>
              <w:pStyle w:val="TableTitle"/>
              <w:tabs>
                <w:tab w:val="left" w:pos="3306"/>
              </w:tabs>
              <w:jc w:val="center"/>
              <w:rPr>
                <w:rFonts w:cs="Calibri"/>
              </w:rPr>
            </w:pPr>
            <w:r w:rsidRPr="00F54064">
              <w:rPr>
                <w:rFonts w:cs="Calibri"/>
              </w:rPr>
              <w:t>Note No.</w:t>
            </w:r>
          </w:p>
        </w:tc>
        <w:tc>
          <w:tcPr>
            <w:tcW w:w="1185" w:type="dxa"/>
            <w:tcBorders>
              <w:top w:val="nil"/>
              <w:left w:val="nil"/>
              <w:bottom w:val="nil"/>
              <w:right w:val="nil"/>
            </w:tcBorders>
            <w:vAlign w:val="bottom"/>
          </w:tcPr>
          <w:p w14:paraId="77A56FF4" w14:textId="77777777" w:rsidR="000144FF" w:rsidRPr="00F54064" w:rsidRDefault="000144FF" w:rsidP="003A523A">
            <w:pPr>
              <w:pStyle w:val="TableTitle"/>
              <w:tabs>
                <w:tab w:val="left" w:pos="3306"/>
              </w:tabs>
              <w:rPr>
                <w:rFonts w:cs="Calibri"/>
              </w:rPr>
            </w:pPr>
            <w:r w:rsidRPr="00F54064">
              <w:rPr>
                <w:rFonts w:cs="Calibri"/>
              </w:rPr>
              <w:t>Actual</w:t>
            </w:r>
          </w:p>
          <w:p w14:paraId="20C4E246" w14:textId="10BA69E0" w:rsidR="000144FF" w:rsidRPr="00F54064" w:rsidRDefault="001B231B" w:rsidP="003A523A">
            <w:pPr>
              <w:pStyle w:val="TableTitle"/>
              <w:tabs>
                <w:tab w:val="left" w:pos="3306"/>
              </w:tabs>
              <w:rPr>
                <w:rFonts w:cs="Calibri"/>
              </w:rPr>
            </w:pPr>
            <w:r w:rsidRPr="00F54064">
              <w:rPr>
                <w:rFonts w:cs="Calibri"/>
              </w:rPr>
              <w:t>202</w:t>
            </w:r>
            <w:r w:rsidR="00C479A8" w:rsidRPr="00F54064">
              <w:rPr>
                <w:rFonts w:cs="Calibri"/>
              </w:rPr>
              <w:t>2</w:t>
            </w:r>
          </w:p>
          <w:p w14:paraId="3C294A02" w14:textId="77777777" w:rsidR="000144FF" w:rsidRPr="00F54064" w:rsidRDefault="000144FF" w:rsidP="003A523A">
            <w:pPr>
              <w:pStyle w:val="TableTitle"/>
              <w:tabs>
                <w:tab w:val="left" w:pos="3306"/>
              </w:tabs>
              <w:rPr>
                <w:rFonts w:cs="Calibri"/>
              </w:rPr>
            </w:pPr>
            <w:r w:rsidRPr="00F54064">
              <w:rPr>
                <w:rFonts w:cs="Calibri"/>
              </w:rPr>
              <w:t>$’000</w:t>
            </w:r>
          </w:p>
        </w:tc>
        <w:tc>
          <w:tcPr>
            <w:tcW w:w="1185" w:type="dxa"/>
            <w:tcBorders>
              <w:top w:val="nil"/>
              <w:left w:val="nil"/>
              <w:bottom w:val="nil"/>
              <w:right w:val="nil"/>
            </w:tcBorders>
            <w:vAlign w:val="bottom"/>
          </w:tcPr>
          <w:p w14:paraId="1708F982" w14:textId="77777777" w:rsidR="000144FF" w:rsidRPr="00F54064" w:rsidRDefault="000144FF" w:rsidP="003A523A">
            <w:pPr>
              <w:pStyle w:val="TableTitle"/>
              <w:tabs>
                <w:tab w:val="left" w:pos="3306"/>
              </w:tabs>
              <w:rPr>
                <w:rFonts w:cs="Calibri"/>
              </w:rPr>
            </w:pPr>
            <w:r w:rsidRPr="00F54064">
              <w:rPr>
                <w:rFonts w:cs="Calibri"/>
              </w:rPr>
              <w:t xml:space="preserve">Original Budget </w:t>
            </w:r>
          </w:p>
          <w:p w14:paraId="143FAD70" w14:textId="250C5B5E" w:rsidR="001B231B" w:rsidRPr="00F54064" w:rsidRDefault="001B231B" w:rsidP="001B231B">
            <w:pPr>
              <w:pStyle w:val="TableTitle"/>
              <w:tabs>
                <w:tab w:val="left" w:pos="3306"/>
              </w:tabs>
              <w:rPr>
                <w:rFonts w:cs="Calibri"/>
              </w:rPr>
            </w:pPr>
            <w:r w:rsidRPr="00F54064">
              <w:rPr>
                <w:rFonts w:cs="Calibri"/>
              </w:rPr>
              <w:t>202</w:t>
            </w:r>
            <w:r w:rsidR="00C479A8" w:rsidRPr="00F54064">
              <w:rPr>
                <w:rFonts w:cs="Calibri"/>
              </w:rPr>
              <w:t>2</w:t>
            </w:r>
          </w:p>
          <w:p w14:paraId="3B252FB3" w14:textId="77777777" w:rsidR="000144FF" w:rsidRPr="00F54064" w:rsidRDefault="000144FF" w:rsidP="003A523A">
            <w:pPr>
              <w:pStyle w:val="TableTitle"/>
              <w:tabs>
                <w:tab w:val="left" w:pos="3306"/>
              </w:tabs>
              <w:rPr>
                <w:rFonts w:cs="Calibri"/>
              </w:rPr>
            </w:pPr>
            <w:r w:rsidRPr="00F54064">
              <w:rPr>
                <w:rFonts w:cs="Calibri"/>
              </w:rPr>
              <w:t>$’000</w:t>
            </w:r>
          </w:p>
        </w:tc>
        <w:tc>
          <w:tcPr>
            <w:tcW w:w="1185" w:type="dxa"/>
            <w:tcBorders>
              <w:top w:val="nil"/>
              <w:left w:val="nil"/>
              <w:bottom w:val="nil"/>
              <w:right w:val="nil"/>
            </w:tcBorders>
            <w:vAlign w:val="bottom"/>
          </w:tcPr>
          <w:p w14:paraId="1CA3B5AE" w14:textId="77777777" w:rsidR="000144FF" w:rsidRPr="00F54064" w:rsidRDefault="000144FF" w:rsidP="003A523A">
            <w:pPr>
              <w:pStyle w:val="TableTitle"/>
              <w:tabs>
                <w:tab w:val="left" w:pos="3306"/>
              </w:tabs>
              <w:rPr>
                <w:rFonts w:cs="Calibri"/>
              </w:rPr>
            </w:pPr>
            <w:r w:rsidRPr="00F54064">
              <w:rPr>
                <w:rFonts w:cs="Calibri"/>
              </w:rPr>
              <w:t>Actual</w:t>
            </w:r>
          </w:p>
          <w:p w14:paraId="4F7D8AE8" w14:textId="10095CEC" w:rsidR="000144FF" w:rsidRPr="00F54064" w:rsidRDefault="00BD3162" w:rsidP="003A523A">
            <w:pPr>
              <w:pStyle w:val="TableTitle"/>
              <w:tabs>
                <w:tab w:val="left" w:pos="3306"/>
              </w:tabs>
              <w:rPr>
                <w:rFonts w:cs="Calibri"/>
              </w:rPr>
            </w:pPr>
            <w:r w:rsidRPr="00F54064">
              <w:rPr>
                <w:rFonts w:cs="Calibri"/>
              </w:rPr>
              <w:t>2021</w:t>
            </w:r>
          </w:p>
          <w:p w14:paraId="1E46D70D" w14:textId="77777777" w:rsidR="000144FF" w:rsidRPr="00F54064" w:rsidRDefault="000144FF" w:rsidP="003A523A">
            <w:pPr>
              <w:pStyle w:val="TableTitle"/>
              <w:tabs>
                <w:tab w:val="left" w:pos="3306"/>
              </w:tabs>
              <w:rPr>
                <w:rFonts w:cs="Calibri"/>
              </w:rPr>
            </w:pPr>
            <w:r w:rsidRPr="00F54064">
              <w:rPr>
                <w:rFonts w:cs="Calibri"/>
              </w:rPr>
              <w:t>$’000</w:t>
            </w:r>
          </w:p>
        </w:tc>
      </w:tr>
      <w:tr w:rsidR="0081339C" w:rsidRPr="0081339C" w14:paraId="58C1BE42" w14:textId="77777777" w:rsidTr="00B66382">
        <w:trPr>
          <w:cantSplit/>
          <w:trHeight w:val="20"/>
        </w:trPr>
        <w:tc>
          <w:tcPr>
            <w:tcW w:w="1613" w:type="dxa"/>
            <w:tcBorders>
              <w:top w:val="nil"/>
              <w:left w:val="single" w:sz="2" w:space="0" w:color="auto"/>
              <w:bottom w:val="nil"/>
              <w:right w:val="single" w:sz="2" w:space="0" w:color="auto"/>
            </w:tcBorders>
          </w:tcPr>
          <w:p w14:paraId="1983DAC2" w14:textId="77777777" w:rsidR="000144FF" w:rsidRPr="00F54064" w:rsidRDefault="00D001B7"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0144FF" w:rsidRPr="00F54064">
              <w:rPr>
                <w:rFonts w:cs="Calibri"/>
                <w:color w:val="7030A0"/>
                <w:sz w:val="14"/>
              </w:rPr>
              <w:t>8</w:t>
            </w:r>
            <w:r w:rsidR="00F23A9D" w:rsidRPr="00F54064">
              <w:rPr>
                <w:rFonts w:cs="Calibri"/>
                <w:color w:val="7030A0"/>
                <w:sz w:val="14"/>
              </w:rPr>
              <w:t>5</w:t>
            </w:r>
          </w:p>
        </w:tc>
        <w:tc>
          <w:tcPr>
            <w:tcW w:w="4749" w:type="dxa"/>
            <w:tcBorders>
              <w:top w:val="nil"/>
              <w:left w:val="single" w:sz="2" w:space="0" w:color="auto"/>
              <w:bottom w:val="nil"/>
              <w:right w:val="nil"/>
            </w:tcBorders>
            <w:vAlign w:val="bottom"/>
          </w:tcPr>
          <w:p w14:paraId="726C1240" w14:textId="77777777" w:rsidR="000144FF" w:rsidRPr="00F54064" w:rsidRDefault="000144FF">
            <w:pPr>
              <w:pStyle w:val="TableText"/>
              <w:tabs>
                <w:tab w:val="left" w:pos="3306"/>
              </w:tabs>
              <w:rPr>
                <w:rFonts w:cs="Calibri"/>
                <w:b/>
                <w:bCs/>
              </w:rPr>
            </w:pPr>
            <w:r w:rsidRPr="00F54064">
              <w:rPr>
                <w:rFonts w:cs="Calibri"/>
                <w:b/>
                <w:bCs/>
              </w:rPr>
              <w:t>Income</w:t>
            </w:r>
          </w:p>
        </w:tc>
        <w:tc>
          <w:tcPr>
            <w:tcW w:w="638" w:type="dxa"/>
            <w:tcBorders>
              <w:top w:val="nil"/>
              <w:left w:val="nil"/>
              <w:bottom w:val="nil"/>
              <w:right w:val="nil"/>
            </w:tcBorders>
            <w:vAlign w:val="bottom"/>
          </w:tcPr>
          <w:p w14:paraId="37050FEC"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58408F26"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FC08A68"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88A9D4F" w14:textId="77777777" w:rsidR="000144FF" w:rsidRPr="00F54064" w:rsidRDefault="000144FF">
            <w:pPr>
              <w:pStyle w:val="TableText"/>
              <w:tabs>
                <w:tab w:val="left" w:pos="3306"/>
              </w:tabs>
              <w:jc w:val="right"/>
              <w:rPr>
                <w:rFonts w:cs="Calibri"/>
              </w:rPr>
            </w:pPr>
          </w:p>
        </w:tc>
      </w:tr>
      <w:tr w:rsidR="0081339C" w:rsidRPr="0081339C" w14:paraId="41F189E2" w14:textId="77777777" w:rsidTr="00B66382">
        <w:trPr>
          <w:cantSplit/>
          <w:trHeight w:val="20"/>
        </w:trPr>
        <w:tc>
          <w:tcPr>
            <w:tcW w:w="1613" w:type="dxa"/>
            <w:tcBorders>
              <w:top w:val="nil"/>
              <w:left w:val="single" w:sz="2" w:space="0" w:color="auto"/>
              <w:bottom w:val="nil"/>
              <w:right w:val="single" w:sz="2" w:space="0" w:color="auto"/>
            </w:tcBorders>
          </w:tcPr>
          <w:p w14:paraId="1BACCCA9"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2</w:t>
            </w:r>
            <w:r w:rsidRPr="00F54064">
              <w:rPr>
                <w:rFonts w:cs="Calibri"/>
                <w:color w:val="7030A0"/>
                <w:sz w:val="14"/>
              </w:rPr>
              <w:t>(a</w:t>
            </w:r>
            <w:r w:rsidR="000D0DE4" w:rsidRPr="00F54064">
              <w:rPr>
                <w:rFonts w:cs="Calibri"/>
                <w:color w:val="7030A0"/>
                <w:sz w:val="14"/>
              </w:rPr>
              <w:t>)</w:t>
            </w:r>
          </w:p>
        </w:tc>
        <w:tc>
          <w:tcPr>
            <w:tcW w:w="4749" w:type="dxa"/>
            <w:tcBorders>
              <w:top w:val="nil"/>
              <w:left w:val="single" w:sz="2" w:space="0" w:color="auto"/>
              <w:bottom w:val="nil"/>
              <w:right w:val="nil"/>
            </w:tcBorders>
            <w:vAlign w:val="bottom"/>
          </w:tcPr>
          <w:p w14:paraId="4F342B56" w14:textId="77777777" w:rsidR="000144FF" w:rsidRPr="00F54064" w:rsidRDefault="000144FF">
            <w:pPr>
              <w:pStyle w:val="TableText"/>
              <w:tabs>
                <w:tab w:val="left" w:pos="3306"/>
              </w:tabs>
              <w:rPr>
                <w:rFonts w:cs="Calibri"/>
                <w:i/>
                <w:iCs/>
              </w:rPr>
            </w:pPr>
            <w:r w:rsidRPr="00F54064">
              <w:rPr>
                <w:rFonts w:cs="Calibri"/>
                <w:i/>
                <w:iCs/>
              </w:rPr>
              <w:t xml:space="preserve">Revenue </w:t>
            </w:r>
          </w:p>
        </w:tc>
        <w:tc>
          <w:tcPr>
            <w:tcW w:w="638" w:type="dxa"/>
            <w:tcBorders>
              <w:top w:val="nil"/>
              <w:left w:val="nil"/>
              <w:bottom w:val="nil"/>
              <w:right w:val="nil"/>
            </w:tcBorders>
            <w:vAlign w:val="bottom"/>
          </w:tcPr>
          <w:p w14:paraId="1F6F6812"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0FF84E9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3EC88DE"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644B9073" w14:textId="77777777" w:rsidR="000144FF" w:rsidRPr="00F54064" w:rsidRDefault="000144FF">
            <w:pPr>
              <w:pStyle w:val="TableText"/>
              <w:tabs>
                <w:tab w:val="left" w:pos="3306"/>
              </w:tabs>
              <w:jc w:val="right"/>
              <w:rPr>
                <w:rFonts w:cs="Calibri"/>
              </w:rPr>
            </w:pPr>
          </w:p>
        </w:tc>
      </w:tr>
      <w:tr w:rsidR="0081339C" w:rsidRPr="0081339C" w14:paraId="49C3F954" w14:textId="77777777" w:rsidTr="00B66382">
        <w:trPr>
          <w:cantSplit/>
          <w:trHeight w:val="20"/>
        </w:trPr>
        <w:tc>
          <w:tcPr>
            <w:tcW w:w="1613" w:type="dxa"/>
            <w:tcBorders>
              <w:top w:val="nil"/>
              <w:left w:val="single" w:sz="2" w:space="0" w:color="auto"/>
              <w:bottom w:val="nil"/>
              <w:right w:val="single" w:sz="2" w:space="0" w:color="auto"/>
            </w:tcBorders>
          </w:tcPr>
          <w:p w14:paraId="6A437179" w14:textId="6CBD97FE" w:rsidR="0098614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5</w:t>
            </w:r>
          </w:p>
          <w:p w14:paraId="38652F03" w14:textId="77777777" w:rsidR="000144FF" w:rsidRPr="00F54064" w:rsidRDefault="0098614F" w:rsidP="00B11849">
            <w:pPr>
              <w:pStyle w:val="TableReference"/>
              <w:tabs>
                <w:tab w:val="left" w:pos="3306"/>
              </w:tabs>
              <w:spacing w:beforeLines="20" w:before="48"/>
              <w:rPr>
                <w:rFonts w:cs="Calibri"/>
                <w:color w:val="7030A0"/>
                <w:sz w:val="14"/>
              </w:rPr>
            </w:pPr>
            <w:r w:rsidRPr="00F54064">
              <w:rPr>
                <w:rFonts w:cs="Calibri"/>
                <w:color w:val="7030A0"/>
                <w:sz w:val="14"/>
              </w:rPr>
              <w:t>AASB 1004</w:t>
            </w:r>
            <w:r w:rsidR="00D65811" w:rsidRPr="00F54064">
              <w:rPr>
                <w:rFonts w:cs="Calibri"/>
                <w:color w:val="7030A0"/>
                <w:sz w:val="14"/>
              </w:rPr>
              <w:t>.</w:t>
            </w:r>
            <w:r w:rsidRPr="00F54064">
              <w:rPr>
                <w:rFonts w:cs="Calibri"/>
                <w:color w:val="7030A0"/>
                <w:sz w:val="14"/>
              </w:rPr>
              <w:t>63(a)</w:t>
            </w:r>
            <w:r w:rsidR="000144FF" w:rsidRPr="00F54064">
              <w:rPr>
                <w:rFonts w:cs="Calibri"/>
                <w:color w:val="7030A0"/>
                <w:sz w:val="14"/>
              </w:rPr>
              <w:t xml:space="preserve"> </w:t>
            </w:r>
          </w:p>
          <w:p w14:paraId="1CC949D4" w14:textId="77777777" w:rsidR="00B746FE" w:rsidRPr="00F54064" w:rsidRDefault="00B746FE" w:rsidP="00B11849">
            <w:pPr>
              <w:pStyle w:val="TableReference"/>
              <w:tabs>
                <w:tab w:val="left" w:pos="3306"/>
              </w:tabs>
              <w:spacing w:beforeLines="20" w:before="48"/>
              <w:rPr>
                <w:rFonts w:cs="Calibri"/>
                <w:color w:val="7030A0"/>
                <w:sz w:val="14"/>
              </w:rPr>
            </w:pPr>
            <w:r w:rsidRPr="00F54064">
              <w:rPr>
                <w:rFonts w:cs="Calibri"/>
                <w:color w:val="7030A0"/>
                <w:sz w:val="14"/>
              </w:rPr>
              <w:t>AASB 1058.26(c)</w:t>
            </w:r>
          </w:p>
        </w:tc>
        <w:tc>
          <w:tcPr>
            <w:tcW w:w="4749" w:type="dxa"/>
            <w:tcBorders>
              <w:top w:val="nil"/>
              <w:left w:val="single" w:sz="2" w:space="0" w:color="auto"/>
              <w:bottom w:val="nil"/>
              <w:right w:val="nil"/>
            </w:tcBorders>
          </w:tcPr>
          <w:p w14:paraId="71220548" w14:textId="77777777" w:rsidR="000144FF" w:rsidRPr="00F54064" w:rsidRDefault="00443536" w:rsidP="007324D0">
            <w:pPr>
              <w:pStyle w:val="TableText"/>
              <w:tabs>
                <w:tab w:val="left" w:pos="3306"/>
              </w:tabs>
              <w:rPr>
                <w:rFonts w:cs="Calibri"/>
                <w:strike/>
              </w:rPr>
            </w:pPr>
            <w:r w:rsidRPr="00F54064">
              <w:rPr>
                <w:rFonts w:cs="Calibri"/>
              </w:rPr>
              <w:t>Controlled Recurrent Payments</w:t>
            </w:r>
          </w:p>
        </w:tc>
        <w:tc>
          <w:tcPr>
            <w:tcW w:w="638" w:type="dxa"/>
            <w:tcBorders>
              <w:top w:val="nil"/>
              <w:left w:val="nil"/>
              <w:bottom w:val="nil"/>
              <w:right w:val="nil"/>
            </w:tcBorders>
          </w:tcPr>
          <w:p w14:paraId="41318EFF" w14:textId="523E8B4C" w:rsidR="000144FF" w:rsidRPr="00F54064" w:rsidRDefault="000C06DA" w:rsidP="007324D0">
            <w:pPr>
              <w:pStyle w:val="TableText"/>
              <w:tabs>
                <w:tab w:val="left" w:pos="3306"/>
              </w:tabs>
              <w:jc w:val="center"/>
              <w:rPr>
                <w:rFonts w:cs="Calibri"/>
                <w:strike/>
              </w:rPr>
            </w:pPr>
            <w:r w:rsidRPr="00F54064">
              <w:rPr>
                <w:rFonts w:cs="Calibri"/>
              </w:rPr>
              <w:t>#</w:t>
            </w:r>
          </w:p>
        </w:tc>
        <w:tc>
          <w:tcPr>
            <w:tcW w:w="1185" w:type="dxa"/>
            <w:tcBorders>
              <w:top w:val="nil"/>
              <w:left w:val="nil"/>
              <w:bottom w:val="nil"/>
              <w:right w:val="nil"/>
            </w:tcBorders>
          </w:tcPr>
          <w:p w14:paraId="25479F96" w14:textId="77777777" w:rsidR="000144FF" w:rsidRPr="00F54064" w:rsidRDefault="000144FF" w:rsidP="007324D0">
            <w:pPr>
              <w:pStyle w:val="TableText"/>
              <w:tabs>
                <w:tab w:val="left" w:pos="3306"/>
              </w:tabs>
              <w:rPr>
                <w:rFonts w:cs="Calibri"/>
              </w:rPr>
            </w:pPr>
          </w:p>
        </w:tc>
        <w:tc>
          <w:tcPr>
            <w:tcW w:w="1185" w:type="dxa"/>
            <w:tcBorders>
              <w:top w:val="nil"/>
              <w:left w:val="nil"/>
              <w:bottom w:val="nil"/>
              <w:right w:val="nil"/>
            </w:tcBorders>
          </w:tcPr>
          <w:p w14:paraId="47C1F3E4" w14:textId="77777777" w:rsidR="000144FF" w:rsidRPr="00F54064" w:rsidRDefault="000144FF" w:rsidP="007324D0">
            <w:pPr>
              <w:pStyle w:val="TableText"/>
              <w:tabs>
                <w:tab w:val="left" w:pos="3306"/>
              </w:tabs>
              <w:rPr>
                <w:rFonts w:cs="Calibri"/>
              </w:rPr>
            </w:pPr>
          </w:p>
        </w:tc>
        <w:tc>
          <w:tcPr>
            <w:tcW w:w="1185" w:type="dxa"/>
            <w:tcBorders>
              <w:top w:val="nil"/>
              <w:left w:val="nil"/>
              <w:bottom w:val="nil"/>
              <w:right w:val="nil"/>
            </w:tcBorders>
          </w:tcPr>
          <w:p w14:paraId="76B646B8" w14:textId="77777777" w:rsidR="000144FF" w:rsidRPr="00F54064" w:rsidRDefault="000144FF" w:rsidP="007324D0">
            <w:pPr>
              <w:pStyle w:val="TableText"/>
              <w:tabs>
                <w:tab w:val="left" w:pos="3306"/>
              </w:tabs>
              <w:rPr>
                <w:rFonts w:cs="Calibri"/>
              </w:rPr>
            </w:pPr>
          </w:p>
        </w:tc>
      </w:tr>
      <w:tr w:rsidR="0081339C" w:rsidRPr="0081339C" w14:paraId="5951A27C" w14:textId="77777777" w:rsidTr="00B66382">
        <w:trPr>
          <w:cantSplit/>
          <w:trHeight w:val="20"/>
        </w:trPr>
        <w:tc>
          <w:tcPr>
            <w:tcW w:w="1613" w:type="dxa"/>
            <w:tcBorders>
              <w:top w:val="nil"/>
              <w:left w:val="single" w:sz="2" w:space="0" w:color="auto"/>
              <w:bottom w:val="nil"/>
              <w:right w:val="single" w:sz="2" w:space="0" w:color="auto"/>
            </w:tcBorders>
          </w:tcPr>
          <w:p w14:paraId="154C21E7" w14:textId="7E209984" w:rsidR="00A856BF" w:rsidRPr="00F54064" w:rsidRDefault="00A856BF" w:rsidP="00B11849">
            <w:pPr>
              <w:pStyle w:val="TableReference"/>
              <w:tabs>
                <w:tab w:val="left" w:pos="3306"/>
              </w:tabs>
              <w:spacing w:beforeLines="20" w:before="48"/>
              <w:rPr>
                <w:rFonts w:cs="Calibri"/>
                <w:color w:val="7030A0"/>
                <w:sz w:val="14"/>
              </w:rPr>
            </w:pPr>
            <w:r w:rsidRPr="00F54064">
              <w:rPr>
                <w:rFonts w:cs="Calibri"/>
                <w:color w:val="7030A0"/>
                <w:sz w:val="14"/>
              </w:rPr>
              <w:t>AASB 15.113(a)</w:t>
            </w:r>
          </w:p>
        </w:tc>
        <w:tc>
          <w:tcPr>
            <w:tcW w:w="4749" w:type="dxa"/>
            <w:tcBorders>
              <w:top w:val="nil"/>
              <w:left w:val="single" w:sz="2" w:space="0" w:color="auto"/>
              <w:bottom w:val="nil"/>
              <w:right w:val="nil"/>
            </w:tcBorders>
            <w:vAlign w:val="bottom"/>
          </w:tcPr>
          <w:p w14:paraId="24BD5E6E" w14:textId="2CB02FA5" w:rsidR="00A856BF" w:rsidRPr="00F54064" w:rsidRDefault="0081339C" w:rsidP="007324D0">
            <w:pPr>
              <w:pStyle w:val="TableText"/>
              <w:tabs>
                <w:tab w:val="left" w:pos="3306"/>
              </w:tabs>
              <w:rPr>
                <w:rFonts w:cs="Calibri"/>
              </w:rPr>
            </w:pPr>
            <w:r w:rsidRPr="00F54064">
              <w:rPr>
                <w:rFonts w:cs="Calibri"/>
              </w:rPr>
              <w:t>S</w:t>
            </w:r>
            <w:r w:rsidR="00BD3FC2" w:rsidRPr="00F54064">
              <w:rPr>
                <w:rFonts w:cs="Calibri"/>
              </w:rPr>
              <w:t>ales of Goods and Services from Contracts with Cust</w:t>
            </w:r>
            <w:r w:rsidR="007324D0" w:rsidRPr="00F54064">
              <w:rPr>
                <w:rFonts w:cs="Calibri"/>
              </w:rPr>
              <w:t>o</w:t>
            </w:r>
            <w:r w:rsidR="00BD3FC2" w:rsidRPr="00F54064">
              <w:rPr>
                <w:rFonts w:cs="Calibri"/>
              </w:rPr>
              <w:t>mers</w:t>
            </w:r>
          </w:p>
        </w:tc>
        <w:tc>
          <w:tcPr>
            <w:tcW w:w="638" w:type="dxa"/>
            <w:tcBorders>
              <w:top w:val="nil"/>
              <w:left w:val="nil"/>
              <w:bottom w:val="nil"/>
              <w:right w:val="nil"/>
            </w:tcBorders>
          </w:tcPr>
          <w:p w14:paraId="0FDC6EB1" w14:textId="42877CE1" w:rsidR="00A856BF" w:rsidRPr="00F54064" w:rsidRDefault="00626E4D" w:rsidP="007324D0">
            <w:pPr>
              <w:pStyle w:val="TableText"/>
              <w:tabs>
                <w:tab w:val="left" w:pos="3306"/>
              </w:tabs>
              <w:jc w:val="center"/>
              <w:rPr>
                <w:rFonts w:cs="Calibri"/>
              </w:rPr>
            </w:pPr>
            <w:r w:rsidRPr="00F54064">
              <w:rPr>
                <w:rFonts w:cs="Calibri"/>
              </w:rPr>
              <w:t>5</w:t>
            </w:r>
          </w:p>
        </w:tc>
        <w:tc>
          <w:tcPr>
            <w:tcW w:w="1185" w:type="dxa"/>
            <w:tcBorders>
              <w:top w:val="nil"/>
              <w:left w:val="nil"/>
              <w:bottom w:val="nil"/>
              <w:right w:val="nil"/>
            </w:tcBorders>
            <w:vAlign w:val="bottom"/>
          </w:tcPr>
          <w:p w14:paraId="168F2FC8" w14:textId="77777777" w:rsidR="00A856BF" w:rsidRPr="00F54064" w:rsidRDefault="00A856BF">
            <w:pPr>
              <w:pStyle w:val="TableText"/>
              <w:tabs>
                <w:tab w:val="left" w:pos="3306"/>
              </w:tabs>
              <w:jc w:val="right"/>
              <w:rPr>
                <w:rFonts w:cs="Calibri"/>
              </w:rPr>
            </w:pPr>
          </w:p>
        </w:tc>
        <w:tc>
          <w:tcPr>
            <w:tcW w:w="1185" w:type="dxa"/>
            <w:tcBorders>
              <w:top w:val="nil"/>
              <w:left w:val="nil"/>
              <w:bottom w:val="nil"/>
              <w:right w:val="nil"/>
            </w:tcBorders>
            <w:vAlign w:val="bottom"/>
          </w:tcPr>
          <w:p w14:paraId="0E28B6F8" w14:textId="77777777" w:rsidR="00A856BF" w:rsidRPr="00F54064" w:rsidRDefault="00A856BF">
            <w:pPr>
              <w:pStyle w:val="TableText"/>
              <w:tabs>
                <w:tab w:val="left" w:pos="3306"/>
              </w:tabs>
              <w:jc w:val="right"/>
              <w:rPr>
                <w:rFonts w:cs="Calibri"/>
              </w:rPr>
            </w:pPr>
          </w:p>
        </w:tc>
        <w:tc>
          <w:tcPr>
            <w:tcW w:w="1185" w:type="dxa"/>
            <w:tcBorders>
              <w:top w:val="nil"/>
              <w:left w:val="nil"/>
              <w:bottom w:val="nil"/>
              <w:right w:val="nil"/>
            </w:tcBorders>
            <w:vAlign w:val="bottom"/>
          </w:tcPr>
          <w:p w14:paraId="4AFFFB1F" w14:textId="77777777" w:rsidR="00A856BF" w:rsidRPr="00F54064" w:rsidRDefault="00A856BF">
            <w:pPr>
              <w:pStyle w:val="TableText"/>
              <w:tabs>
                <w:tab w:val="left" w:pos="3306"/>
              </w:tabs>
              <w:jc w:val="right"/>
              <w:rPr>
                <w:rFonts w:cs="Calibri"/>
              </w:rPr>
            </w:pPr>
          </w:p>
        </w:tc>
      </w:tr>
      <w:tr w:rsidR="0081339C" w:rsidRPr="0081339C" w14:paraId="48D16D55" w14:textId="77777777" w:rsidTr="00B66382">
        <w:trPr>
          <w:cantSplit/>
          <w:trHeight w:val="20"/>
        </w:trPr>
        <w:tc>
          <w:tcPr>
            <w:tcW w:w="1613" w:type="dxa"/>
            <w:tcBorders>
              <w:top w:val="nil"/>
              <w:left w:val="single" w:sz="2" w:space="0" w:color="auto"/>
              <w:bottom w:val="nil"/>
              <w:right w:val="single" w:sz="2" w:space="0" w:color="auto"/>
            </w:tcBorders>
          </w:tcPr>
          <w:p w14:paraId="0656C01D" w14:textId="1E19B7BB" w:rsidR="007324D0" w:rsidRPr="00F54064" w:rsidRDefault="007324D0" w:rsidP="00B11849">
            <w:pPr>
              <w:pStyle w:val="TableReference"/>
              <w:tabs>
                <w:tab w:val="left" w:pos="3306"/>
              </w:tabs>
              <w:spacing w:beforeLines="20" w:before="48"/>
              <w:rPr>
                <w:rFonts w:cs="Calibri"/>
                <w:color w:val="7030A0"/>
                <w:sz w:val="14"/>
              </w:rPr>
            </w:pPr>
            <w:r w:rsidRPr="00F54064">
              <w:rPr>
                <w:rFonts w:cs="Calibri"/>
                <w:color w:val="7030A0"/>
                <w:sz w:val="14"/>
              </w:rPr>
              <w:t xml:space="preserve">AASB </w:t>
            </w:r>
            <w:r w:rsidR="00776995" w:rsidRPr="00F54064">
              <w:rPr>
                <w:rFonts w:cs="Calibri"/>
                <w:color w:val="7030A0"/>
                <w:sz w:val="14"/>
              </w:rPr>
              <w:t>1058.26(a), (b)</w:t>
            </w:r>
          </w:p>
        </w:tc>
        <w:tc>
          <w:tcPr>
            <w:tcW w:w="4749" w:type="dxa"/>
            <w:tcBorders>
              <w:top w:val="nil"/>
              <w:left w:val="single" w:sz="2" w:space="0" w:color="auto"/>
              <w:bottom w:val="nil"/>
              <w:right w:val="nil"/>
            </w:tcBorders>
            <w:vAlign w:val="bottom"/>
          </w:tcPr>
          <w:p w14:paraId="4914D394" w14:textId="204C78B7" w:rsidR="007324D0" w:rsidRPr="00F54064" w:rsidRDefault="00685FDE" w:rsidP="007324D0">
            <w:pPr>
              <w:pStyle w:val="TableText"/>
              <w:tabs>
                <w:tab w:val="left" w:pos="3306"/>
              </w:tabs>
              <w:rPr>
                <w:rFonts w:cs="Calibri"/>
              </w:rPr>
            </w:pPr>
            <w:r w:rsidRPr="00F54064">
              <w:rPr>
                <w:rFonts w:cs="Calibri"/>
              </w:rPr>
              <w:t xml:space="preserve">Grants and </w:t>
            </w:r>
            <w:r w:rsidR="007324D0" w:rsidRPr="00F54064">
              <w:rPr>
                <w:rFonts w:cs="Calibri"/>
              </w:rPr>
              <w:t>Contributions</w:t>
            </w:r>
            <w:r w:rsidR="000E31C1" w:rsidRPr="00F54064">
              <w:rPr>
                <w:rFonts w:cs="Calibri"/>
              </w:rPr>
              <w:t xml:space="preserve"> Revenue</w:t>
            </w:r>
          </w:p>
        </w:tc>
        <w:tc>
          <w:tcPr>
            <w:tcW w:w="638" w:type="dxa"/>
            <w:tcBorders>
              <w:top w:val="nil"/>
              <w:left w:val="nil"/>
              <w:bottom w:val="nil"/>
              <w:right w:val="nil"/>
            </w:tcBorders>
            <w:vAlign w:val="bottom"/>
          </w:tcPr>
          <w:p w14:paraId="3F05B3B3" w14:textId="645E900B" w:rsidR="007324D0" w:rsidRPr="00F54064" w:rsidRDefault="007324D0">
            <w:pPr>
              <w:pStyle w:val="TableText"/>
              <w:tabs>
                <w:tab w:val="left" w:pos="3306"/>
              </w:tabs>
              <w:jc w:val="center"/>
              <w:rPr>
                <w:rFonts w:cs="Calibri"/>
              </w:rPr>
            </w:pPr>
            <w:r w:rsidRPr="00F54064">
              <w:rPr>
                <w:rFonts w:cs="Calibri"/>
              </w:rPr>
              <w:t>6</w:t>
            </w:r>
          </w:p>
        </w:tc>
        <w:tc>
          <w:tcPr>
            <w:tcW w:w="1185" w:type="dxa"/>
            <w:tcBorders>
              <w:top w:val="nil"/>
              <w:left w:val="nil"/>
              <w:bottom w:val="nil"/>
              <w:right w:val="nil"/>
            </w:tcBorders>
            <w:vAlign w:val="bottom"/>
          </w:tcPr>
          <w:p w14:paraId="58CBB92F" w14:textId="77777777" w:rsidR="007324D0" w:rsidRPr="00F54064" w:rsidRDefault="007324D0">
            <w:pPr>
              <w:pStyle w:val="TableText"/>
              <w:tabs>
                <w:tab w:val="left" w:pos="3306"/>
              </w:tabs>
              <w:jc w:val="right"/>
              <w:rPr>
                <w:rFonts w:cs="Calibri"/>
              </w:rPr>
            </w:pPr>
          </w:p>
        </w:tc>
        <w:tc>
          <w:tcPr>
            <w:tcW w:w="1185" w:type="dxa"/>
            <w:tcBorders>
              <w:top w:val="nil"/>
              <w:left w:val="nil"/>
              <w:bottom w:val="nil"/>
              <w:right w:val="nil"/>
            </w:tcBorders>
            <w:vAlign w:val="bottom"/>
          </w:tcPr>
          <w:p w14:paraId="1A8C3424" w14:textId="77777777" w:rsidR="007324D0" w:rsidRPr="00F54064" w:rsidRDefault="007324D0">
            <w:pPr>
              <w:pStyle w:val="TableText"/>
              <w:tabs>
                <w:tab w:val="left" w:pos="3306"/>
              </w:tabs>
              <w:jc w:val="right"/>
              <w:rPr>
                <w:rFonts w:cs="Calibri"/>
              </w:rPr>
            </w:pPr>
          </w:p>
        </w:tc>
        <w:tc>
          <w:tcPr>
            <w:tcW w:w="1185" w:type="dxa"/>
            <w:tcBorders>
              <w:top w:val="nil"/>
              <w:left w:val="nil"/>
              <w:bottom w:val="nil"/>
              <w:right w:val="nil"/>
            </w:tcBorders>
            <w:vAlign w:val="bottom"/>
          </w:tcPr>
          <w:p w14:paraId="0FB90A6B" w14:textId="77777777" w:rsidR="007324D0" w:rsidRPr="00F54064" w:rsidRDefault="007324D0">
            <w:pPr>
              <w:pStyle w:val="TableText"/>
              <w:tabs>
                <w:tab w:val="left" w:pos="3306"/>
              </w:tabs>
              <w:jc w:val="right"/>
              <w:rPr>
                <w:rFonts w:cs="Calibri"/>
              </w:rPr>
            </w:pPr>
          </w:p>
        </w:tc>
      </w:tr>
      <w:tr w:rsidR="0081339C" w:rsidRPr="0081339C" w14:paraId="721A101C" w14:textId="77777777" w:rsidTr="00B66382">
        <w:trPr>
          <w:cantSplit/>
          <w:trHeight w:val="20"/>
        </w:trPr>
        <w:tc>
          <w:tcPr>
            <w:tcW w:w="1613" w:type="dxa"/>
            <w:tcBorders>
              <w:top w:val="nil"/>
              <w:left w:val="single" w:sz="2" w:space="0" w:color="auto"/>
              <w:bottom w:val="nil"/>
              <w:right w:val="single" w:sz="2" w:space="0" w:color="auto"/>
            </w:tcBorders>
          </w:tcPr>
          <w:p w14:paraId="2BD3612A" w14:textId="77777777" w:rsidR="00FA3858" w:rsidRPr="00F54064" w:rsidRDefault="002B1352" w:rsidP="00B11849">
            <w:pPr>
              <w:pStyle w:val="TableReference"/>
              <w:tabs>
                <w:tab w:val="left" w:pos="3306"/>
              </w:tabs>
              <w:spacing w:beforeLines="20" w:before="48"/>
              <w:rPr>
                <w:rFonts w:cs="Calibri"/>
                <w:color w:val="7030A0"/>
                <w:sz w:val="14"/>
              </w:rPr>
            </w:pPr>
            <w:r w:rsidRPr="00F54064">
              <w:rPr>
                <w:rFonts w:cs="Calibri"/>
                <w:color w:val="7030A0"/>
                <w:sz w:val="14"/>
              </w:rPr>
              <w:t xml:space="preserve">AASB </w:t>
            </w:r>
            <w:r w:rsidR="000144FF" w:rsidRPr="00F54064">
              <w:rPr>
                <w:rFonts w:cs="Calibri"/>
                <w:color w:val="7030A0"/>
                <w:sz w:val="14"/>
              </w:rPr>
              <w:t>118</w:t>
            </w:r>
            <w:r w:rsidR="00D65811" w:rsidRPr="00F54064">
              <w:rPr>
                <w:rFonts w:cs="Calibri"/>
                <w:color w:val="7030A0"/>
                <w:sz w:val="14"/>
              </w:rPr>
              <w:t>.</w:t>
            </w:r>
            <w:r w:rsidR="00D001B7" w:rsidRPr="00F54064">
              <w:rPr>
                <w:rFonts w:cs="Calibri"/>
                <w:color w:val="7030A0"/>
                <w:sz w:val="14"/>
              </w:rPr>
              <w:t>35</w:t>
            </w:r>
            <w:r w:rsidR="000144FF" w:rsidRPr="00F54064">
              <w:rPr>
                <w:rFonts w:cs="Calibri"/>
                <w:color w:val="7030A0"/>
                <w:sz w:val="14"/>
              </w:rPr>
              <w:t>(b)(iii)</w:t>
            </w:r>
            <w:r w:rsidR="00FA3858" w:rsidRPr="00F54064">
              <w:rPr>
                <w:rFonts w:cs="Calibri"/>
                <w:color w:val="7030A0"/>
                <w:sz w:val="14"/>
              </w:rPr>
              <w:t>,</w:t>
            </w:r>
          </w:p>
          <w:p w14:paraId="6743543C" w14:textId="77777777" w:rsidR="000144FF" w:rsidRPr="00F54064" w:rsidRDefault="002E0647" w:rsidP="00B11849">
            <w:pPr>
              <w:pStyle w:val="TableReference"/>
              <w:tabs>
                <w:tab w:val="left" w:pos="3306"/>
              </w:tabs>
              <w:spacing w:beforeLines="20" w:before="48"/>
              <w:rPr>
                <w:rFonts w:cs="Calibri"/>
                <w:color w:val="7030A0"/>
                <w:sz w:val="14"/>
              </w:rPr>
            </w:pPr>
            <w:r w:rsidRPr="00F54064">
              <w:rPr>
                <w:rFonts w:cs="Calibri"/>
                <w:color w:val="7030A0"/>
                <w:sz w:val="14"/>
              </w:rPr>
              <w:t>101.82(a</w:t>
            </w:r>
            <w:r w:rsidR="00FA3858" w:rsidRPr="00F54064">
              <w:rPr>
                <w:rFonts w:cs="Calibri"/>
                <w:color w:val="7030A0"/>
                <w:sz w:val="14"/>
              </w:rPr>
              <w:t>)</w:t>
            </w:r>
            <w:r w:rsidRPr="00F54064">
              <w:rPr>
                <w:rFonts w:cs="Calibri"/>
                <w:color w:val="7030A0"/>
                <w:sz w:val="14"/>
              </w:rPr>
              <w:t>)</w:t>
            </w:r>
          </w:p>
        </w:tc>
        <w:tc>
          <w:tcPr>
            <w:tcW w:w="4749" w:type="dxa"/>
            <w:tcBorders>
              <w:top w:val="nil"/>
              <w:left w:val="single" w:sz="2" w:space="0" w:color="auto"/>
              <w:bottom w:val="nil"/>
              <w:right w:val="nil"/>
            </w:tcBorders>
          </w:tcPr>
          <w:p w14:paraId="1D0362AE" w14:textId="2578BF78" w:rsidR="00E15E42" w:rsidRPr="00F54064" w:rsidRDefault="007324D0" w:rsidP="007324D0">
            <w:pPr>
              <w:pStyle w:val="TableText"/>
              <w:tabs>
                <w:tab w:val="left" w:pos="3306"/>
              </w:tabs>
              <w:rPr>
                <w:rFonts w:cs="Calibri"/>
              </w:rPr>
            </w:pPr>
            <w:r w:rsidRPr="00F54064">
              <w:rPr>
                <w:rFonts w:cs="Calibri"/>
              </w:rPr>
              <w:t>Investment Revenue</w:t>
            </w:r>
          </w:p>
        </w:tc>
        <w:tc>
          <w:tcPr>
            <w:tcW w:w="638" w:type="dxa"/>
            <w:tcBorders>
              <w:top w:val="nil"/>
              <w:left w:val="nil"/>
              <w:bottom w:val="nil"/>
              <w:right w:val="nil"/>
            </w:tcBorders>
          </w:tcPr>
          <w:p w14:paraId="25ED81BB" w14:textId="1BA7C400" w:rsidR="000144FF" w:rsidRPr="00F54064" w:rsidRDefault="007324D0" w:rsidP="007324D0">
            <w:pPr>
              <w:pStyle w:val="TableText"/>
              <w:tabs>
                <w:tab w:val="left" w:pos="3306"/>
              </w:tabs>
              <w:jc w:val="center"/>
              <w:rPr>
                <w:rFonts w:cs="Calibri"/>
              </w:rPr>
            </w:pPr>
            <w:r w:rsidRPr="00F54064">
              <w:rPr>
                <w:rFonts w:cs="Calibri"/>
              </w:rPr>
              <w:t>7</w:t>
            </w:r>
          </w:p>
        </w:tc>
        <w:tc>
          <w:tcPr>
            <w:tcW w:w="1185" w:type="dxa"/>
            <w:tcBorders>
              <w:top w:val="nil"/>
              <w:left w:val="nil"/>
              <w:bottom w:val="nil"/>
              <w:right w:val="nil"/>
            </w:tcBorders>
            <w:vAlign w:val="bottom"/>
          </w:tcPr>
          <w:p w14:paraId="2396B894"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6833D0D7" w14:textId="77777777" w:rsidR="000144FF" w:rsidRPr="00F54064" w:rsidRDefault="000144FF" w:rsidP="00C33129">
            <w:pPr>
              <w:pStyle w:val="TableText"/>
              <w:tabs>
                <w:tab w:val="left" w:pos="3306"/>
              </w:tabs>
              <w:jc w:val="right"/>
              <w:rPr>
                <w:rFonts w:cs="Calibri"/>
              </w:rPr>
            </w:pPr>
          </w:p>
        </w:tc>
        <w:tc>
          <w:tcPr>
            <w:tcW w:w="1185" w:type="dxa"/>
            <w:tcBorders>
              <w:top w:val="nil"/>
              <w:left w:val="nil"/>
              <w:bottom w:val="nil"/>
              <w:right w:val="nil"/>
            </w:tcBorders>
            <w:vAlign w:val="bottom"/>
          </w:tcPr>
          <w:p w14:paraId="26DFC876" w14:textId="77777777" w:rsidR="000144FF" w:rsidRPr="00F54064" w:rsidRDefault="000144FF" w:rsidP="00EF4028">
            <w:pPr>
              <w:pStyle w:val="TableText"/>
              <w:tabs>
                <w:tab w:val="left" w:pos="3306"/>
              </w:tabs>
              <w:jc w:val="right"/>
              <w:rPr>
                <w:rFonts w:cs="Calibri"/>
              </w:rPr>
            </w:pPr>
          </w:p>
        </w:tc>
      </w:tr>
      <w:tr w:rsidR="00D41506" w:rsidRPr="00CF7E1B" w14:paraId="56848B4B" w14:textId="77777777" w:rsidTr="00B66382">
        <w:trPr>
          <w:cantSplit/>
          <w:trHeight w:val="20"/>
        </w:trPr>
        <w:tc>
          <w:tcPr>
            <w:tcW w:w="1613" w:type="dxa"/>
            <w:tcBorders>
              <w:top w:val="nil"/>
              <w:left w:val="single" w:sz="2" w:space="0" w:color="auto"/>
              <w:bottom w:val="nil"/>
              <w:right w:val="single" w:sz="2" w:space="0" w:color="auto"/>
            </w:tcBorders>
          </w:tcPr>
          <w:p w14:paraId="4CBED5AE" w14:textId="134B6D47" w:rsidR="00D41506" w:rsidRPr="00F54064" w:rsidRDefault="00D41506" w:rsidP="00B11849">
            <w:pPr>
              <w:pStyle w:val="TableReference"/>
              <w:tabs>
                <w:tab w:val="left" w:pos="3306"/>
              </w:tabs>
              <w:spacing w:beforeLines="20" w:before="48"/>
              <w:rPr>
                <w:rFonts w:cs="Calibri"/>
                <w:color w:val="7030A0"/>
                <w:sz w:val="14"/>
              </w:rPr>
            </w:pPr>
            <w:r w:rsidRPr="00F54064">
              <w:rPr>
                <w:color w:val="7030A0"/>
                <w:sz w:val="14"/>
              </w:rPr>
              <w:t>AASB 101 para 82</w:t>
            </w:r>
          </w:p>
        </w:tc>
        <w:tc>
          <w:tcPr>
            <w:tcW w:w="4749" w:type="dxa"/>
            <w:tcBorders>
              <w:top w:val="nil"/>
              <w:left w:val="single" w:sz="2" w:space="0" w:color="auto"/>
              <w:bottom w:val="nil"/>
              <w:right w:val="nil"/>
            </w:tcBorders>
            <w:vAlign w:val="bottom"/>
          </w:tcPr>
          <w:p w14:paraId="50185B76" w14:textId="3EF57410" w:rsidR="00D41506" w:rsidRPr="00F54064" w:rsidRDefault="00D41506">
            <w:pPr>
              <w:pStyle w:val="TableText"/>
              <w:tabs>
                <w:tab w:val="left" w:pos="3306"/>
              </w:tabs>
              <w:rPr>
                <w:rFonts w:cs="Calibri"/>
              </w:rPr>
            </w:pPr>
            <w:r w:rsidRPr="00F54064">
              <w:rPr>
                <w:rFonts w:cs="Calibri"/>
              </w:rPr>
              <w:t>Interest Revenue</w:t>
            </w:r>
          </w:p>
        </w:tc>
        <w:tc>
          <w:tcPr>
            <w:tcW w:w="638" w:type="dxa"/>
            <w:tcBorders>
              <w:top w:val="nil"/>
              <w:left w:val="nil"/>
              <w:bottom w:val="nil"/>
              <w:right w:val="nil"/>
            </w:tcBorders>
            <w:vAlign w:val="bottom"/>
          </w:tcPr>
          <w:p w14:paraId="5179A33F" w14:textId="6972514B" w:rsidR="00D41506" w:rsidRPr="00F54064" w:rsidRDefault="00D41506">
            <w:pPr>
              <w:pStyle w:val="TableText"/>
              <w:tabs>
                <w:tab w:val="left" w:pos="3306"/>
              </w:tabs>
              <w:jc w:val="center"/>
              <w:rPr>
                <w:rFonts w:cs="Calibri"/>
              </w:rPr>
            </w:pPr>
            <w:r w:rsidRPr="00F54064">
              <w:rPr>
                <w:rFonts w:cs="Calibri"/>
              </w:rPr>
              <w:t>7</w:t>
            </w:r>
          </w:p>
        </w:tc>
        <w:tc>
          <w:tcPr>
            <w:tcW w:w="1185" w:type="dxa"/>
            <w:tcBorders>
              <w:top w:val="nil"/>
              <w:left w:val="nil"/>
              <w:bottom w:val="nil"/>
              <w:right w:val="nil"/>
            </w:tcBorders>
            <w:vAlign w:val="bottom"/>
          </w:tcPr>
          <w:p w14:paraId="42787882" w14:textId="77777777" w:rsidR="00D41506" w:rsidRPr="00F54064" w:rsidRDefault="00D41506">
            <w:pPr>
              <w:pStyle w:val="TableText"/>
              <w:tabs>
                <w:tab w:val="left" w:pos="3306"/>
              </w:tabs>
              <w:jc w:val="right"/>
              <w:rPr>
                <w:rFonts w:cs="Calibri"/>
              </w:rPr>
            </w:pPr>
          </w:p>
        </w:tc>
        <w:tc>
          <w:tcPr>
            <w:tcW w:w="1185" w:type="dxa"/>
            <w:tcBorders>
              <w:top w:val="nil"/>
              <w:left w:val="nil"/>
              <w:bottom w:val="nil"/>
              <w:right w:val="nil"/>
            </w:tcBorders>
            <w:vAlign w:val="bottom"/>
          </w:tcPr>
          <w:p w14:paraId="22B3FE27" w14:textId="77777777" w:rsidR="00D41506" w:rsidRPr="00F54064" w:rsidRDefault="00D41506">
            <w:pPr>
              <w:pStyle w:val="TableText"/>
              <w:tabs>
                <w:tab w:val="left" w:pos="3306"/>
              </w:tabs>
              <w:jc w:val="right"/>
              <w:rPr>
                <w:rFonts w:cs="Calibri"/>
              </w:rPr>
            </w:pPr>
          </w:p>
        </w:tc>
        <w:tc>
          <w:tcPr>
            <w:tcW w:w="1185" w:type="dxa"/>
            <w:tcBorders>
              <w:top w:val="nil"/>
              <w:left w:val="nil"/>
              <w:bottom w:val="nil"/>
              <w:right w:val="nil"/>
            </w:tcBorders>
            <w:vAlign w:val="bottom"/>
          </w:tcPr>
          <w:p w14:paraId="6E29D95C" w14:textId="77777777" w:rsidR="00D41506" w:rsidRPr="00F54064" w:rsidRDefault="00D41506">
            <w:pPr>
              <w:pStyle w:val="TableText"/>
              <w:tabs>
                <w:tab w:val="left" w:pos="3306"/>
              </w:tabs>
              <w:jc w:val="right"/>
              <w:rPr>
                <w:rFonts w:cs="Calibri"/>
              </w:rPr>
            </w:pPr>
          </w:p>
        </w:tc>
      </w:tr>
      <w:tr w:rsidR="000144FF" w:rsidRPr="00CF7E1B" w14:paraId="67CAE8AA" w14:textId="77777777" w:rsidTr="00B66382">
        <w:trPr>
          <w:cantSplit/>
          <w:trHeight w:val="20"/>
        </w:trPr>
        <w:tc>
          <w:tcPr>
            <w:tcW w:w="1613" w:type="dxa"/>
            <w:tcBorders>
              <w:top w:val="nil"/>
              <w:left w:val="single" w:sz="2" w:space="0" w:color="auto"/>
              <w:bottom w:val="nil"/>
              <w:right w:val="single" w:sz="2" w:space="0" w:color="auto"/>
            </w:tcBorders>
          </w:tcPr>
          <w:p w14:paraId="3C683C7F"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5</w:t>
            </w:r>
          </w:p>
        </w:tc>
        <w:tc>
          <w:tcPr>
            <w:tcW w:w="4749" w:type="dxa"/>
            <w:tcBorders>
              <w:top w:val="nil"/>
              <w:left w:val="single" w:sz="2" w:space="0" w:color="auto"/>
              <w:bottom w:val="nil"/>
              <w:right w:val="nil"/>
            </w:tcBorders>
            <w:vAlign w:val="bottom"/>
          </w:tcPr>
          <w:p w14:paraId="05E5B9D1" w14:textId="77777777" w:rsidR="000144FF" w:rsidRPr="00F54064" w:rsidRDefault="000144FF">
            <w:pPr>
              <w:pStyle w:val="TableText"/>
              <w:tabs>
                <w:tab w:val="left" w:pos="3306"/>
              </w:tabs>
              <w:rPr>
                <w:rFonts w:cs="Calibri"/>
              </w:rPr>
            </w:pPr>
            <w:r w:rsidRPr="00F54064">
              <w:rPr>
                <w:rFonts w:cs="Calibri"/>
              </w:rPr>
              <w:t>Other Revenue</w:t>
            </w:r>
          </w:p>
        </w:tc>
        <w:tc>
          <w:tcPr>
            <w:tcW w:w="638" w:type="dxa"/>
            <w:tcBorders>
              <w:top w:val="nil"/>
              <w:left w:val="nil"/>
              <w:bottom w:val="nil"/>
              <w:right w:val="nil"/>
            </w:tcBorders>
            <w:vAlign w:val="bottom"/>
          </w:tcPr>
          <w:p w14:paraId="59164D0F" w14:textId="4472B9FA" w:rsidR="000144FF" w:rsidRPr="00F54064" w:rsidRDefault="00A8656F">
            <w:pPr>
              <w:pStyle w:val="TableText"/>
              <w:tabs>
                <w:tab w:val="left" w:pos="3306"/>
              </w:tabs>
              <w:jc w:val="center"/>
              <w:rPr>
                <w:rFonts w:cs="Calibri"/>
                <w:highlight w:val="cyan"/>
              </w:rPr>
            </w:pPr>
            <w:r w:rsidRPr="00F54064">
              <w:rPr>
                <w:rFonts w:cs="Calibri"/>
              </w:rPr>
              <w:t>9</w:t>
            </w:r>
          </w:p>
        </w:tc>
        <w:tc>
          <w:tcPr>
            <w:tcW w:w="1185" w:type="dxa"/>
            <w:tcBorders>
              <w:top w:val="nil"/>
              <w:left w:val="nil"/>
              <w:bottom w:val="nil"/>
              <w:right w:val="nil"/>
            </w:tcBorders>
            <w:vAlign w:val="bottom"/>
          </w:tcPr>
          <w:p w14:paraId="479712E3"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9BC7186"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1D5BDA1A" w14:textId="77777777" w:rsidR="000144FF" w:rsidRPr="00F54064" w:rsidRDefault="000144FF">
            <w:pPr>
              <w:pStyle w:val="TableText"/>
              <w:tabs>
                <w:tab w:val="left" w:pos="3306"/>
              </w:tabs>
              <w:jc w:val="right"/>
              <w:rPr>
                <w:rFonts w:cs="Calibri"/>
              </w:rPr>
            </w:pPr>
          </w:p>
        </w:tc>
      </w:tr>
      <w:tr w:rsidR="000144FF" w:rsidRPr="00CF7E1B" w14:paraId="28C27FFA" w14:textId="77777777" w:rsidTr="00B66382">
        <w:trPr>
          <w:cantSplit/>
          <w:trHeight w:val="20"/>
        </w:trPr>
        <w:tc>
          <w:tcPr>
            <w:tcW w:w="1613" w:type="dxa"/>
            <w:tcBorders>
              <w:top w:val="nil"/>
              <w:left w:val="single" w:sz="2" w:space="0" w:color="auto"/>
              <w:bottom w:val="nil"/>
              <w:right w:val="single" w:sz="2" w:space="0" w:color="auto"/>
            </w:tcBorders>
          </w:tcPr>
          <w:p w14:paraId="6E4CBE10"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2</w:t>
            </w:r>
            <w:r w:rsidRPr="00F54064">
              <w:rPr>
                <w:rFonts w:cs="Calibri"/>
                <w:color w:val="7030A0"/>
                <w:sz w:val="14"/>
              </w:rPr>
              <w:t>(a)</w:t>
            </w:r>
          </w:p>
        </w:tc>
        <w:tc>
          <w:tcPr>
            <w:tcW w:w="4749" w:type="dxa"/>
            <w:tcBorders>
              <w:top w:val="nil"/>
              <w:left w:val="single" w:sz="2" w:space="0" w:color="auto"/>
              <w:bottom w:val="nil"/>
              <w:right w:val="nil"/>
            </w:tcBorders>
            <w:vAlign w:val="bottom"/>
          </w:tcPr>
          <w:p w14:paraId="112452C4" w14:textId="77777777" w:rsidR="000144FF" w:rsidRPr="00F54064" w:rsidRDefault="000144FF">
            <w:pPr>
              <w:pStyle w:val="TableText"/>
              <w:tabs>
                <w:tab w:val="left" w:pos="3306"/>
              </w:tabs>
              <w:rPr>
                <w:rFonts w:cs="Calibri"/>
                <w:i/>
                <w:iCs/>
              </w:rPr>
            </w:pPr>
            <w:r w:rsidRPr="00F54064">
              <w:rPr>
                <w:rFonts w:cs="Calibri"/>
                <w:i/>
                <w:iCs/>
              </w:rPr>
              <w:t>Total Revenue</w:t>
            </w:r>
          </w:p>
        </w:tc>
        <w:tc>
          <w:tcPr>
            <w:tcW w:w="638" w:type="dxa"/>
            <w:tcBorders>
              <w:top w:val="nil"/>
              <w:left w:val="nil"/>
              <w:bottom w:val="nil"/>
              <w:right w:val="nil"/>
            </w:tcBorders>
            <w:vAlign w:val="bottom"/>
          </w:tcPr>
          <w:p w14:paraId="3987F2DC" w14:textId="77777777" w:rsidR="000144FF" w:rsidRPr="00F54064" w:rsidRDefault="000144FF">
            <w:pPr>
              <w:pStyle w:val="TableText"/>
              <w:tabs>
                <w:tab w:val="left" w:pos="3306"/>
              </w:tabs>
              <w:jc w:val="center"/>
              <w:rPr>
                <w:rFonts w:cs="Calibri"/>
                <w:highlight w:val="cyan"/>
              </w:rPr>
            </w:pPr>
          </w:p>
        </w:tc>
        <w:tc>
          <w:tcPr>
            <w:tcW w:w="1185" w:type="dxa"/>
            <w:tcBorders>
              <w:top w:val="nil"/>
              <w:left w:val="nil"/>
              <w:bottom w:val="nil"/>
              <w:right w:val="nil"/>
            </w:tcBorders>
            <w:vAlign w:val="bottom"/>
          </w:tcPr>
          <w:p w14:paraId="2F7CAA9B"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CA9B720"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5E33704" w14:textId="77777777" w:rsidR="000144FF" w:rsidRPr="00F54064" w:rsidRDefault="000144FF">
            <w:pPr>
              <w:pStyle w:val="TableText"/>
              <w:tabs>
                <w:tab w:val="left" w:pos="3306"/>
              </w:tabs>
              <w:jc w:val="right"/>
              <w:rPr>
                <w:rFonts w:cs="Calibri"/>
              </w:rPr>
            </w:pPr>
          </w:p>
        </w:tc>
      </w:tr>
      <w:tr w:rsidR="000144FF" w:rsidRPr="00CF7E1B" w14:paraId="6A9850B5" w14:textId="77777777" w:rsidTr="00B66382">
        <w:trPr>
          <w:cantSplit/>
          <w:trHeight w:val="20"/>
        </w:trPr>
        <w:tc>
          <w:tcPr>
            <w:tcW w:w="1613" w:type="dxa"/>
            <w:tcBorders>
              <w:top w:val="nil"/>
              <w:left w:val="single" w:sz="2" w:space="0" w:color="auto"/>
              <w:bottom w:val="nil"/>
              <w:right w:val="single" w:sz="2" w:space="0" w:color="auto"/>
            </w:tcBorders>
          </w:tcPr>
          <w:p w14:paraId="4B27EEE1"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5</w:t>
            </w:r>
          </w:p>
          <w:p w14:paraId="5603FD29"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D001B7" w:rsidRPr="00F54064">
              <w:rPr>
                <w:rFonts w:cs="Calibri"/>
                <w:color w:val="7030A0"/>
                <w:sz w:val="14"/>
              </w:rPr>
              <w:t>34</w:t>
            </w:r>
            <w:r w:rsidRPr="00F54064">
              <w:rPr>
                <w:rFonts w:cs="Calibri"/>
                <w:color w:val="7030A0"/>
                <w:sz w:val="14"/>
              </w:rPr>
              <w:t>(a)</w:t>
            </w:r>
          </w:p>
        </w:tc>
        <w:tc>
          <w:tcPr>
            <w:tcW w:w="4749" w:type="dxa"/>
            <w:tcBorders>
              <w:top w:val="nil"/>
              <w:left w:val="single" w:sz="2" w:space="0" w:color="auto"/>
              <w:bottom w:val="nil"/>
              <w:right w:val="nil"/>
            </w:tcBorders>
            <w:vAlign w:val="bottom"/>
          </w:tcPr>
          <w:p w14:paraId="7213FC69" w14:textId="77777777" w:rsidR="000144FF" w:rsidRPr="00F54064" w:rsidRDefault="000144FF" w:rsidP="00A8656F">
            <w:pPr>
              <w:pStyle w:val="TableText"/>
              <w:tabs>
                <w:tab w:val="left" w:pos="3306"/>
              </w:tabs>
              <w:rPr>
                <w:rFonts w:cs="Calibri"/>
                <w:i/>
                <w:iCs/>
              </w:rPr>
            </w:pPr>
            <w:r w:rsidRPr="00F54064">
              <w:rPr>
                <w:rFonts w:cs="Calibri"/>
                <w:i/>
                <w:iCs/>
              </w:rPr>
              <w:t>Gains</w:t>
            </w:r>
          </w:p>
        </w:tc>
        <w:tc>
          <w:tcPr>
            <w:tcW w:w="638" w:type="dxa"/>
            <w:tcBorders>
              <w:top w:val="nil"/>
              <w:left w:val="nil"/>
              <w:bottom w:val="nil"/>
              <w:right w:val="nil"/>
            </w:tcBorders>
            <w:vAlign w:val="center"/>
          </w:tcPr>
          <w:p w14:paraId="03C74547"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center"/>
          </w:tcPr>
          <w:p w14:paraId="0EB97576" w14:textId="77777777" w:rsidR="000144FF" w:rsidRPr="00F54064" w:rsidRDefault="000144FF">
            <w:pPr>
              <w:pStyle w:val="TableText"/>
              <w:tabs>
                <w:tab w:val="left" w:pos="3306"/>
              </w:tabs>
              <w:jc w:val="right"/>
              <w:rPr>
                <w:rFonts w:cs="Calibri"/>
                <w:b/>
                <w:bCs/>
              </w:rPr>
            </w:pPr>
          </w:p>
        </w:tc>
        <w:tc>
          <w:tcPr>
            <w:tcW w:w="1185" w:type="dxa"/>
            <w:tcBorders>
              <w:top w:val="nil"/>
              <w:left w:val="nil"/>
              <w:bottom w:val="nil"/>
              <w:right w:val="nil"/>
            </w:tcBorders>
            <w:vAlign w:val="center"/>
          </w:tcPr>
          <w:p w14:paraId="7BDBD9F9" w14:textId="77777777" w:rsidR="000144FF" w:rsidRPr="00F54064" w:rsidRDefault="000144FF">
            <w:pPr>
              <w:pStyle w:val="TableText"/>
              <w:tabs>
                <w:tab w:val="left" w:pos="3306"/>
              </w:tabs>
              <w:jc w:val="right"/>
              <w:rPr>
                <w:rFonts w:cs="Calibri"/>
                <w:b/>
                <w:bCs/>
              </w:rPr>
            </w:pPr>
          </w:p>
        </w:tc>
        <w:tc>
          <w:tcPr>
            <w:tcW w:w="1185" w:type="dxa"/>
            <w:tcBorders>
              <w:top w:val="nil"/>
              <w:left w:val="nil"/>
              <w:bottom w:val="nil"/>
              <w:right w:val="nil"/>
            </w:tcBorders>
            <w:vAlign w:val="center"/>
          </w:tcPr>
          <w:p w14:paraId="3C4628CF" w14:textId="77777777" w:rsidR="000144FF" w:rsidRPr="00F54064" w:rsidRDefault="000144FF">
            <w:pPr>
              <w:pStyle w:val="TableText"/>
              <w:tabs>
                <w:tab w:val="left" w:pos="3306"/>
              </w:tabs>
              <w:jc w:val="right"/>
              <w:rPr>
                <w:rFonts w:cs="Calibri"/>
                <w:b/>
                <w:bCs/>
              </w:rPr>
            </w:pPr>
          </w:p>
        </w:tc>
      </w:tr>
      <w:tr w:rsidR="007324D0" w:rsidRPr="00CF7E1B" w14:paraId="31AC3449" w14:textId="77777777" w:rsidTr="00B66382">
        <w:trPr>
          <w:cantSplit/>
          <w:trHeight w:val="20"/>
        </w:trPr>
        <w:tc>
          <w:tcPr>
            <w:tcW w:w="1613" w:type="dxa"/>
            <w:tcBorders>
              <w:top w:val="nil"/>
              <w:left w:val="single" w:sz="2" w:space="0" w:color="auto"/>
              <w:bottom w:val="nil"/>
              <w:right w:val="single" w:sz="2" w:space="0" w:color="auto"/>
            </w:tcBorders>
          </w:tcPr>
          <w:p w14:paraId="054FEFCA" w14:textId="2EA8E934" w:rsidR="007324D0" w:rsidRPr="00F54064" w:rsidRDefault="00776995" w:rsidP="00B11849">
            <w:pPr>
              <w:pStyle w:val="TableReference"/>
              <w:tabs>
                <w:tab w:val="left" w:pos="3306"/>
              </w:tabs>
              <w:spacing w:beforeLines="20" w:before="48"/>
              <w:rPr>
                <w:rFonts w:cs="Calibri"/>
                <w:color w:val="7030A0"/>
                <w:sz w:val="14"/>
              </w:rPr>
            </w:pPr>
            <w:r w:rsidRPr="00F54064">
              <w:rPr>
                <w:rFonts w:cs="Calibri"/>
                <w:color w:val="7030A0"/>
                <w:sz w:val="14"/>
              </w:rPr>
              <w:t>AASB 101.98(c),(d)</w:t>
            </w:r>
          </w:p>
        </w:tc>
        <w:tc>
          <w:tcPr>
            <w:tcW w:w="4749" w:type="dxa"/>
            <w:tcBorders>
              <w:top w:val="nil"/>
              <w:left w:val="single" w:sz="2" w:space="0" w:color="auto"/>
              <w:bottom w:val="nil"/>
              <w:right w:val="nil"/>
            </w:tcBorders>
          </w:tcPr>
          <w:p w14:paraId="66AEC4F7" w14:textId="40DDA2FD" w:rsidR="007324D0" w:rsidRPr="00F54064" w:rsidRDefault="007324D0" w:rsidP="007324D0">
            <w:pPr>
              <w:pStyle w:val="TableText"/>
              <w:tabs>
                <w:tab w:val="left" w:pos="3306"/>
              </w:tabs>
              <w:rPr>
                <w:rFonts w:cs="Calibri"/>
                <w:iCs/>
              </w:rPr>
            </w:pPr>
            <w:r w:rsidRPr="00F54064">
              <w:rPr>
                <w:rFonts w:cs="Calibri"/>
                <w:iCs/>
              </w:rPr>
              <w:t>Gains from Disposal, Derecognition and Remeasurement o</w:t>
            </w:r>
            <w:r w:rsidR="006D72D1" w:rsidRPr="00F54064">
              <w:rPr>
                <w:rFonts w:cs="Calibri"/>
                <w:iCs/>
              </w:rPr>
              <w:t>f</w:t>
            </w:r>
            <w:r w:rsidRPr="00F54064">
              <w:rPr>
                <w:rFonts w:cs="Calibri"/>
                <w:iCs/>
              </w:rPr>
              <w:t xml:space="preserve"> Assets</w:t>
            </w:r>
          </w:p>
        </w:tc>
        <w:tc>
          <w:tcPr>
            <w:tcW w:w="638" w:type="dxa"/>
            <w:tcBorders>
              <w:top w:val="nil"/>
              <w:left w:val="nil"/>
              <w:bottom w:val="nil"/>
              <w:right w:val="nil"/>
            </w:tcBorders>
          </w:tcPr>
          <w:p w14:paraId="59C7147E" w14:textId="00557DB9" w:rsidR="007324D0" w:rsidRPr="00F54064" w:rsidRDefault="003C048F" w:rsidP="007324D0">
            <w:pPr>
              <w:pStyle w:val="TableText"/>
              <w:tabs>
                <w:tab w:val="left" w:pos="3306"/>
              </w:tabs>
              <w:jc w:val="center"/>
              <w:rPr>
                <w:rFonts w:cs="Calibri"/>
              </w:rPr>
            </w:pPr>
            <w:r w:rsidRPr="00F54064">
              <w:rPr>
                <w:rFonts w:cs="Calibri"/>
              </w:rPr>
              <w:t>8</w:t>
            </w:r>
          </w:p>
        </w:tc>
        <w:tc>
          <w:tcPr>
            <w:tcW w:w="1185" w:type="dxa"/>
            <w:tcBorders>
              <w:top w:val="nil"/>
              <w:left w:val="nil"/>
              <w:bottom w:val="nil"/>
              <w:right w:val="nil"/>
            </w:tcBorders>
            <w:vAlign w:val="center"/>
          </w:tcPr>
          <w:p w14:paraId="4569FAAB" w14:textId="77777777" w:rsidR="007324D0" w:rsidRPr="00F54064" w:rsidRDefault="007324D0">
            <w:pPr>
              <w:pStyle w:val="TableText"/>
              <w:tabs>
                <w:tab w:val="left" w:pos="3306"/>
              </w:tabs>
              <w:jc w:val="right"/>
              <w:rPr>
                <w:rFonts w:cs="Calibri"/>
                <w:b/>
                <w:bCs/>
              </w:rPr>
            </w:pPr>
          </w:p>
        </w:tc>
        <w:tc>
          <w:tcPr>
            <w:tcW w:w="1185" w:type="dxa"/>
            <w:tcBorders>
              <w:top w:val="nil"/>
              <w:left w:val="nil"/>
              <w:bottom w:val="nil"/>
              <w:right w:val="nil"/>
            </w:tcBorders>
            <w:vAlign w:val="center"/>
          </w:tcPr>
          <w:p w14:paraId="0DC2443F" w14:textId="77777777" w:rsidR="007324D0" w:rsidRPr="00F54064" w:rsidRDefault="007324D0">
            <w:pPr>
              <w:pStyle w:val="TableText"/>
              <w:tabs>
                <w:tab w:val="left" w:pos="3306"/>
              </w:tabs>
              <w:jc w:val="right"/>
              <w:rPr>
                <w:rFonts w:cs="Calibri"/>
                <w:b/>
                <w:bCs/>
              </w:rPr>
            </w:pPr>
          </w:p>
        </w:tc>
        <w:tc>
          <w:tcPr>
            <w:tcW w:w="1185" w:type="dxa"/>
            <w:tcBorders>
              <w:top w:val="nil"/>
              <w:left w:val="nil"/>
              <w:bottom w:val="nil"/>
              <w:right w:val="nil"/>
            </w:tcBorders>
            <w:vAlign w:val="center"/>
          </w:tcPr>
          <w:p w14:paraId="70C0DB5B" w14:textId="77777777" w:rsidR="007324D0" w:rsidRPr="00F54064" w:rsidRDefault="007324D0">
            <w:pPr>
              <w:pStyle w:val="TableText"/>
              <w:tabs>
                <w:tab w:val="left" w:pos="3306"/>
              </w:tabs>
              <w:jc w:val="right"/>
              <w:rPr>
                <w:rFonts w:cs="Calibri"/>
                <w:b/>
                <w:bCs/>
              </w:rPr>
            </w:pPr>
          </w:p>
        </w:tc>
      </w:tr>
      <w:tr w:rsidR="000144FF" w:rsidRPr="00CF7E1B" w14:paraId="256B191C" w14:textId="77777777" w:rsidTr="00B66382">
        <w:trPr>
          <w:cantSplit/>
          <w:trHeight w:val="274"/>
        </w:trPr>
        <w:tc>
          <w:tcPr>
            <w:tcW w:w="1613" w:type="dxa"/>
            <w:tcBorders>
              <w:top w:val="nil"/>
              <w:left w:val="single" w:sz="2" w:space="0" w:color="auto"/>
              <w:bottom w:val="nil"/>
              <w:right w:val="single" w:sz="2" w:space="0" w:color="auto"/>
            </w:tcBorders>
          </w:tcPr>
          <w:p w14:paraId="0390C4DF"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63DD4F0A" w14:textId="748C264A" w:rsidR="000144FF" w:rsidRPr="00F54064" w:rsidRDefault="000144FF">
            <w:pPr>
              <w:pStyle w:val="TableText"/>
              <w:tabs>
                <w:tab w:val="left" w:pos="3306"/>
              </w:tabs>
              <w:spacing w:before="0"/>
              <w:rPr>
                <w:rFonts w:cs="Calibri"/>
              </w:rPr>
            </w:pPr>
            <w:r w:rsidRPr="00F54064">
              <w:rPr>
                <w:rFonts w:cs="Calibri"/>
              </w:rPr>
              <w:t>Other Gains</w:t>
            </w:r>
          </w:p>
        </w:tc>
        <w:tc>
          <w:tcPr>
            <w:tcW w:w="638" w:type="dxa"/>
            <w:tcBorders>
              <w:top w:val="nil"/>
              <w:left w:val="nil"/>
              <w:bottom w:val="nil"/>
              <w:right w:val="nil"/>
            </w:tcBorders>
            <w:vAlign w:val="bottom"/>
          </w:tcPr>
          <w:p w14:paraId="3C2E1D08" w14:textId="19976B29" w:rsidR="000144FF" w:rsidRPr="00F54064" w:rsidRDefault="003C048F" w:rsidP="007324D0">
            <w:pPr>
              <w:pStyle w:val="TableText"/>
              <w:tabs>
                <w:tab w:val="left" w:pos="3306"/>
              </w:tabs>
              <w:spacing w:before="0"/>
              <w:jc w:val="center"/>
              <w:rPr>
                <w:rFonts w:cs="Calibri"/>
              </w:rPr>
            </w:pPr>
            <w:r w:rsidRPr="00F54064">
              <w:rPr>
                <w:rFonts w:cs="Calibri"/>
              </w:rPr>
              <w:t>9</w:t>
            </w:r>
          </w:p>
        </w:tc>
        <w:tc>
          <w:tcPr>
            <w:tcW w:w="1185" w:type="dxa"/>
            <w:tcBorders>
              <w:top w:val="nil"/>
              <w:left w:val="nil"/>
              <w:bottom w:val="single" w:sz="4" w:space="0" w:color="auto"/>
              <w:right w:val="nil"/>
            </w:tcBorders>
            <w:vAlign w:val="bottom"/>
          </w:tcPr>
          <w:p w14:paraId="501C930C" w14:textId="77777777" w:rsidR="000144FF" w:rsidRPr="00F54064" w:rsidRDefault="000144FF">
            <w:pPr>
              <w:pStyle w:val="TableText"/>
              <w:tabs>
                <w:tab w:val="left" w:pos="3306"/>
              </w:tabs>
              <w:spacing w:before="0"/>
              <w:jc w:val="right"/>
              <w:rPr>
                <w:rFonts w:cs="Calibri"/>
              </w:rPr>
            </w:pPr>
          </w:p>
        </w:tc>
        <w:tc>
          <w:tcPr>
            <w:tcW w:w="1185" w:type="dxa"/>
            <w:tcBorders>
              <w:top w:val="nil"/>
              <w:left w:val="nil"/>
              <w:bottom w:val="single" w:sz="4" w:space="0" w:color="auto"/>
              <w:right w:val="nil"/>
            </w:tcBorders>
            <w:vAlign w:val="bottom"/>
          </w:tcPr>
          <w:p w14:paraId="734216B6" w14:textId="77777777" w:rsidR="000144FF" w:rsidRPr="00F54064" w:rsidRDefault="000144FF">
            <w:pPr>
              <w:pStyle w:val="TableText"/>
              <w:tabs>
                <w:tab w:val="left" w:pos="3306"/>
              </w:tabs>
              <w:spacing w:before="0"/>
              <w:jc w:val="right"/>
              <w:rPr>
                <w:rFonts w:cs="Calibri"/>
              </w:rPr>
            </w:pPr>
          </w:p>
        </w:tc>
        <w:tc>
          <w:tcPr>
            <w:tcW w:w="1185" w:type="dxa"/>
            <w:tcBorders>
              <w:top w:val="nil"/>
              <w:left w:val="nil"/>
              <w:bottom w:val="single" w:sz="4" w:space="0" w:color="auto"/>
              <w:right w:val="nil"/>
            </w:tcBorders>
            <w:vAlign w:val="bottom"/>
          </w:tcPr>
          <w:p w14:paraId="496E3EC6" w14:textId="77777777" w:rsidR="00913402" w:rsidRPr="00F54064" w:rsidRDefault="00913402" w:rsidP="00913402">
            <w:pPr>
              <w:pStyle w:val="TableText"/>
              <w:tabs>
                <w:tab w:val="left" w:pos="3306"/>
              </w:tabs>
              <w:spacing w:before="0"/>
              <w:jc w:val="right"/>
              <w:rPr>
                <w:rFonts w:cs="Calibri"/>
              </w:rPr>
            </w:pPr>
          </w:p>
        </w:tc>
      </w:tr>
      <w:tr w:rsidR="000144FF" w:rsidRPr="00CF7E1B" w14:paraId="030695C6" w14:textId="77777777" w:rsidTr="00B66382">
        <w:trPr>
          <w:cantSplit/>
          <w:trHeight w:val="269"/>
        </w:trPr>
        <w:tc>
          <w:tcPr>
            <w:tcW w:w="1613" w:type="dxa"/>
            <w:tcBorders>
              <w:top w:val="nil"/>
              <w:left w:val="single" w:sz="2" w:space="0" w:color="auto"/>
              <w:bottom w:val="nil"/>
              <w:right w:val="single" w:sz="2" w:space="0" w:color="auto"/>
            </w:tcBorders>
          </w:tcPr>
          <w:p w14:paraId="18AEFF39"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0C81DC17" w14:textId="77777777" w:rsidR="000144FF" w:rsidRPr="00F54064" w:rsidRDefault="000144FF">
            <w:pPr>
              <w:pStyle w:val="TableText"/>
              <w:tabs>
                <w:tab w:val="left" w:pos="3306"/>
              </w:tabs>
              <w:spacing w:before="0"/>
              <w:rPr>
                <w:rFonts w:cs="Calibri"/>
                <w:i/>
                <w:iCs/>
              </w:rPr>
            </w:pPr>
            <w:r w:rsidRPr="00F54064">
              <w:rPr>
                <w:rFonts w:cs="Calibri"/>
                <w:i/>
                <w:iCs/>
              </w:rPr>
              <w:t>Total Gains</w:t>
            </w:r>
          </w:p>
        </w:tc>
        <w:tc>
          <w:tcPr>
            <w:tcW w:w="638" w:type="dxa"/>
            <w:tcBorders>
              <w:top w:val="nil"/>
              <w:left w:val="nil"/>
              <w:bottom w:val="nil"/>
              <w:right w:val="nil"/>
            </w:tcBorders>
            <w:vAlign w:val="bottom"/>
          </w:tcPr>
          <w:p w14:paraId="6CE5228A" w14:textId="77777777" w:rsidR="000144FF" w:rsidRPr="00F54064" w:rsidRDefault="000144FF">
            <w:pPr>
              <w:pStyle w:val="TableText"/>
              <w:tabs>
                <w:tab w:val="left" w:pos="3306"/>
              </w:tabs>
              <w:spacing w:before="0"/>
              <w:jc w:val="center"/>
              <w:rPr>
                <w:rFonts w:cs="Calibri"/>
                <w:highlight w:val="cyan"/>
              </w:rPr>
            </w:pPr>
          </w:p>
        </w:tc>
        <w:tc>
          <w:tcPr>
            <w:tcW w:w="1185" w:type="dxa"/>
            <w:tcBorders>
              <w:top w:val="single" w:sz="4" w:space="0" w:color="auto"/>
              <w:left w:val="nil"/>
              <w:bottom w:val="single" w:sz="4" w:space="0" w:color="auto"/>
              <w:right w:val="nil"/>
            </w:tcBorders>
            <w:vAlign w:val="bottom"/>
          </w:tcPr>
          <w:p w14:paraId="2D6AED36"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single" w:sz="4" w:space="0" w:color="auto"/>
              <w:right w:val="nil"/>
            </w:tcBorders>
            <w:vAlign w:val="bottom"/>
          </w:tcPr>
          <w:p w14:paraId="7A1B0BCD"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single" w:sz="4" w:space="0" w:color="auto"/>
              <w:right w:val="nil"/>
            </w:tcBorders>
            <w:vAlign w:val="bottom"/>
          </w:tcPr>
          <w:p w14:paraId="7AA0B9D8" w14:textId="77777777" w:rsidR="000144FF" w:rsidRPr="00F54064" w:rsidRDefault="000144FF">
            <w:pPr>
              <w:pStyle w:val="TableText"/>
              <w:tabs>
                <w:tab w:val="left" w:pos="3306"/>
              </w:tabs>
              <w:spacing w:before="0"/>
              <w:jc w:val="right"/>
              <w:rPr>
                <w:rFonts w:cs="Calibri"/>
              </w:rPr>
            </w:pPr>
          </w:p>
        </w:tc>
      </w:tr>
      <w:tr w:rsidR="000144FF" w:rsidRPr="00CF7E1B" w14:paraId="26BA4ECD" w14:textId="77777777" w:rsidTr="00B66382">
        <w:trPr>
          <w:cantSplit/>
          <w:trHeight w:val="234"/>
        </w:trPr>
        <w:tc>
          <w:tcPr>
            <w:tcW w:w="1613" w:type="dxa"/>
            <w:tcBorders>
              <w:top w:val="nil"/>
              <w:left w:val="single" w:sz="2" w:space="0" w:color="auto"/>
              <w:bottom w:val="nil"/>
              <w:right w:val="single" w:sz="2" w:space="0" w:color="auto"/>
            </w:tcBorders>
          </w:tcPr>
          <w:p w14:paraId="2EAC7B9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2A0EEFBC" w14:textId="77777777" w:rsidR="000144FF" w:rsidRPr="00F54064" w:rsidRDefault="000144FF">
            <w:pPr>
              <w:pStyle w:val="TableText"/>
              <w:tabs>
                <w:tab w:val="left" w:pos="3306"/>
              </w:tabs>
              <w:rPr>
                <w:rFonts w:cs="Calibri"/>
                <w:b/>
                <w:bCs/>
              </w:rPr>
            </w:pPr>
            <w:r w:rsidRPr="00F54064">
              <w:rPr>
                <w:rFonts w:cs="Calibri"/>
                <w:b/>
                <w:bCs/>
              </w:rPr>
              <w:t>Total Income</w:t>
            </w:r>
          </w:p>
        </w:tc>
        <w:tc>
          <w:tcPr>
            <w:tcW w:w="638" w:type="dxa"/>
            <w:tcBorders>
              <w:top w:val="nil"/>
              <w:left w:val="nil"/>
              <w:bottom w:val="nil"/>
              <w:right w:val="nil"/>
            </w:tcBorders>
            <w:vAlign w:val="bottom"/>
          </w:tcPr>
          <w:p w14:paraId="1A0FC489" w14:textId="77777777" w:rsidR="000144FF" w:rsidRPr="00F54064" w:rsidRDefault="000144FF">
            <w:pPr>
              <w:pStyle w:val="TableText"/>
              <w:tabs>
                <w:tab w:val="left" w:pos="3306"/>
              </w:tabs>
              <w:spacing w:before="0"/>
              <w:jc w:val="center"/>
              <w:rPr>
                <w:rFonts w:cs="Calibri"/>
              </w:rPr>
            </w:pPr>
          </w:p>
        </w:tc>
        <w:tc>
          <w:tcPr>
            <w:tcW w:w="1185" w:type="dxa"/>
            <w:tcBorders>
              <w:top w:val="single" w:sz="4" w:space="0" w:color="auto"/>
              <w:left w:val="nil"/>
              <w:bottom w:val="single" w:sz="4" w:space="0" w:color="auto"/>
              <w:right w:val="nil"/>
            </w:tcBorders>
            <w:vAlign w:val="bottom"/>
          </w:tcPr>
          <w:p w14:paraId="69F368F3" w14:textId="77777777" w:rsidR="000144FF" w:rsidRPr="00F54064" w:rsidRDefault="000144FF">
            <w:pPr>
              <w:pStyle w:val="TableText"/>
              <w:tabs>
                <w:tab w:val="left" w:pos="3306"/>
              </w:tabs>
              <w:spacing w:before="60"/>
              <w:jc w:val="right"/>
              <w:rPr>
                <w:rFonts w:cs="Calibri"/>
                <w:b/>
                <w:bCs/>
              </w:rPr>
            </w:pPr>
          </w:p>
        </w:tc>
        <w:tc>
          <w:tcPr>
            <w:tcW w:w="1185" w:type="dxa"/>
            <w:tcBorders>
              <w:top w:val="single" w:sz="4" w:space="0" w:color="auto"/>
              <w:left w:val="nil"/>
              <w:bottom w:val="single" w:sz="4" w:space="0" w:color="auto"/>
              <w:right w:val="nil"/>
            </w:tcBorders>
            <w:vAlign w:val="bottom"/>
          </w:tcPr>
          <w:p w14:paraId="3A0E206C" w14:textId="77777777" w:rsidR="000144FF" w:rsidRPr="00F54064" w:rsidRDefault="000144FF">
            <w:pPr>
              <w:pStyle w:val="TableText"/>
              <w:tabs>
                <w:tab w:val="left" w:pos="3306"/>
              </w:tabs>
              <w:spacing w:before="60"/>
              <w:jc w:val="right"/>
              <w:rPr>
                <w:rFonts w:cs="Calibri"/>
                <w:b/>
                <w:bCs/>
              </w:rPr>
            </w:pPr>
          </w:p>
        </w:tc>
        <w:tc>
          <w:tcPr>
            <w:tcW w:w="1185" w:type="dxa"/>
            <w:tcBorders>
              <w:top w:val="single" w:sz="4" w:space="0" w:color="auto"/>
              <w:left w:val="nil"/>
              <w:bottom w:val="single" w:sz="4" w:space="0" w:color="auto"/>
              <w:right w:val="nil"/>
            </w:tcBorders>
            <w:vAlign w:val="bottom"/>
          </w:tcPr>
          <w:p w14:paraId="4AFEA986" w14:textId="77777777" w:rsidR="000144FF" w:rsidRPr="00F54064" w:rsidRDefault="000144FF">
            <w:pPr>
              <w:pStyle w:val="TableText"/>
              <w:tabs>
                <w:tab w:val="left" w:pos="3306"/>
              </w:tabs>
              <w:spacing w:before="60"/>
              <w:jc w:val="right"/>
              <w:rPr>
                <w:rFonts w:cs="Calibri"/>
                <w:b/>
                <w:bCs/>
              </w:rPr>
            </w:pPr>
          </w:p>
        </w:tc>
      </w:tr>
      <w:tr w:rsidR="000144FF" w:rsidRPr="00CF7E1B" w14:paraId="1DA3842A" w14:textId="77777777" w:rsidTr="00B66382">
        <w:trPr>
          <w:cantSplit/>
          <w:trHeight w:val="20"/>
        </w:trPr>
        <w:tc>
          <w:tcPr>
            <w:tcW w:w="1613" w:type="dxa"/>
            <w:tcBorders>
              <w:top w:val="nil"/>
              <w:left w:val="single" w:sz="2" w:space="0" w:color="auto"/>
              <w:bottom w:val="nil"/>
              <w:right w:val="single" w:sz="2" w:space="0" w:color="auto"/>
            </w:tcBorders>
          </w:tcPr>
          <w:p w14:paraId="546DCF23" w14:textId="77777777" w:rsidR="000144FF" w:rsidRPr="00F54064" w:rsidRDefault="000144FF"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13B04231" w14:textId="77777777" w:rsidR="000144FF" w:rsidRPr="00F54064" w:rsidRDefault="000144FF">
            <w:pPr>
              <w:pStyle w:val="TableText"/>
              <w:tabs>
                <w:tab w:val="left" w:pos="3306"/>
              </w:tabs>
              <w:rPr>
                <w:rFonts w:cs="Calibri"/>
              </w:rPr>
            </w:pPr>
          </w:p>
        </w:tc>
        <w:tc>
          <w:tcPr>
            <w:tcW w:w="638" w:type="dxa"/>
            <w:tcBorders>
              <w:top w:val="nil"/>
              <w:left w:val="nil"/>
              <w:bottom w:val="nil"/>
              <w:right w:val="nil"/>
            </w:tcBorders>
            <w:vAlign w:val="bottom"/>
          </w:tcPr>
          <w:p w14:paraId="6BE8086C" w14:textId="77777777" w:rsidR="000144FF" w:rsidRPr="00F54064" w:rsidRDefault="000144FF">
            <w:pPr>
              <w:pStyle w:val="TableText"/>
              <w:tabs>
                <w:tab w:val="left" w:pos="3306"/>
              </w:tabs>
              <w:spacing w:before="0"/>
              <w:jc w:val="center"/>
              <w:rPr>
                <w:rFonts w:cs="Calibri"/>
              </w:rPr>
            </w:pPr>
          </w:p>
        </w:tc>
        <w:tc>
          <w:tcPr>
            <w:tcW w:w="1185" w:type="dxa"/>
            <w:tcBorders>
              <w:top w:val="single" w:sz="4" w:space="0" w:color="auto"/>
              <w:left w:val="nil"/>
              <w:bottom w:val="nil"/>
              <w:right w:val="nil"/>
            </w:tcBorders>
            <w:vAlign w:val="bottom"/>
          </w:tcPr>
          <w:p w14:paraId="3F980109"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nil"/>
              <w:right w:val="nil"/>
            </w:tcBorders>
            <w:vAlign w:val="bottom"/>
          </w:tcPr>
          <w:p w14:paraId="456C7C07" w14:textId="77777777" w:rsidR="000144FF" w:rsidRPr="00F54064" w:rsidRDefault="000144FF">
            <w:pPr>
              <w:pStyle w:val="TableText"/>
              <w:tabs>
                <w:tab w:val="left" w:pos="3306"/>
              </w:tabs>
              <w:spacing w:before="0"/>
              <w:jc w:val="right"/>
              <w:rPr>
                <w:rFonts w:cs="Calibri"/>
              </w:rPr>
            </w:pPr>
          </w:p>
        </w:tc>
        <w:tc>
          <w:tcPr>
            <w:tcW w:w="1185" w:type="dxa"/>
            <w:tcBorders>
              <w:top w:val="single" w:sz="4" w:space="0" w:color="auto"/>
              <w:left w:val="nil"/>
              <w:bottom w:val="nil"/>
              <w:right w:val="nil"/>
            </w:tcBorders>
            <w:vAlign w:val="bottom"/>
          </w:tcPr>
          <w:p w14:paraId="6DDEF680" w14:textId="77777777" w:rsidR="000144FF" w:rsidRPr="00F54064" w:rsidRDefault="000144FF">
            <w:pPr>
              <w:pStyle w:val="TableText"/>
              <w:tabs>
                <w:tab w:val="left" w:pos="3306"/>
              </w:tabs>
              <w:spacing w:before="0"/>
              <w:jc w:val="right"/>
              <w:rPr>
                <w:rFonts w:cs="Calibri"/>
              </w:rPr>
            </w:pPr>
          </w:p>
        </w:tc>
      </w:tr>
      <w:tr w:rsidR="000144FF" w:rsidRPr="00CF7E1B" w14:paraId="7CE00E97" w14:textId="77777777" w:rsidTr="00B66382">
        <w:trPr>
          <w:cantSplit/>
          <w:trHeight w:val="20"/>
        </w:trPr>
        <w:tc>
          <w:tcPr>
            <w:tcW w:w="1613" w:type="dxa"/>
            <w:tcBorders>
              <w:top w:val="nil"/>
              <w:left w:val="single" w:sz="2" w:space="0" w:color="auto"/>
              <w:bottom w:val="nil"/>
              <w:right w:val="single" w:sz="2" w:space="0" w:color="auto"/>
            </w:tcBorders>
          </w:tcPr>
          <w:p w14:paraId="2511F5E2"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3D12A28A" w14:textId="77777777" w:rsidR="000144FF" w:rsidRPr="00F54064" w:rsidRDefault="000144FF">
            <w:pPr>
              <w:pStyle w:val="TableText"/>
              <w:tabs>
                <w:tab w:val="left" w:pos="3306"/>
              </w:tabs>
              <w:rPr>
                <w:rFonts w:cs="Calibri"/>
                <w:b/>
                <w:bCs/>
              </w:rPr>
            </w:pPr>
            <w:bookmarkStart w:id="128" w:name="_Toc48468212"/>
            <w:bookmarkStart w:id="129" w:name="_Toc49223853"/>
            <w:r w:rsidRPr="00F54064">
              <w:rPr>
                <w:rFonts w:cs="Calibri"/>
                <w:b/>
                <w:bCs/>
              </w:rPr>
              <w:t xml:space="preserve">Expenses </w:t>
            </w:r>
            <w:bookmarkEnd w:id="128"/>
            <w:bookmarkEnd w:id="129"/>
          </w:p>
        </w:tc>
        <w:tc>
          <w:tcPr>
            <w:tcW w:w="638" w:type="dxa"/>
            <w:tcBorders>
              <w:top w:val="nil"/>
              <w:left w:val="nil"/>
              <w:bottom w:val="nil"/>
              <w:right w:val="nil"/>
            </w:tcBorders>
            <w:vAlign w:val="bottom"/>
          </w:tcPr>
          <w:p w14:paraId="0EF24DE5" w14:textId="77777777" w:rsidR="000144FF" w:rsidRPr="00F54064" w:rsidRDefault="000144FF">
            <w:pPr>
              <w:pStyle w:val="TableText"/>
              <w:tabs>
                <w:tab w:val="left" w:pos="3306"/>
              </w:tabs>
              <w:jc w:val="center"/>
              <w:rPr>
                <w:rFonts w:cs="Calibri"/>
              </w:rPr>
            </w:pPr>
          </w:p>
        </w:tc>
        <w:tc>
          <w:tcPr>
            <w:tcW w:w="1185" w:type="dxa"/>
            <w:tcBorders>
              <w:top w:val="nil"/>
              <w:left w:val="nil"/>
              <w:bottom w:val="nil"/>
              <w:right w:val="nil"/>
            </w:tcBorders>
            <w:vAlign w:val="bottom"/>
          </w:tcPr>
          <w:p w14:paraId="00A301CB"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88873AF"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5CAB71F" w14:textId="77777777" w:rsidR="000144FF" w:rsidRPr="00F54064" w:rsidRDefault="000144FF">
            <w:pPr>
              <w:pStyle w:val="TableText"/>
              <w:tabs>
                <w:tab w:val="left" w:pos="3306"/>
              </w:tabs>
              <w:jc w:val="right"/>
              <w:rPr>
                <w:rFonts w:cs="Calibri"/>
              </w:rPr>
            </w:pPr>
          </w:p>
        </w:tc>
      </w:tr>
      <w:tr w:rsidR="000144FF" w:rsidRPr="00CF7E1B" w14:paraId="5FC25938" w14:textId="77777777" w:rsidTr="00B66382">
        <w:trPr>
          <w:cantSplit/>
          <w:trHeight w:val="20"/>
        </w:trPr>
        <w:tc>
          <w:tcPr>
            <w:tcW w:w="1613" w:type="dxa"/>
            <w:tcBorders>
              <w:top w:val="nil"/>
              <w:left w:val="single" w:sz="2" w:space="0" w:color="auto"/>
              <w:bottom w:val="nil"/>
              <w:right w:val="single" w:sz="2" w:space="0" w:color="auto"/>
            </w:tcBorders>
          </w:tcPr>
          <w:p w14:paraId="3A9CB5DC"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28F98E44" w14:textId="77777777" w:rsidR="000144FF" w:rsidRPr="00F54064" w:rsidRDefault="000144FF">
            <w:pPr>
              <w:pStyle w:val="TableText"/>
              <w:tabs>
                <w:tab w:val="left" w:pos="3306"/>
              </w:tabs>
              <w:rPr>
                <w:rFonts w:cs="Calibri"/>
              </w:rPr>
            </w:pPr>
            <w:r w:rsidRPr="00F54064">
              <w:rPr>
                <w:rFonts w:cs="Calibri"/>
              </w:rPr>
              <w:t>Employee Expenses</w:t>
            </w:r>
          </w:p>
        </w:tc>
        <w:tc>
          <w:tcPr>
            <w:tcW w:w="638" w:type="dxa"/>
            <w:tcBorders>
              <w:top w:val="nil"/>
              <w:left w:val="nil"/>
              <w:bottom w:val="nil"/>
              <w:right w:val="nil"/>
            </w:tcBorders>
            <w:vAlign w:val="bottom"/>
          </w:tcPr>
          <w:p w14:paraId="08D39C46" w14:textId="741F0698" w:rsidR="000144FF" w:rsidRPr="00F54064" w:rsidRDefault="003C048F">
            <w:pPr>
              <w:pStyle w:val="TableText"/>
              <w:tabs>
                <w:tab w:val="left" w:pos="3306"/>
              </w:tabs>
              <w:jc w:val="center"/>
              <w:rPr>
                <w:rFonts w:cs="Calibri"/>
                <w:strike/>
              </w:rPr>
            </w:pPr>
            <w:r w:rsidRPr="00F54064">
              <w:rPr>
                <w:rFonts w:cs="Calibri"/>
              </w:rPr>
              <w:t>10</w:t>
            </w:r>
          </w:p>
        </w:tc>
        <w:tc>
          <w:tcPr>
            <w:tcW w:w="1185" w:type="dxa"/>
            <w:tcBorders>
              <w:top w:val="nil"/>
              <w:left w:val="nil"/>
              <w:bottom w:val="nil"/>
              <w:right w:val="nil"/>
            </w:tcBorders>
            <w:vAlign w:val="bottom"/>
          </w:tcPr>
          <w:p w14:paraId="391EED8A"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28BA53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24F1AC1" w14:textId="77777777" w:rsidR="000144FF" w:rsidRPr="00F54064" w:rsidRDefault="000144FF">
            <w:pPr>
              <w:pStyle w:val="TableText"/>
              <w:tabs>
                <w:tab w:val="left" w:pos="3306"/>
              </w:tabs>
              <w:jc w:val="right"/>
              <w:rPr>
                <w:rFonts w:cs="Calibri"/>
              </w:rPr>
            </w:pPr>
          </w:p>
        </w:tc>
      </w:tr>
      <w:tr w:rsidR="000144FF" w:rsidRPr="00CF7E1B" w14:paraId="5C67BA6F" w14:textId="77777777" w:rsidTr="00B66382">
        <w:trPr>
          <w:cantSplit/>
          <w:trHeight w:val="20"/>
        </w:trPr>
        <w:tc>
          <w:tcPr>
            <w:tcW w:w="1613" w:type="dxa"/>
            <w:tcBorders>
              <w:top w:val="nil"/>
              <w:left w:val="single" w:sz="2" w:space="0" w:color="auto"/>
              <w:bottom w:val="nil"/>
              <w:right w:val="single" w:sz="2" w:space="0" w:color="auto"/>
            </w:tcBorders>
          </w:tcPr>
          <w:p w14:paraId="3DE5A3F8"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2DD026C7" w14:textId="77777777" w:rsidR="000144FF" w:rsidRPr="00F54064" w:rsidRDefault="000144FF">
            <w:pPr>
              <w:pStyle w:val="TableText"/>
              <w:tabs>
                <w:tab w:val="left" w:pos="3306"/>
              </w:tabs>
              <w:rPr>
                <w:rFonts w:cs="Calibri"/>
              </w:rPr>
            </w:pPr>
            <w:r w:rsidRPr="00F54064">
              <w:rPr>
                <w:rFonts w:cs="Calibri"/>
              </w:rPr>
              <w:t>Superannuation Expenses</w:t>
            </w:r>
          </w:p>
        </w:tc>
        <w:tc>
          <w:tcPr>
            <w:tcW w:w="638" w:type="dxa"/>
            <w:tcBorders>
              <w:top w:val="nil"/>
              <w:left w:val="nil"/>
              <w:bottom w:val="nil"/>
              <w:right w:val="nil"/>
            </w:tcBorders>
            <w:vAlign w:val="bottom"/>
          </w:tcPr>
          <w:p w14:paraId="256C7749" w14:textId="53844C96" w:rsidR="000144FF" w:rsidRPr="00F54064" w:rsidRDefault="00A8656F">
            <w:pPr>
              <w:pStyle w:val="TableText"/>
              <w:tabs>
                <w:tab w:val="left" w:pos="3306"/>
              </w:tabs>
              <w:jc w:val="center"/>
              <w:rPr>
                <w:rFonts w:cs="Calibri"/>
              </w:rPr>
            </w:pPr>
            <w:r w:rsidRPr="00F54064">
              <w:rPr>
                <w:rFonts w:cs="Calibri"/>
              </w:rPr>
              <w:t>10</w:t>
            </w:r>
          </w:p>
        </w:tc>
        <w:tc>
          <w:tcPr>
            <w:tcW w:w="1185" w:type="dxa"/>
            <w:tcBorders>
              <w:top w:val="nil"/>
              <w:left w:val="nil"/>
              <w:bottom w:val="nil"/>
              <w:right w:val="nil"/>
            </w:tcBorders>
            <w:vAlign w:val="bottom"/>
          </w:tcPr>
          <w:p w14:paraId="4D2900F0"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915D3BA"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15684690" w14:textId="77777777" w:rsidR="000144FF" w:rsidRPr="00F54064" w:rsidRDefault="000144FF">
            <w:pPr>
              <w:pStyle w:val="TableText"/>
              <w:tabs>
                <w:tab w:val="left" w:pos="3306"/>
              </w:tabs>
              <w:jc w:val="right"/>
              <w:rPr>
                <w:rFonts w:cs="Calibri"/>
              </w:rPr>
            </w:pPr>
          </w:p>
        </w:tc>
      </w:tr>
      <w:tr w:rsidR="000144FF" w:rsidRPr="00CF7E1B" w14:paraId="5C574E48" w14:textId="77777777" w:rsidTr="00B66382">
        <w:trPr>
          <w:cantSplit/>
          <w:trHeight w:val="20"/>
        </w:trPr>
        <w:tc>
          <w:tcPr>
            <w:tcW w:w="1613" w:type="dxa"/>
            <w:tcBorders>
              <w:top w:val="nil"/>
              <w:left w:val="single" w:sz="2" w:space="0" w:color="auto"/>
              <w:bottom w:val="nil"/>
              <w:right w:val="single" w:sz="2" w:space="0" w:color="auto"/>
            </w:tcBorders>
          </w:tcPr>
          <w:p w14:paraId="1268100A"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3D3C0FB2" w14:textId="77777777" w:rsidR="000144FF" w:rsidRPr="00F54064" w:rsidRDefault="000144FF">
            <w:pPr>
              <w:pStyle w:val="TableText"/>
              <w:tabs>
                <w:tab w:val="left" w:pos="3306"/>
              </w:tabs>
              <w:rPr>
                <w:rFonts w:cs="Calibri"/>
              </w:rPr>
            </w:pPr>
            <w:r w:rsidRPr="00F54064">
              <w:rPr>
                <w:rFonts w:cs="Calibri"/>
              </w:rPr>
              <w:t xml:space="preserve">Supplies and Services </w:t>
            </w:r>
          </w:p>
        </w:tc>
        <w:tc>
          <w:tcPr>
            <w:tcW w:w="638" w:type="dxa"/>
            <w:tcBorders>
              <w:top w:val="nil"/>
              <w:left w:val="nil"/>
              <w:bottom w:val="nil"/>
              <w:right w:val="nil"/>
            </w:tcBorders>
            <w:vAlign w:val="bottom"/>
          </w:tcPr>
          <w:p w14:paraId="4433051E" w14:textId="28431FFA" w:rsidR="000144FF" w:rsidRPr="00F54064" w:rsidRDefault="003C048F">
            <w:pPr>
              <w:pStyle w:val="TableText"/>
              <w:tabs>
                <w:tab w:val="left" w:pos="3306"/>
              </w:tabs>
              <w:jc w:val="center"/>
              <w:rPr>
                <w:rFonts w:cs="Calibri"/>
                <w:strike/>
              </w:rPr>
            </w:pPr>
            <w:r w:rsidRPr="00F54064">
              <w:rPr>
                <w:rFonts w:cs="Calibri"/>
              </w:rPr>
              <w:t>1</w:t>
            </w:r>
            <w:r w:rsidR="00115D03" w:rsidRPr="00F54064">
              <w:rPr>
                <w:rFonts w:cs="Calibri"/>
              </w:rPr>
              <w:t>1</w:t>
            </w:r>
          </w:p>
        </w:tc>
        <w:tc>
          <w:tcPr>
            <w:tcW w:w="1185" w:type="dxa"/>
            <w:tcBorders>
              <w:top w:val="nil"/>
              <w:left w:val="nil"/>
              <w:bottom w:val="nil"/>
              <w:right w:val="nil"/>
            </w:tcBorders>
            <w:vAlign w:val="bottom"/>
          </w:tcPr>
          <w:p w14:paraId="7458277D"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74EFCD3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2EA0728D" w14:textId="77777777" w:rsidR="000144FF" w:rsidRPr="00F54064" w:rsidRDefault="000144FF">
            <w:pPr>
              <w:pStyle w:val="TableText"/>
              <w:tabs>
                <w:tab w:val="left" w:pos="3306"/>
              </w:tabs>
              <w:jc w:val="right"/>
              <w:rPr>
                <w:rFonts w:cs="Calibri"/>
              </w:rPr>
            </w:pPr>
          </w:p>
        </w:tc>
      </w:tr>
      <w:tr w:rsidR="000144FF" w:rsidRPr="00CF7E1B" w14:paraId="5AB3CED6" w14:textId="77777777" w:rsidTr="00B66382">
        <w:trPr>
          <w:cantSplit/>
          <w:trHeight w:val="20"/>
        </w:trPr>
        <w:tc>
          <w:tcPr>
            <w:tcW w:w="1613" w:type="dxa"/>
            <w:tcBorders>
              <w:top w:val="nil"/>
              <w:left w:val="single" w:sz="2" w:space="0" w:color="auto"/>
              <w:bottom w:val="nil"/>
              <w:right w:val="single" w:sz="2" w:space="0" w:color="auto"/>
            </w:tcBorders>
          </w:tcPr>
          <w:p w14:paraId="1C630FC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tcPr>
          <w:p w14:paraId="1F61F7AD" w14:textId="77777777" w:rsidR="000144FF" w:rsidRPr="00F54064" w:rsidRDefault="000144FF" w:rsidP="000048BD">
            <w:pPr>
              <w:pStyle w:val="TableText"/>
              <w:tabs>
                <w:tab w:val="left" w:pos="3306"/>
              </w:tabs>
              <w:rPr>
                <w:rFonts w:cs="Calibri"/>
              </w:rPr>
            </w:pPr>
            <w:r w:rsidRPr="00F54064">
              <w:rPr>
                <w:rFonts w:cs="Calibri"/>
              </w:rPr>
              <w:t>Depreciation and Amortisation</w:t>
            </w:r>
          </w:p>
        </w:tc>
        <w:tc>
          <w:tcPr>
            <w:tcW w:w="638" w:type="dxa"/>
            <w:tcBorders>
              <w:top w:val="nil"/>
              <w:left w:val="nil"/>
              <w:bottom w:val="nil"/>
              <w:right w:val="nil"/>
            </w:tcBorders>
            <w:vAlign w:val="bottom"/>
          </w:tcPr>
          <w:p w14:paraId="0C677746" w14:textId="049B760A" w:rsidR="000144FF" w:rsidRPr="00F54064" w:rsidRDefault="00115D03">
            <w:pPr>
              <w:pStyle w:val="TableText"/>
              <w:tabs>
                <w:tab w:val="left" w:pos="3306"/>
              </w:tabs>
              <w:jc w:val="center"/>
              <w:rPr>
                <w:rFonts w:cs="Calibri"/>
                <w:strike/>
              </w:rPr>
            </w:pPr>
            <w:r w:rsidRPr="00F54064">
              <w:rPr>
                <w:rFonts w:cs="Calibri"/>
              </w:rPr>
              <w:t>19</w:t>
            </w:r>
            <w:r w:rsidR="000048BD" w:rsidRPr="00F54064">
              <w:rPr>
                <w:rFonts w:cs="Calibri"/>
              </w:rPr>
              <w:t>,2</w:t>
            </w:r>
            <w:r w:rsidRPr="00F54064">
              <w:rPr>
                <w:rFonts w:cs="Calibri"/>
              </w:rPr>
              <w:t>1</w:t>
            </w:r>
          </w:p>
        </w:tc>
        <w:tc>
          <w:tcPr>
            <w:tcW w:w="1185" w:type="dxa"/>
            <w:tcBorders>
              <w:top w:val="nil"/>
              <w:left w:val="nil"/>
              <w:bottom w:val="nil"/>
              <w:right w:val="nil"/>
            </w:tcBorders>
            <w:vAlign w:val="bottom"/>
          </w:tcPr>
          <w:p w14:paraId="7857809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FECD142"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4B24B801" w14:textId="77777777" w:rsidR="000144FF" w:rsidRPr="00F54064" w:rsidRDefault="000144FF">
            <w:pPr>
              <w:pStyle w:val="TableText"/>
              <w:tabs>
                <w:tab w:val="left" w:pos="3306"/>
              </w:tabs>
              <w:jc w:val="right"/>
              <w:rPr>
                <w:rFonts w:cs="Calibri"/>
              </w:rPr>
            </w:pPr>
          </w:p>
        </w:tc>
      </w:tr>
      <w:tr w:rsidR="000144FF" w:rsidRPr="00CF7E1B" w14:paraId="11C18649" w14:textId="77777777" w:rsidTr="00B66382">
        <w:trPr>
          <w:cantSplit/>
          <w:trHeight w:val="20"/>
        </w:trPr>
        <w:tc>
          <w:tcPr>
            <w:tcW w:w="1613" w:type="dxa"/>
            <w:tcBorders>
              <w:top w:val="nil"/>
              <w:left w:val="single" w:sz="2" w:space="0" w:color="auto"/>
              <w:bottom w:val="nil"/>
              <w:right w:val="single" w:sz="2" w:space="0" w:color="auto"/>
            </w:tcBorders>
          </w:tcPr>
          <w:p w14:paraId="3F12C4BB"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 xml:space="preserve">85 </w:t>
            </w:r>
            <w:r w:rsidRPr="00F54064">
              <w:rPr>
                <w:rFonts w:cs="Calibri"/>
                <w:color w:val="7030A0"/>
                <w:sz w:val="14"/>
              </w:rPr>
              <w:t xml:space="preserve">&amp; </w:t>
            </w:r>
            <w:r w:rsidR="00F23A9D" w:rsidRPr="00F54064">
              <w:rPr>
                <w:rFonts w:cs="Calibri"/>
                <w:color w:val="7030A0"/>
                <w:sz w:val="14"/>
              </w:rPr>
              <w:t>102</w:t>
            </w:r>
          </w:p>
        </w:tc>
        <w:tc>
          <w:tcPr>
            <w:tcW w:w="4749" w:type="dxa"/>
            <w:tcBorders>
              <w:top w:val="nil"/>
              <w:left w:val="single" w:sz="2" w:space="0" w:color="auto"/>
              <w:bottom w:val="nil"/>
              <w:right w:val="nil"/>
            </w:tcBorders>
            <w:vAlign w:val="bottom"/>
          </w:tcPr>
          <w:p w14:paraId="4E11FD5E" w14:textId="77777777" w:rsidR="000144FF" w:rsidRPr="00F54064" w:rsidRDefault="000144FF">
            <w:pPr>
              <w:pStyle w:val="TableText"/>
              <w:tabs>
                <w:tab w:val="left" w:pos="3306"/>
              </w:tabs>
              <w:rPr>
                <w:rFonts w:cs="Calibri"/>
              </w:rPr>
            </w:pPr>
            <w:r w:rsidRPr="00F54064">
              <w:rPr>
                <w:rFonts w:cs="Calibri"/>
              </w:rPr>
              <w:t>Grants and Purchased Services</w:t>
            </w:r>
          </w:p>
        </w:tc>
        <w:tc>
          <w:tcPr>
            <w:tcW w:w="638" w:type="dxa"/>
            <w:tcBorders>
              <w:top w:val="nil"/>
              <w:left w:val="nil"/>
              <w:bottom w:val="nil"/>
              <w:right w:val="nil"/>
            </w:tcBorders>
            <w:vAlign w:val="bottom"/>
          </w:tcPr>
          <w:p w14:paraId="2331EB46" w14:textId="765E4ED8" w:rsidR="000144FF" w:rsidRPr="00F54064" w:rsidRDefault="003C048F">
            <w:pPr>
              <w:pStyle w:val="TableText"/>
              <w:tabs>
                <w:tab w:val="left" w:pos="3306"/>
              </w:tabs>
              <w:jc w:val="center"/>
              <w:rPr>
                <w:rFonts w:cs="Calibri"/>
                <w:strike/>
              </w:rPr>
            </w:pPr>
            <w:r w:rsidRPr="00F54064">
              <w:rPr>
                <w:rFonts w:cs="Calibri"/>
              </w:rPr>
              <w:t>1</w:t>
            </w:r>
            <w:r w:rsidR="00115D03" w:rsidRPr="00F54064">
              <w:rPr>
                <w:rFonts w:cs="Calibri"/>
              </w:rPr>
              <w:t>2</w:t>
            </w:r>
          </w:p>
        </w:tc>
        <w:tc>
          <w:tcPr>
            <w:tcW w:w="1185" w:type="dxa"/>
            <w:tcBorders>
              <w:top w:val="nil"/>
              <w:left w:val="nil"/>
              <w:bottom w:val="nil"/>
              <w:right w:val="nil"/>
            </w:tcBorders>
            <w:vAlign w:val="bottom"/>
          </w:tcPr>
          <w:p w14:paraId="4D1B940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360AA1D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50EF9204" w14:textId="77777777" w:rsidR="000144FF" w:rsidRPr="00F54064" w:rsidRDefault="000144FF">
            <w:pPr>
              <w:pStyle w:val="TableText"/>
              <w:tabs>
                <w:tab w:val="left" w:pos="3306"/>
              </w:tabs>
              <w:jc w:val="right"/>
              <w:rPr>
                <w:rFonts w:cs="Calibri"/>
              </w:rPr>
            </w:pPr>
          </w:p>
        </w:tc>
      </w:tr>
      <w:tr w:rsidR="0029564D" w:rsidRPr="00CF7E1B" w14:paraId="72C4A3C7" w14:textId="77777777" w:rsidTr="00B66382">
        <w:trPr>
          <w:cantSplit/>
          <w:trHeight w:val="20"/>
        </w:trPr>
        <w:tc>
          <w:tcPr>
            <w:tcW w:w="1613" w:type="dxa"/>
            <w:tcBorders>
              <w:top w:val="nil"/>
              <w:left w:val="single" w:sz="2" w:space="0" w:color="auto"/>
              <w:bottom w:val="nil"/>
              <w:right w:val="single" w:sz="2" w:space="0" w:color="auto"/>
            </w:tcBorders>
          </w:tcPr>
          <w:p w14:paraId="5027AF38" w14:textId="56E1AD1D" w:rsidR="0029564D" w:rsidRPr="00F54064" w:rsidRDefault="0029564D" w:rsidP="00B11849">
            <w:pPr>
              <w:pStyle w:val="TableReference"/>
              <w:tabs>
                <w:tab w:val="left" w:pos="3306"/>
              </w:tabs>
              <w:spacing w:beforeLines="20" w:before="48"/>
              <w:rPr>
                <w:rFonts w:cs="Calibri"/>
                <w:color w:val="7030A0"/>
                <w:sz w:val="14"/>
              </w:rPr>
            </w:pPr>
            <w:r w:rsidRPr="00F54064">
              <w:rPr>
                <w:rFonts w:cs="Calibri"/>
                <w:color w:val="7030A0"/>
                <w:sz w:val="14"/>
              </w:rPr>
              <w:t>AASB 101.85 &amp; 102</w:t>
            </w:r>
          </w:p>
        </w:tc>
        <w:tc>
          <w:tcPr>
            <w:tcW w:w="4749" w:type="dxa"/>
            <w:tcBorders>
              <w:top w:val="nil"/>
              <w:left w:val="single" w:sz="2" w:space="0" w:color="auto"/>
              <w:bottom w:val="nil"/>
              <w:right w:val="nil"/>
            </w:tcBorders>
            <w:vAlign w:val="bottom"/>
          </w:tcPr>
          <w:p w14:paraId="1D79E365" w14:textId="5C8090D8" w:rsidR="0029564D" w:rsidRPr="00F54064" w:rsidRDefault="0029564D">
            <w:pPr>
              <w:pStyle w:val="TableText"/>
              <w:tabs>
                <w:tab w:val="left" w:pos="3306"/>
              </w:tabs>
              <w:rPr>
                <w:rFonts w:cs="Calibri"/>
              </w:rPr>
            </w:pPr>
            <w:r w:rsidRPr="00F54064">
              <w:t>Cost of Goods Sold</w:t>
            </w:r>
            <w:r w:rsidR="00B60255" w:rsidRPr="00F54064">
              <w:t xml:space="preserve"> </w:t>
            </w:r>
            <w:r w:rsidR="00115D03" w:rsidRPr="00F54064">
              <w:t>and</w:t>
            </w:r>
            <w:r w:rsidR="00B60255" w:rsidRPr="00F54064">
              <w:t xml:space="preserve"> Distributed</w:t>
            </w:r>
          </w:p>
        </w:tc>
        <w:tc>
          <w:tcPr>
            <w:tcW w:w="638" w:type="dxa"/>
            <w:tcBorders>
              <w:top w:val="nil"/>
              <w:left w:val="nil"/>
              <w:bottom w:val="nil"/>
              <w:right w:val="nil"/>
            </w:tcBorders>
            <w:vAlign w:val="bottom"/>
          </w:tcPr>
          <w:p w14:paraId="68154A51" w14:textId="30FC57FC" w:rsidR="0029564D" w:rsidRPr="00F54064" w:rsidRDefault="003C048F">
            <w:pPr>
              <w:pStyle w:val="TableText"/>
              <w:tabs>
                <w:tab w:val="left" w:pos="3306"/>
              </w:tabs>
              <w:jc w:val="center"/>
              <w:rPr>
                <w:rFonts w:cs="Calibri"/>
              </w:rPr>
            </w:pPr>
            <w:r w:rsidRPr="00F54064">
              <w:rPr>
                <w:rFonts w:cs="Calibri"/>
              </w:rPr>
              <w:t>1</w:t>
            </w:r>
            <w:r w:rsidR="00115D03" w:rsidRPr="00F54064">
              <w:rPr>
                <w:rFonts w:cs="Calibri"/>
              </w:rPr>
              <w:t>7</w:t>
            </w:r>
          </w:p>
        </w:tc>
        <w:tc>
          <w:tcPr>
            <w:tcW w:w="1185" w:type="dxa"/>
            <w:tcBorders>
              <w:top w:val="nil"/>
              <w:left w:val="nil"/>
              <w:bottom w:val="nil"/>
              <w:right w:val="nil"/>
            </w:tcBorders>
            <w:vAlign w:val="bottom"/>
          </w:tcPr>
          <w:p w14:paraId="13D10136" w14:textId="77777777" w:rsidR="0029564D" w:rsidRPr="00F54064" w:rsidRDefault="0029564D">
            <w:pPr>
              <w:pStyle w:val="TableText"/>
              <w:tabs>
                <w:tab w:val="left" w:pos="3306"/>
              </w:tabs>
              <w:jc w:val="right"/>
              <w:rPr>
                <w:rFonts w:cs="Calibri"/>
              </w:rPr>
            </w:pPr>
          </w:p>
        </w:tc>
        <w:tc>
          <w:tcPr>
            <w:tcW w:w="1185" w:type="dxa"/>
            <w:tcBorders>
              <w:top w:val="nil"/>
              <w:left w:val="nil"/>
              <w:bottom w:val="nil"/>
              <w:right w:val="nil"/>
            </w:tcBorders>
            <w:vAlign w:val="bottom"/>
          </w:tcPr>
          <w:p w14:paraId="54282ACA" w14:textId="77777777" w:rsidR="0029564D" w:rsidRPr="00F54064" w:rsidRDefault="0029564D">
            <w:pPr>
              <w:pStyle w:val="TableText"/>
              <w:tabs>
                <w:tab w:val="left" w:pos="3306"/>
              </w:tabs>
              <w:jc w:val="right"/>
              <w:rPr>
                <w:rFonts w:cs="Calibri"/>
              </w:rPr>
            </w:pPr>
          </w:p>
        </w:tc>
        <w:tc>
          <w:tcPr>
            <w:tcW w:w="1185" w:type="dxa"/>
            <w:tcBorders>
              <w:top w:val="nil"/>
              <w:left w:val="nil"/>
              <w:bottom w:val="nil"/>
              <w:right w:val="nil"/>
            </w:tcBorders>
            <w:vAlign w:val="bottom"/>
          </w:tcPr>
          <w:p w14:paraId="23FE6DBD" w14:textId="77777777" w:rsidR="0029564D" w:rsidRPr="00F54064" w:rsidRDefault="0029564D">
            <w:pPr>
              <w:pStyle w:val="TableText"/>
              <w:tabs>
                <w:tab w:val="left" w:pos="3306"/>
              </w:tabs>
              <w:jc w:val="right"/>
              <w:rPr>
                <w:rFonts w:cs="Calibri"/>
              </w:rPr>
            </w:pPr>
          </w:p>
        </w:tc>
      </w:tr>
      <w:tr w:rsidR="000144FF" w:rsidRPr="00CF7E1B" w14:paraId="5C586812" w14:textId="77777777" w:rsidTr="00B66382">
        <w:trPr>
          <w:cantSplit/>
          <w:trHeight w:val="20"/>
        </w:trPr>
        <w:tc>
          <w:tcPr>
            <w:tcW w:w="1613" w:type="dxa"/>
            <w:tcBorders>
              <w:top w:val="nil"/>
              <w:left w:val="single" w:sz="2" w:space="0" w:color="auto"/>
              <w:bottom w:val="nil"/>
              <w:right w:val="single" w:sz="2" w:space="0" w:color="auto"/>
            </w:tcBorders>
          </w:tcPr>
          <w:p w14:paraId="48496866"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w:t>
            </w:r>
            <w:r w:rsidR="00F23A9D" w:rsidRPr="00F54064">
              <w:rPr>
                <w:rFonts w:cs="Calibri"/>
                <w:color w:val="7030A0"/>
                <w:sz w:val="14"/>
              </w:rPr>
              <w:t>2</w:t>
            </w:r>
            <w:r w:rsidRPr="00F54064">
              <w:rPr>
                <w:rFonts w:cs="Calibri"/>
                <w:color w:val="7030A0"/>
                <w:sz w:val="14"/>
              </w:rPr>
              <w:t>(b)</w:t>
            </w:r>
          </w:p>
        </w:tc>
        <w:tc>
          <w:tcPr>
            <w:tcW w:w="4749" w:type="dxa"/>
            <w:tcBorders>
              <w:top w:val="nil"/>
              <w:left w:val="single" w:sz="2" w:space="0" w:color="auto"/>
              <w:bottom w:val="nil"/>
              <w:right w:val="nil"/>
            </w:tcBorders>
            <w:vAlign w:val="bottom"/>
          </w:tcPr>
          <w:p w14:paraId="4336EEA4" w14:textId="77777777" w:rsidR="000144FF" w:rsidRPr="00F54064" w:rsidRDefault="000144FF">
            <w:pPr>
              <w:pStyle w:val="TableText"/>
              <w:tabs>
                <w:tab w:val="left" w:pos="3306"/>
              </w:tabs>
              <w:rPr>
                <w:rFonts w:cs="Calibri"/>
              </w:rPr>
            </w:pPr>
            <w:r w:rsidRPr="00F54064">
              <w:rPr>
                <w:rFonts w:cs="Calibri"/>
              </w:rPr>
              <w:t>Borrowing Costs</w:t>
            </w:r>
          </w:p>
        </w:tc>
        <w:tc>
          <w:tcPr>
            <w:tcW w:w="638" w:type="dxa"/>
            <w:tcBorders>
              <w:top w:val="nil"/>
              <w:left w:val="nil"/>
              <w:bottom w:val="nil"/>
              <w:right w:val="nil"/>
            </w:tcBorders>
            <w:vAlign w:val="bottom"/>
          </w:tcPr>
          <w:p w14:paraId="2D6DDE66" w14:textId="77B2C22D" w:rsidR="000144FF" w:rsidRPr="00F54064" w:rsidRDefault="00EF23BC">
            <w:pPr>
              <w:pStyle w:val="TableText"/>
              <w:tabs>
                <w:tab w:val="left" w:pos="3306"/>
              </w:tabs>
              <w:jc w:val="center"/>
              <w:rPr>
                <w:rFonts w:cs="Calibri"/>
              </w:rPr>
            </w:pPr>
            <w:r w:rsidRPr="00F54064">
              <w:rPr>
                <w:rFonts w:cs="Calibri"/>
              </w:rPr>
              <w:t>1</w:t>
            </w:r>
            <w:r w:rsidR="00115D03" w:rsidRPr="00F54064">
              <w:rPr>
                <w:rFonts w:cs="Calibri"/>
              </w:rPr>
              <w:t>3</w:t>
            </w:r>
          </w:p>
        </w:tc>
        <w:tc>
          <w:tcPr>
            <w:tcW w:w="1185" w:type="dxa"/>
            <w:tcBorders>
              <w:top w:val="nil"/>
              <w:left w:val="nil"/>
              <w:bottom w:val="nil"/>
              <w:right w:val="nil"/>
            </w:tcBorders>
            <w:vAlign w:val="bottom"/>
          </w:tcPr>
          <w:p w14:paraId="6AF9BA35"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09696437" w14:textId="77777777" w:rsidR="000144FF" w:rsidRPr="00F54064" w:rsidRDefault="000144FF">
            <w:pPr>
              <w:pStyle w:val="TableText"/>
              <w:tabs>
                <w:tab w:val="left" w:pos="3306"/>
              </w:tabs>
              <w:jc w:val="right"/>
              <w:rPr>
                <w:rFonts w:cs="Calibri"/>
              </w:rPr>
            </w:pPr>
          </w:p>
        </w:tc>
        <w:tc>
          <w:tcPr>
            <w:tcW w:w="1185" w:type="dxa"/>
            <w:tcBorders>
              <w:top w:val="nil"/>
              <w:left w:val="nil"/>
              <w:bottom w:val="nil"/>
              <w:right w:val="nil"/>
            </w:tcBorders>
            <w:vAlign w:val="bottom"/>
          </w:tcPr>
          <w:p w14:paraId="2B364742" w14:textId="77777777" w:rsidR="000144FF" w:rsidRPr="00F54064" w:rsidRDefault="000144FF">
            <w:pPr>
              <w:pStyle w:val="TableText"/>
              <w:tabs>
                <w:tab w:val="left" w:pos="3306"/>
              </w:tabs>
              <w:jc w:val="right"/>
              <w:rPr>
                <w:rFonts w:cs="Calibri"/>
              </w:rPr>
            </w:pPr>
          </w:p>
        </w:tc>
      </w:tr>
      <w:tr w:rsidR="000144FF" w:rsidRPr="00CF7E1B" w14:paraId="7F2C9605" w14:textId="77777777" w:rsidTr="00B66382">
        <w:trPr>
          <w:cantSplit/>
          <w:trHeight w:val="80"/>
        </w:trPr>
        <w:tc>
          <w:tcPr>
            <w:tcW w:w="1613" w:type="dxa"/>
            <w:tcBorders>
              <w:top w:val="nil"/>
              <w:left w:val="single" w:sz="2" w:space="0" w:color="auto"/>
              <w:bottom w:val="nil"/>
              <w:right w:val="single" w:sz="2" w:space="0" w:color="auto"/>
            </w:tcBorders>
          </w:tcPr>
          <w:p w14:paraId="469D641D"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 &amp; 102</w:t>
            </w:r>
          </w:p>
        </w:tc>
        <w:tc>
          <w:tcPr>
            <w:tcW w:w="4749" w:type="dxa"/>
            <w:tcBorders>
              <w:top w:val="nil"/>
              <w:left w:val="single" w:sz="2" w:space="0" w:color="auto"/>
              <w:bottom w:val="nil"/>
              <w:right w:val="nil"/>
            </w:tcBorders>
            <w:vAlign w:val="bottom"/>
          </w:tcPr>
          <w:p w14:paraId="1F1683C1" w14:textId="77777777" w:rsidR="000144FF" w:rsidRPr="00F54064" w:rsidRDefault="000144FF" w:rsidP="00EB11C0">
            <w:pPr>
              <w:pStyle w:val="TableText"/>
              <w:tabs>
                <w:tab w:val="left" w:pos="3306"/>
              </w:tabs>
              <w:rPr>
                <w:rFonts w:cs="Calibri"/>
              </w:rPr>
            </w:pPr>
            <w:r w:rsidRPr="00F54064">
              <w:rPr>
                <w:rFonts w:cs="Calibri"/>
              </w:rPr>
              <w:t>Other Expenses</w:t>
            </w:r>
            <w:r w:rsidR="005C27DD" w:rsidRPr="00F54064">
              <w:rPr>
                <w:rFonts w:cs="Calibri"/>
              </w:rPr>
              <w:t xml:space="preserve"> </w:t>
            </w:r>
          </w:p>
        </w:tc>
        <w:tc>
          <w:tcPr>
            <w:tcW w:w="638" w:type="dxa"/>
            <w:tcBorders>
              <w:top w:val="nil"/>
              <w:left w:val="nil"/>
              <w:bottom w:val="nil"/>
              <w:right w:val="nil"/>
            </w:tcBorders>
            <w:vAlign w:val="bottom"/>
          </w:tcPr>
          <w:p w14:paraId="3DC94713" w14:textId="12BA2387" w:rsidR="000144FF" w:rsidRPr="00F54064" w:rsidRDefault="00115D03">
            <w:pPr>
              <w:pStyle w:val="TableText"/>
              <w:tabs>
                <w:tab w:val="left" w:pos="3306"/>
              </w:tabs>
              <w:jc w:val="center"/>
              <w:rPr>
                <w:rFonts w:cs="Calibri"/>
              </w:rPr>
            </w:pPr>
            <w:r w:rsidRPr="00F54064">
              <w:rPr>
                <w:rFonts w:cs="Calibri"/>
              </w:rPr>
              <w:t>14</w:t>
            </w:r>
          </w:p>
        </w:tc>
        <w:tc>
          <w:tcPr>
            <w:tcW w:w="1185" w:type="dxa"/>
            <w:tcBorders>
              <w:top w:val="nil"/>
              <w:left w:val="nil"/>
              <w:bottom w:val="single" w:sz="4" w:space="0" w:color="auto"/>
              <w:right w:val="nil"/>
            </w:tcBorders>
            <w:vAlign w:val="bottom"/>
          </w:tcPr>
          <w:p w14:paraId="6DB87413" w14:textId="77777777" w:rsidR="000144FF" w:rsidRPr="00F54064" w:rsidRDefault="000144FF" w:rsidP="00FD5E99">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5849E461"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25CB313C" w14:textId="77777777" w:rsidR="000144FF" w:rsidRPr="00F54064" w:rsidRDefault="000144FF">
            <w:pPr>
              <w:pStyle w:val="TableText"/>
              <w:tabs>
                <w:tab w:val="left" w:pos="3306"/>
              </w:tabs>
              <w:jc w:val="right"/>
              <w:rPr>
                <w:rFonts w:cs="Calibri"/>
              </w:rPr>
            </w:pPr>
          </w:p>
        </w:tc>
      </w:tr>
      <w:tr w:rsidR="000144FF" w:rsidRPr="00CF7E1B" w14:paraId="1E013DFF" w14:textId="77777777" w:rsidTr="00B66382">
        <w:trPr>
          <w:cantSplit/>
          <w:trHeight w:val="20"/>
        </w:trPr>
        <w:tc>
          <w:tcPr>
            <w:tcW w:w="1613" w:type="dxa"/>
            <w:tcBorders>
              <w:top w:val="nil"/>
              <w:left w:val="single" w:sz="2" w:space="0" w:color="auto"/>
              <w:bottom w:val="nil"/>
              <w:right w:val="single" w:sz="2" w:space="0" w:color="auto"/>
            </w:tcBorders>
          </w:tcPr>
          <w:p w14:paraId="6C844C1A"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85</w:t>
            </w:r>
          </w:p>
        </w:tc>
        <w:tc>
          <w:tcPr>
            <w:tcW w:w="4749" w:type="dxa"/>
            <w:tcBorders>
              <w:top w:val="nil"/>
              <w:left w:val="single" w:sz="2" w:space="0" w:color="auto"/>
              <w:bottom w:val="nil"/>
              <w:right w:val="nil"/>
            </w:tcBorders>
            <w:vAlign w:val="bottom"/>
          </w:tcPr>
          <w:p w14:paraId="2A687F40" w14:textId="77777777" w:rsidR="000144FF" w:rsidRPr="00F54064" w:rsidRDefault="000144FF">
            <w:pPr>
              <w:pStyle w:val="TableText"/>
              <w:tabs>
                <w:tab w:val="left" w:pos="3306"/>
              </w:tabs>
              <w:rPr>
                <w:rFonts w:cs="Calibri"/>
                <w:b/>
                <w:bCs/>
              </w:rPr>
            </w:pPr>
            <w:r w:rsidRPr="00F54064">
              <w:rPr>
                <w:rFonts w:cs="Calibri"/>
                <w:b/>
                <w:bCs/>
              </w:rPr>
              <w:t xml:space="preserve">Total Expenses </w:t>
            </w:r>
          </w:p>
        </w:tc>
        <w:tc>
          <w:tcPr>
            <w:tcW w:w="638" w:type="dxa"/>
            <w:tcBorders>
              <w:top w:val="nil"/>
              <w:left w:val="nil"/>
              <w:bottom w:val="nil"/>
              <w:right w:val="nil"/>
            </w:tcBorders>
            <w:vAlign w:val="bottom"/>
          </w:tcPr>
          <w:p w14:paraId="05E69332" w14:textId="77777777" w:rsidR="000144FF" w:rsidRPr="00F54064" w:rsidRDefault="000144FF">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79A98993" w14:textId="77777777" w:rsidR="000144FF" w:rsidRPr="00F54064" w:rsidRDefault="000144FF" w:rsidP="00FD5E9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780FD73E" w14:textId="77777777" w:rsidR="000144FF" w:rsidRPr="00F54064" w:rsidRDefault="000144FF">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12C155B2" w14:textId="77777777" w:rsidR="000144FF" w:rsidRPr="00F54064" w:rsidRDefault="000144FF">
            <w:pPr>
              <w:pStyle w:val="TableText"/>
              <w:tabs>
                <w:tab w:val="left" w:pos="3306"/>
              </w:tabs>
              <w:jc w:val="right"/>
              <w:rPr>
                <w:rFonts w:cs="Calibri"/>
                <w:b/>
                <w:bCs/>
              </w:rPr>
            </w:pPr>
          </w:p>
        </w:tc>
      </w:tr>
      <w:tr w:rsidR="000144FF" w:rsidRPr="00CF7E1B" w14:paraId="38924297" w14:textId="77777777" w:rsidTr="00B66382">
        <w:trPr>
          <w:cantSplit/>
          <w:trHeight w:val="20"/>
        </w:trPr>
        <w:tc>
          <w:tcPr>
            <w:tcW w:w="1613" w:type="dxa"/>
            <w:tcBorders>
              <w:top w:val="nil"/>
              <w:left w:val="single" w:sz="2" w:space="0" w:color="auto"/>
              <w:bottom w:val="nil"/>
              <w:right w:val="single" w:sz="2" w:space="0" w:color="auto"/>
            </w:tcBorders>
          </w:tcPr>
          <w:p w14:paraId="30B4192F" w14:textId="77777777" w:rsidR="000144FF" w:rsidRPr="00F54064" w:rsidRDefault="000144FF"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0836E6BC" w14:textId="77777777" w:rsidR="000144FF" w:rsidRPr="00F54064" w:rsidRDefault="000144FF">
            <w:pPr>
              <w:pStyle w:val="TableText"/>
              <w:tabs>
                <w:tab w:val="left" w:pos="3306"/>
              </w:tabs>
              <w:spacing w:before="0"/>
              <w:rPr>
                <w:rFonts w:cs="Calibri"/>
                <w:sz w:val="12"/>
              </w:rPr>
            </w:pPr>
          </w:p>
        </w:tc>
        <w:tc>
          <w:tcPr>
            <w:tcW w:w="638" w:type="dxa"/>
            <w:tcBorders>
              <w:top w:val="nil"/>
              <w:left w:val="nil"/>
              <w:bottom w:val="nil"/>
              <w:right w:val="nil"/>
            </w:tcBorders>
            <w:vAlign w:val="bottom"/>
          </w:tcPr>
          <w:p w14:paraId="3D3E78CA" w14:textId="77777777" w:rsidR="000144FF" w:rsidRPr="00F54064" w:rsidRDefault="000144FF">
            <w:pPr>
              <w:pStyle w:val="TableText"/>
              <w:tabs>
                <w:tab w:val="left" w:pos="3306"/>
              </w:tabs>
              <w:spacing w:before="0"/>
              <w:jc w:val="center"/>
              <w:rPr>
                <w:rFonts w:cs="Calibri"/>
                <w:sz w:val="12"/>
              </w:rPr>
            </w:pPr>
          </w:p>
        </w:tc>
        <w:tc>
          <w:tcPr>
            <w:tcW w:w="1185" w:type="dxa"/>
            <w:tcBorders>
              <w:top w:val="single" w:sz="4" w:space="0" w:color="auto"/>
              <w:left w:val="nil"/>
              <w:bottom w:val="nil"/>
              <w:right w:val="nil"/>
            </w:tcBorders>
            <w:vAlign w:val="bottom"/>
          </w:tcPr>
          <w:p w14:paraId="20ACA398" w14:textId="77777777" w:rsidR="000144FF" w:rsidRPr="00F54064" w:rsidRDefault="000144FF">
            <w:pPr>
              <w:pStyle w:val="TableText"/>
              <w:tabs>
                <w:tab w:val="left" w:pos="3306"/>
              </w:tabs>
              <w:spacing w:before="0"/>
              <w:jc w:val="right"/>
              <w:rPr>
                <w:rFonts w:cs="Calibri"/>
                <w:sz w:val="12"/>
              </w:rPr>
            </w:pPr>
          </w:p>
        </w:tc>
        <w:tc>
          <w:tcPr>
            <w:tcW w:w="1185" w:type="dxa"/>
            <w:tcBorders>
              <w:top w:val="single" w:sz="4" w:space="0" w:color="auto"/>
              <w:left w:val="nil"/>
              <w:bottom w:val="nil"/>
              <w:right w:val="nil"/>
            </w:tcBorders>
            <w:vAlign w:val="bottom"/>
          </w:tcPr>
          <w:p w14:paraId="1A0CB944" w14:textId="77777777" w:rsidR="000144FF" w:rsidRPr="00F54064" w:rsidRDefault="000144FF">
            <w:pPr>
              <w:pStyle w:val="TableText"/>
              <w:tabs>
                <w:tab w:val="left" w:pos="3306"/>
              </w:tabs>
              <w:spacing w:before="0"/>
              <w:jc w:val="right"/>
              <w:rPr>
                <w:rFonts w:cs="Calibri"/>
                <w:sz w:val="12"/>
              </w:rPr>
            </w:pPr>
          </w:p>
        </w:tc>
        <w:tc>
          <w:tcPr>
            <w:tcW w:w="1185" w:type="dxa"/>
            <w:tcBorders>
              <w:top w:val="single" w:sz="4" w:space="0" w:color="auto"/>
              <w:left w:val="nil"/>
              <w:bottom w:val="nil"/>
              <w:right w:val="nil"/>
            </w:tcBorders>
            <w:vAlign w:val="bottom"/>
          </w:tcPr>
          <w:p w14:paraId="752C1E45" w14:textId="77777777" w:rsidR="000144FF" w:rsidRPr="00F54064" w:rsidRDefault="000144FF">
            <w:pPr>
              <w:pStyle w:val="TableText"/>
              <w:tabs>
                <w:tab w:val="left" w:pos="3306"/>
              </w:tabs>
              <w:spacing w:before="0"/>
              <w:jc w:val="right"/>
              <w:rPr>
                <w:rFonts w:cs="Calibri"/>
                <w:sz w:val="12"/>
              </w:rPr>
            </w:pPr>
          </w:p>
        </w:tc>
      </w:tr>
      <w:tr w:rsidR="000144FF" w:rsidRPr="00CF7E1B" w14:paraId="15D9F511" w14:textId="77777777" w:rsidTr="00B66382">
        <w:trPr>
          <w:cantSplit/>
          <w:trHeight w:val="20"/>
        </w:trPr>
        <w:tc>
          <w:tcPr>
            <w:tcW w:w="1613" w:type="dxa"/>
            <w:tcBorders>
              <w:top w:val="nil"/>
              <w:left w:val="single" w:sz="2" w:space="0" w:color="auto"/>
              <w:bottom w:val="nil"/>
              <w:right w:val="single" w:sz="2" w:space="0" w:color="auto"/>
            </w:tcBorders>
          </w:tcPr>
          <w:p w14:paraId="5E1168B4" w14:textId="77777777" w:rsidR="000144FF" w:rsidRPr="00F54064" w:rsidRDefault="000144FF"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F23A9D" w:rsidRPr="00F54064">
              <w:rPr>
                <w:rFonts w:cs="Calibri"/>
                <w:color w:val="7030A0"/>
                <w:sz w:val="14"/>
              </w:rPr>
              <w:t>82</w:t>
            </w:r>
            <w:r w:rsidRPr="00F54064">
              <w:rPr>
                <w:rFonts w:cs="Calibri"/>
                <w:color w:val="7030A0"/>
                <w:sz w:val="14"/>
              </w:rPr>
              <w:t xml:space="preserve">(c) </w:t>
            </w:r>
          </w:p>
        </w:tc>
        <w:tc>
          <w:tcPr>
            <w:tcW w:w="4749" w:type="dxa"/>
            <w:tcBorders>
              <w:top w:val="nil"/>
              <w:left w:val="single" w:sz="2" w:space="0" w:color="auto"/>
              <w:bottom w:val="nil"/>
              <w:right w:val="nil"/>
            </w:tcBorders>
            <w:vAlign w:val="bottom"/>
          </w:tcPr>
          <w:p w14:paraId="5CEAB707" w14:textId="77777777" w:rsidR="000144FF" w:rsidRPr="00F54064" w:rsidRDefault="000144FF">
            <w:pPr>
              <w:pStyle w:val="TableText"/>
              <w:tabs>
                <w:tab w:val="left" w:pos="3306"/>
              </w:tabs>
              <w:rPr>
                <w:rFonts w:cs="Calibri"/>
              </w:rPr>
            </w:pPr>
            <w:r w:rsidRPr="00F54064">
              <w:rPr>
                <w:rFonts w:cs="Calibri"/>
              </w:rPr>
              <w:t>Share of Operating Profit from Joint Venture accounted for using the Equity Method</w:t>
            </w:r>
          </w:p>
        </w:tc>
        <w:tc>
          <w:tcPr>
            <w:tcW w:w="638" w:type="dxa"/>
            <w:tcBorders>
              <w:top w:val="nil"/>
              <w:left w:val="nil"/>
              <w:bottom w:val="nil"/>
              <w:right w:val="nil"/>
            </w:tcBorders>
          </w:tcPr>
          <w:p w14:paraId="337C6820" w14:textId="15A159EA" w:rsidR="000144FF" w:rsidRPr="00F54064" w:rsidRDefault="00115D03" w:rsidP="007324D0">
            <w:pPr>
              <w:pStyle w:val="TableText"/>
              <w:tabs>
                <w:tab w:val="left" w:pos="3306"/>
              </w:tabs>
              <w:jc w:val="center"/>
              <w:rPr>
                <w:rFonts w:cs="Calibri"/>
                <w:strike/>
              </w:rPr>
            </w:pPr>
            <w:r w:rsidRPr="00F54064">
              <w:rPr>
                <w:rFonts w:cs="Calibri"/>
              </w:rPr>
              <w:t>34</w:t>
            </w:r>
          </w:p>
        </w:tc>
        <w:tc>
          <w:tcPr>
            <w:tcW w:w="1185" w:type="dxa"/>
            <w:tcBorders>
              <w:top w:val="nil"/>
              <w:left w:val="nil"/>
              <w:bottom w:val="single" w:sz="4" w:space="0" w:color="auto"/>
              <w:right w:val="nil"/>
            </w:tcBorders>
            <w:vAlign w:val="bottom"/>
          </w:tcPr>
          <w:p w14:paraId="46B372A2"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6D4196FA" w14:textId="77777777" w:rsidR="000144FF" w:rsidRPr="00F54064" w:rsidRDefault="000144FF">
            <w:pPr>
              <w:pStyle w:val="TableText"/>
              <w:tabs>
                <w:tab w:val="left" w:pos="3306"/>
              </w:tabs>
              <w:jc w:val="right"/>
              <w:rPr>
                <w:rFonts w:cs="Calibri"/>
              </w:rPr>
            </w:pPr>
          </w:p>
        </w:tc>
        <w:tc>
          <w:tcPr>
            <w:tcW w:w="1185" w:type="dxa"/>
            <w:tcBorders>
              <w:top w:val="nil"/>
              <w:left w:val="nil"/>
              <w:bottom w:val="single" w:sz="4" w:space="0" w:color="auto"/>
              <w:right w:val="nil"/>
            </w:tcBorders>
            <w:vAlign w:val="bottom"/>
          </w:tcPr>
          <w:p w14:paraId="0849E4C4" w14:textId="77777777" w:rsidR="000144FF" w:rsidRPr="00F54064" w:rsidRDefault="000144FF">
            <w:pPr>
              <w:pStyle w:val="TableText"/>
              <w:tabs>
                <w:tab w:val="left" w:pos="3306"/>
              </w:tabs>
              <w:jc w:val="right"/>
              <w:rPr>
                <w:rFonts w:cs="Calibri"/>
              </w:rPr>
            </w:pPr>
          </w:p>
        </w:tc>
      </w:tr>
      <w:tr w:rsidR="006A4E19" w:rsidRPr="00CF7E1B" w14:paraId="63C17CEA" w14:textId="77777777" w:rsidTr="00B66382">
        <w:trPr>
          <w:cantSplit/>
          <w:trHeight w:val="20"/>
        </w:trPr>
        <w:tc>
          <w:tcPr>
            <w:tcW w:w="1613" w:type="dxa"/>
            <w:tcBorders>
              <w:top w:val="nil"/>
              <w:left w:val="single" w:sz="2" w:space="0" w:color="auto"/>
              <w:bottom w:val="nil"/>
              <w:right w:val="single" w:sz="2" w:space="0" w:color="auto"/>
            </w:tcBorders>
          </w:tcPr>
          <w:p w14:paraId="659B5A0D"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1333A5" w:rsidRPr="00F54064">
              <w:rPr>
                <w:rFonts w:cs="Calibri"/>
                <w:color w:val="7030A0"/>
                <w:sz w:val="14"/>
              </w:rPr>
              <w:t xml:space="preserve"> </w:t>
            </w:r>
            <w:r w:rsidR="00C8213D" w:rsidRPr="00F54064">
              <w:rPr>
                <w:rFonts w:cs="Calibri"/>
                <w:color w:val="7030A0"/>
                <w:sz w:val="14"/>
              </w:rPr>
              <w:t>81A(a)</w:t>
            </w:r>
          </w:p>
        </w:tc>
        <w:tc>
          <w:tcPr>
            <w:tcW w:w="4749" w:type="dxa"/>
            <w:tcBorders>
              <w:top w:val="nil"/>
              <w:left w:val="single" w:sz="2" w:space="0" w:color="auto"/>
              <w:bottom w:val="nil"/>
              <w:right w:val="nil"/>
            </w:tcBorders>
            <w:vAlign w:val="bottom"/>
          </w:tcPr>
          <w:p w14:paraId="13DA8C80" w14:textId="7182C7D0" w:rsidR="006A4E19" w:rsidRPr="00F54064" w:rsidRDefault="00C34A6B" w:rsidP="006A4E19">
            <w:pPr>
              <w:pStyle w:val="TableText"/>
              <w:tabs>
                <w:tab w:val="left" w:pos="3306"/>
              </w:tabs>
              <w:rPr>
                <w:rFonts w:cs="Calibri"/>
                <w:b/>
                <w:bCs/>
              </w:rPr>
            </w:pPr>
            <w:r w:rsidRPr="00F54064">
              <w:rPr>
                <w:rFonts w:cs="Calibri"/>
                <w:b/>
                <w:bCs/>
              </w:rPr>
              <w:t>Operating</w:t>
            </w:r>
            <w:r w:rsidR="00BF7D65" w:rsidRPr="00F54064">
              <w:rPr>
                <w:rFonts w:cs="Calibri"/>
                <w:b/>
                <w:bCs/>
              </w:rPr>
              <w:t xml:space="preserve"> Result</w:t>
            </w:r>
          </w:p>
        </w:tc>
        <w:tc>
          <w:tcPr>
            <w:tcW w:w="638" w:type="dxa"/>
            <w:tcBorders>
              <w:top w:val="nil"/>
              <w:left w:val="nil"/>
              <w:bottom w:val="nil"/>
              <w:right w:val="nil"/>
            </w:tcBorders>
            <w:vAlign w:val="bottom"/>
          </w:tcPr>
          <w:p w14:paraId="424CD3EE"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186B2B9A" w14:textId="77777777" w:rsidR="006A4E19" w:rsidRPr="00F54064" w:rsidRDefault="006A4E19" w:rsidP="00FD5E99">
            <w:pPr>
              <w:pStyle w:val="TableText"/>
              <w:tabs>
                <w:tab w:val="left" w:pos="3306"/>
              </w:tabs>
              <w:jc w:val="right"/>
              <w:rPr>
                <w:rFonts w:cs="Calibri"/>
                <w:b/>
                <w:bCs/>
                <w:strike/>
              </w:rPr>
            </w:pPr>
          </w:p>
        </w:tc>
        <w:tc>
          <w:tcPr>
            <w:tcW w:w="1185" w:type="dxa"/>
            <w:tcBorders>
              <w:top w:val="single" w:sz="4" w:space="0" w:color="auto"/>
              <w:left w:val="nil"/>
              <w:bottom w:val="single" w:sz="4" w:space="0" w:color="auto"/>
              <w:right w:val="nil"/>
            </w:tcBorders>
            <w:vAlign w:val="bottom"/>
          </w:tcPr>
          <w:p w14:paraId="62747A20"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297E0CE5" w14:textId="77777777" w:rsidR="006A4E19" w:rsidRPr="00F54064" w:rsidRDefault="006A4E19" w:rsidP="006A4E19">
            <w:pPr>
              <w:pStyle w:val="TableText"/>
              <w:tabs>
                <w:tab w:val="left" w:pos="3306"/>
              </w:tabs>
              <w:jc w:val="right"/>
              <w:rPr>
                <w:rFonts w:cs="Calibri"/>
                <w:b/>
                <w:bCs/>
              </w:rPr>
            </w:pPr>
          </w:p>
        </w:tc>
      </w:tr>
      <w:tr w:rsidR="006A4E19" w:rsidRPr="00CF7E1B" w14:paraId="78378897" w14:textId="77777777" w:rsidTr="00B66382">
        <w:trPr>
          <w:cantSplit/>
          <w:trHeight w:val="20"/>
        </w:trPr>
        <w:tc>
          <w:tcPr>
            <w:tcW w:w="1613" w:type="dxa"/>
            <w:tcBorders>
              <w:top w:val="nil"/>
              <w:left w:val="single" w:sz="2" w:space="0" w:color="auto"/>
              <w:bottom w:val="nil"/>
              <w:right w:val="single" w:sz="2" w:space="0" w:color="auto"/>
            </w:tcBorders>
          </w:tcPr>
          <w:p w14:paraId="10E2010A" w14:textId="77777777" w:rsidR="006A4E19" w:rsidRPr="00F54064" w:rsidRDefault="006A4E19"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494EA2EA" w14:textId="77777777" w:rsidR="006A4E19" w:rsidRPr="00F54064" w:rsidRDefault="006A4E19" w:rsidP="006A4E19">
            <w:pPr>
              <w:pStyle w:val="TableText"/>
              <w:tabs>
                <w:tab w:val="left" w:pos="3306"/>
              </w:tabs>
              <w:rPr>
                <w:rFonts w:cs="Calibri"/>
                <w:b/>
                <w:bCs/>
              </w:rPr>
            </w:pPr>
          </w:p>
        </w:tc>
        <w:tc>
          <w:tcPr>
            <w:tcW w:w="638" w:type="dxa"/>
            <w:tcBorders>
              <w:top w:val="nil"/>
              <w:left w:val="nil"/>
              <w:bottom w:val="nil"/>
              <w:right w:val="nil"/>
            </w:tcBorders>
            <w:vAlign w:val="bottom"/>
          </w:tcPr>
          <w:p w14:paraId="68CCD361"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nil"/>
              <w:right w:val="nil"/>
            </w:tcBorders>
            <w:vAlign w:val="bottom"/>
          </w:tcPr>
          <w:p w14:paraId="14D6316B" w14:textId="77777777" w:rsidR="006A4E19" w:rsidRPr="00F54064" w:rsidRDefault="006A4E19" w:rsidP="006A4E19">
            <w:pPr>
              <w:pStyle w:val="TableText"/>
              <w:tabs>
                <w:tab w:val="left" w:pos="3306"/>
              </w:tabs>
              <w:jc w:val="right"/>
              <w:rPr>
                <w:rFonts w:cs="Calibri"/>
              </w:rPr>
            </w:pPr>
          </w:p>
        </w:tc>
        <w:tc>
          <w:tcPr>
            <w:tcW w:w="1185" w:type="dxa"/>
            <w:tcBorders>
              <w:top w:val="single" w:sz="4" w:space="0" w:color="auto"/>
              <w:left w:val="nil"/>
              <w:bottom w:val="nil"/>
              <w:right w:val="nil"/>
            </w:tcBorders>
            <w:vAlign w:val="bottom"/>
          </w:tcPr>
          <w:p w14:paraId="78328F0A" w14:textId="77777777" w:rsidR="006A4E19" w:rsidRPr="00F54064" w:rsidRDefault="006A4E19" w:rsidP="006A4E19">
            <w:pPr>
              <w:pStyle w:val="TableText"/>
              <w:tabs>
                <w:tab w:val="left" w:pos="3306"/>
              </w:tabs>
              <w:jc w:val="right"/>
              <w:rPr>
                <w:rFonts w:cs="Calibri"/>
              </w:rPr>
            </w:pPr>
          </w:p>
        </w:tc>
        <w:tc>
          <w:tcPr>
            <w:tcW w:w="1185" w:type="dxa"/>
            <w:tcBorders>
              <w:top w:val="single" w:sz="4" w:space="0" w:color="auto"/>
              <w:left w:val="nil"/>
              <w:bottom w:val="nil"/>
              <w:right w:val="nil"/>
            </w:tcBorders>
            <w:vAlign w:val="bottom"/>
          </w:tcPr>
          <w:p w14:paraId="46A6632D" w14:textId="77777777" w:rsidR="006A4E19" w:rsidRPr="00F54064" w:rsidRDefault="006A4E19" w:rsidP="006A4E19">
            <w:pPr>
              <w:pStyle w:val="TableText"/>
              <w:tabs>
                <w:tab w:val="left" w:pos="3306"/>
              </w:tabs>
              <w:jc w:val="right"/>
              <w:rPr>
                <w:rFonts w:cs="Calibri"/>
              </w:rPr>
            </w:pPr>
          </w:p>
        </w:tc>
      </w:tr>
      <w:tr w:rsidR="006A4E19" w:rsidRPr="00CF7E1B" w14:paraId="5BEA8EDD" w14:textId="77777777" w:rsidTr="00B66382">
        <w:trPr>
          <w:cantSplit/>
          <w:trHeight w:val="20"/>
        </w:trPr>
        <w:tc>
          <w:tcPr>
            <w:tcW w:w="1613" w:type="dxa"/>
            <w:tcBorders>
              <w:top w:val="nil"/>
              <w:left w:val="single" w:sz="2" w:space="0" w:color="auto"/>
              <w:bottom w:val="nil"/>
              <w:right w:val="single" w:sz="2" w:space="0" w:color="auto"/>
            </w:tcBorders>
          </w:tcPr>
          <w:p w14:paraId="0580017E"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85</w:t>
            </w:r>
          </w:p>
          <w:p w14:paraId="1AC60356" w14:textId="77777777" w:rsidR="009D7603" w:rsidRPr="00F54064" w:rsidRDefault="009D7603" w:rsidP="00B11849">
            <w:pPr>
              <w:pStyle w:val="TableReference"/>
              <w:tabs>
                <w:tab w:val="left" w:pos="3306"/>
              </w:tabs>
              <w:spacing w:beforeLines="20" w:before="48"/>
              <w:rPr>
                <w:rFonts w:cs="Calibri"/>
                <w:strike/>
                <w:color w:val="7030A0"/>
                <w:sz w:val="14"/>
              </w:rPr>
            </w:pPr>
          </w:p>
        </w:tc>
        <w:tc>
          <w:tcPr>
            <w:tcW w:w="4749" w:type="dxa"/>
            <w:tcBorders>
              <w:top w:val="nil"/>
              <w:left w:val="single" w:sz="2" w:space="0" w:color="auto"/>
              <w:bottom w:val="nil"/>
              <w:right w:val="nil"/>
            </w:tcBorders>
            <w:vAlign w:val="bottom"/>
          </w:tcPr>
          <w:p w14:paraId="397AB570" w14:textId="77777777" w:rsidR="006A4E19" w:rsidRPr="00F54064" w:rsidRDefault="006A4E19" w:rsidP="006A4E19">
            <w:pPr>
              <w:pStyle w:val="TableText"/>
              <w:tabs>
                <w:tab w:val="left" w:pos="3306"/>
              </w:tabs>
              <w:rPr>
                <w:rFonts w:cs="Calibri"/>
                <w:b/>
                <w:bCs/>
              </w:rPr>
            </w:pPr>
            <w:r w:rsidRPr="00F54064">
              <w:rPr>
                <w:rFonts w:cs="Calibri"/>
                <w:b/>
                <w:bCs/>
              </w:rPr>
              <w:t>Other Comprehensive Income</w:t>
            </w:r>
          </w:p>
          <w:p w14:paraId="338F5032" w14:textId="77777777" w:rsidR="00CF7E1B" w:rsidRPr="00F54064" w:rsidRDefault="00CF7E1B" w:rsidP="001333A5">
            <w:pPr>
              <w:pStyle w:val="TableText"/>
              <w:tabs>
                <w:tab w:val="left" w:pos="3306"/>
              </w:tabs>
              <w:rPr>
                <w:rFonts w:cs="Calibri"/>
                <w:i/>
                <w:sz w:val="20"/>
                <w:szCs w:val="20"/>
              </w:rPr>
            </w:pPr>
            <w:r w:rsidRPr="00F54064">
              <w:rPr>
                <w:rFonts w:cs="Calibri"/>
                <w:i/>
              </w:rPr>
              <w:t>Items that will not be reclassified subsequently to profit or loss</w:t>
            </w:r>
            <w:r w:rsidRPr="00F54064">
              <w:rPr>
                <w:rFonts w:cs="Calibri"/>
                <w:i/>
                <w:sz w:val="20"/>
                <w:szCs w:val="20"/>
              </w:rPr>
              <w:t xml:space="preserve"> </w:t>
            </w:r>
          </w:p>
        </w:tc>
        <w:tc>
          <w:tcPr>
            <w:tcW w:w="638" w:type="dxa"/>
            <w:tcBorders>
              <w:top w:val="nil"/>
              <w:left w:val="nil"/>
              <w:bottom w:val="nil"/>
              <w:right w:val="nil"/>
            </w:tcBorders>
            <w:vAlign w:val="bottom"/>
          </w:tcPr>
          <w:p w14:paraId="1C046515" w14:textId="77777777" w:rsidR="006A4E19" w:rsidRPr="00F54064" w:rsidRDefault="006A4E19" w:rsidP="006A4E19">
            <w:pPr>
              <w:pStyle w:val="TableText"/>
              <w:tabs>
                <w:tab w:val="left" w:pos="3306"/>
              </w:tabs>
              <w:jc w:val="center"/>
              <w:rPr>
                <w:rFonts w:cs="Calibri"/>
              </w:rPr>
            </w:pPr>
          </w:p>
        </w:tc>
        <w:tc>
          <w:tcPr>
            <w:tcW w:w="1185" w:type="dxa"/>
            <w:tcBorders>
              <w:top w:val="nil"/>
              <w:left w:val="nil"/>
              <w:bottom w:val="nil"/>
              <w:right w:val="nil"/>
            </w:tcBorders>
            <w:vAlign w:val="bottom"/>
          </w:tcPr>
          <w:p w14:paraId="6FA6A514"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6717D0EC"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17B6D3DD" w14:textId="77777777" w:rsidR="006A4E19" w:rsidRPr="00F54064" w:rsidRDefault="006A4E19" w:rsidP="006A4E19">
            <w:pPr>
              <w:pStyle w:val="TableText"/>
              <w:tabs>
                <w:tab w:val="left" w:pos="3306"/>
              </w:tabs>
              <w:jc w:val="right"/>
              <w:rPr>
                <w:rFonts w:cs="Calibri"/>
              </w:rPr>
            </w:pPr>
          </w:p>
        </w:tc>
      </w:tr>
      <w:tr w:rsidR="006A4E19" w:rsidRPr="00CF7E1B" w14:paraId="5B0086B7" w14:textId="77777777" w:rsidTr="00B66382">
        <w:trPr>
          <w:cantSplit/>
          <w:trHeight w:val="274"/>
        </w:trPr>
        <w:tc>
          <w:tcPr>
            <w:tcW w:w="1613" w:type="dxa"/>
            <w:tcBorders>
              <w:top w:val="nil"/>
              <w:left w:val="single" w:sz="2" w:space="0" w:color="auto"/>
              <w:bottom w:val="nil"/>
              <w:right w:val="single" w:sz="2" w:space="0" w:color="auto"/>
            </w:tcBorders>
          </w:tcPr>
          <w:p w14:paraId="50779C5C" w14:textId="77777777"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6E58DB" w:rsidRPr="00F54064">
              <w:rPr>
                <w:rFonts w:cs="Calibri"/>
                <w:color w:val="7030A0"/>
                <w:sz w:val="14"/>
              </w:rPr>
              <w:t>82</w:t>
            </w:r>
            <w:r w:rsidR="009D7603" w:rsidRPr="00F54064">
              <w:rPr>
                <w:rFonts w:cs="Calibri"/>
                <w:color w:val="7030A0"/>
                <w:sz w:val="14"/>
              </w:rPr>
              <w:t>A</w:t>
            </w:r>
            <w:r w:rsidR="0037084C" w:rsidRPr="00F54064">
              <w:rPr>
                <w:rFonts w:cs="Calibri"/>
                <w:color w:val="7030A0"/>
                <w:sz w:val="14"/>
              </w:rPr>
              <w:t>(a)</w:t>
            </w:r>
            <w:r w:rsidR="00DB6D27" w:rsidRPr="00F54064">
              <w:rPr>
                <w:rFonts w:cs="Calibri"/>
                <w:color w:val="7030A0"/>
                <w:sz w:val="14"/>
              </w:rPr>
              <w:t>(i)</w:t>
            </w:r>
          </w:p>
        </w:tc>
        <w:tc>
          <w:tcPr>
            <w:tcW w:w="4749" w:type="dxa"/>
            <w:tcBorders>
              <w:top w:val="nil"/>
              <w:left w:val="single" w:sz="2" w:space="0" w:color="auto"/>
              <w:bottom w:val="nil"/>
              <w:right w:val="nil"/>
            </w:tcBorders>
            <w:vAlign w:val="bottom"/>
          </w:tcPr>
          <w:p w14:paraId="17B65ABA" w14:textId="77777777" w:rsidR="006A4E19" w:rsidRPr="00F54064" w:rsidRDefault="00654269" w:rsidP="00497963">
            <w:pPr>
              <w:pStyle w:val="TableText"/>
              <w:tabs>
                <w:tab w:val="left" w:pos="3306"/>
              </w:tabs>
              <w:spacing w:before="0"/>
              <w:rPr>
                <w:rFonts w:cs="Calibri"/>
              </w:rPr>
            </w:pPr>
            <w:r w:rsidRPr="00F54064">
              <w:rPr>
                <w:rFonts w:cs="Calibri"/>
              </w:rPr>
              <w:t>Increase/(decrease)</w:t>
            </w:r>
            <w:r w:rsidR="006A4E19" w:rsidRPr="00F54064">
              <w:rPr>
                <w:rFonts w:cs="Calibri"/>
              </w:rPr>
              <w:t xml:space="preserve"> in</w:t>
            </w:r>
            <w:r w:rsidR="00DF611A" w:rsidRPr="00F54064">
              <w:rPr>
                <w:rFonts w:cs="Calibri"/>
              </w:rPr>
              <w:t xml:space="preserve"> the</w:t>
            </w:r>
            <w:r w:rsidR="006A4E19" w:rsidRPr="00F54064">
              <w:rPr>
                <w:rFonts w:cs="Calibri"/>
              </w:rPr>
              <w:t xml:space="preserve"> Asset </w:t>
            </w:r>
            <w:r w:rsidR="00423574" w:rsidRPr="00F54064">
              <w:rPr>
                <w:rFonts w:cs="Calibri"/>
              </w:rPr>
              <w:t>R</w:t>
            </w:r>
            <w:r w:rsidR="006A4E19" w:rsidRPr="00F54064">
              <w:rPr>
                <w:rFonts w:cs="Calibri"/>
              </w:rPr>
              <w:t xml:space="preserve">evaluation </w:t>
            </w:r>
            <w:r w:rsidR="00423574" w:rsidRPr="00F54064">
              <w:rPr>
                <w:rFonts w:cs="Calibri"/>
              </w:rPr>
              <w:t>S</w:t>
            </w:r>
            <w:r w:rsidR="00ED4FE2" w:rsidRPr="00F54064">
              <w:rPr>
                <w:rFonts w:cs="Calibri"/>
              </w:rPr>
              <w:t>urplus</w:t>
            </w:r>
          </w:p>
        </w:tc>
        <w:tc>
          <w:tcPr>
            <w:tcW w:w="638" w:type="dxa"/>
            <w:tcBorders>
              <w:top w:val="nil"/>
              <w:left w:val="nil"/>
              <w:bottom w:val="nil"/>
              <w:right w:val="nil"/>
            </w:tcBorders>
            <w:vAlign w:val="bottom"/>
          </w:tcPr>
          <w:p w14:paraId="49C35B39" w14:textId="77777777" w:rsidR="006A4E19" w:rsidRPr="00F54064" w:rsidRDefault="006A4E19" w:rsidP="006A4E19">
            <w:pPr>
              <w:pStyle w:val="TableText"/>
              <w:tabs>
                <w:tab w:val="left" w:pos="3306"/>
              </w:tabs>
              <w:spacing w:before="0"/>
              <w:jc w:val="center"/>
              <w:rPr>
                <w:rFonts w:cs="Calibri"/>
              </w:rPr>
            </w:pPr>
          </w:p>
        </w:tc>
        <w:tc>
          <w:tcPr>
            <w:tcW w:w="1185" w:type="dxa"/>
            <w:tcBorders>
              <w:top w:val="nil"/>
              <w:left w:val="nil"/>
              <w:bottom w:val="nil"/>
              <w:right w:val="nil"/>
            </w:tcBorders>
            <w:vAlign w:val="bottom"/>
          </w:tcPr>
          <w:p w14:paraId="668F88C0"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2B7E0EEF" w14:textId="77777777" w:rsidR="006A4E19" w:rsidRPr="00F54064" w:rsidRDefault="006A4E19" w:rsidP="006A4E19">
            <w:pPr>
              <w:pStyle w:val="TableText"/>
              <w:tabs>
                <w:tab w:val="left" w:pos="3306"/>
              </w:tabs>
              <w:jc w:val="right"/>
              <w:rPr>
                <w:rFonts w:cs="Calibri"/>
              </w:rPr>
            </w:pPr>
          </w:p>
        </w:tc>
        <w:tc>
          <w:tcPr>
            <w:tcW w:w="1185" w:type="dxa"/>
            <w:tcBorders>
              <w:top w:val="nil"/>
              <w:left w:val="nil"/>
              <w:bottom w:val="nil"/>
              <w:right w:val="nil"/>
            </w:tcBorders>
            <w:vAlign w:val="bottom"/>
          </w:tcPr>
          <w:p w14:paraId="1E0FB0DB" w14:textId="77777777" w:rsidR="006A4E19" w:rsidRPr="00F54064" w:rsidRDefault="006A4E19" w:rsidP="006A4E19">
            <w:pPr>
              <w:pStyle w:val="TableText"/>
              <w:tabs>
                <w:tab w:val="left" w:pos="3306"/>
              </w:tabs>
              <w:jc w:val="right"/>
              <w:rPr>
                <w:rFonts w:cs="Calibri"/>
              </w:rPr>
            </w:pPr>
          </w:p>
        </w:tc>
      </w:tr>
      <w:tr w:rsidR="00423574" w:rsidRPr="00CF7E1B" w14:paraId="1D0AF800" w14:textId="77777777" w:rsidTr="00B66382">
        <w:trPr>
          <w:cantSplit/>
          <w:trHeight w:val="20"/>
        </w:trPr>
        <w:tc>
          <w:tcPr>
            <w:tcW w:w="1613" w:type="dxa"/>
            <w:tcBorders>
              <w:top w:val="nil"/>
              <w:left w:val="single" w:sz="2" w:space="0" w:color="auto"/>
              <w:bottom w:val="nil"/>
              <w:right w:val="single" w:sz="2" w:space="0" w:color="auto"/>
            </w:tcBorders>
          </w:tcPr>
          <w:p w14:paraId="3E3D0D6C" w14:textId="77777777" w:rsidR="00423574" w:rsidRPr="00F54064" w:rsidRDefault="00423574"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6E58DB" w:rsidRPr="00F54064">
              <w:rPr>
                <w:rFonts w:cs="Calibri"/>
                <w:color w:val="7030A0"/>
                <w:sz w:val="14"/>
              </w:rPr>
              <w:t>82</w:t>
            </w:r>
            <w:r w:rsidR="007E5593" w:rsidRPr="00F54064">
              <w:rPr>
                <w:rFonts w:cs="Calibri"/>
                <w:color w:val="7030A0"/>
                <w:sz w:val="14"/>
              </w:rPr>
              <w:t>A</w:t>
            </w:r>
            <w:r w:rsidR="00032A3A" w:rsidRPr="00F54064">
              <w:rPr>
                <w:rFonts w:cs="Calibri"/>
                <w:color w:val="7030A0"/>
                <w:sz w:val="14"/>
              </w:rPr>
              <w:t>(</w:t>
            </w:r>
            <w:r w:rsidR="00EC0D8F" w:rsidRPr="00F54064">
              <w:rPr>
                <w:rFonts w:cs="Calibri"/>
                <w:color w:val="7030A0"/>
                <w:sz w:val="14"/>
              </w:rPr>
              <w:t>b)(i)</w:t>
            </w:r>
          </w:p>
        </w:tc>
        <w:tc>
          <w:tcPr>
            <w:tcW w:w="4749" w:type="dxa"/>
            <w:tcBorders>
              <w:top w:val="nil"/>
              <w:left w:val="single" w:sz="2" w:space="0" w:color="auto"/>
              <w:bottom w:val="nil"/>
              <w:right w:val="nil"/>
            </w:tcBorders>
            <w:vAlign w:val="bottom"/>
          </w:tcPr>
          <w:p w14:paraId="4738B423" w14:textId="77777777" w:rsidR="00423574" w:rsidRPr="00F54064" w:rsidRDefault="00654269" w:rsidP="001000C4">
            <w:pPr>
              <w:pStyle w:val="TableText"/>
              <w:tabs>
                <w:tab w:val="left" w:pos="3306"/>
              </w:tabs>
              <w:ind w:left="179" w:hanging="179"/>
              <w:rPr>
                <w:rFonts w:cs="Calibri"/>
                <w:bCs/>
              </w:rPr>
            </w:pPr>
            <w:r w:rsidRPr="00F54064">
              <w:rPr>
                <w:rFonts w:cs="Calibri"/>
              </w:rPr>
              <w:t xml:space="preserve">Increase/(decrease) </w:t>
            </w:r>
            <w:r w:rsidR="00423574" w:rsidRPr="00F54064">
              <w:rPr>
                <w:rFonts w:cs="Calibri"/>
                <w:bCs/>
              </w:rPr>
              <w:t>in</w:t>
            </w:r>
            <w:r w:rsidR="00DF611A" w:rsidRPr="00F54064">
              <w:rPr>
                <w:rFonts w:cs="Calibri"/>
                <w:bCs/>
              </w:rPr>
              <w:t xml:space="preserve"> the</w:t>
            </w:r>
            <w:r w:rsidR="00423574" w:rsidRPr="00F54064">
              <w:rPr>
                <w:rFonts w:cs="Calibri"/>
                <w:bCs/>
              </w:rPr>
              <w:t xml:space="preserve"> Asset Revaluation Surplus</w:t>
            </w:r>
            <w:r w:rsidR="00497963" w:rsidRPr="00F54064">
              <w:rPr>
                <w:rFonts w:cs="Calibri"/>
                <w:bCs/>
              </w:rPr>
              <w:t xml:space="preserve"> a</w:t>
            </w:r>
            <w:r w:rsidR="00423574" w:rsidRPr="00F54064">
              <w:rPr>
                <w:rFonts w:cs="Calibri"/>
                <w:bCs/>
              </w:rPr>
              <w:t>ttributable to Joint Ventures</w:t>
            </w:r>
          </w:p>
        </w:tc>
        <w:tc>
          <w:tcPr>
            <w:tcW w:w="638" w:type="dxa"/>
            <w:tcBorders>
              <w:top w:val="nil"/>
              <w:left w:val="nil"/>
              <w:bottom w:val="nil"/>
              <w:right w:val="nil"/>
            </w:tcBorders>
            <w:vAlign w:val="bottom"/>
          </w:tcPr>
          <w:p w14:paraId="65637CA0" w14:textId="77777777" w:rsidR="00423574" w:rsidRPr="00F54064" w:rsidRDefault="00423574" w:rsidP="006A4E19">
            <w:pPr>
              <w:pStyle w:val="TableText"/>
              <w:tabs>
                <w:tab w:val="left" w:pos="3306"/>
              </w:tabs>
              <w:jc w:val="center"/>
              <w:rPr>
                <w:rFonts w:cs="Calibri"/>
              </w:rPr>
            </w:pPr>
          </w:p>
        </w:tc>
        <w:tc>
          <w:tcPr>
            <w:tcW w:w="1185" w:type="dxa"/>
            <w:tcBorders>
              <w:top w:val="nil"/>
              <w:left w:val="nil"/>
              <w:bottom w:val="single" w:sz="4" w:space="0" w:color="auto"/>
              <w:right w:val="nil"/>
            </w:tcBorders>
            <w:vAlign w:val="bottom"/>
          </w:tcPr>
          <w:p w14:paraId="34B10521" w14:textId="77777777" w:rsidR="00423574" w:rsidRPr="00F54064" w:rsidRDefault="00423574" w:rsidP="006A4E19">
            <w:pPr>
              <w:pStyle w:val="TableText"/>
              <w:tabs>
                <w:tab w:val="left" w:pos="3306"/>
              </w:tabs>
              <w:jc w:val="right"/>
              <w:rPr>
                <w:rFonts w:cs="Calibri"/>
                <w:bCs/>
              </w:rPr>
            </w:pPr>
          </w:p>
        </w:tc>
        <w:tc>
          <w:tcPr>
            <w:tcW w:w="1185" w:type="dxa"/>
            <w:tcBorders>
              <w:top w:val="nil"/>
              <w:left w:val="nil"/>
              <w:bottom w:val="single" w:sz="4" w:space="0" w:color="auto"/>
              <w:right w:val="nil"/>
            </w:tcBorders>
            <w:vAlign w:val="bottom"/>
          </w:tcPr>
          <w:p w14:paraId="061E9843" w14:textId="77777777" w:rsidR="00423574" w:rsidRPr="00F54064" w:rsidRDefault="00423574" w:rsidP="006A4E19">
            <w:pPr>
              <w:pStyle w:val="TableText"/>
              <w:tabs>
                <w:tab w:val="left" w:pos="3306"/>
              </w:tabs>
              <w:jc w:val="right"/>
              <w:rPr>
                <w:rFonts w:cs="Calibri"/>
                <w:bCs/>
              </w:rPr>
            </w:pPr>
          </w:p>
        </w:tc>
        <w:tc>
          <w:tcPr>
            <w:tcW w:w="1185" w:type="dxa"/>
            <w:tcBorders>
              <w:top w:val="nil"/>
              <w:left w:val="nil"/>
              <w:bottom w:val="single" w:sz="4" w:space="0" w:color="auto"/>
              <w:right w:val="nil"/>
            </w:tcBorders>
            <w:vAlign w:val="bottom"/>
          </w:tcPr>
          <w:p w14:paraId="5EC3EA93" w14:textId="77777777" w:rsidR="00423574" w:rsidRPr="00F54064" w:rsidRDefault="00423574" w:rsidP="006A4E19">
            <w:pPr>
              <w:pStyle w:val="TableText"/>
              <w:tabs>
                <w:tab w:val="left" w:pos="3306"/>
              </w:tabs>
              <w:jc w:val="right"/>
              <w:rPr>
                <w:rFonts w:cs="Calibri"/>
                <w:bCs/>
              </w:rPr>
            </w:pPr>
          </w:p>
        </w:tc>
      </w:tr>
      <w:tr w:rsidR="006A4E19" w:rsidRPr="00CF7E1B" w14:paraId="5CEB0F31" w14:textId="77777777" w:rsidTr="00B66382">
        <w:trPr>
          <w:cantSplit/>
          <w:trHeight w:val="20"/>
        </w:trPr>
        <w:tc>
          <w:tcPr>
            <w:tcW w:w="1613" w:type="dxa"/>
            <w:tcBorders>
              <w:top w:val="nil"/>
              <w:left w:val="single" w:sz="2" w:space="0" w:color="auto"/>
              <w:bottom w:val="nil"/>
              <w:right w:val="single" w:sz="2" w:space="0" w:color="auto"/>
            </w:tcBorders>
          </w:tcPr>
          <w:p w14:paraId="48D8CF5F" w14:textId="70AD2759" w:rsidR="006A4E19" w:rsidRPr="00F54064" w:rsidRDefault="006A4E19"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D65811" w:rsidRPr="00F54064">
              <w:rPr>
                <w:rFonts w:cs="Calibri"/>
                <w:color w:val="7030A0"/>
                <w:sz w:val="14"/>
              </w:rPr>
              <w:t>.</w:t>
            </w:r>
            <w:r w:rsidR="0051339F" w:rsidRPr="00F54064">
              <w:rPr>
                <w:rFonts w:cs="Calibri"/>
                <w:color w:val="7030A0"/>
                <w:sz w:val="14"/>
              </w:rPr>
              <w:t>81A(b)</w:t>
            </w:r>
          </w:p>
        </w:tc>
        <w:tc>
          <w:tcPr>
            <w:tcW w:w="4749" w:type="dxa"/>
            <w:tcBorders>
              <w:top w:val="nil"/>
              <w:left w:val="single" w:sz="2" w:space="0" w:color="auto"/>
              <w:bottom w:val="nil"/>
              <w:right w:val="nil"/>
            </w:tcBorders>
            <w:vAlign w:val="bottom"/>
          </w:tcPr>
          <w:p w14:paraId="40985244" w14:textId="77777777" w:rsidR="006A4E19" w:rsidRPr="00F54064" w:rsidRDefault="006A4E19" w:rsidP="006A4E19">
            <w:pPr>
              <w:pStyle w:val="TableText"/>
              <w:tabs>
                <w:tab w:val="left" w:pos="3306"/>
              </w:tabs>
              <w:rPr>
                <w:rFonts w:cs="Calibri"/>
                <w:b/>
                <w:bCs/>
              </w:rPr>
            </w:pPr>
            <w:r w:rsidRPr="00F54064">
              <w:rPr>
                <w:rFonts w:cs="Calibri"/>
                <w:b/>
                <w:bCs/>
              </w:rPr>
              <w:t>Total Other Comprehensive Income</w:t>
            </w:r>
          </w:p>
        </w:tc>
        <w:tc>
          <w:tcPr>
            <w:tcW w:w="638" w:type="dxa"/>
            <w:tcBorders>
              <w:top w:val="nil"/>
              <w:left w:val="nil"/>
              <w:bottom w:val="nil"/>
              <w:right w:val="nil"/>
            </w:tcBorders>
            <w:vAlign w:val="bottom"/>
          </w:tcPr>
          <w:p w14:paraId="2E98E3FB"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3A6ECF87"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481C427D"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7F2F8415" w14:textId="77777777" w:rsidR="006A4E19" w:rsidRPr="00F54064" w:rsidRDefault="006A4E19" w:rsidP="006A4E19">
            <w:pPr>
              <w:pStyle w:val="TableText"/>
              <w:tabs>
                <w:tab w:val="left" w:pos="3306"/>
              </w:tabs>
              <w:jc w:val="right"/>
              <w:rPr>
                <w:rFonts w:cs="Calibri"/>
                <w:b/>
                <w:bCs/>
              </w:rPr>
            </w:pPr>
          </w:p>
        </w:tc>
      </w:tr>
      <w:tr w:rsidR="006A4E19" w:rsidRPr="00CF7E1B" w14:paraId="6614DBF3" w14:textId="77777777" w:rsidTr="00B66382">
        <w:trPr>
          <w:cantSplit/>
          <w:trHeight w:val="20"/>
        </w:trPr>
        <w:tc>
          <w:tcPr>
            <w:tcW w:w="1613" w:type="dxa"/>
            <w:tcBorders>
              <w:top w:val="nil"/>
              <w:left w:val="single" w:sz="2" w:space="0" w:color="auto"/>
              <w:bottom w:val="nil"/>
              <w:right w:val="single" w:sz="2" w:space="0" w:color="auto"/>
            </w:tcBorders>
          </w:tcPr>
          <w:p w14:paraId="40B2A47D" w14:textId="77777777" w:rsidR="006A4E19" w:rsidRPr="00F54064" w:rsidRDefault="006A4E19" w:rsidP="00B11849">
            <w:pPr>
              <w:pStyle w:val="TableReference"/>
              <w:tabs>
                <w:tab w:val="left" w:pos="3306"/>
              </w:tabs>
              <w:spacing w:beforeLines="20" w:before="48"/>
              <w:rPr>
                <w:rFonts w:cs="Calibri"/>
                <w:color w:val="7030A0"/>
                <w:sz w:val="14"/>
              </w:rPr>
            </w:pPr>
          </w:p>
        </w:tc>
        <w:tc>
          <w:tcPr>
            <w:tcW w:w="4749" w:type="dxa"/>
            <w:tcBorders>
              <w:top w:val="nil"/>
              <w:left w:val="single" w:sz="2" w:space="0" w:color="auto"/>
              <w:bottom w:val="nil"/>
              <w:right w:val="nil"/>
            </w:tcBorders>
            <w:vAlign w:val="bottom"/>
          </w:tcPr>
          <w:p w14:paraId="205D3983" w14:textId="77777777" w:rsidR="006A4E19" w:rsidRPr="00F54064" w:rsidRDefault="006A4E19" w:rsidP="006A4E19">
            <w:pPr>
              <w:pStyle w:val="TableText"/>
              <w:tabs>
                <w:tab w:val="left" w:pos="3306"/>
              </w:tabs>
              <w:rPr>
                <w:rFonts w:cs="Calibri"/>
                <w:b/>
                <w:bCs/>
              </w:rPr>
            </w:pPr>
          </w:p>
        </w:tc>
        <w:tc>
          <w:tcPr>
            <w:tcW w:w="638" w:type="dxa"/>
            <w:tcBorders>
              <w:top w:val="nil"/>
              <w:left w:val="nil"/>
              <w:bottom w:val="nil"/>
              <w:right w:val="nil"/>
            </w:tcBorders>
            <w:vAlign w:val="bottom"/>
          </w:tcPr>
          <w:p w14:paraId="337411DC"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single" w:sz="4" w:space="0" w:color="auto"/>
              <w:right w:val="nil"/>
            </w:tcBorders>
            <w:vAlign w:val="bottom"/>
          </w:tcPr>
          <w:p w14:paraId="06DDF267"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0BA905DB"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single" w:sz="4" w:space="0" w:color="auto"/>
              <w:right w:val="nil"/>
            </w:tcBorders>
            <w:vAlign w:val="bottom"/>
          </w:tcPr>
          <w:p w14:paraId="6E524B04" w14:textId="77777777" w:rsidR="006A4E19" w:rsidRPr="00F54064" w:rsidRDefault="006A4E19" w:rsidP="006A4E19">
            <w:pPr>
              <w:pStyle w:val="TableText"/>
              <w:tabs>
                <w:tab w:val="left" w:pos="3306"/>
              </w:tabs>
              <w:jc w:val="right"/>
              <w:rPr>
                <w:rFonts w:cs="Calibri"/>
                <w:b/>
                <w:bCs/>
              </w:rPr>
            </w:pPr>
          </w:p>
        </w:tc>
      </w:tr>
      <w:tr w:rsidR="006A4E19" w:rsidRPr="00CF7E1B" w14:paraId="464843F5" w14:textId="77777777" w:rsidTr="00B66382">
        <w:trPr>
          <w:cantSplit/>
          <w:trHeight w:val="20"/>
        </w:trPr>
        <w:tc>
          <w:tcPr>
            <w:tcW w:w="1613" w:type="dxa"/>
            <w:tcBorders>
              <w:top w:val="nil"/>
              <w:left w:val="single" w:sz="2" w:space="0" w:color="auto"/>
              <w:bottom w:val="nil"/>
              <w:right w:val="single" w:sz="2" w:space="0" w:color="auto"/>
            </w:tcBorders>
          </w:tcPr>
          <w:p w14:paraId="4946F116" w14:textId="77777777" w:rsidR="006A4E19" w:rsidRPr="00F54064" w:rsidRDefault="00FE13E8" w:rsidP="00B11849">
            <w:pPr>
              <w:pStyle w:val="TableReference"/>
              <w:tabs>
                <w:tab w:val="left" w:pos="3306"/>
              </w:tabs>
              <w:spacing w:beforeLines="20" w:before="48"/>
              <w:rPr>
                <w:rFonts w:cs="Calibri"/>
                <w:color w:val="7030A0"/>
                <w:sz w:val="14"/>
              </w:rPr>
            </w:pPr>
            <w:r w:rsidRPr="00F54064">
              <w:rPr>
                <w:rFonts w:cs="Calibri"/>
                <w:color w:val="7030A0"/>
                <w:sz w:val="14"/>
              </w:rPr>
              <w:t>AASB 101.</w:t>
            </w:r>
            <w:r w:rsidR="0051339F" w:rsidRPr="00F54064">
              <w:rPr>
                <w:rFonts w:cs="Calibri"/>
                <w:color w:val="7030A0"/>
                <w:sz w:val="14"/>
              </w:rPr>
              <w:t>81A(c)</w:t>
            </w:r>
          </w:p>
        </w:tc>
        <w:tc>
          <w:tcPr>
            <w:tcW w:w="4749" w:type="dxa"/>
            <w:tcBorders>
              <w:top w:val="nil"/>
              <w:left w:val="single" w:sz="2" w:space="0" w:color="auto"/>
              <w:bottom w:val="nil"/>
              <w:right w:val="nil"/>
            </w:tcBorders>
            <w:vAlign w:val="bottom"/>
          </w:tcPr>
          <w:p w14:paraId="419BC3D7" w14:textId="77777777" w:rsidR="006A4E19" w:rsidRPr="00F54064" w:rsidRDefault="006A4E19" w:rsidP="006A4E19">
            <w:pPr>
              <w:pStyle w:val="TableText"/>
              <w:tabs>
                <w:tab w:val="left" w:pos="3306"/>
              </w:tabs>
              <w:rPr>
                <w:rFonts w:cs="Calibri"/>
                <w:b/>
                <w:bCs/>
              </w:rPr>
            </w:pPr>
            <w:r w:rsidRPr="00F54064">
              <w:rPr>
                <w:rFonts w:cs="Calibri"/>
                <w:b/>
                <w:bCs/>
              </w:rPr>
              <w:t xml:space="preserve">Total Comprehensive </w:t>
            </w:r>
            <w:r w:rsidR="00C34A6B" w:rsidRPr="00F54064">
              <w:rPr>
                <w:rFonts w:cs="Calibri"/>
                <w:b/>
                <w:bCs/>
              </w:rPr>
              <w:t>Income</w:t>
            </w:r>
          </w:p>
        </w:tc>
        <w:tc>
          <w:tcPr>
            <w:tcW w:w="638" w:type="dxa"/>
            <w:tcBorders>
              <w:top w:val="nil"/>
              <w:left w:val="nil"/>
              <w:bottom w:val="nil"/>
              <w:right w:val="nil"/>
            </w:tcBorders>
            <w:vAlign w:val="bottom"/>
          </w:tcPr>
          <w:p w14:paraId="0FB4E9B2" w14:textId="77777777" w:rsidR="006A4E19" w:rsidRPr="00F54064" w:rsidRDefault="006A4E19" w:rsidP="006A4E19">
            <w:pPr>
              <w:pStyle w:val="TableText"/>
              <w:tabs>
                <w:tab w:val="left" w:pos="3306"/>
              </w:tabs>
              <w:jc w:val="center"/>
              <w:rPr>
                <w:rFonts w:cs="Calibri"/>
              </w:rPr>
            </w:pPr>
          </w:p>
        </w:tc>
        <w:tc>
          <w:tcPr>
            <w:tcW w:w="1185" w:type="dxa"/>
            <w:tcBorders>
              <w:top w:val="single" w:sz="4" w:space="0" w:color="auto"/>
              <w:left w:val="nil"/>
              <w:bottom w:val="double" w:sz="4" w:space="0" w:color="auto"/>
              <w:right w:val="nil"/>
            </w:tcBorders>
            <w:vAlign w:val="bottom"/>
          </w:tcPr>
          <w:p w14:paraId="2A761C4B" w14:textId="77777777" w:rsidR="006A4E19" w:rsidRPr="00F54064" w:rsidRDefault="006A4E19" w:rsidP="00FD5E99">
            <w:pPr>
              <w:pStyle w:val="TableText"/>
              <w:tabs>
                <w:tab w:val="left" w:pos="3306"/>
              </w:tabs>
              <w:jc w:val="right"/>
              <w:rPr>
                <w:rFonts w:cs="Calibri"/>
                <w:b/>
                <w:bCs/>
                <w:strike/>
              </w:rPr>
            </w:pPr>
          </w:p>
        </w:tc>
        <w:tc>
          <w:tcPr>
            <w:tcW w:w="1185" w:type="dxa"/>
            <w:tcBorders>
              <w:top w:val="single" w:sz="4" w:space="0" w:color="auto"/>
              <w:left w:val="nil"/>
              <w:bottom w:val="double" w:sz="4" w:space="0" w:color="auto"/>
              <w:right w:val="nil"/>
            </w:tcBorders>
            <w:vAlign w:val="bottom"/>
          </w:tcPr>
          <w:p w14:paraId="10283FCB" w14:textId="77777777" w:rsidR="006A4E19" w:rsidRPr="00F54064" w:rsidRDefault="006A4E19" w:rsidP="006A4E19">
            <w:pPr>
              <w:pStyle w:val="TableText"/>
              <w:tabs>
                <w:tab w:val="left" w:pos="3306"/>
              </w:tabs>
              <w:jc w:val="right"/>
              <w:rPr>
                <w:rFonts w:cs="Calibri"/>
                <w:b/>
                <w:bCs/>
              </w:rPr>
            </w:pPr>
          </w:p>
        </w:tc>
        <w:tc>
          <w:tcPr>
            <w:tcW w:w="1185" w:type="dxa"/>
            <w:tcBorders>
              <w:top w:val="single" w:sz="4" w:space="0" w:color="auto"/>
              <w:left w:val="nil"/>
              <w:bottom w:val="double" w:sz="4" w:space="0" w:color="auto"/>
              <w:right w:val="nil"/>
            </w:tcBorders>
            <w:vAlign w:val="bottom"/>
          </w:tcPr>
          <w:p w14:paraId="7323FA5A" w14:textId="77777777" w:rsidR="006A4E19" w:rsidRPr="00F54064" w:rsidRDefault="006A4E19" w:rsidP="006A4E19">
            <w:pPr>
              <w:pStyle w:val="TableText"/>
              <w:tabs>
                <w:tab w:val="left" w:pos="3306"/>
              </w:tabs>
              <w:jc w:val="right"/>
              <w:rPr>
                <w:rFonts w:cs="Calibri"/>
                <w:b/>
                <w:bCs/>
              </w:rPr>
            </w:pPr>
          </w:p>
        </w:tc>
      </w:tr>
      <w:tr w:rsidR="006A4E19" w:rsidRPr="00CF7E1B" w14:paraId="635BC1A7" w14:textId="77777777" w:rsidTr="00B66382">
        <w:trPr>
          <w:cantSplit/>
          <w:trHeight w:val="20"/>
        </w:trPr>
        <w:tc>
          <w:tcPr>
            <w:tcW w:w="1613" w:type="dxa"/>
            <w:tcBorders>
              <w:top w:val="nil"/>
              <w:left w:val="single" w:sz="2" w:space="0" w:color="auto"/>
              <w:bottom w:val="nil"/>
              <w:right w:val="single" w:sz="2" w:space="0" w:color="auto"/>
            </w:tcBorders>
          </w:tcPr>
          <w:p w14:paraId="5D63F22E" w14:textId="77777777" w:rsidR="006A4E19" w:rsidRPr="00F54064" w:rsidRDefault="006A4E19" w:rsidP="006A4E19">
            <w:pPr>
              <w:pStyle w:val="TableReference"/>
              <w:tabs>
                <w:tab w:val="left" w:pos="3306"/>
              </w:tabs>
              <w:rPr>
                <w:rFonts w:cs="Calibri"/>
                <w:color w:val="7030A0"/>
                <w:sz w:val="16"/>
                <w:szCs w:val="16"/>
              </w:rPr>
            </w:pPr>
          </w:p>
        </w:tc>
        <w:tc>
          <w:tcPr>
            <w:tcW w:w="4749" w:type="dxa"/>
            <w:tcBorders>
              <w:top w:val="nil"/>
              <w:left w:val="single" w:sz="2" w:space="0" w:color="auto"/>
              <w:bottom w:val="nil"/>
              <w:right w:val="nil"/>
            </w:tcBorders>
            <w:vAlign w:val="bottom"/>
          </w:tcPr>
          <w:p w14:paraId="5E4EC94B" w14:textId="77777777" w:rsidR="006A4E19" w:rsidRPr="00F54064" w:rsidRDefault="006A4E19" w:rsidP="006A4E19">
            <w:pPr>
              <w:pStyle w:val="TableText"/>
              <w:tabs>
                <w:tab w:val="left" w:pos="3306"/>
              </w:tabs>
              <w:spacing w:before="0"/>
              <w:rPr>
                <w:rFonts w:cs="Calibri"/>
                <w:b/>
                <w:bCs/>
                <w:sz w:val="12"/>
              </w:rPr>
            </w:pPr>
          </w:p>
        </w:tc>
        <w:tc>
          <w:tcPr>
            <w:tcW w:w="638" w:type="dxa"/>
            <w:tcBorders>
              <w:top w:val="nil"/>
              <w:left w:val="nil"/>
              <w:bottom w:val="nil"/>
              <w:right w:val="nil"/>
            </w:tcBorders>
            <w:vAlign w:val="bottom"/>
          </w:tcPr>
          <w:p w14:paraId="0F8D2262" w14:textId="77777777" w:rsidR="006A4E19" w:rsidRPr="00F54064" w:rsidRDefault="006A4E19" w:rsidP="006A4E19">
            <w:pPr>
              <w:pStyle w:val="TableText"/>
              <w:tabs>
                <w:tab w:val="left" w:pos="3306"/>
              </w:tabs>
              <w:spacing w:before="0"/>
              <w:jc w:val="center"/>
              <w:rPr>
                <w:rFonts w:cs="Calibri"/>
                <w:sz w:val="12"/>
              </w:rPr>
            </w:pPr>
          </w:p>
        </w:tc>
        <w:tc>
          <w:tcPr>
            <w:tcW w:w="1185" w:type="dxa"/>
            <w:tcBorders>
              <w:top w:val="double" w:sz="4" w:space="0" w:color="auto"/>
              <w:left w:val="nil"/>
              <w:bottom w:val="nil"/>
              <w:right w:val="nil"/>
            </w:tcBorders>
            <w:vAlign w:val="bottom"/>
          </w:tcPr>
          <w:p w14:paraId="346CBECD" w14:textId="77777777" w:rsidR="006A4E19" w:rsidRPr="00F54064" w:rsidRDefault="006A4E19" w:rsidP="006A4E19">
            <w:pPr>
              <w:pStyle w:val="TableText"/>
              <w:tabs>
                <w:tab w:val="left" w:pos="3306"/>
              </w:tabs>
              <w:spacing w:before="0"/>
              <w:jc w:val="right"/>
              <w:rPr>
                <w:rFonts w:cs="Calibri"/>
                <w:b/>
                <w:bCs/>
                <w:sz w:val="12"/>
              </w:rPr>
            </w:pPr>
          </w:p>
        </w:tc>
        <w:tc>
          <w:tcPr>
            <w:tcW w:w="1185" w:type="dxa"/>
            <w:tcBorders>
              <w:top w:val="double" w:sz="4" w:space="0" w:color="auto"/>
              <w:left w:val="nil"/>
              <w:bottom w:val="nil"/>
              <w:right w:val="nil"/>
            </w:tcBorders>
            <w:vAlign w:val="bottom"/>
          </w:tcPr>
          <w:p w14:paraId="4AE096F6" w14:textId="77777777" w:rsidR="006A4E19" w:rsidRPr="00F54064" w:rsidRDefault="006A4E19" w:rsidP="006A4E19">
            <w:pPr>
              <w:pStyle w:val="TableText"/>
              <w:tabs>
                <w:tab w:val="left" w:pos="3306"/>
              </w:tabs>
              <w:spacing w:before="0"/>
              <w:jc w:val="right"/>
              <w:rPr>
                <w:rFonts w:cs="Calibri"/>
                <w:b/>
                <w:bCs/>
                <w:sz w:val="12"/>
              </w:rPr>
            </w:pPr>
          </w:p>
        </w:tc>
        <w:tc>
          <w:tcPr>
            <w:tcW w:w="1185" w:type="dxa"/>
            <w:tcBorders>
              <w:top w:val="double" w:sz="4" w:space="0" w:color="auto"/>
              <w:left w:val="nil"/>
              <w:bottom w:val="nil"/>
              <w:right w:val="nil"/>
            </w:tcBorders>
            <w:vAlign w:val="bottom"/>
          </w:tcPr>
          <w:p w14:paraId="250C4910" w14:textId="77777777" w:rsidR="006A4E19" w:rsidRPr="00F54064" w:rsidRDefault="006A4E19" w:rsidP="006A4E19">
            <w:pPr>
              <w:pStyle w:val="TableText"/>
              <w:tabs>
                <w:tab w:val="left" w:pos="3306"/>
              </w:tabs>
              <w:spacing w:before="0"/>
              <w:jc w:val="right"/>
              <w:rPr>
                <w:rFonts w:cs="Calibri"/>
                <w:b/>
                <w:bCs/>
                <w:sz w:val="12"/>
              </w:rPr>
            </w:pPr>
          </w:p>
        </w:tc>
      </w:tr>
      <w:tr w:rsidR="006A4E19" w:rsidRPr="00CF7E1B" w14:paraId="5E5302C0" w14:textId="77777777" w:rsidTr="00B66382">
        <w:trPr>
          <w:cantSplit/>
          <w:trHeight w:val="283"/>
        </w:trPr>
        <w:tc>
          <w:tcPr>
            <w:tcW w:w="1613" w:type="dxa"/>
            <w:tcBorders>
              <w:top w:val="nil"/>
              <w:left w:val="single" w:sz="2" w:space="0" w:color="auto"/>
              <w:bottom w:val="nil"/>
              <w:right w:val="single" w:sz="2" w:space="0" w:color="auto"/>
            </w:tcBorders>
          </w:tcPr>
          <w:p w14:paraId="52211183" w14:textId="77777777" w:rsidR="006A4E19" w:rsidRPr="00F54064" w:rsidRDefault="006A4E19" w:rsidP="006A4E19">
            <w:pPr>
              <w:pStyle w:val="TableReference"/>
              <w:tabs>
                <w:tab w:val="left" w:pos="3306"/>
              </w:tabs>
              <w:rPr>
                <w:rFonts w:cs="Calibri"/>
                <w:color w:val="7030A0"/>
                <w:sz w:val="16"/>
                <w:szCs w:val="16"/>
              </w:rPr>
            </w:pPr>
          </w:p>
        </w:tc>
        <w:tc>
          <w:tcPr>
            <w:tcW w:w="8942" w:type="dxa"/>
            <w:gridSpan w:val="5"/>
            <w:tcBorders>
              <w:top w:val="nil"/>
              <w:left w:val="single" w:sz="2" w:space="0" w:color="auto"/>
              <w:bottom w:val="nil"/>
              <w:right w:val="nil"/>
            </w:tcBorders>
          </w:tcPr>
          <w:p w14:paraId="59A9B35E" w14:textId="77777777" w:rsidR="006A4E19" w:rsidRPr="00F54064" w:rsidRDefault="006A4E19" w:rsidP="006A4E19">
            <w:pPr>
              <w:pStyle w:val="CommentaryReference"/>
              <w:rPr>
                <w:rFonts w:cs="Calibri"/>
                <w:b/>
                <w:bCs/>
                <w:sz w:val="18"/>
                <w:szCs w:val="18"/>
              </w:rPr>
            </w:pPr>
            <w:r w:rsidRPr="00F54064">
              <w:rPr>
                <w:rFonts w:cs="Calibri"/>
                <w:sz w:val="18"/>
                <w:szCs w:val="18"/>
              </w:rPr>
              <w:t xml:space="preserve">The above Operating Statement should be read in conjunction with the accompanying notes. </w:t>
            </w:r>
          </w:p>
        </w:tc>
      </w:tr>
      <w:tr w:rsidR="000C06DA" w:rsidRPr="00CF7E1B" w14:paraId="0EB61970" w14:textId="77777777" w:rsidTr="00B66382">
        <w:trPr>
          <w:cantSplit/>
          <w:trHeight w:val="283"/>
        </w:trPr>
        <w:tc>
          <w:tcPr>
            <w:tcW w:w="1613" w:type="dxa"/>
            <w:tcBorders>
              <w:top w:val="nil"/>
              <w:left w:val="single" w:sz="2" w:space="0" w:color="auto"/>
              <w:bottom w:val="nil"/>
              <w:right w:val="single" w:sz="2" w:space="0" w:color="auto"/>
            </w:tcBorders>
          </w:tcPr>
          <w:p w14:paraId="0A5F5C45" w14:textId="77777777" w:rsidR="000C06DA" w:rsidRPr="00376CAD" w:rsidRDefault="000C06DA" w:rsidP="006A4E19">
            <w:pPr>
              <w:pStyle w:val="TableReference"/>
              <w:tabs>
                <w:tab w:val="left" w:pos="3306"/>
              </w:tabs>
              <w:rPr>
                <w:rFonts w:cs="Calibri"/>
                <w:color w:val="auto"/>
                <w:sz w:val="16"/>
                <w:szCs w:val="16"/>
              </w:rPr>
            </w:pPr>
          </w:p>
        </w:tc>
        <w:tc>
          <w:tcPr>
            <w:tcW w:w="8942" w:type="dxa"/>
            <w:gridSpan w:val="5"/>
            <w:tcBorders>
              <w:top w:val="nil"/>
              <w:left w:val="single" w:sz="2" w:space="0" w:color="auto"/>
              <w:bottom w:val="nil"/>
              <w:right w:val="nil"/>
            </w:tcBorders>
          </w:tcPr>
          <w:p w14:paraId="07637CC4" w14:textId="1EBE3B9C" w:rsidR="000C06DA" w:rsidRPr="00F54064" w:rsidRDefault="000C06DA" w:rsidP="000C06DA">
            <w:pPr>
              <w:pStyle w:val="CommentaryReference"/>
              <w:spacing w:before="240"/>
              <w:rPr>
                <w:rFonts w:cs="Calibri"/>
                <w:sz w:val="16"/>
              </w:rPr>
            </w:pPr>
            <w:r w:rsidRPr="00F54064">
              <w:rPr>
                <w:rFonts w:cs="Calibri"/>
                <w:sz w:val="16"/>
              </w:rPr>
              <w:t># Refer to the Statement of Appropriation.</w:t>
            </w:r>
          </w:p>
        </w:tc>
      </w:tr>
    </w:tbl>
    <w:p w14:paraId="319D6547" w14:textId="77777777" w:rsidR="00F97C03" w:rsidRPr="00CF7E1B" w:rsidRDefault="00F97C03">
      <w:pPr>
        <w:rPr>
          <w:rFonts w:cs="Calibri"/>
          <w:b/>
          <w:bCs/>
        </w:rPr>
        <w:sectPr w:rsidR="00F97C03" w:rsidRPr="00CF7E1B" w:rsidSect="004514CD">
          <w:headerReference w:type="default" r:id="rId20"/>
          <w:footerReference w:type="default" r:id="rId21"/>
          <w:footnotePr>
            <w:numRestart w:val="eachPage"/>
          </w:footnotePr>
          <w:type w:val="nextColumn"/>
          <w:pgSz w:w="11907" w:h="16840" w:code="9"/>
          <w:pgMar w:top="567" w:right="680" w:bottom="567" w:left="680" w:header="284" w:footer="284" w:gutter="0"/>
          <w:cols w:space="720"/>
        </w:sectPr>
      </w:pPr>
    </w:p>
    <w:tbl>
      <w:tblPr>
        <w:tblW w:w="5003" w:type="pct"/>
        <w:tblInd w:w="-63" w:type="dxa"/>
        <w:shd w:val="clear" w:color="auto" w:fill="CCFFCC"/>
        <w:tblLayout w:type="fixed"/>
        <w:tblLook w:val="00A0" w:firstRow="1" w:lastRow="0" w:firstColumn="1" w:lastColumn="0" w:noHBand="0" w:noVBand="0"/>
      </w:tblPr>
      <w:tblGrid>
        <w:gridCol w:w="1620"/>
        <w:gridCol w:w="8930"/>
      </w:tblGrid>
      <w:tr w:rsidR="000144FF" w:rsidRPr="00CF7E1B" w14:paraId="213C517C" w14:textId="77777777" w:rsidTr="00B66382">
        <w:trPr>
          <w:trHeight w:val="20"/>
        </w:trPr>
        <w:tc>
          <w:tcPr>
            <w:tcW w:w="1620" w:type="dxa"/>
            <w:tcBorders>
              <w:left w:val="single" w:sz="2" w:space="0" w:color="auto"/>
              <w:right w:val="single" w:sz="2" w:space="0" w:color="auto"/>
            </w:tcBorders>
          </w:tcPr>
          <w:p w14:paraId="7315E660" w14:textId="77777777" w:rsidR="000144FF" w:rsidRPr="00F54064" w:rsidRDefault="000413B6" w:rsidP="004D1EC6">
            <w:pPr>
              <w:pStyle w:val="CommentaryTitle"/>
              <w:spacing w:before="0" w:after="240"/>
              <w:rPr>
                <w:rFonts w:cs="Calibri"/>
                <w:b w:val="0"/>
                <w:color w:val="7030A0"/>
                <w:sz w:val="20"/>
                <w:szCs w:val="20"/>
              </w:rPr>
            </w:pPr>
            <w:r w:rsidRPr="00F54064">
              <w:rPr>
                <w:rFonts w:cs="Calibri"/>
                <w:color w:val="7030A0"/>
              </w:rPr>
              <w:t>Reference</w:t>
            </w:r>
          </w:p>
        </w:tc>
        <w:tc>
          <w:tcPr>
            <w:tcW w:w="8930" w:type="dxa"/>
            <w:tcBorders>
              <w:left w:val="single" w:sz="2" w:space="0" w:color="auto"/>
            </w:tcBorders>
            <w:shd w:val="clear" w:color="auto" w:fill="7030A0"/>
          </w:tcPr>
          <w:p w14:paraId="2A33D342" w14:textId="77777777" w:rsidR="000144FF" w:rsidRPr="00F54064" w:rsidRDefault="000144FF" w:rsidP="004D1EC6">
            <w:pPr>
              <w:pStyle w:val="CommentaryTitle"/>
              <w:spacing w:before="0" w:after="240"/>
              <w:rPr>
                <w:rFonts w:cs="Calibri"/>
                <w:color w:val="FFFFFF" w:themeColor="background1"/>
                <w:sz w:val="28"/>
                <w:szCs w:val="28"/>
              </w:rPr>
            </w:pPr>
            <w:bookmarkStart w:id="130" w:name="_Toc50440312"/>
            <w:r w:rsidRPr="00F54064">
              <w:rPr>
                <w:rFonts w:cs="Calibri"/>
                <w:color w:val="FFFFFF" w:themeColor="background1"/>
                <w:sz w:val="28"/>
                <w:szCs w:val="28"/>
              </w:rPr>
              <w:t xml:space="preserve">Commentary </w:t>
            </w:r>
            <w:r w:rsidRPr="00F54064">
              <w:rPr>
                <w:rFonts w:cs="Calibri"/>
                <w:color w:val="FFFFFF" w:themeColor="background1"/>
                <w:sz w:val="28"/>
                <w:szCs w:val="28"/>
              </w:rPr>
              <w:sym w:font="Symbol" w:char="F02D"/>
            </w:r>
            <w:r w:rsidRPr="00F54064">
              <w:rPr>
                <w:rFonts w:cs="Calibri"/>
                <w:color w:val="FFFFFF" w:themeColor="background1"/>
                <w:sz w:val="28"/>
                <w:szCs w:val="28"/>
              </w:rPr>
              <w:t xml:space="preserve"> Operating Statement </w:t>
            </w:r>
            <w:bookmarkEnd w:id="130"/>
          </w:p>
        </w:tc>
      </w:tr>
      <w:tr w:rsidR="006A4E19" w:rsidRPr="00CF7E1B" w14:paraId="5F53E678" w14:textId="77777777" w:rsidTr="00B66382">
        <w:trPr>
          <w:trHeight w:val="20"/>
        </w:trPr>
        <w:tc>
          <w:tcPr>
            <w:tcW w:w="1620" w:type="dxa"/>
            <w:tcBorders>
              <w:left w:val="single" w:sz="2" w:space="0" w:color="auto"/>
              <w:right w:val="single" w:sz="2" w:space="0" w:color="auto"/>
            </w:tcBorders>
          </w:tcPr>
          <w:p w14:paraId="1C4D58A2"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81</w:t>
            </w:r>
            <w:r w:rsidR="00F0692C" w:rsidRPr="00F54064">
              <w:rPr>
                <w:rFonts w:cs="Calibri"/>
                <w:color w:val="7030A0"/>
                <w:sz w:val="14"/>
              </w:rPr>
              <w:t>A</w:t>
            </w:r>
            <w:r w:rsidR="00DD0E91" w:rsidRPr="00F54064">
              <w:rPr>
                <w:rFonts w:cs="Calibri"/>
                <w:color w:val="7030A0"/>
                <w:sz w:val="14"/>
              </w:rPr>
              <w:br/>
            </w:r>
            <w:r w:rsidR="00423574" w:rsidRPr="00F54064">
              <w:rPr>
                <w:rFonts w:cs="Calibri"/>
                <w:color w:val="7030A0"/>
                <w:sz w:val="14"/>
              </w:rPr>
              <w:t xml:space="preserve">ACT </w:t>
            </w:r>
            <w:r w:rsidR="00E03FE1" w:rsidRPr="00F54064">
              <w:rPr>
                <w:rFonts w:cs="Calibri"/>
                <w:color w:val="7030A0"/>
                <w:sz w:val="14"/>
              </w:rPr>
              <w:t>Disclosure</w:t>
            </w:r>
            <w:r w:rsidR="00423574" w:rsidRPr="00F54064">
              <w:rPr>
                <w:rFonts w:cs="Calibri"/>
                <w:color w:val="7030A0"/>
                <w:sz w:val="14"/>
              </w:rPr>
              <w:t xml:space="preserve"> Policy</w:t>
            </w:r>
          </w:p>
          <w:p w14:paraId="5E4E08CE" w14:textId="1C509956" w:rsidR="00DD0E91" w:rsidRPr="00F54064" w:rsidRDefault="00EF76BA" w:rsidP="006A4E19">
            <w:pPr>
              <w:pStyle w:val="TableReference"/>
              <w:tabs>
                <w:tab w:val="left" w:pos="3306"/>
              </w:tabs>
              <w:spacing w:before="60"/>
              <w:rPr>
                <w:rFonts w:cs="Calibri"/>
                <w:color w:val="7030A0"/>
                <w:sz w:val="14"/>
              </w:rPr>
            </w:pPr>
            <w:r w:rsidRPr="00F54064">
              <w:rPr>
                <w:rFonts w:cs="Calibri"/>
                <w:color w:val="7030A0"/>
                <w:sz w:val="14"/>
              </w:rPr>
              <w:t>AASB 101.10</w:t>
            </w:r>
          </w:p>
          <w:p w14:paraId="137633D9" w14:textId="77777777" w:rsidR="00423574" w:rsidRPr="00F54064" w:rsidRDefault="00423574" w:rsidP="006A4E19">
            <w:pPr>
              <w:pStyle w:val="TableReference"/>
              <w:tabs>
                <w:tab w:val="left" w:pos="3306"/>
              </w:tabs>
              <w:spacing w:before="60"/>
              <w:rPr>
                <w:rFonts w:cs="Calibri"/>
                <w:color w:val="7030A0"/>
                <w:sz w:val="14"/>
              </w:rPr>
            </w:pPr>
            <w:r w:rsidRPr="00F54064">
              <w:rPr>
                <w:rFonts w:cs="Calibri"/>
                <w:color w:val="7030A0"/>
                <w:sz w:val="14"/>
              </w:rPr>
              <w:t xml:space="preserve">ACT </w:t>
            </w:r>
            <w:r w:rsidR="00E03FE1" w:rsidRPr="00F54064">
              <w:rPr>
                <w:rFonts w:cs="Calibri"/>
                <w:color w:val="7030A0"/>
                <w:sz w:val="14"/>
              </w:rPr>
              <w:t xml:space="preserve">Disclosure </w:t>
            </w:r>
            <w:r w:rsidRPr="00F54064">
              <w:rPr>
                <w:rFonts w:cs="Calibri"/>
                <w:color w:val="7030A0"/>
                <w:sz w:val="14"/>
              </w:rPr>
              <w:t>Policy</w:t>
            </w:r>
          </w:p>
          <w:p w14:paraId="38AFCE98" w14:textId="77777777" w:rsidR="005F3B55" w:rsidRPr="00F54064" w:rsidRDefault="005F3B55" w:rsidP="006A4E19">
            <w:pPr>
              <w:pStyle w:val="TableReference"/>
              <w:tabs>
                <w:tab w:val="left" w:pos="3306"/>
              </w:tabs>
              <w:spacing w:before="60"/>
              <w:rPr>
                <w:rFonts w:cs="Calibri"/>
                <w:color w:val="7030A0"/>
                <w:sz w:val="14"/>
              </w:rPr>
            </w:pPr>
          </w:p>
          <w:p w14:paraId="4B9570FD" w14:textId="77777777" w:rsidR="005F3B55" w:rsidRPr="00F54064" w:rsidRDefault="005F3B55"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1FE9982" w14:textId="039371F3" w:rsidR="006A4E19" w:rsidRPr="00F54064" w:rsidRDefault="00423574" w:rsidP="0081339C">
            <w:pPr>
              <w:pStyle w:val="CommentaryText"/>
              <w:rPr>
                <w:rFonts w:cs="Calibri"/>
                <w:color w:val="FFFFFF" w:themeColor="background1"/>
                <w:sz w:val="18"/>
                <w:szCs w:val="18"/>
              </w:rPr>
            </w:pPr>
            <w:r w:rsidRPr="00F54064">
              <w:rPr>
                <w:rFonts w:cs="Calibri"/>
                <w:color w:val="FFFFFF" w:themeColor="background1"/>
                <w:sz w:val="18"/>
                <w:szCs w:val="18"/>
              </w:rPr>
              <w:t xml:space="preserve">ACT </w:t>
            </w:r>
            <w:r w:rsidR="00A67B85" w:rsidRPr="00F54064">
              <w:rPr>
                <w:rFonts w:cs="Calibri"/>
                <w:color w:val="FFFFFF" w:themeColor="background1"/>
                <w:sz w:val="18"/>
                <w:szCs w:val="18"/>
              </w:rPr>
              <w:t>Disclosure</w:t>
            </w:r>
            <w:r w:rsidR="005768FD" w:rsidRPr="00F54064">
              <w:rPr>
                <w:rFonts w:cs="Calibri"/>
                <w:color w:val="FFFFFF" w:themeColor="background1"/>
                <w:sz w:val="18"/>
                <w:szCs w:val="18"/>
              </w:rPr>
              <w:t xml:space="preserve"> Policy requires an a</w:t>
            </w:r>
            <w:r w:rsidRPr="00F54064">
              <w:rPr>
                <w:rFonts w:cs="Calibri"/>
                <w:color w:val="FFFFFF" w:themeColor="background1"/>
                <w:sz w:val="18"/>
                <w:szCs w:val="18"/>
              </w:rPr>
              <w:t xml:space="preserve">gency to include one Statement of </w:t>
            </w:r>
            <w:r w:rsidR="000B59B0" w:rsidRPr="00F54064">
              <w:rPr>
                <w:rFonts w:cs="Calibri"/>
                <w:color w:val="FFFFFF" w:themeColor="background1"/>
                <w:sz w:val="18"/>
                <w:szCs w:val="18"/>
              </w:rPr>
              <w:t xml:space="preserve">Profit or Loss and Other </w:t>
            </w:r>
            <w:r w:rsidRPr="00F54064">
              <w:rPr>
                <w:rFonts w:cs="Calibri"/>
                <w:color w:val="FFFFFF" w:themeColor="background1"/>
                <w:sz w:val="18"/>
                <w:szCs w:val="18"/>
              </w:rPr>
              <w:t xml:space="preserve">Comprehensive Income in their </w:t>
            </w:r>
            <w:r w:rsidR="006A4E19" w:rsidRPr="00F54064">
              <w:rPr>
                <w:rFonts w:cs="Calibri"/>
                <w:color w:val="FFFFFF" w:themeColor="background1"/>
                <w:sz w:val="18"/>
                <w:szCs w:val="18"/>
              </w:rPr>
              <w:t xml:space="preserve">financial </w:t>
            </w:r>
            <w:r w:rsidRPr="00F54064">
              <w:rPr>
                <w:rFonts w:cs="Calibri"/>
                <w:color w:val="FFFFFF" w:themeColor="background1"/>
                <w:sz w:val="18"/>
                <w:szCs w:val="18"/>
              </w:rPr>
              <w:t xml:space="preserve">statements. </w:t>
            </w:r>
            <w:r w:rsidR="004E6F87" w:rsidRPr="00F54064">
              <w:rPr>
                <w:rFonts w:cs="Calibri"/>
                <w:color w:val="FFFFFF" w:themeColor="background1"/>
                <w:sz w:val="18"/>
                <w:szCs w:val="18"/>
              </w:rPr>
              <w:t xml:space="preserve">AASB 101 </w:t>
            </w:r>
            <w:r w:rsidR="001B700F" w:rsidRPr="00F54064">
              <w:rPr>
                <w:rFonts w:cs="Calibri"/>
                <w:i/>
                <w:iCs/>
                <w:color w:val="FFFFFF" w:themeColor="background1"/>
                <w:sz w:val="18"/>
                <w:szCs w:val="18"/>
              </w:rPr>
              <w:t>Presentation of Financial Statements</w:t>
            </w:r>
            <w:r w:rsidR="001B700F" w:rsidRPr="00F54064">
              <w:rPr>
                <w:rFonts w:cs="Calibri"/>
                <w:color w:val="FFFFFF" w:themeColor="background1"/>
                <w:sz w:val="18"/>
                <w:szCs w:val="18"/>
              </w:rPr>
              <w:t xml:space="preserve"> </w:t>
            </w:r>
            <w:r w:rsidR="004E6F87" w:rsidRPr="00F54064">
              <w:rPr>
                <w:rFonts w:cs="Calibri"/>
                <w:color w:val="FFFFFF" w:themeColor="background1"/>
                <w:sz w:val="18"/>
                <w:szCs w:val="18"/>
              </w:rPr>
              <w:t>allow</w:t>
            </w:r>
            <w:r w:rsidR="00FF35E8" w:rsidRPr="00F54064">
              <w:rPr>
                <w:rFonts w:cs="Calibri"/>
                <w:color w:val="FFFFFF" w:themeColor="background1"/>
                <w:sz w:val="18"/>
                <w:szCs w:val="18"/>
              </w:rPr>
              <w:t>s</w:t>
            </w:r>
            <w:r w:rsidR="004E6F87" w:rsidRPr="00F54064">
              <w:rPr>
                <w:rFonts w:cs="Calibri"/>
                <w:color w:val="FFFFFF" w:themeColor="background1"/>
                <w:sz w:val="18"/>
                <w:szCs w:val="18"/>
              </w:rPr>
              <w:t xml:space="preserve"> entities to choose the title of the </w:t>
            </w:r>
            <w:r w:rsidR="00EF76BA" w:rsidRPr="00F54064">
              <w:rPr>
                <w:rFonts w:cs="Calibri"/>
                <w:color w:val="FFFFFF" w:themeColor="background1"/>
                <w:sz w:val="18"/>
                <w:szCs w:val="18"/>
              </w:rPr>
              <w:t>one Statement of Profit or Loss and Other Comprehensive Income.</w:t>
            </w:r>
            <w:r w:rsidR="00FA7C77">
              <w:rPr>
                <w:rFonts w:cs="Calibri"/>
                <w:color w:val="FFFFFF" w:themeColor="background1"/>
                <w:sz w:val="18"/>
                <w:szCs w:val="18"/>
              </w:rPr>
              <w:t xml:space="preserve"> </w:t>
            </w:r>
            <w:r w:rsidR="00EF76BA" w:rsidRPr="00F54064">
              <w:rPr>
                <w:rFonts w:cs="Calibri"/>
                <w:color w:val="FFFFFF" w:themeColor="background1"/>
                <w:sz w:val="18"/>
                <w:szCs w:val="18"/>
              </w:rPr>
              <w:t xml:space="preserve">However, </w:t>
            </w:r>
            <w:r w:rsidR="006A4E19" w:rsidRPr="00F54064">
              <w:rPr>
                <w:rFonts w:cs="Calibri"/>
                <w:color w:val="FFFFFF" w:themeColor="background1"/>
                <w:sz w:val="18"/>
                <w:szCs w:val="18"/>
              </w:rPr>
              <w:t xml:space="preserve">ACT </w:t>
            </w:r>
            <w:r w:rsidR="00A67B85" w:rsidRPr="00F54064">
              <w:rPr>
                <w:rFonts w:cs="Calibri"/>
                <w:color w:val="FFFFFF" w:themeColor="background1"/>
                <w:sz w:val="18"/>
                <w:szCs w:val="18"/>
              </w:rPr>
              <w:t>Disclosure</w:t>
            </w:r>
            <w:r w:rsidRPr="00F54064">
              <w:rPr>
                <w:rFonts w:cs="Calibri"/>
                <w:color w:val="FFFFFF" w:themeColor="background1"/>
                <w:sz w:val="18"/>
                <w:szCs w:val="18"/>
              </w:rPr>
              <w:t xml:space="preserve"> Policy requires that the single Statement of </w:t>
            </w:r>
            <w:r w:rsidR="00F0692C" w:rsidRPr="00F54064">
              <w:rPr>
                <w:rFonts w:cs="Calibri"/>
                <w:color w:val="FFFFFF" w:themeColor="background1"/>
                <w:sz w:val="18"/>
                <w:szCs w:val="18"/>
              </w:rPr>
              <w:t xml:space="preserve">Profit or Loss and Other </w:t>
            </w:r>
            <w:r w:rsidRPr="00F54064">
              <w:rPr>
                <w:rFonts w:cs="Calibri"/>
                <w:color w:val="FFFFFF" w:themeColor="background1"/>
                <w:sz w:val="18"/>
                <w:szCs w:val="18"/>
              </w:rPr>
              <w:t>Comprehensive Income be called an Operating Statement to maintain consistency</w:t>
            </w:r>
            <w:r w:rsidR="001B0114" w:rsidRPr="00F54064">
              <w:rPr>
                <w:rFonts w:cs="Calibri"/>
                <w:color w:val="FFFFFF" w:themeColor="background1"/>
                <w:sz w:val="18"/>
                <w:szCs w:val="18"/>
              </w:rPr>
              <w:t xml:space="preserve"> and to </w:t>
            </w:r>
            <w:r w:rsidR="006A4E19" w:rsidRPr="00F54064">
              <w:rPr>
                <w:rFonts w:cs="Calibri"/>
                <w:color w:val="FFFFFF" w:themeColor="background1"/>
                <w:sz w:val="18"/>
                <w:szCs w:val="18"/>
              </w:rPr>
              <w:t xml:space="preserve">reflect the fact that most </w:t>
            </w:r>
            <w:r w:rsidR="00D65811" w:rsidRPr="00F54064">
              <w:rPr>
                <w:rFonts w:cs="Calibri"/>
                <w:color w:val="FFFFFF" w:themeColor="background1"/>
                <w:sz w:val="18"/>
                <w:szCs w:val="18"/>
              </w:rPr>
              <w:t>a</w:t>
            </w:r>
            <w:r w:rsidR="006A4E19" w:rsidRPr="00F54064">
              <w:rPr>
                <w:rFonts w:cs="Calibri"/>
                <w:color w:val="FFFFFF" w:themeColor="background1"/>
                <w:sz w:val="18"/>
                <w:szCs w:val="18"/>
              </w:rPr>
              <w:t xml:space="preserve">gencies do not operate solely with the intention to </w:t>
            </w:r>
            <w:r w:rsidR="001B0114" w:rsidRPr="00F54064">
              <w:rPr>
                <w:rFonts w:cs="Calibri"/>
                <w:color w:val="FFFFFF" w:themeColor="background1"/>
                <w:sz w:val="18"/>
                <w:szCs w:val="18"/>
              </w:rPr>
              <w:t>generate</w:t>
            </w:r>
            <w:r w:rsidR="006A4E19" w:rsidRPr="00F54064">
              <w:rPr>
                <w:rFonts w:cs="Calibri"/>
                <w:color w:val="FFFFFF" w:themeColor="background1"/>
                <w:sz w:val="18"/>
                <w:szCs w:val="18"/>
              </w:rPr>
              <w:t xml:space="preserve"> a profit, but to provide services to the community in an efficient and effective manner.</w:t>
            </w:r>
            <w:r w:rsidR="00FA7C77">
              <w:rPr>
                <w:rFonts w:cs="Calibri"/>
                <w:color w:val="FFFFFF" w:themeColor="background1"/>
                <w:sz w:val="18"/>
                <w:szCs w:val="18"/>
              </w:rPr>
              <w:t xml:space="preserve"> </w:t>
            </w:r>
            <w:r w:rsidR="006A4E19" w:rsidRPr="00F54064">
              <w:rPr>
                <w:rFonts w:cs="Calibri"/>
                <w:color w:val="FFFFFF" w:themeColor="background1"/>
                <w:sz w:val="18"/>
                <w:szCs w:val="18"/>
              </w:rPr>
              <w:t>The Operating Statement disclose</w:t>
            </w:r>
            <w:r w:rsidR="002654B0" w:rsidRPr="00F54064">
              <w:rPr>
                <w:rFonts w:cs="Calibri"/>
                <w:color w:val="FFFFFF" w:themeColor="background1"/>
                <w:sz w:val="18"/>
                <w:szCs w:val="18"/>
              </w:rPr>
              <w:t>s</w:t>
            </w:r>
            <w:r w:rsidR="006A4E19" w:rsidRPr="00F54064">
              <w:rPr>
                <w:rFonts w:cs="Calibri"/>
                <w:color w:val="FFFFFF" w:themeColor="background1"/>
                <w:sz w:val="18"/>
                <w:szCs w:val="18"/>
              </w:rPr>
              <w:t xml:space="preserve"> items of profit and loss </w:t>
            </w:r>
            <w:r w:rsidRPr="00F54064">
              <w:rPr>
                <w:rFonts w:cs="Calibri"/>
                <w:color w:val="FFFFFF" w:themeColor="background1"/>
                <w:sz w:val="18"/>
                <w:szCs w:val="18"/>
              </w:rPr>
              <w:t xml:space="preserve">as well as </w:t>
            </w:r>
            <w:r w:rsidR="006A4E19" w:rsidRPr="00F54064">
              <w:rPr>
                <w:rFonts w:cs="Calibri"/>
                <w:color w:val="FFFFFF" w:themeColor="background1"/>
                <w:sz w:val="18"/>
                <w:szCs w:val="18"/>
              </w:rPr>
              <w:t>other comprehensive income as appropriate.</w:t>
            </w:r>
          </w:p>
        </w:tc>
      </w:tr>
      <w:tr w:rsidR="006A4E19" w:rsidRPr="00CF7E1B" w14:paraId="5B620C33" w14:textId="77777777" w:rsidTr="00B66382">
        <w:trPr>
          <w:trHeight w:val="343"/>
        </w:trPr>
        <w:tc>
          <w:tcPr>
            <w:tcW w:w="1620" w:type="dxa"/>
            <w:tcBorders>
              <w:left w:val="single" w:sz="2" w:space="0" w:color="auto"/>
              <w:right w:val="single" w:sz="2" w:space="0" w:color="auto"/>
            </w:tcBorders>
          </w:tcPr>
          <w:p w14:paraId="30BD660E" w14:textId="77777777" w:rsidR="006A4E19" w:rsidRPr="00F54064" w:rsidRDefault="006A4E19" w:rsidP="006A4E1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6D010678" w14:textId="77777777" w:rsidR="006A4E19" w:rsidRPr="00950179" w:rsidRDefault="006A4E19" w:rsidP="0019122B">
            <w:pPr>
              <w:pStyle w:val="CommentaryHeading"/>
              <w:spacing w:after="0"/>
              <w:rPr>
                <w:rFonts w:cs="Calibri"/>
                <w:color w:val="FFFFFF" w:themeColor="background1"/>
                <w:szCs w:val="20"/>
              </w:rPr>
            </w:pPr>
            <w:r w:rsidRPr="00950179">
              <w:rPr>
                <w:rFonts w:cs="Calibri"/>
                <w:color w:val="FFFFFF" w:themeColor="background1"/>
                <w:szCs w:val="20"/>
              </w:rPr>
              <w:t>Format</w:t>
            </w:r>
          </w:p>
        </w:tc>
      </w:tr>
      <w:tr w:rsidR="006A4E19" w:rsidRPr="00E86131" w14:paraId="712DC630" w14:textId="77777777" w:rsidTr="00B66382">
        <w:trPr>
          <w:trHeight w:val="20"/>
        </w:trPr>
        <w:tc>
          <w:tcPr>
            <w:tcW w:w="1620" w:type="dxa"/>
            <w:tcBorders>
              <w:left w:val="single" w:sz="2" w:space="0" w:color="auto"/>
              <w:right w:val="single" w:sz="2" w:space="0" w:color="auto"/>
            </w:tcBorders>
          </w:tcPr>
          <w:p w14:paraId="527D5D7F" w14:textId="407465AB" w:rsidR="006A4E19" w:rsidRPr="00F54064" w:rsidRDefault="006A4E19" w:rsidP="00DC24DE">
            <w:pPr>
              <w:pStyle w:val="TableReference"/>
              <w:tabs>
                <w:tab w:val="left" w:pos="3306"/>
              </w:tabs>
              <w:spacing w:before="60"/>
              <w:rPr>
                <w:rFonts w:cs="Calibri"/>
                <w:color w:val="7030A0"/>
                <w:sz w:val="14"/>
              </w:rPr>
            </w:pPr>
            <w:r w:rsidRPr="00F54064">
              <w:rPr>
                <w:rFonts w:cs="Calibri"/>
                <w:color w:val="7030A0"/>
                <w:sz w:val="14"/>
              </w:rPr>
              <w:t>AASB 101</w:t>
            </w:r>
            <w:r w:rsidR="00D001B7" w:rsidRPr="00F54064">
              <w:rPr>
                <w:rFonts w:cs="Calibri"/>
                <w:color w:val="7030A0"/>
                <w:sz w:val="14"/>
              </w:rPr>
              <w:t>.</w:t>
            </w:r>
            <w:r w:rsidRPr="00F54064">
              <w:rPr>
                <w:rFonts w:cs="Calibri"/>
                <w:color w:val="7030A0"/>
                <w:sz w:val="14"/>
              </w:rPr>
              <w:t>81</w:t>
            </w:r>
            <w:r w:rsidR="00AC2FCA" w:rsidRPr="00F54064">
              <w:rPr>
                <w:rFonts w:cs="Calibri"/>
                <w:color w:val="7030A0"/>
                <w:sz w:val="14"/>
              </w:rPr>
              <w:t>A</w:t>
            </w:r>
            <w:r w:rsidRPr="00F54064">
              <w:rPr>
                <w:rFonts w:cs="Calibri"/>
                <w:color w:val="7030A0"/>
                <w:sz w:val="14"/>
              </w:rPr>
              <w:t xml:space="preserve"> – 105</w:t>
            </w:r>
          </w:p>
        </w:tc>
        <w:tc>
          <w:tcPr>
            <w:tcW w:w="8930" w:type="dxa"/>
            <w:tcBorders>
              <w:left w:val="single" w:sz="2" w:space="0" w:color="auto"/>
            </w:tcBorders>
            <w:shd w:val="clear" w:color="auto" w:fill="7030A0"/>
          </w:tcPr>
          <w:p w14:paraId="3376D748" w14:textId="3EEA5B00" w:rsidR="006A4E19" w:rsidRPr="00F54064" w:rsidRDefault="006A4E19" w:rsidP="00DC24DE">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AASB 101 sets out the format for the Operating Statement, including certain line items that must be disclosed in the statement.</w:t>
            </w:r>
            <w:r w:rsidR="00FA7C77">
              <w:rPr>
                <w:rFonts w:cs="Calibri"/>
                <w:color w:val="FFFFFF" w:themeColor="background1"/>
                <w:sz w:val="18"/>
                <w:szCs w:val="18"/>
              </w:rPr>
              <w:t xml:space="preserve"> </w:t>
            </w:r>
          </w:p>
        </w:tc>
      </w:tr>
      <w:tr w:rsidR="00DC24DE" w:rsidRPr="00E86131" w14:paraId="2915415B" w14:textId="77777777" w:rsidTr="00B66382">
        <w:trPr>
          <w:trHeight w:val="20"/>
        </w:trPr>
        <w:tc>
          <w:tcPr>
            <w:tcW w:w="1620" w:type="dxa"/>
            <w:tcBorders>
              <w:left w:val="single" w:sz="2" w:space="0" w:color="auto"/>
              <w:right w:val="single" w:sz="2" w:space="0" w:color="auto"/>
            </w:tcBorders>
          </w:tcPr>
          <w:p w14:paraId="6A226367" w14:textId="77777777" w:rsidR="00DC24DE" w:rsidRPr="00F54064" w:rsidRDefault="00DC24DE" w:rsidP="00DC24DE">
            <w:pPr>
              <w:pStyle w:val="TableReference"/>
              <w:tabs>
                <w:tab w:val="left" w:pos="3306"/>
              </w:tabs>
              <w:spacing w:before="40"/>
              <w:rPr>
                <w:rFonts w:cs="Calibri"/>
                <w:color w:val="7030A0"/>
                <w:sz w:val="14"/>
              </w:rPr>
            </w:pPr>
            <w:r w:rsidRPr="00F54064">
              <w:rPr>
                <w:rFonts w:cs="Calibri"/>
                <w:color w:val="7030A0"/>
                <w:sz w:val="14"/>
              </w:rPr>
              <w:t>FMA Section 27(2)</w:t>
            </w:r>
          </w:p>
          <w:p w14:paraId="444C5C0E" w14:textId="77777777" w:rsidR="00DC24DE" w:rsidRPr="00F54064" w:rsidRDefault="00DC24DE" w:rsidP="00DC24DE">
            <w:pPr>
              <w:pStyle w:val="TableReference"/>
              <w:tabs>
                <w:tab w:val="left" w:pos="3306"/>
              </w:tabs>
              <w:spacing w:before="40"/>
              <w:rPr>
                <w:rFonts w:cs="Calibri"/>
                <w:color w:val="7030A0"/>
                <w:sz w:val="14"/>
              </w:rPr>
            </w:pPr>
            <w:r w:rsidRPr="00F54064">
              <w:rPr>
                <w:rFonts w:cs="Calibri"/>
                <w:color w:val="7030A0"/>
                <w:sz w:val="14"/>
              </w:rPr>
              <w:t>FMA Section 63(2)</w:t>
            </w:r>
          </w:p>
          <w:p w14:paraId="2498809C" w14:textId="77777777" w:rsidR="00DC24DE" w:rsidRPr="00F54064" w:rsidRDefault="00DC24DE"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098AB382" w14:textId="54E5545C"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The </w:t>
            </w:r>
            <w:r w:rsidR="0081476E" w:rsidRPr="00F54064">
              <w:rPr>
                <w:rFonts w:cs="Calibri"/>
                <w:i/>
                <w:iCs/>
                <w:color w:val="FFFFFF" w:themeColor="background1"/>
                <w:sz w:val="18"/>
                <w:szCs w:val="18"/>
              </w:rPr>
              <w:t>Financial Management Act</w:t>
            </w:r>
            <w:r w:rsidR="00BF7D65" w:rsidRPr="00F54064">
              <w:rPr>
                <w:rFonts w:cs="Calibri"/>
                <w:i/>
                <w:iCs/>
                <w:color w:val="FFFFFF" w:themeColor="background1"/>
                <w:sz w:val="18"/>
                <w:szCs w:val="18"/>
              </w:rPr>
              <w:t xml:space="preserve"> 1996</w:t>
            </w:r>
            <w:r w:rsidR="0081476E" w:rsidRPr="00F54064">
              <w:rPr>
                <w:rFonts w:cs="Calibri"/>
                <w:i/>
                <w:iCs/>
                <w:color w:val="FFFFFF" w:themeColor="background1"/>
                <w:sz w:val="18"/>
                <w:szCs w:val="18"/>
              </w:rPr>
              <w:t xml:space="preserve"> (</w:t>
            </w:r>
            <w:r w:rsidRPr="00F54064">
              <w:rPr>
                <w:rFonts w:cs="Calibri"/>
                <w:color w:val="FFFFFF" w:themeColor="background1"/>
                <w:sz w:val="18"/>
                <w:szCs w:val="18"/>
              </w:rPr>
              <w:t>FMA</w:t>
            </w:r>
            <w:r w:rsidR="0081476E" w:rsidRPr="00F54064">
              <w:rPr>
                <w:rFonts w:cs="Calibri"/>
                <w:color w:val="FFFFFF" w:themeColor="background1"/>
                <w:sz w:val="18"/>
                <w:szCs w:val="18"/>
              </w:rPr>
              <w:t>)</w:t>
            </w:r>
            <w:r w:rsidRPr="00F54064">
              <w:rPr>
                <w:rFonts w:cs="Calibri"/>
                <w:color w:val="FFFFFF" w:themeColor="background1"/>
                <w:sz w:val="18"/>
                <w:szCs w:val="18"/>
              </w:rPr>
              <w:t xml:space="preserve"> requires that the annual financial statements of an agency be prepared in accordance with Australian Accounting Standards and in a form that facilitates a comparison between financial operations of the agency during the reporting period and the estimates of those operations contained in the budget for the agency for the reporting period.</w:t>
            </w:r>
          </w:p>
        </w:tc>
      </w:tr>
      <w:tr w:rsidR="00DC24DE" w:rsidRPr="00E86131" w14:paraId="245C366D" w14:textId="77777777" w:rsidTr="00B66382">
        <w:trPr>
          <w:trHeight w:val="20"/>
        </w:trPr>
        <w:tc>
          <w:tcPr>
            <w:tcW w:w="1620" w:type="dxa"/>
            <w:tcBorders>
              <w:left w:val="single" w:sz="2" w:space="0" w:color="auto"/>
              <w:right w:val="single" w:sz="2" w:space="0" w:color="auto"/>
            </w:tcBorders>
          </w:tcPr>
          <w:p w14:paraId="6731B718" w14:textId="3790B351" w:rsidR="00DC24DE" w:rsidRPr="00F54064" w:rsidRDefault="00DC24DE" w:rsidP="006A4E19">
            <w:pPr>
              <w:pStyle w:val="TableReference"/>
              <w:tabs>
                <w:tab w:val="left" w:pos="3306"/>
              </w:tabs>
              <w:spacing w:before="60"/>
              <w:rPr>
                <w:rFonts w:cs="Calibri"/>
                <w:color w:val="7030A0"/>
                <w:sz w:val="14"/>
              </w:rPr>
            </w:pPr>
            <w:r w:rsidRPr="00F54064">
              <w:rPr>
                <w:rFonts w:cs="Calibri"/>
                <w:color w:val="7030A0"/>
                <w:sz w:val="14"/>
              </w:rPr>
              <w:t>ACT Disclosure Policy</w:t>
            </w:r>
          </w:p>
        </w:tc>
        <w:tc>
          <w:tcPr>
            <w:tcW w:w="8930" w:type="dxa"/>
            <w:tcBorders>
              <w:left w:val="single" w:sz="2" w:space="0" w:color="auto"/>
            </w:tcBorders>
            <w:shd w:val="clear" w:color="auto" w:fill="7030A0"/>
          </w:tcPr>
          <w:p w14:paraId="7949EED4" w14:textId="275270E0"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Income and expenses are disaggregated in the Operating Statement.</w:t>
            </w:r>
            <w:r w:rsidR="00FA7C77">
              <w:rPr>
                <w:rFonts w:cs="Calibri"/>
                <w:color w:val="FFFFFF" w:themeColor="background1"/>
                <w:sz w:val="18"/>
                <w:szCs w:val="18"/>
              </w:rPr>
              <w:t xml:space="preserve"> </w:t>
            </w:r>
          </w:p>
        </w:tc>
      </w:tr>
      <w:tr w:rsidR="006A4E19" w:rsidRPr="00CF7E1B" w14:paraId="11E20BFE" w14:textId="77777777" w:rsidTr="00B66382">
        <w:trPr>
          <w:trHeight w:val="20"/>
        </w:trPr>
        <w:tc>
          <w:tcPr>
            <w:tcW w:w="1620" w:type="dxa"/>
            <w:tcBorders>
              <w:left w:val="single" w:sz="2" w:space="0" w:color="auto"/>
              <w:right w:val="single" w:sz="2" w:space="0" w:color="auto"/>
            </w:tcBorders>
          </w:tcPr>
          <w:p w14:paraId="041901E6"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82</w:t>
            </w:r>
            <w:r w:rsidR="00AC2FCA" w:rsidRPr="00F54064">
              <w:rPr>
                <w:rFonts w:cs="Calibri"/>
                <w:color w:val="7030A0"/>
                <w:sz w:val="14"/>
              </w:rPr>
              <w:t xml:space="preserve"> </w:t>
            </w:r>
          </w:p>
          <w:p w14:paraId="4E6A7BBE" w14:textId="77777777" w:rsidR="006A4E19" w:rsidRPr="00F54064" w:rsidRDefault="006A4E19" w:rsidP="006A4E19">
            <w:pPr>
              <w:pStyle w:val="TableReference"/>
              <w:tabs>
                <w:tab w:val="left" w:pos="3306"/>
              </w:tabs>
              <w:rPr>
                <w:rFonts w:cs="Calibri"/>
                <w:color w:val="7030A0"/>
                <w:sz w:val="14"/>
              </w:rPr>
            </w:pPr>
          </w:p>
          <w:p w14:paraId="661A01C9" w14:textId="77777777" w:rsidR="006A4E19" w:rsidRPr="00F54064" w:rsidRDefault="006A4E19" w:rsidP="006A4E19">
            <w:pPr>
              <w:pStyle w:val="TableReference"/>
              <w:tabs>
                <w:tab w:val="left" w:pos="3306"/>
              </w:tabs>
              <w:rPr>
                <w:rFonts w:cs="Calibri"/>
                <w:color w:val="7030A0"/>
                <w:sz w:val="14"/>
              </w:rPr>
            </w:pPr>
          </w:p>
          <w:p w14:paraId="0EC36D17" w14:textId="77777777" w:rsidR="006A4E19" w:rsidRPr="00F54064" w:rsidRDefault="006A4E19" w:rsidP="006A4E19">
            <w:pPr>
              <w:pStyle w:val="TableReference"/>
              <w:tabs>
                <w:tab w:val="left" w:pos="3306"/>
              </w:tabs>
              <w:rPr>
                <w:rFonts w:cs="Calibri"/>
                <w:color w:val="7030A0"/>
                <w:sz w:val="14"/>
              </w:rPr>
            </w:pPr>
          </w:p>
          <w:p w14:paraId="7A3CC280" w14:textId="77777777" w:rsidR="006A4E19" w:rsidRPr="00F54064" w:rsidRDefault="006A4E19" w:rsidP="006A4E19">
            <w:pPr>
              <w:pStyle w:val="TableReference"/>
              <w:tabs>
                <w:tab w:val="left" w:pos="3306"/>
              </w:tabs>
              <w:rPr>
                <w:rFonts w:cs="Calibri"/>
                <w:color w:val="7030A0"/>
                <w:sz w:val="14"/>
              </w:rPr>
            </w:pPr>
          </w:p>
          <w:p w14:paraId="07FE9CB8" w14:textId="77777777" w:rsidR="006A4E19" w:rsidRPr="00F54064" w:rsidRDefault="006A4E19" w:rsidP="006A4E19">
            <w:pPr>
              <w:pStyle w:val="TableReference"/>
              <w:tabs>
                <w:tab w:val="left" w:pos="3306"/>
              </w:tabs>
              <w:rPr>
                <w:rFonts w:cs="Calibri"/>
                <w:color w:val="7030A0"/>
                <w:sz w:val="14"/>
              </w:rPr>
            </w:pPr>
          </w:p>
          <w:p w14:paraId="4DCEE7D4" w14:textId="77777777" w:rsidR="006A4E19" w:rsidRPr="00F54064" w:rsidRDefault="006A4E19" w:rsidP="006A4E19">
            <w:pPr>
              <w:pStyle w:val="TableReference"/>
              <w:tabs>
                <w:tab w:val="left" w:pos="3306"/>
              </w:tabs>
              <w:rPr>
                <w:rFonts w:cs="Calibri"/>
                <w:color w:val="7030A0"/>
                <w:sz w:val="14"/>
              </w:rPr>
            </w:pPr>
          </w:p>
          <w:p w14:paraId="15A09792" w14:textId="77777777" w:rsidR="006A4E19" w:rsidRPr="00F54064" w:rsidRDefault="006A4E19" w:rsidP="006A4E19">
            <w:pPr>
              <w:pStyle w:val="TableReference"/>
              <w:tabs>
                <w:tab w:val="left" w:pos="3306"/>
              </w:tabs>
              <w:rPr>
                <w:rFonts w:cs="Calibri"/>
                <w:color w:val="7030A0"/>
                <w:sz w:val="14"/>
              </w:rPr>
            </w:pPr>
          </w:p>
          <w:p w14:paraId="4CE37090" w14:textId="77777777" w:rsidR="006A4E19" w:rsidRPr="00F54064" w:rsidRDefault="006A4E19" w:rsidP="006A4E19">
            <w:pPr>
              <w:pStyle w:val="TableReference"/>
              <w:tabs>
                <w:tab w:val="left" w:pos="3306"/>
              </w:tabs>
              <w:rPr>
                <w:rFonts w:cs="Calibri"/>
                <w:color w:val="7030A0"/>
                <w:sz w:val="14"/>
              </w:rPr>
            </w:pPr>
          </w:p>
          <w:p w14:paraId="4C622AD0" w14:textId="77777777" w:rsidR="00B92BE1" w:rsidRPr="00F54064" w:rsidRDefault="00B92BE1" w:rsidP="00B92BE1">
            <w:pPr>
              <w:pStyle w:val="TableReference"/>
              <w:tabs>
                <w:tab w:val="left" w:pos="3306"/>
              </w:tabs>
              <w:rPr>
                <w:rFonts w:cs="Calibri"/>
                <w:color w:val="7030A0"/>
                <w:sz w:val="14"/>
              </w:rPr>
            </w:pPr>
          </w:p>
          <w:p w14:paraId="565D5453" w14:textId="77777777" w:rsidR="0057296F" w:rsidRPr="00F54064" w:rsidRDefault="0057296F" w:rsidP="00B92BE1">
            <w:pPr>
              <w:pStyle w:val="TableReference"/>
              <w:tabs>
                <w:tab w:val="left" w:pos="3306"/>
              </w:tabs>
              <w:rPr>
                <w:rFonts w:cs="Calibri"/>
                <w:color w:val="7030A0"/>
                <w:sz w:val="14"/>
              </w:rPr>
            </w:pPr>
          </w:p>
          <w:p w14:paraId="18CDC091" w14:textId="77777777" w:rsidR="0057296F" w:rsidRPr="00F54064" w:rsidRDefault="0057296F" w:rsidP="00B92BE1">
            <w:pPr>
              <w:pStyle w:val="TableReference"/>
              <w:tabs>
                <w:tab w:val="left" w:pos="3306"/>
              </w:tabs>
              <w:rPr>
                <w:rFonts w:cs="Calibri"/>
                <w:color w:val="7030A0"/>
                <w:sz w:val="14"/>
              </w:rPr>
            </w:pPr>
          </w:p>
          <w:p w14:paraId="33A19AED" w14:textId="77777777" w:rsidR="0057296F" w:rsidRPr="00F54064" w:rsidRDefault="0057296F" w:rsidP="00B92BE1">
            <w:pPr>
              <w:pStyle w:val="TableReference"/>
              <w:tabs>
                <w:tab w:val="left" w:pos="3306"/>
              </w:tabs>
              <w:rPr>
                <w:rFonts w:cs="Calibri"/>
                <w:color w:val="7030A0"/>
                <w:sz w:val="14"/>
              </w:rPr>
            </w:pPr>
          </w:p>
          <w:p w14:paraId="679A8211" w14:textId="77777777" w:rsidR="0057296F" w:rsidRPr="00F54064" w:rsidRDefault="0057296F" w:rsidP="00B92BE1">
            <w:pPr>
              <w:pStyle w:val="TableReference"/>
              <w:tabs>
                <w:tab w:val="left" w:pos="3306"/>
              </w:tabs>
              <w:rPr>
                <w:rFonts w:cs="Calibri"/>
                <w:color w:val="7030A0"/>
                <w:sz w:val="14"/>
              </w:rPr>
            </w:pPr>
          </w:p>
          <w:p w14:paraId="3293CBA2" w14:textId="4AA2DF0A" w:rsidR="00671F8E" w:rsidRPr="00F54064" w:rsidRDefault="00671F8E" w:rsidP="004D3CFD">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6AF7C457" w14:textId="77777777" w:rsidR="006A4E19" w:rsidRPr="00F54064" w:rsidRDefault="006A4E19" w:rsidP="00036657">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 xml:space="preserve">AASB 101 requires that the total amounts of the following </w:t>
            </w:r>
            <w:r w:rsidR="005921C9" w:rsidRPr="00F54064">
              <w:rPr>
                <w:rFonts w:cs="Calibri"/>
                <w:color w:val="FFFFFF" w:themeColor="background1"/>
                <w:sz w:val="18"/>
                <w:szCs w:val="18"/>
              </w:rPr>
              <w:t xml:space="preserve">line items </w:t>
            </w:r>
            <w:r w:rsidRPr="00F54064">
              <w:rPr>
                <w:rFonts w:cs="Calibri"/>
                <w:color w:val="FFFFFF" w:themeColor="background1"/>
                <w:sz w:val="18"/>
                <w:szCs w:val="18"/>
              </w:rPr>
              <w:t xml:space="preserve">be disclosed in the </w:t>
            </w:r>
            <w:r w:rsidR="0065789E" w:rsidRPr="00F54064">
              <w:rPr>
                <w:rFonts w:cs="Calibri"/>
                <w:color w:val="FFFFFF" w:themeColor="background1"/>
                <w:sz w:val="18"/>
                <w:szCs w:val="18"/>
              </w:rPr>
              <w:t xml:space="preserve">Income </w:t>
            </w:r>
            <w:r w:rsidR="00542006" w:rsidRPr="00F54064">
              <w:rPr>
                <w:rFonts w:cs="Calibri"/>
                <w:color w:val="FFFFFF" w:themeColor="background1"/>
                <w:sz w:val="18"/>
                <w:szCs w:val="18"/>
              </w:rPr>
              <w:t>or</w:t>
            </w:r>
            <w:r w:rsidR="0065789E" w:rsidRPr="00F54064">
              <w:rPr>
                <w:rFonts w:cs="Calibri"/>
                <w:color w:val="FFFFFF" w:themeColor="background1"/>
                <w:sz w:val="18"/>
                <w:szCs w:val="18"/>
              </w:rPr>
              <w:t xml:space="preserve"> Expenses section of the </w:t>
            </w:r>
            <w:r w:rsidRPr="00F54064">
              <w:rPr>
                <w:rFonts w:cs="Calibri"/>
                <w:color w:val="FFFFFF" w:themeColor="background1"/>
                <w:sz w:val="18"/>
                <w:szCs w:val="18"/>
              </w:rPr>
              <w:t>Operating Statement:</w:t>
            </w:r>
          </w:p>
          <w:p w14:paraId="3E342A2D" w14:textId="4DC66170" w:rsidR="006A4E19" w:rsidRPr="00F54064" w:rsidRDefault="006A4E19" w:rsidP="00E35CD2">
            <w:pPr>
              <w:pStyle w:val="Commentary-Bullet"/>
              <w:numPr>
                <w:ilvl w:val="0"/>
                <w:numId w:val="6"/>
              </w:numPr>
              <w:tabs>
                <w:tab w:val="clear" w:pos="790"/>
                <w:tab w:val="num" w:pos="537"/>
              </w:tabs>
              <w:spacing w:after="40"/>
              <w:ind w:left="788" w:hanging="677"/>
              <w:rPr>
                <w:rFonts w:cs="Calibri"/>
                <w:color w:val="FFFFFF" w:themeColor="background1"/>
                <w:sz w:val="18"/>
                <w:szCs w:val="18"/>
              </w:rPr>
            </w:pPr>
            <w:r w:rsidRPr="00F54064">
              <w:rPr>
                <w:rFonts w:cs="Calibri"/>
                <w:color w:val="FFFFFF" w:themeColor="background1"/>
                <w:sz w:val="18"/>
                <w:szCs w:val="18"/>
              </w:rPr>
              <w:t>revenue</w:t>
            </w:r>
            <w:r w:rsidR="00FF35E8" w:rsidRPr="00F54064">
              <w:rPr>
                <w:rFonts w:cs="Calibri"/>
                <w:color w:val="FFFFFF" w:themeColor="background1"/>
                <w:sz w:val="18"/>
                <w:szCs w:val="18"/>
              </w:rPr>
              <w:t>,</w:t>
            </w:r>
            <w:r w:rsidR="00FF35E8" w:rsidRPr="00F54064">
              <w:rPr>
                <w:color w:val="FFFFFF" w:themeColor="background1"/>
                <w:sz w:val="18"/>
                <w:szCs w:val="18"/>
              </w:rPr>
              <w:t xml:space="preserve"> presenting separately interest revenue calculated using the effective interest</w:t>
            </w:r>
            <w:r w:rsidR="00BF7D65" w:rsidRPr="00F54064">
              <w:rPr>
                <w:color w:val="FFFFFF" w:themeColor="background1"/>
                <w:sz w:val="18"/>
                <w:szCs w:val="18"/>
              </w:rPr>
              <w:t xml:space="preserve"> method</w:t>
            </w:r>
            <w:r w:rsidRPr="00F54064">
              <w:rPr>
                <w:rFonts w:cs="Calibri"/>
                <w:color w:val="FFFFFF" w:themeColor="background1"/>
                <w:sz w:val="18"/>
                <w:szCs w:val="18"/>
              </w:rPr>
              <w:t>;</w:t>
            </w:r>
          </w:p>
          <w:p w14:paraId="019DC172" w14:textId="19584C8B" w:rsidR="002E255A" w:rsidRPr="00F54064" w:rsidRDefault="002E255A" w:rsidP="00E35CD2">
            <w:pPr>
              <w:pStyle w:val="Commentary-Bullet"/>
              <w:numPr>
                <w:ilvl w:val="0"/>
                <w:numId w:val="6"/>
              </w:numPr>
              <w:tabs>
                <w:tab w:val="clear" w:pos="790"/>
                <w:tab w:val="num" w:pos="537"/>
              </w:tabs>
              <w:spacing w:after="40"/>
              <w:ind w:left="788" w:hanging="677"/>
              <w:rPr>
                <w:rFonts w:cs="Calibri"/>
                <w:color w:val="FFFFFF" w:themeColor="background1"/>
                <w:sz w:val="18"/>
                <w:szCs w:val="18"/>
              </w:rPr>
            </w:pPr>
            <w:r w:rsidRPr="00F54064">
              <w:rPr>
                <w:rFonts w:cs="Calibri"/>
                <w:color w:val="FFFFFF" w:themeColor="background1"/>
                <w:sz w:val="18"/>
                <w:szCs w:val="18"/>
              </w:rPr>
              <w:t>gains and losses arising from the derecognition of financial assets measured at amortised cost;</w:t>
            </w:r>
          </w:p>
          <w:p w14:paraId="7242E1D4" w14:textId="60EF1261" w:rsidR="006A4E19" w:rsidRPr="00F54064" w:rsidRDefault="006A4E19" w:rsidP="00E35CD2">
            <w:pPr>
              <w:pStyle w:val="Commentary-Bullet"/>
              <w:numPr>
                <w:ilvl w:val="0"/>
                <w:numId w:val="6"/>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finance costs;</w:t>
            </w:r>
          </w:p>
          <w:p w14:paraId="4EA0F984" w14:textId="56677514" w:rsidR="008A61A6" w:rsidRPr="00F54064" w:rsidRDefault="008A61A6" w:rsidP="00E35CD2">
            <w:pPr>
              <w:pStyle w:val="Commentary-Bullet"/>
              <w:numPr>
                <w:ilvl w:val="0"/>
                <w:numId w:val="6"/>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impairment losses (including reversals of impairment losses);</w:t>
            </w:r>
          </w:p>
          <w:p w14:paraId="0ADE67EC" w14:textId="56DE91D1" w:rsidR="006A4E19" w:rsidRPr="00F54064" w:rsidRDefault="006A4E19" w:rsidP="00E35CD2">
            <w:pPr>
              <w:pStyle w:val="Commentary-Bullet"/>
              <w:numPr>
                <w:ilvl w:val="0"/>
                <w:numId w:val="6"/>
              </w:numPr>
              <w:tabs>
                <w:tab w:val="clear" w:pos="790"/>
                <w:tab w:val="num" w:pos="537"/>
              </w:tabs>
              <w:spacing w:after="40"/>
              <w:ind w:hanging="677"/>
              <w:rPr>
                <w:rFonts w:cs="Calibri"/>
                <w:color w:val="FFFFFF" w:themeColor="background1"/>
                <w:sz w:val="18"/>
                <w:szCs w:val="18"/>
              </w:rPr>
            </w:pPr>
            <w:r w:rsidRPr="00F54064">
              <w:rPr>
                <w:rFonts w:cs="Calibri"/>
                <w:color w:val="FFFFFF" w:themeColor="background1"/>
                <w:sz w:val="18"/>
                <w:szCs w:val="18"/>
              </w:rPr>
              <w:t xml:space="preserve">share of profit or (loss) of </w:t>
            </w:r>
            <w:r w:rsidR="008A61A6" w:rsidRPr="00F54064">
              <w:rPr>
                <w:rFonts w:cs="Calibri"/>
                <w:color w:val="FFFFFF" w:themeColor="background1"/>
                <w:sz w:val="18"/>
                <w:szCs w:val="18"/>
              </w:rPr>
              <w:t>associates and</w:t>
            </w:r>
            <w:r w:rsidR="008A61A6" w:rsidRPr="00F54064">
              <w:rPr>
                <w:b/>
                <w:bCs/>
                <w:color w:val="FFFFFF" w:themeColor="background1"/>
                <w:sz w:val="18"/>
                <w:szCs w:val="18"/>
              </w:rPr>
              <w:t xml:space="preserve"> </w:t>
            </w:r>
            <w:r w:rsidRPr="00F54064">
              <w:rPr>
                <w:rFonts w:cs="Calibri"/>
                <w:color w:val="FFFFFF" w:themeColor="background1"/>
                <w:sz w:val="18"/>
                <w:szCs w:val="18"/>
              </w:rPr>
              <w:t>joint ventures accounted for using the equity method;</w:t>
            </w:r>
            <w:r w:rsidR="00542006" w:rsidRPr="00F54064">
              <w:rPr>
                <w:rFonts w:cs="Calibri"/>
                <w:color w:val="FFFFFF" w:themeColor="background1"/>
                <w:sz w:val="18"/>
                <w:szCs w:val="18"/>
              </w:rPr>
              <w:t xml:space="preserve"> </w:t>
            </w:r>
          </w:p>
          <w:p w14:paraId="1A5C1E53" w14:textId="6D99B544" w:rsidR="00B26FCA" w:rsidRPr="00F54064" w:rsidRDefault="00B26FCA" w:rsidP="00E35CD2">
            <w:pPr>
              <w:pStyle w:val="Commentary-Bullet"/>
              <w:numPr>
                <w:ilvl w:val="0"/>
                <w:numId w:val="6"/>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 xml:space="preserve">gains or losses arising from reclassifying a financial asset from amortised cost </w:t>
            </w:r>
            <w:r w:rsidR="003F2F81" w:rsidRPr="00F54064">
              <w:rPr>
                <w:rFonts w:cs="Calibri"/>
                <w:color w:val="FFFFFF" w:themeColor="background1"/>
                <w:sz w:val="18"/>
                <w:szCs w:val="18"/>
              </w:rPr>
              <w:t>to fair value through profit and</w:t>
            </w:r>
            <w:r w:rsidR="00950179">
              <w:rPr>
                <w:rFonts w:cs="Calibri"/>
                <w:color w:val="FFFFFF" w:themeColor="background1"/>
                <w:sz w:val="18"/>
                <w:szCs w:val="18"/>
              </w:rPr>
              <w:t xml:space="preserve"> </w:t>
            </w:r>
            <w:r w:rsidR="003F2F81" w:rsidRPr="00F54064">
              <w:rPr>
                <w:rFonts w:cs="Calibri"/>
                <w:color w:val="FFFFFF" w:themeColor="background1"/>
                <w:sz w:val="18"/>
                <w:szCs w:val="18"/>
              </w:rPr>
              <w:t xml:space="preserve">loss; </w:t>
            </w:r>
          </w:p>
          <w:p w14:paraId="67509A8F" w14:textId="1A34ACBE" w:rsidR="003F2F81" w:rsidRPr="00F54064" w:rsidRDefault="003F2F81" w:rsidP="00E35CD2">
            <w:pPr>
              <w:pStyle w:val="Commentary-Bullet"/>
              <w:numPr>
                <w:ilvl w:val="0"/>
                <w:numId w:val="6"/>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 xml:space="preserve">any cumulative gains or losses previously recognised in other </w:t>
            </w:r>
            <w:r w:rsidR="005B5A40" w:rsidRPr="00F54064">
              <w:rPr>
                <w:rFonts w:cs="Calibri"/>
                <w:color w:val="FFFFFF" w:themeColor="background1"/>
                <w:sz w:val="18"/>
                <w:szCs w:val="18"/>
              </w:rPr>
              <w:t xml:space="preserve">comprehensive income that is reclassified to profit and loss </w:t>
            </w:r>
            <w:r w:rsidRPr="00F54064">
              <w:rPr>
                <w:rFonts w:cs="Calibri"/>
                <w:color w:val="FFFFFF" w:themeColor="background1"/>
                <w:sz w:val="18"/>
                <w:szCs w:val="18"/>
              </w:rPr>
              <w:t xml:space="preserve">arising </w:t>
            </w:r>
            <w:r w:rsidR="005B5A40" w:rsidRPr="00F54064">
              <w:rPr>
                <w:rFonts w:cs="Calibri"/>
                <w:color w:val="FFFFFF" w:themeColor="background1"/>
                <w:sz w:val="18"/>
                <w:szCs w:val="18"/>
              </w:rPr>
              <w:t>from</w:t>
            </w:r>
            <w:r w:rsidRPr="00F54064">
              <w:rPr>
                <w:rFonts w:cs="Calibri"/>
                <w:color w:val="FFFFFF" w:themeColor="background1"/>
                <w:sz w:val="18"/>
                <w:szCs w:val="18"/>
              </w:rPr>
              <w:t xml:space="preserve"> a financial asset </w:t>
            </w:r>
            <w:r w:rsidR="005B5A40" w:rsidRPr="00F54064">
              <w:rPr>
                <w:rFonts w:cs="Calibri"/>
                <w:color w:val="FFFFFF" w:themeColor="background1"/>
                <w:sz w:val="18"/>
                <w:szCs w:val="18"/>
              </w:rPr>
              <w:t xml:space="preserve">moving from </w:t>
            </w:r>
            <w:r w:rsidRPr="00F54064">
              <w:rPr>
                <w:rFonts w:cs="Calibri"/>
                <w:color w:val="FFFFFF" w:themeColor="background1"/>
                <w:sz w:val="18"/>
                <w:szCs w:val="18"/>
              </w:rPr>
              <w:t>the other comprehensive income measurement category to the fair value through profit and loss measurement category;</w:t>
            </w:r>
          </w:p>
          <w:p w14:paraId="7A2B35BE" w14:textId="5B81B726" w:rsidR="008A61A6" w:rsidRPr="00F54064" w:rsidRDefault="00087BAE" w:rsidP="00E35CD2">
            <w:pPr>
              <w:pStyle w:val="Commentary-Bullet"/>
              <w:numPr>
                <w:ilvl w:val="0"/>
                <w:numId w:val="6"/>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tax expense</w:t>
            </w:r>
            <w:r w:rsidR="008A61A6" w:rsidRPr="00F54064">
              <w:rPr>
                <w:rFonts w:cs="Calibri"/>
                <w:color w:val="FFFFFF" w:themeColor="background1"/>
                <w:sz w:val="18"/>
                <w:szCs w:val="18"/>
              </w:rPr>
              <w:t>; and</w:t>
            </w:r>
          </w:p>
          <w:p w14:paraId="0AFFC981" w14:textId="16E9FD5D" w:rsidR="002606EC" w:rsidRPr="00F54064" w:rsidRDefault="008A61A6" w:rsidP="00E35CD2">
            <w:pPr>
              <w:pStyle w:val="Commentary-Bullet"/>
              <w:numPr>
                <w:ilvl w:val="0"/>
                <w:numId w:val="6"/>
              </w:numPr>
              <w:tabs>
                <w:tab w:val="clear" w:pos="790"/>
                <w:tab w:val="num" w:pos="593"/>
              </w:tabs>
              <w:spacing w:after="40"/>
              <w:ind w:left="604" w:hanging="491"/>
              <w:rPr>
                <w:rFonts w:cs="Calibri"/>
                <w:color w:val="FFFFFF" w:themeColor="background1"/>
                <w:sz w:val="18"/>
                <w:szCs w:val="18"/>
              </w:rPr>
            </w:pPr>
            <w:r w:rsidRPr="00F54064">
              <w:rPr>
                <w:rFonts w:cs="Calibri"/>
                <w:color w:val="FFFFFF" w:themeColor="background1"/>
                <w:sz w:val="18"/>
                <w:szCs w:val="18"/>
              </w:rPr>
              <w:t>single amount for the total of discontinued operations</w:t>
            </w:r>
            <w:r w:rsidR="00542006" w:rsidRPr="00F54064">
              <w:rPr>
                <w:rFonts w:cs="Calibri"/>
                <w:color w:val="FFFFFF" w:themeColor="background1"/>
                <w:sz w:val="18"/>
                <w:szCs w:val="18"/>
              </w:rPr>
              <w:t>.</w:t>
            </w:r>
          </w:p>
        </w:tc>
      </w:tr>
      <w:tr w:rsidR="00DC24DE" w:rsidRPr="00CF7E1B" w14:paraId="62636992" w14:textId="77777777" w:rsidTr="00B66382">
        <w:trPr>
          <w:trHeight w:val="20"/>
        </w:trPr>
        <w:tc>
          <w:tcPr>
            <w:tcW w:w="1620" w:type="dxa"/>
            <w:tcBorders>
              <w:left w:val="single" w:sz="2" w:space="0" w:color="auto"/>
              <w:right w:val="single" w:sz="2" w:space="0" w:color="auto"/>
            </w:tcBorders>
          </w:tcPr>
          <w:p w14:paraId="048D74AB" w14:textId="77777777" w:rsidR="00DC24DE" w:rsidRPr="00F54064" w:rsidRDefault="00DC24DE" w:rsidP="00DC24DE">
            <w:pPr>
              <w:pStyle w:val="TableReference"/>
              <w:tabs>
                <w:tab w:val="left" w:pos="3306"/>
              </w:tabs>
              <w:rPr>
                <w:rFonts w:cs="Calibri"/>
                <w:color w:val="7030A0"/>
                <w:sz w:val="14"/>
              </w:rPr>
            </w:pPr>
            <w:r w:rsidRPr="00F54064">
              <w:rPr>
                <w:rFonts w:cs="Calibri"/>
                <w:color w:val="7030A0"/>
                <w:sz w:val="14"/>
              </w:rPr>
              <w:t>AASB 101.82A</w:t>
            </w:r>
          </w:p>
          <w:p w14:paraId="32FE5A1A" w14:textId="77777777" w:rsidR="00DC24DE" w:rsidRPr="00F54064" w:rsidRDefault="00DC24DE"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4263E05" w14:textId="77777777" w:rsidR="00DC24DE" w:rsidRPr="00F54064" w:rsidRDefault="00DC24DE" w:rsidP="00036657">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AASB 101 requires the other comprehensive income section to present line items for amounts of other comprehensive income classified by nature (including the share of the other comprehensive income of associates and joint ventures accounted for using the equity method) and grouped into those that in accordance with other Australian Accounting Standards:</w:t>
            </w:r>
          </w:p>
          <w:p w14:paraId="42F37C95" w14:textId="77777777" w:rsidR="005D080D" w:rsidRDefault="00DC24DE" w:rsidP="007122BC">
            <w:pPr>
              <w:pStyle w:val="CommentaryText"/>
              <w:numPr>
                <w:ilvl w:val="0"/>
                <w:numId w:val="31"/>
              </w:numPr>
              <w:spacing w:after="40"/>
              <w:ind w:left="604" w:hanging="253"/>
              <w:rPr>
                <w:rFonts w:cs="Calibri"/>
                <w:color w:val="FFFFFF" w:themeColor="background1"/>
                <w:sz w:val="18"/>
                <w:szCs w:val="18"/>
              </w:rPr>
            </w:pPr>
            <w:r w:rsidRPr="00F54064">
              <w:rPr>
                <w:rFonts w:cs="Calibri"/>
                <w:color w:val="FFFFFF" w:themeColor="background1"/>
                <w:sz w:val="18"/>
                <w:szCs w:val="18"/>
              </w:rPr>
              <w:t>will not be reclassified subsequently to profit or loss (income or expense); and</w:t>
            </w:r>
          </w:p>
          <w:p w14:paraId="62D361FF" w14:textId="6D4D20E2" w:rsidR="00DC24DE" w:rsidRPr="005D080D" w:rsidRDefault="00DC24DE" w:rsidP="007122BC">
            <w:pPr>
              <w:pStyle w:val="CommentaryText"/>
              <w:numPr>
                <w:ilvl w:val="0"/>
                <w:numId w:val="31"/>
              </w:numPr>
              <w:ind w:left="607" w:hanging="255"/>
              <w:rPr>
                <w:rFonts w:cs="Calibri"/>
                <w:color w:val="FFFFFF" w:themeColor="background1"/>
                <w:sz w:val="18"/>
                <w:szCs w:val="18"/>
              </w:rPr>
            </w:pPr>
            <w:r w:rsidRPr="005D080D">
              <w:rPr>
                <w:rFonts w:cs="Calibri"/>
                <w:color w:val="FFFFFF" w:themeColor="background1"/>
                <w:sz w:val="18"/>
                <w:szCs w:val="18"/>
              </w:rPr>
              <w:t>will be reclassified subsequently to profit or loss (income or expense) when specific conditions are met.</w:t>
            </w:r>
          </w:p>
        </w:tc>
      </w:tr>
      <w:tr w:rsidR="00DC24DE" w:rsidRPr="00CF7E1B" w14:paraId="4E6D5E59" w14:textId="77777777" w:rsidTr="00B66382">
        <w:trPr>
          <w:trHeight w:val="20"/>
        </w:trPr>
        <w:tc>
          <w:tcPr>
            <w:tcW w:w="1620" w:type="dxa"/>
            <w:tcBorders>
              <w:left w:val="single" w:sz="2" w:space="0" w:color="auto"/>
              <w:right w:val="single" w:sz="2" w:space="0" w:color="auto"/>
            </w:tcBorders>
          </w:tcPr>
          <w:p w14:paraId="530B9EAB" w14:textId="77777777" w:rsidR="00DC24DE" w:rsidRPr="00F54064" w:rsidRDefault="00DC24DE" w:rsidP="006A4E19">
            <w:pPr>
              <w:pStyle w:val="TableReference"/>
              <w:tabs>
                <w:tab w:val="left" w:pos="3306"/>
              </w:tabs>
              <w:spacing w:before="60"/>
              <w:rPr>
                <w:rFonts w:cs="Calibri"/>
                <w:color w:val="7030A0"/>
                <w:sz w:val="14"/>
              </w:rPr>
            </w:pPr>
            <w:r w:rsidRPr="00F54064">
              <w:rPr>
                <w:rFonts w:cs="Calibri"/>
                <w:color w:val="7030A0"/>
                <w:sz w:val="14"/>
              </w:rPr>
              <w:t>AASB 101.96</w:t>
            </w:r>
          </w:p>
          <w:p w14:paraId="0EBBF5D8" w14:textId="7B6CEB98" w:rsidR="00DC24DE" w:rsidRPr="00F54064" w:rsidRDefault="00DC24DE" w:rsidP="006A4E19">
            <w:pPr>
              <w:pStyle w:val="TableReference"/>
              <w:tabs>
                <w:tab w:val="left" w:pos="3306"/>
              </w:tabs>
              <w:spacing w:before="60"/>
              <w:rPr>
                <w:rFonts w:cs="Calibri"/>
                <w:strike/>
                <w:color w:val="7030A0"/>
                <w:sz w:val="14"/>
              </w:rPr>
            </w:pPr>
          </w:p>
        </w:tc>
        <w:tc>
          <w:tcPr>
            <w:tcW w:w="8930" w:type="dxa"/>
            <w:tcBorders>
              <w:left w:val="single" w:sz="2" w:space="0" w:color="auto"/>
            </w:tcBorders>
            <w:shd w:val="clear" w:color="auto" w:fill="7030A0"/>
          </w:tcPr>
          <w:p w14:paraId="5BD32633" w14:textId="26D9F138" w:rsidR="00DC24DE" w:rsidRPr="00F54064" w:rsidRDefault="00DC24DE"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Examples of other comprehensive income items that would never be reclassified to profit or loss are changes in the revaluation surplus recognised in accordance with AASB 116 </w:t>
            </w:r>
            <w:r w:rsidRPr="00F54064">
              <w:rPr>
                <w:rFonts w:cs="Calibri"/>
                <w:i/>
                <w:iCs/>
                <w:color w:val="FFFFFF" w:themeColor="background1"/>
                <w:sz w:val="18"/>
                <w:szCs w:val="18"/>
              </w:rPr>
              <w:t>Property, Plant and Equipment</w:t>
            </w:r>
            <w:r w:rsidRPr="00F54064">
              <w:rPr>
                <w:rFonts w:cs="Calibri"/>
                <w:color w:val="FFFFFF" w:themeColor="background1"/>
                <w:sz w:val="18"/>
                <w:szCs w:val="18"/>
              </w:rPr>
              <w:t xml:space="preserve"> or AASB 138 </w:t>
            </w:r>
            <w:r w:rsidRPr="00F54064">
              <w:rPr>
                <w:rFonts w:cs="Calibri"/>
                <w:i/>
                <w:iCs/>
                <w:color w:val="FFFFFF" w:themeColor="background1"/>
                <w:sz w:val="18"/>
                <w:szCs w:val="18"/>
              </w:rPr>
              <w:t>Intangible Assets</w:t>
            </w:r>
            <w:r w:rsidRPr="00F54064">
              <w:rPr>
                <w:rFonts w:cs="Calibri"/>
                <w:color w:val="FFFFFF" w:themeColor="background1"/>
                <w:sz w:val="18"/>
                <w:szCs w:val="18"/>
              </w:rPr>
              <w:t xml:space="preserve"> and actuarial gains and losses on defined benefit pension plans recognised in accordance with AASB 119 </w:t>
            </w:r>
            <w:r w:rsidRPr="00F54064">
              <w:rPr>
                <w:rFonts w:cs="Calibri"/>
                <w:i/>
                <w:iCs/>
                <w:color w:val="FFFFFF" w:themeColor="background1"/>
                <w:sz w:val="18"/>
                <w:szCs w:val="18"/>
              </w:rPr>
              <w:t>Employee Benefits</w:t>
            </w:r>
            <w:r w:rsidRPr="00F54064">
              <w:rPr>
                <w:rFonts w:cs="Calibri"/>
                <w:color w:val="FFFFFF" w:themeColor="background1"/>
                <w:sz w:val="18"/>
                <w:szCs w:val="18"/>
              </w:rPr>
              <w:t>.</w:t>
            </w:r>
            <w:r w:rsidR="00FA7C77">
              <w:rPr>
                <w:rFonts w:cs="Calibri"/>
                <w:color w:val="FFFFFF" w:themeColor="background1"/>
                <w:sz w:val="18"/>
                <w:szCs w:val="18"/>
              </w:rPr>
              <w:t xml:space="preserve"> </w:t>
            </w:r>
            <w:r w:rsidRPr="00F54064">
              <w:rPr>
                <w:rFonts w:cs="Calibri"/>
                <w:color w:val="FFFFFF" w:themeColor="background1"/>
                <w:sz w:val="18"/>
                <w:szCs w:val="18"/>
              </w:rPr>
              <w:t>It is unlikely that agencies would have items of other comprehensive income that may subsequently be reclassified to profit or loss.</w:t>
            </w:r>
          </w:p>
        </w:tc>
      </w:tr>
      <w:tr w:rsidR="00F96821" w:rsidRPr="00CF7E1B" w14:paraId="32BCAA7D" w14:textId="77777777" w:rsidTr="00B66382">
        <w:trPr>
          <w:trHeight w:val="20"/>
        </w:trPr>
        <w:tc>
          <w:tcPr>
            <w:tcW w:w="1620" w:type="dxa"/>
            <w:tcBorders>
              <w:left w:val="single" w:sz="2" w:space="0" w:color="auto"/>
              <w:right w:val="single" w:sz="2" w:space="0" w:color="auto"/>
            </w:tcBorders>
          </w:tcPr>
          <w:p w14:paraId="639B2911" w14:textId="77777777" w:rsidR="00F96821" w:rsidRPr="00F54064" w:rsidRDefault="00F96821" w:rsidP="009A0F2F">
            <w:pPr>
              <w:pStyle w:val="TableReference"/>
              <w:tabs>
                <w:tab w:val="left" w:pos="3306"/>
              </w:tabs>
              <w:spacing w:before="60"/>
              <w:rPr>
                <w:rFonts w:cs="Calibri"/>
                <w:color w:val="7030A0"/>
                <w:sz w:val="14"/>
              </w:rPr>
            </w:pPr>
            <w:r w:rsidRPr="00F54064">
              <w:rPr>
                <w:rFonts w:cs="Calibri"/>
                <w:color w:val="7030A0"/>
                <w:sz w:val="14"/>
              </w:rPr>
              <w:t>AASB 101.85</w:t>
            </w:r>
          </w:p>
          <w:p w14:paraId="528350DC" w14:textId="77777777" w:rsidR="00F96821" w:rsidRPr="00F54064" w:rsidRDefault="00F96821"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2C1E00A" w14:textId="4FFC3C64" w:rsidR="00F96821" w:rsidRPr="00F54064" w:rsidRDefault="00616785" w:rsidP="00036657">
            <w:pPr>
              <w:pStyle w:val="CommentaryText"/>
              <w:tabs>
                <w:tab w:val="left" w:pos="3306"/>
              </w:tabs>
              <w:spacing w:after="40"/>
              <w:rPr>
                <w:rFonts w:cs="Calibri"/>
                <w:color w:val="FFFFFF" w:themeColor="background1"/>
                <w:sz w:val="18"/>
                <w:szCs w:val="18"/>
              </w:rPr>
            </w:pPr>
            <w:r w:rsidRPr="00F54064">
              <w:rPr>
                <w:rFonts w:cs="Calibri"/>
                <w:color w:val="FFFFFF" w:themeColor="background1"/>
                <w:sz w:val="18"/>
                <w:szCs w:val="18"/>
              </w:rPr>
              <w:t>A</w:t>
            </w:r>
            <w:r w:rsidR="00F96821" w:rsidRPr="00F54064">
              <w:rPr>
                <w:rFonts w:cs="Calibri"/>
                <w:color w:val="FFFFFF" w:themeColor="background1"/>
                <w:sz w:val="18"/>
                <w:szCs w:val="18"/>
              </w:rPr>
              <w:t xml:space="preserve">dditional line items (including by disaggregating the line items listed above), headings and sub-totals </w:t>
            </w:r>
            <w:r w:rsidRPr="00F54064">
              <w:rPr>
                <w:rFonts w:cs="Calibri"/>
                <w:color w:val="FFFFFF" w:themeColor="background1"/>
                <w:sz w:val="18"/>
                <w:szCs w:val="18"/>
              </w:rPr>
              <w:t xml:space="preserve">are required </w:t>
            </w:r>
            <w:r w:rsidR="00F96821" w:rsidRPr="00F54064">
              <w:rPr>
                <w:rFonts w:cs="Calibri"/>
                <w:color w:val="FFFFFF" w:themeColor="background1"/>
                <w:sz w:val="18"/>
                <w:szCs w:val="18"/>
              </w:rPr>
              <w:t>to be presented in the Operating Statement when such presentation is relevant to an understanding of the agency’s financial performance.</w:t>
            </w:r>
            <w:r w:rsidR="00FA7C77">
              <w:rPr>
                <w:rFonts w:cs="Calibri"/>
                <w:color w:val="FFFFFF" w:themeColor="background1"/>
                <w:sz w:val="18"/>
                <w:szCs w:val="18"/>
              </w:rPr>
              <w:t xml:space="preserve"> </w:t>
            </w:r>
            <w:r w:rsidR="00F96821" w:rsidRPr="00F54064">
              <w:rPr>
                <w:rFonts w:cs="Calibri"/>
                <w:color w:val="FFFFFF" w:themeColor="background1"/>
                <w:sz w:val="18"/>
                <w:szCs w:val="18"/>
              </w:rPr>
              <w:t xml:space="preserve">These additional sub-totals must: </w:t>
            </w:r>
          </w:p>
        </w:tc>
      </w:tr>
      <w:tr w:rsidR="00F96821" w:rsidRPr="00CF7E1B" w14:paraId="169A562C" w14:textId="77777777" w:rsidTr="00B66382">
        <w:trPr>
          <w:trHeight w:val="20"/>
        </w:trPr>
        <w:tc>
          <w:tcPr>
            <w:tcW w:w="1620" w:type="dxa"/>
            <w:tcBorders>
              <w:left w:val="single" w:sz="2" w:space="0" w:color="auto"/>
              <w:right w:val="single" w:sz="2" w:space="0" w:color="auto"/>
            </w:tcBorders>
          </w:tcPr>
          <w:p w14:paraId="0AE5427F" w14:textId="77777777" w:rsidR="00F96821" w:rsidRPr="00F54064" w:rsidRDefault="00F96821" w:rsidP="009A0F2F">
            <w:pPr>
              <w:pStyle w:val="TableReference"/>
              <w:tabs>
                <w:tab w:val="left" w:pos="3306"/>
              </w:tabs>
              <w:spacing w:before="60"/>
              <w:rPr>
                <w:rFonts w:cs="Calibri"/>
                <w:color w:val="7030A0"/>
                <w:sz w:val="14"/>
              </w:rPr>
            </w:pPr>
            <w:r w:rsidRPr="00F54064">
              <w:rPr>
                <w:rFonts w:cs="Calibri"/>
                <w:color w:val="7030A0"/>
                <w:sz w:val="14"/>
              </w:rPr>
              <w:t>AASB 101.85A</w:t>
            </w:r>
          </w:p>
          <w:p w14:paraId="1834C7BF" w14:textId="77777777" w:rsidR="00F96821" w:rsidRPr="00F54064" w:rsidRDefault="00F96821"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BDFBA69" w14:textId="4D2E9472" w:rsidR="00F96821" w:rsidRDefault="00F96821" w:rsidP="007122BC">
            <w:pPr>
              <w:pStyle w:val="CommentaryText"/>
              <w:numPr>
                <w:ilvl w:val="0"/>
                <w:numId w:val="75"/>
              </w:numPr>
              <w:spacing w:after="40"/>
              <w:rPr>
                <w:rFonts w:cs="Calibri"/>
                <w:color w:val="FFFFFF" w:themeColor="background1"/>
                <w:sz w:val="18"/>
                <w:szCs w:val="18"/>
              </w:rPr>
            </w:pPr>
            <w:r w:rsidRPr="005D080D">
              <w:rPr>
                <w:rFonts w:cs="Calibri"/>
                <w:color w:val="FFFFFF" w:themeColor="background1"/>
                <w:sz w:val="18"/>
                <w:szCs w:val="18"/>
              </w:rPr>
              <w:t xml:space="preserve">be made up of items recognised and measured in accordance with Australian Accounting Standards; </w:t>
            </w:r>
          </w:p>
          <w:p w14:paraId="10FF27B0" w14:textId="463A8899" w:rsidR="00F96821" w:rsidRDefault="00F96821" w:rsidP="007122BC">
            <w:pPr>
              <w:pStyle w:val="CommentaryText"/>
              <w:numPr>
                <w:ilvl w:val="0"/>
                <w:numId w:val="75"/>
              </w:numPr>
              <w:spacing w:after="40"/>
              <w:rPr>
                <w:rFonts w:cs="Calibri"/>
                <w:color w:val="FFFFFF" w:themeColor="background1"/>
                <w:sz w:val="18"/>
                <w:szCs w:val="18"/>
              </w:rPr>
            </w:pPr>
            <w:r w:rsidRPr="005D080D">
              <w:rPr>
                <w:rFonts w:cs="Calibri"/>
                <w:color w:val="FFFFFF" w:themeColor="background1"/>
                <w:sz w:val="18"/>
                <w:szCs w:val="18"/>
              </w:rPr>
              <w:t>be presented and labelled in a manner that makes the sub-totals clear and understandable and consistent from period to period; and</w:t>
            </w:r>
          </w:p>
          <w:p w14:paraId="27A240BD" w14:textId="77777777" w:rsidR="00F96821" w:rsidRPr="005D080D" w:rsidRDefault="00F96821" w:rsidP="007122BC">
            <w:pPr>
              <w:pStyle w:val="CommentaryText"/>
              <w:numPr>
                <w:ilvl w:val="0"/>
                <w:numId w:val="75"/>
              </w:numPr>
              <w:spacing w:after="40"/>
              <w:rPr>
                <w:rFonts w:cs="Calibri"/>
                <w:color w:val="FFFFFF" w:themeColor="background1"/>
                <w:sz w:val="18"/>
                <w:szCs w:val="18"/>
              </w:rPr>
            </w:pPr>
            <w:r w:rsidRPr="005D080D">
              <w:rPr>
                <w:rFonts w:cs="Calibri"/>
                <w:color w:val="FFFFFF" w:themeColor="background1"/>
                <w:sz w:val="18"/>
                <w:szCs w:val="18"/>
              </w:rPr>
              <w:t>not be displayed with more prominence than the sub-totals and totals required in Australian Accounting Standards.</w:t>
            </w:r>
          </w:p>
        </w:tc>
      </w:tr>
      <w:tr w:rsidR="00036657" w:rsidRPr="00CF7E1B" w14:paraId="411A79F5" w14:textId="77777777" w:rsidTr="00B66382">
        <w:trPr>
          <w:trHeight w:val="20"/>
        </w:trPr>
        <w:tc>
          <w:tcPr>
            <w:tcW w:w="1620" w:type="dxa"/>
            <w:tcBorders>
              <w:left w:val="single" w:sz="2" w:space="0" w:color="auto"/>
              <w:right w:val="single" w:sz="2" w:space="0" w:color="auto"/>
            </w:tcBorders>
          </w:tcPr>
          <w:p w14:paraId="67058CB1" w14:textId="20379F95" w:rsidR="00036657" w:rsidRPr="00F54064" w:rsidRDefault="00036657" w:rsidP="009A0F2F">
            <w:pPr>
              <w:pStyle w:val="TableReference"/>
              <w:tabs>
                <w:tab w:val="left" w:pos="3306"/>
              </w:tabs>
              <w:spacing w:before="60"/>
              <w:rPr>
                <w:rFonts w:cs="Calibri"/>
                <w:color w:val="7030A0"/>
                <w:sz w:val="14"/>
              </w:rPr>
            </w:pPr>
            <w:r w:rsidRPr="00F54064">
              <w:rPr>
                <w:rFonts w:cs="Calibri"/>
                <w:color w:val="7030A0"/>
                <w:sz w:val="14"/>
              </w:rPr>
              <w:t>AASB 101.85B</w:t>
            </w:r>
          </w:p>
        </w:tc>
        <w:tc>
          <w:tcPr>
            <w:tcW w:w="8930" w:type="dxa"/>
            <w:tcBorders>
              <w:left w:val="single" w:sz="2" w:space="0" w:color="auto"/>
            </w:tcBorders>
            <w:shd w:val="clear" w:color="auto" w:fill="7030A0"/>
          </w:tcPr>
          <w:p w14:paraId="5AF3413C" w14:textId="62505A81" w:rsidR="00036657" w:rsidRPr="00F54064" w:rsidRDefault="00036657" w:rsidP="00036657">
            <w:pPr>
              <w:pStyle w:val="CommentaryText"/>
              <w:rPr>
                <w:rFonts w:cs="Calibri"/>
                <w:color w:val="FFFFFF" w:themeColor="background1"/>
                <w:sz w:val="18"/>
                <w:szCs w:val="18"/>
              </w:rPr>
            </w:pPr>
            <w:r w:rsidRPr="00F54064">
              <w:rPr>
                <w:rFonts w:cs="Calibri"/>
                <w:color w:val="FFFFFF" w:themeColor="background1"/>
                <w:sz w:val="18"/>
                <w:szCs w:val="18"/>
              </w:rPr>
              <w:t>An agency must present the line items in the Operating Statement that reconcile any sub-totals presented in accordance with AASB 101.85 with the sub-totals or totals required in Australian Accounting Standards for the Operating Statement.</w:t>
            </w:r>
            <w:r w:rsidR="00FA7C77">
              <w:rPr>
                <w:rFonts w:cs="Calibri"/>
                <w:color w:val="FFFFFF" w:themeColor="background1"/>
                <w:sz w:val="18"/>
                <w:szCs w:val="18"/>
              </w:rPr>
              <w:t xml:space="preserve"> </w:t>
            </w:r>
          </w:p>
        </w:tc>
      </w:tr>
      <w:tr w:rsidR="00036657" w:rsidRPr="00CF7E1B" w14:paraId="07AE0BAB" w14:textId="77777777" w:rsidTr="004D1EC6">
        <w:trPr>
          <w:trHeight w:val="20"/>
        </w:trPr>
        <w:tc>
          <w:tcPr>
            <w:tcW w:w="1620" w:type="dxa"/>
            <w:tcBorders>
              <w:left w:val="single" w:sz="2" w:space="0" w:color="auto"/>
              <w:right w:val="single" w:sz="2" w:space="0" w:color="auto"/>
            </w:tcBorders>
          </w:tcPr>
          <w:p w14:paraId="0E154043" w14:textId="77777777" w:rsidR="00036657" w:rsidRPr="00F54064" w:rsidRDefault="00036657"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2FE7A7E" w14:textId="6D4DD31E" w:rsidR="00036657" w:rsidRPr="00F54064" w:rsidRDefault="00036657" w:rsidP="009A0F2F">
            <w:pPr>
              <w:pStyle w:val="CommentaryText"/>
              <w:rPr>
                <w:rFonts w:cs="Calibri"/>
                <w:color w:val="FFFFFF" w:themeColor="background1"/>
                <w:sz w:val="18"/>
                <w:szCs w:val="18"/>
              </w:rPr>
            </w:pPr>
            <w:r w:rsidRPr="00F54064">
              <w:rPr>
                <w:rFonts w:cs="Calibri"/>
                <w:color w:val="FFFFFF" w:themeColor="background1"/>
                <w:sz w:val="18"/>
                <w:szCs w:val="18"/>
              </w:rPr>
              <w:t>Note that where an agency has no amounts applicable to any individual line item, that line item should not be included in the Operating Statement.</w:t>
            </w:r>
          </w:p>
        </w:tc>
      </w:tr>
      <w:tr w:rsidR="00EF6086" w:rsidRPr="00CF7E1B" w14:paraId="307A82F6" w14:textId="77777777" w:rsidTr="00B66382">
        <w:trPr>
          <w:trHeight w:val="20"/>
        </w:trPr>
        <w:tc>
          <w:tcPr>
            <w:tcW w:w="1620" w:type="dxa"/>
            <w:tcBorders>
              <w:left w:val="single" w:sz="2" w:space="0" w:color="auto"/>
              <w:right w:val="single" w:sz="2" w:space="0" w:color="auto"/>
            </w:tcBorders>
          </w:tcPr>
          <w:p w14:paraId="34500F16" w14:textId="000F5B5C" w:rsidR="00EF6086" w:rsidRPr="00F54064" w:rsidRDefault="007D13DE" w:rsidP="004D1EC6">
            <w:pPr>
              <w:pStyle w:val="CommentaryTitle"/>
              <w:spacing w:before="0" w:after="240"/>
              <w:rPr>
                <w:rFonts w:cs="Calibri"/>
                <w:color w:val="7030A0"/>
              </w:rPr>
            </w:pPr>
            <w:r w:rsidRPr="00F54064">
              <w:rPr>
                <w:color w:val="7030A0"/>
              </w:rPr>
              <w:br w:type="page"/>
            </w:r>
            <w:r w:rsidR="00EF6086" w:rsidRPr="00F54064">
              <w:rPr>
                <w:rFonts w:cs="Calibri"/>
                <w:color w:val="7030A0"/>
              </w:rPr>
              <w:t>Reference</w:t>
            </w:r>
          </w:p>
        </w:tc>
        <w:tc>
          <w:tcPr>
            <w:tcW w:w="8930" w:type="dxa"/>
            <w:tcBorders>
              <w:left w:val="single" w:sz="2" w:space="0" w:color="auto"/>
            </w:tcBorders>
            <w:shd w:val="clear" w:color="auto" w:fill="7030A0"/>
          </w:tcPr>
          <w:p w14:paraId="7E5F7E3A" w14:textId="5BD9FDAB" w:rsidR="00EF6086" w:rsidRPr="00F54064" w:rsidRDefault="00EF6086" w:rsidP="004D1EC6">
            <w:pPr>
              <w:pStyle w:val="CommentaryTitle"/>
              <w:spacing w:before="0" w:after="240"/>
              <w:rPr>
                <w:rFonts w:cs="Calibri"/>
                <w:color w:val="FFFFFF" w:themeColor="background1"/>
                <w:sz w:val="28"/>
                <w:szCs w:val="28"/>
              </w:rPr>
            </w:pPr>
            <w:r w:rsidRPr="00F54064">
              <w:rPr>
                <w:rFonts w:cs="Calibri"/>
                <w:color w:val="FFFFFF" w:themeColor="background1"/>
                <w:sz w:val="28"/>
                <w:szCs w:val="28"/>
              </w:rPr>
              <w:t xml:space="preserve">Commentary </w:t>
            </w:r>
            <w:r w:rsidRPr="00F54064">
              <w:rPr>
                <w:rFonts w:cs="Calibri"/>
                <w:color w:val="FFFFFF" w:themeColor="background1"/>
                <w:sz w:val="28"/>
                <w:szCs w:val="28"/>
              </w:rPr>
              <w:sym w:font="Symbol" w:char="F02D"/>
            </w:r>
            <w:r w:rsidR="00432859" w:rsidRPr="00F54064">
              <w:rPr>
                <w:rFonts w:cs="Calibri"/>
                <w:color w:val="FFFFFF" w:themeColor="background1"/>
                <w:sz w:val="28"/>
                <w:szCs w:val="28"/>
              </w:rPr>
              <w:t xml:space="preserve"> </w:t>
            </w:r>
            <w:r w:rsidRPr="00F54064">
              <w:rPr>
                <w:rFonts w:cs="Calibri"/>
                <w:color w:val="FFFFFF" w:themeColor="background1"/>
                <w:sz w:val="28"/>
                <w:szCs w:val="28"/>
              </w:rPr>
              <w:t xml:space="preserve">Operating Statement </w:t>
            </w:r>
            <w:r w:rsidR="00432859" w:rsidRPr="00F54064">
              <w:rPr>
                <w:rFonts w:cs="Calibri"/>
                <w:color w:val="FFFFFF" w:themeColor="background1"/>
                <w:sz w:val="28"/>
                <w:szCs w:val="28"/>
              </w:rPr>
              <w:t xml:space="preserve">– </w:t>
            </w:r>
            <w:r w:rsidRPr="00F54064">
              <w:rPr>
                <w:rFonts w:cs="Calibri"/>
                <w:color w:val="FFFFFF" w:themeColor="background1"/>
                <w:sz w:val="28"/>
                <w:szCs w:val="28"/>
              </w:rPr>
              <w:t>Continued</w:t>
            </w:r>
          </w:p>
        </w:tc>
      </w:tr>
      <w:tr w:rsidR="006A4E19" w:rsidRPr="00CF7E1B" w14:paraId="774C1B4D" w14:textId="77777777" w:rsidTr="00B66382">
        <w:trPr>
          <w:trHeight w:val="20"/>
        </w:trPr>
        <w:tc>
          <w:tcPr>
            <w:tcW w:w="1620" w:type="dxa"/>
            <w:tcBorders>
              <w:left w:val="single" w:sz="2" w:space="0" w:color="auto"/>
              <w:right w:val="single" w:sz="2" w:space="0" w:color="auto"/>
            </w:tcBorders>
          </w:tcPr>
          <w:p w14:paraId="206D8425"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 xml:space="preserve">51(c), 51(e) </w:t>
            </w:r>
            <w:r w:rsidR="00D001B7" w:rsidRPr="00F54064">
              <w:rPr>
                <w:rFonts w:cs="Calibri"/>
                <w:color w:val="7030A0"/>
                <w:sz w:val="14"/>
              </w:rPr>
              <w:t>&amp;</w:t>
            </w:r>
            <w:r w:rsidRPr="00F54064">
              <w:rPr>
                <w:rFonts w:cs="Calibri"/>
                <w:color w:val="7030A0"/>
                <w:sz w:val="14"/>
              </w:rPr>
              <w:t xml:space="preserve"> 53 </w:t>
            </w:r>
          </w:p>
        </w:tc>
        <w:tc>
          <w:tcPr>
            <w:tcW w:w="8930" w:type="dxa"/>
            <w:tcBorders>
              <w:left w:val="single" w:sz="2" w:space="0" w:color="auto"/>
            </w:tcBorders>
            <w:shd w:val="clear" w:color="auto" w:fill="7030A0"/>
          </w:tcPr>
          <w:p w14:paraId="24735337" w14:textId="77777777" w:rsidR="006A4E19" w:rsidRPr="00F54064" w:rsidRDefault="006A4E19" w:rsidP="006A4E19">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The reporting date and rounding used in the Operating Statement must be identified.</w:t>
            </w:r>
          </w:p>
        </w:tc>
      </w:tr>
      <w:tr w:rsidR="006A4E19" w:rsidRPr="00CF7E1B" w14:paraId="3F880597" w14:textId="77777777" w:rsidTr="00B66382">
        <w:trPr>
          <w:trHeight w:val="20"/>
        </w:trPr>
        <w:tc>
          <w:tcPr>
            <w:tcW w:w="1620" w:type="dxa"/>
            <w:tcBorders>
              <w:left w:val="single" w:sz="2" w:space="0" w:color="auto"/>
              <w:right w:val="single" w:sz="2" w:space="0" w:color="auto"/>
            </w:tcBorders>
          </w:tcPr>
          <w:p w14:paraId="3DC04D43" w14:textId="77777777" w:rsidR="006A4E19" w:rsidRPr="00F54064" w:rsidRDefault="006A4E19" w:rsidP="006A4E19">
            <w:pPr>
              <w:pStyle w:val="TableReference"/>
              <w:tabs>
                <w:tab w:val="left" w:pos="3306"/>
              </w:tabs>
              <w:spacing w:before="60"/>
              <w:rPr>
                <w:rFonts w:cs="Calibri"/>
                <w:color w:val="7030A0"/>
                <w:sz w:val="14"/>
              </w:rPr>
            </w:pPr>
            <w:r w:rsidRPr="00F54064">
              <w:rPr>
                <w:rFonts w:cs="Calibri"/>
                <w:color w:val="7030A0"/>
                <w:sz w:val="14"/>
              </w:rPr>
              <w:t>AASB 101</w:t>
            </w:r>
            <w:r w:rsidR="00D65811" w:rsidRPr="00F54064">
              <w:rPr>
                <w:rFonts w:cs="Calibri"/>
                <w:color w:val="7030A0"/>
                <w:sz w:val="14"/>
              </w:rPr>
              <w:t>.</w:t>
            </w:r>
            <w:r w:rsidRPr="00F54064">
              <w:rPr>
                <w:rFonts w:cs="Calibri"/>
                <w:color w:val="7030A0"/>
                <w:sz w:val="14"/>
              </w:rPr>
              <w:t>113</w:t>
            </w:r>
          </w:p>
        </w:tc>
        <w:tc>
          <w:tcPr>
            <w:tcW w:w="8930" w:type="dxa"/>
            <w:tcBorders>
              <w:left w:val="single" w:sz="2" w:space="0" w:color="auto"/>
            </w:tcBorders>
            <w:shd w:val="clear" w:color="auto" w:fill="7030A0"/>
          </w:tcPr>
          <w:p w14:paraId="1560D996" w14:textId="77777777" w:rsidR="006A4E19" w:rsidRPr="00F54064" w:rsidRDefault="006A4E19" w:rsidP="00D742AE">
            <w:pPr>
              <w:pStyle w:val="CommentaryText"/>
              <w:rPr>
                <w:rFonts w:cs="Calibri"/>
                <w:color w:val="FFFFFF" w:themeColor="background1"/>
                <w:sz w:val="18"/>
                <w:szCs w:val="18"/>
              </w:rPr>
            </w:pPr>
            <w:r w:rsidRPr="00F54064">
              <w:rPr>
                <w:rFonts w:cs="Calibri"/>
                <w:color w:val="FFFFFF" w:themeColor="background1"/>
                <w:sz w:val="18"/>
                <w:szCs w:val="18"/>
              </w:rPr>
              <w:t xml:space="preserve">The Operating Statement must be cross-referenced to </w:t>
            </w:r>
            <w:r w:rsidR="002F4429" w:rsidRPr="00F54064">
              <w:rPr>
                <w:rFonts w:cs="Calibri"/>
                <w:color w:val="FFFFFF" w:themeColor="background1"/>
                <w:sz w:val="18"/>
                <w:szCs w:val="18"/>
              </w:rPr>
              <w:t xml:space="preserve">relevant </w:t>
            </w:r>
            <w:r w:rsidRPr="00F54064">
              <w:rPr>
                <w:rFonts w:cs="Calibri"/>
                <w:color w:val="FFFFFF" w:themeColor="background1"/>
                <w:sz w:val="18"/>
                <w:szCs w:val="18"/>
              </w:rPr>
              <w:t>notes</w:t>
            </w:r>
            <w:r w:rsidR="002F4429" w:rsidRPr="00F54064">
              <w:rPr>
                <w:rFonts w:cs="Calibri"/>
                <w:color w:val="FFFFFF" w:themeColor="background1"/>
                <w:sz w:val="18"/>
                <w:szCs w:val="18"/>
              </w:rPr>
              <w:t xml:space="preserve"> included, based on materiality considerations</w:t>
            </w:r>
            <w:r w:rsidRPr="00F54064">
              <w:rPr>
                <w:rFonts w:cs="Calibri"/>
                <w:color w:val="FFFFFF" w:themeColor="background1"/>
                <w:sz w:val="18"/>
                <w:szCs w:val="18"/>
              </w:rPr>
              <w:t>.</w:t>
            </w:r>
          </w:p>
        </w:tc>
      </w:tr>
      <w:tr w:rsidR="006A4E19" w:rsidRPr="00CF7E1B" w14:paraId="5BFE018A" w14:textId="77777777" w:rsidTr="00B66382">
        <w:trPr>
          <w:trHeight w:val="20"/>
        </w:trPr>
        <w:tc>
          <w:tcPr>
            <w:tcW w:w="1620" w:type="dxa"/>
            <w:tcBorders>
              <w:left w:val="single" w:sz="2" w:space="0" w:color="auto"/>
              <w:right w:val="single" w:sz="2" w:space="0" w:color="auto"/>
            </w:tcBorders>
          </w:tcPr>
          <w:p w14:paraId="604B513D" w14:textId="77777777" w:rsidR="006A4E19" w:rsidRPr="00F54064" w:rsidRDefault="006A4E19" w:rsidP="006A4E1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447873C4" w14:textId="77777777" w:rsidR="006A4E19" w:rsidRPr="00FA7C77" w:rsidRDefault="006A4E19" w:rsidP="0019122B">
            <w:pPr>
              <w:pStyle w:val="CommentaryHeading"/>
              <w:spacing w:after="0"/>
              <w:rPr>
                <w:rFonts w:cs="Calibri"/>
                <w:color w:val="FFFFFF" w:themeColor="background1"/>
                <w:szCs w:val="20"/>
              </w:rPr>
            </w:pPr>
            <w:r w:rsidRPr="00FA7C77">
              <w:rPr>
                <w:rFonts w:cs="Calibri"/>
                <w:color w:val="FFFFFF" w:themeColor="background1"/>
                <w:szCs w:val="20"/>
              </w:rPr>
              <w:t>Budget</w:t>
            </w:r>
          </w:p>
        </w:tc>
      </w:tr>
      <w:tr w:rsidR="006141B9" w:rsidRPr="00CF7E1B" w14:paraId="00279810" w14:textId="77777777" w:rsidTr="00B66382">
        <w:trPr>
          <w:trHeight w:val="20"/>
        </w:trPr>
        <w:tc>
          <w:tcPr>
            <w:tcW w:w="1620" w:type="dxa"/>
            <w:tcBorders>
              <w:left w:val="single" w:sz="2" w:space="0" w:color="auto"/>
              <w:right w:val="single" w:sz="2" w:space="0" w:color="auto"/>
            </w:tcBorders>
          </w:tcPr>
          <w:p w14:paraId="1F1CE853"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FMA Section 27(2)</w:t>
            </w:r>
          </w:p>
          <w:p w14:paraId="72FFFA52" w14:textId="33096FD3" w:rsidR="006141B9" w:rsidRPr="00F54064" w:rsidRDefault="006141B9" w:rsidP="006141B9">
            <w:pPr>
              <w:pStyle w:val="TableReference"/>
              <w:tabs>
                <w:tab w:val="left" w:pos="3306"/>
              </w:tabs>
              <w:spacing w:before="60"/>
              <w:rPr>
                <w:rFonts w:cs="Calibri"/>
                <w:strike/>
                <w:color w:val="7030A0"/>
                <w:sz w:val="14"/>
              </w:rPr>
            </w:pPr>
            <w:r w:rsidRPr="00F54064">
              <w:rPr>
                <w:rFonts w:cs="Calibri"/>
                <w:color w:val="7030A0"/>
                <w:sz w:val="14"/>
              </w:rPr>
              <w:t>FMA s63(2)</w:t>
            </w:r>
          </w:p>
        </w:tc>
        <w:tc>
          <w:tcPr>
            <w:tcW w:w="8930" w:type="dxa"/>
            <w:tcBorders>
              <w:left w:val="single" w:sz="2" w:space="0" w:color="auto"/>
            </w:tcBorders>
            <w:shd w:val="clear" w:color="auto" w:fill="7030A0"/>
          </w:tcPr>
          <w:p w14:paraId="613317DE" w14:textId="0E8263BD" w:rsidR="006141B9" w:rsidRPr="00F54064" w:rsidRDefault="006141B9" w:rsidP="006141B9">
            <w:pPr>
              <w:pStyle w:val="CommentaryText"/>
              <w:spacing w:after="0"/>
              <w:rPr>
                <w:rFonts w:cs="Calibri"/>
                <w:color w:val="FFFFFF" w:themeColor="background1"/>
                <w:sz w:val="18"/>
                <w:szCs w:val="18"/>
              </w:rPr>
            </w:pPr>
            <w:r w:rsidRPr="00F54064">
              <w:rPr>
                <w:rFonts w:cs="Calibri"/>
                <w:color w:val="FFFFFF" w:themeColor="background1"/>
                <w:sz w:val="18"/>
                <w:szCs w:val="18"/>
              </w:rPr>
              <w:t>The budget numbers appearing in the Operating Statement for directorates are the numbers published in the 2021-22 Budget Papers.</w:t>
            </w:r>
            <w:r w:rsidR="00FA7C77">
              <w:rPr>
                <w:rFonts w:cs="Calibri"/>
                <w:color w:val="FFFFFF" w:themeColor="background1"/>
                <w:sz w:val="18"/>
                <w:szCs w:val="18"/>
              </w:rPr>
              <w:t xml:space="preserve"> </w:t>
            </w:r>
            <w:r w:rsidRPr="00F54064">
              <w:rPr>
                <w:color w:val="FFFFFF" w:themeColor="background1"/>
                <w:sz w:val="18"/>
                <w:szCs w:val="18"/>
              </w:rPr>
              <w:t>Budget numbers appearing in the Operating Statement for territory author</w:t>
            </w:r>
            <w:r w:rsidR="00BF7D65" w:rsidRPr="00F54064">
              <w:rPr>
                <w:color w:val="FFFFFF" w:themeColor="background1"/>
                <w:sz w:val="18"/>
                <w:szCs w:val="18"/>
              </w:rPr>
              <w:t>it</w:t>
            </w:r>
            <w:r w:rsidRPr="00F54064">
              <w:rPr>
                <w:color w:val="FFFFFF" w:themeColor="background1"/>
                <w:sz w:val="18"/>
                <w:szCs w:val="18"/>
              </w:rPr>
              <w:t>ies are based on the authority’s Statement of Intent included in the 2021-22 Budget Papers.</w:t>
            </w:r>
          </w:p>
        </w:tc>
      </w:tr>
      <w:tr w:rsidR="006141B9" w:rsidRPr="00CF7E1B" w14:paraId="6D832425" w14:textId="77777777" w:rsidTr="00B66382">
        <w:trPr>
          <w:trHeight w:val="20"/>
        </w:trPr>
        <w:tc>
          <w:tcPr>
            <w:tcW w:w="1620" w:type="dxa"/>
            <w:tcBorders>
              <w:left w:val="single" w:sz="2" w:space="0" w:color="auto"/>
              <w:right w:val="single" w:sz="2" w:space="0" w:color="auto"/>
            </w:tcBorders>
          </w:tcPr>
          <w:p w14:paraId="0A014D52" w14:textId="77777777" w:rsidR="006141B9" w:rsidRPr="00F54064"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6EFFFC68" w14:textId="77777777" w:rsidR="006141B9" w:rsidRPr="00FA7C77" w:rsidRDefault="006141B9" w:rsidP="006141B9">
            <w:pPr>
              <w:pStyle w:val="CommentaryHeading"/>
              <w:tabs>
                <w:tab w:val="left" w:pos="3306"/>
              </w:tabs>
              <w:spacing w:after="0"/>
              <w:rPr>
                <w:rFonts w:cs="Calibri"/>
                <w:color w:val="FFFFFF" w:themeColor="background1"/>
                <w:szCs w:val="20"/>
              </w:rPr>
            </w:pPr>
            <w:r w:rsidRPr="00FA7C77">
              <w:rPr>
                <w:rFonts w:cs="Calibri"/>
                <w:color w:val="FFFFFF" w:themeColor="background1"/>
                <w:szCs w:val="20"/>
              </w:rPr>
              <w:t>Income</w:t>
            </w:r>
          </w:p>
        </w:tc>
      </w:tr>
      <w:tr w:rsidR="006141B9" w:rsidRPr="00CF7E1B" w14:paraId="0B962870" w14:textId="77777777" w:rsidTr="00B66382">
        <w:trPr>
          <w:trHeight w:val="20"/>
        </w:trPr>
        <w:tc>
          <w:tcPr>
            <w:tcW w:w="1620" w:type="dxa"/>
            <w:tcBorders>
              <w:left w:val="single" w:sz="2" w:space="0" w:color="auto"/>
              <w:right w:val="single" w:sz="2" w:space="0" w:color="auto"/>
            </w:tcBorders>
          </w:tcPr>
          <w:p w14:paraId="5B0E929B"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AASB Framework 74 &amp; 76</w:t>
            </w:r>
          </w:p>
          <w:p w14:paraId="591B2531" w14:textId="6FC5D11B" w:rsidR="006141B9" w:rsidRPr="00F54064" w:rsidRDefault="006141B9" w:rsidP="006141B9">
            <w:pPr>
              <w:pStyle w:val="TableReference"/>
              <w:tabs>
                <w:tab w:val="left" w:pos="3306"/>
              </w:tabs>
              <w:rPr>
                <w:rFonts w:cs="Calibri"/>
                <w:strike/>
                <w:color w:val="7030A0"/>
                <w:sz w:val="14"/>
              </w:rPr>
            </w:pPr>
          </w:p>
        </w:tc>
        <w:tc>
          <w:tcPr>
            <w:tcW w:w="8930" w:type="dxa"/>
            <w:tcBorders>
              <w:left w:val="single" w:sz="2" w:space="0" w:color="auto"/>
            </w:tcBorders>
            <w:shd w:val="clear" w:color="auto" w:fill="7030A0"/>
          </w:tcPr>
          <w:p w14:paraId="016E9D53" w14:textId="61C92821" w:rsidR="006141B9" w:rsidRPr="00F54064" w:rsidRDefault="006141B9" w:rsidP="006141B9">
            <w:pPr>
              <w:pStyle w:val="CommentaryText"/>
              <w:rPr>
                <w:rFonts w:cs="Calibri"/>
                <w:color w:val="FFFFFF" w:themeColor="background1"/>
                <w:sz w:val="18"/>
                <w:szCs w:val="18"/>
              </w:rPr>
            </w:pPr>
            <w:r w:rsidRPr="00F54064">
              <w:rPr>
                <w:rFonts w:cs="Calibri"/>
                <w:color w:val="FFFFFF" w:themeColor="background1"/>
                <w:sz w:val="18"/>
                <w:szCs w:val="18"/>
              </w:rPr>
              <w:t>Income is comprised of revenue and gains.</w:t>
            </w:r>
            <w:r w:rsidR="00FA7C77">
              <w:rPr>
                <w:rFonts w:cs="Calibri"/>
                <w:color w:val="FFFFFF" w:themeColor="background1"/>
                <w:sz w:val="18"/>
                <w:szCs w:val="18"/>
              </w:rPr>
              <w:t xml:space="preserve"> </w:t>
            </w:r>
            <w:r w:rsidRPr="00F54064">
              <w:rPr>
                <w:rFonts w:cs="Calibri"/>
                <w:color w:val="FFFFFF" w:themeColor="background1"/>
                <w:sz w:val="18"/>
                <w:szCs w:val="18"/>
              </w:rPr>
              <w:t>Gains are to be displayed separately to revenue in the Operating Statement as this separate identification is useful for the purpose of making economic decisions.</w:t>
            </w:r>
            <w:r w:rsidR="00FA7C77">
              <w:rPr>
                <w:rFonts w:cs="Calibri"/>
                <w:color w:val="FFFFFF" w:themeColor="background1"/>
                <w:sz w:val="18"/>
                <w:szCs w:val="18"/>
              </w:rPr>
              <w:t xml:space="preserve"> </w:t>
            </w:r>
            <w:r w:rsidRPr="00F54064">
              <w:rPr>
                <w:rFonts w:cs="Calibri"/>
                <w:color w:val="FFFFFF" w:themeColor="background1"/>
                <w:sz w:val="18"/>
                <w:szCs w:val="18"/>
              </w:rPr>
              <w:t>Gains are often reported net of related expenses.</w:t>
            </w:r>
            <w:r w:rsidR="00FA7C77">
              <w:rPr>
                <w:rFonts w:cs="Calibri"/>
                <w:color w:val="FFFFFF" w:themeColor="background1"/>
                <w:sz w:val="18"/>
                <w:szCs w:val="18"/>
              </w:rPr>
              <w:t xml:space="preserve"> </w:t>
            </w:r>
            <w:r w:rsidRPr="00F54064">
              <w:rPr>
                <w:rFonts w:cs="Calibri"/>
                <w:color w:val="FFFFFF" w:themeColor="background1"/>
                <w:sz w:val="18"/>
                <w:szCs w:val="18"/>
              </w:rPr>
              <w:t>Note that where a net loss occurs in relation to a particular transaction, it is disclosed as part of Other Expenses.</w:t>
            </w:r>
          </w:p>
        </w:tc>
      </w:tr>
      <w:tr w:rsidR="006141B9" w:rsidRPr="00CF7E1B" w14:paraId="0615A1C0" w14:textId="77777777" w:rsidTr="00B66382">
        <w:trPr>
          <w:trHeight w:val="215"/>
        </w:trPr>
        <w:tc>
          <w:tcPr>
            <w:tcW w:w="1620" w:type="dxa"/>
            <w:tcBorders>
              <w:left w:val="single" w:sz="2" w:space="0" w:color="auto"/>
              <w:right w:val="single" w:sz="2" w:space="0" w:color="auto"/>
            </w:tcBorders>
          </w:tcPr>
          <w:p w14:paraId="17DE3710" w14:textId="77777777" w:rsidR="006141B9" w:rsidRPr="00F54064" w:rsidRDefault="006141B9" w:rsidP="006141B9">
            <w:pPr>
              <w:pStyle w:val="TableReference"/>
              <w:tabs>
                <w:tab w:val="left" w:pos="3306"/>
              </w:tabs>
              <w:spacing w:before="60"/>
              <w:rPr>
                <w:color w:val="7030A0"/>
                <w:sz w:val="14"/>
              </w:rPr>
            </w:pPr>
          </w:p>
        </w:tc>
        <w:tc>
          <w:tcPr>
            <w:tcW w:w="8930" w:type="dxa"/>
            <w:tcBorders>
              <w:left w:val="single" w:sz="2" w:space="0" w:color="auto"/>
            </w:tcBorders>
            <w:shd w:val="clear" w:color="auto" w:fill="7030A0"/>
          </w:tcPr>
          <w:p w14:paraId="42F32D17" w14:textId="4EA853A4" w:rsidR="006141B9" w:rsidRPr="00FA7C77" w:rsidRDefault="006141B9" w:rsidP="006141B9">
            <w:pPr>
              <w:spacing w:after="40"/>
              <w:jc w:val="both"/>
              <w:rPr>
                <w:strike/>
                <w:color w:val="FFFFFF" w:themeColor="background1"/>
                <w:sz w:val="20"/>
                <w:szCs w:val="20"/>
              </w:rPr>
            </w:pPr>
            <w:r w:rsidRPr="00FA7C77">
              <w:rPr>
                <w:rFonts w:cs="Calibri"/>
                <w:b/>
                <w:bCs/>
                <w:color w:val="FFFFFF" w:themeColor="background1"/>
                <w:sz w:val="20"/>
                <w:szCs w:val="20"/>
              </w:rPr>
              <w:t>Offset of Income and Expenses</w:t>
            </w:r>
          </w:p>
        </w:tc>
      </w:tr>
      <w:tr w:rsidR="006141B9" w:rsidRPr="00CF7E1B" w14:paraId="4FDF3A4C" w14:textId="77777777" w:rsidTr="00B66382">
        <w:trPr>
          <w:trHeight w:val="791"/>
        </w:trPr>
        <w:tc>
          <w:tcPr>
            <w:tcW w:w="1620" w:type="dxa"/>
            <w:tcBorders>
              <w:left w:val="single" w:sz="2" w:space="0" w:color="auto"/>
              <w:right w:val="single" w:sz="2" w:space="0" w:color="auto"/>
            </w:tcBorders>
          </w:tcPr>
          <w:p w14:paraId="2A9D9671" w14:textId="77777777" w:rsidR="006141B9" w:rsidRPr="00F54064" w:rsidRDefault="006141B9" w:rsidP="006141B9">
            <w:pPr>
              <w:pStyle w:val="TableReference"/>
              <w:tabs>
                <w:tab w:val="left" w:pos="3306"/>
              </w:tabs>
              <w:spacing w:before="60"/>
              <w:rPr>
                <w:rFonts w:cs="Calibri"/>
                <w:color w:val="7030A0"/>
                <w:sz w:val="14"/>
              </w:rPr>
            </w:pPr>
            <w:r w:rsidRPr="00F54064">
              <w:rPr>
                <w:rFonts w:cs="Calibri"/>
                <w:color w:val="7030A0"/>
                <w:sz w:val="14"/>
              </w:rPr>
              <w:t>AASB 101.32</w:t>
            </w:r>
          </w:p>
          <w:p w14:paraId="0D9BB45C" w14:textId="7AA13B0C" w:rsidR="006141B9" w:rsidRPr="00F54064" w:rsidRDefault="006141B9" w:rsidP="006141B9">
            <w:pPr>
              <w:pStyle w:val="TableReference"/>
              <w:tabs>
                <w:tab w:val="left" w:pos="3306"/>
              </w:tabs>
              <w:spacing w:before="60"/>
              <w:rPr>
                <w:color w:val="7030A0"/>
                <w:sz w:val="14"/>
              </w:rPr>
            </w:pPr>
            <w:r w:rsidRPr="00F54064">
              <w:rPr>
                <w:rFonts w:cs="Calibri"/>
                <w:color w:val="7030A0"/>
                <w:sz w:val="14"/>
              </w:rPr>
              <w:t>AASB 116.71</w:t>
            </w:r>
          </w:p>
        </w:tc>
        <w:tc>
          <w:tcPr>
            <w:tcW w:w="8930" w:type="dxa"/>
            <w:tcBorders>
              <w:left w:val="single" w:sz="2" w:space="0" w:color="auto"/>
            </w:tcBorders>
            <w:shd w:val="clear" w:color="auto" w:fill="7030A0"/>
          </w:tcPr>
          <w:p w14:paraId="2962D702" w14:textId="3B5F6296" w:rsidR="006141B9" w:rsidRPr="00F54064" w:rsidRDefault="006141B9" w:rsidP="006141B9">
            <w:pPr>
              <w:spacing w:after="120"/>
              <w:jc w:val="both"/>
              <w:rPr>
                <w:color w:val="FFFFFF" w:themeColor="background1"/>
                <w:sz w:val="18"/>
                <w:szCs w:val="18"/>
              </w:rPr>
            </w:pPr>
            <w:r w:rsidRPr="00F54064">
              <w:rPr>
                <w:rFonts w:cs="Calibri"/>
                <w:color w:val="FFFFFF" w:themeColor="background1"/>
                <w:sz w:val="18"/>
                <w:szCs w:val="18"/>
              </w:rPr>
              <w:t>Income and expenses must not be offset unless required or permitted by an Australian Accounting Standard.</w:t>
            </w:r>
            <w:r w:rsidR="00FA7C77">
              <w:rPr>
                <w:rFonts w:cs="Calibri"/>
                <w:color w:val="FFFFFF" w:themeColor="background1"/>
                <w:sz w:val="18"/>
                <w:szCs w:val="18"/>
              </w:rPr>
              <w:t xml:space="preserve"> </w:t>
            </w:r>
            <w:r w:rsidRPr="00F54064">
              <w:rPr>
                <w:rFonts w:cs="Calibri"/>
                <w:color w:val="FFFFFF" w:themeColor="background1"/>
                <w:sz w:val="18"/>
                <w:szCs w:val="18"/>
              </w:rPr>
              <w:t xml:space="preserve">For example, AASB 116 </w:t>
            </w:r>
            <w:r w:rsidRPr="00F54064">
              <w:rPr>
                <w:rFonts w:cs="Calibri"/>
                <w:i/>
                <w:color w:val="FFFFFF" w:themeColor="background1"/>
                <w:sz w:val="18"/>
                <w:szCs w:val="18"/>
              </w:rPr>
              <w:t>Property, Plant and Equipment</w:t>
            </w:r>
            <w:r w:rsidRPr="00F54064">
              <w:rPr>
                <w:rFonts w:cs="Calibri"/>
                <w:color w:val="FFFFFF" w:themeColor="background1"/>
                <w:sz w:val="18"/>
                <w:szCs w:val="18"/>
              </w:rPr>
              <w:t xml:space="preserve"> allows the offset of the income and expense from </w:t>
            </w:r>
            <w:r w:rsidRPr="00F54064">
              <w:rPr>
                <w:rFonts w:cs="Calibri"/>
                <w:color w:val="FFFFFF" w:themeColor="background1"/>
                <w:sz w:val="18"/>
                <w:szCs w:val="18"/>
              </w:rPr>
              <w:br/>
              <w:t>de-recognition of an item of property, plant and equipment.</w:t>
            </w:r>
          </w:p>
        </w:tc>
      </w:tr>
      <w:tr w:rsidR="00D558CF" w:rsidRPr="00CF7E1B" w14:paraId="6DFE7A89" w14:textId="77777777" w:rsidTr="00B66382">
        <w:trPr>
          <w:trHeight w:val="163"/>
        </w:trPr>
        <w:tc>
          <w:tcPr>
            <w:tcW w:w="1620" w:type="dxa"/>
            <w:tcBorders>
              <w:left w:val="single" w:sz="2" w:space="0" w:color="auto"/>
              <w:right w:val="single" w:sz="2" w:space="0" w:color="auto"/>
            </w:tcBorders>
          </w:tcPr>
          <w:p w14:paraId="0D4A5DAD" w14:textId="77777777" w:rsidR="00D558CF" w:rsidRPr="00F54064" w:rsidRDefault="00D558CF" w:rsidP="00F54064">
            <w:pPr>
              <w:rPr>
                <w:rFonts w:cs="Calibri"/>
                <w:color w:val="7030A0"/>
                <w:sz w:val="14"/>
              </w:rPr>
            </w:pPr>
          </w:p>
        </w:tc>
        <w:tc>
          <w:tcPr>
            <w:tcW w:w="8930" w:type="dxa"/>
            <w:tcBorders>
              <w:left w:val="single" w:sz="2" w:space="0" w:color="auto"/>
            </w:tcBorders>
            <w:shd w:val="clear" w:color="auto" w:fill="7030A0"/>
          </w:tcPr>
          <w:p w14:paraId="78F87070" w14:textId="5B4EBB35" w:rsidR="00D558CF" w:rsidRPr="00FA7C77" w:rsidRDefault="00D558CF" w:rsidP="009A0F2F">
            <w:pPr>
              <w:jc w:val="both"/>
              <w:rPr>
                <w:color w:val="FFFFFF" w:themeColor="background1"/>
                <w:sz w:val="20"/>
                <w:szCs w:val="20"/>
              </w:rPr>
            </w:pPr>
            <w:r w:rsidRPr="00FA7C77">
              <w:rPr>
                <w:rFonts w:cs="Calibri"/>
                <w:b/>
                <w:bCs/>
                <w:color w:val="FFFFFF" w:themeColor="background1"/>
                <w:sz w:val="20"/>
                <w:szCs w:val="20"/>
              </w:rPr>
              <w:t>Classification of Expenses</w:t>
            </w:r>
          </w:p>
        </w:tc>
      </w:tr>
      <w:tr w:rsidR="00D558CF" w:rsidRPr="00CF7E1B" w14:paraId="4288B447" w14:textId="77777777" w:rsidTr="00B66382">
        <w:trPr>
          <w:trHeight w:val="136"/>
        </w:trPr>
        <w:tc>
          <w:tcPr>
            <w:tcW w:w="1620" w:type="dxa"/>
            <w:tcBorders>
              <w:left w:val="single" w:sz="2" w:space="0" w:color="auto"/>
              <w:right w:val="single" w:sz="2" w:space="0" w:color="auto"/>
            </w:tcBorders>
          </w:tcPr>
          <w:p w14:paraId="00706325" w14:textId="77777777" w:rsidR="00D558CF" w:rsidRPr="00F54064" w:rsidRDefault="00D558CF" w:rsidP="00D558CF">
            <w:pPr>
              <w:pStyle w:val="TableReference"/>
              <w:tabs>
                <w:tab w:val="left" w:pos="3306"/>
              </w:tabs>
              <w:spacing w:before="60"/>
              <w:rPr>
                <w:rFonts w:cs="Calibri"/>
                <w:color w:val="7030A0"/>
                <w:sz w:val="14"/>
              </w:rPr>
            </w:pPr>
            <w:r w:rsidRPr="00F54064">
              <w:rPr>
                <w:rFonts w:cs="Calibri"/>
                <w:color w:val="7030A0"/>
                <w:sz w:val="14"/>
              </w:rPr>
              <w:t>AASB 101.99</w:t>
            </w:r>
          </w:p>
          <w:p w14:paraId="7298358A" w14:textId="77777777" w:rsidR="00D558CF" w:rsidRPr="00F54064" w:rsidRDefault="00D558CF" w:rsidP="00D558CF">
            <w:pPr>
              <w:pStyle w:val="TableReference"/>
              <w:tabs>
                <w:tab w:val="left" w:pos="3306"/>
              </w:tabs>
              <w:rPr>
                <w:rFonts w:cs="Calibri"/>
                <w:color w:val="7030A0"/>
                <w:sz w:val="14"/>
              </w:rPr>
            </w:pPr>
          </w:p>
          <w:p w14:paraId="544AEAB1" w14:textId="77777777" w:rsidR="00D558CF" w:rsidRPr="00F54064" w:rsidRDefault="00D558CF" w:rsidP="00D558CF">
            <w:pPr>
              <w:pStyle w:val="TableReference"/>
              <w:tabs>
                <w:tab w:val="left" w:pos="3306"/>
              </w:tabs>
              <w:rPr>
                <w:rFonts w:cs="Calibri"/>
                <w:color w:val="7030A0"/>
                <w:sz w:val="14"/>
              </w:rPr>
            </w:pPr>
          </w:p>
          <w:p w14:paraId="591A5B8B" w14:textId="77777777" w:rsidR="00D558CF" w:rsidRPr="00F54064" w:rsidRDefault="00D558CF" w:rsidP="00D558CF">
            <w:pPr>
              <w:pStyle w:val="TableReference"/>
              <w:tabs>
                <w:tab w:val="left" w:pos="3306"/>
              </w:tabs>
              <w:rPr>
                <w:rFonts w:cs="Calibri"/>
                <w:color w:val="7030A0"/>
                <w:sz w:val="14"/>
              </w:rPr>
            </w:pPr>
          </w:p>
          <w:p w14:paraId="6336DC21" w14:textId="77777777" w:rsidR="00D558CF" w:rsidRPr="00F54064" w:rsidRDefault="00D558CF" w:rsidP="00D558CF">
            <w:pPr>
              <w:pStyle w:val="TableReference"/>
              <w:tabs>
                <w:tab w:val="left" w:pos="3306"/>
              </w:tabs>
              <w:rPr>
                <w:rFonts w:cs="Calibri"/>
                <w:color w:val="7030A0"/>
                <w:sz w:val="14"/>
              </w:rPr>
            </w:pPr>
          </w:p>
          <w:p w14:paraId="4AA7C8C3" w14:textId="77777777" w:rsidR="00D558CF" w:rsidRPr="00F54064" w:rsidRDefault="00D558CF" w:rsidP="00D558CF">
            <w:pPr>
              <w:pStyle w:val="TableReference"/>
              <w:tabs>
                <w:tab w:val="left" w:pos="3306"/>
              </w:tabs>
              <w:rPr>
                <w:rFonts w:cs="Calibri"/>
                <w:color w:val="7030A0"/>
                <w:sz w:val="14"/>
              </w:rPr>
            </w:pPr>
            <w:r w:rsidRPr="00F54064">
              <w:rPr>
                <w:rFonts w:cs="Calibri"/>
                <w:color w:val="7030A0"/>
                <w:sz w:val="14"/>
              </w:rPr>
              <w:t>AASB 101.100</w:t>
            </w:r>
          </w:p>
          <w:p w14:paraId="43D327FD" w14:textId="21CDB476" w:rsidR="00D558CF" w:rsidRPr="00F54064" w:rsidRDefault="00D558CF" w:rsidP="00D558CF">
            <w:pPr>
              <w:pStyle w:val="TableReference"/>
              <w:tabs>
                <w:tab w:val="left" w:pos="3306"/>
              </w:tabs>
              <w:spacing w:before="60"/>
              <w:rPr>
                <w:color w:val="7030A0"/>
                <w:sz w:val="14"/>
              </w:rPr>
            </w:pPr>
            <w:r w:rsidRPr="00F54064">
              <w:rPr>
                <w:rFonts w:cs="Calibri"/>
                <w:color w:val="7030A0"/>
                <w:sz w:val="14"/>
              </w:rPr>
              <w:t>ACT Disclosure Policy</w:t>
            </w:r>
          </w:p>
        </w:tc>
        <w:tc>
          <w:tcPr>
            <w:tcW w:w="8930" w:type="dxa"/>
            <w:tcBorders>
              <w:left w:val="single" w:sz="2" w:space="0" w:color="auto"/>
            </w:tcBorders>
            <w:shd w:val="clear" w:color="auto" w:fill="7030A0"/>
          </w:tcPr>
          <w:p w14:paraId="77F7EDC5" w14:textId="77777777" w:rsidR="00D558CF" w:rsidRPr="00F54064" w:rsidRDefault="00D558CF" w:rsidP="00D558CF">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Under AASB 101, expenses shall be classified by using either:</w:t>
            </w:r>
          </w:p>
          <w:p w14:paraId="7D69904E" w14:textId="77777777" w:rsidR="00D558CF" w:rsidRPr="00F54064" w:rsidRDefault="00D558CF" w:rsidP="00D558CF">
            <w:pPr>
              <w:pStyle w:val="Commentary-Bullet"/>
              <w:rPr>
                <w:rFonts w:cs="Calibri"/>
                <w:color w:val="FFFFFF" w:themeColor="background1"/>
                <w:sz w:val="18"/>
                <w:szCs w:val="18"/>
              </w:rPr>
            </w:pPr>
            <w:r w:rsidRPr="00F54064">
              <w:rPr>
                <w:rFonts w:cs="Calibri"/>
                <w:color w:val="FFFFFF" w:themeColor="background1"/>
                <w:sz w:val="18"/>
                <w:szCs w:val="18"/>
              </w:rPr>
              <w:t>the nature of expenses method; or</w:t>
            </w:r>
          </w:p>
          <w:p w14:paraId="55D1F659" w14:textId="77777777" w:rsidR="00D558CF" w:rsidRPr="00F54064" w:rsidRDefault="00D558CF" w:rsidP="00D558CF">
            <w:pPr>
              <w:pStyle w:val="Commentary-Bullet"/>
              <w:rPr>
                <w:rFonts w:cs="Calibri"/>
                <w:color w:val="FFFFFF" w:themeColor="background1"/>
                <w:sz w:val="18"/>
                <w:szCs w:val="18"/>
              </w:rPr>
            </w:pPr>
            <w:r w:rsidRPr="00F54064">
              <w:rPr>
                <w:rFonts w:cs="Calibri"/>
                <w:color w:val="FFFFFF" w:themeColor="background1"/>
                <w:sz w:val="18"/>
                <w:szCs w:val="18"/>
              </w:rPr>
              <w:t>the function of expenses method.</w:t>
            </w:r>
          </w:p>
          <w:p w14:paraId="16B1EAC8" w14:textId="5C0F8B46" w:rsidR="00D558CF" w:rsidRPr="00F54064" w:rsidRDefault="00D558CF" w:rsidP="00D558CF">
            <w:pPr>
              <w:jc w:val="both"/>
              <w:rPr>
                <w:b/>
                <w:bCs/>
                <w:color w:val="FFFFFF" w:themeColor="background1"/>
                <w:sz w:val="18"/>
                <w:szCs w:val="18"/>
              </w:rPr>
            </w:pPr>
            <w:r w:rsidRPr="00F54064">
              <w:rPr>
                <w:rFonts w:cs="Calibri"/>
                <w:color w:val="FFFFFF" w:themeColor="background1"/>
                <w:sz w:val="18"/>
                <w:szCs w:val="18"/>
              </w:rPr>
              <w:t>The standard encourages this classification to be disclosed in the Operating Statement.</w:t>
            </w:r>
            <w:r w:rsidR="00FA7C77">
              <w:rPr>
                <w:rFonts w:cs="Calibri"/>
                <w:color w:val="FFFFFF" w:themeColor="background1"/>
                <w:sz w:val="18"/>
                <w:szCs w:val="18"/>
              </w:rPr>
              <w:t xml:space="preserve"> </w:t>
            </w:r>
            <w:r w:rsidRPr="00F54064">
              <w:rPr>
                <w:rFonts w:cs="Calibri"/>
                <w:color w:val="FFFFFF" w:themeColor="background1"/>
                <w:sz w:val="18"/>
                <w:szCs w:val="18"/>
              </w:rPr>
              <w:t>ACT Disclosure Policy requires agencies to classify expenses by their nature.</w:t>
            </w:r>
          </w:p>
        </w:tc>
      </w:tr>
      <w:tr w:rsidR="00D558CF" w:rsidRPr="00CF7E1B" w14:paraId="0F5186D6" w14:textId="77777777" w:rsidTr="00B66382">
        <w:trPr>
          <w:trHeight w:val="136"/>
        </w:trPr>
        <w:tc>
          <w:tcPr>
            <w:tcW w:w="1620" w:type="dxa"/>
            <w:tcBorders>
              <w:left w:val="single" w:sz="2" w:space="0" w:color="auto"/>
              <w:right w:val="single" w:sz="2" w:space="0" w:color="auto"/>
            </w:tcBorders>
          </w:tcPr>
          <w:p w14:paraId="01B743E4" w14:textId="77777777" w:rsidR="00D558CF" w:rsidRPr="00F54064" w:rsidRDefault="00D558CF" w:rsidP="00D558CF">
            <w:pPr>
              <w:pStyle w:val="TableReference"/>
              <w:tabs>
                <w:tab w:val="left" w:pos="3306"/>
              </w:tabs>
              <w:spacing w:before="60"/>
              <w:rPr>
                <w:color w:val="7030A0"/>
                <w:sz w:val="14"/>
              </w:rPr>
            </w:pPr>
          </w:p>
        </w:tc>
        <w:tc>
          <w:tcPr>
            <w:tcW w:w="8930" w:type="dxa"/>
            <w:tcBorders>
              <w:left w:val="single" w:sz="2" w:space="0" w:color="auto"/>
            </w:tcBorders>
            <w:shd w:val="clear" w:color="auto" w:fill="7030A0"/>
          </w:tcPr>
          <w:p w14:paraId="6EB4208C" w14:textId="543FD0BF" w:rsidR="00D558CF" w:rsidRPr="00FA7C77" w:rsidRDefault="00F96821" w:rsidP="00F96821">
            <w:pPr>
              <w:spacing w:before="120"/>
              <w:jc w:val="both"/>
              <w:rPr>
                <w:rFonts w:cs="Calibri"/>
                <w:b/>
                <w:bCs/>
                <w:color w:val="FFFFFF" w:themeColor="background1"/>
                <w:sz w:val="20"/>
                <w:szCs w:val="20"/>
              </w:rPr>
            </w:pPr>
            <w:r w:rsidRPr="00FA7C77">
              <w:rPr>
                <w:rFonts w:cs="Calibri"/>
                <w:b/>
                <w:bCs/>
                <w:color w:val="FFFFFF" w:themeColor="background1"/>
                <w:sz w:val="20"/>
                <w:szCs w:val="20"/>
              </w:rPr>
              <w:t>Goods and Services Tax (GST)</w:t>
            </w:r>
          </w:p>
        </w:tc>
      </w:tr>
      <w:tr w:rsidR="00F96821" w:rsidRPr="00CF7E1B" w14:paraId="49ED29C6" w14:textId="77777777" w:rsidTr="00B66382">
        <w:trPr>
          <w:trHeight w:val="136"/>
        </w:trPr>
        <w:tc>
          <w:tcPr>
            <w:tcW w:w="1620" w:type="dxa"/>
            <w:tcBorders>
              <w:left w:val="single" w:sz="2" w:space="0" w:color="auto"/>
              <w:right w:val="single" w:sz="2" w:space="0" w:color="auto"/>
            </w:tcBorders>
          </w:tcPr>
          <w:p w14:paraId="3821E56F" w14:textId="7ED57291" w:rsidR="00F96821" w:rsidRPr="00F54064" w:rsidRDefault="00F96821" w:rsidP="00D558CF">
            <w:pPr>
              <w:pStyle w:val="TableReference"/>
              <w:tabs>
                <w:tab w:val="left" w:pos="3306"/>
              </w:tabs>
              <w:spacing w:before="60"/>
              <w:rPr>
                <w:color w:val="7030A0"/>
                <w:sz w:val="14"/>
              </w:rPr>
            </w:pPr>
            <w:r w:rsidRPr="00F54064">
              <w:rPr>
                <w:rFonts w:cs="Calibri"/>
                <w:color w:val="7030A0"/>
                <w:sz w:val="14"/>
              </w:rPr>
              <w:t>Interpretation 1031.6</w:t>
            </w:r>
          </w:p>
        </w:tc>
        <w:tc>
          <w:tcPr>
            <w:tcW w:w="8930" w:type="dxa"/>
            <w:tcBorders>
              <w:left w:val="single" w:sz="2" w:space="0" w:color="auto"/>
            </w:tcBorders>
            <w:shd w:val="clear" w:color="auto" w:fill="7030A0"/>
          </w:tcPr>
          <w:p w14:paraId="076BB436" w14:textId="639C00B7" w:rsidR="00F96821" w:rsidRPr="00F54064" w:rsidRDefault="00616785" w:rsidP="00D558CF">
            <w:pPr>
              <w:jc w:val="both"/>
              <w:rPr>
                <w:rFonts w:cs="Calibri"/>
                <w:color w:val="FFFFFF" w:themeColor="background1"/>
                <w:sz w:val="18"/>
                <w:szCs w:val="18"/>
              </w:rPr>
            </w:pPr>
            <w:r w:rsidRPr="00F54064">
              <w:rPr>
                <w:rFonts w:cs="Calibri"/>
                <w:color w:val="FFFFFF" w:themeColor="background1"/>
                <w:sz w:val="18"/>
                <w:szCs w:val="18"/>
              </w:rPr>
              <w:t>R</w:t>
            </w:r>
            <w:r w:rsidR="00F96821" w:rsidRPr="00F54064">
              <w:rPr>
                <w:rFonts w:cs="Calibri"/>
                <w:color w:val="FFFFFF" w:themeColor="background1"/>
                <w:sz w:val="18"/>
                <w:szCs w:val="18"/>
              </w:rPr>
              <w:t>evenue and expenses must be recognised net of the GST except where the amount of GST incurred is not recoverable from the taxation authority.</w:t>
            </w:r>
            <w:r w:rsidR="00FA7C77">
              <w:rPr>
                <w:rFonts w:cs="Calibri"/>
                <w:color w:val="FFFFFF" w:themeColor="background1"/>
                <w:sz w:val="18"/>
                <w:szCs w:val="18"/>
              </w:rPr>
              <w:t xml:space="preserve"> </w:t>
            </w:r>
            <w:r w:rsidR="00F96821" w:rsidRPr="00F54064">
              <w:rPr>
                <w:rFonts w:cs="Calibri"/>
                <w:color w:val="FFFFFF" w:themeColor="background1"/>
                <w:sz w:val="18"/>
                <w:szCs w:val="18"/>
              </w:rPr>
              <w:t>In this case, the GST must be recognised as part of the item of expense.</w:t>
            </w:r>
          </w:p>
        </w:tc>
      </w:tr>
      <w:tr w:rsidR="00023DA9" w:rsidRPr="00CF7E1B" w14:paraId="6E07E336" w14:textId="77777777" w:rsidTr="00B66382">
        <w:trPr>
          <w:trHeight w:val="20"/>
        </w:trPr>
        <w:tc>
          <w:tcPr>
            <w:tcW w:w="1620" w:type="dxa"/>
            <w:tcBorders>
              <w:left w:val="single" w:sz="2" w:space="0" w:color="auto"/>
              <w:right w:val="single" w:sz="2" w:space="0" w:color="auto"/>
            </w:tcBorders>
          </w:tcPr>
          <w:p w14:paraId="21A4860B" w14:textId="77777777" w:rsidR="00023DA9" w:rsidRPr="00F54064" w:rsidRDefault="00023DA9" w:rsidP="00F54064">
            <w:pPr>
              <w:rPr>
                <w:rFonts w:cs="Calibri"/>
                <w:color w:val="7030A0"/>
                <w:sz w:val="14"/>
              </w:rPr>
            </w:pPr>
          </w:p>
        </w:tc>
        <w:tc>
          <w:tcPr>
            <w:tcW w:w="8930" w:type="dxa"/>
            <w:tcBorders>
              <w:left w:val="single" w:sz="2" w:space="0" w:color="auto"/>
            </w:tcBorders>
            <w:shd w:val="clear" w:color="auto" w:fill="7030A0"/>
          </w:tcPr>
          <w:p w14:paraId="3FB7175B" w14:textId="77777777" w:rsidR="00023DA9" w:rsidRPr="00FA7C77" w:rsidRDefault="00023DA9" w:rsidP="00F54064">
            <w:pPr>
              <w:pStyle w:val="CommentaryText"/>
              <w:keepNext/>
              <w:tabs>
                <w:tab w:val="left" w:pos="3306"/>
              </w:tabs>
              <w:spacing w:before="120" w:after="0"/>
              <w:jc w:val="left"/>
              <w:rPr>
                <w:rFonts w:cs="Calibri"/>
                <w:b/>
                <w:bCs/>
                <w:color w:val="FFFFFF" w:themeColor="background1"/>
                <w:szCs w:val="20"/>
              </w:rPr>
            </w:pPr>
            <w:r w:rsidRPr="00FA7C77">
              <w:rPr>
                <w:rFonts w:cs="Calibri"/>
                <w:b/>
                <w:bCs/>
                <w:color w:val="FFFFFF" w:themeColor="background1"/>
                <w:szCs w:val="20"/>
              </w:rPr>
              <w:t>Materiality</w:t>
            </w:r>
            <w:r w:rsidR="00BF21F2" w:rsidRPr="00FA7C77">
              <w:rPr>
                <w:rFonts w:cs="Calibri"/>
                <w:b/>
                <w:bCs/>
                <w:color w:val="FFFFFF" w:themeColor="background1"/>
                <w:szCs w:val="20"/>
              </w:rPr>
              <w:t xml:space="preserve"> and Aggregation</w:t>
            </w:r>
          </w:p>
        </w:tc>
      </w:tr>
      <w:tr w:rsidR="00023DA9" w:rsidRPr="00CF7E1B" w14:paraId="4F423EA3" w14:textId="77777777" w:rsidTr="00B66382">
        <w:trPr>
          <w:trHeight w:val="20"/>
        </w:trPr>
        <w:tc>
          <w:tcPr>
            <w:tcW w:w="1620" w:type="dxa"/>
            <w:tcBorders>
              <w:left w:val="single" w:sz="2" w:space="0" w:color="auto"/>
              <w:right w:val="single" w:sz="2" w:space="0" w:color="auto"/>
            </w:tcBorders>
          </w:tcPr>
          <w:p w14:paraId="3FA470B3" w14:textId="77777777" w:rsidR="00C72F3D" w:rsidRPr="00F54064" w:rsidRDefault="00251606" w:rsidP="0049387E">
            <w:pPr>
              <w:pStyle w:val="TableReference"/>
              <w:tabs>
                <w:tab w:val="left" w:pos="3306"/>
              </w:tabs>
              <w:spacing w:before="80"/>
              <w:rPr>
                <w:rFonts w:cs="Calibri"/>
                <w:color w:val="7030A0"/>
                <w:sz w:val="14"/>
              </w:rPr>
            </w:pPr>
            <w:r w:rsidRPr="00F54064">
              <w:rPr>
                <w:rFonts w:cs="Calibri"/>
                <w:color w:val="7030A0"/>
                <w:sz w:val="14"/>
              </w:rPr>
              <w:t>AASB 101.30A</w:t>
            </w:r>
          </w:p>
          <w:p w14:paraId="22845407" w14:textId="77777777" w:rsidR="00C72F3D" w:rsidRPr="00F54064" w:rsidRDefault="00C72F3D" w:rsidP="0049387E">
            <w:pPr>
              <w:pStyle w:val="TableReference"/>
              <w:tabs>
                <w:tab w:val="left" w:pos="3306"/>
              </w:tabs>
              <w:spacing w:before="80"/>
              <w:rPr>
                <w:rFonts w:cs="Calibri"/>
                <w:color w:val="7030A0"/>
                <w:sz w:val="14"/>
              </w:rPr>
            </w:pPr>
          </w:p>
          <w:p w14:paraId="23DFDF50" w14:textId="77777777" w:rsidR="00023DA9" w:rsidRPr="00F54064" w:rsidRDefault="00023DA9" w:rsidP="0049387E">
            <w:pPr>
              <w:pStyle w:val="TableReference"/>
              <w:tabs>
                <w:tab w:val="left" w:pos="3306"/>
              </w:tabs>
              <w:spacing w:before="80"/>
              <w:rPr>
                <w:rFonts w:cs="Calibri"/>
                <w:strike/>
                <w:color w:val="7030A0"/>
                <w:sz w:val="14"/>
              </w:rPr>
            </w:pPr>
          </w:p>
        </w:tc>
        <w:tc>
          <w:tcPr>
            <w:tcW w:w="8930" w:type="dxa"/>
            <w:tcBorders>
              <w:left w:val="single" w:sz="2" w:space="0" w:color="auto"/>
            </w:tcBorders>
            <w:shd w:val="clear" w:color="auto" w:fill="7030A0"/>
          </w:tcPr>
          <w:p w14:paraId="71D33918" w14:textId="66DF951E" w:rsidR="00023DA9" w:rsidRPr="00F54064" w:rsidRDefault="00EB11C0" w:rsidP="00C72F3D">
            <w:pPr>
              <w:pStyle w:val="CommentaryText"/>
              <w:tabs>
                <w:tab w:val="left" w:pos="3306"/>
              </w:tabs>
              <w:rPr>
                <w:rFonts w:cs="Calibri"/>
                <w:color w:val="FFFFFF" w:themeColor="background1"/>
                <w:sz w:val="18"/>
                <w:szCs w:val="18"/>
              </w:rPr>
            </w:pPr>
            <w:r w:rsidRPr="00F54064">
              <w:rPr>
                <w:rFonts w:cs="Calibri"/>
                <w:color w:val="FFFFFF" w:themeColor="background1"/>
                <w:sz w:val="18"/>
                <w:szCs w:val="18"/>
              </w:rPr>
              <w:t xml:space="preserve">Agencies need to consider the Materiality Guidance for Financial Statements Simplification under Section 1.2 Materiality Guidance. </w:t>
            </w:r>
            <w:r w:rsidR="00C72F3D" w:rsidRPr="00F54064">
              <w:rPr>
                <w:rFonts w:cs="Calibri"/>
                <w:color w:val="FFFFFF" w:themeColor="background1"/>
                <w:sz w:val="18"/>
                <w:szCs w:val="18"/>
              </w:rPr>
              <w:t xml:space="preserve">An agency should decide, taking into consideration all relevant facts and circumstances, how it aggregates information in the </w:t>
            </w:r>
            <w:r w:rsidR="00003CB7" w:rsidRPr="00F54064">
              <w:rPr>
                <w:rFonts w:cs="Calibri"/>
                <w:color w:val="FFFFFF" w:themeColor="background1"/>
                <w:sz w:val="18"/>
                <w:szCs w:val="18"/>
              </w:rPr>
              <w:t>O</w:t>
            </w:r>
            <w:r w:rsidR="00C72F3D" w:rsidRPr="00F54064">
              <w:rPr>
                <w:rFonts w:cs="Calibri"/>
                <w:color w:val="FFFFFF" w:themeColor="background1"/>
                <w:sz w:val="18"/>
                <w:szCs w:val="18"/>
              </w:rPr>
              <w:t xml:space="preserve">perating </w:t>
            </w:r>
            <w:r w:rsidR="00003CB7" w:rsidRPr="00F54064">
              <w:rPr>
                <w:rFonts w:cs="Calibri"/>
                <w:color w:val="FFFFFF" w:themeColor="background1"/>
                <w:sz w:val="18"/>
                <w:szCs w:val="18"/>
              </w:rPr>
              <w:t>S</w:t>
            </w:r>
            <w:r w:rsidR="00C72F3D" w:rsidRPr="00F54064">
              <w:rPr>
                <w:rFonts w:cs="Calibri"/>
                <w:color w:val="FFFFFF" w:themeColor="background1"/>
                <w:sz w:val="18"/>
                <w:szCs w:val="18"/>
              </w:rPr>
              <w:t>tatement, which includes the notes.</w:t>
            </w:r>
            <w:r w:rsidR="00FA7C77">
              <w:rPr>
                <w:rFonts w:cs="Calibri"/>
                <w:color w:val="FFFFFF" w:themeColor="background1"/>
                <w:sz w:val="18"/>
                <w:szCs w:val="18"/>
              </w:rPr>
              <w:t xml:space="preserve"> </w:t>
            </w:r>
            <w:r w:rsidR="00C72F3D" w:rsidRPr="00F54064">
              <w:rPr>
                <w:rFonts w:cs="Calibri"/>
                <w:color w:val="FFFFFF" w:themeColor="background1"/>
                <w:sz w:val="18"/>
                <w:szCs w:val="18"/>
              </w:rPr>
              <w:t xml:space="preserve">It must not reduce the understandability </w:t>
            </w:r>
            <w:r w:rsidR="00251606" w:rsidRPr="00F54064">
              <w:rPr>
                <w:rFonts w:cs="Calibri"/>
                <w:color w:val="FFFFFF" w:themeColor="background1"/>
                <w:sz w:val="18"/>
                <w:szCs w:val="18"/>
              </w:rPr>
              <w:t>of its financial statements by obscuring material information with immaterial information or by aggregating material items that have different natures or functions.</w:t>
            </w:r>
            <w:r w:rsidR="00FA7C77">
              <w:rPr>
                <w:rFonts w:cs="Calibri"/>
                <w:color w:val="FFFFFF" w:themeColor="background1"/>
                <w:sz w:val="18"/>
                <w:szCs w:val="18"/>
              </w:rPr>
              <w:t xml:space="preserve"> </w:t>
            </w:r>
          </w:p>
        </w:tc>
      </w:tr>
      <w:tr w:rsidR="00F96821" w:rsidRPr="00CF7E1B" w14:paraId="2317AE80" w14:textId="77777777" w:rsidTr="00B66382">
        <w:trPr>
          <w:trHeight w:val="20"/>
        </w:trPr>
        <w:tc>
          <w:tcPr>
            <w:tcW w:w="1620" w:type="dxa"/>
            <w:tcBorders>
              <w:left w:val="single" w:sz="2" w:space="0" w:color="auto"/>
              <w:right w:val="single" w:sz="2" w:space="0" w:color="auto"/>
            </w:tcBorders>
          </w:tcPr>
          <w:p w14:paraId="39084183" w14:textId="77777777" w:rsidR="00F96821" w:rsidRPr="00F54064" w:rsidRDefault="00F96821" w:rsidP="005C61E2">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0CC600C1" w14:textId="17AB381E" w:rsidR="00F96821" w:rsidRPr="00FA7C77" w:rsidRDefault="00F96821" w:rsidP="00F96821">
            <w:pPr>
              <w:pStyle w:val="CommentaryText"/>
              <w:tabs>
                <w:tab w:val="left" w:pos="3306"/>
              </w:tabs>
              <w:spacing w:before="120" w:after="0"/>
              <w:rPr>
                <w:rFonts w:cs="Calibri"/>
                <w:b/>
                <w:bCs/>
                <w:color w:val="FFFFFF" w:themeColor="background1"/>
                <w:szCs w:val="20"/>
              </w:rPr>
            </w:pPr>
            <w:r w:rsidRPr="00FA7C77">
              <w:rPr>
                <w:rFonts w:cs="Calibri"/>
                <w:b/>
                <w:bCs/>
                <w:color w:val="FFFFFF" w:themeColor="background1"/>
                <w:szCs w:val="20"/>
              </w:rPr>
              <w:t>Extraordinary Items</w:t>
            </w:r>
          </w:p>
        </w:tc>
      </w:tr>
      <w:tr w:rsidR="00F96821" w:rsidRPr="00CF7E1B" w14:paraId="7BD8BD72" w14:textId="77777777" w:rsidTr="00B66382">
        <w:trPr>
          <w:trHeight w:val="20"/>
        </w:trPr>
        <w:tc>
          <w:tcPr>
            <w:tcW w:w="1620" w:type="dxa"/>
            <w:tcBorders>
              <w:left w:val="single" w:sz="2" w:space="0" w:color="auto"/>
              <w:right w:val="single" w:sz="2" w:space="0" w:color="auto"/>
            </w:tcBorders>
          </w:tcPr>
          <w:p w14:paraId="45143DB0" w14:textId="259B4819" w:rsidR="00F96821" w:rsidRPr="00F54064" w:rsidRDefault="00F96821" w:rsidP="005C61E2">
            <w:pPr>
              <w:pStyle w:val="TableReference"/>
              <w:tabs>
                <w:tab w:val="left" w:pos="3306"/>
              </w:tabs>
              <w:spacing w:before="80"/>
              <w:rPr>
                <w:rFonts w:cs="Calibri"/>
                <w:color w:val="7030A0"/>
                <w:sz w:val="14"/>
              </w:rPr>
            </w:pPr>
            <w:r w:rsidRPr="00F54064">
              <w:rPr>
                <w:rFonts w:cs="Calibri"/>
                <w:color w:val="7030A0"/>
                <w:sz w:val="14"/>
              </w:rPr>
              <w:t>AASB 101.87</w:t>
            </w:r>
          </w:p>
        </w:tc>
        <w:tc>
          <w:tcPr>
            <w:tcW w:w="8930" w:type="dxa"/>
            <w:tcBorders>
              <w:left w:val="single" w:sz="2" w:space="0" w:color="auto"/>
            </w:tcBorders>
            <w:shd w:val="clear" w:color="auto" w:fill="7030A0"/>
          </w:tcPr>
          <w:p w14:paraId="348F6314" w14:textId="0AAA71AA" w:rsidR="00F96821" w:rsidRPr="00F54064" w:rsidRDefault="007074AE" w:rsidP="000C54CB">
            <w:pPr>
              <w:pStyle w:val="CommentaryText"/>
              <w:tabs>
                <w:tab w:val="left" w:pos="3306"/>
              </w:tabs>
              <w:spacing w:after="0"/>
              <w:rPr>
                <w:rFonts w:cs="Calibri"/>
                <w:color w:val="FFFFFF" w:themeColor="background1"/>
                <w:sz w:val="18"/>
                <w:szCs w:val="18"/>
              </w:rPr>
            </w:pPr>
            <w:r w:rsidRPr="00F54064">
              <w:rPr>
                <w:rFonts w:cs="Calibri"/>
                <w:color w:val="FFFFFF" w:themeColor="background1"/>
                <w:sz w:val="18"/>
                <w:szCs w:val="18"/>
              </w:rPr>
              <w:t xml:space="preserve">Agencies must not classify </w:t>
            </w:r>
            <w:r w:rsidR="00F96821" w:rsidRPr="00F54064">
              <w:rPr>
                <w:rFonts w:cs="Calibri"/>
                <w:color w:val="FFFFFF" w:themeColor="background1"/>
                <w:sz w:val="18"/>
                <w:szCs w:val="18"/>
              </w:rPr>
              <w:t>any items of income or expense as extraordinary either in the Operating Statement or in the notes to the financial statements.</w:t>
            </w:r>
          </w:p>
        </w:tc>
      </w:tr>
      <w:tr w:rsidR="00B11849" w:rsidRPr="00CF7E1B" w14:paraId="611ABF66" w14:textId="77777777" w:rsidTr="00B66382">
        <w:trPr>
          <w:trHeight w:val="20"/>
        </w:trPr>
        <w:tc>
          <w:tcPr>
            <w:tcW w:w="1620" w:type="dxa"/>
            <w:tcBorders>
              <w:left w:val="single" w:sz="2" w:space="0" w:color="auto"/>
              <w:right w:val="single" w:sz="2" w:space="0" w:color="auto"/>
            </w:tcBorders>
          </w:tcPr>
          <w:p w14:paraId="42CD6226" w14:textId="77777777" w:rsidR="00B11849" w:rsidRPr="00F54064" w:rsidRDefault="00B11849" w:rsidP="006A4E1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C3B117D" w14:textId="100E325C" w:rsidR="00B11849" w:rsidRPr="00FA7C77" w:rsidRDefault="00713962" w:rsidP="000C54CB">
            <w:pPr>
              <w:pStyle w:val="CommentaryText"/>
              <w:tabs>
                <w:tab w:val="left" w:pos="3306"/>
              </w:tabs>
              <w:spacing w:before="120" w:after="40"/>
              <w:rPr>
                <w:rFonts w:cs="Calibri"/>
                <w:b/>
                <w:bCs/>
                <w:color w:val="FFFFFF" w:themeColor="background1"/>
                <w:szCs w:val="20"/>
              </w:rPr>
            </w:pPr>
            <w:r w:rsidRPr="00FA7C77">
              <w:rPr>
                <w:b/>
                <w:bCs/>
                <w:color w:val="FFFFFF" w:themeColor="background1"/>
                <w:szCs w:val="20"/>
              </w:rPr>
              <w:t xml:space="preserve">Appropriate Notes </w:t>
            </w:r>
          </w:p>
        </w:tc>
      </w:tr>
      <w:tr w:rsidR="00B11849" w:rsidRPr="00CF7E1B" w14:paraId="0966153B" w14:textId="77777777" w:rsidTr="00B66382">
        <w:trPr>
          <w:trHeight w:val="20"/>
        </w:trPr>
        <w:tc>
          <w:tcPr>
            <w:tcW w:w="1620" w:type="dxa"/>
            <w:tcBorders>
              <w:left w:val="single" w:sz="2" w:space="0" w:color="auto"/>
              <w:right w:val="single" w:sz="2" w:space="0" w:color="auto"/>
            </w:tcBorders>
          </w:tcPr>
          <w:p w14:paraId="3E3AA4CA" w14:textId="77777777" w:rsidR="00B11849" w:rsidRDefault="00713962" w:rsidP="006A4E19">
            <w:pPr>
              <w:pStyle w:val="TableReference"/>
              <w:tabs>
                <w:tab w:val="left" w:pos="3306"/>
              </w:tabs>
              <w:spacing w:before="60"/>
              <w:rPr>
                <w:rFonts w:cs="Calibri"/>
                <w:color w:val="7030A0"/>
                <w:sz w:val="14"/>
              </w:rPr>
            </w:pPr>
            <w:r w:rsidRPr="00F54064">
              <w:rPr>
                <w:rFonts w:cs="Calibri"/>
                <w:color w:val="7030A0"/>
                <w:sz w:val="14"/>
              </w:rPr>
              <w:t>AASB 101.85</w:t>
            </w:r>
          </w:p>
          <w:p w14:paraId="614D9C56" w14:textId="77777777" w:rsidR="00FA7C77" w:rsidRPr="00FA7C77" w:rsidRDefault="00FA7C77" w:rsidP="00FA7C77"/>
          <w:p w14:paraId="5FBAAC73" w14:textId="77777777" w:rsidR="00FA7C77" w:rsidRPr="00FA7C77" w:rsidRDefault="00FA7C77" w:rsidP="00FA7C77"/>
          <w:p w14:paraId="3C219C09" w14:textId="77777777" w:rsidR="00FA7C77" w:rsidRDefault="00FA7C77" w:rsidP="00FA7C77">
            <w:pPr>
              <w:rPr>
                <w:rFonts w:cs="Calibri"/>
                <w:color w:val="7030A0"/>
                <w:sz w:val="14"/>
                <w:szCs w:val="14"/>
              </w:rPr>
            </w:pPr>
          </w:p>
          <w:p w14:paraId="706BD25E" w14:textId="77777777" w:rsidR="00FA7C77" w:rsidRPr="00F54064" w:rsidRDefault="00FA7C77" w:rsidP="00FA7C77">
            <w:pPr>
              <w:pStyle w:val="TableReference"/>
              <w:tabs>
                <w:tab w:val="left" w:pos="3306"/>
              </w:tabs>
              <w:spacing w:before="80"/>
              <w:rPr>
                <w:rFonts w:cs="Calibri"/>
                <w:color w:val="7030A0"/>
                <w:sz w:val="14"/>
              </w:rPr>
            </w:pPr>
            <w:r w:rsidRPr="00F54064">
              <w:rPr>
                <w:rFonts w:cs="Calibri"/>
                <w:color w:val="7030A0"/>
                <w:sz w:val="14"/>
              </w:rPr>
              <w:t xml:space="preserve">AASB 101.81A </w:t>
            </w:r>
          </w:p>
          <w:p w14:paraId="09678577" w14:textId="73725CD4" w:rsidR="00FA7C77" w:rsidRPr="00FA7C77" w:rsidRDefault="00FA7C77" w:rsidP="00FA7C77">
            <w:r w:rsidRPr="00F54064">
              <w:rPr>
                <w:rFonts w:cs="Calibri"/>
                <w:color w:val="7030A0"/>
                <w:sz w:val="14"/>
              </w:rPr>
              <w:t>AASB 101.5 &amp; 10</w:t>
            </w:r>
          </w:p>
        </w:tc>
        <w:tc>
          <w:tcPr>
            <w:tcW w:w="8930" w:type="dxa"/>
            <w:tcBorders>
              <w:left w:val="single" w:sz="2" w:space="0" w:color="auto"/>
            </w:tcBorders>
            <w:shd w:val="clear" w:color="auto" w:fill="7030A0"/>
          </w:tcPr>
          <w:p w14:paraId="29C0A89F" w14:textId="77777777" w:rsidR="00B11849" w:rsidRDefault="00713962" w:rsidP="006A4E19">
            <w:pPr>
              <w:pStyle w:val="CommentaryText"/>
              <w:tabs>
                <w:tab w:val="left" w:pos="3306"/>
              </w:tabs>
              <w:rPr>
                <w:color w:val="FFFFFF" w:themeColor="background1"/>
                <w:sz w:val="18"/>
                <w:szCs w:val="18"/>
              </w:rPr>
            </w:pPr>
            <w:r w:rsidRPr="00F54064">
              <w:rPr>
                <w:color w:val="FFFFFF" w:themeColor="background1"/>
                <w:sz w:val="18"/>
                <w:szCs w:val="18"/>
              </w:rPr>
              <w:t xml:space="preserve">In some cases it may be more appropriate to disclose different expense and revenue classes as needed on the </w:t>
            </w:r>
            <w:r w:rsidR="00BF7D65" w:rsidRPr="00F54064">
              <w:rPr>
                <w:color w:val="FFFFFF" w:themeColor="background1"/>
                <w:sz w:val="18"/>
                <w:szCs w:val="18"/>
              </w:rPr>
              <w:t>O</w:t>
            </w:r>
            <w:r w:rsidRPr="00F54064">
              <w:rPr>
                <w:color w:val="FFFFFF" w:themeColor="background1"/>
                <w:sz w:val="18"/>
                <w:szCs w:val="18"/>
              </w:rPr>
              <w:t xml:space="preserve">perating </w:t>
            </w:r>
            <w:r w:rsidR="00BF7D65" w:rsidRPr="00F54064">
              <w:rPr>
                <w:color w:val="FFFFFF" w:themeColor="background1"/>
                <w:sz w:val="18"/>
                <w:szCs w:val="18"/>
              </w:rPr>
              <w:t>S</w:t>
            </w:r>
            <w:r w:rsidRPr="00F54064">
              <w:rPr>
                <w:color w:val="FFFFFF" w:themeColor="background1"/>
                <w:sz w:val="18"/>
                <w:szCs w:val="18"/>
              </w:rPr>
              <w:t>tatement. For example, Cost of Goods Sold may be more appropriate to territory authorities whereas Grants and Purchased Services, may not apply. Where this is the case an appropriate note should also accompany the line item presented.</w:t>
            </w:r>
          </w:p>
          <w:p w14:paraId="4EC734E5" w14:textId="77777777" w:rsidR="00FA7C77" w:rsidRPr="00FA7C77" w:rsidRDefault="00FA7C77" w:rsidP="006A4E19">
            <w:pPr>
              <w:pStyle w:val="CommentaryText"/>
              <w:tabs>
                <w:tab w:val="left" w:pos="3306"/>
              </w:tabs>
              <w:rPr>
                <w:b/>
                <w:bCs/>
                <w:color w:val="FFFFFF" w:themeColor="background1"/>
                <w:szCs w:val="20"/>
              </w:rPr>
            </w:pPr>
            <w:r w:rsidRPr="00FA7C77">
              <w:rPr>
                <w:b/>
                <w:bCs/>
                <w:color w:val="FFFFFF" w:themeColor="background1"/>
                <w:szCs w:val="20"/>
              </w:rPr>
              <w:t>Territory Authority Commentary</w:t>
            </w:r>
          </w:p>
          <w:p w14:paraId="6377E3AB" w14:textId="4B4520DD" w:rsidR="00FA7C77" w:rsidRPr="00FA7C77" w:rsidRDefault="00FA7C77" w:rsidP="006A4E19">
            <w:pPr>
              <w:pStyle w:val="CommentaryText"/>
              <w:tabs>
                <w:tab w:val="left" w:pos="3306"/>
              </w:tabs>
              <w:rPr>
                <w:rFonts w:cs="Calibri"/>
                <w:b/>
                <w:bCs/>
                <w:color w:val="FFFFFF" w:themeColor="background1"/>
                <w:sz w:val="18"/>
                <w:szCs w:val="18"/>
              </w:rPr>
            </w:pPr>
            <w:r w:rsidRPr="00F54064">
              <w:rPr>
                <w:color w:val="FFFFFF" w:themeColor="background1"/>
                <w:sz w:val="18"/>
                <w:szCs w:val="18"/>
              </w:rPr>
              <w:t>Where a territory authority is for-profit it will have to call the ‘Operating Statement’ a ‘Statement of Comprehensive Income’.</w:t>
            </w:r>
          </w:p>
        </w:tc>
      </w:tr>
    </w:tbl>
    <w:p w14:paraId="36795285" w14:textId="77777777" w:rsidR="000144FF" w:rsidRPr="00CF7E1B" w:rsidRDefault="000144FF">
      <w:pPr>
        <w:tabs>
          <w:tab w:val="left" w:pos="3306"/>
        </w:tabs>
        <w:rPr>
          <w:rFonts w:cs="Calibri"/>
        </w:rPr>
      </w:pPr>
    </w:p>
    <w:p w14:paraId="675F9035" w14:textId="77777777" w:rsidR="000144FF" w:rsidRPr="00CF7E1B" w:rsidRDefault="000144FF">
      <w:pPr>
        <w:tabs>
          <w:tab w:val="left" w:pos="3306"/>
        </w:tabs>
        <w:rPr>
          <w:rFonts w:cs="Calibri"/>
        </w:rPr>
        <w:sectPr w:rsidR="000144FF" w:rsidRPr="00CF7E1B" w:rsidSect="004514CD">
          <w:headerReference w:type="default" r:id="rId22"/>
          <w:footerReference w:type="default" r:id="rId23"/>
          <w:footnotePr>
            <w:numRestart w:val="eachPage"/>
          </w:footnotePr>
          <w:pgSz w:w="11907" w:h="16840" w:code="9"/>
          <w:pgMar w:top="567" w:right="680" w:bottom="567" w:left="680" w:header="284" w:footer="284" w:gutter="0"/>
          <w:cols w:space="720"/>
        </w:sectPr>
      </w:pPr>
    </w:p>
    <w:p w14:paraId="45E731C6" w14:textId="704B2EB1" w:rsidR="002F67B3" w:rsidRPr="00A26DB2" w:rsidRDefault="002F67B3" w:rsidP="002F67B3">
      <w:pPr>
        <w:tabs>
          <w:tab w:val="left" w:pos="3306"/>
        </w:tabs>
        <w:jc w:val="center"/>
        <w:rPr>
          <w:rFonts w:cs="Calibri"/>
          <w:b/>
          <w:bCs/>
          <w:sz w:val="40"/>
          <w:szCs w:val="40"/>
        </w:rPr>
      </w:pPr>
      <w:bookmarkStart w:id="131" w:name="_Hlk88165588"/>
      <w:r w:rsidRPr="00A26DB2">
        <w:rPr>
          <w:rFonts w:cs="Calibri"/>
          <w:b/>
          <w:bCs/>
          <w:sz w:val="40"/>
          <w:szCs w:val="40"/>
        </w:rPr>
        <w:t>‘Burley Griffin Agency’</w:t>
      </w:r>
    </w:p>
    <w:p w14:paraId="2F771520" w14:textId="77777777" w:rsidR="000144FF" w:rsidRPr="00A26DB2" w:rsidRDefault="006D2667" w:rsidP="002E2BFB">
      <w:pPr>
        <w:pStyle w:val="Subtitle"/>
        <w:spacing w:line="400" w:lineRule="exact"/>
        <w:rPr>
          <w:rFonts w:asciiTheme="minorHAnsi" w:hAnsiTheme="minorHAnsi" w:cstheme="minorHAnsi"/>
        </w:rPr>
      </w:pPr>
      <w:bookmarkStart w:id="132" w:name="_Toc400627309"/>
      <w:bookmarkStart w:id="133" w:name="_Toc98763025"/>
      <w:r w:rsidRPr="00A26DB2">
        <w:rPr>
          <w:rFonts w:asciiTheme="minorHAnsi" w:hAnsiTheme="minorHAnsi" w:cstheme="minorHAnsi"/>
        </w:rPr>
        <w:t>Balance Sheet</w:t>
      </w:r>
      <w:bookmarkEnd w:id="132"/>
      <w:bookmarkEnd w:id="133"/>
    </w:p>
    <w:p w14:paraId="0672311D" w14:textId="74F2F849" w:rsidR="000144FF" w:rsidRPr="00A26DB2" w:rsidRDefault="000144FF" w:rsidP="002E2BFB">
      <w:pPr>
        <w:spacing w:line="400" w:lineRule="exact"/>
        <w:jc w:val="center"/>
        <w:rPr>
          <w:rFonts w:asciiTheme="minorHAnsi" w:hAnsiTheme="minorHAnsi" w:cstheme="minorHAnsi"/>
          <w:b/>
          <w:sz w:val="40"/>
          <w:szCs w:val="40"/>
        </w:rPr>
      </w:pPr>
      <w:bookmarkStart w:id="134" w:name="_Toc48468214"/>
      <w:r w:rsidRPr="00A26DB2">
        <w:rPr>
          <w:rFonts w:asciiTheme="minorHAnsi" w:hAnsiTheme="minorHAnsi" w:cstheme="minorHAnsi"/>
          <w:b/>
          <w:sz w:val="40"/>
          <w:szCs w:val="40"/>
        </w:rPr>
        <w:t xml:space="preserve">As at 30 June </w:t>
      </w:r>
      <w:bookmarkEnd w:id="134"/>
      <w:r w:rsidR="00C66E0D" w:rsidRPr="00A26DB2">
        <w:rPr>
          <w:rFonts w:asciiTheme="minorHAnsi" w:hAnsiTheme="minorHAnsi" w:cstheme="minorHAnsi"/>
          <w:b/>
          <w:sz w:val="40"/>
          <w:szCs w:val="40"/>
        </w:rPr>
        <w:t>202</w:t>
      </w:r>
      <w:r w:rsidR="00663421" w:rsidRPr="00A26DB2">
        <w:rPr>
          <w:rFonts w:asciiTheme="minorHAnsi" w:hAnsiTheme="minorHAnsi" w:cstheme="minorHAnsi"/>
          <w:b/>
          <w:sz w:val="40"/>
          <w:szCs w:val="40"/>
        </w:rPr>
        <w:t>2</w:t>
      </w:r>
    </w:p>
    <w:tbl>
      <w:tblPr>
        <w:tblW w:w="5000" w:type="pct"/>
        <w:tblLook w:val="00A0" w:firstRow="1" w:lastRow="0" w:firstColumn="1" w:lastColumn="0" w:noHBand="0" w:noVBand="0"/>
      </w:tblPr>
      <w:tblGrid>
        <w:gridCol w:w="1537"/>
        <w:gridCol w:w="3296"/>
        <w:gridCol w:w="1660"/>
        <w:gridCol w:w="1260"/>
        <w:gridCol w:w="1395"/>
        <w:gridCol w:w="1396"/>
      </w:tblGrid>
      <w:tr w:rsidR="00174E73" w:rsidRPr="00CF7E1B" w14:paraId="2D10576F" w14:textId="77777777" w:rsidTr="00C736E0">
        <w:tc>
          <w:tcPr>
            <w:tcW w:w="1537" w:type="dxa"/>
            <w:tcBorders>
              <w:left w:val="single" w:sz="2" w:space="0" w:color="auto"/>
              <w:right w:val="single" w:sz="2" w:space="0" w:color="auto"/>
            </w:tcBorders>
          </w:tcPr>
          <w:p w14:paraId="65D2D9C2" w14:textId="77777777" w:rsidR="009846EE" w:rsidRPr="008238E7" w:rsidRDefault="009846EE" w:rsidP="0003436C">
            <w:pPr>
              <w:pStyle w:val="Reference"/>
              <w:tabs>
                <w:tab w:val="left" w:pos="3306"/>
              </w:tabs>
              <w:spacing w:before="240"/>
              <w:rPr>
                <w:rFonts w:cs="Calibri"/>
                <w:color w:val="7030A0"/>
                <w:sz w:val="22"/>
                <w:szCs w:val="22"/>
              </w:rPr>
            </w:pPr>
            <w:bookmarkStart w:id="135" w:name="_Toc48468215"/>
            <w:bookmarkStart w:id="136" w:name="_Toc49155407"/>
            <w:bookmarkStart w:id="137" w:name="_Toc49223855"/>
            <w:r w:rsidRPr="008238E7">
              <w:rPr>
                <w:rFonts w:cs="Calibri"/>
                <w:color w:val="7030A0"/>
                <w:sz w:val="22"/>
                <w:szCs w:val="22"/>
              </w:rPr>
              <w:t>Reference</w:t>
            </w:r>
            <w:bookmarkEnd w:id="135"/>
            <w:bookmarkEnd w:id="136"/>
            <w:bookmarkEnd w:id="137"/>
          </w:p>
        </w:tc>
        <w:tc>
          <w:tcPr>
            <w:tcW w:w="3296" w:type="dxa"/>
            <w:tcBorders>
              <w:left w:val="single" w:sz="2" w:space="0" w:color="auto"/>
            </w:tcBorders>
            <w:vAlign w:val="bottom"/>
          </w:tcPr>
          <w:p w14:paraId="64F8D877" w14:textId="77777777" w:rsidR="009846EE" w:rsidRPr="00D12A36" w:rsidRDefault="009846EE" w:rsidP="006A4E19">
            <w:pPr>
              <w:tabs>
                <w:tab w:val="left" w:pos="3306"/>
              </w:tabs>
              <w:rPr>
                <w:rFonts w:cs="Calibri"/>
              </w:rPr>
            </w:pPr>
          </w:p>
        </w:tc>
        <w:tc>
          <w:tcPr>
            <w:tcW w:w="1660" w:type="dxa"/>
            <w:vAlign w:val="bottom"/>
          </w:tcPr>
          <w:p w14:paraId="39954A23" w14:textId="77777777" w:rsidR="009846EE" w:rsidRPr="00D12A36" w:rsidRDefault="009846EE" w:rsidP="006A4E19">
            <w:pPr>
              <w:pStyle w:val="TableTitle"/>
              <w:tabs>
                <w:tab w:val="left" w:pos="3306"/>
              </w:tabs>
              <w:jc w:val="center"/>
              <w:rPr>
                <w:rFonts w:cs="Calibri"/>
              </w:rPr>
            </w:pPr>
            <w:r w:rsidRPr="00D12A36">
              <w:rPr>
                <w:rFonts w:cs="Calibri"/>
              </w:rPr>
              <w:t>Note No.</w:t>
            </w:r>
          </w:p>
        </w:tc>
        <w:tc>
          <w:tcPr>
            <w:tcW w:w="1260" w:type="dxa"/>
            <w:vAlign w:val="bottom"/>
          </w:tcPr>
          <w:p w14:paraId="2F49F2B0" w14:textId="77777777" w:rsidR="009846EE" w:rsidRPr="00D12A36" w:rsidRDefault="009846EE" w:rsidP="00851F40">
            <w:pPr>
              <w:pStyle w:val="TableTitle"/>
              <w:tabs>
                <w:tab w:val="left" w:pos="3306"/>
              </w:tabs>
              <w:rPr>
                <w:rFonts w:cs="Calibri"/>
              </w:rPr>
            </w:pPr>
            <w:r w:rsidRPr="00D12A36">
              <w:rPr>
                <w:rFonts w:cs="Calibri"/>
              </w:rPr>
              <w:t>Actual</w:t>
            </w:r>
          </w:p>
          <w:p w14:paraId="69ED6D70" w14:textId="2575EA9C" w:rsidR="001B231B" w:rsidRPr="00D12A36" w:rsidRDefault="001B231B" w:rsidP="00851F40">
            <w:pPr>
              <w:pStyle w:val="TableTitle"/>
              <w:tabs>
                <w:tab w:val="left" w:pos="3306"/>
              </w:tabs>
              <w:rPr>
                <w:rFonts w:cs="Calibri"/>
              </w:rPr>
            </w:pPr>
            <w:r w:rsidRPr="00D12A36">
              <w:rPr>
                <w:rFonts w:cs="Calibri"/>
              </w:rPr>
              <w:t>202</w:t>
            </w:r>
            <w:r w:rsidR="00663421" w:rsidRPr="00D12A36">
              <w:rPr>
                <w:rFonts w:cs="Calibri"/>
              </w:rPr>
              <w:t>2</w:t>
            </w:r>
          </w:p>
          <w:p w14:paraId="0FF5ADDA" w14:textId="77777777" w:rsidR="009846EE" w:rsidRPr="00D12A36" w:rsidRDefault="009846EE" w:rsidP="00851F40">
            <w:pPr>
              <w:pStyle w:val="TableTitle"/>
              <w:tabs>
                <w:tab w:val="left" w:pos="3306"/>
              </w:tabs>
              <w:rPr>
                <w:rFonts w:cs="Calibri"/>
              </w:rPr>
            </w:pPr>
            <w:r w:rsidRPr="00D12A36">
              <w:rPr>
                <w:rFonts w:cs="Calibri"/>
              </w:rPr>
              <w:t>$’000</w:t>
            </w:r>
          </w:p>
        </w:tc>
        <w:tc>
          <w:tcPr>
            <w:tcW w:w="1395" w:type="dxa"/>
            <w:vAlign w:val="bottom"/>
          </w:tcPr>
          <w:p w14:paraId="5F1B2B15" w14:textId="77777777" w:rsidR="009846EE" w:rsidRPr="00D12A36" w:rsidRDefault="009846EE" w:rsidP="00851F40">
            <w:pPr>
              <w:pStyle w:val="TableTitle"/>
              <w:tabs>
                <w:tab w:val="left" w:pos="3306"/>
              </w:tabs>
              <w:rPr>
                <w:rFonts w:cs="Calibri"/>
              </w:rPr>
            </w:pPr>
            <w:r w:rsidRPr="00D12A36">
              <w:rPr>
                <w:rFonts w:cs="Calibri"/>
              </w:rPr>
              <w:t>Original</w:t>
            </w:r>
          </w:p>
          <w:p w14:paraId="3050A8E2" w14:textId="77777777" w:rsidR="009846EE" w:rsidRPr="00D12A36" w:rsidRDefault="009846EE" w:rsidP="00851F40">
            <w:pPr>
              <w:pStyle w:val="TableTitle"/>
              <w:tabs>
                <w:tab w:val="left" w:pos="3306"/>
              </w:tabs>
              <w:rPr>
                <w:rFonts w:cs="Calibri"/>
              </w:rPr>
            </w:pPr>
            <w:r w:rsidRPr="00D12A36">
              <w:rPr>
                <w:rFonts w:cs="Calibri"/>
              </w:rPr>
              <w:t xml:space="preserve">Budget </w:t>
            </w:r>
          </w:p>
          <w:p w14:paraId="548C5407" w14:textId="030B5659" w:rsidR="001B231B" w:rsidRPr="00D12A36" w:rsidRDefault="001B231B" w:rsidP="00851F40">
            <w:pPr>
              <w:pStyle w:val="TableTitle"/>
              <w:tabs>
                <w:tab w:val="left" w:pos="3306"/>
              </w:tabs>
              <w:rPr>
                <w:rFonts w:cs="Calibri"/>
              </w:rPr>
            </w:pPr>
            <w:r w:rsidRPr="00D12A36">
              <w:rPr>
                <w:rFonts w:cs="Calibri"/>
              </w:rPr>
              <w:t>202</w:t>
            </w:r>
            <w:r w:rsidR="00663421" w:rsidRPr="00D12A36">
              <w:rPr>
                <w:rFonts w:cs="Calibri"/>
              </w:rPr>
              <w:t>2</w:t>
            </w:r>
          </w:p>
          <w:p w14:paraId="3DE30FE5" w14:textId="77777777" w:rsidR="009846EE" w:rsidRPr="00D12A36" w:rsidRDefault="009846EE" w:rsidP="00851F40">
            <w:pPr>
              <w:pStyle w:val="TableTitle"/>
              <w:tabs>
                <w:tab w:val="left" w:pos="3306"/>
              </w:tabs>
              <w:rPr>
                <w:rFonts w:cs="Calibri"/>
              </w:rPr>
            </w:pPr>
            <w:r w:rsidRPr="00D12A36">
              <w:rPr>
                <w:rFonts w:cs="Calibri"/>
              </w:rPr>
              <w:t>$’000</w:t>
            </w:r>
          </w:p>
        </w:tc>
        <w:tc>
          <w:tcPr>
            <w:tcW w:w="1396" w:type="dxa"/>
            <w:vAlign w:val="bottom"/>
          </w:tcPr>
          <w:p w14:paraId="4AE5A021" w14:textId="77777777" w:rsidR="009846EE" w:rsidRPr="00D12A36" w:rsidRDefault="009846EE" w:rsidP="00851F40">
            <w:pPr>
              <w:pStyle w:val="TableTitle"/>
              <w:tabs>
                <w:tab w:val="left" w:pos="3306"/>
              </w:tabs>
              <w:rPr>
                <w:rFonts w:cs="Calibri"/>
              </w:rPr>
            </w:pPr>
            <w:r w:rsidRPr="00D12A36">
              <w:rPr>
                <w:rFonts w:cs="Calibri"/>
              </w:rPr>
              <w:t>Actual</w:t>
            </w:r>
          </w:p>
          <w:p w14:paraId="663CE6F4" w14:textId="6971C522" w:rsidR="009846EE" w:rsidRPr="0009580B" w:rsidRDefault="00663421" w:rsidP="00851F40">
            <w:pPr>
              <w:pStyle w:val="TableTitle"/>
              <w:tabs>
                <w:tab w:val="left" w:pos="3306"/>
              </w:tabs>
              <w:rPr>
                <w:rFonts w:cs="Calibri"/>
              </w:rPr>
            </w:pPr>
            <w:r w:rsidRPr="00D12A36">
              <w:rPr>
                <w:rFonts w:cs="Calibri"/>
              </w:rPr>
              <w:t>2021</w:t>
            </w:r>
          </w:p>
          <w:p w14:paraId="49751E18" w14:textId="77777777" w:rsidR="009846EE" w:rsidRPr="00D12A36" w:rsidRDefault="009846EE" w:rsidP="00851F40">
            <w:pPr>
              <w:pStyle w:val="TableTitle"/>
              <w:tabs>
                <w:tab w:val="left" w:pos="3306"/>
              </w:tabs>
              <w:rPr>
                <w:rFonts w:cs="Calibri"/>
              </w:rPr>
            </w:pPr>
            <w:r w:rsidRPr="00D12A36">
              <w:rPr>
                <w:rFonts w:cs="Calibri"/>
              </w:rPr>
              <w:t>$’000</w:t>
            </w:r>
          </w:p>
        </w:tc>
      </w:tr>
      <w:tr w:rsidR="00174E73" w:rsidRPr="00CF7E1B" w14:paraId="6030704A" w14:textId="77777777" w:rsidTr="00C736E0">
        <w:tc>
          <w:tcPr>
            <w:tcW w:w="1537" w:type="dxa"/>
            <w:tcBorders>
              <w:left w:val="single" w:sz="2" w:space="0" w:color="auto"/>
              <w:right w:val="single" w:sz="2" w:space="0" w:color="auto"/>
            </w:tcBorders>
          </w:tcPr>
          <w:p w14:paraId="66F7198F" w14:textId="77777777" w:rsidR="009846EE" w:rsidRPr="008238E7" w:rsidRDefault="009846EE" w:rsidP="006A4E19">
            <w:pPr>
              <w:pStyle w:val="TableReference"/>
              <w:tabs>
                <w:tab w:val="left" w:pos="3306"/>
              </w:tabs>
              <w:spacing w:before="40"/>
              <w:rPr>
                <w:rFonts w:cs="Calibri"/>
                <w:strike/>
                <w:color w:val="7030A0"/>
                <w:sz w:val="14"/>
              </w:rPr>
            </w:pPr>
            <w:r w:rsidRPr="008238E7">
              <w:rPr>
                <w:rFonts w:cs="Calibri"/>
                <w:color w:val="7030A0"/>
                <w:sz w:val="14"/>
              </w:rPr>
              <w:t>AASB 101</w:t>
            </w:r>
            <w:r w:rsidR="00D65811" w:rsidRPr="008238E7">
              <w:rPr>
                <w:rFonts w:cs="Calibri"/>
                <w:color w:val="7030A0"/>
                <w:sz w:val="14"/>
              </w:rPr>
              <w:t>.</w:t>
            </w:r>
            <w:r w:rsidRPr="008238E7">
              <w:rPr>
                <w:rFonts w:cs="Calibri"/>
                <w:color w:val="7030A0"/>
                <w:sz w:val="14"/>
              </w:rPr>
              <w:t>60</w:t>
            </w:r>
          </w:p>
        </w:tc>
        <w:tc>
          <w:tcPr>
            <w:tcW w:w="3296" w:type="dxa"/>
            <w:tcBorders>
              <w:left w:val="single" w:sz="2" w:space="0" w:color="auto"/>
            </w:tcBorders>
            <w:vAlign w:val="bottom"/>
          </w:tcPr>
          <w:p w14:paraId="309C73CB" w14:textId="77777777" w:rsidR="009846EE" w:rsidRPr="00D12A36" w:rsidRDefault="009846EE" w:rsidP="006A4E19">
            <w:pPr>
              <w:pStyle w:val="TableText"/>
              <w:tabs>
                <w:tab w:val="left" w:pos="4752"/>
              </w:tabs>
              <w:rPr>
                <w:rFonts w:cs="Calibri"/>
                <w:b/>
                <w:bCs/>
              </w:rPr>
            </w:pPr>
            <w:bookmarkStart w:id="138" w:name="_Toc48468216"/>
            <w:bookmarkStart w:id="139" w:name="_Toc49155408"/>
            <w:bookmarkStart w:id="140" w:name="_Toc49223856"/>
            <w:r w:rsidRPr="00D12A36">
              <w:rPr>
                <w:rFonts w:cs="Calibri"/>
                <w:b/>
                <w:bCs/>
              </w:rPr>
              <w:t>Current Assets</w:t>
            </w:r>
            <w:bookmarkEnd w:id="138"/>
            <w:bookmarkEnd w:id="139"/>
            <w:bookmarkEnd w:id="140"/>
          </w:p>
        </w:tc>
        <w:tc>
          <w:tcPr>
            <w:tcW w:w="1660" w:type="dxa"/>
            <w:vAlign w:val="bottom"/>
          </w:tcPr>
          <w:p w14:paraId="7D12FB59" w14:textId="77777777" w:rsidR="009846EE" w:rsidRPr="00D12A36" w:rsidRDefault="009846EE" w:rsidP="006A4E19">
            <w:pPr>
              <w:pStyle w:val="TableText"/>
              <w:tabs>
                <w:tab w:val="left" w:pos="3306"/>
              </w:tabs>
              <w:jc w:val="center"/>
              <w:rPr>
                <w:rFonts w:cs="Calibri"/>
                <w:b/>
                <w:bCs/>
              </w:rPr>
            </w:pPr>
          </w:p>
        </w:tc>
        <w:tc>
          <w:tcPr>
            <w:tcW w:w="1260" w:type="dxa"/>
            <w:vAlign w:val="bottom"/>
          </w:tcPr>
          <w:p w14:paraId="5C4185E8" w14:textId="77777777" w:rsidR="009846EE" w:rsidRPr="00D12A36" w:rsidRDefault="009846EE" w:rsidP="006A4E19">
            <w:pPr>
              <w:pStyle w:val="TableText"/>
              <w:tabs>
                <w:tab w:val="left" w:pos="3306"/>
              </w:tabs>
              <w:jc w:val="right"/>
              <w:rPr>
                <w:rFonts w:cs="Calibri"/>
                <w:b/>
                <w:bCs/>
              </w:rPr>
            </w:pPr>
          </w:p>
        </w:tc>
        <w:tc>
          <w:tcPr>
            <w:tcW w:w="1395" w:type="dxa"/>
            <w:vAlign w:val="bottom"/>
          </w:tcPr>
          <w:p w14:paraId="58BB09CB" w14:textId="77777777" w:rsidR="009846EE" w:rsidRPr="00D12A36" w:rsidRDefault="009846EE" w:rsidP="006A4E19">
            <w:pPr>
              <w:pStyle w:val="TableText"/>
              <w:tabs>
                <w:tab w:val="left" w:pos="3306"/>
              </w:tabs>
              <w:jc w:val="right"/>
              <w:rPr>
                <w:rFonts w:cs="Calibri"/>
                <w:b/>
                <w:bCs/>
              </w:rPr>
            </w:pPr>
          </w:p>
        </w:tc>
        <w:tc>
          <w:tcPr>
            <w:tcW w:w="1396" w:type="dxa"/>
            <w:vAlign w:val="bottom"/>
          </w:tcPr>
          <w:p w14:paraId="1A739BE5" w14:textId="77777777" w:rsidR="009846EE" w:rsidRPr="00D12A36" w:rsidRDefault="009846EE" w:rsidP="006A4E19">
            <w:pPr>
              <w:pStyle w:val="TableText"/>
              <w:tabs>
                <w:tab w:val="left" w:pos="3306"/>
              </w:tabs>
              <w:jc w:val="right"/>
              <w:rPr>
                <w:rFonts w:cs="Calibri"/>
                <w:b/>
                <w:bCs/>
              </w:rPr>
            </w:pPr>
          </w:p>
        </w:tc>
      </w:tr>
      <w:tr w:rsidR="00174E73" w:rsidRPr="00CF7E1B" w14:paraId="619CD80F" w14:textId="77777777" w:rsidTr="00C736E0">
        <w:trPr>
          <w:trHeight w:val="132"/>
        </w:trPr>
        <w:tc>
          <w:tcPr>
            <w:tcW w:w="1537" w:type="dxa"/>
            <w:tcBorders>
              <w:left w:val="single" w:sz="2" w:space="0" w:color="auto"/>
              <w:right w:val="single" w:sz="2" w:space="0" w:color="auto"/>
            </w:tcBorders>
          </w:tcPr>
          <w:p w14:paraId="3D50A764" w14:textId="77777777" w:rsidR="009846EE" w:rsidRPr="008238E7" w:rsidRDefault="009846EE" w:rsidP="008238E7">
            <w:pPr>
              <w:pStyle w:val="TableReference"/>
              <w:tabs>
                <w:tab w:val="left" w:pos="3306"/>
              </w:tabs>
              <w:spacing w:before="40"/>
              <w:rPr>
                <w:rFonts w:cs="Calibri"/>
                <w:color w:val="7030A0"/>
                <w:sz w:val="14"/>
              </w:rPr>
            </w:pPr>
            <w:r w:rsidRPr="008238E7">
              <w:rPr>
                <w:rFonts w:cs="Calibri"/>
                <w:color w:val="7030A0"/>
                <w:sz w:val="14"/>
              </w:rPr>
              <w:t>AASB 101</w:t>
            </w:r>
            <w:r w:rsidR="00D65811" w:rsidRPr="008238E7">
              <w:rPr>
                <w:rFonts w:cs="Calibri"/>
                <w:color w:val="7030A0"/>
                <w:sz w:val="14"/>
              </w:rPr>
              <w:t>.</w:t>
            </w:r>
            <w:r w:rsidRPr="008238E7">
              <w:rPr>
                <w:rFonts w:cs="Calibri"/>
                <w:color w:val="7030A0"/>
                <w:sz w:val="14"/>
              </w:rPr>
              <w:t>54</w:t>
            </w:r>
            <w:r w:rsidR="00D001B7" w:rsidRPr="008238E7">
              <w:rPr>
                <w:rFonts w:cs="Calibri"/>
                <w:color w:val="7030A0"/>
                <w:sz w:val="14"/>
              </w:rPr>
              <w:t>(</w:t>
            </w:r>
            <w:r w:rsidRPr="008238E7">
              <w:rPr>
                <w:rFonts w:cs="Calibri"/>
                <w:color w:val="7030A0"/>
                <w:sz w:val="14"/>
              </w:rPr>
              <w:t>i)</w:t>
            </w:r>
          </w:p>
        </w:tc>
        <w:tc>
          <w:tcPr>
            <w:tcW w:w="3296" w:type="dxa"/>
            <w:tcBorders>
              <w:left w:val="single" w:sz="2" w:space="0" w:color="auto"/>
            </w:tcBorders>
            <w:vAlign w:val="bottom"/>
          </w:tcPr>
          <w:p w14:paraId="5A327F5E" w14:textId="77777777" w:rsidR="001A5C8B" w:rsidRPr="00D12A36" w:rsidRDefault="009846EE" w:rsidP="008238E7">
            <w:pPr>
              <w:pStyle w:val="TableText"/>
              <w:tabs>
                <w:tab w:val="left" w:pos="3306"/>
              </w:tabs>
              <w:spacing w:before="20"/>
              <w:rPr>
                <w:rFonts w:cs="Calibri"/>
              </w:rPr>
            </w:pPr>
            <w:r w:rsidRPr="00D12A36">
              <w:rPr>
                <w:rFonts w:cs="Calibri"/>
              </w:rPr>
              <w:t>Cash and Cash Equivalent</w:t>
            </w:r>
            <w:r w:rsidR="001A5C8B" w:rsidRPr="00D12A36">
              <w:rPr>
                <w:rFonts w:cs="Calibri"/>
              </w:rPr>
              <w:t>s</w:t>
            </w:r>
          </w:p>
        </w:tc>
        <w:tc>
          <w:tcPr>
            <w:tcW w:w="1660" w:type="dxa"/>
            <w:vAlign w:val="bottom"/>
          </w:tcPr>
          <w:p w14:paraId="5E4D2365" w14:textId="2DFAE09B" w:rsidR="009846EE" w:rsidRPr="00D12A36" w:rsidRDefault="003C048F" w:rsidP="008238E7">
            <w:pPr>
              <w:pStyle w:val="TableText"/>
              <w:tabs>
                <w:tab w:val="left" w:pos="3306"/>
              </w:tabs>
              <w:spacing w:before="20"/>
              <w:jc w:val="center"/>
              <w:rPr>
                <w:rFonts w:cs="Calibri"/>
              </w:rPr>
            </w:pPr>
            <w:r w:rsidRPr="00D12A36">
              <w:rPr>
                <w:rFonts w:cs="Calibri"/>
              </w:rPr>
              <w:t>1</w:t>
            </w:r>
            <w:r w:rsidR="00575AE7" w:rsidRPr="00D12A36">
              <w:rPr>
                <w:rFonts w:cs="Calibri"/>
              </w:rPr>
              <w:t>5</w:t>
            </w:r>
          </w:p>
        </w:tc>
        <w:tc>
          <w:tcPr>
            <w:tcW w:w="1260" w:type="dxa"/>
            <w:vAlign w:val="bottom"/>
          </w:tcPr>
          <w:p w14:paraId="5053C942" w14:textId="77777777" w:rsidR="009846EE" w:rsidRPr="00D12A36" w:rsidRDefault="009846EE" w:rsidP="008238E7">
            <w:pPr>
              <w:pStyle w:val="TableText"/>
              <w:tabs>
                <w:tab w:val="left" w:pos="3306"/>
              </w:tabs>
              <w:spacing w:before="20"/>
              <w:jc w:val="right"/>
              <w:rPr>
                <w:rFonts w:cs="Calibri"/>
                <w:strike/>
              </w:rPr>
            </w:pPr>
          </w:p>
        </w:tc>
        <w:tc>
          <w:tcPr>
            <w:tcW w:w="1395" w:type="dxa"/>
            <w:vAlign w:val="bottom"/>
          </w:tcPr>
          <w:p w14:paraId="395CD493" w14:textId="77777777" w:rsidR="009846EE" w:rsidRPr="00D12A36" w:rsidRDefault="009846EE" w:rsidP="008238E7">
            <w:pPr>
              <w:pStyle w:val="TableText"/>
              <w:tabs>
                <w:tab w:val="left" w:pos="3306"/>
              </w:tabs>
              <w:spacing w:before="20"/>
              <w:jc w:val="right"/>
              <w:rPr>
                <w:rFonts w:cs="Calibri"/>
                <w:strike/>
              </w:rPr>
            </w:pPr>
          </w:p>
        </w:tc>
        <w:tc>
          <w:tcPr>
            <w:tcW w:w="1396" w:type="dxa"/>
            <w:vAlign w:val="bottom"/>
          </w:tcPr>
          <w:p w14:paraId="3953DEF3" w14:textId="77777777" w:rsidR="009846EE" w:rsidRPr="00D12A36" w:rsidRDefault="009846EE" w:rsidP="008238E7">
            <w:pPr>
              <w:pStyle w:val="TableText"/>
              <w:tabs>
                <w:tab w:val="left" w:pos="3306"/>
              </w:tabs>
              <w:spacing w:before="20"/>
              <w:jc w:val="right"/>
              <w:rPr>
                <w:rFonts w:cs="Calibri"/>
                <w:strike/>
              </w:rPr>
            </w:pPr>
          </w:p>
        </w:tc>
      </w:tr>
      <w:tr w:rsidR="00174E73" w:rsidRPr="00CF7E1B" w14:paraId="7B4CD965" w14:textId="77777777" w:rsidTr="00C736E0">
        <w:tc>
          <w:tcPr>
            <w:tcW w:w="1537" w:type="dxa"/>
            <w:tcBorders>
              <w:left w:val="single" w:sz="2" w:space="0" w:color="auto"/>
              <w:right w:val="single" w:sz="2" w:space="0" w:color="auto"/>
            </w:tcBorders>
          </w:tcPr>
          <w:p w14:paraId="591991BD" w14:textId="77777777" w:rsidR="009975BC" w:rsidRPr="008238E7" w:rsidRDefault="009975BC" w:rsidP="008238E7">
            <w:pPr>
              <w:pStyle w:val="TableReference"/>
              <w:tabs>
                <w:tab w:val="left" w:pos="3306"/>
              </w:tabs>
              <w:spacing w:before="40"/>
              <w:rPr>
                <w:rFonts w:cs="Calibri"/>
                <w:color w:val="7030A0"/>
                <w:sz w:val="14"/>
              </w:rPr>
            </w:pPr>
            <w:r w:rsidRPr="008238E7">
              <w:rPr>
                <w:rFonts w:cs="Calibri"/>
                <w:color w:val="7030A0"/>
                <w:sz w:val="14"/>
              </w:rPr>
              <w:t xml:space="preserve">AASB 101.54(d) </w:t>
            </w:r>
          </w:p>
        </w:tc>
        <w:tc>
          <w:tcPr>
            <w:tcW w:w="3296" w:type="dxa"/>
            <w:tcBorders>
              <w:left w:val="single" w:sz="2" w:space="0" w:color="auto"/>
            </w:tcBorders>
            <w:vAlign w:val="bottom"/>
          </w:tcPr>
          <w:p w14:paraId="44F8D4C7" w14:textId="77777777" w:rsidR="009975BC" w:rsidRPr="00D12A36" w:rsidRDefault="009975BC" w:rsidP="008238E7">
            <w:pPr>
              <w:pStyle w:val="TableText"/>
              <w:tabs>
                <w:tab w:val="left" w:pos="3306"/>
              </w:tabs>
              <w:spacing w:before="20"/>
              <w:rPr>
                <w:rFonts w:cs="Calibri"/>
                <w:b/>
                <w:bCs/>
              </w:rPr>
            </w:pPr>
            <w:r w:rsidRPr="00D12A36">
              <w:rPr>
                <w:rFonts w:cs="Calibri"/>
              </w:rPr>
              <w:t xml:space="preserve">Investments </w:t>
            </w:r>
          </w:p>
        </w:tc>
        <w:tc>
          <w:tcPr>
            <w:tcW w:w="1660" w:type="dxa"/>
            <w:vAlign w:val="bottom"/>
          </w:tcPr>
          <w:p w14:paraId="1907BD52" w14:textId="4403E187" w:rsidR="009975BC" w:rsidRPr="00D12A36" w:rsidRDefault="003C048F" w:rsidP="008238E7">
            <w:pPr>
              <w:pStyle w:val="TableText"/>
              <w:tabs>
                <w:tab w:val="left" w:pos="3306"/>
              </w:tabs>
              <w:spacing w:before="20"/>
              <w:jc w:val="center"/>
              <w:rPr>
                <w:rFonts w:cs="Calibri"/>
              </w:rPr>
            </w:pPr>
            <w:r w:rsidRPr="00D12A36">
              <w:rPr>
                <w:rFonts w:cs="Calibri"/>
              </w:rPr>
              <w:t>1</w:t>
            </w:r>
            <w:r w:rsidR="00575AE7" w:rsidRPr="00D12A36">
              <w:rPr>
                <w:rFonts w:cs="Calibri"/>
              </w:rPr>
              <w:t>5</w:t>
            </w:r>
          </w:p>
        </w:tc>
        <w:tc>
          <w:tcPr>
            <w:tcW w:w="1260" w:type="dxa"/>
            <w:vAlign w:val="bottom"/>
          </w:tcPr>
          <w:p w14:paraId="58F6C343" w14:textId="77777777" w:rsidR="009975BC" w:rsidRPr="00D12A36" w:rsidRDefault="009975BC" w:rsidP="008238E7">
            <w:pPr>
              <w:pStyle w:val="TableText"/>
              <w:tabs>
                <w:tab w:val="left" w:pos="3306"/>
              </w:tabs>
              <w:spacing w:before="20"/>
              <w:jc w:val="right"/>
              <w:rPr>
                <w:rFonts w:cs="Calibri"/>
              </w:rPr>
            </w:pPr>
          </w:p>
        </w:tc>
        <w:tc>
          <w:tcPr>
            <w:tcW w:w="1395" w:type="dxa"/>
            <w:vAlign w:val="bottom"/>
          </w:tcPr>
          <w:p w14:paraId="0DADBE54" w14:textId="77777777" w:rsidR="009975BC" w:rsidRPr="00D12A36" w:rsidRDefault="009975BC" w:rsidP="008238E7">
            <w:pPr>
              <w:pStyle w:val="TableText"/>
              <w:tabs>
                <w:tab w:val="left" w:pos="3306"/>
              </w:tabs>
              <w:spacing w:before="20"/>
              <w:jc w:val="right"/>
              <w:rPr>
                <w:rFonts w:cs="Calibri"/>
              </w:rPr>
            </w:pPr>
          </w:p>
        </w:tc>
        <w:tc>
          <w:tcPr>
            <w:tcW w:w="1396" w:type="dxa"/>
            <w:vAlign w:val="bottom"/>
          </w:tcPr>
          <w:p w14:paraId="5D6B5FF3" w14:textId="77777777" w:rsidR="009975BC" w:rsidRPr="00D12A36" w:rsidRDefault="009975BC" w:rsidP="008238E7">
            <w:pPr>
              <w:pStyle w:val="TableText"/>
              <w:tabs>
                <w:tab w:val="left" w:pos="3306"/>
              </w:tabs>
              <w:spacing w:before="20"/>
              <w:jc w:val="right"/>
              <w:rPr>
                <w:rFonts w:cs="Calibri"/>
              </w:rPr>
            </w:pPr>
          </w:p>
        </w:tc>
      </w:tr>
      <w:tr w:rsidR="00174E73" w:rsidRPr="00CF7E1B" w14:paraId="216C1BEB" w14:textId="77777777" w:rsidTr="00C736E0">
        <w:tc>
          <w:tcPr>
            <w:tcW w:w="1537" w:type="dxa"/>
            <w:tcBorders>
              <w:left w:val="single" w:sz="2" w:space="0" w:color="auto"/>
              <w:right w:val="single" w:sz="2" w:space="0" w:color="auto"/>
            </w:tcBorders>
          </w:tcPr>
          <w:p w14:paraId="4E3CFC04" w14:textId="77777777" w:rsidR="009846EE" w:rsidRPr="008238E7" w:rsidRDefault="009846EE" w:rsidP="008238E7">
            <w:pPr>
              <w:pStyle w:val="TableReference"/>
              <w:tabs>
                <w:tab w:val="left" w:pos="3306"/>
              </w:tabs>
              <w:spacing w:before="40"/>
              <w:rPr>
                <w:rFonts w:cs="Calibri"/>
                <w:color w:val="7030A0"/>
                <w:sz w:val="14"/>
              </w:rPr>
            </w:pPr>
            <w:r w:rsidRPr="008238E7">
              <w:rPr>
                <w:rFonts w:cs="Calibri"/>
                <w:color w:val="7030A0"/>
                <w:sz w:val="14"/>
              </w:rPr>
              <w:t>AASB 101</w:t>
            </w:r>
            <w:r w:rsidR="00D65811" w:rsidRPr="008238E7">
              <w:rPr>
                <w:rFonts w:cs="Calibri"/>
                <w:color w:val="7030A0"/>
                <w:sz w:val="14"/>
              </w:rPr>
              <w:t>.</w:t>
            </w:r>
            <w:r w:rsidRPr="008238E7">
              <w:rPr>
                <w:rFonts w:cs="Calibri"/>
                <w:color w:val="7030A0"/>
                <w:sz w:val="14"/>
              </w:rPr>
              <w:t>54</w:t>
            </w:r>
            <w:r w:rsidR="00D001B7" w:rsidRPr="008238E7">
              <w:rPr>
                <w:rFonts w:cs="Calibri"/>
                <w:color w:val="7030A0"/>
                <w:sz w:val="14"/>
              </w:rPr>
              <w:t>(</w:t>
            </w:r>
            <w:r w:rsidRPr="008238E7">
              <w:rPr>
                <w:rFonts w:cs="Calibri"/>
                <w:color w:val="7030A0"/>
                <w:sz w:val="14"/>
              </w:rPr>
              <w:t>h)</w:t>
            </w:r>
          </w:p>
        </w:tc>
        <w:tc>
          <w:tcPr>
            <w:tcW w:w="3296" w:type="dxa"/>
            <w:tcBorders>
              <w:left w:val="single" w:sz="2" w:space="0" w:color="auto"/>
            </w:tcBorders>
            <w:vAlign w:val="bottom"/>
          </w:tcPr>
          <w:p w14:paraId="149CF6E7" w14:textId="77777777" w:rsidR="009846EE" w:rsidRPr="00D12A36" w:rsidRDefault="009846EE" w:rsidP="008238E7">
            <w:pPr>
              <w:pStyle w:val="TableText"/>
              <w:tabs>
                <w:tab w:val="left" w:pos="3306"/>
              </w:tabs>
              <w:spacing w:before="20"/>
              <w:rPr>
                <w:rFonts w:cs="Calibri"/>
                <w:b/>
                <w:bCs/>
              </w:rPr>
            </w:pPr>
            <w:r w:rsidRPr="00D12A36">
              <w:rPr>
                <w:rFonts w:cs="Calibri"/>
              </w:rPr>
              <w:t>Receivables</w:t>
            </w:r>
            <w:r w:rsidR="005C27DD" w:rsidRPr="00D12A36">
              <w:rPr>
                <w:rFonts w:cs="Calibri"/>
              </w:rPr>
              <w:t xml:space="preserve"> </w:t>
            </w:r>
          </w:p>
        </w:tc>
        <w:tc>
          <w:tcPr>
            <w:tcW w:w="1660" w:type="dxa"/>
            <w:vAlign w:val="bottom"/>
          </w:tcPr>
          <w:p w14:paraId="64B8C067" w14:textId="029899AC" w:rsidR="009846EE" w:rsidRPr="00D12A36" w:rsidRDefault="00575AE7" w:rsidP="008238E7">
            <w:pPr>
              <w:pStyle w:val="TableText"/>
              <w:tabs>
                <w:tab w:val="left" w:pos="3306"/>
              </w:tabs>
              <w:spacing w:before="20"/>
              <w:jc w:val="center"/>
              <w:rPr>
                <w:rFonts w:cs="Calibri"/>
              </w:rPr>
            </w:pPr>
            <w:r w:rsidRPr="00D12A36">
              <w:rPr>
                <w:rFonts w:cs="Calibri"/>
              </w:rPr>
              <w:t>16</w:t>
            </w:r>
          </w:p>
        </w:tc>
        <w:tc>
          <w:tcPr>
            <w:tcW w:w="1260" w:type="dxa"/>
            <w:vAlign w:val="bottom"/>
          </w:tcPr>
          <w:p w14:paraId="1EBA0A02" w14:textId="77777777" w:rsidR="009846EE" w:rsidRPr="00D12A36" w:rsidRDefault="009846EE" w:rsidP="008238E7">
            <w:pPr>
              <w:pStyle w:val="TableText"/>
              <w:tabs>
                <w:tab w:val="left" w:pos="3306"/>
              </w:tabs>
              <w:spacing w:before="20"/>
              <w:jc w:val="right"/>
              <w:rPr>
                <w:rFonts w:cs="Calibri"/>
                <w:strike/>
              </w:rPr>
            </w:pPr>
          </w:p>
        </w:tc>
        <w:tc>
          <w:tcPr>
            <w:tcW w:w="1395" w:type="dxa"/>
            <w:vAlign w:val="bottom"/>
          </w:tcPr>
          <w:p w14:paraId="621EB95A" w14:textId="77777777" w:rsidR="009846EE" w:rsidRPr="00D12A36" w:rsidRDefault="009846EE" w:rsidP="008238E7">
            <w:pPr>
              <w:pStyle w:val="TableText"/>
              <w:tabs>
                <w:tab w:val="left" w:pos="3306"/>
              </w:tabs>
              <w:spacing w:before="20"/>
              <w:jc w:val="right"/>
              <w:rPr>
                <w:rFonts w:cs="Calibri"/>
              </w:rPr>
            </w:pPr>
          </w:p>
        </w:tc>
        <w:tc>
          <w:tcPr>
            <w:tcW w:w="1396" w:type="dxa"/>
            <w:vAlign w:val="bottom"/>
          </w:tcPr>
          <w:p w14:paraId="4FB9AE9A" w14:textId="77777777" w:rsidR="009846EE" w:rsidRPr="00D12A36" w:rsidRDefault="009846EE" w:rsidP="008238E7">
            <w:pPr>
              <w:pStyle w:val="TableText"/>
              <w:tabs>
                <w:tab w:val="left" w:pos="3306"/>
              </w:tabs>
              <w:spacing w:before="20"/>
              <w:jc w:val="right"/>
              <w:rPr>
                <w:rFonts w:cs="Calibri"/>
              </w:rPr>
            </w:pPr>
          </w:p>
        </w:tc>
      </w:tr>
      <w:tr w:rsidR="004D1F33" w:rsidRPr="007E0503" w14:paraId="42EC36F8" w14:textId="77777777" w:rsidTr="00C736E0">
        <w:tc>
          <w:tcPr>
            <w:tcW w:w="1537" w:type="dxa"/>
            <w:tcBorders>
              <w:left w:val="single" w:sz="2" w:space="0" w:color="auto"/>
              <w:right w:val="single" w:sz="2" w:space="0" w:color="auto"/>
            </w:tcBorders>
          </w:tcPr>
          <w:p w14:paraId="4B77D545"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15.105</w:t>
            </w:r>
          </w:p>
        </w:tc>
        <w:tc>
          <w:tcPr>
            <w:tcW w:w="3296" w:type="dxa"/>
            <w:tcBorders>
              <w:left w:val="single" w:sz="2" w:space="0" w:color="auto"/>
            </w:tcBorders>
            <w:vAlign w:val="bottom"/>
          </w:tcPr>
          <w:p w14:paraId="4F3D9C2C" w14:textId="77777777" w:rsidR="004D1F33" w:rsidRPr="00D12A36" w:rsidRDefault="004D1F33" w:rsidP="008238E7">
            <w:pPr>
              <w:pStyle w:val="TableText"/>
              <w:tabs>
                <w:tab w:val="left" w:pos="3306"/>
              </w:tabs>
              <w:spacing w:before="20"/>
              <w:rPr>
                <w:rFonts w:cs="Calibri"/>
              </w:rPr>
            </w:pPr>
            <w:r w:rsidRPr="00D12A36">
              <w:rPr>
                <w:rFonts w:cs="Calibri"/>
              </w:rPr>
              <w:t xml:space="preserve">Contract Assets </w:t>
            </w:r>
          </w:p>
        </w:tc>
        <w:tc>
          <w:tcPr>
            <w:tcW w:w="1660" w:type="dxa"/>
            <w:vAlign w:val="bottom"/>
          </w:tcPr>
          <w:p w14:paraId="099D113D" w14:textId="0A4269E3" w:rsidR="004D1F33" w:rsidRPr="00D12A36" w:rsidRDefault="003C048F" w:rsidP="008238E7">
            <w:pPr>
              <w:pStyle w:val="TableText"/>
              <w:tabs>
                <w:tab w:val="left" w:pos="3306"/>
              </w:tabs>
              <w:spacing w:before="20"/>
              <w:jc w:val="center"/>
              <w:rPr>
                <w:rFonts w:cs="Calibri"/>
              </w:rPr>
            </w:pPr>
            <w:r w:rsidRPr="00D12A36">
              <w:rPr>
                <w:rFonts w:cs="Calibri"/>
              </w:rPr>
              <w:t>1</w:t>
            </w:r>
            <w:r w:rsidR="00575AE7" w:rsidRPr="00D12A36">
              <w:rPr>
                <w:rFonts w:cs="Calibri"/>
              </w:rPr>
              <w:t>6</w:t>
            </w:r>
          </w:p>
        </w:tc>
        <w:tc>
          <w:tcPr>
            <w:tcW w:w="1260" w:type="dxa"/>
            <w:shd w:val="clear" w:color="auto" w:fill="auto"/>
            <w:vAlign w:val="bottom"/>
          </w:tcPr>
          <w:p w14:paraId="69AB0F0C" w14:textId="77777777" w:rsidR="004D1F33" w:rsidRPr="00D12A36" w:rsidRDefault="004D1F33" w:rsidP="008238E7">
            <w:pPr>
              <w:pStyle w:val="TableText"/>
              <w:tabs>
                <w:tab w:val="left" w:pos="3306"/>
              </w:tabs>
              <w:spacing w:before="20"/>
              <w:jc w:val="right"/>
              <w:rPr>
                <w:rFonts w:cs="Calibri"/>
              </w:rPr>
            </w:pPr>
          </w:p>
        </w:tc>
        <w:tc>
          <w:tcPr>
            <w:tcW w:w="1395" w:type="dxa"/>
            <w:shd w:val="clear" w:color="auto" w:fill="auto"/>
            <w:vAlign w:val="bottom"/>
          </w:tcPr>
          <w:p w14:paraId="626D40E9" w14:textId="77777777" w:rsidR="004D1F33" w:rsidRPr="00D12A36" w:rsidRDefault="004D1F33" w:rsidP="008238E7">
            <w:pPr>
              <w:pStyle w:val="TableText"/>
              <w:tabs>
                <w:tab w:val="left" w:pos="3306"/>
              </w:tabs>
              <w:spacing w:before="20"/>
              <w:jc w:val="right"/>
              <w:rPr>
                <w:rFonts w:cs="Calibri"/>
              </w:rPr>
            </w:pPr>
          </w:p>
        </w:tc>
        <w:tc>
          <w:tcPr>
            <w:tcW w:w="1396" w:type="dxa"/>
            <w:shd w:val="clear" w:color="auto" w:fill="auto"/>
            <w:vAlign w:val="bottom"/>
          </w:tcPr>
          <w:p w14:paraId="146006A9" w14:textId="77777777" w:rsidR="004D1F33" w:rsidRPr="00D12A36" w:rsidRDefault="004D1F33" w:rsidP="008238E7">
            <w:pPr>
              <w:pStyle w:val="TableText"/>
              <w:tabs>
                <w:tab w:val="left" w:pos="3306"/>
              </w:tabs>
              <w:spacing w:before="20"/>
              <w:jc w:val="right"/>
              <w:rPr>
                <w:rFonts w:cs="Calibri"/>
                <w:highlight w:val="lightGray"/>
              </w:rPr>
            </w:pPr>
          </w:p>
        </w:tc>
      </w:tr>
      <w:tr w:rsidR="004D1F33" w:rsidRPr="007E0503" w14:paraId="1E7BF5CA" w14:textId="77777777" w:rsidTr="00C736E0">
        <w:tc>
          <w:tcPr>
            <w:tcW w:w="1537" w:type="dxa"/>
            <w:tcBorders>
              <w:left w:val="single" w:sz="2" w:space="0" w:color="auto"/>
              <w:right w:val="single" w:sz="2" w:space="0" w:color="auto"/>
            </w:tcBorders>
          </w:tcPr>
          <w:p w14:paraId="7B059D0F"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 xml:space="preserve">AASB 101.54(g) </w:t>
            </w:r>
          </w:p>
        </w:tc>
        <w:tc>
          <w:tcPr>
            <w:tcW w:w="3296" w:type="dxa"/>
            <w:tcBorders>
              <w:left w:val="single" w:sz="2" w:space="0" w:color="auto"/>
            </w:tcBorders>
            <w:vAlign w:val="bottom"/>
          </w:tcPr>
          <w:p w14:paraId="216747E8" w14:textId="23916D1C" w:rsidR="004D1F33" w:rsidRPr="00D12A36" w:rsidRDefault="004D1F33" w:rsidP="008238E7">
            <w:pPr>
              <w:pStyle w:val="TableText"/>
              <w:tabs>
                <w:tab w:val="left" w:pos="3306"/>
              </w:tabs>
              <w:spacing w:before="20"/>
              <w:rPr>
                <w:rFonts w:cs="Calibri"/>
                <w:b/>
                <w:bCs/>
              </w:rPr>
            </w:pPr>
            <w:r w:rsidRPr="00D12A36">
              <w:rPr>
                <w:rFonts w:cs="Calibri"/>
              </w:rPr>
              <w:t>Inventories</w:t>
            </w:r>
            <w:r w:rsidR="00575AE7" w:rsidRPr="00D12A36">
              <w:rPr>
                <w:rFonts w:cs="Calibri"/>
              </w:rPr>
              <w:t xml:space="preserve"> </w:t>
            </w:r>
          </w:p>
        </w:tc>
        <w:tc>
          <w:tcPr>
            <w:tcW w:w="1660" w:type="dxa"/>
          </w:tcPr>
          <w:p w14:paraId="123E41B6" w14:textId="5727F948" w:rsidR="004D1F33" w:rsidRPr="00D12A36" w:rsidRDefault="00575AE7" w:rsidP="008238E7">
            <w:pPr>
              <w:pStyle w:val="TableText"/>
              <w:tabs>
                <w:tab w:val="left" w:pos="3306"/>
              </w:tabs>
              <w:spacing w:before="20"/>
              <w:jc w:val="center"/>
              <w:rPr>
                <w:rFonts w:cs="Calibri"/>
              </w:rPr>
            </w:pPr>
            <w:r w:rsidRPr="00D12A36">
              <w:rPr>
                <w:rFonts w:cs="Calibri"/>
              </w:rPr>
              <w:t>17</w:t>
            </w:r>
          </w:p>
        </w:tc>
        <w:tc>
          <w:tcPr>
            <w:tcW w:w="1260" w:type="dxa"/>
            <w:vAlign w:val="bottom"/>
          </w:tcPr>
          <w:p w14:paraId="796B9FF5" w14:textId="77777777" w:rsidR="004D1F33" w:rsidRPr="00D12A36" w:rsidRDefault="004D1F33" w:rsidP="008238E7">
            <w:pPr>
              <w:pStyle w:val="TableText"/>
              <w:tabs>
                <w:tab w:val="left" w:pos="3306"/>
              </w:tabs>
              <w:spacing w:before="20"/>
              <w:jc w:val="right"/>
              <w:rPr>
                <w:rFonts w:cs="Calibri"/>
              </w:rPr>
            </w:pPr>
          </w:p>
        </w:tc>
        <w:tc>
          <w:tcPr>
            <w:tcW w:w="1395" w:type="dxa"/>
            <w:vAlign w:val="bottom"/>
          </w:tcPr>
          <w:p w14:paraId="30E466BA"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4545B6A0" w14:textId="77777777" w:rsidR="004D1F33" w:rsidRPr="00D12A36" w:rsidRDefault="004D1F33" w:rsidP="008238E7">
            <w:pPr>
              <w:pStyle w:val="TableText"/>
              <w:tabs>
                <w:tab w:val="left" w:pos="3306"/>
              </w:tabs>
              <w:spacing w:before="20"/>
              <w:jc w:val="right"/>
              <w:rPr>
                <w:rFonts w:cs="Calibri"/>
              </w:rPr>
            </w:pPr>
          </w:p>
        </w:tc>
      </w:tr>
      <w:tr w:rsidR="004D1F33" w:rsidRPr="007E0503" w14:paraId="74F28686" w14:textId="77777777" w:rsidTr="00C736E0">
        <w:tc>
          <w:tcPr>
            <w:tcW w:w="1537" w:type="dxa"/>
            <w:tcBorders>
              <w:left w:val="single" w:sz="2" w:space="0" w:color="auto"/>
              <w:right w:val="single" w:sz="2" w:space="0" w:color="auto"/>
            </w:tcBorders>
          </w:tcPr>
          <w:p w14:paraId="1490FBCF"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101.54(j)</w:t>
            </w:r>
          </w:p>
        </w:tc>
        <w:tc>
          <w:tcPr>
            <w:tcW w:w="3296" w:type="dxa"/>
            <w:tcBorders>
              <w:left w:val="single" w:sz="2" w:space="0" w:color="auto"/>
            </w:tcBorders>
            <w:vAlign w:val="bottom"/>
          </w:tcPr>
          <w:p w14:paraId="1918FB3C" w14:textId="77777777" w:rsidR="004D1F33" w:rsidRPr="00D12A36" w:rsidRDefault="008410E3" w:rsidP="008238E7">
            <w:pPr>
              <w:pStyle w:val="TableText"/>
              <w:tabs>
                <w:tab w:val="left" w:pos="3306"/>
              </w:tabs>
              <w:spacing w:before="20"/>
              <w:rPr>
                <w:rFonts w:cs="Calibri"/>
              </w:rPr>
            </w:pPr>
            <w:r w:rsidRPr="00D12A36">
              <w:rPr>
                <w:rFonts w:cs="Calibri"/>
              </w:rPr>
              <w:t xml:space="preserve">Non-Current </w:t>
            </w:r>
            <w:r w:rsidR="004D1F33" w:rsidRPr="00D12A36">
              <w:rPr>
                <w:rFonts w:cs="Calibri"/>
              </w:rPr>
              <w:t xml:space="preserve">Assets Held for </w:t>
            </w:r>
            <w:smartTag w:uri="urn:schemas-microsoft-com:office:smarttags" w:element="place">
              <w:smartTag w:uri="urn:schemas-microsoft-com:office:smarttags" w:element="City">
                <w:r w:rsidR="004D1F33" w:rsidRPr="00D12A36">
                  <w:rPr>
                    <w:rFonts w:cs="Calibri"/>
                  </w:rPr>
                  <w:t>Sale</w:t>
                </w:r>
              </w:smartTag>
            </w:smartTag>
          </w:p>
        </w:tc>
        <w:tc>
          <w:tcPr>
            <w:tcW w:w="1660" w:type="dxa"/>
            <w:vAlign w:val="bottom"/>
          </w:tcPr>
          <w:p w14:paraId="6E6AE7C3" w14:textId="2F5D875A" w:rsidR="004D1F33" w:rsidRPr="00D12A36" w:rsidRDefault="00575AE7" w:rsidP="008238E7">
            <w:pPr>
              <w:pStyle w:val="TableText"/>
              <w:tabs>
                <w:tab w:val="left" w:pos="3306"/>
              </w:tabs>
              <w:spacing w:before="20"/>
              <w:jc w:val="center"/>
              <w:rPr>
                <w:rFonts w:cs="Calibri"/>
              </w:rPr>
            </w:pPr>
            <w:r w:rsidRPr="00D12A36">
              <w:rPr>
                <w:rFonts w:cs="Calibri"/>
              </w:rPr>
              <w:t>18</w:t>
            </w:r>
          </w:p>
        </w:tc>
        <w:tc>
          <w:tcPr>
            <w:tcW w:w="1260" w:type="dxa"/>
            <w:vAlign w:val="bottom"/>
          </w:tcPr>
          <w:p w14:paraId="164A222C" w14:textId="77777777" w:rsidR="004D1F33" w:rsidRPr="00D12A36" w:rsidRDefault="004D1F33" w:rsidP="008238E7">
            <w:pPr>
              <w:pStyle w:val="TableText"/>
              <w:tabs>
                <w:tab w:val="left" w:pos="3306"/>
              </w:tabs>
              <w:spacing w:before="20"/>
              <w:jc w:val="right"/>
              <w:rPr>
                <w:rFonts w:cs="Calibri"/>
              </w:rPr>
            </w:pPr>
          </w:p>
        </w:tc>
        <w:tc>
          <w:tcPr>
            <w:tcW w:w="1395" w:type="dxa"/>
            <w:vAlign w:val="bottom"/>
          </w:tcPr>
          <w:p w14:paraId="350DAF0D"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690160FC" w14:textId="77777777" w:rsidR="004D1F33" w:rsidRPr="00D12A36" w:rsidRDefault="004D1F33" w:rsidP="008238E7">
            <w:pPr>
              <w:pStyle w:val="TableText"/>
              <w:tabs>
                <w:tab w:val="left" w:pos="3306"/>
              </w:tabs>
              <w:spacing w:before="20"/>
              <w:jc w:val="right"/>
              <w:rPr>
                <w:rFonts w:cs="Calibri"/>
              </w:rPr>
            </w:pPr>
          </w:p>
        </w:tc>
      </w:tr>
      <w:tr w:rsidR="004D1F33" w:rsidRPr="007E0503" w14:paraId="187E6C26" w14:textId="77777777" w:rsidTr="00C736E0">
        <w:tc>
          <w:tcPr>
            <w:tcW w:w="1537" w:type="dxa"/>
            <w:tcBorders>
              <w:left w:val="single" w:sz="2" w:space="0" w:color="auto"/>
              <w:right w:val="single" w:sz="2" w:space="0" w:color="auto"/>
            </w:tcBorders>
          </w:tcPr>
          <w:p w14:paraId="171FC0DD"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8368D44" w14:textId="77777777" w:rsidR="004D1F33" w:rsidRPr="00D12A36" w:rsidRDefault="004D1F33" w:rsidP="008238E7">
            <w:pPr>
              <w:pStyle w:val="TableText"/>
              <w:tabs>
                <w:tab w:val="left" w:pos="3306"/>
              </w:tabs>
              <w:spacing w:before="20"/>
              <w:rPr>
                <w:rFonts w:cs="Calibri"/>
                <w:b/>
                <w:bCs/>
              </w:rPr>
            </w:pPr>
            <w:r w:rsidRPr="00D12A36">
              <w:rPr>
                <w:rFonts w:cs="Calibri"/>
              </w:rPr>
              <w:t>Other Assets</w:t>
            </w:r>
          </w:p>
        </w:tc>
        <w:tc>
          <w:tcPr>
            <w:tcW w:w="1660" w:type="dxa"/>
            <w:vAlign w:val="bottom"/>
          </w:tcPr>
          <w:p w14:paraId="1FD63F46" w14:textId="4E4967B7" w:rsidR="004D1F33" w:rsidRPr="00D12A36" w:rsidRDefault="00575AE7" w:rsidP="008238E7">
            <w:pPr>
              <w:pStyle w:val="TableText"/>
              <w:tabs>
                <w:tab w:val="left" w:pos="3306"/>
              </w:tabs>
              <w:spacing w:before="20"/>
              <w:jc w:val="center"/>
              <w:rPr>
                <w:rFonts w:cs="Calibri"/>
              </w:rPr>
            </w:pPr>
            <w:r w:rsidRPr="00D12A36">
              <w:rPr>
                <w:rFonts w:cs="Calibri"/>
              </w:rPr>
              <w:t>23</w:t>
            </w:r>
          </w:p>
        </w:tc>
        <w:tc>
          <w:tcPr>
            <w:tcW w:w="1260" w:type="dxa"/>
            <w:tcBorders>
              <w:bottom w:val="single" w:sz="2" w:space="0" w:color="auto"/>
            </w:tcBorders>
            <w:vAlign w:val="bottom"/>
          </w:tcPr>
          <w:p w14:paraId="79462489" w14:textId="77777777" w:rsidR="004D1F33" w:rsidRPr="00D12A36" w:rsidRDefault="004D1F33" w:rsidP="008238E7">
            <w:pPr>
              <w:pStyle w:val="TableText"/>
              <w:tabs>
                <w:tab w:val="left" w:pos="3306"/>
              </w:tabs>
              <w:spacing w:before="20"/>
              <w:jc w:val="right"/>
              <w:rPr>
                <w:rFonts w:cs="Calibri"/>
              </w:rPr>
            </w:pPr>
          </w:p>
        </w:tc>
        <w:tc>
          <w:tcPr>
            <w:tcW w:w="1395" w:type="dxa"/>
            <w:tcBorders>
              <w:bottom w:val="single" w:sz="2" w:space="0" w:color="auto"/>
            </w:tcBorders>
            <w:vAlign w:val="bottom"/>
          </w:tcPr>
          <w:p w14:paraId="12F4A03F" w14:textId="77777777" w:rsidR="004D1F33" w:rsidRPr="00D12A36" w:rsidRDefault="004D1F33" w:rsidP="008238E7">
            <w:pPr>
              <w:pStyle w:val="TableText"/>
              <w:tabs>
                <w:tab w:val="left" w:pos="3306"/>
              </w:tabs>
              <w:spacing w:before="20"/>
              <w:jc w:val="right"/>
              <w:rPr>
                <w:rFonts w:cs="Calibri"/>
              </w:rPr>
            </w:pPr>
          </w:p>
        </w:tc>
        <w:tc>
          <w:tcPr>
            <w:tcW w:w="1396" w:type="dxa"/>
            <w:tcBorders>
              <w:bottom w:val="single" w:sz="2" w:space="0" w:color="auto"/>
            </w:tcBorders>
            <w:vAlign w:val="bottom"/>
          </w:tcPr>
          <w:p w14:paraId="4DB449C2" w14:textId="77777777" w:rsidR="004D1F33" w:rsidRPr="00D12A36" w:rsidRDefault="004D1F33" w:rsidP="008238E7">
            <w:pPr>
              <w:pStyle w:val="TableText"/>
              <w:tabs>
                <w:tab w:val="left" w:pos="3306"/>
              </w:tabs>
              <w:spacing w:before="20"/>
              <w:jc w:val="right"/>
              <w:rPr>
                <w:rFonts w:cs="Calibri"/>
              </w:rPr>
            </w:pPr>
          </w:p>
        </w:tc>
      </w:tr>
      <w:tr w:rsidR="004D1F33" w:rsidRPr="007E0503" w14:paraId="478DDC5B" w14:textId="77777777" w:rsidTr="00C736E0">
        <w:tc>
          <w:tcPr>
            <w:tcW w:w="1537" w:type="dxa"/>
            <w:tcBorders>
              <w:left w:val="single" w:sz="2" w:space="0" w:color="auto"/>
              <w:right w:val="single" w:sz="2" w:space="0" w:color="auto"/>
            </w:tcBorders>
          </w:tcPr>
          <w:p w14:paraId="4507AB05" w14:textId="77777777" w:rsidR="004D1F33" w:rsidRPr="008238E7" w:rsidRDefault="004D1F33" w:rsidP="004D1F33">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238C804" w14:textId="77777777" w:rsidR="004D1F33" w:rsidRPr="00D12A36" w:rsidRDefault="004D1F33" w:rsidP="004D1F33">
            <w:pPr>
              <w:pStyle w:val="TableText"/>
              <w:tabs>
                <w:tab w:val="left" w:pos="3306"/>
              </w:tabs>
              <w:rPr>
                <w:rFonts w:cs="Calibri"/>
                <w:b/>
                <w:bCs/>
              </w:rPr>
            </w:pPr>
            <w:bookmarkStart w:id="141" w:name="_Toc48468217"/>
            <w:bookmarkStart w:id="142" w:name="_Toc49155409"/>
            <w:bookmarkStart w:id="143" w:name="_Toc49223857"/>
            <w:r w:rsidRPr="00D12A36">
              <w:rPr>
                <w:rFonts w:cs="Calibri"/>
                <w:b/>
                <w:bCs/>
              </w:rPr>
              <w:t>Total Current Assets</w:t>
            </w:r>
            <w:bookmarkEnd w:id="141"/>
            <w:bookmarkEnd w:id="142"/>
            <w:bookmarkEnd w:id="143"/>
            <w:r w:rsidRPr="00D12A36">
              <w:rPr>
                <w:rFonts w:cs="Calibri"/>
                <w:b/>
                <w:bCs/>
              </w:rPr>
              <w:t xml:space="preserve"> </w:t>
            </w:r>
          </w:p>
        </w:tc>
        <w:tc>
          <w:tcPr>
            <w:tcW w:w="1660" w:type="dxa"/>
            <w:vAlign w:val="bottom"/>
          </w:tcPr>
          <w:p w14:paraId="675E1C30" w14:textId="77777777" w:rsidR="004D1F33" w:rsidRPr="00D12A36" w:rsidRDefault="004D1F33" w:rsidP="004D1F33">
            <w:pPr>
              <w:pStyle w:val="TableText"/>
              <w:tabs>
                <w:tab w:val="left" w:pos="3306"/>
              </w:tabs>
              <w:jc w:val="center"/>
              <w:rPr>
                <w:rFonts w:cs="Calibri"/>
                <w:b/>
                <w:bCs/>
              </w:rPr>
            </w:pPr>
          </w:p>
        </w:tc>
        <w:tc>
          <w:tcPr>
            <w:tcW w:w="1260" w:type="dxa"/>
            <w:tcBorders>
              <w:top w:val="single" w:sz="2" w:space="0" w:color="auto"/>
            </w:tcBorders>
            <w:vAlign w:val="bottom"/>
          </w:tcPr>
          <w:p w14:paraId="206C5C5E" w14:textId="77777777" w:rsidR="004D1F33" w:rsidRPr="00D12A36" w:rsidRDefault="004D1F33" w:rsidP="004D1F33">
            <w:pPr>
              <w:pStyle w:val="TableText"/>
              <w:tabs>
                <w:tab w:val="left" w:pos="3306"/>
              </w:tabs>
              <w:jc w:val="right"/>
              <w:rPr>
                <w:rFonts w:cs="Calibri"/>
                <w:b/>
                <w:bCs/>
                <w:strike/>
              </w:rPr>
            </w:pPr>
          </w:p>
        </w:tc>
        <w:tc>
          <w:tcPr>
            <w:tcW w:w="1395" w:type="dxa"/>
            <w:tcBorders>
              <w:top w:val="single" w:sz="2" w:space="0" w:color="auto"/>
            </w:tcBorders>
            <w:vAlign w:val="bottom"/>
          </w:tcPr>
          <w:p w14:paraId="78205072" w14:textId="77777777" w:rsidR="004D1F33" w:rsidRPr="00D12A36" w:rsidRDefault="004D1F33" w:rsidP="004D1F33">
            <w:pPr>
              <w:pStyle w:val="TableText"/>
              <w:tabs>
                <w:tab w:val="left" w:pos="3306"/>
              </w:tabs>
              <w:jc w:val="right"/>
              <w:rPr>
                <w:rFonts w:cs="Calibri"/>
                <w:b/>
                <w:bCs/>
              </w:rPr>
            </w:pPr>
          </w:p>
        </w:tc>
        <w:tc>
          <w:tcPr>
            <w:tcW w:w="1396" w:type="dxa"/>
            <w:tcBorders>
              <w:top w:val="single" w:sz="2" w:space="0" w:color="auto"/>
            </w:tcBorders>
            <w:vAlign w:val="bottom"/>
          </w:tcPr>
          <w:p w14:paraId="0ABB1E80" w14:textId="77777777" w:rsidR="004D1F33" w:rsidRPr="00D12A36" w:rsidRDefault="004D1F33" w:rsidP="004D1F33">
            <w:pPr>
              <w:pStyle w:val="TableText"/>
              <w:tabs>
                <w:tab w:val="left" w:pos="3306"/>
              </w:tabs>
              <w:jc w:val="right"/>
              <w:rPr>
                <w:rFonts w:cs="Calibri"/>
                <w:b/>
                <w:bCs/>
              </w:rPr>
            </w:pPr>
          </w:p>
        </w:tc>
      </w:tr>
      <w:tr w:rsidR="004D1F33" w:rsidRPr="007E0503" w14:paraId="40EF75FF" w14:textId="77777777" w:rsidTr="00C736E0">
        <w:tc>
          <w:tcPr>
            <w:tcW w:w="1537" w:type="dxa"/>
            <w:tcBorders>
              <w:left w:val="single" w:sz="2" w:space="0" w:color="auto"/>
              <w:right w:val="single" w:sz="2" w:space="0" w:color="auto"/>
            </w:tcBorders>
          </w:tcPr>
          <w:p w14:paraId="284B7051" w14:textId="77777777" w:rsidR="004D1F33" w:rsidRPr="008238E7" w:rsidRDefault="004D1F33" w:rsidP="004D1F33">
            <w:pPr>
              <w:pStyle w:val="TableReference"/>
              <w:tabs>
                <w:tab w:val="left" w:pos="3306"/>
              </w:tabs>
              <w:spacing w:before="40"/>
              <w:rPr>
                <w:rFonts w:cs="Calibri"/>
                <w:strike/>
                <w:color w:val="7030A0"/>
                <w:sz w:val="14"/>
              </w:rPr>
            </w:pPr>
            <w:r w:rsidRPr="008238E7">
              <w:rPr>
                <w:rFonts w:cs="Calibri"/>
                <w:color w:val="7030A0"/>
                <w:sz w:val="14"/>
              </w:rPr>
              <w:t>AASB 101.60</w:t>
            </w:r>
          </w:p>
        </w:tc>
        <w:tc>
          <w:tcPr>
            <w:tcW w:w="3296" w:type="dxa"/>
            <w:tcBorders>
              <w:left w:val="single" w:sz="2" w:space="0" w:color="auto"/>
            </w:tcBorders>
            <w:vAlign w:val="bottom"/>
          </w:tcPr>
          <w:p w14:paraId="7120A46C" w14:textId="77777777" w:rsidR="004D1F33" w:rsidRPr="00D12A36" w:rsidRDefault="004D1F33" w:rsidP="004D1F33">
            <w:pPr>
              <w:pStyle w:val="TableText"/>
              <w:tabs>
                <w:tab w:val="left" w:pos="3306"/>
              </w:tabs>
              <w:rPr>
                <w:rFonts w:cs="Calibri"/>
                <w:b/>
                <w:bCs/>
              </w:rPr>
            </w:pPr>
            <w:bookmarkStart w:id="144" w:name="_Toc48468218"/>
            <w:bookmarkStart w:id="145" w:name="_Toc49155410"/>
            <w:bookmarkStart w:id="146" w:name="_Toc49223858"/>
            <w:r w:rsidRPr="00D12A36">
              <w:rPr>
                <w:rFonts w:cs="Calibri"/>
                <w:b/>
                <w:bCs/>
              </w:rPr>
              <w:t>Non-Current Assets</w:t>
            </w:r>
            <w:bookmarkEnd w:id="144"/>
            <w:bookmarkEnd w:id="145"/>
            <w:bookmarkEnd w:id="146"/>
          </w:p>
        </w:tc>
        <w:tc>
          <w:tcPr>
            <w:tcW w:w="1660" w:type="dxa"/>
            <w:vAlign w:val="bottom"/>
          </w:tcPr>
          <w:p w14:paraId="0C50AAA4" w14:textId="77777777" w:rsidR="004D1F33" w:rsidRPr="00D12A36" w:rsidRDefault="004D1F33" w:rsidP="004D1F33">
            <w:pPr>
              <w:pStyle w:val="TableText"/>
              <w:tabs>
                <w:tab w:val="left" w:pos="3306"/>
              </w:tabs>
              <w:jc w:val="center"/>
              <w:rPr>
                <w:rFonts w:cs="Calibri"/>
                <w:b/>
                <w:bCs/>
              </w:rPr>
            </w:pPr>
          </w:p>
        </w:tc>
        <w:tc>
          <w:tcPr>
            <w:tcW w:w="1260" w:type="dxa"/>
            <w:vAlign w:val="bottom"/>
          </w:tcPr>
          <w:p w14:paraId="0DAEFC2B" w14:textId="77777777" w:rsidR="004D1F33" w:rsidRPr="00D12A36" w:rsidRDefault="004D1F33" w:rsidP="004D1F33">
            <w:pPr>
              <w:pStyle w:val="TableText"/>
              <w:tabs>
                <w:tab w:val="left" w:pos="3306"/>
              </w:tabs>
              <w:jc w:val="right"/>
              <w:rPr>
                <w:rFonts w:cs="Calibri"/>
                <w:b/>
                <w:bCs/>
              </w:rPr>
            </w:pPr>
          </w:p>
        </w:tc>
        <w:tc>
          <w:tcPr>
            <w:tcW w:w="1395" w:type="dxa"/>
            <w:vAlign w:val="bottom"/>
          </w:tcPr>
          <w:p w14:paraId="0D0CC601" w14:textId="77777777" w:rsidR="004D1F33" w:rsidRPr="00D12A36" w:rsidRDefault="004D1F33" w:rsidP="004D1F33">
            <w:pPr>
              <w:pStyle w:val="TableText"/>
              <w:tabs>
                <w:tab w:val="left" w:pos="3306"/>
              </w:tabs>
              <w:jc w:val="right"/>
              <w:rPr>
                <w:rFonts w:cs="Calibri"/>
                <w:b/>
                <w:bCs/>
              </w:rPr>
            </w:pPr>
          </w:p>
        </w:tc>
        <w:tc>
          <w:tcPr>
            <w:tcW w:w="1396" w:type="dxa"/>
            <w:vAlign w:val="bottom"/>
          </w:tcPr>
          <w:p w14:paraId="3E14D9AC" w14:textId="77777777" w:rsidR="004D1F33" w:rsidRPr="00D12A36" w:rsidRDefault="004D1F33" w:rsidP="004D1F33">
            <w:pPr>
              <w:pStyle w:val="TableText"/>
              <w:tabs>
                <w:tab w:val="left" w:pos="3306"/>
              </w:tabs>
              <w:jc w:val="right"/>
              <w:rPr>
                <w:rFonts w:cs="Calibri"/>
                <w:b/>
                <w:bCs/>
              </w:rPr>
            </w:pPr>
          </w:p>
        </w:tc>
      </w:tr>
      <w:tr w:rsidR="002C049C" w:rsidRPr="007E0503" w14:paraId="7C2154FA" w14:textId="77777777" w:rsidTr="00C736E0">
        <w:tc>
          <w:tcPr>
            <w:tcW w:w="1537" w:type="dxa"/>
            <w:tcBorders>
              <w:left w:val="single" w:sz="2" w:space="0" w:color="auto"/>
              <w:right w:val="single" w:sz="2" w:space="0" w:color="auto"/>
            </w:tcBorders>
          </w:tcPr>
          <w:p w14:paraId="73472561" w14:textId="77777777" w:rsidR="002C049C" w:rsidRPr="008238E7" w:rsidRDefault="002C049C" w:rsidP="008238E7">
            <w:pPr>
              <w:pStyle w:val="TableReference"/>
              <w:tabs>
                <w:tab w:val="left" w:pos="3306"/>
              </w:tabs>
              <w:spacing w:before="40"/>
              <w:rPr>
                <w:rFonts w:cs="Calibri"/>
                <w:color w:val="7030A0"/>
                <w:sz w:val="14"/>
              </w:rPr>
            </w:pPr>
            <w:r w:rsidRPr="008238E7">
              <w:rPr>
                <w:rFonts w:cs="Calibri"/>
                <w:color w:val="7030A0"/>
                <w:sz w:val="14"/>
              </w:rPr>
              <w:t xml:space="preserve">AASB 101.54(d) </w:t>
            </w:r>
          </w:p>
        </w:tc>
        <w:tc>
          <w:tcPr>
            <w:tcW w:w="3296" w:type="dxa"/>
            <w:tcBorders>
              <w:left w:val="single" w:sz="2" w:space="0" w:color="auto"/>
            </w:tcBorders>
            <w:vAlign w:val="bottom"/>
          </w:tcPr>
          <w:p w14:paraId="0B71E889" w14:textId="77777777" w:rsidR="002C049C" w:rsidRPr="00D12A36" w:rsidRDefault="002C049C" w:rsidP="008238E7">
            <w:pPr>
              <w:pStyle w:val="TableText"/>
              <w:tabs>
                <w:tab w:val="left" w:pos="3306"/>
              </w:tabs>
              <w:spacing w:before="20"/>
              <w:rPr>
                <w:rFonts w:cs="Calibri"/>
                <w:b/>
                <w:bCs/>
              </w:rPr>
            </w:pPr>
            <w:r w:rsidRPr="00D12A36">
              <w:rPr>
                <w:rFonts w:cs="Calibri"/>
              </w:rPr>
              <w:t xml:space="preserve">Investments </w:t>
            </w:r>
          </w:p>
        </w:tc>
        <w:tc>
          <w:tcPr>
            <w:tcW w:w="1660" w:type="dxa"/>
            <w:vAlign w:val="bottom"/>
          </w:tcPr>
          <w:p w14:paraId="2BF291A2" w14:textId="66DCD65B" w:rsidR="002C049C" w:rsidRPr="00D12A36" w:rsidRDefault="008238E7" w:rsidP="008238E7">
            <w:pPr>
              <w:pStyle w:val="TableText"/>
              <w:tabs>
                <w:tab w:val="left" w:pos="3306"/>
              </w:tabs>
              <w:spacing w:before="20"/>
              <w:jc w:val="center"/>
              <w:rPr>
                <w:rFonts w:cs="Calibri"/>
              </w:rPr>
            </w:pPr>
            <w:r w:rsidRPr="00D12A36">
              <w:rPr>
                <w:rFonts w:cs="Calibri"/>
              </w:rPr>
              <w:t>15</w:t>
            </w:r>
          </w:p>
        </w:tc>
        <w:tc>
          <w:tcPr>
            <w:tcW w:w="1260" w:type="dxa"/>
            <w:vAlign w:val="bottom"/>
          </w:tcPr>
          <w:p w14:paraId="13C9C0BB" w14:textId="77777777" w:rsidR="002C049C" w:rsidRPr="00D12A36" w:rsidRDefault="002C049C" w:rsidP="008238E7">
            <w:pPr>
              <w:pStyle w:val="TableText"/>
              <w:tabs>
                <w:tab w:val="left" w:pos="3306"/>
              </w:tabs>
              <w:spacing w:before="20"/>
              <w:jc w:val="right"/>
              <w:rPr>
                <w:rFonts w:cs="Calibri"/>
              </w:rPr>
            </w:pPr>
          </w:p>
        </w:tc>
        <w:tc>
          <w:tcPr>
            <w:tcW w:w="1395" w:type="dxa"/>
            <w:vAlign w:val="bottom"/>
          </w:tcPr>
          <w:p w14:paraId="3DF38759" w14:textId="77777777" w:rsidR="002C049C" w:rsidRPr="00D12A36" w:rsidRDefault="002C049C" w:rsidP="008238E7">
            <w:pPr>
              <w:pStyle w:val="TableText"/>
              <w:tabs>
                <w:tab w:val="left" w:pos="3306"/>
              </w:tabs>
              <w:spacing w:before="20"/>
              <w:jc w:val="right"/>
              <w:rPr>
                <w:rFonts w:cs="Calibri"/>
              </w:rPr>
            </w:pPr>
          </w:p>
        </w:tc>
        <w:tc>
          <w:tcPr>
            <w:tcW w:w="1396" w:type="dxa"/>
            <w:vAlign w:val="bottom"/>
          </w:tcPr>
          <w:p w14:paraId="429C2AC3" w14:textId="77777777" w:rsidR="002C049C" w:rsidRPr="00D12A36" w:rsidRDefault="002C049C" w:rsidP="008238E7">
            <w:pPr>
              <w:pStyle w:val="TableText"/>
              <w:tabs>
                <w:tab w:val="left" w:pos="3306"/>
              </w:tabs>
              <w:spacing w:before="20"/>
              <w:jc w:val="right"/>
              <w:rPr>
                <w:rFonts w:cs="Calibri"/>
              </w:rPr>
            </w:pPr>
          </w:p>
        </w:tc>
      </w:tr>
      <w:tr w:rsidR="004D1F33" w:rsidRPr="007E0503" w14:paraId="2AD67E86" w14:textId="77777777" w:rsidTr="00C736E0">
        <w:trPr>
          <w:trHeight w:val="123"/>
        </w:trPr>
        <w:tc>
          <w:tcPr>
            <w:tcW w:w="1537" w:type="dxa"/>
            <w:tcBorders>
              <w:left w:val="single" w:sz="2" w:space="0" w:color="auto"/>
              <w:right w:val="single" w:sz="2" w:space="0" w:color="auto"/>
            </w:tcBorders>
          </w:tcPr>
          <w:p w14:paraId="3D8EA1A9"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 xml:space="preserve">AASB 101.54(h) </w:t>
            </w:r>
          </w:p>
        </w:tc>
        <w:tc>
          <w:tcPr>
            <w:tcW w:w="3296" w:type="dxa"/>
            <w:tcBorders>
              <w:left w:val="single" w:sz="2" w:space="0" w:color="auto"/>
            </w:tcBorders>
            <w:vAlign w:val="bottom"/>
          </w:tcPr>
          <w:p w14:paraId="23DCAB0F" w14:textId="77777777" w:rsidR="004D1F33" w:rsidRPr="00D12A36" w:rsidRDefault="004D1F33" w:rsidP="008238E7">
            <w:pPr>
              <w:pStyle w:val="TableText"/>
              <w:tabs>
                <w:tab w:val="left" w:pos="3306"/>
              </w:tabs>
              <w:spacing w:before="20"/>
              <w:rPr>
                <w:rFonts w:cs="Calibri"/>
                <w:b/>
                <w:bCs/>
              </w:rPr>
            </w:pPr>
            <w:r w:rsidRPr="00D12A36">
              <w:rPr>
                <w:rFonts w:cs="Calibri"/>
              </w:rPr>
              <w:t xml:space="preserve">Receivables </w:t>
            </w:r>
          </w:p>
        </w:tc>
        <w:tc>
          <w:tcPr>
            <w:tcW w:w="1660" w:type="dxa"/>
            <w:vAlign w:val="bottom"/>
          </w:tcPr>
          <w:p w14:paraId="639B300B" w14:textId="744FCE05" w:rsidR="004D1F33" w:rsidRPr="00D12A36" w:rsidRDefault="00575AE7" w:rsidP="008238E7">
            <w:pPr>
              <w:pStyle w:val="TableText"/>
              <w:tabs>
                <w:tab w:val="left" w:pos="3306"/>
              </w:tabs>
              <w:spacing w:before="20"/>
              <w:jc w:val="center"/>
              <w:rPr>
                <w:rFonts w:cs="Calibri"/>
              </w:rPr>
            </w:pPr>
            <w:r w:rsidRPr="00D12A36">
              <w:rPr>
                <w:rFonts w:cs="Calibri"/>
              </w:rPr>
              <w:t>16</w:t>
            </w:r>
          </w:p>
        </w:tc>
        <w:tc>
          <w:tcPr>
            <w:tcW w:w="1260" w:type="dxa"/>
            <w:vAlign w:val="bottom"/>
          </w:tcPr>
          <w:p w14:paraId="538F0EC8" w14:textId="77777777" w:rsidR="004D1F33" w:rsidRPr="00D12A36" w:rsidRDefault="004D1F33" w:rsidP="008238E7">
            <w:pPr>
              <w:pStyle w:val="TableText"/>
              <w:tabs>
                <w:tab w:val="left" w:pos="3306"/>
              </w:tabs>
              <w:spacing w:before="20"/>
              <w:jc w:val="right"/>
              <w:rPr>
                <w:rFonts w:cs="Calibri"/>
                <w:strike/>
              </w:rPr>
            </w:pPr>
          </w:p>
        </w:tc>
        <w:tc>
          <w:tcPr>
            <w:tcW w:w="1395" w:type="dxa"/>
            <w:vAlign w:val="bottom"/>
          </w:tcPr>
          <w:p w14:paraId="3236E101" w14:textId="77777777" w:rsidR="004D1F33" w:rsidRPr="00D12A36" w:rsidRDefault="004D1F33" w:rsidP="008238E7">
            <w:pPr>
              <w:pStyle w:val="TableText"/>
              <w:tabs>
                <w:tab w:val="left" w:pos="3306"/>
              </w:tabs>
              <w:spacing w:before="20"/>
              <w:jc w:val="right"/>
              <w:rPr>
                <w:rFonts w:cs="Calibri"/>
              </w:rPr>
            </w:pPr>
          </w:p>
        </w:tc>
        <w:tc>
          <w:tcPr>
            <w:tcW w:w="1396" w:type="dxa"/>
            <w:vAlign w:val="bottom"/>
          </w:tcPr>
          <w:p w14:paraId="7E62AEBD" w14:textId="77777777" w:rsidR="004D1F33" w:rsidRPr="00D12A36" w:rsidRDefault="004D1F33" w:rsidP="008238E7">
            <w:pPr>
              <w:pStyle w:val="TableText"/>
              <w:tabs>
                <w:tab w:val="left" w:pos="3306"/>
              </w:tabs>
              <w:spacing w:before="20"/>
              <w:jc w:val="right"/>
              <w:rPr>
                <w:rFonts w:cs="Calibri"/>
              </w:rPr>
            </w:pPr>
          </w:p>
        </w:tc>
      </w:tr>
      <w:tr w:rsidR="004D1F33" w:rsidRPr="007E0503" w14:paraId="42CB7A29" w14:textId="77777777" w:rsidTr="00C736E0">
        <w:tc>
          <w:tcPr>
            <w:tcW w:w="1537" w:type="dxa"/>
            <w:tcBorders>
              <w:left w:val="single" w:sz="2" w:space="0" w:color="auto"/>
              <w:right w:val="single" w:sz="2" w:space="0" w:color="auto"/>
            </w:tcBorders>
          </w:tcPr>
          <w:p w14:paraId="56246284" w14:textId="77777777" w:rsidR="004D1F33" w:rsidRPr="008238E7" w:rsidRDefault="004D1F33" w:rsidP="008238E7">
            <w:pPr>
              <w:pStyle w:val="TableReference"/>
              <w:tabs>
                <w:tab w:val="left" w:pos="3306"/>
              </w:tabs>
              <w:spacing w:before="40"/>
              <w:rPr>
                <w:rFonts w:cs="Calibri"/>
                <w:color w:val="7030A0"/>
                <w:sz w:val="14"/>
              </w:rPr>
            </w:pPr>
            <w:r w:rsidRPr="008238E7">
              <w:rPr>
                <w:rFonts w:cs="Calibri"/>
                <w:color w:val="7030A0"/>
                <w:sz w:val="14"/>
              </w:rPr>
              <w:t>AASB 15.105</w:t>
            </w:r>
          </w:p>
        </w:tc>
        <w:tc>
          <w:tcPr>
            <w:tcW w:w="3296" w:type="dxa"/>
            <w:tcBorders>
              <w:left w:val="single" w:sz="2" w:space="0" w:color="auto"/>
            </w:tcBorders>
            <w:vAlign w:val="bottom"/>
          </w:tcPr>
          <w:p w14:paraId="4CE4490E" w14:textId="77777777" w:rsidR="004D1F33" w:rsidRPr="00D12A36" w:rsidRDefault="004D1F33" w:rsidP="008238E7">
            <w:pPr>
              <w:pStyle w:val="TableText"/>
              <w:tabs>
                <w:tab w:val="left" w:pos="3306"/>
              </w:tabs>
              <w:spacing w:before="20"/>
              <w:rPr>
                <w:rFonts w:cs="Calibri"/>
              </w:rPr>
            </w:pPr>
            <w:r w:rsidRPr="00D12A36">
              <w:rPr>
                <w:rFonts w:cs="Calibri"/>
              </w:rPr>
              <w:t xml:space="preserve">Contract Assets </w:t>
            </w:r>
          </w:p>
        </w:tc>
        <w:tc>
          <w:tcPr>
            <w:tcW w:w="1660" w:type="dxa"/>
            <w:vAlign w:val="bottom"/>
          </w:tcPr>
          <w:p w14:paraId="6CD37586" w14:textId="670C296D" w:rsidR="004D1F33" w:rsidRPr="00D12A36" w:rsidRDefault="009453E4" w:rsidP="008238E7">
            <w:pPr>
              <w:pStyle w:val="TableText"/>
              <w:tabs>
                <w:tab w:val="left" w:pos="3306"/>
              </w:tabs>
              <w:spacing w:before="20"/>
              <w:jc w:val="center"/>
              <w:rPr>
                <w:rFonts w:cs="Calibri"/>
              </w:rPr>
            </w:pPr>
            <w:r w:rsidRPr="00D12A36">
              <w:rPr>
                <w:rFonts w:cs="Calibri"/>
              </w:rPr>
              <w:t>1</w:t>
            </w:r>
            <w:r w:rsidR="00575AE7" w:rsidRPr="00D12A36">
              <w:rPr>
                <w:rFonts w:cs="Calibri"/>
              </w:rPr>
              <w:t>6</w:t>
            </w:r>
          </w:p>
        </w:tc>
        <w:tc>
          <w:tcPr>
            <w:tcW w:w="1260" w:type="dxa"/>
            <w:shd w:val="clear" w:color="auto" w:fill="auto"/>
            <w:vAlign w:val="bottom"/>
          </w:tcPr>
          <w:p w14:paraId="075094E9" w14:textId="77777777" w:rsidR="004D1F33" w:rsidRPr="00D12A36" w:rsidRDefault="004D1F33" w:rsidP="008238E7">
            <w:pPr>
              <w:pStyle w:val="TableText"/>
              <w:tabs>
                <w:tab w:val="left" w:pos="3306"/>
              </w:tabs>
              <w:spacing w:before="20"/>
              <w:jc w:val="right"/>
              <w:rPr>
                <w:rFonts w:cs="Calibri"/>
                <w:highlight w:val="lightGray"/>
              </w:rPr>
            </w:pPr>
          </w:p>
        </w:tc>
        <w:tc>
          <w:tcPr>
            <w:tcW w:w="1395" w:type="dxa"/>
            <w:shd w:val="clear" w:color="auto" w:fill="auto"/>
            <w:vAlign w:val="bottom"/>
          </w:tcPr>
          <w:p w14:paraId="396D729B" w14:textId="77777777" w:rsidR="004D1F33" w:rsidRPr="00D12A36" w:rsidRDefault="004D1F33" w:rsidP="008238E7">
            <w:pPr>
              <w:pStyle w:val="TableText"/>
              <w:tabs>
                <w:tab w:val="left" w:pos="3306"/>
              </w:tabs>
              <w:spacing w:before="20"/>
              <w:jc w:val="right"/>
              <w:rPr>
                <w:rFonts w:cs="Calibri"/>
                <w:highlight w:val="lightGray"/>
              </w:rPr>
            </w:pPr>
          </w:p>
        </w:tc>
        <w:tc>
          <w:tcPr>
            <w:tcW w:w="1396" w:type="dxa"/>
            <w:shd w:val="clear" w:color="auto" w:fill="auto"/>
            <w:vAlign w:val="bottom"/>
          </w:tcPr>
          <w:p w14:paraId="36D2747C" w14:textId="77777777" w:rsidR="004D1F33" w:rsidRPr="00D12A36" w:rsidRDefault="004D1F33" w:rsidP="008238E7">
            <w:pPr>
              <w:pStyle w:val="TableText"/>
              <w:tabs>
                <w:tab w:val="left" w:pos="3306"/>
              </w:tabs>
              <w:spacing w:before="20"/>
              <w:jc w:val="right"/>
              <w:rPr>
                <w:rFonts w:cs="Calibri"/>
              </w:rPr>
            </w:pPr>
          </w:p>
        </w:tc>
      </w:tr>
      <w:tr w:rsidR="006B5DF1" w:rsidRPr="007E0503" w14:paraId="707D6D63" w14:textId="77777777" w:rsidTr="00C736E0">
        <w:tc>
          <w:tcPr>
            <w:tcW w:w="1537" w:type="dxa"/>
            <w:tcBorders>
              <w:left w:val="single" w:sz="2" w:space="0" w:color="auto"/>
              <w:right w:val="single" w:sz="2" w:space="0" w:color="auto"/>
            </w:tcBorders>
          </w:tcPr>
          <w:p w14:paraId="01DBB916" w14:textId="38C06C54"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101.54(g)</w:t>
            </w:r>
          </w:p>
        </w:tc>
        <w:tc>
          <w:tcPr>
            <w:tcW w:w="3296" w:type="dxa"/>
            <w:tcBorders>
              <w:left w:val="single" w:sz="2" w:space="0" w:color="auto"/>
            </w:tcBorders>
            <w:vAlign w:val="bottom"/>
          </w:tcPr>
          <w:p w14:paraId="6558215C" w14:textId="72997B6C" w:rsidR="006B5DF1" w:rsidRPr="00D12A36" w:rsidRDefault="006B5DF1" w:rsidP="008238E7">
            <w:pPr>
              <w:pStyle w:val="TableText"/>
              <w:tabs>
                <w:tab w:val="left" w:pos="3306"/>
              </w:tabs>
              <w:spacing w:before="20"/>
              <w:rPr>
                <w:rFonts w:cs="Calibri"/>
              </w:rPr>
            </w:pPr>
            <w:r w:rsidRPr="00D12A36">
              <w:rPr>
                <w:rFonts w:cs="Calibri"/>
              </w:rPr>
              <w:t xml:space="preserve">Inventories </w:t>
            </w:r>
          </w:p>
        </w:tc>
        <w:tc>
          <w:tcPr>
            <w:tcW w:w="1660" w:type="dxa"/>
            <w:vAlign w:val="bottom"/>
          </w:tcPr>
          <w:p w14:paraId="0104B240" w14:textId="3EF434D6" w:rsidR="006B5DF1" w:rsidRPr="00D12A36" w:rsidRDefault="006B5DF1" w:rsidP="008238E7">
            <w:pPr>
              <w:pStyle w:val="TableText"/>
              <w:tabs>
                <w:tab w:val="left" w:pos="3306"/>
              </w:tabs>
              <w:spacing w:before="20"/>
              <w:jc w:val="center"/>
              <w:rPr>
                <w:rFonts w:cs="Calibri"/>
              </w:rPr>
            </w:pPr>
            <w:r w:rsidRPr="00D12A36">
              <w:rPr>
                <w:rFonts w:cs="Calibri"/>
              </w:rPr>
              <w:t>17</w:t>
            </w:r>
          </w:p>
        </w:tc>
        <w:tc>
          <w:tcPr>
            <w:tcW w:w="1260" w:type="dxa"/>
            <w:vAlign w:val="bottom"/>
          </w:tcPr>
          <w:p w14:paraId="2C36F3FA"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33A9689"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09ADED83" w14:textId="77777777" w:rsidR="006B5DF1" w:rsidRPr="00D12A36" w:rsidRDefault="006B5DF1" w:rsidP="008238E7">
            <w:pPr>
              <w:pStyle w:val="TableText"/>
              <w:tabs>
                <w:tab w:val="left" w:pos="3306"/>
              </w:tabs>
              <w:spacing w:before="20"/>
              <w:jc w:val="right"/>
              <w:rPr>
                <w:rFonts w:cs="Calibri"/>
              </w:rPr>
            </w:pPr>
          </w:p>
        </w:tc>
      </w:tr>
      <w:tr w:rsidR="006B5DF1" w:rsidRPr="007E0503" w14:paraId="37DAFECF" w14:textId="77777777" w:rsidTr="00C736E0">
        <w:tc>
          <w:tcPr>
            <w:tcW w:w="1537" w:type="dxa"/>
            <w:tcBorders>
              <w:left w:val="single" w:sz="2" w:space="0" w:color="auto"/>
              <w:right w:val="single" w:sz="2" w:space="0" w:color="auto"/>
            </w:tcBorders>
          </w:tcPr>
          <w:p w14:paraId="131A4AD1"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101.54(e)</w:t>
            </w:r>
          </w:p>
        </w:tc>
        <w:tc>
          <w:tcPr>
            <w:tcW w:w="3296" w:type="dxa"/>
            <w:tcBorders>
              <w:left w:val="single" w:sz="2" w:space="0" w:color="auto"/>
            </w:tcBorders>
            <w:vAlign w:val="bottom"/>
          </w:tcPr>
          <w:p w14:paraId="72B4F82F" w14:textId="77777777" w:rsidR="006B5DF1" w:rsidRPr="00D12A36" w:rsidRDefault="006B5DF1" w:rsidP="008238E7">
            <w:pPr>
              <w:pStyle w:val="TableText"/>
              <w:tabs>
                <w:tab w:val="left" w:pos="3306"/>
              </w:tabs>
              <w:spacing w:before="20"/>
              <w:rPr>
                <w:rFonts w:cs="Calibri"/>
              </w:rPr>
            </w:pPr>
            <w:r w:rsidRPr="00D12A36">
              <w:rPr>
                <w:rFonts w:cs="Calibri"/>
              </w:rPr>
              <w:t xml:space="preserve">Investment – Joint Venture </w:t>
            </w:r>
          </w:p>
        </w:tc>
        <w:tc>
          <w:tcPr>
            <w:tcW w:w="1660" w:type="dxa"/>
            <w:vAlign w:val="bottom"/>
          </w:tcPr>
          <w:p w14:paraId="23A20F1F" w14:textId="4745D309" w:rsidR="006B5DF1" w:rsidRPr="00D12A36" w:rsidRDefault="006B5DF1" w:rsidP="008238E7">
            <w:pPr>
              <w:pStyle w:val="TableText"/>
              <w:tabs>
                <w:tab w:val="left" w:pos="3306"/>
              </w:tabs>
              <w:spacing w:before="20"/>
              <w:jc w:val="center"/>
              <w:rPr>
                <w:rFonts w:cs="Calibri"/>
              </w:rPr>
            </w:pPr>
            <w:r w:rsidRPr="00D12A36">
              <w:rPr>
                <w:rFonts w:cs="Calibri"/>
              </w:rPr>
              <w:t>34</w:t>
            </w:r>
          </w:p>
        </w:tc>
        <w:tc>
          <w:tcPr>
            <w:tcW w:w="1260" w:type="dxa"/>
            <w:vAlign w:val="bottom"/>
          </w:tcPr>
          <w:p w14:paraId="1B2AEF68"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92F25C6"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00C8F13A" w14:textId="77777777" w:rsidR="006B5DF1" w:rsidRPr="00D12A36" w:rsidRDefault="006B5DF1" w:rsidP="008238E7">
            <w:pPr>
              <w:pStyle w:val="TableText"/>
              <w:tabs>
                <w:tab w:val="left" w:pos="3306"/>
              </w:tabs>
              <w:spacing w:before="20"/>
              <w:jc w:val="right"/>
              <w:rPr>
                <w:rFonts w:cs="Calibri"/>
              </w:rPr>
            </w:pPr>
          </w:p>
        </w:tc>
      </w:tr>
      <w:tr w:rsidR="006B5DF1" w:rsidRPr="007E0503" w14:paraId="5C64BDF7" w14:textId="77777777" w:rsidTr="00C736E0">
        <w:tc>
          <w:tcPr>
            <w:tcW w:w="1537" w:type="dxa"/>
            <w:tcBorders>
              <w:left w:val="single" w:sz="2" w:space="0" w:color="auto"/>
              <w:right w:val="single" w:sz="2" w:space="0" w:color="auto"/>
            </w:tcBorders>
          </w:tcPr>
          <w:p w14:paraId="676E22A4"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101.54(a)</w:t>
            </w:r>
          </w:p>
        </w:tc>
        <w:tc>
          <w:tcPr>
            <w:tcW w:w="3296" w:type="dxa"/>
            <w:tcBorders>
              <w:left w:val="single" w:sz="2" w:space="0" w:color="auto"/>
            </w:tcBorders>
            <w:vAlign w:val="bottom"/>
          </w:tcPr>
          <w:p w14:paraId="0733D1E9" w14:textId="0E2160FE" w:rsidR="006B5DF1" w:rsidRPr="00D12A36" w:rsidRDefault="006B5DF1" w:rsidP="008238E7">
            <w:pPr>
              <w:pStyle w:val="TableText"/>
              <w:tabs>
                <w:tab w:val="left" w:pos="3306"/>
              </w:tabs>
              <w:spacing w:before="20"/>
              <w:rPr>
                <w:rFonts w:cs="Calibri"/>
                <w:b/>
                <w:bCs/>
              </w:rPr>
            </w:pPr>
            <w:r w:rsidRPr="00D12A36">
              <w:rPr>
                <w:rFonts w:cs="Calibri"/>
              </w:rPr>
              <w:t>Property, Plant and Equipment</w:t>
            </w:r>
          </w:p>
        </w:tc>
        <w:tc>
          <w:tcPr>
            <w:tcW w:w="1660" w:type="dxa"/>
          </w:tcPr>
          <w:p w14:paraId="6A08936F" w14:textId="7A6815B6" w:rsidR="006B5DF1" w:rsidRPr="00D12A36" w:rsidRDefault="006B5DF1" w:rsidP="008238E7">
            <w:pPr>
              <w:pStyle w:val="TableText"/>
              <w:tabs>
                <w:tab w:val="left" w:pos="3306"/>
              </w:tabs>
              <w:spacing w:before="20"/>
              <w:jc w:val="center"/>
              <w:rPr>
                <w:rFonts w:cs="Calibri"/>
              </w:rPr>
            </w:pPr>
            <w:r w:rsidRPr="00D12A36">
              <w:rPr>
                <w:rFonts w:cs="Calibri"/>
              </w:rPr>
              <w:t>19</w:t>
            </w:r>
          </w:p>
        </w:tc>
        <w:tc>
          <w:tcPr>
            <w:tcW w:w="1260" w:type="dxa"/>
            <w:vAlign w:val="bottom"/>
          </w:tcPr>
          <w:p w14:paraId="660D0794"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1CE89514"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21ABF1B7" w14:textId="77777777" w:rsidR="006B5DF1" w:rsidRPr="00D12A36" w:rsidRDefault="006B5DF1" w:rsidP="008238E7">
            <w:pPr>
              <w:pStyle w:val="TableText"/>
              <w:tabs>
                <w:tab w:val="left" w:pos="3306"/>
              </w:tabs>
              <w:spacing w:before="20"/>
              <w:jc w:val="right"/>
              <w:rPr>
                <w:rFonts w:cs="Calibri"/>
              </w:rPr>
            </w:pPr>
          </w:p>
        </w:tc>
      </w:tr>
      <w:tr w:rsidR="006B5DF1" w:rsidRPr="007E0503" w14:paraId="45F8650D" w14:textId="77777777" w:rsidTr="00C736E0">
        <w:tc>
          <w:tcPr>
            <w:tcW w:w="1537" w:type="dxa"/>
            <w:tcBorders>
              <w:left w:val="single" w:sz="2" w:space="0" w:color="auto"/>
              <w:right w:val="single" w:sz="2" w:space="0" w:color="auto"/>
            </w:tcBorders>
          </w:tcPr>
          <w:p w14:paraId="1FD88752"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101.54(b)</w:t>
            </w:r>
          </w:p>
        </w:tc>
        <w:tc>
          <w:tcPr>
            <w:tcW w:w="3296" w:type="dxa"/>
            <w:tcBorders>
              <w:left w:val="single" w:sz="2" w:space="0" w:color="auto"/>
            </w:tcBorders>
            <w:vAlign w:val="bottom"/>
          </w:tcPr>
          <w:p w14:paraId="50CC1F6B" w14:textId="77777777" w:rsidR="006B5DF1" w:rsidRPr="00D12A36" w:rsidRDefault="006B5DF1" w:rsidP="008238E7">
            <w:pPr>
              <w:pStyle w:val="TableText"/>
              <w:tabs>
                <w:tab w:val="left" w:pos="3306"/>
              </w:tabs>
              <w:spacing w:before="20"/>
              <w:rPr>
                <w:rFonts w:cs="Calibri"/>
              </w:rPr>
            </w:pPr>
            <w:r w:rsidRPr="00D12A36">
              <w:rPr>
                <w:rFonts w:cs="Calibri"/>
              </w:rPr>
              <w:t>Investment Properties</w:t>
            </w:r>
          </w:p>
        </w:tc>
        <w:tc>
          <w:tcPr>
            <w:tcW w:w="1660" w:type="dxa"/>
            <w:vAlign w:val="bottom"/>
          </w:tcPr>
          <w:p w14:paraId="41DE226A" w14:textId="10A8AE81" w:rsidR="006B5DF1" w:rsidRPr="00D12A36" w:rsidRDefault="006B5DF1" w:rsidP="008238E7">
            <w:pPr>
              <w:pStyle w:val="TableText"/>
              <w:tabs>
                <w:tab w:val="left" w:pos="3306"/>
              </w:tabs>
              <w:spacing w:before="20"/>
              <w:jc w:val="center"/>
              <w:rPr>
                <w:rFonts w:cs="Calibri"/>
              </w:rPr>
            </w:pPr>
            <w:r w:rsidRPr="00D12A36">
              <w:rPr>
                <w:rFonts w:cs="Calibri"/>
              </w:rPr>
              <w:t>20</w:t>
            </w:r>
          </w:p>
        </w:tc>
        <w:tc>
          <w:tcPr>
            <w:tcW w:w="1260" w:type="dxa"/>
            <w:vAlign w:val="bottom"/>
          </w:tcPr>
          <w:p w14:paraId="01DB0E7C"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4BC75395"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38DE5F3C" w14:textId="77777777" w:rsidR="006B5DF1" w:rsidRPr="00D12A36" w:rsidRDefault="006B5DF1" w:rsidP="008238E7">
            <w:pPr>
              <w:pStyle w:val="TableText"/>
              <w:tabs>
                <w:tab w:val="left" w:pos="3306"/>
              </w:tabs>
              <w:spacing w:before="20"/>
              <w:jc w:val="right"/>
              <w:rPr>
                <w:rFonts w:cs="Calibri"/>
              </w:rPr>
            </w:pPr>
          </w:p>
        </w:tc>
      </w:tr>
      <w:tr w:rsidR="006B5DF1" w:rsidRPr="007E0503" w14:paraId="694ACE16" w14:textId="77777777" w:rsidTr="00C736E0">
        <w:tc>
          <w:tcPr>
            <w:tcW w:w="1537" w:type="dxa"/>
            <w:tcBorders>
              <w:left w:val="single" w:sz="2" w:space="0" w:color="auto"/>
              <w:right w:val="single" w:sz="2" w:space="0" w:color="auto"/>
            </w:tcBorders>
          </w:tcPr>
          <w:p w14:paraId="65497EE9"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101.54(c)</w:t>
            </w:r>
          </w:p>
        </w:tc>
        <w:tc>
          <w:tcPr>
            <w:tcW w:w="3296" w:type="dxa"/>
            <w:tcBorders>
              <w:left w:val="single" w:sz="2" w:space="0" w:color="auto"/>
            </w:tcBorders>
            <w:vAlign w:val="bottom"/>
          </w:tcPr>
          <w:p w14:paraId="4F968CA8" w14:textId="23B2697B" w:rsidR="006B5DF1" w:rsidRPr="00D12A36" w:rsidRDefault="006B5DF1" w:rsidP="008238E7">
            <w:pPr>
              <w:pStyle w:val="TableText"/>
              <w:tabs>
                <w:tab w:val="left" w:pos="3306"/>
              </w:tabs>
              <w:spacing w:before="20"/>
              <w:rPr>
                <w:rFonts w:cs="Calibri"/>
                <w:b/>
                <w:bCs/>
              </w:rPr>
            </w:pPr>
            <w:r w:rsidRPr="00D12A36">
              <w:rPr>
                <w:rFonts w:cs="Calibri"/>
              </w:rPr>
              <w:t>Intangible Assets</w:t>
            </w:r>
          </w:p>
        </w:tc>
        <w:tc>
          <w:tcPr>
            <w:tcW w:w="1660" w:type="dxa"/>
            <w:vAlign w:val="bottom"/>
          </w:tcPr>
          <w:p w14:paraId="5D9EE4F7" w14:textId="2546879E" w:rsidR="006B5DF1" w:rsidRPr="00D12A36" w:rsidRDefault="006B5DF1" w:rsidP="008238E7">
            <w:pPr>
              <w:pStyle w:val="TableText"/>
              <w:tabs>
                <w:tab w:val="left" w:pos="3306"/>
              </w:tabs>
              <w:spacing w:before="20"/>
              <w:jc w:val="center"/>
              <w:rPr>
                <w:rFonts w:cs="Calibri"/>
              </w:rPr>
            </w:pPr>
            <w:r w:rsidRPr="00D12A36">
              <w:rPr>
                <w:rFonts w:cs="Calibri"/>
              </w:rPr>
              <w:t>21</w:t>
            </w:r>
          </w:p>
        </w:tc>
        <w:tc>
          <w:tcPr>
            <w:tcW w:w="1260" w:type="dxa"/>
            <w:vAlign w:val="bottom"/>
          </w:tcPr>
          <w:p w14:paraId="33C2D310"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5427E5E7"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19ABA7A3" w14:textId="77777777" w:rsidR="006B5DF1" w:rsidRPr="00D12A36" w:rsidRDefault="006B5DF1" w:rsidP="008238E7">
            <w:pPr>
              <w:pStyle w:val="TableText"/>
              <w:tabs>
                <w:tab w:val="left" w:pos="3306"/>
              </w:tabs>
              <w:spacing w:before="20"/>
              <w:jc w:val="right"/>
              <w:rPr>
                <w:rFonts w:cs="Calibri"/>
              </w:rPr>
            </w:pPr>
          </w:p>
        </w:tc>
      </w:tr>
      <w:tr w:rsidR="006B5DF1" w:rsidRPr="007E0503" w14:paraId="1D97B0EE" w14:textId="77777777" w:rsidTr="00C736E0">
        <w:tc>
          <w:tcPr>
            <w:tcW w:w="1537" w:type="dxa"/>
            <w:tcBorders>
              <w:left w:val="single" w:sz="2" w:space="0" w:color="auto"/>
              <w:right w:val="single" w:sz="2" w:space="0" w:color="auto"/>
            </w:tcBorders>
          </w:tcPr>
          <w:p w14:paraId="75D112D5"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70CC6458" w14:textId="77777777" w:rsidR="006B5DF1" w:rsidRPr="00D12A36" w:rsidRDefault="006B5DF1" w:rsidP="008238E7">
            <w:pPr>
              <w:pStyle w:val="TableText"/>
              <w:tabs>
                <w:tab w:val="left" w:pos="3306"/>
              </w:tabs>
              <w:spacing w:before="20"/>
              <w:rPr>
                <w:rFonts w:cs="Calibri"/>
                <w:b/>
                <w:bCs/>
              </w:rPr>
            </w:pPr>
            <w:r w:rsidRPr="00D12A36">
              <w:rPr>
                <w:rFonts w:cs="Calibri"/>
              </w:rPr>
              <w:t>Capital Works in Progress</w:t>
            </w:r>
          </w:p>
        </w:tc>
        <w:tc>
          <w:tcPr>
            <w:tcW w:w="1660" w:type="dxa"/>
            <w:vAlign w:val="bottom"/>
          </w:tcPr>
          <w:p w14:paraId="6C32849E" w14:textId="6E23115C" w:rsidR="006B5DF1" w:rsidRPr="00D12A36" w:rsidRDefault="006B5DF1" w:rsidP="008238E7">
            <w:pPr>
              <w:pStyle w:val="TableText"/>
              <w:tabs>
                <w:tab w:val="left" w:pos="3306"/>
              </w:tabs>
              <w:spacing w:before="20"/>
              <w:jc w:val="center"/>
              <w:rPr>
                <w:rFonts w:cs="Calibri"/>
              </w:rPr>
            </w:pPr>
            <w:r w:rsidRPr="00D12A36">
              <w:rPr>
                <w:rFonts w:cs="Calibri"/>
              </w:rPr>
              <w:t>22</w:t>
            </w:r>
          </w:p>
        </w:tc>
        <w:tc>
          <w:tcPr>
            <w:tcW w:w="1260" w:type="dxa"/>
            <w:vAlign w:val="bottom"/>
          </w:tcPr>
          <w:p w14:paraId="69169CF4" w14:textId="77777777" w:rsidR="006B5DF1" w:rsidRPr="00D12A36" w:rsidRDefault="006B5DF1" w:rsidP="008238E7">
            <w:pPr>
              <w:pStyle w:val="TableText"/>
              <w:tabs>
                <w:tab w:val="left" w:pos="3306"/>
              </w:tabs>
              <w:spacing w:before="20"/>
              <w:jc w:val="right"/>
              <w:rPr>
                <w:rFonts w:cs="Calibri"/>
              </w:rPr>
            </w:pPr>
          </w:p>
        </w:tc>
        <w:tc>
          <w:tcPr>
            <w:tcW w:w="1395" w:type="dxa"/>
            <w:vAlign w:val="bottom"/>
          </w:tcPr>
          <w:p w14:paraId="23902AB6" w14:textId="77777777" w:rsidR="006B5DF1" w:rsidRPr="00D12A36" w:rsidRDefault="006B5DF1" w:rsidP="008238E7">
            <w:pPr>
              <w:pStyle w:val="TableText"/>
              <w:tabs>
                <w:tab w:val="left" w:pos="3306"/>
              </w:tabs>
              <w:spacing w:before="20"/>
              <w:jc w:val="right"/>
              <w:rPr>
                <w:rFonts w:cs="Calibri"/>
              </w:rPr>
            </w:pPr>
          </w:p>
        </w:tc>
        <w:tc>
          <w:tcPr>
            <w:tcW w:w="1396" w:type="dxa"/>
            <w:vAlign w:val="bottom"/>
          </w:tcPr>
          <w:p w14:paraId="6CC35B6F" w14:textId="77777777" w:rsidR="006B5DF1" w:rsidRPr="00D12A36" w:rsidRDefault="006B5DF1" w:rsidP="008238E7">
            <w:pPr>
              <w:pStyle w:val="TableText"/>
              <w:tabs>
                <w:tab w:val="left" w:pos="3306"/>
              </w:tabs>
              <w:spacing w:before="20"/>
              <w:jc w:val="right"/>
              <w:rPr>
                <w:rFonts w:cs="Calibri"/>
              </w:rPr>
            </w:pPr>
          </w:p>
        </w:tc>
      </w:tr>
      <w:tr w:rsidR="006B5DF1" w:rsidRPr="007E0503" w14:paraId="1C41BF41" w14:textId="77777777" w:rsidTr="00C736E0">
        <w:trPr>
          <w:trHeight w:val="261"/>
        </w:trPr>
        <w:tc>
          <w:tcPr>
            <w:tcW w:w="1537" w:type="dxa"/>
            <w:tcBorders>
              <w:left w:val="single" w:sz="2" w:space="0" w:color="auto"/>
              <w:right w:val="single" w:sz="2" w:space="0" w:color="auto"/>
            </w:tcBorders>
          </w:tcPr>
          <w:p w14:paraId="5F6B5AD3" w14:textId="77777777" w:rsidR="006B5DF1" w:rsidRPr="008238E7" w:rsidRDefault="006B5DF1" w:rsidP="008238E7">
            <w:pPr>
              <w:pStyle w:val="TableReference"/>
              <w:tabs>
                <w:tab w:val="left" w:pos="3306"/>
              </w:tabs>
              <w:spacing w:before="4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4882B9E" w14:textId="77777777" w:rsidR="006B5DF1" w:rsidRPr="00D12A36" w:rsidRDefault="006B5DF1" w:rsidP="008238E7">
            <w:pPr>
              <w:pStyle w:val="TableText"/>
              <w:tabs>
                <w:tab w:val="left" w:pos="3306"/>
              </w:tabs>
              <w:spacing w:before="20"/>
              <w:rPr>
                <w:rFonts w:cs="Calibri"/>
                <w:b/>
                <w:bCs/>
              </w:rPr>
            </w:pPr>
            <w:r w:rsidRPr="00D12A36">
              <w:rPr>
                <w:rFonts w:cs="Calibri"/>
              </w:rPr>
              <w:t>Other Assets</w:t>
            </w:r>
          </w:p>
        </w:tc>
        <w:tc>
          <w:tcPr>
            <w:tcW w:w="1660" w:type="dxa"/>
            <w:vAlign w:val="bottom"/>
          </w:tcPr>
          <w:p w14:paraId="66FE1381" w14:textId="7A8BC147" w:rsidR="006B5DF1" w:rsidRPr="00D12A36" w:rsidRDefault="006B5DF1" w:rsidP="008238E7">
            <w:pPr>
              <w:pStyle w:val="TableText"/>
              <w:tabs>
                <w:tab w:val="left" w:pos="3306"/>
              </w:tabs>
              <w:spacing w:before="20"/>
              <w:jc w:val="center"/>
              <w:rPr>
                <w:rFonts w:cs="Calibri"/>
              </w:rPr>
            </w:pPr>
            <w:r w:rsidRPr="00D12A36">
              <w:rPr>
                <w:rFonts w:cs="Calibri"/>
              </w:rPr>
              <w:t>23</w:t>
            </w:r>
          </w:p>
        </w:tc>
        <w:tc>
          <w:tcPr>
            <w:tcW w:w="1260" w:type="dxa"/>
            <w:tcBorders>
              <w:bottom w:val="single" w:sz="2" w:space="0" w:color="auto"/>
            </w:tcBorders>
            <w:vAlign w:val="bottom"/>
          </w:tcPr>
          <w:p w14:paraId="3C3F242A" w14:textId="77777777" w:rsidR="006B5DF1" w:rsidRPr="00D12A36" w:rsidRDefault="006B5DF1" w:rsidP="008238E7">
            <w:pPr>
              <w:pStyle w:val="TableText"/>
              <w:tabs>
                <w:tab w:val="left" w:pos="3306"/>
              </w:tabs>
              <w:spacing w:before="20"/>
              <w:jc w:val="right"/>
              <w:rPr>
                <w:rFonts w:cs="Calibri"/>
              </w:rPr>
            </w:pPr>
          </w:p>
        </w:tc>
        <w:tc>
          <w:tcPr>
            <w:tcW w:w="1395" w:type="dxa"/>
            <w:tcBorders>
              <w:bottom w:val="single" w:sz="2" w:space="0" w:color="auto"/>
            </w:tcBorders>
            <w:vAlign w:val="bottom"/>
          </w:tcPr>
          <w:p w14:paraId="5D5B331A" w14:textId="77777777" w:rsidR="006B5DF1" w:rsidRPr="00D12A36" w:rsidRDefault="006B5DF1" w:rsidP="008238E7">
            <w:pPr>
              <w:pStyle w:val="TableText"/>
              <w:tabs>
                <w:tab w:val="left" w:pos="3306"/>
              </w:tabs>
              <w:spacing w:before="20"/>
              <w:jc w:val="right"/>
              <w:rPr>
                <w:rFonts w:cs="Calibri"/>
              </w:rPr>
            </w:pPr>
          </w:p>
        </w:tc>
        <w:tc>
          <w:tcPr>
            <w:tcW w:w="1396" w:type="dxa"/>
            <w:tcBorders>
              <w:bottom w:val="single" w:sz="2" w:space="0" w:color="auto"/>
            </w:tcBorders>
            <w:vAlign w:val="bottom"/>
          </w:tcPr>
          <w:p w14:paraId="0EC4501A" w14:textId="77777777" w:rsidR="006B5DF1" w:rsidRPr="00D12A36" w:rsidRDefault="006B5DF1" w:rsidP="008238E7">
            <w:pPr>
              <w:pStyle w:val="TableText"/>
              <w:tabs>
                <w:tab w:val="left" w:pos="3306"/>
              </w:tabs>
              <w:spacing w:before="20"/>
              <w:jc w:val="right"/>
              <w:rPr>
                <w:rFonts w:cs="Calibri"/>
              </w:rPr>
            </w:pPr>
          </w:p>
        </w:tc>
      </w:tr>
      <w:tr w:rsidR="006B5DF1" w:rsidRPr="007E0503" w14:paraId="78C8711E" w14:textId="77777777" w:rsidTr="00C736E0">
        <w:tc>
          <w:tcPr>
            <w:tcW w:w="1537" w:type="dxa"/>
            <w:tcBorders>
              <w:left w:val="single" w:sz="2" w:space="0" w:color="auto"/>
              <w:right w:val="single" w:sz="2" w:space="0" w:color="auto"/>
            </w:tcBorders>
          </w:tcPr>
          <w:p w14:paraId="2152D0DF"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0123AD98" w14:textId="77777777" w:rsidR="006B5DF1" w:rsidRPr="00D12A36" w:rsidRDefault="006B5DF1" w:rsidP="006B5DF1">
            <w:pPr>
              <w:pStyle w:val="TableText"/>
              <w:tabs>
                <w:tab w:val="left" w:pos="3306"/>
              </w:tabs>
              <w:rPr>
                <w:rFonts w:cs="Calibri"/>
                <w:b/>
                <w:bCs/>
              </w:rPr>
            </w:pPr>
            <w:r w:rsidRPr="00D12A36">
              <w:rPr>
                <w:rFonts w:cs="Calibri"/>
                <w:b/>
                <w:bCs/>
              </w:rPr>
              <w:t xml:space="preserve">Total Non-Current Assets </w:t>
            </w:r>
          </w:p>
        </w:tc>
        <w:tc>
          <w:tcPr>
            <w:tcW w:w="1660" w:type="dxa"/>
            <w:vAlign w:val="bottom"/>
          </w:tcPr>
          <w:p w14:paraId="50C744A2" w14:textId="77777777" w:rsidR="006B5DF1" w:rsidRPr="00D12A36" w:rsidRDefault="006B5DF1" w:rsidP="006B5DF1">
            <w:pPr>
              <w:pStyle w:val="TableText"/>
              <w:tabs>
                <w:tab w:val="left" w:pos="3306"/>
              </w:tabs>
              <w:jc w:val="center"/>
              <w:rPr>
                <w:rFonts w:cs="Calibri"/>
                <w:b/>
                <w:bCs/>
              </w:rPr>
            </w:pPr>
          </w:p>
        </w:tc>
        <w:tc>
          <w:tcPr>
            <w:tcW w:w="1260" w:type="dxa"/>
            <w:tcBorders>
              <w:top w:val="single" w:sz="2" w:space="0" w:color="auto"/>
              <w:bottom w:val="single" w:sz="2" w:space="0" w:color="auto"/>
            </w:tcBorders>
            <w:vAlign w:val="bottom"/>
          </w:tcPr>
          <w:p w14:paraId="07A0DF56"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single" w:sz="2" w:space="0" w:color="auto"/>
            </w:tcBorders>
            <w:vAlign w:val="bottom"/>
          </w:tcPr>
          <w:p w14:paraId="41A49513"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61F7C188" w14:textId="77777777" w:rsidR="006B5DF1" w:rsidRPr="00D12A36" w:rsidRDefault="006B5DF1" w:rsidP="006B5DF1">
            <w:pPr>
              <w:pStyle w:val="TableText"/>
              <w:tabs>
                <w:tab w:val="left" w:pos="3306"/>
              </w:tabs>
              <w:jc w:val="right"/>
              <w:rPr>
                <w:rFonts w:cs="Calibri"/>
                <w:b/>
                <w:bCs/>
              </w:rPr>
            </w:pPr>
          </w:p>
        </w:tc>
      </w:tr>
      <w:tr w:rsidR="006B5DF1" w:rsidRPr="007E0503" w14:paraId="353BA3DC" w14:textId="77777777" w:rsidTr="00C736E0">
        <w:tc>
          <w:tcPr>
            <w:tcW w:w="1537" w:type="dxa"/>
            <w:tcBorders>
              <w:left w:val="single" w:sz="2" w:space="0" w:color="auto"/>
              <w:right w:val="single" w:sz="2" w:space="0" w:color="auto"/>
            </w:tcBorders>
          </w:tcPr>
          <w:p w14:paraId="3CA88F9F"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299AAD31" w14:textId="77777777" w:rsidR="006B5DF1" w:rsidRPr="00D12A36" w:rsidRDefault="006B5DF1" w:rsidP="006B5DF1">
            <w:pPr>
              <w:pStyle w:val="TableText"/>
              <w:tabs>
                <w:tab w:val="left" w:pos="3306"/>
              </w:tabs>
              <w:rPr>
                <w:rFonts w:cs="Calibri"/>
                <w:b/>
                <w:bCs/>
              </w:rPr>
            </w:pPr>
            <w:bookmarkStart w:id="147" w:name="_Toc48468219"/>
            <w:bookmarkStart w:id="148" w:name="_Toc49155411"/>
            <w:bookmarkStart w:id="149" w:name="_Toc49223859"/>
            <w:r w:rsidRPr="00D12A36">
              <w:rPr>
                <w:rFonts w:cs="Calibri"/>
                <w:b/>
                <w:bCs/>
              </w:rPr>
              <w:t>Total Assets</w:t>
            </w:r>
            <w:bookmarkEnd w:id="147"/>
            <w:bookmarkEnd w:id="148"/>
            <w:bookmarkEnd w:id="149"/>
            <w:r w:rsidRPr="00D12A36">
              <w:rPr>
                <w:rFonts w:cs="Calibri"/>
                <w:b/>
                <w:bCs/>
              </w:rPr>
              <w:t xml:space="preserve"> </w:t>
            </w:r>
          </w:p>
        </w:tc>
        <w:tc>
          <w:tcPr>
            <w:tcW w:w="1660" w:type="dxa"/>
            <w:vAlign w:val="bottom"/>
          </w:tcPr>
          <w:p w14:paraId="2DF2EFE4" w14:textId="77777777" w:rsidR="006B5DF1" w:rsidRPr="00D12A36" w:rsidRDefault="006B5DF1" w:rsidP="006B5DF1">
            <w:pPr>
              <w:pStyle w:val="TableText"/>
              <w:tabs>
                <w:tab w:val="left" w:pos="3306"/>
              </w:tabs>
              <w:jc w:val="center"/>
              <w:rPr>
                <w:rFonts w:cs="Calibri"/>
                <w:b/>
                <w:bCs/>
              </w:rPr>
            </w:pPr>
          </w:p>
        </w:tc>
        <w:tc>
          <w:tcPr>
            <w:tcW w:w="1260" w:type="dxa"/>
            <w:tcBorders>
              <w:top w:val="single" w:sz="2" w:space="0" w:color="auto"/>
              <w:bottom w:val="single" w:sz="2" w:space="0" w:color="auto"/>
            </w:tcBorders>
            <w:vAlign w:val="bottom"/>
          </w:tcPr>
          <w:p w14:paraId="5BE9D56B"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single" w:sz="2" w:space="0" w:color="auto"/>
            </w:tcBorders>
            <w:vAlign w:val="bottom"/>
          </w:tcPr>
          <w:p w14:paraId="34AD50AC"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77FCB86A" w14:textId="77777777" w:rsidR="006B5DF1" w:rsidRPr="00D12A36" w:rsidRDefault="006B5DF1" w:rsidP="006B5DF1">
            <w:pPr>
              <w:pStyle w:val="TableText"/>
              <w:tabs>
                <w:tab w:val="left" w:pos="3306"/>
              </w:tabs>
              <w:jc w:val="right"/>
              <w:rPr>
                <w:rFonts w:cs="Calibri"/>
                <w:b/>
                <w:bCs/>
              </w:rPr>
            </w:pPr>
          </w:p>
        </w:tc>
      </w:tr>
      <w:tr w:rsidR="006B5DF1" w:rsidRPr="007E0503" w14:paraId="2FF12EA3" w14:textId="77777777" w:rsidTr="00C736E0">
        <w:tc>
          <w:tcPr>
            <w:tcW w:w="1537" w:type="dxa"/>
            <w:tcBorders>
              <w:left w:val="single" w:sz="2" w:space="0" w:color="auto"/>
              <w:right w:val="single" w:sz="2" w:space="0" w:color="auto"/>
            </w:tcBorders>
          </w:tcPr>
          <w:p w14:paraId="4C09F162" w14:textId="77777777" w:rsidR="006B5DF1" w:rsidRPr="008238E7" w:rsidRDefault="006B5DF1" w:rsidP="00851F40">
            <w:pPr>
              <w:pStyle w:val="TableReference"/>
              <w:tabs>
                <w:tab w:val="left" w:pos="3306"/>
              </w:tabs>
              <w:spacing w:before="160"/>
              <w:rPr>
                <w:rFonts w:cs="Calibri"/>
                <w:strike/>
                <w:color w:val="7030A0"/>
                <w:sz w:val="14"/>
              </w:rPr>
            </w:pPr>
            <w:r w:rsidRPr="008238E7">
              <w:rPr>
                <w:rFonts w:cs="Calibri"/>
                <w:color w:val="7030A0"/>
                <w:sz w:val="14"/>
              </w:rPr>
              <w:t>AASB 101.60</w:t>
            </w:r>
          </w:p>
        </w:tc>
        <w:tc>
          <w:tcPr>
            <w:tcW w:w="3296" w:type="dxa"/>
            <w:tcBorders>
              <w:left w:val="single" w:sz="2" w:space="0" w:color="auto"/>
            </w:tcBorders>
            <w:vAlign w:val="bottom"/>
          </w:tcPr>
          <w:p w14:paraId="347E1ADD" w14:textId="77777777" w:rsidR="006B5DF1" w:rsidRPr="00D12A36" w:rsidRDefault="006B5DF1" w:rsidP="00851F40">
            <w:pPr>
              <w:pStyle w:val="TableText"/>
              <w:tabs>
                <w:tab w:val="left" w:pos="3306"/>
              </w:tabs>
              <w:spacing w:before="120"/>
              <w:rPr>
                <w:rFonts w:cs="Calibri"/>
                <w:b/>
                <w:bCs/>
              </w:rPr>
            </w:pPr>
            <w:bookmarkStart w:id="150" w:name="_Toc48468220"/>
            <w:bookmarkStart w:id="151" w:name="_Toc49155412"/>
            <w:bookmarkStart w:id="152" w:name="_Toc49223860"/>
            <w:r w:rsidRPr="00D12A36">
              <w:rPr>
                <w:rFonts w:cs="Calibri"/>
                <w:b/>
                <w:bCs/>
              </w:rPr>
              <w:t>Current Liabilities</w:t>
            </w:r>
            <w:bookmarkEnd w:id="150"/>
            <w:bookmarkEnd w:id="151"/>
            <w:bookmarkEnd w:id="152"/>
          </w:p>
        </w:tc>
        <w:tc>
          <w:tcPr>
            <w:tcW w:w="1660" w:type="dxa"/>
            <w:vAlign w:val="bottom"/>
          </w:tcPr>
          <w:p w14:paraId="64D95717" w14:textId="77777777" w:rsidR="006B5DF1" w:rsidRPr="00D12A36" w:rsidRDefault="006B5DF1" w:rsidP="006B5DF1">
            <w:pPr>
              <w:pStyle w:val="TableText"/>
              <w:tabs>
                <w:tab w:val="left" w:pos="3306"/>
              </w:tabs>
              <w:jc w:val="center"/>
              <w:rPr>
                <w:rFonts w:cs="Calibri"/>
                <w:b/>
                <w:bCs/>
              </w:rPr>
            </w:pPr>
          </w:p>
        </w:tc>
        <w:tc>
          <w:tcPr>
            <w:tcW w:w="1260" w:type="dxa"/>
            <w:tcBorders>
              <w:top w:val="single" w:sz="2" w:space="0" w:color="auto"/>
            </w:tcBorders>
            <w:vAlign w:val="bottom"/>
          </w:tcPr>
          <w:p w14:paraId="00EF0026" w14:textId="77777777" w:rsidR="006B5DF1" w:rsidRPr="00D12A36" w:rsidRDefault="006B5DF1" w:rsidP="006B5DF1">
            <w:pPr>
              <w:pStyle w:val="TableText"/>
              <w:tabs>
                <w:tab w:val="left" w:pos="3306"/>
              </w:tabs>
              <w:jc w:val="right"/>
              <w:rPr>
                <w:rFonts w:cs="Calibri"/>
              </w:rPr>
            </w:pPr>
          </w:p>
        </w:tc>
        <w:tc>
          <w:tcPr>
            <w:tcW w:w="1395" w:type="dxa"/>
            <w:tcBorders>
              <w:top w:val="single" w:sz="2" w:space="0" w:color="auto"/>
            </w:tcBorders>
            <w:vAlign w:val="bottom"/>
          </w:tcPr>
          <w:p w14:paraId="6BE56FC5" w14:textId="77777777" w:rsidR="006B5DF1" w:rsidRPr="00D12A36" w:rsidRDefault="006B5DF1" w:rsidP="006B5DF1">
            <w:pPr>
              <w:pStyle w:val="TableText"/>
              <w:tabs>
                <w:tab w:val="left" w:pos="3306"/>
              </w:tabs>
              <w:jc w:val="right"/>
              <w:rPr>
                <w:rFonts w:cs="Calibri"/>
              </w:rPr>
            </w:pPr>
          </w:p>
        </w:tc>
        <w:tc>
          <w:tcPr>
            <w:tcW w:w="1396" w:type="dxa"/>
            <w:tcBorders>
              <w:top w:val="single" w:sz="2" w:space="0" w:color="auto"/>
            </w:tcBorders>
            <w:vAlign w:val="bottom"/>
          </w:tcPr>
          <w:p w14:paraId="5BFDBAB9" w14:textId="77777777" w:rsidR="006B5DF1" w:rsidRPr="00D12A36" w:rsidRDefault="006B5DF1" w:rsidP="006B5DF1">
            <w:pPr>
              <w:pStyle w:val="TableText"/>
              <w:tabs>
                <w:tab w:val="left" w:pos="3306"/>
              </w:tabs>
              <w:jc w:val="right"/>
              <w:rPr>
                <w:rFonts w:cs="Calibri"/>
                <w:b/>
                <w:bCs/>
              </w:rPr>
            </w:pPr>
          </w:p>
        </w:tc>
      </w:tr>
      <w:tr w:rsidR="006B5DF1" w:rsidRPr="007E0503" w14:paraId="2CFD618D" w14:textId="77777777" w:rsidTr="00C736E0">
        <w:tc>
          <w:tcPr>
            <w:tcW w:w="1537" w:type="dxa"/>
            <w:tcBorders>
              <w:left w:val="single" w:sz="2" w:space="0" w:color="auto"/>
              <w:right w:val="single" w:sz="2" w:space="0" w:color="auto"/>
            </w:tcBorders>
          </w:tcPr>
          <w:p w14:paraId="5296FE7A"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 xml:space="preserve">AASB 101.54(k) </w:t>
            </w:r>
          </w:p>
        </w:tc>
        <w:tc>
          <w:tcPr>
            <w:tcW w:w="3296" w:type="dxa"/>
            <w:tcBorders>
              <w:left w:val="single" w:sz="2" w:space="0" w:color="auto"/>
            </w:tcBorders>
            <w:vAlign w:val="bottom"/>
          </w:tcPr>
          <w:p w14:paraId="05AD714E" w14:textId="77777777" w:rsidR="006B5DF1" w:rsidRPr="00D12A36" w:rsidRDefault="006B5DF1" w:rsidP="00D12A36">
            <w:pPr>
              <w:pStyle w:val="TableText"/>
              <w:tabs>
                <w:tab w:val="left" w:pos="3306"/>
              </w:tabs>
              <w:spacing w:before="20"/>
              <w:rPr>
                <w:rFonts w:cs="Calibri"/>
                <w:b/>
                <w:bCs/>
              </w:rPr>
            </w:pPr>
            <w:r w:rsidRPr="00D12A36">
              <w:rPr>
                <w:rFonts w:cs="Calibri"/>
              </w:rPr>
              <w:t>Payables</w:t>
            </w:r>
          </w:p>
        </w:tc>
        <w:tc>
          <w:tcPr>
            <w:tcW w:w="1660" w:type="dxa"/>
            <w:vAlign w:val="bottom"/>
          </w:tcPr>
          <w:p w14:paraId="69E06EC9" w14:textId="5A4F3979" w:rsidR="006B5DF1" w:rsidRPr="00D12A36" w:rsidRDefault="006B5DF1" w:rsidP="00D12A36">
            <w:pPr>
              <w:pStyle w:val="TableText"/>
              <w:tabs>
                <w:tab w:val="left" w:pos="3306"/>
              </w:tabs>
              <w:spacing w:before="20"/>
              <w:jc w:val="center"/>
              <w:rPr>
                <w:rFonts w:cs="Calibri"/>
              </w:rPr>
            </w:pPr>
            <w:r w:rsidRPr="00D12A36">
              <w:rPr>
                <w:rFonts w:cs="Calibri"/>
              </w:rPr>
              <w:t>24</w:t>
            </w:r>
          </w:p>
        </w:tc>
        <w:tc>
          <w:tcPr>
            <w:tcW w:w="1260" w:type="dxa"/>
            <w:vAlign w:val="bottom"/>
          </w:tcPr>
          <w:p w14:paraId="620710B9"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44198523"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22157A31" w14:textId="77777777" w:rsidR="006B5DF1" w:rsidRPr="00D12A36" w:rsidRDefault="006B5DF1" w:rsidP="00D12A36">
            <w:pPr>
              <w:pStyle w:val="TableText"/>
              <w:tabs>
                <w:tab w:val="left" w:pos="3306"/>
              </w:tabs>
              <w:spacing w:before="20"/>
              <w:jc w:val="right"/>
              <w:rPr>
                <w:rFonts w:cs="Calibri"/>
              </w:rPr>
            </w:pPr>
          </w:p>
        </w:tc>
      </w:tr>
      <w:tr w:rsidR="006B5DF1" w:rsidRPr="007E0503" w14:paraId="737F3DD8" w14:textId="77777777" w:rsidTr="00C736E0">
        <w:tc>
          <w:tcPr>
            <w:tcW w:w="1537" w:type="dxa"/>
            <w:tcBorders>
              <w:left w:val="single" w:sz="2" w:space="0" w:color="auto"/>
              <w:right w:val="single" w:sz="2" w:space="0" w:color="auto"/>
            </w:tcBorders>
          </w:tcPr>
          <w:p w14:paraId="0F94171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F46C863" w14:textId="77777777" w:rsidR="006B5DF1" w:rsidRPr="00D12A36" w:rsidRDefault="006B5DF1" w:rsidP="00D12A36">
            <w:pPr>
              <w:pStyle w:val="TableText"/>
              <w:tabs>
                <w:tab w:val="left" w:pos="3306"/>
              </w:tabs>
              <w:spacing w:before="20"/>
              <w:rPr>
                <w:rFonts w:cs="Calibri"/>
              </w:rPr>
            </w:pPr>
            <w:r w:rsidRPr="00D12A36">
              <w:rPr>
                <w:rFonts w:cs="Calibri"/>
              </w:rPr>
              <w:t>Contract Liabilities</w:t>
            </w:r>
            <w:r w:rsidRPr="00D12A36">
              <w:rPr>
                <w:rFonts w:cs="Calibri"/>
                <w:sz w:val="14"/>
                <w:szCs w:val="14"/>
              </w:rPr>
              <w:t xml:space="preserve"> </w:t>
            </w:r>
          </w:p>
        </w:tc>
        <w:tc>
          <w:tcPr>
            <w:tcW w:w="1660" w:type="dxa"/>
            <w:vAlign w:val="bottom"/>
          </w:tcPr>
          <w:p w14:paraId="1982618C" w14:textId="7F2D4348" w:rsidR="006B5DF1" w:rsidRPr="00D12A36" w:rsidRDefault="006B5DF1" w:rsidP="00D12A36">
            <w:pPr>
              <w:pStyle w:val="TableText"/>
              <w:tabs>
                <w:tab w:val="left" w:pos="3306"/>
              </w:tabs>
              <w:spacing w:before="20"/>
              <w:jc w:val="center"/>
              <w:rPr>
                <w:rFonts w:cs="Calibri"/>
              </w:rPr>
            </w:pPr>
            <w:r w:rsidRPr="00D12A36">
              <w:rPr>
                <w:rFonts w:cs="Calibri"/>
              </w:rPr>
              <w:t>24</w:t>
            </w:r>
          </w:p>
        </w:tc>
        <w:tc>
          <w:tcPr>
            <w:tcW w:w="1260" w:type="dxa"/>
            <w:shd w:val="clear" w:color="auto" w:fill="auto"/>
            <w:vAlign w:val="bottom"/>
          </w:tcPr>
          <w:p w14:paraId="39E4FAB2"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20725968"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5DDC9CFB" w14:textId="77777777" w:rsidR="006B5DF1" w:rsidRPr="00D12A36" w:rsidRDefault="006B5DF1" w:rsidP="00D12A36">
            <w:pPr>
              <w:pStyle w:val="TableText"/>
              <w:tabs>
                <w:tab w:val="left" w:pos="3306"/>
              </w:tabs>
              <w:spacing w:before="20"/>
              <w:jc w:val="right"/>
              <w:rPr>
                <w:rFonts w:cs="Calibri"/>
              </w:rPr>
            </w:pPr>
          </w:p>
        </w:tc>
      </w:tr>
      <w:tr w:rsidR="006B5DF1" w:rsidRPr="007E0503" w14:paraId="06B990BE" w14:textId="77777777" w:rsidTr="00C736E0">
        <w:tc>
          <w:tcPr>
            <w:tcW w:w="1537" w:type="dxa"/>
            <w:tcBorders>
              <w:left w:val="single" w:sz="2" w:space="0" w:color="auto"/>
              <w:right w:val="single" w:sz="2" w:space="0" w:color="auto"/>
            </w:tcBorders>
          </w:tcPr>
          <w:p w14:paraId="7374808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101.54(m)</w:t>
            </w:r>
          </w:p>
        </w:tc>
        <w:tc>
          <w:tcPr>
            <w:tcW w:w="3296" w:type="dxa"/>
            <w:tcBorders>
              <w:left w:val="single" w:sz="2" w:space="0" w:color="auto"/>
            </w:tcBorders>
            <w:vAlign w:val="bottom"/>
          </w:tcPr>
          <w:p w14:paraId="57748F71" w14:textId="090BF00B" w:rsidR="006B5DF1" w:rsidRPr="00D12A36" w:rsidRDefault="007001C1" w:rsidP="00D12A36">
            <w:pPr>
              <w:pStyle w:val="TableText"/>
              <w:tabs>
                <w:tab w:val="left" w:pos="3306"/>
              </w:tabs>
              <w:spacing w:before="20"/>
              <w:rPr>
                <w:rFonts w:cs="Calibri"/>
                <w:b/>
                <w:bCs/>
              </w:rPr>
            </w:pPr>
            <w:r w:rsidRPr="00D12A36">
              <w:rPr>
                <w:rFonts w:cs="Calibri"/>
              </w:rPr>
              <w:t>Borrowings</w:t>
            </w:r>
          </w:p>
        </w:tc>
        <w:tc>
          <w:tcPr>
            <w:tcW w:w="1660" w:type="dxa"/>
            <w:vAlign w:val="bottom"/>
          </w:tcPr>
          <w:p w14:paraId="2DAFC362" w14:textId="3B098B9F" w:rsidR="006B5DF1" w:rsidRPr="00D12A36" w:rsidRDefault="006B5DF1" w:rsidP="00D12A36">
            <w:pPr>
              <w:pStyle w:val="TableText"/>
              <w:tabs>
                <w:tab w:val="left" w:pos="3306"/>
              </w:tabs>
              <w:spacing w:before="20"/>
              <w:jc w:val="center"/>
              <w:rPr>
                <w:rFonts w:cs="Calibri"/>
              </w:rPr>
            </w:pPr>
            <w:r w:rsidRPr="00D12A36">
              <w:rPr>
                <w:rFonts w:cs="Calibri"/>
              </w:rPr>
              <w:t>25</w:t>
            </w:r>
          </w:p>
        </w:tc>
        <w:tc>
          <w:tcPr>
            <w:tcW w:w="1260" w:type="dxa"/>
            <w:shd w:val="clear" w:color="auto" w:fill="auto"/>
            <w:vAlign w:val="bottom"/>
          </w:tcPr>
          <w:p w14:paraId="4AE75E91"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2923C3F5"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5C215B54" w14:textId="77777777" w:rsidR="006B5DF1" w:rsidRPr="00D12A36" w:rsidRDefault="006B5DF1" w:rsidP="00D12A36">
            <w:pPr>
              <w:pStyle w:val="TableText"/>
              <w:tabs>
                <w:tab w:val="left" w:pos="3306"/>
              </w:tabs>
              <w:spacing w:before="20"/>
              <w:jc w:val="right"/>
              <w:rPr>
                <w:rFonts w:cs="Calibri"/>
              </w:rPr>
            </w:pPr>
          </w:p>
        </w:tc>
      </w:tr>
      <w:tr w:rsidR="006B5DF1" w:rsidRPr="007E0503" w14:paraId="071D7487" w14:textId="77777777" w:rsidTr="00C736E0">
        <w:tc>
          <w:tcPr>
            <w:tcW w:w="1537" w:type="dxa"/>
            <w:tcBorders>
              <w:left w:val="single" w:sz="2" w:space="0" w:color="auto"/>
              <w:right w:val="single" w:sz="2" w:space="0" w:color="auto"/>
            </w:tcBorders>
          </w:tcPr>
          <w:p w14:paraId="0BFBE5C1"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16.47(b)</w:t>
            </w:r>
          </w:p>
        </w:tc>
        <w:tc>
          <w:tcPr>
            <w:tcW w:w="3296" w:type="dxa"/>
            <w:tcBorders>
              <w:left w:val="single" w:sz="2" w:space="0" w:color="auto"/>
            </w:tcBorders>
            <w:vAlign w:val="bottom"/>
          </w:tcPr>
          <w:p w14:paraId="59A9DA7A" w14:textId="0DCC348F" w:rsidR="006B5DF1" w:rsidRPr="00D12A36" w:rsidRDefault="006B5DF1" w:rsidP="00D12A36">
            <w:pPr>
              <w:pStyle w:val="TableText"/>
              <w:tabs>
                <w:tab w:val="left" w:pos="3306"/>
              </w:tabs>
              <w:spacing w:before="20"/>
              <w:rPr>
                <w:rFonts w:cs="Calibri"/>
              </w:rPr>
            </w:pPr>
            <w:r w:rsidRPr="00D12A36">
              <w:rPr>
                <w:rFonts w:cs="Calibri"/>
              </w:rPr>
              <w:t>Lease Liabilities</w:t>
            </w:r>
          </w:p>
        </w:tc>
        <w:tc>
          <w:tcPr>
            <w:tcW w:w="1660" w:type="dxa"/>
            <w:vAlign w:val="bottom"/>
          </w:tcPr>
          <w:p w14:paraId="642F7174" w14:textId="6A2D9B57" w:rsidR="006B5DF1" w:rsidRPr="00D12A36" w:rsidRDefault="006B5DF1" w:rsidP="00D12A36">
            <w:pPr>
              <w:pStyle w:val="TableText"/>
              <w:tabs>
                <w:tab w:val="left" w:pos="3306"/>
              </w:tabs>
              <w:spacing w:before="20"/>
              <w:jc w:val="center"/>
              <w:rPr>
                <w:rFonts w:cs="Calibri"/>
              </w:rPr>
            </w:pPr>
            <w:r w:rsidRPr="00D12A36">
              <w:rPr>
                <w:rFonts w:cs="Calibri"/>
              </w:rPr>
              <w:t>26</w:t>
            </w:r>
          </w:p>
        </w:tc>
        <w:tc>
          <w:tcPr>
            <w:tcW w:w="1260" w:type="dxa"/>
            <w:shd w:val="clear" w:color="auto" w:fill="auto"/>
            <w:vAlign w:val="bottom"/>
          </w:tcPr>
          <w:p w14:paraId="0B206801"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7542A150"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183367AF" w14:textId="77777777" w:rsidR="006B5DF1" w:rsidRPr="00D12A36" w:rsidRDefault="006B5DF1" w:rsidP="00D12A36">
            <w:pPr>
              <w:pStyle w:val="TableText"/>
              <w:tabs>
                <w:tab w:val="left" w:pos="3306"/>
              </w:tabs>
              <w:spacing w:before="20"/>
              <w:jc w:val="right"/>
              <w:rPr>
                <w:rFonts w:cs="Calibri"/>
              </w:rPr>
            </w:pPr>
          </w:p>
        </w:tc>
      </w:tr>
      <w:tr w:rsidR="006B5DF1" w:rsidRPr="00CF7E1B" w14:paraId="728F8224" w14:textId="77777777" w:rsidTr="00C736E0">
        <w:tc>
          <w:tcPr>
            <w:tcW w:w="1537" w:type="dxa"/>
            <w:tcBorders>
              <w:left w:val="single" w:sz="2" w:space="0" w:color="auto"/>
              <w:right w:val="single" w:sz="2" w:space="0" w:color="auto"/>
            </w:tcBorders>
          </w:tcPr>
          <w:p w14:paraId="100C0B41"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39187689" w14:textId="77777777" w:rsidR="006B5DF1" w:rsidRPr="00D12A36" w:rsidRDefault="006B5DF1" w:rsidP="00D12A36">
            <w:pPr>
              <w:pStyle w:val="TableText"/>
              <w:tabs>
                <w:tab w:val="left" w:pos="3306"/>
              </w:tabs>
              <w:spacing w:before="20"/>
              <w:rPr>
                <w:rFonts w:cs="Calibri"/>
                <w:b/>
                <w:bCs/>
              </w:rPr>
            </w:pPr>
            <w:r w:rsidRPr="00D12A36">
              <w:rPr>
                <w:rFonts w:cs="Calibri"/>
              </w:rPr>
              <w:t>Employee Benefits</w:t>
            </w:r>
          </w:p>
        </w:tc>
        <w:tc>
          <w:tcPr>
            <w:tcW w:w="1660" w:type="dxa"/>
            <w:vAlign w:val="bottom"/>
          </w:tcPr>
          <w:p w14:paraId="7A8828E7" w14:textId="7EF2B1D8" w:rsidR="006B5DF1" w:rsidRPr="00D12A36" w:rsidRDefault="006B5DF1" w:rsidP="00D12A36">
            <w:pPr>
              <w:pStyle w:val="TableText"/>
              <w:tabs>
                <w:tab w:val="left" w:pos="3306"/>
              </w:tabs>
              <w:spacing w:before="20"/>
              <w:jc w:val="center"/>
              <w:rPr>
                <w:rFonts w:cs="Calibri"/>
              </w:rPr>
            </w:pPr>
            <w:r w:rsidRPr="00D12A36">
              <w:rPr>
                <w:rFonts w:cs="Calibri"/>
              </w:rPr>
              <w:t>27</w:t>
            </w:r>
          </w:p>
        </w:tc>
        <w:tc>
          <w:tcPr>
            <w:tcW w:w="1260" w:type="dxa"/>
            <w:vAlign w:val="bottom"/>
          </w:tcPr>
          <w:p w14:paraId="54961C87"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1DD15591"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2CC4C15" w14:textId="77777777" w:rsidR="006B5DF1" w:rsidRPr="00D12A36" w:rsidRDefault="006B5DF1" w:rsidP="00D12A36">
            <w:pPr>
              <w:pStyle w:val="TableText"/>
              <w:tabs>
                <w:tab w:val="left" w:pos="3306"/>
              </w:tabs>
              <w:spacing w:before="20"/>
              <w:jc w:val="right"/>
              <w:rPr>
                <w:rFonts w:cs="Calibri"/>
              </w:rPr>
            </w:pPr>
          </w:p>
        </w:tc>
      </w:tr>
      <w:tr w:rsidR="006B5DF1" w:rsidRPr="00CF7E1B" w14:paraId="0508256E" w14:textId="77777777" w:rsidTr="00C736E0">
        <w:tc>
          <w:tcPr>
            <w:tcW w:w="1537" w:type="dxa"/>
            <w:tcBorders>
              <w:left w:val="single" w:sz="2" w:space="0" w:color="auto"/>
              <w:right w:val="single" w:sz="2" w:space="0" w:color="auto"/>
            </w:tcBorders>
          </w:tcPr>
          <w:p w14:paraId="068087FC"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0BED7E21" w14:textId="77777777" w:rsidR="006B5DF1" w:rsidRPr="00D12A36" w:rsidRDefault="006B5DF1" w:rsidP="00D12A36">
            <w:pPr>
              <w:pStyle w:val="TableText"/>
              <w:tabs>
                <w:tab w:val="left" w:pos="3306"/>
              </w:tabs>
              <w:spacing w:before="20"/>
              <w:rPr>
                <w:rFonts w:cs="Calibri"/>
                <w:b/>
                <w:bCs/>
              </w:rPr>
            </w:pPr>
            <w:r w:rsidRPr="00D12A36">
              <w:rPr>
                <w:rFonts w:cs="Calibri"/>
              </w:rPr>
              <w:t>Other Provisions</w:t>
            </w:r>
          </w:p>
        </w:tc>
        <w:tc>
          <w:tcPr>
            <w:tcW w:w="1660" w:type="dxa"/>
            <w:vAlign w:val="bottom"/>
          </w:tcPr>
          <w:p w14:paraId="310C7894" w14:textId="1BB65AED" w:rsidR="006B5DF1" w:rsidRPr="00D12A36" w:rsidRDefault="006B5DF1" w:rsidP="00D12A36">
            <w:pPr>
              <w:pStyle w:val="TableText"/>
              <w:tabs>
                <w:tab w:val="left" w:pos="3306"/>
              </w:tabs>
              <w:spacing w:before="20"/>
              <w:jc w:val="center"/>
              <w:rPr>
                <w:rFonts w:cs="Calibri"/>
              </w:rPr>
            </w:pPr>
            <w:r w:rsidRPr="00D12A36">
              <w:rPr>
                <w:rFonts w:cs="Calibri"/>
              </w:rPr>
              <w:t>28</w:t>
            </w:r>
          </w:p>
        </w:tc>
        <w:tc>
          <w:tcPr>
            <w:tcW w:w="1260" w:type="dxa"/>
            <w:vAlign w:val="bottom"/>
          </w:tcPr>
          <w:p w14:paraId="467A8F45"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66D72B2C"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67A02068" w14:textId="77777777" w:rsidR="006B5DF1" w:rsidRPr="00D12A36" w:rsidRDefault="006B5DF1" w:rsidP="00D12A36">
            <w:pPr>
              <w:pStyle w:val="TableText"/>
              <w:tabs>
                <w:tab w:val="left" w:pos="3306"/>
              </w:tabs>
              <w:spacing w:before="20"/>
              <w:jc w:val="right"/>
              <w:rPr>
                <w:rFonts w:cs="Calibri"/>
              </w:rPr>
            </w:pPr>
          </w:p>
        </w:tc>
      </w:tr>
      <w:tr w:rsidR="006B5DF1" w:rsidRPr="00CF7E1B" w14:paraId="59BD1712" w14:textId="77777777" w:rsidTr="00C736E0">
        <w:tc>
          <w:tcPr>
            <w:tcW w:w="1537" w:type="dxa"/>
            <w:tcBorders>
              <w:left w:val="single" w:sz="2" w:space="0" w:color="auto"/>
              <w:right w:val="single" w:sz="2" w:space="0" w:color="auto"/>
            </w:tcBorders>
          </w:tcPr>
          <w:p w14:paraId="249092C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95C91E5" w14:textId="77777777" w:rsidR="006B5DF1" w:rsidRPr="00D12A36" w:rsidRDefault="006B5DF1" w:rsidP="00D12A36">
            <w:pPr>
              <w:pStyle w:val="TableText"/>
              <w:tabs>
                <w:tab w:val="left" w:pos="3306"/>
              </w:tabs>
              <w:spacing w:before="20"/>
              <w:rPr>
                <w:rFonts w:cs="Calibri"/>
              </w:rPr>
            </w:pPr>
            <w:r w:rsidRPr="00D12A36">
              <w:rPr>
                <w:rFonts w:cs="Calibri"/>
              </w:rPr>
              <w:t>Other Liabilities</w:t>
            </w:r>
          </w:p>
        </w:tc>
        <w:tc>
          <w:tcPr>
            <w:tcW w:w="1660" w:type="dxa"/>
            <w:vAlign w:val="bottom"/>
          </w:tcPr>
          <w:p w14:paraId="4F55ECB6" w14:textId="3123E7E3" w:rsidR="006B5DF1" w:rsidRPr="00D12A36" w:rsidRDefault="006B5DF1" w:rsidP="00D12A36">
            <w:pPr>
              <w:pStyle w:val="TableText"/>
              <w:tabs>
                <w:tab w:val="left" w:pos="3306"/>
              </w:tabs>
              <w:spacing w:before="20"/>
              <w:jc w:val="center"/>
              <w:rPr>
                <w:rFonts w:cs="Calibri"/>
              </w:rPr>
            </w:pPr>
            <w:r w:rsidRPr="00D12A36">
              <w:rPr>
                <w:rFonts w:cs="Calibri"/>
              </w:rPr>
              <w:t>29</w:t>
            </w:r>
          </w:p>
        </w:tc>
        <w:tc>
          <w:tcPr>
            <w:tcW w:w="1260" w:type="dxa"/>
            <w:tcBorders>
              <w:bottom w:val="single" w:sz="2" w:space="0" w:color="auto"/>
            </w:tcBorders>
            <w:vAlign w:val="bottom"/>
          </w:tcPr>
          <w:p w14:paraId="2E66D8E3"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3A9B3CFB"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707F2BB8" w14:textId="77777777" w:rsidR="006B5DF1" w:rsidRPr="00D12A36" w:rsidRDefault="006B5DF1" w:rsidP="00D12A36">
            <w:pPr>
              <w:pStyle w:val="TableText"/>
              <w:tabs>
                <w:tab w:val="left" w:pos="3306"/>
              </w:tabs>
              <w:spacing w:before="20"/>
              <w:jc w:val="right"/>
              <w:rPr>
                <w:rFonts w:cs="Calibri"/>
              </w:rPr>
            </w:pPr>
          </w:p>
        </w:tc>
      </w:tr>
      <w:tr w:rsidR="006B5DF1" w:rsidRPr="00CF7E1B" w14:paraId="7CF61C93" w14:textId="77777777" w:rsidTr="00C736E0">
        <w:tc>
          <w:tcPr>
            <w:tcW w:w="1537" w:type="dxa"/>
            <w:tcBorders>
              <w:left w:val="single" w:sz="2" w:space="0" w:color="auto"/>
              <w:right w:val="single" w:sz="2" w:space="0" w:color="auto"/>
            </w:tcBorders>
          </w:tcPr>
          <w:p w14:paraId="462AF6AA"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7945AB86" w14:textId="77777777" w:rsidR="006B5DF1" w:rsidRPr="00D12A36" w:rsidRDefault="006B5DF1" w:rsidP="006B5DF1">
            <w:pPr>
              <w:pStyle w:val="TableText"/>
              <w:tabs>
                <w:tab w:val="left" w:pos="3306"/>
              </w:tabs>
              <w:rPr>
                <w:rFonts w:cs="Calibri"/>
                <w:b/>
                <w:bCs/>
              </w:rPr>
            </w:pPr>
            <w:r w:rsidRPr="00D12A36">
              <w:rPr>
                <w:rFonts w:cs="Calibri"/>
                <w:b/>
                <w:bCs/>
              </w:rPr>
              <w:t>Total Current Liabilities</w:t>
            </w:r>
          </w:p>
        </w:tc>
        <w:tc>
          <w:tcPr>
            <w:tcW w:w="1660" w:type="dxa"/>
            <w:vAlign w:val="bottom"/>
          </w:tcPr>
          <w:p w14:paraId="00D236BC"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tcBorders>
            <w:vAlign w:val="bottom"/>
          </w:tcPr>
          <w:p w14:paraId="1B8A71F0"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tcBorders>
            <w:vAlign w:val="bottom"/>
          </w:tcPr>
          <w:p w14:paraId="2941BB0A"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tcBorders>
            <w:vAlign w:val="bottom"/>
          </w:tcPr>
          <w:p w14:paraId="59B12C1C" w14:textId="77777777" w:rsidR="006B5DF1" w:rsidRPr="00D12A36" w:rsidRDefault="006B5DF1" w:rsidP="006B5DF1">
            <w:pPr>
              <w:pStyle w:val="TableText"/>
              <w:tabs>
                <w:tab w:val="left" w:pos="3306"/>
              </w:tabs>
              <w:jc w:val="right"/>
              <w:rPr>
                <w:rFonts w:cs="Calibri"/>
                <w:b/>
                <w:bCs/>
              </w:rPr>
            </w:pPr>
          </w:p>
        </w:tc>
      </w:tr>
      <w:tr w:rsidR="006B5DF1" w:rsidRPr="00CF7E1B" w14:paraId="3E3C44AC" w14:textId="77777777" w:rsidTr="00C736E0">
        <w:tc>
          <w:tcPr>
            <w:tcW w:w="1537" w:type="dxa"/>
            <w:tcBorders>
              <w:left w:val="single" w:sz="2" w:space="0" w:color="auto"/>
              <w:right w:val="single" w:sz="2" w:space="0" w:color="auto"/>
            </w:tcBorders>
          </w:tcPr>
          <w:p w14:paraId="71D167A9" w14:textId="77777777" w:rsidR="006B5DF1" w:rsidRPr="008238E7" w:rsidRDefault="006B5DF1" w:rsidP="006B5DF1">
            <w:pPr>
              <w:pStyle w:val="TableReference"/>
              <w:tabs>
                <w:tab w:val="left" w:pos="3306"/>
              </w:tabs>
              <w:spacing w:before="40"/>
              <w:rPr>
                <w:rFonts w:cs="Calibri"/>
                <w:color w:val="7030A0"/>
                <w:sz w:val="14"/>
              </w:rPr>
            </w:pPr>
            <w:r w:rsidRPr="008238E7">
              <w:rPr>
                <w:rFonts w:cs="Calibri"/>
                <w:color w:val="7030A0"/>
                <w:sz w:val="14"/>
              </w:rPr>
              <w:t>AASB 101.60</w:t>
            </w:r>
          </w:p>
        </w:tc>
        <w:tc>
          <w:tcPr>
            <w:tcW w:w="3296" w:type="dxa"/>
            <w:tcBorders>
              <w:left w:val="single" w:sz="2" w:space="0" w:color="auto"/>
            </w:tcBorders>
            <w:vAlign w:val="bottom"/>
          </w:tcPr>
          <w:p w14:paraId="0982AD97" w14:textId="77777777" w:rsidR="006B5DF1" w:rsidRPr="00D12A36" w:rsidRDefault="006B5DF1" w:rsidP="006B5DF1">
            <w:pPr>
              <w:pStyle w:val="TableText"/>
              <w:tabs>
                <w:tab w:val="left" w:pos="3306"/>
              </w:tabs>
              <w:rPr>
                <w:rFonts w:cs="Calibri"/>
                <w:b/>
                <w:bCs/>
              </w:rPr>
            </w:pPr>
            <w:bookmarkStart w:id="153" w:name="_Toc48468221"/>
            <w:bookmarkStart w:id="154" w:name="_Toc49155413"/>
            <w:bookmarkStart w:id="155" w:name="_Toc49223861"/>
            <w:r w:rsidRPr="00D12A36">
              <w:rPr>
                <w:rFonts w:cs="Calibri"/>
                <w:b/>
                <w:bCs/>
              </w:rPr>
              <w:t>Non-Current Liabilities</w:t>
            </w:r>
            <w:bookmarkEnd w:id="153"/>
            <w:bookmarkEnd w:id="154"/>
            <w:bookmarkEnd w:id="155"/>
          </w:p>
        </w:tc>
        <w:tc>
          <w:tcPr>
            <w:tcW w:w="1660" w:type="dxa"/>
            <w:vAlign w:val="bottom"/>
          </w:tcPr>
          <w:p w14:paraId="754A429C" w14:textId="77777777" w:rsidR="006B5DF1" w:rsidRPr="00D12A36" w:rsidRDefault="006B5DF1" w:rsidP="006B5DF1">
            <w:pPr>
              <w:pStyle w:val="TableText"/>
              <w:tabs>
                <w:tab w:val="left" w:pos="3306"/>
              </w:tabs>
              <w:jc w:val="center"/>
              <w:rPr>
                <w:rFonts w:cs="Calibri"/>
              </w:rPr>
            </w:pPr>
          </w:p>
        </w:tc>
        <w:tc>
          <w:tcPr>
            <w:tcW w:w="1260" w:type="dxa"/>
            <w:vAlign w:val="bottom"/>
          </w:tcPr>
          <w:p w14:paraId="3CEA42D3" w14:textId="77777777" w:rsidR="006B5DF1" w:rsidRPr="00D12A36" w:rsidRDefault="006B5DF1" w:rsidP="006B5DF1">
            <w:pPr>
              <w:pStyle w:val="TableText"/>
              <w:tabs>
                <w:tab w:val="left" w:pos="3306"/>
              </w:tabs>
              <w:jc w:val="right"/>
              <w:rPr>
                <w:rFonts w:cs="Calibri"/>
              </w:rPr>
            </w:pPr>
          </w:p>
        </w:tc>
        <w:tc>
          <w:tcPr>
            <w:tcW w:w="1395" w:type="dxa"/>
            <w:vAlign w:val="bottom"/>
          </w:tcPr>
          <w:p w14:paraId="02125EB7" w14:textId="77777777" w:rsidR="006B5DF1" w:rsidRPr="00D12A36" w:rsidRDefault="006B5DF1" w:rsidP="006B5DF1">
            <w:pPr>
              <w:pStyle w:val="TableText"/>
              <w:tabs>
                <w:tab w:val="left" w:pos="3306"/>
              </w:tabs>
              <w:jc w:val="right"/>
              <w:rPr>
                <w:rFonts w:cs="Calibri"/>
              </w:rPr>
            </w:pPr>
          </w:p>
        </w:tc>
        <w:tc>
          <w:tcPr>
            <w:tcW w:w="1396" w:type="dxa"/>
            <w:vAlign w:val="bottom"/>
          </w:tcPr>
          <w:p w14:paraId="15C83F97" w14:textId="77777777" w:rsidR="006B5DF1" w:rsidRPr="00D12A36" w:rsidRDefault="006B5DF1" w:rsidP="006B5DF1">
            <w:pPr>
              <w:pStyle w:val="TableText"/>
              <w:tabs>
                <w:tab w:val="left" w:pos="3306"/>
              </w:tabs>
              <w:jc w:val="right"/>
              <w:rPr>
                <w:rFonts w:cs="Calibri"/>
                <w:b/>
                <w:bCs/>
              </w:rPr>
            </w:pPr>
          </w:p>
        </w:tc>
      </w:tr>
      <w:tr w:rsidR="006B5DF1" w:rsidRPr="00CF7E1B" w14:paraId="1C3C9E1D" w14:textId="77777777" w:rsidTr="00C736E0">
        <w:tc>
          <w:tcPr>
            <w:tcW w:w="1537" w:type="dxa"/>
            <w:tcBorders>
              <w:left w:val="single" w:sz="2" w:space="0" w:color="auto"/>
              <w:right w:val="single" w:sz="2" w:space="0" w:color="auto"/>
            </w:tcBorders>
          </w:tcPr>
          <w:p w14:paraId="2923498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101.54(k)</w:t>
            </w:r>
          </w:p>
        </w:tc>
        <w:tc>
          <w:tcPr>
            <w:tcW w:w="3296" w:type="dxa"/>
            <w:tcBorders>
              <w:left w:val="single" w:sz="2" w:space="0" w:color="auto"/>
            </w:tcBorders>
            <w:shd w:val="clear" w:color="auto" w:fill="auto"/>
            <w:vAlign w:val="bottom"/>
          </w:tcPr>
          <w:p w14:paraId="49C8D872" w14:textId="77777777" w:rsidR="006B5DF1" w:rsidRPr="00D12A36" w:rsidRDefault="006B5DF1" w:rsidP="00D12A36">
            <w:pPr>
              <w:pStyle w:val="TableText"/>
              <w:tabs>
                <w:tab w:val="left" w:pos="3306"/>
              </w:tabs>
              <w:spacing w:before="20"/>
              <w:rPr>
                <w:rFonts w:cs="Calibri"/>
              </w:rPr>
            </w:pPr>
            <w:r w:rsidRPr="00D12A36">
              <w:rPr>
                <w:rFonts w:cs="Calibri"/>
              </w:rPr>
              <w:t>Payables</w:t>
            </w:r>
          </w:p>
        </w:tc>
        <w:tc>
          <w:tcPr>
            <w:tcW w:w="1660" w:type="dxa"/>
            <w:vAlign w:val="bottom"/>
          </w:tcPr>
          <w:p w14:paraId="392478C9" w14:textId="5FAEE86E" w:rsidR="006B5DF1" w:rsidRPr="00D12A36" w:rsidRDefault="006B5DF1" w:rsidP="00D12A36">
            <w:pPr>
              <w:pStyle w:val="TableText"/>
              <w:tabs>
                <w:tab w:val="left" w:pos="3306"/>
              </w:tabs>
              <w:spacing w:before="20"/>
              <w:jc w:val="center"/>
              <w:rPr>
                <w:rFonts w:cs="Calibri"/>
              </w:rPr>
            </w:pPr>
            <w:r w:rsidRPr="00D12A36">
              <w:rPr>
                <w:rFonts w:cs="Calibri"/>
              </w:rPr>
              <w:t>24</w:t>
            </w:r>
          </w:p>
        </w:tc>
        <w:tc>
          <w:tcPr>
            <w:tcW w:w="1260" w:type="dxa"/>
            <w:vAlign w:val="bottom"/>
          </w:tcPr>
          <w:p w14:paraId="473A9C06"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2E806653"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EE25752" w14:textId="77777777" w:rsidR="006B5DF1" w:rsidRPr="00D12A36" w:rsidRDefault="006B5DF1" w:rsidP="00D12A36">
            <w:pPr>
              <w:pStyle w:val="TableText"/>
              <w:tabs>
                <w:tab w:val="left" w:pos="3306"/>
              </w:tabs>
              <w:spacing w:before="20"/>
              <w:jc w:val="right"/>
              <w:rPr>
                <w:rFonts w:cs="Calibri"/>
              </w:rPr>
            </w:pPr>
          </w:p>
        </w:tc>
      </w:tr>
      <w:tr w:rsidR="006B5DF1" w:rsidRPr="007E0503" w14:paraId="30F2C0E1" w14:textId="77777777" w:rsidTr="00C736E0">
        <w:tc>
          <w:tcPr>
            <w:tcW w:w="1537" w:type="dxa"/>
            <w:tcBorders>
              <w:left w:val="single" w:sz="2" w:space="0" w:color="auto"/>
              <w:right w:val="single" w:sz="2" w:space="0" w:color="auto"/>
            </w:tcBorders>
          </w:tcPr>
          <w:p w14:paraId="5C8A704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shd w:val="clear" w:color="auto" w:fill="auto"/>
            <w:vAlign w:val="bottom"/>
          </w:tcPr>
          <w:p w14:paraId="460291BC" w14:textId="77777777" w:rsidR="006B5DF1" w:rsidRPr="00D12A36" w:rsidRDefault="006B5DF1" w:rsidP="00D12A36">
            <w:pPr>
              <w:pStyle w:val="TableText"/>
              <w:tabs>
                <w:tab w:val="left" w:pos="3306"/>
              </w:tabs>
              <w:spacing w:before="20"/>
              <w:rPr>
                <w:rFonts w:cs="Calibri"/>
              </w:rPr>
            </w:pPr>
            <w:r w:rsidRPr="00D12A36">
              <w:rPr>
                <w:rFonts w:cs="Calibri"/>
              </w:rPr>
              <w:t>Contract Liabilities</w:t>
            </w:r>
          </w:p>
        </w:tc>
        <w:tc>
          <w:tcPr>
            <w:tcW w:w="1660" w:type="dxa"/>
            <w:vAlign w:val="bottom"/>
          </w:tcPr>
          <w:p w14:paraId="6B9DC4BE" w14:textId="2A07A7E5" w:rsidR="006B5DF1" w:rsidRPr="00D12A36" w:rsidRDefault="006B5DF1" w:rsidP="00D12A36">
            <w:pPr>
              <w:pStyle w:val="TableText"/>
              <w:tabs>
                <w:tab w:val="left" w:pos="3306"/>
              </w:tabs>
              <w:spacing w:before="20"/>
              <w:jc w:val="center"/>
              <w:rPr>
                <w:rFonts w:cs="Calibri"/>
              </w:rPr>
            </w:pPr>
            <w:r w:rsidRPr="00D12A36">
              <w:rPr>
                <w:rFonts w:cs="Calibri"/>
              </w:rPr>
              <w:t>24</w:t>
            </w:r>
          </w:p>
        </w:tc>
        <w:tc>
          <w:tcPr>
            <w:tcW w:w="1260" w:type="dxa"/>
            <w:shd w:val="clear" w:color="auto" w:fill="auto"/>
            <w:vAlign w:val="bottom"/>
          </w:tcPr>
          <w:p w14:paraId="1E9198FF" w14:textId="77777777" w:rsidR="006B5DF1" w:rsidRPr="00D12A36" w:rsidRDefault="006B5DF1" w:rsidP="00D12A36">
            <w:pPr>
              <w:pStyle w:val="TableText"/>
              <w:tabs>
                <w:tab w:val="left" w:pos="3306"/>
              </w:tabs>
              <w:spacing w:before="20"/>
              <w:ind w:right="-1026"/>
              <w:jc w:val="center"/>
              <w:rPr>
                <w:rFonts w:cs="Calibri"/>
              </w:rPr>
            </w:pPr>
          </w:p>
        </w:tc>
        <w:tc>
          <w:tcPr>
            <w:tcW w:w="1395" w:type="dxa"/>
            <w:shd w:val="clear" w:color="auto" w:fill="auto"/>
            <w:vAlign w:val="bottom"/>
          </w:tcPr>
          <w:p w14:paraId="52A73EBC"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751E92CD" w14:textId="77777777" w:rsidR="006B5DF1" w:rsidRPr="00D12A36" w:rsidRDefault="006B5DF1" w:rsidP="00D12A36">
            <w:pPr>
              <w:pStyle w:val="TableText"/>
              <w:tabs>
                <w:tab w:val="left" w:pos="3306"/>
              </w:tabs>
              <w:spacing w:before="20"/>
              <w:jc w:val="right"/>
              <w:rPr>
                <w:rFonts w:cs="Calibri"/>
              </w:rPr>
            </w:pPr>
          </w:p>
        </w:tc>
      </w:tr>
      <w:tr w:rsidR="006B5DF1" w:rsidRPr="007E0503" w14:paraId="524BC156" w14:textId="77777777" w:rsidTr="00C736E0">
        <w:tc>
          <w:tcPr>
            <w:tcW w:w="1537" w:type="dxa"/>
            <w:tcBorders>
              <w:left w:val="single" w:sz="2" w:space="0" w:color="auto"/>
              <w:right w:val="single" w:sz="2" w:space="0" w:color="auto"/>
            </w:tcBorders>
          </w:tcPr>
          <w:p w14:paraId="6BDE3BB2"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101.54(m)</w:t>
            </w:r>
          </w:p>
        </w:tc>
        <w:tc>
          <w:tcPr>
            <w:tcW w:w="3296" w:type="dxa"/>
            <w:tcBorders>
              <w:left w:val="single" w:sz="2" w:space="0" w:color="auto"/>
            </w:tcBorders>
            <w:vAlign w:val="bottom"/>
          </w:tcPr>
          <w:p w14:paraId="47A51233" w14:textId="0AF367B0" w:rsidR="006B5DF1" w:rsidRPr="00D12A36" w:rsidRDefault="007001C1" w:rsidP="00D12A36">
            <w:pPr>
              <w:pStyle w:val="TableText"/>
              <w:tabs>
                <w:tab w:val="left" w:pos="3306"/>
              </w:tabs>
              <w:spacing w:before="20"/>
              <w:rPr>
                <w:rFonts w:cs="Calibri"/>
                <w:b/>
                <w:bCs/>
              </w:rPr>
            </w:pPr>
            <w:r w:rsidRPr="00D12A36">
              <w:rPr>
                <w:rFonts w:cs="Calibri"/>
              </w:rPr>
              <w:t>Borrowings</w:t>
            </w:r>
          </w:p>
        </w:tc>
        <w:tc>
          <w:tcPr>
            <w:tcW w:w="1660" w:type="dxa"/>
            <w:vAlign w:val="bottom"/>
          </w:tcPr>
          <w:p w14:paraId="22B81628" w14:textId="38D1BA3F" w:rsidR="006B5DF1" w:rsidRPr="00D12A36" w:rsidRDefault="006B5DF1" w:rsidP="00D12A36">
            <w:pPr>
              <w:pStyle w:val="TableText"/>
              <w:tabs>
                <w:tab w:val="left" w:pos="3306"/>
              </w:tabs>
              <w:spacing w:before="20"/>
              <w:jc w:val="center"/>
              <w:rPr>
                <w:rFonts w:cs="Calibri"/>
              </w:rPr>
            </w:pPr>
            <w:r w:rsidRPr="00D12A36">
              <w:rPr>
                <w:rFonts w:cs="Calibri"/>
              </w:rPr>
              <w:t>25</w:t>
            </w:r>
          </w:p>
        </w:tc>
        <w:tc>
          <w:tcPr>
            <w:tcW w:w="1260" w:type="dxa"/>
            <w:vAlign w:val="bottom"/>
          </w:tcPr>
          <w:p w14:paraId="0B36B807"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4D3EA08F"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76A27ABE" w14:textId="77777777" w:rsidR="006B5DF1" w:rsidRPr="00D12A36" w:rsidRDefault="006B5DF1" w:rsidP="00D12A36">
            <w:pPr>
              <w:pStyle w:val="TableText"/>
              <w:tabs>
                <w:tab w:val="left" w:pos="3306"/>
              </w:tabs>
              <w:spacing w:before="20"/>
              <w:jc w:val="right"/>
              <w:rPr>
                <w:rFonts w:cs="Calibri"/>
              </w:rPr>
            </w:pPr>
          </w:p>
        </w:tc>
      </w:tr>
      <w:tr w:rsidR="006B5DF1" w:rsidRPr="007E0503" w14:paraId="2B39C310" w14:textId="77777777" w:rsidTr="00C736E0">
        <w:tc>
          <w:tcPr>
            <w:tcW w:w="1537" w:type="dxa"/>
            <w:tcBorders>
              <w:left w:val="single" w:sz="2" w:space="0" w:color="auto"/>
              <w:right w:val="single" w:sz="2" w:space="0" w:color="auto"/>
            </w:tcBorders>
          </w:tcPr>
          <w:p w14:paraId="0B81B384"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16.47(b)</w:t>
            </w:r>
          </w:p>
        </w:tc>
        <w:tc>
          <w:tcPr>
            <w:tcW w:w="3296" w:type="dxa"/>
            <w:tcBorders>
              <w:left w:val="single" w:sz="2" w:space="0" w:color="auto"/>
            </w:tcBorders>
            <w:vAlign w:val="bottom"/>
          </w:tcPr>
          <w:p w14:paraId="09D0770B" w14:textId="555EAB05" w:rsidR="006B5DF1" w:rsidRPr="00D12A36" w:rsidRDefault="006B5DF1" w:rsidP="00D12A36">
            <w:pPr>
              <w:pStyle w:val="TableText"/>
              <w:tabs>
                <w:tab w:val="left" w:pos="3306"/>
              </w:tabs>
              <w:spacing w:before="20"/>
              <w:rPr>
                <w:rFonts w:cs="Calibri"/>
              </w:rPr>
            </w:pPr>
            <w:r w:rsidRPr="00D12A36">
              <w:rPr>
                <w:rFonts w:cs="Calibri"/>
              </w:rPr>
              <w:t>Lease Liabilities</w:t>
            </w:r>
          </w:p>
        </w:tc>
        <w:tc>
          <w:tcPr>
            <w:tcW w:w="1660" w:type="dxa"/>
            <w:vAlign w:val="bottom"/>
          </w:tcPr>
          <w:p w14:paraId="1D739B4B" w14:textId="78326BA6" w:rsidR="006B5DF1" w:rsidRPr="00D12A36" w:rsidRDefault="006B5DF1" w:rsidP="00D12A36">
            <w:pPr>
              <w:pStyle w:val="TableText"/>
              <w:tabs>
                <w:tab w:val="left" w:pos="3306"/>
              </w:tabs>
              <w:spacing w:before="20"/>
              <w:jc w:val="center"/>
              <w:rPr>
                <w:rFonts w:cs="Calibri"/>
              </w:rPr>
            </w:pPr>
            <w:r w:rsidRPr="00D12A36">
              <w:rPr>
                <w:rFonts w:cs="Calibri"/>
              </w:rPr>
              <w:t>26</w:t>
            </w:r>
          </w:p>
        </w:tc>
        <w:tc>
          <w:tcPr>
            <w:tcW w:w="1260" w:type="dxa"/>
            <w:shd w:val="clear" w:color="auto" w:fill="auto"/>
            <w:vAlign w:val="bottom"/>
          </w:tcPr>
          <w:p w14:paraId="77194BDB" w14:textId="77777777" w:rsidR="006B5DF1" w:rsidRPr="00D12A36" w:rsidRDefault="006B5DF1" w:rsidP="00D12A36">
            <w:pPr>
              <w:pStyle w:val="TableText"/>
              <w:tabs>
                <w:tab w:val="left" w:pos="3306"/>
              </w:tabs>
              <w:spacing w:before="20"/>
              <w:jc w:val="right"/>
              <w:rPr>
                <w:rFonts w:cs="Calibri"/>
              </w:rPr>
            </w:pPr>
          </w:p>
        </w:tc>
        <w:tc>
          <w:tcPr>
            <w:tcW w:w="1395" w:type="dxa"/>
            <w:shd w:val="clear" w:color="auto" w:fill="auto"/>
            <w:vAlign w:val="bottom"/>
          </w:tcPr>
          <w:p w14:paraId="208018EE" w14:textId="77777777" w:rsidR="006B5DF1" w:rsidRPr="00D12A36" w:rsidRDefault="006B5DF1" w:rsidP="00D12A36">
            <w:pPr>
              <w:pStyle w:val="TableText"/>
              <w:tabs>
                <w:tab w:val="left" w:pos="3306"/>
              </w:tabs>
              <w:spacing w:before="20"/>
              <w:jc w:val="right"/>
              <w:rPr>
                <w:rFonts w:cs="Calibri"/>
              </w:rPr>
            </w:pPr>
          </w:p>
        </w:tc>
        <w:tc>
          <w:tcPr>
            <w:tcW w:w="1396" w:type="dxa"/>
            <w:shd w:val="clear" w:color="auto" w:fill="auto"/>
            <w:vAlign w:val="bottom"/>
          </w:tcPr>
          <w:p w14:paraId="6D492C6A" w14:textId="77777777" w:rsidR="006B5DF1" w:rsidRPr="00D12A36" w:rsidRDefault="006B5DF1" w:rsidP="00D12A36">
            <w:pPr>
              <w:pStyle w:val="TableText"/>
              <w:tabs>
                <w:tab w:val="left" w:pos="3306"/>
              </w:tabs>
              <w:spacing w:before="20"/>
              <w:jc w:val="right"/>
              <w:rPr>
                <w:rFonts w:cs="Calibri"/>
              </w:rPr>
            </w:pPr>
          </w:p>
        </w:tc>
      </w:tr>
      <w:tr w:rsidR="006B5DF1" w:rsidRPr="007E0503" w14:paraId="06FDBBE5" w14:textId="77777777" w:rsidTr="00C736E0">
        <w:tc>
          <w:tcPr>
            <w:tcW w:w="1537" w:type="dxa"/>
            <w:tcBorders>
              <w:left w:val="single" w:sz="2" w:space="0" w:color="auto"/>
              <w:right w:val="single" w:sz="2" w:space="0" w:color="auto"/>
            </w:tcBorders>
          </w:tcPr>
          <w:p w14:paraId="61FD0DA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4401E5DC" w14:textId="77777777" w:rsidR="006B5DF1" w:rsidRPr="00D12A36" w:rsidRDefault="006B5DF1" w:rsidP="00D12A36">
            <w:pPr>
              <w:pStyle w:val="TableText"/>
              <w:tabs>
                <w:tab w:val="left" w:pos="3306"/>
              </w:tabs>
              <w:spacing w:before="20"/>
              <w:rPr>
                <w:rFonts w:cs="Calibri"/>
                <w:b/>
                <w:bCs/>
              </w:rPr>
            </w:pPr>
            <w:r w:rsidRPr="00D12A36">
              <w:rPr>
                <w:rFonts w:cs="Calibri"/>
              </w:rPr>
              <w:t>Employee Benefits</w:t>
            </w:r>
          </w:p>
        </w:tc>
        <w:tc>
          <w:tcPr>
            <w:tcW w:w="1660" w:type="dxa"/>
            <w:vAlign w:val="bottom"/>
          </w:tcPr>
          <w:p w14:paraId="17DBFE1E" w14:textId="05D7230B" w:rsidR="006B5DF1" w:rsidRPr="00D12A36" w:rsidRDefault="006B5DF1" w:rsidP="00D12A36">
            <w:pPr>
              <w:pStyle w:val="TableText"/>
              <w:tabs>
                <w:tab w:val="left" w:pos="3306"/>
              </w:tabs>
              <w:spacing w:before="20"/>
              <w:jc w:val="center"/>
              <w:rPr>
                <w:rFonts w:cs="Calibri"/>
              </w:rPr>
            </w:pPr>
            <w:r w:rsidRPr="00D12A36">
              <w:rPr>
                <w:rFonts w:cs="Calibri"/>
              </w:rPr>
              <w:t>27</w:t>
            </w:r>
          </w:p>
        </w:tc>
        <w:tc>
          <w:tcPr>
            <w:tcW w:w="1260" w:type="dxa"/>
            <w:vAlign w:val="bottom"/>
          </w:tcPr>
          <w:p w14:paraId="6DB08C87"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290C09C3"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4DDF34E9" w14:textId="77777777" w:rsidR="006B5DF1" w:rsidRPr="00D12A36" w:rsidRDefault="006B5DF1" w:rsidP="00D12A36">
            <w:pPr>
              <w:pStyle w:val="TableText"/>
              <w:tabs>
                <w:tab w:val="left" w:pos="3306"/>
              </w:tabs>
              <w:spacing w:before="20"/>
              <w:jc w:val="right"/>
              <w:rPr>
                <w:rFonts w:cs="Calibri"/>
              </w:rPr>
            </w:pPr>
          </w:p>
        </w:tc>
      </w:tr>
      <w:tr w:rsidR="006B5DF1" w:rsidRPr="007E0503" w14:paraId="3E9936A9" w14:textId="77777777" w:rsidTr="00C736E0">
        <w:tc>
          <w:tcPr>
            <w:tcW w:w="1537" w:type="dxa"/>
            <w:tcBorders>
              <w:left w:val="single" w:sz="2" w:space="0" w:color="auto"/>
              <w:right w:val="single" w:sz="2" w:space="0" w:color="auto"/>
            </w:tcBorders>
          </w:tcPr>
          <w:p w14:paraId="4F1DED3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101.54(l)</w:t>
            </w:r>
          </w:p>
        </w:tc>
        <w:tc>
          <w:tcPr>
            <w:tcW w:w="3296" w:type="dxa"/>
            <w:tcBorders>
              <w:left w:val="single" w:sz="2" w:space="0" w:color="auto"/>
            </w:tcBorders>
            <w:vAlign w:val="bottom"/>
          </w:tcPr>
          <w:p w14:paraId="4A2283EA" w14:textId="77777777" w:rsidR="006B5DF1" w:rsidRPr="00D12A36" w:rsidRDefault="006B5DF1" w:rsidP="00D12A36">
            <w:pPr>
              <w:pStyle w:val="TableText"/>
              <w:tabs>
                <w:tab w:val="left" w:pos="3306"/>
              </w:tabs>
              <w:spacing w:before="20"/>
              <w:rPr>
                <w:rFonts w:cs="Calibri"/>
                <w:b/>
                <w:bCs/>
              </w:rPr>
            </w:pPr>
            <w:r w:rsidRPr="00D12A36">
              <w:rPr>
                <w:rFonts w:cs="Calibri"/>
              </w:rPr>
              <w:t>Other Provisions</w:t>
            </w:r>
          </w:p>
        </w:tc>
        <w:tc>
          <w:tcPr>
            <w:tcW w:w="1660" w:type="dxa"/>
            <w:vAlign w:val="bottom"/>
          </w:tcPr>
          <w:p w14:paraId="292B8A8A" w14:textId="1AC2474F" w:rsidR="006B5DF1" w:rsidRPr="00D12A36" w:rsidRDefault="006B5DF1" w:rsidP="00D12A36">
            <w:pPr>
              <w:pStyle w:val="TableText"/>
              <w:tabs>
                <w:tab w:val="left" w:pos="3306"/>
              </w:tabs>
              <w:spacing w:before="20"/>
              <w:jc w:val="center"/>
              <w:rPr>
                <w:rFonts w:cs="Calibri"/>
              </w:rPr>
            </w:pPr>
            <w:r w:rsidRPr="00D12A36">
              <w:rPr>
                <w:rFonts w:cs="Calibri"/>
              </w:rPr>
              <w:t>28</w:t>
            </w:r>
          </w:p>
        </w:tc>
        <w:tc>
          <w:tcPr>
            <w:tcW w:w="1260" w:type="dxa"/>
            <w:vAlign w:val="bottom"/>
          </w:tcPr>
          <w:p w14:paraId="066EA482"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5DA9B091"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51E7A45C" w14:textId="77777777" w:rsidR="006B5DF1" w:rsidRPr="00D12A36" w:rsidRDefault="006B5DF1" w:rsidP="00D12A36">
            <w:pPr>
              <w:pStyle w:val="TableText"/>
              <w:tabs>
                <w:tab w:val="left" w:pos="3306"/>
              </w:tabs>
              <w:spacing w:before="20"/>
              <w:jc w:val="right"/>
              <w:rPr>
                <w:rFonts w:cs="Calibri"/>
              </w:rPr>
            </w:pPr>
          </w:p>
        </w:tc>
      </w:tr>
      <w:tr w:rsidR="006B5DF1" w:rsidRPr="007E0503" w14:paraId="4897BB42" w14:textId="77777777" w:rsidTr="00C736E0">
        <w:tc>
          <w:tcPr>
            <w:tcW w:w="1537" w:type="dxa"/>
            <w:tcBorders>
              <w:left w:val="single" w:sz="2" w:space="0" w:color="auto"/>
              <w:right w:val="single" w:sz="2" w:space="0" w:color="auto"/>
            </w:tcBorders>
          </w:tcPr>
          <w:p w14:paraId="16D2D80D"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31B7185B" w14:textId="77777777" w:rsidR="006B5DF1" w:rsidRPr="00D12A36" w:rsidRDefault="006B5DF1" w:rsidP="00D12A36">
            <w:pPr>
              <w:pStyle w:val="TableText"/>
              <w:tabs>
                <w:tab w:val="left" w:pos="3306"/>
              </w:tabs>
              <w:spacing w:before="20"/>
              <w:rPr>
                <w:rFonts w:cs="Calibri"/>
                <w:b/>
                <w:bCs/>
              </w:rPr>
            </w:pPr>
            <w:r w:rsidRPr="00D12A36">
              <w:rPr>
                <w:rFonts w:cs="Calibri"/>
              </w:rPr>
              <w:t>Other Liabilities</w:t>
            </w:r>
          </w:p>
        </w:tc>
        <w:tc>
          <w:tcPr>
            <w:tcW w:w="1660" w:type="dxa"/>
            <w:vAlign w:val="bottom"/>
          </w:tcPr>
          <w:p w14:paraId="582E2649" w14:textId="0417B260" w:rsidR="006B5DF1" w:rsidRPr="00D12A36" w:rsidRDefault="006B5DF1" w:rsidP="00D12A36">
            <w:pPr>
              <w:pStyle w:val="TableText"/>
              <w:tabs>
                <w:tab w:val="left" w:pos="3306"/>
              </w:tabs>
              <w:spacing w:before="20"/>
              <w:jc w:val="center"/>
              <w:rPr>
                <w:rFonts w:cs="Calibri"/>
              </w:rPr>
            </w:pPr>
            <w:r w:rsidRPr="00D12A36">
              <w:rPr>
                <w:rFonts w:cs="Calibri"/>
              </w:rPr>
              <w:t>29</w:t>
            </w:r>
          </w:p>
        </w:tc>
        <w:tc>
          <w:tcPr>
            <w:tcW w:w="1260" w:type="dxa"/>
            <w:tcBorders>
              <w:bottom w:val="single" w:sz="2" w:space="0" w:color="auto"/>
            </w:tcBorders>
            <w:vAlign w:val="bottom"/>
          </w:tcPr>
          <w:p w14:paraId="7D7FA671"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25213AC8"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06D8DCB5" w14:textId="77777777" w:rsidR="006B5DF1" w:rsidRPr="00D12A36" w:rsidRDefault="006B5DF1" w:rsidP="00D12A36">
            <w:pPr>
              <w:pStyle w:val="TableText"/>
              <w:tabs>
                <w:tab w:val="left" w:pos="3306"/>
              </w:tabs>
              <w:spacing w:before="20"/>
              <w:jc w:val="right"/>
              <w:rPr>
                <w:rFonts w:cs="Calibri"/>
              </w:rPr>
            </w:pPr>
          </w:p>
        </w:tc>
      </w:tr>
      <w:tr w:rsidR="006B5DF1" w:rsidRPr="00CF7E1B" w14:paraId="2A608182" w14:textId="77777777" w:rsidTr="00C736E0">
        <w:tc>
          <w:tcPr>
            <w:tcW w:w="1537" w:type="dxa"/>
            <w:tcBorders>
              <w:left w:val="single" w:sz="2" w:space="0" w:color="auto"/>
              <w:right w:val="single" w:sz="2" w:space="0" w:color="auto"/>
            </w:tcBorders>
          </w:tcPr>
          <w:p w14:paraId="7FF7B2F5"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5C9954FE" w14:textId="77777777" w:rsidR="006B5DF1" w:rsidRPr="00D12A36" w:rsidRDefault="006B5DF1" w:rsidP="006B5DF1">
            <w:pPr>
              <w:pStyle w:val="TableText"/>
              <w:tabs>
                <w:tab w:val="left" w:pos="3306"/>
              </w:tabs>
              <w:rPr>
                <w:rFonts w:cs="Calibri"/>
                <w:b/>
                <w:bCs/>
              </w:rPr>
            </w:pPr>
            <w:r w:rsidRPr="00D12A36">
              <w:rPr>
                <w:rFonts w:cs="Calibri"/>
                <w:b/>
                <w:bCs/>
              </w:rPr>
              <w:t>Total Non-Current Liabilities</w:t>
            </w:r>
          </w:p>
        </w:tc>
        <w:tc>
          <w:tcPr>
            <w:tcW w:w="1660" w:type="dxa"/>
            <w:vAlign w:val="bottom"/>
          </w:tcPr>
          <w:p w14:paraId="015E7503"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single" w:sz="2" w:space="0" w:color="auto"/>
            </w:tcBorders>
            <w:vAlign w:val="bottom"/>
          </w:tcPr>
          <w:p w14:paraId="1FBB9450"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bottom w:val="single" w:sz="2" w:space="0" w:color="auto"/>
            </w:tcBorders>
            <w:vAlign w:val="bottom"/>
          </w:tcPr>
          <w:p w14:paraId="7A357895"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705FE852" w14:textId="77777777" w:rsidR="006B5DF1" w:rsidRPr="00D12A36" w:rsidRDefault="006B5DF1" w:rsidP="006B5DF1">
            <w:pPr>
              <w:pStyle w:val="TableText"/>
              <w:tabs>
                <w:tab w:val="left" w:pos="3306"/>
              </w:tabs>
              <w:jc w:val="right"/>
              <w:rPr>
                <w:rFonts w:cs="Calibri"/>
                <w:b/>
                <w:bCs/>
              </w:rPr>
            </w:pPr>
          </w:p>
        </w:tc>
      </w:tr>
      <w:tr w:rsidR="006B5DF1" w:rsidRPr="00CF7E1B" w14:paraId="47888E2F" w14:textId="77777777" w:rsidTr="00C736E0">
        <w:tc>
          <w:tcPr>
            <w:tcW w:w="1537" w:type="dxa"/>
            <w:tcBorders>
              <w:left w:val="single" w:sz="2" w:space="0" w:color="auto"/>
              <w:right w:val="single" w:sz="2" w:space="0" w:color="auto"/>
            </w:tcBorders>
          </w:tcPr>
          <w:p w14:paraId="53552B7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0571933B" w14:textId="77777777" w:rsidR="006B5DF1" w:rsidRPr="00D12A36" w:rsidRDefault="006B5DF1" w:rsidP="006B5DF1">
            <w:pPr>
              <w:pStyle w:val="TableText"/>
              <w:tabs>
                <w:tab w:val="left" w:pos="3306"/>
              </w:tabs>
              <w:rPr>
                <w:rFonts w:cs="Calibri"/>
                <w:b/>
                <w:bCs/>
              </w:rPr>
            </w:pPr>
            <w:bookmarkStart w:id="156" w:name="_Toc48468222"/>
            <w:bookmarkStart w:id="157" w:name="_Toc49155414"/>
            <w:bookmarkStart w:id="158" w:name="_Toc49223862"/>
            <w:r w:rsidRPr="00D12A36">
              <w:rPr>
                <w:rFonts w:cs="Calibri"/>
                <w:b/>
                <w:bCs/>
              </w:rPr>
              <w:t>Total Liabilities</w:t>
            </w:r>
            <w:bookmarkEnd w:id="156"/>
            <w:bookmarkEnd w:id="157"/>
            <w:bookmarkEnd w:id="158"/>
          </w:p>
        </w:tc>
        <w:tc>
          <w:tcPr>
            <w:tcW w:w="1660" w:type="dxa"/>
            <w:vAlign w:val="bottom"/>
          </w:tcPr>
          <w:p w14:paraId="712A02D7"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single" w:sz="2" w:space="0" w:color="auto"/>
            </w:tcBorders>
            <w:vAlign w:val="bottom"/>
          </w:tcPr>
          <w:p w14:paraId="73BBEC16" w14:textId="77777777" w:rsidR="006B5DF1" w:rsidRPr="00D12A36" w:rsidRDefault="006B5DF1" w:rsidP="006B5DF1">
            <w:pPr>
              <w:pStyle w:val="TableText"/>
              <w:tabs>
                <w:tab w:val="left" w:pos="3306"/>
              </w:tabs>
              <w:jc w:val="right"/>
              <w:rPr>
                <w:rFonts w:cs="Calibri"/>
                <w:b/>
                <w:bCs/>
              </w:rPr>
            </w:pPr>
          </w:p>
        </w:tc>
        <w:tc>
          <w:tcPr>
            <w:tcW w:w="1395" w:type="dxa"/>
            <w:tcBorders>
              <w:top w:val="single" w:sz="2" w:space="0" w:color="auto"/>
              <w:bottom w:val="single" w:sz="2" w:space="0" w:color="auto"/>
            </w:tcBorders>
            <w:vAlign w:val="bottom"/>
          </w:tcPr>
          <w:p w14:paraId="0B5CFD1C"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single" w:sz="2" w:space="0" w:color="auto"/>
            </w:tcBorders>
            <w:vAlign w:val="bottom"/>
          </w:tcPr>
          <w:p w14:paraId="0966CB0E" w14:textId="77777777" w:rsidR="006B5DF1" w:rsidRPr="00D12A36" w:rsidRDefault="006B5DF1" w:rsidP="006B5DF1">
            <w:pPr>
              <w:pStyle w:val="TableText"/>
              <w:tabs>
                <w:tab w:val="left" w:pos="3306"/>
              </w:tabs>
              <w:jc w:val="right"/>
              <w:rPr>
                <w:rFonts w:cs="Calibri"/>
                <w:b/>
                <w:bCs/>
              </w:rPr>
            </w:pPr>
          </w:p>
        </w:tc>
      </w:tr>
      <w:tr w:rsidR="006B5DF1" w:rsidRPr="00CF7E1B" w14:paraId="7659B486" w14:textId="77777777" w:rsidTr="00C736E0">
        <w:tc>
          <w:tcPr>
            <w:tcW w:w="1537" w:type="dxa"/>
            <w:tcBorders>
              <w:left w:val="single" w:sz="2" w:space="0" w:color="auto"/>
              <w:right w:val="single" w:sz="2" w:space="0" w:color="auto"/>
            </w:tcBorders>
          </w:tcPr>
          <w:p w14:paraId="5CC38075" w14:textId="77777777" w:rsidR="006B5DF1" w:rsidRPr="008238E7" w:rsidRDefault="006B5DF1" w:rsidP="006B5DF1">
            <w:pPr>
              <w:pStyle w:val="TableReference"/>
              <w:tabs>
                <w:tab w:val="left" w:pos="3306"/>
              </w:tabs>
              <w:rPr>
                <w:rFonts w:cs="Calibri"/>
                <w:color w:val="7030A0"/>
                <w:sz w:val="14"/>
              </w:rPr>
            </w:pPr>
          </w:p>
        </w:tc>
        <w:tc>
          <w:tcPr>
            <w:tcW w:w="3296" w:type="dxa"/>
            <w:tcBorders>
              <w:left w:val="single" w:sz="2" w:space="0" w:color="auto"/>
            </w:tcBorders>
            <w:vAlign w:val="bottom"/>
          </w:tcPr>
          <w:p w14:paraId="5323EB1C" w14:textId="77777777" w:rsidR="006B5DF1" w:rsidRPr="00D12A36" w:rsidRDefault="006B5DF1" w:rsidP="006B5DF1">
            <w:pPr>
              <w:pStyle w:val="TableText"/>
              <w:tabs>
                <w:tab w:val="left" w:pos="3306"/>
              </w:tabs>
              <w:rPr>
                <w:rFonts w:cs="Calibri"/>
                <w:b/>
                <w:bCs/>
              </w:rPr>
            </w:pPr>
            <w:r w:rsidRPr="00D12A36">
              <w:rPr>
                <w:rFonts w:cs="Calibri"/>
                <w:b/>
                <w:bCs/>
              </w:rPr>
              <w:t xml:space="preserve">Net Assets </w:t>
            </w:r>
          </w:p>
        </w:tc>
        <w:tc>
          <w:tcPr>
            <w:tcW w:w="1660" w:type="dxa"/>
            <w:vAlign w:val="bottom"/>
          </w:tcPr>
          <w:p w14:paraId="23FF6C83"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double" w:sz="4" w:space="0" w:color="auto"/>
            </w:tcBorders>
            <w:vAlign w:val="bottom"/>
          </w:tcPr>
          <w:p w14:paraId="18F2A12E" w14:textId="77777777" w:rsidR="006B5DF1" w:rsidRPr="00D12A36" w:rsidRDefault="006B5DF1" w:rsidP="006B5DF1">
            <w:pPr>
              <w:pStyle w:val="TableText"/>
              <w:tabs>
                <w:tab w:val="left" w:pos="3306"/>
              </w:tabs>
              <w:ind w:right="-1168"/>
              <w:jc w:val="center"/>
              <w:rPr>
                <w:rFonts w:cs="Calibri"/>
                <w:b/>
                <w:bCs/>
                <w:strike/>
              </w:rPr>
            </w:pPr>
          </w:p>
        </w:tc>
        <w:tc>
          <w:tcPr>
            <w:tcW w:w="1395" w:type="dxa"/>
            <w:tcBorders>
              <w:top w:val="single" w:sz="2" w:space="0" w:color="auto"/>
              <w:bottom w:val="double" w:sz="4" w:space="0" w:color="auto"/>
            </w:tcBorders>
            <w:vAlign w:val="bottom"/>
          </w:tcPr>
          <w:p w14:paraId="2F1E0F0B"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double" w:sz="4" w:space="0" w:color="auto"/>
            </w:tcBorders>
            <w:vAlign w:val="bottom"/>
          </w:tcPr>
          <w:p w14:paraId="2F33EEB7" w14:textId="77777777" w:rsidR="006B5DF1" w:rsidRPr="00D12A36" w:rsidRDefault="006B5DF1" w:rsidP="006B5DF1">
            <w:pPr>
              <w:pStyle w:val="TableText"/>
              <w:tabs>
                <w:tab w:val="left" w:pos="3306"/>
              </w:tabs>
              <w:jc w:val="right"/>
              <w:rPr>
                <w:rFonts w:cs="Calibri"/>
                <w:b/>
                <w:bCs/>
              </w:rPr>
            </w:pPr>
          </w:p>
        </w:tc>
      </w:tr>
      <w:tr w:rsidR="006B5DF1" w:rsidRPr="00CF7E1B" w14:paraId="0C1E9DD6" w14:textId="77777777" w:rsidTr="00C736E0">
        <w:trPr>
          <w:trHeight w:val="117"/>
        </w:trPr>
        <w:tc>
          <w:tcPr>
            <w:tcW w:w="1537" w:type="dxa"/>
            <w:tcBorders>
              <w:left w:val="single" w:sz="2" w:space="0" w:color="auto"/>
              <w:right w:val="single" w:sz="2" w:space="0" w:color="auto"/>
            </w:tcBorders>
            <w:vAlign w:val="bottom"/>
          </w:tcPr>
          <w:p w14:paraId="6A6F74E9" w14:textId="77777777" w:rsidR="006B5DF1" w:rsidRPr="008238E7" w:rsidRDefault="006B5DF1" w:rsidP="006B5DF1">
            <w:pPr>
              <w:pStyle w:val="TableReference"/>
              <w:tabs>
                <w:tab w:val="left" w:pos="3306"/>
              </w:tabs>
              <w:rPr>
                <w:rFonts w:cs="Calibri"/>
                <w:color w:val="7030A0"/>
                <w:sz w:val="14"/>
              </w:rPr>
            </w:pPr>
          </w:p>
        </w:tc>
        <w:tc>
          <w:tcPr>
            <w:tcW w:w="3296" w:type="dxa"/>
            <w:tcBorders>
              <w:left w:val="single" w:sz="2" w:space="0" w:color="auto"/>
            </w:tcBorders>
            <w:vAlign w:val="bottom"/>
          </w:tcPr>
          <w:p w14:paraId="50E4EEC7" w14:textId="77777777" w:rsidR="006B5DF1" w:rsidRPr="00D12A36" w:rsidRDefault="006B5DF1" w:rsidP="006B5DF1">
            <w:pPr>
              <w:pStyle w:val="TableText"/>
              <w:tabs>
                <w:tab w:val="left" w:pos="3306"/>
              </w:tabs>
              <w:spacing w:before="0"/>
              <w:rPr>
                <w:rFonts w:cs="Calibri"/>
                <w:sz w:val="12"/>
              </w:rPr>
            </w:pPr>
          </w:p>
        </w:tc>
        <w:tc>
          <w:tcPr>
            <w:tcW w:w="1660" w:type="dxa"/>
            <w:vAlign w:val="bottom"/>
          </w:tcPr>
          <w:p w14:paraId="79A923DA" w14:textId="77777777" w:rsidR="006B5DF1" w:rsidRPr="00D12A36" w:rsidRDefault="006B5DF1" w:rsidP="006B5DF1">
            <w:pPr>
              <w:pStyle w:val="TableText"/>
              <w:tabs>
                <w:tab w:val="left" w:pos="3306"/>
              </w:tabs>
              <w:spacing w:before="0"/>
              <w:jc w:val="center"/>
              <w:rPr>
                <w:rFonts w:cs="Calibri"/>
                <w:sz w:val="12"/>
              </w:rPr>
            </w:pPr>
          </w:p>
        </w:tc>
        <w:tc>
          <w:tcPr>
            <w:tcW w:w="1260" w:type="dxa"/>
            <w:tcBorders>
              <w:top w:val="double" w:sz="4" w:space="0" w:color="auto"/>
            </w:tcBorders>
            <w:vAlign w:val="bottom"/>
          </w:tcPr>
          <w:p w14:paraId="68D1610C" w14:textId="77777777" w:rsidR="006B5DF1" w:rsidRPr="00D12A36" w:rsidRDefault="006B5DF1" w:rsidP="006B5DF1">
            <w:pPr>
              <w:pStyle w:val="TableText"/>
              <w:tabs>
                <w:tab w:val="left" w:pos="3306"/>
              </w:tabs>
              <w:spacing w:before="0"/>
              <w:jc w:val="right"/>
              <w:rPr>
                <w:rFonts w:cs="Calibri"/>
                <w:sz w:val="12"/>
              </w:rPr>
            </w:pPr>
          </w:p>
        </w:tc>
        <w:tc>
          <w:tcPr>
            <w:tcW w:w="1395" w:type="dxa"/>
            <w:tcBorders>
              <w:top w:val="double" w:sz="4" w:space="0" w:color="auto"/>
            </w:tcBorders>
            <w:vAlign w:val="bottom"/>
          </w:tcPr>
          <w:p w14:paraId="4384F721" w14:textId="77777777" w:rsidR="006B5DF1" w:rsidRPr="00D12A36" w:rsidRDefault="006B5DF1" w:rsidP="006B5DF1">
            <w:pPr>
              <w:pStyle w:val="TableText"/>
              <w:tabs>
                <w:tab w:val="left" w:pos="3306"/>
              </w:tabs>
              <w:spacing w:before="0"/>
              <w:jc w:val="right"/>
              <w:rPr>
                <w:rFonts w:cs="Calibri"/>
                <w:sz w:val="12"/>
              </w:rPr>
            </w:pPr>
          </w:p>
        </w:tc>
        <w:tc>
          <w:tcPr>
            <w:tcW w:w="1396" w:type="dxa"/>
            <w:tcBorders>
              <w:top w:val="double" w:sz="4" w:space="0" w:color="auto"/>
            </w:tcBorders>
            <w:vAlign w:val="bottom"/>
          </w:tcPr>
          <w:p w14:paraId="5F098ACC" w14:textId="77777777" w:rsidR="006B5DF1" w:rsidRPr="00D12A36" w:rsidRDefault="006B5DF1" w:rsidP="006B5DF1">
            <w:pPr>
              <w:pStyle w:val="TableText"/>
              <w:tabs>
                <w:tab w:val="left" w:pos="3306"/>
              </w:tabs>
              <w:spacing w:before="0"/>
              <w:jc w:val="right"/>
              <w:rPr>
                <w:rFonts w:cs="Calibri"/>
                <w:sz w:val="12"/>
              </w:rPr>
            </w:pPr>
          </w:p>
        </w:tc>
      </w:tr>
      <w:tr w:rsidR="006B5DF1" w:rsidRPr="00CF7E1B" w14:paraId="53BB0309" w14:textId="77777777" w:rsidTr="00C736E0">
        <w:tc>
          <w:tcPr>
            <w:tcW w:w="1537" w:type="dxa"/>
            <w:tcBorders>
              <w:left w:val="single" w:sz="2" w:space="0" w:color="auto"/>
              <w:right w:val="single" w:sz="2" w:space="0" w:color="auto"/>
            </w:tcBorders>
          </w:tcPr>
          <w:p w14:paraId="0D99D989" w14:textId="77777777" w:rsidR="006B5DF1" w:rsidRPr="008238E7" w:rsidRDefault="006B5DF1" w:rsidP="006B5DF1">
            <w:pPr>
              <w:pStyle w:val="TableReference"/>
              <w:tabs>
                <w:tab w:val="left" w:pos="3306"/>
              </w:tabs>
              <w:spacing w:before="60"/>
              <w:rPr>
                <w:rFonts w:cs="Calibri"/>
                <w:color w:val="7030A0"/>
                <w:sz w:val="14"/>
              </w:rPr>
            </w:pPr>
            <w:r w:rsidRPr="008238E7">
              <w:rPr>
                <w:rFonts w:cs="Calibri"/>
                <w:color w:val="7030A0"/>
                <w:sz w:val="14"/>
              </w:rPr>
              <w:t>AASB 101.55</w:t>
            </w:r>
          </w:p>
        </w:tc>
        <w:tc>
          <w:tcPr>
            <w:tcW w:w="3296" w:type="dxa"/>
            <w:tcBorders>
              <w:left w:val="single" w:sz="2" w:space="0" w:color="auto"/>
            </w:tcBorders>
            <w:vAlign w:val="bottom"/>
          </w:tcPr>
          <w:p w14:paraId="623B187C" w14:textId="77777777" w:rsidR="006B5DF1" w:rsidRPr="00D12A36" w:rsidRDefault="006B5DF1" w:rsidP="006B5DF1">
            <w:pPr>
              <w:pStyle w:val="TableText"/>
              <w:tabs>
                <w:tab w:val="left" w:pos="3306"/>
              </w:tabs>
              <w:rPr>
                <w:rFonts w:cs="Calibri"/>
                <w:b/>
                <w:bCs/>
              </w:rPr>
            </w:pPr>
            <w:r w:rsidRPr="00D12A36">
              <w:rPr>
                <w:rFonts w:cs="Calibri"/>
                <w:b/>
                <w:bCs/>
              </w:rPr>
              <w:t>Equity</w:t>
            </w:r>
          </w:p>
        </w:tc>
        <w:tc>
          <w:tcPr>
            <w:tcW w:w="1660" w:type="dxa"/>
            <w:vAlign w:val="bottom"/>
          </w:tcPr>
          <w:p w14:paraId="10274456" w14:textId="77777777" w:rsidR="006B5DF1" w:rsidRPr="00D12A36" w:rsidRDefault="006B5DF1" w:rsidP="006B5DF1">
            <w:pPr>
              <w:pStyle w:val="TableText"/>
              <w:tabs>
                <w:tab w:val="left" w:pos="3306"/>
              </w:tabs>
              <w:jc w:val="center"/>
              <w:rPr>
                <w:rFonts w:cs="Calibri"/>
              </w:rPr>
            </w:pPr>
          </w:p>
        </w:tc>
        <w:tc>
          <w:tcPr>
            <w:tcW w:w="1260" w:type="dxa"/>
            <w:vAlign w:val="bottom"/>
          </w:tcPr>
          <w:p w14:paraId="4D755150" w14:textId="77777777" w:rsidR="006B5DF1" w:rsidRPr="00D12A36" w:rsidRDefault="006B5DF1" w:rsidP="006B5DF1">
            <w:pPr>
              <w:pStyle w:val="TableText"/>
              <w:tabs>
                <w:tab w:val="left" w:pos="3306"/>
              </w:tabs>
              <w:jc w:val="right"/>
              <w:rPr>
                <w:rFonts w:cs="Calibri"/>
                <w:b/>
                <w:bCs/>
              </w:rPr>
            </w:pPr>
          </w:p>
        </w:tc>
        <w:tc>
          <w:tcPr>
            <w:tcW w:w="1395" w:type="dxa"/>
            <w:vAlign w:val="bottom"/>
          </w:tcPr>
          <w:p w14:paraId="28BD3B23" w14:textId="77777777" w:rsidR="006B5DF1" w:rsidRPr="00D12A36" w:rsidRDefault="006B5DF1" w:rsidP="006B5DF1">
            <w:pPr>
              <w:pStyle w:val="TableText"/>
              <w:tabs>
                <w:tab w:val="left" w:pos="3306"/>
              </w:tabs>
              <w:jc w:val="right"/>
              <w:rPr>
                <w:rFonts w:cs="Calibri"/>
                <w:b/>
                <w:bCs/>
              </w:rPr>
            </w:pPr>
          </w:p>
        </w:tc>
        <w:tc>
          <w:tcPr>
            <w:tcW w:w="1396" w:type="dxa"/>
            <w:vAlign w:val="bottom"/>
          </w:tcPr>
          <w:p w14:paraId="7E9275B8" w14:textId="77777777" w:rsidR="006B5DF1" w:rsidRPr="00D12A36" w:rsidRDefault="006B5DF1" w:rsidP="006B5DF1">
            <w:pPr>
              <w:pStyle w:val="TableText"/>
              <w:tabs>
                <w:tab w:val="left" w:pos="3306"/>
              </w:tabs>
              <w:jc w:val="right"/>
              <w:rPr>
                <w:rFonts w:cs="Calibri"/>
                <w:b/>
                <w:bCs/>
              </w:rPr>
            </w:pPr>
          </w:p>
        </w:tc>
      </w:tr>
      <w:tr w:rsidR="006B5DF1" w:rsidRPr="00CF7E1B" w14:paraId="583190E7" w14:textId="77777777" w:rsidTr="00C736E0">
        <w:tc>
          <w:tcPr>
            <w:tcW w:w="1537" w:type="dxa"/>
            <w:tcBorders>
              <w:left w:val="single" w:sz="2" w:space="0" w:color="auto"/>
              <w:right w:val="single" w:sz="2" w:space="0" w:color="auto"/>
            </w:tcBorders>
          </w:tcPr>
          <w:p w14:paraId="64AAA353" w14:textId="77777777" w:rsidR="006B5DF1" w:rsidRPr="008238E7" w:rsidRDefault="006B5DF1" w:rsidP="006B5DF1">
            <w:pPr>
              <w:pStyle w:val="TableReference"/>
              <w:tabs>
                <w:tab w:val="left" w:pos="3306"/>
              </w:tabs>
              <w:spacing w:before="60"/>
              <w:rPr>
                <w:rFonts w:cs="Calibri"/>
                <w:color w:val="7030A0"/>
                <w:sz w:val="16"/>
                <w:szCs w:val="16"/>
              </w:rPr>
            </w:pPr>
          </w:p>
        </w:tc>
        <w:tc>
          <w:tcPr>
            <w:tcW w:w="3296" w:type="dxa"/>
            <w:tcBorders>
              <w:left w:val="single" w:sz="2" w:space="0" w:color="auto"/>
            </w:tcBorders>
            <w:vAlign w:val="bottom"/>
          </w:tcPr>
          <w:p w14:paraId="01488D96" w14:textId="1AF4D739" w:rsidR="006B5DF1" w:rsidRPr="00D12A36" w:rsidRDefault="006B5DF1" w:rsidP="006B5DF1">
            <w:pPr>
              <w:pStyle w:val="TableText"/>
              <w:tabs>
                <w:tab w:val="left" w:pos="3306"/>
              </w:tabs>
              <w:rPr>
                <w:rFonts w:cs="Calibri"/>
                <w:b/>
                <w:bCs/>
              </w:rPr>
            </w:pPr>
            <w:r w:rsidRPr="00D12A36">
              <w:rPr>
                <w:rFonts w:cs="Calibri"/>
                <w:color w:val="2E74B5" w:themeColor="accent1" w:themeShade="BF"/>
              </w:rPr>
              <w:t>Contributed Equit</w:t>
            </w:r>
            <w:r w:rsidR="009F31C7">
              <w:rPr>
                <w:rFonts w:cs="Calibri"/>
                <w:color w:val="2E74B5" w:themeColor="accent1" w:themeShade="BF"/>
              </w:rPr>
              <w:t>y</w:t>
            </w:r>
          </w:p>
        </w:tc>
        <w:tc>
          <w:tcPr>
            <w:tcW w:w="1660" w:type="dxa"/>
            <w:vAlign w:val="bottom"/>
          </w:tcPr>
          <w:p w14:paraId="576C57AE" w14:textId="77777777" w:rsidR="006B5DF1" w:rsidRPr="00D12A36" w:rsidRDefault="006B5DF1" w:rsidP="006B5DF1">
            <w:pPr>
              <w:pStyle w:val="TableText"/>
              <w:tabs>
                <w:tab w:val="left" w:pos="3306"/>
              </w:tabs>
              <w:jc w:val="center"/>
              <w:rPr>
                <w:rFonts w:cs="Calibri"/>
              </w:rPr>
            </w:pPr>
          </w:p>
        </w:tc>
        <w:tc>
          <w:tcPr>
            <w:tcW w:w="1260" w:type="dxa"/>
            <w:vAlign w:val="bottom"/>
          </w:tcPr>
          <w:p w14:paraId="726CA425" w14:textId="77777777" w:rsidR="006B5DF1" w:rsidRPr="00D12A36" w:rsidRDefault="006B5DF1" w:rsidP="006B5DF1">
            <w:pPr>
              <w:pStyle w:val="TableText"/>
              <w:tabs>
                <w:tab w:val="left" w:pos="3306"/>
              </w:tabs>
              <w:jc w:val="right"/>
              <w:rPr>
                <w:rFonts w:cs="Calibri"/>
                <w:b/>
                <w:bCs/>
              </w:rPr>
            </w:pPr>
          </w:p>
        </w:tc>
        <w:tc>
          <w:tcPr>
            <w:tcW w:w="1395" w:type="dxa"/>
            <w:vAlign w:val="bottom"/>
          </w:tcPr>
          <w:p w14:paraId="4CE2275C" w14:textId="77777777" w:rsidR="006B5DF1" w:rsidRPr="00D12A36" w:rsidRDefault="006B5DF1" w:rsidP="006B5DF1">
            <w:pPr>
              <w:pStyle w:val="TableText"/>
              <w:tabs>
                <w:tab w:val="left" w:pos="3306"/>
              </w:tabs>
              <w:jc w:val="right"/>
              <w:rPr>
                <w:rFonts w:cs="Calibri"/>
                <w:b/>
                <w:bCs/>
              </w:rPr>
            </w:pPr>
          </w:p>
        </w:tc>
        <w:tc>
          <w:tcPr>
            <w:tcW w:w="1396" w:type="dxa"/>
            <w:vAlign w:val="bottom"/>
          </w:tcPr>
          <w:p w14:paraId="1B0CE172" w14:textId="77777777" w:rsidR="006B5DF1" w:rsidRPr="00D12A36" w:rsidRDefault="006B5DF1" w:rsidP="006B5DF1">
            <w:pPr>
              <w:pStyle w:val="TableText"/>
              <w:tabs>
                <w:tab w:val="left" w:pos="3306"/>
              </w:tabs>
              <w:jc w:val="right"/>
              <w:rPr>
                <w:rFonts w:cs="Calibri"/>
                <w:b/>
                <w:bCs/>
              </w:rPr>
            </w:pPr>
          </w:p>
        </w:tc>
      </w:tr>
      <w:tr w:rsidR="006B5DF1" w:rsidRPr="00CF7E1B" w14:paraId="569230D8" w14:textId="77777777" w:rsidTr="00C736E0">
        <w:trPr>
          <w:trHeight w:val="242"/>
        </w:trPr>
        <w:tc>
          <w:tcPr>
            <w:tcW w:w="1537" w:type="dxa"/>
            <w:tcBorders>
              <w:left w:val="single" w:sz="2" w:space="0" w:color="auto"/>
              <w:right w:val="single" w:sz="2" w:space="0" w:color="auto"/>
            </w:tcBorders>
          </w:tcPr>
          <w:p w14:paraId="48705F63" w14:textId="77777777" w:rsidR="006B5DF1" w:rsidRPr="008238E7" w:rsidRDefault="006B5DF1" w:rsidP="006B5DF1">
            <w:pPr>
              <w:pStyle w:val="TableReference"/>
              <w:tabs>
                <w:tab w:val="left" w:pos="3306"/>
              </w:tabs>
              <w:spacing w:before="60"/>
              <w:rPr>
                <w:rFonts w:cs="Calibri"/>
                <w:color w:val="7030A0"/>
                <w:sz w:val="16"/>
                <w:szCs w:val="16"/>
              </w:rPr>
            </w:pPr>
          </w:p>
        </w:tc>
        <w:tc>
          <w:tcPr>
            <w:tcW w:w="3296" w:type="dxa"/>
            <w:tcBorders>
              <w:left w:val="single" w:sz="2" w:space="0" w:color="auto"/>
            </w:tcBorders>
            <w:vAlign w:val="bottom"/>
          </w:tcPr>
          <w:p w14:paraId="1A08411E" w14:textId="77777777" w:rsidR="006B5DF1" w:rsidRPr="00D12A36" w:rsidRDefault="006B5DF1" w:rsidP="00D12A36">
            <w:pPr>
              <w:pStyle w:val="TableText"/>
              <w:tabs>
                <w:tab w:val="left" w:pos="3306"/>
              </w:tabs>
              <w:spacing w:before="20"/>
              <w:rPr>
                <w:rFonts w:cs="Calibri"/>
              </w:rPr>
            </w:pPr>
            <w:r w:rsidRPr="00D12A36">
              <w:rPr>
                <w:rFonts w:cs="Calibri"/>
              </w:rPr>
              <w:t xml:space="preserve">Accumulated Funds </w:t>
            </w:r>
          </w:p>
        </w:tc>
        <w:tc>
          <w:tcPr>
            <w:tcW w:w="1660" w:type="dxa"/>
            <w:vAlign w:val="bottom"/>
          </w:tcPr>
          <w:p w14:paraId="49B6E1CE" w14:textId="77777777" w:rsidR="006B5DF1" w:rsidRPr="00D12A36" w:rsidRDefault="006B5DF1" w:rsidP="00D12A36">
            <w:pPr>
              <w:pStyle w:val="TableText"/>
              <w:tabs>
                <w:tab w:val="left" w:pos="3306"/>
              </w:tabs>
              <w:spacing w:before="20"/>
              <w:jc w:val="center"/>
              <w:rPr>
                <w:rFonts w:cs="Calibri"/>
              </w:rPr>
            </w:pPr>
          </w:p>
        </w:tc>
        <w:tc>
          <w:tcPr>
            <w:tcW w:w="1260" w:type="dxa"/>
            <w:vAlign w:val="bottom"/>
          </w:tcPr>
          <w:p w14:paraId="080187BD"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3DC1005A"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30375A5B" w14:textId="77777777" w:rsidR="006B5DF1" w:rsidRPr="00D12A36" w:rsidRDefault="006B5DF1" w:rsidP="00D12A36">
            <w:pPr>
              <w:pStyle w:val="TableText"/>
              <w:tabs>
                <w:tab w:val="left" w:pos="3306"/>
              </w:tabs>
              <w:spacing w:before="20"/>
              <w:jc w:val="right"/>
              <w:rPr>
                <w:rFonts w:cs="Calibri"/>
              </w:rPr>
            </w:pPr>
          </w:p>
        </w:tc>
      </w:tr>
      <w:tr w:rsidR="006B5DF1" w:rsidRPr="00CF7E1B" w14:paraId="7AB7CC88" w14:textId="77777777" w:rsidTr="00C736E0">
        <w:tc>
          <w:tcPr>
            <w:tcW w:w="1537" w:type="dxa"/>
            <w:tcBorders>
              <w:left w:val="single" w:sz="2" w:space="0" w:color="auto"/>
              <w:right w:val="single" w:sz="2" w:space="0" w:color="auto"/>
            </w:tcBorders>
          </w:tcPr>
          <w:p w14:paraId="4168BBDD"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69FBEE9D" w14:textId="77777777" w:rsidR="006B5DF1" w:rsidRPr="00D12A36" w:rsidRDefault="006B5DF1" w:rsidP="00D12A36">
            <w:pPr>
              <w:pStyle w:val="TableText"/>
              <w:tabs>
                <w:tab w:val="left" w:pos="3306"/>
              </w:tabs>
              <w:spacing w:before="20"/>
              <w:rPr>
                <w:rFonts w:cs="Calibri"/>
              </w:rPr>
            </w:pPr>
            <w:r w:rsidRPr="00D12A36">
              <w:rPr>
                <w:rFonts w:cs="Calibri"/>
              </w:rPr>
              <w:t>Asset Revaluation Surplus</w:t>
            </w:r>
          </w:p>
        </w:tc>
        <w:tc>
          <w:tcPr>
            <w:tcW w:w="1660" w:type="dxa"/>
            <w:vAlign w:val="bottom"/>
          </w:tcPr>
          <w:p w14:paraId="00FDFB5E" w14:textId="79854D88" w:rsidR="006B5DF1" w:rsidRPr="00D12A36" w:rsidRDefault="006B5DF1" w:rsidP="00D12A36">
            <w:pPr>
              <w:pStyle w:val="TableText"/>
              <w:tabs>
                <w:tab w:val="left" w:pos="3306"/>
              </w:tabs>
              <w:spacing w:before="20"/>
              <w:jc w:val="center"/>
              <w:rPr>
                <w:rFonts w:cs="Calibri"/>
                <w:strike/>
              </w:rPr>
            </w:pPr>
          </w:p>
        </w:tc>
        <w:tc>
          <w:tcPr>
            <w:tcW w:w="1260" w:type="dxa"/>
            <w:vAlign w:val="bottom"/>
          </w:tcPr>
          <w:p w14:paraId="2AA10211" w14:textId="77777777" w:rsidR="006B5DF1" w:rsidRPr="00D12A36" w:rsidRDefault="006B5DF1" w:rsidP="00D12A36">
            <w:pPr>
              <w:pStyle w:val="TableText"/>
              <w:tabs>
                <w:tab w:val="left" w:pos="3306"/>
              </w:tabs>
              <w:spacing w:before="20"/>
              <w:jc w:val="right"/>
              <w:rPr>
                <w:rFonts w:cs="Calibri"/>
              </w:rPr>
            </w:pPr>
          </w:p>
        </w:tc>
        <w:tc>
          <w:tcPr>
            <w:tcW w:w="1395" w:type="dxa"/>
            <w:vAlign w:val="bottom"/>
          </w:tcPr>
          <w:p w14:paraId="7DD91380" w14:textId="77777777" w:rsidR="006B5DF1" w:rsidRPr="00D12A36" w:rsidRDefault="006B5DF1" w:rsidP="00D12A36">
            <w:pPr>
              <w:pStyle w:val="TableText"/>
              <w:tabs>
                <w:tab w:val="left" w:pos="3306"/>
              </w:tabs>
              <w:spacing w:before="20"/>
              <w:jc w:val="right"/>
              <w:rPr>
                <w:rFonts w:cs="Calibri"/>
              </w:rPr>
            </w:pPr>
          </w:p>
        </w:tc>
        <w:tc>
          <w:tcPr>
            <w:tcW w:w="1396" w:type="dxa"/>
            <w:vAlign w:val="bottom"/>
          </w:tcPr>
          <w:p w14:paraId="0BCE0C3A" w14:textId="77777777" w:rsidR="006B5DF1" w:rsidRPr="00D12A36" w:rsidRDefault="006B5DF1" w:rsidP="00D12A36">
            <w:pPr>
              <w:pStyle w:val="TableText"/>
              <w:tabs>
                <w:tab w:val="left" w:pos="3306"/>
              </w:tabs>
              <w:spacing w:before="20"/>
              <w:jc w:val="right"/>
              <w:rPr>
                <w:rFonts w:cs="Calibri"/>
              </w:rPr>
            </w:pPr>
          </w:p>
        </w:tc>
      </w:tr>
      <w:tr w:rsidR="006B5DF1" w:rsidRPr="00CF7E1B" w14:paraId="52A79DC5" w14:textId="77777777" w:rsidTr="00C736E0">
        <w:tc>
          <w:tcPr>
            <w:tcW w:w="1537" w:type="dxa"/>
            <w:tcBorders>
              <w:left w:val="single" w:sz="2" w:space="0" w:color="auto"/>
              <w:right w:val="single" w:sz="2" w:space="0" w:color="auto"/>
            </w:tcBorders>
          </w:tcPr>
          <w:p w14:paraId="782E77D6"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29B84574" w14:textId="77777777" w:rsidR="006B5DF1" w:rsidRPr="00D12A36" w:rsidRDefault="006B5DF1" w:rsidP="00D12A36">
            <w:pPr>
              <w:pStyle w:val="TableText"/>
              <w:tabs>
                <w:tab w:val="left" w:pos="3306"/>
              </w:tabs>
              <w:spacing w:before="20"/>
              <w:rPr>
                <w:rFonts w:cs="Calibri"/>
                <w:b/>
                <w:bCs/>
              </w:rPr>
            </w:pPr>
            <w:r w:rsidRPr="00D12A36">
              <w:rPr>
                <w:rFonts w:cs="Calibri"/>
              </w:rPr>
              <w:t>Other Reserves</w:t>
            </w:r>
          </w:p>
        </w:tc>
        <w:tc>
          <w:tcPr>
            <w:tcW w:w="1660" w:type="dxa"/>
            <w:vAlign w:val="bottom"/>
          </w:tcPr>
          <w:p w14:paraId="1D4D3E99" w14:textId="77777777" w:rsidR="006B5DF1" w:rsidRPr="00D12A36" w:rsidRDefault="006B5DF1" w:rsidP="00D12A36">
            <w:pPr>
              <w:pStyle w:val="TableText"/>
              <w:tabs>
                <w:tab w:val="left" w:pos="3306"/>
              </w:tabs>
              <w:spacing w:before="20"/>
              <w:jc w:val="center"/>
              <w:rPr>
                <w:rFonts w:cs="Calibri"/>
              </w:rPr>
            </w:pPr>
          </w:p>
        </w:tc>
        <w:tc>
          <w:tcPr>
            <w:tcW w:w="1260" w:type="dxa"/>
            <w:tcBorders>
              <w:bottom w:val="single" w:sz="2" w:space="0" w:color="auto"/>
            </w:tcBorders>
            <w:vAlign w:val="bottom"/>
          </w:tcPr>
          <w:p w14:paraId="376723B0" w14:textId="77777777" w:rsidR="006B5DF1" w:rsidRPr="00D12A36" w:rsidRDefault="006B5DF1" w:rsidP="00D12A36">
            <w:pPr>
              <w:pStyle w:val="TableText"/>
              <w:tabs>
                <w:tab w:val="left" w:pos="3306"/>
              </w:tabs>
              <w:spacing w:before="20"/>
              <w:jc w:val="right"/>
              <w:rPr>
                <w:rFonts w:cs="Calibri"/>
              </w:rPr>
            </w:pPr>
          </w:p>
        </w:tc>
        <w:tc>
          <w:tcPr>
            <w:tcW w:w="1395" w:type="dxa"/>
            <w:tcBorders>
              <w:bottom w:val="single" w:sz="2" w:space="0" w:color="auto"/>
            </w:tcBorders>
            <w:vAlign w:val="bottom"/>
          </w:tcPr>
          <w:p w14:paraId="0AD0E1F2" w14:textId="77777777" w:rsidR="006B5DF1" w:rsidRPr="00D12A36" w:rsidRDefault="006B5DF1" w:rsidP="00D12A36">
            <w:pPr>
              <w:pStyle w:val="TableText"/>
              <w:tabs>
                <w:tab w:val="left" w:pos="3306"/>
              </w:tabs>
              <w:spacing w:before="20"/>
              <w:jc w:val="right"/>
              <w:rPr>
                <w:rFonts w:cs="Calibri"/>
              </w:rPr>
            </w:pPr>
          </w:p>
        </w:tc>
        <w:tc>
          <w:tcPr>
            <w:tcW w:w="1396" w:type="dxa"/>
            <w:tcBorders>
              <w:bottom w:val="single" w:sz="2" w:space="0" w:color="auto"/>
            </w:tcBorders>
            <w:vAlign w:val="bottom"/>
          </w:tcPr>
          <w:p w14:paraId="0A78AD93" w14:textId="77777777" w:rsidR="006B5DF1" w:rsidRPr="00D12A36" w:rsidRDefault="006B5DF1" w:rsidP="00D12A36">
            <w:pPr>
              <w:pStyle w:val="TableText"/>
              <w:tabs>
                <w:tab w:val="left" w:pos="3306"/>
              </w:tabs>
              <w:spacing w:before="20"/>
              <w:jc w:val="right"/>
              <w:rPr>
                <w:rFonts w:cs="Calibri"/>
              </w:rPr>
            </w:pPr>
          </w:p>
        </w:tc>
      </w:tr>
      <w:tr w:rsidR="006B5DF1" w:rsidRPr="00CF7E1B" w14:paraId="07A193E0" w14:textId="77777777" w:rsidTr="00C736E0">
        <w:tc>
          <w:tcPr>
            <w:tcW w:w="1537" w:type="dxa"/>
            <w:tcBorders>
              <w:left w:val="single" w:sz="2" w:space="0" w:color="auto"/>
              <w:right w:val="single" w:sz="2" w:space="0" w:color="auto"/>
            </w:tcBorders>
          </w:tcPr>
          <w:p w14:paraId="035C5F58" w14:textId="77777777" w:rsidR="006B5DF1" w:rsidRPr="008238E7" w:rsidRDefault="006B5DF1" w:rsidP="006B5DF1">
            <w:pPr>
              <w:pStyle w:val="TableReference"/>
              <w:tabs>
                <w:tab w:val="left" w:pos="3306"/>
              </w:tabs>
              <w:rPr>
                <w:rFonts w:cs="Calibri"/>
                <w:color w:val="7030A0"/>
                <w:sz w:val="16"/>
                <w:szCs w:val="16"/>
              </w:rPr>
            </w:pPr>
          </w:p>
        </w:tc>
        <w:tc>
          <w:tcPr>
            <w:tcW w:w="3296" w:type="dxa"/>
            <w:tcBorders>
              <w:left w:val="single" w:sz="2" w:space="0" w:color="auto"/>
            </w:tcBorders>
            <w:vAlign w:val="bottom"/>
          </w:tcPr>
          <w:p w14:paraId="09C25F1B" w14:textId="77777777" w:rsidR="006B5DF1" w:rsidRPr="00D12A36" w:rsidRDefault="006B5DF1" w:rsidP="006B5DF1">
            <w:pPr>
              <w:pStyle w:val="TableText"/>
              <w:tabs>
                <w:tab w:val="left" w:pos="3306"/>
              </w:tabs>
              <w:rPr>
                <w:rFonts w:cs="Calibri"/>
                <w:b/>
                <w:bCs/>
              </w:rPr>
            </w:pPr>
            <w:bookmarkStart w:id="159" w:name="_Toc48468223"/>
            <w:bookmarkStart w:id="160" w:name="_Toc49155415"/>
            <w:bookmarkStart w:id="161" w:name="_Toc49223863"/>
            <w:r w:rsidRPr="00D12A36">
              <w:rPr>
                <w:rFonts w:cs="Calibri"/>
                <w:b/>
                <w:bCs/>
              </w:rPr>
              <w:t>Total Equity</w:t>
            </w:r>
            <w:bookmarkEnd w:id="159"/>
            <w:bookmarkEnd w:id="160"/>
            <w:bookmarkEnd w:id="161"/>
          </w:p>
        </w:tc>
        <w:tc>
          <w:tcPr>
            <w:tcW w:w="1660" w:type="dxa"/>
            <w:vAlign w:val="bottom"/>
          </w:tcPr>
          <w:p w14:paraId="00C741C4" w14:textId="77777777" w:rsidR="006B5DF1" w:rsidRPr="00D12A36" w:rsidRDefault="006B5DF1" w:rsidP="006B5DF1">
            <w:pPr>
              <w:pStyle w:val="TableText"/>
              <w:tabs>
                <w:tab w:val="left" w:pos="3306"/>
              </w:tabs>
              <w:jc w:val="center"/>
              <w:rPr>
                <w:rFonts w:cs="Calibri"/>
              </w:rPr>
            </w:pPr>
          </w:p>
        </w:tc>
        <w:tc>
          <w:tcPr>
            <w:tcW w:w="1260" w:type="dxa"/>
            <w:tcBorders>
              <w:top w:val="single" w:sz="2" w:space="0" w:color="auto"/>
              <w:bottom w:val="double" w:sz="4" w:space="0" w:color="auto"/>
            </w:tcBorders>
            <w:vAlign w:val="bottom"/>
          </w:tcPr>
          <w:p w14:paraId="77329D18" w14:textId="77777777" w:rsidR="006B5DF1" w:rsidRPr="00D12A36" w:rsidRDefault="006B5DF1" w:rsidP="006B5DF1">
            <w:pPr>
              <w:pStyle w:val="TableText"/>
              <w:tabs>
                <w:tab w:val="left" w:pos="3306"/>
              </w:tabs>
              <w:jc w:val="right"/>
              <w:rPr>
                <w:rFonts w:cs="Calibri"/>
                <w:b/>
                <w:bCs/>
                <w:strike/>
              </w:rPr>
            </w:pPr>
          </w:p>
        </w:tc>
        <w:tc>
          <w:tcPr>
            <w:tcW w:w="1395" w:type="dxa"/>
            <w:tcBorders>
              <w:top w:val="single" w:sz="2" w:space="0" w:color="auto"/>
              <w:bottom w:val="double" w:sz="4" w:space="0" w:color="auto"/>
            </w:tcBorders>
            <w:vAlign w:val="bottom"/>
          </w:tcPr>
          <w:p w14:paraId="6BC197F4" w14:textId="77777777" w:rsidR="006B5DF1" w:rsidRPr="00D12A36" w:rsidRDefault="006B5DF1" w:rsidP="006B5DF1">
            <w:pPr>
              <w:pStyle w:val="TableText"/>
              <w:tabs>
                <w:tab w:val="left" w:pos="3306"/>
              </w:tabs>
              <w:jc w:val="right"/>
              <w:rPr>
                <w:rFonts w:cs="Calibri"/>
                <w:b/>
                <w:bCs/>
              </w:rPr>
            </w:pPr>
          </w:p>
        </w:tc>
        <w:tc>
          <w:tcPr>
            <w:tcW w:w="1396" w:type="dxa"/>
            <w:tcBorders>
              <w:top w:val="single" w:sz="2" w:space="0" w:color="auto"/>
              <w:bottom w:val="double" w:sz="4" w:space="0" w:color="auto"/>
            </w:tcBorders>
            <w:vAlign w:val="bottom"/>
          </w:tcPr>
          <w:p w14:paraId="7CEF6924" w14:textId="77777777" w:rsidR="006B5DF1" w:rsidRPr="00D12A36" w:rsidRDefault="006B5DF1" w:rsidP="006B5DF1">
            <w:pPr>
              <w:pStyle w:val="TableText"/>
              <w:tabs>
                <w:tab w:val="left" w:pos="3306"/>
              </w:tabs>
              <w:jc w:val="right"/>
              <w:rPr>
                <w:rFonts w:cs="Calibri"/>
                <w:b/>
                <w:bCs/>
              </w:rPr>
            </w:pPr>
          </w:p>
        </w:tc>
      </w:tr>
      <w:tr w:rsidR="00D664B1" w:rsidRPr="00851F40" w14:paraId="50692217" w14:textId="77777777" w:rsidTr="00C736E0">
        <w:tc>
          <w:tcPr>
            <w:tcW w:w="1537" w:type="dxa"/>
            <w:tcBorders>
              <w:left w:val="single" w:sz="2" w:space="0" w:color="auto"/>
              <w:right w:val="single" w:sz="2" w:space="0" w:color="auto"/>
            </w:tcBorders>
          </w:tcPr>
          <w:p w14:paraId="67678411" w14:textId="77777777" w:rsidR="00D664B1" w:rsidRPr="00851F40" w:rsidRDefault="00D664B1" w:rsidP="006B5DF1">
            <w:pPr>
              <w:pStyle w:val="TableReference"/>
              <w:tabs>
                <w:tab w:val="left" w:pos="3306"/>
              </w:tabs>
              <w:rPr>
                <w:rFonts w:cs="Calibri"/>
                <w:color w:val="7030A0"/>
                <w:sz w:val="14"/>
              </w:rPr>
            </w:pPr>
          </w:p>
        </w:tc>
        <w:tc>
          <w:tcPr>
            <w:tcW w:w="3296" w:type="dxa"/>
            <w:tcBorders>
              <w:left w:val="single" w:sz="2" w:space="0" w:color="auto"/>
            </w:tcBorders>
            <w:vAlign w:val="bottom"/>
          </w:tcPr>
          <w:p w14:paraId="094278BD" w14:textId="77777777" w:rsidR="00D664B1" w:rsidRPr="00851F40" w:rsidRDefault="00D664B1" w:rsidP="006B5DF1">
            <w:pPr>
              <w:pStyle w:val="TableText"/>
              <w:tabs>
                <w:tab w:val="left" w:pos="3306"/>
              </w:tabs>
              <w:rPr>
                <w:rFonts w:cs="Calibri"/>
                <w:b/>
                <w:bCs/>
                <w:sz w:val="14"/>
                <w:szCs w:val="14"/>
              </w:rPr>
            </w:pPr>
          </w:p>
        </w:tc>
        <w:tc>
          <w:tcPr>
            <w:tcW w:w="1660" w:type="dxa"/>
            <w:vAlign w:val="bottom"/>
          </w:tcPr>
          <w:p w14:paraId="561EA81A" w14:textId="77777777" w:rsidR="00D664B1" w:rsidRPr="00851F40" w:rsidRDefault="00D664B1" w:rsidP="006B5DF1">
            <w:pPr>
              <w:pStyle w:val="TableText"/>
              <w:tabs>
                <w:tab w:val="left" w:pos="3306"/>
              </w:tabs>
              <w:jc w:val="center"/>
              <w:rPr>
                <w:rFonts w:cs="Calibri"/>
                <w:sz w:val="14"/>
                <w:szCs w:val="14"/>
              </w:rPr>
            </w:pPr>
          </w:p>
        </w:tc>
        <w:tc>
          <w:tcPr>
            <w:tcW w:w="1260" w:type="dxa"/>
            <w:tcBorders>
              <w:top w:val="double" w:sz="4" w:space="0" w:color="auto"/>
            </w:tcBorders>
            <w:vAlign w:val="bottom"/>
          </w:tcPr>
          <w:p w14:paraId="7123C52F" w14:textId="77777777" w:rsidR="00D664B1" w:rsidRPr="00851F40" w:rsidRDefault="00D664B1" w:rsidP="006B5DF1">
            <w:pPr>
              <w:pStyle w:val="TableText"/>
              <w:tabs>
                <w:tab w:val="left" w:pos="3306"/>
              </w:tabs>
              <w:jc w:val="right"/>
              <w:rPr>
                <w:rFonts w:cs="Calibri"/>
                <w:b/>
                <w:bCs/>
                <w:strike/>
                <w:sz w:val="14"/>
                <w:szCs w:val="14"/>
              </w:rPr>
            </w:pPr>
          </w:p>
        </w:tc>
        <w:tc>
          <w:tcPr>
            <w:tcW w:w="1395" w:type="dxa"/>
            <w:tcBorders>
              <w:top w:val="double" w:sz="4" w:space="0" w:color="auto"/>
            </w:tcBorders>
            <w:vAlign w:val="bottom"/>
          </w:tcPr>
          <w:p w14:paraId="045090D1" w14:textId="77777777" w:rsidR="00D664B1" w:rsidRPr="00851F40" w:rsidRDefault="00D664B1" w:rsidP="006B5DF1">
            <w:pPr>
              <w:pStyle w:val="TableText"/>
              <w:tabs>
                <w:tab w:val="left" w:pos="3306"/>
              </w:tabs>
              <w:jc w:val="right"/>
              <w:rPr>
                <w:rFonts w:cs="Calibri"/>
                <w:b/>
                <w:bCs/>
                <w:sz w:val="14"/>
                <w:szCs w:val="14"/>
              </w:rPr>
            </w:pPr>
          </w:p>
        </w:tc>
        <w:tc>
          <w:tcPr>
            <w:tcW w:w="1396" w:type="dxa"/>
            <w:tcBorders>
              <w:top w:val="double" w:sz="4" w:space="0" w:color="auto"/>
            </w:tcBorders>
            <w:vAlign w:val="bottom"/>
          </w:tcPr>
          <w:p w14:paraId="21D05567" w14:textId="77777777" w:rsidR="00D664B1" w:rsidRPr="00851F40" w:rsidRDefault="00D664B1" w:rsidP="006B5DF1">
            <w:pPr>
              <w:pStyle w:val="TableText"/>
              <w:tabs>
                <w:tab w:val="left" w:pos="3306"/>
              </w:tabs>
              <w:jc w:val="right"/>
              <w:rPr>
                <w:rFonts w:cs="Calibri"/>
                <w:b/>
                <w:bCs/>
                <w:sz w:val="14"/>
                <w:szCs w:val="14"/>
              </w:rPr>
            </w:pPr>
          </w:p>
        </w:tc>
      </w:tr>
      <w:tr w:rsidR="006B5DF1" w:rsidRPr="00CF7E1B" w14:paraId="1E23B2DB" w14:textId="77777777" w:rsidTr="00C736E0">
        <w:tc>
          <w:tcPr>
            <w:tcW w:w="1537" w:type="dxa"/>
            <w:tcBorders>
              <w:left w:val="single" w:sz="2" w:space="0" w:color="auto"/>
              <w:right w:val="single" w:sz="2" w:space="0" w:color="auto"/>
            </w:tcBorders>
          </w:tcPr>
          <w:p w14:paraId="5CB2AD59" w14:textId="77777777" w:rsidR="006B5DF1" w:rsidRPr="008238E7" w:rsidRDefault="006B5DF1" w:rsidP="006B5DF1">
            <w:pPr>
              <w:pStyle w:val="TableReference"/>
              <w:tabs>
                <w:tab w:val="left" w:pos="3306"/>
              </w:tabs>
              <w:rPr>
                <w:rFonts w:cs="Calibri"/>
                <w:color w:val="7030A0"/>
                <w:sz w:val="18"/>
                <w:szCs w:val="18"/>
              </w:rPr>
            </w:pPr>
          </w:p>
        </w:tc>
        <w:tc>
          <w:tcPr>
            <w:tcW w:w="9007" w:type="dxa"/>
            <w:gridSpan w:val="5"/>
            <w:tcBorders>
              <w:left w:val="single" w:sz="2" w:space="0" w:color="auto"/>
            </w:tcBorders>
            <w:vAlign w:val="bottom"/>
          </w:tcPr>
          <w:p w14:paraId="4DB11948" w14:textId="06F043DE" w:rsidR="006B5DF1" w:rsidRPr="00D12A36" w:rsidRDefault="006B5DF1" w:rsidP="006B5DF1">
            <w:pPr>
              <w:pStyle w:val="CommentaryReference"/>
              <w:rPr>
                <w:rFonts w:cs="Calibri"/>
                <w:sz w:val="18"/>
                <w:szCs w:val="18"/>
              </w:rPr>
            </w:pPr>
            <w:r w:rsidRPr="00D12A36">
              <w:rPr>
                <w:rFonts w:cs="Calibri"/>
                <w:sz w:val="18"/>
                <w:szCs w:val="18"/>
              </w:rPr>
              <w:t>The above Balance Sheet is to be read in conjunction with the accompanying notes.</w:t>
            </w:r>
            <w:r w:rsidR="00FA7C77">
              <w:rPr>
                <w:rFonts w:cs="Calibri"/>
                <w:sz w:val="18"/>
                <w:szCs w:val="18"/>
              </w:rPr>
              <w:t xml:space="preserve"> </w:t>
            </w:r>
            <w:r w:rsidRPr="00D12A36">
              <w:rPr>
                <w:rFonts w:cs="Calibri"/>
                <w:sz w:val="18"/>
                <w:szCs w:val="18"/>
              </w:rPr>
              <w:t xml:space="preserve"> </w:t>
            </w:r>
          </w:p>
        </w:tc>
      </w:tr>
      <w:bookmarkEnd w:id="131"/>
    </w:tbl>
    <w:p w14:paraId="5A912AE9" w14:textId="77777777" w:rsidR="00F1706F" w:rsidRDefault="00F1706F" w:rsidP="006A4E19">
      <w:pPr>
        <w:rPr>
          <w:rFonts w:cs="Calibri"/>
          <w:bCs/>
          <w:sz w:val="16"/>
        </w:rPr>
        <w:sectPr w:rsidR="00F1706F" w:rsidSect="004514CD">
          <w:headerReference w:type="default" r:id="rId24"/>
          <w:footerReference w:type="default" r:id="rId25"/>
          <w:footnotePr>
            <w:numRestart w:val="eachPage"/>
          </w:footnotePr>
          <w:type w:val="nextColumn"/>
          <w:pgSz w:w="11907" w:h="16840" w:code="9"/>
          <w:pgMar w:top="567" w:right="680" w:bottom="567" w:left="680" w:header="284" w:footer="284" w:gutter="0"/>
          <w:cols w:space="720"/>
        </w:sectPr>
      </w:pPr>
    </w:p>
    <w:tbl>
      <w:tblPr>
        <w:tblW w:w="5001" w:type="pct"/>
        <w:tblInd w:w="-3" w:type="dxa"/>
        <w:shd w:val="clear" w:color="auto" w:fill="CCFFCC"/>
        <w:tblLook w:val="00A0" w:firstRow="1" w:lastRow="0" w:firstColumn="1" w:lastColumn="0" w:noHBand="0" w:noVBand="0"/>
      </w:tblPr>
      <w:tblGrid>
        <w:gridCol w:w="1560"/>
        <w:gridCol w:w="8986"/>
      </w:tblGrid>
      <w:tr w:rsidR="006A4E19" w:rsidRPr="00D31414" w14:paraId="4BDA0EC0" w14:textId="77777777" w:rsidTr="004D1EC6">
        <w:trPr>
          <w:cantSplit/>
          <w:trHeight w:val="20"/>
        </w:trPr>
        <w:tc>
          <w:tcPr>
            <w:tcW w:w="1560" w:type="dxa"/>
            <w:tcBorders>
              <w:left w:val="single" w:sz="2" w:space="0" w:color="auto"/>
              <w:right w:val="single" w:sz="2" w:space="0" w:color="auto"/>
            </w:tcBorders>
          </w:tcPr>
          <w:p w14:paraId="35225FF4" w14:textId="77777777" w:rsidR="006A4E19" w:rsidRPr="00E10D26" w:rsidRDefault="000413B6" w:rsidP="00BD1DCB">
            <w:pPr>
              <w:pStyle w:val="CommentaryTitle"/>
              <w:spacing w:before="0" w:after="240"/>
              <w:rPr>
                <w:rFonts w:cs="Calibri"/>
                <w:color w:val="7030A0"/>
              </w:rPr>
            </w:pPr>
            <w:r w:rsidRPr="00E10D26">
              <w:rPr>
                <w:rFonts w:cs="Calibri"/>
                <w:color w:val="7030A0"/>
              </w:rPr>
              <w:t>Reference</w:t>
            </w:r>
          </w:p>
        </w:tc>
        <w:tc>
          <w:tcPr>
            <w:tcW w:w="8986" w:type="dxa"/>
            <w:tcBorders>
              <w:left w:val="single" w:sz="2" w:space="0" w:color="auto"/>
            </w:tcBorders>
            <w:shd w:val="clear" w:color="auto" w:fill="7030A0"/>
          </w:tcPr>
          <w:p w14:paraId="02C7F3A1" w14:textId="77777777" w:rsidR="006A4E19" w:rsidRPr="00E10D26" w:rsidRDefault="006A4E19" w:rsidP="00BD1DCB">
            <w:pPr>
              <w:pStyle w:val="CommentaryTitle"/>
              <w:spacing w:before="0" w:after="240"/>
              <w:rPr>
                <w:rFonts w:cs="Calibri"/>
                <w:color w:val="FFFFFF" w:themeColor="background1"/>
                <w:sz w:val="28"/>
                <w:szCs w:val="28"/>
              </w:rPr>
            </w:pPr>
            <w:bookmarkStart w:id="162" w:name="_Toc50440314"/>
            <w:r w:rsidRPr="00E10D26">
              <w:rPr>
                <w:rFonts w:cs="Calibri"/>
                <w:color w:val="FFFFFF" w:themeColor="background1"/>
                <w:sz w:val="28"/>
                <w:szCs w:val="28"/>
              </w:rPr>
              <w:t xml:space="preserve">Commentary </w:t>
            </w:r>
            <w:r w:rsidRPr="00E10D26">
              <w:rPr>
                <w:rFonts w:cs="Calibri"/>
                <w:color w:val="FFFFFF" w:themeColor="background1"/>
                <w:sz w:val="28"/>
                <w:szCs w:val="28"/>
              </w:rPr>
              <w:sym w:font="Symbol" w:char="F02D"/>
            </w:r>
            <w:r w:rsidRPr="00E10D26">
              <w:rPr>
                <w:rFonts w:cs="Calibri"/>
                <w:color w:val="FFFFFF" w:themeColor="background1"/>
                <w:sz w:val="28"/>
                <w:szCs w:val="28"/>
              </w:rPr>
              <w:t xml:space="preserve"> </w:t>
            </w:r>
            <w:bookmarkEnd w:id="162"/>
            <w:r w:rsidRPr="00E10D26">
              <w:rPr>
                <w:rFonts w:cs="Calibri"/>
                <w:color w:val="FFFFFF" w:themeColor="background1"/>
                <w:sz w:val="28"/>
                <w:szCs w:val="28"/>
              </w:rPr>
              <w:t>Balance Sheet</w:t>
            </w:r>
          </w:p>
        </w:tc>
      </w:tr>
      <w:tr w:rsidR="006A4E19" w:rsidRPr="00D31414" w14:paraId="350A2758" w14:textId="77777777" w:rsidTr="004D1EC6">
        <w:trPr>
          <w:cantSplit/>
          <w:trHeight w:val="20"/>
        </w:trPr>
        <w:tc>
          <w:tcPr>
            <w:tcW w:w="1560" w:type="dxa"/>
            <w:tcBorders>
              <w:left w:val="single" w:sz="2" w:space="0" w:color="auto"/>
              <w:right w:val="single" w:sz="2" w:space="0" w:color="auto"/>
            </w:tcBorders>
          </w:tcPr>
          <w:p w14:paraId="56A58EA3" w14:textId="77777777" w:rsidR="006A4E19" w:rsidRPr="00E10D26" w:rsidRDefault="006A4E19" w:rsidP="006A4E19">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285DE440" w14:textId="77777777" w:rsidR="006A4E19" w:rsidRPr="00FA7C77" w:rsidRDefault="006A4E19" w:rsidP="00F1706F">
            <w:pPr>
              <w:pStyle w:val="CommentaryHeading"/>
              <w:tabs>
                <w:tab w:val="left" w:pos="3306"/>
              </w:tabs>
              <w:spacing w:before="0" w:after="0"/>
              <w:rPr>
                <w:rFonts w:cs="Calibri"/>
                <w:color w:val="FFFFFF" w:themeColor="background1"/>
                <w:szCs w:val="20"/>
              </w:rPr>
            </w:pPr>
            <w:r w:rsidRPr="00FA7C77">
              <w:rPr>
                <w:rFonts w:cs="Calibri"/>
                <w:color w:val="FFFFFF" w:themeColor="background1"/>
                <w:szCs w:val="20"/>
              </w:rPr>
              <w:t>Format</w:t>
            </w:r>
          </w:p>
        </w:tc>
      </w:tr>
      <w:tr w:rsidR="006A4E19" w:rsidRPr="00D31414" w14:paraId="3F0FF15D" w14:textId="77777777" w:rsidTr="004D1EC6">
        <w:trPr>
          <w:cantSplit/>
          <w:trHeight w:val="20"/>
        </w:trPr>
        <w:tc>
          <w:tcPr>
            <w:tcW w:w="1560" w:type="dxa"/>
            <w:tcBorders>
              <w:left w:val="single" w:sz="2" w:space="0" w:color="auto"/>
              <w:right w:val="single" w:sz="2" w:space="0" w:color="auto"/>
            </w:tcBorders>
          </w:tcPr>
          <w:p w14:paraId="6194285E" w14:textId="77777777" w:rsidR="006A4E19" w:rsidRPr="00E10D26" w:rsidRDefault="006A4E19" w:rsidP="006A4E19">
            <w:pPr>
              <w:pStyle w:val="TableReference"/>
              <w:tabs>
                <w:tab w:val="left" w:pos="3306"/>
              </w:tabs>
              <w:spacing w:before="60"/>
              <w:rPr>
                <w:rFonts w:cs="Calibri"/>
                <w:color w:val="7030A0"/>
                <w:sz w:val="14"/>
              </w:rPr>
            </w:pPr>
            <w:r w:rsidRPr="00E10D26">
              <w:rPr>
                <w:rFonts w:cs="Calibri"/>
                <w:color w:val="7030A0"/>
                <w:sz w:val="14"/>
              </w:rPr>
              <w:t>AASB 101</w:t>
            </w:r>
            <w:r w:rsidR="00D001B7" w:rsidRPr="00E10D26">
              <w:rPr>
                <w:rFonts w:cs="Calibri"/>
                <w:color w:val="7030A0"/>
                <w:sz w:val="14"/>
              </w:rPr>
              <w:t>.</w:t>
            </w:r>
            <w:r w:rsidRPr="00E10D26">
              <w:rPr>
                <w:rFonts w:cs="Calibri"/>
                <w:color w:val="7030A0"/>
                <w:sz w:val="14"/>
              </w:rPr>
              <w:t>54 - 80</w:t>
            </w:r>
          </w:p>
          <w:p w14:paraId="29D44986" w14:textId="77777777" w:rsidR="00BB23BC" w:rsidRPr="00E10D26" w:rsidRDefault="00CA71BB" w:rsidP="006A4E19">
            <w:pPr>
              <w:pStyle w:val="TableReference"/>
              <w:tabs>
                <w:tab w:val="left" w:pos="3306"/>
              </w:tabs>
              <w:spacing w:before="60"/>
              <w:rPr>
                <w:rFonts w:cs="Calibri"/>
                <w:color w:val="7030A0"/>
                <w:sz w:val="14"/>
              </w:rPr>
            </w:pPr>
            <w:r w:rsidRPr="00E10D26">
              <w:rPr>
                <w:rFonts w:cs="Calibri"/>
                <w:color w:val="7030A0"/>
                <w:sz w:val="14"/>
              </w:rPr>
              <w:t>AASB 101</w:t>
            </w:r>
            <w:r w:rsidR="00D65811" w:rsidRPr="00E10D26">
              <w:rPr>
                <w:rFonts w:cs="Calibri"/>
                <w:color w:val="7030A0"/>
                <w:sz w:val="14"/>
              </w:rPr>
              <w:t>.</w:t>
            </w:r>
            <w:r w:rsidRPr="00E10D26">
              <w:rPr>
                <w:rFonts w:cs="Calibri"/>
                <w:color w:val="7030A0"/>
                <w:sz w:val="14"/>
              </w:rPr>
              <w:t>5</w:t>
            </w:r>
            <w:r w:rsidR="00BB23BC" w:rsidRPr="00E10D26">
              <w:rPr>
                <w:rFonts w:cs="Calibri"/>
                <w:color w:val="7030A0"/>
                <w:sz w:val="14"/>
              </w:rPr>
              <w:t xml:space="preserve"> </w:t>
            </w:r>
          </w:p>
          <w:p w14:paraId="0BDD9058" w14:textId="5A9BE606" w:rsidR="00CA71BB" w:rsidRPr="00E10D26" w:rsidRDefault="00BB23BC" w:rsidP="006A4E19">
            <w:pPr>
              <w:pStyle w:val="TableReference"/>
              <w:tabs>
                <w:tab w:val="left" w:pos="3306"/>
              </w:tabs>
              <w:spacing w:before="60"/>
              <w:rPr>
                <w:rFonts w:cs="Calibri"/>
                <w:color w:val="7030A0"/>
                <w:sz w:val="14"/>
              </w:rPr>
            </w:pPr>
            <w:r w:rsidRPr="00E10D26">
              <w:rPr>
                <w:rFonts w:cs="Calibri"/>
                <w:color w:val="7030A0"/>
                <w:sz w:val="14"/>
              </w:rPr>
              <w:t>AASB 101.10</w:t>
            </w:r>
          </w:p>
          <w:p w14:paraId="7988A02A" w14:textId="7CB023E1" w:rsidR="006A4E19" w:rsidRPr="00E10D26" w:rsidRDefault="00CA71BB" w:rsidP="0000717F">
            <w:pPr>
              <w:pStyle w:val="TableReference"/>
              <w:tabs>
                <w:tab w:val="left" w:pos="3306"/>
              </w:tabs>
              <w:spacing w:before="60"/>
              <w:rPr>
                <w:rFonts w:cs="Calibri"/>
                <w:color w:val="7030A0"/>
                <w:sz w:val="14"/>
              </w:rPr>
            </w:pPr>
            <w:r w:rsidRPr="00E10D26">
              <w:rPr>
                <w:rFonts w:cs="Calibri"/>
                <w:color w:val="7030A0"/>
                <w:sz w:val="14"/>
              </w:rPr>
              <w:t xml:space="preserve">ACT </w:t>
            </w:r>
            <w:r w:rsidR="00511FD1" w:rsidRPr="00E10D26">
              <w:rPr>
                <w:rFonts w:cs="Calibri"/>
                <w:color w:val="7030A0"/>
                <w:sz w:val="14"/>
              </w:rPr>
              <w:t>Disclosure</w:t>
            </w:r>
            <w:r w:rsidRPr="00E10D26">
              <w:rPr>
                <w:rFonts w:cs="Calibri"/>
                <w:color w:val="7030A0"/>
                <w:sz w:val="14"/>
              </w:rPr>
              <w:t xml:space="preserve"> Policy</w:t>
            </w:r>
          </w:p>
        </w:tc>
        <w:tc>
          <w:tcPr>
            <w:tcW w:w="8986" w:type="dxa"/>
            <w:tcBorders>
              <w:left w:val="single" w:sz="2" w:space="0" w:color="auto"/>
            </w:tcBorders>
            <w:shd w:val="clear" w:color="auto" w:fill="7030A0"/>
          </w:tcPr>
          <w:p w14:paraId="792C99A9" w14:textId="49CF94E1" w:rsidR="006A4E19" w:rsidRPr="00E10D26" w:rsidRDefault="006249BF" w:rsidP="006A4E19">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w:t>
            </w:r>
            <w:r w:rsidR="006A4E19" w:rsidRPr="00E10D26">
              <w:rPr>
                <w:rFonts w:cs="Calibri"/>
                <w:color w:val="FFFFFF" w:themeColor="background1"/>
                <w:sz w:val="18"/>
                <w:szCs w:val="18"/>
              </w:rPr>
              <w:t xml:space="preserve"> Statement of Financial Position is to be included in the financial </w:t>
            </w:r>
            <w:r w:rsidR="00D7560F" w:rsidRPr="00E10D26">
              <w:rPr>
                <w:rFonts w:cs="Calibri"/>
                <w:color w:val="FFFFFF" w:themeColor="background1"/>
                <w:sz w:val="18"/>
                <w:szCs w:val="18"/>
              </w:rPr>
              <w:t>statements</w:t>
            </w:r>
            <w:r w:rsidR="00217BF3" w:rsidRPr="00E10D26">
              <w:rPr>
                <w:rFonts w:cs="Calibri"/>
                <w:color w:val="FFFFFF" w:themeColor="background1"/>
                <w:sz w:val="18"/>
                <w:szCs w:val="18"/>
              </w:rPr>
              <w:t>.</w:t>
            </w:r>
            <w:r w:rsidR="00FA7C77">
              <w:rPr>
                <w:rFonts w:cs="Calibri"/>
                <w:color w:val="FFFFFF" w:themeColor="background1"/>
                <w:sz w:val="18"/>
                <w:szCs w:val="18"/>
              </w:rPr>
              <w:t xml:space="preserve"> </w:t>
            </w:r>
            <w:r w:rsidR="006A4E19" w:rsidRPr="00E10D26">
              <w:rPr>
                <w:rFonts w:cs="Calibri"/>
                <w:color w:val="FFFFFF" w:themeColor="background1"/>
                <w:sz w:val="18"/>
                <w:szCs w:val="18"/>
              </w:rPr>
              <w:t xml:space="preserve">AASB 101 allows </w:t>
            </w:r>
            <w:r w:rsidR="00BB23BC" w:rsidRPr="00E10D26">
              <w:rPr>
                <w:rFonts w:cs="Calibri"/>
                <w:color w:val="FFFFFF" w:themeColor="background1"/>
                <w:sz w:val="18"/>
                <w:szCs w:val="18"/>
              </w:rPr>
              <w:t xml:space="preserve">both for-profit and </w:t>
            </w:r>
            <w:r w:rsidRPr="00E10D26">
              <w:rPr>
                <w:rFonts w:cs="Calibri"/>
                <w:color w:val="FFFFFF" w:themeColor="background1"/>
                <w:sz w:val="18"/>
                <w:szCs w:val="18"/>
              </w:rPr>
              <w:t>n</w:t>
            </w:r>
            <w:r w:rsidR="006A4E19" w:rsidRPr="00E10D26">
              <w:rPr>
                <w:rFonts w:cs="Calibri"/>
                <w:color w:val="FFFFFF" w:themeColor="background1"/>
                <w:sz w:val="18"/>
                <w:szCs w:val="18"/>
              </w:rPr>
              <w:t xml:space="preserve">ot-for-profit </w:t>
            </w:r>
            <w:r w:rsidR="00D7560F" w:rsidRPr="00E10D26">
              <w:rPr>
                <w:rFonts w:cs="Calibri"/>
                <w:color w:val="FFFFFF" w:themeColor="background1"/>
                <w:sz w:val="18"/>
                <w:szCs w:val="18"/>
              </w:rPr>
              <w:t>agencies</w:t>
            </w:r>
            <w:r w:rsidR="006A4E19" w:rsidRPr="00E10D26">
              <w:rPr>
                <w:rFonts w:cs="Calibri"/>
                <w:color w:val="FFFFFF" w:themeColor="background1"/>
                <w:sz w:val="18"/>
                <w:szCs w:val="18"/>
              </w:rPr>
              <w:t xml:space="preserve"> to change the title of their financial statements</w:t>
            </w:r>
            <w:r w:rsidR="00217BF3" w:rsidRPr="00E10D26">
              <w:rPr>
                <w:rFonts w:cs="Calibri"/>
                <w:color w:val="FFFFFF" w:themeColor="background1"/>
                <w:sz w:val="18"/>
                <w:szCs w:val="18"/>
              </w:rPr>
              <w:t>,</w:t>
            </w:r>
            <w:r w:rsidR="006A4E19" w:rsidRPr="00E10D26">
              <w:rPr>
                <w:rFonts w:cs="Calibri"/>
                <w:color w:val="FFFFFF" w:themeColor="background1"/>
                <w:sz w:val="18"/>
                <w:szCs w:val="18"/>
              </w:rPr>
              <w:t xml:space="preserve"> </w:t>
            </w:r>
            <w:r w:rsidR="00217BF3" w:rsidRPr="00E10D26">
              <w:rPr>
                <w:rFonts w:cs="Calibri"/>
                <w:color w:val="FFFFFF" w:themeColor="background1"/>
                <w:sz w:val="18"/>
                <w:szCs w:val="18"/>
              </w:rPr>
              <w:t>so i</w:t>
            </w:r>
            <w:r w:rsidR="0065051F" w:rsidRPr="00E10D26">
              <w:rPr>
                <w:rFonts w:cs="Calibri"/>
                <w:color w:val="FFFFFF" w:themeColor="background1"/>
                <w:sz w:val="18"/>
                <w:szCs w:val="18"/>
              </w:rPr>
              <w:t xml:space="preserve">t is ACT </w:t>
            </w:r>
            <w:r w:rsidR="00A67B85" w:rsidRPr="00E10D26">
              <w:rPr>
                <w:rFonts w:cs="Calibri"/>
                <w:color w:val="FFFFFF" w:themeColor="background1"/>
                <w:sz w:val="18"/>
                <w:szCs w:val="18"/>
              </w:rPr>
              <w:t>Disclosure</w:t>
            </w:r>
            <w:r w:rsidR="00D7560F" w:rsidRPr="00E10D26">
              <w:rPr>
                <w:rFonts w:cs="Calibri"/>
                <w:color w:val="FFFFFF" w:themeColor="background1"/>
                <w:sz w:val="18"/>
                <w:szCs w:val="18"/>
              </w:rPr>
              <w:t xml:space="preserve"> </w:t>
            </w:r>
            <w:r w:rsidR="0065051F" w:rsidRPr="00E10D26">
              <w:rPr>
                <w:rFonts w:cs="Calibri"/>
                <w:color w:val="FFFFFF" w:themeColor="background1"/>
                <w:sz w:val="18"/>
                <w:szCs w:val="18"/>
              </w:rPr>
              <w:t>policy</w:t>
            </w:r>
            <w:r w:rsidR="006A4E19" w:rsidRPr="00E10D26">
              <w:rPr>
                <w:rFonts w:cs="Calibri"/>
                <w:color w:val="FFFFFF" w:themeColor="background1"/>
                <w:sz w:val="18"/>
                <w:szCs w:val="18"/>
              </w:rPr>
              <w:t xml:space="preserve"> that the Statement of Financial Position be </w:t>
            </w:r>
            <w:r w:rsidR="00B022F8" w:rsidRPr="00E10D26">
              <w:rPr>
                <w:rFonts w:cs="Calibri"/>
                <w:color w:val="FFFFFF" w:themeColor="background1"/>
                <w:sz w:val="18"/>
                <w:szCs w:val="18"/>
              </w:rPr>
              <w:t xml:space="preserve">called </w:t>
            </w:r>
            <w:r w:rsidR="006A4E19" w:rsidRPr="00E10D26">
              <w:rPr>
                <w:rFonts w:cs="Calibri"/>
                <w:color w:val="FFFFFF" w:themeColor="background1"/>
                <w:sz w:val="18"/>
                <w:szCs w:val="18"/>
              </w:rPr>
              <w:t>the Balance Sheet.</w:t>
            </w:r>
            <w:r w:rsidR="00FA7C77">
              <w:rPr>
                <w:rFonts w:cs="Calibri"/>
                <w:color w:val="FFFFFF" w:themeColor="background1"/>
                <w:sz w:val="18"/>
                <w:szCs w:val="18"/>
              </w:rPr>
              <w:t xml:space="preserve"> </w:t>
            </w:r>
            <w:r w:rsidR="006A4E19" w:rsidRPr="00E10D26">
              <w:rPr>
                <w:rFonts w:cs="Calibri"/>
                <w:color w:val="FFFFFF" w:themeColor="background1"/>
                <w:sz w:val="18"/>
                <w:szCs w:val="18"/>
              </w:rPr>
              <w:t>AASB 101 sets out the format for the Balance Sheet, including certain line items that must be disclosed in the statement.</w:t>
            </w:r>
          </w:p>
        </w:tc>
      </w:tr>
      <w:tr w:rsidR="0000717F" w:rsidRPr="00D31414" w14:paraId="1305676C" w14:textId="77777777" w:rsidTr="004D1EC6">
        <w:trPr>
          <w:cantSplit/>
          <w:trHeight w:val="20"/>
        </w:trPr>
        <w:tc>
          <w:tcPr>
            <w:tcW w:w="1560" w:type="dxa"/>
            <w:tcBorders>
              <w:left w:val="single" w:sz="2" w:space="0" w:color="auto"/>
              <w:right w:val="single" w:sz="2" w:space="0" w:color="auto"/>
            </w:tcBorders>
          </w:tcPr>
          <w:p w14:paraId="3E37C5E8" w14:textId="77777777" w:rsidR="0000717F" w:rsidRPr="00E10D26" w:rsidRDefault="0000717F" w:rsidP="0000717F">
            <w:pPr>
              <w:pStyle w:val="TableReference"/>
              <w:tabs>
                <w:tab w:val="left" w:pos="3306"/>
              </w:tabs>
              <w:spacing w:before="40"/>
              <w:rPr>
                <w:rFonts w:cs="Calibri"/>
                <w:color w:val="7030A0"/>
                <w:sz w:val="14"/>
              </w:rPr>
            </w:pPr>
            <w:r w:rsidRPr="00E10D26">
              <w:rPr>
                <w:rFonts w:cs="Calibri"/>
                <w:color w:val="7030A0"/>
                <w:sz w:val="14"/>
              </w:rPr>
              <w:t xml:space="preserve">AASB 101.60 </w:t>
            </w:r>
          </w:p>
          <w:p w14:paraId="50E4E33D" w14:textId="77777777" w:rsidR="0000717F" w:rsidRPr="00E10D26" w:rsidRDefault="0000717F"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7EE7B84" w14:textId="42F90C5B" w:rsidR="0000717F" w:rsidRPr="00E10D26" w:rsidRDefault="0000717F" w:rsidP="006A4E19">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AASB 101 requires all assets and all liabilities to be presented as current or non-current except where a presentation based on liquidity provides information that is more relevant and reliable.</w:t>
            </w:r>
            <w:r w:rsidR="00FA7C77">
              <w:rPr>
                <w:rFonts w:cs="Calibri"/>
                <w:color w:val="FFFFFF" w:themeColor="background1"/>
                <w:sz w:val="18"/>
                <w:szCs w:val="18"/>
              </w:rPr>
              <w:t xml:space="preserve"> </w:t>
            </w:r>
            <w:r w:rsidRPr="00E10D26">
              <w:rPr>
                <w:rFonts w:cs="Calibri"/>
                <w:color w:val="FFFFFF" w:themeColor="background1"/>
                <w:sz w:val="18"/>
                <w:szCs w:val="18"/>
              </w:rPr>
              <w:t>Current assets should be presented separately from non-current assets and current liabilities should be presented separately from non-current liabilities in the Balance Sheet.</w:t>
            </w:r>
            <w:r w:rsidR="00FA7C77">
              <w:rPr>
                <w:rFonts w:cs="Calibri"/>
                <w:color w:val="FFFFFF" w:themeColor="background1"/>
                <w:sz w:val="18"/>
                <w:szCs w:val="18"/>
              </w:rPr>
              <w:t xml:space="preserve"> </w:t>
            </w:r>
          </w:p>
        </w:tc>
      </w:tr>
      <w:tr w:rsidR="006A4E19" w:rsidRPr="00D31414" w14:paraId="72B2BD5A" w14:textId="77777777" w:rsidTr="004D1EC6">
        <w:trPr>
          <w:cantSplit/>
          <w:trHeight w:val="20"/>
        </w:trPr>
        <w:tc>
          <w:tcPr>
            <w:tcW w:w="1560" w:type="dxa"/>
            <w:tcBorders>
              <w:left w:val="single" w:sz="2" w:space="0" w:color="auto"/>
              <w:right w:val="single" w:sz="2" w:space="0" w:color="auto"/>
            </w:tcBorders>
          </w:tcPr>
          <w:p w14:paraId="27BD5B4C" w14:textId="6D50F1E4" w:rsidR="00BE48A0" w:rsidRPr="00E10D26" w:rsidRDefault="006A4E19" w:rsidP="006A4E19">
            <w:pPr>
              <w:pStyle w:val="TableReference"/>
              <w:tabs>
                <w:tab w:val="left" w:pos="3306"/>
              </w:tabs>
              <w:spacing w:before="60"/>
              <w:rPr>
                <w:rFonts w:cs="Calibri"/>
                <w:color w:val="7030A0"/>
                <w:sz w:val="14"/>
              </w:rPr>
            </w:pPr>
            <w:r w:rsidRPr="00E10D26">
              <w:rPr>
                <w:rFonts w:cs="Calibri"/>
                <w:color w:val="7030A0"/>
                <w:sz w:val="14"/>
              </w:rPr>
              <w:t>AASB 101</w:t>
            </w:r>
            <w:r w:rsidR="00D65811" w:rsidRPr="00E10D26">
              <w:rPr>
                <w:rFonts w:cs="Calibri"/>
                <w:color w:val="7030A0"/>
                <w:sz w:val="14"/>
              </w:rPr>
              <w:t>.</w:t>
            </w:r>
            <w:r w:rsidRPr="00E10D26">
              <w:rPr>
                <w:rFonts w:cs="Calibri"/>
                <w:color w:val="7030A0"/>
                <w:sz w:val="14"/>
              </w:rPr>
              <w:t>54</w:t>
            </w:r>
          </w:p>
        </w:tc>
        <w:tc>
          <w:tcPr>
            <w:tcW w:w="8986" w:type="dxa"/>
            <w:tcBorders>
              <w:left w:val="single" w:sz="2" w:space="0" w:color="auto"/>
            </w:tcBorders>
            <w:shd w:val="clear" w:color="auto" w:fill="7030A0"/>
          </w:tcPr>
          <w:p w14:paraId="26644BB3" w14:textId="77777777" w:rsidR="006A4E19" w:rsidRPr="00E10D26" w:rsidRDefault="006A4E19" w:rsidP="0000717F">
            <w:pPr>
              <w:pStyle w:val="CommentaryText"/>
              <w:tabs>
                <w:tab w:val="left" w:pos="3306"/>
              </w:tabs>
              <w:spacing w:after="40"/>
              <w:rPr>
                <w:rFonts w:cs="Calibri"/>
                <w:color w:val="FFFFFF" w:themeColor="background1"/>
                <w:sz w:val="18"/>
                <w:szCs w:val="18"/>
              </w:rPr>
            </w:pPr>
            <w:r w:rsidRPr="00E10D26">
              <w:rPr>
                <w:rFonts w:cs="Calibri"/>
                <w:color w:val="FFFFFF" w:themeColor="background1"/>
                <w:sz w:val="18"/>
                <w:szCs w:val="18"/>
              </w:rPr>
              <w:t>AASB 101 requires the following items be disclosed separately in the Balance Sheet:</w:t>
            </w:r>
          </w:p>
          <w:p w14:paraId="2BE7B25F" w14:textId="08C070A4" w:rsidR="00CE21AE" w:rsidRPr="00E10D26" w:rsidRDefault="006A4E19" w:rsidP="0000717F">
            <w:pPr>
              <w:pStyle w:val="CommentaryText"/>
              <w:tabs>
                <w:tab w:val="left" w:pos="3306"/>
              </w:tabs>
              <w:spacing w:after="40"/>
              <w:rPr>
                <w:rFonts w:cs="Calibri"/>
                <w:color w:val="FFFFFF" w:themeColor="background1"/>
                <w:sz w:val="18"/>
                <w:szCs w:val="18"/>
              </w:rPr>
            </w:pPr>
            <w:r w:rsidRPr="00E10D26">
              <w:rPr>
                <w:rFonts w:cs="Calibri"/>
                <w:color w:val="FFFFFF" w:themeColor="background1"/>
                <w:sz w:val="18"/>
                <w:szCs w:val="18"/>
              </w:rPr>
              <w:t>Assets:</w:t>
            </w:r>
          </w:p>
        </w:tc>
      </w:tr>
      <w:tr w:rsidR="00F857F6" w:rsidRPr="00D31414" w14:paraId="468957CF" w14:textId="77777777" w:rsidTr="004D1EC6">
        <w:trPr>
          <w:cantSplit/>
          <w:trHeight w:val="20"/>
        </w:trPr>
        <w:tc>
          <w:tcPr>
            <w:tcW w:w="1560" w:type="dxa"/>
            <w:tcBorders>
              <w:left w:val="single" w:sz="2" w:space="0" w:color="auto"/>
              <w:right w:val="single" w:sz="2" w:space="0" w:color="auto"/>
            </w:tcBorders>
          </w:tcPr>
          <w:p w14:paraId="1895754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8C05BAA" w14:textId="41D04462" w:rsidR="00F857F6" w:rsidRPr="00E10D26" w:rsidRDefault="0000717F" w:rsidP="00E35CD2">
            <w:pPr>
              <w:pStyle w:val="Commentary-Bullet"/>
              <w:rPr>
                <w:rFonts w:cs="Calibri"/>
                <w:color w:val="FFFFFF" w:themeColor="background1"/>
                <w:sz w:val="18"/>
                <w:szCs w:val="18"/>
              </w:rPr>
            </w:pPr>
            <w:r w:rsidRPr="00E10D26">
              <w:rPr>
                <w:rFonts w:cs="Calibri"/>
                <w:color w:val="FFFFFF" w:themeColor="background1"/>
                <w:sz w:val="18"/>
                <w:szCs w:val="18"/>
              </w:rPr>
              <w:t>cash and cash equivalents;</w:t>
            </w:r>
          </w:p>
        </w:tc>
      </w:tr>
      <w:tr w:rsidR="00F857F6" w:rsidRPr="00D31414" w14:paraId="5B57FB4E" w14:textId="77777777" w:rsidTr="004D1EC6">
        <w:trPr>
          <w:cantSplit/>
          <w:trHeight w:val="20"/>
        </w:trPr>
        <w:tc>
          <w:tcPr>
            <w:tcW w:w="1560" w:type="dxa"/>
            <w:tcBorders>
              <w:left w:val="single" w:sz="2" w:space="0" w:color="auto"/>
              <w:right w:val="single" w:sz="2" w:space="0" w:color="auto"/>
            </w:tcBorders>
          </w:tcPr>
          <w:p w14:paraId="2C7AC39B"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CAEDCC2" w14:textId="43762E67"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trade and other receivables;</w:t>
            </w:r>
          </w:p>
        </w:tc>
      </w:tr>
      <w:tr w:rsidR="00F857F6" w:rsidRPr="00D31414" w14:paraId="64BF2943" w14:textId="77777777" w:rsidTr="004D1EC6">
        <w:trPr>
          <w:cantSplit/>
          <w:trHeight w:val="20"/>
        </w:trPr>
        <w:tc>
          <w:tcPr>
            <w:tcW w:w="1560" w:type="dxa"/>
            <w:tcBorders>
              <w:left w:val="single" w:sz="2" w:space="0" w:color="auto"/>
              <w:right w:val="single" w:sz="2" w:space="0" w:color="auto"/>
            </w:tcBorders>
          </w:tcPr>
          <w:p w14:paraId="7D55544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D8E3CCB" w14:textId="6FDD275E"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inventories;</w:t>
            </w:r>
          </w:p>
        </w:tc>
      </w:tr>
      <w:tr w:rsidR="00F857F6" w:rsidRPr="00D31414" w14:paraId="3631E98A" w14:textId="77777777" w:rsidTr="004D1EC6">
        <w:trPr>
          <w:cantSplit/>
          <w:trHeight w:val="20"/>
        </w:trPr>
        <w:tc>
          <w:tcPr>
            <w:tcW w:w="1560" w:type="dxa"/>
            <w:tcBorders>
              <w:left w:val="single" w:sz="2" w:space="0" w:color="auto"/>
              <w:right w:val="single" w:sz="2" w:space="0" w:color="auto"/>
            </w:tcBorders>
          </w:tcPr>
          <w:p w14:paraId="2EFB5F7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C893136" w14:textId="128C13EA"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assets held for sale and assets included in disposal groups classified as held for sale;</w:t>
            </w:r>
          </w:p>
        </w:tc>
      </w:tr>
      <w:tr w:rsidR="00F857F6" w:rsidRPr="00D31414" w14:paraId="29D4BA98" w14:textId="77777777" w:rsidTr="004D1EC6">
        <w:trPr>
          <w:cantSplit/>
          <w:trHeight w:val="20"/>
        </w:trPr>
        <w:tc>
          <w:tcPr>
            <w:tcW w:w="1560" w:type="dxa"/>
            <w:tcBorders>
              <w:left w:val="single" w:sz="2" w:space="0" w:color="auto"/>
              <w:right w:val="single" w:sz="2" w:space="0" w:color="auto"/>
            </w:tcBorders>
          </w:tcPr>
          <w:p w14:paraId="77EB8066"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0A9B6C0" w14:textId="2503A719"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investment property;</w:t>
            </w:r>
          </w:p>
        </w:tc>
      </w:tr>
      <w:tr w:rsidR="00F857F6" w:rsidRPr="00D31414" w14:paraId="42DED8D1" w14:textId="77777777" w:rsidTr="004D1EC6">
        <w:trPr>
          <w:cantSplit/>
          <w:trHeight w:val="20"/>
        </w:trPr>
        <w:tc>
          <w:tcPr>
            <w:tcW w:w="1560" w:type="dxa"/>
            <w:tcBorders>
              <w:left w:val="single" w:sz="2" w:space="0" w:color="auto"/>
              <w:right w:val="single" w:sz="2" w:space="0" w:color="auto"/>
            </w:tcBorders>
          </w:tcPr>
          <w:p w14:paraId="1C92887F"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C8B30E0" w14:textId="4879161F"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biological assets;</w:t>
            </w:r>
          </w:p>
        </w:tc>
      </w:tr>
      <w:tr w:rsidR="00F857F6" w:rsidRPr="00D31414" w14:paraId="580277E9" w14:textId="77777777" w:rsidTr="004D1EC6">
        <w:trPr>
          <w:cantSplit/>
          <w:trHeight w:val="20"/>
        </w:trPr>
        <w:tc>
          <w:tcPr>
            <w:tcW w:w="1560" w:type="dxa"/>
            <w:tcBorders>
              <w:left w:val="single" w:sz="2" w:space="0" w:color="auto"/>
              <w:right w:val="single" w:sz="2" w:space="0" w:color="auto"/>
            </w:tcBorders>
          </w:tcPr>
          <w:p w14:paraId="509E34C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605C8260" w14:textId="6371BDD8"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investments accounted for using the equity method;</w:t>
            </w:r>
          </w:p>
        </w:tc>
      </w:tr>
      <w:tr w:rsidR="00F857F6" w:rsidRPr="00D31414" w14:paraId="52D86E7C" w14:textId="77777777" w:rsidTr="004D1EC6">
        <w:trPr>
          <w:cantSplit/>
          <w:trHeight w:val="20"/>
        </w:trPr>
        <w:tc>
          <w:tcPr>
            <w:tcW w:w="1560" w:type="dxa"/>
            <w:tcBorders>
              <w:left w:val="single" w:sz="2" w:space="0" w:color="auto"/>
              <w:right w:val="single" w:sz="2" w:space="0" w:color="auto"/>
            </w:tcBorders>
          </w:tcPr>
          <w:p w14:paraId="2528311A"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1F082D9" w14:textId="2825DA7A"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current tax assets;</w:t>
            </w:r>
          </w:p>
        </w:tc>
      </w:tr>
      <w:tr w:rsidR="00F857F6" w:rsidRPr="00D31414" w14:paraId="38188E55" w14:textId="77777777" w:rsidTr="004D1EC6">
        <w:trPr>
          <w:cantSplit/>
          <w:trHeight w:val="20"/>
        </w:trPr>
        <w:tc>
          <w:tcPr>
            <w:tcW w:w="1560" w:type="dxa"/>
            <w:tcBorders>
              <w:left w:val="single" w:sz="2" w:space="0" w:color="auto"/>
              <w:right w:val="single" w:sz="2" w:space="0" w:color="auto"/>
            </w:tcBorders>
          </w:tcPr>
          <w:p w14:paraId="0B423BFB"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0703CE93" w14:textId="7C8CB914"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deferred tax assets;</w:t>
            </w:r>
          </w:p>
        </w:tc>
      </w:tr>
      <w:tr w:rsidR="00F857F6" w:rsidRPr="00D31414" w14:paraId="7512F5AA" w14:textId="77777777" w:rsidTr="004D1EC6">
        <w:trPr>
          <w:cantSplit/>
          <w:trHeight w:val="20"/>
        </w:trPr>
        <w:tc>
          <w:tcPr>
            <w:tcW w:w="1560" w:type="dxa"/>
            <w:tcBorders>
              <w:left w:val="single" w:sz="2" w:space="0" w:color="auto"/>
              <w:right w:val="single" w:sz="2" w:space="0" w:color="auto"/>
            </w:tcBorders>
          </w:tcPr>
          <w:p w14:paraId="37D569C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1473D9A" w14:textId="79C32D6F"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financial assets (excluding cash and cash equivalents, trade and other receivables, and investments accounted for using the equity method);</w:t>
            </w:r>
          </w:p>
        </w:tc>
      </w:tr>
      <w:tr w:rsidR="00F857F6" w:rsidRPr="00D31414" w14:paraId="42C9A6F6" w14:textId="77777777" w:rsidTr="004D1EC6">
        <w:trPr>
          <w:cantSplit/>
          <w:trHeight w:val="20"/>
        </w:trPr>
        <w:tc>
          <w:tcPr>
            <w:tcW w:w="1560" w:type="dxa"/>
            <w:tcBorders>
              <w:left w:val="single" w:sz="2" w:space="0" w:color="auto"/>
              <w:right w:val="single" w:sz="2" w:space="0" w:color="auto"/>
            </w:tcBorders>
          </w:tcPr>
          <w:p w14:paraId="5293668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7BD202FD" w14:textId="7BF1EC3B"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 xml:space="preserve">property, plant and equipment; and </w:t>
            </w:r>
          </w:p>
        </w:tc>
      </w:tr>
      <w:tr w:rsidR="00F857F6" w:rsidRPr="00D31414" w14:paraId="34ED2F38" w14:textId="77777777" w:rsidTr="004D1EC6">
        <w:trPr>
          <w:cantSplit/>
          <w:trHeight w:val="20"/>
        </w:trPr>
        <w:tc>
          <w:tcPr>
            <w:tcW w:w="1560" w:type="dxa"/>
            <w:tcBorders>
              <w:left w:val="single" w:sz="2" w:space="0" w:color="auto"/>
              <w:right w:val="single" w:sz="2" w:space="0" w:color="auto"/>
            </w:tcBorders>
          </w:tcPr>
          <w:p w14:paraId="37A1846E"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A623738" w14:textId="4FCFFA4F" w:rsidR="00F857F6" w:rsidRPr="00E10D26" w:rsidRDefault="00F857F6" w:rsidP="00F857F6">
            <w:pPr>
              <w:pStyle w:val="Commentary-Bullet"/>
              <w:rPr>
                <w:rFonts w:cs="Calibri"/>
                <w:color w:val="FFFFFF" w:themeColor="background1"/>
                <w:sz w:val="18"/>
                <w:szCs w:val="18"/>
              </w:rPr>
            </w:pPr>
            <w:r w:rsidRPr="00E10D26">
              <w:rPr>
                <w:rFonts w:cs="Calibri"/>
                <w:color w:val="FFFFFF" w:themeColor="background1"/>
                <w:sz w:val="18"/>
                <w:szCs w:val="18"/>
              </w:rPr>
              <w:t>intangible assets.</w:t>
            </w:r>
          </w:p>
        </w:tc>
      </w:tr>
      <w:tr w:rsidR="00F857F6" w:rsidRPr="00D31414" w14:paraId="3BE4ECB4" w14:textId="77777777" w:rsidTr="004D1EC6">
        <w:trPr>
          <w:cantSplit/>
          <w:trHeight w:val="20"/>
        </w:trPr>
        <w:tc>
          <w:tcPr>
            <w:tcW w:w="1560" w:type="dxa"/>
            <w:tcBorders>
              <w:left w:val="single" w:sz="2" w:space="0" w:color="auto"/>
              <w:right w:val="single" w:sz="2" w:space="0" w:color="auto"/>
            </w:tcBorders>
          </w:tcPr>
          <w:p w14:paraId="1AD584E8" w14:textId="006A9204" w:rsidR="00F857F6" w:rsidRPr="00E10D26" w:rsidRDefault="00F857F6" w:rsidP="006A4E19">
            <w:pPr>
              <w:pStyle w:val="TableReference"/>
              <w:tabs>
                <w:tab w:val="left" w:pos="3306"/>
              </w:tabs>
              <w:spacing w:before="60"/>
              <w:rPr>
                <w:rFonts w:cs="Calibri"/>
                <w:color w:val="7030A0"/>
                <w:sz w:val="14"/>
              </w:rPr>
            </w:pPr>
            <w:r w:rsidRPr="00E10D26">
              <w:rPr>
                <w:rFonts w:cs="Calibri"/>
                <w:color w:val="7030A0"/>
                <w:sz w:val="14"/>
              </w:rPr>
              <w:t>AASB 16.47</w:t>
            </w:r>
          </w:p>
        </w:tc>
        <w:tc>
          <w:tcPr>
            <w:tcW w:w="8986" w:type="dxa"/>
            <w:tcBorders>
              <w:left w:val="single" w:sz="2" w:space="0" w:color="auto"/>
            </w:tcBorders>
            <w:shd w:val="clear" w:color="auto" w:fill="7030A0"/>
          </w:tcPr>
          <w:p w14:paraId="0C588B4E" w14:textId="32A8C70E" w:rsidR="00F857F6" w:rsidRPr="00E10D26" w:rsidRDefault="00F857F6" w:rsidP="0000717F">
            <w:pPr>
              <w:pStyle w:val="Commentary-Bullet"/>
              <w:numPr>
                <w:ilvl w:val="0"/>
                <w:numId w:val="0"/>
              </w:numPr>
              <w:spacing w:after="0"/>
              <w:rPr>
                <w:rFonts w:cs="Calibri"/>
                <w:color w:val="FFFFFF" w:themeColor="background1"/>
                <w:sz w:val="18"/>
                <w:szCs w:val="18"/>
              </w:rPr>
            </w:pPr>
            <w:r w:rsidRPr="00E10D26">
              <w:rPr>
                <w:rFonts w:cs="Calibri"/>
                <w:color w:val="FFFFFF" w:themeColor="background1"/>
                <w:sz w:val="18"/>
                <w:szCs w:val="18"/>
              </w:rPr>
              <w:t xml:space="preserve">Right-of use assets are disclosed in Note </w:t>
            </w:r>
            <w:r w:rsidR="00FA3E79" w:rsidRPr="00E10D26">
              <w:rPr>
                <w:rFonts w:cs="Calibri"/>
                <w:color w:val="FFFFFF" w:themeColor="background1"/>
                <w:sz w:val="18"/>
                <w:szCs w:val="18"/>
              </w:rPr>
              <w:t xml:space="preserve">19 </w:t>
            </w:r>
            <w:r w:rsidRPr="00E10D26">
              <w:rPr>
                <w:rFonts w:cs="Calibri"/>
                <w:i/>
                <w:iCs/>
                <w:color w:val="FFFFFF" w:themeColor="background1"/>
                <w:sz w:val="18"/>
                <w:szCs w:val="18"/>
              </w:rPr>
              <w:t>Property, Plant and Equipment</w:t>
            </w:r>
            <w:r w:rsidRPr="00E10D26">
              <w:rPr>
                <w:rFonts w:cs="Calibri"/>
                <w:color w:val="FFFFFF" w:themeColor="background1"/>
                <w:sz w:val="18"/>
                <w:szCs w:val="18"/>
              </w:rPr>
              <w:t xml:space="preserve"> under the relevant class of asset.</w:t>
            </w:r>
          </w:p>
        </w:tc>
      </w:tr>
      <w:tr w:rsidR="00F857F6" w:rsidRPr="00D31414" w14:paraId="41B3F020" w14:textId="77777777" w:rsidTr="004D1EC6">
        <w:trPr>
          <w:cantSplit/>
          <w:trHeight w:val="20"/>
        </w:trPr>
        <w:tc>
          <w:tcPr>
            <w:tcW w:w="1560" w:type="dxa"/>
            <w:tcBorders>
              <w:left w:val="single" w:sz="2" w:space="0" w:color="auto"/>
              <w:right w:val="single" w:sz="2" w:space="0" w:color="auto"/>
            </w:tcBorders>
          </w:tcPr>
          <w:p w14:paraId="75865FF7"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F1C74A7" w14:textId="28D6E9E6" w:rsidR="00F857F6" w:rsidRPr="00E10D26" w:rsidRDefault="00F857F6" w:rsidP="0000717F">
            <w:pPr>
              <w:pStyle w:val="CommentaryText"/>
              <w:tabs>
                <w:tab w:val="left" w:pos="3306"/>
              </w:tabs>
              <w:spacing w:before="120" w:after="40"/>
              <w:rPr>
                <w:rFonts w:cs="Calibri"/>
                <w:color w:val="FFFFFF" w:themeColor="background1"/>
                <w:sz w:val="18"/>
                <w:szCs w:val="18"/>
              </w:rPr>
            </w:pPr>
            <w:r w:rsidRPr="00E10D26">
              <w:rPr>
                <w:rFonts w:cs="Calibri"/>
                <w:color w:val="FFFFFF" w:themeColor="background1"/>
                <w:sz w:val="18"/>
                <w:szCs w:val="18"/>
              </w:rPr>
              <w:t>Liabilities:</w:t>
            </w:r>
          </w:p>
        </w:tc>
      </w:tr>
      <w:tr w:rsidR="00F857F6" w:rsidRPr="00D31414" w14:paraId="5200E5BF" w14:textId="77777777" w:rsidTr="004D1EC6">
        <w:trPr>
          <w:cantSplit/>
          <w:trHeight w:val="20"/>
        </w:trPr>
        <w:tc>
          <w:tcPr>
            <w:tcW w:w="1560" w:type="dxa"/>
            <w:tcBorders>
              <w:left w:val="single" w:sz="2" w:space="0" w:color="auto"/>
              <w:right w:val="single" w:sz="2" w:space="0" w:color="auto"/>
            </w:tcBorders>
          </w:tcPr>
          <w:p w14:paraId="0788915D"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D3D415A" w14:textId="0FC8C36C"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trade and other payables;</w:t>
            </w:r>
          </w:p>
        </w:tc>
      </w:tr>
      <w:tr w:rsidR="006A4E19" w:rsidRPr="00D31414" w14:paraId="7913C401" w14:textId="77777777" w:rsidTr="004D1EC6">
        <w:trPr>
          <w:cantSplit/>
          <w:trHeight w:val="20"/>
        </w:trPr>
        <w:tc>
          <w:tcPr>
            <w:tcW w:w="1560" w:type="dxa"/>
            <w:tcBorders>
              <w:left w:val="single" w:sz="2" w:space="0" w:color="auto"/>
              <w:right w:val="single" w:sz="2" w:space="0" w:color="auto"/>
            </w:tcBorders>
          </w:tcPr>
          <w:p w14:paraId="2B52BB33" w14:textId="1B2CD3C4" w:rsidR="009C7894" w:rsidRPr="00E10D26" w:rsidRDefault="009C7894" w:rsidP="006A4E19">
            <w:pPr>
              <w:pStyle w:val="TableReference"/>
              <w:tabs>
                <w:tab w:val="left" w:pos="3306"/>
              </w:tabs>
              <w:spacing w:before="60"/>
              <w:rPr>
                <w:rFonts w:cs="Calibri"/>
                <w:color w:val="7030A0"/>
                <w:sz w:val="14"/>
              </w:rPr>
            </w:pPr>
            <w:bookmarkStart w:id="163" w:name="_Hlk40092274"/>
          </w:p>
        </w:tc>
        <w:tc>
          <w:tcPr>
            <w:tcW w:w="8986" w:type="dxa"/>
            <w:tcBorders>
              <w:left w:val="single" w:sz="2" w:space="0" w:color="auto"/>
            </w:tcBorders>
            <w:shd w:val="clear" w:color="auto" w:fill="7030A0"/>
          </w:tcPr>
          <w:p w14:paraId="6561EED1" w14:textId="7CFF47AC" w:rsidR="00FE5703"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liabilities included in a disposal group classified as held for sale;</w:t>
            </w:r>
          </w:p>
        </w:tc>
      </w:tr>
      <w:tr w:rsidR="00F857F6" w:rsidRPr="00D31414" w14:paraId="235BBA5F" w14:textId="77777777" w:rsidTr="004D1EC6">
        <w:trPr>
          <w:cantSplit/>
          <w:trHeight w:val="20"/>
        </w:trPr>
        <w:tc>
          <w:tcPr>
            <w:tcW w:w="1560" w:type="dxa"/>
            <w:tcBorders>
              <w:left w:val="single" w:sz="2" w:space="0" w:color="auto"/>
              <w:right w:val="single" w:sz="2" w:space="0" w:color="auto"/>
            </w:tcBorders>
          </w:tcPr>
          <w:p w14:paraId="783C0EE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3140DA1" w14:textId="4B665E9C"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current tax liabilities;</w:t>
            </w:r>
          </w:p>
        </w:tc>
      </w:tr>
      <w:tr w:rsidR="00F857F6" w:rsidRPr="00D31414" w14:paraId="7D4B437E" w14:textId="77777777" w:rsidTr="004D1EC6">
        <w:trPr>
          <w:cantSplit/>
          <w:trHeight w:val="20"/>
        </w:trPr>
        <w:tc>
          <w:tcPr>
            <w:tcW w:w="1560" w:type="dxa"/>
            <w:tcBorders>
              <w:left w:val="single" w:sz="2" w:space="0" w:color="auto"/>
              <w:right w:val="single" w:sz="2" w:space="0" w:color="auto"/>
            </w:tcBorders>
          </w:tcPr>
          <w:p w14:paraId="44D4FCEE"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9F81505" w14:textId="79F9992B"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deferred tax liabilities;</w:t>
            </w:r>
          </w:p>
        </w:tc>
      </w:tr>
      <w:tr w:rsidR="00F857F6" w:rsidRPr="00D31414" w14:paraId="4B285E3E" w14:textId="77777777" w:rsidTr="004D1EC6">
        <w:trPr>
          <w:cantSplit/>
          <w:trHeight w:val="20"/>
        </w:trPr>
        <w:tc>
          <w:tcPr>
            <w:tcW w:w="1560" w:type="dxa"/>
            <w:tcBorders>
              <w:left w:val="single" w:sz="2" w:space="0" w:color="auto"/>
              <w:right w:val="single" w:sz="2" w:space="0" w:color="auto"/>
            </w:tcBorders>
          </w:tcPr>
          <w:p w14:paraId="3C39F173"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5F09F9F" w14:textId="27FC1B58"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financial liabilities (excluding trade and other payables, and provisions); and</w:t>
            </w:r>
          </w:p>
        </w:tc>
      </w:tr>
      <w:tr w:rsidR="00F857F6" w:rsidRPr="00D31414" w14:paraId="692BC5A7" w14:textId="77777777" w:rsidTr="004D1EC6">
        <w:trPr>
          <w:cantSplit/>
          <w:trHeight w:val="20"/>
        </w:trPr>
        <w:tc>
          <w:tcPr>
            <w:tcW w:w="1560" w:type="dxa"/>
            <w:tcBorders>
              <w:left w:val="single" w:sz="2" w:space="0" w:color="auto"/>
              <w:right w:val="single" w:sz="2" w:space="0" w:color="auto"/>
            </w:tcBorders>
          </w:tcPr>
          <w:p w14:paraId="77C6B0DF"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C7C573F" w14:textId="534B5371"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provisions.</w:t>
            </w:r>
          </w:p>
        </w:tc>
      </w:tr>
      <w:tr w:rsidR="00F857F6" w:rsidRPr="00D31414" w14:paraId="3D05D872" w14:textId="77777777" w:rsidTr="004D1EC6">
        <w:trPr>
          <w:cantSplit/>
          <w:trHeight w:val="20"/>
        </w:trPr>
        <w:tc>
          <w:tcPr>
            <w:tcW w:w="1560" w:type="dxa"/>
            <w:tcBorders>
              <w:left w:val="single" w:sz="2" w:space="0" w:color="auto"/>
              <w:right w:val="single" w:sz="2" w:space="0" w:color="auto"/>
            </w:tcBorders>
          </w:tcPr>
          <w:p w14:paraId="72EF7045" w14:textId="77777777" w:rsidR="00F857F6" w:rsidRPr="00E10D26" w:rsidRDefault="00F857F6" w:rsidP="00F857F6">
            <w:pPr>
              <w:pStyle w:val="TableReference"/>
              <w:tabs>
                <w:tab w:val="left" w:pos="3306"/>
              </w:tabs>
              <w:spacing w:before="60"/>
              <w:rPr>
                <w:rFonts w:cs="Calibri"/>
                <w:color w:val="7030A0"/>
                <w:sz w:val="14"/>
              </w:rPr>
            </w:pPr>
            <w:r w:rsidRPr="00E10D26">
              <w:rPr>
                <w:rFonts w:cs="Calibri"/>
                <w:color w:val="7030A0"/>
                <w:sz w:val="14"/>
              </w:rPr>
              <w:t>AASB 101.55</w:t>
            </w:r>
          </w:p>
          <w:p w14:paraId="572EA6B9"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3BEE28C" w14:textId="4C1524C6" w:rsidR="00E10D26" w:rsidRPr="00E10D26" w:rsidRDefault="00F857F6" w:rsidP="00E10D26">
            <w:pPr>
              <w:pStyle w:val="CommentaryText"/>
              <w:spacing w:after="40"/>
              <w:rPr>
                <w:rFonts w:cs="Calibri"/>
                <w:color w:val="FFFFFF" w:themeColor="background1"/>
                <w:sz w:val="18"/>
                <w:szCs w:val="18"/>
              </w:rPr>
            </w:pPr>
            <w:r w:rsidRPr="00E10D26">
              <w:rPr>
                <w:rFonts w:cs="Calibri"/>
                <w:color w:val="FFFFFF" w:themeColor="background1"/>
                <w:sz w:val="18"/>
                <w:szCs w:val="18"/>
              </w:rPr>
              <w:t>Additional line items (including by disaggregating the line items listed above), headings and sub-totals shall be presented in the Balance Sheet when their presentation is relevant to the understanding of the agency’s financial position.</w:t>
            </w:r>
            <w:r w:rsidR="00FA7C77">
              <w:rPr>
                <w:rFonts w:cs="Calibri"/>
                <w:color w:val="FFFFFF" w:themeColor="background1"/>
                <w:sz w:val="18"/>
                <w:szCs w:val="18"/>
              </w:rPr>
              <w:t xml:space="preserve"> </w:t>
            </w:r>
            <w:r w:rsidRPr="00E10D26">
              <w:rPr>
                <w:rFonts w:cs="Calibri"/>
                <w:color w:val="FFFFFF" w:themeColor="background1"/>
                <w:sz w:val="18"/>
                <w:szCs w:val="18"/>
              </w:rPr>
              <w:t>These additional sub-totals must:</w:t>
            </w:r>
          </w:p>
        </w:tc>
      </w:tr>
      <w:tr w:rsidR="00F857F6" w:rsidRPr="00D31414" w14:paraId="0C803BC7" w14:textId="77777777" w:rsidTr="004D1EC6">
        <w:trPr>
          <w:cantSplit/>
          <w:trHeight w:val="20"/>
        </w:trPr>
        <w:tc>
          <w:tcPr>
            <w:tcW w:w="1560" w:type="dxa"/>
            <w:tcBorders>
              <w:left w:val="single" w:sz="2" w:space="0" w:color="auto"/>
              <w:right w:val="single" w:sz="2" w:space="0" w:color="auto"/>
            </w:tcBorders>
          </w:tcPr>
          <w:p w14:paraId="7D4CCE98" w14:textId="21C4B52F" w:rsidR="00F857F6" w:rsidRPr="00E10D26" w:rsidRDefault="00F857F6" w:rsidP="006A4E19">
            <w:pPr>
              <w:pStyle w:val="TableReference"/>
              <w:tabs>
                <w:tab w:val="left" w:pos="3306"/>
              </w:tabs>
              <w:spacing w:before="60"/>
              <w:rPr>
                <w:rFonts w:cs="Calibri"/>
                <w:color w:val="7030A0"/>
                <w:sz w:val="14"/>
              </w:rPr>
            </w:pPr>
            <w:r w:rsidRPr="00E10D26">
              <w:rPr>
                <w:rFonts w:cs="Calibri"/>
                <w:color w:val="7030A0"/>
                <w:sz w:val="14"/>
              </w:rPr>
              <w:t>AASB 101.55A</w:t>
            </w:r>
          </w:p>
        </w:tc>
        <w:tc>
          <w:tcPr>
            <w:tcW w:w="8986" w:type="dxa"/>
            <w:tcBorders>
              <w:left w:val="single" w:sz="2" w:space="0" w:color="auto"/>
            </w:tcBorders>
            <w:shd w:val="clear" w:color="auto" w:fill="7030A0"/>
          </w:tcPr>
          <w:p w14:paraId="069E9329" w14:textId="156F80F9"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 xml:space="preserve">be made up of items recognised and measured in accordance with Australian Accounting Standards; </w:t>
            </w:r>
          </w:p>
        </w:tc>
      </w:tr>
      <w:tr w:rsidR="00F857F6" w:rsidRPr="00D31414" w14:paraId="5D3C6460" w14:textId="77777777" w:rsidTr="004D1EC6">
        <w:trPr>
          <w:cantSplit/>
          <w:trHeight w:val="20"/>
        </w:trPr>
        <w:tc>
          <w:tcPr>
            <w:tcW w:w="1560" w:type="dxa"/>
            <w:tcBorders>
              <w:left w:val="single" w:sz="2" w:space="0" w:color="auto"/>
              <w:right w:val="single" w:sz="2" w:space="0" w:color="auto"/>
            </w:tcBorders>
          </w:tcPr>
          <w:p w14:paraId="343D47C0"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DF64EDE" w14:textId="75E6F9B0"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be presented and labelled in a manner that makes the sub-totals clear and understandable and consistent from period to period; and</w:t>
            </w:r>
          </w:p>
        </w:tc>
      </w:tr>
      <w:tr w:rsidR="00F857F6" w:rsidRPr="00D31414" w14:paraId="52817179" w14:textId="77777777" w:rsidTr="004D1EC6">
        <w:trPr>
          <w:cantSplit/>
          <w:trHeight w:val="20"/>
        </w:trPr>
        <w:tc>
          <w:tcPr>
            <w:tcW w:w="1560" w:type="dxa"/>
            <w:tcBorders>
              <w:left w:val="single" w:sz="2" w:space="0" w:color="auto"/>
              <w:right w:val="single" w:sz="2" w:space="0" w:color="auto"/>
            </w:tcBorders>
          </w:tcPr>
          <w:p w14:paraId="228CFC0C"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15AE15A7" w14:textId="171D14FD" w:rsidR="00F857F6" w:rsidRPr="00E10D26" w:rsidRDefault="00F857F6" w:rsidP="00E35CD2">
            <w:pPr>
              <w:pStyle w:val="Commentary-Bullet"/>
              <w:rPr>
                <w:rFonts w:cs="Calibri"/>
                <w:color w:val="FFFFFF" w:themeColor="background1"/>
                <w:sz w:val="18"/>
                <w:szCs w:val="18"/>
              </w:rPr>
            </w:pPr>
            <w:r w:rsidRPr="00E10D26">
              <w:rPr>
                <w:rFonts w:cs="Calibri"/>
                <w:color w:val="FFFFFF" w:themeColor="background1"/>
                <w:sz w:val="18"/>
                <w:szCs w:val="18"/>
              </w:rPr>
              <w:t>not be displayed with more prominence than the sub-totals and totals required in Australian Accounting Standards.</w:t>
            </w:r>
          </w:p>
        </w:tc>
      </w:tr>
      <w:tr w:rsidR="00F857F6" w:rsidRPr="00D31414" w14:paraId="2BA87DAE" w14:textId="77777777" w:rsidTr="004D1EC6">
        <w:trPr>
          <w:cantSplit/>
          <w:trHeight w:val="20"/>
        </w:trPr>
        <w:tc>
          <w:tcPr>
            <w:tcW w:w="1560" w:type="dxa"/>
            <w:tcBorders>
              <w:left w:val="single" w:sz="2" w:space="0" w:color="auto"/>
              <w:right w:val="single" w:sz="2" w:space="0" w:color="auto"/>
            </w:tcBorders>
          </w:tcPr>
          <w:p w14:paraId="36246D31" w14:textId="77777777" w:rsidR="00F857F6" w:rsidRPr="00E10D26" w:rsidRDefault="00F857F6"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E7DD030" w14:textId="51A0890D" w:rsidR="00F857F6" w:rsidRPr="00E10D26" w:rsidRDefault="00F857F6" w:rsidP="001C4BA2">
            <w:pPr>
              <w:pStyle w:val="CommentaryText"/>
              <w:rPr>
                <w:rFonts w:cs="Calibri"/>
                <w:color w:val="FFFFFF" w:themeColor="background1"/>
                <w:sz w:val="18"/>
                <w:szCs w:val="18"/>
              </w:rPr>
            </w:pPr>
            <w:r w:rsidRPr="00E10D26">
              <w:rPr>
                <w:rFonts w:cs="Calibri"/>
                <w:color w:val="FFFFFF" w:themeColor="background1"/>
                <w:sz w:val="18"/>
                <w:szCs w:val="18"/>
              </w:rPr>
              <w:t>Note that where an agency has no amounts applicable to any individual line item, that line item should not be included in the Balance Sheet.</w:t>
            </w:r>
          </w:p>
        </w:tc>
      </w:tr>
      <w:tr w:rsidR="00410F73" w:rsidRPr="00D31414" w14:paraId="6CC0A038" w14:textId="77777777" w:rsidTr="004D1EC6">
        <w:trPr>
          <w:cantSplit/>
          <w:trHeight w:val="20"/>
        </w:trPr>
        <w:tc>
          <w:tcPr>
            <w:tcW w:w="1560" w:type="dxa"/>
            <w:tcBorders>
              <w:left w:val="single" w:sz="2" w:space="0" w:color="auto"/>
              <w:right w:val="single" w:sz="2" w:space="0" w:color="auto"/>
            </w:tcBorders>
          </w:tcPr>
          <w:p w14:paraId="33D97E24" w14:textId="77777777" w:rsidR="00410F73" w:rsidRPr="00E10D26" w:rsidRDefault="00410F73" w:rsidP="0000717F">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9C8F08A" w14:textId="0BA048FE" w:rsidR="00410F73" w:rsidRPr="00E10D26" w:rsidRDefault="00410F73" w:rsidP="0000717F">
            <w:pPr>
              <w:pStyle w:val="CommentaryText"/>
              <w:rPr>
                <w:rFonts w:cs="Calibri"/>
                <w:strike/>
                <w:color w:val="FFFFFF" w:themeColor="background1"/>
                <w:sz w:val="18"/>
                <w:szCs w:val="18"/>
              </w:rPr>
            </w:pPr>
            <w:r w:rsidRPr="00E10D26">
              <w:rPr>
                <w:rFonts w:cs="Calibri"/>
                <w:color w:val="FFFFFF" w:themeColor="background1"/>
                <w:sz w:val="18"/>
                <w:szCs w:val="18"/>
              </w:rPr>
              <w:t xml:space="preserve">The Contributed Equity line item contained in the Model Balance Sheet relates to Territory Authorities. </w:t>
            </w:r>
          </w:p>
        </w:tc>
      </w:tr>
      <w:bookmarkEnd w:id="163"/>
      <w:tr w:rsidR="0000717F" w:rsidRPr="00D31414" w14:paraId="7473D6D4" w14:textId="77777777" w:rsidTr="004D1EC6">
        <w:trPr>
          <w:cantSplit/>
          <w:trHeight w:val="20"/>
        </w:trPr>
        <w:tc>
          <w:tcPr>
            <w:tcW w:w="1560" w:type="dxa"/>
            <w:tcBorders>
              <w:left w:val="single" w:sz="2" w:space="0" w:color="auto"/>
              <w:right w:val="single" w:sz="2" w:space="0" w:color="auto"/>
            </w:tcBorders>
          </w:tcPr>
          <w:p w14:paraId="26A52996" w14:textId="29392C12" w:rsidR="001D66DB" w:rsidRDefault="001D66DB" w:rsidP="009A0F2F">
            <w:pPr>
              <w:pStyle w:val="TableReference"/>
              <w:tabs>
                <w:tab w:val="left" w:pos="3306"/>
              </w:tabs>
              <w:spacing w:before="60"/>
              <w:rPr>
                <w:rFonts w:cs="Calibri"/>
                <w:color w:val="7030A0"/>
                <w:sz w:val="14"/>
              </w:rPr>
            </w:pPr>
            <w:r w:rsidRPr="00E10D26">
              <w:rPr>
                <w:rFonts w:cs="Calibri"/>
                <w:color w:val="7030A0"/>
                <w:sz w:val="14"/>
              </w:rPr>
              <w:t>AASB 101.51(c), 51(e) &amp;53</w:t>
            </w:r>
          </w:p>
          <w:p w14:paraId="2912A159" w14:textId="42573551" w:rsidR="0000717F" w:rsidRPr="00E10D26" w:rsidRDefault="0000717F" w:rsidP="009A0F2F">
            <w:pPr>
              <w:pStyle w:val="TableReference"/>
              <w:tabs>
                <w:tab w:val="left" w:pos="3306"/>
              </w:tabs>
              <w:spacing w:before="60"/>
              <w:rPr>
                <w:rFonts w:cs="Calibri"/>
                <w:color w:val="7030A0"/>
                <w:sz w:val="14"/>
              </w:rPr>
            </w:pPr>
            <w:r w:rsidRPr="00E10D26">
              <w:rPr>
                <w:rFonts w:cs="Calibri"/>
                <w:color w:val="7030A0"/>
                <w:sz w:val="14"/>
              </w:rPr>
              <w:t>AASB 101.113</w:t>
            </w:r>
          </w:p>
        </w:tc>
        <w:tc>
          <w:tcPr>
            <w:tcW w:w="8986" w:type="dxa"/>
            <w:tcBorders>
              <w:left w:val="single" w:sz="2" w:space="0" w:color="auto"/>
            </w:tcBorders>
            <w:shd w:val="clear" w:color="auto" w:fill="7030A0"/>
          </w:tcPr>
          <w:p w14:paraId="1D68C6B2" w14:textId="579B69CA" w:rsidR="001D66DB" w:rsidRDefault="001D66DB" w:rsidP="0000717F">
            <w:pPr>
              <w:pStyle w:val="CommentaryText"/>
              <w:rPr>
                <w:rFonts w:cs="Calibri"/>
                <w:color w:val="FFFFFF" w:themeColor="background1"/>
                <w:sz w:val="18"/>
                <w:szCs w:val="18"/>
              </w:rPr>
            </w:pPr>
            <w:r w:rsidRPr="00E10D26">
              <w:rPr>
                <w:rFonts w:cs="Calibri"/>
                <w:color w:val="FFFFFF" w:themeColor="background1"/>
                <w:sz w:val="18"/>
                <w:szCs w:val="18"/>
              </w:rPr>
              <w:t>The reporting date and rounding used in the Balance Sheet must be identified.</w:t>
            </w:r>
          </w:p>
          <w:p w14:paraId="4AC4A17B" w14:textId="1F5BBCDA" w:rsidR="0000717F" w:rsidRPr="00E10D26" w:rsidRDefault="0000717F" w:rsidP="0000717F">
            <w:pPr>
              <w:pStyle w:val="CommentaryText"/>
              <w:rPr>
                <w:rFonts w:cs="Calibri"/>
                <w:color w:val="FFFFFF" w:themeColor="background1"/>
                <w:sz w:val="18"/>
                <w:szCs w:val="18"/>
              </w:rPr>
            </w:pPr>
            <w:r w:rsidRPr="00E10D26">
              <w:rPr>
                <w:rFonts w:cs="Calibri"/>
                <w:color w:val="FFFFFF" w:themeColor="background1"/>
                <w:sz w:val="18"/>
                <w:szCs w:val="18"/>
              </w:rPr>
              <w:t>The Balance Sheet must be cross-referenced to relevant notes included, based on materiality considerations.</w:t>
            </w:r>
          </w:p>
        </w:tc>
      </w:tr>
      <w:tr w:rsidR="0000717F" w:rsidRPr="00D31414" w14:paraId="1E1205EE" w14:textId="77777777" w:rsidTr="004D1EC6">
        <w:trPr>
          <w:cantSplit/>
          <w:trHeight w:val="20"/>
        </w:trPr>
        <w:tc>
          <w:tcPr>
            <w:tcW w:w="1560" w:type="dxa"/>
            <w:tcBorders>
              <w:left w:val="single" w:sz="2" w:space="0" w:color="auto"/>
              <w:right w:val="single" w:sz="2" w:space="0" w:color="auto"/>
            </w:tcBorders>
          </w:tcPr>
          <w:p w14:paraId="1B05797B" w14:textId="77777777" w:rsidR="0000717F" w:rsidRPr="00E10D26" w:rsidRDefault="0000717F" w:rsidP="009A0F2F">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C121DE7" w14:textId="77777777" w:rsidR="0000717F" w:rsidRPr="00FA7C77" w:rsidRDefault="0000717F" w:rsidP="0000717F">
            <w:pPr>
              <w:pStyle w:val="CommentaryText"/>
              <w:spacing w:after="0"/>
              <w:rPr>
                <w:rFonts w:cs="Calibri"/>
                <w:b/>
                <w:bCs/>
                <w:color w:val="FFFFFF" w:themeColor="background1"/>
                <w:szCs w:val="20"/>
              </w:rPr>
            </w:pPr>
            <w:r w:rsidRPr="00FA7C77">
              <w:rPr>
                <w:rFonts w:cs="Calibri"/>
                <w:b/>
                <w:bCs/>
                <w:color w:val="FFFFFF" w:themeColor="background1"/>
                <w:szCs w:val="20"/>
              </w:rPr>
              <w:t>Budget</w:t>
            </w:r>
          </w:p>
        </w:tc>
      </w:tr>
      <w:tr w:rsidR="00DA64E7" w:rsidRPr="00D31414" w14:paraId="44818425" w14:textId="77777777" w:rsidTr="004D1EC6">
        <w:trPr>
          <w:cantSplit/>
          <w:trHeight w:val="20"/>
        </w:trPr>
        <w:tc>
          <w:tcPr>
            <w:tcW w:w="1560" w:type="dxa"/>
            <w:tcBorders>
              <w:left w:val="single" w:sz="2" w:space="0" w:color="auto"/>
              <w:right w:val="single" w:sz="2" w:space="0" w:color="auto"/>
            </w:tcBorders>
          </w:tcPr>
          <w:p w14:paraId="03700036" w14:textId="77777777" w:rsidR="0000717F" w:rsidRPr="00E10D26" w:rsidRDefault="0000717F" w:rsidP="009A0F2F">
            <w:pPr>
              <w:pStyle w:val="TableReference"/>
              <w:tabs>
                <w:tab w:val="left" w:pos="3306"/>
              </w:tabs>
              <w:spacing w:before="60"/>
              <w:rPr>
                <w:rFonts w:cs="Calibri"/>
                <w:color w:val="7030A0"/>
                <w:sz w:val="14"/>
              </w:rPr>
            </w:pPr>
            <w:r w:rsidRPr="00E10D26">
              <w:rPr>
                <w:rFonts w:cs="Calibri"/>
                <w:color w:val="7030A0"/>
                <w:sz w:val="14"/>
              </w:rPr>
              <w:t>FMA Section 27(2)</w:t>
            </w:r>
          </w:p>
          <w:p w14:paraId="7AC4BDD4" w14:textId="77777777" w:rsidR="0000717F" w:rsidRPr="00E10D26" w:rsidRDefault="0000717F" w:rsidP="009A0F2F">
            <w:pPr>
              <w:pStyle w:val="TableReference"/>
              <w:tabs>
                <w:tab w:val="left" w:pos="3306"/>
              </w:tabs>
              <w:spacing w:before="60"/>
              <w:rPr>
                <w:rFonts w:cs="Calibri"/>
                <w:color w:val="7030A0"/>
                <w:sz w:val="14"/>
              </w:rPr>
            </w:pPr>
            <w:r w:rsidRPr="00E10D26">
              <w:rPr>
                <w:rFonts w:cs="Calibri"/>
                <w:color w:val="7030A0"/>
                <w:sz w:val="14"/>
              </w:rPr>
              <w:t>FMA s63(2)</w:t>
            </w:r>
          </w:p>
        </w:tc>
        <w:tc>
          <w:tcPr>
            <w:tcW w:w="8986" w:type="dxa"/>
            <w:tcBorders>
              <w:left w:val="single" w:sz="2" w:space="0" w:color="auto"/>
            </w:tcBorders>
            <w:shd w:val="clear" w:color="auto" w:fill="7030A0"/>
          </w:tcPr>
          <w:p w14:paraId="68B36047" w14:textId="6526F73F" w:rsidR="0000717F" w:rsidRPr="00E10D26" w:rsidRDefault="0000717F" w:rsidP="009A0F2F">
            <w:pPr>
              <w:pStyle w:val="CommentaryText"/>
              <w:rPr>
                <w:rFonts w:cs="Calibri"/>
                <w:color w:val="FFFFFF" w:themeColor="background1"/>
                <w:sz w:val="18"/>
                <w:szCs w:val="18"/>
              </w:rPr>
            </w:pPr>
            <w:r w:rsidRPr="00E10D26">
              <w:rPr>
                <w:rFonts w:cs="Calibri"/>
                <w:color w:val="FFFFFF" w:themeColor="background1"/>
                <w:sz w:val="18"/>
                <w:szCs w:val="18"/>
              </w:rPr>
              <w:t>The budget numbers appearing in the Balance Sheet are those published in the 2021-22 Budget Papers.</w:t>
            </w:r>
            <w:r w:rsidR="00FA7C77">
              <w:rPr>
                <w:rFonts w:cs="Calibri"/>
                <w:color w:val="FFFFFF" w:themeColor="background1"/>
                <w:sz w:val="18"/>
                <w:szCs w:val="18"/>
              </w:rPr>
              <w:t xml:space="preserve"> </w:t>
            </w:r>
            <w:r w:rsidRPr="00E10D26">
              <w:rPr>
                <w:rFonts w:cs="Calibri"/>
                <w:color w:val="FFFFFF" w:themeColor="background1"/>
                <w:sz w:val="18"/>
                <w:szCs w:val="18"/>
              </w:rPr>
              <w:t>For Territory Authorities budget numbers appearing in the Balance Sheet are based on the authority’s Statement of Intent included in the Budget Papers.</w:t>
            </w:r>
          </w:p>
        </w:tc>
      </w:tr>
      <w:tr w:rsidR="00FE5703" w:rsidRPr="00D31414" w14:paraId="1D581D3D" w14:textId="77777777" w:rsidTr="004D1EC6">
        <w:trPr>
          <w:cantSplit/>
          <w:trHeight w:val="20"/>
        </w:trPr>
        <w:tc>
          <w:tcPr>
            <w:tcW w:w="1560" w:type="dxa"/>
            <w:tcBorders>
              <w:left w:val="single" w:sz="2" w:space="0" w:color="auto"/>
              <w:right w:val="single" w:sz="2" w:space="0" w:color="auto"/>
            </w:tcBorders>
          </w:tcPr>
          <w:p w14:paraId="459B4BDF" w14:textId="77777777" w:rsidR="00FE5703" w:rsidRPr="00851F40" w:rsidRDefault="00FE5703" w:rsidP="00BD1DCB">
            <w:pPr>
              <w:pStyle w:val="CommentaryTitle"/>
              <w:spacing w:before="0" w:after="240"/>
              <w:rPr>
                <w:rFonts w:cs="Calibri"/>
                <w:color w:val="7030A0"/>
              </w:rPr>
            </w:pPr>
            <w:r w:rsidRPr="00851F40">
              <w:rPr>
                <w:rFonts w:cs="Calibri"/>
                <w:color w:val="7030A0"/>
              </w:rPr>
              <w:t>Reference</w:t>
            </w:r>
          </w:p>
        </w:tc>
        <w:tc>
          <w:tcPr>
            <w:tcW w:w="8986" w:type="dxa"/>
            <w:tcBorders>
              <w:left w:val="single" w:sz="2" w:space="0" w:color="auto"/>
            </w:tcBorders>
            <w:shd w:val="clear" w:color="auto" w:fill="7030A0"/>
          </w:tcPr>
          <w:p w14:paraId="71BA90F6" w14:textId="7457B56E" w:rsidR="00FE5703" w:rsidRPr="00E10D26" w:rsidRDefault="00FE5703" w:rsidP="00BD1DCB">
            <w:pPr>
              <w:pStyle w:val="CommentaryTitle"/>
              <w:spacing w:before="0" w:after="240"/>
              <w:rPr>
                <w:rFonts w:cs="Calibri"/>
                <w:color w:val="FFFFFF" w:themeColor="background1"/>
                <w:sz w:val="28"/>
                <w:szCs w:val="28"/>
              </w:rPr>
            </w:pPr>
            <w:r w:rsidRPr="00E10D26">
              <w:rPr>
                <w:rFonts w:cs="Calibri"/>
                <w:color w:val="FFFFFF" w:themeColor="background1"/>
                <w:sz w:val="28"/>
                <w:szCs w:val="28"/>
              </w:rPr>
              <w:t xml:space="preserve">Commentary </w:t>
            </w:r>
            <w:r w:rsidR="00432859" w:rsidRPr="00E10D26">
              <w:rPr>
                <w:rFonts w:cs="Calibri"/>
                <w:color w:val="FFFFFF" w:themeColor="background1"/>
                <w:sz w:val="28"/>
                <w:szCs w:val="28"/>
              </w:rPr>
              <w:t xml:space="preserve">– </w:t>
            </w:r>
            <w:r w:rsidRPr="00E10D26">
              <w:rPr>
                <w:rFonts w:cs="Calibri"/>
                <w:color w:val="FFFFFF" w:themeColor="background1"/>
                <w:sz w:val="28"/>
                <w:szCs w:val="28"/>
              </w:rPr>
              <w:t xml:space="preserve">Balance Sheet </w:t>
            </w:r>
            <w:r w:rsidR="00B75741" w:rsidRPr="00E10D26">
              <w:rPr>
                <w:rFonts w:cs="Calibri"/>
                <w:color w:val="FFFFFF" w:themeColor="background1"/>
                <w:sz w:val="28"/>
                <w:szCs w:val="28"/>
              </w:rPr>
              <w:t>–</w:t>
            </w:r>
            <w:r w:rsidRPr="00E10D26">
              <w:rPr>
                <w:rFonts w:cs="Calibri"/>
                <w:color w:val="FFFFFF" w:themeColor="background1"/>
                <w:sz w:val="28"/>
                <w:szCs w:val="28"/>
              </w:rPr>
              <w:t xml:space="preserve"> Continued</w:t>
            </w:r>
            <w:r w:rsidR="00B75741" w:rsidRPr="00E10D26">
              <w:rPr>
                <w:rFonts w:cs="Calibri"/>
                <w:color w:val="FFFFFF" w:themeColor="background1"/>
                <w:sz w:val="28"/>
                <w:szCs w:val="28"/>
              </w:rPr>
              <w:t xml:space="preserve"> </w:t>
            </w:r>
          </w:p>
        </w:tc>
      </w:tr>
      <w:tr w:rsidR="00A45F37" w:rsidRPr="00D31414" w14:paraId="26D315F6" w14:textId="77777777" w:rsidTr="004D1EC6">
        <w:trPr>
          <w:cantSplit/>
          <w:trHeight w:val="20"/>
        </w:trPr>
        <w:tc>
          <w:tcPr>
            <w:tcW w:w="1560" w:type="dxa"/>
            <w:tcBorders>
              <w:left w:val="single" w:sz="2" w:space="0" w:color="auto"/>
              <w:right w:val="single" w:sz="2" w:space="0" w:color="auto"/>
            </w:tcBorders>
          </w:tcPr>
          <w:p w14:paraId="1F242189" w14:textId="77777777" w:rsidR="00A45F37" w:rsidRPr="00851F40" w:rsidRDefault="00A45F37" w:rsidP="0000717F">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48274D73" w14:textId="77777777" w:rsidR="00A45F37" w:rsidRPr="00FA7C77" w:rsidRDefault="00A45F37" w:rsidP="0000717F">
            <w:pPr>
              <w:pStyle w:val="CommentaryText"/>
              <w:spacing w:after="40"/>
              <w:rPr>
                <w:rFonts w:cs="Calibri"/>
                <w:b/>
                <w:color w:val="FFFFFF" w:themeColor="background1"/>
                <w:szCs w:val="20"/>
              </w:rPr>
            </w:pPr>
            <w:r w:rsidRPr="00FA7C77">
              <w:rPr>
                <w:rFonts w:cs="Calibri"/>
                <w:b/>
                <w:color w:val="FFFFFF" w:themeColor="background1"/>
                <w:szCs w:val="20"/>
              </w:rPr>
              <w:t>Classification of Assets</w:t>
            </w:r>
          </w:p>
        </w:tc>
      </w:tr>
      <w:tr w:rsidR="006A4E19" w:rsidRPr="00D31414" w14:paraId="779A3DFA" w14:textId="77777777" w:rsidTr="004D1EC6">
        <w:trPr>
          <w:cantSplit/>
          <w:trHeight w:val="20"/>
        </w:trPr>
        <w:tc>
          <w:tcPr>
            <w:tcW w:w="1560" w:type="dxa"/>
            <w:tcBorders>
              <w:left w:val="single" w:sz="2" w:space="0" w:color="auto"/>
              <w:right w:val="single" w:sz="2" w:space="0" w:color="auto"/>
            </w:tcBorders>
          </w:tcPr>
          <w:p w14:paraId="0AFE4866" w14:textId="77777777" w:rsidR="006A4E19" w:rsidRPr="00851F40" w:rsidRDefault="006A4E19" w:rsidP="006A4E19">
            <w:pPr>
              <w:pStyle w:val="TableReference"/>
              <w:tabs>
                <w:tab w:val="left" w:pos="3306"/>
              </w:tabs>
              <w:spacing w:before="60"/>
              <w:rPr>
                <w:rFonts w:cs="Calibri"/>
                <w:color w:val="7030A0"/>
                <w:sz w:val="14"/>
              </w:rPr>
            </w:pPr>
            <w:r w:rsidRPr="00851F40">
              <w:rPr>
                <w:rFonts w:cs="Calibri"/>
                <w:color w:val="7030A0"/>
                <w:sz w:val="14"/>
              </w:rPr>
              <w:t>AASB 101</w:t>
            </w:r>
            <w:r w:rsidR="00D65811" w:rsidRPr="00851F40">
              <w:rPr>
                <w:rFonts w:cs="Calibri"/>
                <w:color w:val="7030A0"/>
                <w:sz w:val="14"/>
              </w:rPr>
              <w:t>.</w:t>
            </w:r>
            <w:r w:rsidRPr="00851F40">
              <w:rPr>
                <w:rFonts w:cs="Calibri"/>
                <w:color w:val="7030A0"/>
                <w:sz w:val="14"/>
              </w:rPr>
              <w:t>66</w:t>
            </w:r>
          </w:p>
        </w:tc>
        <w:tc>
          <w:tcPr>
            <w:tcW w:w="8986" w:type="dxa"/>
            <w:tcBorders>
              <w:left w:val="single" w:sz="2" w:space="0" w:color="auto"/>
            </w:tcBorders>
            <w:shd w:val="clear" w:color="auto" w:fill="7030A0"/>
          </w:tcPr>
          <w:p w14:paraId="582C3636" w14:textId="77777777" w:rsidR="006A4E19" w:rsidRPr="00E10D26" w:rsidRDefault="006A4E19" w:rsidP="006A4E19">
            <w:pPr>
              <w:pStyle w:val="CommentaryText"/>
              <w:rPr>
                <w:rFonts w:cs="Calibri"/>
                <w:color w:val="FFFFFF" w:themeColor="background1"/>
                <w:sz w:val="18"/>
                <w:szCs w:val="18"/>
              </w:rPr>
            </w:pPr>
            <w:r w:rsidRPr="00E10D26">
              <w:rPr>
                <w:rFonts w:cs="Calibri"/>
                <w:color w:val="FFFFFF" w:themeColor="background1"/>
                <w:sz w:val="18"/>
                <w:szCs w:val="18"/>
              </w:rPr>
              <w:t>An asset is classified as current when it satisfies any one of the following criteria:</w:t>
            </w:r>
          </w:p>
          <w:p w14:paraId="3328A88F" w14:textId="77777777" w:rsidR="006A4E19" w:rsidRPr="00E10D26" w:rsidRDefault="006A4E19" w:rsidP="00E63BFB">
            <w:pPr>
              <w:pStyle w:val="Commentary-Bullet"/>
              <w:rPr>
                <w:rFonts w:cs="Calibri"/>
                <w:color w:val="FFFFFF" w:themeColor="background1"/>
                <w:sz w:val="18"/>
                <w:szCs w:val="18"/>
              </w:rPr>
            </w:pPr>
            <w:r w:rsidRPr="00E10D26">
              <w:rPr>
                <w:rFonts w:cs="Calibri"/>
                <w:color w:val="FFFFFF" w:themeColor="background1"/>
                <w:sz w:val="18"/>
                <w:szCs w:val="18"/>
              </w:rPr>
              <w:t xml:space="preserve">it is expected to be realised in, or is intended for sale or consumption in, the </w:t>
            </w:r>
            <w:r w:rsidR="005768FD" w:rsidRPr="00E10D26">
              <w:rPr>
                <w:rFonts w:cs="Calibri"/>
                <w:color w:val="FFFFFF" w:themeColor="background1"/>
                <w:sz w:val="18"/>
                <w:szCs w:val="18"/>
              </w:rPr>
              <w:t>a</w:t>
            </w:r>
            <w:r w:rsidRPr="00E10D26">
              <w:rPr>
                <w:rFonts w:cs="Calibri"/>
                <w:color w:val="FFFFFF" w:themeColor="background1"/>
                <w:sz w:val="18"/>
                <w:szCs w:val="18"/>
              </w:rPr>
              <w:t>gency’s normal operating cycle;</w:t>
            </w:r>
          </w:p>
          <w:p w14:paraId="39D741DA" w14:textId="77777777" w:rsidR="006A4E19" w:rsidRPr="00E10D26" w:rsidRDefault="006A4E19" w:rsidP="00E63BFB">
            <w:pPr>
              <w:pStyle w:val="Commentary-Bullet"/>
              <w:rPr>
                <w:rFonts w:cs="Calibri"/>
                <w:color w:val="FFFFFF" w:themeColor="background1"/>
                <w:sz w:val="18"/>
                <w:szCs w:val="18"/>
              </w:rPr>
            </w:pPr>
            <w:r w:rsidRPr="00E10D26">
              <w:rPr>
                <w:rFonts w:cs="Calibri"/>
                <w:color w:val="FFFFFF" w:themeColor="background1"/>
                <w:sz w:val="18"/>
                <w:szCs w:val="18"/>
              </w:rPr>
              <w:t>it is held primarily for the purpose of being traded;</w:t>
            </w:r>
          </w:p>
          <w:p w14:paraId="1206221D" w14:textId="77777777" w:rsidR="006A4E19" w:rsidRPr="00E10D26" w:rsidRDefault="006A4E19" w:rsidP="00E63BFB">
            <w:pPr>
              <w:pStyle w:val="Commentary-Bullet"/>
              <w:rPr>
                <w:rFonts w:cs="Calibri"/>
                <w:color w:val="FFFFFF" w:themeColor="background1"/>
                <w:sz w:val="18"/>
                <w:szCs w:val="18"/>
              </w:rPr>
            </w:pPr>
            <w:r w:rsidRPr="00E10D26">
              <w:rPr>
                <w:rFonts w:cs="Calibri"/>
                <w:color w:val="FFFFFF" w:themeColor="background1"/>
                <w:sz w:val="18"/>
                <w:szCs w:val="18"/>
              </w:rPr>
              <w:t>it is expected to be realised within 12 months after the reporting date; or</w:t>
            </w:r>
          </w:p>
          <w:p w14:paraId="105764D1" w14:textId="77777777" w:rsidR="006A4E19" w:rsidRPr="00E10D26" w:rsidRDefault="006A4E19" w:rsidP="00E63BFB">
            <w:pPr>
              <w:pStyle w:val="Commentary-Bullet"/>
              <w:rPr>
                <w:rFonts w:cs="Calibri"/>
                <w:color w:val="FFFFFF" w:themeColor="background1"/>
                <w:sz w:val="18"/>
                <w:szCs w:val="18"/>
              </w:rPr>
            </w:pPr>
            <w:r w:rsidRPr="00E10D26">
              <w:rPr>
                <w:rFonts w:cs="Calibri"/>
                <w:color w:val="FFFFFF" w:themeColor="background1"/>
                <w:sz w:val="18"/>
                <w:szCs w:val="18"/>
              </w:rPr>
              <w:t>it is cash or a cash equivalent</w:t>
            </w:r>
            <w:r w:rsidR="004B6C99" w:rsidRPr="00E10D26">
              <w:rPr>
                <w:rFonts w:cs="Calibri"/>
                <w:color w:val="FFFFFF" w:themeColor="background1"/>
                <w:sz w:val="18"/>
                <w:szCs w:val="18"/>
              </w:rPr>
              <w:t xml:space="preserve"> unless restricted from being exchanged or used to settle a liability for at least 12 months after the reporting period</w:t>
            </w:r>
            <w:r w:rsidRPr="00E10D26">
              <w:rPr>
                <w:rFonts w:cs="Calibri"/>
                <w:color w:val="FFFFFF" w:themeColor="background1"/>
                <w:sz w:val="18"/>
                <w:szCs w:val="18"/>
              </w:rPr>
              <w:t>.</w:t>
            </w:r>
          </w:p>
          <w:p w14:paraId="03C354D6" w14:textId="77777777" w:rsidR="006A4E19" w:rsidRPr="00E10D26" w:rsidRDefault="006A4E19" w:rsidP="006A4E19">
            <w:pPr>
              <w:pStyle w:val="Commentary-Bullet"/>
              <w:numPr>
                <w:ilvl w:val="0"/>
                <w:numId w:val="0"/>
              </w:numPr>
              <w:rPr>
                <w:rFonts w:cs="Calibri"/>
                <w:color w:val="FFFFFF" w:themeColor="background1"/>
                <w:sz w:val="18"/>
                <w:szCs w:val="18"/>
              </w:rPr>
            </w:pPr>
            <w:r w:rsidRPr="00E10D26">
              <w:rPr>
                <w:rFonts w:cs="Calibri"/>
                <w:color w:val="FFFFFF" w:themeColor="background1"/>
                <w:sz w:val="18"/>
                <w:szCs w:val="18"/>
              </w:rPr>
              <w:t>All other assets are classified as non-current.</w:t>
            </w:r>
          </w:p>
        </w:tc>
      </w:tr>
      <w:tr w:rsidR="006A4E19" w:rsidRPr="00D31414" w14:paraId="449D67D3" w14:textId="77777777" w:rsidTr="004D1EC6">
        <w:trPr>
          <w:cantSplit/>
          <w:trHeight w:val="20"/>
        </w:trPr>
        <w:tc>
          <w:tcPr>
            <w:tcW w:w="1560" w:type="dxa"/>
            <w:tcBorders>
              <w:left w:val="single" w:sz="2" w:space="0" w:color="auto"/>
              <w:right w:val="single" w:sz="2" w:space="0" w:color="auto"/>
            </w:tcBorders>
          </w:tcPr>
          <w:p w14:paraId="79844BEF" w14:textId="77777777" w:rsidR="006A4E19" w:rsidRPr="00851F40" w:rsidRDefault="006A4E19" w:rsidP="006A4E19">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636213C5" w14:textId="77777777" w:rsidR="006A4E19" w:rsidRPr="00FA7C77" w:rsidRDefault="006A4E19" w:rsidP="0000717F">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Classification of Liabilities</w:t>
            </w:r>
          </w:p>
        </w:tc>
      </w:tr>
      <w:tr w:rsidR="006A4E19" w:rsidRPr="00D31414" w14:paraId="4F7B07D7" w14:textId="77777777" w:rsidTr="004D1EC6">
        <w:trPr>
          <w:cantSplit/>
          <w:trHeight w:val="20"/>
        </w:trPr>
        <w:tc>
          <w:tcPr>
            <w:tcW w:w="1560" w:type="dxa"/>
            <w:tcBorders>
              <w:left w:val="single" w:sz="2" w:space="0" w:color="auto"/>
              <w:right w:val="single" w:sz="2" w:space="0" w:color="auto"/>
            </w:tcBorders>
          </w:tcPr>
          <w:p w14:paraId="65A4DBC6" w14:textId="77777777" w:rsidR="006A4E19" w:rsidRPr="00851F40" w:rsidRDefault="006A4E19" w:rsidP="006A4E19">
            <w:pPr>
              <w:pStyle w:val="TableReference"/>
              <w:tabs>
                <w:tab w:val="left" w:pos="3306"/>
              </w:tabs>
              <w:spacing w:before="60"/>
              <w:rPr>
                <w:rFonts w:cs="Calibri"/>
                <w:color w:val="7030A0"/>
                <w:sz w:val="14"/>
              </w:rPr>
            </w:pPr>
            <w:r w:rsidRPr="00851F40">
              <w:rPr>
                <w:rFonts w:cs="Calibri"/>
                <w:color w:val="7030A0"/>
                <w:sz w:val="14"/>
              </w:rPr>
              <w:t>AASB 101</w:t>
            </w:r>
            <w:r w:rsidR="00D65811" w:rsidRPr="00851F40">
              <w:rPr>
                <w:rFonts w:cs="Calibri"/>
                <w:color w:val="7030A0"/>
                <w:sz w:val="14"/>
              </w:rPr>
              <w:t>.</w:t>
            </w:r>
            <w:r w:rsidRPr="00851F40">
              <w:rPr>
                <w:rFonts w:cs="Calibri"/>
                <w:color w:val="7030A0"/>
                <w:sz w:val="14"/>
              </w:rPr>
              <w:t>69</w:t>
            </w:r>
          </w:p>
        </w:tc>
        <w:tc>
          <w:tcPr>
            <w:tcW w:w="8986" w:type="dxa"/>
            <w:tcBorders>
              <w:left w:val="single" w:sz="2" w:space="0" w:color="auto"/>
            </w:tcBorders>
            <w:shd w:val="clear" w:color="auto" w:fill="7030A0"/>
          </w:tcPr>
          <w:p w14:paraId="009017C5" w14:textId="77777777" w:rsidR="006A4E19" w:rsidRPr="00E10D26" w:rsidRDefault="006A4E19" w:rsidP="006A4E19">
            <w:pPr>
              <w:pStyle w:val="CommentaryText"/>
              <w:rPr>
                <w:rFonts w:cs="Calibri"/>
                <w:color w:val="FFFFFF" w:themeColor="background1"/>
                <w:sz w:val="18"/>
                <w:szCs w:val="18"/>
              </w:rPr>
            </w:pPr>
            <w:r w:rsidRPr="00E10D26">
              <w:rPr>
                <w:rFonts w:cs="Calibri"/>
                <w:color w:val="FFFFFF" w:themeColor="background1"/>
                <w:sz w:val="18"/>
                <w:szCs w:val="18"/>
              </w:rPr>
              <w:t xml:space="preserve">A liability is classified as current when it satisfies any one of the following criteria: </w:t>
            </w:r>
          </w:p>
          <w:p w14:paraId="32EC9611" w14:textId="77777777" w:rsidR="006A4E19" w:rsidRPr="00E10D26" w:rsidRDefault="006A4E19" w:rsidP="00E63BFB">
            <w:pPr>
              <w:pStyle w:val="Commentary-Bullet"/>
              <w:rPr>
                <w:rFonts w:cs="Calibri"/>
                <w:color w:val="FFFFFF" w:themeColor="background1"/>
                <w:sz w:val="18"/>
                <w:szCs w:val="18"/>
              </w:rPr>
            </w:pPr>
            <w:r w:rsidRPr="00E10D26">
              <w:rPr>
                <w:rFonts w:cs="Calibri"/>
                <w:color w:val="FFFFFF" w:themeColor="background1"/>
                <w:sz w:val="18"/>
                <w:szCs w:val="18"/>
              </w:rPr>
              <w:t xml:space="preserve">it is expected to be settled in the </w:t>
            </w:r>
            <w:r w:rsidR="005768FD" w:rsidRPr="00E10D26">
              <w:rPr>
                <w:rFonts w:cs="Calibri"/>
                <w:color w:val="FFFFFF" w:themeColor="background1"/>
                <w:sz w:val="18"/>
                <w:szCs w:val="18"/>
              </w:rPr>
              <w:t>a</w:t>
            </w:r>
            <w:r w:rsidRPr="00E10D26">
              <w:rPr>
                <w:rFonts w:cs="Calibri"/>
                <w:color w:val="FFFFFF" w:themeColor="background1"/>
                <w:sz w:val="18"/>
                <w:szCs w:val="18"/>
              </w:rPr>
              <w:t>gency’s normal operating cycle;</w:t>
            </w:r>
          </w:p>
          <w:p w14:paraId="3945D82E" w14:textId="77777777" w:rsidR="006A4E19" w:rsidRPr="00E10D26" w:rsidRDefault="006A4E19" w:rsidP="00E63BFB">
            <w:pPr>
              <w:pStyle w:val="Commentary-Bullet"/>
              <w:rPr>
                <w:rFonts w:cs="Calibri"/>
                <w:color w:val="FFFFFF" w:themeColor="background1"/>
                <w:sz w:val="18"/>
                <w:szCs w:val="18"/>
              </w:rPr>
            </w:pPr>
            <w:r w:rsidRPr="00E10D26">
              <w:rPr>
                <w:rFonts w:cs="Calibri"/>
                <w:color w:val="FFFFFF" w:themeColor="background1"/>
                <w:sz w:val="18"/>
                <w:szCs w:val="18"/>
              </w:rPr>
              <w:t>it is held primarily for the purpose of being traded;</w:t>
            </w:r>
          </w:p>
          <w:p w14:paraId="47831F0F" w14:textId="77777777" w:rsidR="006A4E19" w:rsidRPr="00E10D26" w:rsidRDefault="006A4E19" w:rsidP="00E63BFB">
            <w:pPr>
              <w:pStyle w:val="Commentary-Bullet"/>
              <w:rPr>
                <w:rFonts w:cs="Calibri"/>
                <w:color w:val="FFFFFF" w:themeColor="background1"/>
                <w:sz w:val="18"/>
                <w:szCs w:val="18"/>
              </w:rPr>
            </w:pPr>
            <w:r w:rsidRPr="00E10D26">
              <w:rPr>
                <w:rFonts w:cs="Calibri"/>
                <w:color w:val="FFFFFF" w:themeColor="background1"/>
                <w:sz w:val="18"/>
                <w:szCs w:val="18"/>
              </w:rPr>
              <w:t>it is due to be settled within 12 months after the reporting date; or</w:t>
            </w:r>
          </w:p>
          <w:p w14:paraId="0C4B6967" w14:textId="2E6EE7B4" w:rsidR="006A4E19" w:rsidRPr="00E10D26" w:rsidRDefault="006A4E19" w:rsidP="00E63BFB">
            <w:pPr>
              <w:pStyle w:val="Commentary-Bullet"/>
              <w:rPr>
                <w:rFonts w:cs="Calibri"/>
                <w:color w:val="FFFFFF" w:themeColor="background1"/>
                <w:sz w:val="18"/>
                <w:szCs w:val="18"/>
              </w:rPr>
            </w:pPr>
            <w:r w:rsidRPr="00E10D26">
              <w:rPr>
                <w:rFonts w:cs="Calibri"/>
                <w:color w:val="FFFFFF" w:themeColor="background1"/>
                <w:sz w:val="18"/>
                <w:szCs w:val="18"/>
              </w:rPr>
              <w:t xml:space="preserve">the </w:t>
            </w:r>
            <w:r w:rsidR="005768FD" w:rsidRPr="00E10D26">
              <w:rPr>
                <w:rFonts w:cs="Calibri"/>
                <w:color w:val="FFFFFF" w:themeColor="background1"/>
                <w:sz w:val="18"/>
                <w:szCs w:val="18"/>
              </w:rPr>
              <w:t>a</w:t>
            </w:r>
            <w:r w:rsidRPr="00E10D26">
              <w:rPr>
                <w:rFonts w:cs="Calibri"/>
                <w:color w:val="FFFFFF" w:themeColor="background1"/>
                <w:sz w:val="18"/>
                <w:szCs w:val="18"/>
              </w:rPr>
              <w:t>gency does not have an unconditional right to defer settlement of the liability for at least 12</w:t>
            </w:r>
            <w:r w:rsidR="000F19A9" w:rsidRPr="00E10D26">
              <w:rPr>
                <w:rFonts w:cs="Calibri"/>
                <w:color w:val="FFFFFF" w:themeColor="background1"/>
                <w:sz w:val="18"/>
                <w:szCs w:val="18"/>
              </w:rPr>
              <w:t> </w:t>
            </w:r>
            <w:r w:rsidRPr="00E10D26">
              <w:rPr>
                <w:rFonts w:cs="Calibri"/>
                <w:color w:val="FFFFFF" w:themeColor="background1"/>
                <w:sz w:val="18"/>
                <w:szCs w:val="18"/>
              </w:rPr>
              <w:t>months after the reporting date.</w:t>
            </w:r>
          </w:p>
          <w:p w14:paraId="44175DEC" w14:textId="77777777" w:rsidR="006A4E19" w:rsidRPr="00E10D26" w:rsidRDefault="006A4E19" w:rsidP="006A4E19">
            <w:pPr>
              <w:pStyle w:val="Commentary-Bullet"/>
              <w:numPr>
                <w:ilvl w:val="0"/>
                <w:numId w:val="0"/>
              </w:numPr>
              <w:rPr>
                <w:rFonts w:cs="Calibri"/>
                <w:color w:val="FFFFFF" w:themeColor="background1"/>
                <w:sz w:val="18"/>
                <w:szCs w:val="18"/>
              </w:rPr>
            </w:pPr>
            <w:r w:rsidRPr="00E10D26">
              <w:rPr>
                <w:rFonts w:cs="Calibri"/>
                <w:color w:val="FFFFFF" w:themeColor="background1"/>
                <w:sz w:val="18"/>
                <w:szCs w:val="18"/>
              </w:rPr>
              <w:t>All other liabilities are classified as non-current.</w:t>
            </w:r>
          </w:p>
        </w:tc>
      </w:tr>
      <w:tr w:rsidR="006A4E19" w:rsidRPr="00D31414" w14:paraId="72895595" w14:textId="77777777" w:rsidTr="004D1EC6">
        <w:trPr>
          <w:cantSplit/>
          <w:trHeight w:val="20"/>
        </w:trPr>
        <w:tc>
          <w:tcPr>
            <w:tcW w:w="1560" w:type="dxa"/>
            <w:tcBorders>
              <w:left w:val="single" w:sz="2" w:space="0" w:color="auto"/>
              <w:right w:val="single" w:sz="2" w:space="0" w:color="auto"/>
            </w:tcBorders>
          </w:tcPr>
          <w:p w14:paraId="27CC8681" w14:textId="77777777" w:rsidR="006A4E19" w:rsidRPr="00851F40" w:rsidRDefault="006A4E19" w:rsidP="006A4E19">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6C50CB04" w14:textId="77777777" w:rsidR="006A4E19" w:rsidRPr="00FA7C77" w:rsidRDefault="006A4E19" w:rsidP="0000717F">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Operating Cycle</w:t>
            </w:r>
          </w:p>
        </w:tc>
      </w:tr>
      <w:tr w:rsidR="006A4E19" w:rsidRPr="00D31414" w14:paraId="27EE1239" w14:textId="77777777" w:rsidTr="004D1EC6">
        <w:trPr>
          <w:cantSplit/>
          <w:trHeight w:val="20"/>
        </w:trPr>
        <w:tc>
          <w:tcPr>
            <w:tcW w:w="1560" w:type="dxa"/>
            <w:tcBorders>
              <w:left w:val="single" w:sz="2" w:space="0" w:color="auto"/>
              <w:right w:val="single" w:sz="2" w:space="0" w:color="auto"/>
            </w:tcBorders>
          </w:tcPr>
          <w:p w14:paraId="19A51C28" w14:textId="77777777" w:rsidR="006A4E19" w:rsidRPr="00851F40" w:rsidRDefault="006A4E19" w:rsidP="00FE5703">
            <w:pPr>
              <w:pStyle w:val="TableReference"/>
              <w:tabs>
                <w:tab w:val="left" w:pos="3306"/>
              </w:tabs>
              <w:spacing w:before="60"/>
              <w:rPr>
                <w:rFonts w:cs="Calibri"/>
                <w:color w:val="7030A0"/>
                <w:sz w:val="14"/>
              </w:rPr>
            </w:pPr>
            <w:r w:rsidRPr="00851F40">
              <w:rPr>
                <w:rFonts w:cs="Calibri"/>
                <w:color w:val="7030A0"/>
                <w:sz w:val="14"/>
              </w:rPr>
              <w:t>AASB 101</w:t>
            </w:r>
            <w:r w:rsidR="00D65811" w:rsidRPr="00851F40">
              <w:rPr>
                <w:rFonts w:cs="Calibri"/>
                <w:color w:val="7030A0"/>
                <w:sz w:val="14"/>
              </w:rPr>
              <w:t>.</w:t>
            </w:r>
            <w:r w:rsidR="005C43EB" w:rsidRPr="00851F40">
              <w:rPr>
                <w:rFonts w:cs="Calibri"/>
                <w:color w:val="7030A0"/>
                <w:sz w:val="14"/>
              </w:rPr>
              <w:t>68 &amp; 70</w:t>
            </w:r>
          </w:p>
        </w:tc>
        <w:tc>
          <w:tcPr>
            <w:tcW w:w="8986" w:type="dxa"/>
            <w:tcBorders>
              <w:left w:val="single" w:sz="2" w:space="0" w:color="auto"/>
            </w:tcBorders>
            <w:shd w:val="clear" w:color="auto" w:fill="7030A0"/>
          </w:tcPr>
          <w:p w14:paraId="6E35FB14" w14:textId="3AA65CF1" w:rsidR="006A4E19" w:rsidRPr="00E10D26" w:rsidRDefault="006A4E19" w:rsidP="006A4E19">
            <w:pPr>
              <w:pStyle w:val="CommentaryText"/>
              <w:rPr>
                <w:rFonts w:cs="Calibri"/>
                <w:color w:val="FFFFFF" w:themeColor="background1"/>
                <w:sz w:val="18"/>
                <w:szCs w:val="18"/>
              </w:rPr>
            </w:pPr>
            <w:r w:rsidRPr="00E10D26">
              <w:rPr>
                <w:rFonts w:cs="Calibri"/>
                <w:color w:val="FFFFFF" w:themeColor="background1"/>
                <w:sz w:val="18"/>
                <w:szCs w:val="18"/>
              </w:rPr>
              <w:t xml:space="preserve">Where the operating cycle is greater than 12 months, assets that are sold, consumed or realised as part of that operating cycle, or liabilities that are part of the working capital used in the </w:t>
            </w:r>
            <w:r w:rsidR="00A728B9" w:rsidRPr="00E10D26">
              <w:rPr>
                <w:rFonts w:cs="Calibri"/>
                <w:color w:val="FFFFFF" w:themeColor="background1"/>
                <w:sz w:val="18"/>
                <w:szCs w:val="18"/>
              </w:rPr>
              <w:t>a</w:t>
            </w:r>
            <w:r w:rsidRPr="00E10D26">
              <w:rPr>
                <w:rFonts w:cs="Calibri"/>
                <w:color w:val="FFFFFF" w:themeColor="background1"/>
                <w:sz w:val="18"/>
                <w:szCs w:val="18"/>
              </w:rPr>
              <w:t>gency’s normal operating cycle, are classified as current.</w:t>
            </w:r>
            <w:r w:rsidR="00FA7C77">
              <w:rPr>
                <w:rFonts w:cs="Calibri"/>
                <w:color w:val="FFFFFF" w:themeColor="background1"/>
                <w:sz w:val="18"/>
                <w:szCs w:val="18"/>
              </w:rPr>
              <w:t xml:space="preserve"> </w:t>
            </w:r>
            <w:r w:rsidRPr="00E10D26">
              <w:rPr>
                <w:rFonts w:cs="Calibri"/>
                <w:color w:val="FFFFFF" w:themeColor="background1"/>
                <w:sz w:val="18"/>
                <w:szCs w:val="18"/>
              </w:rPr>
              <w:t xml:space="preserve">When the </w:t>
            </w:r>
            <w:r w:rsidR="00A728B9" w:rsidRPr="00E10D26">
              <w:rPr>
                <w:rFonts w:cs="Calibri"/>
                <w:color w:val="FFFFFF" w:themeColor="background1"/>
                <w:sz w:val="18"/>
                <w:szCs w:val="18"/>
              </w:rPr>
              <w:t>a</w:t>
            </w:r>
            <w:r w:rsidRPr="00E10D26">
              <w:rPr>
                <w:rFonts w:cs="Calibri"/>
                <w:color w:val="FFFFFF" w:themeColor="background1"/>
                <w:sz w:val="18"/>
                <w:szCs w:val="18"/>
              </w:rPr>
              <w:t>gency’s normal operating cycle is not clearly identifiable, its duration is assumed to be 12 months.</w:t>
            </w:r>
          </w:p>
        </w:tc>
      </w:tr>
      <w:tr w:rsidR="006A4E19" w:rsidRPr="00D31414" w14:paraId="20349B6F" w14:textId="77777777" w:rsidTr="004D1EC6">
        <w:trPr>
          <w:cantSplit/>
          <w:trHeight w:val="20"/>
        </w:trPr>
        <w:tc>
          <w:tcPr>
            <w:tcW w:w="1560" w:type="dxa"/>
            <w:tcBorders>
              <w:left w:val="single" w:sz="2" w:space="0" w:color="auto"/>
              <w:right w:val="single" w:sz="2" w:space="0" w:color="auto"/>
            </w:tcBorders>
          </w:tcPr>
          <w:p w14:paraId="733DD42B" w14:textId="77777777" w:rsidR="006A4E19" w:rsidRPr="00851F40" w:rsidRDefault="006A4E19" w:rsidP="006A4E19">
            <w:pPr>
              <w:pStyle w:val="TableReference"/>
              <w:tabs>
                <w:tab w:val="left" w:pos="3306"/>
              </w:tabs>
              <w:rPr>
                <w:rFonts w:cs="Calibri"/>
                <w:color w:val="7030A0"/>
                <w:sz w:val="14"/>
              </w:rPr>
            </w:pPr>
          </w:p>
        </w:tc>
        <w:tc>
          <w:tcPr>
            <w:tcW w:w="8986" w:type="dxa"/>
            <w:tcBorders>
              <w:left w:val="single" w:sz="2" w:space="0" w:color="auto"/>
            </w:tcBorders>
            <w:shd w:val="clear" w:color="auto" w:fill="7030A0"/>
          </w:tcPr>
          <w:p w14:paraId="2601700E" w14:textId="77777777" w:rsidR="006A4E19" w:rsidRPr="00FA7C77" w:rsidRDefault="006A4E19" w:rsidP="0000717F">
            <w:pPr>
              <w:pStyle w:val="CommentaryHeading"/>
              <w:tabs>
                <w:tab w:val="left" w:pos="3306"/>
              </w:tabs>
              <w:spacing w:after="40"/>
              <w:rPr>
                <w:rFonts w:cs="Calibri"/>
                <w:color w:val="FFFFFF" w:themeColor="background1"/>
                <w:szCs w:val="20"/>
              </w:rPr>
            </w:pPr>
            <w:r w:rsidRPr="00FA7C77">
              <w:rPr>
                <w:rFonts w:cs="Calibri"/>
                <w:color w:val="FFFFFF" w:themeColor="background1"/>
                <w:szCs w:val="20"/>
              </w:rPr>
              <w:t>Goods and Services Tax (GST)</w:t>
            </w:r>
          </w:p>
        </w:tc>
      </w:tr>
      <w:tr w:rsidR="006A4E19" w:rsidRPr="00D31414" w14:paraId="56315903" w14:textId="77777777" w:rsidTr="004D1EC6">
        <w:trPr>
          <w:cantSplit/>
          <w:trHeight w:val="20"/>
        </w:trPr>
        <w:tc>
          <w:tcPr>
            <w:tcW w:w="1560" w:type="dxa"/>
            <w:tcBorders>
              <w:left w:val="single" w:sz="2" w:space="0" w:color="auto"/>
              <w:right w:val="single" w:sz="2" w:space="0" w:color="auto"/>
            </w:tcBorders>
          </w:tcPr>
          <w:p w14:paraId="55E9219C" w14:textId="2F31AF14" w:rsidR="006A4E19" w:rsidRPr="00851F40" w:rsidRDefault="005C43EB" w:rsidP="0000717F">
            <w:pPr>
              <w:pStyle w:val="TableReference"/>
              <w:tabs>
                <w:tab w:val="left" w:pos="3306"/>
              </w:tabs>
              <w:spacing w:before="60"/>
              <w:rPr>
                <w:rFonts w:cs="Calibri"/>
                <w:color w:val="7030A0"/>
                <w:sz w:val="14"/>
              </w:rPr>
            </w:pPr>
            <w:r w:rsidRPr="00851F40">
              <w:rPr>
                <w:rFonts w:cs="Calibri"/>
                <w:color w:val="7030A0"/>
                <w:sz w:val="14"/>
              </w:rPr>
              <w:t xml:space="preserve">Interpretation </w:t>
            </w:r>
            <w:r w:rsidR="006A4E19" w:rsidRPr="00851F40">
              <w:rPr>
                <w:rFonts w:cs="Calibri"/>
                <w:color w:val="7030A0"/>
                <w:sz w:val="14"/>
              </w:rPr>
              <w:t>1031</w:t>
            </w:r>
            <w:r w:rsidR="00D65811" w:rsidRPr="00851F40">
              <w:rPr>
                <w:rFonts w:cs="Calibri"/>
                <w:color w:val="7030A0"/>
                <w:sz w:val="14"/>
              </w:rPr>
              <w:t>.</w:t>
            </w:r>
            <w:r w:rsidR="006A4E19" w:rsidRPr="00851F40">
              <w:rPr>
                <w:rFonts w:cs="Calibri"/>
                <w:color w:val="7030A0"/>
                <w:sz w:val="14"/>
              </w:rPr>
              <w:t>7</w:t>
            </w:r>
          </w:p>
        </w:tc>
        <w:tc>
          <w:tcPr>
            <w:tcW w:w="8986" w:type="dxa"/>
            <w:tcBorders>
              <w:left w:val="single" w:sz="2" w:space="0" w:color="auto"/>
            </w:tcBorders>
            <w:shd w:val="clear" w:color="auto" w:fill="7030A0"/>
          </w:tcPr>
          <w:p w14:paraId="02216521" w14:textId="1D745DC6" w:rsidR="00C4226D" w:rsidRPr="00E10D26" w:rsidRDefault="00C12541" w:rsidP="0000717F">
            <w:pPr>
              <w:pStyle w:val="CommentaryText"/>
              <w:rPr>
                <w:rFonts w:cs="Calibri"/>
                <w:color w:val="FFFFFF" w:themeColor="background1"/>
                <w:sz w:val="18"/>
                <w:szCs w:val="18"/>
              </w:rPr>
            </w:pPr>
            <w:r w:rsidRPr="00E10D26">
              <w:rPr>
                <w:rFonts w:cs="Calibri"/>
                <w:color w:val="FFFFFF" w:themeColor="background1"/>
                <w:sz w:val="18"/>
                <w:szCs w:val="18"/>
              </w:rPr>
              <w:t>T</w:t>
            </w:r>
            <w:r w:rsidR="006A4E19" w:rsidRPr="00E10D26">
              <w:rPr>
                <w:rFonts w:cs="Calibri"/>
                <w:color w:val="FFFFFF" w:themeColor="background1"/>
                <w:sz w:val="18"/>
                <w:szCs w:val="18"/>
              </w:rPr>
              <w:t xml:space="preserve">he amount of GST incurred by a purchaser that is not recoverable from the taxation authority </w:t>
            </w:r>
            <w:r w:rsidRPr="00E10D26">
              <w:rPr>
                <w:rFonts w:cs="Calibri"/>
                <w:color w:val="FFFFFF" w:themeColor="background1"/>
                <w:sz w:val="18"/>
                <w:szCs w:val="18"/>
              </w:rPr>
              <w:t xml:space="preserve">is required </w:t>
            </w:r>
            <w:r w:rsidR="006A4E19" w:rsidRPr="00E10D26">
              <w:rPr>
                <w:rFonts w:cs="Calibri"/>
                <w:color w:val="FFFFFF" w:themeColor="background1"/>
                <w:sz w:val="18"/>
                <w:szCs w:val="18"/>
              </w:rPr>
              <w:t>to be recognised as part of the cost of the acquisition of an asset.</w:t>
            </w:r>
          </w:p>
        </w:tc>
      </w:tr>
      <w:tr w:rsidR="0000717F" w:rsidRPr="00D31414" w14:paraId="7C06CCB4" w14:textId="77777777" w:rsidTr="004D1EC6">
        <w:trPr>
          <w:cantSplit/>
          <w:trHeight w:val="20"/>
        </w:trPr>
        <w:tc>
          <w:tcPr>
            <w:tcW w:w="1560" w:type="dxa"/>
            <w:tcBorders>
              <w:left w:val="single" w:sz="2" w:space="0" w:color="auto"/>
              <w:right w:val="single" w:sz="2" w:space="0" w:color="auto"/>
            </w:tcBorders>
          </w:tcPr>
          <w:p w14:paraId="692C4AFB" w14:textId="77777777" w:rsidR="0000717F" w:rsidRPr="00851F40" w:rsidRDefault="0000717F" w:rsidP="006A4E19">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63457E2F" w14:textId="40B5808C" w:rsidR="0000717F" w:rsidRPr="00E10D26" w:rsidRDefault="0000717F" w:rsidP="006A4E19">
            <w:pPr>
              <w:pStyle w:val="CommentaryText"/>
              <w:rPr>
                <w:rFonts w:cs="Calibri"/>
                <w:color w:val="FFFFFF" w:themeColor="background1"/>
                <w:sz w:val="18"/>
                <w:szCs w:val="18"/>
              </w:rPr>
            </w:pPr>
            <w:r w:rsidRPr="00E10D26">
              <w:rPr>
                <w:rFonts w:cs="Calibri"/>
                <w:color w:val="FFFFFF" w:themeColor="background1"/>
                <w:sz w:val="18"/>
                <w:szCs w:val="18"/>
              </w:rPr>
              <w:t>Interpretation 1031 requires receivables and payables to be stated with the amount of GST included.</w:t>
            </w:r>
            <w:r w:rsidR="00FA7C77">
              <w:rPr>
                <w:rFonts w:cs="Calibri"/>
                <w:color w:val="FFFFFF" w:themeColor="background1"/>
                <w:sz w:val="18"/>
                <w:szCs w:val="18"/>
              </w:rPr>
              <w:t xml:space="preserve"> </w:t>
            </w:r>
          </w:p>
        </w:tc>
      </w:tr>
      <w:tr w:rsidR="0000717F" w:rsidRPr="00D31414" w14:paraId="27E7C657" w14:textId="77777777" w:rsidTr="004D1EC6">
        <w:trPr>
          <w:cantSplit/>
          <w:trHeight w:val="20"/>
        </w:trPr>
        <w:tc>
          <w:tcPr>
            <w:tcW w:w="1560" w:type="dxa"/>
            <w:tcBorders>
              <w:left w:val="single" w:sz="2" w:space="0" w:color="auto"/>
              <w:right w:val="single" w:sz="2" w:space="0" w:color="auto"/>
            </w:tcBorders>
          </w:tcPr>
          <w:p w14:paraId="2E18893A" w14:textId="3A5A799D" w:rsidR="0000717F" w:rsidRPr="00851F40" w:rsidRDefault="0000717F" w:rsidP="0000717F">
            <w:pPr>
              <w:pStyle w:val="TableReference"/>
              <w:tabs>
                <w:tab w:val="left" w:pos="3306"/>
              </w:tabs>
              <w:rPr>
                <w:rFonts w:cs="Calibri"/>
                <w:color w:val="7030A0"/>
                <w:sz w:val="14"/>
              </w:rPr>
            </w:pPr>
            <w:r w:rsidRPr="00851F40">
              <w:rPr>
                <w:rFonts w:cs="Calibri"/>
                <w:color w:val="7030A0"/>
                <w:sz w:val="14"/>
              </w:rPr>
              <w:t>Interpretation 1031.8</w:t>
            </w:r>
          </w:p>
        </w:tc>
        <w:tc>
          <w:tcPr>
            <w:tcW w:w="8986" w:type="dxa"/>
            <w:tcBorders>
              <w:left w:val="single" w:sz="2" w:space="0" w:color="auto"/>
            </w:tcBorders>
            <w:shd w:val="clear" w:color="auto" w:fill="7030A0"/>
          </w:tcPr>
          <w:p w14:paraId="7E554292" w14:textId="15CB7BD6" w:rsidR="0000717F" w:rsidRPr="00E10D26" w:rsidRDefault="0000717F" w:rsidP="0000717F">
            <w:pPr>
              <w:pStyle w:val="CommentaryText"/>
              <w:tabs>
                <w:tab w:val="left" w:pos="3306"/>
              </w:tabs>
              <w:rPr>
                <w:rFonts w:cs="Calibri"/>
                <w:color w:val="FFFFFF" w:themeColor="background1"/>
                <w:sz w:val="18"/>
                <w:szCs w:val="18"/>
              </w:rPr>
            </w:pPr>
            <w:r w:rsidRPr="00E10D26">
              <w:rPr>
                <w:rFonts w:cs="Calibri"/>
                <w:color w:val="FFFFFF" w:themeColor="background1"/>
                <w:sz w:val="18"/>
                <w:szCs w:val="18"/>
              </w:rPr>
              <w:t>Apart from the above circumstances, assets must be recognised net of the amount of GST.</w:t>
            </w:r>
          </w:p>
        </w:tc>
      </w:tr>
      <w:tr w:rsidR="0000717F" w:rsidRPr="00D31414" w14:paraId="2FC8F1F8" w14:textId="77777777" w:rsidTr="004D1EC6">
        <w:trPr>
          <w:cantSplit/>
          <w:trHeight w:val="20"/>
        </w:trPr>
        <w:tc>
          <w:tcPr>
            <w:tcW w:w="1560" w:type="dxa"/>
            <w:tcBorders>
              <w:left w:val="single" w:sz="2" w:space="0" w:color="auto"/>
              <w:right w:val="single" w:sz="2" w:space="0" w:color="auto"/>
            </w:tcBorders>
          </w:tcPr>
          <w:p w14:paraId="50D06E83" w14:textId="7E1D99C3" w:rsidR="0000717F" w:rsidRPr="00851F40" w:rsidRDefault="0000717F" w:rsidP="006A4E19">
            <w:pPr>
              <w:pStyle w:val="TableReference"/>
              <w:tabs>
                <w:tab w:val="left" w:pos="3306"/>
              </w:tabs>
              <w:spacing w:before="60"/>
              <w:rPr>
                <w:rFonts w:cs="Calibri"/>
                <w:color w:val="7030A0"/>
                <w:sz w:val="14"/>
              </w:rPr>
            </w:pPr>
            <w:r w:rsidRPr="00851F40">
              <w:rPr>
                <w:rFonts w:cs="Calibri"/>
                <w:color w:val="7030A0"/>
                <w:sz w:val="14"/>
              </w:rPr>
              <w:t>Interpretation 1031.6 &amp; 9</w:t>
            </w:r>
          </w:p>
        </w:tc>
        <w:tc>
          <w:tcPr>
            <w:tcW w:w="8986" w:type="dxa"/>
            <w:tcBorders>
              <w:left w:val="single" w:sz="2" w:space="0" w:color="auto"/>
            </w:tcBorders>
            <w:shd w:val="clear" w:color="auto" w:fill="7030A0"/>
          </w:tcPr>
          <w:p w14:paraId="672C7672" w14:textId="72E46CFD" w:rsidR="0000717F" w:rsidRPr="00E10D26" w:rsidRDefault="0000717F" w:rsidP="006A4E19">
            <w:pPr>
              <w:pStyle w:val="CommentaryText"/>
              <w:rPr>
                <w:rFonts w:cs="Calibri"/>
                <w:color w:val="FFFFFF" w:themeColor="background1"/>
                <w:sz w:val="18"/>
                <w:szCs w:val="18"/>
              </w:rPr>
            </w:pPr>
            <w:r w:rsidRPr="00E10D26">
              <w:rPr>
                <w:rFonts w:cs="Calibri"/>
                <w:color w:val="FFFFFF" w:themeColor="background1"/>
                <w:sz w:val="18"/>
                <w:szCs w:val="18"/>
              </w:rPr>
              <w:t>Interpretation 1031 requires the net amount of GST recoverable from, or payable to, the taxation authority to be included as part of receivables or payables in the Balance Sheet.</w:t>
            </w:r>
          </w:p>
        </w:tc>
      </w:tr>
      <w:tr w:rsidR="00DA64E7" w:rsidRPr="00D31414" w14:paraId="073DD45B" w14:textId="77777777" w:rsidTr="004D1EC6">
        <w:trPr>
          <w:cantSplit/>
          <w:trHeight w:val="20"/>
        </w:trPr>
        <w:tc>
          <w:tcPr>
            <w:tcW w:w="1560" w:type="dxa"/>
            <w:tcBorders>
              <w:left w:val="single" w:sz="2" w:space="0" w:color="auto"/>
              <w:right w:val="single" w:sz="2" w:space="0" w:color="auto"/>
            </w:tcBorders>
          </w:tcPr>
          <w:p w14:paraId="01B5AB77" w14:textId="77777777" w:rsidR="00DA64E7" w:rsidRPr="00851F40" w:rsidRDefault="00DA64E7" w:rsidP="00DA64E7">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17F99D8" w14:textId="77777777" w:rsidR="00DA64E7" w:rsidRPr="00FA7C77" w:rsidRDefault="00DA64E7" w:rsidP="00DA64E7">
            <w:pPr>
              <w:pStyle w:val="CommentaryText"/>
              <w:spacing w:before="120" w:after="40"/>
              <w:rPr>
                <w:rFonts w:cs="Calibri"/>
                <w:b/>
                <w:bCs/>
                <w:color w:val="FFFFFF" w:themeColor="background1"/>
                <w:szCs w:val="20"/>
              </w:rPr>
            </w:pPr>
            <w:r w:rsidRPr="00FA7C77">
              <w:rPr>
                <w:rFonts w:cs="Calibri"/>
                <w:b/>
                <w:bCs/>
                <w:color w:val="FFFFFF" w:themeColor="background1"/>
                <w:szCs w:val="20"/>
              </w:rPr>
              <w:t>Materiality and Aggregation</w:t>
            </w:r>
          </w:p>
        </w:tc>
      </w:tr>
      <w:tr w:rsidR="00DA64E7" w:rsidRPr="00D31414" w14:paraId="0456F822" w14:textId="77777777" w:rsidTr="004D1EC6">
        <w:trPr>
          <w:cantSplit/>
          <w:trHeight w:val="20"/>
        </w:trPr>
        <w:tc>
          <w:tcPr>
            <w:tcW w:w="1560" w:type="dxa"/>
            <w:tcBorders>
              <w:left w:val="single" w:sz="2" w:space="0" w:color="auto"/>
              <w:right w:val="single" w:sz="2" w:space="0" w:color="auto"/>
            </w:tcBorders>
          </w:tcPr>
          <w:p w14:paraId="6A086C37" w14:textId="77777777" w:rsidR="00DA64E7" w:rsidRPr="00851F40" w:rsidRDefault="00DA64E7" w:rsidP="00DA64E7">
            <w:pPr>
              <w:pStyle w:val="TableReference"/>
              <w:tabs>
                <w:tab w:val="left" w:pos="3306"/>
              </w:tabs>
              <w:spacing w:before="60"/>
              <w:rPr>
                <w:rFonts w:cs="Calibri"/>
                <w:color w:val="7030A0"/>
                <w:sz w:val="14"/>
              </w:rPr>
            </w:pPr>
            <w:r w:rsidRPr="00851F40">
              <w:rPr>
                <w:rFonts w:cs="Calibri"/>
                <w:color w:val="7030A0"/>
                <w:sz w:val="14"/>
              </w:rPr>
              <w:t>AASB 101.30A</w:t>
            </w:r>
          </w:p>
          <w:p w14:paraId="602C6CEB" w14:textId="77777777" w:rsidR="00DA64E7" w:rsidRPr="00851F40" w:rsidRDefault="00DA64E7" w:rsidP="009A0F2F">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235B65A4" w14:textId="492A915D" w:rsidR="00DA64E7" w:rsidRPr="00E10D26" w:rsidRDefault="00DA64E7" w:rsidP="00DA64E7">
            <w:pPr>
              <w:pStyle w:val="CommentaryText"/>
              <w:rPr>
                <w:rFonts w:cs="Calibri"/>
                <w:color w:val="FFFFFF" w:themeColor="background1"/>
                <w:sz w:val="18"/>
                <w:szCs w:val="18"/>
              </w:rPr>
            </w:pPr>
            <w:r w:rsidRPr="00E10D26">
              <w:rPr>
                <w:rFonts w:cs="Calibri"/>
                <w:color w:val="FFFFFF" w:themeColor="background1"/>
                <w:sz w:val="18"/>
                <w:szCs w:val="18"/>
              </w:rPr>
              <w:t>Agencies need to consider the Materiality Guidance for Financial Statements Simplification under Section 1.2 Materiality Guidance. An agency should decide, taking into consideration all relevant facts and circumstances, how it aggregates information in the Balance Sheet, which includes the notes.</w:t>
            </w:r>
            <w:r w:rsidR="00FA7C77">
              <w:rPr>
                <w:rFonts w:cs="Calibri"/>
                <w:color w:val="FFFFFF" w:themeColor="background1"/>
                <w:sz w:val="18"/>
                <w:szCs w:val="18"/>
              </w:rPr>
              <w:t xml:space="preserve"> </w:t>
            </w:r>
            <w:r w:rsidRPr="00E10D26">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r w:rsidR="00DA64E7" w:rsidRPr="00D31414" w14:paraId="03BB77CB" w14:textId="77777777" w:rsidTr="004D1EC6">
        <w:trPr>
          <w:cantSplit/>
          <w:trHeight w:val="20"/>
        </w:trPr>
        <w:tc>
          <w:tcPr>
            <w:tcW w:w="1560" w:type="dxa"/>
            <w:tcBorders>
              <w:left w:val="single" w:sz="2" w:space="0" w:color="auto"/>
              <w:right w:val="single" w:sz="2" w:space="0" w:color="auto"/>
            </w:tcBorders>
          </w:tcPr>
          <w:p w14:paraId="16EAC181" w14:textId="77777777" w:rsidR="00DA64E7" w:rsidRPr="00851F40" w:rsidRDefault="00DA64E7" w:rsidP="009A0F2F">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470E1EAC" w14:textId="77777777" w:rsidR="00DA64E7" w:rsidRPr="00FA7C77" w:rsidRDefault="00DA64E7" w:rsidP="00DA64E7">
            <w:pPr>
              <w:pStyle w:val="CommentaryText"/>
              <w:spacing w:after="40"/>
              <w:rPr>
                <w:rFonts w:cs="Calibri"/>
                <w:b/>
                <w:bCs/>
                <w:color w:val="FFFFFF" w:themeColor="background1"/>
                <w:szCs w:val="20"/>
              </w:rPr>
            </w:pPr>
            <w:r w:rsidRPr="00FA7C77">
              <w:rPr>
                <w:rFonts w:cs="Calibri"/>
                <w:b/>
                <w:bCs/>
                <w:color w:val="FFFFFF" w:themeColor="background1"/>
                <w:szCs w:val="20"/>
              </w:rPr>
              <w:t>Offset of Assets and Liabilities</w:t>
            </w:r>
          </w:p>
        </w:tc>
      </w:tr>
      <w:tr w:rsidR="00DA64E7" w:rsidRPr="00CF7E1B" w14:paraId="045BEBE3" w14:textId="77777777" w:rsidTr="004D1EC6">
        <w:trPr>
          <w:cantSplit/>
          <w:trHeight w:val="20"/>
        </w:trPr>
        <w:tc>
          <w:tcPr>
            <w:tcW w:w="1560" w:type="dxa"/>
            <w:tcBorders>
              <w:left w:val="single" w:sz="2" w:space="0" w:color="auto"/>
              <w:right w:val="single" w:sz="2" w:space="0" w:color="auto"/>
            </w:tcBorders>
          </w:tcPr>
          <w:p w14:paraId="49EF48EA" w14:textId="77777777" w:rsidR="00DA64E7" w:rsidRPr="00851F40" w:rsidRDefault="00DA64E7" w:rsidP="009A0F2F">
            <w:pPr>
              <w:pStyle w:val="TableReference"/>
              <w:tabs>
                <w:tab w:val="left" w:pos="3306"/>
              </w:tabs>
              <w:spacing w:before="60"/>
              <w:rPr>
                <w:rFonts w:cs="Calibri"/>
                <w:color w:val="7030A0"/>
                <w:sz w:val="14"/>
              </w:rPr>
            </w:pPr>
            <w:r w:rsidRPr="00851F40">
              <w:rPr>
                <w:rFonts w:cs="Calibri"/>
                <w:color w:val="7030A0"/>
                <w:sz w:val="14"/>
              </w:rPr>
              <w:t>AASB 101.32</w:t>
            </w:r>
          </w:p>
        </w:tc>
        <w:tc>
          <w:tcPr>
            <w:tcW w:w="8986" w:type="dxa"/>
            <w:tcBorders>
              <w:left w:val="single" w:sz="2" w:space="0" w:color="auto"/>
            </w:tcBorders>
            <w:shd w:val="clear" w:color="auto" w:fill="7030A0"/>
          </w:tcPr>
          <w:p w14:paraId="7BCD0C40" w14:textId="77777777" w:rsidR="00DA64E7" w:rsidRPr="00E10D26" w:rsidRDefault="00DA64E7" w:rsidP="00DA64E7">
            <w:pPr>
              <w:pStyle w:val="CommentaryText"/>
              <w:rPr>
                <w:rFonts w:cs="Calibri"/>
                <w:color w:val="FFFFFF" w:themeColor="background1"/>
                <w:sz w:val="18"/>
                <w:szCs w:val="18"/>
              </w:rPr>
            </w:pPr>
            <w:r w:rsidRPr="00E10D26">
              <w:rPr>
                <w:rFonts w:cs="Calibri"/>
                <w:color w:val="FFFFFF" w:themeColor="background1"/>
                <w:sz w:val="18"/>
                <w:szCs w:val="18"/>
              </w:rPr>
              <w:t>Assets and liabilities shall not be offset unless required or permitted by an Australian Accounting Standard.</w:t>
            </w:r>
          </w:p>
        </w:tc>
      </w:tr>
      <w:tr w:rsidR="00115CE9" w:rsidRPr="00CF7E1B" w14:paraId="22DF3271" w14:textId="77777777" w:rsidTr="004D1EC6">
        <w:trPr>
          <w:cantSplit/>
          <w:trHeight w:val="20"/>
        </w:trPr>
        <w:tc>
          <w:tcPr>
            <w:tcW w:w="1560" w:type="dxa"/>
            <w:tcBorders>
              <w:left w:val="single" w:sz="2" w:space="0" w:color="auto"/>
              <w:right w:val="single" w:sz="2" w:space="0" w:color="auto"/>
            </w:tcBorders>
          </w:tcPr>
          <w:p w14:paraId="188014CD" w14:textId="637F3F38" w:rsidR="00115CE9" w:rsidRPr="00851F40" w:rsidRDefault="00115CE9" w:rsidP="009A0F2F">
            <w:pPr>
              <w:pStyle w:val="TableReference"/>
              <w:tabs>
                <w:tab w:val="left" w:pos="3306"/>
              </w:tabs>
              <w:spacing w:before="60"/>
              <w:rPr>
                <w:rFonts w:cs="Calibri"/>
                <w:color w:val="7030A0"/>
                <w:sz w:val="14"/>
              </w:rPr>
            </w:pPr>
            <w:r w:rsidRPr="00851F40">
              <w:rPr>
                <w:rFonts w:cs="Calibri"/>
                <w:color w:val="7030A0"/>
                <w:sz w:val="14"/>
              </w:rPr>
              <w:t>ACT Disclosure Policy</w:t>
            </w:r>
          </w:p>
        </w:tc>
        <w:tc>
          <w:tcPr>
            <w:tcW w:w="8986" w:type="dxa"/>
            <w:tcBorders>
              <w:left w:val="single" w:sz="2" w:space="0" w:color="auto"/>
            </w:tcBorders>
            <w:shd w:val="clear" w:color="auto" w:fill="7030A0"/>
          </w:tcPr>
          <w:p w14:paraId="04AAADEE" w14:textId="05838BAA" w:rsidR="00115CE9" w:rsidRPr="00E10D26" w:rsidRDefault="00115CE9" w:rsidP="00DA64E7">
            <w:pPr>
              <w:pStyle w:val="CommentaryText"/>
              <w:rPr>
                <w:rFonts w:cs="Calibri"/>
                <w:color w:val="FFFFFF" w:themeColor="background1"/>
                <w:sz w:val="18"/>
                <w:szCs w:val="18"/>
              </w:rPr>
            </w:pPr>
            <w:r w:rsidRPr="00E10D26">
              <w:rPr>
                <w:rFonts w:cs="Calibri"/>
                <w:color w:val="FFFFFF" w:themeColor="background1"/>
                <w:sz w:val="18"/>
              </w:rPr>
              <w:t>Lease liabilities are presented separately in the Balance Sheet.</w:t>
            </w:r>
          </w:p>
        </w:tc>
      </w:tr>
      <w:tr w:rsidR="00115CE9" w:rsidRPr="00CF7E1B" w14:paraId="42B355F6" w14:textId="77777777" w:rsidTr="004D1EC6">
        <w:trPr>
          <w:cantSplit/>
          <w:trHeight w:val="20"/>
        </w:trPr>
        <w:tc>
          <w:tcPr>
            <w:tcW w:w="1560" w:type="dxa"/>
            <w:tcBorders>
              <w:left w:val="single" w:sz="2" w:space="0" w:color="auto"/>
              <w:right w:val="single" w:sz="2" w:space="0" w:color="auto"/>
            </w:tcBorders>
          </w:tcPr>
          <w:p w14:paraId="4BE8D838" w14:textId="77777777" w:rsidR="00115CE9" w:rsidRPr="00851F40" w:rsidRDefault="00115CE9" w:rsidP="009A0F2F">
            <w:pPr>
              <w:pStyle w:val="TableReference"/>
              <w:tabs>
                <w:tab w:val="left" w:pos="3306"/>
              </w:tabs>
              <w:spacing w:before="60"/>
              <w:rPr>
                <w:rFonts w:cs="Calibri"/>
                <w:color w:val="7030A0"/>
                <w:sz w:val="14"/>
              </w:rPr>
            </w:pPr>
          </w:p>
        </w:tc>
        <w:tc>
          <w:tcPr>
            <w:tcW w:w="8986" w:type="dxa"/>
            <w:tcBorders>
              <w:left w:val="single" w:sz="2" w:space="0" w:color="auto"/>
            </w:tcBorders>
            <w:shd w:val="clear" w:color="auto" w:fill="7030A0"/>
          </w:tcPr>
          <w:p w14:paraId="3EBBB8F5" w14:textId="47340B6D" w:rsidR="00115CE9" w:rsidRPr="00FA7C77" w:rsidRDefault="00115CE9" w:rsidP="00115CE9">
            <w:pPr>
              <w:pStyle w:val="CommentaryText"/>
              <w:spacing w:after="0"/>
              <w:rPr>
                <w:rFonts w:cs="Calibri"/>
                <w:color w:val="FFFFFF" w:themeColor="background1"/>
                <w:szCs w:val="20"/>
              </w:rPr>
            </w:pPr>
            <w:r w:rsidRPr="00FA7C77">
              <w:rPr>
                <w:b/>
                <w:bCs/>
                <w:color w:val="FFFFFF" w:themeColor="background1"/>
                <w:szCs w:val="20"/>
              </w:rPr>
              <w:t>Dividends Declared</w:t>
            </w:r>
          </w:p>
        </w:tc>
      </w:tr>
      <w:tr w:rsidR="00115CE9" w:rsidRPr="00CF7E1B" w14:paraId="74F62FB4" w14:textId="77777777" w:rsidTr="004D1EC6">
        <w:trPr>
          <w:cantSplit/>
          <w:trHeight w:val="20"/>
        </w:trPr>
        <w:tc>
          <w:tcPr>
            <w:tcW w:w="1560" w:type="dxa"/>
            <w:tcBorders>
              <w:left w:val="single" w:sz="2" w:space="0" w:color="auto"/>
              <w:right w:val="single" w:sz="2" w:space="0" w:color="auto"/>
            </w:tcBorders>
          </w:tcPr>
          <w:p w14:paraId="32A3BC20" w14:textId="5B8FDB1E" w:rsidR="00115CE9" w:rsidRPr="00851F40" w:rsidRDefault="00115CE9" w:rsidP="009A0F2F">
            <w:pPr>
              <w:pStyle w:val="TableReference"/>
              <w:tabs>
                <w:tab w:val="left" w:pos="3306"/>
              </w:tabs>
              <w:spacing w:before="60"/>
              <w:rPr>
                <w:rFonts w:cs="Calibri"/>
                <w:color w:val="7030A0"/>
                <w:sz w:val="14"/>
              </w:rPr>
            </w:pPr>
            <w:r w:rsidRPr="00851F40">
              <w:rPr>
                <w:color w:val="7030A0"/>
                <w:sz w:val="14"/>
              </w:rPr>
              <w:t>AASB 110.12 &amp; 13 AASB 101.137(a)</w:t>
            </w:r>
          </w:p>
        </w:tc>
        <w:tc>
          <w:tcPr>
            <w:tcW w:w="8986" w:type="dxa"/>
            <w:tcBorders>
              <w:left w:val="single" w:sz="2" w:space="0" w:color="auto"/>
            </w:tcBorders>
            <w:shd w:val="clear" w:color="auto" w:fill="7030A0"/>
          </w:tcPr>
          <w:p w14:paraId="4E74E15B" w14:textId="0FE587FA" w:rsidR="00115CE9" w:rsidRPr="00E10D26" w:rsidRDefault="00115CE9" w:rsidP="00DA64E7">
            <w:pPr>
              <w:pStyle w:val="CommentaryText"/>
              <w:rPr>
                <w:b/>
                <w:bCs/>
                <w:color w:val="FFFFFF" w:themeColor="background1"/>
                <w:sz w:val="18"/>
                <w:szCs w:val="18"/>
              </w:rPr>
            </w:pPr>
            <w:r w:rsidRPr="00E10D26">
              <w:rPr>
                <w:color w:val="FFFFFF" w:themeColor="background1"/>
                <w:sz w:val="18"/>
                <w:szCs w:val="18"/>
              </w:rPr>
              <w:t>Dividends declared after the reporting date should not be recognised as a liability in the Balance Sheet. However, dividends declared after the reporting date but before the financial statements are authorised for issue should be disclosed in the notes.</w:t>
            </w:r>
          </w:p>
        </w:tc>
      </w:tr>
    </w:tbl>
    <w:p w14:paraId="54437B3B" w14:textId="3BDB7BD9" w:rsidR="008A7FED" w:rsidRDefault="008A7FED">
      <w:r>
        <w:br w:type="page"/>
      </w:r>
    </w:p>
    <w:p w14:paraId="78B8EC15" w14:textId="77777777" w:rsidR="00AD56C6" w:rsidRDefault="00AD56C6" w:rsidP="001F6B32">
      <w:pPr>
        <w:jc w:val="center"/>
        <w:rPr>
          <w:b/>
          <w:sz w:val="40"/>
          <w:szCs w:val="40"/>
        </w:rPr>
        <w:sectPr w:rsidR="00AD56C6" w:rsidSect="00AD56C6">
          <w:headerReference w:type="default" r:id="rId26"/>
          <w:footnotePr>
            <w:numRestart w:val="eachPage"/>
          </w:footnotePr>
          <w:pgSz w:w="11907" w:h="16840" w:code="9"/>
          <w:pgMar w:top="567" w:right="680" w:bottom="1134" w:left="680" w:header="284" w:footer="284" w:gutter="0"/>
          <w:cols w:space="720"/>
        </w:sectPr>
      </w:pPr>
      <w:bookmarkStart w:id="164" w:name="_Toc194918640"/>
    </w:p>
    <w:p w14:paraId="6945DFA8" w14:textId="26747C68" w:rsidR="001F6B32" w:rsidRPr="008E2886" w:rsidRDefault="001F6B32" w:rsidP="008E2886">
      <w:pPr>
        <w:spacing w:line="400" w:lineRule="exact"/>
        <w:jc w:val="center"/>
        <w:rPr>
          <w:rFonts w:asciiTheme="minorHAnsi" w:hAnsiTheme="minorHAnsi" w:cstheme="minorHAnsi"/>
          <w:b/>
          <w:sz w:val="40"/>
          <w:szCs w:val="40"/>
        </w:rPr>
      </w:pPr>
      <w:r w:rsidRPr="008E2886">
        <w:rPr>
          <w:rFonts w:asciiTheme="minorHAnsi" w:hAnsiTheme="minorHAnsi" w:cstheme="minorHAnsi"/>
          <w:b/>
          <w:sz w:val="40"/>
          <w:szCs w:val="40"/>
        </w:rPr>
        <w:t>‘</w:t>
      </w:r>
      <w:r w:rsidR="00836324" w:rsidRPr="008E2886">
        <w:rPr>
          <w:rFonts w:asciiTheme="minorHAnsi" w:hAnsiTheme="minorHAnsi" w:cstheme="minorHAnsi"/>
          <w:b/>
          <w:sz w:val="40"/>
          <w:szCs w:val="40"/>
        </w:rPr>
        <w:t xml:space="preserve">Burley Griffin </w:t>
      </w:r>
      <w:r w:rsidRPr="008E2886">
        <w:rPr>
          <w:rFonts w:asciiTheme="minorHAnsi" w:hAnsiTheme="minorHAnsi" w:cstheme="minorHAnsi"/>
          <w:b/>
          <w:sz w:val="40"/>
          <w:szCs w:val="40"/>
        </w:rPr>
        <w:t>Agency’</w:t>
      </w:r>
      <w:bookmarkEnd w:id="164"/>
    </w:p>
    <w:p w14:paraId="38A21DF4" w14:textId="77777777" w:rsidR="001F6B32" w:rsidRPr="008E2886" w:rsidRDefault="001F6B32" w:rsidP="008E2886">
      <w:pPr>
        <w:pStyle w:val="Subtitle"/>
        <w:spacing w:line="400" w:lineRule="exact"/>
        <w:rPr>
          <w:rFonts w:asciiTheme="minorHAnsi" w:hAnsiTheme="minorHAnsi" w:cstheme="minorHAnsi"/>
        </w:rPr>
      </w:pPr>
      <w:bookmarkStart w:id="165" w:name="_Toc400627310"/>
      <w:bookmarkStart w:id="166" w:name="_Toc98763026"/>
      <w:r w:rsidRPr="008E2886">
        <w:rPr>
          <w:rFonts w:asciiTheme="minorHAnsi" w:hAnsiTheme="minorHAnsi" w:cstheme="minorHAnsi"/>
        </w:rPr>
        <w:t>Statement of Changes in Equity</w:t>
      </w:r>
      <w:bookmarkEnd w:id="165"/>
      <w:bookmarkEnd w:id="166"/>
    </w:p>
    <w:p w14:paraId="3E63DF06" w14:textId="2D0A9C11" w:rsidR="000144FF" w:rsidRPr="008E2886" w:rsidRDefault="000144FF" w:rsidP="008E2886">
      <w:pPr>
        <w:spacing w:line="400" w:lineRule="exact"/>
        <w:jc w:val="center"/>
        <w:rPr>
          <w:rFonts w:asciiTheme="minorHAnsi" w:hAnsiTheme="minorHAnsi" w:cstheme="minorHAnsi"/>
          <w:b/>
          <w:sz w:val="40"/>
          <w:szCs w:val="40"/>
        </w:rPr>
      </w:pPr>
      <w:r w:rsidRPr="008E2886">
        <w:rPr>
          <w:rFonts w:asciiTheme="minorHAnsi" w:hAnsiTheme="minorHAnsi" w:cstheme="minorHAnsi"/>
          <w:b/>
          <w:sz w:val="40"/>
          <w:szCs w:val="40"/>
        </w:rPr>
        <w:t xml:space="preserve">For the Year Ended 30 June </w:t>
      </w:r>
      <w:r w:rsidR="00C66E0D" w:rsidRPr="008E2886">
        <w:rPr>
          <w:rFonts w:asciiTheme="minorHAnsi" w:hAnsiTheme="minorHAnsi" w:cstheme="minorHAnsi"/>
          <w:b/>
          <w:sz w:val="40"/>
          <w:szCs w:val="40"/>
        </w:rPr>
        <w:t>202</w:t>
      </w:r>
      <w:r w:rsidR="00663421" w:rsidRPr="008E2886">
        <w:rPr>
          <w:rFonts w:asciiTheme="minorHAnsi" w:hAnsiTheme="minorHAnsi" w:cstheme="minorHAnsi"/>
          <w:b/>
          <w:sz w:val="40"/>
          <w:szCs w:val="40"/>
        </w:rPr>
        <w:t>2</w:t>
      </w:r>
    </w:p>
    <w:tbl>
      <w:tblPr>
        <w:tblW w:w="10408"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6"/>
        <w:gridCol w:w="2410"/>
        <w:gridCol w:w="708"/>
        <w:gridCol w:w="709"/>
        <w:gridCol w:w="1278"/>
        <w:gridCol w:w="1134"/>
        <w:gridCol w:w="992"/>
        <w:gridCol w:w="851"/>
        <w:gridCol w:w="850"/>
      </w:tblGrid>
      <w:tr w:rsidR="00A26DB2" w:rsidRPr="00CF7E1B" w14:paraId="10089DFA" w14:textId="77777777" w:rsidTr="004D1EC6">
        <w:trPr>
          <w:cantSplit/>
          <w:trHeight w:val="20"/>
        </w:trPr>
        <w:tc>
          <w:tcPr>
            <w:tcW w:w="1476" w:type="dxa"/>
            <w:tcBorders>
              <w:top w:val="nil"/>
              <w:left w:val="single" w:sz="2" w:space="0" w:color="auto"/>
              <w:bottom w:val="nil"/>
              <w:right w:val="single" w:sz="2" w:space="0" w:color="auto"/>
            </w:tcBorders>
          </w:tcPr>
          <w:p w14:paraId="186FCAAA" w14:textId="77777777" w:rsidR="00A26DB2" w:rsidRPr="008E2886" w:rsidRDefault="00A26DB2" w:rsidP="00AF2884">
            <w:pPr>
              <w:pStyle w:val="Reference"/>
              <w:tabs>
                <w:tab w:val="left" w:pos="3306"/>
              </w:tabs>
              <w:spacing w:before="240"/>
              <w:rPr>
                <w:rFonts w:cs="Calibri"/>
                <w:color w:val="7030A0"/>
                <w:sz w:val="22"/>
                <w:szCs w:val="22"/>
              </w:rPr>
            </w:pPr>
            <w:r w:rsidRPr="008E2886">
              <w:rPr>
                <w:rFonts w:cs="Calibri"/>
                <w:color w:val="7030A0"/>
                <w:sz w:val="22"/>
                <w:szCs w:val="22"/>
              </w:rPr>
              <w:t>Reference</w:t>
            </w:r>
          </w:p>
        </w:tc>
        <w:tc>
          <w:tcPr>
            <w:tcW w:w="2410" w:type="dxa"/>
            <w:tcBorders>
              <w:top w:val="nil"/>
              <w:left w:val="single" w:sz="2" w:space="0" w:color="auto"/>
              <w:bottom w:val="nil"/>
              <w:right w:val="nil"/>
            </w:tcBorders>
            <w:vAlign w:val="bottom"/>
          </w:tcPr>
          <w:p w14:paraId="13BE9B4D" w14:textId="77777777" w:rsidR="00A26DB2" w:rsidRPr="008E2886" w:rsidRDefault="00A26DB2" w:rsidP="00AF2884">
            <w:pPr>
              <w:tabs>
                <w:tab w:val="left" w:pos="3306"/>
              </w:tabs>
              <w:rPr>
                <w:rFonts w:cs="Calibri"/>
              </w:rPr>
            </w:pPr>
          </w:p>
        </w:tc>
        <w:tc>
          <w:tcPr>
            <w:tcW w:w="1417" w:type="dxa"/>
            <w:gridSpan w:val="2"/>
            <w:tcBorders>
              <w:top w:val="nil"/>
              <w:left w:val="nil"/>
              <w:bottom w:val="nil"/>
              <w:right w:val="nil"/>
            </w:tcBorders>
            <w:vAlign w:val="bottom"/>
          </w:tcPr>
          <w:p w14:paraId="12588DA6" w14:textId="17AAAAD1" w:rsidR="00A26DB2" w:rsidRPr="008E2886" w:rsidRDefault="00A26DB2" w:rsidP="00AF2884">
            <w:pPr>
              <w:pStyle w:val="TableTitle"/>
              <w:tabs>
                <w:tab w:val="left" w:pos="3306"/>
              </w:tabs>
              <w:rPr>
                <w:rFonts w:cs="Calibri"/>
                <w:color w:val="2E74B5" w:themeColor="accent1" w:themeShade="BF"/>
              </w:rPr>
            </w:pPr>
            <w:r w:rsidRPr="008E2886">
              <w:rPr>
                <w:rFonts w:cs="Calibri"/>
                <w:color w:val="2E74B5" w:themeColor="accent1" w:themeShade="BF"/>
                <w:szCs w:val="14"/>
              </w:rPr>
              <w:t>Contributed Equity</w:t>
            </w:r>
          </w:p>
        </w:tc>
        <w:tc>
          <w:tcPr>
            <w:tcW w:w="1278" w:type="dxa"/>
            <w:vMerge w:val="restart"/>
            <w:tcBorders>
              <w:top w:val="nil"/>
              <w:left w:val="nil"/>
              <w:right w:val="nil"/>
            </w:tcBorders>
            <w:vAlign w:val="bottom"/>
          </w:tcPr>
          <w:p w14:paraId="378A413A" w14:textId="77777777" w:rsidR="00A26DB2" w:rsidRPr="008E2886" w:rsidRDefault="00A26DB2" w:rsidP="00D664B1">
            <w:pPr>
              <w:pStyle w:val="TableTitle"/>
              <w:tabs>
                <w:tab w:val="left" w:pos="3306"/>
              </w:tabs>
              <w:rPr>
                <w:rFonts w:cs="Calibri"/>
              </w:rPr>
            </w:pPr>
            <w:r w:rsidRPr="008E2886">
              <w:rPr>
                <w:rFonts w:cs="Calibri"/>
              </w:rPr>
              <w:t xml:space="preserve">Accumulated </w:t>
            </w:r>
          </w:p>
          <w:p w14:paraId="31EEB84F" w14:textId="77777777" w:rsidR="00A26DB2" w:rsidRPr="008E2886" w:rsidRDefault="00A26DB2" w:rsidP="00D664B1">
            <w:pPr>
              <w:pStyle w:val="TableTitle"/>
              <w:tabs>
                <w:tab w:val="left" w:pos="3306"/>
              </w:tabs>
              <w:rPr>
                <w:rFonts w:cs="Calibri"/>
              </w:rPr>
            </w:pPr>
            <w:r w:rsidRPr="008E2886">
              <w:rPr>
                <w:rFonts w:cs="Calibri"/>
              </w:rPr>
              <w:t>Funds</w:t>
            </w:r>
          </w:p>
          <w:p w14:paraId="2E218C5C" w14:textId="77777777" w:rsidR="00A26DB2" w:rsidRPr="008E2886" w:rsidRDefault="00A26DB2" w:rsidP="00D664B1">
            <w:pPr>
              <w:pStyle w:val="TableTitle"/>
              <w:tabs>
                <w:tab w:val="left" w:pos="3306"/>
              </w:tabs>
              <w:rPr>
                <w:rFonts w:cs="Calibri"/>
              </w:rPr>
            </w:pPr>
            <w:r w:rsidRPr="008E2886">
              <w:rPr>
                <w:rFonts w:cs="Calibri"/>
              </w:rPr>
              <w:t>Actual</w:t>
            </w:r>
          </w:p>
          <w:p w14:paraId="58128135" w14:textId="3511EE58" w:rsidR="00A26DB2" w:rsidRPr="008E2886" w:rsidRDefault="00A26DB2" w:rsidP="00D664B1">
            <w:pPr>
              <w:pStyle w:val="TableTitle"/>
              <w:tabs>
                <w:tab w:val="left" w:pos="3306"/>
              </w:tabs>
              <w:rPr>
                <w:rFonts w:cs="Calibri"/>
              </w:rPr>
            </w:pPr>
            <w:r w:rsidRPr="008E2886">
              <w:rPr>
                <w:rFonts w:cs="Calibri"/>
              </w:rPr>
              <w:t>2022</w:t>
            </w:r>
          </w:p>
          <w:p w14:paraId="0ED92D45" w14:textId="58F3BBA6" w:rsidR="00A26DB2" w:rsidRPr="008E2886" w:rsidRDefault="00A26DB2" w:rsidP="00D664B1">
            <w:pPr>
              <w:pStyle w:val="TableTitle"/>
              <w:tabs>
                <w:tab w:val="left" w:pos="3306"/>
              </w:tabs>
              <w:rPr>
                <w:rFonts w:cs="Calibri"/>
              </w:rPr>
            </w:pPr>
            <w:r w:rsidRPr="008E2886">
              <w:rPr>
                <w:rFonts w:cs="Calibri"/>
              </w:rPr>
              <w:t>$’000</w:t>
            </w:r>
          </w:p>
        </w:tc>
        <w:tc>
          <w:tcPr>
            <w:tcW w:w="1134" w:type="dxa"/>
            <w:vMerge w:val="restart"/>
            <w:tcBorders>
              <w:top w:val="nil"/>
              <w:left w:val="nil"/>
              <w:right w:val="nil"/>
            </w:tcBorders>
            <w:shd w:val="clear" w:color="auto" w:fill="auto"/>
            <w:vAlign w:val="bottom"/>
          </w:tcPr>
          <w:p w14:paraId="3FF2BD3F" w14:textId="77777777" w:rsidR="00A26DB2" w:rsidRPr="008E2886" w:rsidRDefault="00A26DB2" w:rsidP="00A164A4">
            <w:pPr>
              <w:pStyle w:val="TableTitle"/>
              <w:tabs>
                <w:tab w:val="left" w:pos="3306"/>
              </w:tabs>
              <w:rPr>
                <w:rFonts w:cs="Calibri"/>
              </w:rPr>
            </w:pPr>
            <w:r w:rsidRPr="008E2886">
              <w:rPr>
                <w:rFonts w:cs="Calibri"/>
              </w:rPr>
              <w:t>Asset Revaluation Surplus</w:t>
            </w:r>
          </w:p>
          <w:p w14:paraId="5E52DD3F" w14:textId="77777777" w:rsidR="00A26DB2" w:rsidRPr="008E2886" w:rsidRDefault="00A26DB2" w:rsidP="00AF2884">
            <w:pPr>
              <w:pStyle w:val="TableTitle"/>
              <w:tabs>
                <w:tab w:val="left" w:pos="3306"/>
              </w:tabs>
              <w:rPr>
                <w:rFonts w:cs="Calibri"/>
              </w:rPr>
            </w:pPr>
            <w:r w:rsidRPr="008E2886">
              <w:rPr>
                <w:rFonts w:cs="Calibri"/>
              </w:rPr>
              <w:t>Actual</w:t>
            </w:r>
          </w:p>
          <w:p w14:paraId="2BFE9F0B" w14:textId="1A19D8A8" w:rsidR="00A26DB2" w:rsidRPr="008E2886" w:rsidRDefault="00A26DB2" w:rsidP="00AF2884">
            <w:pPr>
              <w:pStyle w:val="TableTitle"/>
              <w:tabs>
                <w:tab w:val="left" w:pos="3306"/>
              </w:tabs>
              <w:rPr>
                <w:rFonts w:cs="Calibri"/>
              </w:rPr>
            </w:pPr>
            <w:r w:rsidRPr="008E2886">
              <w:rPr>
                <w:rFonts w:cs="Calibri"/>
              </w:rPr>
              <w:t>2022</w:t>
            </w:r>
          </w:p>
          <w:p w14:paraId="6A3EE761" w14:textId="622824B6" w:rsidR="00A26DB2" w:rsidRPr="008E2886" w:rsidRDefault="00A26DB2" w:rsidP="00AF2884">
            <w:pPr>
              <w:pStyle w:val="TableTitle"/>
              <w:tabs>
                <w:tab w:val="left" w:pos="3306"/>
              </w:tabs>
              <w:rPr>
                <w:rFonts w:cs="Calibri"/>
              </w:rPr>
            </w:pPr>
            <w:r w:rsidRPr="008E2886">
              <w:rPr>
                <w:rFonts w:cs="Calibri"/>
              </w:rPr>
              <w:t>$’000</w:t>
            </w:r>
          </w:p>
        </w:tc>
        <w:tc>
          <w:tcPr>
            <w:tcW w:w="992" w:type="dxa"/>
            <w:vMerge w:val="restart"/>
            <w:tcBorders>
              <w:top w:val="nil"/>
              <w:left w:val="nil"/>
              <w:right w:val="nil"/>
            </w:tcBorders>
            <w:shd w:val="clear" w:color="auto" w:fill="auto"/>
            <w:vAlign w:val="bottom"/>
          </w:tcPr>
          <w:p w14:paraId="14C7188F" w14:textId="77777777" w:rsidR="00A26DB2" w:rsidRPr="008E2886" w:rsidRDefault="00A26DB2" w:rsidP="00A164A4">
            <w:pPr>
              <w:pStyle w:val="TableTitle"/>
              <w:tabs>
                <w:tab w:val="left" w:pos="3306"/>
              </w:tabs>
              <w:rPr>
                <w:rFonts w:cs="Calibri"/>
              </w:rPr>
            </w:pPr>
            <w:r w:rsidRPr="008E2886">
              <w:rPr>
                <w:rFonts w:cs="Calibri"/>
              </w:rPr>
              <w:t>Other Reserves</w:t>
            </w:r>
          </w:p>
          <w:p w14:paraId="3505D887" w14:textId="77777777" w:rsidR="00A26DB2" w:rsidRPr="008E2886" w:rsidRDefault="00A26DB2" w:rsidP="00AF2884">
            <w:pPr>
              <w:pStyle w:val="TableTitle"/>
              <w:tabs>
                <w:tab w:val="left" w:pos="3306"/>
              </w:tabs>
              <w:rPr>
                <w:rFonts w:cs="Calibri"/>
              </w:rPr>
            </w:pPr>
            <w:r w:rsidRPr="008E2886">
              <w:rPr>
                <w:rFonts w:cs="Calibri"/>
              </w:rPr>
              <w:t>Actual</w:t>
            </w:r>
          </w:p>
          <w:p w14:paraId="3C507DD2" w14:textId="0E2D5A62" w:rsidR="00A26DB2" w:rsidRPr="008E2886" w:rsidRDefault="00A26DB2" w:rsidP="00AF2884">
            <w:pPr>
              <w:pStyle w:val="TableTitle"/>
              <w:tabs>
                <w:tab w:val="left" w:pos="3306"/>
              </w:tabs>
              <w:rPr>
                <w:rFonts w:cs="Calibri"/>
              </w:rPr>
            </w:pPr>
            <w:r w:rsidRPr="008E2886">
              <w:rPr>
                <w:rFonts w:cs="Calibri"/>
              </w:rPr>
              <w:t>2022</w:t>
            </w:r>
          </w:p>
          <w:p w14:paraId="0A3F586C" w14:textId="76F7C5C4" w:rsidR="00A26DB2" w:rsidRPr="008E2886" w:rsidRDefault="00A26DB2" w:rsidP="00AF2884">
            <w:pPr>
              <w:pStyle w:val="TableTitle"/>
              <w:tabs>
                <w:tab w:val="left" w:pos="3306"/>
              </w:tabs>
              <w:rPr>
                <w:rFonts w:cs="Calibri"/>
              </w:rPr>
            </w:pPr>
            <w:r w:rsidRPr="008E2886">
              <w:rPr>
                <w:rFonts w:cs="Calibri"/>
              </w:rPr>
              <w:t>$’000</w:t>
            </w:r>
          </w:p>
        </w:tc>
        <w:tc>
          <w:tcPr>
            <w:tcW w:w="851" w:type="dxa"/>
            <w:vMerge w:val="restart"/>
            <w:tcBorders>
              <w:top w:val="nil"/>
              <w:left w:val="nil"/>
              <w:right w:val="nil"/>
            </w:tcBorders>
            <w:shd w:val="clear" w:color="auto" w:fill="auto"/>
            <w:vAlign w:val="bottom"/>
          </w:tcPr>
          <w:p w14:paraId="2124A886" w14:textId="77777777" w:rsidR="00A26DB2" w:rsidRPr="008E2886" w:rsidRDefault="00A26DB2" w:rsidP="00A164A4">
            <w:pPr>
              <w:pStyle w:val="TableTitle"/>
              <w:tabs>
                <w:tab w:val="left" w:pos="3306"/>
              </w:tabs>
              <w:rPr>
                <w:rFonts w:cs="Calibri"/>
              </w:rPr>
            </w:pPr>
            <w:r w:rsidRPr="008E2886">
              <w:rPr>
                <w:rFonts w:cs="Calibri"/>
              </w:rPr>
              <w:t>Total Equity</w:t>
            </w:r>
          </w:p>
          <w:p w14:paraId="1661E750" w14:textId="77777777" w:rsidR="00A26DB2" w:rsidRPr="008E2886" w:rsidRDefault="00A26DB2" w:rsidP="00AF2884">
            <w:pPr>
              <w:pStyle w:val="TableTitle"/>
              <w:tabs>
                <w:tab w:val="left" w:pos="3306"/>
              </w:tabs>
              <w:rPr>
                <w:rFonts w:cs="Calibri"/>
              </w:rPr>
            </w:pPr>
            <w:r w:rsidRPr="008E2886">
              <w:rPr>
                <w:rFonts w:cs="Calibri"/>
              </w:rPr>
              <w:t>Actual</w:t>
            </w:r>
          </w:p>
          <w:p w14:paraId="44F3983E" w14:textId="26476088" w:rsidR="00A26DB2" w:rsidRPr="008E2886" w:rsidRDefault="00A26DB2" w:rsidP="00AF2884">
            <w:pPr>
              <w:pStyle w:val="TableTitle"/>
              <w:tabs>
                <w:tab w:val="left" w:pos="3306"/>
              </w:tabs>
              <w:rPr>
                <w:rFonts w:cs="Calibri"/>
              </w:rPr>
            </w:pPr>
            <w:r w:rsidRPr="008E2886">
              <w:rPr>
                <w:rFonts w:cs="Calibri"/>
              </w:rPr>
              <w:t>2022</w:t>
            </w:r>
          </w:p>
          <w:p w14:paraId="3B2FD517" w14:textId="5024547F" w:rsidR="00A26DB2" w:rsidRPr="008E2886" w:rsidRDefault="00A26DB2" w:rsidP="00AF2884">
            <w:pPr>
              <w:pStyle w:val="TableTitle"/>
              <w:tabs>
                <w:tab w:val="left" w:pos="3306"/>
              </w:tabs>
              <w:rPr>
                <w:rFonts w:cs="Calibri"/>
              </w:rPr>
            </w:pPr>
            <w:r w:rsidRPr="008E2886">
              <w:rPr>
                <w:rFonts w:cs="Calibri"/>
              </w:rPr>
              <w:t>$’000</w:t>
            </w:r>
          </w:p>
        </w:tc>
        <w:tc>
          <w:tcPr>
            <w:tcW w:w="850" w:type="dxa"/>
            <w:vMerge w:val="restart"/>
            <w:tcBorders>
              <w:top w:val="nil"/>
              <w:left w:val="nil"/>
              <w:right w:val="nil"/>
            </w:tcBorders>
            <w:shd w:val="clear" w:color="auto" w:fill="auto"/>
            <w:vAlign w:val="bottom"/>
          </w:tcPr>
          <w:p w14:paraId="322EAE2B" w14:textId="0810CB2B" w:rsidR="00A26DB2" w:rsidRPr="008E2886" w:rsidRDefault="009F31C7" w:rsidP="00AF2884">
            <w:pPr>
              <w:pStyle w:val="TableTitle"/>
              <w:tabs>
                <w:tab w:val="left" w:pos="3306"/>
              </w:tabs>
              <w:rPr>
                <w:rFonts w:cs="Calibri"/>
              </w:rPr>
            </w:pPr>
            <w:r>
              <w:rPr>
                <w:rFonts w:cs="Calibri"/>
              </w:rPr>
              <w:t xml:space="preserve">Total </w:t>
            </w:r>
            <w:r w:rsidR="00A26DB2" w:rsidRPr="008E2886">
              <w:rPr>
                <w:rFonts w:cs="Calibri"/>
              </w:rPr>
              <w:t xml:space="preserve">Original </w:t>
            </w:r>
          </w:p>
          <w:p w14:paraId="43DC7DDD" w14:textId="77777777" w:rsidR="00A26DB2" w:rsidRPr="008E2886" w:rsidRDefault="00A26DB2" w:rsidP="00AF2884">
            <w:pPr>
              <w:pStyle w:val="TableTitle"/>
              <w:tabs>
                <w:tab w:val="left" w:pos="3306"/>
              </w:tabs>
              <w:rPr>
                <w:rFonts w:cs="Calibri"/>
              </w:rPr>
            </w:pPr>
            <w:r w:rsidRPr="008E2886">
              <w:rPr>
                <w:rFonts w:cs="Calibri"/>
              </w:rPr>
              <w:t>Budget</w:t>
            </w:r>
          </w:p>
          <w:p w14:paraId="7CD563BE" w14:textId="77777777" w:rsidR="00A26DB2" w:rsidRPr="008E2886" w:rsidRDefault="00A26DB2" w:rsidP="00AF2884">
            <w:pPr>
              <w:pStyle w:val="TableTitle"/>
              <w:tabs>
                <w:tab w:val="left" w:pos="3306"/>
              </w:tabs>
              <w:rPr>
                <w:rFonts w:cs="Calibri"/>
              </w:rPr>
            </w:pPr>
            <w:r w:rsidRPr="008E2886">
              <w:rPr>
                <w:rFonts w:cs="Calibri"/>
              </w:rPr>
              <w:t>2022</w:t>
            </w:r>
          </w:p>
          <w:p w14:paraId="350EB37D" w14:textId="216075C6" w:rsidR="00A26DB2" w:rsidRPr="008E2886" w:rsidRDefault="00A26DB2" w:rsidP="00AF2884">
            <w:pPr>
              <w:pStyle w:val="TableTitle"/>
              <w:tabs>
                <w:tab w:val="left" w:pos="3306"/>
              </w:tabs>
              <w:rPr>
                <w:rFonts w:cs="Calibri"/>
              </w:rPr>
            </w:pPr>
            <w:r w:rsidRPr="008E2886">
              <w:rPr>
                <w:rFonts w:cs="Calibri"/>
              </w:rPr>
              <w:t>$’000</w:t>
            </w:r>
          </w:p>
        </w:tc>
      </w:tr>
      <w:tr w:rsidR="00A26DB2" w:rsidRPr="00CF7E1B" w14:paraId="4A0924CA" w14:textId="77777777" w:rsidTr="004D1EC6">
        <w:trPr>
          <w:cantSplit/>
          <w:trHeight w:val="20"/>
        </w:trPr>
        <w:tc>
          <w:tcPr>
            <w:tcW w:w="1476" w:type="dxa"/>
            <w:tcBorders>
              <w:top w:val="nil"/>
              <w:left w:val="single" w:sz="2" w:space="0" w:color="auto"/>
              <w:bottom w:val="nil"/>
              <w:right w:val="single" w:sz="2" w:space="0" w:color="auto"/>
            </w:tcBorders>
          </w:tcPr>
          <w:p w14:paraId="35A131F3" w14:textId="77777777" w:rsidR="00A26DB2" w:rsidRPr="008E2886" w:rsidRDefault="00A26DB2" w:rsidP="00AF2884">
            <w:pPr>
              <w:pStyle w:val="Reference"/>
              <w:tabs>
                <w:tab w:val="left" w:pos="3306"/>
              </w:tabs>
              <w:rPr>
                <w:rFonts w:cs="Calibri"/>
                <w:color w:val="7030A0"/>
              </w:rPr>
            </w:pPr>
          </w:p>
        </w:tc>
        <w:tc>
          <w:tcPr>
            <w:tcW w:w="2410" w:type="dxa"/>
            <w:tcBorders>
              <w:top w:val="nil"/>
              <w:left w:val="single" w:sz="2" w:space="0" w:color="auto"/>
              <w:bottom w:val="nil"/>
              <w:right w:val="nil"/>
            </w:tcBorders>
            <w:vAlign w:val="bottom"/>
          </w:tcPr>
          <w:p w14:paraId="0405FE9D" w14:textId="77777777" w:rsidR="00A26DB2" w:rsidRPr="008E2886" w:rsidRDefault="00A26DB2" w:rsidP="00AF2884">
            <w:pPr>
              <w:tabs>
                <w:tab w:val="left" w:pos="3306"/>
              </w:tabs>
              <w:rPr>
                <w:rFonts w:cs="Calibri"/>
              </w:rPr>
            </w:pPr>
          </w:p>
        </w:tc>
        <w:tc>
          <w:tcPr>
            <w:tcW w:w="708" w:type="dxa"/>
            <w:tcBorders>
              <w:top w:val="nil"/>
              <w:left w:val="nil"/>
              <w:bottom w:val="nil"/>
              <w:right w:val="nil"/>
            </w:tcBorders>
            <w:vAlign w:val="bottom"/>
          </w:tcPr>
          <w:p w14:paraId="75057D83" w14:textId="77777777" w:rsidR="00A26DB2" w:rsidRPr="008E2886" w:rsidRDefault="00A26DB2" w:rsidP="00AF2884">
            <w:pPr>
              <w:pStyle w:val="TableTitle"/>
              <w:tabs>
                <w:tab w:val="left" w:pos="3306"/>
              </w:tabs>
              <w:jc w:val="center"/>
              <w:rPr>
                <w:rFonts w:cs="Calibri"/>
              </w:rPr>
            </w:pPr>
            <w:r w:rsidRPr="008E2886">
              <w:rPr>
                <w:rFonts w:cs="Calibri"/>
              </w:rPr>
              <w:t>Note No.</w:t>
            </w:r>
          </w:p>
        </w:tc>
        <w:tc>
          <w:tcPr>
            <w:tcW w:w="709" w:type="dxa"/>
            <w:tcBorders>
              <w:top w:val="nil"/>
              <w:left w:val="nil"/>
              <w:bottom w:val="nil"/>
              <w:right w:val="nil"/>
            </w:tcBorders>
            <w:shd w:val="clear" w:color="auto" w:fill="auto"/>
            <w:vAlign w:val="bottom"/>
          </w:tcPr>
          <w:p w14:paraId="05D12A57" w14:textId="77777777" w:rsidR="00A26DB2" w:rsidRPr="008E2886" w:rsidRDefault="00A26DB2" w:rsidP="00AF2884">
            <w:pPr>
              <w:pStyle w:val="TableTitle"/>
              <w:tabs>
                <w:tab w:val="left" w:pos="3306"/>
              </w:tabs>
              <w:rPr>
                <w:rFonts w:cs="Calibri"/>
                <w:color w:val="2E74B5" w:themeColor="accent1" w:themeShade="BF"/>
              </w:rPr>
            </w:pPr>
            <w:r w:rsidRPr="008E2886">
              <w:rPr>
                <w:rFonts w:cs="Calibri"/>
                <w:color w:val="2E74B5" w:themeColor="accent1" w:themeShade="BF"/>
              </w:rPr>
              <w:t>Actual</w:t>
            </w:r>
          </w:p>
          <w:p w14:paraId="44520DD8" w14:textId="6BABE501" w:rsidR="00A26DB2" w:rsidRPr="008E2886" w:rsidRDefault="00A26DB2" w:rsidP="00AF2884">
            <w:pPr>
              <w:pStyle w:val="TableTitle"/>
              <w:tabs>
                <w:tab w:val="left" w:pos="3306"/>
              </w:tabs>
              <w:rPr>
                <w:rFonts w:cs="Calibri"/>
                <w:color w:val="2E74B5" w:themeColor="accent1" w:themeShade="BF"/>
              </w:rPr>
            </w:pPr>
            <w:r w:rsidRPr="008E2886">
              <w:rPr>
                <w:rFonts w:cs="Calibri"/>
                <w:color w:val="2E74B5" w:themeColor="accent1" w:themeShade="BF"/>
              </w:rPr>
              <w:t>2022</w:t>
            </w:r>
          </w:p>
          <w:p w14:paraId="77C14DDC" w14:textId="1AE9E0D3" w:rsidR="00A26DB2" w:rsidRPr="008E2886" w:rsidRDefault="00A26DB2" w:rsidP="00AF2884">
            <w:pPr>
              <w:pStyle w:val="TableTitle"/>
              <w:tabs>
                <w:tab w:val="left" w:pos="3306"/>
              </w:tabs>
              <w:rPr>
                <w:rFonts w:cs="Calibri"/>
                <w:color w:val="2E74B5" w:themeColor="accent1" w:themeShade="BF"/>
              </w:rPr>
            </w:pPr>
            <w:r w:rsidRPr="008E2886">
              <w:rPr>
                <w:rFonts w:cs="Calibri"/>
                <w:color w:val="2E74B5" w:themeColor="accent1" w:themeShade="BF"/>
              </w:rPr>
              <w:t>$’000</w:t>
            </w:r>
          </w:p>
        </w:tc>
        <w:tc>
          <w:tcPr>
            <w:tcW w:w="1278" w:type="dxa"/>
            <w:vMerge/>
            <w:tcBorders>
              <w:left w:val="nil"/>
              <w:bottom w:val="nil"/>
              <w:right w:val="nil"/>
            </w:tcBorders>
          </w:tcPr>
          <w:p w14:paraId="6EB9C8AD" w14:textId="4CE61634" w:rsidR="00A26DB2" w:rsidRPr="008E2886" w:rsidRDefault="00A26DB2" w:rsidP="00AF2884">
            <w:pPr>
              <w:pStyle w:val="TableTitle"/>
              <w:tabs>
                <w:tab w:val="left" w:pos="3306"/>
              </w:tabs>
              <w:rPr>
                <w:rFonts w:cs="Calibri"/>
              </w:rPr>
            </w:pPr>
          </w:p>
        </w:tc>
        <w:tc>
          <w:tcPr>
            <w:tcW w:w="1134" w:type="dxa"/>
            <w:vMerge/>
            <w:tcBorders>
              <w:left w:val="nil"/>
              <w:bottom w:val="nil"/>
              <w:right w:val="nil"/>
            </w:tcBorders>
            <w:shd w:val="clear" w:color="auto" w:fill="auto"/>
            <w:vAlign w:val="bottom"/>
          </w:tcPr>
          <w:p w14:paraId="7D6F478F" w14:textId="7C46B74B" w:rsidR="00A26DB2" w:rsidRPr="008E2886" w:rsidRDefault="00A26DB2" w:rsidP="00AF2884">
            <w:pPr>
              <w:pStyle w:val="TableTitle"/>
              <w:tabs>
                <w:tab w:val="left" w:pos="3306"/>
              </w:tabs>
              <w:rPr>
                <w:rFonts w:cs="Calibri"/>
              </w:rPr>
            </w:pPr>
          </w:p>
        </w:tc>
        <w:tc>
          <w:tcPr>
            <w:tcW w:w="992" w:type="dxa"/>
            <w:vMerge/>
            <w:tcBorders>
              <w:left w:val="nil"/>
              <w:bottom w:val="nil"/>
              <w:right w:val="nil"/>
            </w:tcBorders>
            <w:shd w:val="clear" w:color="auto" w:fill="auto"/>
            <w:vAlign w:val="bottom"/>
          </w:tcPr>
          <w:p w14:paraId="4B6FD18D" w14:textId="0E1D4AB1" w:rsidR="00A26DB2" w:rsidRPr="008E2886" w:rsidRDefault="00A26DB2" w:rsidP="00AF2884">
            <w:pPr>
              <w:pStyle w:val="TableTitle"/>
              <w:tabs>
                <w:tab w:val="left" w:pos="3306"/>
              </w:tabs>
              <w:rPr>
                <w:rFonts w:cs="Calibri"/>
              </w:rPr>
            </w:pPr>
          </w:p>
        </w:tc>
        <w:tc>
          <w:tcPr>
            <w:tcW w:w="851" w:type="dxa"/>
            <w:vMerge/>
            <w:tcBorders>
              <w:left w:val="nil"/>
              <w:bottom w:val="nil"/>
              <w:right w:val="nil"/>
            </w:tcBorders>
            <w:shd w:val="clear" w:color="auto" w:fill="auto"/>
            <w:vAlign w:val="bottom"/>
          </w:tcPr>
          <w:p w14:paraId="75D41F59" w14:textId="5D9E68BB" w:rsidR="00A26DB2" w:rsidRPr="008E2886" w:rsidRDefault="00A26DB2" w:rsidP="00AF2884">
            <w:pPr>
              <w:pStyle w:val="TableTitle"/>
              <w:tabs>
                <w:tab w:val="left" w:pos="3306"/>
              </w:tabs>
              <w:rPr>
                <w:rFonts w:cs="Calibri"/>
              </w:rPr>
            </w:pPr>
          </w:p>
        </w:tc>
        <w:tc>
          <w:tcPr>
            <w:tcW w:w="850" w:type="dxa"/>
            <w:vMerge/>
            <w:tcBorders>
              <w:left w:val="nil"/>
              <w:bottom w:val="nil"/>
              <w:right w:val="nil"/>
            </w:tcBorders>
            <w:shd w:val="clear" w:color="auto" w:fill="auto"/>
            <w:vAlign w:val="bottom"/>
          </w:tcPr>
          <w:p w14:paraId="128316AA" w14:textId="127F2156" w:rsidR="00A26DB2" w:rsidRPr="008E2886" w:rsidRDefault="00A26DB2" w:rsidP="00AF2884">
            <w:pPr>
              <w:pStyle w:val="TableTitle"/>
              <w:tabs>
                <w:tab w:val="left" w:pos="3306"/>
              </w:tabs>
              <w:rPr>
                <w:rFonts w:cs="Calibri"/>
              </w:rPr>
            </w:pPr>
          </w:p>
        </w:tc>
      </w:tr>
      <w:tr w:rsidR="00AF2884" w:rsidRPr="00CF7E1B" w14:paraId="4D47C9FA" w14:textId="77777777" w:rsidTr="004D1EC6">
        <w:trPr>
          <w:cantSplit/>
          <w:trHeight w:val="20"/>
        </w:trPr>
        <w:tc>
          <w:tcPr>
            <w:tcW w:w="1476" w:type="dxa"/>
            <w:tcBorders>
              <w:top w:val="nil"/>
              <w:left w:val="single" w:sz="2" w:space="0" w:color="auto"/>
              <w:bottom w:val="nil"/>
              <w:right w:val="single" w:sz="2" w:space="0" w:color="auto"/>
            </w:tcBorders>
          </w:tcPr>
          <w:p w14:paraId="5BD53997" w14:textId="77777777" w:rsidR="00AF2884" w:rsidRPr="008E2886" w:rsidRDefault="00AF2884" w:rsidP="00AF2884">
            <w:pPr>
              <w:pStyle w:val="TableReference"/>
              <w:tabs>
                <w:tab w:val="left" w:pos="3306"/>
              </w:tabs>
              <w:spacing w:before="40"/>
              <w:rPr>
                <w:rFonts w:cs="Calibri"/>
                <w:color w:val="7030A0"/>
                <w:sz w:val="16"/>
                <w:szCs w:val="16"/>
              </w:rPr>
            </w:pPr>
          </w:p>
        </w:tc>
        <w:tc>
          <w:tcPr>
            <w:tcW w:w="2410" w:type="dxa"/>
            <w:tcBorders>
              <w:top w:val="nil"/>
              <w:left w:val="single" w:sz="2" w:space="0" w:color="auto"/>
              <w:bottom w:val="nil"/>
              <w:right w:val="nil"/>
            </w:tcBorders>
            <w:vAlign w:val="bottom"/>
          </w:tcPr>
          <w:p w14:paraId="1E0F3863" w14:textId="77777777" w:rsidR="00AF2884" w:rsidRPr="008E2886" w:rsidRDefault="00AF2884" w:rsidP="00AF2884">
            <w:pPr>
              <w:pStyle w:val="TableText"/>
              <w:tabs>
                <w:tab w:val="left" w:pos="3306"/>
              </w:tabs>
              <w:rPr>
                <w:rFonts w:cs="Calibri"/>
                <w:b/>
                <w:bCs/>
              </w:rPr>
            </w:pPr>
          </w:p>
        </w:tc>
        <w:tc>
          <w:tcPr>
            <w:tcW w:w="708" w:type="dxa"/>
            <w:tcBorders>
              <w:top w:val="nil"/>
              <w:left w:val="nil"/>
              <w:bottom w:val="nil"/>
              <w:right w:val="nil"/>
            </w:tcBorders>
            <w:vAlign w:val="bottom"/>
          </w:tcPr>
          <w:p w14:paraId="48F30255" w14:textId="77777777" w:rsidR="00AF2884" w:rsidRPr="008E2886" w:rsidRDefault="00AF2884" w:rsidP="00AF2884">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2DAD64F3"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0D4EE346"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0069198" w14:textId="685483BD"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470C73D2"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43C42604"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56F3426A" w14:textId="77777777" w:rsidR="00AF2884" w:rsidRPr="008E2886" w:rsidRDefault="00AF2884" w:rsidP="00AF2884">
            <w:pPr>
              <w:pStyle w:val="TableText"/>
              <w:tabs>
                <w:tab w:val="left" w:pos="3306"/>
              </w:tabs>
              <w:jc w:val="right"/>
              <w:rPr>
                <w:rFonts w:cs="Calibri"/>
              </w:rPr>
            </w:pPr>
          </w:p>
        </w:tc>
      </w:tr>
      <w:tr w:rsidR="00AF2884" w:rsidRPr="00CF7E1B" w14:paraId="1AED7AB1" w14:textId="77777777" w:rsidTr="004D1EC6">
        <w:trPr>
          <w:cantSplit/>
          <w:trHeight w:val="20"/>
        </w:trPr>
        <w:tc>
          <w:tcPr>
            <w:tcW w:w="1476" w:type="dxa"/>
            <w:tcBorders>
              <w:top w:val="nil"/>
              <w:left w:val="single" w:sz="2" w:space="0" w:color="auto"/>
              <w:bottom w:val="nil"/>
              <w:right w:val="single" w:sz="2" w:space="0" w:color="auto"/>
            </w:tcBorders>
          </w:tcPr>
          <w:p w14:paraId="561C641F" w14:textId="77777777" w:rsidR="00AF2884" w:rsidRPr="008E2886" w:rsidRDefault="00AF2884" w:rsidP="00AF2884">
            <w:pPr>
              <w:pStyle w:val="TableReference"/>
              <w:tabs>
                <w:tab w:val="left" w:pos="3306"/>
              </w:tabs>
              <w:spacing w:before="40"/>
              <w:rPr>
                <w:rFonts w:cs="Calibri"/>
                <w:color w:val="7030A0"/>
                <w:sz w:val="14"/>
              </w:rPr>
            </w:pPr>
            <w:r w:rsidRPr="008E2886">
              <w:rPr>
                <w:rFonts w:cs="Calibri"/>
                <w:color w:val="7030A0"/>
                <w:sz w:val="14"/>
              </w:rPr>
              <w:t xml:space="preserve"> </w:t>
            </w:r>
          </w:p>
        </w:tc>
        <w:tc>
          <w:tcPr>
            <w:tcW w:w="2410" w:type="dxa"/>
            <w:tcBorders>
              <w:top w:val="nil"/>
              <w:left w:val="single" w:sz="2" w:space="0" w:color="auto"/>
              <w:bottom w:val="nil"/>
              <w:right w:val="nil"/>
            </w:tcBorders>
            <w:vAlign w:val="bottom"/>
          </w:tcPr>
          <w:p w14:paraId="1A39CD1C" w14:textId="2F0CDDD1" w:rsidR="00AF2884" w:rsidRPr="008E2886" w:rsidRDefault="00AF2884" w:rsidP="00AF2884">
            <w:pPr>
              <w:pStyle w:val="TableText"/>
              <w:tabs>
                <w:tab w:val="left" w:pos="3306"/>
              </w:tabs>
              <w:rPr>
                <w:rFonts w:cs="Calibri"/>
                <w:b/>
                <w:bCs/>
              </w:rPr>
            </w:pPr>
            <w:r w:rsidRPr="008E2886">
              <w:rPr>
                <w:rFonts w:cs="Calibri"/>
                <w:b/>
                <w:bCs/>
              </w:rPr>
              <w:t xml:space="preserve">Balance at 1 July </w:t>
            </w:r>
            <w:r w:rsidR="00900082" w:rsidRPr="008E2886">
              <w:rPr>
                <w:rFonts w:cs="Calibri"/>
                <w:b/>
                <w:bCs/>
              </w:rPr>
              <w:t>2021</w:t>
            </w:r>
          </w:p>
        </w:tc>
        <w:tc>
          <w:tcPr>
            <w:tcW w:w="708" w:type="dxa"/>
            <w:tcBorders>
              <w:top w:val="nil"/>
              <w:left w:val="nil"/>
              <w:bottom w:val="nil"/>
              <w:right w:val="nil"/>
            </w:tcBorders>
            <w:vAlign w:val="bottom"/>
          </w:tcPr>
          <w:p w14:paraId="367E6877" w14:textId="77777777" w:rsidR="00AF2884" w:rsidRPr="008E2886" w:rsidRDefault="00AF2884" w:rsidP="00AF2884">
            <w:pPr>
              <w:pStyle w:val="TableText"/>
              <w:tabs>
                <w:tab w:val="left" w:pos="3306"/>
              </w:tabs>
              <w:jc w:val="center"/>
              <w:rPr>
                <w:rFonts w:cs="Calibri"/>
              </w:rPr>
            </w:pPr>
          </w:p>
        </w:tc>
        <w:tc>
          <w:tcPr>
            <w:tcW w:w="709" w:type="dxa"/>
            <w:tcBorders>
              <w:top w:val="nil"/>
              <w:left w:val="nil"/>
              <w:bottom w:val="single" w:sz="4" w:space="0" w:color="auto"/>
              <w:right w:val="nil"/>
            </w:tcBorders>
            <w:shd w:val="clear" w:color="auto" w:fill="auto"/>
            <w:vAlign w:val="bottom"/>
          </w:tcPr>
          <w:p w14:paraId="2A7A6709" w14:textId="77777777" w:rsidR="00AF2884" w:rsidRPr="008E2886" w:rsidRDefault="00AF2884" w:rsidP="00AF2884">
            <w:pPr>
              <w:pStyle w:val="TableText"/>
              <w:tabs>
                <w:tab w:val="left" w:pos="3306"/>
              </w:tabs>
              <w:jc w:val="right"/>
              <w:rPr>
                <w:rFonts w:cs="Calibri"/>
                <w:b/>
              </w:rPr>
            </w:pPr>
          </w:p>
        </w:tc>
        <w:tc>
          <w:tcPr>
            <w:tcW w:w="1278" w:type="dxa"/>
            <w:tcBorders>
              <w:top w:val="nil"/>
              <w:left w:val="nil"/>
              <w:bottom w:val="single" w:sz="4" w:space="0" w:color="auto"/>
              <w:right w:val="nil"/>
            </w:tcBorders>
          </w:tcPr>
          <w:p w14:paraId="7020EE03" w14:textId="77777777" w:rsidR="00AF2884" w:rsidRPr="008E2886" w:rsidRDefault="00AF2884" w:rsidP="00AF2884">
            <w:pPr>
              <w:pStyle w:val="TableText"/>
              <w:tabs>
                <w:tab w:val="left" w:pos="3306"/>
              </w:tabs>
              <w:jc w:val="right"/>
              <w:rPr>
                <w:rFonts w:cs="Calibri"/>
                <w:b/>
              </w:rPr>
            </w:pPr>
          </w:p>
        </w:tc>
        <w:tc>
          <w:tcPr>
            <w:tcW w:w="1134" w:type="dxa"/>
            <w:tcBorders>
              <w:top w:val="nil"/>
              <w:left w:val="nil"/>
              <w:bottom w:val="single" w:sz="4" w:space="0" w:color="auto"/>
              <w:right w:val="nil"/>
            </w:tcBorders>
            <w:shd w:val="clear" w:color="auto" w:fill="auto"/>
            <w:vAlign w:val="bottom"/>
          </w:tcPr>
          <w:p w14:paraId="34CF9AE3" w14:textId="2671A057" w:rsidR="00AF2884" w:rsidRPr="008E2886" w:rsidRDefault="00AF2884" w:rsidP="00AF2884">
            <w:pPr>
              <w:pStyle w:val="TableText"/>
              <w:tabs>
                <w:tab w:val="left" w:pos="3306"/>
              </w:tabs>
              <w:jc w:val="right"/>
              <w:rPr>
                <w:rFonts w:cs="Calibri"/>
                <w:b/>
              </w:rPr>
            </w:pPr>
          </w:p>
        </w:tc>
        <w:tc>
          <w:tcPr>
            <w:tcW w:w="992" w:type="dxa"/>
            <w:tcBorders>
              <w:top w:val="nil"/>
              <w:left w:val="nil"/>
              <w:bottom w:val="single" w:sz="4" w:space="0" w:color="auto"/>
              <w:right w:val="nil"/>
            </w:tcBorders>
            <w:shd w:val="clear" w:color="auto" w:fill="auto"/>
            <w:vAlign w:val="bottom"/>
          </w:tcPr>
          <w:p w14:paraId="1B75CF68" w14:textId="77777777" w:rsidR="00AF2884" w:rsidRPr="008E2886" w:rsidRDefault="00AF2884" w:rsidP="00AF2884">
            <w:pPr>
              <w:pStyle w:val="TableText"/>
              <w:tabs>
                <w:tab w:val="left" w:pos="3306"/>
              </w:tabs>
              <w:jc w:val="right"/>
              <w:rPr>
                <w:rFonts w:cs="Calibri"/>
                <w:b/>
              </w:rPr>
            </w:pPr>
          </w:p>
        </w:tc>
        <w:tc>
          <w:tcPr>
            <w:tcW w:w="851" w:type="dxa"/>
            <w:tcBorders>
              <w:top w:val="nil"/>
              <w:left w:val="nil"/>
              <w:bottom w:val="single" w:sz="4" w:space="0" w:color="auto"/>
              <w:right w:val="nil"/>
            </w:tcBorders>
            <w:shd w:val="clear" w:color="auto" w:fill="auto"/>
            <w:vAlign w:val="bottom"/>
          </w:tcPr>
          <w:p w14:paraId="11A29390" w14:textId="77777777" w:rsidR="00AF2884" w:rsidRPr="008E2886" w:rsidRDefault="00AF2884" w:rsidP="00AF2884">
            <w:pPr>
              <w:pStyle w:val="TableText"/>
              <w:tabs>
                <w:tab w:val="left" w:pos="3306"/>
              </w:tabs>
              <w:jc w:val="right"/>
              <w:rPr>
                <w:rFonts w:cs="Calibri"/>
                <w:b/>
              </w:rPr>
            </w:pPr>
          </w:p>
        </w:tc>
        <w:tc>
          <w:tcPr>
            <w:tcW w:w="850" w:type="dxa"/>
            <w:tcBorders>
              <w:top w:val="nil"/>
              <w:left w:val="nil"/>
              <w:bottom w:val="single" w:sz="4" w:space="0" w:color="auto"/>
              <w:right w:val="nil"/>
            </w:tcBorders>
            <w:shd w:val="clear" w:color="auto" w:fill="auto"/>
            <w:vAlign w:val="bottom"/>
          </w:tcPr>
          <w:p w14:paraId="2503B96E" w14:textId="77777777" w:rsidR="00AF2884" w:rsidRPr="008E2886" w:rsidRDefault="00AF2884" w:rsidP="00AF2884">
            <w:pPr>
              <w:pStyle w:val="TableText"/>
              <w:tabs>
                <w:tab w:val="left" w:pos="3306"/>
              </w:tabs>
              <w:jc w:val="right"/>
              <w:rPr>
                <w:rFonts w:cs="Calibri"/>
                <w:b/>
              </w:rPr>
            </w:pPr>
          </w:p>
        </w:tc>
      </w:tr>
      <w:tr w:rsidR="00AF2884" w:rsidRPr="00CF7E1B" w14:paraId="6B6A0F99" w14:textId="77777777" w:rsidTr="004D1EC6">
        <w:trPr>
          <w:cantSplit/>
          <w:trHeight w:val="20"/>
        </w:trPr>
        <w:tc>
          <w:tcPr>
            <w:tcW w:w="1476" w:type="dxa"/>
            <w:tcBorders>
              <w:top w:val="nil"/>
              <w:left w:val="single" w:sz="2" w:space="0" w:color="auto"/>
              <w:bottom w:val="nil"/>
              <w:right w:val="single" w:sz="2" w:space="0" w:color="auto"/>
            </w:tcBorders>
            <w:vAlign w:val="center"/>
          </w:tcPr>
          <w:p w14:paraId="2388A7F4" w14:textId="77777777" w:rsidR="00AF2884" w:rsidRPr="008E2886" w:rsidRDefault="00AF2884" w:rsidP="002D3E8B">
            <w:pPr>
              <w:pStyle w:val="TableReference"/>
              <w:tabs>
                <w:tab w:val="left" w:pos="3306"/>
              </w:tabs>
              <w:spacing w:before="40"/>
              <w:rPr>
                <w:rFonts w:cs="Calibri"/>
                <w:color w:val="7030A0"/>
                <w:sz w:val="14"/>
              </w:rPr>
            </w:pPr>
            <w:r w:rsidRPr="008E2886">
              <w:rPr>
                <w:rFonts w:cs="Calibri"/>
                <w:color w:val="7030A0"/>
                <w:sz w:val="14"/>
              </w:rPr>
              <w:t>AASB 108.19(b)</w:t>
            </w:r>
          </w:p>
          <w:p w14:paraId="4C9FF256" w14:textId="77777777" w:rsidR="00AF2884" w:rsidRPr="008E2886" w:rsidRDefault="00AF2884" w:rsidP="002D3E8B">
            <w:pPr>
              <w:pStyle w:val="TableReference"/>
              <w:tabs>
                <w:tab w:val="left" w:pos="3306"/>
              </w:tabs>
              <w:spacing w:before="40"/>
              <w:rPr>
                <w:rFonts w:cs="Calibri"/>
                <w:color w:val="7030A0"/>
                <w:sz w:val="14"/>
                <w:highlight w:val="cyan"/>
              </w:rPr>
            </w:pPr>
            <w:r w:rsidRPr="008E2886">
              <w:rPr>
                <w:rFonts w:cs="Calibri"/>
                <w:color w:val="7030A0"/>
                <w:sz w:val="14"/>
              </w:rPr>
              <w:t>AASB 101.106 (b)</w:t>
            </w:r>
          </w:p>
        </w:tc>
        <w:tc>
          <w:tcPr>
            <w:tcW w:w="2410" w:type="dxa"/>
            <w:tcBorders>
              <w:top w:val="nil"/>
              <w:left w:val="single" w:sz="2" w:space="0" w:color="auto"/>
              <w:bottom w:val="nil"/>
              <w:right w:val="nil"/>
            </w:tcBorders>
            <w:vAlign w:val="center"/>
          </w:tcPr>
          <w:p w14:paraId="2F20BE03" w14:textId="77777777" w:rsidR="00AF2884" w:rsidRPr="008E2886" w:rsidRDefault="00AF2884" w:rsidP="002D3E8B">
            <w:pPr>
              <w:tabs>
                <w:tab w:val="left" w:pos="3306"/>
              </w:tabs>
              <w:spacing w:before="60" w:after="60"/>
              <w:rPr>
                <w:rFonts w:cs="Calibri"/>
                <w:iCs/>
                <w:sz w:val="18"/>
                <w:highlight w:val="cyan"/>
              </w:rPr>
            </w:pPr>
            <w:r w:rsidRPr="008E2886">
              <w:rPr>
                <w:rFonts w:cs="Calibri"/>
                <w:iCs/>
                <w:sz w:val="18"/>
              </w:rPr>
              <w:t xml:space="preserve">Change in accounting policy </w:t>
            </w:r>
          </w:p>
        </w:tc>
        <w:tc>
          <w:tcPr>
            <w:tcW w:w="708" w:type="dxa"/>
            <w:tcBorders>
              <w:top w:val="nil"/>
              <w:left w:val="nil"/>
              <w:bottom w:val="nil"/>
              <w:right w:val="nil"/>
            </w:tcBorders>
            <w:shd w:val="clear" w:color="auto" w:fill="FFFFFF" w:themeFill="background1"/>
            <w:vAlign w:val="center"/>
          </w:tcPr>
          <w:p w14:paraId="16263ABB" w14:textId="6A51ECFB" w:rsidR="00AF2884" w:rsidRPr="0009580B" w:rsidRDefault="00DA3B1E" w:rsidP="00E10D26">
            <w:pPr>
              <w:pStyle w:val="TableText"/>
              <w:tabs>
                <w:tab w:val="left" w:pos="3306"/>
              </w:tabs>
              <w:jc w:val="center"/>
              <w:rPr>
                <w:rFonts w:cs="Calibri"/>
                <w:highlight w:val="cyan"/>
              </w:rPr>
            </w:pPr>
            <w:r w:rsidRPr="0009580B">
              <w:rPr>
                <w:rFonts w:cs="Calibri"/>
              </w:rPr>
              <w:t>4</w:t>
            </w:r>
          </w:p>
        </w:tc>
        <w:tc>
          <w:tcPr>
            <w:tcW w:w="709" w:type="dxa"/>
            <w:tcBorders>
              <w:top w:val="single" w:sz="4" w:space="0" w:color="auto"/>
              <w:left w:val="nil"/>
              <w:bottom w:val="nil"/>
              <w:right w:val="nil"/>
            </w:tcBorders>
            <w:shd w:val="clear" w:color="auto" w:fill="auto"/>
            <w:vAlign w:val="bottom"/>
          </w:tcPr>
          <w:p w14:paraId="53A7CFE7" w14:textId="77777777" w:rsidR="00AF2884" w:rsidRPr="008E2886" w:rsidRDefault="00AF2884" w:rsidP="00AF2884">
            <w:pPr>
              <w:pStyle w:val="TableText"/>
              <w:tabs>
                <w:tab w:val="left" w:pos="3306"/>
              </w:tabs>
              <w:jc w:val="right"/>
              <w:rPr>
                <w:rFonts w:cs="Calibri"/>
                <w:strike/>
                <w:highlight w:val="cyan"/>
              </w:rPr>
            </w:pPr>
          </w:p>
        </w:tc>
        <w:tc>
          <w:tcPr>
            <w:tcW w:w="1278" w:type="dxa"/>
            <w:tcBorders>
              <w:top w:val="single" w:sz="4" w:space="0" w:color="auto"/>
              <w:left w:val="nil"/>
              <w:bottom w:val="nil"/>
              <w:right w:val="nil"/>
            </w:tcBorders>
          </w:tcPr>
          <w:p w14:paraId="58AF1EA7" w14:textId="77777777" w:rsidR="00AF2884" w:rsidRPr="008E2886" w:rsidRDefault="00AF2884" w:rsidP="00AF2884">
            <w:pPr>
              <w:pStyle w:val="TableText"/>
              <w:tabs>
                <w:tab w:val="left" w:pos="3306"/>
              </w:tabs>
              <w:jc w:val="right"/>
              <w:rPr>
                <w:rFonts w:cs="Calibri"/>
                <w:strike/>
                <w:highlight w:val="cyan"/>
              </w:rPr>
            </w:pPr>
          </w:p>
        </w:tc>
        <w:tc>
          <w:tcPr>
            <w:tcW w:w="1134" w:type="dxa"/>
            <w:tcBorders>
              <w:top w:val="single" w:sz="4" w:space="0" w:color="auto"/>
              <w:left w:val="nil"/>
              <w:bottom w:val="nil"/>
              <w:right w:val="nil"/>
            </w:tcBorders>
            <w:shd w:val="clear" w:color="auto" w:fill="auto"/>
            <w:vAlign w:val="bottom"/>
          </w:tcPr>
          <w:p w14:paraId="67DFC50E" w14:textId="3A57E313" w:rsidR="00AF2884" w:rsidRPr="008E2886" w:rsidRDefault="00AF2884" w:rsidP="00AF2884">
            <w:pPr>
              <w:pStyle w:val="TableText"/>
              <w:tabs>
                <w:tab w:val="left" w:pos="3306"/>
              </w:tabs>
              <w:jc w:val="right"/>
              <w:rPr>
                <w:rFonts w:cs="Calibri"/>
                <w:strike/>
                <w:highlight w:val="cyan"/>
              </w:rPr>
            </w:pPr>
          </w:p>
        </w:tc>
        <w:tc>
          <w:tcPr>
            <w:tcW w:w="992" w:type="dxa"/>
            <w:tcBorders>
              <w:top w:val="single" w:sz="4" w:space="0" w:color="auto"/>
              <w:left w:val="nil"/>
              <w:bottom w:val="nil"/>
              <w:right w:val="nil"/>
            </w:tcBorders>
            <w:shd w:val="clear" w:color="auto" w:fill="auto"/>
            <w:vAlign w:val="bottom"/>
          </w:tcPr>
          <w:p w14:paraId="0E9798C2" w14:textId="77777777" w:rsidR="00AF2884" w:rsidRPr="008E2886" w:rsidRDefault="00AF2884" w:rsidP="00AF2884">
            <w:pPr>
              <w:pStyle w:val="TableText"/>
              <w:tabs>
                <w:tab w:val="left" w:pos="3306"/>
              </w:tabs>
              <w:jc w:val="right"/>
              <w:rPr>
                <w:rFonts w:cs="Calibri"/>
                <w:strike/>
                <w:highlight w:val="cyan"/>
              </w:rPr>
            </w:pPr>
          </w:p>
        </w:tc>
        <w:tc>
          <w:tcPr>
            <w:tcW w:w="851" w:type="dxa"/>
            <w:tcBorders>
              <w:top w:val="single" w:sz="4" w:space="0" w:color="auto"/>
              <w:left w:val="nil"/>
              <w:bottom w:val="nil"/>
              <w:right w:val="nil"/>
            </w:tcBorders>
            <w:shd w:val="clear" w:color="auto" w:fill="auto"/>
            <w:vAlign w:val="bottom"/>
          </w:tcPr>
          <w:p w14:paraId="68CC08D1" w14:textId="77777777" w:rsidR="00AF2884" w:rsidRPr="008E2886" w:rsidRDefault="00AF2884" w:rsidP="00AF2884">
            <w:pPr>
              <w:pStyle w:val="TableText"/>
              <w:tabs>
                <w:tab w:val="left" w:pos="3306"/>
              </w:tabs>
              <w:jc w:val="right"/>
              <w:rPr>
                <w:rFonts w:cs="Calibri"/>
                <w:strike/>
                <w:sz w:val="14"/>
                <w:highlight w:val="cyan"/>
              </w:rPr>
            </w:pPr>
          </w:p>
        </w:tc>
        <w:tc>
          <w:tcPr>
            <w:tcW w:w="850" w:type="dxa"/>
            <w:tcBorders>
              <w:top w:val="single" w:sz="4" w:space="0" w:color="auto"/>
              <w:left w:val="nil"/>
              <w:bottom w:val="nil"/>
              <w:right w:val="nil"/>
            </w:tcBorders>
            <w:shd w:val="clear" w:color="auto" w:fill="auto"/>
            <w:vAlign w:val="bottom"/>
          </w:tcPr>
          <w:p w14:paraId="767B188F" w14:textId="77777777" w:rsidR="00AF2884" w:rsidRPr="008E2886" w:rsidRDefault="00AF2884" w:rsidP="00AF2884">
            <w:pPr>
              <w:pStyle w:val="TableText"/>
              <w:tabs>
                <w:tab w:val="left" w:pos="3306"/>
              </w:tabs>
              <w:jc w:val="right"/>
              <w:rPr>
                <w:rFonts w:cs="Calibri"/>
                <w:strike/>
              </w:rPr>
            </w:pPr>
          </w:p>
        </w:tc>
      </w:tr>
      <w:tr w:rsidR="00900082" w:rsidRPr="00CF7E1B" w14:paraId="73647B2F" w14:textId="77777777" w:rsidTr="004D1EC6">
        <w:trPr>
          <w:cantSplit/>
          <w:trHeight w:val="20"/>
        </w:trPr>
        <w:tc>
          <w:tcPr>
            <w:tcW w:w="1476" w:type="dxa"/>
            <w:tcBorders>
              <w:top w:val="nil"/>
              <w:left w:val="single" w:sz="2" w:space="0" w:color="auto"/>
              <w:bottom w:val="nil"/>
              <w:right w:val="single" w:sz="2" w:space="0" w:color="auto"/>
            </w:tcBorders>
            <w:vAlign w:val="center"/>
          </w:tcPr>
          <w:p w14:paraId="2985551B" w14:textId="48232235" w:rsidR="00900082" w:rsidRPr="008E2886" w:rsidRDefault="002D3E8B" w:rsidP="002D3E8B">
            <w:pPr>
              <w:pStyle w:val="TableReference"/>
              <w:tabs>
                <w:tab w:val="left" w:pos="3306"/>
              </w:tabs>
              <w:spacing w:before="40"/>
              <w:rPr>
                <w:rFonts w:cs="Calibri"/>
                <w:color w:val="7030A0"/>
                <w:sz w:val="14"/>
              </w:rPr>
            </w:pPr>
            <w:r w:rsidRPr="008E2886">
              <w:rPr>
                <w:rFonts w:cs="Calibri"/>
                <w:color w:val="7030A0"/>
                <w:sz w:val="14"/>
              </w:rPr>
              <w:t>AASB 101.106 (b)</w:t>
            </w:r>
          </w:p>
        </w:tc>
        <w:tc>
          <w:tcPr>
            <w:tcW w:w="2410" w:type="dxa"/>
            <w:tcBorders>
              <w:top w:val="nil"/>
              <w:left w:val="single" w:sz="2" w:space="0" w:color="auto"/>
              <w:bottom w:val="nil"/>
              <w:right w:val="nil"/>
            </w:tcBorders>
            <w:vAlign w:val="bottom"/>
          </w:tcPr>
          <w:p w14:paraId="7B1EB350" w14:textId="73F86463" w:rsidR="00900082" w:rsidRPr="008E2886" w:rsidRDefault="00900082" w:rsidP="00AF2884">
            <w:pPr>
              <w:tabs>
                <w:tab w:val="left" w:pos="3306"/>
              </w:tabs>
              <w:spacing w:before="60" w:after="60"/>
              <w:rPr>
                <w:rFonts w:cs="Calibri"/>
                <w:iCs/>
                <w:sz w:val="18"/>
              </w:rPr>
            </w:pPr>
            <w:r w:rsidRPr="008E2886">
              <w:rPr>
                <w:rFonts w:cs="Calibri"/>
                <w:iCs/>
                <w:sz w:val="18"/>
              </w:rPr>
              <w:t>Correction of a Prior Period Error</w:t>
            </w:r>
          </w:p>
        </w:tc>
        <w:tc>
          <w:tcPr>
            <w:tcW w:w="708" w:type="dxa"/>
            <w:tcBorders>
              <w:top w:val="nil"/>
              <w:left w:val="nil"/>
              <w:bottom w:val="nil"/>
              <w:right w:val="nil"/>
            </w:tcBorders>
            <w:shd w:val="clear" w:color="auto" w:fill="FFFFFF" w:themeFill="background1"/>
          </w:tcPr>
          <w:p w14:paraId="63D20157" w14:textId="561F1622" w:rsidR="00900082" w:rsidRPr="008E2886" w:rsidRDefault="00DA3B1E" w:rsidP="00DA64E7">
            <w:pPr>
              <w:pStyle w:val="TableText"/>
              <w:tabs>
                <w:tab w:val="left" w:pos="3306"/>
              </w:tabs>
              <w:jc w:val="center"/>
              <w:rPr>
                <w:rFonts w:cs="Calibri"/>
              </w:rPr>
            </w:pPr>
            <w:r w:rsidRPr="008E2886">
              <w:rPr>
                <w:rFonts w:cs="Calibri"/>
              </w:rPr>
              <w:t>4</w:t>
            </w:r>
          </w:p>
        </w:tc>
        <w:tc>
          <w:tcPr>
            <w:tcW w:w="709" w:type="dxa"/>
            <w:tcBorders>
              <w:top w:val="nil"/>
              <w:left w:val="nil"/>
              <w:bottom w:val="single" w:sz="4" w:space="0" w:color="auto"/>
              <w:right w:val="nil"/>
            </w:tcBorders>
            <w:shd w:val="clear" w:color="auto" w:fill="auto"/>
            <w:vAlign w:val="bottom"/>
          </w:tcPr>
          <w:p w14:paraId="0A8A5B6C" w14:textId="77777777" w:rsidR="00900082" w:rsidRPr="008E2886" w:rsidRDefault="00900082" w:rsidP="00AF2884">
            <w:pPr>
              <w:pStyle w:val="TableText"/>
              <w:tabs>
                <w:tab w:val="left" w:pos="3306"/>
              </w:tabs>
              <w:jc w:val="right"/>
              <w:rPr>
                <w:rFonts w:cs="Calibri"/>
                <w:strike/>
                <w:highlight w:val="cyan"/>
              </w:rPr>
            </w:pPr>
          </w:p>
        </w:tc>
        <w:tc>
          <w:tcPr>
            <w:tcW w:w="1278" w:type="dxa"/>
            <w:tcBorders>
              <w:top w:val="nil"/>
              <w:left w:val="nil"/>
              <w:bottom w:val="single" w:sz="4" w:space="0" w:color="auto"/>
              <w:right w:val="nil"/>
            </w:tcBorders>
          </w:tcPr>
          <w:p w14:paraId="78E1F887" w14:textId="77777777" w:rsidR="00900082" w:rsidRPr="008E2886" w:rsidRDefault="00900082" w:rsidP="00AF2884">
            <w:pPr>
              <w:pStyle w:val="TableText"/>
              <w:tabs>
                <w:tab w:val="left" w:pos="3306"/>
              </w:tabs>
              <w:jc w:val="right"/>
              <w:rPr>
                <w:rFonts w:cs="Calibri"/>
                <w:strike/>
                <w:highlight w:val="cyan"/>
              </w:rPr>
            </w:pPr>
          </w:p>
        </w:tc>
        <w:tc>
          <w:tcPr>
            <w:tcW w:w="1134" w:type="dxa"/>
            <w:tcBorders>
              <w:top w:val="nil"/>
              <w:left w:val="nil"/>
              <w:bottom w:val="single" w:sz="4" w:space="0" w:color="auto"/>
              <w:right w:val="nil"/>
            </w:tcBorders>
            <w:shd w:val="clear" w:color="auto" w:fill="auto"/>
            <w:vAlign w:val="bottom"/>
          </w:tcPr>
          <w:p w14:paraId="10083906" w14:textId="77777777" w:rsidR="00900082" w:rsidRPr="008E2886" w:rsidRDefault="00900082" w:rsidP="00AF2884">
            <w:pPr>
              <w:pStyle w:val="TableText"/>
              <w:tabs>
                <w:tab w:val="left" w:pos="3306"/>
              </w:tabs>
              <w:jc w:val="right"/>
              <w:rPr>
                <w:rFonts w:cs="Calibri"/>
                <w:strike/>
                <w:highlight w:val="cyan"/>
              </w:rPr>
            </w:pPr>
          </w:p>
        </w:tc>
        <w:tc>
          <w:tcPr>
            <w:tcW w:w="992" w:type="dxa"/>
            <w:tcBorders>
              <w:top w:val="nil"/>
              <w:left w:val="nil"/>
              <w:bottom w:val="single" w:sz="4" w:space="0" w:color="auto"/>
              <w:right w:val="nil"/>
            </w:tcBorders>
            <w:shd w:val="clear" w:color="auto" w:fill="auto"/>
            <w:vAlign w:val="bottom"/>
          </w:tcPr>
          <w:p w14:paraId="268056E6" w14:textId="77777777" w:rsidR="00900082" w:rsidRPr="008E2886" w:rsidRDefault="00900082" w:rsidP="00AF2884">
            <w:pPr>
              <w:pStyle w:val="TableText"/>
              <w:tabs>
                <w:tab w:val="left" w:pos="3306"/>
              </w:tabs>
              <w:jc w:val="right"/>
              <w:rPr>
                <w:rFonts w:cs="Calibri"/>
                <w:strike/>
                <w:highlight w:val="cyan"/>
              </w:rPr>
            </w:pPr>
          </w:p>
        </w:tc>
        <w:tc>
          <w:tcPr>
            <w:tcW w:w="851" w:type="dxa"/>
            <w:tcBorders>
              <w:top w:val="nil"/>
              <w:left w:val="nil"/>
              <w:bottom w:val="single" w:sz="4" w:space="0" w:color="auto"/>
              <w:right w:val="nil"/>
            </w:tcBorders>
            <w:shd w:val="clear" w:color="auto" w:fill="auto"/>
            <w:vAlign w:val="bottom"/>
          </w:tcPr>
          <w:p w14:paraId="2492867B" w14:textId="77777777" w:rsidR="00900082" w:rsidRPr="008E2886" w:rsidRDefault="00900082" w:rsidP="00AF2884">
            <w:pPr>
              <w:pStyle w:val="TableText"/>
              <w:tabs>
                <w:tab w:val="left" w:pos="3306"/>
              </w:tabs>
              <w:jc w:val="right"/>
              <w:rPr>
                <w:rFonts w:cs="Calibri"/>
                <w:strike/>
                <w:sz w:val="14"/>
                <w:highlight w:val="cyan"/>
              </w:rPr>
            </w:pPr>
          </w:p>
        </w:tc>
        <w:tc>
          <w:tcPr>
            <w:tcW w:w="850" w:type="dxa"/>
            <w:tcBorders>
              <w:top w:val="nil"/>
              <w:left w:val="nil"/>
              <w:bottom w:val="single" w:sz="4" w:space="0" w:color="auto"/>
              <w:right w:val="nil"/>
            </w:tcBorders>
            <w:shd w:val="clear" w:color="auto" w:fill="auto"/>
            <w:vAlign w:val="bottom"/>
          </w:tcPr>
          <w:p w14:paraId="243DD6C1" w14:textId="77777777" w:rsidR="00900082" w:rsidRPr="008E2886" w:rsidRDefault="00900082" w:rsidP="00AF2884">
            <w:pPr>
              <w:pStyle w:val="TableText"/>
              <w:tabs>
                <w:tab w:val="left" w:pos="3306"/>
              </w:tabs>
              <w:jc w:val="right"/>
              <w:rPr>
                <w:rFonts w:cs="Calibri"/>
                <w:strike/>
              </w:rPr>
            </w:pPr>
          </w:p>
        </w:tc>
      </w:tr>
      <w:tr w:rsidR="00AF2884" w:rsidRPr="00CF7E1B" w14:paraId="69E12B23" w14:textId="77777777" w:rsidTr="004D1EC6">
        <w:trPr>
          <w:cantSplit/>
          <w:trHeight w:val="20"/>
        </w:trPr>
        <w:tc>
          <w:tcPr>
            <w:tcW w:w="1476" w:type="dxa"/>
            <w:tcBorders>
              <w:top w:val="nil"/>
              <w:left w:val="single" w:sz="2" w:space="0" w:color="auto"/>
              <w:bottom w:val="nil"/>
              <w:right w:val="single" w:sz="2" w:space="0" w:color="auto"/>
            </w:tcBorders>
          </w:tcPr>
          <w:p w14:paraId="5EE53EEA" w14:textId="77777777" w:rsidR="00AF2884" w:rsidRPr="008E2886" w:rsidRDefault="00AF2884" w:rsidP="00AF2884">
            <w:pPr>
              <w:pStyle w:val="TableReference"/>
              <w:tabs>
                <w:tab w:val="left" w:pos="3306"/>
              </w:tabs>
              <w:spacing w:before="40"/>
              <w:rPr>
                <w:rFonts w:cs="Calibri"/>
                <w:strike/>
                <w:color w:val="7030A0"/>
                <w:sz w:val="14"/>
                <w:highlight w:val="cyan"/>
              </w:rPr>
            </w:pPr>
          </w:p>
        </w:tc>
        <w:tc>
          <w:tcPr>
            <w:tcW w:w="2410" w:type="dxa"/>
            <w:tcBorders>
              <w:top w:val="nil"/>
              <w:left w:val="single" w:sz="2" w:space="0" w:color="auto"/>
              <w:bottom w:val="nil"/>
              <w:right w:val="nil"/>
            </w:tcBorders>
          </w:tcPr>
          <w:p w14:paraId="1BAB8B39" w14:textId="4B536BF4" w:rsidR="00AF2884" w:rsidRPr="008E2886" w:rsidRDefault="00AF2884" w:rsidP="00AF2884">
            <w:pPr>
              <w:tabs>
                <w:tab w:val="left" w:pos="3306"/>
              </w:tabs>
              <w:spacing w:before="60" w:after="60"/>
              <w:rPr>
                <w:rFonts w:cs="Calibri"/>
                <w:b/>
                <w:iCs/>
                <w:sz w:val="18"/>
              </w:rPr>
            </w:pPr>
            <w:r w:rsidRPr="008E2886">
              <w:rPr>
                <w:rFonts w:cs="Calibri"/>
                <w:b/>
                <w:iCs/>
                <w:sz w:val="18"/>
              </w:rPr>
              <w:t xml:space="preserve">Restated Balance at 1 July </w:t>
            </w:r>
            <w:r w:rsidR="00900082" w:rsidRPr="008E2886">
              <w:rPr>
                <w:rFonts w:cs="Calibri"/>
                <w:b/>
                <w:bCs/>
                <w:sz w:val="18"/>
                <w:szCs w:val="18"/>
              </w:rPr>
              <w:t>2021</w:t>
            </w:r>
          </w:p>
        </w:tc>
        <w:tc>
          <w:tcPr>
            <w:tcW w:w="708" w:type="dxa"/>
            <w:tcBorders>
              <w:top w:val="nil"/>
              <w:left w:val="nil"/>
              <w:bottom w:val="nil"/>
              <w:right w:val="nil"/>
            </w:tcBorders>
            <w:vAlign w:val="bottom"/>
          </w:tcPr>
          <w:p w14:paraId="1F08D8FC" w14:textId="77777777" w:rsidR="00AF2884" w:rsidRPr="008E2886" w:rsidRDefault="00AF2884" w:rsidP="00DA64E7">
            <w:pPr>
              <w:pStyle w:val="TableText"/>
              <w:tabs>
                <w:tab w:val="left" w:pos="3306"/>
              </w:tabs>
              <w:jc w:val="center"/>
              <w:rPr>
                <w:rFonts w:cs="Calibri"/>
                <w:strike/>
                <w:highlight w:val="cyan"/>
              </w:rPr>
            </w:pPr>
          </w:p>
        </w:tc>
        <w:tc>
          <w:tcPr>
            <w:tcW w:w="709" w:type="dxa"/>
            <w:tcBorders>
              <w:top w:val="single" w:sz="4" w:space="0" w:color="auto"/>
              <w:left w:val="nil"/>
              <w:bottom w:val="nil"/>
              <w:right w:val="nil"/>
            </w:tcBorders>
            <w:shd w:val="clear" w:color="auto" w:fill="auto"/>
            <w:vAlign w:val="bottom"/>
          </w:tcPr>
          <w:p w14:paraId="3178F5C4" w14:textId="77777777" w:rsidR="00AF2884" w:rsidRPr="008E2886" w:rsidRDefault="00AF2884" w:rsidP="00AF2884">
            <w:pPr>
              <w:pStyle w:val="TableText"/>
              <w:tabs>
                <w:tab w:val="left" w:pos="3306"/>
              </w:tabs>
              <w:jc w:val="right"/>
              <w:rPr>
                <w:rFonts w:cs="Calibri"/>
                <w:highlight w:val="cyan"/>
              </w:rPr>
            </w:pPr>
          </w:p>
        </w:tc>
        <w:tc>
          <w:tcPr>
            <w:tcW w:w="1278" w:type="dxa"/>
            <w:tcBorders>
              <w:top w:val="single" w:sz="4" w:space="0" w:color="auto"/>
              <w:left w:val="nil"/>
              <w:bottom w:val="nil"/>
              <w:right w:val="nil"/>
            </w:tcBorders>
          </w:tcPr>
          <w:p w14:paraId="633A613C" w14:textId="77777777" w:rsidR="00AF2884" w:rsidRPr="008E2886" w:rsidRDefault="00AF2884" w:rsidP="00AF2884">
            <w:pPr>
              <w:pStyle w:val="TableText"/>
              <w:tabs>
                <w:tab w:val="left" w:pos="3306"/>
              </w:tabs>
              <w:jc w:val="right"/>
              <w:rPr>
                <w:rFonts w:cs="Calibri"/>
                <w:highlight w:val="cyan"/>
              </w:rPr>
            </w:pPr>
          </w:p>
        </w:tc>
        <w:tc>
          <w:tcPr>
            <w:tcW w:w="1134" w:type="dxa"/>
            <w:tcBorders>
              <w:top w:val="single" w:sz="4" w:space="0" w:color="auto"/>
              <w:left w:val="nil"/>
              <w:bottom w:val="nil"/>
              <w:right w:val="nil"/>
            </w:tcBorders>
            <w:shd w:val="clear" w:color="auto" w:fill="auto"/>
            <w:vAlign w:val="bottom"/>
          </w:tcPr>
          <w:p w14:paraId="08793F37" w14:textId="5137C2D6" w:rsidR="00AF2884" w:rsidRPr="008E2886" w:rsidRDefault="00AF2884" w:rsidP="00AF2884">
            <w:pPr>
              <w:pStyle w:val="TableText"/>
              <w:tabs>
                <w:tab w:val="left" w:pos="3306"/>
              </w:tabs>
              <w:jc w:val="right"/>
              <w:rPr>
                <w:rFonts w:cs="Calibri"/>
                <w:highlight w:val="cyan"/>
              </w:rPr>
            </w:pPr>
          </w:p>
        </w:tc>
        <w:tc>
          <w:tcPr>
            <w:tcW w:w="992" w:type="dxa"/>
            <w:tcBorders>
              <w:top w:val="single" w:sz="4" w:space="0" w:color="auto"/>
              <w:left w:val="nil"/>
              <w:bottom w:val="nil"/>
              <w:right w:val="nil"/>
            </w:tcBorders>
            <w:shd w:val="clear" w:color="auto" w:fill="auto"/>
            <w:vAlign w:val="bottom"/>
          </w:tcPr>
          <w:p w14:paraId="2E7AE0BF" w14:textId="77777777" w:rsidR="00AF2884" w:rsidRPr="008E2886" w:rsidRDefault="00AF2884" w:rsidP="00AF2884">
            <w:pPr>
              <w:pStyle w:val="TableText"/>
              <w:tabs>
                <w:tab w:val="left" w:pos="3306"/>
              </w:tabs>
              <w:jc w:val="right"/>
              <w:rPr>
                <w:rFonts w:cs="Calibri"/>
                <w:highlight w:val="cyan"/>
              </w:rPr>
            </w:pPr>
          </w:p>
        </w:tc>
        <w:tc>
          <w:tcPr>
            <w:tcW w:w="851" w:type="dxa"/>
            <w:tcBorders>
              <w:top w:val="single" w:sz="4" w:space="0" w:color="auto"/>
              <w:left w:val="nil"/>
              <w:bottom w:val="nil"/>
              <w:right w:val="nil"/>
            </w:tcBorders>
            <w:shd w:val="clear" w:color="auto" w:fill="auto"/>
            <w:vAlign w:val="bottom"/>
          </w:tcPr>
          <w:p w14:paraId="3B0CC8F8" w14:textId="77777777" w:rsidR="00AF2884" w:rsidRPr="008E2886" w:rsidRDefault="00AF2884" w:rsidP="00AF2884">
            <w:pPr>
              <w:pStyle w:val="TableText"/>
              <w:tabs>
                <w:tab w:val="left" w:pos="3306"/>
              </w:tabs>
              <w:ind w:right="-721"/>
              <w:jc w:val="center"/>
              <w:rPr>
                <w:rFonts w:cs="Calibri"/>
                <w:highlight w:val="cyan"/>
              </w:rPr>
            </w:pPr>
          </w:p>
        </w:tc>
        <w:tc>
          <w:tcPr>
            <w:tcW w:w="850" w:type="dxa"/>
            <w:tcBorders>
              <w:top w:val="single" w:sz="4" w:space="0" w:color="auto"/>
              <w:left w:val="nil"/>
              <w:bottom w:val="nil"/>
              <w:right w:val="nil"/>
            </w:tcBorders>
            <w:shd w:val="clear" w:color="auto" w:fill="auto"/>
            <w:vAlign w:val="bottom"/>
          </w:tcPr>
          <w:p w14:paraId="748693CE" w14:textId="77777777" w:rsidR="00AF2884" w:rsidRPr="008E2886" w:rsidRDefault="00AF2884" w:rsidP="00AF2884">
            <w:pPr>
              <w:pStyle w:val="TableText"/>
              <w:tabs>
                <w:tab w:val="left" w:pos="3306"/>
              </w:tabs>
              <w:jc w:val="right"/>
              <w:rPr>
                <w:rFonts w:cs="Calibri"/>
                <w:strike/>
              </w:rPr>
            </w:pPr>
          </w:p>
        </w:tc>
      </w:tr>
      <w:tr w:rsidR="00AF2884" w:rsidRPr="00CF7E1B" w14:paraId="20D0E7EF" w14:textId="77777777" w:rsidTr="004D1EC6">
        <w:trPr>
          <w:cantSplit/>
          <w:trHeight w:val="383"/>
        </w:trPr>
        <w:tc>
          <w:tcPr>
            <w:tcW w:w="1476" w:type="dxa"/>
            <w:tcBorders>
              <w:top w:val="nil"/>
              <w:left w:val="single" w:sz="2" w:space="0" w:color="auto"/>
              <w:bottom w:val="nil"/>
              <w:right w:val="single" w:sz="2" w:space="0" w:color="auto"/>
            </w:tcBorders>
          </w:tcPr>
          <w:p w14:paraId="7E40CDBB" w14:textId="77777777" w:rsidR="00AF2884" w:rsidRPr="008E2886" w:rsidRDefault="00AF2884" w:rsidP="00AF2884">
            <w:pPr>
              <w:pStyle w:val="TableReference"/>
              <w:tabs>
                <w:tab w:val="left" w:pos="3306"/>
              </w:tabs>
              <w:spacing w:before="60"/>
              <w:rPr>
                <w:rFonts w:cs="Calibri"/>
                <w:color w:val="7030A0"/>
                <w:sz w:val="14"/>
              </w:rPr>
            </w:pPr>
          </w:p>
        </w:tc>
        <w:tc>
          <w:tcPr>
            <w:tcW w:w="2410" w:type="dxa"/>
            <w:tcBorders>
              <w:top w:val="nil"/>
              <w:left w:val="single" w:sz="2" w:space="0" w:color="auto"/>
              <w:bottom w:val="nil"/>
              <w:right w:val="nil"/>
            </w:tcBorders>
          </w:tcPr>
          <w:p w14:paraId="17216DFB" w14:textId="77777777" w:rsidR="00AF2884" w:rsidRPr="008E2886" w:rsidRDefault="00AF2884" w:rsidP="00AF2884">
            <w:pPr>
              <w:tabs>
                <w:tab w:val="left" w:pos="3306"/>
              </w:tabs>
              <w:spacing w:before="60" w:after="60"/>
              <w:rPr>
                <w:rFonts w:cs="Calibri"/>
                <w:b/>
                <w:sz w:val="18"/>
              </w:rPr>
            </w:pPr>
            <w:r w:rsidRPr="008E2886">
              <w:rPr>
                <w:rFonts w:cs="Calibri"/>
                <w:b/>
                <w:sz w:val="18"/>
              </w:rPr>
              <w:t>Comprehensive Income</w:t>
            </w:r>
          </w:p>
        </w:tc>
        <w:tc>
          <w:tcPr>
            <w:tcW w:w="708" w:type="dxa"/>
            <w:tcBorders>
              <w:top w:val="nil"/>
              <w:left w:val="nil"/>
              <w:bottom w:val="nil"/>
              <w:right w:val="nil"/>
            </w:tcBorders>
            <w:vAlign w:val="bottom"/>
          </w:tcPr>
          <w:p w14:paraId="7884F126" w14:textId="77777777" w:rsidR="00AF2884" w:rsidRPr="008E2886" w:rsidRDefault="00AF2884" w:rsidP="00DA64E7">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1F243D23"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12E45235"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4C4A24C8" w14:textId="51B11E4D"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5371E7EB"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53DB055A"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14692584" w14:textId="77777777" w:rsidR="00AF2884" w:rsidRPr="008E2886" w:rsidRDefault="00AF2884" w:rsidP="00AF2884">
            <w:pPr>
              <w:pStyle w:val="TableText"/>
              <w:tabs>
                <w:tab w:val="left" w:pos="3306"/>
              </w:tabs>
              <w:jc w:val="right"/>
              <w:rPr>
                <w:rFonts w:cs="Calibri"/>
              </w:rPr>
            </w:pPr>
          </w:p>
        </w:tc>
      </w:tr>
      <w:tr w:rsidR="00AF2884" w:rsidRPr="00CF7E1B" w14:paraId="40EF4A81" w14:textId="77777777" w:rsidTr="004D1EC6">
        <w:trPr>
          <w:cantSplit/>
          <w:trHeight w:val="383"/>
        </w:trPr>
        <w:tc>
          <w:tcPr>
            <w:tcW w:w="1476" w:type="dxa"/>
            <w:tcBorders>
              <w:top w:val="nil"/>
              <w:left w:val="single" w:sz="2" w:space="0" w:color="auto"/>
              <w:bottom w:val="nil"/>
              <w:right w:val="single" w:sz="2" w:space="0" w:color="auto"/>
            </w:tcBorders>
          </w:tcPr>
          <w:p w14:paraId="095E9165"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w:t>
            </w:r>
          </w:p>
        </w:tc>
        <w:tc>
          <w:tcPr>
            <w:tcW w:w="2410" w:type="dxa"/>
            <w:tcBorders>
              <w:top w:val="nil"/>
              <w:left w:val="single" w:sz="2" w:space="0" w:color="auto"/>
              <w:bottom w:val="nil"/>
              <w:right w:val="nil"/>
            </w:tcBorders>
          </w:tcPr>
          <w:p w14:paraId="0BFC93CE" w14:textId="2C4CE750" w:rsidR="00AF2884" w:rsidRPr="008E2886" w:rsidRDefault="00AF2884" w:rsidP="00AF2884">
            <w:pPr>
              <w:tabs>
                <w:tab w:val="left" w:pos="3306"/>
              </w:tabs>
              <w:spacing w:before="60" w:after="60"/>
              <w:rPr>
                <w:rFonts w:cs="Calibri"/>
                <w:sz w:val="18"/>
              </w:rPr>
            </w:pPr>
            <w:r w:rsidRPr="008E2886">
              <w:rPr>
                <w:rFonts w:cs="Calibri"/>
                <w:sz w:val="18"/>
              </w:rPr>
              <w:t xml:space="preserve">Operating </w:t>
            </w:r>
            <w:r w:rsidR="00AB0C90" w:rsidRPr="008E2886">
              <w:rPr>
                <w:rFonts w:cs="Calibri"/>
                <w:sz w:val="18"/>
              </w:rPr>
              <w:t xml:space="preserve">Result </w:t>
            </w:r>
          </w:p>
        </w:tc>
        <w:tc>
          <w:tcPr>
            <w:tcW w:w="708" w:type="dxa"/>
            <w:tcBorders>
              <w:top w:val="nil"/>
              <w:left w:val="nil"/>
              <w:bottom w:val="nil"/>
              <w:right w:val="nil"/>
            </w:tcBorders>
            <w:vAlign w:val="bottom"/>
          </w:tcPr>
          <w:p w14:paraId="73BEFD94" w14:textId="77777777" w:rsidR="00AF2884" w:rsidRPr="008E2886" w:rsidRDefault="00AF2884" w:rsidP="00DA64E7">
            <w:pPr>
              <w:pStyle w:val="TableText"/>
              <w:tabs>
                <w:tab w:val="left" w:pos="3306"/>
              </w:tabs>
              <w:jc w:val="center"/>
              <w:rPr>
                <w:rFonts w:cs="Calibri"/>
              </w:rPr>
            </w:pPr>
          </w:p>
        </w:tc>
        <w:tc>
          <w:tcPr>
            <w:tcW w:w="709" w:type="dxa"/>
            <w:tcBorders>
              <w:top w:val="nil"/>
              <w:left w:val="nil"/>
              <w:bottom w:val="nil"/>
              <w:right w:val="nil"/>
            </w:tcBorders>
            <w:shd w:val="clear" w:color="auto" w:fill="auto"/>
            <w:vAlign w:val="bottom"/>
          </w:tcPr>
          <w:p w14:paraId="01131C5E" w14:textId="77777777" w:rsidR="00AF2884" w:rsidRPr="008E2886" w:rsidRDefault="00AF2884" w:rsidP="00AF2884">
            <w:pPr>
              <w:pStyle w:val="TableText"/>
              <w:tabs>
                <w:tab w:val="left" w:pos="3306"/>
              </w:tabs>
              <w:jc w:val="right"/>
              <w:rPr>
                <w:rFonts w:cs="Calibri"/>
                <w:strike/>
              </w:rPr>
            </w:pPr>
          </w:p>
        </w:tc>
        <w:tc>
          <w:tcPr>
            <w:tcW w:w="1278" w:type="dxa"/>
            <w:tcBorders>
              <w:top w:val="nil"/>
              <w:left w:val="nil"/>
              <w:bottom w:val="nil"/>
              <w:right w:val="nil"/>
            </w:tcBorders>
          </w:tcPr>
          <w:p w14:paraId="168F64F2"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5533F087" w14:textId="5C3273C0"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449F5598"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2FA37266" w14:textId="77777777" w:rsidR="00AF2884" w:rsidRPr="008E2886" w:rsidRDefault="00AF2884" w:rsidP="00AF2884">
            <w:pPr>
              <w:pStyle w:val="TableText"/>
              <w:tabs>
                <w:tab w:val="left" w:pos="3306"/>
              </w:tabs>
              <w:jc w:val="right"/>
              <w:rPr>
                <w:rFonts w:cs="Calibri"/>
                <w:strike/>
              </w:rPr>
            </w:pPr>
          </w:p>
        </w:tc>
        <w:tc>
          <w:tcPr>
            <w:tcW w:w="850" w:type="dxa"/>
            <w:tcBorders>
              <w:top w:val="nil"/>
              <w:left w:val="nil"/>
              <w:bottom w:val="nil"/>
              <w:right w:val="nil"/>
            </w:tcBorders>
            <w:shd w:val="clear" w:color="auto" w:fill="auto"/>
            <w:vAlign w:val="bottom"/>
          </w:tcPr>
          <w:p w14:paraId="2C688627" w14:textId="77777777" w:rsidR="00AF2884" w:rsidRPr="008E2886" w:rsidRDefault="00AF2884" w:rsidP="00AF2884">
            <w:pPr>
              <w:pStyle w:val="TableText"/>
              <w:tabs>
                <w:tab w:val="left" w:pos="3306"/>
              </w:tabs>
              <w:jc w:val="right"/>
              <w:rPr>
                <w:rFonts w:cs="Calibri"/>
              </w:rPr>
            </w:pPr>
          </w:p>
        </w:tc>
      </w:tr>
      <w:tr w:rsidR="00AF2884" w:rsidRPr="00CF7E1B" w14:paraId="64300914" w14:textId="77777777" w:rsidTr="004D1EC6">
        <w:trPr>
          <w:cantSplit/>
          <w:trHeight w:val="383"/>
        </w:trPr>
        <w:tc>
          <w:tcPr>
            <w:tcW w:w="1476" w:type="dxa"/>
            <w:tcBorders>
              <w:top w:val="nil"/>
              <w:left w:val="single" w:sz="2" w:space="0" w:color="auto"/>
              <w:bottom w:val="nil"/>
              <w:right w:val="single" w:sz="2" w:space="0" w:color="auto"/>
            </w:tcBorders>
          </w:tcPr>
          <w:p w14:paraId="370A0384"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w:t>
            </w:r>
          </w:p>
        </w:tc>
        <w:tc>
          <w:tcPr>
            <w:tcW w:w="2410" w:type="dxa"/>
            <w:tcBorders>
              <w:top w:val="nil"/>
              <w:left w:val="single" w:sz="2" w:space="0" w:color="auto"/>
              <w:bottom w:val="nil"/>
              <w:right w:val="nil"/>
            </w:tcBorders>
          </w:tcPr>
          <w:p w14:paraId="1635B1D4" w14:textId="77777777" w:rsidR="00AF2884" w:rsidRPr="008E2886" w:rsidRDefault="00AF2884" w:rsidP="00AF2884">
            <w:pPr>
              <w:tabs>
                <w:tab w:val="left" w:pos="3306"/>
              </w:tabs>
              <w:spacing w:before="60" w:after="60"/>
              <w:rPr>
                <w:rFonts w:cs="Calibri"/>
                <w:sz w:val="18"/>
              </w:rPr>
            </w:pPr>
            <w:r w:rsidRPr="008E2886">
              <w:rPr>
                <w:rFonts w:cs="Calibri"/>
                <w:sz w:val="18"/>
              </w:rPr>
              <w:t>Increase/(Decrease) in the Asset Revaluation Surplus</w:t>
            </w:r>
          </w:p>
        </w:tc>
        <w:tc>
          <w:tcPr>
            <w:tcW w:w="708" w:type="dxa"/>
            <w:tcBorders>
              <w:top w:val="nil"/>
              <w:left w:val="nil"/>
              <w:bottom w:val="nil"/>
              <w:right w:val="nil"/>
            </w:tcBorders>
          </w:tcPr>
          <w:p w14:paraId="24F3C172" w14:textId="7C2CE3BC" w:rsidR="00AF2884" w:rsidRPr="008E2886" w:rsidRDefault="00AF2884" w:rsidP="00491C20">
            <w:pPr>
              <w:pStyle w:val="TableText"/>
              <w:tabs>
                <w:tab w:val="left" w:pos="3306"/>
              </w:tabs>
              <w:jc w:val="center"/>
              <w:rPr>
                <w:rFonts w:cs="Calibri"/>
                <w:strike/>
              </w:rPr>
            </w:pPr>
          </w:p>
        </w:tc>
        <w:tc>
          <w:tcPr>
            <w:tcW w:w="709" w:type="dxa"/>
            <w:tcBorders>
              <w:top w:val="nil"/>
              <w:left w:val="nil"/>
              <w:bottom w:val="nil"/>
              <w:right w:val="nil"/>
            </w:tcBorders>
            <w:shd w:val="clear" w:color="auto" w:fill="auto"/>
            <w:vAlign w:val="bottom"/>
          </w:tcPr>
          <w:p w14:paraId="36510B6E"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6EC57AD6"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5E304CB5" w14:textId="16204360"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7DFB9C1C"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38A0CEA4"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0C2435C9" w14:textId="77777777" w:rsidR="00AF2884" w:rsidRPr="008E2886" w:rsidRDefault="00AF2884" w:rsidP="00AF2884">
            <w:pPr>
              <w:pStyle w:val="TableText"/>
              <w:tabs>
                <w:tab w:val="left" w:pos="3306"/>
              </w:tabs>
              <w:jc w:val="right"/>
              <w:rPr>
                <w:rFonts w:cs="Calibri"/>
              </w:rPr>
            </w:pPr>
          </w:p>
        </w:tc>
      </w:tr>
      <w:tr w:rsidR="00AF2884" w:rsidRPr="00CF7E1B" w14:paraId="69883B9A" w14:textId="77777777" w:rsidTr="004D1EC6">
        <w:trPr>
          <w:cantSplit/>
          <w:trHeight w:val="383"/>
        </w:trPr>
        <w:tc>
          <w:tcPr>
            <w:tcW w:w="1476" w:type="dxa"/>
            <w:tcBorders>
              <w:top w:val="nil"/>
              <w:left w:val="single" w:sz="2" w:space="0" w:color="auto"/>
              <w:bottom w:val="nil"/>
              <w:right w:val="single" w:sz="2" w:space="0" w:color="auto"/>
            </w:tcBorders>
          </w:tcPr>
          <w:p w14:paraId="21D932C9" w14:textId="77777777" w:rsidR="00AF2884" w:rsidRPr="008E2886" w:rsidRDefault="00AF2884" w:rsidP="00AF2884">
            <w:pPr>
              <w:pStyle w:val="TableReference"/>
              <w:tabs>
                <w:tab w:val="left" w:pos="3306"/>
              </w:tabs>
              <w:spacing w:before="60"/>
              <w:rPr>
                <w:rFonts w:cs="Calibri"/>
                <w:color w:val="7030A0"/>
                <w:sz w:val="14"/>
              </w:rPr>
            </w:pPr>
          </w:p>
        </w:tc>
        <w:tc>
          <w:tcPr>
            <w:tcW w:w="2410" w:type="dxa"/>
            <w:tcBorders>
              <w:top w:val="nil"/>
              <w:left w:val="single" w:sz="2" w:space="0" w:color="auto"/>
              <w:bottom w:val="nil"/>
              <w:right w:val="nil"/>
            </w:tcBorders>
          </w:tcPr>
          <w:p w14:paraId="247E1FCA" w14:textId="77777777" w:rsidR="00AF2884" w:rsidRPr="008E2886" w:rsidRDefault="00AF2884" w:rsidP="00AF2884">
            <w:pPr>
              <w:tabs>
                <w:tab w:val="left" w:pos="3306"/>
              </w:tabs>
              <w:spacing w:before="60" w:after="60"/>
              <w:rPr>
                <w:rFonts w:cs="Calibri"/>
                <w:sz w:val="18"/>
              </w:rPr>
            </w:pPr>
            <w:r w:rsidRPr="008E2886">
              <w:rPr>
                <w:rFonts w:cs="Calibri"/>
                <w:sz w:val="18"/>
              </w:rPr>
              <w:t>Other Comprehensive Income</w:t>
            </w:r>
          </w:p>
        </w:tc>
        <w:tc>
          <w:tcPr>
            <w:tcW w:w="708" w:type="dxa"/>
            <w:tcBorders>
              <w:top w:val="nil"/>
              <w:left w:val="nil"/>
              <w:bottom w:val="nil"/>
              <w:right w:val="nil"/>
            </w:tcBorders>
            <w:vAlign w:val="bottom"/>
          </w:tcPr>
          <w:p w14:paraId="159648E6" w14:textId="77777777" w:rsidR="00AF2884" w:rsidRPr="008E2886" w:rsidRDefault="00AF2884" w:rsidP="00DA64E7">
            <w:pPr>
              <w:pStyle w:val="TableText"/>
              <w:tabs>
                <w:tab w:val="left" w:pos="3306"/>
              </w:tabs>
              <w:jc w:val="center"/>
              <w:rPr>
                <w:rFonts w:cs="Calibri"/>
                <w:strike/>
              </w:rPr>
            </w:pPr>
          </w:p>
        </w:tc>
        <w:tc>
          <w:tcPr>
            <w:tcW w:w="709" w:type="dxa"/>
            <w:tcBorders>
              <w:top w:val="nil"/>
              <w:left w:val="nil"/>
              <w:bottom w:val="single" w:sz="4" w:space="0" w:color="auto"/>
              <w:right w:val="nil"/>
            </w:tcBorders>
            <w:shd w:val="clear" w:color="auto" w:fill="auto"/>
            <w:vAlign w:val="bottom"/>
          </w:tcPr>
          <w:p w14:paraId="41776217"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single" w:sz="4" w:space="0" w:color="auto"/>
              <w:right w:val="nil"/>
            </w:tcBorders>
          </w:tcPr>
          <w:p w14:paraId="723B4F01"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single" w:sz="4" w:space="0" w:color="auto"/>
              <w:right w:val="nil"/>
            </w:tcBorders>
            <w:shd w:val="clear" w:color="auto" w:fill="auto"/>
            <w:vAlign w:val="bottom"/>
          </w:tcPr>
          <w:p w14:paraId="1BFAF196" w14:textId="29065017" w:rsidR="00AF2884" w:rsidRPr="008E2886" w:rsidRDefault="00AF2884" w:rsidP="00AF2884">
            <w:pPr>
              <w:pStyle w:val="TableText"/>
              <w:tabs>
                <w:tab w:val="left" w:pos="3306"/>
              </w:tabs>
              <w:jc w:val="right"/>
              <w:rPr>
                <w:rFonts w:cs="Calibri"/>
              </w:rPr>
            </w:pPr>
          </w:p>
        </w:tc>
        <w:tc>
          <w:tcPr>
            <w:tcW w:w="992" w:type="dxa"/>
            <w:tcBorders>
              <w:top w:val="nil"/>
              <w:left w:val="nil"/>
              <w:bottom w:val="single" w:sz="4" w:space="0" w:color="auto"/>
              <w:right w:val="nil"/>
            </w:tcBorders>
            <w:shd w:val="clear" w:color="auto" w:fill="auto"/>
            <w:vAlign w:val="bottom"/>
          </w:tcPr>
          <w:p w14:paraId="0512CA2F"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single" w:sz="4" w:space="0" w:color="auto"/>
              <w:right w:val="nil"/>
            </w:tcBorders>
            <w:shd w:val="clear" w:color="auto" w:fill="auto"/>
            <w:vAlign w:val="bottom"/>
          </w:tcPr>
          <w:p w14:paraId="3CE31383"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single" w:sz="4" w:space="0" w:color="auto"/>
              <w:right w:val="nil"/>
            </w:tcBorders>
            <w:shd w:val="clear" w:color="auto" w:fill="auto"/>
            <w:vAlign w:val="bottom"/>
          </w:tcPr>
          <w:p w14:paraId="6E706965" w14:textId="77777777" w:rsidR="00AF2884" w:rsidRPr="008E2886" w:rsidRDefault="00AF2884" w:rsidP="00AF2884">
            <w:pPr>
              <w:pStyle w:val="TableText"/>
              <w:tabs>
                <w:tab w:val="left" w:pos="3306"/>
              </w:tabs>
              <w:jc w:val="right"/>
              <w:rPr>
                <w:rFonts w:cs="Calibri"/>
              </w:rPr>
            </w:pPr>
          </w:p>
        </w:tc>
      </w:tr>
      <w:tr w:rsidR="00AF2884" w:rsidRPr="00CF7E1B" w14:paraId="3F812F32" w14:textId="77777777" w:rsidTr="004D1EC6">
        <w:trPr>
          <w:cantSplit/>
          <w:trHeight w:val="383"/>
        </w:trPr>
        <w:tc>
          <w:tcPr>
            <w:tcW w:w="1476" w:type="dxa"/>
            <w:tcBorders>
              <w:top w:val="nil"/>
              <w:left w:val="single" w:sz="2" w:space="0" w:color="auto"/>
              <w:bottom w:val="nil"/>
              <w:right w:val="single" w:sz="2" w:space="0" w:color="auto"/>
            </w:tcBorders>
          </w:tcPr>
          <w:p w14:paraId="2A638326" w14:textId="77777777" w:rsidR="00AF2884" w:rsidRPr="008E2886" w:rsidRDefault="00AF2884" w:rsidP="00491C20">
            <w:pPr>
              <w:pStyle w:val="TableReference"/>
              <w:tabs>
                <w:tab w:val="left" w:pos="3306"/>
              </w:tabs>
              <w:spacing w:before="60"/>
              <w:rPr>
                <w:rFonts w:cs="Calibri"/>
                <w:color w:val="7030A0"/>
                <w:sz w:val="14"/>
              </w:rPr>
            </w:pPr>
            <w:r w:rsidRPr="008E2886">
              <w:rPr>
                <w:rFonts w:cs="Calibri"/>
                <w:color w:val="7030A0"/>
                <w:sz w:val="14"/>
              </w:rPr>
              <w:t>AASB 101.106(a)</w:t>
            </w:r>
          </w:p>
        </w:tc>
        <w:tc>
          <w:tcPr>
            <w:tcW w:w="2410" w:type="dxa"/>
            <w:tcBorders>
              <w:top w:val="nil"/>
              <w:left w:val="single" w:sz="2" w:space="0" w:color="auto"/>
              <w:bottom w:val="nil"/>
              <w:right w:val="nil"/>
            </w:tcBorders>
            <w:vAlign w:val="bottom"/>
          </w:tcPr>
          <w:p w14:paraId="46AB1A7A" w14:textId="27F63ED5" w:rsidR="00AF2884" w:rsidRPr="008E2886" w:rsidRDefault="00AF2884" w:rsidP="00491C20">
            <w:pPr>
              <w:tabs>
                <w:tab w:val="left" w:pos="3306"/>
              </w:tabs>
              <w:spacing w:before="60" w:after="60"/>
              <w:rPr>
                <w:rFonts w:cs="Calibri"/>
                <w:b/>
                <w:strike/>
                <w:sz w:val="18"/>
              </w:rPr>
            </w:pPr>
            <w:r w:rsidRPr="008E2886">
              <w:rPr>
                <w:rFonts w:cs="Calibri"/>
                <w:b/>
                <w:sz w:val="18"/>
              </w:rPr>
              <w:t xml:space="preserve">Total Comprehensive </w:t>
            </w:r>
            <w:r w:rsidR="00AB0C90" w:rsidRPr="008E2886">
              <w:rPr>
                <w:rFonts w:cs="Calibri"/>
                <w:b/>
                <w:sz w:val="18"/>
              </w:rPr>
              <w:t xml:space="preserve">Result </w:t>
            </w:r>
          </w:p>
        </w:tc>
        <w:tc>
          <w:tcPr>
            <w:tcW w:w="708" w:type="dxa"/>
            <w:tcBorders>
              <w:top w:val="nil"/>
              <w:left w:val="nil"/>
              <w:bottom w:val="nil"/>
              <w:right w:val="nil"/>
            </w:tcBorders>
            <w:vAlign w:val="bottom"/>
          </w:tcPr>
          <w:p w14:paraId="2D2393B6" w14:textId="77777777" w:rsidR="00AF2884" w:rsidRPr="008E2886" w:rsidRDefault="00AF2884" w:rsidP="00491C20">
            <w:pPr>
              <w:pStyle w:val="TableText"/>
              <w:tabs>
                <w:tab w:val="left" w:pos="3306"/>
              </w:tabs>
              <w:rPr>
                <w:rFonts w:cs="Calibri"/>
                <w:b/>
                <w:strike/>
              </w:rPr>
            </w:pPr>
          </w:p>
        </w:tc>
        <w:tc>
          <w:tcPr>
            <w:tcW w:w="709" w:type="dxa"/>
            <w:tcBorders>
              <w:top w:val="single" w:sz="4" w:space="0" w:color="auto"/>
              <w:left w:val="nil"/>
              <w:bottom w:val="single" w:sz="4" w:space="0" w:color="auto"/>
              <w:right w:val="nil"/>
            </w:tcBorders>
            <w:shd w:val="clear" w:color="auto" w:fill="auto"/>
            <w:vAlign w:val="bottom"/>
          </w:tcPr>
          <w:p w14:paraId="48E67B58" w14:textId="77777777" w:rsidR="00AF2884" w:rsidRPr="008E2886" w:rsidRDefault="00AF2884" w:rsidP="00491C20">
            <w:pPr>
              <w:pStyle w:val="TableText"/>
              <w:tabs>
                <w:tab w:val="left" w:pos="3306"/>
              </w:tabs>
              <w:rPr>
                <w:rFonts w:cs="Calibri"/>
                <w:b/>
                <w:strike/>
              </w:rPr>
            </w:pPr>
          </w:p>
        </w:tc>
        <w:tc>
          <w:tcPr>
            <w:tcW w:w="1278" w:type="dxa"/>
            <w:tcBorders>
              <w:top w:val="single" w:sz="4" w:space="0" w:color="auto"/>
              <w:left w:val="nil"/>
              <w:bottom w:val="single" w:sz="4" w:space="0" w:color="auto"/>
              <w:right w:val="nil"/>
            </w:tcBorders>
            <w:vAlign w:val="bottom"/>
          </w:tcPr>
          <w:p w14:paraId="4C660D86" w14:textId="77777777" w:rsidR="00AF2884" w:rsidRPr="008E2886" w:rsidRDefault="00AF2884" w:rsidP="00491C20">
            <w:pPr>
              <w:pStyle w:val="TableText"/>
              <w:tabs>
                <w:tab w:val="left" w:pos="3306"/>
              </w:tabs>
              <w:rPr>
                <w:rFonts w:cs="Calibri"/>
                <w:b/>
              </w:rPr>
            </w:pPr>
          </w:p>
        </w:tc>
        <w:tc>
          <w:tcPr>
            <w:tcW w:w="1134" w:type="dxa"/>
            <w:tcBorders>
              <w:top w:val="single" w:sz="4" w:space="0" w:color="auto"/>
              <w:left w:val="nil"/>
              <w:bottom w:val="single" w:sz="4" w:space="0" w:color="auto"/>
              <w:right w:val="nil"/>
            </w:tcBorders>
            <w:shd w:val="clear" w:color="auto" w:fill="auto"/>
            <w:vAlign w:val="bottom"/>
          </w:tcPr>
          <w:p w14:paraId="4D16AAB9" w14:textId="6852D298" w:rsidR="00AF2884" w:rsidRPr="008E2886" w:rsidRDefault="00AF2884" w:rsidP="00491C20">
            <w:pPr>
              <w:pStyle w:val="TableText"/>
              <w:tabs>
                <w:tab w:val="left" w:pos="3306"/>
              </w:tabs>
              <w:rPr>
                <w:rFonts w:cs="Calibri"/>
                <w:b/>
              </w:rPr>
            </w:pPr>
          </w:p>
        </w:tc>
        <w:tc>
          <w:tcPr>
            <w:tcW w:w="992" w:type="dxa"/>
            <w:tcBorders>
              <w:top w:val="single" w:sz="4" w:space="0" w:color="auto"/>
              <w:left w:val="nil"/>
              <w:bottom w:val="single" w:sz="4" w:space="0" w:color="auto"/>
              <w:right w:val="nil"/>
            </w:tcBorders>
            <w:shd w:val="clear" w:color="auto" w:fill="auto"/>
            <w:vAlign w:val="bottom"/>
          </w:tcPr>
          <w:p w14:paraId="79A0472E" w14:textId="77777777" w:rsidR="00AF2884" w:rsidRPr="008E2886" w:rsidRDefault="00AF2884" w:rsidP="00491C20">
            <w:pPr>
              <w:pStyle w:val="TableText"/>
              <w:tabs>
                <w:tab w:val="left" w:pos="3306"/>
              </w:tabs>
              <w:rPr>
                <w:rFonts w:cs="Calibri"/>
                <w:b/>
              </w:rPr>
            </w:pPr>
          </w:p>
        </w:tc>
        <w:tc>
          <w:tcPr>
            <w:tcW w:w="851" w:type="dxa"/>
            <w:tcBorders>
              <w:top w:val="single" w:sz="4" w:space="0" w:color="auto"/>
              <w:left w:val="nil"/>
              <w:bottom w:val="single" w:sz="4" w:space="0" w:color="auto"/>
              <w:right w:val="nil"/>
            </w:tcBorders>
            <w:shd w:val="clear" w:color="auto" w:fill="auto"/>
            <w:vAlign w:val="bottom"/>
          </w:tcPr>
          <w:p w14:paraId="14D7B6F6" w14:textId="77777777" w:rsidR="00AF2884" w:rsidRPr="008E2886" w:rsidRDefault="00AF2884" w:rsidP="00491C20">
            <w:pPr>
              <w:pStyle w:val="TableText"/>
              <w:tabs>
                <w:tab w:val="left" w:pos="3306"/>
              </w:tabs>
              <w:rPr>
                <w:rFonts w:cs="Calibri"/>
                <w:b/>
                <w:strike/>
              </w:rPr>
            </w:pPr>
          </w:p>
        </w:tc>
        <w:tc>
          <w:tcPr>
            <w:tcW w:w="850" w:type="dxa"/>
            <w:tcBorders>
              <w:top w:val="single" w:sz="4" w:space="0" w:color="auto"/>
              <w:left w:val="nil"/>
              <w:bottom w:val="single" w:sz="4" w:space="0" w:color="auto"/>
              <w:right w:val="nil"/>
            </w:tcBorders>
            <w:shd w:val="clear" w:color="auto" w:fill="auto"/>
            <w:vAlign w:val="bottom"/>
          </w:tcPr>
          <w:p w14:paraId="3292A999" w14:textId="77777777" w:rsidR="00AF2884" w:rsidRPr="008E2886" w:rsidRDefault="00AF2884" w:rsidP="00491C20">
            <w:pPr>
              <w:pStyle w:val="TableText"/>
              <w:tabs>
                <w:tab w:val="left" w:pos="3306"/>
              </w:tabs>
              <w:rPr>
                <w:rFonts w:cs="Calibri"/>
                <w:b/>
              </w:rPr>
            </w:pPr>
          </w:p>
        </w:tc>
      </w:tr>
      <w:tr w:rsidR="00AF2884" w:rsidRPr="00CF7E1B" w14:paraId="56F9B300" w14:textId="77777777" w:rsidTr="004D1EC6">
        <w:trPr>
          <w:cantSplit/>
          <w:trHeight w:val="20"/>
        </w:trPr>
        <w:tc>
          <w:tcPr>
            <w:tcW w:w="1476" w:type="dxa"/>
            <w:tcBorders>
              <w:top w:val="nil"/>
              <w:left w:val="single" w:sz="2" w:space="0" w:color="auto"/>
              <w:bottom w:val="nil"/>
              <w:right w:val="single" w:sz="2" w:space="0" w:color="auto"/>
            </w:tcBorders>
          </w:tcPr>
          <w:p w14:paraId="59FC581F" w14:textId="77777777" w:rsidR="00AF2884" w:rsidRPr="008E2886" w:rsidRDefault="00AF2884" w:rsidP="00AF2884">
            <w:pPr>
              <w:pStyle w:val="TableReference"/>
              <w:tabs>
                <w:tab w:val="left" w:pos="3306"/>
              </w:tabs>
              <w:spacing w:before="60"/>
              <w:rPr>
                <w:rFonts w:cs="Calibri"/>
                <w:strike/>
                <w:color w:val="7030A0"/>
                <w:sz w:val="14"/>
              </w:rPr>
            </w:pPr>
          </w:p>
        </w:tc>
        <w:tc>
          <w:tcPr>
            <w:tcW w:w="2410" w:type="dxa"/>
            <w:tcBorders>
              <w:top w:val="nil"/>
              <w:left w:val="single" w:sz="2" w:space="0" w:color="auto"/>
              <w:bottom w:val="nil"/>
              <w:right w:val="nil"/>
            </w:tcBorders>
          </w:tcPr>
          <w:p w14:paraId="40CD77A0" w14:textId="77777777" w:rsidR="00AF2884" w:rsidRPr="008E2886" w:rsidRDefault="00AF2884" w:rsidP="00491C20">
            <w:pPr>
              <w:tabs>
                <w:tab w:val="left" w:pos="3306"/>
              </w:tabs>
              <w:spacing w:before="240" w:after="240"/>
              <w:rPr>
                <w:rFonts w:cs="Calibri"/>
                <w:strike/>
                <w:sz w:val="18"/>
              </w:rPr>
            </w:pPr>
            <w:r w:rsidRPr="008E2886">
              <w:rPr>
                <w:rFonts w:cs="Calibri"/>
                <w:sz w:val="18"/>
              </w:rPr>
              <w:t>Transfers (from)/to reserves</w:t>
            </w:r>
          </w:p>
        </w:tc>
        <w:tc>
          <w:tcPr>
            <w:tcW w:w="708" w:type="dxa"/>
            <w:tcBorders>
              <w:top w:val="nil"/>
              <w:left w:val="nil"/>
              <w:bottom w:val="nil"/>
              <w:right w:val="nil"/>
            </w:tcBorders>
            <w:vAlign w:val="bottom"/>
          </w:tcPr>
          <w:p w14:paraId="25731137" w14:textId="77777777" w:rsidR="00AF2884" w:rsidRPr="008E2886" w:rsidRDefault="00AF2884" w:rsidP="00AF2884">
            <w:pPr>
              <w:pStyle w:val="TableText"/>
              <w:tabs>
                <w:tab w:val="left" w:pos="3306"/>
              </w:tabs>
              <w:jc w:val="center"/>
              <w:rPr>
                <w:rFonts w:cs="Calibri"/>
                <w:strike/>
              </w:rPr>
            </w:pPr>
          </w:p>
        </w:tc>
        <w:tc>
          <w:tcPr>
            <w:tcW w:w="709" w:type="dxa"/>
            <w:tcBorders>
              <w:top w:val="single" w:sz="4" w:space="0" w:color="auto"/>
              <w:left w:val="nil"/>
              <w:bottom w:val="nil"/>
              <w:right w:val="nil"/>
            </w:tcBorders>
            <w:shd w:val="clear" w:color="auto" w:fill="auto"/>
            <w:vAlign w:val="bottom"/>
          </w:tcPr>
          <w:p w14:paraId="4A682786" w14:textId="77777777" w:rsidR="00AF2884" w:rsidRPr="008E2886" w:rsidRDefault="00AF2884" w:rsidP="00AF2884">
            <w:pPr>
              <w:pStyle w:val="TableText"/>
              <w:tabs>
                <w:tab w:val="left" w:pos="3306"/>
              </w:tabs>
              <w:jc w:val="right"/>
              <w:rPr>
                <w:rFonts w:cs="Calibri"/>
              </w:rPr>
            </w:pPr>
          </w:p>
        </w:tc>
        <w:tc>
          <w:tcPr>
            <w:tcW w:w="1278" w:type="dxa"/>
            <w:tcBorders>
              <w:top w:val="single" w:sz="4" w:space="0" w:color="auto"/>
              <w:left w:val="nil"/>
              <w:bottom w:val="nil"/>
              <w:right w:val="nil"/>
            </w:tcBorders>
          </w:tcPr>
          <w:p w14:paraId="621B745B" w14:textId="77777777" w:rsidR="00AF2884" w:rsidRPr="008E2886" w:rsidRDefault="00AF2884" w:rsidP="00AF2884">
            <w:pPr>
              <w:pStyle w:val="TableText"/>
              <w:tabs>
                <w:tab w:val="left" w:pos="3306"/>
              </w:tabs>
              <w:jc w:val="right"/>
              <w:rPr>
                <w:rFonts w:cs="Calibri"/>
              </w:rPr>
            </w:pPr>
          </w:p>
        </w:tc>
        <w:tc>
          <w:tcPr>
            <w:tcW w:w="1134" w:type="dxa"/>
            <w:tcBorders>
              <w:top w:val="single" w:sz="4" w:space="0" w:color="auto"/>
              <w:left w:val="nil"/>
              <w:bottom w:val="nil"/>
              <w:right w:val="nil"/>
            </w:tcBorders>
            <w:shd w:val="clear" w:color="auto" w:fill="auto"/>
            <w:vAlign w:val="bottom"/>
          </w:tcPr>
          <w:p w14:paraId="18C11088" w14:textId="0221B4A3" w:rsidR="00AF2884" w:rsidRPr="008E2886" w:rsidRDefault="00AF2884" w:rsidP="00AF2884">
            <w:pPr>
              <w:pStyle w:val="TableText"/>
              <w:tabs>
                <w:tab w:val="left" w:pos="3306"/>
              </w:tabs>
              <w:jc w:val="right"/>
              <w:rPr>
                <w:rFonts w:cs="Calibri"/>
              </w:rPr>
            </w:pPr>
          </w:p>
        </w:tc>
        <w:tc>
          <w:tcPr>
            <w:tcW w:w="992" w:type="dxa"/>
            <w:tcBorders>
              <w:top w:val="single" w:sz="4" w:space="0" w:color="auto"/>
              <w:left w:val="nil"/>
              <w:bottom w:val="nil"/>
              <w:right w:val="nil"/>
            </w:tcBorders>
            <w:shd w:val="clear" w:color="auto" w:fill="auto"/>
            <w:vAlign w:val="bottom"/>
          </w:tcPr>
          <w:p w14:paraId="41A3E482" w14:textId="77777777" w:rsidR="00AF2884" w:rsidRPr="008E2886" w:rsidRDefault="00AF2884" w:rsidP="00AF2884">
            <w:pPr>
              <w:pStyle w:val="TableText"/>
              <w:tabs>
                <w:tab w:val="left" w:pos="3306"/>
              </w:tabs>
              <w:jc w:val="right"/>
              <w:rPr>
                <w:rFonts w:cs="Calibri"/>
              </w:rPr>
            </w:pPr>
          </w:p>
        </w:tc>
        <w:tc>
          <w:tcPr>
            <w:tcW w:w="851" w:type="dxa"/>
            <w:tcBorders>
              <w:top w:val="single" w:sz="4" w:space="0" w:color="auto"/>
              <w:left w:val="nil"/>
              <w:bottom w:val="nil"/>
              <w:right w:val="nil"/>
            </w:tcBorders>
            <w:shd w:val="clear" w:color="auto" w:fill="auto"/>
            <w:vAlign w:val="bottom"/>
          </w:tcPr>
          <w:p w14:paraId="4782246B" w14:textId="77777777" w:rsidR="00AF2884" w:rsidRPr="008E2886" w:rsidRDefault="00AF2884" w:rsidP="00AF2884">
            <w:pPr>
              <w:pStyle w:val="TableText"/>
              <w:tabs>
                <w:tab w:val="left" w:pos="3306"/>
              </w:tabs>
              <w:jc w:val="right"/>
              <w:rPr>
                <w:rFonts w:cs="Calibri"/>
              </w:rPr>
            </w:pPr>
          </w:p>
        </w:tc>
        <w:tc>
          <w:tcPr>
            <w:tcW w:w="850" w:type="dxa"/>
            <w:tcBorders>
              <w:top w:val="single" w:sz="4" w:space="0" w:color="auto"/>
              <w:left w:val="nil"/>
              <w:bottom w:val="nil"/>
              <w:right w:val="nil"/>
            </w:tcBorders>
            <w:shd w:val="clear" w:color="auto" w:fill="auto"/>
            <w:vAlign w:val="bottom"/>
          </w:tcPr>
          <w:p w14:paraId="66BC0ADD" w14:textId="77777777" w:rsidR="00AF2884" w:rsidRPr="008E2886" w:rsidRDefault="00AF2884" w:rsidP="00AF2884">
            <w:pPr>
              <w:pStyle w:val="TableText"/>
              <w:tabs>
                <w:tab w:val="left" w:pos="3306"/>
              </w:tabs>
              <w:jc w:val="right"/>
              <w:rPr>
                <w:rFonts w:cs="Calibri"/>
              </w:rPr>
            </w:pPr>
          </w:p>
        </w:tc>
      </w:tr>
      <w:tr w:rsidR="00AF2884" w:rsidRPr="00CF7E1B" w14:paraId="14F2CD59" w14:textId="77777777" w:rsidTr="004D1EC6">
        <w:trPr>
          <w:cantSplit/>
          <w:trHeight w:val="20"/>
        </w:trPr>
        <w:tc>
          <w:tcPr>
            <w:tcW w:w="1476" w:type="dxa"/>
            <w:tcBorders>
              <w:top w:val="nil"/>
              <w:left w:val="single" w:sz="2" w:space="0" w:color="auto"/>
              <w:bottom w:val="nil"/>
              <w:right w:val="single" w:sz="2" w:space="0" w:color="auto"/>
            </w:tcBorders>
            <w:vAlign w:val="bottom"/>
          </w:tcPr>
          <w:p w14:paraId="40754EF1" w14:textId="77777777" w:rsidR="00AF2884" w:rsidRPr="008E2886" w:rsidRDefault="00AF2884" w:rsidP="00491C20">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vAlign w:val="bottom"/>
          </w:tcPr>
          <w:p w14:paraId="6F624C7D" w14:textId="77777777" w:rsidR="00AF2884" w:rsidRPr="008E2886" w:rsidRDefault="00AF2884" w:rsidP="00491C20">
            <w:pPr>
              <w:tabs>
                <w:tab w:val="left" w:pos="3306"/>
              </w:tabs>
              <w:spacing w:before="60" w:after="60"/>
              <w:rPr>
                <w:rFonts w:cs="Calibri"/>
                <w:b/>
                <w:iCs/>
                <w:sz w:val="18"/>
              </w:rPr>
            </w:pPr>
            <w:r w:rsidRPr="008E2886">
              <w:rPr>
                <w:rFonts w:cs="Calibri"/>
                <w:b/>
                <w:iCs/>
                <w:sz w:val="18"/>
              </w:rPr>
              <w:t>Transactions Involving Owners Affecting Accumulated Funds</w:t>
            </w:r>
          </w:p>
        </w:tc>
        <w:tc>
          <w:tcPr>
            <w:tcW w:w="708" w:type="dxa"/>
            <w:tcBorders>
              <w:top w:val="nil"/>
              <w:left w:val="nil"/>
              <w:bottom w:val="nil"/>
              <w:right w:val="nil"/>
            </w:tcBorders>
            <w:vAlign w:val="bottom"/>
          </w:tcPr>
          <w:p w14:paraId="291D488E" w14:textId="77777777" w:rsidR="00AF2884" w:rsidRPr="008E2886" w:rsidRDefault="00AF2884" w:rsidP="00491C20">
            <w:pPr>
              <w:pStyle w:val="TableText"/>
              <w:tabs>
                <w:tab w:val="left" w:pos="3306"/>
              </w:tabs>
              <w:rPr>
                <w:rFonts w:cs="Calibri"/>
                <w:strike/>
              </w:rPr>
            </w:pPr>
          </w:p>
        </w:tc>
        <w:tc>
          <w:tcPr>
            <w:tcW w:w="709" w:type="dxa"/>
            <w:tcBorders>
              <w:top w:val="nil"/>
              <w:left w:val="nil"/>
              <w:bottom w:val="nil"/>
              <w:right w:val="nil"/>
            </w:tcBorders>
            <w:shd w:val="clear" w:color="auto" w:fill="auto"/>
            <w:vAlign w:val="bottom"/>
          </w:tcPr>
          <w:p w14:paraId="63752DD9" w14:textId="77777777" w:rsidR="00AF2884" w:rsidRPr="008E2886" w:rsidRDefault="00AF2884" w:rsidP="00491C20">
            <w:pPr>
              <w:pStyle w:val="TableText"/>
              <w:tabs>
                <w:tab w:val="left" w:pos="3306"/>
              </w:tabs>
              <w:rPr>
                <w:rFonts w:cs="Calibri"/>
              </w:rPr>
            </w:pPr>
          </w:p>
        </w:tc>
        <w:tc>
          <w:tcPr>
            <w:tcW w:w="1278" w:type="dxa"/>
            <w:tcBorders>
              <w:top w:val="nil"/>
              <w:left w:val="nil"/>
              <w:bottom w:val="nil"/>
              <w:right w:val="nil"/>
            </w:tcBorders>
            <w:vAlign w:val="bottom"/>
          </w:tcPr>
          <w:p w14:paraId="6B487031" w14:textId="77777777" w:rsidR="00AF2884" w:rsidRPr="008E2886" w:rsidRDefault="00AF2884" w:rsidP="00491C20">
            <w:pPr>
              <w:pStyle w:val="TableText"/>
              <w:tabs>
                <w:tab w:val="left" w:pos="3306"/>
              </w:tabs>
              <w:rPr>
                <w:rFonts w:cs="Calibri"/>
              </w:rPr>
            </w:pPr>
          </w:p>
        </w:tc>
        <w:tc>
          <w:tcPr>
            <w:tcW w:w="1134" w:type="dxa"/>
            <w:tcBorders>
              <w:top w:val="nil"/>
              <w:left w:val="nil"/>
              <w:bottom w:val="nil"/>
              <w:right w:val="nil"/>
            </w:tcBorders>
            <w:shd w:val="clear" w:color="auto" w:fill="auto"/>
            <w:vAlign w:val="bottom"/>
          </w:tcPr>
          <w:p w14:paraId="216CDBDD" w14:textId="1EBA4727" w:rsidR="00AF2884" w:rsidRPr="008E2886" w:rsidRDefault="00AF2884" w:rsidP="00491C20">
            <w:pPr>
              <w:pStyle w:val="TableText"/>
              <w:tabs>
                <w:tab w:val="left" w:pos="3306"/>
              </w:tabs>
              <w:rPr>
                <w:rFonts w:cs="Calibri"/>
              </w:rPr>
            </w:pPr>
          </w:p>
        </w:tc>
        <w:tc>
          <w:tcPr>
            <w:tcW w:w="992" w:type="dxa"/>
            <w:tcBorders>
              <w:top w:val="nil"/>
              <w:left w:val="nil"/>
              <w:bottom w:val="nil"/>
              <w:right w:val="nil"/>
            </w:tcBorders>
            <w:shd w:val="clear" w:color="auto" w:fill="auto"/>
            <w:vAlign w:val="bottom"/>
          </w:tcPr>
          <w:p w14:paraId="683B74B1" w14:textId="77777777" w:rsidR="00AF2884" w:rsidRPr="008E2886" w:rsidRDefault="00AF2884" w:rsidP="00491C20">
            <w:pPr>
              <w:pStyle w:val="TableText"/>
              <w:tabs>
                <w:tab w:val="left" w:pos="3306"/>
              </w:tabs>
              <w:rPr>
                <w:rFonts w:cs="Calibri"/>
              </w:rPr>
            </w:pPr>
          </w:p>
        </w:tc>
        <w:tc>
          <w:tcPr>
            <w:tcW w:w="851" w:type="dxa"/>
            <w:tcBorders>
              <w:top w:val="nil"/>
              <w:left w:val="nil"/>
              <w:bottom w:val="nil"/>
              <w:right w:val="nil"/>
            </w:tcBorders>
            <w:shd w:val="clear" w:color="auto" w:fill="auto"/>
            <w:vAlign w:val="bottom"/>
          </w:tcPr>
          <w:p w14:paraId="4BF8881C" w14:textId="77777777" w:rsidR="00AF2884" w:rsidRPr="008E2886" w:rsidRDefault="00AF2884" w:rsidP="00491C20">
            <w:pPr>
              <w:pStyle w:val="TableText"/>
              <w:tabs>
                <w:tab w:val="left" w:pos="3306"/>
              </w:tabs>
              <w:rPr>
                <w:rFonts w:cs="Calibri"/>
              </w:rPr>
            </w:pPr>
          </w:p>
        </w:tc>
        <w:tc>
          <w:tcPr>
            <w:tcW w:w="850" w:type="dxa"/>
            <w:tcBorders>
              <w:top w:val="nil"/>
              <w:left w:val="nil"/>
              <w:bottom w:val="nil"/>
              <w:right w:val="nil"/>
            </w:tcBorders>
            <w:shd w:val="clear" w:color="auto" w:fill="auto"/>
            <w:vAlign w:val="bottom"/>
          </w:tcPr>
          <w:p w14:paraId="188A83E6" w14:textId="77777777" w:rsidR="00AF2884" w:rsidRPr="008E2886" w:rsidRDefault="00AF2884" w:rsidP="00491C20">
            <w:pPr>
              <w:pStyle w:val="TableText"/>
              <w:tabs>
                <w:tab w:val="left" w:pos="3306"/>
              </w:tabs>
              <w:rPr>
                <w:rFonts w:cs="Calibri"/>
              </w:rPr>
            </w:pPr>
          </w:p>
        </w:tc>
      </w:tr>
      <w:tr w:rsidR="00AF2884" w:rsidRPr="00CF7E1B" w14:paraId="1F3FB147" w14:textId="77777777" w:rsidTr="004D1EC6">
        <w:trPr>
          <w:cantSplit/>
          <w:trHeight w:val="20"/>
        </w:trPr>
        <w:tc>
          <w:tcPr>
            <w:tcW w:w="1476" w:type="dxa"/>
            <w:tcBorders>
              <w:top w:val="nil"/>
              <w:left w:val="single" w:sz="2" w:space="0" w:color="auto"/>
              <w:bottom w:val="nil"/>
              <w:right w:val="single" w:sz="2" w:space="0" w:color="auto"/>
            </w:tcBorders>
          </w:tcPr>
          <w:p w14:paraId="41BC8B0D"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792F42A4" w14:textId="77777777" w:rsidR="00AF2884" w:rsidRPr="008E2886" w:rsidRDefault="00AF2884" w:rsidP="00AF2884">
            <w:pPr>
              <w:tabs>
                <w:tab w:val="left" w:pos="3306"/>
              </w:tabs>
              <w:spacing w:before="60" w:after="60"/>
              <w:rPr>
                <w:rFonts w:cs="Calibri"/>
                <w:sz w:val="18"/>
              </w:rPr>
            </w:pPr>
            <w:r w:rsidRPr="008E2886">
              <w:rPr>
                <w:rFonts w:cs="Calibri"/>
                <w:sz w:val="18"/>
              </w:rPr>
              <w:t>Capital Injections</w:t>
            </w:r>
          </w:p>
        </w:tc>
        <w:tc>
          <w:tcPr>
            <w:tcW w:w="708" w:type="dxa"/>
            <w:tcBorders>
              <w:top w:val="nil"/>
              <w:left w:val="nil"/>
              <w:bottom w:val="nil"/>
              <w:right w:val="nil"/>
            </w:tcBorders>
            <w:vAlign w:val="bottom"/>
          </w:tcPr>
          <w:p w14:paraId="251C9460" w14:textId="77777777" w:rsidR="00AF2884" w:rsidRPr="008E2886" w:rsidRDefault="00AF2884" w:rsidP="00AF2884">
            <w:pPr>
              <w:pStyle w:val="TableText"/>
              <w:tabs>
                <w:tab w:val="left" w:pos="3306"/>
              </w:tabs>
              <w:jc w:val="center"/>
              <w:rPr>
                <w:rFonts w:cs="Calibri"/>
                <w:strike/>
              </w:rPr>
            </w:pPr>
          </w:p>
        </w:tc>
        <w:tc>
          <w:tcPr>
            <w:tcW w:w="709" w:type="dxa"/>
            <w:tcBorders>
              <w:top w:val="nil"/>
              <w:left w:val="nil"/>
              <w:bottom w:val="nil"/>
              <w:right w:val="nil"/>
            </w:tcBorders>
            <w:shd w:val="clear" w:color="auto" w:fill="auto"/>
            <w:vAlign w:val="bottom"/>
          </w:tcPr>
          <w:p w14:paraId="5474F805"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3B7E7237"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265BCD28" w14:textId="5504FD83"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ADA3C3E"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1145DFA8"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40A1EE4C" w14:textId="77777777" w:rsidR="00AF2884" w:rsidRPr="008E2886" w:rsidRDefault="00AF2884" w:rsidP="00AF2884">
            <w:pPr>
              <w:pStyle w:val="TableText"/>
              <w:tabs>
                <w:tab w:val="left" w:pos="3306"/>
              </w:tabs>
              <w:jc w:val="right"/>
              <w:rPr>
                <w:rFonts w:cs="Calibri"/>
              </w:rPr>
            </w:pPr>
          </w:p>
        </w:tc>
      </w:tr>
      <w:tr w:rsidR="00AF2884" w:rsidRPr="00CF7E1B" w14:paraId="1D5C623F" w14:textId="77777777" w:rsidTr="004D1EC6">
        <w:trPr>
          <w:cantSplit/>
          <w:trHeight w:val="20"/>
        </w:trPr>
        <w:tc>
          <w:tcPr>
            <w:tcW w:w="1476" w:type="dxa"/>
            <w:tcBorders>
              <w:top w:val="nil"/>
              <w:left w:val="single" w:sz="2" w:space="0" w:color="auto"/>
              <w:bottom w:val="nil"/>
              <w:right w:val="single" w:sz="2" w:space="0" w:color="auto"/>
            </w:tcBorders>
          </w:tcPr>
          <w:p w14:paraId="6980B833"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0A275A57" w14:textId="77777777" w:rsidR="00AF2884" w:rsidRPr="008E2886" w:rsidRDefault="00AF2884" w:rsidP="00AF2884">
            <w:pPr>
              <w:tabs>
                <w:tab w:val="left" w:pos="3306"/>
              </w:tabs>
              <w:spacing w:before="60" w:after="60"/>
              <w:rPr>
                <w:rFonts w:cs="Calibri"/>
                <w:sz w:val="18"/>
              </w:rPr>
            </w:pPr>
            <w:r w:rsidRPr="008E2886">
              <w:rPr>
                <w:rFonts w:cs="Calibri"/>
                <w:sz w:val="18"/>
              </w:rPr>
              <w:t xml:space="preserve">Capital (Distributions) </w:t>
            </w:r>
          </w:p>
        </w:tc>
        <w:tc>
          <w:tcPr>
            <w:tcW w:w="708" w:type="dxa"/>
            <w:tcBorders>
              <w:top w:val="nil"/>
              <w:left w:val="nil"/>
              <w:bottom w:val="nil"/>
              <w:right w:val="nil"/>
            </w:tcBorders>
            <w:vAlign w:val="bottom"/>
          </w:tcPr>
          <w:p w14:paraId="22C17EF8" w14:textId="77777777" w:rsidR="00AF2884" w:rsidRPr="008E2886" w:rsidRDefault="00AF2884" w:rsidP="00AF2884">
            <w:pPr>
              <w:pStyle w:val="TableText"/>
              <w:tabs>
                <w:tab w:val="left" w:pos="3306"/>
              </w:tabs>
              <w:jc w:val="center"/>
              <w:rPr>
                <w:rFonts w:cs="Calibri"/>
                <w:strike/>
              </w:rPr>
            </w:pPr>
          </w:p>
        </w:tc>
        <w:tc>
          <w:tcPr>
            <w:tcW w:w="709" w:type="dxa"/>
            <w:tcBorders>
              <w:top w:val="nil"/>
              <w:left w:val="nil"/>
              <w:bottom w:val="nil"/>
              <w:right w:val="nil"/>
            </w:tcBorders>
            <w:shd w:val="clear" w:color="auto" w:fill="auto"/>
            <w:vAlign w:val="bottom"/>
          </w:tcPr>
          <w:p w14:paraId="7430AEE1"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32E4B920"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0AB1F630" w14:textId="7CF089D5"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83E3A12"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3646ABF1"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503F0980" w14:textId="77777777" w:rsidR="00AF2884" w:rsidRPr="008E2886" w:rsidRDefault="00AF2884" w:rsidP="00AF2884">
            <w:pPr>
              <w:pStyle w:val="TableText"/>
              <w:tabs>
                <w:tab w:val="left" w:pos="3306"/>
              </w:tabs>
              <w:jc w:val="right"/>
              <w:rPr>
                <w:rFonts w:cs="Calibri"/>
              </w:rPr>
            </w:pPr>
          </w:p>
        </w:tc>
      </w:tr>
      <w:tr w:rsidR="00AF2884" w:rsidRPr="00CF7E1B" w14:paraId="2A3297BD" w14:textId="77777777" w:rsidTr="004D1EC6">
        <w:trPr>
          <w:cantSplit/>
          <w:trHeight w:val="20"/>
        </w:trPr>
        <w:tc>
          <w:tcPr>
            <w:tcW w:w="1476" w:type="dxa"/>
            <w:tcBorders>
              <w:top w:val="nil"/>
              <w:left w:val="single" w:sz="2" w:space="0" w:color="auto"/>
              <w:bottom w:val="nil"/>
              <w:right w:val="single" w:sz="2" w:space="0" w:color="auto"/>
            </w:tcBorders>
          </w:tcPr>
          <w:p w14:paraId="7C31D031" w14:textId="77777777" w:rsidR="00AF2884" w:rsidRPr="008E2886" w:rsidRDefault="00AF2884" w:rsidP="00AF2884">
            <w:pPr>
              <w:pStyle w:val="TableReference"/>
              <w:tabs>
                <w:tab w:val="left" w:pos="3306"/>
              </w:tabs>
              <w:spacing w:before="60"/>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1E0CE8AE" w14:textId="77777777" w:rsidR="00AF2884" w:rsidRPr="008E2886" w:rsidRDefault="00AF2884" w:rsidP="00AF2884">
            <w:pPr>
              <w:tabs>
                <w:tab w:val="left" w:pos="3306"/>
              </w:tabs>
              <w:spacing w:before="60" w:after="60"/>
              <w:rPr>
                <w:rFonts w:cs="Calibri"/>
                <w:sz w:val="18"/>
              </w:rPr>
            </w:pPr>
            <w:r w:rsidRPr="008E2886">
              <w:rPr>
                <w:rFonts w:cs="Calibri"/>
                <w:sz w:val="18"/>
              </w:rPr>
              <w:t>Net Assets transferred in as part of an Administrative Restructure</w:t>
            </w:r>
          </w:p>
        </w:tc>
        <w:tc>
          <w:tcPr>
            <w:tcW w:w="708" w:type="dxa"/>
            <w:tcBorders>
              <w:top w:val="nil"/>
              <w:left w:val="nil"/>
              <w:bottom w:val="nil"/>
              <w:right w:val="nil"/>
            </w:tcBorders>
          </w:tcPr>
          <w:p w14:paraId="70471EDE" w14:textId="7BAACB96" w:rsidR="00AF2884" w:rsidRPr="008E2886" w:rsidRDefault="00DA3B1E" w:rsidP="00491C20">
            <w:pPr>
              <w:pStyle w:val="TableText"/>
              <w:tabs>
                <w:tab w:val="left" w:pos="3306"/>
              </w:tabs>
              <w:jc w:val="center"/>
              <w:rPr>
                <w:rFonts w:cs="Calibri"/>
                <w:strike/>
              </w:rPr>
            </w:pPr>
            <w:r w:rsidRPr="008E2886">
              <w:rPr>
                <w:rFonts w:cs="Calibri"/>
              </w:rPr>
              <w:t>30</w:t>
            </w:r>
          </w:p>
        </w:tc>
        <w:tc>
          <w:tcPr>
            <w:tcW w:w="709" w:type="dxa"/>
            <w:tcBorders>
              <w:top w:val="nil"/>
              <w:left w:val="nil"/>
              <w:bottom w:val="nil"/>
              <w:right w:val="nil"/>
            </w:tcBorders>
            <w:shd w:val="clear" w:color="auto" w:fill="auto"/>
            <w:vAlign w:val="bottom"/>
          </w:tcPr>
          <w:p w14:paraId="73782BAC" w14:textId="77777777" w:rsidR="00AF2884" w:rsidRPr="008E2886" w:rsidRDefault="00AF2884" w:rsidP="00AF2884">
            <w:pPr>
              <w:pStyle w:val="TableText"/>
              <w:tabs>
                <w:tab w:val="left" w:pos="3306"/>
              </w:tabs>
              <w:jc w:val="right"/>
              <w:rPr>
                <w:rFonts w:cs="Calibri"/>
              </w:rPr>
            </w:pPr>
          </w:p>
        </w:tc>
        <w:tc>
          <w:tcPr>
            <w:tcW w:w="1278" w:type="dxa"/>
            <w:tcBorders>
              <w:top w:val="nil"/>
              <w:left w:val="nil"/>
              <w:bottom w:val="nil"/>
              <w:right w:val="nil"/>
            </w:tcBorders>
          </w:tcPr>
          <w:p w14:paraId="654A3A44" w14:textId="77777777" w:rsidR="00AF2884" w:rsidRPr="008E2886" w:rsidRDefault="00AF2884" w:rsidP="00AF2884">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4305D98" w14:textId="0B9EC723" w:rsidR="00AF2884" w:rsidRPr="008E2886" w:rsidRDefault="00AF2884" w:rsidP="00AF2884">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E8370A7" w14:textId="77777777" w:rsidR="00AF2884" w:rsidRPr="008E2886" w:rsidRDefault="00AF2884" w:rsidP="00AF2884">
            <w:pPr>
              <w:pStyle w:val="TableText"/>
              <w:tabs>
                <w:tab w:val="left" w:pos="3306"/>
              </w:tabs>
              <w:jc w:val="right"/>
              <w:rPr>
                <w:rFonts w:cs="Calibri"/>
              </w:rPr>
            </w:pPr>
          </w:p>
        </w:tc>
        <w:tc>
          <w:tcPr>
            <w:tcW w:w="851" w:type="dxa"/>
            <w:tcBorders>
              <w:top w:val="nil"/>
              <w:left w:val="nil"/>
              <w:bottom w:val="nil"/>
              <w:right w:val="nil"/>
            </w:tcBorders>
            <w:shd w:val="clear" w:color="auto" w:fill="auto"/>
            <w:vAlign w:val="bottom"/>
          </w:tcPr>
          <w:p w14:paraId="038587BF" w14:textId="77777777" w:rsidR="00AF2884" w:rsidRPr="008E2886" w:rsidRDefault="00AF2884" w:rsidP="00AF2884">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4B54C08" w14:textId="77777777" w:rsidR="00AF2884" w:rsidRPr="008E2886" w:rsidRDefault="00AF2884" w:rsidP="00AF2884">
            <w:pPr>
              <w:pStyle w:val="TableText"/>
              <w:tabs>
                <w:tab w:val="left" w:pos="3306"/>
              </w:tabs>
              <w:jc w:val="right"/>
              <w:rPr>
                <w:rFonts w:cs="Calibri"/>
              </w:rPr>
            </w:pPr>
          </w:p>
        </w:tc>
      </w:tr>
      <w:tr w:rsidR="00AF2884" w:rsidRPr="00CF7E1B" w14:paraId="4F570C6C" w14:textId="77777777" w:rsidTr="004D1EC6">
        <w:trPr>
          <w:cantSplit/>
          <w:trHeight w:val="20"/>
        </w:trPr>
        <w:tc>
          <w:tcPr>
            <w:tcW w:w="1476" w:type="dxa"/>
            <w:tcBorders>
              <w:top w:val="nil"/>
              <w:left w:val="single" w:sz="2" w:space="0" w:color="auto"/>
              <w:bottom w:val="nil"/>
              <w:right w:val="single" w:sz="2" w:space="0" w:color="auto"/>
            </w:tcBorders>
          </w:tcPr>
          <w:p w14:paraId="71F3F66A" w14:textId="77777777" w:rsidR="00AF2884" w:rsidRPr="008E2886" w:rsidRDefault="00AF2884" w:rsidP="00AF2884">
            <w:pPr>
              <w:pStyle w:val="TableReference"/>
              <w:tabs>
                <w:tab w:val="left" w:pos="3306"/>
              </w:tabs>
              <w:spacing w:before="60"/>
              <w:rPr>
                <w:rFonts w:cs="Calibri"/>
                <w:color w:val="7030A0"/>
                <w:sz w:val="14"/>
                <w:highlight w:val="cyan"/>
              </w:rPr>
            </w:pPr>
            <w:r w:rsidRPr="008E2886">
              <w:rPr>
                <w:rFonts w:cs="Calibri"/>
                <w:color w:val="7030A0"/>
                <w:sz w:val="14"/>
              </w:rPr>
              <w:t>AASB 101.106(d)(iii)</w:t>
            </w:r>
          </w:p>
        </w:tc>
        <w:tc>
          <w:tcPr>
            <w:tcW w:w="2410" w:type="dxa"/>
            <w:tcBorders>
              <w:top w:val="nil"/>
              <w:left w:val="single" w:sz="2" w:space="0" w:color="auto"/>
              <w:bottom w:val="nil"/>
              <w:right w:val="nil"/>
            </w:tcBorders>
          </w:tcPr>
          <w:p w14:paraId="374128A9" w14:textId="77777777" w:rsidR="00AF2884" w:rsidRPr="008E2886" w:rsidRDefault="00AF2884" w:rsidP="00AF2884">
            <w:pPr>
              <w:tabs>
                <w:tab w:val="left" w:pos="3306"/>
              </w:tabs>
              <w:spacing w:before="60" w:after="60"/>
              <w:rPr>
                <w:rFonts w:cs="Calibri"/>
                <w:sz w:val="18"/>
                <w:highlight w:val="cyan"/>
              </w:rPr>
            </w:pPr>
            <w:r w:rsidRPr="008E2886">
              <w:rPr>
                <w:rFonts w:cs="Calibri"/>
                <w:sz w:val="18"/>
              </w:rPr>
              <w:t>Net Assets transferred out as part of an Administrative Restructure</w:t>
            </w:r>
          </w:p>
        </w:tc>
        <w:tc>
          <w:tcPr>
            <w:tcW w:w="708" w:type="dxa"/>
            <w:tcBorders>
              <w:top w:val="nil"/>
              <w:left w:val="nil"/>
              <w:bottom w:val="nil"/>
              <w:right w:val="nil"/>
            </w:tcBorders>
          </w:tcPr>
          <w:p w14:paraId="59C1A174" w14:textId="2E2BFBEA" w:rsidR="00AF2884" w:rsidRPr="008E2886" w:rsidRDefault="00DA3B1E" w:rsidP="00491C20">
            <w:pPr>
              <w:pStyle w:val="TableText"/>
              <w:tabs>
                <w:tab w:val="left" w:pos="3306"/>
              </w:tabs>
              <w:jc w:val="center"/>
              <w:rPr>
                <w:rFonts w:cs="Calibri"/>
                <w:strike/>
                <w:highlight w:val="cyan"/>
              </w:rPr>
            </w:pPr>
            <w:r w:rsidRPr="008E2886">
              <w:rPr>
                <w:rFonts w:cs="Calibri"/>
              </w:rPr>
              <w:t>30</w:t>
            </w:r>
          </w:p>
        </w:tc>
        <w:tc>
          <w:tcPr>
            <w:tcW w:w="709" w:type="dxa"/>
            <w:tcBorders>
              <w:top w:val="nil"/>
              <w:left w:val="nil"/>
              <w:bottom w:val="nil"/>
              <w:right w:val="nil"/>
            </w:tcBorders>
            <w:shd w:val="clear" w:color="auto" w:fill="auto"/>
            <w:vAlign w:val="bottom"/>
          </w:tcPr>
          <w:p w14:paraId="745BB29C" w14:textId="77777777" w:rsidR="00AF2884" w:rsidRPr="008E2886" w:rsidRDefault="00AF2884" w:rsidP="00AF2884">
            <w:pPr>
              <w:pStyle w:val="TableText"/>
              <w:tabs>
                <w:tab w:val="left" w:pos="3306"/>
              </w:tabs>
              <w:jc w:val="right"/>
              <w:rPr>
                <w:rFonts w:cs="Calibri"/>
                <w:highlight w:val="cyan"/>
              </w:rPr>
            </w:pPr>
          </w:p>
        </w:tc>
        <w:tc>
          <w:tcPr>
            <w:tcW w:w="1278" w:type="dxa"/>
            <w:tcBorders>
              <w:top w:val="nil"/>
              <w:left w:val="nil"/>
              <w:bottom w:val="nil"/>
              <w:right w:val="nil"/>
            </w:tcBorders>
          </w:tcPr>
          <w:p w14:paraId="7C20A39B" w14:textId="77777777" w:rsidR="00AF2884" w:rsidRPr="008E2886" w:rsidRDefault="00AF2884" w:rsidP="00AF2884">
            <w:pPr>
              <w:pStyle w:val="TableText"/>
              <w:tabs>
                <w:tab w:val="left" w:pos="3306"/>
              </w:tabs>
              <w:jc w:val="right"/>
              <w:rPr>
                <w:rFonts w:cs="Calibri"/>
                <w:highlight w:val="cyan"/>
              </w:rPr>
            </w:pPr>
          </w:p>
        </w:tc>
        <w:tc>
          <w:tcPr>
            <w:tcW w:w="1134" w:type="dxa"/>
            <w:tcBorders>
              <w:top w:val="nil"/>
              <w:left w:val="nil"/>
              <w:bottom w:val="nil"/>
              <w:right w:val="nil"/>
            </w:tcBorders>
            <w:shd w:val="clear" w:color="auto" w:fill="auto"/>
            <w:vAlign w:val="bottom"/>
          </w:tcPr>
          <w:p w14:paraId="7CDFF1D8" w14:textId="6BAA3784" w:rsidR="00AF2884" w:rsidRPr="008E2886" w:rsidRDefault="00AF2884" w:rsidP="00AF2884">
            <w:pPr>
              <w:pStyle w:val="TableText"/>
              <w:tabs>
                <w:tab w:val="left" w:pos="3306"/>
              </w:tabs>
              <w:jc w:val="right"/>
              <w:rPr>
                <w:rFonts w:cs="Calibri"/>
                <w:highlight w:val="cyan"/>
              </w:rPr>
            </w:pPr>
          </w:p>
        </w:tc>
        <w:tc>
          <w:tcPr>
            <w:tcW w:w="992" w:type="dxa"/>
            <w:tcBorders>
              <w:top w:val="nil"/>
              <w:left w:val="nil"/>
              <w:bottom w:val="nil"/>
              <w:right w:val="nil"/>
            </w:tcBorders>
            <w:shd w:val="clear" w:color="auto" w:fill="auto"/>
            <w:vAlign w:val="bottom"/>
          </w:tcPr>
          <w:p w14:paraId="364DF051" w14:textId="77777777" w:rsidR="00AF2884" w:rsidRPr="008E2886" w:rsidRDefault="00AF2884" w:rsidP="00AF2884">
            <w:pPr>
              <w:pStyle w:val="TableText"/>
              <w:tabs>
                <w:tab w:val="left" w:pos="3306"/>
              </w:tabs>
              <w:jc w:val="right"/>
              <w:rPr>
                <w:rFonts w:cs="Calibri"/>
                <w:highlight w:val="cyan"/>
              </w:rPr>
            </w:pPr>
          </w:p>
        </w:tc>
        <w:tc>
          <w:tcPr>
            <w:tcW w:w="851" w:type="dxa"/>
            <w:tcBorders>
              <w:top w:val="nil"/>
              <w:left w:val="nil"/>
              <w:bottom w:val="nil"/>
              <w:right w:val="nil"/>
            </w:tcBorders>
            <w:shd w:val="clear" w:color="auto" w:fill="auto"/>
            <w:vAlign w:val="bottom"/>
          </w:tcPr>
          <w:p w14:paraId="67092F36" w14:textId="77777777" w:rsidR="00AF2884" w:rsidRPr="008E2886" w:rsidRDefault="00AF2884" w:rsidP="00AF2884">
            <w:pPr>
              <w:pStyle w:val="TableText"/>
              <w:tabs>
                <w:tab w:val="left" w:pos="3306"/>
              </w:tabs>
              <w:jc w:val="right"/>
              <w:rPr>
                <w:rFonts w:cs="Calibri"/>
                <w:highlight w:val="cyan"/>
              </w:rPr>
            </w:pPr>
          </w:p>
        </w:tc>
        <w:tc>
          <w:tcPr>
            <w:tcW w:w="850" w:type="dxa"/>
            <w:tcBorders>
              <w:top w:val="nil"/>
              <w:left w:val="nil"/>
              <w:bottom w:val="nil"/>
              <w:right w:val="nil"/>
            </w:tcBorders>
            <w:shd w:val="clear" w:color="auto" w:fill="auto"/>
            <w:vAlign w:val="bottom"/>
          </w:tcPr>
          <w:p w14:paraId="66651803" w14:textId="77777777" w:rsidR="00AF2884" w:rsidRPr="008E2886" w:rsidRDefault="00AF2884" w:rsidP="00AF2884">
            <w:pPr>
              <w:pStyle w:val="TableText"/>
              <w:tabs>
                <w:tab w:val="left" w:pos="3306"/>
              </w:tabs>
              <w:jc w:val="right"/>
              <w:rPr>
                <w:rFonts w:cs="Calibri"/>
                <w:highlight w:val="cyan"/>
              </w:rPr>
            </w:pPr>
          </w:p>
        </w:tc>
      </w:tr>
      <w:tr w:rsidR="00AF2884" w:rsidRPr="00CF7E1B" w14:paraId="6060FF11" w14:textId="77777777" w:rsidTr="004D1EC6">
        <w:trPr>
          <w:cantSplit/>
          <w:trHeight w:val="274"/>
        </w:trPr>
        <w:tc>
          <w:tcPr>
            <w:tcW w:w="1476" w:type="dxa"/>
            <w:tcBorders>
              <w:top w:val="nil"/>
              <w:left w:val="single" w:sz="2" w:space="0" w:color="auto"/>
              <w:bottom w:val="nil"/>
              <w:right w:val="single" w:sz="2" w:space="0" w:color="auto"/>
            </w:tcBorders>
          </w:tcPr>
          <w:p w14:paraId="59846333" w14:textId="77777777" w:rsidR="00AF2884" w:rsidRPr="008E2886" w:rsidRDefault="00AF2884" w:rsidP="00AF2884">
            <w:pPr>
              <w:pStyle w:val="TableReference"/>
              <w:tabs>
                <w:tab w:val="left" w:pos="3306"/>
              </w:tabs>
              <w:rPr>
                <w:rFonts w:cs="Calibri"/>
                <w:color w:val="7030A0"/>
                <w:sz w:val="14"/>
              </w:rPr>
            </w:pPr>
            <w:r w:rsidRPr="008E2886">
              <w:rPr>
                <w:rFonts w:cs="Calibri"/>
                <w:color w:val="7030A0"/>
                <w:sz w:val="14"/>
              </w:rPr>
              <w:t>AASB 101.107</w:t>
            </w:r>
          </w:p>
          <w:p w14:paraId="46DE7ECF" w14:textId="77777777" w:rsidR="00AF2884" w:rsidRPr="008E2886" w:rsidRDefault="00AF2884" w:rsidP="00AF2884">
            <w:pPr>
              <w:pStyle w:val="TableReference"/>
              <w:tabs>
                <w:tab w:val="left" w:pos="3306"/>
              </w:tabs>
              <w:rPr>
                <w:rFonts w:cs="Calibri"/>
                <w:color w:val="7030A0"/>
                <w:sz w:val="14"/>
              </w:rPr>
            </w:pPr>
            <w:r w:rsidRPr="008E2886">
              <w:rPr>
                <w:rFonts w:cs="Calibri"/>
                <w:color w:val="7030A0"/>
                <w:sz w:val="14"/>
              </w:rPr>
              <w:t>AASB 101.106(d)(iii)</w:t>
            </w:r>
          </w:p>
        </w:tc>
        <w:tc>
          <w:tcPr>
            <w:tcW w:w="2410" w:type="dxa"/>
            <w:tcBorders>
              <w:top w:val="nil"/>
              <w:left w:val="single" w:sz="2" w:space="0" w:color="auto"/>
              <w:bottom w:val="nil"/>
              <w:right w:val="nil"/>
            </w:tcBorders>
          </w:tcPr>
          <w:p w14:paraId="60B39886" w14:textId="2EAF31C5" w:rsidR="00AF2884" w:rsidRPr="008E2886" w:rsidRDefault="00AF2884" w:rsidP="00AF2884">
            <w:pPr>
              <w:tabs>
                <w:tab w:val="left" w:pos="3306"/>
              </w:tabs>
              <w:spacing w:before="60" w:after="60"/>
              <w:rPr>
                <w:rFonts w:cs="Calibri"/>
                <w:sz w:val="18"/>
              </w:rPr>
            </w:pPr>
            <w:r w:rsidRPr="009F31C7">
              <w:rPr>
                <w:rFonts w:cs="Calibri"/>
                <w:color w:val="2E74B5" w:themeColor="accent1" w:themeShade="BF"/>
                <w:sz w:val="18"/>
                <w:szCs w:val="18"/>
              </w:rPr>
              <w:t>Dividend Approved</w:t>
            </w:r>
          </w:p>
        </w:tc>
        <w:tc>
          <w:tcPr>
            <w:tcW w:w="708" w:type="dxa"/>
            <w:tcBorders>
              <w:top w:val="nil"/>
              <w:left w:val="nil"/>
              <w:bottom w:val="nil"/>
              <w:right w:val="nil"/>
            </w:tcBorders>
            <w:vAlign w:val="bottom"/>
          </w:tcPr>
          <w:p w14:paraId="64EF37E6" w14:textId="77777777" w:rsidR="00AF2884" w:rsidRPr="008E2886" w:rsidRDefault="00AF2884" w:rsidP="00AF2884">
            <w:pPr>
              <w:pStyle w:val="TableText"/>
              <w:tabs>
                <w:tab w:val="left" w:pos="3306"/>
              </w:tabs>
              <w:spacing w:before="0"/>
              <w:jc w:val="center"/>
              <w:rPr>
                <w:rFonts w:cs="Calibri"/>
                <w:strike/>
              </w:rPr>
            </w:pPr>
          </w:p>
        </w:tc>
        <w:tc>
          <w:tcPr>
            <w:tcW w:w="709" w:type="dxa"/>
            <w:tcBorders>
              <w:top w:val="nil"/>
              <w:left w:val="nil"/>
              <w:bottom w:val="single" w:sz="4" w:space="0" w:color="auto"/>
              <w:right w:val="nil"/>
            </w:tcBorders>
            <w:shd w:val="clear" w:color="auto" w:fill="auto"/>
            <w:vAlign w:val="bottom"/>
          </w:tcPr>
          <w:p w14:paraId="48406FFC" w14:textId="77777777" w:rsidR="00AF2884" w:rsidRPr="008E2886" w:rsidRDefault="00AF2884" w:rsidP="00AF2884">
            <w:pPr>
              <w:pStyle w:val="TableText"/>
              <w:tabs>
                <w:tab w:val="left" w:pos="3306"/>
              </w:tabs>
              <w:spacing w:before="0"/>
              <w:jc w:val="right"/>
              <w:rPr>
                <w:rFonts w:cs="Calibri"/>
              </w:rPr>
            </w:pPr>
          </w:p>
        </w:tc>
        <w:tc>
          <w:tcPr>
            <w:tcW w:w="1278" w:type="dxa"/>
            <w:tcBorders>
              <w:top w:val="nil"/>
              <w:left w:val="nil"/>
              <w:bottom w:val="single" w:sz="4" w:space="0" w:color="auto"/>
              <w:right w:val="nil"/>
            </w:tcBorders>
          </w:tcPr>
          <w:p w14:paraId="04B3EB22" w14:textId="77777777" w:rsidR="00AF2884" w:rsidRPr="008E2886" w:rsidRDefault="00AF2884" w:rsidP="00AF2884">
            <w:pPr>
              <w:pStyle w:val="TableText"/>
              <w:tabs>
                <w:tab w:val="left" w:pos="3306"/>
              </w:tabs>
              <w:spacing w:before="0"/>
              <w:jc w:val="right"/>
              <w:rPr>
                <w:rFonts w:cs="Calibri"/>
              </w:rPr>
            </w:pPr>
          </w:p>
        </w:tc>
        <w:tc>
          <w:tcPr>
            <w:tcW w:w="1134" w:type="dxa"/>
            <w:tcBorders>
              <w:top w:val="nil"/>
              <w:left w:val="nil"/>
              <w:bottom w:val="single" w:sz="4" w:space="0" w:color="auto"/>
              <w:right w:val="nil"/>
            </w:tcBorders>
            <w:shd w:val="clear" w:color="auto" w:fill="auto"/>
            <w:vAlign w:val="bottom"/>
          </w:tcPr>
          <w:p w14:paraId="6B14F2EE" w14:textId="0B317DCD" w:rsidR="00AF2884" w:rsidRPr="008E2886" w:rsidRDefault="00AF2884" w:rsidP="00AF2884">
            <w:pPr>
              <w:pStyle w:val="TableText"/>
              <w:tabs>
                <w:tab w:val="left" w:pos="3306"/>
              </w:tabs>
              <w:spacing w:before="0"/>
              <w:jc w:val="right"/>
              <w:rPr>
                <w:rFonts w:cs="Calibri"/>
              </w:rPr>
            </w:pPr>
          </w:p>
        </w:tc>
        <w:tc>
          <w:tcPr>
            <w:tcW w:w="992" w:type="dxa"/>
            <w:tcBorders>
              <w:top w:val="nil"/>
              <w:left w:val="nil"/>
              <w:bottom w:val="single" w:sz="4" w:space="0" w:color="auto"/>
              <w:right w:val="nil"/>
            </w:tcBorders>
            <w:shd w:val="clear" w:color="auto" w:fill="auto"/>
            <w:vAlign w:val="bottom"/>
          </w:tcPr>
          <w:p w14:paraId="1DB8933E" w14:textId="77777777" w:rsidR="00AF2884" w:rsidRPr="008E2886" w:rsidRDefault="00AF2884" w:rsidP="00AF2884">
            <w:pPr>
              <w:pStyle w:val="TableText"/>
              <w:tabs>
                <w:tab w:val="left" w:pos="3306"/>
              </w:tabs>
              <w:spacing w:before="0"/>
              <w:jc w:val="right"/>
              <w:rPr>
                <w:rFonts w:cs="Calibri"/>
              </w:rPr>
            </w:pPr>
          </w:p>
        </w:tc>
        <w:tc>
          <w:tcPr>
            <w:tcW w:w="851" w:type="dxa"/>
            <w:tcBorders>
              <w:top w:val="nil"/>
              <w:left w:val="nil"/>
              <w:bottom w:val="single" w:sz="4" w:space="0" w:color="auto"/>
              <w:right w:val="nil"/>
            </w:tcBorders>
            <w:shd w:val="clear" w:color="auto" w:fill="auto"/>
            <w:vAlign w:val="bottom"/>
          </w:tcPr>
          <w:p w14:paraId="4CF571E3" w14:textId="77777777" w:rsidR="00AF2884" w:rsidRPr="008E2886" w:rsidRDefault="00AF2884" w:rsidP="00AF2884">
            <w:pPr>
              <w:pStyle w:val="TableText"/>
              <w:tabs>
                <w:tab w:val="left" w:pos="3306"/>
              </w:tabs>
              <w:spacing w:before="0"/>
              <w:jc w:val="right"/>
              <w:rPr>
                <w:rFonts w:cs="Calibri"/>
              </w:rPr>
            </w:pPr>
          </w:p>
        </w:tc>
        <w:tc>
          <w:tcPr>
            <w:tcW w:w="850" w:type="dxa"/>
            <w:tcBorders>
              <w:top w:val="nil"/>
              <w:left w:val="nil"/>
              <w:bottom w:val="single" w:sz="4" w:space="0" w:color="auto"/>
              <w:right w:val="nil"/>
            </w:tcBorders>
            <w:shd w:val="clear" w:color="auto" w:fill="auto"/>
            <w:vAlign w:val="bottom"/>
          </w:tcPr>
          <w:p w14:paraId="7F1EEC6D" w14:textId="77777777" w:rsidR="00AF2884" w:rsidRPr="008E2886" w:rsidRDefault="00AF2884" w:rsidP="00AF2884">
            <w:pPr>
              <w:pStyle w:val="TableText"/>
              <w:tabs>
                <w:tab w:val="left" w:pos="3306"/>
              </w:tabs>
              <w:spacing w:before="0"/>
              <w:jc w:val="right"/>
              <w:rPr>
                <w:rFonts w:cs="Calibri"/>
              </w:rPr>
            </w:pPr>
          </w:p>
        </w:tc>
      </w:tr>
      <w:tr w:rsidR="00AF2884" w:rsidRPr="00CF7E1B" w14:paraId="365BF4B8" w14:textId="77777777" w:rsidTr="004D1EC6">
        <w:trPr>
          <w:cantSplit/>
          <w:trHeight w:val="383"/>
        </w:trPr>
        <w:tc>
          <w:tcPr>
            <w:tcW w:w="1476" w:type="dxa"/>
            <w:tcBorders>
              <w:top w:val="nil"/>
              <w:left w:val="single" w:sz="2" w:space="0" w:color="auto"/>
              <w:bottom w:val="nil"/>
              <w:right w:val="single" w:sz="2" w:space="0" w:color="auto"/>
            </w:tcBorders>
          </w:tcPr>
          <w:p w14:paraId="0426178E" w14:textId="77777777" w:rsidR="00AF2884" w:rsidRPr="008E2886" w:rsidRDefault="00AF2884" w:rsidP="00AF2884">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tcPr>
          <w:p w14:paraId="44625709" w14:textId="77777777" w:rsidR="00AF2884" w:rsidRPr="008E2886" w:rsidRDefault="00AF2884" w:rsidP="00AF2884">
            <w:pPr>
              <w:pStyle w:val="TableReference"/>
              <w:rPr>
                <w:rFonts w:cs="Calibri"/>
                <w:color w:val="auto"/>
                <w:sz w:val="18"/>
                <w:szCs w:val="18"/>
              </w:rPr>
            </w:pPr>
            <w:r w:rsidRPr="008E2886">
              <w:rPr>
                <w:rFonts w:cs="Calibri"/>
                <w:b/>
                <w:iCs/>
                <w:color w:val="auto"/>
                <w:sz w:val="18"/>
                <w:szCs w:val="16"/>
              </w:rPr>
              <w:t>Total Transactions Involving Owners Affecting Accumulated Funds</w:t>
            </w:r>
          </w:p>
        </w:tc>
        <w:tc>
          <w:tcPr>
            <w:tcW w:w="708" w:type="dxa"/>
            <w:tcBorders>
              <w:top w:val="nil"/>
              <w:left w:val="nil"/>
              <w:bottom w:val="nil"/>
              <w:right w:val="nil"/>
            </w:tcBorders>
            <w:vAlign w:val="bottom"/>
          </w:tcPr>
          <w:p w14:paraId="0BB1D3CE" w14:textId="77777777" w:rsidR="00AF2884" w:rsidRPr="008E2886" w:rsidRDefault="00AF2884" w:rsidP="00AF2884">
            <w:pPr>
              <w:pStyle w:val="TableReference"/>
              <w:rPr>
                <w:rFonts w:cs="Calibri"/>
                <w:color w:val="auto"/>
              </w:rPr>
            </w:pPr>
          </w:p>
        </w:tc>
        <w:tc>
          <w:tcPr>
            <w:tcW w:w="709" w:type="dxa"/>
            <w:tcBorders>
              <w:top w:val="single" w:sz="4" w:space="0" w:color="auto"/>
              <w:left w:val="nil"/>
              <w:bottom w:val="single" w:sz="4" w:space="0" w:color="auto"/>
              <w:right w:val="nil"/>
            </w:tcBorders>
            <w:shd w:val="clear" w:color="auto" w:fill="auto"/>
            <w:vAlign w:val="bottom"/>
          </w:tcPr>
          <w:p w14:paraId="40175004" w14:textId="77777777" w:rsidR="00AF2884" w:rsidRPr="008E2886" w:rsidRDefault="00AF2884" w:rsidP="00AF2884">
            <w:pPr>
              <w:pStyle w:val="TableText"/>
              <w:tabs>
                <w:tab w:val="left" w:pos="3306"/>
              </w:tabs>
              <w:spacing w:before="0"/>
              <w:jc w:val="right"/>
              <w:rPr>
                <w:rFonts w:cs="Calibri"/>
                <w:b/>
                <w:highlight w:val="cyan"/>
              </w:rPr>
            </w:pPr>
          </w:p>
        </w:tc>
        <w:tc>
          <w:tcPr>
            <w:tcW w:w="1278" w:type="dxa"/>
            <w:tcBorders>
              <w:top w:val="single" w:sz="4" w:space="0" w:color="auto"/>
              <w:left w:val="nil"/>
              <w:bottom w:val="single" w:sz="4" w:space="0" w:color="auto"/>
              <w:right w:val="nil"/>
            </w:tcBorders>
          </w:tcPr>
          <w:p w14:paraId="6CF5964D" w14:textId="77777777" w:rsidR="00AF2884" w:rsidRPr="008E2886" w:rsidRDefault="00AF2884" w:rsidP="00AF2884">
            <w:pPr>
              <w:pStyle w:val="TableText"/>
              <w:tabs>
                <w:tab w:val="left" w:pos="3306"/>
              </w:tabs>
              <w:spacing w:before="0"/>
              <w:jc w:val="right"/>
              <w:rPr>
                <w:rFonts w:cs="Calibri"/>
                <w:b/>
                <w:highlight w:val="cyan"/>
              </w:rPr>
            </w:pPr>
          </w:p>
        </w:tc>
        <w:tc>
          <w:tcPr>
            <w:tcW w:w="1134" w:type="dxa"/>
            <w:tcBorders>
              <w:top w:val="single" w:sz="4" w:space="0" w:color="auto"/>
              <w:left w:val="nil"/>
              <w:bottom w:val="single" w:sz="4" w:space="0" w:color="auto"/>
              <w:right w:val="nil"/>
            </w:tcBorders>
            <w:shd w:val="clear" w:color="auto" w:fill="auto"/>
            <w:vAlign w:val="bottom"/>
          </w:tcPr>
          <w:p w14:paraId="59657C8C" w14:textId="055019AC" w:rsidR="00AF2884" w:rsidRPr="008E2886" w:rsidRDefault="00AF2884" w:rsidP="00AF2884">
            <w:pPr>
              <w:pStyle w:val="TableText"/>
              <w:tabs>
                <w:tab w:val="left" w:pos="3306"/>
              </w:tabs>
              <w:spacing w:before="0"/>
              <w:jc w:val="right"/>
              <w:rPr>
                <w:rFonts w:cs="Calibri"/>
                <w:b/>
                <w:highlight w:val="cyan"/>
              </w:rPr>
            </w:pPr>
          </w:p>
        </w:tc>
        <w:tc>
          <w:tcPr>
            <w:tcW w:w="992" w:type="dxa"/>
            <w:tcBorders>
              <w:top w:val="single" w:sz="4" w:space="0" w:color="auto"/>
              <w:left w:val="nil"/>
              <w:bottom w:val="single" w:sz="4" w:space="0" w:color="auto"/>
              <w:right w:val="nil"/>
            </w:tcBorders>
            <w:shd w:val="clear" w:color="auto" w:fill="auto"/>
            <w:vAlign w:val="bottom"/>
          </w:tcPr>
          <w:p w14:paraId="2567F18F" w14:textId="77777777" w:rsidR="00AF2884" w:rsidRPr="008E2886" w:rsidRDefault="00AF2884" w:rsidP="00AF2884">
            <w:pPr>
              <w:pStyle w:val="TableText"/>
              <w:tabs>
                <w:tab w:val="left" w:pos="3306"/>
              </w:tabs>
              <w:spacing w:before="0"/>
              <w:jc w:val="right"/>
              <w:rPr>
                <w:rFonts w:cs="Calibri"/>
                <w:b/>
                <w:highlight w:val="cyan"/>
              </w:rPr>
            </w:pPr>
          </w:p>
        </w:tc>
        <w:tc>
          <w:tcPr>
            <w:tcW w:w="851" w:type="dxa"/>
            <w:tcBorders>
              <w:top w:val="single" w:sz="4" w:space="0" w:color="auto"/>
              <w:left w:val="nil"/>
              <w:bottom w:val="single" w:sz="4" w:space="0" w:color="auto"/>
              <w:right w:val="nil"/>
            </w:tcBorders>
            <w:shd w:val="clear" w:color="auto" w:fill="auto"/>
            <w:vAlign w:val="bottom"/>
          </w:tcPr>
          <w:p w14:paraId="1FAAC79A" w14:textId="77777777" w:rsidR="00AF2884" w:rsidRPr="008E2886" w:rsidRDefault="00AF2884" w:rsidP="00AF2884">
            <w:pPr>
              <w:pStyle w:val="TableText"/>
              <w:tabs>
                <w:tab w:val="left" w:pos="3306"/>
              </w:tabs>
              <w:spacing w:before="0"/>
              <w:jc w:val="right"/>
              <w:rPr>
                <w:rFonts w:cs="Calibri"/>
                <w:b/>
                <w:highlight w:val="cyan"/>
              </w:rPr>
            </w:pPr>
          </w:p>
        </w:tc>
        <w:tc>
          <w:tcPr>
            <w:tcW w:w="850" w:type="dxa"/>
            <w:tcBorders>
              <w:top w:val="single" w:sz="4" w:space="0" w:color="auto"/>
              <w:left w:val="nil"/>
              <w:bottom w:val="single" w:sz="4" w:space="0" w:color="auto"/>
              <w:right w:val="nil"/>
            </w:tcBorders>
            <w:shd w:val="clear" w:color="auto" w:fill="auto"/>
            <w:vAlign w:val="bottom"/>
          </w:tcPr>
          <w:p w14:paraId="75B831D0" w14:textId="77777777" w:rsidR="00AF2884" w:rsidRPr="008E2886" w:rsidRDefault="00AF2884" w:rsidP="00AF2884">
            <w:pPr>
              <w:pStyle w:val="TableText"/>
              <w:tabs>
                <w:tab w:val="left" w:pos="3306"/>
              </w:tabs>
              <w:spacing w:before="0"/>
              <w:jc w:val="right"/>
              <w:rPr>
                <w:rFonts w:cs="Calibri"/>
                <w:b/>
                <w:highlight w:val="cyan"/>
              </w:rPr>
            </w:pPr>
          </w:p>
        </w:tc>
      </w:tr>
      <w:tr w:rsidR="00AF2884" w:rsidRPr="00CF7E1B" w14:paraId="2A27A2F6" w14:textId="77777777" w:rsidTr="004D1EC6">
        <w:trPr>
          <w:cantSplit/>
          <w:trHeight w:val="20"/>
        </w:trPr>
        <w:tc>
          <w:tcPr>
            <w:tcW w:w="1476" w:type="dxa"/>
            <w:tcBorders>
              <w:top w:val="nil"/>
              <w:left w:val="single" w:sz="2" w:space="0" w:color="auto"/>
              <w:bottom w:val="nil"/>
              <w:right w:val="single" w:sz="2" w:space="0" w:color="auto"/>
            </w:tcBorders>
          </w:tcPr>
          <w:p w14:paraId="00C80FF0" w14:textId="77777777" w:rsidR="00AF2884" w:rsidRPr="008E2886" w:rsidRDefault="00AF2884" w:rsidP="00AF2884">
            <w:pPr>
              <w:pStyle w:val="TableReference"/>
              <w:tabs>
                <w:tab w:val="left" w:pos="3306"/>
              </w:tabs>
              <w:spacing w:before="40"/>
              <w:rPr>
                <w:rFonts w:cs="Calibri"/>
                <w:color w:val="7030A0"/>
                <w:sz w:val="14"/>
              </w:rPr>
            </w:pPr>
          </w:p>
        </w:tc>
        <w:tc>
          <w:tcPr>
            <w:tcW w:w="2410" w:type="dxa"/>
            <w:tcBorders>
              <w:top w:val="nil"/>
              <w:left w:val="single" w:sz="2" w:space="0" w:color="auto"/>
              <w:bottom w:val="nil"/>
              <w:right w:val="nil"/>
            </w:tcBorders>
            <w:vAlign w:val="bottom"/>
          </w:tcPr>
          <w:p w14:paraId="16181C8B" w14:textId="77777777" w:rsidR="00AF2884" w:rsidRPr="008E2886" w:rsidRDefault="00AF2884" w:rsidP="00AF2884">
            <w:pPr>
              <w:pStyle w:val="TableText"/>
              <w:tabs>
                <w:tab w:val="left" w:pos="3306"/>
              </w:tabs>
              <w:rPr>
                <w:rFonts w:cs="Calibri"/>
                <w:b/>
                <w:bCs/>
                <w:highlight w:val="cyan"/>
              </w:rPr>
            </w:pPr>
          </w:p>
        </w:tc>
        <w:tc>
          <w:tcPr>
            <w:tcW w:w="708" w:type="dxa"/>
            <w:tcBorders>
              <w:top w:val="nil"/>
              <w:left w:val="nil"/>
              <w:bottom w:val="nil"/>
              <w:right w:val="nil"/>
            </w:tcBorders>
            <w:vAlign w:val="bottom"/>
          </w:tcPr>
          <w:p w14:paraId="360BB65F" w14:textId="77777777" w:rsidR="00AF2884" w:rsidRPr="008E2886" w:rsidRDefault="00AF2884" w:rsidP="00AF2884">
            <w:pPr>
              <w:pStyle w:val="TableText"/>
              <w:tabs>
                <w:tab w:val="left" w:pos="3306"/>
              </w:tabs>
              <w:jc w:val="center"/>
              <w:rPr>
                <w:rFonts w:cs="Calibri"/>
              </w:rPr>
            </w:pPr>
          </w:p>
        </w:tc>
        <w:tc>
          <w:tcPr>
            <w:tcW w:w="709" w:type="dxa"/>
            <w:tcBorders>
              <w:top w:val="single" w:sz="4" w:space="0" w:color="auto"/>
              <w:left w:val="nil"/>
              <w:bottom w:val="single" w:sz="4" w:space="0" w:color="auto"/>
              <w:right w:val="nil"/>
            </w:tcBorders>
            <w:shd w:val="clear" w:color="auto" w:fill="auto"/>
            <w:vAlign w:val="bottom"/>
          </w:tcPr>
          <w:p w14:paraId="7A60307D" w14:textId="77777777" w:rsidR="00AF2884" w:rsidRPr="008E2886" w:rsidRDefault="00AF2884" w:rsidP="00AF2884">
            <w:pPr>
              <w:pStyle w:val="TableText"/>
              <w:tabs>
                <w:tab w:val="left" w:pos="3306"/>
              </w:tabs>
              <w:jc w:val="right"/>
              <w:rPr>
                <w:rFonts w:cs="Calibri"/>
                <w:b/>
                <w:bCs/>
                <w:highlight w:val="cyan"/>
              </w:rPr>
            </w:pPr>
          </w:p>
        </w:tc>
        <w:tc>
          <w:tcPr>
            <w:tcW w:w="1278" w:type="dxa"/>
            <w:tcBorders>
              <w:top w:val="single" w:sz="4" w:space="0" w:color="auto"/>
              <w:left w:val="nil"/>
              <w:bottom w:val="single" w:sz="4" w:space="0" w:color="auto"/>
              <w:right w:val="nil"/>
            </w:tcBorders>
          </w:tcPr>
          <w:p w14:paraId="5BABF34E" w14:textId="77777777" w:rsidR="00AF2884" w:rsidRPr="008E2886" w:rsidRDefault="00AF2884" w:rsidP="00AF2884">
            <w:pPr>
              <w:pStyle w:val="TableText"/>
              <w:tabs>
                <w:tab w:val="left" w:pos="3306"/>
              </w:tabs>
              <w:jc w:val="right"/>
              <w:rPr>
                <w:rFonts w:cs="Calibri"/>
                <w:b/>
                <w:bCs/>
                <w:highlight w:val="cyan"/>
              </w:rPr>
            </w:pPr>
          </w:p>
        </w:tc>
        <w:tc>
          <w:tcPr>
            <w:tcW w:w="1134" w:type="dxa"/>
            <w:tcBorders>
              <w:top w:val="single" w:sz="4" w:space="0" w:color="auto"/>
              <w:left w:val="nil"/>
              <w:bottom w:val="single" w:sz="4" w:space="0" w:color="auto"/>
              <w:right w:val="nil"/>
            </w:tcBorders>
            <w:shd w:val="clear" w:color="auto" w:fill="auto"/>
            <w:vAlign w:val="bottom"/>
          </w:tcPr>
          <w:p w14:paraId="573128FD" w14:textId="2493F85E" w:rsidR="00AF2884" w:rsidRPr="008E2886" w:rsidRDefault="00AF2884" w:rsidP="00AF2884">
            <w:pPr>
              <w:pStyle w:val="TableText"/>
              <w:tabs>
                <w:tab w:val="left" w:pos="3306"/>
              </w:tabs>
              <w:jc w:val="right"/>
              <w:rPr>
                <w:rFonts w:cs="Calibri"/>
                <w:b/>
                <w:bCs/>
                <w:highlight w:val="cyan"/>
              </w:rPr>
            </w:pPr>
          </w:p>
        </w:tc>
        <w:tc>
          <w:tcPr>
            <w:tcW w:w="992" w:type="dxa"/>
            <w:tcBorders>
              <w:top w:val="single" w:sz="4" w:space="0" w:color="auto"/>
              <w:left w:val="nil"/>
              <w:bottom w:val="single" w:sz="4" w:space="0" w:color="auto"/>
              <w:right w:val="nil"/>
            </w:tcBorders>
            <w:shd w:val="clear" w:color="auto" w:fill="auto"/>
            <w:vAlign w:val="bottom"/>
          </w:tcPr>
          <w:p w14:paraId="13FE5C3D" w14:textId="77777777" w:rsidR="00AF2884" w:rsidRPr="008E2886" w:rsidRDefault="00AF2884" w:rsidP="00AF2884">
            <w:pPr>
              <w:pStyle w:val="TableText"/>
              <w:tabs>
                <w:tab w:val="left" w:pos="3306"/>
              </w:tabs>
              <w:jc w:val="right"/>
              <w:rPr>
                <w:rFonts w:cs="Calibri"/>
                <w:b/>
                <w:bCs/>
                <w:highlight w:val="cyan"/>
              </w:rPr>
            </w:pPr>
          </w:p>
        </w:tc>
        <w:tc>
          <w:tcPr>
            <w:tcW w:w="851" w:type="dxa"/>
            <w:tcBorders>
              <w:top w:val="single" w:sz="4" w:space="0" w:color="auto"/>
              <w:left w:val="nil"/>
              <w:bottom w:val="single" w:sz="4" w:space="0" w:color="auto"/>
              <w:right w:val="nil"/>
            </w:tcBorders>
            <w:shd w:val="clear" w:color="auto" w:fill="auto"/>
            <w:vAlign w:val="bottom"/>
          </w:tcPr>
          <w:p w14:paraId="202539F9" w14:textId="77777777" w:rsidR="00AF2884" w:rsidRPr="008E2886" w:rsidRDefault="00AF2884" w:rsidP="00AF2884">
            <w:pPr>
              <w:pStyle w:val="TableText"/>
              <w:tabs>
                <w:tab w:val="left" w:pos="3306"/>
              </w:tabs>
              <w:jc w:val="right"/>
              <w:rPr>
                <w:rFonts w:cs="Calibri"/>
                <w:b/>
                <w:bCs/>
                <w:highlight w:val="cyan"/>
              </w:rPr>
            </w:pPr>
          </w:p>
        </w:tc>
        <w:tc>
          <w:tcPr>
            <w:tcW w:w="850" w:type="dxa"/>
            <w:tcBorders>
              <w:top w:val="single" w:sz="4" w:space="0" w:color="auto"/>
              <w:left w:val="nil"/>
              <w:bottom w:val="single" w:sz="4" w:space="0" w:color="auto"/>
              <w:right w:val="nil"/>
            </w:tcBorders>
            <w:shd w:val="clear" w:color="auto" w:fill="auto"/>
            <w:vAlign w:val="bottom"/>
          </w:tcPr>
          <w:p w14:paraId="4F2DC692" w14:textId="77777777" w:rsidR="00AF2884" w:rsidRPr="008E2886" w:rsidRDefault="00AF2884" w:rsidP="00AF2884">
            <w:pPr>
              <w:pStyle w:val="TableText"/>
              <w:tabs>
                <w:tab w:val="left" w:pos="3306"/>
              </w:tabs>
              <w:jc w:val="right"/>
              <w:rPr>
                <w:rFonts w:cs="Calibri"/>
                <w:b/>
                <w:bCs/>
              </w:rPr>
            </w:pPr>
          </w:p>
        </w:tc>
      </w:tr>
      <w:tr w:rsidR="00AF2884" w:rsidRPr="00CF7E1B" w14:paraId="425848FB" w14:textId="77777777" w:rsidTr="004D1EC6">
        <w:trPr>
          <w:cantSplit/>
          <w:trHeight w:val="20"/>
        </w:trPr>
        <w:tc>
          <w:tcPr>
            <w:tcW w:w="1476" w:type="dxa"/>
            <w:tcBorders>
              <w:top w:val="nil"/>
              <w:left w:val="single" w:sz="2" w:space="0" w:color="auto"/>
              <w:bottom w:val="nil"/>
              <w:right w:val="single" w:sz="2" w:space="0" w:color="auto"/>
            </w:tcBorders>
          </w:tcPr>
          <w:p w14:paraId="4DA37BA0" w14:textId="77777777" w:rsidR="00AF2884" w:rsidRPr="008E2886" w:rsidRDefault="00AF2884" w:rsidP="00AF2884">
            <w:pPr>
              <w:pStyle w:val="TableReference"/>
              <w:tabs>
                <w:tab w:val="left" w:pos="3306"/>
              </w:tabs>
              <w:spacing w:before="40"/>
              <w:rPr>
                <w:rFonts w:cs="Calibri"/>
                <w:color w:val="7030A0"/>
                <w:sz w:val="14"/>
              </w:rPr>
            </w:pPr>
            <w:r w:rsidRPr="008E2886">
              <w:rPr>
                <w:rFonts w:cs="Calibri"/>
                <w:color w:val="7030A0"/>
                <w:sz w:val="14"/>
              </w:rPr>
              <w:t xml:space="preserve"> </w:t>
            </w:r>
          </w:p>
        </w:tc>
        <w:tc>
          <w:tcPr>
            <w:tcW w:w="2410" w:type="dxa"/>
            <w:tcBorders>
              <w:top w:val="nil"/>
              <w:left w:val="single" w:sz="2" w:space="0" w:color="auto"/>
              <w:bottom w:val="nil"/>
              <w:right w:val="nil"/>
            </w:tcBorders>
            <w:vAlign w:val="bottom"/>
          </w:tcPr>
          <w:p w14:paraId="13CA952D" w14:textId="551A1DE8" w:rsidR="00AF2884" w:rsidRPr="008E2886" w:rsidRDefault="00AF2884" w:rsidP="00AF2884">
            <w:pPr>
              <w:pStyle w:val="TableText"/>
              <w:tabs>
                <w:tab w:val="left" w:pos="3306"/>
              </w:tabs>
              <w:rPr>
                <w:rFonts w:cs="Calibri"/>
                <w:b/>
                <w:bCs/>
              </w:rPr>
            </w:pPr>
            <w:r w:rsidRPr="008E2886">
              <w:rPr>
                <w:rFonts w:cs="Calibri"/>
                <w:b/>
                <w:bCs/>
              </w:rPr>
              <w:t xml:space="preserve">Balance at 30 June </w:t>
            </w:r>
            <w:r w:rsidR="00900082" w:rsidRPr="008E2886">
              <w:rPr>
                <w:rFonts w:cs="Calibri"/>
                <w:b/>
                <w:bCs/>
              </w:rPr>
              <w:t>2022</w:t>
            </w:r>
          </w:p>
        </w:tc>
        <w:tc>
          <w:tcPr>
            <w:tcW w:w="708" w:type="dxa"/>
            <w:tcBorders>
              <w:top w:val="nil"/>
              <w:left w:val="nil"/>
              <w:bottom w:val="nil"/>
              <w:right w:val="nil"/>
            </w:tcBorders>
            <w:vAlign w:val="bottom"/>
          </w:tcPr>
          <w:p w14:paraId="5DC98FFA" w14:textId="77777777" w:rsidR="00AF2884" w:rsidRPr="008E2886" w:rsidRDefault="00AF2884" w:rsidP="00AF2884">
            <w:pPr>
              <w:pStyle w:val="TableText"/>
              <w:tabs>
                <w:tab w:val="left" w:pos="3306"/>
              </w:tabs>
              <w:jc w:val="center"/>
              <w:rPr>
                <w:rFonts w:cs="Calibri"/>
              </w:rPr>
            </w:pPr>
          </w:p>
        </w:tc>
        <w:tc>
          <w:tcPr>
            <w:tcW w:w="709" w:type="dxa"/>
            <w:tcBorders>
              <w:top w:val="single" w:sz="4" w:space="0" w:color="auto"/>
              <w:left w:val="nil"/>
              <w:bottom w:val="double" w:sz="4" w:space="0" w:color="auto"/>
              <w:right w:val="nil"/>
            </w:tcBorders>
            <w:shd w:val="clear" w:color="auto" w:fill="auto"/>
            <w:vAlign w:val="bottom"/>
          </w:tcPr>
          <w:p w14:paraId="18A53F3E" w14:textId="77777777" w:rsidR="00AF2884" w:rsidRPr="008E2886" w:rsidRDefault="00AF2884" w:rsidP="00AF2884">
            <w:pPr>
              <w:pStyle w:val="TableText"/>
              <w:tabs>
                <w:tab w:val="left" w:pos="3306"/>
              </w:tabs>
              <w:jc w:val="right"/>
              <w:rPr>
                <w:rFonts w:cs="Calibri"/>
                <w:b/>
                <w:bCs/>
                <w:strike/>
              </w:rPr>
            </w:pPr>
          </w:p>
        </w:tc>
        <w:tc>
          <w:tcPr>
            <w:tcW w:w="1278" w:type="dxa"/>
            <w:tcBorders>
              <w:top w:val="single" w:sz="4" w:space="0" w:color="auto"/>
              <w:left w:val="nil"/>
              <w:bottom w:val="double" w:sz="4" w:space="0" w:color="auto"/>
              <w:right w:val="nil"/>
            </w:tcBorders>
          </w:tcPr>
          <w:p w14:paraId="54A571B2" w14:textId="77777777" w:rsidR="00AF2884" w:rsidRPr="008E2886" w:rsidRDefault="00AF2884" w:rsidP="00AF2884">
            <w:pPr>
              <w:pStyle w:val="TableText"/>
              <w:tabs>
                <w:tab w:val="left" w:pos="3306"/>
              </w:tabs>
              <w:jc w:val="right"/>
              <w:rPr>
                <w:rFonts w:cs="Calibri"/>
                <w:b/>
                <w:bCs/>
              </w:rPr>
            </w:pPr>
          </w:p>
        </w:tc>
        <w:tc>
          <w:tcPr>
            <w:tcW w:w="1134" w:type="dxa"/>
            <w:tcBorders>
              <w:top w:val="single" w:sz="4" w:space="0" w:color="auto"/>
              <w:left w:val="nil"/>
              <w:bottom w:val="double" w:sz="4" w:space="0" w:color="auto"/>
              <w:right w:val="nil"/>
            </w:tcBorders>
            <w:shd w:val="clear" w:color="auto" w:fill="auto"/>
            <w:vAlign w:val="bottom"/>
          </w:tcPr>
          <w:p w14:paraId="1677E3B3" w14:textId="6EA1EA46" w:rsidR="00AF2884" w:rsidRPr="008E2886" w:rsidRDefault="00AF2884" w:rsidP="00AF2884">
            <w:pPr>
              <w:pStyle w:val="TableText"/>
              <w:tabs>
                <w:tab w:val="left" w:pos="3306"/>
              </w:tabs>
              <w:jc w:val="right"/>
              <w:rPr>
                <w:rFonts w:cs="Calibri"/>
                <w:b/>
                <w:bCs/>
              </w:rPr>
            </w:pPr>
          </w:p>
        </w:tc>
        <w:tc>
          <w:tcPr>
            <w:tcW w:w="992" w:type="dxa"/>
            <w:tcBorders>
              <w:top w:val="single" w:sz="4" w:space="0" w:color="auto"/>
              <w:left w:val="nil"/>
              <w:bottom w:val="double" w:sz="4" w:space="0" w:color="auto"/>
              <w:right w:val="nil"/>
            </w:tcBorders>
            <w:shd w:val="clear" w:color="auto" w:fill="auto"/>
            <w:vAlign w:val="bottom"/>
          </w:tcPr>
          <w:p w14:paraId="10670A05" w14:textId="77777777" w:rsidR="00AF2884" w:rsidRPr="008E2886" w:rsidRDefault="00AF2884" w:rsidP="00AF2884">
            <w:pPr>
              <w:pStyle w:val="TableText"/>
              <w:tabs>
                <w:tab w:val="left" w:pos="3306"/>
              </w:tabs>
              <w:jc w:val="right"/>
              <w:rPr>
                <w:rFonts w:cs="Calibri"/>
                <w:b/>
                <w:bCs/>
              </w:rPr>
            </w:pPr>
          </w:p>
        </w:tc>
        <w:tc>
          <w:tcPr>
            <w:tcW w:w="851" w:type="dxa"/>
            <w:tcBorders>
              <w:top w:val="single" w:sz="4" w:space="0" w:color="auto"/>
              <w:left w:val="nil"/>
              <w:bottom w:val="double" w:sz="4" w:space="0" w:color="auto"/>
              <w:right w:val="nil"/>
            </w:tcBorders>
            <w:shd w:val="clear" w:color="auto" w:fill="auto"/>
            <w:vAlign w:val="bottom"/>
          </w:tcPr>
          <w:p w14:paraId="5BF819F0" w14:textId="77777777" w:rsidR="00AF2884" w:rsidRPr="008E2886" w:rsidRDefault="00AF2884" w:rsidP="00AF2884">
            <w:pPr>
              <w:pStyle w:val="TableText"/>
              <w:tabs>
                <w:tab w:val="left" w:pos="3306"/>
              </w:tabs>
              <w:jc w:val="right"/>
              <w:rPr>
                <w:rFonts w:cs="Calibri"/>
                <w:b/>
                <w:bCs/>
                <w:strike/>
              </w:rPr>
            </w:pPr>
          </w:p>
        </w:tc>
        <w:tc>
          <w:tcPr>
            <w:tcW w:w="850" w:type="dxa"/>
            <w:tcBorders>
              <w:top w:val="single" w:sz="4" w:space="0" w:color="auto"/>
              <w:left w:val="nil"/>
              <w:bottom w:val="double" w:sz="4" w:space="0" w:color="auto"/>
              <w:right w:val="nil"/>
            </w:tcBorders>
            <w:shd w:val="clear" w:color="auto" w:fill="auto"/>
            <w:vAlign w:val="bottom"/>
          </w:tcPr>
          <w:p w14:paraId="5807E7E6" w14:textId="77777777" w:rsidR="00AF2884" w:rsidRPr="008E2886" w:rsidRDefault="00AF2884" w:rsidP="00AF2884">
            <w:pPr>
              <w:pStyle w:val="TableText"/>
              <w:tabs>
                <w:tab w:val="left" w:pos="3306"/>
              </w:tabs>
              <w:jc w:val="right"/>
              <w:rPr>
                <w:rFonts w:cs="Calibri"/>
                <w:b/>
                <w:bCs/>
              </w:rPr>
            </w:pPr>
          </w:p>
        </w:tc>
      </w:tr>
      <w:tr w:rsidR="00AF2884" w:rsidRPr="00CF7E1B" w14:paraId="6064F9DC" w14:textId="77777777" w:rsidTr="004D1EC6">
        <w:trPr>
          <w:cantSplit/>
          <w:trHeight w:val="197"/>
        </w:trPr>
        <w:tc>
          <w:tcPr>
            <w:tcW w:w="1476" w:type="dxa"/>
            <w:tcBorders>
              <w:top w:val="nil"/>
              <w:left w:val="single" w:sz="2" w:space="0" w:color="auto"/>
              <w:bottom w:val="nil"/>
              <w:right w:val="single" w:sz="2" w:space="0" w:color="auto"/>
            </w:tcBorders>
          </w:tcPr>
          <w:p w14:paraId="4FF4AAA3" w14:textId="77777777" w:rsidR="00AF2884" w:rsidRPr="008E2886" w:rsidRDefault="00AF2884" w:rsidP="00AF2884">
            <w:pPr>
              <w:pStyle w:val="TableReference"/>
              <w:tabs>
                <w:tab w:val="left" w:pos="3306"/>
              </w:tabs>
              <w:spacing w:before="40"/>
              <w:rPr>
                <w:rFonts w:cs="Calibri"/>
                <w:color w:val="7030A0"/>
              </w:rPr>
            </w:pPr>
          </w:p>
        </w:tc>
        <w:tc>
          <w:tcPr>
            <w:tcW w:w="2410" w:type="dxa"/>
            <w:tcBorders>
              <w:top w:val="nil"/>
              <w:left w:val="single" w:sz="2" w:space="0" w:color="auto"/>
              <w:bottom w:val="nil"/>
              <w:right w:val="nil"/>
            </w:tcBorders>
          </w:tcPr>
          <w:p w14:paraId="784306CE" w14:textId="77777777" w:rsidR="00AF2884" w:rsidRPr="00CF7E1B" w:rsidRDefault="00AF2884" w:rsidP="00AF2884">
            <w:pPr>
              <w:tabs>
                <w:tab w:val="left" w:pos="3306"/>
              </w:tabs>
              <w:spacing w:before="60" w:after="60"/>
              <w:rPr>
                <w:rFonts w:cs="Calibri"/>
                <w:b/>
                <w:bCs/>
                <w:sz w:val="18"/>
              </w:rPr>
            </w:pPr>
          </w:p>
        </w:tc>
        <w:tc>
          <w:tcPr>
            <w:tcW w:w="708" w:type="dxa"/>
            <w:tcBorders>
              <w:top w:val="nil"/>
              <w:left w:val="nil"/>
              <w:bottom w:val="nil"/>
              <w:right w:val="nil"/>
            </w:tcBorders>
            <w:vAlign w:val="bottom"/>
          </w:tcPr>
          <w:p w14:paraId="3E68F3A3" w14:textId="77777777" w:rsidR="00AF2884" w:rsidRPr="00CF7E1B" w:rsidRDefault="00AF2884" w:rsidP="00AF2884">
            <w:pPr>
              <w:pStyle w:val="TableText"/>
              <w:tabs>
                <w:tab w:val="left" w:pos="3306"/>
              </w:tabs>
              <w:jc w:val="center"/>
              <w:rPr>
                <w:rFonts w:cs="Calibri"/>
              </w:rPr>
            </w:pPr>
          </w:p>
        </w:tc>
        <w:tc>
          <w:tcPr>
            <w:tcW w:w="709" w:type="dxa"/>
            <w:tcBorders>
              <w:top w:val="double" w:sz="4" w:space="0" w:color="auto"/>
              <w:left w:val="nil"/>
              <w:bottom w:val="nil"/>
              <w:right w:val="nil"/>
            </w:tcBorders>
            <w:shd w:val="clear" w:color="auto" w:fill="auto"/>
            <w:vAlign w:val="bottom"/>
          </w:tcPr>
          <w:p w14:paraId="5B579625" w14:textId="77777777" w:rsidR="00AF2884" w:rsidRPr="00CF7E1B" w:rsidRDefault="00AF2884" w:rsidP="00AF2884">
            <w:pPr>
              <w:pStyle w:val="TableText"/>
              <w:tabs>
                <w:tab w:val="left" w:pos="3306"/>
              </w:tabs>
              <w:jc w:val="right"/>
              <w:rPr>
                <w:rFonts w:cs="Calibri"/>
              </w:rPr>
            </w:pPr>
          </w:p>
        </w:tc>
        <w:tc>
          <w:tcPr>
            <w:tcW w:w="1278" w:type="dxa"/>
            <w:tcBorders>
              <w:top w:val="double" w:sz="4" w:space="0" w:color="auto"/>
              <w:left w:val="nil"/>
              <w:bottom w:val="nil"/>
              <w:right w:val="nil"/>
            </w:tcBorders>
          </w:tcPr>
          <w:p w14:paraId="3FB84D47" w14:textId="77777777" w:rsidR="00AF2884" w:rsidRPr="00CF7E1B" w:rsidRDefault="00AF2884" w:rsidP="00AF2884">
            <w:pPr>
              <w:pStyle w:val="TableText"/>
              <w:tabs>
                <w:tab w:val="left" w:pos="3306"/>
              </w:tabs>
              <w:jc w:val="right"/>
              <w:rPr>
                <w:rFonts w:cs="Calibri"/>
              </w:rPr>
            </w:pPr>
          </w:p>
        </w:tc>
        <w:tc>
          <w:tcPr>
            <w:tcW w:w="1134" w:type="dxa"/>
            <w:tcBorders>
              <w:top w:val="double" w:sz="4" w:space="0" w:color="auto"/>
              <w:left w:val="nil"/>
              <w:bottom w:val="nil"/>
              <w:right w:val="nil"/>
            </w:tcBorders>
            <w:shd w:val="clear" w:color="auto" w:fill="auto"/>
            <w:vAlign w:val="bottom"/>
          </w:tcPr>
          <w:p w14:paraId="4A27F2CA" w14:textId="6A0793A7" w:rsidR="00AF2884" w:rsidRPr="00CF7E1B" w:rsidRDefault="00AF2884" w:rsidP="00AF2884">
            <w:pPr>
              <w:pStyle w:val="TableText"/>
              <w:tabs>
                <w:tab w:val="left" w:pos="3306"/>
              </w:tabs>
              <w:jc w:val="right"/>
              <w:rPr>
                <w:rFonts w:cs="Calibri"/>
              </w:rPr>
            </w:pPr>
          </w:p>
        </w:tc>
        <w:tc>
          <w:tcPr>
            <w:tcW w:w="992" w:type="dxa"/>
            <w:tcBorders>
              <w:top w:val="double" w:sz="4" w:space="0" w:color="auto"/>
              <w:left w:val="nil"/>
              <w:bottom w:val="nil"/>
              <w:right w:val="nil"/>
            </w:tcBorders>
            <w:shd w:val="clear" w:color="auto" w:fill="auto"/>
            <w:vAlign w:val="bottom"/>
          </w:tcPr>
          <w:p w14:paraId="799A180E" w14:textId="77777777" w:rsidR="00AF2884" w:rsidRPr="00CF7E1B" w:rsidRDefault="00AF2884" w:rsidP="00AF2884">
            <w:pPr>
              <w:pStyle w:val="TableText"/>
              <w:tabs>
                <w:tab w:val="left" w:pos="3306"/>
              </w:tabs>
              <w:jc w:val="right"/>
              <w:rPr>
                <w:rFonts w:cs="Calibri"/>
              </w:rPr>
            </w:pPr>
          </w:p>
        </w:tc>
        <w:tc>
          <w:tcPr>
            <w:tcW w:w="851" w:type="dxa"/>
            <w:tcBorders>
              <w:top w:val="double" w:sz="4" w:space="0" w:color="auto"/>
              <w:left w:val="nil"/>
              <w:bottom w:val="nil"/>
              <w:right w:val="nil"/>
            </w:tcBorders>
            <w:shd w:val="clear" w:color="auto" w:fill="auto"/>
            <w:vAlign w:val="bottom"/>
          </w:tcPr>
          <w:p w14:paraId="2799C7C6" w14:textId="77777777" w:rsidR="00AF2884" w:rsidRPr="00CF7E1B" w:rsidRDefault="00AF2884" w:rsidP="00AF2884">
            <w:pPr>
              <w:pStyle w:val="TableText"/>
              <w:tabs>
                <w:tab w:val="left" w:pos="3306"/>
              </w:tabs>
              <w:jc w:val="right"/>
              <w:rPr>
                <w:rFonts w:cs="Calibri"/>
              </w:rPr>
            </w:pPr>
          </w:p>
        </w:tc>
        <w:tc>
          <w:tcPr>
            <w:tcW w:w="850" w:type="dxa"/>
            <w:tcBorders>
              <w:top w:val="double" w:sz="4" w:space="0" w:color="auto"/>
              <w:left w:val="nil"/>
              <w:bottom w:val="nil"/>
              <w:right w:val="nil"/>
            </w:tcBorders>
            <w:shd w:val="clear" w:color="auto" w:fill="auto"/>
            <w:vAlign w:val="bottom"/>
          </w:tcPr>
          <w:p w14:paraId="5191C5FA" w14:textId="77777777" w:rsidR="00AF2884" w:rsidRPr="00CF7E1B" w:rsidRDefault="00AF2884" w:rsidP="00AF2884">
            <w:pPr>
              <w:pStyle w:val="TableText"/>
              <w:tabs>
                <w:tab w:val="left" w:pos="3306"/>
              </w:tabs>
              <w:jc w:val="right"/>
              <w:rPr>
                <w:rFonts w:cs="Calibri"/>
              </w:rPr>
            </w:pPr>
          </w:p>
        </w:tc>
      </w:tr>
      <w:tr w:rsidR="00900082" w:rsidRPr="00CF7E1B" w14:paraId="1C05DD66" w14:textId="77777777" w:rsidTr="004D1EC6">
        <w:trPr>
          <w:cantSplit/>
          <w:trHeight w:val="237"/>
        </w:trPr>
        <w:tc>
          <w:tcPr>
            <w:tcW w:w="1476" w:type="dxa"/>
            <w:tcBorders>
              <w:top w:val="nil"/>
              <w:left w:val="single" w:sz="2" w:space="0" w:color="auto"/>
              <w:bottom w:val="nil"/>
              <w:right w:val="single" w:sz="2" w:space="0" w:color="auto"/>
            </w:tcBorders>
          </w:tcPr>
          <w:p w14:paraId="1CD2584C" w14:textId="77777777" w:rsidR="00900082" w:rsidRPr="008E2886" w:rsidRDefault="00900082" w:rsidP="00AF2884">
            <w:pPr>
              <w:pStyle w:val="TableReference"/>
              <w:tabs>
                <w:tab w:val="left" w:pos="3306"/>
              </w:tabs>
              <w:rPr>
                <w:rFonts w:cs="Calibri"/>
                <w:color w:val="7030A0"/>
              </w:rPr>
            </w:pPr>
          </w:p>
        </w:tc>
        <w:tc>
          <w:tcPr>
            <w:tcW w:w="8932" w:type="dxa"/>
            <w:gridSpan w:val="8"/>
            <w:tcBorders>
              <w:top w:val="nil"/>
              <w:left w:val="single" w:sz="2" w:space="0" w:color="auto"/>
              <w:bottom w:val="nil"/>
              <w:right w:val="nil"/>
            </w:tcBorders>
          </w:tcPr>
          <w:p w14:paraId="4C921A40" w14:textId="1C796DF1" w:rsidR="00900082" w:rsidRPr="00CF7E1B" w:rsidRDefault="00900082" w:rsidP="00AF2884">
            <w:pPr>
              <w:pStyle w:val="TableText"/>
              <w:tabs>
                <w:tab w:val="left" w:pos="3306"/>
              </w:tabs>
              <w:spacing w:before="0"/>
              <w:rPr>
                <w:rFonts w:cs="Calibri"/>
                <w:bCs/>
                <w:sz w:val="14"/>
                <w:szCs w:val="14"/>
              </w:rPr>
            </w:pPr>
            <w:r w:rsidRPr="001F6B32">
              <w:rPr>
                <w:rFonts w:cs="Calibri"/>
                <w:bCs/>
              </w:rPr>
              <w:t xml:space="preserve">The above Statement of Changes in Equity </w:t>
            </w:r>
            <w:r>
              <w:rPr>
                <w:rFonts w:cs="Calibri"/>
                <w:bCs/>
              </w:rPr>
              <w:t xml:space="preserve">is to be </w:t>
            </w:r>
            <w:r w:rsidRPr="001F6B32">
              <w:rPr>
                <w:rFonts w:cs="Calibri"/>
                <w:bCs/>
              </w:rPr>
              <w:t>read in conjunction with the accompanying notes</w:t>
            </w:r>
            <w:r w:rsidRPr="00CF7E1B">
              <w:rPr>
                <w:rFonts w:cs="Calibri"/>
                <w:bCs/>
                <w:sz w:val="14"/>
                <w:szCs w:val="14"/>
              </w:rPr>
              <w:t>.</w:t>
            </w:r>
          </w:p>
        </w:tc>
      </w:tr>
    </w:tbl>
    <w:p w14:paraId="280B44DC" w14:textId="77777777" w:rsidR="003C13E7" w:rsidRDefault="006A4E19" w:rsidP="008305AF">
      <w:pPr>
        <w:jc w:val="center"/>
      </w:pPr>
      <w:r w:rsidRPr="00CF7E1B">
        <w:br w:type="page"/>
      </w:r>
    </w:p>
    <w:p w14:paraId="4101D3A4" w14:textId="68270686" w:rsidR="006A4E19" w:rsidRPr="008E2886" w:rsidRDefault="006A4E19" w:rsidP="008E0712">
      <w:pPr>
        <w:spacing w:before="120" w:line="400" w:lineRule="exact"/>
        <w:jc w:val="center"/>
        <w:rPr>
          <w:b/>
          <w:sz w:val="40"/>
          <w:szCs w:val="40"/>
        </w:rPr>
      </w:pPr>
      <w:r w:rsidRPr="008E2886">
        <w:rPr>
          <w:b/>
          <w:sz w:val="40"/>
          <w:szCs w:val="40"/>
        </w:rPr>
        <w:t>‘</w:t>
      </w:r>
      <w:r w:rsidR="00836324" w:rsidRPr="008E2886">
        <w:rPr>
          <w:b/>
          <w:sz w:val="40"/>
          <w:szCs w:val="40"/>
        </w:rPr>
        <w:t xml:space="preserve">Burley Griffin </w:t>
      </w:r>
      <w:r w:rsidRPr="008E2886">
        <w:rPr>
          <w:b/>
          <w:sz w:val="40"/>
          <w:szCs w:val="40"/>
        </w:rPr>
        <w:t>Agency’</w:t>
      </w:r>
    </w:p>
    <w:p w14:paraId="7E21056E" w14:textId="29F243B0" w:rsidR="006A4E19" w:rsidRPr="008E2886" w:rsidRDefault="006A4E19" w:rsidP="005C5347">
      <w:pPr>
        <w:spacing w:line="400" w:lineRule="exact"/>
        <w:jc w:val="center"/>
        <w:rPr>
          <w:b/>
          <w:sz w:val="40"/>
          <w:szCs w:val="40"/>
        </w:rPr>
      </w:pPr>
      <w:bookmarkStart w:id="167" w:name="_Toc253495254"/>
      <w:bookmarkStart w:id="168" w:name="_Toc257295329"/>
      <w:r w:rsidRPr="008E2886">
        <w:rPr>
          <w:b/>
          <w:sz w:val="40"/>
          <w:szCs w:val="40"/>
        </w:rPr>
        <w:t>Statement of Changes in Equity</w:t>
      </w:r>
      <w:r w:rsidR="00727166" w:rsidRPr="008E2886">
        <w:rPr>
          <w:b/>
          <w:sz w:val="40"/>
          <w:szCs w:val="40"/>
        </w:rPr>
        <w:t xml:space="preserve"> </w:t>
      </w:r>
      <w:r w:rsidR="00F54F4E">
        <w:rPr>
          <w:b/>
          <w:sz w:val="40"/>
          <w:szCs w:val="40"/>
        </w:rPr>
        <w:t>–</w:t>
      </w:r>
      <w:r w:rsidR="00727166" w:rsidRPr="008E2886">
        <w:rPr>
          <w:b/>
          <w:sz w:val="40"/>
          <w:szCs w:val="40"/>
        </w:rPr>
        <w:t xml:space="preserve"> Continued</w:t>
      </w:r>
      <w:bookmarkEnd w:id="167"/>
      <w:bookmarkEnd w:id="168"/>
      <w:r w:rsidR="00F54F4E">
        <w:rPr>
          <w:b/>
          <w:sz w:val="40"/>
          <w:szCs w:val="40"/>
        </w:rPr>
        <w:t xml:space="preserve"> </w:t>
      </w:r>
    </w:p>
    <w:p w14:paraId="53DA3868" w14:textId="2215E499" w:rsidR="006A4E19" w:rsidRPr="008E2886" w:rsidRDefault="006A4E19" w:rsidP="005C5347">
      <w:pPr>
        <w:spacing w:line="400" w:lineRule="exact"/>
        <w:jc w:val="center"/>
        <w:rPr>
          <w:rFonts w:cs="Calibri"/>
          <w:b/>
          <w:sz w:val="40"/>
          <w:szCs w:val="40"/>
        </w:rPr>
      </w:pPr>
      <w:r w:rsidRPr="008E2886">
        <w:rPr>
          <w:rFonts w:cs="Calibri"/>
          <w:b/>
          <w:sz w:val="40"/>
          <w:szCs w:val="40"/>
        </w:rPr>
        <w:t xml:space="preserve">For the Year Ended 30 June </w:t>
      </w:r>
      <w:r w:rsidR="00C66E0D" w:rsidRPr="008E2886">
        <w:rPr>
          <w:b/>
          <w:sz w:val="40"/>
          <w:szCs w:val="40"/>
        </w:rPr>
        <w:t>202</w:t>
      </w:r>
      <w:r w:rsidR="005C5347" w:rsidRPr="008E2886">
        <w:rPr>
          <w:b/>
          <w:sz w:val="40"/>
          <w:szCs w:val="40"/>
        </w:rPr>
        <w:t>1</w:t>
      </w:r>
    </w:p>
    <w:tbl>
      <w:tblPr>
        <w:tblW w:w="10833"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8"/>
        <w:gridCol w:w="3260"/>
        <w:gridCol w:w="709"/>
        <w:gridCol w:w="1134"/>
        <w:gridCol w:w="1276"/>
        <w:gridCol w:w="1134"/>
        <w:gridCol w:w="992"/>
        <w:gridCol w:w="850"/>
      </w:tblGrid>
      <w:tr w:rsidR="00620D4E" w:rsidRPr="00CF7E1B" w14:paraId="1376B87F" w14:textId="77777777" w:rsidTr="004D1EC6">
        <w:trPr>
          <w:cantSplit/>
          <w:trHeight w:val="20"/>
        </w:trPr>
        <w:tc>
          <w:tcPr>
            <w:tcW w:w="1478" w:type="dxa"/>
            <w:tcBorders>
              <w:top w:val="nil"/>
              <w:left w:val="single" w:sz="2" w:space="0" w:color="auto"/>
              <w:bottom w:val="nil"/>
              <w:right w:val="single" w:sz="2" w:space="0" w:color="auto"/>
            </w:tcBorders>
          </w:tcPr>
          <w:p w14:paraId="695E50E0" w14:textId="77777777" w:rsidR="00620D4E" w:rsidRPr="008E2886" w:rsidRDefault="00620D4E" w:rsidP="00620D4E">
            <w:pPr>
              <w:pStyle w:val="Reference"/>
              <w:tabs>
                <w:tab w:val="left" w:pos="3306"/>
              </w:tabs>
              <w:rPr>
                <w:rFonts w:cs="Calibri"/>
                <w:color w:val="7030A0"/>
                <w:sz w:val="22"/>
                <w:szCs w:val="22"/>
              </w:rPr>
            </w:pPr>
            <w:r w:rsidRPr="008E2886">
              <w:rPr>
                <w:rFonts w:cs="Calibri"/>
                <w:color w:val="7030A0"/>
                <w:sz w:val="22"/>
                <w:szCs w:val="22"/>
              </w:rPr>
              <w:t>Reference</w:t>
            </w:r>
          </w:p>
        </w:tc>
        <w:tc>
          <w:tcPr>
            <w:tcW w:w="3260" w:type="dxa"/>
            <w:tcBorders>
              <w:top w:val="nil"/>
              <w:left w:val="single" w:sz="2" w:space="0" w:color="auto"/>
              <w:bottom w:val="nil"/>
              <w:right w:val="nil"/>
            </w:tcBorders>
            <w:vAlign w:val="bottom"/>
          </w:tcPr>
          <w:p w14:paraId="6251992F" w14:textId="77777777" w:rsidR="00620D4E" w:rsidRPr="00CF7E1B" w:rsidRDefault="00620D4E" w:rsidP="00620D4E">
            <w:pPr>
              <w:tabs>
                <w:tab w:val="left" w:pos="3306"/>
              </w:tabs>
              <w:rPr>
                <w:rFonts w:cs="Calibri"/>
              </w:rPr>
            </w:pPr>
          </w:p>
        </w:tc>
        <w:tc>
          <w:tcPr>
            <w:tcW w:w="709" w:type="dxa"/>
            <w:tcBorders>
              <w:top w:val="nil"/>
              <w:left w:val="nil"/>
              <w:bottom w:val="nil"/>
              <w:right w:val="nil"/>
            </w:tcBorders>
            <w:vAlign w:val="bottom"/>
          </w:tcPr>
          <w:p w14:paraId="6F6E8AEB" w14:textId="77777777" w:rsidR="00620D4E" w:rsidRPr="00CF7E1B" w:rsidRDefault="00620D4E" w:rsidP="00620D4E">
            <w:pPr>
              <w:pStyle w:val="TableTitle"/>
              <w:tabs>
                <w:tab w:val="left" w:pos="3306"/>
              </w:tabs>
              <w:jc w:val="center"/>
              <w:rPr>
                <w:rFonts w:cs="Calibri"/>
              </w:rPr>
            </w:pPr>
          </w:p>
        </w:tc>
        <w:tc>
          <w:tcPr>
            <w:tcW w:w="1134" w:type="dxa"/>
            <w:vMerge w:val="restart"/>
            <w:tcBorders>
              <w:top w:val="nil"/>
              <w:left w:val="nil"/>
              <w:right w:val="nil"/>
            </w:tcBorders>
            <w:vAlign w:val="bottom"/>
          </w:tcPr>
          <w:p w14:paraId="6402D4F5" w14:textId="77777777"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Contributed Equity</w:t>
            </w:r>
          </w:p>
          <w:p w14:paraId="5BB0B4C3" w14:textId="77777777"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Actual</w:t>
            </w:r>
          </w:p>
          <w:p w14:paraId="25137D0D" w14:textId="348D25C3" w:rsidR="00620D4E" w:rsidRPr="008E2886" w:rsidRDefault="00620D4E" w:rsidP="00620D4E">
            <w:pPr>
              <w:pStyle w:val="TableTitle"/>
              <w:tabs>
                <w:tab w:val="left" w:pos="3306"/>
              </w:tabs>
              <w:rPr>
                <w:rFonts w:cs="Calibri"/>
                <w:color w:val="2E74B5" w:themeColor="accent1" w:themeShade="BF"/>
              </w:rPr>
            </w:pPr>
            <w:r w:rsidRPr="008E2886">
              <w:rPr>
                <w:rFonts w:cs="Calibri"/>
                <w:color w:val="2E74B5" w:themeColor="accent1" w:themeShade="BF"/>
              </w:rPr>
              <w:t>2021</w:t>
            </w:r>
          </w:p>
          <w:p w14:paraId="0B491283" w14:textId="77B117E3" w:rsidR="00620D4E" w:rsidRPr="008E2886" w:rsidRDefault="00620D4E" w:rsidP="00620D4E">
            <w:pPr>
              <w:pStyle w:val="TableTitle"/>
              <w:tabs>
                <w:tab w:val="left" w:pos="3306"/>
              </w:tabs>
              <w:rPr>
                <w:rFonts w:cs="Calibri"/>
              </w:rPr>
            </w:pPr>
            <w:r w:rsidRPr="008E2886">
              <w:rPr>
                <w:rFonts w:cs="Calibri"/>
                <w:color w:val="2E74B5" w:themeColor="accent1" w:themeShade="BF"/>
              </w:rPr>
              <w:t>$’000</w:t>
            </w:r>
          </w:p>
        </w:tc>
        <w:tc>
          <w:tcPr>
            <w:tcW w:w="1276" w:type="dxa"/>
            <w:vMerge w:val="restart"/>
            <w:tcBorders>
              <w:top w:val="nil"/>
              <w:left w:val="nil"/>
              <w:right w:val="nil"/>
            </w:tcBorders>
            <w:shd w:val="clear" w:color="auto" w:fill="auto"/>
            <w:vAlign w:val="bottom"/>
          </w:tcPr>
          <w:p w14:paraId="3DFCD932" w14:textId="77777777" w:rsidR="00620D4E" w:rsidRPr="008E2886" w:rsidRDefault="00620D4E" w:rsidP="00620D4E">
            <w:pPr>
              <w:pStyle w:val="TableTitle"/>
              <w:tabs>
                <w:tab w:val="left" w:pos="3306"/>
              </w:tabs>
              <w:rPr>
                <w:rFonts w:cs="Calibri"/>
              </w:rPr>
            </w:pPr>
            <w:r w:rsidRPr="008E2886">
              <w:rPr>
                <w:rFonts w:cs="Calibri"/>
              </w:rPr>
              <w:t>Accumulated Funds</w:t>
            </w:r>
          </w:p>
          <w:p w14:paraId="28251FAB" w14:textId="77777777" w:rsidR="00620D4E" w:rsidRPr="008E2886" w:rsidRDefault="00620D4E" w:rsidP="00620D4E">
            <w:pPr>
              <w:pStyle w:val="TableTitle"/>
              <w:tabs>
                <w:tab w:val="left" w:pos="3306"/>
              </w:tabs>
              <w:rPr>
                <w:rFonts w:cs="Calibri"/>
              </w:rPr>
            </w:pPr>
            <w:r w:rsidRPr="008E2886">
              <w:rPr>
                <w:rFonts w:cs="Calibri"/>
              </w:rPr>
              <w:t>Actual</w:t>
            </w:r>
          </w:p>
          <w:p w14:paraId="333CA80E" w14:textId="61D6A577" w:rsidR="00620D4E" w:rsidRPr="0009580B" w:rsidRDefault="00620D4E" w:rsidP="00620D4E">
            <w:pPr>
              <w:pStyle w:val="TableTitle"/>
              <w:tabs>
                <w:tab w:val="left" w:pos="3306"/>
              </w:tabs>
              <w:rPr>
                <w:rFonts w:cs="Calibri"/>
              </w:rPr>
            </w:pPr>
            <w:r w:rsidRPr="008E2886">
              <w:rPr>
                <w:rFonts w:cs="Calibri"/>
              </w:rPr>
              <w:t>2021</w:t>
            </w:r>
          </w:p>
          <w:p w14:paraId="7ED45A52" w14:textId="3907FF1F" w:rsidR="00620D4E" w:rsidRPr="008E2886" w:rsidRDefault="00620D4E" w:rsidP="00620D4E">
            <w:pPr>
              <w:pStyle w:val="TableTitle"/>
              <w:tabs>
                <w:tab w:val="left" w:pos="3306"/>
              </w:tabs>
              <w:rPr>
                <w:rFonts w:cs="Calibri"/>
              </w:rPr>
            </w:pPr>
            <w:r w:rsidRPr="008E2886">
              <w:rPr>
                <w:rFonts w:cs="Calibri"/>
              </w:rPr>
              <w:t>$’000</w:t>
            </w:r>
          </w:p>
        </w:tc>
        <w:tc>
          <w:tcPr>
            <w:tcW w:w="1134" w:type="dxa"/>
            <w:vMerge w:val="restart"/>
            <w:tcBorders>
              <w:top w:val="nil"/>
              <w:left w:val="nil"/>
              <w:right w:val="nil"/>
            </w:tcBorders>
            <w:shd w:val="clear" w:color="auto" w:fill="auto"/>
            <w:vAlign w:val="bottom"/>
          </w:tcPr>
          <w:p w14:paraId="74F6100F" w14:textId="77777777" w:rsidR="00620D4E" w:rsidRPr="008E2886" w:rsidRDefault="00620D4E" w:rsidP="00620D4E">
            <w:pPr>
              <w:pStyle w:val="TableTitle"/>
              <w:tabs>
                <w:tab w:val="left" w:pos="3306"/>
              </w:tabs>
              <w:rPr>
                <w:rFonts w:cs="Calibri"/>
              </w:rPr>
            </w:pPr>
            <w:r w:rsidRPr="008E2886">
              <w:rPr>
                <w:rFonts w:cs="Calibri"/>
              </w:rPr>
              <w:t>Asset Revaluation Surplus</w:t>
            </w:r>
          </w:p>
          <w:p w14:paraId="1ED3108E" w14:textId="77777777" w:rsidR="00620D4E" w:rsidRPr="008E2886" w:rsidRDefault="00620D4E" w:rsidP="00620D4E">
            <w:pPr>
              <w:pStyle w:val="TableTitle"/>
              <w:tabs>
                <w:tab w:val="left" w:pos="3306"/>
              </w:tabs>
              <w:rPr>
                <w:rFonts w:cs="Calibri"/>
              </w:rPr>
            </w:pPr>
            <w:r w:rsidRPr="008E2886">
              <w:rPr>
                <w:rFonts w:cs="Calibri"/>
              </w:rPr>
              <w:t>Actual</w:t>
            </w:r>
          </w:p>
          <w:p w14:paraId="222EC9DD" w14:textId="7BF03D7A" w:rsidR="00620D4E" w:rsidRPr="0009580B" w:rsidRDefault="00620D4E" w:rsidP="00620D4E">
            <w:pPr>
              <w:pStyle w:val="TableTitle"/>
              <w:tabs>
                <w:tab w:val="left" w:pos="3306"/>
              </w:tabs>
              <w:rPr>
                <w:rFonts w:cs="Calibri"/>
              </w:rPr>
            </w:pPr>
            <w:r w:rsidRPr="008E2886">
              <w:rPr>
                <w:rFonts w:cs="Calibri"/>
              </w:rPr>
              <w:t>2021</w:t>
            </w:r>
          </w:p>
          <w:p w14:paraId="3399ECDB" w14:textId="7802F88D" w:rsidR="00620D4E" w:rsidRPr="008E2886" w:rsidRDefault="00620D4E" w:rsidP="00620D4E">
            <w:pPr>
              <w:pStyle w:val="TableTitle"/>
              <w:tabs>
                <w:tab w:val="left" w:pos="3306"/>
              </w:tabs>
              <w:rPr>
                <w:rFonts w:cs="Calibri"/>
              </w:rPr>
            </w:pPr>
            <w:r w:rsidRPr="008E2886">
              <w:rPr>
                <w:rFonts w:cs="Calibri"/>
              </w:rPr>
              <w:t>$’000</w:t>
            </w:r>
          </w:p>
        </w:tc>
        <w:tc>
          <w:tcPr>
            <w:tcW w:w="992" w:type="dxa"/>
            <w:vMerge w:val="restart"/>
            <w:tcBorders>
              <w:top w:val="nil"/>
              <w:left w:val="nil"/>
              <w:right w:val="nil"/>
            </w:tcBorders>
            <w:shd w:val="clear" w:color="auto" w:fill="auto"/>
            <w:vAlign w:val="bottom"/>
          </w:tcPr>
          <w:p w14:paraId="58432D89" w14:textId="77777777" w:rsidR="00620D4E" w:rsidRPr="008E2886" w:rsidRDefault="00620D4E" w:rsidP="00620D4E">
            <w:pPr>
              <w:pStyle w:val="TableTitle"/>
              <w:tabs>
                <w:tab w:val="left" w:pos="3306"/>
              </w:tabs>
              <w:ind w:left="-104"/>
              <w:rPr>
                <w:rFonts w:cs="Calibri"/>
              </w:rPr>
            </w:pPr>
            <w:r w:rsidRPr="008E2886">
              <w:rPr>
                <w:rFonts w:cs="Calibri"/>
              </w:rPr>
              <w:t>Other Reserves</w:t>
            </w:r>
          </w:p>
          <w:p w14:paraId="2436B4D7" w14:textId="77777777" w:rsidR="00620D4E" w:rsidRPr="008E2886" w:rsidRDefault="00620D4E" w:rsidP="00620D4E">
            <w:pPr>
              <w:pStyle w:val="TableTitle"/>
              <w:tabs>
                <w:tab w:val="left" w:pos="3306"/>
              </w:tabs>
              <w:rPr>
                <w:rFonts w:cs="Calibri"/>
              </w:rPr>
            </w:pPr>
            <w:r w:rsidRPr="008E2886">
              <w:rPr>
                <w:rFonts w:cs="Calibri"/>
              </w:rPr>
              <w:t>Actual</w:t>
            </w:r>
          </w:p>
          <w:p w14:paraId="61C46E4D" w14:textId="678F93DC" w:rsidR="00620D4E" w:rsidRPr="0009580B" w:rsidRDefault="00620D4E" w:rsidP="00620D4E">
            <w:pPr>
              <w:pStyle w:val="TableTitle"/>
              <w:tabs>
                <w:tab w:val="left" w:pos="3306"/>
              </w:tabs>
              <w:rPr>
                <w:rFonts w:cs="Calibri"/>
              </w:rPr>
            </w:pPr>
            <w:r w:rsidRPr="008E2886">
              <w:rPr>
                <w:rFonts w:cs="Calibri"/>
              </w:rPr>
              <w:t>2021</w:t>
            </w:r>
          </w:p>
          <w:p w14:paraId="33206B25" w14:textId="47C863C7" w:rsidR="00620D4E" w:rsidRPr="008E2886" w:rsidRDefault="00620D4E" w:rsidP="00620D4E">
            <w:pPr>
              <w:pStyle w:val="TableTitle"/>
              <w:tabs>
                <w:tab w:val="left" w:pos="3306"/>
              </w:tabs>
              <w:rPr>
                <w:rFonts w:cs="Calibri"/>
              </w:rPr>
            </w:pPr>
            <w:r w:rsidRPr="008E2886">
              <w:rPr>
                <w:rFonts w:cs="Calibri"/>
              </w:rPr>
              <w:t>$’000</w:t>
            </w:r>
          </w:p>
        </w:tc>
        <w:tc>
          <w:tcPr>
            <w:tcW w:w="850" w:type="dxa"/>
            <w:vMerge w:val="restart"/>
            <w:tcBorders>
              <w:top w:val="nil"/>
              <w:left w:val="nil"/>
              <w:right w:val="nil"/>
            </w:tcBorders>
            <w:shd w:val="clear" w:color="auto" w:fill="auto"/>
            <w:vAlign w:val="bottom"/>
          </w:tcPr>
          <w:p w14:paraId="6D71E8F7" w14:textId="77777777" w:rsidR="00620D4E" w:rsidRPr="008E2886" w:rsidRDefault="00620D4E" w:rsidP="00620D4E">
            <w:pPr>
              <w:pStyle w:val="TableTitle"/>
              <w:tabs>
                <w:tab w:val="left" w:pos="3306"/>
              </w:tabs>
              <w:rPr>
                <w:rFonts w:cs="Calibri"/>
              </w:rPr>
            </w:pPr>
            <w:r w:rsidRPr="008E2886">
              <w:rPr>
                <w:rFonts w:cs="Calibri"/>
              </w:rPr>
              <w:t>Total Equity</w:t>
            </w:r>
          </w:p>
          <w:p w14:paraId="46033621" w14:textId="77777777" w:rsidR="00620D4E" w:rsidRPr="008E2886" w:rsidRDefault="00620D4E" w:rsidP="00620D4E">
            <w:pPr>
              <w:pStyle w:val="TableTitle"/>
              <w:tabs>
                <w:tab w:val="left" w:pos="3306"/>
              </w:tabs>
              <w:rPr>
                <w:rFonts w:cs="Calibri"/>
              </w:rPr>
            </w:pPr>
            <w:r w:rsidRPr="008E2886">
              <w:rPr>
                <w:rFonts w:cs="Calibri"/>
              </w:rPr>
              <w:t>Actual</w:t>
            </w:r>
          </w:p>
          <w:p w14:paraId="04406722" w14:textId="034C9806" w:rsidR="00620D4E" w:rsidRPr="0009580B" w:rsidRDefault="00620D4E" w:rsidP="00620D4E">
            <w:pPr>
              <w:pStyle w:val="TableTitle"/>
              <w:tabs>
                <w:tab w:val="left" w:pos="3306"/>
              </w:tabs>
              <w:rPr>
                <w:rFonts w:cs="Calibri"/>
              </w:rPr>
            </w:pPr>
            <w:r w:rsidRPr="008E2886">
              <w:rPr>
                <w:rFonts w:cs="Calibri"/>
              </w:rPr>
              <w:t>2021</w:t>
            </w:r>
          </w:p>
          <w:p w14:paraId="7DBB3F42" w14:textId="35C14058" w:rsidR="00620D4E" w:rsidRPr="008E2886" w:rsidRDefault="00620D4E" w:rsidP="00620D4E">
            <w:pPr>
              <w:pStyle w:val="TableTitle"/>
              <w:tabs>
                <w:tab w:val="left" w:pos="3306"/>
              </w:tabs>
              <w:rPr>
                <w:rFonts w:cs="Calibri"/>
              </w:rPr>
            </w:pPr>
            <w:r w:rsidRPr="008E2886">
              <w:rPr>
                <w:rFonts w:cs="Calibri"/>
              </w:rPr>
              <w:t>$’000</w:t>
            </w:r>
          </w:p>
        </w:tc>
      </w:tr>
      <w:tr w:rsidR="00620D4E" w:rsidRPr="00CF7E1B" w14:paraId="1673F740" w14:textId="77777777" w:rsidTr="004D1EC6">
        <w:trPr>
          <w:cantSplit/>
          <w:trHeight w:val="20"/>
        </w:trPr>
        <w:tc>
          <w:tcPr>
            <w:tcW w:w="1478" w:type="dxa"/>
            <w:tcBorders>
              <w:top w:val="nil"/>
              <w:left w:val="single" w:sz="2" w:space="0" w:color="auto"/>
              <w:bottom w:val="nil"/>
              <w:right w:val="single" w:sz="2" w:space="0" w:color="auto"/>
            </w:tcBorders>
          </w:tcPr>
          <w:p w14:paraId="4C909ACE" w14:textId="77777777" w:rsidR="00620D4E" w:rsidRPr="008E2886" w:rsidRDefault="00620D4E" w:rsidP="00620D4E">
            <w:pPr>
              <w:pStyle w:val="Reference"/>
              <w:tabs>
                <w:tab w:val="left" w:pos="3306"/>
              </w:tabs>
              <w:rPr>
                <w:rFonts w:cs="Calibri"/>
                <w:color w:val="7030A0"/>
                <w:sz w:val="14"/>
                <w:szCs w:val="14"/>
              </w:rPr>
            </w:pPr>
          </w:p>
        </w:tc>
        <w:tc>
          <w:tcPr>
            <w:tcW w:w="3260" w:type="dxa"/>
            <w:tcBorders>
              <w:top w:val="nil"/>
              <w:left w:val="single" w:sz="2" w:space="0" w:color="auto"/>
              <w:bottom w:val="nil"/>
              <w:right w:val="nil"/>
            </w:tcBorders>
            <w:vAlign w:val="bottom"/>
          </w:tcPr>
          <w:p w14:paraId="628FB34A" w14:textId="77777777" w:rsidR="00620D4E" w:rsidRPr="008E2886" w:rsidRDefault="00620D4E" w:rsidP="00620D4E">
            <w:pPr>
              <w:tabs>
                <w:tab w:val="left" w:pos="3306"/>
              </w:tabs>
              <w:rPr>
                <w:rFonts w:cs="Calibri"/>
              </w:rPr>
            </w:pPr>
          </w:p>
        </w:tc>
        <w:tc>
          <w:tcPr>
            <w:tcW w:w="709" w:type="dxa"/>
            <w:tcBorders>
              <w:top w:val="nil"/>
              <w:left w:val="nil"/>
              <w:bottom w:val="nil"/>
              <w:right w:val="nil"/>
            </w:tcBorders>
            <w:vAlign w:val="bottom"/>
          </w:tcPr>
          <w:p w14:paraId="3DDE11A6" w14:textId="77777777" w:rsidR="00620D4E" w:rsidRPr="008E2886" w:rsidRDefault="00620D4E" w:rsidP="00620D4E">
            <w:pPr>
              <w:pStyle w:val="TableTitle"/>
              <w:tabs>
                <w:tab w:val="left" w:pos="3306"/>
              </w:tabs>
              <w:jc w:val="center"/>
              <w:rPr>
                <w:rFonts w:cs="Calibri"/>
              </w:rPr>
            </w:pPr>
            <w:r w:rsidRPr="008E2886">
              <w:rPr>
                <w:rFonts w:cs="Calibri"/>
              </w:rPr>
              <w:t>Note No.</w:t>
            </w:r>
          </w:p>
        </w:tc>
        <w:tc>
          <w:tcPr>
            <w:tcW w:w="1134" w:type="dxa"/>
            <w:vMerge/>
            <w:tcBorders>
              <w:left w:val="nil"/>
              <w:bottom w:val="nil"/>
              <w:right w:val="nil"/>
            </w:tcBorders>
          </w:tcPr>
          <w:p w14:paraId="7F93DB27" w14:textId="760CCC34" w:rsidR="00620D4E" w:rsidRPr="008E2886" w:rsidRDefault="00620D4E" w:rsidP="00620D4E">
            <w:pPr>
              <w:pStyle w:val="TableTitle"/>
              <w:tabs>
                <w:tab w:val="left" w:pos="3306"/>
              </w:tabs>
              <w:rPr>
                <w:rFonts w:cs="Calibri"/>
              </w:rPr>
            </w:pPr>
          </w:p>
        </w:tc>
        <w:tc>
          <w:tcPr>
            <w:tcW w:w="1276" w:type="dxa"/>
            <w:vMerge/>
            <w:tcBorders>
              <w:left w:val="nil"/>
              <w:bottom w:val="nil"/>
              <w:right w:val="nil"/>
            </w:tcBorders>
            <w:shd w:val="clear" w:color="auto" w:fill="auto"/>
            <w:vAlign w:val="bottom"/>
          </w:tcPr>
          <w:p w14:paraId="43AB005F" w14:textId="71A40FBE" w:rsidR="00620D4E" w:rsidRPr="008E2886" w:rsidRDefault="00620D4E" w:rsidP="00620D4E">
            <w:pPr>
              <w:pStyle w:val="TableTitle"/>
              <w:tabs>
                <w:tab w:val="left" w:pos="3306"/>
              </w:tabs>
              <w:rPr>
                <w:rFonts w:cs="Calibri"/>
              </w:rPr>
            </w:pPr>
          </w:p>
        </w:tc>
        <w:tc>
          <w:tcPr>
            <w:tcW w:w="1134" w:type="dxa"/>
            <w:vMerge/>
            <w:tcBorders>
              <w:left w:val="nil"/>
              <w:bottom w:val="nil"/>
              <w:right w:val="nil"/>
            </w:tcBorders>
            <w:shd w:val="clear" w:color="auto" w:fill="auto"/>
            <w:vAlign w:val="bottom"/>
          </w:tcPr>
          <w:p w14:paraId="08EF3EC2" w14:textId="7EC20992" w:rsidR="00620D4E" w:rsidRPr="008E2886" w:rsidRDefault="00620D4E" w:rsidP="00620D4E">
            <w:pPr>
              <w:pStyle w:val="TableTitle"/>
              <w:tabs>
                <w:tab w:val="left" w:pos="3306"/>
              </w:tabs>
              <w:rPr>
                <w:rFonts w:cs="Calibri"/>
              </w:rPr>
            </w:pPr>
          </w:p>
        </w:tc>
        <w:tc>
          <w:tcPr>
            <w:tcW w:w="992" w:type="dxa"/>
            <w:vMerge/>
            <w:tcBorders>
              <w:left w:val="nil"/>
              <w:bottom w:val="nil"/>
              <w:right w:val="nil"/>
            </w:tcBorders>
            <w:shd w:val="clear" w:color="auto" w:fill="auto"/>
            <w:vAlign w:val="bottom"/>
          </w:tcPr>
          <w:p w14:paraId="465B7E80" w14:textId="25EEE13A" w:rsidR="00620D4E" w:rsidRPr="008E2886" w:rsidRDefault="00620D4E" w:rsidP="00620D4E">
            <w:pPr>
              <w:pStyle w:val="TableTitle"/>
              <w:tabs>
                <w:tab w:val="left" w:pos="3306"/>
              </w:tabs>
              <w:rPr>
                <w:rFonts w:cs="Calibri"/>
              </w:rPr>
            </w:pPr>
          </w:p>
        </w:tc>
        <w:tc>
          <w:tcPr>
            <w:tcW w:w="850" w:type="dxa"/>
            <w:vMerge/>
            <w:tcBorders>
              <w:left w:val="nil"/>
              <w:bottom w:val="nil"/>
              <w:right w:val="nil"/>
            </w:tcBorders>
            <w:shd w:val="clear" w:color="auto" w:fill="auto"/>
            <w:vAlign w:val="bottom"/>
          </w:tcPr>
          <w:p w14:paraId="4AC5845E" w14:textId="17F6ADB0" w:rsidR="00620D4E" w:rsidRPr="008E2886" w:rsidRDefault="00620D4E" w:rsidP="00620D4E">
            <w:pPr>
              <w:pStyle w:val="TableTitle"/>
              <w:tabs>
                <w:tab w:val="left" w:pos="3306"/>
              </w:tabs>
              <w:rPr>
                <w:rFonts w:cs="Calibri"/>
              </w:rPr>
            </w:pPr>
          </w:p>
        </w:tc>
      </w:tr>
      <w:tr w:rsidR="00620D4E" w:rsidRPr="00CF7E1B" w14:paraId="7CB4F2F3" w14:textId="77777777" w:rsidTr="004D1EC6">
        <w:trPr>
          <w:cantSplit/>
          <w:trHeight w:val="20"/>
        </w:trPr>
        <w:tc>
          <w:tcPr>
            <w:tcW w:w="1478" w:type="dxa"/>
            <w:tcBorders>
              <w:top w:val="nil"/>
              <w:left w:val="single" w:sz="2" w:space="0" w:color="auto"/>
              <w:bottom w:val="nil"/>
              <w:right w:val="single" w:sz="2" w:space="0" w:color="auto"/>
            </w:tcBorders>
          </w:tcPr>
          <w:p w14:paraId="79E10858" w14:textId="77777777" w:rsidR="00620D4E" w:rsidRPr="008E2886" w:rsidRDefault="00620D4E" w:rsidP="00620D4E">
            <w:pPr>
              <w:pStyle w:val="TableReference"/>
              <w:tabs>
                <w:tab w:val="left" w:pos="3306"/>
              </w:tabs>
              <w:spacing w:before="40"/>
              <w:rPr>
                <w:rFonts w:cs="Calibri"/>
                <w:color w:val="7030A0"/>
                <w:sz w:val="14"/>
              </w:rPr>
            </w:pPr>
          </w:p>
        </w:tc>
        <w:tc>
          <w:tcPr>
            <w:tcW w:w="3260" w:type="dxa"/>
            <w:tcBorders>
              <w:top w:val="nil"/>
              <w:left w:val="single" w:sz="2" w:space="0" w:color="auto"/>
              <w:bottom w:val="nil"/>
              <w:right w:val="nil"/>
            </w:tcBorders>
            <w:vAlign w:val="bottom"/>
          </w:tcPr>
          <w:p w14:paraId="490A1DB7" w14:textId="77777777" w:rsidR="00620D4E" w:rsidRPr="008E2886" w:rsidRDefault="00620D4E" w:rsidP="00620D4E">
            <w:pPr>
              <w:pStyle w:val="TableText"/>
              <w:tabs>
                <w:tab w:val="left" w:pos="3306"/>
              </w:tabs>
              <w:rPr>
                <w:rFonts w:cs="Calibri"/>
                <w:b/>
                <w:bCs/>
              </w:rPr>
            </w:pPr>
          </w:p>
        </w:tc>
        <w:tc>
          <w:tcPr>
            <w:tcW w:w="709" w:type="dxa"/>
            <w:tcBorders>
              <w:top w:val="nil"/>
              <w:left w:val="nil"/>
              <w:bottom w:val="nil"/>
              <w:right w:val="nil"/>
            </w:tcBorders>
            <w:vAlign w:val="bottom"/>
          </w:tcPr>
          <w:p w14:paraId="2422D82A"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774AA7ED"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67CB7F33" w14:textId="664B7169"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04DBAD5C"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7A965020"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738CD42F" w14:textId="77777777" w:rsidR="00620D4E" w:rsidRPr="008E2886" w:rsidRDefault="00620D4E" w:rsidP="00620D4E">
            <w:pPr>
              <w:pStyle w:val="TableText"/>
              <w:tabs>
                <w:tab w:val="left" w:pos="3306"/>
              </w:tabs>
              <w:jc w:val="right"/>
              <w:rPr>
                <w:rFonts w:cs="Calibri"/>
              </w:rPr>
            </w:pPr>
          </w:p>
        </w:tc>
      </w:tr>
      <w:tr w:rsidR="00620D4E" w:rsidRPr="00CF7E1B" w14:paraId="56756593" w14:textId="77777777" w:rsidTr="004D1EC6">
        <w:trPr>
          <w:cantSplit/>
          <w:trHeight w:val="20"/>
        </w:trPr>
        <w:tc>
          <w:tcPr>
            <w:tcW w:w="1478" w:type="dxa"/>
            <w:tcBorders>
              <w:top w:val="nil"/>
              <w:left w:val="single" w:sz="2" w:space="0" w:color="auto"/>
              <w:bottom w:val="nil"/>
              <w:right w:val="single" w:sz="2" w:space="0" w:color="auto"/>
            </w:tcBorders>
          </w:tcPr>
          <w:p w14:paraId="44D9596D" w14:textId="77777777" w:rsidR="00620D4E" w:rsidRPr="008E2886" w:rsidRDefault="00620D4E" w:rsidP="00620D4E">
            <w:pPr>
              <w:pStyle w:val="TableReference"/>
              <w:tabs>
                <w:tab w:val="left" w:pos="3306"/>
              </w:tabs>
              <w:spacing w:before="40"/>
              <w:rPr>
                <w:rFonts w:cs="Calibri"/>
                <w:color w:val="7030A0"/>
                <w:sz w:val="14"/>
              </w:rPr>
            </w:pPr>
            <w:r w:rsidRPr="008E2886">
              <w:rPr>
                <w:rFonts w:cs="Calibri"/>
                <w:color w:val="7030A0"/>
                <w:sz w:val="14"/>
              </w:rPr>
              <w:t xml:space="preserve"> </w:t>
            </w:r>
          </w:p>
        </w:tc>
        <w:tc>
          <w:tcPr>
            <w:tcW w:w="3260" w:type="dxa"/>
            <w:tcBorders>
              <w:top w:val="nil"/>
              <w:left w:val="single" w:sz="2" w:space="0" w:color="auto"/>
              <w:bottom w:val="nil"/>
              <w:right w:val="nil"/>
            </w:tcBorders>
            <w:vAlign w:val="bottom"/>
          </w:tcPr>
          <w:p w14:paraId="61487BE5" w14:textId="5A75AA2B" w:rsidR="00620D4E" w:rsidRPr="008E2886" w:rsidRDefault="00620D4E" w:rsidP="00620D4E">
            <w:pPr>
              <w:pStyle w:val="TableText"/>
              <w:tabs>
                <w:tab w:val="left" w:pos="3306"/>
              </w:tabs>
              <w:rPr>
                <w:rFonts w:cs="Calibri"/>
                <w:b/>
                <w:bCs/>
              </w:rPr>
            </w:pPr>
            <w:r w:rsidRPr="008E2886">
              <w:rPr>
                <w:rFonts w:cs="Calibri"/>
                <w:b/>
                <w:bCs/>
              </w:rPr>
              <w:t>Balance at 1 July 2020</w:t>
            </w:r>
          </w:p>
        </w:tc>
        <w:tc>
          <w:tcPr>
            <w:tcW w:w="709" w:type="dxa"/>
            <w:tcBorders>
              <w:top w:val="nil"/>
              <w:left w:val="nil"/>
              <w:bottom w:val="nil"/>
              <w:right w:val="nil"/>
            </w:tcBorders>
            <w:vAlign w:val="bottom"/>
          </w:tcPr>
          <w:p w14:paraId="34C5DD1A"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single" w:sz="4" w:space="0" w:color="auto"/>
              <w:right w:val="nil"/>
            </w:tcBorders>
          </w:tcPr>
          <w:p w14:paraId="0DEDDD85" w14:textId="77777777" w:rsidR="00620D4E" w:rsidRPr="008E2886" w:rsidRDefault="00620D4E" w:rsidP="00620D4E">
            <w:pPr>
              <w:pStyle w:val="TableText"/>
              <w:tabs>
                <w:tab w:val="left" w:pos="3306"/>
              </w:tabs>
              <w:jc w:val="right"/>
              <w:rPr>
                <w:rFonts w:cs="Calibri"/>
                <w:b/>
              </w:rPr>
            </w:pPr>
          </w:p>
        </w:tc>
        <w:tc>
          <w:tcPr>
            <w:tcW w:w="1276" w:type="dxa"/>
            <w:tcBorders>
              <w:top w:val="nil"/>
              <w:left w:val="nil"/>
              <w:bottom w:val="single" w:sz="4" w:space="0" w:color="auto"/>
              <w:right w:val="nil"/>
            </w:tcBorders>
            <w:shd w:val="clear" w:color="auto" w:fill="auto"/>
            <w:vAlign w:val="bottom"/>
          </w:tcPr>
          <w:p w14:paraId="25C01147" w14:textId="061926B0" w:rsidR="00620D4E" w:rsidRPr="008E2886" w:rsidRDefault="00620D4E" w:rsidP="00620D4E">
            <w:pPr>
              <w:pStyle w:val="TableText"/>
              <w:tabs>
                <w:tab w:val="left" w:pos="3306"/>
              </w:tabs>
              <w:jc w:val="right"/>
              <w:rPr>
                <w:rFonts w:cs="Calibri"/>
                <w:b/>
              </w:rPr>
            </w:pPr>
          </w:p>
        </w:tc>
        <w:tc>
          <w:tcPr>
            <w:tcW w:w="1134" w:type="dxa"/>
            <w:tcBorders>
              <w:top w:val="nil"/>
              <w:left w:val="nil"/>
              <w:bottom w:val="single" w:sz="4" w:space="0" w:color="auto"/>
              <w:right w:val="nil"/>
            </w:tcBorders>
            <w:shd w:val="clear" w:color="auto" w:fill="auto"/>
            <w:vAlign w:val="bottom"/>
          </w:tcPr>
          <w:p w14:paraId="54639AAC" w14:textId="77777777" w:rsidR="00620D4E" w:rsidRPr="008E2886" w:rsidRDefault="00620D4E" w:rsidP="00620D4E">
            <w:pPr>
              <w:pStyle w:val="TableText"/>
              <w:tabs>
                <w:tab w:val="left" w:pos="3306"/>
              </w:tabs>
              <w:jc w:val="right"/>
              <w:rPr>
                <w:rFonts w:cs="Calibri"/>
                <w:b/>
              </w:rPr>
            </w:pPr>
          </w:p>
        </w:tc>
        <w:tc>
          <w:tcPr>
            <w:tcW w:w="992" w:type="dxa"/>
            <w:tcBorders>
              <w:top w:val="nil"/>
              <w:left w:val="nil"/>
              <w:bottom w:val="single" w:sz="4" w:space="0" w:color="auto"/>
              <w:right w:val="nil"/>
            </w:tcBorders>
            <w:shd w:val="clear" w:color="auto" w:fill="auto"/>
            <w:vAlign w:val="bottom"/>
          </w:tcPr>
          <w:p w14:paraId="0C319613" w14:textId="77777777" w:rsidR="00620D4E" w:rsidRPr="008E2886" w:rsidRDefault="00620D4E" w:rsidP="00620D4E">
            <w:pPr>
              <w:pStyle w:val="TableText"/>
              <w:tabs>
                <w:tab w:val="left" w:pos="3306"/>
              </w:tabs>
              <w:jc w:val="right"/>
              <w:rPr>
                <w:rFonts w:cs="Calibri"/>
                <w:b/>
              </w:rPr>
            </w:pPr>
          </w:p>
        </w:tc>
        <w:tc>
          <w:tcPr>
            <w:tcW w:w="850" w:type="dxa"/>
            <w:tcBorders>
              <w:top w:val="nil"/>
              <w:left w:val="nil"/>
              <w:bottom w:val="single" w:sz="4" w:space="0" w:color="auto"/>
              <w:right w:val="nil"/>
            </w:tcBorders>
            <w:shd w:val="clear" w:color="auto" w:fill="auto"/>
            <w:vAlign w:val="bottom"/>
          </w:tcPr>
          <w:p w14:paraId="6557055B" w14:textId="77777777" w:rsidR="00620D4E" w:rsidRPr="008E2886" w:rsidRDefault="00620D4E" w:rsidP="00620D4E">
            <w:pPr>
              <w:pStyle w:val="TableText"/>
              <w:tabs>
                <w:tab w:val="left" w:pos="3306"/>
              </w:tabs>
              <w:jc w:val="right"/>
              <w:rPr>
                <w:rFonts w:cs="Calibri"/>
                <w:b/>
              </w:rPr>
            </w:pPr>
          </w:p>
        </w:tc>
      </w:tr>
      <w:tr w:rsidR="00620D4E" w:rsidRPr="00CF7E1B" w14:paraId="1192BD19" w14:textId="77777777" w:rsidTr="004D1EC6">
        <w:trPr>
          <w:cantSplit/>
          <w:trHeight w:val="173"/>
        </w:trPr>
        <w:tc>
          <w:tcPr>
            <w:tcW w:w="1478" w:type="dxa"/>
            <w:tcBorders>
              <w:top w:val="nil"/>
              <w:left w:val="single" w:sz="2" w:space="0" w:color="auto"/>
              <w:bottom w:val="nil"/>
              <w:right w:val="single" w:sz="2" w:space="0" w:color="auto"/>
            </w:tcBorders>
          </w:tcPr>
          <w:p w14:paraId="70C6995B" w14:textId="77777777" w:rsidR="00620D4E" w:rsidRPr="008E2886" w:rsidRDefault="00620D4E" w:rsidP="00620D4E">
            <w:pPr>
              <w:pStyle w:val="TableReference"/>
              <w:tabs>
                <w:tab w:val="left" w:pos="3306"/>
              </w:tabs>
              <w:rPr>
                <w:rFonts w:cs="Calibri"/>
                <w:color w:val="7030A0"/>
                <w:sz w:val="14"/>
              </w:rPr>
            </w:pPr>
          </w:p>
        </w:tc>
        <w:tc>
          <w:tcPr>
            <w:tcW w:w="3260" w:type="dxa"/>
            <w:tcBorders>
              <w:top w:val="nil"/>
              <w:left w:val="single" w:sz="2" w:space="0" w:color="auto"/>
              <w:bottom w:val="nil"/>
              <w:right w:val="nil"/>
            </w:tcBorders>
            <w:vAlign w:val="bottom"/>
          </w:tcPr>
          <w:p w14:paraId="0DF639EA" w14:textId="77777777" w:rsidR="00620D4E" w:rsidRPr="008E2886" w:rsidRDefault="00620D4E" w:rsidP="00620D4E">
            <w:pPr>
              <w:pStyle w:val="TableText"/>
              <w:tabs>
                <w:tab w:val="left" w:pos="3306"/>
              </w:tabs>
              <w:spacing w:before="0"/>
              <w:rPr>
                <w:rFonts w:cs="Calibri"/>
                <w:sz w:val="12"/>
                <w:szCs w:val="12"/>
              </w:rPr>
            </w:pPr>
          </w:p>
        </w:tc>
        <w:tc>
          <w:tcPr>
            <w:tcW w:w="709" w:type="dxa"/>
            <w:tcBorders>
              <w:top w:val="nil"/>
              <w:left w:val="nil"/>
              <w:bottom w:val="nil"/>
              <w:right w:val="nil"/>
            </w:tcBorders>
            <w:vAlign w:val="bottom"/>
          </w:tcPr>
          <w:p w14:paraId="3A18713E" w14:textId="77777777" w:rsidR="00620D4E" w:rsidRPr="008E2886" w:rsidRDefault="00620D4E" w:rsidP="00620D4E">
            <w:pPr>
              <w:pStyle w:val="TableText"/>
              <w:tabs>
                <w:tab w:val="left" w:pos="3306"/>
              </w:tabs>
              <w:spacing w:before="0"/>
              <w:jc w:val="center"/>
              <w:rPr>
                <w:rFonts w:cs="Calibri"/>
                <w:sz w:val="12"/>
                <w:szCs w:val="12"/>
              </w:rPr>
            </w:pPr>
          </w:p>
        </w:tc>
        <w:tc>
          <w:tcPr>
            <w:tcW w:w="1134" w:type="dxa"/>
            <w:tcBorders>
              <w:top w:val="single" w:sz="4" w:space="0" w:color="auto"/>
              <w:left w:val="nil"/>
              <w:bottom w:val="nil"/>
              <w:right w:val="nil"/>
            </w:tcBorders>
          </w:tcPr>
          <w:p w14:paraId="3ECE48C9" w14:textId="77777777" w:rsidR="00620D4E" w:rsidRPr="008E2886" w:rsidRDefault="00620D4E" w:rsidP="00620D4E">
            <w:pPr>
              <w:pStyle w:val="TableText"/>
              <w:tabs>
                <w:tab w:val="left" w:pos="3306"/>
              </w:tabs>
              <w:spacing w:before="0"/>
              <w:jc w:val="right"/>
              <w:rPr>
                <w:rFonts w:cs="Calibri"/>
                <w:sz w:val="12"/>
                <w:szCs w:val="12"/>
              </w:rPr>
            </w:pPr>
          </w:p>
        </w:tc>
        <w:tc>
          <w:tcPr>
            <w:tcW w:w="1276" w:type="dxa"/>
            <w:tcBorders>
              <w:top w:val="single" w:sz="4" w:space="0" w:color="auto"/>
              <w:left w:val="nil"/>
              <w:bottom w:val="nil"/>
              <w:right w:val="nil"/>
            </w:tcBorders>
            <w:shd w:val="clear" w:color="auto" w:fill="auto"/>
            <w:vAlign w:val="bottom"/>
          </w:tcPr>
          <w:p w14:paraId="56BD29F2" w14:textId="7957F7E7" w:rsidR="00620D4E" w:rsidRPr="008E2886" w:rsidRDefault="00620D4E" w:rsidP="00620D4E">
            <w:pPr>
              <w:pStyle w:val="TableText"/>
              <w:tabs>
                <w:tab w:val="left" w:pos="3306"/>
              </w:tabs>
              <w:spacing w:before="0"/>
              <w:jc w:val="right"/>
              <w:rPr>
                <w:rFonts w:cs="Calibri"/>
                <w:sz w:val="12"/>
                <w:szCs w:val="12"/>
              </w:rPr>
            </w:pPr>
          </w:p>
        </w:tc>
        <w:tc>
          <w:tcPr>
            <w:tcW w:w="1134" w:type="dxa"/>
            <w:tcBorders>
              <w:top w:val="single" w:sz="4" w:space="0" w:color="auto"/>
              <w:left w:val="nil"/>
              <w:bottom w:val="nil"/>
              <w:right w:val="nil"/>
            </w:tcBorders>
            <w:shd w:val="clear" w:color="auto" w:fill="auto"/>
            <w:vAlign w:val="bottom"/>
          </w:tcPr>
          <w:p w14:paraId="31FEFB43" w14:textId="77777777" w:rsidR="00620D4E" w:rsidRPr="008E2886" w:rsidRDefault="00620D4E" w:rsidP="00620D4E">
            <w:pPr>
              <w:pStyle w:val="TableText"/>
              <w:tabs>
                <w:tab w:val="left" w:pos="3306"/>
              </w:tabs>
              <w:spacing w:before="0"/>
              <w:jc w:val="right"/>
              <w:rPr>
                <w:rFonts w:cs="Calibri"/>
                <w:sz w:val="12"/>
                <w:szCs w:val="12"/>
              </w:rPr>
            </w:pPr>
          </w:p>
        </w:tc>
        <w:tc>
          <w:tcPr>
            <w:tcW w:w="992" w:type="dxa"/>
            <w:tcBorders>
              <w:top w:val="single" w:sz="4" w:space="0" w:color="auto"/>
              <w:left w:val="nil"/>
              <w:bottom w:val="nil"/>
              <w:right w:val="nil"/>
            </w:tcBorders>
            <w:shd w:val="clear" w:color="auto" w:fill="auto"/>
            <w:vAlign w:val="bottom"/>
          </w:tcPr>
          <w:p w14:paraId="1DFA04B8" w14:textId="77777777" w:rsidR="00620D4E" w:rsidRPr="008E2886" w:rsidRDefault="00620D4E" w:rsidP="00620D4E">
            <w:pPr>
              <w:pStyle w:val="TableText"/>
              <w:tabs>
                <w:tab w:val="left" w:pos="3306"/>
              </w:tabs>
              <w:spacing w:before="0"/>
              <w:jc w:val="right"/>
              <w:rPr>
                <w:rFonts w:cs="Calibri"/>
                <w:sz w:val="12"/>
                <w:szCs w:val="12"/>
              </w:rPr>
            </w:pPr>
          </w:p>
        </w:tc>
        <w:tc>
          <w:tcPr>
            <w:tcW w:w="850" w:type="dxa"/>
            <w:tcBorders>
              <w:top w:val="single" w:sz="4" w:space="0" w:color="auto"/>
              <w:left w:val="nil"/>
              <w:bottom w:val="nil"/>
              <w:right w:val="nil"/>
            </w:tcBorders>
            <w:shd w:val="clear" w:color="auto" w:fill="auto"/>
            <w:vAlign w:val="bottom"/>
          </w:tcPr>
          <w:p w14:paraId="1B93D658" w14:textId="77777777" w:rsidR="00620D4E" w:rsidRPr="008E2886" w:rsidRDefault="00620D4E" w:rsidP="00620D4E">
            <w:pPr>
              <w:pStyle w:val="TableText"/>
              <w:tabs>
                <w:tab w:val="left" w:pos="3306"/>
              </w:tabs>
              <w:spacing w:before="0"/>
              <w:jc w:val="right"/>
              <w:rPr>
                <w:rFonts w:cs="Calibri"/>
                <w:sz w:val="12"/>
                <w:szCs w:val="12"/>
              </w:rPr>
            </w:pPr>
          </w:p>
        </w:tc>
      </w:tr>
      <w:tr w:rsidR="00620D4E" w:rsidRPr="00CF7E1B" w14:paraId="4003B885" w14:textId="77777777" w:rsidTr="004D1EC6">
        <w:trPr>
          <w:cantSplit/>
          <w:trHeight w:val="20"/>
        </w:trPr>
        <w:tc>
          <w:tcPr>
            <w:tcW w:w="1478" w:type="dxa"/>
            <w:tcBorders>
              <w:top w:val="nil"/>
              <w:left w:val="single" w:sz="2" w:space="0" w:color="auto"/>
              <w:bottom w:val="nil"/>
              <w:right w:val="single" w:sz="2" w:space="0" w:color="auto"/>
            </w:tcBorders>
          </w:tcPr>
          <w:p w14:paraId="456D145D" w14:textId="77777777" w:rsidR="00620D4E" w:rsidRPr="008E2886" w:rsidRDefault="00620D4E" w:rsidP="00620D4E">
            <w:pPr>
              <w:pStyle w:val="TableReference"/>
              <w:tabs>
                <w:tab w:val="left" w:pos="3306"/>
              </w:tabs>
              <w:spacing w:before="60"/>
              <w:rPr>
                <w:rFonts w:cs="Calibri"/>
                <w:color w:val="7030A0"/>
                <w:sz w:val="14"/>
              </w:rPr>
            </w:pPr>
          </w:p>
        </w:tc>
        <w:tc>
          <w:tcPr>
            <w:tcW w:w="3260" w:type="dxa"/>
            <w:tcBorders>
              <w:top w:val="nil"/>
              <w:left w:val="single" w:sz="2" w:space="0" w:color="auto"/>
              <w:bottom w:val="nil"/>
              <w:right w:val="nil"/>
            </w:tcBorders>
          </w:tcPr>
          <w:p w14:paraId="04B31B0A" w14:textId="77777777" w:rsidR="00620D4E" w:rsidRPr="008E2886" w:rsidRDefault="00620D4E" w:rsidP="00620D4E">
            <w:pPr>
              <w:tabs>
                <w:tab w:val="left" w:pos="3306"/>
              </w:tabs>
              <w:spacing w:before="60" w:after="60"/>
              <w:rPr>
                <w:rFonts w:cs="Calibri"/>
                <w:b/>
                <w:sz w:val="18"/>
              </w:rPr>
            </w:pPr>
            <w:r w:rsidRPr="008E2886">
              <w:rPr>
                <w:rFonts w:cs="Calibri"/>
                <w:b/>
                <w:sz w:val="18"/>
              </w:rPr>
              <w:t>Comprehensive Income</w:t>
            </w:r>
          </w:p>
        </w:tc>
        <w:tc>
          <w:tcPr>
            <w:tcW w:w="709" w:type="dxa"/>
            <w:tcBorders>
              <w:top w:val="nil"/>
              <w:left w:val="nil"/>
              <w:bottom w:val="nil"/>
              <w:right w:val="nil"/>
            </w:tcBorders>
            <w:vAlign w:val="bottom"/>
          </w:tcPr>
          <w:p w14:paraId="66210DA5"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2ED21CEC"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1D1569EE" w14:textId="0ACB283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598D9405"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7746560"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761DA62" w14:textId="77777777" w:rsidR="00620D4E" w:rsidRPr="008E2886" w:rsidRDefault="00620D4E" w:rsidP="00620D4E">
            <w:pPr>
              <w:pStyle w:val="TableText"/>
              <w:tabs>
                <w:tab w:val="left" w:pos="3306"/>
              </w:tabs>
              <w:jc w:val="right"/>
              <w:rPr>
                <w:rFonts w:cs="Calibri"/>
              </w:rPr>
            </w:pPr>
          </w:p>
        </w:tc>
      </w:tr>
      <w:tr w:rsidR="00620D4E" w:rsidRPr="00CF7E1B" w14:paraId="79B2BC1D" w14:textId="77777777" w:rsidTr="004D1EC6">
        <w:trPr>
          <w:cantSplit/>
          <w:trHeight w:val="20"/>
        </w:trPr>
        <w:tc>
          <w:tcPr>
            <w:tcW w:w="1478" w:type="dxa"/>
            <w:tcBorders>
              <w:top w:val="nil"/>
              <w:left w:val="single" w:sz="2" w:space="0" w:color="auto"/>
              <w:bottom w:val="nil"/>
              <w:right w:val="single" w:sz="2" w:space="0" w:color="auto"/>
            </w:tcBorders>
          </w:tcPr>
          <w:p w14:paraId="69CA94C4"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w:t>
            </w:r>
          </w:p>
        </w:tc>
        <w:tc>
          <w:tcPr>
            <w:tcW w:w="3260" w:type="dxa"/>
            <w:tcBorders>
              <w:top w:val="nil"/>
              <w:left w:val="single" w:sz="2" w:space="0" w:color="auto"/>
              <w:bottom w:val="nil"/>
              <w:right w:val="nil"/>
            </w:tcBorders>
          </w:tcPr>
          <w:p w14:paraId="1BBA03DD" w14:textId="783BD852" w:rsidR="00620D4E" w:rsidRPr="008E2886" w:rsidRDefault="00620D4E" w:rsidP="00620D4E">
            <w:pPr>
              <w:tabs>
                <w:tab w:val="left" w:pos="3306"/>
              </w:tabs>
              <w:spacing w:before="60" w:after="60"/>
              <w:rPr>
                <w:rFonts w:cs="Calibri"/>
                <w:sz w:val="18"/>
              </w:rPr>
            </w:pPr>
            <w:r w:rsidRPr="008E2886">
              <w:rPr>
                <w:rFonts w:cs="Calibri"/>
                <w:sz w:val="18"/>
              </w:rPr>
              <w:t xml:space="preserve">Operating </w:t>
            </w:r>
            <w:r w:rsidR="00C716AA" w:rsidRPr="008E2886">
              <w:rPr>
                <w:rFonts w:cs="Calibri"/>
                <w:sz w:val="18"/>
              </w:rPr>
              <w:t xml:space="preserve">Result </w:t>
            </w:r>
          </w:p>
        </w:tc>
        <w:tc>
          <w:tcPr>
            <w:tcW w:w="709" w:type="dxa"/>
            <w:tcBorders>
              <w:top w:val="nil"/>
              <w:left w:val="nil"/>
              <w:bottom w:val="nil"/>
              <w:right w:val="nil"/>
            </w:tcBorders>
            <w:vAlign w:val="bottom"/>
          </w:tcPr>
          <w:p w14:paraId="4A32F4E6" w14:textId="77777777" w:rsidR="00620D4E" w:rsidRPr="008E2886" w:rsidRDefault="00620D4E" w:rsidP="00620D4E">
            <w:pPr>
              <w:pStyle w:val="TableText"/>
              <w:tabs>
                <w:tab w:val="left" w:pos="3306"/>
              </w:tabs>
              <w:jc w:val="center"/>
              <w:rPr>
                <w:rFonts w:cs="Calibri"/>
              </w:rPr>
            </w:pPr>
          </w:p>
        </w:tc>
        <w:tc>
          <w:tcPr>
            <w:tcW w:w="1134" w:type="dxa"/>
            <w:tcBorders>
              <w:top w:val="nil"/>
              <w:left w:val="nil"/>
              <w:bottom w:val="nil"/>
              <w:right w:val="nil"/>
            </w:tcBorders>
          </w:tcPr>
          <w:p w14:paraId="665B73C4"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1FE9FD90" w14:textId="4DAC4EE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EB1474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2207E042"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233314D4" w14:textId="77777777" w:rsidR="00620D4E" w:rsidRPr="008E2886" w:rsidRDefault="00620D4E" w:rsidP="00620D4E">
            <w:pPr>
              <w:pStyle w:val="TableText"/>
              <w:tabs>
                <w:tab w:val="left" w:pos="3306"/>
              </w:tabs>
              <w:jc w:val="right"/>
              <w:rPr>
                <w:rFonts w:cs="Calibri"/>
              </w:rPr>
            </w:pPr>
          </w:p>
        </w:tc>
      </w:tr>
      <w:tr w:rsidR="00620D4E" w:rsidRPr="00CF7E1B" w14:paraId="1192C2B5" w14:textId="77777777" w:rsidTr="004D1EC6">
        <w:trPr>
          <w:cantSplit/>
          <w:trHeight w:val="20"/>
        </w:trPr>
        <w:tc>
          <w:tcPr>
            <w:tcW w:w="1478" w:type="dxa"/>
            <w:tcBorders>
              <w:top w:val="nil"/>
              <w:left w:val="single" w:sz="2" w:space="0" w:color="auto"/>
              <w:bottom w:val="nil"/>
              <w:right w:val="single" w:sz="2" w:space="0" w:color="auto"/>
            </w:tcBorders>
          </w:tcPr>
          <w:p w14:paraId="58E7A017"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w:t>
            </w:r>
          </w:p>
        </w:tc>
        <w:tc>
          <w:tcPr>
            <w:tcW w:w="3260" w:type="dxa"/>
            <w:tcBorders>
              <w:top w:val="nil"/>
              <w:left w:val="single" w:sz="2" w:space="0" w:color="auto"/>
              <w:bottom w:val="nil"/>
              <w:right w:val="nil"/>
            </w:tcBorders>
          </w:tcPr>
          <w:p w14:paraId="48F5806D" w14:textId="77777777" w:rsidR="00620D4E" w:rsidRPr="008E2886" w:rsidRDefault="00620D4E" w:rsidP="00620D4E">
            <w:pPr>
              <w:tabs>
                <w:tab w:val="left" w:pos="3306"/>
              </w:tabs>
              <w:spacing w:before="60" w:after="60"/>
              <w:rPr>
                <w:rFonts w:cs="Calibri"/>
                <w:sz w:val="18"/>
              </w:rPr>
            </w:pPr>
            <w:r w:rsidRPr="008E2886">
              <w:rPr>
                <w:rFonts w:cs="Calibri"/>
                <w:sz w:val="18"/>
              </w:rPr>
              <w:t>Increase/(Decrease) in the Asset Revaluation Surplus</w:t>
            </w:r>
          </w:p>
        </w:tc>
        <w:tc>
          <w:tcPr>
            <w:tcW w:w="709" w:type="dxa"/>
            <w:tcBorders>
              <w:top w:val="nil"/>
              <w:left w:val="nil"/>
              <w:bottom w:val="nil"/>
              <w:right w:val="nil"/>
            </w:tcBorders>
            <w:vAlign w:val="bottom"/>
          </w:tcPr>
          <w:p w14:paraId="0D4CA8EC" w14:textId="6E5A254C" w:rsidR="00620D4E" w:rsidRPr="008E2886" w:rsidRDefault="00620D4E" w:rsidP="00620D4E">
            <w:pPr>
              <w:pStyle w:val="TableText"/>
              <w:tabs>
                <w:tab w:val="left" w:pos="3306"/>
              </w:tabs>
              <w:jc w:val="center"/>
              <w:rPr>
                <w:rFonts w:cs="Calibri"/>
                <w:strike/>
                <w:szCs w:val="16"/>
              </w:rPr>
            </w:pPr>
          </w:p>
        </w:tc>
        <w:tc>
          <w:tcPr>
            <w:tcW w:w="1134" w:type="dxa"/>
            <w:tcBorders>
              <w:top w:val="nil"/>
              <w:left w:val="nil"/>
              <w:bottom w:val="nil"/>
              <w:right w:val="nil"/>
            </w:tcBorders>
          </w:tcPr>
          <w:p w14:paraId="70388D81"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50F9189C" w14:textId="5D751878"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F31FF52"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3C1CE726"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BDC681C" w14:textId="77777777" w:rsidR="00620D4E" w:rsidRPr="008E2886" w:rsidRDefault="00620D4E" w:rsidP="00620D4E">
            <w:pPr>
              <w:pStyle w:val="TableText"/>
              <w:tabs>
                <w:tab w:val="left" w:pos="3306"/>
              </w:tabs>
              <w:jc w:val="right"/>
              <w:rPr>
                <w:rFonts w:cs="Calibri"/>
              </w:rPr>
            </w:pPr>
          </w:p>
        </w:tc>
      </w:tr>
      <w:tr w:rsidR="00620D4E" w:rsidRPr="00CF7E1B" w14:paraId="748206C0" w14:textId="77777777" w:rsidTr="004D1EC6">
        <w:trPr>
          <w:cantSplit/>
          <w:trHeight w:val="20"/>
        </w:trPr>
        <w:tc>
          <w:tcPr>
            <w:tcW w:w="1478" w:type="dxa"/>
            <w:tcBorders>
              <w:top w:val="nil"/>
              <w:left w:val="single" w:sz="2" w:space="0" w:color="auto"/>
              <w:bottom w:val="nil"/>
              <w:right w:val="single" w:sz="2" w:space="0" w:color="auto"/>
            </w:tcBorders>
          </w:tcPr>
          <w:p w14:paraId="464446A3" w14:textId="77777777" w:rsidR="00620D4E" w:rsidRPr="008E2886" w:rsidRDefault="00620D4E" w:rsidP="00620D4E">
            <w:pPr>
              <w:pStyle w:val="TableReference"/>
              <w:tabs>
                <w:tab w:val="left" w:pos="3306"/>
              </w:tabs>
              <w:spacing w:before="60"/>
              <w:rPr>
                <w:rFonts w:cs="Calibri"/>
                <w:color w:val="7030A0"/>
                <w:sz w:val="14"/>
              </w:rPr>
            </w:pPr>
          </w:p>
        </w:tc>
        <w:tc>
          <w:tcPr>
            <w:tcW w:w="3260" w:type="dxa"/>
            <w:tcBorders>
              <w:top w:val="nil"/>
              <w:left w:val="single" w:sz="2" w:space="0" w:color="auto"/>
              <w:bottom w:val="nil"/>
              <w:right w:val="nil"/>
            </w:tcBorders>
          </w:tcPr>
          <w:p w14:paraId="4456AD7C" w14:textId="77777777" w:rsidR="00620D4E" w:rsidRPr="008E2886" w:rsidRDefault="00620D4E" w:rsidP="00620D4E">
            <w:pPr>
              <w:tabs>
                <w:tab w:val="left" w:pos="3306"/>
              </w:tabs>
              <w:spacing w:before="60" w:after="60"/>
              <w:rPr>
                <w:rFonts w:cs="Calibri"/>
                <w:sz w:val="18"/>
              </w:rPr>
            </w:pPr>
            <w:r w:rsidRPr="008E2886">
              <w:rPr>
                <w:rFonts w:cs="Calibri"/>
                <w:sz w:val="18"/>
              </w:rPr>
              <w:t>Other Comprehensive Income</w:t>
            </w:r>
          </w:p>
        </w:tc>
        <w:tc>
          <w:tcPr>
            <w:tcW w:w="709" w:type="dxa"/>
            <w:tcBorders>
              <w:top w:val="nil"/>
              <w:left w:val="nil"/>
              <w:bottom w:val="nil"/>
              <w:right w:val="nil"/>
            </w:tcBorders>
            <w:vAlign w:val="bottom"/>
          </w:tcPr>
          <w:p w14:paraId="4C4A58D2"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single" w:sz="4" w:space="0" w:color="auto"/>
              <w:right w:val="nil"/>
            </w:tcBorders>
          </w:tcPr>
          <w:p w14:paraId="51BDF5FE"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single" w:sz="4" w:space="0" w:color="auto"/>
              <w:right w:val="nil"/>
            </w:tcBorders>
            <w:shd w:val="clear" w:color="auto" w:fill="auto"/>
            <w:vAlign w:val="bottom"/>
          </w:tcPr>
          <w:p w14:paraId="5B3E43E8" w14:textId="44998CDE" w:rsidR="00620D4E" w:rsidRPr="008E2886" w:rsidRDefault="00620D4E" w:rsidP="00620D4E">
            <w:pPr>
              <w:pStyle w:val="TableText"/>
              <w:tabs>
                <w:tab w:val="left" w:pos="3306"/>
              </w:tabs>
              <w:jc w:val="right"/>
              <w:rPr>
                <w:rFonts w:cs="Calibri"/>
              </w:rPr>
            </w:pPr>
          </w:p>
        </w:tc>
        <w:tc>
          <w:tcPr>
            <w:tcW w:w="1134" w:type="dxa"/>
            <w:tcBorders>
              <w:top w:val="nil"/>
              <w:left w:val="nil"/>
              <w:bottom w:val="single" w:sz="4" w:space="0" w:color="auto"/>
              <w:right w:val="nil"/>
            </w:tcBorders>
            <w:shd w:val="clear" w:color="auto" w:fill="auto"/>
            <w:vAlign w:val="bottom"/>
          </w:tcPr>
          <w:p w14:paraId="7EC0106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single" w:sz="4" w:space="0" w:color="auto"/>
              <w:right w:val="nil"/>
            </w:tcBorders>
            <w:shd w:val="clear" w:color="auto" w:fill="auto"/>
            <w:vAlign w:val="bottom"/>
          </w:tcPr>
          <w:p w14:paraId="2941C8DC"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single" w:sz="4" w:space="0" w:color="auto"/>
              <w:right w:val="nil"/>
            </w:tcBorders>
            <w:shd w:val="clear" w:color="auto" w:fill="auto"/>
            <w:vAlign w:val="bottom"/>
          </w:tcPr>
          <w:p w14:paraId="5BC37590" w14:textId="77777777" w:rsidR="00620D4E" w:rsidRPr="008E2886" w:rsidRDefault="00620D4E" w:rsidP="00620D4E">
            <w:pPr>
              <w:pStyle w:val="TableText"/>
              <w:tabs>
                <w:tab w:val="left" w:pos="3306"/>
              </w:tabs>
              <w:jc w:val="right"/>
              <w:rPr>
                <w:rFonts w:cs="Calibri"/>
              </w:rPr>
            </w:pPr>
          </w:p>
        </w:tc>
      </w:tr>
      <w:tr w:rsidR="00620D4E" w:rsidRPr="00CF7E1B" w14:paraId="287D966D" w14:textId="77777777" w:rsidTr="004D1EC6">
        <w:trPr>
          <w:cantSplit/>
          <w:trHeight w:val="20"/>
        </w:trPr>
        <w:tc>
          <w:tcPr>
            <w:tcW w:w="1478" w:type="dxa"/>
            <w:tcBorders>
              <w:top w:val="nil"/>
              <w:left w:val="single" w:sz="2" w:space="0" w:color="auto"/>
              <w:bottom w:val="nil"/>
              <w:right w:val="single" w:sz="2" w:space="0" w:color="auto"/>
            </w:tcBorders>
          </w:tcPr>
          <w:p w14:paraId="3B49F41A"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101.106(a)</w:t>
            </w:r>
          </w:p>
        </w:tc>
        <w:tc>
          <w:tcPr>
            <w:tcW w:w="3260" w:type="dxa"/>
            <w:tcBorders>
              <w:top w:val="nil"/>
              <w:left w:val="single" w:sz="2" w:space="0" w:color="auto"/>
              <w:bottom w:val="nil"/>
              <w:right w:val="nil"/>
            </w:tcBorders>
          </w:tcPr>
          <w:p w14:paraId="1F266922" w14:textId="77777777" w:rsidR="00620D4E" w:rsidRPr="008E2886" w:rsidRDefault="00620D4E" w:rsidP="00620D4E">
            <w:pPr>
              <w:tabs>
                <w:tab w:val="left" w:pos="3306"/>
              </w:tabs>
              <w:spacing w:before="60" w:after="60"/>
              <w:rPr>
                <w:rFonts w:cs="Calibri"/>
                <w:b/>
                <w:strike/>
                <w:sz w:val="18"/>
              </w:rPr>
            </w:pPr>
            <w:r w:rsidRPr="008E2886">
              <w:rPr>
                <w:rFonts w:cs="Calibri"/>
                <w:b/>
                <w:sz w:val="18"/>
              </w:rPr>
              <w:t>Total Comprehensive Income</w:t>
            </w:r>
          </w:p>
        </w:tc>
        <w:tc>
          <w:tcPr>
            <w:tcW w:w="709" w:type="dxa"/>
            <w:tcBorders>
              <w:top w:val="nil"/>
              <w:left w:val="nil"/>
              <w:bottom w:val="nil"/>
              <w:right w:val="nil"/>
            </w:tcBorders>
            <w:vAlign w:val="bottom"/>
          </w:tcPr>
          <w:p w14:paraId="1F9BEF1B" w14:textId="77777777" w:rsidR="00620D4E" w:rsidRPr="008E2886" w:rsidRDefault="00620D4E" w:rsidP="00620D4E">
            <w:pPr>
              <w:pStyle w:val="TableText"/>
              <w:tabs>
                <w:tab w:val="left" w:pos="3306"/>
              </w:tabs>
              <w:jc w:val="center"/>
              <w:rPr>
                <w:rFonts w:cs="Calibri"/>
                <w:b/>
                <w:strike/>
              </w:rPr>
            </w:pPr>
          </w:p>
        </w:tc>
        <w:tc>
          <w:tcPr>
            <w:tcW w:w="1134" w:type="dxa"/>
            <w:tcBorders>
              <w:top w:val="single" w:sz="4" w:space="0" w:color="auto"/>
              <w:left w:val="nil"/>
              <w:bottom w:val="single" w:sz="4" w:space="0" w:color="auto"/>
              <w:right w:val="nil"/>
            </w:tcBorders>
          </w:tcPr>
          <w:p w14:paraId="41AEB094" w14:textId="77777777" w:rsidR="00620D4E" w:rsidRPr="008E2886" w:rsidRDefault="00620D4E" w:rsidP="00620D4E">
            <w:pPr>
              <w:pStyle w:val="TableText"/>
              <w:tabs>
                <w:tab w:val="left" w:pos="3306"/>
              </w:tabs>
              <w:jc w:val="right"/>
              <w:rPr>
                <w:rFonts w:cs="Calibri"/>
                <w:b/>
              </w:rPr>
            </w:pPr>
          </w:p>
        </w:tc>
        <w:tc>
          <w:tcPr>
            <w:tcW w:w="1276" w:type="dxa"/>
            <w:tcBorders>
              <w:top w:val="single" w:sz="4" w:space="0" w:color="auto"/>
              <w:left w:val="nil"/>
              <w:bottom w:val="single" w:sz="4" w:space="0" w:color="auto"/>
              <w:right w:val="nil"/>
            </w:tcBorders>
            <w:shd w:val="clear" w:color="auto" w:fill="auto"/>
            <w:vAlign w:val="bottom"/>
          </w:tcPr>
          <w:p w14:paraId="3C30A9AA" w14:textId="7F92E6D7" w:rsidR="00620D4E" w:rsidRPr="008E2886" w:rsidRDefault="00620D4E" w:rsidP="00620D4E">
            <w:pPr>
              <w:pStyle w:val="TableText"/>
              <w:tabs>
                <w:tab w:val="left" w:pos="3306"/>
              </w:tabs>
              <w:jc w:val="right"/>
              <w:rPr>
                <w:rFonts w:cs="Calibri"/>
                <w:b/>
              </w:rPr>
            </w:pPr>
          </w:p>
        </w:tc>
        <w:tc>
          <w:tcPr>
            <w:tcW w:w="1134" w:type="dxa"/>
            <w:tcBorders>
              <w:top w:val="single" w:sz="4" w:space="0" w:color="auto"/>
              <w:left w:val="nil"/>
              <w:bottom w:val="single" w:sz="4" w:space="0" w:color="auto"/>
              <w:right w:val="nil"/>
            </w:tcBorders>
            <w:shd w:val="clear" w:color="auto" w:fill="auto"/>
            <w:vAlign w:val="bottom"/>
          </w:tcPr>
          <w:p w14:paraId="31E9A3D8" w14:textId="77777777" w:rsidR="00620D4E" w:rsidRPr="008E2886" w:rsidRDefault="00620D4E" w:rsidP="00620D4E">
            <w:pPr>
              <w:pStyle w:val="TableText"/>
              <w:tabs>
                <w:tab w:val="left" w:pos="3306"/>
              </w:tabs>
              <w:jc w:val="right"/>
              <w:rPr>
                <w:rFonts w:cs="Calibri"/>
                <w:b/>
              </w:rPr>
            </w:pPr>
          </w:p>
        </w:tc>
        <w:tc>
          <w:tcPr>
            <w:tcW w:w="992" w:type="dxa"/>
            <w:tcBorders>
              <w:top w:val="single" w:sz="4" w:space="0" w:color="auto"/>
              <w:left w:val="nil"/>
              <w:bottom w:val="single" w:sz="4" w:space="0" w:color="auto"/>
              <w:right w:val="nil"/>
            </w:tcBorders>
            <w:shd w:val="clear" w:color="auto" w:fill="auto"/>
            <w:vAlign w:val="bottom"/>
          </w:tcPr>
          <w:p w14:paraId="6B3F5B13" w14:textId="77777777" w:rsidR="00620D4E" w:rsidRPr="008E2886" w:rsidRDefault="00620D4E" w:rsidP="00620D4E">
            <w:pPr>
              <w:pStyle w:val="TableText"/>
              <w:tabs>
                <w:tab w:val="left" w:pos="3306"/>
              </w:tabs>
              <w:jc w:val="right"/>
              <w:rPr>
                <w:rFonts w:cs="Calibri"/>
                <w:b/>
              </w:rPr>
            </w:pPr>
          </w:p>
        </w:tc>
        <w:tc>
          <w:tcPr>
            <w:tcW w:w="850" w:type="dxa"/>
            <w:tcBorders>
              <w:top w:val="single" w:sz="4" w:space="0" w:color="auto"/>
              <w:left w:val="nil"/>
              <w:bottom w:val="single" w:sz="4" w:space="0" w:color="auto"/>
              <w:right w:val="nil"/>
            </w:tcBorders>
            <w:shd w:val="clear" w:color="auto" w:fill="auto"/>
            <w:vAlign w:val="bottom"/>
          </w:tcPr>
          <w:p w14:paraId="7895DE49" w14:textId="77777777" w:rsidR="00620D4E" w:rsidRPr="008E2886" w:rsidRDefault="00620D4E" w:rsidP="00620D4E">
            <w:pPr>
              <w:pStyle w:val="TableText"/>
              <w:tabs>
                <w:tab w:val="left" w:pos="3306"/>
              </w:tabs>
              <w:jc w:val="right"/>
              <w:rPr>
                <w:rFonts w:cs="Calibri"/>
                <w:b/>
              </w:rPr>
            </w:pPr>
          </w:p>
        </w:tc>
      </w:tr>
      <w:tr w:rsidR="00620D4E" w:rsidRPr="00CF7E1B" w14:paraId="23EC4252" w14:textId="77777777" w:rsidTr="004D1EC6">
        <w:trPr>
          <w:cantSplit/>
          <w:trHeight w:val="20"/>
        </w:trPr>
        <w:tc>
          <w:tcPr>
            <w:tcW w:w="1478" w:type="dxa"/>
            <w:tcBorders>
              <w:top w:val="nil"/>
              <w:left w:val="single" w:sz="2" w:space="0" w:color="auto"/>
              <w:bottom w:val="nil"/>
              <w:right w:val="single" w:sz="2" w:space="0" w:color="auto"/>
            </w:tcBorders>
          </w:tcPr>
          <w:p w14:paraId="75008978" w14:textId="77777777" w:rsidR="00620D4E" w:rsidRPr="008E2886" w:rsidRDefault="00620D4E" w:rsidP="006141B9">
            <w:pPr>
              <w:pStyle w:val="TableReference"/>
              <w:tabs>
                <w:tab w:val="left" w:pos="3306"/>
              </w:tabs>
              <w:spacing w:before="240" w:after="240"/>
              <w:rPr>
                <w:rFonts w:cs="Calibri"/>
                <w:strike/>
                <w:color w:val="7030A0"/>
                <w:sz w:val="14"/>
              </w:rPr>
            </w:pPr>
          </w:p>
        </w:tc>
        <w:tc>
          <w:tcPr>
            <w:tcW w:w="3260" w:type="dxa"/>
            <w:tcBorders>
              <w:top w:val="nil"/>
              <w:left w:val="single" w:sz="2" w:space="0" w:color="auto"/>
              <w:bottom w:val="nil"/>
              <w:right w:val="nil"/>
            </w:tcBorders>
            <w:vAlign w:val="bottom"/>
          </w:tcPr>
          <w:p w14:paraId="30A6B170" w14:textId="77777777" w:rsidR="00620D4E" w:rsidRPr="008E2886" w:rsidRDefault="00620D4E" w:rsidP="006141B9">
            <w:pPr>
              <w:tabs>
                <w:tab w:val="left" w:pos="3306"/>
              </w:tabs>
              <w:spacing w:before="240" w:after="240"/>
              <w:rPr>
                <w:rFonts w:cs="Calibri"/>
                <w:strike/>
                <w:sz w:val="18"/>
              </w:rPr>
            </w:pPr>
            <w:r w:rsidRPr="008E2886">
              <w:rPr>
                <w:rFonts w:cs="Calibri"/>
                <w:sz w:val="18"/>
              </w:rPr>
              <w:t>Transfers (from)/to reserves</w:t>
            </w:r>
          </w:p>
        </w:tc>
        <w:tc>
          <w:tcPr>
            <w:tcW w:w="709" w:type="dxa"/>
            <w:tcBorders>
              <w:top w:val="nil"/>
              <w:left w:val="nil"/>
              <w:bottom w:val="nil"/>
              <w:right w:val="nil"/>
            </w:tcBorders>
            <w:vAlign w:val="bottom"/>
          </w:tcPr>
          <w:p w14:paraId="05F1DE72" w14:textId="77777777" w:rsidR="00620D4E" w:rsidRPr="008E2886" w:rsidRDefault="00620D4E" w:rsidP="006141B9">
            <w:pPr>
              <w:pStyle w:val="TableText"/>
              <w:tabs>
                <w:tab w:val="left" w:pos="3306"/>
              </w:tabs>
              <w:spacing w:before="240" w:after="240"/>
              <w:rPr>
                <w:rFonts w:cs="Calibri"/>
                <w:strike/>
              </w:rPr>
            </w:pPr>
          </w:p>
        </w:tc>
        <w:tc>
          <w:tcPr>
            <w:tcW w:w="1134" w:type="dxa"/>
            <w:tcBorders>
              <w:top w:val="single" w:sz="4" w:space="0" w:color="auto"/>
              <w:left w:val="nil"/>
              <w:bottom w:val="nil"/>
              <w:right w:val="nil"/>
            </w:tcBorders>
            <w:vAlign w:val="bottom"/>
          </w:tcPr>
          <w:p w14:paraId="04A67F7C" w14:textId="77777777" w:rsidR="00620D4E" w:rsidRPr="008E2886" w:rsidRDefault="00620D4E" w:rsidP="006141B9">
            <w:pPr>
              <w:pStyle w:val="TableText"/>
              <w:tabs>
                <w:tab w:val="left" w:pos="3306"/>
              </w:tabs>
              <w:spacing w:before="240" w:after="240"/>
              <w:rPr>
                <w:rFonts w:cs="Calibri"/>
              </w:rPr>
            </w:pPr>
          </w:p>
        </w:tc>
        <w:tc>
          <w:tcPr>
            <w:tcW w:w="1276" w:type="dxa"/>
            <w:tcBorders>
              <w:top w:val="single" w:sz="4" w:space="0" w:color="auto"/>
              <w:left w:val="nil"/>
              <w:bottom w:val="nil"/>
              <w:right w:val="nil"/>
            </w:tcBorders>
            <w:shd w:val="clear" w:color="auto" w:fill="auto"/>
            <w:vAlign w:val="bottom"/>
          </w:tcPr>
          <w:p w14:paraId="2AEF7D34" w14:textId="65B8FBF3" w:rsidR="00620D4E" w:rsidRPr="008E2886" w:rsidRDefault="00620D4E" w:rsidP="006141B9">
            <w:pPr>
              <w:pStyle w:val="TableText"/>
              <w:tabs>
                <w:tab w:val="left" w:pos="3306"/>
              </w:tabs>
              <w:spacing w:before="240" w:after="240"/>
              <w:rPr>
                <w:rFonts w:cs="Calibri"/>
              </w:rPr>
            </w:pPr>
          </w:p>
        </w:tc>
        <w:tc>
          <w:tcPr>
            <w:tcW w:w="1134" w:type="dxa"/>
            <w:tcBorders>
              <w:top w:val="single" w:sz="4" w:space="0" w:color="auto"/>
              <w:left w:val="nil"/>
              <w:bottom w:val="nil"/>
              <w:right w:val="nil"/>
            </w:tcBorders>
            <w:shd w:val="clear" w:color="auto" w:fill="auto"/>
            <w:vAlign w:val="bottom"/>
          </w:tcPr>
          <w:p w14:paraId="40A2F9CD" w14:textId="77777777" w:rsidR="00620D4E" w:rsidRPr="008E2886" w:rsidRDefault="00620D4E" w:rsidP="006141B9">
            <w:pPr>
              <w:pStyle w:val="TableText"/>
              <w:tabs>
                <w:tab w:val="left" w:pos="3306"/>
              </w:tabs>
              <w:spacing w:before="240" w:after="240"/>
              <w:rPr>
                <w:rFonts w:cs="Calibri"/>
              </w:rPr>
            </w:pPr>
          </w:p>
        </w:tc>
        <w:tc>
          <w:tcPr>
            <w:tcW w:w="992" w:type="dxa"/>
            <w:tcBorders>
              <w:top w:val="single" w:sz="4" w:space="0" w:color="auto"/>
              <w:left w:val="nil"/>
              <w:bottom w:val="nil"/>
              <w:right w:val="nil"/>
            </w:tcBorders>
            <w:shd w:val="clear" w:color="auto" w:fill="auto"/>
            <w:vAlign w:val="bottom"/>
          </w:tcPr>
          <w:p w14:paraId="4755F302" w14:textId="77777777" w:rsidR="00620D4E" w:rsidRPr="008E2886" w:rsidRDefault="00620D4E" w:rsidP="006141B9">
            <w:pPr>
              <w:pStyle w:val="TableText"/>
              <w:tabs>
                <w:tab w:val="left" w:pos="3306"/>
              </w:tabs>
              <w:spacing w:before="240" w:after="240"/>
              <w:rPr>
                <w:rFonts w:cs="Calibri"/>
              </w:rPr>
            </w:pPr>
          </w:p>
        </w:tc>
        <w:tc>
          <w:tcPr>
            <w:tcW w:w="850" w:type="dxa"/>
            <w:tcBorders>
              <w:top w:val="single" w:sz="4" w:space="0" w:color="auto"/>
              <w:left w:val="nil"/>
              <w:bottom w:val="nil"/>
              <w:right w:val="nil"/>
            </w:tcBorders>
            <w:shd w:val="clear" w:color="auto" w:fill="auto"/>
            <w:vAlign w:val="bottom"/>
          </w:tcPr>
          <w:p w14:paraId="47585CC8" w14:textId="77777777" w:rsidR="00620D4E" w:rsidRPr="008E2886" w:rsidRDefault="00620D4E" w:rsidP="006141B9">
            <w:pPr>
              <w:pStyle w:val="TableText"/>
              <w:tabs>
                <w:tab w:val="left" w:pos="3306"/>
              </w:tabs>
              <w:spacing w:before="240" w:after="240"/>
              <w:rPr>
                <w:rFonts w:cs="Calibri"/>
              </w:rPr>
            </w:pPr>
          </w:p>
        </w:tc>
      </w:tr>
      <w:tr w:rsidR="00620D4E" w:rsidRPr="00CF7E1B" w14:paraId="500201FC" w14:textId="77777777" w:rsidTr="004D1EC6">
        <w:trPr>
          <w:cantSplit/>
          <w:trHeight w:val="20"/>
        </w:trPr>
        <w:tc>
          <w:tcPr>
            <w:tcW w:w="1478" w:type="dxa"/>
            <w:tcBorders>
              <w:top w:val="nil"/>
              <w:left w:val="single" w:sz="2" w:space="0" w:color="auto"/>
              <w:bottom w:val="nil"/>
              <w:right w:val="single" w:sz="2" w:space="0" w:color="auto"/>
            </w:tcBorders>
          </w:tcPr>
          <w:p w14:paraId="39B8F937" w14:textId="77777777" w:rsidR="00620D4E" w:rsidRPr="008E2886" w:rsidRDefault="00620D4E" w:rsidP="00620D4E">
            <w:pPr>
              <w:pStyle w:val="TableReference"/>
              <w:tabs>
                <w:tab w:val="left" w:pos="3306"/>
              </w:tabs>
              <w:spacing w:before="40"/>
              <w:rPr>
                <w:rFonts w:cs="Calibri"/>
                <w:color w:val="7030A0"/>
                <w:sz w:val="14"/>
              </w:rPr>
            </w:pPr>
          </w:p>
        </w:tc>
        <w:tc>
          <w:tcPr>
            <w:tcW w:w="3260" w:type="dxa"/>
            <w:tcBorders>
              <w:top w:val="nil"/>
              <w:left w:val="single" w:sz="2" w:space="0" w:color="auto"/>
              <w:bottom w:val="nil"/>
              <w:right w:val="nil"/>
            </w:tcBorders>
          </w:tcPr>
          <w:p w14:paraId="083D7A04" w14:textId="77777777" w:rsidR="00620D4E" w:rsidRPr="008E2886" w:rsidRDefault="00620D4E" w:rsidP="00620D4E">
            <w:pPr>
              <w:tabs>
                <w:tab w:val="left" w:pos="3306"/>
              </w:tabs>
              <w:spacing w:before="60" w:after="60"/>
              <w:rPr>
                <w:rFonts w:cs="Calibri"/>
                <w:b/>
                <w:iCs/>
                <w:sz w:val="18"/>
              </w:rPr>
            </w:pPr>
            <w:r w:rsidRPr="008E2886">
              <w:rPr>
                <w:rFonts w:cs="Calibri"/>
                <w:b/>
                <w:iCs/>
                <w:sz w:val="18"/>
              </w:rPr>
              <w:t>Transactions Involving Owners Affecting Accumulated Funds</w:t>
            </w:r>
          </w:p>
        </w:tc>
        <w:tc>
          <w:tcPr>
            <w:tcW w:w="709" w:type="dxa"/>
            <w:tcBorders>
              <w:top w:val="nil"/>
              <w:left w:val="nil"/>
              <w:bottom w:val="nil"/>
              <w:right w:val="nil"/>
            </w:tcBorders>
            <w:vAlign w:val="bottom"/>
          </w:tcPr>
          <w:p w14:paraId="397EA66C"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nil"/>
              <w:right w:val="nil"/>
            </w:tcBorders>
          </w:tcPr>
          <w:p w14:paraId="6C465563"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4AC35533" w14:textId="0275623C"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42A868CF"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51C99A86"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3E39F1E7" w14:textId="77777777" w:rsidR="00620D4E" w:rsidRPr="008E2886" w:rsidRDefault="00620D4E" w:rsidP="00620D4E">
            <w:pPr>
              <w:pStyle w:val="TableText"/>
              <w:tabs>
                <w:tab w:val="left" w:pos="3306"/>
              </w:tabs>
              <w:jc w:val="right"/>
              <w:rPr>
                <w:rFonts w:cs="Calibri"/>
              </w:rPr>
            </w:pPr>
          </w:p>
        </w:tc>
      </w:tr>
      <w:tr w:rsidR="00620D4E" w:rsidRPr="00CF7E1B" w14:paraId="01A185AE" w14:textId="77777777" w:rsidTr="004D1EC6">
        <w:trPr>
          <w:cantSplit/>
          <w:trHeight w:val="20"/>
        </w:trPr>
        <w:tc>
          <w:tcPr>
            <w:tcW w:w="1478" w:type="dxa"/>
            <w:tcBorders>
              <w:top w:val="nil"/>
              <w:left w:val="single" w:sz="2" w:space="0" w:color="auto"/>
              <w:bottom w:val="nil"/>
              <w:right w:val="single" w:sz="2" w:space="0" w:color="auto"/>
            </w:tcBorders>
          </w:tcPr>
          <w:p w14:paraId="7812FCEE"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0B7E353E" w14:textId="77777777" w:rsidR="00620D4E" w:rsidRPr="008E2886" w:rsidRDefault="00620D4E" w:rsidP="00620D4E">
            <w:pPr>
              <w:tabs>
                <w:tab w:val="left" w:pos="3306"/>
              </w:tabs>
              <w:spacing w:before="60" w:after="60"/>
              <w:rPr>
                <w:rFonts w:cs="Calibri"/>
                <w:sz w:val="18"/>
              </w:rPr>
            </w:pPr>
            <w:r w:rsidRPr="008E2886">
              <w:rPr>
                <w:rFonts w:cs="Calibri"/>
                <w:sz w:val="18"/>
              </w:rPr>
              <w:t>Capital Injections</w:t>
            </w:r>
          </w:p>
        </w:tc>
        <w:tc>
          <w:tcPr>
            <w:tcW w:w="709" w:type="dxa"/>
            <w:tcBorders>
              <w:top w:val="nil"/>
              <w:left w:val="nil"/>
              <w:bottom w:val="nil"/>
              <w:right w:val="nil"/>
            </w:tcBorders>
            <w:vAlign w:val="bottom"/>
          </w:tcPr>
          <w:p w14:paraId="03CD4BE4"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nil"/>
              <w:right w:val="nil"/>
            </w:tcBorders>
          </w:tcPr>
          <w:p w14:paraId="6CF44313"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75E51E6D" w14:textId="61469CA5"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1CD2911"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6AD598D"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2351511D" w14:textId="77777777" w:rsidR="00620D4E" w:rsidRPr="008E2886" w:rsidRDefault="00620D4E" w:rsidP="00620D4E">
            <w:pPr>
              <w:pStyle w:val="TableText"/>
              <w:tabs>
                <w:tab w:val="left" w:pos="3306"/>
              </w:tabs>
              <w:jc w:val="right"/>
              <w:rPr>
                <w:rFonts w:cs="Calibri"/>
              </w:rPr>
            </w:pPr>
          </w:p>
        </w:tc>
      </w:tr>
      <w:tr w:rsidR="00620D4E" w:rsidRPr="00CF7E1B" w14:paraId="2A537C56" w14:textId="77777777" w:rsidTr="004D1EC6">
        <w:trPr>
          <w:cantSplit/>
          <w:trHeight w:val="20"/>
        </w:trPr>
        <w:tc>
          <w:tcPr>
            <w:tcW w:w="1478" w:type="dxa"/>
            <w:tcBorders>
              <w:top w:val="nil"/>
              <w:left w:val="single" w:sz="2" w:space="0" w:color="auto"/>
              <w:bottom w:val="nil"/>
              <w:right w:val="single" w:sz="2" w:space="0" w:color="auto"/>
            </w:tcBorders>
          </w:tcPr>
          <w:p w14:paraId="2C9203E8"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78ACAEC0" w14:textId="77777777" w:rsidR="00620D4E" w:rsidRPr="008E2886" w:rsidRDefault="00620D4E" w:rsidP="00620D4E">
            <w:pPr>
              <w:tabs>
                <w:tab w:val="left" w:pos="3306"/>
              </w:tabs>
              <w:spacing w:before="60" w:after="60"/>
              <w:rPr>
                <w:rFonts w:cs="Calibri"/>
                <w:sz w:val="18"/>
              </w:rPr>
            </w:pPr>
            <w:r w:rsidRPr="008E2886">
              <w:rPr>
                <w:rFonts w:cs="Calibri"/>
                <w:sz w:val="18"/>
              </w:rPr>
              <w:t>Capital (Distributions)</w:t>
            </w:r>
          </w:p>
        </w:tc>
        <w:tc>
          <w:tcPr>
            <w:tcW w:w="709" w:type="dxa"/>
            <w:tcBorders>
              <w:top w:val="nil"/>
              <w:left w:val="nil"/>
              <w:bottom w:val="nil"/>
              <w:right w:val="nil"/>
            </w:tcBorders>
            <w:vAlign w:val="bottom"/>
          </w:tcPr>
          <w:p w14:paraId="13B8EE6E" w14:textId="77777777" w:rsidR="00620D4E" w:rsidRPr="008E2886" w:rsidRDefault="00620D4E" w:rsidP="00620D4E">
            <w:pPr>
              <w:pStyle w:val="TableText"/>
              <w:tabs>
                <w:tab w:val="left" w:pos="3306"/>
              </w:tabs>
              <w:jc w:val="center"/>
              <w:rPr>
                <w:rFonts w:cs="Calibri"/>
                <w:strike/>
              </w:rPr>
            </w:pPr>
          </w:p>
        </w:tc>
        <w:tc>
          <w:tcPr>
            <w:tcW w:w="1134" w:type="dxa"/>
            <w:tcBorders>
              <w:top w:val="nil"/>
              <w:left w:val="nil"/>
              <w:bottom w:val="nil"/>
              <w:right w:val="nil"/>
            </w:tcBorders>
          </w:tcPr>
          <w:p w14:paraId="27037C3F"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389FB8C5" w14:textId="71BE27A3"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28029FE"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9D7D99A"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18C3CB1B" w14:textId="77777777" w:rsidR="00620D4E" w:rsidRPr="008E2886" w:rsidRDefault="00620D4E" w:rsidP="00620D4E">
            <w:pPr>
              <w:pStyle w:val="TableText"/>
              <w:tabs>
                <w:tab w:val="left" w:pos="3306"/>
              </w:tabs>
              <w:jc w:val="right"/>
              <w:rPr>
                <w:rFonts w:cs="Calibri"/>
              </w:rPr>
            </w:pPr>
          </w:p>
        </w:tc>
      </w:tr>
      <w:tr w:rsidR="00620D4E" w:rsidRPr="00CF7E1B" w14:paraId="440C71BE" w14:textId="77777777" w:rsidTr="004D1EC6">
        <w:trPr>
          <w:cantSplit/>
          <w:trHeight w:val="20"/>
        </w:trPr>
        <w:tc>
          <w:tcPr>
            <w:tcW w:w="1478" w:type="dxa"/>
            <w:tcBorders>
              <w:top w:val="nil"/>
              <w:left w:val="single" w:sz="2" w:space="0" w:color="auto"/>
              <w:bottom w:val="nil"/>
              <w:right w:val="single" w:sz="2" w:space="0" w:color="auto"/>
            </w:tcBorders>
          </w:tcPr>
          <w:p w14:paraId="5FD5CB8D" w14:textId="77777777" w:rsidR="00620D4E" w:rsidRPr="008E2886" w:rsidRDefault="00620D4E" w:rsidP="00620D4E">
            <w:pPr>
              <w:pStyle w:val="TableReference"/>
              <w:tabs>
                <w:tab w:val="left" w:pos="3306"/>
              </w:tabs>
              <w:spacing w:before="60"/>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27EED809" w14:textId="77777777" w:rsidR="00620D4E" w:rsidRPr="008E2886" w:rsidRDefault="00620D4E" w:rsidP="00620D4E">
            <w:pPr>
              <w:tabs>
                <w:tab w:val="left" w:pos="3306"/>
              </w:tabs>
              <w:spacing w:before="60" w:after="60"/>
              <w:rPr>
                <w:rFonts w:cs="Calibri"/>
                <w:sz w:val="18"/>
              </w:rPr>
            </w:pPr>
            <w:r w:rsidRPr="008E2886">
              <w:rPr>
                <w:rFonts w:cs="Calibri"/>
                <w:sz w:val="18"/>
              </w:rPr>
              <w:t>Net Assets transferred in as part of an Administrative Restructure</w:t>
            </w:r>
          </w:p>
        </w:tc>
        <w:tc>
          <w:tcPr>
            <w:tcW w:w="709" w:type="dxa"/>
            <w:tcBorders>
              <w:top w:val="nil"/>
              <w:left w:val="nil"/>
              <w:bottom w:val="nil"/>
              <w:right w:val="nil"/>
            </w:tcBorders>
          </w:tcPr>
          <w:p w14:paraId="10E295C2" w14:textId="66DEEBC9" w:rsidR="00620D4E" w:rsidRPr="008E2886" w:rsidRDefault="00DA3B1E" w:rsidP="006141B9">
            <w:pPr>
              <w:pStyle w:val="TableText"/>
              <w:tabs>
                <w:tab w:val="left" w:pos="3306"/>
              </w:tabs>
              <w:jc w:val="center"/>
              <w:rPr>
                <w:rFonts w:cs="Calibri"/>
                <w:strike/>
              </w:rPr>
            </w:pPr>
            <w:r w:rsidRPr="008E2886">
              <w:rPr>
                <w:rFonts w:cs="Calibri"/>
              </w:rPr>
              <w:t>30</w:t>
            </w:r>
          </w:p>
        </w:tc>
        <w:tc>
          <w:tcPr>
            <w:tcW w:w="1134" w:type="dxa"/>
            <w:tcBorders>
              <w:top w:val="nil"/>
              <w:left w:val="nil"/>
              <w:bottom w:val="nil"/>
              <w:right w:val="nil"/>
            </w:tcBorders>
          </w:tcPr>
          <w:p w14:paraId="769A90DD"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5F97E7B3" w14:textId="4BC2433E"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61A0AF04"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6C67295B"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4CAA8065" w14:textId="77777777" w:rsidR="00620D4E" w:rsidRPr="008E2886" w:rsidRDefault="00620D4E" w:rsidP="00620D4E">
            <w:pPr>
              <w:pStyle w:val="TableText"/>
              <w:tabs>
                <w:tab w:val="left" w:pos="3306"/>
              </w:tabs>
              <w:jc w:val="right"/>
              <w:rPr>
                <w:rFonts w:cs="Calibri"/>
              </w:rPr>
            </w:pPr>
          </w:p>
        </w:tc>
      </w:tr>
      <w:tr w:rsidR="00620D4E" w:rsidRPr="00CF7E1B" w14:paraId="520172F0" w14:textId="77777777" w:rsidTr="004D1EC6">
        <w:trPr>
          <w:cantSplit/>
          <w:trHeight w:val="20"/>
        </w:trPr>
        <w:tc>
          <w:tcPr>
            <w:tcW w:w="1478" w:type="dxa"/>
            <w:tcBorders>
              <w:top w:val="nil"/>
              <w:left w:val="single" w:sz="2" w:space="0" w:color="auto"/>
              <w:bottom w:val="nil"/>
              <w:right w:val="single" w:sz="2" w:space="0" w:color="auto"/>
            </w:tcBorders>
          </w:tcPr>
          <w:p w14:paraId="2C7451B4" w14:textId="77777777" w:rsidR="00620D4E" w:rsidRPr="008E2886" w:rsidRDefault="00620D4E" w:rsidP="00620D4E">
            <w:pPr>
              <w:pStyle w:val="TableReference"/>
              <w:tabs>
                <w:tab w:val="left" w:pos="3306"/>
              </w:tabs>
              <w:spacing w:before="60"/>
              <w:rPr>
                <w:rFonts w:cs="Calibri"/>
                <w:color w:val="7030A0"/>
                <w:sz w:val="14"/>
                <w:highlight w:val="cyan"/>
              </w:rPr>
            </w:pPr>
            <w:r w:rsidRPr="008E2886">
              <w:rPr>
                <w:rFonts w:cs="Calibri"/>
                <w:color w:val="7030A0"/>
                <w:sz w:val="14"/>
              </w:rPr>
              <w:t>AASB 101.106(d)(iii)</w:t>
            </w:r>
          </w:p>
        </w:tc>
        <w:tc>
          <w:tcPr>
            <w:tcW w:w="3260" w:type="dxa"/>
            <w:tcBorders>
              <w:top w:val="nil"/>
              <w:left w:val="single" w:sz="2" w:space="0" w:color="auto"/>
              <w:bottom w:val="nil"/>
              <w:right w:val="nil"/>
            </w:tcBorders>
          </w:tcPr>
          <w:p w14:paraId="056F2B67" w14:textId="77777777" w:rsidR="00620D4E" w:rsidRPr="008E2886" w:rsidRDefault="00620D4E" w:rsidP="00620D4E">
            <w:pPr>
              <w:tabs>
                <w:tab w:val="left" w:pos="3306"/>
              </w:tabs>
              <w:spacing w:before="60" w:after="60"/>
              <w:rPr>
                <w:rFonts w:cs="Calibri"/>
                <w:sz w:val="18"/>
                <w:highlight w:val="cyan"/>
              </w:rPr>
            </w:pPr>
            <w:r w:rsidRPr="008E2886">
              <w:rPr>
                <w:rFonts w:cs="Calibri"/>
                <w:sz w:val="18"/>
              </w:rPr>
              <w:t>Net Assets transferred out as part of an Administrative Restructure</w:t>
            </w:r>
          </w:p>
        </w:tc>
        <w:tc>
          <w:tcPr>
            <w:tcW w:w="709" w:type="dxa"/>
            <w:tcBorders>
              <w:top w:val="nil"/>
              <w:left w:val="nil"/>
              <w:bottom w:val="nil"/>
              <w:right w:val="nil"/>
            </w:tcBorders>
          </w:tcPr>
          <w:p w14:paraId="14E0CD10" w14:textId="7FF1F6E4" w:rsidR="00620D4E" w:rsidRPr="008E2886" w:rsidRDefault="00DA3B1E" w:rsidP="006141B9">
            <w:pPr>
              <w:pStyle w:val="TableText"/>
              <w:tabs>
                <w:tab w:val="left" w:pos="3306"/>
              </w:tabs>
              <w:jc w:val="center"/>
              <w:rPr>
                <w:rFonts w:cs="Calibri"/>
                <w:strike/>
                <w:highlight w:val="cyan"/>
              </w:rPr>
            </w:pPr>
            <w:r w:rsidRPr="008E2886">
              <w:rPr>
                <w:rFonts w:cs="Calibri"/>
              </w:rPr>
              <w:t>30</w:t>
            </w:r>
          </w:p>
        </w:tc>
        <w:tc>
          <w:tcPr>
            <w:tcW w:w="1134" w:type="dxa"/>
            <w:tcBorders>
              <w:top w:val="nil"/>
              <w:left w:val="nil"/>
              <w:bottom w:val="nil"/>
              <w:right w:val="nil"/>
            </w:tcBorders>
          </w:tcPr>
          <w:p w14:paraId="7E86C896" w14:textId="77777777" w:rsidR="00620D4E" w:rsidRPr="008E2886" w:rsidRDefault="00620D4E" w:rsidP="00620D4E">
            <w:pPr>
              <w:pStyle w:val="TableText"/>
              <w:tabs>
                <w:tab w:val="left" w:pos="3306"/>
              </w:tabs>
              <w:jc w:val="right"/>
              <w:rPr>
                <w:rFonts w:cs="Calibri"/>
              </w:rPr>
            </w:pPr>
          </w:p>
        </w:tc>
        <w:tc>
          <w:tcPr>
            <w:tcW w:w="1276" w:type="dxa"/>
            <w:tcBorders>
              <w:top w:val="nil"/>
              <w:left w:val="nil"/>
              <w:bottom w:val="nil"/>
              <w:right w:val="nil"/>
            </w:tcBorders>
            <w:shd w:val="clear" w:color="auto" w:fill="auto"/>
            <w:vAlign w:val="bottom"/>
          </w:tcPr>
          <w:p w14:paraId="0F278C99" w14:textId="22B46B58" w:rsidR="00620D4E" w:rsidRPr="008E2886" w:rsidRDefault="00620D4E" w:rsidP="00620D4E">
            <w:pPr>
              <w:pStyle w:val="TableText"/>
              <w:tabs>
                <w:tab w:val="left" w:pos="3306"/>
              </w:tabs>
              <w:jc w:val="right"/>
              <w:rPr>
                <w:rFonts w:cs="Calibri"/>
              </w:rPr>
            </w:pPr>
          </w:p>
        </w:tc>
        <w:tc>
          <w:tcPr>
            <w:tcW w:w="1134" w:type="dxa"/>
            <w:tcBorders>
              <w:top w:val="nil"/>
              <w:left w:val="nil"/>
              <w:bottom w:val="nil"/>
              <w:right w:val="nil"/>
            </w:tcBorders>
            <w:shd w:val="clear" w:color="auto" w:fill="auto"/>
            <w:vAlign w:val="bottom"/>
          </w:tcPr>
          <w:p w14:paraId="7B497C61" w14:textId="77777777" w:rsidR="00620D4E" w:rsidRPr="008E2886" w:rsidRDefault="00620D4E" w:rsidP="00620D4E">
            <w:pPr>
              <w:pStyle w:val="TableText"/>
              <w:tabs>
                <w:tab w:val="left" w:pos="3306"/>
              </w:tabs>
              <w:jc w:val="right"/>
              <w:rPr>
                <w:rFonts w:cs="Calibri"/>
              </w:rPr>
            </w:pPr>
          </w:p>
        </w:tc>
        <w:tc>
          <w:tcPr>
            <w:tcW w:w="992" w:type="dxa"/>
            <w:tcBorders>
              <w:top w:val="nil"/>
              <w:left w:val="nil"/>
              <w:bottom w:val="nil"/>
              <w:right w:val="nil"/>
            </w:tcBorders>
            <w:shd w:val="clear" w:color="auto" w:fill="auto"/>
            <w:vAlign w:val="bottom"/>
          </w:tcPr>
          <w:p w14:paraId="4D359B49" w14:textId="77777777" w:rsidR="00620D4E" w:rsidRPr="008E2886" w:rsidRDefault="00620D4E" w:rsidP="00620D4E">
            <w:pPr>
              <w:pStyle w:val="TableText"/>
              <w:tabs>
                <w:tab w:val="left" w:pos="3306"/>
              </w:tabs>
              <w:jc w:val="right"/>
              <w:rPr>
                <w:rFonts w:cs="Calibri"/>
              </w:rPr>
            </w:pPr>
          </w:p>
        </w:tc>
        <w:tc>
          <w:tcPr>
            <w:tcW w:w="850" w:type="dxa"/>
            <w:tcBorders>
              <w:top w:val="nil"/>
              <w:left w:val="nil"/>
              <w:bottom w:val="nil"/>
              <w:right w:val="nil"/>
            </w:tcBorders>
            <w:shd w:val="clear" w:color="auto" w:fill="auto"/>
            <w:vAlign w:val="bottom"/>
          </w:tcPr>
          <w:p w14:paraId="1C9317B6" w14:textId="77777777" w:rsidR="00620D4E" w:rsidRPr="008E2886" w:rsidRDefault="00620D4E" w:rsidP="00620D4E">
            <w:pPr>
              <w:pStyle w:val="TableText"/>
              <w:tabs>
                <w:tab w:val="left" w:pos="3306"/>
              </w:tabs>
              <w:jc w:val="right"/>
              <w:rPr>
                <w:rFonts w:cs="Calibri"/>
              </w:rPr>
            </w:pPr>
          </w:p>
        </w:tc>
      </w:tr>
      <w:tr w:rsidR="00620D4E" w:rsidRPr="00CF7E1B" w14:paraId="2A415F70" w14:textId="77777777" w:rsidTr="004D1EC6">
        <w:trPr>
          <w:cantSplit/>
          <w:trHeight w:val="274"/>
        </w:trPr>
        <w:tc>
          <w:tcPr>
            <w:tcW w:w="1478" w:type="dxa"/>
            <w:tcBorders>
              <w:top w:val="nil"/>
              <w:left w:val="single" w:sz="2" w:space="0" w:color="auto"/>
              <w:bottom w:val="nil"/>
              <w:right w:val="single" w:sz="2" w:space="0" w:color="auto"/>
            </w:tcBorders>
          </w:tcPr>
          <w:p w14:paraId="1CA34884" w14:textId="77777777" w:rsidR="00620D4E" w:rsidRPr="008E2886" w:rsidRDefault="00620D4E" w:rsidP="00620D4E">
            <w:pPr>
              <w:pStyle w:val="TableReference"/>
              <w:tabs>
                <w:tab w:val="left" w:pos="3306"/>
              </w:tabs>
              <w:rPr>
                <w:rFonts w:cs="Calibri"/>
                <w:color w:val="7030A0"/>
                <w:sz w:val="14"/>
              </w:rPr>
            </w:pPr>
            <w:r w:rsidRPr="008E2886">
              <w:rPr>
                <w:rFonts w:cs="Calibri"/>
                <w:color w:val="7030A0"/>
                <w:sz w:val="14"/>
              </w:rPr>
              <w:t>AASB 101.107</w:t>
            </w:r>
          </w:p>
          <w:p w14:paraId="3F21B5F0" w14:textId="77777777" w:rsidR="00620D4E" w:rsidRPr="008E2886" w:rsidRDefault="00620D4E" w:rsidP="00620D4E">
            <w:pPr>
              <w:pStyle w:val="TableReference"/>
              <w:tabs>
                <w:tab w:val="left" w:pos="3306"/>
              </w:tabs>
              <w:rPr>
                <w:rFonts w:cs="Calibri"/>
                <w:color w:val="7030A0"/>
                <w:sz w:val="14"/>
              </w:rPr>
            </w:pPr>
            <w:r w:rsidRPr="008E2886">
              <w:rPr>
                <w:rFonts w:cs="Calibri"/>
                <w:color w:val="7030A0"/>
                <w:sz w:val="14"/>
              </w:rPr>
              <w:t>AASB 101.106(d)(iii)</w:t>
            </w:r>
          </w:p>
        </w:tc>
        <w:tc>
          <w:tcPr>
            <w:tcW w:w="3260" w:type="dxa"/>
            <w:tcBorders>
              <w:top w:val="nil"/>
              <w:left w:val="single" w:sz="2" w:space="0" w:color="auto"/>
              <w:bottom w:val="nil"/>
              <w:right w:val="nil"/>
            </w:tcBorders>
          </w:tcPr>
          <w:p w14:paraId="0B4D84B1" w14:textId="25EE7119" w:rsidR="00620D4E" w:rsidRPr="008E2886" w:rsidRDefault="00620D4E" w:rsidP="00620D4E">
            <w:pPr>
              <w:tabs>
                <w:tab w:val="left" w:pos="3306"/>
              </w:tabs>
              <w:spacing w:before="60" w:after="60"/>
              <w:rPr>
                <w:rFonts w:cs="Calibri"/>
                <w:sz w:val="18"/>
              </w:rPr>
            </w:pPr>
            <w:r w:rsidRPr="009F31C7">
              <w:rPr>
                <w:rFonts w:cs="Calibri"/>
                <w:color w:val="2E74B5" w:themeColor="accent1" w:themeShade="BF"/>
                <w:sz w:val="18"/>
                <w:szCs w:val="18"/>
              </w:rPr>
              <w:t>Dividend Approved</w:t>
            </w:r>
          </w:p>
        </w:tc>
        <w:tc>
          <w:tcPr>
            <w:tcW w:w="709" w:type="dxa"/>
            <w:tcBorders>
              <w:top w:val="nil"/>
              <w:left w:val="nil"/>
              <w:bottom w:val="nil"/>
              <w:right w:val="nil"/>
            </w:tcBorders>
            <w:vAlign w:val="bottom"/>
          </w:tcPr>
          <w:p w14:paraId="37E83F3C" w14:textId="77777777" w:rsidR="00620D4E" w:rsidRPr="008E2886" w:rsidRDefault="00620D4E" w:rsidP="00620D4E">
            <w:pPr>
              <w:pStyle w:val="TableText"/>
              <w:tabs>
                <w:tab w:val="left" w:pos="3306"/>
              </w:tabs>
              <w:spacing w:before="0"/>
              <w:jc w:val="center"/>
              <w:rPr>
                <w:rFonts w:cs="Calibri"/>
                <w:strike/>
              </w:rPr>
            </w:pPr>
          </w:p>
        </w:tc>
        <w:tc>
          <w:tcPr>
            <w:tcW w:w="1134" w:type="dxa"/>
            <w:tcBorders>
              <w:top w:val="nil"/>
              <w:left w:val="nil"/>
              <w:bottom w:val="single" w:sz="4" w:space="0" w:color="auto"/>
              <w:right w:val="nil"/>
            </w:tcBorders>
          </w:tcPr>
          <w:p w14:paraId="4ACD4D6A" w14:textId="77777777" w:rsidR="00620D4E" w:rsidRPr="008E2886" w:rsidRDefault="00620D4E" w:rsidP="00620D4E">
            <w:pPr>
              <w:pStyle w:val="TableText"/>
              <w:tabs>
                <w:tab w:val="left" w:pos="3306"/>
              </w:tabs>
              <w:spacing w:before="0"/>
              <w:jc w:val="right"/>
              <w:rPr>
                <w:rFonts w:cs="Calibri"/>
              </w:rPr>
            </w:pPr>
          </w:p>
        </w:tc>
        <w:tc>
          <w:tcPr>
            <w:tcW w:w="1276" w:type="dxa"/>
            <w:tcBorders>
              <w:top w:val="nil"/>
              <w:left w:val="nil"/>
              <w:bottom w:val="single" w:sz="4" w:space="0" w:color="auto"/>
              <w:right w:val="nil"/>
            </w:tcBorders>
            <w:shd w:val="clear" w:color="auto" w:fill="auto"/>
            <w:vAlign w:val="bottom"/>
          </w:tcPr>
          <w:p w14:paraId="63CEBED4" w14:textId="13CA167C" w:rsidR="00620D4E" w:rsidRPr="008E2886" w:rsidRDefault="00620D4E" w:rsidP="00620D4E">
            <w:pPr>
              <w:pStyle w:val="TableText"/>
              <w:tabs>
                <w:tab w:val="left" w:pos="3306"/>
              </w:tabs>
              <w:spacing w:before="0"/>
              <w:jc w:val="right"/>
              <w:rPr>
                <w:rFonts w:cs="Calibri"/>
              </w:rPr>
            </w:pPr>
          </w:p>
        </w:tc>
        <w:tc>
          <w:tcPr>
            <w:tcW w:w="1134" w:type="dxa"/>
            <w:tcBorders>
              <w:top w:val="nil"/>
              <w:left w:val="nil"/>
              <w:bottom w:val="single" w:sz="4" w:space="0" w:color="auto"/>
              <w:right w:val="nil"/>
            </w:tcBorders>
            <w:shd w:val="clear" w:color="auto" w:fill="auto"/>
            <w:vAlign w:val="bottom"/>
          </w:tcPr>
          <w:p w14:paraId="0D7BC9A6" w14:textId="77777777" w:rsidR="00620D4E" w:rsidRPr="008E2886" w:rsidRDefault="00620D4E" w:rsidP="00620D4E">
            <w:pPr>
              <w:pStyle w:val="TableText"/>
              <w:tabs>
                <w:tab w:val="left" w:pos="3306"/>
              </w:tabs>
              <w:spacing w:before="0"/>
              <w:jc w:val="right"/>
              <w:rPr>
                <w:rFonts w:cs="Calibri"/>
              </w:rPr>
            </w:pPr>
          </w:p>
        </w:tc>
        <w:tc>
          <w:tcPr>
            <w:tcW w:w="992" w:type="dxa"/>
            <w:tcBorders>
              <w:top w:val="nil"/>
              <w:left w:val="nil"/>
              <w:bottom w:val="single" w:sz="4" w:space="0" w:color="auto"/>
              <w:right w:val="nil"/>
            </w:tcBorders>
            <w:shd w:val="clear" w:color="auto" w:fill="auto"/>
            <w:vAlign w:val="bottom"/>
          </w:tcPr>
          <w:p w14:paraId="60F397BB" w14:textId="77777777" w:rsidR="00620D4E" w:rsidRPr="008E2886" w:rsidRDefault="00620D4E" w:rsidP="00620D4E">
            <w:pPr>
              <w:pStyle w:val="TableText"/>
              <w:tabs>
                <w:tab w:val="left" w:pos="3306"/>
              </w:tabs>
              <w:spacing w:before="0"/>
              <w:jc w:val="right"/>
              <w:rPr>
                <w:rFonts w:cs="Calibri"/>
              </w:rPr>
            </w:pPr>
          </w:p>
        </w:tc>
        <w:tc>
          <w:tcPr>
            <w:tcW w:w="850" w:type="dxa"/>
            <w:tcBorders>
              <w:top w:val="nil"/>
              <w:left w:val="nil"/>
              <w:bottom w:val="single" w:sz="4" w:space="0" w:color="auto"/>
              <w:right w:val="nil"/>
            </w:tcBorders>
            <w:shd w:val="clear" w:color="auto" w:fill="auto"/>
            <w:vAlign w:val="bottom"/>
          </w:tcPr>
          <w:p w14:paraId="7C10C423" w14:textId="77777777" w:rsidR="00620D4E" w:rsidRPr="008E2886" w:rsidRDefault="00620D4E" w:rsidP="00620D4E">
            <w:pPr>
              <w:pStyle w:val="TableText"/>
              <w:tabs>
                <w:tab w:val="left" w:pos="3306"/>
              </w:tabs>
              <w:spacing w:before="0"/>
              <w:jc w:val="right"/>
              <w:rPr>
                <w:rFonts w:cs="Calibri"/>
              </w:rPr>
            </w:pPr>
          </w:p>
        </w:tc>
      </w:tr>
      <w:tr w:rsidR="00620D4E" w:rsidRPr="00CF7E1B" w14:paraId="2F939BB5" w14:textId="77777777" w:rsidTr="004D1EC6">
        <w:trPr>
          <w:cantSplit/>
          <w:trHeight w:val="383"/>
        </w:trPr>
        <w:tc>
          <w:tcPr>
            <w:tcW w:w="1478" w:type="dxa"/>
            <w:tcBorders>
              <w:top w:val="nil"/>
              <w:left w:val="single" w:sz="2" w:space="0" w:color="auto"/>
              <w:bottom w:val="nil"/>
              <w:right w:val="single" w:sz="2" w:space="0" w:color="auto"/>
            </w:tcBorders>
          </w:tcPr>
          <w:p w14:paraId="28F714BF" w14:textId="77777777" w:rsidR="00620D4E" w:rsidRPr="008E2886" w:rsidRDefault="00620D4E" w:rsidP="00620D4E">
            <w:pPr>
              <w:pStyle w:val="TableReference"/>
              <w:tabs>
                <w:tab w:val="left" w:pos="3306"/>
              </w:tabs>
              <w:spacing w:before="40"/>
              <w:rPr>
                <w:rFonts w:cs="Calibri"/>
                <w:color w:val="7030A0"/>
                <w:sz w:val="16"/>
                <w:szCs w:val="16"/>
              </w:rPr>
            </w:pPr>
          </w:p>
        </w:tc>
        <w:tc>
          <w:tcPr>
            <w:tcW w:w="3260" w:type="dxa"/>
            <w:tcBorders>
              <w:top w:val="nil"/>
              <w:left w:val="single" w:sz="2" w:space="0" w:color="auto"/>
              <w:bottom w:val="nil"/>
              <w:right w:val="nil"/>
            </w:tcBorders>
          </w:tcPr>
          <w:p w14:paraId="29E39AAF" w14:textId="77777777" w:rsidR="00620D4E" w:rsidRPr="008E2886" w:rsidRDefault="00620D4E" w:rsidP="00620D4E">
            <w:pPr>
              <w:pStyle w:val="TableReference"/>
              <w:rPr>
                <w:rFonts w:cs="Calibri"/>
                <w:b/>
                <w:color w:val="auto"/>
                <w:sz w:val="18"/>
                <w:szCs w:val="18"/>
              </w:rPr>
            </w:pPr>
            <w:r w:rsidRPr="008E2886">
              <w:rPr>
                <w:rFonts w:cs="Calibri"/>
                <w:b/>
                <w:iCs/>
                <w:color w:val="auto"/>
                <w:sz w:val="18"/>
                <w:szCs w:val="16"/>
              </w:rPr>
              <w:t>Total Transactions Involving Owners Affecting Accumulated Funds</w:t>
            </w:r>
          </w:p>
        </w:tc>
        <w:tc>
          <w:tcPr>
            <w:tcW w:w="709" w:type="dxa"/>
            <w:tcBorders>
              <w:top w:val="nil"/>
              <w:left w:val="nil"/>
              <w:bottom w:val="nil"/>
              <w:right w:val="nil"/>
            </w:tcBorders>
            <w:vAlign w:val="bottom"/>
          </w:tcPr>
          <w:p w14:paraId="1BB2075D" w14:textId="77777777" w:rsidR="00620D4E" w:rsidRPr="008E2886" w:rsidRDefault="00620D4E" w:rsidP="00620D4E">
            <w:pPr>
              <w:pStyle w:val="TableReference"/>
              <w:rPr>
                <w:rFonts w:cs="Calibri"/>
                <w:color w:val="auto"/>
              </w:rPr>
            </w:pPr>
          </w:p>
        </w:tc>
        <w:tc>
          <w:tcPr>
            <w:tcW w:w="1134" w:type="dxa"/>
            <w:tcBorders>
              <w:top w:val="single" w:sz="4" w:space="0" w:color="auto"/>
              <w:left w:val="nil"/>
              <w:bottom w:val="single" w:sz="4" w:space="0" w:color="auto"/>
              <w:right w:val="nil"/>
            </w:tcBorders>
          </w:tcPr>
          <w:p w14:paraId="7B59E806" w14:textId="77777777" w:rsidR="00620D4E" w:rsidRPr="008E2886" w:rsidRDefault="00620D4E" w:rsidP="00F70B16">
            <w:pPr>
              <w:pStyle w:val="TableText"/>
              <w:tabs>
                <w:tab w:val="left" w:pos="3306"/>
              </w:tabs>
              <w:spacing w:before="0"/>
              <w:jc w:val="right"/>
              <w:rPr>
                <w:rFonts w:cs="Calibri"/>
                <w:b/>
                <w:highlight w:val="cyan"/>
              </w:rPr>
            </w:pPr>
          </w:p>
        </w:tc>
        <w:tc>
          <w:tcPr>
            <w:tcW w:w="1276" w:type="dxa"/>
            <w:tcBorders>
              <w:top w:val="single" w:sz="4" w:space="0" w:color="auto"/>
              <w:left w:val="nil"/>
              <w:bottom w:val="single" w:sz="4" w:space="0" w:color="auto"/>
              <w:right w:val="nil"/>
            </w:tcBorders>
            <w:shd w:val="clear" w:color="auto" w:fill="auto"/>
          </w:tcPr>
          <w:p w14:paraId="17D141D2" w14:textId="411FC874" w:rsidR="00620D4E" w:rsidRPr="008E2886" w:rsidRDefault="00620D4E" w:rsidP="00F70B16">
            <w:pPr>
              <w:pStyle w:val="TableText"/>
              <w:tabs>
                <w:tab w:val="left" w:pos="3306"/>
              </w:tabs>
              <w:spacing w:before="0"/>
              <w:jc w:val="right"/>
              <w:rPr>
                <w:rFonts w:cs="Calibri"/>
                <w:b/>
                <w:highlight w:val="cyan"/>
              </w:rPr>
            </w:pPr>
          </w:p>
        </w:tc>
        <w:tc>
          <w:tcPr>
            <w:tcW w:w="1134" w:type="dxa"/>
            <w:tcBorders>
              <w:top w:val="single" w:sz="4" w:space="0" w:color="auto"/>
              <w:left w:val="nil"/>
              <w:bottom w:val="single" w:sz="4" w:space="0" w:color="auto"/>
              <w:right w:val="nil"/>
            </w:tcBorders>
            <w:shd w:val="clear" w:color="auto" w:fill="auto"/>
          </w:tcPr>
          <w:p w14:paraId="51D6D042" w14:textId="77777777" w:rsidR="00620D4E" w:rsidRPr="008E2886" w:rsidRDefault="00620D4E" w:rsidP="00F70B16">
            <w:pPr>
              <w:pStyle w:val="TableText"/>
              <w:tabs>
                <w:tab w:val="left" w:pos="3306"/>
              </w:tabs>
              <w:spacing w:before="0"/>
              <w:jc w:val="right"/>
              <w:rPr>
                <w:rFonts w:cs="Calibri"/>
                <w:b/>
                <w:highlight w:val="cyan"/>
              </w:rPr>
            </w:pPr>
          </w:p>
        </w:tc>
        <w:tc>
          <w:tcPr>
            <w:tcW w:w="992" w:type="dxa"/>
            <w:tcBorders>
              <w:top w:val="single" w:sz="4" w:space="0" w:color="auto"/>
              <w:left w:val="nil"/>
              <w:bottom w:val="single" w:sz="4" w:space="0" w:color="auto"/>
              <w:right w:val="nil"/>
            </w:tcBorders>
            <w:shd w:val="clear" w:color="auto" w:fill="auto"/>
          </w:tcPr>
          <w:p w14:paraId="39004BF1" w14:textId="77777777" w:rsidR="00620D4E" w:rsidRPr="008E2886" w:rsidRDefault="00620D4E" w:rsidP="00F70B16">
            <w:pPr>
              <w:pStyle w:val="TableText"/>
              <w:tabs>
                <w:tab w:val="left" w:pos="3306"/>
              </w:tabs>
              <w:spacing w:before="0"/>
              <w:jc w:val="right"/>
              <w:rPr>
                <w:rFonts w:cs="Calibri"/>
                <w:b/>
                <w:highlight w:val="cyan"/>
              </w:rPr>
            </w:pPr>
          </w:p>
        </w:tc>
        <w:tc>
          <w:tcPr>
            <w:tcW w:w="850" w:type="dxa"/>
            <w:tcBorders>
              <w:top w:val="single" w:sz="4" w:space="0" w:color="auto"/>
              <w:left w:val="nil"/>
              <w:bottom w:val="single" w:sz="4" w:space="0" w:color="auto"/>
              <w:right w:val="nil"/>
            </w:tcBorders>
            <w:shd w:val="clear" w:color="auto" w:fill="auto"/>
          </w:tcPr>
          <w:p w14:paraId="5B6E3FD4" w14:textId="77777777" w:rsidR="00620D4E" w:rsidRPr="008E2886" w:rsidRDefault="00620D4E" w:rsidP="00F70B16">
            <w:pPr>
              <w:pStyle w:val="TableText"/>
              <w:tabs>
                <w:tab w:val="left" w:pos="3306"/>
              </w:tabs>
              <w:spacing w:before="0"/>
              <w:jc w:val="right"/>
              <w:rPr>
                <w:rFonts w:cs="Calibri"/>
                <w:b/>
                <w:highlight w:val="cyan"/>
              </w:rPr>
            </w:pPr>
          </w:p>
        </w:tc>
      </w:tr>
      <w:tr w:rsidR="00620D4E" w:rsidRPr="00CF7E1B" w14:paraId="3CFB514C" w14:textId="77777777" w:rsidTr="004D1EC6">
        <w:trPr>
          <w:cantSplit/>
          <w:trHeight w:val="20"/>
        </w:trPr>
        <w:tc>
          <w:tcPr>
            <w:tcW w:w="1478" w:type="dxa"/>
            <w:tcBorders>
              <w:top w:val="nil"/>
              <w:left w:val="single" w:sz="2" w:space="0" w:color="auto"/>
              <w:bottom w:val="nil"/>
              <w:right w:val="single" w:sz="2" w:space="0" w:color="auto"/>
            </w:tcBorders>
          </w:tcPr>
          <w:p w14:paraId="4CC9339D" w14:textId="77777777" w:rsidR="00620D4E" w:rsidRPr="008E2886" w:rsidRDefault="00620D4E" w:rsidP="00620D4E">
            <w:pPr>
              <w:pStyle w:val="TableReference"/>
              <w:tabs>
                <w:tab w:val="left" w:pos="3306"/>
              </w:tabs>
              <w:spacing w:before="40"/>
              <w:rPr>
                <w:rFonts w:cs="Calibri"/>
                <w:color w:val="7030A0"/>
                <w:sz w:val="16"/>
                <w:szCs w:val="16"/>
              </w:rPr>
            </w:pPr>
          </w:p>
        </w:tc>
        <w:tc>
          <w:tcPr>
            <w:tcW w:w="3260" w:type="dxa"/>
            <w:tcBorders>
              <w:top w:val="nil"/>
              <w:left w:val="single" w:sz="2" w:space="0" w:color="auto"/>
              <w:bottom w:val="nil"/>
              <w:right w:val="nil"/>
            </w:tcBorders>
            <w:vAlign w:val="bottom"/>
          </w:tcPr>
          <w:p w14:paraId="5DCDE51A" w14:textId="77777777" w:rsidR="00620D4E" w:rsidRPr="008E2886" w:rsidRDefault="00620D4E" w:rsidP="00620D4E">
            <w:pPr>
              <w:pStyle w:val="TableText"/>
              <w:tabs>
                <w:tab w:val="left" w:pos="3306"/>
              </w:tabs>
              <w:rPr>
                <w:rFonts w:cs="Calibri"/>
                <w:b/>
                <w:bCs/>
                <w:highlight w:val="cyan"/>
              </w:rPr>
            </w:pPr>
          </w:p>
        </w:tc>
        <w:tc>
          <w:tcPr>
            <w:tcW w:w="709" w:type="dxa"/>
            <w:tcBorders>
              <w:top w:val="nil"/>
              <w:left w:val="nil"/>
              <w:bottom w:val="nil"/>
              <w:right w:val="nil"/>
            </w:tcBorders>
            <w:vAlign w:val="bottom"/>
          </w:tcPr>
          <w:p w14:paraId="3EDAF2D5" w14:textId="77777777" w:rsidR="00620D4E" w:rsidRPr="008E2886" w:rsidRDefault="00620D4E" w:rsidP="00620D4E">
            <w:pPr>
              <w:pStyle w:val="TableText"/>
              <w:tabs>
                <w:tab w:val="left" w:pos="3306"/>
              </w:tabs>
              <w:jc w:val="center"/>
              <w:rPr>
                <w:rFonts w:cs="Calibri"/>
              </w:rPr>
            </w:pPr>
          </w:p>
        </w:tc>
        <w:tc>
          <w:tcPr>
            <w:tcW w:w="1134" w:type="dxa"/>
            <w:tcBorders>
              <w:top w:val="single" w:sz="4" w:space="0" w:color="auto"/>
              <w:left w:val="nil"/>
              <w:bottom w:val="single" w:sz="4" w:space="0" w:color="auto"/>
              <w:right w:val="nil"/>
            </w:tcBorders>
          </w:tcPr>
          <w:p w14:paraId="4ED8320B" w14:textId="77777777" w:rsidR="00620D4E" w:rsidRPr="008E2886" w:rsidRDefault="00620D4E" w:rsidP="00620D4E">
            <w:pPr>
              <w:pStyle w:val="TableText"/>
              <w:tabs>
                <w:tab w:val="left" w:pos="3306"/>
              </w:tabs>
              <w:jc w:val="right"/>
              <w:rPr>
                <w:rFonts w:cs="Calibri"/>
                <w:b/>
                <w:bCs/>
                <w:highlight w:val="cyan"/>
              </w:rPr>
            </w:pPr>
          </w:p>
        </w:tc>
        <w:tc>
          <w:tcPr>
            <w:tcW w:w="1276" w:type="dxa"/>
            <w:tcBorders>
              <w:top w:val="single" w:sz="4" w:space="0" w:color="auto"/>
              <w:left w:val="nil"/>
              <w:bottom w:val="single" w:sz="4" w:space="0" w:color="auto"/>
              <w:right w:val="nil"/>
            </w:tcBorders>
            <w:shd w:val="clear" w:color="auto" w:fill="auto"/>
            <w:vAlign w:val="bottom"/>
          </w:tcPr>
          <w:p w14:paraId="70A2ADCB" w14:textId="43271EDF" w:rsidR="00620D4E" w:rsidRPr="008E2886" w:rsidRDefault="00620D4E" w:rsidP="00620D4E">
            <w:pPr>
              <w:pStyle w:val="TableText"/>
              <w:tabs>
                <w:tab w:val="left" w:pos="3306"/>
              </w:tabs>
              <w:jc w:val="right"/>
              <w:rPr>
                <w:rFonts w:cs="Calibri"/>
                <w:b/>
                <w:bCs/>
                <w:highlight w:val="cyan"/>
              </w:rPr>
            </w:pPr>
          </w:p>
        </w:tc>
        <w:tc>
          <w:tcPr>
            <w:tcW w:w="1134" w:type="dxa"/>
            <w:tcBorders>
              <w:top w:val="single" w:sz="4" w:space="0" w:color="auto"/>
              <w:left w:val="nil"/>
              <w:bottom w:val="single" w:sz="4" w:space="0" w:color="auto"/>
              <w:right w:val="nil"/>
            </w:tcBorders>
            <w:shd w:val="clear" w:color="auto" w:fill="auto"/>
            <w:vAlign w:val="bottom"/>
          </w:tcPr>
          <w:p w14:paraId="2BF22B79" w14:textId="77777777" w:rsidR="00620D4E" w:rsidRPr="008E2886" w:rsidRDefault="00620D4E" w:rsidP="00620D4E">
            <w:pPr>
              <w:pStyle w:val="TableText"/>
              <w:tabs>
                <w:tab w:val="left" w:pos="3306"/>
              </w:tabs>
              <w:jc w:val="right"/>
              <w:rPr>
                <w:rFonts w:cs="Calibri"/>
                <w:b/>
                <w:bCs/>
                <w:highlight w:val="cyan"/>
              </w:rPr>
            </w:pPr>
          </w:p>
        </w:tc>
        <w:tc>
          <w:tcPr>
            <w:tcW w:w="992" w:type="dxa"/>
            <w:tcBorders>
              <w:top w:val="single" w:sz="4" w:space="0" w:color="auto"/>
              <w:left w:val="nil"/>
              <w:bottom w:val="single" w:sz="4" w:space="0" w:color="auto"/>
              <w:right w:val="nil"/>
            </w:tcBorders>
            <w:shd w:val="clear" w:color="auto" w:fill="auto"/>
            <w:vAlign w:val="bottom"/>
          </w:tcPr>
          <w:p w14:paraId="047A9C00" w14:textId="77777777" w:rsidR="00620D4E" w:rsidRPr="008E2886" w:rsidRDefault="00620D4E" w:rsidP="00620D4E">
            <w:pPr>
              <w:pStyle w:val="TableText"/>
              <w:tabs>
                <w:tab w:val="left" w:pos="3306"/>
              </w:tabs>
              <w:jc w:val="right"/>
              <w:rPr>
                <w:rFonts w:cs="Calibri"/>
                <w:b/>
                <w:bCs/>
                <w:highlight w:val="cyan"/>
              </w:rPr>
            </w:pPr>
          </w:p>
        </w:tc>
        <w:tc>
          <w:tcPr>
            <w:tcW w:w="850" w:type="dxa"/>
            <w:tcBorders>
              <w:top w:val="single" w:sz="4" w:space="0" w:color="auto"/>
              <w:left w:val="nil"/>
              <w:bottom w:val="single" w:sz="4" w:space="0" w:color="auto"/>
              <w:right w:val="nil"/>
            </w:tcBorders>
            <w:shd w:val="clear" w:color="auto" w:fill="auto"/>
            <w:vAlign w:val="bottom"/>
          </w:tcPr>
          <w:p w14:paraId="6EBF53B6" w14:textId="77777777" w:rsidR="00620D4E" w:rsidRPr="008E2886" w:rsidRDefault="00620D4E" w:rsidP="00620D4E">
            <w:pPr>
              <w:pStyle w:val="TableText"/>
              <w:tabs>
                <w:tab w:val="left" w:pos="3306"/>
              </w:tabs>
              <w:jc w:val="right"/>
              <w:rPr>
                <w:rFonts w:cs="Calibri"/>
                <w:b/>
                <w:bCs/>
                <w:highlight w:val="cyan"/>
              </w:rPr>
            </w:pPr>
          </w:p>
        </w:tc>
      </w:tr>
      <w:tr w:rsidR="00620D4E" w:rsidRPr="00CF7E1B" w14:paraId="0F41A988" w14:textId="77777777" w:rsidTr="004D1EC6">
        <w:trPr>
          <w:cantSplit/>
          <w:trHeight w:val="20"/>
        </w:trPr>
        <w:tc>
          <w:tcPr>
            <w:tcW w:w="1478" w:type="dxa"/>
            <w:tcBorders>
              <w:top w:val="nil"/>
              <w:left w:val="single" w:sz="2" w:space="0" w:color="auto"/>
              <w:bottom w:val="nil"/>
              <w:right w:val="single" w:sz="2" w:space="0" w:color="auto"/>
            </w:tcBorders>
          </w:tcPr>
          <w:p w14:paraId="106AA4E8" w14:textId="77777777" w:rsidR="00620D4E" w:rsidRPr="008E2886" w:rsidRDefault="00620D4E" w:rsidP="00620D4E">
            <w:pPr>
              <w:pStyle w:val="TableReference"/>
              <w:tabs>
                <w:tab w:val="left" w:pos="3306"/>
              </w:tabs>
              <w:spacing w:before="40"/>
              <w:rPr>
                <w:rFonts w:cs="Calibri"/>
                <w:color w:val="7030A0"/>
                <w:sz w:val="16"/>
                <w:szCs w:val="16"/>
              </w:rPr>
            </w:pPr>
            <w:r w:rsidRPr="008E2886">
              <w:rPr>
                <w:rFonts w:cs="Calibri"/>
                <w:color w:val="7030A0"/>
                <w:sz w:val="16"/>
                <w:szCs w:val="16"/>
              </w:rPr>
              <w:t xml:space="preserve"> </w:t>
            </w:r>
          </w:p>
        </w:tc>
        <w:tc>
          <w:tcPr>
            <w:tcW w:w="3260" w:type="dxa"/>
            <w:tcBorders>
              <w:top w:val="nil"/>
              <w:left w:val="single" w:sz="2" w:space="0" w:color="auto"/>
              <w:bottom w:val="nil"/>
              <w:right w:val="nil"/>
            </w:tcBorders>
            <w:vAlign w:val="bottom"/>
          </w:tcPr>
          <w:p w14:paraId="66451904" w14:textId="5200D509" w:rsidR="00620D4E" w:rsidRPr="008E2886" w:rsidRDefault="00620D4E" w:rsidP="00620D4E">
            <w:pPr>
              <w:pStyle w:val="TableText"/>
              <w:tabs>
                <w:tab w:val="left" w:pos="3306"/>
              </w:tabs>
              <w:rPr>
                <w:rFonts w:cs="Calibri"/>
                <w:b/>
                <w:bCs/>
              </w:rPr>
            </w:pPr>
            <w:r w:rsidRPr="008E2886">
              <w:rPr>
                <w:rFonts w:cs="Calibri"/>
                <w:b/>
                <w:bCs/>
              </w:rPr>
              <w:t>Balance at 30 June 2021</w:t>
            </w:r>
          </w:p>
        </w:tc>
        <w:tc>
          <w:tcPr>
            <w:tcW w:w="709" w:type="dxa"/>
            <w:tcBorders>
              <w:top w:val="nil"/>
              <w:left w:val="nil"/>
              <w:bottom w:val="nil"/>
              <w:right w:val="nil"/>
            </w:tcBorders>
            <w:vAlign w:val="bottom"/>
          </w:tcPr>
          <w:p w14:paraId="03DDAC43" w14:textId="77777777" w:rsidR="00620D4E" w:rsidRPr="008E2886" w:rsidRDefault="00620D4E" w:rsidP="00620D4E">
            <w:pPr>
              <w:pStyle w:val="TableText"/>
              <w:tabs>
                <w:tab w:val="left" w:pos="3306"/>
              </w:tabs>
              <w:jc w:val="center"/>
              <w:rPr>
                <w:rFonts w:cs="Calibri"/>
              </w:rPr>
            </w:pPr>
          </w:p>
        </w:tc>
        <w:tc>
          <w:tcPr>
            <w:tcW w:w="1134" w:type="dxa"/>
            <w:tcBorders>
              <w:top w:val="single" w:sz="4" w:space="0" w:color="auto"/>
              <w:left w:val="nil"/>
              <w:bottom w:val="double" w:sz="4" w:space="0" w:color="auto"/>
              <w:right w:val="nil"/>
            </w:tcBorders>
          </w:tcPr>
          <w:p w14:paraId="6A3ED98A" w14:textId="77777777" w:rsidR="00620D4E" w:rsidRPr="008E2886" w:rsidRDefault="00620D4E" w:rsidP="00620D4E">
            <w:pPr>
              <w:pStyle w:val="TableText"/>
              <w:tabs>
                <w:tab w:val="left" w:pos="3306"/>
              </w:tabs>
              <w:jc w:val="right"/>
              <w:rPr>
                <w:rFonts w:cs="Calibri"/>
                <w:b/>
                <w:bCs/>
              </w:rPr>
            </w:pPr>
          </w:p>
        </w:tc>
        <w:tc>
          <w:tcPr>
            <w:tcW w:w="1276" w:type="dxa"/>
            <w:tcBorders>
              <w:top w:val="single" w:sz="4" w:space="0" w:color="auto"/>
              <w:left w:val="nil"/>
              <w:bottom w:val="double" w:sz="4" w:space="0" w:color="auto"/>
              <w:right w:val="nil"/>
            </w:tcBorders>
            <w:shd w:val="clear" w:color="auto" w:fill="auto"/>
            <w:vAlign w:val="bottom"/>
          </w:tcPr>
          <w:p w14:paraId="6A2638D7" w14:textId="5704B273" w:rsidR="00620D4E" w:rsidRPr="008E2886" w:rsidRDefault="00620D4E" w:rsidP="00620D4E">
            <w:pPr>
              <w:pStyle w:val="TableText"/>
              <w:tabs>
                <w:tab w:val="left" w:pos="3306"/>
              </w:tabs>
              <w:jc w:val="right"/>
              <w:rPr>
                <w:rFonts w:cs="Calibri"/>
                <w:b/>
                <w:bCs/>
              </w:rPr>
            </w:pPr>
          </w:p>
        </w:tc>
        <w:tc>
          <w:tcPr>
            <w:tcW w:w="1134" w:type="dxa"/>
            <w:tcBorders>
              <w:top w:val="single" w:sz="4" w:space="0" w:color="auto"/>
              <w:left w:val="nil"/>
              <w:bottom w:val="double" w:sz="4" w:space="0" w:color="auto"/>
              <w:right w:val="nil"/>
            </w:tcBorders>
            <w:shd w:val="clear" w:color="auto" w:fill="auto"/>
            <w:vAlign w:val="bottom"/>
          </w:tcPr>
          <w:p w14:paraId="575F7A47" w14:textId="77777777" w:rsidR="00620D4E" w:rsidRPr="008E2886" w:rsidRDefault="00620D4E" w:rsidP="00620D4E">
            <w:pPr>
              <w:pStyle w:val="TableText"/>
              <w:tabs>
                <w:tab w:val="left" w:pos="3306"/>
              </w:tabs>
              <w:jc w:val="right"/>
              <w:rPr>
                <w:rFonts w:cs="Calibri"/>
                <w:b/>
                <w:bCs/>
              </w:rPr>
            </w:pPr>
          </w:p>
        </w:tc>
        <w:tc>
          <w:tcPr>
            <w:tcW w:w="992" w:type="dxa"/>
            <w:tcBorders>
              <w:top w:val="single" w:sz="4" w:space="0" w:color="auto"/>
              <w:left w:val="nil"/>
              <w:bottom w:val="double" w:sz="4" w:space="0" w:color="auto"/>
              <w:right w:val="nil"/>
            </w:tcBorders>
            <w:shd w:val="clear" w:color="auto" w:fill="auto"/>
            <w:vAlign w:val="bottom"/>
          </w:tcPr>
          <w:p w14:paraId="04E2DE66" w14:textId="77777777" w:rsidR="00620D4E" w:rsidRPr="008E2886" w:rsidRDefault="00620D4E" w:rsidP="00620D4E">
            <w:pPr>
              <w:pStyle w:val="TableText"/>
              <w:tabs>
                <w:tab w:val="left" w:pos="3306"/>
              </w:tabs>
              <w:jc w:val="right"/>
              <w:rPr>
                <w:rFonts w:cs="Calibri"/>
                <w:b/>
                <w:bCs/>
              </w:rPr>
            </w:pPr>
          </w:p>
        </w:tc>
        <w:tc>
          <w:tcPr>
            <w:tcW w:w="850" w:type="dxa"/>
            <w:tcBorders>
              <w:top w:val="single" w:sz="4" w:space="0" w:color="auto"/>
              <w:left w:val="nil"/>
              <w:bottom w:val="double" w:sz="4" w:space="0" w:color="auto"/>
              <w:right w:val="nil"/>
            </w:tcBorders>
            <w:shd w:val="clear" w:color="auto" w:fill="auto"/>
            <w:vAlign w:val="bottom"/>
          </w:tcPr>
          <w:p w14:paraId="0E7A920D" w14:textId="77777777" w:rsidR="00620D4E" w:rsidRPr="008E2886" w:rsidRDefault="00620D4E" w:rsidP="00620D4E">
            <w:pPr>
              <w:pStyle w:val="TableText"/>
              <w:tabs>
                <w:tab w:val="left" w:pos="3306"/>
              </w:tabs>
              <w:jc w:val="right"/>
              <w:rPr>
                <w:rFonts w:cs="Calibri"/>
                <w:b/>
                <w:bCs/>
              </w:rPr>
            </w:pPr>
          </w:p>
        </w:tc>
      </w:tr>
      <w:tr w:rsidR="00620D4E" w:rsidRPr="00CF7E1B" w14:paraId="7361E010" w14:textId="77777777" w:rsidTr="004D1EC6">
        <w:trPr>
          <w:cantSplit/>
          <w:trHeight w:val="20"/>
        </w:trPr>
        <w:tc>
          <w:tcPr>
            <w:tcW w:w="1478" w:type="dxa"/>
            <w:tcBorders>
              <w:top w:val="nil"/>
              <w:left w:val="single" w:sz="2" w:space="0" w:color="auto"/>
              <w:bottom w:val="nil"/>
              <w:right w:val="single" w:sz="2" w:space="0" w:color="auto"/>
            </w:tcBorders>
          </w:tcPr>
          <w:p w14:paraId="651191B5" w14:textId="77777777" w:rsidR="00620D4E" w:rsidRPr="008E2886" w:rsidRDefault="00620D4E" w:rsidP="00620D4E">
            <w:pPr>
              <w:pStyle w:val="TableReference"/>
              <w:tabs>
                <w:tab w:val="left" w:pos="3306"/>
              </w:tabs>
              <w:rPr>
                <w:rFonts w:cs="Calibri"/>
                <w:color w:val="7030A0"/>
                <w:sz w:val="16"/>
                <w:szCs w:val="16"/>
              </w:rPr>
            </w:pPr>
          </w:p>
        </w:tc>
        <w:tc>
          <w:tcPr>
            <w:tcW w:w="3260" w:type="dxa"/>
            <w:tcBorders>
              <w:top w:val="nil"/>
              <w:left w:val="single" w:sz="2" w:space="0" w:color="auto"/>
              <w:bottom w:val="nil"/>
              <w:right w:val="nil"/>
            </w:tcBorders>
            <w:vAlign w:val="bottom"/>
          </w:tcPr>
          <w:p w14:paraId="6E0FBBA5" w14:textId="77777777" w:rsidR="00620D4E" w:rsidRPr="008E2886" w:rsidRDefault="00620D4E" w:rsidP="00620D4E">
            <w:pPr>
              <w:pStyle w:val="TableText"/>
              <w:tabs>
                <w:tab w:val="left" w:pos="3306"/>
              </w:tabs>
              <w:spacing w:before="0"/>
              <w:rPr>
                <w:rFonts w:cs="Calibri"/>
                <w:b/>
                <w:bCs/>
                <w:sz w:val="12"/>
              </w:rPr>
            </w:pPr>
          </w:p>
        </w:tc>
        <w:tc>
          <w:tcPr>
            <w:tcW w:w="709" w:type="dxa"/>
            <w:tcBorders>
              <w:top w:val="nil"/>
              <w:left w:val="nil"/>
              <w:bottom w:val="nil"/>
              <w:right w:val="nil"/>
            </w:tcBorders>
            <w:vAlign w:val="bottom"/>
          </w:tcPr>
          <w:p w14:paraId="6C9EA28C" w14:textId="77777777" w:rsidR="00620D4E" w:rsidRPr="008E2886" w:rsidRDefault="00620D4E" w:rsidP="00620D4E">
            <w:pPr>
              <w:pStyle w:val="TableText"/>
              <w:tabs>
                <w:tab w:val="left" w:pos="3306"/>
              </w:tabs>
              <w:spacing w:before="0"/>
              <w:jc w:val="center"/>
              <w:rPr>
                <w:rFonts w:cs="Calibri"/>
                <w:sz w:val="12"/>
              </w:rPr>
            </w:pPr>
          </w:p>
        </w:tc>
        <w:tc>
          <w:tcPr>
            <w:tcW w:w="1134" w:type="dxa"/>
            <w:tcBorders>
              <w:top w:val="double" w:sz="4" w:space="0" w:color="auto"/>
              <w:left w:val="nil"/>
              <w:bottom w:val="nil"/>
              <w:right w:val="nil"/>
            </w:tcBorders>
          </w:tcPr>
          <w:p w14:paraId="2C9DC419" w14:textId="77777777" w:rsidR="00620D4E" w:rsidRPr="008E2886" w:rsidRDefault="00620D4E" w:rsidP="00620D4E">
            <w:pPr>
              <w:pStyle w:val="TableText"/>
              <w:tabs>
                <w:tab w:val="left" w:pos="3306"/>
              </w:tabs>
              <w:spacing w:before="0"/>
              <w:jc w:val="right"/>
              <w:rPr>
                <w:rFonts w:cs="Calibri"/>
                <w:b/>
                <w:bCs/>
                <w:sz w:val="12"/>
              </w:rPr>
            </w:pPr>
          </w:p>
        </w:tc>
        <w:tc>
          <w:tcPr>
            <w:tcW w:w="1276" w:type="dxa"/>
            <w:tcBorders>
              <w:top w:val="double" w:sz="4" w:space="0" w:color="auto"/>
              <w:left w:val="nil"/>
              <w:bottom w:val="nil"/>
              <w:right w:val="nil"/>
            </w:tcBorders>
            <w:shd w:val="clear" w:color="auto" w:fill="auto"/>
            <w:vAlign w:val="bottom"/>
          </w:tcPr>
          <w:p w14:paraId="1CCECD92" w14:textId="082C7554" w:rsidR="00620D4E" w:rsidRPr="008E2886" w:rsidRDefault="00620D4E" w:rsidP="00620D4E">
            <w:pPr>
              <w:pStyle w:val="TableText"/>
              <w:tabs>
                <w:tab w:val="left" w:pos="3306"/>
              </w:tabs>
              <w:spacing w:before="0"/>
              <w:jc w:val="right"/>
              <w:rPr>
                <w:rFonts w:cs="Calibri"/>
                <w:b/>
                <w:bCs/>
                <w:sz w:val="12"/>
              </w:rPr>
            </w:pPr>
          </w:p>
        </w:tc>
        <w:tc>
          <w:tcPr>
            <w:tcW w:w="1134" w:type="dxa"/>
            <w:tcBorders>
              <w:top w:val="double" w:sz="4" w:space="0" w:color="auto"/>
              <w:left w:val="nil"/>
              <w:bottom w:val="nil"/>
              <w:right w:val="nil"/>
            </w:tcBorders>
            <w:shd w:val="clear" w:color="auto" w:fill="auto"/>
            <w:vAlign w:val="bottom"/>
          </w:tcPr>
          <w:p w14:paraId="44B1257E" w14:textId="77777777" w:rsidR="00620D4E" w:rsidRPr="008E2886" w:rsidRDefault="00620D4E" w:rsidP="00620D4E">
            <w:pPr>
              <w:pStyle w:val="TableText"/>
              <w:tabs>
                <w:tab w:val="left" w:pos="3306"/>
              </w:tabs>
              <w:spacing w:before="0"/>
              <w:jc w:val="right"/>
              <w:rPr>
                <w:rFonts w:cs="Calibri"/>
                <w:b/>
                <w:bCs/>
                <w:sz w:val="12"/>
              </w:rPr>
            </w:pPr>
          </w:p>
        </w:tc>
        <w:tc>
          <w:tcPr>
            <w:tcW w:w="992" w:type="dxa"/>
            <w:tcBorders>
              <w:top w:val="double" w:sz="4" w:space="0" w:color="auto"/>
              <w:left w:val="nil"/>
              <w:bottom w:val="nil"/>
              <w:right w:val="nil"/>
            </w:tcBorders>
            <w:shd w:val="clear" w:color="auto" w:fill="auto"/>
            <w:vAlign w:val="bottom"/>
          </w:tcPr>
          <w:p w14:paraId="5AF8293D" w14:textId="77777777" w:rsidR="00620D4E" w:rsidRPr="008E2886" w:rsidRDefault="00620D4E" w:rsidP="00620D4E">
            <w:pPr>
              <w:pStyle w:val="TableText"/>
              <w:tabs>
                <w:tab w:val="left" w:pos="3306"/>
              </w:tabs>
              <w:spacing w:before="0"/>
              <w:jc w:val="right"/>
              <w:rPr>
                <w:rFonts w:cs="Calibri"/>
                <w:b/>
                <w:bCs/>
                <w:sz w:val="12"/>
              </w:rPr>
            </w:pPr>
          </w:p>
        </w:tc>
        <w:tc>
          <w:tcPr>
            <w:tcW w:w="850" w:type="dxa"/>
            <w:tcBorders>
              <w:top w:val="double" w:sz="4" w:space="0" w:color="auto"/>
              <w:left w:val="nil"/>
              <w:bottom w:val="nil"/>
              <w:right w:val="nil"/>
            </w:tcBorders>
            <w:shd w:val="clear" w:color="auto" w:fill="auto"/>
            <w:vAlign w:val="bottom"/>
          </w:tcPr>
          <w:p w14:paraId="7D52FA86" w14:textId="77777777" w:rsidR="00620D4E" w:rsidRPr="008E2886" w:rsidRDefault="00620D4E" w:rsidP="00620D4E">
            <w:pPr>
              <w:pStyle w:val="TableText"/>
              <w:tabs>
                <w:tab w:val="left" w:pos="3306"/>
              </w:tabs>
              <w:spacing w:before="0"/>
              <w:jc w:val="right"/>
              <w:rPr>
                <w:rFonts w:cs="Calibri"/>
                <w:b/>
                <w:bCs/>
                <w:sz w:val="12"/>
              </w:rPr>
            </w:pPr>
          </w:p>
        </w:tc>
      </w:tr>
      <w:tr w:rsidR="00491C20" w:rsidRPr="00CF7E1B" w14:paraId="0380F86D" w14:textId="77777777" w:rsidTr="004D1EC6">
        <w:trPr>
          <w:cantSplit/>
          <w:trHeight w:val="237"/>
        </w:trPr>
        <w:tc>
          <w:tcPr>
            <w:tcW w:w="1478" w:type="dxa"/>
            <w:tcBorders>
              <w:top w:val="nil"/>
              <w:left w:val="single" w:sz="2" w:space="0" w:color="auto"/>
              <w:bottom w:val="nil"/>
              <w:right w:val="single" w:sz="2" w:space="0" w:color="auto"/>
            </w:tcBorders>
          </w:tcPr>
          <w:p w14:paraId="709BB49C" w14:textId="77777777" w:rsidR="00491C20" w:rsidRPr="008E2886" w:rsidRDefault="00491C20" w:rsidP="00491C20">
            <w:pPr>
              <w:pStyle w:val="TableReference"/>
              <w:tabs>
                <w:tab w:val="left" w:pos="3306"/>
              </w:tabs>
              <w:rPr>
                <w:rFonts w:cs="Calibri"/>
                <w:color w:val="7030A0"/>
                <w:sz w:val="16"/>
                <w:szCs w:val="16"/>
              </w:rPr>
            </w:pPr>
          </w:p>
        </w:tc>
        <w:tc>
          <w:tcPr>
            <w:tcW w:w="9355" w:type="dxa"/>
            <w:gridSpan w:val="7"/>
            <w:tcBorders>
              <w:top w:val="nil"/>
              <w:left w:val="single" w:sz="2" w:space="0" w:color="auto"/>
              <w:bottom w:val="nil"/>
              <w:right w:val="nil"/>
            </w:tcBorders>
          </w:tcPr>
          <w:p w14:paraId="206CA84B" w14:textId="0AF7A3A5" w:rsidR="00491C20" w:rsidRPr="008E2886" w:rsidRDefault="00491C20" w:rsidP="00491C20">
            <w:pPr>
              <w:pStyle w:val="TableText"/>
              <w:tabs>
                <w:tab w:val="left" w:pos="3306"/>
              </w:tabs>
              <w:spacing w:before="0"/>
              <w:rPr>
                <w:rFonts w:cs="Calibri"/>
                <w:bCs/>
              </w:rPr>
            </w:pPr>
            <w:r w:rsidRPr="008E2886">
              <w:rPr>
                <w:rFonts w:cs="Calibri"/>
                <w:bCs/>
              </w:rPr>
              <w:t>The above Statement of Changes in Equity is to read in conjunction with the accompanying note</w:t>
            </w:r>
            <w:r w:rsidRPr="008E2886">
              <w:rPr>
                <w:rFonts w:cs="Calibri"/>
                <w:bCs/>
                <w:sz w:val="14"/>
                <w:szCs w:val="14"/>
              </w:rPr>
              <w:t>s.</w:t>
            </w:r>
          </w:p>
        </w:tc>
      </w:tr>
    </w:tbl>
    <w:p w14:paraId="47809684" w14:textId="77777777" w:rsidR="00AD56C6" w:rsidRDefault="00AD56C6" w:rsidP="00DE21F8">
      <w:pPr>
        <w:sectPr w:rsidR="00AD56C6" w:rsidSect="00AD56C6">
          <w:headerReference w:type="default" r:id="rId27"/>
          <w:footnotePr>
            <w:numRestart w:val="eachPage"/>
          </w:footnotePr>
          <w:pgSz w:w="11907" w:h="16840" w:code="9"/>
          <w:pgMar w:top="567" w:right="680" w:bottom="1134" w:left="680" w:header="284" w:footer="284" w:gutter="0"/>
          <w:cols w:space="720"/>
        </w:sectPr>
      </w:pPr>
    </w:p>
    <w:tbl>
      <w:tblPr>
        <w:tblW w:w="5000" w:type="pct"/>
        <w:shd w:val="clear" w:color="auto" w:fill="CCFFCC"/>
        <w:tblLook w:val="00A0" w:firstRow="1" w:lastRow="0" w:firstColumn="1" w:lastColumn="0" w:noHBand="0" w:noVBand="0"/>
      </w:tblPr>
      <w:tblGrid>
        <w:gridCol w:w="1557"/>
        <w:gridCol w:w="8987"/>
      </w:tblGrid>
      <w:tr w:rsidR="006A4E19" w:rsidRPr="00CF7E1B" w14:paraId="0E0CB91D" w14:textId="77777777" w:rsidTr="004D1EC6">
        <w:trPr>
          <w:cantSplit/>
          <w:trHeight w:val="20"/>
        </w:trPr>
        <w:tc>
          <w:tcPr>
            <w:tcW w:w="1557" w:type="dxa"/>
            <w:tcBorders>
              <w:left w:val="single" w:sz="2" w:space="0" w:color="auto"/>
              <w:right w:val="single" w:sz="2" w:space="0" w:color="auto"/>
            </w:tcBorders>
          </w:tcPr>
          <w:p w14:paraId="4DA4BDA1" w14:textId="77777777" w:rsidR="006A4E19" w:rsidRPr="008E2886" w:rsidRDefault="000413B6" w:rsidP="00BD1DCB">
            <w:pPr>
              <w:pStyle w:val="CommentaryTitle"/>
              <w:spacing w:before="0" w:after="240"/>
              <w:rPr>
                <w:rFonts w:cs="Calibri"/>
                <w:color w:val="7030A0"/>
              </w:rPr>
            </w:pPr>
            <w:r w:rsidRPr="008E2886">
              <w:rPr>
                <w:rFonts w:cs="Calibri"/>
                <w:color w:val="7030A0"/>
              </w:rPr>
              <w:t>Reference</w:t>
            </w:r>
          </w:p>
        </w:tc>
        <w:tc>
          <w:tcPr>
            <w:tcW w:w="8987" w:type="dxa"/>
            <w:tcBorders>
              <w:left w:val="single" w:sz="2" w:space="0" w:color="auto"/>
            </w:tcBorders>
            <w:shd w:val="clear" w:color="auto" w:fill="7030A0"/>
          </w:tcPr>
          <w:p w14:paraId="440BA6D9" w14:textId="77777777" w:rsidR="006A4E19" w:rsidRPr="008E2886" w:rsidRDefault="006A4E19" w:rsidP="00BD1DCB">
            <w:pPr>
              <w:pStyle w:val="CommentaryTitle"/>
              <w:spacing w:before="0" w:after="240"/>
              <w:rPr>
                <w:rFonts w:cs="Calibri"/>
                <w:color w:val="FFFFFF" w:themeColor="background1"/>
                <w:sz w:val="28"/>
                <w:szCs w:val="28"/>
              </w:rPr>
            </w:pPr>
            <w:r w:rsidRPr="008E2886">
              <w:rPr>
                <w:rFonts w:cs="Calibri"/>
                <w:color w:val="FFFFFF" w:themeColor="background1"/>
                <w:sz w:val="28"/>
                <w:szCs w:val="28"/>
              </w:rPr>
              <w:t xml:space="preserve">Commentary </w:t>
            </w:r>
            <w:r w:rsidRPr="008E2886">
              <w:rPr>
                <w:rFonts w:cs="Calibri"/>
                <w:color w:val="FFFFFF" w:themeColor="background1"/>
                <w:sz w:val="28"/>
                <w:szCs w:val="28"/>
              </w:rPr>
              <w:sym w:font="Symbol" w:char="F02D"/>
            </w:r>
            <w:r w:rsidRPr="008E2886">
              <w:rPr>
                <w:rFonts w:cs="Calibri"/>
                <w:color w:val="FFFFFF" w:themeColor="background1"/>
                <w:sz w:val="28"/>
                <w:szCs w:val="28"/>
              </w:rPr>
              <w:t xml:space="preserve"> Statement of Changes in Equity</w:t>
            </w:r>
          </w:p>
        </w:tc>
      </w:tr>
      <w:tr w:rsidR="006A4E19" w:rsidRPr="00CF7E1B" w14:paraId="48B91277" w14:textId="77777777" w:rsidTr="004D1EC6">
        <w:trPr>
          <w:cantSplit/>
          <w:trHeight w:val="20"/>
        </w:trPr>
        <w:tc>
          <w:tcPr>
            <w:tcW w:w="1557" w:type="dxa"/>
            <w:tcBorders>
              <w:left w:val="single" w:sz="2" w:space="0" w:color="auto"/>
              <w:right w:val="single" w:sz="2" w:space="0" w:color="auto"/>
            </w:tcBorders>
          </w:tcPr>
          <w:p w14:paraId="09F22287" w14:textId="77777777" w:rsidR="006A4E19" w:rsidRPr="008E2886" w:rsidRDefault="006A4E19" w:rsidP="006A4E19">
            <w:pPr>
              <w:pStyle w:val="TableReference"/>
              <w:tabs>
                <w:tab w:val="left" w:pos="3306"/>
              </w:tabs>
              <w:rPr>
                <w:rFonts w:cs="Calibri"/>
                <w:color w:val="7030A0"/>
                <w:sz w:val="14"/>
              </w:rPr>
            </w:pPr>
          </w:p>
        </w:tc>
        <w:tc>
          <w:tcPr>
            <w:tcW w:w="8987" w:type="dxa"/>
            <w:tcBorders>
              <w:left w:val="single" w:sz="2" w:space="0" w:color="auto"/>
            </w:tcBorders>
            <w:shd w:val="clear" w:color="auto" w:fill="7030A0"/>
          </w:tcPr>
          <w:p w14:paraId="29234274" w14:textId="77777777" w:rsidR="006A4E19" w:rsidRPr="008E2886" w:rsidRDefault="006A4E19" w:rsidP="00F40D88">
            <w:pPr>
              <w:pStyle w:val="CommentaryReference"/>
              <w:spacing w:after="40"/>
              <w:jc w:val="both"/>
              <w:rPr>
                <w:rFonts w:cs="Calibri"/>
                <w:b/>
                <w:bCs/>
                <w:color w:val="FFFFFF" w:themeColor="background1"/>
                <w:sz w:val="18"/>
              </w:rPr>
            </w:pPr>
            <w:r w:rsidRPr="00F40D88">
              <w:rPr>
                <w:rFonts w:cs="Calibri"/>
                <w:b/>
                <w:bCs/>
                <w:color w:val="FFFFFF" w:themeColor="background1"/>
                <w:sz w:val="20"/>
                <w:szCs w:val="20"/>
              </w:rPr>
              <w:t>Format</w:t>
            </w:r>
          </w:p>
        </w:tc>
      </w:tr>
      <w:tr w:rsidR="006A4E19" w:rsidRPr="00CF7E1B" w14:paraId="1A8BE178" w14:textId="77777777" w:rsidTr="004D1EC6">
        <w:trPr>
          <w:cantSplit/>
          <w:trHeight w:val="20"/>
        </w:trPr>
        <w:tc>
          <w:tcPr>
            <w:tcW w:w="1557" w:type="dxa"/>
            <w:tcBorders>
              <w:left w:val="single" w:sz="2" w:space="0" w:color="auto"/>
              <w:right w:val="single" w:sz="2" w:space="0" w:color="auto"/>
            </w:tcBorders>
          </w:tcPr>
          <w:p w14:paraId="7F062D27" w14:textId="77777777" w:rsidR="006A4E19" w:rsidRPr="008E2886" w:rsidRDefault="006A4E19" w:rsidP="006A4E19">
            <w:pPr>
              <w:pStyle w:val="TableReference"/>
              <w:tabs>
                <w:tab w:val="left" w:pos="3306"/>
              </w:tabs>
              <w:spacing w:before="60"/>
              <w:rPr>
                <w:rFonts w:cs="Calibri"/>
                <w:color w:val="7030A0"/>
                <w:sz w:val="14"/>
              </w:rPr>
            </w:pPr>
            <w:r w:rsidRPr="008E2886">
              <w:rPr>
                <w:rFonts w:cs="Calibri"/>
                <w:color w:val="7030A0"/>
                <w:sz w:val="14"/>
              </w:rPr>
              <w:t>AASB 101</w:t>
            </w:r>
            <w:r w:rsidR="00D001B7" w:rsidRPr="008E2886">
              <w:rPr>
                <w:rFonts w:cs="Calibri"/>
                <w:color w:val="7030A0"/>
                <w:sz w:val="14"/>
              </w:rPr>
              <w:t>.</w:t>
            </w:r>
            <w:r w:rsidRPr="008E2886">
              <w:rPr>
                <w:rFonts w:cs="Calibri"/>
                <w:color w:val="7030A0"/>
                <w:sz w:val="14"/>
              </w:rPr>
              <w:t>106 – 110</w:t>
            </w:r>
          </w:p>
        </w:tc>
        <w:tc>
          <w:tcPr>
            <w:tcW w:w="8987" w:type="dxa"/>
            <w:tcBorders>
              <w:left w:val="single" w:sz="2" w:space="0" w:color="auto"/>
            </w:tcBorders>
            <w:shd w:val="clear" w:color="auto" w:fill="7030A0"/>
          </w:tcPr>
          <w:p w14:paraId="2AFF2DC6" w14:textId="24B48F97" w:rsidR="006A4E19" w:rsidRPr="008E2886" w:rsidRDefault="006141B9" w:rsidP="006A4E19">
            <w:pPr>
              <w:pStyle w:val="CommentaryText"/>
              <w:rPr>
                <w:rFonts w:cs="Calibri"/>
                <w:color w:val="FFFFFF" w:themeColor="background1"/>
                <w:sz w:val="18"/>
                <w:szCs w:val="18"/>
              </w:rPr>
            </w:pPr>
            <w:r w:rsidRPr="008E2886">
              <w:rPr>
                <w:rFonts w:cs="Calibri"/>
                <w:color w:val="FFFFFF" w:themeColor="background1"/>
                <w:sz w:val="18"/>
                <w:szCs w:val="18"/>
              </w:rPr>
              <w:t>T</w:t>
            </w:r>
            <w:r w:rsidR="006A4E19" w:rsidRPr="008E2886">
              <w:rPr>
                <w:rFonts w:cs="Calibri"/>
                <w:color w:val="FFFFFF" w:themeColor="background1"/>
                <w:sz w:val="18"/>
                <w:szCs w:val="18"/>
              </w:rPr>
              <w:t xml:space="preserve">he Statement of Changes in Equity, </w:t>
            </w:r>
            <w:r w:rsidRPr="008E2886">
              <w:rPr>
                <w:rFonts w:cs="Calibri"/>
                <w:color w:val="FFFFFF" w:themeColor="background1"/>
                <w:sz w:val="18"/>
                <w:szCs w:val="18"/>
              </w:rPr>
              <w:t xml:space="preserve">must </w:t>
            </w:r>
            <w:r w:rsidR="006A4E19" w:rsidRPr="008E2886">
              <w:rPr>
                <w:rFonts w:cs="Calibri"/>
                <w:color w:val="FFFFFF" w:themeColor="background1"/>
                <w:sz w:val="18"/>
                <w:szCs w:val="18"/>
              </w:rPr>
              <w:t>includ</w:t>
            </w:r>
            <w:r w:rsidRPr="008E2886">
              <w:rPr>
                <w:rFonts w:cs="Calibri"/>
                <w:color w:val="FFFFFF" w:themeColor="background1"/>
                <w:sz w:val="18"/>
                <w:szCs w:val="18"/>
              </w:rPr>
              <w:t>e</w:t>
            </w:r>
            <w:r w:rsidR="006A4E19" w:rsidRPr="008E2886">
              <w:rPr>
                <w:rFonts w:cs="Calibri"/>
                <w:color w:val="FFFFFF" w:themeColor="background1"/>
                <w:sz w:val="18"/>
                <w:szCs w:val="18"/>
              </w:rPr>
              <w:t xml:space="preserve"> certain line items.</w:t>
            </w:r>
          </w:p>
        </w:tc>
      </w:tr>
      <w:tr w:rsidR="00CA71BB" w:rsidRPr="00CF7E1B" w14:paraId="30557CD6" w14:textId="77777777" w:rsidTr="004D1EC6">
        <w:trPr>
          <w:cantSplit/>
          <w:trHeight w:val="20"/>
        </w:trPr>
        <w:tc>
          <w:tcPr>
            <w:tcW w:w="1557" w:type="dxa"/>
            <w:tcBorders>
              <w:left w:val="single" w:sz="2" w:space="0" w:color="auto"/>
              <w:right w:val="single" w:sz="2" w:space="0" w:color="auto"/>
            </w:tcBorders>
          </w:tcPr>
          <w:p w14:paraId="03557896" w14:textId="77777777" w:rsidR="00CA71BB" w:rsidRPr="008E2886" w:rsidRDefault="00CA71BB" w:rsidP="00CA71BB">
            <w:pPr>
              <w:pStyle w:val="TableReference"/>
              <w:tabs>
                <w:tab w:val="left" w:pos="3306"/>
              </w:tabs>
              <w:spacing w:before="60"/>
              <w:ind w:left="-63" w:firstLine="63"/>
              <w:rPr>
                <w:rFonts w:cs="Calibri"/>
                <w:color w:val="7030A0"/>
                <w:sz w:val="14"/>
              </w:rPr>
            </w:pPr>
            <w:r w:rsidRPr="008E2886">
              <w:rPr>
                <w:rFonts w:cs="Calibri"/>
                <w:color w:val="7030A0"/>
                <w:sz w:val="14"/>
              </w:rPr>
              <w:t>AASB 101</w:t>
            </w:r>
            <w:r w:rsidR="00D65811" w:rsidRPr="008E2886">
              <w:rPr>
                <w:rFonts w:cs="Calibri"/>
                <w:color w:val="7030A0"/>
                <w:sz w:val="14"/>
              </w:rPr>
              <w:t>.</w:t>
            </w:r>
            <w:r w:rsidRPr="008E2886">
              <w:rPr>
                <w:rFonts w:cs="Calibri"/>
                <w:color w:val="7030A0"/>
                <w:sz w:val="14"/>
              </w:rPr>
              <w:t xml:space="preserve">106 </w:t>
            </w:r>
          </w:p>
          <w:p w14:paraId="00FFCA9E" w14:textId="77777777" w:rsidR="00CA71BB" w:rsidRPr="008E2886" w:rsidRDefault="00CA71BB" w:rsidP="00CA71BB">
            <w:pPr>
              <w:pStyle w:val="TableReference"/>
              <w:tabs>
                <w:tab w:val="left" w:pos="3306"/>
              </w:tabs>
              <w:ind w:left="-63" w:firstLine="63"/>
              <w:rPr>
                <w:rFonts w:cs="Calibri"/>
                <w:color w:val="7030A0"/>
                <w:sz w:val="14"/>
              </w:rPr>
            </w:pPr>
          </w:p>
          <w:p w14:paraId="700CC4BF" w14:textId="77777777" w:rsidR="00CA71BB" w:rsidRPr="008E2886" w:rsidRDefault="00CA71BB" w:rsidP="00CA71BB">
            <w:pPr>
              <w:pStyle w:val="TableReference"/>
              <w:tabs>
                <w:tab w:val="left" w:pos="3306"/>
              </w:tabs>
              <w:ind w:left="-63" w:firstLine="63"/>
              <w:rPr>
                <w:rFonts w:cs="Calibri"/>
                <w:color w:val="7030A0"/>
                <w:sz w:val="14"/>
              </w:rPr>
            </w:pPr>
          </w:p>
          <w:p w14:paraId="34E4B9D1" w14:textId="77777777" w:rsidR="00CA71BB" w:rsidRPr="008E2886" w:rsidRDefault="00CA71BB" w:rsidP="00CA71BB">
            <w:pPr>
              <w:pStyle w:val="TableReference"/>
              <w:tabs>
                <w:tab w:val="left" w:pos="3306"/>
              </w:tabs>
              <w:ind w:left="-63" w:firstLine="63"/>
              <w:rPr>
                <w:rFonts w:cs="Calibri"/>
                <w:color w:val="7030A0"/>
                <w:sz w:val="14"/>
              </w:rPr>
            </w:pPr>
          </w:p>
          <w:p w14:paraId="45B951A1" w14:textId="77777777" w:rsidR="00CA71BB" w:rsidRPr="008E2886" w:rsidRDefault="00CA71BB" w:rsidP="00CA71BB">
            <w:pPr>
              <w:pStyle w:val="TableReference"/>
              <w:tabs>
                <w:tab w:val="left" w:pos="3306"/>
              </w:tabs>
              <w:ind w:left="-63" w:firstLine="63"/>
              <w:rPr>
                <w:rFonts w:cs="Calibri"/>
                <w:color w:val="7030A0"/>
                <w:sz w:val="14"/>
              </w:rPr>
            </w:pPr>
          </w:p>
          <w:p w14:paraId="717D6AFF" w14:textId="77777777" w:rsidR="00CA71BB" w:rsidRPr="008E2886" w:rsidRDefault="00CA71BB" w:rsidP="00CA71BB">
            <w:pPr>
              <w:pStyle w:val="TableReference"/>
              <w:tabs>
                <w:tab w:val="left" w:pos="3306"/>
              </w:tabs>
              <w:ind w:left="-63" w:firstLine="63"/>
              <w:rPr>
                <w:rFonts w:cs="Calibri"/>
                <w:color w:val="7030A0"/>
                <w:sz w:val="14"/>
              </w:rPr>
            </w:pPr>
          </w:p>
          <w:p w14:paraId="737EACD9" w14:textId="77777777" w:rsidR="00CA71BB" w:rsidRPr="008E2886" w:rsidRDefault="00CA71BB" w:rsidP="00CA71BB">
            <w:pPr>
              <w:pStyle w:val="TableReference"/>
              <w:tabs>
                <w:tab w:val="left" w:pos="3306"/>
              </w:tabs>
              <w:ind w:left="-63" w:firstLine="63"/>
              <w:rPr>
                <w:rFonts w:cs="Calibri"/>
                <w:color w:val="7030A0"/>
                <w:sz w:val="14"/>
              </w:rPr>
            </w:pPr>
          </w:p>
          <w:p w14:paraId="5DB9F68B" w14:textId="77777777" w:rsidR="00CA71BB" w:rsidRPr="008E2886" w:rsidRDefault="00CA71BB" w:rsidP="00CA71BB">
            <w:pPr>
              <w:pStyle w:val="TableReference"/>
              <w:tabs>
                <w:tab w:val="left" w:pos="3306"/>
              </w:tabs>
              <w:ind w:left="-63" w:firstLine="63"/>
              <w:rPr>
                <w:rFonts w:cs="Calibri"/>
                <w:color w:val="7030A0"/>
                <w:sz w:val="14"/>
              </w:rPr>
            </w:pPr>
          </w:p>
          <w:p w14:paraId="42341A1F" w14:textId="77777777" w:rsidR="00CA71BB" w:rsidRPr="008E2886" w:rsidRDefault="00CA71BB" w:rsidP="00CA71BB">
            <w:pPr>
              <w:pStyle w:val="TableReference"/>
              <w:tabs>
                <w:tab w:val="left" w:pos="3306"/>
              </w:tabs>
              <w:ind w:left="-63" w:firstLine="63"/>
              <w:rPr>
                <w:rFonts w:cs="Calibri"/>
                <w:color w:val="7030A0"/>
                <w:sz w:val="14"/>
              </w:rPr>
            </w:pPr>
          </w:p>
          <w:p w14:paraId="63DAF91E" w14:textId="77777777" w:rsidR="00CA71BB" w:rsidRPr="008E2886" w:rsidRDefault="00CA71BB" w:rsidP="00CA71BB">
            <w:pPr>
              <w:pStyle w:val="TableReference"/>
              <w:tabs>
                <w:tab w:val="left" w:pos="3306"/>
              </w:tabs>
              <w:ind w:left="-63" w:firstLine="63"/>
              <w:rPr>
                <w:rFonts w:cs="Calibri"/>
                <w:color w:val="7030A0"/>
                <w:sz w:val="14"/>
              </w:rPr>
            </w:pPr>
          </w:p>
          <w:p w14:paraId="6293D647" w14:textId="77777777" w:rsidR="00CA71BB" w:rsidRPr="008E2886" w:rsidRDefault="00CA71BB" w:rsidP="00CA71BB">
            <w:pPr>
              <w:pStyle w:val="TableReference"/>
              <w:tabs>
                <w:tab w:val="left" w:pos="3306"/>
              </w:tabs>
              <w:ind w:left="-63" w:firstLine="63"/>
              <w:rPr>
                <w:rFonts w:cs="Calibri"/>
                <w:color w:val="7030A0"/>
                <w:sz w:val="14"/>
              </w:rPr>
            </w:pPr>
          </w:p>
          <w:p w14:paraId="5C904E96" w14:textId="77777777" w:rsidR="00CA71BB" w:rsidRPr="008E2886" w:rsidRDefault="00CA71BB" w:rsidP="00CA71BB">
            <w:pPr>
              <w:pStyle w:val="TableReference"/>
              <w:tabs>
                <w:tab w:val="left" w:pos="3306"/>
              </w:tabs>
              <w:ind w:left="-63" w:firstLine="63"/>
              <w:rPr>
                <w:rFonts w:cs="Calibri"/>
                <w:color w:val="7030A0"/>
                <w:sz w:val="14"/>
              </w:rPr>
            </w:pPr>
          </w:p>
          <w:p w14:paraId="2723C6CE" w14:textId="77777777" w:rsidR="00CA71BB" w:rsidRPr="008E2886" w:rsidRDefault="00CA71BB" w:rsidP="00CA71BB">
            <w:pPr>
              <w:pStyle w:val="TableReference"/>
              <w:tabs>
                <w:tab w:val="left" w:pos="3306"/>
              </w:tabs>
              <w:ind w:left="-63" w:firstLine="63"/>
              <w:rPr>
                <w:rFonts w:cs="Calibri"/>
                <w:color w:val="7030A0"/>
                <w:sz w:val="14"/>
              </w:rPr>
            </w:pPr>
          </w:p>
          <w:p w14:paraId="228E9F69" w14:textId="77777777" w:rsidR="00CA71BB" w:rsidRPr="008E2886" w:rsidRDefault="00CA71BB" w:rsidP="00CA71BB">
            <w:pPr>
              <w:pStyle w:val="TableReference"/>
              <w:tabs>
                <w:tab w:val="left" w:pos="3306"/>
              </w:tabs>
              <w:ind w:left="-63" w:firstLine="63"/>
              <w:rPr>
                <w:rFonts w:cs="Calibri"/>
                <w:color w:val="7030A0"/>
                <w:sz w:val="14"/>
              </w:rPr>
            </w:pPr>
          </w:p>
        </w:tc>
        <w:tc>
          <w:tcPr>
            <w:tcW w:w="8987" w:type="dxa"/>
            <w:tcBorders>
              <w:left w:val="single" w:sz="2" w:space="0" w:color="auto"/>
            </w:tcBorders>
            <w:shd w:val="clear" w:color="auto" w:fill="7030A0"/>
          </w:tcPr>
          <w:p w14:paraId="54863910" w14:textId="77777777" w:rsidR="00CA71BB" w:rsidRPr="008E2886" w:rsidRDefault="00CA71BB" w:rsidP="00CA71BB">
            <w:pPr>
              <w:pStyle w:val="Default"/>
              <w:ind w:left="-63" w:firstLine="63"/>
              <w:rPr>
                <w:rFonts w:ascii="Calibri" w:hAnsi="Calibri" w:cs="Calibri"/>
                <w:bCs/>
                <w:color w:val="FFFFFF" w:themeColor="background1"/>
                <w:sz w:val="18"/>
                <w:szCs w:val="18"/>
                <w:lang w:eastAsia="en-US"/>
              </w:rPr>
            </w:pPr>
            <w:r w:rsidRPr="008E2886">
              <w:rPr>
                <w:rFonts w:ascii="Calibri" w:hAnsi="Calibri" w:cs="Calibri"/>
                <w:bCs/>
                <w:color w:val="FFFFFF" w:themeColor="background1"/>
                <w:sz w:val="18"/>
                <w:szCs w:val="18"/>
                <w:lang w:eastAsia="en-US"/>
              </w:rPr>
              <w:t xml:space="preserve">An agency shall present a Statement of Changes in Equity showing in the statement: </w:t>
            </w:r>
          </w:p>
          <w:p w14:paraId="3C480450" w14:textId="77777777" w:rsidR="00CA71BB" w:rsidRPr="008E2886" w:rsidRDefault="00CA71BB" w:rsidP="00E35CD2">
            <w:pPr>
              <w:pStyle w:val="Commentary-Bullet"/>
              <w:rPr>
                <w:rFonts w:cs="Calibri"/>
                <w:color w:val="FFFFFF" w:themeColor="background1"/>
                <w:sz w:val="18"/>
                <w:szCs w:val="18"/>
              </w:rPr>
            </w:pPr>
            <w:r w:rsidRPr="008E2886">
              <w:rPr>
                <w:rFonts w:cs="Calibri"/>
                <w:color w:val="FFFFFF" w:themeColor="background1"/>
                <w:sz w:val="18"/>
                <w:szCs w:val="18"/>
              </w:rPr>
              <w:t xml:space="preserve">total Comprehensive Income for the period; </w:t>
            </w:r>
          </w:p>
          <w:p w14:paraId="31DA4150" w14:textId="77777777" w:rsidR="00CA71BB" w:rsidRPr="008E2886" w:rsidRDefault="00CA71BB" w:rsidP="00E35CD2">
            <w:pPr>
              <w:pStyle w:val="Commentary-Bullet"/>
              <w:rPr>
                <w:rFonts w:cs="Calibri"/>
                <w:color w:val="FFFFFF" w:themeColor="background1"/>
                <w:sz w:val="18"/>
                <w:szCs w:val="18"/>
              </w:rPr>
            </w:pPr>
            <w:r w:rsidRPr="008E2886">
              <w:rPr>
                <w:rFonts w:cs="Calibri"/>
                <w:color w:val="FFFFFF" w:themeColor="background1"/>
                <w:sz w:val="18"/>
                <w:szCs w:val="18"/>
              </w:rPr>
              <w:t xml:space="preserve">for each component of equity (i.e. </w:t>
            </w:r>
            <w:r w:rsidR="00D41F42" w:rsidRPr="008E2886">
              <w:rPr>
                <w:rFonts w:cs="Calibri"/>
                <w:color w:val="FFFFFF" w:themeColor="background1"/>
                <w:sz w:val="18"/>
                <w:szCs w:val="18"/>
              </w:rPr>
              <w:t>a</w:t>
            </w:r>
            <w:r w:rsidRPr="008E2886">
              <w:rPr>
                <w:rFonts w:cs="Calibri"/>
                <w:color w:val="FFFFFF" w:themeColor="background1"/>
                <w:sz w:val="18"/>
                <w:szCs w:val="18"/>
              </w:rPr>
              <w:t xml:space="preserve">ccumulated funds, reserves and contributed equity), the effects of retrospective application or retrospective restatement recognised in accordance with AASB 108; and </w:t>
            </w:r>
          </w:p>
          <w:p w14:paraId="1D086225" w14:textId="77777777" w:rsidR="00CA71BB" w:rsidRPr="008E2886" w:rsidRDefault="00CA71BB" w:rsidP="00E35CD2">
            <w:pPr>
              <w:pStyle w:val="Commentary-Bullet"/>
              <w:rPr>
                <w:rFonts w:cs="Calibri"/>
                <w:color w:val="FFFFFF" w:themeColor="background1"/>
                <w:sz w:val="18"/>
                <w:szCs w:val="18"/>
              </w:rPr>
            </w:pPr>
            <w:r w:rsidRPr="008E2886">
              <w:rPr>
                <w:rFonts w:cs="Calibri"/>
                <w:color w:val="FFFFFF" w:themeColor="background1"/>
                <w:sz w:val="18"/>
                <w:szCs w:val="18"/>
              </w:rPr>
              <w:t xml:space="preserve">for each component of equity, a reconciliation between the carrying amount at the beginning and the end of the period, separately disclosing changes resulting from: </w:t>
            </w:r>
          </w:p>
          <w:p w14:paraId="65A9F53D" w14:textId="77777777" w:rsidR="00CA71BB" w:rsidRPr="008E2886" w:rsidRDefault="00CA71BB" w:rsidP="007122BC">
            <w:pPr>
              <w:pStyle w:val="Default"/>
              <w:numPr>
                <w:ilvl w:val="1"/>
                <w:numId w:val="25"/>
              </w:numPr>
              <w:spacing w:after="60"/>
              <w:ind w:left="67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profit or loss;</w:t>
            </w:r>
          </w:p>
          <w:p w14:paraId="44321028" w14:textId="77777777" w:rsidR="00CA71BB" w:rsidRPr="008E2886" w:rsidRDefault="00CA71BB" w:rsidP="007122BC">
            <w:pPr>
              <w:pStyle w:val="Default"/>
              <w:numPr>
                <w:ilvl w:val="1"/>
                <w:numId w:val="25"/>
              </w:numPr>
              <w:spacing w:after="60"/>
              <w:ind w:left="67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 xml:space="preserve">other comprehensive income; and </w:t>
            </w:r>
          </w:p>
          <w:p w14:paraId="4FA2B70E" w14:textId="77777777" w:rsidR="00CA71BB" w:rsidRPr="008E2886" w:rsidRDefault="00CA71BB" w:rsidP="007122BC">
            <w:pPr>
              <w:pStyle w:val="Default"/>
              <w:numPr>
                <w:ilvl w:val="1"/>
                <w:numId w:val="25"/>
              </w:numPr>
              <w:spacing w:after="60"/>
              <w:ind w:left="678" w:hanging="283"/>
              <w:jc w:val="both"/>
              <w:rPr>
                <w:rFonts w:ascii="Calibri" w:hAnsi="Calibri" w:cs="Calibri"/>
                <w:color w:val="FFFFFF" w:themeColor="background1"/>
                <w:sz w:val="18"/>
                <w:szCs w:val="18"/>
                <w:lang w:eastAsia="en-US"/>
              </w:rPr>
            </w:pPr>
            <w:r w:rsidRPr="008E2886">
              <w:rPr>
                <w:rFonts w:ascii="Calibri" w:hAnsi="Calibri" w:cs="Calibri"/>
                <w:color w:val="FFFFFF" w:themeColor="background1"/>
                <w:sz w:val="18"/>
                <w:szCs w:val="18"/>
                <w:lang w:eastAsia="en-US"/>
              </w:rPr>
              <w:t>transactions with owners in their capacity as owners, showing separately contributions by and distributions to owners and changes in ownership interests in subsidiaries that do not result in a loss of control.</w:t>
            </w:r>
          </w:p>
        </w:tc>
      </w:tr>
      <w:tr w:rsidR="006A4E19" w:rsidRPr="00CF7E1B" w14:paraId="4C62E194" w14:textId="77777777" w:rsidTr="004D1EC6">
        <w:trPr>
          <w:cantSplit/>
          <w:trHeight w:val="20"/>
        </w:trPr>
        <w:tc>
          <w:tcPr>
            <w:tcW w:w="1557" w:type="dxa"/>
            <w:tcBorders>
              <w:left w:val="single" w:sz="2" w:space="0" w:color="auto"/>
              <w:right w:val="single" w:sz="2" w:space="0" w:color="auto"/>
            </w:tcBorders>
          </w:tcPr>
          <w:p w14:paraId="5AA2F508" w14:textId="77777777" w:rsidR="006A4E19" w:rsidRPr="008E2886" w:rsidRDefault="006A4E19" w:rsidP="006A4E19">
            <w:pPr>
              <w:pStyle w:val="TableReference"/>
              <w:tabs>
                <w:tab w:val="left" w:pos="3306"/>
              </w:tabs>
              <w:rPr>
                <w:rFonts w:cs="Calibri"/>
                <w:color w:val="7030A0"/>
                <w:sz w:val="14"/>
              </w:rPr>
            </w:pPr>
          </w:p>
        </w:tc>
        <w:tc>
          <w:tcPr>
            <w:tcW w:w="8987" w:type="dxa"/>
            <w:tcBorders>
              <w:left w:val="single" w:sz="2" w:space="0" w:color="auto"/>
            </w:tcBorders>
            <w:shd w:val="clear" w:color="auto" w:fill="7030A0"/>
          </w:tcPr>
          <w:p w14:paraId="389F2533" w14:textId="77777777" w:rsidR="006A4E19" w:rsidRPr="008E2886" w:rsidRDefault="006A4E19" w:rsidP="006A4E1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 xml:space="preserve">Note that where </w:t>
            </w:r>
            <w:r w:rsidR="00A728B9" w:rsidRPr="008E2886">
              <w:rPr>
                <w:rFonts w:cs="Calibri"/>
                <w:color w:val="FFFFFF" w:themeColor="background1"/>
                <w:sz w:val="18"/>
                <w:szCs w:val="18"/>
              </w:rPr>
              <w:t>an a</w:t>
            </w:r>
            <w:r w:rsidRPr="008E2886">
              <w:rPr>
                <w:rFonts w:cs="Calibri"/>
                <w:color w:val="FFFFFF" w:themeColor="background1"/>
                <w:sz w:val="18"/>
                <w:szCs w:val="18"/>
              </w:rPr>
              <w:t>gency has no amounts applicable to any individual line item, that line item should not be included in the Statement of Changes in Equity.</w:t>
            </w:r>
          </w:p>
        </w:tc>
      </w:tr>
      <w:tr w:rsidR="006A4E19" w:rsidRPr="00CF7E1B" w14:paraId="50E78BF3" w14:textId="77777777" w:rsidTr="004D1EC6">
        <w:trPr>
          <w:cantSplit/>
          <w:trHeight w:val="20"/>
        </w:trPr>
        <w:tc>
          <w:tcPr>
            <w:tcW w:w="1557" w:type="dxa"/>
            <w:tcBorders>
              <w:left w:val="single" w:sz="2" w:space="0" w:color="auto"/>
              <w:right w:val="single" w:sz="2" w:space="0" w:color="auto"/>
            </w:tcBorders>
          </w:tcPr>
          <w:p w14:paraId="19ACB6DC" w14:textId="11EFCAD3" w:rsidR="001D66DB" w:rsidRDefault="001D66DB" w:rsidP="006A4E19">
            <w:pPr>
              <w:pStyle w:val="TableReference"/>
              <w:tabs>
                <w:tab w:val="left" w:pos="3306"/>
              </w:tabs>
              <w:spacing w:before="60"/>
              <w:rPr>
                <w:rFonts w:cs="Calibri"/>
                <w:color w:val="7030A0"/>
                <w:sz w:val="14"/>
              </w:rPr>
            </w:pPr>
            <w:r w:rsidRPr="008E2886">
              <w:rPr>
                <w:rFonts w:cs="Calibri"/>
                <w:color w:val="7030A0"/>
                <w:sz w:val="14"/>
              </w:rPr>
              <w:t>AASB 101.51(c), 51(e) &amp; 53</w:t>
            </w:r>
          </w:p>
          <w:p w14:paraId="728DC08B" w14:textId="52477051" w:rsidR="006A4E19" w:rsidRPr="008E2886" w:rsidRDefault="006A4E19" w:rsidP="006A4E19">
            <w:pPr>
              <w:pStyle w:val="TableReference"/>
              <w:tabs>
                <w:tab w:val="left" w:pos="3306"/>
              </w:tabs>
              <w:spacing w:before="60"/>
              <w:rPr>
                <w:rFonts w:cs="Calibri"/>
                <w:color w:val="7030A0"/>
                <w:sz w:val="14"/>
              </w:rPr>
            </w:pPr>
            <w:r w:rsidRPr="008E2886">
              <w:rPr>
                <w:rFonts w:cs="Calibri"/>
                <w:color w:val="7030A0"/>
                <w:sz w:val="14"/>
              </w:rPr>
              <w:t>AASB 101</w:t>
            </w:r>
            <w:r w:rsidR="00D65811" w:rsidRPr="008E2886">
              <w:rPr>
                <w:rFonts w:cs="Calibri"/>
                <w:color w:val="7030A0"/>
                <w:sz w:val="14"/>
              </w:rPr>
              <w:t>.</w:t>
            </w:r>
            <w:r w:rsidRPr="008E2886">
              <w:rPr>
                <w:rFonts w:cs="Calibri"/>
                <w:color w:val="7030A0"/>
                <w:sz w:val="14"/>
              </w:rPr>
              <w:t>113</w:t>
            </w:r>
          </w:p>
        </w:tc>
        <w:tc>
          <w:tcPr>
            <w:tcW w:w="8987" w:type="dxa"/>
            <w:tcBorders>
              <w:left w:val="single" w:sz="2" w:space="0" w:color="auto"/>
            </w:tcBorders>
            <w:shd w:val="clear" w:color="auto" w:fill="7030A0"/>
          </w:tcPr>
          <w:p w14:paraId="0A8EF3A0" w14:textId="2924F461" w:rsidR="001D66DB" w:rsidRDefault="001D66DB" w:rsidP="00552ECB">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The reporting date and rounding used in the Statement of Changes in Equity must be identified.</w:t>
            </w:r>
          </w:p>
          <w:p w14:paraId="43208051" w14:textId="17EA175C" w:rsidR="006A4E19" w:rsidRPr="008E2886" w:rsidRDefault="006A4E19" w:rsidP="00552ECB">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 xml:space="preserve">The Statement of Changes in Equity must be cross-referenced to </w:t>
            </w:r>
            <w:r w:rsidR="00250F66" w:rsidRPr="008E2886">
              <w:rPr>
                <w:rFonts w:cs="Calibri"/>
                <w:color w:val="FFFFFF" w:themeColor="background1"/>
                <w:sz w:val="18"/>
                <w:szCs w:val="18"/>
              </w:rPr>
              <w:t xml:space="preserve">relevant </w:t>
            </w:r>
            <w:r w:rsidRPr="008E2886">
              <w:rPr>
                <w:rFonts w:cs="Calibri"/>
                <w:color w:val="FFFFFF" w:themeColor="background1"/>
                <w:sz w:val="18"/>
                <w:szCs w:val="18"/>
              </w:rPr>
              <w:t>notes</w:t>
            </w:r>
            <w:r w:rsidR="004A0F71" w:rsidRPr="008E2886">
              <w:rPr>
                <w:rFonts w:cs="Calibri"/>
                <w:color w:val="FFFFFF" w:themeColor="background1"/>
                <w:sz w:val="18"/>
                <w:szCs w:val="18"/>
              </w:rPr>
              <w:t xml:space="preserve"> included</w:t>
            </w:r>
            <w:r w:rsidR="00250F66" w:rsidRPr="008E2886">
              <w:rPr>
                <w:rFonts w:cs="Calibri"/>
                <w:color w:val="FFFFFF" w:themeColor="background1"/>
                <w:sz w:val="18"/>
                <w:szCs w:val="18"/>
              </w:rPr>
              <w:t>, based on materiality considerations</w:t>
            </w:r>
            <w:r w:rsidRPr="008E2886">
              <w:rPr>
                <w:rFonts w:cs="Calibri"/>
                <w:color w:val="FFFFFF" w:themeColor="background1"/>
                <w:sz w:val="18"/>
                <w:szCs w:val="18"/>
              </w:rPr>
              <w:t>.</w:t>
            </w:r>
          </w:p>
        </w:tc>
      </w:tr>
      <w:tr w:rsidR="006A4E19" w:rsidRPr="00CF7E1B" w14:paraId="0E5CD38A" w14:textId="77777777" w:rsidTr="004D1EC6">
        <w:trPr>
          <w:cantSplit/>
          <w:trHeight w:val="20"/>
        </w:trPr>
        <w:tc>
          <w:tcPr>
            <w:tcW w:w="1557" w:type="dxa"/>
            <w:tcBorders>
              <w:left w:val="single" w:sz="2" w:space="0" w:color="auto"/>
              <w:right w:val="single" w:sz="2" w:space="0" w:color="auto"/>
            </w:tcBorders>
          </w:tcPr>
          <w:p w14:paraId="5DF0D207" w14:textId="77777777" w:rsidR="00D67A5B" w:rsidRPr="008E2886" w:rsidRDefault="00E95147" w:rsidP="00FE0856">
            <w:pPr>
              <w:pStyle w:val="TableReference"/>
              <w:tabs>
                <w:tab w:val="left" w:pos="3306"/>
              </w:tabs>
              <w:spacing w:before="60"/>
              <w:rPr>
                <w:rFonts w:cs="Calibri"/>
                <w:color w:val="7030A0"/>
                <w:sz w:val="14"/>
              </w:rPr>
            </w:pPr>
            <w:r w:rsidRPr="008E2886">
              <w:rPr>
                <w:rFonts w:cs="Calibri"/>
                <w:color w:val="7030A0"/>
                <w:sz w:val="14"/>
              </w:rPr>
              <w:t>AASB 101</w:t>
            </w:r>
            <w:r w:rsidR="003C43EB" w:rsidRPr="008E2886">
              <w:rPr>
                <w:rFonts w:cs="Calibri"/>
                <w:color w:val="7030A0"/>
                <w:sz w:val="14"/>
              </w:rPr>
              <w:t>.106</w:t>
            </w:r>
            <w:r w:rsidR="00C65C27" w:rsidRPr="008E2886">
              <w:rPr>
                <w:rFonts w:cs="Calibri"/>
                <w:color w:val="7030A0"/>
                <w:sz w:val="14"/>
              </w:rPr>
              <w:t>,</w:t>
            </w:r>
            <w:r w:rsidRPr="008E2886">
              <w:rPr>
                <w:rFonts w:cs="Calibri"/>
                <w:color w:val="7030A0"/>
                <w:sz w:val="14"/>
              </w:rPr>
              <w:t>106A</w:t>
            </w:r>
          </w:p>
          <w:p w14:paraId="7AB62DD5" w14:textId="40F6AD26" w:rsidR="00E95147" w:rsidRPr="008E2886" w:rsidRDefault="00E95147" w:rsidP="00FE0856">
            <w:pPr>
              <w:pStyle w:val="TableReference"/>
              <w:tabs>
                <w:tab w:val="left" w:pos="3306"/>
              </w:tabs>
              <w:spacing w:before="60"/>
              <w:rPr>
                <w:rFonts w:cs="Calibri"/>
                <w:strike/>
                <w:color w:val="7030A0"/>
                <w:sz w:val="14"/>
              </w:rPr>
            </w:pPr>
          </w:p>
        </w:tc>
        <w:tc>
          <w:tcPr>
            <w:tcW w:w="8987" w:type="dxa"/>
            <w:tcBorders>
              <w:left w:val="single" w:sz="2" w:space="0" w:color="auto"/>
            </w:tcBorders>
            <w:shd w:val="clear" w:color="auto" w:fill="7030A0"/>
          </w:tcPr>
          <w:p w14:paraId="3A0935AC" w14:textId="7D3FBD82" w:rsidR="006A4E19" w:rsidRPr="008E2886" w:rsidRDefault="00E95147" w:rsidP="00DA7FF4">
            <w:pPr>
              <w:pStyle w:val="CommentaryReference"/>
              <w:spacing w:after="120"/>
              <w:jc w:val="both"/>
              <w:rPr>
                <w:rFonts w:cs="Calibri"/>
                <w:color w:val="FFFFFF" w:themeColor="background1"/>
                <w:sz w:val="18"/>
                <w:szCs w:val="18"/>
              </w:rPr>
            </w:pPr>
            <w:r w:rsidRPr="008E2886">
              <w:rPr>
                <w:rFonts w:cs="Calibri"/>
                <w:color w:val="FFFFFF" w:themeColor="background1"/>
                <w:sz w:val="18"/>
                <w:szCs w:val="18"/>
              </w:rPr>
              <w:t xml:space="preserve">AASB 101 allows for the reconciliation </w:t>
            </w:r>
            <w:r w:rsidR="00D67A5B" w:rsidRPr="008E2886">
              <w:rPr>
                <w:rFonts w:cs="Calibri"/>
                <w:color w:val="FFFFFF" w:themeColor="background1"/>
                <w:sz w:val="18"/>
                <w:szCs w:val="18"/>
              </w:rPr>
              <w:t>of items</w:t>
            </w:r>
            <w:r w:rsidRPr="008E2886">
              <w:rPr>
                <w:rFonts w:cs="Calibri"/>
                <w:color w:val="FFFFFF" w:themeColor="background1"/>
                <w:sz w:val="18"/>
                <w:szCs w:val="18"/>
              </w:rPr>
              <w:t xml:space="preserve"> of other comprehensive income to be presented either in the Statement of Changes in Equity or in the notes.</w:t>
            </w:r>
            <w:r w:rsidR="00FA7C77">
              <w:rPr>
                <w:rFonts w:cs="Calibri"/>
                <w:color w:val="FFFFFF" w:themeColor="background1"/>
                <w:sz w:val="18"/>
                <w:szCs w:val="18"/>
              </w:rPr>
              <w:t xml:space="preserve"> </w:t>
            </w:r>
          </w:p>
        </w:tc>
      </w:tr>
      <w:tr w:rsidR="006141B9" w:rsidRPr="00CF7E1B" w14:paraId="4C35EC73" w14:textId="77777777" w:rsidTr="004D1EC6">
        <w:trPr>
          <w:cantSplit/>
          <w:trHeight w:val="20"/>
        </w:trPr>
        <w:tc>
          <w:tcPr>
            <w:tcW w:w="1557" w:type="dxa"/>
            <w:tcBorders>
              <w:left w:val="single" w:sz="2" w:space="0" w:color="auto"/>
              <w:right w:val="single" w:sz="2" w:space="0" w:color="auto"/>
            </w:tcBorders>
          </w:tcPr>
          <w:p w14:paraId="68E50818" w14:textId="77777777" w:rsidR="006141B9" w:rsidRPr="008E2886" w:rsidRDefault="006141B9" w:rsidP="00FE0856">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35745D8E" w14:textId="534D4777" w:rsidR="006141B9" w:rsidRPr="007402D3" w:rsidRDefault="006141B9" w:rsidP="006141B9">
            <w:pPr>
              <w:pStyle w:val="CommentaryReference"/>
              <w:spacing w:after="40"/>
              <w:jc w:val="both"/>
              <w:rPr>
                <w:rFonts w:cs="Calibri"/>
                <w:b/>
                <w:bCs/>
                <w:color w:val="FFFFFF" w:themeColor="background1"/>
                <w:sz w:val="20"/>
                <w:szCs w:val="20"/>
              </w:rPr>
            </w:pPr>
            <w:r w:rsidRPr="007402D3">
              <w:rPr>
                <w:rFonts w:cs="Calibri"/>
                <w:b/>
                <w:bCs/>
                <w:color w:val="FFFFFF" w:themeColor="background1"/>
                <w:sz w:val="20"/>
                <w:szCs w:val="20"/>
              </w:rPr>
              <w:t>Budget</w:t>
            </w:r>
          </w:p>
        </w:tc>
      </w:tr>
      <w:tr w:rsidR="006141B9" w:rsidRPr="00CF7E1B" w14:paraId="1115DC91" w14:textId="77777777" w:rsidTr="004D1EC6">
        <w:trPr>
          <w:cantSplit/>
          <w:trHeight w:val="20"/>
        </w:trPr>
        <w:tc>
          <w:tcPr>
            <w:tcW w:w="1557" w:type="dxa"/>
            <w:tcBorders>
              <w:left w:val="single" w:sz="2" w:space="0" w:color="auto"/>
              <w:right w:val="single" w:sz="2" w:space="0" w:color="auto"/>
            </w:tcBorders>
          </w:tcPr>
          <w:p w14:paraId="213A6E82"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FMA Section 27(2)</w:t>
            </w:r>
          </w:p>
          <w:p w14:paraId="286CA229" w14:textId="59AE2A2C" w:rsidR="006141B9" w:rsidRPr="008E2886" w:rsidRDefault="006141B9" w:rsidP="006141B9">
            <w:pPr>
              <w:pStyle w:val="TableReference"/>
              <w:tabs>
                <w:tab w:val="left" w:pos="3306"/>
              </w:tabs>
              <w:spacing w:before="60"/>
              <w:rPr>
                <w:rFonts w:cs="Calibri"/>
                <w:strike/>
                <w:color w:val="7030A0"/>
                <w:sz w:val="14"/>
              </w:rPr>
            </w:pPr>
            <w:r w:rsidRPr="008E2886">
              <w:rPr>
                <w:rFonts w:cs="Calibri"/>
                <w:color w:val="7030A0"/>
                <w:sz w:val="14"/>
              </w:rPr>
              <w:t>FMA s63(2)</w:t>
            </w:r>
          </w:p>
        </w:tc>
        <w:tc>
          <w:tcPr>
            <w:tcW w:w="8987" w:type="dxa"/>
            <w:tcBorders>
              <w:left w:val="single" w:sz="2" w:space="0" w:color="auto"/>
            </w:tcBorders>
            <w:shd w:val="clear" w:color="auto" w:fill="7030A0"/>
          </w:tcPr>
          <w:p w14:paraId="6A95D4E9" w14:textId="26ACD000" w:rsidR="006141B9" w:rsidRPr="008E2886" w:rsidRDefault="006141B9" w:rsidP="006141B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The budget numbers appearing in the Statement of Changes in Equity are those numbers published in the 2021-22 Budget Papers. For Territory Authorities budget numbers appearing in the Statement of Changes in Equity are based on the authority’s Statement of Intent included in the Budget Papers.</w:t>
            </w:r>
          </w:p>
        </w:tc>
      </w:tr>
      <w:tr w:rsidR="006141B9" w:rsidRPr="00CF7E1B" w14:paraId="5BFD85C0" w14:textId="77777777" w:rsidTr="004D1EC6">
        <w:trPr>
          <w:cantSplit/>
          <w:trHeight w:val="20"/>
        </w:trPr>
        <w:tc>
          <w:tcPr>
            <w:tcW w:w="1557" w:type="dxa"/>
            <w:tcBorders>
              <w:left w:val="single" w:sz="2" w:space="0" w:color="auto"/>
              <w:right w:val="single" w:sz="2" w:space="0" w:color="auto"/>
            </w:tcBorders>
          </w:tcPr>
          <w:p w14:paraId="34A856D3" w14:textId="77777777"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3917AABA" w14:textId="77777777" w:rsidR="006141B9" w:rsidRPr="00FA7C77" w:rsidRDefault="006141B9" w:rsidP="006141B9">
            <w:pPr>
              <w:pStyle w:val="CommentaryHeading"/>
              <w:spacing w:before="0" w:after="0"/>
              <w:rPr>
                <w:rFonts w:cs="Calibri"/>
                <w:color w:val="FFFFFF" w:themeColor="background1"/>
                <w:szCs w:val="20"/>
              </w:rPr>
            </w:pPr>
            <w:r w:rsidRPr="00FA7C77">
              <w:rPr>
                <w:rFonts w:cs="Calibri"/>
                <w:color w:val="FFFFFF" w:themeColor="background1"/>
                <w:szCs w:val="20"/>
              </w:rPr>
              <w:t>Dividend</w:t>
            </w:r>
          </w:p>
        </w:tc>
      </w:tr>
      <w:tr w:rsidR="006141B9" w:rsidRPr="00CF7E1B" w14:paraId="43416758" w14:textId="77777777" w:rsidTr="004D1EC6">
        <w:trPr>
          <w:cantSplit/>
          <w:trHeight w:val="20"/>
        </w:trPr>
        <w:tc>
          <w:tcPr>
            <w:tcW w:w="1557" w:type="dxa"/>
            <w:tcBorders>
              <w:left w:val="single" w:sz="2" w:space="0" w:color="auto"/>
              <w:right w:val="single" w:sz="2" w:space="0" w:color="auto"/>
            </w:tcBorders>
          </w:tcPr>
          <w:p w14:paraId="2800EAF9"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AASB 101.107</w:t>
            </w:r>
          </w:p>
          <w:p w14:paraId="46430C3A" w14:textId="77777777" w:rsidR="006141B9" w:rsidRPr="008E2886" w:rsidRDefault="006141B9" w:rsidP="006141B9">
            <w:pPr>
              <w:pStyle w:val="TableReference"/>
              <w:tabs>
                <w:tab w:val="left" w:pos="3306"/>
              </w:tabs>
              <w:spacing w:before="60"/>
              <w:rPr>
                <w:rFonts w:cs="Calibri"/>
                <w:color w:val="7030A0"/>
                <w:sz w:val="14"/>
              </w:rPr>
            </w:pPr>
            <w:r w:rsidRPr="008E2886">
              <w:rPr>
                <w:rFonts w:cs="Calibri"/>
                <w:color w:val="7030A0"/>
                <w:sz w:val="14"/>
              </w:rPr>
              <w:t>ACT Disclosure Policy</w:t>
            </w:r>
          </w:p>
        </w:tc>
        <w:tc>
          <w:tcPr>
            <w:tcW w:w="8987" w:type="dxa"/>
            <w:tcBorders>
              <w:left w:val="single" w:sz="2" w:space="0" w:color="auto"/>
            </w:tcBorders>
            <w:shd w:val="clear" w:color="auto" w:fill="7030A0"/>
          </w:tcPr>
          <w:p w14:paraId="1538E8A3" w14:textId="2F815B87" w:rsidR="006141B9" w:rsidRPr="008E2886" w:rsidRDefault="00CF6845" w:rsidP="006141B9">
            <w:pPr>
              <w:pStyle w:val="CommentaryText"/>
              <w:rPr>
                <w:rFonts w:cs="Calibri"/>
                <w:color w:val="FFFFFF" w:themeColor="background1"/>
                <w:sz w:val="18"/>
                <w:szCs w:val="18"/>
              </w:rPr>
            </w:pPr>
            <w:r w:rsidRPr="008E2886">
              <w:rPr>
                <w:rFonts w:cs="Calibri"/>
                <w:color w:val="FFFFFF" w:themeColor="background1"/>
                <w:sz w:val="18"/>
                <w:szCs w:val="18"/>
              </w:rPr>
              <w:t>D</w:t>
            </w:r>
            <w:r w:rsidR="006141B9" w:rsidRPr="008E2886">
              <w:rPr>
                <w:rFonts w:cs="Calibri"/>
                <w:color w:val="FFFFFF" w:themeColor="background1"/>
                <w:sz w:val="18"/>
                <w:szCs w:val="18"/>
              </w:rPr>
              <w:t xml:space="preserve">ividends recognised as distributions to owners during the year </w:t>
            </w:r>
            <w:r w:rsidRPr="008E2886">
              <w:rPr>
                <w:rFonts w:cs="Calibri"/>
                <w:color w:val="FFFFFF" w:themeColor="background1"/>
                <w:sz w:val="18"/>
                <w:szCs w:val="18"/>
              </w:rPr>
              <w:t xml:space="preserve">must </w:t>
            </w:r>
            <w:r w:rsidR="006141B9" w:rsidRPr="008E2886">
              <w:rPr>
                <w:rFonts w:cs="Calibri"/>
                <w:color w:val="FFFFFF" w:themeColor="background1"/>
                <w:sz w:val="18"/>
                <w:szCs w:val="18"/>
              </w:rPr>
              <w:t>be disclosed in the Statement of Changes in Equity or in the notes.</w:t>
            </w:r>
            <w:r w:rsidR="00FA7C77">
              <w:rPr>
                <w:rFonts w:cs="Calibri"/>
                <w:color w:val="FFFFFF" w:themeColor="background1"/>
                <w:sz w:val="18"/>
                <w:szCs w:val="18"/>
              </w:rPr>
              <w:t xml:space="preserve"> </w:t>
            </w:r>
            <w:r w:rsidR="006141B9" w:rsidRPr="008E2886">
              <w:rPr>
                <w:rFonts w:cs="Calibri"/>
                <w:color w:val="FFFFFF" w:themeColor="background1"/>
                <w:sz w:val="18"/>
                <w:szCs w:val="18"/>
              </w:rPr>
              <w:t>ACT Disclosure policy requires that agencies include dividends in the Statement of Changes in Equity.</w:t>
            </w:r>
          </w:p>
        </w:tc>
      </w:tr>
      <w:tr w:rsidR="006141B9" w:rsidRPr="00CF7E1B" w14:paraId="2AC58EC1" w14:textId="77777777" w:rsidTr="004D1EC6">
        <w:trPr>
          <w:cantSplit/>
          <w:trHeight w:val="20"/>
        </w:trPr>
        <w:tc>
          <w:tcPr>
            <w:tcW w:w="1557" w:type="dxa"/>
            <w:tcBorders>
              <w:left w:val="single" w:sz="2" w:space="0" w:color="auto"/>
              <w:right w:val="single" w:sz="2" w:space="0" w:color="auto"/>
            </w:tcBorders>
          </w:tcPr>
          <w:p w14:paraId="692AD98F" w14:textId="77777777"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2BE9288E" w14:textId="77777777" w:rsidR="006141B9" w:rsidRPr="00FA7C77" w:rsidRDefault="006141B9" w:rsidP="006141B9">
            <w:pPr>
              <w:pStyle w:val="CommentaryHeading"/>
              <w:spacing w:before="0" w:after="40"/>
              <w:rPr>
                <w:rFonts w:cs="Calibri"/>
                <w:color w:val="FFFFFF" w:themeColor="background1"/>
                <w:szCs w:val="20"/>
              </w:rPr>
            </w:pPr>
            <w:r w:rsidRPr="00FA7C77">
              <w:rPr>
                <w:rFonts w:cs="Calibri"/>
                <w:color w:val="FFFFFF" w:themeColor="background1"/>
                <w:szCs w:val="20"/>
              </w:rPr>
              <w:t>Materiality and Aggregation</w:t>
            </w:r>
          </w:p>
        </w:tc>
      </w:tr>
      <w:tr w:rsidR="006141B9" w:rsidRPr="00CF7E1B" w14:paraId="462590BD" w14:textId="77777777" w:rsidTr="004D1EC6">
        <w:trPr>
          <w:cantSplit/>
          <w:trHeight w:val="20"/>
        </w:trPr>
        <w:tc>
          <w:tcPr>
            <w:tcW w:w="1557" w:type="dxa"/>
            <w:tcBorders>
              <w:left w:val="single" w:sz="2" w:space="0" w:color="auto"/>
              <w:right w:val="single" w:sz="2" w:space="0" w:color="auto"/>
            </w:tcBorders>
          </w:tcPr>
          <w:p w14:paraId="78023A4E" w14:textId="77777777" w:rsidR="006141B9" w:rsidRPr="008E2886" w:rsidRDefault="006141B9" w:rsidP="006141B9">
            <w:pPr>
              <w:pStyle w:val="TableReference"/>
              <w:tabs>
                <w:tab w:val="left" w:pos="3306"/>
              </w:tabs>
              <w:spacing w:before="80"/>
              <w:rPr>
                <w:rFonts w:cs="Calibri"/>
                <w:color w:val="7030A0"/>
                <w:sz w:val="14"/>
              </w:rPr>
            </w:pPr>
            <w:r w:rsidRPr="008E2886">
              <w:rPr>
                <w:rFonts w:cs="Calibri"/>
                <w:color w:val="7030A0"/>
                <w:sz w:val="14"/>
              </w:rPr>
              <w:t>AASB 101.30A</w:t>
            </w:r>
          </w:p>
          <w:p w14:paraId="2C627E03" w14:textId="4CA96DAF" w:rsidR="006141B9" w:rsidRPr="008E2886" w:rsidRDefault="006141B9" w:rsidP="006141B9">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44E2A6CB" w14:textId="1040CE68" w:rsidR="006141B9" w:rsidRPr="008E2886" w:rsidRDefault="006141B9" w:rsidP="006141B9">
            <w:pPr>
              <w:pStyle w:val="CommentaryText"/>
              <w:tabs>
                <w:tab w:val="left" w:pos="3306"/>
              </w:tabs>
              <w:rPr>
                <w:rFonts w:cs="Calibri"/>
                <w:color w:val="FFFFFF" w:themeColor="background1"/>
                <w:sz w:val="18"/>
                <w:szCs w:val="18"/>
              </w:rPr>
            </w:pPr>
            <w:r w:rsidRPr="008E2886">
              <w:rPr>
                <w:rFonts w:cs="Calibri"/>
                <w:color w:val="FFFFFF" w:themeColor="background1"/>
                <w:sz w:val="18"/>
                <w:szCs w:val="18"/>
              </w:rPr>
              <w:t>Agencies need to consider the Materiality Guidance for Financial Statements Simplification under Section 1.2 Materiality Guidance. An agency should decide, taking into consideration all relevant facts and circumstances, how it aggregates information in the Statement of Changes in Equity, which includes the notes.</w:t>
            </w:r>
            <w:r w:rsidR="00FA7C77">
              <w:rPr>
                <w:rFonts w:cs="Calibri"/>
                <w:color w:val="FFFFFF" w:themeColor="background1"/>
                <w:sz w:val="18"/>
                <w:szCs w:val="18"/>
              </w:rPr>
              <w:t xml:space="preserve"> </w:t>
            </w:r>
            <w:r w:rsidRPr="008E2886">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bl>
    <w:p w14:paraId="0D4DD06E" w14:textId="77777777" w:rsidR="00AD56C6" w:rsidRDefault="00AD56C6" w:rsidP="00DD1275">
      <w:pPr>
        <w:pStyle w:val="TableReference"/>
        <w:tabs>
          <w:tab w:val="left" w:pos="3306"/>
        </w:tabs>
        <w:spacing w:before="80"/>
        <w:rPr>
          <w:rFonts w:cs="Calibri"/>
          <w:color w:val="auto"/>
          <w:sz w:val="16"/>
          <w:szCs w:val="16"/>
        </w:rPr>
        <w:sectPr w:rsidR="00AD56C6" w:rsidSect="00AD56C6">
          <w:footnotePr>
            <w:numRestart w:val="eachPage"/>
          </w:footnotePr>
          <w:pgSz w:w="11907" w:h="16840" w:code="9"/>
          <w:pgMar w:top="567" w:right="680" w:bottom="851" w:left="680" w:header="284" w:footer="284" w:gutter="0"/>
          <w:cols w:space="720"/>
        </w:sectPr>
      </w:pPr>
    </w:p>
    <w:p w14:paraId="603CE7A2" w14:textId="154392B5" w:rsidR="000144FF" w:rsidRPr="008E2886" w:rsidRDefault="000144FF" w:rsidP="005C5347">
      <w:pPr>
        <w:spacing w:line="400" w:lineRule="exact"/>
        <w:jc w:val="center"/>
        <w:rPr>
          <w:rFonts w:asciiTheme="minorHAnsi" w:hAnsiTheme="minorHAnsi" w:cstheme="minorHAnsi"/>
          <w:b/>
          <w:sz w:val="40"/>
          <w:szCs w:val="40"/>
        </w:rPr>
      </w:pPr>
      <w:bookmarkStart w:id="169" w:name="_Toc194918642"/>
      <w:r w:rsidRPr="008E2886">
        <w:rPr>
          <w:rFonts w:asciiTheme="minorHAnsi" w:hAnsiTheme="minorHAnsi" w:cstheme="minorHAnsi"/>
          <w:b/>
          <w:sz w:val="40"/>
          <w:szCs w:val="40"/>
        </w:rPr>
        <w:t>‘</w:t>
      </w:r>
      <w:r w:rsidR="002F67B3" w:rsidRPr="008E2886">
        <w:rPr>
          <w:rFonts w:asciiTheme="minorHAnsi" w:hAnsiTheme="minorHAnsi" w:cstheme="minorHAnsi"/>
          <w:b/>
          <w:sz w:val="40"/>
          <w:szCs w:val="40"/>
        </w:rPr>
        <w:t xml:space="preserve">Burley Griffin </w:t>
      </w:r>
      <w:r w:rsidR="00CA68F4" w:rsidRPr="008E2886">
        <w:rPr>
          <w:rFonts w:asciiTheme="minorHAnsi" w:hAnsiTheme="minorHAnsi" w:cstheme="minorHAnsi"/>
          <w:b/>
          <w:sz w:val="40"/>
          <w:szCs w:val="40"/>
        </w:rPr>
        <w:t>Agency</w:t>
      </w:r>
      <w:r w:rsidRPr="008E2886">
        <w:rPr>
          <w:rFonts w:asciiTheme="minorHAnsi" w:hAnsiTheme="minorHAnsi" w:cstheme="minorHAnsi"/>
          <w:b/>
          <w:sz w:val="40"/>
          <w:szCs w:val="40"/>
        </w:rPr>
        <w:t>’</w:t>
      </w:r>
      <w:bookmarkEnd w:id="169"/>
    </w:p>
    <w:p w14:paraId="1B8F0998" w14:textId="642FDC82" w:rsidR="000144FF" w:rsidRPr="008E2886" w:rsidRDefault="00217D36" w:rsidP="005C5347">
      <w:pPr>
        <w:pStyle w:val="Subtitle"/>
        <w:spacing w:line="400" w:lineRule="exact"/>
        <w:rPr>
          <w:rFonts w:asciiTheme="minorHAnsi" w:hAnsiTheme="minorHAnsi" w:cstheme="minorHAnsi"/>
        </w:rPr>
      </w:pPr>
      <w:bookmarkStart w:id="170" w:name="_Toc98763027"/>
      <w:r w:rsidRPr="008E2886">
        <w:rPr>
          <w:rFonts w:asciiTheme="minorHAnsi" w:hAnsiTheme="minorHAnsi" w:cstheme="minorHAnsi"/>
        </w:rPr>
        <w:t>Statement of Cash Flows</w:t>
      </w:r>
      <w:bookmarkEnd w:id="170"/>
    </w:p>
    <w:p w14:paraId="596FDA98" w14:textId="45F632E8" w:rsidR="000144FF" w:rsidRPr="008E2886" w:rsidRDefault="000144FF" w:rsidP="005C5347">
      <w:pPr>
        <w:spacing w:line="400" w:lineRule="exact"/>
        <w:jc w:val="center"/>
        <w:rPr>
          <w:rFonts w:asciiTheme="minorHAnsi" w:hAnsiTheme="minorHAnsi" w:cstheme="minorHAnsi"/>
          <w:b/>
          <w:sz w:val="40"/>
          <w:szCs w:val="40"/>
        </w:rPr>
      </w:pPr>
      <w:bookmarkStart w:id="171" w:name="_Toc48468224"/>
      <w:bookmarkStart w:id="172" w:name="_Toc49155416"/>
      <w:r w:rsidRPr="008E2886">
        <w:rPr>
          <w:rFonts w:asciiTheme="minorHAnsi" w:hAnsiTheme="minorHAnsi" w:cstheme="minorHAnsi"/>
          <w:b/>
          <w:sz w:val="40"/>
          <w:szCs w:val="40"/>
        </w:rPr>
        <w:t xml:space="preserve">For the Year Ended 30 June </w:t>
      </w:r>
      <w:bookmarkEnd w:id="171"/>
      <w:bookmarkEnd w:id="172"/>
      <w:r w:rsidR="00C66E0D" w:rsidRPr="008E2886">
        <w:rPr>
          <w:rFonts w:asciiTheme="minorHAnsi" w:hAnsiTheme="minorHAnsi" w:cstheme="minorHAnsi"/>
          <w:b/>
          <w:sz w:val="40"/>
          <w:szCs w:val="40"/>
        </w:rPr>
        <w:t>202</w:t>
      </w:r>
      <w:r w:rsidR="00663421" w:rsidRPr="008E2886">
        <w:rPr>
          <w:rFonts w:asciiTheme="minorHAnsi" w:hAnsiTheme="minorHAnsi" w:cstheme="minorHAnsi"/>
          <w:b/>
          <w:sz w:val="40"/>
          <w:szCs w:val="40"/>
        </w:rPr>
        <w:t>2</w:t>
      </w:r>
    </w:p>
    <w:tbl>
      <w:tblPr>
        <w:tblW w:w="49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244"/>
        <w:gridCol w:w="709"/>
        <w:gridCol w:w="992"/>
        <w:gridCol w:w="993"/>
        <w:gridCol w:w="992"/>
      </w:tblGrid>
      <w:tr w:rsidR="000144FF" w:rsidRPr="00CF7E1B" w14:paraId="7345E23C" w14:textId="77777777" w:rsidTr="004D1EC6">
        <w:trPr>
          <w:trHeight w:val="105"/>
        </w:trPr>
        <w:tc>
          <w:tcPr>
            <w:tcW w:w="1563" w:type="dxa"/>
            <w:tcBorders>
              <w:top w:val="nil"/>
              <w:left w:val="single" w:sz="2" w:space="0" w:color="auto"/>
              <w:bottom w:val="nil"/>
              <w:right w:val="single" w:sz="2" w:space="0" w:color="auto"/>
            </w:tcBorders>
          </w:tcPr>
          <w:p w14:paraId="3321D2E9" w14:textId="77777777" w:rsidR="000144FF" w:rsidRPr="00F70B16" w:rsidRDefault="000144FF">
            <w:pPr>
              <w:pStyle w:val="Reference"/>
              <w:tabs>
                <w:tab w:val="left" w:pos="3306"/>
              </w:tabs>
              <w:rPr>
                <w:rFonts w:cs="Calibri"/>
                <w:color w:val="7030A0"/>
                <w:sz w:val="22"/>
                <w:szCs w:val="22"/>
              </w:rPr>
            </w:pPr>
            <w:bookmarkStart w:id="173" w:name="_Toc48468225"/>
            <w:bookmarkStart w:id="174" w:name="_Toc49155417"/>
            <w:bookmarkStart w:id="175" w:name="_Toc49223865"/>
            <w:r w:rsidRPr="00F70B16">
              <w:rPr>
                <w:rFonts w:cs="Calibri"/>
                <w:color w:val="7030A0"/>
                <w:sz w:val="22"/>
                <w:szCs w:val="22"/>
              </w:rPr>
              <w:t>Reference</w:t>
            </w:r>
            <w:bookmarkEnd w:id="173"/>
            <w:bookmarkEnd w:id="174"/>
            <w:bookmarkEnd w:id="175"/>
          </w:p>
        </w:tc>
        <w:tc>
          <w:tcPr>
            <w:tcW w:w="5244" w:type="dxa"/>
            <w:tcBorders>
              <w:top w:val="nil"/>
              <w:left w:val="single" w:sz="2" w:space="0" w:color="auto"/>
              <w:bottom w:val="nil"/>
              <w:right w:val="nil"/>
            </w:tcBorders>
            <w:vAlign w:val="bottom"/>
          </w:tcPr>
          <w:p w14:paraId="33A4F861" w14:textId="77777777" w:rsidR="000144FF" w:rsidRPr="00F70B16" w:rsidRDefault="000144FF">
            <w:pPr>
              <w:pStyle w:val="TableTitle"/>
              <w:tabs>
                <w:tab w:val="left" w:pos="3306"/>
              </w:tabs>
              <w:rPr>
                <w:rFonts w:cs="Calibri"/>
              </w:rPr>
            </w:pPr>
          </w:p>
        </w:tc>
        <w:tc>
          <w:tcPr>
            <w:tcW w:w="709" w:type="dxa"/>
            <w:tcBorders>
              <w:top w:val="nil"/>
              <w:left w:val="nil"/>
              <w:bottom w:val="nil"/>
              <w:right w:val="nil"/>
            </w:tcBorders>
            <w:vAlign w:val="bottom"/>
          </w:tcPr>
          <w:p w14:paraId="5AD982DE" w14:textId="77777777" w:rsidR="000144FF" w:rsidRPr="00F70B16" w:rsidRDefault="000144FF">
            <w:pPr>
              <w:pStyle w:val="TableTitle"/>
              <w:tabs>
                <w:tab w:val="left" w:pos="3306"/>
              </w:tabs>
              <w:jc w:val="center"/>
              <w:rPr>
                <w:rFonts w:cs="Calibri"/>
              </w:rPr>
            </w:pPr>
            <w:r w:rsidRPr="00F70B16">
              <w:rPr>
                <w:rFonts w:cs="Calibri"/>
              </w:rPr>
              <w:t>Note No.</w:t>
            </w:r>
          </w:p>
        </w:tc>
        <w:tc>
          <w:tcPr>
            <w:tcW w:w="992" w:type="dxa"/>
            <w:tcBorders>
              <w:top w:val="nil"/>
              <w:left w:val="nil"/>
              <w:bottom w:val="nil"/>
              <w:right w:val="nil"/>
            </w:tcBorders>
            <w:vAlign w:val="bottom"/>
          </w:tcPr>
          <w:p w14:paraId="657E727C" w14:textId="77777777" w:rsidR="000144FF" w:rsidRPr="00F70B16" w:rsidRDefault="000144FF">
            <w:pPr>
              <w:pStyle w:val="TableTitle"/>
              <w:tabs>
                <w:tab w:val="left" w:pos="3306"/>
              </w:tabs>
              <w:rPr>
                <w:rFonts w:cs="Calibri"/>
              </w:rPr>
            </w:pPr>
            <w:r w:rsidRPr="00F70B16">
              <w:rPr>
                <w:rFonts w:cs="Calibri"/>
              </w:rPr>
              <w:t>Actual</w:t>
            </w:r>
          </w:p>
          <w:p w14:paraId="3C128662" w14:textId="62D0F55E" w:rsidR="001B231B" w:rsidRPr="00F70B16" w:rsidRDefault="001B231B" w:rsidP="001B231B">
            <w:pPr>
              <w:pStyle w:val="TableTitle"/>
              <w:tabs>
                <w:tab w:val="left" w:pos="3306"/>
              </w:tabs>
              <w:rPr>
                <w:rFonts w:cs="Calibri"/>
              </w:rPr>
            </w:pPr>
            <w:r w:rsidRPr="00F70B16">
              <w:rPr>
                <w:rFonts w:cs="Calibri"/>
              </w:rPr>
              <w:t>202</w:t>
            </w:r>
            <w:r w:rsidR="00663421" w:rsidRPr="00F70B16">
              <w:rPr>
                <w:rFonts w:cs="Calibri"/>
              </w:rPr>
              <w:t>2</w:t>
            </w:r>
          </w:p>
          <w:p w14:paraId="3D10D814" w14:textId="77777777" w:rsidR="000144FF" w:rsidRPr="00F70B16" w:rsidRDefault="000144FF">
            <w:pPr>
              <w:pStyle w:val="TableTitle"/>
              <w:tabs>
                <w:tab w:val="left" w:pos="3306"/>
              </w:tabs>
              <w:rPr>
                <w:rFonts w:cs="Calibri"/>
              </w:rPr>
            </w:pPr>
            <w:r w:rsidRPr="00F70B16">
              <w:rPr>
                <w:rFonts w:cs="Calibri"/>
              </w:rPr>
              <w:t xml:space="preserve">$’000 </w:t>
            </w:r>
          </w:p>
        </w:tc>
        <w:tc>
          <w:tcPr>
            <w:tcW w:w="993" w:type="dxa"/>
            <w:tcBorders>
              <w:top w:val="nil"/>
              <w:left w:val="nil"/>
              <w:bottom w:val="nil"/>
              <w:right w:val="nil"/>
            </w:tcBorders>
            <w:vAlign w:val="bottom"/>
          </w:tcPr>
          <w:p w14:paraId="4A3E5467" w14:textId="77777777" w:rsidR="000144FF" w:rsidRPr="00F70B16" w:rsidRDefault="000144FF">
            <w:pPr>
              <w:pStyle w:val="TableTitle"/>
              <w:tabs>
                <w:tab w:val="left" w:pos="3306"/>
              </w:tabs>
              <w:rPr>
                <w:rFonts w:cs="Calibri"/>
              </w:rPr>
            </w:pPr>
            <w:r w:rsidRPr="00F70B16">
              <w:rPr>
                <w:rFonts w:cs="Calibri"/>
              </w:rPr>
              <w:t>Original</w:t>
            </w:r>
          </w:p>
          <w:p w14:paraId="5438C4CA" w14:textId="77777777" w:rsidR="000144FF" w:rsidRPr="00F70B16" w:rsidRDefault="000144FF">
            <w:pPr>
              <w:pStyle w:val="TableTitle"/>
              <w:tabs>
                <w:tab w:val="left" w:pos="3306"/>
              </w:tabs>
              <w:rPr>
                <w:rFonts w:cs="Calibri"/>
              </w:rPr>
            </w:pPr>
            <w:r w:rsidRPr="00F70B16">
              <w:rPr>
                <w:rFonts w:cs="Calibri"/>
              </w:rPr>
              <w:t xml:space="preserve">Budget </w:t>
            </w:r>
          </w:p>
          <w:p w14:paraId="2DBA2AA1" w14:textId="7501C417" w:rsidR="001B231B" w:rsidRPr="00F70B16" w:rsidRDefault="001B231B" w:rsidP="001B231B">
            <w:pPr>
              <w:pStyle w:val="TableTitle"/>
              <w:tabs>
                <w:tab w:val="left" w:pos="3306"/>
              </w:tabs>
              <w:rPr>
                <w:rFonts w:cs="Calibri"/>
              </w:rPr>
            </w:pPr>
            <w:r w:rsidRPr="00F70B16">
              <w:rPr>
                <w:rFonts w:cs="Calibri"/>
              </w:rPr>
              <w:t>202</w:t>
            </w:r>
            <w:r w:rsidR="00663421" w:rsidRPr="00F70B16">
              <w:rPr>
                <w:rFonts w:cs="Calibri"/>
              </w:rPr>
              <w:t>2</w:t>
            </w:r>
          </w:p>
          <w:p w14:paraId="2720B20D" w14:textId="77777777" w:rsidR="000144FF" w:rsidRPr="00F70B16" w:rsidRDefault="000144FF">
            <w:pPr>
              <w:pStyle w:val="TableTitle"/>
              <w:tabs>
                <w:tab w:val="left" w:pos="3306"/>
              </w:tabs>
              <w:rPr>
                <w:rFonts w:cs="Calibri"/>
              </w:rPr>
            </w:pPr>
            <w:r w:rsidRPr="00F70B16">
              <w:rPr>
                <w:rFonts w:cs="Calibri"/>
              </w:rPr>
              <w:t>$’000</w:t>
            </w:r>
          </w:p>
        </w:tc>
        <w:tc>
          <w:tcPr>
            <w:tcW w:w="992" w:type="dxa"/>
            <w:tcBorders>
              <w:top w:val="nil"/>
              <w:left w:val="nil"/>
              <w:bottom w:val="nil"/>
              <w:right w:val="nil"/>
            </w:tcBorders>
            <w:vAlign w:val="bottom"/>
          </w:tcPr>
          <w:p w14:paraId="2C5B66FA" w14:textId="77777777" w:rsidR="000144FF" w:rsidRPr="00F70B16" w:rsidRDefault="000144FF">
            <w:pPr>
              <w:pStyle w:val="TableTitle"/>
              <w:tabs>
                <w:tab w:val="left" w:pos="3306"/>
              </w:tabs>
              <w:rPr>
                <w:rFonts w:cs="Calibri"/>
              </w:rPr>
            </w:pPr>
            <w:r w:rsidRPr="00F70B16">
              <w:rPr>
                <w:rFonts w:cs="Calibri"/>
              </w:rPr>
              <w:t>Actual</w:t>
            </w:r>
          </w:p>
          <w:p w14:paraId="498A5EE2" w14:textId="212A507F" w:rsidR="000144FF" w:rsidRPr="00F70B16" w:rsidRDefault="00620D4E">
            <w:pPr>
              <w:pStyle w:val="TableTitle"/>
              <w:tabs>
                <w:tab w:val="left" w:pos="3306"/>
              </w:tabs>
              <w:rPr>
                <w:rFonts w:cs="Calibri"/>
              </w:rPr>
            </w:pPr>
            <w:r w:rsidRPr="00F70B16">
              <w:rPr>
                <w:rFonts w:cs="Calibri"/>
              </w:rPr>
              <w:t>2021</w:t>
            </w:r>
          </w:p>
          <w:p w14:paraId="5C66EAAD" w14:textId="77777777" w:rsidR="000144FF" w:rsidRPr="00F70B16" w:rsidRDefault="000144FF">
            <w:pPr>
              <w:pStyle w:val="TableTitle"/>
              <w:tabs>
                <w:tab w:val="left" w:pos="3306"/>
              </w:tabs>
              <w:rPr>
                <w:rFonts w:cs="Calibri"/>
              </w:rPr>
            </w:pPr>
            <w:r w:rsidRPr="00F70B16">
              <w:rPr>
                <w:rFonts w:cs="Calibri"/>
              </w:rPr>
              <w:t>$’000</w:t>
            </w:r>
          </w:p>
        </w:tc>
      </w:tr>
      <w:tr w:rsidR="000144FF" w:rsidRPr="00CF7E1B" w14:paraId="2A783966" w14:textId="77777777" w:rsidTr="004D1EC6">
        <w:trPr>
          <w:trHeight w:val="258"/>
        </w:trPr>
        <w:tc>
          <w:tcPr>
            <w:tcW w:w="1563" w:type="dxa"/>
            <w:tcBorders>
              <w:top w:val="nil"/>
              <w:left w:val="single" w:sz="2" w:space="0" w:color="auto"/>
              <w:bottom w:val="nil"/>
              <w:right w:val="single" w:sz="2" w:space="0" w:color="auto"/>
            </w:tcBorders>
          </w:tcPr>
          <w:p w14:paraId="5B050D82"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10</w:t>
            </w:r>
          </w:p>
        </w:tc>
        <w:tc>
          <w:tcPr>
            <w:tcW w:w="5244" w:type="dxa"/>
            <w:tcBorders>
              <w:top w:val="nil"/>
              <w:left w:val="single" w:sz="2" w:space="0" w:color="auto"/>
              <w:bottom w:val="nil"/>
              <w:right w:val="nil"/>
            </w:tcBorders>
            <w:vAlign w:val="bottom"/>
          </w:tcPr>
          <w:p w14:paraId="6BE41BDA" w14:textId="77777777" w:rsidR="000144FF" w:rsidRPr="00F70B16" w:rsidRDefault="000144FF">
            <w:pPr>
              <w:pStyle w:val="TableText"/>
              <w:tabs>
                <w:tab w:val="left" w:pos="3306"/>
              </w:tabs>
              <w:rPr>
                <w:rFonts w:cs="Calibri"/>
                <w:b/>
                <w:bCs/>
              </w:rPr>
            </w:pPr>
            <w:bookmarkStart w:id="176" w:name="_Toc48468226"/>
            <w:bookmarkStart w:id="177" w:name="_Toc49155418"/>
            <w:bookmarkStart w:id="178" w:name="_Toc49223866"/>
            <w:r w:rsidRPr="00F70B16">
              <w:rPr>
                <w:rFonts w:cs="Calibri"/>
                <w:b/>
                <w:bCs/>
              </w:rPr>
              <w:t>Cash Flows from Operating Activities</w:t>
            </w:r>
            <w:bookmarkEnd w:id="176"/>
            <w:bookmarkEnd w:id="177"/>
            <w:bookmarkEnd w:id="178"/>
          </w:p>
        </w:tc>
        <w:tc>
          <w:tcPr>
            <w:tcW w:w="709" w:type="dxa"/>
            <w:tcBorders>
              <w:top w:val="nil"/>
              <w:left w:val="nil"/>
              <w:bottom w:val="nil"/>
              <w:right w:val="nil"/>
            </w:tcBorders>
            <w:vAlign w:val="bottom"/>
          </w:tcPr>
          <w:p w14:paraId="290D5C0E"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0914142"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5F812EFB"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79F44140" w14:textId="77777777" w:rsidR="000144FF" w:rsidRPr="00F70B16" w:rsidRDefault="000144FF">
            <w:pPr>
              <w:pStyle w:val="TableText"/>
              <w:tabs>
                <w:tab w:val="left" w:pos="3306"/>
              </w:tabs>
              <w:jc w:val="right"/>
              <w:rPr>
                <w:rFonts w:cs="Calibri"/>
                <w:b/>
                <w:bCs/>
              </w:rPr>
            </w:pPr>
          </w:p>
        </w:tc>
      </w:tr>
      <w:tr w:rsidR="000144FF" w:rsidRPr="00CF7E1B" w14:paraId="111B9C01" w14:textId="77777777" w:rsidTr="004D1EC6">
        <w:tc>
          <w:tcPr>
            <w:tcW w:w="1563" w:type="dxa"/>
            <w:tcBorders>
              <w:top w:val="nil"/>
              <w:left w:val="single" w:sz="2" w:space="0" w:color="auto"/>
              <w:bottom w:val="nil"/>
              <w:right w:val="single" w:sz="2" w:space="0" w:color="auto"/>
            </w:tcBorders>
          </w:tcPr>
          <w:p w14:paraId="613ECF5A"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1A58C9B" w14:textId="77777777" w:rsidR="000144FF" w:rsidRPr="00F70B16" w:rsidRDefault="000144FF">
            <w:pPr>
              <w:pStyle w:val="TableText"/>
              <w:tabs>
                <w:tab w:val="left" w:pos="3306"/>
              </w:tabs>
              <w:rPr>
                <w:rFonts w:cs="Calibri"/>
                <w:b/>
                <w:bCs/>
              </w:rPr>
            </w:pPr>
            <w:bookmarkStart w:id="179" w:name="_Toc48468227"/>
            <w:bookmarkStart w:id="180" w:name="_Toc49223867"/>
            <w:r w:rsidRPr="00F70B16">
              <w:rPr>
                <w:rFonts w:cs="Calibri"/>
                <w:b/>
                <w:bCs/>
              </w:rPr>
              <w:t>Receipts</w:t>
            </w:r>
            <w:bookmarkEnd w:id="179"/>
            <w:bookmarkEnd w:id="180"/>
          </w:p>
        </w:tc>
        <w:tc>
          <w:tcPr>
            <w:tcW w:w="709" w:type="dxa"/>
            <w:tcBorders>
              <w:top w:val="nil"/>
              <w:left w:val="nil"/>
              <w:bottom w:val="nil"/>
              <w:right w:val="nil"/>
            </w:tcBorders>
            <w:vAlign w:val="bottom"/>
          </w:tcPr>
          <w:p w14:paraId="070FF925"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AD5A3F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40FFCB97"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303234AD" w14:textId="77777777" w:rsidR="000144FF" w:rsidRPr="00F70B16" w:rsidRDefault="000144FF">
            <w:pPr>
              <w:pStyle w:val="TableText"/>
              <w:tabs>
                <w:tab w:val="left" w:pos="3306"/>
              </w:tabs>
              <w:jc w:val="right"/>
              <w:rPr>
                <w:rFonts w:cs="Calibri"/>
              </w:rPr>
            </w:pPr>
          </w:p>
        </w:tc>
      </w:tr>
      <w:tr w:rsidR="000144FF" w:rsidRPr="00CF7E1B" w14:paraId="6181F048" w14:textId="77777777" w:rsidTr="004D1EC6">
        <w:tc>
          <w:tcPr>
            <w:tcW w:w="1563" w:type="dxa"/>
            <w:tcBorders>
              <w:top w:val="nil"/>
              <w:left w:val="single" w:sz="2" w:space="0" w:color="auto"/>
              <w:bottom w:val="nil"/>
              <w:right w:val="single" w:sz="2" w:space="0" w:color="auto"/>
            </w:tcBorders>
          </w:tcPr>
          <w:p w14:paraId="6B3C8CF4"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a)</w:t>
            </w:r>
          </w:p>
        </w:tc>
        <w:tc>
          <w:tcPr>
            <w:tcW w:w="5244" w:type="dxa"/>
            <w:tcBorders>
              <w:top w:val="nil"/>
              <w:left w:val="single" w:sz="2" w:space="0" w:color="auto"/>
              <w:bottom w:val="nil"/>
              <w:right w:val="nil"/>
            </w:tcBorders>
            <w:vAlign w:val="bottom"/>
          </w:tcPr>
          <w:p w14:paraId="0CF86E7F" w14:textId="77777777" w:rsidR="000144FF" w:rsidRPr="00F70B16" w:rsidRDefault="00952378">
            <w:pPr>
              <w:pStyle w:val="TableText"/>
              <w:tabs>
                <w:tab w:val="left" w:pos="3306"/>
              </w:tabs>
              <w:rPr>
                <w:rFonts w:cs="Calibri"/>
                <w:b/>
                <w:bCs/>
                <w:strike/>
              </w:rPr>
            </w:pPr>
            <w:r w:rsidRPr="00F70B16">
              <w:rPr>
                <w:rFonts w:cs="Calibri"/>
              </w:rPr>
              <w:t>Controlled Recurrent Payments</w:t>
            </w:r>
          </w:p>
        </w:tc>
        <w:tc>
          <w:tcPr>
            <w:tcW w:w="709" w:type="dxa"/>
            <w:tcBorders>
              <w:top w:val="nil"/>
              <w:left w:val="nil"/>
              <w:bottom w:val="nil"/>
              <w:right w:val="nil"/>
            </w:tcBorders>
            <w:vAlign w:val="bottom"/>
          </w:tcPr>
          <w:p w14:paraId="31B3A95F"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547573EF"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38ED6A2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70EE55E" w14:textId="77777777" w:rsidR="000144FF" w:rsidRPr="00F70B16" w:rsidRDefault="000144FF">
            <w:pPr>
              <w:pStyle w:val="TableText"/>
              <w:tabs>
                <w:tab w:val="left" w:pos="3306"/>
              </w:tabs>
              <w:jc w:val="right"/>
              <w:rPr>
                <w:rFonts w:cs="Calibri"/>
              </w:rPr>
            </w:pPr>
          </w:p>
        </w:tc>
      </w:tr>
      <w:tr w:rsidR="00776995" w:rsidRPr="00CF7E1B" w14:paraId="05E4518F" w14:textId="77777777" w:rsidTr="004D1EC6">
        <w:tc>
          <w:tcPr>
            <w:tcW w:w="1563" w:type="dxa"/>
            <w:tcBorders>
              <w:top w:val="nil"/>
              <w:left w:val="single" w:sz="2" w:space="0" w:color="auto"/>
              <w:bottom w:val="nil"/>
              <w:right w:val="single" w:sz="2" w:space="0" w:color="auto"/>
            </w:tcBorders>
          </w:tcPr>
          <w:p w14:paraId="1D473775" w14:textId="04E43D3D" w:rsidR="00776995" w:rsidRPr="00F70B16" w:rsidRDefault="009271AD">
            <w:pPr>
              <w:pStyle w:val="TableReference"/>
              <w:tabs>
                <w:tab w:val="left" w:pos="3306"/>
              </w:tabs>
              <w:spacing w:before="60"/>
              <w:rPr>
                <w:rFonts w:cs="Calibri"/>
                <w:color w:val="7030A0"/>
                <w:sz w:val="14"/>
              </w:rPr>
            </w:pPr>
            <w:r w:rsidRPr="00F70B16">
              <w:rPr>
                <w:rFonts w:cs="Calibri"/>
                <w:color w:val="7030A0"/>
                <w:sz w:val="14"/>
              </w:rPr>
              <w:t>AASB 107.14(a)</w:t>
            </w:r>
          </w:p>
        </w:tc>
        <w:tc>
          <w:tcPr>
            <w:tcW w:w="5244" w:type="dxa"/>
            <w:tcBorders>
              <w:top w:val="nil"/>
              <w:left w:val="single" w:sz="2" w:space="0" w:color="auto"/>
              <w:bottom w:val="nil"/>
              <w:right w:val="nil"/>
            </w:tcBorders>
            <w:vAlign w:val="bottom"/>
          </w:tcPr>
          <w:p w14:paraId="50274BA9" w14:textId="23198164" w:rsidR="00776995" w:rsidRPr="00F70B16" w:rsidRDefault="00776995" w:rsidP="00F6748F">
            <w:pPr>
              <w:pStyle w:val="TableText"/>
              <w:tabs>
                <w:tab w:val="left" w:pos="3306"/>
              </w:tabs>
              <w:rPr>
                <w:rFonts w:cs="Calibri"/>
              </w:rPr>
            </w:pPr>
            <w:r w:rsidRPr="00F70B16">
              <w:rPr>
                <w:rFonts w:cs="Calibri"/>
              </w:rPr>
              <w:t>Sales of Goods and Services from Contracts with Customers</w:t>
            </w:r>
          </w:p>
        </w:tc>
        <w:tc>
          <w:tcPr>
            <w:tcW w:w="709" w:type="dxa"/>
            <w:tcBorders>
              <w:top w:val="nil"/>
              <w:left w:val="nil"/>
              <w:bottom w:val="nil"/>
              <w:right w:val="nil"/>
            </w:tcBorders>
            <w:vAlign w:val="bottom"/>
          </w:tcPr>
          <w:p w14:paraId="0E8E692A" w14:textId="77777777" w:rsidR="00776995" w:rsidRPr="00F70B16" w:rsidRDefault="00776995">
            <w:pPr>
              <w:pStyle w:val="TableText"/>
              <w:tabs>
                <w:tab w:val="left" w:pos="3306"/>
              </w:tabs>
              <w:jc w:val="center"/>
              <w:rPr>
                <w:rFonts w:cs="Calibri"/>
              </w:rPr>
            </w:pPr>
          </w:p>
        </w:tc>
        <w:tc>
          <w:tcPr>
            <w:tcW w:w="992" w:type="dxa"/>
            <w:tcBorders>
              <w:top w:val="nil"/>
              <w:left w:val="nil"/>
              <w:bottom w:val="nil"/>
              <w:right w:val="nil"/>
            </w:tcBorders>
            <w:vAlign w:val="bottom"/>
          </w:tcPr>
          <w:p w14:paraId="086530C6" w14:textId="77777777" w:rsidR="00776995" w:rsidRPr="00F70B16" w:rsidRDefault="00776995" w:rsidP="00FE11F7">
            <w:pPr>
              <w:pStyle w:val="TableText"/>
              <w:tabs>
                <w:tab w:val="left" w:pos="3306"/>
              </w:tabs>
              <w:jc w:val="right"/>
              <w:rPr>
                <w:rFonts w:cs="Calibri"/>
                <w:strike/>
              </w:rPr>
            </w:pPr>
          </w:p>
        </w:tc>
        <w:tc>
          <w:tcPr>
            <w:tcW w:w="993" w:type="dxa"/>
            <w:tcBorders>
              <w:top w:val="nil"/>
              <w:left w:val="nil"/>
              <w:bottom w:val="nil"/>
              <w:right w:val="nil"/>
            </w:tcBorders>
            <w:vAlign w:val="bottom"/>
          </w:tcPr>
          <w:p w14:paraId="2D0CDE78" w14:textId="77777777" w:rsidR="00776995" w:rsidRPr="00F70B16" w:rsidRDefault="00776995">
            <w:pPr>
              <w:pStyle w:val="TableText"/>
              <w:tabs>
                <w:tab w:val="left" w:pos="3306"/>
              </w:tabs>
              <w:jc w:val="right"/>
              <w:rPr>
                <w:rFonts w:cs="Calibri"/>
                <w:strike/>
              </w:rPr>
            </w:pPr>
          </w:p>
        </w:tc>
        <w:tc>
          <w:tcPr>
            <w:tcW w:w="992" w:type="dxa"/>
            <w:tcBorders>
              <w:top w:val="nil"/>
              <w:left w:val="nil"/>
              <w:bottom w:val="nil"/>
              <w:right w:val="nil"/>
            </w:tcBorders>
            <w:vAlign w:val="bottom"/>
          </w:tcPr>
          <w:p w14:paraId="61BF6075" w14:textId="77777777" w:rsidR="00776995" w:rsidRPr="00F70B16" w:rsidRDefault="00776995">
            <w:pPr>
              <w:pStyle w:val="TableText"/>
              <w:tabs>
                <w:tab w:val="left" w:pos="3306"/>
              </w:tabs>
              <w:jc w:val="right"/>
              <w:rPr>
                <w:rFonts w:cs="Calibri"/>
                <w:strike/>
              </w:rPr>
            </w:pPr>
          </w:p>
        </w:tc>
      </w:tr>
      <w:tr w:rsidR="00776995" w:rsidRPr="00CF7E1B" w14:paraId="1B3642CB" w14:textId="77777777" w:rsidTr="004D1EC6">
        <w:tc>
          <w:tcPr>
            <w:tcW w:w="1563" w:type="dxa"/>
            <w:tcBorders>
              <w:top w:val="nil"/>
              <w:left w:val="single" w:sz="2" w:space="0" w:color="auto"/>
              <w:bottom w:val="nil"/>
              <w:right w:val="single" w:sz="2" w:space="0" w:color="auto"/>
            </w:tcBorders>
          </w:tcPr>
          <w:p w14:paraId="44D4F6BA" w14:textId="77777777" w:rsidR="00776995" w:rsidRPr="00F70B16" w:rsidRDefault="00776995">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390A1E27" w14:textId="2B45A094" w:rsidR="00776995" w:rsidRPr="00F70B16" w:rsidRDefault="00776995" w:rsidP="00F6748F">
            <w:pPr>
              <w:pStyle w:val="TableText"/>
              <w:tabs>
                <w:tab w:val="left" w:pos="3306"/>
              </w:tabs>
              <w:rPr>
                <w:rFonts w:cs="Calibri"/>
              </w:rPr>
            </w:pPr>
            <w:r w:rsidRPr="00F70B16">
              <w:rPr>
                <w:rFonts w:cs="Calibri"/>
              </w:rPr>
              <w:t>Grants and Contributions</w:t>
            </w:r>
            <w:r w:rsidR="00CF6845" w:rsidRPr="00F70B16">
              <w:rPr>
                <w:rFonts w:cs="Calibri"/>
              </w:rPr>
              <w:t xml:space="preserve"> Receipts</w:t>
            </w:r>
          </w:p>
        </w:tc>
        <w:tc>
          <w:tcPr>
            <w:tcW w:w="709" w:type="dxa"/>
            <w:tcBorders>
              <w:top w:val="nil"/>
              <w:left w:val="nil"/>
              <w:bottom w:val="nil"/>
              <w:right w:val="nil"/>
            </w:tcBorders>
            <w:vAlign w:val="bottom"/>
          </w:tcPr>
          <w:p w14:paraId="54339D2D" w14:textId="77777777" w:rsidR="00776995" w:rsidRPr="00F70B16" w:rsidRDefault="00776995">
            <w:pPr>
              <w:pStyle w:val="TableText"/>
              <w:tabs>
                <w:tab w:val="left" w:pos="3306"/>
              </w:tabs>
              <w:jc w:val="center"/>
              <w:rPr>
                <w:rFonts w:cs="Calibri"/>
              </w:rPr>
            </w:pPr>
          </w:p>
        </w:tc>
        <w:tc>
          <w:tcPr>
            <w:tcW w:w="992" w:type="dxa"/>
            <w:tcBorders>
              <w:top w:val="nil"/>
              <w:left w:val="nil"/>
              <w:bottom w:val="nil"/>
              <w:right w:val="nil"/>
            </w:tcBorders>
            <w:vAlign w:val="bottom"/>
          </w:tcPr>
          <w:p w14:paraId="5B21AD79" w14:textId="77777777" w:rsidR="00776995" w:rsidRPr="00F70B16" w:rsidRDefault="00776995" w:rsidP="00FE11F7">
            <w:pPr>
              <w:pStyle w:val="TableText"/>
              <w:tabs>
                <w:tab w:val="left" w:pos="3306"/>
              </w:tabs>
              <w:jc w:val="right"/>
              <w:rPr>
                <w:rFonts w:cs="Calibri"/>
                <w:strike/>
              </w:rPr>
            </w:pPr>
          </w:p>
        </w:tc>
        <w:tc>
          <w:tcPr>
            <w:tcW w:w="993" w:type="dxa"/>
            <w:tcBorders>
              <w:top w:val="nil"/>
              <w:left w:val="nil"/>
              <w:bottom w:val="nil"/>
              <w:right w:val="nil"/>
            </w:tcBorders>
            <w:vAlign w:val="bottom"/>
          </w:tcPr>
          <w:p w14:paraId="3608EAE7" w14:textId="77777777" w:rsidR="00776995" w:rsidRPr="00F70B16" w:rsidRDefault="00776995">
            <w:pPr>
              <w:pStyle w:val="TableText"/>
              <w:tabs>
                <w:tab w:val="left" w:pos="3306"/>
              </w:tabs>
              <w:jc w:val="right"/>
              <w:rPr>
                <w:rFonts w:cs="Calibri"/>
                <w:strike/>
              </w:rPr>
            </w:pPr>
          </w:p>
        </w:tc>
        <w:tc>
          <w:tcPr>
            <w:tcW w:w="992" w:type="dxa"/>
            <w:tcBorders>
              <w:top w:val="nil"/>
              <w:left w:val="nil"/>
              <w:bottom w:val="nil"/>
              <w:right w:val="nil"/>
            </w:tcBorders>
            <w:vAlign w:val="bottom"/>
          </w:tcPr>
          <w:p w14:paraId="0F2861A2" w14:textId="77777777" w:rsidR="00776995" w:rsidRPr="00F70B16" w:rsidRDefault="00776995">
            <w:pPr>
              <w:pStyle w:val="TableText"/>
              <w:tabs>
                <w:tab w:val="left" w:pos="3306"/>
              </w:tabs>
              <w:jc w:val="right"/>
              <w:rPr>
                <w:rFonts w:cs="Calibri"/>
                <w:strike/>
              </w:rPr>
            </w:pPr>
          </w:p>
        </w:tc>
      </w:tr>
      <w:tr w:rsidR="00AA468F" w:rsidRPr="00E117EE" w14:paraId="7E0E0B5C" w14:textId="77777777" w:rsidTr="004D1EC6">
        <w:tc>
          <w:tcPr>
            <w:tcW w:w="1563" w:type="dxa"/>
            <w:tcBorders>
              <w:top w:val="nil"/>
              <w:left w:val="single" w:sz="2" w:space="0" w:color="auto"/>
              <w:bottom w:val="nil"/>
              <w:right w:val="single" w:sz="2" w:space="0" w:color="auto"/>
            </w:tcBorders>
          </w:tcPr>
          <w:p w14:paraId="5FFDA22F" w14:textId="77777777" w:rsidR="00AA468F" w:rsidRPr="00F70B16" w:rsidRDefault="00AA468F" w:rsidP="009A0F2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2043C8CE" w14:textId="77777777" w:rsidR="00AA468F" w:rsidRPr="00F70B16" w:rsidRDefault="00AA468F" w:rsidP="009A0F2F">
            <w:pPr>
              <w:pStyle w:val="TableText"/>
              <w:tabs>
                <w:tab w:val="left" w:pos="3306"/>
              </w:tabs>
              <w:rPr>
                <w:rFonts w:cs="Calibri"/>
              </w:rPr>
            </w:pPr>
            <w:r w:rsidRPr="00F70B16">
              <w:rPr>
                <w:rFonts w:cs="Calibri"/>
              </w:rPr>
              <w:t>Investment Receipts</w:t>
            </w:r>
          </w:p>
        </w:tc>
        <w:tc>
          <w:tcPr>
            <w:tcW w:w="709" w:type="dxa"/>
            <w:tcBorders>
              <w:top w:val="nil"/>
              <w:left w:val="nil"/>
              <w:bottom w:val="nil"/>
              <w:right w:val="nil"/>
            </w:tcBorders>
            <w:vAlign w:val="bottom"/>
          </w:tcPr>
          <w:p w14:paraId="637B579B" w14:textId="77777777" w:rsidR="00AA468F" w:rsidRPr="00F70B16" w:rsidRDefault="00AA468F" w:rsidP="009A0F2F">
            <w:pPr>
              <w:pStyle w:val="TableText"/>
              <w:tabs>
                <w:tab w:val="left" w:pos="3306"/>
              </w:tabs>
              <w:jc w:val="center"/>
              <w:rPr>
                <w:rFonts w:cs="Calibri"/>
              </w:rPr>
            </w:pPr>
          </w:p>
        </w:tc>
        <w:tc>
          <w:tcPr>
            <w:tcW w:w="992" w:type="dxa"/>
            <w:tcBorders>
              <w:top w:val="nil"/>
              <w:left w:val="nil"/>
              <w:bottom w:val="nil"/>
              <w:right w:val="nil"/>
            </w:tcBorders>
            <w:vAlign w:val="bottom"/>
          </w:tcPr>
          <w:p w14:paraId="0DDCCE2C" w14:textId="77777777" w:rsidR="00AA468F" w:rsidRPr="00F70B16" w:rsidRDefault="00AA468F" w:rsidP="009A0F2F">
            <w:pPr>
              <w:pStyle w:val="TableText"/>
              <w:tabs>
                <w:tab w:val="left" w:pos="3306"/>
              </w:tabs>
              <w:jc w:val="right"/>
              <w:rPr>
                <w:rFonts w:cs="Calibri"/>
                <w:strike/>
              </w:rPr>
            </w:pPr>
          </w:p>
        </w:tc>
        <w:tc>
          <w:tcPr>
            <w:tcW w:w="993" w:type="dxa"/>
            <w:tcBorders>
              <w:top w:val="nil"/>
              <w:left w:val="nil"/>
              <w:bottom w:val="nil"/>
              <w:right w:val="nil"/>
            </w:tcBorders>
            <w:vAlign w:val="bottom"/>
          </w:tcPr>
          <w:p w14:paraId="6ADE20EF" w14:textId="77777777" w:rsidR="00AA468F" w:rsidRPr="00F70B16" w:rsidRDefault="00AA468F" w:rsidP="009A0F2F">
            <w:pPr>
              <w:pStyle w:val="TableText"/>
              <w:tabs>
                <w:tab w:val="left" w:pos="3306"/>
              </w:tabs>
              <w:jc w:val="right"/>
              <w:rPr>
                <w:rFonts w:cs="Calibri"/>
                <w:strike/>
              </w:rPr>
            </w:pPr>
          </w:p>
        </w:tc>
        <w:tc>
          <w:tcPr>
            <w:tcW w:w="992" w:type="dxa"/>
            <w:tcBorders>
              <w:top w:val="nil"/>
              <w:left w:val="nil"/>
              <w:bottom w:val="nil"/>
              <w:right w:val="nil"/>
            </w:tcBorders>
            <w:vAlign w:val="bottom"/>
          </w:tcPr>
          <w:p w14:paraId="66A25E71" w14:textId="77777777" w:rsidR="00AA468F" w:rsidRPr="00F70B16" w:rsidRDefault="00AA468F" w:rsidP="009A0F2F">
            <w:pPr>
              <w:pStyle w:val="TableText"/>
              <w:tabs>
                <w:tab w:val="left" w:pos="3306"/>
              </w:tabs>
              <w:jc w:val="right"/>
              <w:rPr>
                <w:rFonts w:cs="Calibri"/>
                <w:strike/>
              </w:rPr>
            </w:pPr>
          </w:p>
        </w:tc>
      </w:tr>
      <w:tr w:rsidR="000144FF" w:rsidRPr="00CF7E1B" w14:paraId="7DD29012" w14:textId="77777777" w:rsidTr="004D1EC6">
        <w:tc>
          <w:tcPr>
            <w:tcW w:w="1563" w:type="dxa"/>
            <w:tcBorders>
              <w:top w:val="nil"/>
              <w:left w:val="single" w:sz="2" w:space="0" w:color="auto"/>
              <w:bottom w:val="nil"/>
              <w:right w:val="single" w:sz="2" w:space="0" w:color="auto"/>
            </w:tcBorders>
          </w:tcPr>
          <w:p w14:paraId="4BCC82F3"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7FC87B44" w14:textId="77777777" w:rsidR="000144FF" w:rsidRPr="00F70B16" w:rsidRDefault="000144FF">
            <w:pPr>
              <w:pStyle w:val="TableText"/>
              <w:tabs>
                <w:tab w:val="left" w:pos="3306"/>
              </w:tabs>
              <w:rPr>
                <w:rFonts w:cs="Calibri"/>
              </w:rPr>
            </w:pPr>
            <w:r w:rsidRPr="00F70B16">
              <w:rPr>
                <w:rFonts w:cs="Calibri"/>
              </w:rPr>
              <w:t>Interest Received</w:t>
            </w:r>
          </w:p>
        </w:tc>
        <w:tc>
          <w:tcPr>
            <w:tcW w:w="709" w:type="dxa"/>
            <w:tcBorders>
              <w:top w:val="nil"/>
              <w:left w:val="nil"/>
              <w:bottom w:val="nil"/>
              <w:right w:val="nil"/>
            </w:tcBorders>
            <w:vAlign w:val="bottom"/>
          </w:tcPr>
          <w:p w14:paraId="492DDB7C"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7F4A0094" w14:textId="77777777" w:rsidR="000144FF" w:rsidRPr="00F70B16" w:rsidRDefault="000144FF">
            <w:pPr>
              <w:pStyle w:val="TableText"/>
              <w:tabs>
                <w:tab w:val="left" w:pos="3306"/>
              </w:tabs>
              <w:jc w:val="right"/>
              <w:rPr>
                <w:rFonts w:cs="Calibri"/>
                <w:strike/>
              </w:rPr>
            </w:pPr>
          </w:p>
        </w:tc>
        <w:tc>
          <w:tcPr>
            <w:tcW w:w="993" w:type="dxa"/>
            <w:tcBorders>
              <w:top w:val="nil"/>
              <w:left w:val="nil"/>
              <w:bottom w:val="nil"/>
              <w:right w:val="nil"/>
            </w:tcBorders>
            <w:vAlign w:val="bottom"/>
          </w:tcPr>
          <w:p w14:paraId="55053A7B" w14:textId="77777777" w:rsidR="000144FF" w:rsidRPr="00F70B16" w:rsidRDefault="000144FF">
            <w:pPr>
              <w:pStyle w:val="TableText"/>
              <w:tabs>
                <w:tab w:val="left" w:pos="3306"/>
              </w:tabs>
              <w:jc w:val="right"/>
              <w:rPr>
                <w:rFonts w:cs="Calibri"/>
                <w:strike/>
              </w:rPr>
            </w:pPr>
          </w:p>
        </w:tc>
        <w:tc>
          <w:tcPr>
            <w:tcW w:w="992" w:type="dxa"/>
            <w:tcBorders>
              <w:top w:val="nil"/>
              <w:left w:val="nil"/>
              <w:bottom w:val="nil"/>
              <w:right w:val="nil"/>
            </w:tcBorders>
            <w:vAlign w:val="bottom"/>
          </w:tcPr>
          <w:p w14:paraId="44A15F51" w14:textId="77777777" w:rsidR="000144FF" w:rsidRPr="00F70B16" w:rsidRDefault="000144FF" w:rsidP="00EE6F97">
            <w:pPr>
              <w:pStyle w:val="TableText"/>
              <w:tabs>
                <w:tab w:val="left" w:pos="3306"/>
              </w:tabs>
              <w:jc w:val="right"/>
              <w:rPr>
                <w:rFonts w:cs="Calibri"/>
                <w:strike/>
              </w:rPr>
            </w:pPr>
          </w:p>
        </w:tc>
      </w:tr>
      <w:tr w:rsidR="000144FF" w:rsidRPr="00CF7E1B" w14:paraId="0DB578CB" w14:textId="77777777" w:rsidTr="004D1EC6">
        <w:tc>
          <w:tcPr>
            <w:tcW w:w="1563" w:type="dxa"/>
            <w:tcBorders>
              <w:top w:val="nil"/>
              <w:left w:val="single" w:sz="2" w:space="0" w:color="auto"/>
              <w:bottom w:val="nil"/>
              <w:right w:val="single" w:sz="2" w:space="0" w:color="auto"/>
            </w:tcBorders>
          </w:tcPr>
          <w:p w14:paraId="6B7DCA77"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53CD2B85" w14:textId="77777777" w:rsidR="000144FF" w:rsidRPr="00F70B16" w:rsidRDefault="000144FF">
            <w:pPr>
              <w:pStyle w:val="TableText"/>
              <w:tabs>
                <w:tab w:val="left" w:pos="3306"/>
              </w:tabs>
              <w:rPr>
                <w:rFonts w:cs="Calibri"/>
              </w:rPr>
            </w:pPr>
            <w:r w:rsidRPr="00F70B16">
              <w:rPr>
                <w:rFonts w:cs="Calibri"/>
              </w:rPr>
              <w:t>Dividends Received</w:t>
            </w:r>
          </w:p>
        </w:tc>
        <w:tc>
          <w:tcPr>
            <w:tcW w:w="709" w:type="dxa"/>
            <w:tcBorders>
              <w:top w:val="nil"/>
              <w:left w:val="nil"/>
              <w:bottom w:val="nil"/>
              <w:right w:val="nil"/>
            </w:tcBorders>
            <w:vAlign w:val="bottom"/>
          </w:tcPr>
          <w:p w14:paraId="010B6390"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CF7416A"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24953888"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BA68127" w14:textId="77777777" w:rsidR="000144FF" w:rsidRPr="00F70B16" w:rsidRDefault="000144FF">
            <w:pPr>
              <w:pStyle w:val="TableText"/>
              <w:tabs>
                <w:tab w:val="left" w:pos="3306"/>
              </w:tabs>
              <w:jc w:val="right"/>
              <w:rPr>
                <w:rFonts w:cs="Calibri"/>
              </w:rPr>
            </w:pPr>
          </w:p>
        </w:tc>
      </w:tr>
      <w:tr w:rsidR="000144FF" w:rsidRPr="00CF7E1B" w14:paraId="5B71F3D0" w14:textId="77777777" w:rsidTr="004D1EC6">
        <w:tc>
          <w:tcPr>
            <w:tcW w:w="1563" w:type="dxa"/>
            <w:tcBorders>
              <w:top w:val="nil"/>
              <w:left w:val="single" w:sz="2" w:space="0" w:color="auto"/>
              <w:bottom w:val="nil"/>
              <w:right w:val="single" w:sz="2" w:space="0" w:color="auto"/>
            </w:tcBorders>
          </w:tcPr>
          <w:p w14:paraId="05E7C7BF"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38</w:t>
            </w:r>
          </w:p>
        </w:tc>
        <w:tc>
          <w:tcPr>
            <w:tcW w:w="5244" w:type="dxa"/>
            <w:tcBorders>
              <w:top w:val="nil"/>
              <w:left w:val="single" w:sz="2" w:space="0" w:color="auto"/>
              <w:bottom w:val="nil"/>
              <w:right w:val="nil"/>
            </w:tcBorders>
            <w:vAlign w:val="bottom"/>
          </w:tcPr>
          <w:p w14:paraId="27E6AADD" w14:textId="77777777" w:rsidR="000144FF" w:rsidRPr="00F70B16" w:rsidRDefault="000144FF">
            <w:pPr>
              <w:pStyle w:val="TableText"/>
              <w:tabs>
                <w:tab w:val="left" w:pos="3306"/>
              </w:tabs>
              <w:rPr>
                <w:rFonts w:cs="Calibri"/>
                <w:b/>
                <w:bCs/>
              </w:rPr>
            </w:pPr>
            <w:r w:rsidRPr="00F70B16">
              <w:rPr>
                <w:rFonts w:cs="Calibri"/>
              </w:rPr>
              <w:t>Distribution from Joint Ventures</w:t>
            </w:r>
          </w:p>
        </w:tc>
        <w:tc>
          <w:tcPr>
            <w:tcW w:w="709" w:type="dxa"/>
            <w:tcBorders>
              <w:top w:val="nil"/>
              <w:left w:val="nil"/>
              <w:bottom w:val="nil"/>
              <w:right w:val="nil"/>
            </w:tcBorders>
            <w:vAlign w:val="bottom"/>
          </w:tcPr>
          <w:p w14:paraId="5735B285"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20E6C6C"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3E62542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5D428194" w14:textId="77777777" w:rsidR="000144FF" w:rsidRPr="00F70B16" w:rsidRDefault="000144FF">
            <w:pPr>
              <w:pStyle w:val="TableText"/>
              <w:tabs>
                <w:tab w:val="left" w:pos="3306"/>
              </w:tabs>
              <w:jc w:val="right"/>
              <w:rPr>
                <w:rFonts w:cs="Calibri"/>
              </w:rPr>
            </w:pPr>
          </w:p>
        </w:tc>
      </w:tr>
      <w:tr w:rsidR="000144FF" w:rsidRPr="00CF7E1B" w14:paraId="25C1E283" w14:textId="77777777" w:rsidTr="004D1EC6">
        <w:tc>
          <w:tcPr>
            <w:tcW w:w="1563" w:type="dxa"/>
            <w:tcBorders>
              <w:top w:val="nil"/>
              <w:left w:val="single" w:sz="2" w:space="0" w:color="auto"/>
              <w:bottom w:val="nil"/>
              <w:right w:val="single" w:sz="2" w:space="0" w:color="auto"/>
            </w:tcBorders>
          </w:tcPr>
          <w:p w14:paraId="3DA365BA"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40827161" w14:textId="77777777" w:rsidR="000144FF" w:rsidRPr="00F70B16" w:rsidRDefault="000144FF" w:rsidP="00CF6845">
            <w:pPr>
              <w:pStyle w:val="TableText"/>
              <w:tabs>
                <w:tab w:val="left" w:pos="3306"/>
              </w:tabs>
              <w:ind w:left="179" w:hanging="179"/>
              <w:rPr>
                <w:rFonts w:cs="Calibri"/>
              </w:rPr>
            </w:pPr>
            <w:r w:rsidRPr="00F70B16">
              <w:rPr>
                <w:rFonts w:cs="Calibri"/>
              </w:rPr>
              <w:t>Goods and Services Tax Input Tax Credits from the Australian Taxation Office</w:t>
            </w:r>
          </w:p>
        </w:tc>
        <w:tc>
          <w:tcPr>
            <w:tcW w:w="709" w:type="dxa"/>
            <w:tcBorders>
              <w:top w:val="nil"/>
              <w:left w:val="nil"/>
              <w:bottom w:val="nil"/>
              <w:right w:val="nil"/>
            </w:tcBorders>
            <w:vAlign w:val="bottom"/>
          </w:tcPr>
          <w:p w14:paraId="674463C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5B5162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4F1F7A8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5ABAABE" w14:textId="77777777" w:rsidR="000144FF" w:rsidRPr="00F70B16" w:rsidRDefault="000144FF">
            <w:pPr>
              <w:pStyle w:val="TableText"/>
              <w:tabs>
                <w:tab w:val="left" w:pos="3306"/>
              </w:tabs>
              <w:jc w:val="right"/>
              <w:rPr>
                <w:rFonts w:cs="Calibri"/>
              </w:rPr>
            </w:pPr>
          </w:p>
        </w:tc>
      </w:tr>
      <w:tr w:rsidR="000144FF" w:rsidRPr="00CF7E1B" w14:paraId="21A62A36" w14:textId="77777777" w:rsidTr="004D1EC6">
        <w:tc>
          <w:tcPr>
            <w:tcW w:w="1563" w:type="dxa"/>
            <w:tcBorders>
              <w:top w:val="nil"/>
              <w:left w:val="single" w:sz="2" w:space="0" w:color="auto"/>
              <w:bottom w:val="nil"/>
              <w:right w:val="single" w:sz="2" w:space="0" w:color="auto"/>
            </w:tcBorders>
          </w:tcPr>
          <w:p w14:paraId="1A1B8AD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2DAB20DF" w14:textId="77777777" w:rsidR="000144FF" w:rsidRPr="00F70B16" w:rsidRDefault="000144FF">
            <w:pPr>
              <w:pStyle w:val="TableText"/>
              <w:tabs>
                <w:tab w:val="left" w:pos="3306"/>
              </w:tabs>
              <w:rPr>
                <w:rFonts w:cs="Calibri"/>
              </w:rPr>
            </w:pPr>
            <w:r w:rsidRPr="00F70B16">
              <w:rPr>
                <w:rFonts w:cs="Calibri"/>
              </w:rPr>
              <w:t>Goods and Services Tax Collected from Customers</w:t>
            </w:r>
          </w:p>
        </w:tc>
        <w:tc>
          <w:tcPr>
            <w:tcW w:w="709" w:type="dxa"/>
            <w:tcBorders>
              <w:top w:val="nil"/>
              <w:left w:val="nil"/>
              <w:bottom w:val="nil"/>
              <w:right w:val="nil"/>
            </w:tcBorders>
            <w:vAlign w:val="bottom"/>
          </w:tcPr>
          <w:p w14:paraId="1918C3A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616EA28"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1821F07A"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69133A08" w14:textId="77777777" w:rsidR="000144FF" w:rsidRPr="00F70B16" w:rsidRDefault="000144FF">
            <w:pPr>
              <w:pStyle w:val="TableText"/>
              <w:tabs>
                <w:tab w:val="left" w:pos="3306"/>
              </w:tabs>
              <w:jc w:val="right"/>
              <w:rPr>
                <w:rFonts w:cs="Calibri"/>
              </w:rPr>
            </w:pPr>
          </w:p>
        </w:tc>
      </w:tr>
      <w:tr w:rsidR="000144FF" w:rsidRPr="00CF7E1B" w14:paraId="4379FC40" w14:textId="77777777" w:rsidTr="004D1EC6">
        <w:tc>
          <w:tcPr>
            <w:tcW w:w="1563" w:type="dxa"/>
            <w:tcBorders>
              <w:top w:val="nil"/>
              <w:left w:val="single" w:sz="2" w:space="0" w:color="auto"/>
              <w:bottom w:val="nil"/>
              <w:right w:val="single" w:sz="2" w:space="0" w:color="auto"/>
            </w:tcBorders>
          </w:tcPr>
          <w:p w14:paraId="7EAE2345"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798BFD1B" w14:textId="77777777" w:rsidR="000144FF" w:rsidRPr="00F70B16" w:rsidRDefault="000144FF">
            <w:pPr>
              <w:pStyle w:val="TableText"/>
              <w:tabs>
                <w:tab w:val="left" w:pos="3306"/>
              </w:tabs>
              <w:rPr>
                <w:rFonts w:cs="Calibri"/>
              </w:rPr>
            </w:pPr>
            <w:r w:rsidRPr="00F70B16">
              <w:rPr>
                <w:rFonts w:cs="Calibri"/>
              </w:rPr>
              <w:t>Other</w:t>
            </w:r>
          </w:p>
        </w:tc>
        <w:tc>
          <w:tcPr>
            <w:tcW w:w="709" w:type="dxa"/>
            <w:tcBorders>
              <w:top w:val="nil"/>
              <w:left w:val="nil"/>
              <w:bottom w:val="nil"/>
              <w:right w:val="nil"/>
            </w:tcBorders>
            <w:vAlign w:val="bottom"/>
          </w:tcPr>
          <w:p w14:paraId="0A79FC82"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4D8B8E8"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093A602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1F881AD4" w14:textId="77777777" w:rsidR="000144FF" w:rsidRPr="00F70B16" w:rsidRDefault="000144FF">
            <w:pPr>
              <w:pStyle w:val="TableText"/>
              <w:tabs>
                <w:tab w:val="left" w:pos="3306"/>
              </w:tabs>
              <w:jc w:val="right"/>
              <w:rPr>
                <w:rFonts w:cs="Calibri"/>
              </w:rPr>
            </w:pPr>
          </w:p>
        </w:tc>
      </w:tr>
      <w:tr w:rsidR="000144FF" w:rsidRPr="00CF7E1B" w14:paraId="6CD06284" w14:textId="77777777" w:rsidTr="004D1EC6">
        <w:trPr>
          <w:trHeight w:val="234"/>
        </w:trPr>
        <w:tc>
          <w:tcPr>
            <w:tcW w:w="1563" w:type="dxa"/>
            <w:tcBorders>
              <w:top w:val="nil"/>
              <w:left w:val="single" w:sz="2" w:space="0" w:color="auto"/>
              <w:bottom w:val="nil"/>
              <w:right w:val="single" w:sz="2" w:space="0" w:color="auto"/>
            </w:tcBorders>
          </w:tcPr>
          <w:p w14:paraId="39CEF6CC"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3DEB7E4" w14:textId="77777777" w:rsidR="000144FF" w:rsidRPr="00F70B16" w:rsidRDefault="000144FF">
            <w:pPr>
              <w:pStyle w:val="TableText"/>
              <w:tabs>
                <w:tab w:val="left" w:pos="3306"/>
              </w:tabs>
              <w:rPr>
                <w:rFonts w:cs="Calibri"/>
                <w:b/>
                <w:bCs/>
              </w:rPr>
            </w:pPr>
            <w:bookmarkStart w:id="181" w:name="_Toc48468228"/>
            <w:bookmarkStart w:id="182" w:name="_Toc49155419"/>
            <w:bookmarkStart w:id="183" w:name="_Toc49223868"/>
            <w:r w:rsidRPr="00F70B16">
              <w:rPr>
                <w:rFonts w:cs="Calibri"/>
                <w:b/>
                <w:bCs/>
              </w:rPr>
              <w:t>Total Receipts from Operating Activities</w:t>
            </w:r>
            <w:bookmarkEnd w:id="181"/>
            <w:bookmarkEnd w:id="182"/>
            <w:bookmarkEnd w:id="183"/>
          </w:p>
        </w:tc>
        <w:tc>
          <w:tcPr>
            <w:tcW w:w="709" w:type="dxa"/>
            <w:tcBorders>
              <w:top w:val="nil"/>
              <w:left w:val="nil"/>
              <w:bottom w:val="nil"/>
              <w:right w:val="nil"/>
            </w:tcBorders>
            <w:vAlign w:val="bottom"/>
          </w:tcPr>
          <w:p w14:paraId="2241801E" w14:textId="77777777" w:rsidR="000144FF" w:rsidRPr="00F70B16" w:rsidRDefault="000144FF">
            <w:pPr>
              <w:pStyle w:val="TableText"/>
              <w:tabs>
                <w:tab w:val="left" w:pos="3306"/>
              </w:tabs>
              <w:jc w:val="center"/>
              <w:rPr>
                <w:rFonts w:cs="Calibri"/>
              </w:rPr>
            </w:pPr>
          </w:p>
        </w:tc>
        <w:tc>
          <w:tcPr>
            <w:tcW w:w="992" w:type="dxa"/>
            <w:tcBorders>
              <w:top w:val="single" w:sz="2" w:space="0" w:color="003366"/>
              <w:left w:val="nil"/>
              <w:bottom w:val="nil"/>
              <w:right w:val="nil"/>
            </w:tcBorders>
            <w:vAlign w:val="bottom"/>
          </w:tcPr>
          <w:p w14:paraId="45DCD404" w14:textId="77777777" w:rsidR="000144FF" w:rsidRPr="00F70B16" w:rsidRDefault="000144FF">
            <w:pPr>
              <w:pStyle w:val="TableText"/>
              <w:tabs>
                <w:tab w:val="left" w:pos="3306"/>
              </w:tabs>
              <w:jc w:val="right"/>
              <w:rPr>
                <w:rFonts w:cs="Calibri"/>
                <w:b/>
                <w:bCs/>
              </w:rPr>
            </w:pPr>
          </w:p>
        </w:tc>
        <w:tc>
          <w:tcPr>
            <w:tcW w:w="993" w:type="dxa"/>
            <w:tcBorders>
              <w:top w:val="single" w:sz="2" w:space="0" w:color="003366"/>
              <w:left w:val="nil"/>
              <w:bottom w:val="nil"/>
              <w:right w:val="nil"/>
            </w:tcBorders>
            <w:vAlign w:val="bottom"/>
          </w:tcPr>
          <w:p w14:paraId="43BE847B" w14:textId="77777777" w:rsidR="000144FF" w:rsidRPr="00F70B16" w:rsidRDefault="000144FF">
            <w:pPr>
              <w:pStyle w:val="TableText"/>
              <w:tabs>
                <w:tab w:val="left" w:pos="3306"/>
              </w:tabs>
              <w:jc w:val="right"/>
              <w:rPr>
                <w:rFonts w:cs="Calibri"/>
                <w:b/>
                <w:bCs/>
              </w:rPr>
            </w:pPr>
          </w:p>
        </w:tc>
        <w:tc>
          <w:tcPr>
            <w:tcW w:w="992" w:type="dxa"/>
            <w:tcBorders>
              <w:top w:val="single" w:sz="2" w:space="0" w:color="003366"/>
              <w:left w:val="nil"/>
              <w:bottom w:val="nil"/>
              <w:right w:val="nil"/>
            </w:tcBorders>
            <w:vAlign w:val="bottom"/>
          </w:tcPr>
          <w:p w14:paraId="7EED3327" w14:textId="77777777" w:rsidR="000144FF" w:rsidRPr="00F70B16" w:rsidRDefault="000144FF">
            <w:pPr>
              <w:pStyle w:val="TableText"/>
              <w:tabs>
                <w:tab w:val="left" w:pos="3306"/>
              </w:tabs>
              <w:jc w:val="right"/>
              <w:rPr>
                <w:rFonts w:cs="Calibri"/>
                <w:b/>
                <w:bCs/>
              </w:rPr>
            </w:pPr>
          </w:p>
        </w:tc>
      </w:tr>
      <w:tr w:rsidR="000144FF" w:rsidRPr="00616F81" w14:paraId="0F03B31C" w14:textId="77777777" w:rsidTr="004D1EC6">
        <w:trPr>
          <w:trHeight w:val="63"/>
        </w:trPr>
        <w:tc>
          <w:tcPr>
            <w:tcW w:w="1563" w:type="dxa"/>
            <w:tcBorders>
              <w:top w:val="nil"/>
              <w:left w:val="single" w:sz="2" w:space="0" w:color="auto"/>
              <w:bottom w:val="nil"/>
              <w:right w:val="single" w:sz="2" w:space="0" w:color="auto"/>
            </w:tcBorders>
          </w:tcPr>
          <w:p w14:paraId="11604BD4" w14:textId="77777777" w:rsidR="000144FF" w:rsidRPr="00F70B16" w:rsidRDefault="000144FF" w:rsidP="00616F81">
            <w:pPr>
              <w:pStyle w:val="TableReference"/>
              <w:tabs>
                <w:tab w:val="left" w:pos="3306"/>
              </w:tabs>
              <w:rPr>
                <w:rFonts w:cs="Calibri"/>
                <w:color w:val="7030A0"/>
                <w:sz w:val="10"/>
                <w:szCs w:val="10"/>
              </w:rPr>
            </w:pPr>
          </w:p>
        </w:tc>
        <w:tc>
          <w:tcPr>
            <w:tcW w:w="5244" w:type="dxa"/>
            <w:tcBorders>
              <w:top w:val="nil"/>
              <w:left w:val="single" w:sz="2" w:space="0" w:color="auto"/>
              <w:bottom w:val="nil"/>
              <w:right w:val="nil"/>
            </w:tcBorders>
            <w:vAlign w:val="bottom"/>
          </w:tcPr>
          <w:p w14:paraId="3649D0D1" w14:textId="77777777" w:rsidR="000144FF" w:rsidRPr="00F70B16" w:rsidRDefault="000144FF" w:rsidP="00616F81">
            <w:pPr>
              <w:pStyle w:val="TableText"/>
              <w:tabs>
                <w:tab w:val="left" w:pos="3306"/>
              </w:tabs>
              <w:spacing w:before="0"/>
              <w:rPr>
                <w:rFonts w:cs="Calibri"/>
                <w:sz w:val="4"/>
                <w:szCs w:val="4"/>
              </w:rPr>
            </w:pPr>
          </w:p>
        </w:tc>
        <w:tc>
          <w:tcPr>
            <w:tcW w:w="709" w:type="dxa"/>
            <w:tcBorders>
              <w:top w:val="nil"/>
              <w:left w:val="nil"/>
              <w:bottom w:val="nil"/>
              <w:right w:val="nil"/>
            </w:tcBorders>
            <w:vAlign w:val="bottom"/>
          </w:tcPr>
          <w:p w14:paraId="48DCC2BC" w14:textId="77777777" w:rsidR="000144FF" w:rsidRPr="00F70B16" w:rsidRDefault="000144FF" w:rsidP="00616F81">
            <w:pPr>
              <w:pStyle w:val="TableText"/>
              <w:tabs>
                <w:tab w:val="left" w:pos="3306"/>
              </w:tabs>
              <w:spacing w:before="0"/>
              <w:jc w:val="center"/>
              <w:rPr>
                <w:rFonts w:cs="Calibri"/>
                <w:sz w:val="10"/>
                <w:szCs w:val="10"/>
              </w:rPr>
            </w:pPr>
          </w:p>
        </w:tc>
        <w:tc>
          <w:tcPr>
            <w:tcW w:w="992" w:type="dxa"/>
            <w:tcBorders>
              <w:top w:val="nil"/>
              <w:left w:val="nil"/>
              <w:bottom w:val="nil"/>
              <w:right w:val="nil"/>
            </w:tcBorders>
            <w:vAlign w:val="bottom"/>
          </w:tcPr>
          <w:p w14:paraId="582773D9" w14:textId="77777777" w:rsidR="000144FF" w:rsidRPr="00F70B16" w:rsidRDefault="000144FF" w:rsidP="00616F81">
            <w:pPr>
              <w:pStyle w:val="TableText"/>
              <w:tabs>
                <w:tab w:val="left" w:pos="3306"/>
              </w:tabs>
              <w:spacing w:before="0"/>
              <w:jc w:val="right"/>
              <w:rPr>
                <w:rFonts w:cs="Calibri"/>
                <w:b/>
                <w:bCs/>
                <w:sz w:val="10"/>
                <w:szCs w:val="10"/>
              </w:rPr>
            </w:pPr>
          </w:p>
        </w:tc>
        <w:tc>
          <w:tcPr>
            <w:tcW w:w="993" w:type="dxa"/>
            <w:tcBorders>
              <w:top w:val="nil"/>
              <w:left w:val="nil"/>
              <w:bottom w:val="nil"/>
              <w:right w:val="nil"/>
            </w:tcBorders>
            <w:vAlign w:val="bottom"/>
          </w:tcPr>
          <w:p w14:paraId="7C942598" w14:textId="77777777" w:rsidR="000144FF" w:rsidRPr="00F70B16" w:rsidRDefault="000144FF" w:rsidP="00616F81">
            <w:pPr>
              <w:pStyle w:val="TableText"/>
              <w:tabs>
                <w:tab w:val="left" w:pos="3306"/>
              </w:tabs>
              <w:spacing w:before="0"/>
              <w:jc w:val="right"/>
              <w:rPr>
                <w:rFonts w:cs="Calibri"/>
                <w:b/>
                <w:bCs/>
                <w:sz w:val="10"/>
                <w:szCs w:val="10"/>
              </w:rPr>
            </w:pPr>
          </w:p>
        </w:tc>
        <w:tc>
          <w:tcPr>
            <w:tcW w:w="992" w:type="dxa"/>
            <w:tcBorders>
              <w:top w:val="nil"/>
              <w:left w:val="nil"/>
              <w:bottom w:val="nil"/>
              <w:right w:val="nil"/>
            </w:tcBorders>
            <w:vAlign w:val="bottom"/>
          </w:tcPr>
          <w:p w14:paraId="5A732949" w14:textId="77777777" w:rsidR="000144FF" w:rsidRPr="00F70B16" w:rsidRDefault="000144FF" w:rsidP="00616F81">
            <w:pPr>
              <w:pStyle w:val="TableText"/>
              <w:tabs>
                <w:tab w:val="left" w:pos="3306"/>
              </w:tabs>
              <w:spacing w:before="0"/>
              <w:jc w:val="right"/>
              <w:rPr>
                <w:rFonts w:cs="Calibri"/>
                <w:b/>
                <w:bCs/>
                <w:sz w:val="10"/>
                <w:szCs w:val="10"/>
              </w:rPr>
            </w:pPr>
          </w:p>
        </w:tc>
      </w:tr>
      <w:tr w:rsidR="000144FF" w:rsidRPr="00CF7E1B" w14:paraId="39B12400" w14:textId="77777777" w:rsidTr="004D1EC6">
        <w:tc>
          <w:tcPr>
            <w:tcW w:w="1563" w:type="dxa"/>
            <w:tcBorders>
              <w:top w:val="nil"/>
              <w:left w:val="single" w:sz="2" w:space="0" w:color="auto"/>
              <w:bottom w:val="nil"/>
              <w:right w:val="single" w:sz="2" w:space="0" w:color="auto"/>
            </w:tcBorders>
          </w:tcPr>
          <w:p w14:paraId="1BFAE7A1"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0394D6A5" w14:textId="77777777" w:rsidR="000144FF" w:rsidRPr="00F70B16" w:rsidRDefault="000144FF" w:rsidP="00AA468F">
            <w:pPr>
              <w:pStyle w:val="TableText"/>
              <w:tabs>
                <w:tab w:val="left" w:pos="3306"/>
              </w:tabs>
              <w:spacing w:before="0"/>
              <w:rPr>
                <w:rFonts w:cs="Calibri"/>
                <w:b/>
                <w:bCs/>
              </w:rPr>
            </w:pPr>
            <w:bookmarkStart w:id="184" w:name="_Toc48468229"/>
            <w:bookmarkStart w:id="185" w:name="_Toc49155420"/>
            <w:bookmarkStart w:id="186" w:name="_Toc49223869"/>
            <w:r w:rsidRPr="00F70B16">
              <w:rPr>
                <w:rFonts w:cs="Calibri"/>
                <w:b/>
                <w:bCs/>
              </w:rPr>
              <w:t>Payments</w:t>
            </w:r>
            <w:bookmarkEnd w:id="184"/>
            <w:bookmarkEnd w:id="185"/>
            <w:bookmarkEnd w:id="186"/>
          </w:p>
        </w:tc>
        <w:tc>
          <w:tcPr>
            <w:tcW w:w="709" w:type="dxa"/>
            <w:tcBorders>
              <w:top w:val="nil"/>
              <w:left w:val="nil"/>
              <w:bottom w:val="nil"/>
              <w:right w:val="nil"/>
            </w:tcBorders>
            <w:vAlign w:val="bottom"/>
          </w:tcPr>
          <w:p w14:paraId="7FFB328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2CE8D41"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290DEE93"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16864FD4" w14:textId="77777777" w:rsidR="000144FF" w:rsidRPr="00F70B16" w:rsidRDefault="000144FF">
            <w:pPr>
              <w:pStyle w:val="TableText"/>
              <w:tabs>
                <w:tab w:val="left" w:pos="3306"/>
              </w:tabs>
              <w:jc w:val="right"/>
              <w:rPr>
                <w:rFonts w:cs="Calibri"/>
                <w:b/>
                <w:bCs/>
              </w:rPr>
            </w:pPr>
          </w:p>
        </w:tc>
      </w:tr>
      <w:tr w:rsidR="000144FF" w:rsidRPr="00CF7E1B" w14:paraId="5CC5146E" w14:textId="77777777" w:rsidTr="004D1EC6">
        <w:tc>
          <w:tcPr>
            <w:tcW w:w="1563" w:type="dxa"/>
            <w:tcBorders>
              <w:top w:val="nil"/>
              <w:left w:val="single" w:sz="2" w:space="0" w:color="auto"/>
              <w:bottom w:val="nil"/>
              <w:right w:val="single" w:sz="2" w:space="0" w:color="auto"/>
            </w:tcBorders>
          </w:tcPr>
          <w:p w14:paraId="5BBEDF60"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d)</w:t>
            </w:r>
          </w:p>
        </w:tc>
        <w:tc>
          <w:tcPr>
            <w:tcW w:w="5244" w:type="dxa"/>
            <w:tcBorders>
              <w:top w:val="nil"/>
              <w:left w:val="single" w:sz="2" w:space="0" w:color="auto"/>
              <w:bottom w:val="nil"/>
              <w:right w:val="nil"/>
            </w:tcBorders>
            <w:vAlign w:val="bottom"/>
          </w:tcPr>
          <w:p w14:paraId="448C5BBD" w14:textId="77777777" w:rsidR="000144FF" w:rsidRPr="00F70B16" w:rsidRDefault="000144FF">
            <w:pPr>
              <w:pStyle w:val="TableText"/>
              <w:tabs>
                <w:tab w:val="left" w:pos="3306"/>
              </w:tabs>
              <w:rPr>
                <w:rFonts w:cs="Calibri"/>
                <w:b/>
                <w:bCs/>
              </w:rPr>
            </w:pPr>
            <w:r w:rsidRPr="00F70B16">
              <w:rPr>
                <w:rFonts w:cs="Calibri"/>
              </w:rPr>
              <w:t>Employee</w:t>
            </w:r>
          </w:p>
        </w:tc>
        <w:tc>
          <w:tcPr>
            <w:tcW w:w="709" w:type="dxa"/>
            <w:tcBorders>
              <w:top w:val="nil"/>
              <w:left w:val="nil"/>
              <w:bottom w:val="nil"/>
              <w:right w:val="nil"/>
            </w:tcBorders>
            <w:vAlign w:val="bottom"/>
          </w:tcPr>
          <w:p w14:paraId="57A830C9"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6A6461AA"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28039E03"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2DD1981B" w14:textId="77777777" w:rsidR="000144FF" w:rsidRPr="00F70B16" w:rsidRDefault="000144FF">
            <w:pPr>
              <w:pStyle w:val="TableText"/>
              <w:tabs>
                <w:tab w:val="left" w:pos="3306"/>
              </w:tabs>
              <w:jc w:val="right"/>
              <w:rPr>
                <w:rFonts w:cs="Calibri"/>
              </w:rPr>
            </w:pPr>
          </w:p>
        </w:tc>
      </w:tr>
      <w:tr w:rsidR="000144FF" w:rsidRPr="00CF7E1B" w14:paraId="22B9C07C" w14:textId="77777777" w:rsidTr="004D1EC6">
        <w:tc>
          <w:tcPr>
            <w:tcW w:w="1563" w:type="dxa"/>
            <w:tcBorders>
              <w:top w:val="nil"/>
              <w:left w:val="single" w:sz="2" w:space="0" w:color="auto"/>
              <w:bottom w:val="nil"/>
              <w:right w:val="single" w:sz="2" w:space="0" w:color="auto"/>
            </w:tcBorders>
          </w:tcPr>
          <w:p w14:paraId="0FADAAE3"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d)</w:t>
            </w:r>
          </w:p>
        </w:tc>
        <w:tc>
          <w:tcPr>
            <w:tcW w:w="5244" w:type="dxa"/>
            <w:tcBorders>
              <w:top w:val="nil"/>
              <w:left w:val="single" w:sz="2" w:space="0" w:color="auto"/>
              <w:bottom w:val="nil"/>
              <w:right w:val="nil"/>
            </w:tcBorders>
            <w:vAlign w:val="bottom"/>
          </w:tcPr>
          <w:p w14:paraId="148181A9" w14:textId="77777777" w:rsidR="000144FF" w:rsidRPr="00F70B16" w:rsidRDefault="000144FF">
            <w:pPr>
              <w:pStyle w:val="TableText"/>
              <w:tabs>
                <w:tab w:val="left" w:pos="3306"/>
              </w:tabs>
              <w:rPr>
                <w:rFonts w:cs="Calibri"/>
              </w:rPr>
            </w:pPr>
            <w:r w:rsidRPr="00F70B16">
              <w:rPr>
                <w:rFonts w:cs="Calibri"/>
              </w:rPr>
              <w:t>Superannuation</w:t>
            </w:r>
          </w:p>
        </w:tc>
        <w:tc>
          <w:tcPr>
            <w:tcW w:w="709" w:type="dxa"/>
            <w:tcBorders>
              <w:top w:val="nil"/>
              <w:left w:val="nil"/>
              <w:bottom w:val="nil"/>
              <w:right w:val="nil"/>
            </w:tcBorders>
            <w:vAlign w:val="bottom"/>
          </w:tcPr>
          <w:p w14:paraId="4757F6E7"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4A7D2D6"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05502A3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6F6F7A75" w14:textId="77777777" w:rsidR="000144FF" w:rsidRPr="00F70B16" w:rsidRDefault="000144FF">
            <w:pPr>
              <w:pStyle w:val="TableText"/>
              <w:tabs>
                <w:tab w:val="left" w:pos="3306"/>
              </w:tabs>
              <w:jc w:val="right"/>
              <w:rPr>
                <w:rFonts w:cs="Calibri"/>
              </w:rPr>
            </w:pPr>
          </w:p>
        </w:tc>
      </w:tr>
      <w:tr w:rsidR="000144FF" w:rsidRPr="00CF7E1B" w14:paraId="40D34E52" w14:textId="77777777" w:rsidTr="004D1EC6">
        <w:tc>
          <w:tcPr>
            <w:tcW w:w="1563" w:type="dxa"/>
            <w:tcBorders>
              <w:top w:val="nil"/>
              <w:left w:val="single" w:sz="2" w:space="0" w:color="auto"/>
              <w:bottom w:val="nil"/>
              <w:right w:val="single" w:sz="2" w:space="0" w:color="auto"/>
            </w:tcBorders>
          </w:tcPr>
          <w:p w14:paraId="4B1A10C4"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14</w:t>
            </w:r>
            <w:r w:rsidR="00D001B7" w:rsidRPr="00F70B16">
              <w:rPr>
                <w:rFonts w:cs="Calibri"/>
                <w:color w:val="7030A0"/>
                <w:sz w:val="14"/>
              </w:rPr>
              <w:t>(</w:t>
            </w:r>
            <w:r w:rsidRPr="00F70B16">
              <w:rPr>
                <w:rFonts w:cs="Calibri"/>
                <w:color w:val="7030A0"/>
                <w:sz w:val="14"/>
              </w:rPr>
              <w:t>c)</w:t>
            </w:r>
          </w:p>
        </w:tc>
        <w:tc>
          <w:tcPr>
            <w:tcW w:w="5244" w:type="dxa"/>
            <w:tcBorders>
              <w:top w:val="nil"/>
              <w:left w:val="single" w:sz="2" w:space="0" w:color="auto"/>
              <w:bottom w:val="nil"/>
              <w:right w:val="nil"/>
            </w:tcBorders>
            <w:vAlign w:val="bottom"/>
          </w:tcPr>
          <w:p w14:paraId="42020020" w14:textId="77777777" w:rsidR="000144FF" w:rsidRPr="00F70B16" w:rsidRDefault="000144FF">
            <w:pPr>
              <w:pStyle w:val="TableText"/>
              <w:tabs>
                <w:tab w:val="left" w:pos="3306"/>
              </w:tabs>
              <w:rPr>
                <w:rFonts w:cs="Calibri"/>
              </w:rPr>
            </w:pPr>
            <w:r w:rsidRPr="00F70B16">
              <w:rPr>
                <w:rFonts w:cs="Calibri"/>
              </w:rPr>
              <w:t>Supplies and Services</w:t>
            </w:r>
          </w:p>
        </w:tc>
        <w:tc>
          <w:tcPr>
            <w:tcW w:w="709" w:type="dxa"/>
            <w:tcBorders>
              <w:top w:val="nil"/>
              <w:left w:val="nil"/>
              <w:bottom w:val="nil"/>
              <w:right w:val="nil"/>
            </w:tcBorders>
            <w:vAlign w:val="bottom"/>
          </w:tcPr>
          <w:p w14:paraId="61CBAC0E"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5D948C85"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26DFB8B0"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6FBD00C4" w14:textId="77777777" w:rsidR="000144FF" w:rsidRPr="00F70B16" w:rsidRDefault="000144FF">
            <w:pPr>
              <w:pStyle w:val="TableText"/>
              <w:tabs>
                <w:tab w:val="left" w:pos="3306"/>
              </w:tabs>
              <w:jc w:val="right"/>
              <w:rPr>
                <w:rFonts w:cs="Calibri"/>
              </w:rPr>
            </w:pPr>
          </w:p>
        </w:tc>
      </w:tr>
      <w:tr w:rsidR="00411D5C" w:rsidRPr="00CF7E1B" w14:paraId="23954EFC" w14:textId="77777777" w:rsidTr="004D1EC6">
        <w:tc>
          <w:tcPr>
            <w:tcW w:w="1563" w:type="dxa"/>
            <w:tcBorders>
              <w:top w:val="nil"/>
              <w:left w:val="single" w:sz="2" w:space="0" w:color="auto"/>
              <w:bottom w:val="nil"/>
              <w:right w:val="single" w:sz="2" w:space="0" w:color="auto"/>
            </w:tcBorders>
          </w:tcPr>
          <w:p w14:paraId="01A9D3B0" w14:textId="77777777" w:rsidR="00411D5C" w:rsidRPr="00F70B16" w:rsidRDefault="00411D5C">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6B2AB850" w14:textId="5AC583D8" w:rsidR="00411D5C" w:rsidRPr="00F70B16" w:rsidRDefault="00411D5C">
            <w:pPr>
              <w:pStyle w:val="TableText"/>
              <w:tabs>
                <w:tab w:val="left" w:pos="3306"/>
              </w:tabs>
              <w:rPr>
                <w:rFonts w:cs="Calibri"/>
              </w:rPr>
            </w:pPr>
            <w:r w:rsidRPr="00F70B16">
              <w:rPr>
                <w:rFonts w:cs="Calibri"/>
              </w:rPr>
              <w:t>Related to Cost of Goods Sold</w:t>
            </w:r>
          </w:p>
        </w:tc>
        <w:tc>
          <w:tcPr>
            <w:tcW w:w="709" w:type="dxa"/>
            <w:tcBorders>
              <w:top w:val="nil"/>
              <w:left w:val="nil"/>
              <w:bottom w:val="nil"/>
              <w:right w:val="nil"/>
            </w:tcBorders>
            <w:vAlign w:val="bottom"/>
          </w:tcPr>
          <w:p w14:paraId="60EDC9CD" w14:textId="77777777" w:rsidR="00411D5C" w:rsidRPr="00F70B16" w:rsidRDefault="00411D5C">
            <w:pPr>
              <w:pStyle w:val="TableText"/>
              <w:tabs>
                <w:tab w:val="left" w:pos="3306"/>
              </w:tabs>
              <w:jc w:val="center"/>
              <w:rPr>
                <w:rFonts w:cs="Calibri"/>
              </w:rPr>
            </w:pPr>
          </w:p>
        </w:tc>
        <w:tc>
          <w:tcPr>
            <w:tcW w:w="992" w:type="dxa"/>
            <w:tcBorders>
              <w:top w:val="nil"/>
              <w:left w:val="nil"/>
              <w:bottom w:val="nil"/>
              <w:right w:val="nil"/>
            </w:tcBorders>
            <w:vAlign w:val="bottom"/>
          </w:tcPr>
          <w:p w14:paraId="1D63A2B4" w14:textId="77777777" w:rsidR="00411D5C" w:rsidRPr="00F70B16" w:rsidRDefault="00411D5C">
            <w:pPr>
              <w:pStyle w:val="TableText"/>
              <w:tabs>
                <w:tab w:val="left" w:pos="3306"/>
              </w:tabs>
              <w:jc w:val="right"/>
              <w:rPr>
                <w:rFonts w:cs="Calibri"/>
              </w:rPr>
            </w:pPr>
          </w:p>
        </w:tc>
        <w:tc>
          <w:tcPr>
            <w:tcW w:w="993" w:type="dxa"/>
            <w:tcBorders>
              <w:top w:val="nil"/>
              <w:left w:val="nil"/>
              <w:bottom w:val="nil"/>
              <w:right w:val="nil"/>
            </w:tcBorders>
            <w:vAlign w:val="bottom"/>
          </w:tcPr>
          <w:p w14:paraId="12659614" w14:textId="77777777" w:rsidR="00411D5C" w:rsidRPr="00F70B16" w:rsidRDefault="00411D5C">
            <w:pPr>
              <w:pStyle w:val="TableText"/>
              <w:tabs>
                <w:tab w:val="left" w:pos="3306"/>
              </w:tabs>
              <w:jc w:val="right"/>
              <w:rPr>
                <w:rFonts w:cs="Calibri"/>
              </w:rPr>
            </w:pPr>
          </w:p>
        </w:tc>
        <w:tc>
          <w:tcPr>
            <w:tcW w:w="992" w:type="dxa"/>
            <w:tcBorders>
              <w:top w:val="nil"/>
              <w:left w:val="nil"/>
              <w:bottom w:val="nil"/>
              <w:right w:val="nil"/>
            </w:tcBorders>
            <w:vAlign w:val="bottom"/>
          </w:tcPr>
          <w:p w14:paraId="5E3B4A11" w14:textId="77777777" w:rsidR="00411D5C" w:rsidRPr="00F70B16" w:rsidRDefault="00411D5C">
            <w:pPr>
              <w:pStyle w:val="TableText"/>
              <w:tabs>
                <w:tab w:val="left" w:pos="3306"/>
              </w:tabs>
              <w:jc w:val="right"/>
              <w:rPr>
                <w:rFonts w:cs="Calibri"/>
              </w:rPr>
            </w:pPr>
          </w:p>
        </w:tc>
      </w:tr>
      <w:tr w:rsidR="000144FF" w:rsidRPr="00CF7E1B" w14:paraId="62D6D69F" w14:textId="77777777" w:rsidTr="004D1EC6">
        <w:tc>
          <w:tcPr>
            <w:tcW w:w="1563" w:type="dxa"/>
            <w:tcBorders>
              <w:top w:val="nil"/>
              <w:left w:val="single" w:sz="2" w:space="0" w:color="auto"/>
              <w:bottom w:val="nil"/>
              <w:right w:val="single" w:sz="2" w:space="0" w:color="auto"/>
            </w:tcBorders>
          </w:tcPr>
          <w:p w14:paraId="05708805"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491ECE54" w14:textId="77777777" w:rsidR="000144FF" w:rsidRPr="00F70B16" w:rsidRDefault="000144FF">
            <w:pPr>
              <w:pStyle w:val="TableText"/>
              <w:tabs>
                <w:tab w:val="left" w:pos="3306"/>
              </w:tabs>
              <w:rPr>
                <w:rFonts w:cs="Calibri"/>
              </w:rPr>
            </w:pPr>
            <w:r w:rsidRPr="00F70B16">
              <w:rPr>
                <w:rFonts w:cs="Calibri"/>
              </w:rPr>
              <w:t>Grants and Purchased Services</w:t>
            </w:r>
          </w:p>
        </w:tc>
        <w:tc>
          <w:tcPr>
            <w:tcW w:w="709" w:type="dxa"/>
            <w:tcBorders>
              <w:top w:val="nil"/>
              <w:left w:val="nil"/>
              <w:bottom w:val="nil"/>
              <w:right w:val="nil"/>
            </w:tcBorders>
            <w:vAlign w:val="bottom"/>
          </w:tcPr>
          <w:p w14:paraId="3DDE544B"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5548AAE"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6758E8FC"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58EEF917" w14:textId="77777777" w:rsidR="000144FF" w:rsidRPr="00F70B16" w:rsidRDefault="000144FF">
            <w:pPr>
              <w:pStyle w:val="TableText"/>
              <w:tabs>
                <w:tab w:val="left" w:pos="3306"/>
              </w:tabs>
              <w:jc w:val="right"/>
              <w:rPr>
                <w:rFonts w:cs="Calibri"/>
              </w:rPr>
            </w:pPr>
          </w:p>
        </w:tc>
      </w:tr>
      <w:tr w:rsidR="000144FF" w:rsidRPr="00CF7E1B" w14:paraId="31AFA497" w14:textId="77777777" w:rsidTr="004D1EC6">
        <w:tc>
          <w:tcPr>
            <w:tcW w:w="1563" w:type="dxa"/>
            <w:tcBorders>
              <w:top w:val="nil"/>
              <w:left w:val="single" w:sz="2" w:space="0" w:color="auto"/>
              <w:bottom w:val="nil"/>
              <w:right w:val="single" w:sz="2" w:space="0" w:color="auto"/>
            </w:tcBorders>
          </w:tcPr>
          <w:p w14:paraId="66F487D9"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31</w:t>
            </w:r>
          </w:p>
        </w:tc>
        <w:tc>
          <w:tcPr>
            <w:tcW w:w="5244" w:type="dxa"/>
            <w:tcBorders>
              <w:top w:val="nil"/>
              <w:left w:val="single" w:sz="2" w:space="0" w:color="auto"/>
              <w:bottom w:val="nil"/>
              <w:right w:val="nil"/>
            </w:tcBorders>
            <w:vAlign w:val="bottom"/>
          </w:tcPr>
          <w:p w14:paraId="4E0C73DC" w14:textId="77777777" w:rsidR="000144FF" w:rsidRPr="00F70B16" w:rsidRDefault="000144FF">
            <w:pPr>
              <w:pStyle w:val="TableText"/>
              <w:tabs>
                <w:tab w:val="left" w:pos="3306"/>
              </w:tabs>
              <w:rPr>
                <w:rFonts w:cs="Calibri"/>
              </w:rPr>
            </w:pPr>
            <w:r w:rsidRPr="00F70B16">
              <w:rPr>
                <w:rFonts w:cs="Calibri"/>
              </w:rPr>
              <w:t>Borrowing Costs</w:t>
            </w:r>
          </w:p>
        </w:tc>
        <w:tc>
          <w:tcPr>
            <w:tcW w:w="709" w:type="dxa"/>
            <w:tcBorders>
              <w:top w:val="nil"/>
              <w:left w:val="nil"/>
              <w:bottom w:val="nil"/>
              <w:right w:val="nil"/>
            </w:tcBorders>
            <w:vAlign w:val="bottom"/>
          </w:tcPr>
          <w:p w14:paraId="4EC5AB91"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1053C20E"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78484788"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07ED324F" w14:textId="77777777" w:rsidR="000144FF" w:rsidRPr="00F70B16" w:rsidRDefault="000144FF">
            <w:pPr>
              <w:pStyle w:val="TableText"/>
              <w:tabs>
                <w:tab w:val="left" w:pos="3306"/>
              </w:tabs>
              <w:jc w:val="right"/>
              <w:rPr>
                <w:rFonts w:cs="Calibri"/>
              </w:rPr>
            </w:pPr>
          </w:p>
        </w:tc>
      </w:tr>
      <w:tr w:rsidR="00411D5C" w:rsidRPr="00CF7E1B" w14:paraId="75C08E84" w14:textId="77777777" w:rsidTr="004D1EC6">
        <w:tc>
          <w:tcPr>
            <w:tcW w:w="1563" w:type="dxa"/>
            <w:tcBorders>
              <w:top w:val="nil"/>
              <w:left w:val="single" w:sz="2" w:space="0" w:color="auto"/>
              <w:bottom w:val="nil"/>
              <w:right w:val="single" w:sz="2" w:space="0" w:color="auto"/>
            </w:tcBorders>
          </w:tcPr>
          <w:p w14:paraId="4B2C126F" w14:textId="77777777" w:rsidR="00411D5C" w:rsidRPr="00F70B16" w:rsidRDefault="00411D5C">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74CC11A0" w14:textId="4FA74AB3" w:rsidR="00411D5C" w:rsidRPr="009F31C7" w:rsidRDefault="00411D5C" w:rsidP="009F31C7">
            <w:pPr>
              <w:tabs>
                <w:tab w:val="left" w:pos="3306"/>
              </w:tabs>
              <w:spacing w:before="60" w:after="60"/>
              <w:rPr>
                <w:rFonts w:cs="Calibri"/>
                <w:color w:val="2E74B5" w:themeColor="accent1" w:themeShade="BF"/>
                <w:sz w:val="18"/>
                <w:szCs w:val="18"/>
              </w:rPr>
            </w:pPr>
            <w:r w:rsidRPr="009F31C7">
              <w:rPr>
                <w:rFonts w:cs="Calibri"/>
                <w:color w:val="2E74B5" w:themeColor="accent1" w:themeShade="BF"/>
                <w:sz w:val="18"/>
                <w:szCs w:val="18"/>
              </w:rPr>
              <w:t>Goods and Services Tax Remitted to the Australian Taxation Office</w:t>
            </w:r>
          </w:p>
        </w:tc>
        <w:tc>
          <w:tcPr>
            <w:tcW w:w="709" w:type="dxa"/>
            <w:tcBorders>
              <w:top w:val="nil"/>
              <w:left w:val="nil"/>
              <w:bottom w:val="nil"/>
              <w:right w:val="nil"/>
            </w:tcBorders>
            <w:vAlign w:val="bottom"/>
          </w:tcPr>
          <w:p w14:paraId="53CD1724" w14:textId="77777777" w:rsidR="00411D5C" w:rsidRPr="009F31C7" w:rsidRDefault="00411D5C" w:rsidP="009F31C7">
            <w:pPr>
              <w:tabs>
                <w:tab w:val="left" w:pos="3306"/>
              </w:tabs>
              <w:spacing w:before="60" w:after="60"/>
              <w:rPr>
                <w:rFonts w:cs="Calibri"/>
                <w:color w:val="2E74B5" w:themeColor="accent1" w:themeShade="BF"/>
                <w:sz w:val="18"/>
                <w:szCs w:val="18"/>
              </w:rPr>
            </w:pPr>
          </w:p>
        </w:tc>
        <w:tc>
          <w:tcPr>
            <w:tcW w:w="992" w:type="dxa"/>
            <w:tcBorders>
              <w:top w:val="nil"/>
              <w:left w:val="nil"/>
              <w:bottom w:val="nil"/>
              <w:right w:val="nil"/>
            </w:tcBorders>
            <w:vAlign w:val="bottom"/>
          </w:tcPr>
          <w:p w14:paraId="7DFDAF31" w14:textId="77777777" w:rsidR="00411D5C" w:rsidRPr="00F70B16" w:rsidRDefault="00411D5C">
            <w:pPr>
              <w:pStyle w:val="TableText"/>
              <w:tabs>
                <w:tab w:val="left" w:pos="3306"/>
              </w:tabs>
              <w:jc w:val="right"/>
              <w:rPr>
                <w:rFonts w:cs="Calibri"/>
              </w:rPr>
            </w:pPr>
          </w:p>
        </w:tc>
        <w:tc>
          <w:tcPr>
            <w:tcW w:w="993" w:type="dxa"/>
            <w:tcBorders>
              <w:top w:val="nil"/>
              <w:left w:val="nil"/>
              <w:bottom w:val="nil"/>
              <w:right w:val="nil"/>
            </w:tcBorders>
            <w:vAlign w:val="bottom"/>
          </w:tcPr>
          <w:p w14:paraId="0836F951" w14:textId="77777777" w:rsidR="00411D5C" w:rsidRPr="00F70B16" w:rsidRDefault="00411D5C">
            <w:pPr>
              <w:pStyle w:val="TableText"/>
              <w:tabs>
                <w:tab w:val="left" w:pos="3306"/>
              </w:tabs>
              <w:jc w:val="right"/>
              <w:rPr>
                <w:rFonts w:cs="Calibri"/>
              </w:rPr>
            </w:pPr>
          </w:p>
        </w:tc>
        <w:tc>
          <w:tcPr>
            <w:tcW w:w="992" w:type="dxa"/>
            <w:tcBorders>
              <w:top w:val="nil"/>
              <w:left w:val="nil"/>
              <w:bottom w:val="nil"/>
              <w:right w:val="nil"/>
            </w:tcBorders>
            <w:vAlign w:val="bottom"/>
          </w:tcPr>
          <w:p w14:paraId="40075E7C" w14:textId="77777777" w:rsidR="00411D5C" w:rsidRPr="00F70B16" w:rsidRDefault="00411D5C">
            <w:pPr>
              <w:pStyle w:val="TableText"/>
              <w:tabs>
                <w:tab w:val="left" w:pos="3306"/>
              </w:tabs>
              <w:jc w:val="right"/>
              <w:rPr>
                <w:rFonts w:cs="Calibri"/>
              </w:rPr>
            </w:pPr>
          </w:p>
        </w:tc>
      </w:tr>
      <w:tr w:rsidR="000144FF" w:rsidRPr="00CF7E1B" w14:paraId="7829D063" w14:textId="77777777" w:rsidTr="004D1EC6">
        <w:tc>
          <w:tcPr>
            <w:tcW w:w="1563" w:type="dxa"/>
            <w:tcBorders>
              <w:top w:val="nil"/>
              <w:left w:val="single" w:sz="2" w:space="0" w:color="auto"/>
              <w:bottom w:val="nil"/>
              <w:right w:val="single" w:sz="2" w:space="0" w:color="auto"/>
            </w:tcBorders>
          </w:tcPr>
          <w:p w14:paraId="3A4A0EEC"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62B33F3" w14:textId="77777777" w:rsidR="000144FF" w:rsidRPr="00F70B16" w:rsidRDefault="000144FF">
            <w:pPr>
              <w:pStyle w:val="TableText"/>
              <w:tabs>
                <w:tab w:val="left" w:pos="3306"/>
              </w:tabs>
              <w:rPr>
                <w:rFonts w:cs="Calibri"/>
              </w:rPr>
            </w:pPr>
            <w:r w:rsidRPr="00F70B16">
              <w:rPr>
                <w:rFonts w:cs="Calibri"/>
              </w:rPr>
              <w:t>Goods and Services Tax Paid to Suppliers</w:t>
            </w:r>
          </w:p>
        </w:tc>
        <w:tc>
          <w:tcPr>
            <w:tcW w:w="709" w:type="dxa"/>
            <w:tcBorders>
              <w:top w:val="nil"/>
              <w:left w:val="nil"/>
              <w:bottom w:val="nil"/>
              <w:right w:val="nil"/>
            </w:tcBorders>
            <w:vAlign w:val="bottom"/>
          </w:tcPr>
          <w:p w14:paraId="0274BE4F"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53B585AF"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75D67220"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3EE52784" w14:textId="77777777" w:rsidR="000144FF" w:rsidRPr="00F70B16" w:rsidRDefault="000144FF">
            <w:pPr>
              <w:pStyle w:val="TableText"/>
              <w:tabs>
                <w:tab w:val="left" w:pos="3306"/>
              </w:tabs>
              <w:jc w:val="right"/>
              <w:rPr>
                <w:rFonts w:cs="Calibri"/>
              </w:rPr>
            </w:pPr>
          </w:p>
        </w:tc>
      </w:tr>
      <w:tr w:rsidR="00411D5C" w:rsidRPr="00CF7E1B" w14:paraId="058DF4F1" w14:textId="77777777" w:rsidTr="004D1EC6">
        <w:tc>
          <w:tcPr>
            <w:tcW w:w="1563" w:type="dxa"/>
            <w:tcBorders>
              <w:top w:val="nil"/>
              <w:left w:val="single" w:sz="2" w:space="0" w:color="auto"/>
              <w:bottom w:val="nil"/>
              <w:right w:val="single" w:sz="2" w:space="0" w:color="auto"/>
            </w:tcBorders>
          </w:tcPr>
          <w:p w14:paraId="39541FE9" w14:textId="76425171" w:rsidR="00411D5C" w:rsidRPr="00F70B16" w:rsidRDefault="00411D5C">
            <w:pPr>
              <w:pStyle w:val="TableReference"/>
              <w:tabs>
                <w:tab w:val="left" w:pos="3306"/>
              </w:tabs>
              <w:spacing w:before="40"/>
              <w:rPr>
                <w:rFonts w:cs="Calibri"/>
                <w:color w:val="7030A0"/>
                <w:sz w:val="14"/>
              </w:rPr>
            </w:pPr>
            <w:r w:rsidRPr="00F70B16">
              <w:rPr>
                <w:rFonts w:cs="Calibri"/>
                <w:color w:val="7030A0"/>
                <w:sz w:val="14"/>
              </w:rPr>
              <w:t>AASB 107.35</w:t>
            </w:r>
          </w:p>
        </w:tc>
        <w:tc>
          <w:tcPr>
            <w:tcW w:w="5244" w:type="dxa"/>
            <w:tcBorders>
              <w:top w:val="nil"/>
              <w:left w:val="single" w:sz="2" w:space="0" w:color="auto"/>
              <w:bottom w:val="nil"/>
              <w:right w:val="nil"/>
            </w:tcBorders>
            <w:vAlign w:val="bottom"/>
          </w:tcPr>
          <w:p w14:paraId="6B58F9EB" w14:textId="5FE99948" w:rsidR="00411D5C" w:rsidRPr="00F70B16" w:rsidRDefault="00411D5C" w:rsidP="009F31C7">
            <w:pPr>
              <w:tabs>
                <w:tab w:val="left" w:pos="3306"/>
              </w:tabs>
              <w:spacing w:before="60" w:after="60"/>
              <w:rPr>
                <w:rFonts w:cs="Calibri"/>
              </w:rPr>
            </w:pPr>
            <w:r w:rsidRPr="009F31C7">
              <w:rPr>
                <w:rFonts w:cs="Calibri"/>
                <w:color w:val="2E74B5" w:themeColor="accent1" w:themeShade="BF"/>
                <w:sz w:val="18"/>
                <w:szCs w:val="18"/>
              </w:rPr>
              <w:t>National Tax Equivalent Payments</w:t>
            </w:r>
          </w:p>
        </w:tc>
        <w:tc>
          <w:tcPr>
            <w:tcW w:w="709" w:type="dxa"/>
            <w:tcBorders>
              <w:top w:val="nil"/>
              <w:left w:val="nil"/>
              <w:bottom w:val="nil"/>
              <w:right w:val="nil"/>
            </w:tcBorders>
            <w:vAlign w:val="bottom"/>
          </w:tcPr>
          <w:p w14:paraId="4F78A920" w14:textId="77777777" w:rsidR="00411D5C" w:rsidRPr="00F70B16" w:rsidRDefault="00411D5C">
            <w:pPr>
              <w:pStyle w:val="TableText"/>
              <w:tabs>
                <w:tab w:val="left" w:pos="3306"/>
              </w:tabs>
              <w:jc w:val="center"/>
              <w:rPr>
                <w:rFonts w:cs="Calibri"/>
              </w:rPr>
            </w:pPr>
          </w:p>
        </w:tc>
        <w:tc>
          <w:tcPr>
            <w:tcW w:w="992" w:type="dxa"/>
            <w:tcBorders>
              <w:top w:val="nil"/>
              <w:left w:val="nil"/>
              <w:bottom w:val="nil"/>
              <w:right w:val="nil"/>
            </w:tcBorders>
            <w:vAlign w:val="bottom"/>
          </w:tcPr>
          <w:p w14:paraId="62FD1B19" w14:textId="77777777" w:rsidR="00411D5C" w:rsidRPr="00F70B16" w:rsidRDefault="00411D5C">
            <w:pPr>
              <w:pStyle w:val="TableText"/>
              <w:tabs>
                <w:tab w:val="left" w:pos="3306"/>
              </w:tabs>
              <w:jc w:val="right"/>
              <w:rPr>
                <w:rFonts w:cs="Calibri"/>
              </w:rPr>
            </w:pPr>
          </w:p>
        </w:tc>
        <w:tc>
          <w:tcPr>
            <w:tcW w:w="993" w:type="dxa"/>
            <w:tcBorders>
              <w:top w:val="nil"/>
              <w:left w:val="nil"/>
              <w:bottom w:val="nil"/>
              <w:right w:val="nil"/>
            </w:tcBorders>
            <w:vAlign w:val="bottom"/>
          </w:tcPr>
          <w:p w14:paraId="23056C32" w14:textId="77777777" w:rsidR="00411D5C" w:rsidRPr="00F70B16" w:rsidRDefault="00411D5C">
            <w:pPr>
              <w:pStyle w:val="TableText"/>
              <w:tabs>
                <w:tab w:val="left" w:pos="3306"/>
              </w:tabs>
              <w:jc w:val="right"/>
              <w:rPr>
                <w:rFonts w:cs="Calibri"/>
              </w:rPr>
            </w:pPr>
          </w:p>
        </w:tc>
        <w:tc>
          <w:tcPr>
            <w:tcW w:w="992" w:type="dxa"/>
            <w:tcBorders>
              <w:top w:val="nil"/>
              <w:left w:val="nil"/>
              <w:bottom w:val="nil"/>
              <w:right w:val="nil"/>
            </w:tcBorders>
            <w:vAlign w:val="bottom"/>
          </w:tcPr>
          <w:p w14:paraId="22147309" w14:textId="77777777" w:rsidR="00411D5C" w:rsidRPr="00F70B16" w:rsidRDefault="00411D5C">
            <w:pPr>
              <w:pStyle w:val="TableText"/>
              <w:tabs>
                <w:tab w:val="left" w:pos="3306"/>
              </w:tabs>
              <w:jc w:val="right"/>
              <w:rPr>
                <w:rFonts w:cs="Calibri"/>
              </w:rPr>
            </w:pPr>
          </w:p>
        </w:tc>
      </w:tr>
      <w:tr w:rsidR="000144FF" w:rsidRPr="00CF7E1B" w14:paraId="31BAB8C1" w14:textId="77777777" w:rsidTr="004D1EC6">
        <w:tc>
          <w:tcPr>
            <w:tcW w:w="1563" w:type="dxa"/>
            <w:tcBorders>
              <w:top w:val="nil"/>
              <w:left w:val="single" w:sz="2" w:space="0" w:color="auto"/>
              <w:bottom w:val="nil"/>
              <w:right w:val="single" w:sz="2" w:space="0" w:color="auto"/>
            </w:tcBorders>
          </w:tcPr>
          <w:p w14:paraId="772C5335" w14:textId="760B030C" w:rsidR="000144FF" w:rsidRPr="00F70B16" w:rsidRDefault="00FA7C77">
            <w:pPr>
              <w:pStyle w:val="TableReference"/>
              <w:tabs>
                <w:tab w:val="left" w:pos="3306"/>
              </w:tabs>
              <w:spacing w:before="40"/>
              <w:rPr>
                <w:rFonts w:cs="Calibri"/>
                <w:color w:val="7030A0"/>
                <w:sz w:val="14"/>
              </w:rPr>
            </w:pPr>
            <w:r>
              <w:rPr>
                <w:rFonts w:cs="Calibri"/>
                <w:color w:val="7030A0"/>
                <w:sz w:val="14"/>
              </w:rPr>
              <w:t xml:space="preserve"> </w:t>
            </w:r>
            <w:r w:rsidR="000144FF" w:rsidRPr="00F70B16">
              <w:rPr>
                <w:rFonts w:cs="Calibri"/>
                <w:color w:val="7030A0"/>
                <w:sz w:val="14"/>
              </w:rPr>
              <w:t xml:space="preserve"> </w:t>
            </w:r>
          </w:p>
        </w:tc>
        <w:tc>
          <w:tcPr>
            <w:tcW w:w="5244" w:type="dxa"/>
            <w:tcBorders>
              <w:top w:val="nil"/>
              <w:left w:val="single" w:sz="2" w:space="0" w:color="auto"/>
              <w:bottom w:val="nil"/>
              <w:right w:val="nil"/>
            </w:tcBorders>
            <w:vAlign w:val="bottom"/>
          </w:tcPr>
          <w:p w14:paraId="7A811229" w14:textId="77777777" w:rsidR="000144FF" w:rsidRPr="00F70B16" w:rsidRDefault="000144FF">
            <w:pPr>
              <w:pStyle w:val="TableText"/>
              <w:tabs>
                <w:tab w:val="left" w:pos="3306"/>
              </w:tabs>
              <w:rPr>
                <w:rFonts w:cs="Calibri"/>
              </w:rPr>
            </w:pPr>
            <w:r w:rsidRPr="00F70B16">
              <w:rPr>
                <w:rFonts w:cs="Calibri"/>
              </w:rPr>
              <w:t>Other</w:t>
            </w:r>
          </w:p>
        </w:tc>
        <w:tc>
          <w:tcPr>
            <w:tcW w:w="709" w:type="dxa"/>
            <w:tcBorders>
              <w:top w:val="nil"/>
              <w:left w:val="nil"/>
              <w:bottom w:val="nil"/>
              <w:right w:val="nil"/>
            </w:tcBorders>
            <w:vAlign w:val="bottom"/>
          </w:tcPr>
          <w:p w14:paraId="44A29D1D" w14:textId="77777777" w:rsidR="000144FF" w:rsidRPr="00F70B16" w:rsidRDefault="000144FF">
            <w:pPr>
              <w:pStyle w:val="TableText"/>
              <w:tabs>
                <w:tab w:val="left" w:pos="3306"/>
              </w:tabs>
              <w:jc w:val="center"/>
              <w:rPr>
                <w:rFonts w:cs="Calibri"/>
              </w:rPr>
            </w:pPr>
          </w:p>
        </w:tc>
        <w:tc>
          <w:tcPr>
            <w:tcW w:w="992" w:type="dxa"/>
            <w:tcBorders>
              <w:top w:val="nil"/>
              <w:left w:val="nil"/>
              <w:bottom w:val="single" w:sz="2" w:space="0" w:color="auto"/>
              <w:right w:val="nil"/>
            </w:tcBorders>
            <w:vAlign w:val="bottom"/>
          </w:tcPr>
          <w:p w14:paraId="2D7242DE" w14:textId="77777777" w:rsidR="000144FF" w:rsidRPr="00F70B16" w:rsidRDefault="000144FF">
            <w:pPr>
              <w:pStyle w:val="TableText"/>
              <w:tabs>
                <w:tab w:val="left" w:pos="3306"/>
              </w:tabs>
              <w:jc w:val="right"/>
              <w:rPr>
                <w:rFonts w:cs="Calibri"/>
              </w:rPr>
            </w:pPr>
          </w:p>
        </w:tc>
        <w:tc>
          <w:tcPr>
            <w:tcW w:w="993" w:type="dxa"/>
            <w:tcBorders>
              <w:top w:val="nil"/>
              <w:left w:val="nil"/>
              <w:bottom w:val="single" w:sz="2" w:space="0" w:color="auto"/>
              <w:right w:val="nil"/>
            </w:tcBorders>
            <w:vAlign w:val="bottom"/>
          </w:tcPr>
          <w:p w14:paraId="137C169E" w14:textId="77777777" w:rsidR="000144FF" w:rsidRPr="00F70B16" w:rsidRDefault="000144FF">
            <w:pPr>
              <w:pStyle w:val="TableText"/>
              <w:tabs>
                <w:tab w:val="left" w:pos="3306"/>
              </w:tabs>
              <w:jc w:val="right"/>
              <w:rPr>
                <w:rFonts w:cs="Calibri"/>
              </w:rPr>
            </w:pPr>
          </w:p>
        </w:tc>
        <w:tc>
          <w:tcPr>
            <w:tcW w:w="992" w:type="dxa"/>
            <w:tcBorders>
              <w:top w:val="nil"/>
              <w:left w:val="nil"/>
              <w:bottom w:val="single" w:sz="2" w:space="0" w:color="auto"/>
              <w:right w:val="nil"/>
            </w:tcBorders>
            <w:vAlign w:val="bottom"/>
          </w:tcPr>
          <w:p w14:paraId="1A7C6851" w14:textId="77777777" w:rsidR="000144FF" w:rsidRPr="00F70B16" w:rsidRDefault="000144FF">
            <w:pPr>
              <w:pStyle w:val="TableText"/>
              <w:tabs>
                <w:tab w:val="left" w:pos="3306"/>
              </w:tabs>
              <w:jc w:val="right"/>
              <w:rPr>
                <w:rFonts w:cs="Calibri"/>
              </w:rPr>
            </w:pPr>
          </w:p>
        </w:tc>
      </w:tr>
      <w:tr w:rsidR="000144FF" w:rsidRPr="00CF7E1B" w14:paraId="1FE889D4" w14:textId="77777777" w:rsidTr="004D1EC6">
        <w:tc>
          <w:tcPr>
            <w:tcW w:w="1563" w:type="dxa"/>
            <w:tcBorders>
              <w:top w:val="nil"/>
              <w:left w:val="single" w:sz="2" w:space="0" w:color="auto"/>
              <w:bottom w:val="nil"/>
              <w:right w:val="single" w:sz="2" w:space="0" w:color="auto"/>
            </w:tcBorders>
          </w:tcPr>
          <w:p w14:paraId="634E88F8"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6E98F86" w14:textId="77777777" w:rsidR="000144FF" w:rsidRPr="00F70B16" w:rsidRDefault="000144FF">
            <w:pPr>
              <w:pStyle w:val="TableText"/>
              <w:tabs>
                <w:tab w:val="left" w:pos="3306"/>
              </w:tabs>
              <w:rPr>
                <w:rFonts w:cs="Calibri"/>
                <w:b/>
                <w:bCs/>
              </w:rPr>
            </w:pPr>
            <w:r w:rsidRPr="00F70B16">
              <w:rPr>
                <w:rFonts w:cs="Calibri"/>
                <w:b/>
                <w:bCs/>
              </w:rPr>
              <w:t xml:space="preserve">Total Payments </w:t>
            </w:r>
            <w:r w:rsidR="0088484B" w:rsidRPr="00F70B16">
              <w:rPr>
                <w:rFonts w:cs="Calibri"/>
                <w:b/>
                <w:bCs/>
              </w:rPr>
              <w:t xml:space="preserve">from </w:t>
            </w:r>
            <w:r w:rsidRPr="00F70B16">
              <w:rPr>
                <w:rFonts w:cs="Calibri"/>
                <w:b/>
                <w:bCs/>
              </w:rPr>
              <w:t>Operating Activities</w:t>
            </w:r>
          </w:p>
        </w:tc>
        <w:tc>
          <w:tcPr>
            <w:tcW w:w="709" w:type="dxa"/>
            <w:tcBorders>
              <w:top w:val="nil"/>
              <w:left w:val="nil"/>
              <w:bottom w:val="nil"/>
              <w:right w:val="nil"/>
            </w:tcBorders>
            <w:vAlign w:val="bottom"/>
          </w:tcPr>
          <w:p w14:paraId="5933E411" w14:textId="77777777" w:rsidR="000144FF" w:rsidRPr="00F70B16" w:rsidRDefault="000144FF">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36C13898" w14:textId="77777777" w:rsidR="000144FF" w:rsidRPr="00F70B16" w:rsidRDefault="000144FF">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2DA4DF95" w14:textId="77777777" w:rsidR="000144FF" w:rsidRPr="00F70B16" w:rsidRDefault="000144FF">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29223218" w14:textId="77777777" w:rsidR="000144FF" w:rsidRPr="00F70B16" w:rsidRDefault="000144FF">
            <w:pPr>
              <w:pStyle w:val="TableText"/>
              <w:tabs>
                <w:tab w:val="left" w:pos="3306"/>
              </w:tabs>
              <w:jc w:val="right"/>
              <w:rPr>
                <w:rFonts w:cs="Calibri"/>
                <w:b/>
                <w:bCs/>
              </w:rPr>
            </w:pPr>
          </w:p>
        </w:tc>
      </w:tr>
      <w:tr w:rsidR="000144FF" w:rsidRPr="00CF7E1B" w14:paraId="2154B298" w14:textId="77777777" w:rsidTr="004D1EC6">
        <w:tc>
          <w:tcPr>
            <w:tcW w:w="1563" w:type="dxa"/>
            <w:tcBorders>
              <w:top w:val="nil"/>
              <w:left w:val="single" w:sz="2" w:space="0" w:color="auto"/>
              <w:bottom w:val="nil"/>
              <w:right w:val="single" w:sz="2" w:space="0" w:color="auto"/>
            </w:tcBorders>
          </w:tcPr>
          <w:p w14:paraId="376C78E7" w14:textId="77777777" w:rsidR="000144FF" w:rsidRPr="00F70B16" w:rsidRDefault="000144FF">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5766FFA5" w14:textId="77777777" w:rsidR="000144FF" w:rsidRPr="00F70B16" w:rsidRDefault="000144FF">
            <w:pPr>
              <w:pStyle w:val="TableText"/>
              <w:tabs>
                <w:tab w:val="left" w:pos="3306"/>
              </w:tabs>
              <w:rPr>
                <w:rFonts w:cs="Calibri"/>
                <w:b/>
                <w:bCs/>
              </w:rPr>
            </w:pPr>
            <w:bookmarkStart w:id="187" w:name="_Toc48468230"/>
            <w:bookmarkStart w:id="188" w:name="_Toc49155421"/>
            <w:bookmarkStart w:id="189" w:name="_Toc49223870"/>
            <w:r w:rsidRPr="00F70B16">
              <w:rPr>
                <w:rFonts w:cs="Calibri"/>
                <w:b/>
                <w:bCs/>
              </w:rPr>
              <w:t>Net Cash Inflows</w:t>
            </w:r>
            <w:r w:rsidR="00FD1B64" w:rsidRPr="00F70B16">
              <w:rPr>
                <w:rFonts w:cs="Calibri"/>
                <w:b/>
                <w:bCs/>
              </w:rPr>
              <w:t xml:space="preserve">/(Outflows) </w:t>
            </w:r>
            <w:r w:rsidRPr="00F70B16">
              <w:rPr>
                <w:rFonts w:cs="Calibri"/>
                <w:b/>
                <w:bCs/>
              </w:rPr>
              <w:t>from Operating Activities</w:t>
            </w:r>
            <w:bookmarkEnd w:id="187"/>
            <w:bookmarkEnd w:id="188"/>
            <w:bookmarkEnd w:id="189"/>
          </w:p>
        </w:tc>
        <w:tc>
          <w:tcPr>
            <w:tcW w:w="709" w:type="dxa"/>
            <w:tcBorders>
              <w:top w:val="nil"/>
              <w:left w:val="nil"/>
              <w:bottom w:val="nil"/>
              <w:right w:val="nil"/>
            </w:tcBorders>
            <w:vAlign w:val="bottom"/>
          </w:tcPr>
          <w:p w14:paraId="256A52F5" w14:textId="584D0478" w:rsidR="000144FF" w:rsidRPr="00F70B16" w:rsidRDefault="009F31C7" w:rsidP="00F923AC">
            <w:pPr>
              <w:pStyle w:val="TableText"/>
              <w:tabs>
                <w:tab w:val="left" w:pos="3306"/>
              </w:tabs>
              <w:jc w:val="center"/>
              <w:rPr>
                <w:rFonts w:cs="Calibri"/>
              </w:rPr>
            </w:pPr>
            <w:r>
              <w:rPr>
                <w:rFonts w:cs="Calibri"/>
              </w:rPr>
              <w:t>15</w:t>
            </w:r>
          </w:p>
        </w:tc>
        <w:tc>
          <w:tcPr>
            <w:tcW w:w="992" w:type="dxa"/>
            <w:tcBorders>
              <w:top w:val="single" w:sz="2" w:space="0" w:color="auto"/>
              <w:left w:val="nil"/>
              <w:bottom w:val="single" w:sz="2" w:space="0" w:color="auto"/>
              <w:right w:val="nil"/>
            </w:tcBorders>
            <w:vAlign w:val="bottom"/>
          </w:tcPr>
          <w:p w14:paraId="7AFD37B3" w14:textId="77777777" w:rsidR="000144FF" w:rsidRPr="00F70B16" w:rsidRDefault="000144FF">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5F4EBECB" w14:textId="77777777" w:rsidR="000144FF" w:rsidRPr="00F70B16" w:rsidRDefault="000144FF">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6AFA59D2" w14:textId="77777777" w:rsidR="000144FF" w:rsidRPr="00F70B16" w:rsidRDefault="000144FF">
            <w:pPr>
              <w:pStyle w:val="TableText"/>
              <w:tabs>
                <w:tab w:val="left" w:pos="3306"/>
              </w:tabs>
              <w:jc w:val="right"/>
              <w:rPr>
                <w:rFonts w:cs="Calibri"/>
                <w:b/>
                <w:bCs/>
              </w:rPr>
            </w:pPr>
          </w:p>
        </w:tc>
      </w:tr>
      <w:tr w:rsidR="005B695A" w:rsidRPr="00AA468F" w14:paraId="2F00F831" w14:textId="77777777" w:rsidTr="004D1EC6">
        <w:trPr>
          <w:trHeight w:val="63"/>
        </w:trPr>
        <w:tc>
          <w:tcPr>
            <w:tcW w:w="1563" w:type="dxa"/>
            <w:tcBorders>
              <w:top w:val="nil"/>
              <w:left w:val="single" w:sz="2" w:space="0" w:color="auto"/>
              <w:bottom w:val="nil"/>
              <w:right w:val="single" w:sz="2" w:space="0" w:color="auto"/>
            </w:tcBorders>
          </w:tcPr>
          <w:p w14:paraId="3CDB9FC3" w14:textId="77777777" w:rsidR="005B695A" w:rsidRPr="00F70B16" w:rsidRDefault="005B695A" w:rsidP="005B695A">
            <w:pPr>
              <w:pStyle w:val="TableReference"/>
              <w:tabs>
                <w:tab w:val="left" w:pos="3306"/>
              </w:tabs>
              <w:rPr>
                <w:rFonts w:cs="Calibri"/>
                <w:color w:val="7030A0"/>
                <w:sz w:val="4"/>
                <w:szCs w:val="4"/>
              </w:rPr>
            </w:pPr>
          </w:p>
        </w:tc>
        <w:tc>
          <w:tcPr>
            <w:tcW w:w="5244" w:type="dxa"/>
            <w:tcBorders>
              <w:top w:val="nil"/>
              <w:left w:val="single" w:sz="2" w:space="0" w:color="auto"/>
              <w:bottom w:val="nil"/>
              <w:right w:val="nil"/>
            </w:tcBorders>
            <w:vAlign w:val="bottom"/>
          </w:tcPr>
          <w:p w14:paraId="508CCB30" w14:textId="77777777" w:rsidR="005B695A" w:rsidRPr="00F70B16" w:rsidRDefault="005B695A" w:rsidP="005B695A">
            <w:pPr>
              <w:pStyle w:val="TableText"/>
              <w:tabs>
                <w:tab w:val="left" w:pos="3306"/>
              </w:tabs>
              <w:spacing w:before="0"/>
              <w:rPr>
                <w:rFonts w:cs="Calibri"/>
                <w:b/>
                <w:bCs/>
                <w:sz w:val="4"/>
                <w:szCs w:val="4"/>
              </w:rPr>
            </w:pPr>
          </w:p>
        </w:tc>
        <w:tc>
          <w:tcPr>
            <w:tcW w:w="709" w:type="dxa"/>
            <w:tcBorders>
              <w:top w:val="nil"/>
              <w:left w:val="nil"/>
              <w:bottom w:val="nil"/>
              <w:right w:val="nil"/>
            </w:tcBorders>
            <w:vAlign w:val="bottom"/>
          </w:tcPr>
          <w:p w14:paraId="445BD7FD" w14:textId="77777777" w:rsidR="005B695A" w:rsidRPr="00F70B16" w:rsidRDefault="005B695A" w:rsidP="005B695A">
            <w:pPr>
              <w:pStyle w:val="TableText"/>
              <w:tabs>
                <w:tab w:val="left" w:pos="3306"/>
              </w:tabs>
              <w:spacing w:before="0"/>
              <w:jc w:val="center"/>
              <w:rPr>
                <w:rFonts w:cs="Calibri"/>
                <w:sz w:val="4"/>
                <w:szCs w:val="4"/>
              </w:rPr>
            </w:pPr>
          </w:p>
        </w:tc>
        <w:tc>
          <w:tcPr>
            <w:tcW w:w="992" w:type="dxa"/>
            <w:tcBorders>
              <w:top w:val="single" w:sz="2" w:space="0" w:color="auto"/>
              <w:left w:val="nil"/>
              <w:bottom w:val="nil"/>
              <w:right w:val="nil"/>
            </w:tcBorders>
            <w:vAlign w:val="bottom"/>
          </w:tcPr>
          <w:p w14:paraId="1279DFCD" w14:textId="77777777" w:rsidR="005B695A" w:rsidRPr="00F70B16" w:rsidRDefault="005B695A" w:rsidP="005B695A">
            <w:pPr>
              <w:pStyle w:val="TableText"/>
              <w:tabs>
                <w:tab w:val="left" w:pos="3306"/>
              </w:tabs>
              <w:spacing w:before="0"/>
              <w:jc w:val="right"/>
              <w:rPr>
                <w:rFonts w:cs="Calibri"/>
                <w:b/>
                <w:bCs/>
                <w:sz w:val="4"/>
                <w:szCs w:val="4"/>
              </w:rPr>
            </w:pPr>
          </w:p>
        </w:tc>
        <w:tc>
          <w:tcPr>
            <w:tcW w:w="993" w:type="dxa"/>
            <w:tcBorders>
              <w:top w:val="single" w:sz="2" w:space="0" w:color="auto"/>
              <w:left w:val="nil"/>
              <w:bottom w:val="nil"/>
              <w:right w:val="nil"/>
            </w:tcBorders>
            <w:vAlign w:val="bottom"/>
          </w:tcPr>
          <w:p w14:paraId="688B7B9C" w14:textId="77777777" w:rsidR="005B695A" w:rsidRPr="00F70B16" w:rsidRDefault="005B695A" w:rsidP="005B695A">
            <w:pPr>
              <w:pStyle w:val="TableText"/>
              <w:tabs>
                <w:tab w:val="left" w:pos="3306"/>
              </w:tabs>
              <w:spacing w:before="0"/>
              <w:jc w:val="right"/>
              <w:rPr>
                <w:rFonts w:cs="Calibri"/>
                <w:b/>
                <w:bCs/>
                <w:sz w:val="4"/>
                <w:szCs w:val="4"/>
              </w:rPr>
            </w:pPr>
          </w:p>
        </w:tc>
        <w:tc>
          <w:tcPr>
            <w:tcW w:w="992" w:type="dxa"/>
            <w:tcBorders>
              <w:top w:val="single" w:sz="2" w:space="0" w:color="auto"/>
              <w:left w:val="nil"/>
              <w:bottom w:val="nil"/>
              <w:right w:val="nil"/>
            </w:tcBorders>
            <w:vAlign w:val="bottom"/>
          </w:tcPr>
          <w:p w14:paraId="4A11FC18" w14:textId="77777777" w:rsidR="005B695A" w:rsidRPr="00F70B16" w:rsidRDefault="005B695A" w:rsidP="005B695A">
            <w:pPr>
              <w:pStyle w:val="TableText"/>
              <w:tabs>
                <w:tab w:val="left" w:pos="3306"/>
              </w:tabs>
              <w:spacing w:before="0"/>
              <w:jc w:val="right"/>
              <w:rPr>
                <w:rFonts w:cs="Calibri"/>
                <w:b/>
                <w:bCs/>
                <w:sz w:val="4"/>
                <w:szCs w:val="4"/>
              </w:rPr>
            </w:pPr>
          </w:p>
        </w:tc>
      </w:tr>
      <w:tr w:rsidR="000144FF" w:rsidRPr="00CF7E1B" w14:paraId="6B536B58" w14:textId="77777777" w:rsidTr="004D1EC6">
        <w:tc>
          <w:tcPr>
            <w:tcW w:w="1563" w:type="dxa"/>
            <w:tcBorders>
              <w:top w:val="nil"/>
              <w:left w:val="single" w:sz="2" w:space="0" w:color="auto"/>
              <w:bottom w:val="nil"/>
              <w:right w:val="single" w:sz="2" w:space="0" w:color="auto"/>
            </w:tcBorders>
          </w:tcPr>
          <w:p w14:paraId="49543ADF" w14:textId="77777777" w:rsidR="000144FF" w:rsidRPr="00F70B16" w:rsidRDefault="000144FF" w:rsidP="00AA468F">
            <w:pPr>
              <w:pStyle w:val="TableReference"/>
              <w:tabs>
                <w:tab w:val="left" w:pos="3306"/>
              </w:tabs>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10</w:t>
            </w:r>
          </w:p>
        </w:tc>
        <w:tc>
          <w:tcPr>
            <w:tcW w:w="5244" w:type="dxa"/>
            <w:tcBorders>
              <w:top w:val="nil"/>
              <w:left w:val="single" w:sz="2" w:space="0" w:color="auto"/>
              <w:bottom w:val="nil"/>
              <w:right w:val="nil"/>
            </w:tcBorders>
            <w:vAlign w:val="bottom"/>
          </w:tcPr>
          <w:p w14:paraId="3F636C0E" w14:textId="77777777" w:rsidR="000144FF" w:rsidRPr="00F70B16" w:rsidRDefault="000144FF" w:rsidP="00AA468F">
            <w:pPr>
              <w:pStyle w:val="TableText"/>
              <w:tabs>
                <w:tab w:val="left" w:pos="3306"/>
              </w:tabs>
              <w:spacing w:before="0"/>
              <w:rPr>
                <w:rFonts w:cs="Calibri"/>
                <w:b/>
                <w:bCs/>
              </w:rPr>
            </w:pPr>
            <w:r w:rsidRPr="00F70B16">
              <w:rPr>
                <w:rFonts w:cs="Calibri"/>
                <w:b/>
                <w:bCs/>
              </w:rPr>
              <w:t>Cash Flows from Investing Activities</w:t>
            </w:r>
          </w:p>
        </w:tc>
        <w:tc>
          <w:tcPr>
            <w:tcW w:w="709" w:type="dxa"/>
            <w:tcBorders>
              <w:top w:val="nil"/>
              <w:left w:val="nil"/>
              <w:bottom w:val="nil"/>
              <w:right w:val="nil"/>
            </w:tcBorders>
            <w:vAlign w:val="bottom"/>
          </w:tcPr>
          <w:p w14:paraId="64353644" w14:textId="77777777" w:rsidR="000144FF" w:rsidRPr="00F70B16" w:rsidRDefault="000144FF" w:rsidP="00AA468F">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686FBF18" w14:textId="77777777" w:rsidR="000144FF" w:rsidRPr="00F70B16" w:rsidRDefault="000144FF" w:rsidP="00AA468F">
            <w:pPr>
              <w:pStyle w:val="TableText"/>
              <w:tabs>
                <w:tab w:val="left" w:pos="3306"/>
              </w:tabs>
              <w:spacing w:before="0"/>
              <w:jc w:val="right"/>
              <w:rPr>
                <w:rFonts w:cs="Calibri"/>
                <w:b/>
                <w:bCs/>
              </w:rPr>
            </w:pPr>
          </w:p>
        </w:tc>
        <w:tc>
          <w:tcPr>
            <w:tcW w:w="993" w:type="dxa"/>
            <w:tcBorders>
              <w:top w:val="nil"/>
              <w:left w:val="nil"/>
              <w:bottom w:val="nil"/>
              <w:right w:val="nil"/>
            </w:tcBorders>
            <w:vAlign w:val="bottom"/>
          </w:tcPr>
          <w:p w14:paraId="2202E73E" w14:textId="77777777" w:rsidR="000144FF" w:rsidRPr="00F70B16" w:rsidRDefault="000144FF" w:rsidP="00AA468F">
            <w:pPr>
              <w:pStyle w:val="TableText"/>
              <w:tabs>
                <w:tab w:val="left" w:pos="3306"/>
              </w:tabs>
              <w:spacing w:before="0"/>
              <w:jc w:val="right"/>
              <w:rPr>
                <w:rFonts w:cs="Calibri"/>
                <w:b/>
                <w:bCs/>
              </w:rPr>
            </w:pPr>
          </w:p>
        </w:tc>
        <w:tc>
          <w:tcPr>
            <w:tcW w:w="992" w:type="dxa"/>
            <w:tcBorders>
              <w:top w:val="nil"/>
              <w:left w:val="nil"/>
              <w:bottom w:val="nil"/>
              <w:right w:val="nil"/>
            </w:tcBorders>
            <w:vAlign w:val="bottom"/>
          </w:tcPr>
          <w:p w14:paraId="646E0219" w14:textId="77777777" w:rsidR="000144FF" w:rsidRPr="00F70B16" w:rsidRDefault="000144FF" w:rsidP="00AA468F">
            <w:pPr>
              <w:pStyle w:val="TableText"/>
              <w:tabs>
                <w:tab w:val="left" w:pos="3306"/>
              </w:tabs>
              <w:spacing w:before="0"/>
              <w:jc w:val="right"/>
              <w:rPr>
                <w:rFonts w:cs="Calibri"/>
                <w:b/>
                <w:bCs/>
              </w:rPr>
            </w:pPr>
          </w:p>
        </w:tc>
      </w:tr>
      <w:tr w:rsidR="000144FF" w:rsidRPr="00CF7E1B" w14:paraId="3CF3DB11" w14:textId="77777777" w:rsidTr="004D1EC6">
        <w:tc>
          <w:tcPr>
            <w:tcW w:w="1563" w:type="dxa"/>
            <w:tcBorders>
              <w:top w:val="nil"/>
              <w:left w:val="single" w:sz="2" w:space="0" w:color="auto"/>
              <w:bottom w:val="nil"/>
              <w:right w:val="single" w:sz="2" w:space="0" w:color="auto"/>
            </w:tcBorders>
          </w:tcPr>
          <w:p w14:paraId="7A4A0F3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0637BC88" w14:textId="77777777" w:rsidR="000144FF" w:rsidRPr="00F70B16" w:rsidRDefault="000144FF">
            <w:pPr>
              <w:pStyle w:val="TableText"/>
              <w:tabs>
                <w:tab w:val="left" w:pos="3306"/>
              </w:tabs>
              <w:rPr>
                <w:rFonts w:cs="Calibri"/>
                <w:b/>
                <w:bCs/>
              </w:rPr>
            </w:pPr>
            <w:bookmarkStart w:id="190" w:name="_Toc48468231"/>
            <w:bookmarkStart w:id="191" w:name="_Toc49155422"/>
            <w:bookmarkStart w:id="192" w:name="_Toc49223871"/>
            <w:r w:rsidRPr="00F70B16">
              <w:rPr>
                <w:rFonts w:cs="Calibri"/>
                <w:b/>
                <w:bCs/>
              </w:rPr>
              <w:t>Receipts</w:t>
            </w:r>
            <w:bookmarkEnd w:id="190"/>
            <w:bookmarkEnd w:id="191"/>
            <w:bookmarkEnd w:id="192"/>
          </w:p>
        </w:tc>
        <w:tc>
          <w:tcPr>
            <w:tcW w:w="709" w:type="dxa"/>
            <w:tcBorders>
              <w:top w:val="nil"/>
              <w:left w:val="nil"/>
              <w:bottom w:val="nil"/>
              <w:right w:val="nil"/>
            </w:tcBorders>
            <w:vAlign w:val="bottom"/>
          </w:tcPr>
          <w:p w14:paraId="23485C63"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A0D1789" w14:textId="77777777" w:rsidR="000144FF" w:rsidRPr="00F70B16" w:rsidRDefault="000144FF">
            <w:pPr>
              <w:pStyle w:val="TableText"/>
              <w:tabs>
                <w:tab w:val="left" w:pos="3306"/>
              </w:tabs>
              <w:jc w:val="right"/>
              <w:rPr>
                <w:rFonts w:cs="Calibri"/>
                <w:b/>
                <w:bCs/>
              </w:rPr>
            </w:pPr>
          </w:p>
        </w:tc>
        <w:tc>
          <w:tcPr>
            <w:tcW w:w="993" w:type="dxa"/>
            <w:tcBorders>
              <w:top w:val="nil"/>
              <w:left w:val="nil"/>
              <w:bottom w:val="nil"/>
              <w:right w:val="nil"/>
            </w:tcBorders>
            <w:vAlign w:val="bottom"/>
          </w:tcPr>
          <w:p w14:paraId="534CA6E1"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3EAAE3D9" w14:textId="77777777" w:rsidR="000144FF" w:rsidRPr="00F70B16" w:rsidRDefault="000144FF">
            <w:pPr>
              <w:pStyle w:val="TableText"/>
              <w:tabs>
                <w:tab w:val="left" w:pos="3306"/>
              </w:tabs>
              <w:jc w:val="right"/>
              <w:rPr>
                <w:rFonts w:cs="Calibri"/>
                <w:b/>
                <w:bCs/>
              </w:rPr>
            </w:pPr>
          </w:p>
        </w:tc>
      </w:tr>
      <w:tr w:rsidR="000144FF" w:rsidRPr="00CF7E1B" w14:paraId="3D22C091" w14:textId="77777777" w:rsidTr="004D1EC6">
        <w:tc>
          <w:tcPr>
            <w:tcW w:w="1563" w:type="dxa"/>
            <w:tcBorders>
              <w:top w:val="nil"/>
              <w:left w:val="single" w:sz="2" w:space="0" w:color="auto"/>
              <w:bottom w:val="nil"/>
              <w:right w:val="single" w:sz="2" w:space="0" w:color="auto"/>
            </w:tcBorders>
          </w:tcPr>
          <w:p w14:paraId="7227EFD8"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0129150D" w14:textId="77777777" w:rsidR="000144FF" w:rsidRPr="00F70B16" w:rsidRDefault="000144FF">
            <w:pPr>
              <w:pStyle w:val="TableText"/>
              <w:tabs>
                <w:tab w:val="left" w:pos="3306"/>
              </w:tabs>
              <w:rPr>
                <w:rFonts w:cs="Calibri"/>
                <w:b/>
                <w:bCs/>
              </w:rPr>
            </w:pPr>
            <w:r w:rsidRPr="00F70B16">
              <w:rPr>
                <w:rFonts w:cs="Calibri"/>
              </w:rPr>
              <w:t xml:space="preserve">Proceeds from </w:t>
            </w:r>
            <w:smartTag w:uri="urn:schemas-microsoft-com:office:smarttags" w:element="place">
              <w:smartTag w:uri="urn:schemas-microsoft-com:office:smarttags" w:element="City">
                <w:r w:rsidRPr="00F70B16">
                  <w:rPr>
                    <w:rFonts w:cs="Calibri"/>
                  </w:rPr>
                  <w:t>Sale</w:t>
                </w:r>
              </w:smartTag>
            </w:smartTag>
            <w:r w:rsidRPr="00F70B16">
              <w:rPr>
                <w:rFonts w:cs="Calibri"/>
              </w:rPr>
              <w:t xml:space="preserve"> of Property, Plant and Equipment</w:t>
            </w:r>
          </w:p>
        </w:tc>
        <w:tc>
          <w:tcPr>
            <w:tcW w:w="709" w:type="dxa"/>
            <w:tcBorders>
              <w:top w:val="nil"/>
              <w:left w:val="nil"/>
              <w:bottom w:val="nil"/>
              <w:right w:val="nil"/>
            </w:tcBorders>
            <w:vAlign w:val="bottom"/>
          </w:tcPr>
          <w:p w14:paraId="201956A3"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71D6690" w14:textId="77777777" w:rsidR="000144FF" w:rsidRPr="00F70B16" w:rsidRDefault="000144FF" w:rsidP="00327366">
            <w:pPr>
              <w:pStyle w:val="TableText"/>
              <w:tabs>
                <w:tab w:val="left" w:pos="3306"/>
              </w:tabs>
              <w:ind w:right="-172"/>
              <w:jc w:val="right"/>
              <w:rPr>
                <w:rFonts w:cs="Calibri"/>
              </w:rPr>
            </w:pPr>
          </w:p>
        </w:tc>
        <w:tc>
          <w:tcPr>
            <w:tcW w:w="993" w:type="dxa"/>
            <w:tcBorders>
              <w:top w:val="nil"/>
              <w:left w:val="nil"/>
              <w:bottom w:val="nil"/>
              <w:right w:val="nil"/>
            </w:tcBorders>
            <w:vAlign w:val="bottom"/>
          </w:tcPr>
          <w:p w14:paraId="0DF45BE6"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72763D83" w14:textId="77777777" w:rsidR="000144FF" w:rsidRPr="00F70B16" w:rsidRDefault="000144FF">
            <w:pPr>
              <w:pStyle w:val="TableText"/>
              <w:tabs>
                <w:tab w:val="left" w:pos="3306"/>
              </w:tabs>
              <w:jc w:val="right"/>
              <w:rPr>
                <w:rFonts w:cs="Calibri"/>
              </w:rPr>
            </w:pPr>
          </w:p>
        </w:tc>
      </w:tr>
      <w:tr w:rsidR="000144FF" w:rsidRPr="00CF7E1B" w14:paraId="7C614DC5" w14:textId="77777777" w:rsidTr="004D1EC6">
        <w:tc>
          <w:tcPr>
            <w:tcW w:w="1563" w:type="dxa"/>
            <w:tcBorders>
              <w:top w:val="nil"/>
              <w:left w:val="single" w:sz="2" w:space="0" w:color="auto"/>
              <w:bottom w:val="nil"/>
              <w:right w:val="single" w:sz="2" w:space="0" w:color="auto"/>
            </w:tcBorders>
          </w:tcPr>
          <w:p w14:paraId="7942412E" w14:textId="77777777" w:rsidR="000144FF" w:rsidRPr="00F70B16" w:rsidRDefault="000144FF">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7DCB7EFD" w14:textId="77777777" w:rsidR="000144FF" w:rsidRPr="00F70B16" w:rsidRDefault="000144FF" w:rsidP="00616F81">
            <w:pPr>
              <w:pStyle w:val="TableText"/>
              <w:tabs>
                <w:tab w:val="left" w:pos="3306"/>
              </w:tabs>
              <w:rPr>
                <w:rFonts w:cs="Calibri"/>
              </w:rPr>
            </w:pPr>
            <w:r w:rsidRPr="00F70B16">
              <w:rPr>
                <w:rFonts w:cs="Calibri"/>
              </w:rPr>
              <w:t xml:space="preserve">Proceeds from </w:t>
            </w:r>
            <w:smartTag w:uri="urn:schemas-microsoft-com:office:smarttags" w:element="place">
              <w:smartTag w:uri="urn:schemas-microsoft-com:office:smarttags" w:element="City">
                <w:r w:rsidRPr="00F70B16">
                  <w:rPr>
                    <w:rFonts w:cs="Calibri"/>
                  </w:rPr>
                  <w:t>Sale</w:t>
                </w:r>
              </w:smartTag>
            </w:smartTag>
            <w:r w:rsidRPr="00F70B16">
              <w:rPr>
                <w:rFonts w:cs="Calibri"/>
              </w:rPr>
              <w:t xml:space="preserve"> of Investment Property</w:t>
            </w:r>
          </w:p>
        </w:tc>
        <w:tc>
          <w:tcPr>
            <w:tcW w:w="709" w:type="dxa"/>
            <w:tcBorders>
              <w:top w:val="nil"/>
              <w:left w:val="nil"/>
              <w:bottom w:val="nil"/>
              <w:right w:val="nil"/>
            </w:tcBorders>
            <w:vAlign w:val="bottom"/>
          </w:tcPr>
          <w:p w14:paraId="02D3A4BA"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0C632DF1"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53E63D22"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42C4363B" w14:textId="77777777" w:rsidR="000144FF" w:rsidRPr="00F70B16" w:rsidRDefault="000144FF">
            <w:pPr>
              <w:pStyle w:val="TableText"/>
              <w:tabs>
                <w:tab w:val="left" w:pos="3306"/>
              </w:tabs>
              <w:jc w:val="right"/>
              <w:rPr>
                <w:rFonts w:cs="Calibri"/>
              </w:rPr>
            </w:pPr>
          </w:p>
        </w:tc>
      </w:tr>
      <w:tr w:rsidR="000144FF" w:rsidRPr="00CF7E1B" w14:paraId="21F54B93" w14:textId="77777777" w:rsidTr="004D1EC6">
        <w:tc>
          <w:tcPr>
            <w:tcW w:w="1563" w:type="dxa"/>
            <w:tcBorders>
              <w:top w:val="nil"/>
              <w:left w:val="single" w:sz="2" w:space="0" w:color="auto"/>
              <w:bottom w:val="nil"/>
              <w:right w:val="single" w:sz="2" w:space="0" w:color="auto"/>
            </w:tcBorders>
          </w:tcPr>
          <w:p w14:paraId="3BF184B0"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b)</w:t>
            </w:r>
          </w:p>
        </w:tc>
        <w:tc>
          <w:tcPr>
            <w:tcW w:w="5244" w:type="dxa"/>
            <w:tcBorders>
              <w:top w:val="nil"/>
              <w:left w:val="single" w:sz="2" w:space="0" w:color="auto"/>
              <w:bottom w:val="nil"/>
              <w:right w:val="nil"/>
            </w:tcBorders>
            <w:vAlign w:val="bottom"/>
          </w:tcPr>
          <w:p w14:paraId="3B7C332C" w14:textId="77777777" w:rsidR="000144FF" w:rsidRPr="00F70B16" w:rsidRDefault="000144FF" w:rsidP="00616F81">
            <w:pPr>
              <w:pStyle w:val="TableText"/>
              <w:tabs>
                <w:tab w:val="left" w:pos="3306"/>
              </w:tabs>
              <w:rPr>
                <w:rFonts w:cs="Calibri"/>
                <w:b/>
                <w:bCs/>
              </w:rPr>
            </w:pPr>
            <w:r w:rsidRPr="00F70B16">
              <w:rPr>
                <w:rFonts w:cs="Calibri"/>
              </w:rPr>
              <w:t>Proceeds from Sale/Maturity of Investments</w:t>
            </w:r>
          </w:p>
        </w:tc>
        <w:tc>
          <w:tcPr>
            <w:tcW w:w="709" w:type="dxa"/>
            <w:tcBorders>
              <w:top w:val="nil"/>
              <w:left w:val="nil"/>
              <w:bottom w:val="nil"/>
              <w:right w:val="nil"/>
            </w:tcBorders>
            <w:vAlign w:val="bottom"/>
          </w:tcPr>
          <w:p w14:paraId="26C3F3A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4667313F"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7FD92715" w14:textId="77777777" w:rsidR="000144FF" w:rsidRPr="00F70B16"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48BD51BB" w14:textId="77777777" w:rsidR="000144FF" w:rsidRPr="00F70B16" w:rsidRDefault="000144FF">
            <w:pPr>
              <w:pStyle w:val="TableText"/>
              <w:tabs>
                <w:tab w:val="left" w:pos="3306"/>
              </w:tabs>
              <w:jc w:val="right"/>
              <w:rPr>
                <w:rFonts w:cs="Calibri"/>
              </w:rPr>
            </w:pPr>
          </w:p>
        </w:tc>
      </w:tr>
      <w:tr w:rsidR="000144FF" w:rsidRPr="00CF7E1B" w14:paraId="2C0C2EC5" w14:textId="77777777" w:rsidTr="004D1EC6">
        <w:tc>
          <w:tcPr>
            <w:tcW w:w="1563" w:type="dxa"/>
            <w:tcBorders>
              <w:top w:val="nil"/>
              <w:left w:val="single" w:sz="2" w:space="0" w:color="auto"/>
              <w:bottom w:val="nil"/>
              <w:right w:val="single" w:sz="2" w:space="0" w:color="auto"/>
            </w:tcBorders>
          </w:tcPr>
          <w:p w14:paraId="5A611BAB" w14:textId="77777777" w:rsidR="000144FF" w:rsidRPr="00F70B16" w:rsidRDefault="000144FF">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d)</w:t>
            </w:r>
          </w:p>
        </w:tc>
        <w:tc>
          <w:tcPr>
            <w:tcW w:w="5244" w:type="dxa"/>
            <w:tcBorders>
              <w:top w:val="nil"/>
              <w:left w:val="single" w:sz="2" w:space="0" w:color="auto"/>
              <w:bottom w:val="nil"/>
              <w:right w:val="nil"/>
            </w:tcBorders>
            <w:vAlign w:val="bottom"/>
          </w:tcPr>
          <w:p w14:paraId="5A6F6415" w14:textId="77777777" w:rsidR="000144FF" w:rsidRPr="00F70B16" w:rsidRDefault="000144FF" w:rsidP="00616F81">
            <w:pPr>
              <w:pStyle w:val="TableText"/>
              <w:tabs>
                <w:tab w:val="left" w:pos="3306"/>
              </w:tabs>
              <w:rPr>
                <w:rFonts w:cs="Calibri"/>
              </w:rPr>
            </w:pPr>
            <w:bookmarkStart w:id="193" w:name="_Toc48468232"/>
            <w:bookmarkStart w:id="194" w:name="_Toc49155423"/>
            <w:bookmarkStart w:id="195" w:name="_Toc49223872"/>
            <w:r w:rsidRPr="00F70B16">
              <w:rPr>
                <w:rFonts w:cs="Calibri"/>
              </w:rPr>
              <w:t xml:space="preserve">Proceeds from </w:t>
            </w:r>
            <w:smartTag w:uri="urn:schemas-microsoft-com:office:smarttags" w:element="place">
              <w:smartTag w:uri="urn:schemas-microsoft-com:office:smarttags" w:element="City">
                <w:r w:rsidRPr="00F70B16">
                  <w:rPr>
                    <w:rFonts w:cs="Calibri"/>
                  </w:rPr>
                  <w:t>Sale</w:t>
                </w:r>
              </w:smartTag>
            </w:smartTag>
            <w:r w:rsidRPr="00F70B16">
              <w:rPr>
                <w:rFonts w:cs="Calibri"/>
              </w:rPr>
              <w:t xml:space="preserve"> of Investment in Joint Venture</w:t>
            </w:r>
            <w:bookmarkEnd w:id="193"/>
            <w:bookmarkEnd w:id="194"/>
            <w:bookmarkEnd w:id="195"/>
          </w:p>
        </w:tc>
        <w:tc>
          <w:tcPr>
            <w:tcW w:w="709" w:type="dxa"/>
            <w:tcBorders>
              <w:top w:val="nil"/>
              <w:left w:val="nil"/>
              <w:bottom w:val="nil"/>
              <w:right w:val="nil"/>
            </w:tcBorders>
            <w:vAlign w:val="bottom"/>
          </w:tcPr>
          <w:p w14:paraId="7E5F6838" w14:textId="77777777" w:rsidR="000144FF" w:rsidRPr="00F70B16" w:rsidRDefault="000144FF">
            <w:pPr>
              <w:pStyle w:val="TableText"/>
              <w:tabs>
                <w:tab w:val="left" w:pos="3306"/>
              </w:tabs>
              <w:jc w:val="center"/>
              <w:rPr>
                <w:rFonts w:cs="Calibri"/>
              </w:rPr>
            </w:pPr>
          </w:p>
        </w:tc>
        <w:tc>
          <w:tcPr>
            <w:tcW w:w="992" w:type="dxa"/>
            <w:tcBorders>
              <w:top w:val="nil"/>
              <w:left w:val="nil"/>
              <w:bottom w:val="nil"/>
              <w:right w:val="nil"/>
            </w:tcBorders>
            <w:vAlign w:val="bottom"/>
          </w:tcPr>
          <w:p w14:paraId="2D2E3072" w14:textId="77777777" w:rsidR="000144FF" w:rsidRPr="00F70B16" w:rsidRDefault="000144FF">
            <w:pPr>
              <w:pStyle w:val="TableText"/>
              <w:tabs>
                <w:tab w:val="left" w:pos="3306"/>
              </w:tabs>
              <w:jc w:val="right"/>
              <w:rPr>
                <w:rFonts w:cs="Calibri"/>
              </w:rPr>
            </w:pPr>
          </w:p>
        </w:tc>
        <w:tc>
          <w:tcPr>
            <w:tcW w:w="993" w:type="dxa"/>
            <w:tcBorders>
              <w:top w:val="nil"/>
              <w:left w:val="nil"/>
              <w:bottom w:val="nil"/>
              <w:right w:val="nil"/>
            </w:tcBorders>
            <w:vAlign w:val="bottom"/>
          </w:tcPr>
          <w:p w14:paraId="600541E1" w14:textId="77777777" w:rsidR="000144FF" w:rsidRPr="00F70B16" w:rsidRDefault="000144FF">
            <w:pPr>
              <w:pStyle w:val="TableText"/>
              <w:tabs>
                <w:tab w:val="left" w:pos="3306"/>
              </w:tabs>
              <w:jc w:val="right"/>
              <w:rPr>
                <w:rFonts w:cs="Calibri"/>
                <w:b/>
                <w:bCs/>
              </w:rPr>
            </w:pPr>
          </w:p>
        </w:tc>
        <w:tc>
          <w:tcPr>
            <w:tcW w:w="992" w:type="dxa"/>
            <w:tcBorders>
              <w:top w:val="nil"/>
              <w:left w:val="nil"/>
              <w:bottom w:val="nil"/>
              <w:right w:val="nil"/>
            </w:tcBorders>
            <w:vAlign w:val="bottom"/>
          </w:tcPr>
          <w:p w14:paraId="44BD44FB" w14:textId="77777777" w:rsidR="000144FF" w:rsidRPr="00F70B16" w:rsidRDefault="000144FF">
            <w:pPr>
              <w:pStyle w:val="TableText"/>
              <w:tabs>
                <w:tab w:val="left" w:pos="3306"/>
              </w:tabs>
              <w:jc w:val="right"/>
              <w:rPr>
                <w:rFonts w:cs="Calibri"/>
              </w:rPr>
            </w:pPr>
          </w:p>
        </w:tc>
      </w:tr>
      <w:tr w:rsidR="000144FF" w:rsidRPr="00CF7E1B" w14:paraId="5A465520" w14:textId="77777777" w:rsidTr="004D1EC6">
        <w:tc>
          <w:tcPr>
            <w:tcW w:w="1563" w:type="dxa"/>
            <w:tcBorders>
              <w:top w:val="nil"/>
              <w:left w:val="single" w:sz="2" w:space="0" w:color="auto"/>
              <w:bottom w:val="nil"/>
              <w:right w:val="single" w:sz="2" w:space="0" w:color="auto"/>
            </w:tcBorders>
          </w:tcPr>
          <w:p w14:paraId="6A6B1062" w14:textId="77777777" w:rsidR="000144FF" w:rsidRPr="00F70B16" w:rsidRDefault="00CF2697">
            <w:pPr>
              <w:pStyle w:val="TableReference"/>
              <w:tabs>
                <w:tab w:val="left" w:pos="3306"/>
              </w:tabs>
              <w:spacing w:before="60"/>
              <w:rPr>
                <w:rFonts w:cs="Calibri"/>
                <w:color w:val="7030A0"/>
                <w:sz w:val="14"/>
              </w:rPr>
            </w:pPr>
            <w:r w:rsidRPr="00F70B16">
              <w:rPr>
                <w:rFonts w:cs="Calibri"/>
                <w:color w:val="7030A0"/>
                <w:sz w:val="14"/>
              </w:rPr>
              <w:t>AASB 107</w:t>
            </w:r>
            <w:r w:rsidR="00D65811" w:rsidRPr="00F70B16">
              <w:rPr>
                <w:rFonts w:cs="Calibri"/>
                <w:color w:val="7030A0"/>
                <w:sz w:val="14"/>
              </w:rPr>
              <w:t>.</w:t>
            </w:r>
            <w:r w:rsidRPr="00F70B16">
              <w:rPr>
                <w:rFonts w:cs="Calibri"/>
                <w:color w:val="7030A0"/>
                <w:sz w:val="14"/>
              </w:rPr>
              <w:t>16</w:t>
            </w:r>
            <w:r w:rsidR="00D001B7" w:rsidRPr="00F70B16">
              <w:rPr>
                <w:rFonts w:cs="Calibri"/>
                <w:color w:val="7030A0"/>
                <w:sz w:val="14"/>
              </w:rPr>
              <w:t>(</w:t>
            </w:r>
            <w:r w:rsidRPr="00F70B16">
              <w:rPr>
                <w:rFonts w:cs="Calibri"/>
                <w:color w:val="7030A0"/>
                <w:sz w:val="14"/>
              </w:rPr>
              <w:t>f)</w:t>
            </w:r>
          </w:p>
        </w:tc>
        <w:tc>
          <w:tcPr>
            <w:tcW w:w="5244" w:type="dxa"/>
            <w:tcBorders>
              <w:top w:val="nil"/>
              <w:left w:val="single" w:sz="2" w:space="0" w:color="auto"/>
              <w:bottom w:val="nil"/>
              <w:right w:val="nil"/>
            </w:tcBorders>
            <w:vAlign w:val="bottom"/>
          </w:tcPr>
          <w:p w14:paraId="2860711F" w14:textId="77777777" w:rsidR="000144FF" w:rsidRPr="00F70B16" w:rsidRDefault="000144FF">
            <w:pPr>
              <w:pStyle w:val="TableText"/>
              <w:tabs>
                <w:tab w:val="left" w:pos="3306"/>
              </w:tabs>
              <w:rPr>
                <w:rFonts w:cs="Calibri"/>
              </w:rPr>
            </w:pPr>
            <w:r w:rsidRPr="00F70B16">
              <w:rPr>
                <w:rFonts w:cs="Calibri"/>
              </w:rPr>
              <w:t>Loan Receivable Repayment Received</w:t>
            </w:r>
          </w:p>
        </w:tc>
        <w:tc>
          <w:tcPr>
            <w:tcW w:w="709" w:type="dxa"/>
            <w:tcBorders>
              <w:top w:val="nil"/>
              <w:left w:val="nil"/>
              <w:bottom w:val="nil"/>
              <w:right w:val="nil"/>
            </w:tcBorders>
            <w:vAlign w:val="bottom"/>
          </w:tcPr>
          <w:p w14:paraId="16E06CDC" w14:textId="77777777" w:rsidR="000144FF" w:rsidRPr="00F70B16" w:rsidRDefault="000144FF">
            <w:pPr>
              <w:pStyle w:val="TableText"/>
              <w:tabs>
                <w:tab w:val="left" w:pos="3306"/>
              </w:tabs>
              <w:jc w:val="center"/>
              <w:rPr>
                <w:rFonts w:cs="Calibri"/>
              </w:rPr>
            </w:pPr>
          </w:p>
        </w:tc>
        <w:tc>
          <w:tcPr>
            <w:tcW w:w="992" w:type="dxa"/>
            <w:tcBorders>
              <w:top w:val="nil"/>
              <w:left w:val="nil"/>
              <w:bottom w:val="single" w:sz="2" w:space="0" w:color="auto"/>
              <w:right w:val="nil"/>
            </w:tcBorders>
            <w:vAlign w:val="bottom"/>
          </w:tcPr>
          <w:p w14:paraId="3ABCE90C" w14:textId="77777777" w:rsidR="000144FF" w:rsidRPr="00F70B16" w:rsidRDefault="000144FF">
            <w:pPr>
              <w:pStyle w:val="TableText"/>
              <w:tabs>
                <w:tab w:val="left" w:pos="3306"/>
              </w:tabs>
              <w:jc w:val="right"/>
              <w:rPr>
                <w:rFonts w:cs="Calibri"/>
              </w:rPr>
            </w:pPr>
          </w:p>
        </w:tc>
        <w:tc>
          <w:tcPr>
            <w:tcW w:w="993" w:type="dxa"/>
            <w:tcBorders>
              <w:top w:val="nil"/>
              <w:left w:val="nil"/>
              <w:bottom w:val="single" w:sz="2" w:space="0" w:color="auto"/>
              <w:right w:val="nil"/>
            </w:tcBorders>
            <w:vAlign w:val="bottom"/>
          </w:tcPr>
          <w:p w14:paraId="7C4542E1" w14:textId="77777777" w:rsidR="000144FF" w:rsidRPr="00F70B16" w:rsidRDefault="000144FF">
            <w:pPr>
              <w:pStyle w:val="TableText"/>
              <w:tabs>
                <w:tab w:val="left" w:pos="3306"/>
              </w:tabs>
              <w:jc w:val="right"/>
              <w:rPr>
                <w:rFonts w:cs="Calibri"/>
              </w:rPr>
            </w:pPr>
          </w:p>
        </w:tc>
        <w:tc>
          <w:tcPr>
            <w:tcW w:w="992" w:type="dxa"/>
            <w:tcBorders>
              <w:top w:val="nil"/>
              <w:left w:val="nil"/>
              <w:bottom w:val="single" w:sz="2" w:space="0" w:color="auto"/>
              <w:right w:val="nil"/>
            </w:tcBorders>
            <w:vAlign w:val="bottom"/>
          </w:tcPr>
          <w:p w14:paraId="0823A38F" w14:textId="77777777" w:rsidR="000144FF" w:rsidRPr="00F70B16" w:rsidRDefault="000144FF">
            <w:pPr>
              <w:pStyle w:val="TableText"/>
              <w:tabs>
                <w:tab w:val="left" w:pos="3306"/>
              </w:tabs>
              <w:jc w:val="right"/>
              <w:rPr>
                <w:rFonts w:cs="Calibri"/>
              </w:rPr>
            </w:pPr>
          </w:p>
        </w:tc>
      </w:tr>
      <w:tr w:rsidR="00616F81" w:rsidRPr="00CF7E1B" w14:paraId="2A16A292" w14:textId="77777777" w:rsidTr="004D1EC6">
        <w:tc>
          <w:tcPr>
            <w:tcW w:w="1563" w:type="dxa"/>
            <w:tcBorders>
              <w:top w:val="nil"/>
              <w:left w:val="single" w:sz="2" w:space="0" w:color="auto"/>
              <w:bottom w:val="nil"/>
              <w:right w:val="single" w:sz="2" w:space="0" w:color="auto"/>
            </w:tcBorders>
          </w:tcPr>
          <w:p w14:paraId="573CA4F5" w14:textId="77777777" w:rsidR="00616F81" w:rsidRPr="00F70B16" w:rsidRDefault="00616F81" w:rsidP="00616F81">
            <w:pPr>
              <w:pStyle w:val="TableReference"/>
              <w:tabs>
                <w:tab w:val="left" w:pos="3306"/>
              </w:tabs>
              <w:spacing w:before="40"/>
              <w:rPr>
                <w:rFonts w:cs="Calibri"/>
                <w:color w:val="7030A0"/>
                <w:sz w:val="14"/>
              </w:rPr>
            </w:pPr>
          </w:p>
        </w:tc>
        <w:tc>
          <w:tcPr>
            <w:tcW w:w="5244" w:type="dxa"/>
            <w:tcBorders>
              <w:top w:val="nil"/>
              <w:left w:val="single" w:sz="2" w:space="0" w:color="auto"/>
              <w:bottom w:val="nil"/>
              <w:right w:val="nil"/>
            </w:tcBorders>
            <w:vAlign w:val="bottom"/>
          </w:tcPr>
          <w:p w14:paraId="4C914044" w14:textId="77777777" w:rsidR="00616F81" w:rsidRPr="00F70B16" w:rsidRDefault="00616F81" w:rsidP="00616F81">
            <w:pPr>
              <w:pStyle w:val="TableText"/>
              <w:tabs>
                <w:tab w:val="left" w:pos="3306"/>
              </w:tabs>
              <w:rPr>
                <w:rFonts w:cs="Calibri"/>
                <w:b/>
                <w:bCs/>
              </w:rPr>
            </w:pPr>
            <w:bookmarkStart w:id="196" w:name="_Toc48468233"/>
            <w:bookmarkStart w:id="197" w:name="_Toc49155424"/>
            <w:bookmarkStart w:id="198" w:name="_Toc49223873"/>
            <w:r w:rsidRPr="00F70B16">
              <w:rPr>
                <w:rFonts w:cs="Calibri"/>
                <w:b/>
                <w:bCs/>
              </w:rPr>
              <w:t>Total Receipts from Investing Activities</w:t>
            </w:r>
            <w:bookmarkEnd w:id="196"/>
            <w:bookmarkEnd w:id="197"/>
            <w:bookmarkEnd w:id="198"/>
          </w:p>
        </w:tc>
        <w:tc>
          <w:tcPr>
            <w:tcW w:w="709" w:type="dxa"/>
            <w:tcBorders>
              <w:top w:val="nil"/>
              <w:left w:val="nil"/>
              <w:bottom w:val="nil"/>
              <w:right w:val="nil"/>
            </w:tcBorders>
            <w:vAlign w:val="bottom"/>
          </w:tcPr>
          <w:p w14:paraId="7B5B54CE" w14:textId="77777777" w:rsidR="00616F81" w:rsidRPr="00F70B16" w:rsidRDefault="00616F81" w:rsidP="00616F81">
            <w:pPr>
              <w:pStyle w:val="TableText"/>
              <w:tabs>
                <w:tab w:val="left" w:pos="3306"/>
              </w:tabs>
              <w:jc w:val="center"/>
              <w:rPr>
                <w:rFonts w:cs="Calibri"/>
              </w:rPr>
            </w:pPr>
          </w:p>
        </w:tc>
        <w:tc>
          <w:tcPr>
            <w:tcW w:w="992" w:type="dxa"/>
            <w:tcBorders>
              <w:top w:val="single" w:sz="2" w:space="0" w:color="auto"/>
              <w:left w:val="nil"/>
              <w:bottom w:val="nil"/>
              <w:right w:val="nil"/>
            </w:tcBorders>
            <w:vAlign w:val="bottom"/>
          </w:tcPr>
          <w:p w14:paraId="79D15672" w14:textId="77777777" w:rsidR="00616F81" w:rsidRPr="00F70B16" w:rsidRDefault="00616F81" w:rsidP="00616F81">
            <w:pPr>
              <w:pStyle w:val="TableText"/>
              <w:tabs>
                <w:tab w:val="left" w:pos="3306"/>
              </w:tabs>
              <w:jc w:val="right"/>
              <w:rPr>
                <w:rFonts w:cs="Calibri"/>
                <w:b/>
                <w:bCs/>
              </w:rPr>
            </w:pPr>
          </w:p>
        </w:tc>
        <w:tc>
          <w:tcPr>
            <w:tcW w:w="993" w:type="dxa"/>
            <w:tcBorders>
              <w:top w:val="single" w:sz="2" w:space="0" w:color="auto"/>
              <w:left w:val="nil"/>
              <w:bottom w:val="nil"/>
              <w:right w:val="nil"/>
            </w:tcBorders>
            <w:vAlign w:val="bottom"/>
          </w:tcPr>
          <w:p w14:paraId="6EEE5E1B" w14:textId="77777777" w:rsidR="00616F81" w:rsidRPr="00F70B16" w:rsidRDefault="00616F81" w:rsidP="00616F81">
            <w:pPr>
              <w:pStyle w:val="TableText"/>
              <w:tabs>
                <w:tab w:val="left" w:pos="3306"/>
              </w:tabs>
              <w:jc w:val="right"/>
              <w:rPr>
                <w:rFonts w:cs="Calibri"/>
                <w:b/>
                <w:bCs/>
              </w:rPr>
            </w:pPr>
          </w:p>
        </w:tc>
        <w:tc>
          <w:tcPr>
            <w:tcW w:w="992" w:type="dxa"/>
            <w:tcBorders>
              <w:top w:val="single" w:sz="2" w:space="0" w:color="auto"/>
              <w:left w:val="nil"/>
              <w:bottom w:val="nil"/>
              <w:right w:val="nil"/>
            </w:tcBorders>
            <w:vAlign w:val="bottom"/>
          </w:tcPr>
          <w:p w14:paraId="499D140A" w14:textId="77777777" w:rsidR="00616F81" w:rsidRPr="00F70B16" w:rsidRDefault="00616F81" w:rsidP="00616F81">
            <w:pPr>
              <w:pStyle w:val="TableText"/>
              <w:tabs>
                <w:tab w:val="left" w:pos="3306"/>
              </w:tabs>
              <w:jc w:val="right"/>
              <w:rPr>
                <w:rFonts w:cs="Calibri"/>
                <w:b/>
                <w:bCs/>
              </w:rPr>
            </w:pPr>
          </w:p>
        </w:tc>
      </w:tr>
      <w:tr w:rsidR="00616F81" w:rsidRPr="00AA468F" w14:paraId="560D5E2D" w14:textId="77777777" w:rsidTr="004D1EC6">
        <w:trPr>
          <w:trHeight w:val="114"/>
        </w:trPr>
        <w:tc>
          <w:tcPr>
            <w:tcW w:w="1563" w:type="dxa"/>
            <w:tcBorders>
              <w:top w:val="nil"/>
              <w:left w:val="single" w:sz="2" w:space="0" w:color="auto"/>
              <w:bottom w:val="nil"/>
              <w:right w:val="single" w:sz="2" w:space="0" w:color="auto"/>
            </w:tcBorders>
          </w:tcPr>
          <w:p w14:paraId="416773D6" w14:textId="77777777" w:rsidR="00616F81" w:rsidRPr="00F70B16" w:rsidRDefault="00616F81" w:rsidP="00616F81">
            <w:pPr>
              <w:pStyle w:val="TableReference"/>
              <w:tabs>
                <w:tab w:val="left" w:pos="3306"/>
              </w:tabs>
              <w:rPr>
                <w:rFonts w:cs="Calibri"/>
                <w:color w:val="7030A0"/>
                <w:sz w:val="4"/>
                <w:szCs w:val="4"/>
              </w:rPr>
            </w:pPr>
          </w:p>
        </w:tc>
        <w:tc>
          <w:tcPr>
            <w:tcW w:w="5244" w:type="dxa"/>
            <w:tcBorders>
              <w:top w:val="nil"/>
              <w:left w:val="single" w:sz="2" w:space="0" w:color="auto"/>
              <w:bottom w:val="nil"/>
              <w:right w:val="nil"/>
            </w:tcBorders>
          </w:tcPr>
          <w:p w14:paraId="38D3A672" w14:textId="77777777" w:rsidR="00616F81" w:rsidRPr="00F70B16" w:rsidRDefault="00616F81" w:rsidP="00616F81">
            <w:pPr>
              <w:pStyle w:val="TableText"/>
              <w:tabs>
                <w:tab w:val="left" w:pos="3306"/>
              </w:tabs>
              <w:spacing w:before="0"/>
              <w:rPr>
                <w:rFonts w:cs="Calibri"/>
                <w:sz w:val="4"/>
                <w:szCs w:val="4"/>
              </w:rPr>
            </w:pPr>
          </w:p>
        </w:tc>
        <w:tc>
          <w:tcPr>
            <w:tcW w:w="709" w:type="dxa"/>
            <w:tcBorders>
              <w:top w:val="nil"/>
              <w:left w:val="nil"/>
              <w:bottom w:val="nil"/>
              <w:right w:val="nil"/>
            </w:tcBorders>
          </w:tcPr>
          <w:p w14:paraId="2AA524C1" w14:textId="77777777" w:rsidR="00616F81" w:rsidRPr="00F70B16" w:rsidRDefault="00616F81" w:rsidP="00616F81">
            <w:pPr>
              <w:pStyle w:val="TableText"/>
              <w:tabs>
                <w:tab w:val="left" w:pos="3306"/>
              </w:tabs>
              <w:spacing w:before="0"/>
              <w:rPr>
                <w:rFonts w:cs="Calibri"/>
                <w:sz w:val="4"/>
                <w:szCs w:val="4"/>
              </w:rPr>
            </w:pPr>
          </w:p>
        </w:tc>
        <w:tc>
          <w:tcPr>
            <w:tcW w:w="992" w:type="dxa"/>
            <w:tcBorders>
              <w:top w:val="nil"/>
              <w:left w:val="nil"/>
              <w:bottom w:val="nil"/>
              <w:right w:val="nil"/>
            </w:tcBorders>
          </w:tcPr>
          <w:p w14:paraId="1C7FC294" w14:textId="77777777" w:rsidR="00616F81" w:rsidRPr="00F70B16" w:rsidRDefault="00616F81" w:rsidP="00616F81">
            <w:pPr>
              <w:pStyle w:val="TableText"/>
              <w:tabs>
                <w:tab w:val="left" w:pos="3306"/>
              </w:tabs>
              <w:spacing w:before="0"/>
              <w:rPr>
                <w:rFonts w:cs="Calibri"/>
                <w:b/>
                <w:bCs/>
                <w:sz w:val="4"/>
                <w:szCs w:val="4"/>
              </w:rPr>
            </w:pPr>
          </w:p>
        </w:tc>
        <w:tc>
          <w:tcPr>
            <w:tcW w:w="993" w:type="dxa"/>
            <w:tcBorders>
              <w:top w:val="nil"/>
              <w:left w:val="nil"/>
              <w:bottom w:val="nil"/>
              <w:right w:val="nil"/>
            </w:tcBorders>
          </w:tcPr>
          <w:p w14:paraId="6C585FA9" w14:textId="77777777" w:rsidR="00616F81" w:rsidRPr="00F70B16" w:rsidRDefault="00616F81" w:rsidP="00616F81">
            <w:pPr>
              <w:pStyle w:val="TableText"/>
              <w:tabs>
                <w:tab w:val="left" w:pos="3306"/>
              </w:tabs>
              <w:spacing w:before="0"/>
              <w:rPr>
                <w:rFonts w:cs="Calibri"/>
                <w:b/>
                <w:bCs/>
                <w:sz w:val="4"/>
                <w:szCs w:val="4"/>
              </w:rPr>
            </w:pPr>
          </w:p>
        </w:tc>
        <w:tc>
          <w:tcPr>
            <w:tcW w:w="992" w:type="dxa"/>
            <w:tcBorders>
              <w:top w:val="nil"/>
              <w:left w:val="nil"/>
              <w:bottom w:val="nil"/>
              <w:right w:val="nil"/>
            </w:tcBorders>
          </w:tcPr>
          <w:p w14:paraId="155AC391" w14:textId="77777777" w:rsidR="00616F81" w:rsidRPr="00F70B16" w:rsidRDefault="00616F81" w:rsidP="00616F81">
            <w:pPr>
              <w:pStyle w:val="TableText"/>
              <w:tabs>
                <w:tab w:val="left" w:pos="3306"/>
              </w:tabs>
              <w:spacing w:before="0"/>
              <w:rPr>
                <w:rFonts w:cs="Calibri"/>
                <w:b/>
                <w:bCs/>
                <w:sz w:val="4"/>
                <w:szCs w:val="4"/>
              </w:rPr>
            </w:pPr>
          </w:p>
        </w:tc>
      </w:tr>
      <w:tr w:rsidR="00616F81" w:rsidRPr="00CF7E1B" w14:paraId="4C5C97A0" w14:textId="77777777" w:rsidTr="004D1EC6">
        <w:trPr>
          <w:trHeight w:val="204"/>
        </w:trPr>
        <w:tc>
          <w:tcPr>
            <w:tcW w:w="1563" w:type="dxa"/>
            <w:tcBorders>
              <w:top w:val="nil"/>
              <w:left w:val="single" w:sz="2" w:space="0" w:color="auto"/>
              <w:bottom w:val="nil"/>
              <w:right w:val="single" w:sz="2" w:space="0" w:color="auto"/>
            </w:tcBorders>
          </w:tcPr>
          <w:p w14:paraId="59E2CFA5" w14:textId="77777777" w:rsidR="00616F81" w:rsidRPr="00F70B16" w:rsidRDefault="00616F81" w:rsidP="00AA468F">
            <w:pPr>
              <w:pStyle w:val="TableReference"/>
              <w:tabs>
                <w:tab w:val="left" w:pos="3306"/>
              </w:tabs>
              <w:rPr>
                <w:rFonts w:cs="Calibri"/>
                <w:color w:val="7030A0"/>
                <w:sz w:val="14"/>
              </w:rPr>
            </w:pPr>
          </w:p>
        </w:tc>
        <w:tc>
          <w:tcPr>
            <w:tcW w:w="5244" w:type="dxa"/>
            <w:tcBorders>
              <w:top w:val="nil"/>
              <w:left w:val="single" w:sz="2" w:space="0" w:color="auto"/>
              <w:bottom w:val="nil"/>
              <w:right w:val="nil"/>
            </w:tcBorders>
            <w:vAlign w:val="bottom"/>
          </w:tcPr>
          <w:p w14:paraId="6D44CAF9" w14:textId="77777777" w:rsidR="00616F81" w:rsidRPr="00F70B16" w:rsidRDefault="00616F81" w:rsidP="00AA468F">
            <w:pPr>
              <w:pStyle w:val="TableText"/>
              <w:tabs>
                <w:tab w:val="left" w:pos="3306"/>
              </w:tabs>
              <w:spacing w:before="0"/>
              <w:rPr>
                <w:rFonts w:cs="Calibri"/>
                <w:b/>
                <w:bCs/>
              </w:rPr>
            </w:pPr>
            <w:bookmarkStart w:id="199" w:name="_Toc48468234"/>
            <w:bookmarkStart w:id="200" w:name="_Toc49155425"/>
            <w:bookmarkStart w:id="201" w:name="_Toc49223874"/>
            <w:r w:rsidRPr="00F70B16">
              <w:rPr>
                <w:rFonts w:cs="Calibri"/>
                <w:b/>
                <w:bCs/>
              </w:rPr>
              <w:t>Payments</w:t>
            </w:r>
            <w:bookmarkEnd w:id="199"/>
            <w:bookmarkEnd w:id="200"/>
            <w:bookmarkEnd w:id="201"/>
          </w:p>
        </w:tc>
        <w:tc>
          <w:tcPr>
            <w:tcW w:w="709" w:type="dxa"/>
            <w:tcBorders>
              <w:top w:val="nil"/>
              <w:left w:val="nil"/>
              <w:bottom w:val="nil"/>
              <w:right w:val="nil"/>
            </w:tcBorders>
            <w:vAlign w:val="bottom"/>
          </w:tcPr>
          <w:p w14:paraId="032BB117" w14:textId="77777777" w:rsidR="00616F81" w:rsidRPr="00F70B16" w:rsidRDefault="00616F81" w:rsidP="00AA468F">
            <w:pPr>
              <w:pStyle w:val="TableText"/>
              <w:tabs>
                <w:tab w:val="left" w:pos="3306"/>
              </w:tabs>
              <w:spacing w:before="0"/>
              <w:jc w:val="center"/>
              <w:rPr>
                <w:rFonts w:cs="Calibri"/>
              </w:rPr>
            </w:pPr>
          </w:p>
        </w:tc>
        <w:tc>
          <w:tcPr>
            <w:tcW w:w="992" w:type="dxa"/>
            <w:tcBorders>
              <w:top w:val="nil"/>
              <w:left w:val="nil"/>
              <w:bottom w:val="nil"/>
              <w:right w:val="nil"/>
            </w:tcBorders>
            <w:vAlign w:val="bottom"/>
          </w:tcPr>
          <w:p w14:paraId="3E3571EF" w14:textId="77777777" w:rsidR="00616F81" w:rsidRPr="00F70B16" w:rsidRDefault="00616F81" w:rsidP="00AA468F">
            <w:pPr>
              <w:pStyle w:val="TableText"/>
              <w:tabs>
                <w:tab w:val="left" w:pos="3306"/>
              </w:tabs>
              <w:spacing w:before="0"/>
              <w:jc w:val="right"/>
              <w:rPr>
                <w:rFonts w:cs="Calibri"/>
                <w:b/>
                <w:bCs/>
              </w:rPr>
            </w:pPr>
          </w:p>
        </w:tc>
        <w:tc>
          <w:tcPr>
            <w:tcW w:w="993" w:type="dxa"/>
            <w:tcBorders>
              <w:top w:val="nil"/>
              <w:left w:val="nil"/>
              <w:bottom w:val="nil"/>
              <w:right w:val="nil"/>
            </w:tcBorders>
            <w:vAlign w:val="bottom"/>
          </w:tcPr>
          <w:p w14:paraId="2360A89B" w14:textId="77777777" w:rsidR="00616F81" w:rsidRPr="00F70B16" w:rsidRDefault="00616F81" w:rsidP="00AA468F">
            <w:pPr>
              <w:pStyle w:val="TableText"/>
              <w:tabs>
                <w:tab w:val="left" w:pos="3306"/>
              </w:tabs>
              <w:spacing w:before="0"/>
              <w:jc w:val="right"/>
              <w:rPr>
                <w:rFonts w:cs="Calibri"/>
                <w:b/>
                <w:bCs/>
              </w:rPr>
            </w:pPr>
          </w:p>
        </w:tc>
        <w:tc>
          <w:tcPr>
            <w:tcW w:w="992" w:type="dxa"/>
            <w:tcBorders>
              <w:top w:val="nil"/>
              <w:left w:val="nil"/>
              <w:bottom w:val="nil"/>
              <w:right w:val="nil"/>
            </w:tcBorders>
            <w:vAlign w:val="bottom"/>
          </w:tcPr>
          <w:p w14:paraId="4E31176D" w14:textId="77777777" w:rsidR="00616F81" w:rsidRPr="00F70B16" w:rsidRDefault="00616F81" w:rsidP="00AA468F">
            <w:pPr>
              <w:pStyle w:val="TableText"/>
              <w:tabs>
                <w:tab w:val="left" w:pos="3306"/>
              </w:tabs>
              <w:spacing w:before="0"/>
              <w:jc w:val="right"/>
              <w:rPr>
                <w:rFonts w:cs="Calibri"/>
                <w:b/>
                <w:bCs/>
              </w:rPr>
            </w:pPr>
          </w:p>
        </w:tc>
      </w:tr>
      <w:tr w:rsidR="00616F81" w:rsidRPr="00CF7E1B" w14:paraId="6F06FB0F" w14:textId="77777777" w:rsidTr="004D1EC6">
        <w:tc>
          <w:tcPr>
            <w:tcW w:w="1563" w:type="dxa"/>
            <w:tcBorders>
              <w:top w:val="nil"/>
              <w:left w:val="single" w:sz="2" w:space="0" w:color="auto"/>
              <w:bottom w:val="nil"/>
              <w:right w:val="single" w:sz="2" w:space="0" w:color="auto"/>
            </w:tcBorders>
          </w:tcPr>
          <w:p w14:paraId="1731A59A" w14:textId="6E7D846D" w:rsidR="00616F81" w:rsidRPr="00F70B16" w:rsidRDefault="00616F81" w:rsidP="00616F81">
            <w:pPr>
              <w:pStyle w:val="TableReference"/>
              <w:tabs>
                <w:tab w:val="left" w:pos="3306"/>
              </w:tabs>
              <w:spacing w:before="60"/>
              <w:rPr>
                <w:rFonts w:cs="Calibri"/>
                <w:color w:val="7030A0"/>
                <w:sz w:val="14"/>
              </w:rPr>
            </w:pPr>
            <w:bookmarkStart w:id="202" w:name="OLE_LINK11"/>
            <w:r w:rsidRPr="00F70B16">
              <w:rPr>
                <w:rFonts w:cs="Calibri"/>
                <w:color w:val="7030A0"/>
                <w:sz w:val="14"/>
              </w:rPr>
              <w:t>AASB 107.16(a)</w:t>
            </w:r>
            <w:bookmarkEnd w:id="202"/>
          </w:p>
        </w:tc>
        <w:tc>
          <w:tcPr>
            <w:tcW w:w="5244" w:type="dxa"/>
            <w:tcBorders>
              <w:top w:val="nil"/>
              <w:left w:val="single" w:sz="2" w:space="0" w:color="auto"/>
              <w:bottom w:val="nil"/>
              <w:right w:val="nil"/>
            </w:tcBorders>
            <w:vAlign w:val="bottom"/>
          </w:tcPr>
          <w:p w14:paraId="66AABB91" w14:textId="77777777" w:rsidR="00616F81" w:rsidRPr="00F70B16" w:rsidRDefault="00616F81" w:rsidP="00616F81">
            <w:pPr>
              <w:pStyle w:val="TableText"/>
              <w:tabs>
                <w:tab w:val="left" w:pos="3306"/>
              </w:tabs>
              <w:rPr>
                <w:rFonts w:cs="Calibri"/>
                <w:b/>
                <w:bCs/>
              </w:rPr>
            </w:pPr>
            <w:r w:rsidRPr="00F70B16">
              <w:rPr>
                <w:rFonts w:cs="Calibri"/>
              </w:rPr>
              <w:t>Purchase of Property, Plant and Equipment</w:t>
            </w:r>
          </w:p>
        </w:tc>
        <w:tc>
          <w:tcPr>
            <w:tcW w:w="709" w:type="dxa"/>
            <w:tcBorders>
              <w:top w:val="nil"/>
              <w:left w:val="nil"/>
              <w:bottom w:val="nil"/>
              <w:right w:val="nil"/>
            </w:tcBorders>
            <w:vAlign w:val="bottom"/>
          </w:tcPr>
          <w:p w14:paraId="3EEA937A" w14:textId="77777777" w:rsidR="00616F81" w:rsidRPr="00F70B16" w:rsidRDefault="00616F81" w:rsidP="00616F81">
            <w:pPr>
              <w:pStyle w:val="TableText"/>
              <w:tabs>
                <w:tab w:val="left" w:pos="3306"/>
              </w:tabs>
              <w:jc w:val="center"/>
              <w:rPr>
                <w:rFonts w:cs="Calibri"/>
              </w:rPr>
            </w:pPr>
          </w:p>
        </w:tc>
        <w:tc>
          <w:tcPr>
            <w:tcW w:w="992" w:type="dxa"/>
            <w:tcBorders>
              <w:top w:val="nil"/>
              <w:left w:val="nil"/>
              <w:bottom w:val="nil"/>
              <w:right w:val="nil"/>
            </w:tcBorders>
            <w:vAlign w:val="bottom"/>
          </w:tcPr>
          <w:p w14:paraId="48287514" w14:textId="77777777" w:rsidR="00616F81" w:rsidRPr="00F70B16" w:rsidRDefault="00616F81" w:rsidP="00616F81">
            <w:pPr>
              <w:pStyle w:val="TableText"/>
              <w:tabs>
                <w:tab w:val="left" w:pos="3306"/>
              </w:tabs>
              <w:jc w:val="right"/>
              <w:rPr>
                <w:rFonts w:cs="Calibri"/>
              </w:rPr>
            </w:pPr>
          </w:p>
        </w:tc>
        <w:tc>
          <w:tcPr>
            <w:tcW w:w="993" w:type="dxa"/>
            <w:tcBorders>
              <w:top w:val="nil"/>
              <w:left w:val="nil"/>
              <w:bottom w:val="nil"/>
              <w:right w:val="nil"/>
            </w:tcBorders>
            <w:vAlign w:val="bottom"/>
          </w:tcPr>
          <w:p w14:paraId="53205E3A" w14:textId="77777777" w:rsidR="00616F81" w:rsidRPr="00F70B16" w:rsidRDefault="00616F81" w:rsidP="00616F81">
            <w:pPr>
              <w:pStyle w:val="TableText"/>
              <w:tabs>
                <w:tab w:val="left" w:pos="3306"/>
              </w:tabs>
              <w:jc w:val="right"/>
              <w:rPr>
                <w:rFonts w:cs="Calibri"/>
              </w:rPr>
            </w:pPr>
          </w:p>
        </w:tc>
        <w:tc>
          <w:tcPr>
            <w:tcW w:w="992" w:type="dxa"/>
            <w:tcBorders>
              <w:top w:val="nil"/>
              <w:left w:val="nil"/>
              <w:bottom w:val="nil"/>
              <w:right w:val="nil"/>
            </w:tcBorders>
            <w:vAlign w:val="bottom"/>
          </w:tcPr>
          <w:p w14:paraId="1BCBA85F" w14:textId="77777777" w:rsidR="00616F81" w:rsidRPr="00F70B16" w:rsidRDefault="00616F81" w:rsidP="00616F81">
            <w:pPr>
              <w:pStyle w:val="TableText"/>
              <w:tabs>
                <w:tab w:val="left" w:pos="3306"/>
              </w:tabs>
              <w:jc w:val="right"/>
              <w:rPr>
                <w:rFonts w:cs="Calibri"/>
              </w:rPr>
            </w:pPr>
          </w:p>
        </w:tc>
      </w:tr>
      <w:tr w:rsidR="00616F81" w:rsidRPr="00CF7E1B" w14:paraId="74136448" w14:textId="77777777" w:rsidTr="004D1EC6">
        <w:tc>
          <w:tcPr>
            <w:tcW w:w="1563" w:type="dxa"/>
            <w:tcBorders>
              <w:top w:val="nil"/>
              <w:left w:val="single" w:sz="2" w:space="0" w:color="auto"/>
              <w:bottom w:val="nil"/>
              <w:right w:val="single" w:sz="2" w:space="0" w:color="auto"/>
            </w:tcBorders>
          </w:tcPr>
          <w:p w14:paraId="79DA5147" w14:textId="77777777" w:rsidR="00616F81" w:rsidRPr="00F70B16" w:rsidRDefault="00616F81" w:rsidP="00616F81">
            <w:pPr>
              <w:pStyle w:val="TableReference"/>
              <w:tabs>
                <w:tab w:val="left" w:pos="3306"/>
              </w:tabs>
              <w:spacing w:before="60"/>
              <w:rPr>
                <w:rFonts w:cs="Calibri"/>
                <w:color w:val="7030A0"/>
                <w:sz w:val="14"/>
              </w:rPr>
            </w:pPr>
          </w:p>
        </w:tc>
        <w:tc>
          <w:tcPr>
            <w:tcW w:w="5244" w:type="dxa"/>
            <w:tcBorders>
              <w:top w:val="nil"/>
              <w:left w:val="single" w:sz="2" w:space="0" w:color="auto"/>
              <w:bottom w:val="nil"/>
              <w:right w:val="nil"/>
            </w:tcBorders>
            <w:vAlign w:val="bottom"/>
          </w:tcPr>
          <w:p w14:paraId="476D011C" w14:textId="77777777" w:rsidR="00616F81" w:rsidRPr="00F70B16" w:rsidRDefault="00616F81" w:rsidP="00616F81">
            <w:pPr>
              <w:pStyle w:val="TableText"/>
              <w:tabs>
                <w:tab w:val="left" w:pos="3306"/>
              </w:tabs>
              <w:rPr>
                <w:rFonts w:cs="Calibri"/>
              </w:rPr>
            </w:pPr>
            <w:r w:rsidRPr="00F70B16">
              <w:rPr>
                <w:rFonts w:cs="Calibri"/>
              </w:rPr>
              <w:t>Purchase of Investment Property</w:t>
            </w:r>
          </w:p>
        </w:tc>
        <w:tc>
          <w:tcPr>
            <w:tcW w:w="709" w:type="dxa"/>
            <w:tcBorders>
              <w:top w:val="nil"/>
              <w:left w:val="nil"/>
              <w:bottom w:val="nil"/>
              <w:right w:val="nil"/>
            </w:tcBorders>
            <w:vAlign w:val="bottom"/>
          </w:tcPr>
          <w:p w14:paraId="3BD073CD" w14:textId="77777777" w:rsidR="00616F81" w:rsidRPr="00F70B16" w:rsidRDefault="00616F81" w:rsidP="00616F81">
            <w:pPr>
              <w:pStyle w:val="TableText"/>
              <w:tabs>
                <w:tab w:val="left" w:pos="3306"/>
              </w:tabs>
              <w:jc w:val="center"/>
              <w:rPr>
                <w:rFonts w:cs="Calibri"/>
              </w:rPr>
            </w:pPr>
          </w:p>
        </w:tc>
        <w:tc>
          <w:tcPr>
            <w:tcW w:w="992" w:type="dxa"/>
            <w:tcBorders>
              <w:top w:val="nil"/>
              <w:left w:val="nil"/>
              <w:bottom w:val="nil"/>
              <w:right w:val="nil"/>
            </w:tcBorders>
            <w:vAlign w:val="bottom"/>
          </w:tcPr>
          <w:p w14:paraId="46F75723" w14:textId="77777777" w:rsidR="00616F81" w:rsidRPr="00F70B16" w:rsidRDefault="00616F81" w:rsidP="00616F81">
            <w:pPr>
              <w:pStyle w:val="TableText"/>
              <w:tabs>
                <w:tab w:val="left" w:pos="3306"/>
              </w:tabs>
              <w:jc w:val="right"/>
              <w:rPr>
                <w:rFonts w:cs="Calibri"/>
              </w:rPr>
            </w:pPr>
          </w:p>
        </w:tc>
        <w:tc>
          <w:tcPr>
            <w:tcW w:w="993" w:type="dxa"/>
            <w:tcBorders>
              <w:top w:val="nil"/>
              <w:left w:val="nil"/>
              <w:bottom w:val="nil"/>
              <w:right w:val="nil"/>
            </w:tcBorders>
            <w:vAlign w:val="bottom"/>
          </w:tcPr>
          <w:p w14:paraId="19D6C77D" w14:textId="77777777" w:rsidR="00616F81" w:rsidRPr="00F70B16" w:rsidRDefault="00616F81" w:rsidP="00616F81">
            <w:pPr>
              <w:pStyle w:val="TableText"/>
              <w:tabs>
                <w:tab w:val="left" w:pos="3306"/>
              </w:tabs>
              <w:jc w:val="right"/>
              <w:rPr>
                <w:rFonts w:cs="Calibri"/>
              </w:rPr>
            </w:pPr>
          </w:p>
        </w:tc>
        <w:tc>
          <w:tcPr>
            <w:tcW w:w="992" w:type="dxa"/>
            <w:tcBorders>
              <w:top w:val="nil"/>
              <w:left w:val="nil"/>
              <w:bottom w:val="nil"/>
              <w:right w:val="nil"/>
            </w:tcBorders>
            <w:vAlign w:val="bottom"/>
          </w:tcPr>
          <w:p w14:paraId="5FAFBDDB" w14:textId="77777777" w:rsidR="00616F81" w:rsidRPr="00F70B16" w:rsidRDefault="00616F81" w:rsidP="00616F81">
            <w:pPr>
              <w:pStyle w:val="TableText"/>
              <w:tabs>
                <w:tab w:val="left" w:pos="3306"/>
              </w:tabs>
              <w:jc w:val="right"/>
              <w:rPr>
                <w:rFonts w:cs="Calibri"/>
              </w:rPr>
            </w:pPr>
          </w:p>
        </w:tc>
      </w:tr>
      <w:tr w:rsidR="00616F81" w:rsidRPr="00CF7E1B" w14:paraId="19594D49" w14:textId="77777777" w:rsidTr="004D1EC6">
        <w:tc>
          <w:tcPr>
            <w:tcW w:w="1563" w:type="dxa"/>
            <w:tcBorders>
              <w:top w:val="nil"/>
              <w:left w:val="single" w:sz="2" w:space="0" w:color="auto"/>
              <w:bottom w:val="nil"/>
              <w:right w:val="single" w:sz="2" w:space="0" w:color="auto"/>
            </w:tcBorders>
          </w:tcPr>
          <w:p w14:paraId="26FB0350" w14:textId="77777777" w:rsidR="00616F81" w:rsidRPr="00F70B16" w:rsidRDefault="00616F81" w:rsidP="00616F81">
            <w:pPr>
              <w:pStyle w:val="TableReference"/>
              <w:tabs>
                <w:tab w:val="left" w:pos="3306"/>
              </w:tabs>
              <w:spacing w:before="60"/>
              <w:rPr>
                <w:rFonts w:cs="Calibri"/>
                <w:color w:val="7030A0"/>
                <w:sz w:val="14"/>
              </w:rPr>
            </w:pPr>
            <w:r w:rsidRPr="00F70B16">
              <w:rPr>
                <w:rFonts w:cs="Calibri"/>
                <w:color w:val="7030A0"/>
                <w:sz w:val="14"/>
              </w:rPr>
              <w:t>AASB 107.16(a)</w:t>
            </w:r>
          </w:p>
        </w:tc>
        <w:tc>
          <w:tcPr>
            <w:tcW w:w="5244" w:type="dxa"/>
            <w:tcBorders>
              <w:top w:val="nil"/>
              <w:left w:val="single" w:sz="2" w:space="0" w:color="auto"/>
              <w:bottom w:val="nil"/>
              <w:right w:val="nil"/>
            </w:tcBorders>
            <w:vAlign w:val="bottom"/>
          </w:tcPr>
          <w:p w14:paraId="06BACFEF" w14:textId="77777777" w:rsidR="00616F81" w:rsidRPr="00F70B16" w:rsidRDefault="00616F81" w:rsidP="00616F81">
            <w:pPr>
              <w:pStyle w:val="TableText"/>
              <w:tabs>
                <w:tab w:val="left" w:pos="3306"/>
              </w:tabs>
              <w:rPr>
                <w:rFonts w:cs="Calibri"/>
                <w:b/>
                <w:bCs/>
              </w:rPr>
            </w:pPr>
            <w:r w:rsidRPr="00F70B16">
              <w:rPr>
                <w:rFonts w:cs="Calibri"/>
              </w:rPr>
              <w:t>Purchase of Investments</w:t>
            </w:r>
          </w:p>
        </w:tc>
        <w:tc>
          <w:tcPr>
            <w:tcW w:w="709" w:type="dxa"/>
            <w:tcBorders>
              <w:top w:val="nil"/>
              <w:left w:val="nil"/>
              <w:bottom w:val="nil"/>
              <w:right w:val="nil"/>
            </w:tcBorders>
            <w:vAlign w:val="bottom"/>
          </w:tcPr>
          <w:p w14:paraId="47C7BC52" w14:textId="77777777" w:rsidR="00616F81" w:rsidRPr="00F70B16" w:rsidRDefault="00616F81" w:rsidP="00616F81">
            <w:pPr>
              <w:pStyle w:val="TableText"/>
              <w:tabs>
                <w:tab w:val="left" w:pos="3306"/>
              </w:tabs>
              <w:jc w:val="center"/>
              <w:rPr>
                <w:rFonts w:cs="Calibri"/>
              </w:rPr>
            </w:pPr>
          </w:p>
        </w:tc>
        <w:tc>
          <w:tcPr>
            <w:tcW w:w="992" w:type="dxa"/>
            <w:tcBorders>
              <w:top w:val="nil"/>
              <w:left w:val="nil"/>
              <w:bottom w:val="nil"/>
              <w:right w:val="nil"/>
            </w:tcBorders>
            <w:vAlign w:val="bottom"/>
          </w:tcPr>
          <w:p w14:paraId="54906DFB" w14:textId="77777777" w:rsidR="00616F81" w:rsidRPr="00F70B16" w:rsidRDefault="00616F81" w:rsidP="00616F81">
            <w:pPr>
              <w:pStyle w:val="TableText"/>
              <w:tabs>
                <w:tab w:val="left" w:pos="3306"/>
              </w:tabs>
              <w:jc w:val="right"/>
              <w:rPr>
                <w:rFonts w:cs="Calibri"/>
              </w:rPr>
            </w:pPr>
          </w:p>
        </w:tc>
        <w:tc>
          <w:tcPr>
            <w:tcW w:w="993" w:type="dxa"/>
            <w:tcBorders>
              <w:top w:val="nil"/>
              <w:left w:val="nil"/>
              <w:bottom w:val="nil"/>
              <w:right w:val="nil"/>
            </w:tcBorders>
            <w:vAlign w:val="bottom"/>
          </w:tcPr>
          <w:p w14:paraId="43D80801" w14:textId="77777777" w:rsidR="00616F81" w:rsidRPr="00F70B16" w:rsidRDefault="00616F81" w:rsidP="00616F81">
            <w:pPr>
              <w:pStyle w:val="TableText"/>
              <w:tabs>
                <w:tab w:val="left" w:pos="3306"/>
              </w:tabs>
              <w:jc w:val="right"/>
              <w:rPr>
                <w:rFonts w:cs="Calibri"/>
              </w:rPr>
            </w:pPr>
          </w:p>
        </w:tc>
        <w:tc>
          <w:tcPr>
            <w:tcW w:w="992" w:type="dxa"/>
            <w:tcBorders>
              <w:top w:val="nil"/>
              <w:left w:val="nil"/>
              <w:bottom w:val="nil"/>
              <w:right w:val="nil"/>
            </w:tcBorders>
            <w:vAlign w:val="bottom"/>
          </w:tcPr>
          <w:p w14:paraId="51B7F5B0" w14:textId="77777777" w:rsidR="00616F81" w:rsidRPr="00F70B16" w:rsidRDefault="00616F81" w:rsidP="00616F81">
            <w:pPr>
              <w:pStyle w:val="TableText"/>
              <w:tabs>
                <w:tab w:val="left" w:pos="3306"/>
              </w:tabs>
              <w:jc w:val="right"/>
              <w:rPr>
                <w:rFonts w:cs="Calibri"/>
                <w:strike/>
              </w:rPr>
            </w:pPr>
          </w:p>
        </w:tc>
      </w:tr>
      <w:tr w:rsidR="00616F81" w:rsidRPr="00CF7E1B" w14:paraId="02922B86" w14:textId="77777777" w:rsidTr="004D1EC6">
        <w:tc>
          <w:tcPr>
            <w:tcW w:w="1563" w:type="dxa"/>
            <w:tcBorders>
              <w:top w:val="nil"/>
              <w:left w:val="single" w:sz="2" w:space="0" w:color="auto"/>
              <w:bottom w:val="nil"/>
              <w:right w:val="single" w:sz="2" w:space="0" w:color="auto"/>
            </w:tcBorders>
          </w:tcPr>
          <w:p w14:paraId="11F6B606" w14:textId="77777777" w:rsidR="00616F81" w:rsidRPr="00F70B16" w:rsidRDefault="00616F81" w:rsidP="00616F81">
            <w:pPr>
              <w:pStyle w:val="TableReference"/>
              <w:tabs>
                <w:tab w:val="left" w:pos="3306"/>
              </w:tabs>
              <w:spacing w:before="60"/>
              <w:rPr>
                <w:rFonts w:cs="Calibri"/>
                <w:color w:val="7030A0"/>
                <w:sz w:val="14"/>
              </w:rPr>
            </w:pPr>
            <w:r w:rsidRPr="00F70B16">
              <w:rPr>
                <w:rFonts w:cs="Calibri"/>
                <w:color w:val="7030A0"/>
                <w:sz w:val="14"/>
              </w:rPr>
              <w:t>AASB 107.16(c)</w:t>
            </w:r>
          </w:p>
        </w:tc>
        <w:tc>
          <w:tcPr>
            <w:tcW w:w="5244" w:type="dxa"/>
            <w:tcBorders>
              <w:top w:val="nil"/>
              <w:left w:val="single" w:sz="2" w:space="0" w:color="auto"/>
              <w:bottom w:val="nil"/>
              <w:right w:val="nil"/>
            </w:tcBorders>
            <w:vAlign w:val="bottom"/>
          </w:tcPr>
          <w:p w14:paraId="40B1C91D" w14:textId="77777777" w:rsidR="00616F81" w:rsidRPr="00F70B16" w:rsidRDefault="00616F81" w:rsidP="00616F81">
            <w:pPr>
              <w:pStyle w:val="TableText"/>
              <w:tabs>
                <w:tab w:val="left" w:pos="3306"/>
              </w:tabs>
              <w:rPr>
                <w:rFonts w:cs="Calibri"/>
              </w:rPr>
            </w:pPr>
            <w:r w:rsidRPr="00F70B16">
              <w:rPr>
                <w:rFonts w:cs="Calibri"/>
              </w:rPr>
              <w:t>Purchase of Investment in Joint Venture</w:t>
            </w:r>
          </w:p>
        </w:tc>
        <w:tc>
          <w:tcPr>
            <w:tcW w:w="709" w:type="dxa"/>
            <w:tcBorders>
              <w:top w:val="nil"/>
              <w:left w:val="nil"/>
              <w:bottom w:val="nil"/>
              <w:right w:val="nil"/>
            </w:tcBorders>
            <w:vAlign w:val="bottom"/>
          </w:tcPr>
          <w:p w14:paraId="7F7D3B91" w14:textId="77777777" w:rsidR="00616F81" w:rsidRPr="00F70B16" w:rsidRDefault="00616F81" w:rsidP="00616F81">
            <w:pPr>
              <w:pStyle w:val="TableText"/>
              <w:tabs>
                <w:tab w:val="left" w:pos="3306"/>
              </w:tabs>
              <w:jc w:val="center"/>
              <w:rPr>
                <w:rFonts w:cs="Calibri"/>
              </w:rPr>
            </w:pPr>
          </w:p>
        </w:tc>
        <w:tc>
          <w:tcPr>
            <w:tcW w:w="992" w:type="dxa"/>
            <w:tcBorders>
              <w:top w:val="nil"/>
              <w:left w:val="nil"/>
              <w:bottom w:val="nil"/>
              <w:right w:val="nil"/>
            </w:tcBorders>
            <w:vAlign w:val="bottom"/>
          </w:tcPr>
          <w:p w14:paraId="0263284F" w14:textId="77777777" w:rsidR="00616F81" w:rsidRPr="00F70B16" w:rsidRDefault="00616F81" w:rsidP="00616F81">
            <w:pPr>
              <w:pStyle w:val="TableText"/>
              <w:tabs>
                <w:tab w:val="left" w:pos="3306"/>
              </w:tabs>
              <w:jc w:val="right"/>
              <w:rPr>
                <w:rFonts w:cs="Calibri"/>
              </w:rPr>
            </w:pPr>
          </w:p>
        </w:tc>
        <w:tc>
          <w:tcPr>
            <w:tcW w:w="993" w:type="dxa"/>
            <w:tcBorders>
              <w:top w:val="nil"/>
              <w:left w:val="nil"/>
              <w:bottom w:val="nil"/>
              <w:right w:val="nil"/>
            </w:tcBorders>
            <w:vAlign w:val="bottom"/>
          </w:tcPr>
          <w:p w14:paraId="310E1147" w14:textId="77777777" w:rsidR="00616F81" w:rsidRPr="00F70B16" w:rsidRDefault="00616F81" w:rsidP="00616F81">
            <w:pPr>
              <w:pStyle w:val="TableText"/>
              <w:tabs>
                <w:tab w:val="left" w:pos="3306"/>
              </w:tabs>
              <w:jc w:val="right"/>
              <w:rPr>
                <w:rFonts w:cs="Calibri"/>
              </w:rPr>
            </w:pPr>
          </w:p>
        </w:tc>
        <w:tc>
          <w:tcPr>
            <w:tcW w:w="992" w:type="dxa"/>
            <w:tcBorders>
              <w:top w:val="nil"/>
              <w:left w:val="nil"/>
              <w:bottom w:val="nil"/>
              <w:right w:val="nil"/>
            </w:tcBorders>
            <w:vAlign w:val="bottom"/>
          </w:tcPr>
          <w:p w14:paraId="03B99B94" w14:textId="77777777" w:rsidR="00616F81" w:rsidRPr="00F70B16" w:rsidRDefault="00616F81" w:rsidP="00616F81">
            <w:pPr>
              <w:pStyle w:val="TableText"/>
              <w:tabs>
                <w:tab w:val="left" w:pos="3306"/>
              </w:tabs>
              <w:jc w:val="right"/>
              <w:rPr>
                <w:rFonts w:cs="Calibri"/>
              </w:rPr>
            </w:pPr>
          </w:p>
        </w:tc>
      </w:tr>
      <w:tr w:rsidR="00616F81" w:rsidRPr="00CF7E1B" w14:paraId="221E6683" w14:textId="77777777" w:rsidTr="004D1EC6">
        <w:tc>
          <w:tcPr>
            <w:tcW w:w="1563" w:type="dxa"/>
            <w:tcBorders>
              <w:top w:val="nil"/>
              <w:left w:val="single" w:sz="2" w:space="0" w:color="auto"/>
              <w:bottom w:val="nil"/>
              <w:right w:val="single" w:sz="2" w:space="0" w:color="auto"/>
            </w:tcBorders>
          </w:tcPr>
          <w:p w14:paraId="3C9C7458" w14:textId="77777777" w:rsidR="00616F81" w:rsidRPr="00F70B16" w:rsidRDefault="00616F81" w:rsidP="00616F81">
            <w:pPr>
              <w:pStyle w:val="TableReference"/>
              <w:tabs>
                <w:tab w:val="left" w:pos="3306"/>
              </w:tabs>
              <w:spacing w:before="60"/>
              <w:rPr>
                <w:rFonts w:cs="Calibri"/>
                <w:color w:val="7030A0"/>
                <w:sz w:val="14"/>
              </w:rPr>
            </w:pPr>
            <w:r w:rsidRPr="00F70B16">
              <w:rPr>
                <w:rFonts w:cs="Calibri"/>
                <w:color w:val="7030A0"/>
                <w:sz w:val="14"/>
              </w:rPr>
              <w:t>AASB 107.16(e)</w:t>
            </w:r>
          </w:p>
        </w:tc>
        <w:tc>
          <w:tcPr>
            <w:tcW w:w="5244" w:type="dxa"/>
            <w:tcBorders>
              <w:top w:val="nil"/>
              <w:left w:val="single" w:sz="2" w:space="0" w:color="auto"/>
              <w:bottom w:val="nil"/>
              <w:right w:val="nil"/>
            </w:tcBorders>
            <w:vAlign w:val="bottom"/>
          </w:tcPr>
          <w:p w14:paraId="59282471" w14:textId="331F2918" w:rsidR="00616F81" w:rsidRPr="00F70B16" w:rsidRDefault="00616F81" w:rsidP="00616F81">
            <w:pPr>
              <w:pStyle w:val="TableText"/>
              <w:tabs>
                <w:tab w:val="left" w:pos="3306"/>
              </w:tabs>
              <w:rPr>
                <w:rFonts w:cs="Calibri"/>
              </w:rPr>
            </w:pPr>
            <w:r w:rsidRPr="00F70B16">
              <w:rPr>
                <w:rFonts w:cs="Calibri"/>
              </w:rPr>
              <w:t>Loans Receivable Provided</w:t>
            </w:r>
          </w:p>
        </w:tc>
        <w:tc>
          <w:tcPr>
            <w:tcW w:w="709" w:type="dxa"/>
            <w:tcBorders>
              <w:top w:val="nil"/>
              <w:left w:val="nil"/>
              <w:bottom w:val="nil"/>
              <w:right w:val="nil"/>
            </w:tcBorders>
            <w:vAlign w:val="bottom"/>
          </w:tcPr>
          <w:p w14:paraId="740AF709" w14:textId="77777777" w:rsidR="00616F81" w:rsidRPr="00F70B16" w:rsidRDefault="00616F81" w:rsidP="00616F81">
            <w:pPr>
              <w:pStyle w:val="TableText"/>
              <w:tabs>
                <w:tab w:val="left" w:pos="3306"/>
              </w:tabs>
              <w:jc w:val="center"/>
              <w:rPr>
                <w:rFonts w:cs="Calibri"/>
              </w:rPr>
            </w:pPr>
          </w:p>
        </w:tc>
        <w:tc>
          <w:tcPr>
            <w:tcW w:w="992" w:type="dxa"/>
            <w:tcBorders>
              <w:top w:val="nil"/>
              <w:left w:val="nil"/>
              <w:bottom w:val="single" w:sz="2" w:space="0" w:color="auto"/>
              <w:right w:val="nil"/>
            </w:tcBorders>
            <w:vAlign w:val="bottom"/>
          </w:tcPr>
          <w:p w14:paraId="63B41B5D" w14:textId="77777777" w:rsidR="00616F81" w:rsidRPr="00F70B16" w:rsidRDefault="00616F81" w:rsidP="00616F81">
            <w:pPr>
              <w:pStyle w:val="TableText"/>
              <w:tabs>
                <w:tab w:val="left" w:pos="3306"/>
              </w:tabs>
              <w:jc w:val="right"/>
              <w:rPr>
                <w:rFonts w:cs="Calibri"/>
              </w:rPr>
            </w:pPr>
          </w:p>
        </w:tc>
        <w:tc>
          <w:tcPr>
            <w:tcW w:w="993" w:type="dxa"/>
            <w:tcBorders>
              <w:top w:val="nil"/>
              <w:left w:val="nil"/>
              <w:bottom w:val="single" w:sz="2" w:space="0" w:color="auto"/>
              <w:right w:val="nil"/>
            </w:tcBorders>
            <w:vAlign w:val="bottom"/>
          </w:tcPr>
          <w:p w14:paraId="0F8AABCF" w14:textId="77777777" w:rsidR="00616F81" w:rsidRPr="00F70B16" w:rsidRDefault="00616F81" w:rsidP="00616F81">
            <w:pPr>
              <w:pStyle w:val="TableText"/>
              <w:tabs>
                <w:tab w:val="left" w:pos="3306"/>
              </w:tabs>
              <w:jc w:val="right"/>
              <w:rPr>
                <w:rFonts w:cs="Calibri"/>
              </w:rPr>
            </w:pPr>
          </w:p>
        </w:tc>
        <w:tc>
          <w:tcPr>
            <w:tcW w:w="992" w:type="dxa"/>
            <w:tcBorders>
              <w:top w:val="nil"/>
              <w:left w:val="nil"/>
              <w:bottom w:val="single" w:sz="2" w:space="0" w:color="auto"/>
              <w:right w:val="nil"/>
            </w:tcBorders>
            <w:vAlign w:val="bottom"/>
          </w:tcPr>
          <w:p w14:paraId="55EDE2B0" w14:textId="77777777" w:rsidR="00616F81" w:rsidRPr="00F70B16" w:rsidRDefault="00616F81" w:rsidP="00616F81">
            <w:pPr>
              <w:pStyle w:val="TableText"/>
              <w:tabs>
                <w:tab w:val="left" w:pos="3306"/>
              </w:tabs>
              <w:jc w:val="right"/>
              <w:rPr>
                <w:rFonts w:cs="Calibri"/>
              </w:rPr>
            </w:pPr>
          </w:p>
        </w:tc>
      </w:tr>
      <w:tr w:rsidR="00616F81" w:rsidRPr="00CF7E1B" w14:paraId="069A82C2" w14:textId="77777777" w:rsidTr="004D1EC6">
        <w:tc>
          <w:tcPr>
            <w:tcW w:w="1563" w:type="dxa"/>
            <w:tcBorders>
              <w:top w:val="nil"/>
              <w:left w:val="single" w:sz="2" w:space="0" w:color="auto"/>
              <w:bottom w:val="nil"/>
              <w:right w:val="single" w:sz="2" w:space="0" w:color="auto"/>
            </w:tcBorders>
          </w:tcPr>
          <w:p w14:paraId="034F6AA3" w14:textId="77777777" w:rsidR="00616F81" w:rsidRPr="00F70B16" w:rsidRDefault="00616F81" w:rsidP="00616F81">
            <w:pPr>
              <w:pStyle w:val="TableReference"/>
              <w:tabs>
                <w:tab w:val="left" w:pos="3306"/>
              </w:tabs>
              <w:spacing w:before="40"/>
              <w:rPr>
                <w:rFonts w:cs="Calibri"/>
                <w:color w:val="7030A0"/>
                <w:sz w:val="16"/>
                <w:szCs w:val="16"/>
              </w:rPr>
            </w:pPr>
          </w:p>
        </w:tc>
        <w:tc>
          <w:tcPr>
            <w:tcW w:w="5244" w:type="dxa"/>
            <w:tcBorders>
              <w:top w:val="nil"/>
              <w:left w:val="single" w:sz="2" w:space="0" w:color="auto"/>
              <w:bottom w:val="nil"/>
              <w:right w:val="nil"/>
            </w:tcBorders>
            <w:vAlign w:val="bottom"/>
          </w:tcPr>
          <w:p w14:paraId="18BAA7CA" w14:textId="77777777" w:rsidR="00616F81" w:rsidRPr="00F70B16" w:rsidRDefault="00616F81" w:rsidP="00616F81">
            <w:pPr>
              <w:pStyle w:val="TableText"/>
              <w:tabs>
                <w:tab w:val="left" w:pos="3306"/>
              </w:tabs>
              <w:rPr>
                <w:rFonts w:cs="Calibri"/>
                <w:b/>
                <w:bCs/>
              </w:rPr>
            </w:pPr>
            <w:r w:rsidRPr="00F70B16">
              <w:rPr>
                <w:rFonts w:cs="Calibri"/>
                <w:b/>
                <w:bCs/>
              </w:rPr>
              <w:t>Total Payments from Investing Activities</w:t>
            </w:r>
          </w:p>
        </w:tc>
        <w:tc>
          <w:tcPr>
            <w:tcW w:w="709" w:type="dxa"/>
            <w:tcBorders>
              <w:top w:val="nil"/>
              <w:left w:val="nil"/>
              <w:bottom w:val="nil"/>
              <w:right w:val="nil"/>
            </w:tcBorders>
            <w:vAlign w:val="bottom"/>
          </w:tcPr>
          <w:p w14:paraId="4BC3A92E" w14:textId="77777777" w:rsidR="00616F81" w:rsidRPr="00F70B16" w:rsidRDefault="00616F81" w:rsidP="00616F81">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2C3E2E6B" w14:textId="77777777" w:rsidR="00616F81" w:rsidRPr="00F70B16" w:rsidRDefault="00616F81" w:rsidP="00616F81">
            <w:pPr>
              <w:pStyle w:val="TableText"/>
              <w:tabs>
                <w:tab w:val="left" w:pos="3306"/>
              </w:tabs>
              <w:jc w:val="right"/>
              <w:rPr>
                <w:rFonts w:cs="Calibri"/>
                <w:b/>
                <w:bCs/>
                <w:strike/>
              </w:rPr>
            </w:pPr>
          </w:p>
        </w:tc>
        <w:tc>
          <w:tcPr>
            <w:tcW w:w="993" w:type="dxa"/>
            <w:tcBorders>
              <w:top w:val="single" w:sz="2" w:space="0" w:color="auto"/>
              <w:left w:val="nil"/>
              <w:bottom w:val="single" w:sz="2" w:space="0" w:color="auto"/>
              <w:right w:val="nil"/>
            </w:tcBorders>
            <w:vAlign w:val="bottom"/>
          </w:tcPr>
          <w:p w14:paraId="68877724" w14:textId="77777777" w:rsidR="00616F81" w:rsidRPr="00F70B16" w:rsidRDefault="00616F81" w:rsidP="00616F81">
            <w:pPr>
              <w:pStyle w:val="TableText"/>
              <w:tabs>
                <w:tab w:val="left" w:pos="3306"/>
              </w:tabs>
              <w:jc w:val="right"/>
              <w:rPr>
                <w:rFonts w:cs="Calibri"/>
                <w:b/>
                <w:bCs/>
                <w:strike/>
              </w:rPr>
            </w:pPr>
          </w:p>
        </w:tc>
        <w:tc>
          <w:tcPr>
            <w:tcW w:w="992" w:type="dxa"/>
            <w:tcBorders>
              <w:top w:val="single" w:sz="2" w:space="0" w:color="auto"/>
              <w:left w:val="nil"/>
              <w:bottom w:val="single" w:sz="2" w:space="0" w:color="auto"/>
              <w:right w:val="nil"/>
            </w:tcBorders>
            <w:vAlign w:val="bottom"/>
          </w:tcPr>
          <w:p w14:paraId="2FF289BA" w14:textId="77777777" w:rsidR="00616F81" w:rsidRPr="00F70B16" w:rsidRDefault="00616F81" w:rsidP="00616F81">
            <w:pPr>
              <w:pStyle w:val="TableText"/>
              <w:tabs>
                <w:tab w:val="left" w:pos="3306"/>
              </w:tabs>
              <w:jc w:val="right"/>
              <w:rPr>
                <w:rFonts w:cs="Calibri"/>
                <w:b/>
                <w:bCs/>
                <w:strike/>
              </w:rPr>
            </w:pPr>
          </w:p>
        </w:tc>
      </w:tr>
      <w:tr w:rsidR="00616F81" w:rsidRPr="00CF7E1B" w14:paraId="22994822" w14:textId="77777777" w:rsidTr="004D1EC6">
        <w:tc>
          <w:tcPr>
            <w:tcW w:w="1563" w:type="dxa"/>
            <w:tcBorders>
              <w:top w:val="nil"/>
              <w:left w:val="single" w:sz="2" w:space="0" w:color="auto"/>
              <w:bottom w:val="nil"/>
              <w:right w:val="single" w:sz="2" w:space="0" w:color="auto"/>
            </w:tcBorders>
          </w:tcPr>
          <w:p w14:paraId="70970C50" w14:textId="77777777" w:rsidR="00616F81" w:rsidRPr="00F70B16" w:rsidRDefault="00616F81" w:rsidP="00616F81">
            <w:pPr>
              <w:pStyle w:val="TableReference"/>
              <w:tabs>
                <w:tab w:val="left" w:pos="3306"/>
              </w:tabs>
              <w:spacing w:before="40"/>
              <w:rPr>
                <w:rFonts w:cs="Calibri"/>
                <w:color w:val="7030A0"/>
                <w:sz w:val="16"/>
                <w:szCs w:val="16"/>
              </w:rPr>
            </w:pPr>
          </w:p>
        </w:tc>
        <w:tc>
          <w:tcPr>
            <w:tcW w:w="5244" w:type="dxa"/>
            <w:tcBorders>
              <w:top w:val="nil"/>
              <w:left w:val="single" w:sz="2" w:space="0" w:color="auto"/>
              <w:bottom w:val="nil"/>
              <w:right w:val="nil"/>
            </w:tcBorders>
            <w:vAlign w:val="bottom"/>
          </w:tcPr>
          <w:p w14:paraId="6DC04FF9" w14:textId="77777777" w:rsidR="00616F81" w:rsidRPr="00F70B16" w:rsidRDefault="00616F81" w:rsidP="00616F81">
            <w:pPr>
              <w:pStyle w:val="TableText"/>
              <w:tabs>
                <w:tab w:val="left" w:pos="3306"/>
              </w:tabs>
              <w:rPr>
                <w:rFonts w:cs="Calibri"/>
                <w:b/>
                <w:bCs/>
              </w:rPr>
            </w:pPr>
            <w:r w:rsidRPr="00F70B16">
              <w:rPr>
                <w:rFonts w:cs="Calibri"/>
                <w:b/>
                <w:bCs/>
              </w:rPr>
              <w:t>Net Cash Inflows/(Outflows) from Investing Activities</w:t>
            </w:r>
          </w:p>
        </w:tc>
        <w:tc>
          <w:tcPr>
            <w:tcW w:w="709" w:type="dxa"/>
            <w:tcBorders>
              <w:top w:val="nil"/>
              <w:left w:val="nil"/>
              <w:bottom w:val="nil"/>
              <w:right w:val="nil"/>
            </w:tcBorders>
            <w:vAlign w:val="bottom"/>
          </w:tcPr>
          <w:p w14:paraId="05C8E77D" w14:textId="598C5A1B" w:rsidR="00616F81" w:rsidRPr="00F70B16" w:rsidRDefault="00616F81" w:rsidP="00616F81">
            <w:pPr>
              <w:pStyle w:val="TableText"/>
              <w:tabs>
                <w:tab w:val="left" w:pos="3306"/>
              </w:tabs>
              <w:jc w:val="center"/>
              <w:rPr>
                <w:rFonts w:cs="Calibri"/>
              </w:rPr>
            </w:pPr>
          </w:p>
        </w:tc>
        <w:tc>
          <w:tcPr>
            <w:tcW w:w="992" w:type="dxa"/>
            <w:tcBorders>
              <w:top w:val="single" w:sz="2" w:space="0" w:color="auto"/>
              <w:left w:val="nil"/>
              <w:bottom w:val="single" w:sz="2" w:space="0" w:color="auto"/>
              <w:right w:val="nil"/>
            </w:tcBorders>
            <w:vAlign w:val="bottom"/>
          </w:tcPr>
          <w:p w14:paraId="07656CC6" w14:textId="77777777" w:rsidR="00616F81" w:rsidRPr="00F70B16" w:rsidRDefault="00616F81" w:rsidP="00616F81">
            <w:pPr>
              <w:pStyle w:val="TableText"/>
              <w:tabs>
                <w:tab w:val="left" w:pos="3306"/>
              </w:tabs>
              <w:jc w:val="right"/>
              <w:rPr>
                <w:rFonts w:cs="Calibri"/>
                <w:b/>
                <w:bCs/>
              </w:rPr>
            </w:pPr>
          </w:p>
        </w:tc>
        <w:tc>
          <w:tcPr>
            <w:tcW w:w="993" w:type="dxa"/>
            <w:tcBorders>
              <w:top w:val="single" w:sz="2" w:space="0" w:color="auto"/>
              <w:left w:val="nil"/>
              <w:bottom w:val="single" w:sz="2" w:space="0" w:color="auto"/>
              <w:right w:val="nil"/>
            </w:tcBorders>
            <w:vAlign w:val="bottom"/>
          </w:tcPr>
          <w:p w14:paraId="590A8A8C" w14:textId="77777777" w:rsidR="00616F81" w:rsidRPr="00F70B16" w:rsidRDefault="00616F81" w:rsidP="00616F81">
            <w:pPr>
              <w:pStyle w:val="TableText"/>
              <w:tabs>
                <w:tab w:val="left" w:pos="3306"/>
              </w:tabs>
              <w:jc w:val="right"/>
              <w:rPr>
                <w:rFonts w:cs="Calibri"/>
                <w:b/>
                <w:bCs/>
              </w:rPr>
            </w:pPr>
          </w:p>
        </w:tc>
        <w:tc>
          <w:tcPr>
            <w:tcW w:w="992" w:type="dxa"/>
            <w:tcBorders>
              <w:top w:val="single" w:sz="2" w:space="0" w:color="auto"/>
              <w:left w:val="nil"/>
              <w:bottom w:val="single" w:sz="2" w:space="0" w:color="auto"/>
              <w:right w:val="nil"/>
            </w:tcBorders>
            <w:vAlign w:val="bottom"/>
          </w:tcPr>
          <w:p w14:paraId="0471F38E" w14:textId="77777777" w:rsidR="00616F81" w:rsidRPr="00F70B16" w:rsidRDefault="00616F81" w:rsidP="00616F81">
            <w:pPr>
              <w:pStyle w:val="TableText"/>
              <w:tabs>
                <w:tab w:val="left" w:pos="3306"/>
              </w:tabs>
              <w:jc w:val="right"/>
              <w:rPr>
                <w:rFonts w:cs="Calibri"/>
                <w:b/>
                <w:bCs/>
              </w:rPr>
            </w:pPr>
          </w:p>
        </w:tc>
      </w:tr>
    </w:tbl>
    <w:p w14:paraId="2479F184" w14:textId="56DA92C3" w:rsidR="00574DE1" w:rsidRPr="00A26DB2" w:rsidRDefault="0019122B" w:rsidP="00A26DB2">
      <w:pPr>
        <w:jc w:val="center"/>
        <w:rPr>
          <w:rFonts w:asciiTheme="minorHAnsi" w:hAnsiTheme="minorHAnsi" w:cstheme="minorHAnsi"/>
          <w:b/>
          <w:sz w:val="40"/>
          <w:szCs w:val="24"/>
        </w:rPr>
      </w:pPr>
      <w:r w:rsidRPr="00CF7E1B">
        <w:rPr>
          <w:rFonts w:cs="Calibri"/>
        </w:rPr>
        <w:br w:type="page"/>
      </w:r>
      <w:r w:rsidR="00574DE1" w:rsidRPr="00574DE1">
        <w:rPr>
          <w:rFonts w:cs="Calibri"/>
          <w:sz w:val="16"/>
        </w:rPr>
        <w:t xml:space="preserve"> </w:t>
      </w:r>
      <w:bookmarkStart w:id="203" w:name="_Toc253495256"/>
      <w:bookmarkStart w:id="204" w:name="_Toc257295331"/>
      <w:r w:rsidR="00574DE1" w:rsidRPr="00A26DB2">
        <w:rPr>
          <w:rFonts w:asciiTheme="minorHAnsi" w:hAnsiTheme="minorHAnsi" w:cstheme="minorHAnsi"/>
          <w:b/>
          <w:sz w:val="40"/>
          <w:szCs w:val="24"/>
        </w:rPr>
        <w:t>‘</w:t>
      </w:r>
      <w:r w:rsidR="00CB5FDC" w:rsidRPr="00A26DB2">
        <w:rPr>
          <w:rFonts w:asciiTheme="minorHAnsi" w:hAnsiTheme="minorHAnsi" w:cstheme="minorHAnsi"/>
          <w:b/>
          <w:sz w:val="40"/>
          <w:szCs w:val="24"/>
        </w:rPr>
        <w:t xml:space="preserve">Burley Griffin </w:t>
      </w:r>
      <w:r w:rsidR="00574DE1" w:rsidRPr="00A26DB2">
        <w:rPr>
          <w:rFonts w:asciiTheme="minorHAnsi" w:hAnsiTheme="minorHAnsi" w:cstheme="minorHAnsi"/>
          <w:b/>
          <w:sz w:val="40"/>
          <w:szCs w:val="24"/>
        </w:rPr>
        <w:t>Agency’</w:t>
      </w:r>
    </w:p>
    <w:p w14:paraId="6BF19263" w14:textId="0B284F61" w:rsidR="0019122B" w:rsidRPr="00A26DB2" w:rsidRDefault="00217D36" w:rsidP="005C5347">
      <w:pPr>
        <w:pStyle w:val="Subtitle"/>
        <w:spacing w:line="400" w:lineRule="exact"/>
        <w:rPr>
          <w:rFonts w:asciiTheme="minorHAnsi" w:hAnsiTheme="minorHAnsi" w:cstheme="minorHAnsi"/>
        </w:rPr>
      </w:pPr>
      <w:bookmarkStart w:id="205" w:name="_Toc98763028"/>
      <w:r w:rsidRPr="00A26DB2">
        <w:rPr>
          <w:rFonts w:asciiTheme="minorHAnsi" w:hAnsiTheme="minorHAnsi" w:cstheme="minorHAnsi"/>
        </w:rPr>
        <w:t>Statement of Cash Flows</w:t>
      </w:r>
      <w:r w:rsidR="007E0503" w:rsidRPr="00A26DB2">
        <w:rPr>
          <w:rFonts w:asciiTheme="minorHAnsi" w:hAnsiTheme="minorHAnsi" w:cstheme="minorHAnsi"/>
        </w:rPr>
        <w:t xml:space="preserve"> –</w:t>
      </w:r>
      <w:r w:rsidR="0019122B" w:rsidRPr="00A26DB2">
        <w:rPr>
          <w:rFonts w:asciiTheme="minorHAnsi" w:hAnsiTheme="minorHAnsi" w:cstheme="minorHAnsi"/>
        </w:rPr>
        <w:t xml:space="preserve"> Continued</w:t>
      </w:r>
      <w:bookmarkEnd w:id="203"/>
      <w:bookmarkEnd w:id="204"/>
      <w:bookmarkEnd w:id="205"/>
      <w:r w:rsidR="007E0503" w:rsidRPr="00A26DB2">
        <w:rPr>
          <w:rFonts w:asciiTheme="minorHAnsi" w:hAnsiTheme="minorHAnsi" w:cstheme="minorHAnsi"/>
        </w:rPr>
        <w:t xml:space="preserve"> </w:t>
      </w:r>
    </w:p>
    <w:p w14:paraId="2D89DD2C" w14:textId="1CC77B9D" w:rsidR="0019122B" w:rsidRPr="00411D5C" w:rsidRDefault="0019122B" w:rsidP="005C5347">
      <w:pPr>
        <w:spacing w:line="400" w:lineRule="exact"/>
        <w:jc w:val="center"/>
        <w:rPr>
          <w:rFonts w:asciiTheme="minorHAnsi" w:hAnsiTheme="minorHAnsi" w:cstheme="minorHAnsi"/>
        </w:rPr>
      </w:pPr>
      <w:r w:rsidRPr="00A26DB2">
        <w:rPr>
          <w:rFonts w:asciiTheme="minorHAnsi" w:hAnsiTheme="minorHAnsi" w:cstheme="minorHAnsi"/>
          <w:b/>
          <w:sz w:val="40"/>
          <w:szCs w:val="40"/>
        </w:rPr>
        <w:t xml:space="preserve">For the Year Ended 30 June </w:t>
      </w:r>
      <w:r w:rsidR="00C66E0D" w:rsidRPr="00A26DB2">
        <w:rPr>
          <w:rFonts w:asciiTheme="minorHAnsi" w:hAnsiTheme="minorHAnsi" w:cstheme="minorHAnsi"/>
          <w:b/>
          <w:sz w:val="40"/>
          <w:szCs w:val="40"/>
        </w:rPr>
        <w:t>202</w:t>
      </w:r>
      <w:r w:rsidR="00663421" w:rsidRPr="00A26DB2">
        <w:rPr>
          <w:rFonts w:asciiTheme="minorHAnsi" w:hAnsiTheme="minorHAnsi" w:cstheme="minorHAnsi"/>
          <w:b/>
          <w:sz w:val="40"/>
          <w:szCs w:val="40"/>
        </w:rPr>
        <w:t>2</w:t>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103"/>
        <w:gridCol w:w="850"/>
        <w:gridCol w:w="992"/>
        <w:gridCol w:w="993"/>
        <w:gridCol w:w="992"/>
        <w:gridCol w:w="51"/>
      </w:tblGrid>
      <w:tr w:rsidR="0019122B" w:rsidRPr="00CF7E1B" w14:paraId="7E445141" w14:textId="77777777" w:rsidTr="004D1EC6">
        <w:trPr>
          <w:gridAfter w:val="1"/>
          <w:wAfter w:w="51" w:type="dxa"/>
          <w:trHeight w:val="105"/>
        </w:trPr>
        <w:tc>
          <w:tcPr>
            <w:tcW w:w="1563" w:type="dxa"/>
            <w:tcBorders>
              <w:top w:val="nil"/>
              <w:left w:val="single" w:sz="2" w:space="0" w:color="auto"/>
              <w:bottom w:val="nil"/>
              <w:right w:val="single" w:sz="2" w:space="0" w:color="auto"/>
            </w:tcBorders>
          </w:tcPr>
          <w:p w14:paraId="1CF6A88B" w14:textId="77777777" w:rsidR="0019122B" w:rsidRPr="00A26DB2" w:rsidRDefault="0019122B" w:rsidP="0019122B">
            <w:pPr>
              <w:pStyle w:val="Reference"/>
              <w:tabs>
                <w:tab w:val="left" w:pos="3306"/>
              </w:tabs>
              <w:rPr>
                <w:rFonts w:cs="Calibri"/>
                <w:color w:val="7030A0"/>
                <w:sz w:val="22"/>
                <w:szCs w:val="22"/>
              </w:rPr>
            </w:pPr>
            <w:r w:rsidRPr="00A26DB2">
              <w:rPr>
                <w:rFonts w:cs="Calibri"/>
                <w:color w:val="7030A0"/>
                <w:sz w:val="22"/>
                <w:szCs w:val="22"/>
              </w:rPr>
              <w:t>Reference</w:t>
            </w:r>
          </w:p>
        </w:tc>
        <w:tc>
          <w:tcPr>
            <w:tcW w:w="5103" w:type="dxa"/>
            <w:tcBorders>
              <w:top w:val="nil"/>
              <w:left w:val="single" w:sz="2" w:space="0" w:color="auto"/>
              <w:bottom w:val="nil"/>
              <w:right w:val="nil"/>
            </w:tcBorders>
            <w:vAlign w:val="bottom"/>
          </w:tcPr>
          <w:p w14:paraId="3DACA1E1" w14:textId="77777777" w:rsidR="0019122B" w:rsidRPr="00A26DB2" w:rsidRDefault="0019122B" w:rsidP="0019122B">
            <w:pPr>
              <w:pStyle w:val="TableTitle"/>
              <w:tabs>
                <w:tab w:val="left" w:pos="3306"/>
              </w:tabs>
              <w:rPr>
                <w:rFonts w:cs="Calibri"/>
              </w:rPr>
            </w:pPr>
          </w:p>
        </w:tc>
        <w:tc>
          <w:tcPr>
            <w:tcW w:w="850" w:type="dxa"/>
            <w:tcBorders>
              <w:top w:val="nil"/>
              <w:left w:val="nil"/>
              <w:bottom w:val="nil"/>
              <w:right w:val="nil"/>
            </w:tcBorders>
            <w:vAlign w:val="bottom"/>
          </w:tcPr>
          <w:p w14:paraId="22CB1639" w14:textId="77777777" w:rsidR="0019122B" w:rsidRPr="00A26DB2" w:rsidRDefault="0019122B" w:rsidP="0019122B">
            <w:pPr>
              <w:pStyle w:val="TableTitle"/>
              <w:tabs>
                <w:tab w:val="left" w:pos="3306"/>
              </w:tabs>
              <w:jc w:val="center"/>
              <w:rPr>
                <w:rFonts w:cs="Calibri"/>
              </w:rPr>
            </w:pPr>
            <w:r w:rsidRPr="00A26DB2">
              <w:rPr>
                <w:rFonts w:cs="Calibri"/>
              </w:rPr>
              <w:t>Note No.</w:t>
            </w:r>
          </w:p>
        </w:tc>
        <w:tc>
          <w:tcPr>
            <w:tcW w:w="992" w:type="dxa"/>
            <w:tcBorders>
              <w:top w:val="nil"/>
              <w:left w:val="nil"/>
              <w:bottom w:val="nil"/>
              <w:right w:val="nil"/>
            </w:tcBorders>
            <w:vAlign w:val="bottom"/>
          </w:tcPr>
          <w:p w14:paraId="6420483F" w14:textId="77777777" w:rsidR="0019122B" w:rsidRPr="00A26DB2" w:rsidRDefault="0019122B" w:rsidP="0019122B">
            <w:pPr>
              <w:pStyle w:val="TableTitle"/>
              <w:tabs>
                <w:tab w:val="left" w:pos="3306"/>
              </w:tabs>
              <w:rPr>
                <w:rFonts w:cs="Calibri"/>
              </w:rPr>
            </w:pPr>
            <w:r w:rsidRPr="00A26DB2">
              <w:rPr>
                <w:rFonts w:cs="Calibri"/>
              </w:rPr>
              <w:t>Actual</w:t>
            </w:r>
          </w:p>
          <w:p w14:paraId="5A0231D6" w14:textId="7C674F11" w:rsidR="001B231B" w:rsidRPr="00A26DB2" w:rsidRDefault="001B231B" w:rsidP="001B231B">
            <w:pPr>
              <w:pStyle w:val="TableTitle"/>
              <w:tabs>
                <w:tab w:val="left" w:pos="3306"/>
              </w:tabs>
              <w:rPr>
                <w:rFonts w:cs="Calibri"/>
              </w:rPr>
            </w:pPr>
            <w:r w:rsidRPr="00A26DB2">
              <w:rPr>
                <w:rFonts w:cs="Calibri"/>
              </w:rPr>
              <w:t>202</w:t>
            </w:r>
            <w:r w:rsidR="00663421" w:rsidRPr="00A26DB2">
              <w:rPr>
                <w:rFonts w:cs="Calibri"/>
              </w:rPr>
              <w:t>2</w:t>
            </w:r>
          </w:p>
          <w:p w14:paraId="6BEC192C" w14:textId="77777777" w:rsidR="0019122B" w:rsidRPr="00A26DB2" w:rsidRDefault="0019122B" w:rsidP="0019122B">
            <w:pPr>
              <w:pStyle w:val="TableTitle"/>
              <w:tabs>
                <w:tab w:val="left" w:pos="3306"/>
              </w:tabs>
              <w:rPr>
                <w:rFonts w:cs="Calibri"/>
              </w:rPr>
            </w:pPr>
            <w:r w:rsidRPr="00A26DB2">
              <w:rPr>
                <w:rFonts w:cs="Calibri"/>
              </w:rPr>
              <w:t xml:space="preserve">$’000 </w:t>
            </w:r>
          </w:p>
        </w:tc>
        <w:tc>
          <w:tcPr>
            <w:tcW w:w="993" w:type="dxa"/>
            <w:tcBorders>
              <w:top w:val="nil"/>
              <w:left w:val="nil"/>
              <w:bottom w:val="nil"/>
              <w:right w:val="nil"/>
            </w:tcBorders>
            <w:vAlign w:val="bottom"/>
          </w:tcPr>
          <w:p w14:paraId="5B8E912A" w14:textId="77777777" w:rsidR="0019122B" w:rsidRPr="00A26DB2" w:rsidRDefault="0019122B" w:rsidP="0019122B">
            <w:pPr>
              <w:pStyle w:val="TableTitle"/>
              <w:tabs>
                <w:tab w:val="left" w:pos="3306"/>
              </w:tabs>
              <w:rPr>
                <w:rFonts w:cs="Calibri"/>
              </w:rPr>
            </w:pPr>
            <w:r w:rsidRPr="00A26DB2">
              <w:rPr>
                <w:rFonts w:cs="Calibri"/>
              </w:rPr>
              <w:t>Original</w:t>
            </w:r>
          </w:p>
          <w:p w14:paraId="0763CC8E" w14:textId="77777777" w:rsidR="0019122B" w:rsidRPr="00A26DB2" w:rsidRDefault="0019122B" w:rsidP="0019122B">
            <w:pPr>
              <w:pStyle w:val="TableTitle"/>
              <w:tabs>
                <w:tab w:val="left" w:pos="3306"/>
              </w:tabs>
              <w:rPr>
                <w:rFonts w:cs="Calibri"/>
              </w:rPr>
            </w:pPr>
            <w:r w:rsidRPr="00A26DB2">
              <w:rPr>
                <w:rFonts w:cs="Calibri"/>
              </w:rPr>
              <w:t xml:space="preserve">Budget </w:t>
            </w:r>
          </w:p>
          <w:p w14:paraId="213EC64C" w14:textId="4BCDF4DB" w:rsidR="001B231B" w:rsidRPr="00A26DB2" w:rsidRDefault="001B231B" w:rsidP="001B231B">
            <w:pPr>
              <w:pStyle w:val="TableTitle"/>
              <w:tabs>
                <w:tab w:val="left" w:pos="3306"/>
              </w:tabs>
              <w:rPr>
                <w:rFonts w:cs="Calibri"/>
              </w:rPr>
            </w:pPr>
            <w:r w:rsidRPr="00A26DB2">
              <w:rPr>
                <w:rFonts w:cs="Calibri"/>
              </w:rPr>
              <w:t>202</w:t>
            </w:r>
            <w:r w:rsidR="00663421" w:rsidRPr="00A26DB2">
              <w:rPr>
                <w:rFonts w:cs="Calibri"/>
              </w:rPr>
              <w:t>2</w:t>
            </w:r>
          </w:p>
          <w:p w14:paraId="329D5B98" w14:textId="77777777" w:rsidR="0019122B" w:rsidRPr="00A26DB2" w:rsidRDefault="0019122B" w:rsidP="0019122B">
            <w:pPr>
              <w:pStyle w:val="TableTitle"/>
              <w:tabs>
                <w:tab w:val="left" w:pos="3306"/>
              </w:tabs>
              <w:rPr>
                <w:rFonts w:cs="Calibri"/>
              </w:rPr>
            </w:pPr>
            <w:r w:rsidRPr="00A26DB2">
              <w:rPr>
                <w:rFonts w:cs="Calibri"/>
              </w:rPr>
              <w:t>$’000</w:t>
            </w:r>
          </w:p>
        </w:tc>
        <w:tc>
          <w:tcPr>
            <w:tcW w:w="992" w:type="dxa"/>
            <w:tcBorders>
              <w:top w:val="nil"/>
              <w:left w:val="nil"/>
              <w:bottom w:val="nil"/>
              <w:right w:val="nil"/>
            </w:tcBorders>
            <w:vAlign w:val="bottom"/>
          </w:tcPr>
          <w:p w14:paraId="59CFAF15" w14:textId="77777777" w:rsidR="0019122B" w:rsidRPr="00A26DB2" w:rsidRDefault="0019122B" w:rsidP="0019122B">
            <w:pPr>
              <w:pStyle w:val="TableTitle"/>
              <w:tabs>
                <w:tab w:val="left" w:pos="3306"/>
              </w:tabs>
              <w:rPr>
                <w:rFonts w:cs="Calibri"/>
              </w:rPr>
            </w:pPr>
            <w:r w:rsidRPr="00A26DB2">
              <w:rPr>
                <w:rFonts w:cs="Calibri"/>
              </w:rPr>
              <w:t>Actual</w:t>
            </w:r>
          </w:p>
          <w:p w14:paraId="795E606B" w14:textId="0993BBD2" w:rsidR="00620D4E" w:rsidRPr="00A26DB2" w:rsidRDefault="00620D4E" w:rsidP="00620D4E">
            <w:pPr>
              <w:pStyle w:val="TableTitle"/>
              <w:tabs>
                <w:tab w:val="left" w:pos="3306"/>
              </w:tabs>
              <w:rPr>
                <w:rFonts w:cs="Calibri"/>
              </w:rPr>
            </w:pPr>
            <w:r w:rsidRPr="00A26DB2">
              <w:rPr>
                <w:rFonts w:cs="Calibri"/>
              </w:rPr>
              <w:t>2021</w:t>
            </w:r>
          </w:p>
          <w:p w14:paraId="3B7E7B13" w14:textId="77777777" w:rsidR="0019122B" w:rsidRPr="00A26DB2" w:rsidRDefault="0019122B" w:rsidP="0019122B">
            <w:pPr>
              <w:pStyle w:val="TableTitle"/>
              <w:tabs>
                <w:tab w:val="left" w:pos="3306"/>
              </w:tabs>
              <w:rPr>
                <w:rFonts w:cs="Calibri"/>
              </w:rPr>
            </w:pPr>
            <w:r w:rsidRPr="00A26DB2">
              <w:rPr>
                <w:rFonts w:cs="Calibri"/>
              </w:rPr>
              <w:t>$’000</w:t>
            </w:r>
          </w:p>
        </w:tc>
      </w:tr>
      <w:tr w:rsidR="0019122B" w:rsidRPr="00CF7E1B" w14:paraId="2C09BECC" w14:textId="77777777" w:rsidTr="004D1EC6">
        <w:trPr>
          <w:gridAfter w:val="1"/>
          <w:wAfter w:w="51" w:type="dxa"/>
          <w:trHeight w:val="145"/>
        </w:trPr>
        <w:tc>
          <w:tcPr>
            <w:tcW w:w="1563" w:type="dxa"/>
            <w:tcBorders>
              <w:top w:val="nil"/>
              <w:left w:val="single" w:sz="2" w:space="0" w:color="auto"/>
              <w:bottom w:val="nil"/>
              <w:right w:val="single" w:sz="2" w:space="0" w:color="auto"/>
            </w:tcBorders>
          </w:tcPr>
          <w:p w14:paraId="1DEE2426" w14:textId="77777777" w:rsidR="0019122B" w:rsidRPr="00A26DB2" w:rsidRDefault="0019122B">
            <w:pPr>
              <w:pStyle w:val="TableReference"/>
              <w:tabs>
                <w:tab w:val="left" w:pos="3306"/>
              </w:tabs>
              <w:spacing w:before="40"/>
              <w:rPr>
                <w:rFonts w:cs="Calibri"/>
                <w:color w:val="7030A0"/>
                <w:sz w:val="14"/>
              </w:rPr>
            </w:pPr>
          </w:p>
        </w:tc>
        <w:tc>
          <w:tcPr>
            <w:tcW w:w="5103" w:type="dxa"/>
            <w:tcBorders>
              <w:top w:val="nil"/>
              <w:left w:val="single" w:sz="2" w:space="0" w:color="auto"/>
              <w:bottom w:val="nil"/>
              <w:right w:val="nil"/>
            </w:tcBorders>
            <w:vAlign w:val="bottom"/>
          </w:tcPr>
          <w:p w14:paraId="53ED9142" w14:textId="77777777" w:rsidR="0019122B" w:rsidRPr="00A26DB2" w:rsidRDefault="0019122B">
            <w:pPr>
              <w:pStyle w:val="TableText"/>
              <w:tabs>
                <w:tab w:val="left" w:pos="3306"/>
              </w:tabs>
              <w:rPr>
                <w:rFonts w:cs="Calibri"/>
                <w:b/>
                <w:bCs/>
              </w:rPr>
            </w:pPr>
          </w:p>
        </w:tc>
        <w:tc>
          <w:tcPr>
            <w:tcW w:w="850" w:type="dxa"/>
            <w:tcBorders>
              <w:top w:val="nil"/>
              <w:left w:val="nil"/>
              <w:bottom w:val="nil"/>
              <w:right w:val="nil"/>
            </w:tcBorders>
            <w:vAlign w:val="bottom"/>
          </w:tcPr>
          <w:p w14:paraId="5BEA6771" w14:textId="77777777" w:rsidR="0019122B" w:rsidRPr="00A26DB2" w:rsidRDefault="0019122B">
            <w:pPr>
              <w:pStyle w:val="TableText"/>
              <w:tabs>
                <w:tab w:val="left" w:pos="3306"/>
              </w:tabs>
              <w:jc w:val="center"/>
              <w:rPr>
                <w:rFonts w:cs="Calibri"/>
              </w:rPr>
            </w:pPr>
          </w:p>
        </w:tc>
        <w:tc>
          <w:tcPr>
            <w:tcW w:w="992" w:type="dxa"/>
            <w:tcBorders>
              <w:top w:val="nil"/>
              <w:left w:val="nil"/>
              <w:bottom w:val="nil"/>
              <w:right w:val="nil"/>
            </w:tcBorders>
            <w:vAlign w:val="bottom"/>
          </w:tcPr>
          <w:p w14:paraId="4A8F4B6B" w14:textId="77777777" w:rsidR="0019122B" w:rsidRPr="00A26DB2" w:rsidRDefault="0019122B">
            <w:pPr>
              <w:pStyle w:val="TableText"/>
              <w:tabs>
                <w:tab w:val="left" w:pos="3306"/>
              </w:tabs>
              <w:jc w:val="right"/>
              <w:rPr>
                <w:rFonts w:cs="Calibri"/>
                <w:b/>
                <w:bCs/>
              </w:rPr>
            </w:pPr>
          </w:p>
        </w:tc>
        <w:tc>
          <w:tcPr>
            <w:tcW w:w="993" w:type="dxa"/>
            <w:tcBorders>
              <w:top w:val="nil"/>
              <w:left w:val="nil"/>
              <w:bottom w:val="nil"/>
              <w:right w:val="nil"/>
            </w:tcBorders>
            <w:vAlign w:val="bottom"/>
          </w:tcPr>
          <w:p w14:paraId="764D1AE3" w14:textId="77777777" w:rsidR="0019122B" w:rsidRPr="00A26DB2" w:rsidRDefault="0019122B">
            <w:pPr>
              <w:pStyle w:val="TableText"/>
              <w:tabs>
                <w:tab w:val="left" w:pos="3306"/>
              </w:tabs>
              <w:jc w:val="right"/>
              <w:rPr>
                <w:rFonts w:cs="Calibri"/>
                <w:b/>
                <w:bCs/>
              </w:rPr>
            </w:pPr>
          </w:p>
        </w:tc>
        <w:tc>
          <w:tcPr>
            <w:tcW w:w="992" w:type="dxa"/>
            <w:tcBorders>
              <w:top w:val="nil"/>
              <w:left w:val="nil"/>
              <w:bottom w:val="nil"/>
              <w:right w:val="nil"/>
            </w:tcBorders>
            <w:vAlign w:val="bottom"/>
          </w:tcPr>
          <w:p w14:paraId="070D8090" w14:textId="77777777" w:rsidR="0019122B" w:rsidRPr="00A26DB2" w:rsidRDefault="0019122B">
            <w:pPr>
              <w:pStyle w:val="TableText"/>
              <w:tabs>
                <w:tab w:val="left" w:pos="3306"/>
              </w:tabs>
              <w:jc w:val="right"/>
              <w:rPr>
                <w:rFonts w:cs="Calibri"/>
                <w:b/>
                <w:bCs/>
              </w:rPr>
            </w:pPr>
          </w:p>
        </w:tc>
      </w:tr>
      <w:tr w:rsidR="000144FF" w:rsidRPr="00CF7E1B" w14:paraId="7952423E"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0CE97194"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10</w:t>
            </w:r>
          </w:p>
        </w:tc>
        <w:tc>
          <w:tcPr>
            <w:tcW w:w="5103" w:type="dxa"/>
            <w:tcBorders>
              <w:top w:val="nil"/>
              <w:left w:val="single" w:sz="2" w:space="0" w:color="auto"/>
            </w:tcBorders>
            <w:vAlign w:val="bottom"/>
          </w:tcPr>
          <w:p w14:paraId="72B6E998" w14:textId="77777777" w:rsidR="000144FF" w:rsidRPr="00A26DB2" w:rsidRDefault="000144FF" w:rsidP="005B695A">
            <w:pPr>
              <w:pStyle w:val="TableText"/>
              <w:tabs>
                <w:tab w:val="left" w:pos="3306"/>
              </w:tabs>
              <w:spacing w:after="60"/>
              <w:rPr>
                <w:rFonts w:cs="Calibri"/>
                <w:b/>
                <w:bCs/>
              </w:rPr>
            </w:pPr>
            <w:r w:rsidRPr="00A26DB2">
              <w:rPr>
                <w:rFonts w:cs="Calibri"/>
                <w:b/>
                <w:bCs/>
              </w:rPr>
              <w:t>Cash Flows from Financing Activities</w:t>
            </w:r>
          </w:p>
        </w:tc>
        <w:tc>
          <w:tcPr>
            <w:tcW w:w="850" w:type="dxa"/>
            <w:tcBorders>
              <w:top w:val="nil"/>
            </w:tcBorders>
            <w:vAlign w:val="bottom"/>
          </w:tcPr>
          <w:p w14:paraId="6E2C5A36"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368DBC55"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767EE650"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7D56784E" w14:textId="77777777" w:rsidR="000144FF" w:rsidRPr="00A26DB2" w:rsidRDefault="000144FF">
            <w:pPr>
              <w:pStyle w:val="TableText"/>
              <w:tabs>
                <w:tab w:val="left" w:pos="3306"/>
              </w:tabs>
              <w:jc w:val="right"/>
              <w:rPr>
                <w:rFonts w:cs="Calibri"/>
              </w:rPr>
            </w:pPr>
          </w:p>
        </w:tc>
      </w:tr>
      <w:tr w:rsidR="000144FF" w:rsidRPr="00CF7E1B" w14:paraId="3A019CA7"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63C432BE"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78DB845A" w14:textId="77777777" w:rsidR="000144FF" w:rsidRPr="00A26DB2" w:rsidRDefault="000144FF">
            <w:pPr>
              <w:pStyle w:val="TableText"/>
              <w:tabs>
                <w:tab w:val="left" w:pos="3306"/>
              </w:tabs>
              <w:rPr>
                <w:rFonts w:cs="Calibri"/>
                <w:b/>
                <w:bCs/>
              </w:rPr>
            </w:pPr>
            <w:bookmarkStart w:id="206" w:name="_Toc48468236"/>
            <w:bookmarkStart w:id="207" w:name="_Toc49155427"/>
            <w:bookmarkStart w:id="208" w:name="_Toc49223876"/>
            <w:r w:rsidRPr="00A26DB2">
              <w:rPr>
                <w:rFonts w:cs="Calibri"/>
                <w:b/>
                <w:bCs/>
              </w:rPr>
              <w:t>Receipts</w:t>
            </w:r>
            <w:bookmarkEnd w:id="206"/>
            <w:bookmarkEnd w:id="207"/>
            <w:bookmarkEnd w:id="208"/>
          </w:p>
        </w:tc>
        <w:tc>
          <w:tcPr>
            <w:tcW w:w="850" w:type="dxa"/>
            <w:tcBorders>
              <w:top w:val="nil"/>
            </w:tcBorders>
            <w:vAlign w:val="bottom"/>
          </w:tcPr>
          <w:p w14:paraId="18716F07"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52BD1C9C"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3BFF67EF"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50431ECE" w14:textId="77777777" w:rsidR="000144FF" w:rsidRPr="00A26DB2" w:rsidRDefault="000144FF">
            <w:pPr>
              <w:pStyle w:val="TableText"/>
              <w:tabs>
                <w:tab w:val="left" w:pos="3306"/>
              </w:tabs>
              <w:jc w:val="right"/>
              <w:rPr>
                <w:rFonts w:cs="Calibri"/>
              </w:rPr>
            </w:pPr>
          </w:p>
        </w:tc>
      </w:tr>
      <w:tr w:rsidR="000144FF" w:rsidRPr="00CF7E1B" w14:paraId="4A240669"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6AE38802"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35E5B0A9" w14:textId="77777777" w:rsidR="000144FF" w:rsidRPr="00A26DB2" w:rsidRDefault="000144FF">
            <w:pPr>
              <w:pStyle w:val="TableText"/>
              <w:tabs>
                <w:tab w:val="left" w:pos="3306"/>
              </w:tabs>
              <w:rPr>
                <w:rFonts w:cs="Calibri"/>
              </w:rPr>
            </w:pPr>
            <w:r w:rsidRPr="00A26DB2">
              <w:rPr>
                <w:rFonts w:cs="Calibri"/>
              </w:rPr>
              <w:t>Capital Injections</w:t>
            </w:r>
          </w:p>
        </w:tc>
        <w:tc>
          <w:tcPr>
            <w:tcW w:w="850" w:type="dxa"/>
            <w:tcBorders>
              <w:top w:val="nil"/>
            </w:tcBorders>
            <w:vAlign w:val="bottom"/>
          </w:tcPr>
          <w:p w14:paraId="47B707A7" w14:textId="77777777" w:rsidR="000144FF" w:rsidRPr="00A26DB2" w:rsidRDefault="000144FF">
            <w:pPr>
              <w:pStyle w:val="TableText"/>
              <w:tabs>
                <w:tab w:val="left" w:pos="3306"/>
              </w:tabs>
              <w:jc w:val="center"/>
              <w:rPr>
                <w:rFonts w:cs="Calibri"/>
              </w:rPr>
            </w:pPr>
          </w:p>
        </w:tc>
        <w:tc>
          <w:tcPr>
            <w:tcW w:w="992" w:type="dxa"/>
            <w:tcBorders>
              <w:top w:val="nil"/>
            </w:tcBorders>
            <w:vAlign w:val="bottom"/>
          </w:tcPr>
          <w:p w14:paraId="53AD7DB7" w14:textId="77777777" w:rsidR="000144FF" w:rsidRPr="00A26DB2" w:rsidRDefault="000144FF">
            <w:pPr>
              <w:pStyle w:val="TableText"/>
              <w:tabs>
                <w:tab w:val="left" w:pos="3306"/>
              </w:tabs>
              <w:jc w:val="right"/>
              <w:rPr>
                <w:rFonts w:cs="Calibri"/>
              </w:rPr>
            </w:pPr>
          </w:p>
        </w:tc>
        <w:tc>
          <w:tcPr>
            <w:tcW w:w="993" w:type="dxa"/>
            <w:tcBorders>
              <w:top w:val="nil"/>
            </w:tcBorders>
            <w:vAlign w:val="bottom"/>
          </w:tcPr>
          <w:p w14:paraId="41BCAC79" w14:textId="77777777" w:rsidR="000144FF" w:rsidRPr="00A26DB2" w:rsidRDefault="000144FF">
            <w:pPr>
              <w:pStyle w:val="TableText"/>
              <w:tabs>
                <w:tab w:val="left" w:pos="3306"/>
              </w:tabs>
              <w:jc w:val="right"/>
              <w:rPr>
                <w:rFonts w:cs="Calibri"/>
              </w:rPr>
            </w:pPr>
          </w:p>
        </w:tc>
        <w:tc>
          <w:tcPr>
            <w:tcW w:w="992" w:type="dxa"/>
            <w:tcBorders>
              <w:top w:val="nil"/>
              <w:right w:val="nil"/>
            </w:tcBorders>
            <w:vAlign w:val="bottom"/>
          </w:tcPr>
          <w:p w14:paraId="7E31735F" w14:textId="77777777" w:rsidR="000144FF" w:rsidRPr="00A26DB2" w:rsidRDefault="000144FF">
            <w:pPr>
              <w:pStyle w:val="TableText"/>
              <w:tabs>
                <w:tab w:val="left" w:pos="3306"/>
              </w:tabs>
              <w:jc w:val="right"/>
              <w:rPr>
                <w:rFonts w:cs="Calibri"/>
              </w:rPr>
            </w:pPr>
          </w:p>
        </w:tc>
      </w:tr>
      <w:tr w:rsidR="000144FF" w:rsidRPr="00CF7E1B" w14:paraId="3165BFE6"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6316D092"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17</w:t>
            </w:r>
            <w:r w:rsidR="00D001B7" w:rsidRPr="00A26DB2">
              <w:rPr>
                <w:rFonts w:cs="Calibri"/>
                <w:color w:val="7030A0"/>
                <w:sz w:val="14"/>
              </w:rPr>
              <w:t>(</w:t>
            </w:r>
            <w:r w:rsidRPr="00A26DB2">
              <w:rPr>
                <w:rFonts w:cs="Calibri"/>
                <w:color w:val="7030A0"/>
                <w:sz w:val="14"/>
              </w:rPr>
              <w:t>c)</w:t>
            </w:r>
          </w:p>
        </w:tc>
        <w:tc>
          <w:tcPr>
            <w:tcW w:w="5103" w:type="dxa"/>
            <w:tcBorders>
              <w:top w:val="nil"/>
              <w:left w:val="single" w:sz="2" w:space="0" w:color="auto"/>
            </w:tcBorders>
            <w:vAlign w:val="bottom"/>
          </w:tcPr>
          <w:p w14:paraId="7D4C567D" w14:textId="77777777" w:rsidR="000144FF" w:rsidRPr="00A26DB2" w:rsidRDefault="000144FF">
            <w:pPr>
              <w:pStyle w:val="TableText"/>
              <w:tabs>
                <w:tab w:val="left" w:pos="3306"/>
              </w:tabs>
              <w:rPr>
                <w:rFonts w:cs="Calibri"/>
              </w:rPr>
            </w:pPr>
            <w:r w:rsidRPr="00A26DB2">
              <w:rPr>
                <w:rFonts w:cs="Calibri"/>
              </w:rPr>
              <w:t>Proceeds from Borrowings</w:t>
            </w:r>
          </w:p>
        </w:tc>
        <w:tc>
          <w:tcPr>
            <w:tcW w:w="850" w:type="dxa"/>
            <w:tcBorders>
              <w:top w:val="nil"/>
            </w:tcBorders>
            <w:vAlign w:val="bottom"/>
          </w:tcPr>
          <w:p w14:paraId="749EF75D" w14:textId="77777777" w:rsidR="000144FF" w:rsidRPr="00A26DB2" w:rsidRDefault="000144FF">
            <w:pPr>
              <w:pStyle w:val="TableText"/>
              <w:tabs>
                <w:tab w:val="left" w:pos="3306"/>
              </w:tabs>
              <w:jc w:val="center"/>
              <w:rPr>
                <w:rFonts w:cs="Calibri"/>
              </w:rPr>
            </w:pPr>
          </w:p>
        </w:tc>
        <w:tc>
          <w:tcPr>
            <w:tcW w:w="992" w:type="dxa"/>
            <w:tcBorders>
              <w:top w:val="nil"/>
              <w:bottom w:val="nil"/>
            </w:tcBorders>
            <w:vAlign w:val="bottom"/>
          </w:tcPr>
          <w:p w14:paraId="118491AA" w14:textId="77777777" w:rsidR="000144FF" w:rsidRPr="00A26DB2" w:rsidRDefault="000144FF">
            <w:pPr>
              <w:pStyle w:val="TableText"/>
              <w:tabs>
                <w:tab w:val="left" w:pos="3306"/>
              </w:tabs>
              <w:jc w:val="right"/>
              <w:rPr>
                <w:rFonts w:cs="Calibri"/>
              </w:rPr>
            </w:pPr>
          </w:p>
        </w:tc>
        <w:tc>
          <w:tcPr>
            <w:tcW w:w="993" w:type="dxa"/>
            <w:tcBorders>
              <w:top w:val="nil"/>
              <w:bottom w:val="nil"/>
            </w:tcBorders>
            <w:vAlign w:val="bottom"/>
          </w:tcPr>
          <w:p w14:paraId="25D4E95F" w14:textId="77777777" w:rsidR="000144FF" w:rsidRPr="00A26DB2" w:rsidRDefault="000144FF">
            <w:pPr>
              <w:pStyle w:val="TableText"/>
              <w:tabs>
                <w:tab w:val="left" w:pos="3306"/>
              </w:tabs>
              <w:jc w:val="right"/>
              <w:rPr>
                <w:rFonts w:cs="Calibri"/>
              </w:rPr>
            </w:pPr>
          </w:p>
        </w:tc>
        <w:tc>
          <w:tcPr>
            <w:tcW w:w="992" w:type="dxa"/>
            <w:tcBorders>
              <w:top w:val="nil"/>
              <w:bottom w:val="nil"/>
              <w:right w:val="nil"/>
            </w:tcBorders>
            <w:vAlign w:val="bottom"/>
          </w:tcPr>
          <w:p w14:paraId="7409A758" w14:textId="77777777" w:rsidR="000144FF" w:rsidRPr="00A26DB2" w:rsidRDefault="000144FF">
            <w:pPr>
              <w:pStyle w:val="TableText"/>
              <w:tabs>
                <w:tab w:val="left" w:pos="3306"/>
              </w:tabs>
              <w:jc w:val="right"/>
              <w:rPr>
                <w:rFonts w:cs="Calibri"/>
              </w:rPr>
            </w:pPr>
          </w:p>
        </w:tc>
      </w:tr>
      <w:tr w:rsidR="000144FF" w:rsidRPr="00CF7E1B" w14:paraId="38B89C29"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277FA7CF"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67556E17" w14:textId="77777777" w:rsidR="000144FF" w:rsidRPr="00A26DB2" w:rsidRDefault="000144FF">
            <w:pPr>
              <w:pStyle w:val="TableText"/>
              <w:tabs>
                <w:tab w:val="left" w:pos="3306"/>
              </w:tabs>
              <w:rPr>
                <w:rFonts w:cs="Calibri"/>
              </w:rPr>
            </w:pPr>
            <w:r w:rsidRPr="00A26DB2">
              <w:rPr>
                <w:rFonts w:cs="Calibri"/>
              </w:rPr>
              <w:t>Receipts of Transferred Cash Balances</w:t>
            </w:r>
          </w:p>
        </w:tc>
        <w:tc>
          <w:tcPr>
            <w:tcW w:w="850" w:type="dxa"/>
            <w:tcBorders>
              <w:top w:val="nil"/>
            </w:tcBorders>
            <w:vAlign w:val="bottom"/>
          </w:tcPr>
          <w:p w14:paraId="536D438B" w14:textId="77777777" w:rsidR="000144FF" w:rsidRPr="00A26DB2" w:rsidRDefault="000144FF">
            <w:pPr>
              <w:pStyle w:val="TableText"/>
              <w:tabs>
                <w:tab w:val="left" w:pos="3306"/>
              </w:tabs>
              <w:jc w:val="center"/>
              <w:rPr>
                <w:rFonts w:cs="Calibri"/>
              </w:rPr>
            </w:pPr>
          </w:p>
        </w:tc>
        <w:tc>
          <w:tcPr>
            <w:tcW w:w="992" w:type="dxa"/>
            <w:tcBorders>
              <w:top w:val="nil"/>
              <w:bottom w:val="single" w:sz="4" w:space="0" w:color="auto"/>
            </w:tcBorders>
            <w:vAlign w:val="bottom"/>
          </w:tcPr>
          <w:p w14:paraId="21C50783" w14:textId="77777777" w:rsidR="000144FF" w:rsidRPr="00A26DB2" w:rsidRDefault="000144FF">
            <w:pPr>
              <w:pStyle w:val="TableText"/>
              <w:tabs>
                <w:tab w:val="left" w:pos="3306"/>
              </w:tabs>
              <w:jc w:val="right"/>
              <w:rPr>
                <w:rFonts w:cs="Calibri"/>
              </w:rPr>
            </w:pPr>
          </w:p>
        </w:tc>
        <w:tc>
          <w:tcPr>
            <w:tcW w:w="993" w:type="dxa"/>
            <w:tcBorders>
              <w:top w:val="nil"/>
              <w:bottom w:val="single" w:sz="4" w:space="0" w:color="auto"/>
            </w:tcBorders>
            <w:vAlign w:val="bottom"/>
          </w:tcPr>
          <w:p w14:paraId="1EBDE22A" w14:textId="77777777" w:rsidR="000144FF" w:rsidRPr="00A26DB2" w:rsidRDefault="000144FF">
            <w:pPr>
              <w:pStyle w:val="TableText"/>
              <w:tabs>
                <w:tab w:val="left" w:pos="3306"/>
              </w:tabs>
              <w:jc w:val="right"/>
              <w:rPr>
                <w:rFonts w:cs="Calibri"/>
              </w:rPr>
            </w:pPr>
          </w:p>
        </w:tc>
        <w:tc>
          <w:tcPr>
            <w:tcW w:w="992" w:type="dxa"/>
            <w:tcBorders>
              <w:top w:val="nil"/>
              <w:bottom w:val="single" w:sz="4" w:space="0" w:color="auto"/>
              <w:right w:val="nil"/>
            </w:tcBorders>
            <w:vAlign w:val="bottom"/>
          </w:tcPr>
          <w:p w14:paraId="759A3A39" w14:textId="77777777" w:rsidR="000144FF" w:rsidRPr="00A26DB2" w:rsidRDefault="000144FF">
            <w:pPr>
              <w:pStyle w:val="TableText"/>
              <w:tabs>
                <w:tab w:val="left" w:pos="3306"/>
              </w:tabs>
              <w:jc w:val="right"/>
              <w:rPr>
                <w:rFonts w:cs="Calibri"/>
              </w:rPr>
            </w:pPr>
          </w:p>
        </w:tc>
      </w:tr>
      <w:tr w:rsidR="000144FF" w:rsidRPr="00CF7E1B" w14:paraId="4EC542B8"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Height w:val="105"/>
        </w:trPr>
        <w:tc>
          <w:tcPr>
            <w:tcW w:w="1563" w:type="dxa"/>
            <w:tcBorders>
              <w:left w:val="single" w:sz="2" w:space="0" w:color="auto"/>
              <w:right w:val="single" w:sz="2" w:space="0" w:color="auto"/>
            </w:tcBorders>
          </w:tcPr>
          <w:p w14:paraId="1D4BA9B0" w14:textId="77777777" w:rsidR="000144FF" w:rsidRPr="00A26DB2" w:rsidRDefault="000144FF">
            <w:pPr>
              <w:pStyle w:val="TableReference"/>
              <w:tabs>
                <w:tab w:val="left" w:pos="3306"/>
              </w:tabs>
              <w:spacing w:before="40"/>
              <w:rPr>
                <w:rFonts w:cs="Calibri"/>
                <w:color w:val="7030A0"/>
                <w:sz w:val="14"/>
              </w:rPr>
            </w:pPr>
          </w:p>
        </w:tc>
        <w:tc>
          <w:tcPr>
            <w:tcW w:w="5103" w:type="dxa"/>
            <w:tcBorders>
              <w:top w:val="nil"/>
              <w:left w:val="single" w:sz="2" w:space="0" w:color="auto"/>
            </w:tcBorders>
            <w:vAlign w:val="bottom"/>
          </w:tcPr>
          <w:p w14:paraId="7AB981C7" w14:textId="77777777" w:rsidR="000144FF" w:rsidRPr="00A26DB2" w:rsidRDefault="000144FF" w:rsidP="005B695A">
            <w:pPr>
              <w:pStyle w:val="TableText"/>
              <w:tabs>
                <w:tab w:val="left" w:pos="3306"/>
              </w:tabs>
              <w:spacing w:after="120"/>
              <w:rPr>
                <w:rFonts w:cs="Calibri"/>
                <w:b/>
                <w:bCs/>
              </w:rPr>
            </w:pPr>
            <w:r w:rsidRPr="00A26DB2">
              <w:rPr>
                <w:rFonts w:cs="Calibri"/>
                <w:b/>
                <w:bCs/>
              </w:rPr>
              <w:t>Total Receipts from Financing Activities</w:t>
            </w:r>
          </w:p>
        </w:tc>
        <w:tc>
          <w:tcPr>
            <w:tcW w:w="850" w:type="dxa"/>
            <w:tcBorders>
              <w:top w:val="nil"/>
            </w:tcBorders>
            <w:vAlign w:val="bottom"/>
          </w:tcPr>
          <w:p w14:paraId="39B49C04" w14:textId="77777777" w:rsidR="000144FF" w:rsidRPr="00A26DB2" w:rsidRDefault="000144FF">
            <w:pPr>
              <w:pStyle w:val="TableText"/>
              <w:tabs>
                <w:tab w:val="left" w:pos="3306"/>
              </w:tabs>
              <w:jc w:val="center"/>
              <w:rPr>
                <w:rFonts w:cs="Calibri"/>
              </w:rPr>
            </w:pPr>
          </w:p>
        </w:tc>
        <w:tc>
          <w:tcPr>
            <w:tcW w:w="992" w:type="dxa"/>
            <w:tcBorders>
              <w:top w:val="single" w:sz="4" w:space="0" w:color="auto"/>
            </w:tcBorders>
            <w:vAlign w:val="bottom"/>
          </w:tcPr>
          <w:p w14:paraId="60D20E82" w14:textId="77777777" w:rsidR="000144FF" w:rsidRPr="00A26DB2" w:rsidRDefault="000144FF">
            <w:pPr>
              <w:pStyle w:val="TableText"/>
              <w:tabs>
                <w:tab w:val="left" w:pos="3306"/>
              </w:tabs>
              <w:jc w:val="right"/>
              <w:rPr>
                <w:rFonts w:cs="Calibri"/>
                <w:b/>
                <w:bCs/>
              </w:rPr>
            </w:pPr>
          </w:p>
        </w:tc>
        <w:tc>
          <w:tcPr>
            <w:tcW w:w="993" w:type="dxa"/>
            <w:tcBorders>
              <w:top w:val="single" w:sz="4" w:space="0" w:color="auto"/>
            </w:tcBorders>
            <w:vAlign w:val="bottom"/>
          </w:tcPr>
          <w:p w14:paraId="75836EE2" w14:textId="77777777" w:rsidR="000144FF" w:rsidRPr="00A26DB2" w:rsidRDefault="000144FF">
            <w:pPr>
              <w:pStyle w:val="TableText"/>
              <w:tabs>
                <w:tab w:val="left" w:pos="3306"/>
              </w:tabs>
              <w:jc w:val="right"/>
              <w:rPr>
                <w:rFonts w:cs="Calibri"/>
                <w:b/>
                <w:bCs/>
              </w:rPr>
            </w:pPr>
          </w:p>
        </w:tc>
        <w:tc>
          <w:tcPr>
            <w:tcW w:w="992" w:type="dxa"/>
            <w:tcBorders>
              <w:top w:val="single" w:sz="4" w:space="0" w:color="auto"/>
              <w:right w:val="nil"/>
            </w:tcBorders>
            <w:vAlign w:val="bottom"/>
          </w:tcPr>
          <w:p w14:paraId="4E41D640" w14:textId="77777777" w:rsidR="000144FF" w:rsidRPr="00A26DB2" w:rsidRDefault="000144FF">
            <w:pPr>
              <w:pStyle w:val="TableText"/>
              <w:tabs>
                <w:tab w:val="left" w:pos="3306"/>
              </w:tabs>
              <w:jc w:val="right"/>
              <w:rPr>
                <w:rFonts w:cs="Calibri"/>
                <w:b/>
                <w:bCs/>
              </w:rPr>
            </w:pPr>
          </w:p>
        </w:tc>
      </w:tr>
      <w:tr w:rsidR="000144FF" w:rsidRPr="00CF7E1B" w14:paraId="70723445"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009D7526" w14:textId="77777777" w:rsidR="000144FF" w:rsidRPr="00A26DB2" w:rsidRDefault="000144FF" w:rsidP="0019122B">
            <w:pPr>
              <w:rPr>
                <w:rFonts w:cs="Calibri"/>
                <w:color w:val="7030A0"/>
                <w:sz w:val="14"/>
                <w:szCs w:val="14"/>
              </w:rPr>
            </w:pPr>
          </w:p>
        </w:tc>
        <w:tc>
          <w:tcPr>
            <w:tcW w:w="5103" w:type="dxa"/>
            <w:tcBorders>
              <w:left w:val="single" w:sz="2" w:space="0" w:color="auto"/>
            </w:tcBorders>
            <w:vAlign w:val="bottom"/>
          </w:tcPr>
          <w:p w14:paraId="33A3E04A" w14:textId="77777777" w:rsidR="000144FF" w:rsidRPr="00A26DB2" w:rsidRDefault="000144FF">
            <w:pPr>
              <w:pStyle w:val="TableText"/>
              <w:tabs>
                <w:tab w:val="left" w:pos="3306"/>
              </w:tabs>
              <w:rPr>
                <w:rFonts w:cs="Calibri"/>
                <w:b/>
                <w:bCs/>
              </w:rPr>
            </w:pPr>
            <w:r w:rsidRPr="00A26DB2">
              <w:rPr>
                <w:rFonts w:cs="Calibri"/>
                <w:b/>
                <w:bCs/>
              </w:rPr>
              <w:t>Payments</w:t>
            </w:r>
          </w:p>
        </w:tc>
        <w:tc>
          <w:tcPr>
            <w:tcW w:w="850" w:type="dxa"/>
            <w:vAlign w:val="bottom"/>
          </w:tcPr>
          <w:p w14:paraId="30E0342D" w14:textId="77777777" w:rsidR="000144FF" w:rsidRPr="00A26DB2" w:rsidRDefault="000144FF">
            <w:pPr>
              <w:pStyle w:val="TableText"/>
              <w:tabs>
                <w:tab w:val="left" w:pos="3306"/>
              </w:tabs>
              <w:jc w:val="center"/>
              <w:rPr>
                <w:rFonts w:cs="Calibri"/>
              </w:rPr>
            </w:pPr>
          </w:p>
        </w:tc>
        <w:tc>
          <w:tcPr>
            <w:tcW w:w="992" w:type="dxa"/>
            <w:vAlign w:val="bottom"/>
          </w:tcPr>
          <w:p w14:paraId="243E77A8" w14:textId="77777777" w:rsidR="000144FF" w:rsidRPr="00A26DB2" w:rsidRDefault="000144FF">
            <w:pPr>
              <w:pStyle w:val="TableText"/>
              <w:tabs>
                <w:tab w:val="left" w:pos="3306"/>
              </w:tabs>
              <w:jc w:val="right"/>
              <w:rPr>
                <w:rFonts w:cs="Calibri"/>
              </w:rPr>
            </w:pPr>
          </w:p>
        </w:tc>
        <w:tc>
          <w:tcPr>
            <w:tcW w:w="993" w:type="dxa"/>
            <w:vAlign w:val="bottom"/>
          </w:tcPr>
          <w:p w14:paraId="0B8126F0" w14:textId="77777777" w:rsidR="000144FF" w:rsidRPr="00A26DB2" w:rsidRDefault="000144FF">
            <w:pPr>
              <w:pStyle w:val="TableText"/>
              <w:tabs>
                <w:tab w:val="left" w:pos="3306"/>
              </w:tabs>
              <w:jc w:val="right"/>
              <w:rPr>
                <w:rFonts w:cs="Calibri"/>
              </w:rPr>
            </w:pPr>
          </w:p>
        </w:tc>
        <w:tc>
          <w:tcPr>
            <w:tcW w:w="992" w:type="dxa"/>
            <w:tcBorders>
              <w:right w:val="nil"/>
            </w:tcBorders>
            <w:vAlign w:val="bottom"/>
          </w:tcPr>
          <w:p w14:paraId="74BF782C" w14:textId="77777777" w:rsidR="000144FF" w:rsidRPr="00A26DB2" w:rsidRDefault="000144FF">
            <w:pPr>
              <w:pStyle w:val="TableText"/>
              <w:tabs>
                <w:tab w:val="left" w:pos="3306"/>
              </w:tabs>
              <w:jc w:val="right"/>
              <w:rPr>
                <w:rFonts w:cs="Calibri"/>
              </w:rPr>
            </w:pPr>
          </w:p>
        </w:tc>
      </w:tr>
      <w:tr w:rsidR="000144FF" w:rsidRPr="00CF7E1B" w14:paraId="58F3E4A3"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684C1C19" w14:textId="77777777" w:rsidR="000144FF" w:rsidRPr="00A26DB2" w:rsidRDefault="000144F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4ADECD9D" w14:textId="77777777" w:rsidR="000144FF" w:rsidRPr="00A26DB2" w:rsidRDefault="000144FF">
            <w:pPr>
              <w:pStyle w:val="TableText"/>
              <w:tabs>
                <w:tab w:val="left" w:pos="3306"/>
              </w:tabs>
              <w:rPr>
                <w:rFonts w:cs="Calibri"/>
              </w:rPr>
            </w:pPr>
            <w:r w:rsidRPr="00A26DB2">
              <w:rPr>
                <w:rFonts w:cs="Calibri"/>
              </w:rPr>
              <w:t>Distributions to Government</w:t>
            </w:r>
          </w:p>
        </w:tc>
        <w:tc>
          <w:tcPr>
            <w:tcW w:w="850" w:type="dxa"/>
            <w:vAlign w:val="bottom"/>
          </w:tcPr>
          <w:p w14:paraId="6082D467" w14:textId="77777777" w:rsidR="000144FF" w:rsidRPr="00A26DB2" w:rsidRDefault="000144FF">
            <w:pPr>
              <w:pStyle w:val="TableText"/>
              <w:tabs>
                <w:tab w:val="left" w:pos="3306"/>
              </w:tabs>
              <w:jc w:val="center"/>
              <w:rPr>
                <w:rFonts w:cs="Calibri"/>
              </w:rPr>
            </w:pPr>
          </w:p>
        </w:tc>
        <w:tc>
          <w:tcPr>
            <w:tcW w:w="992" w:type="dxa"/>
            <w:vAlign w:val="bottom"/>
          </w:tcPr>
          <w:p w14:paraId="161B617E" w14:textId="77777777" w:rsidR="000144FF" w:rsidRPr="00A26DB2" w:rsidRDefault="000144FF">
            <w:pPr>
              <w:pStyle w:val="TableText"/>
              <w:tabs>
                <w:tab w:val="left" w:pos="3306"/>
              </w:tabs>
              <w:jc w:val="right"/>
              <w:rPr>
                <w:rFonts w:cs="Calibri"/>
              </w:rPr>
            </w:pPr>
          </w:p>
        </w:tc>
        <w:tc>
          <w:tcPr>
            <w:tcW w:w="993" w:type="dxa"/>
            <w:vAlign w:val="bottom"/>
          </w:tcPr>
          <w:p w14:paraId="3377CBBB" w14:textId="77777777" w:rsidR="000144FF" w:rsidRPr="00A26DB2" w:rsidRDefault="000144FF">
            <w:pPr>
              <w:pStyle w:val="TableText"/>
              <w:tabs>
                <w:tab w:val="left" w:pos="3306"/>
              </w:tabs>
              <w:jc w:val="right"/>
              <w:rPr>
                <w:rFonts w:cs="Calibri"/>
              </w:rPr>
            </w:pPr>
          </w:p>
        </w:tc>
        <w:tc>
          <w:tcPr>
            <w:tcW w:w="992" w:type="dxa"/>
            <w:tcBorders>
              <w:right w:val="nil"/>
            </w:tcBorders>
            <w:vAlign w:val="bottom"/>
          </w:tcPr>
          <w:p w14:paraId="15CF9E2D" w14:textId="77777777" w:rsidR="000144FF" w:rsidRPr="00A26DB2" w:rsidRDefault="000144FF">
            <w:pPr>
              <w:pStyle w:val="TableText"/>
              <w:tabs>
                <w:tab w:val="left" w:pos="3306"/>
              </w:tabs>
              <w:jc w:val="right"/>
              <w:rPr>
                <w:rFonts w:cs="Calibri"/>
              </w:rPr>
            </w:pPr>
          </w:p>
        </w:tc>
      </w:tr>
      <w:tr w:rsidR="000144FF" w:rsidRPr="00CF7E1B" w14:paraId="7BF47CFF"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1F971536"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17</w:t>
            </w:r>
            <w:r w:rsidR="00D001B7" w:rsidRPr="00A26DB2">
              <w:rPr>
                <w:rFonts w:cs="Calibri"/>
                <w:color w:val="7030A0"/>
                <w:sz w:val="14"/>
              </w:rPr>
              <w:t>(</w:t>
            </w:r>
            <w:r w:rsidRPr="00A26DB2">
              <w:rPr>
                <w:rFonts w:cs="Calibri"/>
                <w:color w:val="7030A0"/>
                <w:sz w:val="14"/>
              </w:rPr>
              <w:t>d)</w:t>
            </w:r>
          </w:p>
        </w:tc>
        <w:tc>
          <w:tcPr>
            <w:tcW w:w="5103" w:type="dxa"/>
            <w:tcBorders>
              <w:left w:val="single" w:sz="2" w:space="0" w:color="auto"/>
            </w:tcBorders>
            <w:vAlign w:val="bottom"/>
          </w:tcPr>
          <w:p w14:paraId="021583D9" w14:textId="77777777" w:rsidR="000144FF" w:rsidRPr="00A26DB2" w:rsidRDefault="000144FF">
            <w:pPr>
              <w:pStyle w:val="TableText"/>
              <w:tabs>
                <w:tab w:val="left" w:pos="3306"/>
              </w:tabs>
              <w:rPr>
                <w:rFonts w:cs="Calibri"/>
              </w:rPr>
            </w:pPr>
            <w:r w:rsidRPr="00A26DB2">
              <w:rPr>
                <w:rFonts w:cs="Calibri"/>
              </w:rPr>
              <w:t>Repayment of Borrowings</w:t>
            </w:r>
          </w:p>
        </w:tc>
        <w:tc>
          <w:tcPr>
            <w:tcW w:w="850" w:type="dxa"/>
            <w:vAlign w:val="bottom"/>
          </w:tcPr>
          <w:p w14:paraId="0E6FDD66" w14:textId="77777777" w:rsidR="000144FF" w:rsidRPr="00A26DB2" w:rsidRDefault="000144FF">
            <w:pPr>
              <w:pStyle w:val="TableText"/>
              <w:tabs>
                <w:tab w:val="left" w:pos="3306"/>
              </w:tabs>
              <w:jc w:val="center"/>
              <w:rPr>
                <w:rFonts w:cs="Calibri"/>
              </w:rPr>
            </w:pPr>
          </w:p>
        </w:tc>
        <w:tc>
          <w:tcPr>
            <w:tcW w:w="992" w:type="dxa"/>
            <w:tcBorders>
              <w:bottom w:val="nil"/>
            </w:tcBorders>
            <w:vAlign w:val="bottom"/>
          </w:tcPr>
          <w:p w14:paraId="748D430F" w14:textId="77777777" w:rsidR="000144FF" w:rsidRPr="00A26DB2" w:rsidRDefault="000144FF">
            <w:pPr>
              <w:pStyle w:val="TableText"/>
              <w:tabs>
                <w:tab w:val="left" w:pos="3306"/>
              </w:tabs>
              <w:jc w:val="right"/>
              <w:rPr>
                <w:rFonts w:cs="Calibri"/>
              </w:rPr>
            </w:pPr>
          </w:p>
        </w:tc>
        <w:tc>
          <w:tcPr>
            <w:tcW w:w="993" w:type="dxa"/>
            <w:tcBorders>
              <w:bottom w:val="nil"/>
            </w:tcBorders>
            <w:vAlign w:val="bottom"/>
          </w:tcPr>
          <w:p w14:paraId="6A527F59" w14:textId="77777777" w:rsidR="000144FF" w:rsidRPr="00A26DB2" w:rsidRDefault="000144FF">
            <w:pPr>
              <w:pStyle w:val="TableText"/>
              <w:tabs>
                <w:tab w:val="left" w:pos="3306"/>
              </w:tabs>
              <w:jc w:val="right"/>
              <w:rPr>
                <w:rFonts w:cs="Calibri"/>
              </w:rPr>
            </w:pPr>
          </w:p>
        </w:tc>
        <w:tc>
          <w:tcPr>
            <w:tcW w:w="992" w:type="dxa"/>
            <w:tcBorders>
              <w:bottom w:val="nil"/>
              <w:right w:val="nil"/>
            </w:tcBorders>
            <w:vAlign w:val="bottom"/>
          </w:tcPr>
          <w:p w14:paraId="79EC5E8F" w14:textId="77777777" w:rsidR="000144FF" w:rsidRPr="00A26DB2" w:rsidRDefault="000144FF">
            <w:pPr>
              <w:pStyle w:val="TableText"/>
              <w:tabs>
                <w:tab w:val="left" w:pos="3306"/>
              </w:tabs>
              <w:jc w:val="right"/>
              <w:rPr>
                <w:rFonts w:cs="Calibri"/>
              </w:rPr>
            </w:pPr>
          </w:p>
        </w:tc>
      </w:tr>
      <w:tr w:rsidR="00970FDF" w:rsidRPr="00CF7E1B" w14:paraId="1DB49CB3"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4F15615A" w14:textId="77777777" w:rsidR="00970FDF" w:rsidRPr="00A26DB2" w:rsidRDefault="00970FDF" w:rsidP="00970FDF">
            <w:pPr>
              <w:pStyle w:val="TableReference"/>
              <w:tabs>
                <w:tab w:val="left" w:pos="3306"/>
              </w:tabs>
              <w:spacing w:before="60"/>
              <w:rPr>
                <w:rFonts w:cs="Calibri"/>
                <w:color w:val="7030A0"/>
                <w:sz w:val="14"/>
              </w:rPr>
            </w:pPr>
            <w:r w:rsidRPr="00A26DB2">
              <w:rPr>
                <w:rFonts w:cs="Calibri"/>
                <w:color w:val="7030A0"/>
                <w:sz w:val="14"/>
              </w:rPr>
              <w:t>AASB 107.17(e)</w:t>
            </w:r>
          </w:p>
          <w:p w14:paraId="02448AD9" w14:textId="77777777" w:rsidR="00D032F3" w:rsidRPr="00A26DB2" w:rsidRDefault="00D032F3" w:rsidP="00970FDF">
            <w:pPr>
              <w:pStyle w:val="TableReference"/>
              <w:tabs>
                <w:tab w:val="left" w:pos="3306"/>
              </w:tabs>
              <w:spacing w:before="60"/>
              <w:rPr>
                <w:rFonts w:cs="Calibri"/>
                <w:color w:val="7030A0"/>
                <w:sz w:val="14"/>
              </w:rPr>
            </w:pPr>
            <w:r w:rsidRPr="00A26DB2">
              <w:rPr>
                <w:rFonts w:cs="Calibri"/>
                <w:color w:val="7030A0"/>
                <w:sz w:val="14"/>
              </w:rPr>
              <w:t>AASB 16.50(a)</w:t>
            </w:r>
          </w:p>
        </w:tc>
        <w:tc>
          <w:tcPr>
            <w:tcW w:w="5103" w:type="dxa"/>
            <w:tcBorders>
              <w:left w:val="single" w:sz="2" w:space="0" w:color="auto"/>
            </w:tcBorders>
          </w:tcPr>
          <w:p w14:paraId="1A8F4F72" w14:textId="3E240DF6" w:rsidR="00970FDF" w:rsidRPr="00A26DB2" w:rsidRDefault="00970FDF" w:rsidP="00217D36">
            <w:pPr>
              <w:pStyle w:val="TableText"/>
              <w:tabs>
                <w:tab w:val="left" w:pos="3306"/>
              </w:tabs>
              <w:rPr>
                <w:rFonts w:cs="Calibri"/>
              </w:rPr>
            </w:pPr>
            <w:r w:rsidRPr="00A26DB2">
              <w:rPr>
                <w:rFonts w:cs="Calibri"/>
              </w:rPr>
              <w:t xml:space="preserve">Repayment </w:t>
            </w:r>
            <w:r w:rsidR="00D30C12" w:rsidRPr="00A26DB2">
              <w:rPr>
                <w:rFonts w:cs="Calibri"/>
              </w:rPr>
              <w:t xml:space="preserve">of </w:t>
            </w:r>
            <w:r w:rsidRPr="00A26DB2">
              <w:rPr>
                <w:rFonts w:cs="Calibri"/>
              </w:rPr>
              <w:t>Lease Liabilities</w:t>
            </w:r>
            <w:r w:rsidR="00A21A66" w:rsidRPr="00A26DB2">
              <w:rPr>
                <w:rFonts w:cs="Calibri"/>
              </w:rPr>
              <w:t xml:space="preserve"> </w:t>
            </w:r>
            <w:r w:rsidR="00776995" w:rsidRPr="00A26DB2">
              <w:rPr>
                <w:rFonts w:cs="Calibri"/>
              </w:rPr>
              <w:t>–</w:t>
            </w:r>
            <w:r w:rsidR="00A21A66" w:rsidRPr="00A26DB2">
              <w:rPr>
                <w:rFonts w:cs="Calibri"/>
              </w:rPr>
              <w:t xml:space="preserve"> Principal</w:t>
            </w:r>
          </w:p>
        </w:tc>
        <w:tc>
          <w:tcPr>
            <w:tcW w:w="850" w:type="dxa"/>
            <w:vAlign w:val="bottom"/>
          </w:tcPr>
          <w:p w14:paraId="06E78D21" w14:textId="77777777" w:rsidR="00970FDF" w:rsidRPr="00A26DB2" w:rsidRDefault="00970FDF" w:rsidP="00970FDF">
            <w:pPr>
              <w:pStyle w:val="TableText"/>
              <w:tabs>
                <w:tab w:val="left" w:pos="3306"/>
              </w:tabs>
              <w:jc w:val="center"/>
              <w:rPr>
                <w:rFonts w:cs="Calibri"/>
              </w:rPr>
            </w:pPr>
          </w:p>
        </w:tc>
        <w:tc>
          <w:tcPr>
            <w:tcW w:w="992" w:type="dxa"/>
            <w:tcBorders>
              <w:bottom w:val="nil"/>
            </w:tcBorders>
            <w:shd w:val="clear" w:color="auto" w:fill="auto"/>
            <w:vAlign w:val="bottom"/>
          </w:tcPr>
          <w:p w14:paraId="7C1DE4C1" w14:textId="77777777" w:rsidR="00970FDF" w:rsidRPr="00A26DB2" w:rsidRDefault="00970FDF" w:rsidP="00970FDF">
            <w:pPr>
              <w:pStyle w:val="TableText"/>
              <w:tabs>
                <w:tab w:val="left" w:pos="3306"/>
              </w:tabs>
              <w:jc w:val="right"/>
              <w:rPr>
                <w:rFonts w:cs="Calibri"/>
              </w:rPr>
            </w:pPr>
          </w:p>
        </w:tc>
        <w:tc>
          <w:tcPr>
            <w:tcW w:w="993" w:type="dxa"/>
            <w:tcBorders>
              <w:bottom w:val="nil"/>
            </w:tcBorders>
            <w:shd w:val="clear" w:color="auto" w:fill="auto"/>
            <w:vAlign w:val="bottom"/>
          </w:tcPr>
          <w:p w14:paraId="21DDC20B" w14:textId="77777777" w:rsidR="00970FDF" w:rsidRPr="00A26DB2" w:rsidRDefault="00970FDF" w:rsidP="00970FDF">
            <w:pPr>
              <w:pStyle w:val="TableText"/>
              <w:tabs>
                <w:tab w:val="left" w:pos="3306"/>
              </w:tabs>
              <w:jc w:val="right"/>
              <w:rPr>
                <w:rFonts w:cs="Calibri"/>
              </w:rPr>
            </w:pPr>
          </w:p>
        </w:tc>
        <w:tc>
          <w:tcPr>
            <w:tcW w:w="992" w:type="dxa"/>
            <w:tcBorders>
              <w:bottom w:val="nil"/>
              <w:right w:val="nil"/>
            </w:tcBorders>
            <w:shd w:val="clear" w:color="auto" w:fill="auto"/>
            <w:vAlign w:val="bottom"/>
          </w:tcPr>
          <w:p w14:paraId="5369D246" w14:textId="77777777" w:rsidR="00970FDF" w:rsidRPr="00A26DB2" w:rsidRDefault="00970FDF" w:rsidP="00970FDF">
            <w:pPr>
              <w:pStyle w:val="TableText"/>
              <w:tabs>
                <w:tab w:val="left" w:pos="3306"/>
              </w:tabs>
              <w:jc w:val="right"/>
              <w:rPr>
                <w:rFonts w:cs="Calibri"/>
              </w:rPr>
            </w:pPr>
          </w:p>
        </w:tc>
      </w:tr>
      <w:tr w:rsidR="00970FDF" w:rsidRPr="00CF7E1B" w14:paraId="54497EC1"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34EC4DA1" w14:textId="77777777" w:rsidR="00970FDF" w:rsidRPr="00A26DB2" w:rsidRDefault="00970FDF" w:rsidP="00970FDF">
            <w:pPr>
              <w:pStyle w:val="TableReference"/>
              <w:tabs>
                <w:tab w:val="left" w:pos="3306"/>
              </w:tabs>
              <w:spacing w:before="60"/>
              <w:rPr>
                <w:rFonts w:cs="Calibri"/>
                <w:color w:val="7030A0"/>
                <w:sz w:val="14"/>
              </w:rPr>
            </w:pPr>
            <w:r w:rsidRPr="00A26DB2">
              <w:rPr>
                <w:rFonts w:cs="Calibri"/>
                <w:color w:val="7030A0"/>
                <w:sz w:val="14"/>
              </w:rPr>
              <w:t>AASB 107.31</w:t>
            </w:r>
          </w:p>
        </w:tc>
        <w:tc>
          <w:tcPr>
            <w:tcW w:w="5103" w:type="dxa"/>
            <w:tcBorders>
              <w:left w:val="single" w:sz="2" w:space="0" w:color="auto"/>
            </w:tcBorders>
            <w:vAlign w:val="bottom"/>
          </w:tcPr>
          <w:p w14:paraId="686AE1B8" w14:textId="77777777" w:rsidR="00970FDF" w:rsidRPr="00A26DB2" w:rsidRDefault="00970FDF" w:rsidP="00970FDF">
            <w:pPr>
              <w:pStyle w:val="TableText"/>
              <w:tabs>
                <w:tab w:val="left" w:pos="3306"/>
              </w:tabs>
              <w:rPr>
                <w:rFonts w:cs="Calibri"/>
              </w:rPr>
            </w:pPr>
            <w:r w:rsidRPr="00A26DB2">
              <w:rPr>
                <w:rFonts w:cs="Calibri"/>
              </w:rPr>
              <w:t>Payment of Dividend</w:t>
            </w:r>
          </w:p>
        </w:tc>
        <w:tc>
          <w:tcPr>
            <w:tcW w:w="850" w:type="dxa"/>
            <w:vAlign w:val="bottom"/>
          </w:tcPr>
          <w:p w14:paraId="67622D94" w14:textId="77777777" w:rsidR="00970FDF" w:rsidRPr="00A26DB2" w:rsidRDefault="00970FDF" w:rsidP="00970FDF">
            <w:pPr>
              <w:pStyle w:val="TableText"/>
              <w:tabs>
                <w:tab w:val="left" w:pos="3306"/>
              </w:tabs>
              <w:jc w:val="center"/>
              <w:rPr>
                <w:rFonts w:cs="Calibri"/>
              </w:rPr>
            </w:pPr>
          </w:p>
        </w:tc>
        <w:tc>
          <w:tcPr>
            <w:tcW w:w="992" w:type="dxa"/>
            <w:tcBorders>
              <w:bottom w:val="single" w:sz="2" w:space="0" w:color="auto"/>
            </w:tcBorders>
            <w:vAlign w:val="bottom"/>
          </w:tcPr>
          <w:p w14:paraId="3C7B6986" w14:textId="77777777" w:rsidR="00970FDF" w:rsidRPr="00A26DB2" w:rsidRDefault="00970FDF" w:rsidP="00970FDF">
            <w:pPr>
              <w:pStyle w:val="TableText"/>
              <w:tabs>
                <w:tab w:val="left" w:pos="3306"/>
              </w:tabs>
              <w:jc w:val="right"/>
              <w:rPr>
                <w:rFonts w:cs="Calibri"/>
              </w:rPr>
            </w:pPr>
          </w:p>
        </w:tc>
        <w:tc>
          <w:tcPr>
            <w:tcW w:w="993" w:type="dxa"/>
            <w:tcBorders>
              <w:bottom w:val="single" w:sz="2" w:space="0" w:color="auto"/>
            </w:tcBorders>
            <w:vAlign w:val="bottom"/>
          </w:tcPr>
          <w:p w14:paraId="658BFC97" w14:textId="77777777" w:rsidR="00970FDF" w:rsidRPr="00A26DB2" w:rsidRDefault="00970FDF" w:rsidP="00970FDF">
            <w:pPr>
              <w:pStyle w:val="TableText"/>
              <w:tabs>
                <w:tab w:val="left" w:pos="3306"/>
              </w:tabs>
              <w:jc w:val="right"/>
              <w:rPr>
                <w:rFonts w:cs="Calibri"/>
              </w:rPr>
            </w:pPr>
          </w:p>
        </w:tc>
        <w:tc>
          <w:tcPr>
            <w:tcW w:w="992" w:type="dxa"/>
            <w:tcBorders>
              <w:bottom w:val="single" w:sz="2" w:space="0" w:color="auto"/>
              <w:right w:val="nil"/>
            </w:tcBorders>
            <w:vAlign w:val="bottom"/>
          </w:tcPr>
          <w:p w14:paraId="46660E90" w14:textId="77777777" w:rsidR="00970FDF" w:rsidRPr="00A26DB2" w:rsidRDefault="00970FDF" w:rsidP="00970FDF">
            <w:pPr>
              <w:pStyle w:val="TableText"/>
              <w:tabs>
                <w:tab w:val="left" w:pos="3306"/>
              </w:tabs>
              <w:jc w:val="right"/>
              <w:rPr>
                <w:rFonts w:cs="Calibri"/>
              </w:rPr>
            </w:pPr>
          </w:p>
        </w:tc>
      </w:tr>
      <w:tr w:rsidR="00970FDF" w:rsidRPr="00CF7E1B" w14:paraId="29D76B25"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2290A727"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2269525F" w14:textId="77777777" w:rsidR="00970FDF" w:rsidRPr="00A26DB2" w:rsidRDefault="00970FDF" w:rsidP="00970FDF">
            <w:pPr>
              <w:pStyle w:val="TableText"/>
              <w:tabs>
                <w:tab w:val="left" w:pos="3306"/>
              </w:tabs>
              <w:rPr>
                <w:rFonts w:cs="Calibri"/>
                <w:b/>
                <w:bCs/>
              </w:rPr>
            </w:pPr>
            <w:bookmarkStart w:id="209" w:name="_Toc48468237"/>
            <w:bookmarkStart w:id="210" w:name="_Toc49155428"/>
            <w:bookmarkStart w:id="211" w:name="_Toc49223877"/>
            <w:r w:rsidRPr="00A26DB2">
              <w:rPr>
                <w:rFonts w:cs="Calibri"/>
                <w:b/>
                <w:bCs/>
              </w:rPr>
              <w:t>Total Payments from Financing Activities</w:t>
            </w:r>
            <w:bookmarkEnd w:id="209"/>
            <w:bookmarkEnd w:id="210"/>
            <w:bookmarkEnd w:id="211"/>
          </w:p>
        </w:tc>
        <w:tc>
          <w:tcPr>
            <w:tcW w:w="850" w:type="dxa"/>
            <w:vAlign w:val="bottom"/>
          </w:tcPr>
          <w:p w14:paraId="3D89B9C3" w14:textId="77777777" w:rsidR="00970FDF" w:rsidRPr="00A26DB2" w:rsidRDefault="00970FDF" w:rsidP="00970FDF">
            <w:pPr>
              <w:pStyle w:val="TableText"/>
              <w:tabs>
                <w:tab w:val="left" w:pos="3306"/>
              </w:tabs>
              <w:jc w:val="center"/>
              <w:rPr>
                <w:rFonts w:cs="Calibri"/>
              </w:rPr>
            </w:pPr>
          </w:p>
        </w:tc>
        <w:tc>
          <w:tcPr>
            <w:tcW w:w="992" w:type="dxa"/>
            <w:tcBorders>
              <w:top w:val="single" w:sz="2" w:space="0" w:color="auto"/>
              <w:bottom w:val="nil"/>
            </w:tcBorders>
            <w:vAlign w:val="bottom"/>
          </w:tcPr>
          <w:p w14:paraId="67A850F8" w14:textId="77777777" w:rsidR="00970FDF" w:rsidRPr="00A26DB2" w:rsidRDefault="00970FDF" w:rsidP="00970FDF">
            <w:pPr>
              <w:pStyle w:val="TableText"/>
              <w:tabs>
                <w:tab w:val="left" w:pos="3306"/>
              </w:tabs>
              <w:jc w:val="right"/>
              <w:rPr>
                <w:rFonts w:cs="Calibri"/>
                <w:b/>
                <w:bCs/>
              </w:rPr>
            </w:pPr>
          </w:p>
        </w:tc>
        <w:tc>
          <w:tcPr>
            <w:tcW w:w="993" w:type="dxa"/>
            <w:tcBorders>
              <w:top w:val="single" w:sz="2" w:space="0" w:color="auto"/>
              <w:bottom w:val="nil"/>
            </w:tcBorders>
            <w:vAlign w:val="bottom"/>
          </w:tcPr>
          <w:p w14:paraId="3F371FD9" w14:textId="77777777" w:rsidR="00970FDF" w:rsidRPr="00A26DB2" w:rsidRDefault="00970FDF" w:rsidP="00970FDF">
            <w:pPr>
              <w:pStyle w:val="TableText"/>
              <w:tabs>
                <w:tab w:val="left" w:pos="3306"/>
              </w:tabs>
              <w:jc w:val="right"/>
              <w:rPr>
                <w:rFonts w:cs="Calibri"/>
                <w:b/>
                <w:bCs/>
              </w:rPr>
            </w:pPr>
          </w:p>
        </w:tc>
        <w:tc>
          <w:tcPr>
            <w:tcW w:w="992" w:type="dxa"/>
            <w:tcBorders>
              <w:top w:val="single" w:sz="2" w:space="0" w:color="auto"/>
              <w:bottom w:val="nil"/>
              <w:right w:val="nil"/>
            </w:tcBorders>
            <w:vAlign w:val="bottom"/>
          </w:tcPr>
          <w:p w14:paraId="40CD94EF" w14:textId="77777777" w:rsidR="00970FDF" w:rsidRPr="00A26DB2" w:rsidRDefault="00970FDF" w:rsidP="00970FDF">
            <w:pPr>
              <w:pStyle w:val="TableText"/>
              <w:tabs>
                <w:tab w:val="left" w:pos="3306"/>
              </w:tabs>
              <w:jc w:val="right"/>
              <w:rPr>
                <w:rFonts w:cs="Calibri"/>
                <w:b/>
                <w:bCs/>
              </w:rPr>
            </w:pPr>
          </w:p>
        </w:tc>
      </w:tr>
      <w:tr w:rsidR="005B695A" w:rsidRPr="005B695A" w14:paraId="3A95424C"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06656350" w14:textId="77777777" w:rsidR="005B695A" w:rsidRPr="00A26DB2" w:rsidRDefault="005B695A" w:rsidP="00970FDF">
            <w:pPr>
              <w:pStyle w:val="TableReference"/>
              <w:tabs>
                <w:tab w:val="left" w:pos="3306"/>
              </w:tabs>
              <w:spacing w:before="40"/>
              <w:rPr>
                <w:rFonts w:cs="Calibri"/>
                <w:color w:val="7030A0"/>
                <w:sz w:val="6"/>
                <w:szCs w:val="6"/>
              </w:rPr>
            </w:pPr>
          </w:p>
        </w:tc>
        <w:tc>
          <w:tcPr>
            <w:tcW w:w="5103" w:type="dxa"/>
            <w:tcBorders>
              <w:left w:val="single" w:sz="2" w:space="0" w:color="auto"/>
            </w:tcBorders>
            <w:vAlign w:val="bottom"/>
          </w:tcPr>
          <w:p w14:paraId="7A9FA909" w14:textId="77777777" w:rsidR="005B695A" w:rsidRPr="00A26DB2" w:rsidRDefault="005B695A" w:rsidP="00970FDF">
            <w:pPr>
              <w:pStyle w:val="TableText"/>
              <w:tabs>
                <w:tab w:val="left" w:pos="3306"/>
              </w:tabs>
              <w:rPr>
                <w:rFonts w:cs="Calibri"/>
                <w:b/>
                <w:bCs/>
                <w:sz w:val="6"/>
                <w:szCs w:val="6"/>
              </w:rPr>
            </w:pPr>
          </w:p>
        </w:tc>
        <w:tc>
          <w:tcPr>
            <w:tcW w:w="850" w:type="dxa"/>
            <w:vAlign w:val="bottom"/>
          </w:tcPr>
          <w:p w14:paraId="5A24A838" w14:textId="77777777" w:rsidR="005B695A" w:rsidRPr="00A26DB2" w:rsidRDefault="005B695A" w:rsidP="00970FDF">
            <w:pPr>
              <w:pStyle w:val="TableText"/>
              <w:tabs>
                <w:tab w:val="left" w:pos="3306"/>
              </w:tabs>
              <w:jc w:val="center"/>
              <w:rPr>
                <w:rFonts w:cs="Calibri"/>
                <w:sz w:val="6"/>
                <w:szCs w:val="6"/>
              </w:rPr>
            </w:pPr>
          </w:p>
        </w:tc>
        <w:tc>
          <w:tcPr>
            <w:tcW w:w="992" w:type="dxa"/>
            <w:tcBorders>
              <w:top w:val="nil"/>
              <w:bottom w:val="single" w:sz="2" w:space="0" w:color="auto"/>
            </w:tcBorders>
            <w:vAlign w:val="bottom"/>
          </w:tcPr>
          <w:p w14:paraId="4B564030" w14:textId="77777777" w:rsidR="005B695A" w:rsidRPr="00A26DB2" w:rsidRDefault="005B695A" w:rsidP="00970FDF">
            <w:pPr>
              <w:pStyle w:val="TableText"/>
              <w:tabs>
                <w:tab w:val="left" w:pos="3306"/>
              </w:tabs>
              <w:jc w:val="right"/>
              <w:rPr>
                <w:rFonts w:cs="Calibri"/>
                <w:b/>
                <w:bCs/>
                <w:sz w:val="6"/>
                <w:szCs w:val="6"/>
              </w:rPr>
            </w:pPr>
          </w:p>
        </w:tc>
        <w:tc>
          <w:tcPr>
            <w:tcW w:w="993" w:type="dxa"/>
            <w:tcBorders>
              <w:top w:val="nil"/>
              <w:bottom w:val="single" w:sz="2" w:space="0" w:color="auto"/>
            </w:tcBorders>
            <w:vAlign w:val="bottom"/>
          </w:tcPr>
          <w:p w14:paraId="46E95518" w14:textId="77777777" w:rsidR="005B695A" w:rsidRPr="00A26DB2" w:rsidRDefault="005B695A" w:rsidP="00970FDF">
            <w:pPr>
              <w:pStyle w:val="TableText"/>
              <w:tabs>
                <w:tab w:val="left" w:pos="3306"/>
              </w:tabs>
              <w:jc w:val="right"/>
              <w:rPr>
                <w:rFonts w:cs="Calibri"/>
                <w:b/>
                <w:bCs/>
                <w:sz w:val="6"/>
                <w:szCs w:val="6"/>
              </w:rPr>
            </w:pPr>
          </w:p>
        </w:tc>
        <w:tc>
          <w:tcPr>
            <w:tcW w:w="992" w:type="dxa"/>
            <w:tcBorders>
              <w:top w:val="nil"/>
              <w:bottom w:val="single" w:sz="2" w:space="0" w:color="auto"/>
              <w:right w:val="nil"/>
            </w:tcBorders>
            <w:vAlign w:val="bottom"/>
          </w:tcPr>
          <w:p w14:paraId="00724387" w14:textId="77777777" w:rsidR="005B695A" w:rsidRPr="00A26DB2" w:rsidRDefault="005B695A" w:rsidP="00970FDF">
            <w:pPr>
              <w:pStyle w:val="TableText"/>
              <w:tabs>
                <w:tab w:val="left" w:pos="3306"/>
              </w:tabs>
              <w:jc w:val="right"/>
              <w:rPr>
                <w:rFonts w:cs="Calibri"/>
                <w:b/>
                <w:bCs/>
                <w:sz w:val="6"/>
                <w:szCs w:val="6"/>
              </w:rPr>
            </w:pPr>
          </w:p>
        </w:tc>
      </w:tr>
      <w:tr w:rsidR="00970FDF" w:rsidRPr="00CF7E1B" w14:paraId="0AE1F7F8"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48362782"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6096817D" w14:textId="685D1999" w:rsidR="00970FDF" w:rsidRPr="00A26DB2" w:rsidRDefault="005B695A" w:rsidP="00970FDF">
            <w:pPr>
              <w:pStyle w:val="TableText"/>
              <w:tabs>
                <w:tab w:val="left" w:pos="3306"/>
              </w:tabs>
              <w:rPr>
                <w:rFonts w:cs="Calibri"/>
              </w:rPr>
            </w:pPr>
            <w:r w:rsidRPr="00A26DB2">
              <w:rPr>
                <w:rFonts w:cs="Calibri"/>
                <w:b/>
                <w:bCs/>
              </w:rPr>
              <w:t>Net Cash Inflows/(Outflows) from Financing Activities</w:t>
            </w:r>
          </w:p>
        </w:tc>
        <w:tc>
          <w:tcPr>
            <w:tcW w:w="850" w:type="dxa"/>
            <w:vAlign w:val="bottom"/>
          </w:tcPr>
          <w:p w14:paraId="08F27B65" w14:textId="77777777" w:rsidR="00970FDF" w:rsidRPr="00A26DB2" w:rsidRDefault="00970FDF" w:rsidP="00970FDF">
            <w:pPr>
              <w:pStyle w:val="TableText"/>
              <w:tabs>
                <w:tab w:val="left" w:pos="3306"/>
              </w:tabs>
              <w:jc w:val="center"/>
              <w:rPr>
                <w:rFonts w:cs="Calibri"/>
              </w:rPr>
            </w:pPr>
          </w:p>
        </w:tc>
        <w:tc>
          <w:tcPr>
            <w:tcW w:w="992" w:type="dxa"/>
            <w:tcBorders>
              <w:top w:val="single" w:sz="2" w:space="0" w:color="auto"/>
              <w:bottom w:val="single" w:sz="2" w:space="0" w:color="auto"/>
            </w:tcBorders>
            <w:vAlign w:val="bottom"/>
          </w:tcPr>
          <w:p w14:paraId="59748325" w14:textId="77777777" w:rsidR="00970FDF" w:rsidRPr="00A26DB2" w:rsidRDefault="00970FDF" w:rsidP="00970FDF">
            <w:pPr>
              <w:pStyle w:val="TableText"/>
              <w:tabs>
                <w:tab w:val="left" w:pos="3306"/>
              </w:tabs>
              <w:jc w:val="right"/>
              <w:rPr>
                <w:rFonts w:cs="Calibri"/>
              </w:rPr>
            </w:pPr>
          </w:p>
        </w:tc>
        <w:tc>
          <w:tcPr>
            <w:tcW w:w="993" w:type="dxa"/>
            <w:tcBorders>
              <w:top w:val="single" w:sz="2" w:space="0" w:color="auto"/>
              <w:bottom w:val="single" w:sz="2" w:space="0" w:color="auto"/>
            </w:tcBorders>
            <w:vAlign w:val="bottom"/>
          </w:tcPr>
          <w:p w14:paraId="65D7F7C8" w14:textId="77777777" w:rsidR="00970FDF" w:rsidRPr="00A26DB2" w:rsidRDefault="00970FDF" w:rsidP="00970FDF">
            <w:pPr>
              <w:pStyle w:val="TableText"/>
              <w:tabs>
                <w:tab w:val="left" w:pos="3306"/>
              </w:tabs>
              <w:jc w:val="right"/>
              <w:rPr>
                <w:rFonts w:cs="Calibri"/>
              </w:rPr>
            </w:pPr>
          </w:p>
        </w:tc>
        <w:tc>
          <w:tcPr>
            <w:tcW w:w="992" w:type="dxa"/>
            <w:tcBorders>
              <w:top w:val="single" w:sz="2" w:space="0" w:color="auto"/>
              <w:bottom w:val="single" w:sz="2" w:space="0" w:color="auto"/>
              <w:right w:val="nil"/>
            </w:tcBorders>
            <w:vAlign w:val="bottom"/>
          </w:tcPr>
          <w:p w14:paraId="2949AF97" w14:textId="77777777" w:rsidR="00970FDF" w:rsidRPr="00A26DB2" w:rsidRDefault="00970FDF" w:rsidP="00970FDF">
            <w:pPr>
              <w:pStyle w:val="TableText"/>
              <w:tabs>
                <w:tab w:val="left" w:pos="3306"/>
              </w:tabs>
              <w:jc w:val="center"/>
              <w:rPr>
                <w:rFonts w:cs="Calibri"/>
              </w:rPr>
            </w:pPr>
          </w:p>
        </w:tc>
      </w:tr>
      <w:tr w:rsidR="005B695A" w:rsidRPr="00CF7E1B" w14:paraId="43888B84"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1F77A6EF" w14:textId="77777777" w:rsidR="005B695A" w:rsidRPr="00A26DB2" w:rsidRDefault="005B695A"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4C4BED59" w14:textId="77777777" w:rsidR="005B695A" w:rsidRPr="00A26DB2" w:rsidRDefault="005B695A" w:rsidP="00970FDF">
            <w:pPr>
              <w:pStyle w:val="TableText"/>
              <w:tabs>
                <w:tab w:val="left" w:pos="3306"/>
              </w:tabs>
              <w:rPr>
                <w:rFonts w:cs="Calibri"/>
              </w:rPr>
            </w:pPr>
          </w:p>
        </w:tc>
        <w:tc>
          <w:tcPr>
            <w:tcW w:w="850" w:type="dxa"/>
            <w:vAlign w:val="bottom"/>
          </w:tcPr>
          <w:p w14:paraId="17DD56F6" w14:textId="77777777" w:rsidR="005B695A" w:rsidRPr="00A26DB2" w:rsidRDefault="005B695A" w:rsidP="00970FDF">
            <w:pPr>
              <w:pStyle w:val="TableText"/>
              <w:tabs>
                <w:tab w:val="left" w:pos="3306"/>
              </w:tabs>
              <w:jc w:val="center"/>
              <w:rPr>
                <w:rFonts w:cs="Calibri"/>
              </w:rPr>
            </w:pPr>
          </w:p>
        </w:tc>
        <w:tc>
          <w:tcPr>
            <w:tcW w:w="992" w:type="dxa"/>
            <w:tcBorders>
              <w:top w:val="single" w:sz="2" w:space="0" w:color="auto"/>
            </w:tcBorders>
            <w:vAlign w:val="bottom"/>
          </w:tcPr>
          <w:p w14:paraId="215DD6DD" w14:textId="77777777" w:rsidR="005B695A" w:rsidRPr="00A26DB2" w:rsidRDefault="005B695A" w:rsidP="00970FDF">
            <w:pPr>
              <w:pStyle w:val="TableText"/>
              <w:tabs>
                <w:tab w:val="left" w:pos="3306"/>
              </w:tabs>
              <w:jc w:val="right"/>
              <w:rPr>
                <w:rFonts w:cs="Calibri"/>
              </w:rPr>
            </w:pPr>
          </w:p>
        </w:tc>
        <w:tc>
          <w:tcPr>
            <w:tcW w:w="993" w:type="dxa"/>
            <w:tcBorders>
              <w:top w:val="single" w:sz="2" w:space="0" w:color="auto"/>
            </w:tcBorders>
            <w:vAlign w:val="bottom"/>
          </w:tcPr>
          <w:p w14:paraId="2808984E" w14:textId="77777777" w:rsidR="005B695A" w:rsidRPr="00A26DB2" w:rsidRDefault="005B695A" w:rsidP="00970FDF">
            <w:pPr>
              <w:pStyle w:val="TableText"/>
              <w:tabs>
                <w:tab w:val="left" w:pos="3306"/>
              </w:tabs>
              <w:jc w:val="right"/>
              <w:rPr>
                <w:rFonts w:cs="Calibri"/>
              </w:rPr>
            </w:pPr>
          </w:p>
        </w:tc>
        <w:tc>
          <w:tcPr>
            <w:tcW w:w="992" w:type="dxa"/>
            <w:tcBorders>
              <w:top w:val="single" w:sz="2" w:space="0" w:color="auto"/>
              <w:right w:val="nil"/>
            </w:tcBorders>
            <w:vAlign w:val="bottom"/>
          </w:tcPr>
          <w:p w14:paraId="6CC7AEC4" w14:textId="77777777" w:rsidR="005B695A" w:rsidRPr="00A26DB2" w:rsidRDefault="005B695A" w:rsidP="00970FDF">
            <w:pPr>
              <w:pStyle w:val="TableText"/>
              <w:tabs>
                <w:tab w:val="left" w:pos="3306"/>
              </w:tabs>
              <w:jc w:val="center"/>
              <w:rPr>
                <w:rFonts w:cs="Calibri"/>
              </w:rPr>
            </w:pPr>
          </w:p>
        </w:tc>
      </w:tr>
      <w:tr w:rsidR="00970FDF" w:rsidRPr="00CF7E1B" w14:paraId="53F35762"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19F29CD8"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left w:val="single" w:sz="2" w:space="0" w:color="auto"/>
            </w:tcBorders>
            <w:vAlign w:val="bottom"/>
          </w:tcPr>
          <w:p w14:paraId="0B77C358" w14:textId="77777777" w:rsidR="00970FDF" w:rsidRPr="00A26DB2" w:rsidRDefault="00970FDF" w:rsidP="00970FDF">
            <w:pPr>
              <w:pStyle w:val="TableText"/>
              <w:tabs>
                <w:tab w:val="left" w:pos="3306"/>
              </w:tabs>
              <w:rPr>
                <w:rFonts w:cs="Calibri"/>
                <w:b/>
                <w:bCs/>
              </w:rPr>
            </w:pPr>
            <w:r w:rsidRPr="00A26DB2">
              <w:rPr>
                <w:rFonts w:cs="Calibri"/>
                <w:b/>
                <w:bCs/>
              </w:rPr>
              <w:t xml:space="preserve">Net Increase/(Decrease) in Cash and Cash Equivalents </w:t>
            </w:r>
          </w:p>
        </w:tc>
        <w:tc>
          <w:tcPr>
            <w:tcW w:w="850" w:type="dxa"/>
            <w:vAlign w:val="bottom"/>
          </w:tcPr>
          <w:p w14:paraId="0C8DB547" w14:textId="77777777" w:rsidR="00970FDF" w:rsidRPr="00A26DB2" w:rsidRDefault="00970FDF" w:rsidP="00970FDF">
            <w:pPr>
              <w:pStyle w:val="TableText"/>
              <w:tabs>
                <w:tab w:val="left" w:pos="3306"/>
              </w:tabs>
              <w:jc w:val="center"/>
              <w:rPr>
                <w:rFonts w:cs="Calibri"/>
              </w:rPr>
            </w:pPr>
          </w:p>
        </w:tc>
        <w:tc>
          <w:tcPr>
            <w:tcW w:w="992" w:type="dxa"/>
            <w:tcBorders>
              <w:bottom w:val="nil"/>
            </w:tcBorders>
            <w:vAlign w:val="bottom"/>
          </w:tcPr>
          <w:p w14:paraId="33702203" w14:textId="77777777" w:rsidR="00970FDF" w:rsidRPr="00A26DB2" w:rsidRDefault="00970FDF" w:rsidP="00970FDF">
            <w:pPr>
              <w:pStyle w:val="TableText"/>
              <w:tabs>
                <w:tab w:val="left" w:pos="3306"/>
              </w:tabs>
              <w:jc w:val="right"/>
              <w:rPr>
                <w:rFonts w:cs="Calibri"/>
                <w:b/>
                <w:bCs/>
              </w:rPr>
            </w:pPr>
          </w:p>
        </w:tc>
        <w:tc>
          <w:tcPr>
            <w:tcW w:w="993" w:type="dxa"/>
            <w:tcBorders>
              <w:bottom w:val="nil"/>
            </w:tcBorders>
            <w:vAlign w:val="bottom"/>
          </w:tcPr>
          <w:p w14:paraId="6FD58FEC" w14:textId="77777777" w:rsidR="00970FDF" w:rsidRPr="00A26DB2" w:rsidRDefault="00970FDF" w:rsidP="00970FDF">
            <w:pPr>
              <w:pStyle w:val="TableText"/>
              <w:tabs>
                <w:tab w:val="left" w:pos="3306"/>
              </w:tabs>
              <w:jc w:val="right"/>
              <w:rPr>
                <w:rFonts w:cs="Calibri"/>
                <w:b/>
                <w:bCs/>
              </w:rPr>
            </w:pPr>
          </w:p>
        </w:tc>
        <w:tc>
          <w:tcPr>
            <w:tcW w:w="992" w:type="dxa"/>
            <w:tcBorders>
              <w:bottom w:val="nil"/>
              <w:right w:val="nil"/>
            </w:tcBorders>
            <w:vAlign w:val="bottom"/>
          </w:tcPr>
          <w:p w14:paraId="6EFF51D5" w14:textId="77777777" w:rsidR="00970FDF" w:rsidRPr="00A26DB2" w:rsidRDefault="00970FDF" w:rsidP="00970FDF">
            <w:pPr>
              <w:pStyle w:val="TableText"/>
              <w:tabs>
                <w:tab w:val="left" w:pos="3306"/>
              </w:tabs>
              <w:jc w:val="right"/>
              <w:rPr>
                <w:rFonts w:cs="Calibri"/>
                <w:b/>
                <w:bCs/>
              </w:rPr>
            </w:pPr>
          </w:p>
        </w:tc>
      </w:tr>
      <w:tr w:rsidR="00970FDF" w:rsidRPr="00CF7E1B" w14:paraId="46D6697A"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396C1FF2" w14:textId="77777777" w:rsidR="00970FDF" w:rsidRPr="00A26DB2" w:rsidRDefault="00970FDF" w:rsidP="00970FDF">
            <w:pPr>
              <w:pStyle w:val="TableReference"/>
              <w:tabs>
                <w:tab w:val="left" w:pos="3306"/>
              </w:tabs>
              <w:spacing w:before="40"/>
              <w:rPr>
                <w:rFonts w:cs="Calibri"/>
                <w:color w:val="7030A0"/>
                <w:sz w:val="14"/>
              </w:rPr>
            </w:pPr>
            <w:r w:rsidRPr="00A26DB2">
              <w:rPr>
                <w:rFonts w:cs="Calibri"/>
                <w:color w:val="7030A0"/>
                <w:sz w:val="14"/>
              </w:rPr>
              <w:t xml:space="preserve"> </w:t>
            </w:r>
          </w:p>
        </w:tc>
        <w:tc>
          <w:tcPr>
            <w:tcW w:w="5103" w:type="dxa"/>
            <w:tcBorders>
              <w:left w:val="single" w:sz="2" w:space="0" w:color="auto"/>
              <w:bottom w:val="nil"/>
            </w:tcBorders>
            <w:vAlign w:val="bottom"/>
          </w:tcPr>
          <w:p w14:paraId="04125C7C" w14:textId="77777777" w:rsidR="00970FDF" w:rsidRPr="00A26DB2" w:rsidRDefault="00970FDF" w:rsidP="00970FDF">
            <w:pPr>
              <w:pStyle w:val="TableText"/>
              <w:tabs>
                <w:tab w:val="left" w:pos="3306"/>
              </w:tabs>
              <w:rPr>
                <w:rFonts w:cs="Calibri"/>
              </w:rPr>
            </w:pPr>
            <w:bookmarkStart w:id="212" w:name="_Toc48468238"/>
            <w:bookmarkStart w:id="213" w:name="_Toc49155429"/>
            <w:bookmarkStart w:id="214" w:name="_Toc49223878"/>
            <w:r w:rsidRPr="00A26DB2">
              <w:rPr>
                <w:rFonts w:cs="Calibri"/>
              </w:rPr>
              <w:t>Cash and Cash Equivalents at the Beginning of the Reporting Period</w:t>
            </w:r>
            <w:bookmarkEnd w:id="212"/>
            <w:bookmarkEnd w:id="213"/>
            <w:bookmarkEnd w:id="214"/>
          </w:p>
        </w:tc>
        <w:tc>
          <w:tcPr>
            <w:tcW w:w="850" w:type="dxa"/>
            <w:tcBorders>
              <w:bottom w:val="nil"/>
            </w:tcBorders>
            <w:vAlign w:val="bottom"/>
          </w:tcPr>
          <w:p w14:paraId="4F72C528" w14:textId="77777777" w:rsidR="00970FDF" w:rsidRPr="00A26DB2" w:rsidRDefault="00970FDF" w:rsidP="00970FDF">
            <w:pPr>
              <w:pStyle w:val="TableText"/>
              <w:tabs>
                <w:tab w:val="left" w:pos="3306"/>
              </w:tabs>
              <w:jc w:val="center"/>
              <w:rPr>
                <w:rFonts w:cs="Calibri"/>
              </w:rPr>
            </w:pPr>
          </w:p>
        </w:tc>
        <w:tc>
          <w:tcPr>
            <w:tcW w:w="992" w:type="dxa"/>
            <w:tcBorders>
              <w:bottom w:val="single" w:sz="2" w:space="0" w:color="auto"/>
            </w:tcBorders>
            <w:vAlign w:val="bottom"/>
          </w:tcPr>
          <w:p w14:paraId="01026DA5" w14:textId="77777777" w:rsidR="00970FDF" w:rsidRPr="00A26DB2" w:rsidRDefault="00970FDF" w:rsidP="00970FDF">
            <w:pPr>
              <w:pStyle w:val="TableText"/>
              <w:tabs>
                <w:tab w:val="left" w:pos="3306"/>
              </w:tabs>
              <w:jc w:val="right"/>
              <w:rPr>
                <w:rFonts w:cs="Calibri"/>
                <w:strike/>
              </w:rPr>
            </w:pPr>
          </w:p>
        </w:tc>
        <w:tc>
          <w:tcPr>
            <w:tcW w:w="993" w:type="dxa"/>
            <w:tcBorders>
              <w:bottom w:val="single" w:sz="2" w:space="0" w:color="auto"/>
            </w:tcBorders>
            <w:vAlign w:val="bottom"/>
          </w:tcPr>
          <w:p w14:paraId="55350BD0" w14:textId="77777777" w:rsidR="00970FDF" w:rsidRPr="00A26DB2" w:rsidRDefault="00970FDF" w:rsidP="00970FDF">
            <w:pPr>
              <w:pStyle w:val="TableText"/>
              <w:tabs>
                <w:tab w:val="left" w:pos="3306"/>
              </w:tabs>
              <w:jc w:val="right"/>
              <w:rPr>
                <w:rFonts w:cs="Calibri"/>
                <w:b/>
              </w:rPr>
            </w:pPr>
          </w:p>
        </w:tc>
        <w:tc>
          <w:tcPr>
            <w:tcW w:w="992" w:type="dxa"/>
            <w:tcBorders>
              <w:bottom w:val="single" w:sz="2" w:space="0" w:color="auto"/>
              <w:right w:val="nil"/>
            </w:tcBorders>
            <w:vAlign w:val="bottom"/>
          </w:tcPr>
          <w:p w14:paraId="6F12FF3B" w14:textId="77777777" w:rsidR="00970FDF" w:rsidRPr="00A26DB2" w:rsidRDefault="00970FDF" w:rsidP="00970FDF">
            <w:pPr>
              <w:pStyle w:val="TableText"/>
              <w:tabs>
                <w:tab w:val="left" w:pos="3306"/>
              </w:tabs>
              <w:jc w:val="right"/>
              <w:rPr>
                <w:rFonts w:cs="Calibri"/>
                <w:b/>
                <w:strike/>
              </w:rPr>
            </w:pPr>
          </w:p>
        </w:tc>
      </w:tr>
      <w:tr w:rsidR="00970FDF" w:rsidRPr="00D6399E" w14:paraId="17045AD9"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right w:val="single" w:sz="2" w:space="0" w:color="auto"/>
            </w:tcBorders>
          </w:tcPr>
          <w:p w14:paraId="2A994EA7" w14:textId="77777777" w:rsidR="00970FDF" w:rsidRPr="00A26DB2" w:rsidRDefault="00970FDF" w:rsidP="00970FDF">
            <w:pPr>
              <w:pStyle w:val="TableReference"/>
              <w:tabs>
                <w:tab w:val="left" w:pos="3306"/>
              </w:tabs>
              <w:spacing w:before="40"/>
              <w:rPr>
                <w:rFonts w:cs="Calibri"/>
                <w:color w:val="7030A0"/>
                <w:sz w:val="14"/>
              </w:rPr>
            </w:pPr>
            <w:r w:rsidRPr="00A26DB2">
              <w:rPr>
                <w:rFonts w:cs="Calibri"/>
                <w:color w:val="7030A0"/>
                <w:sz w:val="14"/>
              </w:rPr>
              <w:t xml:space="preserve"> </w:t>
            </w:r>
          </w:p>
        </w:tc>
        <w:tc>
          <w:tcPr>
            <w:tcW w:w="5103" w:type="dxa"/>
            <w:tcBorders>
              <w:top w:val="nil"/>
              <w:left w:val="single" w:sz="2" w:space="0" w:color="auto"/>
              <w:bottom w:val="nil"/>
            </w:tcBorders>
            <w:vAlign w:val="bottom"/>
          </w:tcPr>
          <w:p w14:paraId="566B34A2" w14:textId="77777777" w:rsidR="00970FDF" w:rsidRPr="00A26DB2" w:rsidRDefault="00970FDF" w:rsidP="00970FDF">
            <w:pPr>
              <w:pStyle w:val="TableText"/>
              <w:tabs>
                <w:tab w:val="left" w:pos="3306"/>
              </w:tabs>
              <w:rPr>
                <w:rFonts w:cs="Calibri"/>
                <w:b/>
                <w:bCs/>
              </w:rPr>
            </w:pPr>
            <w:r w:rsidRPr="00A26DB2">
              <w:rPr>
                <w:rFonts w:cs="Calibri"/>
                <w:b/>
                <w:bCs/>
              </w:rPr>
              <w:t>Cash and Cash Equivalents at the End of the Reporting Period</w:t>
            </w:r>
          </w:p>
        </w:tc>
        <w:tc>
          <w:tcPr>
            <w:tcW w:w="850" w:type="dxa"/>
            <w:tcBorders>
              <w:top w:val="nil"/>
              <w:bottom w:val="nil"/>
            </w:tcBorders>
            <w:vAlign w:val="bottom"/>
          </w:tcPr>
          <w:p w14:paraId="69CF0E21" w14:textId="7869B671" w:rsidR="00970FDF" w:rsidRPr="00A26DB2" w:rsidRDefault="002B3D78" w:rsidP="00970FDF">
            <w:pPr>
              <w:pStyle w:val="TableText"/>
              <w:tabs>
                <w:tab w:val="left" w:pos="3306"/>
              </w:tabs>
              <w:jc w:val="center"/>
              <w:rPr>
                <w:rFonts w:cs="Calibri"/>
                <w:strike/>
              </w:rPr>
            </w:pPr>
            <w:r w:rsidRPr="00A26DB2">
              <w:rPr>
                <w:rFonts w:cs="Calibri"/>
              </w:rPr>
              <w:t>15</w:t>
            </w:r>
          </w:p>
        </w:tc>
        <w:tc>
          <w:tcPr>
            <w:tcW w:w="992" w:type="dxa"/>
            <w:tcBorders>
              <w:top w:val="single" w:sz="2" w:space="0" w:color="auto"/>
              <w:bottom w:val="double" w:sz="4" w:space="0" w:color="auto"/>
            </w:tcBorders>
            <w:vAlign w:val="bottom"/>
          </w:tcPr>
          <w:p w14:paraId="475DFBAD" w14:textId="77777777" w:rsidR="00970FDF" w:rsidRPr="00A26DB2" w:rsidRDefault="00970FDF" w:rsidP="00970FDF">
            <w:pPr>
              <w:pStyle w:val="TableText"/>
              <w:tabs>
                <w:tab w:val="left" w:pos="3306"/>
              </w:tabs>
              <w:ind w:left="123" w:hanging="123"/>
              <w:jc w:val="right"/>
              <w:rPr>
                <w:rFonts w:cs="Calibri"/>
                <w:b/>
                <w:bCs/>
                <w:strike/>
              </w:rPr>
            </w:pPr>
          </w:p>
        </w:tc>
        <w:tc>
          <w:tcPr>
            <w:tcW w:w="993" w:type="dxa"/>
            <w:tcBorders>
              <w:top w:val="single" w:sz="2" w:space="0" w:color="auto"/>
              <w:bottom w:val="double" w:sz="4" w:space="0" w:color="auto"/>
            </w:tcBorders>
            <w:vAlign w:val="bottom"/>
          </w:tcPr>
          <w:p w14:paraId="7B8D0711" w14:textId="77777777" w:rsidR="00970FDF" w:rsidRPr="00A26DB2" w:rsidRDefault="00970FDF" w:rsidP="00970FDF">
            <w:pPr>
              <w:pStyle w:val="TableText"/>
              <w:tabs>
                <w:tab w:val="left" w:pos="3306"/>
              </w:tabs>
              <w:jc w:val="right"/>
              <w:rPr>
                <w:rFonts w:cs="Calibri"/>
                <w:b/>
                <w:bCs/>
              </w:rPr>
            </w:pPr>
          </w:p>
        </w:tc>
        <w:tc>
          <w:tcPr>
            <w:tcW w:w="992" w:type="dxa"/>
            <w:tcBorders>
              <w:top w:val="single" w:sz="2" w:space="0" w:color="auto"/>
              <w:bottom w:val="double" w:sz="4" w:space="0" w:color="auto"/>
              <w:right w:val="nil"/>
            </w:tcBorders>
            <w:vAlign w:val="bottom"/>
          </w:tcPr>
          <w:p w14:paraId="6C55149A" w14:textId="77777777" w:rsidR="00970FDF" w:rsidRPr="00A26DB2" w:rsidRDefault="00970FDF" w:rsidP="00970FDF">
            <w:pPr>
              <w:pStyle w:val="TableText"/>
              <w:tabs>
                <w:tab w:val="left" w:pos="3306"/>
              </w:tabs>
              <w:jc w:val="right"/>
              <w:rPr>
                <w:rFonts w:cs="Calibri"/>
                <w:b/>
                <w:bCs/>
                <w:strike/>
              </w:rPr>
            </w:pPr>
          </w:p>
        </w:tc>
      </w:tr>
      <w:tr w:rsidR="00970FDF" w:rsidRPr="00CF7E1B" w14:paraId="4A3AAC35"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bottom w:val="nil"/>
              <w:right w:val="single" w:sz="2" w:space="0" w:color="auto"/>
            </w:tcBorders>
          </w:tcPr>
          <w:p w14:paraId="1D1DF6E6" w14:textId="77777777" w:rsidR="00970FDF" w:rsidRPr="00A26DB2" w:rsidRDefault="00970FDF" w:rsidP="00970FDF">
            <w:pPr>
              <w:pStyle w:val="TableReference"/>
              <w:tabs>
                <w:tab w:val="left" w:pos="3306"/>
              </w:tabs>
              <w:spacing w:before="40"/>
              <w:rPr>
                <w:rFonts w:cs="Calibri"/>
                <w:color w:val="7030A0"/>
                <w:sz w:val="14"/>
              </w:rPr>
            </w:pPr>
          </w:p>
        </w:tc>
        <w:tc>
          <w:tcPr>
            <w:tcW w:w="5103" w:type="dxa"/>
            <w:tcBorders>
              <w:top w:val="nil"/>
              <w:left w:val="single" w:sz="2" w:space="0" w:color="auto"/>
              <w:bottom w:val="nil"/>
            </w:tcBorders>
            <w:vAlign w:val="bottom"/>
          </w:tcPr>
          <w:p w14:paraId="219594A6" w14:textId="77777777" w:rsidR="00970FDF" w:rsidRPr="00A26DB2" w:rsidRDefault="00970FDF" w:rsidP="00970FDF">
            <w:pPr>
              <w:pStyle w:val="TableText"/>
              <w:tabs>
                <w:tab w:val="left" w:pos="3306"/>
              </w:tabs>
              <w:rPr>
                <w:rFonts w:cs="Calibri"/>
                <w:b/>
                <w:bCs/>
              </w:rPr>
            </w:pPr>
          </w:p>
        </w:tc>
        <w:tc>
          <w:tcPr>
            <w:tcW w:w="850" w:type="dxa"/>
            <w:tcBorders>
              <w:top w:val="nil"/>
              <w:bottom w:val="nil"/>
            </w:tcBorders>
            <w:vAlign w:val="bottom"/>
          </w:tcPr>
          <w:p w14:paraId="02745589" w14:textId="77777777" w:rsidR="00970FDF" w:rsidRPr="00A26DB2" w:rsidRDefault="00970FDF" w:rsidP="00970FDF">
            <w:pPr>
              <w:pStyle w:val="TableText"/>
              <w:tabs>
                <w:tab w:val="left" w:pos="3306"/>
              </w:tabs>
              <w:jc w:val="center"/>
              <w:rPr>
                <w:rFonts w:cs="Calibri"/>
              </w:rPr>
            </w:pPr>
          </w:p>
        </w:tc>
        <w:tc>
          <w:tcPr>
            <w:tcW w:w="992" w:type="dxa"/>
            <w:tcBorders>
              <w:top w:val="double" w:sz="4" w:space="0" w:color="auto"/>
              <w:bottom w:val="nil"/>
            </w:tcBorders>
            <w:vAlign w:val="bottom"/>
          </w:tcPr>
          <w:p w14:paraId="44022935" w14:textId="77777777" w:rsidR="00970FDF" w:rsidRPr="00A26DB2" w:rsidRDefault="00970FDF" w:rsidP="00970FDF">
            <w:pPr>
              <w:pStyle w:val="TableText"/>
              <w:tabs>
                <w:tab w:val="left" w:pos="3306"/>
              </w:tabs>
              <w:jc w:val="right"/>
              <w:rPr>
                <w:rFonts w:cs="Calibri"/>
                <w:b/>
                <w:bCs/>
              </w:rPr>
            </w:pPr>
          </w:p>
        </w:tc>
        <w:tc>
          <w:tcPr>
            <w:tcW w:w="993" w:type="dxa"/>
            <w:tcBorders>
              <w:top w:val="double" w:sz="4" w:space="0" w:color="auto"/>
              <w:bottom w:val="nil"/>
            </w:tcBorders>
            <w:vAlign w:val="bottom"/>
          </w:tcPr>
          <w:p w14:paraId="21F3B831" w14:textId="77777777" w:rsidR="00970FDF" w:rsidRPr="00A26DB2" w:rsidRDefault="00970FDF" w:rsidP="00970FDF">
            <w:pPr>
              <w:pStyle w:val="TableText"/>
              <w:tabs>
                <w:tab w:val="left" w:pos="3306"/>
              </w:tabs>
              <w:jc w:val="right"/>
              <w:rPr>
                <w:rFonts w:cs="Calibri"/>
                <w:b/>
                <w:bCs/>
              </w:rPr>
            </w:pPr>
          </w:p>
        </w:tc>
        <w:tc>
          <w:tcPr>
            <w:tcW w:w="992" w:type="dxa"/>
            <w:tcBorders>
              <w:top w:val="double" w:sz="4" w:space="0" w:color="auto"/>
              <w:bottom w:val="nil"/>
              <w:right w:val="nil"/>
            </w:tcBorders>
            <w:vAlign w:val="bottom"/>
          </w:tcPr>
          <w:p w14:paraId="1DEDE36E" w14:textId="77777777" w:rsidR="00970FDF" w:rsidRPr="00A26DB2" w:rsidRDefault="00970FDF" w:rsidP="00970FDF">
            <w:pPr>
              <w:pStyle w:val="TableText"/>
              <w:tabs>
                <w:tab w:val="left" w:pos="3306"/>
              </w:tabs>
              <w:jc w:val="right"/>
              <w:rPr>
                <w:rFonts w:cs="Calibri"/>
                <w:b/>
                <w:bCs/>
              </w:rPr>
            </w:pPr>
          </w:p>
        </w:tc>
      </w:tr>
      <w:tr w:rsidR="00970FDF" w:rsidRPr="00CF7E1B" w14:paraId="079E1B68"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bottom w:val="nil"/>
              <w:right w:val="single" w:sz="2" w:space="0" w:color="auto"/>
            </w:tcBorders>
          </w:tcPr>
          <w:p w14:paraId="47ED3E67" w14:textId="77777777" w:rsidR="00970FDF" w:rsidRPr="00A26DB2" w:rsidRDefault="00970FDF" w:rsidP="00970FDF">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737FC464" w14:textId="2EEEB9C1" w:rsidR="00970FDF" w:rsidRPr="00A26DB2" w:rsidRDefault="00970FDF" w:rsidP="00C0544A">
            <w:pPr>
              <w:pStyle w:val="CommentaryReference"/>
              <w:rPr>
                <w:rFonts w:cs="Calibri"/>
                <w:sz w:val="18"/>
                <w:szCs w:val="18"/>
              </w:rPr>
            </w:pPr>
            <w:r w:rsidRPr="00A26DB2">
              <w:rPr>
                <w:rFonts w:cs="Calibri"/>
                <w:sz w:val="18"/>
                <w:szCs w:val="18"/>
              </w:rPr>
              <w:t xml:space="preserve">The above </w:t>
            </w:r>
            <w:r w:rsidR="00C0544A" w:rsidRPr="00A26DB2">
              <w:rPr>
                <w:rFonts w:cs="Calibri"/>
                <w:sz w:val="18"/>
                <w:szCs w:val="18"/>
              </w:rPr>
              <w:t>Statement of Cash Flows</w:t>
            </w:r>
            <w:r w:rsidRPr="00A26DB2">
              <w:rPr>
                <w:rFonts w:cs="Calibri"/>
                <w:sz w:val="18"/>
                <w:szCs w:val="18"/>
              </w:rPr>
              <w:t xml:space="preserve"> is to be read in conjunction with the accompanying notes.</w:t>
            </w:r>
            <w:r w:rsidR="00FA7C77">
              <w:rPr>
                <w:rFonts w:cs="Calibri"/>
                <w:sz w:val="18"/>
                <w:szCs w:val="18"/>
              </w:rPr>
              <w:t xml:space="preserve"> </w:t>
            </w:r>
            <w:r w:rsidRPr="00A26DB2">
              <w:rPr>
                <w:rFonts w:cs="Calibri"/>
                <w:sz w:val="18"/>
                <w:szCs w:val="18"/>
              </w:rPr>
              <w:t xml:space="preserve"> </w:t>
            </w:r>
          </w:p>
        </w:tc>
      </w:tr>
      <w:tr w:rsidR="00A26DB2" w:rsidRPr="00CF7E1B" w14:paraId="76A9580F" w14:textId="77777777" w:rsidTr="004D1EC6">
        <w:tblPrEx>
          <w:tblBorders>
            <w:top w:val="none" w:sz="0" w:space="0" w:color="auto"/>
            <w:left w:val="none" w:sz="0" w:space="0" w:color="auto"/>
            <w:bottom w:val="none" w:sz="0" w:space="0" w:color="auto"/>
            <w:right w:val="single" w:sz="2" w:space="0" w:color="000080"/>
            <w:insideH w:val="none" w:sz="0" w:space="0" w:color="auto"/>
            <w:insideV w:val="none" w:sz="0" w:space="0" w:color="auto"/>
          </w:tblBorders>
        </w:tblPrEx>
        <w:trPr>
          <w:gridAfter w:val="1"/>
          <w:wAfter w:w="51" w:type="dxa"/>
        </w:trPr>
        <w:tc>
          <w:tcPr>
            <w:tcW w:w="1563" w:type="dxa"/>
            <w:tcBorders>
              <w:left w:val="single" w:sz="2" w:space="0" w:color="auto"/>
              <w:bottom w:val="nil"/>
              <w:right w:val="single" w:sz="2" w:space="0" w:color="auto"/>
            </w:tcBorders>
          </w:tcPr>
          <w:p w14:paraId="7D1A07F2" w14:textId="77777777" w:rsidR="00A26DB2" w:rsidRPr="00A26DB2" w:rsidRDefault="00A26DB2" w:rsidP="00970FDF">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6AAFD5C8" w14:textId="77777777" w:rsidR="00A26DB2" w:rsidRPr="00DE21F8" w:rsidRDefault="00A26DB2" w:rsidP="00C0544A">
            <w:pPr>
              <w:pStyle w:val="CommentaryReference"/>
              <w:rPr>
                <w:rFonts w:cs="Calibri"/>
                <w:sz w:val="18"/>
                <w:szCs w:val="18"/>
              </w:rPr>
            </w:pPr>
          </w:p>
        </w:tc>
      </w:tr>
      <w:tr w:rsidR="000144FF" w:rsidRPr="00CF7E1B" w14:paraId="60E0C688"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E7C7EF8" w14:textId="083F05B9" w:rsidR="000144FF" w:rsidRPr="00A26DB2" w:rsidRDefault="000144FF" w:rsidP="00C54DBF">
            <w:pPr>
              <w:pStyle w:val="TableReference"/>
              <w:tabs>
                <w:tab w:val="left" w:pos="3306"/>
              </w:tabs>
              <w:spacing w:before="120" w:after="240"/>
              <w:rPr>
                <w:rFonts w:cs="Calibri"/>
                <w:b/>
                <w:color w:val="7030A0"/>
                <w:sz w:val="22"/>
                <w:szCs w:val="22"/>
              </w:rPr>
            </w:pPr>
            <w:r w:rsidRPr="00A26DB2">
              <w:rPr>
                <w:rFonts w:cs="Calibri"/>
                <w:color w:val="7030A0"/>
                <w:sz w:val="22"/>
                <w:szCs w:val="22"/>
              </w:rPr>
              <w:br w:type="page"/>
            </w:r>
          </w:p>
        </w:tc>
        <w:tc>
          <w:tcPr>
            <w:tcW w:w="8981" w:type="dxa"/>
            <w:gridSpan w:val="6"/>
            <w:tcBorders>
              <w:left w:val="single" w:sz="2" w:space="0" w:color="auto"/>
            </w:tcBorders>
            <w:shd w:val="clear" w:color="auto" w:fill="7030A0"/>
          </w:tcPr>
          <w:p w14:paraId="491FB7F3" w14:textId="2DC96DBB" w:rsidR="000144FF" w:rsidRPr="00A26DB2" w:rsidRDefault="000144FF" w:rsidP="00C54DBF">
            <w:pPr>
              <w:pStyle w:val="CommentaryTitle"/>
              <w:spacing w:after="240"/>
              <w:rPr>
                <w:rFonts w:cs="Calibri"/>
                <w:color w:val="FFFFFF" w:themeColor="background1"/>
                <w:sz w:val="28"/>
                <w:szCs w:val="28"/>
              </w:rPr>
            </w:pPr>
            <w:bookmarkStart w:id="215" w:name="_Toc50440316"/>
            <w:r w:rsidRPr="00A26DB2">
              <w:rPr>
                <w:rFonts w:cs="Calibri"/>
                <w:color w:val="FFFFFF" w:themeColor="background1"/>
                <w:sz w:val="28"/>
                <w:szCs w:val="28"/>
              </w:rPr>
              <w:t xml:space="preserve">Commentary </w:t>
            </w:r>
            <w:r w:rsidRPr="00A26DB2">
              <w:rPr>
                <w:rFonts w:cs="Calibri"/>
                <w:color w:val="FFFFFF" w:themeColor="background1"/>
                <w:sz w:val="28"/>
                <w:szCs w:val="28"/>
              </w:rPr>
              <w:sym w:font="Symbol" w:char="F02D"/>
            </w:r>
            <w:r w:rsidRPr="00A26DB2">
              <w:rPr>
                <w:rFonts w:cs="Calibri"/>
                <w:color w:val="FFFFFF" w:themeColor="background1"/>
                <w:sz w:val="28"/>
                <w:szCs w:val="28"/>
              </w:rPr>
              <w:t xml:space="preserve"> </w:t>
            </w:r>
            <w:bookmarkEnd w:id="215"/>
            <w:r w:rsidR="00C0544A" w:rsidRPr="00A26DB2">
              <w:rPr>
                <w:rFonts w:cs="Calibri"/>
                <w:color w:val="FFFFFF" w:themeColor="background1"/>
                <w:sz w:val="28"/>
                <w:szCs w:val="28"/>
              </w:rPr>
              <w:t>Statement of Cash Flows</w:t>
            </w:r>
          </w:p>
        </w:tc>
      </w:tr>
      <w:tr w:rsidR="000144FF" w:rsidRPr="00CF7E1B" w14:paraId="08AA618C"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77A8B1B8" w14:textId="77777777" w:rsidR="000144FF" w:rsidRPr="00A26DB2" w:rsidRDefault="000144FF">
            <w:pPr>
              <w:pStyle w:val="TableReference"/>
              <w:tabs>
                <w:tab w:val="left" w:pos="3306"/>
              </w:tabs>
              <w:rPr>
                <w:rFonts w:cs="Calibri"/>
                <w:color w:val="7030A0"/>
                <w:sz w:val="16"/>
                <w:szCs w:val="16"/>
              </w:rPr>
            </w:pPr>
          </w:p>
        </w:tc>
        <w:tc>
          <w:tcPr>
            <w:tcW w:w="8981" w:type="dxa"/>
            <w:gridSpan w:val="6"/>
            <w:tcBorders>
              <w:left w:val="single" w:sz="2" w:space="0" w:color="auto"/>
            </w:tcBorders>
            <w:shd w:val="clear" w:color="auto" w:fill="7030A0"/>
          </w:tcPr>
          <w:p w14:paraId="1DB6CB85" w14:textId="77777777" w:rsidR="000144FF" w:rsidRPr="00552ECB" w:rsidRDefault="000144FF" w:rsidP="003570D0">
            <w:pPr>
              <w:pStyle w:val="CommentaryHeading"/>
              <w:tabs>
                <w:tab w:val="left" w:pos="3306"/>
              </w:tabs>
              <w:spacing w:before="0" w:after="120"/>
              <w:rPr>
                <w:rFonts w:cs="Calibri"/>
                <w:color w:val="FFFFFF" w:themeColor="background1"/>
                <w:szCs w:val="20"/>
              </w:rPr>
            </w:pPr>
            <w:r w:rsidRPr="00552ECB">
              <w:rPr>
                <w:rFonts w:cs="Calibri"/>
                <w:color w:val="FFFFFF" w:themeColor="background1"/>
                <w:szCs w:val="20"/>
              </w:rPr>
              <w:t>Classification of Cash Flows</w:t>
            </w:r>
          </w:p>
        </w:tc>
      </w:tr>
      <w:tr w:rsidR="000144FF" w:rsidRPr="00CF7E1B" w14:paraId="7D5148C0"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9876B1F" w14:textId="7BBCD01A" w:rsidR="000144FF" w:rsidRPr="00A26DB2" w:rsidRDefault="000144FF" w:rsidP="00DA7FF4">
            <w:pPr>
              <w:pStyle w:val="TableReference"/>
              <w:tabs>
                <w:tab w:val="left" w:pos="3306"/>
              </w:tabs>
              <w:spacing w:before="6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 xml:space="preserve">10 </w:t>
            </w:r>
          </w:p>
        </w:tc>
        <w:tc>
          <w:tcPr>
            <w:tcW w:w="8981" w:type="dxa"/>
            <w:gridSpan w:val="6"/>
            <w:tcBorders>
              <w:left w:val="single" w:sz="2" w:space="0" w:color="auto"/>
            </w:tcBorders>
            <w:shd w:val="clear" w:color="auto" w:fill="7030A0"/>
          </w:tcPr>
          <w:p w14:paraId="41F20908" w14:textId="5177CB3D" w:rsidR="000144FF" w:rsidRPr="00A26DB2" w:rsidRDefault="000144FF"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 xml:space="preserve">AASB 107 </w:t>
            </w:r>
            <w:r w:rsidR="00D032F3" w:rsidRPr="00A26DB2">
              <w:rPr>
                <w:rFonts w:cs="Calibri"/>
                <w:i/>
                <w:iCs/>
                <w:color w:val="FFFFFF" w:themeColor="background1"/>
                <w:sz w:val="18"/>
                <w:szCs w:val="18"/>
              </w:rPr>
              <w:t>Statement of Cash Flows</w:t>
            </w:r>
            <w:r w:rsidR="00D032F3" w:rsidRPr="00A26DB2">
              <w:rPr>
                <w:rFonts w:cs="Calibri"/>
                <w:color w:val="FFFFFF" w:themeColor="background1"/>
                <w:sz w:val="18"/>
                <w:szCs w:val="18"/>
              </w:rPr>
              <w:t xml:space="preserve"> </w:t>
            </w:r>
            <w:r w:rsidRPr="00A26DB2">
              <w:rPr>
                <w:rFonts w:cs="Calibri"/>
                <w:color w:val="FFFFFF" w:themeColor="background1"/>
                <w:sz w:val="18"/>
                <w:szCs w:val="18"/>
              </w:rPr>
              <w:t>requires that cash flows be classified as arising from operating, investing or financi</w:t>
            </w:r>
            <w:r w:rsidR="00784BCE" w:rsidRPr="00A26DB2">
              <w:rPr>
                <w:rFonts w:cs="Calibri"/>
                <w:color w:val="FFFFFF" w:themeColor="background1"/>
                <w:sz w:val="18"/>
                <w:szCs w:val="18"/>
              </w:rPr>
              <w:t>ng</w:t>
            </w:r>
            <w:r w:rsidRPr="00A26DB2">
              <w:rPr>
                <w:rFonts w:cs="Calibri"/>
                <w:color w:val="FFFFFF" w:themeColor="background1"/>
                <w:sz w:val="18"/>
                <w:szCs w:val="18"/>
              </w:rPr>
              <w:t xml:space="preserve"> activities.</w:t>
            </w:r>
            <w:r w:rsidR="00EC03F8" w:rsidRPr="00A26DB2">
              <w:rPr>
                <w:rFonts w:cs="Calibri"/>
                <w:color w:val="FFFFFF" w:themeColor="background1"/>
                <w:sz w:val="18"/>
                <w:szCs w:val="18"/>
              </w:rPr>
              <w:t xml:space="preserve"> </w:t>
            </w:r>
          </w:p>
        </w:tc>
      </w:tr>
      <w:tr w:rsidR="00DA7FF4" w:rsidRPr="00CF7E1B" w14:paraId="08168974"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16751157" w14:textId="67548684" w:rsidR="00DA7FF4" w:rsidRPr="00A26DB2" w:rsidRDefault="00DA7FF4">
            <w:pPr>
              <w:pStyle w:val="TableReference"/>
              <w:tabs>
                <w:tab w:val="left" w:pos="3306"/>
              </w:tabs>
              <w:spacing w:before="60"/>
              <w:rPr>
                <w:rFonts w:cs="Calibri"/>
                <w:color w:val="7030A0"/>
                <w:sz w:val="14"/>
              </w:rPr>
            </w:pPr>
            <w:r w:rsidRPr="00A26DB2">
              <w:rPr>
                <w:rFonts w:cs="Calibri"/>
                <w:color w:val="7030A0"/>
                <w:sz w:val="14"/>
              </w:rPr>
              <w:t>AASB 107.31</w:t>
            </w:r>
          </w:p>
        </w:tc>
        <w:tc>
          <w:tcPr>
            <w:tcW w:w="8981" w:type="dxa"/>
            <w:gridSpan w:val="6"/>
            <w:tcBorders>
              <w:left w:val="single" w:sz="2" w:space="0" w:color="auto"/>
            </w:tcBorders>
            <w:shd w:val="clear" w:color="auto" w:fill="7030A0"/>
          </w:tcPr>
          <w:p w14:paraId="7C804981" w14:textId="77777777" w:rsidR="00DA7FF4" w:rsidRPr="00A26DB2" w:rsidRDefault="00DA7FF4" w:rsidP="00DA7FF4">
            <w:pPr>
              <w:pStyle w:val="CommentaryText"/>
              <w:spacing w:after="60"/>
              <w:rPr>
                <w:rFonts w:cs="Calibri"/>
                <w:color w:val="FFFFFF" w:themeColor="background1"/>
                <w:sz w:val="18"/>
                <w:szCs w:val="18"/>
              </w:rPr>
            </w:pPr>
            <w:r w:rsidRPr="00A26DB2">
              <w:rPr>
                <w:rFonts w:cs="Calibri"/>
                <w:color w:val="FFFFFF" w:themeColor="background1"/>
                <w:sz w:val="18"/>
                <w:szCs w:val="18"/>
              </w:rPr>
              <w:t>AASB 107 also requires the following cash flows to be separately disclosed on the Statement of Cash Flows:</w:t>
            </w:r>
          </w:p>
          <w:p w14:paraId="6090C7EE" w14:textId="77777777" w:rsidR="00DA7FF4" w:rsidRPr="00A26DB2" w:rsidRDefault="00DA7FF4" w:rsidP="00E35CD2">
            <w:pPr>
              <w:pStyle w:val="Commentary-Bullet"/>
              <w:rPr>
                <w:rFonts w:cs="Calibri"/>
                <w:color w:val="FFFFFF" w:themeColor="background1"/>
                <w:sz w:val="18"/>
                <w:szCs w:val="18"/>
              </w:rPr>
            </w:pPr>
            <w:r w:rsidRPr="00A26DB2">
              <w:rPr>
                <w:rFonts w:cs="Calibri"/>
                <w:color w:val="FFFFFF" w:themeColor="background1"/>
                <w:sz w:val="18"/>
                <w:szCs w:val="18"/>
              </w:rPr>
              <w:t>interest received;</w:t>
            </w:r>
          </w:p>
          <w:p w14:paraId="2D52EF39" w14:textId="77777777" w:rsidR="00DA7FF4" w:rsidRPr="00A26DB2" w:rsidRDefault="00DA7FF4" w:rsidP="00E35CD2">
            <w:pPr>
              <w:pStyle w:val="Commentary-Bullet"/>
              <w:rPr>
                <w:rFonts w:cs="Calibri"/>
                <w:color w:val="FFFFFF" w:themeColor="background1"/>
                <w:sz w:val="18"/>
                <w:szCs w:val="18"/>
              </w:rPr>
            </w:pPr>
            <w:r w:rsidRPr="00A26DB2">
              <w:rPr>
                <w:rFonts w:cs="Calibri"/>
                <w:color w:val="FFFFFF" w:themeColor="background1"/>
                <w:sz w:val="18"/>
                <w:szCs w:val="18"/>
              </w:rPr>
              <w:t>dividends received;</w:t>
            </w:r>
          </w:p>
          <w:p w14:paraId="61B0178D" w14:textId="6033E67B" w:rsidR="00DA7FF4" w:rsidRPr="00A26DB2" w:rsidRDefault="00DA7FF4" w:rsidP="00E35CD2">
            <w:pPr>
              <w:pStyle w:val="Commentary-Bullet"/>
              <w:rPr>
                <w:rFonts w:cs="Calibri"/>
                <w:color w:val="FFFFFF" w:themeColor="background1"/>
                <w:sz w:val="18"/>
                <w:szCs w:val="18"/>
              </w:rPr>
            </w:pPr>
            <w:r w:rsidRPr="00A26DB2">
              <w:rPr>
                <w:rFonts w:cs="Calibri"/>
                <w:color w:val="FFFFFF" w:themeColor="background1"/>
                <w:sz w:val="18"/>
                <w:szCs w:val="18"/>
              </w:rPr>
              <w:t>dividends paid; and</w:t>
            </w:r>
          </w:p>
          <w:p w14:paraId="242705CF" w14:textId="3B845EC1" w:rsidR="00DA7FF4" w:rsidRPr="00A26DB2" w:rsidRDefault="00DA7FF4" w:rsidP="00E35CD2">
            <w:pPr>
              <w:pStyle w:val="Commentary-Bullet"/>
              <w:rPr>
                <w:rFonts w:cs="Calibri"/>
                <w:color w:val="FFFFFF" w:themeColor="background1"/>
                <w:sz w:val="18"/>
                <w:szCs w:val="18"/>
              </w:rPr>
            </w:pPr>
            <w:r w:rsidRPr="00A26DB2">
              <w:rPr>
                <w:rFonts w:cs="Calibri"/>
                <w:color w:val="FFFFFF" w:themeColor="background1"/>
                <w:sz w:val="18"/>
                <w:szCs w:val="18"/>
              </w:rPr>
              <w:t>borrowing costs.</w:t>
            </w:r>
          </w:p>
        </w:tc>
      </w:tr>
      <w:tr w:rsidR="000144FF" w:rsidRPr="00CF7E1B" w14:paraId="722D1E1D"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260ED94" w14:textId="77777777" w:rsidR="000144FF" w:rsidRPr="00A26DB2" w:rsidRDefault="000144FF">
            <w:pPr>
              <w:pStyle w:val="TableReference"/>
              <w:tabs>
                <w:tab w:val="left" w:pos="3306"/>
              </w:tabs>
              <w:spacing w:before="60"/>
              <w:rPr>
                <w:rFonts w:cs="Calibri"/>
                <w:color w:val="7030A0"/>
                <w:sz w:val="14"/>
              </w:rPr>
            </w:pPr>
            <w:r w:rsidRPr="00A26DB2">
              <w:rPr>
                <w:rFonts w:cs="Calibri"/>
                <w:color w:val="7030A0"/>
                <w:sz w:val="14"/>
              </w:rPr>
              <w:t xml:space="preserve">ACT </w:t>
            </w:r>
            <w:r w:rsidR="00511FD1" w:rsidRPr="00A26DB2">
              <w:rPr>
                <w:rFonts w:cs="Calibri"/>
                <w:color w:val="7030A0"/>
                <w:sz w:val="14"/>
              </w:rPr>
              <w:t>Disclosure</w:t>
            </w:r>
            <w:r w:rsidRPr="00A26DB2">
              <w:rPr>
                <w:rFonts w:cs="Calibri"/>
                <w:color w:val="7030A0"/>
                <w:sz w:val="14"/>
              </w:rPr>
              <w:t xml:space="preserve"> Policy</w:t>
            </w:r>
          </w:p>
          <w:p w14:paraId="3F282A76" w14:textId="0F9F8559" w:rsidR="00A37D6A" w:rsidRPr="00A26DB2" w:rsidRDefault="000144FF" w:rsidP="00DA7FF4">
            <w:pPr>
              <w:pStyle w:val="TableReference"/>
              <w:tabs>
                <w:tab w:val="left" w:pos="3306"/>
              </w:tabs>
              <w:spacing w:after="120"/>
              <w:rPr>
                <w:rFonts w:cs="Calibri"/>
                <w:color w:val="7030A0"/>
                <w:sz w:val="14"/>
              </w:rPr>
            </w:pPr>
            <w:r w:rsidRPr="00A26DB2">
              <w:rPr>
                <w:rFonts w:cs="Calibri"/>
                <w:color w:val="7030A0"/>
                <w:sz w:val="14"/>
              </w:rPr>
              <w:t>AASB 107</w:t>
            </w:r>
            <w:r w:rsidR="00D65811" w:rsidRPr="00A26DB2">
              <w:rPr>
                <w:rFonts w:cs="Calibri"/>
                <w:color w:val="7030A0"/>
                <w:sz w:val="14"/>
              </w:rPr>
              <w:t>.</w:t>
            </w:r>
            <w:r w:rsidRPr="00A26DB2">
              <w:rPr>
                <w:rFonts w:cs="Calibri"/>
                <w:color w:val="7030A0"/>
                <w:sz w:val="14"/>
              </w:rPr>
              <w:t>33</w:t>
            </w:r>
          </w:p>
        </w:tc>
        <w:tc>
          <w:tcPr>
            <w:tcW w:w="8981" w:type="dxa"/>
            <w:gridSpan w:val="6"/>
            <w:tcBorders>
              <w:left w:val="single" w:sz="2" w:space="0" w:color="auto"/>
            </w:tcBorders>
            <w:shd w:val="clear" w:color="auto" w:fill="7030A0"/>
          </w:tcPr>
          <w:p w14:paraId="11C94A1E" w14:textId="1CAE1DF8" w:rsidR="000144FF" w:rsidRPr="00A26DB2" w:rsidRDefault="000144FF">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 xml:space="preserve">For consistency across the ACT Government, </w:t>
            </w:r>
            <w:r w:rsidR="00D65811" w:rsidRPr="00A26DB2">
              <w:rPr>
                <w:rFonts w:cs="Calibri"/>
                <w:color w:val="FFFFFF" w:themeColor="background1"/>
                <w:sz w:val="18"/>
                <w:szCs w:val="18"/>
              </w:rPr>
              <w:t>a</w:t>
            </w:r>
            <w:r w:rsidR="00CA68F4" w:rsidRPr="00A26DB2">
              <w:rPr>
                <w:rFonts w:cs="Calibri"/>
                <w:color w:val="FFFFFF" w:themeColor="background1"/>
                <w:sz w:val="18"/>
                <w:szCs w:val="18"/>
              </w:rPr>
              <w:t xml:space="preserve">gencies </w:t>
            </w:r>
            <w:r w:rsidRPr="00A26DB2">
              <w:rPr>
                <w:rFonts w:cs="Calibri"/>
                <w:color w:val="FFFFFF" w:themeColor="background1"/>
                <w:sz w:val="18"/>
                <w:szCs w:val="18"/>
              </w:rPr>
              <w:t>should classify interest received and paid, and dividends received as an operating cash flow</w:t>
            </w:r>
            <w:r w:rsidR="00213494" w:rsidRPr="00A26DB2">
              <w:rPr>
                <w:rFonts w:cs="Calibri"/>
                <w:color w:val="FFFFFF" w:themeColor="background1"/>
                <w:sz w:val="18"/>
                <w:szCs w:val="18"/>
              </w:rPr>
              <w:t xml:space="preserve">. </w:t>
            </w:r>
          </w:p>
        </w:tc>
      </w:tr>
      <w:tr w:rsidR="00DA7FF4" w:rsidRPr="00CF7E1B" w14:paraId="1D0BE35A"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23BFB4A"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107.34</w:t>
            </w:r>
          </w:p>
          <w:p w14:paraId="448BB02D" w14:textId="122424AC" w:rsidR="00DA7FF4" w:rsidRPr="00A26DB2" w:rsidRDefault="00DA7FF4" w:rsidP="00DA7FF4">
            <w:pPr>
              <w:pStyle w:val="TableReference"/>
              <w:tabs>
                <w:tab w:val="left" w:pos="3306"/>
              </w:tabs>
              <w:spacing w:before="60"/>
              <w:rPr>
                <w:rFonts w:cs="Calibri"/>
                <w:color w:val="7030A0"/>
                <w:sz w:val="14"/>
              </w:rPr>
            </w:pPr>
            <w:r w:rsidRPr="00A26DB2">
              <w:rPr>
                <w:rFonts w:cs="Calibri"/>
                <w:color w:val="7030A0"/>
                <w:sz w:val="14"/>
              </w:rPr>
              <w:t>ACT Disclosure Policy</w:t>
            </w:r>
          </w:p>
        </w:tc>
        <w:tc>
          <w:tcPr>
            <w:tcW w:w="8981" w:type="dxa"/>
            <w:gridSpan w:val="6"/>
            <w:tcBorders>
              <w:left w:val="single" w:sz="2" w:space="0" w:color="auto"/>
            </w:tcBorders>
            <w:shd w:val="clear" w:color="auto" w:fill="7030A0"/>
          </w:tcPr>
          <w:p w14:paraId="3DF28CAF" w14:textId="7CA8E9FA" w:rsidR="00DA7FF4" w:rsidRPr="00A26DB2" w:rsidRDefault="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AASB 107 allows dividends paid to be classified as either a financing cash flow or an operating cash flow.</w:t>
            </w:r>
            <w:r w:rsidR="00FA7C77">
              <w:rPr>
                <w:rFonts w:cs="Calibri"/>
                <w:color w:val="FFFFFF" w:themeColor="background1"/>
                <w:sz w:val="18"/>
                <w:szCs w:val="18"/>
              </w:rPr>
              <w:t xml:space="preserve"> </w:t>
            </w:r>
            <w:r w:rsidRPr="00A26DB2">
              <w:rPr>
                <w:rFonts w:cs="Calibri"/>
                <w:color w:val="FFFFFF" w:themeColor="background1"/>
                <w:sz w:val="18"/>
                <w:szCs w:val="18"/>
              </w:rPr>
              <w:t>ACT Disclosure Policy requires agencies to classify dividends paid as a financing cash flow.</w:t>
            </w:r>
            <w:r w:rsidR="00FA7C77">
              <w:rPr>
                <w:rFonts w:cs="Calibri"/>
                <w:color w:val="FFFFFF" w:themeColor="background1"/>
                <w:sz w:val="18"/>
                <w:szCs w:val="18"/>
              </w:rPr>
              <w:t xml:space="preserve"> </w:t>
            </w:r>
          </w:p>
        </w:tc>
      </w:tr>
      <w:tr w:rsidR="00DA7FF4" w:rsidRPr="00CF7E1B" w14:paraId="63F823CB"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1E9798D2" w14:textId="77777777" w:rsidR="00DA7FF4" w:rsidRPr="00A26DB2" w:rsidRDefault="00DA7FF4" w:rsidP="009A0F2F">
            <w:pPr>
              <w:pStyle w:val="TableReference"/>
              <w:tabs>
                <w:tab w:val="left" w:pos="3306"/>
              </w:tabs>
              <w:rPr>
                <w:rFonts w:cs="Calibri"/>
                <w:color w:val="7030A0"/>
                <w:sz w:val="14"/>
              </w:rPr>
            </w:pPr>
            <w:r w:rsidRPr="00A26DB2">
              <w:rPr>
                <w:rFonts w:cs="Calibri"/>
                <w:color w:val="7030A0"/>
                <w:sz w:val="14"/>
              </w:rPr>
              <w:t>AASB 107.42A</w:t>
            </w:r>
          </w:p>
        </w:tc>
        <w:tc>
          <w:tcPr>
            <w:tcW w:w="8981" w:type="dxa"/>
            <w:gridSpan w:val="6"/>
            <w:tcBorders>
              <w:left w:val="single" w:sz="2" w:space="0" w:color="auto"/>
            </w:tcBorders>
            <w:shd w:val="clear" w:color="auto" w:fill="7030A0"/>
          </w:tcPr>
          <w:p w14:paraId="38CE78AC"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Cash flows arising from changes in ownership interests where control is neither lost nor obtained are classified as financing transactions.</w:t>
            </w:r>
          </w:p>
        </w:tc>
      </w:tr>
      <w:tr w:rsidR="00DA7FF4" w:rsidRPr="00CF7E1B" w14:paraId="7EC255A9"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4181FD42" w14:textId="77777777" w:rsidR="00DA7FF4" w:rsidRPr="00A26DB2" w:rsidRDefault="00DA7FF4" w:rsidP="00DA7FF4">
            <w:pPr>
              <w:pStyle w:val="TableReference"/>
              <w:tabs>
                <w:tab w:val="left" w:pos="3306"/>
              </w:tabs>
              <w:rPr>
                <w:rFonts w:cs="Calibri"/>
                <w:color w:val="7030A0"/>
                <w:sz w:val="14"/>
              </w:rPr>
            </w:pPr>
          </w:p>
        </w:tc>
        <w:tc>
          <w:tcPr>
            <w:tcW w:w="8981" w:type="dxa"/>
            <w:gridSpan w:val="6"/>
            <w:tcBorders>
              <w:left w:val="single" w:sz="2" w:space="0" w:color="auto"/>
            </w:tcBorders>
            <w:shd w:val="clear" w:color="auto" w:fill="7030A0"/>
          </w:tcPr>
          <w:p w14:paraId="32DDB700" w14:textId="77777777" w:rsidR="00DA7FF4" w:rsidRPr="00A26DB2" w:rsidRDefault="00DA7FF4" w:rsidP="009A0F2F">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Where an agency has no amounts applicable to any individual line item, these line items should not be included in the Statement of Cash Flows.</w:t>
            </w:r>
          </w:p>
        </w:tc>
      </w:tr>
      <w:tr w:rsidR="00DA7FF4" w:rsidRPr="00CF7E1B" w14:paraId="47C02DE7"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005D2C5C"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101.51(c),(e) &amp; 53</w:t>
            </w:r>
          </w:p>
        </w:tc>
        <w:tc>
          <w:tcPr>
            <w:tcW w:w="8981" w:type="dxa"/>
            <w:gridSpan w:val="6"/>
            <w:tcBorders>
              <w:left w:val="single" w:sz="2" w:space="0" w:color="auto"/>
            </w:tcBorders>
            <w:shd w:val="clear" w:color="auto" w:fill="7030A0"/>
          </w:tcPr>
          <w:p w14:paraId="117B718F"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The reporting date and rounding used in the Statement of Cash Flows must be identified.</w:t>
            </w:r>
          </w:p>
        </w:tc>
      </w:tr>
      <w:tr w:rsidR="00DA7FF4" w:rsidRPr="00CF7E1B" w14:paraId="4332A2D0" w14:textId="77777777" w:rsidTr="004D1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c>
          <w:tcPr>
            <w:tcW w:w="1563" w:type="dxa"/>
            <w:tcBorders>
              <w:left w:val="single" w:sz="2" w:space="0" w:color="auto"/>
              <w:right w:val="single" w:sz="2" w:space="0" w:color="auto"/>
            </w:tcBorders>
          </w:tcPr>
          <w:p w14:paraId="32ADCC8B" w14:textId="77777777" w:rsidR="00DA7FF4" w:rsidRPr="00A26DB2" w:rsidRDefault="00DA7FF4" w:rsidP="00DA7FF4">
            <w:pPr>
              <w:pStyle w:val="TableReference"/>
              <w:tabs>
                <w:tab w:val="left" w:pos="3306"/>
              </w:tabs>
              <w:rPr>
                <w:rFonts w:cs="Calibri"/>
                <w:color w:val="7030A0"/>
                <w:sz w:val="14"/>
              </w:rPr>
            </w:pPr>
            <w:r w:rsidRPr="00A26DB2">
              <w:rPr>
                <w:rFonts w:cs="Calibri"/>
                <w:color w:val="7030A0"/>
                <w:sz w:val="14"/>
              </w:rPr>
              <w:t>AASB 101.113</w:t>
            </w:r>
          </w:p>
        </w:tc>
        <w:tc>
          <w:tcPr>
            <w:tcW w:w="8981" w:type="dxa"/>
            <w:gridSpan w:val="6"/>
            <w:tcBorders>
              <w:left w:val="single" w:sz="2" w:space="0" w:color="auto"/>
            </w:tcBorders>
            <w:shd w:val="clear" w:color="auto" w:fill="7030A0"/>
          </w:tcPr>
          <w:p w14:paraId="508CC371" w14:textId="77777777" w:rsidR="00DA7FF4" w:rsidRPr="00A26DB2" w:rsidRDefault="00DA7FF4" w:rsidP="00DA7FF4">
            <w:pPr>
              <w:pStyle w:val="CommentaryText"/>
              <w:tabs>
                <w:tab w:val="left" w:pos="3306"/>
              </w:tabs>
              <w:rPr>
                <w:rFonts w:cs="Calibri"/>
                <w:color w:val="FFFFFF" w:themeColor="background1"/>
                <w:sz w:val="18"/>
                <w:szCs w:val="18"/>
              </w:rPr>
            </w:pPr>
            <w:r w:rsidRPr="00A26DB2">
              <w:rPr>
                <w:rFonts w:cs="Calibri"/>
                <w:color w:val="FFFFFF" w:themeColor="background1"/>
                <w:sz w:val="18"/>
                <w:szCs w:val="18"/>
              </w:rPr>
              <w:t>The Statement of Cash Flows must be cross-referenced to relevant notes included, depending upon materiality considerations.</w:t>
            </w:r>
          </w:p>
        </w:tc>
      </w:tr>
    </w:tbl>
    <w:p w14:paraId="47E93EBD" w14:textId="77777777" w:rsidR="00AD56C6" w:rsidRDefault="00AD56C6">
      <w:pPr>
        <w:sectPr w:rsidR="00AD56C6" w:rsidSect="00AD56C6">
          <w:headerReference w:type="default" r:id="rId28"/>
          <w:footnotePr>
            <w:numRestart w:val="eachPage"/>
          </w:footnotePr>
          <w:type w:val="nextColumn"/>
          <w:pgSz w:w="11907" w:h="16840" w:code="9"/>
          <w:pgMar w:top="964" w:right="680" w:bottom="567" w:left="680" w:header="426" w:footer="680" w:gutter="0"/>
          <w:cols w:space="720"/>
        </w:sectPr>
      </w:pPr>
    </w:p>
    <w:tbl>
      <w:tblPr>
        <w:tblW w:w="4976" w:type="pct"/>
        <w:tblInd w:w="-6" w:type="dxa"/>
        <w:shd w:val="clear" w:color="auto" w:fill="CCFFCC"/>
        <w:tblLayout w:type="fixed"/>
        <w:tblLook w:val="00A0" w:firstRow="1" w:lastRow="0" w:firstColumn="1" w:lastColumn="0" w:noHBand="0" w:noVBand="0"/>
      </w:tblPr>
      <w:tblGrid>
        <w:gridCol w:w="1563"/>
        <w:gridCol w:w="8930"/>
      </w:tblGrid>
      <w:tr w:rsidR="000F132A" w:rsidRPr="00CF7E1B" w14:paraId="1F6AE247" w14:textId="77777777" w:rsidTr="001F1661">
        <w:tc>
          <w:tcPr>
            <w:tcW w:w="1563" w:type="dxa"/>
            <w:tcBorders>
              <w:left w:val="single" w:sz="2" w:space="0" w:color="auto"/>
              <w:right w:val="single" w:sz="2" w:space="0" w:color="auto"/>
            </w:tcBorders>
          </w:tcPr>
          <w:p w14:paraId="7F4E3823" w14:textId="77777777" w:rsidR="000F132A" w:rsidRPr="00C54DBF" w:rsidRDefault="000F132A" w:rsidP="004D1EC6">
            <w:pPr>
              <w:pStyle w:val="TableReference"/>
              <w:tabs>
                <w:tab w:val="left" w:pos="3306"/>
              </w:tabs>
              <w:spacing w:after="240"/>
              <w:rPr>
                <w:rFonts w:cs="Calibri"/>
                <w:b/>
                <w:color w:val="auto"/>
                <w:sz w:val="22"/>
                <w:szCs w:val="22"/>
              </w:rPr>
            </w:pPr>
            <w:r w:rsidRPr="00C54DBF">
              <w:rPr>
                <w:rFonts w:cs="Calibri"/>
                <w:b/>
                <w:color w:val="auto"/>
                <w:sz w:val="22"/>
                <w:szCs w:val="22"/>
              </w:rPr>
              <w:br w:type="page"/>
            </w:r>
            <w:r w:rsidRPr="00BB62BB">
              <w:rPr>
                <w:rFonts w:cs="Calibri"/>
                <w:b/>
                <w:color w:val="7030A0"/>
                <w:sz w:val="22"/>
                <w:szCs w:val="22"/>
              </w:rPr>
              <w:t>Reference</w:t>
            </w:r>
          </w:p>
        </w:tc>
        <w:tc>
          <w:tcPr>
            <w:tcW w:w="8930" w:type="dxa"/>
            <w:tcBorders>
              <w:left w:val="single" w:sz="2" w:space="0" w:color="auto"/>
            </w:tcBorders>
            <w:shd w:val="clear" w:color="auto" w:fill="7030A0"/>
          </w:tcPr>
          <w:p w14:paraId="76CC872E" w14:textId="31F7115A" w:rsidR="000F132A" w:rsidRPr="003E6941" w:rsidRDefault="006500AC" w:rsidP="004D1EC6">
            <w:pPr>
              <w:pStyle w:val="TableReference"/>
              <w:tabs>
                <w:tab w:val="left" w:pos="3306"/>
              </w:tabs>
              <w:spacing w:after="240"/>
              <w:rPr>
                <w:rFonts w:cs="Calibri"/>
                <w:b/>
                <w:color w:val="FFFFFF" w:themeColor="background1"/>
                <w:sz w:val="28"/>
                <w:szCs w:val="28"/>
              </w:rPr>
            </w:pPr>
            <w:r w:rsidRPr="003E6941">
              <w:rPr>
                <w:rFonts w:cs="Calibri"/>
                <w:b/>
                <w:color w:val="FFFFFF" w:themeColor="background1"/>
                <w:sz w:val="28"/>
                <w:szCs w:val="28"/>
              </w:rPr>
              <w:t xml:space="preserve">Commentary </w:t>
            </w:r>
            <w:r w:rsidRPr="003E6941">
              <w:rPr>
                <w:rFonts w:cs="Calibri"/>
                <w:b/>
                <w:color w:val="FFFFFF" w:themeColor="background1"/>
                <w:sz w:val="28"/>
                <w:szCs w:val="28"/>
              </w:rPr>
              <w:sym w:font="Symbol" w:char="F02D"/>
            </w:r>
            <w:r w:rsidRPr="003E6941">
              <w:rPr>
                <w:rFonts w:cs="Calibri"/>
                <w:b/>
                <w:color w:val="FFFFFF" w:themeColor="background1"/>
                <w:sz w:val="28"/>
                <w:szCs w:val="28"/>
              </w:rPr>
              <w:t xml:space="preserve"> </w:t>
            </w:r>
            <w:r w:rsidR="00C0544A" w:rsidRPr="003E6941">
              <w:rPr>
                <w:rFonts w:cs="Calibri"/>
                <w:b/>
                <w:color w:val="FFFFFF" w:themeColor="background1"/>
                <w:sz w:val="28"/>
                <w:szCs w:val="28"/>
              </w:rPr>
              <w:t xml:space="preserve">Statement of Cash Flows – </w:t>
            </w:r>
            <w:r w:rsidRPr="003E6941">
              <w:rPr>
                <w:rFonts w:cs="Calibri"/>
                <w:b/>
                <w:color w:val="FFFFFF" w:themeColor="background1"/>
                <w:sz w:val="28"/>
                <w:szCs w:val="28"/>
              </w:rPr>
              <w:t>Continued</w:t>
            </w:r>
          </w:p>
        </w:tc>
      </w:tr>
      <w:tr w:rsidR="000144FF" w:rsidRPr="00CF7E1B" w14:paraId="0F77689F" w14:textId="77777777" w:rsidTr="001F1661">
        <w:tc>
          <w:tcPr>
            <w:tcW w:w="1563" w:type="dxa"/>
            <w:tcBorders>
              <w:left w:val="single" w:sz="2" w:space="0" w:color="auto"/>
              <w:right w:val="single" w:sz="2" w:space="0" w:color="auto"/>
            </w:tcBorders>
          </w:tcPr>
          <w:p w14:paraId="5ECA684E" w14:textId="77777777" w:rsidR="000144FF" w:rsidRPr="00F22DB5" w:rsidRDefault="000144FF">
            <w:pPr>
              <w:pStyle w:val="TableReference"/>
              <w:tabs>
                <w:tab w:val="left" w:pos="3306"/>
              </w:tabs>
              <w:spacing w:before="60"/>
              <w:rPr>
                <w:rFonts w:cs="Calibri"/>
                <w:color w:val="auto"/>
                <w:sz w:val="14"/>
              </w:rPr>
            </w:pPr>
          </w:p>
        </w:tc>
        <w:tc>
          <w:tcPr>
            <w:tcW w:w="8930" w:type="dxa"/>
            <w:tcBorders>
              <w:left w:val="single" w:sz="2" w:space="0" w:color="auto"/>
            </w:tcBorders>
            <w:shd w:val="clear" w:color="auto" w:fill="7030A0"/>
          </w:tcPr>
          <w:p w14:paraId="16106ECD" w14:textId="77777777" w:rsidR="000144FF" w:rsidRPr="00552ECB" w:rsidRDefault="000144FF" w:rsidP="003E6941">
            <w:pPr>
              <w:pStyle w:val="CommentaryHeading"/>
              <w:spacing w:before="0" w:after="0"/>
              <w:rPr>
                <w:rFonts w:cs="Calibri"/>
                <w:color w:val="FFFFFF" w:themeColor="background1"/>
                <w:szCs w:val="20"/>
              </w:rPr>
            </w:pPr>
            <w:r w:rsidRPr="00552ECB">
              <w:rPr>
                <w:rFonts w:cs="Calibri"/>
                <w:color w:val="FFFFFF" w:themeColor="background1"/>
                <w:szCs w:val="20"/>
              </w:rPr>
              <w:t>Reporting of Cash Flows</w:t>
            </w:r>
          </w:p>
        </w:tc>
      </w:tr>
      <w:tr w:rsidR="000144FF" w:rsidRPr="00CF7E1B" w14:paraId="0AC10C7A" w14:textId="77777777" w:rsidTr="001F1661">
        <w:tc>
          <w:tcPr>
            <w:tcW w:w="1563" w:type="dxa"/>
            <w:tcBorders>
              <w:left w:val="single" w:sz="2" w:space="0" w:color="auto"/>
              <w:right w:val="single" w:sz="2" w:space="0" w:color="auto"/>
            </w:tcBorders>
          </w:tcPr>
          <w:p w14:paraId="72F54D70" w14:textId="77777777" w:rsidR="000144FF" w:rsidRPr="003E6941" w:rsidRDefault="000144FF">
            <w:pPr>
              <w:pStyle w:val="TableReference"/>
              <w:tabs>
                <w:tab w:val="left" w:pos="3306"/>
              </w:tabs>
              <w:spacing w:before="60"/>
              <w:rPr>
                <w:rFonts w:cs="Calibri"/>
                <w:color w:val="7030A0"/>
                <w:sz w:val="14"/>
              </w:rPr>
            </w:pPr>
            <w:r w:rsidRPr="003E6941">
              <w:rPr>
                <w:rFonts w:cs="Calibri"/>
                <w:color w:val="7030A0"/>
                <w:sz w:val="14"/>
              </w:rPr>
              <w:t>AASB 107</w:t>
            </w:r>
            <w:r w:rsidR="00D65811" w:rsidRPr="003E6941">
              <w:rPr>
                <w:rFonts w:cs="Calibri"/>
                <w:color w:val="7030A0"/>
                <w:sz w:val="14"/>
              </w:rPr>
              <w:t>.</w:t>
            </w:r>
            <w:r w:rsidRPr="003E6941">
              <w:rPr>
                <w:rFonts w:cs="Calibri"/>
                <w:color w:val="7030A0"/>
                <w:sz w:val="14"/>
              </w:rPr>
              <w:t>18 &amp; 21</w:t>
            </w:r>
          </w:p>
          <w:p w14:paraId="061F7722" w14:textId="3B0397C6" w:rsidR="000144FF" w:rsidRPr="003E6941" w:rsidRDefault="00EC3FF0" w:rsidP="00D15034">
            <w:pPr>
              <w:pStyle w:val="TableReference"/>
              <w:tabs>
                <w:tab w:val="left" w:pos="3306"/>
              </w:tabs>
              <w:spacing w:before="60"/>
              <w:rPr>
                <w:rFonts w:cs="Calibri"/>
                <w:color w:val="7030A0"/>
                <w:sz w:val="14"/>
              </w:rPr>
            </w:pPr>
            <w:r w:rsidRPr="003E6941">
              <w:rPr>
                <w:rFonts w:cs="Calibri"/>
                <w:color w:val="7030A0"/>
                <w:sz w:val="14"/>
              </w:rPr>
              <w:t xml:space="preserve">ACT </w:t>
            </w:r>
            <w:r w:rsidR="00770EA6" w:rsidRPr="003E6941">
              <w:rPr>
                <w:rFonts w:cs="Calibri"/>
                <w:color w:val="7030A0"/>
                <w:sz w:val="14"/>
              </w:rPr>
              <w:t>Disclosure</w:t>
            </w:r>
            <w:r w:rsidRPr="003E6941">
              <w:rPr>
                <w:rFonts w:cs="Calibri"/>
                <w:color w:val="7030A0"/>
                <w:sz w:val="14"/>
              </w:rPr>
              <w:t xml:space="preserve"> </w:t>
            </w:r>
            <w:r w:rsidR="00D44587" w:rsidRPr="003E6941">
              <w:rPr>
                <w:rFonts w:cs="Calibri"/>
                <w:color w:val="7030A0"/>
                <w:sz w:val="14"/>
              </w:rPr>
              <w:t>Policy</w:t>
            </w:r>
          </w:p>
        </w:tc>
        <w:tc>
          <w:tcPr>
            <w:tcW w:w="8930" w:type="dxa"/>
            <w:tcBorders>
              <w:left w:val="single" w:sz="2" w:space="0" w:color="auto"/>
            </w:tcBorders>
            <w:shd w:val="clear" w:color="auto" w:fill="7030A0"/>
          </w:tcPr>
          <w:p w14:paraId="1AD57A49" w14:textId="77619D86" w:rsidR="000144FF" w:rsidRPr="003E6941" w:rsidRDefault="00A02AD6" w:rsidP="00D15034">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AASB 107 allows cash flows arising from operating activities to be report</w:t>
            </w:r>
            <w:r w:rsidR="008202F0" w:rsidRPr="003E6941">
              <w:rPr>
                <w:rFonts w:cs="Calibri"/>
                <w:color w:val="FFFFFF" w:themeColor="background1"/>
                <w:sz w:val="18"/>
                <w:szCs w:val="18"/>
              </w:rPr>
              <w:t>ed</w:t>
            </w:r>
            <w:r w:rsidR="008F3F10" w:rsidRPr="003E6941">
              <w:rPr>
                <w:rFonts w:cs="Calibri"/>
                <w:color w:val="FFFFFF" w:themeColor="background1"/>
                <w:sz w:val="18"/>
                <w:szCs w:val="18"/>
              </w:rPr>
              <w:t xml:space="preserve"> in the </w:t>
            </w:r>
            <w:r w:rsidR="00C0544A" w:rsidRPr="003E6941">
              <w:rPr>
                <w:rFonts w:cs="Calibri"/>
                <w:color w:val="FFFFFF" w:themeColor="background1"/>
                <w:sz w:val="18"/>
                <w:szCs w:val="18"/>
              </w:rPr>
              <w:t>Statement of Cash Flows</w:t>
            </w:r>
            <w:r w:rsidRPr="003E6941">
              <w:rPr>
                <w:rFonts w:cs="Calibri"/>
                <w:color w:val="FFFFFF" w:themeColor="background1"/>
                <w:sz w:val="18"/>
                <w:szCs w:val="18"/>
              </w:rPr>
              <w:t xml:space="preserve"> using either the direct or in</w:t>
            </w:r>
            <w:r w:rsidR="00F12D36" w:rsidRPr="003E6941">
              <w:rPr>
                <w:rFonts w:cs="Calibri"/>
                <w:color w:val="FFFFFF" w:themeColor="background1"/>
                <w:sz w:val="18"/>
                <w:szCs w:val="18"/>
              </w:rPr>
              <w:t>direct method.</w:t>
            </w:r>
            <w:r w:rsidR="00FA7C77">
              <w:rPr>
                <w:rFonts w:cs="Calibri"/>
                <w:color w:val="FFFFFF" w:themeColor="background1"/>
                <w:sz w:val="18"/>
                <w:szCs w:val="18"/>
              </w:rPr>
              <w:t xml:space="preserve"> </w:t>
            </w:r>
            <w:r w:rsidR="00F12D36" w:rsidRPr="003E6941">
              <w:rPr>
                <w:rFonts w:cs="Calibri"/>
                <w:color w:val="FFFFFF" w:themeColor="background1"/>
                <w:sz w:val="18"/>
                <w:szCs w:val="18"/>
              </w:rPr>
              <w:t xml:space="preserve">ACT </w:t>
            </w:r>
            <w:r w:rsidR="00A67B85" w:rsidRPr="003E6941">
              <w:rPr>
                <w:rFonts w:cs="Calibri"/>
                <w:color w:val="FFFFFF" w:themeColor="background1"/>
                <w:sz w:val="18"/>
                <w:szCs w:val="18"/>
              </w:rPr>
              <w:t>Disclosure</w:t>
            </w:r>
            <w:r w:rsidR="00F12D36" w:rsidRPr="003E6941">
              <w:rPr>
                <w:rFonts w:cs="Calibri"/>
                <w:color w:val="FFFFFF" w:themeColor="background1"/>
                <w:sz w:val="18"/>
                <w:szCs w:val="18"/>
              </w:rPr>
              <w:t xml:space="preserve"> P</w:t>
            </w:r>
            <w:r w:rsidRPr="003E6941">
              <w:rPr>
                <w:rFonts w:cs="Calibri"/>
                <w:color w:val="FFFFFF" w:themeColor="background1"/>
                <w:sz w:val="18"/>
                <w:szCs w:val="18"/>
              </w:rPr>
              <w:t xml:space="preserve">olicy requires that </w:t>
            </w:r>
            <w:r w:rsidR="00D65811" w:rsidRPr="003E6941">
              <w:rPr>
                <w:rFonts w:cs="Calibri"/>
                <w:color w:val="FFFFFF" w:themeColor="background1"/>
                <w:sz w:val="18"/>
                <w:szCs w:val="18"/>
              </w:rPr>
              <w:t>a</w:t>
            </w:r>
            <w:r w:rsidR="002B361F" w:rsidRPr="003E6941">
              <w:rPr>
                <w:rFonts w:cs="Calibri"/>
                <w:color w:val="FFFFFF" w:themeColor="background1"/>
                <w:sz w:val="18"/>
                <w:szCs w:val="18"/>
              </w:rPr>
              <w:t xml:space="preserve">gencies </w:t>
            </w:r>
            <w:r w:rsidRPr="003E6941">
              <w:rPr>
                <w:rFonts w:cs="Calibri"/>
                <w:color w:val="FFFFFF" w:themeColor="background1"/>
                <w:sz w:val="18"/>
                <w:szCs w:val="18"/>
              </w:rPr>
              <w:t>u</w:t>
            </w:r>
            <w:r w:rsidR="000144FF" w:rsidRPr="003E6941">
              <w:rPr>
                <w:rFonts w:cs="Calibri"/>
                <w:color w:val="FFFFFF" w:themeColor="background1"/>
                <w:sz w:val="18"/>
                <w:szCs w:val="18"/>
              </w:rPr>
              <w:t>s</w:t>
            </w:r>
            <w:r w:rsidRPr="003E6941">
              <w:rPr>
                <w:rFonts w:cs="Calibri"/>
                <w:color w:val="FFFFFF" w:themeColor="background1"/>
                <w:sz w:val="18"/>
                <w:szCs w:val="18"/>
              </w:rPr>
              <w:t>e</w:t>
            </w:r>
            <w:r w:rsidR="000144FF" w:rsidRPr="003E6941">
              <w:rPr>
                <w:rFonts w:cs="Calibri"/>
                <w:color w:val="FFFFFF" w:themeColor="background1"/>
                <w:sz w:val="18"/>
                <w:szCs w:val="18"/>
              </w:rPr>
              <w:t xml:space="preserve"> the direct method, whereby major classes of gross cash receipts and gross cash payments are disclosed.</w:t>
            </w:r>
            <w:r w:rsidR="00FA7C77">
              <w:rPr>
                <w:rFonts w:cs="Calibri"/>
                <w:color w:val="FFFFFF" w:themeColor="background1"/>
                <w:sz w:val="18"/>
                <w:szCs w:val="18"/>
              </w:rPr>
              <w:t xml:space="preserve"> </w:t>
            </w:r>
            <w:r w:rsidR="000144FF" w:rsidRPr="003E6941">
              <w:rPr>
                <w:rFonts w:cs="Calibri"/>
                <w:color w:val="FFFFFF" w:themeColor="background1"/>
                <w:sz w:val="18"/>
                <w:szCs w:val="18"/>
              </w:rPr>
              <w:t>Major classes of investing and financing cash flows shall be presented on a gross basis.</w:t>
            </w:r>
          </w:p>
        </w:tc>
      </w:tr>
      <w:tr w:rsidR="00D15034" w:rsidRPr="00CF7E1B" w14:paraId="3327BD5D" w14:textId="77777777" w:rsidTr="001F1661">
        <w:tc>
          <w:tcPr>
            <w:tcW w:w="1563" w:type="dxa"/>
            <w:tcBorders>
              <w:left w:val="single" w:sz="2" w:space="0" w:color="auto"/>
              <w:right w:val="single" w:sz="2" w:space="0" w:color="auto"/>
            </w:tcBorders>
          </w:tcPr>
          <w:p w14:paraId="5D40D48A" w14:textId="565CBB9B" w:rsidR="00D15034" w:rsidRPr="003E6941" w:rsidRDefault="00D15034">
            <w:pPr>
              <w:pStyle w:val="TableReference"/>
              <w:tabs>
                <w:tab w:val="left" w:pos="3306"/>
              </w:tabs>
              <w:spacing w:before="60"/>
              <w:rPr>
                <w:rFonts w:cs="Calibri"/>
                <w:color w:val="7030A0"/>
                <w:sz w:val="14"/>
              </w:rPr>
            </w:pPr>
            <w:r w:rsidRPr="003E6941">
              <w:rPr>
                <w:rFonts w:cs="Calibri"/>
                <w:color w:val="7030A0"/>
                <w:sz w:val="14"/>
              </w:rPr>
              <w:t>AASB 107.22</w:t>
            </w:r>
          </w:p>
        </w:tc>
        <w:tc>
          <w:tcPr>
            <w:tcW w:w="8930" w:type="dxa"/>
            <w:tcBorders>
              <w:left w:val="single" w:sz="2" w:space="0" w:color="auto"/>
            </w:tcBorders>
            <w:shd w:val="clear" w:color="auto" w:fill="7030A0"/>
          </w:tcPr>
          <w:p w14:paraId="4AEE128B" w14:textId="77777777" w:rsidR="00D15034" w:rsidRPr="003E6941" w:rsidRDefault="00D15034" w:rsidP="00D15034">
            <w:pPr>
              <w:pStyle w:val="CommentaryText"/>
              <w:spacing w:after="60"/>
              <w:rPr>
                <w:rFonts w:cs="Calibri"/>
                <w:color w:val="FFFFFF" w:themeColor="background1"/>
                <w:sz w:val="18"/>
                <w:szCs w:val="18"/>
              </w:rPr>
            </w:pPr>
            <w:r w:rsidRPr="003E6941">
              <w:rPr>
                <w:rFonts w:cs="Calibri"/>
                <w:color w:val="FFFFFF" w:themeColor="background1"/>
                <w:sz w:val="18"/>
                <w:szCs w:val="18"/>
              </w:rPr>
              <w:t>However, the following items, may be reported on a net basis:</w:t>
            </w:r>
          </w:p>
          <w:p w14:paraId="2A4A333E" w14:textId="412825D5" w:rsidR="00D15034" w:rsidRPr="003E6941" w:rsidRDefault="00D15034" w:rsidP="00E35CD2">
            <w:pPr>
              <w:pStyle w:val="Commentary-Bullet"/>
              <w:rPr>
                <w:rFonts w:cs="Calibri"/>
                <w:color w:val="FFFFFF" w:themeColor="background1"/>
                <w:sz w:val="18"/>
                <w:szCs w:val="18"/>
              </w:rPr>
            </w:pPr>
            <w:r w:rsidRPr="003E6941">
              <w:rPr>
                <w:rFonts w:cs="Calibri"/>
                <w:color w:val="FFFFFF" w:themeColor="background1"/>
                <w:sz w:val="18"/>
                <w:szCs w:val="18"/>
              </w:rPr>
              <w:t>items where the agency is, in substance, holding or disbursing cash on behalf of its customers; and</w:t>
            </w:r>
          </w:p>
          <w:p w14:paraId="1B269B7D" w14:textId="7B9C95B4" w:rsidR="00D15034" w:rsidRPr="003E6941" w:rsidRDefault="00D15034" w:rsidP="00E35CD2">
            <w:pPr>
              <w:pStyle w:val="Commentary-Bullet"/>
              <w:rPr>
                <w:rFonts w:cs="Calibri"/>
                <w:color w:val="FFFFFF" w:themeColor="background1"/>
                <w:sz w:val="18"/>
                <w:szCs w:val="18"/>
              </w:rPr>
            </w:pPr>
            <w:r w:rsidRPr="003E6941">
              <w:rPr>
                <w:rFonts w:cs="Calibri"/>
                <w:color w:val="FFFFFF" w:themeColor="background1"/>
                <w:sz w:val="18"/>
                <w:szCs w:val="18"/>
              </w:rPr>
              <w:t>items where turnover is quick, the amounts are large, and the maturities are short i.e. less than 3 months.</w:t>
            </w:r>
          </w:p>
        </w:tc>
      </w:tr>
      <w:tr w:rsidR="000144FF" w:rsidRPr="00CF7E1B" w14:paraId="5EBC3E69" w14:textId="77777777" w:rsidTr="001F1661">
        <w:tc>
          <w:tcPr>
            <w:tcW w:w="1563" w:type="dxa"/>
            <w:tcBorders>
              <w:left w:val="single" w:sz="2" w:space="0" w:color="auto"/>
              <w:right w:val="single" w:sz="2" w:space="0" w:color="auto"/>
            </w:tcBorders>
          </w:tcPr>
          <w:p w14:paraId="2B086283" w14:textId="77777777" w:rsidR="000144FF" w:rsidRPr="003E6941" w:rsidRDefault="000144F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7BB80C49" w14:textId="77777777" w:rsidR="000144FF" w:rsidRPr="003E6941" w:rsidRDefault="000144FF" w:rsidP="00D15034">
            <w:pPr>
              <w:pStyle w:val="CommentaryText"/>
              <w:spacing w:before="120"/>
              <w:rPr>
                <w:rFonts w:cs="Calibri"/>
                <w:color w:val="FFFFFF" w:themeColor="background1"/>
                <w:sz w:val="18"/>
                <w:szCs w:val="18"/>
              </w:rPr>
            </w:pPr>
            <w:r w:rsidRPr="003E6941">
              <w:rPr>
                <w:rFonts w:cs="Calibri"/>
                <w:color w:val="FFFFFF" w:themeColor="background1"/>
                <w:sz w:val="18"/>
                <w:szCs w:val="18"/>
              </w:rPr>
              <w:t xml:space="preserve">These two situations will not apply to </w:t>
            </w:r>
            <w:r w:rsidR="00D65811" w:rsidRPr="003E6941">
              <w:rPr>
                <w:rFonts w:cs="Calibri"/>
                <w:color w:val="FFFFFF" w:themeColor="background1"/>
                <w:sz w:val="18"/>
                <w:szCs w:val="18"/>
              </w:rPr>
              <w:t>a</w:t>
            </w:r>
            <w:r w:rsidR="002B361F" w:rsidRPr="003E6941">
              <w:rPr>
                <w:rFonts w:cs="Calibri"/>
                <w:color w:val="FFFFFF" w:themeColor="background1"/>
                <w:sz w:val="18"/>
                <w:szCs w:val="18"/>
              </w:rPr>
              <w:t xml:space="preserve">gencies </w:t>
            </w:r>
            <w:r w:rsidRPr="003E6941">
              <w:rPr>
                <w:rFonts w:cs="Calibri"/>
                <w:color w:val="FFFFFF" w:themeColor="background1"/>
                <w:sz w:val="18"/>
                <w:szCs w:val="18"/>
              </w:rPr>
              <w:t>with the</w:t>
            </w:r>
            <w:r w:rsidR="00143D7D" w:rsidRPr="003E6941">
              <w:rPr>
                <w:rFonts w:cs="Calibri"/>
                <w:color w:val="FFFFFF" w:themeColor="background1"/>
                <w:sz w:val="18"/>
                <w:szCs w:val="18"/>
              </w:rPr>
              <w:t xml:space="preserve"> possible</w:t>
            </w:r>
            <w:r w:rsidRPr="003E6941">
              <w:rPr>
                <w:rFonts w:cs="Calibri"/>
                <w:color w:val="FFFFFF" w:themeColor="background1"/>
                <w:sz w:val="18"/>
                <w:szCs w:val="18"/>
              </w:rPr>
              <w:t xml:space="preserve"> exception of the </w:t>
            </w:r>
            <w:r w:rsidR="009B6BD6" w:rsidRPr="003E6941">
              <w:rPr>
                <w:rFonts w:cs="Calibri"/>
                <w:color w:val="FFFFFF" w:themeColor="background1"/>
                <w:sz w:val="18"/>
                <w:szCs w:val="18"/>
              </w:rPr>
              <w:t>Territory Banking Account</w:t>
            </w:r>
            <w:r w:rsidRPr="003E6941">
              <w:rPr>
                <w:rFonts w:cs="Calibri"/>
                <w:color w:val="FFFFFF" w:themeColor="background1"/>
                <w:sz w:val="18"/>
                <w:szCs w:val="18"/>
              </w:rPr>
              <w:t xml:space="preserve"> </w:t>
            </w:r>
            <w:r w:rsidR="00D65811" w:rsidRPr="003E6941">
              <w:rPr>
                <w:rFonts w:cs="Calibri"/>
                <w:color w:val="FFFFFF" w:themeColor="background1"/>
                <w:sz w:val="18"/>
                <w:szCs w:val="18"/>
              </w:rPr>
              <w:t>and/</w:t>
            </w:r>
            <w:r w:rsidRPr="003E6941">
              <w:rPr>
                <w:rFonts w:cs="Calibri"/>
                <w:color w:val="FFFFFF" w:themeColor="background1"/>
                <w:sz w:val="18"/>
                <w:szCs w:val="18"/>
              </w:rPr>
              <w:t xml:space="preserve">or the </w:t>
            </w:r>
            <w:r w:rsidR="00AB7939" w:rsidRPr="003E6941">
              <w:rPr>
                <w:rFonts w:cs="Calibri"/>
                <w:color w:val="FFFFFF" w:themeColor="background1"/>
                <w:sz w:val="18"/>
                <w:szCs w:val="18"/>
              </w:rPr>
              <w:t>Superannuation Provision Account</w:t>
            </w:r>
            <w:r w:rsidRPr="003E6941">
              <w:rPr>
                <w:rFonts w:cs="Calibri"/>
                <w:color w:val="FFFFFF" w:themeColor="background1"/>
                <w:sz w:val="18"/>
                <w:szCs w:val="18"/>
              </w:rPr>
              <w:t>.</w:t>
            </w:r>
          </w:p>
        </w:tc>
      </w:tr>
      <w:tr w:rsidR="000144FF" w:rsidRPr="00CF7E1B" w14:paraId="64C71937" w14:textId="77777777" w:rsidTr="001F1661">
        <w:tc>
          <w:tcPr>
            <w:tcW w:w="1563" w:type="dxa"/>
            <w:tcBorders>
              <w:left w:val="single" w:sz="2" w:space="0" w:color="auto"/>
              <w:right w:val="single" w:sz="2" w:space="0" w:color="auto"/>
            </w:tcBorders>
          </w:tcPr>
          <w:p w14:paraId="14927100" w14:textId="77777777" w:rsidR="000144FF" w:rsidRPr="003E6941" w:rsidRDefault="000144F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105C0ED" w14:textId="77777777" w:rsidR="000144FF" w:rsidRPr="00552ECB" w:rsidRDefault="000144FF" w:rsidP="00D15034">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Budget</w:t>
            </w:r>
          </w:p>
        </w:tc>
      </w:tr>
      <w:tr w:rsidR="006141B9" w:rsidRPr="00CF7E1B" w14:paraId="7A7C9483" w14:textId="77777777" w:rsidTr="001F1661">
        <w:tc>
          <w:tcPr>
            <w:tcW w:w="1563" w:type="dxa"/>
            <w:tcBorders>
              <w:left w:val="single" w:sz="2" w:space="0" w:color="auto"/>
              <w:right w:val="single" w:sz="2" w:space="0" w:color="auto"/>
            </w:tcBorders>
          </w:tcPr>
          <w:p w14:paraId="0591683A"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FMA Section 27(2)</w:t>
            </w:r>
          </w:p>
          <w:p w14:paraId="451F3A02" w14:textId="365822A8" w:rsidR="006141B9" w:rsidRPr="003E6941" w:rsidRDefault="006141B9" w:rsidP="006141B9">
            <w:pPr>
              <w:pStyle w:val="TableReference"/>
              <w:tabs>
                <w:tab w:val="left" w:pos="3306"/>
              </w:tabs>
              <w:spacing w:before="60"/>
              <w:rPr>
                <w:rFonts w:cs="Calibri"/>
                <w:strike/>
                <w:color w:val="7030A0"/>
                <w:sz w:val="14"/>
              </w:rPr>
            </w:pPr>
            <w:r w:rsidRPr="003E6941">
              <w:rPr>
                <w:rFonts w:cs="Calibri"/>
                <w:color w:val="7030A0"/>
                <w:sz w:val="14"/>
              </w:rPr>
              <w:t>FMA s63(2)</w:t>
            </w:r>
          </w:p>
        </w:tc>
        <w:tc>
          <w:tcPr>
            <w:tcW w:w="8930" w:type="dxa"/>
            <w:tcBorders>
              <w:left w:val="single" w:sz="2" w:space="0" w:color="auto"/>
            </w:tcBorders>
            <w:shd w:val="clear" w:color="auto" w:fill="7030A0"/>
          </w:tcPr>
          <w:p w14:paraId="5A012F33" w14:textId="4C1D56DA" w:rsidR="006141B9" w:rsidRPr="003E6941" w:rsidRDefault="006141B9" w:rsidP="006141B9">
            <w:pPr>
              <w:pStyle w:val="CommentaryText"/>
              <w:rPr>
                <w:rFonts w:cs="Calibri"/>
                <w:color w:val="FFFFFF" w:themeColor="background1"/>
                <w:sz w:val="18"/>
                <w:szCs w:val="18"/>
              </w:rPr>
            </w:pPr>
            <w:r w:rsidRPr="003E6941">
              <w:rPr>
                <w:rFonts w:cs="Calibri"/>
                <w:color w:val="FFFFFF" w:themeColor="background1"/>
                <w:sz w:val="18"/>
                <w:szCs w:val="18"/>
              </w:rPr>
              <w:t>The budget numbers appearing in the Statement of Cash Flows are the numbers published in the 2021-22 Budget Papers.</w:t>
            </w:r>
            <w:r w:rsidR="00FA7C77">
              <w:rPr>
                <w:rFonts w:cs="Calibri"/>
                <w:color w:val="FFFFFF" w:themeColor="background1"/>
                <w:sz w:val="18"/>
                <w:szCs w:val="18"/>
              </w:rPr>
              <w:t xml:space="preserve"> </w:t>
            </w:r>
            <w:r w:rsidRPr="003E6941">
              <w:rPr>
                <w:rFonts w:cs="Calibri"/>
                <w:color w:val="FFFFFF" w:themeColor="background1"/>
                <w:sz w:val="18"/>
                <w:szCs w:val="18"/>
              </w:rPr>
              <w:t>For Territory Authorities budget numbers appearing in the Statement of Cash Flows are based on the authority’s Statement of Intent included in the Budget Papers.</w:t>
            </w:r>
          </w:p>
        </w:tc>
      </w:tr>
      <w:tr w:rsidR="006141B9" w:rsidRPr="00CF7E1B" w14:paraId="775720E9" w14:textId="77777777" w:rsidTr="001F1661">
        <w:tc>
          <w:tcPr>
            <w:tcW w:w="1563" w:type="dxa"/>
            <w:tcBorders>
              <w:left w:val="single" w:sz="2" w:space="0" w:color="auto"/>
              <w:right w:val="single" w:sz="2" w:space="0" w:color="auto"/>
            </w:tcBorders>
          </w:tcPr>
          <w:p w14:paraId="7FA723EF" w14:textId="77777777" w:rsidR="006141B9" w:rsidRPr="003E6941"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4A1A8B19" w14:textId="77777777" w:rsidR="006141B9" w:rsidRPr="00552ECB" w:rsidRDefault="006141B9" w:rsidP="006141B9">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Definitions</w:t>
            </w:r>
          </w:p>
        </w:tc>
      </w:tr>
      <w:tr w:rsidR="006141B9" w:rsidRPr="00CF7E1B" w14:paraId="08E06B49" w14:textId="77777777" w:rsidTr="001F1661">
        <w:tc>
          <w:tcPr>
            <w:tcW w:w="1563" w:type="dxa"/>
            <w:tcBorders>
              <w:left w:val="single" w:sz="2" w:space="0" w:color="auto"/>
              <w:right w:val="single" w:sz="2" w:space="0" w:color="auto"/>
            </w:tcBorders>
          </w:tcPr>
          <w:p w14:paraId="64967AE3"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 &amp; 9</w:t>
            </w:r>
          </w:p>
        </w:tc>
        <w:tc>
          <w:tcPr>
            <w:tcW w:w="8930" w:type="dxa"/>
            <w:tcBorders>
              <w:left w:val="single" w:sz="2" w:space="0" w:color="auto"/>
            </w:tcBorders>
            <w:shd w:val="clear" w:color="auto" w:fill="7030A0"/>
          </w:tcPr>
          <w:p w14:paraId="7BF53432" w14:textId="5265FBBC"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Cash flows are inflows and outflows of cash and cash equivalents.</w:t>
            </w:r>
            <w:r w:rsidR="00FA7C77">
              <w:rPr>
                <w:rFonts w:cs="Calibri"/>
                <w:color w:val="FFFFFF" w:themeColor="background1"/>
                <w:sz w:val="18"/>
                <w:szCs w:val="18"/>
              </w:rPr>
              <w:t xml:space="preserve"> </w:t>
            </w:r>
            <w:r w:rsidRPr="003E6941">
              <w:rPr>
                <w:rFonts w:cs="Calibri"/>
                <w:color w:val="FFFFFF" w:themeColor="background1"/>
                <w:sz w:val="18"/>
                <w:szCs w:val="18"/>
              </w:rPr>
              <w:t>Cash flows exclude movements between items that constitute cash or cash equivalents because these components are part of the cash management of an agency rather than part of its operating, investing and financing activities.</w:t>
            </w:r>
          </w:p>
        </w:tc>
      </w:tr>
      <w:tr w:rsidR="006141B9" w:rsidRPr="00CF7E1B" w14:paraId="6D72737A" w14:textId="77777777" w:rsidTr="001F1661">
        <w:tc>
          <w:tcPr>
            <w:tcW w:w="1563" w:type="dxa"/>
            <w:tcBorders>
              <w:left w:val="single" w:sz="2" w:space="0" w:color="auto"/>
              <w:right w:val="single" w:sz="2" w:space="0" w:color="auto"/>
            </w:tcBorders>
          </w:tcPr>
          <w:p w14:paraId="0D352CD6" w14:textId="106C6C0D"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12374583" w14:textId="2F3AABD9"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AASB 107 defines cash as cash on hand and demand deposits.</w:t>
            </w:r>
            <w:r w:rsidR="00FA7C77">
              <w:rPr>
                <w:rFonts w:cs="Calibri"/>
                <w:color w:val="FFFFFF" w:themeColor="background1"/>
                <w:sz w:val="18"/>
                <w:szCs w:val="18"/>
              </w:rPr>
              <w:t xml:space="preserve"> </w:t>
            </w:r>
            <w:r w:rsidRPr="003E6941">
              <w:rPr>
                <w:rFonts w:cs="Calibri"/>
                <w:color w:val="FFFFFF" w:themeColor="background1"/>
                <w:sz w:val="18"/>
                <w:szCs w:val="18"/>
              </w:rPr>
              <w:t>Cash on hand refers to notes and coins held on premises and demand deposits are deposits held at call with a financial institution.</w:t>
            </w:r>
            <w:r w:rsidR="00FA7C77">
              <w:rPr>
                <w:rFonts w:cs="Calibri"/>
                <w:color w:val="FFFFFF" w:themeColor="background1"/>
                <w:sz w:val="18"/>
                <w:szCs w:val="18"/>
              </w:rPr>
              <w:t xml:space="preserve"> </w:t>
            </w:r>
          </w:p>
        </w:tc>
      </w:tr>
      <w:tr w:rsidR="006141B9" w:rsidRPr="00CF7E1B" w14:paraId="76E939F3" w14:textId="77777777" w:rsidTr="001F1661">
        <w:tc>
          <w:tcPr>
            <w:tcW w:w="1563" w:type="dxa"/>
            <w:tcBorders>
              <w:left w:val="single" w:sz="2" w:space="0" w:color="auto"/>
              <w:right w:val="single" w:sz="2" w:space="0" w:color="auto"/>
            </w:tcBorders>
          </w:tcPr>
          <w:p w14:paraId="014EB3B1" w14:textId="1B9724D3"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4350340A" w14:textId="298D8B99"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Cash equivalents are highly liquid investments with short periods to maturity, and are subject to an insignificant risk of changes in value.</w:t>
            </w:r>
          </w:p>
        </w:tc>
      </w:tr>
      <w:tr w:rsidR="006141B9" w:rsidRPr="00CF7E1B" w14:paraId="1388761A" w14:textId="77777777" w:rsidTr="001F1661">
        <w:tc>
          <w:tcPr>
            <w:tcW w:w="1563" w:type="dxa"/>
            <w:tcBorders>
              <w:left w:val="single" w:sz="2" w:space="0" w:color="auto"/>
              <w:right w:val="single" w:sz="2" w:space="0" w:color="auto"/>
            </w:tcBorders>
          </w:tcPr>
          <w:p w14:paraId="5AC4F4B2"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50EC47B9" w14:textId="444DDD60"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Operating activities are the </w:t>
            </w:r>
            <w:r w:rsidR="008475E2" w:rsidRPr="003E6941">
              <w:rPr>
                <w:rFonts w:cs="Calibri"/>
                <w:color w:val="FFFFFF" w:themeColor="background1"/>
                <w:sz w:val="18"/>
                <w:szCs w:val="18"/>
              </w:rPr>
              <w:t>principal</w:t>
            </w:r>
            <w:r w:rsidRPr="003E6941">
              <w:rPr>
                <w:rFonts w:cs="Calibri"/>
                <w:color w:val="FFFFFF" w:themeColor="background1"/>
                <w:sz w:val="18"/>
                <w:szCs w:val="18"/>
              </w:rPr>
              <w:t xml:space="preserve"> revenue-producing activities of an agency and other activities that are not investing or financing activities.</w:t>
            </w:r>
          </w:p>
        </w:tc>
      </w:tr>
      <w:tr w:rsidR="006141B9" w:rsidRPr="00CF7E1B" w14:paraId="77E50312" w14:textId="77777777" w:rsidTr="001F1661">
        <w:tc>
          <w:tcPr>
            <w:tcW w:w="1563" w:type="dxa"/>
            <w:tcBorders>
              <w:left w:val="single" w:sz="2" w:space="0" w:color="auto"/>
              <w:right w:val="single" w:sz="2" w:space="0" w:color="auto"/>
            </w:tcBorders>
          </w:tcPr>
          <w:p w14:paraId="75277A84"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06940734"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Investing activities are the acquisition and disposal of long-term assets, and other investments not included in cash equivalents.</w:t>
            </w:r>
          </w:p>
        </w:tc>
      </w:tr>
      <w:tr w:rsidR="006141B9" w:rsidRPr="00CF7E1B" w14:paraId="286D4926" w14:textId="77777777" w:rsidTr="001F1661">
        <w:tc>
          <w:tcPr>
            <w:tcW w:w="1563" w:type="dxa"/>
            <w:tcBorders>
              <w:left w:val="single" w:sz="2" w:space="0" w:color="auto"/>
              <w:right w:val="single" w:sz="2" w:space="0" w:color="auto"/>
            </w:tcBorders>
          </w:tcPr>
          <w:p w14:paraId="27B3B7AF"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107.6</w:t>
            </w:r>
          </w:p>
        </w:tc>
        <w:tc>
          <w:tcPr>
            <w:tcW w:w="8930" w:type="dxa"/>
            <w:tcBorders>
              <w:left w:val="single" w:sz="2" w:space="0" w:color="auto"/>
            </w:tcBorders>
            <w:shd w:val="clear" w:color="auto" w:fill="7030A0"/>
          </w:tcPr>
          <w:p w14:paraId="349A8F04"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Financing activities are activities that relate to changes in the size and composition of the contributed capital (accumulated funds) and borrowings of the agency.</w:t>
            </w:r>
          </w:p>
        </w:tc>
      </w:tr>
      <w:tr w:rsidR="006141B9" w:rsidRPr="00CF7E1B" w14:paraId="640DF97C" w14:textId="77777777" w:rsidTr="001F1661">
        <w:tc>
          <w:tcPr>
            <w:tcW w:w="1563" w:type="dxa"/>
            <w:tcBorders>
              <w:left w:val="single" w:sz="2" w:space="0" w:color="auto"/>
              <w:right w:val="single" w:sz="2" w:space="0" w:color="auto"/>
            </w:tcBorders>
          </w:tcPr>
          <w:p w14:paraId="0A45BC64"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05911D6" w14:textId="77777777" w:rsidR="006141B9" w:rsidRPr="00552ECB" w:rsidRDefault="006141B9" w:rsidP="006141B9">
            <w:pPr>
              <w:pStyle w:val="CommentaryHeading"/>
              <w:spacing w:before="0" w:after="40"/>
              <w:rPr>
                <w:rFonts w:cs="Calibri"/>
                <w:color w:val="FFFFFF" w:themeColor="background1"/>
                <w:szCs w:val="20"/>
              </w:rPr>
            </w:pPr>
            <w:r w:rsidRPr="00552ECB">
              <w:rPr>
                <w:rFonts w:cs="Calibri"/>
                <w:color w:val="FFFFFF" w:themeColor="background1"/>
                <w:szCs w:val="20"/>
              </w:rPr>
              <w:t>Bank Overdraft</w:t>
            </w:r>
          </w:p>
        </w:tc>
      </w:tr>
      <w:tr w:rsidR="006141B9" w:rsidRPr="00CF7E1B" w14:paraId="33C11A5D" w14:textId="77777777" w:rsidTr="001F1661">
        <w:tc>
          <w:tcPr>
            <w:tcW w:w="1563" w:type="dxa"/>
            <w:tcBorders>
              <w:left w:val="single" w:sz="2" w:space="0" w:color="auto"/>
              <w:right w:val="single" w:sz="2" w:space="0" w:color="auto"/>
            </w:tcBorders>
          </w:tcPr>
          <w:p w14:paraId="0728F37A"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107.8</w:t>
            </w:r>
          </w:p>
        </w:tc>
        <w:tc>
          <w:tcPr>
            <w:tcW w:w="8930" w:type="dxa"/>
            <w:tcBorders>
              <w:left w:val="single" w:sz="2" w:space="0" w:color="auto"/>
            </w:tcBorders>
            <w:shd w:val="clear" w:color="auto" w:fill="7030A0"/>
          </w:tcPr>
          <w:p w14:paraId="4911323D" w14:textId="53593EE4"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Where a bank overdraft is repayable on demand and therefore forms an integral part of an agency’s cash management, these overdrafts are included as a component of cash and cash equivalents.</w:t>
            </w:r>
            <w:r w:rsidR="00FA7C77">
              <w:rPr>
                <w:rFonts w:cs="Calibri"/>
                <w:color w:val="FFFFFF" w:themeColor="background1"/>
                <w:sz w:val="18"/>
                <w:szCs w:val="18"/>
              </w:rPr>
              <w:t xml:space="preserve"> </w:t>
            </w:r>
            <w:r w:rsidRPr="003E6941">
              <w:rPr>
                <w:rFonts w:cs="Calibri"/>
                <w:color w:val="FFFFFF" w:themeColor="background1"/>
                <w:sz w:val="18"/>
                <w:szCs w:val="18"/>
              </w:rPr>
              <w:t>A characteristic of such banking arrangements is that the bank balance often fluctuates from being positive to overdrawn.</w:t>
            </w:r>
            <w:r w:rsidR="00FA7C77">
              <w:rPr>
                <w:rFonts w:cs="Calibri"/>
                <w:color w:val="FFFFFF" w:themeColor="background1"/>
                <w:sz w:val="18"/>
                <w:szCs w:val="18"/>
              </w:rPr>
              <w:t xml:space="preserve"> </w:t>
            </w:r>
            <w:r w:rsidRPr="003E6941">
              <w:rPr>
                <w:rFonts w:cs="Calibri"/>
                <w:color w:val="FFFFFF" w:themeColor="background1"/>
                <w:sz w:val="18"/>
                <w:szCs w:val="18"/>
              </w:rPr>
              <w:t>Where a bank overdraft is not repayable on demand</w:t>
            </w:r>
            <w:r w:rsidR="008475E2" w:rsidRPr="003E6941">
              <w:rPr>
                <w:rFonts w:cs="Calibri"/>
                <w:color w:val="FFFFFF" w:themeColor="background1"/>
                <w:sz w:val="18"/>
                <w:szCs w:val="18"/>
              </w:rPr>
              <w:t>,</w:t>
            </w:r>
            <w:r w:rsidRPr="003E6941">
              <w:rPr>
                <w:rFonts w:cs="Calibri"/>
                <w:color w:val="FFFFFF" w:themeColor="background1"/>
                <w:sz w:val="18"/>
                <w:szCs w:val="18"/>
              </w:rPr>
              <w:t xml:space="preserve"> it would </w:t>
            </w:r>
            <w:r w:rsidR="008475E2" w:rsidRPr="003E6941">
              <w:rPr>
                <w:rFonts w:cs="Calibri"/>
                <w:color w:val="FFFFFF" w:themeColor="background1"/>
                <w:sz w:val="18"/>
                <w:szCs w:val="18"/>
              </w:rPr>
              <w:t xml:space="preserve">be </w:t>
            </w:r>
            <w:r w:rsidRPr="003E6941">
              <w:rPr>
                <w:rFonts w:cs="Calibri"/>
                <w:color w:val="FFFFFF" w:themeColor="background1"/>
                <w:sz w:val="18"/>
                <w:szCs w:val="18"/>
              </w:rPr>
              <w:t>treated as a cash flow from financing activities.</w:t>
            </w:r>
          </w:p>
        </w:tc>
      </w:tr>
      <w:tr w:rsidR="006141B9" w:rsidRPr="00CF7E1B" w14:paraId="716F5422" w14:textId="77777777" w:rsidTr="001F1661">
        <w:tc>
          <w:tcPr>
            <w:tcW w:w="1563" w:type="dxa"/>
            <w:tcBorders>
              <w:left w:val="single" w:sz="2" w:space="0" w:color="auto"/>
              <w:right w:val="single" w:sz="2" w:space="0" w:color="auto"/>
            </w:tcBorders>
          </w:tcPr>
          <w:p w14:paraId="61C4D98A"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7DA6C08" w14:textId="77777777" w:rsidR="006141B9" w:rsidRPr="00552ECB" w:rsidRDefault="006141B9" w:rsidP="006141B9">
            <w:pPr>
              <w:pStyle w:val="CommentaryHeading"/>
              <w:spacing w:before="0" w:after="40"/>
              <w:rPr>
                <w:rFonts w:cs="Calibri"/>
                <w:color w:val="FFFFFF" w:themeColor="background1"/>
                <w:szCs w:val="20"/>
              </w:rPr>
            </w:pPr>
            <w:r w:rsidRPr="00552ECB">
              <w:rPr>
                <w:rFonts w:cs="Calibri"/>
                <w:color w:val="FFFFFF" w:themeColor="background1"/>
                <w:szCs w:val="20"/>
              </w:rPr>
              <w:t>Different Cash Flows in One Transaction</w:t>
            </w:r>
          </w:p>
        </w:tc>
      </w:tr>
      <w:tr w:rsidR="006141B9" w:rsidRPr="00CF7E1B" w14:paraId="5CF13DE4" w14:textId="77777777" w:rsidTr="001F1661">
        <w:tc>
          <w:tcPr>
            <w:tcW w:w="1563" w:type="dxa"/>
            <w:tcBorders>
              <w:left w:val="single" w:sz="2" w:space="0" w:color="auto"/>
              <w:right w:val="single" w:sz="2" w:space="0" w:color="auto"/>
            </w:tcBorders>
          </w:tcPr>
          <w:p w14:paraId="56FB8566"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107.12</w:t>
            </w:r>
          </w:p>
        </w:tc>
        <w:tc>
          <w:tcPr>
            <w:tcW w:w="8930" w:type="dxa"/>
            <w:tcBorders>
              <w:left w:val="single" w:sz="2" w:space="0" w:color="auto"/>
            </w:tcBorders>
            <w:shd w:val="clear" w:color="auto" w:fill="7030A0"/>
          </w:tcPr>
          <w:p w14:paraId="0A398D5F" w14:textId="32662FD2"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 single transaction may include cash flows that are classified differently. For example, when the cash repayment of a loan includes both an interest element and a capital element, the interest element may be classified as operating and the capital element as financing.</w:t>
            </w:r>
          </w:p>
        </w:tc>
      </w:tr>
      <w:tr w:rsidR="006141B9" w:rsidRPr="00CF7E1B" w14:paraId="36F412B5" w14:textId="77777777" w:rsidTr="001F1661">
        <w:tc>
          <w:tcPr>
            <w:tcW w:w="1563" w:type="dxa"/>
            <w:tcBorders>
              <w:left w:val="single" w:sz="2" w:space="0" w:color="auto"/>
              <w:right w:val="single" w:sz="2" w:space="0" w:color="auto"/>
            </w:tcBorders>
          </w:tcPr>
          <w:p w14:paraId="03219E21" w14:textId="77777777" w:rsidR="006141B9" w:rsidRPr="003E6941" w:rsidRDefault="006141B9" w:rsidP="006141B9">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3BBC040C" w14:textId="4C97A928" w:rsidR="006141B9" w:rsidRPr="00552ECB" w:rsidRDefault="006141B9" w:rsidP="006141B9">
            <w:pPr>
              <w:pStyle w:val="CommentaryHeading"/>
              <w:tabs>
                <w:tab w:val="left" w:pos="3306"/>
              </w:tabs>
              <w:spacing w:before="0" w:after="40"/>
              <w:rPr>
                <w:rFonts w:cs="Calibri"/>
                <w:color w:val="FFFFFF" w:themeColor="background1"/>
                <w:szCs w:val="20"/>
              </w:rPr>
            </w:pPr>
            <w:r w:rsidRPr="00552ECB">
              <w:rPr>
                <w:rFonts w:cs="Calibri"/>
                <w:color w:val="FFFFFF" w:themeColor="background1"/>
                <w:szCs w:val="20"/>
              </w:rPr>
              <w:t>Goods and Services Tax</w:t>
            </w:r>
            <w:r w:rsidR="008475E2" w:rsidRPr="00552ECB">
              <w:rPr>
                <w:rFonts w:cs="Calibri"/>
                <w:color w:val="FFFFFF" w:themeColor="background1"/>
                <w:szCs w:val="20"/>
              </w:rPr>
              <w:t xml:space="preserve"> </w:t>
            </w:r>
            <w:r w:rsidRPr="00552ECB">
              <w:rPr>
                <w:rFonts w:cs="Calibri"/>
                <w:color w:val="FFFFFF" w:themeColor="background1"/>
                <w:szCs w:val="20"/>
              </w:rPr>
              <w:t>(GST)</w:t>
            </w:r>
          </w:p>
        </w:tc>
      </w:tr>
      <w:tr w:rsidR="006141B9" w:rsidRPr="00CF7E1B" w14:paraId="0E143EC2" w14:textId="77777777" w:rsidTr="001F1661">
        <w:tc>
          <w:tcPr>
            <w:tcW w:w="1563" w:type="dxa"/>
            <w:tcBorders>
              <w:left w:val="single" w:sz="2" w:space="0" w:color="auto"/>
              <w:right w:val="single" w:sz="2" w:space="0" w:color="auto"/>
            </w:tcBorders>
          </w:tcPr>
          <w:p w14:paraId="4C7E8C22"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Interpretation 1031.10</w:t>
            </w:r>
          </w:p>
        </w:tc>
        <w:tc>
          <w:tcPr>
            <w:tcW w:w="8930" w:type="dxa"/>
            <w:tcBorders>
              <w:left w:val="single" w:sz="2" w:space="0" w:color="auto"/>
            </w:tcBorders>
            <w:shd w:val="clear" w:color="auto" w:fill="7030A0"/>
          </w:tcPr>
          <w:p w14:paraId="2DD2E126" w14:textId="1BEF0F5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Cash flows relating to the GST must be included in the Statement of Cash Flows on a gross basis. </w:t>
            </w:r>
          </w:p>
        </w:tc>
      </w:tr>
      <w:tr w:rsidR="006141B9" w:rsidRPr="00CF7E1B" w14:paraId="5DF9340E" w14:textId="77777777" w:rsidTr="001F1661">
        <w:tc>
          <w:tcPr>
            <w:tcW w:w="1563" w:type="dxa"/>
            <w:tcBorders>
              <w:left w:val="single" w:sz="2" w:space="0" w:color="auto"/>
              <w:right w:val="single" w:sz="2" w:space="0" w:color="auto"/>
            </w:tcBorders>
          </w:tcPr>
          <w:p w14:paraId="39B844AF"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Interpretation 1031.11</w:t>
            </w:r>
          </w:p>
        </w:tc>
        <w:tc>
          <w:tcPr>
            <w:tcW w:w="8930" w:type="dxa"/>
            <w:tcBorders>
              <w:left w:val="single" w:sz="2" w:space="0" w:color="auto"/>
            </w:tcBorders>
            <w:shd w:val="clear" w:color="auto" w:fill="7030A0"/>
          </w:tcPr>
          <w:p w14:paraId="6D2FCDDB" w14:textId="77777777"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The GST component of cash flows arising from investing and financing activities which is recoverable from, or payable to, the taxation authority must be classified as operating cash flows.</w:t>
            </w:r>
          </w:p>
        </w:tc>
      </w:tr>
      <w:tr w:rsidR="006141B9" w:rsidRPr="00CF7E1B" w14:paraId="73A9567C" w14:textId="77777777" w:rsidTr="001F1661">
        <w:tc>
          <w:tcPr>
            <w:tcW w:w="1563" w:type="dxa"/>
            <w:tcBorders>
              <w:left w:val="single" w:sz="2" w:space="0" w:color="auto"/>
              <w:right w:val="single" w:sz="2" w:space="0" w:color="auto"/>
            </w:tcBorders>
          </w:tcPr>
          <w:p w14:paraId="4F6FE417"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28E2EE2" w14:textId="77777777" w:rsidR="006141B9" w:rsidRPr="00552ECB" w:rsidRDefault="006141B9" w:rsidP="003E6941">
            <w:pPr>
              <w:pStyle w:val="CommentaryHeading"/>
              <w:spacing w:after="0"/>
              <w:rPr>
                <w:rFonts w:cs="Calibri"/>
                <w:color w:val="FFFFFF" w:themeColor="background1"/>
                <w:szCs w:val="20"/>
              </w:rPr>
            </w:pPr>
            <w:r w:rsidRPr="00552ECB">
              <w:rPr>
                <w:rFonts w:cs="Calibri"/>
                <w:color w:val="FFFFFF" w:themeColor="background1"/>
                <w:szCs w:val="20"/>
              </w:rPr>
              <w:t>Interest in a Joint Venture</w:t>
            </w:r>
          </w:p>
        </w:tc>
      </w:tr>
      <w:tr w:rsidR="006141B9" w:rsidRPr="00CF7E1B" w14:paraId="55297BCE" w14:textId="77777777" w:rsidTr="001F1661">
        <w:tc>
          <w:tcPr>
            <w:tcW w:w="1563" w:type="dxa"/>
            <w:tcBorders>
              <w:left w:val="single" w:sz="2" w:space="0" w:color="auto"/>
              <w:right w:val="single" w:sz="2" w:space="0" w:color="auto"/>
            </w:tcBorders>
          </w:tcPr>
          <w:p w14:paraId="4267D0B4" w14:textId="77777777"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107.38</w:t>
            </w:r>
          </w:p>
        </w:tc>
        <w:tc>
          <w:tcPr>
            <w:tcW w:w="8930" w:type="dxa"/>
            <w:tcBorders>
              <w:left w:val="single" w:sz="2" w:space="0" w:color="auto"/>
            </w:tcBorders>
            <w:shd w:val="clear" w:color="auto" w:fill="7030A0"/>
          </w:tcPr>
          <w:p w14:paraId="23BE5465" w14:textId="23E64BFF" w:rsidR="006141B9" w:rsidRPr="003E6941" w:rsidRDefault="006141B9" w:rsidP="006141B9">
            <w:pPr>
              <w:pStyle w:val="CommentaryText"/>
              <w:tabs>
                <w:tab w:val="left" w:pos="3306"/>
              </w:tabs>
              <w:spacing w:after="40"/>
              <w:rPr>
                <w:rFonts w:cs="Calibri"/>
                <w:color w:val="FFFFFF" w:themeColor="background1"/>
                <w:sz w:val="18"/>
                <w:szCs w:val="18"/>
              </w:rPr>
            </w:pPr>
            <w:r w:rsidRPr="003E6941">
              <w:rPr>
                <w:rFonts w:cs="Calibri"/>
                <w:color w:val="FFFFFF" w:themeColor="background1"/>
                <w:sz w:val="18"/>
                <w:szCs w:val="18"/>
              </w:rPr>
              <w:t>Where applicable, an agency shall include the following cash flows, relating to a Joint Venture, in its Statement of Cash Flows:</w:t>
            </w:r>
          </w:p>
          <w:p w14:paraId="57B879B6" w14:textId="77777777" w:rsidR="006141B9" w:rsidRPr="003E6941" w:rsidRDefault="006141B9" w:rsidP="00E35CD2">
            <w:pPr>
              <w:pStyle w:val="Commentary-Bullet"/>
              <w:rPr>
                <w:rFonts w:cs="Calibri"/>
                <w:color w:val="FFFFFF" w:themeColor="background1"/>
                <w:sz w:val="18"/>
                <w:szCs w:val="18"/>
              </w:rPr>
            </w:pPr>
            <w:r w:rsidRPr="003E6941">
              <w:rPr>
                <w:rFonts w:cs="Calibri"/>
                <w:color w:val="FFFFFF" w:themeColor="background1"/>
                <w:sz w:val="18"/>
                <w:szCs w:val="18"/>
              </w:rPr>
              <w:t>its investment in the Joint Venture;</w:t>
            </w:r>
          </w:p>
          <w:p w14:paraId="5B221ED8" w14:textId="77777777" w:rsidR="006141B9" w:rsidRPr="003E6941" w:rsidRDefault="006141B9" w:rsidP="00E35CD2">
            <w:pPr>
              <w:pStyle w:val="Commentary-Bullet"/>
              <w:rPr>
                <w:rFonts w:cs="Calibri"/>
                <w:color w:val="FFFFFF" w:themeColor="background1"/>
                <w:sz w:val="18"/>
                <w:szCs w:val="18"/>
              </w:rPr>
            </w:pPr>
            <w:r w:rsidRPr="003E6941">
              <w:rPr>
                <w:rFonts w:cs="Calibri"/>
                <w:color w:val="FFFFFF" w:themeColor="background1"/>
                <w:sz w:val="18"/>
                <w:szCs w:val="18"/>
              </w:rPr>
              <w:t>distributions from the Joint Venture; and</w:t>
            </w:r>
          </w:p>
          <w:p w14:paraId="47063B9B" w14:textId="55405C15" w:rsidR="00552ECB" w:rsidRPr="00552ECB" w:rsidRDefault="006141B9" w:rsidP="008B5A52">
            <w:pPr>
              <w:pStyle w:val="Commentary-Bullet"/>
              <w:spacing w:after="120"/>
              <w:ind w:left="499" w:hanging="357"/>
              <w:rPr>
                <w:rFonts w:cs="Calibri"/>
                <w:color w:val="FFFFFF" w:themeColor="background1"/>
                <w:sz w:val="18"/>
                <w:szCs w:val="18"/>
              </w:rPr>
            </w:pPr>
            <w:r w:rsidRPr="003E6941">
              <w:rPr>
                <w:rFonts w:cs="Calibri"/>
                <w:color w:val="FFFFFF" w:themeColor="background1"/>
                <w:sz w:val="18"/>
                <w:szCs w:val="18"/>
              </w:rPr>
              <w:t>other payments or receipts between it and the Joint Venture.</w:t>
            </w:r>
          </w:p>
        </w:tc>
      </w:tr>
    </w:tbl>
    <w:p w14:paraId="1698E126" w14:textId="77777777" w:rsidR="00552ECB" w:rsidRDefault="00552ECB">
      <w:r>
        <w:br w:type="page"/>
      </w:r>
    </w:p>
    <w:tbl>
      <w:tblPr>
        <w:tblW w:w="4976" w:type="pct"/>
        <w:tblInd w:w="-6" w:type="dxa"/>
        <w:shd w:val="clear" w:color="auto" w:fill="CCFFCC"/>
        <w:tblLayout w:type="fixed"/>
        <w:tblLook w:val="00A0" w:firstRow="1" w:lastRow="0" w:firstColumn="1" w:lastColumn="0" w:noHBand="0" w:noVBand="0"/>
      </w:tblPr>
      <w:tblGrid>
        <w:gridCol w:w="1563"/>
        <w:gridCol w:w="8930"/>
      </w:tblGrid>
      <w:tr w:rsidR="00552ECB" w:rsidRPr="00CF7E1B" w14:paraId="00218E09" w14:textId="77777777" w:rsidTr="004D1EC6">
        <w:tc>
          <w:tcPr>
            <w:tcW w:w="1563" w:type="dxa"/>
            <w:tcBorders>
              <w:left w:val="single" w:sz="2" w:space="0" w:color="auto"/>
              <w:right w:val="single" w:sz="2" w:space="0" w:color="auto"/>
            </w:tcBorders>
          </w:tcPr>
          <w:p w14:paraId="647761EA" w14:textId="77777777" w:rsidR="00552ECB" w:rsidRPr="003E6941" w:rsidRDefault="00552ECB" w:rsidP="004D1EC6">
            <w:pPr>
              <w:pStyle w:val="TableReference"/>
              <w:tabs>
                <w:tab w:val="left" w:pos="3306"/>
              </w:tabs>
              <w:spacing w:after="240"/>
              <w:rPr>
                <w:rFonts w:cs="Calibri"/>
                <w:b/>
                <w:color w:val="7030A0"/>
                <w:sz w:val="22"/>
                <w:szCs w:val="22"/>
              </w:rPr>
            </w:pPr>
            <w:r w:rsidRPr="003E6941">
              <w:rPr>
                <w:rFonts w:cs="Calibri"/>
                <w:b/>
                <w:color w:val="7030A0"/>
                <w:sz w:val="22"/>
                <w:szCs w:val="22"/>
              </w:rPr>
              <w:br w:type="page"/>
              <w:t>Reference</w:t>
            </w:r>
          </w:p>
        </w:tc>
        <w:tc>
          <w:tcPr>
            <w:tcW w:w="8930" w:type="dxa"/>
            <w:tcBorders>
              <w:left w:val="single" w:sz="2" w:space="0" w:color="auto"/>
            </w:tcBorders>
            <w:shd w:val="clear" w:color="auto" w:fill="7030A0"/>
          </w:tcPr>
          <w:p w14:paraId="52F445AB" w14:textId="77777777" w:rsidR="00552ECB" w:rsidRPr="003E6941" w:rsidRDefault="00552ECB" w:rsidP="004D1EC6">
            <w:pPr>
              <w:pStyle w:val="CommentaryText"/>
              <w:spacing w:after="240"/>
              <w:rPr>
                <w:rFonts w:cs="Calibri"/>
                <w:b/>
                <w:color w:val="FFFFFF" w:themeColor="background1"/>
                <w:sz w:val="28"/>
                <w:szCs w:val="28"/>
              </w:rPr>
            </w:pPr>
            <w:r w:rsidRPr="003E6941">
              <w:rPr>
                <w:rFonts w:cs="Calibri"/>
                <w:b/>
                <w:color w:val="FFFFFF" w:themeColor="background1"/>
                <w:sz w:val="28"/>
                <w:szCs w:val="28"/>
              </w:rPr>
              <w:t xml:space="preserve">Commentary Statement of Cash Flows – Continued </w:t>
            </w:r>
          </w:p>
        </w:tc>
      </w:tr>
      <w:tr w:rsidR="006141B9" w:rsidRPr="00CF7E1B" w14:paraId="043C27D3" w14:textId="77777777" w:rsidTr="004D1EC6">
        <w:tc>
          <w:tcPr>
            <w:tcW w:w="1563" w:type="dxa"/>
            <w:tcBorders>
              <w:left w:val="single" w:sz="2" w:space="0" w:color="auto"/>
              <w:right w:val="single" w:sz="2" w:space="0" w:color="auto"/>
            </w:tcBorders>
          </w:tcPr>
          <w:p w14:paraId="592A388F" w14:textId="6C8DCA5A"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3C8AA5A" w14:textId="77777777" w:rsidR="006141B9" w:rsidRPr="00552ECB" w:rsidRDefault="006141B9" w:rsidP="003E6941">
            <w:pPr>
              <w:pStyle w:val="CommentaryHeading"/>
              <w:spacing w:after="0"/>
              <w:rPr>
                <w:rFonts w:cs="Calibri"/>
                <w:color w:val="FFFFFF" w:themeColor="background1"/>
                <w:szCs w:val="20"/>
              </w:rPr>
            </w:pPr>
            <w:r w:rsidRPr="00552ECB">
              <w:rPr>
                <w:rFonts w:cs="Calibri"/>
                <w:color w:val="FFFFFF" w:themeColor="background1"/>
                <w:szCs w:val="20"/>
              </w:rPr>
              <w:t>Materiality and Aggregation</w:t>
            </w:r>
          </w:p>
        </w:tc>
      </w:tr>
      <w:tr w:rsidR="006141B9" w:rsidRPr="00CF7E1B" w14:paraId="65E5DBFE" w14:textId="77777777" w:rsidTr="004D1EC6">
        <w:tc>
          <w:tcPr>
            <w:tcW w:w="1563" w:type="dxa"/>
            <w:tcBorders>
              <w:left w:val="single" w:sz="2" w:space="0" w:color="auto"/>
              <w:right w:val="single" w:sz="2" w:space="0" w:color="auto"/>
            </w:tcBorders>
          </w:tcPr>
          <w:p w14:paraId="76D1988D" w14:textId="18B0A1D6" w:rsidR="006141B9" w:rsidRPr="003E6941" w:rsidRDefault="006141B9" w:rsidP="006141B9">
            <w:pPr>
              <w:pStyle w:val="TableReference"/>
              <w:tabs>
                <w:tab w:val="left" w:pos="3306"/>
              </w:tabs>
              <w:spacing w:before="60"/>
              <w:rPr>
                <w:rFonts w:cs="Calibri"/>
                <w:color w:val="7030A0"/>
                <w:sz w:val="14"/>
              </w:rPr>
            </w:pPr>
            <w:r w:rsidRPr="003E6941">
              <w:rPr>
                <w:rFonts w:cs="Calibri"/>
                <w:color w:val="7030A0"/>
                <w:sz w:val="14"/>
              </w:rPr>
              <w:t>AASB 101.30A</w:t>
            </w:r>
          </w:p>
        </w:tc>
        <w:tc>
          <w:tcPr>
            <w:tcW w:w="8930" w:type="dxa"/>
            <w:tcBorders>
              <w:left w:val="single" w:sz="2" w:space="0" w:color="auto"/>
            </w:tcBorders>
            <w:shd w:val="clear" w:color="auto" w:fill="7030A0"/>
          </w:tcPr>
          <w:p w14:paraId="6DEE314A" w14:textId="0ACA5DE2"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Agencies need to consider the Materiality Guidance for Financial Statements Simplification under Section 1.2 Materiality Guidance. An agency should decide, taking into consideration all relevant facts and circumstances, how it aggregates information in the Statement of Cash Flows, which includes the notes.</w:t>
            </w:r>
            <w:r w:rsidR="00FA7C77">
              <w:rPr>
                <w:rFonts w:cs="Calibri"/>
                <w:color w:val="FFFFFF" w:themeColor="background1"/>
                <w:sz w:val="18"/>
                <w:szCs w:val="18"/>
              </w:rPr>
              <w:t xml:space="preserve"> </w:t>
            </w:r>
            <w:r w:rsidRPr="003E6941">
              <w:rPr>
                <w:rFonts w:cs="Calibri"/>
                <w:color w:val="FFFFFF" w:themeColor="background1"/>
                <w:sz w:val="18"/>
                <w:szCs w:val="18"/>
              </w:rPr>
              <w:t>It must not reduce the understandability of its financial statements by obscuring material information with immaterial information or by aggregating material items that have different natures or functions.</w:t>
            </w:r>
          </w:p>
        </w:tc>
      </w:tr>
      <w:tr w:rsidR="006141B9" w:rsidRPr="00CF7E1B" w14:paraId="7E243738" w14:textId="77777777" w:rsidTr="004D1EC6">
        <w:tc>
          <w:tcPr>
            <w:tcW w:w="1563" w:type="dxa"/>
            <w:tcBorders>
              <w:left w:val="single" w:sz="2" w:space="0" w:color="auto"/>
              <w:right w:val="single" w:sz="2" w:space="0" w:color="auto"/>
            </w:tcBorders>
          </w:tcPr>
          <w:p w14:paraId="5E73A100" w14:textId="77777777" w:rsidR="006141B9" w:rsidRPr="003E6941" w:rsidRDefault="006141B9" w:rsidP="006141B9">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4F4606F" w14:textId="2667ECEB" w:rsidR="006141B9" w:rsidRPr="00552ECB" w:rsidRDefault="006141B9" w:rsidP="006141B9">
            <w:pPr>
              <w:pStyle w:val="CommentaryText"/>
              <w:tabs>
                <w:tab w:val="left" w:pos="3306"/>
              </w:tabs>
              <w:spacing w:before="60" w:after="0"/>
              <w:rPr>
                <w:rFonts w:cs="Calibri"/>
                <w:b/>
                <w:bCs/>
                <w:color w:val="FFFFFF" w:themeColor="background1"/>
                <w:szCs w:val="20"/>
              </w:rPr>
            </w:pPr>
            <w:r w:rsidRPr="00552ECB">
              <w:rPr>
                <w:rFonts w:cs="Calibri"/>
                <w:b/>
                <w:bCs/>
                <w:color w:val="FFFFFF" w:themeColor="background1"/>
                <w:szCs w:val="20"/>
              </w:rPr>
              <w:t>Leases</w:t>
            </w:r>
          </w:p>
        </w:tc>
      </w:tr>
      <w:tr w:rsidR="006141B9" w:rsidRPr="00CF7E1B" w14:paraId="11B5D250" w14:textId="77777777" w:rsidTr="004D1EC6">
        <w:trPr>
          <w:trHeight w:val="20"/>
        </w:trPr>
        <w:tc>
          <w:tcPr>
            <w:tcW w:w="1563" w:type="dxa"/>
            <w:tcBorders>
              <w:left w:val="single" w:sz="2" w:space="0" w:color="auto"/>
              <w:right w:val="single" w:sz="2" w:space="0" w:color="auto"/>
            </w:tcBorders>
          </w:tcPr>
          <w:p w14:paraId="75968104"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16.50(a)</w:t>
            </w:r>
          </w:p>
          <w:p w14:paraId="74A37ADC" w14:textId="2B4F5493"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16.50(b</w:t>
            </w:r>
          </w:p>
        </w:tc>
        <w:tc>
          <w:tcPr>
            <w:tcW w:w="8930" w:type="dxa"/>
            <w:tcBorders>
              <w:left w:val="single" w:sz="2" w:space="0" w:color="auto"/>
            </w:tcBorders>
            <w:shd w:val="clear" w:color="auto" w:fill="7030A0"/>
          </w:tcPr>
          <w:p w14:paraId="039BF941" w14:textId="7379869C" w:rsidR="006141B9" w:rsidRPr="003E6941" w:rsidRDefault="006141B9" w:rsidP="006141B9">
            <w:pPr>
              <w:pStyle w:val="CommentaryText"/>
              <w:tabs>
                <w:tab w:val="left" w:pos="3306"/>
              </w:tabs>
              <w:spacing w:before="60"/>
              <w:rPr>
                <w:rFonts w:cs="Calibri"/>
                <w:color w:val="FFFFFF" w:themeColor="background1"/>
                <w:sz w:val="18"/>
                <w:szCs w:val="18"/>
              </w:rPr>
            </w:pPr>
            <w:r w:rsidRPr="003E6941">
              <w:rPr>
                <w:rFonts w:cs="Calibri"/>
                <w:color w:val="FFFFFF" w:themeColor="background1"/>
                <w:sz w:val="18"/>
                <w:szCs w:val="18"/>
              </w:rPr>
              <w:t>If an agency is a lessee, they are required to classify cash payments for the principal portion of the lease liability within financing activities.</w:t>
            </w:r>
            <w:r w:rsidR="00FA7C77">
              <w:rPr>
                <w:rFonts w:cs="Calibri"/>
                <w:color w:val="FFFFFF" w:themeColor="background1"/>
                <w:sz w:val="18"/>
                <w:szCs w:val="18"/>
              </w:rPr>
              <w:t xml:space="preserve"> </w:t>
            </w:r>
            <w:r w:rsidRPr="003E6941">
              <w:rPr>
                <w:rFonts w:cs="Calibri"/>
                <w:color w:val="FFFFFF" w:themeColor="background1"/>
                <w:sz w:val="18"/>
                <w:szCs w:val="18"/>
              </w:rPr>
              <w:t>Cash payments for the interest portion of lease liability are classified as operating activities.</w:t>
            </w:r>
            <w:r w:rsidR="00FA7C77">
              <w:rPr>
                <w:rFonts w:cs="Calibri"/>
                <w:color w:val="FFFFFF" w:themeColor="background1"/>
                <w:sz w:val="18"/>
                <w:szCs w:val="18"/>
              </w:rPr>
              <w:t xml:space="preserve"> </w:t>
            </w:r>
          </w:p>
        </w:tc>
      </w:tr>
      <w:tr w:rsidR="006141B9" w:rsidRPr="00CF7E1B" w14:paraId="2E485AA4" w14:textId="77777777" w:rsidTr="004D1EC6">
        <w:trPr>
          <w:trHeight w:val="20"/>
        </w:trPr>
        <w:tc>
          <w:tcPr>
            <w:tcW w:w="1563" w:type="dxa"/>
            <w:tcBorders>
              <w:left w:val="single" w:sz="2" w:space="0" w:color="auto"/>
              <w:right w:val="single" w:sz="2" w:space="0" w:color="auto"/>
            </w:tcBorders>
          </w:tcPr>
          <w:p w14:paraId="0908CEB5"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16.50(c)</w:t>
            </w:r>
          </w:p>
          <w:p w14:paraId="6300376B" w14:textId="77777777"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1A5AF3D1" w14:textId="421BE37B" w:rsidR="006141B9" w:rsidRPr="003E6941" w:rsidRDefault="006141B9" w:rsidP="006141B9">
            <w:pPr>
              <w:pStyle w:val="CommentaryText"/>
              <w:tabs>
                <w:tab w:val="left" w:pos="3306"/>
              </w:tabs>
              <w:spacing w:before="60"/>
              <w:rPr>
                <w:rFonts w:cs="Calibri"/>
                <w:color w:val="FFFFFF" w:themeColor="background1"/>
                <w:sz w:val="18"/>
                <w:szCs w:val="18"/>
              </w:rPr>
            </w:pPr>
            <w:r w:rsidRPr="003E6941">
              <w:rPr>
                <w:rFonts w:cs="Calibri"/>
                <w:color w:val="FFFFFF" w:themeColor="background1"/>
                <w:sz w:val="18"/>
                <w:szCs w:val="18"/>
              </w:rPr>
              <w:t>Short-term lease payments, payments for leases of low-value assets and variable lease payments not included in the measurement of the lease liability are classified within operating activities.</w:t>
            </w:r>
          </w:p>
        </w:tc>
      </w:tr>
      <w:tr w:rsidR="006141B9" w:rsidRPr="00CF7E1B" w14:paraId="41519A98" w14:textId="77777777" w:rsidTr="004D1EC6">
        <w:trPr>
          <w:trHeight w:val="20"/>
        </w:trPr>
        <w:tc>
          <w:tcPr>
            <w:tcW w:w="1563" w:type="dxa"/>
            <w:tcBorders>
              <w:left w:val="single" w:sz="2" w:space="0" w:color="auto"/>
              <w:right w:val="single" w:sz="2" w:space="0" w:color="auto"/>
            </w:tcBorders>
          </w:tcPr>
          <w:p w14:paraId="703CBED1" w14:textId="77777777"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107.43</w:t>
            </w:r>
          </w:p>
          <w:p w14:paraId="4C9BC45A" w14:textId="65715906"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107.44</w:t>
            </w:r>
          </w:p>
        </w:tc>
        <w:tc>
          <w:tcPr>
            <w:tcW w:w="8930" w:type="dxa"/>
            <w:tcBorders>
              <w:left w:val="single" w:sz="2" w:space="0" w:color="auto"/>
            </w:tcBorders>
            <w:shd w:val="clear" w:color="auto" w:fill="7030A0"/>
          </w:tcPr>
          <w:p w14:paraId="0EC89D92" w14:textId="3665AE0C" w:rsidR="006141B9" w:rsidRPr="003E6941" w:rsidRDefault="006141B9" w:rsidP="006141B9">
            <w:pPr>
              <w:pStyle w:val="CommentaryText"/>
              <w:tabs>
                <w:tab w:val="left" w:pos="3306"/>
              </w:tabs>
              <w:spacing w:before="60"/>
              <w:rPr>
                <w:rFonts w:cs="Calibri"/>
                <w:color w:val="FFFFFF" w:themeColor="background1"/>
                <w:sz w:val="18"/>
                <w:szCs w:val="18"/>
              </w:rPr>
            </w:pPr>
            <w:r w:rsidRPr="003E6941">
              <w:rPr>
                <w:rFonts w:cs="Calibri"/>
                <w:color w:val="FFFFFF" w:themeColor="background1"/>
                <w:sz w:val="18"/>
                <w:szCs w:val="18"/>
              </w:rPr>
              <w:t>Non-cash investing and financing transactions (e.g. the initial recognition of the lease at commencement) should be excluded from the statement of cash flows.</w:t>
            </w:r>
            <w:r w:rsidR="00FA7C77">
              <w:rPr>
                <w:rFonts w:cs="Calibri"/>
                <w:color w:val="FFFFFF" w:themeColor="background1"/>
                <w:sz w:val="18"/>
                <w:szCs w:val="18"/>
              </w:rPr>
              <w:t xml:space="preserve"> </w:t>
            </w:r>
            <w:r w:rsidRPr="003E6941">
              <w:rPr>
                <w:rFonts w:cs="Calibri"/>
                <w:color w:val="FFFFFF" w:themeColor="background1"/>
                <w:sz w:val="18"/>
                <w:szCs w:val="18"/>
              </w:rPr>
              <w:t>Such transactions shall be disclosed elsewhere in the financial statements in a way that provides all the relevant information about these investing and financing activities.</w:t>
            </w:r>
          </w:p>
        </w:tc>
      </w:tr>
      <w:tr w:rsidR="006141B9" w:rsidRPr="00CF7E1B" w14:paraId="5D04EE50" w14:textId="77777777" w:rsidTr="004D1EC6">
        <w:trPr>
          <w:trHeight w:val="20"/>
        </w:trPr>
        <w:tc>
          <w:tcPr>
            <w:tcW w:w="1563" w:type="dxa"/>
            <w:tcBorders>
              <w:left w:val="single" w:sz="2" w:space="0" w:color="auto"/>
              <w:right w:val="single" w:sz="2" w:space="0" w:color="auto"/>
            </w:tcBorders>
          </w:tcPr>
          <w:p w14:paraId="282CDEA6" w14:textId="16201266"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5C66562D" w14:textId="07DB832D" w:rsidR="006141B9" w:rsidRPr="00552ECB" w:rsidRDefault="006141B9" w:rsidP="006141B9">
            <w:pPr>
              <w:pStyle w:val="CommentaryText"/>
              <w:tabs>
                <w:tab w:val="left" w:pos="3306"/>
              </w:tabs>
              <w:spacing w:before="60" w:after="0"/>
              <w:rPr>
                <w:rFonts w:cs="Calibri"/>
                <w:b/>
                <w:bCs/>
                <w:color w:val="FFFFFF" w:themeColor="background1"/>
                <w:szCs w:val="20"/>
              </w:rPr>
            </w:pPr>
            <w:r w:rsidRPr="00552ECB">
              <w:rPr>
                <w:rFonts w:cs="Calibri"/>
                <w:b/>
                <w:bCs/>
                <w:color w:val="FFFFFF" w:themeColor="background1"/>
                <w:szCs w:val="20"/>
              </w:rPr>
              <w:t>Territory Authority Commentary</w:t>
            </w:r>
          </w:p>
        </w:tc>
      </w:tr>
      <w:tr w:rsidR="006141B9" w:rsidRPr="00CF7E1B" w14:paraId="4B9F2405" w14:textId="77777777" w:rsidTr="004D1EC6">
        <w:trPr>
          <w:trHeight w:val="20"/>
        </w:trPr>
        <w:tc>
          <w:tcPr>
            <w:tcW w:w="1563" w:type="dxa"/>
            <w:tcBorders>
              <w:left w:val="single" w:sz="2" w:space="0" w:color="auto"/>
              <w:right w:val="single" w:sz="2" w:space="0" w:color="auto"/>
            </w:tcBorders>
          </w:tcPr>
          <w:p w14:paraId="1ED3AF7F" w14:textId="19455464" w:rsidR="006141B9" w:rsidRPr="003E6941" w:rsidRDefault="006141B9" w:rsidP="006141B9">
            <w:pPr>
              <w:pStyle w:val="TableReference"/>
              <w:tabs>
                <w:tab w:val="left" w:pos="3306"/>
              </w:tabs>
              <w:spacing w:before="120"/>
              <w:rPr>
                <w:rFonts w:cs="Calibri"/>
                <w:color w:val="7030A0"/>
                <w:sz w:val="14"/>
              </w:rPr>
            </w:pPr>
            <w:r w:rsidRPr="003E6941">
              <w:rPr>
                <w:rFonts w:cs="Calibri"/>
                <w:color w:val="7030A0"/>
                <w:sz w:val="14"/>
              </w:rPr>
              <w:t>AASB 107.14 (a)</w:t>
            </w:r>
          </w:p>
          <w:p w14:paraId="07A0554C" w14:textId="77777777"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2CF4EFC5" w14:textId="32906225"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In some cases it may be more appropriate to disclose different receipts and payments classes as needed on the Statement of Cash Flows.</w:t>
            </w:r>
            <w:r w:rsidR="00FA7C77">
              <w:rPr>
                <w:rFonts w:cs="Calibri"/>
                <w:color w:val="FFFFFF" w:themeColor="background1"/>
                <w:sz w:val="18"/>
                <w:szCs w:val="18"/>
              </w:rPr>
              <w:t xml:space="preserve"> </w:t>
            </w:r>
            <w:r w:rsidRPr="003E6941">
              <w:rPr>
                <w:rFonts w:cs="Calibri"/>
                <w:color w:val="FFFFFF" w:themeColor="background1"/>
                <w:sz w:val="18"/>
                <w:szCs w:val="18"/>
              </w:rPr>
              <w:t>For example, payments related to Cost of Goods Sold may be more appropriate to territory authorities.</w:t>
            </w:r>
          </w:p>
        </w:tc>
      </w:tr>
      <w:tr w:rsidR="006141B9" w:rsidRPr="00CF7E1B" w14:paraId="23046D60" w14:textId="77777777" w:rsidTr="004D1EC6">
        <w:trPr>
          <w:trHeight w:val="20"/>
        </w:trPr>
        <w:tc>
          <w:tcPr>
            <w:tcW w:w="1563" w:type="dxa"/>
            <w:tcBorders>
              <w:left w:val="single" w:sz="2" w:space="0" w:color="auto"/>
              <w:right w:val="single" w:sz="2" w:space="0" w:color="auto"/>
            </w:tcBorders>
          </w:tcPr>
          <w:p w14:paraId="7C9797AD" w14:textId="15327AB6"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107.14 (f)</w:t>
            </w:r>
          </w:p>
        </w:tc>
        <w:tc>
          <w:tcPr>
            <w:tcW w:w="8930" w:type="dxa"/>
            <w:tcBorders>
              <w:left w:val="single" w:sz="2" w:space="0" w:color="auto"/>
            </w:tcBorders>
            <w:shd w:val="clear" w:color="auto" w:fill="7030A0"/>
          </w:tcPr>
          <w:p w14:paraId="5EA2B4F1" w14:textId="36F6657D"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Territory authorities will most likely need to include a payment line relating to GST remitted to the ATO.</w:t>
            </w:r>
            <w:r w:rsidR="00FA7C77">
              <w:rPr>
                <w:rFonts w:cs="Calibri"/>
                <w:color w:val="FFFFFF" w:themeColor="background1"/>
                <w:sz w:val="18"/>
                <w:szCs w:val="18"/>
              </w:rPr>
              <w:t xml:space="preserve"> </w:t>
            </w:r>
            <w:r w:rsidRPr="003E6941">
              <w:rPr>
                <w:rFonts w:cs="Calibri"/>
                <w:color w:val="FFFFFF" w:themeColor="background1"/>
                <w:sz w:val="18"/>
                <w:szCs w:val="18"/>
              </w:rPr>
              <w:t xml:space="preserve">Where payments are greater than any refunds for any given year, the line </w:t>
            </w:r>
            <w:r w:rsidRPr="003E6941">
              <w:rPr>
                <w:rFonts w:cs="Calibri"/>
                <w:i/>
                <w:color w:val="FFFFFF" w:themeColor="background1"/>
                <w:sz w:val="18"/>
                <w:szCs w:val="18"/>
              </w:rPr>
              <w:t>Goods and Services Tax Remitted to the ATO</w:t>
            </w:r>
            <w:r w:rsidRPr="003E6941">
              <w:rPr>
                <w:rFonts w:cs="Calibri"/>
                <w:color w:val="FFFFFF" w:themeColor="background1"/>
                <w:sz w:val="18"/>
                <w:szCs w:val="18"/>
              </w:rPr>
              <w:t xml:space="preserve"> should replace the line</w:t>
            </w:r>
            <w:r w:rsidRPr="003E6941">
              <w:rPr>
                <w:rFonts w:cs="Calibri"/>
                <w:i/>
                <w:color w:val="FFFFFF" w:themeColor="background1"/>
                <w:sz w:val="18"/>
                <w:szCs w:val="18"/>
              </w:rPr>
              <w:t xml:space="preserve"> Goods and Services Tax Input Tax Credits from the Australian Taxation Office</w:t>
            </w:r>
            <w:r w:rsidRPr="003E6941">
              <w:rPr>
                <w:rFonts w:cs="Calibri"/>
                <w:color w:val="FFFFFF" w:themeColor="background1"/>
                <w:sz w:val="18"/>
                <w:szCs w:val="18"/>
              </w:rPr>
              <w:t>.</w:t>
            </w:r>
            <w:r w:rsidR="00FA7C77">
              <w:rPr>
                <w:rFonts w:cs="Calibri"/>
                <w:color w:val="FFFFFF" w:themeColor="background1"/>
                <w:sz w:val="18"/>
                <w:szCs w:val="18"/>
              </w:rPr>
              <w:t xml:space="preserve"> </w:t>
            </w:r>
            <w:r w:rsidRPr="003E6941">
              <w:rPr>
                <w:rFonts w:cs="Calibri"/>
                <w:color w:val="FFFFFF" w:themeColor="background1"/>
                <w:sz w:val="18"/>
                <w:szCs w:val="18"/>
              </w:rPr>
              <w:t>In most cases, an authority would have either a ‘</w:t>
            </w:r>
            <w:r w:rsidRPr="003E6941">
              <w:rPr>
                <w:rFonts w:cs="Calibri"/>
                <w:i/>
                <w:color w:val="FFFFFF" w:themeColor="background1"/>
                <w:sz w:val="18"/>
                <w:szCs w:val="18"/>
              </w:rPr>
              <w:t>Goods and Services Tax Input Tax Credits from the Australian Taxation Office</w:t>
            </w:r>
            <w:r w:rsidRPr="003E6941">
              <w:rPr>
                <w:rFonts w:cs="Calibri"/>
                <w:color w:val="FFFFFF" w:themeColor="background1"/>
                <w:sz w:val="18"/>
                <w:szCs w:val="18"/>
              </w:rPr>
              <w:t>’ line or a ‘</w:t>
            </w:r>
            <w:r w:rsidRPr="003E6941">
              <w:rPr>
                <w:rFonts w:cs="Calibri"/>
                <w:i/>
                <w:color w:val="FFFFFF" w:themeColor="background1"/>
                <w:sz w:val="18"/>
                <w:szCs w:val="18"/>
              </w:rPr>
              <w:t xml:space="preserve">Goods and Services Tax Remitted to the Australian Taxation Office’ </w:t>
            </w:r>
            <w:r w:rsidRPr="003E6941">
              <w:rPr>
                <w:rFonts w:cs="Calibri"/>
                <w:color w:val="FFFFFF" w:themeColor="background1"/>
                <w:sz w:val="18"/>
                <w:szCs w:val="18"/>
              </w:rPr>
              <w:t>depending on whether the authority generally is in a refund or payment situation with the ATO.</w:t>
            </w:r>
            <w:r w:rsidR="00FA7C77">
              <w:rPr>
                <w:rFonts w:cs="Calibri"/>
                <w:color w:val="FFFFFF" w:themeColor="background1"/>
                <w:sz w:val="18"/>
                <w:szCs w:val="18"/>
              </w:rPr>
              <w:t xml:space="preserve"> </w:t>
            </w:r>
            <w:r w:rsidR="008475E2" w:rsidRPr="003E6941">
              <w:rPr>
                <w:rFonts w:cs="Calibri"/>
                <w:color w:val="FFFFFF" w:themeColor="background1"/>
                <w:sz w:val="18"/>
                <w:szCs w:val="18"/>
              </w:rPr>
              <w:t>If</w:t>
            </w:r>
            <w:r w:rsidRPr="003E6941">
              <w:rPr>
                <w:rFonts w:cs="Calibri"/>
                <w:color w:val="FFFFFF" w:themeColor="background1"/>
                <w:sz w:val="18"/>
                <w:szCs w:val="18"/>
              </w:rPr>
              <w:t xml:space="preserve"> refunds are greater one year and payments are greater the next (or vice versa) both lines will be required.</w:t>
            </w:r>
          </w:p>
        </w:tc>
      </w:tr>
      <w:tr w:rsidR="006141B9" w:rsidRPr="00CF7E1B" w14:paraId="6D77D667" w14:textId="77777777" w:rsidTr="004D1EC6">
        <w:trPr>
          <w:trHeight w:val="20"/>
        </w:trPr>
        <w:tc>
          <w:tcPr>
            <w:tcW w:w="1563" w:type="dxa"/>
            <w:tcBorders>
              <w:left w:val="single" w:sz="2" w:space="0" w:color="auto"/>
              <w:right w:val="single" w:sz="2" w:space="0" w:color="auto"/>
            </w:tcBorders>
          </w:tcPr>
          <w:p w14:paraId="6446F160" w14:textId="77777777" w:rsidR="006141B9" w:rsidRPr="003E6941" w:rsidRDefault="006141B9" w:rsidP="006141B9">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10A6E3A4" w14:textId="33FA676F" w:rsidR="006141B9" w:rsidRPr="00552ECB" w:rsidRDefault="006141B9" w:rsidP="006141B9">
            <w:pPr>
              <w:pStyle w:val="CommentaryText"/>
              <w:tabs>
                <w:tab w:val="left" w:pos="3306"/>
              </w:tabs>
              <w:spacing w:after="40"/>
              <w:rPr>
                <w:rFonts w:cs="Calibri"/>
                <w:i/>
                <w:iCs/>
                <w:color w:val="FFFFFF" w:themeColor="background1"/>
                <w:szCs w:val="20"/>
              </w:rPr>
            </w:pPr>
            <w:r w:rsidRPr="00552ECB">
              <w:rPr>
                <w:rFonts w:cs="Calibri"/>
                <w:i/>
                <w:iCs/>
                <w:color w:val="FFFFFF" w:themeColor="background1"/>
                <w:szCs w:val="20"/>
              </w:rPr>
              <w:t>Classification of Income Tax Cash Flows</w:t>
            </w:r>
          </w:p>
        </w:tc>
      </w:tr>
      <w:tr w:rsidR="006141B9" w:rsidRPr="00CF7E1B" w14:paraId="362290C2" w14:textId="77777777" w:rsidTr="004D1EC6">
        <w:trPr>
          <w:trHeight w:val="20"/>
        </w:trPr>
        <w:tc>
          <w:tcPr>
            <w:tcW w:w="1563" w:type="dxa"/>
            <w:tcBorders>
              <w:left w:val="single" w:sz="2" w:space="0" w:color="auto"/>
              <w:right w:val="single" w:sz="2" w:space="0" w:color="auto"/>
            </w:tcBorders>
          </w:tcPr>
          <w:p w14:paraId="4D927666" w14:textId="71DB51F0" w:rsidR="006141B9" w:rsidRPr="003E6941" w:rsidRDefault="006141B9" w:rsidP="006141B9">
            <w:pPr>
              <w:pStyle w:val="TableReference"/>
              <w:tabs>
                <w:tab w:val="left" w:pos="3306"/>
              </w:tabs>
              <w:spacing w:before="80"/>
              <w:rPr>
                <w:rFonts w:cs="Calibri"/>
                <w:color w:val="7030A0"/>
                <w:sz w:val="14"/>
              </w:rPr>
            </w:pPr>
            <w:r w:rsidRPr="003E6941">
              <w:rPr>
                <w:rFonts w:cs="Calibri"/>
                <w:color w:val="7030A0"/>
                <w:sz w:val="14"/>
              </w:rPr>
              <w:t>AASB 107.35</w:t>
            </w:r>
          </w:p>
        </w:tc>
        <w:tc>
          <w:tcPr>
            <w:tcW w:w="8930" w:type="dxa"/>
            <w:tcBorders>
              <w:left w:val="single" w:sz="2" w:space="0" w:color="auto"/>
            </w:tcBorders>
            <w:shd w:val="clear" w:color="auto" w:fill="7030A0"/>
          </w:tcPr>
          <w:p w14:paraId="06D50B63" w14:textId="1C01682B" w:rsidR="006141B9" w:rsidRPr="003E6941" w:rsidRDefault="006141B9" w:rsidP="006141B9">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 xml:space="preserve">Where an authority has to pay income tax (because of the National Tax Equivalents Regime), cash flows relating to income taxes shall be disclosed separately and classified as operating activities. </w:t>
            </w:r>
          </w:p>
        </w:tc>
      </w:tr>
    </w:tbl>
    <w:p w14:paraId="0751F42C" w14:textId="77777777" w:rsidR="000144FF" w:rsidRPr="00CF7E1B" w:rsidRDefault="000144FF" w:rsidP="0091493A">
      <w:pPr>
        <w:sectPr w:rsidR="000144FF" w:rsidRPr="00CF7E1B" w:rsidSect="006128E8">
          <w:headerReference w:type="default" r:id="rId29"/>
          <w:footnotePr>
            <w:numRestart w:val="eachPage"/>
          </w:footnotePr>
          <w:pgSz w:w="11907" w:h="16840" w:code="9"/>
          <w:pgMar w:top="964" w:right="680" w:bottom="567" w:left="680" w:header="426" w:footer="387" w:gutter="0"/>
          <w:cols w:space="720"/>
        </w:sectPr>
      </w:pPr>
    </w:p>
    <w:p w14:paraId="15396274" w14:textId="77777777" w:rsidR="00264852" w:rsidRPr="00574DE1" w:rsidRDefault="00264852" w:rsidP="00574DE1">
      <w:pPr>
        <w:jc w:val="center"/>
        <w:rPr>
          <w:b/>
          <w:sz w:val="16"/>
        </w:rPr>
      </w:pPr>
      <w:bookmarkStart w:id="216" w:name="_Toc194918644"/>
    </w:p>
    <w:p w14:paraId="1CBEFC86" w14:textId="56F590E1" w:rsidR="00D37A89" w:rsidRPr="003E6941" w:rsidRDefault="00D37A89" w:rsidP="00574DE1">
      <w:pPr>
        <w:spacing w:line="400" w:lineRule="exact"/>
        <w:jc w:val="center"/>
        <w:rPr>
          <w:b/>
          <w:sz w:val="40"/>
          <w:szCs w:val="40"/>
        </w:rPr>
      </w:pPr>
      <w:r w:rsidRPr="003E6941">
        <w:rPr>
          <w:b/>
          <w:sz w:val="40"/>
          <w:szCs w:val="40"/>
        </w:rPr>
        <w:t>‘</w:t>
      </w:r>
      <w:r w:rsidR="00CB5FDC" w:rsidRPr="003E6941">
        <w:rPr>
          <w:rFonts w:asciiTheme="minorHAnsi" w:hAnsiTheme="minorHAnsi" w:cstheme="minorHAnsi"/>
          <w:b/>
          <w:bCs/>
          <w:sz w:val="40"/>
          <w:szCs w:val="24"/>
        </w:rPr>
        <w:t xml:space="preserve">Burley Griffin </w:t>
      </w:r>
      <w:r w:rsidRPr="003E6941">
        <w:rPr>
          <w:b/>
          <w:sz w:val="40"/>
          <w:szCs w:val="40"/>
        </w:rPr>
        <w:t>Agency’</w:t>
      </w:r>
    </w:p>
    <w:p w14:paraId="65EA4F0F" w14:textId="4A938A66" w:rsidR="00D37A89" w:rsidRPr="003E6941" w:rsidRDefault="00D37A89" w:rsidP="00574DE1">
      <w:pPr>
        <w:spacing w:line="400" w:lineRule="exact"/>
        <w:jc w:val="center"/>
        <w:outlineLvl w:val="0"/>
        <w:rPr>
          <w:rFonts w:asciiTheme="minorHAnsi" w:hAnsiTheme="minorHAnsi" w:cstheme="minorHAnsi"/>
          <w:b/>
          <w:sz w:val="40"/>
          <w:szCs w:val="24"/>
        </w:rPr>
      </w:pPr>
      <w:bookmarkStart w:id="217" w:name="_Toc48468264"/>
      <w:bookmarkStart w:id="218" w:name="_Toc49155443"/>
      <w:bookmarkStart w:id="219" w:name="_Toc49223907"/>
      <w:bookmarkStart w:id="220" w:name="_Toc50440323"/>
      <w:bookmarkStart w:id="221" w:name="_Toc400627316"/>
      <w:bookmarkStart w:id="222" w:name="_Toc98763029"/>
      <w:r w:rsidRPr="003E6941">
        <w:rPr>
          <w:rFonts w:asciiTheme="minorHAnsi" w:hAnsiTheme="minorHAnsi" w:cstheme="minorHAnsi"/>
          <w:b/>
          <w:sz w:val="40"/>
          <w:szCs w:val="24"/>
        </w:rPr>
        <w:t>Statement of Appropriation</w:t>
      </w:r>
      <w:bookmarkEnd w:id="217"/>
      <w:bookmarkEnd w:id="218"/>
      <w:bookmarkEnd w:id="219"/>
      <w:bookmarkEnd w:id="220"/>
      <w:bookmarkEnd w:id="221"/>
      <w:bookmarkEnd w:id="222"/>
    </w:p>
    <w:p w14:paraId="68E7DCFF" w14:textId="60C5A558" w:rsidR="00D37A89" w:rsidRPr="003E6941" w:rsidRDefault="00D37A89" w:rsidP="009F0413">
      <w:pPr>
        <w:spacing w:after="240" w:line="400" w:lineRule="exact"/>
        <w:jc w:val="center"/>
        <w:rPr>
          <w:b/>
          <w:snapToGrid w:val="0"/>
          <w:sz w:val="40"/>
          <w:szCs w:val="40"/>
        </w:rPr>
      </w:pPr>
      <w:bookmarkStart w:id="223" w:name="_Toc48468265"/>
      <w:bookmarkStart w:id="224" w:name="_Toc49155444"/>
      <w:r w:rsidRPr="003E6941">
        <w:rPr>
          <w:b/>
          <w:sz w:val="40"/>
          <w:szCs w:val="40"/>
        </w:rPr>
        <w:t>For the Year</w:t>
      </w:r>
      <w:r w:rsidRPr="003E6941">
        <w:rPr>
          <w:b/>
          <w:snapToGrid w:val="0"/>
          <w:sz w:val="40"/>
          <w:szCs w:val="40"/>
        </w:rPr>
        <w:t xml:space="preserve"> Ended 30 June </w:t>
      </w:r>
      <w:bookmarkEnd w:id="223"/>
      <w:bookmarkEnd w:id="224"/>
      <w:r w:rsidR="00C66E0D" w:rsidRPr="003E6941">
        <w:rPr>
          <w:b/>
          <w:sz w:val="40"/>
          <w:szCs w:val="40"/>
        </w:rPr>
        <w:t>202</w:t>
      </w:r>
      <w:r w:rsidR="00264852" w:rsidRPr="003E6941">
        <w:rPr>
          <w:b/>
          <w:sz w:val="40"/>
          <w:szCs w:val="40"/>
        </w:rPr>
        <w:t>2</w:t>
      </w:r>
      <w:r w:rsidRPr="003E6941">
        <w:rPr>
          <w:b/>
          <w:snapToGrid w:val="0"/>
          <w:sz w:val="40"/>
          <w:szCs w:val="40"/>
        </w:rPr>
        <w:t xml:space="preserve"> </w:t>
      </w:r>
    </w:p>
    <w:tbl>
      <w:tblPr>
        <w:tblW w:w="5003" w:type="pct"/>
        <w:tblInd w:w="-6" w:type="dxa"/>
        <w:tblLayout w:type="fixed"/>
        <w:tblLook w:val="00A0" w:firstRow="1" w:lastRow="0" w:firstColumn="1" w:lastColumn="0" w:noHBand="0" w:noVBand="0"/>
      </w:tblPr>
      <w:tblGrid>
        <w:gridCol w:w="1563"/>
        <w:gridCol w:w="2720"/>
        <w:gridCol w:w="627"/>
        <w:gridCol w:w="1383"/>
        <w:gridCol w:w="1383"/>
        <w:gridCol w:w="1437"/>
        <w:gridCol w:w="1437"/>
      </w:tblGrid>
      <w:tr w:rsidR="00FA4CC1" w:rsidRPr="00D37A89" w14:paraId="3FFEDFFA" w14:textId="77777777" w:rsidTr="004D1EC6">
        <w:trPr>
          <w:cantSplit/>
        </w:trPr>
        <w:tc>
          <w:tcPr>
            <w:tcW w:w="1563" w:type="dxa"/>
            <w:tcBorders>
              <w:left w:val="single" w:sz="2" w:space="0" w:color="auto"/>
              <w:right w:val="single" w:sz="2" w:space="0" w:color="auto"/>
            </w:tcBorders>
            <w:tcMar>
              <w:left w:w="108" w:type="dxa"/>
              <w:right w:w="108" w:type="dxa"/>
            </w:tcMar>
          </w:tcPr>
          <w:p w14:paraId="36ACA40A" w14:textId="74887DC0" w:rsidR="00FA4CC1" w:rsidRPr="007E64C0" w:rsidRDefault="00FA4CC1" w:rsidP="00FA4CC1">
            <w:pPr>
              <w:tabs>
                <w:tab w:val="left" w:pos="3306"/>
              </w:tabs>
              <w:rPr>
                <w:rFonts w:cs="Calibri"/>
                <w:b/>
                <w:color w:val="7030A0"/>
                <w:szCs w:val="22"/>
              </w:rPr>
            </w:pPr>
            <w:bookmarkStart w:id="225" w:name="_Toc48468266"/>
            <w:bookmarkStart w:id="226" w:name="_Toc49155445"/>
            <w:bookmarkStart w:id="227" w:name="_Toc49223908"/>
            <w:r w:rsidRPr="007E64C0">
              <w:rPr>
                <w:rFonts w:cs="Calibri"/>
                <w:b/>
                <w:color w:val="7030A0"/>
                <w:szCs w:val="22"/>
              </w:rPr>
              <w:t>Reference</w:t>
            </w:r>
            <w:bookmarkEnd w:id="225"/>
            <w:bookmarkEnd w:id="226"/>
            <w:bookmarkEnd w:id="227"/>
          </w:p>
        </w:tc>
        <w:tc>
          <w:tcPr>
            <w:tcW w:w="8987" w:type="dxa"/>
            <w:gridSpan w:val="6"/>
            <w:tcBorders>
              <w:left w:val="single" w:sz="2" w:space="0" w:color="auto"/>
            </w:tcBorders>
            <w:tcMar>
              <w:left w:w="108" w:type="dxa"/>
              <w:right w:w="108" w:type="dxa"/>
            </w:tcMar>
          </w:tcPr>
          <w:p w14:paraId="127224EA" w14:textId="2130A291" w:rsidR="00FA4CC1" w:rsidRPr="007E64C0" w:rsidRDefault="00A737C0" w:rsidP="00A737C0">
            <w:pPr>
              <w:rPr>
                <w:b/>
                <w:bCs/>
                <w:sz w:val="18"/>
                <w:szCs w:val="18"/>
              </w:rPr>
            </w:pPr>
            <w:r w:rsidRPr="007E64C0">
              <w:rPr>
                <w:b/>
                <w:bCs/>
                <w:sz w:val="18"/>
                <w:szCs w:val="18"/>
              </w:rPr>
              <w:t xml:space="preserve">Description and Material Accounting Policies relating to </w:t>
            </w:r>
            <w:r w:rsidR="000356A2" w:rsidRPr="007E64C0">
              <w:rPr>
                <w:b/>
                <w:bCs/>
                <w:sz w:val="18"/>
                <w:szCs w:val="18"/>
              </w:rPr>
              <w:t xml:space="preserve">Controlled </w:t>
            </w:r>
            <w:r w:rsidRPr="007E64C0">
              <w:rPr>
                <w:b/>
                <w:bCs/>
                <w:sz w:val="18"/>
                <w:szCs w:val="18"/>
              </w:rPr>
              <w:t>Recurrent Payments</w:t>
            </w:r>
          </w:p>
        </w:tc>
      </w:tr>
      <w:tr w:rsidR="000C06DA" w:rsidRPr="00D37A89" w14:paraId="1C29DE05" w14:textId="77777777" w:rsidTr="004D1EC6">
        <w:trPr>
          <w:cantSplit/>
        </w:trPr>
        <w:tc>
          <w:tcPr>
            <w:tcW w:w="1563" w:type="dxa"/>
            <w:tcBorders>
              <w:left w:val="single" w:sz="2" w:space="0" w:color="auto"/>
              <w:right w:val="single" w:sz="2" w:space="0" w:color="auto"/>
            </w:tcBorders>
            <w:tcMar>
              <w:left w:w="108" w:type="dxa"/>
              <w:right w:w="108" w:type="dxa"/>
            </w:tcMar>
          </w:tcPr>
          <w:p w14:paraId="01AB9575" w14:textId="77777777" w:rsidR="000C06DA" w:rsidRPr="007E64C0" w:rsidRDefault="000C06DA" w:rsidP="00FA4CC1">
            <w:pPr>
              <w:tabs>
                <w:tab w:val="left" w:pos="3306"/>
              </w:tabs>
              <w:rPr>
                <w:rFonts w:cs="Calibri"/>
                <w:b/>
                <w:color w:val="7030A0"/>
                <w:sz w:val="14"/>
                <w:szCs w:val="14"/>
              </w:rPr>
            </w:pPr>
          </w:p>
        </w:tc>
        <w:tc>
          <w:tcPr>
            <w:tcW w:w="8987" w:type="dxa"/>
            <w:gridSpan w:val="6"/>
            <w:tcBorders>
              <w:left w:val="single" w:sz="2" w:space="0" w:color="auto"/>
            </w:tcBorders>
            <w:tcMar>
              <w:left w:w="108" w:type="dxa"/>
              <w:right w:w="108" w:type="dxa"/>
            </w:tcMar>
          </w:tcPr>
          <w:p w14:paraId="2E916DB1" w14:textId="12408514" w:rsidR="000C06DA" w:rsidRPr="007E64C0" w:rsidRDefault="000C06DA" w:rsidP="00A737C0">
            <w:pPr>
              <w:pStyle w:val="TableText"/>
              <w:spacing w:before="0" w:after="120"/>
              <w:jc w:val="both"/>
              <w:rPr>
                <w:rFonts w:cs="Calibri"/>
              </w:rPr>
            </w:pPr>
            <w:r w:rsidRPr="007E64C0">
              <w:rPr>
                <w:rFonts w:cs="Calibri"/>
              </w:rPr>
              <w:t>Controlled Recurrent Payments (CRP) are revenue received from the ACT Government to fund the costs of delivering outputs.</w:t>
            </w:r>
            <w:r w:rsidR="00FA7C77">
              <w:rPr>
                <w:rFonts w:cs="Calibri"/>
              </w:rPr>
              <w:t xml:space="preserve"> </w:t>
            </w:r>
            <w:r w:rsidR="00317818" w:rsidRPr="007E64C0">
              <w:rPr>
                <w:rFonts w:cs="Calibri"/>
              </w:rPr>
              <w:t xml:space="preserve">Community Service Obligations (CSO) are received by the </w:t>
            </w:r>
            <w:r w:rsidR="00A527D1">
              <w:rPr>
                <w:rFonts w:cs="Calibri"/>
              </w:rPr>
              <w:t>‘Burley Griffin Agency’</w:t>
            </w:r>
            <w:r w:rsidR="00317818" w:rsidRPr="007E64C0">
              <w:rPr>
                <w:rFonts w:cs="Calibri"/>
              </w:rPr>
              <w:t xml:space="preserve"> for the provision of waste management services to the public at subsidised rates.</w:t>
            </w:r>
          </w:p>
        </w:tc>
      </w:tr>
      <w:tr w:rsidR="00D135C5" w:rsidRPr="00D37A89" w14:paraId="07D4A294" w14:textId="77777777" w:rsidTr="004D1EC6">
        <w:trPr>
          <w:cantSplit/>
        </w:trPr>
        <w:tc>
          <w:tcPr>
            <w:tcW w:w="1563" w:type="dxa"/>
            <w:tcBorders>
              <w:left w:val="single" w:sz="2" w:space="0" w:color="auto"/>
              <w:right w:val="single" w:sz="2" w:space="0" w:color="auto"/>
            </w:tcBorders>
            <w:tcMar>
              <w:left w:w="108" w:type="dxa"/>
              <w:right w:w="108" w:type="dxa"/>
            </w:tcMar>
          </w:tcPr>
          <w:p w14:paraId="0447071F" w14:textId="2B5E88C9" w:rsidR="00D135C5" w:rsidRPr="007E64C0" w:rsidRDefault="00D135C5" w:rsidP="00FA4CC1">
            <w:pPr>
              <w:tabs>
                <w:tab w:val="left" w:pos="3306"/>
              </w:tabs>
              <w:rPr>
                <w:rFonts w:cs="Calibri"/>
                <w:b/>
                <w:color w:val="7030A0"/>
                <w:sz w:val="14"/>
                <w:szCs w:val="14"/>
              </w:rPr>
            </w:pPr>
            <w:r w:rsidRPr="007E64C0">
              <w:rPr>
                <w:color w:val="7030A0"/>
                <w:sz w:val="14"/>
                <w:szCs w:val="14"/>
              </w:rPr>
              <w:t>AASB 1058.10</w:t>
            </w:r>
          </w:p>
        </w:tc>
        <w:tc>
          <w:tcPr>
            <w:tcW w:w="8987" w:type="dxa"/>
            <w:gridSpan w:val="6"/>
            <w:tcBorders>
              <w:left w:val="single" w:sz="2" w:space="0" w:color="auto"/>
            </w:tcBorders>
            <w:tcMar>
              <w:left w:w="108" w:type="dxa"/>
              <w:right w:w="108" w:type="dxa"/>
            </w:tcMar>
          </w:tcPr>
          <w:p w14:paraId="33E8DF8B" w14:textId="0D866B18" w:rsidR="00D135C5" w:rsidRPr="007E64C0" w:rsidRDefault="00D135C5" w:rsidP="00DB02DF">
            <w:pPr>
              <w:spacing w:after="120"/>
              <w:jc w:val="both"/>
              <w:rPr>
                <w:rFonts w:cs="Calibri"/>
                <w:sz w:val="18"/>
                <w:szCs w:val="18"/>
              </w:rPr>
            </w:pPr>
            <w:r w:rsidRPr="007E64C0">
              <w:rPr>
                <w:rFonts w:cs="Calibri"/>
                <w:sz w:val="18"/>
                <w:szCs w:val="18"/>
              </w:rPr>
              <w:t>CRP</w:t>
            </w:r>
            <w:r w:rsidR="00035826" w:rsidRPr="007E64C0">
              <w:rPr>
                <w:rFonts w:cs="Calibri"/>
                <w:sz w:val="18"/>
                <w:szCs w:val="18"/>
              </w:rPr>
              <w:t xml:space="preserve"> and CSO</w:t>
            </w:r>
            <w:r w:rsidRPr="007E64C0">
              <w:rPr>
                <w:rFonts w:cs="Calibri"/>
                <w:sz w:val="18"/>
                <w:szCs w:val="18"/>
              </w:rPr>
              <w:t xml:space="preserve"> </w:t>
            </w:r>
            <w:r w:rsidR="00035826" w:rsidRPr="007E64C0">
              <w:rPr>
                <w:rFonts w:cs="Calibri"/>
                <w:sz w:val="18"/>
                <w:szCs w:val="18"/>
              </w:rPr>
              <w:t>are</w:t>
            </w:r>
            <w:r w:rsidRPr="007E64C0">
              <w:rPr>
                <w:rFonts w:cs="Calibri"/>
                <w:sz w:val="18"/>
                <w:szCs w:val="18"/>
              </w:rPr>
              <w:t xml:space="preserve"> </w:t>
            </w:r>
            <w:r w:rsidR="00DB02DF" w:rsidRPr="007E64C0">
              <w:rPr>
                <w:rFonts w:cs="Calibri"/>
                <w:sz w:val="18"/>
                <w:szCs w:val="18"/>
              </w:rPr>
              <w:t>recognised when the Agency gains control over the funding which is obtained upon the receipt of cash, given they do not contain enforceable and sufficiently specific performance obligations as defined by AASB 15.</w:t>
            </w:r>
          </w:p>
        </w:tc>
      </w:tr>
      <w:tr w:rsidR="00DB02DF" w:rsidRPr="00D37A89" w14:paraId="2475E1DC" w14:textId="77777777" w:rsidTr="004D1EC6">
        <w:trPr>
          <w:cantSplit/>
        </w:trPr>
        <w:tc>
          <w:tcPr>
            <w:tcW w:w="1563" w:type="dxa"/>
            <w:tcBorders>
              <w:left w:val="single" w:sz="2" w:space="0" w:color="auto"/>
              <w:right w:val="single" w:sz="2" w:space="0" w:color="auto"/>
            </w:tcBorders>
            <w:tcMar>
              <w:left w:w="108" w:type="dxa"/>
              <w:right w:w="108" w:type="dxa"/>
            </w:tcMar>
          </w:tcPr>
          <w:p w14:paraId="19CE5B24" w14:textId="77777777" w:rsidR="00DB02DF" w:rsidRPr="007E64C0" w:rsidRDefault="00DB02DF" w:rsidP="00FA4CC1">
            <w:pPr>
              <w:tabs>
                <w:tab w:val="left" w:pos="3306"/>
              </w:tabs>
              <w:rPr>
                <w:color w:val="7030A0"/>
                <w:sz w:val="14"/>
                <w:szCs w:val="14"/>
              </w:rPr>
            </w:pPr>
          </w:p>
        </w:tc>
        <w:tc>
          <w:tcPr>
            <w:tcW w:w="8987" w:type="dxa"/>
            <w:gridSpan w:val="6"/>
            <w:tcBorders>
              <w:left w:val="single" w:sz="2" w:space="0" w:color="auto"/>
            </w:tcBorders>
            <w:tcMar>
              <w:left w:w="108" w:type="dxa"/>
              <w:right w:w="108" w:type="dxa"/>
            </w:tcMar>
          </w:tcPr>
          <w:p w14:paraId="1C8B3B7D" w14:textId="1DA89F57" w:rsidR="00DB02DF" w:rsidRPr="007E64C0" w:rsidRDefault="00DB02DF" w:rsidP="00DB02DF">
            <w:pPr>
              <w:jc w:val="both"/>
              <w:rPr>
                <w:rFonts w:cs="Calibri"/>
                <w:sz w:val="18"/>
                <w:szCs w:val="18"/>
              </w:rPr>
            </w:pPr>
            <w:r w:rsidRPr="007E64C0">
              <w:rPr>
                <w:rFonts w:cs="Calibri"/>
                <w:sz w:val="18"/>
                <w:szCs w:val="18"/>
              </w:rPr>
              <w:t xml:space="preserve">Capital injection appropriations are not recognised as income, but instead are recognised as </w:t>
            </w:r>
            <w:r w:rsidR="009271AD" w:rsidRPr="007E64C0">
              <w:rPr>
                <w:rFonts w:cs="Calibri"/>
                <w:sz w:val="18"/>
                <w:szCs w:val="18"/>
              </w:rPr>
              <w:t xml:space="preserve">equity injections and </w:t>
            </w:r>
            <w:r w:rsidRPr="007E64C0">
              <w:rPr>
                <w:rFonts w:cs="Calibri"/>
                <w:sz w:val="18"/>
                <w:szCs w:val="18"/>
              </w:rPr>
              <w:t>a cash inflow which is used to purchase/build an asset(s) or to reduce a liability(s).</w:t>
            </w:r>
          </w:p>
        </w:tc>
      </w:tr>
      <w:tr w:rsidR="00177D40" w:rsidRPr="00D37A89" w14:paraId="75DB59FB" w14:textId="77777777" w:rsidTr="004D1EC6">
        <w:trPr>
          <w:cantSplit/>
        </w:trPr>
        <w:tc>
          <w:tcPr>
            <w:tcW w:w="1563" w:type="dxa"/>
            <w:tcBorders>
              <w:left w:val="single" w:sz="2" w:space="0" w:color="auto"/>
              <w:right w:val="single" w:sz="2" w:space="0" w:color="auto"/>
            </w:tcBorders>
            <w:tcMar>
              <w:left w:w="108" w:type="dxa"/>
              <w:right w:w="108" w:type="dxa"/>
            </w:tcMar>
          </w:tcPr>
          <w:p w14:paraId="12253D6A" w14:textId="77777777" w:rsidR="00177D40" w:rsidRPr="007E64C0" w:rsidRDefault="00177D40" w:rsidP="00FA4CC1">
            <w:pPr>
              <w:tabs>
                <w:tab w:val="left" w:pos="3306"/>
              </w:tabs>
              <w:rPr>
                <w:color w:val="7030A0"/>
                <w:sz w:val="14"/>
                <w:szCs w:val="14"/>
              </w:rPr>
            </w:pPr>
          </w:p>
        </w:tc>
        <w:tc>
          <w:tcPr>
            <w:tcW w:w="8987" w:type="dxa"/>
            <w:gridSpan w:val="6"/>
            <w:tcBorders>
              <w:left w:val="single" w:sz="2" w:space="0" w:color="auto"/>
            </w:tcBorders>
            <w:tcMar>
              <w:left w:w="108" w:type="dxa"/>
              <w:right w:w="108" w:type="dxa"/>
            </w:tcMar>
          </w:tcPr>
          <w:p w14:paraId="48D1EBFD" w14:textId="6F8AAE53" w:rsidR="00177D40" w:rsidRPr="007E64C0" w:rsidRDefault="00177D40" w:rsidP="00177D40">
            <w:pPr>
              <w:spacing w:before="240" w:after="40"/>
              <w:jc w:val="both"/>
              <w:rPr>
                <w:b/>
                <w:sz w:val="18"/>
                <w:szCs w:val="18"/>
              </w:rPr>
            </w:pPr>
            <w:r w:rsidRPr="007E64C0">
              <w:rPr>
                <w:b/>
                <w:sz w:val="18"/>
                <w:szCs w:val="18"/>
              </w:rPr>
              <w:t>Column Heading Explanations</w:t>
            </w:r>
          </w:p>
          <w:p w14:paraId="02FF7720" w14:textId="77777777" w:rsidR="00177D40" w:rsidRPr="007E64C0" w:rsidRDefault="00177D40" w:rsidP="00177D40">
            <w:pPr>
              <w:spacing w:after="120"/>
              <w:jc w:val="both"/>
              <w:rPr>
                <w:sz w:val="18"/>
                <w:szCs w:val="18"/>
              </w:rPr>
            </w:pPr>
            <w:r w:rsidRPr="007E64C0">
              <w:rPr>
                <w:sz w:val="18"/>
                <w:szCs w:val="18"/>
              </w:rPr>
              <w:t xml:space="preserve">The </w:t>
            </w:r>
            <w:r w:rsidRPr="007E64C0">
              <w:rPr>
                <w:iCs/>
                <w:sz w:val="18"/>
                <w:szCs w:val="18"/>
              </w:rPr>
              <w:t>Original Budget</w:t>
            </w:r>
            <w:r w:rsidRPr="007E64C0">
              <w:rPr>
                <w:sz w:val="18"/>
                <w:szCs w:val="18"/>
              </w:rPr>
              <w:t xml:space="preserve"> column shows the amounts that appear in the </w:t>
            </w:r>
            <w:r w:rsidRPr="007E64C0">
              <w:rPr>
                <w:rFonts w:cs="Calibri"/>
                <w:sz w:val="18"/>
                <w:szCs w:val="18"/>
              </w:rPr>
              <w:t xml:space="preserve">Statement of Cash Flows </w:t>
            </w:r>
            <w:r w:rsidRPr="007E64C0">
              <w:rPr>
                <w:sz w:val="18"/>
                <w:szCs w:val="18"/>
              </w:rPr>
              <w:t xml:space="preserve">in the Budget Papers. This amount also appears in the </w:t>
            </w:r>
            <w:r w:rsidRPr="007E64C0">
              <w:rPr>
                <w:rFonts w:cs="Calibri"/>
                <w:sz w:val="18"/>
                <w:szCs w:val="18"/>
              </w:rPr>
              <w:t>Statement of Cash Flows.</w:t>
            </w:r>
          </w:p>
          <w:p w14:paraId="1D89C365" w14:textId="2A7D51F0" w:rsidR="00177D40" w:rsidRPr="007E64C0" w:rsidRDefault="00177D40" w:rsidP="00177D40">
            <w:pPr>
              <w:spacing w:after="120"/>
              <w:jc w:val="both"/>
              <w:rPr>
                <w:sz w:val="18"/>
                <w:szCs w:val="18"/>
              </w:rPr>
            </w:pPr>
            <w:r w:rsidRPr="007E64C0">
              <w:rPr>
                <w:sz w:val="18"/>
                <w:szCs w:val="18"/>
              </w:rPr>
              <w:t xml:space="preserve">The </w:t>
            </w:r>
            <w:r w:rsidRPr="007E64C0">
              <w:rPr>
                <w:iCs/>
                <w:sz w:val="18"/>
                <w:szCs w:val="18"/>
              </w:rPr>
              <w:t>Total Appropriated</w:t>
            </w:r>
            <w:r w:rsidRPr="007E64C0">
              <w:rPr>
                <w:sz w:val="18"/>
                <w:szCs w:val="18"/>
              </w:rPr>
              <w:t xml:space="preserve"> column is inclusive of all appropriation variations occurring after the Original Budget.</w:t>
            </w:r>
            <w:r w:rsidR="00FA7C77">
              <w:rPr>
                <w:sz w:val="18"/>
                <w:szCs w:val="18"/>
              </w:rPr>
              <w:t xml:space="preserve">   </w:t>
            </w:r>
          </w:p>
          <w:p w14:paraId="39B1D23E" w14:textId="4919B915" w:rsidR="00177D40" w:rsidRPr="007E64C0" w:rsidRDefault="00177D40" w:rsidP="00177D40">
            <w:pPr>
              <w:jc w:val="both"/>
              <w:rPr>
                <w:rFonts w:cs="Calibri"/>
                <w:sz w:val="18"/>
                <w:szCs w:val="18"/>
              </w:rPr>
            </w:pPr>
            <w:r w:rsidRPr="007E64C0">
              <w:rPr>
                <w:sz w:val="18"/>
                <w:szCs w:val="18"/>
              </w:rPr>
              <w:t xml:space="preserve">The </w:t>
            </w:r>
            <w:r w:rsidRPr="007E64C0">
              <w:rPr>
                <w:iCs/>
                <w:sz w:val="18"/>
                <w:szCs w:val="18"/>
              </w:rPr>
              <w:t>Appropriation Drawn</w:t>
            </w:r>
            <w:r w:rsidRPr="007E64C0">
              <w:rPr>
                <w:sz w:val="18"/>
                <w:szCs w:val="18"/>
              </w:rPr>
              <w:t xml:space="preserve"> is the total amount of appropriation received by the Agency during the year. This amount appears in the </w:t>
            </w:r>
            <w:r w:rsidRPr="007E64C0">
              <w:rPr>
                <w:rFonts w:cs="Calibri"/>
                <w:sz w:val="18"/>
                <w:szCs w:val="18"/>
              </w:rPr>
              <w:t>Statement of Cash Flows.</w:t>
            </w:r>
          </w:p>
        </w:tc>
      </w:tr>
      <w:tr w:rsidR="00FA4CC1" w:rsidRPr="00D37A89" w14:paraId="334B1117" w14:textId="77777777" w:rsidTr="004D1EC6">
        <w:trPr>
          <w:cantSplit/>
        </w:trPr>
        <w:tc>
          <w:tcPr>
            <w:tcW w:w="1563" w:type="dxa"/>
            <w:tcBorders>
              <w:left w:val="single" w:sz="2" w:space="0" w:color="auto"/>
              <w:right w:val="single" w:sz="2" w:space="0" w:color="auto"/>
            </w:tcBorders>
            <w:tcMar>
              <w:left w:w="108" w:type="dxa"/>
              <w:right w:w="108" w:type="dxa"/>
            </w:tcMar>
          </w:tcPr>
          <w:p w14:paraId="1F46AF03" w14:textId="77777777" w:rsidR="00FA4CC1" w:rsidRPr="007E64C0" w:rsidRDefault="00FA4CC1" w:rsidP="00FA4CC1">
            <w:pPr>
              <w:tabs>
                <w:tab w:val="left" w:pos="3306"/>
              </w:tabs>
              <w:rPr>
                <w:rFonts w:cs="Calibri"/>
                <w:b/>
                <w:color w:val="7030A0"/>
                <w:sz w:val="14"/>
                <w:szCs w:val="14"/>
              </w:rPr>
            </w:pPr>
          </w:p>
        </w:tc>
        <w:tc>
          <w:tcPr>
            <w:tcW w:w="2720" w:type="dxa"/>
            <w:tcBorders>
              <w:left w:val="single" w:sz="2" w:space="0" w:color="auto"/>
              <w:right w:val="nil"/>
            </w:tcBorders>
            <w:tcMar>
              <w:left w:w="108" w:type="dxa"/>
              <w:right w:w="108" w:type="dxa"/>
            </w:tcMar>
            <w:vAlign w:val="bottom"/>
          </w:tcPr>
          <w:p w14:paraId="75B4CA46" w14:textId="77777777" w:rsidR="00FA4CC1" w:rsidRPr="007E64C0" w:rsidRDefault="00FA4CC1" w:rsidP="00FA4CC1">
            <w:pPr>
              <w:tabs>
                <w:tab w:val="left" w:pos="3306"/>
              </w:tabs>
              <w:rPr>
                <w:rFonts w:cs="Calibri"/>
                <w:b/>
                <w:bCs/>
                <w:sz w:val="18"/>
                <w:szCs w:val="18"/>
              </w:rPr>
            </w:pPr>
          </w:p>
        </w:tc>
        <w:tc>
          <w:tcPr>
            <w:tcW w:w="627" w:type="dxa"/>
            <w:tcBorders>
              <w:left w:val="nil"/>
              <w:right w:val="nil"/>
            </w:tcBorders>
            <w:tcMar>
              <w:left w:w="108" w:type="dxa"/>
              <w:right w:w="108" w:type="dxa"/>
            </w:tcMar>
            <w:vAlign w:val="bottom"/>
          </w:tcPr>
          <w:p w14:paraId="33C0C482" w14:textId="77777777" w:rsidR="00FA4CC1" w:rsidRPr="007E64C0" w:rsidRDefault="00FA4CC1" w:rsidP="00FA4CC1">
            <w:pPr>
              <w:tabs>
                <w:tab w:val="left" w:pos="3306"/>
              </w:tabs>
              <w:jc w:val="center"/>
              <w:rPr>
                <w:rFonts w:cs="Calibri"/>
                <w:sz w:val="18"/>
                <w:szCs w:val="18"/>
              </w:rPr>
            </w:pPr>
          </w:p>
        </w:tc>
        <w:tc>
          <w:tcPr>
            <w:tcW w:w="1383" w:type="dxa"/>
            <w:tcBorders>
              <w:left w:val="nil"/>
              <w:right w:val="nil"/>
            </w:tcBorders>
            <w:tcMar>
              <w:left w:w="108" w:type="dxa"/>
              <w:right w:w="108" w:type="dxa"/>
            </w:tcMar>
            <w:vAlign w:val="bottom"/>
          </w:tcPr>
          <w:p w14:paraId="053F8A6B" w14:textId="77777777" w:rsidR="00FA4CC1" w:rsidRPr="007E64C0" w:rsidRDefault="00FA4CC1" w:rsidP="00FA4CC1">
            <w:pPr>
              <w:tabs>
                <w:tab w:val="left" w:pos="3306"/>
              </w:tabs>
              <w:jc w:val="right"/>
              <w:rPr>
                <w:rFonts w:cs="Calibri"/>
                <w:b/>
                <w:bCs/>
                <w:sz w:val="18"/>
                <w:szCs w:val="18"/>
              </w:rPr>
            </w:pPr>
          </w:p>
        </w:tc>
        <w:tc>
          <w:tcPr>
            <w:tcW w:w="1383" w:type="dxa"/>
            <w:tcBorders>
              <w:left w:val="nil"/>
              <w:right w:val="nil"/>
            </w:tcBorders>
            <w:tcMar>
              <w:left w:w="108" w:type="dxa"/>
              <w:right w:w="108" w:type="dxa"/>
            </w:tcMar>
            <w:vAlign w:val="bottom"/>
          </w:tcPr>
          <w:p w14:paraId="71ADE084" w14:textId="77777777" w:rsidR="00FA4CC1" w:rsidRPr="007E64C0" w:rsidRDefault="00FA4CC1" w:rsidP="00FA4CC1">
            <w:pPr>
              <w:tabs>
                <w:tab w:val="left" w:pos="3306"/>
              </w:tabs>
              <w:jc w:val="right"/>
              <w:rPr>
                <w:rFonts w:cs="Calibri"/>
                <w:b/>
                <w:bCs/>
                <w:sz w:val="18"/>
                <w:szCs w:val="18"/>
              </w:rPr>
            </w:pPr>
          </w:p>
        </w:tc>
        <w:tc>
          <w:tcPr>
            <w:tcW w:w="1437" w:type="dxa"/>
            <w:tcBorders>
              <w:left w:val="nil"/>
              <w:right w:val="nil"/>
            </w:tcBorders>
            <w:tcMar>
              <w:left w:w="108" w:type="dxa"/>
              <w:right w:w="108" w:type="dxa"/>
            </w:tcMar>
            <w:vAlign w:val="bottom"/>
          </w:tcPr>
          <w:p w14:paraId="368B2A41" w14:textId="77777777" w:rsidR="00FA4CC1" w:rsidRPr="007E64C0" w:rsidRDefault="00FA4CC1" w:rsidP="00FA4CC1">
            <w:pPr>
              <w:tabs>
                <w:tab w:val="left" w:pos="3306"/>
              </w:tabs>
              <w:jc w:val="right"/>
              <w:rPr>
                <w:rFonts w:cs="Calibri"/>
                <w:b/>
                <w:bCs/>
                <w:sz w:val="18"/>
                <w:szCs w:val="18"/>
              </w:rPr>
            </w:pPr>
          </w:p>
        </w:tc>
        <w:tc>
          <w:tcPr>
            <w:tcW w:w="1437" w:type="dxa"/>
            <w:tcBorders>
              <w:left w:val="nil"/>
            </w:tcBorders>
            <w:tcMar>
              <w:left w:w="108" w:type="dxa"/>
              <w:right w:w="108" w:type="dxa"/>
            </w:tcMar>
            <w:vAlign w:val="bottom"/>
          </w:tcPr>
          <w:p w14:paraId="13E0D4A9" w14:textId="77777777" w:rsidR="00FA4CC1" w:rsidRPr="007E64C0" w:rsidRDefault="00FA4CC1" w:rsidP="00FA4CC1">
            <w:pPr>
              <w:tabs>
                <w:tab w:val="left" w:pos="3306"/>
              </w:tabs>
              <w:jc w:val="right"/>
              <w:rPr>
                <w:rFonts w:cs="Calibri"/>
                <w:b/>
                <w:bCs/>
                <w:sz w:val="18"/>
                <w:szCs w:val="18"/>
              </w:rPr>
            </w:pPr>
          </w:p>
        </w:tc>
      </w:tr>
      <w:tr w:rsidR="00D37A89" w:rsidRPr="00D37A89" w14:paraId="4FDCDF78" w14:textId="77777777" w:rsidTr="004D1EC6">
        <w:trPr>
          <w:cantSplit/>
        </w:trPr>
        <w:tc>
          <w:tcPr>
            <w:tcW w:w="1563" w:type="dxa"/>
            <w:tcBorders>
              <w:left w:val="single" w:sz="2" w:space="0" w:color="auto"/>
              <w:right w:val="single" w:sz="2" w:space="0" w:color="auto"/>
            </w:tcBorders>
            <w:tcMar>
              <w:left w:w="108" w:type="dxa"/>
              <w:right w:w="108" w:type="dxa"/>
            </w:tcMar>
          </w:tcPr>
          <w:p w14:paraId="221607B8" w14:textId="0EE20E9E" w:rsidR="00D37A89" w:rsidRPr="007E64C0" w:rsidRDefault="00D37A89" w:rsidP="00D37A89">
            <w:pPr>
              <w:tabs>
                <w:tab w:val="left" w:pos="3306"/>
              </w:tabs>
              <w:spacing w:before="240"/>
              <w:rPr>
                <w:rFonts w:cs="Calibri"/>
                <w:b/>
                <w:color w:val="7030A0"/>
                <w:sz w:val="14"/>
                <w:szCs w:val="14"/>
              </w:rPr>
            </w:pPr>
          </w:p>
        </w:tc>
        <w:tc>
          <w:tcPr>
            <w:tcW w:w="2720" w:type="dxa"/>
            <w:tcBorders>
              <w:left w:val="single" w:sz="2" w:space="0" w:color="auto"/>
              <w:right w:val="nil"/>
            </w:tcBorders>
            <w:tcMar>
              <w:left w:w="108" w:type="dxa"/>
              <w:right w:w="108" w:type="dxa"/>
            </w:tcMar>
            <w:vAlign w:val="bottom"/>
          </w:tcPr>
          <w:p w14:paraId="4232D298" w14:textId="77777777" w:rsidR="00D37A89" w:rsidRPr="007E64C0" w:rsidRDefault="00D37A89" w:rsidP="00D37A89">
            <w:pPr>
              <w:tabs>
                <w:tab w:val="left" w:pos="3306"/>
              </w:tabs>
              <w:spacing w:before="40"/>
              <w:rPr>
                <w:rFonts w:cs="Calibri"/>
                <w:b/>
                <w:bCs/>
                <w:sz w:val="18"/>
                <w:szCs w:val="18"/>
              </w:rPr>
            </w:pPr>
          </w:p>
        </w:tc>
        <w:tc>
          <w:tcPr>
            <w:tcW w:w="627" w:type="dxa"/>
            <w:tcBorders>
              <w:left w:val="nil"/>
              <w:right w:val="nil"/>
            </w:tcBorders>
            <w:tcMar>
              <w:left w:w="108" w:type="dxa"/>
              <w:right w:w="108" w:type="dxa"/>
            </w:tcMar>
            <w:vAlign w:val="bottom"/>
          </w:tcPr>
          <w:p w14:paraId="32C5E643" w14:textId="77777777" w:rsidR="00D37A89" w:rsidRPr="007E64C0" w:rsidRDefault="00D37A89" w:rsidP="00D37A89">
            <w:pPr>
              <w:tabs>
                <w:tab w:val="left" w:pos="3306"/>
              </w:tabs>
              <w:spacing w:before="40"/>
              <w:jc w:val="center"/>
              <w:rPr>
                <w:rFonts w:cs="Calibri"/>
                <w:sz w:val="18"/>
                <w:szCs w:val="18"/>
              </w:rPr>
            </w:pPr>
          </w:p>
        </w:tc>
        <w:tc>
          <w:tcPr>
            <w:tcW w:w="1383" w:type="dxa"/>
            <w:tcBorders>
              <w:left w:val="nil"/>
              <w:right w:val="nil"/>
            </w:tcBorders>
            <w:tcMar>
              <w:left w:w="108" w:type="dxa"/>
              <w:right w:w="108" w:type="dxa"/>
            </w:tcMar>
            <w:vAlign w:val="bottom"/>
          </w:tcPr>
          <w:p w14:paraId="6D1F786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Original</w:t>
            </w:r>
          </w:p>
          <w:p w14:paraId="6B5AB5A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Budget</w:t>
            </w:r>
          </w:p>
          <w:p w14:paraId="004A0623" w14:textId="3E0B7AE1" w:rsidR="001B231B" w:rsidRPr="007E64C0" w:rsidRDefault="001B231B" w:rsidP="001B231B">
            <w:pPr>
              <w:pStyle w:val="TableTitle"/>
              <w:tabs>
                <w:tab w:val="left" w:pos="3306"/>
              </w:tabs>
              <w:rPr>
                <w:rFonts w:cs="Calibri"/>
              </w:rPr>
            </w:pPr>
            <w:r w:rsidRPr="007E64C0">
              <w:rPr>
                <w:rFonts w:cs="Calibri"/>
              </w:rPr>
              <w:t>202</w:t>
            </w:r>
            <w:r w:rsidR="00264852" w:rsidRPr="007E64C0">
              <w:rPr>
                <w:rFonts w:cs="Calibri"/>
              </w:rPr>
              <w:t>2</w:t>
            </w:r>
          </w:p>
          <w:p w14:paraId="5EA94746"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383" w:type="dxa"/>
            <w:tcBorders>
              <w:left w:val="nil"/>
              <w:right w:val="nil"/>
            </w:tcBorders>
            <w:tcMar>
              <w:left w:w="108" w:type="dxa"/>
              <w:right w:w="108" w:type="dxa"/>
            </w:tcMar>
            <w:vAlign w:val="bottom"/>
          </w:tcPr>
          <w:p w14:paraId="1F2025A5"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Total</w:t>
            </w:r>
          </w:p>
          <w:p w14:paraId="2F50DCEC"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Appropriated</w:t>
            </w:r>
          </w:p>
          <w:p w14:paraId="32DA2CDB" w14:textId="13530BDA" w:rsidR="001B231B" w:rsidRPr="007E64C0" w:rsidRDefault="001B231B" w:rsidP="001B231B">
            <w:pPr>
              <w:pStyle w:val="TableTitle"/>
              <w:tabs>
                <w:tab w:val="left" w:pos="3306"/>
              </w:tabs>
              <w:rPr>
                <w:rFonts w:cs="Calibri"/>
              </w:rPr>
            </w:pPr>
            <w:r w:rsidRPr="007E64C0">
              <w:rPr>
                <w:rFonts w:cs="Calibri"/>
              </w:rPr>
              <w:t>202</w:t>
            </w:r>
            <w:r w:rsidR="00264852" w:rsidRPr="007E64C0">
              <w:rPr>
                <w:rFonts w:cs="Calibri"/>
              </w:rPr>
              <w:t>2</w:t>
            </w:r>
          </w:p>
          <w:p w14:paraId="1BDCE81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437" w:type="dxa"/>
            <w:tcBorders>
              <w:left w:val="nil"/>
              <w:right w:val="nil"/>
            </w:tcBorders>
            <w:tcMar>
              <w:left w:w="108" w:type="dxa"/>
              <w:right w:w="108" w:type="dxa"/>
            </w:tcMar>
            <w:vAlign w:val="bottom"/>
          </w:tcPr>
          <w:p w14:paraId="04BFE7A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Appropriation</w:t>
            </w:r>
          </w:p>
          <w:p w14:paraId="51261DAC"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Drawn</w:t>
            </w:r>
          </w:p>
          <w:p w14:paraId="76F7939D" w14:textId="0D85A01C" w:rsidR="001B231B" w:rsidRPr="007E64C0" w:rsidRDefault="001B231B" w:rsidP="001B231B">
            <w:pPr>
              <w:pStyle w:val="TableTitle"/>
              <w:tabs>
                <w:tab w:val="left" w:pos="3306"/>
              </w:tabs>
              <w:rPr>
                <w:rFonts w:cs="Calibri"/>
              </w:rPr>
            </w:pPr>
            <w:r w:rsidRPr="007E64C0">
              <w:rPr>
                <w:rFonts w:cs="Calibri"/>
              </w:rPr>
              <w:t>202</w:t>
            </w:r>
            <w:r w:rsidR="00264852" w:rsidRPr="007E64C0">
              <w:rPr>
                <w:rFonts w:cs="Calibri"/>
              </w:rPr>
              <w:t>2</w:t>
            </w:r>
          </w:p>
          <w:p w14:paraId="3367AD9B"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c>
          <w:tcPr>
            <w:tcW w:w="1437" w:type="dxa"/>
            <w:tcBorders>
              <w:left w:val="nil"/>
            </w:tcBorders>
            <w:tcMar>
              <w:left w:w="108" w:type="dxa"/>
              <w:right w:w="108" w:type="dxa"/>
            </w:tcMar>
            <w:vAlign w:val="bottom"/>
          </w:tcPr>
          <w:p w14:paraId="2B7BEEB9"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Appropriation</w:t>
            </w:r>
          </w:p>
          <w:p w14:paraId="4C81F9C3"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Drawn</w:t>
            </w:r>
          </w:p>
          <w:p w14:paraId="31577D6A" w14:textId="3D31540C" w:rsidR="00D37A89" w:rsidRPr="007E64C0" w:rsidRDefault="00264852" w:rsidP="00D37A89">
            <w:pPr>
              <w:tabs>
                <w:tab w:val="left" w:pos="3306"/>
              </w:tabs>
              <w:jc w:val="right"/>
              <w:rPr>
                <w:rFonts w:cs="Calibri"/>
                <w:b/>
                <w:bCs/>
                <w:sz w:val="18"/>
                <w:szCs w:val="18"/>
              </w:rPr>
            </w:pPr>
            <w:r w:rsidRPr="007E64C0">
              <w:rPr>
                <w:rFonts w:cs="Calibri"/>
                <w:b/>
                <w:bCs/>
                <w:sz w:val="18"/>
                <w:szCs w:val="18"/>
              </w:rPr>
              <w:t>2021</w:t>
            </w:r>
          </w:p>
          <w:p w14:paraId="0473219B" w14:textId="77777777" w:rsidR="00D37A89" w:rsidRPr="007E64C0" w:rsidRDefault="00D37A89" w:rsidP="00D37A89">
            <w:pPr>
              <w:tabs>
                <w:tab w:val="left" w:pos="3306"/>
              </w:tabs>
              <w:jc w:val="right"/>
              <w:rPr>
                <w:rFonts w:cs="Calibri"/>
                <w:b/>
                <w:bCs/>
                <w:sz w:val="18"/>
                <w:szCs w:val="18"/>
              </w:rPr>
            </w:pPr>
            <w:r w:rsidRPr="007E64C0">
              <w:rPr>
                <w:rFonts w:cs="Calibri"/>
                <w:b/>
                <w:bCs/>
                <w:sz w:val="18"/>
                <w:szCs w:val="18"/>
              </w:rPr>
              <w:t>$’000</w:t>
            </w:r>
          </w:p>
        </w:tc>
      </w:tr>
      <w:tr w:rsidR="00D37A89" w:rsidRPr="00D37A89" w14:paraId="262F391B" w14:textId="77777777" w:rsidTr="004D1EC6">
        <w:trPr>
          <w:cantSplit/>
        </w:trPr>
        <w:tc>
          <w:tcPr>
            <w:tcW w:w="1563" w:type="dxa"/>
            <w:tcBorders>
              <w:left w:val="single" w:sz="2" w:space="0" w:color="auto"/>
              <w:bottom w:val="nil"/>
              <w:right w:val="single" w:sz="2" w:space="0" w:color="auto"/>
            </w:tcBorders>
            <w:tcMar>
              <w:left w:w="108" w:type="dxa"/>
              <w:right w:w="108" w:type="dxa"/>
            </w:tcMar>
          </w:tcPr>
          <w:p w14:paraId="6775E638" w14:textId="77777777" w:rsidR="00D37A89" w:rsidRPr="007E64C0" w:rsidRDefault="00D37A89" w:rsidP="00D37A89">
            <w:pPr>
              <w:tabs>
                <w:tab w:val="left" w:pos="3306"/>
              </w:tabs>
              <w:spacing w:before="40"/>
              <w:rPr>
                <w:rFonts w:cs="Calibri"/>
                <w:color w:val="7030A0"/>
                <w:sz w:val="14"/>
                <w:szCs w:val="14"/>
              </w:rPr>
            </w:pPr>
          </w:p>
        </w:tc>
        <w:tc>
          <w:tcPr>
            <w:tcW w:w="2720" w:type="dxa"/>
            <w:tcBorders>
              <w:left w:val="single" w:sz="2" w:space="0" w:color="auto"/>
              <w:bottom w:val="nil"/>
              <w:right w:val="nil"/>
            </w:tcBorders>
            <w:tcMar>
              <w:left w:w="108" w:type="dxa"/>
              <w:right w:w="108" w:type="dxa"/>
            </w:tcMar>
            <w:vAlign w:val="bottom"/>
          </w:tcPr>
          <w:p w14:paraId="310DD434" w14:textId="77777777" w:rsidR="00D37A89" w:rsidRPr="007E64C0" w:rsidRDefault="00D37A89" w:rsidP="00D37A89">
            <w:pPr>
              <w:tabs>
                <w:tab w:val="left" w:pos="3306"/>
              </w:tabs>
              <w:spacing w:before="40"/>
              <w:rPr>
                <w:rFonts w:cs="Calibri"/>
                <w:b/>
                <w:bCs/>
                <w:strike/>
                <w:sz w:val="18"/>
                <w:szCs w:val="18"/>
              </w:rPr>
            </w:pPr>
            <w:r w:rsidRPr="007E64C0">
              <w:rPr>
                <w:rFonts w:cs="Calibri"/>
                <w:b/>
                <w:bCs/>
                <w:sz w:val="18"/>
                <w:szCs w:val="18"/>
              </w:rPr>
              <w:t>Controlled</w:t>
            </w:r>
          </w:p>
        </w:tc>
        <w:tc>
          <w:tcPr>
            <w:tcW w:w="627" w:type="dxa"/>
            <w:tcBorders>
              <w:left w:val="nil"/>
              <w:bottom w:val="nil"/>
              <w:right w:val="nil"/>
            </w:tcBorders>
            <w:tcMar>
              <w:left w:w="108" w:type="dxa"/>
              <w:right w:w="108" w:type="dxa"/>
            </w:tcMar>
            <w:vAlign w:val="bottom"/>
          </w:tcPr>
          <w:p w14:paraId="7A928AE8" w14:textId="77777777" w:rsidR="00D37A89" w:rsidRPr="007E64C0" w:rsidRDefault="00D37A89" w:rsidP="00D37A89">
            <w:pPr>
              <w:tabs>
                <w:tab w:val="left" w:pos="3306"/>
              </w:tabs>
              <w:spacing w:before="40"/>
              <w:jc w:val="center"/>
              <w:rPr>
                <w:rFonts w:cs="Calibri"/>
                <w:sz w:val="18"/>
                <w:szCs w:val="18"/>
              </w:rPr>
            </w:pPr>
          </w:p>
        </w:tc>
        <w:tc>
          <w:tcPr>
            <w:tcW w:w="1383" w:type="dxa"/>
            <w:tcBorders>
              <w:left w:val="nil"/>
              <w:bottom w:val="nil"/>
              <w:right w:val="nil"/>
            </w:tcBorders>
            <w:tcMar>
              <w:left w:w="108" w:type="dxa"/>
              <w:right w:w="108" w:type="dxa"/>
            </w:tcMar>
            <w:vAlign w:val="bottom"/>
          </w:tcPr>
          <w:p w14:paraId="62E7D313" w14:textId="77777777" w:rsidR="00D37A89" w:rsidRPr="007E64C0" w:rsidRDefault="00D37A89" w:rsidP="00D37A89">
            <w:pPr>
              <w:tabs>
                <w:tab w:val="left" w:pos="3306"/>
              </w:tabs>
              <w:spacing w:before="40"/>
              <w:jc w:val="right"/>
              <w:rPr>
                <w:rFonts w:cs="Calibri"/>
                <w:sz w:val="18"/>
                <w:szCs w:val="18"/>
              </w:rPr>
            </w:pPr>
          </w:p>
        </w:tc>
        <w:tc>
          <w:tcPr>
            <w:tcW w:w="1383" w:type="dxa"/>
            <w:tcBorders>
              <w:left w:val="nil"/>
              <w:bottom w:val="nil"/>
              <w:right w:val="nil"/>
            </w:tcBorders>
            <w:tcMar>
              <w:left w:w="108" w:type="dxa"/>
              <w:right w:w="108" w:type="dxa"/>
            </w:tcMar>
            <w:vAlign w:val="bottom"/>
          </w:tcPr>
          <w:p w14:paraId="72997636" w14:textId="77777777" w:rsidR="00D37A89" w:rsidRPr="007E64C0" w:rsidRDefault="00D37A89" w:rsidP="00D37A89">
            <w:pPr>
              <w:tabs>
                <w:tab w:val="left" w:pos="3306"/>
              </w:tabs>
              <w:spacing w:before="40"/>
              <w:jc w:val="right"/>
              <w:rPr>
                <w:rFonts w:cs="Calibri"/>
                <w:sz w:val="18"/>
                <w:szCs w:val="18"/>
              </w:rPr>
            </w:pPr>
          </w:p>
        </w:tc>
        <w:tc>
          <w:tcPr>
            <w:tcW w:w="1437" w:type="dxa"/>
            <w:tcBorders>
              <w:left w:val="nil"/>
              <w:bottom w:val="nil"/>
              <w:right w:val="nil"/>
            </w:tcBorders>
            <w:tcMar>
              <w:left w:w="108" w:type="dxa"/>
              <w:right w:w="108" w:type="dxa"/>
            </w:tcMar>
            <w:vAlign w:val="bottom"/>
          </w:tcPr>
          <w:p w14:paraId="0458EE8E" w14:textId="77777777" w:rsidR="00D37A89" w:rsidRPr="007E64C0" w:rsidRDefault="00D37A89" w:rsidP="00D37A89">
            <w:pPr>
              <w:tabs>
                <w:tab w:val="left" w:pos="3306"/>
              </w:tabs>
              <w:spacing w:before="40"/>
              <w:jc w:val="right"/>
              <w:rPr>
                <w:rFonts w:cs="Calibri"/>
                <w:sz w:val="18"/>
                <w:szCs w:val="18"/>
              </w:rPr>
            </w:pPr>
          </w:p>
        </w:tc>
        <w:tc>
          <w:tcPr>
            <w:tcW w:w="1437" w:type="dxa"/>
            <w:tcBorders>
              <w:left w:val="nil"/>
              <w:bottom w:val="nil"/>
            </w:tcBorders>
            <w:tcMar>
              <w:left w:w="108" w:type="dxa"/>
              <w:right w:w="108" w:type="dxa"/>
            </w:tcMar>
            <w:vAlign w:val="bottom"/>
          </w:tcPr>
          <w:p w14:paraId="62C477A7" w14:textId="77777777" w:rsidR="00D37A89" w:rsidRPr="007E64C0" w:rsidRDefault="00D37A89" w:rsidP="00D37A89">
            <w:pPr>
              <w:tabs>
                <w:tab w:val="left" w:pos="3306"/>
              </w:tabs>
              <w:spacing w:before="40"/>
              <w:jc w:val="right"/>
              <w:rPr>
                <w:rFonts w:cs="Calibri"/>
                <w:sz w:val="18"/>
                <w:szCs w:val="18"/>
              </w:rPr>
            </w:pPr>
          </w:p>
        </w:tc>
      </w:tr>
      <w:tr w:rsidR="00D37A89" w:rsidRPr="007E0503" w14:paraId="16695367"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4E88AFDC" w14:textId="0CFF93BE" w:rsidR="00D37A89" w:rsidRPr="007E64C0" w:rsidRDefault="00D37A89" w:rsidP="00D37A89">
            <w:pPr>
              <w:tabs>
                <w:tab w:val="left" w:pos="3306"/>
              </w:tabs>
              <w:spacing w:before="60"/>
              <w:rPr>
                <w:rFonts w:cs="Calibri"/>
                <w:color w:val="7030A0"/>
                <w:sz w:val="14"/>
                <w:szCs w:val="14"/>
              </w:rPr>
            </w:pPr>
            <w:bookmarkStart w:id="228" w:name="_Toc48468268"/>
            <w:bookmarkStart w:id="229" w:name="_Toc49155447"/>
            <w:bookmarkStart w:id="230" w:name="_Toc49223910"/>
            <w:r w:rsidRPr="007E64C0">
              <w:rPr>
                <w:rFonts w:cs="Calibri"/>
                <w:color w:val="7030A0"/>
                <w:sz w:val="14"/>
                <w:szCs w:val="14"/>
              </w:rPr>
              <w:t>AAS</w:t>
            </w:r>
            <w:bookmarkEnd w:id="228"/>
            <w:bookmarkEnd w:id="229"/>
            <w:bookmarkEnd w:id="230"/>
            <w:r w:rsidRPr="007E64C0">
              <w:rPr>
                <w:rFonts w:cs="Calibri"/>
                <w:color w:val="7030A0"/>
                <w:sz w:val="14"/>
                <w:szCs w:val="14"/>
              </w:rPr>
              <w:t>B 1004.64(a)</w:t>
            </w:r>
            <w:r w:rsidR="00FA7C77">
              <w:rPr>
                <w:rFonts w:cs="Calibri"/>
                <w:color w:val="7030A0"/>
                <w:sz w:val="14"/>
                <w:szCs w:val="14"/>
              </w:rPr>
              <w:t xml:space="preserve">    </w:t>
            </w:r>
            <w:r w:rsidR="002147FC" w:rsidRPr="007E64C0">
              <w:rPr>
                <w:rFonts w:cs="Calibri"/>
                <w:color w:val="7030A0"/>
                <w:sz w:val="14"/>
                <w:szCs w:val="14"/>
              </w:rPr>
              <w:t xml:space="preserve">AASB </w:t>
            </w:r>
            <w:r w:rsidRPr="007E64C0">
              <w:rPr>
                <w:rFonts w:cs="Calibri"/>
                <w:color w:val="7030A0"/>
                <w:sz w:val="14"/>
                <w:szCs w:val="14"/>
              </w:rPr>
              <w:t>1058.26 (c)</w:t>
            </w:r>
          </w:p>
          <w:p w14:paraId="7CAE88D0" w14:textId="517EF401" w:rsidR="002147FC" w:rsidRPr="007E64C0" w:rsidRDefault="002147FC" w:rsidP="002147FC">
            <w:pPr>
              <w:tabs>
                <w:tab w:val="left" w:pos="3306"/>
              </w:tabs>
              <w:rPr>
                <w:rFonts w:cs="Calibri"/>
                <w:strike/>
                <w:color w:val="7030A0"/>
                <w:sz w:val="14"/>
                <w:szCs w:val="14"/>
                <w:highlight w:val="cyan"/>
              </w:rPr>
            </w:pPr>
            <w:r w:rsidRPr="007E64C0">
              <w:rPr>
                <w:rFonts w:cs="Calibri"/>
                <w:color w:val="7030A0"/>
                <w:sz w:val="14"/>
                <w:szCs w:val="14"/>
              </w:rPr>
              <w:t>AASB 1059.39</w:t>
            </w:r>
          </w:p>
        </w:tc>
        <w:tc>
          <w:tcPr>
            <w:tcW w:w="2720" w:type="dxa"/>
            <w:tcBorders>
              <w:top w:val="nil"/>
              <w:left w:val="single" w:sz="2" w:space="0" w:color="auto"/>
              <w:bottom w:val="nil"/>
              <w:right w:val="nil"/>
            </w:tcBorders>
            <w:tcMar>
              <w:left w:w="108" w:type="dxa"/>
              <w:right w:w="108" w:type="dxa"/>
            </w:tcMar>
            <w:vAlign w:val="center"/>
          </w:tcPr>
          <w:p w14:paraId="4EC382C1" w14:textId="77777777" w:rsidR="00D37A89" w:rsidRPr="007E64C0" w:rsidRDefault="00D37A89" w:rsidP="009F0413">
            <w:pPr>
              <w:tabs>
                <w:tab w:val="left" w:pos="3306"/>
              </w:tabs>
              <w:spacing w:before="40"/>
              <w:rPr>
                <w:rFonts w:cs="Calibri"/>
                <w:strike/>
                <w:sz w:val="18"/>
                <w:szCs w:val="18"/>
              </w:rPr>
            </w:pPr>
            <w:r w:rsidRPr="007E64C0">
              <w:rPr>
                <w:rFonts w:cs="Calibri"/>
                <w:sz w:val="18"/>
                <w:szCs w:val="18"/>
              </w:rPr>
              <w:t>Controlled Recurrent Payments</w:t>
            </w:r>
          </w:p>
        </w:tc>
        <w:tc>
          <w:tcPr>
            <w:tcW w:w="627" w:type="dxa"/>
            <w:tcBorders>
              <w:top w:val="nil"/>
              <w:left w:val="nil"/>
              <w:bottom w:val="nil"/>
              <w:right w:val="nil"/>
            </w:tcBorders>
            <w:tcMar>
              <w:left w:w="108" w:type="dxa"/>
              <w:right w:w="108" w:type="dxa"/>
            </w:tcMar>
            <w:vAlign w:val="bottom"/>
          </w:tcPr>
          <w:p w14:paraId="3D7C153B" w14:textId="77777777" w:rsidR="00D37A89" w:rsidRPr="007E64C0" w:rsidRDefault="00D37A89" w:rsidP="00D37A89">
            <w:pPr>
              <w:tabs>
                <w:tab w:val="left" w:pos="3306"/>
              </w:tabs>
              <w:spacing w:before="40"/>
              <w:jc w:val="center"/>
              <w:rPr>
                <w:rFonts w:cs="Calibri"/>
                <w:sz w:val="18"/>
                <w:szCs w:val="18"/>
              </w:rPr>
            </w:pPr>
          </w:p>
        </w:tc>
        <w:tc>
          <w:tcPr>
            <w:tcW w:w="1383" w:type="dxa"/>
            <w:tcBorders>
              <w:top w:val="nil"/>
              <w:left w:val="nil"/>
              <w:right w:val="nil"/>
            </w:tcBorders>
            <w:tcMar>
              <w:left w:w="108" w:type="dxa"/>
              <w:right w:w="108" w:type="dxa"/>
            </w:tcMar>
            <w:vAlign w:val="bottom"/>
          </w:tcPr>
          <w:p w14:paraId="5C476095" w14:textId="77777777" w:rsidR="00D37A89" w:rsidRPr="007E64C0" w:rsidRDefault="00D37A89" w:rsidP="00D37A89">
            <w:pPr>
              <w:tabs>
                <w:tab w:val="left" w:pos="3306"/>
              </w:tabs>
              <w:spacing w:before="40"/>
              <w:jc w:val="right"/>
              <w:rPr>
                <w:rFonts w:cs="Calibri"/>
                <w:sz w:val="18"/>
                <w:szCs w:val="18"/>
              </w:rPr>
            </w:pPr>
          </w:p>
        </w:tc>
        <w:tc>
          <w:tcPr>
            <w:tcW w:w="1383" w:type="dxa"/>
            <w:tcBorders>
              <w:top w:val="nil"/>
              <w:left w:val="nil"/>
              <w:right w:val="nil"/>
            </w:tcBorders>
            <w:tcMar>
              <w:left w:w="108" w:type="dxa"/>
              <w:right w:w="108" w:type="dxa"/>
            </w:tcMar>
            <w:vAlign w:val="bottom"/>
          </w:tcPr>
          <w:p w14:paraId="39512067"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right w:val="nil"/>
            </w:tcBorders>
            <w:tcMar>
              <w:left w:w="108" w:type="dxa"/>
              <w:right w:w="108" w:type="dxa"/>
            </w:tcMar>
            <w:vAlign w:val="bottom"/>
          </w:tcPr>
          <w:p w14:paraId="7854D4F3"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tcBorders>
            <w:tcMar>
              <w:left w:w="108" w:type="dxa"/>
              <w:right w:w="108" w:type="dxa"/>
            </w:tcMar>
            <w:vAlign w:val="bottom"/>
          </w:tcPr>
          <w:p w14:paraId="697A5DB2" w14:textId="77777777" w:rsidR="00D37A89" w:rsidRPr="007E64C0" w:rsidRDefault="00D37A89" w:rsidP="00D37A89">
            <w:pPr>
              <w:tabs>
                <w:tab w:val="left" w:pos="3306"/>
              </w:tabs>
              <w:spacing w:before="40"/>
              <w:jc w:val="right"/>
              <w:rPr>
                <w:rFonts w:cs="Calibri"/>
                <w:sz w:val="18"/>
                <w:szCs w:val="18"/>
              </w:rPr>
            </w:pPr>
          </w:p>
        </w:tc>
      </w:tr>
      <w:tr w:rsidR="00EB6844" w:rsidRPr="007E0503" w14:paraId="7E3A5599"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3FB6B69" w14:textId="589D7F3F" w:rsidR="00EB6844" w:rsidRPr="007E64C0" w:rsidRDefault="00EB6844" w:rsidP="00D37A89">
            <w:pPr>
              <w:tabs>
                <w:tab w:val="left" w:pos="3306"/>
              </w:tabs>
              <w:spacing w:before="60"/>
              <w:rPr>
                <w:rFonts w:cs="Calibri"/>
                <w:color w:val="7030A0"/>
                <w:sz w:val="14"/>
                <w:szCs w:val="14"/>
              </w:rPr>
            </w:pPr>
            <w:r w:rsidRPr="007E64C0">
              <w:rPr>
                <w:rFonts w:cs="Calibri"/>
                <w:color w:val="7030A0"/>
                <w:sz w:val="14"/>
                <w:szCs w:val="14"/>
              </w:rPr>
              <w:t xml:space="preserve">ACT </w:t>
            </w:r>
            <w:r w:rsidR="00A274A8" w:rsidRPr="007E64C0">
              <w:rPr>
                <w:rFonts w:cs="Calibri"/>
                <w:color w:val="7030A0"/>
                <w:sz w:val="14"/>
              </w:rPr>
              <w:t>Disclosure</w:t>
            </w:r>
            <w:r w:rsidR="003E6941" w:rsidRPr="007E64C0">
              <w:rPr>
                <w:rFonts w:cs="Calibri"/>
                <w:color w:val="7030A0"/>
                <w:sz w:val="14"/>
                <w:szCs w:val="14"/>
              </w:rPr>
              <w:t xml:space="preserve"> </w:t>
            </w:r>
            <w:r w:rsidRPr="007E64C0">
              <w:rPr>
                <w:rFonts w:cs="Calibri"/>
                <w:color w:val="7030A0"/>
                <w:sz w:val="14"/>
                <w:szCs w:val="14"/>
              </w:rPr>
              <w:t>Policy</w:t>
            </w:r>
          </w:p>
        </w:tc>
        <w:tc>
          <w:tcPr>
            <w:tcW w:w="2720" w:type="dxa"/>
            <w:tcBorders>
              <w:top w:val="nil"/>
              <w:left w:val="single" w:sz="2" w:space="0" w:color="auto"/>
              <w:bottom w:val="nil"/>
              <w:right w:val="nil"/>
            </w:tcBorders>
            <w:tcMar>
              <w:left w:w="108" w:type="dxa"/>
              <w:right w:w="108" w:type="dxa"/>
            </w:tcMar>
          </w:tcPr>
          <w:p w14:paraId="3F5484DE" w14:textId="311016EB" w:rsidR="00EB6844" w:rsidRPr="007E64C0" w:rsidRDefault="00EB6844" w:rsidP="00C0544A">
            <w:pPr>
              <w:tabs>
                <w:tab w:val="left" w:pos="3306"/>
              </w:tabs>
              <w:spacing w:before="40"/>
              <w:rPr>
                <w:rFonts w:cs="Calibri"/>
                <w:sz w:val="18"/>
                <w:szCs w:val="18"/>
              </w:rPr>
            </w:pPr>
            <w:r w:rsidRPr="007E64C0">
              <w:rPr>
                <w:rFonts w:cs="Calibri"/>
                <w:sz w:val="18"/>
                <w:szCs w:val="18"/>
              </w:rPr>
              <w:t>Community Service Obligations</w:t>
            </w:r>
          </w:p>
        </w:tc>
        <w:tc>
          <w:tcPr>
            <w:tcW w:w="627" w:type="dxa"/>
            <w:tcBorders>
              <w:top w:val="nil"/>
              <w:left w:val="nil"/>
              <w:bottom w:val="nil"/>
              <w:right w:val="nil"/>
            </w:tcBorders>
            <w:tcMar>
              <w:left w:w="108" w:type="dxa"/>
              <w:right w:w="108" w:type="dxa"/>
            </w:tcMar>
            <w:vAlign w:val="bottom"/>
          </w:tcPr>
          <w:p w14:paraId="287A1DCE" w14:textId="77777777" w:rsidR="00EB6844" w:rsidRPr="007E64C0" w:rsidRDefault="00EB6844" w:rsidP="00D37A89">
            <w:pPr>
              <w:tabs>
                <w:tab w:val="left" w:pos="3306"/>
              </w:tabs>
              <w:spacing w:before="40"/>
              <w:jc w:val="center"/>
              <w:rPr>
                <w:rFonts w:cs="Calibri"/>
                <w:sz w:val="18"/>
                <w:szCs w:val="18"/>
              </w:rPr>
            </w:pPr>
          </w:p>
        </w:tc>
        <w:tc>
          <w:tcPr>
            <w:tcW w:w="1383" w:type="dxa"/>
            <w:tcBorders>
              <w:top w:val="nil"/>
              <w:left w:val="nil"/>
              <w:right w:val="nil"/>
            </w:tcBorders>
            <w:tcMar>
              <w:left w:w="108" w:type="dxa"/>
              <w:right w:w="108" w:type="dxa"/>
            </w:tcMar>
            <w:vAlign w:val="bottom"/>
          </w:tcPr>
          <w:p w14:paraId="6FD6238D" w14:textId="77777777" w:rsidR="00EB6844" w:rsidRPr="007E64C0" w:rsidRDefault="00EB6844" w:rsidP="00D37A89">
            <w:pPr>
              <w:tabs>
                <w:tab w:val="left" w:pos="3306"/>
              </w:tabs>
              <w:spacing w:before="40"/>
              <w:jc w:val="right"/>
              <w:rPr>
                <w:rFonts w:cs="Calibri"/>
                <w:sz w:val="18"/>
                <w:szCs w:val="18"/>
              </w:rPr>
            </w:pPr>
          </w:p>
        </w:tc>
        <w:tc>
          <w:tcPr>
            <w:tcW w:w="1383" w:type="dxa"/>
            <w:tcBorders>
              <w:top w:val="nil"/>
              <w:left w:val="nil"/>
              <w:right w:val="nil"/>
            </w:tcBorders>
            <w:tcMar>
              <w:left w:w="108" w:type="dxa"/>
              <w:right w:w="108" w:type="dxa"/>
            </w:tcMar>
            <w:vAlign w:val="bottom"/>
          </w:tcPr>
          <w:p w14:paraId="051ECF83" w14:textId="77777777" w:rsidR="00EB6844" w:rsidRPr="007E64C0" w:rsidRDefault="00EB6844" w:rsidP="00D37A89">
            <w:pPr>
              <w:tabs>
                <w:tab w:val="left" w:pos="3306"/>
              </w:tabs>
              <w:spacing w:before="40"/>
              <w:jc w:val="right"/>
              <w:rPr>
                <w:rFonts w:cs="Calibri"/>
                <w:sz w:val="18"/>
                <w:szCs w:val="18"/>
              </w:rPr>
            </w:pPr>
          </w:p>
        </w:tc>
        <w:tc>
          <w:tcPr>
            <w:tcW w:w="1437" w:type="dxa"/>
            <w:tcBorders>
              <w:top w:val="nil"/>
              <w:left w:val="nil"/>
              <w:right w:val="nil"/>
            </w:tcBorders>
            <w:tcMar>
              <w:left w:w="108" w:type="dxa"/>
              <w:right w:w="108" w:type="dxa"/>
            </w:tcMar>
            <w:vAlign w:val="bottom"/>
          </w:tcPr>
          <w:p w14:paraId="0A0B8EAA" w14:textId="77777777" w:rsidR="00EB6844" w:rsidRPr="007E64C0" w:rsidRDefault="00EB6844" w:rsidP="00D37A89">
            <w:pPr>
              <w:tabs>
                <w:tab w:val="left" w:pos="3306"/>
              </w:tabs>
              <w:spacing w:before="40"/>
              <w:jc w:val="right"/>
              <w:rPr>
                <w:rFonts w:cs="Calibri"/>
                <w:sz w:val="18"/>
                <w:szCs w:val="18"/>
              </w:rPr>
            </w:pPr>
          </w:p>
        </w:tc>
        <w:tc>
          <w:tcPr>
            <w:tcW w:w="1437" w:type="dxa"/>
            <w:tcBorders>
              <w:top w:val="nil"/>
              <w:left w:val="nil"/>
            </w:tcBorders>
            <w:tcMar>
              <w:left w:w="108" w:type="dxa"/>
              <w:right w:w="108" w:type="dxa"/>
            </w:tcMar>
            <w:vAlign w:val="bottom"/>
          </w:tcPr>
          <w:p w14:paraId="786CBA77" w14:textId="77777777" w:rsidR="00EB6844" w:rsidRPr="007E64C0" w:rsidRDefault="00EB6844" w:rsidP="00D37A89">
            <w:pPr>
              <w:tabs>
                <w:tab w:val="left" w:pos="3306"/>
              </w:tabs>
              <w:spacing w:before="40"/>
              <w:jc w:val="right"/>
              <w:rPr>
                <w:rFonts w:cs="Calibri"/>
                <w:sz w:val="18"/>
                <w:szCs w:val="18"/>
              </w:rPr>
            </w:pPr>
          </w:p>
        </w:tc>
      </w:tr>
      <w:tr w:rsidR="00D37A89" w:rsidRPr="007E0503" w14:paraId="73A1FDB1"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1B152CF" w14:textId="42728E24" w:rsidR="00D37A89" w:rsidRPr="007E64C0" w:rsidRDefault="00D37A89" w:rsidP="0093771E">
            <w:pPr>
              <w:tabs>
                <w:tab w:val="left" w:pos="3306"/>
              </w:tabs>
              <w:spacing w:before="40"/>
              <w:rPr>
                <w:rFonts w:cs="Calibri"/>
                <w:color w:val="7030A0"/>
                <w:sz w:val="14"/>
                <w:szCs w:val="14"/>
              </w:rPr>
            </w:pPr>
            <w:r w:rsidRPr="007E64C0">
              <w:rPr>
                <w:rFonts w:cs="Calibri"/>
                <w:color w:val="7030A0"/>
                <w:sz w:val="14"/>
                <w:szCs w:val="14"/>
              </w:rPr>
              <w:t>AASB 1004.64(a),</w:t>
            </w:r>
            <w:r w:rsidR="0093771E" w:rsidRPr="007E64C0">
              <w:rPr>
                <w:rFonts w:cs="Calibri"/>
                <w:color w:val="7030A0"/>
                <w:sz w:val="14"/>
                <w:szCs w:val="14"/>
              </w:rPr>
              <w:t xml:space="preserve"> 48 </w:t>
            </w:r>
          </w:p>
        </w:tc>
        <w:tc>
          <w:tcPr>
            <w:tcW w:w="2720" w:type="dxa"/>
            <w:tcBorders>
              <w:top w:val="nil"/>
              <w:left w:val="single" w:sz="2" w:space="0" w:color="auto"/>
              <w:bottom w:val="nil"/>
              <w:right w:val="nil"/>
            </w:tcBorders>
            <w:tcMar>
              <w:left w:w="108" w:type="dxa"/>
              <w:right w:w="108" w:type="dxa"/>
            </w:tcMar>
            <w:vAlign w:val="bottom"/>
          </w:tcPr>
          <w:p w14:paraId="6AC2B879" w14:textId="77777777" w:rsidR="00D37A89" w:rsidRPr="007E64C0" w:rsidRDefault="00D37A89" w:rsidP="00D37A89">
            <w:pPr>
              <w:tabs>
                <w:tab w:val="left" w:pos="3306"/>
              </w:tabs>
              <w:spacing w:before="40"/>
              <w:rPr>
                <w:rFonts w:cs="Calibri"/>
                <w:sz w:val="18"/>
                <w:szCs w:val="18"/>
              </w:rPr>
            </w:pPr>
            <w:bookmarkStart w:id="231" w:name="_Toc48468271"/>
            <w:bookmarkStart w:id="232" w:name="_Toc49155450"/>
            <w:bookmarkStart w:id="233" w:name="_Toc49223913"/>
            <w:r w:rsidRPr="007E64C0">
              <w:rPr>
                <w:rFonts w:cs="Calibri"/>
                <w:sz w:val="18"/>
                <w:szCs w:val="18"/>
              </w:rPr>
              <w:t xml:space="preserve">Capital </w:t>
            </w:r>
            <w:bookmarkEnd w:id="231"/>
            <w:bookmarkEnd w:id="232"/>
            <w:bookmarkEnd w:id="233"/>
            <w:r w:rsidRPr="007E64C0">
              <w:rPr>
                <w:rFonts w:cs="Calibri"/>
                <w:sz w:val="18"/>
                <w:szCs w:val="18"/>
              </w:rPr>
              <w:t>Injections</w:t>
            </w:r>
          </w:p>
        </w:tc>
        <w:tc>
          <w:tcPr>
            <w:tcW w:w="627" w:type="dxa"/>
            <w:tcBorders>
              <w:top w:val="nil"/>
              <w:left w:val="nil"/>
              <w:bottom w:val="nil"/>
              <w:right w:val="nil"/>
            </w:tcBorders>
            <w:tcMar>
              <w:left w:w="108" w:type="dxa"/>
              <w:right w:w="108" w:type="dxa"/>
            </w:tcMar>
            <w:vAlign w:val="bottom"/>
          </w:tcPr>
          <w:p w14:paraId="4B2BDBAA" w14:textId="77777777" w:rsidR="00D37A89" w:rsidRPr="007E64C0" w:rsidRDefault="00D37A89" w:rsidP="00D37A89">
            <w:pPr>
              <w:tabs>
                <w:tab w:val="left" w:pos="3306"/>
              </w:tabs>
              <w:spacing w:before="40"/>
              <w:jc w:val="center"/>
              <w:rPr>
                <w:rFonts w:cs="Calibri"/>
                <w:sz w:val="18"/>
                <w:szCs w:val="18"/>
              </w:rPr>
            </w:pPr>
          </w:p>
        </w:tc>
        <w:tc>
          <w:tcPr>
            <w:tcW w:w="1383" w:type="dxa"/>
            <w:tcBorders>
              <w:top w:val="nil"/>
              <w:left w:val="nil"/>
              <w:bottom w:val="single" w:sz="4" w:space="0" w:color="auto"/>
              <w:right w:val="nil"/>
            </w:tcBorders>
            <w:tcMar>
              <w:left w:w="108" w:type="dxa"/>
              <w:right w:w="108" w:type="dxa"/>
            </w:tcMar>
            <w:vAlign w:val="bottom"/>
          </w:tcPr>
          <w:p w14:paraId="6C96DD33" w14:textId="77777777" w:rsidR="00D37A89" w:rsidRPr="007E64C0" w:rsidRDefault="00D37A89" w:rsidP="00D37A89">
            <w:pPr>
              <w:tabs>
                <w:tab w:val="left" w:pos="3306"/>
              </w:tabs>
              <w:spacing w:before="40"/>
              <w:jc w:val="right"/>
              <w:rPr>
                <w:rFonts w:cs="Calibri"/>
                <w:sz w:val="18"/>
                <w:szCs w:val="18"/>
              </w:rPr>
            </w:pPr>
          </w:p>
        </w:tc>
        <w:tc>
          <w:tcPr>
            <w:tcW w:w="1383" w:type="dxa"/>
            <w:tcBorders>
              <w:top w:val="nil"/>
              <w:left w:val="nil"/>
              <w:bottom w:val="single" w:sz="4" w:space="0" w:color="auto"/>
              <w:right w:val="nil"/>
            </w:tcBorders>
            <w:tcMar>
              <w:left w:w="108" w:type="dxa"/>
              <w:right w:w="108" w:type="dxa"/>
            </w:tcMar>
            <w:vAlign w:val="bottom"/>
          </w:tcPr>
          <w:p w14:paraId="72B0E290"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bottom w:val="single" w:sz="4" w:space="0" w:color="auto"/>
              <w:right w:val="nil"/>
            </w:tcBorders>
            <w:tcMar>
              <w:left w:w="108" w:type="dxa"/>
              <w:right w:w="108" w:type="dxa"/>
            </w:tcMar>
            <w:vAlign w:val="bottom"/>
          </w:tcPr>
          <w:p w14:paraId="06F0A407" w14:textId="77777777" w:rsidR="00D37A89" w:rsidRPr="007E64C0" w:rsidRDefault="00D37A89" w:rsidP="00D37A89">
            <w:pPr>
              <w:tabs>
                <w:tab w:val="left" w:pos="3306"/>
              </w:tabs>
              <w:spacing w:before="40"/>
              <w:jc w:val="right"/>
              <w:rPr>
                <w:rFonts w:cs="Calibri"/>
                <w:sz w:val="18"/>
                <w:szCs w:val="18"/>
              </w:rPr>
            </w:pPr>
          </w:p>
        </w:tc>
        <w:tc>
          <w:tcPr>
            <w:tcW w:w="1437" w:type="dxa"/>
            <w:tcBorders>
              <w:top w:val="nil"/>
              <w:left w:val="nil"/>
              <w:bottom w:val="single" w:sz="4" w:space="0" w:color="auto"/>
            </w:tcBorders>
            <w:tcMar>
              <w:left w:w="108" w:type="dxa"/>
              <w:right w:w="108" w:type="dxa"/>
            </w:tcMar>
            <w:vAlign w:val="bottom"/>
          </w:tcPr>
          <w:p w14:paraId="58D161CE" w14:textId="77777777" w:rsidR="00D37A89" w:rsidRPr="007E64C0" w:rsidRDefault="00D37A89" w:rsidP="00D37A89">
            <w:pPr>
              <w:tabs>
                <w:tab w:val="left" w:pos="3306"/>
              </w:tabs>
              <w:spacing w:before="40"/>
              <w:jc w:val="right"/>
              <w:rPr>
                <w:rFonts w:cs="Calibri"/>
                <w:sz w:val="18"/>
                <w:szCs w:val="18"/>
              </w:rPr>
            </w:pPr>
          </w:p>
        </w:tc>
      </w:tr>
      <w:tr w:rsidR="00D37A89" w:rsidRPr="007E0503" w14:paraId="543E0ABF"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288E51AF" w14:textId="7915C959" w:rsidR="00D37A89" w:rsidRPr="007E64C0" w:rsidRDefault="002147FC" w:rsidP="002147FC">
            <w:pPr>
              <w:tabs>
                <w:tab w:val="left" w:pos="3306"/>
              </w:tabs>
              <w:rPr>
                <w:rFonts w:cs="Calibri"/>
                <w:color w:val="7030A0"/>
                <w:sz w:val="14"/>
                <w:szCs w:val="14"/>
              </w:rPr>
            </w:pPr>
            <w:r w:rsidRPr="007E64C0">
              <w:rPr>
                <w:rFonts w:cs="Calibri"/>
                <w:color w:val="7030A0"/>
                <w:sz w:val="14"/>
                <w:szCs w:val="14"/>
              </w:rPr>
              <w:t>AASB 1059.39</w:t>
            </w:r>
          </w:p>
        </w:tc>
        <w:tc>
          <w:tcPr>
            <w:tcW w:w="2720" w:type="dxa"/>
            <w:tcBorders>
              <w:left w:val="single" w:sz="2" w:space="0" w:color="auto"/>
              <w:right w:val="nil"/>
            </w:tcBorders>
            <w:tcMar>
              <w:left w:w="108" w:type="dxa"/>
              <w:right w:w="108" w:type="dxa"/>
            </w:tcMar>
            <w:vAlign w:val="bottom"/>
          </w:tcPr>
          <w:p w14:paraId="76E06D14" w14:textId="77777777" w:rsidR="00D37A89" w:rsidRPr="007E64C0" w:rsidRDefault="00D37A89" w:rsidP="00D37A89">
            <w:pPr>
              <w:tabs>
                <w:tab w:val="left" w:pos="3306"/>
              </w:tabs>
              <w:spacing w:before="40"/>
              <w:rPr>
                <w:rFonts w:cs="Calibri"/>
                <w:b/>
                <w:bCs/>
                <w:sz w:val="18"/>
                <w:szCs w:val="18"/>
              </w:rPr>
            </w:pPr>
            <w:r w:rsidRPr="007E64C0">
              <w:rPr>
                <w:rFonts w:cs="Calibri"/>
                <w:b/>
                <w:bCs/>
                <w:sz w:val="18"/>
                <w:szCs w:val="18"/>
              </w:rPr>
              <w:t>Total Controlled Appropriation</w:t>
            </w:r>
          </w:p>
        </w:tc>
        <w:tc>
          <w:tcPr>
            <w:tcW w:w="627" w:type="dxa"/>
            <w:tcBorders>
              <w:left w:val="nil"/>
              <w:right w:val="nil"/>
            </w:tcBorders>
            <w:tcMar>
              <w:left w:w="108" w:type="dxa"/>
              <w:right w:w="108" w:type="dxa"/>
            </w:tcMar>
            <w:vAlign w:val="bottom"/>
          </w:tcPr>
          <w:p w14:paraId="1AC5958C" w14:textId="77777777" w:rsidR="00D37A89" w:rsidRPr="007E64C0" w:rsidRDefault="00D37A89" w:rsidP="00D37A89">
            <w:pPr>
              <w:tabs>
                <w:tab w:val="left" w:pos="3306"/>
              </w:tabs>
              <w:spacing w:before="40"/>
              <w:jc w:val="center"/>
              <w:rPr>
                <w:rFonts w:cs="Calibri"/>
                <w:sz w:val="18"/>
                <w:szCs w:val="18"/>
              </w:rPr>
            </w:pPr>
          </w:p>
        </w:tc>
        <w:tc>
          <w:tcPr>
            <w:tcW w:w="1383" w:type="dxa"/>
            <w:tcBorders>
              <w:top w:val="single" w:sz="4" w:space="0" w:color="auto"/>
              <w:left w:val="nil"/>
              <w:bottom w:val="double" w:sz="4" w:space="0" w:color="auto"/>
              <w:right w:val="nil"/>
            </w:tcBorders>
            <w:tcMar>
              <w:left w:w="108" w:type="dxa"/>
              <w:right w:w="108" w:type="dxa"/>
            </w:tcMar>
            <w:vAlign w:val="bottom"/>
          </w:tcPr>
          <w:p w14:paraId="2906EA50" w14:textId="77777777" w:rsidR="00D37A89" w:rsidRPr="007E64C0" w:rsidRDefault="00D37A89" w:rsidP="00D37A89">
            <w:pPr>
              <w:tabs>
                <w:tab w:val="left" w:pos="3306"/>
              </w:tabs>
              <w:spacing w:before="40"/>
              <w:jc w:val="right"/>
              <w:rPr>
                <w:rFonts w:cs="Calibri"/>
                <w:b/>
                <w:bCs/>
                <w:sz w:val="18"/>
                <w:szCs w:val="18"/>
              </w:rPr>
            </w:pPr>
          </w:p>
        </w:tc>
        <w:tc>
          <w:tcPr>
            <w:tcW w:w="1383" w:type="dxa"/>
            <w:tcBorders>
              <w:top w:val="single" w:sz="4" w:space="0" w:color="auto"/>
              <w:left w:val="nil"/>
              <w:bottom w:val="double" w:sz="4" w:space="0" w:color="auto"/>
              <w:right w:val="nil"/>
            </w:tcBorders>
            <w:tcMar>
              <w:left w:w="108" w:type="dxa"/>
              <w:right w:w="108" w:type="dxa"/>
            </w:tcMar>
            <w:vAlign w:val="bottom"/>
          </w:tcPr>
          <w:p w14:paraId="0957B95C" w14:textId="77777777" w:rsidR="00D37A89" w:rsidRPr="007E64C0" w:rsidRDefault="00D37A89" w:rsidP="00D37A89">
            <w:pPr>
              <w:tabs>
                <w:tab w:val="left" w:pos="3306"/>
              </w:tabs>
              <w:spacing w:before="40"/>
              <w:jc w:val="right"/>
              <w:rPr>
                <w:rFonts w:cs="Calibri"/>
                <w:b/>
                <w:bCs/>
                <w:sz w:val="18"/>
                <w:szCs w:val="18"/>
              </w:rPr>
            </w:pPr>
          </w:p>
        </w:tc>
        <w:tc>
          <w:tcPr>
            <w:tcW w:w="1437" w:type="dxa"/>
            <w:tcBorders>
              <w:top w:val="single" w:sz="4" w:space="0" w:color="auto"/>
              <w:left w:val="nil"/>
              <w:bottom w:val="double" w:sz="4" w:space="0" w:color="auto"/>
              <w:right w:val="nil"/>
            </w:tcBorders>
            <w:tcMar>
              <w:left w:w="108" w:type="dxa"/>
              <w:right w:w="108" w:type="dxa"/>
            </w:tcMar>
            <w:vAlign w:val="bottom"/>
          </w:tcPr>
          <w:p w14:paraId="056EBE0A" w14:textId="77777777" w:rsidR="00D37A89" w:rsidRPr="007E64C0" w:rsidRDefault="00D37A89" w:rsidP="00D37A89">
            <w:pPr>
              <w:tabs>
                <w:tab w:val="left" w:pos="3306"/>
              </w:tabs>
              <w:spacing w:before="40"/>
              <w:jc w:val="right"/>
              <w:rPr>
                <w:rFonts w:cs="Calibri"/>
                <w:b/>
                <w:bCs/>
                <w:sz w:val="18"/>
                <w:szCs w:val="18"/>
              </w:rPr>
            </w:pPr>
          </w:p>
        </w:tc>
        <w:tc>
          <w:tcPr>
            <w:tcW w:w="1437" w:type="dxa"/>
            <w:tcBorders>
              <w:top w:val="single" w:sz="4" w:space="0" w:color="auto"/>
              <w:left w:val="nil"/>
              <w:bottom w:val="double" w:sz="4" w:space="0" w:color="auto"/>
            </w:tcBorders>
            <w:tcMar>
              <w:left w:w="108" w:type="dxa"/>
              <w:right w:w="108" w:type="dxa"/>
            </w:tcMar>
            <w:vAlign w:val="bottom"/>
          </w:tcPr>
          <w:p w14:paraId="047D4148" w14:textId="77777777" w:rsidR="00D37A89" w:rsidRPr="007E64C0" w:rsidRDefault="00D37A89" w:rsidP="00D37A89">
            <w:pPr>
              <w:tabs>
                <w:tab w:val="left" w:pos="3306"/>
              </w:tabs>
              <w:spacing w:before="40"/>
              <w:jc w:val="right"/>
              <w:rPr>
                <w:rFonts w:cs="Calibri"/>
                <w:b/>
                <w:bCs/>
                <w:sz w:val="18"/>
                <w:szCs w:val="18"/>
              </w:rPr>
            </w:pPr>
          </w:p>
        </w:tc>
      </w:tr>
      <w:tr w:rsidR="00D37A89" w:rsidRPr="007E0503" w14:paraId="4B5C2A13"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6B2F25F0" w14:textId="16601349" w:rsidR="00D37A89" w:rsidRPr="007E64C0" w:rsidRDefault="00D37A89" w:rsidP="002147FC">
            <w:pPr>
              <w:tabs>
                <w:tab w:val="left" w:pos="3306"/>
              </w:tabs>
              <w:rPr>
                <w:rFonts w:cs="Calibri"/>
                <w:color w:val="7030A0"/>
                <w:sz w:val="16"/>
              </w:rPr>
            </w:pPr>
          </w:p>
        </w:tc>
        <w:tc>
          <w:tcPr>
            <w:tcW w:w="2720" w:type="dxa"/>
            <w:tcBorders>
              <w:left w:val="single" w:sz="2" w:space="0" w:color="auto"/>
              <w:right w:val="nil"/>
            </w:tcBorders>
            <w:tcMar>
              <w:left w:w="108" w:type="dxa"/>
              <w:right w:w="108" w:type="dxa"/>
            </w:tcMar>
            <w:vAlign w:val="bottom"/>
          </w:tcPr>
          <w:p w14:paraId="0ACF5F41" w14:textId="77777777" w:rsidR="00D37A89" w:rsidRPr="007E64C0" w:rsidRDefault="00D37A89" w:rsidP="00D37A89">
            <w:pPr>
              <w:tabs>
                <w:tab w:val="left" w:pos="3306"/>
              </w:tabs>
              <w:spacing w:before="40"/>
              <w:rPr>
                <w:rFonts w:cs="Calibri"/>
                <w:sz w:val="18"/>
                <w:szCs w:val="18"/>
              </w:rPr>
            </w:pPr>
          </w:p>
        </w:tc>
        <w:tc>
          <w:tcPr>
            <w:tcW w:w="627" w:type="dxa"/>
            <w:tcBorders>
              <w:left w:val="nil"/>
              <w:right w:val="nil"/>
            </w:tcBorders>
            <w:tcMar>
              <w:left w:w="108" w:type="dxa"/>
              <w:right w:w="108" w:type="dxa"/>
            </w:tcMar>
            <w:vAlign w:val="bottom"/>
          </w:tcPr>
          <w:p w14:paraId="5085E5DA" w14:textId="77777777" w:rsidR="00D37A89" w:rsidRPr="007E64C0" w:rsidRDefault="00D37A89" w:rsidP="00D37A89">
            <w:pPr>
              <w:tabs>
                <w:tab w:val="left" w:pos="3306"/>
              </w:tabs>
              <w:spacing w:before="40"/>
              <w:jc w:val="center"/>
              <w:rPr>
                <w:rFonts w:cs="Calibri"/>
                <w:sz w:val="18"/>
                <w:szCs w:val="18"/>
              </w:rPr>
            </w:pPr>
          </w:p>
        </w:tc>
        <w:tc>
          <w:tcPr>
            <w:tcW w:w="1383" w:type="dxa"/>
            <w:tcBorders>
              <w:top w:val="double" w:sz="4" w:space="0" w:color="auto"/>
              <w:left w:val="nil"/>
              <w:right w:val="nil"/>
            </w:tcBorders>
            <w:tcMar>
              <w:left w:w="108" w:type="dxa"/>
              <w:right w:w="108" w:type="dxa"/>
            </w:tcMar>
            <w:vAlign w:val="bottom"/>
          </w:tcPr>
          <w:p w14:paraId="3BCFC09A" w14:textId="77777777" w:rsidR="00D37A89" w:rsidRPr="007E64C0" w:rsidRDefault="00D37A89" w:rsidP="00D37A89">
            <w:pPr>
              <w:tabs>
                <w:tab w:val="left" w:pos="3306"/>
              </w:tabs>
              <w:spacing w:before="40"/>
              <w:jc w:val="right"/>
              <w:rPr>
                <w:rFonts w:cs="Calibri"/>
                <w:sz w:val="18"/>
                <w:szCs w:val="18"/>
              </w:rPr>
            </w:pPr>
          </w:p>
        </w:tc>
        <w:tc>
          <w:tcPr>
            <w:tcW w:w="1383" w:type="dxa"/>
            <w:tcBorders>
              <w:top w:val="double" w:sz="4" w:space="0" w:color="auto"/>
              <w:left w:val="nil"/>
              <w:right w:val="nil"/>
            </w:tcBorders>
            <w:tcMar>
              <w:left w:w="108" w:type="dxa"/>
              <w:right w:w="108" w:type="dxa"/>
            </w:tcMar>
            <w:vAlign w:val="bottom"/>
          </w:tcPr>
          <w:p w14:paraId="2C1C96B5" w14:textId="77777777" w:rsidR="00D37A89" w:rsidRPr="007E64C0" w:rsidRDefault="00D37A89" w:rsidP="00D37A89">
            <w:pPr>
              <w:tabs>
                <w:tab w:val="left" w:pos="3306"/>
              </w:tabs>
              <w:spacing w:before="40"/>
              <w:jc w:val="right"/>
              <w:rPr>
                <w:rFonts w:cs="Calibri"/>
                <w:sz w:val="18"/>
                <w:szCs w:val="18"/>
              </w:rPr>
            </w:pPr>
          </w:p>
        </w:tc>
        <w:tc>
          <w:tcPr>
            <w:tcW w:w="1437" w:type="dxa"/>
            <w:tcBorders>
              <w:top w:val="double" w:sz="4" w:space="0" w:color="auto"/>
              <w:left w:val="nil"/>
              <w:right w:val="nil"/>
            </w:tcBorders>
            <w:tcMar>
              <w:left w:w="108" w:type="dxa"/>
              <w:right w:w="108" w:type="dxa"/>
            </w:tcMar>
            <w:vAlign w:val="bottom"/>
          </w:tcPr>
          <w:p w14:paraId="5FCE7186" w14:textId="77777777" w:rsidR="00D37A89" w:rsidRPr="007E64C0" w:rsidRDefault="00D37A89" w:rsidP="00D37A89">
            <w:pPr>
              <w:tabs>
                <w:tab w:val="left" w:pos="3306"/>
              </w:tabs>
              <w:spacing w:before="40"/>
              <w:jc w:val="right"/>
              <w:rPr>
                <w:rFonts w:cs="Calibri"/>
                <w:sz w:val="18"/>
                <w:szCs w:val="18"/>
              </w:rPr>
            </w:pPr>
          </w:p>
        </w:tc>
        <w:tc>
          <w:tcPr>
            <w:tcW w:w="1437" w:type="dxa"/>
            <w:tcBorders>
              <w:top w:val="double" w:sz="4" w:space="0" w:color="auto"/>
              <w:left w:val="nil"/>
            </w:tcBorders>
            <w:tcMar>
              <w:left w:w="108" w:type="dxa"/>
              <w:right w:w="108" w:type="dxa"/>
            </w:tcMar>
            <w:vAlign w:val="bottom"/>
          </w:tcPr>
          <w:p w14:paraId="0DE5FE5F" w14:textId="77777777" w:rsidR="00D37A89" w:rsidRPr="007E64C0" w:rsidRDefault="00D37A89" w:rsidP="00D37A89">
            <w:pPr>
              <w:tabs>
                <w:tab w:val="left" w:pos="3306"/>
              </w:tabs>
              <w:spacing w:before="40"/>
              <w:jc w:val="right"/>
              <w:rPr>
                <w:rFonts w:cs="Calibri"/>
                <w:sz w:val="18"/>
                <w:szCs w:val="18"/>
              </w:rPr>
            </w:pPr>
          </w:p>
        </w:tc>
      </w:tr>
      <w:tr w:rsidR="00D37A89" w:rsidRPr="007E0503" w14:paraId="2849214E" w14:textId="77777777" w:rsidTr="004D1EC6">
        <w:trPr>
          <w:cantSplit/>
        </w:trPr>
        <w:tc>
          <w:tcPr>
            <w:tcW w:w="1563" w:type="dxa"/>
            <w:tcBorders>
              <w:top w:val="nil"/>
              <w:left w:val="single" w:sz="2" w:space="0" w:color="auto"/>
              <w:bottom w:val="nil"/>
              <w:right w:val="single" w:sz="2" w:space="0" w:color="auto"/>
            </w:tcBorders>
            <w:tcMar>
              <w:left w:w="108" w:type="dxa"/>
              <w:right w:w="108" w:type="dxa"/>
            </w:tcMar>
          </w:tcPr>
          <w:p w14:paraId="29C6F126" w14:textId="77777777" w:rsidR="00D37A89" w:rsidRPr="007E64C0" w:rsidRDefault="00D37A89" w:rsidP="00D37A89">
            <w:pPr>
              <w:tabs>
                <w:tab w:val="left" w:pos="3306"/>
              </w:tabs>
              <w:spacing w:before="40"/>
              <w:rPr>
                <w:rFonts w:cs="Calibri"/>
                <w:color w:val="7030A0"/>
                <w:sz w:val="16"/>
              </w:rPr>
            </w:pPr>
          </w:p>
        </w:tc>
        <w:tc>
          <w:tcPr>
            <w:tcW w:w="8987" w:type="dxa"/>
            <w:gridSpan w:val="6"/>
            <w:tcBorders>
              <w:left w:val="single" w:sz="2" w:space="0" w:color="auto"/>
            </w:tcBorders>
            <w:tcMar>
              <w:left w:w="108" w:type="dxa"/>
              <w:right w:w="108" w:type="dxa"/>
            </w:tcMar>
            <w:vAlign w:val="bottom"/>
          </w:tcPr>
          <w:p w14:paraId="501DF4E7" w14:textId="2791BE6F" w:rsidR="00D37A89" w:rsidRPr="007E64C0" w:rsidRDefault="00D37A89" w:rsidP="00D37A89">
            <w:pPr>
              <w:rPr>
                <w:sz w:val="18"/>
                <w:szCs w:val="18"/>
              </w:rPr>
            </w:pPr>
            <w:r w:rsidRPr="007E64C0">
              <w:rPr>
                <w:sz w:val="18"/>
                <w:szCs w:val="18"/>
              </w:rPr>
              <w:t xml:space="preserve">The above Statement of Appropriation </w:t>
            </w:r>
            <w:r w:rsidR="00420AE1" w:rsidRPr="007E64C0">
              <w:rPr>
                <w:rFonts w:cs="Calibri"/>
                <w:sz w:val="18"/>
                <w:szCs w:val="18"/>
              </w:rPr>
              <w:t xml:space="preserve">is to </w:t>
            </w:r>
            <w:r w:rsidRPr="007E64C0">
              <w:rPr>
                <w:sz w:val="18"/>
                <w:szCs w:val="18"/>
              </w:rPr>
              <w:t>be read in conjunction with the accompanying notes.</w:t>
            </w:r>
          </w:p>
        </w:tc>
      </w:tr>
      <w:tr w:rsidR="00EB6844" w:rsidRPr="00633A3A" w14:paraId="76DDC3D7"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78"/>
        </w:trPr>
        <w:tc>
          <w:tcPr>
            <w:tcW w:w="1563" w:type="dxa"/>
            <w:tcBorders>
              <w:top w:val="nil"/>
              <w:left w:val="single" w:sz="2" w:space="0" w:color="auto"/>
              <w:bottom w:val="nil"/>
              <w:right w:val="single" w:sz="2" w:space="0" w:color="auto"/>
            </w:tcBorders>
          </w:tcPr>
          <w:p w14:paraId="42B77900" w14:textId="77777777" w:rsidR="00EB6844" w:rsidRPr="007E64C0" w:rsidRDefault="00EB6844" w:rsidP="00633A3A">
            <w:pPr>
              <w:tabs>
                <w:tab w:val="left" w:pos="3306"/>
              </w:tabs>
              <w:rPr>
                <w:rFonts w:cs="Calibri"/>
                <w:color w:val="7030A0"/>
                <w:sz w:val="16"/>
              </w:rPr>
            </w:pPr>
          </w:p>
        </w:tc>
        <w:tc>
          <w:tcPr>
            <w:tcW w:w="8987" w:type="dxa"/>
            <w:gridSpan w:val="6"/>
            <w:tcBorders>
              <w:top w:val="nil"/>
              <w:left w:val="single" w:sz="2" w:space="0" w:color="auto"/>
              <w:bottom w:val="nil"/>
              <w:right w:val="nil"/>
            </w:tcBorders>
          </w:tcPr>
          <w:p w14:paraId="13A9DF07" w14:textId="77777777" w:rsidR="00EB6844" w:rsidRPr="007E64C0" w:rsidRDefault="00EB6844" w:rsidP="00A81061">
            <w:pPr>
              <w:jc w:val="both"/>
              <w:rPr>
                <w:b/>
                <w:sz w:val="16"/>
              </w:rPr>
            </w:pPr>
          </w:p>
        </w:tc>
      </w:tr>
      <w:tr w:rsidR="00EB6844" w:rsidRPr="007E0503" w14:paraId="35F85CCF"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288"/>
        </w:trPr>
        <w:tc>
          <w:tcPr>
            <w:tcW w:w="1563" w:type="dxa"/>
            <w:tcBorders>
              <w:top w:val="nil"/>
              <w:left w:val="single" w:sz="2" w:space="0" w:color="auto"/>
              <w:bottom w:val="nil"/>
              <w:right w:val="single" w:sz="2" w:space="0" w:color="auto"/>
            </w:tcBorders>
          </w:tcPr>
          <w:p w14:paraId="064744CE" w14:textId="77777777" w:rsidR="00EB6844" w:rsidRPr="007E64C0" w:rsidRDefault="00EB6844" w:rsidP="00D37A89">
            <w:pPr>
              <w:tabs>
                <w:tab w:val="left" w:pos="3306"/>
              </w:tabs>
              <w:spacing w:before="40"/>
              <w:rPr>
                <w:rFonts w:cs="Calibri"/>
                <w:color w:val="7030A0"/>
                <w:sz w:val="16"/>
              </w:rPr>
            </w:pPr>
          </w:p>
        </w:tc>
        <w:tc>
          <w:tcPr>
            <w:tcW w:w="8987" w:type="dxa"/>
            <w:gridSpan w:val="6"/>
            <w:tcBorders>
              <w:top w:val="nil"/>
              <w:left w:val="single" w:sz="2" w:space="0" w:color="auto"/>
              <w:bottom w:val="nil"/>
              <w:right w:val="nil"/>
            </w:tcBorders>
            <w:vAlign w:val="bottom"/>
          </w:tcPr>
          <w:p w14:paraId="772733BA" w14:textId="2EB686DA" w:rsidR="00EB6844" w:rsidRPr="007E64C0" w:rsidRDefault="00EB6844" w:rsidP="00A81061">
            <w:pPr>
              <w:spacing w:after="120"/>
              <w:jc w:val="both"/>
              <w:rPr>
                <w:b/>
                <w:sz w:val="18"/>
                <w:szCs w:val="18"/>
              </w:rPr>
            </w:pPr>
            <w:r w:rsidRPr="007E64C0">
              <w:rPr>
                <w:b/>
                <w:bCs/>
                <w:sz w:val="18"/>
                <w:szCs w:val="18"/>
              </w:rPr>
              <w:t xml:space="preserve">Variances between ‘2021-22 </w:t>
            </w:r>
            <w:r w:rsidR="00FA4CC1" w:rsidRPr="007E64C0">
              <w:rPr>
                <w:rFonts w:cs="Calibri"/>
                <w:b/>
                <w:bCs/>
                <w:sz w:val="18"/>
                <w:szCs w:val="18"/>
              </w:rPr>
              <w:t>Controlled Recurrent Payments</w:t>
            </w:r>
            <w:r w:rsidR="00FA4CC1" w:rsidRPr="007E64C0">
              <w:rPr>
                <w:b/>
                <w:bCs/>
                <w:sz w:val="18"/>
                <w:szCs w:val="18"/>
              </w:rPr>
              <w:t xml:space="preserve"> Appropriation Drawn</w:t>
            </w:r>
            <w:r w:rsidRPr="007E64C0">
              <w:rPr>
                <w:b/>
                <w:bCs/>
                <w:sz w:val="18"/>
                <w:szCs w:val="18"/>
              </w:rPr>
              <w:t xml:space="preserve">’ and ‘2020-21 </w:t>
            </w:r>
            <w:r w:rsidR="00FA4CC1" w:rsidRPr="007E64C0">
              <w:rPr>
                <w:rFonts w:cs="Calibri"/>
                <w:b/>
                <w:bCs/>
                <w:sz w:val="18"/>
                <w:szCs w:val="18"/>
              </w:rPr>
              <w:t>Controlled Recurrent Payments</w:t>
            </w:r>
            <w:r w:rsidR="00FA4CC1" w:rsidRPr="007E64C0">
              <w:rPr>
                <w:b/>
                <w:bCs/>
                <w:sz w:val="18"/>
                <w:szCs w:val="18"/>
              </w:rPr>
              <w:t xml:space="preserve"> </w:t>
            </w:r>
            <w:r w:rsidRPr="007E64C0">
              <w:rPr>
                <w:b/>
                <w:bCs/>
                <w:sz w:val="18"/>
                <w:szCs w:val="18"/>
              </w:rPr>
              <w:t>Appropriation Drawn’</w:t>
            </w:r>
          </w:p>
        </w:tc>
      </w:tr>
      <w:tr w:rsidR="002A4BBE" w:rsidRPr="007E0503" w14:paraId="7115D781" w14:textId="77777777" w:rsidTr="004D1EC6">
        <w:tblPrEx>
          <w:tblBorders>
            <w:top w:val="single" w:sz="2" w:space="0" w:color="003366"/>
            <w:left w:val="single" w:sz="2" w:space="0" w:color="003366"/>
            <w:bottom w:val="single" w:sz="2" w:space="0" w:color="003366"/>
            <w:right w:val="single" w:sz="2" w:space="0" w:color="003366"/>
          </w:tblBorders>
        </w:tblPrEx>
        <w:trPr>
          <w:cantSplit/>
          <w:trHeight w:val="284"/>
        </w:trPr>
        <w:tc>
          <w:tcPr>
            <w:tcW w:w="1563" w:type="dxa"/>
            <w:tcBorders>
              <w:top w:val="nil"/>
              <w:left w:val="single" w:sz="2" w:space="0" w:color="auto"/>
              <w:bottom w:val="nil"/>
              <w:right w:val="single" w:sz="2" w:space="0" w:color="auto"/>
            </w:tcBorders>
          </w:tcPr>
          <w:p w14:paraId="348F08EB" w14:textId="77777777" w:rsidR="002A4BBE" w:rsidRPr="007E64C0" w:rsidRDefault="002A4BBE" w:rsidP="00D37A89">
            <w:pPr>
              <w:rPr>
                <w:rFonts w:cs="Calibri"/>
                <w:color w:val="7030A0"/>
                <w:sz w:val="16"/>
              </w:rPr>
            </w:pPr>
          </w:p>
        </w:tc>
        <w:tc>
          <w:tcPr>
            <w:tcW w:w="8987" w:type="dxa"/>
            <w:gridSpan w:val="6"/>
            <w:tcBorders>
              <w:top w:val="nil"/>
              <w:left w:val="single" w:sz="2" w:space="0" w:color="auto"/>
              <w:bottom w:val="nil"/>
              <w:right w:val="nil"/>
            </w:tcBorders>
            <w:vAlign w:val="bottom"/>
          </w:tcPr>
          <w:p w14:paraId="6E55EA99" w14:textId="28F36E79" w:rsidR="002A4BBE" w:rsidRPr="007E64C0" w:rsidRDefault="00EB6844" w:rsidP="00A81061">
            <w:pPr>
              <w:jc w:val="both"/>
              <w:rPr>
                <w:sz w:val="18"/>
                <w:szCs w:val="18"/>
              </w:rPr>
            </w:pPr>
            <w:r w:rsidRPr="007E64C0">
              <w:rPr>
                <w:rFonts w:cs="Calibri"/>
                <w:sz w:val="18"/>
                <w:szCs w:val="18"/>
              </w:rPr>
              <w:t>The increase in CRP was due to the transfer of the Heritage and Environment function from ABC</w:t>
            </w:r>
            <w:r w:rsidR="00FA4CC1" w:rsidRPr="007E64C0">
              <w:rPr>
                <w:rFonts w:cs="Calibri"/>
                <w:sz w:val="18"/>
                <w:szCs w:val="18"/>
              </w:rPr>
              <w:t xml:space="preserve"> Directorate</w:t>
            </w:r>
            <w:r w:rsidRPr="007E64C0">
              <w:rPr>
                <w:rFonts w:cs="Calibri"/>
                <w:sz w:val="18"/>
                <w:szCs w:val="18"/>
              </w:rPr>
              <w:t xml:space="preserve"> to ‘</w:t>
            </w:r>
            <w:r w:rsidR="00CB5FDC" w:rsidRPr="007E64C0">
              <w:rPr>
                <w:rFonts w:cs="Calibri"/>
                <w:sz w:val="18"/>
                <w:szCs w:val="18"/>
              </w:rPr>
              <w:t xml:space="preserve">Burley Griffin </w:t>
            </w:r>
            <w:r w:rsidRPr="007E64C0">
              <w:rPr>
                <w:rFonts w:cs="Calibri"/>
                <w:sz w:val="18"/>
                <w:szCs w:val="18"/>
              </w:rPr>
              <w:t>Agency’.</w:t>
            </w:r>
            <w:r w:rsidR="00FA7C77">
              <w:rPr>
                <w:rFonts w:cs="Calibri"/>
                <w:sz w:val="18"/>
                <w:szCs w:val="18"/>
              </w:rPr>
              <w:t xml:space="preserve"> </w:t>
            </w:r>
            <w:r w:rsidRPr="007E64C0">
              <w:rPr>
                <w:rFonts w:cs="Calibri"/>
                <w:sz w:val="18"/>
                <w:szCs w:val="18"/>
              </w:rPr>
              <w:t xml:space="preserve">Please refer to Note </w:t>
            </w:r>
            <w:r w:rsidR="0093771E" w:rsidRPr="007E64C0">
              <w:rPr>
                <w:rFonts w:cs="Calibri"/>
                <w:sz w:val="18"/>
                <w:szCs w:val="18"/>
              </w:rPr>
              <w:t xml:space="preserve">30 </w:t>
            </w:r>
            <w:r w:rsidRPr="007E64C0">
              <w:rPr>
                <w:rFonts w:cs="Calibri"/>
                <w:i/>
                <w:sz w:val="18"/>
                <w:szCs w:val="18"/>
              </w:rPr>
              <w:t>Restructure of Administrative Arrangements</w:t>
            </w:r>
            <w:r w:rsidRPr="007E64C0">
              <w:rPr>
                <w:rFonts w:cs="Calibri"/>
                <w:sz w:val="18"/>
                <w:szCs w:val="18"/>
              </w:rPr>
              <w:t xml:space="preserve"> for further details.</w:t>
            </w:r>
          </w:p>
        </w:tc>
      </w:tr>
    </w:tbl>
    <w:p w14:paraId="24D465BA" w14:textId="77777777" w:rsidR="00F2614A" w:rsidRDefault="00F2614A">
      <w:r>
        <w:br w:type="page"/>
      </w:r>
    </w:p>
    <w:p w14:paraId="358908F1" w14:textId="01A1EC07" w:rsidR="00F2614A" w:rsidRPr="003E6941" w:rsidRDefault="00F2614A" w:rsidP="00F2614A">
      <w:pPr>
        <w:spacing w:line="400" w:lineRule="exact"/>
        <w:jc w:val="center"/>
        <w:rPr>
          <w:b/>
          <w:sz w:val="40"/>
          <w:szCs w:val="40"/>
        </w:rPr>
      </w:pPr>
      <w:r w:rsidRPr="003E6941">
        <w:rPr>
          <w:b/>
          <w:sz w:val="40"/>
          <w:szCs w:val="40"/>
        </w:rPr>
        <w:t>‘</w:t>
      </w:r>
      <w:r w:rsidRPr="003E6941">
        <w:rPr>
          <w:rFonts w:asciiTheme="minorHAnsi" w:hAnsiTheme="minorHAnsi" w:cstheme="minorHAnsi"/>
          <w:b/>
          <w:bCs/>
          <w:sz w:val="40"/>
          <w:szCs w:val="24"/>
        </w:rPr>
        <w:t xml:space="preserve">Burley Griffin </w:t>
      </w:r>
      <w:r w:rsidRPr="003E6941">
        <w:rPr>
          <w:b/>
          <w:sz w:val="40"/>
          <w:szCs w:val="40"/>
        </w:rPr>
        <w:t>Agency’</w:t>
      </w:r>
    </w:p>
    <w:p w14:paraId="6528D7E5" w14:textId="3D2F754B" w:rsidR="00F2614A" w:rsidRPr="003E6941" w:rsidRDefault="00F2614A" w:rsidP="00F2614A">
      <w:pPr>
        <w:spacing w:line="400" w:lineRule="exact"/>
        <w:jc w:val="center"/>
        <w:outlineLvl w:val="0"/>
        <w:rPr>
          <w:rFonts w:asciiTheme="minorHAnsi" w:hAnsiTheme="minorHAnsi" w:cstheme="minorHAnsi"/>
          <w:b/>
          <w:sz w:val="40"/>
          <w:szCs w:val="24"/>
        </w:rPr>
      </w:pPr>
      <w:bookmarkStart w:id="234" w:name="_Toc98763030"/>
      <w:r w:rsidRPr="003E6941">
        <w:rPr>
          <w:rFonts w:asciiTheme="minorHAnsi" w:hAnsiTheme="minorHAnsi" w:cstheme="minorHAnsi"/>
          <w:b/>
          <w:sz w:val="40"/>
          <w:szCs w:val="24"/>
        </w:rPr>
        <w:t xml:space="preserve">Statement of Appropriation </w:t>
      </w:r>
      <w:r w:rsidR="007B316A">
        <w:rPr>
          <w:rFonts w:asciiTheme="minorHAnsi" w:hAnsiTheme="minorHAnsi" w:cstheme="minorHAnsi"/>
          <w:b/>
          <w:sz w:val="40"/>
          <w:szCs w:val="24"/>
        </w:rPr>
        <w:t>–</w:t>
      </w:r>
      <w:r w:rsidRPr="003E6941">
        <w:rPr>
          <w:rFonts w:asciiTheme="minorHAnsi" w:hAnsiTheme="minorHAnsi" w:cstheme="minorHAnsi"/>
          <w:b/>
          <w:sz w:val="40"/>
          <w:szCs w:val="24"/>
        </w:rPr>
        <w:t xml:space="preserve"> Continued</w:t>
      </w:r>
      <w:bookmarkEnd w:id="234"/>
      <w:r w:rsidR="007B316A">
        <w:rPr>
          <w:rFonts w:asciiTheme="minorHAnsi" w:hAnsiTheme="minorHAnsi" w:cstheme="minorHAnsi"/>
          <w:b/>
          <w:sz w:val="40"/>
          <w:szCs w:val="24"/>
        </w:rPr>
        <w:t xml:space="preserve"> </w:t>
      </w:r>
    </w:p>
    <w:p w14:paraId="6AEF5DEE" w14:textId="5C12697C" w:rsidR="00F2614A" w:rsidRPr="003E6941" w:rsidRDefault="00F2614A" w:rsidP="00F2614A">
      <w:pPr>
        <w:spacing w:after="240" w:line="400" w:lineRule="exact"/>
        <w:jc w:val="center"/>
        <w:rPr>
          <w:b/>
          <w:snapToGrid w:val="0"/>
          <w:sz w:val="40"/>
          <w:szCs w:val="40"/>
        </w:rPr>
      </w:pPr>
      <w:r w:rsidRPr="003E6941">
        <w:rPr>
          <w:b/>
          <w:sz w:val="40"/>
          <w:szCs w:val="40"/>
        </w:rPr>
        <w:t>For the Year</w:t>
      </w:r>
      <w:r w:rsidRPr="003E6941">
        <w:rPr>
          <w:b/>
          <w:snapToGrid w:val="0"/>
          <w:sz w:val="40"/>
          <w:szCs w:val="40"/>
        </w:rPr>
        <w:t xml:space="preserve"> Ended 30 June </w:t>
      </w:r>
      <w:r w:rsidRPr="003E6941">
        <w:rPr>
          <w:b/>
          <w:sz w:val="40"/>
          <w:szCs w:val="40"/>
        </w:rPr>
        <w:t>2022</w:t>
      </w:r>
      <w:r w:rsidRPr="003E6941">
        <w:rPr>
          <w:b/>
          <w:snapToGrid w:val="0"/>
          <w:sz w:val="40"/>
          <w:szCs w:val="40"/>
        </w:rPr>
        <w:t xml:space="preserve"> </w:t>
      </w:r>
    </w:p>
    <w:tbl>
      <w:tblPr>
        <w:tblW w:w="5003" w:type="pct"/>
        <w:tblInd w:w="-6" w:type="dxa"/>
        <w:tblBorders>
          <w:top w:val="single" w:sz="2" w:space="0" w:color="003366"/>
          <w:left w:val="single" w:sz="2" w:space="0" w:color="003366"/>
          <w:bottom w:val="single" w:sz="2" w:space="0" w:color="003366"/>
          <w:right w:val="single" w:sz="2" w:space="0" w:color="003366"/>
        </w:tblBorders>
        <w:tblLayout w:type="fixed"/>
        <w:tblLook w:val="00A0" w:firstRow="1" w:lastRow="0" w:firstColumn="1" w:lastColumn="0" w:noHBand="0" w:noVBand="0"/>
      </w:tblPr>
      <w:tblGrid>
        <w:gridCol w:w="1563"/>
        <w:gridCol w:w="5244"/>
        <w:gridCol w:w="1985"/>
        <w:gridCol w:w="1758"/>
      </w:tblGrid>
      <w:tr w:rsidR="00784D00" w:rsidRPr="007E0503" w14:paraId="54AB2D95" w14:textId="77777777" w:rsidTr="004D1EC6">
        <w:trPr>
          <w:cantSplit/>
          <w:trHeight w:val="284"/>
        </w:trPr>
        <w:tc>
          <w:tcPr>
            <w:tcW w:w="1563" w:type="dxa"/>
            <w:tcBorders>
              <w:top w:val="nil"/>
              <w:left w:val="single" w:sz="2" w:space="0" w:color="auto"/>
              <w:bottom w:val="nil"/>
              <w:right w:val="single" w:sz="2" w:space="0" w:color="auto"/>
            </w:tcBorders>
          </w:tcPr>
          <w:p w14:paraId="5D084EA1" w14:textId="4B99DDAA" w:rsidR="00784D00" w:rsidRPr="007E64C0" w:rsidRDefault="00784D00" w:rsidP="00784D00">
            <w:pPr>
              <w:rPr>
                <w:rFonts w:cs="Calibri"/>
                <w:color w:val="7030A0"/>
                <w:szCs w:val="22"/>
              </w:rPr>
            </w:pPr>
            <w:r w:rsidRPr="007E64C0">
              <w:rPr>
                <w:rFonts w:cs="Calibri"/>
                <w:b/>
                <w:color w:val="7030A0"/>
                <w:szCs w:val="22"/>
              </w:rPr>
              <w:t>Reference</w:t>
            </w:r>
          </w:p>
        </w:tc>
        <w:tc>
          <w:tcPr>
            <w:tcW w:w="8987" w:type="dxa"/>
            <w:gridSpan w:val="3"/>
            <w:tcBorders>
              <w:top w:val="nil"/>
              <w:left w:val="single" w:sz="2" w:space="0" w:color="auto"/>
              <w:bottom w:val="nil"/>
              <w:right w:val="nil"/>
            </w:tcBorders>
            <w:vAlign w:val="bottom"/>
          </w:tcPr>
          <w:p w14:paraId="1055097E" w14:textId="77777777" w:rsidR="00784D00" w:rsidRDefault="00784D00" w:rsidP="00784D00">
            <w:pPr>
              <w:rPr>
                <w:b/>
                <w:bCs/>
                <w:sz w:val="18"/>
                <w:szCs w:val="18"/>
              </w:rPr>
            </w:pPr>
            <w:r w:rsidRPr="007E64C0">
              <w:rPr>
                <w:b/>
                <w:bCs/>
                <w:sz w:val="18"/>
                <w:szCs w:val="18"/>
              </w:rPr>
              <w:t>Variances between ‘Original Budget’, ‘Total Appropriated’ and ‘Appropriation Drawn ‘</w:t>
            </w:r>
          </w:p>
          <w:p w14:paraId="22BD5679" w14:textId="7BB2AAF2" w:rsidR="00552ECB" w:rsidRPr="007E64C0" w:rsidRDefault="00552ECB" w:rsidP="00784D00">
            <w:pPr>
              <w:rPr>
                <w:b/>
                <w:bCs/>
                <w:sz w:val="18"/>
                <w:szCs w:val="18"/>
              </w:rPr>
            </w:pPr>
          </w:p>
        </w:tc>
      </w:tr>
      <w:tr w:rsidR="00784D00" w:rsidRPr="007E0503" w14:paraId="290D1578" w14:textId="77777777" w:rsidTr="004D1EC6">
        <w:trPr>
          <w:cantSplit/>
          <w:trHeight w:val="284"/>
        </w:trPr>
        <w:tc>
          <w:tcPr>
            <w:tcW w:w="1563" w:type="dxa"/>
            <w:tcBorders>
              <w:top w:val="nil"/>
              <w:left w:val="single" w:sz="2" w:space="0" w:color="auto"/>
              <w:bottom w:val="nil"/>
              <w:right w:val="single" w:sz="2" w:space="0" w:color="auto"/>
            </w:tcBorders>
          </w:tcPr>
          <w:p w14:paraId="55BFA381"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3D97D3B" w14:textId="77777777" w:rsidR="00784D00" w:rsidRPr="007E64C0" w:rsidRDefault="00784D00" w:rsidP="00784D00">
            <w:pPr>
              <w:rPr>
                <w:sz w:val="18"/>
                <w:szCs w:val="18"/>
              </w:rPr>
            </w:pPr>
          </w:p>
        </w:tc>
        <w:tc>
          <w:tcPr>
            <w:tcW w:w="1985" w:type="dxa"/>
            <w:tcBorders>
              <w:top w:val="nil"/>
              <w:left w:val="nil"/>
              <w:bottom w:val="nil"/>
              <w:right w:val="nil"/>
            </w:tcBorders>
            <w:vAlign w:val="bottom"/>
          </w:tcPr>
          <w:p w14:paraId="19A5F410" w14:textId="59F168D6" w:rsidR="00784D00" w:rsidRPr="007E64C0" w:rsidRDefault="00784D00" w:rsidP="00784D00">
            <w:pPr>
              <w:jc w:val="center"/>
              <w:rPr>
                <w:b/>
                <w:bCs/>
                <w:sz w:val="18"/>
                <w:szCs w:val="18"/>
                <w:lang w:eastAsia="en-AU"/>
              </w:rPr>
            </w:pPr>
            <w:r w:rsidRPr="007E64C0">
              <w:rPr>
                <w:b/>
                <w:bCs/>
                <w:sz w:val="18"/>
                <w:szCs w:val="18"/>
                <w:lang w:eastAsia="en-AU"/>
              </w:rPr>
              <w:t>Controlled Recurrent Payments (CRP)</w:t>
            </w:r>
          </w:p>
        </w:tc>
        <w:tc>
          <w:tcPr>
            <w:tcW w:w="1758" w:type="dxa"/>
            <w:tcBorders>
              <w:top w:val="nil"/>
              <w:left w:val="nil"/>
              <w:bottom w:val="nil"/>
              <w:right w:val="nil"/>
            </w:tcBorders>
            <w:vAlign w:val="bottom"/>
          </w:tcPr>
          <w:p w14:paraId="33F06986" w14:textId="40FD2074" w:rsidR="00784D00" w:rsidRPr="007E64C0" w:rsidRDefault="00784D00" w:rsidP="00784D00">
            <w:pPr>
              <w:jc w:val="center"/>
              <w:rPr>
                <w:b/>
                <w:bCs/>
                <w:sz w:val="18"/>
                <w:szCs w:val="18"/>
                <w:lang w:eastAsia="en-AU"/>
              </w:rPr>
            </w:pPr>
            <w:r w:rsidRPr="007E64C0">
              <w:rPr>
                <w:b/>
                <w:bCs/>
                <w:sz w:val="18"/>
                <w:szCs w:val="18"/>
                <w:lang w:eastAsia="en-AU"/>
              </w:rPr>
              <w:t>Capital Injections</w:t>
            </w:r>
            <w:r w:rsidR="00FA7C77">
              <w:rPr>
                <w:b/>
                <w:bCs/>
                <w:sz w:val="18"/>
                <w:szCs w:val="18"/>
                <w:lang w:eastAsia="en-AU"/>
              </w:rPr>
              <w:t xml:space="preserve">      </w:t>
            </w:r>
            <w:r w:rsidRPr="007E64C0">
              <w:rPr>
                <w:b/>
                <w:bCs/>
                <w:sz w:val="18"/>
                <w:szCs w:val="18"/>
                <w:lang w:eastAsia="en-AU"/>
              </w:rPr>
              <w:t xml:space="preserve"> (CI)</w:t>
            </w:r>
          </w:p>
        </w:tc>
      </w:tr>
      <w:tr w:rsidR="00784D00" w:rsidRPr="007E0503" w14:paraId="6189C9F4" w14:textId="77777777" w:rsidTr="004D1EC6">
        <w:trPr>
          <w:cantSplit/>
          <w:trHeight w:val="284"/>
        </w:trPr>
        <w:tc>
          <w:tcPr>
            <w:tcW w:w="1563" w:type="dxa"/>
            <w:tcBorders>
              <w:top w:val="nil"/>
              <w:left w:val="single" w:sz="2" w:space="0" w:color="auto"/>
              <w:bottom w:val="nil"/>
              <w:right w:val="single" w:sz="2" w:space="0" w:color="auto"/>
            </w:tcBorders>
          </w:tcPr>
          <w:p w14:paraId="1B0279A2"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49010D86" w14:textId="29A386C3" w:rsidR="00784D00" w:rsidRPr="007E64C0" w:rsidRDefault="00784D00" w:rsidP="00784D00">
            <w:pPr>
              <w:rPr>
                <w:sz w:val="18"/>
                <w:szCs w:val="18"/>
              </w:rPr>
            </w:pPr>
            <w:r w:rsidRPr="007E64C0">
              <w:rPr>
                <w:b/>
                <w:bCs/>
                <w:sz w:val="18"/>
                <w:szCs w:val="18"/>
                <w:lang w:eastAsia="en-AU"/>
              </w:rPr>
              <w:t>Reconciliation of Appropriation for 2021-22</w:t>
            </w:r>
          </w:p>
        </w:tc>
        <w:tc>
          <w:tcPr>
            <w:tcW w:w="1985" w:type="dxa"/>
            <w:tcBorders>
              <w:top w:val="nil"/>
              <w:left w:val="nil"/>
              <w:bottom w:val="nil"/>
              <w:right w:val="nil"/>
            </w:tcBorders>
            <w:vAlign w:val="bottom"/>
          </w:tcPr>
          <w:p w14:paraId="4870A712" w14:textId="38E4E39F" w:rsidR="00784D00" w:rsidRPr="007E64C0" w:rsidRDefault="00784D00" w:rsidP="00784D00">
            <w:pPr>
              <w:jc w:val="center"/>
              <w:rPr>
                <w:sz w:val="18"/>
                <w:szCs w:val="18"/>
              </w:rPr>
            </w:pPr>
            <w:r w:rsidRPr="007E64C0">
              <w:rPr>
                <w:b/>
                <w:bCs/>
                <w:sz w:val="18"/>
                <w:szCs w:val="18"/>
                <w:lang w:eastAsia="en-AU"/>
              </w:rPr>
              <w:t>$’000</w:t>
            </w:r>
          </w:p>
        </w:tc>
        <w:tc>
          <w:tcPr>
            <w:tcW w:w="1758" w:type="dxa"/>
            <w:tcBorders>
              <w:top w:val="nil"/>
              <w:left w:val="nil"/>
              <w:bottom w:val="nil"/>
              <w:right w:val="nil"/>
            </w:tcBorders>
            <w:vAlign w:val="bottom"/>
          </w:tcPr>
          <w:p w14:paraId="24C62BC4" w14:textId="09054191" w:rsidR="00784D00" w:rsidRPr="007E64C0" w:rsidRDefault="00784D00" w:rsidP="00784D00">
            <w:pPr>
              <w:jc w:val="center"/>
              <w:rPr>
                <w:sz w:val="18"/>
                <w:szCs w:val="18"/>
              </w:rPr>
            </w:pPr>
            <w:r w:rsidRPr="007E64C0">
              <w:rPr>
                <w:b/>
                <w:bCs/>
                <w:sz w:val="18"/>
                <w:szCs w:val="18"/>
                <w:lang w:eastAsia="en-AU"/>
              </w:rPr>
              <w:t>$’000</w:t>
            </w:r>
          </w:p>
        </w:tc>
      </w:tr>
      <w:tr w:rsidR="00784D00" w:rsidRPr="007E0503" w14:paraId="4DD9F02A" w14:textId="77777777" w:rsidTr="004D1EC6">
        <w:trPr>
          <w:cantSplit/>
          <w:trHeight w:val="284"/>
        </w:trPr>
        <w:tc>
          <w:tcPr>
            <w:tcW w:w="1563" w:type="dxa"/>
            <w:tcBorders>
              <w:top w:val="nil"/>
              <w:left w:val="single" w:sz="2" w:space="0" w:color="auto"/>
              <w:bottom w:val="nil"/>
              <w:right w:val="single" w:sz="2" w:space="0" w:color="auto"/>
            </w:tcBorders>
          </w:tcPr>
          <w:p w14:paraId="0E190AFA"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1C6DAC1" w14:textId="7510EFC6" w:rsidR="00784D00" w:rsidRPr="007E64C0" w:rsidRDefault="00784D00" w:rsidP="00784D00">
            <w:pPr>
              <w:rPr>
                <w:sz w:val="18"/>
                <w:szCs w:val="18"/>
              </w:rPr>
            </w:pPr>
            <w:r w:rsidRPr="007E64C0">
              <w:rPr>
                <w:sz w:val="18"/>
                <w:szCs w:val="18"/>
                <w:lang w:eastAsia="en-AU"/>
              </w:rPr>
              <w:t>Original Appropriation</w:t>
            </w:r>
          </w:p>
        </w:tc>
        <w:tc>
          <w:tcPr>
            <w:tcW w:w="1985" w:type="dxa"/>
            <w:tcBorders>
              <w:top w:val="nil"/>
              <w:left w:val="nil"/>
              <w:bottom w:val="nil"/>
              <w:right w:val="nil"/>
            </w:tcBorders>
            <w:vAlign w:val="bottom"/>
          </w:tcPr>
          <w:p w14:paraId="74C3185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7B88E584" w14:textId="77777777" w:rsidR="00784D00" w:rsidRPr="007E64C0" w:rsidRDefault="00784D00" w:rsidP="00784D00">
            <w:pPr>
              <w:rPr>
                <w:sz w:val="18"/>
                <w:szCs w:val="18"/>
              </w:rPr>
            </w:pPr>
          </w:p>
        </w:tc>
      </w:tr>
      <w:tr w:rsidR="00784D00" w:rsidRPr="007E0503" w14:paraId="41EB1684" w14:textId="77777777" w:rsidTr="004D1EC6">
        <w:trPr>
          <w:cantSplit/>
          <w:trHeight w:val="284"/>
        </w:trPr>
        <w:tc>
          <w:tcPr>
            <w:tcW w:w="1563" w:type="dxa"/>
            <w:tcBorders>
              <w:top w:val="nil"/>
              <w:left w:val="single" w:sz="2" w:space="0" w:color="auto"/>
              <w:bottom w:val="nil"/>
              <w:right w:val="single" w:sz="2" w:space="0" w:color="auto"/>
            </w:tcBorders>
          </w:tcPr>
          <w:p w14:paraId="1D774B3C"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048DF9B8" w14:textId="460179D0" w:rsidR="00784D00" w:rsidRPr="007E64C0" w:rsidRDefault="00784D00" w:rsidP="00784D00">
            <w:pPr>
              <w:rPr>
                <w:sz w:val="18"/>
                <w:szCs w:val="18"/>
              </w:rPr>
            </w:pPr>
            <w:r w:rsidRPr="007E64C0">
              <w:rPr>
                <w:sz w:val="18"/>
                <w:szCs w:val="18"/>
                <w:lang w:eastAsia="en-AU"/>
              </w:rPr>
              <w:t>Supplementary Appropriation (</w:t>
            </w:r>
            <w:r w:rsidR="0081476E" w:rsidRPr="007E64C0">
              <w:rPr>
                <w:rFonts w:cs="Calibri"/>
                <w:sz w:val="18"/>
                <w:szCs w:val="18"/>
              </w:rPr>
              <w:t>Financial Management Act</w:t>
            </w:r>
            <w:r w:rsidR="0081476E" w:rsidRPr="007E64C0">
              <w:rPr>
                <w:rFonts w:cs="Calibri"/>
                <w:i/>
                <w:iCs/>
                <w:sz w:val="18"/>
                <w:szCs w:val="18"/>
              </w:rPr>
              <w:t xml:space="preserve"> </w:t>
            </w:r>
            <w:r w:rsidR="0081476E" w:rsidRPr="007E64C0">
              <w:rPr>
                <w:sz w:val="18"/>
                <w:szCs w:val="18"/>
                <w:lang w:eastAsia="en-AU"/>
              </w:rPr>
              <w:t>(</w:t>
            </w:r>
            <w:r w:rsidRPr="007E64C0">
              <w:rPr>
                <w:sz w:val="18"/>
                <w:szCs w:val="18"/>
                <w:lang w:eastAsia="en-AU"/>
              </w:rPr>
              <w:t>FMA</w:t>
            </w:r>
            <w:r w:rsidR="0081476E" w:rsidRPr="007E64C0">
              <w:rPr>
                <w:sz w:val="18"/>
                <w:szCs w:val="18"/>
                <w:lang w:eastAsia="en-AU"/>
              </w:rPr>
              <w:t>)</w:t>
            </w:r>
            <w:r w:rsidRPr="007E64C0">
              <w:rPr>
                <w:sz w:val="18"/>
                <w:szCs w:val="18"/>
                <w:lang w:eastAsia="en-AU"/>
              </w:rPr>
              <w:t xml:space="preserve"> s.13)</w:t>
            </w:r>
          </w:p>
        </w:tc>
        <w:tc>
          <w:tcPr>
            <w:tcW w:w="1985" w:type="dxa"/>
            <w:tcBorders>
              <w:top w:val="nil"/>
              <w:left w:val="nil"/>
              <w:bottom w:val="nil"/>
              <w:right w:val="nil"/>
            </w:tcBorders>
            <w:vAlign w:val="bottom"/>
          </w:tcPr>
          <w:p w14:paraId="55B1AECE"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1C8C0010" w14:textId="77777777" w:rsidR="00784D00" w:rsidRPr="007E64C0" w:rsidRDefault="00784D00" w:rsidP="00784D00">
            <w:pPr>
              <w:rPr>
                <w:sz w:val="18"/>
                <w:szCs w:val="18"/>
              </w:rPr>
            </w:pPr>
          </w:p>
        </w:tc>
      </w:tr>
      <w:tr w:rsidR="00784D00" w:rsidRPr="007E0503" w14:paraId="3A2DF42D" w14:textId="77777777" w:rsidTr="004D1EC6">
        <w:trPr>
          <w:cantSplit/>
          <w:trHeight w:val="284"/>
        </w:trPr>
        <w:tc>
          <w:tcPr>
            <w:tcW w:w="1563" w:type="dxa"/>
            <w:tcBorders>
              <w:top w:val="nil"/>
              <w:left w:val="single" w:sz="2" w:space="0" w:color="auto"/>
              <w:bottom w:val="nil"/>
              <w:right w:val="single" w:sz="2" w:space="0" w:color="auto"/>
            </w:tcBorders>
          </w:tcPr>
          <w:p w14:paraId="5044D4B3"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BA0AC84" w14:textId="568F935F" w:rsidR="00784D00" w:rsidRPr="007E64C0" w:rsidRDefault="00784D00" w:rsidP="00784D00">
            <w:pPr>
              <w:rPr>
                <w:sz w:val="18"/>
                <w:szCs w:val="18"/>
              </w:rPr>
            </w:pPr>
            <w:r w:rsidRPr="007E64C0">
              <w:rPr>
                <w:sz w:val="18"/>
                <w:szCs w:val="18"/>
                <w:lang w:eastAsia="en-AU"/>
              </w:rPr>
              <w:t xml:space="preserve">Transfer of Appropriation from CRP to </w:t>
            </w:r>
            <w:r w:rsidR="00A2734A" w:rsidRPr="007E64C0">
              <w:rPr>
                <w:sz w:val="18"/>
                <w:szCs w:val="18"/>
                <w:lang w:eastAsia="en-AU"/>
              </w:rPr>
              <w:t>Expenses on Behalf of the Territory (E</w:t>
            </w:r>
            <w:r w:rsidRPr="007E64C0">
              <w:rPr>
                <w:sz w:val="18"/>
                <w:szCs w:val="18"/>
                <w:lang w:eastAsia="en-AU"/>
              </w:rPr>
              <w:t>BT</w:t>
            </w:r>
            <w:r w:rsidR="00A2734A" w:rsidRPr="007E64C0">
              <w:rPr>
                <w:sz w:val="18"/>
                <w:szCs w:val="18"/>
                <w:lang w:eastAsia="en-AU"/>
              </w:rPr>
              <w:t>)</w:t>
            </w:r>
            <w:r w:rsidRPr="007E64C0">
              <w:rPr>
                <w:sz w:val="18"/>
                <w:szCs w:val="18"/>
                <w:lang w:eastAsia="en-AU"/>
              </w:rPr>
              <w:t xml:space="preserve"> (FMA s.14)</w:t>
            </w:r>
          </w:p>
        </w:tc>
        <w:tc>
          <w:tcPr>
            <w:tcW w:w="1985" w:type="dxa"/>
            <w:tcBorders>
              <w:top w:val="nil"/>
              <w:left w:val="nil"/>
              <w:bottom w:val="nil"/>
              <w:right w:val="nil"/>
            </w:tcBorders>
            <w:vAlign w:val="bottom"/>
          </w:tcPr>
          <w:p w14:paraId="5E074DD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9415385" w14:textId="77777777" w:rsidR="00784D00" w:rsidRPr="007E64C0" w:rsidRDefault="00784D00" w:rsidP="00784D00">
            <w:pPr>
              <w:rPr>
                <w:sz w:val="18"/>
                <w:szCs w:val="18"/>
              </w:rPr>
            </w:pPr>
          </w:p>
        </w:tc>
      </w:tr>
      <w:tr w:rsidR="00784D00" w:rsidRPr="007E0503" w14:paraId="4DD6B375" w14:textId="77777777" w:rsidTr="004D1EC6">
        <w:trPr>
          <w:cantSplit/>
          <w:trHeight w:val="284"/>
        </w:trPr>
        <w:tc>
          <w:tcPr>
            <w:tcW w:w="1563" w:type="dxa"/>
            <w:tcBorders>
              <w:top w:val="nil"/>
              <w:left w:val="single" w:sz="2" w:space="0" w:color="auto"/>
              <w:bottom w:val="nil"/>
              <w:right w:val="single" w:sz="2" w:space="0" w:color="auto"/>
            </w:tcBorders>
          </w:tcPr>
          <w:p w14:paraId="438F70E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0EB4BB8" w14:textId="3137285E" w:rsidR="00784D00" w:rsidRPr="007E64C0" w:rsidRDefault="00784D00" w:rsidP="00784D00">
            <w:pPr>
              <w:rPr>
                <w:sz w:val="18"/>
                <w:szCs w:val="18"/>
              </w:rPr>
            </w:pPr>
            <w:r w:rsidRPr="007E64C0">
              <w:rPr>
                <w:sz w:val="18"/>
                <w:szCs w:val="18"/>
                <w:lang w:eastAsia="en-AU"/>
              </w:rPr>
              <w:t>Transfer of Appropriation from CI to CRP (FMA s.14A)</w:t>
            </w:r>
          </w:p>
        </w:tc>
        <w:tc>
          <w:tcPr>
            <w:tcW w:w="1985" w:type="dxa"/>
            <w:tcBorders>
              <w:top w:val="nil"/>
              <w:left w:val="nil"/>
              <w:bottom w:val="nil"/>
              <w:right w:val="nil"/>
            </w:tcBorders>
            <w:vAlign w:val="bottom"/>
          </w:tcPr>
          <w:p w14:paraId="0DC4D113"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29589DD" w14:textId="77777777" w:rsidR="00784D00" w:rsidRPr="007E64C0" w:rsidRDefault="00784D00" w:rsidP="00784D00">
            <w:pPr>
              <w:rPr>
                <w:sz w:val="18"/>
                <w:szCs w:val="18"/>
              </w:rPr>
            </w:pPr>
          </w:p>
        </w:tc>
      </w:tr>
      <w:tr w:rsidR="00784D00" w:rsidRPr="007E0503" w14:paraId="09D1C989" w14:textId="77777777" w:rsidTr="004D1EC6">
        <w:trPr>
          <w:cantSplit/>
          <w:trHeight w:val="284"/>
        </w:trPr>
        <w:tc>
          <w:tcPr>
            <w:tcW w:w="1563" w:type="dxa"/>
            <w:tcBorders>
              <w:top w:val="nil"/>
              <w:left w:val="single" w:sz="2" w:space="0" w:color="auto"/>
              <w:bottom w:val="nil"/>
              <w:right w:val="single" w:sz="2" w:space="0" w:color="auto"/>
            </w:tcBorders>
          </w:tcPr>
          <w:p w14:paraId="5B46B524"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42A01400" w14:textId="3B5F17BB" w:rsidR="00784D00" w:rsidRPr="007E64C0" w:rsidRDefault="00784D00" w:rsidP="00784D00">
            <w:pPr>
              <w:rPr>
                <w:sz w:val="18"/>
                <w:szCs w:val="18"/>
              </w:rPr>
            </w:pPr>
            <w:r w:rsidRPr="007E64C0">
              <w:rPr>
                <w:sz w:val="18"/>
                <w:szCs w:val="18"/>
                <w:lang w:eastAsia="en-AU"/>
              </w:rPr>
              <w:t>Transfer of Appropriation from EBT to CRP (FMA s.15A)</w:t>
            </w:r>
          </w:p>
        </w:tc>
        <w:tc>
          <w:tcPr>
            <w:tcW w:w="1985" w:type="dxa"/>
            <w:tcBorders>
              <w:top w:val="nil"/>
              <w:left w:val="nil"/>
              <w:bottom w:val="nil"/>
              <w:right w:val="nil"/>
            </w:tcBorders>
            <w:vAlign w:val="bottom"/>
          </w:tcPr>
          <w:p w14:paraId="122C0963"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3E70D615" w14:textId="77777777" w:rsidR="00784D00" w:rsidRPr="007E64C0" w:rsidRDefault="00784D00" w:rsidP="00784D00">
            <w:pPr>
              <w:rPr>
                <w:sz w:val="18"/>
                <w:szCs w:val="18"/>
              </w:rPr>
            </w:pPr>
          </w:p>
        </w:tc>
      </w:tr>
      <w:tr w:rsidR="00784D00" w:rsidRPr="007E0503" w14:paraId="5885C29C" w14:textId="77777777" w:rsidTr="004D1EC6">
        <w:trPr>
          <w:cantSplit/>
          <w:trHeight w:val="284"/>
        </w:trPr>
        <w:tc>
          <w:tcPr>
            <w:tcW w:w="1563" w:type="dxa"/>
            <w:tcBorders>
              <w:top w:val="nil"/>
              <w:left w:val="single" w:sz="2" w:space="0" w:color="auto"/>
              <w:bottom w:val="nil"/>
              <w:right w:val="single" w:sz="2" w:space="0" w:color="auto"/>
            </w:tcBorders>
          </w:tcPr>
          <w:p w14:paraId="778740B3"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AC9FFAD" w14:textId="621AC6B6" w:rsidR="00784D00" w:rsidRPr="007E64C0" w:rsidRDefault="00784D00" w:rsidP="00784D00">
            <w:pPr>
              <w:rPr>
                <w:sz w:val="18"/>
                <w:szCs w:val="18"/>
              </w:rPr>
            </w:pPr>
            <w:r w:rsidRPr="007E64C0">
              <w:rPr>
                <w:sz w:val="18"/>
                <w:szCs w:val="18"/>
                <w:lang w:eastAsia="en-AU"/>
              </w:rPr>
              <w:t xml:space="preserve">Administrative Arrangements Transfer (FMA s.16) </w:t>
            </w:r>
            <w:r w:rsidRPr="007E64C0">
              <w:rPr>
                <w:sz w:val="18"/>
                <w:szCs w:val="18"/>
                <w:vertAlign w:val="superscript"/>
                <w:lang w:eastAsia="en-AU"/>
              </w:rPr>
              <w:footnoteReference w:id="2"/>
            </w:r>
          </w:p>
        </w:tc>
        <w:tc>
          <w:tcPr>
            <w:tcW w:w="1985" w:type="dxa"/>
            <w:tcBorders>
              <w:top w:val="nil"/>
              <w:left w:val="nil"/>
              <w:bottom w:val="nil"/>
              <w:right w:val="nil"/>
            </w:tcBorders>
            <w:vAlign w:val="bottom"/>
          </w:tcPr>
          <w:p w14:paraId="52625202"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20F0FF7B" w14:textId="77777777" w:rsidR="00784D00" w:rsidRPr="007E64C0" w:rsidRDefault="00784D00" w:rsidP="00784D00">
            <w:pPr>
              <w:rPr>
                <w:sz w:val="18"/>
                <w:szCs w:val="18"/>
              </w:rPr>
            </w:pPr>
          </w:p>
        </w:tc>
      </w:tr>
      <w:tr w:rsidR="00784D00" w:rsidRPr="007E0503" w14:paraId="17340393" w14:textId="77777777" w:rsidTr="004D1EC6">
        <w:trPr>
          <w:cantSplit/>
          <w:trHeight w:val="284"/>
        </w:trPr>
        <w:tc>
          <w:tcPr>
            <w:tcW w:w="1563" w:type="dxa"/>
            <w:tcBorders>
              <w:top w:val="nil"/>
              <w:left w:val="single" w:sz="2" w:space="0" w:color="auto"/>
              <w:bottom w:val="nil"/>
              <w:right w:val="single" w:sz="2" w:space="0" w:color="auto"/>
            </w:tcBorders>
          </w:tcPr>
          <w:p w14:paraId="18A567A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C865CAB" w14:textId="204CF1FD" w:rsidR="00784D00" w:rsidRPr="007E64C0" w:rsidRDefault="00784D00" w:rsidP="00784D00">
            <w:pPr>
              <w:rPr>
                <w:sz w:val="18"/>
                <w:szCs w:val="18"/>
              </w:rPr>
            </w:pPr>
            <w:r w:rsidRPr="007E64C0">
              <w:rPr>
                <w:sz w:val="18"/>
                <w:szCs w:val="18"/>
                <w:lang w:eastAsia="en-AU"/>
              </w:rPr>
              <w:t>Appropriation for accrued employee entitlements (FMA s.16A)</w:t>
            </w:r>
          </w:p>
        </w:tc>
        <w:tc>
          <w:tcPr>
            <w:tcW w:w="1985" w:type="dxa"/>
            <w:tcBorders>
              <w:top w:val="nil"/>
              <w:left w:val="nil"/>
              <w:bottom w:val="nil"/>
              <w:right w:val="nil"/>
            </w:tcBorders>
            <w:vAlign w:val="bottom"/>
          </w:tcPr>
          <w:p w14:paraId="699DCE48"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65FF88E7" w14:textId="77777777" w:rsidR="00784D00" w:rsidRPr="007E64C0" w:rsidRDefault="00784D00" w:rsidP="00784D00">
            <w:pPr>
              <w:rPr>
                <w:sz w:val="18"/>
                <w:szCs w:val="18"/>
              </w:rPr>
            </w:pPr>
          </w:p>
        </w:tc>
      </w:tr>
      <w:tr w:rsidR="00784D00" w:rsidRPr="007E0503" w14:paraId="730385A2" w14:textId="77777777" w:rsidTr="004D1EC6">
        <w:trPr>
          <w:cantSplit/>
          <w:trHeight w:val="284"/>
        </w:trPr>
        <w:tc>
          <w:tcPr>
            <w:tcW w:w="1563" w:type="dxa"/>
            <w:tcBorders>
              <w:top w:val="nil"/>
              <w:left w:val="single" w:sz="2" w:space="0" w:color="auto"/>
              <w:bottom w:val="nil"/>
              <w:right w:val="single" w:sz="2" w:space="0" w:color="auto"/>
            </w:tcBorders>
          </w:tcPr>
          <w:p w14:paraId="192FCDCB"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59F69B84" w14:textId="2336D5BE" w:rsidR="00784D00" w:rsidRPr="007E64C0" w:rsidRDefault="00784D00" w:rsidP="00784D00">
            <w:pPr>
              <w:rPr>
                <w:sz w:val="18"/>
                <w:szCs w:val="18"/>
              </w:rPr>
            </w:pPr>
            <w:r w:rsidRPr="007E64C0">
              <w:rPr>
                <w:sz w:val="18"/>
                <w:szCs w:val="18"/>
                <w:lang w:eastAsia="en-AU"/>
              </w:rPr>
              <w:t>Rollover of Undisbursed Appropriation (FMA s.16B)</w:t>
            </w:r>
            <w:r w:rsidR="00FA7C77">
              <w:rPr>
                <w:sz w:val="18"/>
                <w:szCs w:val="18"/>
                <w:lang w:eastAsia="en-AU"/>
              </w:rPr>
              <w:t xml:space="preserve">         </w:t>
            </w:r>
            <w:r w:rsidRPr="007E64C0">
              <w:rPr>
                <w:sz w:val="18"/>
                <w:szCs w:val="18"/>
                <w:lang w:eastAsia="en-AU"/>
              </w:rPr>
              <w:t xml:space="preserve"> </w:t>
            </w:r>
          </w:p>
        </w:tc>
        <w:tc>
          <w:tcPr>
            <w:tcW w:w="1985" w:type="dxa"/>
            <w:tcBorders>
              <w:top w:val="nil"/>
              <w:left w:val="nil"/>
              <w:bottom w:val="nil"/>
              <w:right w:val="nil"/>
            </w:tcBorders>
            <w:vAlign w:val="bottom"/>
          </w:tcPr>
          <w:p w14:paraId="64B90EB0"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2A7559D2" w14:textId="77777777" w:rsidR="00784D00" w:rsidRPr="007E64C0" w:rsidRDefault="00784D00" w:rsidP="00784D00">
            <w:pPr>
              <w:rPr>
                <w:sz w:val="18"/>
                <w:szCs w:val="18"/>
              </w:rPr>
            </w:pPr>
          </w:p>
        </w:tc>
      </w:tr>
      <w:tr w:rsidR="00784D00" w:rsidRPr="007E0503" w14:paraId="4FB77436" w14:textId="77777777" w:rsidTr="004D1EC6">
        <w:trPr>
          <w:cantSplit/>
          <w:trHeight w:val="284"/>
        </w:trPr>
        <w:tc>
          <w:tcPr>
            <w:tcW w:w="1563" w:type="dxa"/>
            <w:tcBorders>
              <w:top w:val="nil"/>
              <w:left w:val="single" w:sz="2" w:space="0" w:color="auto"/>
              <w:bottom w:val="nil"/>
              <w:right w:val="single" w:sz="2" w:space="0" w:color="auto"/>
            </w:tcBorders>
          </w:tcPr>
          <w:p w14:paraId="191DC2D4"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25C7F112" w14:textId="5506E8A8" w:rsidR="00784D00" w:rsidRPr="007E64C0" w:rsidRDefault="00784D00" w:rsidP="00784D00">
            <w:pPr>
              <w:rPr>
                <w:sz w:val="18"/>
                <w:szCs w:val="18"/>
              </w:rPr>
            </w:pPr>
            <w:r w:rsidRPr="007E64C0">
              <w:rPr>
                <w:sz w:val="18"/>
                <w:szCs w:val="18"/>
                <w:lang w:eastAsia="en-AU"/>
              </w:rPr>
              <w:t>Variation of appropriations for Commonwealth grants (FMA s.17)</w:t>
            </w:r>
          </w:p>
        </w:tc>
        <w:tc>
          <w:tcPr>
            <w:tcW w:w="1985" w:type="dxa"/>
            <w:tcBorders>
              <w:top w:val="nil"/>
              <w:left w:val="nil"/>
              <w:bottom w:val="nil"/>
              <w:right w:val="nil"/>
            </w:tcBorders>
            <w:vAlign w:val="bottom"/>
          </w:tcPr>
          <w:p w14:paraId="0277FFE8" w14:textId="77777777" w:rsidR="00784D00" w:rsidRPr="007E64C0" w:rsidRDefault="00784D00" w:rsidP="00784D00">
            <w:pPr>
              <w:rPr>
                <w:sz w:val="18"/>
                <w:szCs w:val="18"/>
              </w:rPr>
            </w:pPr>
          </w:p>
        </w:tc>
        <w:tc>
          <w:tcPr>
            <w:tcW w:w="1758" w:type="dxa"/>
            <w:tcBorders>
              <w:top w:val="nil"/>
              <w:left w:val="nil"/>
              <w:bottom w:val="nil"/>
              <w:right w:val="nil"/>
            </w:tcBorders>
            <w:vAlign w:val="bottom"/>
          </w:tcPr>
          <w:p w14:paraId="50A11BE1" w14:textId="77777777" w:rsidR="00784D00" w:rsidRPr="007E64C0" w:rsidRDefault="00784D00" w:rsidP="00784D00">
            <w:pPr>
              <w:rPr>
                <w:sz w:val="18"/>
                <w:szCs w:val="18"/>
              </w:rPr>
            </w:pPr>
          </w:p>
        </w:tc>
      </w:tr>
      <w:tr w:rsidR="00784D00" w:rsidRPr="007E0503" w14:paraId="2D533F3B" w14:textId="77777777" w:rsidTr="004D1EC6">
        <w:trPr>
          <w:cantSplit/>
          <w:trHeight w:val="284"/>
        </w:trPr>
        <w:tc>
          <w:tcPr>
            <w:tcW w:w="1563" w:type="dxa"/>
            <w:tcBorders>
              <w:top w:val="nil"/>
              <w:left w:val="single" w:sz="2" w:space="0" w:color="auto"/>
              <w:bottom w:val="nil"/>
              <w:right w:val="single" w:sz="2" w:space="0" w:color="auto"/>
            </w:tcBorders>
          </w:tcPr>
          <w:p w14:paraId="3F220479"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17126B9A" w14:textId="26F5624F" w:rsidR="00784D00" w:rsidRPr="007E64C0" w:rsidRDefault="00784D00" w:rsidP="00784D00">
            <w:pPr>
              <w:rPr>
                <w:sz w:val="18"/>
                <w:szCs w:val="18"/>
              </w:rPr>
            </w:pPr>
            <w:r w:rsidRPr="007E64C0">
              <w:rPr>
                <w:sz w:val="18"/>
                <w:szCs w:val="18"/>
                <w:lang w:eastAsia="en-AU"/>
              </w:rPr>
              <w:t>Treasurer's Advance (FMA s.18)</w:t>
            </w:r>
          </w:p>
        </w:tc>
        <w:tc>
          <w:tcPr>
            <w:tcW w:w="1985" w:type="dxa"/>
            <w:tcBorders>
              <w:top w:val="nil"/>
              <w:left w:val="nil"/>
              <w:bottom w:val="single" w:sz="2" w:space="0" w:color="auto"/>
              <w:right w:val="nil"/>
            </w:tcBorders>
            <w:vAlign w:val="bottom"/>
          </w:tcPr>
          <w:p w14:paraId="38B6BE06" w14:textId="77777777" w:rsidR="00784D00" w:rsidRPr="007E64C0" w:rsidRDefault="00784D00" w:rsidP="00784D00">
            <w:pPr>
              <w:rPr>
                <w:sz w:val="18"/>
                <w:szCs w:val="18"/>
              </w:rPr>
            </w:pPr>
          </w:p>
        </w:tc>
        <w:tc>
          <w:tcPr>
            <w:tcW w:w="1758" w:type="dxa"/>
            <w:tcBorders>
              <w:top w:val="nil"/>
              <w:left w:val="nil"/>
              <w:bottom w:val="single" w:sz="2" w:space="0" w:color="auto"/>
              <w:right w:val="nil"/>
            </w:tcBorders>
            <w:vAlign w:val="bottom"/>
          </w:tcPr>
          <w:p w14:paraId="55A4C62B" w14:textId="77777777" w:rsidR="00784D00" w:rsidRPr="007E64C0" w:rsidRDefault="00784D00" w:rsidP="00784D00">
            <w:pPr>
              <w:rPr>
                <w:sz w:val="18"/>
                <w:szCs w:val="18"/>
              </w:rPr>
            </w:pPr>
          </w:p>
        </w:tc>
      </w:tr>
      <w:tr w:rsidR="00784D00" w:rsidRPr="007E0503" w14:paraId="5916520D" w14:textId="77777777" w:rsidTr="004D1EC6">
        <w:trPr>
          <w:cantSplit/>
          <w:trHeight w:val="284"/>
        </w:trPr>
        <w:tc>
          <w:tcPr>
            <w:tcW w:w="1563" w:type="dxa"/>
            <w:tcBorders>
              <w:top w:val="nil"/>
              <w:left w:val="single" w:sz="2" w:space="0" w:color="auto"/>
              <w:bottom w:val="nil"/>
              <w:right w:val="single" w:sz="2" w:space="0" w:color="auto"/>
            </w:tcBorders>
          </w:tcPr>
          <w:p w14:paraId="47C56817"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7B370EDF" w14:textId="02ECC339" w:rsidR="00784D00" w:rsidRPr="007E64C0" w:rsidRDefault="00784D00" w:rsidP="00784D00">
            <w:pPr>
              <w:rPr>
                <w:b/>
                <w:bCs/>
                <w:sz w:val="18"/>
                <w:szCs w:val="18"/>
                <w:lang w:eastAsia="en-AU"/>
              </w:rPr>
            </w:pPr>
            <w:r w:rsidRPr="007E64C0">
              <w:rPr>
                <w:b/>
                <w:bCs/>
                <w:sz w:val="18"/>
                <w:szCs w:val="18"/>
                <w:lang w:eastAsia="en-AU"/>
              </w:rPr>
              <w:t>Total Appropriated</w:t>
            </w:r>
          </w:p>
        </w:tc>
        <w:tc>
          <w:tcPr>
            <w:tcW w:w="1985" w:type="dxa"/>
            <w:tcBorders>
              <w:top w:val="single" w:sz="2" w:space="0" w:color="auto"/>
              <w:left w:val="nil"/>
              <w:bottom w:val="single" w:sz="2" w:space="0" w:color="auto"/>
              <w:right w:val="nil"/>
            </w:tcBorders>
            <w:vAlign w:val="bottom"/>
          </w:tcPr>
          <w:p w14:paraId="0A427D06" w14:textId="77777777" w:rsidR="00784D00" w:rsidRPr="007E64C0" w:rsidRDefault="00784D00" w:rsidP="00784D00">
            <w:pPr>
              <w:rPr>
                <w:sz w:val="18"/>
                <w:szCs w:val="18"/>
              </w:rPr>
            </w:pPr>
          </w:p>
        </w:tc>
        <w:tc>
          <w:tcPr>
            <w:tcW w:w="1758" w:type="dxa"/>
            <w:tcBorders>
              <w:top w:val="single" w:sz="2" w:space="0" w:color="auto"/>
              <w:left w:val="nil"/>
              <w:bottom w:val="single" w:sz="2" w:space="0" w:color="auto"/>
              <w:right w:val="nil"/>
            </w:tcBorders>
            <w:vAlign w:val="bottom"/>
          </w:tcPr>
          <w:p w14:paraId="33C2F3F8" w14:textId="77777777" w:rsidR="00784D00" w:rsidRPr="007E64C0" w:rsidRDefault="00784D00" w:rsidP="00784D00">
            <w:pPr>
              <w:rPr>
                <w:sz w:val="18"/>
                <w:szCs w:val="18"/>
              </w:rPr>
            </w:pPr>
          </w:p>
        </w:tc>
      </w:tr>
      <w:tr w:rsidR="00784D00" w:rsidRPr="007E0503" w14:paraId="4D948DE4" w14:textId="77777777" w:rsidTr="004D1EC6">
        <w:trPr>
          <w:cantSplit/>
          <w:trHeight w:val="284"/>
        </w:trPr>
        <w:tc>
          <w:tcPr>
            <w:tcW w:w="1563" w:type="dxa"/>
            <w:tcBorders>
              <w:top w:val="nil"/>
              <w:left w:val="single" w:sz="2" w:space="0" w:color="auto"/>
              <w:bottom w:val="nil"/>
              <w:right w:val="single" w:sz="2" w:space="0" w:color="auto"/>
            </w:tcBorders>
          </w:tcPr>
          <w:p w14:paraId="5D37C09A"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3EE4CD54" w14:textId="701B198A" w:rsidR="00784D00" w:rsidRPr="007E64C0" w:rsidRDefault="00784D00" w:rsidP="00784D00">
            <w:pPr>
              <w:rPr>
                <w:sz w:val="18"/>
                <w:szCs w:val="18"/>
                <w:lang w:eastAsia="en-AU"/>
              </w:rPr>
            </w:pPr>
            <w:r w:rsidRPr="007E64C0">
              <w:rPr>
                <w:sz w:val="18"/>
                <w:szCs w:val="18"/>
              </w:rPr>
              <w:t xml:space="preserve">Budget Rollovers </w:t>
            </w:r>
            <w:r w:rsidRPr="007E64C0">
              <w:rPr>
                <w:sz w:val="18"/>
                <w:szCs w:val="18"/>
                <w:vertAlign w:val="superscript"/>
              </w:rPr>
              <w:footnoteReference w:id="3"/>
            </w:r>
          </w:p>
        </w:tc>
        <w:tc>
          <w:tcPr>
            <w:tcW w:w="1985" w:type="dxa"/>
            <w:tcBorders>
              <w:top w:val="single" w:sz="2" w:space="0" w:color="auto"/>
              <w:left w:val="nil"/>
              <w:bottom w:val="single" w:sz="2" w:space="0" w:color="auto"/>
              <w:right w:val="nil"/>
            </w:tcBorders>
            <w:vAlign w:val="bottom"/>
          </w:tcPr>
          <w:p w14:paraId="6AA5F33E" w14:textId="77777777" w:rsidR="00784D00" w:rsidRPr="007E64C0" w:rsidRDefault="00784D00" w:rsidP="00784D00">
            <w:pPr>
              <w:rPr>
                <w:sz w:val="18"/>
                <w:szCs w:val="18"/>
              </w:rPr>
            </w:pPr>
          </w:p>
        </w:tc>
        <w:tc>
          <w:tcPr>
            <w:tcW w:w="1758" w:type="dxa"/>
            <w:tcBorders>
              <w:top w:val="single" w:sz="2" w:space="0" w:color="auto"/>
              <w:left w:val="nil"/>
              <w:bottom w:val="single" w:sz="2" w:space="0" w:color="auto"/>
              <w:right w:val="nil"/>
            </w:tcBorders>
            <w:vAlign w:val="bottom"/>
          </w:tcPr>
          <w:p w14:paraId="7B7188A8" w14:textId="77777777" w:rsidR="00784D00" w:rsidRPr="007E64C0" w:rsidRDefault="00784D00" w:rsidP="00784D00">
            <w:pPr>
              <w:rPr>
                <w:sz w:val="18"/>
                <w:szCs w:val="18"/>
              </w:rPr>
            </w:pPr>
          </w:p>
        </w:tc>
      </w:tr>
      <w:tr w:rsidR="00784D00" w:rsidRPr="007E0503" w14:paraId="151F4F03" w14:textId="77777777" w:rsidTr="004D1EC6">
        <w:trPr>
          <w:cantSplit/>
          <w:trHeight w:val="284"/>
        </w:trPr>
        <w:tc>
          <w:tcPr>
            <w:tcW w:w="1563" w:type="dxa"/>
            <w:tcBorders>
              <w:top w:val="nil"/>
              <w:left w:val="single" w:sz="2" w:space="0" w:color="auto"/>
              <w:bottom w:val="nil"/>
              <w:right w:val="single" w:sz="2" w:space="0" w:color="auto"/>
            </w:tcBorders>
          </w:tcPr>
          <w:p w14:paraId="3851A1F2"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2EBE9104" w14:textId="74AD69B2" w:rsidR="00784D00" w:rsidRPr="007E64C0" w:rsidRDefault="00784D00" w:rsidP="00784D00">
            <w:pPr>
              <w:rPr>
                <w:b/>
                <w:bCs/>
                <w:sz w:val="18"/>
                <w:szCs w:val="18"/>
                <w:lang w:eastAsia="en-AU"/>
              </w:rPr>
            </w:pPr>
            <w:r w:rsidRPr="007E64C0">
              <w:rPr>
                <w:b/>
                <w:bCs/>
                <w:sz w:val="18"/>
                <w:szCs w:val="18"/>
              </w:rPr>
              <w:t>Controlled Appropriation Drawn</w:t>
            </w:r>
          </w:p>
        </w:tc>
        <w:tc>
          <w:tcPr>
            <w:tcW w:w="1985" w:type="dxa"/>
            <w:tcBorders>
              <w:top w:val="single" w:sz="2" w:space="0" w:color="auto"/>
              <w:left w:val="nil"/>
              <w:bottom w:val="double" w:sz="4" w:space="0" w:color="auto"/>
              <w:right w:val="nil"/>
            </w:tcBorders>
            <w:vAlign w:val="bottom"/>
          </w:tcPr>
          <w:p w14:paraId="5FCE0099" w14:textId="77777777" w:rsidR="00784D00" w:rsidRPr="007E64C0" w:rsidRDefault="00784D00" w:rsidP="00784D00">
            <w:pPr>
              <w:rPr>
                <w:sz w:val="18"/>
                <w:szCs w:val="18"/>
              </w:rPr>
            </w:pPr>
          </w:p>
        </w:tc>
        <w:tc>
          <w:tcPr>
            <w:tcW w:w="1758" w:type="dxa"/>
            <w:tcBorders>
              <w:top w:val="single" w:sz="2" w:space="0" w:color="auto"/>
              <w:left w:val="nil"/>
              <w:bottom w:val="double" w:sz="4" w:space="0" w:color="auto"/>
              <w:right w:val="nil"/>
            </w:tcBorders>
            <w:vAlign w:val="bottom"/>
          </w:tcPr>
          <w:p w14:paraId="7CF9C59F" w14:textId="77777777" w:rsidR="00784D00" w:rsidRPr="007E64C0" w:rsidRDefault="00784D00" w:rsidP="00784D00">
            <w:pPr>
              <w:rPr>
                <w:sz w:val="18"/>
                <w:szCs w:val="18"/>
              </w:rPr>
            </w:pPr>
          </w:p>
        </w:tc>
      </w:tr>
      <w:tr w:rsidR="00784D00" w:rsidRPr="007E0503" w14:paraId="55DD3F19" w14:textId="77777777" w:rsidTr="004D1EC6">
        <w:trPr>
          <w:cantSplit/>
          <w:trHeight w:val="284"/>
        </w:trPr>
        <w:tc>
          <w:tcPr>
            <w:tcW w:w="1563" w:type="dxa"/>
            <w:tcBorders>
              <w:top w:val="nil"/>
              <w:left w:val="single" w:sz="2" w:space="0" w:color="auto"/>
              <w:bottom w:val="nil"/>
              <w:right w:val="single" w:sz="2" w:space="0" w:color="auto"/>
            </w:tcBorders>
          </w:tcPr>
          <w:p w14:paraId="43E7DA08" w14:textId="77777777" w:rsidR="00784D00" w:rsidRPr="007E64C0" w:rsidRDefault="00784D00" w:rsidP="00784D00">
            <w:pPr>
              <w:rPr>
                <w:rFonts w:cs="Calibri"/>
                <w:color w:val="7030A0"/>
                <w:sz w:val="16"/>
              </w:rPr>
            </w:pPr>
          </w:p>
        </w:tc>
        <w:tc>
          <w:tcPr>
            <w:tcW w:w="5244" w:type="dxa"/>
            <w:tcBorders>
              <w:top w:val="nil"/>
              <w:left w:val="single" w:sz="2" w:space="0" w:color="auto"/>
              <w:bottom w:val="nil"/>
              <w:right w:val="nil"/>
            </w:tcBorders>
            <w:vAlign w:val="bottom"/>
          </w:tcPr>
          <w:p w14:paraId="30A42DAA" w14:textId="77777777" w:rsidR="00784D00" w:rsidRPr="007E64C0" w:rsidRDefault="00784D00" w:rsidP="00784D00">
            <w:pPr>
              <w:rPr>
                <w:sz w:val="18"/>
                <w:szCs w:val="18"/>
              </w:rPr>
            </w:pPr>
          </w:p>
        </w:tc>
        <w:tc>
          <w:tcPr>
            <w:tcW w:w="1985" w:type="dxa"/>
            <w:tcBorders>
              <w:top w:val="double" w:sz="4" w:space="0" w:color="auto"/>
              <w:left w:val="nil"/>
              <w:bottom w:val="nil"/>
              <w:right w:val="nil"/>
            </w:tcBorders>
            <w:vAlign w:val="bottom"/>
          </w:tcPr>
          <w:p w14:paraId="2578948C" w14:textId="77777777" w:rsidR="00784D00" w:rsidRPr="007E64C0" w:rsidRDefault="00784D00" w:rsidP="00784D00">
            <w:pPr>
              <w:rPr>
                <w:sz w:val="18"/>
                <w:szCs w:val="18"/>
              </w:rPr>
            </w:pPr>
          </w:p>
        </w:tc>
        <w:tc>
          <w:tcPr>
            <w:tcW w:w="1758" w:type="dxa"/>
            <w:tcBorders>
              <w:top w:val="double" w:sz="4" w:space="0" w:color="auto"/>
              <w:left w:val="nil"/>
              <w:bottom w:val="nil"/>
              <w:right w:val="nil"/>
            </w:tcBorders>
            <w:vAlign w:val="bottom"/>
          </w:tcPr>
          <w:p w14:paraId="1DE784C5" w14:textId="77777777" w:rsidR="00784D00" w:rsidRPr="007E64C0" w:rsidRDefault="00784D00" w:rsidP="00784D00">
            <w:pPr>
              <w:rPr>
                <w:sz w:val="18"/>
                <w:szCs w:val="18"/>
              </w:rPr>
            </w:pPr>
          </w:p>
        </w:tc>
      </w:tr>
      <w:tr w:rsidR="00784D00" w:rsidRPr="007E0503" w14:paraId="19B1E37B" w14:textId="77777777" w:rsidTr="004D1EC6">
        <w:trPr>
          <w:cantSplit/>
          <w:trHeight w:val="284"/>
        </w:trPr>
        <w:tc>
          <w:tcPr>
            <w:tcW w:w="1563" w:type="dxa"/>
            <w:tcBorders>
              <w:top w:val="nil"/>
              <w:left w:val="single" w:sz="2" w:space="0" w:color="auto"/>
              <w:bottom w:val="nil"/>
              <w:right w:val="single" w:sz="2" w:space="0" w:color="auto"/>
            </w:tcBorders>
          </w:tcPr>
          <w:p w14:paraId="0A33C99F" w14:textId="77777777" w:rsidR="00784D00" w:rsidRPr="007E64C0" w:rsidRDefault="00784D00" w:rsidP="00784D00">
            <w:pPr>
              <w:rPr>
                <w:rFonts w:cs="Calibri"/>
                <w:color w:val="7030A0"/>
                <w:sz w:val="16"/>
              </w:rPr>
            </w:pPr>
          </w:p>
        </w:tc>
        <w:tc>
          <w:tcPr>
            <w:tcW w:w="8987" w:type="dxa"/>
            <w:gridSpan w:val="3"/>
            <w:tcBorders>
              <w:top w:val="nil"/>
              <w:left w:val="single" w:sz="2" w:space="0" w:color="auto"/>
              <w:bottom w:val="nil"/>
              <w:right w:val="nil"/>
            </w:tcBorders>
            <w:vAlign w:val="bottom"/>
          </w:tcPr>
          <w:p w14:paraId="7FCA948D" w14:textId="77777777" w:rsidR="00784D00" w:rsidRPr="007E64C0" w:rsidRDefault="00784D00" w:rsidP="00784D00">
            <w:pPr>
              <w:rPr>
                <w:sz w:val="18"/>
                <w:szCs w:val="18"/>
              </w:rPr>
            </w:pPr>
          </w:p>
        </w:tc>
      </w:tr>
      <w:tr w:rsidR="00784D00" w:rsidRPr="00D37A89" w14:paraId="653BC3CA" w14:textId="77777777" w:rsidTr="004D1EC6">
        <w:trPr>
          <w:cantSplit/>
          <w:trHeight w:val="284"/>
        </w:trPr>
        <w:tc>
          <w:tcPr>
            <w:tcW w:w="1563" w:type="dxa"/>
            <w:tcBorders>
              <w:top w:val="nil"/>
              <w:left w:val="single" w:sz="2" w:space="0" w:color="auto"/>
              <w:bottom w:val="nil"/>
              <w:right w:val="single" w:sz="2" w:space="0" w:color="auto"/>
            </w:tcBorders>
          </w:tcPr>
          <w:p w14:paraId="1ED778F5" w14:textId="77777777" w:rsidR="00784D00" w:rsidRPr="007E64C0" w:rsidRDefault="00784D00" w:rsidP="00784D00">
            <w:pPr>
              <w:rPr>
                <w:rFonts w:cs="Calibri"/>
                <w:color w:val="7030A0"/>
                <w:sz w:val="16"/>
              </w:rPr>
            </w:pPr>
          </w:p>
        </w:tc>
        <w:tc>
          <w:tcPr>
            <w:tcW w:w="8987" w:type="dxa"/>
            <w:gridSpan w:val="3"/>
            <w:tcBorders>
              <w:top w:val="nil"/>
              <w:left w:val="single" w:sz="2" w:space="0" w:color="auto"/>
              <w:bottom w:val="nil"/>
              <w:right w:val="nil"/>
            </w:tcBorders>
            <w:vAlign w:val="bottom"/>
          </w:tcPr>
          <w:p w14:paraId="29ACFFA5" w14:textId="65443026" w:rsidR="00784D00" w:rsidRPr="007E64C0" w:rsidRDefault="00784D00" w:rsidP="00784D00">
            <w:pPr>
              <w:jc w:val="both"/>
              <w:rPr>
                <w:sz w:val="18"/>
                <w:szCs w:val="18"/>
              </w:rPr>
            </w:pPr>
            <w:r w:rsidRPr="007E64C0">
              <w:rPr>
                <w:sz w:val="18"/>
                <w:szCs w:val="18"/>
              </w:rPr>
              <w:t>1. The difference between the Original Budget and the Total Appropriated is mainly due to an Administrative Arrangement that occurred on 7 January 2022, where the Agency gained the Heritage and Environment Division from the ABC Directorate.</w:t>
            </w:r>
          </w:p>
          <w:p w14:paraId="6CD818CF" w14:textId="77777777" w:rsidR="00784D00" w:rsidRPr="007E64C0" w:rsidRDefault="00784D00" w:rsidP="00784D00">
            <w:pPr>
              <w:jc w:val="both"/>
              <w:rPr>
                <w:sz w:val="18"/>
                <w:szCs w:val="18"/>
              </w:rPr>
            </w:pPr>
            <w:r w:rsidRPr="007E64C0">
              <w:rPr>
                <w:sz w:val="18"/>
                <w:szCs w:val="18"/>
              </w:rPr>
              <w:t xml:space="preserve">The heritage function is responsible for the development of heritage policy as well as the maintenance of a number of large heritage assets. </w:t>
            </w:r>
          </w:p>
          <w:p w14:paraId="393C9C0F" w14:textId="25ED6B01" w:rsidR="00784D00" w:rsidRPr="007E64C0" w:rsidRDefault="00784D00" w:rsidP="00784D00">
            <w:pPr>
              <w:spacing w:after="120"/>
              <w:jc w:val="both"/>
              <w:rPr>
                <w:sz w:val="18"/>
                <w:szCs w:val="18"/>
              </w:rPr>
            </w:pPr>
            <w:r w:rsidRPr="007E64C0">
              <w:rPr>
                <w:sz w:val="18"/>
                <w:szCs w:val="18"/>
              </w:rPr>
              <w:t xml:space="preserve">The environment function is responsible for the development of policy frameworks and providing advice on the management and protection of the environment. For further details see Note 30 </w:t>
            </w:r>
            <w:r w:rsidRPr="007E64C0">
              <w:rPr>
                <w:i/>
                <w:sz w:val="18"/>
                <w:szCs w:val="18"/>
              </w:rPr>
              <w:t>Restructure of Administrative Arrangements</w:t>
            </w:r>
            <w:r w:rsidRPr="007E64C0">
              <w:rPr>
                <w:sz w:val="18"/>
                <w:szCs w:val="18"/>
              </w:rPr>
              <w:t>.</w:t>
            </w:r>
            <w:r w:rsidR="00FA7C77">
              <w:rPr>
                <w:sz w:val="18"/>
                <w:szCs w:val="18"/>
              </w:rPr>
              <w:t xml:space="preserve"> </w:t>
            </w:r>
          </w:p>
        </w:tc>
      </w:tr>
      <w:tr w:rsidR="00784D00" w:rsidRPr="00D37A89" w14:paraId="78C86961" w14:textId="77777777" w:rsidTr="004D1EC6">
        <w:trPr>
          <w:cantSplit/>
          <w:trHeight w:val="284"/>
        </w:trPr>
        <w:tc>
          <w:tcPr>
            <w:tcW w:w="1563" w:type="dxa"/>
            <w:tcBorders>
              <w:top w:val="nil"/>
              <w:left w:val="single" w:sz="2" w:space="0" w:color="auto"/>
              <w:bottom w:val="nil"/>
              <w:right w:val="single" w:sz="2" w:space="0" w:color="auto"/>
            </w:tcBorders>
          </w:tcPr>
          <w:p w14:paraId="0C3052BC" w14:textId="77777777" w:rsidR="00784D00" w:rsidRPr="007E64C0" w:rsidRDefault="00784D00" w:rsidP="00784D00">
            <w:pPr>
              <w:rPr>
                <w:rFonts w:cs="Calibri"/>
                <w:color w:val="7030A0"/>
                <w:sz w:val="16"/>
              </w:rPr>
            </w:pPr>
          </w:p>
        </w:tc>
        <w:tc>
          <w:tcPr>
            <w:tcW w:w="8987" w:type="dxa"/>
            <w:gridSpan w:val="3"/>
            <w:tcBorders>
              <w:top w:val="nil"/>
              <w:left w:val="single" w:sz="2" w:space="0" w:color="auto"/>
              <w:bottom w:val="nil"/>
              <w:right w:val="nil"/>
            </w:tcBorders>
            <w:vAlign w:val="bottom"/>
          </w:tcPr>
          <w:p w14:paraId="34E2B862" w14:textId="70734F29" w:rsidR="00784D00" w:rsidRPr="007E64C0" w:rsidRDefault="00784D00" w:rsidP="00784D00">
            <w:pPr>
              <w:jc w:val="both"/>
              <w:rPr>
                <w:sz w:val="18"/>
                <w:szCs w:val="18"/>
              </w:rPr>
            </w:pPr>
            <w:r w:rsidRPr="007E64C0">
              <w:rPr>
                <w:bCs/>
                <w:sz w:val="18"/>
                <w:szCs w:val="18"/>
              </w:rPr>
              <w:t xml:space="preserve">2. The difference between the Total Appropriated and the Appropriation Drawn down is largely due to design delays associated with a major project scheduled to commence in 2022. Appropriation was not drawn down for this project and has been rolled over to the following </w:t>
            </w:r>
            <w:r w:rsidRPr="007E64C0">
              <w:rPr>
                <w:sz w:val="18"/>
                <w:szCs w:val="18"/>
              </w:rPr>
              <w:t>reporting period</w:t>
            </w:r>
            <w:r w:rsidRPr="007E64C0">
              <w:rPr>
                <w:bCs/>
                <w:sz w:val="18"/>
                <w:szCs w:val="18"/>
              </w:rPr>
              <w:t>. ‘Project X’ ($xxx) was due to start in February 2022, however, it is expected that it will not commence until August 2022. This project has both recurrent and capital injection elements.</w:t>
            </w:r>
          </w:p>
        </w:tc>
      </w:tr>
    </w:tbl>
    <w:p w14:paraId="18598011" w14:textId="77777777" w:rsidR="00D37A89" w:rsidRPr="00D37A89" w:rsidRDefault="00D37A89" w:rsidP="00D37A89">
      <w:r w:rsidRPr="00D37A89">
        <w:br w:type="page"/>
      </w:r>
    </w:p>
    <w:tbl>
      <w:tblPr>
        <w:tblW w:w="4976" w:type="pct"/>
        <w:tblInd w:w="-6" w:type="dxa"/>
        <w:tblBorders>
          <w:top w:val="single" w:sz="2" w:space="0" w:color="003366"/>
          <w:left w:val="single" w:sz="2" w:space="0" w:color="003366"/>
          <w:bottom w:val="single" w:sz="2" w:space="0" w:color="003366"/>
          <w:right w:val="single" w:sz="2" w:space="0" w:color="003366"/>
        </w:tblBorders>
        <w:tblLayout w:type="fixed"/>
        <w:tblLook w:val="00A0" w:firstRow="1" w:lastRow="0" w:firstColumn="1" w:lastColumn="0" w:noHBand="0" w:noVBand="0"/>
      </w:tblPr>
      <w:tblGrid>
        <w:gridCol w:w="1563"/>
        <w:gridCol w:w="8930"/>
      </w:tblGrid>
      <w:tr w:rsidR="00D37A89" w:rsidRPr="00D37A89" w14:paraId="1C078B10" w14:textId="77777777" w:rsidTr="004D1EC6">
        <w:trPr>
          <w:cantSplit/>
          <w:trHeight w:val="288"/>
        </w:trPr>
        <w:tc>
          <w:tcPr>
            <w:tcW w:w="1563" w:type="dxa"/>
            <w:tcBorders>
              <w:top w:val="nil"/>
              <w:left w:val="single" w:sz="2" w:space="0" w:color="auto"/>
              <w:bottom w:val="nil"/>
              <w:right w:val="single" w:sz="2" w:space="0" w:color="auto"/>
            </w:tcBorders>
          </w:tcPr>
          <w:p w14:paraId="68DCECA7" w14:textId="77777777" w:rsidR="00D37A89" w:rsidRPr="003E6941" w:rsidRDefault="00D37A89" w:rsidP="004D1EC6">
            <w:pPr>
              <w:pStyle w:val="TableReference"/>
              <w:tabs>
                <w:tab w:val="left" w:pos="3306"/>
              </w:tabs>
              <w:spacing w:after="240"/>
              <w:rPr>
                <w:rFonts w:cs="Calibri"/>
                <w:b/>
                <w:color w:val="7030A0"/>
                <w:sz w:val="22"/>
                <w:szCs w:val="22"/>
              </w:rPr>
            </w:pPr>
            <w:r w:rsidRPr="003E6941">
              <w:rPr>
                <w:rFonts w:cs="Calibri"/>
                <w:b/>
                <w:color w:val="7030A0"/>
                <w:sz w:val="22"/>
                <w:szCs w:val="22"/>
              </w:rPr>
              <w:t>Reference</w:t>
            </w:r>
          </w:p>
        </w:tc>
        <w:tc>
          <w:tcPr>
            <w:tcW w:w="8930" w:type="dxa"/>
            <w:tcBorders>
              <w:top w:val="nil"/>
              <w:left w:val="single" w:sz="2" w:space="0" w:color="auto"/>
              <w:bottom w:val="nil"/>
              <w:right w:val="nil"/>
            </w:tcBorders>
            <w:shd w:val="clear" w:color="auto" w:fill="7030A0"/>
            <w:vAlign w:val="bottom"/>
          </w:tcPr>
          <w:p w14:paraId="7E6FA485" w14:textId="4E5D520F" w:rsidR="00D37A89" w:rsidRPr="008E0712" w:rsidRDefault="00D37A89" w:rsidP="004D1EC6">
            <w:pPr>
              <w:pStyle w:val="TableReference"/>
              <w:tabs>
                <w:tab w:val="left" w:pos="3306"/>
              </w:tabs>
              <w:spacing w:after="240"/>
              <w:rPr>
                <w:rFonts w:cs="Calibri"/>
                <w:b/>
                <w:color w:val="auto"/>
                <w:sz w:val="28"/>
                <w:szCs w:val="28"/>
              </w:rPr>
            </w:pPr>
            <w:bookmarkStart w:id="235" w:name="_Toc50440328"/>
            <w:r w:rsidRPr="003E6941">
              <w:rPr>
                <w:rFonts w:cs="Calibri"/>
                <w:b/>
                <w:color w:val="FFFFFF" w:themeColor="background1"/>
                <w:sz w:val="28"/>
                <w:szCs w:val="28"/>
              </w:rPr>
              <w:t xml:space="preserve">Commentary </w:t>
            </w:r>
            <w:r w:rsidRPr="003E6941">
              <w:rPr>
                <w:rFonts w:cs="Calibri"/>
                <w:b/>
                <w:color w:val="FFFFFF" w:themeColor="background1"/>
                <w:sz w:val="28"/>
                <w:szCs w:val="28"/>
              </w:rPr>
              <w:sym w:font="Symbol" w:char="F02D"/>
            </w:r>
            <w:r w:rsidRPr="003E6941">
              <w:rPr>
                <w:rFonts w:cs="Calibri"/>
                <w:b/>
                <w:color w:val="FFFFFF" w:themeColor="background1"/>
                <w:sz w:val="28"/>
                <w:szCs w:val="28"/>
              </w:rPr>
              <w:t xml:space="preserve"> Statement of Appropriation</w:t>
            </w:r>
            <w:bookmarkEnd w:id="235"/>
          </w:p>
        </w:tc>
      </w:tr>
      <w:tr w:rsidR="00D37A89" w:rsidRPr="00D37A89" w14:paraId="75BEF932" w14:textId="77777777" w:rsidTr="004D1EC6">
        <w:trPr>
          <w:cantSplit/>
          <w:trHeight w:val="288"/>
        </w:trPr>
        <w:tc>
          <w:tcPr>
            <w:tcW w:w="1563" w:type="dxa"/>
            <w:tcBorders>
              <w:top w:val="nil"/>
              <w:left w:val="single" w:sz="2" w:space="0" w:color="auto"/>
              <w:bottom w:val="nil"/>
              <w:right w:val="single" w:sz="2" w:space="0" w:color="auto"/>
            </w:tcBorders>
          </w:tcPr>
          <w:p w14:paraId="0A0598A0" w14:textId="77777777" w:rsidR="00D37A89" w:rsidRPr="003E6941" w:rsidRDefault="00D37A89" w:rsidP="00A81061">
            <w:pPr>
              <w:tabs>
                <w:tab w:val="left" w:pos="3306"/>
              </w:tabs>
              <w:spacing w:before="60"/>
              <w:rPr>
                <w:rFonts w:cs="Calibri"/>
                <w:color w:val="7030A0"/>
                <w:sz w:val="14"/>
                <w:szCs w:val="14"/>
              </w:rPr>
            </w:pPr>
            <w:r w:rsidRPr="003E6941">
              <w:rPr>
                <w:rFonts w:cs="Calibri"/>
                <w:color w:val="7030A0"/>
                <w:sz w:val="14"/>
                <w:szCs w:val="14"/>
              </w:rPr>
              <w:t>FMA Section 6</w:t>
            </w:r>
          </w:p>
          <w:p w14:paraId="4F0415E3" w14:textId="73FB63DE" w:rsidR="00D37A89" w:rsidRPr="003E6941" w:rsidRDefault="00D37A89" w:rsidP="00A81061">
            <w:pPr>
              <w:tabs>
                <w:tab w:val="left" w:pos="3306"/>
              </w:tabs>
              <w:spacing w:before="80"/>
              <w:rPr>
                <w:rFonts w:cs="Calibri"/>
                <w:color w:val="7030A0"/>
                <w:sz w:val="14"/>
                <w:szCs w:val="14"/>
              </w:rPr>
            </w:pPr>
          </w:p>
        </w:tc>
        <w:tc>
          <w:tcPr>
            <w:tcW w:w="8930" w:type="dxa"/>
            <w:tcBorders>
              <w:top w:val="nil"/>
              <w:left w:val="single" w:sz="2" w:space="0" w:color="auto"/>
              <w:bottom w:val="nil"/>
              <w:right w:val="nil"/>
            </w:tcBorders>
            <w:shd w:val="clear" w:color="auto" w:fill="7030A0"/>
          </w:tcPr>
          <w:p w14:paraId="6323F6C6" w14:textId="7F9B3203" w:rsidR="00D37A89" w:rsidRPr="003E6941" w:rsidRDefault="004B2ECC" w:rsidP="00552ECB">
            <w:pPr>
              <w:rPr>
                <w:rFonts w:cs="Calibri"/>
                <w:color w:val="FFFFFF" w:themeColor="background1"/>
                <w:sz w:val="18"/>
                <w:szCs w:val="18"/>
              </w:rPr>
            </w:pPr>
            <w:r w:rsidRPr="003E6941">
              <w:rPr>
                <w:rFonts w:cs="Calibri"/>
                <w:color w:val="FFFFFF" w:themeColor="background1"/>
                <w:sz w:val="18"/>
                <w:szCs w:val="18"/>
              </w:rPr>
              <w:t>N</w:t>
            </w:r>
            <w:r w:rsidR="00D37A89" w:rsidRPr="003E6941">
              <w:rPr>
                <w:rFonts w:cs="Calibri"/>
                <w:color w:val="FFFFFF" w:themeColor="background1"/>
                <w:sz w:val="18"/>
                <w:szCs w:val="18"/>
              </w:rPr>
              <w:t xml:space="preserve">o payment of public money </w:t>
            </w:r>
            <w:r w:rsidRPr="003E6941">
              <w:rPr>
                <w:rFonts w:cs="Calibri"/>
                <w:color w:val="FFFFFF" w:themeColor="background1"/>
                <w:sz w:val="18"/>
                <w:szCs w:val="18"/>
              </w:rPr>
              <w:t xml:space="preserve">can </w:t>
            </w:r>
            <w:r w:rsidR="00D37A89" w:rsidRPr="003E6941">
              <w:rPr>
                <w:rFonts w:cs="Calibri"/>
                <w:color w:val="FFFFFF" w:themeColor="background1"/>
                <w:sz w:val="18"/>
                <w:szCs w:val="18"/>
              </w:rPr>
              <w:t>be made other than in accordance with an appropriation.</w:t>
            </w:r>
            <w:r w:rsidR="00552ECB">
              <w:rPr>
                <w:rFonts w:cs="Calibri"/>
                <w:color w:val="FFFFFF" w:themeColor="background1"/>
                <w:sz w:val="18"/>
                <w:szCs w:val="18"/>
              </w:rPr>
              <w:t xml:space="preserve"> </w:t>
            </w:r>
            <w:r w:rsidR="00D37A89" w:rsidRPr="003E6941">
              <w:rPr>
                <w:rFonts w:cs="Calibri"/>
                <w:color w:val="FFFFFF" w:themeColor="background1"/>
                <w:sz w:val="18"/>
                <w:szCs w:val="18"/>
              </w:rPr>
              <w:t>Appropriation reconciliations are reconciliations of cash flow</w:t>
            </w:r>
            <w:r w:rsidR="007E0503" w:rsidRPr="003E6941">
              <w:rPr>
                <w:rFonts w:cs="Calibri"/>
                <w:color w:val="FFFFFF" w:themeColor="background1"/>
                <w:sz w:val="18"/>
                <w:szCs w:val="18"/>
              </w:rPr>
              <w:t>.</w:t>
            </w:r>
          </w:p>
        </w:tc>
      </w:tr>
      <w:tr w:rsidR="00A81061" w:rsidRPr="00D37A89" w14:paraId="4000B40F" w14:textId="77777777" w:rsidTr="004D1EC6">
        <w:trPr>
          <w:cantSplit/>
          <w:trHeight w:val="288"/>
        </w:trPr>
        <w:tc>
          <w:tcPr>
            <w:tcW w:w="1563" w:type="dxa"/>
            <w:tcBorders>
              <w:top w:val="nil"/>
              <w:left w:val="single" w:sz="2" w:space="0" w:color="auto"/>
              <w:bottom w:val="nil"/>
              <w:right w:val="single" w:sz="2" w:space="0" w:color="auto"/>
            </w:tcBorders>
          </w:tcPr>
          <w:p w14:paraId="1127820D" w14:textId="0E331FE8" w:rsidR="00A81061" w:rsidRPr="003E6941" w:rsidRDefault="00A81061" w:rsidP="00D37A89">
            <w:pPr>
              <w:tabs>
                <w:tab w:val="left" w:pos="3306"/>
              </w:tabs>
              <w:spacing w:before="60"/>
              <w:rPr>
                <w:rFonts w:cs="Calibri"/>
                <w:color w:val="7030A0"/>
                <w:sz w:val="14"/>
                <w:szCs w:val="14"/>
              </w:rPr>
            </w:pPr>
            <w:r w:rsidRPr="003E6941">
              <w:rPr>
                <w:rFonts w:cs="Calibri"/>
                <w:color w:val="7030A0"/>
                <w:sz w:val="14"/>
                <w:szCs w:val="14"/>
              </w:rPr>
              <w:t>FMA Section 8</w:t>
            </w:r>
          </w:p>
        </w:tc>
        <w:tc>
          <w:tcPr>
            <w:tcW w:w="8930" w:type="dxa"/>
            <w:tcBorders>
              <w:top w:val="nil"/>
              <w:left w:val="single" w:sz="2" w:space="0" w:color="auto"/>
              <w:bottom w:val="nil"/>
              <w:right w:val="nil"/>
            </w:tcBorders>
            <w:shd w:val="clear" w:color="auto" w:fill="7030A0"/>
            <w:vAlign w:val="bottom"/>
          </w:tcPr>
          <w:p w14:paraId="39E27CD3" w14:textId="76BF9D13" w:rsidR="00B274F9" w:rsidRPr="003E6941" w:rsidRDefault="00B274F9" w:rsidP="00B274F9">
            <w:pPr>
              <w:spacing w:after="40"/>
              <w:rPr>
                <w:rFonts w:cs="Calibri"/>
                <w:color w:val="FFFFFF" w:themeColor="background1"/>
                <w:sz w:val="18"/>
                <w:szCs w:val="18"/>
              </w:rPr>
            </w:pPr>
            <w:r w:rsidRPr="003E6941">
              <w:rPr>
                <w:rFonts w:cs="Calibri"/>
                <w:color w:val="FFFFFF" w:themeColor="background1"/>
                <w:sz w:val="18"/>
                <w:szCs w:val="18"/>
              </w:rPr>
              <w:t>An Appropriation Act must make separate appropriations in relation to each Directorate for:</w:t>
            </w:r>
          </w:p>
          <w:p w14:paraId="40DB6BB1" w14:textId="77777777" w:rsidR="00B274F9" w:rsidRPr="003E6941" w:rsidRDefault="00B274F9" w:rsidP="00E35CD2">
            <w:pPr>
              <w:pStyle w:val="Commentary-Bullet"/>
              <w:rPr>
                <w:rFonts w:cs="Calibri"/>
                <w:color w:val="FFFFFF" w:themeColor="background1"/>
                <w:sz w:val="18"/>
                <w:szCs w:val="18"/>
              </w:rPr>
            </w:pPr>
            <w:r w:rsidRPr="003E6941">
              <w:rPr>
                <w:rFonts w:cs="Calibri"/>
                <w:color w:val="FFFFFF" w:themeColor="background1"/>
                <w:sz w:val="18"/>
                <w:szCs w:val="18"/>
              </w:rPr>
              <w:t>any controlled recurrent payments to be provided to the Directorate; and</w:t>
            </w:r>
          </w:p>
          <w:p w14:paraId="33B4F3FB" w14:textId="68F27942" w:rsidR="00A81061" w:rsidRPr="003E6941" w:rsidRDefault="00B274F9" w:rsidP="00E35CD2">
            <w:pPr>
              <w:pStyle w:val="Commentary-Bullet"/>
              <w:rPr>
                <w:rFonts w:cs="Calibri"/>
                <w:color w:val="FFFFFF" w:themeColor="background1"/>
                <w:sz w:val="18"/>
                <w:szCs w:val="18"/>
              </w:rPr>
            </w:pPr>
            <w:r w:rsidRPr="003E6941">
              <w:rPr>
                <w:rFonts w:cs="Calibri"/>
                <w:color w:val="FFFFFF" w:themeColor="background1"/>
                <w:sz w:val="18"/>
                <w:szCs w:val="18"/>
              </w:rPr>
              <w:t>any capital injection to be provided to the Directorate.</w:t>
            </w:r>
          </w:p>
        </w:tc>
      </w:tr>
      <w:tr w:rsidR="00D37A89" w:rsidRPr="00D37A89" w14:paraId="499787F6" w14:textId="77777777" w:rsidTr="004D1EC6">
        <w:trPr>
          <w:cantSplit/>
          <w:trHeight w:val="288"/>
        </w:trPr>
        <w:tc>
          <w:tcPr>
            <w:tcW w:w="1563" w:type="dxa"/>
            <w:tcBorders>
              <w:top w:val="nil"/>
              <w:left w:val="single" w:sz="2" w:space="0" w:color="auto"/>
              <w:bottom w:val="nil"/>
              <w:right w:val="single" w:sz="2" w:space="0" w:color="auto"/>
            </w:tcBorders>
          </w:tcPr>
          <w:p w14:paraId="3A6AE940" w14:textId="77777777" w:rsidR="00D37A89" w:rsidRPr="003E6941" w:rsidRDefault="00D37A89" w:rsidP="00D37A89">
            <w:pPr>
              <w:tabs>
                <w:tab w:val="left" w:pos="3306"/>
              </w:tabs>
              <w:spacing w:before="60"/>
              <w:rPr>
                <w:rFonts w:cs="Calibri"/>
                <w:color w:val="7030A0"/>
                <w:sz w:val="14"/>
                <w:szCs w:val="14"/>
              </w:rPr>
            </w:pPr>
            <w:r w:rsidRPr="003E6941">
              <w:rPr>
                <w:rFonts w:cs="Calibri"/>
                <w:color w:val="7030A0"/>
                <w:sz w:val="14"/>
                <w:szCs w:val="14"/>
              </w:rPr>
              <w:t>FMA Section 37A</w:t>
            </w:r>
          </w:p>
          <w:p w14:paraId="32832048" w14:textId="77777777" w:rsidR="00D37A89" w:rsidRPr="003E6941" w:rsidRDefault="00D37A89" w:rsidP="00D37A89">
            <w:pPr>
              <w:tabs>
                <w:tab w:val="left" w:pos="3306"/>
              </w:tabs>
              <w:spacing w:before="60"/>
              <w:rPr>
                <w:rFonts w:cs="Calibri"/>
                <w:color w:val="7030A0"/>
                <w:sz w:val="14"/>
                <w:szCs w:val="14"/>
              </w:rPr>
            </w:pPr>
          </w:p>
          <w:p w14:paraId="6B7A3070" w14:textId="77777777" w:rsidR="00D37A89" w:rsidRPr="003E6941" w:rsidRDefault="00D37A89" w:rsidP="00D37A89">
            <w:pPr>
              <w:tabs>
                <w:tab w:val="left" w:pos="3306"/>
              </w:tabs>
              <w:spacing w:before="60"/>
              <w:rPr>
                <w:rFonts w:cs="Calibri"/>
                <w:color w:val="7030A0"/>
                <w:sz w:val="14"/>
                <w:szCs w:val="14"/>
              </w:rPr>
            </w:pPr>
          </w:p>
          <w:p w14:paraId="7DDE684C" w14:textId="77777777" w:rsidR="00D37A89" w:rsidRPr="003E6941" w:rsidRDefault="00D37A89"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64C564C" w14:textId="1B2E421B" w:rsidR="00D37A89" w:rsidRPr="003E6941" w:rsidRDefault="00D37A89" w:rsidP="009F0413">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If an agency receives an amount of appropriation that is excess to its requirements, it may repay the excess amount, or part of the excess amount, to the Territory Banking Account.</w:t>
            </w:r>
            <w:r w:rsidR="00FA7C77">
              <w:rPr>
                <w:rFonts w:cs="Calibri"/>
                <w:color w:val="FFFFFF" w:themeColor="background1"/>
                <w:sz w:val="18"/>
                <w:szCs w:val="18"/>
              </w:rPr>
              <w:t xml:space="preserve"> </w:t>
            </w:r>
            <w:r w:rsidRPr="003E6941">
              <w:rPr>
                <w:rFonts w:cs="Calibri"/>
                <w:color w:val="FFFFFF" w:themeColor="background1"/>
                <w:sz w:val="18"/>
                <w:szCs w:val="18"/>
              </w:rPr>
              <w:t xml:space="preserve">The appropriation from which the excess amount was paid to the agency is restored by the amount it repaid to the </w:t>
            </w:r>
            <w:r w:rsidR="004B2ECC" w:rsidRPr="003E6941">
              <w:rPr>
                <w:rFonts w:cs="Calibri"/>
                <w:color w:val="FFFFFF" w:themeColor="background1"/>
                <w:sz w:val="18"/>
                <w:szCs w:val="18"/>
              </w:rPr>
              <w:t>T</w:t>
            </w:r>
            <w:r w:rsidRPr="003E6941">
              <w:rPr>
                <w:rFonts w:cs="Calibri"/>
                <w:color w:val="FFFFFF" w:themeColor="background1"/>
                <w:sz w:val="18"/>
                <w:szCs w:val="18"/>
              </w:rPr>
              <w:t xml:space="preserve">erritory </w:t>
            </w:r>
            <w:r w:rsidR="004B2ECC" w:rsidRPr="003E6941">
              <w:rPr>
                <w:rFonts w:cs="Calibri"/>
                <w:color w:val="FFFFFF" w:themeColor="background1"/>
                <w:sz w:val="18"/>
                <w:szCs w:val="18"/>
              </w:rPr>
              <w:t>B</w:t>
            </w:r>
            <w:r w:rsidRPr="003E6941">
              <w:rPr>
                <w:rFonts w:cs="Calibri"/>
                <w:color w:val="FFFFFF" w:themeColor="background1"/>
                <w:sz w:val="18"/>
                <w:szCs w:val="18"/>
              </w:rPr>
              <w:t xml:space="preserve">anking </w:t>
            </w:r>
            <w:r w:rsidR="004B2ECC" w:rsidRPr="003E6941">
              <w:rPr>
                <w:rFonts w:cs="Calibri"/>
                <w:color w:val="FFFFFF" w:themeColor="background1"/>
                <w:sz w:val="18"/>
                <w:szCs w:val="18"/>
              </w:rPr>
              <w:t>A</w:t>
            </w:r>
            <w:r w:rsidRPr="003E6941">
              <w:rPr>
                <w:rFonts w:cs="Calibri"/>
                <w:color w:val="FFFFFF" w:themeColor="background1"/>
                <w:sz w:val="18"/>
                <w:szCs w:val="18"/>
              </w:rPr>
              <w:t>ccount.</w:t>
            </w:r>
            <w:r w:rsidR="00FA7C77">
              <w:rPr>
                <w:rFonts w:cs="Calibri"/>
                <w:color w:val="FFFFFF" w:themeColor="background1"/>
                <w:sz w:val="18"/>
                <w:szCs w:val="18"/>
              </w:rPr>
              <w:t xml:space="preserve"> </w:t>
            </w:r>
            <w:r w:rsidRPr="003E6941">
              <w:rPr>
                <w:rFonts w:cs="Calibri"/>
                <w:color w:val="FFFFFF" w:themeColor="background1"/>
                <w:sz w:val="18"/>
                <w:szCs w:val="18"/>
              </w:rPr>
              <w:t xml:space="preserve">The balance of the appropriation, including the amount repaid, may be applied for the purposes for which it was appropriated. </w:t>
            </w:r>
          </w:p>
        </w:tc>
      </w:tr>
      <w:tr w:rsidR="00A81061" w:rsidRPr="00D37A89" w14:paraId="2577E895" w14:textId="77777777" w:rsidTr="004D1EC6">
        <w:trPr>
          <w:cantSplit/>
          <w:trHeight w:val="288"/>
        </w:trPr>
        <w:tc>
          <w:tcPr>
            <w:tcW w:w="1563" w:type="dxa"/>
            <w:tcBorders>
              <w:top w:val="nil"/>
              <w:left w:val="single" w:sz="2" w:space="0" w:color="auto"/>
              <w:bottom w:val="nil"/>
              <w:right w:val="single" w:sz="2" w:space="0" w:color="auto"/>
            </w:tcBorders>
          </w:tcPr>
          <w:p w14:paraId="20075F69" w14:textId="77777777" w:rsidR="00A81061" w:rsidRPr="003E6941" w:rsidRDefault="00A81061"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5E3F697" w14:textId="502FCF96" w:rsidR="00A81061" w:rsidRPr="003E6941" w:rsidRDefault="009F0413" w:rsidP="00C0544A">
            <w:pPr>
              <w:pStyle w:val="CommentaryText"/>
              <w:tabs>
                <w:tab w:val="left" w:pos="3306"/>
              </w:tabs>
              <w:rPr>
                <w:rFonts w:cs="Calibri"/>
                <w:color w:val="FFFFFF" w:themeColor="background1"/>
                <w:sz w:val="18"/>
                <w:szCs w:val="18"/>
              </w:rPr>
            </w:pPr>
            <w:r w:rsidRPr="003E6941">
              <w:rPr>
                <w:rFonts w:cs="Calibri"/>
                <w:color w:val="FFFFFF" w:themeColor="background1"/>
                <w:sz w:val="18"/>
                <w:szCs w:val="18"/>
              </w:rPr>
              <w:t>Agencies should disclose appropriation amounts returned (if any) in a footnote to the ‘Appropriation Drawn’ in the Statement of Appropriation.</w:t>
            </w:r>
          </w:p>
        </w:tc>
      </w:tr>
      <w:tr w:rsidR="00A81061" w:rsidRPr="00D37A89" w14:paraId="53935918" w14:textId="77777777" w:rsidTr="004D1EC6">
        <w:trPr>
          <w:cantSplit/>
          <w:trHeight w:val="288"/>
        </w:trPr>
        <w:tc>
          <w:tcPr>
            <w:tcW w:w="1563" w:type="dxa"/>
            <w:tcBorders>
              <w:top w:val="nil"/>
              <w:left w:val="single" w:sz="2" w:space="0" w:color="auto"/>
              <w:bottom w:val="nil"/>
              <w:right w:val="single" w:sz="2" w:space="0" w:color="auto"/>
            </w:tcBorders>
          </w:tcPr>
          <w:p w14:paraId="7F6F7249" w14:textId="77777777" w:rsidR="009F0413" w:rsidRPr="003E6941" w:rsidRDefault="009F0413" w:rsidP="009F0413">
            <w:pPr>
              <w:tabs>
                <w:tab w:val="left" w:pos="3306"/>
              </w:tabs>
              <w:spacing w:before="60"/>
              <w:rPr>
                <w:rFonts w:cs="Calibri"/>
                <w:color w:val="7030A0"/>
                <w:sz w:val="14"/>
                <w:szCs w:val="14"/>
              </w:rPr>
            </w:pPr>
            <w:r w:rsidRPr="003E6941">
              <w:rPr>
                <w:rFonts w:cs="Calibri"/>
                <w:color w:val="7030A0"/>
                <w:sz w:val="14"/>
                <w:szCs w:val="14"/>
              </w:rPr>
              <w:t>AASB 1058.39</w:t>
            </w:r>
          </w:p>
          <w:p w14:paraId="15685F91" w14:textId="77777777" w:rsidR="00A81061" w:rsidRPr="003E6941" w:rsidRDefault="00A81061"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27337114" w14:textId="28BCD77B" w:rsidR="00A81061" w:rsidRPr="003E6941" w:rsidRDefault="00BB0270" w:rsidP="00A81061">
            <w:pPr>
              <w:tabs>
                <w:tab w:val="num" w:pos="348"/>
                <w:tab w:val="left" w:pos="3306"/>
              </w:tabs>
              <w:spacing w:after="40"/>
              <w:ind w:left="6"/>
              <w:jc w:val="both"/>
              <w:rPr>
                <w:rFonts w:cs="Calibri"/>
                <w:color w:val="FFFFFF" w:themeColor="background1"/>
                <w:sz w:val="18"/>
                <w:szCs w:val="18"/>
              </w:rPr>
            </w:pPr>
            <w:r w:rsidRPr="003E6941">
              <w:rPr>
                <w:rFonts w:cs="Calibri"/>
                <w:color w:val="FFFFFF" w:themeColor="background1"/>
                <w:sz w:val="18"/>
                <w:szCs w:val="18"/>
              </w:rPr>
              <w:t>T</w:t>
            </w:r>
            <w:r w:rsidR="00A81061" w:rsidRPr="003E6941">
              <w:rPr>
                <w:rFonts w:cs="Calibri"/>
                <w:color w:val="FFFFFF" w:themeColor="background1"/>
                <w:sz w:val="18"/>
                <w:szCs w:val="18"/>
              </w:rPr>
              <w:t xml:space="preserve">he following </w:t>
            </w:r>
            <w:r w:rsidRPr="003E6941">
              <w:rPr>
                <w:rFonts w:cs="Calibri"/>
                <w:color w:val="FFFFFF" w:themeColor="background1"/>
                <w:sz w:val="18"/>
                <w:szCs w:val="18"/>
              </w:rPr>
              <w:t xml:space="preserve">must </w:t>
            </w:r>
            <w:r w:rsidR="00A81061" w:rsidRPr="003E6941">
              <w:rPr>
                <w:rFonts w:cs="Calibri"/>
                <w:color w:val="FFFFFF" w:themeColor="background1"/>
                <w:sz w:val="18"/>
                <w:szCs w:val="18"/>
              </w:rPr>
              <w:t xml:space="preserve">be disclosed by a government </w:t>
            </w:r>
            <w:r w:rsidR="008475E2" w:rsidRPr="003E6941">
              <w:rPr>
                <w:rFonts w:cs="Calibri"/>
                <w:color w:val="FFFFFF" w:themeColor="background1"/>
                <w:sz w:val="18"/>
                <w:szCs w:val="18"/>
              </w:rPr>
              <w:t>d</w:t>
            </w:r>
            <w:r w:rsidR="00A81061" w:rsidRPr="003E6941">
              <w:rPr>
                <w:rFonts w:cs="Calibri"/>
                <w:color w:val="FFFFFF" w:themeColor="background1"/>
                <w:sz w:val="18"/>
                <w:szCs w:val="18"/>
              </w:rPr>
              <w:t>irectorate or other public sector entity that obtains part or all of their spending authority from a</w:t>
            </w:r>
            <w:r w:rsidRPr="003E6941">
              <w:rPr>
                <w:rFonts w:cs="Calibri"/>
                <w:color w:val="FFFFFF" w:themeColor="background1"/>
                <w:sz w:val="18"/>
                <w:szCs w:val="18"/>
              </w:rPr>
              <w:t>n</w:t>
            </w:r>
            <w:r w:rsidR="00A81061" w:rsidRPr="003E6941">
              <w:rPr>
                <w:rFonts w:cs="Calibri"/>
                <w:color w:val="FFFFFF" w:themeColor="background1"/>
                <w:sz w:val="18"/>
                <w:szCs w:val="18"/>
              </w:rPr>
              <w:t xml:space="preserve"> </w:t>
            </w:r>
            <w:r w:rsidRPr="003E6941">
              <w:rPr>
                <w:rFonts w:cs="Calibri"/>
                <w:color w:val="FFFFFF" w:themeColor="background1"/>
                <w:sz w:val="18"/>
                <w:szCs w:val="18"/>
              </w:rPr>
              <w:t xml:space="preserve">ACT Government </w:t>
            </w:r>
            <w:r w:rsidR="00A81061" w:rsidRPr="003E6941">
              <w:rPr>
                <w:rFonts w:cs="Calibri"/>
                <w:color w:val="FFFFFF" w:themeColor="background1"/>
                <w:sz w:val="18"/>
                <w:szCs w:val="18"/>
              </w:rPr>
              <w:t>appropriation:</w:t>
            </w:r>
          </w:p>
          <w:p w14:paraId="7B85DFCF" w14:textId="77777777" w:rsidR="00A81061" w:rsidRPr="003E6941" w:rsidRDefault="00A81061" w:rsidP="00E35CD2">
            <w:pPr>
              <w:pStyle w:val="Commentary-Bullet"/>
              <w:rPr>
                <w:rFonts w:cs="Calibri"/>
                <w:color w:val="FFFFFF" w:themeColor="background1"/>
                <w:sz w:val="18"/>
                <w:szCs w:val="18"/>
              </w:rPr>
            </w:pPr>
            <w:r w:rsidRPr="003E6941">
              <w:rPr>
                <w:rFonts w:cs="Calibri"/>
                <w:color w:val="FFFFFF" w:themeColor="background1"/>
                <w:sz w:val="18"/>
                <w:szCs w:val="18"/>
              </w:rPr>
              <w:t>a summary of the major categories of appropriations, disclosing separately the original amounts appropriated for the reporting period and the total amounts appropriated for the reporting period;</w:t>
            </w:r>
          </w:p>
          <w:p w14:paraId="59E7F658" w14:textId="77777777" w:rsidR="00A81061" w:rsidRPr="003E6941" w:rsidRDefault="00A81061" w:rsidP="00E35CD2">
            <w:pPr>
              <w:pStyle w:val="Commentary-Bullet"/>
              <w:rPr>
                <w:rFonts w:cs="Calibri"/>
                <w:color w:val="FFFFFF" w:themeColor="background1"/>
                <w:sz w:val="18"/>
                <w:szCs w:val="18"/>
              </w:rPr>
            </w:pPr>
            <w:r w:rsidRPr="003E6941">
              <w:rPr>
                <w:rFonts w:cs="Calibri"/>
                <w:color w:val="FFFFFF" w:themeColor="background1"/>
                <w:sz w:val="18"/>
                <w:szCs w:val="18"/>
              </w:rPr>
              <w:t xml:space="preserve">the expenditures for the reporting period in respect of each of the above items; and </w:t>
            </w:r>
          </w:p>
          <w:p w14:paraId="60270262" w14:textId="32E26869" w:rsidR="00A81061" w:rsidRPr="003E6941" w:rsidRDefault="00A81061" w:rsidP="00E35CD2">
            <w:pPr>
              <w:pStyle w:val="Commentary-Bullet"/>
              <w:rPr>
                <w:rFonts w:cs="Calibri"/>
                <w:color w:val="FFFFFF" w:themeColor="background1"/>
                <w:sz w:val="18"/>
                <w:szCs w:val="18"/>
              </w:rPr>
            </w:pPr>
            <w:r w:rsidRPr="003E6941">
              <w:rPr>
                <w:rFonts w:cs="Calibri"/>
                <w:color w:val="FFFFFF" w:themeColor="background1"/>
                <w:sz w:val="18"/>
                <w:szCs w:val="18"/>
              </w:rPr>
              <w:t>any reasons for material variances between the amounts appropriated or otherwise authorised and the associated expenditures for the reporting period.</w:t>
            </w:r>
          </w:p>
        </w:tc>
      </w:tr>
      <w:tr w:rsidR="00D37A89" w:rsidRPr="00D37A89" w14:paraId="6925CEB5" w14:textId="77777777" w:rsidTr="004D1EC6">
        <w:trPr>
          <w:cantSplit/>
          <w:trHeight w:val="288"/>
        </w:trPr>
        <w:tc>
          <w:tcPr>
            <w:tcW w:w="1563" w:type="dxa"/>
            <w:tcBorders>
              <w:top w:val="nil"/>
              <w:left w:val="single" w:sz="2" w:space="0" w:color="auto"/>
              <w:bottom w:val="nil"/>
              <w:right w:val="single" w:sz="2" w:space="0" w:color="auto"/>
            </w:tcBorders>
          </w:tcPr>
          <w:p w14:paraId="5547C6DA" w14:textId="77777777" w:rsidR="00D37A89" w:rsidRPr="003E6941" w:rsidRDefault="00D37A89" w:rsidP="00D37A89">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3DA474E8" w14:textId="77777777" w:rsidR="00D37A89" w:rsidRPr="003E6941" w:rsidRDefault="00D37A89" w:rsidP="00D37A89">
            <w:pPr>
              <w:spacing w:after="120"/>
              <w:jc w:val="both"/>
              <w:rPr>
                <w:rFonts w:cs="Calibri"/>
                <w:color w:val="FFFFFF" w:themeColor="background1"/>
                <w:sz w:val="18"/>
                <w:szCs w:val="18"/>
              </w:rPr>
            </w:pPr>
            <w:r w:rsidRPr="003E6941">
              <w:rPr>
                <w:rFonts w:cs="Calibri"/>
                <w:color w:val="FFFFFF" w:themeColor="background1"/>
                <w:sz w:val="18"/>
                <w:szCs w:val="18"/>
              </w:rPr>
              <w:t>A tabular presentation of the variance explanation should be used if it would assist understanding of the reasons for the variance.</w:t>
            </w:r>
          </w:p>
        </w:tc>
      </w:tr>
      <w:tr w:rsidR="00F5529C" w:rsidRPr="00D37A89" w14:paraId="471E877F" w14:textId="77777777" w:rsidTr="004D1EC6">
        <w:trPr>
          <w:cantSplit/>
          <w:trHeight w:val="288"/>
        </w:trPr>
        <w:tc>
          <w:tcPr>
            <w:tcW w:w="1563" w:type="dxa"/>
            <w:tcBorders>
              <w:top w:val="nil"/>
              <w:left w:val="single" w:sz="2" w:space="0" w:color="auto"/>
              <w:bottom w:val="nil"/>
              <w:right w:val="single" w:sz="2" w:space="0" w:color="auto"/>
            </w:tcBorders>
          </w:tcPr>
          <w:p w14:paraId="2F0B1498" w14:textId="5F757443" w:rsidR="00F5529C" w:rsidRPr="003E6941" w:rsidRDefault="00F5529C" w:rsidP="00F5529C">
            <w:pPr>
              <w:tabs>
                <w:tab w:val="left" w:pos="3306"/>
              </w:tabs>
              <w:spacing w:before="60"/>
              <w:rPr>
                <w:rFonts w:cs="Calibri"/>
                <w:color w:val="7030A0"/>
                <w:sz w:val="14"/>
                <w:szCs w:val="14"/>
              </w:rPr>
            </w:pPr>
            <w:r w:rsidRPr="003E6941">
              <w:rPr>
                <w:rFonts w:cs="Calibri"/>
                <w:color w:val="7030A0"/>
                <w:sz w:val="14"/>
                <w:szCs w:val="14"/>
              </w:rPr>
              <w:t>ACT Disclosure Policy</w:t>
            </w:r>
          </w:p>
        </w:tc>
        <w:tc>
          <w:tcPr>
            <w:tcW w:w="8930" w:type="dxa"/>
            <w:tcBorders>
              <w:top w:val="nil"/>
              <w:left w:val="single" w:sz="2" w:space="0" w:color="auto"/>
              <w:bottom w:val="nil"/>
              <w:right w:val="nil"/>
            </w:tcBorders>
            <w:shd w:val="clear" w:color="auto" w:fill="7030A0"/>
          </w:tcPr>
          <w:p w14:paraId="5721CF67" w14:textId="2C1C6E75" w:rsidR="00F5529C" w:rsidRPr="003E6941" w:rsidRDefault="00F5529C" w:rsidP="00F5529C">
            <w:pPr>
              <w:spacing w:after="120"/>
              <w:jc w:val="both"/>
              <w:rPr>
                <w:rFonts w:cs="Calibri"/>
                <w:color w:val="FFFFFF" w:themeColor="background1"/>
                <w:sz w:val="18"/>
                <w:szCs w:val="18"/>
              </w:rPr>
            </w:pPr>
            <w:r w:rsidRPr="003E6941">
              <w:rPr>
                <w:rFonts w:cs="Calibri"/>
                <w:color w:val="FFFFFF" w:themeColor="background1"/>
                <w:sz w:val="18"/>
                <w:szCs w:val="18"/>
              </w:rPr>
              <w:t xml:space="preserve">Although CSO revenue is not separately identified in the Appropriation Act, CSO revenue is an identifiable sub-category of CRP revenue and is separately disclosed in the </w:t>
            </w:r>
            <w:r w:rsidR="00F86F80" w:rsidRPr="003E6941">
              <w:rPr>
                <w:rFonts w:cs="Calibri"/>
                <w:color w:val="FFFFFF" w:themeColor="background1"/>
                <w:sz w:val="18"/>
                <w:szCs w:val="18"/>
              </w:rPr>
              <w:t>Statement of Appropriation</w:t>
            </w:r>
            <w:r w:rsidRPr="003E6941">
              <w:rPr>
                <w:rFonts w:cs="Calibri"/>
                <w:color w:val="FFFFFF" w:themeColor="background1"/>
                <w:sz w:val="18"/>
                <w:szCs w:val="18"/>
              </w:rPr>
              <w:t>.</w:t>
            </w:r>
            <w:r w:rsidR="00FA7C77">
              <w:rPr>
                <w:rFonts w:cs="Calibri"/>
                <w:color w:val="FFFFFF" w:themeColor="background1"/>
                <w:sz w:val="18"/>
                <w:szCs w:val="18"/>
              </w:rPr>
              <w:t xml:space="preserve"> </w:t>
            </w:r>
          </w:p>
        </w:tc>
      </w:tr>
      <w:tr w:rsidR="00F5529C" w:rsidRPr="00D37A89" w14:paraId="573036AF" w14:textId="77777777" w:rsidTr="004D1EC6">
        <w:trPr>
          <w:cantSplit/>
          <w:trHeight w:val="288"/>
        </w:trPr>
        <w:tc>
          <w:tcPr>
            <w:tcW w:w="1563" w:type="dxa"/>
            <w:tcBorders>
              <w:top w:val="nil"/>
              <w:left w:val="single" w:sz="2" w:space="0" w:color="auto"/>
              <w:bottom w:val="nil"/>
              <w:right w:val="single" w:sz="2" w:space="0" w:color="auto"/>
            </w:tcBorders>
          </w:tcPr>
          <w:p w14:paraId="2FF1BCFB" w14:textId="77777777" w:rsidR="00F5529C" w:rsidRPr="003E6941" w:rsidRDefault="00F5529C" w:rsidP="00F5529C">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67EBABF1" w14:textId="6A08304D" w:rsidR="00F5529C" w:rsidRPr="00552ECB" w:rsidRDefault="00F5529C" w:rsidP="006B6955">
            <w:pPr>
              <w:spacing w:before="60"/>
              <w:jc w:val="both"/>
              <w:rPr>
                <w:rFonts w:cs="Calibri"/>
                <w:color w:val="FFFFFF" w:themeColor="background1"/>
                <w:sz w:val="20"/>
                <w:szCs w:val="20"/>
              </w:rPr>
            </w:pPr>
            <w:r w:rsidRPr="00552ECB">
              <w:rPr>
                <w:rFonts w:cs="Calibri"/>
                <w:b/>
                <w:bCs/>
                <w:color w:val="FFFFFF" w:themeColor="background1"/>
                <w:sz w:val="20"/>
                <w:szCs w:val="20"/>
              </w:rPr>
              <w:t>Territory Authority Commentary</w:t>
            </w:r>
          </w:p>
        </w:tc>
      </w:tr>
      <w:tr w:rsidR="00F5529C" w:rsidRPr="00D37A89" w14:paraId="057D53AB" w14:textId="77777777" w:rsidTr="004D1EC6">
        <w:trPr>
          <w:cantSplit/>
          <w:trHeight w:val="288"/>
        </w:trPr>
        <w:tc>
          <w:tcPr>
            <w:tcW w:w="1563" w:type="dxa"/>
            <w:tcBorders>
              <w:top w:val="nil"/>
              <w:left w:val="single" w:sz="2" w:space="0" w:color="auto"/>
              <w:bottom w:val="nil"/>
              <w:right w:val="single" w:sz="2" w:space="0" w:color="auto"/>
            </w:tcBorders>
          </w:tcPr>
          <w:p w14:paraId="3F581C2E" w14:textId="77777777" w:rsidR="00F5529C" w:rsidRPr="003E6941" w:rsidRDefault="00F5529C" w:rsidP="00F5529C">
            <w:pPr>
              <w:pStyle w:val="TableReference"/>
              <w:tabs>
                <w:tab w:val="left" w:pos="3306"/>
              </w:tabs>
              <w:spacing w:before="40"/>
              <w:rPr>
                <w:rFonts w:cs="Calibri"/>
                <w:color w:val="7030A0"/>
                <w:sz w:val="14"/>
              </w:rPr>
            </w:pPr>
            <w:r w:rsidRPr="003E6941">
              <w:rPr>
                <w:rFonts w:cs="Calibri"/>
                <w:color w:val="7030A0"/>
                <w:sz w:val="14"/>
              </w:rPr>
              <w:t>AASB 107.14 (a)</w:t>
            </w:r>
          </w:p>
          <w:p w14:paraId="2C7CFA6E" w14:textId="77777777" w:rsidR="00F5529C" w:rsidRPr="003E6941" w:rsidRDefault="00F5529C" w:rsidP="00F5529C">
            <w:pPr>
              <w:tabs>
                <w:tab w:val="left" w:pos="3306"/>
              </w:tabs>
              <w:spacing w:before="60"/>
              <w:rPr>
                <w:rFonts w:cs="Calibri"/>
                <w:color w:val="7030A0"/>
                <w:sz w:val="14"/>
                <w:szCs w:val="14"/>
              </w:rPr>
            </w:pPr>
          </w:p>
        </w:tc>
        <w:tc>
          <w:tcPr>
            <w:tcW w:w="8930" w:type="dxa"/>
            <w:tcBorders>
              <w:top w:val="nil"/>
              <w:left w:val="single" w:sz="2" w:space="0" w:color="auto"/>
              <w:bottom w:val="nil"/>
              <w:right w:val="nil"/>
            </w:tcBorders>
            <w:shd w:val="clear" w:color="auto" w:fill="7030A0"/>
            <w:vAlign w:val="bottom"/>
          </w:tcPr>
          <w:p w14:paraId="51A0161E" w14:textId="00E8C52E" w:rsidR="00F5529C" w:rsidRPr="003E6941" w:rsidRDefault="007B6D4A" w:rsidP="00F5529C">
            <w:pPr>
              <w:spacing w:after="120"/>
              <w:jc w:val="both"/>
              <w:rPr>
                <w:rFonts w:cs="Calibri"/>
                <w:color w:val="FFFFFF" w:themeColor="background1"/>
                <w:sz w:val="18"/>
                <w:szCs w:val="18"/>
              </w:rPr>
            </w:pPr>
            <w:r w:rsidRPr="003E6941">
              <w:rPr>
                <w:color w:val="FFFFFF" w:themeColor="background1"/>
                <w:sz w:val="18"/>
                <w:szCs w:val="18"/>
              </w:rPr>
              <w:t xml:space="preserve">The </w:t>
            </w:r>
            <w:r w:rsidRPr="003E6941">
              <w:rPr>
                <w:i/>
                <w:iCs/>
                <w:color w:val="FFFFFF" w:themeColor="background1"/>
                <w:sz w:val="18"/>
                <w:szCs w:val="18"/>
              </w:rPr>
              <w:t>Financial Management Act 1996</w:t>
            </w:r>
            <w:r w:rsidRPr="003E6941">
              <w:rPr>
                <w:color w:val="FFFFFF" w:themeColor="background1"/>
                <w:sz w:val="18"/>
                <w:szCs w:val="18"/>
              </w:rPr>
              <w:t xml:space="preserve"> (FMA) allows some territory authorities to receive CRP directly from the ACT Government.</w:t>
            </w:r>
            <w:r w:rsidR="00FA7C77">
              <w:rPr>
                <w:color w:val="FFFFFF" w:themeColor="background1"/>
                <w:sz w:val="18"/>
                <w:szCs w:val="18"/>
              </w:rPr>
              <w:t xml:space="preserve"> </w:t>
            </w:r>
            <w:r w:rsidRPr="003E6941">
              <w:rPr>
                <w:color w:val="FFFFFF" w:themeColor="background1"/>
                <w:sz w:val="18"/>
                <w:szCs w:val="18"/>
              </w:rPr>
              <w:t>Territory authorities that receive CRP will need to include the Statement of Appropriation, as provided in the Model, in their Financial Statements.</w:t>
            </w:r>
            <w:r w:rsidR="00FA7C77">
              <w:rPr>
                <w:color w:val="FFFFFF" w:themeColor="background1"/>
                <w:sz w:val="18"/>
                <w:szCs w:val="18"/>
              </w:rPr>
              <w:t xml:space="preserve"> </w:t>
            </w:r>
            <w:r w:rsidRPr="003E6941">
              <w:rPr>
                <w:color w:val="FFFFFF" w:themeColor="background1"/>
                <w:sz w:val="18"/>
                <w:szCs w:val="18"/>
              </w:rPr>
              <w:t>Authorities that do not receive CRP are therefore not required to include a Statement of Appropriation in their Financial Statements.</w:t>
            </w:r>
            <w:r w:rsidR="00FA7C77">
              <w:rPr>
                <w:rFonts w:cs="Calibri"/>
                <w:color w:val="FFFFFF" w:themeColor="background1"/>
                <w:sz w:val="18"/>
                <w:szCs w:val="18"/>
              </w:rPr>
              <w:t xml:space="preserve"> </w:t>
            </w:r>
          </w:p>
        </w:tc>
      </w:tr>
    </w:tbl>
    <w:p w14:paraId="6A77DB34" w14:textId="77777777" w:rsidR="00D37A89" w:rsidRPr="00D37A89" w:rsidRDefault="00D37A89" w:rsidP="00D37A89"/>
    <w:p w14:paraId="132157D9" w14:textId="77777777" w:rsidR="00D37A89" w:rsidRDefault="00D37A89" w:rsidP="00D37A89">
      <w:pPr>
        <w:rPr>
          <w:b/>
          <w:sz w:val="40"/>
          <w:szCs w:val="40"/>
        </w:rPr>
        <w:sectPr w:rsidR="00D37A89" w:rsidSect="004514CD">
          <w:headerReference w:type="default" r:id="rId30"/>
          <w:footnotePr>
            <w:numRestart w:val="eachPage"/>
          </w:footnotePr>
          <w:pgSz w:w="11907" w:h="16840" w:code="9"/>
          <w:pgMar w:top="1134" w:right="680" w:bottom="567" w:left="680" w:header="720" w:footer="720" w:gutter="0"/>
          <w:cols w:space="720"/>
        </w:sectPr>
      </w:pPr>
    </w:p>
    <w:p w14:paraId="0DD91DB2" w14:textId="35DD56FA" w:rsidR="000144FF" w:rsidRPr="00572AEC" w:rsidRDefault="000144FF" w:rsidP="00574DE1">
      <w:pPr>
        <w:spacing w:line="400" w:lineRule="exact"/>
        <w:jc w:val="center"/>
        <w:rPr>
          <w:b/>
          <w:sz w:val="40"/>
          <w:szCs w:val="40"/>
        </w:rPr>
      </w:pPr>
      <w:bookmarkStart w:id="236" w:name="_Toc194918645"/>
      <w:bookmarkEnd w:id="216"/>
      <w:r w:rsidRPr="00572AEC">
        <w:rPr>
          <w:b/>
          <w:sz w:val="40"/>
          <w:szCs w:val="40"/>
        </w:rPr>
        <w:t>‘</w:t>
      </w:r>
      <w:r w:rsidR="00CB5FDC" w:rsidRPr="00572AEC">
        <w:rPr>
          <w:rFonts w:asciiTheme="minorHAnsi" w:hAnsiTheme="minorHAnsi" w:cstheme="minorHAnsi"/>
          <w:b/>
          <w:bCs/>
          <w:sz w:val="40"/>
          <w:szCs w:val="24"/>
        </w:rPr>
        <w:t xml:space="preserve">Burley Griffin </w:t>
      </w:r>
      <w:r w:rsidR="002B361F" w:rsidRPr="00572AEC">
        <w:rPr>
          <w:b/>
          <w:sz w:val="40"/>
          <w:szCs w:val="40"/>
        </w:rPr>
        <w:t>Agency</w:t>
      </w:r>
      <w:r w:rsidRPr="00572AEC">
        <w:rPr>
          <w:b/>
          <w:sz w:val="40"/>
          <w:szCs w:val="40"/>
        </w:rPr>
        <w:t>’</w:t>
      </w:r>
      <w:bookmarkEnd w:id="236"/>
    </w:p>
    <w:p w14:paraId="5D54EA43" w14:textId="77777777" w:rsidR="000144FF" w:rsidRPr="00572AEC" w:rsidRDefault="000144FF" w:rsidP="00574DE1">
      <w:pPr>
        <w:pStyle w:val="Subtitle"/>
        <w:spacing w:line="400" w:lineRule="exact"/>
        <w:rPr>
          <w:rFonts w:asciiTheme="minorHAnsi" w:hAnsiTheme="minorHAnsi" w:cstheme="minorHAnsi"/>
        </w:rPr>
      </w:pPr>
      <w:bookmarkStart w:id="237" w:name="_Toc48468239"/>
      <w:bookmarkStart w:id="238" w:name="_Toc49155430"/>
      <w:bookmarkStart w:id="239" w:name="_Toc49223880"/>
      <w:bookmarkStart w:id="240" w:name="_Toc50440319"/>
      <w:bookmarkStart w:id="241" w:name="_Toc194918646"/>
      <w:bookmarkStart w:id="242" w:name="_Toc400627313"/>
      <w:bookmarkStart w:id="243" w:name="_Toc98763031"/>
      <w:r w:rsidRPr="00572AEC">
        <w:rPr>
          <w:rFonts w:asciiTheme="minorHAnsi" w:hAnsiTheme="minorHAnsi" w:cstheme="minorHAnsi"/>
        </w:rPr>
        <w:t>Operating Statement for Output Class 1 – Management of Land</w:t>
      </w:r>
      <w:bookmarkEnd w:id="237"/>
      <w:bookmarkEnd w:id="238"/>
      <w:bookmarkEnd w:id="239"/>
      <w:bookmarkEnd w:id="240"/>
      <w:bookmarkEnd w:id="241"/>
      <w:bookmarkEnd w:id="242"/>
      <w:bookmarkEnd w:id="243"/>
    </w:p>
    <w:p w14:paraId="1DABF9D0" w14:textId="02E3D018" w:rsidR="000144FF" w:rsidRPr="00572AEC" w:rsidRDefault="000144FF" w:rsidP="00574DE1">
      <w:pPr>
        <w:spacing w:after="240" w:line="400" w:lineRule="exact"/>
        <w:jc w:val="center"/>
        <w:rPr>
          <w:b/>
          <w:sz w:val="40"/>
          <w:szCs w:val="40"/>
        </w:rPr>
      </w:pPr>
      <w:r w:rsidRPr="00572AEC">
        <w:rPr>
          <w:b/>
          <w:sz w:val="40"/>
          <w:szCs w:val="40"/>
        </w:rPr>
        <w:t xml:space="preserve">For the Year Ended 30 June </w:t>
      </w:r>
      <w:r w:rsidR="00C66E0D" w:rsidRPr="00572AEC">
        <w:rPr>
          <w:b/>
          <w:sz w:val="40"/>
          <w:szCs w:val="40"/>
        </w:rPr>
        <w:t>202</w:t>
      </w:r>
      <w:r w:rsidR="00786CB8" w:rsidRPr="00572AEC">
        <w:rPr>
          <w:b/>
          <w:sz w:val="40"/>
          <w:szCs w:val="40"/>
        </w:rPr>
        <w:t>2</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5528"/>
        <w:gridCol w:w="1134"/>
        <w:gridCol w:w="992"/>
        <w:gridCol w:w="1276"/>
      </w:tblGrid>
      <w:tr w:rsidR="000144FF" w:rsidRPr="00CF7E1B" w14:paraId="7660BF9F" w14:textId="77777777" w:rsidTr="004D1EC6">
        <w:tc>
          <w:tcPr>
            <w:tcW w:w="1557" w:type="dxa"/>
            <w:tcBorders>
              <w:top w:val="nil"/>
              <w:left w:val="single" w:sz="2" w:space="0" w:color="auto"/>
              <w:bottom w:val="nil"/>
              <w:right w:val="single" w:sz="2" w:space="0" w:color="auto"/>
            </w:tcBorders>
            <w:vAlign w:val="bottom"/>
          </w:tcPr>
          <w:p w14:paraId="699B627F" w14:textId="77777777" w:rsidR="000144FF" w:rsidRPr="00572AEC" w:rsidRDefault="000144FF" w:rsidP="00421D32">
            <w:pPr>
              <w:pStyle w:val="Reference"/>
              <w:tabs>
                <w:tab w:val="left" w:pos="3306"/>
              </w:tabs>
              <w:rPr>
                <w:rFonts w:cs="Calibri"/>
                <w:color w:val="7030A0"/>
                <w:sz w:val="22"/>
                <w:szCs w:val="22"/>
              </w:rPr>
            </w:pPr>
            <w:bookmarkStart w:id="244" w:name="_Toc48468240"/>
            <w:bookmarkStart w:id="245" w:name="_Toc49155431"/>
            <w:bookmarkStart w:id="246" w:name="_Toc49223881"/>
            <w:r w:rsidRPr="00572AEC">
              <w:rPr>
                <w:rFonts w:cs="Calibri"/>
                <w:color w:val="7030A0"/>
                <w:sz w:val="22"/>
                <w:szCs w:val="22"/>
              </w:rPr>
              <w:t>Reference</w:t>
            </w:r>
            <w:bookmarkEnd w:id="244"/>
            <w:bookmarkEnd w:id="245"/>
            <w:bookmarkEnd w:id="246"/>
          </w:p>
        </w:tc>
        <w:tc>
          <w:tcPr>
            <w:tcW w:w="8930" w:type="dxa"/>
            <w:gridSpan w:val="4"/>
            <w:tcBorders>
              <w:top w:val="nil"/>
              <w:left w:val="single" w:sz="2" w:space="0" w:color="auto"/>
              <w:bottom w:val="nil"/>
              <w:right w:val="nil"/>
            </w:tcBorders>
            <w:vAlign w:val="bottom"/>
          </w:tcPr>
          <w:p w14:paraId="091E9C59" w14:textId="77777777" w:rsidR="000144FF" w:rsidRPr="003437E5" w:rsidRDefault="003437E5" w:rsidP="00786CB8">
            <w:pPr>
              <w:pStyle w:val="CommentaryHeading"/>
              <w:tabs>
                <w:tab w:val="left" w:pos="3306"/>
              </w:tabs>
              <w:spacing w:before="0" w:after="120"/>
              <w:rPr>
                <w:rFonts w:cs="Calibri"/>
                <w:sz w:val="24"/>
                <w:szCs w:val="24"/>
              </w:rPr>
            </w:pPr>
            <w:r w:rsidRPr="003437E5">
              <w:rPr>
                <w:sz w:val="24"/>
                <w:szCs w:val="24"/>
              </w:rPr>
              <w:t>Operating Statement for Output Class 1 – Management of Land</w:t>
            </w:r>
          </w:p>
        </w:tc>
      </w:tr>
      <w:tr w:rsidR="000144FF" w:rsidRPr="00CF7E1B" w14:paraId="1A01407B" w14:textId="77777777" w:rsidTr="004D1EC6">
        <w:tc>
          <w:tcPr>
            <w:tcW w:w="1557" w:type="dxa"/>
            <w:tcBorders>
              <w:top w:val="nil"/>
              <w:left w:val="single" w:sz="2" w:space="0" w:color="auto"/>
              <w:bottom w:val="nil"/>
              <w:right w:val="single" w:sz="2" w:space="0" w:color="auto"/>
            </w:tcBorders>
            <w:vAlign w:val="bottom"/>
          </w:tcPr>
          <w:p w14:paraId="78A426ED" w14:textId="77777777" w:rsidR="000144FF" w:rsidRPr="00572AEC" w:rsidRDefault="000144FF" w:rsidP="003437E5">
            <w:pPr>
              <w:pStyle w:val="Reference"/>
              <w:tabs>
                <w:tab w:val="left" w:pos="3306"/>
              </w:tabs>
              <w:spacing w:before="240" w:after="200"/>
              <w:rPr>
                <w:rFonts w:cs="Calibri"/>
                <w:b w:val="0"/>
                <w:bCs w:val="0"/>
                <w:color w:val="7030A0"/>
                <w:sz w:val="14"/>
                <w:szCs w:val="14"/>
              </w:rPr>
            </w:pPr>
          </w:p>
          <w:p w14:paraId="4C764F27" w14:textId="77777777" w:rsidR="00D15010" w:rsidRPr="00572AEC" w:rsidRDefault="00D15010">
            <w:pPr>
              <w:pStyle w:val="Reference"/>
              <w:tabs>
                <w:tab w:val="left" w:pos="3306"/>
              </w:tabs>
              <w:spacing w:before="60" w:after="200"/>
              <w:rPr>
                <w:rFonts w:cs="Calibri"/>
                <w:b w:val="0"/>
                <w:bCs w:val="0"/>
                <w:color w:val="7030A0"/>
                <w:sz w:val="14"/>
                <w:szCs w:val="14"/>
              </w:rPr>
            </w:pPr>
            <w:r w:rsidRPr="00572AEC">
              <w:rPr>
                <w:rFonts w:cs="Calibri"/>
                <w:b w:val="0"/>
                <w:bCs w:val="0"/>
                <w:color w:val="7030A0"/>
                <w:sz w:val="14"/>
                <w:szCs w:val="14"/>
              </w:rPr>
              <w:t>AASB 1052</w:t>
            </w:r>
            <w:r w:rsidR="00D65811" w:rsidRPr="00572AEC">
              <w:rPr>
                <w:rFonts w:cs="Calibri"/>
                <w:b w:val="0"/>
                <w:bCs w:val="0"/>
                <w:color w:val="7030A0"/>
                <w:sz w:val="14"/>
                <w:szCs w:val="14"/>
              </w:rPr>
              <w:t>.</w:t>
            </w:r>
            <w:r w:rsidRPr="00572AEC">
              <w:rPr>
                <w:rFonts w:cs="Calibri"/>
                <w:b w:val="0"/>
                <w:bCs w:val="0"/>
                <w:color w:val="7030A0"/>
                <w:sz w:val="14"/>
                <w:szCs w:val="14"/>
              </w:rPr>
              <w:t>15(a)</w:t>
            </w:r>
          </w:p>
        </w:tc>
        <w:tc>
          <w:tcPr>
            <w:tcW w:w="8930" w:type="dxa"/>
            <w:gridSpan w:val="4"/>
            <w:tcBorders>
              <w:top w:val="nil"/>
              <w:left w:val="single" w:sz="2" w:space="0" w:color="auto"/>
              <w:bottom w:val="nil"/>
              <w:right w:val="nil"/>
            </w:tcBorders>
            <w:vAlign w:val="bottom"/>
          </w:tcPr>
          <w:p w14:paraId="71C76B26" w14:textId="77777777" w:rsidR="000144FF" w:rsidRPr="00572AEC" w:rsidRDefault="000144FF" w:rsidP="003A2D8E">
            <w:pPr>
              <w:pStyle w:val="CommentaryHeading"/>
              <w:tabs>
                <w:tab w:val="left" w:pos="3306"/>
              </w:tabs>
              <w:spacing w:before="0" w:after="120"/>
              <w:rPr>
                <w:rFonts w:cs="Calibri"/>
                <w:sz w:val="18"/>
              </w:rPr>
            </w:pPr>
            <w:r w:rsidRPr="00572AEC">
              <w:rPr>
                <w:rFonts w:cs="Calibri"/>
                <w:sz w:val="18"/>
              </w:rPr>
              <w:t>Description</w:t>
            </w:r>
          </w:p>
          <w:p w14:paraId="0A6684CC" w14:textId="09DB7B92" w:rsidR="000144FF" w:rsidRPr="00572AEC" w:rsidRDefault="000144FF" w:rsidP="000926D0">
            <w:pPr>
              <w:pStyle w:val="TableTitle"/>
              <w:tabs>
                <w:tab w:val="left" w:pos="3306"/>
              </w:tabs>
              <w:spacing w:after="120"/>
              <w:jc w:val="both"/>
              <w:rPr>
                <w:rFonts w:cs="Calibri"/>
                <w:b w:val="0"/>
                <w:bCs w:val="0"/>
              </w:rPr>
            </w:pPr>
            <w:r w:rsidRPr="00572AEC">
              <w:rPr>
                <w:rFonts w:cs="Calibri"/>
                <w:b w:val="0"/>
                <w:bCs w:val="0"/>
              </w:rPr>
              <w:t>Output Class 1: ‘Management of Land’ includes the coordination of integrated land use, metropolitan planning, Land Act compliance, lease management services, land surveying</w:t>
            </w:r>
            <w:r w:rsidR="00DD2353" w:rsidRPr="00572AEC">
              <w:rPr>
                <w:rFonts w:cs="Calibri"/>
                <w:b w:val="0"/>
                <w:bCs w:val="0"/>
              </w:rPr>
              <w:t>,</w:t>
            </w:r>
            <w:r w:rsidRPr="00572AEC">
              <w:rPr>
                <w:rFonts w:cs="Calibri"/>
                <w:b w:val="0"/>
                <w:bCs w:val="0"/>
              </w:rPr>
              <w:t xml:space="preserve"> </w:t>
            </w:r>
            <w:r w:rsidR="00DD2353" w:rsidRPr="00572AEC">
              <w:rPr>
                <w:rFonts w:cs="Calibri"/>
                <w:b w:val="0"/>
                <w:bCs w:val="0"/>
              </w:rPr>
              <w:t xml:space="preserve">land sales </w:t>
            </w:r>
            <w:r w:rsidRPr="00572AEC">
              <w:rPr>
                <w:rFonts w:cs="Calibri"/>
                <w:b w:val="0"/>
                <w:bCs w:val="0"/>
              </w:rPr>
              <w:t>and the management of land and infrastructure.</w:t>
            </w:r>
            <w:r w:rsidR="00FA7C77">
              <w:rPr>
                <w:rFonts w:cs="Calibri"/>
                <w:b w:val="0"/>
                <w:bCs w:val="0"/>
              </w:rPr>
              <w:t xml:space="preserve"> </w:t>
            </w:r>
            <w:r w:rsidRPr="00572AEC">
              <w:rPr>
                <w:rFonts w:cs="Calibri"/>
                <w:b w:val="0"/>
                <w:bCs w:val="0"/>
              </w:rPr>
              <w:t xml:space="preserve"> </w:t>
            </w:r>
          </w:p>
        </w:tc>
      </w:tr>
      <w:tr w:rsidR="00F82E19" w:rsidRPr="00CF7E1B" w14:paraId="64520C51" w14:textId="77777777" w:rsidTr="004D1EC6">
        <w:tc>
          <w:tcPr>
            <w:tcW w:w="1557" w:type="dxa"/>
            <w:vMerge w:val="restart"/>
            <w:tcBorders>
              <w:top w:val="nil"/>
              <w:left w:val="single" w:sz="2" w:space="0" w:color="auto"/>
              <w:right w:val="single" w:sz="2" w:space="0" w:color="auto"/>
            </w:tcBorders>
            <w:vAlign w:val="bottom"/>
          </w:tcPr>
          <w:p w14:paraId="4230B623" w14:textId="1CFD506E" w:rsidR="007F6866" w:rsidRPr="00572AEC" w:rsidRDefault="00F82E19" w:rsidP="007F6866">
            <w:pPr>
              <w:pStyle w:val="TableReference"/>
              <w:tabs>
                <w:tab w:val="left" w:pos="3306"/>
              </w:tabs>
              <w:spacing w:before="40"/>
              <w:rPr>
                <w:rFonts w:cs="Calibri"/>
                <w:bCs/>
                <w:color w:val="7030A0"/>
                <w:sz w:val="14"/>
              </w:rPr>
            </w:pPr>
            <w:r w:rsidRPr="00572AEC">
              <w:rPr>
                <w:rFonts w:cs="Calibri"/>
                <w:color w:val="7030A0"/>
                <w:sz w:val="14"/>
              </w:rPr>
              <w:t xml:space="preserve">FMA Section 27(3)(a) Financial Management (Periodic &amp; Annual Financial Statements) Guidelines </w:t>
            </w:r>
            <w:r w:rsidR="007F6866" w:rsidRPr="00572AEC">
              <w:rPr>
                <w:rFonts w:cs="Calibri"/>
                <w:bCs/>
                <w:color w:val="7030A0"/>
                <w:sz w:val="14"/>
              </w:rPr>
              <w:t>2016</w:t>
            </w:r>
          </w:p>
          <w:p w14:paraId="2E868F97" w14:textId="77777777" w:rsidR="00F82E19" w:rsidRPr="00572AEC" w:rsidRDefault="00F82E19" w:rsidP="006A4EE4">
            <w:pPr>
              <w:pStyle w:val="Reference"/>
              <w:tabs>
                <w:tab w:val="left" w:pos="3306"/>
              </w:tabs>
              <w:rPr>
                <w:rFonts w:cs="Calibri"/>
                <w:b w:val="0"/>
                <w:bCs w:val="0"/>
                <w:color w:val="7030A0"/>
                <w:sz w:val="14"/>
                <w:szCs w:val="14"/>
              </w:rPr>
            </w:pPr>
            <w:r w:rsidRPr="00572AEC">
              <w:rPr>
                <w:rFonts w:cs="Calibri"/>
                <w:b w:val="0"/>
                <w:bCs w:val="0"/>
                <w:color w:val="7030A0"/>
                <w:sz w:val="14"/>
                <w:szCs w:val="14"/>
              </w:rPr>
              <w:t>Section 7(2)</w:t>
            </w:r>
          </w:p>
        </w:tc>
        <w:tc>
          <w:tcPr>
            <w:tcW w:w="5528" w:type="dxa"/>
            <w:tcBorders>
              <w:top w:val="nil"/>
              <w:left w:val="single" w:sz="2" w:space="0" w:color="auto"/>
              <w:bottom w:val="nil"/>
              <w:right w:val="nil"/>
            </w:tcBorders>
            <w:vAlign w:val="bottom"/>
          </w:tcPr>
          <w:p w14:paraId="7B3F5E2E" w14:textId="77777777" w:rsidR="00F82E19" w:rsidRPr="00572AEC" w:rsidRDefault="00F82E19">
            <w:pPr>
              <w:pStyle w:val="TableTitle"/>
              <w:tabs>
                <w:tab w:val="left" w:pos="3306"/>
              </w:tabs>
              <w:rPr>
                <w:rFonts w:cs="Calibri"/>
              </w:rPr>
            </w:pPr>
          </w:p>
        </w:tc>
        <w:tc>
          <w:tcPr>
            <w:tcW w:w="1134" w:type="dxa"/>
            <w:tcBorders>
              <w:top w:val="nil"/>
              <w:left w:val="nil"/>
              <w:bottom w:val="nil"/>
              <w:right w:val="nil"/>
            </w:tcBorders>
            <w:vAlign w:val="bottom"/>
          </w:tcPr>
          <w:p w14:paraId="490D121B" w14:textId="77777777" w:rsidR="00F82E19" w:rsidRPr="00572AEC" w:rsidRDefault="00F82E19">
            <w:pPr>
              <w:pStyle w:val="TableTitle"/>
              <w:tabs>
                <w:tab w:val="left" w:pos="3306"/>
              </w:tabs>
              <w:rPr>
                <w:rFonts w:cs="Calibri"/>
              </w:rPr>
            </w:pPr>
            <w:r w:rsidRPr="00572AEC">
              <w:rPr>
                <w:rFonts w:cs="Calibri"/>
              </w:rPr>
              <w:t>Actual</w:t>
            </w:r>
          </w:p>
          <w:p w14:paraId="1488E446" w14:textId="68AD6E78" w:rsidR="00F82E19" w:rsidRPr="00572AEC" w:rsidRDefault="00F82E19" w:rsidP="001B231B">
            <w:pPr>
              <w:pStyle w:val="TableTitle"/>
              <w:tabs>
                <w:tab w:val="left" w:pos="3306"/>
              </w:tabs>
              <w:rPr>
                <w:rFonts w:cs="Calibri"/>
              </w:rPr>
            </w:pPr>
            <w:r w:rsidRPr="00572AEC">
              <w:rPr>
                <w:rFonts w:cs="Calibri"/>
              </w:rPr>
              <w:t>202</w:t>
            </w:r>
            <w:r w:rsidR="001000C4" w:rsidRPr="00572AEC">
              <w:rPr>
                <w:rFonts w:cs="Calibri"/>
              </w:rPr>
              <w:t>2</w:t>
            </w:r>
          </w:p>
          <w:p w14:paraId="632175F9" w14:textId="77777777" w:rsidR="00F82E19" w:rsidRPr="00572AEC" w:rsidRDefault="00F82E19">
            <w:pPr>
              <w:pStyle w:val="TableTitle"/>
              <w:tabs>
                <w:tab w:val="left" w:pos="3306"/>
              </w:tabs>
              <w:rPr>
                <w:rFonts w:cs="Calibri"/>
              </w:rPr>
            </w:pPr>
            <w:r w:rsidRPr="00572AEC">
              <w:rPr>
                <w:rFonts w:cs="Calibri"/>
              </w:rPr>
              <w:t>$’000</w:t>
            </w:r>
          </w:p>
        </w:tc>
        <w:tc>
          <w:tcPr>
            <w:tcW w:w="992" w:type="dxa"/>
            <w:tcBorders>
              <w:top w:val="nil"/>
              <w:left w:val="nil"/>
              <w:bottom w:val="nil"/>
              <w:right w:val="nil"/>
            </w:tcBorders>
            <w:vAlign w:val="bottom"/>
          </w:tcPr>
          <w:p w14:paraId="15B7BF88" w14:textId="77777777" w:rsidR="00F82E19" w:rsidRPr="00572AEC" w:rsidRDefault="00F82E19">
            <w:pPr>
              <w:pStyle w:val="TableTitle"/>
              <w:tabs>
                <w:tab w:val="left" w:pos="3306"/>
              </w:tabs>
              <w:rPr>
                <w:rFonts w:cs="Calibri"/>
              </w:rPr>
            </w:pPr>
            <w:r w:rsidRPr="00572AEC">
              <w:rPr>
                <w:rFonts w:cs="Calibri"/>
              </w:rPr>
              <w:t>Original Budget</w:t>
            </w:r>
          </w:p>
          <w:p w14:paraId="62A9FE63" w14:textId="6545A0B6" w:rsidR="00F82E19" w:rsidRPr="00572AEC" w:rsidRDefault="00F82E19" w:rsidP="001B231B">
            <w:pPr>
              <w:pStyle w:val="TableTitle"/>
              <w:tabs>
                <w:tab w:val="left" w:pos="3306"/>
              </w:tabs>
              <w:rPr>
                <w:rFonts w:cs="Calibri"/>
              </w:rPr>
            </w:pPr>
            <w:r w:rsidRPr="00572AEC">
              <w:rPr>
                <w:rFonts w:cs="Calibri"/>
              </w:rPr>
              <w:t>202</w:t>
            </w:r>
            <w:r w:rsidR="001000C4" w:rsidRPr="00572AEC">
              <w:rPr>
                <w:rFonts w:cs="Calibri"/>
              </w:rPr>
              <w:t>2</w:t>
            </w:r>
          </w:p>
          <w:p w14:paraId="1478D607" w14:textId="77777777" w:rsidR="00F82E19" w:rsidRPr="00572AEC" w:rsidRDefault="00F82E19">
            <w:pPr>
              <w:pStyle w:val="TableTitle"/>
              <w:tabs>
                <w:tab w:val="left" w:pos="3306"/>
              </w:tabs>
              <w:rPr>
                <w:rFonts w:cs="Calibri"/>
              </w:rPr>
            </w:pPr>
            <w:r w:rsidRPr="00572AEC">
              <w:rPr>
                <w:rFonts w:cs="Calibri"/>
              </w:rPr>
              <w:t>$’000</w:t>
            </w:r>
          </w:p>
        </w:tc>
        <w:tc>
          <w:tcPr>
            <w:tcW w:w="1276" w:type="dxa"/>
            <w:tcBorders>
              <w:top w:val="nil"/>
              <w:left w:val="nil"/>
              <w:bottom w:val="nil"/>
              <w:right w:val="nil"/>
            </w:tcBorders>
            <w:vAlign w:val="bottom"/>
          </w:tcPr>
          <w:p w14:paraId="7AB78AD4" w14:textId="77777777" w:rsidR="00F82E19" w:rsidRPr="00572AEC" w:rsidRDefault="00F82E19">
            <w:pPr>
              <w:pStyle w:val="TableTitle"/>
              <w:tabs>
                <w:tab w:val="left" w:pos="3306"/>
              </w:tabs>
              <w:rPr>
                <w:rFonts w:cs="Calibri"/>
              </w:rPr>
            </w:pPr>
            <w:r w:rsidRPr="00572AEC">
              <w:rPr>
                <w:rFonts w:cs="Calibri"/>
              </w:rPr>
              <w:t>Actual</w:t>
            </w:r>
          </w:p>
          <w:p w14:paraId="6E55E15F" w14:textId="6110C4AD" w:rsidR="00F82E19" w:rsidRPr="00572AEC" w:rsidRDefault="00F82E19">
            <w:pPr>
              <w:pStyle w:val="TableTitle"/>
              <w:tabs>
                <w:tab w:val="left" w:pos="3306"/>
              </w:tabs>
              <w:rPr>
                <w:rFonts w:cs="Calibri"/>
              </w:rPr>
            </w:pPr>
            <w:r w:rsidRPr="00572AEC">
              <w:rPr>
                <w:rFonts w:cs="Calibri"/>
              </w:rPr>
              <w:t>2021</w:t>
            </w:r>
          </w:p>
          <w:p w14:paraId="6FB3EB2D" w14:textId="77777777" w:rsidR="00F82E19" w:rsidRPr="00572AEC" w:rsidRDefault="00F82E19">
            <w:pPr>
              <w:pStyle w:val="TableTitle"/>
              <w:tabs>
                <w:tab w:val="left" w:pos="3306"/>
              </w:tabs>
              <w:rPr>
                <w:rFonts w:cs="Calibri"/>
              </w:rPr>
            </w:pPr>
            <w:r w:rsidRPr="00572AEC">
              <w:rPr>
                <w:rFonts w:cs="Calibri"/>
              </w:rPr>
              <w:t>$’000</w:t>
            </w:r>
          </w:p>
        </w:tc>
      </w:tr>
      <w:tr w:rsidR="00F82E19" w:rsidRPr="00CF7E1B" w14:paraId="0823844A" w14:textId="77777777" w:rsidTr="004D1EC6">
        <w:tc>
          <w:tcPr>
            <w:tcW w:w="1557" w:type="dxa"/>
            <w:vMerge/>
            <w:tcBorders>
              <w:top w:val="nil"/>
              <w:left w:val="single" w:sz="2" w:space="0" w:color="auto"/>
              <w:bottom w:val="nil"/>
              <w:right w:val="single" w:sz="2" w:space="0" w:color="auto"/>
            </w:tcBorders>
          </w:tcPr>
          <w:p w14:paraId="3AAF59B7" w14:textId="77777777" w:rsidR="00F82E19" w:rsidRPr="00572AEC" w:rsidRDefault="00F82E19">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74119699" w14:textId="77777777" w:rsidR="00F82E19" w:rsidRPr="00572AEC" w:rsidRDefault="00F82E19">
            <w:pPr>
              <w:pStyle w:val="TableText"/>
              <w:tabs>
                <w:tab w:val="left" w:pos="3306"/>
              </w:tabs>
              <w:rPr>
                <w:rFonts w:cs="Calibri"/>
                <w:b/>
                <w:bCs/>
              </w:rPr>
            </w:pPr>
            <w:r w:rsidRPr="00572AEC">
              <w:rPr>
                <w:rFonts w:cs="Calibri"/>
                <w:b/>
                <w:bCs/>
              </w:rPr>
              <w:t>Income</w:t>
            </w:r>
          </w:p>
        </w:tc>
        <w:tc>
          <w:tcPr>
            <w:tcW w:w="1134" w:type="dxa"/>
            <w:tcBorders>
              <w:top w:val="nil"/>
              <w:left w:val="nil"/>
              <w:bottom w:val="nil"/>
              <w:right w:val="nil"/>
            </w:tcBorders>
            <w:vAlign w:val="bottom"/>
          </w:tcPr>
          <w:p w14:paraId="61CB529B" w14:textId="77777777" w:rsidR="00F82E19" w:rsidRPr="00572AEC" w:rsidRDefault="00F82E19">
            <w:pPr>
              <w:pStyle w:val="TableText"/>
              <w:tabs>
                <w:tab w:val="left" w:pos="3306"/>
              </w:tabs>
              <w:jc w:val="right"/>
              <w:rPr>
                <w:rFonts w:cs="Calibri"/>
              </w:rPr>
            </w:pPr>
          </w:p>
        </w:tc>
        <w:tc>
          <w:tcPr>
            <w:tcW w:w="992" w:type="dxa"/>
            <w:tcBorders>
              <w:top w:val="nil"/>
              <w:left w:val="nil"/>
              <w:bottom w:val="nil"/>
              <w:right w:val="nil"/>
            </w:tcBorders>
            <w:vAlign w:val="bottom"/>
          </w:tcPr>
          <w:p w14:paraId="502CFB38" w14:textId="77777777" w:rsidR="00F82E19" w:rsidRPr="00572AEC" w:rsidRDefault="00F82E19">
            <w:pPr>
              <w:pStyle w:val="TableText"/>
              <w:tabs>
                <w:tab w:val="left" w:pos="3306"/>
              </w:tabs>
              <w:jc w:val="right"/>
              <w:rPr>
                <w:rFonts w:cs="Calibri"/>
              </w:rPr>
            </w:pPr>
          </w:p>
        </w:tc>
        <w:tc>
          <w:tcPr>
            <w:tcW w:w="1276" w:type="dxa"/>
            <w:tcBorders>
              <w:top w:val="nil"/>
              <w:left w:val="nil"/>
              <w:bottom w:val="nil"/>
              <w:right w:val="nil"/>
            </w:tcBorders>
            <w:vAlign w:val="bottom"/>
          </w:tcPr>
          <w:p w14:paraId="68AE774C" w14:textId="77777777" w:rsidR="00F82E19" w:rsidRPr="00572AEC" w:rsidRDefault="00F82E19">
            <w:pPr>
              <w:pStyle w:val="TableText"/>
              <w:tabs>
                <w:tab w:val="left" w:pos="3306"/>
              </w:tabs>
              <w:jc w:val="right"/>
              <w:rPr>
                <w:rFonts w:cs="Calibri"/>
              </w:rPr>
            </w:pPr>
          </w:p>
        </w:tc>
      </w:tr>
      <w:tr w:rsidR="000144FF" w:rsidRPr="00CF7E1B" w14:paraId="77B4D3E1" w14:textId="77777777" w:rsidTr="004D1EC6">
        <w:tc>
          <w:tcPr>
            <w:tcW w:w="1557" w:type="dxa"/>
            <w:tcBorders>
              <w:top w:val="nil"/>
              <w:left w:val="single" w:sz="2" w:space="0" w:color="auto"/>
              <w:bottom w:val="nil"/>
              <w:right w:val="single" w:sz="2" w:space="0" w:color="auto"/>
            </w:tcBorders>
          </w:tcPr>
          <w:p w14:paraId="5596D104" w14:textId="77777777" w:rsidR="000144FF" w:rsidRPr="00572AEC" w:rsidRDefault="000144FF">
            <w:pPr>
              <w:pStyle w:val="TableReference"/>
              <w:tabs>
                <w:tab w:val="left" w:pos="3306"/>
              </w:tabs>
              <w:spacing w:before="40"/>
              <w:rPr>
                <w:rFonts w:cs="Calibri"/>
                <w:color w:val="7030A0"/>
                <w:sz w:val="14"/>
              </w:rPr>
            </w:pPr>
            <w:r w:rsidRPr="00572AEC">
              <w:rPr>
                <w:rFonts w:cs="Calibri"/>
                <w:color w:val="7030A0"/>
                <w:sz w:val="14"/>
              </w:rPr>
              <w:t xml:space="preserve"> </w:t>
            </w:r>
          </w:p>
        </w:tc>
        <w:tc>
          <w:tcPr>
            <w:tcW w:w="5528" w:type="dxa"/>
            <w:tcBorders>
              <w:top w:val="nil"/>
              <w:left w:val="single" w:sz="2" w:space="0" w:color="auto"/>
              <w:bottom w:val="nil"/>
              <w:right w:val="nil"/>
            </w:tcBorders>
            <w:vAlign w:val="bottom"/>
          </w:tcPr>
          <w:p w14:paraId="15DD60E5" w14:textId="77777777" w:rsidR="000144FF" w:rsidRPr="00572AEC" w:rsidRDefault="000144FF">
            <w:pPr>
              <w:pStyle w:val="TableText"/>
              <w:tabs>
                <w:tab w:val="left" w:pos="3306"/>
              </w:tabs>
              <w:rPr>
                <w:rFonts w:cs="Calibri"/>
                <w:i/>
                <w:iCs/>
              </w:rPr>
            </w:pPr>
            <w:r w:rsidRPr="00572AEC">
              <w:rPr>
                <w:rFonts w:cs="Calibri"/>
                <w:i/>
                <w:iCs/>
              </w:rPr>
              <w:t>Revenue</w:t>
            </w:r>
          </w:p>
        </w:tc>
        <w:tc>
          <w:tcPr>
            <w:tcW w:w="1134" w:type="dxa"/>
            <w:tcBorders>
              <w:top w:val="nil"/>
              <w:left w:val="nil"/>
              <w:bottom w:val="nil"/>
              <w:right w:val="nil"/>
            </w:tcBorders>
            <w:vAlign w:val="bottom"/>
          </w:tcPr>
          <w:p w14:paraId="68DAEDE2" w14:textId="77777777" w:rsidR="000144FF" w:rsidRPr="00572AEC"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31E4D5E3" w14:textId="77777777" w:rsidR="000144FF" w:rsidRPr="00572AEC" w:rsidRDefault="000144FF">
            <w:pPr>
              <w:pStyle w:val="TableText"/>
              <w:tabs>
                <w:tab w:val="left" w:pos="3306"/>
              </w:tabs>
              <w:jc w:val="right"/>
              <w:rPr>
                <w:rFonts w:cs="Calibri"/>
              </w:rPr>
            </w:pPr>
          </w:p>
        </w:tc>
        <w:tc>
          <w:tcPr>
            <w:tcW w:w="1276" w:type="dxa"/>
            <w:tcBorders>
              <w:top w:val="nil"/>
              <w:left w:val="nil"/>
              <w:bottom w:val="nil"/>
              <w:right w:val="nil"/>
            </w:tcBorders>
            <w:vAlign w:val="bottom"/>
          </w:tcPr>
          <w:p w14:paraId="32EE36B0" w14:textId="77777777" w:rsidR="000144FF" w:rsidRPr="00572AEC" w:rsidRDefault="000144FF">
            <w:pPr>
              <w:pStyle w:val="TableText"/>
              <w:tabs>
                <w:tab w:val="left" w:pos="3306"/>
              </w:tabs>
              <w:jc w:val="right"/>
              <w:rPr>
                <w:rFonts w:cs="Calibri"/>
              </w:rPr>
            </w:pPr>
          </w:p>
        </w:tc>
      </w:tr>
      <w:tr w:rsidR="000144FF" w:rsidRPr="00CF7E1B" w14:paraId="0A8D8155" w14:textId="77777777" w:rsidTr="004D1EC6">
        <w:tc>
          <w:tcPr>
            <w:tcW w:w="1557" w:type="dxa"/>
            <w:tcBorders>
              <w:top w:val="nil"/>
              <w:left w:val="single" w:sz="2" w:space="0" w:color="auto"/>
              <w:bottom w:val="nil"/>
              <w:right w:val="single" w:sz="2" w:space="0" w:color="auto"/>
            </w:tcBorders>
          </w:tcPr>
          <w:p w14:paraId="6F3145B0" w14:textId="77777777" w:rsidR="00D15010" w:rsidRPr="00572AEC" w:rsidRDefault="00D15010">
            <w:pPr>
              <w:pStyle w:val="TableReference"/>
              <w:tabs>
                <w:tab w:val="left" w:pos="3306"/>
              </w:tabs>
              <w:spacing w:before="60"/>
              <w:rPr>
                <w:rFonts w:cs="Calibri"/>
                <w:color w:val="7030A0"/>
                <w:sz w:val="14"/>
                <w:highlight w:val="cyan"/>
              </w:rPr>
            </w:pPr>
            <w:r w:rsidRPr="00572AEC">
              <w:rPr>
                <w:rFonts w:cs="Calibri"/>
                <w:color w:val="7030A0"/>
                <w:sz w:val="14"/>
              </w:rPr>
              <w:t>AASB 1052</w:t>
            </w:r>
            <w:r w:rsidR="00D65811" w:rsidRPr="00572AEC">
              <w:rPr>
                <w:rFonts w:cs="Calibri"/>
                <w:color w:val="7030A0"/>
                <w:sz w:val="14"/>
              </w:rPr>
              <w:t>.</w:t>
            </w:r>
            <w:r w:rsidRPr="00572AEC">
              <w:rPr>
                <w:rFonts w:cs="Calibri"/>
                <w:color w:val="7030A0"/>
                <w:sz w:val="14"/>
              </w:rPr>
              <w:t>15(d)</w:t>
            </w:r>
          </w:p>
        </w:tc>
        <w:tc>
          <w:tcPr>
            <w:tcW w:w="5528" w:type="dxa"/>
            <w:tcBorders>
              <w:top w:val="nil"/>
              <w:left w:val="single" w:sz="2" w:space="0" w:color="auto"/>
              <w:bottom w:val="nil"/>
              <w:right w:val="nil"/>
            </w:tcBorders>
            <w:vAlign w:val="bottom"/>
          </w:tcPr>
          <w:p w14:paraId="504B60F4" w14:textId="77777777" w:rsidR="000144FF" w:rsidRPr="00572AEC" w:rsidRDefault="00EB3A0D">
            <w:pPr>
              <w:pStyle w:val="TableText"/>
              <w:tabs>
                <w:tab w:val="left" w:pos="3306"/>
              </w:tabs>
              <w:rPr>
                <w:rFonts w:cs="Calibri"/>
                <w:strike/>
              </w:rPr>
            </w:pPr>
            <w:r w:rsidRPr="00572AEC">
              <w:rPr>
                <w:rFonts w:cs="Calibri"/>
              </w:rPr>
              <w:t>Controlled Recurrent Payments</w:t>
            </w:r>
          </w:p>
        </w:tc>
        <w:tc>
          <w:tcPr>
            <w:tcW w:w="1134" w:type="dxa"/>
            <w:tcBorders>
              <w:top w:val="nil"/>
              <w:left w:val="nil"/>
              <w:bottom w:val="nil"/>
              <w:right w:val="nil"/>
            </w:tcBorders>
            <w:vAlign w:val="bottom"/>
          </w:tcPr>
          <w:p w14:paraId="76D35FC2" w14:textId="77777777" w:rsidR="000144FF" w:rsidRPr="00572AEC" w:rsidRDefault="000144FF">
            <w:pPr>
              <w:pStyle w:val="TableText"/>
              <w:tabs>
                <w:tab w:val="left" w:pos="3306"/>
              </w:tabs>
              <w:jc w:val="right"/>
              <w:rPr>
                <w:rFonts w:cs="Calibri"/>
              </w:rPr>
            </w:pPr>
          </w:p>
        </w:tc>
        <w:tc>
          <w:tcPr>
            <w:tcW w:w="992" w:type="dxa"/>
            <w:tcBorders>
              <w:top w:val="nil"/>
              <w:left w:val="nil"/>
              <w:bottom w:val="nil"/>
              <w:right w:val="nil"/>
            </w:tcBorders>
            <w:vAlign w:val="bottom"/>
          </w:tcPr>
          <w:p w14:paraId="260D7DA1" w14:textId="77777777" w:rsidR="000144FF" w:rsidRPr="00572AEC" w:rsidRDefault="000144FF">
            <w:pPr>
              <w:pStyle w:val="TableText"/>
              <w:tabs>
                <w:tab w:val="left" w:pos="3306"/>
              </w:tabs>
              <w:jc w:val="right"/>
              <w:rPr>
                <w:rFonts w:cs="Calibri"/>
              </w:rPr>
            </w:pPr>
          </w:p>
        </w:tc>
        <w:tc>
          <w:tcPr>
            <w:tcW w:w="1276" w:type="dxa"/>
            <w:tcBorders>
              <w:top w:val="nil"/>
              <w:left w:val="nil"/>
              <w:bottom w:val="nil"/>
              <w:right w:val="nil"/>
            </w:tcBorders>
            <w:vAlign w:val="bottom"/>
          </w:tcPr>
          <w:p w14:paraId="6E994F8B" w14:textId="77777777" w:rsidR="000144FF" w:rsidRPr="00572AEC" w:rsidRDefault="000144FF">
            <w:pPr>
              <w:pStyle w:val="TableText"/>
              <w:tabs>
                <w:tab w:val="left" w:pos="3306"/>
              </w:tabs>
              <w:jc w:val="right"/>
              <w:rPr>
                <w:rFonts w:cs="Calibri"/>
              </w:rPr>
            </w:pPr>
          </w:p>
        </w:tc>
      </w:tr>
      <w:tr w:rsidR="00936AB8" w:rsidRPr="00CF7E1B" w14:paraId="36284392" w14:textId="77777777" w:rsidTr="004D1EC6">
        <w:tc>
          <w:tcPr>
            <w:tcW w:w="1557" w:type="dxa"/>
            <w:tcBorders>
              <w:top w:val="nil"/>
              <w:left w:val="single" w:sz="2" w:space="0" w:color="auto"/>
              <w:bottom w:val="nil"/>
              <w:right w:val="single" w:sz="2" w:space="0" w:color="auto"/>
            </w:tcBorders>
          </w:tcPr>
          <w:p w14:paraId="002350AD" w14:textId="77777777" w:rsidR="00936AB8" w:rsidRPr="00572AEC" w:rsidRDefault="00936AB8" w:rsidP="00936AB8">
            <w:pPr>
              <w:pStyle w:val="TableReference"/>
              <w:tabs>
                <w:tab w:val="left" w:pos="3306"/>
              </w:tabs>
              <w:spacing w:before="6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65DAB6D7" w14:textId="270C3230" w:rsidR="00936AB8" w:rsidRPr="00572AEC" w:rsidRDefault="00197E49" w:rsidP="00421D32">
            <w:pPr>
              <w:pStyle w:val="TableText"/>
              <w:tabs>
                <w:tab w:val="left" w:pos="3306"/>
              </w:tabs>
              <w:rPr>
                <w:rFonts w:cs="Calibri"/>
              </w:rPr>
            </w:pPr>
            <w:r w:rsidRPr="00572AEC">
              <w:rPr>
                <w:rFonts w:cs="Calibri"/>
              </w:rPr>
              <w:t xml:space="preserve">Sales of Goods and Services </w:t>
            </w:r>
            <w:r w:rsidR="00936AB8" w:rsidRPr="00572AEC">
              <w:rPr>
                <w:rFonts w:cs="Calibri"/>
              </w:rPr>
              <w:t>fro</w:t>
            </w:r>
            <w:r w:rsidR="00421D32" w:rsidRPr="00572AEC">
              <w:rPr>
                <w:rFonts w:cs="Calibri"/>
              </w:rPr>
              <w:t>m</w:t>
            </w:r>
            <w:r w:rsidR="00936AB8" w:rsidRPr="00572AEC">
              <w:rPr>
                <w:rFonts w:cs="Calibri"/>
              </w:rPr>
              <w:t xml:space="preserve"> Contracts with Customers</w:t>
            </w:r>
          </w:p>
        </w:tc>
        <w:tc>
          <w:tcPr>
            <w:tcW w:w="1134" w:type="dxa"/>
            <w:tcBorders>
              <w:top w:val="nil"/>
              <w:left w:val="nil"/>
              <w:bottom w:val="nil"/>
              <w:right w:val="nil"/>
            </w:tcBorders>
            <w:shd w:val="clear" w:color="auto" w:fill="auto"/>
            <w:vAlign w:val="bottom"/>
          </w:tcPr>
          <w:p w14:paraId="12A54694" w14:textId="77777777" w:rsidR="00936AB8" w:rsidRPr="00572AEC" w:rsidRDefault="00936AB8" w:rsidP="00936AB8">
            <w:pPr>
              <w:pStyle w:val="TableText"/>
              <w:tabs>
                <w:tab w:val="left" w:pos="3306"/>
              </w:tabs>
              <w:jc w:val="right"/>
              <w:rPr>
                <w:rFonts w:cs="Calibri"/>
                <w:strike/>
              </w:rPr>
            </w:pPr>
          </w:p>
        </w:tc>
        <w:tc>
          <w:tcPr>
            <w:tcW w:w="992" w:type="dxa"/>
            <w:tcBorders>
              <w:top w:val="nil"/>
              <w:left w:val="nil"/>
              <w:bottom w:val="nil"/>
              <w:right w:val="nil"/>
            </w:tcBorders>
            <w:shd w:val="clear" w:color="auto" w:fill="auto"/>
            <w:vAlign w:val="bottom"/>
          </w:tcPr>
          <w:p w14:paraId="69914FEA" w14:textId="77777777" w:rsidR="00936AB8" w:rsidRPr="00572AEC" w:rsidRDefault="00936AB8" w:rsidP="00936AB8">
            <w:pPr>
              <w:pStyle w:val="TableText"/>
              <w:tabs>
                <w:tab w:val="left" w:pos="3306"/>
              </w:tabs>
              <w:jc w:val="right"/>
              <w:rPr>
                <w:rFonts w:cs="Calibri"/>
                <w:strike/>
              </w:rPr>
            </w:pPr>
          </w:p>
        </w:tc>
        <w:tc>
          <w:tcPr>
            <w:tcW w:w="1276" w:type="dxa"/>
            <w:tcBorders>
              <w:top w:val="nil"/>
              <w:left w:val="nil"/>
              <w:bottom w:val="nil"/>
              <w:right w:val="nil"/>
            </w:tcBorders>
            <w:shd w:val="clear" w:color="auto" w:fill="auto"/>
            <w:vAlign w:val="bottom"/>
          </w:tcPr>
          <w:p w14:paraId="06B3AE09" w14:textId="77777777" w:rsidR="00936AB8" w:rsidRPr="00572AEC" w:rsidRDefault="00936AB8" w:rsidP="00936AB8">
            <w:pPr>
              <w:pStyle w:val="TableText"/>
              <w:tabs>
                <w:tab w:val="left" w:pos="3306"/>
              </w:tabs>
              <w:jc w:val="right"/>
              <w:rPr>
                <w:rFonts w:cs="Calibri"/>
              </w:rPr>
            </w:pPr>
          </w:p>
        </w:tc>
      </w:tr>
      <w:tr w:rsidR="00421D32" w:rsidRPr="00CF7E1B" w14:paraId="439FAD2C" w14:textId="77777777" w:rsidTr="004D1EC6">
        <w:tc>
          <w:tcPr>
            <w:tcW w:w="1557" w:type="dxa"/>
            <w:tcBorders>
              <w:top w:val="nil"/>
              <w:left w:val="single" w:sz="2" w:space="0" w:color="auto"/>
              <w:bottom w:val="nil"/>
              <w:right w:val="single" w:sz="2" w:space="0" w:color="auto"/>
            </w:tcBorders>
          </w:tcPr>
          <w:p w14:paraId="5FF9F955" w14:textId="77DEDC76" w:rsidR="00421D32" w:rsidRPr="00572AEC" w:rsidRDefault="00776995" w:rsidP="00936AB8">
            <w:pPr>
              <w:pStyle w:val="TableReference"/>
              <w:tabs>
                <w:tab w:val="left" w:pos="3306"/>
              </w:tabs>
              <w:spacing w:before="6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13DF2D4A" w14:textId="63ED4B7D" w:rsidR="00421D32" w:rsidRPr="00572AEC" w:rsidRDefault="00685FDE" w:rsidP="00421D32">
            <w:pPr>
              <w:pStyle w:val="TableText"/>
              <w:tabs>
                <w:tab w:val="left" w:pos="3306"/>
              </w:tabs>
              <w:rPr>
                <w:rFonts w:cs="Calibri"/>
              </w:rPr>
            </w:pPr>
            <w:r w:rsidRPr="00572AEC">
              <w:rPr>
                <w:rFonts w:cs="Calibri"/>
              </w:rPr>
              <w:t xml:space="preserve">Grants and </w:t>
            </w:r>
            <w:r w:rsidR="00421D32" w:rsidRPr="00572AEC">
              <w:rPr>
                <w:rFonts w:cs="Calibri"/>
              </w:rPr>
              <w:t>Contributions</w:t>
            </w:r>
            <w:r w:rsidR="000E31C1" w:rsidRPr="00572AEC">
              <w:rPr>
                <w:rFonts w:cs="Calibri"/>
              </w:rPr>
              <w:t xml:space="preserve"> Revenue</w:t>
            </w:r>
          </w:p>
        </w:tc>
        <w:tc>
          <w:tcPr>
            <w:tcW w:w="1134" w:type="dxa"/>
            <w:tcBorders>
              <w:top w:val="nil"/>
              <w:left w:val="nil"/>
              <w:bottom w:val="nil"/>
              <w:right w:val="nil"/>
            </w:tcBorders>
            <w:shd w:val="clear" w:color="auto" w:fill="auto"/>
            <w:vAlign w:val="bottom"/>
          </w:tcPr>
          <w:p w14:paraId="73D92993" w14:textId="77777777" w:rsidR="00421D32" w:rsidRPr="00572AEC" w:rsidRDefault="00421D32" w:rsidP="00936AB8">
            <w:pPr>
              <w:pStyle w:val="TableText"/>
              <w:tabs>
                <w:tab w:val="left" w:pos="3306"/>
              </w:tabs>
              <w:jc w:val="right"/>
              <w:rPr>
                <w:rFonts w:cs="Calibri"/>
                <w:strike/>
              </w:rPr>
            </w:pPr>
          </w:p>
        </w:tc>
        <w:tc>
          <w:tcPr>
            <w:tcW w:w="992" w:type="dxa"/>
            <w:tcBorders>
              <w:top w:val="nil"/>
              <w:left w:val="nil"/>
              <w:bottom w:val="nil"/>
              <w:right w:val="nil"/>
            </w:tcBorders>
            <w:shd w:val="clear" w:color="auto" w:fill="auto"/>
            <w:vAlign w:val="bottom"/>
          </w:tcPr>
          <w:p w14:paraId="6D1CE75B" w14:textId="77777777" w:rsidR="00421D32" w:rsidRPr="00572AEC" w:rsidRDefault="00421D32" w:rsidP="00936AB8">
            <w:pPr>
              <w:pStyle w:val="TableText"/>
              <w:tabs>
                <w:tab w:val="left" w:pos="3306"/>
              </w:tabs>
              <w:jc w:val="right"/>
              <w:rPr>
                <w:rFonts w:cs="Calibri"/>
                <w:strike/>
              </w:rPr>
            </w:pPr>
          </w:p>
        </w:tc>
        <w:tc>
          <w:tcPr>
            <w:tcW w:w="1276" w:type="dxa"/>
            <w:tcBorders>
              <w:top w:val="nil"/>
              <w:left w:val="nil"/>
              <w:bottom w:val="nil"/>
              <w:right w:val="nil"/>
            </w:tcBorders>
            <w:shd w:val="clear" w:color="auto" w:fill="auto"/>
            <w:vAlign w:val="bottom"/>
          </w:tcPr>
          <w:p w14:paraId="08E4911D" w14:textId="77777777" w:rsidR="00421D32" w:rsidRPr="00572AEC" w:rsidRDefault="00421D32" w:rsidP="00936AB8">
            <w:pPr>
              <w:pStyle w:val="TableText"/>
              <w:tabs>
                <w:tab w:val="left" w:pos="3306"/>
              </w:tabs>
              <w:jc w:val="right"/>
              <w:rPr>
                <w:rFonts w:cs="Calibri"/>
              </w:rPr>
            </w:pPr>
          </w:p>
        </w:tc>
      </w:tr>
      <w:tr w:rsidR="00421D32" w:rsidRPr="00CF7E1B" w14:paraId="0A36EBBB" w14:textId="77777777" w:rsidTr="004D1EC6">
        <w:tc>
          <w:tcPr>
            <w:tcW w:w="1557" w:type="dxa"/>
            <w:tcBorders>
              <w:top w:val="nil"/>
              <w:left w:val="single" w:sz="2" w:space="0" w:color="auto"/>
              <w:bottom w:val="nil"/>
              <w:right w:val="single" w:sz="2" w:space="0" w:color="auto"/>
            </w:tcBorders>
          </w:tcPr>
          <w:p w14:paraId="47AE4007" w14:textId="2DADFC97" w:rsidR="00421D32" w:rsidRPr="00572AEC" w:rsidRDefault="00776995" w:rsidP="00936AB8">
            <w:pPr>
              <w:pStyle w:val="TableReference"/>
              <w:tabs>
                <w:tab w:val="left" w:pos="3306"/>
              </w:tabs>
              <w:spacing w:before="6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02DB171A" w14:textId="6B4E768E" w:rsidR="00421D32" w:rsidRPr="00572AEC" w:rsidRDefault="00421D32" w:rsidP="00421D32">
            <w:pPr>
              <w:pStyle w:val="TableText"/>
              <w:tabs>
                <w:tab w:val="left" w:pos="3306"/>
              </w:tabs>
              <w:rPr>
                <w:rFonts w:cs="Calibri"/>
              </w:rPr>
            </w:pPr>
            <w:r w:rsidRPr="00572AEC">
              <w:rPr>
                <w:rFonts w:cs="Calibri"/>
              </w:rPr>
              <w:t>Investment Revenue</w:t>
            </w:r>
          </w:p>
        </w:tc>
        <w:tc>
          <w:tcPr>
            <w:tcW w:w="1134" w:type="dxa"/>
            <w:tcBorders>
              <w:top w:val="nil"/>
              <w:left w:val="nil"/>
              <w:bottom w:val="nil"/>
              <w:right w:val="nil"/>
            </w:tcBorders>
            <w:shd w:val="clear" w:color="auto" w:fill="auto"/>
            <w:vAlign w:val="bottom"/>
          </w:tcPr>
          <w:p w14:paraId="2A11E9A8" w14:textId="77777777" w:rsidR="00421D32" w:rsidRPr="00572AEC" w:rsidRDefault="00421D32" w:rsidP="00936AB8">
            <w:pPr>
              <w:pStyle w:val="TableText"/>
              <w:tabs>
                <w:tab w:val="left" w:pos="3306"/>
              </w:tabs>
              <w:jc w:val="right"/>
              <w:rPr>
                <w:rFonts w:cs="Calibri"/>
                <w:strike/>
              </w:rPr>
            </w:pPr>
          </w:p>
        </w:tc>
        <w:tc>
          <w:tcPr>
            <w:tcW w:w="992" w:type="dxa"/>
            <w:tcBorders>
              <w:top w:val="nil"/>
              <w:left w:val="nil"/>
              <w:bottom w:val="nil"/>
              <w:right w:val="nil"/>
            </w:tcBorders>
            <w:shd w:val="clear" w:color="auto" w:fill="auto"/>
            <w:vAlign w:val="bottom"/>
          </w:tcPr>
          <w:p w14:paraId="0C3DA821" w14:textId="77777777" w:rsidR="00421D32" w:rsidRPr="00572AEC" w:rsidRDefault="00421D32" w:rsidP="00936AB8">
            <w:pPr>
              <w:pStyle w:val="TableText"/>
              <w:tabs>
                <w:tab w:val="left" w:pos="3306"/>
              </w:tabs>
              <w:jc w:val="right"/>
              <w:rPr>
                <w:rFonts w:cs="Calibri"/>
                <w:strike/>
              </w:rPr>
            </w:pPr>
          </w:p>
        </w:tc>
        <w:tc>
          <w:tcPr>
            <w:tcW w:w="1276" w:type="dxa"/>
            <w:tcBorders>
              <w:top w:val="nil"/>
              <w:left w:val="nil"/>
              <w:bottom w:val="nil"/>
              <w:right w:val="nil"/>
            </w:tcBorders>
            <w:shd w:val="clear" w:color="auto" w:fill="auto"/>
            <w:vAlign w:val="bottom"/>
          </w:tcPr>
          <w:p w14:paraId="3467B927" w14:textId="77777777" w:rsidR="00421D32" w:rsidRPr="00572AEC" w:rsidRDefault="00421D32" w:rsidP="00936AB8">
            <w:pPr>
              <w:pStyle w:val="TableText"/>
              <w:tabs>
                <w:tab w:val="left" w:pos="3306"/>
              </w:tabs>
              <w:jc w:val="right"/>
              <w:rPr>
                <w:rFonts w:cs="Calibri"/>
              </w:rPr>
            </w:pPr>
          </w:p>
        </w:tc>
      </w:tr>
      <w:tr w:rsidR="00636A09" w:rsidRPr="00CF7E1B" w14:paraId="02D36817" w14:textId="77777777" w:rsidTr="004D1EC6">
        <w:tc>
          <w:tcPr>
            <w:tcW w:w="1557" w:type="dxa"/>
            <w:tcBorders>
              <w:top w:val="nil"/>
              <w:left w:val="single" w:sz="2" w:space="0" w:color="auto"/>
              <w:bottom w:val="nil"/>
              <w:right w:val="single" w:sz="2" w:space="0" w:color="auto"/>
            </w:tcBorders>
          </w:tcPr>
          <w:p w14:paraId="43511854" w14:textId="497569E7" w:rsidR="00636A09" w:rsidRPr="00572AEC" w:rsidRDefault="00636A09" w:rsidP="00936AB8">
            <w:pPr>
              <w:pStyle w:val="TableReference"/>
              <w:tabs>
                <w:tab w:val="left" w:pos="3306"/>
              </w:tabs>
              <w:spacing w:before="6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191F2729" w14:textId="148787CE" w:rsidR="00636A09" w:rsidRPr="00572AEC" w:rsidRDefault="00636A09" w:rsidP="00421D32">
            <w:pPr>
              <w:pStyle w:val="TableText"/>
              <w:tabs>
                <w:tab w:val="left" w:pos="3306"/>
              </w:tabs>
              <w:rPr>
                <w:rFonts w:cs="Calibri"/>
              </w:rPr>
            </w:pPr>
            <w:r w:rsidRPr="00572AEC">
              <w:rPr>
                <w:rFonts w:cs="Calibri"/>
              </w:rPr>
              <w:t>Interest Revenue</w:t>
            </w:r>
          </w:p>
        </w:tc>
        <w:tc>
          <w:tcPr>
            <w:tcW w:w="1134" w:type="dxa"/>
            <w:tcBorders>
              <w:top w:val="nil"/>
              <w:left w:val="nil"/>
              <w:bottom w:val="nil"/>
              <w:right w:val="nil"/>
            </w:tcBorders>
            <w:shd w:val="clear" w:color="auto" w:fill="auto"/>
            <w:vAlign w:val="bottom"/>
          </w:tcPr>
          <w:p w14:paraId="5B2DFECC" w14:textId="77777777" w:rsidR="00636A09" w:rsidRPr="00572AEC" w:rsidRDefault="00636A09" w:rsidP="00936AB8">
            <w:pPr>
              <w:pStyle w:val="TableText"/>
              <w:tabs>
                <w:tab w:val="left" w:pos="3306"/>
              </w:tabs>
              <w:jc w:val="right"/>
              <w:rPr>
                <w:rFonts w:cs="Calibri"/>
                <w:strike/>
              </w:rPr>
            </w:pPr>
          </w:p>
        </w:tc>
        <w:tc>
          <w:tcPr>
            <w:tcW w:w="992" w:type="dxa"/>
            <w:tcBorders>
              <w:top w:val="nil"/>
              <w:left w:val="nil"/>
              <w:bottom w:val="nil"/>
              <w:right w:val="nil"/>
            </w:tcBorders>
            <w:shd w:val="clear" w:color="auto" w:fill="auto"/>
            <w:vAlign w:val="bottom"/>
          </w:tcPr>
          <w:p w14:paraId="0E94CD13" w14:textId="77777777" w:rsidR="00636A09" w:rsidRPr="00572AEC" w:rsidRDefault="00636A09" w:rsidP="00936AB8">
            <w:pPr>
              <w:pStyle w:val="TableText"/>
              <w:tabs>
                <w:tab w:val="left" w:pos="3306"/>
              </w:tabs>
              <w:jc w:val="right"/>
              <w:rPr>
                <w:rFonts w:cs="Calibri"/>
                <w:strike/>
              </w:rPr>
            </w:pPr>
          </w:p>
        </w:tc>
        <w:tc>
          <w:tcPr>
            <w:tcW w:w="1276" w:type="dxa"/>
            <w:tcBorders>
              <w:top w:val="nil"/>
              <w:left w:val="nil"/>
              <w:bottom w:val="nil"/>
              <w:right w:val="nil"/>
            </w:tcBorders>
            <w:shd w:val="clear" w:color="auto" w:fill="auto"/>
            <w:vAlign w:val="bottom"/>
          </w:tcPr>
          <w:p w14:paraId="7D8C1A21" w14:textId="77777777" w:rsidR="00636A09" w:rsidRPr="00572AEC" w:rsidRDefault="00636A09" w:rsidP="00936AB8">
            <w:pPr>
              <w:pStyle w:val="TableText"/>
              <w:tabs>
                <w:tab w:val="left" w:pos="3306"/>
              </w:tabs>
              <w:jc w:val="right"/>
              <w:rPr>
                <w:rFonts w:cs="Calibri"/>
              </w:rPr>
            </w:pPr>
          </w:p>
        </w:tc>
      </w:tr>
      <w:tr w:rsidR="00936AB8" w:rsidRPr="00CF7E1B" w14:paraId="1D064F31" w14:textId="77777777" w:rsidTr="004D1EC6">
        <w:tc>
          <w:tcPr>
            <w:tcW w:w="1557" w:type="dxa"/>
            <w:tcBorders>
              <w:top w:val="nil"/>
              <w:left w:val="single" w:sz="2" w:space="0" w:color="auto"/>
              <w:bottom w:val="nil"/>
              <w:right w:val="single" w:sz="2" w:space="0" w:color="auto"/>
            </w:tcBorders>
          </w:tcPr>
          <w:p w14:paraId="63E8BD25" w14:textId="77777777" w:rsidR="00936AB8" w:rsidRPr="00572AEC" w:rsidRDefault="00936AB8" w:rsidP="00936AB8">
            <w:pPr>
              <w:pStyle w:val="TableReference"/>
              <w:tabs>
                <w:tab w:val="left" w:pos="3306"/>
              </w:tabs>
              <w:spacing w:before="6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72AD2774" w14:textId="77777777" w:rsidR="00936AB8" w:rsidRPr="00572AEC" w:rsidRDefault="00936AB8" w:rsidP="00936AB8">
            <w:pPr>
              <w:pStyle w:val="TableText"/>
              <w:tabs>
                <w:tab w:val="left" w:pos="3306"/>
              </w:tabs>
              <w:rPr>
                <w:rFonts w:cs="Calibri"/>
              </w:rPr>
            </w:pPr>
            <w:r w:rsidRPr="00572AEC">
              <w:rPr>
                <w:rFonts w:cs="Calibri"/>
              </w:rPr>
              <w:t>Other Revenue</w:t>
            </w:r>
          </w:p>
        </w:tc>
        <w:tc>
          <w:tcPr>
            <w:tcW w:w="1134" w:type="dxa"/>
            <w:tcBorders>
              <w:top w:val="nil"/>
              <w:left w:val="nil"/>
              <w:bottom w:val="single" w:sz="4" w:space="0" w:color="auto"/>
              <w:right w:val="nil"/>
            </w:tcBorders>
            <w:vAlign w:val="bottom"/>
          </w:tcPr>
          <w:p w14:paraId="77CF865F"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single" w:sz="4" w:space="0" w:color="auto"/>
              <w:right w:val="nil"/>
            </w:tcBorders>
            <w:vAlign w:val="bottom"/>
          </w:tcPr>
          <w:p w14:paraId="6F62E6D1"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403DC6F4" w14:textId="77777777" w:rsidR="00936AB8" w:rsidRPr="00572AEC" w:rsidRDefault="00936AB8" w:rsidP="00936AB8">
            <w:pPr>
              <w:pStyle w:val="TableText"/>
              <w:tabs>
                <w:tab w:val="left" w:pos="3306"/>
              </w:tabs>
              <w:jc w:val="right"/>
              <w:rPr>
                <w:rFonts w:cs="Calibri"/>
              </w:rPr>
            </w:pPr>
          </w:p>
        </w:tc>
      </w:tr>
      <w:tr w:rsidR="00936AB8" w:rsidRPr="00CF7E1B" w14:paraId="0732690E" w14:textId="77777777" w:rsidTr="004D1EC6">
        <w:tc>
          <w:tcPr>
            <w:tcW w:w="1557" w:type="dxa"/>
            <w:tcBorders>
              <w:top w:val="nil"/>
              <w:left w:val="single" w:sz="2" w:space="0" w:color="auto"/>
              <w:bottom w:val="nil"/>
              <w:right w:val="single" w:sz="2" w:space="0" w:color="auto"/>
            </w:tcBorders>
          </w:tcPr>
          <w:p w14:paraId="1618C865" w14:textId="77777777" w:rsidR="00936AB8" w:rsidRPr="00572AEC" w:rsidRDefault="00936AB8" w:rsidP="00936AB8">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4FCC8A01" w14:textId="77777777" w:rsidR="00936AB8" w:rsidRPr="00572AEC" w:rsidRDefault="00936AB8" w:rsidP="00936AB8">
            <w:pPr>
              <w:pStyle w:val="TableText"/>
              <w:tabs>
                <w:tab w:val="left" w:pos="3306"/>
              </w:tabs>
              <w:rPr>
                <w:rFonts w:cs="Calibri"/>
                <w:i/>
                <w:iCs/>
              </w:rPr>
            </w:pPr>
            <w:r w:rsidRPr="00572AEC">
              <w:rPr>
                <w:rFonts w:cs="Calibri"/>
                <w:i/>
                <w:iCs/>
              </w:rPr>
              <w:t>Total Revenue</w:t>
            </w:r>
          </w:p>
        </w:tc>
        <w:tc>
          <w:tcPr>
            <w:tcW w:w="1134" w:type="dxa"/>
            <w:tcBorders>
              <w:top w:val="single" w:sz="4" w:space="0" w:color="auto"/>
              <w:left w:val="nil"/>
              <w:bottom w:val="nil"/>
              <w:right w:val="nil"/>
            </w:tcBorders>
            <w:vAlign w:val="bottom"/>
          </w:tcPr>
          <w:p w14:paraId="74D734DB" w14:textId="77777777" w:rsidR="00936AB8" w:rsidRPr="00572AEC" w:rsidRDefault="00936AB8" w:rsidP="00936AB8">
            <w:pPr>
              <w:pStyle w:val="TableText"/>
              <w:tabs>
                <w:tab w:val="left" w:pos="3306"/>
              </w:tabs>
              <w:jc w:val="right"/>
              <w:rPr>
                <w:rFonts w:cs="Calibri"/>
              </w:rPr>
            </w:pPr>
          </w:p>
        </w:tc>
        <w:tc>
          <w:tcPr>
            <w:tcW w:w="992" w:type="dxa"/>
            <w:tcBorders>
              <w:top w:val="single" w:sz="4" w:space="0" w:color="auto"/>
              <w:left w:val="nil"/>
              <w:bottom w:val="nil"/>
              <w:right w:val="nil"/>
            </w:tcBorders>
            <w:vAlign w:val="bottom"/>
          </w:tcPr>
          <w:p w14:paraId="7F13B65B" w14:textId="77777777" w:rsidR="00936AB8" w:rsidRPr="00572AEC" w:rsidRDefault="00936AB8" w:rsidP="00936AB8">
            <w:pPr>
              <w:pStyle w:val="TableText"/>
              <w:tabs>
                <w:tab w:val="left" w:pos="3306"/>
              </w:tabs>
              <w:jc w:val="right"/>
              <w:rPr>
                <w:rFonts w:cs="Calibri"/>
              </w:rPr>
            </w:pPr>
          </w:p>
        </w:tc>
        <w:tc>
          <w:tcPr>
            <w:tcW w:w="1276" w:type="dxa"/>
            <w:tcBorders>
              <w:top w:val="single" w:sz="4" w:space="0" w:color="auto"/>
              <w:left w:val="nil"/>
              <w:bottom w:val="nil"/>
              <w:right w:val="nil"/>
            </w:tcBorders>
            <w:vAlign w:val="bottom"/>
          </w:tcPr>
          <w:p w14:paraId="3247CA8E" w14:textId="77777777" w:rsidR="00936AB8" w:rsidRPr="00572AEC" w:rsidRDefault="00936AB8" w:rsidP="00936AB8">
            <w:pPr>
              <w:pStyle w:val="TableText"/>
              <w:tabs>
                <w:tab w:val="left" w:pos="3306"/>
              </w:tabs>
              <w:jc w:val="right"/>
              <w:rPr>
                <w:rFonts w:cs="Calibri"/>
              </w:rPr>
            </w:pPr>
          </w:p>
        </w:tc>
      </w:tr>
      <w:tr w:rsidR="00936AB8" w:rsidRPr="00CF7E1B" w14:paraId="39C471D4" w14:textId="77777777" w:rsidTr="004D1EC6">
        <w:tc>
          <w:tcPr>
            <w:tcW w:w="1557" w:type="dxa"/>
            <w:tcBorders>
              <w:top w:val="nil"/>
              <w:left w:val="single" w:sz="2" w:space="0" w:color="auto"/>
              <w:bottom w:val="nil"/>
              <w:right w:val="single" w:sz="2" w:space="0" w:color="auto"/>
            </w:tcBorders>
          </w:tcPr>
          <w:p w14:paraId="7D95D369" w14:textId="77777777" w:rsidR="00936AB8" w:rsidRPr="00572AEC" w:rsidRDefault="00936AB8" w:rsidP="00936AB8">
            <w:pPr>
              <w:pStyle w:val="TableReference"/>
              <w:tabs>
                <w:tab w:val="left" w:pos="3306"/>
              </w:tabs>
              <w:spacing w:before="40"/>
              <w:rPr>
                <w:rFonts w:cs="Calibri"/>
                <w:color w:val="7030A0"/>
                <w:sz w:val="14"/>
              </w:rPr>
            </w:pPr>
            <w:r w:rsidRPr="00572AEC">
              <w:rPr>
                <w:rFonts w:cs="Calibri"/>
                <w:color w:val="7030A0"/>
                <w:sz w:val="14"/>
              </w:rPr>
              <w:t xml:space="preserve"> </w:t>
            </w:r>
          </w:p>
        </w:tc>
        <w:tc>
          <w:tcPr>
            <w:tcW w:w="5528" w:type="dxa"/>
            <w:tcBorders>
              <w:top w:val="nil"/>
              <w:left w:val="single" w:sz="2" w:space="0" w:color="auto"/>
              <w:bottom w:val="nil"/>
              <w:right w:val="nil"/>
            </w:tcBorders>
            <w:vAlign w:val="bottom"/>
          </w:tcPr>
          <w:p w14:paraId="77DC6B23" w14:textId="77777777" w:rsidR="00936AB8" w:rsidRPr="00572AEC" w:rsidRDefault="00936AB8" w:rsidP="001000C4">
            <w:pPr>
              <w:pStyle w:val="TableText"/>
              <w:tabs>
                <w:tab w:val="left" w:pos="3306"/>
              </w:tabs>
              <w:spacing w:before="120"/>
              <w:rPr>
                <w:rFonts w:cs="Calibri"/>
                <w:i/>
                <w:iCs/>
              </w:rPr>
            </w:pPr>
            <w:r w:rsidRPr="00572AEC">
              <w:rPr>
                <w:rFonts w:cs="Calibri"/>
                <w:i/>
                <w:iCs/>
              </w:rPr>
              <w:t>Gains</w:t>
            </w:r>
          </w:p>
        </w:tc>
        <w:tc>
          <w:tcPr>
            <w:tcW w:w="1134" w:type="dxa"/>
            <w:tcBorders>
              <w:top w:val="nil"/>
              <w:left w:val="nil"/>
              <w:bottom w:val="nil"/>
              <w:right w:val="nil"/>
            </w:tcBorders>
            <w:vAlign w:val="bottom"/>
          </w:tcPr>
          <w:p w14:paraId="5E0711A1"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503C2754"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2EBD9330" w14:textId="77777777" w:rsidR="00936AB8" w:rsidRPr="00572AEC" w:rsidRDefault="00936AB8" w:rsidP="00936AB8">
            <w:pPr>
              <w:pStyle w:val="TableText"/>
              <w:tabs>
                <w:tab w:val="left" w:pos="3306"/>
              </w:tabs>
              <w:jc w:val="right"/>
              <w:rPr>
                <w:rFonts w:cs="Calibri"/>
              </w:rPr>
            </w:pPr>
          </w:p>
        </w:tc>
      </w:tr>
      <w:tr w:rsidR="00421D32" w:rsidRPr="00421D32" w14:paraId="1C6386F1" w14:textId="77777777" w:rsidTr="004D1EC6">
        <w:tc>
          <w:tcPr>
            <w:tcW w:w="1557" w:type="dxa"/>
            <w:tcBorders>
              <w:top w:val="nil"/>
              <w:left w:val="single" w:sz="2" w:space="0" w:color="auto"/>
              <w:bottom w:val="nil"/>
              <w:right w:val="single" w:sz="2" w:space="0" w:color="auto"/>
            </w:tcBorders>
          </w:tcPr>
          <w:p w14:paraId="40AE012F" w14:textId="416E832F" w:rsidR="00421D32" w:rsidRPr="00572AEC" w:rsidRDefault="00776995" w:rsidP="00936AB8">
            <w:pPr>
              <w:pStyle w:val="TableReference"/>
              <w:tabs>
                <w:tab w:val="left" w:pos="3306"/>
              </w:tabs>
              <w:spacing w:before="40"/>
              <w:rPr>
                <w:rFonts w:cs="Calibri"/>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6E704F66" w14:textId="78C262A2" w:rsidR="00421D32" w:rsidRPr="00572AEC" w:rsidRDefault="00421D32" w:rsidP="00936AB8">
            <w:pPr>
              <w:pStyle w:val="TableText"/>
              <w:tabs>
                <w:tab w:val="left" w:pos="3306"/>
              </w:tabs>
              <w:rPr>
                <w:rFonts w:cs="Calibri"/>
                <w:iCs/>
              </w:rPr>
            </w:pPr>
            <w:r w:rsidRPr="00572AEC">
              <w:rPr>
                <w:rFonts w:cs="Calibri"/>
                <w:iCs/>
              </w:rPr>
              <w:t>Gains from Disposal, Derecognition and Remeasurement of Assets</w:t>
            </w:r>
          </w:p>
        </w:tc>
        <w:tc>
          <w:tcPr>
            <w:tcW w:w="1134" w:type="dxa"/>
            <w:tcBorders>
              <w:top w:val="nil"/>
              <w:left w:val="nil"/>
              <w:bottom w:val="nil"/>
              <w:right w:val="nil"/>
            </w:tcBorders>
            <w:vAlign w:val="bottom"/>
          </w:tcPr>
          <w:p w14:paraId="65A2E866" w14:textId="77777777" w:rsidR="00421D32" w:rsidRPr="00572AEC" w:rsidRDefault="00421D32"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35BA8412" w14:textId="77777777" w:rsidR="00421D32" w:rsidRPr="00572AEC" w:rsidRDefault="00421D32"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4F697969" w14:textId="77777777" w:rsidR="00421D32" w:rsidRPr="00572AEC" w:rsidRDefault="00421D32" w:rsidP="00936AB8">
            <w:pPr>
              <w:pStyle w:val="TableText"/>
              <w:tabs>
                <w:tab w:val="left" w:pos="3306"/>
              </w:tabs>
              <w:jc w:val="right"/>
              <w:rPr>
                <w:rFonts w:cs="Calibri"/>
              </w:rPr>
            </w:pPr>
          </w:p>
        </w:tc>
      </w:tr>
      <w:tr w:rsidR="00936AB8" w:rsidRPr="00CF7E1B" w14:paraId="50AF3DC4" w14:textId="77777777" w:rsidTr="004D1EC6">
        <w:tc>
          <w:tcPr>
            <w:tcW w:w="1557" w:type="dxa"/>
            <w:tcBorders>
              <w:top w:val="nil"/>
              <w:left w:val="single" w:sz="2" w:space="0" w:color="auto"/>
              <w:bottom w:val="nil"/>
              <w:right w:val="single" w:sz="2" w:space="0" w:color="auto"/>
            </w:tcBorders>
          </w:tcPr>
          <w:p w14:paraId="767368B0"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1052.15(d)</w:t>
            </w:r>
          </w:p>
        </w:tc>
        <w:tc>
          <w:tcPr>
            <w:tcW w:w="5528" w:type="dxa"/>
            <w:tcBorders>
              <w:top w:val="nil"/>
              <w:left w:val="single" w:sz="2" w:space="0" w:color="auto"/>
              <w:bottom w:val="nil"/>
              <w:right w:val="nil"/>
            </w:tcBorders>
            <w:vAlign w:val="bottom"/>
          </w:tcPr>
          <w:p w14:paraId="44842871" w14:textId="559173B9" w:rsidR="00936AB8" w:rsidRPr="00572AEC" w:rsidRDefault="00936AB8" w:rsidP="00936AB8">
            <w:pPr>
              <w:pStyle w:val="TableText"/>
              <w:tabs>
                <w:tab w:val="left" w:pos="3306"/>
              </w:tabs>
              <w:rPr>
                <w:rFonts w:cs="Calibri"/>
              </w:rPr>
            </w:pPr>
            <w:r w:rsidRPr="00572AEC">
              <w:rPr>
                <w:rFonts w:cs="Calibri"/>
              </w:rPr>
              <w:t>Other Gains</w:t>
            </w:r>
          </w:p>
        </w:tc>
        <w:tc>
          <w:tcPr>
            <w:tcW w:w="1134" w:type="dxa"/>
            <w:tcBorders>
              <w:top w:val="nil"/>
              <w:left w:val="nil"/>
              <w:bottom w:val="single" w:sz="4" w:space="0" w:color="auto"/>
              <w:right w:val="nil"/>
            </w:tcBorders>
            <w:vAlign w:val="bottom"/>
          </w:tcPr>
          <w:p w14:paraId="1D103E4F"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single" w:sz="4" w:space="0" w:color="auto"/>
              <w:right w:val="nil"/>
            </w:tcBorders>
            <w:vAlign w:val="bottom"/>
          </w:tcPr>
          <w:p w14:paraId="13332C93"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2D41CF02" w14:textId="77777777" w:rsidR="00936AB8" w:rsidRPr="00572AEC" w:rsidRDefault="00936AB8" w:rsidP="00936AB8">
            <w:pPr>
              <w:pStyle w:val="TableText"/>
              <w:tabs>
                <w:tab w:val="left" w:pos="3306"/>
              </w:tabs>
              <w:jc w:val="right"/>
              <w:rPr>
                <w:rFonts w:cs="Calibri"/>
              </w:rPr>
            </w:pPr>
          </w:p>
        </w:tc>
      </w:tr>
      <w:tr w:rsidR="00936AB8" w:rsidRPr="00CF7E1B" w14:paraId="2FDA2866" w14:textId="77777777" w:rsidTr="004D1EC6">
        <w:tc>
          <w:tcPr>
            <w:tcW w:w="1557" w:type="dxa"/>
            <w:tcBorders>
              <w:top w:val="nil"/>
              <w:left w:val="single" w:sz="2" w:space="0" w:color="auto"/>
              <w:bottom w:val="nil"/>
              <w:right w:val="single" w:sz="2" w:space="0" w:color="auto"/>
            </w:tcBorders>
          </w:tcPr>
          <w:p w14:paraId="6DE17153" w14:textId="77777777" w:rsidR="00936AB8" w:rsidRPr="00572AEC" w:rsidRDefault="00936AB8" w:rsidP="00936AB8">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7CC57748" w14:textId="77777777" w:rsidR="00936AB8" w:rsidRPr="00572AEC" w:rsidRDefault="00936AB8" w:rsidP="00936AB8">
            <w:pPr>
              <w:pStyle w:val="TableText"/>
              <w:tabs>
                <w:tab w:val="left" w:pos="3306"/>
              </w:tabs>
              <w:rPr>
                <w:rFonts w:cs="Calibri"/>
                <w:i/>
                <w:iCs/>
              </w:rPr>
            </w:pPr>
            <w:r w:rsidRPr="00572AEC">
              <w:rPr>
                <w:rFonts w:cs="Calibri"/>
                <w:i/>
                <w:iCs/>
              </w:rPr>
              <w:t>Total Gains</w:t>
            </w:r>
          </w:p>
        </w:tc>
        <w:tc>
          <w:tcPr>
            <w:tcW w:w="1134" w:type="dxa"/>
            <w:tcBorders>
              <w:top w:val="single" w:sz="4" w:space="0" w:color="auto"/>
              <w:left w:val="nil"/>
              <w:bottom w:val="single" w:sz="4" w:space="0" w:color="auto"/>
              <w:right w:val="nil"/>
            </w:tcBorders>
            <w:vAlign w:val="bottom"/>
          </w:tcPr>
          <w:p w14:paraId="3E7E085B" w14:textId="77777777" w:rsidR="00936AB8" w:rsidRPr="00572AEC" w:rsidRDefault="00936AB8" w:rsidP="00936AB8">
            <w:pPr>
              <w:pStyle w:val="TableText"/>
              <w:tabs>
                <w:tab w:val="left" w:pos="3306"/>
              </w:tabs>
              <w:jc w:val="right"/>
              <w:rPr>
                <w:rFonts w:cs="Calibri"/>
              </w:rPr>
            </w:pPr>
          </w:p>
        </w:tc>
        <w:tc>
          <w:tcPr>
            <w:tcW w:w="992" w:type="dxa"/>
            <w:tcBorders>
              <w:top w:val="single" w:sz="4" w:space="0" w:color="auto"/>
              <w:left w:val="nil"/>
              <w:bottom w:val="single" w:sz="4" w:space="0" w:color="auto"/>
              <w:right w:val="nil"/>
            </w:tcBorders>
            <w:vAlign w:val="bottom"/>
          </w:tcPr>
          <w:p w14:paraId="04136700" w14:textId="77777777" w:rsidR="00936AB8" w:rsidRPr="00572AEC" w:rsidRDefault="00936AB8" w:rsidP="00936AB8">
            <w:pPr>
              <w:pStyle w:val="TableText"/>
              <w:tabs>
                <w:tab w:val="left" w:pos="3306"/>
              </w:tabs>
              <w:jc w:val="right"/>
              <w:rPr>
                <w:rFonts w:cs="Calibri"/>
              </w:rPr>
            </w:pPr>
          </w:p>
        </w:tc>
        <w:tc>
          <w:tcPr>
            <w:tcW w:w="1276" w:type="dxa"/>
            <w:tcBorders>
              <w:top w:val="single" w:sz="4" w:space="0" w:color="auto"/>
              <w:left w:val="nil"/>
              <w:bottom w:val="single" w:sz="4" w:space="0" w:color="auto"/>
              <w:right w:val="nil"/>
            </w:tcBorders>
            <w:vAlign w:val="bottom"/>
          </w:tcPr>
          <w:p w14:paraId="7763199A" w14:textId="77777777" w:rsidR="00936AB8" w:rsidRPr="00572AEC" w:rsidRDefault="00936AB8" w:rsidP="00936AB8">
            <w:pPr>
              <w:pStyle w:val="TableText"/>
              <w:tabs>
                <w:tab w:val="left" w:pos="3306"/>
              </w:tabs>
              <w:jc w:val="right"/>
              <w:rPr>
                <w:rFonts w:cs="Calibri"/>
              </w:rPr>
            </w:pPr>
          </w:p>
        </w:tc>
      </w:tr>
      <w:tr w:rsidR="00936AB8" w:rsidRPr="00CF7E1B" w14:paraId="154DCCD5" w14:textId="77777777" w:rsidTr="004D1EC6">
        <w:tc>
          <w:tcPr>
            <w:tcW w:w="1557" w:type="dxa"/>
            <w:tcBorders>
              <w:top w:val="nil"/>
              <w:left w:val="single" w:sz="2" w:space="0" w:color="auto"/>
              <w:bottom w:val="nil"/>
              <w:right w:val="single" w:sz="2" w:space="0" w:color="auto"/>
            </w:tcBorders>
          </w:tcPr>
          <w:p w14:paraId="4F0051F3" w14:textId="77777777" w:rsidR="00936AB8" w:rsidRPr="00572AEC" w:rsidRDefault="00936AB8" w:rsidP="00936AB8">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5A54A474" w14:textId="77777777" w:rsidR="00936AB8" w:rsidRPr="00572AEC" w:rsidRDefault="00936AB8" w:rsidP="00936AB8">
            <w:pPr>
              <w:pStyle w:val="TableText"/>
              <w:tabs>
                <w:tab w:val="left" w:pos="3306"/>
              </w:tabs>
              <w:rPr>
                <w:rFonts w:cs="Calibri"/>
                <w:b/>
                <w:bCs/>
              </w:rPr>
            </w:pPr>
            <w:bookmarkStart w:id="247" w:name="_Toc48468243"/>
            <w:bookmarkStart w:id="248" w:name="_Toc49223884"/>
            <w:r w:rsidRPr="00572AEC">
              <w:rPr>
                <w:rFonts w:cs="Calibri"/>
                <w:b/>
                <w:bCs/>
              </w:rPr>
              <w:t xml:space="preserve">Total </w:t>
            </w:r>
            <w:bookmarkEnd w:id="247"/>
            <w:bookmarkEnd w:id="248"/>
            <w:r w:rsidRPr="00572AEC">
              <w:rPr>
                <w:rFonts w:cs="Calibri"/>
                <w:b/>
                <w:bCs/>
              </w:rPr>
              <w:t>Income</w:t>
            </w:r>
          </w:p>
        </w:tc>
        <w:tc>
          <w:tcPr>
            <w:tcW w:w="1134" w:type="dxa"/>
            <w:tcBorders>
              <w:top w:val="single" w:sz="4" w:space="0" w:color="auto"/>
              <w:left w:val="nil"/>
              <w:bottom w:val="single" w:sz="4" w:space="0" w:color="auto"/>
              <w:right w:val="nil"/>
            </w:tcBorders>
            <w:vAlign w:val="bottom"/>
          </w:tcPr>
          <w:p w14:paraId="7C35D36C" w14:textId="77777777" w:rsidR="00936AB8" w:rsidRPr="00572AEC" w:rsidRDefault="00936AB8" w:rsidP="00936AB8">
            <w:pPr>
              <w:pStyle w:val="TableText"/>
              <w:tabs>
                <w:tab w:val="left" w:pos="3306"/>
              </w:tabs>
              <w:jc w:val="right"/>
              <w:rPr>
                <w:rFonts w:cs="Calibri"/>
                <w:b/>
                <w:bCs/>
              </w:rPr>
            </w:pPr>
          </w:p>
        </w:tc>
        <w:tc>
          <w:tcPr>
            <w:tcW w:w="992" w:type="dxa"/>
            <w:tcBorders>
              <w:top w:val="single" w:sz="4" w:space="0" w:color="auto"/>
              <w:left w:val="nil"/>
              <w:bottom w:val="single" w:sz="4" w:space="0" w:color="auto"/>
              <w:right w:val="nil"/>
            </w:tcBorders>
            <w:vAlign w:val="bottom"/>
          </w:tcPr>
          <w:p w14:paraId="37FCDBE8" w14:textId="77777777" w:rsidR="00936AB8" w:rsidRPr="00572AEC" w:rsidRDefault="00936AB8" w:rsidP="00936AB8">
            <w:pPr>
              <w:pStyle w:val="TableText"/>
              <w:tabs>
                <w:tab w:val="left" w:pos="3306"/>
              </w:tabs>
              <w:jc w:val="right"/>
              <w:rPr>
                <w:rFonts w:cs="Calibri"/>
                <w:b/>
                <w:bCs/>
              </w:rPr>
            </w:pPr>
          </w:p>
        </w:tc>
        <w:tc>
          <w:tcPr>
            <w:tcW w:w="1276" w:type="dxa"/>
            <w:tcBorders>
              <w:top w:val="single" w:sz="4" w:space="0" w:color="auto"/>
              <w:left w:val="nil"/>
              <w:bottom w:val="single" w:sz="4" w:space="0" w:color="auto"/>
              <w:right w:val="nil"/>
            </w:tcBorders>
            <w:vAlign w:val="bottom"/>
          </w:tcPr>
          <w:p w14:paraId="7A8D2EEA" w14:textId="77777777" w:rsidR="00936AB8" w:rsidRPr="00572AEC" w:rsidRDefault="00936AB8" w:rsidP="00936AB8">
            <w:pPr>
              <w:pStyle w:val="TableText"/>
              <w:tabs>
                <w:tab w:val="left" w:pos="3306"/>
              </w:tabs>
              <w:jc w:val="right"/>
              <w:rPr>
                <w:rFonts w:cs="Calibri"/>
                <w:b/>
                <w:bCs/>
              </w:rPr>
            </w:pPr>
          </w:p>
        </w:tc>
      </w:tr>
      <w:tr w:rsidR="00936AB8" w:rsidRPr="00CF7E1B" w14:paraId="077C97D0" w14:textId="77777777" w:rsidTr="004D1EC6">
        <w:tc>
          <w:tcPr>
            <w:tcW w:w="1557" w:type="dxa"/>
            <w:tcBorders>
              <w:top w:val="nil"/>
              <w:left w:val="single" w:sz="2" w:space="0" w:color="auto"/>
              <w:bottom w:val="nil"/>
              <w:right w:val="single" w:sz="2" w:space="0" w:color="auto"/>
            </w:tcBorders>
          </w:tcPr>
          <w:p w14:paraId="64B7CABD" w14:textId="77777777" w:rsidR="00936AB8" w:rsidRPr="00572AEC" w:rsidRDefault="00936AB8" w:rsidP="00936AB8">
            <w:pPr>
              <w:pStyle w:val="TableReference"/>
              <w:tabs>
                <w:tab w:val="left" w:pos="3306"/>
              </w:tabs>
              <w:spacing w:before="40"/>
              <w:rPr>
                <w:rFonts w:cs="Calibri"/>
                <w:color w:val="7030A0"/>
                <w:sz w:val="14"/>
              </w:rPr>
            </w:pPr>
          </w:p>
        </w:tc>
        <w:tc>
          <w:tcPr>
            <w:tcW w:w="5528" w:type="dxa"/>
            <w:tcBorders>
              <w:top w:val="nil"/>
              <w:left w:val="single" w:sz="2" w:space="0" w:color="auto"/>
              <w:bottom w:val="nil"/>
              <w:right w:val="nil"/>
            </w:tcBorders>
            <w:vAlign w:val="bottom"/>
          </w:tcPr>
          <w:p w14:paraId="79E999CF" w14:textId="77777777" w:rsidR="00936AB8" w:rsidRPr="00572AEC" w:rsidRDefault="00936AB8" w:rsidP="00936AB8">
            <w:pPr>
              <w:pStyle w:val="TableText"/>
              <w:tabs>
                <w:tab w:val="left" w:pos="3306"/>
              </w:tabs>
              <w:rPr>
                <w:rFonts w:cs="Calibri"/>
              </w:rPr>
            </w:pPr>
          </w:p>
        </w:tc>
        <w:tc>
          <w:tcPr>
            <w:tcW w:w="1134" w:type="dxa"/>
            <w:tcBorders>
              <w:top w:val="single" w:sz="4" w:space="0" w:color="auto"/>
              <w:left w:val="nil"/>
              <w:bottom w:val="nil"/>
              <w:right w:val="nil"/>
            </w:tcBorders>
            <w:vAlign w:val="bottom"/>
          </w:tcPr>
          <w:p w14:paraId="11BEA2A6" w14:textId="77777777" w:rsidR="00936AB8" w:rsidRPr="00572AEC" w:rsidRDefault="00936AB8" w:rsidP="00936AB8">
            <w:pPr>
              <w:pStyle w:val="TableText"/>
              <w:tabs>
                <w:tab w:val="left" w:pos="3306"/>
              </w:tabs>
              <w:jc w:val="right"/>
              <w:rPr>
                <w:rFonts w:cs="Calibri"/>
              </w:rPr>
            </w:pPr>
          </w:p>
        </w:tc>
        <w:tc>
          <w:tcPr>
            <w:tcW w:w="992" w:type="dxa"/>
            <w:tcBorders>
              <w:top w:val="single" w:sz="4" w:space="0" w:color="auto"/>
              <w:left w:val="nil"/>
              <w:bottom w:val="nil"/>
              <w:right w:val="nil"/>
            </w:tcBorders>
            <w:vAlign w:val="bottom"/>
          </w:tcPr>
          <w:p w14:paraId="597264F0" w14:textId="77777777" w:rsidR="00936AB8" w:rsidRPr="00572AEC" w:rsidRDefault="00936AB8" w:rsidP="00936AB8">
            <w:pPr>
              <w:pStyle w:val="TableText"/>
              <w:tabs>
                <w:tab w:val="left" w:pos="3306"/>
              </w:tabs>
              <w:jc w:val="right"/>
              <w:rPr>
                <w:rFonts w:cs="Calibri"/>
              </w:rPr>
            </w:pPr>
          </w:p>
        </w:tc>
        <w:tc>
          <w:tcPr>
            <w:tcW w:w="1276" w:type="dxa"/>
            <w:tcBorders>
              <w:top w:val="single" w:sz="4" w:space="0" w:color="auto"/>
              <w:left w:val="nil"/>
              <w:bottom w:val="nil"/>
              <w:right w:val="nil"/>
            </w:tcBorders>
            <w:vAlign w:val="bottom"/>
          </w:tcPr>
          <w:p w14:paraId="14973297" w14:textId="77777777" w:rsidR="00936AB8" w:rsidRPr="00572AEC" w:rsidRDefault="00936AB8" w:rsidP="00936AB8">
            <w:pPr>
              <w:pStyle w:val="TableText"/>
              <w:tabs>
                <w:tab w:val="left" w:pos="3306"/>
              </w:tabs>
              <w:jc w:val="right"/>
              <w:rPr>
                <w:rFonts w:cs="Calibri"/>
              </w:rPr>
            </w:pPr>
          </w:p>
        </w:tc>
      </w:tr>
      <w:tr w:rsidR="00936AB8" w:rsidRPr="00CF7E1B" w14:paraId="6358A30F" w14:textId="77777777" w:rsidTr="004D1EC6">
        <w:tc>
          <w:tcPr>
            <w:tcW w:w="1557" w:type="dxa"/>
            <w:tcBorders>
              <w:top w:val="nil"/>
              <w:left w:val="single" w:sz="2" w:space="0" w:color="auto"/>
              <w:bottom w:val="nil"/>
              <w:right w:val="single" w:sz="2" w:space="0" w:color="auto"/>
            </w:tcBorders>
          </w:tcPr>
          <w:p w14:paraId="51D8A894" w14:textId="77777777" w:rsidR="00936AB8" w:rsidRPr="00572AEC" w:rsidRDefault="00936AB8" w:rsidP="00936AB8">
            <w:pPr>
              <w:pStyle w:val="TableReference"/>
              <w:tabs>
                <w:tab w:val="left" w:pos="3306"/>
              </w:tabs>
              <w:spacing w:before="60"/>
              <w:rPr>
                <w:rFonts w:cs="Calibri"/>
                <w:color w:val="7030A0"/>
                <w:sz w:val="14"/>
              </w:rPr>
            </w:pPr>
            <w:r w:rsidRPr="00572AEC">
              <w:rPr>
                <w:rFonts w:cs="Calibri"/>
                <w:color w:val="7030A0"/>
                <w:sz w:val="14"/>
              </w:rPr>
              <w:t xml:space="preserve"> </w:t>
            </w:r>
          </w:p>
        </w:tc>
        <w:tc>
          <w:tcPr>
            <w:tcW w:w="5528" w:type="dxa"/>
            <w:tcBorders>
              <w:top w:val="nil"/>
              <w:left w:val="single" w:sz="2" w:space="0" w:color="auto"/>
              <w:bottom w:val="nil"/>
              <w:right w:val="nil"/>
            </w:tcBorders>
            <w:vAlign w:val="bottom"/>
          </w:tcPr>
          <w:p w14:paraId="7FC8216F" w14:textId="25AE0669" w:rsidR="00936AB8" w:rsidRPr="00572AEC" w:rsidRDefault="00936AB8" w:rsidP="00936AB8">
            <w:pPr>
              <w:pStyle w:val="TableText"/>
              <w:tabs>
                <w:tab w:val="left" w:pos="3306"/>
              </w:tabs>
              <w:rPr>
                <w:rFonts w:cs="Calibri"/>
                <w:b/>
                <w:bCs/>
              </w:rPr>
            </w:pPr>
            <w:bookmarkStart w:id="249" w:name="_Toc48468244"/>
            <w:bookmarkStart w:id="250" w:name="_Toc49155434"/>
            <w:bookmarkStart w:id="251" w:name="_Toc49223885"/>
            <w:r w:rsidRPr="00572AEC">
              <w:rPr>
                <w:rFonts w:cs="Calibri"/>
                <w:b/>
                <w:bCs/>
              </w:rPr>
              <w:t>Expenses</w:t>
            </w:r>
            <w:bookmarkEnd w:id="249"/>
            <w:bookmarkEnd w:id="250"/>
            <w:bookmarkEnd w:id="251"/>
            <w:r w:rsidR="00FA7C77">
              <w:rPr>
                <w:rFonts w:cs="Calibri"/>
                <w:b/>
                <w:bCs/>
              </w:rPr>
              <w:t xml:space="preserve"> </w:t>
            </w:r>
          </w:p>
        </w:tc>
        <w:tc>
          <w:tcPr>
            <w:tcW w:w="1134" w:type="dxa"/>
            <w:tcBorders>
              <w:top w:val="nil"/>
              <w:left w:val="nil"/>
              <w:bottom w:val="nil"/>
              <w:right w:val="nil"/>
            </w:tcBorders>
            <w:vAlign w:val="bottom"/>
          </w:tcPr>
          <w:p w14:paraId="3BB7A034"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0E89AE8E"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52FA31E3" w14:textId="77777777" w:rsidR="00936AB8" w:rsidRPr="00572AEC" w:rsidRDefault="00936AB8" w:rsidP="00936AB8">
            <w:pPr>
              <w:pStyle w:val="TableText"/>
              <w:tabs>
                <w:tab w:val="left" w:pos="3306"/>
              </w:tabs>
              <w:jc w:val="right"/>
              <w:rPr>
                <w:rFonts w:cs="Calibri"/>
              </w:rPr>
            </w:pPr>
          </w:p>
        </w:tc>
      </w:tr>
      <w:tr w:rsidR="00936AB8" w:rsidRPr="00CF7E1B" w14:paraId="2F4971D2" w14:textId="77777777" w:rsidTr="004D1EC6">
        <w:tc>
          <w:tcPr>
            <w:tcW w:w="1557" w:type="dxa"/>
            <w:tcBorders>
              <w:top w:val="nil"/>
              <w:left w:val="single" w:sz="2" w:space="0" w:color="auto"/>
              <w:bottom w:val="nil"/>
              <w:right w:val="single" w:sz="2" w:space="0" w:color="auto"/>
            </w:tcBorders>
          </w:tcPr>
          <w:p w14:paraId="5A746F3B" w14:textId="77777777" w:rsidR="00936AB8" w:rsidRPr="00572AEC" w:rsidRDefault="00936AB8" w:rsidP="00936AB8">
            <w:pPr>
              <w:pStyle w:val="TableReference"/>
              <w:tabs>
                <w:tab w:val="left" w:pos="3306"/>
              </w:tabs>
              <w:spacing w:before="60"/>
              <w:rPr>
                <w:rFonts w:cs="Calibri"/>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3FDC2325" w14:textId="77777777" w:rsidR="00936AB8" w:rsidRPr="00572AEC" w:rsidRDefault="00936AB8" w:rsidP="00936AB8">
            <w:pPr>
              <w:pStyle w:val="TableText"/>
              <w:tabs>
                <w:tab w:val="left" w:pos="3306"/>
              </w:tabs>
              <w:rPr>
                <w:rFonts w:cs="Calibri"/>
              </w:rPr>
            </w:pPr>
            <w:r w:rsidRPr="00572AEC">
              <w:rPr>
                <w:rFonts w:cs="Calibri"/>
              </w:rPr>
              <w:t>Employee Expenses</w:t>
            </w:r>
          </w:p>
        </w:tc>
        <w:tc>
          <w:tcPr>
            <w:tcW w:w="1134" w:type="dxa"/>
            <w:tcBorders>
              <w:top w:val="nil"/>
              <w:left w:val="nil"/>
              <w:bottom w:val="nil"/>
              <w:right w:val="nil"/>
            </w:tcBorders>
            <w:vAlign w:val="bottom"/>
          </w:tcPr>
          <w:p w14:paraId="7B3D0DD1"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704800C9"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15531496" w14:textId="77777777" w:rsidR="00936AB8" w:rsidRPr="00572AEC" w:rsidRDefault="00936AB8" w:rsidP="00936AB8">
            <w:pPr>
              <w:pStyle w:val="TableText"/>
              <w:tabs>
                <w:tab w:val="left" w:pos="3306"/>
              </w:tabs>
              <w:jc w:val="right"/>
              <w:rPr>
                <w:rFonts w:cs="Calibri"/>
              </w:rPr>
            </w:pPr>
          </w:p>
        </w:tc>
      </w:tr>
      <w:tr w:rsidR="00936AB8" w:rsidRPr="00CF7E1B" w14:paraId="56472928" w14:textId="77777777" w:rsidTr="004D1EC6">
        <w:tc>
          <w:tcPr>
            <w:tcW w:w="1557" w:type="dxa"/>
            <w:tcBorders>
              <w:top w:val="nil"/>
              <w:left w:val="single" w:sz="2" w:space="0" w:color="auto"/>
              <w:bottom w:val="nil"/>
              <w:right w:val="single" w:sz="2" w:space="0" w:color="auto"/>
            </w:tcBorders>
          </w:tcPr>
          <w:p w14:paraId="2FA04907"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331E4CD0" w14:textId="77777777" w:rsidR="00936AB8" w:rsidRPr="00572AEC" w:rsidRDefault="00936AB8" w:rsidP="00936AB8">
            <w:pPr>
              <w:pStyle w:val="TableText"/>
              <w:tabs>
                <w:tab w:val="left" w:pos="3306"/>
              </w:tabs>
              <w:rPr>
                <w:rFonts w:cs="Calibri"/>
              </w:rPr>
            </w:pPr>
            <w:r w:rsidRPr="00572AEC">
              <w:rPr>
                <w:rFonts w:cs="Calibri"/>
              </w:rPr>
              <w:t>Superannuation Expenses</w:t>
            </w:r>
          </w:p>
        </w:tc>
        <w:tc>
          <w:tcPr>
            <w:tcW w:w="1134" w:type="dxa"/>
            <w:tcBorders>
              <w:top w:val="nil"/>
              <w:left w:val="nil"/>
              <w:bottom w:val="nil"/>
              <w:right w:val="nil"/>
            </w:tcBorders>
            <w:vAlign w:val="bottom"/>
          </w:tcPr>
          <w:p w14:paraId="2C75950A"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35E3736E"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71D011C8" w14:textId="77777777" w:rsidR="00936AB8" w:rsidRPr="00572AEC" w:rsidRDefault="00936AB8" w:rsidP="00936AB8">
            <w:pPr>
              <w:pStyle w:val="TableText"/>
              <w:tabs>
                <w:tab w:val="left" w:pos="3306"/>
              </w:tabs>
              <w:jc w:val="right"/>
              <w:rPr>
                <w:rFonts w:cs="Calibri"/>
              </w:rPr>
            </w:pPr>
          </w:p>
        </w:tc>
      </w:tr>
      <w:tr w:rsidR="00936AB8" w:rsidRPr="00CF7E1B" w14:paraId="113CC0DF" w14:textId="77777777" w:rsidTr="004D1EC6">
        <w:tc>
          <w:tcPr>
            <w:tcW w:w="1557" w:type="dxa"/>
            <w:tcBorders>
              <w:top w:val="nil"/>
              <w:left w:val="single" w:sz="2" w:space="0" w:color="auto"/>
              <w:bottom w:val="nil"/>
              <w:right w:val="single" w:sz="2" w:space="0" w:color="auto"/>
            </w:tcBorders>
          </w:tcPr>
          <w:p w14:paraId="0302B4FB"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19E5C5AC" w14:textId="77777777" w:rsidR="00936AB8" w:rsidRPr="00572AEC" w:rsidRDefault="00936AB8" w:rsidP="00936AB8">
            <w:pPr>
              <w:pStyle w:val="TableText"/>
              <w:tabs>
                <w:tab w:val="left" w:pos="3306"/>
              </w:tabs>
              <w:rPr>
                <w:rFonts w:cs="Calibri"/>
              </w:rPr>
            </w:pPr>
            <w:r w:rsidRPr="00572AEC">
              <w:rPr>
                <w:rFonts w:cs="Calibri"/>
              </w:rPr>
              <w:t xml:space="preserve">Supplies and Services </w:t>
            </w:r>
          </w:p>
        </w:tc>
        <w:tc>
          <w:tcPr>
            <w:tcW w:w="1134" w:type="dxa"/>
            <w:tcBorders>
              <w:top w:val="nil"/>
              <w:left w:val="nil"/>
              <w:bottom w:val="nil"/>
              <w:right w:val="nil"/>
            </w:tcBorders>
            <w:vAlign w:val="bottom"/>
          </w:tcPr>
          <w:p w14:paraId="1EDD0BB7"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211726C0"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1036613B" w14:textId="77777777" w:rsidR="00936AB8" w:rsidRPr="00572AEC" w:rsidRDefault="00936AB8" w:rsidP="00936AB8">
            <w:pPr>
              <w:pStyle w:val="TableText"/>
              <w:tabs>
                <w:tab w:val="left" w:pos="3306"/>
              </w:tabs>
              <w:jc w:val="right"/>
              <w:rPr>
                <w:rFonts w:cs="Calibri"/>
              </w:rPr>
            </w:pPr>
          </w:p>
        </w:tc>
      </w:tr>
      <w:tr w:rsidR="00936AB8" w:rsidRPr="00CF7E1B" w14:paraId="702B2343" w14:textId="77777777" w:rsidTr="004D1EC6">
        <w:tc>
          <w:tcPr>
            <w:tcW w:w="1557" w:type="dxa"/>
            <w:tcBorders>
              <w:top w:val="nil"/>
              <w:left w:val="single" w:sz="2" w:space="0" w:color="auto"/>
              <w:bottom w:val="nil"/>
              <w:right w:val="single" w:sz="2" w:space="0" w:color="auto"/>
            </w:tcBorders>
          </w:tcPr>
          <w:p w14:paraId="62BFD379"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7420A617" w14:textId="77777777" w:rsidR="00936AB8" w:rsidRPr="00572AEC" w:rsidRDefault="00936AB8" w:rsidP="00936AB8">
            <w:pPr>
              <w:pStyle w:val="TableText"/>
              <w:tabs>
                <w:tab w:val="left" w:pos="3306"/>
              </w:tabs>
              <w:rPr>
                <w:rFonts w:cs="Calibri"/>
              </w:rPr>
            </w:pPr>
            <w:r w:rsidRPr="00572AEC">
              <w:rPr>
                <w:rFonts w:cs="Calibri"/>
              </w:rPr>
              <w:t>Depreciation and Amortisation</w:t>
            </w:r>
          </w:p>
        </w:tc>
        <w:tc>
          <w:tcPr>
            <w:tcW w:w="1134" w:type="dxa"/>
            <w:tcBorders>
              <w:top w:val="nil"/>
              <w:left w:val="nil"/>
              <w:bottom w:val="nil"/>
              <w:right w:val="nil"/>
            </w:tcBorders>
            <w:vAlign w:val="bottom"/>
          </w:tcPr>
          <w:p w14:paraId="2390B818"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01F32E64"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6947523F" w14:textId="77777777" w:rsidR="00936AB8" w:rsidRPr="00572AEC" w:rsidRDefault="00936AB8" w:rsidP="00936AB8">
            <w:pPr>
              <w:pStyle w:val="TableText"/>
              <w:tabs>
                <w:tab w:val="left" w:pos="3306"/>
              </w:tabs>
              <w:jc w:val="right"/>
              <w:rPr>
                <w:rFonts w:cs="Calibri"/>
              </w:rPr>
            </w:pPr>
          </w:p>
        </w:tc>
      </w:tr>
      <w:tr w:rsidR="00936AB8" w:rsidRPr="00CF7E1B" w14:paraId="3C7DE005" w14:textId="77777777" w:rsidTr="004D1EC6">
        <w:tc>
          <w:tcPr>
            <w:tcW w:w="1557" w:type="dxa"/>
            <w:tcBorders>
              <w:top w:val="nil"/>
              <w:left w:val="single" w:sz="2" w:space="0" w:color="auto"/>
              <w:bottom w:val="nil"/>
              <w:right w:val="single" w:sz="2" w:space="0" w:color="auto"/>
            </w:tcBorders>
          </w:tcPr>
          <w:p w14:paraId="41F4B328"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6389DC12" w14:textId="77777777" w:rsidR="00936AB8" w:rsidRPr="00572AEC" w:rsidRDefault="00936AB8" w:rsidP="00936AB8">
            <w:pPr>
              <w:pStyle w:val="TableText"/>
              <w:tabs>
                <w:tab w:val="left" w:pos="3306"/>
              </w:tabs>
              <w:rPr>
                <w:rFonts w:cs="Calibri"/>
              </w:rPr>
            </w:pPr>
            <w:r w:rsidRPr="00572AEC">
              <w:rPr>
                <w:rFonts w:cs="Calibri"/>
              </w:rPr>
              <w:t>Grants and Purchased Services</w:t>
            </w:r>
          </w:p>
        </w:tc>
        <w:tc>
          <w:tcPr>
            <w:tcW w:w="1134" w:type="dxa"/>
            <w:tcBorders>
              <w:top w:val="nil"/>
              <w:left w:val="nil"/>
              <w:bottom w:val="nil"/>
              <w:right w:val="nil"/>
            </w:tcBorders>
            <w:vAlign w:val="bottom"/>
          </w:tcPr>
          <w:p w14:paraId="3ACC96E0"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55C4DE46"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7C900788" w14:textId="77777777" w:rsidR="00936AB8" w:rsidRPr="00572AEC" w:rsidRDefault="00936AB8" w:rsidP="00936AB8">
            <w:pPr>
              <w:pStyle w:val="TableText"/>
              <w:tabs>
                <w:tab w:val="left" w:pos="3306"/>
              </w:tabs>
              <w:jc w:val="right"/>
              <w:rPr>
                <w:rFonts w:cs="Calibri"/>
              </w:rPr>
            </w:pPr>
          </w:p>
        </w:tc>
      </w:tr>
      <w:tr w:rsidR="00DD2353" w:rsidRPr="00CF7E1B" w14:paraId="5528D555" w14:textId="77777777" w:rsidTr="004D1EC6">
        <w:tc>
          <w:tcPr>
            <w:tcW w:w="1557" w:type="dxa"/>
            <w:tcBorders>
              <w:top w:val="nil"/>
              <w:left w:val="single" w:sz="2" w:space="0" w:color="auto"/>
              <w:bottom w:val="nil"/>
              <w:right w:val="single" w:sz="2" w:space="0" w:color="auto"/>
            </w:tcBorders>
          </w:tcPr>
          <w:p w14:paraId="552B5795" w14:textId="2FB440BD" w:rsidR="00DD2353" w:rsidRPr="00572AEC" w:rsidRDefault="00DD2353" w:rsidP="00936AB8">
            <w:pPr>
              <w:pStyle w:val="TableReference"/>
              <w:tabs>
                <w:tab w:val="left" w:pos="3306"/>
              </w:tabs>
              <w:spacing w:before="60"/>
              <w:rPr>
                <w:rFonts w:cs="Calibri"/>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7ACBD541" w14:textId="25BFBB5F" w:rsidR="00DD2353" w:rsidRPr="00572AEC" w:rsidRDefault="00DD2353" w:rsidP="00936AB8">
            <w:pPr>
              <w:pStyle w:val="TableText"/>
              <w:tabs>
                <w:tab w:val="left" w:pos="3306"/>
              </w:tabs>
              <w:rPr>
                <w:rFonts w:cs="Calibri"/>
              </w:rPr>
            </w:pPr>
            <w:r w:rsidRPr="00572AEC">
              <w:rPr>
                <w:rFonts w:cs="Calibri"/>
              </w:rPr>
              <w:t>Cost of Goods Sold and Distributed</w:t>
            </w:r>
          </w:p>
        </w:tc>
        <w:tc>
          <w:tcPr>
            <w:tcW w:w="1134" w:type="dxa"/>
            <w:tcBorders>
              <w:top w:val="nil"/>
              <w:left w:val="nil"/>
              <w:bottom w:val="nil"/>
              <w:right w:val="nil"/>
            </w:tcBorders>
            <w:vAlign w:val="bottom"/>
          </w:tcPr>
          <w:p w14:paraId="78C10E8E" w14:textId="77777777" w:rsidR="00DD2353" w:rsidRPr="00572AEC" w:rsidRDefault="00DD2353"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215845D0" w14:textId="77777777" w:rsidR="00DD2353" w:rsidRPr="00572AEC" w:rsidRDefault="00DD2353"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527B0983" w14:textId="77777777" w:rsidR="00DD2353" w:rsidRPr="00572AEC" w:rsidRDefault="00DD2353" w:rsidP="00936AB8">
            <w:pPr>
              <w:pStyle w:val="TableText"/>
              <w:tabs>
                <w:tab w:val="left" w:pos="3306"/>
              </w:tabs>
              <w:jc w:val="right"/>
              <w:rPr>
                <w:rFonts w:cs="Calibri"/>
              </w:rPr>
            </w:pPr>
          </w:p>
        </w:tc>
      </w:tr>
      <w:tr w:rsidR="00936AB8" w:rsidRPr="00CF7E1B" w14:paraId="27A7649B" w14:textId="77777777" w:rsidTr="004D1EC6">
        <w:tc>
          <w:tcPr>
            <w:tcW w:w="1557" w:type="dxa"/>
            <w:tcBorders>
              <w:top w:val="nil"/>
              <w:left w:val="single" w:sz="2" w:space="0" w:color="auto"/>
              <w:bottom w:val="nil"/>
              <w:right w:val="single" w:sz="2" w:space="0" w:color="auto"/>
            </w:tcBorders>
          </w:tcPr>
          <w:p w14:paraId="44080425"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0293E19A" w14:textId="77777777" w:rsidR="00936AB8" w:rsidRPr="00572AEC" w:rsidRDefault="00936AB8" w:rsidP="00936AB8">
            <w:pPr>
              <w:pStyle w:val="TableText"/>
              <w:tabs>
                <w:tab w:val="left" w:pos="3306"/>
              </w:tabs>
              <w:rPr>
                <w:rFonts w:cs="Calibri"/>
              </w:rPr>
            </w:pPr>
            <w:r w:rsidRPr="00572AEC">
              <w:rPr>
                <w:rFonts w:cs="Calibri"/>
              </w:rPr>
              <w:t>Borrowing Costs</w:t>
            </w:r>
          </w:p>
        </w:tc>
        <w:tc>
          <w:tcPr>
            <w:tcW w:w="1134" w:type="dxa"/>
            <w:tcBorders>
              <w:top w:val="nil"/>
              <w:left w:val="nil"/>
              <w:bottom w:val="nil"/>
              <w:right w:val="nil"/>
            </w:tcBorders>
            <w:vAlign w:val="bottom"/>
          </w:tcPr>
          <w:p w14:paraId="7E428278" w14:textId="77777777" w:rsidR="00936AB8" w:rsidRPr="00572AEC" w:rsidRDefault="00936AB8" w:rsidP="00936AB8">
            <w:pPr>
              <w:pStyle w:val="TableText"/>
              <w:tabs>
                <w:tab w:val="left" w:pos="3306"/>
              </w:tabs>
              <w:jc w:val="right"/>
              <w:rPr>
                <w:rFonts w:cs="Calibri"/>
              </w:rPr>
            </w:pPr>
          </w:p>
        </w:tc>
        <w:tc>
          <w:tcPr>
            <w:tcW w:w="992" w:type="dxa"/>
            <w:tcBorders>
              <w:top w:val="nil"/>
              <w:left w:val="nil"/>
              <w:bottom w:val="nil"/>
              <w:right w:val="nil"/>
            </w:tcBorders>
            <w:vAlign w:val="bottom"/>
          </w:tcPr>
          <w:p w14:paraId="58943845"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nil"/>
              <w:right w:val="nil"/>
            </w:tcBorders>
            <w:vAlign w:val="bottom"/>
          </w:tcPr>
          <w:p w14:paraId="493F9797" w14:textId="77777777" w:rsidR="00936AB8" w:rsidRPr="00572AEC" w:rsidRDefault="00936AB8" w:rsidP="00936AB8">
            <w:pPr>
              <w:pStyle w:val="TableText"/>
              <w:tabs>
                <w:tab w:val="left" w:pos="3306"/>
              </w:tabs>
              <w:jc w:val="right"/>
              <w:rPr>
                <w:rFonts w:cs="Calibri"/>
              </w:rPr>
            </w:pPr>
          </w:p>
        </w:tc>
      </w:tr>
      <w:tr w:rsidR="00936AB8" w:rsidRPr="00CF7E1B" w14:paraId="0B66655E" w14:textId="77777777" w:rsidTr="004D1EC6">
        <w:tc>
          <w:tcPr>
            <w:tcW w:w="1557" w:type="dxa"/>
            <w:tcBorders>
              <w:top w:val="nil"/>
              <w:left w:val="single" w:sz="2" w:space="0" w:color="auto"/>
              <w:bottom w:val="nil"/>
              <w:right w:val="single" w:sz="2" w:space="0" w:color="auto"/>
            </w:tcBorders>
          </w:tcPr>
          <w:p w14:paraId="5BCB6599" w14:textId="77777777" w:rsidR="00936AB8" w:rsidRPr="00572AEC" w:rsidRDefault="00936AB8" w:rsidP="00936AB8">
            <w:pPr>
              <w:pStyle w:val="TableReference"/>
              <w:tabs>
                <w:tab w:val="left" w:pos="3306"/>
              </w:tabs>
              <w:spacing w:before="60"/>
              <w:rPr>
                <w:rFonts w:cs="Calibri"/>
                <w:strike/>
                <w:color w:val="7030A0"/>
                <w:sz w:val="14"/>
              </w:rPr>
            </w:pPr>
            <w:r w:rsidRPr="00572AEC">
              <w:rPr>
                <w:rFonts w:cs="Calibri"/>
                <w:color w:val="7030A0"/>
                <w:sz w:val="14"/>
              </w:rPr>
              <w:t>AASB 1052.15(c)</w:t>
            </w:r>
          </w:p>
        </w:tc>
        <w:tc>
          <w:tcPr>
            <w:tcW w:w="5528" w:type="dxa"/>
            <w:tcBorders>
              <w:top w:val="nil"/>
              <w:left w:val="single" w:sz="2" w:space="0" w:color="auto"/>
              <w:bottom w:val="nil"/>
              <w:right w:val="nil"/>
            </w:tcBorders>
            <w:vAlign w:val="bottom"/>
          </w:tcPr>
          <w:p w14:paraId="25058FE0" w14:textId="77777777" w:rsidR="00936AB8" w:rsidRPr="00572AEC" w:rsidRDefault="00936AB8" w:rsidP="00936AB8">
            <w:pPr>
              <w:pStyle w:val="TableText"/>
              <w:tabs>
                <w:tab w:val="left" w:pos="3306"/>
              </w:tabs>
              <w:rPr>
                <w:rFonts w:cs="Calibri"/>
              </w:rPr>
            </w:pPr>
            <w:r w:rsidRPr="00572AEC">
              <w:rPr>
                <w:rFonts w:cs="Calibri"/>
              </w:rPr>
              <w:t>Other Expenses</w:t>
            </w:r>
          </w:p>
        </w:tc>
        <w:tc>
          <w:tcPr>
            <w:tcW w:w="1134" w:type="dxa"/>
            <w:tcBorders>
              <w:top w:val="nil"/>
              <w:left w:val="nil"/>
              <w:bottom w:val="single" w:sz="2" w:space="0" w:color="auto"/>
              <w:right w:val="nil"/>
            </w:tcBorders>
            <w:vAlign w:val="bottom"/>
          </w:tcPr>
          <w:p w14:paraId="616D506D" w14:textId="77777777" w:rsidR="00936AB8" w:rsidRPr="00572AEC" w:rsidRDefault="00936AB8" w:rsidP="00936AB8">
            <w:pPr>
              <w:pStyle w:val="TableText"/>
              <w:tabs>
                <w:tab w:val="left" w:pos="3306"/>
              </w:tabs>
              <w:jc w:val="right"/>
              <w:rPr>
                <w:rFonts w:cs="Calibri"/>
                <w:strike/>
              </w:rPr>
            </w:pPr>
          </w:p>
        </w:tc>
        <w:tc>
          <w:tcPr>
            <w:tcW w:w="992" w:type="dxa"/>
            <w:tcBorders>
              <w:top w:val="nil"/>
              <w:left w:val="nil"/>
              <w:bottom w:val="single" w:sz="2" w:space="0" w:color="auto"/>
              <w:right w:val="nil"/>
            </w:tcBorders>
            <w:vAlign w:val="bottom"/>
          </w:tcPr>
          <w:p w14:paraId="39B34D73" w14:textId="77777777" w:rsidR="00936AB8" w:rsidRPr="00572AEC" w:rsidRDefault="00936AB8" w:rsidP="00936AB8">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2EAF052D" w14:textId="77777777" w:rsidR="00936AB8" w:rsidRPr="00572AEC" w:rsidRDefault="00936AB8" w:rsidP="00936AB8">
            <w:pPr>
              <w:pStyle w:val="TableText"/>
              <w:tabs>
                <w:tab w:val="left" w:pos="3306"/>
              </w:tabs>
              <w:jc w:val="right"/>
              <w:rPr>
                <w:rFonts w:cs="Calibri"/>
              </w:rPr>
            </w:pPr>
          </w:p>
        </w:tc>
      </w:tr>
      <w:tr w:rsidR="00936AB8" w:rsidRPr="00CF7E1B" w14:paraId="65B0A676" w14:textId="77777777" w:rsidTr="004D1EC6">
        <w:tc>
          <w:tcPr>
            <w:tcW w:w="1557" w:type="dxa"/>
            <w:tcBorders>
              <w:top w:val="nil"/>
              <w:left w:val="single" w:sz="2" w:space="0" w:color="auto"/>
              <w:bottom w:val="nil"/>
              <w:right w:val="single" w:sz="2" w:space="0" w:color="auto"/>
            </w:tcBorders>
          </w:tcPr>
          <w:p w14:paraId="724B8EB4" w14:textId="77777777" w:rsidR="00936AB8" w:rsidRPr="00572AEC" w:rsidRDefault="00936AB8" w:rsidP="00936AB8">
            <w:pPr>
              <w:pStyle w:val="TableReference"/>
              <w:tabs>
                <w:tab w:val="left" w:pos="3306"/>
              </w:tabs>
              <w:spacing w:before="40"/>
              <w:rPr>
                <w:rFonts w:cs="Calibri"/>
                <w:color w:val="7030A0"/>
                <w:sz w:val="16"/>
                <w:szCs w:val="16"/>
              </w:rPr>
            </w:pPr>
          </w:p>
        </w:tc>
        <w:tc>
          <w:tcPr>
            <w:tcW w:w="5528" w:type="dxa"/>
            <w:tcBorders>
              <w:top w:val="nil"/>
              <w:left w:val="single" w:sz="2" w:space="0" w:color="auto"/>
              <w:bottom w:val="nil"/>
              <w:right w:val="nil"/>
            </w:tcBorders>
            <w:vAlign w:val="bottom"/>
          </w:tcPr>
          <w:p w14:paraId="57AE7B23" w14:textId="77777777" w:rsidR="00936AB8" w:rsidRPr="00572AEC" w:rsidRDefault="00936AB8" w:rsidP="00936AB8">
            <w:pPr>
              <w:pStyle w:val="TableText"/>
              <w:tabs>
                <w:tab w:val="left" w:pos="3306"/>
              </w:tabs>
              <w:rPr>
                <w:rFonts w:cs="Calibri"/>
                <w:b/>
                <w:bCs/>
              </w:rPr>
            </w:pPr>
            <w:bookmarkStart w:id="252" w:name="_Toc48468245"/>
            <w:bookmarkStart w:id="253" w:name="_Toc49223886"/>
            <w:r w:rsidRPr="00572AEC">
              <w:rPr>
                <w:rFonts w:cs="Calibri"/>
                <w:b/>
                <w:bCs/>
              </w:rPr>
              <w:t xml:space="preserve">Total Expenses </w:t>
            </w:r>
            <w:bookmarkEnd w:id="252"/>
            <w:bookmarkEnd w:id="253"/>
          </w:p>
        </w:tc>
        <w:tc>
          <w:tcPr>
            <w:tcW w:w="1134" w:type="dxa"/>
            <w:tcBorders>
              <w:top w:val="single" w:sz="2" w:space="0" w:color="auto"/>
              <w:left w:val="nil"/>
              <w:bottom w:val="single" w:sz="2" w:space="0" w:color="auto"/>
              <w:right w:val="nil"/>
            </w:tcBorders>
            <w:vAlign w:val="bottom"/>
          </w:tcPr>
          <w:p w14:paraId="5BB6CF58" w14:textId="77777777" w:rsidR="00936AB8" w:rsidRPr="00572AEC" w:rsidRDefault="00936AB8" w:rsidP="00936AB8">
            <w:pPr>
              <w:pStyle w:val="TableText"/>
              <w:tabs>
                <w:tab w:val="left" w:pos="3306"/>
              </w:tabs>
              <w:jc w:val="right"/>
              <w:rPr>
                <w:rFonts w:cs="Calibri"/>
                <w:b/>
                <w:bCs/>
                <w:strike/>
              </w:rPr>
            </w:pPr>
          </w:p>
        </w:tc>
        <w:tc>
          <w:tcPr>
            <w:tcW w:w="992" w:type="dxa"/>
            <w:tcBorders>
              <w:top w:val="single" w:sz="2" w:space="0" w:color="auto"/>
              <w:left w:val="nil"/>
              <w:bottom w:val="single" w:sz="2" w:space="0" w:color="auto"/>
              <w:right w:val="nil"/>
            </w:tcBorders>
            <w:vAlign w:val="bottom"/>
          </w:tcPr>
          <w:p w14:paraId="0F3D56D0" w14:textId="77777777" w:rsidR="00936AB8" w:rsidRPr="00572AEC" w:rsidRDefault="00936AB8" w:rsidP="00936AB8">
            <w:pPr>
              <w:pStyle w:val="TableText"/>
              <w:tabs>
                <w:tab w:val="left" w:pos="3306"/>
              </w:tabs>
              <w:jc w:val="right"/>
              <w:rPr>
                <w:rFonts w:cs="Calibri"/>
                <w:b/>
                <w:bCs/>
              </w:rPr>
            </w:pPr>
          </w:p>
        </w:tc>
        <w:tc>
          <w:tcPr>
            <w:tcW w:w="1276" w:type="dxa"/>
            <w:tcBorders>
              <w:top w:val="single" w:sz="2" w:space="0" w:color="auto"/>
              <w:left w:val="nil"/>
              <w:bottom w:val="single" w:sz="2" w:space="0" w:color="auto"/>
              <w:right w:val="nil"/>
            </w:tcBorders>
            <w:vAlign w:val="bottom"/>
          </w:tcPr>
          <w:p w14:paraId="3F3815FF" w14:textId="77777777" w:rsidR="00936AB8" w:rsidRPr="00572AEC" w:rsidRDefault="00936AB8" w:rsidP="00936AB8">
            <w:pPr>
              <w:pStyle w:val="TableText"/>
              <w:tabs>
                <w:tab w:val="left" w:pos="3306"/>
              </w:tabs>
              <w:jc w:val="right"/>
              <w:rPr>
                <w:rFonts w:cs="Calibri"/>
                <w:b/>
                <w:bCs/>
              </w:rPr>
            </w:pPr>
          </w:p>
        </w:tc>
      </w:tr>
      <w:tr w:rsidR="00936AB8" w:rsidRPr="00CF7E1B" w14:paraId="0EB95E5D" w14:textId="77777777" w:rsidTr="004D1EC6">
        <w:tc>
          <w:tcPr>
            <w:tcW w:w="1557" w:type="dxa"/>
            <w:tcBorders>
              <w:top w:val="nil"/>
              <w:left w:val="single" w:sz="2" w:space="0" w:color="auto"/>
              <w:bottom w:val="nil"/>
              <w:right w:val="single" w:sz="2" w:space="0" w:color="auto"/>
            </w:tcBorders>
          </w:tcPr>
          <w:p w14:paraId="653316B7" w14:textId="77777777" w:rsidR="00936AB8" w:rsidRPr="00572AEC" w:rsidRDefault="00936AB8" w:rsidP="00936AB8">
            <w:pPr>
              <w:pStyle w:val="TableReference"/>
              <w:tabs>
                <w:tab w:val="left" w:pos="3306"/>
              </w:tabs>
              <w:spacing w:before="40"/>
              <w:rPr>
                <w:rFonts w:cs="Calibri"/>
                <w:color w:val="7030A0"/>
                <w:sz w:val="16"/>
                <w:szCs w:val="16"/>
              </w:rPr>
            </w:pPr>
          </w:p>
        </w:tc>
        <w:tc>
          <w:tcPr>
            <w:tcW w:w="5528" w:type="dxa"/>
            <w:tcBorders>
              <w:top w:val="nil"/>
              <w:left w:val="single" w:sz="2" w:space="0" w:color="auto"/>
              <w:bottom w:val="nil"/>
              <w:right w:val="nil"/>
            </w:tcBorders>
            <w:vAlign w:val="bottom"/>
          </w:tcPr>
          <w:p w14:paraId="73FB5DDE" w14:textId="77777777" w:rsidR="00936AB8" w:rsidRPr="00572AEC" w:rsidRDefault="00936AB8" w:rsidP="00936AB8">
            <w:pPr>
              <w:pStyle w:val="TableText"/>
              <w:tabs>
                <w:tab w:val="left" w:pos="3306"/>
              </w:tabs>
              <w:rPr>
                <w:rFonts w:cs="Calibri"/>
              </w:rPr>
            </w:pPr>
            <w:r w:rsidRPr="00572AEC">
              <w:rPr>
                <w:rFonts w:cs="Calibri"/>
              </w:rPr>
              <w:t>Share of Operating Profit from Joint Venture accounted for using the Equity Method</w:t>
            </w:r>
          </w:p>
        </w:tc>
        <w:tc>
          <w:tcPr>
            <w:tcW w:w="1134" w:type="dxa"/>
            <w:tcBorders>
              <w:top w:val="single" w:sz="2" w:space="0" w:color="auto"/>
              <w:left w:val="nil"/>
              <w:bottom w:val="single" w:sz="2" w:space="0" w:color="auto"/>
              <w:right w:val="nil"/>
            </w:tcBorders>
            <w:vAlign w:val="bottom"/>
          </w:tcPr>
          <w:p w14:paraId="0D4D035D" w14:textId="77777777" w:rsidR="00936AB8" w:rsidRPr="00572AEC" w:rsidRDefault="00936AB8" w:rsidP="00936AB8">
            <w:pPr>
              <w:pStyle w:val="TableText"/>
              <w:tabs>
                <w:tab w:val="left" w:pos="3306"/>
              </w:tabs>
              <w:jc w:val="right"/>
              <w:rPr>
                <w:rFonts w:cs="Calibri"/>
              </w:rPr>
            </w:pPr>
          </w:p>
        </w:tc>
        <w:tc>
          <w:tcPr>
            <w:tcW w:w="992" w:type="dxa"/>
            <w:tcBorders>
              <w:top w:val="single" w:sz="2" w:space="0" w:color="auto"/>
              <w:left w:val="nil"/>
              <w:bottom w:val="single" w:sz="2" w:space="0" w:color="auto"/>
              <w:right w:val="nil"/>
            </w:tcBorders>
            <w:vAlign w:val="bottom"/>
          </w:tcPr>
          <w:p w14:paraId="5E86C80C" w14:textId="77777777" w:rsidR="00936AB8" w:rsidRPr="00572AEC" w:rsidRDefault="00936AB8" w:rsidP="00936AB8">
            <w:pPr>
              <w:pStyle w:val="TableText"/>
              <w:tabs>
                <w:tab w:val="left" w:pos="3306"/>
              </w:tabs>
              <w:jc w:val="right"/>
              <w:rPr>
                <w:rFonts w:cs="Calibri"/>
              </w:rPr>
            </w:pPr>
          </w:p>
        </w:tc>
        <w:tc>
          <w:tcPr>
            <w:tcW w:w="1276" w:type="dxa"/>
            <w:tcBorders>
              <w:top w:val="single" w:sz="2" w:space="0" w:color="auto"/>
              <w:left w:val="nil"/>
              <w:bottom w:val="single" w:sz="2" w:space="0" w:color="auto"/>
              <w:right w:val="nil"/>
            </w:tcBorders>
            <w:vAlign w:val="bottom"/>
          </w:tcPr>
          <w:p w14:paraId="73B55637" w14:textId="77777777" w:rsidR="00936AB8" w:rsidRPr="00572AEC" w:rsidRDefault="00936AB8" w:rsidP="00936AB8">
            <w:pPr>
              <w:pStyle w:val="TableText"/>
              <w:tabs>
                <w:tab w:val="left" w:pos="3306"/>
              </w:tabs>
              <w:jc w:val="right"/>
              <w:rPr>
                <w:rFonts w:cs="Calibri"/>
              </w:rPr>
            </w:pPr>
          </w:p>
        </w:tc>
      </w:tr>
      <w:tr w:rsidR="00936AB8" w:rsidRPr="00CF7E1B" w14:paraId="3EFAF964" w14:textId="77777777" w:rsidTr="004D1EC6">
        <w:tc>
          <w:tcPr>
            <w:tcW w:w="1557" w:type="dxa"/>
            <w:tcBorders>
              <w:top w:val="nil"/>
              <w:left w:val="single" w:sz="2" w:space="0" w:color="auto"/>
              <w:bottom w:val="nil"/>
              <w:right w:val="single" w:sz="2" w:space="0" w:color="auto"/>
            </w:tcBorders>
          </w:tcPr>
          <w:p w14:paraId="36FC22B9" w14:textId="77777777" w:rsidR="00936AB8" w:rsidRPr="00572AEC" w:rsidRDefault="00936AB8" w:rsidP="00936AB8">
            <w:pPr>
              <w:pStyle w:val="TableReference"/>
              <w:tabs>
                <w:tab w:val="left" w:pos="3306"/>
              </w:tabs>
              <w:spacing w:before="40"/>
              <w:rPr>
                <w:rFonts w:cs="Calibri"/>
                <w:color w:val="7030A0"/>
                <w:sz w:val="16"/>
                <w:szCs w:val="16"/>
              </w:rPr>
            </w:pPr>
          </w:p>
        </w:tc>
        <w:tc>
          <w:tcPr>
            <w:tcW w:w="5528" w:type="dxa"/>
            <w:tcBorders>
              <w:top w:val="nil"/>
              <w:left w:val="single" w:sz="2" w:space="0" w:color="auto"/>
              <w:bottom w:val="nil"/>
              <w:right w:val="nil"/>
            </w:tcBorders>
            <w:vAlign w:val="bottom"/>
          </w:tcPr>
          <w:p w14:paraId="01CCD4E3" w14:textId="249A498A" w:rsidR="00936AB8" w:rsidRPr="00572AEC" w:rsidRDefault="00936AB8" w:rsidP="00936AB8">
            <w:pPr>
              <w:pStyle w:val="TableText"/>
              <w:tabs>
                <w:tab w:val="left" w:pos="3306"/>
              </w:tabs>
              <w:rPr>
                <w:rFonts w:cs="Calibri"/>
                <w:b/>
                <w:bCs/>
              </w:rPr>
            </w:pPr>
            <w:bookmarkStart w:id="254" w:name="_Toc48468246"/>
            <w:bookmarkStart w:id="255" w:name="_Toc49223887"/>
            <w:r w:rsidRPr="00572AEC">
              <w:rPr>
                <w:rFonts w:cs="Calibri"/>
                <w:b/>
                <w:bCs/>
              </w:rPr>
              <w:t xml:space="preserve">Operating </w:t>
            </w:r>
            <w:r w:rsidR="00F91BB4" w:rsidRPr="00572AEC">
              <w:rPr>
                <w:rFonts w:cs="Calibri"/>
                <w:b/>
                <w:bCs/>
              </w:rPr>
              <w:t>Result</w:t>
            </w:r>
            <w:bookmarkEnd w:id="254"/>
            <w:bookmarkEnd w:id="255"/>
          </w:p>
        </w:tc>
        <w:tc>
          <w:tcPr>
            <w:tcW w:w="1134" w:type="dxa"/>
            <w:tcBorders>
              <w:top w:val="single" w:sz="2" w:space="0" w:color="auto"/>
              <w:left w:val="nil"/>
              <w:bottom w:val="double" w:sz="4" w:space="0" w:color="auto"/>
              <w:right w:val="nil"/>
            </w:tcBorders>
            <w:vAlign w:val="bottom"/>
          </w:tcPr>
          <w:p w14:paraId="2A0FB0C7" w14:textId="77777777" w:rsidR="00936AB8" w:rsidRPr="00572AEC" w:rsidRDefault="00936AB8" w:rsidP="00936AB8">
            <w:pPr>
              <w:pStyle w:val="TableText"/>
              <w:tabs>
                <w:tab w:val="left" w:pos="3306"/>
              </w:tabs>
              <w:jc w:val="right"/>
              <w:rPr>
                <w:rFonts w:cs="Calibri"/>
                <w:b/>
                <w:bCs/>
                <w:strike/>
              </w:rPr>
            </w:pPr>
          </w:p>
        </w:tc>
        <w:tc>
          <w:tcPr>
            <w:tcW w:w="992" w:type="dxa"/>
            <w:tcBorders>
              <w:top w:val="single" w:sz="2" w:space="0" w:color="auto"/>
              <w:left w:val="nil"/>
              <w:bottom w:val="double" w:sz="4" w:space="0" w:color="auto"/>
              <w:right w:val="nil"/>
            </w:tcBorders>
            <w:vAlign w:val="bottom"/>
          </w:tcPr>
          <w:p w14:paraId="36FD917F" w14:textId="77777777" w:rsidR="00936AB8" w:rsidRPr="00572AEC" w:rsidRDefault="00936AB8" w:rsidP="00936AB8">
            <w:pPr>
              <w:pStyle w:val="TableText"/>
              <w:tabs>
                <w:tab w:val="left" w:pos="3306"/>
              </w:tabs>
              <w:jc w:val="right"/>
              <w:rPr>
                <w:rFonts w:cs="Calibri"/>
                <w:b/>
                <w:bCs/>
              </w:rPr>
            </w:pPr>
          </w:p>
        </w:tc>
        <w:tc>
          <w:tcPr>
            <w:tcW w:w="1276" w:type="dxa"/>
            <w:tcBorders>
              <w:top w:val="single" w:sz="2" w:space="0" w:color="auto"/>
              <w:left w:val="nil"/>
              <w:bottom w:val="double" w:sz="4" w:space="0" w:color="auto"/>
              <w:right w:val="nil"/>
            </w:tcBorders>
            <w:vAlign w:val="bottom"/>
          </w:tcPr>
          <w:p w14:paraId="38C37F64" w14:textId="77777777" w:rsidR="00936AB8" w:rsidRPr="00572AEC" w:rsidRDefault="00936AB8" w:rsidP="00936AB8">
            <w:pPr>
              <w:pStyle w:val="TableText"/>
              <w:tabs>
                <w:tab w:val="left" w:pos="3306"/>
              </w:tabs>
              <w:jc w:val="right"/>
              <w:rPr>
                <w:rFonts w:cs="Calibri"/>
                <w:b/>
                <w:bCs/>
              </w:rPr>
            </w:pPr>
          </w:p>
        </w:tc>
      </w:tr>
      <w:tr w:rsidR="004A29C0" w:rsidRPr="00CF7E1B" w14:paraId="167D0435" w14:textId="77777777" w:rsidTr="004D1EC6">
        <w:tc>
          <w:tcPr>
            <w:tcW w:w="1557" w:type="dxa"/>
            <w:tcBorders>
              <w:top w:val="nil"/>
              <w:left w:val="single" w:sz="2" w:space="0" w:color="auto"/>
              <w:bottom w:val="nil"/>
              <w:right w:val="single" w:sz="2" w:space="0" w:color="auto"/>
            </w:tcBorders>
          </w:tcPr>
          <w:p w14:paraId="1E682FE0" w14:textId="77777777" w:rsidR="004A29C0" w:rsidRPr="00572AEC" w:rsidRDefault="004A29C0" w:rsidP="00936AB8">
            <w:pPr>
              <w:pStyle w:val="TableReference"/>
              <w:tabs>
                <w:tab w:val="left" w:pos="3306"/>
              </w:tabs>
              <w:spacing w:before="40"/>
              <w:rPr>
                <w:rFonts w:cs="Calibri"/>
                <w:color w:val="7030A0"/>
                <w:sz w:val="16"/>
                <w:szCs w:val="16"/>
              </w:rPr>
            </w:pPr>
          </w:p>
        </w:tc>
        <w:tc>
          <w:tcPr>
            <w:tcW w:w="5528" w:type="dxa"/>
            <w:tcBorders>
              <w:top w:val="nil"/>
              <w:left w:val="single" w:sz="2" w:space="0" w:color="auto"/>
              <w:bottom w:val="nil"/>
              <w:right w:val="nil"/>
            </w:tcBorders>
            <w:vAlign w:val="bottom"/>
          </w:tcPr>
          <w:p w14:paraId="1E017394" w14:textId="77777777" w:rsidR="004A29C0" w:rsidRPr="00572AEC" w:rsidRDefault="004A29C0" w:rsidP="00936AB8">
            <w:pPr>
              <w:pStyle w:val="TableText"/>
              <w:tabs>
                <w:tab w:val="left" w:pos="3306"/>
              </w:tabs>
              <w:rPr>
                <w:rFonts w:cs="Calibri"/>
                <w:b/>
                <w:bCs/>
              </w:rPr>
            </w:pPr>
          </w:p>
        </w:tc>
        <w:tc>
          <w:tcPr>
            <w:tcW w:w="1134" w:type="dxa"/>
            <w:tcBorders>
              <w:top w:val="double" w:sz="4" w:space="0" w:color="auto"/>
              <w:left w:val="nil"/>
              <w:bottom w:val="nil"/>
              <w:right w:val="nil"/>
            </w:tcBorders>
            <w:vAlign w:val="bottom"/>
          </w:tcPr>
          <w:p w14:paraId="38BBA804" w14:textId="77777777" w:rsidR="004A29C0" w:rsidRPr="00572AEC" w:rsidRDefault="004A29C0" w:rsidP="00936AB8">
            <w:pPr>
              <w:pStyle w:val="TableText"/>
              <w:tabs>
                <w:tab w:val="left" w:pos="3306"/>
              </w:tabs>
              <w:jc w:val="right"/>
              <w:rPr>
                <w:rFonts w:cs="Calibri"/>
                <w:b/>
                <w:bCs/>
                <w:strike/>
              </w:rPr>
            </w:pPr>
          </w:p>
        </w:tc>
        <w:tc>
          <w:tcPr>
            <w:tcW w:w="992" w:type="dxa"/>
            <w:tcBorders>
              <w:top w:val="double" w:sz="4" w:space="0" w:color="auto"/>
              <w:left w:val="nil"/>
              <w:bottom w:val="nil"/>
              <w:right w:val="nil"/>
            </w:tcBorders>
            <w:vAlign w:val="bottom"/>
          </w:tcPr>
          <w:p w14:paraId="12298496" w14:textId="77777777" w:rsidR="004A29C0" w:rsidRPr="00572AEC" w:rsidRDefault="004A29C0" w:rsidP="00936AB8">
            <w:pPr>
              <w:pStyle w:val="TableText"/>
              <w:tabs>
                <w:tab w:val="left" w:pos="3306"/>
              </w:tabs>
              <w:jc w:val="right"/>
              <w:rPr>
                <w:rFonts w:cs="Calibri"/>
                <w:b/>
                <w:bCs/>
              </w:rPr>
            </w:pPr>
          </w:p>
        </w:tc>
        <w:tc>
          <w:tcPr>
            <w:tcW w:w="1276" w:type="dxa"/>
            <w:tcBorders>
              <w:top w:val="double" w:sz="4" w:space="0" w:color="auto"/>
              <w:left w:val="nil"/>
              <w:bottom w:val="nil"/>
              <w:right w:val="nil"/>
            </w:tcBorders>
            <w:vAlign w:val="bottom"/>
          </w:tcPr>
          <w:p w14:paraId="5DD02DE1" w14:textId="77777777" w:rsidR="004A29C0" w:rsidRPr="00572AEC" w:rsidRDefault="004A29C0" w:rsidP="00936AB8">
            <w:pPr>
              <w:pStyle w:val="TableText"/>
              <w:tabs>
                <w:tab w:val="left" w:pos="3306"/>
              </w:tabs>
              <w:jc w:val="right"/>
              <w:rPr>
                <w:rFonts w:cs="Calibri"/>
                <w:b/>
                <w:bCs/>
              </w:rPr>
            </w:pPr>
          </w:p>
        </w:tc>
      </w:tr>
      <w:tr w:rsidR="004A29C0" w:rsidRPr="00CF7E1B" w14:paraId="326960BD" w14:textId="77777777" w:rsidTr="004D1EC6">
        <w:tc>
          <w:tcPr>
            <w:tcW w:w="1557" w:type="dxa"/>
            <w:tcBorders>
              <w:top w:val="nil"/>
              <w:left w:val="single" w:sz="2" w:space="0" w:color="auto"/>
              <w:bottom w:val="nil"/>
              <w:right w:val="single" w:sz="2" w:space="0" w:color="auto"/>
            </w:tcBorders>
          </w:tcPr>
          <w:p w14:paraId="382C37A3" w14:textId="10ECDF96" w:rsidR="004A29C0" w:rsidRPr="00572AEC" w:rsidRDefault="004A29C0" w:rsidP="004A29C0">
            <w:pPr>
              <w:pStyle w:val="TableReference"/>
              <w:tabs>
                <w:tab w:val="left" w:pos="3306"/>
              </w:tabs>
              <w:spacing w:before="40"/>
              <w:rPr>
                <w:rFonts w:cs="Calibri"/>
                <w:color w:val="7030A0"/>
                <w:sz w:val="16"/>
                <w:szCs w:val="16"/>
              </w:rPr>
            </w:pPr>
            <w:r w:rsidRPr="00572AEC">
              <w:rPr>
                <w:rFonts w:cs="Calibri"/>
                <w:color w:val="7030A0"/>
                <w:sz w:val="14"/>
              </w:rPr>
              <w:t>AASB 1052.15(d)</w:t>
            </w:r>
          </w:p>
        </w:tc>
        <w:tc>
          <w:tcPr>
            <w:tcW w:w="8930" w:type="dxa"/>
            <w:gridSpan w:val="4"/>
            <w:tcBorders>
              <w:top w:val="nil"/>
              <w:left w:val="single" w:sz="2" w:space="0" w:color="auto"/>
              <w:bottom w:val="nil"/>
              <w:right w:val="nil"/>
            </w:tcBorders>
            <w:vAlign w:val="bottom"/>
          </w:tcPr>
          <w:p w14:paraId="244CD3E3" w14:textId="6BC930AD" w:rsidR="004A29C0" w:rsidRPr="00572AEC" w:rsidRDefault="004A29C0" w:rsidP="004A29C0">
            <w:pPr>
              <w:pStyle w:val="TableText"/>
              <w:tabs>
                <w:tab w:val="left" w:pos="3306"/>
              </w:tabs>
              <w:rPr>
                <w:rFonts w:cs="Calibri"/>
                <w:b/>
                <w:bCs/>
              </w:rPr>
            </w:pPr>
            <w:r w:rsidRPr="00572AEC">
              <w:rPr>
                <w:rFonts w:cs="Calibri"/>
              </w:rPr>
              <w:t>Income from Government Sources</w:t>
            </w:r>
          </w:p>
        </w:tc>
      </w:tr>
    </w:tbl>
    <w:p w14:paraId="0647EC1A" w14:textId="77777777" w:rsidR="00435A25" w:rsidRDefault="00435A25" w:rsidP="00435A25">
      <w:bookmarkStart w:id="256" w:name="_Toc194918647"/>
    </w:p>
    <w:p w14:paraId="1F84318D" w14:textId="77777777" w:rsidR="00EF0DF0" w:rsidRDefault="00EF0DF0">
      <w:pPr>
        <w:rPr>
          <w:b/>
          <w:sz w:val="40"/>
          <w:szCs w:val="40"/>
        </w:rPr>
      </w:pPr>
      <w:r>
        <w:rPr>
          <w:b/>
          <w:sz w:val="40"/>
          <w:szCs w:val="40"/>
        </w:rPr>
        <w:br w:type="page"/>
      </w:r>
    </w:p>
    <w:p w14:paraId="1039597F" w14:textId="0CADB8ED" w:rsidR="000144FF" w:rsidRPr="00572AEC" w:rsidRDefault="000144FF" w:rsidP="00574DE1">
      <w:pPr>
        <w:spacing w:line="400" w:lineRule="exact"/>
        <w:jc w:val="center"/>
        <w:rPr>
          <w:rFonts w:asciiTheme="minorHAnsi" w:hAnsiTheme="minorHAnsi" w:cstheme="minorHAnsi"/>
          <w:b/>
          <w:sz w:val="40"/>
          <w:szCs w:val="40"/>
        </w:rPr>
      </w:pPr>
      <w:r w:rsidRPr="00572AEC">
        <w:rPr>
          <w:rFonts w:asciiTheme="minorHAnsi" w:hAnsiTheme="minorHAnsi" w:cstheme="minorHAnsi"/>
          <w:b/>
          <w:sz w:val="40"/>
          <w:szCs w:val="40"/>
        </w:rPr>
        <w:t>‘</w:t>
      </w:r>
      <w:r w:rsidR="00CB5FDC" w:rsidRPr="00572AEC">
        <w:rPr>
          <w:rFonts w:asciiTheme="minorHAnsi" w:hAnsiTheme="minorHAnsi" w:cstheme="minorHAnsi"/>
          <w:b/>
          <w:bCs/>
          <w:sz w:val="40"/>
          <w:szCs w:val="24"/>
        </w:rPr>
        <w:t xml:space="preserve">Burley Griffin </w:t>
      </w:r>
      <w:r w:rsidR="002B361F" w:rsidRPr="00572AEC">
        <w:rPr>
          <w:rFonts w:asciiTheme="minorHAnsi" w:hAnsiTheme="minorHAnsi" w:cstheme="minorHAnsi"/>
          <w:b/>
          <w:sz w:val="40"/>
          <w:szCs w:val="40"/>
        </w:rPr>
        <w:t>Agency</w:t>
      </w:r>
      <w:r w:rsidRPr="00572AEC">
        <w:rPr>
          <w:rFonts w:asciiTheme="minorHAnsi" w:hAnsiTheme="minorHAnsi" w:cstheme="minorHAnsi"/>
          <w:b/>
          <w:sz w:val="40"/>
          <w:szCs w:val="40"/>
        </w:rPr>
        <w:t>’</w:t>
      </w:r>
      <w:bookmarkEnd w:id="256"/>
    </w:p>
    <w:p w14:paraId="032B0B85" w14:textId="4D1E9E48" w:rsidR="000144FF" w:rsidRPr="00572AEC" w:rsidRDefault="000144FF" w:rsidP="00574DE1">
      <w:pPr>
        <w:pStyle w:val="Subtitle"/>
        <w:spacing w:line="400" w:lineRule="exact"/>
        <w:rPr>
          <w:rFonts w:asciiTheme="minorHAnsi" w:hAnsiTheme="minorHAnsi" w:cstheme="minorHAnsi"/>
        </w:rPr>
      </w:pPr>
      <w:bookmarkStart w:id="257" w:name="_Toc49223888"/>
      <w:bookmarkStart w:id="258" w:name="_Toc50440320"/>
      <w:bookmarkStart w:id="259" w:name="_Toc194918648"/>
      <w:bookmarkStart w:id="260" w:name="_Toc400627314"/>
      <w:bookmarkStart w:id="261" w:name="_Toc98763032"/>
      <w:r w:rsidRPr="00572AEC">
        <w:rPr>
          <w:rFonts w:asciiTheme="minorHAnsi" w:hAnsiTheme="minorHAnsi" w:cstheme="minorHAnsi"/>
        </w:rPr>
        <w:t>Operating Statement for Output Class 2 – Municipal Services</w:t>
      </w:r>
      <w:bookmarkEnd w:id="257"/>
      <w:bookmarkEnd w:id="258"/>
      <w:bookmarkEnd w:id="259"/>
      <w:bookmarkEnd w:id="260"/>
      <w:r w:rsidR="00264852" w:rsidRPr="00572AEC">
        <w:rPr>
          <w:rFonts w:asciiTheme="minorHAnsi" w:hAnsiTheme="minorHAnsi" w:cstheme="minorHAnsi"/>
          <w:szCs w:val="40"/>
        </w:rPr>
        <w:t xml:space="preserve"> and Transportation</w:t>
      </w:r>
      <w:bookmarkEnd w:id="261"/>
    </w:p>
    <w:p w14:paraId="2565B181" w14:textId="6C1BB0D8" w:rsidR="000144FF" w:rsidRPr="00572AEC" w:rsidRDefault="000144FF" w:rsidP="00574DE1">
      <w:pPr>
        <w:spacing w:after="240" w:line="400" w:lineRule="exact"/>
        <w:jc w:val="center"/>
        <w:rPr>
          <w:rFonts w:asciiTheme="minorHAnsi" w:hAnsiTheme="minorHAnsi" w:cstheme="minorHAnsi"/>
          <w:b/>
          <w:sz w:val="40"/>
          <w:szCs w:val="40"/>
        </w:rPr>
      </w:pPr>
      <w:r w:rsidRPr="00572AEC">
        <w:rPr>
          <w:rFonts w:asciiTheme="minorHAnsi" w:hAnsiTheme="minorHAnsi" w:cstheme="minorHAnsi"/>
          <w:b/>
          <w:sz w:val="40"/>
          <w:szCs w:val="40"/>
        </w:rPr>
        <w:t xml:space="preserve">For the Year Ended 30 June </w:t>
      </w:r>
      <w:r w:rsidR="00C66E0D" w:rsidRPr="00572AEC">
        <w:rPr>
          <w:rFonts w:asciiTheme="minorHAnsi" w:hAnsiTheme="minorHAnsi" w:cstheme="minorHAnsi"/>
          <w:b/>
          <w:sz w:val="40"/>
          <w:szCs w:val="40"/>
        </w:rPr>
        <w:t>202</w:t>
      </w:r>
      <w:r w:rsidR="00264852" w:rsidRPr="00572AEC">
        <w:rPr>
          <w:rFonts w:asciiTheme="minorHAnsi" w:hAnsiTheme="minorHAnsi" w:cstheme="minorHAnsi"/>
          <w:b/>
          <w:sz w:val="40"/>
          <w:szCs w:val="40"/>
        </w:rPr>
        <w:t>2</w:t>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321"/>
        <w:gridCol w:w="1221"/>
        <w:gridCol w:w="1240"/>
        <w:gridCol w:w="1199"/>
      </w:tblGrid>
      <w:tr w:rsidR="000144FF" w:rsidRPr="00CF7E1B" w14:paraId="65054D14" w14:textId="77777777" w:rsidTr="004D1EC6">
        <w:tc>
          <w:tcPr>
            <w:tcW w:w="1563" w:type="dxa"/>
            <w:tcBorders>
              <w:top w:val="nil"/>
              <w:left w:val="single" w:sz="2" w:space="0" w:color="auto"/>
              <w:bottom w:val="nil"/>
              <w:right w:val="single" w:sz="2" w:space="0" w:color="auto"/>
            </w:tcBorders>
          </w:tcPr>
          <w:p w14:paraId="49576095" w14:textId="77777777" w:rsidR="000144FF" w:rsidRPr="006911F3" w:rsidRDefault="000144FF" w:rsidP="00421D32">
            <w:pPr>
              <w:pStyle w:val="Reference"/>
              <w:tabs>
                <w:tab w:val="left" w:pos="3306"/>
              </w:tabs>
              <w:rPr>
                <w:rFonts w:cs="Calibri"/>
                <w:color w:val="7030A0"/>
                <w:sz w:val="22"/>
                <w:szCs w:val="22"/>
              </w:rPr>
            </w:pPr>
            <w:r w:rsidRPr="006911F3">
              <w:rPr>
                <w:rFonts w:cs="Calibri"/>
                <w:color w:val="7030A0"/>
                <w:sz w:val="22"/>
                <w:szCs w:val="22"/>
              </w:rPr>
              <w:t>Reference</w:t>
            </w:r>
          </w:p>
        </w:tc>
        <w:tc>
          <w:tcPr>
            <w:tcW w:w="8981" w:type="dxa"/>
            <w:gridSpan w:val="4"/>
            <w:tcBorders>
              <w:top w:val="nil"/>
              <w:left w:val="single" w:sz="2" w:space="0" w:color="auto"/>
              <w:bottom w:val="nil"/>
              <w:right w:val="nil"/>
            </w:tcBorders>
            <w:vAlign w:val="bottom"/>
          </w:tcPr>
          <w:p w14:paraId="3820FFE2" w14:textId="5C8F46D8" w:rsidR="000144FF" w:rsidRPr="006911F3" w:rsidRDefault="003437E5" w:rsidP="00264852">
            <w:pPr>
              <w:pStyle w:val="CommentaryHeading"/>
              <w:tabs>
                <w:tab w:val="left" w:pos="3306"/>
              </w:tabs>
              <w:spacing w:before="0" w:after="120"/>
              <w:rPr>
                <w:rFonts w:cs="Calibri"/>
                <w:sz w:val="24"/>
                <w:szCs w:val="24"/>
              </w:rPr>
            </w:pPr>
            <w:r w:rsidRPr="006911F3">
              <w:rPr>
                <w:sz w:val="24"/>
                <w:szCs w:val="24"/>
              </w:rPr>
              <w:t>Operating Statement for Output Class 2 – Municipal Services</w:t>
            </w:r>
            <w:r w:rsidR="00264852" w:rsidRPr="006911F3">
              <w:rPr>
                <w:sz w:val="24"/>
                <w:szCs w:val="24"/>
              </w:rPr>
              <w:t xml:space="preserve"> and Transportation</w:t>
            </w:r>
          </w:p>
        </w:tc>
      </w:tr>
      <w:tr w:rsidR="000144FF" w:rsidRPr="00CF7E1B" w14:paraId="6D7246EB" w14:textId="77777777" w:rsidTr="004D1EC6">
        <w:tc>
          <w:tcPr>
            <w:tcW w:w="1563" w:type="dxa"/>
            <w:tcBorders>
              <w:top w:val="nil"/>
              <w:left w:val="single" w:sz="2" w:space="0" w:color="auto"/>
              <w:bottom w:val="nil"/>
              <w:right w:val="single" w:sz="2" w:space="0" w:color="auto"/>
            </w:tcBorders>
          </w:tcPr>
          <w:p w14:paraId="176AD927" w14:textId="77777777" w:rsidR="000144FF" w:rsidRPr="006911F3" w:rsidRDefault="000144FF" w:rsidP="00162CD4">
            <w:pPr>
              <w:pStyle w:val="Reference"/>
              <w:rPr>
                <w:rFonts w:cs="Calibri"/>
                <w:b w:val="0"/>
                <w:bCs w:val="0"/>
                <w:color w:val="7030A0"/>
                <w:sz w:val="14"/>
                <w:szCs w:val="14"/>
              </w:rPr>
            </w:pPr>
          </w:p>
          <w:p w14:paraId="79195B52" w14:textId="77777777" w:rsidR="000144FF" w:rsidRPr="006911F3" w:rsidRDefault="000144FF">
            <w:pPr>
              <w:pStyle w:val="Reference"/>
              <w:tabs>
                <w:tab w:val="left" w:pos="3306"/>
              </w:tabs>
              <w:rPr>
                <w:rFonts w:cs="Calibri"/>
                <w:b w:val="0"/>
                <w:bCs w:val="0"/>
                <w:color w:val="7030A0"/>
                <w:sz w:val="14"/>
                <w:szCs w:val="14"/>
              </w:rPr>
            </w:pPr>
          </w:p>
          <w:p w14:paraId="5CD154CB" w14:textId="77777777" w:rsidR="000144FF" w:rsidRPr="006911F3" w:rsidRDefault="007174F5">
            <w:pPr>
              <w:pStyle w:val="Reference"/>
              <w:tabs>
                <w:tab w:val="left" w:pos="3306"/>
              </w:tabs>
              <w:rPr>
                <w:rFonts w:cs="Calibri"/>
                <w:b w:val="0"/>
                <w:bCs w:val="0"/>
                <w:color w:val="7030A0"/>
                <w:sz w:val="14"/>
                <w:szCs w:val="14"/>
              </w:rPr>
            </w:pPr>
            <w:r w:rsidRPr="006911F3">
              <w:rPr>
                <w:rFonts w:cs="Calibri"/>
                <w:b w:val="0"/>
                <w:bCs w:val="0"/>
                <w:color w:val="7030A0"/>
                <w:sz w:val="14"/>
                <w:szCs w:val="14"/>
              </w:rPr>
              <w:t>AASB 1052</w:t>
            </w:r>
            <w:r w:rsidR="00D65811" w:rsidRPr="006911F3">
              <w:rPr>
                <w:rFonts w:cs="Calibri"/>
                <w:b w:val="0"/>
                <w:bCs w:val="0"/>
                <w:color w:val="7030A0"/>
                <w:sz w:val="14"/>
                <w:szCs w:val="14"/>
              </w:rPr>
              <w:t>.</w:t>
            </w:r>
            <w:r w:rsidRPr="006911F3">
              <w:rPr>
                <w:rFonts w:cs="Calibri"/>
                <w:b w:val="0"/>
                <w:bCs w:val="0"/>
                <w:color w:val="7030A0"/>
                <w:sz w:val="14"/>
                <w:szCs w:val="14"/>
              </w:rPr>
              <w:t>15(a)</w:t>
            </w:r>
          </w:p>
        </w:tc>
        <w:tc>
          <w:tcPr>
            <w:tcW w:w="8981" w:type="dxa"/>
            <w:gridSpan w:val="4"/>
            <w:tcBorders>
              <w:top w:val="nil"/>
              <w:left w:val="single" w:sz="2" w:space="0" w:color="auto"/>
              <w:bottom w:val="nil"/>
              <w:right w:val="nil"/>
            </w:tcBorders>
            <w:vAlign w:val="bottom"/>
          </w:tcPr>
          <w:p w14:paraId="65AEE143" w14:textId="77777777" w:rsidR="000144FF" w:rsidRPr="006911F3" w:rsidRDefault="000144FF" w:rsidP="003A2D8E">
            <w:pPr>
              <w:pStyle w:val="CommentaryHeading"/>
              <w:tabs>
                <w:tab w:val="left" w:pos="3306"/>
              </w:tabs>
              <w:spacing w:before="0" w:after="120"/>
              <w:rPr>
                <w:rFonts w:cs="Calibri"/>
                <w:sz w:val="18"/>
                <w:szCs w:val="16"/>
              </w:rPr>
            </w:pPr>
            <w:r w:rsidRPr="006911F3">
              <w:rPr>
                <w:rFonts w:cs="Calibri"/>
                <w:sz w:val="18"/>
                <w:szCs w:val="16"/>
              </w:rPr>
              <w:t>Description</w:t>
            </w:r>
          </w:p>
          <w:p w14:paraId="0104A84D" w14:textId="31A2880D" w:rsidR="000144FF" w:rsidRPr="006911F3" w:rsidRDefault="000144FF" w:rsidP="00512537">
            <w:pPr>
              <w:pStyle w:val="CommentaryText"/>
              <w:tabs>
                <w:tab w:val="left" w:pos="3306"/>
              </w:tabs>
              <w:spacing w:after="40"/>
              <w:rPr>
                <w:rFonts w:cs="Calibri"/>
                <w:sz w:val="18"/>
              </w:rPr>
            </w:pPr>
            <w:r w:rsidRPr="006911F3">
              <w:rPr>
                <w:rFonts w:cs="Calibri"/>
                <w:sz w:val="18"/>
              </w:rPr>
              <w:t>Output Class 2: ‘Municipal Services</w:t>
            </w:r>
            <w:r w:rsidR="00264852" w:rsidRPr="006911F3">
              <w:rPr>
                <w:rFonts w:cs="Calibri"/>
                <w:sz w:val="18"/>
              </w:rPr>
              <w:t xml:space="preserve"> and Transportation</w:t>
            </w:r>
            <w:r w:rsidRPr="006911F3">
              <w:rPr>
                <w:rFonts w:cs="Calibri"/>
                <w:sz w:val="18"/>
              </w:rPr>
              <w:t>’ includes:</w:t>
            </w:r>
          </w:p>
          <w:p w14:paraId="2AB94719" w14:textId="39E66D33" w:rsidR="000144FF" w:rsidRPr="006911F3" w:rsidRDefault="000144FF" w:rsidP="00512537">
            <w:pPr>
              <w:pStyle w:val="Commentary-Bullet"/>
              <w:spacing w:after="40"/>
              <w:ind w:left="481" w:hanging="456"/>
              <w:rPr>
                <w:rFonts w:cs="Calibri"/>
                <w:sz w:val="18"/>
              </w:rPr>
            </w:pPr>
            <w:r w:rsidRPr="006911F3">
              <w:rPr>
                <w:rFonts w:cs="Calibri"/>
                <w:sz w:val="18"/>
              </w:rPr>
              <w:t>policy advice on industry and regulatory reform, specifically implementing reforms in the energy and water industries, policy development for workplace safety, whole of government purchasing policy advice and workers’ compensation;</w:t>
            </w:r>
            <w:r w:rsidR="00FA7C77">
              <w:rPr>
                <w:rFonts w:cs="Calibri"/>
                <w:sz w:val="18"/>
              </w:rPr>
              <w:t xml:space="preserve"> </w:t>
            </w:r>
          </w:p>
          <w:p w14:paraId="5F6F50E0" w14:textId="7B217166" w:rsidR="00264852" w:rsidRPr="006911F3" w:rsidRDefault="000144FF" w:rsidP="005E4472">
            <w:pPr>
              <w:pStyle w:val="Commentary-Bullet"/>
              <w:spacing w:after="40"/>
              <w:ind w:left="481" w:hanging="456"/>
              <w:rPr>
                <w:rFonts w:cs="Calibri"/>
                <w:sz w:val="18"/>
              </w:rPr>
            </w:pPr>
            <w:r w:rsidRPr="006911F3">
              <w:rPr>
                <w:rFonts w:cs="Calibri"/>
                <w:sz w:val="18"/>
              </w:rPr>
              <w:t xml:space="preserve">infrastructure </w:t>
            </w:r>
            <w:r w:rsidR="00C57514" w:rsidRPr="006911F3">
              <w:rPr>
                <w:rFonts w:cs="Calibri"/>
                <w:sz w:val="18"/>
              </w:rPr>
              <w:t xml:space="preserve">construction and maintenance of roads, </w:t>
            </w:r>
            <w:r w:rsidR="00206B5F" w:rsidRPr="006911F3">
              <w:rPr>
                <w:rFonts w:cs="Calibri"/>
                <w:sz w:val="18"/>
              </w:rPr>
              <w:t>bridges</w:t>
            </w:r>
            <w:r w:rsidRPr="006911F3">
              <w:rPr>
                <w:rFonts w:cs="Calibri"/>
                <w:sz w:val="18"/>
              </w:rPr>
              <w:t>, stormwater drains, footpaths</w:t>
            </w:r>
            <w:r w:rsidR="00C57514" w:rsidRPr="006911F3">
              <w:rPr>
                <w:rFonts w:cs="Calibri"/>
                <w:sz w:val="18"/>
              </w:rPr>
              <w:t>, signs, barriers,</w:t>
            </w:r>
            <w:r w:rsidR="005E4472">
              <w:rPr>
                <w:rFonts w:cs="Calibri"/>
                <w:sz w:val="18"/>
              </w:rPr>
              <w:t xml:space="preserve"> </w:t>
            </w:r>
            <w:r w:rsidR="00C57514" w:rsidRPr="006911F3">
              <w:rPr>
                <w:rFonts w:cs="Calibri"/>
                <w:sz w:val="18"/>
              </w:rPr>
              <w:t>bollards</w:t>
            </w:r>
            <w:r w:rsidRPr="006911F3">
              <w:rPr>
                <w:rFonts w:cs="Calibri"/>
                <w:sz w:val="18"/>
              </w:rPr>
              <w:t xml:space="preserve"> and </w:t>
            </w:r>
            <w:r w:rsidR="008475E2" w:rsidRPr="006911F3">
              <w:rPr>
                <w:rFonts w:cs="Calibri"/>
                <w:sz w:val="18"/>
              </w:rPr>
              <w:t>streetlights</w:t>
            </w:r>
            <w:r w:rsidRPr="006911F3">
              <w:rPr>
                <w:rFonts w:cs="Calibri"/>
                <w:sz w:val="18"/>
              </w:rPr>
              <w:t xml:space="preserve">; </w:t>
            </w:r>
          </w:p>
          <w:p w14:paraId="5310621A" w14:textId="77777777" w:rsidR="00EF3D67" w:rsidRPr="006911F3" w:rsidRDefault="00264852" w:rsidP="005E4472">
            <w:pPr>
              <w:pStyle w:val="Commentary-Bullet"/>
              <w:spacing w:after="40"/>
              <w:ind w:left="481" w:hanging="456"/>
              <w:rPr>
                <w:rFonts w:cs="Calibri"/>
                <w:sz w:val="18"/>
              </w:rPr>
            </w:pPr>
            <w:r w:rsidRPr="006911F3">
              <w:rPr>
                <w:rFonts w:cs="Calibri"/>
                <w:sz w:val="18"/>
              </w:rPr>
              <w:t>transportation services provided by buses and light rail;</w:t>
            </w:r>
          </w:p>
          <w:p w14:paraId="20E95B9B" w14:textId="60160BD1" w:rsidR="000144FF" w:rsidRPr="006911F3" w:rsidRDefault="00EF3D67" w:rsidP="005E4472">
            <w:pPr>
              <w:pStyle w:val="Commentary-Bullet"/>
              <w:spacing w:after="40"/>
              <w:ind w:left="481" w:hanging="456"/>
              <w:rPr>
                <w:rFonts w:cs="Calibri"/>
                <w:sz w:val="18"/>
              </w:rPr>
            </w:pPr>
            <w:r w:rsidRPr="006911F3">
              <w:rPr>
                <w:rFonts w:cs="Calibri"/>
                <w:sz w:val="18"/>
              </w:rPr>
              <w:t xml:space="preserve">issuing of </w:t>
            </w:r>
            <w:r w:rsidR="008475E2" w:rsidRPr="006911F3">
              <w:rPr>
                <w:rFonts w:cs="Calibri"/>
                <w:sz w:val="18"/>
              </w:rPr>
              <w:t>driver’s</w:t>
            </w:r>
            <w:r w:rsidRPr="006911F3">
              <w:rPr>
                <w:rFonts w:cs="Calibri"/>
                <w:sz w:val="18"/>
              </w:rPr>
              <w:t xml:space="preserve"> </w:t>
            </w:r>
            <w:r w:rsidR="008475E2" w:rsidRPr="006911F3">
              <w:rPr>
                <w:rFonts w:cs="Calibri"/>
                <w:sz w:val="18"/>
              </w:rPr>
              <w:t>licences</w:t>
            </w:r>
            <w:r w:rsidRPr="006911F3">
              <w:rPr>
                <w:rFonts w:cs="Calibri"/>
                <w:sz w:val="18"/>
              </w:rPr>
              <w:t xml:space="preserve"> </w:t>
            </w:r>
            <w:r w:rsidR="007551E7" w:rsidRPr="006911F3">
              <w:rPr>
                <w:rFonts w:cs="Calibri"/>
                <w:sz w:val="18"/>
              </w:rPr>
              <w:t xml:space="preserve">and motor vehicle registration </w:t>
            </w:r>
            <w:r w:rsidRPr="006911F3">
              <w:rPr>
                <w:rFonts w:cs="Calibri"/>
                <w:sz w:val="18"/>
              </w:rPr>
              <w:t xml:space="preserve">as well as </w:t>
            </w:r>
            <w:r w:rsidR="007551E7" w:rsidRPr="006911F3">
              <w:rPr>
                <w:rFonts w:cs="Calibri"/>
                <w:sz w:val="18"/>
              </w:rPr>
              <w:t>traffic and parking fines;</w:t>
            </w:r>
            <w:r w:rsidR="00FA7C77">
              <w:rPr>
                <w:rFonts w:cs="Calibri"/>
                <w:sz w:val="18"/>
              </w:rPr>
              <w:t xml:space="preserve"> </w:t>
            </w:r>
          </w:p>
          <w:p w14:paraId="336C2044" w14:textId="7541D028" w:rsidR="000144FF" w:rsidRPr="006911F3" w:rsidRDefault="000144FF" w:rsidP="005E4472">
            <w:pPr>
              <w:pStyle w:val="Commentary-Bullet"/>
              <w:spacing w:after="40"/>
              <w:ind w:left="481" w:hanging="456"/>
              <w:rPr>
                <w:rFonts w:cs="Calibri"/>
                <w:sz w:val="18"/>
              </w:rPr>
            </w:pPr>
            <w:r w:rsidRPr="006911F3">
              <w:rPr>
                <w:rFonts w:cs="Calibri"/>
                <w:sz w:val="18"/>
              </w:rPr>
              <w:t>waste and recycling including waste management advice, services and development control measures; and</w:t>
            </w:r>
            <w:r w:rsidR="00FA7C77">
              <w:rPr>
                <w:rFonts w:cs="Calibri"/>
                <w:sz w:val="18"/>
              </w:rPr>
              <w:t xml:space="preserve"> </w:t>
            </w:r>
          </w:p>
          <w:p w14:paraId="561E8F74" w14:textId="491113BC" w:rsidR="000144FF" w:rsidRPr="006911F3" w:rsidRDefault="000144FF" w:rsidP="005E4472">
            <w:pPr>
              <w:pStyle w:val="Commentary-Bullet"/>
              <w:spacing w:after="40"/>
              <w:ind w:left="481" w:hanging="456"/>
              <w:rPr>
                <w:rFonts w:cs="Calibri"/>
                <w:sz w:val="18"/>
              </w:rPr>
            </w:pPr>
            <w:r w:rsidRPr="006911F3">
              <w:rPr>
                <w:rFonts w:cs="Calibri"/>
                <w:sz w:val="18"/>
              </w:rPr>
              <w:t xml:space="preserve">procurement </w:t>
            </w:r>
            <w:r w:rsidR="004C19B3" w:rsidRPr="006911F3">
              <w:rPr>
                <w:rFonts w:cs="Calibri"/>
                <w:sz w:val="18"/>
              </w:rPr>
              <w:t xml:space="preserve">services </w:t>
            </w:r>
            <w:r w:rsidRPr="006911F3">
              <w:rPr>
                <w:rFonts w:cs="Calibri"/>
                <w:sz w:val="18"/>
              </w:rPr>
              <w:t>including on-line procurement services, business opportunity notifications and information on tenders and contracts.</w:t>
            </w:r>
          </w:p>
        </w:tc>
      </w:tr>
      <w:tr w:rsidR="00ED1443" w:rsidRPr="00CF7E1B" w14:paraId="2AEDEA7E" w14:textId="77777777" w:rsidTr="004D1EC6">
        <w:tc>
          <w:tcPr>
            <w:tcW w:w="1563" w:type="dxa"/>
            <w:vMerge w:val="restart"/>
            <w:tcBorders>
              <w:top w:val="nil"/>
              <w:left w:val="single" w:sz="2" w:space="0" w:color="auto"/>
              <w:right w:val="single" w:sz="2" w:space="0" w:color="auto"/>
            </w:tcBorders>
            <w:vAlign w:val="bottom"/>
          </w:tcPr>
          <w:p w14:paraId="54178B93" w14:textId="643993E7" w:rsidR="00ED1443" w:rsidRPr="006911F3" w:rsidRDefault="00ED1443">
            <w:pPr>
              <w:pStyle w:val="TableReference"/>
              <w:tabs>
                <w:tab w:val="left" w:pos="3306"/>
              </w:tabs>
              <w:spacing w:before="40"/>
              <w:rPr>
                <w:rFonts w:cs="Calibri"/>
                <w:bCs/>
                <w:color w:val="7030A0"/>
                <w:sz w:val="14"/>
              </w:rPr>
            </w:pPr>
            <w:r w:rsidRPr="006911F3">
              <w:rPr>
                <w:rFonts w:cs="Calibri"/>
                <w:bCs/>
                <w:color w:val="7030A0"/>
                <w:sz w:val="14"/>
              </w:rPr>
              <w:t xml:space="preserve">FMA Section 27(3)(a) </w:t>
            </w:r>
            <w:r w:rsidRPr="006911F3">
              <w:rPr>
                <w:rFonts w:cs="Calibri"/>
                <w:bCs/>
                <w:color w:val="7030A0"/>
                <w:sz w:val="14"/>
              </w:rPr>
              <w:br/>
              <w:t xml:space="preserve">Financial </w:t>
            </w:r>
            <w:r w:rsidR="008475E2" w:rsidRPr="006911F3">
              <w:rPr>
                <w:rFonts w:cs="Calibri"/>
                <w:bCs/>
                <w:color w:val="7030A0"/>
                <w:sz w:val="14"/>
              </w:rPr>
              <w:t>Management (</w:t>
            </w:r>
            <w:r w:rsidRPr="006911F3">
              <w:rPr>
                <w:rFonts w:cs="Calibri"/>
                <w:bCs/>
                <w:color w:val="7030A0"/>
                <w:sz w:val="14"/>
              </w:rPr>
              <w:t xml:space="preserve">Periodic &amp; Annual Financial Statements) </w:t>
            </w:r>
            <w:r w:rsidR="008475E2" w:rsidRPr="006911F3">
              <w:rPr>
                <w:rFonts w:cs="Calibri"/>
                <w:bCs/>
                <w:color w:val="7030A0"/>
                <w:sz w:val="14"/>
              </w:rPr>
              <w:t xml:space="preserve">Guidelines </w:t>
            </w:r>
            <w:r w:rsidR="004A4187" w:rsidRPr="006911F3">
              <w:rPr>
                <w:rFonts w:cs="Calibri"/>
                <w:bCs/>
                <w:color w:val="7030A0"/>
                <w:sz w:val="14"/>
              </w:rPr>
              <w:t>2016</w:t>
            </w:r>
          </w:p>
          <w:p w14:paraId="265256F4" w14:textId="77777777" w:rsidR="00ED1443" w:rsidRPr="006911F3" w:rsidRDefault="00ED1443" w:rsidP="00FD3F52">
            <w:pPr>
              <w:pStyle w:val="TableReference"/>
              <w:tabs>
                <w:tab w:val="left" w:pos="3306"/>
              </w:tabs>
              <w:spacing w:before="40"/>
              <w:rPr>
                <w:rFonts w:cs="Calibri"/>
                <w:color w:val="7030A0"/>
                <w:sz w:val="14"/>
              </w:rPr>
            </w:pPr>
            <w:r w:rsidRPr="006911F3">
              <w:rPr>
                <w:rFonts w:cs="Calibri"/>
                <w:bCs/>
                <w:color w:val="7030A0"/>
                <w:sz w:val="14"/>
              </w:rPr>
              <w:t>Section 7(2)</w:t>
            </w:r>
          </w:p>
        </w:tc>
        <w:tc>
          <w:tcPr>
            <w:tcW w:w="5321" w:type="dxa"/>
            <w:tcBorders>
              <w:top w:val="nil"/>
              <w:left w:val="single" w:sz="2" w:space="0" w:color="auto"/>
              <w:bottom w:val="nil"/>
              <w:right w:val="nil"/>
            </w:tcBorders>
            <w:vAlign w:val="bottom"/>
          </w:tcPr>
          <w:p w14:paraId="3FDE8C3B" w14:textId="77777777" w:rsidR="00ED1443" w:rsidRPr="006911F3" w:rsidRDefault="00ED1443">
            <w:pPr>
              <w:tabs>
                <w:tab w:val="left" w:pos="3306"/>
              </w:tabs>
              <w:rPr>
                <w:rFonts w:cs="Calibri"/>
              </w:rPr>
            </w:pPr>
          </w:p>
        </w:tc>
        <w:tc>
          <w:tcPr>
            <w:tcW w:w="1221" w:type="dxa"/>
            <w:tcBorders>
              <w:top w:val="nil"/>
              <w:left w:val="nil"/>
              <w:bottom w:val="nil"/>
              <w:right w:val="nil"/>
            </w:tcBorders>
            <w:vAlign w:val="bottom"/>
          </w:tcPr>
          <w:p w14:paraId="57B6991C" w14:textId="77777777" w:rsidR="00ED1443" w:rsidRPr="006911F3" w:rsidRDefault="00ED1443">
            <w:pPr>
              <w:pStyle w:val="TableTitle"/>
              <w:tabs>
                <w:tab w:val="left" w:pos="3306"/>
              </w:tabs>
              <w:rPr>
                <w:rFonts w:cs="Calibri"/>
              </w:rPr>
            </w:pPr>
            <w:r w:rsidRPr="006911F3">
              <w:rPr>
                <w:rFonts w:cs="Calibri"/>
              </w:rPr>
              <w:t>Actual</w:t>
            </w:r>
          </w:p>
          <w:p w14:paraId="2E90F535" w14:textId="72AADA16" w:rsidR="00ED1443" w:rsidRPr="006911F3" w:rsidRDefault="00ED1443" w:rsidP="001B231B">
            <w:pPr>
              <w:pStyle w:val="TableTitle"/>
              <w:tabs>
                <w:tab w:val="left" w:pos="3306"/>
              </w:tabs>
              <w:rPr>
                <w:rFonts w:cs="Calibri"/>
              </w:rPr>
            </w:pPr>
            <w:r w:rsidRPr="006911F3">
              <w:rPr>
                <w:rFonts w:cs="Calibri"/>
              </w:rPr>
              <w:t>2022</w:t>
            </w:r>
          </w:p>
          <w:p w14:paraId="4F25818F" w14:textId="77777777" w:rsidR="00ED1443" w:rsidRPr="006911F3" w:rsidRDefault="00ED1443">
            <w:pPr>
              <w:pStyle w:val="TableTitle"/>
              <w:tabs>
                <w:tab w:val="left" w:pos="3306"/>
              </w:tabs>
              <w:rPr>
                <w:rFonts w:cs="Calibri"/>
              </w:rPr>
            </w:pPr>
            <w:r w:rsidRPr="006911F3">
              <w:rPr>
                <w:rFonts w:cs="Calibri"/>
              </w:rPr>
              <w:t>$’000</w:t>
            </w:r>
          </w:p>
        </w:tc>
        <w:tc>
          <w:tcPr>
            <w:tcW w:w="1240" w:type="dxa"/>
            <w:tcBorders>
              <w:top w:val="nil"/>
              <w:left w:val="nil"/>
              <w:bottom w:val="nil"/>
              <w:right w:val="nil"/>
            </w:tcBorders>
            <w:vAlign w:val="bottom"/>
          </w:tcPr>
          <w:p w14:paraId="6CE82E01" w14:textId="77777777" w:rsidR="00ED1443" w:rsidRPr="006911F3" w:rsidRDefault="00ED1443">
            <w:pPr>
              <w:pStyle w:val="TableTitle"/>
              <w:tabs>
                <w:tab w:val="left" w:pos="3306"/>
              </w:tabs>
              <w:rPr>
                <w:rFonts w:cs="Calibri"/>
              </w:rPr>
            </w:pPr>
            <w:r w:rsidRPr="006911F3">
              <w:rPr>
                <w:rFonts w:cs="Calibri"/>
              </w:rPr>
              <w:t>Original Budget</w:t>
            </w:r>
          </w:p>
          <w:p w14:paraId="0A1BB28C" w14:textId="68AF4E7E" w:rsidR="00ED1443" w:rsidRPr="006911F3" w:rsidRDefault="00ED1443" w:rsidP="001B231B">
            <w:pPr>
              <w:pStyle w:val="TableTitle"/>
              <w:tabs>
                <w:tab w:val="left" w:pos="3306"/>
              </w:tabs>
              <w:rPr>
                <w:rFonts w:cs="Calibri"/>
              </w:rPr>
            </w:pPr>
            <w:r w:rsidRPr="006911F3">
              <w:rPr>
                <w:rFonts w:cs="Calibri"/>
              </w:rPr>
              <w:t>2022</w:t>
            </w:r>
          </w:p>
          <w:p w14:paraId="1BCD721B" w14:textId="77777777" w:rsidR="00ED1443" w:rsidRPr="006911F3" w:rsidRDefault="00ED1443">
            <w:pPr>
              <w:pStyle w:val="TableTitle"/>
              <w:tabs>
                <w:tab w:val="left" w:pos="3306"/>
              </w:tabs>
              <w:rPr>
                <w:rFonts w:cs="Calibri"/>
              </w:rPr>
            </w:pPr>
            <w:r w:rsidRPr="006911F3">
              <w:rPr>
                <w:rFonts w:cs="Calibri"/>
              </w:rPr>
              <w:t>$’000</w:t>
            </w:r>
          </w:p>
        </w:tc>
        <w:tc>
          <w:tcPr>
            <w:tcW w:w="1199" w:type="dxa"/>
            <w:tcBorders>
              <w:top w:val="nil"/>
              <w:left w:val="nil"/>
              <w:bottom w:val="nil"/>
              <w:right w:val="nil"/>
            </w:tcBorders>
            <w:vAlign w:val="bottom"/>
          </w:tcPr>
          <w:p w14:paraId="339F2C5C" w14:textId="77777777" w:rsidR="00ED1443" w:rsidRPr="006911F3" w:rsidRDefault="00ED1443">
            <w:pPr>
              <w:pStyle w:val="TableTitle"/>
              <w:tabs>
                <w:tab w:val="left" w:pos="3306"/>
              </w:tabs>
              <w:rPr>
                <w:rFonts w:cs="Calibri"/>
              </w:rPr>
            </w:pPr>
            <w:r w:rsidRPr="006911F3">
              <w:rPr>
                <w:rFonts w:cs="Calibri"/>
              </w:rPr>
              <w:t>Actual</w:t>
            </w:r>
          </w:p>
          <w:p w14:paraId="7C7581E3" w14:textId="2DDE76E5" w:rsidR="00ED1443" w:rsidRPr="0009580B" w:rsidRDefault="00ED1443">
            <w:pPr>
              <w:pStyle w:val="TableTitle"/>
              <w:tabs>
                <w:tab w:val="left" w:pos="3306"/>
              </w:tabs>
              <w:rPr>
                <w:rFonts w:cs="Calibri"/>
              </w:rPr>
            </w:pPr>
            <w:r w:rsidRPr="006911F3">
              <w:rPr>
                <w:rFonts w:cs="Calibri"/>
              </w:rPr>
              <w:t>2021</w:t>
            </w:r>
          </w:p>
          <w:p w14:paraId="4304D1B5" w14:textId="77777777" w:rsidR="00ED1443" w:rsidRPr="006911F3" w:rsidRDefault="00ED1443">
            <w:pPr>
              <w:pStyle w:val="TableTitle"/>
              <w:tabs>
                <w:tab w:val="left" w:pos="3306"/>
              </w:tabs>
              <w:rPr>
                <w:rFonts w:cs="Calibri"/>
              </w:rPr>
            </w:pPr>
            <w:r w:rsidRPr="006911F3">
              <w:rPr>
                <w:rFonts w:cs="Calibri"/>
              </w:rPr>
              <w:t>$’000</w:t>
            </w:r>
          </w:p>
        </w:tc>
      </w:tr>
      <w:tr w:rsidR="00ED1443" w:rsidRPr="00CF7E1B" w14:paraId="15991520" w14:textId="77777777" w:rsidTr="004D1EC6">
        <w:tc>
          <w:tcPr>
            <w:tcW w:w="1563" w:type="dxa"/>
            <w:vMerge/>
            <w:tcBorders>
              <w:top w:val="nil"/>
              <w:left w:val="single" w:sz="2" w:space="0" w:color="auto"/>
              <w:bottom w:val="nil"/>
              <w:right w:val="single" w:sz="2" w:space="0" w:color="auto"/>
            </w:tcBorders>
          </w:tcPr>
          <w:p w14:paraId="0449A02B" w14:textId="77777777" w:rsidR="00ED1443" w:rsidRPr="006911F3" w:rsidRDefault="00ED1443">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17925489" w14:textId="77777777" w:rsidR="00ED1443" w:rsidRPr="006911F3" w:rsidRDefault="00ED1443">
            <w:pPr>
              <w:pStyle w:val="TableText"/>
              <w:tabs>
                <w:tab w:val="left" w:pos="3306"/>
              </w:tabs>
              <w:rPr>
                <w:rFonts w:cs="Calibri"/>
                <w:b/>
                <w:bCs/>
              </w:rPr>
            </w:pPr>
            <w:r w:rsidRPr="006911F3">
              <w:rPr>
                <w:rFonts w:cs="Calibri"/>
                <w:b/>
                <w:bCs/>
              </w:rPr>
              <w:t>Income</w:t>
            </w:r>
          </w:p>
        </w:tc>
        <w:tc>
          <w:tcPr>
            <w:tcW w:w="1221" w:type="dxa"/>
            <w:tcBorders>
              <w:top w:val="nil"/>
              <w:left w:val="nil"/>
              <w:bottom w:val="nil"/>
              <w:right w:val="nil"/>
            </w:tcBorders>
            <w:vAlign w:val="bottom"/>
          </w:tcPr>
          <w:p w14:paraId="63C1C71C" w14:textId="77777777" w:rsidR="00ED1443" w:rsidRPr="006911F3" w:rsidRDefault="00ED1443">
            <w:pPr>
              <w:pStyle w:val="TableText"/>
              <w:tabs>
                <w:tab w:val="left" w:pos="3306"/>
              </w:tabs>
              <w:jc w:val="right"/>
              <w:rPr>
                <w:rFonts w:cs="Calibri"/>
              </w:rPr>
            </w:pPr>
          </w:p>
        </w:tc>
        <w:tc>
          <w:tcPr>
            <w:tcW w:w="1240" w:type="dxa"/>
            <w:tcBorders>
              <w:top w:val="nil"/>
              <w:left w:val="nil"/>
              <w:bottom w:val="nil"/>
              <w:right w:val="nil"/>
            </w:tcBorders>
            <w:vAlign w:val="bottom"/>
          </w:tcPr>
          <w:p w14:paraId="1C0077FB" w14:textId="77777777" w:rsidR="00ED1443" w:rsidRPr="006911F3" w:rsidRDefault="00ED1443">
            <w:pPr>
              <w:pStyle w:val="TableText"/>
              <w:tabs>
                <w:tab w:val="left" w:pos="3306"/>
              </w:tabs>
              <w:jc w:val="right"/>
              <w:rPr>
                <w:rFonts w:cs="Calibri"/>
              </w:rPr>
            </w:pPr>
          </w:p>
        </w:tc>
        <w:tc>
          <w:tcPr>
            <w:tcW w:w="1199" w:type="dxa"/>
            <w:tcBorders>
              <w:top w:val="nil"/>
              <w:left w:val="nil"/>
              <w:bottom w:val="nil"/>
              <w:right w:val="nil"/>
            </w:tcBorders>
            <w:vAlign w:val="bottom"/>
          </w:tcPr>
          <w:p w14:paraId="5907A6DB" w14:textId="77777777" w:rsidR="00ED1443" w:rsidRPr="006911F3" w:rsidRDefault="00ED1443">
            <w:pPr>
              <w:pStyle w:val="TableText"/>
              <w:tabs>
                <w:tab w:val="left" w:pos="3306"/>
              </w:tabs>
              <w:jc w:val="right"/>
              <w:rPr>
                <w:rFonts w:cs="Calibri"/>
              </w:rPr>
            </w:pPr>
          </w:p>
        </w:tc>
      </w:tr>
      <w:tr w:rsidR="000144FF" w:rsidRPr="00CF7E1B" w14:paraId="5061FC5B" w14:textId="77777777" w:rsidTr="004D1EC6">
        <w:trPr>
          <w:trHeight w:val="182"/>
        </w:trPr>
        <w:tc>
          <w:tcPr>
            <w:tcW w:w="1563" w:type="dxa"/>
            <w:tcBorders>
              <w:top w:val="nil"/>
              <w:left w:val="single" w:sz="2" w:space="0" w:color="auto"/>
              <w:bottom w:val="nil"/>
              <w:right w:val="single" w:sz="2" w:space="0" w:color="auto"/>
            </w:tcBorders>
          </w:tcPr>
          <w:p w14:paraId="2CCC1FE1" w14:textId="77777777" w:rsidR="000144FF" w:rsidRPr="006911F3" w:rsidRDefault="000144FF">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1" w:type="dxa"/>
            <w:tcBorders>
              <w:top w:val="nil"/>
              <w:left w:val="single" w:sz="2" w:space="0" w:color="auto"/>
              <w:bottom w:val="nil"/>
              <w:right w:val="nil"/>
            </w:tcBorders>
            <w:vAlign w:val="bottom"/>
          </w:tcPr>
          <w:p w14:paraId="2DEFB782" w14:textId="77777777" w:rsidR="000144FF" w:rsidRPr="006911F3" w:rsidRDefault="000144FF">
            <w:pPr>
              <w:pStyle w:val="TableText"/>
              <w:tabs>
                <w:tab w:val="left" w:pos="3306"/>
              </w:tabs>
              <w:rPr>
                <w:rFonts w:cs="Calibri"/>
                <w:i/>
                <w:iCs/>
              </w:rPr>
            </w:pPr>
            <w:r w:rsidRPr="006911F3">
              <w:rPr>
                <w:rFonts w:cs="Calibri"/>
                <w:i/>
                <w:iCs/>
              </w:rPr>
              <w:t>Revenue</w:t>
            </w:r>
          </w:p>
        </w:tc>
        <w:tc>
          <w:tcPr>
            <w:tcW w:w="1221" w:type="dxa"/>
            <w:tcBorders>
              <w:top w:val="nil"/>
              <w:left w:val="nil"/>
              <w:bottom w:val="nil"/>
              <w:right w:val="nil"/>
            </w:tcBorders>
            <w:vAlign w:val="bottom"/>
          </w:tcPr>
          <w:p w14:paraId="605FB59D" w14:textId="77777777" w:rsidR="000144FF" w:rsidRPr="006911F3" w:rsidRDefault="000144FF">
            <w:pPr>
              <w:pStyle w:val="TableText"/>
              <w:tabs>
                <w:tab w:val="left" w:pos="3306"/>
              </w:tabs>
              <w:jc w:val="right"/>
              <w:rPr>
                <w:rFonts w:cs="Calibri"/>
              </w:rPr>
            </w:pPr>
          </w:p>
        </w:tc>
        <w:tc>
          <w:tcPr>
            <w:tcW w:w="1240" w:type="dxa"/>
            <w:tcBorders>
              <w:top w:val="nil"/>
              <w:left w:val="nil"/>
              <w:bottom w:val="nil"/>
              <w:right w:val="nil"/>
            </w:tcBorders>
            <w:vAlign w:val="bottom"/>
          </w:tcPr>
          <w:p w14:paraId="52C73B80" w14:textId="77777777" w:rsidR="000144FF" w:rsidRPr="006911F3" w:rsidRDefault="000144FF">
            <w:pPr>
              <w:pStyle w:val="TableText"/>
              <w:tabs>
                <w:tab w:val="left" w:pos="3306"/>
              </w:tabs>
              <w:jc w:val="right"/>
              <w:rPr>
                <w:rFonts w:cs="Calibri"/>
              </w:rPr>
            </w:pPr>
          </w:p>
        </w:tc>
        <w:tc>
          <w:tcPr>
            <w:tcW w:w="1199" w:type="dxa"/>
            <w:tcBorders>
              <w:top w:val="nil"/>
              <w:left w:val="nil"/>
              <w:bottom w:val="nil"/>
              <w:right w:val="nil"/>
            </w:tcBorders>
            <w:vAlign w:val="bottom"/>
          </w:tcPr>
          <w:p w14:paraId="404273D1" w14:textId="77777777" w:rsidR="000144FF" w:rsidRPr="006911F3" w:rsidRDefault="000144FF">
            <w:pPr>
              <w:pStyle w:val="TableText"/>
              <w:tabs>
                <w:tab w:val="left" w:pos="3306"/>
              </w:tabs>
              <w:jc w:val="right"/>
              <w:rPr>
                <w:rFonts w:cs="Calibri"/>
              </w:rPr>
            </w:pPr>
          </w:p>
        </w:tc>
      </w:tr>
      <w:tr w:rsidR="000144FF" w:rsidRPr="00CF7E1B" w14:paraId="74D71127" w14:textId="77777777" w:rsidTr="004D1EC6">
        <w:tc>
          <w:tcPr>
            <w:tcW w:w="1563" w:type="dxa"/>
            <w:tcBorders>
              <w:top w:val="nil"/>
              <w:left w:val="single" w:sz="2" w:space="0" w:color="auto"/>
              <w:bottom w:val="nil"/>
              <w:right w:val="single" w:sz="2" w:space="0" w:color="auto"/>
            </w:tcBorders>
          </w:tcPr>
          <w:p w14:paraId="5A1B0A52" w14:textId="77777777" w:rsidR="007174F5" w:rsidRPr="006911F3" w:rsidRDefault="00AA7342">
            <w:pPr>
              <w:pStyle w:val="TableReference"/>
              <w:tabs>
                <w:tab w:val="left" w:pos="3306"/>
              </w:tabs>
              <w:spacing w:before="60"/>
              <w:rPr>
                <w:rFonts w:cs="Calibri"/>
                <w:color w:val="7030A0"/>
                <w:sz w:val="14"/>
                <w:highlight w:val="cyan"/>
              </w:rPr>
            </w:pPr>
            <w:r w:rsidRPr="006911F3">
              <w:rPr>
                <w:rFonts w:cs="Calibri"/>
                <w:color w:val="7030A0"/>
                <w:sz w:val="14"/>
              </w:rPr>
              <w:t>AASB 1052</w:t>
            </w:r>
            <w:r w:rsidR="00D65811" w:rsidRPr="006911F3">
              <w:rPr>
                <w:rFonts w:cs="Calibri"/>
                <w:color w:val="7030A0"/>
                <w:sz w:val="14"/>
              </w:rPr>
              <w:t>.</w:t>
            </w:r>
            <w:r w:rsidRPr="006911F3">
              <w:rPr>
                <w:rFonts w:cs="Calibri"/>
                <w:color w:val="7030A0"/>
                <w:sz w:val="14"/>
              </w:rPr>
              <w:t>15(d)</w:t>
            </w:r>
          </w:p>
        </w:tc>
        <w:tc>
          <w:tcPr>
            <w:tcW w:w="5321" w:type="dxa"/>
            <w:tcBorders>
              <w:top w:val="nil"/>
              <w:left w:val="single" w:sz="2" w:space="0" w:color="auto"/>
              <w:bottom w:val="nil"/>
              <w:right w:val="nil"/>
            </w:tcBorders>
            <w:vAlign w:val="bottom"/>
          </w:tcPr>
          <w:p w14:paraId="5A67CEC5" w14:textId="77777777" w:rsidR="000144FF" w:rsidRPr="006911F3" w:rsidRDefault="00EB3A0D">
            <w:pPr>
              <w:pStyle w:val="TableText"/>
              <w:tabs>
                <w:tab w:val="left" w:pos="3306"/>
              </w:tabs>
              <w:rPr>
                <w:rFonts w:cs="Calibri"/>
                <w:strike/>
              </w:rPr>
            </w:pPr>
            <w:r w:rsidRPr="006911F3">
              <w:rPr>
                <w:rFonts w:cs="Calibri"/>
              </w:rPr>
              <w:t>Controlled Recurrent Payments</w:t>
            </w:r>
          </w:p>
        </w:tc>
        <w:tc>
          <w:tcPr>
            <w:tcW w:w="1221" w:type="dxa"/>
            <w:tcBorders>
              <w:top w:val="nil"/>
              <w:left w:val="nil"/>
              <w:bottom w:val="nil"/>
              <w:right w:val="nil"/>
            </w:tcBorders>
            <w:vAlign w:val="bottom"/>
          </w:tcPr>
          <w:p w14:paraId="5B743362" w14:textId="77777777" w:rsidR="000144FF" w:rsidRPr="006911F3" w:rsidRDefault="000144FF">
            <w:pPr>
              <w:pStyle w:val="TableText"/>
              <w:tabs>
                <w:tab w:val="left" w:pos="3306"/>
              </w:tabs>
              <w:jc w:val="right"/>
              <w:rPr>
                <w:rFonts w:cs="Calibri"/>
              </w:rPr>
            </w:pPr>
          </w:p>
        </w:tc>
        <w:tc>
          <w:tcPr>
            <w:tcW w:w="1240" w:type="dxa"/>
            <w:tcBorders>
              <w:top w:val="nil"/>
              <w:left w:val="nil"/>
              <w:bottom w:val="nil"/>
              <w:right w:val="nil"/>
            </w:tcBorders>
            <w:vAlign w:val="bottom"/>
          </w:tcPr>
          <w:p w14:paraId="13E40BF3" w14:textId="77777777" w:rsidR="000144FF" w:rsidRPr="006911F3" w:rsidRDefault="000144FF">
            <w:pPr>
              <w:pStyle w:val="TableText"/>
              <w:tabs>
                <w:tab w:val="left" w:pos="3306"/>
              </w:tabs>
              <w:jc w:val="right"/>
              <w:rPr>
                <w:rFonts w:cs="Calibri"/>
              </w:rPr>
            </w:pPr>
          </w:p>
        </w:tc>
        <w:tc>
          <w:tcPr>
            <w:tcW w:w="1199" w:type="dxa"/>
            <w:tcBorders>
              <w:top w:val="nil"/>
              <w:left w:val="nil"/>
              <w:bottom w:val="nil"/>
              <w:right w:val="nil"/>
            </w:tcBorders>
            <w:vAlign w:val="bottom"/>
          </w:tcPr>
          <w:p w14:paraId="2EAB187C" w14:textId="77777777" w:rsidR="000144FF" w:rsidRPr="006911F3" w:rsidRDefault="000144FF">
            <w:pPr>
              <w:pStyle w:val="TableText"/>
              <w:tabs>
                <w:tab w:val="left" w:pos="3306"/>
              </w:tabs>
              <w:jc w:val="right"/>
              <w:rPr>
                <w:rFonts w:cs="Calibri"/>
              </w:rPr>
            </w:pPr>
          </w:p>
        </w:tc>
      </w:tr>
      <w:tr w:rsidR="00421D32" w:rsidRPr="00CF7E1B" w14:paraId="441736F1" w14:textId="77777777" w:rsidTr="004D1EC6">
        <w:tc>
          <w:tcPr>
            <w:tcW w:w="1563" w:type="dxa"/>
            <w:tcBorders>
              <w:top w:val="nil"/>
              <w:left w:val="single" w:sz="2" w:space="0" w:color="auto"/>
              <w:bottom w:val="nil"/>
              <w:right w:val="single" w:sz="2" w:space="0" w:color="auto"/>
            </w:tcBorders>
          </w:tcPr>
          <w:p w14:paraId="103C37CC" w14:textId="43EB85A4" w:rsidR="00421D32" w:rsidRPr="006911F3" w:rsidRDefault="00421D32" w:rsidP="00421D32">
            <w:pPr>
              <w:pStyle w:val="TableReference"/>
              <w:tabs>
                <w:tab w:val="left" w:pos="3306"/>
              </w:tabs>
              <w:spacing w:before="60"/>
              <w:rPr>
                <w:rFonts w:cs="Calibri"/>
                <w:strike/>
                <w:color w:val="7030A0"/>
                <w:sz w:val="14"/>
              </w:rPr>
            </w:pPr>
          </w:p>
        </w:tc>
        <w:tc>
          <w:tcPr>
            <w:tcW w:w="5321" w:type="dxa"/>
            <w:tcBorders>
              <w:top w:val="nil"/>
              <w:left w:val="single" w:sz="2" w:space="0" w:color="auto"/>
              <w:bottom w:val="nil"/>
              <w:right w:val="nil"/>
            </w:tcBorders>
            <w:vAlign w:val="bottom"/>
          </w:tcPr>
          <w:p w14:paraId="71354095" w14:textId="41ABB1C2" w:rsidR="00421D32" w:rsidRPr="006911F3" w:rsidRDefault="00197E49" w:rsidP="00500DD7">
            <w:pPr>
              <w:pStyle w:val="TableText"/>
              <w:tabs>
                <w:tab w:val="left" w:pos="3306"/>
              </w:tabs>
              <w:ind w:left="172" w:hanging="172"/>
              <w:rPr>
                <w:rFonts w:cs="Calibri"/>
              </w:rPr>
            </w:pPr>
            <w:r w:rsidRPr="006911F3">
              <w:rPr>
                <w:rFonts w:cs="Calibri"/>
              </w:rPr>
              <w:t>Sales of Goods and Services</w:t>
            </w:r>
            <w:r w:rsidR="00421D32" w:rsidRPr="006911F3">
              <w:rPr>
                <w:rFonts w:cs="Calibri"/>
              </w:rPr>
              <w:t xml:space="preserve"> from Contracts with Customers</w:t>
            </w:r>
          </w:p>
        </w:tc>
        <w:tc>
          <w:tcPr>
            <w:tcW w:w="1221" w:type="dxa"/>
            <w:tcBorders>
              <w:top w:val="nil"/>
              <w:left w:val="nil"/>
              <w:bottom w:val="nil"/>
              <w:right w:val="nil"/>
            </w:tcBorders>
            <w:vAlign w:val="bottom"/>
          </w:tcPr>
          <w:p w14:paraId="22FB8C2B" w14:textId="77777777" w:rsidR="00421D32" w:rsidRPr="006911F3" w:rsidRDefault="00421D32"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273D00CD" w14:textId="77777777" w:rsidR="00421D32" w:rsidRPr="006911F3" w:rsidRDefault="00421D32"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6A546E45" w14:textId="77777777" w:rsidR="00421D32" w:rsidRPr="006911F3" w:rsidRDefault="00421D32" w:rsidP="00421D32">
            <w:pPr>
              <w:pStyle w:val="TableText"/>
              <w:tabs>
                <w:tab w:val="left" w:pos="3306"/>
              </w:tabs>
              <w:jc w:val="right"/>
              <w:rPr>
                <w:rFonts w:cs="Calibri"/>
              </w:rPr>
            </w:pPr>
          </w:p>
        </w:tc>
      </w:tr>
      <w:tr w:rsidR="00421D32" w:rsidRPr="00CF7E1B" w14:paraId="0AA3B8A8" w14:textId="77777777" w:rsidTr="004D1EC6">
        <w:tc>
          <w:tcPr>
            <w:tcW w:w="1563" w:type="dxa"/>
            <w:tcBorders>
              <w:top w:val="nil"/>
              <w:left w:val="single" w:sz="2" w:space="0" w:color="auto"/>
              <w:bottom w:val="nil"/>
              <w:right w:val="single" w:sz="2" w:space="0" w:color="auto"/>
            </w:tcBorders>
          </w:tcPr>
          <w:p w14:paraId="06525594" w14:textId="2F235BA9" w:rsidR="00421D32" w:rsidRPr="006911F3" w:rsidRDefault="00CE3EE0" w:rsidP="00421D32">
            <w:pPr>
              <w:pStyle w:val="TableReference"/>
              <w:tabs>
                <w:tab w:val="left" w:pos="3306"/>
              </w:tabs>
              <w:spacing w:before="6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1FA9BE0C" w14:textId="33AC565F" w:rsidR="00421D32" w:rsidRPr="006911F3" w:rsidRDefault="00685FDE" w:rsidP="00421D32">
            <w:pPr>
              <w:pStyle w:val="TableText"/>
              <w:tabs>
                <w:tab w:val="left" w:pos="3306"/>
              </w:tabs>
              <w:rPr>
                <w:rFonts w:cs="Calibri"/>
              </w:rPr>
            </w:pPr>
            <w:r w:rsidRPr="006911F3">
              <w:rPr>
                <w:rFonts w:cs="Calibri"/>
              </w:rPr>
              <w:t xml:space="preserve">Grants and </w:t>
            </w:r>
            <w:r w:rsidR="00421D32" w:rsidRPr="006911F3">
              <w:rPr>
                <w:rFonts w:cs="Calibri"/>
              </w:rPr>
              <w:t>Contributions</w:t>
            </w:r>
            <w:r w:rsidR="000E31C1" w:rsidRPr="006911F3">
              <w:rPr>
                <w:rFonts w:cs="Calibri"/>
              </w:rPr>
              <w:t xml:space="preserve"> Revenue</w:t>
            </w:r>
          </w:p>
        </w:tc>
        <w:tc>
          <w:tcPr>
            <w:tcW w:w="1221" w:type="dxa"/>
            <w:tcBorders>
              <w:top w:val="nil"/>
              <w:left w:val="nil"/>
              <w:bottom w:val="nil"/>
              <w:right w:val="nil"/>
            </w:tcBorders>
            <w:vAlign w:val="bottom"/>
          </w:tcPr>
          <w:p w14:paraId="4DEC9D70" w14:textId="77777777" w:rsidR="00421D32" w:rsidRPr="006911F3" w:rsidRDefault="00421D32"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0960ABAE" w14:textId="77777777" w:rsidR="00421D32" w:rsidRPr="006911F3" w:rsidRDefault="00421D32"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5CA6EB74" w14:textId="77777777" w:rsidR="00421D32" w:rsidRPr="006911F3" w:rsidRDefault="00421D32" w:rsidP="00421D32">
            <w:pPr>
              <w:pStyle w:val="TableText"/>
              <w:tabs>
                <w:tab w:val="left" w:pos="3306"/>
              </w:tabs>
              <w:jc w:val="right"/>
              <w:rPr>
                <w:rFonts w:cs="Calibri"/>
              </w:rPr>
            </w:pPr>
          </w:p>
        </w:tc>
      </w:tr>
      <w:tr w:rsidR="00421D32" w:rsidRPr="00CF7E1B" w14:paraId="18CF817A" w14:textId="77777777" w:rsidTr="004D1EC6">
        <w:tc>
          <w:tcPr>
            <w:tcW w:w="1563" w:type="dxa"/>
            <w:tcBorders>
              <w:top w:val="nil"/>
              <w:left w:val="single" w:sz="2" w:space="0" w:color="auto"/>
              <w:bottom w:val="nil"/>
              <w:right w:val="single" w:sz="2" w:space="0" w:color="auto"/>
            </w:tcBorders>
          </w:tcPr>
          <w:p w14:paraId="732B0F5E" w14:textId="7D22F5A1" w:rsidR="00421D32" w:rsidRPr="006911F3" w:rsidRDefault="00CE3EE0" w:rsidP="00421D32">
            <w:pPr>
              <w:pStyle w:val="TableReference"/>
              <w:tabs>
                <w:tab w:val="left" w:pos="3306"/>
              </w:tabs>
              <w:spacing w:before="6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55F98827" w14:textId="45302F77" w:rsidR="00421D32" w:rsidRPr="006911F3" w:rsidRDefault="00421D32" w:rsidP="00421D32">
            <w:pPr>
              <w:pStyle w:val="TableText"/>
              <w:tabs>
                <w:tab w:val="left" w:pos="3306"/>
              </w:tabs>
              <w:rPr>
                <w:rFonts w:cs="Calibri"/>
              </w:rPr>
            </w:pPr>
            <w:r w:rsidRPr="006911F3">
              <w:rPr>
                <w:rFonts w:cs="Calibri"/>
              </w:rPr>
              <w:t>Investment Revenue</w:t>
            </w:r>
          </w:p>
        </w:tc>
        <w:tc>
          <w:tcPr>
            <w:tcW w:w="1221" w:type="dxa"/>
            <w:tcBorders>
              <w:top w:val="nil"/>
              <w:left w:val="nil"/>
              <w:bottom w:val="nil"/>
              <w:right w:val="nil"/>
            </w:tcBorders>
            <w:vAlign w:val="bottom"/>
          </w:tcPr>
          <w:p w14:paraId="60E91582" w14:textId="77777777" w:rsidR="00421D32" w:rsidRPr="006911F3" w:rsidRDefault="00421D32"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68EB1828" w14:textId="77777777" w:rsidR="00421D32" w:rsidRPr="006911F3" w:rsidRDefault="00421D32"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1E0AA102" w14:textId="77777777" w:rsidR="00421D32" w:rsidRPr="006911F3" w:rsidRDefault="00421D32" w:rsidP="00421D32">
            <w:pPr>
              <w:pStyle w:val="TableText"/>
              <w:tabs>
                <w:tab w:val="left" w:pos="3306"/>
              </w:tabs>
              <w:jc w:val="right"/>
              <w:rPr>
                <w:rFonts w:cs="Calibri"/>
              </w:rPr>
            </w:pPr>
          </w:p>
        </w:tc>
      </w:tr>
      <w:tr w:rsidR="00636A09" w:rsidRPr="00CF7E1B" w14:paraId="0C207058" w14:textId="77777777" w:rsidTr="004D1EC6">
        <w:tc>
          <w:tcPr>
            <w:tcW w:w="1563" w:type="dxa"/>
            <w:tcBorders>
              <w:top w:val="nil"/>
              <w:left w:val="single" w:sz="2" w:space="0" w:color="auto"/>
              <w:bottom w:val="nil"/>
              <w:right w:val="single" w:sz="2" w:space="0" w:color="auto"/>
            </w:tcBorders>
          </w:tcPr>
          <w:p w14:paraId="6E3CD657" w14:textId="21AF5C6C" w:rsidR="00636A09" w:rsidRPr="006911F3" w:rsidRDefault="00636A09" w:rsidP="00421D32">
            <w:pPr>
              <w:pStyle w:val="TableReference"/>
              <w:tabs>
                <w:tab w:val="left" w:pos="3306"/>
              </w:tabs>
              <w:spacing w:before="6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2EF7B6A7" w14:textId="731A266D" w:rsidR="00636A09" w:rsidRPr="006911F3" w:rsidRDefault="00636A09" w:rsidP="00421D32">
            <w:pPr>
              <w:pStyle w:val="TableText"/>
              <w:tabs>
                <w:tab w:val="left" w:pos="3306"/>
              </w:tabs>
              <w:rPr>
                <w:rFonts w:cs="Calibri"/>
              </w:rPr>
            </w:pPr>
            <w:r w:rsidRPr="006911F3">
              <w:rPr>
                <w:rFonts w:cs="Calibri"/>
              </w:rPr>
              <w:t>Interest Revenue</w:t>
            </w:r>
          </w:p>
        </w:tc>
        <w:tc>
          <w:tcPr>
            <w:tcW w:w="1221" w:type="dxa"/>
            <w:tcBorders>
              <w:top w:val="nil"/>
              <w:left w:val="nil"/>
              <w:bottom w:val="nil"/>
              <w:right w:val="nil"/>
            </w:tcBorders>
            <w:vAlign w:val="bottom"/>
          </w:tcPr>
          <w:p w14:paraId="7026DFA2" w14:textId="77777777" w:rsidR="00636A09" w:rsidRPr="006911F3" w:rsidRDefault="00636A09"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1E5E482F" w14:textId="77777777" w:rsidR="00636A09" w:rsidRPr="006911F3" w:rsidRDefault="00636A09"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2203F025" w14:textId="77777777" w:rsidR="00636A09" w:rsidRPr="006911F3" w:rsidRDefault="00636A09" w:rsidP="00421D32">
            <w:pPr>
              <w:pStyle w:val="TableText"/>
              <w:tabs>
                <w:tab w:val="left" w:pos="3306"/>
              </w:tabs>
              <w:jc w:val="right"/>
              <w:rPr>
                <w:rFonts w:cs="Calibri"/>
              </w:rPr>
            </w:pPr>
          </w:p>
        </w:tc>
      </w:tr>
      <w:tr w:rsidR="00262BD5" w:rsidRPr="00262BD5" w14:paraId="689E3F63" w14:textId="77777777" w:rsidTr="004D1EC6">
        <w:tc>
          <w:tcPr>
            <w:tcW w:w="1563" w:type="dxa"/>
            <w:tcBorders>
              <w:top w:val="nil"/>
              <w:left w:val="single" w:sz="2" w:space="0" w:color="auto"/>
              <w:bottom w:val="nil"/>
              <w:right w:val="single" w:sz="2" w:space="0" w:color="auto"/>
            </w:tcBorders>
          </w:tcPr>
          <w:p w14:paraId="760F3D48" w14:textId="00B131F9" w:rsidR="00421D32" w:rsidRPr="006911F3" w:rsidRDefault="00421D32" w:rsidP="00421D32">
            <w:pPr>
              <w:pStyle w:val="TableReference"/>
              <w:tabs>
                <w:tab w:val="left" w:pos="3306"/>
              </w:tabs>
              <w:spacing w:before="6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41AEDDB4" w14:textId="28D6D402" w:rsidR="00421D32" w:rsidRPr="006911F3" w:rsidRDefault="00421D32" w:rsidP="00421D32">
            <w:pPr>
              <w:pStyle w:val="TableText"/>
              <w:tabs>
                <w:tab w:val="left" w:pos="3306"/>
              </w:tabs>
              <w:rPr>
                <w:rFonts w:cs="Calibri"/>
              </w:rPr>
            </w:pPr>
            <w:r w:rsidRPr="006911F3">
              <w:rPr>
                <w:rFonts w:cs="Calibri"/>
              </w:rPr>
              <w:t>Other Revenue</w:t>
            </w:r>
          </w:p>
        </w:tc>
        <w:tc>
          <w:tcPr>
            <w:tcW w:w="1221" w:type="dxa"/>
            <w:tcBorders>
              <w:top w:val="nil"/>
              <w:left w:val="nil"/>
              <w:bottom w:val="single" w:sz="4" w:space="0" w:color="auto"/>
              <w:right w:val="nil"/>
            </w:tcBorders>
            <w:vAlign w:val="bottom"/>
          </w:tcPr>
          <w:p w14:paraId="6C7C279E" w14:textId="77777777" w:rsidR="00421D32" w:rsidRPr="006911F3" w:rsidRDefault="00421D32" w:rsidP="00421D32">
            <w:pPr>
              <w:pStyle w:val="TableText"/>
              <w:tabs>
                <w:tab w:val="left" w:pos="3306"/>
              </w:tabs>
              <w:jc w:val="right"/>
              <w:rPr>
                <w:rFonts w:cs="Calibri"/>
                <w:strike/>
              </w:rPr>
            </w:pPr>
          </w:p>
        </w:tc>
        <w:tc>
          <w:tcPr>
            <w:tcW w:w="1240" w:type="dxa"/>
            <w:tcBorders>
              <w:top w:val="nil"/>
              <w:left w:val="nil"/>
              <w:bottom w:val="single" w:sz="4" w:space="0" w:color="auto"/>
              <w:right w:val="nil"/>
            </w:tcBorders>
            <w:vAlign w:val="bottom"/>
          </w:tcPr>
          <w:p w14:paraId="7208C172" w14:textId="77777777" w:rsidR="00421D32" w:rsidRPr="006911F3" w:rsidRDefault="00421D32" w:rsidP="00421D32">
            <w:pPr>
              <w:pStyle w:val="TableText"/>
              <w:tabs>
                <w:tab w:val="left" w:pos="3306"/>
              </w:tabs>
              <w:jc w:val="right"/>
              <w:rPr>
                <w:rFonts w:cs="Calibri"/>
                <w:strike/>
              </w:rPr>
            </w:pPr>
          </w:p>
        </w:tc>
        <w:tc>
          <w:tcPr>
            <w:tcW w:w="1199" w:type="dxa"/>
            <w:tcBorders>
              <w:top w:val="nil"/>
              <w:left w:val="nil"/>
              <w:bottom w:val="single" w:sz="4" w:space="0" w:color="auto"/>
              <w:right w:val="nil"/>
            </w:tcBorders>
            <w:vAlign w:val="bottom"/>
          </w:tcPr>
          <w:p w14:paraId="54F225BA" w14:textId="77777777" w:rsidR="00421D32" w:rsidRPr="006911F3" w:rsidRDefault="00421D32" w:rsidP="00421D32">
            <w:pPr>
              <w:pStyle w:val="TableText"/>
              <w:tabs>
                <w:tab w:val="left" w:pos="3306"/>
              </w:tabs>
              <w:jc w:val="right"/>
              <w:rPr>
                <w:rFonts w:cs="Calibri"/>
                <w:strike/>
              </w:rPr>
            </w:pPr>
          </w:p>
        </w:tc>
      </w:tr>
      <w:tr w:rsidR="001E30FF" w:rsidRPr="00CF7E1B" w14:paraId="3B854C0A" w14:textId="77777777" w:rsidTr="004D1EC6">
        <w:tc>
          <w:tcPr>
            <w:tcW w:w="1563" w:type="dxa"/>
            <w:tcBorders>
              <w:top w:val="nil"/>
              <w:left w:val="single" w:sz="2" w:space="0" w:color="auto"/>
              <w:bottom w:val="nil"/>
              <w:right w:val="single" w:sz="2" w:space="0" w:color="auto"/>
            </w:tcBorders>
          </w:tcPr>
          <w:p w14:paraId="1B40DE05" w14:textId="77777777" w:rsidR="001E30FF" w:rsidRPr="006911F3" w:rsidRDefault="001E30FF" w:rsidP="001E30FF">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2292358B" w14:textId="77777777" w:rsidR="001E30FF" w:rsidRPr="006911F3" w:rsidRDefault="001E30FF" w:rsidP="001E30FF">
            <w:pPr>
              <w:pStyle w:val="TableText"/>
              <w:tabs>
                <w:tab w:val="left" w:pos="3306"/>
              </w:tabs>
              <w:rPr>
                <w:rFonts w:cs="Calibri"/>
                <w:i/>
                <w:iCs/>
              </w:rPr>
            </w:pPr>
            <w:r w:rsidRPr="006911F3">
              <w:rPr>
                <w:rFonts w:cs="Calibri"/>
                <w:i/>
                <w:iCs/>
              </w:rPr>
              <w:t>Total Revenue</w:t>
            </w:r>
          </w:p>
        </w:tc>
        <w:tc>
          <w:tcPr>
            <w:tcW w:w="1221" w:type="dxa"/>
            <w:tcBorders>
              <w:top w:val="single" w:sz="4" w:space="0" w:color="auto"/>
              <w:left w:val="nil"/>
              <w:bottom w:val="nil"/>
              <w:right w:val="nil"/>
            </w:tcBorders>
            <w:vAlign w:val="bottom"/>
          </w:tcPr>
          <w:p w14:paraId="5E1CD329" w14:textId="77777777" w:rsidR="001E30FF" w:rsidRPr="006911F3" w:rsidRDefault="001E30FF" w:rsidP="001E30FF">
            <w:pPr>
              <w:pStyle w:val="TableText"/>
              <w:tabs>
                <w:tab w:val="left" w:pos="3306"/>
              </w:tabs>
              <w:jc w:val="right"/>
              <w:rPr>
                <w:rFonts w:cs="Calibri"/>
              </w:rPr>
            </w:pPr>
          </w:p>
        </w:tc>
        <w:tc>
          <w:tcPr>
            <w:tcW w:w="1240" w:type="dxa"/>
            <w:tcBorders>
              <w:top w:val="single" w:sz="4" w:space="0" w:color="auto"/>
              <w:left w:val="nil"/>
              <w:bottom w:val="nil"/>
              <w:right w:val="nil"/>
            </w:tcBorders>
            <w:vAlign w:val="bottom"/>
          </w:tcPr>
          <w:p w14:paraId="12DDB88B" w14:textId="77777777" w:rsidR="001E30FF" w:rsidRPr="006911F3" w:rsidRDefault="001E30FF" w:rsidP="001E30FF">
            <w:pPr>
              <w:pStyle w:val="TableText"/>
              <w:tabs>
                <w:tab w:val="left" w:pos="3306"/>
              </w:tabs>
              <w:jc w:val="right"/>
              <w:rPr>
                <w:rFonts w:cs="Calibri"/>
              </w:rPr>
            </w:pPr>
          </w:p>
        </w:tc>
        <w:tc>
          <w:tcPr>
            <w:tcW w:w="1199" w:type="dxa"/>
            <w:tcBorders>
              <w:top w:val="single" w:sz="4" w:space="0" w:color="auto"/>
              <w:left w:val="nil"/>
              <w:bottom w:val="nil"/>
              <w:right w:val="nil"/>
            </w:tcBorders>
            <w:vAlign w:val="bottom"/>
          </w:tcPr>
          <w:p w14:paraId="5EFD6E82" w14:textId="77777777" w:rsidR="001E30FF" w:rsidRPr="006911F3" w:rsidRDefault="001E30FF" w:rsidP="001E30FF">
            <w:pPr>
              <w:pStyle w:val="TableText"/>
              <w:tabs>
                <w:tab w:val="left" w:pos="3306"/>
              </w:tabs>
              <w:jc w:val="right"/>
              <w:rPr>
                <w:rFonts w:cs="Calibri"/>
              </w:rPr>
            </w:pPr>
          </w:p>
        </w:tc>
      </w:tr>
      <w:tr w:rsidR="001E30FF" w:rsidRPr="00CF7E1B" w14:paraId="14B7EEEB" w14:textId="77777777" w:rsidTr="004D1EC6">
        <w:trPr>
          <w:trHeight w:val="60"/>
        </w:trPr>
        <w:tc>
          <w:tcPr>
            <w:tcW w:w="1563" w:type="dxa"/>
            <w:tcBorders>
              <w:top w:val="nil"/>
              <w:left w:val="single" w:sz="2" w:space="0" w:color="auto"/>
              <w:bottom w:val="nil"/>
              <w:right w:val="single" w:sz="2" w:space="0" w:color="auto"/>
            </w:tcBorders>
          </w:tcPr>
          <w:p w14:paraId="03C2FB2C" w14:textId="77777777" w:rsidR="001E30FF" w:rsidRPr="006911F3" w:rsidRDefault="001E30FF" w:rsidP="001E30FF">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6A2A6ACC" w14:textId="77777777" w:rsidR="001E30FF" w:rsidRPr="006911F3" w:rsidRDefault="001E30FF" w:rsidP="001E30FF">
            <w:pPr>
              <w:pStyle w:val="TableText"/>
              <w:tabs>
                <w:tab w:val="left" w:pos="3306"/>
              </w:tabs>
              <w:rPr>
                <w:rFonts w:cs="Calibri"/>
                <w:sz w:val="16"/>
                <w:szCs w:val="16"/>
              </w:rPr>
            </w:pPr>
          </w:p>
        </w:tc>
        <w:tc>
          <w:tcPr>
            <w:tcW w:w="1221" w:type="dxa"/>
            <w:tcBorders>
              <w:top w:val="nil"/>
              <w:left w:val="nil"/>
              <w:bottom w:val="nil"/>
              <w:right w:val="nil"/>
            </w:tcBorders>
            <w:vAlign w:val="bottom"/>
          </w:tcPr>
          <w:p w14:paraId="78500D91" w14:textId="77777777" w:rsidR="001E30FF" w:rsidRPr="006911F3" w:rsidRDefault="001E30FF" w:rsidP="001E30FF">
            <w:pPr>
              <w:pStyle w:val="TableText"/>
              <w:tabs>
                <w:tab w:val="left" w:pos="3306"/>
              </w:tabs>
              <w:jc w:val="right"/>
              <w:rPr>
                <w:rFonts w:cs="Calibri"/>
                <w:sz w:val="16"/>
                <w:szCs w:val="16"/>
              </w:rPr>
            </w:pPr>
          </w:p>
        </w:tc>
        <w:tc>
          <w:tcPr>
            <w:tcW w:w="1240" w:type="dxa"/>
            <w:tcBorders>
              <w:top w:val="nil"/>
              <w:left w:val="nil"/>
              <w:bottom w:val="nil"/>
              <w:right w:val="nil"/>
            </w:tcBorders>
            <w:vAlign w:val="bottom"/>
          </w:tcPr>
          <w:p w14:paraId="32255E60" w14:textId="77777777" w:rsidR="001E30FF" w:rsidRPr="006911F3" w:rsidRDefault="001E30FF" w:rsidP="001E30FF">
            <w:pPr>
              <w:pStyle w:val="TableText"/>
              <w:tabs>
                <w:tab w:val="left" w:pos="3306"/>
              </w:tabs>
              <w:jc w:val="right"/>
              <w:rPr>
                <w:rFonts w:cs="Calibri"/>
                <w:sz w:val="16"/>
                <w:szCs w:val="16"/>
              </w:rPr>
            </w:pPr>
          </w:p>
        </w:tc>
        <w:tc>
          <w:tcPr>
            <w:tcW w:w="1199" w:type="dxa"/>
            <w:tcBorders>
              <w:top w:val="nil"/>
              <w:left w:val="nil"/>
              <w:bottom w:val="nil"/>
              <w:right w:val="nil"/>
            </w:tcBorders>
            <w:vAlign w:val="bottom"/>
          </w:tcPr>
          <w:p w14:paraId="5EA25586" w14:textId="77777777" w:rsidR="001E30FF" w:rsidRPr="006911F3" w:rsidRDefault="001E30FF" w:rsidP="001E30FF">
            <w:pPr>
              <w:pStyle w:val="TableText"/>
              <w:tabs>
                <w:tab w:val="left" w:pos="3306"/>
              </w:tabs>
              <w:jc w:val="right"/>
              <w:rPr>
                <w:rFonts w:cs="Calibri"/>
                <w:sz w:val="16"/>
                <w:szCs w:val="16"/>
              </w:rPr>
            </w:pPr>
          </w:p>
        </w:tc>
      </w:tr>
      <w:tr w:rsidR="001E30FF" w:rsidRPr="00CF7E1B" w14:paraId="4971DCF4" w14:textId="77777777" w:rsidTr="004D1EC6">
        <w:tc>
          <w:tcPr>
            <w:tcW w:w="1563" w:type="dxa"/>
            <w:tcBorders>
              <w:top w:val="nil"/>
              <w:left w:val="single" w:sz="2" w:space="0" w:color="auto"/>
              <w:bottom w:val="nil"/>
              <w:right w:val="single" w:sz="2" w:space="0" w:color="auto"/>
            </w:tcBorders>
          </w:tcPr>
          <w:p w14:paraId="6F555CCC" w14:textId="77777777" w:rsidR="001E30FF" w:rsidRPr="006911F3" w:rsidRDefault="001E30FF" w:rsidP="001E30FF">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1" w:type="dxa"/>
            <w:tcBorders>
              <w:top w:val="nil"/>
              <w:left w:val="single" w:sz="2" w:space="0" w:color="auto"/>
              <w:bottom w:val="nil"/>
              <w:right w:val="nil"/>
            </w:tcBorders>
            <w:vAlign w:val="bottom"/>
          </w:tcPr>
          <w:p w14:paraId="38D5FD7D" w14:textId="77777777" w:rsidR="001E30FF" w:rsidRPr="006911F3" w:rsidRDefault="001E30FF" w:rsidP="001E30FF">
            <w:pPr>
              <w:pStyle w:val="TableText"/>
              <w:tabs>
                <w:tab w:val="left" w:pos="3306"/>
              </w:tabs>
              <w:rPr>
                <w:rFonts w:cs="Calibri"/>
                <w:i/>
                <w:iCs/>
              </w:rPr>
            </w:pPr>
            <w:r w:rsidRPr="006911F3">
              <w:rPr>
                <w:rFonts w:cs="Calibri"/>
                <w:i/>
                <w:iCs/>
              </w:rPr>
              <w:t>Gains</w:t>
            </w:r>
          </w:p>
        </w:tc>
        <w:tc>
          <w:tcPr>
            <w:tcW w:w="1221" w:type="dxa"/>
            <w:tcBorders>
              <w:top w:val="nil"/>
              <w:left w:val="nil"/>
              <w:bottom w:val="nil"/>
              <w:right w:val="nil"/>
            </w:tcBorders>
            <w:vAlign w:val="bottom"/>
          </w:tcPr>
          <w:p w14:paraId="046A7629"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0343BCE5"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58B240EE" w14:textId="77777777" w:rsidR="001E30FF" w:rsidRPr="006911F3" w:rsidRDefault="001E30FF" w:rsidP="001E30FF">
            <w:pPr>
              <w:pStyle w:val="TableText"/>
              <w:tabs>
                <w:tab w:val="left" w:pos="3306"/>
              </w:tabs>
              <w:jc w:val="right"/>
              <w:rPr>
                <w:rFonts w:cs="Calibri"/>
              </w:rPr>
            </w:pPr>
          </w:p>
        </w:tc>
      </w:tr>
      <w:tr w:rsidR="00421D32" w:rsidRPr="00CF7E1B" w14:paraId="1904FB3E" w14:textId="77777777" w:rsidTr="004D1EC6">
        <w:tc>
          <w:tcPr>
            <w:tcW w:w="1563" w:type="dxa"/>
            <w:tcBorders>
              <w:top w:val="nil"/>
              <w:left w:val="single" w:sz="2" w:space="0" w:color="auto"/>
              <w:bottom w:val="nil"/>
              <w:right w:val="single" w:sz="2" w:space="0" w:color="auto"/>
            </w:tcBorders>
          </w:tcPr>
          <w:p w14:paraId="3DF5E9AA" w14:textId="5591CB38" w:rsidR="00421D32" w:rsidRPr="006911F3" w:rsidRDefault="00CE3EE0" w:rsidP="00421D32">
            <w:pPr>
              <w:pStyle w:val="TableReference"/>
              <w:tabs>
                <w:tab w:val="left" w:pos="3306"/>
              </w:tabs>
              <w:spacing w:before="4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1E11F886" w14:textId="127C114C" w:rsidR="00421D32" w:rsidRPr="006911F3" w:rsidRDefault="00421D32" w:rsidP="00421D32">
            <w:pPr>
              <w:pStyle w:val="TableText"/>
              <w:tabs>
                <w:tab w:val="left" w:pos="3306"/>
              </w:tabs>
              <w:rPr>
                <w:rFonts w:cs="Calibri"/>
                <w:i/>
                <w:iCs/>
              </w:rPr>
            </w:pPr>
            <w:r w:rsidRPr="006911F3">
              <w:rPr>
                <w:rFonts w:cs="Calibri"/>
                <w:iCs/>
              </w:rPr>
              <w:t>Gains from Disposal, Derecognition and Remeasurement of Assets</w:t>
            </w:r>
          </w:p>
        </w:tc>
        <w:tc>
          <w:tcPr>
            <w:tcW w:w="1221" w:type="dxa"/>
            <w:tcBorders>
              <w:top w:val="nil"/>
              <w:left w:val="nil"/>
              <w:bottom w:val="nil"/>
              <w:right w:val="nil"/>
            </w:tcBorders>
            <w:vAlign w:val="bottom"/>
          </w:tcPr>
          <w:p w14:paraId="3277F762" w14:textId="77777777" w:rsidR="00421D32" w:rsidRPr="006911F3" w:rsidRDefault="00421D32" w:rsidP="00421D32">
            <w:pPr>
              <w:pStyle w:val="TableText"/>
              <w:tabs>
                <w:tab w:val="left" w:pos="3306"/>
              </w:tabs>
              <w:jc w:val="right"/>
              <w:rPr>
                <w:rFonts w:cs="Calibri"/>
              </w:rPr>
            </w:pPr>
          </w:p>
        </w:tc>
        <w:tc>
          <w:tcPr>
            <w:tcW w:w="1240" w:type="dxa"/>
            <w:tcBorders>
              <w:top w:val="nil"/>
              <w:left w:val="nil"/>
              <w:bottom w:val="nil"/>
              <w:right w:val="nil"/>
            </w:tcBorders>
            <w:vAlign w:val="bottom"/>
          </w:tcPr>
          <w:p w14:paraId="3F5A481D" w14:textId="77777777" w:rsidR="00421D32" w:rsidRPr="006911F3" w:rsidRDefault="00421D32" w:rsidP="00421D32">
            <w:pPr>
              <w:pStyle w:val="TableText"/>
              <w:tabs>
                <w:tab w:val="left" w:pos="3306"/>
              </w:tabs>
              <w:jc w:val="right"/>
              <w:rPr>
                <w:rFonts w:cs="Calibri"/>
              </w:rPr>
            </w:pPr>
          </w:p>
        </w:tc>
        <w:tc>
          <w:tcPr>
            <w:tcW w:w="1199" w:type="dxa"/>
            <w:tcBorders>
              <w:top w:val="nil"/>
              <w:left w:val="nil"/>
              <w:bottom w:val="nil"/>
              <w:right w:val="nil"/>
            </w:tcBorders>
            <w:vAlign w:val="bottom"/>
          </w:tcPr>
          <w:p w14:paraId="058D4E64" w14:textId="77777777" w:rsidR="00421D32" w:rsidRPr="006911F3" w:rsidRDefault="00421D32" w:rsidP="00421D32">
            <w:pPr>
              <w:pStyle w:val="TableText"/>
              <w:tabs>
                <w:tab w:val="left" w:pos="3306"/>
              </w:tabs>
              <w:jc w:val="right"/>
              <w:rPr>
                <w:rFonts w:cs="Calibri"/>
              </w:rPr>
            </w:pPr>
          </w:p>
        </w:tc>
      </w:tr>
      <w:tr w:rsidR="001E30FF" w:rsidRPr="00CF7E1B" w14:paraId="7481931B" w14:textId="77777777" w:rsidTr="004D1EC6">
        <w:tc>
          <w:tcPr>
            <w:tcW w:w="1563" w:type="dxa"/>
            <w:tcBorders>
              <w:top w:val="nil"/>
              <w:left w:val="single" w:sz="2" w:space="0" w:color="auto"/>
              <w:bottom w:val="nil"/>
              <w:right w:val="single" w:sz="2" w:space="0" w:color="auto"/>
            </w:tcBorders>
          </w:tcPr>
          <w:p w14:paraId="0860B5D8"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012CE3BC" w14:textId="01E8C1DF" w:rsidR="001E30FF" w:rsidRPr="006911F3" w:rsidRDefault="001E30FF" w:rsidP="001E30FF">
            <w:pPr>
              <w:pStyle w:val="TableText"/>
              <w:tabs>
                <w:tab w:val="left" w:pos="3306"/>
              </w:tabs>
              <w:rPr>
                <w:rFonts w:cs="Calibri"/>
              </w:rPr>
            </w:pPr>
            <w:r w:rsidRPr="006911F3">
              <w:rPr>
                <w:rFonts w:cs="Calibri"/>
              </w:rPr>
              <w:t>Other Gains</w:t>
            </w:r>
          </w:p>
        </w:tc>
        <w:tc>
          <w:tcPr>
            <w:tcW w:w="1221" w:type="dxa"/>
            <w:tcBorders>
              <w:top w:val="nil"/>
              <w:left w:val="nil"/>
              <w:bottom w:val="single" w:sz="4" w:space="0" w:color="auto"/>
              <w:right w:val="nil"/>
            </w:tcBorders>
            <w:vAlign w:val="bottom"/>
          </w:tcPr>
          <w:p w14:paraId="3229429E"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single" w:sz="4" w:space="0" w:color="auto"/>
              <w:right w:val="nil"/>
            </w:tcBorders>
            <w:vAlign w:val="bottom"/>
          </w:tcPr>
          <w:p w14:paraId="73ED7E63"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single" w:sz="4" w:space="0" w:color="auto"/>
              <w:right w:val="nil"/>
            </w:tcBorders>
            <w:vAlign w:val="bottom"/>
          </w:tcPr>
          <w:p w14:paraId="7916A33F" w14:textId="77777777" w:rsidR="001E30FF" w:rsidRPr="006911F3" w:rsidRDefault="001E30FF" w:rsidP="001E30FF">
            <w:pPr>
              <w:pStyle w:val="TableText"/>
              <w:tabs>
                <w:tab w:val="left" w:pos="3306"/>
              </w:tabs>
              <w:jc w:val="right"/>
              <w:rPr>
                <w:rFonts w:cs="Calibri"/>
              </w:rPr>
            </w:pPr>
          </w:p>
        </w:tc>
      </w:tr>
      <w:tr w:rsidR="001E30FF" w:rsidRPr="00CF7E1B" w14:paraId="3D571185" w14:textId="77777777" w:rsidTr="004D1EC6">
        <w:tc>
          <w:tcPr>
            <w:tcW w:w="1563" w:type="dxa"/>
            <w:tcBorders>
              <w:top w:val="nil"/>
              <w:left w:val="single" w:sz="2" w:space="0" w:color="auto"/>
              <w:bottom w:val="nil"/>
              <w:right w:val="single" w:sz="2" w:space="0" w:color="auto"/>
            </w:tcBorders>
          </w:tcPr>
          <w:p w14:paraId="29F57051" w14:textId="77777777" w:rsidR="001E30FF" w:rsidRPr="006911F3" w:rsidRDefault="001E30FF" w:rsidP="001E30FF">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47E2907E" w14:textId="77777777" w:rsidR="001E30FF" w:rsidRPr="006911F3" w:rsidRDefault="001E30FF" w:rsidP="001E30FF">
            <w:pPr>
              <w:pStyle w:val="TableText"/>
              <w:tabs>
                <w:tab w:val="left" w:pos="3306"/>
              </w:tabs>
              <w:rPr>
                <w:rFonts w:cs="Calibri"/>
                <w:i/>
                <w:iCs/>
              </w:rPr>
            </w:pPr>
            <w:r w:rsidRPr="006911F3">
              <w:rPr>
                <w:rFonts w:cs="Calibri"/>
                <w:i/>
                <w:iCs/>
              </w:rPr>
              <w:t>Total Gains</w:t>
            </w:r>
          </w:p>
        </w:tc>
        <w:tc>
          <w:tcPr>
            <w:tcW w:w="1221" w:type="dxa"/>
            <w:tcBorders>
              <w:top w:val="single" w:sz="4" w:space="0" w:color="auto"/>
              <w:left w:val="nil"/>
              <w:bottom w:val="single" w:sz="4" w:space="0" w:color="auto"/>
              <w:right w:val="nil"/>
            </w:tcBorders>
            <w:vAlign w:val="bottom"/>
          </w:tcPr>
          <w:p w14:paraId="59CE0D09" w14:textId="77777777" w:rsidR="001E30FF" w:rsidRPr="006911F3" w:rsidRDefault="001E30FF" w:rsidP="001E30FF">
            <w:pPr>
              <w:pStyle w:val="TableText"/>
              <w:tabs>
                <w:tab w:val="left" w:pos="3306"/>
              </w:tabs>
              <w:jc w:val="right"/>
              <w:rPr>
                <w:rFonts w:cs="Calibri"/>
              </w:rPr>
            </w:pPr>
          </w:p>
        </w:tc>
        <w:tc>
          <w:tcPr>
            <w:tcW w:w="1240" w:type="dxa"/>
            <w:tcBorders>
              <w:top w:val="single" w:sz="4" w:space="0" w:color="auto"/>
              <w:left w:val="nil"/>
              <w:bottom w:val="single" w:sz="4" w:space="0" w:color="auto"/>
              <w:right w:val="nil"/>
            </w:tcBorders>
            <w:vAlign w:val="bottom"/>
          </w:tcPr>
          <w:p w14:paraId="50D6F540" w14:textId="77777777" w:rsidR="001E30FF" w:rsidRPr="006911F3" w:rsidRDefault="001E30FF" w:rsidP="001E30FF">
            <w:pPr>
              <w:pStyle w:val="TableText"/>
              <w:tabs>
                <w:tab w:val="left" w:pos="3306"/>
              </w:tabs>
              <w:jc w:val="right"/>
              <w:rPr>
                <w:rFonts w:cs="Calibri"/>
              </w:rPr>
            </w:pPr>
          </w:p>
        </w:tc>
        <w:tc>
          <w:tcPr>
            <w:tcW w:w="1199" w:type="dxa"/>
            <w:tcBorders>
              <w:top w:val="single" w:sz="4" w:space="0" w:color="auto"/>
              <w:left w:val="nil"/>
              <w:bottom w:val="single" w:sz="4" w:space="0" w:color="auto"/>
              <w:right w:val="nil"/>
            </w:tcBorders>
            <w:vAlign w:val="bottom"/>
          </w:tcPr>
          <w:p w14:paraId="618B7010" w14:textId="77777777" w:rsidR="001E30FF" w:rsidRPr="006911F3" w:rsidRDefault="001E30FF" w:rsidP="001E30FF">
            <w:pPr>
              <w:pStyle w:val="TableText"/>
              <w:tabs>
                <w:tab w:val="left" w:pos="3306"/>
              </w:tabs>
              <w:jc w:val="right"/>
              <w:rPr>
                <w:rFonts w:cs="Calibri"/>
              </w:rPr>
            </w:pPr>
          </w:p>
        </w:tc>
      </w:tr>
      <w:tr w:rsidR="001E30FF" w:rsidRPr="00CF7E1B" w14:paraId="326E655F" w14:textId="77777777" w:rsidTr="004D1EC6">
        <w:tc>
          <w:tcPr>
            <w:tcW w:w="1563" w:type="dxa"/>
            <w:tcBorders>
              <w:top w:val="nil"/>
              <w:left w:val="single" w:sz="2" w:space="0" w:color="auto"/>
              <w:bottom w:val="nil"/>
              <w:right w:val="single" w:sz="2" w:space="0" w:color="auto"/>
            </w:tcBorders>
          </w:tcPr>
          <w:p w14:paraId="5047F0E2" w14:textId="77777777" w:rsidR="001E30FF" w:rsidRPr="006911F3" w:rsidRDefault="001E30FF" w:rsidP="001E30FF">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72F0F892" w14:textId="77777777" w:rsidR="001E30FF" w:rsidRPr="006911F3" w:rsidRDefault="001E30FF" w:rsidP="001E30FF">
            <w:pPr>
              <w:pStyle w:val="TableText"/>
              <w:tabs>
                <w:tab w:val="left" w:pos="3306"/>
              </w:tabs>
              <w:rPr>
                <w:rFonts w:cs="Calibri"/>
                <w:b/>
                <w:bCs/>
              </w:rPr>
            </w:pPr>
            <w:bookmarkStart w:id="262" w:name="_Toc48468250"/>
            <w:bookmarkStart w:id="263" w:name="_Toc49223892"/>
            <w:r w:rsidRPr="006911F3">
              <w:rPr>
                <w:rFonts w:cs="Calibri"/>
                <w:b/>
                <w:bCs/>
              </w:rPr>
              <w:t xml:space="preserve">Total </w:t>
            </w:r>
            <w:bookmarkEnd w:id="262"/>
            <w:bookmarkEnd w:id="263"/>
            <w:r w:rsidRPr="006911F3">
              <w:rPr>
                <w:rFonts w:cs="Calibri"/>
                <w:b/>
                <w:bCs/>
              </w:rPr>
              <w:t>Income</w:t>
            </w:r>
          </w:p>
        </w:tc>
        <w:tc>
          <w:tcPr>
            <w:tcW w:w="1221" w:type="dxa"/>
            <w:tcBorders>
              <w:top w:val="single" w:sz="4" w:space="0" w:color="auto"/>
              <w:left w:val="nil"/>
              <w:bottom w:val="single" w:sz="4" w:space="0" w:color="auto"/>
              <w:right w:val="nil"/>
            </w:tcBorders>
            <w:vAlign w:val="bottom"/>
          </w:tcPr>
          <w:p w14:paraId="217CFD84" w14:textId="77777777" w:rsidR="001E30FF" w:rsidRPr="006911F3" w:rsidRDefault="001E30FF" w:rsidP="001E30FF">
            <w:pPr>
              <w:pStyle w:val="TableText"/>
              <w:tabs>
                <w:tab w:val="left" w:pos="3306"/>
              </w:tabs>
              <w:jc w:val="right"/>
              <w:rPr>
                <w:rFonts w:cs="Calibri"/>
                <w:b/>
                <w:bCs/>
              </w:rPr>
            </w:pPr>
          </w:p>
        </w:tc>
        <w:tc>
          <w:tcPr>
            <w:tcW w:w="1240" w:type="dxa"/>
            <w:tcBorders>
              <w:top w:val="single" w:sz="4" w:space="0" w:color="auto"/>
              <w:left w:val="nil"/>
              <w:bottom w:val="single" w:sz="4" w:space="0" w:color="auto"/>
              <w:right w:val="nil"/>
            </w:tcBorders>
            <w:vAlign w:val="bottom"/>
          </w:tcPr>
          <w:p w14:paraId="531669D3" w14:textId="77777777" w:rsidR="001E30FF" w:rsidRPr="006911F3" w:rsidRDefault="001E30FF" w:rsidP="001E30FF">
            <w:pPr>
              <w:pStyle w:val="TableText"/>
              <w:tabs>
                <w:tab w:val="left" w:pos="3306"/>
              </w:tabs>
              <w:jc w:val="right"/>
              <w:rPr>
                <w:rFonts w:cs="Calibri"/>
                <w:b/>
                <w:bCs/>
              </w:rPr>
            </w:pPr>
          </w:p>
        </w:tc>
        <w:tc>
          <w:tcPr>
            <w:tcW w:w="1199" w:type="dxa"/>
            <w:tcBorders>
              <w:top w:val="single" w:sz="4" w:space="0" w:color="auto"/>
              <w:left w:val="nil"/>
              <w:bottom w:val="single" w:sz="4" w:space="0" w:color="auto"/>
              <w:right w:val="nil"/>
            </w:tcBorders>
            <w:vAlign w:val="bottom"/>
          </w:tcPr>
          <w:p w14:paraId="1DE69853" w14:textId="77777777" w:rsidR="001E30FF" w:rsidRPr="006911F3" w:rsidRDefault="001E30FF" w:rsidP="001E30FF">
            <w:pPr>
              <w:pStyle w:val="TableText"/>
              <w:tabs>
                <w:tab w:val="left" w:pos="3306"/>
              </w:tabs>
              <w:jc w:val="right"/>
              <w:rPr>
                <w:rFonts w:cs="Calibri"/>
                <w:b/>
                <w:bCs/>
              </w:rPr>
            </w:pPr>
          </w:p>
        </w:tc>
      </w:tr>
      <w:tr w:rsidR="001E30FF" w:rsidRPr="00CF7E1B" w14:paraId="2A3B5F0D" w14:textId="77777777" w:rsidTr="004D1EC6">
        <w:tc>
          <w:tcPr>
            <w:tcW w:w="1563" w:type="dxa"/>
            <w:tcBorders>
              <w:top w:val="nil"/>
              <w:left w:val="single" w:sz="2" w:space="0" w:color="auto"/>
              <w:bottom w:val="nil"/>
              <w:right w:val="single" w:sz="2" w:space="0" w:color="auto"/>
            </w:tcBorders>
          </w:tcPr>
          <w:p w14:paraId="5033B059" w14:textId="77777777" w:rsidR="001E30FF" w:rsidRPr="006911F3" w:rsidRDefault="001E30FF" w:rsidP="001E30FF">
            <w:pPr>
              <w:pStyle w:val="TableReference"/>
              <w:tabs>
                <w:tab w:val="left" w:pos="3306"/>
              </w:tabs>
              <w:spacing w:before="40"/>
              <w:rPr>
                <w:rFonts w:cs="Calibri"/>
                <w:color w:val="7030A0"/>
                <w:sz w:val="14"/>
              </w:rPr>
            </w:pPr>
          </w:p>
        </w:tc>
        <w:tc>
          <w:tcPr>
            <w:tcW w:w="5321" w:type="dxa"/>
            <w:tcBorders>
              <w:top w:val="nil"/>
              <w:left w:val="single" w:sz="2" w:space="0" w:color="auto"/>
              <w:bottom w:val="nil"/>
              <w:right w:val="nil"/>
            </w:tcBorders>
            <w:vAlign w:val="bottom"/>
          </w:tcPr>
          <w:p w14:paraId="6A012111" w14:textId="77777777" w:rsidR="001E30FF" w:rsidRPr="006911F3" w:rsidRDefault="001E30FF" w:rsidP="001E30FF">
            <w:pPr>
              <w:pStyle w:val="TableText"/>
              <w:tabs>
                <w:tab w:val="left" w:pos="3306"/>
              </w:tabs>
              <w:rPr>
                <w:rFonts w:cs="Calibri"/>
                <w:sz w:val="16"/>
                <w:szCs w:val="16"/>
              </w:rPr>
            </w:pPr>
          </w:p>
        </w:tc>
        <w:tc>
          <w:tcPr>
            <w:tcW w:w="1221" w:type="dxa"/>
            <w:tcBorders>
              <w:top w:val="single" w:sz="4" w:space="0" w:color="auto"/>
              <w:left w:val="nil"/>
              <w:bottom w:val="nil"/>
              <w:right w:val="nil"/>
            </w:tcBorders>
            <w:vAlign w:val="bottom"/>
          </w:tcPr>
          <w:p w14:paraId="485E881B" w14:textId="77777777" w:rsidR="001E30FF" w:rsidRPr="006911F3" w:rsidRDefault="001E30FF" w:rsidP="001E30FF">
            <w:pPr>
              <w:pStyle w:val="TableText"/>
              <w:tabs>
                <w:tab w:val="left" w:pos="3306"/>
              </w:tabs>
              <w:jc w:val="right"/>
              <w:rPr>
                <w:rFonts w:cs="Calibri"/>
                <w:sz w:val="16"/>
                <w:szCs w:val="16"/>
              </w:rPr>
            </w:pPr>
          </w:p>
        </w:tc>
        <w:tc>
          <w:tcPr>
            <w:tcW w:w="1240" w:type="dxa"/>
            <w:tcBorders>
              <w:top w:val="single" w:sz="4" w:space="0" w:color="auto"/>
              <w:left w:val="nil"/>
              <w:bottom w:val="nil"/>
              <w:right w:val="nil"/>
            </w:tcBorders>
            <w:vAlign w:val="bottom"/>
          </w:tcPr>
          <w:p w14:paraId="6D98421B" w14:textId="77777777" w:rsidR="001E30FF" w:rsidRPr="006911F3" w:rsidRDefault="001E30FF" w:rsidP="001E30FF">
            <w:pPr>
              <w:pStyle w:val="TableText"/>
              <w:tabs>
                <w:tab w:val="left" w:pos="3306"/>
              </w:tabs>
              <w:jc w:val="right"/>
              <w:rPr>
                <w:rFonts w:cs="Calibri"/>
                <w:sz w:val="16"/>
                <w:szCs w:val="16"/>
              </w:rPr>
            </w:pPr>
          </w:p>
        </w:tc>
        <w:tc>
          <w:tcPr>
            <w:tcW w:w="1199" w:type="dxa"/>
            <w:tcBorders>
              <w:top w:val="single" w:sz="4" w:space="0" w:color="auto"/>
              <w:left w:val="nil"/>
              <w:bottom w:val="nil"/>
              <w:right w:val="nil"/>
            </w:tcBorders>
            <w:vAlign w:val="bottom"/>
          </w:tcPr>
          <w:p w14:paraId="052CFEE6" w14:textId="77777777" w:rsidR="001E30FF" w:rsidRPr="006911F3" w:rsidRDefault="001E30FF" w:rsidP="001E30FF">
            <w:pPr>
              <w:pStyle w:val="TableText"/>
              <w:tabs>
                <w:tab w:val="left" w:pos="3306"/>
              </w:tabs>
              <w:jc w:val="right"/>
              <w:rPr>
                <w:rFonts w:cs="Calibri"/>
                <w:sz w:val="16"/>
                <w:szCs w:val="16"/>
              </w:rPr>
            </w:pPr>
          </w:p>
        </w:tc>
      </w:tr>
      <w:tr w:rsidR="001E30FF" w:rsidRPr="00CF7E1B" w14:paraId="4D2B6CF5" w14:textId="77777777" w:rsidTr="004D1EC6">
        <w:tc>
          <w:tcPr>
            <w:tcW w:w="1563" w:type="dxa"/>
            <w:tcBorders>
              <w:top w:val="nil"/>
              <w:left w:val="single" w:sz="2" w:space="0" w:color="auto"/>
              <w:bottom w:val="nil"/>
              <w:right w:val="single" w:sz="2" w:space="0" w:color="auto"/>
            </w:tcBorders>
          </w:tcPr>
          <w:p w14:paraId="42BA309E" w14:textId="77777777" w:rsidR="001E30FF" w:rsidRPr="006911F3" w:rsidRDefault="001E30FF" w:rsidP="001E30FF">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1" w:type="dxa"/>
            <w:tcBorders>
              <w:top w:val="nil"/>
              <w:left w:val="single" w:sz="2" w:space="0" w:color="auto"/>
              <w:bottom w:val="nil"/>
              <w:right w:val="nil"/>
            </w:tcBorders>
            <w:vAlign w:val="bottom"/>
          </w:tcPr>
          <w:p w14:paraId="7BE7EE65" w14:textId="1875C5D7" w:rsidR="001E30FF" w:rsidRPr="006911F3" w:rsidRDefault="001E30FF" w:rsidP="001E30FF">
            <w:pPr>
              <w:pStyle w:val="TableText"/>
              <w:tabs>
                <w:tab w:val="left" w:pos="3306"/>
              </w:tabs>
              <w:rPr>
                <w:rFonts w:cs="Calibri"/>
                <w:b/>
                <w:bCs/>
              </w:rPr>
            </w:pPr>
            <w:bookmarkStart w:id="264" w:name="_Toc48468251"/>
            <w:bookmarkStart w:id="265" w:name="_Toc49155438"/>
            <w:bookmarkStart w:id="266" w:name="_Toc49223893"/>
            <w:r w:rsidRPr="006911F3">
              <w:rPr>
                <w:rFonts w:cs="Calibri"/>
                <w:b/>
                <w:bCs/>
              </w:rPr>
              <w:t>Expenses</w:t>
            </w:r>
            <w:bookmarkEnd w:id="264"/>
            <w:bookmarkEnd w:id="265"/>
            <w:bookmarkEnd w:id="266"/>
            <w:r w:rsidR="00FA7C77">
              <w:rPr>
                <w:rFonts w:cs="Calibri"/>
                <w:b/>
                <w:bCs/>
              </w:rPr>
              <w:t xml:space="preserve"> </w:t>
            </w:r>
          </w:p>
        </w:tc>
        <w:tc>
          <w:tcPr>
            <w:tcW w:w="1221" w:type="dxa"/>
            <w:tcBorders>
              <w:top w:val="nil"/>
              <w:left w:val="nil"/>
              <w:bottom w:val="nil"/>
              <w:right w:val="nil"/>
            </w:tcBorders>
            <w:vAlign w:val="bottom"/>
          </w:tcPr>
          <w:p w14:paraId="0BB18019"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338BE5AC"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18F6BFDE" w14:textId="77777777" w:rsidR="001E30FF" w:rsidRPr="006911F3" w:rsidRDefault="001E30FF" w:rsidP="001E30FF">
            <w:pPr>
              <w:pStyle w:val="TableText"/>
              <w:tabs>
                <w:tab w:val="left" w:pos="3306"/>
              </w:tabs>
              <w:jc w:val="right"/>
              <w:rPr>
                <w:rFonts w:cs="Calibri"/>
              </w:rPr>
            </w:pPr>
          </w:p>
        </w:tc>
      </w:tr>
      <w:tr w:rsidR="001E30FF" w:rsidRPr="00CF7E1B" w14:paraId="34039322" w14:textId="77777777" w:rsidTr="004D1EC6">
        <w:tc>
          <w:tcPr>
            <w:tcW w:w="1563" w:type="dxa"/>
            <w:tcBorders>
              <w:top w:val="nil"/>
              <w:left w:val="single" w:sz="2" w:space="0" w:color="auto"/>
              <w:bottom w:val="nil"/>
              <w:right w:val="single" w:sz="2" w:space="0" w:color="auto"/>
            </w:tcBorders>
          </w:tcPr>
          <w:p w14:paraId="15FFCD85"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117C2AFB" w14:textId="77777777" w:rsidR="001E30FF" w:rsidRPr="006911F3" w:rsidRDefault="001E30FF" w:rsidP="001E30FF">
            <w:pPr>
              <w:pStyle w:val="TableText"/>
              <w:tabs>
                <w:tab w:val="left" w:pos="3306"/>
              </w:tabs>
              <w:rPr>
                <w:rFonts w:cs="Calibri"/>
              </w:rPr>
            </w:pPr>
            <w:r w:rsidRPr="006911F3">
              <w:rPr>
                <w:rFonts w:cs="Calibri"/>
              </w:rPr>
              <w:t>Employee Expenses</w:t>
            </w:r>
          </w:p>
        </w:tc>
        <w:tc>
          <w:tcPr>
            <w:tcW w:w="1221" w:type="dxa"/>
            <w:tcBorders>
              <w:top w:val="nil"/>
              <w:left w:val="nil"/>
              <w:bottom w:val="nil"/>
              <w:right w:val="nil"/>
            </w:tcBorders>
            <w:vAlign w:val="bottom"/>
          </w:tcPr>
          <w:p w14:paraId="6389937B"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2FEBCDA5"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043D055E" w14:textId="77777777" w:rsidR="001E30FF" w:rsidRPr="006911F3" w:rsidRDefault="001E30FF" w:rsidP="001E30FF">
            <w:pPr>
              <w:pStyle w:val="TableText"/>
              <w:tabs>
                <w:tab w:val="left" w:pos="3306"/>
              </w:tabs>
              <w:jc w:val="right"/>
              <w:rPr>
                <w:rFonts w:cs="Calibri"/>
              </w:rPr>
            </w:pPr>
          </w:p>
        </w:tc>
      </w:tr>
      <w:tr w:rsidR="001E30FF" w:rsidRPr="00CF7E1B" w14:paraId="6ED4126C" w14:textId="77777777" w:rsidTr="004D1EC6">
        <w:tc>
          <w:tcPr>
            <w:tcW w:w="1563" w:type="dxa"/>
            <w:tcBorders>
              <w:top w:val="nil"/>
              <w:left w:val="single" w:sz="2" w:space="0" w:color="auto"/>
              <w:bottom w:val="nil"/>
              <w:right w:val="single" w:sz="2" w:space="0" w:color="auto"/>
            </w:tcBorders>
          </w:tcPr>
          <w:p w14:paraId="08304ABC"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3FAFB76F" w14:textId="77777777" w:rsidR="001E30FF" w:rsidRPr="006911F3" w:rsidRDefault="001E30FF" w:rsidP="001E30FF">
            <w:pPr>
              <w:pStyle w:val="TableText"/>
              <w:tabs>
                <w:tab w:val="left" w:pos="3306"/>
              </w:tabs>
              <w:rPr>
                <w:rFonts w:cs="Calibri"/>
              </w:rPr>
            </w:pPr>
            <w:r w:rsidRPr="006911F3">
              <w:rPr>
                <w:rFonts w:cs="Calibri"/>
              </w:rPr>
              <w:t>Superannuation Expenses</w:t>
            </w:r>
          </w:p>
        </w:tc>
        <w:tc>
          <w:tcPr>
            <w:tcW w:w="1221" w:type="dxa"/>
            <w:tcBorders>
              <w:top w:val="nil"/>
              <w:left w:val="nil"/>
              <w:bottom w:val="nil"/>
              <w:right w:val="nil"/>
            </w:tcBorders>
            <w:vAlign w:val="bottom"/>
          </w:tcPr>
          <w:p w14:paraId="531CEC73"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17A7CA6D"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1B0D787D" w14:textId="77777777" w:rsidR="001E30FF" w:rsidRPr="006911F3" w:rsidRDefault="001E30FF" w:rsidP="001E30FF">
            <w:pPr>
              <w:pStyle w:val="TableText"/>
              <w:tabs>
                <w:tab w:val="left" w:pos="3306"/>
              </w:tabs>
              <w:jc w:val="right"/>
              <w:rPr>
                <w:rFonts w:cs="Calibri"/>
              </w:rPr>
            </w:pPr>
          </w:p>
        </w:tc>
      </w:tr>
      <w:tr w:rsidR="001E30FF" w:rsidRPr="00CF7E1B" w14:paraId="468D9C25" w14:textId="77777777" w:rsidTr="004D1EC6">
        <w:tc>
          <w:tcPr>
            <w:tcW w:w="1563" w:type="dxa"/>
            <w:tcBorders>
              <w:top w:val="nil"/>
              <w:left w:val="single" w:sz="2" w:space="0" w:color="auto"/>
              <w:bottom w:val="nil"/>
              <w:right w:val="single" w:sz="2" w:space="0" w:color="auto"/>
            </w:tcBorders>
          </w:tcPr>
          <w:p w14:paraId="58D3B038"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4C1C3F44" w14:textId="77777777" w:rsidR="001E30FF" w:rsidRPr="006911F3" w:rsidRDefault="001E30FF" w:rsidP="001E30FF">
            <w:pPr>
              <w:pStyle w:val="TableText"/>
              <w:tabs>
                <w:tab w:val="left" w:pos="3306"/>
              </w:tabs>
              <w:rPr>
                <w:rFonts w:cs="Calibri"/>
              </w:rPr>
            </w:pPr>
            <w:r w:rsidRPr="006911F3">
              <w:rPr>
                <w:rFonts w:cs="Calibri"/>
              </w:rPr>
              <w:t>Supplies and Services</w:t>
            </w:r>
          </w:p>
        </w:tc>
        <w:tc>
          <w:tcPr>
            <w:tcW w:w="1221" w:type="dxa"/>
            <w:tcBorders>
              <w:top w:val="nil"/>
              <w:left w:val="nil"/>
              <w:bottom w:val="nil"/>
              <w:right w:val="nil"/>
            </w:tcBorders>
            <w:vAlign w:val="bottom"/>
          </w:tcPr>
          <w:p w14:paraId="72B3F542"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7CD4D1D8"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0B8348D4" w14:textId="77777777" w:rsidR="001E30FF" w:rsidRPr="006911F3" w:rsidRDefault="001E30FF" w:rsidP="001E30FF">
            <w:pPr>
              <w:pStyle w:val="TableText"/>
              <w:tabs>
                <w:tab w:val="left" w:pos="3306"/>
              </w:tabs>
              <w:jc w:val="right"/>
              <w:rPr>
                <w:rFonts w:cs="Calibri"/>
              </w:rPr>
            </w:pPr>
          </w:p>
        </w:tc>
      </w:tr>
      <w:tr w:rsidR="001E30FF" w:rsidRPr="00CF7E1B" w14:paraId="0C4303E4" w14:textId="77777777" w:rsidTr="004D1EC6">
        <w:tc>
          <w:tcPr>
            <w:tcW w:w="1563" w:type="dxa"/>
            <w:tcBorders>
              <w:top w:val="nil"/>
              <w:left w:val="single" w:sz="2" w:space="0" w:color="auto"/>
              <w:bottom w:val="nil"/>
              <w:right w:val="single" w:sz="2" w:space="0" w:color="auto"/>
            </w:tcBorders>
          </w:tcPr>
          <w:p w14:paraId="41AC1AF2"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02929826" w14:textId="77777777" w:rsidR="001E30FF" w:rsidRPr="006911F3" w:rsidRDefault="001E30FF" w:rsidP="001E30FF">
            <w:pPr>
              <w:pStyle w:val="TableText"/>
              <w:tabs>
                <w:tab w:val="left" w:pos="3306"/>
              </w:tabs>
              <w:rPr>
                <w:rFonts w:cs="Calibri"/>
              </w:rPr>
            </w:pPr>
            <w:r w:rsidRPr="006911F3">
              <w:rPr>
                <w:rFonts w:cs="Calibri"/>
              </w:rPr>
              <w:t>Depreciation and Amortisation</w:t>
            </w:r>
          </w:p>
        </w:tc>
        <w:tc>
          <w:tcPr>
            <w:tcW w:w="1221" w:type="dxa"/>
            <w:tcBorders>
              <w:top w:val="nil"/>
              <w:left w:val="nil"/>
              <w:bottom w:val="nil"/>
              <w:right w:val="nil"/>
            </w:tcBorders>
            <w:vAlign w:val="bottom"/>
          </w:tcPr>
          <w:p w14:paraId="4CE3A24D"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53D63C2A"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5CCF0015" w14:textId="77777777" w:rsidR="001E30FF" w:rsidRPr="006911F3" w:rsidRDefault="001E30FF" w:rsidP="001E30FF">
            <w:pPr>
              <w:pStyle w:val="TableText"/>
              <w:tabs>
                <w:tab w:val="left" w:pos="3306"/>
              </w:tabs>
              <w:jc w:val="right"/>
              <w:rPr>
                <w:rFonts w:cs="Calibri"/>
              </w:rPr>
            </w:pPr>
          </w:p>
        </w:tc>
      </w:tr>
      <w:tr w:rsidR="001E30FF" w:rsidRPr="00CF7E1B" w14:paraId="4380C083" w14:textId="77777777" w:rsidTr="004D1EC6">
        <w:tc>
          <w:tcPr>
            <w:tcW w:w="1563" w:type="dxa"/>
            <w:tcBorders>
              <w:top w:val="nil"/>
              <w:left w:val="single" w:sz="2" w:space="0" w:color="auto"/>
              <w:bottom w:val="nil"/>
              <w:right w:val="single" w:sz="2" w:space="0" w:color="auto"/>
            </w:tcBorders>
          </w:tcPr>
          <w:p w14:paraId="01F908A4"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49CD21A4" w14:textId="77777777" w:rsidR="001E30FF" w:rsidRPr="006911F3" w:rsidRDefault="001E30FF" w:rsidP="001E30FF">
            <w:pPr>
              <w:pStyle w:val="TableText"/>
              <w:tabs>
                <w:tab w:val="left" w:pos="3306"/>
              </w:tabs>
              <w:rPr>
                <w:rFonts w:cs="Calibri"/>
              </w:rPr>
            </w:pPr>
            <w:r w:rsidRPr="006911F3">
              <w:rPr>
                <w:rFonts w:cs="Calibri"/>
              </w:rPr>
              <w:t>Grants and Purchased Services</w:t>
            </w:r>
          </w:p>
        </w:tc>
        <w:tc>
          <w:tcPr>
            <w:tcW w:w="1221" w:type="dxa"/>
            <w:tcBorders>
              <w:top w:val="nil"/>
              <w:left w:val="nil"/>
              <w:bottom w:val="nil"/>
              <w:right w:val="nil"/>
            </w:tcBorders>
            <w:vAlign w:val="bottom"/>
          </w:tcPr>
          <w:p w14:paraId="5D9074E8"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09E1E172"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39927AE0" w14:textId="77777777" w:rsidR="001E30FF" w:rsidRPr="006911F3" w:rsidRDefault="001E30FF" w:rsidP="001E30FF">
            <w:pPr>
              <w:pStyle w:val="TableText"/>
              <w:tabs>
                <w:tab w:val="left" w:pos="3306"/>
              </w:tabs>
              <w:jc w:val="right"/>
              <w:rPr>
                <w:rFonts w:cs="Calibri"/>
              </w:rPr>
            </w:pPr>
          </w:p>
        </w:tc>
      </w:tr>
      <w:tr w:rsidR="001E30FF" w:rsidRPr="00CF7E1B" w14:paraId="2646396A" w14:textId="77777777" w:rsidTr="004D1EC6">
        <w:tc>
          <w:tcPr>
            <w:tcW w:w="1563" w:type="dxa"/>
            <w:tcBorders>
              <w:top w:val="nil"/>
              <w:left w:val="single" w:sz="2" w:space="0" w:color="auto"/>
              <w:bottom w:val="nil"/>
              <w:right w:val="single" w:sz="2" w:space="0" w:color="auto"/>
            </w:tcBorders>
          </w:tcPr>
          <w:p w14:paraId="3D6632F6"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14BDEB40" w14:textId="77777777" w:rsidR="001E30FF" w:rsidRPr="006911F3" w:rsidRDefault="001E30FF" w:rsidP="001E30FF">
            <w:pPr>
              <w:pStyle w:val="TableText"/>
              <w:tabs>
                <w:tab w:val="left" w:pos="3306"/>
              </w:tabs>
              <w:rPr>
                <w:rFonts w:cs="Calibri"/>
              </w:rPr>
            </w:pPr>
            <w:r w:rsidRPr="006911F3">
              <w:rPr>
                <w:rFonts w:cs="Calibri"/>
              </w:rPr>
              <w:t>Borrowing Costs</w:t>
            </w:r>
          </w:p>
        </w:tc>
        <w:tc>
          <w:tcPr>
            <w:tcW w:w="1221" w:type="dxa"/>
            <w:tcBorders>
              <w:top w:val="nil"/>
              <w:left w:val="nil"/>
              <w:bottom w:val="nil"/>
              <w:right w:val="nil"/>
            </w:tcBorders>
            <w:vAlign w:val="bottom"/>
          </w:tcPr>
          <w:p w14:paraId="54F6AE98"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nil"/>
              <w:right w:val="nil"/>
            </w:tcBorders>
            <w:vAlign w:val="bottom"/>
          </w:tcPr>
          <w:p w14:paraId="1694EDD7"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nil"/>
              <w:right w:val="nil"/>
            </w:tcBorders>
            <w:vAlign w:val="bottom"/>
          </w:tcPr>
          <w:p w14:paraId="6A7504CE" w14:textId="77777777" w:rsidR="001E30FF" w:rsidRPr="006911F3" w:rsidRDefault="001E30FF" w:rsidP="001E30FF">
            <w:pPr>
              <w:pStyle w:val="TableText"/>
              <w:tabs>
                <w:tab w:val="left" w:pos="3306"/>
              </w:tabs>
              <w:jc w:val="right"/>
              <w:rPr>
                <w:rFonts w:cs="Calibri"/>
              </w:rPr>
            </w:pPr>
          </w:p>
        </w:tc>
      </w:tr>
      <w:tr w:rsidR="001E30FF" w:rsidRPr="00CF7E1B" w14:paraId="3DEEDF9A" w14:textId="77777777" w:rsidTr="004D1EC6">
        <w:tc>
          <w:tcPr>
            <w:tcW w:w="1563" w:type="dxa"/>
            <w:tcBorders>
              <w:top w:val="nil"/>
              <w:left w:val="single" w:sz="2" w:space="0" w:color="auto"/>
              <w:bottom w:val="nil"/>
              <w:right w:val="single" w:sz="2" w:space="0" w:color="auto"/>
            </w:tcBorders>
          </w:tcPr>
          <w:p w14:paraId="6F156488" w14:textId="77777777" w:rsidR="001E30FF" w:rsidRPr="006911F3" w:rsidRDefault="001E30FF" w:rsidP="001E30FF">
            <w:pPr>
              <w:pStyle w:val="TableReference"/>
              <w:tabs>
                <w:tab w:val="left" w:pos="3306"/>
              </w:tabs>
              <w:spacing w:before="60"/>
              <w:rPr>
                <w:rFonts w:cs="Calibri"/>
                <w:color w:val="7030A0"/>
                <w:sz w:val="14"/>
              </w:rPr>
            </w:pPr>
            <w:r w:rsidRPr="006911F3">
              <w:rPr>
                <w:rFonts w:cs="Calibri"/>
                <w:color w:val="7030A0"/>
                <w:sz w:val="14"/>
              </w:rPr>
              <w:t>AASB 1052.15(c)</w:t>
            </w:r>
          </w:p>
        </w:tc>
        <w:tc>
          <w:tcPr>
            <w:tcW w:w="5321" w:type="dxa"/>
            <w:tcBorders>
              <w:top w:val="nil"/>
              <w:left w:val="single" w:sz="2" w:space="0" w:color="auto"/>
              <w:bottom w:val="nil"/>
              <w:right w:val="nil"/>
            </w:tcBorders>
            <w:vAlign w:val="bottom"/>
          </w:tcPr>
          <w:p w14:paraId="22BEAB1F" w14:textId="77777777" w:rsidR="001E30FF" w:rsidRPr="006911F3" w:rsidRDefault="001E30FF" w:rsidP="001E30FF">
            <w:pPr>
              <w:pStyle w:val="TableText"/>
              <w:tabs>
                <w:tab w:val="left" w:pos="3306"/>
              </w:tabs>
              <w:rPr>
                <w:rFonts w:cs="Calibri"/>
              </w:rPr>
            </w:pPr>
            <w:r w:rsidRPr="006911F3">
              <w:rPr>
                <w:rFonts w:cs="Calibri"/>
              </w:rPr>
              <w:t>Other Expenses</w:t>
            </w:r>
          </w:p>
        </w:tc>
        <w:tc>
          <w:tcPr>
            <w:tcW w:w="1221" w:type="dxa"/>
            <w:tcBorders>
              <w:top w:val="nil"/>
              <w:left w:val="nil"/>
              <w:bottom w:val="single" w:sz="4" w:space="0" w:color="auto"/>
              <w:right w:val="nil"/>
            </w:tcBorders>
            <w:vAlign w:val="bottom"/>
          </w:tcPr>
          <w:p w14:paraId="07B78587" w14:textId="77777777" w:rsidR="001E30FF" w:rsidRPr="006911F3" w:rsidRDefault="001E30FF" w:rsidP="001E30FF">
            <w:pPr>
              <w:pStyle w:val="TableText"/>
              <w:tabs>
                <w:tab w:val="left" w:pos="3306"/>
              </w:tabs>
              <w:jc w:val="right"/>
              <w:rPr>
                <w:rFonts w:cs="Calibri"/>
              </w:rPr>
            </w:pPr>
          </w:p>
        </w:tc>
        <w:tc>
          <w:tcPr>
            <w:tcW w:w="1240" w:type="dxa"/>
            <w:tcBorders>
              <w:top w:val="nil"/>
              <w:left w:val="nil"/>
              <w:bottom w:val="single" w:sz="4" w:space="0" w:color="auto"/>
              <w:right w:val="nil"/>
            </w:tcBorders>
            <w:vAlign w:val="bottom"/>
          </w:tcPr>
          <w:p w14:paraId="268A478A" w14:textId="77777777" w:rsidR="001E30FF" w:rsidRPr="006911F3" w:rsidRDefault="001E30FF" w:rsidP="001E30FF">
            <w:pPr>
              <w:pStyle w:val="TableText"/>
              <w:tabs>
                <w:tab w:val="left" w:pos="3306"/>
              </w:tabs>
              <w:jc w:val="right"/>
              <w:rPr>
                <w:rFonts w:cs="Calibri"/>
              </w:rPr>
            </w:pPr>
          </w:p>
        </w:tc>
        <w:tc>
          <w:tcPr>
            <w:tcW w:w="1199" w:type="dxa"/>
            <w:tcBorders>
              <w:top w:val="nil"/>
              <w:left w:val="nil"/>
              <w:bottom w:val="single" w:sz="4" w:space="0" w:color="auto"/>
              <w:right w:val="nil"/>
            </w:tcBorders>
            <w:vAlign w:val="bottom"/>
          </w:tcPr>
          <w:p w14:paraId="21E73527" w14:textId="77777777" w:rsidR="001E30FF" w:rsidRPr="006911F3" w:rsidRDefault="001E30FF" w:rsidP="001E30FF">
            <w:pPr>
              <w:pStyle w:val="TableText"/>
              <w:tabs>
                <w:tab w:val="left" w:pos="3306"/>
              </w:tabs>
              <w:jc w:val="right"/>
              <w:rPr>
                <w:rFonts w:cs="Calibri"/>
              </w:rPr>
            </w:pPr>
          </w:p>
        </w:tc>
      </w:tr>
      <w:tr w:rsidR="001E30FF" w:rsidRPr="00CF7E1B" w14:paraId="2FA5FB70" w14:textId="77777777" w:rsidTr="004D1EC6">
        <w:tc>
          <w:tcPr>
            <w:tcW w:w="1563" w:type="dxa"/>
            <w:tcBorders>
              <w:top w:val="nil"/>
              <w:left w:val="single" w:sz="2" w:space="0" w:color="auto"/>
              <w:bottom w:val="nil"/>
              <w:right w:val="single" w:sz="2" w:space="0" w:color="auto"/>
            </w:tcBorders>
          </w:tcPr>
          <w:p w14:paraId="1004E6E6" w14:textId="77777777" w:rsidR="001E30FF" w:rsidRPr="006911F3" w:rsidRDefault="001E30FF" w:rsidP="001E30FF">
            <w:pPr>
              <w:pStyle w:val="TableReference"/>
              <w:tabs>
                <w:tab w:val="left" w:pos="3306"/>
              </w:tabs>
              <w:spacing w:before="40"/>
              <w:rPr>
                <w:rFonts w:cs="Calibri"/>
                <w:color w:val="7030A0"/>
                <w:sz w:val="16"/>
                <w:szCs w:val="16"/>
              </w:rPr>
            </w:pPr>
          </w:p>
        </w:tc>
        <w:tc>
          <w:tcPr>
            <w:tcW w:w="5321" w:type="dxa"/>
            <w:tcBorders>
              <w:top w:val="nil"/>
              <w:left w:val="single" w:sz="2" w:space="0" w:color="auto"/>
              <w:bottom w:val="nil"/>
              <w:right w:val="nil"/>
            </w:tcBorders>
            <w:vAlign w:val="bottom"/>
          </w:tcPr>
          <w:p w14:paraId="271AB1C4" w14:textId="77777777" w:rsidR="001E30FF" w:rsidRPr="006911F3" w:rsidRDefault="001E30FF" w:rsidP="001E30FF">
            <w:pPr>
              <w:pStyle w:val="TableText"/>
              <w:tabs>
                <w:tab w:val="left" w:pos="3306"/>
              </w:tabs>
              <w:rPr>
                <w:rFonts w:cs="Calibri"/>
                <w:b/>
                <w:bCs/>
              </w:rPr>
            </w:pPr>
            <w:bookmarkStart w:id="267" w:name="_Toc48468252"/>
            <w:bookmarkStart w:id="268" w:name="_Toc49223894"/>
            <w:r w:rsidRPr="006911F3">
              <w:rPr>
                <w:rFonts w:cs="Calibri"/>
                <w:b/>
                <w:bCs/>
              </w:rPr>
              <w:t>Total Expenses</w:t>
            </w:r>
            <w:bookmarkEnd w:id="267"/>
            <w:bookmarkEnd w:id="268"/>
          </w:p>
        </w:tc>
        <w:tc>
          <w:tcPr>
            <w:tcW w:w="1221" w:type="dxa"/>
            <w:tcBorders>
              <w:top w:val="single" w:sz="4" w:space="0" w:color="auto"/>
              <w:left w:val="nil"/>
              <w:bottom w:val="single" w:sz="4" w:space="0" w:color="auto"/>
              <w:right w:val="nil"/>
            </w:tcBorders>
            <w:vAlign w:val="bottom"/>
          </w:tcPr>
          <w:p w14:paraId="4622661F" w14:textId="77777777" w:rsidR="001E30FF" w:rsidRPr="006911F3" w:rsidRDefault="001E30FF" w:rsidP="001E30FF">
            <w:pPr>
              <w:pStyle w:val="TableText"/>
              <w:tabs>
                <w:tab w:val="left" w:pos="3306"/>
              </w:tabs>
              <w:jc w:val="right"/>
              <w:rPr>
                <w:rFonts w:cs="Calibri"/>
                <w:b/>
                <w:bCs/>
              </w:rPr>
            </w:pPr>
          </w:p>
        </w:tc>
        <w:tc>
          <w:tcPr>
            <w:tcW w:w="1240" w:type="dxa"/>
            <w:tcBorders>
              <w:top w:val="single" w:sz="4" w:space="0" w:color="auto"/>
              <w:left w:val="nil"/>
              <w:bottom w:val="single" w:sz="4" w:space="0" w:color="auto"/>
              <w:right w:val="nil"/>
            </w:tcBorders>
            <w:vAlign w:val="bottom"/>
          </w:tcPr>
          <w:p w14:paraId="30B49CC3" w14:textId="77777777" w:rsidR="001E30FF" w:rsidRPr="006911F3" w:rsidRDefault="001E30FF" w:rsidP="001E30FF">
            <w:pPr>
              <w:pStyle w:val="TableText"/>
              <w:tabs>
                <w:tab w:val="left" w:pos="3306"/>
              </w:tabs>
              <w:jc w:val="right"/>
              <w:rPr>
                <w:rFonts w:cs="Calibri"/>
                <w:b/>
                <w:bCs/>
              </w:rPr>
            </w:pPr>
          </w:p>
        </w:tc>
        <w:tc>
          <w:tcPr>
            <w:tcW w:w="1199" w:type="dxa"/>
            <w:tcBorders>
              <w:top w:val="single" w:sz="4" w:space="0" w:color="auto"/>
              <w:left w:val="nil"/>
              <w:bottom w:val="single" w:sz="4" w:space="0" w:color="auto"/>
              <w:right w:val="nil"/>
            </w:tcBorders>
            <w:vAlign w:val="bottom"/>
          </w:tcPr>
          <w:p w14:paraId="1BEEB517" w14:textId="77777777" w:rsidR="001E30FF" w:rsidRPr="006911F3" w:rsidRDefault="001E30FF" w:rsidP="001E30FF">
            <w:pPr>
              <w:pStyle w:val="TableText"/>
              <w:tabs>
                <w:tab w:val="left" w:pos="3306"/>
              </w:tabs>
              <w:jc w:val="right"/>
              <w:rPr>
                <w:rFonts w:cs="Calibri"/>
                <w:b/>
                <w:bCs/>
              </w:rPr>
            </w:pPr>
          </w:p>
        </w:tc>
      </w:tr>
      <w:tr w:rsidR="001E30FF" w:rsidRPr="00CF7E1B" w14:paraId="615C2C20" w14:textId="77777777" w:rsidTr="004D1EC6">
        <w:tc>
          <w:tcPr>
            <w:tcW w:w="1563" w:type="dxa"/>
            <w:tcBorders>
              <w:top w:val="nil"/>
              <w:left w:val="single" w:sz="2" w:space="0" w:color="auto"/>
              <w:bottom w:val="nil"/>
              <w:right w:val="single" w:sz="2" w:space="0" w:color="auto"/>
            </w:tcBorders>
          </w:tcPr>
          <w:p w14:paraId="48C9049C" w14:textId="77777777" w:rsidR="001E30FF" w:rsidRPr="006911F3" w:rsidRDefault="001E30FF" w:rsidP="001E30FF">
            <w:pPr>
              <w:pStyle w:val="TableReference"/>
              <w:tabs>
                <w:tab w:val="left" w:pos="3306"/>
              </w:tabs>
              <w:spacing w:before="40"/>
              <w:rPr>
                <w:rFonts w:cs="Calibri"/>
                <w:color w:val="7030A0"/>
                <w:sz w:val="16"/>
                <w:szCs w:val="16"/>
              </w:rPr>
            </w:pPr>
          </w:p>
        </w:tc>
        <w:tc>
          <w:tcPr>
            <w:tcW w:w="5321" w:type="dxa"/>
            <w:tcBorders>
              <w:top w:val="nil"/>
              <w:left w:val="single" w:sz="2" w:space="0" w:color="auto"/>
              <w:bottom w:val="nil"/>
              <w:right w:val="nil"/>
            </w:tcBorders>
            <w:vAlign w:val="bottom"/>
          </w:tcPr>
          <w:p w14:paraId="62C2BCD2" w14:textId="43C43090" w:rsidR="001E30FF" w:rsidRPr="006911F3" w:rsidRDefault="001E30FF" w:rsidP="001E30FF">
            <w:pPr>
              <w:pStyle w:val="TableText"/>
              <w:tabs>
                <w:tab w:val="left" w:pos="3306"/>
              </w:tabs>
              <w:rPr>
                <w:rFonts w:cs="Calibri"/>
                <w:b/>
                <w:bCs/>
              </w:rPr>
            </w:pPr>
            <w:bookmarkStart w:id="269" w:name="_Toc48468254"/>
            <w:bookmarkStart w:id="270" w:name="_Toc49223896"/>
            <w:r w:rsidRPr="006911F3">
              <w:rPr>
                <w:rFonts w:cs="Calibri"/>
                <w:b/>
                <w:bCs/>
              </w:rPr>
              <w:t xml:space="preserve">Operating </w:t>
            </w:r>
            <w:r w:rsidR="00F91BB4" w:rsidRPr="006911F3">
              <w:rPr>
                <w:rFonts w:cs="Calibri"/>
                <w:b/>
                <w:bCs/>
              </w:rPr>
              <w:t xml:space="preserve">Result </w:t>
            </w:r>
            <w:bookmarkEnd w:id="269"/>
            <w:bookmarkEnd w:id="270"/>
          </w:p>
        </w:tc>
        <w:tc>
          <w:tcPr>
            <w:tcW w:w="1221" w:type="dxa"/>
            <w:tcBorders>
              <w:top w:val="single" w:sz="4" w:space="0" w:color="auto"/>
              <w:left w:val="nil"/>
              <w:bottom w:val="double" w:sz="4" w:space="0" w:color="auto"/>
              <w:right w:val="nil"/>
            </w:tcBorders>
            <w:vAlign w:val="bottom"/>
          </w:tcPr>
          <w:p w14:paraId="63D2B08F" w14:textId="77777777" w:rsidR="001E30FF" w:rsidRPr="006911F3" w:rsidRDefault="001E30FF" w:rsidP="001E30FF">
            <w:pPr>
              <w:pStyle w:val="TableText"/>
              <w:tabs>
                <w:tab w:val="left" w:pos="3306"/>
              </w:tabs>
              <w:jc w:val="right"/>
              <w:rPr>
                <w:rFonts w:cs="Calibri"/>
                <w:b/>
                <w:bCs/>
              </w:rPr>
            </w:pPr>
          </w:p>
        </w:tc>
        <w:tc>
          <w:tcPr>
            <w:tcW w:w="1240" w:type="dxa"/>
            <w:tcBorders>
              <w:top w:val="single" w:sz="4" w:space="0" w:color="auto"/>
              <w:left w:val="nil"/>
              <w:bottom w:val="double" w:sz="4" w:space="0" w:color="auto"/>
              <w:right w:val="nil"/>
            </w:tcBorders>
            <w:vAlign w:val="bottom"/>
          </w:tcPr>
          <w:p w14:paraId="24CC49D9" w14:textId="77777777" w:rsidR="001E30FF" w:rsidRPr="006911F3" w:rsidRDefault="001E30FF" w:rsidP="001E30FF">
            <w:pPr>
              <w:pStyle w:val="TableText"/>
              <w:tabs>
                <w:tab w:val="left" w:pos="3306"/>
              </w:tabs>
              <w:jc w:val="right"/>
              <w:rPr>
                <w:rFonts w:cs="Calibri"/>
                <w:b/>
                <w:bCs/>
              </w:rPr>
            </w:pPr>
          </w:p>
        </w:tc>
        <w:tc>
          <w:tcPr>
            <w:tcW w:w="1199" w:type="dxa"/>
            <w:tcBorders>
              <w:top w:val="single" w:sz="4" w:space="0" w:color="auto"/>
              <w:left w:val="nil"/>
              <w:bottom w:val="double" w:sz="4" w:space="0" w:color="auto"/>
              <w:right w:val="nil"/>
            </w:tcBorders>
            <w:vAlign w:val="bottom"/>
          </w:tcPr>
          <w:p w14:paraId="4C39D2E3" w14:textId="77777777" w:rsidR="001E30FF" w:rsidRPr="006911F3" w:rsidRDefault="001E30FF" w:rsidP="001E30FF">
            <w:pPr>
              <w:pStyle w:val="TableText"/>
              <w:tabs>
                <w:tab w:val="left" w:pos="3306"/>
              </w:tabs>
              <w:jc w:val="right"/>
              <w:rPr>
                <w:rFonts w:cs="Calibri"/>
                <w:b/>
                <w:bCs/>
              </w:rPr>
            </w:pPr>
          </w:p>
        </w:tc>
      </w:tr>
      <w:tr w:rsidR="00512537" w:rsidRPr="00CF7E1B" w14:paraId="508AC2C3" w14:textId="77777777" w:rsidTr="004D1EC6">
        <w:tc>
          <w:tcPr>
            <w:tcW w:w="1563" w:type="dxa"/>
            <w:tcBorders>
              <w:top w:val="nil"/>
              <w:left w:val="single" w:sz="2" w:space="0" w:color="auto"/>
              <w:bottom w:val="nil"/>
              <w:right w:val="single" w:sz="2" w:space="0" w:color="auto"/>
            </w:tcBorders>
          </w:tcPr>
          <w:p w14:paraId="09973E79" w14:textId="77777777" w:rsidR="00512537" w:rsidRPr="006911F3" w:rsidRDefault="00512537" w:rsidP="001E30FF">
            <w:pPr>
              <w:pStyle w:val="TableReference"/>
              <w:tabs>
                <w:tab w:val="left" w:pos="3306"/>
              </w:tabs>
              <w:spacing w:before="40"/>
              <w:rPr>
                <w:rFonts w:cs="Calibri"/>
                <w:color w:val="7030A0"/>
                <w:sz w:val="16"/>
                <w:szCs w:val="16"/>
              </w:rPr>
            </w:pPr>
          </w:p>
        </w:tc>
        <w:tc>
          <w:tcPr>
            <w:tcW w:w="5321" w:type="dxa"/>
            <w:tcBorders>
              <w:top w:val="nil"/>
              <w:left w:val="single" w:sz="2" w:space="0" w:color="auto"/>
              <w:bottom w:val="nil"/>
              <w:right w:val="nil"/>
            </w:tcBorders>
            <w:vAlign w:val="bottom"/>
          </w:tcPr>
          <w:p w14:paraId="0A445D9C" w14:textId="77777777" w:rsidR="00512537" w:rsidRPr="006911F3" w:rsidRDefault="00512537" w:rsidP="001E30FF">
            <w:pPr>
              <w:pStyle w:val="TableText"/>
              <w:tabs>
                <w:tab w:val="left" w:pos="3306"/>
              </w:tabs>
              <w:rPr>
                <w:rFonts w:cs="Calibri"/>
                <w:b/>
                <w:bCs/>
              </w:rPr>
            </w:pPr>
          </w:p>
        </w:tc>
        <w:tc>
          <w:tcPr>
            <w:tcW w:w="1221" w:type="dxa"/>
            <w:tcBorders>
              <w:top w:val="double" w:sz="4" w:space="0" w:color="auto"/>
              <w:left w:val="nil"/>
              <w:bottom w:val="nil"/>
              <w:right w:val="nil"/>
            </w:tcBorders>
            <w:vAlign w:val="bottom"/>
          </w:tcPr>
          <w:p w14:paraId="7BC7DF3E" w14:textId="77777777" w:rsidR="00512537" w:rsidRPr="006911F3" w:rsidRDefault="00512537" w:rsidP="001E30FF">
            <w:pPr>
              <w:pStyle w:val="TableText"/>
              <w:tabs>
                <w:tab w:val="left" w:pos="3306"/>
              </w:tabs>
              <w:jc w:val="right"/>
              <w:rPr>
                <w:rFonts w:cs="Calibri"/>
                <w:b/>
                <w:bCs/>
              </w:rPr>
            </w:pPr>
          </w:p>
        </w:tc>
        <w:tc>
          <w:tcPr>
            <w:tcW w:w="1240" w:type="dxa"/>
            <w:tcBorders>
              <w:top w:val="double" w:sz="4" w:space="0" w:color="auto"/>
              <w:left w:val="nil"/>
              <w:bottom w:val="nil"/>
              <w:right w:val="nil"/>
            </w:tcBorders>
            <w:vAlign w:val="bottom"/>
          </w:tcPr>
          <w:p w14:paraId="3DCC48DB" w14:textId="77777777" w:rsidR="00512537" w:rsidRPr="006911F3" w:rsidRDefault="00512537" w:rsidP="001E30FF">
            <w:pPr>
              <w:pStyle w:val="TableText"/>
              <w:tabs>
                <w:tab w:val="left" w:pos="3306"/>
              </w:tabs>
              <w:jc w:val="right"/>
              <w:rPr>
                <w:rFonts w:cs="Calibri"/>
                <w:b/>
                <w:bCs/>
              </w:rPr>
            </w:pPr>
          </w:p>
        </w:tc>
        <w:tc>
          <w:tcPr>
            <w:tcW w:w="1199" w:type="dxa"/>
            <w:tcBorders>
              <w:top w:val="double" w:sz="4" w:space="0" w:color="auto"/>
              <w:left w:val="nil"/>
              <w:bottom w:val="nil"/>
              <w:right w:val="nil"/>
            </w:tcBorders>
            <w:vAlign w:val="bottom"/>
          </w:tcPr>
          <w:p w14:paraId="6113D2CC" w14:textId="77777777" w:rsidR="00512537" w:rsidRPr="006911F3" w:rsidRDefault="00512537" w:rsidP="001E30FF">
            <w:pPr>
              <w:pStyle w:val="TableText"/>
              <w:tabs>
                <w:tab w:val="left" w:pos="3306"/>
              </w:tabs>
              <w:jc w:val="right"/>
              <w:rPr>
                <w:rFonts w:cs="Calibri"/>
                <w:b/>
                <w:bCs/>
              </w:rPr>
            </w:pPr>
          </w:p>
        </w:tc>
      </w:tr>
      <w:tr w:rsidR="00512537" w:rsidRPr="00CF7E1B" w14:paraId="2B0B5D9F" w14:textId="77777777" w:rsidTr="004D1EC6">
        <w:tc>
          <w:tcPr>
            <w:tcW w:w="1563" w:type="dxa"/>
            <w:tcBorders>
              <w:top w:val="nil"/>
              <w:left w:val="single" w:sz="2" w:space="0" w:color="auto"/>
              <w:bottom w:val="nil"/>
              <w:right w:val="single" w:sz="2" w:space="0" w:color="auto"/>
            </w:tcBorders>
          </w:tcPr>
          <w:p w14:paraId="5348D678" w14:textId="4FF92BEE" w:rsidR="00512537" w:rsidRPr="006911F3" w:rsidRDefault="004A29C0" w:rsidP="001E30FF">
            <w:pPr>
              <w:pStyle w:val="TableReference"/>
              <w:tabs>
                <w:tab w:val="left" w:pos="3306"/>
              </w:tabs>
              <w:spacing w:before="40"/>
              <w:rPr>
                <w:rFonts w:cs="Calibri"/>
                <w:color w:val="7030A0"/>
                <w:sz w:val="16"/>
                <w:szCs w:val="16"/>
              </w:rPr>
            </w:pPr>
            <w:r w:rsidRPr="006911F3">
              <w:rPr>
                <w:rFonts w:cs="Calibri"/>
                <w:color w:val="7030A0"/>
                <w:sz w:val="14"/>
              </w:rPr>
              <w:t>AASB 1052.15(d)</w:t>
            </w:r>
          </w:p>
        </w:tc>
        <w:tc>
          <w:tcPr>
            <w:tcW w:w="5321" w:type="dxa"/>
            <w:tcBorders>
              <w:top w:val="nil"/>
              <w:left w:val="single" w:sz="2" w:space="0" w:color="auto"/>
              <w:bottom w:val="nil"/>
              <w:right w:val="nil"/>
            </w:tcBorders>
            <w:vAlign w:val="bottom"/>
          </w:tcPr>
          <w:p w14:paraId="2C58954F" w14:textId="2DAEBF06" w:rsidR="00512537" w:rsidRPr="006911F3" w:rsidRDefault="00512537" w:rsidP="001E30FF">
            <w:pPr>
              <w:pStyle w:val="TableText"/>
              <w:tabs>
                <w:tab w:val="left" w:pos="3306"/>
              </w:tabs>
              <w:rPr>
                <w:rFonts w:cs="Calibri"/>
              </w:rPr>
            </w:pPr>
            <w:r w:rsidRPr="006911F3">
              <w:rPr>
                <w:rFonts w:cs="Calibri"/>
              </w:rPr>
              <w:t>Income from Government Sources</w:t>
            </w:r>
          </w:p>
        </w:tc>
        <w:tc>
          <w:tcPr>
            <w:tcW w:w="1221" w:type="dxa"/>
            <w:tcBorders>
              <w:top w:val="nil"/>
              <w:left w:val="nil"/>
              <w:bottom w:val="nil"/>
              <w:right w:val="nil"/>
            </w:tcBorders>
            <w:vAlign w:val="bottom"/>
          </w:tcPr>
          <w:p w14:paraId="5D64B7C3" w14:textId="77777777" w:rsidR="00512537" w:rsidRPr="006911F3" w:rsidRDefault="00512537" w:rsidP="001E30FF">
            <w:pPr>
              <w:pStyle w:val="TableText"/>
              <w:tabs>
                <w:tab w:val="left" w:pos="3306"/>
              </w:tabs>
              <w:jc w:val="right"/>
              <w:rPr>
                <w:rFonts w:cs="Calibri"/>
                <w:b/>
                <w:bCs/>
              </w:rPr>
            </w:pPr>
          </w:p>
        </w:tc>
        <w:tc>
          <w:tcPr>
            <w:tcW w:w="1240" w:type="dxa"/>
            <w:tcBorders>
              <w:top w:val="nil"/>
              <w:left w:val="nil"/>
              <w:bottom w:val="nil"/>
              <w:right w:val="nil"/>
            </w:tcBorders>
            <w:vAlign w:val="bottom"/>
          </w:tcPr>
          <w:p w14:paraId="7BEA994A" w14:textId="77777777" w:rsidR="00512537" w:rsidRPr="006911F3" w:rsidRDefault="00512537" w:rsidP="001E30FF">
            <w:pPr>
              <w:pStyle w:val="TableText"/>
              <w:tabs>
                <w:tab w:val="left" w:pos="3306"/>
              </w:tabs>
              <w:jc w:val="right"/>
              <w:rPr>
                <w:rFonts w:cs="Calibri"/>
                <w:b/>
                <w:bCs/>
              </w:rPr>
            </w:pPr>
          </w:p>
        </w:tc>
        <w:tc>
          <w:tcPr>
            <w:tcW w:w="1199" w:type="dxa"/>
            <w:tcBorders>
              <w:top w:val="nil"/>
              <w:left w:val="nil"/>
              <w:bottom w:val="nil"/>
              <w:right w:val="nil"/>
            </w:tcBorders>
            <w:vAlign w:val="bottom"/>
          </w:tcPr>
          <w:p w14:paraId="7207A9D6" w14:textId="77777777" w:rsidR="00512537" w:rsidRPr="006911F3" w:rsidRDefault="00512537" w:rsidP="001E30FF">
            <w:pPr>
              <w:pStyle w:val="TableText"/>
              <w:tabs>
                <w:tab w:val="left" w:pos="3306"/>
              </w:tabs>
              <w:jc w:val="right"/>
              <w:rPr>
                <w:rFonts w:cs="Calibri"/>
                <w:b/>
                <w:bCs/>
              </w:rPr>
            </w:pPr>
          </w:p>
        </w:tc>
      </w:tr>
    </w:tbl>
    <w:p w14:paraId="612AE08A" w14:textId="77777777" w:rsidR="00435A25" w:rsidRDefault="00435A25" w:rsidP="00EC4593">
      <w:pPr>
        <w:jc w:val="center"/>
      </w:pPr>
      <w:bookmarkStart w:id="271" w:name="_Toc194918649"/>
    </w:p>
    <w:p w14:paraId="02880156" w14:textId="77777777" w:rsidR="00574DE1" w:rsidRPr="00574DE1" w:rsidRDefault="00574DE1" w:rsidP="00574DE1">
      <w:pPr>
        <w:jc w:val="center"/>
        <w:rPr>
          <w:b/>
          <w:sz w:val="16"/>
        </w:rPr>
      </w:pPr>
    </w:p>
    <w:p w14:paraId="44F4EF77" w14:textId="65CC5248" w:rsidR="000144FF" w:rsidRPr="006911F3" w:rsidRDefault="000144FF" w:rsidP="00574DE1">
      <w:pPr>
        <w:spacing w:line="400" w:lineRule="exact"/>
        <w:jc w:val="center"/>
        <w:rPr>
          <w:b/>
          <w:sz w:val="40"/>
          <w:szCs w:val="40"/>
        </w:rPr>
      </w:pPr>
      <w:r w:rsidRPr="006911F3">
        <w:rPr>
          <w:b/>
          <w:sz w:val="40"/>
          <w:szCs w:val="40"/>
        </w:rPr>
        <w:t>‘</w:t>
      </w:r>
      <w:r w:rsidR="00CB5FDC" w:rsidRPr="006911F3">
        <w:rPr>
          <w:rFonts w:asciiTheme="minorHAnsi" w:hAnsiTheme="minorHAnsi" w:cstheme="minorHAnsi"/>
          <w:b/>
          <w:bCs/>
          <w:sz w:val="40"/>
          <w:szCs w:val="24"/>
        </w:rPr>
        <w:t xml:space="preserve">Burley Griffin </w:t>
      </w:r>
      <w:r w:rsidR="002B361F" w:rsidRPr="006911F3">
        <w:rPr>
          <w:b/>
          <w:sz w:val="40"/>
          <w:szCs w:val="40"/>
        </w:rPr>
        <w:t>Agency</w:t>
      </w:r>
      <w:r w:rsidRPr="006911F3">
        <w:rPr>
          <w:b/>
          <w:sz w:val="40"/>
          <w:szCs w:val="40"/>
        </w:rPr>
        <w:t>’</w:t>
      </w:r>
      <w:bookmarkEnd w:id="271"/>
    </w:p>
    <w:p w14:paraId="03938033" w14:textId="77777777" w:rsidR="000144FF" w:rsidRPr="006911F3" w:rsidRDefault="000144FF" w:rsidP="00574DE1">
      <w:pPr>
        <w:pStyle w:val="Subtitle"/>
        <w:spacing w:line="400" w:lineRule="exact"/>
        <w:rPr>
          <w:rFonts w:asciiTheme="minorHAnsi" w:hAnsiTheme="minorHAnsi" w:cstheme="minorHAnsi"/>
        </w:rPr>
      </w:pPr>
      <w:bookmarkStart w:id="272" w:name="_Toc49223897"/>
      <w:bookmarkStart w:id="273" w:name="_Toc50440321"/>
      <w:bookmarkStart w:id="274" w:name="_Toc194918650"/>
      <w:bookmarkStart w:id="275" w:name="_Toc400627315"/>
      <w:bookmarkStart w:id="276" w:name="_Toc98763033"/>
      <w:r w:rsidRPr="006911F3">
        <w:rPr>
          <w:rFonts w:asciiTheme="minorHAnsi" w:hAnsiTheme="minorHAnsi" w:cstheme="minorHAnsi"/>
        </w:rPr>
        <w:t>Operating Statement for Output Class 3 – Environment and Heritage</w:t>
      </w:r>
      <w:bookmarkEnd w:id="272"/>
      <w:bookmarkEnd w:id="273"/>
      <w:bookmarkEnd w:id="274"/>
      <w:bookmarkEnd w:id="275"/>
      <w:bookmarkEnd w:id="276"/>
    </w:p>
    <w:p w14:paraId="4CA9E172" w14:textId="4827DD08" w:rsidR="000144FF" w:rsidRPr="0009580B" w:rsidRDefault="000144FF" w:rsidP="00183BD1">
      <w:pPr>
        <w:spacing w:after="120" w:line="400" w:lineRule="exact"/>
        <w:jc w:val="center"/>
        <w:rPr>
          <w:b/>
          <w:sz w:val="40"/>
          <w:szCs w:val="40"/>
        </w:rPr>
      </w:pPr>
      <w:r w:rsidRPr="006911F3">
        <w:rPr>
          <w:b/>
          <w:sz w:val="40"/>
          <w:szCs w:val="40"/>
        </w:rPr>
        <w:t xml:space="preserve">For the Year Ended 30 June </w:t>
      </w:r>
      <w:r w:rsidR="00C66E0D" w:rsidRPr="006911F3">
        <w:rPr>
          <w:b/>
          <w:sz w:val="40"/>
          <w:szCs w:val="40"/>
        </w:rPr>
        <w:t>202</w:t>
      </w:r>
      <w:r w:rsidR="00786CB8" w:rsidRPr="006911F3">
        <w:rPr>
          <w:b/>
          <w:sz w:val="40"/>
          <w:szCs w:val="40"/>
        </w:rPr>
        <w:t>2</w:t>
      </w:r>
    </w:p>
    <w:p w14:paraId="224E3A98" w14:textId="77777777" w:rsidR="00183BD1" w:rsidRPr="00183BD1" w:rsidRDefault="00183BD1" w:rsidP="00183BD1">
      <w:pPr>
        <w:jc w:val="center"/>
        <w:rPr>
          <w:b/>
          <w:sz w:val="16"/>
        </w:rPr>
      </w:pPr>
    </w:p>
    <w:tbl>
      <w:tblPr>
        <w:tblW w:w="5003"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325"/>
        <w:gridCol w:w="1217"/>
        <w:gridCol w:w="1230"/>
        <w:gridCol w:w="1215"/>
      </w:tblGrid>
      <w:tr w:rsidR="000144FF" w:rsidRPr="00CF7E1B" w14:paraId="3AA1B52B" w14:textId="77777777" w:rsidTr="004D1EC6">
        <w:tc>
          <w:tcPr>
            <w:tcW w:w="1563" w:type="dxa"/>
            <w:tcBorders>
              <w:top w:val="nil"/>
              <w:left w:val="single" w:sz="2" w:space="0" w:color="auto"/>
              <w:bottom w:val="nil"/>
              <w:right w:val="single" w:sz="2" w:space="0" w:color="auto"/>
            </w:tcBorders>
          </w:tcPr>
          <w:p w14:paraId="2C3A9FBE" w14:textId="77777777" w:rsidR="000144FF" w:rsidRPr="006911F3" w:rsidRDefault="000144FF" w:rsidP="00786CB8">
            <w:pPr>
              <w:pStyle w:val="Reference"/>
              <w:tabs>
                <w:tab w:val="left" w:pos="3306"/>
              </w:tabs>
              <w:spacing w:after="120"/>
              <w:rPr>
                <w:rFonts w:cs="Calibri"/>
                <w:color w:val="7030A0"/>
                <w:sz w:val="22"/>
                <w:szCs w:val="22"/>
              </w:rPr>
            </w:pPr>
            <w:r w:rsidRPr="006911F3">
              <w:rPr>
                <w:rFonts w:cs="Calibri"/>
                <w:color w:val="7030A0"/>
                <w:sz w:val="22"/>
                <w:szCs w:val="22"/>
              </w:rPr>
              <w:t>Reference</w:t>
            </w:r>
          </w:p>
        </w:tc>
        <w:tc>
          <w:tcPr>
            <w:tcW w:w="8987" w:type="dxa"/>
            <w:gridSpan w:val="4"/>
            <w:tcBorders>
              <w:top w:val="nil"/>
              <w:left w:val="single" w:sz="2" w:space="0" w:color="auto"/>
              <w:bottom w:val="nil"/>
              <w:right w:val="nil"/>
            </w:tcBorders>
          </w:tcPr>
          <w:p w14:paraId="600F00E2" w14:textId="77777777" w:rsidR="000144FF" w:rsidRPr="00CF7E1B" w:rsidRDefault="003437E5" w:rsidP="00786CB8">
            <w:pPr>
              <w:spacing w:after="120"/>
              <w:rPr>
                <w:rFonts w:cs="Calibri"/>
              </w:rPr>
            </w:pPr>
            <w:r w:rsidRPr="003437E5">
              <w:rPr>
                <w:b/>
              </w:rPr>
              <w:t>Operating Statement for Output Class 3 – Environment and Heritage</w:t>
            </w:r>
          </w:p>
        </w:tc>
      </w:tr>
      <w:tr w:rsidR="000144FF" w:rsidRPr="00CF7E1B" w14:paraId="4933A505" w14:textId="77777777" w:rsidTr="004D1EC6">
        <w:tc>
          <w:tcPr>
            <w:tcW w:w="1563" w:type="dxa"/>
            <w:tcBorders>
              <w:top w:val="nil"/>
              <w:left w:val="single" w:sz="2" w:space="0" w:color="auto"/>
              <w:bottom w:val="nil"/>
              <w:right w:val="single" w:sz="2" w:space="0" w:color="auto"/>
            </w:tcBorders>
          </w:tcPr>
          <w:p w14:paraId="28BE50CD" w14:textId="2EE1C9E4" w:rsidR="000144FF" w:rsidRPr="006911F3" w:rsidRDefault="000144FF">
            <w:pPr>
              <w:pStyle w:val="Reference"/>
              <w:tabs>
                <w:tab w:val="left" w:pos="3306"/>
              </w:tabs>
              <w:spacing w:before="60"/>
              <w:rPr>
                <w:rFonts w:cs="Calibri"/>
                <w:b w:val="0"/>
                <w:bCs w:val="0"/>
                <w:color w:val="7030A0"/>
                <w:sz w:val="14"/>
                <w:szCs w:val="14"/>
              </w:rPr>
            </w:pPr>
          </w:p>
        </w:tc>
        <w:tc>
          <w:tcPr>
            <w:tcW w:w="8987" w:type="dxa"/>
            <w:gridSpan w:val="4"/>
            <w:tcBorders>
              <w:top w:val="nil"/>
              <w:left w:val="single" w:sz="2" w:space="0" w:color="auto"/>
              <w:bottom w:val="nil"/>
              <w:right w:val="nil"/>
            </w:tcBorders>
            <w:vAlign w:val="bottom"/>
          </w:tcPr>
          <w:p w14:paraId="1D470911" w14:textId="172B210C" w:rsidR="000144FF" w:rsidRPr="006911F3" w:rsidRDefault="000144FF" w:rsidP="00846578">
            <w:pPr>
              <w:pStyle w:val="CommentaryHeading"/>
              <w:tabs>
                <w:tab w:val="left" w:pos="3306"/>
              </w:tabs>
              <w:rPr>
                <w:rFonts w:cs="Calibri"/>
                <w:sz w:val="18"/>
              </w:rPr>
            </w:pPr>
            <w:r w:rsidRPr="006911F3">
              <w:rPr>
                <w:rFonts w:cs="Calibri"/>
                <w:sz w:val="18"/>
              </w:rPr>
              <w:t>Description</w:t>
            </w:r>
          </w:p>
        </w:tc>
      </w:tr>
      <w:tr w:rsidR="00846578" w:rsidRPr="00CF7E1B" w14:paraId="46918BA0" w14:textId="77777777" w:rsidTr="004D1EC6">
        <w:tc>
          <w:tcPr>
            <w:tcW w:w="1563" w:type="dxa"/>
            <w:tcBorders>
              <w:top w:val="nil"/>
              <w:left w:val="single" w:sz="2" w:space="0" w:color="auto"/>
              <w:bottom w:val="nil"/>
              <w:right w:val="single" w:sz="2" w:space="0" w:color="auto"/>
            </w:tcBorders>
          </w:tcPr>
          <w:p w14:paraId="69C8B506" w14:textId="270AF5E3" w:rsidR="00846578" w:rsidRPr="006911F3" w:rsidRDefault="00846578" w:rsidP="00B01E81">
            <w:pPr>
              <w:pStyle w:val="Reference"/>
              <w:spacing w:before="40"/>
              <w:rPr>
                <w:rFonts w:cs="Calibri"/>
                <w:b w:val="0"/>
                <w:bCs w:val="0"/>
                <w:color w:val="7030A0"/>
                <w:sz w:val="14"/>
                <w:szCs w:val="14"/>
              </w:rPr>
            </w:pPr>
            <w:r w:rsidRPr="006911F3">
              <w:rPr>
                <w:rFonts w:cs="Calibri"/>
                <w:b w:val="0"/>
                <w:bCs w:val="0"/>
                <w:color w:val="7030A0"/>
                <w:sz w:val="14"/>
                <w:szCs w:val="14"/>
              </w:rPr>
              <w:t>AASB 1052.15(a)</w:t>
            </w:r>
          </w:p>
        </w:tc>
        <w:tc>
          <w:tcPr>
            <w:tcW w:w="8987" w:type="dxa"/>
            <w:gridSpan w:val="4"/>
            <w:tcBorders>
              <w:top w:val="nil"/>
              <w:left w:val="single" w:sz="2" w:space="0" w:color="auto"/>
              <w:bottom w:val="nil"/>
              <w:right w:val="nil"/>
            </w:tcBorders>
            <w:vAlign w:val="bottom"/>
          </w:tcPr>
          <w:p w14:paraId="53D5A7C1" w14:textId="47A6AD25" w:rsidR="00846578" w:rsidRPr="006911F3" w:rsidRDefault="00846578" w:rsidP="00183BD1">
            <w:pPr>
              <w:pStyle w:val="CommentaryHeading"/>
              <w:tabs>
                <w:tab w:val="left" w:pos="3306"/>
              </w:tabs>
              <w:spacing w:before="0"/>
              <w:jc w:val="both"/>
              <w:rPr>
                <w:rFonts w:cs="Calibri"/>
                <w:sz w:val="18"/>
              </w:rPr>
            </w:pPr>
            <w:r w:rsidRPr="006911F3">
              <w:rPr>
                <w:rFonts w:cs="Calibri"/>
                <w:b w:val="0"/>
                <w:bCs w:val="0"/>
                <w:sz w:val="18"/>
              </w:rPr>
              <w:t>Output Class 3: ‘Environment and Heritage’ includes the sustainable management of natural and cultural resources and the conduct of ecological surveys and the provision of scientific advice for policy development.</w:t>
            </w:r>
            <w:r w:rsidR="00FA7C77">
              <w:rPr>
                <w:rFonts w:cs="Calibri"/>
                <w:b w:val="0"/>
                <w:bCs w:val="0"/>
                <w:sz w:val="18"/>
              </w:rPr>
              <w:t xml:space="preserve"> </w:t>
            </w:r>
            <w:r w:rsidRPr="006911F3">
              <w:rPr>
                <w:rFonts w:cs="Calibri"/>
                <w:b w:val="0"/>
                <w:bCs w:val="0"/>
                <w:sz w:val="18"/>
              </w:rPr>
              <w:t>It also includes the management of designated heritage resources, administration of heritage legislation and the provision of grants to heritage related programs.</w:t>
            </w:r>
          </w:p>
        </w:tc>
      </w:tr>
      <w:tr w:rsidR="00F82E19" w:rsidRPr="00CF7E1B" w14:paraId="1A814D50" w14:textId="77777777" w:rsidTr="004D1EC6">
        <w:tc>
          <w:tcPr>
            <w:tcW w:w="1563" w:type="dxa"/>
            <w:vMerge w:val="restart"/>
            <w:tcBorders>
              <w:top w:val="nil"/>
              <w:left w:val="single" w:sz="2" w:space="0" w:color="auto"/>
              <w:right w:val="single" w:sz="2" w:space="0" w:color="auto"/>
            </w:tcBorders>
            <w:vAlign w:val="bottom"/>
          </w:tcPr>
          <w:p w14:paraId="3A23EA99" w14:textId="7EFEBA88" w:rsidR="007F6866" w:rsidRPr="006911F3" w:rsidRDefault="00F82E19" w:rsidP="007F6866">
            <w:pPr>
              <w:pStyle w:val="TableReference"/>
              <w:tabs>
                <w:tab w:val="left" w:pos="3306"/>
              </w:tabs>
              <w:spacing w:before="40"/>
              <w:rPr>
                <w:rFonts w:cs="Calibri"/>
                <w:bCs/>
                <w:color w:val="7030A0"/>
                <w:sz w:val="14"/>
              </w:rPr>
            </w:pPr>
            <w:r w:rsidRPr="006911F3">
              <w:rPr>
                <w:rFonts w:cs="Calibri"/>
                <w:color w:val="7030A0"/>
                <w:sz w:val="14"/>
              </w:rPr>
              <w:t xml:space="preserve">FMA Section 27(3)(a) Financial Management (Periodic &amp; Annual Financial Statements) Guidelines </w:t>
            </w:r>
            <w:r w:rsidR="007F6866" w:rsidRPr="006911F3">
              <w:rPr>
                <w:rFonts w:cs="Calibri"/>
                <w:bCs/>
                <w:color w:val="7030A0"/>
                <w:sz w:val="14"/>
              </w:rPr>
              <w:t>2016</w:t>
            </w:r>
          </w:p>
          <w:p w14:paraId="2AA2AFC3" w14:textId="0D46E6A6" w:rsidR="00F82E19" w:rsidRPr="006911F3" w:rsidRDefault="00F82E19" w:rsidP="00A41EF6">
            <w:pPr>
              <w:pStyle w:val="TableReference"/>
              <w:tabs>
                <w:tab w:val="left" w:pos="3306"/>
              </w:tabs>
              <w:rPr>
                <w:rFonts w:cs="Calibri"/>
                <w:color w:val="7030A0"/>
                <w:sz w:val="14"/>
              </w:rPr>
            </w:pPr>
            <w:r w:rsidRPr="006911F3">
              <w:rPr>
                <w:rFonts w:cs="Calibri"/>
                <w:color w:val="7030A0"/>
                <w:sz w:val="14"/>
              </w:rPr>
              <w:t>Section 7(2)</w:t>
            </w:r>
          </w:p>
        </w:tc>
        <w:tc>
          <w:tcPr>
            <w:tcW w:w="5325" w:type="dxa"/>
            <w:tcBorders>
              <w:top w:val="nil"/>
              <w:left w:val="single" w:sz="2" w:space="0" w:color="auto"/>
              <w:bottom w:val="nil"/>
              <w:right w:val="nil"/>
            </w:tcBorders>
            <w:vAlign w:val="bottom"/>
          </w:tcPr>
          <w:p w14:paraId="3E3DA275" w14:textId="77777777" w:rsidR="00F82E19" w:rsidRPr="006911F3" w:rsidRDefault="00F82E19">
            <w:pPr>
              <w:pStyle w:val="TableTitle"/>
              <w:tabs>
                <w:tab w:val="left" w:pos="3306"/>
              </w:tabs>
              <w:rPr>
                <w:rFonts w:cs="Calibri"/>
              </w:rPr>
            </w:pPr>
          </w:p>
        </w:tc>
        <w:tc>
          <w:tcPr>
            <w:tcW w:w="1217" w:type="dxa"/>
            <w:tcBorders>
              <w:top w:val="nil"/>
              <w:left w:val="nil"/>
              <w:bottom w:val="nil"/>
              <w:right w:val="nil"/>
            </w:tcBorders>
            <w:vAlign w:val="bottom"/>
          </w:tcPr>
          <w:p w14:paraId="5D8E3B71" w14:textId="77777777" w:rsidR="00F82E19" w:rsidRPr="006911F3" w:rsidRDefault="00F82E19">
            <w:pPr>
              <w:pStyle w:val="TableTitle"/>
              <w:tabs>
                <w:tab w:val="left" w:pos="3306"/>
              </w:tabs>
              <w:rPr>
                <w:rFonts w:cs="Calibri"/>
              </w:rPr>
            </w:pPr>
            <w:r w:rsidRPr="006911F3">
              <w:rPr>
                <w:rFonts w:cs="Calibri"/>
              </w:rPr>
              <w:t>Actual</w:t>
            </w:r>
          </w:p>
          <w:p w14:paraId="639D527D" w14:textId="2C040738" w:rsidR="00F82E19" w:rsidRPr="006911F3" w:rsidRDefault="00F82E19" w:rsidP="001B231B">
            <w:pPr>
              <w:pStyle w:val="TableTitle"/>
              <w:tabs>
                <w:tab w:val="left" w:pos="3306"/>
              </w:tabs>
              <w:rPr>
                <w:rFonts w:cs="Calibri"/>
              </w:rPr>
            </w:pPr>
            <w:r w:rsidRPr="006911F3">
              <w:rPr>
                <w:rFonts w:cs="Calibri"/>
              </w:rPr>
              <w:t>2022</w:t>
            </w:r>
          </w:p>
          <w:p w14:paraId="5F69EF47" w14:textId="77777777" w:rsidR="00F82E19" w:rsidRPr="006911F3" w:rsidRDefault="00F82E19">
            <w:pPr>
              <w:pStyle w:val="TableTitle"/>
              <w:tabs>
                <w:tab w:val="left" w:pos="3306"/>
              </w:tabs>
              <w:rPr>
                <w:rFonts w:cs="Calibri"/>
              </w:rPr>
            </w:pPr>
            <w:r w:rsidRPr="006911F3">
              <w:rPr>
                <w:rFonts w:cs="Calibri"/>
              </w:rPr>
              <w:t>$’000</w:t>
            </w:r>
          </w:p>
        </w:tc>
        <w:tc>
          <w:tcPr>
            <w:tcW w:w="1230" w:type="dxa"/>
            <w:tcBorders>
              <w:top w:val="nil"/>
              <w:left w:val="nil"/>
              <w:bottom w:val="nil"/>
              <w:right w:val="nil"/>
            </w:tcBorders>
            <w:vAlign w:val="bottom"/>
          </w:tcPr>
          <w:p w14:paraId="7E0D66E2" w14:textId="77777777" w:rsidR="00F82E19" w:rsidRPr="006911F3" w:rsidRDefault="00F82E19">
            <w:pPr>
              <w:pStyle w:val="TableTitle"/>
              <w:tabs>
                <w:tab w:val="left" w:pos="3306"/>
              </w:tabs>
              <w:rPr>
                <w:rFonts w:cs="Calibri"/>
              </w:rPr>
            </w:pPr>
            <w:r w:rsidRPr="006911F3">
              <w:rPr>
                <w:rFonts w:cs="Calibri"/>
              </w:rPr>
              <w:t>Original Budget</w:t>
            </w:r>
          </w:p>
          <w:p w14:paraId="25727701" w14:textId="69D7E3DB" w:rsidR="00F82E19" w:rsidRPr="006911F3" w:rsidRDefault="00F82E19" w:rsidP="001B231B">
            <w:pPr>
              <w:pStyle w:val="TableTitle"/>
              <w:tabs>
                <w:tab w:val="left" w:pos="3306"/>
              </w:tabs>
              <w:rPr>
                <w:rFonts w:cs="Calibri"/>
              </w:rPr>
            </w:pPr>
            <w:r w:rsidRPr="006911F3">
              <w:rPr>
                <w:rFonts w:cs="Calibri"/>
              </w:rPr>
              <w:t>2022</w:t>
            </w:r>
          </w:p>
          <w:p w14:paraId="655F4FAB" w14:textId="77777777" w:rsidR="00F82E19" w:rsidRPr="006911F3" w:rsidRDefault="00F82E19">
            <w:pPr>
              <w:pStyle w:val="TableTitle"/>
              <w:tabs>
                <w:tab w:val="left" w:pos="3306"/>
              </w:tabs>
              <w:rPr>
                <w:rFonts w:cs="Calibri"/>
              </w:rPr>
            </w:pPr>
            <w:r w:rsidRPr="006911F3">
              <w:rPr>
                <w:rFonts w:cs="Calibri"/>
              </w:rPr>
              <w:t>$’000</w:t>
            </w:r>
          </w:p>
        </w:tc>
        <w:tc>
          <w:tcPr>
            <w:tcW w:w="1215" w:type="dxa"/>
            <w:tcBorders>
              <w:top w:val="nil"/>
              <w:left w:val="nil"/>
              <w:bottom w:val="nil"/>
              <w:right w:val="nil"/>
            </w:tcBorders>
            <w:vAlign w:val="bottom"/>
          </w:tcPr>
          <w:p w14:paraId="14804ADC" w14:textId="77777777" w:rsidR="00F82E19" w:rsidRPr="006911F3" w:rsidRDefault="00F82E19">
            <w:pPr>
              <w:pStyle w:val="TableTitle"/>
              <w:tabs>
                <w:tab w:val="left" w:pos="3306"/>
              </w:tabs>
              <w:rPr>
                <w:rFonts w:cs="Calibri"/>
              </w:rPr>
            </w:pPr>
            <w:r w:rsidRPr="006911F3">
              <w:rPr>
                <w:rFonts w:cs="Calibri"/>
              </w:rPr>
              <w:t>Actual</w:t>
            </w:r>
          </w:p>
          <w:p w14:paraId="18C49771" w14:textId="765B79B6" w:rsidR="00F82E19" w:rsidRPr="006911F3" w:rsidRDefault="00F82E19">
            <w:pPr>
              <w:pStyle w:val="TableTitle"/>
              <w:tabs>
                <w:tab w:val="left" w:pos="3306"/>
              </w:tabs>
              <w:rPr>
                <w:rFonts w:cs="Calibri"/>
              </w:rPr>
            </w:pPr>
            <w:r w:rsidRPr="006911F3">
              <w:rPr>
                <w:rFonts w:cs="Calibri"/>
              </w:rPr>
              <w:t>2021</w:t>
            </w:r>
          </w:p>
          <w:p w14:paraId="48F28266" w14:textId="77777777" w:rsidR="00F82E19" w:rsidRPr="006911F3" w:rsidRDefault="00F82E19">
            <w:pPr>
              <w:pStyle w:val="TableTitle"/>
              <w:tabs>
                <w:tab w:val="left" w:pos="3306"/>
              </w:tabs>
              <w:rPr>
                <w:rFonts w:cs="Calibri"/>
              </w:rPr>
            </w:pPr>
            <w:r w:rsidRPr="006911F3">
              <w:rPr>
                <w:rFonts w:cs="Calibri"/>
              </w:rPr>
              <w:t>$’000</w:t>
            </w:r>
          </w:p>
        </w:tc>
      </w:tr>
      <w:tr w:rsidR="00F82E19" w:rsidRPr="00CF7E1B" w14:paraId="1F585AC3" w14:textId="77777777" w:rsidTr="004D1EC6">
        <w:tc>
          <w:tcPr>
            <w:tcW w:w="1563" w:type="dxa"/>
            <w:vMerge/>
            <w:tcBorders>
              <w:top w:val="nil"/>
              <w:left w:val="single" w:sz="2" w:space="0" w:color="auto"/>
              <w:bottom w:val="nil"/>
              <w:right w:val="single" w:sz="2" w:space="0" w:color="auto"/>
            </w:tcBorders>
          </w:tcPr>
          <w:p w14:paraId="6D7FA9C3" w14:textId="77777777" w:rsidR="00F82E19" w:rsidRPr="006911F3" w:rsidRDefault="00F82E19">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55A0846A" w14:textId="77777777" w:rsidR="00F82E19" w:rsidRPr="006911F3" w:rsidRDefault="00F82E19">
            <w:pPr>
              <w:pStyle w:val="TableText"/>
              <w:tabs>
                <w:tab w:val="left" w:pos="3306"/>
              </w:tabs>
              <w:rPr>
                <w:rFonts w:cs="Calibri"/>
                <w:b/>
                <w:bCs/>
              </w:rPr>
            </w:pPr>
            <w:r w:rsidRPr="006911F3">
              <w:rPr>
                <w:rFonts w:cs="Calibri"/>
                <w:b/>
                <w:bCs/>
              </w:rPr>
              <w:t>Income</w:t>
            </w:r>
          </w:p>
        </w:tc>
        <w:tc>
          <w:tcPr>
            <w:tcW w:w="1217" w:type="dxa"/>
            <w:tcBorders>
              <w:top w:val="nil"/>
              <w:left w:val="nil"/>
              <w:bottom w:val="nil"/>
              <w:right w:val="nil"/>
            </w:tcBorders>
            <w:vAlign w:val="bottom"/>
          </w:tcPr>
          <w:p w14:paraId="0A04C9FA" w14:textId="77777777" w:rsidR="00F82E19" w:rsidRPr="006911F3" w:rsidRDefault="00F82E19">
            <w:pPr>
              <w:pStyle w:val="TableText"/>
              <w:tabs>
                <w:tab w:val="left" w:pos="3306"/>
              </w:tabs>
              <w:jc w:val="right"/>
              <w:rPr>
                <w:rFonts w:cs="Calibri"/>
              </w:rPr>
            </w:pPr>
          </w:p>
        </w:tc>
        <w:tc>
          <w:tcPr>
            <w:tcW w:w="1230" w:type="dxa"/>
            <w:tcBorders>
              <w:top w:val="nil"/>
              <w:left w:val="nil"/>
              <w:bottom w:val="nil"/>
              <w:right w:val="nil"/>
            </w:tcBorders>
            <w:vAlign w:val="bottom"/>
          </w:tcPr>
          <w:p w14:paraId="74C52BC6" w14:textId="77777777" w:rsidR="00F82E19" w:rsidRPr="006911F3" w:rsidRDefault="00F82E19">
            <w:pPr>
              <w:pStyle w:val="TableText"/>
              <w:tabs>
                <w:tab w:val="left" w:pos="3306"/>
              </w:tabs>
              <w:jc w:val="right"/>
              <w:rPr>
                <w:rFonts w:cs="Calibri"/>
              </w:rPr>
            </w:pPr>
          </w:p>
        </w:tc>
        <w:tc>
          <w:tcPr>
            <w:tcW w:w="1215" w:type="dxa"/>
            <w:tcBorders>
              <w:top w:val="nil"/>
              <w:left w:val="nil"/>
              <w:bottom w:val="nil"/>
              <w:right w:val="nil"/>
            </w:tcBorders>
            <w:vAlign w:val="bottom"/>
          </w:tcPr>
          <w:p w14:paraId="4B2D2E5C" w14:textId="77777777" w:rsidR="00F82E19" w:rsidRPr="006911F3" w:rsidRDefault="00F82E19">
            <w:pPr>
              <w:pStyle w:val="TableText"/>
              <w:tabs>
                <w:tab w:val="left" w:pos="3306"/>
              </w:tabs>
              <w:jc w:val="right"/>
              <w:rPr>
                <w:rFonts w:cs="Calibri"/>
              </w:rPr>
            </w:pPr>
          </w:p>
        </w:tc>
      </w:tr>
      <w:tr w:rsidR="0064515B" w:rsidRPr="00CF7E1B" w14:paraId="656B12BF" w14:textId="77777777" w:rsidTr="004D1EC6">
        <w:tc>
          <w:tcPr>
            <w:tcW w:w="1563" w:type="dxa"/>
            <w:tcBorders>
              <w:top w:val="nil"/>
              <w:left w:val="single" w:sz="2" w:space="0" w:color="auto"/>
              <w:bottom w:val="nil"/>
              <w:right w:val="single" w:sz="2" w:space="0" w:color="auto"/>
            </w:tcBorders>
          </w:tcPr>
          <w:p w14:paraId="1B9EAE6D" w14:textId="77777777" w:rsidR="0064515B" w:rsidRPr="006911F3" w:rsidRDefault="0064515B">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5" w:type="dxa"/>
            <w:tcBorders>
              <w:top w:val="nil"/>
              <w:left w:val="single" w:sz="2" w:space="0" w:color="auto"/>
              <w:bottom w:val="nil"/>
              <w:right w:val="nil"/>
            </w:tcBorders>
            <w:vAlign w:val="bottom"/>
          </w:tcPr>
          <w:p w14:paraId="31965F4B" w14:textId="77777777" w:rsidR="0064515B" w:rsidRPr="006911F3" w:rsidRDefault="0064515B">
            <w:pPr>
              <w:pStyle w:val="TableText"/>
              <w:tabs>
                <w:tab w:val="left" w:pos="3306"/>
              </w:tabs>
              <w:rPr>
                <w:rFonts w:cs="Calibri"/>
                <w:i/>
                <w:iCs/>
              </w:rPr>
            </w:pPr>
            <w:r w:rsidRPr="006911F3">
              <w:rPr>
                <w:rFonts w:cs="Calibri"/>
                <w:i/>
                <w:iCs/>
              </w:rPr>
              <w:t>Revenue</w:t>
            </w:r>
          </w:p>
        </w:tc>
        <w:tc>
          <w:tcPr>
            <w:tcW w:w="1217" w:type="dxa"/>
            <w:tcBorders>
              <w:top w:val="nil"/>
              <w:left w:val="nil"/>
              <w:bottom w:val="nil"/>
              <w:right w:val="nil"/>
            </w:tcBorders>
            <w:vAlign w:val="bottom"/>
          </w:tcPr>
          <w:p w14:paraId="70D295F6" w14:textId="77777777" w:rsidR="0064515B" w:rsidRPr="006911F3" w:rsidRDefault="0064515B">
            <w:pPr>
              <w:pStyle w:val="TableText"/>
              <w:tabs>
                <w:tab w:val="left" w:pos="3306"/>
              </w:tabs>
              <w:jc w:val="right"/>
              <w:rPr>
                <w:rFonts w:cs="Calibri"/>
              </w:rPr>
            </w:pPr>
          </w:p>
        </w:tc>
        <w:tc>
          <w:tcPr>
            <w:tcW w:w="1230" w:type="dxa"/>
            <w:tcBorders>
              <w:top w:val="nil"/>
              <w:left w:val="nil"/>
              <w:bottom w:val="nil"/>
              <w:right w:val="nil"/>
            </w:tcBorders>
            <w:vAlign w:val="bottom"/>
          </w:tcPr>
          <w:p w14:paraId="59CFF6C7" w14:textId="77777777" w:rsidR="0064515B" w:rsidRPr="006911F3" w:rsidRDefault="0064515B">
            <w:pPr>
              <w:pStyle w:val="TableText"/>
              <w:tabs>
                <w:tab w:val="left" w:pos="3306"/>
              </w:tabs>
              <w:jc w:val="right"/>
              <w:rPr>
                <w:rFonts w:cs="Calibri"/>
              </w:rPr>
            </w:pPr>
          </w:p>
        </w:tc>
        <w:tc>
          <w:tcPr>
            <w:tcW w:w="1215" w:type="dxa"/>
            <w:tcBorders>
              <w:top w:val="nil"/>
              <w:left w:val="nil"/>
              <w:bottom w:val="nil"/>
              <w:right w:val="nil"/>
            </w:tcBorders>
            <w:vAlign w:val="bottom"/>
          </w:tcPr>
          <w:p w14:paraId="1A3B063D" w14:textId="77777777" w:rsidR="0064515B" w:rsidRPr="006911F3" w:rsidRDefault="0064515B">
            <w:pPr>
              <w:pStyle w:val="TableText"/>
              <w:tabs>
                <w:tab w:val="left" w:pos="3306"/>
              </w:tabs>
              <w:jc w:val="right"/>
              <w:rPr>
                <w:rFonts w:cs="Calibri"/>
              </w:rPr>
            </w:pPr>
          </w:p>
        </w:tc>
      </w:tr>
      <w:tr w:rsidR="0064515B" w:rsidRPr="00CF7E1B" w14:paraId="7CBF1FEE" w14:textId="77777777" w:rsidTr="004D1EC6">
        <w:tc>
          <w:tcPr>
            <w:tcW w:w="1563" w:type="dxa"/>
            <w:tcBorders>
              <w:top w:val="nil"/>
              <w:left w:val="single" w:sz="2" w:space="0" w:color="auto"/>
              <w:bottom w:val="nil"/>
              <w:right w:val="single" w:sz="2" w:space="0" w:color="auto"/>
            </w:tcBorders>
          </w:tcPr>
          <w:p w14:paraId="57BB1941" w14:textId="77777777" w:rsidR="0064515B" w:rsidRPr="006911F3" w:rsidRDefault="00385877">
            <w:pPr>
              <w:pStyle w:val="TableReference"/>
              <w:tabs>
                <w:tab w:val="left" w:pos="3306"/>
              </w:tabs>
              <w:spacing w:before="60"/>
              <w:rPr>
                <w:rFonts w:cs="Calibri"/>
                <w:color w:val="7030A0"/>
                <w:sz w:val="14"/>
              </w:rPr>
            </w:pPr>
            <w:r w:rsidRPr="006911F3">
              <w:rPr>
                <w:rFonts w:cs="Calibri"/>
                <w:color w:val="7030A0"/>
                <w:sz w:val="14"/>
              </w:rPr>
              <w:t>AASB 1052</w:t>
            </w:r>
            <w:r w:rsidR="00D65811" w:rsidRPr="006911F3">
              <w:rPr>
                <w:rFonts w:cs="Calibri"/>
                <w:color w:val="7030A0"/>
                <w:sz w:val="14"/>
              </w:rPr>
              <w:t>.</w:t>
            </w:r>
            <w:r w:rsidRPr="006911F3">
              <w:rPr>
                <w:rFonts w:cs="Calibri"/>
                <w:color w:val="7030A0"/>
                <w:sz w:val="14"/>
              </w:rPr>
              <w:t>15(d)</w:t>
            </w:r>
          </w:p>
        </w:tc>
        <w:tc>
          <w:tcPr>
            <w:tcW w:w="5325" w:type="dxa"/>
            <w:tcBorders>
              <w:top w:val="nil"/>
              <w:left w:val="single" w:sz="2" w:space="0" w:color="auto"/>
              <w:bottom w:val="nil"/>
              <w:right w:val="nil"/>
            </w:tcBorders>
            <w:vAlign w:val="bottom"/>
          </w:tcPr>
          <w:p w14:paraId="3FC4B3B8" w14:textId="77777777" w:rsidR="0064515B" w:rsidRPr="006911F3" w:rsidRDefault="009514AA">
            <w:pPr>
              <w:pStyle w:val="TableText"/>
              <w:tabs>
                <w:tab w:val="left" w:pos="3306"/>
              </w:tabs>
              <w:rPr>
                <w:rFonts w:cs="Calibri"/>
                <w:strike/>
              </w:rPr>
            </w:pPr>
            <w:r w:rsidRPr="006911F3">
              <w:rPr>
                <w:rFonts w:cs="Calibri"/>
              </w:rPr>
              <w:t>Controlled Recurrent Payments</w:t>
            </w:r>
          </w:p>
        </w:tc>
        <w:tc>
          <w:tcPr>
            <w:tcW w:w="1217" w:type="dxa"/>
            <w:tcBorders>
              <w:top w:val="nil"/>
              <w:left w:val="nil"/>
              <w:bottom w:val="nil"/>
              <w:right w:val="nil"/>
            </w:tcBorders>
            <w:vAlign w:val="bottom"/>
          </w:tcPr>
          <w:p w14:paraId="782F8344" w14:textId="77777777" w:rsidR="0064515B" w:rsidRPr="006911F3" w:rsidRDefault="0064515B">
            <w:pPr>
              <w:pStyle w:val="TableText"/>
              <w:tabs>
                <w:tab w:val="left" w:pos="3306"/>
              </w:tabs>
              <w:jc w:val="right"/>
              <w:rPr>
                <w:rFonts w:cs="Calibri"/>
              </w:rPr>
            </w:pPr>
          </w:p>
        </w:tc>
        <w:tc>
          <w:tcPr>
            <w:tcW w:w="1230" w:type="dxa"/>
            <w:tcBorders>
              <w:top w:val="nil"/>
              <w:left w:val="nil"/>
              <w:bottom w:val="nil"/>
              <w:right w:val="nil"/>
            </w:tcBorders>
            <w:vAlign w:val="bottom"/>
          </w:tcPr>
          <w:p w14:paraId="51CBB758" w14:textId="77777777" w:rsidR="0064515B" w:rsidRPr="006911F3" w:rsidRDefault="0064515B">
            <w:pPr>
              <w:pStyle w:val="TableText"/>
              <w:tabs>
                <w:tab w:val="left" w:pos="3306"/>
              </w:tabs>
              <w:jc w:val="right"/>
              <w:rPr>
                <w:rFonts w:cs="Calibri"/>
              </w:rPr>
            </w:pPr>
          </w:p>
        </w:tc>
        <w:tc>
          <w:tcPr>
            <w:tcW w:w="1215" w:type="dxa"/>
            <w:tcBorders>
              <w:top w:val="nil"/>
              <w:left w:val="nil"/>
              <w:bottom w:val="nil"/>
              <w:right w:val="nil"/>
            </w:tcBorders>
            <w:vAlign w:val="bottom"/>
          </w:tcPr>
          <w:p w14:paraId="0F459DB0" w14:textId="77777777" w:rsidR="0064515B" w:rsidRPr="006911F3" w:rsidRDefault="0064515B">
            <w:pPr>
              <w:pStyle w:val="TableText"/>
              <w:tabs>
                <w:tab w:val="left" w:pos="3306"/>
              </w:tabs>
              <w:jc w:val="right"/>
              <w:rPr>
                <w:rFonts w:cs="Calibri"/>
              </w:rPr>
            </w:pPr>
          </w:p>
        </w:tc>
      </w:tr>
      <w:tr w:rsidR="00421D32" w:rsidRPr="00CF7E1B" w14:paraId="2B871ADC" w14:textId="77777777" w:rsidTr="004D1EC6">
        <w:tc>
          <w:tcPr>
            <w:tcW w:w="1563" w:type="dxa"/>
            <w:tcBorders>
              <w:top w:val="nil"/>
              <w:left w:val="single" w:sz="2" w:space="0" w:color="auto"/>
              <w:bottom w:val="nil"/>
              <w:right w:val="single" w:sz="2" w:space="0" w:color="auto"/>
            </w:tcBorders>
          </w:tcPr>
          <w:p w14:paraId="45C2F0BD" w14:textId="0C4265DD" w:rsidR="00421D32" w:rsidRPr="006911F3" w:rsidRDefault="00421D32" w:rsidP="00421D32">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629A66FD" w14:textId="1B40FD2D" w:rsidR="00421D32" w:rsidRPr="006911F3" w:rsidRDefault="00197E49" w:rsidP="00421D32">
            <w:pPr>
              <w:pStyle w:val="TableText"/>
              <w:tabs>
                <w:tab w:val="left" w:pos="3306"/>
              </w:tabs>
              <w:rPr>
                <w:rFonts w:cs="Calibri"/>
              </w:rPr>
            </w:pPr>
            <w:r w:rsidRPr="006911F3">
              <w:rPr>
                <w:rFonts w:cs="Calibri"/>
              </w:rPr>
              <w:t xml:space="preserve">Sales of Goods and Services </w:t>
            </w:r>
            <w:r w:rsidR="00421D32" w:rsidRPr="006911F3">
              <w:rPr>
                <w:rFonts w:cs="Calibri"/>
              </w:rPr>
              <w:t>from Contracts with Customers</w:t>
            </w:r>
          </w:p>
        </w:tc>
        <w:tc>
          <w:tcPr>
            <w:tcW w:w="1217" w:type="dxa"/>
            <w:tcBorders>
              <w:top w:val="nil"/>
              <w:left w:val="nil"/>
              <w:bottom w:val="nil"/>
              <w:right w:val="nil"/>
            </w:tcBorders>
            <w:vAlign w:val="bottom"/>
          </w:tcPr>
          <w:p w14:paraId="586DDA11" w14:textId="77777777" w:rsidR="00421D32" w:rsidRPr="006911F3" w:rsidRDefault="00421D32" w:rsidP="00421D32">
            <w:pPr>
              <w:pStyle w:val="TableText"/>
              <w:tabs>
                <w:tab w:val="left" w:pos="3306"/>
              </w:tabs>
              <w:jc w:val="right"/>
              <w:rPr>
                <w:rFonts w:cs="Calibri"/>
              </w:rPr>
            </w:pPr>
          </w:p>
        </w:tc>
        <w:tc>
          <w:tcPr>
            <w:tcW w:w="1230" w:type="dxa"/>
            <w:tcBorders>
              <w:top w:val="nil"/>
              <w:left w:val="nil"/>
              <w:bottom w:val="nil"/>
              <w:right w:val="nil"/>
            </w:tcBorders>
            <w:vAlign w:val="bottom"/>
          </w:tcPr>
          <w:p w14:paraId="09539612" w14:textId="77777777" w:rsidR="00421D32" w:rsidRPr="006911F3" w:rsidRDefault="00421D32" w:rsidP="00421D32">
            <w:pPr>
              <w:pStyle w:val="TableText"/>
              <w:tabs>
                <w:tab w:val="left" w:pos="3306"/>
              </w:tabs>
              <w:jc w:val="right"/>
              <w:rPr>
                <w:rFonts w:cs="Calibri"/>
              </w:rPr>
            </w:pPr>
          </w:p>
        </w:tc>
        <w:tc>
          <w:tcPr>
            <w:tcW w:w="1215" w:type="dxa"/>
            <w:tcBorders>
              <w:top w:val="nil"/>
              <w:left w:val="nil"/>
              <w:bottom w:val="nil"/>
              <w:right w:val="nil"/>
            </w:tcBorders>
            <w:vAlign w:val="bottom"/>
          </w:tcPr>
          <w:p w14:paraId="66B0E67C" w14:textId="77777777" w:rsidR="00421D32" w:rsidRPr="006911F3" w:rsidRDefault="00421D32" w:rsidP="00421D32">
            <w:pPr>
              <w:pStyle w:val="TableText"/>
              <w:tabs>
                <w:tab w:val="left" w:pos="3306"/>
              </w:tabs>
              <w:jc w:val="right"/>
              <w:rPr>
                <w:rFonts w:cs="Calibri"/>
              </w:rPr>
            </w:pPr>
          </w:p>
        </w:tc>
      </w:tr>
      <w:tr w:rsidR="00B92775" w:rsidRPr="00CF7E1B" w14:paraId="365913F1" w14:textId="77777777" w:rsidTr="004D1EC6">
        <w:tc>
          <w:tcPr>
            <w:tcW w:w="1563" w:type="dxa"/>
            <w:tcBorders>
              <w:top w:val="nil"/>
              <w:left w:val="single" w:sz="2" w:space="0" w:color="auto"/>
              <w:bottom w:val="nil"/>
              <w:right w:val="single" w:sz="2" w:space="0" w:color="auto"/>
            </w:tcBorders>
          </w:tcPr>
          <w:p w14:paraId="18040B5C" w14:textId="3EB19B40"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6E34778D" w14:textId="4B0AF81B" w:rsidR="00B92775" w:rsidRPr="006911F3" w:rsidRDefault="00B92775" w:rsidP="00B92775">
            <w:pPr>
              <w:pStyle w:val="TableText"/>
              <w:tabs>
                <w:tab w:val="left" w:pos="3306"/>
              </w:tabs>
              <w:rPr>
                <w:rFonts w:cs="Calibri"/>
              </w:rPr>
            </w:pPr>
            <w:r w:rsidRPr="006911F3">
              <w:rPr>
                <w:rFonts w:cs="Calibri"/>
              </w:rPr>
              <w:t>Grants and Contributions Revenue</w:t>
            </w:r>
          </w:p>
        </w:tc>
        <w:tc>
          <w:tcPr>
            <w:tcW w:w="1217" w:type="dxa"/>
            <w:tcBorders>
              <w:top w:val="nil"/>
              <w:left w:val="nil"/>
              <w:bottom w:val="nil"/>
              <w:right w:val="nil"/>
            </w:tcBorders>
            <w:vAlign w:val="bottom"/>
          </w:tcPr>
          <w:p w14:paraId="6DDB3FBA"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0F28A4CE"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25472B69" w14:textId="77777777" w:rsidR="00B92775" w:rsidRPr="006911F3" w:rsidRDefault="00B92775" w:rsidP="00B92775">
            <w:pPr>
              <w:pStyle w:val="TableText"/>
              <w:tabs>
                <w:tab w:val="left" w:pos="3306"/>
              </w:tabs>
              <w:jc w:val="right"/>
              <w:rPr>
                <w:rFonts w:cs="Calibri"/>
              </w:rPr>
            </w:pPr>
          </w:p>
        </w:tc>
      </w:tr>
      <w:tr w:rsidR="00B92775" w:rsidRPr="00CF7E1B" w14:paraId="25A8DD0B" w14:textId="77777777" w:rsidTr="004D1EC6">
        <w:tc>
          <w:tcPr>
            <w:tcW w:w="1563" w:type="dxa"/>
            <w:tcBorders>
              <w:top w:val="nil"/>
              <w:left w:val="single" w:sz="2" w:space="0" w:color="auto"/>
              <w:bottom w:val="nil"/>
              <w:right w:val="single" w:sz="2" w:space="0" w:color="auto"/>
            </w:tcBorders>
          </w:tcPr>
          <w:p w14:paraId="0DE359A1" w14:textId="443B2B66"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65F237B9" w14:textId="1D3D133B" w:rsidR="00B92775" w:rsidRPr="006911F3" w:rsidRDefault="00B92775" w:rsidP="00B92775">
            <w:pPr>
              <w:pStyle w:val="TableText"/>
              <w:tabs>
                <w:tab w:val="left" w:pos="3306"/>
              </w:tabs>
              <w:rPr>
                <w:rFonts w:cs="Calibri"/>
              </w:rPr>
            </w:pPr>
            <w:r w:rsidRPr="006911F3">
              <w:rPr>
                <w:rFonts w:cs="Calibri"/>
              </w:rPr>
              <w:t>Investment Revenue</w:t>
            </w:r>
          </w:p>
        </w:tc>
        <w:tc>
          <w:tcPr>
            <w:tcW w:w="1217" w:type="dxa"/>
            <w:tcBorders>
              <w:top w:val="nil"/>
              <w:left w:val="nil"/>
              <w:bottom w:val="nil"/>
              <w:right w:val="nil"/>
            </w:tcBorders>
            <w:vAlign w:val="bottom"/>
          </w:tcPr>
          <w:p w14:paraId="1850A3EE"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68AD8E44"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6537B85E" w14:textId="77777777" w:rsidR="00B92775" w:rsidRPr="006911F3" w:rsidRDefault="00B92775" w:rsidP="00B92775">
            <w:pPr>
              <w:pStyle w:val="TableText"/>
              <w:tabs>
                <w:tab w:val="left" w:pos="3306"/>
              </w:tabs>
              <w:jc w:val="right"/>
              <w:rPr>
                <w:rFonts w:cs="Calibri"/>
              </w:rPr>
            </w:pPr>
          </w:p>
        </w:tc>
      </w:tr>
      <w:tr w:rsidR="00636A09" w:rsidRPr="00CF7E1B" w14:paraId="661C9E82" w14:textId="77777777" w:rsidTr="004D1EC6">
        <w:tc>
          <w:tcPr>
            <w:tcW w:w="1563" w:type="dxa"/>
            <w:tcBorders>
              <w:top w:val="nil"/>
              <w:left w:val="single" w:sz="2" w:space="0" w:color="auto"/>
              <w:bottom w:val="nil"/>
              <w:right w:val="single" w:sz="2" w:space="0" w:color="auto"/>
            </w:tcBorders>
          </w:tcPr>
          <w:p w14:paraId="05296318" w14:textId="7027C4E2" w:rsidR="00636A09" w:rsidRPr="006911F3" w:rsidRDefault="00636A09" w:rsidP="00B92775">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1FCB4FC9" w14:textId="113D8471" w:rsidR="00636A09" w:rsidRPr="006911F3" w:rsidRDefault="00636A09" w:rsidP="00B92775">
            <w:pPr>
              <w:pStyle w:val="TableText"/>
              <w:tabs>
                <w:tab w:val="left" w:pos="3306"/>
              </w:tabs>
              <w:rPr>
                <w:rFonts w:cs="Calibri"/>
              </w:rPr>
            </w:pPr>
            <w:r w:rsidRPr="006911F3">
              <w:rPr>
                <w:rFonts w:cs="Calibri"/>
              </w:rPr>
              <w:t>Interest Revenue</w:t>
            </w:r>
          </w:p>
        </w:tc>
        <w:tc>
          <w:tcPr>
            <w:tcW w:w="1217" w:type="dxa"/>
            <w:tcBorders>
              <w:top w:val="nil"/>
              <w:left w:val="nil"/>
              <w:bottom w:val="nil"/>
              <w:right w:val="nil"/>
            </w:tcBorders>
            <w:vAlign w:val="bottom"/>
          </w:tcPr>
          <w:p w14:paraId="55C0911C" w14:textId="77777777" w:rsidR="00636A09" w:rsidRPr="006911F3" w:rsidRDefault="00636A09"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578BB6C3" w14:textId="77777777" w:rsidR="00636A09" w:rsidRPr="006911F3" w:rsidRDefault="00636A09"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25EF3DA5" w14:textId="77777777" w:rsidR="00636A09" w:rsidRPr="006911F3" w:rsidRDefault="00636A09" w:rsidP="00B92775">
            <w:pPr>
              <w:pStyle w:val="TableText"/>
              <w:tabs>
                <w:tab w:val="left" w:pos="3306"/>
              </w:tabs>
              <w:jc w:val="right"/>
              <w:rPr>
                <w:rFonts w:cs="Calibri"/>
              </w:rPr>
            </w:pPr>
          </w:p>
        </w:tc>
      </w:tr>
      <w:tr w:rsidR="00B92775" w:rsidRPr="00CF7E1B" w14:paraId="0BF4FF60" w14:textId="77777777" w:rsidTr="004D1EC6">
        <w:tc>
          <w:tcPr>
            <w:tcW w:w="1563" w:type="dxa"/>
            <w:tcBorders>
              <w:top w:val="nil"/>
              <w:left w:val="single" w:sz="2" w:space="0" w:color="auto"/>
              <w:bottom w:val="nil"/>
              <w:right w:val="single" w:sz="2" w:space="0" w:color="auto"/>
            </w:tcBorders>
          </w:tcPr>
          <w:p w14:paraId="12E09EE0" w14:textId="0199E76C"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4E3BB75D" w14:textId="084FCBEB" w:rsidR="00B92775" w:rsidRPr="006911F3" w:rsidRDefault="00B92775" w:rsidP="00B92775">
            <w:pPr>
              <w:pStyle w:val="TableText"/>
              <w:tabs>
                <w:tab w:val="left" w:pos="3306"/>
              </w:tabs>
              <w:rPr>
                <w:rFonts w:cs="Calibri"/>
              </w:rPr>
            </w:pPr>
            <w:r w:rsidRPr="006911F3">
              <w:rPr>
                <w:rFonts w:cs="Calibri"/>
              </w:rPr>
              <w:t>Other Revenue</w:t>
            </w:r>
          </w:p>
        </w:tc>
        <w:tc>
          <w:tcPr>
            <w:tcW w:w="1217" w:type="dxa"/>
            <w:tcBorders>
              <w:top w:val="nil"/>
              <w:left w:val="nil"/>
              <w:bottom w:val="single" w:sz="4" w:space="0" w:color="auto"/>
              <w:right w:val="nil"/>
            </w:tcBorders>
            <w:vAlign w:val="bottom"/>
          </w:tcPr>
          <w:p w14:paraId="63F64945"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single" w:sz="4" w:space="0" w:color="auto"/>
              <w:right w:val="nil"/>
            </w:tcBorders>
            <w:vAlign w:val="bottom"/>
          </w:tcPr>
          <w:p w14:paraId="7A65B7C7"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2B4833B9" w14:textId="77777777" w:rsidR="00B92775" w:rsidRPr="006911F3" w:rsidRDefault="00B92775" w:rsidP="00B92775">
            <w:pPr>
              <w:pStyle w:val="TableText"/>
              <w:tabs>
                <w:tab w:val="left" w:pos="3306"/>
              </w:tabs>
              <w:jc w:val="right"/>
              <w:rPr>
                <w:rFonts w:cs="Calibri"/>
              </w:rPr>
            </w:pPr>
          </w:p>
        </w:tc>
      </w:tr>
      <w:tr w:rsidR="00B92775" w:rsidRPr="00CF7E1B" w14:paraId="599005E7" w14:textId="77777777" w:rsidTr="004D1EC6">
        <w:tc>
          <w:tcPr>
            <w:tcW w:w="1563" w:type="dxa"/>
            <w:tcBorders>
              <w:top w:val="nil"/>
              <w:left w:val="single" w:sz="2" w:space="0" w:color="auto"/>
              <w:bottom w:val="nil"/>
              <w:right w:val="single" w:sz="2" w:space="0" w:color="auto"/>
            </w:tcBorders>
          </w:tcPr>
          <w:p w14:paraId="4503E814" w14:textId="77777777" w:rsidR="00B92775" w:rsidRPr="006911F3" w:rsidRDefault="00B92775" w:rsidP="00B92775">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41EB1737" w14:textId="77777777" w:rsidR="00B92775" w:rsidRPr="006911F3" w:rsidRDefault="00B92775" w:rsidP="00B92775">
            <w:pPr>
              <w:pStyle w:val="TableText"/>
              <w:tabs>
                <w:tab w:val="left" w:pos="3306"/>
              </w:tabs>
              <w:rPr>
                <w:rFonts w:cs="Calibri"/>
                <w:i/>
                <w:iCs/>
              </w:rPr>
            </w:pPr>
            <w:r w:rsidRPr="006911F3">
              <w:rPr>
                <w:rFonts w:cs="Calibri"/>
                <w:i/>
                <w:iCs/>
              </w:rPr>
              <w:t>Total Revenue</w:t>
            </w:r>
          </w:p>
        </w:tc>
        <w:tc>
          <w:tcPr>
            <w:tcW w:w="1217" w:type="dxa"/>
            <w:tcBorders>
              <w:top w:val="single" w:sz="4" w:space="0" w:color="auto"/>
              <w:left w:val="nil"/>
              <w:bottom w:val="nil"/>
              <w:right w:val="nil"/>
            </w:tcBorders>
            <w:vAlign w:val="bottom"/>
          </w:tcPr>
          <w:p w14:paraId="72E66B8C" w14:textId="77777777" w:rsidR="00B92775" w:rsidRPr="006911F3" w:rsidRDefault="00B92775" w:rsidP="00B92775">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0CB8E082" w14:textId="77777777" w:rsidR="00B92775" w:rsidRPr="006911F3" w:rsidRDefault="00B92775" w:rsidP="00B92775">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2B899E70" w14:textId="77777777" w:rsidR="00B92775" w:rsidRPr="006911F3" w:rsidRDefault="00B92775" w:rsidP="00B92775">
            <w:pPr>
              <w:pStyle w:val="TableText"/>
              <w:tabs>
                <w:tab w:val="left" w:pos="3306"/>
              </w:tabs>
              <w:jc w:val="right"/>
              <w:rPr>
                <w:rFonts w:cs="Calibri"/>
              </w:rPr>
            </w:pPr>
          </w:p>
        </w:tc>
      </w:tr>
      <w:tr w:rsidR="00B92775" w:rsidRPr="00CF7E1B" w14:paraId="201E4807" w14:textId="77777777" w:rsidTr="004D1EC6">
        <w:tc>
          <w:tcPr>
            <w:tcW w:w="1563" w:type="dxa"/>
            <w:tcBorders>
              <w:top w:val="nil"/>
              <w:left w:val="single" w:sz="2" w:space="0" w:color="auto"/>
              <w:bottom w:val="nil"/>
              <w:right w:val="single" w:sz="2" w:space="0" w:color="auto"/>
            </w:tcBorders>
          </w:tcPr>
          <w:p w14:paraId="053F593F" w14:textId="77777777" w:rsidR="00B92775" w:rsidRPr="006911F3" w:rsidRDefault="00B92775" w:rsidP="00B92775">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6A4F6FB2" w14:textId="77777777" w:rsidR="00B92775" w:rsidRPr="006911F3" w:rsidRDefault="00B92775" w:rsidP="00B92775">
            <w:pPr>
              <w:pStyle w:val="TableText"/>
              <w:tabs>
                <w:tab w:val="left" w:pos="3306"/>
              </w:tabs>
              <w:rPr>
                <w:rFonts w:cs="Calibri"/>
                <w:bCs/>
              </w:rPr>
            </w:pPr>
            <w:bookmarkStart w:id="277" w:name="_Toc48468259"/>
            <w:bookmarkStart w:id="278" w:name="_Toc49223902"/>
            <w:r w:rsidRPr="006911F3">
              <w:rPr>
                <w:rFonts w:cs="Calibri"/>
                <w:b/>
                <w:bCs/>
              </w:rPr>
              <w:t xml:space="preserve"> </w:t>
            </w:r>
            <w:bookmarkEnd w:id="277"/>
            <w:bookmarkEnd w:id="278"/>
          </w:p>
        </w:tc>
        <w:tc>
          <w:tcPr>
            <w:tcW w:w="1217" w:type="dxa"/>
            <w:tcBorders>
              <w:top w:val="nil"/>
              <w:left w:val="nil"/>
              <w:bottom w:val="nil"/>
              <w:right w:val="nil"/>
            </w:tcBorders>
            <w:vAlign w:val="bottom"/>
          </w:tcPr>
          <w:p w14:paraId="047CE725"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46BC23FF"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3ABDD843" w14:textId="77777777" w:rsidR="00B92775" w:rsidRPr="006911F3" w:rsidRDefault="00B92775" w:rsidP="00B92775">
            <w:pPr>
              <w:pStyle w:val="TableText"/>
              <w:tabs>
                <w:tab w:val="left" w:pos="3306"/>
              </w:tabs>
              <w:jc w:val="right"/>
              <w:rPr>
                <w:rFonts w:cs="Calibri"/>
              </w:rPr>
            </w:pPr>
          </w:p>
        </w:tc>
      </w:tr>
      <w:tr w:rsidR="00B92775" w:rsidRPr="00CF7E1B" w14:paraId="30C77F31" w14:textId="77777777" w:rsidTr="004D1EC6">
        <w:tc>
          <w:tcPr>
            <w:tcW w:w="1563" w:type="dxa"/>
            <w:tcBorders>
              <w:top w:val="nil"/>
              <w:left w:val="single" w:sz="2" w:space="0" w:color="auto"/>
              <w:bottom w:val="nil"/>
              <w:right w:val="single" w:sz="2" w:space="0" w:color="auto"/>
            </w:tcBorders>
          </w:tcPr>
          <w:p w14:paraId="44BDE52C" w14:textId="77777777" w:rsidR="00B92775" w:rsidRPr="006911F3" w:rsidRDefault="00B92775" w:rsidP="00B92775">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5" w:type="dxa"/>
            <w:tcBorders>
              <w:top w:val="nil"/>
              <w:left w:val="single" w:sz="2" w:space="0" w:color="auto"/>
              <w:bottom w:val="nil"/>
              <w:right w:val="nil"/>
            </w:tcBorders>
            <w:vAlign w:val="bottom"/>
          </w:tcPr>
          <w:p w14:paraId="440D9E67" w14:textId="77777777" w:rsidR="00B92775" w:rsidRPr="006911F3" w:rsidRDefault="00B92775" w:rsidP="00B92775">
            <w:pPr>
              <w:pStyle w:val="TableText"/>
              <w:tabs>
                <w:tab w:val="left" w:pos="3306"/>
              </w:tabs>
              <w:rPr>
                <w:rFonts w:cs="Calibri"/>
                <w:i/>
                <w:iCs/>
              </w:rPr>
            </w:pPr>
            <w:r w:rsidRPr="006911F3">
              <w:rPr>
                <w:rFonts w:cs="Calibri"/>
                <w:i/>
                <w:iCs/>
              </w:rPr>
              <w:t>Gains</w:t>
            </w:r>
          </w:p>
        </w:tc>
        <w:tc>
          <w:tcPr>
            <w:tcW w:w="1217" w:type="dxa"/>
            <w:tcBorders>
              <w:top w:val="nil"/>
              <w:left w:val="nil"/>
              <w:bottom w:val="nil"/>
              <w:right w:val="nil"/>
            </w:tcBorders>
            <w:vAlign w:val="bottom"/>
          </w:tcPr>
          <w:p w14:paraId="5982B1F4" w14:textId="77777777" w:rsidR="00B92775" w:rsidRPr="006911F3" w:rsidRDefault="00B92775" w:rsidP="00B92775">
            <w:pPr>
              <w:pStyle w:val="TableText"/>
              <w:tabs>
                <w:tab w:val="left" w:pos="3306"/>
              </w:tabs>
              <w:jc w:val="right"/>
              <w:rPr>
                <w:rFonts w:cs="Calibri"/>
                <w:b/>
                <w:bCs/>
              </w:rPr>
            </w:pPr>
          </w:p>
        </w:tc>
        <w:tc>
          <w:tcPr>
            <w:tcW w:w="1230" w:type="dxa"/>
            <w:tcBorders>
              <w:top w:val="nil"/>
              <w:left w:val="nil"/>
              <w:bottom w:val="nil"/>
              <w:right w:val="nil"/>
            </w:tcBorders>
            <w:vAlign w:val="bottom"/>
          </w:tcPr>
          <w:p w14:paraId="05F1C3FF" w14:textId="77777777" w:rsidR="00B92775" w:rsidRPr="006911F3" w:rsidRDefault="00B92775" w:rsidP="00B92775">
            <w:pPr>
              <w:pStyle w:val="TableText"/>
              <w:tabs>
                <w:tab w:val="left" w:pos="3306"/>
              </w:tabs>
              <w:jc w:val="right"/>
              <w:rPr>
                <w:rFonts w:cs="Calibri"/>
                <w:b/>
                <w:bCs/>
              </w:rPr>
            </w:pPr>
          </w:p>
        </w:tc>
        <w:tc>
          <w:tcPr>
            <w:tcW w:w="1215" w:type="dxa"/>
            <w:tcBorders>
              <w:top w:val="nil"/>
              <w:left w:val="nil"/>
              <w:bottom w:val="nil"/>
              <w:right w:val="nil"/>
            </w:tcBorders>
            <w:vAlign w:val="bottom"/>
          </w:tcPr>
          <w:p w14:paraId="26F8C5C3" w14:textId="77777777" w:rsidR="00B92775" w:rsidRPr="006911F3" w:rsidRDefault="00B92775" w:rsidP="00B92775">
            <w:pPr>
              <w:pStyle w:val="TableText"/>
              <w:tabs>
                <w:tab w:val="left" w:pos="3306"/>
              </w:tabs>
              <w:jc w:val="right"/>
              <w:rPr>
                <w:rFonts w:cs="Calibri"/>
                <w:b/>
                <w:bCs/>
              </w:rPr>
            </w:pPr>
          </w:p>
        </w:tc>
      </w:tr>
      <w:tr w:rsidR="00B92775" w:rsidRPr="00CF7E1B" w14:paraId="7A24C82F" w14:textId="77777777" w:rsidTr="004D1EC6">
        <w:tc>
          <w:tcPr>
            <w:tcW w:w="1563" w:type="dxa"/>
            <w:tcBorders>
              <w:top w:val="nil"/>
              <w:left w:val="single" w:sz="2" w:space="0" w:color="auto"/>
              <w:bottom w:val="nil"/>
              <w:right w:val="single" w:sz="2" w:space="0" w:color="auto"/>
            </w:tcBorders>
          </w:tcPr>
          <w:p w14:paraId="22CA138C" w14:textId="784B187D" w:rsidR="00B92775" w:rsidRPr="006911F3" w:rsidRDefault="00B92775" w:rsidP="00B92775">
            <w:pPr>
              <w:pStyle w:val="TableReference"/>
              <w:tabs>
                <w:tab w:val="left" w:pos="3306"/>
              </w:tabs>
              <w:spacing w:before="4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3D5C9E54" w14:textId="7F0CE4C9" w:rsidR="00B92775" w:rsidRPr="006911F3" w:rsidRDefault="00B92775" w:rsidP="00B92775">
            <w:pPr>
              <w:pStyle w:val="TableText"/>
              <w:tabs>
                <w:tab w:val="left" w:pos="3306"/>
              </w:tabs>
              <w:rPr>
                <w:rFonts w:cs="Calibri"/>
                <w:i/>
                <w:iCs/>
              </w:rPr>
            </w:pPr>
            <w:r w:rsidRPr="006911F3">
              <w:rPr>
                <w:rFonts w:cs="Calibri"/>
                <w:iCs/>
              </w:rPr>
              <w:t>Gains from Disposal, Derecognition and Remeasurement of Assets</w:t>
            </w:r>
          </w:p>
        </w:tc>
        <w:tc>
          <w:tcPr>
            <w:tcW w:w="1217" w:type="dxa"/>
            <w:tcBorders>
              <w:top w:val="nil"/>
              <w:left w:val="nil"/>
              <w:bottom w:val="nil"/>
              <w:right w:val="nil"/>
            </w:tcBorders>
            <w:vAlign w:val="bottom"/>
          </w:tcPr>
          <w:p w14:paraId="2532C666" w14:textId="77777777" w:rsidR="00B92775" w:rsidRPr="006911F3" w:rsidRDefault="00B92775" w:rsidP="00B92775">
            <w:pPr>
              <w:pStyle w:val="TableText"/>
              <w:tabs>
                <w:tab w:val="left" w:pos="3306"/>
              </w:tabs>
              <w:jc w:val="right"/>
              <w:rPr>
                <w:rFonts w:cs="Calibri"/>
                <w:b/>
                <w:bCs/>
              </w:rPr>
            </w:pPr>
          </w:p>
        </w:tc>
        <w:tc>
          <w:tcPr>
            <w:tcW w:w="1230" w:type="dxa"/>
            <w:tcBorders>
              <w:top w:val="nil"/>
              <w:left w:val="nil"/>
              <w:bottom w:val="nil"/>
              <w:right w:val="nil"/>
            </w:tcBorders>
            <w:vAlign w:val="bottom"/>
          </w:tcPr>
          <w:p w14:paraId="27F1EE47" w14:textId="77777777" w:rsidR="00B92775" w:rsidRPr="006911F3" w:rsidRDefault="00B92775" w:rsidP="00B92775">
            <w:pPr>
              <w:pStyle w:val="TableText"/>
              <w:tabs>
                <w:tab w:val="left" w:pos="3306"/>
              </w:tabs>
              <w:jc w:val="right"/>
              <w:rPr>
                <w:rFonts w:cs="Calibri"/>
                <w:b/>
                <w:bCs/>
              </w:rPr>
            </w:pPr>
          </w:p>
        </w:tc>
        <w:tc>
          <w:tcPr>
            <w:tcW w:w="1215" w:type="dxa"/>
            <w:tcBorders>
              <w:top w:val="nil"/>
              <w:left w:val="nil"/>
              <w:bottom w:val="nil"/>
              <w:right w:val="nil"/>
            </w:tcBorders>
            <w:vAlign w:val="bottom"/>
          </w:tcPr>
          <w:p w14:paraId="074EEE9E" w14:textId="77777777" w:rsidR="00B92775" w:rsidRPr="006911F3" w:rsidRDefault="00B92775" w:rsidP="00B92775">
            <w:pPr>
              <w:pStyle w:val="TableText"/>
              <w:tabs>
                <w:tab w:val="left" w:pos="3306"/>
              </w:tabs>
              <w:jc w:val="right"/>
              <w:rPr>
                <w:rFonts w:cs="Calibri"/>
                <w:b/>
                <w:bCs/>
              </w:rPr>
            </w:pPr>
          </w:p>
        </w:tc>
      </w:tr>
      <w:tr w:rsidR="00B92775" w:rsidRPr="00CF7E1B" w14:paraId="2B04EF59" w14:textId="77777777" w:rsidTr="004D1EC6">
        <w:tc>
          <w:tcPr>
            <w:tcW w:w="1563" w:type="dxa"/>
            <w:tcBorders>
              <w:top w:val="nil"/>
              <w:left w:val="single" w:sz="2" w:space="0" w:color="auto"/>
              <w:bottom w:val="nil"/>
              <w:right w:val="single" w:sz="2" w:space="0" w:color="auto"/>
            </w:tcBorders>
          </w:tcPr>
          <w:p w14:paraId="6D4305DD"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1052.15(d)</w:t>
            </w:r>
          </w:p>
        </w:tc>
        <w:tc>
          <w:tcPr>
            <w:tcW w:w="5325" w:type="dxa"/>
            <w:tcBorders>
              <w:top w:val="nil"/>
              <w:left w:val="single" w:sz="2" w:space="0" w:color="auto"/>
              <w:bottom w:val="nil"/>
              <w:right w:val="nil"/>
            </w:tcBorders>
            <w:vAlign w:val="bottom"/>
          </w:tcPr>
          <w:p w14:paraId="3F44E320" w14:textId="0BE3AC7E" w:rsidR="00B92775" w:rsidRPr="006911F3" w:rsidRDefault="00B92775" w:rsidP="00B92775">
            <w:pPr>
              <w:pStyle w:val="TableText"/>
              <w:tabs>
                <w:tab w:val="left" w:pos="3306"/>
              </w:tabs>
              <w:rPr>
                <w:rFonts w:cs="Calibri"/>
              </w:rPr>
            </w:pPr>
            <w:r w:rsidRPr="006911F3">
              <w:rPr>
                <w:rFonts w:cs="Calibri"/>
              </w:rPr>
              <w:t>Other Gains</w:t>
            </w:r>
          </w:p>
        </w:tc>
        <w:tc>
          <w:tcPr>
            <w:tcW w:w="1217" w:type="dxa"/>
            <w:tcBorders>
              <w:top w:val="nil"/>
              <w:left w:val="nil"/>
              <w:bottom w:val="single" w:sz="4" w:space="0" w:color="auto"/>
              <w:right w:val="nil"/>
            </w:tcBorders>
            <w:vAlign w:val="bottom"/>
          </w:tcPr>
          <w:p w14:paraId="50CA1592"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single" w:sz="4" w:space="0" w:color="auto"/>
              <w:right w:val="nil"/>
            </w:tcBorders>
            <w:vAlign w:val="bottom"/>
          </w:tcPr>
          <w:p w14:paraId="73AA5ECC"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6A03B35D" w14:textId="77777777" w:rsidR="00B92775" w:rsidRPr="006911F3" w:rsidRDefault="00B92775" w:rsidP="00B92775">
            <w:pPr>
              <w:pStyle w:val="TableText"/>
              <w:tabs>
                <w:tab w:val="left" w:pos="3306"/>
              </w:tabs>
              <w:jc w:val="right"/>
              <w:rPr>
                <w:rFonts w:cs="Calibri"/>
              </w:rPr>
            </w:pPr>
          </w:p>
        </w:tc>
      </w:tr>
      <w:tr w:rsidR="00B92775" w:rsidRPr="00CF7E1B" w14:paraId="4E757766" w14:textId="77777777" w:rsidTr="004D1EC6">
        <w:tc>
          <w:tcPr>
            <w:tcW w:w="1563" w:type="dxa"/>
            <w:tcBorders>
              <w:top w:val="nil"/>
              <w:left w:val="single" w:sz="2" w:space="0" w:color="auto"/>
              <w:bottom w:val="nil"/>
              <w:right w:val="single" w:sz="2" w:space="0" w:color="auto"/>
            </w:tcBorders>
          </w:tcPr>
          <w:p w14:paraId="775EE6C5" w14:textId="77777777" w:rsidR="00B92775" w:rsidRPr="006911F3" w:rsidRDefault="00B92775" w:rsidP="00B92775">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0EC811AD" w14:textId="77777777" w:rsidR="00B92775" w:rsidRPr="006911F3" w:rsidRDefault="00B92775" w:rsidP="00B92775">
            <w:pPr>
              <w:pStyle w:val="TableText"/>
              <w:tabs>
                <w:tab w:val="left" w:pos="3306"/>
              </w:tabs>
              <w:rPr>
                <w:rFonts w:cs="Calibri"/>
                <w:i/>
                <w:iCs/>
              </w:rPr>
            </w:pPr>
            <w:r w:rsidRPr="006911F3">
              <w:rPr>
                <w:rFonts w:cs="Calibri"/>
                <w:i/>
                <w:iCs/>
              </w:rPr>
              <w:t>Total Gains</w:t>
            </w:r>
          </w:p>
        </w:tc>
        <w:tc>
          <w:tcPr>
            <w:tcW w:w="1217" w:type="dxa"/>
            <w:tcBorders>
              <w:top w:val="single" w:sz="4" w:space="0" w:color="auto"/>
              <w:left w:val="nil"/>
              <w:bottom w:val="single" w:sz="4" w:space="0" w:color="auto"/>
              <w:right w:val="nil"/>
            </w:tcBorders>
            <w:vAlign w:val="bottom"/>
          </w:tcPr>
          <w:p w14:paraId="2C5AC1F0" w14:textId="77777777" w:rsidR="00B92775" w:rsidRPr="006911F3" w:rsidRDefault="00B92775" w:rsidP="00B92775">
            <w:pPr>
              <w:pStyle w:val="TableText"/>
              <w:tabs>
                <w:tab w:val="left" w:pos="3306"/>
              </w:tabs>
              <w:jc w:val="right"/>
              <w:rPr>
                <w:rFonts w:cs="Calibri"/>
              </w:rPr>
            </w:pPr>
          </w:p>
        </w:tc>
        <w:tc>
          <w:tcPr>
            <w:tcW w:w="1230" w:type="dxa"/>
            <w:tcBorders>
              <w:top w:val="single" w:sz="4" w:space="0" w:color="auto"/>
              <w:left w:val="nil"/>
              <w:bottom w:val="single" w:sz="4" w:space="0" w:color="auto"/>
              <w:right w:val="nil"/>
            </w:tcBorders>
            <w:vAlign w:val="bottom"/>
          </w:tcPr>
          <w:p w14:paraId="30CECE7C" w14:textId="77777777" w:rsidR="00B92775" w:rsidRPr="006911F3" w:rsidRDefault="00B92775" w:rsidP="00B92775">
            <w:pPr>
              <w:pStyle w:val="TableText"/>
              <w:tabs>
                <w:tab w:val="left" w:pos="3306"/>
              </w:tabs>
              <w:jc w:val="right"/>
              <w:rPr>
                <w:rFonts w:cs="Calibri"/>
              </w:rPr>
            </w:pPr>
          </w:p>
        </w:tc>
        <w:tc>
          <w:tcPr>
            <w:tcW w:w="1215" w:type="dxa"/>
            <w:tcBorders>
              <w:top w:val="single" w:sz="4" w:space="0" w:color="auto"/>
              <w:left w:val="nil"/>
              <w:bottom w:val="single" w:sz="4" w:space="0" w:color="auto"/>
              <w:right w:val="nil"/>
            </w:tcBorders>
            <w:vAlign w:val="bottom"/>
          </w:tcPr>
          <w:p w14:paraId="08D42AAA" w14:textId="77777777" w:rsidR="00B92775" w:rsidRPr="006911F3" w:rsidRDefault="00B92775" w:rsidP="00B92775">
            <w:pPr>
              <w:pStyle w:val="TableText"/>
              <w:tabs>
                <w:tab w:val="left" w:pos="3306"/>
              </w:tabs>
              <w:jc w:val="right"/>
              <w:rPr>
                <w:rFonts w:cs="Calibri"/>
              </w:rPr>
            </w:pPr>
          </w:p>
        </w:tc>
      </w:tr>
      <w:tr w:rsidR="00B92775" w:rsidRPr="00CF7E1B" w14:paraId="72DEDA8C" w14:textId="77777777" w:rsidTr="004D1EC6">
        <w:tc>
          <w:tcPr>
            <w:tcW w:w="1563" w:type="dxa"/>
            <w:tcBorders>
              <w:top w:val="nil"/>
              <w:left w:val="single" w:sz="2" w:space="0" w:color="auto"/>
              <w:bottom w:val="nil"/>
              <w:right w:val="single" w:sz="2" w:space="0" w:color="auto"/>
            </w:tcBorders>
          </w:tcPr>
          <w:p w14:paraId="3A04EA3E" w14:textId="77777777" w:rsidR="00B92775" w:rsidRPr="006911F3" w:rsidRDefault="00B92775" w:rsidP="00B92775">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699B2D8E" w14:textId="77777777" w:rsidR="00B92775" w:rsidRPr="006911F3" w:rsidRDefault="00B92775" w:rsidP="00B92775">
            <w:pPr>
              <w:pStyle w:val="TableText"/>
              <w:tabs>
                <w:tab w:val="left" w:pos="3306"/>
              </w:tabs>
              <w:rPr>
                <w:rFonts w:cs="Calibri"/>
                <w:b/>
                <w:bCs/>
              </w:rPr>
            </w:pPr>
            <w:r w:rsidRPr="006911F3">
              <w:rPr>
                <w:rFonts w:cs="Calibri"/>
                <w:b/>
                <w:bCs/>
              </w:rPr>
              <w:t>Total Income</w:t>
            </w:r>
          </w:p>
        </w:tc>
        <w:tc>
          <w:tcPr>
            <w:tcW w:w="1217" w:type="dxa"/>
            <w:tcBorders>
              <w:top w:val="single" w:sz="4" w:space="0" w:color="auto"/>
              <w:left w:val="nil"/>
              <w:bottom w:val="single" w:sz="4" w:space="0" w:color="auto"/>
              <w:right w:val="nil"/>
            </w:tcBorders>
            <w:vAlign w:val="bottom"/>
          </w:tcPr>
          <w:p w14:paraId="012F830C" w14:textId="77777777" w:rsidR="00B92775" w:rsidRPr="006911F3" w:rsidRDefault="00B92775" w:rsidP="00B92775">
            <w:pPr>
              <w:pStyle w:val="TableText"/>
              <w:tabs>
                <w:tab w:val="left" w:pos="3306"/>
              </w:tabs>
              <w:jc w:val="right"/>
              <w:rPr>
                <w:rFonts w:cs="Calibri"/>
                <w:b/>
                <w:bCs/>
              </w:rPr>
            </w:pPr>
          </w:p>
        </w:tc>
        <w:tc>
          <w:tcPr>
            <w:tcW w:w="1230" w:type="dxa"/>
            <w:tcBorders>
              <w:top w:val="single" w:sz="4" w:space="0" w:color="auto"/>
              <w:left w:val="nil"/>
              <w:bottom w:val="single" w:sz="4" w:space="0" w:color="auto"/>
              <w:right w:val="nil"/>
            </w:tcBorders>
            <w:vAlign w:val="bottom"/>
          </w:tcPr>
          <w:p w14:paraId="16C30A66" w14:textId="77777777" w:rsidR="00B92775" w:rsidRPr="006911F3" w:rsidRDefault="00B92775" w:rsidP="00B92775">
            <w:pPr>
              <w:pStyle w:val="TableText"/>
              <w:tabs>
                <w:tab w:val="left" w:pos="3306"/>
              </w:tabs>
              <w:jc w:val="right"/>
              <w:rPr>
                <w:rFonts w:cs="Calibri"/>
                <w:b/>
                <w:bCs/>
              </w:rPr>
            </w:pPr>
          </w:p>
        </w:tc>
        <w:tc>
          <w:tcPr>
            <w:tcW w:w="1215" w:type="dxa"/>
            <w:tcBorders>
              <w:top w:val="single" w:sz="4" w:space="0" w:color="auto"/>
              <w:left w:val="nil"/>
              <w:bottom w:val="single" w:sz="4" w:space="0" w:color="auto"/>
              <w:right w:val="nil"/>
            </w:tcBorders>
            <w:vAlign w:val="bottom"/>
          </w:tcPr>
          <w:p w14:paraId="5372B6E2" w14:textId="77777777" w:rsidR="00B92775" w:rsidRPr="006911F3" w:rsidRDefault="00B92775" w:rsidP="00B92775">
            <w:pPr>
              <w:pStyle w:val="TableText"/>
              <w:tabs>
                <w:tab w:val="left" w:pos="3306"/>
              </w:tabs>
              <w:jc w:val="right"/>
              <w:rPr>
                <w:rFonts w:cs="Calibri"/>
                <w:b/>
                <w:bCs/>
              </w:rPr>
            </w:pPr>
          </w:p>
        </w:tc>
      </w:tr>
      <w:tr w:rsidR="00B92775" w:rsidRPr="00CF7E1B" w14:paraId="668FB678" w14:textId="77777777" w:rsidTr="004D1EC6">
        <w:tc>
          <w:tcPr>
            <w:tcW w:w="1563" w:type="dxa"/>
            <w:tcBorders>
              <w:top w:val="nil"/>
              <w:left w:val="single" w:sz="2" w:space="0" w:color="auto"/>
              <w:bottom w:val="nil"/>
              <w:right w:val="single" w:sz="2" w:space="0" w:color="auto"/>
            </w:tcBorders>
          </w:tcPr>
          <w:p w14:paraId="6A73184E" w14:textId="77777777" w:rsidR="00B92775" w:rsidRPr="006911F3" w:rsidRDefault="00B92775" w:rsidP="00B92775">
            <w:pPr>
              <w:pStyle w:val="TableReference"/>
              <w:tabs>
                <w:tab w:val="left" w:pos="3306"/>
              </w:tabs>
              <w:spacing w:before="40"/>
              <w:rPr>
                <w:rFonts w:cs="Calibri"/>
                <w:color w:val="7030A0"/>
                <w:sz w:val="14"/>
              </w:rPr>
            </w:pPr>
          </w:p>
        </w:tc>
        <w:tc>
          <w:tcPr>
            <w:tcW w:w="5325" w:type="dxa"/>
            <w:tcBorders>
              <w:top w:val="nil"/>
              <w:left w:val="single" w:sz="2" w:space="0" w:color="auto"/>
              <w:bottom w:val="nil"/>
              <w:right w:val="nil"/>
            </w:tcBorders>
            <w:vAlign w:val="bottom"/>
          </w:tcPr>
          <w:p w14:paraId="5C785475" w14:textId="77777777" w:rsidR="00B92775" w:rsidRPr="006911F3" w:rsidRDefault="00B92775" w:rsidP="00B92775">
            <w:pPr>
              <w:pStyle w:val="TableText"/>
              <w:tabs>
                <w:tab w:val="left" w:pos="3306"/>
              </w:tabs>
              <w:rPr>
                <w:rFonts w:cs="Calibri"/>
              </w:rPr>
            </w:pPr>
            <w:r w:rsidRPr="006911F3">
              <w:rPr>
                <w:rFonts w:cs="Calibri"/>
              </w:rPr>
              <w:t xml:space="preserve"> </w:t>
            </w:r>
          </w:p>
        </w:tc>
        <w:tc>
          <w:tcPr>
            <w:tcW w:w="1217" w:type="dxa"/>
            <w:tcBorders>
              <w:top w:val="single" w:sz="4" w:space="0" w:color="auto"/>
              <w:left w:val="nil"/>
              <w:bottom w:val="nil"/>
              <w:right w:val="nil"/>
            </w:tcBorders>
            <w:vAlign w:val="bottom"/>
          </w:tcPr>
          <w:p w14:paraId="0F4CEA78" w14:textId="77777777" w:rsidR="00B92775" w:rsidRPr="006911F3" w:rsidRDefault="00B92775" w:rsidP="00B92775">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14CBA888" w14:textId="77777777" w:rsidR="00B92775" w:rsidRPr="006911F3" w:rsidRDefault="00B92775" w:rsidP="00B92775">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640D1FF4" w14:textId="77777777" w:rsidR="00B92775" w:rsidRPr="006911F3" w:rsidRDefault="00B92775" w:rsidP="00B92775">
            <w:pPr>
              <w:pStyle w:val="TableText"/>
              <w:tabs>
                <w:tab w:val="left" w:pos="3306"/>
              </w:tabs>
              <w:jc w:val="right"/>
              <w:rPr>
                <w:rFonts w:cs="Calibri"/>
              </w:rPr>
            </w:pPr>
          </w:p>
        </w:tc>
      </w:tr>
      <w:tr w:rsidR="00B92775" w:rsidRPr="00CF7E1B" w14:paraId="436FFBCB" w14:textId="77777777" w:rsidTr="004D1EC6">
        <w:tc>
          <w:tcPr>
            <w:tcW w:w="1563" w:type="dxa"/>
            <w:tcBorders>
              <w:top w:val="nil"/>
              <w:left w:val="single" w:sz="2" w:space="0" w:color="auto"/>
              <w:bottom w:val="nil"/>
              <w:right w:val="single" w:sz="2" w:space="0" w:color="auto"/>
            </w:tcBorders>
          </w:tcPr>
          <w:p w14:paraId="325809D6" w14:textId="77777777" w:rsidR="00B92775" w:rsidRPr="006911F3" w:rsidRDefault="00B92775" w:rsidP="00B92775">
            <w:pPr>
              <w:pStyle w:val="TableReference"/>
              <w:tabs>
                <w:tab w:val="left" w:pos="3306"/>
              </w:tabs>
              <w:spacing w:before="40"/>
              <w:rPr>
                <w:rFonts w:cs="Calibri"/>
                <w:color w:val="7030A0"/>
                <w:sz w:val="14"/>
              </w:rPr>
            </w:pPr>
            <w:r w:rsidRPr="006911F3">
              <w:rPr>
                <w:rFonts w:cs="Calibri"/>
                <w:color w:val="7030A0"/>
                <w:sz w:val="14"/>
              </w:rPr>
              <w:t xml:space="preserve"> </w:t>
            </w:r>
          </w:p>
        </w:tc>
        <w:tc>
          <w:tcPr>
            <w:tcW w:w="5325" w:type="dxa"/>
            <w:tcBorders>
              <w:top w:val="nil"/>
              <w:left w:val="single" w:sz="2" w:space="0" w:color="auto"/>
              <w:bottom w:val="nil"/>
              <w:right w:val="nil"/>
            </w:tcBorders>
            <w:vAlign w:val="bottom"/>
          </w:tcPr>
          <w:p w14:paraId="767E3453" w14:textId="77777777" w:rsidR="00B92775" w:rsidRPr="006911F3" w:rsidRDefault="00B92775" w:rsidP="00B92775">
            <w:pPr>
              <w:pStyle w:val="TableText"/>
              <w:tabs>
                <w:tab w:val="left" w:pos="3306"/>
              </w:tabs>
              <w:rPr>
                <w:rFonts w:cs="Calibri"/>
                <w:b/>
                <w:bCs/>
              </w:rPr>
            </w:pPr>
            <w:r w:rsidRPr="006911F3">
              <w:rPr>
                <w:rFonts w:cs="Calibri"/>
                <w:b/>
                <w:bCs/>
              </w:rPr>
              <w:t>Expenses</w:t>
            </w:r>
          </w:p>
        </w:tc>
        <w:tc>
          <w:tcPr>
            <w:tcW w:w="1217" w:type="dxa"/>
            <w:tcBorders>
              <w:top w:val="nil"/>
              <w:left w:val="nil"/>
              <w:bottom w:val="nil"/>
              <w:right w:val="nil"/>
            </w:tcBorders>
            <w:vAlign w:val="bottom"/>
          </w:tcPr>
          <w:p w14:paraId="62AA4F55"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3AB26165"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684F40A5" w14:textId="77777777" w:rsidR="00B92775" w:rsidRPr="006911F3" w:rsidRDefault="00B92775" w:rsidP="00B92775">
            <w:pPr>
              <w:pStyle w:val="TableText"/>
              <w:tabs>
                <w:tab w:val="left" w:pos="3306"/>
              </w:tabs>
              <w:jc w:val="right"/>
              <w:rPr>
                <w:rFonts w:cs="Calibri"/>
              </w:rPr>
            </w:pPr>
          </w:p>
        </w:tc>
      </w:tr>
      <w:tr w:rsidR="00B92775" w:rsidRPr="00CF7E1B" w14:paraId="42020942" w14:textId="77777777" w:rsidTr="004D1EC6">
        <w:tc>
          <w:tcPr>
            <w:tcW w:w="1563" w:type="dxa"/>
            <w:tcBorders>
              <w:top w:val="nil"/>
              <w:left w:val="single" w:sz="2" w:space="0" w:color="auto"/>
              <w:bottom w:val="nil"/>
              <w:right w:val="single" w:sz="2" w:space="0" w:color="auto"/>
            </w:tcBorders>
          </w:tcPr>
          <w:p w14:paraId="3A1B6C45"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49155E85" w14:textId="77777777" w:rsidR="00B92775" w:rsidRPr="006911F3" w:rsidRDefault="00B92775" w:rsidP="00B92775">
            <w:pPr>
              <w:pStyle w:val="TableText"/>
              <w:tabs>
                <w:tab w:val="left" w:pos="3306"/>
              </w:tabs>
              <w:rPr>
                <w:rFonts w:cs="Calibri"/>
              </w:rPr>
            </w:pPr>
            <w:r w:rsidRPr="006911F3">
              <w:rPr>
                <w:rFonts w:cs="Calibri"/>
              </w:rPr>
              <w:t>Employee Expenses</w:t>
            </w:r>
          </w:p>
        </w:tc>
        <w:tc>
          <w:tcPr>
            <w:tcW w:w="1217" w:type="dxa"/>
            <w:tcBorders>
              <w:top w:val="nil"/>
              <w:left w:val="nil"/>
              <w:bottom w:val="nil"/>
              <w:right w:val="nil"/>
            </w:tcBorders>
            <w:vAlign w:val="bottom"/>
          </w:tcPr>
          <w:p w14:paraId="53D7EAC8"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1D56EC06"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2AA97534" w14:textId="77777777" w:rsidR="00B92775" w:rsidRPr="006911F3" w:rsidRDefault="00B92775" w:rsidP="00B92775">
            <w:pPr>
              <w:pStyle w:val="TableText"/>
              <w:tabs>
                <w:tab w:val="left" w:pos="3306"/>
              </w:tabs>
              <w:jc w:val="right"/>
              <w:rPr>
                <w:rFonts w:cs="Calibri"/>
              </w:rPr>
            </w:pPr>
          </w:p>
        </w:tc>
      </w:tr>
      <w:tr w:rsidR="00B92775" w:rsidRPr="00CF7E1B" w14:paraId="480A6CD0" w14:textId="77777777" w:rsidTr="004D1EC6">
        <w:tc>
          <w:tcPr>
            <w:tcW w:w="1563" w:type="dxa"/>
            <w:tcBorders>
              <w:top w:val="nil"/>
              <w:left w:val="single" w:sz="2" w:space="0" w:color="auto"/>
              <w:bottom w:val="nil"/>
              <w:right w:val="single" w:sz="2" w:space="0" w:color="auto"/>
            </w:tcBorders>
          </w:tcPr>
          <w:p w14:paraId="6329F9BF"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5C5F0D3F" w14:textId="77777777" w:rsidR="00B92775" w:rsidRPr="006911F3" w:rsidRDefault="00B92775" w:rsidP="00B92775">
            <w:pPr>
              <w:pStyle w:val="TableText"/>
              <w:tabs>
                <w:tab w:val="left" w:pos="3306"/>
              </w:tabs>
              <w:rPr>
                <w:rFonts w:cs="Calibri"/>
              </w:rPr>
            </w:pPr>
            <w:r w:rsidRPr="006911F3">
              <w:rPr>
                <w:rFonts w:cs="Calibri"/>
              </w:rPr>
              <w:t>Superannuation Expenses</w:t>
            </w:r>
          </w:p>
        </w:tc>
        <w:tc>
          <w:tcPr>
            <w:tcW w:w="1217" w:type="dxa"/>
            <w:tcBorders>
              <w:top w:val="nil"/>
              <w:left w:val="nil"/>
              <w:bottom w:val="nil"/>
              <w:right w:val="nil"/>
            </w:tcBorders>
            <w:vAlign w:val="bottom"/>
          </w:tcPr>
          <w:p w14:paraId="458C0334"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2763A926"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355CE6AE" w14:textId="77777777" w:rsidR="00B92775" w:rsidRPr="006911F3" w:rsidRDefault="00B92775" w:rsidP="00B92775">
            <w:pPr>
              <w:pStyle w:val="TableText"/>
              <w:tabs>
                <w:tab w:val="left" w:pos="3306"/>
              </w:tabs>
              <w:jc w:val="right"/>
              <w:rPr>
                <w:rFonts w:cs="Calibri"/>
              </w:rPr>
            </w:pPr>
          </w:p>
        </w:tc>
      </w:tr>
      <w:tr w:rsidR="00B92775" w:rsidRPr="00CF7E1B" w14:paraId="292DFF2C" w14:textId="77777777" w:rsidTr="004D1EC6">
        <w:tc>
          <w:tcPr>
            <w:tcW w:w="1563" w:type="dxa"/>
            <w:tcBorders>
              <w:top w:val="nil"/>
              <w:left w:val="single" w:sz="2" w:space="0" w:color="auto"/>
              <w:bottom w:val="nil"/>
              <w:right w:val="single" w:sz="2" w:space="0" w:color="auto"/>
            </w:tcBorders>
          </w:tcPr>
          <w:p w14:paraId="52FD4BF7"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5A582BDB" w14:textId="77777777" w:rsidR="00B92775" w:rsidRPr="006911F3" w:rsidRDefault="00B92775" w:rsidP="00B92775">
            <w:pPr>
              <w:pStyle w:val="TableText"/>
              <w:tabs>
                <w:tab w:val="left" w:pos="3306"/>
              </w:tabs>
              <w:rPr>
                <w:rFonts w:cs="Calibri"/>
              </w:rPr>
            </w:pPr>
            <w:r w:rsidRPr="006911F3">
              <w:rPr>
                <w:rFonts w:cs="Calibri"/>
              </w:rPr>
              <w:t>Supplies and Services</w:t>
            </w:r>
          </w:p>
        </w:tc>
        <w:tc>
          <w:tcPr>
            <w:tcW w:w="1217" w:type="dxa"/>
            <w:tcBorders>
              <w:top w:val="nil"/>
              <w:left w:val="nil"/>
              <w:bottom w:val="nil"/>
              <w:right w:val="nil"/>
            </w:tcBorders>
            <w:vAlign w:val="bottom"/>
          </w:tcPr>
          <w:p w14:paraId="03974455"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5D252733"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755DC3D0" w14:textId="77777777" w:rsidR="00B92775" w:rsidRPr="006911F3" w:rsidRDefault="00B92775" w:rsidP="00B92775">
            <w:pPr>
              <w:pStyle w:val="TableText"/>
              <w:tabs>
                <w:tab w:val="left" w:pos="3306"/>
              </w:tabs>
              <w:jc w:val="right"/>
              <w:rPr>
                <w:rFonts w:cs="Calibri"/>
              </w:rPr>
            </w:pPr>
          </w:p>
        </w:tc>
      </w:tr>
      <w:tr w:rsidR="00B92775" w:rsidRPr="00CF7E1B" w14:paraId="67E6C8E0" w14:textId="77777777" w:rsidTr="004D1EC6">
        <w:tc>
          <w:tcPr>
            <w:tcW w:w="1563" w:type="dxa"/>
            <w:tcBorders>
              <w:top w:val="nil"/>
              <w:left w:val="single" w:sz="2" w:space="0" w:color="auto"/>
              <w:bottom w:val="nil"/>
              <w:right w:val="single" w:sz="2" w:space="0" w:color="auto"/>
            </w:tcBorders>
          </w:tcPr>
          <w:p w14:paraId="64A2F128"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5A0A71E2" w14:textId="77777777" w:rsidR="00B92775" w:rsidRPr="006911F3" w:rsidRDefault="00B92775" w:rsidP="00B92775">
            <w:pPr>
              <w:pStyle w:val="TableText"/>
              <w:tabs>
                <w:tab w:val="left" w:pos="3306"/>
              </w:tabs>
              <w:rPr>
                <w:rFonts w:cs="Calibri"/>
              </w:rPr>
            </w:pPr>
            <w:r w:rsidRPr="006911F3">
              <w:rPr>
                <w:rFonts w:cs="Calibri"/>
              </w:rPr>
              <w:t>Depreciation and Amortisation</w:t>
            </w:r>
          </w:p>
        </w:tc>
        <w:tc>
          <w:tcPr>
            <w:tcW w:w="1217" w:type="dxa"/>
            <w:tcBorders>
              <w:top w:val="nil"/>
              <w:left w:val="nil"/>
              <w:bottom w:val="nil"/>
              <w:right w:val="nil"/>
            </w:tcBorders>
            <w:vAlign w:val="bottom"/>
          </w:tcPr>
          <w:p w14:paraId="5DBFC996"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21A55B35"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5FA8C051" w14:textId="77777777" w:rsidR="00B92775" w:rsidRPr="006911F3" w:rsidRDefault="00B92775" w:rsidP="00B92775">
            <w:pPr>
              <w:pStyle w:val="TableText"/>
              <w:tabs>
                <w:tab w:val="left" w:pos="3306"/>
              </w:tabs>
              <w:jc w:val="right"/>
              <w:rPr>
                <w:rFonts w:cs="Calibri"/>
              </w:rPr>
            </w:pPr>
          </w:p>
        </w:tc>
      </w:tr>
      <w:tr w:rsidR="00B92775" w:rsidRPr="00CF7E1B" w14:paraId="55071BE7" w14:textId="77777777" w:rsidTr="004D1EC6">
        <w:tc>
          <w:tcPr>
            <w:tcW w:w="1563" w:type="dxa"/>
            <w:tcBorders>
              <w:top w:val="nil"/>
              <w:left w:val="single" w:sz="2" w:space="0" w:color="auto"/>
              <w:bottom w:val="nil"/>
              <w:right w:val="single" w:sz="2" w:space="0" w:color="auto"/>
            </w:tcBorders>
          </w:tcPr>
          <w:p w14:paraId="1BB53755"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12187852" w14:textId="77777777" w:rsidR="00B92775" w:rsidRPr="006911F3" w:rsidRDefault="00B92775" w:rsidP="00B92775">
            <w:pPr>
              <w:pStyle w:val="TableText"/>
              <w:tabs>
                <w:tab w:val="left" w:pos="3306"/>
              </w:tabs>
              <w:rPr>
                <w:rFonts w:cs="Calibri"/>
              </w:rPr>
            </w:pPr>
            <w:r w:rsidRPr="006911F3">
              <w:rPr>
                <w:rFonts w:cs="Calibri"/>
              </w:rPr>
              <w:t xml:space="preserve">Grants and Purchased Services </w:t>
            </w:r>
          </w:p>
        </w:tc>
        <w:tc>
          <w:tcPr>
            <w:tcW w:w="1217" w:type="dxa"/>
            <w:tcBorders>
              <w:top w:val="nil"/>
              <w:left w:val="nil"/>
              <w:bottom w:val="nil"/>
              <w:right w:val="nil"/>
            </w:tcBorders>
            <w:vAlign w:val="bottom"/>
          </w:tcPr>
          <w:p w14:paraId="4FCC9D5B"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77BD9568"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3F199F75" w14:textId="77777777" w:rsidR="00B92775" w:rsidRPr="006911F3" w:rsidRDefault="00B92775" w:rsidP="00B92775">
            <w:pPr>
              <w:pStyle w:val="TableText"/>
              <w:tabs>
                <w:tab w:val="left" w:pos="3306"/>
              </w:tabs>
              <w:jc w:val="right"/>
              <w:rPr>
                <w:rFonts w:cs="Calibri"/>
              </w:rPr>
            </w:pPr>
          </w:p>
        </w:tc>
      </w:tr>
      <w:tr w:rsidR="00B92775" w:rsidRPr="00CF7E1B" w14:paraId="3C9B6D78" w14:textId="77777777" w:rsidTr="004D1EC6">
        <w:tc>
          <w:tcPr>
            <w:tcW w:w="1563" w:type="dxa"/>
            <w:tcBorders>
              <w:top w:val="nil"/>
              <w:left w:val="single" w:sz="2" w:space="0" w:color="auto"/>
              <w:bottom w:val="nil"/>
              <w:right w:val="single" w:sz="2" w:space="0" w:color="auto"/>
            </w:tcBorders>
          </w:tcPr>
          <w:p w14:paraId="5895DEEA" w14:textId="1A56D765"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08959100" w14:textId="648D6BA5" w:rsidR="00B92775" w:rsidRPr="006911F3" w:rsidRDefault="00B92775" w:rsidP="00B92775">
            <w:pPr>
              <w:pStyle w:val="TableText"/>
              <w:tabs>
                <w:tab w:val="left" w:pos="3306"/>
              </w:tabs>
              <w:rPr>
                <w:rFonts w:cs="Calibri"/>
              </w:rPr>
            </w:pPr>
            <w:r w:rsidRPr="006911F3">
              <w:rPr>
                <w:rFonts w:cs="Calibri"/>
              </w:rPr>
              <w:t>Cost of Goods Sold and Distributed</w:t>
            </w:r>
          </w:p>
        </w:tc>
        <w:tc>
          <w:tcPr>
            <w:tcW w:w="1217" w:type="dxa"/>
            <w:tcBorders>
              <w:top w:val="nil"/>
              <w:left w:val="nil"/>
              <w:bottom w:val="nil"/>
              <w:right w:val="nil"/>
            </w:tcBorders>
            <w:vAlign w:val="bottom"/>
          </w:tcPr>
          <w:p w14:paraId="6CE8663E"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2AA75009"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6FB63851" w14:textId="77777777" w:rsidR="00B92775" w:rsidRPr="006911F3" w:rsidRDefault="00B92775" w:rsidP="00B92775">
            <w:pPr>
              <w:pStyle w:val="TableText"/>
              <w:tabs>
                <w:tab w:val="left" w:pos="3306"/>
              </w:tabs>
              <w:jc w:val="right"/>
              <w:rPr>
                <w:rFonts w:cs="Calibri"/>
              </w:rPr>
            </w:pPr>
          </w:p>
        </w:tc>
      </w:tr>
      <w:tr w:rsidR="00B92775" w:rsidRPr="00CF7E1B" w14:paraId="3A5E9A61" w14:textId="77777777" w:rsidTr="004D1EC6">
        <w:tc>
          <w:tcPr>
            <w:tcW w:w="1563" w:type="dxa"/>
            <w:tcBorders>
              <w:top w:val="nil"/>
              <w:left w:val="single" w:sz="2" w:space="0" w:color="auto"/>
              <w:bottom w:val="nil"/>
              <w:right w:val="single" w:sz="2" w:space="0" w:color="auto"/>
            </w:tcBorders>
          </w:tcPr>
          <w:p w14:paraId="0CC642F0"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2D02B8BF" w14:textId="77777777" w:rsidR="00B92775" w:rsidRPr="006911F3" w:rsidRDefault="00B92775" w:rsidP="00B92775">
            <w:pPr>
              <w:pStyle w:val="TableText"/>
              <w:tabs>
                <w:tab w:val="left" w:pos="3306"/>
              </w:tabs>
              <w:rPr>
                <w:rFonts w:cs="Calibri"/>
              </w:rPr>
            </w:pPr>
            <w:r w:rsidRPr="006911F3">
              <w:rPr>
                <w:rFonts w:cs="Calibri"/>
              </w:rPr>
              <w:t>Borrowing Costs</w:t>
            </w:r>
          </w:p>
        </w:tc>
        <w:tc>
          <w:tcPr>
            <w:tcW w:w="1217" w:type="dxa"/>
            <w:tcBorders>
              <w:top w:val="nil"/>
              <w:left w:val="nil"/>
              <w:bottom w:val="nil"/>
              <w:right w:val="nil"/>
            </w:tcBorders>
            <w:vAlign w:val="bottom"/>
          </w:tcPr>
          <w:p w14:paraId="5C763CC5" w14:textId="77777777" w:rsidR="00B92775" w:rsidRPr="006911F3" w:rsidRDefault="00B92775" w:rsidP="00B92775">
            <w:pPr>
              <w:pStyle w:val="TableText"/>
              <w:tabs>
                <w:tab w:val="left" w:pos="3306"/>
              </w:tabs>
              <w:jc w:val="right"/>
              <w:rPr>
                <w:rFonts w:cs="Calibri"/>
              </w:rPr>
            </w:pPr>
          </w:p>
        </w:tc>
        <w:tc>
          <w:tcPr>
            <w:tcW w:w="1230" w:type="dxa"/>
            <w:tcBorders>
              <w:top w:val="nil"/>
              <w:left w:val="nil"/>
              <w:bottom w:val="nil"/>
              <w:right w:val="nil"/>
            </w:tcBorders>
            <w:vAlign w:val="bottom"/>
          </w:tcPr>
          <w:p w14:paraId="3F06330C"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nil"/>
              <w:right w:val="nil"/>
            </w:tcBorders>
            <w:vAlign w:val="bottom"/>
          </w:tcPr>
          <w:p w14:paraId="6BE13942" w14:textId="77777777" w:rsidR="00B92775" w:rsidRPr="006911F3" w:rsidRDefault="00B92775" w:rsidP="00B92775">
            <w:pPr>
              <w:pStyle w:val="TableText"/>
              <w:tabs>
                <w:tab w:val="left" w:pos="3306"/>
              </w:tabs>
              <w:jc w:val="right"/>
              <w:rPr>
                <w:rFonts w:cs="Calibri"/>
              </w:rPr>
            </w:pPr>
          </w:p>
        </w:tc>
      </w:tr>
      <w:tr w:rsidR="00B92775" w:rsidRPr="00CF7E1B" w14:paraId="721DA31D" w14:textId="77777777" w:rsidTr="004D1EC6">
        <w:tc>
          <w:tcPr>
            <w:tcW w:w="1563" w:type="dxa"/>
            <w:tcBorders>
              <w:top w:val="nil"/>
              <w:left w:val="single" w:sz="2" w:space="0" w:color="auto"/>
              <w:bottom w:val="nil"/>
              <w:right w:val="single" w:sz="2" w:space="0" w:color="auto"/>
            </w:tcBorders>
          </w:tcPr>
          <w:p w14:paraId="5A554963" w14:textId="77777777" w:rsidR="00B92775" w:rsidRPr="006911F3" w:rsidRDefault="00B92775" w:rsidP="00B92775">
            <w:pPr>
              <w:pStyle w:val="TableReference"/>
              <w:tabs>
                <w:tab w:val="left" w:pos="3306"/>
              </w:tabs>
              <w:spacing w:before="60"/>
              <w:rPr>
                <w:rFonts w:cs="Calibri"/>
                <w:color w:val="7030A0"/>
                <w:sz w:val="14"/>
              </w:rPr>
            </w:pPr>
            <w:r w:rsidRPr="006911F3">
              <w:rPr>
                <w:rFonts w:cs="Calibri"/>
                <w:color w:val="7030A0"/>
                <w:sz w:val="14"/>
              </w:rPr>
              <w:t>AASB 1052.15(c)</w:t>
            </w:r>
          </w:p>
        </w:tc>
        <w:tc>
          <w:tcPr>
            <w:tcW w:w="5325" w:type="dxa"/>
            <w:tcBorders>
              <w:top w:val="nil"/>
              <w:left w:val="single" w:sz="2" w:space="0" w:color="auto"/>
              <w:bottom w:val="nil"/>
              <w:right w:val="nil"/>
            </w:tcBorders>
            <w:vAlign w:val="bottom"/>
          </w:tcPr>
          <w:p w14:paraId="14ED461E" w14:textId="77777777" w:rsidR="00B92775" w:rsidRPr="006911F3" w:rsidRDefault="00B92775" w:rsidP="00B92775">
            <w:pPr>
              <w:pStyle w:val="TableText"/>
              <w:tabs>
                <w:tab w:val="left" w:pos="3306"/>
              </w:tabs>
              <w:rPr>
                <w:rFonts w:cs="Calibri"/>
              </w:rPr>
            </w:pPr>
            <w:bookmarkStart w:id="279" w:name="_Toc48468261"/>
            <w:bookmarkStart w:id="280" w:name="_Toc49223904"/>
            <w:r w:rsidRPr="006911F3">
              <w:rPr>
                <w:rFonts w:cs="Calibri"/>
              </w:rPr>
              <w:t xml:space="preserve">Other Expenses </w:t>
            </w:r>
            <w:bookmarkEnd w:id="279"/>
            <w:bookmarkEnd w:id="280"/>
          </w:p>
        </w:tc>
        <w:tc>
          <w:tcPr>
            <w:tcW w:w="1217" w:type="dxa"/>
            <w:tcBorders>
              <w:top w:val="nil"/>
              <w:left w:val="nil"/>
              <w:bottom w:val="single" w:sz="4" w:space="0" w:color="auto"/>
              <w:right w:val="nil"/>
            </w:tcBorders>
            <w:vAlign w:val="bottom"/>
          </w:tcPr>
          <w:p w14:paraId="6DA796A2" w14:textId="77777777" w:rsidR="00B92775" w:rsidRPr="006911F3" w:rsidRDefault="00B92775" w:rsidP="00B92775">
            <w:pPr>
              <w:pStyle w:val="TableText"/>
              <w:tabs>
                <w:tab w:val="left" w:pos="3306"/>
              </w:tabs>
              <w:jc w:val="right"/>
              <w:rPr>
                <w:rFonts w:cs="Calibri"/>
                <w:strike/>
              </w:rPr>
            </w:pPr>
          </w:p>
        </w:tc>
        <w:tc>
          <w:tcPr>
            <w:tcW w:w="1230" w:type="dxa"/>
            <w:tcBorders>
              <w:top w:val="nil"/>
              <w:left w:val="nil"/>
              <w:bottom w:val="single" w:sz="4" w:space="0" w:color="auto"/>
              <w:right w:val="nil"/>
            </w:tcBorders>
            <w:vAlign w:val="bottom"/>
          </w:tcPr>
          <w:p w14:paraId="514AA55C" w14:textId="77777777" w:rsidR="00B92775" w:rsidRPr="006911F3" w:rsidRDefault="00B92775" w:rsidP="00B92775">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37B69277" w14:textId="77777777" w:rsidR="00B92775" w:rsidRPr="006911F3" w:rsidRDefault="00B92775" w:rsidP="00B92775">
            <w:pPr>
              <w:pStyle w:val="TableText"/>
              <w:tabs>
                <w:tab w:val="left" w:pos="3306"/>
              </w:tabs>
              <w:jc w:val="right"/>
              <w:rPr>
                <w:rFonts w:cs="Calibri"/>
              </w:rPr>
            </w:pPr>
          </w:p>
        </w:tc>
      </w:tr>
      <w:tr w:rsidR="00B92775" w:rsidRPr="00CF7E1B" w14:paraId="209FF565" w14:textId="77777777" w:rsidTr="004D1EC6">
        <w:tc>
          <w:tcPr>
            <w:tcW w:w="1563" w:type="dxa"/>
            <w:tcBorders>
              <w:top w:val="nil"/>
              <w:left w:val="single" w:sz="2" w:space="0" w:color="auto"/>
              <w:bottom w:val="nil"/>
              <w:right w:val="single" w:sz="2" w:space="0" w:color="auto"/>
            </w:tcBorders>
          </w:tcPr>
          <w:p w14:paraId="76077F1A" w14:textId="77777777" w:rsidR="00B92775" w:rsidRPr="006911F3" w:rsidRDefault="00B92775" w:rsidP="00B92775">
            <w:pPr>
              <w:pStyle w:val="TableReference"/>
              <w:tabs>
                <w:tab w:val="left" w:pos="3306"/>
              </w:tabs>
              <w:spacing w:before="40"/>
              <w:rPr>
                <w:rFonts w:cs="Calibri"/>
                <w:color w:val="7030A0"/>
                <w:sz w:val="16"/>
                <w:szCs w:val="16"/>
              </w:rPr>
            </w:pPr>
          </w:p>
        </w:tc>
        <w:tc>
          <w:tcPr>
            <w:tcW w:w="5325" w:type="dxa"/>
            <w:tcBorders>
              <w:top w:val="nil"/>
              <w:left w:val="single" w:sz="2" w:space="0" w:color="auto"/>
              <w:bottom w:val="nil"/>
              <w:right w:val="nil"/>
            </w:tcBorders>
            <w:vAlign w:val="bottom"/>
          </w:tcPr>
          <w:p w14:paraId="18A3F41F" w14:textId="77777777" w:rsidR="00B92775" w:rsidRPr="006911F3" w:rsidRDefault="00B92775" w:rsidP="00B92775">
            <w:pPr>
              <w:pStyle w:val="TableText"/>
              <w:tabs>
                <w:tab w:val="left" w:pos="3306"/>
              </w:tabs>
              <w:rPr>
                <w:rFonts w:cs="Calibri"/>
                <w:b/>
                <w:bCs/>
              </w:rPr>
            </w:pPr>
            <w:r w:rsidRPr="006911F3">
              <w:rPr>
                <w:rFonts w:cs="Calibri"/>
                <w:b/>
                <w:bCs/>
              </w:rPr>
              <w:t xml:space="preserve">Total Expenses </w:t>
            </w:r>
          </w:p>
        </w:tc>
        <w:tc>
          <w:tcPr>
            <w:tcW w:w="1217" w:type="dxa"/>
            <w:tcBorders>
              <w:top w:val="single" w:sz="4" w:space="0" w:color="auto"/>
              <w:left w:val="nil"/>
              <w:bottom w:val="single" w:sz="4" w:space="0" w:color="auto"/>
              <w:right w:val="nil"/>
            </w:tcBorders>
            <w:vAlign w:val="bottom"/>
          </w:tcPr>
          <w:p w14:paraId="64D8FD7C" w14:textId="77777777" w:rsidR="00B92775" w:rsidRPr="006911F3" w:rsidRDefault="00B92775" w:rsidP="00B92775">
            <w:pPr>
              <w:pStyle w:val="TableText"/>
              <w:tabs>
                <w:tab w:val="left" w:pos="3306"/>
              </w:tabs>
              <w:jc w:val="right"/>
              <w:rPr>
                <w:rFonts w:cs="Calibri"/>
                <w:b/>
                <w:bCs/>
              </w:rPr>
            </w:pPr>
          </w:p>
        </w:tc>
        <w:tc>
          <w:tcPr>
            <w:tcW w:w="1230" w:type="dxa"/>
            <w:tcBorders>
              <w:top w:val="single" w:sz="4" w:space="0" w:color="auto"/>
              <w:left w:val="nil"/>
              <w:bottom w:val="single" w:sz="4" w:space="0" w:color="auto"/>
              <w:right w:val="nil"/>
            </w:tcBorders>
            <w:vAlign w:val="bottom"/>
          </w:tcPr>
          <w:p w14:paraId="73816F09" w14:textId="77777777" w:rsidR="00B92775" w:rsidRPr="006911F3" w:rsidRDefault="00B92775" w:rsidP="00B92775">
            <w:pPr>
              <w:pStyle w:val="TableText"/>
              <w:tabs>
                <w:tab w:val="left" w:pos="3306"/>
              </w:tabs>
              <w:jc w:val="right"/>
              <w:rPr>
                <w:rFonts w:cs="Calibri"/>
                <w:b/>
                <w:bCs/>
              </w:rPr>
            </w:pPr>
          </w:p>
        </w:tc>
        <w:tc>
          <w:tcPr>
            <w:tcW w:w="1215" w:type="dxa"/>
            <w:tcBorders>
              <w:top w:val="single" w:sz="4" w:space="0" w:color="auto"/>
              <w:left w:val="nil"/>
              <w:bottom w:val="single" w:sz="4" w:space="0" w:color="auto"/>
              <w:right w:val="nil"/>
            </w:tcBorders>
            <w:vAlign w:val="bottom"/>
          </w:tcPr>
          <w:p w14:paraId="478DA92D" w14:textId="77777777" w:rsidR="00B92775" w:rsidRPr="006911F3" w:rsidRDefault="00B92775" w:rsidP="00B92775">
            <w:pPr>
              <w:pStyle w:val="TableText"/>
              <w:tabs>
                <w:tab w:val="left" w:pos="3306"/>
              </w:tabs>
              <w:jc w:val="right"/>
              <w:rPr>
                <w:rFonts w:cs="Calibri"/>
                <w:b/>
                <w:bCs/>
              </w:rPr>
            </w:pPr>
          </w:p>
        </w:tc>
      </w:tr>
      <w:tr w:rsidR="00B92775" w:rsidRPr="00CF7E1B" w14:paraId="647C60CE" w14:textId="77777777" w:rsidTr="004D1EC6">
        <w:tc>
          <w:tcPr>
            <w:tcW w:w="1563" w:type="dxa"/>
            <w:tcBorders>
              <w:top w:val="nil"/>
              <w:left w:val="single" w:sz="2" w:space="0" w:color="auto"/>
              <w:bottom w:val="nil"/>
              <w:right w:val="single" w:sz="2" w:space="0" w:color="auto"/>
            </w:tcBorders>
          </w:tcPr>
          <w:p w14:paraId="25A78DC6" w14:textId="77777777" w:rsidR="00B92775" w:rsidRPr="006911F3" w:rsidRDefault="00B92775" w:rsidP="00B92775">
            <w:pPr>
              <w:pStyle w:val="TableReference"/>
              <w:tabs>
                <w:tab w:val="left" w:pos="3306"/>
              </w:tabs>
              <w:spacing w:before="40"/>
              <w:rPr>
                <w:rFonts w:cs="Calibri"/>
                <w:color w:val="7030A0"/>
                <w:sz w:val="16"/>
                <w:szCs w:val="16"/>
              </w:rPr>
            </w:pPr>
          </w:p>
        </w:tc>
        <w:tc>
          <w:tcPr>
            <w:tcW w:w="5325" w:type="dxa"/>
            <w:tcBorders>
              <w:top w:val="nil"/>
              <w:left w:val="single" w:sz="2" w:space="0" w:color="auto"/>
              <w:bottom w:val="nil"/>
              <w:right w:val="nil"/>
            </w:tcBorders>
            <w:vAlign w:val="bottom"/>
          </w:tcPr>
          <w:p w14:paraId="27F6BDCC" w14:textId="0F13198E" w:rsidR="00B92775" w:rsidRPr="006911F3" w:rsidRDefault="00B92775" w:rsidP="00B92775">
            <w:pPr>
              <w:pStyle w:val="TableText"/>
              <w:tabs>
                <w:tab w:val="left" w:pos="3306"/>
              </w:tabs>
              <w:rPr>
                <w:rFonts w:cs="Calibri"/>
                <w:b/>
                <w:bCs/>
              </w:rPr>
            </w:pPr>
            <w:bookmarkStart w:id="281" w:name="_Toc48468263"/>
            <w:bookmarkStart w:id="282" w:name="_Toc49223906"/>
            <w:r w:rsidRPr="006911F3">
              <w:rPr>
                <w:rFonts w:cs="Calibri"/>
                <w:b/>
                <w:bCs/>
              </w:rPr>
              <w:t xml:space="preserve">Operating </w:t>
            </w:r>
            <w:r w:rsidR="00F91BB4" w:rsidRPr="006911F3">
              <w:rPr>
                <w:rFonts w:cs="Calibri"/>
                <w:b/>
                <w:bCs/>
              </w:rPr>
              <w:t>Result</w:t>
            </w:r>
            <w:bookmarkEnd w:id="281"/>
            <w:bookmarkEnd w:id="282"/>
            <w:r w:rsidR="00FA7C77">
              <w:rPr>
                <w:rFonts w:cs="Calibri"/>
                <w:b/>
                <w:bCs/>
              </w:rPr>
              <w:t xml:space="preserve"> </w:t>
            </w:r>
          </w:p>
        </w:tc>
        <w:tc>
          <w:tcPr>
            <w:tcW w:w="1217" w:type="dxa"/>
            <w:tcBorders>
              <w:top w:val="single" w:sz="4" w:space="0" w:color="auto"/>
              <w:left w:val="nil"/>
              <w:bottom w:val="double" w:sz="4" w:space="0" w:color="auto"/>
              <w:right w:val="nil"/>
            </w:tcBorders>
            <w:vAlign w:val="bottom"/>
          </w:tcPr>
          <w:p w14:paraId="3FDBFEEB" w14:textId="77777777" w:rsidR="00B92775" w:rsidRPr="006911F3" w:rsidRDefault="00B92775" w:rsidP="00B92775">
            <w:pPr>
              <w:pStyle w:val="TableText"/>
              <w:tabs>
                <w:tab w:val="left" w:pos="3306"/>
              </w:tabs>
              <w:jc w:val="right"/>
              <w:rPr>
                <w:rFonts w:cs="Calibri"/>
                <w:b/>
                <w:bCs/>
              </w:rPr>
            </w:pPr>
          </w:p>
        </w:tc>
        <w:tc>
          <w:tcPr>
            <w:tcW w:w="1230" w:type="dxa"/>
            <w:tcBorders>
              <w:top w:val="single" w:sz="4" w:space="0" w:color="auto"/>
              <w:left w:val="nil"/>
              <w:bottom w:val="double" w:sz="4" w:space="0" w:color="auto"/>
              <w:right w:val="nil"/>
            </w:tcBorders>
            <w:vAlign w:val="bottom"/>
          </w:tcPr>
          <w:p w14:paraId="75CF65F8" w14:textId="77777777" w:rsidR="00B92775" w:rsidRPr="006911F3" w:rsidRDefault="00B92775" w:rsidP="00B92775">
            <w:pPr>
              <w:pStyle w:val="TableText"/>
              <w:tabs>
                <w:tab w:val="left" w:pos="3306"/>
              </w:tabs>
              <w:jc w:val="right"/>
              <w:rPr>
                <w:rFonts w:cs="Calibri"/>
                <w:b/>
                <w:bCs/>
              </w:rPr>
            </w:pPr>
          </w:p>
        </w:tc>
        <w:tc>
          <w:tcPr>
            <w:tcW w:w="1215" w:type="dxa"/>
            <w:tcBorders>
              <w:top w:val="single" w:sz="4" w:space="0" w:color="auto"/>
              <w:left w:val="nil"/>
              <w:bottom w:val="double" w:sz="4" w:space="0" w:color="auto"/>
              <w:right w:val="nil"/>
            </w:tcBorders>
            <w:vAlign w:val="bottom"/>
          </w:tcPr>
          <w:p w14:paraId="3087CAD0" w14:textId="77777777" w:rsidR="00B92775" w:rsidRPr="006911F3" w:rsidRDefault="00B92775" w:rsidP="00B92775">
            <w:pPr>
              <w:pStyle w:val="TableText"/>
              <w:tabs>
                <w:tab w:val="left" w:pos="3306"/>
              </w:tabs>
              <w:jc w:val="right"/>
              <w:rPr>
                <w:rFonts w:cs="Calibri"/>
                <w:b/>
                <w:bCs/>
                <w:strike/>
              </w:rPr>
            </w:pPr>
          </w:p>
        </w:tc>
      </w:tr>
      <w:tr w:rsidR="00B92775" w:rsidRPr="00CF7E1B" w14:paraId="55CF872A" w14:textId="77777777" w:rsidTr="004D1EC6">
        <w:tc>
          <w:tcPr>
            <w:tcW w:w="1563" w:type="dxa"/>
            <w:tcBorders>
              <w:top w:val="nil"/>
              <w:left w:val="single" w:sz="2" w:space="0" w:color="auto"/>
              <w:bottom w:val="nil"/>
              <w:right w:val="single" w:sz="2" w:space="0" w:color="auto"/>
            </w:tcBorders>
          </w:tcPr>
          <w:p w14:paraId="1EBD2189" w14:textId="77777777" w:rsidR="00B92775" w:rsidRPr="006911F3" w:rsidRDefault="00B92775" w:rsidP="00B92775">
            <w:pPr>
              <w:pStyle w:val="TableReference"/>
              <w:tabs>
                <w:tab w:val="left" w:pos="3306"/>
              </w:tabs>
              <w:spacing w:before="40"/>
              <w:rPr>
                <w:rFonts w:cs="Calibri"/>
                <w:color w:val="7030A0"/>
                <w:sz w:val="16"/>
                <w:szCs w:val="16"/>
              </w:rPr>
            </w:pPr>
          </w:p>
        </w:tc>
        <w:tc>
          <w:tcPr>
            <w:tcW w:w="5325" w:type="dxa"/>
            <w:tcBorders>
              <w:top w:val="nil"/>
              <w:left w:val="single" w:sz="2" w:space="0" w:color="auto"/>
              <w:bottom w:val="nil"/>
              <w:right w:val="nil"/>
            </w:tcBorders>
            <w:vAlign w:val="bottom"/>
          </w:tcPr>
          <w:p w14:paraId="58BC3C84" w14:textId="77777777" w:rsidR="00B92775" w:rsidRPr="006911F3" w:rsidRDefault="00B92775" w:rsidP="00B92775">
            <w:pPr>
              <w:pStyle w:val="TableText"/>
              <w:tabs>
                <w:tab w:val="left" w:pos="3306"/>
              </w:tabs>
              <w:rPr>
                <w:rFonts w:cs="Calibri"/>
                <w:b/>
                <w:bCs/>
              </w:rPr>
            </w:pPr>
          </w:p>
        </w:tc>
        <w:tc>
          <w:tcPr>
            <w:tcW w:w="1217" w:type="dxa"/>
            <w:tcBorders>
              <w:top w:val="double" w:sz="4" w:space="0" w:color="auto"/>
              <w:left w:val="nil"/>
              <w:bottom w:val="nil"/>
              <w:right w:val="nil"/>
            </w:tcBorders>
            <w:vAlign w:val="bottom"/>
          </w:tcPr>
          <w:p w14:paraId="486A7330" w14:textId="77777777" w:rsidR="00B92775" w:rsidRPr="006911F3" w:rsidRDefault="00B92775" w:rsidP="00B92775">
            <w:pPr>
              <w:pStyle w:val="TableText"/>
              <w:tabs>
                <w:tab w:val="left" w:pos="3306"/>
              </w:tabs>
              <w:jc w:val="right"/>
              <w:rPr>
                <w:rFonts w:cs="Calibri"/>
                <w:b/>
                <w:bCs/>
              </w:rPr>
            </w:pPr>
          </w:p>
        </w:tc>
        <w:tc>
          <w:tcPr>
            <w:tcW w:w="1230" w:type="dxa"/>
            <w:tcBorders>
              <w:top w:val="double" w:sz="4" w:space="0" w:color="auto"/>
              <w:left w:val="nil"/>
              <w:bottom w:val="nil"/>
              <w:right w:val="nil"/>
            </w:tcBorders>
            <w:vAlign w:val="bottom"/>
          </w:tcPr>
          <w:p w14:paraId="36D1CD1B" w14:textId="77777777" w:rsidR="00B92775" w:rsidRPr="006911F3" w:rsidRDefault="00B92775" w:rsidP="00B92775">
            <w:pPr>
              <w:pStyle w:val="TableText"/>
              <w:tabs>
                <w:tab w:val="left" w:pos="3306"/>
              </w:tabs>
              <w:jc w:val="right"/>
              <w:rPr>
                <w:rFonts w:cs="Calibri"/>
                <w:b/>
                <w:bCs/>
              </w:rPr>
            </w:pPr>
          </w:p>
        </w:tc>
        <w:tc>
          <w:tcPr>
            <w:tcW w:w="1215" w:type="dxa"/>
            <w:tcBorders>
              <w:top w:val="double" w:sz="4" w:space="0" w:color="auto"/>
              <w:left w:val="nil"/>
              <w:bottom w:val="nil"/>
              <w:right w:val="nil"/>
            </w:tcBorders>
            <w:vAlign w:val="bottom"/>
          </w:tcPr>
          <w:p w14:paraId="29B66864" w14:textId="77777777" w:rsidR="00B92775" w:rsidRPr="006911F3" w:rsidRDefault="00B92775" w:rsidP="00B92775">
            <w:pPr>
              <w:pStyle w:val="TableText"/>
              <w:tabs>
                <w:tab w:val="left" w:pos="3306"/>
              </w:tabs>
              <w:jc w:val="right"/>
              <w:rPr>
                <w:rFonts w:cs="Calibri"/>
                <w:b/>
                <w:bCs/>
                <w:strike/>
              </w:rPr>
            </w:pPr>
          </w:p>
        </w:tc>
      </w:tr>
      <w:tr w:rsidR="00B92775" w:rsidRPr="00CF7E1B" w14:paraId="1D8132A8" w14:textId="77777777" w:rsidTr="004D1EC6">
        <w:tc>
          <w:tcPr>
            <w:tcW w:w="1563" w:type="dxa"/>
            <w:tcBorders>
              <w:top w:val="nil"/>
              <w:left w:val="single" w:sz="2" w:space="0" w:color="auto"/>
              <w:bottom w:val="nil"/>
              <w:right w:val="single" w:sz="2" w:space="0" w:color="auto"/>
            </w:tcBorders>
          </w:tcPr>
          <w:p w14:paraId="0FAE61CF" w14:textId="77777777" w:rsidR="00B92775" w:rsidRPr="006911F3" w:rsidRDefault="00B92775" w:rsidP="00B92775">
            <w:pPr>
              <w:pStyle w:val="TableReference"/>
              <w:tabs>
                <w:tab w:val="left" w:pos="3306"/>
              </w:tabs>
              <w:spacing w:before="40"/>
              <w:rPr>
                <w:rFonts w:cs="Calibri"/>
                <w:color w:val="7030A0"/>
                <w:sz w:val="16"/>
                <w:szCs w:val="16"/>
              </w:rPr>
            </w:pPr>
          </w:p>
        </w:tc>
        <w:tc>
          <w:tcPr>
            <w:tcW w:w="8987" w:type="dxa"/>
            <w:gridSpan w:val="4"/>
            <w:tcBorders>
              <w:top w:val="nil"/>
              <w:left w:val="single" w:sz="2" w:space="0" w:color="auto"/>
              <w:bottom w:val="nil"/>
              <w:right w:val="nil"/>
            </w:tcBorders>
          </w:tcPr>
          <w:p w14:paraId="788EE8AD" w14:textId="2F9D7E25" w:rsidR="00B92775" w:rsidRPr="006911F3" w:rsidRDefault="00B92775" w:rsidP="00B92775">
            <w:pPr>
              <w:pStyle w:val="TableText"/>
              <w:tabs>
                <w:tab w:val="left" w:pos="3306"/>
              </w:tabs>
              <w:rPr>
                <w:rFonts w:cs="Calibri"/>
                <w:b/>
                <w:bCs/>
                <w:strike/>
              </w:rPr>
            </w:pPr>
            <w:r w:rsidRPr="006911F3">
              <w:rPr>
                <w:rFonts w:cs="Calibri"/>
              </w:rPr>
              <w:t>Income from Government Sources</w:t>
            </w:r>
          </w:p>
        </w:tc>
      </w:tr>
    </w:tbl>
    <w:p w14:paraId="612A009F" w14:textId="77777777" w:rsidR="006128E8" w:rsidRDefault="006128E8">
      <w:pPr>
        <w:rPr>
          <w:rFonts w:cs="Calibri"/>
          <w:b/>
          <w:bCs/>
        </w:rPr>
        <w:sectPr w:rsidR="006128E8" w:rsidSect="004514CD">
          <w:footnotePr>
            <w:numRestart w:val="eachPage"/>
          </w:footnotePr>
          <w:pgSz w:w="11907" w:h="16840" w:code="9"/>
          <w:pgMar w:top="1134" w:right="680" w:bottom="567" w:left="680" w:header="720" w:footer="720" w:gutter="0"/>
          <w:cols w:space="720"/>
        </w:sectPr>
      </w:pPr>
    </w:p>
    <w:p w14:paraId="5FD6CF22" w14:textId="11D995C9" w:rsidR="00A2296F" w:rsidRPr="00572AEC" w:rsidRDefault="00A2296F" w:rsidP="00A2296F">
      <w:pPr>
        <w:spacing w:line="400" w:lineRule="exact"/>
        <w:jc w:val="center"/>
        <w:rPr>
          <w:b/>
          <w:sz w:val="40"/>
          <w:szCs w:val="40"/>
        </w:rPr>
      </w:pPr>
      <w:r w:rsidRPr="00572AEC">
        <w:rPr>
          <w:b/>
          <w:sz w:val="40"/>
          <w:szCs w:val="40"/>
        </w:rPr>
        <w:t>‘</w:t>
      </w:r>
      <w:r w:rsidR="00CB5FDC" w:rsidRPr="00572AEC">
        <w:rPr>
          <w:rFonts w:asciiTheme="minorHAnsi" w:hAnsiTheme="minorHAnsi" w:cstheme="minorHAnsi"/>
          <w:b/>
          <w:bCs/>
          <w:sz w:val="40"/>
          <w:szCs w:val="24"/>
        </w:rPr>
        <w:t>Burley Griffin</w:t>
      </w:r>
      <w:r w:rsidR="00CB5FDC" w:rsidRPr="00572AEC">
        <w:rPr>
          <w:rFonts w:asciiTheme="minorHAnsi" w:hAnsiTheme="minorHAnsi" w:cstheme="minorHAnsi"/>
          <w:sz w:val="40"/>
          <w:szCs w:val="24"/>
        </w:rPr>
        <w:t xml:space="preserve"> </w:t>
      </w:r>
      <w:r w:rsidRPr="00572AEC">
        <w:rPr>
          <w:b/>
          <w:sz w:val="40"/>
          <w:szCs w:val="40"/>
        </w:rPr>
        <w:t>Agency’</w:t>
      </w:r>
    </w:p>
    <w:p w14:paraId="4ED5476F" w14:textId="0A8577AB" w:rsidR="00A2296F" w:rsidRPr="00572AEC" w:rsidRDefault="00A2296F" w:rsidP="00A2296F">
      <w:pPr>
        <w:pStyle w:val="Subtitle"/>
        <w:spacing w:line="400" w:lineRule="exact"/>
        <w:rPr>
          <w:rFonts w:asciiTheme="minorHAnsi" w:hAnsiTheme="minorHAnsi" w:cstheme="minorHAnsi"/>
        </w:rPr>
      </w:pPr>
      <w:bookmarkStart w:id="283" w:name="_Toc98763034"/>
      <w:r w:rsidRPr="00572AEC">
        <w:rPr>
          <w:rFonts w:asciiTheme="minorHAnsi" w:hAnsiTheme="minorHAnsi" w:cstheme="minorHAnsi"/>
        </w:rPr>
        <w:t xml:space="preserve">Operating Statement for Output Class </w:t>
      </w:r>
      <w:r w:rsidR="00ED1443" w:rsidRPr="00572AEC">
        <w:rPr>
          <w:rFonts w:asciiTheme="minorHAnsi" w:hAnsiTheme="minorHAnsi" w:cstheme="minorHAnsi"/>
        </w:rPr>
        <w:t>4</w:t>
      </w:r>
      <w:r w:rsidRPr="00572AEC">
        <w:rPr>
          <w:rFonts w:asciiTheme="minorHAnsi" w:hAnsiTheme="minorHAnsi" w:cstheme="minorHAnsi"/>
        </w:rPr>
        <w:t xml:space="preserve"> – </w:t>
      </w:r>
      <w:r w:rsidR="00ED1443" w:rsidRPr="00572AEC">
        <w:rPr>
          <w:rFonts w:asciiTheme="minorHAnsi" w:hAnsiTheme="minorHAnsi" w:cstheme="minorHAnsi"/>
        </w:rPr>
        <w:t>Courts and Tribunals</w:t>
      </w:r>
      <w:bookmarkEnd w:id="283"/>
    </w:p>
    <w:p w14:paraId="67223F5E" w14:textId="224B150D" w:rsidR="00A2296F" w:rsidRPr="00572AEC" w:rsidRDefault="00A2296F" w:rsidP="00183BD1">
      <w:pPr>
        <w:spacing w:after="240" w:line="400" w:lineRule="exact"/>
        <w:jc w:val="center"/>
        <w:rPr>
          <w:b/>
          <w:sz w:val="40"/>
          <w:szCs w:val="40"/>
        </w:rPr>
      </w:pPr>
      <w:r w:rsidRPr="00572AEC">
        <w:rPr>
          <w:b/>
          <w:sz w:val="40"/>
          <w:szCs w:val="40"/>
        </w:rPr>
        <w:t>For the Year Ended 30 June 2022</w:t>
      </w: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324"/>
        <w:gridCol w:w="1217"/>
        <w:gridCol w:w="1230"/>
        <w:gridCol w:w="1215"/>
      </w:tblGrid>
      <w:tr w:rsidR="00572AEC" w:rsidRPr="00572AEC" w14:paraId="6A0EDA55" w14:textId="77777777" w:rsidTr="004D1EC6">
        <w:tc>
          <w:tcPr>
            <w:tcW w:w="1560" w:type="dxa"/>
            <w:tcBorders>
              <w:top w:val="nil"/>
              <w:left w:val="single" w:sz="2" w:space="0" w:color="auto"/>
              <w:bottom w:val="nil"/>
              <w:right w:val="single" w:sz="2" w:space="0" w:color="auto"/>
            </w:tcBorders>
          </w:tcPr>
          <w:p w14:paraId="27E5F562" w14:textId="77777777" w:rsidR="00A2296F" w:rsidRPr="00572AEC" w:rsidRDefault="00A2296F" w:rsidP="004C6029">
            <w:pPr>
              <w:pStyle w:val="Reference"/>
              <w:tabs>
                <w:tab w:val="left" w:pos="3306"/>
              </w:tabs>
              <w:spacing w:after="120"/>
              <w:rPr>
                <w:rFonts w:cs="Calibri"/>
                <w:color w:val="7030A0"/>
                <w:sz w:val="22"/>
                <w:szCs w:val="22"/>
              </w:rPr>
            </w:pPr>
            <w:r w:rsidRPr="00572AEC">
              <w:rPr>
                <w:rFonts w:cs="Calibri"/>
                <w:color w:val="7030A0"/>
                <w:sz w:val="22"/>
                <w:szCs w:val="22"/>
              </w:rPr>
              <w:t>Reference</w:t>
            </w:r>
          </w:p>
        </w:tc>
        <w:tc>
          <w:tcPr>
            <w:tcW w:w="8986" w:type="dxa"/>
            <w:gridSpan w:val="4"/>
            <w:tcBorders>
              <w:top w:val="nil"/>
              <w:left w:val="single" w:sz="2" w:space="0" w:color="auto"/>
              <w:bottom w:val="nil"/>
              <w:right w:val="nil"/>
            </w:tcBorders>
          </w:tcPr>
          <w:p w14:paraId="3C036A39" w14:textId="2E63E53F" w:rsidR="00A2296F" w:rsidRPr="00572AEC" w:rsidRDefault="00A2296F" w:rsidP="004C6029">
            <w:pPr>
              <w:spacing w:after="120"/>
              <w:rPr>
                <w:rFonts w:cs="Calibri"/>
              </w:rPr>
            </w:pPr>
            <w:r w:rsidRPr="00572AEC">
              <w:rPr>
                <w:b/>
              </w:rPr>
              <w:t xml:space="preserve">Operating Statement for Output Class </w:t>
            </w:r>
            <w:r w:rsidR="00ED1443" w:rsidRPr="00572AEC">
              <w:rPr>
                <w:b/>
              </w:rPr>
              <w:t>4</w:t>
            </w:r>
            <w:r w:rsidRPr="00572AEC">
              <w:rPr>
                <w:b/>
              </w:rPr>
              <w:t xml:space="preserve"> – </w:t>
            </w:r>
            <w:r w:rsidR="00ED1443" w:rsidRPr="00572AEC">
              <w:rPr>
                <w:b/>
              </w:rPr>
              <w:t>Courts and Tribunals</w:t>
            </w:r>
          </w:p>
        </w:tc>
      </w:tr>
      <w:tr w:rsidR="00572AEC" w:rsidRPr="00572AEC" w14:paraId="0D53306E" w14:textId="77777777" w:rsidTr="004D1EC6">
        <w:tc>
          <w:tcPr>
            <w:tcW w:w="1560" w:type="dxa"/>
            <w:vMerge w:val="restart"/>
            <w:tcBorders>
              <w:top w:val="nil"/>
              <w:left w:val="single" w:sz="2" w:space="0" w:color="auto"/>
              <w:right w:val="single" w:sz="2" w:space="0" w:color="auto"/>
            </w:tcBorders>
          </w:tcPr>
          <w:p w14:paraId="077962FE" w14:textId="77777777" w:rsidR="00F82E19" w:rsidRPr="00572AEC" w:rsidRDefault="00F82E19" w:rsidP="00846578">
            <w:pPr>
              <w:pStyle w:val="Reference"/>
              <w:tabs>
                <w:tab w:val="left" w:pos="3306"/>
              </w:tabs>
              <w:spacing w:before="60"/>
              <w:rPr>
                <w:rFonts w:cs="Calibri"/>
                <w:b w:val="0"/>
                <w:bCs w:val="0"/>
                <w:color w:val="7030A0"/>
                <w:sz w:val="14"/>
                <w:szCs w:val="14"/>
              </w:rPr>
            </w:pPr>
            <w:r w:rsidRPr="00572AEC">
              <w:rPr>
                <w:rFonts w:cs="Calibri"/>
                <w:b w:val="0"/>
                <w:bCs w:val="0"/>
                <w:color w:val="7030A0"/>
                <w:sz w:val="14"/>
                <w:szCs w:val="14"/>
              </w:rPr>
              <w:t>AASB 1052.15(a)</w:t>
            </w:r>
          </w:p>
          <w:p w14:paraId="56D760AC" w14:textId="7E4B8843" w:rsidR="00F82E19" w:rsidRPr="00572AEC" w:rsidRDefault="00F82E19" w:rsidP="00846578">
            <w:pPr>
              <w:pStyle w:val="TableReference"/>
              <w:tabs>
                <w:tab w:val="left" w:pos="3306"/>
              </w:tabs>
              <w:rPr>
                <w:rFonts w:cs="Calibri"/>
                <w:color w:val="7030A0"/>
                <w:sz w:val="14"/>
              </w:rPr>
            </w:pPr>
            <w:r w:rsidRPr="00572AEC">
              <w:rPr>
                <w:rFonts w:cs="Calibri"/>
                <w:color w:val="7030A0"/>
                <w:sz w:val="14"/>
              </w:rPr>
              <w:t>FMA Section 27(3)(a) Financial Management (Periodic &amp; Annual Financial Statements) Guidelines 201</w:t>
            </w:r>
            <w:r w:rsidR="007F6866" w:rsidRPr="00572AEC">
              <w:rPr>
                <w:rFonts w:cs="Calibri"/>
                <w:color w:val="7030A0"/>
                <w:sz w:val="14"/>
              </w:rPr>
              <w:t>6</w:t>
            </w:r>
          </w:p>
          <w:p w14:paraId="3457B9D9" w14:textId="3AD11624" w:rsidR="00F82E19" w:rsidRPr="00572AEC" w:rsidRDefault="00F82E19" w:rsidP="00846578">
            <w:pPr>
              <w:pStyle w:val="TableReference"/>
              <w:tabs>
                <w:tab w:val="left" w:pos="3306"/>
              </w:tabs>
              <w:rPr>
                <w:rFonts w:cs="Calibri"/>
                <w:b/>
                <w:bCs/>
                <w:color w:val="7030A0"/>
                <w:sz w:val="14"/>
              </w:rPr>
            </w:pPr>
            <w:r w:rsidRPr="00572AEC">
              <w:rPr>
                <w:rFonts w:cs="Calibri"/>
                <w:color w:val="7030A0"/>
                <w:sz w:val="14"/>
              </w:rPr>
              <w:t>Section 7(2)</w:t>
            </w:r>
          </w:p>
        </w:tc>
        <w:tc>
          <w:tcPr>
            <w:tcW w:w="8986" w:type="dxa"/>
            <w:gridSpan w:val="4"/>
            <w:tcBorders>
              <w:top w:val="nil"/>
              <w:left w:val="single" w:sz="2" w:space="0" w:color="auto"/>
              <w:bottom w:val="nil"/>
              <w:right w:val="nil"/>
            </w:tcBorders>
            <w:vAlign w:val="bottom"/>
          </w:tcPr>
          <w:p w14:paraId="24819ADE" w14:textId="77777777" w:rsidR="00F82E19" w:rsidRPr="00572AEC" w:rsidRDefault="00F82E19" w:rsidP="004C6029">
            <w:pPr>
              <w:pStyle w:val="CommentaryHeading"/>
              <w:tabs>
                <w:tab w:val="left" w:pos="3306"/>
              </w:tabs>
              <w:rPr>
                <w:rFonts w:cs="Calibri"/>
                <w:sz w:val="18"/>
              </w:rPr>
            </w:pPr>
            <w:r w:rsidRPr="00572AEC">
              <w:rPr>
                <w:rFonts w:cs="Calibri"/>
                <w:sz w:val="18"/>
              </w:rPr>
              <w:t>Description</w:t>
            </w:r>
          </w:p>
          <w:p w14:paraId="1B1EF2BE" w14:textId="16AB745A" w:rsidR="00F82E19" w:rsidRPr="00572AEC" w:rsidRDefault="00F82E19" w:rsidP="004C6029">
            <w:pPr>
              <w:pStyle w:val="TableTitle"/>
              <w:tabs>
                <w:tab w:val="left" w:pos="3306"/>
              </w:tabs>
              <w:spacing w:after="120"/>
              <w:jc w:val="both"/>
              <w:rPr>
                <w:rFonts w:cs="Calibri"/>
                <w:b w:val="0"/>
                <w:bCs w:val="0"/>
              </w:rPr>
            </w:pPr>
            <w:r w:rsidRPr="00572AEC">
              <w:rPr>
                <w:rFonts w:cs="Calibri"/>
                <w:b w:val="0"/>
                <w:bCs w:val="0"/>
              </w:rPr>
              <w:t xml:space="preserve">Output Class </w:t>
            </w:r>
            <w:r w:rsidR="00225AA5" w:rsidRPr="00572AEC">
              <w:rPr>
                <w:rFonts w:cs="Calibri"/>
                <w:b w:val="0"/>
                <w:bCs w:val="0"/>
              </w:rPr>
              <w:t>4</w:t>
            </w:r>
            <w:r w:rsidRPr="00572AEC">
              <w:rPr>
                <w:rFonts w:cs="Calibri"/>
                <w:b w:val="0"/>
                <w:bCs w:val="0"/>
              </w:rPr>
              <w:t xml:space="preserve">: </w:t>
            </w:r>
            <w:r w:rsidR="00225AA5" w:rsidRPr="00572AEC">
              <w:rPr>
                <w:rFonts w:cs="Calibri"/>
                <w:b w:val="0"/>
                <w:bCs w:val="0"/>
              </w:rPr>
              <w:t>‘</w:t>
            </w:r>
            <w:r w:rsidR="00225AA5" w:rsidRPr="00572AEC">
              <w:rPr>
                <w:b w:val="0"/>
              </w:rPr>
              <w:t>Courts and Tribunals’</w:t>
            </w:r>
            <w:r w:rsidR="00225AA5" w:rsidRPr="00572AEC">
              <w:rPr>
                <w:rFonts w:cs="Calibri"/>
                <w:b w:val="0"/>
                <w:bCs w:val="0"/>
              </w:rPr>
              <w:t xml:space="preserve"> includes h</w:t>
            </w:r>
            <w:r w:rsidRPr="00572AEC">
              <w:rPr>
                <w:b w:val="0"/>
                <w:bCs w:val="0"/>
              </w:rPr>
              <w:t>igh quality support to judicial officers and tribunal members in the ACT Courts and Tribunal</w:t>
            </w:r>
            <w:r w:rsidR="007F6866" w:rsidRPr="00572AEC">
              <w:rPr>
                <w:b w:val="0"/>
                <w:bCs w:val="0"/>
              </w:rPr>
              <w:t>,</w:t>
            </w:r>
            <w:r w:rsidRPr="00572AEC">
              <w:rPr>
                <w:b w:val="0"/>
                <w:bCs w:val="0"/>
              </w:rPr>
              <w:t xml:space="preserve"> and high quality services to the public using the courts and the tribunal.</w:t>
            </w:r>
          </w:p>
        </w:tc>
      </w:tr>
      <w:tr w:rsidR="00572AEC" w:rsidRPr="00572AEC" w14:paraId="0BBB6B9F" w14:textId="77777777" w:rsidTr="004D1EC6">
        <w:tc>
          <w:tcPr>
            <w:tcW w:w="1560" w:type="dxa"/>
            <w:vMerge/>
            <w:tcBorders>
              <w:left w:val="single" w:sz="2" w:space="0" w:color="auto"/>
              <w:right w:val="single" w:sz="2" w:space="0" w:color="auto"/>
            </w:tcBorders>
            <w:vAlign w:val="bottom"/>
          </w:tcPr>
          <w:p w14:paraId="7858D58A" w14:textId="26EA5987" w:rsidR="00F82E19" w:rsidRPr="00572AEC" w:rsidRDefault="00F82E19" w:rsidP="004C6029">
            <w:pPr>
              <w:pStyle w:val="TableReference"/>
              <w:tabs>
                <w:tab w:val="left" w:pos="3306"/>
              </w:tabs>
              <w:rPr>
                <w:rFonts w:cs="Calibri"/>
                <w:color w:val="7030A0"/>
                <w:sz w:val="14"/>
              </w:rPr>
            </w:pPr>
          </w:p>
        </w:tc>
        <w:tc>
          <w:tcPr>
            <w:tcW w:w="5324" w:type="dxa"/>
            <w:tcBorders>
              <w:top w:val="nil"/>
              <w:left w:val="single" w:sz="2" w:space="0" w:color="auto"/>
              <w:bottom w:val="nil"/>
              <w:right w:val="nil"/>
            </w:tcBorders>
            <w:vAlign w:val="bottom"/>
          </w:tcPr>
          <w:p w14:paraId="03051243" w14:textId="77777777" w:rsidR="00F82E19" w:rsidRPr="00572AEC" w:rsidRDefault="00F82E19" w:rsidP="004C6029">
            <w:pPr>
              <w:pStyle w:val="TableTitle"/>
              <w:tabs>
                <w:tab w:val="left" w:pos="3306"/>
              </w:tabs>
              <w:rPr>
                <w:rFonts w:cs="Calibri"/>
              </w:rPr>
            </w:pPr>
          </w:p>
        </w:tc>
        <w:tc>
          <w:tcPr>
            <w:tcW w:w="1217" w:type="dxa"/>
            <w:tcBorders>
              <w:top w:val="nil"/>
              <w:left w:val="nil"/>
              <w:bottom w:val="nil"/>
              <w:right w:val="nil"/>
            </w:tcBorders>
            <w:vAlign w:val="bottom"/>
          </w:tcPr>
          <w:p w14:paraId="749A4304" w14:textId="77777777" w:rsidR="00F82E19" w:rsidRPr="00572AEC" w:rsidRDefault="00F82E19" w:rsidP="004C6029">
            <w:pPr>
              <w:pStyle w:val="TableTitle"/>
              <w:tabs>
                <w:tab w:val="left" w:pos="3306"/>
              </w:tabs>
              <w:rPr>
                <w:rFonts w:cs="Calibri"/>
              </w:rPr>
            </w:pPr>
            <w:r w:rsidRPr="00572AEC">
              <w:rPr>
                <w:rFonts w:cs="Calibri"/>
              </w:rPr>
              <w:t>Actual</w:t>
            </w:r>
          </w:p>
          <w:p w14:paraId="5D09F6E0" w14:textId="17F07606" w:rsidR="00F82E19" w:rsidRPr="00572AEC" w:rsidRDefault="00F82E19" w:rsidP="004C6029">
            <w:pPr>
              <w:pStyle w:val="TableTitle"/>
              <w:tabs>
                <w:tab w:val="left" w:pos="3306"/>
              </w:tabs>
              <w:rPr>
                <w:rFonts w:cs="Calibri"/>
              </w:rPr>
            </w:pPr>
            <w:r w:rsidRPr="00572AEC">
              <w:rPr>
                <w:rFonts w:cs="Calibri"/>
              </w:rPr>
              <w:t>2022</w:t>
            </w:r>
          </w:p>
          <w:p w14:paraId="6250DB0C" w14:textId="77777777" w:rsidR="00F82E19" w:rsidRPr="00572AEC" w:rsidRDefault="00F82E19" w:rsidP="004C6029">
            <w:pPr>
              <w:pStyle w:val="TableTitle"/>
              <w:tabs>
                <w:tab w:val="left" w:pos="3306"/>
              </w:tabs>
              <w:rPr>
                <w:rFonts w:cs="Calibri"/>
              </w:rPr>
            </w:pPr>
            <w:r w:rsidRPr="00572AEC">
              <w:rPr>
                <w:rFonts w:cs="Calibri"/>
              </w:rPr>
              <w:t>$’000</w:t>
            </w:r>
          </w:p>
        </w:tc>
        <w:tc>
          <w:tcPr>
            <w:tcW w:w="1230" w:type="dxa"/>
            <w:tcBorders>
              <w:top w:val="nil"/>
              <w:left w:val="nil"/>
              <w:bottom w:val="nil"/>
              <w:right w:val="nil"/>
            </w:tcBorders>
            <w:vAlign w:val="bottom"/>
          </w:tcPr>
          <w:p w14:paraId="52F035DF" w14:textId="77777777" w:rsidR="00F82E19" w:rsidRPr="00572AEC" w:rsidRDefault="00F82E19" w:rsidP="004C6029">
            <w:pPr>
              <w:pStyle w:val="TableTitle"/>
              <w:tabs>
                <w:tab w:val="left" w:pos="3306"/>
              </w:tabs>
              <w:rPr>
                <w:rFonts w:cs="Calibri"/>
              </w:rPr>
            </w:pPr>
            <w:r w:rsidRPr="00572AEC">
              <w:rPr>
                <w:rFonts w:cs="Calibri"/>
              </w:rPr>
              <w:t>Original Budget</w:t>
            </w:r>
          </w:p>
          <w:p w14:paraId="644F9609" w14:textId="4BCE4D91" w:rsidR="00F82E19" w:rsidRPr="00572AEC" w:rsidRDefault="00F82E19" w:rsidP="004C6029">
            <w:pPr>
              <w:pStyle w:val="TableTitle"/>
              <w:tabs>
                <w:tab w:val="left" w:pos="3306"/>
              </w:tabs>
              <w:rPr>
                <w:rFonts w:cs="Calibri"/>
              </w:rPr>
            </w:pPr>
            <w:r w:rsidRPr="00572AEC">
              <w:rPr>
                <w:rFonts w:cs="Calibri"/>
              </w:rPr>
              <w:t>2022</w:t>
            </w:r>
          </w:p>
          <w:p w14:paraId="5C3BB1EE" w14:textId="77777777" w:rsidR="00F82E19" w:rsidRPr="00572AEC" w:rsidRDefault="00F82E19" w:rsidP="004C6029">
            <w:pPr>
              <w:pStyle w:val="TableTitle"/>
              <w:tabs>
                <w:tab w:val="left" w:pos="3306"/>
              </w:tabs>
              <w:rPr>
                <w:rFonts w:cs="Calibri"/>
              </w:rPr>
            </w:pPr>
            <w:r w:rsidRPr="00572AEC">
              <w:rPr>
                <w:rFonts w:cs="Calibri"/>
              </w:rPr>
              <w:t>$’000</w:t>
            </w:r>
          </w:p>
        </w:tc>
        <w:tc>
          <w:tcPr>
            <w:tcW w:w="1215" w:type="dxa"/>
            <w:tcBorders>
              <w:top w:val="nil"/>
              <w:left w:val="nil"/>
              <w:bottom w:val="nil"/>
              <w:right w:val="nil"/>
            </w:tcBorders>
            <w:vAlign w:val="bottom"/>
          </w:tcPr>
          <w:p w14:paraId="7925EF6B" w14:textId="77777777" w:rsidR="00F82E19" w:rsidRPr="00572AEC" w:rsidRDefault="00F82E19" w:rsidP="004C6029">
            <w:pPr>
              <w:pStyle w:val="TableTitle"/>
              <w:tabs>
                <w:tab w:val="left" w:pos="3306"/>
              </w:tabs>
              <w:rPr>
                <w:rFonts w:cs="Calibri"/>
              </w:rPr>
            </w:pPr>
            <w:r w:rsidRPr="00572AEC">
              <w:rPr>
                <w:rFonts w:cs="Calibri"/>
              </w:rPr>
              <w:t>Actual</w:t>
            </w:r>
          </w:p>
          <w:p w14:paraId="3F5ED4A8" w14:textId="6A46D5F8" w:rsidR="00F82E19" w:rsidRPr="00572AEC" w:rsidRDefault="00F82E19" w:rsidP="004C6029">
            <w:pPr>
              <w:pStyle w:val="TableTitle"/>
              <w:tabs>
                <w:tab w:val="left" w:pos="3306"/>
              </w:tabs>
              <w:rPr>
                <w:rFonts w:cs="Calibri"/>
              </w:rPr>
            </w:pPr>
            <w:r w:rsidRPr="00572AEC">
              <w:rPr>
                <w:rFonts w:cs="Calibri"/>
              </w:rPr>
              <w:t>2021</w:t>
            </w:r>
          </w:p>
          <w:p w14:paraId="34110361" w14:textId="77777777" w:rsidR="00F82E19" w:rsidRPr="00572AEC" w:rsidRDefault="00F82E19" w:rsidP="004C6029">
            <w:pPr>
              <w:pStyle w:val="TableTitle"/>
              <w:tabs>
                <w:tab w:val="left" w:pos="3306"/>
              </w:tabs>
              <w:rPr>
                <w:rFonts w:cs="Calibri"/>
              </w:rPr>
            </w:pPr>
            <w:r w:rsidRPr="00572AEC">
              <w:rPr>
                <w:rFonts w:cs="Calibri"/>
              </w:rPr>
              <w:t>$’000</w:t>
            </w:r>
          </w:p>
        </w:tc>
      </w:tr>
      <w:tr w:rsidR="00572AEC" w:rsidRPr="00572AEC" w14:paraId="36115664" w14:textId="77777777" w:rsidTr="004D1EC6">
        <w:tc>
          <w:tcPr>
            <w:tcW w:w="1560" w:type="dxa"/>
            <w:vMerge/>
            <w:tcBorders>
              <w:top w:val="nil"/>
              <w:left w:val="single" w:sz="2" w:space="0" w:color="auto"/>
              <w:bottom w:val="nil"/>
              <w:right w:val="single" w:sz="2" w:space="0" w:color="auto"/>
            </w:tcBorders>
          </w:tcPr>
          <w:p w14:paraId="301C5BE6" w14:textId="77777777" w:rsidR="00F82E19" w:rsidRPr="00572AEC" w:rsidRDefault="00F82E19" w:rsidP="004C6029">
            <w:pPr>
              <w:pStyle w:val="TableReference"/>
              <w:tabs>
                <w:tab w:val="left" w:pos="3306"/>
              </w:tabs>
              <w:spacing w:before="40"/>
              <w:rPr>
                <w:rFonts w:cs="Calibri"/>
                <w:color w:val="7030A0"/>
                <w:sz w:val="14"/>
              </w:rPr>
            </w:pPr>
          </w:p>
        </w:tc>
        <w:tc>
          <w:tcPr>
            <w:tcW w:w="5324" w:type="dxa"/>
            <w:tcBorders>
              <w:top w:val="nil"/>
              <w:left w:val="single" w:sz="2" w:space="0" w:color="auto"/>
              <w:bottom w:val="nil"/>
              <w:right w:val="nil"/>
            </w:tcBorders>
            <w:vAlign w:val="bottom"/>
          </w:tcPr>
          <w:p w14:paraId="4AFE55AE" w14:textId="77777777" w:rsidR="00F82E19" w:rsidRPr="00572AEC" w:rsidRDefault="00F82E19" w:rsidP="004C6029">
            <w:pPr>
              <w:pStyle w:val="TableText"/>
              <w:tabs>
                <w:tab w:val="left" w:pos="3306"/>
              </w:tabs>
              <w:rPr>
                <w:rFonts w:cs="Calibri"/>
                <w:b/>
                <w:bCs/>
              </w:rPr>
            </w:pPr>
            <w:r w:rsidRPr="00572AEC">
              <w:rPr>
                <w:rFonts w:cs="Calibri"/>
                <w:b/>
                <w:bCs/>
              </w:rPr>
              <w:t>Income</w:t>
            </w:r>
          </w:p>
        </w:tc>
        <w:tc>
          <w:tcPr>
            <w:tcW w:w="1217" w:type="dxa"/>
            <w:tcBorders>
              <w:top w:val="nil"/>
              <w:left w:val="nil"/>
              <w:bottom w:val="nil"/>
              <w:right w:val="nil"/>
            </w:tcBorders>
            <w:vAlign w:val="bottom"/>
          </w:tcPr>
          <w:p w14:paraId="1A29C6DC" w14:textId="77777777" w:rsidR="00F82E19" w:rsidRPr="00572AEC" w:rsidRDefault="00F82E19" w:rsidP="004C6029">
            <w:pPr>
              <w:pStyle w:val="TableText"/>
              <w:tabs>
                <w:tab w:val="left" w:pos="3306"/>
              </w:tabs>
              <w:jc w:val="right"/>
              <w:rPr>
                <w:rFonts w:cs="Calibri"/>
              </w:rPr>
            </w:pPr>
          </w:p>
        </w:tc>
        <w:tc>
          <w:tcPr>
            <w:tcW w:w="1230" w:type="dxa"/>
            <w:tcBorders>
              <w:top w:val="nil"/>
              <w:left w:val="nil"/>
              <w:bottom w:val="nil"/>
              <w:right w:val="nil"/>
            </w:tcBorders>
            <w:vAlign w:val="bottom"/>
          </w:tcPr>
          <w:p w14:paraId="4FBEA6CF" w14:textId="77777777" w:rsidR="00F82E19" w:rsidRPr="00572AEC" w:rsidRDefault="00F82E19" w:rsidP="004C6029">
            <w:pPr>
              <w:pStyle w:val="TableText"/>
              <w:tabs>
                <w:tab w:val="left" w:pos="3306"/>
              </w:tabs>
              <w:jc w:val="right"/>
              <w:rPr>
                <w:rFonts w:cs="Calibri"/>
              </w:rPr>
            </w:pPr>
          </w:p>
        </w:tc>
        <w:tc>
          <w:tcPr>
            <w:tcW w:w="1215" w:type="dxa"/>
            <w:tcBorders>
              <w:top w:val="nil"/>
              <w:left w:val="nil"/>
              <w:bottom w:val="nil"/>
              <w:right w:val="nil"/>
            </w:tcBorders>
            <w:vAlign w:val="bottom"/>
          </w:tcPr>
          <w:p w14:paraId="60123893" w14:textId="77777777" w:rsidR="00F82E19" w:rsidRPr="00572AEC" w:rsidRDefault="00F82E19" w:rsidP="004C6029">
            <w:pPr>
              <w:pStyle w:val="TableText"/>
              <w:tabs>
                <w:tab w:val="left" w:pos="3306"/>
              </w:tabs>
              <w:jc w:val="right"/>
              <w:rPr>
                <w:rFonts w:cs="Calibri"/>
              </w:rPr>
            </w:pPr>
          </w:p>
        </w:tc>
      </w:tr>
      <w:tr w:rsidR="00572AEC" w:rsidRPr="00572AEC" w14:paraId="0C0B4526" w14:textId="77777777" w:rsidTr="004D1EC6">
        <w:tc>
          <w:tcPr>
            <w:tcW w:w="1560" w:type="dxa"/>
            <w:tcBorders>
              <w:top w:val="nil"/>
              <w:left w:val="single" w:sz="2" w:space="0" w:color="auto"/>
              <w:bottom w:val="nil"/>
              <w:right w:val="single" w:sz="2" w:space="0" w:color="auto"/>
            </w:tcBorders>
          </w:tcPr>
          <w:p w14:paraId="522BFEE3" w14:textId="77777777" w:rsidR="00A2296F" w:rsidRPr="00572AEC" w:rsidRDefault="00A2296F" w:rsidP="004C6029">
            <w:pPr>
              <w:pStyle w:val="TableReference"/>
              <w:tabs>
                <w:tab w:val="left" w:pos="3306"/>
              </w:tabs>
              <w:spacing w:before="40"/>
              <w:rPr>
                <w:rFonts w:cs="Calibri"/>
                <w:color w:val="7030A0"/>
                <w:sz w:val="14"/>
              </w:rPr>
            </w:pPr>
            <w:r w:rsidRPr="00572AEC">
              <w:rPr>
                <w:rFonts w:cs="Calibri"/>
                <w:color w:val="7030A0"/>
                <w:sz w:val="14"/>
              </w:rPr>
              <w:t xml:space="preserve"> </w:t>
            </w:r>
          </w:p>
        </w:tc>
        <w:tc>
          <w:tcPr>
            <w:tcW w:w="5324" w:type="dxa"/>
            <w:tcBorders>
              <w:top w:val="nil"/>
              <w:left w:val="single" w:sz="2" w:space="0" w:color="auto"/>
              <w:bottom w:val="nil"/>
              <w:right w:val="nil"/>
            </w:tcBorders>
            <w:vAlign w:val="bottom"/>
          </w:tcPr>
          <w:p w14:paraId="7CDE2C05" w14:textId="77777777" w:rsidR="00A2296F" w:rsidRPr="00572AEC" w:rsidRDefault="00A2296F" w:rsidP="004C6029">
            <w:pPr>
              <w:pStyle w:val="TableText"/>
              <w:tabs>
                <w:tab w:val="left" w:pos="3306"/>
              </w:tabs>
              <w:rPr>
                <w:rFonts w:cs="Calibri"/>
                <w:i/>
                <w:iCs/>
              </w:rPr>
            </w:pPr>
            <w:r w:rsidRPr="00572AEC">
              <w:rPr>
                <w:rFonts w:cs="Calibri"/>
                <w:i/>
                <w:iCs/>
              </w:rPr>
              <w:t>Revenue</w:t>
            </w:r>
          </w:p>
        </w:tc>
        <w:tc>
          <w:tcPr>
            <w:tcW w:w="1217" w:type="dxa"/>
            <w:tcBorders>
              <w:top w:val="nil"/>
              <w:left w:val="nil"/>
              <w:bottom w:val="nil"/>
              <w:right w:val="nil"/>
            </w:tcBorders>
            <w:vAlign w:val="bottom"/>
          </w:tcPr>
          <w:p w14:paraId="724BA8AF" w14:textId="77777777" w:rsidR="00A2296F" w:rsidRPr="00572AEC" w:rsidRDefault="00A2296F" w:rsidP="004C6029">
            <w:pPr>
              <w:pStyle w:val="TableText"/>
              <w:tabs>
                <w:tab w:val="left" w:pos="3306"/>
              </w:tabs>
              <w:jc w:val="right"/>
              <w:rPr>
                <w:rFonts w:cs="Calibri"/>
              </w:rPr>
            </w:pPr>
          </w:p>
        </w:tc>
        <w:tc>
          <w:tcPr>
            <w:tcW w:w="1230" w:type="dxa"/>
            <w:tcBorders>
              <w:top w:val="nil"/>
              <w:left w:val="nil"/>
              <w:bottom w:val="nil"/>
              <w:right w:val="nil"/>
            </w:tcBorders>
            <w:vAlign w:val="bottom"/>
          </w:tcPr>
          <w:p w14:paraId="5B933EEE" w14:textId="77777777" w:rsidR="00A2296F" w:rsidRPr="00572AEC" w:rsidRDefault="00A2296F" w:rsidP="004C6029">
            <w:pPr>
              <w:pStyle w:val="TableText"/>
              <w:tabs>
                <w:tab w:val="left" w:pos="3306"/>
              </w:tabs>
              <w:jc w:val="right"/>
              <w:rPr>
                <w:rFonts w:cs="Calibri"/>
              </w:rPr>
            </w:pPr>
          </w:p>
        </w:tc>
        <w:tc>
          <w:tcPr>
            <w:tcW w:w="1215" w:type="dxa"/>
            <w:tcBorders>
              <w:top w:val="nil"/>
              <w:left w:val="nil"/>
              <w:bottom w:val="nil"/>
              <w:right w:val="nil"/>
            </w:tcBorders>
            <w:vAlign w:val="bottom"/>
          </w:tcPr>
          <w:p w14:paraId="3AE205F4" w14:textId="77777777" w:rsidR="00A2296F" w:rsidRPr="00572AEC" w:rsidRDefault="00A2296F" w:rsidP="004C6029">
            <w:pPr>
              <w:pStyle w:val="TableText"/>
              <w:tabs>
                <w:tab w:val="left" w:pos="3306"/>
              </w:tabs>
              <w:jc w:val="right"/>
              <w:rPr>
                <w:rFonts w:cs="Calibri"/>
              </w:rPr>
            </w:pPr>
          </w:p>
        </w:tc>
      </w:tr>
      <w:tr w:rsidR="00572AEC" w:rsidRPr="00572AEC" w14:paraId="57E20512" w14:textId="77777777" w:rsidTr="004D1EC6">
        <w:tc>
          <w:tcPr>
            <w:tcW w:w="1560" w:type="dxa"/>
            <w:tcBorders>
              <w:top w:val="nil"/>
              <w:left w:val="single" w:sz="2" w:space="0" w:color="auto"/>
              <w:bottom w:val="nil"/>
              <w:right w:val="single" w:sz="2" w:space="0" w:color="auto"/>
            </w:tcBorders>
          </w:tcPr>
          <w:p w14:paraId="27687EAD" w14:textId="77777777" w:rsidR="00A2296F" w:rsidRPr="00572AEC" w:rsidRDefault="00A2296F" w:rsidP="004C6029">
            <w:pPr>
              <w:pStyle w:val="TableReference"/>
              <w:tabs>
                <w:tab w:val="left" w:pos="3306"/>
              </w:tabs>
              <w:spacing w:before="60"/>
              <w:rPr>
                <w:rFonts w:cs="Calibri"/>
                <w:color w:val="7030A0"/>
                <w:sz w:val="14"/>
              </w:rPr>
            </w:pPr>
            <w:r w:rsidRPr="00572AEC">
              <w:rPr>
                <w:rFonts w:cs="Calibri"/>
                <w:color w:val="7030A0"/>
                <w:sz w:val="14"/>
              </w:rPr>
              <w:t>AASB 1052.15(d)</w:t>
            </w:r>
          </w:p>
        </w:tc>
        <w:tc>
          <w:tcPr>
            <w:tcW w:w="5324" w:type="dxa"/>
            <w:tcBorders>
              <w:top w:val="nil"/>
              <w:left w:val="single" w:sz="2" w:space="0" w:color="auto"/>
              <w:bottom w:val="nil"/>
              <w:right w:val="nil"/>
            </w:tcBorders>
            <w:vAlign w:val="bottom"/>
          </w:tcPr>
          <w:p w14:paraId="6ED06B57" w14:textId="77777777" w:rsidR="00A2296F" w:rsidRPr="00572AEC" w:rsidRDefault="00A2296F" w:rsidP="004C6029">
            <w:pPr>
              <w:pStyle w:val="TableText"/>
              <w:tabs>
                <w:tab w:val="left" w:pos="3306"/>
              </w:tabs>
              <w:rPr>
                <w:rFonts w:cs="Calibri"/>
                <w:strike/>
              </w:rPr>
            </w:pPr>
            <w:r w:rsidRPr="00572AEC">
              <w:rPr>
                <w:rFonts w:cs="Calibri"/>
              </w:rPr>
              <w:t>Controlled Recurrent Payments</w:t>
            </w:r>
          </w:p>
        </w:tc>
        <w:tc>
          <w:tcPr>
            <w:tcW w:w="1217" w:type="dxa"/>
            <w:tcBorders>
              <w:top w:val="nil"/>
              <w:left w:val="nil"/>
              <w:bottom w:val="nil"/>
              <w:right w:val="nil"/>
            </w:tcBorders>
            <w:vAlign w:val="bottom"/>
          </w:tcPr>
          <w:p w14:paraId="4CB2E729" w14:textId="77777777" w:rsidR="00A2296F" w:rsidRPr="00572AEC" w:rsidRDefault="00A2296F" w:rsidP="004C6029">
            <w:pPr>
              <w:pStyle w:val="TableText"/>
              <w:tabs>
                <w:tab w:val="left" w:pos="3306"/>
              </w:tabs>
              <w:jc w:val="right"/>
              <w:rPr>
                <w:rFonts w:cs="Calibri"/>
              </w:rPr>
            </w:pPr>
          </w:p>
        </w:tc>
        <w:tc>
          <w:tcPr>
            <w:tcW w:w="1230" w:type="dxa"/>
            <w:tcBorders>
              <w:top w:val="nil"/>
              <w:left w:val="nil"/>
              <w:bottom w:val="nil"/>
              <w:right w:val="nil"/>
            </w:tcBorders>
            <w:vAlign w:val="bottom"/>
          </w:tcPr>
          <w:p w14:paraId="065AE1CC" w14:textId="77777777" w:rsidR="00A2296F" w:rsidRPr="00572AEC" w:rsidRDefault="00A2296F" w:rsidP="004C6029">
            <w:pPr>
              <w:pStyle w:val="TableText"/>
              <w:tabs>
                <w:tab w:val="left" w:pos="3306"/>
              </w:tabs>
              <w:jc w:val="right"/>
              <w:rPr>
                <w:rFonts w:cs="Calibri"/>
              </w:rPr>
            </w:pPr>
          </w:p>
        </w:tc>
        <w:tc>
          <w:tcPr>
            <w:tcW w:w="1215" w:type="dxa"/>
            <w:tcBorders>
              <w:top w:val="nil"/>
              <w:left w:val="nil"/>
              <w:bottom w:val="nil"/>
              <w:right w:val="nil"/>
            </w:tcBorders>
            <w:vAlign w:val="bottom"/>
          </w:tcPr>
          <w:p w14:paraId="6794F0AD" w14:textId="77777777" w:rsidR="00A2296F" w:rsidRPr="00572AEC" w:rsidRDefault="00A2296F" w:rsidP="004C6029">
            <w:pPr>
              <w:pStyle w:val="TableText"/>
              <w:tabs>
                <w:tab w:val="left" w:pos="3306"/>
              </w:tabs>
              <w:jc w:val="right"/>
              <w:rPr>
                <w:rFonts w:cs="Calibri"/>
              </w:rPr>
            </w:pPr>
          </w:p>
        </w:tc>
      </w:tr>
      <w:tr w:rsidR="00572AEC" w:rsidRPr="00572AEC" w14:paraId="4453441B" w14:textId="77777777" w:rsidTr="004D1EC6">
        <w:tc>
          <w:tcPr>
            <w:tcW w:w="1560" w:type="dxa"/>
            <w:tcBorders>
              <w:top w:val="nil"/>
              <w:left w:val="single" w:sz="2" w:space="0" w:color="auto"/>
              <w:bottom w:val="nil"/>
              <w:right w:val="single" w:sz="2" w:space="0" w:color="auto"/>
            </w:tcBorders>
          </w:tcPr>
          <w:p w14:paraId="1E612AD3" w14:textId="77777777" w:rsidR="00A2296F" w:rsidRPr="00572AEC" w:rsidRDefault="00A2296F" w:rsidP="004C6029">
            <w:pPr>
              <w:pStyle w:val="TableReference"/>
              <w:tabs>
                <w:tab w:val="left" w:pos="3306"/>
              </w:tabs>
              <w:spacing w:before="60"/>
              <w:rPr>
                <w:rFonts w:cs="Calibri"/>
                <w:color w:val="7030A0"/>
                <w:sz w:val="14"/>
              </w:rPr>
            </w:pPr>
            <w:r w:rsidRPr="00572AEC">
              <w:rPr>
                <w:rFonts w:cs="Calibri"/>
                <w:color w:val="7030A0"/>
                <w:sz w:val="14"/>
              </w:rPr>
              <w:t>AASB 1052.15(d)</w:t>
            </w:r>
          </w:p>
        </w:tc>
        <w:tc>
          <w:tcPr>
            <w:tcW w:w="5324" w:type="dxa"/>
            <w:tcBorders>
              <w:top w:val="nil"/>
              <w:left w:val="single" w:sz="2" w:space="0" w:color="auto"/>
              <w:bottom w:val="nil"/>
              <w:right w:val="nil"/>
            </w:tcBorders>
            <w:vAlign w:val="bottom"/>
          </w:tcPr>
          <w:p w14:paraId="10B49614" w14:textId="77777777" w:rsidR="00A2296F" w:rsidRPr="00572AEC" w:rsidRDefault="00A2296F" w:rsidP="004C6029">
            <w:pPr>
              <w:pStyle w:val="TableText"/>
              <w:tabs>
                <w:tab w:val="left" w:pos="3306"/>
              </w:tabs>
              <w:rPr>
                <w:rFonts w:cs="Calibri"/>
              </w:rPr>
            </w:pPr>
            <w:r w:rsidRPr="00572AEC">
              <w:rPr>
                <w:rFonts w:cs="Calibri"/>
              </w:rPr>
              <w:t>Grants and Contributions Revenue</w:t>
            </w:r>
          </w:p>
        </w:tc>
        <w:tc>
          <w:tcPr>
            <w:tcW w:w="1217" w:type="dxa"/>
            <w:tcBorders>
              <w:top w:val="nil"/>
              <w:left w:val="nil"/>
              <w:bottom w:val="nil"/>
              <w:right w:val="nil"/>
            </w:tcBorders>
            <w:vAlign w:val="bottom"/>
          </w:tcPr>
          <w:p w14:paraId="7AEE444B" w14:textId="77777777" w:rsidR="00A2296F" w:rsidRPr="00572AEC" w:rsidRDefault="00A2296F" w:rsidP="004C6029">
            <w:pPr>
              <w:pStyle w:val="TableText"/>
              <w:tabs>
                <w:tab w:val="left" w:pos="3306"/>
              </w:tabs>
              <w:jc w:val="right"/>
              <w:rPr>
                <w:rFonts w:cs="Calibri"/>
              </w:rPr>
            </w:pPr>
          </w:p>
        </w:tc>
        <w:tc>
          <w:tcPr>
            <w:tcW w:w="1230" w:type="dxa"/>
            <w:tcBorders>
              <w:top w:val="nil"/>
              <w:left w:val="nil"/>
              <w:bottom w:val="nil"/>
              <w:right w:val="nil"/>
            </w:tcBorders>
            <w:vAlign w:val="bottom"/>
          </w:tcPr>
          <w:p w14:paraId="21BEF8F2" w14:textId="77777777" w:rsidR="00A2296F" w:rsidRPr="00572AEC" w:rsidRDefault="00A2296F" w:rsidP="004C6029">
            <w:pPr>
              <w:pStyle w:val="TableText"/>
              <w:tabs>
                <w:tab w:val="left" w:pos="3306"/>
              </w:tabs>
              <w:jc w:val="right"/>
              <w:rPr>
                <w:rFonts w:cs="Calibri"/>
              </w:rPr>
            </w:pPr>
          </w:p>
        </w:tc>
        <w:tc>
          <w:tcPr>
            <w:tcW w:w="1215" w:type="dxa"/>
            <w:tcBorders>
              <w:top w:val="nil"/>
              <w:left w:val="nil"/>
              <w:bottom w:val="nil"/>
              <w:right w:val="nil"/>
            </w:tcBorders>
            <w:vAlign w:val="bottom"/>
          </w:tcPr>
          <w:p w14:paraId="36610D98" w14:textId="77777777" w:rsidR="00A2296F" w:rsidRPr="00572AEC" w:rsidRDefault="00A2296F" w:rsidP="004C6029">
            <w:pPr>
              <w:pStyle w:val="TableText"/>
              <w:tabs>
                <w:tab w:val="left" w:pos="3306"/>
              </w:tabs>
              <w:jc w:val="right"/>
              <w:rPr>
                <w:rFonts w:cs="Calibri"/>
              </w:rPr>
            </w:pPr>
          </w:p>
        </w:tc>
      </w:tr>
      <w:tr w:rsidR="00572AEC" w:rsidRPr="00572AEC" w14:paraId="1672730C" w14:textId="77777777" w:rsidTr="004D1EC6">
        <w:tc>
          <w:tcPr>
            <w:tcW w:w="1560" w:type="dxa"/>
            <w:tcBorders>
              <w:top w:val="nil"/>
              <w:left w:val="single" w:sz="2" w:space="0" w:color="auto"/>
              <w:bottom w:val="nil"/>
              <w:right w:val="single" w:sz="2" w:space="0" w:color="auto"/>
            </w:tcBorders>
          </w:tcPr>
          <w:p w14:paraId="3AE95C23" w14:textId="77777777" w:rsidR="00A2296F" w:rsidRPr="00572AEC" w:rsidRDefault="00A2296F" w:rsidP="004C6029">
            <w:pPr>
              <w:pStyle w:val="TableReference"/>
              <w:tabs>
                <w:tab w:val="left" w:pos="3306"/>
              </w:tabs>
              <w:spacing w:before="60"/>
              <w:rPr>
                <w:rFonts w:cs="Calibri"/>
                <w:color w:val="7030A0"/>
                <w:sz w:val="14"/>
              </w:rPr>
            </w:pPr>
            <w:r w:rsidRPr="00572AEC">
              <w:rPr>
                <w:rFonts w:cs="Calibri"/>
                <w:color w:val="7030A0"/>
                <w:sz w:val="14"/>
              </w:rPr>
              <w:t>AASB 1052.15(d)</w:t>
            </w:r>
          </w:p>
        </w:tc>
        <w:tc>
          <w:tcPr>
            <w:tcW w:w="5324" w:type="dxa"/>
            <w:tcBorders>
              <w:top w:val="nil"/>
              <w:left w:val="single" w:sz="2" w:space="0" w:color="auto"/>
              <w:bottom w:val="nil"/>
              <w:right w:val="nil"/>
            </w:tcBorders>
            <w:vAlign w:val="bottom"/>
          </w:tcPr>
          <w:p w14:paraId="25807605" w14:textId="457875E5" w:rsidR="00A2296F" w:rsidRPr="00572AEC" w:rsidRDefault="00A2296F" w:rsidP="004C6029">
            <w:pPr>
              <w:pStyle w:val="TableText"/>
              <w:tabs>
                <w:tab w:val="left" w:pos="3306"/>
              </w:tabs>
              <w:rPr>
                <w:rFonts w:cs="Calibri"/>
              </w:rPr>
            </w:pPr>
            <w:r w:rsidRPr="00572AEC">
              <w:rPr>
                <w:rFonts w:cs="Calibri"/>
              </w:rPr>
              <w:t xml:space="preserve">Other </w:t>
            </w:r>
            <w:r w:rsidR="00500DD7" w:rsidRPr="00572AEC">
              <w:rPr>
                <w:rFonts w:cs="Calibri"/>
              </w:rPr>
              <w:t>Revenue</w:t>
            </w:r>
          </w:p>
        </w:tc>
        <w:tc>
          <w:tcPr>
            <w:tcW w:w="1217" w:type="dxa"/>
            <w:tcBorders>
              <w:top w:val="nil"/>
              <w:left w:val="nil"/>
              <w:bottom w:val="single" w:sz="4" w:space="0" w:color="auto"/>
              <w:right w:val="nil"/>
            </w:tcBorders>
            <w:vAlign w:val="bottom"/>
          </w:tcPr>
          <w:p w14:paraId="4C3C6659" w14:textId="77777777" w:rsidR="00A2296F" w:rsidRPr="00572AEC" w:rsidRDefault="00A2296F" w:rsidP="004C6029">
            <w:pPr>
              <w:pStyle w:val="TableText"/>
              <w:tabs>
                <w:tab w:val="left" w:pos="3306"/>
              </w:tabs>
              <w:jc w:val="right"/>
              <w:rPr>
                <w:rFonts w:cs="Calibri"/>
              </w:rPr>
            </w:pPr>
          </w:p>
        </w:tc>
        <w:tc>
          <w:tcPr>
            <w:tcW w:w="1230" w:type="dxa"/>
            <w:tcBorders>
              <w:top w:val="nil"/>
              <w:left w:val="nil"/>
              <w:bottom w:val="single" w:sz="4" w:space="0" w:color="auto"/>
              <w:right w:val="nil"/>
            </w:tcBorders>
            <w:vAlign w:val="bottom"/>
          </w:tcPr>
          <w:p w14:paraId="442F3794" w14:textId="77777777" w:rsidR="00A2296F" w:rsidRPr="00572AEC" w:rsidRDefault="00A2296F" w:rsidP="004C6029">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6273FB09" w14:textId="77777777" w:rsidR="00A2296F" w:rsidRPr="00572AEC" w:rsidRDefault="00A2296F" w:rsidP="004C6029">
            <w:pPr>
              <w:pStyle w:val="TableText"/>
              <w:tabs>
                <w:tab w:val="left" w:pos="3306"/>
              </w:tabs>
              <w:jc w:val="right"/>
              <w:rPr>
                <w:rFonts w:cs="Calibri"/>
              </w:rPr>
            </w:pPr>
          </w:p>
        </w:tc>
      </w:tr>
      <w:tr w:rsidR="00572AEC" w:rsidRPr="00572AEC" w14:paraId="466E58C5" w14:textId="77777777" w:rsidTr="004D1EC6">
        <w:tc>
          <w:tcPr>
            <w:tcW w:w="1560" w:type="dxa"/>
            <w:tcBorders>
              <w:top w:val="nil"/>
              <w:left w:val="single" w:sz="2" w:space="0" w:color="auto"/>
              <w:bottom w:val="nil"/>
              <w:right w:val="single" w:sz="2" w:space="0" w:color="auto"/>
            </w:tcBorders>
          </w:tcPr>
          <w:p w14:paraId="0EB410DC" w14:textId="77777777" w:rsidR="00500DD7" w:rsidRPr="00572AEC" w:rsidRDefault="00500DD7" w:rsidP="00500DD7">
            <w:pPr>
              <w:pStyle w:val="TableReference"/>
              <w:tabs>
                <w:tab w:val="left" w:pos="3306"/>
              </w:tabs>
              <w:spacing w:before="60"/>
              <w:rPr>
                <w:rFonts w:cs="Calibri"/>
                <w:color w:val="7030A0"/>
                <w:sz w:val="14"/>
              </w:rPr>
            </w:pPr>
          </w:p>
        </w:tc>
        <w:tc>
          <w:tcPr>
            <w:tcW w:w="5324" w:type="dxa"/>
            <w:tcBorders>
              <w:top w:val="nil"/>
              <w:left w:val="single" w:sz="2" w:space="0" w:color="auto"/>
              <w:bottom w:val="nil"/>
              <w:right w:val="nil"/>
            </w:tcBorders>
            <w:vAlign w:val="bottom"/>
          </w:tcPr>
          <w:p w14:paraId="2CF78A62" w14:textId="5F92742C" w:rsidR="00500DD7" w:rsidRPr="00572AEC" w:rsidRDefault="00500DD7" w:rsidP="00500DD7">
            <w:pPr>
              <w:pStyle w:val="TableText"/>
              <w:tabs>
                <w:tab w:val="left" w:pos="3306"/>
              </w:tabs>
              <w:rPr>
                <w:rFonts w:cs="Calibri"/>
              </w:rPr>
            </w:pPr>
            <w:r w:rsidRPr="00572AEC">
              <w:rPr>
                <w:rFonts w:cs="Calibri"/>
                <w:i/>
                <w:iCs/>
              </w:rPr>
              <w:t>Total Revenue</w:t>
            </w:r>
          </w:p>
        </w:tc>
        <w:tc>
          <w:tcPr>
            <w:tcW w:w="1217" w:type="dxa"/>
            <w:tcBorders>
              <w:top w:val="single" w:sz="4" w:space="0" w:color="auto"/>
              <w:left w:val="nil"/>
              <w:bottom w:val="nil"/>
              <w:right w:val="nil"/>
            </w:tcBorders>
            <w:vAlign w:val="bottom"/>
          </w:tcPr>
          <w:p w14:paraId="2F84AFDD" w14:textId="77777777" w:rsidR="00500DD7" w:rsidRPr="00572AEC" w:rsidRDefault="00500DD7" w:rsidP="00500DD7">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105B7818" w14:textId="77777777" w:rsidR="00500DD7" w:rsidRPr="00572AEC" w:rsidRDefault="00500DD7" w:rsidP="00500DD7">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201AFD26" w14:textId="77777777" w:rsidR="00500DD7" w:rsidRPr="00572AEC" w:rsidRDefault="00500DD7" w:rsidP="00500DD7">
            <w:pPr>
              <w:pStyle w:val="TableText"/>
              <w:tabs>
                <w:tab w:val="left" w:pos="3306"/>
              </w:tabs>
              <w:jc w:val="right"/>
              <w:rPr>
                <w:rFonts w:cs="Calibri"/>
              </w:rPr>
            </w:pPr>
          </w:p>
        </w:tc>
      </w:tr>
      <w:tr w:rsidR="00572AEC" w:rsidRPr="00572AEC" w14:paraId="53720F80" w14:textId="77777777" w:rsidTr="004D1EC6">
        <w:tc>
          <w:tcPr>
            <w:tcW w:w="1560" w:type="dxa"/>
            <w:tcBorders>
              <w:top w:val="nil"/>
              <w:left w:val="single" w:sz="2" w:space="0" w:color="auto"/>
              <w:bottom w:val="nil"/>
              <w:right w:val="single" w:sz="2" w:space="0" w:color="auto"/>
            </w:tcBorders>
          </w:tcPr>
          <w:p w14:paraId="615F98E3" w14:textId="77777777" w:rsidR="00500DD7" w:rsidRPr="00572AEC" w:rsidRDefault="00500DD7" w:rsidP="00183BD1">
            <w:pPr>
              <w:pStyle w:val="TableReference"/>
              <w:tabs>
                <w:tab w:val="left" w:pos="3306"/>
              </w:tabs>
              <w:rPr>
                <w:rFonts w:cs="Calibri"/>
                <w:color w:val="7030A0"/>
                <w:sz w:val="14"/>
              </w:rPr>
            </w:pPr>
          </w:p>
        </w:tc>
        <w:tc>
          <w:tcPr>
            <w:tcW w:w="5324" w:type="dxa"/>
            <w:tcBorders>
              <w:top w:val="nil"/>
              <w:left w:val="single" w:sz="2" w:space="0" w:color="auto"/>
              <w:bottom w:val="nil"/>
              <w:right w:val="nil"/>
            </w:tcBorders>
            <w:vAlign w:val="bottom"/>
          </w:tcPr>
          <w:p w14:paraId="2B791FAC" w14:textId="77777777" w:rsidR="00500DD7" w:rsidRPr="00572AEC" w:rsidRDefault="00500DD7" w:rsidP="00183BD1">
            <w:pPr>
              <w:pStyle w:val="TableText"/>
              <w:tabs>
                <w:tab w:val="left" w:pos="3306"/>
              </w:tabs>
              <w:spacing w:before="0"/>
              <w:rPr>
                <w:rFonts w:cs="Calibri"/>
                <w:sz w:val="14"/>
                <w:szCs w:val="14"/>
              </w:rPr>
            </w:pPr>
          </w:p>
        </w:tc>
        <w:tc>
          <w:tcPr>
            <w:tcW w:w="1217" w:type="dxa"/>
            <w:tcBorders>
              <w:top w:val="nil"/>
              <w:left w:val="nil"/>
              <w:bottom w:val="nil"/>
              <w:right w:val="nil"/>
            </w:tcBorders>
            <w:vAlign w:val="bottom"/>
          </w:tcPr>
          <w:p w14:paraId="60C0CFD7" w14:textId="77777777" w:rsidR="00500DD7" w:rsidRPr="00572AEC" w:rsidRDefault="00500DD7" w:rsidP="00183BD1">
            <w:pPr>
              <w:pStyle w:val="TableText"/>
              <w:tabs>
                <w:tab w:val="left" w:pos="3306"/>
              </w:tabs>
              <w:spacing w:before="0"/>
              <w:jc w:val="right"/>
              <w:rPr>
                <w:rFonts w:cs="Calibri"/>
                <w:sz w:val="14"/>
                <w:szCs w:val="14"/>
              </w:rPr>
            </w:pPr>
          </w:p>
        </w:tc>
        <w:tc>
          <w:tcPr>
            <w:tcW w:w="1230" w:type="dxa"/>
            <w:tcBorders>
              <w:top w:val="nil"/>
              <w:left w:val="nil"/>
              <w:bottom w:val="nil"/>
              <w:right w:val="nil"/>
            </w:tcBorders>
            <w:vAlign w:val="bottom"/>
          </w:tcPr>
          <w:p w14:paraId="5FF25A73" w14:textId="77777777" w:rsidR="00500DD7" w:rsidRPr="00572AEC" w:rsidRDefault="00500DD7" w:rsidP="00183BD1">
            <w:pPr>
              <w:pStyle w:val="TableText"/>
              <w:tabs>
                <w:tab w:val="left" w:pos="3306"/>
              </w:tabs>
              <w:spacing w:before="0"/>
              <w:jc w:val="right"/>
              <w:rPr>
                <w:rFonts w:cs="Calibri"/>
                <w:sz w:val="14"/>
                <w:szCs w:val="14"/>
              </w:rPr>
            </w:pPr>
          </w:p>
        </w:tc>
        <w:tc>
          <w:tcPr>
            <w:tcW w:w="1215" w:type="dxa"/>
            <w:tcBorders>
              <w:top w:val="nil"/>
              <w:left w:val="nil"/>
              <w:bottom w:val="nil"/>
              <w:right w:val="nil"/>
            </w:tcBorders>
            <w:vAlign w:val="bottom"/>
          </w:tcPr>
          <w:p w14:paraId="6F84C478" w14:textId="77777777" w:rsidR="00500DD7" w:rsidRPr="00572AEC" w:rsidRDefault="00500DD7" w:rsidP="00183BD1">
            <w:pPr>
              <w:pStyle w:val="TableText"/>
              <w:tabs>
                <w:tab w:val="left" w:pos="3306"/>
              </w:tabs>
              <w:spacing w:before="0"/>
              <w:jc w:val="right"/>
              <w:rPr>
                <w:rFonts w:cs="Calibri"/>
                <w:sz w:val="14"/>
                <w:szCs w:val="14"/>
              </w:rPr>
            </w:pPr>
          </w:p>
        </w:tc>
      </w:tr>
      <w:tr w:rsidR="00572AEC" w:rsidRPr="00572AEC" w14:paraId="2A43D1F2" w14:textId="77777777" w:rsidTr="004D1EC6">
        <w:tc>
          <w:tcPr>
            <w:tcW w:w="1560" w:type="dxa"/>
            <w:tcBorders>
              <w:top w:val="nil"/>
              <w:left w:val="single" w:sz="2" w:space="0" w:color="auto"/>
              <w:bottom w:val="nil"/>
              <w:right w:val="single" w:sz="2" w:space="0" w:color="auto"/>
            </w:tcBorders>
          </w:tcPr>
          <w:p w14:paraId="2FABB363" w14:textId="6B9C4599"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 xml:space="preserve"> </w:t>
            </w:r>
          </w:p>
        </w:tc>
        <w:tc>
          <w:tcPr>
            <w:tcW w:w="5324" w:type="dxa"/>
            <w:tcBorders>
              <w:top w:val="nil"/>
              <w:left w:val="single" w:sz="2" w:space="0" w:color="auto"/>
              <w:bottom w:val="nil"/>
              <w:right w:val="nil"/>
            </w:tcBorders>
            <w:vAlign w:val="bottom"/>
          </w:tcPr>
          <w:p w14:paraId="690DAB26" w14:textId="6526E216" w:rsidR="00500DD7" w:rsidRPr="00572AEC" w:rsidRDefault="00500DD7" w:rsidP="00500DD7">
            <w:pPr>
              <w:pStyle w:val="TableText"/>
              <w:tabs>
                <w:tab w:val="left" w:pos="3306"/>
              </w:tabs>
              <w:rPr>
                <w:rFonts w:cs="Calibri"/>
              </w:rPr>
            </w:pPr>
            <w:r w:rsidRPr="00572AEC">
              <w:rPr>
                <w:rFonts w:cs="Calibri"/>
                <w:i/>
                <w:iCs/>
              </w:rPr>
              <w:t>Gains</w:t>
            </w:r>
          </w:p>
        </w:tc>
        <w:tc>
          <w:tcPr>
            <w:tcW w:w="1217" w:type="dxa"/>
            <w:tcBorders>
              <w:top w:val="nil"/>
              <w:left w:val="nil"/>
              <w:bottom w:val="nil"/>
              <w:right w:val="nil"/>
            </w:tcBorders>
            <w:vAlign w:val="bottom"/>
          </w:tcPr>
          <w:p w14:paraId="4C6BD29E"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5F7BD8A7"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2D337608" w14:textId="77777777" w:rsidR="00500DD7" w:rsidRPr="00572AEC" w:rsidRDefault="00500DD7" w:rsidP="00500DD7">
            <w:pPr>
              <w:pStyle w:val="TableText"/>
              <w:tabs>
                <w:tab w:val="left" w:pos="3306"/>
              </w:tabs>
              <w:jc w:val="right"/>
              <w:rPr>
                <w:rFonts w:cs="Calibri"/>
              </w:rPr>
            </w:pPr>
          </w:p>
        </w:tc>
      </w:tr>
      <w:tr w:rsidR="00572AEC" w:rsidRPr="00572AEC" w14:paraId="2EE4449E" w14:textId="77777777" w:rsidTr="004D1EC6">
        <w:tc>
          <w:tcPr>
            <w:tcW w:w="1560" w:type="dxa"/>
            <w:tcBorders>
              <w:top w:val="nil"/>
              <w:left w:val="single" w:sz="2" w:space="0" w:color="auto"/>
              <w:bottom w:val="nil"/>
              <w:right w:val="single" w:sz="2" w:space="0" w:color="auto"/>
            </w:tcBorders>
          </w:tcPr>
          <w:p w14:paraId="1EEBA3E5" w14:textId="1FBC483A"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1052.15(d)</w:t>
            </w:r>
          </w:p>
        </w:tc>
        <w:tc>
          <w:tcPr>
            <w:tcW w:w="5324" w:type="dxa"/>
            <w:tcBorders>
              <w:top w:val="nil"/>
              <w:left w:val="single" w:sz="2" w:space="0" w:color="auto"/>
              <w:bottom w:val="nil"/>
              <w:right w:val="nil"/>
            </w:tcBorders>
            <w:vAlign w:val="bottom"/>
          </w:tcPr>
          <w:p w14:paraId="50FB4302" w14:textId="152B9192" w:rsidR="00500DD7" w:rsidRPr="00572AEC" w:rsidRDefault="00500DD7" w:rsidP="00500DD7">
            <w:pPr>
              <w:pStyle w:val="TableText"/>
              <w:tabs>
                <w:tab w:val="left" w:pos="3306"/>
              </w:tabs>
              <w:rPr>
                <w:rFonts w:cs="Calibri"/>
              </w:rPr>
            </w:pPr>
            <w:r w:rsidRPr="00572AEC">
              <w:rPr>
                <w:rFonts w:cs="Calibri"/>
                <w:iCs/>
              </w:rPr>
              <w:t>Gains from Disposal, Derecognition and Remeasurement of Assets</w:t>
            </w:r>
          </w:p>
        </w:tc>
        <w:tc>
          <w:tcPr>
            <w:tcW w:w="1217" w:type="dxa"/>
            <w:tcBorders>
              <w:top w:val="nil"/>
              <w:left w:val="nil"/>
              <w:bottom w:val="nil"/>
              <w:right w:val="nil"/>
            </w:tcBorders>
            <w:vAlign w:val="bottom"/>
          </w:tcPr>
          <w:p w14:paraId="5246941E"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78AD2E6B"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26DAB1D0" w14:textId="77777777" w:rsidR="00500DD7" w:rsidRPr="00572AEC" w:rsidRDefault="00500DD7" w:rsidP="00500DD7">
            <w:pPr>
              <w:pStyle w:val="TableText"/>
              <w:tabs>
                <w:tab w:val="left" w:pos="3306"/>
              </w:tabs>
              <w:jc w:val="right"/>
              <w:rPr>
                <w:rFonts w:cs="Calibri"/>
              </w:rPr>
            </w:pPr>
          </w:p>
        </w:tc>
      </w:tr>
      <w:tr w:rsidR="00572AEC" w:rsidRPr="00572AEC" w14:paraId="42BFD9B0" w14:textId="77777777" w:rsidTr="004D1EC6">
        <w:tc>
          <w:tcPr>
            <w:tcW w:w="1560" w:type="dxa"/>
            <w:tcBorders>
              <w:top w:val="nil"/>
              <w:left w:val="single" w:sz="2" w:space="0" w:color="auto"/>
              <w:bottom w:val="nil"/>
              <w:right w:val="single" w:sz="2" w:space="0" w:color="auto"/>
            </w:tcBorders>
          </w:tcPr>
          <w:p w14:paraId="5129DAA9" w14:textId="437C3FDE"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1052.15(d)</w:t>
            </w:r>
          </w:p>
        </w:tc>
        <w:tc>
          <w:tcPr>
            <w:tcW w:w="5324" w:type="dxa"/>
            <w:tcBorders>
              <w:top w:val="nil"/>
              <w:left w:val="single" w:sz="2" w:space="0" w:color="auto"/>
              <w:bottom w:val="nil"/>
              <w:right w:val="nil"/>
            </w:tcBorders>
            <w:vAlign w:val="bottom"/>
          </w:tcPr>
          <w:p w14:paraId="4DB666F3" w14:textId="10AAF979" w:rsidR="00500DD7" w:rsidRPr="00572AEC" w:rsidRDefault="00500DD7" w:rsidP="00500DD7">
            <w:pPr>
              <w:pStyle w:val="TableText"/>
              <w:tabs>
                <w:tab w:val="left" w:pos="3306"/>
              </w:tabs>
              <w:rPr>
                <w:rFonts w:cs="Calibri"/>
              </w:rPr>
            </w:pPr>
            <w:r w:rsidRPr="00572AEC">
              <w:rPr>
                <w:rFonts w:cs="Calibri"/>
              </w:rPr>
              <w:t>Other Gains</w:t>
            </w:r>
          </w:p>
        </w:tc>
        <w:tc>
          <w:tcPr>
            <w:tcW w:w="1217" w:type="dxa"/>
            <w:tcBorders>
              <w:top w:val="nil"/>
              <w:left w:val="nil"/>
              <w:bottom w:val="single" w:sz="4" w:space="0" w:color="auto"/>
              <w:right w:val="nil"/>
            </w:tcBorders>
            <w:vAlign w:val="bottom"/>
          </w:tcPr>
          <w:p w14:paraId="69986525"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single" w:sz="4" w:space="0" w:color="auto"/>
              <w:right w:val="nil"/>
            </w:tcBorders>
            <w:vAlign w:val="bottom"/>
          </w:tcPr>
          <w:p w14:paraId="166D39B9"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774C3CA7" w14:textId="77777777" w:rsidR="00500DD7" w:rsidRPr="00572AEC" w:rsidRDefault="00500DD7" w:rsidP="00500DD7">
            <w:pPr>
              <w:pStyle w:val="TableText"/>
              <w:tabs>
                <w:tab w:val="left" w:pos="3306"/>
              </w:tabs>
              <w:jc w:val="right"/>
              <w:rPr>
                <w:rFonts w:cs="Calibri"/>
              </w:rPr>
            </w:pPr>
          </w:p>
        </w:tc>
      </w:tr>
      <w:tr w:rsidR="00572AEC" w:rsidRPr="00572AEC" w14:paraId="305EB5BA" w14:textId="77777777" w:rsidTr="004D1EC6">
        <w:tc>
          <w:tcPr>
            <w:tcW w:w="1560" w:type="dxa"/>
            <w:tcBorders>
              <w:top w:val="nil"/>
              <w:left w:val="single" w:sz="2" w:space="0" w:color="auto"/>
              <w:bottom w:val="nil"/>
              <w:right w:val="single" w:sz="2" w:space="0" w:color="auto"/>
            </w:tcBorders>
          </w:tcPr>
          <w:p w14:paraId="23684BC1" w14:textId="77777777" w:rsidR="00500DD7" w:rsidRPr="00572AEC" w:rsidRDefault="00500DD7" w:rsidP="00500DD7">
            <w:pPr>
              <w:pStyle w:val="TableReference"/>
              <w:tabs>
                <w:tab w:val="left" w:pos="3306"/>
              </w:tabs>
              <w:spacing w:before="60"/>
              <w:rPr>
                <w:rFonts w:cs="Calibri"/>
                <w:color w:val="7030A0"/>
                <w:sz w:val="14"/>
              </w:rPr>
            </w:pPr>
          </w:p>
        </w:tc>
        <w:tc>
          <w:tcPr>
            <w:tcW w:w="5324" w:type="dxa"/>
            <w:tcBorders>
              <w:top w:val="nil"/>
              <w:left w:val="single" w:sz="2" w:space="0" w:color="auto"/>
              <w:bottom w:val="nil"/>
              <w:right w:val="nil"/>
            </w:tcBorders>
            <w:vAlign w:val="bottom"/>
          </w:tcPr>
          <w:p w14:paraId="732EEE65" w14:textId="0A3157EC" w:rsidR="00500DD7" w:rsidRPr="00572AEC" w:rsidRDefault="00500DD7" w:rsidP="00500DD7">
            <w:pPr>
              <w:pStyle w:val="TableText"/>
              <w:tabs>
                <w:tab w:val="left" w:pos="3306"/>
              </w:tabs>
              <w:rPr>
                <w:rFonts w:cs="Calibri"/>
              </w:rPr>
            </w:pPr>
            <w:r w:rsidRPr="00572AEC">
              <w:rPr>
                <w:rFonts w:cs="Calibri"/>
                <w:i/>
                <w:iCs/>
              </w:rPr>
              <w:t>Total Gains</w:t>
            </w:r>
          </w:p>
        </w:tc>
        <w:tc>
          <w:tcPr>
            <w:tcW w:w="1217" w:type="dxa"/>
            <w:tcBorders>
              <w:top w:val="single" w:sz="4" w:space="0" w:color="auto"/>
              <w:left w:val="nil"/>
              <w:bottom w:val="nil"/>
              <w:right w:val="nil"/>
            </w:tcBorders>
            <w:vAlign w:val="bottom"/>
          </w:tcPr>
          <w:p w14:paraId="6A7C9D3D" w14:textId="77777777" w:rsidR="00500DD7" w:rsidRPr="00572AEC" w:rsidRDefault="00500DD7" w:rsidP="00500DD7">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49A91370" w14:textId="77777777" w:rsidR="00500DD7" w:rsidRPr="00572AEC" w:rsidRDefault="00500DD7" w:rsidP="00500DD7">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765B8733" w14:textId="77777777" w:rsidR="00500DD7" w:rsidRPr="00572AEC" w:rsidRDefault="00500DD7" w:rsidP="00500DD7">
            <w:pPr>
              <w:pStyle w:val="TableText"/>
              <w:tabs>
                <w:tab w:val="left" w:pos="3306"/>
              </w:tabs>
              <w:jc w:val="right"/>
              <w:rPr>
                <w:rFonts w:cs="Calibri"/>
              </w:rPr>
            </w:pPr>
          </w:p>
        </w:tc>
      </w:tr>
      <w:tr w:rsidR="00572AEC" w:rsidRPr="00572AEC" w14:paraId="1813C76C" w14:textId="77777777" w:rsidTr="004D1EC6">
        <w:tc>
          <w:tcPr>
            <w:tcW w:w="1560" w:type="dxa"/>
            <w:tcBorders>
              <w:top w:val="nil"/>
              <w:left w:val="single" w:sz="2" w:space="0" w:color="auto"/>
              <w:bottom w:val="nil"/>
              <w:right w:val="single" w:sz="2" w:space="0" w:color="auto"/>
            </w:tcBorders>
          </w:tcPr>
          <w:p w14:paraId="6056EFCF" w14:textId="77777777" w:rsidR="00500DD7" w:rsidRPr="00572AEC" w:rsidRDefault="00500DD7" w:rsidP="00500DD7">
            <w:pPr>
              <w:pStyle w:val="TableReference"/>
              <w:tabs>
                <w:tab w:val="left" w:pos="3306"/>
              </w:tabs>
              <w:spacing w:before="60"/>
              <w:rPr>
                <w:rFonts w:cs="Calibri"/>
                <w:color w:val="7030A0"/>
                <w:sz w:val="6"/>
                <w:szCs w:val="6"/>
              </w:rPr>
            </w:pPr>
          </w:p>
        </w:tc>
        <w:tc>
          <w:tcPr>
            <w:tcW w:w="5324" w:type="dxa"/>
            <w:tcBorders>
              <w:top w:val="nil"/>
              <w:left w:val="single" w:sz="2" w:space="0" w:color="auto"/>
              <w:bottom w:val="nil"/>
              <w:right w:val="nil"/>
            </w:tcBorders>
            <w:vAlign w:val="bottom"/>
          </w:tcPr>
          <w:p w14:paraId="023AD436" w14:textId="77777777" w:rsidR="00500DD7" w:rsidRPr="00572AEC" w:rsidRDefault="00500DD7" w:rsidP="00500DD7">
            <w:pPr>
              <w:pStyle w:val="TableText"/>
              <w:tabs>
                <w:tab w:val="left" w:pos="3306"/>
              </w:tabs>
              <w:rPr>
                <w:rFonts w:cs="Calibri"/>
                <w:sz w:val="6"/>
                <w:szCs w:val="6"/>
              </w:rPr>
            </w:pPr>
          </w:p>
        </w:tc>
        <w:tc>
          <w:tcPr>
            <w:tcW w:w="1217" w:type="dxa"/>
            <w:tcBorders>
              <w:top w:val="nil"/>
              <w:left w:val="nil"/>
              <w:bottom w:val="single" w:sz="4" w:space="0" w:color="auto"/>
              <w:right w:val="nil"/>
            </w:tcBorders>
            <w:vAlign w:val="bottom"/>
          </w:tcPr>
          <w:p w14:paraId="25EBC055" w14:textId="77777777" w:rsidR="00500DD7" w:rsidRPr="00572AEC" w:rsidRDefault="00500DD7" w:rsidP="00500DD7">
            <w:pPr>
              <w:pStyle w:val="TableText"/>
              <w:tabs>
                <w:tab w:val="left" w:pos="3306"/>
              </w:tabs>
              <w:jc w:val="right"/>
              <w:rPr>
                <w:rFonts w:cs="Calibri"/>
                <w:sz w:val="6"/>
                <w:szCs w:val="6"/>
              </w:rPr>
            </w:pPr>
          </w:p>
        </w:tc>
        <w:tc>
          <w:tcPr>
            <w:tcW w:w="1230" w:type="dxa"/>
            <w:tcBorders>
              <w:top w:val="nil"/>
              <w:left w:val="nil"/>
              <w:bottom w:val="single" w:sz="4" w:space="0" w:color="auto"/>
              <w:right w:val="nil"/>
            </w:tcBorders>
            <w:vAlign w:val="bottom"/>
          </w:tcPr>
          <w:p w14:paraId="603E56DE" w14:textId="77777777" w:rsidR="00500DD7" w:rsidRPr="00572AEC" w:rsidRDefault="00500DD7" w:rsidP="00500DD7">
            <w:pPr>
              <w:pStyle w:val="TableText"/>
              <w:tabs>
                <w:tab w:val="left" w:pos="3306"/>
              </w:tabs>
              <w:jc w:val="right"/>
              <w:rPr>
                <w:rFonts w:cs="Calibri"/>
                <w:sz w:val="6"/>
                <w:szCs w:val="6"/>
              </w:rPr>
            </w:pPr>
          </w:p>
        </w:tc>
        <w:tc>
          <w:tcPr>
            <w:tcW w:w="1215" w:type="dxa"/>
            <w:tcBorders>
              <w:top w:val="nil"/>
              <w:left w:val="nil"/>
              <w:bottom w:val="single" w:sz="4" w:space="0" w:color="auto"/>
              <w:right w:val="nil"/>
            </w:tcBorders>
            <w:vAlign w:val="bottom"/>
          </w:tcPr>
          <w:p w14:paraId="52977942" w14:textId="77777777" w:rsidR="00500DD7" w:rsidRPr="00572AEC" w:rsidRDefault="00500DD7" w:rsidP="00500DD7">
            <w:pPr>
              <w:pStyle w:val="TableText"/>
              <w:tabs>
                <w:tab w:val="left" w:pos="3306"/>
              </w:tabs>
              <w:jc w:val="right"/>
              <w:rPr>
                <w:rFonts w:cs="Calibri"/>
                <w:sz w:val="6"/>
                <w:szCs w:val="6"/>
              </w:rPr>
            </w:pPr>
          </w:p>
        </w:tc>
      </w:tr>
      <w:tr w:rsidR="00572AEC" w:rsidRPr="00572AEC" w14:paraId="08CA5839" w14:textId="77777777" w:rsidTr="004D1EC6">
        <w:tc>
          <w:tcPr>
            <w:tcW w:w="1560" w:type="dxa"/>
            <w:tcBorders>
              <w:top w:val="nil"/>
              <w:left w:val="single" w:sz="2" w:space="0" w:color="auto"/>
              <w:bottom w:val="nil"/>
              <w:right w:val="single" w:sz="2" w:space="0" w:color="auto"/>
            </w:tcBorders>
          </w:tcPr>
          <w:p w14:paraId="3E3FAA6E" w14:textId="77777777" w:rsidR="00500DD7" w:rsidRPr="00572AEC" w:rsidRDefault="00500DD7" w:rsidP="00500DD7">
            <w:pPr>
              <w:pStyle w:val="TableReference"/>
              <w:tabs>
                <w:tab w:val="left" w:pos="3306"/>
              </w:tabs>
              <w:spacing w:before="40"/>
              <w:rPr>
                <w:rFonts w:cs="Calibri"/>
                <w:color w:val="7030A0"/>
                <w:sz w:val="14"/>
              </w:rPr>
            </w:pPr>
          </w:p>
        </w:tc>
        <w:tc>
          <w:tcPr>
            <w:tcW w:w="5324" w:type="dxa"/>
            <w:tcBorders>
              <w:top w:val="nil"/>
              <w:left w:val="single" w:sz="2" w:space="0" w:color="auto"/>
              <w:bottom w:val="nil"/>
              <w:right w:val="nil"/>
            </w:tcBorders>
            <w:vAlign w:val="bottom"/>
          </w:tcPr>
          <w:p w14:paraId="2B7A1122" w14:textId="77777777" w:rsidR="00500DD7" w:rsidRPr="00572AEC" w:rsidRDefault="00500DD7" w:rsidP="00500DD7">
            <w:pPr>
              <w:pStyle w:val="TableText"/>
              <w:tabs>
                <w:tab w:val="left" w:pos="3306"/>
              </w:tabs>
              <w:rPr>
                <w:rFonts w:cs="Calibri"/>
                <w:b/>
                <w:bCs/>
              </w:rPr>
            </w:pPr>
            <w:r w:rsidRPr="00572AEC">
              <w:rPr>
                <w:rFonts w:cs="Calibri"/>
                <w:b/>
                <w:bCs/>
              </w:rPr>
              <w:t>Total Income</w:t>
            </w:r>
          </w:p>
        </w:tc>
        <w:tc>
          <w:tcPr>
            <w:tcW w:w="1217" w:type="dxa"/>
            <w:tcBorders>
              <w:top w:val="single" w:sz="4" w:space="0" w:color="auto"/>
              <w:left w:val="nil"/>
              <w:bottom w:val="single" w:sz="4" w:space="0" w:color="auto"/>
              <w:right w:val="nil"/>
            </w:tcBorders>
            <w:vAlign w:val="bottom"/>
          </w:tcPr>
          <w:p w14:paraId="04F010A9" w14:textId="77777777" w:rsidR="00500DD7" w:rsidRPr="00572AEC" w:rsidRDefault="00500DD7" w:rsidP="00500DD7">
            <w:pPr>
              <w:pStyle w:val="TableText"/>
              <w:tabs>
                <w:tab w:val="left" w:pos="3306"/>
              </w:tabs>
              <w:jc w:val="right"/>
              <w:rPr>
                <w:rFonts w:cs="Calibri"/>
                <w:b/>
                <w:bCs/>
              </w:rPr>
            </w:pPr>
          </w:p>
        </w:tc>
        <w:tc>
          <w:tcPr>
            <w:tcW w:w="1230" w:type="dxa"/>
            <w:tcBorders>
              <w:top w:val="single" w:sz="4" w:space="0" w:color="auto"/>
              <w:left w:val="nil"/>
              <w:bottom w:val="single" w:sz="4" w:space="0" w:color="auto"/>
              <w:right w:val="nil"/>
            </w:tcBorders>
            <w:vAlign w:val="bottom"/>
          </w:tcPr>
          <w:p w14:paraId="08BBC591" w14:textId="77777777" w:rsidR="00500DD7" w:rsidRPr="00572AEC" w:rsidRDefault="00500DD7" w:rsidP="00500DD7">
            <w:pPr>
              <w:pStyle w:val="TableText"/>
              <w:tabs>
                <w:tab w:val="left" w:pos="3306"/>
              </w:tabs>
              <w:jc w:val="right"/>
              <w:rPr>
                <w:rFonts w:cs="Calibri"/>
                <w:b/>
                <w:bCs/>
              </w:rPr>
            </w:pPr>
          </w:p>
        </w:tc>
        <w:tc>
          <w:tcPr>
            <w:tcW w:w="1215" w:type="dxa"/>
            <w:tcBorders>
              <w:top w:val="single" w:sz="4" w:space="0" w:color="auto"/>
              <w:left w:val="nil"/>
              <w:bottom w:val="single" w:sz="4" w:space="0" w:color="auto"/>
              <w:right w:val="nil"/>
            </w:tcBorders>
            <w:vAlign w:val="bottom"/>
          </w:tcPr>
          <w:p w14:paraId="2696F88F" w14:textId="77777777" w:rsidR="00500DD7" w:rsidRPr="00572AEC" w:rsidRDefault="00500DD7" w:rsidP="00500DD7">
            <w:pPr>
              <w:pStyle w:val="TableText"/>
              <w:tabs>
                <w:tab w:val="left" w:pos="3306"/>
              </w:tabs>
              <w:jc w:val="right"/>
              <w:rPr>
                <w:rFonts w:cs="Calibri"/>
                <w:b/>
                <w:bCs/>
              </w:rPr>
            </w:pPr>
          </w:p>
        </w:tc>
      </w:tr>
      <w:tr w:rsidR="00572AEC" w:rsidRPr="00572AEC" w14:paraId="222CB373" w14:textId="77777777" w:rsidTr="004D1EC6">
        <w:tc>
          <w:tcPr>
            <w:tcW w:w="1560" w:type="dxa"/>
            <w:tcBorders>
              <w:top w:val="nil"/>
              <w:left w:val="single" w:sz="2" w:space="0" w:color="auto"/>
              <w:bottom w:val="nil"/>
              <w:right w:val="single" w:sz="2" w:space="0" w:color="auto"/>
            </w:tcBorders>
          </w:tcPr>
          <w:p w14:paraId="55A7471E" w14:textId="77777777" w:rsidR="00500DD7" w:rsidRPr="00572AEC" w:rsidRDefault="00500DD7" w:rsidP="00500DD7">
            <w:pPr>
              <w:pStyle w:val="TableReference"/>
              <w:tabs>
                <w:tab w:val="left" w:pos="3306"/>
              </w:tabs>
              <w:spacing w:before="40"/>
              <w:rPr>
                <w:rFonts w:cs="Calibri"/>
                <w:color w:val="7030A0"/>
                <w:sz w:val="14"/>
              </w:rPr>
            </w:pPr>
          </w:p>
        </w:tc>
        <w:tc>
          <w:tcPr>
            <w:tcW w:w="5324" w:type="dxa"/>
            <w:tcBorders>
              <w:top w:val="nil"/>
              <w:left w:val="single" w:sz="2" w:space="0" w:color="auto"/>
              <w:bottom w:val="nil"/>
              <w:right w:val="nil"/>
            </w:tcBorders>
            <w:vAlign w:val="bottom"/>
          </w:tcPr>
          <w:p w14:paraId="0D601D86" w14:textId="77777777" w:rsidR="00500DD7" w:rsidRPr="00572AEC" w:rsidRDefault="00500DD7" w:rsidP="00500DD7">
            <w:pPr>
              <w:pStyle w:val="TableText"/>
              <w:tabs>
                <w:tab w:val="left" w:pos="3306"/>
              </w:tabs>
              <w:rPr>
                <w:rFonts w:cs="Calibri"/>
              </w:rPr>
            </w:pPr>
            <w:r w:rsidRPr="00572AEC">
              <w:rPr>
                <w:rFonts w:cs="Calibri"/>
              </w:rPr>
              <w:t xml:space="preserve"> </w:t>
            </w:r>
          </w:p>
        </w:tc>
        <w:tc>
          <w:tcPr>
            <w:tcW w:w="1217" w:type="dxa"/>
            <w:tcBorders>
              <w:top w:val="single" w:sz="4" w:space="0" w:color="auto"/>
              <w:left w:val="nil"/>
              <w:bottom w:val="nil"/>
              <w:right w:val="nil"/>
            </w:tcBorders>
            <w:vAlign w:val="bottom"/>
          </w:tcPr>
          <w:p w14:paraId="3B594611" w14:textId="77777777" w:rsidR="00500DD7" w:rsidRPr="00572AEC" w:rsidRDefault="00500DD7" w:rsidP="00500DD7">
            <w:pPr>
              <w:pStyle w:val="TableText"/>
              <w:tabs>
                <w:tab w:val="left" w:pos="3306"/>
              </w:tabs>
              <w:jc w:val="right"/>
              <w:rPr>
                <w:rFonts w:cs="Calibri"/>
              </w:rPr>
            </w:pPr>
          </w:p>
        </w:tc>
        <w:tc>
          <w:tcPr>
            <w:tcW w:w="1230" w:type="dxa"/>
            <w:tcBorders>
              <w:top w:val="single" w:sz="4" w:space="0" w:color="auto"/>
              <w:left w:val="nil"/>
              <w:bottom w:val="nil"/>
              <w:right w:val="nil"/>
            </w:tcBorders>
            <w:vAlign w:val="bottom"/>
          </w:tcPr>
          <w:p w14:paraId="6AE1D057" w14:textId="77777777" w:rsidR="00500DD7" w:rsidRPr="00572AEC" w:rsidRDefault="00500DD7" w:rsidP="00500DD7">
            <w:pPr>
              <w:pStyle w:val="TableText"/>
              <w:tabs>
                <w:tab w:val="left" w:pos="3306"/>
              </w:tabs>
              <w:jc w:val="right"/>
              <w:rPr>
                <w:rFonts w:cs="Calibri"/>
              </w:rPr>
            </w:pPr>
          </w:p>
        </w:tc>
        <w:tc>
          <w:tcPr>
            <w:tcW w:w="1215" w:type="dxa"/>
            <w:tcBorders>
              <w:top w:val="single" w:sz="4" w:space="0" w:color="auto"/>
              <w:left w:val="nil"/>
              <w:bottom w:val="nil"/>
              <w:right w:val="nil"/>
            </w:tcBorders>
            <w:vAlign w:val="bottom"/>
          </w:tcPr>
          <w:p w14:paraId="74029576" w14:textId="77777777" w:rsidR="00500DD7" w:rsidRPr="00572AEC" w:rsidRDefault="00500DD7" w:rsidP="00500DD7">
            <w:pPr>
              <w:pStyle w:val="TableText"/>
              <w:tabs>
                <w:tab w:val="left" w:pos="3306"/>
              </w:tabs>
              <w:jc w:val="right"/>
              <w:rPr>
                <w:rFonts w:cs="Calibri"/>
              </w:rPr>
            </w:pPr>
          </w:p>
        </w:tc>
      </w:tr>
      <w:tr w:rsidR="00572AEC" w:rsidRPr="00572AEC" w14:paraId="7C0B81E7" w14:textId="77777777" w:rsidTr="004D1EC6">
        <w:tc>
          <w:tcPr>
            <w:tcW w:w="1560" w:type="dxa"/>
            <w:tcBorders>
              <w:top w:val="nil"/>
              <w:left w:val="single" w:sz="2" w:space="0" w:color="auto"/>
              <w:bottom w:val="nil"/>
              <w:right w:val="single" w:sz="2" w:space="0" w:color="auto"/>
            </w:tcBorders>
          </w:tcPr>
          <w:p w14:paraId="27ED05B1" w14:textId="77777777" w:rsidR="00500DD7" w:rsidRPr="00572AEC" w:rsidRDefault="00500DD7" w:rsidP="00500DD7">
            <w:pPr>
              <w:pStyle w:val="TableReference"/>
              <w:tabs>
                <w:tab w:val="left" w:pos="3306"/>
              </w:tabs>
              <w:spacing w:before="40"/>
              <w:rPr>
                <w:rFonts w:cs="Calibri"/>
                <w:color w:val="7030A0"/>
                <w:sz w:val="14"/>
              </w:rPr>
            </w:pPr>
            <w:r w:rsidRPr="00572AEC">
              <w:rPr>
                <w:rFonts w:cs="Calibri"/>
                <w:color w:val="7030A0"/>
                <w:sz w:val="14"/>
              </w:rPr>
              <w:t xml:space="preserve"> </w:t>
            </w:r>
          </w:p>
        </w:tc>
        <w:tc>
          <w:tcPr>
            <w:tcW w:w="5324" w:type="dxa"/>
            <w:tcBorders>
              <w:top w:val="nil"/>
              <w:left w:val="single" w:sz="2" w:space="0" w:color="auto"/>
              <w:bottom w:val="nil"/>
              <w:right w:val="nil"/>
            </w:tcBorders>
            <w:vAlign w:val="bottom"/>
          </w:tcPr>
          <w:p w14:paraId="4B0012A5" w14:textId="77777777" w:rsidR="00500DD7" w:rsidRPr="00572AEC" w:rsidRDefault="00500DD7" w:rsidP="00500DD7">
            <w:pPr>
              <w:pStyle w:val="TableText"/>
              <w:tabs>
                <w:tab w:val="left" w:pos="3306"/>
              </w:tabs>
              <w:rPr>
                <w:rFonts w:cs="Calibri"/>
                <w:b/>
                <w:bCs/>
              </w:rPr>
            </w:pPr>
            <w:r w:rsidRPr="00572AEC">
              <w:rPr>
                <w:rFonts w:cs="Calibri"/>
                <w:b/>
                <w:bCs/>
              </w:rPr>
              <w:t>Expenses</w:t>
            </w:r>
          </w:p>
        </w:tc>
        <w:tc>
          <w:tcPr>
            <w:tcW w:w="1217" w:type="dxa"/>
            <w:tcBorders>
              <w:top w:val="nil"/>
              <w:left w:val="nil"/>
              <w:bottom w:val="nil"/>
              <w:right w:val="nil"/>
            </w:tcBorders>
            <w:vAlign w:val="bottom"/>
          </w:tcPr>
          <w:p w14:paraId="5CD81862"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692C5CA3"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65EACEC6" w14:textId="77777777" w:rsidR="00500DD7" w:rsidRPr="00572AEC" w:rsidRDefault="00500DD7" w:rsidP="00500DD7">
            <w:pPr>
              <w:pStyle w:val="TableText"/>
              <w:tabs>
                <w:tab w:val="left" w:pos="3306"/>
              </w:tabs>
              <w:jc w:val="right"/>
              <w:rPr>
                <w:rFonts w:cs="Calibri"/>
              </w:rPr>
            </w:pPr>
          </w:p>
        </w:tc>
      </w:tr>
      <w:tr w:rsidR="00572AEC" w:rsidRPr="00572AEC" w14:paraId="6BBAF478" w14:textId="77777777" w:rsidTr="004D1EC6">
        <w:tc>
          <w:tcPr>
            <w:tcW w:w="1560" w:type="dxa"/>
            <w:tcBorders>
              <w:top w:val="nil"/>
              <w:left w:val="single" w:sz="2" w:space="0" w:color="auto"/>
              <w:bottom w:val="nil"/>
              <w:right w:val="single" w:sz="2" w:space="0" w:color="auto"/>
            </w:tcBorders>
          </w:tcPr>
          <w:p w14:paraId="60838469"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307B95F9" w14:textId="77777777" w:rsidR="00500DD7" w:rsidRPr="00572AEC" w:rsidRDefault="00500DD7" w:rsidP="00500DD7">
            <w:pPr>
              <w:pStyle w:val="TableText"/>
              <w:tabs>
                <w:tab w:val="left" w:pos="3306"/>
              </w:tabs>
              <w:rPr>
                <w:rFonts w:cs="Calibri"/>
              </w:rPr>
            </w:pPr>
            <w:r w:rsidRPr="00572AEC">
              <w:rPr>
                <w:rFonts w:cs="Calibri"/>
              </w:rPr>
              <w:t>Employee Expenses</w:t>
            </w:r>
          </w:p>
        </w:tc>
        <w:tc>
          <w:tcPr>
            <w:tcW w:w="1217" w:type="dxa"/>
            <w:tcBorders>
              <w:top w:val="nil"/>
              <w:left w:val="nil"/>
              <w:bottom w:val="nil"/>
              <w:right w:val="nil"/>
            </w:tcBorders>
            <w:vAlign w:val="bottom"/>
          </w:tcPr>
          <w:p w14:paraId="10354588"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66B91E3D"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66C9EDF6" w14:textId="77777777" w:rsidR="00500DD7" w:rsidRPr="00572AEC" w:rsidRDefault="00500DD7" w:rsidP="00500DD7">
            <w:pPr>
              <w:pStyle w:val="TableText"/>
              <w:tabs>
                <w:tab w:val="left" w:pos="3306"/>
              </w:tabs>
              <w:jc w:val="right"/>
              <w:rPr>
                <w:rFonts w:cs="Calibri"/>
              </w:rPr>
            </w:pPr>
          </w:p>
        </w:tc>
      </w:tr>
      <w:tr w:rsidR="00572AEC" w:rsidRPr="00572AEC" w14:paraId="258EB71F" w14:textId="77777777" w:rsidTr="004D1EC6">
        <w:tc>
          <w:tcPr>
            <w:tcW w:w="1560" w:type="dxa"/>
            <w:tcBorders>
              <w:top w:val="nil"/>
              <w:left w:val="single" w:sz="2" w:space="0" w:color="auto"/>
              <w:bottom w:val="nil"/>
              <w:right w:val="single" w:sz="2" w:space="0" w:color="auto"/>
            </w:tcBorders>
          </w:tcPr>
          <w:p w14:paraId="7E419454"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34E45AB8" w14:textId="77777777" w:rsidR="00500DD7" w:rsidRPr="00572AEC" w:rsidRDefault="00500DD7" w:rsidP="00500DD7">
            <w:pPr>
              <w:pStyle w:val="TableText"/>
              <w:tabs>
                <w:tab w:val="left" w:pos="3306"/>
              </w:tabs>
              <w:rPr>
                <w:rFonts w:cs="Calibri"/>
              </w:rPr>
            </w:pPr>
            <w:r w:rsidRPr="00572AEC">
              <w:rPr>
                <w:rFonts w:cs="Calibri"/>
              </w:rPr>
              <w:t>Superannuation Expenses</w:t>
            </w:r>
          </w:p>
        </w:tc>
        <w:tc>
          <w:tcPr>
            <w:tcW w:w="1217" w:type="dxa"/>
            <w:tcBorders>
              <w:top w:val="nil"/>
              <w:left w:val="nil"/>
              <w:bottom w:val="nil"/>
              <w:right w:val="nil"/>
            </w:tcBorders>
            <w:vAlign w:val="bottom"/>
          </w:tcPr>
          <w:p w14:paraId="37791697"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3B647F37"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19712B16" w14:textId="77777777" w:rsidR="00500DD7" w:rsidRPr="00572AEC" w:rsidRDefault="00500DD7" w:rsidP="00500DD7">
            <w:pPr>
              <w:pStyle w:val="TableText"/>
              <w:tabs>
                <w:tab w:val="left" w:pos="3306"/>
              </w:tabs>
              <w:jc w:val="right"/>
              <w:rPr>
                <w:rFonts w:cs="Calibri"/>
              </w:rPr>
            </w:pPr>
          </w:p>
        </w:tc>
      </w:tr>
      <w:tr w:rsidR="00572AEC" w:rsidRPr="00572AEC" w14:paraId="60235500" w14:textId="77777777" w:rsidTr="004D1EC6">
        <w:tc>
          <w:tcPr>
            <w:tcW w:w="1560" w:type="dxa"/>
            <w:tcBorders>
              <w:top w:val="nil"/>
              <w:left w:val="single" w:sz="2" w:space="0" w:color="auto"/>
              <w:bottom w:val="nil"/>
              <w:right w:val="single" w:sz="2" w:space="0" w:color="auto"/>
            </w:tcBorders>
          </w:tcPr>
          <w:p w14:paraId="6F13E8B7"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69D3A71E" w14:textId="77777777" w:rsidR="00500DD7" w:rsidRPr="00572AEC" w:rsidRDefault="00500DD7" w:rsidP="00500DD7">
            <w:pPr>
              <w:pStyle w:val="TableText"/>
              <w:tabs>
                <w:tab w:val="left" w:pos="3306"/>
              </w:tabs>
              <w:rPr>
                <w:rFonts w:cs="Calibri"/>
              </w:rPr>
            </w:pPr>
            <w:r w:rsidRPr="00572AEC">
              <w:rPr>
                <w:rFonts w:cs="Calibri"/>
              </w:rPr>
              <w:t>Supplies and Services</w:t>
            </w:r>
          </w:p>
        </w:tc>
        <w:tc>
          <w:tcPr>
            <w:tcW w:w="1217" w:type="dxa"/>
            <w:tcBorders>
              <w:top w:val="nil"/>
              <w:left w:val="nil"/>
              <w:bottom w:val="nil"/>
              <w:right w:val="nil"/>
            </w:tcBorders>
            <w:vAlign w:val="bottom"/>
          </w:tcPr>
          <w:p w14:paraId="77BF26CD"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7B407ECE"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744D9A3F" w14:textId="77777777" w:rsidR="00500DD7" w:rsidRPr="00572AEC" w:rsidRDefault="00500DD7" w:rsidP="00500DD7">
            <w:pPr>
              <w:pStyle w:val="TableText"/>
              <w:tabs>
                <w:tab w:val="left" w:pos="3306"/>
              </w:tabs>
              <w:jc w:val="right"/>
              <w:rPr>
                <w:rFonts w:cs="Calibri"/>
              </w:rPr>
            </w:pPr>
          </w:p>
        </w:tc>
      </w:tr>
      <w:tr w:rsidR="00572AEC" w:rsidRPr="00572AEC" w14:paraId="03E68B5D" w14:textId="77777777" w:rsidTr="004D1EC6">
        <w:tc>
          <w:tcPr>
            <w:tcW w:w="1560" w:type="dxa"/>
            <w:tcBorders>
              <w:top w:val="nil"/>
              <w:left w:val="single" w:sz="2" w:space="0" w:color="auto"/>
              <w:bottom w:val="nil"/>
              <w:right w:val="single" w:sz="2" w:space="0" w:color="auto"/>
            </w:tcBorders>
          </w:tcPr>
          <w:p w14:paraId="4680D36A"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573B715B" w14:textId="77777777" w:rsidR="00500DD7" w:rsidRPr="00572AEC" w:rsidRDefault="00500DD7" w:rsidP="00500DD7">
            <w:pPr>
              <w:pStyle w:val="TableText"/>
              <w:tabs>
                <w:tab w:val="left" w:pos="3306"/>
              </w:tabs>
              <w:rPr>
                <w:rFonts w:cs="Calibri"/>
              </w:rPr>
            </w:pPr>
            <w:r w:rsidRPr="00572AEC">
              <w:rPr>
                <w:rFonts w:cs="Calibri"/>
              </w:rPr>
              <w:t>Depreciation and Amortisation</w:t>
            </w:r>
          </w:p>
        </w:tc>
        <w:tc>
          <w:tcPr>
            <w:tcW w:w="1217" w:type="dxa"/>
            <w:tcBorders>
              <w:top w:val="nil"/>
              <w:left w:val="nil"/>
              <w:bottom w:val="nil"/>
              <w:right w:val="nil"/>
            </w:tcBorders>
            <w:vAlign w:val="bottom"/>
          </w:tcPr>
          <w:p w14:paraId="1E78A6D3"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15A49C4F"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670D4A41" w14:textId="77777777" w:rsidR="00500DD7" w:rsidRPr="00572AEC" w:rsidRDefault="00500DD7" w:rsidP="00500DD7">
            <w:pPr>
              <w:pStyle w:val="TableText"/>
              <w:tabs>
                <w:tab w:val="left" w:pos="3306"/>
              </w:tabs>
              <w:jc w:val="right"/>
              <w:rPr>
                <w:rFonts w:cs="Calibri"/>
              </w:rPr>
            </w:pPr>
          </w:p>
        </w:tc>
      </w:tr>
      <w:tr w:rsidR="00572AEC" w:rsidRPr="00572AEC" w14:paraId="41A6897E" w14:textId="77777777" w:rsidTr="004D1EC6">
        <w:tc>
          <w:tcPr>
            <w:tcW w:w="1560" w:type="dxa"/>
            <w:tcBorders>
              <w:top w:val="nil"/>
              <w:left w:val="single" w:sz="2" w:space="0" w:color="auto"/>
              <w:bottom w:val="nil"/>
              <w:right w:val="single" w:sz="2" w:space="0" w:color="auto"/>
            </w:tcBorders>
          </w:tcPr>
          <w:p w14:paraId="3E7D29E7"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62BD68D2" w14:textId="77777777" w:rsidR="00500DD7" w:rsidRPr="00572AEC" w:rsidRDefault="00500DD7" w:rsidP="00500DD7">
            <w:pPr>
              <w:pStyle w:val="TableText"/>
              <w:tabs>
                <w:tab w:val="left" w:pos="3306"/>
              </w:tabs>
              <w:rPr>
                <w:rFonts w:cs="Calibri"/>
              </w:rPr>
            </w:pPr>
            <w:r w:rsidRPr="00572AEC">
              <w:rPr>
                <w:rFonts w:cs="Calibri"/>
              </w:rPr>
              <w:t xml:space="preserve">Grants and Purchased Services </w:t>
            </w:r>
          </w:p>
        </w:tc>
        <w:tc>
          <w:tcPr>
            <w:tcW w:w="1217" w:type="dxa"/>
            <w:tcBorders>
              <w:top w:val="nil"/>
              <w:left w:val="nil"/>
              <w:bottom w:val="nil"/>
              <w:right w:val="nil"/>
            </w:tcBorders>
            <w:vAlign w:val="bottom"/>
          </w:tcPr>
          <w:p w14:paraId="176B1B54"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03043398"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533C0C09" w14:textId="77777777" w:rsidR="00500DD7" w:rsidRPr="00572AEC" w:rsidRDefault="00500DD7" w:rsidP="00500DD7">
            <w:pPr>
              <w:pStyle w:val="TableText"/>
              <w:tabs>
                <w:tab w:val="left" w:pos="3306"/>
              </w:tabs>
              <w:jc w:val="right"/>
              <w:rPr>
                <w:rFonts w:cs="Calibri"/>
              </w:rPr>
            </w:pPr>
          </w:p>
        </w:tc>
      </w:tr>
      <w:tr w:rsidR="00572AEC" w:rsidRPr="00572AEC" w14:paraId="75E891A6" w14:textId="77777777" w:rsidTr="004D1EC6">
        <w:tc>
          <w:tcPr>
            <w:tcW w:w="1560" w:type="dxa"/>
            <w:tcBorders>
              <w:top w:val="nil"/>
              <w:left w:val="single" w:sz="2" w:space="0" w:color="auto"/>
              <w:bottom w:val="nil"/>
              <w:right w:val="single" w:sz="2" w:space="0" w:color="auto"/>
            </w:tcBorders>
          </w:tcPr>
          <w:p w14:paraId="490E54E3"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45DB7197" w14:textId="77777777" w:rsidR="00500DD7" w:rsidRPr="00572AEC" w:rsidRDefault="00500DD7" w:rsidP="00500DD7">
            <w:pPr>
              <w:pStyle w:val="TableText"/>
              <w:tabs>
                <w:tab w:val="left" w:pos="3306"/>
              </w:tabs>
              <w:rPr>
                <w:rFonts w:cs="Calibri"/>
              </w:rPr>
            </w:pPr>
            <w:r w:rsidRPr="00572AEC">
              <w:rPr>
                <w:rFonts w:cs="Calibri"/>
              </w:rPr>
              <w:t>Borrowing Costs</w:t>
            </w:r>
          </w:p>
        </w:tc>
        <w:tc>
          <w:tcPr>
            <w:tcW w:w="1217" w:type="dxa"/>
            <w:tcBorders>
              <w:top w:val="nil"/>
              <w:left w:val="nil"/>
              <w:bottom w:val="nil"/>
              <w:right w:val="nil"/>
            </w:tcBorders>
            <w:vAlign w:val="bottom"/>
          </w:tcPr>
          <w:p w14:paraId="0EA181A1" w14:textId="77777777" w:rsidR="00500DD7" w:rsidRPr="00572AEC" w:rsidRDefault="00500DD7" w:rsidP="00500DD7">
            <w:pPr>
              <w:pStyle w:val="TableText"/>
              <w:tabs>
                <w:tab w:val="left" w:pos="3306"/>
              </w:tabs>
              <w:jc w:val="right"/>
              <w:rPr>
                <w:rFonts w:cs="Calibri"/>
              </w:rPr>
            </w:pPr>
          </w:p>
        </w:tc>
        <w:tc>
          <w:tcPr>
            <w:tcW w:w="1230" w:type="dxa"/>
            <w:tcBorders>
              <w:top w:val="nil"/>
              <w:left w:val="nil"/>
              <w:bottom w:val="nil"/>
              <w:right w:val="nil"/>
            </w:tcBorders>
            <w:vAlign w:val="bottom"/>
          </w:tcPr>
          <w:p w14:paraId="64F6B3CF"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nil"/>
              <w:right w:val="nil"/>
            </w:tcBorders>
            <w:vAlign w:val="bottom"/>
          </w:tcPr>
          <w:p w14:paraId="675D007C" w14:textId="77777777" w:rsidR="00500DD7" w:rsidRPr="00572AEC" w:rsidRDefault="00500DD7" w:rsidP="00500DD7">
            <w:pPr>
              <w:pStyle w:val="TableText"/>
              <w:tabs>
                <w:tab w:val="left" w:pos="3306"/>
              </w:tabs>
              <w:jc w:val="right"/>
              <w:rPr>
                <w:rFonts w:cs="Calibri"/>
              </w:rPr>
            </w:pPr>
          </w:p>
        </w:tc>
      </w:tr>
      <w:tr w:rsidR="00572AEC" w:rsidRPr="00572AEC" w14:paraId="2FB79306" w14:textId="77777777" w:rsidTr="004D1EC6">
        <w:tc>
          <w:tcPr>
            <w:tcW w:w="1560" w:type="dxa"/>
            <w:tcBorders>
              <w:top w:val="nil"/>
              <w:left w:val="single" w:sz="2" w:space="0" w:color="auto"/>
              <w:bottom w:val="nil"/>
              <w:right w:val="single" w:sz="2" w:space="0" w:color="auto"/>
            </w:tcBorders>
          </w:tcPr>
          <w:p w14:paraId="76289020" w14:textId="77777777" w:rsidR="00500DD7" w:rsidRPr="00572AEC" w:rsidRDefault="00500DD7" w:rsidP="00500DD7">
            <w:pPr>
              <w:pStyle w:val="TableReference"/>
              <w:tabs>
                <w:tab w:val="left" w:pos="3306"/>
              </w:tabs>
              <w:spacing w:before="60"/>
              <w:rPr>
                <w:rFonts w:cs="Calibri"/>
                <w:color w:val="7030A0"/>
                <w:sz w:val="14"/>
              </w:rPr>
            </w:pPr>
            <w:r w:rsidRPr="00572AEC">
              <w:rPr>
                <w:rFonts w:cs="Calibri"/>
                <w:color w:val="7030A0"/>
                <w:sz w:val="14"/>
              </w:rPr>
              <w:t>AASB 1052.15(c)</w:t>
            </w:r>
          </w:p>
        </w:tc>
        <w:tc>
          <w:tcPr>
            <w:tcW w:w="5324" w:type="dxa"/>
            <w:tcBorders>
              <w:top w:val="nil"/>
              <w:left w:val="single" w:sz="2" w:space="0" w:color="auto"/>
              <w:bottom w:val="nil"/>
              <w:right w:val="nil"/>
            </w:tcBorders>
            <w:vAlign w:val="bottom"/>
          </w:tcPr>
          <w:p w14:paraId="0D2E2186" w14:textId="77777777" w:rsidR="00500DD7" w:rsidRPr="00572AEC" w:rsidRDefault="00500DD7" w:rsidP="00500DD7">
            <w:pPr>
              <w:pStyle w:val="TableText"/>
              <w:tabs>
                <w:tab w:val="left" w:pos="3306"/>
              </w:tabs>
              <w:rPr>
                <w:rFonts w:cs="Calibri"/>
              </w:rPr>
            </w:pPr>
            <w:r w:rsidRPr="00572AEC">
              <w:rPr>
                <w:rFonts w:cs="Calibri"/>
              </w:rPr>
              <w:t xml:space="preserve">Other Expenses </w:t>
            </w:r>
          </w:p>
        </w:tc>
        <w:tc>
          <w:tcPr>
            <w:tcW w:w="1217" w:type="dxa"/>
            <w:tcBorders>
              <w:top w:val="nil"/>
              <w:left w:val="nil"/>
              <w:bottom w:val="single" w:sz="4" w:space="0" w:color="auto"/>
              <w:right w:val="nil"/>
            </w:tcBorders>
            <w:vAlign w:val="bottom"/>
          </w:tcPr>
          <w:p w14:paraId="3DC8DBEF" w14:textId="77777777" w:rsidR="00500DD7" w:rsidRPr="00572AEC" w:rsidRDefault="00500DD7" w:rsidP="00500DD7">
            <w:pPr>
              <w:pStyle w:val="TableText"/>
              <w:tabs>
                <w:tab w:val="left" w:pos="3306"/>
              </w:tabs>
              <w:jc w:val="right"/>
              <w:rPr>
                <w:rFonts w:cs="Calibri"/>
                <w:strike/>
              </w:rPr>
            </w:pPr>
          </w:p>
        </w:tc>
        <w:tc>
          <w:tcPr>
            <w:tcW w:w="1230" w:type="dxa"/>
            <w:tcBorders>
              <w:top w:val="nil"/>
              <w:left w:val="nil"/>
              <w:bottom w:val="single" w:sz="4" w:space="0" w:color="auto"/>
              <w:right w:val="nil"/>
            </w:tcBorders>
            <w:vAlign w:val="bottom"/>
          </w:tcPr>
          <w:p w14:paraId="5DAA39E3" w14:textId="77777777" w:rsidR="00500DD7" w:rsidRPr="00572AEC" w:rsidRDefault="00500DD7" w:rsidP="00500DD7">
            <w:pPr>
              <w:pStyle w:val="TableText"/>
              <w:tabs>
                <w:tab w:val="left" w:pos="3306"/>
              </w:tabs>
              <w:jc w:val="right"/>
              <w:rPr>
                <w:rFonts w:cs="Calibri"/>
              </w:rPr>
            </w:pPr>
          </w:p>
        </w:tc>
        <w:tc>
          <w:tcPr>
            <w:tcW w:w="1215" w:type="dxa"/>
            <w:tcBorders>
              <w:top w:val="nil"/>
              <w:left w:val="nil"/>
              <w:bottom w:val="single" w:sz="4" w:space="0" w:color="auto"/>
              <w:right w:val="nil"/>
            </w:tcBorders>
            <w:vAlign w:val="bottom"/>
          </w:tcPr>
          <w:p w14:paraId="667BA00A" w14:textId="77777777" w:rsidR="00500DD7" w:rsidRPr="00572AEC" w:rsidRDefault="00500DD7" w:rsidP="00500DD7">
            <w:pPr>
              <w:pStyle w:val="TableText"/>
              <w:tabs>
                <w:tab w:val="left" w:pos="3306"/>
              </w:tabs>
              <w:jc w:val="right"/>
              <w:rPr>
                <w:rFonts w:cs="Calibri"/>
              </w:rPr>
            </w:pPr>
          </w:p>
        </w:tc>
      </w:tr>
      <w:tr w:rsidR="00572AEC" w:rsidRPr="00572AEC" w14:paraId="61F129CE" w14:textId="77777777" w:rsidTr="004D1EC6">
        <w:tc>
          <w:tcPr>
            <w:tcW w:w="1560" w:type="dxa"/>
            <w:tcBorders>
              <w:top w:val="nil"/>
              <w:left w:val="single" w:sz="2" w:space="0" w:color="auto"/>
              <w:bottom w:val="nil"/>
              <w:right w:val="single" w:sz="2" w:space="0" w:color="auto"/>
            </w:tcBorders>
          </w:tcPr>
          <w:p w14:paraId="30901C88" w14:textId="77777777" w:rsidR="00500DD7" w:rsidRPr="00572AEC" w:rsidRDefault="00500DD7" w:rsidP="00500DD7">
            <w:pPr>
              <w:pStyle w:val="TableReference"/>
              <w:tabs>
                <w:tab w:val="left" w:pos="3306"/>
              </w:tabs>
              <w:spacing w:before="40"/>
              <w:rPr>
                <w:rFonts w:cs="Calibri"/>
                <w:color w:val="7030A0"/>
                <w:sz w:val="16"/>
                <w:szCs w:val="16"/>
              </w:rPr>
            </w:pPr>
          </w:p>
        </w:tc>
        <w:tc>
          <w:tcPr>
            <w:tcW w:w="5324" w:type="dxa"/>
            <w:tcBorders>
              <w:top w:val="nil"/>
              <w:left w:val="single" w:sz="2" w:space="0" w:color="auto"/>
              <w:bottom w:val="nil"/>
              <w:right w:val="nil"/>
            </w:tcBorders>
            <w:vAlign w:val="bottom"/>
          </w:tcPr>
          <w:p w14:paraId="23A34E99" w14:textId="77777777" w:rsidR="00500DD7" w:rsidRPr="00572AEC" w:rsidRDefault="00500DD7" w:rsidP="00500DD7">
            <w:pPr>
              <w:pStyle w:val="TableText"/>
              <w:tabs>
                <w:tab w:val="left" w:pos="3306"/>
              </w:tabs>
              <w:rPr>
                <w:rFonts w:cs="Calibri"/>
                <w:b/>
                <w:bCs/>
              </w:rPr>
            </w:pPr>
            <w:r w:rsidRPr="00572AEC">
              <w:rPr>
                <w:rFonts w:cs="Calibri"/>
                <w:b/>
                <w:bCs/>
              </w:rPr>
              <w:t xml:space="preserve">Total Expenses </w:t>
            </w:r>
          </w:p>
        </w:tc>
        <w:tc>
          <w:tcPr>
            <w:tcW w:w="1217" w:type="dxa"/>
            <w:tcBorders>
              <w:top w:val="single" w:sz="4" w:space="0" w:color="auto"/>
              <w:left w:val="nil"/>
              <w:bottom w:val="single" w:sz="4" w:space="0" w:color="auto"/>
              <w:right w:val="nil"/>
            </w:tcBorders>
            <w:vAlign w:val="bottom"/>
          </w:tcPr>
          <w:p w14:paraId="4B0AF81B" w14:textId="77777777" w:rsidR="00500DD7" w:rsidRPr="00572AEC" w:rsidRDefault="00500DD7" w:rsidP="00500DD7">
            <w:pPr>
              <w:pStyle w:val="TableText"/>
              <w:tabs>
                <w:tab w:val="left" w:pos="3306"/>
              </w:tabs>
              <w:jc w:val="right"/>
              <w:rPr>
                <w:rFonts w:cs="Calibri"/>
                <w:b/>
                <w:bCs/>
              </w:rPr>
            </w:pPr>
          </w:p>
        </w:tc>
        <w:tc>
          <w:tcPr>
            <w:tcW w:w="1230" w:type="dxa"/>
            <w:tcBorders>
              <w:top w:val="single" w:sz="4" w:space="0" w:color="auto"/>
              <w:left w:val="nil"/>
              <w:bottom w:val="single" w:sz="4" w:space="0" w:color="auto"/>
              <w:right w:val="nil"/>
            </w:tcBorders>
            <w:vAlign w:val="bottom"/>
          </w:tcPr>
          <w:p w14:paraId="7EDD0A4F" w14:textId="77777777" w:rsidR="00500DD7" w:rsidRPr="00572AEC" w:rsidRDefault="00500DD7" w:rsidP="00500DD7">
            <w:pPr>
              <w:pStyle w:val="TableText"/>
              <w:tabs>
                <w:tab w:val="left" w:pos="3306"/>
              </w:tabs>
              <w:jc w:val="right"/>
              <w:rPr>
                <w:rFonts w:cs="Calibri"/>
                <w:b/>
                <w:bCs/>
              </w:rPr>
            </w:pPr>
          </w:p>
        </w:tc>
        <w:tc>
          <w:tcPr>
            <w:tcW w:w="1215" w:type="dxa"/>
            <w:tcBorders>
              <w:top w:val="single" w:sz="4" w:space="0" w:color="auto"/>
              <w:left w:val="nil"/>
              <w:bottom w:val="single" w:sz="4" w:space="0" w:color="auto"/>
              <w:right w:val="nil"/>
            </w:tcBorders>
            <w:vAlign w:val="bottom"/>
          </w:tcPr>
          <w:p w14:paraId="00E16520" w14:textId="77777777" w:rsidR="00500DD7" w:rsidRPr="00572AEC" w:rsidRDefault="00500DD7" w:rsidP="00500DD7">
            <w:pPr>
              <w:pStyle w:val="TableText"/>
              <w:tabs>
                <w:tab w:val="left" w:pos="3306"/>
              </w:tabs>
              <w:jc w:val="right"/>
              <w:rPr>
                <w:rFonts w:cs="Calibri"/>
                <w:b/>
                <w:bCs/>
              </w:rPr>
            </w:pPr>
          </w:p>
        </w:tc>
      </w:tr>
      <w:tr w:rsidR="00572AEC" w:rsidRPr="00572AEC" w14:paraId="50BCBA6F" w14:textId="77777777" w:rsidTr="004D1EC6">
        <w:tc>
          <w:tcPr>
            <w:tcW w:w="1560" w:type="dxa"/>
            <w:tcBorders>
              <w:top w:val="nil"/>
              <w:left w:val="single" w:sz="2" w:space="0" w:color="auto"/>
              <w:bottom w:val="nil"/>
              <w:right w:val="single" w:sz="2" w:space="0" w:color="auto"/>
            </w:tcBorders>
          </w:tcPr>
          <w:p w14:paraId="658379BE" w14:textId="77777777" w:rsidR="00500DD7" w:rsidRPr="00572AEC" w:rsidRDefault="00500DD7" w:rsidP="00500DD7">
            <w:pPr>
              <w:pStyle w:val="TableReference"/>
              <w:tabs>
                <w:tab w:val="left" w:pos="3306"/>
              </w:tabs>
              <w:spacing w:before="40"/>
              <w:rPr>
                <w:rFonts w:cs="Calibri"/>
                <w:color w:val="7030A0"/>
                <w:sz w:val="16"/>
                <w:szCs w:val="16"/>
              </w:rPr>
            </w:pPr>
          </w:p>
        </w:tc>
        <w:tc>
          <w:tcPr>
            <w:tcW w:w="5324" w:type="dxa"/>
            <w:tcBorders>
              <w:top w:val="nil"/>
              <w:left w:val="single" w:sz="2" w:space="0" w:color="auto"/>
              <w:bottom w:val="nil"/>
              <w:right w:val="nil"/>
            </w:tcBorders>
            <w:vAlign w:val="bottom"/>
          </w:tcPr>
          <w:p w14:paraId="7FE269A7" w14:textId="7E9EC3A0" w:rsidR="00500DD7" w:rsidRPr="00572AEC" w:rsidRDefault="00500DD7" w:rsidP="00500DD7">
            <w:pPr>
              <w:pStyle w:val="TableText"/>
              <w:tabs>
                <w:tab w:val="left" w:pos="3306"/>
              </w:tabs>
              <w:rPr>
                <w:rFonts w:cs="Calibri"/>
                <w:b/>
                <w:bCs/>
              </w:rPr>
            </w:pPr>
            <w:r w:rsidRPr="00572AEC">
              <w:rPr>
                <w:rFonts w:cs="Calibri"/>
                <w:b/>
                <w:bCs/>
              </w:rPr>
              <w:t xml:space="preserve">Operating </w:t>
            </w:r>
            <w:r w:rsidR="00F91BB4" w:rsidRPr="00572AEC">
              <w:rPr>
                <w:rFonts w:cs="Calibri"/>
                <w:b/>
                <w:bCs/>
              </w:rPr>
              <w:t>Result</w:t>
            </w:r>
            <w:r w:rsidRPr="00572AEC">
              <w:rPr>
                <w:rFonts w:cs="Calibri"/>
                <w:b/>
                <w:bCs/>
              </w:rPr>
              <w:t xml:space="preserve"> </w:t>
            </w:r>
          </w:p>
        </w:tc>
        <w:tc>
          <w:tcPr>
            <w:tcW w:w="1217" w:type="dxa"/>
            <w:tcBorders>
              <w:top w:val="single" w:sz="4" w:space="0" w:color="auto"/>
              <w:left w:val="nil"/>
              <w:bottom w:val="double" w:sz="4" w:space="0" w:color="auto"/>
              <w:right w:val="nil"/>
            </w:tcBorders>
            <w:vAlign w:val="bottom"/>
          </w:tcPr>
          <w:p w14:paraId="2BFC20A2" w14:textId="77777777" w:rsidR="00500DD7" w:rsidRPr="00572AEC" w:rsidRDefault="00500DD7" w:rsidP="00500DD7">
            <w:pPr>
              <w:pStyle w:val="TableText"/>
              <w:tabs>
                <w:tab w:val="left" w:pos="3306"/>
              </w:tabs>
              <w:jc w:val="right"/>
              <w:rPr>
                <w:rFonts w:cs="Calibri"/>
                <w:b/>
                <w:bCs/>
              </w:rPr>
            </w:pPr>
          </w:p>
        </w:tc>
        <w:tc>
          <w:tcPr>
            <w:tcW w:w="1230" w:type="dxa"/>
            <w:tcBorders>
              <w:top w:val="single" w:sz="4" w:space="0" w:color="auto"/>
              <w:left w:val="nil"/>
              <w:bottom w:val="double" w:sz="4" w:space="0" w:color="auto"/>
              <w:right w:val="nil"/>
            </w:tcBorders>
            <w:vAlign w:val="bottom"/>
          </w:tcPr>
          <w:p w14:paraId="027CAF29" w14:textId="77777777" w:rsidR="00500DD7" w:rsidRPr="00572AEC" w:rsidRDefault="00500DD7" w:rsidP="00500DD7">
            <w:pPr>
              <w:pStyle w:val="TableText"/>
              <w:tabs>
                <w:tab w:val="left" w:pos="3306"/>
              </w:tabs>
              <w:jc w:val="right"/>
              <w:rPr>
                <w:rFonts w:cs="Calibri"/>
                <w:b/>
                <w:bCs/>
              </w:rPr>
            </w:pPr>
          </w:p>
        </w:tc>
        <w:tc>
          <w:tcPr>
            <w:tcW w:w="1215" w:type="dxa"/>
            <w:tcBorders>
              <w:top w:val="single" w:sz="4" w:space="0" w:color="auto"/>
              <w:left w:val="nil"/>
              <w:bottom w:val="double" w:sz="4" w:space="0" w:color="auto"/>
              <w:right w:val="nil"/>
            </w:tcBorders>
            <w:vAlign w:val="bottom"/>
          </w:tcPr>
          <w:p w14:paraId="0458763D" w14:textId="77777777" w:rsidR="00500DD7" w:rsidRPr="00572AEC" w:rsidRDefault="00500DD7" w:rsidP="00500DD7">
            <w:pPr>
              <w:pStyle w:val="TableText"/>
              <w:tabs>
                <w:tab w:val="left" w:pos="3306"/>
              </w:tabs>
              <w:jc w:val="right"/>
              <w:rPr>
                <w:rFonts w:cs="Calibri"/>
                <w:b/>
                <w:bCs/>
                <w:strike/>
              </w:rPr>
            </w:pPr>
          </w:p>
        </w:tc>
      </w:tr>
      <w:tr w:rsidR="00572AEC" w:rsidRPr="00572AEC" w14:paraId="40AD6DBE" w14:textId="77777777" w:rsidTr="004D1EC6">
        <w:tc>
          <w:tcPr>
            <w:tcW w:w="1560" w:type="dxa"/>
            <w:tcBorders>
              <w:top w:val="nil"/>
              <w:left w:val="single" w:sz="2" w:space="0" w:color="auto"/>
              <w:bottom w:val="nil"/>
              <w:right w:val="single" w:sz="2" w:space="0" w:color="auto"/>
            </w:tcBorders>
          </w:tcPr>
          <w:p w14:paraId="21F69262" w14:textId="77777777" w:rsidR="007F6866" w:rsidRPr="00572AEC" w:rsidRDefault="007F6866" w:rsidP="00500DD7">
            <w:pPr>
              <w:pStyle w:val="TableReference"/>
              <w:tabs>
                <w:tab w:val="left" w:pos="3306"/>
              </w:tabs>
              <w:spacing w:before="40"/>
              <w:rPr>
                <w:rFonts w:cs="Calibri"/>
                <w:color w:val="7030A0"/>
                <w:sz w:val="16"/>
                <w:szCs w:val="16"/>
              </w:rPr>
            </w:pPr>
          </w:p>
        </w:tc>
        <w:tc>
          <w:tcPr>
            <w:tcW w:w="5324" w:type="dxa"/>
            <w:tcBorders>
              <w:top w:val="nil"/>
              <w:left w:val="single" w:sz="2" w:space="0" w:color="auto"/>
              <w:bottom w:val="nil"/>
              <w:right w:val="nil"/>
            </w:tcBorders>
            <w:vAlign w:val="bottom"/>
          </w:tcPr>
          <w:p w14:paraId="0B5A8CB3" w14:textId="77777777" w:rsidR="007F6866" w:rsidRPr="00572AEC" w:rsidRDefault="007F6866" w:rsidP="00500DD7">
            <w:pPr>
              <w:pStyle w:val="TableText"/>
              <w:tabs>
                <w:tab w:val="left" w:pos="3306"/>
              </w:tabs>
              <w:rPr>
                <w:rFonts w:cs="Calibri"/>
                <w:b/>
                <w:bCs/>
              </w:rPr>
            </w:pPr>
          </w:p>
        </w:tc>
        <w:tc>
          <w:tcPr>
            <w:tcW w:w="1217" w:type="dxa"/>
            <w:tcBorders>
              <w:top w:val="double" w:sz="4" w:space="0" w:color="auto"/>
              <w:left w:val="nil"/>
              <w:bottom w:val="nil"/>
              <w:right w:val="nil"/>
            </w:tcBorders>
            <w:vAlign w:val="bottom"/>
          </w:tcPr>
          <w:p w14:paraId="2BD4735D" w14:textId="77777777" w:rsidR="007F6866" w:rsidRPr="00572AEC" w:rsidRDefault="007F6866" w:rsidP="00500DD7">
            <w:pPr>
              <w:pStyle w:val="TableText"/>
              <w:tabs>
                <w:tab w:val="left" w:pos="3306"/>
              </w:tabs>
              <w:jc w:val="right"/>
              <w:rPr>
                <w:rFonts w:cs="Calibri"/>
                <w:b/>
                <w:bCs/>
              </w:rPr>
            </w:pPr>
          </w:p>
        </w:tc>
        <w:tc>
          <w:tcPr>
            <w:tcW w:w="1230" w:type="dxa"/>
            <w:tcBorders>
              <w:top w:val="double" w:sz="4" w:space="0" w:color="auto"/>
              <w:left w:val="nil"/>
              <w:bottom w:val="nil"/>
              <w:right w:val="nil"/>
            </w:tcBorders>
            <w:vAlign w:val="bottom"/>
          </w:tcPr>
          <w:p w14:paraId="105A8371" w14:textId="77777777" w:rsidR="007F6866" w:rsidRPr="00572AEC" w:rsidRDefault="007F6866" w:rsidP="00500DD7">
            <w:pPr>
              <w:pStyle w:val="TableText"/>
              <w:tabs>
                <w:tab w:val="left" w:pos="3306"/>
              </w:tabs>
              <w:jc w:val="right"/>
              <w:rPr>
                <w:rFonts w:cs="Calibri"/>
                <w:b/>
                <w:bCs/>
              </w:rPr>
            </w:pPr>
          </w:p>
        </w:tc>
        <w:tc>
          <w:tcPr>
            <w:tcW w:w="1215" w:type="dxa"/>
            <w:tcBorders>
              <w:top w:val="double" w:sz="4" w:space="0" w:color="auto"/>
              <w:left w:val="nil"/>
              <w:bottom w:val="nil"/>
              <w:right w:val="nil"/>
            </w:tcBorders>
            <w:vAlign w:val="bottom"/>
          </w:tcPr>
          <w:p w14:paraId="7B71328E" w14:textId="77777777" w:rsidR="007F6866" w:rsidRPr="00572AEC" w:rsidRDefault="007F6866" w:rsidP="00500DD7">
            <w:pPr>
              <w:pStyle w:val="TableText"/>
              <w:tabs>
                <w:tab w:val="left" w:pos="3306"/>
              </w:tabs>
              <w:jc w:val="right"/>
              <w:rPr>
                <w:rFonts w:cs="Calibri"/>
                <w:b/>
                <w:bCs/>
                <w:strike/>
              </w:rPr>
            </w:pPr>
          </w:p>
        </w:tc>
      </w:tr>
      <w:tr w:rsidR="00572AEC" w:rsidRPr="00572AEC" w14:paraId="300D3266" w14:textId="77777777" w:rsidTr="004D1EC6">
        <w:tc>
          <w:tcPr>
            <w:tcW w:w="1560" w:type="dxa"/>
            <w:tcBorders>
              <w:top w:val="nil"/>
              <w:left w:val="single" w:sz="2" w:space="0" w:color="auto"/>
              <w:bottom w:val="nil"/>
              <w:right w:val="single" w:sz="2" w:space="0" w:color="auto"/>
            </w:tcBorders>
          </w:tcPr>
          <w:p w14:paraId="7AD0A0B2" w14:textId="6A2EC3B8" w:rsidR="00B92775" w:rsidRPr="00572AEC" w:rsidRDefault="00A54F62" w:rsidP="00500DD7">
            <w:pPr>
              <w:pStyle w:val="TableReference"/>
              <w:tabs>
                <w:tab w:val="left" w:pos="3306"/>
              </w:tabs>
              <w:spacing w:before="40"/>
              <w:rPr>
                <w:rFonts w:cs="Calibri"/>
                <w:b/>
                <w:strike/>
                <w:color w:val="7030A0"/>
                <w:sz w:val="22"/>
                <w:szCs w:val="22"/>
              </w:rPr>
            </w:pPr>
            <w:r w:rsidRPr="00572AEC">
              <w:rPr>
                <w:rFonts w:cs="Calibri"/>
                <w:color w:val="7030A0"/>
                <w:sz w:val="14"/>
              </w:rPr>
              <w:t>AASB 1052.15(d)</w:t>
            </w:r>
          </w:p>
        </w:tc>
        <w:tc>
          <w:tcPr>
            <w:tcW w:w="8986" w:type="dxa"/>
            <w:gridSpan w:val="4"/>
            <w:tcBorders>
              <w:top w:val="nil"/>
              <w:left w:val="single" w:sz="2" w:space="0" w:color="auto"/>
              <w:bottom w:val="nil"/>
              <w:right w:val="nil"/>
            </w:tcBorders>
            <w:shd w:val="clear" w:color="auto" w:fill="auto"/>
          </w:tcPr>
          <w:p w14:paraId="30B1CCDE" w14:textId="14B2D872" w:rsidR="00B92775" w:rsidRPr="00572AEC" w:rsidRDefault="00B92775" w:rsidP="002414E7">
            <w:pPr>
              <w:pStyle w:val="TableText"/>
              <w:tabs>
                <w:tab w:val="left" w:pos="3306"/>
              </w:tabs>
              <w:rPr>
                <w:rFonts w:cs="Calibri"/>
                <w:b/>
                <w:sz w:val="22"/>
                <w:szCs w:val="22"/>
              </w:rPr>
            </w:pPr>
            <w:r w:rsidRPr="00572AEC">
              <w:rPr>
                <w:rFonts w:cs="Calibri"/>
              </w:rPr>
              <w:t>Income from Government Sources</w:t>
            </w:r>
          </w:p>
        </w:tc>
      </w:tr>
      <w:tr w:rsidR="00C85383" w:rsidRPr="00572AEC" w14:paraId="4078AE1E" w14:textId="77777777" w:rsidTr="004D1EC6">
        <w:tc>
          <w:tcPr>
            <w:tcW w:w="1560" w:type="dxa"/>
            <w:tcBorders>
              <w:top w:val="nil"/>
              <w:left w:val="single" w:sz="2" w:space="0" w:color="auto"/>
              <w:bottom w:val="nil"/>
              <w:right w:val="single" w:sz="2" w:space="0" w:color="auto"/>
            </w:tcBorders>
          </w:tcPr>
          <w:p w14:paraId="7F1C5AF5" w14:textId="0B86484D" w:rsidR="00C85383" w:rsidRPr="00572AEC" w:rsidRDefault="00C85383" w:rsidP="00DA5473">
            <w:pPr>
              <w:pStyle w:val="TableReference"/>
              <w:tabs>
                <w:tab w:val="left" w:pos="3306"/>
              </w:tabs>
              <w:spacing w:before="40"/>
              <w:rPr>
                <w:rFonts w:cs="Calibri"/>
                <w:b/>
                <w:strike/>
                <w:color w:val="7030A0"/>
                <w:sz w:val="22"/>
                <w:szCs w:val="22"/>
              </w:rPr>
            </w:pPr>
          </w:p>
        </w:tc>
        <w:tc>
          <w:tcPr>
            <w:tcW w:w="8986" w:type="dxa"/>
            <w:gridSpan w:val="4"/>
            <w:tcBorders>
              <w:top w:val="nil"/>
              <w:left w:val="single" w:sz="2" w:space="0" w:color="auto"/>
              <w:bottom w:val="nil"/>
              <w:right w:val="nil"/>
            </w:tcBorders>
            <w:shd w:val="clear" w:color="auto" w:fill="auto"/>
          </w:tcPr>
          <w:p w14:paraId="7DDA72F2" w14:textId="70BC86A4" w:rsidR="00C85383" w:rsidRPr="00572AEC" w:rsidRDefault="00C85383" w:rsidP="00DA5473">
            <w:pPr>
              <w:pStyle w:val="TableText"/>
              <w:tabs>
                <w:tab w:val="left" w:pos="3306"/>
              </w:tabs>
              <w:rPr>
                <w:rFonts w:cs="Calibri"/>
                <w:b/>
                <w:sz w:val="22"/>
                <w:szCs w:val="22"/>
              </w:rPr>
            </w:pPr>
          </w:p>
        </w:tc>
      </w:tr>
      <w:tr w:rsidR="002414E7" w:rsidRPr="00ED1443" w14:paraId="225089A1" w14:textId="77777777" w:rsidTr="004D1EC6">
        <w:tc>
          <w:tcPr>
            <w:tcW w:w="1560" w:type="dxa"/>
            <w:tcBorders>
              <w:top w:val="nil"/>
              <w:left w:val="single" w:sz="2" w:space="0" w:color="auto"/>
              <w:bottom w:val="nil"/>
              <w:right w:val="single" w:sz="2" w:space="0" w:color="auto"/>
            </w:tcBorders>
          </w:tcPr>
          <w:p w14:paraId="270C805C" w14:textId="0D5DC565" w:rsidR="002414E7" w:rsidRPr="006911F3" w:rsidRDefault="002414E7" w:rsidP="00500DD7">
            <w:pPr>
              <w:pStyle w:val="TableReference"/>
              <w:tabs>
                <w:tab w:val="left" w:pos="3306"/>
              </w:tabs>
              <w:spacing w:before="40"/>
              <w:rPr>
                <w:rFonts w:cs="Calibri"/>
                <w:color w:val="7030A0"/>
                <w:sz w:val="16"/>
                <w:szCs w:val="16"/>
              </w:rPr>
            </w:pPr>
          </w:p>
        </w:tc>
        <w:tc>
          <w:tcPr>
            <w:tcW w:w="8986" w:type="dxa"/>
            <w:gridSpan w:val="4"/>
            <w:tcBorders>
              <w:top w:val="nil"/>
              <w:left w:val="single" w:sz="2" w:space="0" w:color="auto"/>
              <w:bottom w:val="nil"/>
              <w:right w:val="nil"/>
            </w:tcBorders>
            <w:shd w:val="clear" w:color="auto" w:fill="7030A0"/>
          </w:tcPr>
          <w:p w14:paraId="53273607" w14:textId="118B86FA" w:rsidR="002414E7" w:rsidRPr="006911F3" w:rsidRDefault="002414E7" w:rsidP="002414E7">
            <w:pPr>
              <w:pStyle w:val="TableText"/>
              <w:tabs>
                <w:tab w:val="left" w:pos="3306"/>
              </w:tabs>
              <w:rPr>
                <w:rFonts w:cs="Calibri"/>
                <w:b/>
                <w:bCs/>
                <w:strike/>
                <w:color w:val="FFFFFF" w:themeColor="background1"/>
                <w:sz w:val="28"/>
                <w:szCs w:val="28"/>
              </w:rPr>
            </w:pPr>
            <w:bookmarkStart w:id="284" w:name="_Toc50440322"/>
            <w:r w:rsidRPr="006911F3">
              <w:rPr>
                <w:rFonts w:cs="Calibri"/>
                <w:b/>
                <w:color w:val="FFFFFF" w:themeColor="background1"/>
                <w:sz w:val="28"/>
                <w:szCs w:val="28"/>
              </w:rPr>
              <w:t xml:space="preserve">Commentary </w:t>
            </w:r>
            <w:r w:rsidRPr="006911F3">
              <w:rPr>
                <w:rFonts w:cs="Calibri"/>
                <w:b/>
                <w:color w:val="FFFFFF" w:themeColor="background1"/>
                <w:sz w:val="28"/>
                <w:szCs w:val="28"/>
              </w:rPr>
              <w:sym w:font="Symbol" w:char="F02D"/>
            </w:r>
            <w:r w:rsidRPr="006911F3">
              <w:rPr>
                <w:rFonts w:cs="Calibri"/>
                <w:b/>
                <w:color w:val="FFFFFF" w:themeColor="background1"/>
                <w:sz w:val="28"/>
                <w:szCs w:val="28"/>
              </w:rPr>
              <w:t xml:space="preserve"> Operating Statement for Each Output Class</w:t>
            </w:r>
            <w:bookmarkEnd w:id="284"/>
          </w:p>
        </w:tc>
      </w:tr>
      <w:tr w:rsidR="002414E7" w:rsidRPr="00ED1443" w14:paraId="77D620A0" w14:textId="77777777" w:rsidTr="004D1EC6">
        <w:tc>
          <w:tcPr>
            <w:tcW w:w="1560" w:type="dxa"/>
            <w:tcBorders>
              <w:top w:val="nil"/>
              <w:left w:val="single" w:sz="2" w:space="0" w:color="auto"/>
              <w:bottom w:val="nil"/>
              <w:right w:val="single" w:sz="2" w:space="0" w:color="auto"/>
            </w:tcBorders>
          </w:tcPr>
          <w:p w14:paraId="06BCAC39" w14:textId="77777777" w:rsidR="002414E7" w:rsidRPr="006911F3" w:rsidRDefault="002414E7" w:rsidP="00500DD7">
            <w:pPr>
              <w:pStyle w:val="TableReference"/>
              <w:tabs>
                <w:tab w:val="left" w:pos="3306"/>
              </w:tabs>
              <w:spacing w:before="40"/>
              <w:rPr>
                <w:rFonts w:cs="Calibri"/>
                <w:color w:val="7030A0"/>
                <w:sz w:val="16"/>
                <w:szCs w:val="16"/>
              </w:rPr>
            </w:pPr>
          </w:p>
        </w:tc>
        <w:tc>
          <w:tcPr>
            <w:tcW w:w="8986" w:type="dxa"/>
            <w:gridSpan w:val="4"/>
            <w:tcBorders>
              <w:top w:val="nil"/>
              <w:left w:val="single" w:sz="2" w:space="0" w:color="auto"/>
              <w:bottom w:val="nil"/>
              <w:right w:val="nil"/>
            </w:tcBorders>
            <w:shd w:val="clear" w:color="auto" w:fill="7030A0"/>
          </w:tcPr>
          <w:p w14:paraId="6BB0C72E" w14:textId="3FA6A7D0" w:rsidR="002414E7" w:rsidRPr="005E4472" w:rsidRDefault="007F0E48" w:rsidP="007F0E48">
            <w:pPr>
              <w:pStyle w:val="Normal1"/>
              <w:spacing w:before="120"/>
              <w:rPr>
                <w:rFonts w:cs="Calibri"/>
                <w:b/>
                <w:bCs/>
                <w:color w:val="FFFFFF" w:themeColor="background1"/>
                <w:sz w:val="20"/>
                <w:szCs w:val="20"/>
              </w:rPr>
            </w:pPr>
            <w:r w:rsidRPr="005E4472">
              <w:rPr>
                <w:b/>
                <w:bCs/>
                <w:color w:val="FFFFFF" w:themeColor="background1"/>
                <w:sz w:val="20"/>
                <w:szCs w:val="20"/>
              </w:rPr>
              <w:t>Summary of Agency Output Classes</w:t>
            </w:r>
          </w:p>
        </w:tc>
      </w:tr>
      <w:tr w:rsidR="007F0E48" w:rsidRPr="00ED1443" w14:paraId="5F7B1E5C" w14:textId="77777777" w:rsidTr="004D1EC6">
        <w:tc>
          <w:tcPr>
            <w:tcW w:w="1560" w:type="dxa"/>
            <w:tcBorders>
              <w:top w:val="nil"/>
              <w:left w:val="single" w:sz="2" w:space="0" w:color="auto"/>
              <w:bottom w:val="nil"/>
              <w:right w:val="single" w:sz="2" w:space="0" w:color="auto"/>
            </w:tcBorders>
          </w:tcPr>
          <w:p w14:paraId="76536D1F" w14:textId="77777777" w:rsidR="007F0E48" w:rsidRPr="006911F3" w:rsidRDefault="007F0E48" w:rsidP="00500DD7">
            <w:pPr>
              <w:pStyle w:val="TableReference"/>
              <w:tabs>
                <w:tab w:val="left" w:pos="3306"/>
              </w:tabs>
              <w:spacing w:before="40"/>
              <w:rPr>
                <w:rFonts w:cs="Calibri"/>
                <w:color w:val="7030A0"/>
                <w:sz w:val="16"/>
                <w:szCs w:val="16"/>
              </w:rPr>
            </w:pPr>
          </w:p>
        </w:tc>
        <w:tc>
          <w:tcPr>
            <w:tcW w:w="8986" w:type="dxa"/>
            <w:gridSpan w:val="4"/>
            <w:tcBorders>
              <w:top w:val="nil"/>
              <w:left w:val="single" w:sz="2" w:space="0" w:color="auto"/>
              <w:bottom w:val="nil"/>
              <w:right w:val="nil"/>
            </w:tcBorders>
            <w:shd w:val="clear" w:color="auto" w:fill="7030A0"/>
          </w:tcPr>
          <w:p w14:paraId="798E3458" w14:textId="40B295C0" w:rsidR="007F0E48" w:rsidRPr="006911F3" w:rsidRDefault="007F0E48" w:rsidP="007F0E48">
            <w:pPr>
              <w:pStyle w:val="Normal1"/>
              <w:rPr>
                <w:color w:val="FFFFFF" w:themeColor="background1"/>
                <w:sz w:val="18"/>
                <w:szCs w:val="18"/>
              </w:rPr>
            </w:pPr>
            <w:r w:rsidRPr="006911F3">
              <w:rPr>
                <w:color w:val="FFFFFF" w:themeColor="background1"/>
                <w:sz w:val="18"/>
                <w:szCs w:val="18"/>
              </w:rPr>
              <w:t>For agencies that have multiple output classes and have intra agency eliminations between those output classes then those agencies can chose to include a Summary of Agency Output Classes in their Financial Statements.</w:t>
            </w:r>
          </w:p>
        </w:tc>
      </w:tr>
      <w:tr w:rsidR="002414E7" w:rsidRPr="00ED1443" w14:paraId="6389E064" w14:textId="77777777" w:rsidTr="004D1EC6">
        <w:tc>
          <w:tcPr>
            <w:tcW w:w="1560" w:type="dxa"/>
            <w:tcBorders>
              <w:top w:val="nil"/>
              <w:left w:val="single" w:sz="2" w:space="0" w:color="auto"/>
              <w:bottom w:val="nil"/>
              <w:right w:val="single" w:sz="2" w:space="0" w:color="auto"/>
            </w:tcBorders>
          </w:tcPr>
          <w:p w14:paraId="2AC41902" w14:textId="77777777" w:rsidR="002414E7" w:rsidRPr="006911F3" w:rsidRDefault="002414E7" w:rsidP="00500DD7">
            <w:pPr>
              <w:pStyle w:val="TableReference"/>
              <w:tabs>
                <w:tab w:val="left" w:pos="3306"/>
              </w:tabs>
              <w:spacing w:before="40"/>
              <w:rPr>
                <w:rFonts w:cs="Calibri"/>
                <w:color w:val="7030A0"/>
                <w:sz w:val="16"/>
                <w:szCs w:val="16"/>
              </w:rPr>
            </w:pPr>
          </w:p>
        </w:tc>
        <w:tc>
          <w:tcPr>
            <w:tcW w:w="8986" w:type="dxa"/>
            <w:gridSpan w:val="4"/>
            <w:tcBorders>
              <w:top w:val="nil"/>
              <w:left w:val="single" w:sz="2" w:space="0" w:color="auto"/>
              <w:bottom w:val="nil"/>
              <w:right w:val="nil"/>
            </w:tcBorders>
            <w:shd w:val="clear" w:color="auto" w:fill="7030A0"/>
          </w:tcPr>
          <w:p w14:paraId="400038A5" w14:textId="0C055BC7" w:rsidR="002414E7" w:rsidRPr="005E4472" w:rsidRDefault="002414E7" w:rsidP="007F0E48">
            <w:pPr>
              <w:pStyle w:val="TableText"/>
              <w:tabs>
                <w:tab w:val="left" w:pos="3306"/>
              </w:tabs>
              <w:spacing w:before="120"/>
              <w:rPr>
                <w:rFonts w:cs="Calibri"/>
                <w:b/>
                <w:bCs/>
                <w:strike/>
                <w:color w:val="FFFFFF" w:themeColor="background1"/>
                <w:sz w:val="20"/>
                <w:szCs w:val="20"/>
              </w:rPr>
            </w:pPr>
            <w:r w:rsidRPr="005E4472">
              <w:rPr>
                <w:rFonts w:cs="Calibri"/>
                <w:b/>
                <w:bCs/>
                <w:color w:val="FFFFFF" w:themeColor="background1"/>
                <w:sz w:val="20"/>
                <w:szCs w:val="20"/>
              </w:rPr>
              <w:t>Format</w:t>
            </w:r>
          </w:p>
        </w:tc>
      </w:tr>
      <w:tr w:rsidR="002414E7" w:rsidRPr="00ED1443" w14:paraId="2154100E" w14:textId="77777777" w:rsidTr="004D1EC6">
        <w:tc>
          <w:tcPr>
            <w:tcW w:w="1560" w:type="dxa"/>
            <w:tcBorders>
              <w:top w:val="nil"/>
              <w:left w:val="single" w:sz="2" w:space="0" w:color="auto"/>
              <w:bottom w:val="nil"/>
              <w:right w:val="single" w:sz="2" w:space="0" w:color="auto"/>
            </w:tcBorders>
          </w:tcPr>
          <w:p w14:paraId="2F60A90D" w14:textId="77777777" w:rsidR="002414E7" w:rsidRPr="006911F3" w:rsidRDefault="002414E7" w:rsidP="002414E7">
            <w:pPr>
              <w:pStyle w:val="TableReference"/>
              <w:tabs>
                <w:tab w:val="left" w:pos="3306"/>
              </w:tabs>
              <w:spacing w:before="60"/>
              <w:rPr>
                <w:rFonts w:cs="Calibri"/>
                <w:color w:val="7030A0"/>
                <w:sz w:val="14"/>
              </w:rPr>
            </w:pPr>
            <w:r w:rsidRPr="006911F3">
              <w:rPr>
                <w:rFonts w:cs="Calibri"/>
                <w:color w:val="7030A0"/>
                <w:sz w:val="14"/>
              </w:rPr>
              <w:t>FMA Section 27(3)(a)</w:t>
            </w:r>
          </w:p>
          <w:p w14:paraId="06B5202A" w14:textId="5C7B21EF" w:rsidR="002414E7" w:rsidRPr="006911F3" w:rsidRDefault="002414E7" w:rsidP="002414E7">
            <w:pPr>
              <w:pStyle w:val="TableReference"/>
              <w:tabs>
                <w:tab w:val="left" w:pos="3306"/>
              </w:tabs>
              <w:spacing w:before="40"/>
              <w:rPr>
                <w:rFonts w:cs="Calibri"/>
                <w:color w:val="7030A0"/>
                <w:sz w:val="16"/>
                <w:szCs w:val="16"/>
              </w:rPr>
            </w:pPr>
            <w:r w:rsidRPr="006911F3">
              <w:rPr>
                <w:rFonts w:cs="Calibri"/>
                <w:color w:val="7030A0"/>
                <w:sz w:val="14"/>
              </w:rPr>
              <w:t>Financial Management (Periodic &amp; Annual Financial Statements) Guidelines </w:t>
            </w:r>
            <w:r w:rsidR="00183BD1" w:rsidRPr="006911F3">
              <w:rPr>
                <w:rFonts w:cs="Calibri"/>
                <w:bCs/>
                <w:color w:val="7030A0"/>
                <w:sz w:val="14"/>
              </w:rPr>
              <w:t>2016</w:t>
            </w:r>
            <w:r w:rsidRPr="006911F3">
              <w:rPr>
                <w:rFonts w:cs="Calibri"/>
                <w:color w:val="7030A0"/>
                <w:sz w:val="14"/>
              </w:rPr>
              <w:t xml:space="preserve"> Section 7(2)</w:t>
            </w:r>
          </w:p>
        </w:tc>
        <w:tc>
          <w:tcPr>
            <w:tcW w:w="8986" w:type="dxa"/>
            <w:gridSpan w:val="4"/>
            <w:tcBorders>
              <w:top w:val="nil"/>
              <w:left w:val="single" w:sz="2" w:space="0" w:color="auto"/>
              <w:bottom w:val="nil"/>
              <w:right w:val="nil"/>
            </w:tcBorders>
            <w:shd w:val="clear" w:color="auto" w:fill="7030A0"/>
          </w:tcPr>
          <w:p w14:paraId="6D9FAA45" w14:textId="751C37AC" w:rsidR="002414E7" w:rsidRPr="006911F3" w:rsidRDefault="002414E7" w:rsidP="00E74C30">
            <w:pPr>
              <w:pStyle w:val="TableText"/>
              <w:tabs>
                <w:tab w:val="left" w:pos="3306"/>
              </w:tabs>
              <w:spacing w:after="120"/>
              <w:jc w:val="both"/>
              <w:rPr>
                <w:rFonts w:cs="Calibri"/>
                <w:strike/>
                <w:color w:val="FFFFFF" w:themeColor="background1"/>
              </w:rPr>
            </w:pPr>
            <w:r w:rsidRPr="006911F3">
              <w:rPr>
                <w:rFonts w:cs="Calibri"/>
                <w:color w:val="FFFFFF" w:themeColor="background1"/>
              </w:rPr>
              <w:t xml:space="preserve">The </w:t>
            </w:r>
            <w:r w:rsidR="002B66A5" w:rsidRPr="006911F3">
              <w:rPr>
                <w:rFonts w:cs="Calibri"/>
                <w:i/>
                <w:iCs/>
                <w:color w:val="FFFFFF" w:themeColor="background1"/>
              </w:rPr>
              <w:t>Financial Management A</w:t>
            </w:r>
            <w:r w:rsidR="00DB7BA9" w:rsidRPr="006911F3">
              <w:rPr>
                <w:rFonts w:cs="Calibri"/>
                <w:i/>
                <w:iCs/>
                <w:color w:val="FFFFFF" w:themeColor="background1"/>
              </w:rPr>
              <w:t>ct</w:t>
            </w:r>
            <w:r w:rsidR="002B66A5" w:rsidRPr="006911F3">
              <w:rPr>
                <w:rFonts w:cs="Calibri"/>
                <w:i/>
                <w:iCs/>
                <w:color w:val="FFFFFF" w:themeColor="background1"/>
              </w:rPr>
              <w:t xml:space="preserve"> </w:t>
            </w:r>
            <w:r w:rsidR="00E74C30" w:rsidRPr="006911F3">
              <w:rPr>
                <w:rFonts w:cs="Calibri"/>
                <w:i/>
                <w:iCs/>
                <w:color w:val="FFFFFF" w:themeColor="background1"/>
              </w:rPr>
              <w:t>1996</w:t>
            </w:r>
            <w:r w:rsidR="00E74C30" w:rsidRPr="006911F3">
              <w:rPr>
                <w:rFonts w:cs="Calibri"/>
                <w:color w:val="FFFFFF" w:themeColor="background1"/>
              </w:rPr>
              <w:t xml:space="preserve"> </w:t>
            </w:r>
            <w:r w:rsidR="00DB7BA9" w:rsidRPr="006911F3">
              <w:rPr>
                <w:rFonts w:cs="Calibri"/>
                <w:color w:val="FFFFFF" w:themeColor="background1"/>
              </w:rPr>
              <w:t>(</w:t>
            </w:r>
            <w:r w:rsidRPr="006911F3">
              <w:rPr>
                <w:rFonts w:cs="Calibri"/>
                <w:color w:val="FFFFFF" w:themeColor="background1"/>
              </w:rPr>
              <w:t>FMA</w:t>
            </w:r>
            <w:r w:rsidR="00DB7BA9" w:rsidRPr="006911F3">
              <w:rPr>
                <w:rFonts w:cs="Calibri"/>
                <w:color w:val="FFFFFF" w:themeColor="background1"/>
              </w:rPr>
              <w:t>)</w:t>
            </w:r>
            <w:r w:rsidRPr="006911F3">
              <w:rPr>
                <w:rFonts w:cs="Calibri"/>
                <w:color w:val="FFFFFF" w:themeColor="background1"/>
              </w:rPr>
              <w:t xml:space="preserve"> states that the </w:t>
            </w:r>
            <w:bookmarkStart w:id="285" w:name="Citation"/>
            <w:r w:rsidRPr="006911F3">
              <w:rPr>
                <w:rFonts w:cs="Calibri"/>
                <w:i/>
                <w:iCs/>
                <w:color w:val="FFFFFF" w:themeColor="background1"/>
              </w:rPr>
              <w:t>Financial Management (Periodic and Annual Financial Statements) Guidelines </w:t>
            </w:r>
            <w:bookmarkEnd w:id="285"/>
            <w:r w:rsidR="002B66A5" w:rsidRPr="006911F3">
              <w:rPr>
                <w:rFonts w:cs="Calibri"/>
                <w:i/>
                <w:iCs/>
                <w:color w:val="FFFFFF" w:themeColor="background1"/>
              </w:rPr>
              <w:t>2016</w:t>
            </w:r>
            <w:r w:rsidR="006911F3" w:rsidRPr="006911F3">
              <w:rPr>
                <w:rFonts w:cs="Calibri"/>
                <w:i/>
                <w:iCs/>
                <w:color w:val="FFFFFF" w:themeColor="background1"/>
              </w:rPr>
              <w:t xml:space="preserve"> </w:t>
            </w:r>
            <w:r w:rsidRPr="006911F3">
              <w:rPr>
                <w:rFonts w:cs="Calibri"/>
                <w:color w:val="FFFFFF" w:themeColor="background1"/>
              </w:rPr>
              <w:t>must be complied with</w:t>
            </w:r>
            <w:r w:rsidR="002B66A5" w:rsidRPr="006911F3">
              <w:rPr>
                <w:rFonts w:cs="Calibri"/>
                <w:color w:val="FFFFFF" w:themeColor="background1"/>
              </w:rPr>
              <w:t>,</w:t>
            </w:r>
            <w:r w:rsidRPr="006911F3">
              <w:rPr>
                <w:rFonts w:cs="Calibri"/>
                <w:color w:val="FFFFFF" w:themeColor="background1"/>
              </w:rPr>
              <w:t xml:space="preserve"> when preparing annual financial statements.</w:t>
            </w:r>
            <w:r w:rsidR="00FA7C77">
              <w:rPr>
                <w:rFonts w:cs="Calibri"/>
                <w:color w:val="FFFFFF" w:themeColor="background1"/>
              </w:rPr>
              <w:t xml:space="preserve"> </w:t>
            </w:r>
            <w:r w:rsidRPr="006911F3">
              <w:rPr>
                <w:rFonts w:cs="Calibri"/>
                <w:color w:val="FFFFFF" w:themeColor="background1"/>
              </w:rPr>
              <w:t>These guidelines require the financial statements include an Operating Statement for each class of output provided by the agency during the year.</w:t>
            </w:r>
            <w:r w:rsidR="00FA7C77">
              <w:rPr>
                <w:rFonts w:cs="Calibri"/>
                <w:color w:val="FFFFFF" w:themeColor="background1"/>
              </w:rPr>
              <w:t xml:space="preserve"> </w:t>
            </w:r>
            <w:r w:rsidRPr="006911F3">
              <w:rPr>
                <w:rFonts w:cs="Calibri"/>
                <w:color w:val="FFFFFF" w:themeColor="background1"/>
              </w:rPr>
              <w:t>However the guidelines specifically exclude other comprehensive income from being included in the Operating Statement for each class of output.</w:t>
            </w:r>
          </w:p>
        </w:tc>
      </w:tr>
    </w:tbl>
    <w:p w14:paraId="61A7226C" w14:textId="77777777" w:rsidR="00C85383" w:rsidRDefault="00C85383">
      <w:r>
        <w:br w:type="page"/>
      </w: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986"/>
      </w:tblGrid>
      <w:tr w:rsidR="00C85383" w:rsidRPr="00ED1443" w14:paraId="62729B9B" w14:textId="77777777" w:rsidTr="004D1EC6">
        <w:tc>
          <w:tcPr>
            <w:tcW w:w="1560" w:type="dxa"/>
            <w:tcBorders>
              <w:top w:val="nil"/>
              <w:left w:val="single" w:sz="2" w:space="0" w:color="auto"/>
              <w:bottom w:val="nil"/>
              <w:right w:val="single" w:sz="2" w:space="0" w:color="auto"/>
            </w:tcBorders>
          </w:tcPr>
          <w:p w14:paraId="04E2C8E2" w14:textId="61C87115" w:rsidR="00C85383" w:rsidRPr="006911F3" w:rsidRDefault="00C85383" w:rsidP="00DA5473">
            <w:pPr>
              <w:pStyle w:val="TableReference"/>
              <w:tabs>
                <w:tab w:val="left" w:pos="3306"/>
              </w:tabs>
              <w:spacing w:before="40"/>
              <w:rPr>
                <w:rFonts w:cs="Calibri"/>
                <w:color w:val="7030A0"/>
                <w:sz w:val="16"/>
                <w:szCs w:val="16"/>
              </w:rPr>
            </w:pPr>
            <w:r w:rsidRPr="006911F3">
              <w:rPr>
                <w:rFonts w:cs="Calibri"/>
                <w:b/>
                <w:color w:val="7030A0"/>
                <w:sz w:val="22"/>
                <w:szCs w:val="22"/>
              </w:rPr>
              <w:t>Reference</w:t>
            </w:r>
          </w:p>
        </w:tc>
        <w:tc>
          <w:tcPr>
            <w:tcW w:w="8986" w:type="dxa"/>
            <w:tcBorders>
              <w:top w:val="nil"/>
              <w:left w:val="single" w:sz="2" w:space="0" w:color="auto"/>
              <w:bottom w:val="nil"/>
              <w:right w:val="nil"/>
            </w:tcBorders>
            <w:shd w:val="clear" w:color="auto" w:fill="7030A0"/>
          </w:tcPr>
          <w:p w14:paraId="0B4147F8" w14:textId="77777777" w:rsidR="00C85383" w:rsidRPr="006911F3" w:rsidRDefault="00C85383" w:rsidP="00DA5473">
            <w:pPr>
              <w:pStyle w:val="TableText"/>
              <w:tabs>
                <w:tab w:val="left" w:pos="3306"/>
              </w:tabs>
              <w:rPr>
                <w:rFonts w:cs="Calibri"/>
                <w:b/>
                <w:bCs/>
                <w:strike/>
                <w:color w:val="FFFFFF" w:themeColor="background1"/>
                <w:sz w:val="28"/>
                <w:szCs w:val="28"/>
              </w:rPr>
            </w:pPr>
            <w:r w:rsidRPr="006911F3">
              <w:rPr>
                <w:rFonts w:cs="Calibri"/>
                <w:b/>
                <w:color w:val="FFFFFF" w:themeColor="background1"/>
                <w:sz w:val="28"/>
                <w:szCs w:val="28"/>
              </w:rPr>
              <w:t xml:space="preserve">Commentary </w:t>
            </w:r>
            <w:r w:rsidRPr="006911F3">
              <w:rPr>
                <w:rFonts w:cs="Calibri"/>
                <w:b/>
                <w:color w:val="FFFFFF" w:themeColor="background1"/>
                <w:sz w:val="28"/>
                <w:szCs w:val="28"/>
              </w:rPr>
              <w:sym w:font="Symbol" w:char="F02D"/>
            </w:r>
            <w:r w:rsidRPr="006911F3">
              <w:rPr>
                <w:rFonts w:cs="Calibri"/>
                <w:b/>
                <w:color w:val="FFFFFF" w:themeColor="background1"/>
                <w:sz w:val="28"/>
                <w:szCs w:val="28"/>
              </w:rPr>
              <w:t xml:space="preserve"> Operating Statement for Each Output Class</w:t>
            </w:r>
            <w:r>
              <w:rPr>
                <w:rFonts w:cs="Calibri"/>
                <w:b/>
                <w:color w:val="FFFFFF" w:themeColor="background1"/>
                <w:sz w:val="28"/>
                <w:szCs w:val="28"/>
              </w:rPr>
              <w:t xml:space="preserve"> – Continued </w:t>
            </w:r>
          </w:p>
        </w:tc>
      </w:tr>
      <w:tr w:rsidR="002414E7" w:rsidRPr="00E35CD2" w14:paraId="41B28B09" w14:textId="77777777" w:rsidTr="004D1EC6">
        <w:tc>
          <w:tcPr>
            <w:tcW w:w="1560" w:type="dxa"/>
            <w:tcBorders>
              <w:top w:val="nil"/>
              <w:left w:val="single" w:sz="2" w:space="0" w:color="auto"/>
              <w:bottom w:val="nil"/>
              <w:right w:val="single" w:sz="2" w:space="0" w:color="auto"/>
            </w:tcBorders>
          </w:tcPr>
          <w:p w14:paraId="1AE4CB2A" w14:textId="6AC5E0D5" w:rsidR="002414E7" w:rsidRPr="006911F3" w:rsidRDefault="00183BD1" w:rsidP="00500DD7">
            <w:pPr>
              <w:pStyle w:val="TableReference"/>
              <w:tabs>
                <w:tab w:val="left" w:pos="3306"/>
              </w:tabs>
              <w:spacing w:before="40"/>
              <w:rPr>
                <w:rFonts w:cs="Calibri"/>
                <w:color w:val="7030A0"/>
                <w:sz w:val="16"/>
                <w:szCs w:val="16"/>
              </w:rPr>
            </w:pPr>
            <w:r w:rsidRPr="006911F3">
              <w:rPr>
                <w:rFonts w:cs="Calibri"/>
                <w:color w:val="7030A0"/>
                <w:sz w:val="14"/>
              </w:rPr>
              <w:t>AASB 1052.15</w:t>
            </w:r>
          </w:p>
        </w:tc>
        <w:tc>
          <w:tcPr>
            <w:tcW w:w="8986" w:type="dxa"/>
            <w:tcBorders>
              <w:top w:val="nil"/>
              <w:left w:val="single" w:sz="2" w:space="0" w:color="auto"/>
              <w:bottom w:val="nil"/>
              <w:right w:val="nil"/>
            </w:tcBorders>
            <w:shd w:val="clear" w:color="auto" w:fill="7030A0"/>
          </w:tcPr>
          <w:p w14:paraId="7D77BBEF" w14:textId="77777777" w:rsidR="002414E7" w:rsidRPr="006911F3" w:rsidRDefault="002414E7" w:rsidP="00E35CD2">
            <w:pPr>
              <w:pStyle w:val="CommentaryText"/>
              <w:tabs>
                <w:tab w:val="left" w:pos="3306"/>
              </w:tabs>
              <w:rPr>
                <w:rFonts w:cs="Calibri"/>
                <w:color w:val="FFFFFF" w:themeColor="background1"/>
                <w:sz w:val="18"/>
                <w:szCs w:val="18"/>
              </w:rPr>
            </w:pPr>
            <w:r w:rsidRPr="006911F3">
              <w:rPr>
                <w:rFonts w:cs="Calibri"/>
                <w:color w:val="FFFFFF" w:themeColor="background1"/>
                <w:sz w:val="18"/>
                <w:szCs w:val="18"/>
              </w:rPr>
              <w:t xml:space="preserve">In addition to the FMA, AASB 1052 </w:t>
            </w:r>
            <w:r w:rsidRPr="00E35CD2">
              <w:rPr>
                <w:rFonts w:cs="Calibri"/>
                <w:i/>
                <w:iCs/>
                <w:color w:val="FFFFFF" w:themeColor="background1"/>
                <w:sz w:val="18"/>
                <w:szCs w:val="18"/>
              </w:rPr>
              <w:t>Disaggregated Disclosures</w:t>
            </w:r>
            <w:r w:rsidRPr="006911F3">
              <w:rPr>
                <w:rFonts w:cs="Calibri"/>
                <w:color w:val="FFFFFF" w:themeColor="background1"/>
                <w:sz w:val="18"/>
                <w:szCs w:val="18"/>
              </w:rPr>
              <w:t xml:space="preserve"> requires the following disclosures to be provided in the financial statements of a Government Directorate:</w:t>
            </w:r>
          </w:p>
          <w:p w14:paraId="7571C259" w14:textId="77777777" w:rsidR="002414E7" w:rsidRPr="006911F3" w:rsidRDefault="002414E7" w:rsidP="00E35CD2">
            <w:pPr>
              <w:pStyle w:val="Commentary-Bullet"/>
              <w:rPr>
                <w:rFonts w:cs="Calibri"/>
                <w:color w:val="FFFFFF" w:themeColor="background1"/>
                <w:sz w:val="18"/>
                <w:szCs w:val="18"/>
              </w:rPr>
            </w:pPr>
            <w:r w:rsidRPr="006911F3">
              <w:rPr>
                <w:rFonts w:cs="Calibri"/>
                <w:color w:val="FFFFFF" w:themeColor="background1"/>
                <w:sz w:val="18"/>
                <w:szCs w:val="18"/>
              </w:rPr>
              <w:t>in summarised form, the identity and purpose of each major activity undertaken by the Government Directorate during the reporting period;</w:t>
            </w:r>
          </w:p>
          <w:p w14:paraId="2839BA5B" w14:textId="5BFDDDAC" w:rsidR="002414E7" w:rsidRPr="006911F3" w:rsidRDefault="002414E7" w:rsidP="00E35CD2">
            <w:pPr>
              <w:pStyle w:val="Commentary-Bullet"/>
              <w:rPr>
                <w:rFonts w:cs="Calibri"/>
                <w:color w:val="FFFFFF" w:themeColor="background1"/>
                <w:sz w:val="18"/>
                <w:szCs w:val="18"/>
              </w:rPr>
            </w:pPr>
            <w:r w:rsidRPr="006911F3">
              <w:rPr>
                <w:rFonts w:cs="Calibri"/>
                <w:color w:val="FFFFFF" w:themeColor="background1"/>
                <w:sz w:val="18"/>
                <w:szCs w:val="18"/>
              </w:rPr>
              <w:t>income reliably attributable to each of the major activities, showing separately user charges, income from government and other income by major class of income; and</w:t>
            </w:r>
          </w:p>
          <w:p w14:paraId="5652CDEB" w14:textId="49AF0FCC" w:rsidR="002414E7" w:rsidRPr="006911F3" w:rsidRDefault="002414E7" w:rsidP="00E35CD2">
            <w:pPr>
              <w:pStyle w:val="Commentary-Bullet"/>
              <w:rPr>
                <w:rFonts w:cs="Calibri"/>
                <w:color w:val="FFFFFF" w:themeColor="background1"/>
                <w:sz w:val="18"/>
                <w:szCs w:val="18"/>
              </w:rPr>
            </w:pPr>
            <w:r w:rsidRPr="006911F3">
              <w:rPr>
                <w:rFonts w:cs="Calibri"/>
                <w:color w:val="FFFFFF" w:themeColor="background1"/>
                <w:sz w:val="18"/>
                <w:szCs w:val="18"/>
              </w:rPr>
              <w:t>expenses reliably attributable to each of the major activities, showing separately each major class of expense.</w:t>
            </w:r>
          </w:p>
        </w:tc>
      </w:tr>
      <w:tr w:rsidR="00FD1106" w:rsidRPr="00ED1443" w14:paraId="58EB751C" w14:textId="77777777" w:rsidTr="004D1EC6">
        <w:tc>
          <w:tcPr>
            <w:tcW w:w="1560" w:type="dxa"/>
            <w:tcBorders>
              <w:top w:val="nil"/>
              <w:left w:val="single" w:sz="2" w:space="0" w:color="auto"/>
              <w:bottom w:val="nil"/>
              <w:right w:val="single" w:sz="2" w:space="0" w:color="auto"/>
            </w:tcBorders>
          </w:tcPr>
          <w:p w14:paraId="0CBB4E5B" w14:textId="77777777" w:rsidR="00FD1106" w:rsidRPr="006911F3" w:rsidRDefault="00FD1106" w:rsidP="00500DD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08B9BF45" w14:textId="580E0590" w:rsidR="00FD1106" w:rsidRPr="006911F3" w:rsidRDefault="00946037" w:rsidP="00183BD1">
            <w:pPr>
              <w:pStyle w:val="CommentaryText"/>
              <w:tabs>
                <w:tab w:val="left" w:pos="3306"/>
              </w:tabs>
              <w:spacing w:after="40"/>
              <w:rPr>
                <w:rFonts w:cs="Calibri"/>
                <w:color w:val="FFFFFF" w:themeColor="background1"/>
                <w:sz w:val="18"/>
                <w:szCs w:val="18"/>
              </w:rPr>
            </w:pPr>
            <w:r w:rsidRPr="006911F3">
              <w:rPr>
                <w:rFonts w:cs="Calibri"/>
                <w:color w:val="FFFFFF" w:themeColor="background1"/>
                <w:sz w:val="18"/>
                <w:szCs w:val="18"/>
              </w:rPr>
              <w:t>If an agency has no amounts applicable to any line item, the item should not be included in the Output Class Operating Statement.</w:t>
            </w:r>
          </w:p>
        </w:tc>
      </w:tr>
      <w:tr w:rsidR="00946037" w:rsidRPr="00ED1443" w14:paraId="05F5F472" w14:textId="77777777" w:rsidTr="004D1EC6">
        <w:tc>
          <w:tcPr>
            <w:tcW w:w="1560" w:type="dxa"/>
            <w:tcBorders>
              <w:top w:val="nil"/>
              <w:left w:val="single" w:sz="2" w:space="0" w:color="auto"/>
              <w:bottom w:val="nil"/>
              <w:right w:val="single" w:sz="2" w:space="0" w:color="auto"/>
            </w:tcBorders>
          </w:tcPr>
          <w:p w14:paraId="0B444620" w14:textId="77777777" w:rsidR="00946037" w:rsidRPr="006911F3" w:rsidRDefault="00946037" w:rsidP="00500DD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5542FD22" w14:textId="3ED108BF" w:rsidR="00946037" w:rsidRPr="006911F3" w:rsidRDefault="00946037" w:rsidP="00682AFA">
            <w:pPr>
              <w:pStyle w:val="CommentaryText"/>
              <w:tabs>
                <w:tab w:val="left" w:pos="3306"/>
              </w:tabs>
              <w:rPr>
                <w:rFonts w:cs="Calibri"/>
                <w:color w:val="FFFFFF" w:themeColor="background1"/>
                <w:sz w:val="18"/>
                <w:szCs w:val="18"/>
              </w:rPr>
            </w:pPr>
            <w:r w:rsidRPr="006911F3">
              <w:rPr>
                <w:rFonts w:cs="Calibri"/>
                <w:color w:val="FFFFFF" w:themeColor="background1"/>
                <w:sz w:val="18"/>
                <w:szCs w:val="18"/>
              </w:rPr>
              <w:t xml:space="preserve">The output class names and descriptions used in the </w:t>
            </w:r>
            <w:r w:rsidRPr="006911F3">
              <w:rPr>
                <w:rFonts w:cs="Calibri"/>
                <w:iCs/>
                <w:color w:val="FFFFFF" w:themeColor="background1"/>
                <w:sz w:val="18"/>
                <w:szCs w:val="18"/>
              </w:rPr>
              <w:t>Operating Statement</w:t>
            </w:r>
            <w:r w:rsidRPr="006911F3">
              <w:rPr>
                <w:rFonts w:cs="Calibri"/>
                <w:color w:val="FFFFFF" w:themeColor="background1"/>
                <w:sz w:val="18"/>
                <w:szCs w:val="18"/>
              </w:rPr>
              <w:t xml:space="preserve"> for each Output Class are examples only that need to be tailored to the agency.</w:t>
            </w:r>
          </w:p>
        </w:tc>
      </w:tr>
      <w:tr w:rsidR="00946037" w:rsidRPr="00ED1443" w14:paraId="6147C323" w14:textId="77777777" w:rsidTr="004D1EC6">
        <w:tc>
          <w:tcPr>
            <w:tcW w:w="1560" w:type="dxa"/>
            <w:tcBorders>
              <w:top w:val="nil"/>
              <w:left w:val="single" w:sz="2" w:space="0" w:color="auto"/>
              <w:bottom w:val="nil"/>
              <w:right w:val="single" w:sz="2" w:space="0" w:color="auto"/>
            </w:tcBorders>
          </w:tcPr>
          <w:p w14:paraId="4000518B" w14:textId="77777777" w:rsidR="00946037" w:rsidRPr="006911F3" w:rsidRDefault="00946037" w:rsidP="00500DD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67451BC8" w14:textId="2B4D963C" w:rsidR="00946037" w:rsidRPr="005E4472" w:rsidRDefault="00946037" w:rsidP="00183BD1">
            <w:pPr>
              <w:pStyle w:val="CommentaryText"/>
              <w:tabs>
                <w:tab w:val="left" w:pos="3306"/>
              </w:tabs>
              <w:spacing w:after="40"/>
              <w:rPr>
                <w:rFonts w:cs="Calibri"/>
                <w:b/>
                <w:bCs/>
                <w:color w:val="FFFFFF" w:themeColor="background1"/>
                <w:szCs w:val="20"/>
              </w:rPr>
            </w:pPr>
            <w:r w:rsidRPr="005E4472">
              <w:rPr>
                <w:rFonts w:cs="Calibri"/>
                <w:b/>
                <w:bCs/>
                <w:color w:val="FFFFFF" w:themeColor="background1"/>
                <w:szCs w:val="20"/>
              </w:rPr>
              <w:t>Definitions</w:t>
            </w:r>
          </w:p>
        </w:tc>
      </w:tr>
      <w:tr w:rsidR="00946037" w:rsidRPr="00ED1443" w14:paraId="777B018E" w14:textId="77777777" w:rsidTr="004D1EC6">
        <w:tc>
          <w:tcPr>
            <w:tcW w:w="1560" w:type="dxa"/>
            <w:tcBorders>
              <w:top w:val="nil"/>
              <w:left w:val="single" w:sz="2" w:space="0" w:color="auto"/>
              <w:bottom w:val="nil"/>
              <w:right w:val="single" w:sz="2" w:space="0" w:color="auto"/>
            </w:tcBorders>
          </w:tcPr>
          <w:p w14:paraId="00B49422" w14:textId="77777777" w:rsidR="00946037" w:rsidRPr="006911F3" w:rsidRDefault="00946037" w:rsidP="00946037">
            <w:pPr>
              <w:pStyle w:val="TableReference"/>
              <w:tabs>
                <w:tab w:val="left" w:pos="3306"/>
              </w:tabs>
              <w:spacing w:before="60"/>
              <w:rPr>
                <w:rFonts w:cs="Calibri"/>
                <w:color w:val="7030A0"/>
                <w:sz w:val="14"/>
              </w:rPr>
            </w:pPr>
            <w:r w:rsidRPr="006911F3">
              <w:rPr>
                <w:rFonts w:cs="Calibri"/>
                <w:color w:val="7030A0"/>
                <w:sz w:val="14"/>
              </w:rPr>
              <w:t>FMA, Dictionary</w:t>
            </w:r>
          </w:p>
          <w:p w14:paraId="4F5A2B4A" w14:textId="19CCD905" w:rsidR="00946037" w:rsidRPr="006911F3" w:rsidRDefault="00946037" w:rsidP="00946037">
            <w:pPr>
              <w:pStyle w:val="TableReference"/>
              <w:tabs>
                <w:tab w:val="left" w:pos="3306"/>
              </w:tabs>
              <w:spacing w:before="240"/>
              <w:rPr>
                <w:rFonts w:cs="Calibri"/>
                <w:color w:val="7030A0"/>
                <w:sz w:val="14"/>
              </w:rPr>
            </w:pPr>
            <w:r w:rsidRPr="006911F3">
              <w:rPr>
                <w:rFonts w:cs="Calibri"/>
                <w:color w:val="7030A0"/>
                <w:sz w:val="14"/>
              </w:rPr>
              <w:t>AASB 1052</w:t>
            </w:r>
          </w:p>
        </w:tc>
        <w:tc>
          <w:tcPr>
            <w:tcW w:w="8986" w:type="dxa"/>
            <w:tcBorders>
              <w:top w:val="nil"/>
              <w:left w:val="single" w:sz="2" w:space="0" w:color="auto"/>
              <w:bottom w:val="nil"/>
              <w:right w:val="nil"/>
            </w:tcBorders>
            <w:shd w:val="clear" w:color="auto" w:fill="7030A0"/>
          </w:tcPr>
          <w:p w14:paraId="513BA021" w14:textId="61220626" w:rsidR="00946037" w:rsidRPr="006911F3" w:rsidRDefault="00946037" w:rsidP="00682AFA">
            <w:pPr>
              <w:pStyle w:val="CommentaryText"/>
              <w:tabs>
                <w:tab w:val="left" w:pos="3306"/>
              </w:tabs>
              <w:rPr>
                <w:rFonts w:cs="Calibri"/>
                <w:color w:val="FFFFFF" w:themeColor="background1"/>
                <w:sz w:val="18"/>
                <w:szCs w:val="18"/>
              </w:rPr>
            </w:pPr>
            <w:r w:rsidRPr="006911F3">
              <w:rPr>
                <w:rFonts w:cs="Calibri"/>
                <w:color w:val="FFFFFF" w:themeColor="background1"/>
                <w:sz w:val="18"/>
                <w:szCs w:val="18"/>
              </w:rPr>
              <w:t>For FMA purposes, ‘outputs’ are defined as goods produced or services provided by a directorate or territory authority or a person producing goods or providing services on behalf of a directorate or territory authority.</w:t>
            </w:r>
            <w:r w:rsidR="00FA7C77">
              <w:rPr>
                <w:rFonts w:cs="Calibri"/>
                <w:color w:val="FFFFFF" w:themeColor="background1"/>
                <w:sz w:val="18"/>
                <w:szCs w:val="18"/>
              </w:rPr>
              <w:t xml:space="preserve"> </w:t>
            </w:r>
            <w:r w:rsidRPr="006911F3">
              <w:rPr>
                <w:rFonts w:cs="Calibri"/>
                <w:color w:val="FFFFFF" w:themeColor="background1"/>
                <w:sz w:val="18"/>
                <w:szCs w:val="18"/>
              </w:rPr>
              <w:t>‘Class of outputs’ are defined as a group of related outputs.</w:t>
            </w:r>
            <w:r w:rsidR="00FA7C77">
              <w:rPr>
                <w:rFonts w:cs="Calibri"/>
                <w:color w:val="FFFFFF" w:themeColor="background1"/>
                <w:sz w:val="18"/>
                <w:szCs w:val="18"/>
              </w:rPr>
              <w:t xml:space="preserve"> </w:t>
            </w:r>
            <w:r w:rsidRPr="006911F3">
              <w:rPr>
                <w:rFonts w:cs="Calibri"/>
                <w:color w:val="FFFFFF" w:themeColor="background1"/>
                <w:sz w:val="18"/>
                <w:szCs w:val="18"/>
              </w:rPr>
              <w:t>For the purposes of AASB 1052, major activities of a directorate have been defined as ‘output classes’.</w:t>
            </w:r>
          </w:p>
        </w:tc>
      </w:tr>
      <w:tr w:rsidR="00946037" w:rsidRPr="00ED1443" w14:paraId="1679094B" w14:textId="77777777" w:rsidTr="004D1EC6">
        <w:tc>
          <w:tcPr>
            <w:tcW w:w="1560" w:type="dxa"/>
            <w:tcBorders>
              <w:top w:val="nil"/>
              <w:left w:val="single" w:sz="2" w:space="0" w:color="auto"/>
              <w:bottom w:val="nil"/>
              <w:right w:val="single" w:sz="2" w:space="0" w:color="auto"/>
            </w:tcBorders>
          </w:tcPr>
          <w:p w14:paraId="2988E084" w14:textId="77777777" w:rsidR="00946037" w:rsidRPr="006911F3" w:rsidRDefault="00946037" w:rsidP="00500DD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0319F92E" w14:textId="50F57561" w:rsidR="00946037" w:rsidRPr="005E4472" w:rsidRDefault="00946037" w:rsidP="00183BD1">
            <w:pPr>
              <w:pStyle w:val="CommentaryText"/>
              <w:tabs>
                <w:tab w:val="left" w:pos="3306"/>
              </w:tabs>
              <w:spacing w:after="40"/>
              <w:rPr>
                <w:rFonts w:cs="Calibri"/>
                <w:b/>
                <w:bCs/>
                <w:color w:val="FFFFFF" w:themeColor="background1"/>
                <w:szCs w:val="20"/>
              </w:rPr>
            </w:pPr>
            <w:r w:rsidRPr="005E4472">
              <w:rPr>
                <w:rFonts w:cs="Calibri"/>
                <w:b/>
                <w:bCs/>
                <w:color w:val="FFFFFF" w:themeColor="background1"/>
                <w:szCs w:val="20"/>
              </w:rPr>
              <w:t>Budget</w:t>
            </w:r>
          </w:p>
        </w:tc>
      </w:tr>
      <w:tr w:rsidR="00946037" w:rsidRPr="00ED1443" w14:paraId="4AF797F1" w14:textId="77777777" w:rsidTr="004D1EC6">
        <w:tc>
          <w:tcPr>
            <w:tcW w:w="1560" w:type="dxa"/>
            <w:tcBorders>
              <w:top w:val="nil"/>
              <w:left w:val="single" w:sz="2" w:space="0" w:color="auto"/>
              <w:bottom w:val="nil"/>
              <w:right w:val="single" w:sz="2" w:space="0" w:color="auto"/>
            </w:tcBorders>
          </w:tcPr>
          <w:p w14:paraId="09E0F952" w14:textId="5C65500B" w:rsidR="00946037" w:rsidRPr="006911F3" w:rsidRDefault="00946037" w:rsidP="00500DD7">
            <w:pPr>
              <w:pStyle w:val="TableReference"/>
              <w:tabs>
                <w:tab w:val="left" w:pos="3306"/>
              </w:tabs>
              <w:spacing w:before="40"/>
              <w:rPr>
                <w:rFonts w:cs="Calibri"/>
                <w:color w:val="7030A0"/>
                <w:sz w:val="14"/>
              </w:rPr>
            </w:pPr>
            <w:r w:rsidRPr="006911F3">
              <w:rPr>
                <w:rFonts w:cs="Calibri"/>
                <w:color w:val="7030A0"/>
                <w:sz w:val="14"/>
              </w:rPr>
              <w:t>FMA Section 27(2)</w:t>
            </w:r>
          </w:p>
        </w:tc>
        <w:tc>
          <w:tcPr>
            <w:tcW w:w="8986" w:type="dxa"/>
            <w:tcBorders>
              <w:top w:val="nil"/>
              <w:left w:val="single" w:sz="2" w:space="0" w:color="auto"/>
              <w:bottom w:val="nil"/>
              <w:right w:val="nil"/>
            </w:tcBorders>
            <w:shd w:val="clear" w:color="auto" w:fill="7030A0"/>
          </w:tcPr>
          <w:p w14:paraId="16C97E1B" w14:textId="6B545410" w:rsidR="00946037" w:rsidRPr="006911F3" w:rsidRDefault="00946037" w:rsidP="001A12A3">
            <w:pPr>
              <w:autoSpaceDE w:val="0"/>
              <w:autoSpaceDN w:val="0"/>
              <w:adjustRightInd w:val="0"/>
              <w:spacing w:after="120"/>
              <w:jc w:val="both"/>
              <w:rPr>
                <w:rFonts w:cs="Calibri"/>
                <w:color w:val="FFFFFF" w:themeColor="background1"/>
                <w:sz w:val="18"/>
                <w:szCs w:val="18"/>
              </w:rPr>
            </w:pPr>
            <w:r w:rsidRPr="006911F3">
              <w:rPr>
                <w:rFonts w:cs="Calibri"/>
                <w:color w:val="FFFFFF" w:themeColor="background1"/>
                <w:sz w:val="18"/>
                <w:szCs w:val="18"/>
              </w:rPr>
              <w:t>The budget numbers appearing in the output class operating statements are those numbers published in the 2021-22 Budget Papers.</w:t>
            </w:r>
            <w:r w:rsidR="00A527D1">
              <w:rPr>
                <w:rFonts w:cs="Calibri"/>
                <w:color w:val="FFFFFF" w:themeColor="background1"/>
                <w:sz w:val="18"/>
                <w:szCs w:val="18"/>
              </w:rPr>
              <w:t xml:space="preserve"> </w:t>
            </w:r>
            <w:r w:rsidR="001A12A3">
              <w:rPr>
                <w:rFonts w:cs="Calibri"/>
                <w:color w:val="FFFFFF" w:themeColor="background1"/>
                <w:sz w:val="18"/>
                <w:szCs w:val="18"/>
              </w:rPr>
              <w:t>For Territory Authorities b</w:t>
            </w:r>
            <w:r w:rsidR="001A12A3" w:rsidRPr="006911F3">
              <w:rPr>
                <w:rFonts w:cs="Calibri"/>
                <w:color w:val="FFFFFF" w:themeColor="background1"/>
                <w:sz w:val="18"/>
                <w:szCs w:val="18"/>
              </w:rPr>
              <w:t xml:space="preserve">udget numbers appearing in the Output Class Operating Statements are based on the authority’s Statement of Intent. </w:t>
            </w:r>
          </w:p>
        </w:tc>
      </w:tr>
      <w:tr w:rsidR="00946037" w:rsidRPr="00ED1443" w14:paraId="6E02DA41" w14:textId="77777777" w:rsidTr="004D1EC6">
        <w:tc>
          <w:tcPr>
            <w:tcW w:w="1560" w:type="dxa"/>
            <w:tcBorders>
              <w:top w:val="nil"/>
              <w:left w:val="single" w:sz="2" w:space="0" w:color="auto"/>
              <w:bottom w:val="nil"/>
              <w:right w:val="single" w:sz="2" w:space="0" w:color="auto"/>
            </w:tcBorders>
          </w:tcPr>
          <w:p w14:paraId="211EAEA2" w14:textId="77777777" w:rsidR="00946037" w:rsidRPr="006911F3" w:rsidRDefault="00946037" w:rsidP="00500DD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311E2F21" w14:textId="15AEAF3F" w:rsidR="00946037" w:rsidRPr="005E4472" w:rsidRDefault="00946037" w:rsidP="00183BD1">
            <w:pPr>
              <w:pStyle w:val="CommentaryText"/>
              <w:tabs>
                <w:tab w:val="left" w:pos="3306"/>
              </w:tabs>
              <w:spacing w:after="40"/>
              <w:rPr>
                <w:rFonts w:cs="Calibri"/>
                <w:b/>
                <w:bCs/>
                <w:color w:val="FFFFFF" w:themeColor="background1"/>
                <w:szCs w:val="20"/>
              </w:rPr>
            </w:pPr>
            <w:r w:rsidRPr="005E4472">
              <w:rPr>
                <w:rFonts w:cs="Calibri"/>
                <w:b/>
                <w:bCs/>
                <w:color w:val="FFFFFF" w:themeColor="background1"/>
                <w:szCs w:val="20"/>
              </w:rPr>
              <w:t>One Output Class</w:t>
            </w:r>
          </w:p>
        </w:tc>
      </w:tr>
      <w:tr w:rsidR="00946037" w:rsidRPr="00E35CD2" w14:paraId="342F90B8" w14:textId="77777777" w:rsidTr="004D1EC6">
        <w:tc>
          <w:tcPr>
            <w:tcW w:w="1560" w:type="dxa"/>
            <w:tcBorders>
              <w:top w:val="nil"/>
              <w:left w:val="single" w:sz="2" w:space="0" w:color="auto"/>
              <w:bottom w:val="nil"/>
              <w:right w:val="single" w:sz="2" w:space="0" w:color="auto"/>
            </w:tcBorders>
          </w:tcPr>
          <w:p w14:paraId="33F1C8EF" w14:textId="77777777" w:rsidR="00946037" w:rsidRPr="006911F3" w:rsidRDefault="00946037" w:rsidP="0094603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05FE0F49" w14:textId="0E74D76F" w:rsidR="00946037" w:rsidRPr="006911F3" w:rsidRDefault="00946037" w:rsidP="00E35CD2">
            <w:pPr>
              <w:pStyle w:val="CommentaryText"/>
              <w:tabs>
                <w:tab w:val="left" w:pos="3306"/>
              </w:tabs>
              <w:rPr>
                <w:rFonts w:cs="Calibri"/>
                <w:color w:val="FFFFFF" w:themeColor="background1"/>
                <w:sz w:val="18"/>
                <w:szCs w:val="18"/>
              </w:rPr>
            </w:pPr>
            <w:r w:rsidRPr="006911F3">
              <w:rPr>
                <w:rFonts w:cs="Calibri"/>
                <w:color w:val="FFFFFF" w:themeColor="background1"/>
                <w:sz w:val="18"/>
                <w:szCs w:val="18"/>
              </w:rPr>
              <w:t>Where an agency only has one output class, a separate operating statement for that output class and the ‘Summary of Agency Output Classes’ is not required to be included in an agency’s financial statements.</w:t>
            </w:r>
            <w:r w:rsidR="00FA7C77">
              <w:rPr>
                <w:rFonts w:cs="Calibri"/>
                <w:color w:val="FFFFFF" w:themeColor="background1"/>
                <w:sz w:val="18"/>
                <w:szCs w:val="18"/>
              </w:rPr>
              <w:t xml:space="preserve"> </w:t>
            </w:r>
            <w:r w:rsidRPr="006911F3">
              <w:rPr>
                <w:rFonts w:cs="Calibri"/>
                <w:color w:val="FFFFFF" w:themeColor="background1"/>
                <w:sz w:val="18"/>
                <w:szCs w:val="18"/>
              </w:rPr>
              <w:t>However, where this is the case, an agency must disclose:</w:t>
            </w:r>
          </w:p>
          <w:p w14:paraId="7E9D230E" w14:textId="77777777" w:rsidR="00946037" w:rsidRPr="006911F3" w:rsidRDefault="00946037" w:rsidP="00E35CD2">
            <w:pPr>
              <w:pStyle w:val="Commentary-Bullet"/>
              <w:rPr>
                <w:rFonts w:cs="Calibri"/>
                <w:color w:val="FFFFFF" w:themeColor="background1"/>
                <w:sz w:val="18"/>
                <w:szCs w:val="18"/>
              </w:rPr>
            </w:pPr>
            <w:r w:rsidRPr="006911F3">
              <w:rPr>
                <w:rFonts w:cs="Calibri"/>
                <w:color w:val="FFFFFF" w:themeColor="background1"/>
                <w:sz w:val="18"/>
                <w:szCs w:val="18"/>
              </w:rPr>
              <w:t>the title of the output class;</w:t>
            </w:r>
          </w:p>
          <w:p w14:paraId="6D56D17C" w14:textId="77777777" w:rsidR="00946037" w:rsidRPr="006911F3" w:rsidRDefault="00946037" w:rsidP="00E35CD2">
            <w:pPr>
              <w:pStyle w:val="Commentary-Bullet"/>
              <w:rPr>
                <w:rFonts w:cs="Calibri"/>
                <w:color w:val="FFFFFF" w:themeColor="background1"/>
                <w:sz w:val="18"/>
                <w:szCs w:val="18"/>
              </w:rPr>
            </w:pPr>
            <w:r w:rsidRPr="006911F3">
              <w:rPr>
                <w:rFonts w:cs="Calibri"/>
                <w:color w:val="FFFFFF" w:themeColor="background1"/>
                <w:sz w:val="18"/>
                <w:szCs w:val="18"/>
              </w:rPr>
              <w:t>a description of the output class; and</w:t>
            </w:r>
          </w:p>
          <w:p w14:paraId="5DB642DA" w14:textId="36AF7690" w:rsidR="00946037" w:rsidRPr="006911F3" w:rsidRDefault="00946037" w:rsidP="00E35CD2">
            <w:pPr>
              <w:pStyle w:val="Commentary-Bullet"/>
              <w:rPr>
                <w:rFonts w:cs="Calibri"/>
                <w:color w:val="FFFFFF" w:themeColor="background1"/>
                <w:sz w:val="18"/>
                <w:szCs w:val="18"/>
              </w:rPr>
            </w:pPr>
            <w:r w:rsidRPr="006911F3">
              <w:rPr>
                <w:rFonts w:cs="Calibri"/>
                <w:color w:val="FFFFFF" w:themeColor="background1"/>
                <w:sz w:val="18"/>
                <w:szCs w:val="18"/>
              </w:rPr>
              <w:t>the fact that there is not an additional Output Class Operating Statement or a Summary of Agency Output Classes.</w:t>
            </w:r>
          </w:p>
        </w:tc>
      </w:tr>
      <w:tr w:rsidR="00946037" w:rsidRPr="00ED1443" w14:paraId="30CA4CBA" w14:textId="77777777" w:rsidTr="004D1EC6">
        <w:tc>
          <w:tcPr>
            <w:tcW w:w="1560" w:type="dxa"/>
            <w:tcBorders>
              <w:top w:val="nil"/>
              <w:left w:val="single" w:sz="2" w:space="0" w:color="auto"/>
              <w:bottom w:val="nil"/>
              <w:right w:val="single" w:sz="2" w:space="0" w:color="auto"/>
            </w:tcBorders>
          </w:tcPr>
          <w:p w14:paraId="2D6FF0DE" w14:textId="77777777" w:rsidR="00946037" w:rsidRPr="006911F3" w:rsidRDefault="00946037" w:rsidP="0094603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0464372D" w14:textId="77777777" w:rsidR="00946037" w:rsidRPr="006911F3" w:rsidRDefault="00946037" w:rsidP="005E4472">
            <w:pPr>
              <w:pStyle w:val="CommentaryText"/>
              <w:spacing w:before="120" w:after="40"/>
              <w:rPr>
                <w:rFonts w:cs="Calibri"/>
                <w:color w:val="FFFFFF" w:themeColor="background1"/>
                <w:sz w:val="18"/>
                <w:szCs w:val="18"/>
              </w:rPr>
            </w:pPr>
            <w:r w:rsidRPr="006911F3">
              <w:rPr>
                <w:rFonts w:cs="Calibri"/>
                <w:color w:val="FFFFFF" w:themeColor="background1"/>
                <w:sz w:val="18"/>
                <w:szCs w:val="18"/>
              </w:rPr>
              <w:t xml:space="preserve">Example wording an agency may use at the bottom of its operating statement, is as follows: </w:t>
            </w:r>
          </w:p>
          <w:p w14:paraId="3A78365C" w14:textId="3215DD52" w:rsidR="00946037" w:rsidRPr="006911F3" w:rsidRDefault="00946037" w:rsidP="00682AFA">
            <w:pPr>
              <w:pStyle w:val="CommentaryText"/>
              <w:tabs>
                <w:tab w:val="left" w:pos="604"/>
              </w:tabs>
              <w:ind w:left="607"/>
              <w:rPr>
                <w:rFonts w:cs="Calibri"/>
                <w:color w:val="FFFFFF" w:themeColor="background1"/>
                <w:sz w:val="18"/>
                <w:szCs w:val="18"/>
              </w:rPr>
            </w:pPr>
            <w:r w:rsidRPr="006911F3">
              <w:rPr>
                <w:rFonts w:cs="Calibri"/>
                <w:i/>
                <w:color w:val="FFFFFF" w:themeColor="background1"/>
                <w:sz w:val="18"/>
                <w:szCs w:val="18"/>
              </w:rPr>
              <w:t>‘</w:t>
            </w:r>
            <w:r w:rsidRPr="006911F3">
              <w:rPr>
                <w:color w:val="FFFFFF" w:themeColor="background1"/>
                <w:sz w:val="18"/>
                <w:szCs w:val="18"/>
              </w:rPr>
              <w:t xml:space="preserve">Burley Griffin </w:t>
            </w:r>
            <w:r w:rsidRPr="006911F3">
              <w:rPr>
                <w:rFonts w:cs="Calibri"/>
                <w:color w:val="FFFFFF" w:themeColor="background1"/>
                <w:sz w:val="18"/>
                <w:szCs w:val="18"/>
              </w:rPr>
              <w:t>Agency’ only has one output class and as such the above Operating Statement is also the</w:t>
            </w:r>
            <w:r w:rsidR="00982A9E" w:rsidRPr="006911F3">
              <w:rPr>
                <w:rFonts w:cs="Calibri"/>
                <w:color w:val="FFFFFF" w:themeColor="background1"/>
                <w:sz w:val="18"/>
                <w:szCs w:val="18"/>
              </w:rPr>
              <w:t xml:space="preserve"> </w:t>
            </w:r>
            <w:r w:rsidRPr="006911F3">
              <w:rPr>
                <w:rFonts w:cs="Calibri"/>
                <w:color w:val="FFFFFF" w:themeColor="background1"/>
                <w:sz w:val="18"/>
                <w:szCs w:val="18"/>
              </w:rPr>
              <w:t>Agency’s Operating Statement for the [Name of Output Class] Output Class.</w:t>
            </w:r>
            <w:r w:rsidR="00FA7C77">
              <w:rPr>
                <w:rFonts w:cs="Calibri"/>
                <w:color w:val="FFFFFF" w:themeColor="background1"/>
                <w:sz w:val="18"/>
                <w:szCs w:val="18"/>
              </w:rPr>
              <w:t xml:space="preserve"> </w:t>
            </w:r>
            <w:r w:rsidRPr="006911F3">
              <w:rPr>
                <w:rFonts w:cs="Calibri"/>
                <w:color w:val="FFFFFF" w:themeColor="background1"/>
                <w:sz w:val="18"/>
                <w:szCs w:val="18"/>
              </w:rPr>
              <w:t>The [Name of Output Class] Output Class includes [Description of Output Class.]</w:t>
            </w:r>
            <w:r w:rsidR="00FA7C77">
              <w:rPr>
                <w:rFonts w:cs="Calibri"/>
                <w:color w:val="FFFFFF" w:themeColor="background1"/>
                <w:sz w:val="18"/>
                <w:szCs w:val="18"/>
              </w:rPr>
              <w:t xml:space="preserve"> </w:t>
            </w:r>
            <w:r w:rsidRPr="006911F3">
              <w:rPr>
                <w:rFonts w:cs="Calibri"/>
                <w:color w:val="FFFFFF" w:themeColor="background1"/>
                <w:sz w:val="18"/>
                <w:szCs w:val="18"/>
              </w:rPr>
              <w:t>As a result, a separate output class Operating Statement and Summary of Agency Output Classes has not been included in these financial statements</w:t>
            </w:r>
            <w:r w:rsidRPr="006911F3">
              <w:rPr>
                <w:rFonts w:cs="Calibri"/>
                <w:i/>
                <w:color w:val="FFFFFF" w:themeColor="background1"/>
                <w:sz w:val="18"/>
                <w:szCs w:val="18"/>
              </w:rPr>
              <w:t>.</w:t>
            </w:r>
          </w:p>
        </w:tc>
      </w:tr>
      <w:tr w:rsidR="00946037" w:rsidRPr="00ED1443" w14:paraId="7ED200F1" w14:textId="77777777" w:rsidTr="004D1EC6">
        <w:tc>
          <w:tcPr>
            <w:tcW w:w="1560" w:type="dxa"/>
            <w:tcBorders>
              <w:top w:val="nil"/>
              <w:left w:val="single" w:sz="2" w:space="0" w:color="auto"/>
              <w:bottom w:val="nil"/>
              <w:right w:val="single" w:sz="2" w:space="0" w:color="auto"/>
            </w:tcBorders>
          </w:tcPr>
          <w:p w14:paraId="25BC3BF7" w14:textId="093261BE" w:rsidR="00946037" w:rsidRPr="006911F3" w:rsidRDefault="00946037" w:rsidP="00946037">
            <w:pPr>
              <w:pStyle w:val="TableReference"/>
              <w:tabs>
                <w:tab w:val="left" w:pos="3306"/>
              </w:tabs>
              <w:spacing w:before="40"/>
              <w:rPr>
                <w:rFonts w:cs="Calibri"/>
                <w:color w:val="7030A0"/>
                <w:sz w:val="14"/>
              </w:rPr>
            </w:pPr>
          </w:p>
        </w:tc>
        <w:tc>
          <w:tcPr>
            <w:tcW w:w="8986" w:type="dxa"/>
            <w:tcBorders>
              <w:top w:val="nil"/>
              <w:left w:val="single" w:sz="2" w:space="0" w:color="auto"/>
              <w:bottom w:val="nil"/>
              <w:right w:val="nil"/>
            </w:tcBorders>
            <w:shd w:val="clear" w:color="auto" w:fill="7030A0"/>
          </w:tcPr>
          <w:p w14:paraId="41554201" w14:textId="340B8FB5" w:rsidR="00946037" w:rsidRPr="005E4472" w:rsidRDefault="00682AFA" w:rsidP="005E4472">
            <w:pPr>
              <w:pStyle w:val="Normal1"/>
              <w:spacing w:before="120"/>
              <w:rPr>
                <w:b/>
                <w:bCs/>
                <w:color w:val="FFFFFF" w:themeColor="background1"/>
                <w:sz w:val="20"/>
                <w:szCs w:val="20"/>
              </w:rPr>
            </w:pPr>
            <w:r w:rsidRPr="005E4472">
              <w:rPr>
                <w:b/>
                <w:bCs/>
                <w:color w:val="FFFFFF" w:themeColor="background1"/>
                <w:sz w:val="20"/>
                <w:szCs w:val="20"/>
              </w:rPr>
              <w:t>Territory Authority Commentary</w:t>
            </w:r>
          </w:p>
        </w:tc>
      </w:tr>
      <w:tr w:rsidR="00946037" w:rsidRPr="00ED1443" w14:paraId="541F8809" w14:textId="77777777" w:rsidTr="004D1EC6">
        <w:tc>
          <w:tcPr>
            <w:tcW w:w="1560" w:type="dxa"/>
            <w:tcBorders>
              <w:top w:val="nil"/>
              <w:left w:val="single" w:sz="2" w:space="0" w:color="auto"/>
              <w:bottom w:val="nil"/>
              <w:right w:val="single" w:sz="2" w:space="0" w:color="auto"/>
            </w:tcBorders>
          </w:tcPr>
          <w:p w14:paraId="6694E8AE" w14:textId="06428B64" w:rsidR="00946037" w:rsidRPr="006911F3" w:rsidRDefault="00682AFA" w:rsidP="00946037">
            <w:pPr>
              <w:pStyle w:val="TableReference"/>
              <w:tabs>
                <w:tab w:val="left" w:pos="3306"/>
              </w:tabs>
              <w:spacing w:before="40"/>
              <w:rPr>
                <w:rFonts w:cs="Calibri"/>
                <w:color w:val="7030A0"/>
                <w:sz w:val="14"/>
              </w:rPr>
            </w:pPr>
            <w:r w:rsidRPr="006911F3">
              <w:rPr>
                <w:rFonts w:cs="Calibri"/>
                <w:bCs/>
                <w:iCs/>
                <w:color w:val="7030A0"/>
                <w:sz w:val="14"/>
                <w:lang w:val="en-US"/>
              </w:rPr>
              <w:t xml:space="preserve">Financial Management (Territory Authorities prescribed for Outputs) Guidelines </w:t>
            </w:r>
            <w:r w:rsidRPr="006911F3">
              <w:rPr>
                <w:rFonts w:cs="Calibri"/>
                <w:bCs/>
                <w:color w:val="7030A0"/>
                <w:sz w:val="14"/>
                <w:lang w:val="en-US"/>
              </w:rPr>
              <w:t>2020 (No 2020).</w:t>
            </w:r>
            <w:r w:rsidR="00FA7C77">
              <w:rPr>
                <w:rFonts w:cs="Calibri"/>
                <w:bCs/>
                <w:color w:val="7030A0"/>
                <w:sz w:val="14"/>
                <w:lang w:val="en-US"/>
              </w:rPr>
              <w:t xml:space="preserve"> </w:t>
            </w:r>
            <w:r w:rsidRPr="006911F3">
              <w:rPr>
                <w:rFonts w:cs="Calibri"/>
                <w:bCs/>
                <w:color w:val="7030A0"/>
                <w:sz w:val="14"/>
                <w:lang w:val="en-US"/>
              </w:rPr>
              <w:t>Disallowable instrument 2020-</w:t>
            </w:r>
            <w:r w:rsidR="001A12A3">
              <w:rPr>
                <w:rFonts w:cs="Calibri"/>
                <w:bCs/>
                <w:color w:val="7030A0"/>
                <w:sz w:val="14"/>
                <w:lang w:val="en-US"/>
              </w:rPr>
              <w:t>183</w:t>
            </w:r>
          </w:p>
        </w:tc>
        <w:tc>
          <w:tcPr>
            <w:tcW w:w="8986" w:type="dxa"/>
            <w:tcBorders>
              <w:top w:val="nil"/>
              <w:left w:val="single" w:sz="2" w:space="0" w:color="auto"/>
              <w:bottom w:val="nil"/>
              <w:right w:val="nil"/>
            </w:tcBorders>
            <w:shd w:val="clear" w:color="auto" w:fill="7030A0"/>
          </w:tcPr>
          <w:p w14:paraId="15D9B497" w14:textId="10A5B134" w:rsidR="00682AFA" w:rsidRPr="006911F3" w:rsidRDefault="00682AFA" w:rsidP="006911F3">
            <w:pPr>
              <w:autoSpaceDE w:val="0"/>
              <w:autoSpaceDN w:val="0"/>
              <w:adjustRightInd w:val="0"/>
              <w:spacing w:after="40"/>
              <w:jc w:val="both"/>
              <w:rPr>
                <w:rFonts w:cs="Calibri"/>
                <w:color w:val="FFFFFF" w:themeColor="background1"/>
                <w:sz w:val="18"/>
                <w:szCs w:val="18"/>
              </w:rPr>
            </w:pPr>
            <w:r w:rsidRPr="006911F3">
              <w:rPr>
                <w:rFonts w:cs="Calibri"/>
                <w:color w:val="FFFFFF" w:themeColor="background1"/>
                <w:sz w:val="18"/>
                <w:szCs w:val="18"/>
              </w:rPr>
              <w:t xml:space="preserve">Only territory authorities that are </w:t>
            </w:r>
            <w:r w:rsidR="001A12A3">
              <w:rPr>
                <w:rFonts w:cs="Calibri"/>
                <w:color w:val="FFFFFF" w:themeColor="background1"/>
                <w:sz w:val="18"/>
                <w:szCs w:val="18"/>
              </w:rPr>
              <w:t>‘</w:t>
            </w:r>
            <w:r w:rsidRPr="006911F3">
              <w:rPr>
                <w:rFonts w:cs="Calibri"/>
                <w:color w:val="FFFFFF" w:themeColor="background1"/>
                <w:sz w:val="18"/>
                <w:szCs w:val="18"/>
              </w:rPr>
              <w:t>prescribed</w:t>
            </w:r>
            <w:r w:rsidR="001A12A3">
              <w:rPr>
                <w:rFonts w:cs="Calibri"/>
                <w:color w:val="FFFFFF" w:themeColor="background1"/>
                <w:sz w:val="18"/>
                <w:szCs w:val="18"/>
              </w:rPr>
              <w:t>’</w:t>
            </w:r>
            <w:r w:rsidRPr="006911F3">
              <w:rPr>
                <w:rFonts w:cs="Calibri"/>
                <w:color w:val="FFFFFF" w:themeColor="background1"/>
                <w:sz w:val="18"/>
                <w:szCs w:val="18"/>
              </w:rPr>
              <w:t xml:space="preserve"> territory authorities (PTA) receiving</w:t>
            </w:r>
            <w:r w:rsidRPr="006911F3">
              <w:rPr>
                <w:color w:val="FFFFFF" w:themeColor="background1"/>
                <w:sz w:val="18"/>
                <w:szCs w:val="18"/>
              </w:rPr>
              <w:t xml:space="preserve"> Controlled Recurrent Payments </w:t>
            </w:r>
            <w:r w:rsidRPr="006911F3">
              <w:rPr>
                <w:rFonts w:cs="Calibri"/>
                <w:color w:val="FFFFFF" w:themeColor="background1"/>
                <w:sz w:val="18"/>
                <w:szCs w:val="18"/>
              </w:rPr>
              <w:t>are required to report on output classes.</w:t>
            </w:r>
            <w:r w:rsidR="00FA7C77">
              <w:rPr>
                <w:rFonts w:cs="Calibri"/>
                <w:color w:val="FFFFFF" w:themeColor="background1"/>
                <w:sz w:val="18"/>
                <w:szCs w:val="18"/>
              </w:rPr>
              <w:t xml:space="preserve"> </w:t>
            </w:r>
            <w:r w:rsidRPr="006911F3">
              <w:rPr>
                <w:rFonts w:cs="Calibri"/>
                <w:color w:val="FFFFFF" w:themeColor="background1"/>
                <w:sz w:val="18"/>
                <w:szCs w:val="18"/>
              </w:rPr>
              <w:t>A ‘Summary of Output Classes’ statement and an Operating Statement for each territory authority output class must be disclosed in a territory authority’s financial statements</w:t>
            </w:r>
            <w:r w:rsidR="001A12A3">
              <w:rPr>
                <w:rFonts w:cs="Calibri"/>
                <w:color w:val="FFFFFF" w:themeColor="background1"/>
                <w:sz w:val="18"/>
                <w:szCs w:val="18"/>
              </w:rPr>
              <w:t>, where relevant</w:t>
            </w:r>
            <w:r w:rsidRPr="006911F3">
              <w:rPr>
                <w:rFonts w:cs="Calibri"/>
                <w:color w:val="FFFFFF" w:themeColor="background1"/>
                <w:sz w:val="18"/>
                <w:szCs w:val="18"/>
              </w:rPr>
              <w:t>.</w:t>
            </w:r>
            <w:r w:rsidR="00FA7C77">
              <w:rPr>
                <w:rFonts w:cs="Calibri"/>
                <w:color w:val="FFFFFF" w:themeColor="background1"/>
                <w:sz w:val="18"/>
                <w:szCs w:val="18"/>
              </w:rPr>
              <w:t xml:space="preserve"> </w:t>
            </w:r>
            <w:r w:rsidRPr="006911F3">
              <w:rPr>
                <w:rFonts w:cs="Calibri"/>
                <w:color w:val="FFFFFF" w:themeColor="background1"/>
                <w:sz w:val="18"/>
                <w:szCs w:val="18"/>
              </w:rPr>
              <w:t>Prescribed territory authorities are:</w:t>
            </w:r>
          </w:p>
          <w:p w14:paraId="5BF1C524" w14:textId="77777777" w:rsidR="00682AFA" w:rsidRPr="006911F3" w:rsidRDefault="00682AFA" w:rsidP="00E35CD2">
            <w:pPr>
              <w:pStyle w:val="Commentary-Bullet"/>
              <w:rPr>
                <w:rFonts w:cs="Calibri"/>
                <w:color w:val="FFFFFF" w:themeColor="background1"/>
                <w:sz w:val="18"/>
                <w:szCs w:val="18"/>
              </w:rPr>
            </w:pPr>
            <w:r w:rsidRPr="006911F3">
              <w:rPr>
                <w:rFonts w:cs="Calibri"/>
                <w:color w:val="FFFFFF" w:themeColor="background1"/>
                <w:sz w:val="18"/>
                <w:szCs w:val="18"/>
              </w:rPr>
              <w:t xml:space="preserve">ACT Gambling and Racing Commission; </w:t>
            </w:r>
          </w:p>
          <w:p w14:paraId="6524F06F" w14:textId="77777777" w:rsidR="00682AFA" w:rsidRPr="006911F3" w:rsidRDefault="00682AFA" w:rsidP="00E35CD2">
            <w:pPr>
              <w:pStyle w:val="Commentary-Bullet"/>
              <w:rPr>
                <w:rFonts w:cs="Calibri"/>
                <w:color w:val="FFFFFF" w:themeColor="background1"/>
                <w:sz w:val="18"/>
                <w:szCs w:val="18"/>
              </w:rPr>
            </w:pPr>
            <w:r w:rsidRPr="006911F3">
              <w:rPr>
                <w:rFonts w:cs="Calibri"/>
                <w:color w:val="FFFFFF" w:themeColor="background1"/>
                <w:sz w:val="18"/>
                <w:szCs w:val="18"/>
              </w:rPr>
              <w:t>Canberra Institute of Technology;</w:t>
            </w:r>
          </w:p>
          <w:p w14:paraId="5528C3EA" w14:textId="77777777" w:rsidR="00682AFA" w:rsidRPr="006911F3" w:rsidRDefault="00682AFA" w:rsidP="00E35CD2">
            <w:pPr>
              <w:pStyle w:val="Commentary-Bullet"/>
              <w:rPr>
                <w:rFonts w:cs="Calibri"/>
                <w:color w:val="FFFFFF" w:themeColor="background1"/>
                <w:sz w:val="18"/>
                <w:szCs w:val="18"/>
              </w:rPr>
            </w:pPr>
            <w:r w:rsidRPr="006911F3">
              <w:rPr>
                <w:rFonts w:cs="Calibri"/>
                <w:color w:val="FFFFFF" w:themeColor="background1"/>
                <w:sz w:val="18"/>
                <w:szCs w:val="18"/>
              </w:rPr>
              <w:t>Cultural Facilities Corporation;</w:t>
            </w:r>
          </w:p>
          <w:p w14:paraId="17F0CFF0" w14:textId="77777777" w:rsidR="00682AFA" w:rsidRPr="006911F3" w:rsidRDefault="00682AFA" w:rsidP="00E35CD2">
            <w:pPr>
              <w:pStyle w:val="Commentary-Bullet"/>
              <w:rPr>
                <w:rFonts w:cs="Calibri"/>
                <w:color w:val="FFFFFF" w:themeColor="background1"/>
                <w:sz w:val="18"/>
                <w:szCs w:val="18"/>
              </w:rPr>
            </w:pPr>
            <w:r w:rsidRPr="006911F3">
              <w:rPr>
                <w:rFonts w:cs="Calibri"/>
                <w:color w:val="FFFFFF" w:themeColor="background1"/>
                <w:sz w:val="18"/>
                <w:szCs w:val="18"/>
              </w:rPr>
              <w:t>Legal Aid Commission (ACT); and</w:t>
            </w:r>
          </w:p>
          <w:p w14:paraId="79AF460E" w14:textId="0C65DB32" w:rsidR="00946037" w:rsidRPr="006911F3" w:rsidRDefault="00682AFA" w:rsidP="00E35CD2">
            <w:pPr>
              <w:pStyle w:val="Commentary-Bullet"/>
              <w:rPr>
                <w:rFonts w:cs="Calibri"/>
                <w:color w:val="FFFFFF" w:themeColor="background1"/>
                <w:sz w:val="18"/>
                <w:szCs w:val="18"/>
              </w:rPr>
            </w:pPr>
            <w:bookmarkStart w:id="286" w:name="_Hlk42246020"/>
            <w:r w:rsidRPr="006911F3">
              <w:rPr>
                <w:rFonts w:cs="Calibri"/>
                <w:color w:val="FFFFFF" w:themeColor="background1"/>
                <w:sz w:val="18"/>
                <w:szCs w:val="18"/>
              </w:rPr>
              <w:t>Office of the Work Health and Safety Commissioner (to be known as WorkSafe ACT)</w:t>
            </w:r>
            <w:bookmarkEnd w:id="286"/>
            <w:r w:rsidRPr="006911F3">
              <w:rPr>
                <w:rFonts w:cs="Calibri"/>
                <w:color w:val="FFFFFF" w:themeColor="background1"/>
                <w:sz w:val="18"/>
                <w:szCs w:val="18"/>
              </w:rPr>
              <w:t>.</w:t>
            </w:r>
          </w:p>
        </w:tc>
      </w:tr>
      <w:tr w:rsidR="00946037" w:rsidRPr="00ED1443" w14:paraId="6BECC8B3" w14:textId="77777777" w:rsidTr="004D1EC6">
        <w:tc>
          <w:tcPr>
            <w:tcW w:w="1560" w:type="dxa"/>
            <w:tcBorders>
              <w:top w:val="nil"/>
              <w:left w:val="single" w:sz="2" w:space="0" w:color="auto"/>
              <w:bottom w:val="nil"/>
              <w:right w:val="single" w:sz="2" w:space="0" w:color="auto"/>
            </w:tcBorders>
          </w:tcPr>
          <w:p w14:paraId="03CE4B10" w14:textId="77777777" w:rsidR="00946037" w:rsidRPr="006911F3" w:rsidRDefault="00946037" w:rsidP="005E4472">
            <w:pPr>
              <w:pStyle w:val="TableReference"/>
              <w:tabs>
                <w:tab w:val="left" w:pos="3306"/>
              </w:tabs>
              <w:spacing w:beforeLines="120" w:before="288"/>
              <w:rPr>
                <w:rFonts w:cs="Calibri"/>
                <w:color w:val="7030A0"/>
                <w:sz w:val="14"/>
              </w:rPr>
            </w:pPr>
          </w:p>
        </w:tc>
        <w:tc>
          <w:tcPr>
            <w:tcW w:w="8986" w:type="dxa"/>
            <w:tcBorders>
              <w:top w:val="nil"/>
              <w:left w:val="single" w:sz="2" w:space="0" w:color="auto"/>
              <w:bottom w:val="nil"/>
              <w:right w:val="nil"/>
            </w:tcBorders>
            <w:shd w:val="clear" w:color="auto" w:fill="7030A0"/>
          </w:tcPr>
          <w:p w14:paraId="1C225392" w14:textId="11FB7C52" w:rsidR="00946037" w:rsidRPr="006911F3" w:rsidRDefault="00682AFA" w:rsidP="005E4472">
            <w:pPr>
              <w:pStyle w:val="CommentaryText"/>
              <w:tabs>
                <w:tab w:val="left" w:pos="3306"/>
              </w:tabs>
              <w:spacing w:before="120" w:after="40"/>
              <w:rPr>
                <w:rFonts w:cs="Calibri"/>
                <w:color w:val="FFFFFF" w:themeColor="background1"/>
                <w:sz w:val="18"/>
                <w:szCs w:val="18"/>
              </w:rPr>
            </w:pPr>
            <w:r w:rsidRPr="006911F3">
              <w:rPr>
                <w:rFonts w:cs="Calibri"/>
                <w:color w:val="FFFFFF" w:themeColor="background1"/>
                <w:sz w:val="18"/>
                <w:szCs w:val="18"/>
              </w:rPr>
              <w:t>All other territory authorities are not required to report this information.</w:t>
            </w:r>
          </w:p>
        </w:tc>
      </w:tr>
      <w:tr w:rsidR="00682AFA" w:rsidRPr="00ED1443" w14:paraId="3AD2D84C" w14:textId="77777777" w:rsidTr="004D1EC6">
        <w:tc>
          <w:tcPr>
            <w:tcW w:w="1560" w:type="dxa"/>
            <w:tcBorders>
              <w:top w:val="nil"/>
              <w:left w:val="single" w:sz="2" w:space="0" w:color="auto"/>
              <w:bottom w:val="nil"/>
              <w:right w:val="single" w:sz="2" w:space="0" w:color="auto"/>
            </w:tcBorders>
          </w:tcPr>
          <w:p w14:paraId="45B195DA" w14:textId="630C0757" w:rsidR="00682AFA" w:rsidRPr="006911F3" w:rsidRDefault="00682AFA" w:rsidP="00946037">
            <w:pPr>
              <w:pStyle w:val="TableReference"/>
              <w:tabs>
                <w:tab w:val="left" w:pos="3306"/>
              </w:tabs>
              <w:spacing w:before="40"/>
              <w:rPr>
                <w:rFonts w:cs="Calibri"/>
                <w:color w:val="7030A0"/>
                <w:sz w:val="14"/>
              </w:rPr>
            </w:pPr>
            <w:r w:rsidRPr="006911F3">
              <w:rPr>
                <w:rFonts w:cs="Calibri"/>
                <w:color w:val="7030A0"/>
                <w:sz w:val="14"/>
              </w:rPr>
              <w:t>FMA Section 63(2)</w:t>
            </w:r>
          </w:p>
        </w:tc>
        <w:tc>
          <w:tcPr>
            <w:tcW w:w="8986" w:type="dxa"/>
            <w:tcBorders>
              <w:top w:val="nil"/>
              <w:left w:val="single" w:sz="2" w:space="0" w:color="auto"/>
              <w:bottom w:val="nil"/>
              <w:right w:val="nil"/>
            </w:tcBorders>
            <w:shd w:val="clear" w:color="auto" w:fill="7030A0"/>
          </w:tcPr>
          <w:p w14:paraId="6DC329C7" w14:textId="7754E5A2" w:rsidR="00682AFA" w:rsidRDefault="00682AFA" w:rsidP="00682AFA">
            <w:pPr>
              <w:pStyle w:val="CommentaryText"/>
              <w:tabs>
                <w:tab w:val="left" w:pos="3306"/>
              </w:tabs>
              <w:spacing w:after="40"/>
              <w:rPr>
                <w:rFonts w:cs="Calibri"/>
                <w:color w:val="FFFFFF" w:themeColor="background1"/>
                <w:sz w:val="18"/>
                <w:szCs w:val="18"/>
              </w:rPr>
            </w:pPr>
            <w:r w:rsidRPr="006911F3">
              <w:rPr>
                <w:rFonts w:cs="Calibri"/>
                <w:color w:val="FFFFFF" w:themeColor="background1"/>
                <w:sz w:val="18"/>
                <w:szCs w:val="18"/>
              </w:rPr>
              <w:t>AASB 1052 applies to government department (i.e. ACT directorate) disclosures, which are not relevant to territory authorities.</w:t>
            </w:r>
          </w:p>
          <w:p w14:paraId="48CEA669" w14:textId="678B803A" w:rsidR="005E4472" w:rsidRPr="005E4472" w:rsidRDefault="005E4472" w:rsidP="00682AFA">
            <w:pPr>
              <w:pStyle w:val="CommentaryText"/>
              <w:tabs>
                <w:tab w:val="left" w:pos="3306"/>
              </w:tabs>
              <w:spacing w:after="40"/>
              <w:rPr>
                <w:rFonts w:cs="Calibri"/>
                <w:color w:val="FFFFFF" w:themeColor="background1"/>
                <w:sz w:val="4"/>
                <w:szCs w:val="4"/>
              </w:rPr>
            </w:pPr>
          </w:p>
        </w:tc>
      </w:tr>
    </w:tbl>
    <w:p w14:paraId="3605E1DC" w14:textId="5A156A38" w:rsidR="000F238D" w:rsidRPr="00CF7E1B" w:rsidRDefault="000F238D" w:rsidP="000F238D">
      <w:pPr>
        <w:sectPr w:rsidR="000F238D" w:rsidRPr="00CF7E1B" w:rsidSect="004514CD">
          <w:headerReference w:type="default" r:id="rId31"/>
          <w:footnotePr>
            <w:numRestart w:val="eachPage"/>
          </w:footnotePr>
          <w:pgSz w:w="11907" w:h="16840" w:code="9"/>
          <w:pgMar w:top="1134" w:right="680" w:bottom="567" w:left="680" w:header="720" w:footer="720" w:gutter="0"/>
          <w:cols w:space="720"/>
        </w:sectPr>
      </w:pPr>
    </w:p>
    <w:tbl>
      <w:tblPr>
        <w:tblW w:w="10629" w:type="dxa"/>
        <w:tblLayout w:type="fixed"/>
        <w:tblLook w:val="00A0" w:firstRow="1" w:lastRow="0" w:firstColumn="1" w:lastColumn="0" w:noHBand="0" w:noVBand="0"/>
      </w:tblPr>
      <w:tblGrid>
        <w:gridCol w:w="1557"/>
        <w:gridCol w:w="3402"/>
        <w:gridCol w:w="425"/>
        <w:gridCol w:w="425"/>
        <w:gridCol w:w="425"/>
        <w:gridCol w:w="426"/>
        <w:gridCol w:w="425"/>
        <w:gridCol w:w="425"/>
        <w:gridCol w:w="425"/>
        <w:gridCol w:w="426"/>
        <w:gridCol w:w="425"/>
        <w:gridCol w:w="709"/>
        <w:gridCol w:w="425"/>
        <w:gridCol w:w="425"/>
        <w:gridCol w:w="199"/>
        <w:gridCol w:w="85"/>
      </w:tblGrid>
      <w:tr w:rsidR="007918F1" w:rsidRPr="007918F1" w14:paraId="18B1E309" w14:textId="77777777" w:rsidTr="004D1EC6">
        <w:trPr>
          <w:trHeight w:val="314"/>
        </w:trPr>
        <w:tc>
          <w:tcPr>
            <w:tcW w:w="1557" w:type="dxa"/>
            <w:tcBorders>
              <w:left w:val="single" w:sz="2" w:space="0" w:color="auto"/>
              <w:right w:val="single" w:sz="2" w:space="0" w:color="auto"/>
            </w:tcBorders>
          </w:tcPr>
          <w:p w14:paraId="6636DB8A" w14:textId="77777777" w:rsidR="00A30ED6" w:rsidRPr="007918F1" w:rsidRDefault="00A30ED6" w:rsidP="00F22D61">
            <w:pPr>
              <w:spacing w:before="240"/>
              <w:rPr>
                <w:rFonts w:cs="Calibri"/>
                <w:b/>
                <w:color w:val="7030A0"/>
                <w:szCs w:val="22"/>
              </w:rPr>
            </w:pPr>
            <w:bookmarkStart w:id="287" w:name="_Toc194918651"/>
            <w:r w:rsidRPr="007918F1">
              <w:rPr>
                <w:rFonts w:cs="Calibri"/>
                <w:b/>
                <w:color w:val="7030A0"/>
                <w:szCs w:val="22"/>
              </w:rPr>
              <w:t>Reference</w:t>
            </w:r>
          </w:p>
        </w:tc>
        <w:tc>
          <w:tcPr>
            <w:tcW w:w="9072" w:type="dxa"/>
            <w:gridSpan w:val="15"/>
            <w:tcBorders>
              <w:left w:val="single" w:sz="2" w:space="0" w:color="auto"/>
            </w:tcBorders>
          </w:tcPr>
          <w:p w14:paraId="619127D4" w14:textId="77777777" w:rsidR="00A30ED6" w:rsidRPr="007918F1" w:rsidRDefault="00A30ED6" w:rsidP="00F22D61">
            <w:pPr>
              <w:pStyle w:val="Heading1"/>
              <w:numPr>
                <w:ilvl w:val="0"/>
                <w:numId w:val="0"/>
              </w:numPr>
              <w:rPr>
                <w:rFonts w:asciiTheme="minorHAnsi" w:hAnsiTheme="minorHAnsi" w:cstheme="minorHAnsi"/>
                <w:sz w:val="36"/>
                <w:szCs w:val="36"/>
              </w:rPr>
            </w:pPr>
            <w:bookmarkStart w:id="288" w:name="_Toc98763035"/>
            <w:r w:rsidRPr="007918F1">
              <w:rPr>
                <w:rFonts w:asciiTheme="minorHAnsi" w:hAnsiTheme="minorHAnsi" w:cstheme="minorHAnsi"/>
                <w:sz w:val="36"/>
                <w:szCs w:val="36"/>
              </w:rPr>
              <w:t>Disaggregated Disclosure of Assets and Liabilities [Directorates Only]</w:t>
            </w:r>
            <w:bookmarkEnd w:id="288"/>
            <w:r w:rsidR="003B4590" w:rsidRPr="007918F1">
              <w:rPr>
                <w:rFonts w:asciiTheme="minorHAnsi" w:hAnsiTheme="minorHAnsi" w:cstheme="minorHAnsi"/>
                <w:sz w:val="36"/>
                <w:szCs w:val="36"/>
              </w:rPr>
              <w:t xml:space="preserve"> </w:t>
            </w:r>
          </w:p>
        </w:tc>
      </w:tr>
      <w:tr w:rsidR="00A30ED6" w:rsidRPr="0020314C" w14:paraId="2F038915" w14:textId="77777777" w:rsidTr="004D1EC6">
        <w:trPr>
          <w:trHeight w:hRule="exact" w:val="245"/>
        </w:trPr>
        <w:tc>
          <w:tcPr>
            <w:tcW w:w="1557" w:type="dxa"/>
            <w:tcBorders>
              <w:left w:val="single" w:sz="2" w:space="0" w:color="auto"/>
              <w:right w:val="single" w:sz="2" w:space="0" w:color="auto"/>
            </w:tcBorders>
          </w:tcPr>
          <w:p w14:paraId="7B5F7CC6" w14:textId="34B494AC" w:rsidR="00A30ED6" w:rsidRPr="007918F1" w:rsidRDefault="00A30ED6" w:rsidP="007918F1">
            <w:pPr>
              <w:pStyle w:val="Reference"/>
              <w:rPr>
                <w:rFonts w:cs="Calibri"/>
                <w:b w:val="0"/>
                <w:bCs w:val="0"/>
                <w:color w:val="7030A0"/>
                <w:sz w:val="14"/>
                <w:szCs w:val="14"/>
              </w:rPr>
            </w:pPr>
            <w:r w:rsidRPr="007918F1">
              <w:rPr>
                <w:rFonts w:cs="Calibri"/>
                <w:b w:val="0"/>
                <w:bCs w:val="0"/>
                <w:color w:val="7030A0"/>
                <w:sz w:val="14"/>
                <w:szCs w:val="14"/>
              </w:rPr>
              <w:t xml:space="preserve">ACT </w:t>
            </w:r>
            <w:r w:rsidR="00A274A8" w:rsidRPr="007918F1">
              <w:rPr>
                <w:rFonts w:cs="Calibri"/>
                <w:b w:val="0"/>
                <w:bCs w:val="0"/>
                <w:color w:val="7030A0"/>
                <w:sz w:val="14"/>
              </w:rPr>
              <w:t>Disclosure</w:t>
            </w:r>
            <w:r w:rsidR="006911F3" w:rsidRPr="007918F1">
              <w:rPr>
                <w:rFonts w:cs="Calibri"/>
                <w:b w:val="0"/>
                <w:bCs w:val="0"/>
                <w:color w:val="7030A0"/>
                <w:sz w:val="14"/>
                <w:szCs w:val="14"/>
              </w:rPr>
              <w:t xml:space="preserve"> </w:t>
            </w:r>
            <w:r w:rsidRPr="007918F1">
              <w:rPr>
                <w:rFonts w:cs="Calibri"/>
                <w:b w:val="0"/>
                <w:bCs w:val="0"/>
                <w:color w:val="7030A0"/>
                <w:sz w:val="14"/>
                <w:szCs w:val="14"/>
              </w:rPr>
              <w:t>Policy</w:t>
            </w:r>
          </w:p>
        </w:tc>
        <w:tc>
          <w:tcPr>
            <w:tcW w:w="9072" w:type="dxa"/>
            <w:gridSpan w:val="15"/>
            <w:tcBorders>
              <w:left w:val="single" w:sz="2" w:space="0" w:color="auto"/>
            </w:tcBorders>
            <w:vAlign w:val="center"/>
          </w:tcPr>
          <w:p w14:paraId="1942B417" w14:textId="28A24DB7" w:rsidR="00A30ED6" w:rsidRPr="007918F1" w:rsidRDefault="00A30ED6" w:rsidP="007918F1">
            <w:pPr>
              <w:pStyle w:val="TableTitle"/>
              <w:tabs>
                <w:tab w:val="left" w:pos="3306"/>
              </w:tabs>
              <w:jc w:val="left"/>
              <w:rPr>
                <w:rFonts w:cs="Calibri"/>
                <w:bCs w:val="0"/>
              </w:rPr>
            </w:pPr>
            <w:r w:rsidRPr="007918F1">
              <w:rPr>
                <w:rFonts w:cs="Calibri"/>
                <w:bCs w:val="0"/>
              </w:rPr>
              <w:t xml:space="preserve">Year Ended 30 June </w:t>
            </w:r>
            <w:r w:rsidR="001B231B" w:rsidRPr="007918F1">
              <w:rPr>
                <w:rFonts w:cs="Calibri"/>
                <w:bCs w:val="0"/>
              </w:rPr>
              <w:t>202</w:t>
            </w:r>
            <w:r w:rsidR="007918F1" w:rsidRPr="007918F1">
              <w:rPr>
                <w:rFonts w:cs="Calibri"/>
                <w:bCs w:val="0"/>
              </w:rPr>
              <w:t>2</w:t>
            </w:r>
          </w:p>
        </w:tc>
      </w:tr>
      <w:tr w:rsidR="00F257E0" w:rsidRPr="0020314C" w14:paraId="4148819B" w14:textId="77777777" w:rsidTr="004D1EC6">
        <w:tc>
          <w:tcPr>
            <w:tcW w:w="1557" w:type="dxa"/>
            <w:tcBorders>
              <w:left w:val="single" w:sz="2" w:space="0" w:color="auto"/>
              <w:right w:val="single" w:sz="2" w:space="0" w:color="auto"/>
            </w:tcBorders>
          </w:tcPr>
          <w:p w14:paraId="35AEC358" w14:textId="77777777" w:rsidR="00F257E0" w:rsidRPr="007918F1" w:rsidRDefault="00F257E0" w:rsidP="00F257E0">
            <w:pPr>
              <w:pStyle w:val="Reference"/>
              <w:rPr>
                <w:rFonts w:cs="Calibri"/>
                <w:b w:val="0"/>
                <w:bCs w:val="0"/>
                <w:color w:val="7030A0"/>
                <w:sz w:val="14"/>
                <w:szCs w:val="14"/>
              </w:rPr>
            </w:pPr>
            <w:r w:rsidRPr="007918F1">
              <w:rPr>
                <w:rFonts w:cs="Calibri"/>
                <w:b w:val="0"/>
                <w:bCs w:val="0"/>
                <w:color w:val="7030A0"/>
                <w:sz w:val="14"/>
                <w:szCs w:val="14"/>
              </w:rPr>
              <w:t>AASB 1052.16</w:t>
            </w:r>
          </w:p>
        </w:tc>
        <w:tc>
          <w:tcPr>
            <w:tcW w:w="3827" w:type="dxa"/>
            <w:gridSpan w:val="2"/>
            <w:tcBorders>
              <w:left w:val="single" w:sz="2" w:space="0" w:color="auto"/>
            </w:tcBorders>
            <w:shd w:val="clear" w:color="auto" w:fill="auto"/>
            <w:vAlign w:val="bottom"/>
          </w:tcPr>
          <w:p w14:paraId="0C88E335" w14:textId="77777777" w:rsidR="00F257E0" w:rsidRPr="007918F1" w:rsidRDefault="00F257E0" w:rsidP="00F257E0">
            <w:pPr>
              <w:pStyle w:val="TableText"/>
              <w:tabs>
                <w:tab w:val="left" w:pos="3306"/>
              </w:tabs>
              <w:rPr>
                <w:rFonts w:cs="Calibri"/>
                <w:b/>
                <w:bCs/>
              </w:rPr>
            </w:pPr>
          </w:p>
        </w:tc>
        <w:tc>
          <w:tcPr>
            <w:tcW w:w="850" w:type="dxa"/>
            <w:gridSpan w:val="2"/>
            <w:shd w:val="clear" w:color="auto" w:fill="auto"/>
          </w:tcPr>
          <w:p w14:paraId="7A8132BB" w14:textId="77777777" w:rsidR="00F257E0" w:rsidRPr="007918F1" w:rsidRDefault="00F257E0" w:rsidP="00F257E0">
            <w:pPr>
              <w:spacing w:before="60"/>
              <w:jc w:val="right"/>
              <w:rPr>
                <w:rFonts w:cs="Calibri"/>
                <w:b/>
                <w:bCs/>
                <w:sz w:val="18"/>
                <w:szCs w:val="18"/>
              </w:rPr>
            </w:pPr>
            <w:r w:rsidRPr="007918F1">
              <w:rPr>
                <w:rFonts w:cs="Calibri"/>
                <w:b/>
                <w:bCs/>
                <w:sz w:val="18"/>
                <w:szCs w:val="18"/>
              </w:rPr>
              <w:t xml:space="preserve">Output Class 1 </w:t>
            </w:r>
          </w:p>
        </w:tc>
        <w:tc>
          <w:tcPr>
            <w:tcW w:w="851" w:type="dxa"/>
            <w:gridSpan w:val="2"/>
            <w:shd w:val="clear" w:color="auto" w:fill="auto"/>
          </w:tcPr>
          <w:p w14:paraId="49841EE7" w14:textId="77777777" w:rsidR="00F257E0" w:rsidRPr="007918F1" w:rsidRDefault="00F257E0" w:rsidP="00F257E0">
            <w:pPr>
              <w:spacing w:before="60"/>
              <w:jc w:val="right"/>
              <w:rPr>
                <w:rFonts w:cs="Calibri"/>
                <w:b/>
                <w:bCs/>
                <w:sz w:val="18"/>
                <w:szCs w:val="18"/>
              </w:rPr>
            </w:pPr>
            <w:r w:rsidRPr="007918F1">
              <w:rPr>
                <w:rFonts w:cs="Calibri"/>
                <w:b/>
                <w:bCs/>
                <w:sz w:val="18"/>
                <w:szCs w:val="18"/>
              </w:rPr>
              <w:t>Output Class 2</w:t>
            </w:r>
          </w:p>
        </w:tc>
        <w:tc>
          <w:tcPr>
            <w:tcW w:w="850" w:type="dxa"/>
            <w:gridSpan w:val="2"/>
          </w:tcPr>
          <w:p w14:paraId="23D577E2" w14:textId="4143535C" w:rsidR="00F257E0" w:rsidRPr="007918F1" w:rsidRDefault="00F257E0" w:rsidP="00F257E0">
            <w:pPr>
              <w:spacing w:before="60"/>
              <w:jc w:val="right"/>
              <w:rPr>
                <w:rFonts w:cs="Calibri"/>
                <w:b/>
                <w:bCs/>
                <w:sz w:val="18"/>
                <w:szCs w:val="18"/>
              </w:rPr>
            </w:pPr>
            <w:r w:rsidRPr="007918F1">
              <w:rPr>
                <w:rFonts w:cs="Calibri"/>
                <w:b/>
                <w:bCs/>
                <w:sz w:val="18"/>
                <w:szCs w:val="18"/>
              </w:rPr>
              <w:t>Output Class 3</w:t>
            </w:r>
          </w:p>
        </w:tc>
        <w:tc>
          <w:tcPr>
            <w:tcW w:w="851" w:type="dxa"/>
            <w:gridSpan w:val="2"/>
            <w:shd w:val="clear" w:color="auto" w:fill="auto"/>
          </w:tcPr>
          <w:p w14:paraId="6CA25E34" w14:textId="0C6515EA" w:rsidR="00F257E0" w:rsidRPr="007918F1" w:rsidRDefault="00F257E0" w:rsidP="00F257E0">
            <w:pPr>
              <w:spacing w:before="60"/>
              <w:jc w:val="right"/>
              <w:rPr>
                <w:rFonts w:cs="Calibri"/>
                <w:b/>
                <w:bCs/>
                <w:sz w:val="18"/>
                <w:szCs w:val="18"/>
              </w:rPr>
            </w:pPr>
            <w:r w:rsidRPr="007918F1">
              <w:rPr>
                <w:rFonts w:cs="Calibri"/>
                <w:b/>
                <w:bCs/>
                <w:sz w:val="18"/>
                <w:szCs w:val="18"/>
              </w:rPr>
              <w:t>Output Class 4</w:t>
            </w:r>
          </w:p>
        </w:tc>
        <w:tc>
          <w:tcPr>
            <w:tcW w:w="1134" w:type="dxa"/>
            <w:gridSpan w:val="2"/>
            <w:shd w:val="clear" w:color="auto" w:fill="auto"/>
            <w:vAlign w:val="bottom"/>
          </w:tcPr>
          <w:p w14:paraId="2C04EC60" w14:textId="77777777" w:rsidR="00F257E0" w:rsidRPr="007918F1" w:rsidRDefault="00F257E0" w:rsidP="007918F1">
            <w:pPr>
              <w:pStyle w:val="TableText"/>
              <w:tabs>
                <w:tab w:val="left" w:pos="3306"/>
              </w:tabs>
              <w:jc w:val="right"/>
              <w:rPr>
                <w:rFonts w:cs="Calibri"/>
                <w:b/>
                <w:bCs/>
              </w:rPr>
            </w:pPr>
            <w:r w:rsidRPr="007918F1">
              <w:rPr>
                <w:rFonts w:cs="Calibri"/>
                <w:b/>
                <w:bCs/>
              </w:rPr>
              <w:t>Unallocated</w:t>
            </w:r>
          </w:p>
        </w:tc>
        <w:tc>
          <w:tcPr>
            <w:tcW w:w="709" w:type="dxa"/>
            <w:gridSpan w:val="3"/>
            <w:shd w:val="clear" w:color="auto" w:fill="auto"/>
            <w:vAlign w:val="bottom"/>
          </w:tcPr>
          <w:p w14:paraId="53ECDF8A" w14:textId="77777777" w:rsidR="00F257E0" w:rsidRPr="007918F1" w:rsidRDefault="00F257E0" w:rsidP="007918F1">
            <w:pPr>
              <w:pStyle w:val="TableText"/>
              <w:tabs>
                <w:tab w:val="left" w:pos="3306"/>
              </w:tabs>
              <w:jc w:val="right"/>
              <w:rPr>
                <w:rFonts w:cs="Calibri"/>
                <w:b/>
                <w:bCs/>
              </w:rPr>
            </w:pPr>
            <w:r w:rsidRPr="007918F1">
              <w:rPr>
                <w:rFonts w:cs="Calibri"/>
                <w:b/>
                <w:bCs/>
              </w:rPr>
              <w:t>Total</w:t>
            </w:r>
          </w:p>
        </w:tc>
      </w:tr>
      <w:tr w:rsidR="00F257E0" w:rsidRPr="0020314C" w14:paraId="44210E4C" w14:textId="77777777" w:rsidTr="004D1EC6">
        <w:tc>
          <w:tcPr>
            <w:tcW w:w="1557" w:type="dxa"/>
            <w:tcBorders>
              <w:left w:val="single" w:sz="2" w:space="0" w:color="auto"/>
              <w:right w:val="single" w:sz="2" w:space="0" w:color="auto"/>
            </w:tcBorders>
          </w:tcPr>
          <w:p w14:paraId="15A0F44C"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AC8CB0B" w14:textId="77777777" w:rsidR="00F257E0" w:rsidRPr="007918F1" w:rsidRDefault="00F257E0" w:rsidP="00F257E0">
            <w:pPr>
              <w:pStyle w:val="TableText"/>
              <w:tabs>
                <w:tab w:val="left" w:pos="3306"/>
              </w:tabs>
              <w:rPr>
                <w:rFonts w:cs="Calibri"/>
                <w:b/>
                <w:bCs/>
              </w:rPr>
            </w:pPr>
          </w:p>
        </w:tc>
        <w:tc>
          <w:tcPr>
            <w:tcW w:w="850" w:type="dxa"/>
            <w:gridSpan w:val="2"/>
            <w:shd w:val="clear" w:color="auto" w:fill="auto"/>
            <w:vAlign w:val="center"/>
          </w:tcPr>
          <w:p w14:paraId="6422511E" w14:textId="77777777" w:rsidR="00F257E0" w:rsidRPr="007918F1" w:rsidRDefault="00F257E0" w:rsidP="00F257E0">
            <w:pPr>
              <w:spacing w:before="60"/>
              <w:jc w:val="right"/>
              <w:rPr>
                <w:rFonts w:cs="Calibri"/>
                <w:b/>
                <w:bCs/>
                <w:sz w:val="18"/>
                <w:szCs w:val="18"/>
              </w:rPr>
            </w:pPr>
            <w:r w:rsidRPr="007918F1">
              <w:rPr>
                <w:rFonts w:cs="Calibri"/>
                <w:b/>
                <w:bCs/>
                <w:sz w:val="18"/>
                <w:szCs w:val="18"/>
              </w:rPr>
              <w:t>$’000</w:t>
            </w:r>
          </w:p>
        </w:tc>
        <w:tc>
          <w:tcPr>
            <w:tcW w:w="851" w:type="dxa"/>
            <w:gridSpan w:val="2"/>
            <w:shd w:val="clear" w:color="auto" w:fill="auto"/>
            <w:vAlign w:val="center"/>
          </w:tcPr>
          <w:p w14:paraId="138EC9DD" w14:textId="77777777" w:rsidR="00F257E0" w:rsidRPr="007918F1" w:rsidRDefault="00F257E0" w:rsidP="00F257E0">
            <w:pPr>
              <w:spacing w:before="60"/>
              <w:jc w:val="right"/>
              <w:rPr>
                <w:rFonts w:cs="Calibri"/>
                <w:b/>
                <w:bCs/>
                <w:sz w:val="18"/>
                <w:szCs w:val="18"/>
              </w:rPr>
            </w:pPr>
            <w:r w:rsidRPr="007918F1">
              <w:rPr>
                <w:rFonts w:cs="Calibri"/>
                <w:b/>
                <w:bCs/>
                <w:sz w:val="18"/>
                <w:szCs w:val="18"/>
              </w:rPr>
              <w:t>$’000</w:t>
            </w:r>
          </w:p>
        </w:tc>
        <w:tc>
          <w:tcPr>
            <w:tcW w:w="850" w:type="dxa"/>
            <w:gridSpan w:val="2"/>
            <w:vAlign w:val="bottom"/>
          </w:tcPr>
          <w:p w14:paraId="6B731FA1" w14:textId="4EE1D487" w:rsidR="00F257E0" w:rsidRPr="007918F1" w:rsidRDefault="00F257E0" w:rsidP="00F257E0">
            <w:pPr>
              <w:jc w:val="right"/>
              <w:rPr>
                <w:rFonts w:cs="Calibri"/>
                <w:b/>
                <w:bCs/>
                <w:sz w:val="18"/>
                <w:szCs w:val="18"/>
              </w:rPr>
            </w:pPr>
            <w:r w:rsidRPr="007918F1">
              <w:rPr>
                <w:rFonts w:cs="Calibri"/>
                <w:b/>
                <w:bCs/>
                <w:sz w:val="18"/>
                <w:szCs w:val="18"/>
              </w:rPr>
              <w:t>$’000</w:t>
            </w:r>
          </w:p>
        </w:tc>
        <w:tc>
          <w:tcPr>
            <w:tcW w:w="851" w:type="dxa"/>
            <w:gridSpan w:val="2"/>
            <w:shd w:val="clear" w:color="auto" w:fill="auto"/>
            <w:vAlign w:val="bottom"/>
          </w:tcPr>
          <w:p w14:paraId="67E2CE38" w14:textId="3B8F1EF1" w:rsidR="00F257E0" w:rsidRPr="007918F1" w:rsidRDefault="00F257E0" w:rsidP="00F257E0">
            <w:pPr>
              <w:jc w:val="right"/>
              <w:rPr>
                <w:rFonts w:cs="Calibri"/>
                <w:b/>
                <w:bCs/>
                <w:sz w:val="18"/>
                <w:szCs w:val="18"/>
              </w:rPr>
            </w:pPr>
            <w:r w:rsidRPr="007918F1">
              <w:rPr>
                <w:rFonts w:cs="Calibri"/>
                <w:b/>
                <w:bCs/>
                <w:sz w:val="18"/>
                <w:szCs w:val="18"/>
              </w:rPr>
              <w:t>$’000</w:t>
            </w:r>
          </w:p>
        </w:tc>
        <w:tc>
          <w:tcPr>
            <w:tcW w:w="1134" w:type="dxa"/>
            <w:gridSpan w:val="2"/>
            <w:shd w:val="clear" w:color="auto" w:fill="auto"/>
            <w:vAlign w:val="bottom"/>
          </w:tcPr>
          <w:p w14:paraId="030E1742" w14:textId="77777777" w:rsidR="00F257E0" w:rsidRPr="007918F1" w:rsidRDefault="00F257E0" w:rsidP="00F257E0">
            <w:pPr>
              <w:jc w:val="right"/>
              <w:rPr>
                <w:rFonts w:cs="Calibri"/>
                <w:b/>
                <w:bCs/>
                <w:sz w:val="18"/>
                <w:szCs w:val="18"/>
              </w:rPr>
            </w:pPr>
            <w:r w:rsidRPr="007918F1">
              <w:rPr>
                <w:rFonts w:cs="Calibri"/>
                <w:b/>
                <w:bCs/>
                <w:sz w:val="18"/>
                <w:szCs w:val="18"/>
              </w:rPr>
              <w:t>$’000</w:t>
            </w:r>
          </w:p>
        </w:tc>
        <w:tc>
          <w:tcPr>
            <w:tcW w:w="709" w:type="dxa"/>
            <w:gridSpan w:val="3"/>
            <w:shd w:val="clear" w:color="auto" w:fill="auto"/>
            <w:vAlign w:val="bottom"/>
          </w:tcPr>
          <w:p w14:paraId="4E9EFB71" w14:textId="77777777" w:rsidR="00F257E0" w:rsidRPr="007918F1" w:rsidRDefault="00F257E0" w:rsidP="00F257E0">
            <w:pPr>
              <w:pStyle w:val="TableText"/>
              <w:tabs>
                <w:tab w:val="left" w:pos="3306"/>
              </w:tabs>
              <w:jc w:val="right"/>
              <w:rPr>
                <w:rFonts w:cs="Calibri"/>
                <w:b/>
                <w:bCs/>
              </w:rPr>
            </w:pPr>
            <w:r w:rsidRPr="007918F1">
              <w:rPr>
                <w:rFonts w:cs="Calibri"/>
                <w:b/>
                <w:bCs/>
              </w:rPr>
              <w:t>$’000</w:t>
            </w:r>
          </w:p>
        </w:tc>
      </w:tr>
      <w:tr w:rsidR="00F257E0" w:rsidRPr="0020314C" w14:paraId="5A7FCFC2" w14:textId="77777777" w:rsidTr="004D1EC6">
        <w:tc>
          <w:tcPr>
            <w:tcW w:w="1557" w:type="dxa"/>
            <w:tcBorders>
              <w:left w:val="single" w:sz="2" w:space="0" w:color="auto"/>
              <w:right w:val="single" w:sz="2" w:space="0" w:color="auto"/>
            </w:tcBorders>
          </w:tcPr>
          <w:p w14:paraId="432E47D6"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186A87E" w14:textId="77777777" w:rsidR="00F257E0" w:rsidRPr="007918F1" w:rsidRDefault="00F257E0" w:rsidP="00F257E0">
            <w:pPr>
              <w:pStyle w:val="TableText"/>
              <w:tabs>
                <w:tab w:val="left" w:pos="3306"/>
              </w:tabs>
              <w:rPr>
                <w:rFonts w:cs="Calibri"/>
                <w:b/>
                <w:szCs w:val="16"/>
              </w:rPr>
            </w:pPr>
            <w:r w:rsidRPr="007918F1">
              <w:rPr>
                <w:rFonts w:cs="Calibri"/>
                <w:b/>
                <w:szCs w:val="16"/>
              </w:rPr>
              <w:t>Current Assets</w:t>
            </w:r>
          </w:p>
        </w:tc>
        <w:tc>
          <w:tcPr>
            <w:tcW w:w="850" w:type="dxa"/>
            <w:gridSpan w:val="2"/>
            <w:shd w:val="clear" w:color="auto" w:fill="auto"/>
          </w:tcPr>
          <w:p w14:paraId="05FADC1E"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03DB256C" w14:textId="77777777" w:rsidR="00F257E0" w:rsidRPr="007918F1" w:rsidRDefault="00F257E0" w:rsidP="00F257E0">
            <w:pPr>
              <w:pStyle w:val="TableText"/>
              <w:tabs>
                <w:tab w:val="left" w:pos="3306"/>
              </w:tabs>
              <w:jc w:val="right"/>
              <w:rPr>
                <w:rFonts w:cs="Calibri"/>
                <w:b/>
                <w:bCs/>
              </w:rPr>
            </w:pPr>
          </w:p>
        </w:tc>
        <w:tc>
          <w:tcPr>
            <w:tcW w:w="850" w:type="dxa"/>
            <w:gridSpan w:val="2"/>
          </w:tcPr>
          <w:p w14:paraId="760C3615"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09374E65" w14:textId="3A915F92"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29C727F9" w14:textId="77777777" w:rsidR="00F257E0" w:rsidRPr="007918F1" w:rsidRDefault="00F257E0" w:rsidP="00F257E0">
            <w:pPr>
              <w:pStyle w:val="TableText"/>
              <w:tabs>
                <w:tab w:val="left" w:pos="3306"/>
              </w:tabs>
              <w:jc w:val="right"/>
              <w:rPr>
                <w:rFonts w:cs="Calibri"/>
                <w:b/>
                <w:bCs/>
              </w:rPr>
            </w:pPr>
          </w:p>
        </w:tc>
        <w:tc>
          <w:tcPr>
            <w:tcW w:w="709" w:type="dxa"/>
            <w:gridSpan w:val="3"/>
            <w:shd w:val="clear" w:color="auto" w:fill="auto"/>
            <w:vAlign w:val="bottom"/>
          </w:tcPr>
          <w:p w14:paraId="58554689" w14:textId="77777777" w:rsidR="00F257E0" w:rsidRPr="007918F1" w:rsidRDefault="00F257E0" w:rsidP="00F257E0">
            <w:pPr>
              <w:pStyle w:val="TableText"/>
              <w:tabs>
                <w:tab w:val="left" w:pos="3306"/>
              </w:tabs>
              <w:jc w:val="right"/>
              <w:rPr>
                <w:rFonts w:cs="Calibri"/>
                <w:b/>
                <w:bCs/>
              </w:rPr>
            </w:pPr>
          </w:p>
        </w:tc>
      </w:tr>
      <w:tr w:rsidR="00F257E0" w:rsidRPr="0020314C" w14:paraId="39F4040A" w14:textId="77777777" w:rsidTr="004D1EC6">
        <w:tc>
          <w:tcPr>
            <w:tcW w:w="1557" w:type="dxa"/>
            <w:tcBorders>
              <w:left w:val="single" w:sz="2" w:space="0" w:color="auto"/>
              <w:right w:val="single" w:sz="2" w:space="0" w:color="auto"/>
            </w:tcBorders>
          </w:tcPr>
          <w:p w14:paraId="74522515"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E658E25" w14:textId="5270B7A1" w:rsidR="00F257E0" w:rsidRPr="007918F1" w:rsidRDefault="00F257E0" w:rsidP="00F257E0">
            <w:pPr>
              <w:pStyle w:val="TableText"/>
              <w:tabs>
                <w:tab w:val="left" w:pos="3306"/>
              </w:tabs>
              <w:rPr>
                <w:rFonts w:cs="Calibri"/>
                <w:szCs w:val="16"/>
              </w:rPr>
            </w:pPr>
            <w:r w:rsidRPr="007918F1">
              <w:rPr>
                <w:rFonts w:cs="Calibri"/>
                <w:szCs w:val="16"/>
              </w:rPr>
              <w:t>Cash and Cash Equivalents</w:t>
            </w:r>
            <w:r w:rsidR="001A12A3" w:rsidRPr="001A12A3">
              <w:rPr>
                <w:rFonts w:cs="Calibri"/>
                <w:szCs w:val="16"/>
                <w:vertAlign w:val="superscript"/>
              </w:rPr>
              <w:t>a</w:t>
            </w:r>
          </w:p>
        </w:tc>
        <w:tc>
          <w:tcPr>
            <w:tcW w:w="850" w:type="dxa"/>
            <w:gridSpan w:val="2"/>
            <w:shd w:val="clear" w:color="auto" w:fill="auto"/>
          </w:tcPr>
          <w:p w14:paraId="690ACA20"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5DF91FAA" w14:textId="77777777" w:rsidR="00F257E0" w:rsidRPr="007918F1" w:rsidRDefault="00F257E0" w:rsidP="00F257E0">
            <w:pPr>
              <w:pStyle w:val="TableText"/>
              <w:tabs>
                <w:tab w:val="left" w:pos="3306"/>
              </w:tabs>
              <w:jc w:val="right"/>
              <w:rPr>
                <w:rFonts w:cs="Calibri"/>
                <w:b/>
                <w:bCs/>
              </w:rPr>
            </w:pPr>
          </w:p>
        </w:tc>
        <w:tc>
          <w:tcPr>
            <w:tcW w:w="850" w:type="dxa"/>
            <w:gridSpan w:val="2"/>
          </w:tcPr>
          <w:p w14:paraId="52643B0E"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3940A821" w14:textId="4D83BFDC"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007EDEFF" w14:textId="77777777" w:rsidR="00F257E0" w:rsidRPr="007918F1" w:rsidRDefault="00F257E0" w:rsidP="00F257E0">
            <w:pPr>
              <w:pStyle w:val="TableText"/>
              <w:tabs>
                <w:tab w:val="left" w:pos="3306"/>
              </w:tabs>
              <w:jc w:val="right"/>
              <w:rPr>
                <w:rFonts w:cs="Calibri"/>
                <w:bCs/>
                <w:strike/>
              </w:rPr>
            </w:pPr>
          </w:p>
        </w:tc>
        <w:tc>
          <w:tcPr>
            <w:tcW w:w="709" w:type="dxa"/>
            <w:gridSpan w:val="3"/>
            <w:shd w:val="clear" w:color="auto" w:fill="auto"/>
            <w:vAlign w:val="bottom"/>
          </w:tcPr>
          <w:p w14:paraId="1E3D8A6C" w14:textId="77777777" w:rsidR="00F257E0" w:rsidRPr="007918F1" w:rsidRDefault="00F257E0" w:rsidP="00F257E0">
            <w:pPr>
              <w:pStyle w:val="TableText"/>
              <w:tabs>
                <w:tab w:val="left" w:pos="3306"/>
              </w:tabs>
              <w:jc w:val="right"/>
              <w:rPr>
                <w:rFonts w:cs="Calibri"/>
                <w:bCs/>
                <w:strike/>
              </w:rPr>
            </w:pPr>
          </w:p>
        </w:tc>
      </w:tr>
      <w:tr w:rsidR="00F257E0" w:rsidRPr="0020314C" w14:paraId="15EDC67B" w14:textId="77777777" w:rsidTr="004D1EC6">
        <w:tc>
          <w:tcPr>
            <w:tcW w:w="1557" w:type="dxa"/>
            <w:tcBorders>
              <w:left w:val="single" w:sz="2" w:space="0" w:color="auto"/>
              <w:right w:val="single" w:sz="2" w:space="0" w:color="auto"/>
            </w:tcBorders>
          </w:tcPr>
          <w:p w14:paraId="614BB87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0F020F2" w14:textId="6DC09A63" w:rsidR="00F257E0" w:rsidRPr="007918F1" w:rsidRDefault="00F257E0" w:rsidP="00F257E0">
            <w:pPr>
              <w:pStyle w:val="TableText"/>
              <w:tabs>
                <w:tab w:val="left" w:pos="3306"/>
              </w:tabs>
              <w:rPr>
                <w:rFonts w:cs="Calibri"/>
                <w:szCs w:val="16"/>
              </w:rPr>
            </w:pPr>
            <w:r w:rsidRPr="007918F1">
              <w:rPr>
                <w:rFonts w:cs="Calibri"/>
                <w:szCs w:val="16"/>
              </w:rPr>
              <w:t>Investments</w:t>
            </w:r>
            <w:r w:rsidR="001A12A3">
              <w:rPr>
                <w:rFonts w:cs="Calibri"/>
                <w:szCs w:val="16"/>
                <w:vertAlign w:val="superscript"/>
              </w:rPr>
              <w:t>b</w:t>
            </w:r>
            <w:r w:rsidRPr="007918F1">
              <w:rPr>
                <w:rFonts w:cs="Calibri"/>
                <w:szCs w:val="16"/>
              </w:rPr>
              <w:t xml:space="preserve"> </w:t>
            </w:r>
          </w:p>
        </w:tc>
        <w:tc>
          <w:tcPr>
            <w:tcW w:w="850" w:type="dxa"/>
            <w:gridSpan w:val="2"/>
            <w:shd w:val="clear" w:color="auto" w:fill="auto"/>
          </w:tcPr>
          <w:p w14:paraId="072C9F7C"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55EF1B08" w14:textId="77777777" w:rsidR="00F257E0" w:rsidRPr="007918F1" w:rsidRDefault="00F257E0" w:rsidP="00F257E0">
            <w:pPr>
              <w:pStyle w:val="TableText"/>
              <w:tabs>
                <w:tab w:val="left" w:pos="3306"/>
              </w:tabs>
              <w:jc w:val="right"/>
              <w:rPr>
                <w:rFonts w:cs="Calibri"/>
                <w:b/>
                <w:bCs/>
              </w:rPr>
            </w:pPr>
          </w:p>
        </w:tc>
        <w:tc>
          <w:tcPr>
            <w:tcW w:w="850" w:type="dxa"/>
            <w:gridSpan w:val="2"/>
          </w:tcPr>
          <w:p w14:paraId="5D0DAFCB"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50ECEA95" w14:textId="6A3A63A5"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2BF02674"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6FFFF31" w14:textId="77777777" w:rsidR="00F257E0" w:rsidRPr="007918F1" w:rsidRDefault="00F257E0" w:rsidP="00F257E0">
            <w:pPr>
              <w:pStyle w:val="TableText"/>
              <w:tabs>
                <w:tab w:val="left" w:pos="3306"/>
              </w:tabs>
              <w:jc w:val="right"/>
              <w:rPr>
                <w:rFonts w:cs="Calibri"/>
                <w:bCs/>
              </w:rPr>
            </w:pPr>
          </w:p>
        </w:tc>
      </w:tr>
      <w:tr w:rsidR="00F257E0" w:rsidRPr="0020314C" w14:paraId="307637C7" w14:textId="77777777" w:rsidTr="004D1EC6">
        <w:tc>
          <w:tcPr>
            <w:tcW w:w="1557" w:type="dxa"/>
            <w:tcBorders>
              <w:left w:val="single" w:sz="2" w:space="0" w:color="auto"/>
              <w:right w:val="single" w:sz="2" w:space="0" w:color="auto"/>
            </w:tcBorders>
          </w:tcPr>
          <w:p w14:paraId="5DE421B1"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3ED684F" w14:textId="77777777" w:rsidR="00F257E0" w:rsidRPr="007918F1" w:rsidRDefault="00F257E0" w:rsidP="00F257E0">
            <w:pPr>
              <w:pStyle w:val="TableText"/>
              <w:tabs>
                <w:tab w:val="left" w:pos="3306"/>
              </w:tabs>
              <w:rPr>
                <w:rFonts w:cs="Calibri"/>
                <w:szCs w:val="16"/>
              </w:rPr>
            </w:pPr>
            <w:r w:rsidRPr="007918F1">
              <w:rPr>
                <w:rFonts w:cs="Calibri"/>
                <w:szCs w:val="16"/>
              </w:rPr>
              <w:t>Receivables</w:t>
            </w:r>
          </w:p>
        </w:tc>
        <w:tc>
          <w:tcPr>
            <w:tcW w:w="850" w:type="dxa"/>
            <w:gridSpan w:val="2"/>
            <w:shd w:val="clear" w:color="auto" w:fill="auto"/>
          </w:tcPr>
          <w:p w14:paraId="15C74C7C" w14:textId="77777777" w:rsidR="00F257E0" w:rsidRPr="007918F1" w:rsidRDefault="00F257E0" w:rsidP="00F257E0">
            <w:pPr>
              <w:pStyle w:val="TableText"/>
              <w:tabs>
                <w:tab w:val="left" w:pos="3306"/>
              </w:tabs>
              <w:jc w:val="right"/>
              <w:rPr>
                <w:rFonts w:cs="Calibri"/>
                <w:bCs/>
                <w:strike/>
              </w:rPr>
            </w:pPr>
          </w:p>
        </w:tc>
        <w:tc>
          <w:tcPr>
            <w:tcW w:w="851" w:type="dxa"/>
            <w:gridSpan w:val="2"/>
            <w:shd w:val="clear" w:color="auto" w:fill="auto"/>
          </w:tcPr>
          <w:p w14:paraId="19CDE3DA" w14:textId="77777777" w:rsidR="00F257E0" w:rsidRPr="007918F1" w:rsidRDefault="00F257E0" w:rsidP="00F257E0">
            <w:pPr>
              <w:pStyle w:val="TableText"/>
              <w:tabs>
                <w:tab w:val="left" w:pos="3306"/>
              </w:tabs>
              <w:jc w:val="right"/>
              <w:rPr>
                <w:rFonts w:cs="Calibri"/>
                <w:bCs/>
              </w:rPr>
            </w:pPr>
          </w:p>
        </w:tc>
        <w:tc>
          <w:tcPr>
            <w:tcW w:w="850" w:type="dxa"/>
            <w:gridSpan w:val="2"/>
          </w:tcPr>
          <w:p w14:paraId="240481E5"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AAADB85" w14:textId="711DEC70"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57B42F11"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67E9065" w14:textId="77777777" w:rsidR="00F257E0" w:rsidRPr="007918F1" w:rsidRDefault="00F257E0" w:rsidP="00F257E0">
            <w:pPr>
              <w:pStyle w:val="TableText"/>
              <w:tabs>
                <w:tab w:val="left" w:pos="3306"/>
              </w:tabs>
              <w:jc w:val="right"/>
              <w:rPr>
                <w:rFonts w:cs="Calibri"/>
                <w:bCs/>
                <w:strike/>
              </w:rPr>
            </w:pPr>
          </w:p>
        </w:tc>
      </w:tr>
      <w:tr w:rsidR="00F257E0" w:rsidRPr="0020314C" w14:paraId="6FC70008" w14:textId="77777777" w:rsidTr="004D1EC6">
        <w:tc>
          <w:tcPr>
            <w:tcW w:w="1557" w:type="dxa"/>
            <w:tcBorders>
              <w:left w:val="single" w:sz="2" w:space="0" w:color="auto"/>
              <w:right w:val="single" w:sz="2" w:space="0" w:color="auto"/>
            </w:tcBorders>
          </w:tcPr>
          <w:p w14:paraId="424692E7"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87E77F1" w14:textId="77777777" w:rsidR="00F257E0" w:rsidRPr="007918F1" w:rsidRDefault="00F257E0" w:rsidP="00F257E0">
            <w:pPr>
              <w:pStyle w:val="TableText"/>
              <w:tabs>
                <w:tab w:val="left" w:pos="3306"/>
              </w:tabs>
              <w:rPr>
                <w:rFonts w:cs="Calibri"/>
                <w:szCs w:val="16"/>
              </w:rPr>
            </w:pPr>
            <w:r w:rsidRPr="007918F1">
              <w:rPr>
                <w:rFonts w:cs="Calibri"/>
                <w:szCs w:val="16"/>
              </w:rPr>
              <w:t>Contract Assets</w:t>
            </w:r>
          </w:p>
        </w:tc>
        <w:tc>
          <w:tcPr>
            <w:tcW w:w="850" w:type="dxa"/>
            <w:gridSpan w:val="2"/>
            <w:shd w:val="clear" w:color="auto" w:fill="auto"/>
          </w:tcPr>
          <w:p w14:paraId="16CC321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32AA7885" w14:textId="77777777" w:rsidR="00F257E0" w:rsidRPr="007918F1" w:rsidRDefault="00F257E0" w:rsidP="00F257E0">
            <w:pPr>
              <w:pStyle w:val="TableText"/>
              <w:tabs>
                <w:tab w:val="left" w:pos="3306"/>
              </w:tabs>
              <w:jc w:val="right"/>
              <w:rPr>
                <w:rFonts w:cs="Calibri"/>
                <w:bCs/>
              </w:rPr>
            </w:pPr>
          </w:p>
        </w:tc>
        <w:tc>
          <w:tcPr>
            <w:tcW w:w="850" w:type="dxa"/>
            <w:gridSpan w:val="2"/>
          </w:tcPr>
          <w:p w14:paraId="529B8C22"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50DE49D3" w14:textId="5BF7F5B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7AC316BD"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94C50DD" w14:textId="77777777" w:rsidR="00F257E0" w:rsidRPr="007918F1" w:rsidRDefault="00F257E0" w:rsidP="00F257E0">
            <w:pPr>
              <w:pStyle w:val="TableText"/>
              <w:tabs>
                <w:tab w:val="left" w:pos="3306"/>
              </w:tabs>
              <w:jc w:val="right"/>
              <w:rPr>
                <w:rFonts w:cs="Calibri"/>
                <w:bCs/>
              </w:rPr>
            </w:pPr>
          </w:p>
        </w:tc>
      </w:tr>
      <w:tr w:rsidR="00F257E0" w:rsidRPr="0020314C" w14:paraId="0B2A6EB2" w14:textId="77777777" w:rsidTr="004D1EC6">
        <w:tc>
          <w:tcPr>
            <w:tcW w:w="1557" w:type="dxa"/>
            <w:tcBorders>
              <w:left w:val="single" w:sz="2" w:space="0" w:color="auto"/>
              <w:right w:val="single" w:sz="2" w:space="0" w:color="auto"/>
            </w:tcBorders>
          </w:tcPr>
          <w:p w14:paraId="4059134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444E1F5" w14:textId="77777777" w:rsidR="00F257E0" w:rsidRPr="007918F1" w:rsidRDefault="00F257E0" w:rsidP="00F257E0">
            <w:pPr>
              <w:pStyle w:val="TableText"/>
              <w:tabs>
                <w:tab w:val="left" w:pos="3306"/>
              </w:tabs>
              <w:rPr>
                <w:rFonts w:cs="Calibri"/>
                <w:szCs w:val="16"/>
              </w:rPr>
            </w:pPr>
            <w:r w:rsidRPr="007918F1">
              <w:rPr>
                <w:rFonts w:cs="Calibri"/>
                <w:szCs w:val="16"/>
              </w:rPr>
              <w:t>Inventories</w:t>
            </w:r>
          </w:p>
        </w:tc>
        <w:tc>
          <w:tcPr>
            <w:tcW w:w="850" w:type="dxa"/>
            <w:gridSpan w:val="2"/>
            <w:shd w:val="clear" w:color="auto" w:fill="auto"/>
          </w:tcPr>
          <w:p w14:paraId="519D4E11"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1AC8C8C1" w14:textId="77777777" w:rsidR="00F257E0" w:rsidRPr="007918F1" w:rsidRDefault="00F257E0" w:rsidP="00F257E0">
            <w:pPr>
              <w:pStyle w:val="TableText"/>
              <w:tabs>
                <w:tab w:val="left" w:pos="3306"/>
              </w:tabs>
              <w:jc w:val="right"/>
              <w:rPr>
                <w:rFonts w:cs="Calibri"/>
                <w:bCs/>
              </w:rPr>
            </w:pPr>
          </w:p>
        </w:tc>
        <w:tc>
          <w:tcPr>
            <w:tcW w:w="850" w:type="dxa"/>
            <w:gridSpan w:val="2"/>
          </w:tcPr>
          <w:p w14:paraId="4227324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3CA6124" w14:textId="345BD5D6"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25FD716E"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06F54A27" w14:textId="77777777" w:rsidR="00F257E0" w:rsidRPr="007918F1" w:rsidRDefault="00F257E0" w:rsidP="00F257E0">
            <w:pPr>
              <w:pStyle w:val="TableText"/>
              <w:tabs>
                <w:tab w:val="left" w:pos="3306"/>
              </w:tabs>
              <w:jc w:val="right"/>
              <w:rPr>
                <w:rFonts w:cs="Calibri"/>
                <w:bCs/>
              </w:rPr>
            </w:pPr>
          </w:p>
        </w:tc>
      </w:tr>
      <w:tr w:rsidR="00F257E0" w:rsidRPr="0020314C" w14:paraId="0101ECD9" w14:textId="77777777" w:rsidTr="004D1EC6">
        <w:tc>
          <w:tcPr>
            <w:tcW w:w="1557" w:type="dxa"/>
            <w:tcBorders>
              <w:left w:val="single" w:sz="2" w:space="0" w:color="auto"/>
              <w:right w:val="single" w:sz="2" w:space="0" w:color="auto"/>
            </w:tcBorders>
          </w:tcPr>
          <w:p w14:paraId="75E562CD"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C0C3EE4" w14:textId="1B4B845F" w:rsidR="00F257E0" w:rsidRPr="007918F1" w:rsidRDefault="00F257E0" w:rsidP="00F257E0">
            <w:pPr>
              <w:pStyle w:val="TableText"/>
              <w:tabs>
                <w:tab w:val="left" w:pos="3306"/>
              </w:tabs>
              <w:rPr>
                <w:rFonts w:cs="Calibri"/>
                <w:szCs w:val="16"/>
              </w:rPr>
            </w:pPr>
            <w:r w:rsidRPr="007918F1">
              <w:rPr>
                <w:rFonts w:cs="Calibri"/>
                <w:szCs w:val="16"/>
              </w:rPr>
              <w:t>Non-Current Assets Held for Sale</w:t>
            </w:r>
          </w:p>
        </w:tc>
        <w:tc>
          <w:tcPr>
            <w:tcW w:w="850" w:type="dxa"/>
            <w:gridSpan w:val="2"/>
            <w:shd w:val="clear" w:color="auto" w:fill="auto"/>
          </w:tcPr>
          <w:p w14:paraId="7CD5AABC"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2C03DC85" w14:textId="77777777" w:rsidR="00F257E0" w:rsidRPr="007918F1" w:rsidRDefault="00F257E0" w:rsidP="00F257E0">
            <w:pPr>
              <w:pStyle w:val="TableText"/>
              <w:tabs>
                <w:tab w:val="left" w:pos="3306"/>
              </w:tabs>
              <w:jc w:val="right"/>
              <w:rPr>
                <w:rFonts w:cs="Calibri"/>
                <w:bCs/>
              </w:rPr>
            </w:pPr>
          </w:p>
        </w:tc>
        <w:tc>
          <w:tcPr>
            <w:tcW w:w="850" w:type="dxa"/>
            <w:gridSpan w:val="2"/>
          </w:tcPr>
          <w:p w14:paraId="23D97F3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B2F9549" w14:textId="74C0CF31"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5B7EE97C"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ED01D54" w14:textId="77777777" w:rsidR="00F257E0" w:rsidRPr="007918F1" w:rsidRDefault="00F257E0" w:rsidP="00F257E0">
            <w:pPr>
              <w:pStyle w:val="TableText"/>
              <w:tabs>
                <w:tab w:val="left" w:pos="3306"/>
              </w:tabs>
              <w:jc w:val="right"/>
              <w:rPr>
                <w:rFonts w:cs="Calibri"/>
                <w:bCs/>
              </w:rPr>
            </w:pPr>
          </w:p>
        </w:tc>
      </w:tr>
      <w:tr w:rsidR="00F257E0" w:rsidRPr="0020314C" w14:paraId="5E1621D7" w14:textId="77777777" w:rsidTr="004D1EC6">
        <w:tc>
          <w:tcPr>
            <w:tcW w:w="1557" w:type="dxa"/>
            <w:tcBorders>
              <w:left w:val="single" w:sz="2" w:space="0" w:color="auto"/>
              <w:right w:val="single" w:sz="2" w:space="0" w:color="auto"/>
            </w:tcBorders>
          </w:tcPr>
          <w:p w14:paraId="41E7DF5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76F7095" w14:textId="77777777" w:rsidR="00F257E0" w:rsidRPr="007918F1" w:rsidRDefault="00F257E0" w:rsidP="00F257E0">
            <w:pPr>
              <w:pStyle w:val="TableText"/>
              <w:tabs>
                <w:tab w:val="left" w:pos="3306"/>
              </w:tabs>
              <w:rPr>
                <w:rFonts w:cs="Calibri"/>
                <w:szCs w:val="16"/>
              </w:rPr>
            </w:pPr>
            <w:r w:rsidRPr="007918F1">
              <w:rPr>
                <w:rFonts w:cs="Calibri"/>
                <w:szCs w:val="16"/>
              </w:rPr>
              <w:t>Other Assets</w:t>
            </w:r>
          </w:p>
        </w:tc>
        <w:tc>
          <w:tcPr>
            <w:tcW w:w="850" w:type="dxa"/>
            <w:gridSpan w:val="2"/>
            <w:tcBorders>
              <w:bottom w:val="single" w:sz="2" w:space="0" w:color="auto"/>
            </w:tcBorders>
            <w:shd w:val="clear" w:color="auto" w:fill="auto"/>
          </w:tcPr>
          <w:p w14:paraId="093EEBFC"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4DEFCCBB"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30D83C91"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038E05E4" w14:textId="69F32B7D"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7A84BB24"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510C4093" w14:textId="77777777" w:rsidR="00F257E0" w:rsidRPr="007918F1" w:rsidRDefault="00F257E0" w:rsidP="00F257E0">
            <w:pPr>
              <w:pStyle w:val="TableText"/>
              <w:tabs>
                <w:tab w:val="left" w:pos="3306"/>
              </w:tabs>
              <w:jc w:val="right"/>
              <w:rPr>
                <w:rFonts w:cs="Calibri"/>
                <w:bCs/>
              </w:rPr>
            </w:pPr>
          </w:p>
        </w:tc>
      </w:tr>
      <w:tr w:rsidR="00F257E0" w:rsidRPr="0020314C" w14:paraId="121319D3" w14:textId="77777777" w:rsidTr="004D1EC6">
        <w:tc>
          <w:tcPr>
            <w:tcW w:w="1557" w:type="dxa"/>
            <w:tcBorders>
              <w:left w:val="single" w:sz="2" w:space="0" w:color="auto"/>
              <w:right w:val="single" w:sz="2" w:space="0" w:color="auto"/>
            </w:tcBorders>
          </w:tcPr>
          <w:p w14:paraId="121D182A"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134BBAF" w14:textId="77777777" w:rsidR="00F257E0" w:rsidRPr="007918F1" w:rsidRDefault="00F257E0" w:rsidP="00F257E0">
            <w:pPr>
              <w:pStyle w:val="TableText"/>
              <w:tabs>
                <w:tab w:val="left" w:pos="3306"/>
              </w:tabs>
              <w:rPr>
                <w:rFonts w:cs="Calibri"/>
                <w:b/>
                <w:szCs w:val="16"/>
              </w:rPr>
            </w:pPr>
            <w:r w:rsidRPr="007918F1">
              <w:rPr>
                <w:rFonts w:cs="Calibri"/>
                <w:b/>
                <w:szCs w:val="16"/>
              </w:rPr>
              <w:t>Total Current Assets</w:t>
            </w:r>
          </w:p>
        </w:tc>
        <w:tc>
          <w:tcPr>
            <w:tcW w:w="850" w:type="dxa"/>
            <w:gridSpan w:val="2"/>
            <w:tcBorders>
              <w:top w:val="single" w:sz="2" w:space="0" w:color="auto"/>
            </w:tcBorders>
            <w:shd w:val="clear" w:color="auto" w:fill="auto"/>
          </w:tcPr>
          <w:p w14:paraId="5F10D36E"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238C1F45"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5A70BCFC"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5198661E" w14:textId="72985E90"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5E9274BF"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3395BA26" w14:textId="77777777" w:rsidR="00F257E0" w:rsidRPr="007918F1" w:rsidRDefault="00F257E0" w:rsidP="00F257E0">
            <w:pPr>
              <w:pStyle w:val="TableText"/>
              <w:tabs>
                <w:tab w:val="left" w:pos="3306"/>
              </w:tabs>
              <w:jc w:val="right"/>
              <w:rPr>
                <w:rFonts w:cs="Calibri"/>
                <w:b/>
                <w:bCs/>
                <w:strike/>
              </w:rPr>
            </w:pPr>
          </w:p>
        </w:tc>
      </w:tr>
      <w:tr w:rsidR="00F257E0" w:rsidRPr="0020314C" w14:paraId="65C8C349" w14:textId="77777777" w:rsidTr="004D1EC6">
        <w:trPr>
          <w:trHeight w:hRule="exact" w:val="170"/>
        </w:trPr>
        <w:tc>
          <w:tcPr>
            <w:tcW w:w="1557" w:type="dxa"/>
            <w:tcBorders>
              <w:left w:val="single" w:sz="2" w:space="0" w:color="auto"/>
              <w:right w:val="single" w:sz="2" w:space="0" w:color="auto"/>
            </w:tcBorders>
          </w:tcPr>
          <w:p w14:paraId="01D27B37"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2CD8C01" w14:textId="77777777" w:rsidR="00F257E0" w:rsidRPr="007918F1" w:rsidRDefault="00F257E0" w:rsidP="00F257E0">
            <w:pPr>
              <w:pStyle w:val="TableText"/>
              <w:tabs>
                <w:tab w:val="left" w:pos="3306"/>
              </w:tabs>
              <w:rPr>
                <w:rFonts w:cs="Calibri"/>
                <w:szCs w:val="16"/>
              </w:rPr>
            </w:pPr>
          </w:p>
        </w:tc>
        <w:tc>
          <w:tcPr>
            <w:tcW w:w="850" w:type="dxa"/>
            <w:gridSpan w:val="2"/>
            <w:shd w:val="clear" w:color="auto" w:fill="auto"/>
          </w:tcPr>
          <w:p w14:paraId="2280BD7C"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3FF21496" w14:textId="77777777" w:rsidR="00F257E0" w:rsidRPr="007918F1" w:rsidRDefault="00F257E0" w:rsidP="00F257E0">
            <w:pPr>
              <w:pStyle w:val="TableText"/>
              <w:tabs>
                <w:tab w:val="left" w:pos="3306"/>
              </w:tabs>
              <w:jc w:val="right"/>
              <w:rPr>
                <w:rFonts w:cs="Calibri"/>
                <w:bCs/>
              </w:rPr>
            </w:pPr>
          </w:p>
        </w:tc>
        <w:tc>
          <w:tcPr>
            <w:tcW w:w="850" w:type="dxa"/>
            <w:gridSpan w:val="2"/>
          </w:tcPr>
          <w:p w14:paraId="059A18E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50C88D2" w14:textId="320F075C"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0CE9C153"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7EAA493E" w14:textId="77777777" w:rsidR="00F257E0" w:rsidRPr="007918F1" w:rsidRDefault="00F257E0" w:rsidP="00F257E0">
            <w:pPr>
              <w:pStyle w:val="TableText"/>
              <w:tabs>
                <w:tab w:val="left" w:pos="3306"/>
              </w:tabs>
              <w:jc w:val="right"/>
              <w:rPr>
                <w:rFonts w:cs="Calibri"/>
                <w:bCs/>
              </w:rPr>
            </w:pPr>
          </w:p>
        </w:tc>
      </w:tr>
      <w:tr w:rsidR="00F257E0" w:rsidRPr="0020314C" w14:paraId="25D6D283" w14:textId="77777777" w:rsidTr="004D1EC6">
        <w:tc>
          <w:tcPr>
            <w:tcW w:w="1557" w:type="dxa"/>
            <w:tcBorders>
              <w:left w:val="single" w:sz="2" w:space="0" w:color="auto"/>
              <w:right w:val="single" w:sz="2" w:space="0" w:color="auto"/>
            </w:tcBorders>
          </w:tcPr>
          <w:p w14:paraId="61F8B9C9"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DFC2DF0" w14:textId="77777777" w:rsidR="00F257E0" w:rsidRPr="007918F1" w:rsidRDefault="00F257E0" w:rsidP="00F257E0">
            <w:pPr>
              <w:pStyle w:val="TableText"/>
              <w:tabs>
                <w:tab w:val="left" w:pos="3306"/>
              </w:tabs>
              <w:rPr>
                <w:rFonts w:cs="Calibri"/>
                <w:b/>
                <w:szCs w:val="16"/>
              </w:rPr>
            </w:pPr>
            <w:r w:rsidRPr="007918F1">
              <w:rPr>
                <w:rFonts w:cs="Calibri"/>
                <w:b/>
                <w:szCs w:val="16"/>
              </w:rPr>
              <w:t>Non-Current Assets</w:t>
            </w:r>
          </w:p>
        </w:tc>
        <w:tc>
          <w:tcPr>
            <w:tcW w:w="850" w:type="dxa"/>
            <w:gridSpan w:val="2"/>
            <w:shd w:val="clear" w:color="auto" w:fill="auto"/>
          </w:tcPr>
          <w:p w14:paraId="6E7B027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001A6481" w14:textId="77777777" w:rsidR="00F257E0" w:rsidRPr="007918F1" w:rsidRDefault="00F257E0" w:rsidP="00F257E0">
            <w:pPr>
              <w:pStyle w:val="TableText"/>
              <w:tabs>
                <w:tab w:val="left" w:pos="3306"/>
              </w:tabs>
              <w:jc w:val="right"/>
              <w:rPr>
                <w:rFonts w:cs="Calibri"/>
                <w:bCs/>
              </w:rPr>
            </w:pPr>
          </w:p>
        </w:tc>
        <w:tc>
          <w:tcPr>
            <w:tcW w:w="850" w:type="dxa"/>
            <w:gridSpan w:val="2"/>
          </w:tcPr>
          <w:p w14:paraId="1EA373A5"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F8E5141" w14:textId="03BA56E0"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61CFDA6B"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7DFB1EBA" w14:textId="77777777" w:rsidR="00F257E0" w:rsidRPr="007918F1" w:rsidRDefault="00F257E0" w:rsidP="00F257E0">
            <w:pPr>
              <w:pStyle w:val="TableText"/>
              <w:tabs>
                <w:tab w:val="left" w:pos="3306"/>
              </w:tabs>
              <w:jc w:val="right"/>
              <w:rPr>
                <w:rFonts w:cs="Calibri"/>
                <w:bCs/>
              </w:rPr>
            </w:pPr>
          </w:p>
        </w:tc>
      </w:tr>
      <w:tr w:rsidR="00F257E0" w:rsidRPr="0020314C" w14:paraId="25927C81" w14:textId="77777777" w:rsidTr="004D1EC6">
        <w:tc>
          <w:tcPr>
            <w:tcW w:w="1557" w:type="dxa"/>
            <w:tcBorders>
              <w:left w:val="single" w:sz="2" w:space="0" w:color="auto"/>
              <w:right w:val="single" w:sz="2" w:space="0" w:color="auto"/>
            </w:tcBorders>
          </w:tcPr>
          <w:p w14:paraId="3D56B8B1" w14:textId="77777777" w:rsidR="00F257E0" w:rsidRPr="007918F1" w:rsidRDefault="00F257E0" w:rsidP="00F257E0">
            <w:pPr>
              <w:pStyle w:val="Reference"/>
              <w:rPr>
                <w:rFonts w:cs="Calibri"/>
                <w:b w:val="0"/>
                <w:bCs w:val="0"/>
                <w:strike/>
                <w:color w:val="7030A0"/>
                <w:sz w:val="16"/>
                <w:szCs w:val="16"/>
              </w:rPr>
            </w:pPr>
          </w:p>
        </w:tc>
        <w:tc>
          <w:tcPr>
            <w:tcW w:w="3827" w:type="dxa"/>
            <w:gridSpan w:val="2"/>
            <w:tcBorders>
              <w:left w:val="single" w:sz="2" w:space="0" w:color="auto"/>
            </w:tcBorders>
            <w:shd w:val="clear" w:color="auto" w:fill="auto"/>
            <w:vAlign w:val="bottom"/>
          </w:tcPr>
          <w:p w14:paraId="42F8349E" w14:textId="78904D6F" w:rsidR="00F257E0" w:rsidRPr="007918F1" w:rsidRDefault="00BC2A04" w:rsidP="00F257E0">
            <w:pPr>
              <w:pStyle w:val="TableText"/>
              <w:tabs>
                <w:tab w:val="left" w:pos="3306"/>
              </w:tabs>
              <w:rPr>
                <w:rFonts w:cs="Calibri"/>
                <w:szCs w:val="16"/>
              </w:rPr>
            </w:pPr>
            <w:r w:rsidRPr="007918F1">
              <w:rPr>
                <w:rFonts w:cs="Calibri"/>
                <w:szCs w:val="16"/>
              </w:rPr>
              <w:t>Investments</w:t>
            </w:r>
          </w:p>
        </w:tc>
        <w:tc>
          <w:tcPr>
            <w:tcW w:w="850" w:type="dxa"/>
            <w:gridSpan w:val="2"/>
            <w:shd w:val="clear" w:color="auto" w:fill="auto"/>
          </w:tcPr>
          <w:p w14:paraId="470774D4" w14:textId="77777777" w:rsidR="00F257E0" w:rsidRPr="007918F1" w:rsidRDefault="00F257E0" w:rsidP="00F257E0">
            <w:pPr>
              <w:pStyle w:val="TableText"/>
              <w:tabs>
                <w:tab w:val="left" w:pos="3306"/>
              </w:tabs>
              <w:jc w:val="right"/>
              <w:rPr>
                <w:rFonts w:cs="Calibri"/>
                <w:bCs/>
                <w:strike/>
              </w:rPr>
            </w:pPr>
          </w:p>
        </w:tc>
        <w:tc>
          <w:tcPr>
            <w:tcW w:w="851" w:type="dxa"/>
            <w:gridSpan w:val="2"/>
            <w:shd w:val="clear" w:color="auto" w:fill="auto"/>
          </w:tcPr>
          <w:p w14:paraId="0419C448" w14:textId="77777777" w:rsidR="00F257E0" w:rsidRPr="007918F1" w:rsidRDefault="00F257E0" w:rsidP="00F257E0">
            <w:pPr>
              <w:pStyle w:val="TableText"/>
              <w:tabs>
                <w:tab w:val="left" w:pos="3306"/>
              </w:tabs>
              <w:jc w:val="right"/>
              <w:rPr>
                <w:rFonts w:cs="Calibri"/>
                <w:bCs/>
              </w:rPr>
            </w:pPr>
          </w:p>
        </w:tc>
        <w:tc>
          <w:tcPr>
            <w:tcW w:w="850" w:type="dxa"/>
            <w:gridSpan w:val="2"/>
          </w:tcPr>
          <w:p w14:paraId="0CA1443D"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6B8BBAC5" w14:textId="7F98311E"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6A8915BE"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81415BB" w14:textId="77777777" w:rsidR="00F257E0" w:rsidRPr="007918F1" w:rsidRDefault="00F257E0" w:rsidP="00F257E0">
            <w:pPr>
              <w:pStyle w:val="TableText"/>
              <w:tabs>
                <w:tab w:val="left" w:pos="3306"/>
              </w:tabs>
              <w:jc w:val="right"/>
              <w:rPr>
                <w:rFonts w:cs="Calibri"/>
                <w:bCs/>
              </w:rPr>
            </w:pPr>
          </w:p>
        </w:tc>
      </w:tr>
      <w:tr w:rsidR="00BC2A04" w:rsidRPr="0020314C" w14:paraId="74D7DE50" w14:textId="77777777" w:rsidTr="004D1EC6">
        <w:tc>
          <w:tcPr>
            <w:tcW w:w="1557" w:type="dxa"/>
            <w:tcBorders>
              <w:left w:val="single" w:sz="2" w:space="0" w:color="auto"/>
              <w:right w:val="single" w:sz="2" w:space="0" w:color="auto"/>
            </w:tcBorders>
          </w:tcPr>
          <w:p w14:paraId="454D887D" w14:textId="77777777" w:rsidR="00BC2A04" w:rsidRPr="007918F1" w:rsidRDefault="00BC2A04"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A79F648" w14:textId="58674C01" w:rsidR="00BC2A04" w:rsidRPr="007918F1" w:rsidRDefault="00BC2A04" w:rsidP="00F257E0">
            <w:pPr>
              <w:pStyle w:val="TableText"/>
              <w:tabs>
                <w:tab w:val="left" w:pos="3306"/>
              </w:tabs>
              <w:rPr>
                <w:rFonts w:cs="Calibri"/>
                <w:szCs w:val="16"/>
              </w:rPr>
            </w:pPr>
            <w:r w:rsidRPr="007918F1">
              <w:rPr>
                <w:rFonts w:cs="Calibri"/>
                <w:szCs w:val="16"/>
              </w:rPr>
              <w:t>Receivables</w:t>
            </w:r>
          </w:p>
        </w:tc>
        <w:tc>
          <w:tcPr>
            <w:tcW w:w="850" w:type="dxa"/>
            <w:gridSpan w:val="2"/>
            <w:shd w:val="clear" w:color="auto" w:fill="auto"/>
          </w:tcPr>
          <w:p w14:paraId="43E9FDF3" w14:textId="77777777" w:rsidR="00BC2A04" w:rsidRPr="007918F1" w:rsidRDefault="00BC2A04" w:rsidP="00F257E0">
            <w:pPr>
              <w:pStyle w:val="TableText"/>
              <w:tabs>
                <w:tab w:val="left" w:pos="3306"/>
              </w:tabs>
              <w:jc w:val="right"/>
              <w:rPr>
                <w:rFonts w:cs="Calibri"/>
                <w:bCs/>
              </w:rPr>
            </w:pPr>
          </w:p>
        </w:tc>
        <w:tc>
          <w:tcPr>
            <w:tcW w:w="851" w:type="dxa"/>
            <w:gridSpan w:val="2"/>
            <w:shd w:val="clear" w:color="auto" w:fill="auto"/>
          </w:tcPr>
          <w:p w14:paraId="02C02C4C" w14:textId="77777777" w:rsidR="00BC2A04" w:rsidRPr="007918F1" w:rsidRDefault="00BC2A04" w:rsidP="00F257E0">
            <w:pPr>
              <w:pStyle w:val="TableText"/>
              <w:tabs>
                <w:tab w:val="left" w:pos="3306"/>
              </w:tabs>
              <w:jc w:val="right"/>
              <w:rPr>
                <w:rFonts w:cs="Calibri"/>
                <w:bCs/>
              </w:rPr>
            </w:pPr>
          </w:p>
        </w:tc>
        <w:tc>
          <w:tcPr>
            <w:tcW w:w="850" w:type="dxa"/>
            <w:gridSpan w:val="2"/>
          </w:tcPr>
          <w:p w14:paraId="21700AFF" w14:textId="77777777" w:rsidR="00BC2A04" w:rsidRPr="007918F1" w:rsidRDefault="00BC2A04" w:rsidP="00F257E0">
            <w:pPr>
              <w:pStyle w:val="TableText"/>
              <w:tabs>
                <w:tab w:val="left" w:pos="3306"/>
              </w:tabs>
              <w:jc w:val="right"/>
              <w:rPr>
                <w:rFonts w:cs="Calibri"/>
                <w:bCs/>
              </w:rPr>
            </w:pPr>
          </w:p>
        </w:tc>
        <w:tc>
          <w:tcPr>
            <w:tcW w:w="851" w:type="dxa"/>
            <w:gridSpan w:val="2"/>
            <w:shd w:val="clear" w:color="auto" w:fill="auto"/>
            <w:vAlign w:val="bottom"/>
          </w:tcPr>
          <w:p w14:paraId="626292A2" w14:textId="77777777" w:rsidR="00BC2A04" w:rsidRPr="007918F1" w:rsidRDefault="00BC2A04" w:rsidP="00F257E0">
            <w:pPr>
              <w:pStyle w:val="TableText"/>
              <w:tabs>
                <w:tab w:val="left" w:pos="3306"/>
              </w:tabs>
              <w:jc w:val="right"/>
              <w:rPr>
                <w:rFonts w:cs="Calibri"/>
                <w:bCs/>
              </w:rPr>
            </w:pPr>
          </w:p>
        </w:tc>
        <w:tc>
          <w:tcPr>
            <w:tcW w:w="1134" w:type="dxa"/>
            <w:gridSpan w:val="2"/>
            <w:shd w:val="clear" w:color="auto" w:fill="auto"/>
            <w:vAlign w:val="bottom"/>
          </w:tcPr>
          <w:p w14:paraId="7AA031F5" w14:textId="77777777" w:rsidR="00BC2A04" w:rsidRPr="007918F1" w:rsidRDefault="00BC2A04" w:rsidP="00F257E0">
            <w:pPr>
              <w:pStyle w:val="TableText"/>
              <w:tabs>
                <w:tab w:val="left" w:pos="3306"/>
              </w:tabs>
              <w:jc w:val="right"/>
              <w:rPr>
                <w:rFonts w:cs="Calibri"/>
                <w:bCs/>
              </w:rPr>
            </w:pPr>
          </w:p>
        </w:tc>
        <w:tc>
          <w:tcPr>
            <w:tcW w:w="709" w:type="dxa"/>
            <w:gridSpan w:val="3"/>
            <w:shd w:val="clear" w:color="auto" w:fill="auto"/>
            <w:vAlign w:val="bottom"/>
          </w:tcPr>
          <w:p w14:paraId="6EA96D6D" w14:textId="77777777" w:rsidR="00BC2A04" w:rsidRPr="007918F1" w:rsidRDefault="00BC2A04" w:rsidP="00F257E0">
            <w:pPr>
              <w:pStyle w:val="TableText"/>
              <w:tabs>
                <w:tab w:val="left" w:pos="3306"/>
              </w:tabs>
              <w:jc w:val="right"/>
              <w:rPr>
                <w:rFonts w:cs="Calibri"/>
                <w:bCs/>
              </w:rPr>
            </w:pPr>
          </w:p>
        </w:tc>
      </w:tr>
      <w:tr w:rsidR="00F257E0" w:rsidRPr="0020314C" w14:paraId="2AB5BCEB" w14:textId="77777777" w:rsidTr="004D1EC6">
        <w:tc>
          <w:tcPr>
            <w:tcW w:w="1557" w:type="dxa"/>
            <w:tcBorders>
              <w:left w:val="single" w:sz="2" w:space="0" w:color="auto"/>
              <w:right w:val="single" w:sz="2" w:space="0" w:color="auto"/>
            </w:tcBorders>
          </w:tcPr>
          <w:p w14:paraId="3A2E3E42"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B173CC6" w14:textId="77777777" w:rsidR="00F257E0" w:rsidRPr="007918F1" w:rsidRDefault="00F257E0" w:rsidP="00F257E0">
            <w:pPr>
              <w:pStyle w:val="TableText"/>
              <w:tabs>
                <w:tab w:val="left" w:pos="3306"/>
              </w:tabs>
              <w:rPr>
                <w:rFonts w:cs="Calibri"/>
                <w:szCs w:val="16"/>
              </w:rPr>
            </w:pPr>
            <w:r w:rsidRPr="007918F1">
              <w:rPr>
                <w:rFonts w:cs="Calibri"/>
                <w:szCs w:val="16"/>
              </w:rPr>
              <w:t>Contract Assets</w:t>
            </w:r>
          </w:p>
        </w:tc>
        <w:tc>
          <w:tcPr>
            <w:tcW w:w="850" w:type="dxa"/>
            <w:gridSpan w:val="2"/>
            <w:shd w:val="clear" w:color="auto" w:fill="auto"/>
          </w:tcPr>
          <w:p w14:paraId="658346C1"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83E373F" w14:textId="77777777" w:rsidR="00F257E0" w:rsidRPr="007918F1" w:rsidRDefault="00F257E0" w:rsidP="00F257E0">
            <w:pPr>
              <w:pStyle w:val="TableText"/>
              <w:tabs>
                <w:tab w:val="left" w:pos="3306"/>
              </w:tabs>
              <w:jc w:val="right"/>
              <w:rPr>
                <w:rFonts w:cs="Calibri"/>
                <w:bCs/>
              </w:rPr>
            </w:pPr>
          </w:p>
        </w:tc>
        <w:tc>
          <w:tcPr>
            <w:tcW w:w="850" w:type="dxa"/>
            <w:gridSpan w:val="2"/>
          </w:tcPr>
          <w:p w14:paraId="2482309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5DA63A0" w14:textId="0C75F69A"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262CAECB"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1B3A6808" w14:textId="77777777" w:rsidR="00F257E0" w:rsidRPr="007918F1" w:rsidRDefault="00F257E0" w:rsidP="00F257E0">
            <w:pPr>
              <w:pStyle w:val="TableText"/>
              <w:tabs>
                <w:tab w:val="left" w:pos="3306"/>
              </w:tabs>
              <w:jc w:val="right"/>
              <w:rPr>
                <w:rFonts w:cs="Calibri"/>
                <w:bCs/>
              </w:rPr>
            </w:pPr>
          </w:p>
        </w:tc>
      </w:tr>
      <w:tr w:rsidR="006B5DF1" w:rsidRPr="0020314C" w14:paraId="5E06F343" w14:textId="77777777" w:rsidTr="004D1EC6">
        <w:tc>
          <w:tcPr>
            <w:tcW w:w="1557" w:type="dxa"/>
            <w:tcBorders>
              <w:left w:val="single" w:sz="2" w:space="0" w:color="auto"/>
              <w:right w:val="single" w:sz="2" w:space="0" w:color="auto"/>
            </w:tcBorders>
          </w:tcPr>
          <w:p w14:paraId="7BF9A026" w14:textId="77777777" w:rsidR="006B5DF1" w:rsidRPr="007918F1" w:rsidRDefault="006B5DF1"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281D65B" w14:textId="612EB461" w:rsidR="006B5DF1" w:rsidRPr="007918F1" w:rsidRDefault="006B5DF1" w:rsidP="00F257E0">
            <w:pPr>
              <w:pStyle w:val="TableText"/>
              <w:tabs>
                <w:tab w:val="left" w:pos="3306"/>
              </w:tabs>
              <w:rPr>
                <w:rFonts w:cs="Calibri"/>
                <w:szCs w:val="16"/>
              </w:rPr>
            </w:pPr>
            <w:r w:rsidRPr="007918F1">
              <w:rPr>
                <w:rFonts w:cs="Calibri"/>
                <w:szCs w:val="16"/>
              </w:rPr>
              <w:t>Inventories</w:t>
            </w:r>
          </w:p>
        </w:tc>
        <w:tc>
          <w:tcPr>
            <w:tcW w:w="850" w:type="dxa"/>
            <w:gridSpan w:val="2"/>
            <w:shd w:val="clear" w:color="auto" w:fill="auto"/>
          </w:tcPr>
          <w:p w14:paraId="3A0920F9" w14:textId="77777777" w:rsidR="006B5DF1" w:rsidRPr="007918F1" w:rsidRDefault="006B5DF1" w:rsidP="00F257E0">
            <w:pPr>
              <w:pStyle w:val="TableText"/>
              <w:tabs>
                <w:tab w:val="left" w:pos="3306"/>
              </w:tabs>
              <w:jc w:val="right"/>
              <w:rPr>
                <w:rFonts w:cs="Calibri"/>
                <w:bCs/>
              </w:rPr>
            </w:pPr>
          </w:p>
        </w:tc>
        <w:tc>
          <w:tcPr>
            <w:tcW w:w="851" w:type="dxa"/>
            <w:gridSpan w:val="2"/>
            <w:shd w:val="clear" w:color="auto" w:fill="auto"/>
          </w:tcPr>
          <w:p w14:paraId="0B42C7FA" w14:textId="77777777" w:rsidR="006B5DF1" w:rsidRPr="007918F1" w:rsidRDefault="006B5DF1" w:rsidP="00F257E0">
            <w:pPr>
              <w:pStyle w:val="TableText"/>
              <w:tabs>
                <w:tab w:val="left" w:pos="3306"/>
              </w:tabs>
              <w:jc w:val="right"/>
              <w:rPr>
                <w:rFonts w:cs="Calibri"/>
                <w:bCs/>
              </w:rPr>
            </w:pPr>
          </w:p>
        </w:tc>
        <w:tc>
          <w:tcPr>
            <w:tcW w:w="850" w:type="dxa"/>
            <w:gridSpan w:val="2"/>
          </w:tcPr>
          <w:p w14:paraId="1BFE7B4B" w14:textId="77777777" w:rsidR="006B5DF1" w:rsidRPr="007918F1" w:rsidRDefault="006B5DF1" w:rsidP="00F257E0">
            <w:pPr>
              <w:pStyle w:val="TableText"/>
              <w:tabs>
                <w:tab w:val="left" w:pos="3306"/>
              </w:tabs>
              <w:jc w:val="right"/>
              <w:rPr>
                <w:rFonts w:cs="Calibri"/>
                <w:bCs/>
              </w:rPr>
            </w:pPr>
          </w:p>
        </w:tc>
        <w:tc>
          <w:tcPr>
            <w:tcW w:w="851" w:type="dxa"/>
            <w:gridSpan w:val="2"/>
            <w:shd w:val="clear" w:color="auto" w:fill="auto"/>
            <w:vAlign w:val="bottom"/>
          </w:tcPr>
          <w:p w14:paraId="0CCCABF0" w14:textId="77777777" w:rsidR="006B5DF1" w:rsidRPr="007918F1" w:rsidRDefault="006B5DF1" w:rsidP="00F257E0">
            <w:pPr>
              <w:pStyle w:val="TableText"/>
              <w:tabs>
                <w:tab w:val="left" w:pos="3306"/>
              </w:tabs>
              <w:jc w:val="right"/>
              <w:rPr>
                <w:rFonts w:cs="Calibri"/>
                <w:bCs/>
              </w:rPr>
            </w:pPr>
          </w:p>
        </w:tc>
        <w:tc>
          <w:tcPr>
            <w:tcW w:w="1134" w:type="dxa"/>
            <w:gridSpan w:val="2"/>
            <w:shd w:val="clear" w:color="auto" w:fill="auto"/>
            <w:vAlign w:val="bottom"/>
          </w:tcPr>
          <w:p w14:paraId="22ECD8CD" w14:textId="77777777" w:rsidR="006B5DF1" w:rsidRPr="007918F1" w:rsidRDefault="006B5DF1" w:rsidP="00F257E0">
            <w:pPr>
              <w:pStyle w:val="TableText"/>
              <w:tabs>
                <w:tab w:val="left" w:pos="3306"/>
              </w:tabs>
              <w:jc w:val="right"/>
              <w:rPr>
                <w:rFonts w:cs="Calibri"/>
                <w:bCs/>
              </w:rPr>
            </w:pPr>
          </w:p>
        </w:tc>
        <w:tc>
          <w:tcPr>
            <w:tcW w:w="709" w:type="dxa"/>
            <w:gridSpan w:val="3"/>
            <w:shd w:val="clear" w:color="auto" w:fill="auto"/>
            <w:vAlign w:val="bottom"/>
          </w:tcPr>
          <w:p w14:paraId="7345F64E" w14:textId="77777777" w:rsidR="006B5DF1" w:rsidRPr="007918F1" w:rsidRDefault="006B5DF1" w:rsidP="00F257E0">
            <w:pPr>
              <w:pStyle w:val="TableText"/>
              <w:tabs>
                <w:tab w:val="left" w:pos="3306"/>
              </w:tabs>
              <w:jc w:val="right"/>
              <w:rPr>
                <w:rFonts w:cs="Calibri"/>
                <w:bCs/>
              </w:rPr>
            </w:pPr>
          </w:p>
        </w:tc>
      </w:tr>
      <w:tr w:rsidR="00F257E0" w:rsidRPr="0020314C" w14:paraId="0D34951E" w14:textId="77777777" w:rsidTr="004D1EC6">
        <w:tc>
          <w:tcPr>
            <w:tcW w:w="1557" w:type="dxa"/>
            <w:tcBorders>
              <w:left w:val="single" w:sz="2" w:space="0" w:color="auto"/>
              <w:right w:val="single" w:sz="2" w:space="0" w:color="auto"/>
            </w:tcBorders>
          </w:tcPr>
          <w:p w14:paraId="191D5E30"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6B3109C" w14:textId="77777777" w:rsidR="00F257E0" w:rsidRPr="007918F1" w:rsidRDefault="00F257E0" w:rsidP="00F257E0">
            <w:pPr>
              <w:pStyle w:val="TableText"/>
              <w:tabs>
                <w:tab w:val="left" w:pos="3306"/>
              </w:tabs>
              <w:rPr>
                <w:rFonts w:cs="Calibri"/>
                <w:szCs w:val="16"/>
              </w:rPr>
            </w:pPr>
            <w:r w:rsidRPr="007918F1">
              <w:rPr>
                <w:rFonts w:cs="Calibri"/>
                <w:szCs w:val="16"/>
              </w:rPr>
              <w:t>Investment – Joint Venture</w:t>
            </w:r>
          </w:p>
        </w:tc>
        <w:tc>
          <w:tcPr>
            <w:tcW w:w="850" w:type="dxa"/>
            <w:gridSpan w:val="2"/>
            <w:shd w:val="clear" w:color="auto" w:fill="auto"/>
          </w:tcPr>
          <w:p w14:paraId="6E90FAD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AF4504A" w14:textId="77777777" w:rsidR="00F257E0" w:rsidRPr="007918F1" w:rsidRDefault="00F257E0" w:rsidP="00F257E0">
            <w:pPr>
              <w:pStyle w:val="TableText"/>
              <w:tabs>
                <w:tab w:val="left" w:pos="3306"/>
              </w:tabs>
              <w:jc w:val="right"/>
              <w:rPr>
                <w:rFonts w:cs="Calibri"/>
                <w:bCs/>
              </w:rPr>
            </w:pPr>
          </w:p>
        </w:tc>
        <w:tc>
          <w:tcPr>
            <w:tcW w:w="850" w:type="dxa"/>
            <w:gridSpan w:val="2"/>
          </w:tcPr>
          <w:p w14:paraId="4C344C61"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9B911A9" w14:textId="318EBEA3"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6BE72DA6"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1ECF2E6C" w14:textId="77777777" w:rsidR="00F257E0" w:rsidRPr="007918F1" w:rsidRDefault="00F257E0" w:rsidP="00F257E0">
            <w:pPr>
              <w:pStyle w:val="TableText"/>
              <w:tabs>
                <w:tab w:val="left" w:pos="3306"/>
              </w:tabs>
              <w:jc w:val="right"/>
              <w:rPr>
                <w:rFonts w:cs="Calibri"/>
                <w:bCs/>
              </w:rPr>
            </w:pPr>
          </w:p>
        </w:tc>
      </w:tr>
      <w:tr w:rsidR="00F257E0" w:rsidRPr="0020314C" w14:paraId="301F98DE" w14:textId="77777777" w:rsidTr="004D1EC6">
        <w:tc>
          <w:tcPr>
            <w:tcW w:w="1557" w:type="dxa"/>
            <w:tcBorders>
              <w:left w:val="single" w:sz="2" w:space="0" w:color="auto"/>
              <w:right w:val="single" w:sz="2" w:space="0" w:color="auto"/>
            </w:tcBorders>
          </w:tcPr>
          <w:p w14:paraId="354955FF"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974F705" w14:textId="77777777" w:rsidR="00F257E0" w:rsidRPr="007918F1" w:rsidRDefault="00F257E0" w:rsidP="00F257E0">
            <w:pPr>
              <w:pStyle w:val="TableText"/>
              <w:tabs>
                <w:tab w:val="left" w:pos="3306"/>
              </w:tabs>
              <w:rPr>
                <w:rFonts w:cs="Calibri"/>
                <w:szCs w:val="16"/>
              </w:rPr>
            </w:pPr>
            <w:r w:rsidRPr="007918F1">
              <w:rPr>
                <w:rFonts w:cs="Calibri"/>
                <w:szCs w:val="16"/>
              </w:rPr>
              <w:t>Property, Plant and Equipment</w:t>
            </w:r>
          </w:p>
        </w:tc>
        <w:tc>
          <w:tcPr>
            <w:tcW w:w="850" w:type="dxa"/>
            <w:gridSpan w:val="2"/>
            <w:shd w:val="clear" w:color="auto" w:fill="auto"/>
          </w:tcPr>
          <w:p w14:paraId="77355D6B"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554DD392" w14:textId="77777777" w:rsidR="00F257E0" w:rsidRPr="007918F1" w:rsidRDefault="00F257E0" w:rsidP="00F257E0">
            <w:pPr>
              <w:pStyle w:val="TableText"/>
              <w:tabs>
                <w:tab w:val="left" w:pos="3306"/>
              </w:tabs>
              <w:jc w:val="right"/>
              <w:rPr>
                <w:rFonts w:cs="Calibri"/>
                <w:bCs/>
              </w:rPr>
            </w:pPr>
          </w:p>
        </w:tc>
        <w:tc>
          <w:tcPr>
            <w:tcW w:w="850" w:type="dxa"/>
            <w:gridSpan w:val="2"/>
          </w:tcPr>
          <w:p w14:paraId="2AC0A9DA"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25BA7211" w14:textId="0D6304ED" w:rsidR="00F257E0" w:rsidRPr="007918F1" w:rsidRDefault="00F257E0" w:rsidP="00F257E0">
            <w:pPr>
              <w:pStyle w:val="TableText"/>
              <w:tabs>
                <w:tab w:val="left" w:pos="3306"/>
              </w:tabs>
              <w:jc w:val="right"/>
              <w:rPr>
                <w:rFonts w:cs="Calibri"/>
                <w:bCs/>
              </w:rPr>
            </w:pPr>
          </w:p>
        </w:tc>
        <w:tc>
          <w:tcPr>
            <w:tcW w:w="1134" w:type="dxa"/>
            <w:gridSpan w:val="2"/>
            <w:shd w:val="clear" w:color="auto" w:fill="auto"/>
          </w:tcPr>
          <w:p w14:paraId="7CB6AA79"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tcPr>
          <w:p w14:paraId="06B6DBEC" w14:textId="77777777" w:rsidR="00F257E0" w:rsidRPr="007918F1" w:rsidRDefault="00F257E0" w:rsidP="00F257E0">
            <w:pPr>
              <w:pStyle w:val="TableText"/>
              <w:tabs>
                <w:tab w:val="left" w:pos="3306"/>
              </w:tabs>
              <w:jc w:val="right"/>
              <w:rPr>
                <w:rFonts w:cs="Calibri"/>
                <w:bCs/>
              </w:rPr>
            </w:pPr>
          </w:p>
        </w:tc>
      </w:tr>
      <w:tr w:rsidR="00F257E0" w:rsidRPr="0020314C" w14:paraId="4A521E33" w14:textId="77777777" w:rsidTr="004D1EC6">
        <w:tc>
          <w:tcPr>
            <w:tcW w:w="1557" w:type="dxa"/>
            <w:tcBorders>
              <w:left w:val="single" w:sz="2" w:space="0" w:color="auto"/>
              <w:right w:val="single" w:sz="2" w:space="0" w:color="auto"/>
            </w:tcBorders>
          </w:tcPr>
          <w:p w14:paraId="473855F6"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746ABFC" w14:textId="77777777" w:rsidR="00F257E0" w:rsidRPr="007918F1" w:rsidRDefault="00F257E0" w:rsidP="00F257E0">
            <w:pPr>
              <w:pStyle w:val="TableText"/>
              <w:tabs>
                <w:tab w:val="left" w:pos="3306"/>
              </w:tabs>
              <w:rPr>
                <w:rFonts w:cs="Calibri"/>
                <w:szCs w:val="16"/>
              </w:rPr>
            </w:pPr>
            <w:r w:rsidRPr="007918F1">
              <w:rPr>
                <w:rFonts w:cs="Calibri"/>
                <w:szCs w:val="16"/>
              </w:rPr>
              <w:t>Investment Properties</w:t>
            </w:r>
          </w:p>
        </w:tc>
        <w:tc>
          <w:tcPr>
            <w:tcW w:w="850" w:type="dxa"/>
            <w:gridSpan w:val="2"/>
            <w:shd w:val="clear" w:color="auto" w:fill="auto"/>
          </w:tcPr>
          <w:p w14:paraId="4D40D8C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BC9629F" w14:textId="77777777" w:rsidR="00F257E0" w:rsidRPr="007918F1" w:rsidRDefault="00F257E0" w:rsidP="00F257E0">
            <w:pPr>
              <w:pStyle w:val="TableText"/>
              <w:tabs>
                <w:tab w:val="left" w:pos="3306"/>
              </w:tabs>
              <w:jc w:val="right"/>
              <w:rPr>
                <w:rFonts w:cs="Calibri"/>
                <w:bCs/>
              </w:rPr>
            </w:pPr>
          </w:p>
        </w:tc>
        <w:tc>
          <w:tcPr>
            <w:tcW w:w="850" w:type="dxa"/>
            <w:gridSpan w:val="2"/>
          </w:tcPr>
          <w:p w14:paraId="1F2046CF"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7D9522B" w14:textId="3C40DB0D"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3731FE62"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13F8C960" w14:textId="77777777" w:rsidR="00F257E0" w:rsidRPr="007918F1" w:rsidRDefault="00F257E0" w:rsidP="00F257E0">
            <w:pPr>
              <w:pStyle w:val="TableText"/>
              <w:tabs>
                <w:tab w:val="left" w:pos="3306"/>
              </w:tabs>
              <w:jc w:val="right"/>
              <w:rPr>
                <w:rFonts w:cs="Calibri"/>
                <w:bCs/>
              </w:rPr>
            </w:pPr>
          </w:p>
        </w:tc>
      </w:tr>
      <w:tr w:rsidR="00F257E0" w:rsidRPr="0020314C" w14:paraId="78D60457" w14:textId="77777777" w:rsidTr="004D1EC6">
        <w:tc>
          <w:tcPr>
            <w:tcW w:w="1557" w:type="dxa"/>
            <w:tcBorders>
              <w:left w:val="single" w:sz="2" w:space="0" w:color="auto"/>
              <w:right w:val="single" w:sz="2" w:space="0" w:color="auto"/>
            </w:tcBorders>
          </w:tcPr>
          <w:p w14:paraId="4B5D587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7173062" w14:textId="77777777" w:rsidR="00F257E0" w:rsidRPr="007918F1" w:rsidRDefault="00F257E0" w:rsidP="00F257E0">
            <w:pPr>
              <w:pStyle w:val="TableText"/>
              <w:tabs>
                <w:tab w:val="left" w:pos="3306"/>
              </w:tabs>
              <w:rPr>
                <w:rFonts w:cs="Calibri"/>
                <w:szCs w:val="16"/>
              </w:rPr>
            </w:pPr>
            <w:r w:rsidRPr="007918F1">
              <w:rPr>
                <w:rFonts w:cs="Calibri"/>
                <w:szCs w:val="16"/>
              </w:rPr>
              <w:t>Intangible Assets</w:t>
            </w:r>
          </w:p>
        </w:tc>
        <w:tc>
          <w:tcPr>
            <w:tcW w:w="850" w:type="dxa"/>
            <w:gridSpan w:val="2"/>
            <w:shd w:val="clear" w:color="auto" w:fill="auto"/>
          </w:tcPr>
          <w:p w14:paraId="2FA7FC10"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5A7DD132" w14:textId="77777777" w:rsidR="00F257E0" w:rsidRPr="007918F1" w:rsidRDefault="00F257E0" w:rsidP="00F257E0">
            <w:pPr>
              <w:pStyle w:val="TableText"/>
              <w:tabs>
                <w:tab w:val="left" w:pos="3306"/>
              </w:tabs>
              <w:jc w:val="right"/>
              <w:rPr>
                <w:rFonts w:cs="Calibri"/>
                <w:bCs/>
              </w:rPr>
            </w:pPr>
          </w:p>
        </w:tc>
        <w:tc>
          <w:tcPr>
            <w:tcW w:w="850" w:type="dxa"/>
            <w:gridSpan w:val="2"/>
          </w:tcPr>
          <w:p w14:paraId="78152D3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7CF4DC6" w14:textId="344938C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56E759E7"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0470DCDF" w14:textId="77777777" w:rsidR="00F257E0" w:rsidRPr="007918F1" w:rsidRDefault="00F257E0" w:rsidP="00F257E0">
            <w:pPr>
              <w:pStyle w:val="TableText"/>
              <w:tabs>
                <w:tab w:val="left" w:pos="3306"/>
              </w:tabs>
              <w:jc w:val="right"/>
              <w:rPr>
                <w:rFonts w:cs="Calibri"/>
                <w:bCs/>
              </w:rPr>
            </w:pPr>
          </w:p>
        </w:tc>
      </w:tr>
      <w:tr w:rsidR="00F257E0" w:rsidRPr="0020314C" w14:paraId="0034399F" w14:textId="77777777" w:rsidTr="004D1EC6">
        <w:tc>
          <w:tcPr>
            <w:tcW w:w="1557" w:type="dxa"/>
            <w:tcBorders>
              <w:left w:val="single" w:sz="2" w:space="0" w:color="auto"/>
              <w:right w:val="single" w:sz="2" w:space="0" w:color="auto"/>
            </w:tcBorders>
          </w:tcPr>
          <w:p w14:paraId="457179B0"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D5626FC" w14:textId="77777777" w:rsidR="00F257E0" w:rsidRPr="007918F1" w:rsidRDefault="00F257E0" w:rsidP="00F257E0">
            <w:pPr>
              <w:pStyle w:val="TableText"/>
              <w:tabs>
                <w:tab w:val="left" w:pos="3306"/>
              </w:tabs>
              <w:rPr>
                <w:rFonts w:cs="Calibri"/>
                <w:szCs w:val="16"/>
              </w:rPr>
            </w:pPr>
            <w:r w:rsidRPr="007918F1">
              <w:rPr>
                <w:rFonts w:cs="Calibri"/>
                <w:szCs w:val="16"/>
              </w:rPr>
              <w:t>Capital Works in Progress</w:t>
            </w:r>
          </w:p>
        </w:tc>
        <w:tc>
          <w:tcPr>
            <w:tcW w:w="850" w:type="dxa"/>
            <w:gridSpan w:val="2"/>
            <w:shd w:val="clear" w:color="auto" w:fill="auto"/>
          </w:tcPr>
          <w:p w14:paraId="5D22676A"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0BE62D7F" w14:textId="77777777" w:rsidR="00F257E0" w:rsidRPr="007918F1" w:rsidRDefault="00F257E0" w:rsidP="00F257E0">
            <w:pPr>
              <w:pStyle w:val="TableText"/>
              <w:tabs>
                <w:tab w:val="left" w:pos="3306"/>
              </w:tabs>
              <w:jc w:val="right"/>
              <w:rPr>
                <w:rFonts w:cs="Calibri"/>
                <w:bCs/>
              </w:rPr>
            </w:pPr>
          </w:p>
        </w:tc>
        <w:tc>
          <w:tcPr>
            <w:tcW w:w="850" w:type="dxa"/>
            <w:gridSpan w:val="2"/>
          </w:tcPr>
          <w:p w14:paraId="1C8CF620"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86C0867" w14:textId="5F74BD3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038B11CB"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093638F8" w14:textId="77777777" w:rsidR="00F257E0" w:rsidRPr="007918F1" w:rsidRDefault="00F257E0" w:rsidP="00F257E0">
            <w:pPr>
              <w:pStyle w:val="TableText"/>
              <w:tabs>
                <w:tab w:val="left" w:pos="3306"/>
              </w:tabs>
              <w:jc w:val="right"/>
              <w:rPr>
                <w:rFonts w:cs="Calibri"/>
                <w:bCs/>
              </w:rPr>
            </w:pPr>
          </w:p>
        </w:tc>
      </w:tr>
      <w:tr w:rsidR="00F257E0" w:rsidRPr="0020314C" w14:paraId="22868F46" w14:textId="77777777" w:rsidTr="004D1EC6">
        <w:tc>
          <w:tcPr>
            <w:tcW w:w="1557" w:type="dxa"/>
            <w:tcBorders>
              <w:left w:val="single" w:sz="2" w:space="0" w:color="auto"/>
              <w:right w:val="single" w:sz="2" w:space="0" w:color="auto"/>
            </w:tcBorders>
          </w:tcPr>
          <w:p w14:paraId="6E932CBA"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F27BC9B" w14:textId="77777777" w:rsidR="00F257E0" w:rsidRPr="007918F1" w:rsidRDefault="00F257E0" w:rsidP="00F257E0">
            <w:pPr>
              <w:pStyle w:val="TableText"/>
              <w:tabs>
                <w:tab w:val="left" w:pos="3306"/>
              </w:tabs>
              <w:rPr>
                <w:rFonts w:cs="Calibri"/>
                <w:szCs w:val="16"/>
              </w:rPr>
            </w:pPr>
            <w:r w:rsidRPr="007918F1">
              <w:rPr>
                <w:rFonts w:cs="Calibri"/>
                <w:szCs w:val="16"/>
              </w:rPr>
              <w:t>Other Assets</w:t>
            </w:r>
          </w:p>
        </w:tc>
        <w:tc>
          <w:tcPr>
            <w:tcW w:w="850" w:type="dxa"/>
            <w:gridSpan w:val="2"/>
            <w:tcBorders>
              <w:bottom w:val="single" w:sz="2" w:space="0" w:color="auto"/>
            </w:tcBorders>
            <w:shd w:val="clear" w:color="auto" w:fill="auto"/>
          </w:tcPr>
          <w:p w14:paraId="527B50DD"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5FD9FDDB"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1303786B"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48ECB704" w14:textId="66CAF41A"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3C35E2FB"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7A517871" w14:textId="77777777" w:rsidR="00F257E0" w:rsidRPr="007918F1" w:rsidRDefault="00F257E0" w:rsidP="00F257E0">
            <w:pPr>
              <w:pStyle w:val="TableText"/>
              <w:tabs>
                <w:tab w:val="left" w:pos="3306"/>
              </w:tabs>
              <w:jc w:val="right"/>
              <w:rPr>
                <w:rFonts w:cs="Calibri"/>
                <w:bCs/>
              </w:rPr>
            </w:pPr>
          </w:p>
        </w:tc>
      </w:tr>
      <w:tr w:rsidR="00F257E0" w:rsidRPr="00E34168" w14:paraId="50511297" w14:textId="77777777" w:rsidTr="004D1EC6">
        <w:tc>
          <w:tcPr>
            <w:tcW w:w="1557" w:type="dxa"/>
            <w:tcBorders>
              <w:left w:val="single" w:sz="2" w:space="0" w:color="auto"/>
              <w:right w:val="single" w:sz="2" w:space="0" w:color="auto"/>
            </w:tcBorders>
          </w:tcPr>
          <w:p w14:paraId="1F332C99"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942BDF4" w14:textId="77777777" w:rsidR="00F257E0" w:rsidRPr="007918F1" w:rsidRDefault="00F257E0" w:rsidP="00F257E0">
            <w:pPr>
              <w:pStyle w:val="TableText"/>
              <w:tabs>
                <w:tab w:val="left" w:pos="3306"/>
              </w:tabs>
              <w:rPr>
                <w:rFonts w:cs="Calibri"/>
                <w:b/>
                <w:szCs w:val="16"/>
              </w:rPr>
            </w:pPr>
            <w:r w:rsidRPr="007918F1">
              <w:rPr>
                <w:rFonts w:cs="Calibri"/>
                <w:b/>
                <w:szCs w:val="16"/>
              </w:rPr>
              <w:t>Total Non-Current Assets</w:t>
            </w:r>
          </w:p>
        </w:tc>
        <w:tc>
          <w:tcPr>
            <w:tcW w:w="850" w:type="dxa"/>
            <w:gridSpan w:val="2"/>
            <w:tcBorders>
              <w:top w:val="single" w:sz="2" w:space="0" w:color="auto"/>
            </w:tcBorders>
            <w:shd w:val="clear" w:color="auto" w:fill="auto"/>
          </w:tcPr>
          <w:p w14:paraId="607E0158" w14:textId="77777777" w:rsidR="00F257E0" w:rsidRPr="007918F1" w:rsidRDefault="00F257E0" w:rsidP="00F257E0">
            <w:pPr>
              <w:pStyle w:val="TableText"/>
              <w:tabs>
                <w:tab w:val="left" w:pos="3306"/>
              </w:tabs>
              <w:jc w:val="right"/>
              <w:rPr>
                <w:rFonts w:cs="Calibri"/>
                <w:b/>
                <w:bCs/>
                <w:strike/>
              </w:rPr>
            </w:pPr>
          </w:p>
        </w:tc>
        <w:tc>
          <w:tcPr>
            <w:tcW w:w="851" w:type="dxa"/>
            <w:gridSpan w:val="2"/>
            <w:tcBorders>
              <w:top w:val="single" w:sz="2" w:space="0" w:color="auto"/>
            </w:tcBorders>
            <w:shd w:val="clear" w:color="auto" w:fill="auto"/>
          </w:tcPr>
          <w:p w14:paraId="5D0686A7"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3DD20B5C"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5E688DE8" w14:textId="072F54BA"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6C18E3EE"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11ED1BD2" w14:textId="77777777" w:rsidR="00F257E0" w:rsidRPr="007918F1" w:rsidRDefault="00F257E0" w:rsidP="00F257E0">
            <w:pPr>
              <w:pStyle w:val="TableText"/>
              <w:tabs>
                <w:tab w:val="left" w:pos="3306"/>
              </w:tabs>
              <w:jc w:val="right"/>
              <w:rPr>
                <w:rFonts w:cs="Calibri"/>
                <w:b/>
                <w:bCs/>
              </w:rPr>
            </w:pPr>
          </w:p>
        </w:tc>
      </w:tr>
      <w:tr w:rsidR="00F257E0" w:rsidRPr="0020314C" w14:paraId="72174D66" w14:textId="77777777" w:rsidTr="004D1EC6">
        <w:trPr>
          <w:trHeight w:hRule="exact" w:val="170"/>
        </w:trPr>
        <w:tc>
          <w:tcPr>
            <w:tcW w:w="1557" w:type="dxa"/>
            <w:tcBorders>
              <w:left w:val="single" w:sz="2" w:space="0" w:color="auto"/>
              <w:right w:val="single" w:sz="2" w:space="0" w:color="auto"/>
            </w:tcBorders>
          </w:tcPr>
          <w:p w14:paraId="514319C0"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63FAE00" w14:textId="77777777" w:rsidR="00F257E0" w:rsidRPr="007918F1" w:rsidRDefault="00F257E0" w:rsidP="00F257E0">
            <w:pPr>
              <w:pStyle w:val="TableText"/>
              <w:tabs>
                <w:tab w:val="left" w:pos="3306"/>
              </w:tabs>
              <w:rPr>
                <w:rFonts w:cs="Calibri"/>
                <w:szCs w:val="16"/>
              </w:rPr>
            </w:pPr>
          </w:p>
        </w:tc>
        <w:tc>
          <w:tcPr>
            <w:tcW w:w="850" w:type="dxa"/>
            <w:gridSpan w:val="2"/>
            <w:tcBorders>
              <w:bottom w:val="single" w:sz="2" w:space="0" w:color="auto"/>
            </w:tcBorders>
            <w:shd w:val="clear" w:color="auto" w:fill="auto"/>
          </w:tcPr>
          <w:p w14:paraId="2402E1E9"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1DA16C0E"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35D7FA5A"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54BB28B4" w14:textId="3E0A8D35"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2B157681"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71700907" w14:textId="77777777" w:rsidR="00F257E0" w:rsidRPr="007918F1" w:rsidRDefault="00F257E0" w:rsidP="00F257E0">
            <w:pPr>
              <w:pStyle w:val="TableText"/>
              <w:tabs>
                <w:tab w:val="left" w:pos="3306"/>
              </w:tabs>
              <w:jc w:val="right"/>
              <w:rPr>
                <w:rFonts w:cs="Calibri"/>
                <w:bCs/>
              </w:rPr>
            </w:pPr>
          </w:p>
        </w:tc>
      </w:tr>
      <w:tr w:rsidR="00F257E0" w:rsidRPr="0020314C" w14:paraId="1C0FF8A2" w14:textId="77777777" w:rsidTr="004D1EC6">
        <w:tc>
          <w:tcPr>
            <w:tcW w:w="1557" w:type="dxa"/>
            <w:tcBorders>
              <w:left w:val="single" w:sz="2" w:space="0" w:color="auto"/>
              <w:right w:val="single" w:sz="2" w:space="0" w:color="auto"/>
            </w:tcBorders>
          </w:tcPr>
          <w:p w14:paraId="030125A3"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E0DA120" w14:textId="77777777" w:rsidR="00F257E0" w:rsidRPr="007918F1" w:rsidRDefault="00F257E0" w:rsidP="00F257E0">
            <w:pPr>
              <w:pStyle w:val="TableText"/>
              <w:tabs>
                <w:tab w:val="left" w:pos="3306"/>
              </w:tabs>
              <w:rPr>
                <w:rFonts w:cs="Calibri"/>
                <w:b/>
                <w:szCs w:val="16"/>
              </w:rPr>
            </w:pPr>
            <w:r w:rsidRPr="007918F1">
              <w:rPr>
                <w:rFonts w:cs="Calibri"/>
                <w:b/>
                <w:szCs w:val="16"/>
              </w:rPr>
              <w:t>Total Assets</w:t>
            </w:r>
          </w:p>
        </w:tc>
        <w:tc>
          <w:tcPr>
            <w:tcW w:w="850" w:type="dxa"/>
            <w:gridSpan w:val="2"/>
            <w:tcBorders>
              <w:top w:val="single" w:sz="2" w:space="0" w:color="auto"/>
              <w:bottom w:val="single" w:sz="2" w:space="0" w:color="auto"/>
            </w:tcBorders>
            <w:shd w:val="clear" w:color="auto" w:fill="auto"/>
          </w:tcPr>
          <w:p w14:paraId="4BEB2A55"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tcPr>
          <w:p w14:paraId="17C3EA54"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1D9BB5EF"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52015E20" w14:textId="39AC2F34"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1984C1A7"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bottom w:val="single" w:sz="2" w:space="0" w:color="auto"/>
            </w:tcBorders>
            <w:shd w:val="clear" w:color="auto" w:fill="auto"/>
            <w:vAlign w:val="bottom"/>
          </w:tcPr>
          <w:p w14:paraId="1505D6D9" w14:textId="77777777" w:rsidR="00F257E0" w:rsidRPr="007918F1" w:rsidRDefault="00F257E0" w:rsidP="00F257E0">
            <w:pPr>
              <w:pStyle w:val="TableText"/>
              <w:tabs>
                <w:tab w:val="left" w:pos="3306"/>
              </w:tabs>
              <w:jc w:val="right"/>
              <w:rPr>
                <w:rFonts w:cs="Calibri"/>
                <w:b/>
                <w:bCs/>
              </w:rPr>
            </w:pPr>
          </w:p>
        </w:tc>
      </w:tr>
      <w:tr w:rsidR="00F257E0" w:rsidRPr="0020314C" w14:paraId="3836C83F" w14:textId="77777777" w:rsidTr="004D1EC6">
        <w:trPr>
          <w:trHeight w:hRule="exact" w:val="170"/>
        </w:trPr>
        <w:tc>
          <w:tcPr>
            <w:tcW w:w="1557" w:type="dxa"/>
            <w:tcBorders>
              <w:left w:val="single" w:sz="2" w:space="0" w:color="auto"/>
              <w:right w:val="single" w:sz="2" w:space="0" w:color="auto"/>
            </w:tcBorders>
          </w:tcPr>
          <w:p w14:paraId="2BC2225D"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1AD1683" w14:textId="77777777" w:rsidR="00F257E0" w:rsidRPr="007918F1" w:rsidRDefault="00F257E0" w:rsidP="00F257E0">
            <w:pPr>
              <w:pStyle w:val="TableText"/>
              <w:tabs>
                <w:tab w:val="left" w:pos="3306"/>
              </w:tabs>
              <w:rPr>
                <w:rFonts w:cs="Calibri"/>
                <w:szCs w:val="16"/>
              </w:rPr>
            </w:pPr>
          </w:p>
        </w:tc>
        <w:tc>
          <w:tcPr>
            <w:tcW w:w="850" w:type="dxa"/>
            <w:gridSpan w:val="2"/>
            <w:tcBorders>
              <w:top w:val="single" w:sz="2" w:space="0" w:color="auto"/>
            </w:tcBorders>
            <w:shd w:val="clear" w:color="auto" w:fill="auto"/>
          </w:tcPr>
          <w:p w14:paraId="7845796D"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1C5042A3"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70A7F052"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4E191A64" w14:textId="799F55B5"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34164A7E"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56348748" w14:textId="77777777" w:rsidR="00F257E0" w:rsidRPr="007918F1" w:rsidRDefault="00F257E0" w:rsidP="00F257E0">
            <w:pPr>
              <w:pStyle w:val="TableText"/>
              <w:tabs>
                <w:tab w:val="left" w:pos="3306"/>
              </w:tabs>
              <w:jc w:val="right"/>
              <w:rPr>
                <w:rFonts w:cs="Calibri"/>
                <w:b/>
                <w:bCs/>
              </w:rPr>
            </w:pPr>
          </w:p>
        </w:tc>
      </w:tr>
      <w:tr w:rsidR="00F257E0" w:rsidRPr="0020314C" w14:paraId="36077CAA" w14:textId="77777777" w:rsidTr="004D1EC6">
        <w:tc>
          <w:tcPr>
            <w:tcW w:w="1557" w:type="dxa"/>
            <w:tcBorders>
              <w:left w:val="single" w:sz="2" w:space="0" w:color="auto"/>
              <w:right w:val="single" w:sz="2" w:space="0" w:color="auto"/>
            </w:tcBorders>
          </w:tcPr>
          <w:p w14:paraId="28ACF2BA"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DE89B3F" w14:textId="77777777" w:rsidR="00F257E0" w:rsidRPr="007918F1" w:rsidRDefault="00F257E0" w:rsidP="00F257E0">
            <w:pPr>
              <w:pStyle w:val="TableText"/>
              <w:tabs>
                <w:tab w:val="left" w:pos="3306"/>
              </w:tabs>
              <w:rPr>
                <w:rFonts w:cs="Calibri"/>
                <w:b/>
                <w:szCs w:val="16"/>
              </w:rPr>
            </w:pPr>
            <w:r w:rsidRPr="007918F1">
              <w:rPr>
                <w:rFonts w:cs="Calibri"/>
                <w:b/>
                <w:szCs w:val="16"/>
              </w:rPr>
              <w:t>Current Liabilities</w:t>
            </w:r>
          </w:p>
        </w:tc>
        <w:tc>
          <w:tcPr>
            <w:tcW w:w="850" w:type="dxa"/>
            <w:gridSpan w:val="2"/>
            <w:shd w:val="clear" w:color="auto" w:fill="auto"/>
          </w:tcPr>
          <w:p w14:paraId="2F9872EA"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067D493D" w14:textId="77777777" w:rsidR="00F257E0" w:rsidRPr="007918F1" w:rsidRDefault="00F257E0" w:rsidP="00F257E0">
            <w:pPr>
              <w:pStyle w:val="TableText"/>
              <w:tabs>
                <w:tab w:val="left" w:pos="3306"/>
              </w:tabs>
              <w:jc w:val="right"/>
              <w:rPr>
                <w:rFonts w:cs="Calibri"/>
                <w:b/>
                <w:bCs/>
              </w:rPr>
            </w:pPr>
          </w:p>
        </w:tc>
        <w:tc>
          <w:tcPr>
            <w:tcW w:w="850" w:type="dxa"/>
            <w:gridSpan w:val="2"/>
          </w:tcPr>
          <w:p w14:paraId="31303A75"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0F6F4E8D" w14:textId="75BB6575"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3C254333" w14:textId="77777777" w:rsidR="00F257E0" w:rsidRPr="007918F1" w:rsidRDefault="00F257E0" w:rsidP="00F257E0">
            <w:pPr>
              <w:pStyle w:val="TableText"/>
              <w:tabs>
                <w:tab w:val="left" w:pos="3306"/>
              </w:tabs>
              <w:jc w:val="right"/>
              <w:rPr>
                <w:rFonts w:cs="Calibri"/>
                <w:b/>
                <w:bCs/>
              </w:rPr>
            </w:pPr>
          </w:p>
        </w:tc>
        <w:tc>
          <w:tcPr>
            <w:tcW w:w="709" w:type="dxa"/>
            <w:gridSpan w:val="3"/>
            <w:shd w:val="clear" w:color="auto" w:fill="auto"/>
            <w:vAlign w:val="bottom"/>
          </w:tcPr>
          <w:p w14:paraId="7C8FDC68" w14:textId="77777777" w:rsidR="00F257E0" w:rsidRPr="007918F1" w:rsidRDefault="00F257E0" w:rsidP="00F257E0">
            <w:pPr>
              <w:pStyle w:val="TableText"/>
              <w:tabs>
                <w:tab w:val="left" w:pos="3306"/>
              </w:tabs>
              <w:jc w:val="right"/>
              <w:rPr>
                <w:rFonts w:cs="Calibri"/>
                <w:b/>
                <w:bCs/>
              </w:rPr>
            </w:pPr>
          </w:p>
        </w:tc>
      </w:tr>
      <w:tr w:rsidR="00F257E0" w:rsidRPr="0020314C" w14:paraId="31486844" w14:textId="77777777" w:rsidTr="004D1EC6">
        <w:tc>
          <w:tcPr>
            <w:tcW w:w="1557" w:type="dxa"/>
            <w:tcBorders>
              <w:left w:val="single" w:sz="2" w:space="0" w:color="auto"/>
              <w:right w:val="single" w:sz="2" w:space="0" w:color="auto"/>
            </w:tcBorders>
          </w:tcPr>
          <w:p w14:paraId="58465B66"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E2D4980" w14:textId="77777777" w:rsidR="00F257E0" w:rsidRPr="007918F1" w:rsidRDefault="00F257E0" w:rsidP="00F257E0">
            <w:pPr>
              <w:pStyle w:val="TableText"/>
              <w:tabs>
                <w:tab w:val="left" w:pos="3306"/>
              </w:tabs>
              <w:rPr>
                <w:rFonts w:cs="Calibri"/>
                <w:szCs w:val="16"/>
              </w:rPr>
            </w:pPr>
            <w:r w:rsidRPr="007918F1">
              <w:rPr>
                <w:rFonts w:cs="Calibri"/>
                <w:szCs w:val="16"/>
              </w:rPr>
              <w:t>Payables</w:t>
            </w:r>
          </w:p>
        </w:tc>
        <w:tc>
          <w:tcPr>
            <w:tcW w:w="850" w:type="dxa"/>
            <w:gridSpan w:val="2"/>
            <w:shd w:val="clear" w:color="auto" w:fill="auto"/>
          </w:tcPr>
          <w:p w14:paraId="4A696720"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8A6163C" w14:textId="77777777" w:rsidR="00F257E0" w:rsidRPr="007918F1" w:rsidRDefault="00F257E0" w:rsidP="00F257E0">
            <w:pPr>
              <w:pStyle w:val="TableText"/>
              <w:tabs>
                <w:tab w:val="left" w:pos="3306"/>
              </w:tabs>
              <w:jc w:val="right"/>
              <w:rPr>
                <w:rFonts w:cs="Calibri"/>
                <w:bCs/>
              </w:rPr>
            </w:pPr>
          </w:p>
        </w:tc>
        <w:tc>
          <w:tcPr>
            <w:tcW w:w="850" w:type="dxa"/>
            <w:gridSpan w:val="2"/>
          </w:tcPr>
          <w:p w14:paraId="751A7FC3"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6AFCCF2" w14:textId="223F6536"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1562EE4"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251A58A" w14:textId="77777777" w:rsidR="00F257E0" w:rsidRPr="007918F1" w:rsidRDefault="00F257E0" w:rsidP="00F257E0">
            <w:pPr>
              <w:pStyle w:val="TableText"/>
              <w:tabs>
                <w:tab w:val="left" w:pos="3306"/>
              </w:tabs>
              <w:jc w:val="right"/>
              <w:rPr>
                <w:rFonts w:cs="Calibri"/>
                <w:bCs/>
              </w:rPr>
            </w:pPr>
          </w:p>
        </w:tc>
      </w:tr>
      <w:tr w:rsidR="00F257E0" w:rsidRPr="0020314C" w14:paraId="0F55C42F" w14:textId="77777777" w:rsidTr="004D1EC6">
        <w:tc>
          <w:tcPr>
            <w:tcW w:w="1557" w:type="dxa"/>
            <w:tcBorders>
              <w:left w:val="single" w:sz="2" w:space="0" w:color="auto"/>
              <w:right w:val="single" w:sz="2" w:space="0" w:color="auto"/>
            </w:tcBorders>
          </w:tcPr>
          <w:p w14:paraId="41D4B6F8"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87C1FC3" w14:textId="77777777" w:rsidR="00F257E0" w:rsidRPr="007918F1" w:rsidRDefault="00F257E0" w:rsidP="00F257E0">
            <w:pPr>
              <w:pStyle w:val="TableText"/>
              <w:tabs>
                <w:tab w:val="left" w:pos="3306"/>
              </w:tabs>
              <w:rPr>
                <w:rFonts w:cs="Calibri"/>
                <w:szCs w:val="16"/>
              </w:rPr>
            </w:pPr>
            <w:r w:rsidRPr="007918F1">
              <w:rPr>
                <w:rFonts w:cs="Calibri"/>
                <w:szCs w:val="16"/>
              </w:rPr>
              <w:t>Contract Liabilities</w:t>
            </w:r>
          </w:p>
        </w:tc>
        <w:tc>
          <w:tcPr>
            <w:tcW w:w="850" w:type="dxa"/>
            <w:gridSpan w:val="2"/>
            <w:shd w:val="clear" w:color="auto" w:fill="auto"/>
          </w:tcPr>
          <w:p w14:paraId="6CDB433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32AFA5B3" w14:textId="77777777" w:rsidR="00F257E0" w:rsidRPr="007918F1" w:rsidRDefault="00F257E0" w:rsidP="00F257E0">
            <w:pPr>
              <w:pStyle w:val="TableText"/>
              <w:tabs>
                <w:tab w:val="left" w:pos="3306"/>
              </w:tabs>
              <w:jc w:val="right"/>
              <w:rPr>
                <w:rFonts w:cs="Calibri"/>
                <w:bCs/>
              </w:rPr>
            </w:pPr>
          </w:p>
        </w:tc>
        <w:tc>
          <w:tcPr>
            <w:tcW w:w="850" w:type="dxa"/>
            <w:gridSpan w:val="2"/>
          </w:tcPr>
          <w:p w14:paraId="7E9FF86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7748764" w14:textId="14A4500E"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6C7AC61E"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D0F4EFB" w14:textId="77777777" w:rsidR="00F257E0" w:rsidRPr="007918F1" w:rsidRDefault="00F257E0" w:rsidP="00F257E0">
            <w:pPr>
              <w:pStyle w:val="TableText"/>
              <w:tabs>
                <w:tab w:val="left" w:pos="3306"/>
              </w:tabs>
              <w:jc w:val="right"/>
              <w:rPr>
                <w:rFonts w:cs="Calibri"/>
                <w:bCs/>
              </w:rPr>
            </w:pPr>
          </w:p>
        </w:tc>
      </w:tr>
      <w:tr w:rsidR="00F257E0" w:rsidRPr="0020314C" w14:paraId="4B8387CB" w14:textId="77777777" w:rsidTr="004D1EC6">
        <w:tc>
          <w:tcPr>
            <w:tcW w:w="1557" w:type="dxa"/>
            <w:tcBorders>
              <w:left w:val="single" w:sz="2" w:space="0" w:color="auto"/>
              <w:right w:val="single" w:sz="2" w:space="0" w:color="auto"/>
            </w:tcBorders>
          </w:tcPr>
          <w:p w14:paraId="6854001C"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995257C" w14:textId="20FE3DE3" w:rsidR="00F257E0" w:rsidRPr="007918F1" w:rsidRDefault="007001C1" w:rsidP="00F257E0">
            <w:pPr>
              <w:pStyle w:val="TableText"/>
              <w:tabs>
                <w:tab w:val="left" w:pos="3306"/>
              </w:tabs>
              <w:rPr>
                <w:rFonts w:cs="Calibri"/>
                <w:szCs w:val="16"/>
              </w:rPr>
            </w:pPr>
            <w:r w:rsidRPr="007918F1">
              <w:rPr>
                <w:rFonts w:cs="Calibri"/>
                <w:szCs w:val="16"/>
              </w:rPr>
              <w:t>Borrowings</w:t>
            </w:r>
          </w:p>
        </w:tc>
        <w:tc>
          <w:tcPr>
            <w:tcW w:w="850" w:type="dxa"/>
            <w:gridSpan w:val="2"/>
            <w:shd w:val="clear" w:color="auto" w:fill="auto"/>
          </w:tcPr>
          <w:p w14:paraId="69CBF4CA"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507AD534" w14:textId="77777777" w:rsidR="00F257E0" w:rsidRPr="007918F1" w:rsidRDefault="00F257E0" w:rsidP="00F257E0">
            <w:pPr>
              <w:pStyle w:val="TableText"/>
              <w:tabs>
                <w:tab w:val="left" w:pos="3306"/>
              </w:tabs>
              <w:jc w:val="right"/>
              <w:rPr>
                <w:rFonts w:cs="Calibri"/>
                <w:bCs/>
              </w:rPr>
            </w:pPr>
          </w:p>
        </w:tc>
        <w:tc>
          <w:tcPr>
            <w:tcW w:w="850" w:type="dxa"/>
            <w:gridSpan w:val="2"/>
          </w:tcPr>
          <w:p w14:paraId="64F0E96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3521458" w14:textId="5A0AA1E0"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EE32F63"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7C9DC460" w14:textId="77777777" w:rsidR="00F257E0" w:rsidRPr="007918F1" w:rsidRDefault="00F257E0" w:rsidP="00F257E0">
            <w:pPr>
              <w:pStyle w:val="TableText"/>
              <w:tabs>
                <w:tab w:val="left" w:pos="3306"/>
              </w:tabs>
              <w:jc w:val="right"/>
              <w:rPr>
                <w:rFonts w:cs="Calibri"/>
                <w:bCs/>
              </w:rPr>
            </w:pPr>
          </w:p>
        </w:tc>
      </w:tr>
      <w:tr w:rsidR="00F257E0" w:rsidRPr="0020314C" w14:paraId="3AC67B6C" w14:textId="77777777" w:rsidTr="004D1EC6">
        <w:tc>
          <w:tcPr>
            <w:tcW w:w="1557" w:type="dxa"/>
            <w:tcBorders>
              <w:left w:val="single" w:sz="2" w:space="0" w:color="auto"/>
              <w:right w:val="single" w:sz="2" w:space="0" w:color="auto"/>
            </w:tcBorders>
          </w:tcPr>
          <w:p w14:paraId="0FFD4666"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2826DC2" w14:textId="46FD7AFB" w:rsidR="00F257E0" w:rsidRPr="007918F1" w:rsidRDefault="00F257E0" w:rsidP="00F257E0">
            <w:pPr>
              <w:pStyle w:val="TableText"/>
              <w:tabs>
                <w:tab w:val="left" w:pos="3306"/>
              </w:tabs>
              <w:rPr>
                <w:rFonts w:cs="Calibri"/>
                <w:szCs w:val="16"/>
              </w:rPr>
            </w:pPr>
            <w:r w:rsidRPr="007918F1">
              <w:rPr>
                <w:rFonts w:cs="Calibri"/>
                <w:szCs w:val="16"/>
              </w:rPr>
              <w:t>Lease Liabilities</w:t>
            </w:r>
          </w:p>
        </w:tc>
        <w:tc>
          <w:tcPr>
            <w:tcW w:w="850" w:type="dxa"/>
            <w:gridSpan w:val="2"/>
            <w:shd w:val="clear" w:color="auto" w:fill="auto"/>
          </w:tcPr>
          <w:p w14:paraId="60B94F84"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02C62F5" w14:textId="77777777" w:rsidR="00F257E0" w:rsidRPr="007918F1" w:rsidRDefault="00F257E0" w:rsidP="00F257E0">
            <w:pPr>
              <w:pStyle w:val="TableText"/>
              <w:tabs>
                <w:tab w:val="left" w:pos="3306"/>
              </w:tabs>
              <w:jc w:val="right"/>
              <w:rPr>
                <w:rFonts w:cs="Calibri"/>
                <w:bCs/>
              </w:rPr>
            </w:pPr>
          </w:p>
        </w:tc>
        <w:tc>
          <w:tcPr>
            <w:tcW w:w="850" w:type="dxa"/>
            <w:gridSpan w:val="2"/>
          </w:tcPr>
          <w:p w14:paraId="2ADB194F"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1DD1FFC" w14:textId="09375596"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1B20A4E5"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4E62AE53" w14:textId="77777777" w:rsidR="00F257E0" w:rsidRPr="007918F1" w:rsidRDefault="00F257E0" w:rsidP="00F257E0">
            <w:pPr>
              <w:pStyle w:val="TableText"/>
              <w:tabs>
                <w:tab w:val="left" w:pos="3306"/>
              </w:tabs>
              <w:jc w:val="right"/>
              <w:rPr>
                <w:rFonts w:cs="Calibri"/>
                <w:bCs/>
              </w:rPr>
            </w:pPr>
          </w:p>
        </w:tc>
      </w:tr>
      <w:tr w:rsidR="00F257E0" w:rsidRPr="0020314C" w14:paraId="540AD17F" w14:textId="77777777" w:rsidTr="004D1EC6">
        <w:tc>
          <w:tcPr>
            <w:tcW w:w="1557" w:type="dxa"/>
            <w:tcBorders>
              <w:left w:val="single" w:sz="2" w:space="0" w:color="auto"/>
              <w:right w:val="single" w:sz="2" w:space="0" w:color="auto"/>
            </w:tcBorders>
          </w:tcPr>
          <w:p w14:paraId="6B79ACD5"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5E855F9" w14:textId="77777777" w:rsidR="00F257E0" w:rsidRPr="007918F1" w:rsidRDefault="00F257E0" w:rsidP="00F257E0">
            <w:pPr>
              <w:pStyle w:val="TableText"/>
              <w:tabs>
                <w:tab w:val="left" w:pos="3306"/>
              </w:tabs>
              <w:rPr>
                <w:rFonts w:cs="Calibri"/>
                <w:szCs w:val="16"/>
              </w:rPr>
            </w:pPr>
            <w:r w:rsidRPr="007918F1">
              <w:rPr>
                <w:rFonts w:cs="Calibri"/>
                <w:szCs w:val="16"/>
              </w:rPr>
              <w:t>Employee Benefits</w:t>
            </w:r>
          </w:p>
        </w:tc>
        <w:tc>
          <w:tcPr>
            <w:tcW w:w="850" w:type="dxa"/>
            <w:gridSpan w:val="2"/>
            <w:shd w:val="clear" w:color="auto" w:fill="auto"/>
          </w:tcPr>
          <w:p w14:paraId="2D370F32"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344EAD8F" w14:textId="77777777" w:rsidR="00F257E0" w:rsidRPr="007918F1" w:rsidRDefault="00F257E0" w:rsidP="00F257E0">
            <w:pPr>
              <w:pStyle w:val="TableText"/>
              <w:tabs>
                <w:tab w:val="left" w:pos="3306"/>
              </w:tabs>
              <w:jc w:val="right"/>
              <w:rPr>
                <w:rFonts w:cs="Calibri"/>
                <w:bCs/>
              </w:rPr>
            </w:pPr>
          </w:p>
        </w:tc>
        <w:tc>
          <w:tcPr>
            <w:tcW w:w="850" w:type="dxa"/>
            <w:gridSpan w:val="2"/>
          </w:tcPr>
          <w:p w14:paraId="2ADD7A81"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96509DC" w14:textId="3266BFEB"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4381EA1"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7FBDAEF" w14:textId="77777777" w:rsidR="00F257E0" w:rsidRPr="007918F1" w:rsidRDefault="00F257E0" w:rsidP="00F257E0">
            <w:pPr>
              <w:pStyle w:val="TableText"/>
              <w:tabs>
                <w:tab w:val="left" w:pos="3306"/>
              </w:tabs>
              <w:jc w:val="right"/>
              <w:rPr>
                <w:rFonts w:cs="Calibri"/>
                <w:bCs/>
              </w:rPr>
            </w:pPr>
          </w:p>
        </w:tc>
      </w:tr>
      <w:tr w:rsidR="00F257E0" w:rsidRPr="0020314C" w14:paraId="12173B77" w14:textId="77777777" w:rsidTr="004D1EC6">
        <w:tc>
          <w:tcPr>
            <w:tcW w:w="1557" w:type="dxa"/>
            <w:tcBorders>
              <w:left w:val="single" w:sz="2" w:space="0" w:color="auto"/>
              <w:right w:val="single" w:sz="2" w:space="0" w:color="auto"/>
            </w:tcBorders>
          </w:tcPr>
          <w:p w14:paraId="3E13EAB3"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D1FAEA5" w14:textId="77777777" w:rsidR="00F257E0" w:rsidRPr="007918F1" w:rsidRDefault="00F257E0" w:rsidP="00F257E0">
            <w:pPr>
              <w:pStyle w:val="TableText"/>
              <w:tabs>
                <w:tab w:val="left" w:pos="3306"/>
              </w:tabs>
              <w:rPr>
                <w:rFonts w:cs="Calibri"/>
                <w:szCs w:val="16"/>
              </w:rPr>
            </w:pPr>
            <w:r w:rsidRPr="007918F1">
              <w:rPr>
                <w:rFonts w:cs="Calibri"/>
                <w:szCs w:val="16"/>
              </w:rPr>
              <w:t>Other Provisions</w:t>
            </w:r>
          </w:p>
        </w:tc>
        <w:tc>
          <w:tcPr>
            <w:tcW w:w="850" w:type="dxa"/>
            <w:gridSpan w:val="2"/>
            <w:shd w:val="clear" w:color="auto" w:fill="auto"/>
          </w:tcPr>
          <w:p w14:paraId="637BACB5"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1A9D8182" w14:textId="77777777" w:rsidR="00F257E0" w:rsidRPr="007918F1" w:rsidRDefault="00F257E0" w:rsidP="00F257E0">
            <w:pPr>
              <w:pStyle w:val="TableText"/>
              <w:tabs>
                <w:tab w:val="left" w:pos="3306"/>
              </w:tabs>
              <w:jc w:val="right"/>
              <w:rPr>
                <w:rFonts w:cs="Calibri"/>
                <w:bCs/>
              </w:rPr>
            </w:pPr>
          </w:p>
        </w:tc>
        <w:tc>
          <w:tcPr>
            <w:tcW w:w="850" w:type="dxa"/>
            <w:gridSpan w:val="2"/>
          </w:tcPr>
          <w:p w14:paraId="6DE5681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277E2554" w14:textId="0DB1826E"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2D6ADDD6"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77CD17CE" w14:textId="77777777" w:rsidR="00F257E0" w:rsidRPr="007918F1" w:rsidRDefault="00F257E0" w:rsidP="00F257E0">
            <w:pPr>
              <w:pStyle w:val="TableText"/>
              <w:tabs>
                <w:tab w:val="left" w:pos="3306"/>
              </w:tabs>
              <w:jc w:val="right"/>
              <w:rPr>
                <w:rFonts w:cs="Calibri"/>
                <w:bCs/>
              </w:rPr>
            </w:pPr>
          </w:p>
        </w:tc>
      </w:tr>
      <w:tr w:rsidR="00F257E0" w:rsidRPr="0020314C" w14:paraId="1E63869D" w14:textId="77777777" w:rsidTr="004D1EC6">
        <w:tc>
          <w:tcPr>
            <w:tcW w:w="1557" w:type="dxa"/>
            <w:tcBorders>
              <w:left w:val="single" w:sz="2" w:space="0" w:color="auto"/>
              <w:right w:val="single" w:sz="2" w:space="0" w:color="auto"/>
            </w:tcBorders>
          </w:tcPr>
          <w:p w14:paraId="20510100"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5EA01C63" w14:textId="77777777" w:rsidR="00F257E0" w:rsidRPr="007918F1" w:rsidRDefault="00F257E0" w:rsidP="00F257E0">
            <w:pPr>
              <w:pStyle w:val="TableText"/>
              <w:tabs>
                <w:tab w:val="left" w:pos="3306"/>
              </w:tabs>
              <w:rPr>
                <w:rFonts w:cs="Calibri"/>
                <w:szCs w:val="16"/>
              </w:rPr>
            </w:pPr>
            <w:r w:rsidRPr="007918F1">
              <w:rPr>
                <w:rFonts w:cs="Calibri"/>
                <w:szCs w:val="16"/>
              </w:rPr>
              <w:t>Other Liabilities</w:t>
            </w:r>
          </w:p>
        </w:tc>
        <w:tc>
          <w:tcPr>
            <w:tcW w:w="850" w:type="dxa"/>
            <w:gridSpan w:val="2"/>
            <w:tcBorders>
              <w:bottom w:val="single" w:sz="2" w:space="0" w:color="auto"/>
            </w:tcBorders>
            <w:shd w:val="clear" w:color="auto" w:fill="auto"/>
          </w:tcPr>
          <w:p w14:paraId="3F6DF56E"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786D5346"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176893C8"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520AE3A" w14:textId="14D701B1"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21C89C0C"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28173BF2" w14:textId="77777777" w:rsidR="00F257E0" w:rsidRPr="007918F1" w:rsidRDefault="00F257E0" w:rsidP="00F257E0">
            <w:pPr>
              <w:pStyle w:val="TableText"/>
              <w:tabs>
                <w:tab w:val="left" w:pos="3306"/>
              </w:tabs>
              <w:jc w:val="right"/>
              <w:rPr>
                <w:rFonts w:cs="Calibri"/>
                <w:bCs/>
              </w:rPr>
            </w:pPr>
          </w:p>
        </w:tc>
      </w:tr>
      <w:tr w:rsidR="00F257E0" w:rsidRPr="0020314C" w14:paraId="406D332E" w14:textId="77777777" w:rsidTr="004D1EC6">
        <w:tc>
          <w:tcPr>
            <w:tcW w:w="1557" w:type="dxa"/>
            <w:tcBorders>
              <w:left w:val="single" w:sz="2" w:space="0" w:color="auto"/>
              <w:right w:val="single" w:sz="2" w:space="0" w:color="auto"/>
            </w:tcBorders>
          </w:tcPr>
          <w:p w14:paraId="6B2FE463"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2759A260" w14:textId="77777777" w:rsidR="00F257E0" w:rsidRPr="007918F1" w:rsidRDefault="00F257E0" w:rsidP="00F257E0">
            <w:pPr>
              <w:pStyle w:val="TableText"/>
              <w:tabs>
                <w:tab w:val="left" w:pos="3306"/>
              </w:tabs>
              <w:rPr>
                <w:rFonts w:cs="Calibri"/>
                <w:b/>
                <w:szCs w:val="16"/>
              </w:rPr>
            </w:pPr>
            <w:r w:rsidRPr="007918F1">
              <w:rPr>
                <w:rFonts w:cs="Calibri"/>
                <w:b/>
                <w:szCs w:val="16"/>
              </w:rPr>
              <w:t>Total Current Liabilities</w:t>
            </w:r>
          </w:p>
        </w:tc>
        <w:tc>
          <w:tcPr>
            <w:tcW w:w="850" w:type="dxa"/>
            <w:gridSpan w:val="2"/>
            <w:tcBorders>
              <w:top w:val="single" w:sz="2" w:space="0" w:color="auto"/>
            </w:tcBorders>
            <w:shd w:val="clear" w:color="auto" w:fill="auto"/>
          </w:tcPr>
          <w:p w14:paraId="34B712D2"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6E59C2E0"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14BC4E7F"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0495FB3F" w14:textId="21FA2724"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08D45AB6"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vAlign w:val="bottom"/>
          </w:tcPr>
          <w:p w14:paraId="55A89BC8" w14:textId="77777777" w:rsidR="00F257E0" w:rsidRPr="007918F1" w:rsidRDefault="00F257E0" w:rsidP="00F257E0">
            <w:pPr>
              <w:pStyle w:val="TableText"/>
              <w:tabs>
                <w:tab w:val="left" w:pos="3306"/>
              </w:tabs>
              <w:jc w:val="right"/>
              <w:rPr>
                <w:rFonts w:cs="Calibri"/>
                <w:b/>
                <w:bCs/>
              </w:rPr>
            </w:pPr>
          </w:p>
        </w:tc>
      </w:tr>
      <w:tr w:rsidR="00F257E0" w:rsidRPr="0020314C" w14:paraId="060725CA" w14:textId="77777777" w:rsidTr="004D1EC6">
        <w:trPr>
          <w:trHeight w:hRule="exact" w:val="170"/>
        </w:trPr>
        <w:tc>
          <w:tcPr>
            <w:tcW w:w="1557" w:type="dxa"/>
            <w:tcBorders>
              <w:left w:val="single" w:sz="2" w:space="0" w:color="auto"/>
              <w:right w:val="single" w:sz="2" w:space="0" w:color="auto"/>
            </w:tcBorders>
          </w:tcPr>
          <w:p w14:paraId="3851384A"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1EE93ACA" w14:textId="77777777" w:rsidR="00F257E0" w:rsidRPr="007918F1" w:rsidRDefault="00F257E0" w:rsidP="00F257E0">
            <w:pPr>
              <w:pStyle w:val="TableText"/>
              <w:tabs>
                <w:tab w:val="left" w:pos="3306"/>
              </w:tabs>
              <w:rPr>
                <w:rFonts w:cs="Calibri"/>
                <w:szCs w:val="16"/>
              </w:rPr>
            </w:pPr>
          </w:p>
        </w:tc>
        <w:tc>
          <w:tcPr>
            <w:tcW w:w="850" w:type="dxa"/>
            <w:gridSpan w:val="2"/>
            <w:shd w:val="clear" w:color="auto" w:fill="auto"/>
          </w:tcPr>
          <w:p w14:paraId="74810AEE"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158D4B78" w14:textId="77777777" w:rsidR="00F257E0" w:rsidRPr="007918F1" w:rsidRDefault="00F257E0" w:rsidP="00F257E0">
            <w:pPr>
              <w:pStyle w:val="TableText"/>
              <w:tabs>
                <w:tab w:val="left" w:pos="3306"/>
              </w:tabs>
              <w:jc w:val="right"/>
              <w:rPr>
                <w:rFonts w:cs="Calibri"/>
                <w:b/>
                <w:bCs/>
              </w:rPr>
            </w:pPr>
          </w:p>
        </w:tc>
        <w:tc>
          <w:tcPr>
            <w:tcW w:w="850" w:type="dxa"/>
            <w:gridSpan w:val="2"/>
          </w:tcPr>
          <w:p w14:paraId="2C9FD168"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6894E992" w14:textId="171C1D61"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33D181F9" w14:textId="77777777" w:rsidR="00F257E0" w:rsidRPr="007918F1" w:rsidRDefault="00F257E0" w:rsidP="00F257E0">
            <w:pPr>
              <w:pStyle w:val="TableText"/>
              <w:tabs>
                <w:tab w:val="left" w:pos="3306"/>
              </w:tabs>
              <w:jc w:val="right"/>
              <w:rPr>
                <w:rFonts w:cs="Calibri"/>
                <w:b/>
                <w:bCs/>
              </w:rPr>
            </w:pPr>
          </w:p>
        </w:tc>
        <w:tc>
          <w:tcPr>
            <w:tcW w:w="709" w:type="dxa"/>
            <w:gridSpan w:val="3"/>
            <w:shd w:val="clear" w:color="auto" w:fill="auto"/>
            <w:vAlign w:val="bottom"/>
          </w:tcPr>
          <w:p w14:paraId="0773F192" w14:textId="77777777" w:rsidR="00F257E0" w:rsidRPr="007918F1" w:rsidRDefault="00F257E0" w:rsidP="00F257E0">
            <w:pPr>
              <w:pStyle w:val="TableText"/>
              <w:tabs>
                <w:tab w:val="left" w:pos="3306"/>
              </w:tabs>
              <w:jc w:val="right"/>
              <w:rPr>
                <w:rFonts w:cs="Calibri"/>
                <w:b/>
                <w:bCs/>
              </w:rPr>
            </w:pPr>
          </w:p>
        </w:tc>
      </w:tr>
      <w:tr w:rsidR="00F257E0" w:rsidRPr="0020314C" w14:paraId="53023A6F" w14:textId="77777777" w:rsidTr="004D1EC6">
        <w:tc>
          <w:tcPr>
            <w:tcW w:w="1557" w:type="dxa"/>
            <w:tcBorders>
              <w:left w:val="single" w:sz="2" w:space="0" w:color="auto"/>
              <w:right w:val="single" w:sz="2" w:space="0" w:color="auto"/>
            </w:tcBorders>
          </w:tcPr>
          <w:p w14:paraId="5B416F41"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855E547" w14:textId="77777777" w:rsidR="00F257E0" w:rsidRPr="007918F1" w:rsidRDefault="00F257E0" w:rsidP="00F257E0">
            <w:pPr>
              <w:pStyle w:val="TableText"/>
              <w:tabs>
                <w:tab w:val="left" w:pos="3306"/>
              </w:tabs>
              <w:rPr>
                <w:rFonts w:cs="Calibri"/>
                <w:b/>
                <w:szCs w:val="16"/>
              </w:rPr>
            </w:pPr>
            <w:r w:rsidRPr="007918F1">
              <w:rPr>
                <w:rFonts w:cs="Calibri"/>
                <w:b/>
                <w:szCs w:val="16"/>
              </w:rPr>
              <w:t>Non-Current Liabilities</w:t>
            </w:r>
          </w:p>
        </w:tc>
        <w:tc>
          <w:tcPr>
            <w:tcW w:w="850" w:type="dxa"/>
            <w:gridSpan w:val="2"/>
            <w:shd w:val="clear" w:color="auto" w:fill="auto"/>
          </w:tcPr>
          <w:p w14:paraId="1249DEBD"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tcPr>
          <w:p w14:paraId="36F2BB92" w14:textId="77777777" w:rsidR="00F257E0" w:rsidRPr="007918F1" w:rsidRDefault="00F257E0" w:rsidP="00F257E0">
            <w:pPr>
              <w:pStyle w:val="TableText"/>
              <w:tabs>
                <w:tab w:val="left" w:pos="3306"/>
              </w:tabs>
              <w:jc w:val="right"/>
              <w:rPr>
                <w:rFonts w:cs="Calibri"/>
                <w:b/>
                <w:bCs/>
              </w:rPr>
            </w:pPr>
          </w:p>
        </w:tc>
        <w:tc>
          <w:tcPr>
            <w:tcW w:w="850" w:type="dxa"/>
            <w:gridSpan w:val="2"/>
          </w:tcPr>
          <w:p w14:paraId="1DB06B81" w14:textId="77777777" w:rsidR="00F257E0" w:rsidRPr="007918F1"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1912B1C0" w14:textId="0A313AFB" w:rsidR="00F257E0" w:rsidRPr="007918F1"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7D39C0D4" w14:textId="77777777" w:rsidR="00F257E0" w:rsidRPr="007918F1" w:rsidRDefault="00F257E0" w:rsidP="00F257E0">
            <w:pPr>
              <w:pStyle w:val="TableText"/>
              <w:tabs>
                <w:tab w:val="left" w:pos="3306"/>
              </w:tabs>
              <w:jc w:val="right"/>
              <w:rPr>
                <w:rFonts w:cs="Calibri"/>
                <w:b/>
                <w:bCs/>
              </w:rPr>
            </w:pPr>
          </w:p>
        </w:tc>
        <w:tc>
          <w:tcPr>
            <w:tcW w:w="709" w:type="dxa"/>
            <w:gridSpan w:val="3"/>
            <w:shd w:val="clear" w:color="auto" w:fill="auto"/>
            <w:vAlign w:val="bottom"/>
          </w:tcPr>
          <w:p w14:paraId="2BA77A0E" w14:textId="77777777" w:rsidR="00F257E0" w:rsidRPr="007918F1" w:rsidRDefault="00F257E0" w:rsidP="00F257E0">
            <w:pPr>
              <w:pStyle w:val="TableText"/>
              <w:tabs>
                <w:tab w:val="left" w:pos="3306"/>
              </w:tabs>
              <w:jc w:val="right"/>
              <w:rPr>
                <w:rFonts w:cs="Calibri"/>
                <w:b/>
                <w:bCs/>
              </w:rPr>
            </w:pPr>
          </w:p>
        </w:tc>
      </w:tr>
      <w:tr w:rsidR="00F257E0" w:rsidRPr="0020314C" w14:paraId="3FC43DB6" w14:textId="77777777" w:rsidTr="004D1EC6">
        <w:tc>
          <w:tcPr>
            <w:tcW w:w="1557" w:type="dxa"/>
            <w:tcBorders>
              <w:left w:val="single" w:sz="2" w:space="0" w:color="auto"/>
              <w:right w:val="single" w:sz="2" w:space="0" w:color="auto"/>
            </w:tcBorders>
          </w:tcPr>
          <w:p w14:paraId="17889BE1"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ED0BB43" w14:textId="77777777" w:rsidR="00F257E0" w:rsidRPr="007918F1" w:rsidRDefault="00F257E0" w:rsidP="00F257E0">
            <w:pPr>
              <w:pStyle w:val="TableText"/>
              <w:tabs>
                <w:tab w:val="left" w:pos="3306"/>
              </w:tabs>
              <w:rPr>
                <w:rFonts w:cs="Calibri"/>
                <w:szCs w:val="16"/>
              </w:rPr>
            </w:pPr>
            <w:r w:rsidRPr="007918F1">
              <w:rPr>
                <w:rFonts w:cs="Calibri"/>
                <w:szCs w:val="16"/>
              </w:rPr>
              <w:t>Payables</w:t>
            </w:r>
          </w:p>
        </w:tc>
        <w:tc>
          <w:tcPr>
            <w:tcW w:w="850" w:type="dxa"/>
            <w:gridSpan w:val="2"/>
            <w:shd w:val="clear" w:color="auto" w:fill="auto"/>
          </w:tcPr>
          <w:p w14:paraId="58ACDFD7"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B142786" w14:textId="77777777" w:rsidR="00F257E0" w:rsidRPr="007918F1" w:rsidRDefault="00F257E0" w:rsidP="00F257E0">
            <w:pPr>
              <w:pStyle w:val="TableText"/>
              <w:tabs>
                <w:tab w:val="left" w:pos="3306"/>
              </w:tabs>
              <w:jc w:val="right"/>
              <w:rPr>
                <w:rFonts w:cs="Calibri"/>
                <w:bCs/>
              </w:rPr>
            </w:pPr>
          </w:p>
        </w:tc>
        <w:tc>
          <w:tcPr>
            <w:tcW w:w="850" w:type="dxa"/>
            <w:gridSpan w:val="2"/>
          </w:tcPr>
          <w:p w14:paraId="1BB497AB"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F3D3983" w14:textId="1418EFC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7AD43DEA"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3B58265B" w14:textId="77777777" w:rsidR="00F257E0" w:rsidRPr="007918F1" w:rsidRDefault="00F257E0" w:rsidP="00F257E0">
            <w:pPr>
              <w:pStyle w:val="TableText"/>
              <w:tabs>
                <w:tab w:val="left" w:pos="3306"/>
              </w:tabs>
              <w:jc w:val="right"/>
              <w:rPr>
                <w:rFonts w:cs="Calibri"/>
                <w:bCs/>
              </w:rPr>
            </w:pPr>
          </w:p>
        </w:tc>
      </w:tr>
      <w:tr w:rsidR="00F257E0" w:rsidRPr="0020314C" w14:paraId="2854C696" w14:textId="77777777" w:rsidTr="004D1EC6">
        <w:tc>
          <w:tcPr>
            <w:tcW w:w="1557" w:type="dxa"/>
            <w:tcBorders>
              <w:left w:val="single" w:sz="2" w:space="0" w:color="auto"/>
              <w:right w:val="single" w:sz="2" w:space="0" w:color="auto"/>
            </w:tcBorders>
          </w:tcPr>
          <w:p w14:paraId="668041FC"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1705CB4" w14:textId="77777777" w:rsidR="00F257E0" w:rsidRPr="007918F1" w:rsidRDefault="00F257E0" w:rsidP="00F257E0">
            <w:pPr>
              <w:pStyle w:val="TableText"/>
              <w:tabs>
                <w:tab w:val="left" w:pos="3306"/>
              </w:tabs>
              <w:rPr>
                <w:rFonts w:cs="Calibri"/>
                <w:szCs w:val="16"/>
              </w:rPr>
            </w:pPr>
            <w:r w:rsidRPr="007918F1">
              <w:rPr>
                <w:rFonts w:cs="Calibri"/>
                <w:szCs w:val="16"/>
              </w:rPr>
              <w:t>Contract Liabilities</w:t>
            </w:r>
          </w:p>
        </w:tc>
        <w:tc>
          <w:tcPr>
            <w:tcW w:w="850" w:type="dxa"/>
            <w:gridSpan w:val="2"/>
            <w:shd w:val="clear" w:color="auto" w:fill="auto"/>
          </w:tcPr>
          <w:p w14:paraId="2EA13E6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AE3ED86" w14:textId="77777777" w:rsidR="00F257E0" w:rsidRPr="007918F1" w:rsidRDefault="00F257E0" w:rsidP="00F257E0">
            <w:pPr>
              <w:pStyle w:val="TableText"/>
              <w:tabs>
                <w:tab w:val="left" w:pos="3306"/>
              </w:tabs>
              <w:jc w:val="right"/>
              <w:rPr>
                <w:rFonts w:cs="Calibri"/>
                <w:bCs/>
              </w:rPr>
            </w:pPr>
          </w:p>
        </w:tc>
        <w:tc>
          <w:tcPr>
            <w:tcW w:w="850" w:type="dxa"/>
            <w:gridSpan w:val="2"/>
          </w:tcPr>
          <w:p w14:paraId="64CA1F3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51C3467" w14:textId="7A2B28D3"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76131DAB"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5666298C" w14:textId="77777777" w:rsidR="00F257E0" w:rsidRPr="007918F1" w:rsidRDefault="00F257E0" w:rsidP="00F257E0">
            <w:pPr>
              <w:pStyle w:val="TableText"/>
              <w:tabs>
                <w:tab w:val="left" w:pos="3306"/>
              </w:tabs>
              <w:jc w:val="right"/>
              <w:rPr>
                <w:rFonts w:cs="Calibri"/>
                <w:bCs/>
              </w:rPr>
            </w:pPr>
          </w:p>
        </w:tc>
      </w:tr>
      <w:tr w:rsidR="00F257E0" w:rsidRPr="0020314C" w14:paraId="543AB551" w14:textId="77777777" w:rsidTr="004D1EC6">
        <w:tc>
          <w:tcPr>
            <w:tcW w:w="1557" w:type="dxa"/>
            <w:tcBorders>
              <w:left w:val="single" w:sz="2" w:space="0" w:color="auto"/>
              <w:right w:val="single" w:sz="2" w:space="0" w:color="auto"/>
            </w:tcBorders>
          </w:tcPr>
          <w:p w14:paraId="5753437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04FA69D" w14:textId="4A6F9D30" w:rsidR="00F257E0" w:rsidRPr="007918F1" w:rsidRDefault="007001C1" w:rsidP="00F257E0">
            <w:pPr>
              <w:pStyle w:val="TableText"/>
              <w:tabs>
                <w:tab w:val="left" w:pos="3306"/>
              </w:tabs>
              <w:rPr>
                <w:rFonts w:cs="Calibri"/>
                <w:szCs w:val="16"/>
              </w:rPr>
            </w:pPr>
            <w:r w:rsidRPr="007918F1">
              <w:rPr>
                <w:rFonts w:cs="Calibri"/>
                <w:szCs w:val="16"/>
              </w:rPr>
              <w:t>Borrowings</w:t>
            </w:r>
          </w:p>
        </w:tc>
        <w:tc>
          <w:tcPr>
            <w:tcW w:w="850" w:type="dxa"/>
            <w:gridSpan w:val="2"/>
            <w:shd w:val="clear" w:color="auto" w:fill="auto"/>
          </w:tcPr>
          <w:p w14:paraId="7AB796F8"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027A24D" w14:textId="77777777" w:rsidR="00F257E0" w:rsidRPr="007918F1" w:rsidRDefault="00F257E0" w:rsidP="00F257E0">
            <w:pPr>
              <w:pStyle w:val="TableText"/>
              <w:tabs>
                <w:tab w:val="left" w:pos="3306"/>
              </w:tabs>
              <w:jc w:val="right"/>
              <w:rPr>
                <w:rFonts w:cs="Calibri"/>
                <w:bCs/>
              </w:rPr>
            </w:pPr>
          </w:p>
        </w:tc>
        <w:tc>
          <w:tcPr>
            <w:tcW w:w="850" w:type="dxa"/>
            <w:gridSpan w:val="2"/>
          </w:tcPr>
          <w:p w14:paraId="0B966CD9"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3B8A47B4" w14:textId="391C3E7F"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2ED953D"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2F831EA0" w14:textId="77777777" w:rsidR="00F257E0" w:rsidRPr="007918F1" w:rsidRDefault="00F257E0" w:rsidP="00F257E0">
            <w:pPr>
              <w:pStyle w:val="TableText"/>
              <w:tabs>
                <w:tab w:val="left" w:pos="3306"/>
              </w:tabs>
              <w:jc w:val="right"/>
              <w:rPr>
                <w:rFonts w:cs="Calibri"/>
                <w:bCs/>
              </w:rPr>
            </w:pPr>
          </w:p>
        </w:tc>
      </w:tr>
      <w:tr w:rsidR="00F257E0" w:rsidRPr="0020314C" w14:paraId="65A7BC34" w14:textId="77777777" w:rsidTr="004D1EC6">
        <w:tc>
          <w:tcPr>
            <w:tcW w:w="1557" w:type="dxa"/>
            <w:tcBorders>
              <w:left w:val="single" w:sz="2" w:space="0" w:color="auto"/>
              <w:right w:val="single" w:sz="2" w:space="0" w:color="auto"/>
            </w:tcBorders>
          </w:tcPr>
          <w:p w14:paraId="6B4AD26B"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30774596" w14:textId="34BB85C3" w:rsidR="00F257E0" w:rsidRPr="007918F1" w:rsidRDefault="00F257E0" w:rsidP="00F257E0">
            <w:pPr>
              <w:pStyle w:val="TableText"/>
              <w:tabs>
                <w:tab w:val="left" w:pos="3306"/>
              </w:tabs>
              <w:rPr>
                <w:rFonts w:cs="Calibri"/>
                <w:szCs w:val="16"/>
              </w:rPr>
            </w:pPr>
            <w:r w:rsidRPr="007918F1">
              <w:rPr>
                <w:rFonts w:cs="Calibri"/>
                <w:szCs w:val="16"/>
              </w:rPr>
              <w:t>Lease Liabilities</w:t>
            </w:r>
          </w:p>
        </w:tc>
        <w:tc>
          <w:tcPr>
            <w:tcW w:w="850" w:type="dxa"/>
            <w:gridSpan w:val="2"/>
            <w:shd w:val="clear" w:color="auto" w:fill="auto"/>
          </w:tcPr>
          <w:p w14:paraId="6AB568ED"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4C873958" w14:textId="77777777" w:rsidR="00F257E0" w:rsidRPr="007918F1" w:rsidRDefault="00F257E0" w:rsidP="00F257E0">
            <w:pPr>
              <w:pStyle w:val="TableText"/>
              <w:tabs>
                <w:tab w:val="left" w:pos="3306"/>
              </w:tabs>
              <w:jc w:val="right"/>
              <w:rPr>
                <w:rFonts w:cs="Calibri"/>
                <w:bCs/>
              </w:rPr>
            </w:pPr>
          </w:p>
        </w:tc>
        <w:tc>
          <w:tcPr>
            <w:tcW w:w="850" w:type="dxa"/>
            <w:gridSpan w:val="2"/>
          </w:tcPr>
          <w:p w14:paraId="6F16A50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7AAFB85C" w14:textId="24DA8B17"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240A7FE"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45799DCE" w14:textId="77777777" w:rsidR="00F257E0" w:rsidRPr="007918F1" w:rsidRDefault="00F257E0" w:rsidP="00F257E0">
            <w:pPr>
              <w:pStyle w:val="TableText"/>
              <w:tabs>
                <w:tab w:val="left" w:pos="3306"/>
              </w:tabs>
              <w:jc w:val="right"/>
              <w:rPr>
                <w:rFonts w:cs="Calibri"/>
                <w:bCs/>
              </w:rPr>
            </w:pPr>
          </w:p>
        </w:tc>
      </w:tr>
      <w:tr w:rsidR="00F257E0" w:rsidRPr="0020314C" w14:paraId="20CAAE23" w14:textId="77777777" w:rsidTr="004D1EC6">
        <w:tc>
          <w:tcPr>
            <w:tcW w:w="1557" w:type="dxa"/>
            <w:tcBorders>
              <w:left w:val="single" w:sz="2" w:space="0" w:color="auto"/>
              <w:right w:val="single" w:sz="2" w:space="0" w:color="auto"/>
            </w:tcBorders>
          </w:tcPr>
          <w:p w14:paraId="6EEC04F5"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F8724AF" w14:textId="77777777" w:rsidR="00F257E0" w:rsidRPr="007918F1" w:rsidRDefault="00F257E0" w:rsidP="00F257E0">
            <w:pPr>
              <w:pStyle w:val="TableText"/>
              <w:tabs>
                <w:tab w:val="left" w:pos="3306"/>
              </w:tabs>
              <w:rPr>
                <w:rFonts w:cs="Calibri"/>
                <w:szCs w:val="16"/>
              </w:rPr>
            </w:pPr>
            <w:r w:rsidRPr="007918F1">
              <w:rPr>
                <w:rFonts w:cs="Calibri"/>
                <w:szCs w:val="16"/>
              </w:rPr>
              <w:t>Employee Benefits</w:t>
            </w:r>
          </w:p>
        </w:tc>
        <w:tc>
          <w:tcPr>
            <w:tcW w:w="850" w:type="dxa"/>
            <w:gridSpan w:val="2"/>
            <w:shd w:val="clear" w:color="auto" w:fill="auto"/>
          </w:tcPr>
          <w:p w14:paraId="2E974D2E"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7D789E12" w14:textId="77777777" w:rsidR="00F257E0" w:rsidRPr="007918F1" w:rsidRDefault="00F257E0" w:rsidP="00F257E0">
            <w:pPr>
              <w:pStyle w:val="TableText"/>
              <w:tabs>
                <w:tab w:val="left" w:pos="3306"/>
              </w:tabs>
              <w:jc w:val="right"/>
              <w:rPr>
                <w:rFonts w:cs="Calibri"/>
                <w:bCs/>
              </w:rPr>
            </w:pPr>
          </w:p>
        </w:tc>
        <w:tc>
          <w:tcPr>
            <w:tcW w:w="850" w:type="dxa"/>
            <w:gridSpan w:val="2"/>
          </w:tcPr>
          <w:p w14:paraId="350B76DC"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175519DE" w14:textId="52C6F0A9"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36CE20E8"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1CD13428" w14:textId="77777777" w:rsidR="00F257E0" w:rsidRPr="007918F1" w:rsidRDefault="00F257E0" w:rsidP="00F257E0">
            <w:pPr>
              <w:pStyle w:val="TableText"/>
              <w:tabs>
                <w:tab w:val="left" w:pos="3306"/>
              </w:tabs>
              <w:jc w:val="right"/>
              <w:rPr>
                <w:rFonts w:cs="Calibri"/>
                <w:bCs/>
              </w:rPr>
            </w:pPr>
          </w:p>
        </w:tc>
      </w:tr>
      <w:tr w:rsidR="00F257E0" w:rsidRPr="0020314C" w14:paraId="058FD696" w14:textId="77777777" w:rsidTr="004D1EC6">
        <w:tc>
          <w:tcPr>
            <w:tcW w:w="1557" w:type="dxa"/>
            <w:tcBorders>
              <w:left w:val="single" w:sz="2" w:space="0" w:color="auto"/>
              <w:right w:val="single" w:sz="2" w:space="0" w:color="auto"/>
            </w:tcBorders>
          </w:tcPr>
          <w:p w14:paraId="1A8732C2"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4FB2FF3D" w14:textId="77777777" w:rsidR="00F257E0" w:rsidRPr="007918F1" w:rsidRDefault="00F257E0" w:rsidP="00F257E0">
            <w:pPr>
              <w:pStyle w:val="TableText"/>
              <w:tabs>
                <w:tab w:val="left" w:pos="3306"/>
              </w:tabs>
              <w:rPr>
                <w:rFonts w:cs="Calibri"/>
                <w:szCs w:val="16"/>
              </w:rPr>
            </w:pPr>
            <w:r w:rsidRPr="007918F1">
              <w:rPr>
                <w:rFonts w:cs="Calibri"/>
                <w:szCs w:val="16"/>
              </w:rPr>
              <w:t>Other Provisions</w:t>
            </w:r>
          </w:p>
        </w:tc>
        <w:tc>
          <w:tcPr>
            <w:tcW w:w="850" w:type="dxa"/>
            <w:gridSpan w:val="2"/>
            <w:shd w:val="clear" w:color="auto" w:fill="auto"/>
          </w:tcPr>
          <w:p w14:paraId="20F69AEF"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tcPr>
          <w:p w14:paraId="2FA27926" w14:textId="77777777" w:rsidR="00F257E0" w:rsidRPr="007918F1" w:rsidRDefault="00F257E0" w:rsidP="00F257E0">
            <w:pPr>
              <w:pStyle w:val="TableText"/>
              <w:tabs>
                <w:tab w:val="left" w:pos="3306"/>
              </w:tabs>
              <w:jc w:val="right"/>
              <w:rPr>
                <w:rFonts w:cs="Calibri"/>
                <w:bCs/>
              </w:rPr>
            </w:pPr>
          </w:p>
        </w:tc>
        <w:tc>
          <w:tcPr>
            <w:tcW w:w="850" w:type="dxa"/>
            <w:gridSpan w:val="2"/>
          </w:tcPr>
          <w:p w14:paraId="6D6B8396" w14:textId="77777777" w:rsidR="00F257E0" w:rsidRPr="007918F1"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70E74BC" w14:textId="13DBAC3E" w:rsidR="00F257E0" w:rsidRPr="007918F1"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50A1002D" w14:textId="77777777" w:rsidR="00F257E0" w:rsidRPr="007918F1" w:rsidRDefault="00F257E0" w:rsidP="00F257E0">
            <w:pPr>
              <w:pStyle w:val="TableText"/>
              <w:tabs>
                <w:tab w:val="left" w:pos="3306"/>
              </w:tabs>
              <w:jc w:val="right"/>
              <w:rPr>
                <w:rFonts w:cs="Calibri"/>
                <w:bCs/>
              </w:rPr>
            </w:pPr>
          </w:p>
        </w:tc>
        <w:tc>
          <w:tcPr>
            <w:tcW w:w="709" w:type="dxa"/>
            <w:gridSpan w:val="3"/>
            <w:shd w:val="clear" w:color="auto" w:fill="auto"/>
            <w:vAlign w:val="bottom"/>
          </w:tcPr>
          <w:p w14:paraId="4B909ACF" w14:textId="77777777" w:rsidR="00F257E0" w:rsidRPr="007918F1" w:rsidRDefault="00F257E0" w:rsidP="00F257E0">
            <w:pPr>
              <w:pStyle w:val="TableText"/>
              <w:tabs>
                <w:tab w:val="left" w:pos="3306"/>
              </w:tabs>
              <w:jc w:val="right"/>
              <w:rPr>
                <w:rFonts w:cs="Calibri"/>
                <w:bCs/>
              </w:rPr>
            </w:pPr>
          </w:p>
        </w:tc>
      </w:tr>
      <w:tr w:rsidR="00F257E0" w:rsidRPr="0020314C" w14:paraId="7B985BA8" w14:textId="77777777" w:rsidTr="004D1EC6">
        <w:tc>
          <w:tcPr>
            <w:tcW w:w="1557" w:type="dxa"/>
            <w:tcBorders>
              <w:left w:val="single" w:sz="2" w:space="0" w:color="auto"/>
              <w:right w:val="single" w:sz="2" w:space="0" w:color="auto"/>
            </w:tcBorders>
          </w:tcPr>
          <w:p w14:paraId="7A27F4BB"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69E4ABA2" w14:textId="77777777" w:rsidR="00F257E0" w:rsidRPr="007918F1" w:rsidRDefault="00F257E0" w:rsidP="00F257E0">
            <w:pPr>
              <w:pStyle w:val="TableText"/>
              <w:tabs>
                <w:tab w:val="left" w:pos="3306"/>
              </w:tabs>
              <w:rPr>
                <w:rFonts w:cs="Calibri"/>
                <w:szCs w:val="16"/>
              </w:rPr>
            </w:pPr>
            <w:r w:rsidRPr="007918F1">
              <w:rPr>
                <w:rFonts w:cs="Calibri"/>
                <w:szCs w:val="16"/>
              </w:rPr>
              <w:t>Other Liabilities</w:t>
            </w:r>
          </w:p>
        </w:tc>
        <w:tc>
          <w:tcPr>
            <w:tcW w:w="850" w:type="dxa"/>
            <w:gridSpan w:val="2"/>
            <w:tcBorders>
              <w:bottom w:val="single" w:sz="2" w:space="0" w:color="auto"/>
            </w:tcBorders>
            <w:shd w:val="clear" w:color="auto" w:fill="auto"/>
          </w:tcPr>
          <w:p w14:paraId="04994FE1"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089A1F0B"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417E4907"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BA5943B" w14:textId="50A4131E"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3A346DDB"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08673CE9" w14:textId="77777777" w:rsidR="00F257E0" w:rsidRPr="007918F1" w:rsidRDefault="00F257E0" w:rsidP="00F257E0">
            <w:pPr>
              <w:pStyle w:val="TableText"/>
              <w:tabs>
                <w:tab w:val="left" w:pos="3306"/>
              </w:tabs>
              <w:jc w:val="right"/>
              <w:rPr>
                <w:rFonts w:cs="Calibri"/>
                <w:bCs/>
              </w:rPr>
            </w:pPr>
          </w:p>
        </w:tc>
      </w:tr>
      <w:tr w:rsidR="00F257E0" w:rsidRPr="0020314C" w14:paraId="05422B19" w14:textId="77777777" w:rsidTr="004D1EC6">
        <w:tc>
          <w:tcPr>
            <w:tcW w:w="1557" w:type="dxa"/>
            <w:tcBorders>
              <w:left w:val="single" w:sz="2" w:space="0" w:color="auto"/>
              <w:right w:val="single" w:sz="2" w:space="0" w:color="auto"/>
            </w:tcBorders>
          </w:tcPr>
          <w:p w14:paraId="1F0131E5"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BE3ED65" w14:textId="77777777" w:rsidR="00F257E0" w:rsidRPr="007918F1" w:rsidRDefault="00F257E0" w:rsidP="00F257E0">
            <w:pPr>
              <w:pStyle w:val="TableText"/>
              <w:tabs>
                <w:tab w:val="left" w:pos="3306"/>
              </w:tabs>
              <w:rPr>
                <w:rFonts w:cs="Calibri"/>
                <w:b/>
                <w:szCs w:val="16"/>
              </w:rPr>
            </w:pPr>
            <w:r w:rsidRPr="007918F1">
              <w:rPr>
                <w:rFonts w:cs="Calibri"/>
                <w:b/>
                <w:szCs w:val="16"/>
              </w:rPr>
              <w:t>Total Non-Current Liabilities</w:t>
            </w:r>
          </w:p>
        </w:tc>
        <w:tc>
          <w:tcPr>
            <w:tcW w:w="850" w:type="dxa"/>
            <w:gridSpan w:val="2"/>
            <w:tcBorders>
              <w:top w:val="single" w:sz="2" w:space="0" w:color="auto"/>
            </w:tcBorders>
            <w:shd w:val="clear" w:color="auto" w:fill="auto"/>
          </w:tcPr>
          <w:p w14:paraId="4216EEF1"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04D976AF"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tcBorders>
          </w:tcPr>
          <w:p w14:paraId="20216BB6"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25AAD6F7" w14:textId="24C4774C"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tcBorders>
            <w:shd w:val="clear" w:color="auto" w:fill="auto"/>
          </w:tcPr>
          <w:p w14:paraId="26058ED5"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tcBorders>
            <w:shd w:val="clear" w:color="auto" w:fill="auto"/>
          </w:tcPr>
          <w:p w14:paraId="3E4557B2" w14:textId="77777777" w:rsidR="00F257E0" w:rsidRPr="007918F1" w:rsidRDefault="00F257E0" w:rsidP="00F257E0">
            <w:pPr>
              <w:pStyle w:val="TableText"/>
              <w:tabs>
                <w:tab w:val="left" w:pos="3306"/>
              </w:tabs>
              <w:jc w:val="right"/>
              <w:rPr>
                <w:rFonts w:cs="Calibri"/>
                <w:b/>
                <w:bCs/>
              </w:rPr>
            </w:pPr>
          </w:p>
        </w:tc>
      </w:tr>
      <w:tr w:rsidR="00F257E0" w:rsidRPr="0020314C" w14:paraId="7C3294AC" w14:textId="77777777" w:rsidTr="004D1EC6">
        <w:trPr>
          <w:trHeight w:hRule="exact" w:val="170"/>
        </w:trPr>
        <w:tc>
          <w:tcPr>
            <w:tcW w:w="1557" w:type="dxa"/>
            <w:tcBorders>
              <w:left w:val="single" w:sz="2" w:space="0" w:color="auto"/>
              <w:right w:val="single" w:sz="2" w:space="0" w:color="auto"/>
            </w:tcBorders>
          </w:tcPr>
          <w:p w14:paraId="567C12FB"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0F10A29" w14:textId="77777777" w:rsidR="00F257E0" w:rsidRPr="007918F1" w:rsidRDefault="00F257E0" w:rsidP="00F257E0">
            <w:pPr>
              <w:pStyle w:val="TableText"/>
              <w:tabs>
                <w:tab w:val="left" w:pos="3306"/>
              </w:tabs>
              <w:rPr>
                <w:rFonts w:cs="Calibri"/>
                <w:szCs w:val="16"/>
              </w:rPr>
            </w:pPr>
          </w:p>
        </w:tc>
        <w:tc>
          <w:tcPr>
            <w:tcW w:w="850" w:type="dxa"/>
            <w:gridSpan w:val="2"/>
            <w:tcBorders>
              <w:bottom w:val="single" w:sz="2" w:space="0" w:color="auto"/>
            </w:tcBorders>
            <w:shd w:val="clear" w:color="auto" w:fill="auto"/>
          </w:tcPr>
          <w:p w14:paraId="6A1FC512"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5FD83F3E" w14:textId="77777777" w:rsidR="00F257E0" w:rsidRPr="007918F1"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2813B4C1" w14:textId="77777777" w:rsidR="00F257E0" w:rsidRPr="007918F1"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05FF2975" w14:textId="3D2DFB6F" w:rsidR="00F257E0" w:rsidRPr="007918F1"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28E6319E" w14:textId="77777777" w:rsidR="00F257E0" w:rsidRPr="007918F1" w:rsidRDefault="00F257E0" w:rsidP="00F257E0">
            <w:pPr>
              <w:pStyle w:val="TableText"/>
              <w:tabs>
                <w:tab w:val="left" w:pos="3306"/>
              </w:tabs>
              <w:jc w:val="right"/>
              <w:rPr>
                <w:rFonts w:cs="Calibri"/>
                <w:bCs/>
              </w:rPr>
            </w:pPr>
          </w:p>
        </w:tc>
        <w:tc>
          <w:tcPr>
            <w:tcW w:w="709" w:type="dxa"/>
            <w:gridSpan w:val="3"/>
            <w:tcBorders>
              <w:bottom w:val="single" w:sz="2" w:space="0" w:color="auto"/>
            </w:tcBorders>
            <w:shd w:val="clear" w:color="auto" w:fill="auto"/>
            <w:vAlign w:val="bottom"/>
          </w:tcPr>
          <w:p w14:paraId="220A3226" w14:textId="77777777" w:rsidR="00F257E0" w:rsidRPr="007918F1" w:rsidRDefault="00F257E0" w:rsidP="00F257E0">
            <w:pPr>
              <w:pStyle w:val="TableText"/>
              <w:tabs>
                <w:tab w:val="left" w:pos="3306"/>
              </w:tabs>
              <w:jc w:val="right"/>
              <w:rPr>
                <w:rFonts w:cs="Calibri"/>
                <w:bCs/>
              </w:rPr>
            </w:pPr>
          </w:p>
        </w:tc>
      </w:tr>
      <w:tr w:rsidR="00F257E0" w:rsidRPr="0020314C" w14:paraId="184F7133" w14:textId="77777777" w:rsidTr="004D1EC6">
        <w:tc>
          <w:tcPr>
            <w:tcW w:w="1557" w:type="dxa"/>
            <w:tcBorders>
              <w:left w:val="single" w:sz="2" w:space="0" w:color="auto"/>
              <w:right w:val="single" w:sz="2" w:space="0" w:color="auto"/>
            </w:tcBorders>
          </w:tcPr>
          <w:p w14:paraId="3B7E8584"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7FD4FCAE" w14:textId="77777777" w:rsidR="00F257E0" w:rsidRPr="007918F1" w:rsidRDefault="00F257E0" w:rsidP="00F257E0">
            <w:pPr>
              <w:pStyle w:val="TableText"/>
              <w:tabs>
                <w:tab w:val="left" w:pos="3306"/>
              </w:tabs>
              <w:rPr>
                <w:rFonts w:cs="Calibri"/>
                <w:b/>
                <w:szCs w:val="16"/>
              </w:rPr>
            </w:pPr>
            <w:r w:rsidRPr="007918F1">
              <w:rPr>
                <w:rFonts w:cs="Calibri"/>
                <w:b/>
                <w:szCs w:val="16"/>
              </w:rPr>
              <w:t>Total Liabilities</w:t>
            </w:r>
          </w:p>
        </w:tc>
        <w:tc>
          <w:tcPr>
            <w:tcW w:w="850" w:type="dxa"/>
            <w:gridSpan w:val="2"/>
            <w:tcBorders>
              <w:top w:val="single" w:sz="2" w:space="0" w:color="auto"/>
              <w:bottom w:val="single" w:sz="2" w:space="0" w:color="auto"/>
            </w:tcBorders>
            <w:shd w:val="clear" w:color="auto" w:fill="auto"/>
          </w:tcPr>
          <w:p w14:paraId="28EE9659"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tcPr>
          <w:p w14:paraId="640AA6FA"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7C2EE4DA"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07B4AC13" w14:textId="170A2B61" w:rsidR="00F257E0" w:rsidRPr="007918F1" w:rsidRDefault="00F257E0" w:rsidP="00F257E0">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393A13EB"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2" w:space="0" w:color="auto"/>
              <w:bottom w:val="single" w:sz="2" w:space="0" w:color="auto"/>
            </w:tcBorders>
            <w:shd w:val="clear" w:color="auto" w:fill="auto"/>
            <w:vAlign w:val="bottom"/>
          </w:tcPr>
          <w:p w14:paraId="041AEEFF" w14:textId="77777777" w:rsidR="00F257E0" w:rsidRPr="007918F1" w:rsidRDefault="00F257E0" w:rsidP="00F257E0">
            <w:pPr>
              <w:pStyle w:val="TableText"/>
              <w:tabs>
                <w:tab w:val="left" w:pos="3306"/>
              </w:tabs>
              <w:jc w:val="right"/>
              <w:rPr>
                <w:rFonts w:cs="Calibri"/>
                <w:b/>
                <w:bCs/>
              </w:rPr>
            </w:pPr>
          </w:p>
        </w:tc>
      </w:tr>
      <w:tr w:rsidR="00F257E0" w:rsidRPr="0020314C" w14:paraId="50E05891" w14:textId="77777777" w:rsidTr="004D1EC6">
        <w:trPr>
          <w:trHeight w:hRule="exact" w:val="170"/>
        </w:trPr>
        <w:tc>
          <w:tcPr>
            <w:tcW w:w="1557" w:type="dxa"/>
            <w:tcBorders>
              <w:left w:val="single" w:sz="2" w:space="0" w:color="auto"/>
              <w:right w:val="single" w:sz="2" w:space="0" w:color="auto"/>
            </w:tcBorders>
          </w:tcPr>
          <w:p w14:paraId="3AB66CB9" w14:textId="77777777" w:rsidR="00F257E0" w:rsidRPr="007918F1" w:rsidRDefault="00F257E0" w:rsidP="00F257E0">
            <w:pPr>
              <w:pStyle w:val="Reference"/>
              <w:rPr>
                <w:rFonts w:cs="Calibri"/>
                <w:b w:val="0"/>
                <w:bCs w:val="0"/>
                <w:color w:val="7030A0"/>
                <w:sz w:val="16"/>
                <w:szCs w:val="16"/>
              </w:rPr>
            </w:pPr>
          </w:p>
        </w:tc>
        <w:tc>
          <w:tcPr>
            <w:tcW w:w="3827" w:type="dxa"/>
            <w:gridSpan w:val="2"/>
            <w:tcBorders>
              <w:left w:val="single" w:sz="2" w:space="0" w:color="auto"/>
            </w:tcBorders>
            <w:shd w:val="clear" w:color="auto" w:fill="auto"/>
            <w:vAlign w:val="bottom"/>
          </w:tcPr>
          <w:p w14:paraId="0375BBB8" w14:textId="77777777" w:rsidR="00F257E0" w:rsidRPr="007918F1" w:rsidRDefault="00F257E0" w:rsidP="00F257E0">
            <w:pPr>
              <w:pStyle w:val="TableText"/>
              <w:tabs>
                <w:tab w:val="left" w:pos="3306"/>
              </w:tabs>
              <w:rPr>
                <w:rFonts w:cs="Calibri"/>
                <w:szCs w:val="16"/>
              </w:rPr>
            </w:pPr>
          </w:p>
        </w:tc>
        <w:tc>
          <w:tcPr>
            <w:tcW w:w="850" w:type="dxa"/>
            <w:gridSpan w:val="2"/>
            <w:tcBorders>
              <w:top w:val="single" w:sz="2" w:space="0" w:color="auto"/>
              <w:bottom w:val="single" w:sz="4" w:space="0" w:color="auto"/>
            </w:tcBorders>
            <w:shd w:val="clear" w:color="auto" w:fill="auto"/>
          </w:tcPr>
          <w:p w14:paraId="56AF3265" w14:textId="77777777" w:rsidR="00F257E0" w:rsidRPr="007918F1" w:rsidRDefault="00F257E0" w:rsidP="00F257E0">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tcPr>
          <w:p w14:paraId="1A2D4182" w14:textId="77777777" w:rsidR="00F257E0" w:rsidRPr="007918F1" w:rsidRDefault="00F257E0" w:rsidP="00F257E0">
            <w:pPr>
              <w:pStyle w:val="TableText"/>
              <w:tabs>
                <w:tab w:val="left" w:pos="3306"/>
              </w:tabs>
              <w:jc w:val="right"/>
              <w:rPr>
                <w:rFonts w:cs="Calibri"/>
                <w:bCs/>
              </w:rPr>
            </w:pPr>
          </w:p>
        </w:tc>
        <w:tc>
          <w:tcPr>
            <w:tcW w:w="850" w:type="dxa"/>
            <w:gridSpan w:val="2"/>
            <w:tcBorders>
              <w:top w:val="single" w:sz="2" w:space="0" w:color="auto"/>
              <w:bottom w:val="single" w:sz="4" w:space="0" w:color="auto"/>
            </w:tcBorders>
          </w:tcPr>
          <w:p w14:paraId="7CECA137" w14:textId="77777777" w:rsidR="00F257E0" w:rsidRPr="007918F1" w:rsidRDefault="00F257E0" w:rsidP="00F257E0">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vAlign w:val="bottom"/>
          </w:tcPr>
          <w:p w14:paraId="5536D285" w14:textId="2E0E7D60" w:rsidR="00F257E0" w:rsidRPr="007918F1" w:rsidRDefault="00F257E0" w:rsidP="00F257E0">
            <w:pPr>
              <w:pStyle w:val="TableText"/>
              <w:tabs>
                <w:tab w:val="left" w:pos="3306"/>
              </w:tabs>
              <w:jc w:val="right"/>
              <w:rPr>
                <w:rFonts w:cs="Calibri"/>
                <w:bCs/>
              </w:rPr>
            </w:pPr>
          </w:p>
        </w:tc>
        <w:tc>
          <w:tcPr>
            <w:tcW w:w="1134" w:type="dxa"/>
            <w:gridSpan w:val="2"/>
            <w:tcBorders>
              <w:top w:val="single" w:sz="2" w:space="0" w:color="auto"/>
              <w:bottom w:val="single" w:sz="4" w:space="0" w:color="auto"/>
            </w:tcBorders>
            <w:shd w:val="clear" w:color="auto" w:fill="auto"/>
            <w:vAlign w:val="bottom"/>
          </w:tcPr>
          <w:p w14:paraId="33371E4B" w14:textId="77777777" w:rsidR="00F257E0" w:rsidRPr="007918F1" w:rsidRDefault="00F257E0" w:rsidP="00F257E0">
            <w:pPr>
              <w:pStyle w:val="TableText"/>
              <w:tabs>
                <w:tab w:val="left" w:pos="3306"/>
              </w:tabs>
              <w:jc w:val="right"/>
              <w:rPr>
                <w:rFonts w:cs="Calibri"/>
                <w:bCs/>
              </w:rPr>
            </w:pPr>
          </w:p>
        </w:tc>
        <w:tc>
          <w:tcPr>
            <w:tcW w:w="709" w:type="dxa"/>
            <w:gridSpan w:val="3"/>
            <w:tcBorders>
              <w:top w:val="single" w:sz="2" w:space="0" w:color="auto"/>
              <w:bottom w:val="single" w:sz="4" w:space="0" w:color="auto"/>
            </w:tcBorders>
            <w:shd w:val="clear" w:color="auto" w:fill="auto"/>
            <w:vAlign w:val="bottom"/>
          </w:tcPr>
          <w:p w14:paraId="64920540" w14:textId="77777777" w:rsidR="00F257E0" w:rsidRPr="007918F1" w:rsidRDefault="00F257E0" w:rsidP="00F257E0">
            <w:pPr>
              <w:pStyle w:val="TableText"/>
              <w:tabs>
                <w:tab w:val="left" w:pos="3306"/>
              </w:tabs>
              <w:jc w:val="right"/>
              <w:rPr>
                <w:rFonts w:cs="Calibri"/>
                <w:bCs/>
              </w:rPr>
            </w:pPr>
          </w:p>
        </w:tc>
      </w:tr>
      <w:tr w:rsidR="00F257E0" w:rsidRPr="00546697" w14:paraId="52B4083D" w14:textId="77777777" w:rsidTr="004D1EC6">
        <w:tc>
          <w:tcPr>
            <w:tcW w:w="1557" w:type="dxa"/>
            <w:tcBorders>
              <w:left w:val="single" w:sz="2" w:space="0" w:color="auto"/>
              <w:right w:val="single" w:sz="2" w:space="0" w:color="auto"/>
            </w:tcBorders>
          </w:tcPr>
          <w:p w14:paraId="49B2973B" w14:textId="77777777" w:rsidR="00F257E0" w:rsidRPr="0020314C" w:rsidRDefault="00F257E0" w:rsidP="00F257E0">
            <w:pPr>
              <w:pStyle w:val="Reference"/>
              <w:rPr>
                <w:rFonts w:cs="Calibri"/>
                <w:b w:val="0"/>
                <w:bCs w:val="0"/>
                <w:sz w:val="16"/>
                <w:szCs w:val="16"/>
              </w:rPr>
            </w:pPr>
          </w:p>
        </w:tc>
        <w:tc>
          <w:tcPr>
            <w:tcW w:w="3827" w:type="dxa"/>
            <w:gridSpan w:val="2"/>
            <w:tcBorders>
              <w:left w:val="single" w:sz="2" w:space="0" w:color="auto"/>
            </w:tcBorders>
            <w:shd w:val="clear" w:color="auto" w:fill="auto"/>
            <w:vAlign w:val="bottom"/>
          </w:tcPr>
          <w:p w14:paraId="63608321" w14:textId="77777777" w:rsidR="00F257E0" w:rsidRPr="007918F1" w:rsidRDefault="00F257E0" w:rsidP="00F257E0">
            <w:pPr>
              <w:pStyle w:val="TableText"/>
              <w:tabs>
                <w:tab w:val="left" w:pos="3306"/>
              </w:tabs>
              <w:rPr>
                <w:rFonts w:cs="Calibri"/>
                <w:b/>
                <w:szCs w:val="16"/>
              </w:rPr>
            </w:pPr>
            <w:r w:rsidRPr="007918F1">
              <w:rPr>
                <w:rFonts w:cs="Calibri"/>
                <w:b/>
                <w:szCs w:val="16"/>
              </w:rPr>
              <w:t>Net Assets</w:t>
            </w:r>
          </w:p>
        </w:tc>
        <w:tc>
          <w:tcPr>
            <w:tcW w:w="850" w:type="dxa"/>
            <w:gridSpan w:val="2"/>
            <w:tcBorders>
              <w:top w:val="single" w:sz="4" w:space="0" w:color="auto"/>
              <w:bottom w:val="double" w:sz="4" w:space="0" w:color="auto"/>
            </w:tcBorders>
            <w:shd w:val="clear" w:color="auto" w:fill="auto"/>
          </w:tcPr>
          <w:p w14:paraId="08937AE2"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tcPr>
          <w:p w14:paraId="1CDDE72D" w14:textId="77777777" w:rsidR="00F257E0" w:rsidRPr="007918F1" w:rsidRDefault="00F257E0" w:rsidP="00F257E0">
            <w:pPr>
              <w:pStyle w:val="TableText"/>
              <w:tabs>
                <w:tab w:val="left" w:pos="3306"/>
              </w:tabs>
              <w:jc w:val="right"/>
              <w:rPr>
                <w:rFonts w:cs="Calibri"/>
                <w:b/>
                <w:bCs/>
              </w:rPr>
            </w:pPr>
          </w:p>
        </w:tc>
        <w:tc>
          <w:tcPr>
            <w:tcW w:w="850" w:type="dxa"/>
            <w:gridSpan w:val="2"/>
            <w:tcBorders>
              <w:top w:val="single" w:sz="4" w:space="0" w:color="auto"/>
              <w:bottom w:val="double" w:sz="4" w:space="0" w:color="auto"/>
            </w:tcBorders>
          </w:tcPr>
          <w:p w14:paraId="0002F346" w14:textId="77777777" w:rsidR="00F257E0" w:rsidRPr="007918F1" w:rsidRDefault="00F257E0" w:rsidP="00F257E0">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vAlign w:val="bottom"/>
          </w:tcPr>
          <w:p w14:paraId="07FA703C" w14:textId="1CF1B6EA" w:rsidR="00F257E0" w:rsidRPr="007918F1" w:rsidRDefault="00F257E0" w:rsidP="00F257E0">
            <w:pPr>
              <w:pStyle w:val="TableText"/>
              <w:tabs>
                <w:tab w:val="left" w:pos="3306"/>
              </w:tabs>
              <w:jc w:val="right"/>
              <w:rPr>
                <w:rFonts w:cs="Calibri"/>
                <w:b/>
                <w:bCs/>
              </w:rPr>
            </w:pPr>
          </w:p>
        </w:tc>
        <w:tc>
          <w:tcPr>
            <w:tcW w:w="1134" w:type="dxa"/>
            <w:gridSpan w:val="2"/>
            <w:tcBorders>
              <w:top w:val="single" w:sz="4" w:space="0" w:color="auto"/>
              <w:bottom w:val="double" w:sz="4" w:space="0" w:color="auto"/>
            </w:tcBorders>
            <w:shd w:val="clear" w:color="auto" w:fill="auto"/>
            <w:vAlign w:val="bottom"/>
          </w:tcPr>
          <w:p w14:paraId="2DB05AD5" w14:textId="77777777" w:rsidR="00F257E0" w:rsidRPr="007918F1" w:rsidRDefault="00F257E0" w:rsidP="00F257E0">
            <w:pPr>
              <w:pStyle w:val="TableText"/>
              <w:tabs>
                <w:tab w:val="left" w:pos="3306"/>
              </w:tabs>
              <w:jc w:val="right"/>
              <w:rPr>
                <w:rFonts w:cs="Calibri"/>
                <w:b/>
                <w:bCs/>
              </w:rPr>
            </w:pPr>
          </w:p>
        </w:tc>
        <w:tc>
          <w:tcPr>
            <w:tcW w:w="709" w:type="dxa"/>
            <w:gridSpan w:val="3"/>
            <w:tcBorders>
              <w:top w:val="single" w:sz="4" w:space="0" w:color="auto"/>
              <w:bottom w:val="double" w:sz="4" w:space="0" w:color="auto"/>
            </w:tcBorders>
            <w:shd w:val="clear" w:color="auto" w:fill="auto"/>
            <w:vAlign w:val="bottom"/>
          </w:tcPr>
          <w:p w14:paraId="61995739" w14:textId="77777777" w:rsidR="00F257E0" w:rsidRPr="007918F1" w:rsidRDefault="00F257E0" w:rsidP="00F257E0">
            <w:pPr>
              <w:pStyle w:val="TableText"/>
              <w:tabs>
                <w:tab w:val="left" w:pos="3306"/>
              </w:tabs>
              <w:jc w:val="right"/>
              <w:rPr>
                <w:rFonts w:cs="Calibri"/>
                <w:b/>
                <w:bCs/>
              </w:rPr>
            </w:pPr>
          </w:p>
        </w:tc>
      </w:tr>
      <w:tr w:rsidR="00F257E0" w:rsidRPr="0020314C" w14:paraId="2928AAC3" w14:textId="77777777" w:rsidTr="00F22D61">
        <w:trPr>
          <w:gridAfter w:val="2"/>
          <w:wAfter w:w="284" w:type="dxa"/>
          <w:trHeight w:val="314"/>
        </w:trPr>
        <w:tc>
          <w:tcPr>
            <w:tcW w:w="1557" w:type="dxa"/>
            <w:tcBorders>
              <w:left w:val="single" w:sz="2" w:space="0" w:color="003366"/>
              <w:right w:val="single" w:sz="2" w:space="0" w:color="003366"/>
            </w:tcBorders>
          </w:tcPr>
          <w:p w14:paraId="424EF0DB" w14:textId="1E496100" w:rsidR="00F257E0" w:rsidRPr="004F3F15" w:rsidRDefault="00F257E0" w:rsidP="00F22D61">
            <w:pPr>
              <w:spacing w:before="240"/>
              <w:rPr>
                <w:rFonts w:cs="Calibri"/>
                <w:b/>
                <w:color w:val="7030A0"/>
                <w:szCs w:val="22"/>
              </w:rPr>
            </w:pPr>
            <w:r w:rsidRPr="004F3F15">
              <w:rPr>
                <w:color w:val="7030A0"/>
              </w:rPr>
              <w:br w:type="page"/>
            </w:r>
            <w:r w:rsidRPr="004F3F15">
              <w:rPr>
                <w:rFonts w:cs="Calibri"/>
                <w:b/>
                <w:color w:val="7030A0"/>
                <w:szCs w:val="22"/>
              </w:rPr>
              <w:t>Reference</w:t>
            </w:r>
          </w:p>
        </w:tc>
        <w:tc>
          <w:tcPr>
            <w:tcW w:w="8788" w:type="dxa"/>
            <w:gridSpan w:val="13"/>
            <w:tcBorders>
              <w:left w:val="single" w:sz="2" w:space="0" w:color="003366"/>
            </w:tcBorders>
          </w:tcPr>
          <w:p w14:paraId="697ADACC" w14:textId="5FAB4441" w:rsidR="00F257E0" w:rsidRPr="00786CB8" w:rsidRDefault="00F257E0" w:rsidP="00F22D61">
            <w:pPr>
              <w:spacing w:before="240" w:after="240"/>
              <w:rPr>
                <w:b/>
                <w:sz w:val="36"/>
                <w:szCs w:val="36"/>
              </w:rPr>
            </w:pPr>
            <w:r w:rsidRPr="00786CB8">
              <w:rPr>
                <w:rFonts w:asciiTheme="minorHAnsi" w:hAnsiTheme="minorHAnsi" w:cstheme="minorHAnsi"/>
                <w:b/>
                <w:bCs/>
                <w:caps/>
                <w:sz w:val="36"/>
                <w:szCs w:val="36"/>
              </w:rPr>
              <w:t>Disaggregated Disclosure of Assets and Liabilities [Directorates Only] – Continued</w:t>
            </w:r>
            <w:r w:rsidRPr="00786CB8">
              <w:rPr>
                <w:b/>
                <w:sz w:val="36"/>
                <w:szCs w:val="36"/>
              </w:rPr>
              <w:t xml:space="preserve"> </w:t>
            </w:r>
          </w:p>
        </w:tc>
      </w:tr>
      <w:tr w:rsidR="001B6B99" w:rsidRPr="001B6B99" w14:paraId="26A0BC05" w14:textId="77777777" w:rsidTr="00F22D61">
        <w:trPr>
          <w:gridAfter w:val="2"/>
          <w:wAfter w:w="284" w:type="dxa"/>
          <w:trHeight w:hRule="exact" w:val="199"/>
        </w:trPr>
        <w:tc>
          <w:tcPr>
            <w:tcW w:w="1557" w:type="dxa"/>
            <w:tcBorders>
              <w:left w:val="single" w:sz="2" w:space="0" w:color="003366"/>
              <w:right w:val="single" w:sz="2" w:space="0" w:color="003366"/>
            </w:tcBorders>
            <w:vAlign w:val="center"/>
          </w:tcPr>
          <w:p w14:paraId="182BCED6" w14:textId="123888C8" w:rsidR="00F257E0" w:rsidRPr="004F3F15" w:rsidRDefault="004F3F15" w:rsidP="004F3F15">
            <w:pPr>
              <w:rPr>
                <w:rFonts w:cs="Calibri"/>
                <w:color w:val="7030A0"/>
                <w:sz w:val="14"/>
                <w:szCs w:val="14"/>
              </w:rPr>
            </w:pPr>
            <w:r w:rsidRPr="004F3F15">
              <w:rPr>
                <w:rFonts w:cs="Calibri"/>
                <w:color w:val="7030A0"/>
                <w:sz w:val="14"/>
                <w:szCs w:val="14"/>
              </w:rPr>
              <w:t>AASB 1052.16</w:t>
            </w:r>
          </w:p>
        </w:tc>
        <w:tc>
          <w:tcPr>
            <w:tcW w:w="8788" w:type="dxa"/>
            <w:gridSpan w:val="13"/>
            <w:tcBorders>
              <w:left w:val="single" w:sz="2" w:space="0" w:color="003366"/>
            </w:tcBorders>
            <w:vAlign w:val="center"/>
          </w:tcPr>
          <w:p w14:paraId="4313A0B0" w14:textId="094FBA18" w:rsidR="00F257E0" w:rsidRPr="001B6B99" w:rsidRDefault="00F257E0" w:rsidP="007918F1">
            <w:pPr>
              <w:pStyle w:val="TableTitle"/>
              <w:tabs>
                <w:tab w:val="left" w:pos="3306"/>
              </w:tabs>
              <w:jc w:val="left"/>
              <w:rPr>
                <w:rFonts w:cs="Calibri"/>
                <w:bCs w:val="0"/>
              </w:rPr>
            </w:pPr>
            <w:r w:rsidRPr="001B6B99">
              <w:rPr>
                <w:rFonts w:cs="Calibri"/>
                <w:bCs w:val="0"/>
              </w:rPr>
              <w:t>Year Ended 30 June 2021</w:t>
            </w:r>
          </w:p>
          <w:p w14:paraId="63AAB2F8" w14:textId="6308665D" w:rsidR="00F257E0" w:rsidRPr="001B6B99" w:rsidRDefault="00F257E0" w:rsidP="007918F1">
            <w:pPr>
              <w:rPr>
                <w:rFonts w:cs="Calibri"/>
                <w:b/>
                <w:sz w:val="18"/>
                <w:szCs w:val="18"/>
              </w:rPr>
            </w:pPr>
          </w:p>
        </w:tc>
      </w:tr>
      <w:tr w:rsidR="00F257E0" w:rsidRPr="0020314C" w14:paraId="618FD4A1" w14:textId="77777777" w:rsidTr="00F22D61">
        <w:trPr>
          <w:gridAfter w:val="2"/>
          <w:wAfter w:w="284" w:type="dxa"/>
        </w:trPr>
        <w:tc>
          <w:tcPr>
            <w:tcW w:w="1557" w:type="dxa"/>
            <w:tcBorders>
              <w:left w:val="single" w:sz="2" w:space="0" w:color="003366"/>
              <w:right w:val="single" w:sz="2" w:space="0" w:color="003366"/>
            </w:tcBorders>
          </w:tcPr>
          <w:p w14:paraId="7F59E32E" w14:textId="5C144F71" w:rsidR="00F257E0" w:rsidRPr="004F3F15" w:rsidRDefault="00F257E0" w:rsidP="00F257E0">
            <w:pPr>
              <w:pStyle w:val="Reference"/>
              <w:rPr>
                <w:rFonts w:cs="Calibri"/>
                <w:b w:val="0"/>
                <w:bCs w:val="0"/>
                <w:color w:val="7030A0"/>
                <w:sz w:val="14"/>
                <w:szCs w:val="14"/>
              </w:rPr>
            </w:pPr>
          </w:p>
        </w:tc>
        <w:tc>
          <w:tcPr>
            <w:tcW w:w="3402" w:type="dxa"/>
            <w:tcBorders>
              <w:left w:val="single" w:sz="2" w:space="0" w:color="003366"/>
            </w:tcBorders>
            <w:shd w:val="clear" w:color="auto" w:fill="auto"/>
            <w:vAlign w:val="bottom"/>
          </w:tcPr>
          <w:p w14:paraId="366D53F9" w14:textId="77777777" w:rsidR="00F257E0" w:rsidRPr="001B6B99" w:rsidRDefault="00F257E0" w:rsidP="00F257E0">
            <w:pPr>
              <w:pStyle w:val="TableText"/>
              <w:tabs>
                <w:tab w:val="left" w:pos="3306"/>
              </w:tabs>
              <w:rPr>
                <w:rFonts w:cs="Calibri"/>
                <w:b/>
                <w:bCs/>
              </w:rPr>
            </w:pPr>
          </w:p>
        </w:tc>
        <w:tc>
          <w:tcPr>
            <w:tcW w:w="850" w:type="dxa"/>
            <w:gridSpan w:val="2"/>
            <w:shd w:val="clear" w:color="auto" w:fill="auto"/>
          </w:tcPr>
          <w:p w14:paraId="1B3B3F77" w14:textId="77777777" w:rsidR="00F257E0" w:rsidRPr="001B6B99" w:rsidRDefault="00F257E0" w:rsidP="00F257E0">
            <w:pPr>
              <w:spacing w:before="60"/>
              <w:jc w:val="right"/>
              <w:rPr>
                <w:rFonts w:cs="Calibri"/>
                <w:b/>
                <w:bCs/>
                <w:sz w:val="18"/>
                <w:szCs w:val="18"/>
              </w:rPr>
            </w:pPr>
            <w:r w:rsidRPr="001B6B99">
              <w:rPr>
                <w:rFonts w:cs="Calibri"/>
                <w:b/>
                <w:bCs/>
                <w:sz w:val="18"/>
                <w:szCs w:val="18"/>
              </w:rPr>
              <w:t>Output Class 1</w:t>
            </w:r>
          </w:p>
        </w:tc>
        <w:tc>
          <w:tcPr>
            <w:tcW w:w="851" w:type="dxa"/>
            <w:gridSpan w:val="2"/>
            <w:shd w:val="clear" w:color="auto" w:fill="auto"/>
          </w:tcPr>
          <w:p w14:paraId="4AFE810F" w14:textId="77777777" w:rsidR="00F257E0" w:rsidRPr="001B6B99" w:rsidRDefault="00F257E0" w:rsidP="00F257E0">
            <w:pPr>
              <w:spacing w:before="60"/>
              <w:jc w:val="right"/>
              <w:rPr>
                <w:rFonts w:cs="Calibri"/>
                <w:b/>
                <w:bCs/>
                <w:sz w:val="18"/>
                <w:szCs w:val="18"/>
              </w:rPr>
            </w:pPr>
            <w:r w:rsidRPr="001B6B99">
              <w:rPr>
                <w:rFonts w:cs="Calibri"/>
                <w:b/>
                <w:bCs/>
                <w:sz w:val="18"/>
                <w:szCs w:val="18"/>
              </w:rPr>
              <w:t>Output Class 2</w:t>
            </w:r>
          </w:p>
        </w:tc>
        <w:tc>
          <w:tcPr>
            <w:tcW w:w="850" w:type="dxa"/>
            <w:gridSpan w:val="2"/>
          </w:tcPr>
          <w:p w14:paraId="406204E5" w14:textId="08798794" w:rsidR="00F257E0" w:rsidRPr="001B6B99" w:rsidRDefault="00F257E0" w:rsidP="00F257E0">
            <w:pPr>
              <w:spacing w:before="60"/>
              <w:jc w:val="right"/>
              <w:rPr>
                <w:rFonts w:cs="Calibri"/>
                <w:b/>
                <w:bCs/>
                <w:sz w:val="18"/>
                <w:szCs w:val="18"/>
              </w:rPr>
            </w:pPr>
            <w:r w:rsidRPr="001B6B99">
              <w:rPr>
                <w:rFonts w:cs="Calibri"/>
                <w:b/>
                <w:bCs/>
                <w:sz w:val="18"/>
                <w:szCs w:val="18"/>
              </w:rPr>
              <w:t>Output Class 3</w:t>
            </w:r>
          </w:p>
        </w:tc>
        <w:tc>
          <w:tcPr>
            <w:tcW w:w="851" w:type="dxa"/>
            <w:gridSpan w:val="2"/>
            <w:shd w:val="clear" w:color="auto" w:fill="auto"/>
          </w:tcPr>
          <w:p w14:paraId="20AA0B92" w14:textId="55B3489C" w:rsidR="00F257E0" w:rsidRPr="001B6B99" w:rsidRDefault="00F257E0" w:rsidP="00F257E0">
            <w:pPr>
              <w:spacing w:before="60"/>
              <w:jc w:val="right"/>
              <w:rPr>
                <w:rFonts w:cs="Calibri"/>
                <w:b/>
                <w:bCs/>
                <w:sz w:val="18"/>
                <w:szCs w:val="18"/>
              </w:rPr>
            </w:pPr>
            <w:r w:rsidRPr="001B6B99">
              <w:rPr>
                <w:rFonts w:cs="Calibri"/>
                <w:b/>
                <w:bCs/>
                <w:sz w:val="18"/>
                <w:szCs w:val="18"/>
              </w:rPr>
              <w:t>Output Class 4</w:t>
            </w:r>
          </w:p>
        </w:tc>
        <w:tc>
          <w:tcPr>
            <w:tcW w:w="1134" w:type="dxa"/>
            <w:gridSpan w:val="2"/>
            <w:shd w:val="clear" w:color="auto" w:fill="auto"/>
            <w:vAlign w:val="bottom"/>
          </w:tcPr>
          <w:p w14:paraId="368AA1D4" w14:textId="77777777" w:rsidR="00F257E0" w:rsidRPr="001B6B99" w:rsidRDefault="00F257E0" w:rsidP="007918F1">
            <w:pPr>
              <w:pStyle w:val="TableText"/>
              <w:tabs>
                <w:tab w:val="left" w:pos="3306"/>
              </w:tabs>
              <w:jc w:val="right"/>
              <w:rPr>
                <w:rFonts w:cs="Calibri"/>
                <w:b/>
                <w:bCs/>
              </w:rPr>
            </w:pPr>
            <w:r w:rsidRPr="001B6B99">
              <w:rPr>
                <w:rFonts w:cs="Calibri"/>
                <w:b/>
                <w:bCs/>
              </w:rPr>
              <w:t>Unallocated</w:t>
            </w:r>
          </w:p>
        </w:tc>
        <w:tc>
          <w:tcPr>
            <w:tcW w:w="850" w:type="dxa"/>
            <w:gridSpan w:val="2"/>
            <w:shd w:val="clear" w:color="auto" w:fill="auto"/>
            <w:vAlign w:val="bottom"/>
          </w:tcPr>
          <w:p w14:paraId="7F6F07EC" w14:textId="77777777" w:rsidR="00F257E0" w:rsidRPr="001B6B99" w:rsidRDefault="00F257E0" w:rsidP="007918F1">
            <w:pPr>
              <w:pStyle w:val="TableText"/>
              <w:tabs>
                <w:tab w:val="left" w:pos="3306"/>
              </w:tabs>
              <w:jc w:val="right"/>
              <w:rPr>
                <w:rFonts w:cs="Calibri"/>
                <w:b/>
                <w:bCs/>
              </w:rPr>
            </w:pPr>
            <w:r w:rsidRPr="001B6B99">
              <w:rPr>
                <w:rFonts w:cs="Calibri"/>
                <w:b/>
                <w:bCs/>
              </w:rPr>
              <w:t>Total</w:t>
            </w:r>
          </w:p>
        </w:tc>
      </w:tr>
      <w:tr w:rsidR="00F257E0" w:rsidRPr="00AA76A0" w14:paraId="011CA7BA" w14:textId="77777777" w:rsidTr="00F22D61">
        <w:trPr>
          <w:gridAfter w:val="2"/>
          <w:wAfter w:w="284" w:type="dxa"/>
        </w:trPr>
        <w:tc>
          <w:tcPr>
            <w:tcW w:w="1557" w:type="dxa"/>
            <w:tcBorders>
              <w:left w:val="single" w:sz="2" w:space="0" w:color="003366"/>
              <w:right w:val="single" w:sz="2" w:space="0" w:color="003366"/>
            </w:tcBorders>
          </w:tcPr>
          <w:p w14:paraId="65DD13E8"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D5188F0" w14:textId="77777777" w:rsidR="00F257E0" w:rsidRPr="001B6B99" w:rsidRDefault="00F257E0" w:rsidP="00F257E0">
            <w:pPr>
              <w:pStyle w:val="TableText"/>
              <w:tabs>
                <w:tab w:val="left" w:pos="3306"/>
              </w:tabs>
              <w:rPr>
                <w:rFonts w:cs="Calibri"/>
                <w:b/>
                <w:bCs/>
              </w:rPr>
            </w:pPr>
          </w:p>
        </w:tc>
        <w:tc>
          <w:tcPr>
            <w:tcW w:w="850" w:type="dxa"/>
            <w:gridSpan w:val="2"/>
            <w:shd w:val="clear" w:color="auto" w:fill="auto"/>
            <w:vAlign w:val="center"/>
          </w:tcPr>
          <w:p w14:paraId="6BFF6156" w14:textId="77777777" w:rsidR="00F257E0" w:rsidRPr="001B6B99" w:rsidRDefault="00F257E0" w:rsidP="00F257E0">
            <w:pPr>
              <w:spacing w:before="60"/>
              <w:jc w:val="right"/>
              <w:rPr>
                <w:rFonts w:cs="Calibri"/>
                <w:b/>
                <w:bCs/>
                <w:sz w:val="18"/>
                <w:szCs w:val="18"/>
              </w:rPr>
            </w:pPr>
            <w:r w:rsidRPr="001B6B99">
              <w:rPr>
                <w:rFonts w:cs="Calibri"/>
                <w:b/>
                <w:bCs/>
                <w:sz w:val="18"/>
                <w:szCs w:val="18"/>
              </w:rPr>
              <w:t>$’000</w:t>
            </w:r>
          </w:p>
        </w:tc>
        <w:tc>
          <w:tcPr>
            <w:tcW w:w="851" w:type="dxa"/>
            <w:gridSpan w:val="2"/>
            <w:shd w:val="clear" w:color="auto" w:fill="auto"/>
            <w:vAlign w:val="center"/>
          </w:tcPr>
          <w:p w14:paraId="3F460DB6" w14:textId="77777777" w:rsidR="00F257E0" w:rsidRPr="001B6B99" w:rsidRDefault="00F257E0" w:rsidP="00F257E0">
            <w:pPr>
              <w:spacing w:before="60"/>
              <w:jc w:val="right"/>
              <w:rPr>
                <w:rFonts w:cs="Calibri"/>
                <w:b/>
                <w:bCs/>
                <w:sz w:val="18"/>
                <w:szCs w:val="18"/>
              </w:rPr>
            </w:pPr>
            <w:r w:rsidRPr="001B6B99">
              <w:rPr>
                <w:rFonts w:cs="Calibri"/>
                <w:b/>
                <w:bCs/>
                <w:sz w:val="18"/>
                <w:szCs w:val="18"/>
              </w:rPr>
              <w:t>$’000</w:t>
            </w:r>
          </w:p>
        </w:tc>
        <w:tc>
          <w:tcPr>
            <w:tcW w:w="850" w:type="dxa"/>
            <w:gridSpan w:val="2"/>
            <w:vAlign w:val="bottom"/>
          </w:tcPr>
          <w:p w14:paraId="6045558B" w14:textId="3952E08E" w:rsidR="00F257E0" w:rsidRPr="001B6B99" w:rsidRDefault="00F257E0" w:rsidP="00F257E0">
            <w:pPr>
              <w:jc w:val="right"/>
              <w:rPr>
                <w:rFonts w:cs="Calibri"/>
                <w:b/>
                <w:bCs/>
                <w:sz w:val="18"/>
                <w:szCs w:val="18"/>
              </w:rPr>
            </w:pPr>
            <w:r w:rsidRPr="001B6B99">
              <w:rPr>
                <w:rFonts w:cs="Calibri"/>
                <w:b/>
                <w:bCs/>
                <w:sz w:val="18"/>
                <w:szCs w:val="18"/>
              </w:rPr>
              <w:t>$’000</w:t>
            </w:r>
          </w:p>
        </w:tc>
        <w:tc>
          <w:tcPr>
            <w:tcW w:w="851" w:type="dxa"/>
            <w:gridSpan w:val="2"/>
            <w:shd w:val="clear" w:color="auto" w:fill="auto"/>
            <w:vAlign w:val="bottom"/>
          </w:tcPr>
          <w:p w14:paraId="7D88E77D" w14:textId="0B6296F1" w:rsidR="00F257E0" w:rsidRPr="001B6B99" w:rsidRDefault="00F257E0" w:rsidP="00F257E0">
            <w:pPr>
              <w:jc w:val="right"/>
              <w:rPr>
                <w:rFonts w:cs="Calibri"/>
                <w:b/>
                <w:bCs/>
                <w:sz w:val="18"/>
                <w:szCs w:val="18"/>
              </w:rPr>
            </w:pPr>
            <w:r w:rsidRPr="001B6B99">
              <w:rPr>
                <w:rFonts w:cs="Calibri"/>
                <w:b/>
                <w:bCs/>
                <w:sz w:val="18"/>
                <w:szCs w:val="18"/>
              </w:rPr>
              <w:t>$’000</w:t>
            </w:r>
          </w:p>
        </w:tc>
        <w:tc>
          <w:tcPr>
            <w:tcW w:w="1134" w:type="dxa"/>
            <w:gridSpan w:val="2"/>
            <w:shd w:val="clear" w:color="auto" w:fill="auto"/>
            <w:vAlign w:val="bottom"/>
          </w:tcPr>
          <w:p w14:paraId="0825A797" w14:textId="77777777" w:rsidR="00F257E0" w:rsidRPr="001B6B99" w:rsidRDefault="00F257E0" w:rsidP="00F257E0">
            <w:pPr>
              <w:jc w:val="right"/>
              <w:rPr>
                <w:rFonts w:cs="Calibri"/>
                <w:b/>
                <w:bCs/>
                <w:sz w:val="18"/>
                <w:szCs w:val="18"/>
              </w:rPr>
            </w:pPr>
            <w:r w:rsidRPr="001B6B99">
              <w:rPr>
                <w:rFonts w:cs="Calibri"/>
                <w:b/>
                <w:bCs/>
                <w:sz w:val="18"/>
                <w:szCs w:val="18"/>
              </w:rPr>
              <w:t>$’000</w:t>
            </w:r>
          </w:p>
        </w:tc>
        <w:tc>
          <w:tcPr>
            <w:tcW w:w="850" w:type="dxa"/>
            <w:gridSpan w:val="2"/>
            <w:shd w:val="clear" w:color="auto" w:fill="auto"/>
            <w:vAlign w:val="bottom"/>
          </w:tcPr>
          <w:p w14:paraId="279B0507" w14:textId="77777777" w:rsidR="00F257E0" w:rsidRPr="001B6B99" w:rsidRDefault="00F257E0" w:rsidP="00F257E0">
            <w:pPr>
              <w:pStyle w:val="TableText"/>
              <w:tabs>
                <w:tab w:val="left" w:pos="3306"/>
              </w:tabs>
              <w:jc w:val="right"/>
              <w:rPr>
                <w:rFonts w:cs="Calibri"/>
                <w:b/>
                <w:bCs/>
              </w:rPr>
            </w:pPr>
            <w:r w:rsidRPr="001B6B99">
              <w:rPr>
                <w:rFonts w:cs="Calibri"/>
                <w:b/>
                <w:bCs/>
              </w:rPr>
              <w:t>$’000</w:t>
            </w:r>
          </w:p>
        </w:tc>
      </w:tr>
      <w:tr w:rsidR="00F257E0" w:rsidRPr="00AA76A0" w14:paraId="38B9FDEE" w14:textId="77777777" w:rsidTr="00F22D61">
        <w:trPr>
          <w:gridAfter w:val="2"/>
          <w:wAfter w:w="284" w:type="dxa"/>
        </w:trPr>
        <w:tc>
          <w:tcPr>
            <w:tcW w:w="1557" w:type="dxa"/>
            <w:tcBorders>
              <w:left w:val="single" w:sz="2" w:space="0" w:color="003366"/>
              <w:right w:val="single" w:sz="2" w:space="0" w:color="003366"/>
            </w:tcBorders>
          </w:tcPr>
          <w:p w14:paraId="435B374D"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D656FAD" w14:textId="77777777" w:rsidR="00F257E0" w:rsidRPr="001B6B99" w:rsidRDefault="00F257E0" w:rsidP="00F257E0">
            <w:pPr>
              <w:pStyle w:val="TableText"/>
              <w:tabs>
                <w:tab w:val="left" w:pos="3306"/>
              </w:tabs>
              <w:rPr>
                <w:rFonts w:cs="Calibri"/>
                <w:b/>
                <w:szCs w:val="16"/>
              </w:rPr>
            </w:pPr>
            <w:r w:rsidRPr="001B6B99">
              <w:rPr>
                <w:rFonts w:cs="Calibri"/>
                <w:b/>
                <w:szCs w:val="16"/>
              </w:rPr>
              <w:t>Current Assets</w:t>
            </w:r>
          </w:p>
        </w:tc>
        <w:tc>
          <w:tcPr>
            <w:tcW w:w="850" w:type="dxa"/>
            <w:gridSpan w:val="2"/>
            <w:shd w:val="clear" w:color="auto" w:fill="auto"/>
          </w:tcPr>
          <w:p w14:paraId="5779F199"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tcPr>
          <w:p w14:paraId="7C366BCC" w14:textId="77777777" w:rsidR="00F257E0" w:rsidRPr="001B6B99" w:rsidRDefault="00F257E0" w:rsidP="00F257E0">
            <w:pPr>
              <w:pStyle w:val="TableText"/>
              <w:tabs>
                <w:tab w:val="left" w:pos="3306"/>
              </w:tabs>
              <w:jc w:val="right"/>
              <w:rPr>
                <w:rFonts w:cs="Calibri"/>
                <w:b/>
                <w:bCs/>
              </w:rPr>
            </w:pPr>
          </w:p>
        </w:tc>
        <w:tc>
          <w:tcPr>
            <w:tcW w:w="850" w:type="dxa"/>
            <w:gridSpan w:val="2"/>
          </w:tcPr>
          <w:p w14:paraId="2ABEC0DC"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4ED25C8E" w14:textId="5EEFA5F6" w:rsidR="00F257E0" w:rsidRPr="001B6B99"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77359FB4" w14:textId="77777777" w:rsidR="00F257E0" w:rsidRPr="001B6B99" w:rsidRDefault="00F257E0" w:rsidP="00F257E0">
            <w:pPr>
              <w:pStyle w:val="TableText"/>
              <w:tabs>
                <w:tab w:val="left" w:pos="3306"/>
              </w:tabs>
              <w:jc w:val="right"/>
              <w:rPr>
                <w:rFonts w:cs="Calibri"/>
                <w:b/>
                <w:bCs/>
              </w:rPr>
            </w:pPr>
          </w:p>
        </w:tc>
        <w:tc>
          <w:tcPr>
            <w:tcW w:w="850" w:type="dxa"/>
            <w:gridSpan w:val="2"/>
            <w:shd w:val="clear" w:color="auto" w:fill="auto"/>
            <w:vAlign w:val="bottom"/>
          </w:tcPr>
          <w:p w14:paraId="5F3CC0B6" w14:textId="77777777" w:rsidR="00F257E0" w:rsidRPr="001B6B99" w:rsidRDefault="00F257E0" w:rsidP="00F257E0">
            <w:pPr>
              <w:pStyle w:val="TableText"/>
              <w:tabs>
                <w:tab w:val="left" w:pos="3306"/>
              </w:tabs>
              <w:jc w:val="right"/>
              <w:rPr>
                <w:rFonts w:cs="Calibri"/>
                <w:b/>
                <w:bCs/>
              </w:rPr>
            </w:pPr>
          </w:p>
        </w:tc>
      </w:tr>
      <w:tr w:rsidR="00F257E0" w:rsidRPr="00AA76A0" w14:paraId="083E4483" w14:textId="77777777" w:rsidTr="00F22D61">
        <w:trPr>
          <w:gridAfter w:val="2"/>
          <w:wAfter w:w="284" w:type="dxa"/>
        </w:trPr>
        <w:tc>
          <w:tcPr>
            <w:tcW w:w="1557" w:type="dxa"/>
            <w:tcBorders>
              <w:left w:val="single" w:sz="2" w:space="0" w:color="003366"/>
              <w:right w:val="single" w:sz="2" w:space="0" w:color="003366"/>
            </w:tcBorders>
          </w:tcPr>
          <w:p w14:paraId="524F57F2"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8EDB981" w14:textId="6D450D14" w:rsidR="00F257E0" w:rsidRPr="001B6B99" w:rsidRDefault="00F257E0" w:rsidP="00F257E0">
            <w:pPr>
              <w:pStyle w:val="TableText"/>
              <w:tabs>
                <w:tab w:val="left" w:pos="3306"/>
              </w:tabs>
              <w:rPr>
                <w:rFonts w:cs="Calibri"/>
                <w:szCs w:val="16"/>
              </w:rPr>
            </w:pPr>
            <w:r w:rsidRPr="001B6B99">
              <w:rPr>
                <w:rFonts w:cs="Calibri"/>
                <w:szCs w:val="16"/>
              </w:rPr>
              <w:t>Cash and Cash Equivalents</w:t>
            </w:r>
            <w:r w:rsidR="001A12A3">
              <w:rPr>
                <w:rFonts w:cs="Calibri"/>
                <w:szCs w:val="16"/>
                <w:vertAlign w:val="superscript"/>
              </w:rPr>
              <w:t>a</w:t>
            </w:r>
          </w:p>
        </w:tc>
        <w:tc>
          <w:tcPr>
            <w:tcW w:w="850" w:type="dxa"/>
            <w:gridSpan w:val="2"/>
            <w:shd w:val="clear" w:color="auto" w:fill="auto"/>
          </w:tcPr>
          <w:p w14:paraId="62F2547D"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tcPr>
          <w:p w14:paraId="05A03C52" w14:textId="77777777" w:rsidR="00F257E0" w:rsidRPr="001B6B99" w:rsidRDefault="00F257E0" w:rsidP="00F257E0">
            <w:pPr>
              <w:pStyle w:val="TableText"/>
              <w:tabs>
                <w:tab w:val="left" w:pos="3306"/>
              </w:tabs>
              <w:jc w:val="right"/>
              <w:rPr>
                <w:rFonts w:cs="Calibri"/>
                <w:b/>
                <w:bCs/>
              </w:rPr>
            </w:pPr>
          </w:p>
        </w:tc>
        <w:tc>
          <w:tcPr>
            <w:tcW w:w="850" w:type="dxa"/>
            <w:gridSpan w:val="2"/>
          </w:tcPr>
          <w:p w14:paraId="68BED583"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6F36C165" w14:textId="72F98060" w:rsidR="00F257E0" w:rsidRPr="001B6B99"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22A634F5" w14:textId="77777777" w:rsidR="00F257E0" w:rsidRPr="001B6B99" w:rsidRDefault="00F257E0" w:rsidP="00F257E0">
            <w:pPr>
              <w:pStyle w:val="TableText"/>
              <w:tabs>
                <w:tab w:val="left" w:pos="3306"/>
              </w:tabs>
              <w:jc w:val="right"/>
              <w:rPr>
                <w:rFonts w:cs="Calibri"/>
                <w:bCs/>
                <w:strike/>
              </w:rPr>
            </w:pPr>
          </w:p>
        </w:tc>
        <w:tc>
          <w:tcPr>
            <w:tcW w:w="850" w:type="dxa"/>
            <w:gridSpan w:val="2"/>
            <w:shd w:val="clear" w:color="auto" w:fill="auto"/>
            <w:vAlign w:val="bottom"/>
          </w:tcPr>
          <w:p w14:paraId="5D4A58D1" w14:textId="77777777" w:rsidR="00F257E0" w:rsidRPr="001B6B99" w:rsidRDefault="00F257E0" w:rsidP="00F257E0">
            <w:pPr>
              <w:pStyle w:val="TableText"/>
              <w:tabs>
                <w:tab w:val="left" w:pos="3306"/>
              </w:tabs>
              <w:jc w:val="right"/>
              <w:rPr>
                <w:rFonts w:cs="Calibri"/>
                <w:bCs/>
                <w:strike/>
              </w:rPr>
            </w:pPr>
          </w:p>
        </w:tc>
      </w:tr>
      <w:tr w:rsidR="00F257E0" w:rsidRPr="00AA76A0" w14:paraId="53A5BFB6" w14:textId="77777777" w:rsidTr="00F22D61">
        <w:trPr>
          <w:gridAfter w:val="2"/>
          <w:wAfter w:w="284" w:type="dxa"/>
        </w:trPr>
        <w:tc>
          <w:tcPr>
            <w:tcW w:w="1557" w:type="dxa"/>
            <w:tcBorders>
              <w:left w:val="single" w:sz="2" w:space="0" w:color="003366"/>
              <w:right w:val="single" w:sz="2" w:space="0" w:color="003366"/>
            </w:tcBorders>
          </w:tcPr>
          <w:p w14:paraId="57D70F5C"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07517FB" w14:textId="232DD7F1" w:rsidR="00F257E0" w:rsidRPr="001B6B99" w:rsidRDefault="00F257E0" w:rsidP="00F257E0">
            <w:pPr>
              <w:pStyle w:val="TableText"/>
              <w:tabs>
                <w:tab w:val="left" w:pos="3306"/>
              </w:tabs>
              <w:rPr>
                <w:rFonts w:cs="Calibri"/>
                <w:szCs w:val="16"/>
              </w:rPr>
            </w:pPr>
            <w:r w:rsidRPr="001B6B99">
              <w:rPr>
                <w:rFonts w:cs="Calibri"/>
                <w:szCs w:val="16"/>
              </w:rPr>
              <w:t>Investments</w:t>
            </w:r>
            <w:r w:rsidR="001A12A3" w:rsidRPr="001A12A3">
              <w:rPr>
                <w:rFonts w:cs="Calibri"/>
                <w:szCs w:val="16"/>
                <w:vertAlign w:val="superscript"/>
              </w:rPr>
              <w:t>b</w:t>
            </w:r>
          </w:p>
        </w:tc>
        <w:tc>
          <w:tcPr>
            <w:tcW w:w="850" w:type="dxa"/>
            <w:gridSpan w:val="2"/>
            <w:shd w:val="clear" w:color="auto" w:fill="auto"/>
          </w:tcPr>
          <w:p w14:paraId="5725F709"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tcPr>
          <w:p w14:paraId="6683020A" w14:textId="77777777" w:rsidR="00F257E0" w:rsidRPr="001B6B99" w:rsidRDefault="00F257E0" w:rsidP="00F257E0">
            <w:pPr>
              <w:pStyle w:val="TableText"/>
              <w:tabs>
                <w:tab w:val="left" w:pos="3306"/>
              </w:tabs>
              <w:jc w:val="right"/>
              <w:rPr>
                <w:rFonts w:cs="Calibri"/>
                <w:b/>
                <w:bCs/>
              </w:rPr>
            </w:pPr>
          </w:p>
        </w:tc>
        <w:tc>
          <w:tcPr>
            <w:tcW w:w="850" w:type="dxa"/>
            <w:gridSpan w:val="2"/>
          </w:tcPr>
          <w:p w14:paraId="59837D1B" w14:textId="77777777" w:rsidR="00F257E0" w:rsidRPr="001B6B99" w:rsidRDefault="00F257E0" w:rsidP="00F257E0">
            <w:pPr>
              <w:pStyle w:val="TableText"/>
              <w:tabs>
                <w:tab w:val="left" w:pos="3306"/>
              </w:tabs>
              <w:jc w:val="right"/>
              <w:rPr>
                <w:rFonts w:cs="Calibri"/>
                <w:b/>
                <w:bCs/>
              </w:rPr>
            </w:pPr>
          </w:p>
        </w:tc>
        <w:tc>
          <w:tcPr>
            <w:tcW w:w="851" w:type="dxa"/>
            <w:gridSpan w:val="2"/>
            <w:shd w:val="clear" w:color="auto" w:fill="auto"/>
            <w:vAlign w:val="bottom"/>
          </w:tcPr>
          <w:p w14:paraId="4AF21771" w14:textId="7C11FF7E" w:rsidR="00F257E0" w:rsidRPr="001B6B99" w:rsidRDefault="00F257E0" w:rsidP="00F257E0">
            <w:pPr>
              <w:pStyle w:val="TableText"/>
              <w:tabs>
                <w:tab w:val="left" w:pos="3306"/>
              </w:tabs>
              <w:jc w:val="right"/>
              <w:rPr>
                <w:rFonts w:cs="Calibri"/>
                <w:b/>
                <w:bCs/>
              </w:rPr>
            </w:pPr>
          </w:p>
        </w:tc>
        <w:tc>
          <w:tcPr>
            <w:tcW w:w="1134" w:type="dxa"/>
            <w:gridSpan w:val="2"/>
            <w:shd w:val="clear" w:color="auto" w:fill="auto"/>
            <w:vAlign w:val="bottom"/>
          </w:tcPr>
          <w:p w14:paraId="447A33C6"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1F211816" w14:textId="77777777" w:rsidR="00F257E0" w:rsidRPr="001B6B99" w:rsidRDefault="00F257E0" w:rsidP="00F257E0">
            <w:pPr>
              <w:pStyle w:val="TableText"/>
              <w:tabs>
                <w:tab w:val="left" w:pos="3306"/>
              </w:tabs>
              <w:jc w:val="right"/>
              <w:rPr>
                <w:rFonts w:cs="Calibri"/>
                <w:bCs/>
              </w:rPr>
            </w:pPr>
          </w:p>
        </w:tc>
      </w:tr>
      <w:tr w:rsidR="00F257E0" w:rsidRPr="00AA76A0" w14:paraId="31F4D365" w14:textId="77777777" w:rsidTr="00F22D61">
        <w:trPr>
          <w:gridAfter w:val="2"/>
          <w:wAfter w:w="284" w:type="dxa"/>
        </w:trPr>
        <w:tc>
          <w:tcPr>
            <w:tcW w:w="1557" w:type="dxa"/>
            <w:tcBorders>
              <w:left w:val="single" w:sz="2" w:space="0" w:color="003366"/>
              <w:right w:val="single" w:sz="2" w:space="0" w:color="003366"/>
            </w:tcBorders>
          </w:tcPr>
          <w:p w14:paraId="18B87A0B"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82EB210" w14:textId="77777777" w:rsidR="00F257E0" w:rsidRPr="001B6B99" w:rsidRDefault="00F257E0" w:rsidP="00F257E0">
            <w:pPr>
              <w:pStyle w:val="TableText"/>
              <w:tabs>
                <w:tab w:val="left" w:pos="3306"/>
              </w:tabs>
              <w:rPr>
                <w:rFonts w:cs="Calibri"/>
                <w:szCs w:val="16"/>
              </w:rPr>
            </w:pPr>
            <w:r w:rsidRPr="001B6B99">
              <w:rPr>
                <w:rFonts w:cs="Calibri"/>
                <w:szCs w:val="16"/>
              </w:rPr>
              <w:t>Receivables</w:t>
            </w:r>
          </w:p>
        </w:tc>
        <w:tc>
          <w:tcPr>
            <w:tcW w:w="850" w:type="dxa"/>
            <w:gridSpan w:val="2"/>
            <w:shd w:val="clear" w:color="auto" w:fill="auto"/>
          </w:tcPr>
          <w:p w14:paraId="32720740"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5B8CEA68" w14:textId="77777777" w:rsidR="00F257E0" w:rsidRPr="001B6B99" w:rsidRDefault="00F257E0" w:rsidP="00F257E0">
            <w:pPr>
              <w:pStyle w:val="TableText"/>
              <w:tabs>
                <w:tab w:val="left" w:pos="3306"/>
              </w:tabs>
              <w:jc w:val="right"/>
              <w:rPr>
                <w:rFonts w:cs="Calibri"/>
                <w:bCs/>
              </w:rPr>
            </w:pPr>
          </w:p>
        </w:tc>
        <w:tc>
          <w:tcPr>
            <w:tcW w:w="850" w:type="dxa"/>
            <w:gridSpan w:val="2"/>
          </w:tcPr>
          <w:p w14:paraId="14EED863"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8096E8C" w14:textId="24636A39"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2CE2D7BD"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157B3033" w14:textId="77777777" w:rsidR="00F257E0" w:rsidRPr="001B6B99" w:rsidRDefault="00F257E0" w:rsidP="00F257E0">
            <w:pPr>
              <w:pStyle w:val="TableText"/>
              <w:tabs>
                <w:tab w:val="left" w:pos="3306"/>
              </w:tabs>
              <w:jc w:val="right"/>
              <w:rPr>
                <w:rFonts w:cs="Calibri"/>
                <w:bCs/>
              </w:rPr>
            </w:pPr>
          </w:p>
        </w:tc>
      </w:tr>
      <w:tr w:rsidR="00BC2A04" w:rsidRPr="00AA76A0" w14:paraId="048CFD75" w14:textId="77777777" w:rsidTr="00F22D61">
        <w:trPr>
          <w:gridAfter w:val="2"/>
          <w:wAfter w:w="284" w:type="dxa"/>
        </w:trPr>
        <w:tc>
          <w:tcPr>
            <w:tcW w:w="1557" w:type="dxa"/>
            <w:tcBorders>
              <w:left w:val="single" w:sz="2" w:space="0" w:color="003366"/>
              <w:right w:val="single" w:sz="2" w:space="0" w:color="003366"/>
            </w:tcBorders>
          </w:tcPr>
          <w:p w14:paraId="0F0C29E4" w14:textId="77777777" w:rsidR="00BC2A04" w:rsidRPr="004C6029" w:rsidRDefault="00BC2A04"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0AFBD3C" w14:textId="09515011" w:rsidR="00BC2A04" w:rsidRPr="001B6B99" w:rsidRDefault="00BC2A04" w:rsidP="00F257E0">
            <w:pPr>
              <w:pStyle w:val="TableText"/>
              <w:tabs>
                <w:tab w:val="left" w:pos="3306"/>
              </w:tabs>
              <w:rPr>
                <w:rFonts w:cs="Calibri"/>
                <w:szCs w:val="16"/>
              </w:rPr>
            </w:pPr>
            <w:r w:rsidRPr="001B6B99">
              <w:rPr>
                <w:rFonts w:cs="Calibri"/>
              </w:rPr>
              <w:t>Contract Assets</w:t>
            </w:r>
          </w:p>
        </w:tc>
        <w:tc>
          <w:tcPr>
            <w:tcW w:w="850" w:type="dxa"/>
            <w:gridSpan w:val="2"/>
            <w:shd w:val="clear" w:color="auto" w:fill="auto"/>
          </w:tcPr>
          <w:p w14:paraId="50FB9A7C" w14:textId="77777777" w:rsidR="00BC2A04" w:rsidRPr="001B6B99" w:rsidRDefault="00BC2A04" w:rsidP="00F257E0">
            <w:pPr>
              <w:pStyle w:val="TableText"/>
              <w:tabs>
                <w:tab w:val="left" w:pos="3306"/>
              </w:tabs>
              <w:jc w:val="right"/>
              <w:rPr>
                <w:rFonts w:cs="Calibri"/>
                <w:bCs/>
              </w:rPr>
            </w:pPr>
          </w:p>
        </w:tc>
        <w:tc>
          <w:tcPr>
            <w:tcW w:w="851" w:type="dxa"/>
            <w:gridSpan w:val="2"/>
            <w:shd w:val="clear" w:color="auto" w:fill="auto"/>
          </w:tcPr>
          <w:p w14:paraId="5F627245" w14:textId="77777777" w:rsidR="00BC2A04" w:rsidRPr="001B6B99" w:rsidRDefault="00BC2A04" w:rsidP="00F257E0">
            <w:pPr>
              <w:pStyle w:val="TableText"/>
              <w:tabs>
                <w:tab w:val="left" w:pos="3306"/>
              </w:tabs>
              <w:jc w:val="right"/>
              <w:rPr>
                <w:rFonts w:cs="Calibri"/>
                <w:bCs/>
              </w:rPr>
            </w:pPr>
          </w:p>
        </w:tc>
        <w:tc>
          <w:tcPr>
            <w:tcW w:w="850" w:type="dxa"/>
            <w:gridSpan w:val="2"/>
          </w:tcPr>
          <w:p w14:paraId="5EC69822" w14:textId="77777777" w:rsidR="00BC2A04" w:rsidRPr="001B6B99" w:rsidRDefault="00BC2A04" w:rsidP="00F257E0">
            <w:pPr>
              <w:pStyle w:val="TableText"/>
              <w:tabs>
                <w:tab w:val="left" w:pos="3306"/>
              </w:tabs>
              <w:jc w:val="right"/>
              <w:rPr>
                <w:rFonts w:cs="Calibri"/>
                <w:bCs/>
              </w:rPr>
            </w:pPr>
          </w:p>
        </w:tc>
        <w:tc>
          <w:tcPr>
            <w:tcW w:w="851" w:type="dxa"/>
            <w:gridSpan w:val="2"/>
            <w:shd w:val="clear" w:color="auto" w:fill="auto"/>
            <w:vAlign w:val="bottom"/>
          </w:tcPr>
          <w:p w14:paraId="03C72CBE" w14:textId="77777777" w:rsidR="00BC2A04" w:rsidRPr="001B6B99" w:rsidRDefault="00BC2A04" w:rsidP="00F257E0">
            <w:pPr>
              <w:pStyle w:val="TableText"/>
              <w:tabs>
                <w:tab w:val="left" w:pos="3306"/>
              </w:tabs>
              <w:jc w:val="right"/>
              <w:rPr>
                <w:rFonts w:cs="Calibri"/>
                <w:bCs/>
              </w:rPr>
            </w:pPr>
          </w:p>
        </w:tc>
        <w:tc>
          <w:tcPr>
            <w:tcW w:w="1134" w:type="dxa"/>
            <w:gridSpan w:val="2"/>
            <w:shd w:val="clear" w:color="auto" w:fill="auto"/>
            <w:vAlign w:val="bottom"/>
          </w:tcPr>
          <w:p w14:paraId="0B0C2714" w14:textId="77777777" w:rsidR="00BC2A04" w:rsidRPr="001B6B99" w:rsidRDefault="00BC2A04" w:rsidP="00F257E0">
            <w:pPr>
              <w:pStyle w:val="TableText"/>
              <w:tabs>
                <w:tab w:val="left" w:pos="3306"/>
              </w:tabs>
              <w:jc w:val="right"/>
              <w:rPr>
                <w:rFonts w:cs="Calibri"/>
                <w:bCs/>
              </w:rPr>
            </w:pPr>
          </w:p>
        </w:tc>
        <w:tc>
          <w:tcPr>
            <w:tcW w:w="850" w:type="dxa"/>
            <w:gridSpan w:val="2"/>
            <w:shd w:val="clear" w:color="auto" w:fill="auto"/>
            <w:vAlign w:val="bottom"/>
          </w:tcPr>
          <w:p w14:paraId="6C43EAA0" w14:textId="77777777" w:rsidR="00BC2A04" w:rsidRPr="001B6B99" w:rsidRDefault="00BC2A04" w:rsidP="00F257E0">
            <w:pPr>
              <w:pStyle w:val="TableText"/>
              <w:tabs>
                <w:tab w:val="left" w:pos="3306"/>
              </w:tabs>
              <w:jc w:val="right"/>
              <w:rPr>
                <w:rFonts w:cs="Calibri"/>
                <w:bCs/>
              </w:rPr>
            </w:pPr>
          </w:p>
        </w:tc>
      </w:tr>
      <w:tr w:rsidR="00F257E0" w:rsidRPr="00AA76A0" w14:paraId="5CCBAA1A" w14:textId="77777777" w:rsidTr="00F22D61">
        <w:trPr>
          <w:gridAfter w:val="2"/>
          <w:wAfter w:w="284" w:type="dxa"/>
        </w:trPr>
        <w:tc>
          <w:tcPr>
            <w:tcW w:w="1557" w:type="dxa"/>
            <w:tcBorders>
              <w:left w:val="single" w:sz="2" w:space="0" w:color="003366"/>
              <w:right w:val="single" w:sz="2" w:space="0" w:color="003366"/>
            </w:tcBorders>
          </w:tcPr>
          <w:p w14:paraId="185E8C61"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E3C3209" w14:textId="77777777" w:rsidR="00F257E0" w:rsidRPr="001B6B99" w:rsidRDefault="00F257E0" w:rsidP="00F257E0">
            <w:pPr>
              <w:pStyle w:val="TableText"/>
              <w:tabs>
                <w:tab w:val="left" w:pos="3306"/>
              </w:tabs>
              <w:rPr>
                <w:rFonts w:cs="Calibri"/>
                <w:szCs w:val="16"/>
              </w:rPr>
            </w:pPr>
            <w:r w:rsidRPr="001B6B99">
              <w:rPr>
                <w:rFonts w:cs="Calibri"/>
                <w:szCs w:val="16"/>
              </w:rPr>
              <w:t>Inventories</w:t>
            </w:r>
          </w:p>
        </w:tc>
        <w:tc>
          <w:tcPr>
            <w:tcW w:w="850" w:type="dxa"/>
            <w:gridSpan w:val="2"/>
            <w:shd w:val="clear" w:color="auto" w:fill="auto"/>
          </w:tcPr>
          <w:p w14:paraId="66588A70"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6DC3DE99" w14:textId="77777777" w:rsidR="00F257E0" w:rsidRPr="001B6B99" w:rsidRDefault="00F257E0" w:rsidP="00F257E0">
            <w:pPr>
              <w:pStyle w:val="TableText"/>
              <w:tabs>
                <w:tab w:val="left" w:pos="3306"/>
              </w:tabs>
              <w:jc w:val="right"/>
              <w:rPr>
                <w:rFonts w:cs="Calibri"/>
                <w:bCs/>
              </w:rPr>
            </w:pPr>
          </w:p>
        </w:tc>
        <w:tc>
          <w:tcPr>
            <w:tcW w:w="850" w:type="dxa"/>
            <w:gridSpan w:val="2"/>
          </w:tcPr>
          <w:p w14:paraId="7A14BF75"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0E3F93B6" w14:textId="29F012FA"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381277F9"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3791508B" w14:textId="77777777" w:rsidR="00F257E0" w:rsidRPr="001B6B99" w:rsidRDefault="00F257E0" w:rsidP="00F257E0">
            <w:pPr>
              <w:pStyle w:val="TableText"/>
              <w:tabs>
                <w:tab w:val="left" w:pos="3306"/>
              </w:tabs>
              <w:jc w:val="right"/>
              <w:rPr>
                <w:rFonts w:cs="Calibri"/>
                <w:bCs/>
              </w:rPr>
            </w:pPr>
          </w:p>
        </w:tc>
      </w:tr>
      <w:tr w:rsidR="00F257E0" w:rsidRPr="00AA76A0" w14:paraId="23F359D6" w14:textId="77777777" w:rsidTr="00F22D61">
        <w:trPr>
          <w:gridAfter w:val="2"/>
          <w:wAfter w:w="284" w:type="dxa"/>
        </w:trPr>
        <w:tc>
          <w:tcPr>
            <w:tcW w:w="1557" w:type="dxa"/>
            <w:tcBorders>
              <w:left w:val="single" w:sz="2" w:space="0" w:color="003366"/>
              <w:right w:val="single" w:sz="2" w:space="0" w:color="003366"/>
            </w:tcBorders>
          </w:tcPr>
          <w:p w14:paraId="0C499DD6"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F38CDEA" w14:textId="77777777" w:rsidR="00F257E0" w:rsidRPr="001B6B99" w:rsidRDefault="00F257E0" w:rsidP="00F257E0">
            <w:pPr>
              <w:pStyle w:val="TableText"/>
              <w:tabs>
                <w:tab w:val="left" w:pos="3306"/>
              </w:tabs>
              <w:rPr>
                <w:rFonts w:cs="Calibri"/>
                <w:szCs w:val="16"/>
              </w:rPr>
            </w:pPr>
            <w:r w:rsidRPr="001B6B99">
              <w:rPr>
                <w:rFonts w:cs="Calibri"/>
                <w:szCs w:val="16"/>
              </w:rPr>
              <w:t>Assets Held for Sale</w:t>
            </w:r>
          </w:p>
        </w:tc>
        <w:tc>
          <w:tcPr>
            <w:tcW w:w="850" w:type="dxa"/>
            <w:gridSpan w:val="2"/>
            <w:shd w:val="clear" w:color="auto" w:fill="auto"/>
          </w:tcPr>
          <w:p w14:paraId="41408C88"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645C276E" w14:textId="77777777" w:rsidR="00F257E0" w:rsidRPr="001B6B99" w:rsidRDefault="00F257E0" w:rsidP="00F257E0">
            <w:pPr>
              <w:pStyle w:val="TableText"/>
              <w:tabs>
                <w:tab w:val="left" w:pos="3306"/>
              </w:tabs>
              <w:jc w:val="right"/>
              <w:rPr>
                <w:rFonts w:cs="Calibri"/>
                <w:bCs/>
              </w:rPr>
            </w:pPr>
          </w:p>
        </w:tc>
        <w:tc>
          <w:tcPr>
            <w:tcW w:w="850" w:type="dxa"/>
            <w:gridSpan w:val="2"/>
          </w:tcPr>
          <w:p w14:paraId="28E1DA55"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3E6181A0" w14:textId="0901E604"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3DB6A8B9"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237393A1" w14:textId="77777777" w:rsidR="00F257E0" w:rsidRPr="001B6B99" w:rsidRDefault="00F257E0" w:rsidP="00F257E0">
            <w:pPr>
              <w:pStyle w:val="TableText"/>
              <w:tabs>
                <w:tab w:val="left" w:pos="3306"/>
              </w:tabs>
              <w:jc w:val="right"/>
              <w:rPr>
                <w:rFonts w:cs="Calibri"/>
                <w:bCs/>
              </w:rPr>
            </w:pPr>
          </w:p>
        </w:tc>
      </w:tr>
      <w:tr w:rsidR="00F257E0" w:rsidRPr="00AA76A0" w14:paraId="62241678" w14:textId="77777777" w:rsidTr="00F22D61">
        <w:trPr>
          <w:gridAfter w:val="2"/>
          <w:wAfter w:w="284" w:type="dxa"/>
        </w:trPr>
        <w:tc>
          <w:tcPr>
            <w:tcW w:w="1557" w:type="dxa"/>
            <w:tcBorders>
              <w:left w:val="single" w:sz="2" w:space="0" w:color="003366"/>
              <w:right w:val="single" w:sz="2" w:space="0" w:color="003366"/>
            </w:tcBorders>
          </w:tcPr>
          <w:p w14:paraId="49CA321F"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CF19EC2" w14:textId="77777777" w:rsidR="00F257E0" w:rsidRPr="001B6B99" w:rsidRDefault="00F257E0" w:rsidP="00F257E0">
            <w:pPr>
              <w:pStyle w:val="TableText"/>
              <w:tabs>
                <w:tab w:val="left" w:pos="3306"/>
              </w:tabs>
              <w:rPr>
                <w:rFonts w:cs="Calibri"/>
                <w:szCs w:val="16"/>
              </w:rPr>
            </w:pPr>
            <w:r w:rsidRPr="001B6B99">
              <w:rPr>
                <w:rFonts w:cs="Calibri"/>
                <w:szCs w:val="16"/>
              </w:rPr>
              <w:t>Other Assets</w:t>
            </w:r>
          </w:p>
        </w:tc>
        <w:tc>
          <w:tcPr>
            <w:tcW w:w="850" w:type="dxa"/>
            <w:gridSpan w:val="2"/>
            <w:tcBorders>
              <w:bottom w:val="single" w:sz="2" w:space="0" w:color="auto"/>
            </w:tcBorders>
            <w:shd w:val="clear" w:color="auto" w:fill="auto"/>
          </w:tcPr>
          <w:p w14:paraId="0C646DF8" w14:textId="77777777" w:rsidR="00F257E0" w:rsidRPr="001B6B99"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03DB6F61" w14:textId="77777777" w:rsidR="00F257E0" w:rsidRPr="001B6B99" w:rsidRDefault="00F257E0" w:rsidP="00F257E0">
            <w:pPr>
              <w:pStyle w:val="TableText"/>
              <w:tabs>
                <w:tab w:val="left" w:pos="3306"/>
              </w:tabs>
              <w:jc w:val="right"/>
              <w:rPr>
                <w:rFonts w:cs="Calibri"/>
                <w:bCs/>
              </w:rPr>
            </w:pPr>
          </w:p>
        </w:tc>
        <w:tc>
          <w:tcPr>
            <w:tcW w:w="850" w:type="dxa"/>
            <w:gridSpan w:val="2"/>
            <w:tcBorders>
              <w:bottom w:val="single" w:sz="2" w:space="0" w:color="auto"/>
            </w:tcBorders>
          </w:tcPr>
          <w:p w14:paraId="3929D89E" w14:textId="77777777" w:rsidR="00F257E0" w:rsidRPr="001B6B99" w:rsidRDefault="00F257E0" w:rsidP="00F257E0">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144C9D21" w14:textId="7B81AF2A" w:rsidR="00F257E0" w:rsidRPr="001B6B99" w:rsidRDefault="00F257E0" w:rsidP="00F257E0">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A34BA00" w14:textId="77777777" w:rsidR="00F257E0" w:rsidRPr="001B6B99" w:rsidRDefault="00F257E0" w:rsidP="00F257E0">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33D088FD" w14:textId="77777777" w:rsidR="00F257E0" w:rsidRPr="001B6B99" w:rsidRDefault="00F257E0" w:rsidP="00F257E0">
            <w:pPr>
              <w:pStyle w:val="TableText"/>
              <w:tabs>
                <w:tab w:val="left" w:pos="3306"/>
              </w:tabs>
              <w:jc w:val="right"/>
              <w:rPr>
                <w:rFonts w:cs="Calibri"/>
                <w:bCs/>
              </w:rPr>
            </w:pPr>
          </w:p>
        </w:tc>
      </w:tr>
      <w:tr w:rsidR="00F257E0" w:rsidRPr="00AA76A0" w14:paraId="1A683977" w14:textId="77777777" w:rsidTr="00F22D61">
        <w:trPr>
          <w:gridAfter w:val="2"/>
          <w:wAfter w:w="284" w:type="dxa"/>
        </w:trPr>
        <w:tc>
          <w:tcPr>
            <w:tcW w:w="1557" w:type="dxa"/>
            <w:tcBorders>
              <w:left w:val="single" w:sz="2" w:space="0" w:color="003366"/>
              <w:right w:val="single" w:sz="2" w:space="0" w:color="003366"/>
            </w:tcBorders>
          </w:tcPr>
          <w:p w14:paraId="1D7EDB27"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26AA2DAD" w14:textId="77777777" w:rsidR="00F257E0" w:rsidRPr="001B6B99" w:rsidRDefault="00F257E0" w:rsidP="00F257E0">
            <w:pPr>
              <w:pStyle w:val="TableText"/>
              <w:tabs>
                <w:tab w:val="left" w:pos="3306"/>
              </w:tabs>
              <w:rPr>
                <w:rFonts w:cs="Calibri"/>
                <w:b/>
                <w:szCs w:val="16"/>
              </w:rPr>
            </w:pPr>
            <w:r w:rsidRPr="001B6B99">
              <w:rPr>
                <w:rFonts w:cs="Calibri"/>
                <w:b/>
                <w:szCs w:val="16"/>
              </w:rPr>
              <w:t>Total Current Assets</w:t>
            </w:r>
          </w:p>
        </w:tc>
        <w:tc>
          <w:tcPr>
            <w:tcW w:w="850" w:type="dxa"/>
            <w:gridSpan w:val="2"/>
            <w:tcBorders>
              <w:top w:val="single" w:sz="2" w:space="0" w:color="auto"/>
            </w:tcBorders>
            <w:shd w:val="clear" w:color="auto" w:fill="auto"/>
          </w:tcPr>
          <w:p w14:paraId="69A71CC3" w14:textId="77777777" w:rsidR="00F257E0" w:rsidRPr="001B6B99" w:rsidRDefault="00F257E0" w:rsidP="00F257E0">
            <w:pPr>
              <w:pStyle w:val="TableText"/>
              <w:tabs>
                <w:tab w:val="left" w:pos="3306"/>
              </w:tabs>
              <w:jc w:val="right"/>
              <w:rPr>
                <w:rFonts w:cs="Calibri"/>
                <w:b/>
                <w:bCs/>
                <w:strike/>
              </w:rPr>
            </w:pPr>
          </w:p>
        </w:tc>
        <w:tc>
          <w:tcPr>
            <w:tcW w:w="851" w:type="dxa"/>
            <w:gridSpan w:val="2"/>
            <w:tcBorders>
              <w:top w:val="single" w:sz="2" w:space="0" w:color="auto"/>
            </w:tcBorders>
            <w:shd w:val="clear" w:color="auto" w:fill="auto"/>
          </w:tcPr>
          <w:p w14:paraId="4B0759A7" w14:textId="77777777" w:rsidR="00F257E0" w:rsidRPr="001B6B99" w:rsidRDefault="00F257E0" w:rsidP="00F257E0">
            <w:pPr>
              <w:pStyle w:val="TableText"/>
              <w:tabs>
                <w:tab w:val="left" w:pos="3306"/>
              </w:tabs>
              <w:jc w:val="right"/>
              <w:rPr>
                <w:rFonts w:cs="Calibri"/>
                <w:b/>
                <w:bCs/>
                <w:strike/>
              </w:rPr>
            </w:pPr>
          </w:p>
        </w:tc>
        <w:tc>
          <w:tcPr>
            <w:tcW w:w="850" w:type="dxa"/>
            <w:gridSpan w:val="2"/>
            <w:tcBorders>
              <w:top w:val="single" w:sz="2" w:space="0" w:color="auto"/>
            </w:tcBorders>
          </w:tcPr>
          <w:p w14:paraId="4F89F1EC" w14:textId="77777777" w:rsidR="00F257E0" w:rsidRPr="001B6B99" w:rsidRDefault="00F257E0" w:rsidP="00F257E0">
            <w:pPr>
              <w:pStyle w:val="TableText"/>
              <w:tabs>
                <w:tab w:val="left" w:pos="3306"/>
              </w:tabs>
              <w:jc w:val="right"/>
              <w:rPr>
                <w:rFonts w:cs="Calibri"/>
                <w:b/>
                <w:bCs/>
                <w:strike/>
              </w:rPr>
            </w:pPr>
          </w:p>
        </w:tc>
        <w:tc>
          <w:tcPr>
            <w:tcW w:w="851" w:type="dxa"/>
            <w:gridSpan w:val="2"/>
            <w:tcBorders>
              <w:top w:val="single" w:sz="2" w:space="0" w:color="auto"/>
            </w:tcBorders>
            <w:shd w:val="clear" w:color="auto" w:fill="auto"/>
            <w:vAlign w:val="bottom"/>
          </w:tcPr>
          <w:p w14:paraId="74073C53" w14:textId="1567F0B4" w:rsidR="00F257E0" w:rsidRPr="001B6B99" w:rsidRDefault="00F257E0" w:rsidP="00F257E0">
            <w:pPr>
              <w:pStyle w:val="TableText"/>
              <w:tabs>
                <w:tab w:val="left" w:pos="3306"/>
              </w:tabs>
              <w:jc w:val="right"/>
              <w:rPr>
                <w:rFonts w:cs="Calibri"/>
                <w:b/>
                <w:bCs/>
                <w:strike/>
              </w:rPr>
            </w:pPr>
          </w:p>
        </w:tc>
        <w:tc>
          <w:tcPr>
            <w:tcW w:w="1134" w:type="dxa"/>
            <w:gridSpan w:val="2"/>
            <w:tcBorders>
              <w:top w:val="single" w:sz="2" w:space="0" w:color="auto"/>
            </w:tcBorders>
            <w:shd w:val="clear" w:color="auto" w:fill="auto"/>
            <w:vAlign w:val="bottom"/>
          </w:tcPr>
          <w:p w14:paraId="54A22221" w14:textId="77777777" w:rsidR="00F257E0" w:rsidRPr="001B6B99" w:rsidRDefault="00F257E0" w:rsidP="00F257E0">
            <w:pPr>
              <w:pStyle w:val="TableText"/>
              <w:tabs>
                <w:tab w:val="left" w:pos="3306"/>
              </w:tabs>
              <w:jc w:val="right"/>
              <w:rPr>
                <w:rFonts w:cs="Calibri"/>
                <w:b/>
                <w:bCs/>
                <w:strike/>
              </w:rPr>
            </w:pPr>
          </w:p>
        </w:tc>
        <w:tc>
          <w:tcPr>
            <w:tcW w:w="850" w:type="dxa"/>
            <w:gridSpan w:val="2"/>
            <w:tcBorders>
              <w:top w:val="single" w:sz="2" w:space="0" w:color="auto"/>
            </w:tcBorders>
            <w:shd w:val="clear" w:color="auto" w:fill="auto"/>
            <w:vAlign w:val="bottom"/>
          </w:tcPr>
          <w:p w14:paraId="6B042E11" w14:textId="77777777" w:rsidR="00F257E0" w:rsidRPr="001B6B99" w:rsidRDefault="00F257E0" w:rsidP="00F257E0">
            <w:pPr>
              <w:pStyle w:val="TableText"/>
              <w:tabs>
                <w:tab w:val="left" w:pos="3306"/>
              </w:tabs>
              <w:jc w:val="right"/>
              <w:rPr>
                <w:rFonts w:cs="Calibri"/>
                <w:b/>
                <w:bCs/>
              </w:rPr>
            </w:pPr>
          </w:p>
        </w:tc>
      </w:tr>
      <w:tr w:rsidR="00F257E0" w:rsidRPr="00AA76A0" w14:paraId="012E493B" w14:textId="77777777" w:rsidTr="00F22D61">
        <w:trPr>
          <w:gridAfter w:val="2"/>
          <w:wAfter w:w="284" w:type="dxa"/>
          <w:trHeight w:hRule="exact" w:val="170"/>
        </w:trPr>
        <w:tc>
          <w:tcPr>
            <w:tcW w:w="1557" w:type="dxa"/>
            <w:tcBorders>
              <w:left w:val="single" w:sz="2" w:space="0" w:color="003366"/>
              <w:right w:val="single" w:sz="2" w:space="0" w:color="003366"/>
            </w:tcBorders>
          </w:tcPr>
          <w:p w14:paraId="2B71444D"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3560F0C" w14:textId="77777777" w:rsidR="00F257E0" w:rsidRPr="001B6B99" w:rsidRDefault="00F257E0" w:rsidP="00F257E0">
            <w:pPr>
              <w:pStyle w:val="TableText"/>
              <w:tabs>
                <w:tab w:val="left" w:pos="3306"/>
              </w:tabs>
              <w:rPr>
                <w:rFonts w:cs="Calibri"/>
                <w:szCs w:val="16"/>
              </w:rPr>
            </w:pPr>
          </w:p>
        </w:tc>
        <w:tc>
          <w:tcPr>
            <w:tcW w:w="850" w:type="dxa"/>
            <w:gridSpan w:val="2"/>
            <w:shd w:val="clear" w:color="auto" w:fill="auto"/>
          </w:tcPr>
          <w:p w14:paraId="078C075F"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220369FB" w14:textId="77777777" w:rsidR="00F257E0" w:rsidRPr="001B6B99" w:rsidRDefault="00F257E0" w:rsidP="00F257E0">
            <w:pPr>
              <w:pStyle w:val="TableText"/>
              <w:tabs>
                <w:tab w:val="left" w:pos="3306"/>
              </w:tabs>
              <w:jc w:val="right"/>
              <w:rPr>
                <w:rFonts w:cs="Calibri"/>
                <w:bCs/>
              </w:rPr>
            </w:pPr>
          </w:p>
        </w:tc>
        <w:tc>
          <w:tcPr>
            <w:tcW w:w="850" w:type="dxa"/>
            <w:gridSpan w:val="2"/>
          </w:tcPr>
          <w:p w14:paraId="3C0F1875"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78058AF0" w14:textId="7A12BDFA"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07B00157"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06302CAB" w14:textId="77777777" w:rsidR="00F257E0" w:rsidRPr="001B6B99" w:rsidRDefault="00F257E0" w:rsidP="00F257E0">
            <w:pPr>
              <w:pStyle w:val="TableText"/>
              <w:tabs>
                <w:tab w:val="left" w:pos="3306"/>
              </w:tabs>
              <w:jc w:val="right"/>
              <w:rPr>
                <w:rFonts w:cs="Calibri"/>
                <w:bCs/>
              </w:rPr>
            </w:pPr>
          </w:p>
        </w:tc>
      </w:tr>
      <w:tr w:rsidR="00F257E0" w:rsidRPr="00AA76A0" w14:paraId="20CA9B85" w14:textId="77777777" w:rsidTr="00F22D61">
        <w:trPr>
          <w:gridAfter w:val="2"/>
          <w:wAfter w:w="284" w:type="dxa"/>
        </w:trPr>
        <w:tc>
          <w:tcPr>
            <w:tcW w:w="1557" w:type="dxa"/>
            <w:tcBorders>
              <w:left w:val="single" w:sz="2" w:space="0" w:color="003366"/>
              <w:right w:val="single" w:sz="2" w:space="0" w:color="003366"/>
            </w:tcBorders>
          </w:tcPr>
          <w:p w14:paraId="67BC1D3F" w14:textId="77777777" w:rsidR="00F257E0" w:rsidRPr="004C6029" w:rsidRDefault="00F257E0" w:rsidP="00F257E0">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6BAD84C" w14:textId="77777777" w:rsidR="00F257E0" w:rsidRPr="001B6B99" w:rsidRDefault="00F257E0" w:rsidP="00F257E0">
            <w:pPr>
              <w:pStyle w:val="TableText"/>
              <w:tabs>
                <w:tab w:val="left" w:pos="3306"/>
              </w:tabs>
              <w:rPr>
                <w:rFonts w:cs="Calibri"/>
                <w:b/>
                <w:szCs w:val="16"/>
              </w:rPr>
            </w:pPr>
            <w:r w:rsidRPr="001B6B99">
              <w:rPr>
                <w:rFonts w:cs="Calibri"/>
                <w:b/>
                <w:szCs w:val="16"/>
              </w:rPr>
              <w:t>Non-Current Assets</w:t>
            </w:r>
          </w:p>
        </w:tc>
        <w:tc>
          <w:tcPr>
            <w:tcW w:w="850" w:type="dxa"/>
            <w:gridSpan w:val="2"/>
            <w:shd w:val="clear" w:color="auto" w:fill="auto"/>
          </w:tcPr>
          <w:p w14:paraId="3908BBD1"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tcPr>
          <w:p w14:paraId="1F1A2375" w14:textId="77777777" w:rsidR="00F257E0" w:rsidRPr="001B6B99" w:rsidRDefault="00F257E0" w:rsidP="00F257E0">
            <w:pPr>
              <w:pStyle w:val="TableText"/>
              <w:tabs>
                <w:tab w:val="left" w:pos="3306"/>
              </w:tabs>
              <w:jc w:val="right"/>
              <w:rPr>
                <w:rFonts w:cs="Calibri"/>
                <w:bCs/>
              </w:rPr>
            </w:pPr>
          </w:p>
        </w:tc>
        <w:tc>
          <w:tcPr>
            <w:tcW w:w="850" w:type="dxa"/>
            <w:gridSpan w:val="2"/>
          </w:tcPr>
          <w:p w14:paraId="2911185F" w14:textId="77777777" w:rsidR="00F257E0" w:rsidRPr="001B6B99" w:rsidRDefault="00F257E0" w:rsidP="00F257E0">
            <w:pPr>
              <w:pStyle w:val="TableText"/>
              <w:tabs>
                <w:tab w:val="left" w:pos="3306"/>
              </w:tabs>
              <w:jc w:val="right"/>
              <w:rPr>
                <w:rFonts w:cs="Calibri"/>
                <w:bCs/>
              </w:rPr>
            </w:pPr>
          </w:p>
        </w:tc>
        <w:tc>
          <w:tcPr>
            <w:tcW w:w="851" w:type="dxa"/>
            <w:gridSpan w:val="2"/>
            <w:shd w:val="clear" w:color="auto" w:fill="auto"/>
            <w:vAlign w:val="bottom"/>
          </w:tcPr>
          <w:p w14:paraId="48CF13DF" w14:textId="2A2A0511" w:rsidR="00F257E0" w:rsidRPr="001B6B99" w:rsidRDefault="00F257E0" w:rsidP="00F257E0">
            <w:pPr>
              <w:pStyle w:val="TableText"/>
              <w:tabs>
                <w:tab w:val="left" w:pos="3306"/>
              </w:tabs>
              <w:jc w:val="right"/>
              <w:rPr>
                <w:rFonts w:cs="Calibri"/>
                <w:bCs/>
              </w:rPr>
            </w:pPr>
          </w:p>
        </w:tc>
        <w:tc>
          <w:tcPr>
            <w:tcW w:w="1134" w:type="dxa"/>
            <w:gridSpan w:val="2"/>
            <w:shd w:val="clear" w:color="auto" w:fill="auto"/>
            <w:vAlign w:val="bottom"/>
          </w:tcPr>
          <w:p w14:paraId="4B3A4015" w14:textId="77777777" w:rsidR="00F257E0" w:rsidRPr="001B6B99" w:rsidRDefault="00F257E0" w:rsidP="00F257E0">
            <w:pPr>
              <w:pStyle w:val="TableText"/>
              <w:tabs>
                <w:tab w:val="left" w:pos="3306"/>
              </w:tabs>
              <w:jc w:val="right"/>
              <w:rPr>
                <w:rFonts w:cs="Calibri"/>
                <w:bCs/>
              </w:rPr>
            </w:pPr>
          </w:p>
        </w:tc>
        <w:tc>
          <w:tcPr>
            <w:tcW w:w="850" w:type="dxa"/>
            <w:gridSpan w:val="2"/>
            <w:shd w:val="clear" w:color="auto" w:fill="auto"/>
            <w:vAlign w:val="bottom"/>
          </w:tcPr>
          <w:p w14:paraId="14B938F4" w14:textId="77777777" w:rsidR="00F257E0" w:rsidRPr="001B6B99" w:rsidRDefault="00F257E0" w:rsidP="00F257E0">
            <w:pPr>
              <w:pStyle w:val="TableText"/>
              <w:tabs>
                <w:tab w:val="left" w:pos="3306"/>
              </w:tabs>
              <w:jc w:val="right"/>
              <w:rPr>
                <w:rFonts w:cs="Calibri"/>
                <w:bCs/>
              </w:rPr>
            </w:pPr>
          </w:p>
        </w:tc>
      </w:tr>
      <w:tr w:rsidR="00BC2A04" w:rsidRPr="00AA76A0" w14:paraId="741B182B" w14:textId="77777777" w:rsidTr="00F22D61">
        <w:trPr>
          <w:gridAfter w:val="2"/>
          <w:wAfter w:w="284" w:type="dxa"/>
        </w:trPr>
        <w:tc>
          <w:tcPr>
            <w:tcW w:w="1557" w:type="dxa"/>
            <w:tcBorders>
              <w:left w:val="single" w:sz="2" w:space="0" w:color="003366"/>
              <w:right w:val="single" w:sz="2" w:space="0" w:color="003366"/>
            </w:tcBorders>
          </w:tcPr>
          <w:p w14:paraId="46203698" w14:textId="77777777" w:rsidR="00BC2A04" w:rsidRPr="00BF5701" w:rsidRDefault="00BC2A04" w:rsidP="00BC2A04">
            <w:pPr>
              <w:pStyle w:val="Reference"/>
              <w:rPr>
                <w:rFonts w:cs="Calibri"/>
                <w:b w:val="0"/>
                <w:bCs w:val="0"/>
                <w:strike/>
                <w:color w:val="FF0000"/>
                <w:sz w:val="14"/>
                <w:szCs w:val="14"/>
              </w:rPr>
            </w:pPr>
          </w:p>
        </w:tc>
        <w:tc>
          <w:tcPr>
            <w:tcW w:w="3402" w:type="dxa"/>
            <w:tcBorders>
              <w:left w:val="single" w:sz="2" w:space="0" w:color="003366"/>
            </w:tcBorders>
            <w:shd w:val="clear" w:color="auto" w:fill="auto"/>
            <w:vAlign w:val="bottom"/>
          </w:tcPr>
          <w:p w14:paraId="5CDB31DE" w14:textId="3D23B392" w:rsidR="00BC2A04" w:rsidRPr="001B6B99" w:rsidRDefault="00BC2A04" w:rsidP="00BC2A04">
            <w:pPr>
              <w:pStyle w:val="TableText"/>
              <w:tabs>
                <w:tab w:val="left" w:pos="3306"/>
              </w:tabs>
              <w:rPr>
                <w:rFonts w:cs="Calibri"/>
                <w:b/>
                <w:szCs w:val="16"/>
              </w:rPr>
            </w:pPr>
            <w:r w:rsidRPr="001B6B99">
              <w:rPr>
                <w:rFonts w:cs="Calibri"/>
                <w:szCs w:val="16"/>
              </w:rPr>
              <w:t xml:space="preserve">Investments </w:t>
            </w:r>
          </w:p>
        </w:tc>
        <w:tc>
          <w:tcPr>
            <w:tcW w:w="850" w:type="dxa"/>
            <w:gridSpan w:val="2"/>
            <w:shd w:val="clear" w:color="auto" w:fill="auto"/>
          </w:tcPr>
          <w:p w14:paraId="60150AE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224F55E6" w14:textId="77777777" w:rsidR="00BC2A04" w:rsidRPr="001B6B99" w:rsidRDefault="00BC2A04" w:rsidP="00BC2A04">
            <w:pPr>
              <w:pStyle w:val="TableText"/>
              <w:tabs>
                <w:tab w:val="left" w:pos="3306"/>
              </w:tabs>
              <w:jc w:val="right"/>
              <w:rPr>
                <w:rFonts w:cs="Calibri"/>
                <w:bCs/>
              </w:rPr>
            </w:pPr>
          </w:p>
        </w:tc>
        <w:tc>
          <w:tcPr>
            <w:tcW w:w="850" w:type="dxa"/>
            <w:gridSpan w:val="2"/>
          </w:tcPr>
          <w:p w14:paraId="589F0B34"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687DC200" w14:textId="77777777"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3B885A5C"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78FF4586" w14:textId="77777777" w:rsidR="00BC2A04" w:rsidRPr="001B6B99" w:rsidRDefault="00BC2A04" w:rsidP="00BC2A04">
            <w:pPr>
              <w:pStyle w:val="TableText"/>
              <w:tabs>
                <w:tab w:val="left" w:pos="3306"/>
              </w:tabs>
              <w:jc w:val="right"/>
              <w:rPr>
                <w:rFonts w:cs="Calibri"/>
                <w:bCs/>
              </w:rPr>
            </w:pPr>
          </w:p>
        </w:tc>
      </w:tr>
      <w:tr w:rsidR="00BC2A04" w:rsidRPr="00AA76A0" w14:paraId="26B9F4C8" w14:textId="77777777" w:rsidTr="00F22D61">
        <w:trPr>
          <w:gridAfter w:val="2"/>
          <w:wAfter w:w="284" w:type="dxa"/>
        </w:trPr>
        <w:tc>
          <w:tcPr>
            <w:tcW w:w="1557" w:type="dxa"/>
            <w:tcBorders>
              <w:left w:val="single" w:sz="2" w:space="0" w:color="003366"/>
              <w:right w:val="single" w:sz="2" w:space="0" w:color="003366"/>
            </w:tcBorders>
          </w:tcPr>
          <w:p w14:paraId="17BCFD9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859F74E" w14:textId="77777777" w:rsidR="00BC2A04" w:rsidRPr="001B6B99" w:rsidRDefault="00BC2A04" w:rsidP="00BC2A04">
            <w:pPr>
              <w:pStyle w:val="TableText"/>
              <w:tabs>
                <w:tab w:val="left" w:pos="3306"/>
              </w:tabs>
              <w:rPr>
                <w:rFonts w:cs="Calibri"/>
                <w:szCs w:val="16"/>
              </w:rPr>
            </w:pPr>
            <w:r w:rsidRPr="001B6B99">
              <w:rPr>
                <w:rFonts w:cs="Calibri"/>
                <w:szCs w:val="16"/>
              </w:rPr>
              <w:t>Receivables</w:t>
            </w:r>
          </w:p>
        </w:tc>
        <w:tc>
          <w:tcPr>
            <w:tcW w:w="850" w:type="dxa"/>
            <w:gridSpan w:val="2"/>
            <w:shd w:val="clear" w:color="auto" w:fill="auto"/>
          </w:tcPr>
          <w:p w14:paraId="3E713690"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18471A3E" w14:textId="77777777" w:rsidR="00BC2A04" w:rsidRPr="001B6B99" w:rsidRDefault="00BC2A04" w:rsidP="00BC2A04">
            <w:pPr>
              <w:pStyle w:val="TableText"/>
              <w:tabs>
                <w:tab w:val="left" w:pos="3306"/>
              </w:tabs>
              <w:jc w:val="right"/>
              <w:rPr>
                <w:rFonts w:cs="Calibri"/>
                <w:bCs/>
              </w:rPr>
            </w:pPr>
          </w:p>
        </w:tc>
        <w:tc>
          <w:tcPr>
            <w:tcW w:w="850" w:type="dxa"/>
            <w:gridSpan w:val="2"/>
          </w:tcPr>
          <w:p w14:paraId="3B7385BC"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7AC66D86" w14:textId="0FE0BB06"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2964A5F1"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153ED68F" w14:textId="77777777" w:rsidR="00BC2A04" w:rsidRPr="001B6B99" w:rsidRDefault="00BC2A04" w:rsidP="00BC2A04">
            <w:pPr>
              <w:pStyle w:val="TableText"/>
              <w:tabs>
                <w:tab w:val="left" w:pos="3306"/>
              </w:tabs>
              <w:jc w:val="right"/>
              <w:rPr>
                <w:rFonts w:cs="Calibri"/>
                <w:bCs/>
              </w:rPr>
            </w:pPr>
          </w:p>
        </w:tc>
      </w:tr>
      <w:tr w:rsidR="00BC2A04" w:rsidRPr="00AA76A0" w14:paraId="1CC5146F" w14:textId="77777777" w:rsidTr="00F22D61">
        <w:trPr>
          <w:gridAfter w:val="2"/>
          <w:wAfter w:w="284" w:type="dxa"/>
        </w:trPr>
        <w:tc>
          <w:tcPr>
            <w:tcW w:w="1557" w:type="dxa"/>
            <w:tcBorders>
              <w:left w:val="single" w:sz="2" w:space="0" w:color="003366"/>
              <w:right w:val="single" w:sz="2" w:space="0" w:color="003366"/>
            </w:tcBorders>
          </w:tcPr>
          <w:p w14:paraId="46F06569"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F6F554C" w14:textId="50CA08BA" w:rsidR="00BC2A04" w:rsidRPr="001B6B99" w:rsidRDefault="00BC2A04" w:rsidP="00BC2A04">
            <w:pPr>
              <w:pStyle w:val="TableText"/>
              <w:tabs>
                <w:tab w:val="left" w:pos="3306"/>
              </w:tabs>
              <w:rPr>
                <w:rFonts w:cs="Calibri"/>
                <w:szCs w:val="16"/>
              </w:rPr>
            </w:pPr>
            <w:r w:rsidRPr="001B6B99">
              <w:rPr>
                <w:rFonts w:cs="Calibri"/>
              </w:rPr>
              <w:t>Contract Assets</w:t>
            </w:r>
          </w:p>
        </w:tc>
        <w:tc>
          <w:tcPr>
            <w:tcW w:w="850" w:type="dxa"/>
            <w:gridSpan w:val="2"/>
            <w:shd w:val="clear" w:color="auto" w:fill="auto"/>
          </w:tcPr>
          <w:p w14:paraId="3D280A85"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442855DA" w14:textId="77777777" w:rsidR="00BC2A04" w:rsidRPr="001B6B99" w:rsidRDefault="00BC2A04" w:rsidP="00BC2A04">
            <w:pPr>
              <w:pStyle w:val="TableText"/>
              <w:tabs>
                <w:tab w:val="left" w:pos="3306"/>
              </w:tabs>
              <w:jc w:val="right"/>
              <w:rPr>
                <w:rFonts w:cs="Calibri"/>
                <w:bCs/>
              </w:rPr>
            </w:pPr>
          </w:p>
        </w:tc>
        <w:tc>
          <w:tcPr>
            <w:tcW w:w="850" w:type="dxa"/>
            <w:gridSpan w:val="2"/>
          </w:tcPr>
          <w:p w14:paraId="400CBF0B"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5A725540" w14:textId="59DE4BBF"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F3D55E8"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1F15A76F" w14:textId="77777777" w:rsidR="00BC2A04" w:rsidRPr="001B6B99" w:rsidRDefault="00BC2A04" w:rsidP="00BC2A04">
            <w:pPr>
              <w:pStyle w:val="TableText"/>
              <w:tabs>
                <w:tab w:val="left" w:pos="3306"/>
              </w:tabs>
              <w:jc w:val="right"/>
              <w:rPr>
                <w:rFonts w:cs="Calibri"/>
                <w:bCs/>
              </w:rPr>
            </w:pPr>
          </w:p>
        </w:tc>
      </w:tr>
      <w:tr w:rsidR="006B5DF1" w:rsidRPr="00AA76A0" w14:paraId="7710B4AF" w14:textId="77777777" w:rsidTr="00F22D61">
        <w:trPr>
          <w:gridAfter w:val="2"/>
          <w:wAfter w:w="284" w:type="dxa"/>
        </w:trPr>
        <w:tc>
          <w:tcPr>
            <w:tcW w:w="1557" w:type="dxa"/>
            <w:tcBorders>
              <w:left w:val="single" w:sz="2" w:space="0" w:color="003366"/>
              <w:right w:val="single" w:sz="2" w:space="0" w:color="003366"/>
            </w:tcBorders>
          </w:tcPr>
          <w:p w14:paraId="0F4B4A09" w14:textId="77777777" w:rsidR="006B5DF1" w:rsidRPr="004C6029" w:rsidRDefault="006B5DF1"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663E36E" w14:textId="56F08726" w:rsidR="006B5DF1" w:rsidRPr="001B6B99" w:rsidRDefault="006B5DF1" w:rsidP="00BC2A04">
            <w:pPr>
              <w:pStyle w:val="TableText"/>
              <w:tabs>
                <w:tab w:val="left" w:pos="3306"/>
              </w:tabs>
              <w:rPr>
                <w:rFonts w:cs="Calibri"/>
              </w:rPr>
            </w:pPr>
            <w:r w:rsidRPr="001B6B99">
              <w:rPr>
                <w:rFonts w:cs="Calibri"/>
                <w:szCs w:val="16"/>
              </w:rPr>
              <w:t>Inventories</w:t>
            </w:r>
          </w:p>
        </w:tc>
        <w:tc>
          <w:tcPr>
            <w:tcW w:w="850" w:type="dxa"/>
            <w:gridSpan w:val="2"/>
            <w:shd w:val="clear" w:color="auto" w:fill="auto"/>
          </w:tcPr>
          <w:p w14:paraId="5118DA96" w14:textId="77777777" w:rsidR="006B5DF1" w:rsidRPr="001B6B99" w:rsidRDefault="006B5DF1" w:rsidP="00BC2A04">
            <w:pPr>
              <w:pStyle w:val="TableText"/>
              <w:tabs>
                <w:tab w:val="left" w:pos="3306"/>
              </w:tabs>
              <w:jc w:val="right"/>
              <w:rPr>
                <w:rFonts w:cs="Calibri"/>
                <w:bCs/>
              </w:rPr>
            </w:pPr>
          </w:p>
        </w:tc>
        <w:tc>
          <w:tcPr>
            <w:tcW w:w="851" w:type="dxa"/>
            <w:gridSpan w:val="2"/>
            <w:shd w:val="clear" w:color="auto" w:fill="auto"/>
          </w:tcPr>
          <w:p w14:paraId="41868E59" w14:textId="77777777" w:rsidR="006B5DF1" w:rsidRPr="001B6B99" w:rsidRDefault="006B5DF1" w:rsidP="00BC2A04">
            <w:pPr>
              <w:pStyle w:val="TableText"/>
              <w:tabs>
                <w:tab w:val="left" w:pos="3306"/>
              </w:tabs>
              <w:jc w:val="right"/>
              <w:rPr>
                <w:rFonts w:cs="Calibri"/>
                <w:bCs/>
              </w:rPr>
            </w:pPr>
          </w:p>
        </w:tc>
        <w:tc>
          <w:tcPr>
            <w:tcW w:w="850" w:type="dxa"/>
            <w:gridSpan w:val="2"/>
          </w:tcPr>
          <w:p w14:paraId="620FCEB6" w14:textId="77777777" w:rsidR="006B5DF1" w:rsidRPr="001B6B99" w:rsidRDefault="006B5DF1" w:rsidP="00BC2A04">
            <w:pPr>
              <w:pStyle w:val="TableText"/>
              <w:tabs>
                <w:tab w:val="left" w:pos="3306"/>
              </w:tabs>
              <w:jc w:val="right"/>
              <w:rPr>
                <w:rFonts w:cs="Calibri"/>
                <w:bCs/>
              </w:rPr>
            </w:pPr>
          </w:p>
        </w:tc>
        <w:tc>
          <w:tcPr>
            <w:tcW w:w="851" w:type="dxa"/>
            <w:gridSpan w:val="2"/>
            <w:shd w:val="clear" w:color="auto" w:fill="auto"/>
            <w:vAlign w:val="bottom"/>
          </w:tcPr>
          <w:p w14:paraId="137A08EB" w14:textId="77777777" w:rsidR="006B5DF1" w:rsidRPr="001B6B99" w:rsidRDefault="006B5DF1" w:rsidP="00BC2A04">
            <w:pPr>
              <w:pStyle w:val="TableText"/>
              <w:tabs>
                <w:tab w:val="left" w:pos="3306"/>
              </w:tabs>
              <w:jc w:val="right"/>
              <w:rPr>
                <w:rFonts w:cs="Calibri"/>
                <w:bCs/>
              </w:rPr>
            </w:pPr>
          </w:p>
        </w:tc>
        <w:tc>
          <w:tcPr>
            <w:tcW w:w="1134" w:type="dxa"/>
            <w:gridSpan w:val="2"/>
            <w:shd w:val="clear" w:color="auto" w:fill="auto"/>
            <w:vAlign w:val="bottom"/>
          </w:tcPr>
          <w:p w14:paraId="4BB4C8F5" w14:textId="77777777" w:rsidR="006B5DF1" w:rsidRPr="001B6B99" w:rsidRDefault="006B5DF1" w:rsidP="00BC2A04">
            <w:pPr>
              <w:pStyle w:val="TableText"/>
              <w:tabs>
                <w:tab w:val="left" w:pos="3306"/>
              </w:tabs>
              <w:jc w:val="right"/>
              <w:rPr>
                <w:rFonts w:cs="Calibri"/>
                <w:bCs/>
              </w:rPr>
            </w:pPr>
          </w:p>
        </w:tc>
        <w:tc>
          <w:tcPr>
            <w:tcW w:w="850" w:type="dxa"/>
            <w:gridSpan w:val="2"/>
            <w:shd w:val="clear" w:color="auto" w:fill="auto"/>
            <w:vAlign w:val="bottom"/>
          </w:tcPr>
          <w:p w14:paraId="718E3192" w14:textId="77777777" w:rsidR="006B5DF1" w:rsidRPr="001B6B99" w:rsidRDefault="006B5DF1" w:rsidP="00BC2A04">
            <w:pPr>
              <w:pStyle w:val="TableText"/>
              <w:tabs>
                <w:tab w:val="left" w:pos="3306"/>
              </w:tabs>
              <w:jc w:val="right"/>
              <w:rPr>
                <w:rFonts w:cs="Calibri"/>
                <w:bCs/>
              </w:rPr>
            </w:pPr>
          </w:p>
        </w:tc>
      </w:tr>
      <w:tr w:rsidR="00BC2A04" w:rsidRPr="00AA76A0" w14:paraId="4B41BC95" w14:textId="77777777" w:rsidTr="00F22D61">
        <w:trPr>
          <w:gridAfter w:val="2"/>
          <w:wAfter w:w="284" w:type="dxa"/>
        </w:trPr>
        <w:tc>
          <w:tcPr>
            <w:tcW w:w="1557" w:type="dxa"/>
            <w:tcBorders>
              <w:left w:val="single" w:sz="2" w:space="0" w:color="003366"/>
              <w:right w:val="single" w:sz="2" w:space="0" w:color="003366"/>
            </w:tcBorders>
          </w:tcPr>
          <w:p w14:paraId="4FADA843"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41CE62F" w14:textId="77777777" w:rsidR="00BC2A04" w:rsidRPr="001B6B99" w:rsidRDefault="00BC2A04" w:rsidP="00BC2A04">
            <w:pPr>
              <w:pStyle w:val="TableText"/>
              <w:tabs>
                <w:tab w:val="left" w:pos="3306"/>
              </w:tabs>
              <w:rPr>
                <w:rFonts w:cs="Calibri"/>
                <w:szCs w:val="16"/>
              </w:rPr>
            </w:pPr>
            <w:r w:rsidRPr="001B6B99">
              <w:rPr>
                <w:rFonts w:cs="Calibri"/>
                <w:szCs w:val="16"/>
              </w:rPr>
              <w:t>Investment – Joint Venture</w:t>
            </w:r>
          </w:p>
        </w:tc>
        <w:tc>
          <w:tcPr>
            <w:tcW w:w="850" w:type="dxa"/>
            <w:gridSpan w:val="2"/>
            <w:shd w:val="clear" w:color="auto" w:fill="auto"/>
          </w:tcPr>
          <w:p w14:paraId="73B77CBA"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6138DBBC" w14:textId="77777777" w:rsidR="00BC2A04" w:rsidRPr="001B6B99" w:rsidRDefault="00BC2A04" w:rsidP="00BC2A04">
            <w:pPr>
              <w:pStyle w:val="TableText"/>
              <w:tabs>
                <w:tab w:val="left" w:pos="3306"/>
              </w:tabs>
              <w:jc w:val="right"/>
              <w:rPr>
                <w:rFonts w:cs="Calibri"/>
                <w:bCs/>
              </w:rPr>
            </w:pPr>
          </w:p>
        </w:tc>
        <w:tc>
          <w:tcPr>
            <w:tcW w:w="850" w:type="dxa"/>
            <w:gridSpan w:val="2"/>
          </w:tcPr>
          <w:p w14:paraId="4C21A876"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5D52B85A" w14:textId="4409EEF9"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977349A"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7D29E4F6" w14:textId="77777777" w:rsidR="00BC2A04" w:rsidRPr="001B6B99" w:rsidRDefault="00BC2A04" w:rsidP="00BC2A04">
            <w:pPr>
              <w:pStyle w:val="TableText"/>
              <w:tabs>
                <w:tab w:val="left" w:pos="3306"/>
              </w:tabs>
              <w:jc w:val="right"/>
              <w:rPr>
                <w:rFonts w:cs="Calibri"/>
                <w:bCs/>
              </w:rPr>
            </w:pPr>
          </w:p>
        </w:tc>
      </w:tr>
      <w:tr w:rsidR="00BC2A04" w:rsidRPr="00AA76A0" w14:paraId="1BAE5944" w14:textId="77777777" w:rsidTr="00F22D61">
        <w:trPr>
          <w:gridAfter w:val="2"/>
          <w:wAfter w:w="284" w:type="dxa"/>
        </w:trPr>
        <w:tc>
          <w:tcPr>
            <w:tcW w:w="1557" w:type="dxa"/>
            <w:tcBorders>
              <w:left w:val="single" w:sz="2" w:space="0" w:color="003366"/>
              <w:right w:val="single" w:sz="2" w:space="0" w:color="003366"/>
            </w:tcBorders>
          </w:tcPr>
          <w:p w14:paraId="33EC8CDA"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4E4502E" w14:textId="77777777" w:rsidR="00BC2A04" w:rsidRPr="001B6B99" w:rsidRDefault="00BC2A04" w:rsidP="00BC2A04">
            <w:pPr>
              <w:pStyle w:val="TableText"/>
              <w:tabs>
                <w:tab w:val="left" w:pos="3306"/>
              </w:tabs>
              <w:rPr>
                <w:rFonts w:cs="Calibri"/>
                <w:szCs w:val="16"/>
              </w:rPr>
            </w:pPr>
            <w:r w:rsidRPr="001B6B99">
              <w:rPr>
                <w:rFonts w:cs="Calibri"/>
                <w:szCs w:val="16"/>
              </w:rPr>
              <w:t>Property, Plant and Equipment</w:t>
            </w:r>
          </w:p>
        </w:tc>
        <w:tc>
          <w:tcPr>
            <w:tcW w:w="850" w:type="dxa"/>
            <w:gridSpan w:val="2"/>
            <w:shd w:val="clear" w:color="auto" w:fill="auto"/>
          </w:tcPr>
          <w:p w14:paraId="15E4A50B"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7F9C508A" w14:textId="77777777" w:rsidR="00BC2A04" w:rsidRPr="001B6B99" w:rsidRDefault="00BC2A04" w:rsidP="00BC2A04">
            <w:pPr>
              <w:pStyle w:val="TableText"/>
              <w:tabs>
                <w:tab w:val="left" w:pos="3306"/>
              </w:tabs>
              <w:jc w:val="right"/>
              <w:rPr>
                <w:rFonts w:cs="Calibri"/>
                <w:bCs/>
              </w:rPr>
            </w:pPr>
          </w:p>
        </w:tc>
        <w:tc>
          <w:tcPr>
            <w:tcW w:w="850" w:type="dxa"/>
            <w:gridSpan w:val="2"/>
          </w:tcPr>
          <w:p w14:paraId="78429AA0"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2ACAAB28" w14:textId="4248A72F" w:rsidR="00BC2A04" w:rsidRPr="001B6B99" w:rsidRDefault="00BC2A04" w:rsidP="00BC2A04">
            <w:pPr>
              <w:pStyle w:val="TableText"/>
              <w:tabs>
                <w:tab w:val="left" w:pos="3306"/>
              </w:tabs>
              <w:jc w:val="right"/>
              <w:rPr>
                <w:rFonts w:cs="Calibri"/>
                <w:bCs/>
              </w:rPr>
            </w:pPr>
          </w:p>
        </w:tc>
        <w:tc>
          <w:tcPr>
            <w:tcW w:w="1134" w:type="dxa"/>
            <w:gridSpan w:val="2"/>
            <w:shd w:val="clear" w:color="auto" w:fill="auto"/>
          </w:tcPr>
          <w:p w14:paraId="3C14DC19"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tcPr>
          <w:p w14:paraId="074C7843" w14:textId="77777777" w:rsidR="00BC2A04" w:rsidRPr="001B6B99" w:rsidRDefault="00BC2A04" w:rsidP="00BC2A04">
            <w:pPr>
              <w:pStyle w:val="TableText"/>
              <w:tabs>
                <w:tab w:val="left" w:pos="3306"/>
              </w:tabs>
              <w:jc w:val="right"/>
              <w:rPr>
                <w:rFonts w:cs="Calibri"/>
                <w:bCs/>
              </w:rPr>
            </w:pPr>
          </w:p>
        </w:tc>
      </w:tr>
      <w:tr w:rsidR="00BC2A04" w:rsidRPr="00AA76A0" w14:paraId="74743F6F" w14:textId="77777777" w:rsidTr="00F22D61">
        <w:trPr>
          <w:gridAfter w:val="2"/>
          <w:wAfter w:w="284" w:type="dxa"/>
        </w:trPr>
        <w:tc>
          <w:tcPr>
            <w:tcW w:w="1557" w:type="dxa"/>
            <w:tcBorders>
              <w:left w:val="single" w:sz="2" w:space="0" w:color="003366"/>
              <w:right w:val="single" w:sz="2" w:space="0" w:color="003366"/>
            </w:tcBorders>
          </w:tcPr>
          <w:p w14:paraId="0AA33EA7"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3A741F1" w14:textId="77777777" w:rsidR="00BC2A04" w:rsidRPr="001B6B99" w:rsidRDefault="00BC2A04" w:rsidP="00BC2A04">
            <w:pPr>
              <w:pStyle w:val="TableText"/>
              <w:tabs>
                <w:tab w:val="left" w:pos="3306"/>
              </w:tabs>
              <w:rPr>
                <w:rFonts w:cs="Calibri"/>
                <w:szCs w:val="16"/>
              </w:rPr>
            </w:pPr>
            <w:r w:rsidRPr="001B6B99">
              <w:rPr>
                <w:rFonts w:cs="Calibri"/>
                <w:szCs w:val="16"/>
              </w:rPr>
              <w:t>Investment Properties</w:t>
            </w:r>
          </w:p>
        </w:tc>
        <w:tc>
          <w:tcPr>
            <w:tcW w:w="850" w:type="dxa"/>
            <w:gridSpan w:val="2"/>
            <w:shd w:val="clear" w:color="auto" w:fill="auto"/>
          </w:tcPr>
          <w:p w14:paraId="32999A0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49B6284D" w14:textId="77777777" w:rsidR="00BC2A04" w:rsidRPr="001B6B99" w:rsidRDefault="00BC2A04" w:rsidP="00BC2A04">
            <w:pPr>
              <w:pStyle w:val="TableText"/>
              <w:tabs>
                <w:tab w:val="left" w:pos="3306"/>
              </w:tabs>
              <w:jc w:val="right"/>
              <w:rPr>
                <w:rFonts w:cs="Calibri"/>
                <w:bCs/>
              </w:rPr>
            </w:pPr>
          </w:p>
        </w:tc>
        <w:tc>
          <w:tcPr>
            <w:tcW w:w="850" w:type="dxa"/>
            <w:gridSpan w:val="2"/>
          </w:tcPr>
          <w:p w14:paraId="7142740A"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6C34E930" w14:textId="2E32E330"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4E2C0C3"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4A09C916" w14:textId="77777777" w:rsidR="00BC2A04" w:rsidRPr="001B6B99" w:rsidRDefault="00BC2A04" w:rsidP="00BC2A04">
            <w:pPr>
              <w:pStyle w:val="TableText"/>
              <w:tabs>
                <w:tab w:val="left" w:pos="3306"/>
              </w:tabs>
              <w:jc w:val="right"/>
              <w:rPr>
                <w:rFonts w:cs="Calibri"/>
                <w:bCs/>
              </w:rPr>
            </w:pPr>
          </w:p>
        </w:tc>
      </w:tr>
      <w:tr w:rsidR="00BC2A04" w:rsidRPr="00AA76A0" w14:paraId="052CE6D0" w14:textId="77777777" w:rsidTr="00F22D61">
        <w:trPr>
          <w:gridAfter w:val="2"/>
          <w:wAfter w:w="284" w:type="dxa"/>
        </w:trPr>
        <w:tc>
          <w:tcPr>
            <w:tcW w:w="1557" w:type="dxa"/>
            <w:tcBorders>
              <w:left w:val="single" w:sz="2" w:space="0" w:color="003366"/>
              <w:right w:val="single" w:sz="2" w:space="0" w:color="003366"/>
            </w:tcBorders>
          </w:tcPr>
          <w:p w14:paraId="2AB27B7D"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C382F1F" w14:textId="77777777" w:rsidR="00BC2A04" w:rsidRPr="001B6B99" w:rsidRDefault="00BC2A04" w:rsidP="00BC2A04">
            <w:pPr>
              <w:pStyle w:val="TableText"/>
              <w:tabs>
                <w:tab w:val="left" w:pos="3306"/>
              </w:tabs>
              <w:rPr>
                <w:rFonts w:cs="Calibri"/>
                <w:szCs w:val="16"/>
              </w:rPr>
            </w:pPr>
            <w:r w:rsidRPr="001B6B99">
              <w:rPr>
                <w:rFonts w:cs="Calibri"/>
                <w:szCs w:val="16"/>
              </w:rPr>
              <w:t>Intangible Assets</w:t>
            </w:r>
          </w:p>
        </w:tc>
        <w:tc>
          <w:tcPr>
            <w:tcW w:w="850" w:type="dxa"/>
            <w:gridSpan w:val="2"/>
            <w:shd w:val="clear" w:color="auto" w:fill="auto"/>
          </w:tcPr>
          <w:p w14:paraId="32748165"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3A94BDF5" w14:textId="77777777" w:rsidR="00BC2A04" w:rsidRPr="001B6B99" w:rsidRDefault="00BC2A04" w:rsidP="00BC2A04">
            <w:pPr>
              <w:pStyle w:val="TableText"/>
              <w:tabs>
                <w:tab w:val="left" w:pos="3306"/>
              </w:tabs>
              <w:jc w:val="right"/>
              <w:rPr>
                <w:rFonts w:cs="Calibri"/>
                <w:bCs/>
              </w:rPr>
            </w:pPr>
          </w:p>
        </w:tc>
        <w:tc>
          <w:tcPr>
            <w:tcW w:w="850" w:type="dxa"/>
            <w:gridSpan w:val="2"/>
          </w:tcPr>
          <w:p w14:paraId="1AF1AA66"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774837AB" w14:textId="1D6A880A"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288C88E5"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326C70B7" w14:textId="77777777" w:rsidR="00BC2A04" w:rsidRPr="001B6B99" w:rsidRDefault="00BC2A04" w:rsidP="00BC2A04">
            <w:pPr>
              <w:pStyle w:val="TableText"/>
              <w:tabs>
                <w:tab w:val="left" w:pos="3306"/>
              </w:tabs>
              <w:jc w:val="right"/>
              <w:rPr>
                <w:rFonts w:cs="Calibri"/>
                <w:bCs/>
              </w:rPr>
            </w:pPr>
          </w:p>
        </w:tc>
      </w:tr>
      <w:tr w:rsidR="00BC2A04" w:rsidRPr="00AA76A0" w14:paraId="7C8B0DD8" w14:textId="77777777" w:rsidTr="00F22D61">
        <w:trPr>
          <w:gridAfter w:val="2"/>
          <w:wAfter w:w="284" w:type="dxa"/>
        </w:trPr>
        <w:tc>
          <w:tcPr>
            <w:tcW w:w="1557" w:type="dxa"/>
            <w:tcBorders>
              <w:left w:val="single" w:sz="2" w:space="0" w:color="003366"/>
              <w:right w:val="single" w:sz="2" w:space="0" w:color="003366"/>
            </w:tcBorders>
          </w:tcPr>
          <w:p w14:paraId="269F743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E3ADDE4" w14:textId="77777777" w:rsidR="00BC2A04" w:rsidRPr="001B6B99" w:rsidRDefault="00BC2A04" w:rsidP="00BC2A04">
            <w:pPr>
              <w:pStyle w:val="TableText"/>
              <w:tabs>
                <w:tab w:val="left" w:pos="3306"/>
              </w:tabs>
              <w:rPr>
                <w:rFonts w:cs="Calibri"/>
                <w:szCs w:val="16"/>
              </w:rPr>
            </w:pPr>
            <w:r w:rsidRPr="001B6B99">
              <w:rPr>
                <w:rFonts w:cs="Calibri"/>
                <w:szCs w:val="16"/>
              </w:rPr>
              <w:t>Capital Works in Progress</w:t>
            </w:r>
          </w:p>
        </w:tc>
        <w:tc>
          <w:tcPr>
            <w:tcW w:w="850" w:type="dxa"/>
            <w:gridSpan w:val="2"/>
            <w:shd w:val="clear" w:color="auto" w:fill="auto"/>
          </w:tcPr>
          <w:p w14:paraId="435F413B"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38564043" w14:textId="77777777" w:rsidR="00BC2A04" w:rsidRPr="001B6B99" w:rsidRDefault="00BC2A04" w:rsidP="00BC2A04">
            <w:pPr>
              <w:pStyle w:val="TableText"/>
              <w:tabs>
                <w:tab w:val="left" w:pos="3306"/>
              </w:tabs>
              <w:jc w:val="right"/>
              <w:rPr>
                <w:rFonts w:cs="Calibri"/>
                <w:bCs/>
              </w:rPr>
            </w:pPr>
          </w:p>
        </w:tc>
        <w:tc>
          <w:tcPr>
            <w:tcW w:w="850" w:type="dxa"/>
            <w:gridSpan w:val="2"/>
          </w:tcPr>
          <w:p w14:paraId="030B638F"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5FEC1D49" w14:textId="4422B876"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002C5649"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3FF6DD0D" w14:textId="77777777" w:rsidR="00BC2A04" w:rsidRPr="001B6B99" w:rsidRDefault="00BC2A04" w:rsidP="00BC2A04">
            <w:pPr>
              <w:pStyle w:val="TableText"/>
              <w:tabs>
                <w:tab w:val="left" w:pos="3306"/>
              </w:tabs>
              <w:jc w:val="right"/>
              <w:rPr>
                <w:rFonts w:cs="Calibri"/>
                <w:bCs/>
              </w:rPr>
            </w:pPr>
          </w:p>
        </w:tc>
      </w:tr>
      <w:tr w:rsidR="00BC2A04" w:rsidRPr="00AA76A0" w14:paraId="3AE77D00" w14:textId="77777777" w:rsidTr="00F22D61">
        <w:trPr>
          <w:gridAfter w:val="2"/>
          <w:wAfter w:w="284" w:type="dxa"/>
        </w:trPr>
        <w:tc>
          <w:tcPr>
            <w:tcW w:w="1557" w:type="dxa"/>
            <w:tcBorders>
              <w:left w:val="single" w:sz="2" w:space="0" w:color="003366"/>
              <w:right w:val="single" w:sz="2" w:space="0" w:color="003366"/>
            </w:tcBorders>
          </w:tcPr>
          <w:p w14:paraId="7D9F02B0"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8371771" w14:textId="77777777" w:rsidR="00BC2A04" w:rsidRPr="001B6B99" w:rsidRDefault="00BC2A04" w:rsidP="00BC2A04">
            <w:pPr>
              <w:pStyle w:val="TableText"/>
              <w:tabs>
                <w:tab w:val="left" w:pos="3306"/>
              </w:tabs>
              <w:rPr>
                <w:rFonts w:cs="Calibri"/>
                <w:szCs w:val="16"/>
              </w:rPr>
            </w:pPr>
            <w:r w:rsidRPr="001B6B99">
              <w:rPr>
                <w:rFonts w:cs="Calibri"/>
                <w:szCs w:val="16"/>
              </w:rPr>
              <w:t>Other Assets</w:t>
            </w:r>
          </w:p>
        </w:tc>
        <w:tc>
          <w:tcPr>
            <w:tcW w:w="850" w:type="dxa"/>
            <w:gridSpan w:val="2"/>
            <w:tcBorders>
              <w:bottom w:val="single" w:sz="2" w:space="0" w:color="auto"/>
            </w:tcBorders>
            <w:shd w:val="clear" w:color="auto" w:fill="auto"/>
          </w:tcPr>
          <w:p w14:paraId="548B2D7B"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7A5CA2F1"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2EA7D3D6"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4EE400E5" w14:textId="66F70C82"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1C032916"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404BE6F1" w14:textId="77777777" w:rsidR="00BC2A04" w:rsidRPr="001B6B99" w:rsidRDefault="00BC2A04" w:rsidP="00BC2A04">
            <w:pPr>
              <w:pStyle w:val="TableText"/>
              <w:tabs>
                <w:tab w:val="left" w:pos="3306"/>
              </w:tabs>
              <w:jc w:val="right"/>
              <w:rPr>
                <w:rFonts w:cs="Calibri"/>
                <w:bCs/>
              </w:rPr>
            </w:pPr>
          </w:p>
        </w:tc>
      </w:tr>
      <w:tr w:rsidR="00BC2A04" w:rsidRPr="00AA76A0" w14:paraId="25517EF6" w14:textId="77777777" w:rsidTr="00F22D61">
        <w:trPr>
          <w:gridAfter w:val="2"/>
          <w:wAfter w:w="284" w:type="dxa"/>
        </w:trPr>
        <w:tc>
          <w:tcPr>
            <w:tcW w:w="1557" w:type="dxa"/>
            <w:tcBorders>
              <w:left w:val="single" w:sz="2" w:space="0" w:color="003366"/>
              <w:right w:val="single" w:sz="2" w:space="0" w:color="003366"/>
            </w:tcBorders>
          </w:tcPr>
          <w:p w14:paraId="5DB32D7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DE4C8A3" w14:textId="77777777" w:rsidR="00BC2A04" w:rsidRPr="001B6B99" w:rsidRDefault="00BC2A04" w:rsidP="00BC2A04">
            <w:pPr>
              <w:pStyle w:val="TableText"/>
              <w:tabs>
                <w:tab w:val="left" w:pos="3306"/>
              </w:tabs>
              <w:rPr>
                <w:rFonts w:cs="Calibri"/>
                <w:b/>
                <w:szCs w:val="16"/>
              </w:rPr>
            </w:pPr>
            <w:r w:rsidRPr="001B6B99">
              <w:rPr>
                <w:rFonts w:cs="Calibri"/>
                <w:b/>
                <w:szCs w:val="16"/>
              </w:rPr>
              <w:t>Total Non-Current Assets</w:t>
            </w:r>
          </w:p>
        </w:tc>
        <w:tc>
          <w:tcPr>
            <w:tcW w:w="850" w:type="dxa"/>
            <w:gridSpan w:val="2"/>
            <w:tcBorders>
              <w:top w:val="single" w:sz="2" w:space="0" w:color="auto"/>
            </w:tcBorders>
            <w:shd w:val="clear" w:color="auto" w:fill="auto"/>
          </w:tcPr>
          <w:p w14:paraId="0CF1DFD9"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36253803"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tcPr>
          <w:p w14:paraId="18F985CA"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4CE29D10" w14:textId="777685D7"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2CB03DB7"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shd w:val="clear" w:color="auto" w:fill="auto"/>
            <w:vAlign w:val="bottom"/>
          </w:tcPr>
          <w:p w14:paraId="003C533A" w14:textId="77777777" w:rsidR="00BC2A04" w:rsidRPr="001B6B99" w:rsidRDefault="00BC2A04" w:rsidP="00BC2A04">
            <w:pPr>
              <w:pStyle w:val="TableText"/>
              <w:tabs>
                <w:tab w:val="left" w:pos="3306"/>
              </w:tabs>
              <w:jc w:val="right"/>
              <w:rPr>
                <w:rFonts w:cs="Calibri"/>
                <w:b/>
                <w:bCs/>
              </w:rPr>
            </w:pPr>
          </w:p>
        </w:tc>
      </w:tr>
      <w:tr w:rsidR="00BC2A04" w:rsidRPr="00AA76A0" w14:paraId="7E56F717" w14:textId="77777777" w:rsidTr="00F22D61">
        <w:trPr>
          <w:gridAfter w:val="2"/>
          <w:wAfter w:w="284" w:type="dxa"/>
          <w:trHeight w:hRule="exact" w:val="170"/>
        </w:trPr>
        <w:tc>
          <w:tcPr>
            <w:tcW w:w="1557" w:type="dxa"/>
            <w:tcBorders>
              <w:left w:val="single" w:sz="2" w:space="0" w:color="003366"/>
              <w:right w:val="single" w:sz="2" w:space="0" w:color="003366"/>
            </w:tcBorders>
          </w:tcPr>
          <w:p w14:paraId="42806142"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2200A8D" w14:textId="77777777" w:rsidR="00BC2A04" w:rsidRPr="001B6B99" w:rsidRDefault="00BC2A04" w:rsidP="00BC2A04">
            <w:pPr>
              <w:pStyle w:val="TableText"/>
              <w:tabs>
                <w:tab w:val="left" w:pos="3306"/>
              </w:tabs>
              <w:rPr>
                <w:rFonts w:cs="Calibri"/>
                <w:szCs w:val="16"/>
              </w:rPr>
            </w:pPr>
          </w:p>
        </w:tc>
        <w:tc>
          <w:tcPr>
            <w:tcW w:w="850" w:type="dxa"/>
            <w:gridSpan w:val="2"/>
            <w:tcBorders>
              <w:bottom w:val="single" w:sz="2" w:space="0" w:color="auto"/>
            </w:tcBorders>
            <w:shd w:val="clear" w:color="auto" w:fill="auto"/>
          </w:tcPr>
          <w:p w14:paraId="32419A71"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19CEA503"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6A243E0A"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279D3444" w14:textId="378E5373"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54EAD5D1"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501986D8" w14:textId="77777777" w:rsidR="00BC2A04" w:rsidRPr="001B6B99" w:rsidRDefault="00BC2A04" w:rsidP="00BC2A04">
            <w:pPr>
              <w:pStyle w:val="TableText"/>
              <w:tabs>
                <w:tab w:val="left" w:pos="3306"/>
              </w:tabs>
              <w:jc w:val="right"/>
              <w:rPr>
                <w:rFonts w:cs="Calibri"/>
                <w:bCs/>
              </w:rPr>
            </w:pPr>
          </w:p>
        </w:tc>
      </w:tr>
      <w:tr w:rsidR="00BC2A04" w:rsidRPr="00AA76A0" w14:paraId="1EEDD748" w14:textId="77777777" w:rsidTr="00F22D61">
        <w:trPr>
          <w:gridAfter w:val="2"/>
          <w:wAfter w:w="284" w:type="dxa"/>
        </w:trPr>
        <w:tc>
          <w:tcPr>
            <w:tcW w:w="1557" w:type="dxa"/>
            <w:tcBorders>
              <w:left w:val="single" w:sz="2" w:space="0" w:color="003366"/>
              <w:right w:val="single" w:sz="2" w:space="0" w:color="003366"/>
            </w:tcBorders>
          </w:tcPr>
          <w:p w14:paraId="69521966"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DA55B90" w14:textId="77777777" w:rsidR="00BC2A04" w:rsidRPr="001B6B99" w:rsidRDefault="00BC2A04" w:rsidP="00BC2A04">
            <w:pPr>
              <w:pStyle w:val="TableText"/>
              <w:tabs>
                <w:tab w:val="left" w:pos="3306"/>
              </w:tabs>
              <w:rPr>
                <w:rFonts w:cs="Calibri"/>
                <w:b/>
                <w:szCs w:val="16"/>
              </w:rPr>
            </w:pPr>
            <w:r w:rsidRPr="001B6B99">
              <w:rPr>
                <w:rFonts w:cs="Calibri"/>
                <w:b/>
                <w:szCs w:val="16"/>
              </w:rPr>
              <w:t>Total Assets</w:t>
            </w:r>
          </w:p>
        </w:tc>
        <w:tc>
          <w:tcPr>
            <w:tcW w:w="850" w:type="dxa"/>
            <w:gridSpan w:val="2"/>
            <w:tcBorders>
              <w:top w:val="single" w:sz="2" w:space="0" w:color="auto"/>
              <w:bottom w:val="single" w:sz="2" w:space="0" w:color="auto"/>
            </w:tcBorders>
            <w:shd w:val="clear" w:color="auto" w:fill="auto"/>
          </w:tcPr>
          <w:p w14:paraId="1BB6604F" w14:textId="77777777" w:rsidR="00BC2A04" w:rsidRPr="001B6B99" w:rsidRDefault="00BC2A04" w:rsidP="00BC2A04">
            <w:pPr>
              <w:pStyle w:val="TableText"/>
              <w:tabs>
                <w:tab w:val="left" w:pos="3306"/>
              </w:tabs>
              <w:jc w:val="right"/>
              <w:rPr>
                <w:rFonts w:cs="Calibri"/>
                <w:b/>
                <w:bCs/>
                <w:strike/>
              </w:rPr>
            </w:pPr>
          </w:p>
        </w:tc>
        <w:tc>
          <w:tcPr>
            <w:tcW w:w="851" w:type="dxa"/>
            <w:gridSpan w:val="2"/>
            <w:tcBorders>
              <w:top w:val="single" w:sz="2" w:space="0" w:color="auto"/>
              <w:bottom w:val="single" w:sz="2" w:space="0" w:color="auto"/>
            </w:tcBorders>
            <w:shd w:val="clear" w:color="auto" w:fill="auto"/>
          </w:tcPr>
          <w:p w14:paraId="3E9964A1" w14:textId="77777777" w:rsidR="00BC2A04" w:rsidRPr="001B6B99" w:rsidRDefault="00BC2A04" w:rsidP="00BC2A04">
            <w:pPr>
              <w:pStyle w:val="TableText"/>
              <w:tabs>
                <w:tab w:val="left" w:pos="3306"/>
              </w:tabs>
              <w:jc w:val="right"/>
              <w:rPr>
                <w:rFonts w:cs="Calibri"/>
                <w:b/>
                <w:bCs/>
                <w:strike/>
              </w:rPr>
            </w:pPr>
          </w:p>
        </w:tc>
        <w:tc>
          <w:tcPr>
            <w:tcW w:w="850" w:type="dxa"/>
            <w:gridSpan w:val="2"/>
            <w:tcBorders>
              <w:top w:val="single" w:sz="2" w:space="0" w:color="auto"/>
              <w:bottom w:val="single" w:sz="2" w:space="0" w:color="auto"/>
            </w:tcBorders>
          </w:tcPr>
          <w:p w14:paraId="6C24A6D9"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1DB65B98" w14:textId="0B6CE89E"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77E4874B"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bottom w:val="single" w:sz="2" w:space="0" w:color="auto"/>
            </w:tcBorders>
            <w:shd w:val="clear" w:color="auto" w:fill="auto"/>
            <w:vAlign w:val="bottom"/>
          </w:tcPr>
          <w:p w14:paraId="1527477A" w14:textId="77777777" w:rsidR="00BC2A04" w:rsidRPr="001B6B99" w:rsidRDefault="00BC2A04" w:rsidP="00BC2A04">
            <w:pPr>
              <w:pStyle w:val="TableText"/>
              <w:tabs>
                <w:tab w:val="left" w:pos="3306"/>
              </w:tabs>
              <w:jc w:val="right"/>
              <w:rPr>
                <w:rFonts w:cs="Calibri"/>
                <w:b/>
                <w:bCs/>
              </w:rPr>
            </w:pPr>
          </w:p>
        </w:tc>
      </w:tr>
      <w:tr w:rsidR="00BC2A04" w:rsidRPr="00AA76A0" w14:paraId="455EB673" w14:textId="77777777" w:rsidTr="00F22D61">
        <w:trPr>
          <w:gridAfter w:val="2"/>
          <w:wAfter w:w="284" w:type="dxa"/>
          <w:trHeight w:hRule="exact" w:val="170"/>
        </w:trPr>
        <w:tc>
          <w:tcPr>
            <w:tcW w:w="1557" w:type="dxa"/>
            <w:tcBorders>
              <w:left w:val="single" w:sz="2" w:space="0" w:color="003366"/>
              <w:right w:val="single" w:sz="2" w:space="0" w:color="003366"/>
            </w:tcBorders>
          </w:tcPr>
          <w:p w14:paraId="2568B555"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D013EFE" w14:textId="77777777" w:rsidR="00BC2A04" w:rsidRPr="001B6B99" w:rsidRDefault="00BC2A04" w:rsidP="00BC2A04">
            <w:pPr>
              <w:pStyle w:val="TableText"/>
              <w:tabs>
                <w:tab w:val="left" w:pos="3306"/>
              </w:tabs>
              <w:rPr>
                <w:rFonts w:cs="Calibri"/>
                <w:szCs w:val="16"/>
              </w:rPr>
            </w:pPr>
          </w:p>
        </w:tc>
        <w:tc>
          <w:tcPr>
            <w:tcW w:w="850" w:type="dxa"/>
            <w:gridSpan w:val="2"/>
            <w:tcBorders>
              <w:top w:val="single" w:sz="2" w:space="0" w:color="auto"/>
            </w:tcBorders>
            <w:shd w:val="clear" w:color="auto" w:fill="auto"/>
          </w:tcPr>
          <w:p w14:paraId="73DA6A31"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1D28C46D"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tcPr>
          <w:p w14:paraId="0CFD59C7"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40044F5B" w14:textId="5521CE8A"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00653406"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shd w:val="clear" w:color="auto" w:fill="auto"/>
            <w:vAlign w:val="bottom"/>
          </w:tcPr>
          <w:p w14:paraId="4589751D" w14:textId="77777777" w:rsidR="00BC2A04" w:rsidRPr="001B6B99" w:rsidRDefault="00BC2A04" w:rsidP="00BC2A04">
            <w:pPr>
              <w:pStyle w:val="TableText"/>
              <w:tabs>
                <w:tab w:val="left" w:pos="3306"/>
              </w:tabs>
              <w:jc w:val="right"/>
              <w:rPr>
                <w:rFonts w:cs="Calibri"/>
                <w:b/>
                <w:bCs/>
              </w:rPr>
            </w:pPr>
          </w:p>
        </w:tc>
      </w:tr>
      <w:tr w:rsidR="00BC2A04" w:rsidRPr="00AA76A0" w14:paraId="286A6AEA" w14:textId="77777777" w:rsidTr="00F22D61">
        <w:trPr>
          <w:gridAfter w:val="2"/>
          <w:wAfter w:w="284" w:type="dxa"/>
        </w:trPr>
        <w:tc>
          <w:tcPr>
            <w:tcW w:w="1557" w:type="dxa"/>
            <w:tcBorders>
              <w:left w:val="single" w:sz="2" w:space="0" w:color="003366"/>
              <w:right w:val="single" w:sz="2" w:space="0" w:color="003366"/>
            </w:tcBorders>
          </w:tcPr>
          <w:p w14:paraId="5D8A24A1"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7AC1FF0" w14:textId="77777777" w:rsidR="00BC2A04" w:rsidRPr="001B6B99" w:rsidRDefault="00BC2A04" w:rsidP="00BC2A04">
            <w:pPr>
              <w:pStyle w:val="TableText"/>
              <w:tabs>
                <w:tab w:val="left" w:pos="3306"/>
              </w:tabs>
              <w:rPr>
                <w:rFonts w:cs="Calibri"/>
                <w:b/>
                <w:szCs w:val="16"/>
              </w:rPr>
            </w:pPr>
            <w:r w:rsidRPr="001B6B99">
              <w:rPr>
                <w:rFonts w:cs="Calibri"/>
                <w:b/>
                <w:szCs w:val="16"/>
              </w:rPr>
              <w:t>Current Liabilities</w:t>
            </w:r>
          </w:p>
        </w:tc>
        <w:tc>
          <w:tcPr>
            <w:tcW w:w="850" w:type="dxa"/>
            <w:gridSpan w:val="2"/>
            <w:shd w:val="clear" w:color="auto" w:fill="auto"/>
          </w:tcPr>
          <w:p w14:paraId="4151FFCC"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tcPr>
          <w:p w14:paraId="01CF0523" w14:textId="77777777" w:rsidR="00BC2A04" w:rsidRPr="001B6B99" w:rsidRDefault="00BC2A04" w:rsidP="00BC2A04">
            <w:pPr>
              <w:pStyle w:val="TableText"/>
              <w:tabs>
                <w:tab w:val="left" w:pos="3306"/>
              </w:tabs>
              <w:jc w:val="right"/>
              <w:rPr>
                <w:rFonts w:cs="Calibri"/>
                <w:b/>
                <w:bCs/>
              </w:rPr>
            </w:pPr>
          </w:p>
        </w:tc>
        <w:tc>
          <w:tcPr>
            <w:tcW w:w="850" w:type="dxa"/>
            <w:gridSpan w:val="2"/>
          </w:tcPr>
          <w:p w14:paraId="7184007F"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vAlign w:val="bottom"/>
          </w:tcPr>
          <w:p w14:paraId="7E04C2E3" w14:textId="6E69F25E" w:rsidR="00BC2A04" w:rsidRPr="001B6B99" w:rsidRDefault="00BC2A04" w:rsidP="00BC2A04">
            <w:pPr>
              <w:pStyle w:val="TableText"/>
              <w:tabs>
                <w:tab w:val="left" w:pos="3306"/>
              </w:tabs>
              <w:jc w:val="right"/>
              <w:rPr>
                <w:rFonts w:cs="Calibri"/>
                <w:b/>
                <w:bCs/>
              </w:rPr>
            </w:pPr>
          </w:p>
        </w:tc>
        <w:tc>
          <w:tcPr>
            <w:tcW w:w="1134" w:type="dxa"/>
            <w:gridSpan w:val="2"/>
            <w:shd w:val="clear" w:color="auto" w:fill="auto"/>
            <w:vAlign w:val="bottom"/>
          </w:tcPr>
          <w:p w14:paraId="17B580FF" w14:textId="77777777" w:rsidR="00BC2A04" w:rsidRPr="001B6B99" w:rsidRDefault="00BC2A04" w:rsidP="00BC2A04">
            <w:pPr>
              <w:pStyle w:val="TableText"/>
              <w:tabs>
                <w:tab w:val="left" w:pos="3306"/>
              </w:tabs>
              <w:jc w:val="right"/>
              <w:rPr>
                <w:rFonts w:cs="Calibri"/>
                <w:b/>
                <w:bCs/>
              </w:rPr>
            </w:pPr>
          </w:p>
        </w:tc>
        <w:tc>
          <w:tcPr>
            <w:tcW w:w="850" w:type="dxa"/>
            <w:gridSpan w:val="2"/>
            <w:shd w:val="clear" w:color="auto" w:fill="auto"/>
            <w:vAlign w:val="bottom"/>
          </w:tcPr>
          <w:p w14:paraId="29226ADD" w14:textId="77777777" w:rsidR="00BC2A04" w:rsidRPr="001B6B99" w:rsidRDefault="00BC2A04" w:rsidP="00BC2A04">
            <w:pPr>
              <w:pStyle w:val="TableText"/>
              <w:tabs>
                <w:tab w:val="left" w:pos="3306"/>
              </w:tabs>
              <w:jc w:val="right"/>
              <w:rPr>
                <w:rFonts w:cs="Calibri"/>
                <w:b/>
                <w:bCs/>
              </w:rPr>
            </w:pPr>
          </w:p>
        </w:tc>
      </w:tr>
      <w:tr w:rsidR="00BC2A04" w:rsidRPr="00AA76A0" w14:paraId="3A2330F6" w14:textId="77777777" w:rsidTr="00F22D61">
        <w:trPr>
          <w:gridAfter w:val="2"/>
          <w:wAfter w:w="284" w:type="dxa"/>
        </w:trPr>
        <w:tc>
          <w:tcPr>
            <w:tcW w:w="1557" w:type="dxa"/>
            <w:tcBorders>
              <w:left w:val="single" w:sz="2" w:space="0" w:color="003366"/>
              <w:right w:val="single" w:sz="2" w:space="0" w:color="003366"/>
            </w:tcBorders>
          </w:tcPr>
          <w:p w14:paraId="1594698E"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9A21831" w14:textId="77777777" w:rsidR="00BC2A04" w:rsidRPr="001B6B99" w:rsidRDefault="00BC2A04" w:rsidP="00BC2A04">
            <w:pPr>
              <w:pStyle w:val="TableText"/>
              <w:tabs>
                <w:tab w:val="left" w:pos="3306"/>
              </w:tabs>
              <w:rPr>
                <w:rFonts w:cs="Calibri"/>
                <w:szCs w:val="16"/>
              </w:rPr>
            </w:pPr>
            <w:r w:rsidRPr="001B6B99">
              <w:rPr>
                <w:rFonts w:cs="Calibri"/>
                <w:szCs w:val="16"/>
              </w:rPr>
              <w:t>Payables</w:t>
            </w:r>
          </w:p>
        </w:tc>
        <w:tc>
          <w:tcPr>
            <w:tcW w:w="850" w:type="dxa"/>
            <w:gridSpan w:val="2"/>
            <w:shd w:val="clear" w:color="auto" w:fill="auto"/>
          </w:tcPr>
          <w:p w14:paraId="5A870510"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08DA1AFF" w14:textId="77777777" w:rsidR="00BC2A04" w:rsidRPr="001B6B99" w:rsidRDefault="00BC2A04" w:rsidP="00BC2A04">
            <w:pPr>
              <w:pStyle w:val="TableText"/>
              <w:tabs>
                <w:tab w:val="left" w:pos="3306"/>
              </w:tabs>
              <w:jc w:val="right"/>
              <w:rPr>
                <w:rFonts w:cs="Calibri"/>
                <w:bCs/>
              </w:rPr>
            </w:pPr>
          </w:p>
        </w:tc>
        <w:tc>
          <w:tcPr>
            <w:tcW w:w="850" w:type="dxa"/>
            <w:gridSpan w:val="2"/>
          </w:tcPr>
          <w:p w14:paraId="4C70F944"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324A567E" w14:textId="70140E2E"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8E4FFE7"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343A42D8" w14:textId="77777777" w:rsidR="00BC2A04" w:rsidRPr="001B6B99" w:rsidRDefault="00BC2A04" w:rsidP="00BC2A04">
            <w:pPr>
              <w:pStyle w:val="TableText"/>
              <w:tabs>
                <w:tab w:val="left" w:pos="3306"/>
              </w:tabs>
              <w:jc w:val="right"/>
              <w:rPr>
                <w:rFonts w:cs="Calibri"/>
                <w:bCs/>
              </w:rPr>
            </w:pPr>
          </w:p>
        </w:tc>
      </w:tr>
      <w:tr w:rsidR="00BC2A04" w:rsidRPr="00AA76A0" w14:paraId="32D79DAF" w14:textId="77777777" w:rsidTr="00F22D61">
        <w:trPr>
          <w:gridAfter w:val="2"/>
          <w:wAfter w:w="284" w:type="dxa"/>
        </w:trPr>
        <w:tc>
          <w:tcPr>
            <w:tcW w:w="1557" w:type="dxa"/>
            <w:tcBorders>
              <w:left w:val="single" w:sz="2" w:space="0" w:color="003366"/>
              <w:right w:val="single" w:sz="2" w:space="0" w:color="003366"/>
            </w:tcBorders>
          </w:tcPr>
          <w:p w14:paraId="60652D76"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248E02FA" w14:textId="05CAB813" w:rsidR="00BC2A04" w:rsidRPr="001B6B99" w:rsidRDefault="00BC2A04" w:rsidP="00BC2A04">
            <w:pPr>
              <w:pStyle w:val="TableText"/>
              <w:tabs>
                <w:tab w:val="left" w:pos="3306"/>
              </w:tabs>
              <w:rPr>
                <w:rFonts w:cs="Calibri"/>
                <w:szCs w:val="16"/>
              </w:rPr>
            </w:pPr>
            <w:r w:rsidRPr="001B6B99">
              <w:rPr>
                <w:rFonts w:cs="Calibri"/>
              </w:rPr>
              <w:t>Contract Liabilities</w:t>
            </w:r>
          </w:p>
        </w:tc>
        <w:tc>
          <w:tcPr>
            <w:tcW w:w="850" w:type="dxa"/>
            <w:gridSpan w:val="2"/>
            <w:shd w:val="clear" w:color="auto" w:fill="auto"/>
          </w:tcPr>
          <w:p w14:paraId="7714F50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7A080C70" w14:textId="77777777" w:rsidR="00BC2A04" w:rsidRPr="001B6B99" w:rsidRDefault="00BC2A04" w:rsidP="00BC2A04">
            <w:pPr>
              <w:pStyle w:val="TableText"/>
              <w:tabs>
                <w:tab w:val="left" w:pos="3306"/>
              </w:tabs>
              <w:jc w:val="right"/>
              <w:rPr>
                <w:rFonts w:cs="Calibri"/>
                <w:bCs/>
              </w:rPr>
            </w:pPr>
          </w:p>
        </w:tc>
        <w:tc>
          <w:tcPr>
            <w:tcW w:w="850" w:type="dxa"/>
            <w:gridSpan w:val="2"/>
          </w:tcPr>
          <w:p w14:paraId="21D2263E"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1611CE40" w14:textId="77777777"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42229CB"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6DAA2197" w14:textId="77777777" w:rsidR="00BC2A04" w:rsidRPr="001B6B99" w:rsidRDefault="00BC2A04" w:rsidP="00BC2A04">
            <w:pPr>
              <w:pStyle w:val="TableText"/>
              <w:tabs>
                <w:tab w:val="left" w:pos="3306"/>
              </w:tabs>
              <w:jc w:val="right"/>
              <w:rPr>
                <w:rFonts w:cs="Calibri"/>
                <w:bCs/>
              </w:rPr>
            </w:pPr>
          </w:p>
        </w:tc>
      </w:tr>
      <w:tr w:rsidR="00BC2A04" w:rsidRPr="00AA76A0" w14:paraId="50F52AA7" w14:textId="77777777" w:rsidTr="00F22D61">
        <w:trPr>
          <w:gridAfter w:val="2"/>
          <w:wAfter w:w="284" w:type="dxa"/>
        </w:trPr>
        <w:tc>
          <w:tcPr>
            <w:tcW w:w="1557" w:type="dxa"/>
            <w:tcBorders>
              <w:left w:val="single" w:sz="2" w:space="0" w:color="003366"/>
              <w:right w:val="single" w:sz="2" w:space="0" w:color="003366"/>
            </w:tcBorders>
          </w:tcPr>
          <w:p w14:paraId="731A14B2"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A98EDDE" w14:textId="152ED200" w:rsidR="00BC2A04" w:rsidRPr="001B6B99" w:rsidRDefault="007001C1" w:rsidP="00BC2A04">
            <w:pPr>
              <w:pStyle w:val="TableText"/>
              <w:tabs>
                <w:tab w:val="left" w:pos="3306"/>
              </w:tabs>
              <w:rPr>
                <w:rFonts w:cs="Calibri"/>
                <w:szCs w:val="16"/>
              </w:rPr>
            </w:pPr>
            <w:r w:rsidRPr="001B6B99">
              <w:rPr>
                <w:rFonts w:cs="Calibri"/>
                <w:szCs w:val="16"/>
              </w:rPr>
              <w:t>Borrowings</w:t>
            </w:r>
            <w:r w:rsidRPr="001B6B99">
              <w:rPr>
                <w:rFonts w:cs="Calibri"/>
                <w:b/>
                <w:bCs/>
                <w:szCs w:val="16"/>
              </w:rPr>
              <w:t xml:space="preserve"> </w:t>
            </w:r>
          </w:p>
        </w:tc>
        <w:tc>
          <w:tcPr>
            <w:tcW w:w="850" w:type="dxa"/>
            <w:gridSpan w:val="2"/>
            <w:shd w:val="clear" w:color="auto" w:fill="auto"/>
          </w:tcPr>
          <w:p w14:paraId="67EA4B9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2261E56D" w14:textId="77777777" w:rsidR="00BC2A04" w:rsidRPr="001B6B99" w:rsidRDefault="00BC2A04" w:rsidP="00BC2A04">
            <w:pPr>
              <w:pStyle w:val="TableText"/>
              <w:tabs>
                <w:tab w:val="left" w:pos="3306"/>
              </w:tabs>
              <w:jc w:val="right"/>
              <w:rPr>
                <w:rFonts w:cs="Calibri"/>
                <w:bCs/>
              </w:rPr>
            </w:pPr>
          </w:p>
        </w:tc>
        <w:tc>
          <w:tcPr>
            <w:tcW w:w="850" w:type="dxa"/>
            <w:gridSpan w:val="2"/>
          </w:tcPr>
          <w:p w14:paraId="105416E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20AB41B8" w14:textId="2517779A"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504EF62"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09605DA5" w14:textId="77777777" w:rsidR="00BC2A04" w:rsidRPr="001B6B99" w:rsidRDefault="00BC2A04" w:rsidP="00BC2A04">
            <w:pPr>
              <w:pStyle w:val="TableText"/>
              <w:tabs>
                <w:tab w:val="left" w:pos="3306"/>
              </w:tabs>
              <w:jc w:val="right"/>
              <w:rPr>
                <w:rFonts w:cs="Calibri"/>
                <w:bCs/>
              </w:rPr>
            </w:pPr>
          </w:p>
        </w:tc>
      </w:tr>
      <w:tr w:rsidR="00BC2A04" w:rsidRPr="00AA76A0" w14:paraId="34072ED4" w14:textId="77777777" w:rsidTr="00F22D61">
        <w:trPr>
          <w:gridAfter w:val="2"/>
          <w:wAfter w:w="284" w:type="dxa"/>
        </w:trPr>
        <w:tc>
          <w:tcPr>
            <w:tcW w:w="1557" w:type="dxa"/>
            <w:tcBorders>
              <w:left w:val="single" w:sz="2" w:space="0" w:color="003366"/>
              <w:right w:val="single" w:sz="2" w:space="0" w:color="003366"/>
            </w:tcBorders>
          </w:tcPr>
          <w:p w14:paraId="68722CD8"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F2F550C" w14:textId="24F54FC4" w:rsidR="00BC2A04" w:rsidRPr="001B6B99" w:rsidRDefault="00BC2A04" w:rsidP="00BC2A04">
            <w:pPr>
              <w:pStyle w:val="TableText"/>
              <w:tabs>
                <w:tab w:val="left" w:pos="3306"/>
              </w:tabs>
              <w:rPr>
                <w:rFonts w:cs="Calibri"/>
                <w:strike/>
                <w:szCs w:val="16"/>
              </w:rPr>
            </w:pPr>
            <w:r w:rsidRPr="001B6B99">
              <w:rPr>
                <w:rFonts w:cs="Calibri"/>
                <w:szCs w:val="16"/>
              </w:rPr>
              <w:t>Lease Liabilities</w:t>
            </w:r>
          </w:p>
        </w:tc>
        <w:tc>
          <w:tcPr>
            <w:tcW w:w="850" w:type="dxa"/>
            <w:gridSpan w:val="2"/>
            <w:shd w:val="clear" w:color="auto" w:fill="auto"/>
          </w:tcPr>
          <w:p w14:paraId="55DEB3DB"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5BA6B432" w14:textId="77777777" w:rsidR="00BC2A04" w:rsidRPr="001B6B99" w:rsidRDefault="00BC2A04" w:rsidP="00BC2A04">
            <w:pPr>
              <w:pStyle w:val="TableText"/>
              <w:tabs>
                <w:tab w:val="left" w:pos="3306"/>
              </w:tabs>
              <w:jc w:val="right"/>
              <w:rPr>
                <w:rFonts w:cs="Calibri"/>
                <w:bCs/>
              </w:rPr>
            </w:pPr>
          </w:p>
        </w:tc>
        <w:tc>
          <w:tcPr>
            <w:tcW w:w="850" w:type="dxa"/>
            <w:gridSpan w:val="2"/>
          </w:tcPr>
          <w:p w14:paraId="313F1BD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255BC1A0" w14:textId="04FE779B"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C1FDA56"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7D07EC75" w14:textId="77777777" w:rsidR="00BC2A04" w:rsidRPr="001B6B99" w:rsidRDefault="00BC2A04" w:rsidP="00BC2A04">
            <w:pPr>
              <w:pStyle w:val="TableText"/>
              <w:tabs>
                <w:tab w:val="left" w:pos="3306"/>
              </w:tabs>
              <w:jc w:val="right"/>
              <w:rPr>
                <w:rFonts w:cs="Calibri"/>
                <w:bCs/>
              </w:rPr>
            </w:pPr>
          </w:p>
        </w:tc>
      </w:tr>
      <w:tr w:rsidR="00BC2A04" w:rsidRPr="00AA76A0" w14:paraId="17A20208" w14:textId="77777777" w:rsidTr="00F22D61">
        <w:trPr>
          <w:gridAfter w:val="2"/>
          <w:wAfter w:w="284" w:type="dxa"/>
        </w:trPr>
        <w:tc>
          <w:tcPr>
            <w:tcW w:w="1557" w:type="dxa"/>
            <w:tcBorders>
              <w:left w:val="single" w:sz="2" w:space="0" w:color="003366"/>
              <w:right w:val="single" w:sz="2" w:space="0" w:color="003366"/>
            </w:tcBorders>
          </w:tcPr>
          <w:p w14:paraId="129C4B44"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10037CA" w14:textId="77777777" w:rsidR="00BC2A04" w:rsidRPr="001B6B99" w:rsidRDefault="00BC2A04" w:rsidP="00BC2A04">
            <w:pPr>
              <w:pStyle w:val="TableText"/>
              <w:tabs>
                <w:tab w:val="left" w:pos="3306"/>
              </w:tabs>
              <w:rPr>
                <w:rFonts w:cs="Calibri"/>
                <w:szCs w:val="16"/>
              </w:rPr>
            </w:pPr>
            <w:r w:rsidRPr="001B6B99">
              <w:rPr>
                <w:rFonts w:cs="Calibri"/>
                <w:szCs w:val="16"/>
              </w:rPr>
              <w:t>Employee Benefits</w:t>
            </w:r>
          </w:p>
        </w:tc>
        <w:tc>
          <w:tcPr>
            <w:tcW w:w="850" w:type="dxa"/>
            <w:gridSpan w:val="2"/>
            <w:shd w:val="clear" w:color="auto" w:fill="auto"/>
          </w:tcPr>
          <w:p w14:paraId="5068E9D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63DEE1EC" w14:textId="77777777" w:rsidR="00BC2A04" w:rsidRPr="001B6B99" w:rsidRDefault="00BC2A04" w:rsidP="00BC2A04">
            <w:pPr>
              <w:pStyle w:val="TableText"/>
              <w:tabs>
                <w:tab w:val="left" w:pos="3306"/>
              </w:tabs>
              <w:jc w:val="right"/>
              <w:rPr>
                <w:rFonts w:cs="Calibri"/>
                <w:bCs/>
              </w:rPr>
            </w:pPr>
          </w:p>
        </w:tc>
        <w:tc>
          <w:tcPr>
            <w:tcW w:w="850" w:type="dxa"/>
            <w:gridSpan w:val="2"/>
          </w:tcPr>
          <w:p w14:paraId="76E9689A"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788E0342" w14:textId="5D1B2F10"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7B1FE3B9"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11702E04" w14:textId="77777777" w:rsidR="00BC2A04" w:rsidRPr="001B6B99" w:rsidRDefault="00BC2A04" w:rsidP="00BC2A04">
            <w:pPr>
              <w:pStyle w:val="TableText"/>
              <w:tabs>
                <w:tab w:val="left" w:pos="3306"/>
              </w:tabs>
              <w:jc w:val="right"/>
              <w:rPr>
                <w:rFonts w:cs="Calibri"/>
                <w:bCs/>
              </w:rPr>
            </w:pPr>
          </w:p>
        </w:tc>
      </w:tr>
      <w:tr w:rsidR="00BC2A04" w:rsidRPr="00AA76A0" w14:paraId="0C577A51" w14:textId="77777777" w:rsidTr="00F22D61">
        <w:trPr>
          <w:gridAfter w:val="2"/>
          <w:wAfter w:w="284" w:type="dxa"/>
        </w:trPr>
        <w:tc>
          <w:tcPr>
            <w:tcW w:w="1557" w:type="dxa"/>
            <w:tcBorders>
              <w:left w:val="single" w:sz="2" w:space="0" w:color="003366"/>
              <w:right w:val="single" w:sz="2" w:space="0" w:color="003366"/>
            </w:tcBorders>
          </w:tcPr>
          <w:p w14:paraId="3D34B7AF"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2A77990E" w14:textId="77777777" w:rsidR="00BC2A04" w:rsidRPr="001B6B99" w:rsidRDefault="00BC2A04" w:rsidP="00BC2A04">
            <w:pPr>
              <w:pStyle w:val="TableText"/>
              <w:tabs>
                <w:tab w:val="left" w:pos="3306"/>
              </w:tabs>
              <w:rPr>
                <w:rFonts w:cs="Calibri"/>
                <w:szCs w:val="16"/>
              </w:rPr>
            </w:pPr>
            <w:r w:rsidRPr="001B6B99">
              <w:rPr>
                <w:rFonts w:cs="Calibri"/>
                <w:szCs w:val="16"/>
              </w:rPr>
              <w:t>Other Provisions</w:t>
            </w:r>
          </w:p>
        </w:tc>
        <w:tc>
          <w:tcPr>
            <w:tcW w:w="850" w:type="dxa"/>
            <w:gridSpan w:val="2"/>
            <w:shd w:val="clear" w:color="auto" w:fill="auto"/>
          </w:tcPr>
          <w:p w14:paraId="493777D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6FFC5C92" w14:textId="77777777" w:rsidR="00BC2A04" w:rsidRPr="001B6B99" w:rsidRDefault="00BC2A04" w:rsidP="00BC2A04">
            <w:pPr>
              <w:pStyle w:val="TableText"/>
              <w:tabs>
                <w:tab w:val="left" w:pos="3306"/>
              </w:tabs>
              <w:jc w:val="right"/>
              <w:rPr>
                <w:rFonts w:cs="Calibri"/>
                <w:bCs/>
              </w:rPr>
            </w:pPr>
          </w:p>
        </w:tc>
        <w:tc>
          <w:tcPr>
            <w:tcW w:w="850" w:type="dxa"/>
            <w:gridSpan w:val="2"/>
          </w:tcPr>
          <w:p w14:paraId="193BEF09"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3F785077" w14:textId="735EDC72"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05B3AFCA"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596B8198" w14:textId="77777777" w:rsidR="00BC2A04" w:rsidRPr="001B6B99" w:rsidRDefault="00BC2A04" w:rsidP="00BC2A04">
            <w:pPr>
              <w:pStyle w:val="TableText"/>
              <w:tabs>
                <w:tab w:val="left" w:pos="3306"/>
              </w:tabs>
              <w:jc w:val="right"/>
              <w:rPr>
                <w:rFonts w:cs="Calibri"/>
                <w:bCs/>
              </w:rPr>
            </w:pPr>
          </w:p>
        </w:tc>
      </w:tr>
      <w:tr w:rsidR="00BC2A04" w:rsidRPr="00AA76A0" w14:paraId="72C180B4" w14:textId="77777777" w:rsidTr="00F22D61">
        <w:trPr>
          <w:gridAfter w:val="2"/>
          <w:wAfter w:w="284" w:type="dxa"/>
        </w:trPr>
        <w:tc>
          <w:tcPr>
            <w:tcW w:w="1557" w:type="dxa"/>
            <w:tcBorders>
              <w:left w:val="single" w:sz="2" w:space="0" w:color="003366"/>
              <w:right w:val="single" w:sz="2" w:space="0" w:color="003366"/>
            </w:tcBorders>
          </w:tcPr>
          <w:p w14:paraId="12FC1D97"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D07EB1E" w14:textId="77777777" w:rsidR="00BC2A04" w:rsidRPr="001B6B99" w:rsidRDefault="00BC2A04" w:rsidP="00BC2A04">
            <w:pPr>
              <w:pStyle w:val="TableText"/>
              <w:tabs>
                <w:tab w:val="left" w:pos="3306"/>
              </w:tabs>
              <w:rPr>
                <w:rFonts w:cs="Calibri"/>
                <w:szCs w:val="16"/>
              </w:rPr>
            </w:pPr>
            <w:r w:rsidRPr="001B6B99">
              <w:rPr>
                <w:rFonts w:cs="Calibri"/>
                <w:szCs w:val="16"/>
              </w:rPr>
              <w:t>Other Liabilities</w:t>
            </w:r>
          </w:p>
        </w:tc>
        <w:tc>
          <w:tcPr>
            <w:tcW w:w="850" w:type="dxa"/>
            <w:gridSpan w:val="2"/>
            <w:tcBorders>
              <w:bottom w:val="single" w:sz="2" w:space="0" w:color="auto"/>
            </w:tcBorders>
            <w:shd w:val="clear" w:color="auto" w:fill="auto"/>
          </w:tcPr>
          <w:p w14:paraId="63D3BFC1"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4D7031A5"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69D1C2EA"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642D5B4F" w14:textId="2B4DFC38"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3B14D3C5"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290CFFE3" w14:textId="77777777" w:rsidR="00BC2A04" w:rsidRPr="001B6B99" w:rsidRDefault="00BC2A04" w:rsidP="00BC2A04">
            <w:pPr>
              <w:pStyle w:val="TableText"/>
              <w:tabs>
                <w:tab w:val="left" w:pos="3306"/>
              </w:tabs>
              <w:jc w:val="right"/>
              <w:rPr>
                <w:rFonts w:cs="Calibri"/>
                <w:bCs/>
              </w:rPr>
            </w:pPr>
          </w:p>
        </w:tc>
      </w:tr>
      <w:tr w:rsidR="00BC2A04" w:rsidRPr="00AA76A0" w14:paraId="78373867" w14:textId="77777777" w:rsidTr="00F22D61">
        <w:trPr>
          <w:gridAfter w:val="2"/>
          <w:wAfter w:w="284" w:type="dxa"/>
        </w:trPr>
        <w:tc>
          <w:tcPr>
            <w:tcW w:w="1557" w:type="dxa"/>
            <w:tcBorders>
              <w:left w:val="single" w:sz="2" w:space="0" w:color="003366"/>
              <w:right w:val="single" w:sz="2" w:space="0" w:color="003366"/>
            </w:tcBorders>
          </w:tcPr>
          <w:p w14:paraId="0473600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9385A24" w14:textId="77777777" w:rsidR="00BC2A04" w:rsidRPr="001B6B99" w:rsidRDefault="00BC2A04" w:rsidP="00BC2A04">
            <w:pPr>
              <w:pStyle w:val="TableText"/>
              <w:tabs>
                <w:tab w:val="left" w:pos="3306"/>
              </w:tabs>
              <w:rPr>
                <w:rFonts w:cs="Calibri"/>
                <w:b/>
                <w:szCs w:val="16"/>
              </w:rPr>
            </w:pPr>
            <w:r w:rsidRPr="001B6B99">
              <w:rPr>
                <w:rFonts w:cs="Calibri"/>
                <w:b/>
                <w:szCs w:val="16"/>
              </w:rPr>
              <w:t>Total Current Liabilities</w:t>
            </w:r>
          </w:p>
        </w:tc>
        <w:tc>
          <w:tcPr>
            <w:tcW w:w="850" w:type="dxa"/>
            <w:gridSpan w:val="2"/>
            <w:tcBorders>
              <w:top w:val="single" w:sz="2" w:space="0" w:color="auto"/>
            </w:tcBorders>
            <w:shd w:val="clear" w:color="auto" w:fill="auto"/>
          </w:tcPr>
          <w:p w14:paraId="61E6F03E"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739B5A34"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tcPr>
          <w:p w14:paraId="4933DF62"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vAlign w:val="bottom"/>
          </w:tcPr>
          <w:p w14:paraId="29E07B5F" w14:textId="2F2F6B4B"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tcBorders>
            <w:shd w:val="clear" w:color="auto" w:fill="auto"/>
            <w:vAlign w:val="bottom"/>
          </w:tcPr>
          <w:p w14:paraId="23E9B65E"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shd w:val="clear" w:color="auto" w:fill="auto"/>
            <w:vAlign w:val="bottom"/>
          </w:tcPr>
          <w:p w14:paraId="5805F93B" w14:textId="77777777" w:rsidR="00BC2A04" w:rsidRPr="001B6B99" w:rsidRDefault="00BC2A04" w:rsidP="00BC2A04">
            <w:pPr>
              <w:pStyle w:val="TableText"/>
              <w:tabs>
                <w:tab w:val="left" w:pos="3306"/>
              </w:tabs>
              <w:jc w:val="right"/>
              <w:rPr>
                <w:rFonts w:cs="Calibri"/>
                <w:b/>
                <w:bCs/>
              </w:rPr>
            </w:pPr>
          </w:p>
        </w:tc>
      </w:tr>
      <w:tr w:rsidR="00BC2A04" w:rsidRPr="00AA76A0" w14:paraId="2992646E" w14:textId="77777777" w:rsidTr="00F22D61">
        <w:trPr>
          <w:gridAfter w:val="2"/>
          <w:wAfter w:w="284" w:type="dxa"/>
          <w:trHeight w:hRule="exact" w:val="170"/>
        </w:trPr>
        <w:tc>
          <w:tcPr>
            <w:tcW w:w="1557" w:type="dxa"/>
            <w:tcBorders>
              <w:left w:val="single" w:sz="2" w:space="0" w:color="003366"/>
              <w:right w:val="single" w:sz="2" w:space="0" w:color="003366"/>
            </w:tcBorders>
          </w:tcPr>
          <w:p w14:paraId="797BBDCD"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B2D6161" w14:textId="77777777" w:rsidR="00BC2A04" w:rsidRPr="001B6B99" w:rsidRDefault="00BC2A04" w:rsidP="00BC2A04">
            <w:pPr>
              <w:pStyle w:val="TableText"/>
              <w:tabs>
                <w:tab w:val="left" w:pos="3306"/>
              </w:tabs>
              <w:rPr>
                <w:rFonts w:cs="Calibri"/>
                <w:szCs w:val="16"/>
              </w:rPr>
            </w:pPr>
          </w:p>
        </w:tc>
        <w:tc>
          <w:tcPr>
            <w:tcW w:w="850" w:type="dxa"/>
            <w:gridSpan w:val="2"/>
            <w:shd w:val="clear" w:color="auto" w:fill="auto"/>
          </w:tcPr>
          <w:p w14:paraId="36FD7C1D"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tcPr>
          <w:p w14:paraId="358F2F04" w14:textId="77777777" w:rsidR="00BC2A04" w:rsidRPr="001B6B99" w:rsidRDefault="00BC2A04" w:rsidP="00BC2A04">
            <w:pPr>
              <w:pStyle w:val="TableText"/>
              <w:tabs>
                <w:tab w:val="left" w:pos="3306"/>
              </w:tabs>
              <w:jc w:val="right"/>
              <w:rPr>
                <w:rFonts w:cs="Calibri"/>
                <w:b/>
                <w:bCs/>
              </w:rPr>
            </w:pPr>
          </w:p>
        </w:tc>
        <w:tc>
          <w:tcPr>
            <w:tcW w:w="850" w:type="dxa"/>
            <w:gridSpan w:val="2"/>
          </w:tcPr>
          <w:p w14:paraId="2F61AD47"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vAlign w:val="bottom"/>
          </w:tcPr>
          <w:p w14:paraId="510B750F" w14:textId="660D82D9" w:rsidR="00BC2A04" w:rsidRPr="001B6B99" w:rsidRDefault="00BC2A04" w:rsidP="00BC2A04">
            <w:pPr>
              <w:pStyle w:val="TableText"/>
              <w:tabs>
                <w:tab w:val="left" w:pos="3306"/>
              </w:tabs>
              <w:jc w:val="right"/>
              <w:rPr>
                <w:rFonts w:cs="Calibri"/>
                <w:b/>
                <w:bCs/>
              </w:rPr>
            </w:pPr>
          </w:p>
        </w:tc>
        <w:tc>
          <w:tcPr>
            <w:tcW w:w="1134" w:type="dxa"/>
            <w:gridSpan w:val="2"/>
            <w:shd w:val="clear" w:color="auto" w:fill="auto"/>
            <w:vAlign w:val="bottom"/>
          </w:tcPr>
          <w:p w14:paraId="3F969AAA" w14:textId="77777777" w:rsidR="00BC2A04" w:rsidRPr="001B6B99" w:rsidRDefault="00BC2A04" w:rsidP="00BC2A04">
            <w:pPr>
              <w:pStyle w:val="TableText"/>
              <w:tabs>
                <w:tab w:val="left" w:pos="3306"/>
              </w:tabs>
              <w:jc w:val="right"/>
              <w:rPr>
                <w:rFonts w:cs="Calibri"/>
                <w:b/>
                <w:bCs/>
              </w:rPr>
            </w:pPr>
          </w:p>
        </w:tc>
        <w:tc>
          <w:tcPr>
            <w:tcW w:w="850" w:type="dxa"/>
            <w:gridSpan w:val="2"/>
            <w:shd w:val="clear" w:color="auto" w:fill="auto"/>
            <w:vAlign w:val="bottom"/>
          </w:tcPr>
          <w:p w14:paraId="0FB839E9" w14:textId="77777777" w:rsidR="00BC2A04" w:rsidRPr="001B6B99" w:rsidRDefault="00BC2A04" w:rsidP="00BC2A04">
            <w:pPr>
              <w:pStyle w:val="TableText"/>
              <w:tabs>
                <w:tab w:val="left" w:pos="3306"/>
              </w:tabs>
              <w:jc w:val="right"/>
              <w:rPr>
                <w:rFonts w:cs="Calibri"/>
                <w:b/>
                <w:bCs/>
              </w:rPr>
            </w:pPr>
          </w:p>
        </w:tc>
      </w:tr>
      <w:tr w:rsidR="00BC2A04" w:rsidRPr="00AA76A0" w14:paraId="2BCD99B9" w14:textId="77777777" w:rsidTr="00F22D61">
        <w:trPr>
          <w:gridAfter w:val="2"/>
          <w:wAfter w:w="284" w:type="dxa"/>
        </w:trPr>
        <w:tc>
          <w:tcPr>
            <w:tcW w:w="1557" w:type="dxa"/>
            <w:tcBorders>
              <w:left w:val="single" w:sz="2" w:space="0" w:color="003366"/>
              <w:right w:val="single" w:sz="2" w:space="0" w:color="003366"/>
            </w:tcBorders>
          </w:tcPr>
          <w:p w14:paraId="7023A00F"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21C03FF6" w14:textId="77777777" w:rsidR="00BC2A04" w:rsidRPr="001B6B99" w:rsidRDefault="00BC2A04" w:rsidP="00BC2A04">
            <w:pPr>
              <w:pStyle w:val="TableText"/>
              <w:tabs>
                <w:tab w:val="left" w:pos="3306"/>
              </w:tabs>
              <w:rPr>
                <w:rFonts w:cs="Calibri"/>
                <w:b/>
                <w:szCs w:val="16"/>
              </w:rPr>
            </w:pPr>
            <w:r w:rsidRPr="001B6B99">
              <w:rPr>
                <w:rFonts w:cs="Calibri"/>
                <w:b/>
                <w:szCs w:val="16"/>
              </w:rPr>
              <w:t>Non-Current Liabilities</w:t>
            </w:r>
          </w:p>
        </w:tc>
        <w:tc>
          <w:tcPr>
            <w:tcW w:w="850" w:type="dxa"/>
            <w:gridSpan w:val="2"/>
            <w:shd w:val="clear" w:color="auto" w:fill="auto"/>
          </w:tcPr>
          <w:p w14:paraId="6762720B"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tcPr>
          <w:p w14:paraId="46BDFA3F" w14:textId="77777777" w:rsidR="00BC2A04" w:rsidRPr="001B6B99" w:rsidRDefault="00BC2A04" w:rsidP="00BC2A04">
            <w:pPr>
              <w:pStyle w:val="TableText"/>
              <w:tabs>
                <w:tab w:val="left" w:pos="3306"/>
              </w:tabs>
              <w:jc w:val="right"/>
              <w:rPr>
                <w:rFonts w:cs="Calibri"/>
                <w:b/>
                <w:bCs/>
              </w:rPr>
            </w:pPr>
          </w:p>
        </w:tc>
        <w:tc>
          <w:tcPr>
            <w:tcW w:w="850" w:type="dxa"/>
            <w:gridSpan w:val="2"/>
          </w:tcPr>
          <w:p w14:paraId="512427DA" w14:textId="77777777" w:rsidR="00BC2A04" w:rsidRPr="001B6B99" w:rsidRDefault="00BC2A04" w:rsidP="00BC2A04">
            <w:pPr>
              <w:pStyle w:val="TableText"/>
              <w:tabs>
                <w:tab w:val="left" w:pos="3306"/>
              </w:tabs>
              <w:jc w:val="right"/>
              <w:rPr>
                <w:rFonts w:cs="Calibri"/>
                <w:b/>
                <w:bCs/>
              </w:rPr>
            </w:pPr>
          </w:p>
        </w:tc>
        <w:tc>
          <w:tcPr>
            <w:tcW w:w="851" w:type="dxa"/>
            <w:gridSpan w:val="2"/>
            <w:shd w:val="clear" w:color="auto" w:fill="auto"/>
            <w:vAlign w:val="bottom"/>
          </w:tcPr>
          <w:p w14:paraId="01360C19" w14:textId="51414C97" w:rsidR="00BC2A04" w:rsidRPr="001B6B99" w:rsidRDefault="00BC2A04" w:rsidP="00BC2A04">
            <w:pPr>
              <w:pStyle w:val="TableText"/>
              <w:tabs>
                <w:tab w:val="left" w:pos="3306"/>
              </w:tabs>
              <w:jc w:val="right"/>
              <w:rPr>
                <w:rFonts w:cs="Calibri"/>
                <w:b/>
                <w:bCs/>
              </w:rPr>
            </w:pPr>
          </w:p>
        </w:tc>
        <w:tc>
          <w:tcPr>
            <w:tcW w:w="1134" w:type="dxa"/>
            <w:gridSpan w:val="2"/>
            <w:shd w:val="clear" w:color="auto" w:fill="auto"/>
            <w:vAlign w:val="bottom"/>
          </w:tcPr>
          <w:p w14:paraId="117AB9F5" w14:textId="77777777" w:rsidR="00BC2A04" w:rsidRPr="001B6B99" w:rsidRDefault="00BC2A04" w:rsidP="00BC2A04">
            <w:pPr>
              <w:pStyle w:val="TableText"/>
              <w:tabs>
                <w:tab w:val="left" w:pos="3306"/>
              </w:tabs>
              <w:jc w:val="right"/>
              <w:rPr>
                <w:rFonts w:cs="Calibri"/>
                <w:b/>
                <w:bCs/>
              </w:rPr>
            </w:pPr>
          </w:p>
        </w:tc>
        <w:tc>
          <w:tcPr>
            <w:tcW w:w="850" w:type="dxa"/>
            <w:gridSpan w:val="2"/>
            <w:shd w:val="clear" w:color="auto" w:fill="auto"/>
            <w:vAlign w:val="bottom"/>
          </w:tcPr>
          <w:p w14:paraId="2C3C9930" w14:textId="77777777" w:rsidR="00BC2A04" w:rsidRPr="001B6B99" w:rsidRDefault="00BC2A04" w:rsidP="00BC2A04">
            <w:pPr>
              <w:pStyle w:val="TableText"/>
              <w:tabs>
                <w:tab w:val="left" w:pos="3306"/>
              </w:tabs>
              <w:jc w:val="right"/>
              <w:rPr>
                <w:rFonts w:cs="Calibri"/>
                <w:b/>
                <w:bCs/>
              </w:rPr>
            </w:pPr>
          </w:p>
        </w:tc>
      </w:tr>
      <w:tr w:rsidR="00BC2A04" w:rsidRPr="00AA76A0" w14:paraId="7AD75973" w14:textId="77777777" w:rsidTr="00F22D61">
        <w:trPr>
          <w:gridAfter w:val="2"/>
          <w:wAfter w:w="284" w:type="dxa"/>
        </w:trPr>
        <w:tc>
          <w:tcPr>
            <w:tcW w:w="1557" w:type="dxa"/>
            <w:tcBorders>
              <w:left w:val="single" w:sz="2" w:space="0" w:color="003366"/>
              <w:right w:val="single" w:sz="2" w:space="0" w:color="003366"/>
            </w:tcBorders>
          </w:tcPr>
          <w:p w14:paraId="098F10C9"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50839E30" w14:textId="77777777" w:rsidR="00BC2A04" w:rsidRPr="001B6B99" w:rsidRDefault="00BC2A04" w:rsidP="00BC2A04">
            <w:pPr>
              <w:pStyle w:val="TableText"/>
              <w:tabs>
                <w:tab w:val="left" w:pos="3306"/>
              </w:tabs>
              <w:rPr>
                <w:rFonts w:cs="Calibri"/>
                <w:szCs w:val="16"/>
              </w:rPr>
            </w:pPr>
            <w:r w:rsidRPr="001B6B99">
              <w:rPr>
                <w:rFonts w:cs="Calibri"/>
                <w:szCs w:val="16"/>
              </w:rPr>
              <w:t>Payables</w:t>
            </w:r>
          </w:p>
        </w:tc>
        <w:tc>
          <w:tcPr>
            <w:tcW w:w="850" w:type="dxa"/>
            <w:gridSpan w:val="2"/>
            <w:shd w:val="clear" w:color="auto" w:fill="auto"/>
          </w:tcPr>
          <w:p w14:paraId="64586B3E"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2F171CEA" w14:textId="77777777" w:rsidR="00BC2A04" w:rsidRPr="001B6B99" w:rsidRDefault="00BC2A04" w:rsidP="00BC2A04">
            <w:pPr>
              <w:pStyle w:val="TableText"/>
              <w:tabs>
                <w:tab w:val="left" w:pos="3306"/>
              </w:tabs>
              <w:jc w:val="right"/>
              <w:rPr>
                <w:rFonts w:cs="Calibri"/>
                <w:bCs/>
              </w:rPr>
            </w:pPr>
          </w:p>
        </w:tc>
        <w:tc>
          <w:tcPr>
            <w:tcW w:w="850" w:type="dxa"/>
            <w:gridSpan w:val="2"/>
          </w:tcPr>
          <w:p w14:paraId="3DB68198"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24BD0C5C" w14:textId="7319BEB8"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038FE69D"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428EC98F" w14:textId="77777777" w:rsidR="00BC2A04" w:rsidRPr="001B6B99" w:rsidRDefault="00BC2A04" w:rsidP="00BC2A04">
            <w:pPr>
              <w:pStyle w:val="TableText"/>
              <w:tabs>
                <w:tab w:val="left" w:pos="3306"/>
              </w:tabs>
              <w:jc w:val="right"/>
              <w:rPr>
                <w:rFonts w:cs="Calibri"/>
                <w:bCs/>
              </w:rPr>
            </w:pPr>
          </w:p>
        </w:tc>
      </w:tr>
      <w:tr w:rsidR="00BC2A04" w:rsidRPr="00AA76A0" w14:paraId="18AD1D4D" w14:textId="77777777" w:rsidTr="00F22D61">
        <w:trPr>
          <w:gridAfter w:val="2"/>
          <w:wAfter w:w="284" w:type="dxa"/>
        </w:trPr>
        <w:tc>
          <w:tcPr>
            <w:tcW w:w="1557" w:type="dxa"/>
            <w:tcBorders>
              <w:left w:val="single" w:sz="2" w:space="0" w:color="003366"/>
              <w:right w:val="single" w:sz="2" w:space="0" w:color="003366"/>
            </w:tcBorders>
          </w:tcPr>
          <w:p w14:paraId="6FF6D2A9"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6AFC9919" w14:textId="43D1F2B3" w:rsidR="00BC2A04" w:rsidRPr="001B6B99" w:rsidRDefault="00BC2A04" w:rsidP="00BC2A04">
            <w:pPr>
              <w:pStyle w:val="TableText"/>
              <w:tabs>
                <w:tab w:val="left" w:pos="3306"/>
              </w:tabs>
              <w:rPr>
                <w:rFonts w:cs="Calibri"/>
                <w:szCs w:val="16"/>
              </w:rPr>
            </w:pPr>
            <w:r w:rsidRPr="001B6B99">
              <w:rPr>
                <w:rFonts w:cs="Calibri"/>
              </w:rPr>
              <w:t>Contract Liabilities</w:t>
            </w:r>
          </w:p>
        </w:tc>
        <w:tc>
          <w:tcPr>
            <w:tcW w:w="850" w:type="dxa"/>
            <w:gridSpan w:val="2"/>
            <w:shd w:val="clear" w:color="auto" w:fill="auto"/>
          </w:tcPr>
          <w:p w14:paraId="778A5016"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102F4D83" w14:textId="77777777" w:rsidR="00BC2A04" w:rsidRPr="001B6B99" w:rsidRDefault="00BC2A04" w:rsidP="00BC2A04">
            <w:pPr>
              <w:pStyle w:val="TableText"/>
              <w:tabs>
                <w:tab w:val="left" w:pos="3306"/>
              </w:tabs>
              <w:jc w:val="right"/>
              <w:rPr>
                <w:rFonts w:cs="Calibri"/>
                <w:bCs/>
              </w:rPr>
            </w:pPr>
          </w:p>
        </w:tc>
        <w:tc>
          <w:tcPr>
            <w:tcW w:w="850" w:type="dxa"/>
            <w:gridSpan w:val="2"/>
          </w:tcPr>
          <w:p w14:paraId="01BD554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577CA76E" w14:textId="77777777"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4301ABA"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247E3467" w14:textId="77777777" w:rsidR="00BC2A04" w:rsidRPr="001B6B99" w:rsidRDefault="00BC2A04" w:rsidP="00BC2A04">
            <w:pPr>
              <w:pStyle w:val="TableText"/>
              <w:tabs>
                <w:tab w:val="left" w:pos="3306"/>
              </w:tabs>
              <w:jc w:val="right"/>
              <w:rPr>
                <w:rFonts w:cs="Calibri"/>
                <w:bCs/>
              </w:rPr>
            </w:pPr>
          </w:p>
        </w:tc>
      </w:tr>
      <w:tr w:rsidR="00BC2A04" w:rsidRPr="00AA76A0" w14:paraId="10E1D353" w14:textId="77777777" w:rsidTr="00F22D61">
        <w:trPr>
          <w:gridAfter w:val="2"/>
          <w:wAfter w:w="284" w:type="dxa"/>
        </w:trPr>
        <w:tc>
          <w:tcPr>
            <w:tcW w:w="1557" w:type="dxa"/>
            <w:tcBorders>
              <w:left w:val="single" w:sz="2" w:space="0" w:color="003366"/>
              <w:right w:val="single" w:sz="2" w:space="0" w:color="003366"/>
            </w:tcBorders>
          </w:tcPr>
          <w:p w14:paraId="328F7D33"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5C2E113" w14:textId="24968DAB" w:rsidR="00BC2A04" w:rsidRPr="001B6B99" w:rsidRDefault="007001C1" w:rsidP="00BC2A04">
            <w:pPr>
              <w:pStyle w:val="TableText"/>
              <w:tabs>
                <w:tab w:val="left" w:pos="3306"/>
              </w:tabs>
              <w:rPr>
                <w:rFonts w:cs="Calibri"/>
                <w:szCs w:val="16"/>
              </w:rPr>
            </w:pPr>
            <w:r w:rsidRPr="001B6B99">
              <w:rPr>
                <w:rFonts w:cs="Calibri"/>
                <w:szCs w:val="16"/>
              </w:rPr>
              <w:t>Borrowings</w:t>
            </w:r>
            <w:r w:rsidRPr="001B6B99">
              <w:rPr>
                <w:rFonts w:cs="Calibri"/>
                <w:b/>
                <w:bCs/>
                <w:szCs w:val="16"/>
              </w:rPr>
              <w:t xml:space="preserve"> </w:t>
            </w:r>
          </w:p>
        </w:tc>
        <w:tc>
          <w:tcPr>
            <w:tcW w:w="850" w:type="dxa"/>
            <w:gridSpan w:val="2"/>
            <w:shd w:val="clear" w:color="auto" w:fill="auto"/>
          </w:tcPr>
          <w:p w14:paraId="60415DAF"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46B3DCDD" w14:textId="77777777" w:rsidR="00BC2A04" w:rsidRPr="001B6B99" w:rsidRDefault="00BC2A04" w:rsidP="00BC2A04">
            <w:pPr>
              <w:pStyle w:val="TableText"/>
              <w:tabs>
                <w:tab w:val="left" w:pos="3306"/>
              </w:tabs>
              <w:jc w:val="right"/>
              <w:rPr>
                <w:rFonts w:cs="Calibri"/>
                <w:bCs/>
              </w:rPr>
            </w:pPr>
          </w:p>
        </w:tc>
        <w:tc>
          <w:tcPr>
            <w:tcW w:w="850" w:type="dxa"/>
            <w:gridSpan w:val="2"/>
          </w:tcPr>
          <w:p w14:paraId="3112DB4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7D2CDF66" w14:textId="1D967BAA"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3D835972"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730B3AF6" w14:textId="77777777" w:rsidR="00BC2A04" w:rsidRPr="001B6B99" w:rsidRDefault="00BC2A04" w:rsidP="00BC2A04">
            <w:pPr>
              <w:pStyle w:val="TableText"/>
              <w:tabs>
                <w:tab w:val="left" w:pos="3306"/>
              </w:tabs>
              <w:jc w:val="right"/>
              <w:rPr>
                <w:rFonts w:cs="Calibri"/>
                <w:bCs/>
              </w:rPr>
            </w:pPr>
          </w:p>
        </w:tc>
      </w:tr>
      <w:tr w:rsidR="00BC2A04" w:rsidRPr="00AA76A0" w14:paraId="499EF934" w14:textId="77777777" w:rsidTr="00F22D61">
        <w:trPr>
          <w:gridAfter w:val="2"/>
          <w:wAfter w:w="284" w:type="dxa"/>
        </w:trPr>
        <w:tc>
          <w:tcPr>
            <w:tcW w:w="1557" w:type="dxa"/>
            <w:tcBorders>
              <w:left w:val="single" w:sz="2" w:space="0" w:color="003366"/>
              <w:right w:val="single" w:sz="2" w:space="0" w:color="003366"/>
            </w:tcBorders>
          </w:tcPr>
          <w:p w14:paraId="4274D69E"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75A3F79" w14:textId="127D9AF0" w:rsidR="00BC2A04" w:rsidRPr="001B6B99" w:rsidRDefault="00BC2A04" w:rsidP="00BC2A04">
            <w:pPr>
              <w:pStyle w:val="TableText"/>
              <w:tabs>
                <w:tab w:val="left" w:pos="3306"/>
              </w:tabs>
              <w:rPr>
                <w:rFonts w:cs="Calibri"/>
                <w:strike/>
                <w:szCs w:val="16"/>
              </w:rPr>
            </w:pPr>
            <w:r w:rsidRPr="001B6B99">
              <w:rPr>
                <w:rFonts w:cs="Calibri"/>
                <w:szCs w:val="16"/>
              </w:rPr>
              <w:t>Lease Liabilities</w:t>
            </w:r>
          </w:p>
        </w:tc>
        <w:tc>
          <w:tcPr>
            <w:tcW w:w="850" w:type="dxa"/>
            <w:gridSpan w:val="2"/>
            <w:shd w:val="clear" w:color="auto" w:fill="auto"/>
          </w:tcPr>
          <w:p w14:paraId="7C41B0C9"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7F28192F" w14:textId="77777777" w:rsidR="00BC2A04" w:rsidRPr="001B6B99" w:rsidRDefault="00BC2A04" w:rsidP="00BC2A04">
            <w:pPr>
              <w:pStyle w:val="TableText"/>
              <w:tabs>
                <w:tab w:val="left" w:pos="3306"/>
              </w:tabs>
              <w:jc w:val="right"/>
              <w:rPr>
                <w:rFonts w:cs="Calibri"/>
                <w:bCs/>
              </w:rPr>
            </w:pPr>
          </w:p>
        </w:tc>
        <w:tc>
          <w:tcPr>
            <w:tcW w:w="850" w:type="dxa"/>
            <w:gridSpan w:val="2"/>
          </w:tcPr>
          <w:p w14:paraId="2D6C6368"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405B1E2E" w14:textId="3B725D27"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02A1992A"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0C7D9A8E" w14:textId="77777777" w:rsidR="00BC2A04" w:rsidRPr="001B6B99" w:rsidRDefault="00BC2A04" w:rsidP="00BC2A04">
            <w:pPr>
              <w:pStyle w:val="TableText"/>
              <w:tabs>
                <w:tab w:val="left" w:pos="3306"/>
              </w:tabs>
              <w:jc w:val="right"/>
              <w:rPr>
                <w:rFonts w:cs="Calibri"/>
                <w:bCs/>
              </w:rPr>
            </w:pPr>
          </w:p>
        </w:tc>
      </w:tr>
      <w:tr w:rsidR="00BC2A04" w:rsidRPr="00AA76A0" w14:paraId="4F7F3DEF" w14:textId="77777777" w:rsidTr="00F22D61">
        <w:trPr>
          <w:gridAfter w:val="2"/>
          <w:wAfter w:w="284" w:type="dxa"/>
        </w:trPr>
        <w:tc>
          <w:tcPr>
            <w:tcW w:w="1557" w:type="dxa"/>
            <w:tcBorders>
              <w:left w:val="single" w:sz="2" w:space="0" w:color="003366"/>
              <w:right w:val="single" w:sz="2" w:space="0" w:color="003366"/>
            </w:tcBorders>
          </w:tcPr>
          <w:p w14:paraId="72CB1286"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3929D02" w14:textId="77777777" w:rsidR="00BC2A04" w:rsidRPr="001B6B99" w:rsidRDefault="00BC2A04" w:rsidP="00BC2A04">
            <w:pPr>
              <w:pStyle w:val="TableText"/>
              <w:tabs>
                <w:tab w:val="left" w:pos="3306"/>
              </w:tabs>
              <w:rPr>
                <w:rFonts w:cs="Calibri"/>
                <w:szCs w:val="16"/>
              </w:rPr>
            </w:pPr>
            <w:r w:rsidRPr="001B6B99">
              <w:rPr>
                <w:rFonts w:cs="Calibri"/>
                <w:szCs w:val="16"/>
              </w:rPr>
              <w:t>Employee Benefits</w:t>
            </w:r>
          </w:p>
        </w:tc>
        <w:tc>
          <w:tcPr>
            <w:tcW w:w="850" w:type="dxa"/>
            <w:gridSpan w:val="2"/>
            <w:shd w:val="clear" w:color="auto" w:fill="auto"/>
          </w:tcPr>
          <w:p w14:paraId="5A9E3928"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03038EDF" w14:textId="77777777" w:rsidR="00BC2A04" w:rsidRPr="001B6B99" w:rsidRDefault="00BC2A04" w:rsidP="00BC2A04">
            <w:pPr>
              <w:pStyle w:val="TableText"/>
              <w:tabs>
                <w:tab w:val="left" w:pos="3306"/>
              </w:tabs>
              <w:jc w:val="right"/>
              <w:rPr>
                <w:rFonts w:cs="Calibri"/>
                <w:bCs/>
              </w:rPr>
            </w:pPr>
          </w:p>
        </w:tc>
        <w:tc>
          <w:tcPr>
            <w:tcW w:w="850" w:type="dxa"/>
            <w:gridSpan w:val="2"/>
          </w:tcPr>
          <w:p w14:paraId="36AB4FE3"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3A8CC499" w14:textId="322E5623"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455EF547"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66F49183" w14:textId="77777777" w:rsidR="00BC2A04" w:rsidRPr="001B6B99" w:rsidRDefault="00BC2A04" w:rsidP="00BC2A04">
            <w:pPr>
              <w:pStyle w:val="TableText"/>
              <w:tabs>
                <w:tab w:val="left" w:pos="3306"/>
              </w:tabs>
              <w:jc w:val="right"/>
              <w:rPr>
                <w:rFonts w:cs="Calibri"/>
                <w:bCs/>
              </w:rPr>
            </w:pPr>
          </w:p>
        </w:tc>
      </w:tr>
      <w:tr w:rsidR="00BC2A04" w:rsidRPr="00AA76A0" w14:paraId="6783A194" w14:textId="77777777" w:rsidTr="00F22D61">
        <w:trPr>
          <w:gridAfter w:val="2"/>
          <w:wAfter w:w="284" w:type="dxa"/>
        </w:trPr>
        <w:tc>
          <w:tcPr>
            <w:tcW w:w="1557" w:type="dxa"/>
            <w:tcBorders>
              <w:left w:val="single" w:sz="2" w:space="0" w:color="003366"/>
              <w:right w:val="single" w:sz="2" w:space="0" w:color="003366"/>
            </w:tcBorders>
          </w:tcPr>
          <w:p w14:paraId="5F77D084"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28737DD" w14:textId="77777777" w:rsidR="00BC2A04" w:rsidRPr="001B6B99" w:rsidRDefault="00BC2A04" w:rsidP="00BC2A04">
            <w:pPr>
              <w:pStyle w:val="TableText"/>
              <w:tabs>
                <w:tab w:val="left" w:pos="3306"/>
              </w:tabs>
              <w:rPr>
                <w:rFonts w:cs="Calibri"/>
                <w:szCs w:val="16"/>
              </w:rPr>
            </w:pPr>
            <w:r w:rsidRPr="001B6B99">
              <w:rPr>
                <w:rFonts w:cs="Calibri"/>
                <w:szCs w:val="16"/>
              </w:rPr>
              <w:t>Other Provisions</w:t>
            </w:r>
          </w:p>
        </w:tc>
        <w:tc>
          <w:tcPr>
            <w:tcW w:w="850" w:type="dxa"/>
            <w:gridSpan w:val="2"/>
            <w:shd w:val="clear" w:color="auto" w:fill="auto"/>
          </w:tcPr>
          <w:p w14:paraId="6876DFF1"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tcPr>
          <w:p w14:paraId="337A0568" w14:textId="77777777" w:rsidR="00BC2A04" w:rsidRPr="001B6B99" w:rsidRDefault="00BC2A04" w:rsidP="00BC2A04">
            <w:pPr>
              <w:pStyle w:val="TableText"/>
              <w:tabs>
                <w:tab w:val="left" w:pos="3306"/>
              </w:tabs>
              <w:jc w:val="right"/>
              <w:rPr>
                <w:rFonts w:cs="Calibri"/>
                <w:bCs/>
              </w:rPr>
            </w:pPr>
          </w:p>
        </w:tc>
        <w:tc>
          <w:tcPr>
            <w:tcW w:w="850" w:type="dxa"/>
            <w:gridSpan w:val="2"/>
          </w:tcPr>
          <w:p w14:paraId="44B98819" w14:textId="77777777" w:rsidR="00BC2A04" w:rsidRPr="001B6B99" w:rsidRDefault="00BC2A04" w:rsidP="00BC2A04">
            <w:pPr>
              <w:pStyle w:val="TableText"/>
              <w:tabs>
                <w:tab w:val="left" w:pos="3306"/>
              </w:tabs>
              <w:jc w:val="right"/>
              <w:rPr>
                <w:rFonts w:cs="Calibri"/>
                <w:bCs/>
              </w:rPr>
            </w:pPr>
          </w:p>
        </w:tc>
        <w:tc>
          <w:tcPr>
            <w:tcW w:w="851" w:type="dxa"/>
            <w:gridSpan w:val="2"/>
            <w:shd w:val="clear" w:color="auto" w:fill="auto"/>
            <w:vAlign w:val="bottom"/>
          </w:tcPr>
          <w:p w14:paraId="6B2E2CFD" w14:textId="652482C4" w:rsidR="00BC2A04" w:rsidRPr="001B6B99" w:rsidRDefault="00BC2A04" w:rsidP="00BC2A04">
            <w:pPr>
              <w:pStyle w:val="TableText"/>
              <w:tabs>
                <w:tab w:val="left" w:pos="3306"/>
              </w:tabs>
              <w:jc w:val="right"/>
              <w:rPr>
                <w:rFonts w:cs="Calibri"/>
                <w:bCs/>
              </w:rPr>
            </w:pPr>
          </w:p>
        </w:tc>
        <w:tc>
          <w:tcPr>
            <w:tcW w:w="1134" w:type="dxa"/>
            <w:gridSpan w:val="2"/>
            <w:shd w:val="clear" w:color="auto" w:fill="auto"/>
            <w:vAlign w:val="bottom"/>
          </w:tcPr>
          <w:p w14:paraId="6580C751" w14:textId="77777777" w:rsidR="00BC2A04" w:rsidRPr="001B6B99" w:rsidRDefault="00BC2A04" w:rsidP="00BC2A04">
            <w:pPr>
              <w:pStyle w:val="TableText"/>
              <w:tabs>
                <w:tab w:val="left" w:pos="3306"/>
              </w:tabs>
              <w:jc w:val="right"/>
              <w:rPr>
                <w:rFonts w:cs="Calibri"/>
                <w:bCs/>
              </w:rPr>
            </w:pPr>
          </w:p>
        </w:tc>
        <w:tc>
          <w:tcPr>
            <w:tcW w:w="850" w:type="dxa"/>
            <w:gridSpan w:val="2"/>
            <w:shd w:val="clear" w:color="auto" w:fill="auto"/>
            <w:vAlign w:val="bottom"/>
          </w:tcPr>
          <w:p w14:paraId="186B4D5D" w14:textId="77777777" w:rsidR="00BC2A04" w:rsidRPr="001B6B99" w:rsidRDefault="00BC2A04" w:rsidP="00BC2A04">
            <w:pPr>
              <w:pStyle w:val="TableText"/>
              <w:tabs>
                <w:tab w:val="left" w:pos="3306"/>
              </w:tabs>
              <w:jc w:val="right"/>
              <w:rPr>
                <w:rFonts w:cs="Calibri"/>
                <w:bCs/>
              </w:rPr>
            </w:pPr>
          </w:p>
        </w:tc>
      </w:tr>
      <w:tr w:rsidR="00BC2A04" w:rsidRPr="00AA76A0" w14:paraId="45B74E48" w14:textId="77777777" w:rsidTr="00F22D61">
        <w:trPr>
          <w:gridAfter w:val="2"/>
          <w:wAfter w:w="284" w:type="dxa"/>
        </w:trPr>
        <w:tc>
          <w:tcPr>
            <w:tcW w:w="1557" w:type="dxa"/>
            <w:tcBorders>
              <w:left w:val="single" w:sz="2" w:space="0" w:color="003366"/>
              <w:right w:val="single" w:sz="2" w:space="0" w:color="003366"/>
            </w:tcBorders>
          </w:tcPr>
          <w:p w14:paraId="3FDA9ED4"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410C12B7" w14:textId="77777777" w:rsidR="00BC2A04" w:rsidRPr="001B6B99" w:rsidRDefault="00BC2A04" w:rsidP="00BC2A04">
            <w:pPr>
              <w:pStyle w:val="TableText"/>
              <w:tabs>
                <w:tab w:val="left" w:pos="3306"/>
              </w:tabs>
              <w:rPr>
                <w:rFonts w:cs="Calibri"/>
                <w:szCs w:val="16"/>
              </w:rPr>
            </w:pPr>
            <w:r w:rsidRPr="001B6B99">
              <w:rPr>
                <w:rFonts w:cs="Calibri"/>
                <w:szCs w:val="16"/>
              </w:rPr>
              <w:t>Other Liabilities</w:t>
            </w:r>
          </w:p>
        </w:tc>
        <w:tc>
          <w:tcPr>
            <w:tcW w:w="850" w:type="dxa"/>
            <w:gridSpan w:val="2"/>
            <w:tcBorders>
              <w:bottom w:val="single" w:sz="2" w:space="0" w:color="auto"/>
            </w:tcBorders>
            <w:shd w:val="clear" w:color="auto" w:fill="auto"/>
          </w:tcPr>
          <w:p w14:paraId="0736DF4F"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5F219198"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4CDE3AC9"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25DB6164" w14:textId="1CA6FA54"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6C3405C1"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22CDA172" w14:textId="77777777" w:rsidR="00BC2A04" w:rsidRPr="001B6B99" w:rsidRDefault="00BC2A04" w:rsidP="00BC2A04">
            <w:pPr>
              <w:pStyle w:val="TableText"/>
              <w:tabs>
                <w:tab w:val="left" w:pos="3306"/>
              </w:tabs>
              <w:jc w:val="right"/>
              <w:rPr>
                <w:rFonts w:cs="Calibri"/>
                <w:bCs/>
              </w:rPr>
            </w:pPr>
          </w:p>
        </w:tc>
      </w:tr>
      <w:tr w:rsidR="00BC2A04" w:rsidRPr="00AA76A0" w14:paraId="7A2EA22B" w14:textId="77777777" w:rsidTr="00F22D61">
        <w:trPr>
          <w:gridAfter w:val="2"/>
          <w:wAfter w:w="284" w:type="dxa"/>
        </w:trPr>
        <w:tc>
          <w:tcPr>
            <w:tcW w:w="1557" w:type="dxa"/>
            <w:tcBorders>
              <w:left w:val="single" w:sz="2" w:space="0" w:color="003366"/>
              <w:right w:val="single" w:sz="2" w:space="0" w:color="003366"/>
            </w:tcBorders>
          </w:tcPr>
          <w:p w14:paraId="2442FF04"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393E14A5" w14:textId="77777777" w:rsidR="00BC2A04" w:rsidRPr="001B6B99" w:rsidRDefault="00BC2A04" w:rsidP="00BC2A04">
            <w:pPr>
              <w:pStyle w:val="TableText"/>
              <w:tabs>
                <w:tab w:val="left" w:pos="3306"/>
              </w:tabs>
              <w:rPr>
                <w:rFonts w:cs="Calibri"/>
                <w:b/>
                <w:szCs w:val="16"/>
              </w:rPr>
            </w:pPr>
            <w:r w:rsidRPr="001B6B99">
              <w:rPr>
                <w:rFonts w:cs="Calibri"/>
                <w:b/>
                <w:szCs w:val="16"/>
              </w:rPr>
              <w:t>Total Non-Current Liabilities</w:t>
            </w:r>
          </w:p>
        </w:tc>
        <w:tc>
          <w:tcPr>
            <w:tcW w:w="850" w:type="dxa"/>
            <w:gridSpan w:val="2"/>
            <w:tcBorders>
              <w:top w:val="single" w:sz="2" w:space="0" w:color="auto"/>
            </w:tcBorders>
            <w:shd w:val="clear" w:color="auto" w:fill="auto"/>
          </w:tcPr>
          <w:p w14:paraId="1DAACFC4"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3CF1532B"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tcPr>
          <w:p w14:paraId="0E710E5F"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tcBorders>
            <w:shd w:val="clear" w:color="auto" w:fill="auto"/>
          </w:tcPr>
          <w:p w14:paraId="11105E9B" w14:textId="04821BCC"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tcBorders>
            <w:shd w:val="clear" w:color="auto" w:fill="auto"/>
          </w:tcPr>
          <w:p w14:paraId="3C0A2CD0"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tcBorders>
            <w:shd w:val="clear" w:color="auto" w:fill="auto"/>
          </w:tcPr>
          <w:p w14:paraId="6D65EC7E" w14:textId="77777777" w:rsidR="00BC2A04" w:rsidRPr="001B6B99" w:rsidRDefault="00BC2A04" w:rsidP="00BC2A04">
            <w:pPr>
              <w:pStyle w:val="TableText"/>
              <w:tabs>
                <w:tab w:val="left" w:pos="3306"/>
              </w:tabs>
              <w:jc w:val="right"/>
              <w:rPr>
                <w:rFonts w:cs="Calibri"/>
                <w:b/>
                <w:bCs/>
              </w:rPr>
            </w:pPr>
          </w:p>
        </w:tc>
      </w:tr>
      <w:tr w:rsidR="00BC2A04" w:rsidRPr="00AA76A0" w14:paraId="670AA047" w14:textId="77777777" w:rsidTr="00F22D61">
        <w:trPr>
          <w:gridAfter w:val="2"/>
          <w:wAfter w:w="284" w:type="dxa"/>
          <w:trHeight w:hRule="exact" w:val="170"/>
        </w:trPr>
        <w:tc>
          <w:tcPr>
            <w:tcW w:w="1557" w:type="dxa"/>
            <w:tcBorders>
              <w:left w:val="single" w:sz="2" w:space="0" w:color="003366"/>
              <w:right w:val="single" w:sz="2" w:space="0" w:color="003366"/>
            </w:tcBorders>
          </w:tcPr>
          <w:p w14:paraId="6A104A53"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E0031FD" w14:textId="77777777" w:rsidR="00BC2A04" w:rsidRPr="001B6B99" w:rsidRDefault="00BC2A04" w:rsidP="00BC2A04">
            <w:pPr>
              <w:pStyle w:val="TableText"/>
              <w:tabs>
                <w:tab w:val="left" w:pos="3306"/>
              </w:tabs>
              <w:rPr>
                <w:rFonts w:cs="Calibri"/>
                <w:szCs w:val="16"/>
              </w:rPr>
            </w:pPr>
          </w:p>
        </w:tc>
        <w:tc>
          <w:tcPr>
            <w:tcW w:w="850" w:type="dxa"/>
            <w:gridSpan w:val="2"/>
            <w:tcBorders>
              <w:bottom w:val="single" w:sz="2" w:space="0" w:color="auto"/>
            </w:tcBorders>
            <w:shd w:val="clear" w:color="auto" w:fill="auto"/>
          </w:tcPr>
          <w:p w14:paraId="388A769A"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tcPr>
          <w:p w14:paraId="32F4B48F"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tcPr>
          <w:p w14:paraId="31E61FB9" w14:textId="77777777" w:rsidR="00BC2A04" w:rsidRPr="001B6B99" w:rsidRDefault="00BC2A04" w:rsidP="00BC2A04">
            <w:pPr>
              <w:pStyle w:val="TableText"/>
              <w:tabs>
                <w:tab w:val="left" w:pos="3306"/>
              </w:tabs>
              <w:jc w:val="right"/>
              <w:rPr>
                <w:rFonts w:cs="Calibri"/>
                <w:bCs/>
              </w:rPr>
            </w:pPr>
          </w:p>
        </w:tc>
        <w:tc>
          <w:tcPr>
            <w:tcW w:w="851" w:type="dxa"/>
            <w:gridSpan w:val="2"/>
            <w:tcBorders>
              <w:bottom w:val="single" w:sz="2" w:space="0" w:color="auto"/>
            </w:tcBorders>
            <w:shd w:val="clear" w:color="auto" w:fill="auto"/>
            <w:vAlign w:val="bottom"/>
          </w:tcPr>
          <w:p w14:paraId="70BF97C8" w14:textId="2240FAE6" w:rsidR="00BC2A04" w:rsidRPr="001B6B99" w:rsidRDefault="00BC2A04" w:rsidP="00BC2A04">
            <w:pPr>
              <w:pStyle w:val="TableText"/>
              <w:tabs>
                <w:tab w:val="left" w:pos="3306"/>
              </w:tabs>
              <w:jc w:val="right"/>
              <w:rPr>
                <w:rFonts w:cs="Calibri"/>
                <w:bCs/>
              </w:rPr>
            </w:pPr>
          </w:p>
        </w:tc>
        <w:tc>
          <w:tcPr>
            <w:tcW w:w="1134" w:type="dxa"/>
            <w:gridSpan w:val="2"/>
            <w:tcBorders>
              <w:bottom w:val="single" w:sz="2" w:space="0" w:color="auto"/>
            </w:tcBorders>
            <w:shd w:val="clear" w:color="auto" w:fill="auto"/>
            <w:vAlign w:val="bottom"/>
          </w:tcPr>
          <w:p w14:paraId="012EB897" w14:textId="77777777" w:rsidR="00BC2A04" w:rsidRPr="001B6B99" w:rsidRDefault="00BC2A04" w:rsidP="00BC2A04">
            <w:pPr>
              <w:pStyle w:val="TableText"/>
              <w:tabs>
                <w:tab w:val="left" w:pos="3306"/>
              </w:tabs>
              <w:jc w:val="right"/>
              <w:rPr>
                <w:rFonts w:cs="Calibri"/>
                <w:bCs/>
              </w:rPr>
            </w:pPr>
          </w:p>
        </w:tc>
        <w:tc>
          <w:tcPr>
            <w:tcW w:w="850" w:type="dxa"/>
            <w:gridSpan w:val="2"/>
            <w:tcBorders>
              <w:bottom w:val="single" w:sz="2" w:space="0" w:color="auto"/>
            </w:tcBorders>
            <w:shd w:val="clear" w:color="auto" w:fill="auto"/>
            <w:vAlign w:val="bottom"/>
          </w:tcPr>
          <w:p w14:paraId="786C1FBD" w14:textId="77777777" w:rsidR="00BC2A04" w:rsidRPr="001B6B99" w:rsidRDefault="00BC2A04" w:rsidP="00BC2A04">
            <w:pPr>
              <w:pStyle w:val="TableText"/>
              <w:tabs>
                <w:tab w:val="left" w:pos="3306"/>
              </w:tabs>
              <w:jc w:val="right"/>
              <w:rPr>
                <w:rFonts w:cs="Calibri"/>
                <w:bCs/>
              </w:rPr>
            </w:pPr>
          </w:p>
        </w:tc>
      </w:tr>
      <w:tr w:rsidR="00BC2A04" w:rsidRPr="00AA76A0" w14:paraId="571FB25C" w14:textId="77777777" w:rsidTr="00F22D61">
        <w:trPr>
          <w:gridAfter w:val="2"/>
          <w:wAfter w:w="284" w:type="dxa"/>
        </w:trPr>
        <w:tc>
          <w:tcPr>
            <w:tcW w:w="1557" w:type="dxa"/>
            <w:tcBorders>
              <w:left w:val="single" w:sz="2" w:space="0" w:color="003366"/>
              <w:right w:val="single" w:sz="2" w:space="0" w:color="003366"/>
            </w:tcBorders>
          </w:tcPr>
          <w:p w14:paraId="1DB3AA86"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10A18B48" w14:textId="77777777" w:rsidR="00BC2A04" w:rsidRPr="001B6B99" w:rsidRDefault="00BC2A04" w:rsidP="00BC2A04">
            <w:pPr>
              <w:pStyle w:val="TableText"/>
              <w:tabs>
                <w:tab w:val="left" w:pos="3306"/>
              </w:tabs>
              <w:rPr>
                <w:rFonts w:cs="Calibri"/>
                <w:b/>
                <w:szCs w:val="16"/>
              </w:rPr>
            </w:pPr>
            <w:r w:rsidRPr="001B6B99">
              <w:rPr>
                <w:rFonts w:cs="Calibri"/>
                <w:b/>
                <w:szCs w:val="16"/>
              </w:rPr>
              <w:t>Total Liabilities</w:t>
            </w:r>
          </w:p>
        </w:tc>
        <w:tc>
          <w:tcPr>
            <w:tcW w:w="850" w:type="dxa"/>
            <w:gridSpan w:val="2"/>
            <w:tcBorders>
              <w:top w:val="single" w:sz="2" w:space="0" w:color="auto"/>
              <w:bottom w:val="single" w:sz="2" w:space="0" w:color="auto"/>
            </w:tcBorders>
            <w:shd w:val="clear" w:color="auto" w:fill="auto"/>
          </w:tcPr>
          <w:p w14:paraId="20691044"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tcPr>
          <w:p w14:paraId="79A1C2A3"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bottom w:val="single" w:sz="2" w:space="0" w:color="auto"/>
            </w:tcBorders>
          </w:tcPr>
          <w:p w14:paraId="3188A389"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2" w:space="0" w:color="auto"/>
              <w:bottom w:val="single" w:sz="2" w:space="0" w:color="auto"/>
            </w:tcBorders>
            <w:shd w:val="clear" w:color="auto" w:fill="auto"/>
            <w:vAlign w:val="bottom"/>
          </w:tcPr>
          <w:p w14:paraId="4DB4E16C" w14:textId="645BD1B3" w:rsidR="00BC2A04" w:rsidRPr="001B6B99" w:rsidRDefault="00BC2A04" w:rsidP="00BC2A04">
            <w:pPr>
              <w:pStyle w:val="TableText"/>
              <w:tabs>
                <w:tab w:val="left" w:pos="3306"/>
              </w:tabs>
              <w:jc w:val="right"/>
              <w:rPr>
                <w:rFonts w:cs="Calibri"/>
                <w:b/>
                <w:bCs/>
              </w:rPr>
            </w:pPr>
          </w:p>
        </w:tc>
        <w:tc>
          <w:tcPr>
            <w:tcW w:w="1134" w:type="dxa"/>
            <w:gridSpan w:val="2"/>
            <w:tcBorders>
              <w:top w:val="single" w:sz="2" w:space="0" w:color="auto"/>
              <w:bottom w:val="single" w:sz="2" w:space="0" w:color="auto"/>
            </w:tcBorders>
            <w:shd w:val="clear" w:color="auto" w:fill="auto"/>
            <w:vAlign w:val="bottom"/>
          </w:tcPr>
          <w:p w14:paraId="2F38CFF7"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2" w:space="0" w:color="auto"/>
              <w:bottom w:val="single" w:sz="2" w:space="0" w:color="auto"/>
            </w:tcBorders>
            <w:shd w:val="clear" w:color="auto" w:fill="auto"/>
            <w:vAlign w:val="bottom"/>
          </w:tcPr>
          <w:p w14:paraId="318F0781" w14:textId="77777777" w:rsidR="00BC2A04" w:rsidRPr="001B6B99" w:rsidRDefault="00BC2A04" w:rsidP="00BC2A04">
            <w:pPr>
              <w:pStyle w:val="TableText"/>
              <w:tabs>
                <w:tab w:val="left" w:pos="3306"/>
              </w:tabs>
              <w:jc w:val="right"/>
              <w:rPr>
                <w:rFonts w:cs="Calibri"/>
                <w:b/>
                <w:bCs/>
              </w:rPr>
            </w:pPr>
          </w:p>
        </w:tc>
      </w:tr>
      <w:tr w:rsidR="00BC2A04" w:rsidRPr="00AA76A0" w14:paraId="3C62031C" w14:textId="77777777" w:rsidTr="00F22D61">
        <w:trPr>
          <w:gridAfter w:val="2"/>
          <w:wAfter w:w="284" w:type="dxa"/>
          <w:trHeight w:hRule="exact" w:val="170"/>
        </w:trPr>
        <w:tc>
          <w:tcPr>
            <w:tcW w:w="1557" w:type="dxa"/>
            <w:tcBorders>
              <w:left w:val="single" w:sz="2" w:space="0" w:color="003366"/>
              <w:right w:val="single" w:sz="2" w:space="0" w:color="003366"/>
            </w:tcBorders>
          </w:tcPr>
          <w:p w14:paraId="760A4CBC"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042EB5EC" w14:textId="77777777" w:rsidR="00BC2A04" w:rsidRPr="001B6B99" w:rsidRDefault="00BC2A04" w:rsidP="00BC2A04">
            <w:pPr>
              <w:pStyle w:val="TableText"/>
              <w:tabs>
                <w:tab w:val="left" w:pos="3306"/>
              </w:tabs>
              <w:rPr>
                <w:rFonts w:cs="Calibri"/>
                <w:szCs w:val="16"/>
              </w:rPr>
            </w:pPr>
          </w:p>
        </w:tc>
        <w:tc>
          <w:tcPr>
            <w:tcW w:w="850" w:type="dxa"/>
            <w:gridSpan w:val="2"/>
            <w:tcBorders>
              <w:top w:val="single" w:sz="2" w:space="0" w:color="auto"/>
              <w:bottom w:val="single" w:sz="4" w:space="0" w:color="auto"/>
            </w:tcBorders>
            <w:shd w:val="clear" w:color="auto" w:fill="auto"/>
          </w:tcPr>
          <w:p w14:paraId="0F05C853" w14:textId="77777777" w:rsidR="00BC2A04" w:rsidRPr="001B6B99" w:rsidRDefault="00BC2A04" w:rsidP="00BC2A04">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tcPr>
          <w:p w14:paraId="6BE2C45C" w14:textId="77777777" w:rsidR="00BC2A04" w:rsidRPr="001B6B99" w:rsidRDefault="00BC2A04" w:rsidP="00BC2A04">
            <w:pPr>
              <w:pStyle w:val="TableText"/>
              <w:tabs>
                <w:tab w:val="left" w:pos="3306"/>
              </w:tabs>
              <w:jc w:val="right"/>
              <w:rPr>
                <w:rFonts w:cs="Calibri"/>
                <w:bCs/>
              </w:rPr>
            </w:pPr>
          </w:p>
        </w:tc>
        <w:tc>
          <w:tcPr>
            <w:tcW w:w="850" w:type="dxa"/>
            <w:gridSpan w:val="2"/>
            <w:tcBorders>
              <w:top w:val="single" w:sz="2" w:space="0" w:color="auto"/>
              <w:bottom w:val="single" w:sz="4" w:space="0" w:color="auto"/>
            </w:tcBorders>
          </w:tcPr>
          <w:p w14:paraId="47CB9E13" w14:textId="77777777" w:rsidR="00BC2A04" w:rsidRPr="001B6B99" w:rsidRDefault="00BC2A04" w:rsidP="00BC2A04">
            <w:pPr>
              <w:pStyle w:val="TableText"/>
              <w:tabs>
                <w:tab w:val="left" w:pos="3306"/>
              </w:tabs>
              <w:jc w:val="right"/>
              <w:rPr>
                <w:rFonts w:cs="Calibri"/>
                <w:bCs/>
              </w:rPr>
            </w:pPr>
          </w:p>
        </w:tc>
        <w:tc>
          <w:tcPr>
            <w:tcW w:w="851" w:type="dxa"/>
            <w:gridSpan w:val="2"/>
            <w:tcBorders>
              <w:top w:val="single" w:sz="2" w:space="0" w:color="auto"/>
              <w:bottom w:val="single" w:sz="4" w:space="0" w:color="auto"/>
            </w:tcBorders>
            <w:shd w:val="clear" w:color="auto" w:fill="auto"/>
            <w:vAlign w:val="bottom"/>
          </w:tcPr>
          <w:p w14:paraId="7593DDB4" w14:textId="61F67AA3" w:rsidR="00BC2A04" w:rsidRPr="001B6B99" w:rsidRDefault="00BC2A04" w:rsidP="00BC2A04">
            <w:pPr>
              <w:pStyle w:val="TableText"/>
              <w:tabs>
                <w:tab w:val="left" w:pos="3306"/>
              </w:tabs>
              <w:jc w:val="right"/>
              <w:rPr>
                <w:rFonts w:cs="Calibri"/>
                <w:bCs/>
              </w:rPr>
            </w:pPr>
          </w:p>
        </w:tc>
        <w:tc>
          <w:tcPr>
            <w:tcW w:w="1134" w:type="dxa"/>
            <w:gridSpan w:val="2"/>
            <w:tcBorders>
              <w:top w:val="single" w:sz="2" w:space="0" w:color="auto"/>
              <w:bottom w:val="single" w:sz="4" w:space="0" w:color="auto"/>
            </w:tcBorders>
            <w:shd w:val="clear" w:color="auto" w:fill="auto"/>
            <w:vAlign w:val="bottom"/>
          </w:tcPr>
          <w:p w14:paraId="44AD2BF7" w14:textId="77777777" w:rsidR="00BC2A04" w:rsidRPr="001B6B99" w:rsidRDefault="00BC2A04" w:rsidP="00BC2A04">
            <w:pPr>
              <w:pStyle w:val="TableText"/>
              <w:tabs>
                <w:tab w:val="left" w:pos="3306"/>
              </w:tabs>
              <w:jc w:val="right"/>
              <w:rPr>
                <w:rFonts w:cs="Calibri"/>
                <w:bCs/>
              </w:rPr>
            </w:pPr>
          </w:p>
        </w:tc>
        <w:tc>
          <w:tcPr>
            <w:tcW w:w="850" w:type="dxa"/>
            <w:gridSpan w:val="2"/>
            <w:tcBorders>
              <w:top w:val="single" w:sz="2" w:space="0" w:color="auto"/>
              <w:bottom w:val="single" w:sz="4" w:space="0" w:color="auto"/>
            </w:tcBorders>
            <w:shd w:val="clear" w:color="auto" w:fill="auto"/>
            <w:vAlign w:val="bottom"/>
          </w:tcPr>
          <w:p w14:paraId="427C7A06" w14:textId="77777777" w:rsidR="00BC2A04" w:rsidRPr="001B6B99" w:rsidRDefault="00BC2A04" w:rsidP="00BC2A04">
            <w:pPr>
              <w:pStyle w:val="TableText"/>
              <w:tabs>
                <w:tab w:val="left" w:pos="3306"/>
              </w:tabs>
              <w:jc w:val="right"/>
              <w:rPr>
                <w:rFonts w:cs="Calibri"/>
                <w:bCs/>
              </w:rPr>
            </w:pPr>
          </w:p>
        </w:tc>
      </w:tr>
      <w:tr w:rsidR="00BC2A04" w:rsidRPr="00AA76A0" w14:paraId="1C13872C" w14:textId="77777777" w:rsidTr="00B513E5">
        <w:trPr>
          <w:gridAfter w:val="2"/>
          <w:wAfter w:w="284" w:type="dxa"/>
        </w:trPr>
        <w:tc>
          <w:tcPr>
            <w:tcW w:w="1557" w:type="dxa"/>
            <w:tcBorders>
              <w:left w:val="single" w:sz="2" w:space="0" w:color="003366"/>
              <w:right w:val="single" w:sz="2" w:space="0" w:color="003366"/>
            </w:tcBorders>
          </w:tcPr>
          <w:p w14:paraId="171E153A" w14:textId="77777777" w:rsidR="00BC2A04" w:rsidRPr="004C6029" w:rsidRDefault="00BC2A04" w:rsidP="00BC2A04">
            <w:pPr>
              <w:pStyle w:val="Reference"/>
              <w:rPr>
                <w:rFonts w:cs="Calibri"/>
                <w:b w:val="0"/>
                <w:bCs w:val="0"/>
                <w:sz w:val="14"/>
                <w:szCs w:val="14"/>
              </w:rPr>
            </w:pPr>
          </w:p>
        </w:tc>
        <w:tc>
          <w:tcPr>
            <w:tcW w:w="3402" w:type="dxa"/>
            <w:tcBorders>
              <w:left w:val="single" w:sz="2" w:space="0" w:color="003366"/>
            </w:tcBorders>
            <w:shd w:val="clear" w:color="auto" w:fill="auto"/>
            <w:vAlign w:val="bottom"/>
          </w:tcPr>
          <w:p w14:paraId="7821138E" w14:textId="77777777" w:rsidR="00BC2A04" w:rsidRPr="001B6B99" w:rsidRDefault="00BC2A04" w:rsidP="00BC2A04">
            <w:pPr>
              <w:pStyle w:val="TableText"/>
              <w:tabs>
                <w:tab w:val="left" w:pos="3306"/>
              </w:tabs>
              <w:rPr>
                <w:rFonts w:cs="Calibri"/>
                <w:b/>
                <w:szCs w:val="16"/>
              </w:rPr>
            </w:pPr>
            <w:r w:rsidRPr="001B6B99">
              <w:rPr>
                <w:rFonts w:cs="Calibri"/>
                <w:b/>
                <w:szCs w:val="16"/>
              </w:rPr>
              <w:t>Net Assets</w:t>
            </w:r>
          </w:p>
        </w:tc>
        <w:tc>
          <w:tcPr>
            <w:tcW w:w="850" w:type="dxa"/>
            <w:gridSpan w:val="2"/>
            <w:tcBorders>
              <w:top w:val="single" w:sz="4" w:space="0" w:color="auto"/>
              <w:bottom w:val="double" w:sz="4" w:space="0" w:color="auto"/>
            </w:tcBorders>
            <w:shd w:val="clear" w:color="auto" w:fill="auto"/>
          </w:tcPr>
          <w:p w14:paraId="27F82559"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tcPr>
          <w:p w14:paraId="75BD9D6C"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4" w:space="0" w:color="auto"/>
              <w:bottom w:val="double" w:sz="4" w:space="0" w:color="auto"/>
            </w:tcBorders>
          </w:tcPr>
          <w:p w14:paraId="588EC58A" w14:textId="77777777" w:rsidR="00BC2A04" w:rsidRPr="001B6B99" w:rsidRDefault="00BC2A04" w:rsidP="00BC2A04">
            <w:pPr>
              <w:pStyle w:val="TableText"/>
              <w:tabs>
                <w:tab w:val="left" w:pos="3306"/>
              </w:tabs>
              <w:jc w:val="right"/>
              <w:rPr>
                <w:rFonts w:cs="Calibri"/>
                <w:b/>
                <w:bCs/>
              </w:rPr>
            </w:pPr>
          </w:p>
        </w:tc>
        <w:tc>
          <w:tcPr>
            <w:tcW w:w="851" w:type="dxa"/>
            <w:gridSpan w:val="2"/>
            <w:tcBorders>
              <w:top w:val="single" w:sz="4" w:space="0" w:color="auto"/>
              <w:bottom w:val="double" w:sz="4" w:space="0" w:color="auto"/>
            </w:tcBorders>
            <w:shd w:val="clear" w:color="auto" w:fill="auto"/>
            <w:vAlign w:val="bottom"/>
          </w:tcPr>
          <w:p w14:paraId="064D2D20" w14:textId="697C1717" w:rsidR="00BC2A04" w:rsidRPr="001B6B99" w:rsidRDefault="00BC2A04" w:rsidP="00BC2A04">
            <w:pPr>
              <w:pStyle w:val="TableText"/>
              <w:tabs>
                <w:tab w:val="left" w:pos="3306"/>
              </w:tabs>
              <w:jc w:val="right"/>
              <w:rPr>
                <w:rFonts w:cs="Calibri"/>
                <w:b/>
                <w:bCs/>
              </w:rPr>
            </w:pPr>
          </w:p>
        </w:tc>
        <w:tc>
          <w:tcPr>
            <w:tcW w:w="1134" w:type="dxa"/>
            <w:gridSpan w:val="2"/>
            <w:tcBorders>
              <w:top w:val="single" w:sz="4" w:space="0" w:color="auto"/>
              <w:bottom w:val="double" w:sz="4" w:space="0" w:color="auto"/>
            </w:tcBorders>
            <w:shd w:val="clear" w:color="auto" w:fill="auto"/>
            <w:vAlign w:val="bottom"/>
          </w:tcPr>
          <w:p w14:paraId="59C8E5E3" w14:textId="77777777" w:rsidR="00BC2A04" w:rsidRPr="001B6B99" w:rsidRDefault="00BC2A04" w:rsidP="00BC2A04">
            <w:pPr>
              <w:pStyle w:val="TableText"/>
              <w:tabs>
                <w:tab w:val="left" w:pos="3306"/>
              </w:tabs>
              <w:jc w:val="right"/>
              <w:rPr>
                <w:rFonts w:cs="Calibri"/>
                <w:b/>
                <w:bCs/>
              </w:rPr>
            </w:pPr>
          </w:p>
        </w:tc>
        <w:tc>
          <w:tcPr>
            <w:tcW w:w="850" w:type="dxa"/>
            <w:gridSpan w:val="2"/>
            <w:tcBorders>
              <w:top w:val="single" w:sz="4" w:space="0" w:color="auto"/>
              <w:bottom w:val="double" w:sz="4" w:space="0" w:color="auto"/>
            </w:tcBorders>
            <w:shd w:val="clear" w:color="auto" w:fill="auto"/>
            <w:vAlign w:val="bottom"/>
          </w:tcPr>
          <w:p w14:paraId="0B281753" w14:textId="77777777" w:rsidR="00BC2A04" w:rsidRPr="001B6B99" w:rsidRDefault="00BC2A04" w:rsidP="00BC2A04">
            <w:pPr>
              <w:pStyle w:val="TableText"/>
              <w:tabs>
                <w:tab w:val="left" w:pos="3306"/>
              </w:tabs>
              <w:jc w:val="right"/>
              <w:rPr>
                <w:rFonts w:cs="Calibri"/>
                <w:b/>
                <w:bCs/>
              </w:rPr>
            </w:pPr>
          </w:p>
        </w:tc>
      </w:tr>
      <w:tr w:rsidR="00EF0DF0" w:rsidRPr="005474CC" w14:paraId="5C5E45C3" w14:textId="77777777" w:rsidTr="00B513E5">
        <w:trPr>
          <w:gridAfter w:val="1"/>
          <w:wAfter w:w="85" w:type="dxa"/>
          <w:trHeight w:val="454"/>
        </w:trPr>
        <w:tc>
          <w:tcPr>
            <w:tcW w:w="1557" w:type="dxa"/>
            <w:tcBorders>
              <w:left w:val="single" w:sz="2" w:space="0" w:color="auto"/>
              <w:right w:val="single" w:sz="2" w:space="0" w:color="auto"/>
            </w:tcBorders>
            <w:shd w:val="clear" w:color="auto" w:fill="auto"/>
          </w:tcPr>
          <w:p w14:paraId="002B33DD" w14:textId="4613C4BF" w:rsidR="00EF0DF0" w:rsidRPr="00407B89" w:rsidRDefault="00EF0DF0" w:rsidP="00F22D61">
            <w:pPr>
              <w:pStyle w:val="TableReference"/>
              <w:tabs>
                <w:tab w:val="left" w:pos="3306"/>
              </w:tabs>
              <w:spacing w:before="240"/>
              <w:rPr>
                <w:rFonts w:cs="Calibri"/>
                <w:b/>
                <w:color w:val="auto"/>
                <w:sz w:val="22"/>
                <w:szCs w:val="22"/>
              </w:rPr>
            </w:pPr>
            <w:r w:rsidRPr="001B6B99">
              <w:rPr>
                <w:rFonts w:cs="Calibri"/>
                <w:b/>
                <w:color w:val="7030A0"/>
                <w:sz w:val="22"/>
                <w:szCs w:val="22"/>
              </w:rPr>
              <w:t>Reference</w:t>
            </w:r>
          </w:p>
        </w:tc>
        <w:tc>
          <w:tcPr>
            <w:tcW w:w="8987" w:type="dxa"/>
            <w:gridSpan w:val="14"/>
            <w:tcBorders>
              <w:left w:val="single" w:sz="2" w:space="0" w:color="auto"/>
            </w:tcBorders>
            <w:shd w:val="clear" w:color="auto" w:fill="auto"/>
          </w:tcPr>
          <w:p w14:paraId="14715F36" w14:textId="7AF094C1" w:rsidR="00EF0DF0" w:rsidRPr="005474CC" w:rsidRDefault="00EF0DF0" w:rsidP="00F22D61">
            <w:pPr>
              <w:spacing w:before="240"/>
              <w:rPr>
                <w:b/>
              </w:rPr>
            </w:pPr>
            <w:r w:rsidRPr="00DD2353">
              <w:rPr>
                <w:rFonts w:asciiTheme="minorHAnsi" w:hAnsiTheme="minorHAnsi" w:cstheme="minorHAnsi"/>
                <w:b/>
                <w:bCs/>
                <w:caps/>
                <w:sz w:val="36"/>
                <w:szCs w:val="36"/>
              </w:rPr>
              <w:t>Disaggregated Disclosure of Assets and Liabilities [Directorates Only] – Continued</w:t>
            </w:r>
            <w:r>
              <w:rPr>
                <w:b/>
              </w:rPr>
              <w:t xml:space="preserve"> </w:t>
            </w:r>
          </w:p>
        </w:tc>
      </w:tr>
      <w:tr w:rsidR="00A30ED6" w:rsidRPr="005474CC" w14:paraId="500B7B33" w14:textId="77777777" w:rsidTr="00B513E5">
        <w:trPr>
          <w:gridAfter w:val="1"/>
          <w:wAfter w:w="85" w:type="dxa"/>
          <w:trHeight w:val="264"/>
        </w:trPr>
        <w:tc>
          <w:tcPr>
            <w:tcW w:w="1557" w:type="dxa"/>
            <w:tcBorders>
              <w:left w:val="single" w:sz="2" w:space="0" w:color="auto"/>
              <w:right w:val="single" w:sz="2" w:space="0" w:color="auto"/>
            </w:tcBorders>
            <w:shd w:val="clear" w:color="auto" w:fill="auto"/>
          </w:tcPr>
          <w:p w14:paraId="27A73605" w14:textId="77777777" w:rsidR="00A30ED6" w:rsidRPr="001E61A0" w:rsidRDefault="00A30ED6"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54D02440" w14:textId="55601CA4" w:rsidR="00A30ED6" w:rsidRPr="001A12A3" w:rsidRDefault="00A30ED6" w:rsidP="007122BC">
            <w:pPr>
              <w:pStyle w:val="TableText"/>
              <w:numPr>
                <w:ilvl w:val="0"/>
                <w:numId w:val="52"/>
              </w:numPr>
              <w:tabs>
                <w:tab w:val="left" w:pos="3306"/>
              </w:tabs>
              <w:spacing w:before="0" w:after="120"/>
              <w:ind w:left="321"/>
              <w:jc w:val="both"/>
              <w:rPr>
                <w:rFonts w:cs="Calibri"/>
              </w:rPr>
            </w:pPr>
            <w:r w:rsidRPr="001A12A3">
              <w:rPr>
                <w:rFonts w:cs="Calibri"/>
              </w:rPr>
              <w:t>Unallocated Cash and Cash Equivalents</w:t>
            </w:r>
          </w:p>
        </w:tc>
      </w:tr>
      <w:tr w:rsidR="00A30ED6" w:rsidRPr="005474CC" w14:paraId="6DA57155" w14:textId="77777777" w:rsidTr="00B513E5">
        <w:trPr>
          <w:gridAfter w:val="1"/>
          <w:wAfter w:w="85" w:type="dxa"/>
          <w:trHeight w:val="454"/>
        </w:trPr>
        <w:tc>
          <w:tcPr>
            <w:tcW w:w="1557" w:type="dxa"/>
            <w:tcBorders>
              <w:left w:val="single" w:sz="2" w:space="0" w:color="auto"/>
              <w:right w:val="single" w:sz="2" w:space="0" w:color="auto"/>
            </w:tcBorders>
            <w:shd w:val="clear" w:color="auto" w:fill="auto"/>
          </w:tcPr>
          <w:p w14:paraId="63822619" w14:textId="77777777" w:rsidR="00A30ED6" w:rsidRPr="001E61A0" w:rsidRDefault="00A30ED6"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12FC6D5E" w14:textId="0A5C7049" w:rsidR="00A30ED6" w:rsidRPr="001E61A0" w:rsidRDefault="00A30ED6" w:rsidP="0068630B">
            <w:pPr>
              <w:pStyle w:val="TableText"/>
              <w:tabs>
                <w:tab w:val="left" w:pos="3306"/>
              </w:tabs>
              <w:spacing w:before="60" w:after="60"/>
              <w:jc w:val="both"/>
              <w:rPr>
                <w:rFonts w:cs="Calibri"/>
              </w:rPr>
            </w:pPr>
            <w:r w:rsidRPr="001E61A0">
              <w:rPr>
                <w:rFonts w:cs="Calibri"/>
              </w:rPr>
              <w:t>Cash and cash equivalents have been included in the ‘Unallocated’ column above, as this class cannot be ‘reliably attributed’ to the Directorate’s output classes.</w:t>
            </w:r>
            <w:r w:rsidR="00FA7C77">
              <w:rPr>
                <w:rFonts w:cs="Calibri"/>
              </w:rPr>
              <w:t xml:space="preserve"> </w:t>
            </w:r>
            <w:r w:rsidRPr="001E61A0">
              <w:rPr>
                <w:rFonts w:cs="Calibri"/>
              </w:rPr>
              <w:t>As the amount of cash and cash equivalents held by the Directorate is comprised of a number of disparate components, no single allocation driver can be used to ‘reliably attribute’ this asset class.</w:t>
            </w:r>
            <w:r w:rsidR="00FA7C77">
              <w:rPr>
                <w:rFonts w:cs="Calibri"/>
              </w:rPr>
              <w:t xml:space="preserve"> </w:t>
            </w:r>
            <w:r w:rsidRPr="001E61A0">
              <w:rPr>
                <w:rFonts w:cs="Calibri"/>
              </w:rPr>
              <w:t>The components are as follows:</w:t>
            </w:r>
          </w:p>
          <w:p w14:paraId="78FC7248" w14:textId="5A8DDF35" w:rsidR="00A30ED6" w:rsidRPr="001E61A0" w:rsidRDefault="00A30ED6" w:rsidP="007122BC">
            <w:pPr>
              <w:numPr>
                <w:ilvl w:val="0"/>
                <w:numId w:val="24"/>
              </w:numPr>
              <w:jc w:val="both"/>
              <w:rPr>
                <w:rFonts w:cs="Calibri"/>
                <w:sz w:val="18"/>
                <w:szCs w:val="18"/>
              </w:rPr>
            </w:pPr>
            <w:r w:rsidRPr="001E61A0">
              <w:rPr>
                <w:rFonts w:cs="Calibri"/>
                <w:sz w:val="18"/>
                <w:szCs w:val="18"/>
              </w:rPr>
              <w:t>working capital which is not held for any specific output class but is instead held for unfor</w:t>
            </w:r>
            <w:r w:rsidR="00BB48D2" w:rsidRPr="001E61A0">
              <w:rPr>
                <w:rFonts w:cs="Calibri"/>
                <w:sz w:val="18"/>
                <w:szCs w:val="18"/>
              </w:rPr>
              <w:t>e</w:t>
            </w:r>
            <w:r w:rsidRPr="001E61A0">
              <w:rPr>
                <w:rFonts w:cs="Calibri"/>
                <w:sz w:val="18"/>
                <w:szCs w:val="18"/>
              </w:rPr>
              <w:t>seen operational expenditures;</w:t>
            </w:r>
          </w:p>
          <w:p w14:paraId="07B92AC6" w14:textId="53B3A3B1" w:rsidR="00A30ED6" w:rsidRPr="001E61A0" w:rsidRDefault="00A30ED6" w:rsidP="007122BC">
            <w:pPr>
              <w:numPr>
                <w:ilvl w:val="0"/>
                <w:numId w:val="24"/>
              </w:numPr>
              <w:jc w:val="both"/>
              <w:rPr>
                <w:rFonts w:cs="Calibri"/>
                <w:sz w:val="18"/>
                <w:szCs w:val="18"/>
              </w:rPr>
            </w:pPr>
            <w:r w:rsidRPr="001E61A0">
              <w:rPr>
                <w:rFonts w:cs="Calibri"/>
                <w:sz w:val="18"/>
                <w:szCs w:val="18"/>
              </w:rPr>
              <w:t>cash held for unpresented cheques.</w:t>
            </w:r>
            <w:r w:rsidR="00FA7C77">
              <w:rPr>
                <w:rFonts w:cs="Calibri"/>
                <w:sz w:val="18"/>
                <w:szCs w:val="18"/>
              </w:rPr>
              <w:t xml:space="preserve"> </w:t>
            </w:r>
            <w:r w:rsidRPr="001E61A0">
              <w:rPr>
                <w:rFonts w:cs="Calibri"/>
                <w:sz w:val="18"/>
                <w:szCs w:val="18"/>
              </w:rPr>
              <w:t>There is no correlation between output class expenditure and actual cheques which are unpresented at any given point in time.</w:t>
            </w:r>
            <w:r w:rsidR="00FA7C77">
              <w:rPr>
                <w:rFonts w:cs="Calibri"/>
                <w:sz w:val="18"/>
                <w:szCs w:val="18"/>
              </w:rPr>
              <w:t xml:space="preserve"> </w:t>
            </w:r>
            <w:r w:rsidRPr="001E61A0">
              <w:rPr>
                <w:rFonts w:cs="Calibri"/>
                <w:sz w:val="18"/>
                <w:szCs w:val="18"/>
              </w:rPr>
              <w:t>Also, a single unpresented cheque could relate to multiple output classes;</w:t>
            </w:r>
          </w:p>
          <w:p w14:paraId="65AA8FB8" w14:textId="77777777" w:rsidR="00A30ED6" w:rsidRPr="001E61A0" w:rsidRDefault="00A30ED6" w:rsidP="007122BC">
            <w:pPr>
              <w:numPr>
                <w:ilvl w:val="0"/>
                <w:numId w:val="24"/>
              </w:numPr>
              <w:jc w:val="both"/>
              <w:rPr>
                <w:rFonts w:cs="Calibri"/>
                <w:sz w:val="18"/>
                <w:szCs w:val="18"/>
              </w:rPr>
            </w:pPr>
            <w:r w:rsidRPr="001E61A0">
              <w:rPr>
                <w:rFonts w:cs="Calibri"/>
                <w:sz w:val="18"/>
                <w:szCs w:val="18"/>
              </w:rPr>
              <w:t>cash held for a specific purpose; and</w:t>
            </w:r>
          </w:p>
          <w:p w14:paraId="5B5882F9" w14:textId="77777777" w:rsidR="00A30ED6" w:rsidRPr="001E61A0" w:rsidRDefault="00A30ED6" w:rsidP="007122BC">
            <w:pPr>
              <w:numPr>
                <w:ilvl w:val="0"/>
                <w:numId w:val="24"/>
              </w:numPr>
              <w:jc w:val="both"/>
              <w:rPr>
                <w:rFonts w:cs="Calibri"/>
                <w:sz w:val="18"/>
                <w:szCs w:val="18"/>
              </w:rPr>
            </w:pPr>
            <w:r w:rsidRPr="001E61A0">
              <w:rPr>
                <w:rFonts w:cs="Calibri"/>
                <w:sz w:val="18"/>
                <w:szCs w:val="18"/>
              </w:rPr>
              <w:t>cash held in anticipation of an imminent payment.</w:t>
            </w:r>
          </w:p>
        </w:tc>
      </w:tr>
      <w:tr w:rsidR="00A30ED6" w:rsidRPr="005474CC" w14:paraId="709182F9" w14:textId="77777777" w:rsidTr="00B513E5">
        <w:trPr>
          <w:gridAfter w:val="1"/>
          <w:wAfter w:w="85" w:type="dxa"/>
          <w:trHeight w:val="116"/>
        </w:trPr>
        <w:tc>
          <w:tcPr>
            <w:tcW w:w="1557" w:type="dxa"/>
            <w:tcBorders>
              <w:left w:val="single" w:sz="2" w:space="0" w:color="auto"/>
              <w:right w:val="single" w:sz="2" w:space="0" w:color="auto"/>
            </w:tcBorders>
            <w:shd w:val="clear" w:color="auto" w:fill="auto"/>
          </w:tcPr>
          <w:p w14:paraId="7EF9B2C6" w14:textId="77777777" w:rsidR="00A30ED6" w:rsidRPr="001E61A0" w:rsidRDefault="00A30ED6"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4C4C6185" w14:textId="77777777" w:rsidR="00A30ED6" w:rsidRPr="001A12A3" w:rsidRDefault="00A30ED6" w:rsidP="004F3F15">
            <w:pPr>
              <w:pStyle w:val="TableText"/>
              <w:tabs>
                <w:tab w:val="left" w:pos="3306"/>
              </w:tabs>
              <w:spacing w:before="0"/>
              <w:ind w:left="323"/>
              <w:jc w:val="both"/>
              <w:rPr>
                <w:rFonts w:cs="Calibri"/>
              </w:rPr>
            </w:pPr>
          </w:p>
          <w:p w14:paraId="008B06D3" w14:textId="28FEB7F2" w:rsidR="00A30ED6" w:rsidRPr="001E61A0" w:rsidRDefault="00A30ED6" w:rsidP="007122BC">
            <w:pPr>
              <w:pStyle w:val="TableText"/>
              <w:numPr>
                <w:ilvl w:val="0"/>
                <w:numId w:val="52"/>
              </w:numPr>
              <w:tabs>
                <w:tab w:val="left" w:pos="3306"/>
              </w:tabs>
              <w:spacing w:before="0" w:after="120"/>
              <w:ind w:left="321"/>
              <w:jc w:val="both"/>
              <w:rPr>
                <w:rFonts w:cs="Calibri"/>
              </w:rPr>
            </w:pPr>
            <w:r w:rsidRPr="001E61A0">
              <w:rPr>
                <w:rFonts w:cs="Calibri"/>
              </w:rPr>
              <w:t xml:space="preserve">Unallocated Investments </w:t>
            </w:r>
          </w:p>
        </w:tc>
      </w:tr>
      <w:tr w:rsidR="001E61A0" w:rsidRPr="005474CC" w14:paraId="26FC8418" w14:textId="77777777" w:rsidTr="00B513E5">
        <w:trPr>
          <w:gridAfter w:val="1"/>
          <w:wAfter w:w="85" w:type="dxa"/>
          <w:trHeight w:val="116"/>
        </w:trPr>
        <w:tc>
          <w:tcPr>
            <w:tcW w:w="1557" w:type="dxa"/>
            <w:tcBorders>
              <w:left w:val="single" w:sz="2" w:space="0" w:color="auto"/>
              <w:right w:val="single" w:sz="2" w:space="0" w:color="auto"/>
            </w:tcBorders>
            <w:shd w:val="clear" w:color="auto" w:fill="auto"/>
          </w:tcPr>
          <w:p w14:paraId="7C7B5068" w14:textId="77777777" w:rsidR="001E61A0" w:rsidRPr="001E61A0" w:rsidRDefault="001E61A0"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21C894AD" w14:textId="5FC4C130" w:rsidR="001E61A0" w:rsidRPr="001E61A0" w:rsidRDefault="001E61A0" w:rsidP="0068630B">
            <w:pPr>
              <w:pStyle w:val="CommentaryTitle"/>
              <w:pageBreakBefore w:val="0"/>
              <w:tabs>
                <w:tab w:val="left" w:pos="3306"/>
              </w:tabs>
              <w:spacing w:before="0" w:after="0"/>
              <w:rPr>
                <w:rFonts w:cs="Calibri"/>
                <w:sz w:val="18"/>
                <w:szCs w:val="18"/>
                <w:vertAlign w:val="superscript"/>
              </w:rPr>
            </w:pPr>
            <w:r w:rsidRPr="001E61A0">
              <w:rPr>
                <w:rFonts w:cs="Calibri"/>
                <w:b w:val="0"/>
                <w:sz w:val="18"/>
                <w:szCs w:val="18"/>
              </w:rPr>
              <w:t>Investments with the Territory Banking Account cannot be ‘reliably attributed’ to the Directorate’s output classes.</w:t>
            </w:r>
          </w:p>
        </w:tc>
      </w:tr>
      <w:tr w:rsidR="00A30ED6" w:rsidRPr="005474CC" w14:paraId="5B601808" w14:textId="77777777" w:rsidTr="00B513E5">
        <w:trPr>
          <w:gridAfter w:val="1"/>
          <w:wAfter w:w="85" w:type="dxa"/>
          <w:trHeight w:val="116"/>
        </w:trPr>
        <w:tc>
          <w:tcPr>
            <w:tcW w:w="1557" w:type="dxa"/>
            <w:tcBorders>
              <w:left w:val="single" w:sz="2" w:space="0" w:color="auto"/>
              <w:right w:val="single" w:sz="2" w:space="0" w:color="auto"/>
            </w:tcBorders>
            <w:shd w:val="clear" w:color="auto" w:fill="auto"/>
          </w:tcPr>
          <w:p w14:paraId="195A7EC0" w14:textId="77777777" w:rsidR="00A30ED6" w:rsidRPr="001E61A0" w:rsidRDefault="00A30ED6"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auto"/>
          </w:tcPr>
          <w:p w14:paraId="3FBD472B" w14:textId="77777777" w:rsidR="00A30ED6" w:rsidRPr="001E61A0" w:rsidRDefault="00A30ED6" w:rsidP="0068630B">
            <w:pPr>
              <w:pStyle w:val="CommentaryTitle"/>
              <w:pageBreakBefore w:val="0"/>
              <w:tabs>
                <w:tab w:val="left" w:pos="3306"/>
              </w:tabs>
              <w:spacing w:before="0" w:after="0"/>
              <w:rPr>
                <w:rFonts w:cs="Calibri"/>
                <w:sz w:val="18"/>
                <w:szCs w:val="18"/>
              </w:rPr>
            </w:pPr>
          </w:p>
        </w:tc>
      </w:tr>
      <w:tr w:rsidR="00A30ED6" w:rsidRPr="005474CC" w14:paraId="07C1C9C9" w14:textId="77777777" w:rsidTr="00B513E5">
        <w:trPr>
          <w:gridAfter w:val="1"/>
          <w:wAfter w:w="85" w:type="dxa"/>
          <w:trHeight w:val="454"/>
        </w:trPr>
        <w:tc>
          <w:tcPr>
            <w:tcW w:w="1557" w:type="dxa"/>
            <w:tcBorders>
              <w:left w:val="single" w:sz="2" w:space="0" w:color="auto"/>
              <w:right w:val="single" w:sz="2" w:space="0" w:color="auto"/>
            </w:tcBorders>
          </w:tcPr>
          <w:p w14:paraId="1086DBD4" w14:textId="77777777" w:rsidR="00A30ED6" w:rsidRPr="001E61A0" w:rsidRDefault="00A30ED6" w:rsidP="0068630B">
            <w:pPr>
              <w:pStyle w:val="TableReference"/>
              <w:tabs>
                <w:tab w:val="left" w:pos="3306"/>
              </w:tabs>
              <w:rPr>
                <w:rFonts w:cs="Calibri"/>
                <w:color w:val="auto"/>
                <w:sz w:val="14"/>
              </w:rPr>
            </w:pPr>
          </w:p>
        </w:tc>
        <w:tc>
          <w:tcPr>
            <w:tcW w:w="8987" w:type="dxa"/>
            <w:gridSpan w:val="14"/>
            <w:tcBorders>
              <w:left w:val="single" w:sz="2" w:space="0" w:color="auto"/>
            </w:tcBorders>
            <w:shd w:val="clear" w:color="auto" w:fill="7030A0"/>
          </w:tcPr>
          <w:p w14:paraId="011E702B" w14:textId="4DA147B4" w:rsidR="00ED5CD9" w:rsidRPr="001B6B99" w:rsidRDefault="00A30ED6" w:rsidP="007E0503">
            <w:pPr>
              <w:pStyle w:val="TableReference"/>
              <w:tabs>
                <w:tab w:val="left" w:pos="3306"/>
              </w:tabs>
              <w:spacing w:before="120" w:after="240"/>
              <w:rPr>
                <w:rFonts w:cs="Calibri"/>
                <w:b/>
                <w:color w:val="FFFFFF" w:themeColor="background1"/>
                <w:sz w:val="28"/>
                <w:szCs w:val="28"/>
              </w:rPr>
            </w:pPr>
            <w:r w:rsidRPr="001B6B99">
              <w:rPr>
                <w:rFonts w:cs="Calibri"/>
                <w:b/>
                <w:color w:val="FFFFFF" w:themeColor="background1"/>
                <w:sz w:val="28"/>
                <w:szCs w:val="28"/>
              </w:rPr>
              <w:t xml:space="preserve">Commentary </w:t>
            </w:r>
            <w:r w:rsidRPr="001B6B99">
              <w:rPr>
                <w:rFonts w:cs="Calibri"/>
                <w:b/>
                <w:color w:val="FFFFFF" w:themeColor="background1"/>
                <w:sz w:val="28"/>
                <w:szCs w:val="28"/>
              </w:rPr>
              <w:sym w:font="Symbol" w:char="F02D"/>
            </w:r>
            <w:r w:rsidRPr="001B6B99">
              <w:rPr>
                <w:rFonts w:cs="Calibri"/>
                <w:b/>
                <w:color w:val="FFFFFF" w:themeColor="background1"/>
                <w:sz w:val="28"/>
                <w:szCs w:val="28"/>
              </w:rPr>
              <w:t xml:space="preserve"> Disaggregated Disclosure of Assets and Liabilities [Directorates Only]</w:t>
            </w:r>
          </w:p>
        </w:tc>
      </w:tr>
      <w:tr w:rsidR="00A30ED6" w:rsidRPr="005474CC" w14:paraId="4AC2DA9E" w14:textId="77777777" w:rsidTr="00B513E5">
        <w:trPr>
          <w:gridAfter w:val="1"/>
          <w:wAfter w:w="85" w:type="dxa"/>
          <w:trHeight w:val="119"/>
        </w:trPr>
        <w:tc>
          <w:tcPr>
            <w:tcW w:w="1557" w:type="dxa"/>
            <w:tcBorders>
              <w:left w:val="single" w:sz="2" w:space="0" w:color="auto"/>
              <w:right w:val="single" w:sz="2" w:space="0" w:color="auto"/>
            </w:tcBorders>
          </w:tcPr>
          <w:p w14:paraId="3066E549" w14:textId="77777777" w:rsidR="00A30ED6" w:rsidRPr="001E61A0" w:rsidRDefault="00A30ED6" w:rsidP="0068630B">
            <w:pPr>
              <w:pStyle w:val="TableReference"/>
              <w:tabs>
                <w:tab w:val="left" w:pos="3306"/>
              </w:tabs>
              <w:spacing w:before="60"/>
              <w:rPr>
                <w:rFonts w:cs="Calibri"/>
                <w:color w:val="auto"/>
                <w:sz w:val="14"/>
              </w:rPr>
            </w:pPr>
          </w:p>
        </w:tc>
        <w:tc>
          <w:tcPr>
            <w:tcW w:w="8987" w:type="dxa"/>
            <w:gridSpan w:val="14"/>
            <w:tcBorders>
              <w:left w:val="single" w:sz="2" w:space="0" w:color="auto"/>
            </w:tcBorders>
            <w:shd w:val="clear" w:color="auto" w:fill="7030A0"/>
          </w:tcPr>
          <w:p w14:paraId="7676E883" w14:textId="77777777" w:rsidR="00A30ED6" w:rsidRPr="004F3F15" w:rsidRDefault="00A30ED6" w:rsidP="0068630B">
            <w:pPr>
              <w:pStyle w:val="CommentaryText"/>
              <w:tabs>
                <w:tab w:val="left" w:pos="3306"/>
              </w:tabs>
              <w:rPr>
                <w:rFonts w:cs="Calibri"/>
                <w:b/>
                <w:color w:val="FFFFFF" w:themeColor="background1"/>
                <w:szCs w:val="20"/>
              </w:rPr>
            </w:pPr>
            <w:r w:rsidRPr="004F3F15">
              <w:rPr>
                <w:rFonts w:cs="Calibri"/>
                <w:b/>
                <w:color w:val="FFFFFF" w:themeColor="background1"/>
                <w:szCs w:val="20"/>
              </w:rPr>
              <w:t>One Output Class</w:t>
            </w:r>
          </w:p>
        </w:tc>
      </w:tr>
      <w:tr w:rsidR="00A30ED6" w:rsidRPr="005474CC" w14:paraId="6F86D06F" w14:textId="77777777" w:rsidTr="00B513E5">
        <w:trPr>
          <w:gridAfter w:val="1"/>
          <w:wAfter w:w="85" w:type="dxa"/>
          <w:trHeight w:val="425"/>
        </w:trPr>
        <w:tc>
          <w:tcPr>
            <w:tcW w:w="1557" w:type="dxa"/>
            <w:tcBorders>
              <w:left w:val="single" w:sz="2" w:space="0" w:color="auto"/>
              <w:right w:val="single" w:sz="2" w:space="0" w:color="auto"/>
            </w:tcBorders>
          </w:tcPr>
          <w:p w14:paraId="3049CCB8" w14:textId="77777777" w:rsidR="00A30ED6" w:rsidRPr="001E61A0" w:rsidRDefault="00A30ED6" w:rsidP="0068630B">
            <w:pPr>
              <w:pStyle w:val="TableReference"/>
              <w:tabs>
                <w:tab w:val="left" w:pos="3306"/>
              </w:tabs>
              <w:spacing w:before="60"/>
              <w:rPr>
                <w:rFonts w:cs="Calibri"/>
                <w:color w:val="auto"/>
                <w:sz w:val="14"/>
              </w:rPr>
            </w:pPr>
          </w:p>
        </w:tc>
        <w:tc>
          <w:tcPr>
            <w:tcW w:w="8987" w:type="dxa"/>
            <w:gridSpan w:val="14"/>
            <w:tcBorders>
              <w:left w:val="single" w:sz="2" w:space="0" w:color="auto"/>
            </w:tcBorders>
            <w:shd w:val="clear" w:color="auto" w:fill="7030A0"/>
          </w:tcPr>
          <w:p w14:paraId="431DF683" w14:textId="4452B9A4" w:rsidR="00A30ED6" w:rsidRPr="001B6B99" w:rsidRDefault="00A30ED6" w:rsidP="001E61A0">
            <w:pPr>
              <w:pStyle w:val="CommentaryText"/>
              <w:rPr>
                <w:rFonts w:cs="Calibri"/>
                <w:color w:val="FFFFFF" w:themeColor="background1"/>
                <w:sz w:val="18"/>
                <w:szCs w:val="18"/>
              </w:rPr>
            </w:pPr>
            <w:r w:rsidRPr="001B6B99">
              <w:rPr>
                <w:rFonts w:cs="Calibri"/>
                <w:color w:val="FFFFFF" w:themeColor="background1"/>
                <w:sz w:val="18"/>
                <w:szCs w:val="18"/>
              </w:rPr>
              <w:t>Where a directorate only has one output class, this disaggregated disclosure note is not required to be included in the directorate’s financial statements.</w:t>
            </w:r>
            <w:r w:rsidR="00FA7C77">
              <w:rPr>
                <w:rFonts w:cs="Calibri"/>
                <w:color w:val="FFFFFF" w:themeColor="background1"/>
                <w:sz w:val="18"/>
                <w:szCs w:val="18"/>
              </w:rPr>
              <w:t xml:space="preserve"> </w:t>
            </w:r>
            <w:r w:rsidRPr="001B6B99">
              <w:rPr>
                <w:rFonts w:cs="Calibri"/>
                <w:color w:val="FFFFFF" w:themeColor="background1"/>
                <w:sz w:val="18"/>
                <w:szCs w:val="18"/>
              </w:rPr>
              <w:t>However, where this is the case, the directorate must disclose this fact at the bottom of its balance sheet.</w:t>
            </w:r>
          </w:p>
        </w:tc>
      </w:tr>
      <w:tr w:rsidR="001E61A0" w:rsidRPr="005474CC" w14:paraId="084BC495" w14:textId="77777777" w:rsidTr="00B513E5">
        <w:trPr>
          <w:gridAfter w:val="1"/>
          <w:wAfter w:w="85" w:type="dxa"/>
          <w:trHeight w:val="425"/>
        </w:trPr>
        <w:tc>
          <w:tcPr>
            <w:tcW w:w="1557" w:type="dxa"/>
            <w:tcBorders>
              <w:left w:val="single" w:sz="2" w:space="0" w:color="auto"/>
              <w:right w:val="single" w:sz="2" w:space="0" w:color="auto"/>
            </w:tcBorders>
          </w:tcPr>
          <w:p w14:paraId="53411D5E" w14:textId="77777777" w:rsidR="001E61A0" w:rsidRPr="001E61A0" w:rsidRDefault="001E61A0" w:rsidP="0068630B">
            <w:pPr>
              <w:pStyle w:val="TableReference"/>
              <w:tabs>
                <w:tab w:val="left" w:pos="3306"/>
              </w:tabs>
              <w:spacing w:before="60"/>
              <w:rPr>
                <w:rFonts w:cs="Calibri"/>
                <w:color w:val="auto"/>
                <w:sz w:val="14"/>
              </w:rPr>
            </w:pPr>
          </w:p>
        </w:tc>
        <w:tc>
          <w:tcPr>
            <w:tcW w:w="8987" w:type="dxa"/>
            <w:gridSpan w:val="14"/>
            <w:tcBorders>
              <w:left w:val="single" w:sz="2" w:space="0" w:color="auto"/>
            </w:tcBorders>
            <w:shd w:val="clear" w:color="auto" w:fill="7030A0"/>
          </w:tcPr>
          <w:p w14:paraId="7C43FB8D" w14:textId="77777777" w:rsidR="001E61A0" w:rsidRPr="001B6B99" w:rsidRDefault="001E61A0" w:rsidP="001E61A0">
            <w:pPr>
              <w:pStyle w:val="CommentaryText"/>
              <w:ind w:left="45"/>
              <w:rPr>
                <w:rFonts w:cs="Calibri"/>
                <w:color w:val="FFFFFF" w:themeColor="background1"/>
                <w:sz w:val="18"/>
                <w:szCs w:val="18"/>
              </w:rPr>
            </w:pPr>
            <w:r w:rsidRPr="001B6B99">
              <w:rPr>
                <w:rFonts w:cs="Calibri"/>
                <w:color w:val="FFFFFF" w:themeColor="background1"/>
                <w:sz w:val="18"/>
                <w:szCs w:val="18"/>
              </w:rPr>
              <w:t xml:space="preserve">Example wording a Directorate may use at the bottom of its balance sheet, is as follows: </w:t>
            </w:r>
          </w:p>
          <w:p w14:paraId="041081AF" w14:textId="41C832EF" w:rsidR="001E61A0" w:rsidRPr="001B6B99" w:rsidRDefault="001E61A0" w:rsidP="00E8595B">
            <w:pPr>
              <w:pStyle w:val="CommentaryText"/>
              <w:rPr>
                <w:rFonts w:cs="Calibri"/>
                <w:color w:val="FFFFFF" w:themeColor="background1"/>
                <w:sz w:val="18"/>
                <w:szCs w:val="18"/>
              </w:rPr>
            </w:pPr>
            <w:r w:rsidRPr="001B6B99">
              <w:rPr>
                <w:rFonts w:cs="Calibri"/>
                <w:i/>
                <w:color w:val="FFFFFF" w:themeColor="background1"/>
                <w:sz w:val="18"/>
                <w:szCs w:val="18"/>
              </w:rPr>
              <w:t>‘</w:t>
            </w:r>
            <w:r w:rsidRPr="001B6B99">
              <w:rPr>
                <w:i/>
                <w:iCs/>
                <w:color w:val="FFFFFF" w:themeColor="background1"/>
                <w:sz w:val="18"/>
                <w:szCs w:val="18"/>
              </w:rPr>
              <w:t xml:space="preserve">Burley Griffin </w:t>
            </w:r>
            <w:r w:rsidRPr="001B6B99">
              <w:rPr>
                <w:rFonts w:cs="Calibri"/>
                <w:i/>
                <w:color w:val="FFFFFF" w:themeColor="background1"/>
                <w:sz w:val="18"/>
                <w:szCs w:val="18"/>
              </w:rPr>
              <w:t>Agency’ only has one output class and as such the above Balance Sheet is also the Directorate’s Balance Sheet for the [Name of Output Class] Output Class.</w:t>
            </w:r>
            <w:r w:rsidR="00FA7C77">
              <w:rPr>
                <w:rFonts w:cs="Calibri"/>
                <w:i/>
                <w:color w:val="FFFFFF" w:themeColor="background1"/>
                <w:sz w:val="18"/>
                <w:szCs w:val="18"/>
              </w:rPr>
              <w:t xml:space="preserve"> </w:t>
            </w:r>
            <w:r w:rsidRPr="001B6B99">
              <w:rPr>
                <w:rFonts w:cs="Calibri"/>
                <w:i/>
                <w:color w:val="FFFFFF" w:themeColor="background1"/>
                <w:sz w:val="18"/>
                <w:szCs w:val="18"/>
              </w:rPr>
              <w:t>A separate disaggregated disclosure note has not been included in these financial statements.</w:t>
            </w:r>
          </w:p>
        </w:tc>
      </w:tr>
      <w:tr w:rsidR="00A30ED6" w:rsidRPr="005474CC" w14:paraId="1A554032" w14:textId="77777777" w:rsidTr="00B513E5">
        <w:trPr>
          <w:gridAfter w:val="1"/>
          <w:wAfter w:w="85" w:type="dxa"/>
          <w:trHeight w:val="119"/>
        </w:trPr>
        <w:tc>
          <w:tcPr>
            <w:tcW w:w="1557" w:type="dxa"/>
            <w:tcBorders>
              <w:left w:val="single" w:sz="2" w:space="0" w:color="auto"/>
              <w:right w:val="single" w:sz="2" w:space="0" w:color="auto"/>
            </w:tcBorders>
          </w:tcPr>
          <w:p w14:paraId="64CEF301" w14:textId="77777777" w:rsidR="00A30ED6" w:rsidRPr="001E61A0" w:rsidRDefault="00A30ED6" w:rsidP="0068630B">
            <w:pPr>
              <w:pStyle w:val="TableReference"/>
              <w:tabs>
                <w:tab w:val="left" w:pos="3306"/>
              </w:tabs>
              <w:spacing w:after="120"/>
              <w:rPr>
                <w:rFonts w:cs="Calibri"/>
                <w:color w:val="auto"/>
                <w:sz w:val="14"/>
              </w:rPr>
            </w:pPr>
          </w:p>
        </w:tc>
        <w:tc>
          <w:tcPr>
            <w:tcW w:w="8987" w:type="dxa"/>
            <w:gridSpan w:val="14"/>
            <w:tcBorders>
              <w:left w:val="single" w:sz="2" w:space="0" w:color="auto"/>
            </w:tcBorders>
            <w:shd w:val="clear" w:color="auto" w:fill="7030A0"/>
          </w:tcPr>
          <w:p w14:paraId="724D4B78" w14:textId="77777777" w:rsidR="00A30ED6" w:rsidRPr="004F3F15" w:rsidRDefault="00A30ED6" w:rsidP="001E61A0">
            <w:pPr>
              <w:pStyle w:val="CommentaryText"/>
              <w:tabs>
                <w:tab w:val="left" w:pos="3306"/>
              </w:tabs>
              <w:spacing w:after="40"/>
              <w:rPr>
                <w:rFonts w:cs="Calibri"/>
                <w:b/>
                <w:color w:val="FFFFFF" w:themeColor="background1"/>
                <w:szCs w:val="20"/>
              </w:rPr>
            </w:pPr>
            <w:r w:rsidRPr="004F3F15">
              <w:rPr>
                <w:rFonts w:cs="Calibri"/>
                <w:b/>
                <w:color w:val="FFFFFF" w:themeColor="background1"/>
                <w:szCs w:val="20"/>
              </w:rPr>
              <w:t xml:space="preserve">Reliably Attributable </w:t>
            </w:r>
          </w:p>
        </w:tc>
      </w:tr>
      <w:tr w:rsidR="00A30ED6" w:rsidRPr="005474CC" w14:paraId="2A9A4604" w14:textId="77777777" w:rsidTr="00B513E5">
        <w:trPr>
          <w:gridAfter w:val="1"/>
          <w:wAfter w:w="85" w:type="dxa"/>
          <w:trHeight w:val="990"/>
        </w:trPr>
        <w:tc>
          <w:tcPr>
            <w:tcW w:w="1557" w:type="dxa"/>
            <w:tcBorders>
              <w:left w:val="single" w:sz="2" w:space="0" w:color="auto"/>
              <w:right w:val="single" w:sz="2" w:space="0" w:color="auto"/>
            </w:tcBorders>
          </w:tcPr>
          <w:p w14:paraId="538C6C8B" w14:textId="77777777" w:rsidR="00A30ED6" w:rsidRPr="001B6B99" w:rsidRDefault="00A30ED6" w:rsidP="0068630B">
            <w:pPr>
              <w:pStyle w:val="TableReference"/>
              <w:tabs>
                <w:tab w:val="left" w:pos="3306"/>
              </w:tabs>
              <w:spacing w:before="120"/>
              <w:rPr>
                <w:rFonts w:cs="Calibri"/>
                <w:color w:val="7030A0"/>
                <w:sz w:val="14"/>
              </w:rPr>
            </w:pPr>
            <w:r w:rsidRPr="001B6B99">
              <w:rPr>
                <w:rFonts w:cs="Calibri"/>
                <w:color w:val="7030A0"/>
                <w:sz w:val="14"/>
              </w:rPr>
              <w:t>AASB 1052.16</w:t>
            </w:r>
          </w:p>
          <w:p w14:paraId="4D2CFB0B" w14:textId="77777777" w:rsidR="00A30ED6" w:rsidRPr="001B6B99" w:rsidRDefault="00A30ED6" w:rsidP="0068630B">
            <w:pPr>
              <w:pStyle w:val="TableReference"/>
              <w:tabs>
                <w:tab w:val="left" w:pos="3306"/>
              </w:tabs>
              <w:spacing w:before="120"/>
              <w:rPr>
                <w:rFonts w:cs="Calibri"/>
                <w:color w:val="7030A0"/>
                <w:sz w:val="14"/>
              </w:rPr>
            </w:pPr>
            <w:r w:rsidRPr="001B6B99">
              <w:rPr>
                <w:rFonts w:cs="Calibri"/>
                <w:color w:val="7030A0"/>
                <w:sz w:val="14"/>
              </w:rPr>
              <w:t>AASB 1052.19</w:t>
            </w:r>
          </w:p>
        </w:tc>
        <w:tc>
          <w:tcPr>
            <w:tcW w:w="8987" w:type="dxa"/>
            <w:gridSpan w:val="14"/>
            <w:tcBorders>
              <w:left w:val="single" w:sz="2" w:space="0" w:color="auto"/>
            </w:tcBorders>
            <w:shd w:val="clear" w:color="auto" w:fill="7030A0"/>
          </w:tcPr>
          <w:p w14:paraId="51A7BA13" w14:textId="0E9B7B0E" w:rsidR="00A30ED6" w:rsidRPr="001B6B99" w:rsidRDefault="00A30ED6" w:rsidP="00850B5B">
            <w:pPr>
              <w:autoSpaceDE w:val="0"/>
              <w:autoSpaceDN w:val="0"/>
              <w:adjustRightInd w:val="0"/>
              <w:spacing w:after="120"/>
              <w:jc w:val="both"/>
              <w:rPr>
                <w:rFonts w:cs="Calibri"/>
                <w:color w:val="FFFFFF" w:themeColor="background1"/>
                <w:sz w:val="18"/>
                <w:szCs w:val="18"/>
              </w:rPr>
            </w:pPr>
            <w:r w:rsidRPr="001B6B99">
              <w:rPr>
                <w:rFonts w:cs="Calibri"/>
                <w:color w:val="FFFFFF" w:themeColor="background1"/>
                <w:sz w:val="18"/>
                <w:szCs w:val="18"/>
              </w:rPr>
              <w:t xml:space="preserve">AASB 1052 </w:t>
            </w:r>
            <w:r w:rsidRPr="001B6B99">
              <w:rPr>
                <w:rFonts w:cs="Calibri"/>
                <w:i/>
                <w:color w:val="FFFFFF" w:themeColor="background1"/>
                <w:sz w:val="18"/>
                <w:szCs w:val="18"/>
              </w:rPr>
              <w:t xml:space="preserve">Disaggregated Disclosures </w:t>
            </w:r>
            <w:r w:rsidRPr="001B6B99">
              <w:rPr>
                <w:rFonts w:cs="Calibri"/>
                <w:color w:val="FFFFFF" w:themeColor="background1"/>
                <w:sz w:val="18"/>
                <w:szCs w:val="18"/>
              </w:rPr>
              <w:t>states that the financial statements of a government Department shall disclose the assets deployed and liabilities incurred that are ‘reliably attributable’ to each Department’s output class.</w:t>
            </w:r>
            <w:r w:rsidR="00FA7C77">
              <w:rPr>
                <w:rFonts w:cs="Calibri"/>
                <w:color w:val="FFFFFF" w:themeColor="background1"/>
                <w:sz w:val="18"/>
                <w:szCs w:val="18"/>
              </w:rPr>
              <w:t xml:space="preserve"> </w:t>
            </w:r>
            <w:r w:rsidRPr="001B6B99">
              <w:rPr>
                <w:rFonts w:cs="Calibri"/>
                <w:color w:val="FFFFFF" w:themeColor="background1"/>
                <w:sz w:val="18"/>
                <w:szCs w:val="18"/>
              </w:rPr>
              <w:t>However, AASB 1052 does not provide guidance on what assets or liabilities it generally considers to be ‘reliably attributable’ to a particular output class.</w:t>
            </w:r>
            <w:r w:rsidR="00FA7C77">
              <w:rPr>
                <w:rFonts w:cs="Calibri"/>
                <w:color w:val="FFFFFF" w:themeColor="background1"/>
                <w:sz w:val="18"/>
                <w:szCs w:val="18"/>
              </w:rPr>
              <w:t xml:space="preserve"> </w:t>
            </w:r>
            <w:r w:rsidRPr="001B6B99">
              <w:rPr>
                <w:rFonts w:cs="Calibri"/>
                <w:color w:val="FFFFFF" w:themeColor="background1"/>
                <w:sz w:val="18"/>
                <w:szCs w:val="18"/>
              </w:rPr>
              <w:t>It does state that it may not be possible to reliably attribute all assets and liabilities.</w:t>
            </w:r>
          </w:p>
        </w:tc>
      </w:tr>
      <w:tr w:rsidR="00850B5B" w:rsidRPr="005474CC" w14:paraId="08DFE6F7" w14:textId="77777777" w:rsidTr="00B513E5">
        <w:trPr>
          <w:gridAfter w:val="1"/>
          <w:wAfter w:w="85" w:type="dxa"/>
          <w:trHeight w:val="2425"/>
        </w:trPr>
        <w:tc>
          <w:tcPr>
            <w:tcW w:w="1557" w:type="dxa"/>
            <w:tcBorders>
              <w:left w:val="single" w:sz="2" w:space="0" w:color="auto"/>
              <w:right w:val="single" w:sz="2" w:space="0" w:color="auto"/>
            </w:tcBorders>
          </w:tcPr>
          <w:p w14:paraId="776F3D4A" w14:textId="146C5DC9" w:rsidR="00850B5B" w:rsidRPr="001B6B99" w:rsidRDefault="00850B5B" w:rsidP="009A0F2F">
            <w:pPr>
              <w:pStyle w:val="TableReference"/>
              <w:tabs>
                <w:tab w:val="left" w:pos="3306"/>
              </w:tabs>
              <w:spacing w:before="120"/>
              <w:rPr>
                <w:rFonts w:cs="Calibri"/>
                <w:color w:val="7030A0"/>
                <w:sz w:val="14"/>
              </w:rPr>
            </w:pPr>
            <w:r w:rsidRPr="001B6B99">
              <w:rPr>
                <w:rFonts w:cs="Calibri"/>
                <w:color w:val="7030A0"/>
                <w:sz w:val="14"/>
              </w:rPr>
              <w:t xml:space="preserve">ACT </w:t>
            </w:r>
            <w:r w:rsidR="00A274A8" w:rsidRPr="001B6B99">
              <w:rPr>
                <w:rFonts w:cs="Calibri"/>
                <w:color w:val="7030A0"/>
                <w:sz w:val="14"/>
              </w:rPr>
              <w:t>Disclosure</w:t>
            </w:r>
            <w:r w:rsidRPr="001B6B99">
              <w:rPr>
                <w:rFonts w:cs="Calibri"/>
                <w:color w:val="7030A0"/>
                <w:sz w:val="14"/>
              </w:rPr>
              <w:t xml:space="preserve"> Policy</w:t>
            </w:r>
          </w:p>
        </w:tc>
        <w:tc>
          <w:tcPr>
            <w:tcW w:w="8987" w:type="dxa"/>
            <w:gridSpan w:val="14"/>
            <w:tcBorders>
              <w:left w:val="single" w:sz="2" w:space="0" w:color="auto"/>
            </w:tcBorders>
            <w:shd w:val="clear" w:color="auto" w:fill="7030A0"/>
          </w:tcPr>
          <w:p w14:paraId="018F433C" w14:textId="3B4B8725" w:rsidR="00850B5B" w:rsidRPr="001B6B99" w:rsidRDefault="00850B5B" w:rsidP="009A0F2F">
            <w:pPr>
              <w:autoSpaceDE w:val="0"/>
              <w:autoSpaceDN w:val="0"/>
              <w:adjustRightInd w:val="0"/>
              <w:spacing w:after="120"/>
              <w:jc w:val="both"/>
              <w:rPr>
                <w:rFonts w:cs="Calibri"/>
                <w:color w:val="FFFFFF" w:themeColor="background1"/>
                <w:sz w:val="18"/>
                <w:szCs w:val="18"/>
              </w:rPr>
            </w:pPr>
            <w:r w:rsidRPr="001B6B99">
              <w:rPr>
                <w:rFonts w:cs="Calibri"/>
                <w:color w:val="FFFFFF" w:themeColor="background1"/>
                <w:sz w:val="18"/>
                <w:szCs w:val="18"/>
              </w:rPr>
              <w:t xml:space="preserve">ACT </w:t>
            </w:r>
            <w:r w:rsidR="00A274A8" w:rsidRPr="001B6B99">
              <w:rPr>
                <w:rFonts w:cs="Calibri"/>
                <w:color w:val="FFFFFF" w:themeColor="background1"/>
                <w:sz w:val="18"/>
                <w:szCs w:val="18"/>
              </w:rPr>
              <w:t>Disclosure</w:t>
            </w:r>
            <w:r w:rsidRPr="001B6B99">
              <w:rPr>
                <w:rFonts w:cs="Calibri"/>
                <w:color w:val="FFFFFF" w:themeColor="background1"/>
                <w:sz w:val="18"/>
                <w:szCs w:val="18"/>
              </w:rPr>
              <w:t xml:space="preserve"> Policy on Disaggregated Disclosures</w:t>
            </w:r>
            <w:r w:rsidR="00A274A8" w:rsidRPr="001B6B99">
              <w:rPr>
                <w:rFonts w:cs="Calibri"/>
                <w:color w:val="FFFFFF" w:themeColor="background1"/>
                <w:sz w:val="18"/>
                <w:szCs w:val="18"/>
              </w:rPr>
              <w:t xml:space="preserve"> is</w:t>
            </w:r>
            <w:r w:rsidRPr="001B6B99">
              <w:rPr>
                <w:rFonts w:cs="Calibri"/>
                <w:color w:val="FFFFFF" w:themeColor="background1"/>
                <w:sz w:val="18"/>
                <w:szCs w:val="18"/>
              </w:rPr>
              <w:t xml:space="preserve"> that, in most cases, cash and cash equivalents cannot be reliably attributed to a Directorate’s output classes.</w:t>
            </w:r>
            <w:r w:rsidR="00FA7C77">
              <w:rPr>
                <w:rFonts w:cs="Calibri"/>
                <w:color w:val="FFFFFF" w:themeColor="background1"/>
                <w:sz w:val="18"/>
                <w:szCs w:val="18"/>
              </w:rPr>
              <w:t xml:space="preserve"> </w:t>
            </w:r>
            <w:r w:rsidRPr="001B6B99">
              <w:rPr>
                <w:rFonts w:cs="Calibri"/>
                <w:color w:val="FFFFFF" w:themeColor="background1"/>
                <w:sz w:val="18"/>
                <w:szCs w:val="18"/>
              </w:rPr>
              <w:t>Where this is the case, directorates do not have to allocate this to output classes.</w:t>
            </w:r>
            <w:r w:rsidR="00FA7C77">
              <w:rPr>
                <w:rFonts w:cs="Calibri"/>
                <w:color w:val="FFFFFF" w:themeColor="background1"/>
                <w:sz w:val="18"/>
                <w:szCs w:val="18"/>
              </w:rPr>
              <w:t xml:space="preserve"> </w:t>
            </w:r>
          </w:p>
          <w:p w14:paraId="7013184E" w14:textId="68C397E0" w:rsidR="00850B5B" w:rsidRPr="001B6B99" w:rsidRDefault="00E265B0" w:rsidP="00850B5B">
            <w:pPr>
              <w:autoSpaceDE w:val="0"/>
              <w:autoSpaceDN w:val="0"/>
              <w:adjustRightInd w:val="0"/>
              <w:spacing w:after="40"/>
              <w:jc w:val="both"/>
              <w:rPr>
                <w:rFonts w:cs="Calibri"/>
                <w:color w:val="FFFFFF" w:themeColor="background1"/>
                <w:sz w:val="18"/>
                <w:szCs w:val="18"/>
              </w:rPr>
            </w:pPr>
            <w:r w:rsidRPr="001B6B99">
              <w:rPr>
                <w:rFonts w:cs="Calibri"/>
                <w:color w:val="FFFFFF" w:themeColor="background1"/>
                <w:sz w:val="18"/>
                <w:szCs w:val="18"/>
              </w:rPr>
              <w:t>T</w:t>
            </w:r>
            <w:r w:rsidR="00850B5B" w:rsidRPr="001B6B99">
              <w:rPr>
                <w:rFonts w:cs="Calibri"/>
                <w:color w:val="FFFFFF" w:themeColor="background1"/>
                <w:sz w:val="18"/>
                <w:szCs w:val="18"/>
              </w:rPr>
              <w:t xml:space="preserve">he following asset and liability classes can be allocated: </w:t>
            </w:r>
          </w:p>
          <w:p w14:paraId="27985B6E" w14:textId="77777777" w:rsidR="00850B5B" w:rsidRPr="001B6B99" w:rsidRDefault="00850B5B" w:rsidP="00E35CD2">
            <w:pPr>
              <w:pStyle w:val="Commentary-Bullet"/>
              <w:rPr>
                <w:rFonts w:cs="Calibri"/>
                <w:color w:val="FFFFFF" w:themeColor="background1"/>
                <w:sz w:val="18"/>
                <w:szCs w:val="18"/>
              </w:rPr>
            </w:pPr>
            <w:r w:rsidRPr="001B6B99">
              <w:rPr>
                <w:rFonts w:cs="Calibri"/>
                <w:color w:val="FFFFFF" w:themeColor="background1"/>
                <w:sz w:val="18"/>
                <w:szCs w:val="18"/>
              </w:rPr>
              <w:t>Property, Plant and Equipment;</w:t>
            </w:r>
          </w:p>
          <w:p w14:paraId="1AF849FA" w14:textId="77777777" w:rsidR="00850B5B" w:rsidRPr="001B6B99" w:rsidRDefault="00850B5B" w:rsidP="00E35CD2">
            <w:pPr>
              <w:pStyle w:val="Commentary-Bullet"/>
              <w:rPr>
                <w:rFonts w:cs="Calibri"/>
                <w:color w:val="FFFFFF" w:themeColor="background1"/>
                <w:sz w:val="18"/>
                <w:szCs w:val="18"/>
              </w:rPr>
            </w:pPr>
            <w:r w:rsidRPr="001B6B99">
              <w:rPr>
                <w:rFonts w:cs="Calibri"/>
                <w:color w:val="FFFFFF" w:themeColor="background1"/>
                <w:sz w:val="18"/>
                <w:szCs w:val="18"/>
              </w:rPr>
              <w:t>Intangibles;</w:t>
            </w:r>
          </w:p>
          <w:p w14:paraId="423ACC71" w14:textId="77777777" w:rsidR="00850B5B" w:rsidRPr="001B6B99" w:rsidRDefault="00850B5B" w:rsidP="00E35CD2">
            <w:pPr>
              <w:pStyle w:val="Commentary-Bullet"/>
              <w:rPr>
                <w:rFonts w:cs="Calibri"/>
                <w:color w:val="FFFFFF" w:themeColor="background1"/>
                <w:sz w:val="18"/>
                <w:szCs w:val="18"/>
              </w:rPr>
            </w:pPr>
            <w:r w:rsidRPr="001B6B99">
              <w:rPr>
                <w:rFonts w:cs="Calibri"/>
                <w:color w:val="FFFFFF" w:themeColor="background1"/>
                <w:sz w:val="18"/>
                <w:szCs w:val="18"/>
              </w:rPr>
              <w:t>Capital Works in Progress;</w:t>
            </w:r>
          </w:p>
          <w:p w14:paraId="64C1F5F9" w14:textId="77777777" w:rsidR="00850B5B" w:rsidRPr="001B6B99" w:rsidRDefault="00850B5B" w:rsidP="00E35CD2">
            <w:pPr>
              <w:pStyle w:val="Commentary-Bullet"/>
              <w:rPr>
                <w:rFonts w:cs="Calibri"/>
                <w:color w:val="FFFFFF" w:themeColor="background1"/>
                <w:sz w:val="18"/>
                <w:szCs w:val="18"/>
              </w:rPr>
            </w:pPr>
            <w:r w:rsidRPr="001B6B99">
              <w:rPr>
                <w:rFonts w:cs="Calibri"/>
                <w:color w:val="FFFFFF" w:themeColor="background1"/>
                <w:sz w:val="18"/>
                <w:szCs w:val="18"/>
              </w:rPr>
              <w:t>Employee Benefits; and</w:t>
            </w:r>
          </w:p>
          <w:p w14:paraId="00063305" w14:textId="77777777" w:rsidR="00850B5B" w:rsidRPr="001B6B99" w:rsidRDefault="00850B5B" w:rsidP="00E35CD2">
            <w:pPr>
              <w:pStyle w:val="Commentary-Bullet"/>
              <w:rPr>
                <w:rFonts w:cs="Calibri"/>
                <w:color w:val="FFFFFF" w:themeColor="background1"/>
                <w:sz w:val="18"/>
                <w:szCs w:val="18"/>
              </w:rPr>
            </w:pPr>
            <w:r w:rsidRPr="001B6B99">
              <w:rPr>
                <w:rFonts w:cs="Calibri"/>
                <w:color w:val="FFFFFF" w:themeColor="background1"/>
                <w:sz w:val="18"/>
                <w:szCs w:val="18"/>
              </w:rPr>
              <w:t>Lease Liabilities</w:t>
            </w:r>
            <w:r w:rsidRPr="00E35CD2">
              <w:t>.</w:t>
            </w:r>
            <w:r w:rsidRPr="001B6B99">
              <w:rPr>
                <w:rStyle w:val="PageNumber"/>
                <w:rFonts w:cs="Calibri"/>
                <w:color w:val="FFFFFF" w:themeColor="background1"/>
                <w:sz w:val="18"/>
                <w:szCs w:val="18"/>
              </w:rPr>
              <w:t xml:space="preserve"> </w:t>
            </w:r>
          </w:p>
        </w:tc>
      </w:tr>
      <w:tr w:rsidR="00850B5B" w:rsidRPr="005474CC" w14:paraId="4C60D175" w14:textId="77777777" w:rsidTr="00B513E5">
        <w:trPr>
          <w:gridAfter w:val="1"/>
          <w:wAfter w:w="85" w:type="dxa"/>
          <w:trHeight w:val="227"/>
        </w:trPr>
        <w:tc>
          <w:tcPr>
            <w:tcW w:w="1557" w:type="dxa"/>
            <w:tcBorders>
              <w:left w:val="single" w:sz="2" w:space="0" w:color="auto"/>
              <w:right w:val="single" w:sz="2" w:space="0" w:color="auto"/>
            </w:tcBorders>
          </w:tcPr>
          <w:p w14:paraId="05CB6736" w14:textId="2FE5F1C2" w:rsidR="00850B5B" w:rsidRPr="005474CC" w:rsidRDefault="00850B5B" w:rsidP="009A0F2F">
            <w:pPr>
              <w:rPr>
                <w:rFonts w:cs="Calibri"/>
                <w:sz w:val="16"/>
              </w:rPr>
            </w:pPr>
            <w:r w:rsidRPr="005474CC">
              <w:rPr>
                <w:rFonts w:cs="Calibri"/>
                <w:b/>
                <w:bCs/>
              </w:rPr>
              <w:t xml:space="preserve"> </w:t>
            </w:r>
          </w:p>
        </w:tc>
        <w:tc>
          <w:tcPr>
            <w:tcW w:w="8987" w:type="dxa"/>
            <w:gridSpan w:val="14"/>
            <w:tcBorders>
              <w:left w:val="single" w:sz="2" w:space="0" w:color="auto"/>
            </w:tcBorders>
            <w:shd w:val="clear" w:color="auto" w:fill="7030A0"/>
          </w:tcPr>
          <w:p w14:paraId="1A5F12CC" w14:textId="35C20B92" w:rsidR="00850B5B" w:rsidRPr="001B6B99" w:rsidRDefault="00850B5B" w:rsidP="00850B5B">
            <w:pPr>
              <w:spacing w:after="120"/>
              <w:jc w:val="both"/>
              <w:rPr>
                <w:rFonts w:cs="Calibri"/>
                <w:color w:val="FFFFFF" w:themeColor="background1"/>
                <w:sz w:val="18"/>
                <w:szCs w:val="18"/>
              </w:rPr>
            </w:pPr>
            <w:r w:rsidRPr="001B6B99">
              <w:rPr>
                <w:rFonts w:cs="Calibri"/>
                <w:color w:val="FFFFFF" w:themeColor="background1"/>
                <w:sz w:val="18"/>
                <w:szCs w:val="18"/>
              </w:rPr>
              <w:t>As such, directorates must allocate these asset classes to each of their output classes.</w:t>
            </w:r>
            <w:r w:rsidR="00FA7C77">
              <w:rPr>
                <w:rFonts w:cs="Calibri"/>
                <w:color w:val="FFFFFF" w:themeColor="background1"/>
                <w:sz w:val="18"/>
                <w:szCs w:val="18"/>
              </w:rPr>
              <w:t xml:space="preserve"> </w:t>
            </w:r>
          </w:p>
        </w:tc>
      </w:tr>
      <w:tr w:rsidR="00850B5B" w:rsidRPr="005474CC" w14:paraId="651875B3" w14:textId="77777777" w:rsidTr="00B513E5">
        <w:trPr>
          <w:gridAfter w:val="1"/>
          <w:wAfter w:w="85" w:type="dxa"/>
          <w:trHeight w:val="1206"/>
        </w:trPr>
        <w:tc>
          <w:tcPr>
            <w:tcW w:w="1557" w:type="dxa"/>
            <w:tcBorders>
              <w:left w:val="single" w:sz="2" w:space="0" w:color="auto"/>
              <w:right w:val="single" w:sz="2" w:space="0" w:color="auto"/>
            </w:tcBorders>
          </w:tcPr>
          <w:p w14:paraId="539A8C95" w14:textId="77777777" w:rsidR="00850B5B" w:rsidRPr="005474CC" w:rsidRDefault="00850B5B" w:rsidP="009A0F2F">
            <w:pPr>
              <w:rPr>
                <w:rFonts w:cs="Calibri"/>
                <w:b/>
                <w:bCs/>
              </w:rPr>
            </w:pPr>
          </w:p>
        </w:tc>
        <w:tc>
          <w:tcPr>
            <w:tcW w:w="8987" w:type="dxa"/>
            <w:gridSpan w:val="14"/>
            <w:tcBorders>
              <w:left w:val="single" w:sz="2" w:space="0" w:color="auto"/>
            </w:tcBorders>
            <w:shd w:val="clear" w:color="auto" w:fill="7030A0"/>
          </w:tcPr>
          <w:p w14:paraId="6B1022EB" w14:textId="18DC083A" w:rsidR="00850B5B" w:rsidRPr="001B6B99" w:rsidRDefault="00850B5B" w:rsidP="001B6B99">
            <w:pPr>
              <w:jc w:val="both"/>
              <w:rPr>
                <w:rFonts w:cs="Calibri"/>
                <w:color w:val="FFFFFF" w:themeColor="background1"/>
                <w:sz w:val="18"/>
                <w:szCs w:val="18"/>
              </w:rPr>
            </w:pPr>
            <w:r w:rsidRPr="001B6B99">
              <w:rPr>
                <w:rFonts w:cs="Calibri"/>
                <w:color w:val="FFFFFF" w:themeColor="background1"/>
                <w:sz w:val="18"/>
                <w:szCs w:val="18"/>
              </w:rPr>
              <w:t xml:space="preserve">For all other asset and liability classes, the ultimate decision regarding whether or not these classes can be reliably attributed to an appropriate output class rests with the directorate, and as such directorates will need to analyse their assets and liabilities to determine which classes can be reliably attributed. As directorates are to determine if an asset or liability class is ‘reliably attributable’, directorates should not base their allocations on the note above, as the allocation is an example only. </w:t>
            </w:r>
          </w:p>
        </w:tc>
      </w:tr>
    </w:tbl>
    <w:p w14:paraId="4F8ED49C" w14:textId="77777777" w:rsidR="00E35CD2" w:rsidRDefault="00E35CD2">
      <w:r>
        <w:br w:type="page"/>
      </w:r>
    </w:p>
    <w:tbl>
      <w:tblPr>
        <w:tblW w:w="0" w:type="auto"/>
        <w:tblLook w:val="00A0" w:firstRow="1" w:lastRow="0" w:firstColumn="1" w:lastColumn="0" w:noHBand="0" w:noVBand="0"/>
      </w:tblPr>
      <w:tblGrid>
        <w:gridCol w:w="1557"/>
        <w:gridCol w:w="8987"/>
      </w:tblGrid>
      <w:tr w:rsidR="00E35CD2" w:rsidRPr="00EF0DF0" w14:paraId="3ACE3E4E" w14:textId="77777777" w:rsidTr="00B513E5">
        <w:trPr>
          <w:trHeight w:val="634"/>
        </w:trPr>
        <w:tc>
          <w:tcPr>
            <w:tcW w:w="1557" w:type="dxa"/>
            <w:tcBorders>
              <w:left w:val="single" w:sz="2" w:space="0" w:color="auto"/>
              <w:right w:val="single" w:sz="2" w:space="0" w:color="auto"/>
            </w:tcBorders>
          </w:tcPr>
          <w:p w14:paraId="1442ABA5" w14:textId="77777777" w:rsidR="00E35CD2" w:rsidRPr="001B6B99" w:rsidRDefault="00E35CD2" w:rsidP="00BD1DCB">
            <w:pPr>
              <w:pStyle w:val="TableReference"/>
              <w:tabs>
                <w:tab w:val="left" w:pos="3306"/>
              </w:tabs>
              <w:spacing w:after="240"/>
              <w:rPr>
                <w:rFonts w:cs="Calibri"/>
                <w:b/>
                <w:color w:val="7030A0"/>
                <w:sz w:val="22"/>
                <w:szCs w:val="22"/>
              </w:rPr>
            </w:pPr>
            <w:r w:rsidRPr="001B6B99">
              <w:rPr>
                <w:rFonts w:cs="Calibri"/>
                <w:b/>
                <w:bCs/>
                <w:color w:val="7030A0"/>
              </w:rPr>
              <w:t xml:space="preserve"> </w:t>
            </w:r>
            <w:r w:rsidRPr="001B6B99">
              <w:rPr>
                <w:rFonts w:cs="Calibri"/>
                <w:b/>
                <w:bCs/>
                <w:color w:val="7030A0"/>
              </w:rPr>
              <w:br w:type="page"/>
            </w:r>
            <w:r w:rsidRPr="001B6B99">
              <w:rPr>
                <w:rFonts w:cs="Calibri"/>
                <w:b/>
                <w:color w:val="7030A0"/>
                <w:sz w:val="22"/>
                <w:szCs w:val="22"/>
              </w:rPr>
              <w:t>Reference</w:t>
            </w:r>
          </w:p>
        </w:tc>
        <w:tc>
          <w:tcPr>
            <w:tcW w:w="8987" w:type="dxa"/>
            <w:tcBorders>
              <w:left w:val="single" w:sz="2" w:space="0" w:color="auto"/>
            </w:tcBorders>
            <w:shd w:val="clear" w:color="auto" w:fill="7030A0"/>
          </w:tcPr>
          <w:p w14:paraId="5CBF87EC" w14:textId="77777777" w:rsidR="00E35CD2" w:rsidRPr="001B6B99" w:rsidRDefault="00E35CD2" w:rsidP="00BD1DCB">
            <w:pPr>
              <w:pStyle w:val="TableReference"/>
              <w:tabs>
                <w:tab w:val="left" w:pos="3306"/>
              </w:tabs>
              <w:spacing w:after="240"/>
              <w:rPr>
                <w:rFonts w:cs="Calibri"/>
                <w:b/>
                <w:color w:val="FFFFFF" w:themeColor="background1"/>
                <w:sz w:val="28"/>
                <w:szCs w:val="28"/>
              </w:rPr>
            </w:pPr>
            <w:r w:rsidRPr="001B6B99">
              <w:rPr>
                <w:rFonts w:cs="Calibri"/>
                <w:b/>
                <w:color w:val="FFFFFF" w:themeColor="background1"/>
                <w:sz w:val="28"/>
                <w:szCs w:val="28"/>
              </w:rPr>
              <w:t xml:space="preserve">Commentary </w:t>
            </w:r>
            <w:r w:rsidRPr="001B6B99">
              <w:rPr>
                <w:rFonts w:cs="Calibri"/>
                <w:b/>
                <w:color w:val="FFFFFF" w:themeColor="background1"/>
                <w:sz w:val="28"/>
                <w:szCs w:val="28"/>
              </w:rPr>
              <w:sym w:font="Symbol" w:char="F02D"/>
            </w:r>
            <w:r w:rsidRPr="001B6B99">
              <w:rPr>
                <w:rFonts w:cs="Calibri"/>
                <w:b/>
                <w:color w:val="FFFFFF" w:themeColor="background1"/>
                <w:sz w:val="28"/>
                <w:szCs w:val="28"/>
              </w:rPr>
              <w:t xml:space="preserve"> Disaggregated Disclosure of Assets and Liabilities [Directorates Only] </w:t>
            </w:r>
            <w:r>
              <w:rPr>
                <w:rFonts w:cs="Calibri"/>
                <w:b/>
                <w:color w:val="FFFFFF" w:themeColor="background1"/>
                <w:sz w:val="28"/>
                <w:szCs w:val="28"/>
              </w:rPr>
              <w:t>–</w:t>
            </w:r>
            <w:r w:rsidRPr="001B6B99">
              <w:rPr>
                <w:rFonts w:cs="Calibri"/>
                <w:b/>
                <w:color w:val="FFFFFF" w:themeColor="background1"/>
                <w:sz w:val="28"/>
                <w:szCs w:val="28"/>
              </w:rPr>
              <w:t xml:space="preserve"> Continued</w:t>
            </w:r>
            <w:r>
              <w:rPr>
                <w:rFonts w:cs="Calibri"/>
                <w:b/>
                <w:color w:val="FFFFFF" w:themeColor="background1"/>
                <w:sz w:val="28"/>
                <w:szCs w:val="28"/>
              </w:rPr>
              <w:t xml:space="preserve"> </w:t>
            </w:r>
          </w:p>
        </w:tc>
      </w:tr>
      <w:tr w:rsidR="00E8595B" w:rsidRPr="005474CC" w14:paraId="702EDD4C" w14:textId="77777777" w:rsidTr="00B513E5">
        <w:trPr>
          <w:trHeight w:val="119"/>
        </w:trPr>
        <w:tc>
          <w:tcPr>
            <w:tcW w:w="1557" w:type="dxa"/>
            <w:tcBorders>
              <w:left w:val="single" w:sz="2" w:space="0" w:color="auto"/>
              <w:right w:val="single" w:sz="2" w:space="0" w:color="auto"/>
            </w:tcBorders>
          </w:tcPr>
          <w:p w14:paraId="5565E21F" w14:textId="1B7AC2C6" w:rsidR="00E8595B" w:rsidRPr="005474CC" w:rsidRDefault="00E8595B" w:rsidP="009A0F2F">
            <w:pPr>
              <w:pStyle w:val="TableReference"/>
              <w:tabs>
                <w:tab w:val="left" w:pos="3306"/>
              </w:tabs>
              <w:spacing w:before="60"/>
              <w:rPr>
                <w:rFonts w:cs="Calibri"/>
                <w:color w:val="auto"/>
                <w:sz w:val="16"/>
                <w:szCs w:val="16"/>
              </w:rPr>
            </w:pPr>
          </w:p>
        </w:tc>
        <w:tc>
          <w:tcPr>
            <w:tcW w:w="8987" w:type="dxa"/>
            <w:tcBorders>
              <w:left w:val="single" w:sz="2" w:space="0" w:color="auto"/>
            </w:tcBorders>
            <w:shd w:val="clear" w:color="auto" w:fill="7030A0"/>
          </w:tcPr>
          <w:p w14:paraId="40A0B43A" w14:textId="77777777" w:rsidR="00E8595B" w:rsidRPr="00E35CD2" w:rsidRDefault="00E8595B" w:rsidP="00E8595B">
            <w:pPr>
              <w:pStyle w:val="CommentaryText"/>
              <w:tabs>
                <w:tab w:val="left" w:pos="3306"/>
              </w:tabs>
              <w:spacing w:after="40"/>
              <w:rPr>
                <w:rFonts w:cs="Calibri"/>
                <w:b/>
                <w:color w:val="FFFFFF" w:themeColor="background1"/>
                <w:szCs w:val="20"/>
                <w:highlight w:val="cyan"/>
              </w:rPr>
            </w:pPr>
            <w:r w:rsidRPr="00E35CD2">
              <w:rPr>
                <w:rFonts w:cs="Calibri"/>
                <w:b/>
                <w:color w:val="FFFFFF" w:themeColor="background1"/>
                <w:szCs w:val="20"/>
              </w:rPr>
              <w:t>Explanation of Unallocated Amount</w:t>
            </w:r>
          </w:p>
        </w:tc>
      </w:tr>
      <w:tr w:rsidR="00E8595B" w:rsidRPr="005474CC" w14:paraId="00BE2E60" w14:textId="77777777" w:rsidTr="00B513E5">
        <w:trPr>
          <w:trHeight w:val="119"/>
        </w:trPr>
        <w:tc>
          <w:tcPr>
            <w:tcW w:w="1557" w:type="dxa"/>
            <w:tcBorders>
              <w:left w:val="single" w:sz="2" w:space="0" w:color="auto"/>
              <w:right w:val="single" w:sz="2" w:space="0" w:color="auto"/>
            </w:tcBorders>
          </w:tcPr>
          <w:p w14:paraId="50ECB0B5" w14:textId="77777777" w:rsidR="00E8595B" w:rsidRPr="005474CC" w:rsidRDefault="00E8595B" w:rsidP="009A0F2F">
            <w:pPr>
              <w:pStyle w:val="TableReference"/>
              <w:tabs>
                <w:tab w:val="left" w:pos="3306"/>
              </w:tabs>
              <w:spacing w:before="60"/>
              <w:rPr>
                <w:rFonts w:cs="Calibri"/>
                <w:color w:val="auto"/>
                <w:sz w:val="16"/>
                <w:szCs w:val="16"/>
              </w:rPr>
            </w:pPr>
          </w:p>
        </w:tc>
        <w:tc>
          <w:tcPr>
            <w:tcW w:w="8987" w:type="dxa"/>
            <w:tcBorders>
              <w:left w:val="single" w:sz="2" w:space="0" w:color="auto"/>
            </w:tcBorders>
            <w:shd w:val="clear" w:color="auto" w:fill="7030A0"/>
          </w:tcPr>
          <w:p w14:paraId="2343F296" w14:textId="4A7239BE" w:rsidR="00E8595B" w:rsidRPr="001B6B99" w:rsidRDefault="00E8595B" w:rsidP="00E35CD2">
            <w:pPr>
              <w:pStyle w:val="Default"/>
              <w:spacing w:after="120"/>
              <w:jc w:val="both"/>
              <w:rPr>
                <w:rFonts w:cs="Calibri"/>
                <w:color w:val="FFFFFF" w:themeColor="background1"/>
                <w:sz w:val="18"/>
                <w:szCs w:val="18"/>
                <w:highlight w:val="cyan"/>
              </w:rPr>
            </w:pPr>
            <w:r w:rsidRPr="00E35CD2">
              <w:rPr>
                <w:rFonts w:ascii="Calibri" w:hAnsi="Calibri" w:cs="Calibri"/>
                <w:color w:val="FFFFFF" w:themeColor="background1"/>
                <w:sz w:val="18"/>
                <w:szCs w:val="18"/>
                <w:lang w:eastAsia="en-US"/>
              </w:rPr>
              <w:t xml:space="preserve">Directorates should disclose the reason why cash and cash equivalents cannot be ‘reliably attributed’ and as such cannot be allocated to an output class. An example disclosure has been included in this note. A similar </w:t>
            </w:r>
            <w:r w:rsidR="00E265B0" w:rsidRPr="00E35CD2">
              <w:rPr>
                <w:rFonts w:ascii="Calibri" w:hAnsi="Calibri" w:cs="Calibri"/>
                <w:color w:val="FFFFFF" w:themeColor="background1"/>
                <w:sz w:val="18"/>
                <w:szCs w:val="18"/>
                <w:lang w:eastAsia="en-US"/>
              </w:rPr>
              <w:t xml:space="preserve">explanation </w:t>
            </w:r>
            <w:r w:rsidRPr="00E35CD2">
              <w:rPr>
                <w:rFonts w:ascii="Calibri" w:hAnsi="Calibri" w:cs="Calibri"/>
                <w:color w:val="FFFFFF" w:themeColor="background1"/>
                <w:sz w:val="18"/>
                <w:szCs w:val="18"/>
                <w:lang w:eastAsia="en-US"/>
              </w:rPr>
              <w:t>will need to be included for a material asset or liability class that cannot be ‘reliably attributed’. However, a similar disclosure is not required for immaterial asset and liability classes which cannot be ‘reliably attributed’ to an output class.</w:t>
            </w:r>
            <w:r w:rsidRPr="001B6B99">
              <w:rPr>
                <w:rFonts w:cs="Calibri"/>
                <w:color w:val="FFFFFF" w:themeColor="background1"/>
                <w:sz w:val="18"/>
                <w:szCs w:val="18"/>
              </w:rPr>
              <w:t xml:space="preserve"> </w:t>
            </w:r>
          </w:p>
        </w:tc>
      </w:tr>
      <w:tr w:rsidR="00A30ED6" w:rsidRPr="005474CC" w14:paraId="4A85401F" w14:textId="77777777" w:rsidTr="00B513E5">
        <w:trPr>
          <w:trHeight w:val="119"/>
        </w:trPr>
        <w:tc>
          <w:tcPr>
            <w:tcW w:w="1557" w:type="dxa"/>
            <w:tcBorders>
              <w:left w:val="single" w:sz="2" w:space="0" w:color="auto"/>
              <w:right w:val="single" w:sz="2" w:space="0" w:color="auto"/>
            </w:tcBorders>
          </w:tcPr>
          <w:p w14:paraId="418BDF0F" w14:textId="77777777" w:rsidR="00A30ED6" w:rsidRPr="001B6B99" w:rsidRDefault="00A30ED6" w:rsidP="0068630B">
            <w:pPr>
              <w:pStyle w:val="TableReference"/>
              <w:tabs>
                <w:tab w:val="left" w:pos="3306"/>
              </w:tabs>
              <w:spacing w:before="60"/>
              <w:rPr>
                <w:rFonts w:cs="Calibri"/>
                <w:color w:val="7030A0"/>
                <w:sz w:val="16"/>
                <w:szCs w:val="16"/>
              </w:rPr>
            </w:pPr>
          </w:p>
        </w:tc>
        <w:tc>
          <w:tcPr>
            <w:tcW w:w="8987" w:type="dxa"/>
            <w:tcBorders>
              <w:left w:val="single" w:sz="2" w:space="0" w:color="auto"/>
            </w:tcBorders>
            <w:shd w:val="clear" w:color="auto" w:fill="7030A0"/>
          </w:tcPr>
          <w:p w14:paraId="2DF92821" w14:textId="77777777" w:rsidR="00A30ED6" w:rsidRPr="00E35CD2" w:rsidRDefault="00A30ED6" w:rsidP="001B6B99">
            <w:pPr>
              <w:pStyle w:val="CommentaryText"/>
              <w:tabs>
                <w:tab w:val="left" w:pos="3306"/>
              </w:tabs>
              <w:spacing w:after="40"/>
              <w:rPr>
                <w:rFonts w:cs="Calibri"/>
                <w:b/>
                <w:color w:val="FFFFFF" w:themeColor="background1"/>
                <w:szCs w:val="20"/>
              </w:rPr>
            </w:pPr>
            <w:r w:rsidRPr="00E35CD2">
              <w:rPr>
                <w:rFonts w:cs="Calibri"/>
                <w:b/>
                <w:color w:val="FFFFFF" w:themeColor="background1"/>
                <w:szCs w:val="20"/>
              </w:rPr>
              <w:t xml:space="preserve">Disclosure of Comparative Information </w:t>
            </w:r>
          </w:p>
        </w:tc>
      </w:tr>
      <w:tr w:rsidR="00A30ED6" w:rsidRPr="005474CC" w14:paraId="3F88E399" w14:textId="77777777" w:rsidTr="00B513E5">
        <w:trPr>
          <w:trHeight w:val="119"/>
        </w:trPr>
        <w:tc>
          <w:tcPr>
            <w:tcW w:w="1557" w:type="dxa"/>
            <w:tcBorders>
              <w:left w:val="single" w:sz="2" w:space="0" w:color="auto"/>
              <w:right w:val="single" w:sz="2" w:space="0" w:color="auto"/>
            </w:tcBorders>
          </w:tcPr>
          <w:p w14:paraId="74F9BFB2" w14:textId="77777777" w:rsidR="00A30ED6" w:rsidRPr="001B6B99" w:rsidRDefault="00A30ED6" w:rsidP="0068630B">
            <w:pPr>
              <w:pStyle w:val="TableReference"/>
              <w:tabs>
                <w:tab w:val="left" w:pos="3306"/>
              </w:tabs>
              <w:spacing w:before="60"/>
              <w:rPr>
                <w:rFonts w:cs="Calibri"/>
                <w:color w:val="7030A0"/>
                <w:sz w:val="14"/>
              </w:rPr>
            </w:pPr>
            <w:r w:rsidRPr="001B6B99">
              <w:rPr>
                <w:rFonts w:cs="Calibri"/>
                <w:color w:val="7030A0"/>
                <w:sz w:val="14"/>
              </w:rPr>
              <w:t>AASB 101.38</w:t>
            </w:r>
          </w:p>
          <w:p w14:paraId="2C3C1916" w14:textId="77777777" w:rsidR="00A30ED6" w:rsidRPr="001B6B99" w:rsidRDefault="00A30ED6" w:rsidP="0068630B">
            <w:pPr>
              <w:pStyle w:val="TableReference"/>
              <w:tabs>
                <w:tab w:val="left" w:pos="3306"/>
              </w:tabs>
              <w:spacing w:before="60"/>
              <w:rPr>
                <w:rFonts w:cs="Calibri"/>
                <w:color w:val="7030A0"/>
                <w:sz w:val="14"/>
              </w:rPr>
            </w:pPr>
          </w:p>
          <w:p w14:paraId="189B1991" w14:textId="77777777" w:rsidR="00A30ED6" w:rsidRPr="001B6B99" w:rsidRDefault="00A30ED6" w:rsidP="0068630B">
            <w:pPr>
              <w:pStyle w:val="TableReference"/>
              <w:tabs>
                <w:tab w:val="left" w:pos="3306"/>
              </w:tabs>
              <w:spacing w:before="60"/>
              <w:rPr>
                <w:rFonts w:cs="Calibri"/>
                <w:color w:val="7030A0"/>
                <w:sz w:val="14"/>
              </w:rPr>
            </w:pPr>
            <w:r w:rsidRPr="001B6B99">
              <w:rPr>
                <w:rFonts w:cs="Calibri"/>
                <w:color w:val="7030A0"/>
                <w:sz w:val="14"/>
              </w:rPr>
              <w:t>AASB 1052.15</w:t>
            </w:r>
          </w:p>
          <w:p w14:paraId="07749279" w14:textId="4425D3CC" w:rsidR="00A30ED6" w:rsidRPr="001B6B99" w:rsidRDefault="00A30ED6" w:rsidP="0068630B">
            <w:pPr>
              <w:pStyle w:val="TableReference"/>
              <w:tabs>
                <w:tab w:val="left" w:pos="3306"/>
              </w:tabs>
              <w:spacing w:before="60"/>
              <w:rPr>
                <w:rFonts w:cs="Calibri"/>
                <w:color w:val="7030A0"/>
                <w:sz w:val="14"/>
              </w:rPr>
            </w:pPr>
          </w:p>
        </w:tc>
        <w:tc>
          <w:tcPr>
            <w:tcW w:w="8987" w:type="dxa"/>
            <w:tcBorders>
              <w:left w:val="single" w:sz="2" w:space="0" w:color="auto"/>
            </w:tcBorders>
            <w:shd w:val="clear" w:color="auto" w:fill="7030A0"/>
          </w:tcPr>
          <w:p w14:paraId="5F3CEE25" w14:textId="49944D69" w:rsidR="00A30ED6" w:rsidRPr="001B6B99" w:rsidRDefault="00E265B0" w:rsidP="0068630B">
            <w:pPr>
              <w:pStyle w:val="Default"/>
              <w:spacing w:after="120"/>
              <w:jc w:val="both"/>
              <w:rPr>
                <w:rFonts w:ascii="Calibri" w:hAnsi="Calibri" w:cs="Calibri"/>
                <w:color w:val="FFFFFF" w:themeColor="background1"/>
                <w:sz w:val="18"/>
                <w:szCs w:val="18"/>
                <w:lang w:eastAsia="en-US"/>
              </w:rPr>
            </w:pPr>
            <w:r w:rsidRPr="001B6B99">
              <w:rPr>
                <w:rFonts w:ascii="Calibri" w:hAnsi="Calibri" w:cs="Calibri"/>
                <w:color w:val="FFFFFF" w:themeColor="background1"/>
                <w:sz w:val="18"/>
                <w:szCs w:val="18"/>
                <w:lang w:eastAsia="en-US"/>
              </w:rPr>
              <w:t>C</w:t>
            </w:r>
            <w:r w:rsidR="00A30ED6" w:rsidRPr="001B6B99">
              <w:rPr>
                <w:rFonts w:ascii="Calibri" w:hAnsi="Calibri" w:cs="Calibri"/>
                <w:color w:val="FFFFFF" w:themeColor="background1"/>
                <w:sz w:val="18"/>
                <w:szCs w:val="18"/>
                <w:lang w:eastAsia="en-US"/>
              </w:rPr>
              <w:t xml:space="preserve">omparative information </w:t>
            </w:r>
            <w:r w:rsidRPr="001B6B99">
              <w:rPr>
                <w:rFonts w:ascii="Calibri" w:hAnsi="Calibri" w:cs="Calibri"/>
                <w:color w:val="FFFFFF" w:themeColor="background1"/>
                <w:sz w:val="18"/>
                <w:szCs w:val="18"/>
                <w:lang w:eastAsia="en-US"/>
              </w:rPr>
              <w:t xml:space="preserve">must </w:t>
            </w:r>
            <w:r w:rsidR="00A30ED6" w:rsidRPr="001B6B99">
              <w:rPr>
                <w:rFonts w:ascii="Calibri" w:hAnsi="Calibri" w:cs="Calibri"/>
                <w:color w:val="FFFFFF" w:themeColor="background1"/>
                <w:sz w:val="18"/>
                <w:szCs w:val="18"/>
                <w:lang w:eastAsia="en-US"/>
              </w:rPr>
              <w:t>be disclosed in respect of the prior reporting period for all amounts reported in the financial statements, except where another Australian Accounting Standard permits or requires otherwise. AASB 1052 does not specifically address comparative figures for disaggregated disclosures but, as stated above, it only requires the allocation of asset and liability classes where they can be ‘reliably attributable’ to an output class. As such, directorates must include comparative figures for this disaggregated disclosure unless not ‘reliably attributable’.</w:t>
            </w:r>
            <w:r w:rsidR="00FA7C77">
              <w:rPr>
                <w:rFonts w:ascii="Calibri" w:hAnsi="Calibri" w:cs="Calibri"/>
                <w:color w:val="FFFFFF" w:themeColor="background1"/>
                <w:sz w:val="18"/>
                <w:szCs w:val="18"/>
                <w:lang w:eastAsia="en-US"/>
              </w:rPr>
              <w:t xml:space="preserve"> </w:t>
            </w:r>
          </w:p>
        </w:tc>
      </w:tr>
      <w:tr w:rsidR="00A30ED6" w:rsidRPr="005474CC" w14:paraId="6918156C" w14:textId="77777777" w:rsidTr="00B513E5">
        <w:trPr>
          <w:trHeight w:val="119"/>
        </w:trPr>
        <w:tc>
          <w:tcPr>
            <w:tcW w:w="1557" w:type="dxa"/>
            <w:tcBorders>
              <w:left w:val="single" w:sz="2" w:space="0" w:color="auto"/>
              <w:right w:val="single" w:sz="2" w:space="0" w:color="auto"/>
            </w:tcBorders>
          </w:tcPr>
          <w:p w14:paraId="01903C7A" w14:textId="77777777" w:rsidR="00A30ED6" w:rsidRPr="001B6B99" w:rsidRDefault="00A30ED6" w:rsidP="0068630B">
            <w:pPr>
              <w:pStyle w:val="TableReference"/>
              <w:tabs>
                <w:tab w:val="left" w:pos="3306"/>
              </w:tabs>
              <w:spacing w:before="60"/>
              <w:rPr>
                <w:rFonts w:cs="Calibri"/>
                <w:color w:val="7030A0"/>
                <w:sz w:val="14"/>
                <w:highlight w:val="cyan"/>
              </w:rPr>
            </w:pPr>
            <w:r w:rsidRPr="001B6B99">
              <w:rPr>
                <w:rFonts w:cs="Calibri"/>
                <w:color w:val="7030A0"/>
                <w:sz w:val="14"/>
              </w:rPr>
              <w:t>AASB 101.42</w:t>
            </w:r>
          </w:p>
        </w:tc>
        <w:tc>
          <w:tcPr>
            <w:tcW w:w="8987" w:type="dxa"/>
            <w:tcBorders>
              <w:left w:val="single" w:sz="2" w:space="0" w:color="auto"/>
            </w:tcBorders>
            <w:shd w:val="clear" w:color="auto" w:fill="7030A0"/>
          </w:tcPr>
          <w:p w14:paraId="156CCA46" w14:textId="77777777" w:rsidR="00A30ED6" w:rsidRPr="001B6B99" w:rsidRDefault="00A30ED6" w:rsidP="0068630B">
            <w:pPr>
              <w:pStyle w:val="Default"/>
              <w:spacing w:after="120"/>
              <w:ind w:left="499" w:hanging="499"/>
              <w:rPr>
                <w:rFonts w:ascii="Calibri" w:hAnsi="Calibri" w:cs="Calibri"/>
                <w:color w:val="FFFFFF" w:themeColor="background1"/>
                <w:sz w:val="18"/>
                <w:szCs w:val="18"/>
                <w:lang w:eastAsia="en-US"/>
              </w:rPr>
            </w:pPr>
            <w:r w:rsidRPr="001B6B99">
              <w:rPr>
                <w:rFonts w:ascii="Calibri" w:hAnsi="Calibri" w:cs="Calibri"/>
                <w:color w:val="FFFFFF" w:themeColor="background1"/>
                <w:sz w:val="18"/>
                <w:szCs w:val="18"/>
                <w:lang w:eastAsia="en-US"/>
              </w:rPr>
              <w:t xml:space="preserve">When it is impracticable to reclassify comparative amounts, a directorate shall disclose: </w:t>
            </w:r>
          </w:p>
          <w:p w14:paraId="09988A85" w14:textId="77777777" w:rsidR="00A30ED6" w:rsidRPr="001B6B99" w:rsidRDefault="00A30ED6" w:rsidP="00E35CD2">
            <w:pPr>
              <w:pStyle w:val="Commentary-Bullet"/>
              <w:rPr>
                <w:rFonts w:cs="Calibri"/>
                <w:color w:val="FFFFFF" w:themeColor="background1"/>
                <w:sz w:val="18"/>
                <w:szCs w:val="18"/>
              </w:rPr>
            </w:pPr>
            <w:r w:rsidRPr="001B6B99">
              <w:rPr>
                <w:rFonts w:cs="Calibri"/>
                <w:color w:val="FFFFFF" w:themeColor="background1"/>
                <w:sz w:val="18"/>
                <w:szCs w:val="18"/>
              </w:rPr>
              <w:t>the reason for not reclassifying the amounts; and</w:t>
            </w:r>
          </w:p>
          <w:p w14:paraId="3C06B9F1" w14:textId="77777777" w:rsidR="00A30ED6" w:rsidRPr="001B6B99" w:rsidRDefault="00A30ED6" w:rsidP="001D66DB">
            <w:pPr>
              <w:pStyle w:val="Commentary-Bullet"/>
              <w:spacing w:after="120"/>
              <w:ind w:left="499" w:hanging="357"/>
              <w:rPr>
                <w:rFonts w:cs="Calibri"/>
                <w:color w:val="FFFFFF" w:themeColor="background1"/>
                <w:sz w:val="18"/>
                <w:szCs w:val="18"/>
              </w:rPr>
            </w:pPr>
            <w:r w:rsidRPr="001B6B99">
              <w:rPr>
                <w:rFonts w:cs="Calibri"/>
                <w:color w:val="FFFFFF" w:themeColor="background1"/>
                <w:sz w:val="18"/>
                <w:szCs w:val="18"/>
              </w:rPr>
              <w:t xml:space="preserve"> the nature of the adjustments that would have been made if the amounts had been reclassified. </w:t>
            </w:r>
          </w:p>
        </w:tc>
      </w:tr>
    </w:tbl>
    <w:p w14:paraId="5BFAC1AD" w14:textId="77777777" w:rsidR="00A30ED6" w:rsidRPr="0007188C" w:rsidRDefault="00A30ED6" w:rsidP="0007188C">
      <w:pPr>
        <w:rPr>
          <w:rFonts w:cs="Calibri"/>
        </w:rPr>
      </w:pPr>
    </w:p>
    <w:bookmarkEnd w:id="287"/>
    <w:p w14:paraId="3DE4E3D6" w14:textId="77777777" w:rsidR="006128E8" w:rsidRDefault="006128E8">
      <w:pPr>
        <w:sectPr w:rsidR="006128E8" w:rsidSect="00DC7A9B">
          <w:headerReference w:type="default" r:id="rId32"/>
          <w:footnotePr>
            <w:numRestart w:val="eachPage"/>
          </w:footnotePr>
          <w:pgSz w:w="11907" w:h="16840" w:code="9"/>
          <w:pgMar w:top="737" w:right="680" w:bottom="993" w:left="680" w:header="624" w:footer="624" w:gutter="0"/>
          <w:cols w:space="720"/>
        </w:sectPr>
      </w:pP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8930"/>
      </w:tblGrid>
      <w:tr w:rsidR="000144FF" w:rsidRPr="00CF7E1B" w14:paraId="517CAB59" w14:textId="77777777" w:rsidTr="00B513E5">
        <w:tc>
          <w:tcPr>
            <w:tcW w:w="745" w:type="pct"/>
            <w:tcBorders>
              <w:top w:val="nil"/>
              <w:left w:val="single" w:sz="2" w:space="0" w:color="auto"/>
              <w:bottom w:val="nil"/>
              <w:right w:val="single" w:sz="2" w:space="0" w:color="auto"/>
            </w:tcBorders>
          </w:tcPr>
          <w:p w14:paraId="61AC46C2" w14:textId="77777777" w:rsidR="000144FF" w:rsidRPr="009223E0" w:rsidRDefault="006C3782" w:rsidP="002120BB">
            <w:pPr>
              <w:pStyle w:val="TableReference"/>
              <w:tabs>
                <w:tab w:val="left" w:pos="3306"/>
              </w:tabs>
              <w:spacing w:before="240"/>
              <w:rPr>
                <w:rFonts w:cs="Calibri"/>
                <w:b/>
                <w:color w:val="7030A0"/>
                <w:sz w:val="22"/>
                <w:szCs w:val="22"/>
              </w:rPr>
            </w:pPr>
            <w:r w:rsidRPr="009223E0">
              <w:rPr>
                <w:rFonts w:cs="Calibri"/>
                <w:b/>
                <w:color w:val="7030A0"/>
                <w:sz w:val="22"/>
                <w:szCs w:val="22"/>
              </w:rPr>
              <w:t>Reference</w:t>
            </w:r>
          </w:p>
        </w:tc>
        <w:tc>
          <w:tcPr>
            <w:tcW w:w="4255" w:type="pct"/>
            <w:tcBorders>
              <w:top w:val="nil"/>
              <w:left w:val="single" w:sz="2" w:space="0" w:color="auto"/>
              <w:bottom w:val="nil"/>
              <w:right w:val="nil"/>
            </w:tcBorders>
          </w:tcPr>
          <w:p w14:paraId="29237CEF" w14:textId="652AFF97" w:rsidR="000144FF" w:rsidRPr="009223E0" w:rsidRDefault="007D50BC" w:rsidP="002120BB">
            <w:pPr>
              <w:pStyle w:val="Heading1"/>
              <w:numPr>
                <w:ilvl w:val="0"/>
                <w:numId w:val="0"/>
              </w:numPr>
              <w:rPr>
                <w:rFonts w:asciiTheme="minorHAnsi" w:hAnsiTheme="minorHAnsi" w:cstheme="minorHAnsi"/>
                <w:sz w:val="36"/>
                <w:szCs w:val="36"/>
              </w:rPr>
            </w:pPr>
            <w:bookmarkStart w:id="289" w:name="_Toc49223953"/>
            <w:bookmarkStart w:id="290" w:name="_Ref50190270"/>
            <w:bookmarkStart w:id="291" w:name="_Toc50440332"/>
            <w:bookmarkStart w:id="292" w:name="_Ref50523783"/>
            <w:bookmarkStart w:id="293" w:name="_Toc400627318"/>
            <w:bookmarkStart w:id="294" w:name="ObjectivesExampleAgency"/>
            <w:bookmarkStart w:id="295" w:name="_Toc98763036"/>
            <w:r w:rsidRPr="009223E0">
              <w:rPr>
                <w:rFonts w:asciiTheme="minorHAnsi" w:hAnsiTheme="minorHAnsi" w:cstheme="minorHAnsi"/>
                <w:sz w:val="36"/>
                <w:szCs w:val="36"/>
              </w:rPr>
              <w:t>N</w:t>
            </w:r>
            <w:r w:rsidR="00960982" w:rsidRPr="009223E0">
              <w:rPr>
                <w:rFonts w:asciiTheme="minorHAnsi" w:hAnsiTheme="minorHAnsi" w:cstheme="minorHAnsi"/>
                <w:sz w:val="36"/>
                <w:szCs w:val="36"/>
              </w:rPr>
              <w:t>ote</w:t>
            </w:r>
            <w:r w:rsidRPr="009223E0">
              <w:rPr>
                <w:rFonts w:asciiTheme="minorHAnsi" w:hAnsiTheme="minorHAnsi" w:cstheme="minorHAnsi"/>
                <w:sz w:val="36"/>
                <w:szCs w:val="36"/>
              </w:rPr>
              <w:t xml:space="preserve"> 1.</w:t>
            </w:r>
            <w:r w:rsidR="00FA7C77">
              <w:rPr>
                <w:rFonts w:asciiTheme="minorHAnsi" w:hAnsiTheme="minorHAnsi" w:cstheme="minorHAnsi"/>
                <w:sz w:val="36"/>
                <w:szCs w:val="36"/>
              </w:rPr>
              <w:t xml:space="preserve"> </w:t>
            </w:r>
            <w:r w:rsidRPr="009223E0">
              <w:rPr>
                <w:rFonts w:asciiTheme="minorHAnsi" w:hAnsiTheme="minorHAnsi" w:cstheme="minorHAnsi"/>
                <w:sz w:val="36"/>
                <w:szCs w:val="36"/>
              </w:rPr>
              <w:t xml:space="preserve"> </w:t>
            </w:r>
            <w:r w:rsidR="000144FF" w:rsidRPr="009223E0">
              <w:rPr>
                <w:rFonts w:asciiTheme="minorHAnsi" w:hAnsiTheme="minorHAnsi" w:cstheme="minorHAnsi"/>
                <w:sz w:val="36"/>
                <w:szCs w:val="36"/>
              </w:rPr>
              <w:t>Objectives of ‘</w:t>
            </w:r>
            <w:r w:rsidR="001A6C09" w:rsidRPr="009223E0">
              <w:t xml:space="preserve">Burley Griffin </w:t>
            </w:r>
            <w:r w:rsidR="00347B17" w:rsidRPr="009223E0">
              <w:rPr>
                <w:rFonts w:asciiTheme="minorHAnsi" w:hAnsiTheme="minorHAnsi" w:cstheme="minorHAnsi"/>
                <w:sz w:val="36"/>
                <w:szCs w:val="36"/>
              </w:rPr>
              <w:t>Agency</w:t>
            </w:r>
            <w:r w:rsidR="000144FF" w:rsidRPr="009223E0">
              <w:rPr>
                <w:rFonts w:asciiTheme="minorHAnsi" w:hAnsiTheme="minorHAnsi" w:cstheme="minorHAnsi"/>
                <w:sz w:val="36"/>
                <w:szCs w:val="36"/>
              </w:rPr>
              <w:t>’</w:t>
            </w:r>
            <w:bookmarkEnd w:id="289"/>
            <w:bookmarkEnd w:id="290"/>
            <w:bookmarkEnd w:id="291"/>
            <w:bookmarkEnd w:id="292"/>
            <w:bookmarkEnd w:id="293"/>
            <w:bookmarkEnd w:id="294"/>
            <w:bookmarkEnd w:id="295"/>
          </w:p>
        </w:tc>
      </w:tr>
      <w:tr w:rsidR="000144FF" w:rsidRPr="00CF7E1B" w14:paraId="61613048" w14:textId="77777777" w:rsidTr="00B513E5">
        <w:tc>
          <w:tcPr>
            <w:tcW w:w="745" w:type="pct"/>
            <w:tcBorders>
              <w:top w:val="nil"/>
              <w:left w:val="single" w:sz="2" w:space="0" w:color="auto"/>
              <w:bottom w:val="nil"/>
              <w:right w:val="single" w:sz="2" w:space="0" w:color="auto"/>
            </w:tcBorders>
          </w:tcPr>
          <w:p w14:paraId="0604CCD9" w14:textId="77777777" w:rsidR="009C3DB5" w:rsidRPr="009223E0" w:rsidRDefault="009C3DB5">
            <w:pPr>
              <w:pStyle w:val="TableReference"/>
              <w:tabs>
                <w:tab w:val="left" w:pos="3306"/>
              </w:tabs>
              <w:spacing w:before="60"/>
              <w:rPr>
                <w:rFonts w:cs="Calibri"/>
                <w:color w:val="7030A0"/>
                <w:sz w:val="14"/>
              </w:rPr>
            </w:pPr>
            <w:r w:rsidRPr="009223E0">
              <w:rPr>
                <w:rFonts w:cs="Calibri"/>
                <w:color w:val="7030A0"/>
                <w:sz w:val="14"/>
              </w:rPr>
              <w:t>AASB 1054.8(b)</w:t>
            </w:r>
          </w:p>
          <w:p w14:paraId="01335177" w14:textId="77777777" w:rsidR="000144FF" w:rsidRPr="009223E0" w:rsidRDefault="000144FF">
            <w:pPr>
              <w:pStyle w:val="TableReference"/>
              <w:tabs>
                <w:tab w:val="left" w:pos="3306"/>
              </w:tabs>
              <w:spacing w:before="60"/>
              <w:rPr>
                <w:rFonts w:cs="Calibri"/>
                <w:color w:val="7030A0"/>
                <w:sz w:val="14"/>
              </w:rPr>
            </w:pPr>
            <w:r w:rsidRPr="009223E0">
              <w:rPr>
                <w:rFonts w:cs="Calibri"/>
                <w:color w:val="7030A0"/>
                <w:sz w:val="14"/>
              </w:rPr>
              <w:t>AASB 101</w:t>
            </w:r>
            <w:r w:rsidR="00D65811" w:rsidRPr="009223E0">
              <w:rPr>
                <w:rFonts w:cs="Calibri"/>
                <w:color w:val="7030A0"/>
                <w:sz w:val="14"/>
              </w:rPr>
              <w:t>.</w:t>
            </w:r>
            <w:r w:rsidR="00B06495" w:rsidRPr="009223E0">
              <w:rPr>
                <w:rFonts w:cs="Calibri"/>
                <w:color w:val="7030A0"/>
                <w:sz w:val="14"/>
              </w:rPr>
              <w:t>138</w:t>
            </w:r>
            <w:r w:rsidR="00D001B7" w:rsidRPr="009223E0">
              <w:rPr>
                <w:rFonts w:cs="Calibri"/>
                <w:color w:val="7030A0"/>
                <w:sz w:val="14"/>
              </w:rPr>
              <w:t>(</w:t>
            </w:r>
            <w:r w:rsidRPr="009223E0">
              <w:rPr>
                <w:rFonts w:cs="Calibri"/>
                <w:color w:val="7030A0"/>
                <w:sz w:val="14"/>
              </w:rPr>
              <w:t>b)</w:t>
            </w:r>
          </w:p>
          <w:p w14:paraId="28C8F14A" w14:textId="77777777" w:rsidR="000144FF" w:rsidRPr="009223E0" w:rsidRDefault="009D5779">
            <w:pPr>
              <w:pStyle w:val="TableReference"/>
              <w:tabs>
                <w:tab w:val="left" w:pos="3306"/>
              </w:tabs>
              <w:spacing w:before="60"/>
              <w:rPr>
                <w:rFonts w:cs="Calibri"/>
                <w:color w:val="7030A0"/>
                <w:sz w:val="16"/>
                <w:szCs w:val="16"/>
              </w:rPr>
            </w:pPr>
            <w:r w:rsidRPr="009223E0">
              <w:rPr>
                <w:rFonts w:cs="Calibri"/>
                <w:color w:val="7030A0"/>
                <w:sz w:val="14"/>
              </w:rPr>
              <w:t>AASB 1052</w:t>
            </w:r>
            <w:r w:rsidR="00D65811" w:rsidRPr="009223E0">
              <w:rPr>
                <w:rFonts w:cs="Calibri"/>
                <w:color w:val="7030A0"/>
                <w:sz w:val="14"/>
              </w:rPr>
              <w:t>.</w:t>
            </w:r>
            <w:r w:rsidRPr="009223E0">
              <w:rPr>
                <w:rFonts w:cs="Calibri"/>
                <w:color w:val="7030A0"/>
                <w:sz w:val="14"/>
              </w:rPr>
              <w:t>15(b</w:t>
            </w:r>
            <w:r w:rsidRPr="009223E0">
              <w:rPr>
                <w:rFonts w:cs="Calibri"/>
                <w:color w:val="7030A0"/>
                <w:sz w:val="16"/>
                <w:szCs w:val="16"/>
              </w:rPr>
              <w:t>)</w:t>
            </w:r>
          </w:p>
        </w:tc>
        <w:tc>
          <w:tcPr>
            <w:tcW w:w="4255" w:type="pct"/>
            <w:tcBorders>
              <w:top w:val="nil"/>
              <w:left w:val="single" w:sz="2" w:space="0" w:color="auto"/>
              <w:bottom w:val="nil"/>
              <w:right w:val="nil"/>
            </w:tcBorders>
          </w:tcPr>
          <w:p w14:paraId="29D4BCF1" w14:textId="0E4305CC" w:rsidR="000144FF" w:rsidRPr="009223E0" w:rsidRDefault="000144FF">
            <w:pPr>
              <w:pStyle w:val="CommentaryText"/>
              <w:tabs>
                <w:tab w:val="left" w:pos="3306"/>
              </w:tabs>
              <w:rPr>
                <w:rFonts w:cs="Calibri"/>
                <w:sz w:val="18"/>
                <w:szCs w:val="18"/>
              </w:rPr>
            </w:pPr>
            <w:r w:rsidRPr="009223E0">
              <w:rPr>
                <w:rFonts w:cs="Calibri"/>
                <w:sz w:val="18"/>
                <w:szCs w:val="18"/>
              </w:rPr>
              <w:t xml:space="preserve">The </w:t>
            </w:r>
            <w:r w:rsidR="00347B17" w:rsidRPr="009223E0">
              <w:rPr>
                <w:rFonts w:cs="Calibri"/>
                <w:sz w:val="18"/>
                <w:szCs w:val="18"/>
              </w:rPr>
              <w:t>Agency</w:t>
            </w:r>
            <w:r w:rsidRPr="009223E0">
              <w:rPr>
                <w:rFonts w:cs="Calibri"/>
                <w:sz w:val="18"/>
                <w:szCs w:val="18"/>
              </w:rPr>
              <w:t xml:space="preserve"> </w:t>
            </w:r>
            <w:r w:rsidR="009C3DB5" w:rsidRPr="009223E0">
              <w:rPr>
                <w:rFonts w:cs="Calibri"/>
                <w:sz w:val="18"/>
                <w:szCs w:val="18"/>
              </w:rPr>
              <w:t xml:space="preserve">is a not-for-profit ACT Government entity that </w:t>
            </w:r>
            <w:r w:rsidR="00AE507E" w:rsidRPr="009223E0">
              <w:rPr>
                <w:rFonts w:cs="Calibri"/>
                <w:sz w:val="18"/>
                <w:szCs w:val="18"/>
              </w:rPr>
              <w:t>aims to be</w:t>
            </w:r>
            <w:r w:rsidR="00F637F8" w:rsidRPr="009223E0">
              <w:rPr>
                <w:sz w:val="18"/>
                <w:szCs w:val="18"/>
              </w:rPr>
              <w:t xml:space="preserve"> innovative and </w:t>
            </w:r>
            <w:r w:rsidR="00AE507E" w:rsidRPr="009223E0">
              <w:rPr>
                <w:sz w:val="18"/>
                <w:szCs w:val="18"/>
              </w:rPr>
              <w:t xml:space="preserve">that </w:t>
            </w:r>
            <w:r w:rsidR="00F637F8" w:rsidRPr="009223E0">
              <w:rPr>
                <w:sz w:val="18"/>
                <w:szCs w:val="18"/>
              </w:rPr>
              <w:t>contributes to the</w:t>
            </w:r>
            <w:r w:rsidR="00B152B9" w:rsidRPr="009223E0">
              <w:rPr>
                <w:sz w:val="18"/>
                <w:szCs w:val="18"/>
              </w:rPr>
              <w:t xml:space="preserve"> long-term growth and</w:t>
            </w:r>
            <w:r w:rsidR="00F637F8" w:rsidRPr="009223E0">
              <w:rPr>
                <w:sz w:val="18"/>
                <w:szCs w:val="18"/>
              </w:rPr>
              <w:t xml:space="preserve"> liveability of Canberra.</w:t>
            </w:r>
            <w:r w:rsidR="00FA7C77">
              <w:rPr>
                <w:rFonts w:cs="Calibri"/>
                <w:sz w:val="18"/>
                <w:szCs w:val="18"/>
              </w:rPr>
              <w:t xml:space="preserve"> </w:t>
            </w:r>
            <w:r w:rsidR="002F35DF" w:rsidRPr="009223E0">
              <w:rPr>
                <w:rFonts w:cs="Calibri"/>
                <w:sz w:val="18"/>
                <w:szCs w:val="18"/>
              </w:rPr>
              <w:t xml:space="preserve">The </w:t>
            </w:r>
            <w:r w:rsidR="00294AB5">
              <w:rPr>
                <w:rFonts w:cs="Calibri"/>
                <w:sz w:val="18"/>
                <w:szCs w:val="18"/>
              </w:rPr>
              <w:t>A</w:t>
            </w:r>
            <w:r w:rsidR="002F35DF" w:rsidRPr="009223E0">
              <w:rPr>
                <w:rFonts w:cs="Calibri"/>
                <w:sz w:val="18"/>
                <w:szCs w:val="18"/>
              </w:rPr>
              <w:t xml:space="preserve">gency </w:t>
            </w:r>
            <w:r w:rsidR="00AE507E" w:rsidRPr="009223E0">
              <w:rPr>
                <w:rFonts w:cs="Calibri"/>
                <w:sz w:val="18"/>
                <w:szCs w:val="18"/>
              </w:rPr>
              <w:t>provid</w:t>
            </w:r>
            <w:r w:rsidR="00DE7DDC" w:rsidRPr="009223E0">
              <w:rPr>
                <w:rFonts w:cs="Calibri"/>
                <w:sz w:val="18"/>
                <w:szCs w:val="18"/>
              </w:rPr>
              <w:t>es</w:t>
            </w:r>
            <w:r w:rsidRPr="009223E0">
              <w:rPr>
                <w:rFonts w:cs="Calibri"/>
                <w:sz w:val="18"/>
                <w:szCs w:val="18"/>
              </w:rPr>
              <w:t xml:space="preserve"> </w:t>
            </w:r>
            <w:r w:rsidR="00F637F8" w:rsidRPr="009223E0">
              <w:rPr>
                <w:rFonts w:cs="Calibri"/>
                <w:sz w:val="18"/>
                <w:szCs w:val="18"/>
              </w:rPr>
              <w:t xml:space="preserve">a </w:t>
            </w:r>
            <w:r w:rsidR="00FD0E66" w:rsidRPr="009223E0">
              <w:rPr>
                <w:rFonts w:cs="Calibri"/>
                <w:sz w:val="18"/>
                <w:szCs w:val="18"/>
              </w:rPr>
              <w:t xml:space="preserve">wide </w:t>
            </w:r>
            <w:r w:rsidR="00F637F8" w:rsidRPr="009223E0">
              <w:rPr>
                <w:rFonts w:cs="Calibri"/>
                <w:sz w:val="18"/>
                <w:szCs w:val="18"/>
              </w:rPr>
              <w:t xml:space="preserve">range of </w:t>
            </w:r>
            <w:r w:rsidRPr="009223E0">
              <w:rPr>
                <w:rFonts w:cs="Calibri"/>
                <w:sz w:val="18"/>
                <w:szCs w:val="18"/>
              </w:rPr>
              <w:t xml:space="preserve">services to the ACT community </w:t>
            </w:r>
            <w:r w:rsidR="00AE507E" w:rsidRPr="009223E0">
              <w:rPr>
                <w:rFonts w:cs="Calibri"/>
                <w:sz w:val="18"/>
                <w:szCs w:val="18"/>
              </w:rPr>
              <w:t>as well as exploring ways in which its service delivery can be improved.</w:t>
            </w:r>
            <w:r w:rsidR="00FA7C77">
              <w:rPr>
                <w:rFonts w:cs="Calibri"/>
                <w:sz w:val="18"/>
                <w:szCs w:val="18"/>
              </w:rPr>
              <w:t xml:space="preserve"> </w:t>
            </w:r>
            <w:r w:rsidR="00AE507E" w:rsidRPr="009223E0">
              <w:rPr>
                <w:rFonts w:cs="Calibri"/>
                <w:sz w:val="18"/>
                <w:szCs w:val="18"/>
              </w:rPr>
              <w:t xml:space="preserve">The </w:t>
            </w:r>
            <w:r w:rsidR="00E84C97" w:rsidRPr="009223E0">
              <w:rPr>
                <w:rFonts w:cs="Calibri"/>
                <w:sz w:val="18"/>
                <w:szCs w:val="18"/>
              </w:rPr>
              <w:t>services provided</w:t>
            </w:r>
            <w:r w:rsidR="00AE507E" w:rsidRPr="009223E0">
              <w:rPr>
                <w:rFonts w:cs="Calibri"/>
                <w:sz w:val="18"/>
                <w:szCs w:val="18"/>
              </w:rPr>
              <w:t xml:space="preserve"> </w:t>
            </w:r>
            <w:r w:rsidRPr="009223E0">
              <w:rPr>
                <w:rFonts w:cs="Calibri"/>
                <w:sz w:val="18"/>
                <w:szCs w:val="18"/>
              </w:rPr>
              <w:t>includ</w:t>
            </w:r>
            <w:r w:rsidR="00E84C97" w:rsidRPr="009223E0">
              <w:rPr>
                <w:rFonts w:cs="Calibri"/>
                <w:sz w:val="18"/>
                <w:szCs w:val="18"/>
              </w:rPr>
              <w:t>e</w:t>
            </w:r>
            <w:r w:rsidRPr="009223E0">
              <w:rPr>
                <w:rFonts w:cs="Calibri"/>
                <w:sz w:val="18"/>
                <w:szCs w:val="18"/>
              </w:rPr>
              <w:t xml:space="preserve"> municipal services,</w:t>
            </w:r>
            <w:r w:rsidR="00595110" w:rsidRPr="009223E0">
              <w:rPr>
                <w:rFonts w:cs="Calibri"/>
                <w:sz w:val="18"/>
                <w:szCs w:val="18"/>
              </w:rPr>
              <w:t xml:space="preserve"> public transport,</w:t>
            </w:r>
            <w:r w:rsidR="00406899" w:rsidRPr="009223E0">
              <w:rPr>
                <w:rFonts w:cs="Calibri"/>
                <w:sz w:val="18"/>
                <w:szCs w:val="18"/>
              </w:rPr>
              <w:t xml:space="preserve"> court and tribunal services</w:t>
            </w:r>
            <w:r w:rsidR="004E7AC3" w:rsidRPr="009223E0">
              <w:rPr>
                <w:rFonts w:cs="Calibri"/>
                <w:sz w:val="18"/>
                <w:szCs w:val="18"/>
              </w:rPr>
              <w:t>,</w:t>
            </w:r>
            <w:r w:rsidRPr="009223E0">
              <w:rPr>
                <w:rFonts w:cs="Calibri"/>
                <w:sz w:val="18"/>
                <w:szCs w:val="18"/>
              </w:rPr>
              <w:t xml:space="preserve"> </w:t>
            </w:r>
            <w:r w:rsidR="004E7AC3" w:rsidRPr="009223E0">
              <w:rPr>
                <w:rFonts w:cs="Calibri"/>
                <w:sz w:val="18"/>
                <w:szCs w:val="18"/>
              </w:rPr>
              <w:t xml:space="preserve">land sales, </w:t>
            </w:r>
            <w:r w:rsidRPr="009223E0">
              <w:rPr>
                <w:rFonts w:cs="Calibri"/>
                <w:sz w:val="18"/>
                <w:szCs w:val="18"/>
              </w:rPr>
              <w:t xml:space="preserve">land information, procurement and property services, undertaking, promoting and coordinating the development and management of land and the provision and maintenance of major infrastructure such as </w:t>
            </w:r>
            <w:r w:rsidR="00406899" w:rsidRPr="009223E0">
              <w:rPr>
                <w:rFonts w:cs="Calibri"/>
                <w:sz w:val="18"/>
                <w:szCs w:val="18"/>
              </w:rPr>
              <w:t xml:space="preserve">roads, </w:t>
            </w:r>
            <w:r w:rsidR="00206B5F" w:rsidRPr="009223E0">
              <w:rPr>
                <w:rFonts w:cs="Calibri"/>
                <w:sz w:val="18"/>
                <w:szCs w:val="18"/>
              </w:rPr>
              <w:t>bridges</w:t>
            </w:r>
            <w:r w:rsidRPr="009223E0">
              <w:rPr>
                <w:rFonts w:cs="Calibri"/>
                <w:sz w:val="18"/>
                <w:szCs w:val="18"/>
              </w:rPr>
              <w:t>, streetlights and stormwater drains.</w:t>
            </w:r>
            <w:r w:rsidR="00FA7C77">
              <w:rPr>
                <w:rFonts w:cs="Calibri"/>
                <w:sz w:val="18"/>
                <w:szCs w:val="18"/>
              </w:rPr>
              <w:t xml:space="preserve"> </w:t>
            </w:r>
          </w:p>
        </w:tc>
      </w:tr>
      <w:tr w:rsidR="00572938" w:rsidRPr="00CF7E1B" w14:paraId="28DD422D" w14:textId="77777777" w:rsidTr="00B513E5">
        <w:tc>
          <w:tcPr>
            <w:tcW w:w="745" w:type="pct"/>
            <w:tcBorders>
              <w:top w:val="nil"/>
              <w:left w:val="single" w:sz="2" w:space="0" w:color="auto"/>
              <w:bottom w:val="nil"/>
              <w:right w:val="single" w:sz="2" w:space="0" w:color="auto"/>
            </w:tcBorders>
          </w:tcPr>
          <w:p w14:paraId="23A0D58F" w14:textId="77777777" w:rsidR="00572938" w:rsidRPr="009223E0" w:rsidRDefault="00572938">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6C2D81E6" w14:textId="191AF0D4" w:rsidR="009A44B1" w:rsidRPr="009223E0" w:rsidRDefault="00572938">
            <w:pPr>
              <w:pStyle w:val="CommentaryText"/>
              <w:tabs>
                <w:tab w:val="left" w:pos="3306"/>
              </w:tabs>
              <w:rPr>
                <w:rFonts w:cs="Calibri"/>
                <w:sz w:val="18"/>
                <w:szCs w:val="18"/>
              </w:rPr>
            </w:pPr>
            <w:r w:rsidRPr="009223E0">
              <w:rPr>
                <w:rFonts w:cs="Calibri"/>
                <w:sz w:val="18"/>
                <w:szCs w:val="18"/>
              </w:rPr>
              <w:t>The Agency provides policy advice to Government on land use planning and environmental impacts, urban infrastructure, strategic management of ACT land and property and municipal services.</w:t>
            </w:r>
            <w:r w:rsidR="00FA7C77">
              <w:rPr>
                <w:rFonts w:cs="Calibri"/>
                <w:sz w:val="18"/>
                <w:szCs w:val="18"/>
              </w:rPr>
              <w:t xml:space="preserve"> </w:t>
            </w:r>
            <w:r w:rsidRPr="009223E0">
              <w:rPr>
                <w:rFonts w:cs="Calibri"/>
                <w:sz w:val="18"/>
                <w:szCs w:val="18"/>
              </w:rPr>
              <w:t>The Agency also collects a number of different taxes,</w:t>
            </w:r>
            <w:r w:rsidR="004E7AC3" w:rsidRPr="009223E0">
              <w:rPr>
                <w:rFonts w:cs="Calibri"/>
                <w:sz w:val="18"/>
                <w:szCs w:val="18"/>
              </w:rPr>
              <w:t xml:space="preserve"> licences,</w:t>
            </w:r>
            <w:r w:rsidRPr="009223E0">
              <w:rPr>
                <w:rFonts w:cs="Calibri"/>
                <w:sz w:val="18"/>
                <w:szCs w:val="18"/>
              </w:rPr>
              <w:t xml:space="preserve"> fees and fines for the ACT Government.</w:t>
            </w:r>
            <w:r w:rsidR="00FA7C77">
              <w:rPr>
                <w:rFonts w:cs="Calibri"/>
                <w:sz w:val="18"/>
                <w:szCs w:val="18"/>
              </w:rPr>
              <w:t xml:space="preserve"> </w:t>
            </w:r>
          </w:p>
        </w:tc>
      </w:tr>
      <w:tr w:rsidR="00953876" w:rsidRPr="00CF7E1B" w14:paraId="6C0B8C93"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2547805B" w14:textId="77777777" w:rsidR="00953876" w:rsidRPr="009223E0" w:rsidRDefault="00953876" w:rsidP="005F2842">
            <w:pPr>
              <w:pStyle w:val="TableReference"/>
              <w:tabs>
                <w:tab w:val="left" w:pos="3306"/>
              </w:tabs>
              <w:rPr>
                <w:rFonts w:cs="Calibri"/>
                <w:color w:val="7030A0"/>
                <w:sz w:val="16"/>
                <w:szCs w:val="16"/>
              </w:rPr>
            </w:pPr>
          </w:p>
        </w:tc>
        <w:tc>
          <w:tcPr>
            <w:tcW w:w="4255" w:type="pct"/>
            <w:tcBorders>
              <w:left w:val="single" w:sz="2" w:space="0" w:color="auto"/>
            </w:tcBorders>
            <w:shd w:val="clear" w:color="auto" w:fill="7030A0"/>
          </w:tcPr>
          <w:p w14:paraId="4313DCD4" w14:textId="7A573D09" w:rsidR="00953876" w:rsidRPr="009223E0" w:rsidRDefault="00953876" w:rsidP="005F2842">
            <w:pPr>
              <w:pStyle w:val="CommentaryTitle"/>
              <w:spacing w:after="0"/>
              <w:rPr>
                <w:rFonts w:cs="Calibri"/>
                <w:color w:val="FFFFFF" w:themeColor="background1"/>
                <w:sz w:val="28"/>
                <w:szCs w:val="28"/>
              </w:rPr>
            </w:pPr>
            <w:bookmarkStart w:id="296" w:name="_Toc50440333"/>
            <w:bookmarkStart w:id="297" w:name="_Toc163106304"/>
            <w:r w:rsidRPr="009223E0">
              <w:rPr>
                <w:rFonts w:cs="Calibri"/>
                <w:color w:val="FFFFFF" w:themeColor="background1"/>
                <w:sz w:val="28"/>
                <w:szCs w:val="28"/>
              </w:rPr>
              <w:t xml:space="preserve">Commentary </w:t>
            </w:r>
            <w:r w:rsidRPr="009223E0">
              <w:rPr>
                <w:rFonts w:cs="Calibri"/>
                <w:color w:val="FFFFFF" w:themeColor="background1"/>
                <w:sz w:val="28"/>
                <w:szCs w:val="28"/>
              </w:rPr>
              <w:sym w:font="Symbol" w:char="F02D"/>
            </w:r>
            <w:r w:rsidRPr="009223E0">
              <w:rPr>
                <w:rFonts w:cs="Calibri"/>
                <w:color w:val="FFFFFF" w:themeColor="background1"/>
                <w:sz w:val="28"/>
                <w:szCs w:val="28"/>
              </w:rPr>
              <w:t xml:space="preserve"> Note 1: Objectives</w:t>
            </w:r>
            <w:bookmarkEnd w:id="296"/>
            <w:r w:rsidRPr="009223E0">
              <w:rPr>
                <w:rFonts w:cs="Calibri"/>
                <w:color w:val="FFFFFF" w:themeColor="background1"/>
                <w:sz w:val="28"/>
                <w:szCs w:val="28"/>
              </w:rPr>
              <w:t xml:space="preserve"> of ‘</w:t>
            </w:r>
            <w:r w:rsidR="001A6C09" w:rsidRPr="009223E0">
              <w:rPr>
                <w:rFonts w:cs="Calibri"/>
                <w:color w:val="FFFFFF" w:themeColor="background1"/>
                <w:sz w:val="28"/>
                <w:szCs w:val="28"/>
              </w:rPr>
              <w:t xml:space="preserve">Burley Griffin </w:t>
            </w:r>
            <w:r w:rsidRPr="009223E0">
              <w:rPr>
                <w:rFonts w:cs="Calibri"/>
                <w:color w:val="FFFFFF" w:themeColor="background1"/>
                <w:sz w:val="28"/>
                <w:szCs w:val="28"/>
              </w:rPr>
              <w:t>Agency’</w:t>
            </w:r>
            <w:bookmarkEnd w:id="297"/>
          </w:p>
        </w:tc>
      </w:tr>
      <w:tr w:rsidR="00953876" w:rsidRPr="00CF7E1B" w14:paraId="3C515C66"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52388BDE" w14:textId="77777777" w:rsidR="00953876" w:rsidRPr="009223E0" w:rsidRDefault="00953876" w:rsidP="005F2842">
            <w:pPr>
              <w:pStyle w:val="TableReference"/>
              <w:tabs>
                <w:tab w:val="left" w:pos="3306"/>
              </w:tabs>
              <w:rPr>
                <w:rFonts w:cs="Calibri"/>
                <w:color w:val="7030A0"/>
                <w:sz w:val="14"/>
              </w:rPr>
            </w:pPr>
          </w:p>
          <w:p w14:paraId="5E5AA8E0" w14:textId="77777777" w:rsidR="00953876" w:rsidRPr="009223E0" w:rsidRDefault="00953876" w:rsidP="005F2842">
            <w:pPr>
              <w:pStyle w:val="TableReference"/>
              <w:tabs>
                <w:tab w:val="left" w:pos="3306"/>
              </w:tabs>
              <w:rPr>
                <w:rFonts w:cs="Calibri"/>
                <w:color w:val="7030A0"/>
                <w:sz w:val="14"/>
              </w:rPr>
            </w:pPr>
            <w:r w:rsidRPr="009223E0">
              <w:rPr>
                <w:rFonts w:cs="Calibri"/>
                <w:color w:val="7030A0"/>
                <w:sz w:val="14"/>
              </w:rPr>
              <w:t>AASB 1054.8(b)</w:t>
            </w:r>
          </w:p>
        </w:tc>
        <w:tc>
          <w:tcPr>
            <w:tcW w:w="4255" w:type="pct"/>
            <w:tcBorders>
              <w:left w:val="single" w:sz="2" w:space="0" w:color="auto"/>
            </w:tcBorders>
            <w:shd w:val="clear" w:color="auto" w:fill="7030A0"/>
          </w:tcPr>
          <w:p w14:paraId="570D826C" w14:textId="6731F20D" w:rsidR="00953876" w:rsidRPr="009223E0" w:rsidRDefault="00953876" w:rsidP="005F2842">
            <w:pPr>
              <w:pStyle w:val="CommentaryTitle"/>
              <w:spacing w:after="120"/>
              <w:rPr>
                <w:rFonts w:cs="Calibri"/>
                <w:color w:val="FFFFFF" w:themeColor="background1"/>
                <w:sz w:val="18"/>
                <w:szCs w:val="18"/>
              </w:rPr>
            </w:pPr>
            <w:r w:rsidRPr="009223E0">
              <w:rPr>
                <w:rFonts w:cs="Calibri"/>
                <w:b w:val="0"/>
                <w:bCs w:val="0"/>
                <w:color w:val="FFFFFF" w:themeColor="background1"/>
                <w:sz w:val="18"/>
                <w:szCs w:val="18"/>
              </w:rPr>
              <w:t>An agency shall disclose in the notes</w:t>
            </w:r>
            <w:r w:rsidR="002F35DF" w:rsidRPr="009223E0">
              <w:rPr>
                <w:rFonts w:cs="Calibri"/>
                <w:b w:val="0"/>
                <w:bCs w:val="0"/>
                <w:color w:val="FFFFFF" w:themeColor="background1"/>
                <w:sz w:val="18"/>
                <w:szCs w:val="18"/>
              </w:rPr>
              <w:t xml:space="preserve"> to its financial statements</w:t>
            </w:r>
            <w:r w:rsidRPr="009223E0">
              <w:rPr>
                <w:rFonts w:cs="Calibri"/>
                <w:b w:val="0"/>
                <w:bCs w:val="0"/>
                <w:color w:val="FFFFFF" w:themeColor="background1"/>
                <w:sz w:val="18"/>
                <w:szCs w:val="18"/>
              </w:rPr>
              <w:t xml:space="preserve"> whether, it is a for</w:t>
            </w:r>
            <w:r w:rsidRPr="009223E0">
              <w:rPr>
                <w:rFonts w:cs="Calibri"/>
                <w:b w:val="0"/>
                <w:bCs w:val="0"/>
                <w:color w:val="FFFFFF" w:themeColor="background1"/>
                <w:sz w:val="18"/>
                <w:szCs w:val="18"/>
              </w:rPr>
              <w:noBreakHyphen/>
              <w:t>profit or not-for-profit entity.</w:t>
            </w:r>
          </w:p>
        </w:tc>
      </w:tr>
      <w:tr w:rsidR="00953876" w:rsidRPr="00CF7E1B" w14:paraId="66B65AB4"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62C757F8" w14:textId="3B2A09F6" w:rsidR="00953876" w:rsidRPr="009223E0" w:rsidRDefault="00953876" w:rsidP="005F2842">
            <w:pPr>
              <w:pStyle w:val="TableReference"/>
              <w:tabs>
                <w:tab w:val="left" w:pos="3306"/>
              </w:tabs>
              <w:spacing w:before="60"/>
              <w:rPr>
                <w:rFonts w:cs="Calibri"/>
                <w:color w:val="7030A0"/>
                <w:sz w:val="14"/>
              </w:rPr>
            </w:pPr>
            <w:r w:rsidRPr="009223E0">
              <w:rPr>
                <w:rFonts w:cs="Calibri"/>
                <w:color w:val="7030A0"/>
                <w:sz w:val="14"/>
              </w:rPr>
              <w:t>AASB 1052.15(b)</w:t>
            </w:r>
          </w:p>
          <w:p w14:paraId="1486B94F" w14:textId="15A18711" w:rsidR="00953876" w:rsidRPr="009223E0" w:rsidRDefault="00953876" w:rsidP="005F2842">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24E455A5" w14:textId="3E95CE20" w:rsidR="00953876" w:rsidRPr="009223E0" w:rsidRDefault="002F35DF" w:rsidP="00572938">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D</w:t>
            </w:r>
            <w:r w:rsidR="00953876" w:rsidRPr="009223E0">
              <w:rPr>
                <w:rFonts w:cs="Calibri"/>
                <w:color w:val="FFFFFF" w:themeColor="background1"/>
                <w:sz w:val="18"/>
                <w:szCs w:val="18"/>
              </w:rPr>
              <w:t xml:space="preserve">irectorates </w:t>
            </w:r>
            <w:r w:rsidRPr="009223E0">
              <w:rPr>
                <w:rFonts w:cs="Calibri"/>
                <w:color w:val="FFFFFF" w:themeColor="background1"/>
                <w:sz w:val="18"/>
                <w:szCs w:val="18"/>
              </w:rPr>
              <w:t xml:space="preserve">are required </w:t>
            </w:r>
            <w:r w:rsidR="00953876" w:rsidRPr="009223E0">
              <w:rPr>
                <w:rFonts w:cs="Calibri"/>
                <w:color w:val="FFFFFF" w:themeColor="background1"/>
                <w:sz w:val="18"/>
                <w:szCs w:val="18"/>
              </w:rPr>
              <w:t>to disclose their objectives if this information has not been disclosed elsewhere in the Annual Report.</w:t>
            </w:r>
            <w:r w:rsidR="00FA7C77">
              <w:rPr>
                <w:rFonts w:cs="Calibri"/>
                <w:color w:val="FFFFFF" w:themeColor="background1"/>
                <w:sz w:val="18"/>
                <w:szCs w:val="18"/>
              </w:rPr>
              <w:t xml:space="preserve"> </w:t>
            </w:r>
            <w:r w:rsidR="00953876" w:rsidRPr="009223E0">
              <w:rPr>
                <w:rFonts w:cs="Calibri"/>
                <w:color w:val="FFFFFF" w:themeColor="background1"/>
                <w:sz w:val="18"/>
                <w:szCs w:val="18"/>
              </w:rPr>
              <w:t>Territory authorities should also provide a note disclosing their objectives.</w:t>
            </w:r>
          </w:p>
        </w:tc>
      </w:tr>
      <w:tr w:rsidR="00953876" w:rsidRPr="00CF7E1B" w14:paraId="4A72DFA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08C87457" w14:textId="77777777" w:rsidR="001D66DB" w:rsidRPr="009223E0" w:rsidRDefault="001D66DB" w:rsidP="001D66DB">
            <w:pPr>
              <w:pStyle w:val="TableReference"/>
              <w:tabs>
                <w:tab w:val="left" w:pos="3306"/>
              </w:tabs>
              <w:rPr>
                <w:rFonts w:cs="Calibri"/>
                <w:color w:val="7030A0"/>
                <w:sz w:val="14"/>
              </w:rPr>
            </w:pPr>
            <w:r w:rsidRPr="009223E0">
              <w:rPr>
                <w:rFonts w:cs="Calibri"/>
                <w:color w:val="7030A0"/>
                <w:sz w:val="14"/>
              </w:rPr>
              <w:t>AASB 101.138(b)</w:t>
            </w:r>
          </w:p>
          <w:p w14:paraId="6E6E5C11" w14:textId="77777777" w:rsidR="001D66DB" w:rsidRDefault="001D66DB" w:rsidP="005F2842">
            <w:pPr>
              <w:pStyle w:val="TableReference"/>
              <w:tabs>
                <w:tab w:val="left" w:pos="3306"/>
              </w:tabs>
              <w:spacing w:before="60"/>
              <w:rPr>
                <w:rFonts w:cs="Calibri"/>
                <w:color w:val="7030A0"/>
                <w:sz w:val="14"/>
              </w:rPr>
            </w:pPr>
          </w:p>
          <w:p w14:paraId="7FAE99B8" w14:textId="67D4EBFE" w:rsidR="00953876" w:rsidRPr="009223E0" w:rsidRDefault="00572938" w:rsidP="005F2842">
            <w:pPr>
              <w:pStyle w:val="TableReference"/>
              <w:tabs>
                <w:tab w:val="left" w:pos="3306"/>
              </w:tabs>
              <w:spacing w:before="60"/>
              <w:rPr>
                <w:rFonts w:cs="Calibri"/>
                <w:color w:val="7030A0"/>
                <w:sz w:val="14"/>
              </w:rPr>
            </w:pPr>
            <w:r w:rsidRPr="009223E0">
              <w:rPr>
                <w:rFonts w:cs="Calibri"/>
                <w:color w:val="7030A0"/>
                <w:sz w:val="14"/>
              </w:rPr>
              <w:t>Chief Minister’s Annual Report Directions</w:t>
            </w:r>
          </w:p>
        </w:tc>
        <w:tc>
          <w:tcPr>
            <w:tcW w:w="4255" w:type="pct"/>
            <w:tcBorders>
              <w:left w:val="single" w:sz="2" w:space="0" w:color="auto"/>
            </w:tcBorders>
            <w:shd w:val="clear" w:color="auto" w:fill="7030A0"/>
          </w:tcPr>
          <w:p w14:paraId="3392119E" w14:textId="05BABC42" w:rsidR="001D66DB" w:rsidRDefault="001D66DB" w:rsidP="005F2842">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Agencies need to provide a description of the nature of the agency’s operations and its principal activities.</w:t>
            </w:r>
          </w:p>
          <w:p w14:paraId="684C1948" w14:textId="2EEF7617" w:rsidR="00953876" w:rsidRPr="009223E0" w:rsidRDefault="00572938" w:rsidP="005F2842">
            <w:pPr>
              <w:pStyle w:val="CommentaryText"/>
              <w:tabs>
                <w:tab w:val="left" w:pos="3306"/>
              </w:tabs>
              <w:rPr>
                <w:rFonts w:cs="Calibri"/>
                <w:color w:val="FFFFFF" w:themeColor="background1"/>
                <w:sz w:val="18"/>
                <w:szCs w:val="18"/>
              </w:rPr>
            </w:pPr>
            <w:r w:rsidRPr="009223E0">
              <w:rPr>
                <w:rFonts w:cs="Calibri"/>
                <w:color w:val="FFFFFF" w:themeColor="background1"/>
                <w:sz w:val="18"/>
                <w:szCs w:val="18"/>
              </w:rPr>
              <w:t>As the Chief Minister’s Annual Report Directions require details of the organisation and its major achievements to appear elsewhere within the Annual Report, Note 1 can be simplified and be more concise.</w:t>
            </w:r>
            <w:r w:rsidR="00FA7C77">
              <w:rPr>
                <w:rFonts w:cs="Calibri"/>
                <w:color w:val="FFFFFF" w:themeColor="background1"/>
                <w:sz w:val="18"/>
                <w:szCs w:val="18"/>
              </w:rPr>
              <w:t xml:space="preserve"> </w:t>
            </w:r>
            <w:r w:rsidRPr="009223E0">
              <w:rPr>
                <w:rFonts w:cs="Calibri"/>
                <w:color w:val="FFFFFF" w:themeColor="background1"/>
                <w:sz w:val="18"/>
                <w:szCs w:val="18"/>
              </w:rPr>
              <w:t>The information required by the Directions includes details of the reporting entity and its organisational profile.</w:t>
            </w:r>
          </w:p>
        </w:tc>
      </w:tr>
      <w:tr w:rsidR="00E21512" w:rsidRPr="00CF7E1B" w14:paraId="7AC7A86B" w14:textId="77777777" w:rsidTr="00B513E5">
        <w:tc>
          <w:tcPr>
            <w:tcW w:w="745" w:type="pct"/>
            <w:tcBorders>
              <w:top w:val="nil"/>
              <w:left w:val="single" w:sz="2" w:space="0" w:color="auto"/>
              <w:bottom w:val="nil"/>
              <w:right w:val="single" w:sz="2" w:space="0" w:color="auto"/>
            </w:tcBorders>
          </w:tcPr>
          <w:p w14:paraId="7BA28246" w14:textId="47616E32" w:rsidR="00E21512" w:rsidRPr="009223E0" w:rsidRDefault="00E21512">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246CBE27" w14:textId="0A1F06C8" w:rsidR="00E21512" w:rsidRPr="009223E0" w:rsidRDefault="001B17A3" w:rsidP="00E35CD2">
            <w:pPr>
              <w:pStyle w:val="Heading2"/>
              <w:numPr>
                <w:ilvl w:val="0"/>
                <w:numId w:val="0"/>
              </w:numPr>
              <w:ind w:left="34"/>
              <w:rPr>
                <w:rFonts w:asciiTheme="minorHAnsi" w:hAnsiTheme="minorHAnsi" w:cstheme="minorHAnsi"/>
                <w:sz w:val="36"/>
                <w:szCs w:val="36"/>
              </w:rPr>
            </w:pPr>
            <w:bookmarkStart w:id="298" w:name="_Toc98763037"/>
            <w:r w:rsidRPr="009223E0">
              <w:rPr>
                <w:rFonts w:asciiTheme="minorHAnsi" w:hAnsiTheme="minorHAnsi" w:cstheme="minorHAnsi"/>
                <w:sz w:val="36"/>
                <w:szCs w:val="36"/>
              </w:rPr>
              <w:t xml:space="preserve">Note 2. </w:t>
            </w:r>
            <w:r w:rsidR="00837B44" w:rsidRPr="009223E0">
              <w:rPr>
                <w:rFonts w:asciiTheme="minorHAnsi" w:hAnsiTheme="minorHAnsi" w:cstheme="minorHAnsi"/>
                <w:sz w:val="36"/>
                <w:szCs w:val="36"/>
              </w:rPr>
              <w:t>Basis of Preparation of the Financial</w:t>
            </w:r>
            <w:r w:rsidR="00E35CD2">
              <w:rPr>
                <w:rFonts w:asciiTheme="minorHAnsi" w:hAnsiTheme="minorHAnsi" w:cstheme="minorHAnsi"/>
                <w:sz w:val="36"/>
                <w:szCs w:val="36"/>
              </w:rPr>
              <w:t xml:space="preserve"> </w:t>
            </w:r>
            <w:r w:rsidR="00837B44" w:rsidRPr="009223E0">
              <w:rPr>
                <w:rFonts w:asciiTheme="minorHAnsi" w:hAnsiTheme="minorHAnsi" w:cstheme="minorHAnsi"/>
                <w:sz w:val="36"/>
                <w:szCs w:val="36"/>
              </w:rPr>
              <w:t>Statements</w:t>
            </w:r>
            <w:bookmarkEnd w:id="298"/>
          </w:p>
        </w:tc>
      </w:tr>
      <w:tr w:rsidR="00E21512" w:rsidRPr="00CF7E1B" w14:paraId="2DC05FBD" w14:textId="77777777" w:rsidTr="00B513E5">
        <w:tc>
          <w:tcPr>
            <w:tcW w:w="745" w:type="pct"/>
            <w:tcBorders>
              <w:top w:val="nil"/>
              <w:left w:val="single" w:sz="2" w:space="0" w:color="auto"/>
              <w:bottom w:val="nil"/>
              <w:right w:val="single" w:sz="2" w:space="0" w:color="auto"/>
            </w:tcBorders>
          </w:tcPr>
          <w:p w14:paraId="4993361B" w14:textId="77777777" w:rsidR="00E21512" w:rsidRPr="009223E0" w:rsidRDefault="00E21512">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2F8F7676" w14:textId="036DA3B1" w:rsidR="00E21512" w:rsidRPr="009223E0" w:rsidRDefault="00837B44">
            <w:pPr>
              <w:pStyle w:val="CommentaryText"/>
              <w:tabs>
                <w:tab w:val="left" w:pos="3306"/>
              </w:tabs>
              <w:rPr>
                <w:rFonts w:cs="Calibri"/>
                <w:b/>
                <w:bCs/>
                <w:szCs w:val="20"/>
              </w:rPr>
            </w:pPr>
            <w:r w:rsidRPr="009223E0">
              <w:rPr>
                <w:rFonts w:cs="Calibri"/>
                <w:b/>
                <w:bCs/>
                <w:szCs w:val="20"/>
              </w:rPr>
              <w:t>Legislative Requirements</w:t>
            </w:r>
          </w:p>
        </w:tc>
      </w:tr>
      <w:tr w:rsidR="00E21512" w:rsidRPr="00CF7E1B" w14:paraId="2D479387" w14:textId="77777777" w:rsidTr="00B513E5">
        <w:tc>
          <w:tcPr>
            <w:tcW w:w="745" w:type="pct"/>
            <w:tcBorders>
              <w:top w:val="nil"/>
              <w:left w:val="single" w:sz="2" w:space="0" w:color="auto"/>
              <w:bottom w:val="nil"/>
              <w:right w:val="single" w:sz="2" w:space="0" w:color="auto"/>
            </w:tcBorders>
          </w:tcPr>
          <w:p w14:paraId="12A1658F" w14:textId="522DE4E1" w:rsidR="00E21512" w:rsidRPr="009223E0" w:rsidRDefault="004D22C6" w:rsidP="00A229DC">
            <w:pPr>
              <w:pStyle w:val="TableReference"/>
              <w:tabs>
                <w:tab w:val="left" w:pos="3306"/>
              </w:tabs>
              <w:spacing w:before="60"/>
              <w:rPr>
                <w:color w:val="7030A0"/>
                <w:sz w:val="14"/>
              </w:rPr>
            </w:pPr>
            <w:r w:rsidRPr="009223E0">
              <w:rPr>
                <w:color w:val="7030A0"/>
                <w:sz w:val="14"/>
              </w:rPr>
              <w:t xml:space="preserve">AASB 101.10(e), FMA 27(1) &amp; (3), FMA 63(1) &amp; (3), Financial Management (Periodic &amp; Annual Financial Statements) Guidelines </w:t>
            </w:r>
            <w:r w:rsidR="002712C9" w:rsidRPr="009223E0">
              <w:rPr>
                <w:color w:val="7030A0"/>
                <w:sz w:val="14"/>
              </w:rPr>
              <w:t>2016</w:t>
            </w:r>
          </w:p>
        </w:tc>
        <w:tc>
          <w:tcPr>
            <w:tcW w:w="4255" w:type="pct"/>
            <w:tcBorders>
              <w:top w:val="nil"/>
              <w:left w:val="single" w:sz="2" w:space="0" w:color="auto"/>
              <w:bottom w:val="nil"/>
              <w:right w:val="nil"/>
            </w:tcBorders>
          </w:tcPr>
          <w:p w14:paraId="064D151A" w14:textId="7DE19441" w:rsidR="00837B44" w:rsidRPr="009223E0" w:rsidRDefault="00727200" w:rsidP="00837B44">
            <w:pPr>
              <w:jc w:val="both"/>
              <w:rPr>
                <w:sz w:val="18"/>
                <w:szCs w:val="18"/>
              </w:rPr>
            </w:pPr>
            <w:r w:rsidRPr="009223E0">
              <w:rPr>
                <w:sz w:val="18"/>
                <w:szCs w:val="18"/>
              </w:rPr>
              <w:t>WORDING FOR DIRECTO</w:t>
            </w:r>
            <w:r w:rsidR="00E35CD2">
              <w:rPr>
                <w:sz w:val="18"/>
                <w:szCs w:val="18"/>
              </w:rPr>
              <w:t>R</w:t>
            </w:r>
            <w:r w:rsidRPr="009223E0">
              <w:rPr>
                <w:sz w:val="18"/>
                <w:szCs w:val="18"/>
              </w:rPr>
              <w:t>ATES [</w:t>
            </w:r>
            <w:r w:rsidR="00837B44" w:rsidRPr="009223E0">
              <w:rPr>
                <w:sz w:val="18"/>
                <w:szCs w:val="18"/>
              </w:rPr>
              <w:t xml:space="preserve">The </w:t>
            </w:r>
            <w:r w:rsidR="00837B44" w:rsidRPr="009223E0">
              <w:rPr>
                <w:i/>
                <w:iCs/>
                <w:sz w:val="18"/>
                <w:szCs w:val="18"/>
              </w:rPr>
              <w:t>Financial Management Act 1996</w:t>
            </w:r>
            <w:r w:rsidR="00837B44" w:rsidRPr="009223E0">
              <w:rPr>
                <w:sz w:val="18"/>
                <w:szCs w:val="18"/>
              </w:rPr>
              <w:t xml:space="preserve"> (FMA) requires the preparation of annual financial statements for ACT Government </w:t>
            </w:r>
            <w:r w:rsidR="00923913" w:rsidRPr="009223E0">
              <w:rPr>
                <w:sz w:val="18"/>
                <w:szCs w:val="18"/>
              </w:rPr>
              <w:t>directorates</w:t>
            </w:r>
            <w:r w:rsidR="00837B44" w:rsidRPr="009223E0">
              <w:rPr>
                <w:sz w:val="18"/>
                <w:szCs w:val="18"/>
              </w:rPr>
              <w:t>.</w:t>
            </w:r>
            <w:r w:rsidR="00FA7C77">
              <w:rPr>
                <w:sz w:val="18"/>
                <w:szCs w:val="18"/>
              </w:rPr>
              <w:t xml:space="preserve"> </w:t>
            </w:r>
            <w:r w:rsidR="00837B44" w:rsidRPr="009223E0">
              <w:rPr>
                <w:rFonts w:cs="Calibri"/>
                <w:sz w:val="18"/>
                <w:szCs w:val="18"/>
              </w:rPr>
              <w:t xml:space="preserve">The FMA and the </w:t>
            </w:r>
            <w:r w:rsidR="00837B44" w:rsidRPr="009223E0">
              <w:rPr>
                <w:rFonts w:cs="Calibri"/>
                <w:i/>
                <w:iCs/>
                <w:sz w:val="18"/>
                <w:szCs w:val="18"/>
              </w:rPr>
              <w:t>Financial Management Guidelines</w:t>
            </w:r>
            <w:r w:rsidR="00837B44" w:rsidRPr="009223E0">
              <w:rPr>
                <w:rFonts w:cs="Calibri"/>
                <w:sz w:val="18"/>
                <w:szCs w:val="18"/>
              </w:rPr>
              <w:t xml:space="preserve"> issued under the Act, requires a </w:t>
            </w:r>
            <w:r w:rsidR="00923913" w:rsidRPr="009223E0">
              <w:rPr>
                <w:sz w:val="18"/>
                <w:szCs w:val="18"/>
              </w:rPr>
              <w:t>directorate’s</w:t>
            </w:r>
            <w:r w:rsidR="00923913" w:rsidRPr="009223E0">
              <w:rPr>
                <w:rFonts w:cs="Calibri"/>
                <w:sz w:val="18"/>
                <w:szCs w:val="18"/>
              </w:rPr>
              <w:t xml:space="preserve"> </w:t>
            </w:r>
            <w:r w:rsidR="00837B44" w:rsidRPr="009223E0">
              <w:rPr>
                <w:rFonts w:cs="Calibri"/>
                <w:sz w:val="18"/>
                <w:szCs w:val="18"/>
              </w:rPr>
              <w:t>financial statements to include:</w:t>
            </w:r>
          </w:p>
          <w:p w14:paraId="562F4981" w14:textId="77777777" w:rsidR="00837B44" w:rsidRPr="009223E0" w:rsidRDefault="00837B44" w:rsidP="007122BC">
            <w:pPr>
              <w:pStyle w:val="NotesNumber"/>
              <w:numPr>
                <w:ilvl w:val="0"/>
                <w:numId w:val="38"/>
              </w:numPr>
              <w:tabs>
                <w:tab w:val="num" w:pos="567"/>
                <w:tab w:val="left" w:pos="3306"/>
              </w:tabs>
              <w:jc w:val="both"/>
              <w:rPr>
                <w:rFonts w:cs="Calibri"/>
                <w:sz w:val="18"/>
                <w:szCs w:val="18"/>
              </w:rPr>
            </w:pPr>
            <w:r w:rsidRPr="009223E0">
              <w:rPr>
                <w:rFonts w:cs="Calibri"/>
                <w:sz w:val="18"/>
                <w:szCs w:val="18"/>
              </w:rPr>
              <w:t>an Operating Statement for the year;</w:t>
            </w:r>
          </w:p>
          <w:p w14:paraId="6F23C981" w14:textId="77777777" w:rsidR="00837B44" w:rsidRPr="009223E0" w:rsidRDefault="00837B44" w:rsidP="007122BC">
            <w:pPr>
              <w:pStyle w:val="NotesNumber"/>
              <w:numPr>
                <w:ilvl w:val="0"/>
                <w:numId w:val="38"/>
              </w:numPr>
              <w:tabs>
                <w:tab w:val="left" w:pos="531"/>
              </w:tabs>
              <w:jc w:val="both"/>
              <w:rPr>
                <w:sz w:val="18"/>
                <w:szCs w:val="18"/>
              </w:rPr>
            </w:pPr>
            <w:r w:rsidRPr="009223E0">
              <w:rPr>
                <w:sz w:val="18"/>
                <w:szCs w:val="18"/>
              </w:rPr>
              <w:t>a Balance Sheet at the end of the year;</w:t>
            </w:r>
          </w:p>
          <w:p w14:paraId="4AF64C6E" w14:textId="77777777" w:rsidR="00837B44" w:rsidRPr="009223E0" w:rsidRDefault="00837B44" w:rsidP="007122BC">
            <w:pPr>
              <w:pStyle w:val="NotesNumber"/>
              <w:numPr>
                <w:ilvl w:val="0"/>
                <w:numId w:val="38"/>
              </w:numPr>
              <w:tabs>
                <w:tab w:val="left" w:pos="531"/>
              </w:tabs>
              <w:jc w:val="both"/>
              <w:rPr>
                <w:sz w:val="18"/>
                <w:szCs w:val="18"/>
              </w:rPr>
            </w:pPr>
            <w:r w:rsidRPr="009223E0">
              <w:rPr>
                <w:sz w:val="18"/>
                <w:szCs w:val="18"/>
              </w:rPr>
              <w:t>a Statement of Changes in Equity for the year;</w:t>
            </w:r>
          </w:p>
          <w:p w14:paraId="65DEE775" w14:textId="77777777" w:rsidR="00837B44" w:rsidRPr="009223E0" w:rsidRDefault="00837B44" w:rsidP="007122BC">
            <w:pPr>
              <w:pStyle w:val="NotesNumber"/>
              <w:numPr>
                <w:ilvl w:val="0"/>
                <w:numId w:val="38"/>
              </w:numPr>
              <w:tabs>
                <w:tab w:val="left" w:pos="531"/>
              </w:tabs>
              <w:jc w:val="both"/>
              <w:rPr>
                <w:sz w:val="18"/>
                <w:szCs w:val="18"/>
              </w:rPr>
            </w:pPr>
            <w:r w:rsidRPr="009223E0">
              <w:rPr>
                <w:sz w:val="18"/>
                <w:szCs w:val="18"/>
              </w:rPr>
              <w:t xml:space="preserve">a </w:t>
            </w:r>
            <w:r w:rsidRPr="009223E0">
              <w:rPr>
                <w:rFonts w:cs="Calibri"/>
                <w:sz w:val="18"/>
                <w:szCs w:val="18"/>
              </w:rPr>
              <w:t xml:space="preserve">Statement of Cash Flows </w:t>
            </w:r>
            <w:r w:rsidRPr="009223E0">
              <w:rPr>
                <w:sz w:val="18"/>
                <w:szCs w:val="18"/>
              </w:rPr>
              <w:t>for the year;</w:t>
            </w:r>
          </w:p>
          <w:p w14:paraId="336268FE" w14:textId="77777777" w:rsidR="00837B44" w:rsidRPr="009223E0" w:rsidRDefault="00837B44" w:rsidP="007122BC">
            <w:pPr>
              <w:pStyle w:val="NotesNumber"/>
              <w:numPr>
                <w:ilvl w:val="0"/>
                <w:numId w:val="38"/>
              </w:numPr>
              <w:tabs>
                <w:tab w:val="left" w:pos="531"/>
              </w:tabs>
              <w:jc w:val="both"/>
              <w:rPr>
                <w:sz w:val="18"/>
                <w:szCs w:val="18"/>
              </w:rPr>
            </w:pPr>
            <w:r w:rsidRPr="009223E0">
              <w:rPr>
                <w:sz w:val="18"/>
                <w:szCs w:val="18"/>
              </w:rPr>
              <w:t>a Statement of Appropriation for the year;</w:t>
            </w:r>
          </w:p>
          <w:p w14:paraId="6162AAEB" w14:textId="29E4F8D6" w:rsidR="00837B44" w:rsidRPr="009223E0" w:rsidRDefault="00837B44" w:rsidP="007122BC">
            <w:pPr>
              <w:pStyle w:val="NotesNumber"/>
              <w:numPr>
                <w:ilvl w:val="0"/>
                <w:numId w:val="38"/>
              </w:numPr>
              <w:tabs>
                <w:tab w:val="left" w:pos="531"/>
              </w:tabs>
              <w:jc w:val="both"/>
              <w:rPr>
                <w:sz w:val="18"/>
                <w:szCs w:val="18"/>
              </w:rPr>
            </w:pPr>
            <w:r w:rsidRPr="009223E0">
              <w:rPr>
                <w:sz w:val="18"/>
                <w:szCs w:val="18"/>
              </w:rPr>
              <w:t>an Operating Statement for each class of output for the year</w:t>
            </w:r>
            <w:r w:rsidR="009A6FC9" w:rsidRPr="009223E0">
              <w:rPr>
                <w:sz w:val="18"/>
                <w:szCs w:val="18"/>
              </w:rPr>
              <w:t xml:space="preserve"> (excluding Other Comprehensive Income)</w:t>
            </w:r>
            <w:r w:rsidRPr="009223E0">
              <w:rPr>
                <w:sz w:val="18"/>
                <w:szCs w:val="18"/>
              </w:rPr>
              <w:t>;</w:t>
            </w:r>
          </w:p>
          <w:p w14:paraId="2143E0A0" w14:textId="6D20EEFF" w:rsidR="00837B44" w:rsidRDefault="00837B44" w:rsidP="007122BC">
            <w:pPr>
              <w:pStyle w:val="NotesNumber"/>
              <w:numPr>
                <w:ilvl w:val="0"/>
                <w:numId w:val="38"/>
              </w:numPr>
              <w:tabs>
                <w:tab w:val="left" w:pos="531"/>
              </w:tabs>
              <w:jc w:val="both"/>
              <w:rPr>
                <w:sz w:val="18"/>
                <w:szCs w:val="18"/>
              </w:rPr>
            </w:pPr>
            <w:r w:rsidRPr="009223E0">
              <w:rPr>
                <w:sz w:val="18"/>
                <w:szCs w:val="18"/>
              </w:rPr>
              <w:t xml:space="preserve">the </w:t>
            </w:r>
            <w:r w:rsidR="003401FB" w:rsidRPr="009223E0">
              <w:rPr>
                <w:sz w:val="18"/>
                <w:szCs w:val="18"/>
              </w:rPr>
              <w:t xml:space="preserve">material </w:t>
            </w:r>
            <w:r w:rsidRPr="009223E0">
              <w:rPr>
                <w:sz w:val="18"/>
                <w:szCs w:val="18"/>
              </w:rPr>
              <w:t>accounting policies adopted for the year; and</w:t>
            </w:r>
          </w:p>
          <w:p w14:paraId="54C1E3A8" w14:textId="0090CD11" w:rsidR="004D22C6" w:rsidRPr="009223E0" w:rsidRDefault="00837B44" w:rsidP="007122BC">
            <w:pPr>
              <w:pStyle w:val="NotesNumber"/>
              <w:numPr>
                <w:ilvl w:val="0"/>
                <w:numId w:val="38"/>
              </w:numPr>
              <w:tabs>
                <w:tab w:val="left" w:pos="531"/>
              </w:tabs>
              <w:jc w:val="both"/>
              <w:rPr>
                <w:sz w:val="18"/>
                <w:szCs w:val="18"/>
              </w:rPr>
            </w:pPr>
            <w:r w:rsidRPr="009223E0">
              <w:rPr>
                <w:rFonts w:cs="Calibri"/>
                <w:sz w:val="18"/>
                <w:szCs w:val="18"/>
              </w:rPr>
              <w:t>other statements as necessary to fairly reflect the financial operations of the agency during the year and its financial position at the end of the year.</w:t>
            </w:r>
            <w:r w:rsidR="00727200" w:rsidRPr="009223E0">
              <w:rPr>
                <w:rFonts w:cs="Calibri"/>
                <w:sz w:val="18"/>
                <w:szCs w:val="18"/>
              </w:rPr>
              <w:t>]</w:t>
            </w:r>
            <w:r w:rsidRPr="009223E0">
              <w:rPr>
                <w:rFonts w:cs="Calibri"/>
                <w:sz w:val="18"/>
                <w:szCs w:val="18"/>
              </w:rPr>
              <w:t xml:space="preserve"> </w:t>
            </w:r>
          </w:p>
        </w:tc>
      </w:tr>
      <w:tr w:rsidR="00727200" w:rsidRPr="00CF7E1B" w14:paraId="77AF9225" w14:textId="77777777" w:rsidTr="00B513E5">
        <w:tc>
          <w:tcPr>
            <w:tcW w:w="745" w:type="pct"/>
            <w:tcBorders>
              <w:top w:val="nil"/>
              <w:left w:val="single" w:sz="2" w:space="0" w:color="auto"/>
              <w:bottom w:val="nil"/>
              <w:right w:val="single" w:sz="2" w:space="0" w:color="auto"/>
            </w:tcBorders>
          </w:tcPr>
          <w:p w14:paraId="42F03DBB" w14:textId="77777777" w:rsidR="00727200" w:rsidRPr="009223E0" w:rsidRDefault="00727200" w:rsidP="00A229DC">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4ECC2303" w14:textId="3F11489A" w:rsidR="00727200" w:rsidRPr="009223E0" w:rsidRDefault="00727200" w:rsidP="00727200">
            <w:pPr>
              <w:jc w:val="both"/>
              <w:rPr>
                <w:color w:val="2E74B5" w:themeColor="accent1" w:themeShade="BF"/>
                <w:sz w:val="18"/>
                <w:szCs w:val="18"/>
              </w:rPr>
            </w:pPr>
            <w:r w:rsidRPr="009223E0">
              <w:rPr>
                <w:color w:val="2E74B5" w:themeColor="accent1" w:themeShade="BF"/>
                <w:sz w:val="18"/>
                <w:szCs w:val="18"/>
              </w:rPr>
              <w:t xml:space="preserve">WORDING FOR TERRITORY AUTHORITIES [The </w:t>
            </w:r>
            <w:r w:rsidRPr="009223E0">
              <w:rPr>
                <w:i/>
                <w:iCs/>
                <w:color w:val="2E74B5" w:themeColor="accent1" w:themeShade="BF"/>
                <w:sz w:val="18"/>
                <w:szCs w:val="18"/>
              </w:rPr>
              <w:t>Financial Management Act 1996</w:t>
            </w:r>
            <w:r w:rsidRPr="009223E0">
              <w:rPr>
                <w:color w:val="2E74B5" w:themeColor="accent1" w:themeShade="BF"/>
                <w:sz w:val="18"/>
                <w:szCs w:val="18"/>
              </w:rPr>
              <w:t xml:space="preserve"> (FMA) requires the preparation of annual financial statements for ACT Government territory authorities.</w:t>
            </w:r>
            <w:r w:rsidR="00FA7C77">
              <w:rPr>
                <w:color w:val="2E74B5" w:themeColor="accent1" w:themeShade="BF"/>
                <w:sz w:val="18"/>
                <w:szCs w:val="18"/>
              </w:rPr>
              <w:t xml:space="preserve"> </w:t>
            </w:r>
            <w:r w:rsidRPr="009223E0">
              <w:rPr>
                <w:rFonts w:cs="Calibri"/>
                <w:color w:val="2E74B5" w:themeColor="accent1" w:themeShade="BF"/>
                <w:sz w:val="18"/>
                <w:szCs w:val="18"/>
              </w:rPr>
              <w:t xml:space="preserve">The FMA and the </w:t>
            </w:r>
            <w:r w:rsidRPr="009223E0">
              <w:rPr>
                <w:rFonts w:cs="Calibri"/>
                <w:i/>
                <w:iCs/>
                <w:color w:val="2E74B5" w:themeColor="accent1" w:themeShade="BF"/>
                <w:sz w:val="18"/>
                <w:szCs w:val="18"/>
              </w:rPr>
              <w:t>Financial Management Guidelines</w:t>
            </w:r>
            <w:r w:rsidRPr="009223E0">
              <w:rPr>
                <w:rFonts w:cs="Calibri"/>
                <w:color w:val="2E74B5" w:themeColor="accent1" w:themeShade="BF"/>
                <w:sz w:val="18"/>
                <w:szCs w:val="18"/>
              </w:rPr>
              <w:t xml:space="preserve"> issued under the Act, requires a territory authority</w:t>
            </w:r>
            <w:r w:rsidRPr="009223E0">
              <w:rPr>
                <w:color w:val="2E74B5" w:themeColor="accent1" w:themeShade="BF"/>
                <w:sz w:val="18"/>
                <w:szCs w:val="18"/>
              </w:rPr>
              <w:t>’s</w:t>
            </w:r>
            <w:r w:rsidRPr="009223E0">
              <w:rPr>
                <w:rFonts w:cs="Calibri"/>
                <w:color w:val="2E74B5" w:themeColor="accent1" w:themeShade="BF"/>
                <w:sz w:val="18"/>
                <w:szCs w:val="18"/>
              </w:rPr>
              <w:t xml:space="preserve"> financial statements to include:</w:t>
            </w:r>
          </w:p>
          <w:p w14:paraId="086817B7" w14:textId="77777777" w:rsidR="00727200" w:rsidRPr="009223E0" w:rsidRDefault="00727200" w:rsidP="007122BC">
            <w:pPr>
              <w:pStyle w:val="NotesNumber"/>
              <w:numPr>
                <w:ilvl w:val="0"/>
                <w:numId w:val="74"/>
              </w:numPr>
              <w:tabs>
                <w:tab w:val="left" w:pos="3306"/>
              </w:tabs>
              <w:jc w:val="both"/>
              <w:rPr>
                <w:rFonts w:cs="Calibri"/>
                <w:color w:val="2E74B5" w:themeColor="accent1" w:themeShade="BF"/>
                <w:sz w:val="18"/>
                <w:szCs w:val="18"/>
              </w:rPr>
            </w:pPr>
            <w:r w:rsidRPr="009223E0">
              <w:rPr>
                <w:rFonts w:cs="Calibri"/>
                <w:color w:val="2E74B5" w:themeColor="accent1" w:themeShade="BF"/>
                <w:sz w:val="18"/>
                <w:szCs w:val="18"/>
              </w:rPr>
              <w:t>an Operating Statement for the year;</w:t>
            </w:r>
          </w:p>
          <w:p w14:paraId="1C6270FE" w14:textId="77777777" w:rsidR="00727200" w:rsidRPr="009223E0" w:rsidRDefault="00727200" w:rsidP="007122BC">
            <w:pPr>
              <w:pStyle w:val="NotesNumber"/>
              <w:numPr>
                <w:ilvl w:val="0"/>
                <w:numId w:val="74"/>
              </w:numPr>
              <w:tabs>
                <w:tab w:val="left" w:pos="531"/>
              </w:tabs>
              <w:jc w:val="both"/>
              <w:rPr>
                <w:color w:val="2E74B5" w:themeColor="accent1" w:themeShade="BF"/>
                <w:sz w:val="18"/>
                <w:szCs w:val="18"/>
              </w:rPr>
            </w:pPr>
            <w:r w:rsidRPr="009223E0">
              <w:rPr>
                <w:color w:val="2E74B5" w:themeColor="accent1" w:themeShade="BF"/>
                <w:sz w:val="18"/>
                <w:szCs w:val="18"/>
              </w:rPr>
              <w:t>a Balance Sheet at the end of the year;</w:t>
            </w:r>
          </w:p>
          <w:p w14:paraId="07958BE1" w14:textId="77777777" w:rsidR="00727200" w:rsidRPr="009223E0" w:rsidRDefault="00727200" w:rsidP="007122BC">
            <w:pPr>
              <w:pStyle w:val="NotesNumber"/>
              <w:numPr>
                <w:ilvl w:val="0"/>
                <w:numId w:val="74"/>
              </w:numPr>
              <w:tabs>
                <w:tab w:val="left" w:pos="531"/>
              </w:tabs>
              <w:jc w:val="both"/>
              <w:rPr>
                <w:color w:val="2E74B5" w:themeColor="accent1" w:themeShade="BF"/>
                <w:sz w:val="18"/>
                <w:szCs w:val="18"/>
              </w:rPr>
            </w:pPr>
            <w:r w:rsidRPr="009223E0">
              <w:rPr>
                <w:color w:val="2E74B5" w:themeColor="accent1" w:themeShade="BF"/>
                <w:sz w:val="18"/>
                <w:szCs w:val="18"/>
              </w:rPr>
              <w:t>a Statement of Changes in Equity for the year;</w:t>
            </w:r>
          </w:p>
          <w:p w14:paraId="0F23F4C8" w14:textId="77777777" w:rsidR="00727200" w:rsidRPr="009223E0" w:rsidRDefault="00727200" w:rsidP="007122BC">
            <w:pPr>
              <w:pStyle w:val="NotesNumber"/>
              <w:numPr>
                <w:ilvl w:val="0"/>
                <w:numId w:val="74"/>
              </w:numPr>
              <w:tabs>
                <w:tab w:val="left" w:pos="531"/>
              </w:tabs>
              <w:jc w:val="both"/>
              <w:rPr>
                <w:color w:val="2E74B5" w:themeColor="accent1" w:themeShade="BF"/>
                <w:sz w:val="18"/>
                <w:szCs w:val="18"/>
              </w:rPr>
            </w:pPr>
            <w:r w:rsidRPr="009223E0">
              <w:rPr>
                <w:color w:val="2E74B5" w:themeColor="accent1" w:themeShade="BF"/>
                <w:sz w:val="18"/>
                <w:szCs w:val="18"/>
              </w:rPr>
              <w:t xml:space="preserve">a </w:t>
            </w:r>
            <w:r w:rsidRPr="009223E0">
              <w:rPr>
                <w:rFonts w:cs="Calibri"/>
                <w:color w:val="2E74B5" w:themeColor="accent1" w:themeShade="BF"/>
                <w:sz w:val="18"/>
                <w:szCs w:val="18"/>
              </w:rPr>
              <w:t xml:space="preserve">Statement of Cash Flows </w:t>
            </w:r>
            <w:r w:rsidRPr="009223E0">
              <w:rPr>
                <w:color w:val="2E74B5" w:themeColor="accent1" w:themeShade="BF"/>
                <w:sz w:val="18"/>
                <w:szCs w:val="18"/>
              </w:rPr>
              <w:t>for the year;</w:t>
            </w:r>
          </w:p>
          <w:p w14:paraId="71725F6A" w14:textId="64DACFA7" w:rsidR="00727200" w:rsidRPr="009223E0" w:rsidRDefault="00727200" w:rsidP="007122BC">
            <w:pPr>
              <w:pStyle w:val="NotesNumber"/>
              <w:numPr>
                <w:ilvl w:val="0"/>
                <w:numId w:val="74"/>
              </w:numPr>
              <w:tabs>
                <w:tab w:val="left" w:pos="531"/>
              </w:tabs>
              <w:jc w:val="both"/>
              <w:rPr>
                <w:color w:val="2E74B5" w:themeColor="accent1" w:themeShade="BF"/>
                <w:sz w:val="18"/>
                <w:szCs w:val="18"/>
              </w:rPr>
            </w:pPr>
            <w:r w:rsidRPr="009223E0">
              <w:rPr>
                <w:color w:val="2E74B5" w:themeColor="accent1" w:themeShade="BF"/>
                <w:sz w:val="18"/>
                <w:szCs w:val="18"/>
              </w:rPr>
              <w:t xml:space="preserve">a Statement of Appropriation for the year </w:t>
            </w:r>
            <w:r w:rsidR="0083392E" w:rsidRPr="009223E0">
              <w:rPr>
                <w:color w:val="2E74B5" w:themeColor="accent1" w:themeShade="BF"/>
                <w:sz w:val="18"/>
                <w:szCs w:val="18"/>
              </w:rPr>
              <w:t>[</w:t>
            </w:r>
            <w:r w:rsidRPr="009223E0">
              <w:rPr>
                <w:color w:val="2E74B5" w:themeColor="accent1" w:themeShade="BF"/>
                <w:sz w:val="18"/>
                <w:szCs w:val="18"/>
              </w:rPr>
              <w:t>where relevant];</w:t>
            </w:r>
          </w:p>
          <w:p w14:paraId="4BC35FA4" w14:textId="1B7EBCCB" w:rsidR="00727200" w:rsidRDefault="00727200" w:rsidP="007122BC">
            <w:pPr>
              <w:pStyle w:val="NotesNumber"/>
              <w:numPr>
                <w:ilvl w:val="0"/>
                <w:numId w:val="74"/>
              </w:numPr>
              <w:tabs>
                <w:tab w:val="left" w:pos="531"/>
              </w:tabs>
              <w:jc w:val="both"/>
              <w:rPr>
                <w:color w:val="2E74B5" w:themeColor="accent1" w:themeShade="BF"/>
                <w:sz w:val="18"/>
                <w:szCs w:val="18"/>
              </w:rPr>
            </w:pPr>
            <w:r w:rsidRPr="009223E0">
              <w:rPr>
                <w:color w:val="2E74B5" w:themeColor="accent1" w:themeShade="BF"/>
                <w:sz w:val="18"/>
                <w:szCs w:val="18"/>
              </w:rPr>
              <w:t>an Operating Statement for each class of output for the year (excluding Other Comprehensive Income) [where the Authority is a prescribed Territory Authority]; and</w:t>
            </w:r>
          </w:p>
          <w:p w14:paraId="157D0182" w14:textId="4E17AB2A" w:rsidR="00727200" w:rsidRPr="009223E0" w:rsidRDefault="00727200" w:rsidP="007122BC">
            <w:pPr>
              <w:pStyle w:val="NotesNumber"/>
              <w:numPr>
                <w:ilvl w:val="0"/>
                <w:numId w:val="74"/>
              </w:numPr>
              <w:tabs>
                <w:tab w:val="left" w:pos="531"/>
              </w:tabs>
              <w:jc w:val="both"/>
              <w:rPr>
                <w:color w:val="2E74B5" w:themeColor="accent1" w:themeShade="BF"/>
                <w:sz w:val="18"/>
                <w:szCs w:val="18"/>
              </w:rPr>
            </w:pPr>
            <w:r w:rsidRPr="009223E0">
              <w:rPr>
                <w:rFonts w:cs="Calibri"/>
                <w:color w:val="2E74B5" w:themeColor="accent1" w:themeShade="BF"/>
                <w:sz w:val="18"/>
                <w:szCs w:val="18"/>
              </w:rPr>
              <w:t>other statements as necessary to fairly reflect the financial operations of the agency during the year and its financial position at the end of the year.]</w:t>
            </w:r>
          </w:p>
        </w:tc>
      </w:tr>
      <w:tr w:rsidR="00572938" w:rsidRPr="00CF7E1B" w14:paraId="488A5230" w14:textId="77777777" w:rsidTr="00B513E5">
        <w:tc>
          <w:tcPr>
            <w:tcW w:w="745" w:type="pct"/>
            <w:tcBorders>
              <w:top w:val="nil"/>
              <w:left w:val="single" w:sz="2" w:space="0" w:color="auto"/>
              <w:bottom w:val="nil"/>
              <w:right w:val="single" w:sz="2" w:space="0" w:color="auto"/>
            </w:tcBorders>
          </w:tcPr>
          <w:p w14:paraId="79A96F6F" w14:textId="63A82C7C" w:rsidR="00572938" w:rsidRPr="009223E0" w:rsidRDefault="00572938">
            <w:pPr>
              <w:pStyle w:val="TableReference"/>
              <w:tabs>
                <w:tab w:val="left" w:pos="3306"/>
              </w:tabs>
              <w:spacing w:before="60"/>
              <w:rPr>
                <w:color w:val="7030A0"/>
                <w:sz w:val="14"/>
              </w:rPr>
            </w:pPr>
            <w:r w:rsidRPr="009223E0">
              <w:rPr>
                <w:color w:val="7030A0"/>
                <w:sz w:val="14"/>
              </w:rPr>
              <w:t>AASB 101.10(e), AASB 1054.7 &amp; 9, FMA 27(2) &amp; 63(2)</w:t>
            </w:r>
          </w:p>
        </w:tc>
        <w:tc>
          <w:tcPr>
            <w:tcW w:w="4255" w:type="pct"/>
            <w:tcBorders>
              <w:top w:val="nil"/>
              <w:left w:val="single" w:sz="2" w:space="0" w:color="auto"/>
              <w:bottom w:val="nil"/>
              <w:right w:val="nil"/>
            </w:tcBorders>
          </w:tcPr>
          <w:p w14:paraId="063E01B8" w14:textId="77777777" w:rsidR="00572938" w:rsidRPr="009223E0" w:rsidRDefault="00572938" w:rsidP="00572938">
            <w:pPr>
              <w:jc w:val="both"/>
              <w:rPr>
                <w:sz w:val="18"/>
                <w:szCs w:val="18"/>
              </w:rPr>
            </w:pPr>
            <w:r w:rsidRPr="009223E0">
              <w:rPr>
                <w:sz w:val="18"/>
                <w:szCs w:val="18"/>
              </w:rPr>
              <w:t xml:space="preserve">These general purpose financial statements have been prepared in accordance with: </w:t>
            </w:r>
          </w:p>
          <w:p w14:paraId="13D491F0" w14:textId="1BEC1102" w:rsidR="00572938" w:rsidRPr="009223E0" w:rsidRDefault="00572938" w:rsidP="007122BC">
            <w:pPr>
              <w:pStyle w:val="NotesNumber"/>
              <w:numPr>
                <w:ilvl w:val="0"/>
                <w:numId w:val="39"/>
              </w:numPr>
              <w:tabs>
                <w:tab w:val="left" w:pos="457"/>
                <w:tab w:val="left" w:pos="1026"/>
              </w:tabs>
              <w:jc w:val="both"/>
              <w:rPr>
                <w:rFonts w:cs="Calibri"/>
                <w:sz w:val="18"/>
                <w:szCs w:val="18"/>
              </w:rPr>
            </w:pPr>
            <w:r w:rsidRPr="009223E0">
              <w:rPr>
                <w:rFonts w:cs="Calibri"/>
                <w:sz w:val="18"/>
                <w:szCs w:val="18"/>
              </w:rPr>
              <w:t xml:space="preserve">Australian Accounting Standards (as required by the FMA); </w:t>
            </w:r>
          </w:p>
          <w:p w14:paraId="5CEF7077" w14:textId="145B32D8" w:rsidR="00572938" w:rsidRPr="002712C9" w:rsidRDefault="00572938" w:rsidP="007122BC">
            <w:pPr>
              <w:pStyle w:val="NotesNumber"/>
              <w:numPr>
                <w:ilvl w:val="0"/>
                <w:numId w:val="39"/>
              </w:numPr>
              <w:tabs>
                <w:tab w:val="left" w:pos="457"/>
                <w:tab w:val="left" w:pos="1026"/>
              </w:tabs>
              <w:ind w:left="357" w:hanging="357"/>
              <w:jc w:val="both"/>
              <w:rPr>
                <w:rFonts w:cs="Calibri"/>
                <w:color w:val="538135" w:themeColor="accent6" w:themeShade="BF"/>
                <w:sz w:val="18"/>
                <w:szCs w:val="18"/>
              </w:rPr>
            </w:pPr>
            <w:r w:rsidRPr="009223E0">
              <w:rPr>
                <w:color w:val="2E74B5" w:themeColor="accent1" w:themeShade="BF"/>
                <w:sz w:val="18"/>
                <w:szCs w:val="18"/>
              </w:rPr>
              <w:t xml:space="preserve">International Financial Reporting Standards [Only relates to </w:t>
            </w:r>
            <w:r w:rsidR="00875394" w:rsidRPr="009223E0">
              <w:rPr>
                <w:color w:val="2E74B5" w:themeColor="accent1" w:themeShade="BF"/>
                <w:sz w:val="18"/>
                <w:szCs w:val="18"/>
              </w:rPr>
              <w:t>For-Profit Entities</w:t>
            </w:r>
            <w:r w:rsidRPr="009223E0">
              <w:rPr>
                <w:color w:val="2E74B5" w:themeColor="accent1" w:themeShade="BF"/>
                <w:sz w:val="18"/>
                <w:szCs w:val="18"/>
              </w:rPr>
              <w:t>]</w:t>
            </w:r>
            <w:r w:rsidRPr="009223E0">
              <w:rPr>
                <w:sz w:val="18"/>
                <w:szCs w:val="18"/>
              </w:rPr>
              <w:t>;</w:t>
            </w:r>
            <w:r w:rsidR="00A229DC" w:rsidRPr="009223E0">
              <w:rPr>
                <w:rFonts w:cs="Calibri"/>
                <w:sz w:val="18"/>
                <w:szCs w:val="18"/>
              </w:rPr>
              <w:t xml:space="preserve"> and</w:t>
            </w:r>
          </w:p>
          <w:p w14:paraId="7424F2FA" w14:textId="7C943081" w:rsidR="00572938" w:rsidRPr="002712C9" w:rsidRDefault="00572938" w:rsidP="007122BC">
            <w:pPr>
              <w:pStyle w:val="NotesNumber"/>
              <w:numPr>
                <w:ilvl w:val="0"/>
                <w:numId w:val="39"/>
              </w:numPr>
              <w:tabs>
                <w:tab w:val="left" w:pos="457"/>
                <w:tab w:val="left" w:pos="1026"/>
              </w:tabs>
              <w:ind w:left="357" w:hanging="357"/>
              <w:jc w:val="both"/>
              <w:rPr>
                <w:rFonts w:cs="Calibri"/>
                <w:color w:val="538135" w:themeColor="accent6" w:themeShade="BF"/>
                <w:sz w:val="18"/>
                <w:szCs w:val="18"/>
              </w:rPr>
            </w:pPr>
            <w:r w:rsidRPr="009223E0">
              <w:rPr>
                <w:rFonts w:cs="Calibri"/>
                <w:sz w:val="18"/>
                <w:szCs w:val="18"/>
              </w:rPr>
              <w:t>ACT Accounting and Disclosure Policies.</w:t>
            </w:r>
          </w:p>
        </w:tc>
      </w:tr>
      <w:tr w:rsidR="003F3191" w:rsidRPr="00CF7E1B" w14:paraId="05E4A786" w14:textId="77777777" w:rsidTr="00B513E5">
        <w:tc>
          <w:tcPr>
            <w:tcW w:w="745" w:type="pct"/>
            <w:tcBorders>
              <w:top w:val="nil"/>
              <w:left w:val="single" w:sz="2" w:space="0" w:color="auto"/>
              <w:bottom w:val="nil"/>
              <w:right w:val="single" w:sz="2" w:space="0" w:color="auto"/>
            </w:tcBorders>
          </w:tcPr>
          <w:p w14:paraId="26607E24" w14:textId="77777777" w:rsidR="003F3191" w:rsidRPr="007D393C" w:rsidRDefault="003F3191">
            <w:pPr>
              <w:pStyle w:val="TableReference"/>
              <w:tabs>
                <w:tab w:val="left" w:pos="3306"/>
              </w:tabs>
              <w:spacing w:before="60"/>
              <w:rPr>
                <w:color w:val="538135" w:themeColor="accent6" w:themeShade="BF"/>
                <w:sz w:val="14"/>
              </w:rPr>
            </w:pPr>
          </w:p>
        </w:tc>
        <w:tc>
          <w:tcPr>
            <w:tcW w:w="4255" w:type="pct"/>
            <w:tcBorders>
              <w:top w:val="nil"/>
              <w:left w:val="single" w:sz="2" w:space="0" w:color="auto"/>
              <w:bottom w:val="nil"/>
              <w:right w:val="nil"/>
            </w:tcBorders>
          </w:tcPr>
          <w:p w14:paraId="5ED3FED9" w14:textId="77777777" w:rsidR="003F3191" w:rsidRPr="002712C9" w:rsidRDefault="003F3191" w:rsidP="00837B44">
            <w:pPr>
              <w:jc w:val="both"/>
              <w:rPr>
                <w:color w:val="538135" w:themeColor="accent6" w:themeShade="BF"/>
                <w:sz w:val="18"/>
                <w:szCs w:val="18"/>
              </w:rPr>
            </w:pPr>
          </w:p>
        </w:tc>
      </w:tr>
      <w:tr w:rsidR="00020D40" w:rsidRPr="00CF7E1B" w14:paraId="1AA33C60" w14:textId="77777777" w:rsidTr="00B513E5">
        <w:tc>
          <w:tcPr>
            <w:tcW w:w="745" w:type="pct"/>
            <w:tcBorders>
              <w:top w:val="nil"/>
              <w:left w:val="single" w:sz="2" w:space="0" w:color="auto"/>
              <w:bottom w:val="nil"/>
              <w:right w:val="single" w:sz="2" w:space="0" w:color="auto"/>
            </w:tcBorders>
          </w:tcPr>
          <w:p w14:paraId="1C350C86" w14:textId="2B5AD29B" w:rsidR="00020D40" w:rsidRPr="007D393C" w:rsidRDefault="00020D40" w:rsidP="00F22D61">
            <w:pPr>
              <w:pStyle w:val="TableReference"/>
              <w:tabs>
                <w:tab w:val="left" w:pos="3306"/>
              </w:tabs>
              <w:spacing w:before="120"/>
              <w:rPr>
                <w:rFonts w:cs="Calibri"/>
                <w:color w:val="auto"/>
                <w:sz w:val="14"/>
              </w:rPr>
            </w:pPr>
            <w:r w:rsidRPr="009223E0">
              <w:rPr>
                <w:rFonts w:cs="Calibri"/>
                <w:b/>
                <w:color w:val="7030A0"/>
                <w:sz w:val="22"/>
                <w:szCs w:val="22"/>
              </w:rPr>
              <w:t>Reference</w:t>
            </w:r>
          </w:p>
        </w:tc>
        <w:tc>
          <w:tcPr>
            <w:tcW w:w="4255" w:type="pct"/>
            <w:tcBorders>
              <w:top w:val="nil"/>
              <w:left w:val="single" w:sz="2" w:space="0" w:color="auto"/>
              <w:bottom w:val="nil"/>
              <w:right w:val="nil"/>
            </w:tcBorders>
          </w:tcPr>
          <w:p w14:paraId="3A2E3B3C" w14:textId="6EEA8FC0" w:rsidR="00020D40" w:rsidRPr="00E35CD2" w:rsidRDefault="00020D40" w:rsidP="00F22D61">
            <w:pPr>
              <w:pStyle w:val="Heading2"/>
              <w:numPr>
                <w:ilvl w:val="0"/>
                <w:numId w:val="0"/>
              </w:numPr>
              <w:spacing w:before="120"/>
              <w:ind w:left="34"/>
              <w:rPr>
                <w:rFonts w:asciiTheme="minorHAnsi" w:hAnsiTheme="minorHAnsi" w:cstheme="minorHAnsi"/>
                <w:sz w:val="36"/>
                <w:szCs w:val="36"/>
              </w:rPr>
            </w:pPr>
            <w:bookmarkStart w:id="299" w:name="_Toc98763038"/>
            <w:r w:rsidRPr="00E35CD2">
              <w:rPr>
                <w:rFonts w:asciiTheme="minorHAnsi" w:hAnsiTheme="minorHAnsi" w:cstheme="minorHAnsi"/>
                <w:sz w:val="36"/>
                <w:szCs w:val="36"/>
              </w:rPr>
              <w:t>Note 2. Basis of Preparation of the Financial Statements</w:t>
            </w:r>
            <w:r w:rsidR="003E4058">
              <w:rPr>
                <w:rFonts w:asciiTheme="minorHAnsi" w:hAnsiTheme="minorHAnsi" w:cstheme="minorHAnsi"/>
                <w:sz w:val="36"/>
                <w:szCs w:val="36"/>
              </w:rPr>
              <w:t xml:space="preserve"> –</w:t>
            </w:r>
            <w:r w:rsidRPr="00E35CD2">
              <w:rPr>
                <w:rFonts w:asciiTheme="minorHAnsi" w:hAnsiTheme="minorHAnsi" w:cstheme="minorHAnsi"/>
                <w:sz w:val="36"/>
                <w:szCs w:val="36"/>
              </w:rPr>
              <w:t xml:space="preserve"> Continued</w:t>
            </w:r>
            <w:bookmarkEnd w:id="299"/>
            <w:r w:rsidR="003E4058">
              <w:rPr>
                <w:rFonts w:asciiTheme="minorHAnsi" w:hAnsiTheme="minorHAnsi" w:cstheme="minorHAnsi"/>
                <w:sz w:val="36"/>
                <w:szCs w:val="36"/>
              </w:rPr>
              <w:t xml:space="preserve"> </w:t>
            </w:r>
          </w:p>
        </w:tc>
      </w:tr>
      <w:tr w:rsidR="00837B44" w:rsidRPr="00CF7E1B" w14:paraId="41632920" w14:textId="77777777" w:rsidTr="00B513E5">
        <w:tc>
          <w:tcPr>
            <w:tcW w:w="745" w:type="pct"/>
            <w:tcBorders>
              <w:top w:val="nil"/>
              <w:left w:val="single" w:sz="2" w:space="0" w:color="auto"/>
              <w:bottom w:val="nil"/>
              <w:right w:val="single" w:sz="2" w:space="0" w:color="auto"/>
            </w:tcBorders>
          </w:tcPr>
          <w:p w14:paraId="722C1171" w14:textId="77777777" w:rsidR="00837B44" w:rsidRPr="007D393C" w:rsidRDefault="00837B44">
            <w:pPr>
              <w:pStyle w:val="TableReference"/>
              <w:tabs>
                <w:tab w:val="left" w:pos="3306"/>
              </w:tabs>
              <w:spacing w:before="60"/>
              <w:rPr>
                <w:rFonts w:cs="Calibri"/>
                <w:color w:val="auto"/>
                <w:sz w:val="14"/>
              </w:rPr>
            </w:pPr>
          </w:p>
        </w:tc>
        <w:tc>
          <w:tcPr>
            <w:tcW w:w="4255" w:type="pct"/>
            <w:tcBorders>
              <w:top w:val="nil"/>
              <w:left w:val="single" w:sz="2" w:space="0" w:color="auto"/>
              <w:bottom w:val="nil"/>
              <w:right w:val="nil"/>
            </w:tcBorders>
          </w:tcPr>
          <w:p w14:paraId="1FA6143D" w14:textId="25890458" w:rsidR="00837B44" w:rsidRPr="00020D40" w:rsidRDefault="004D22C6" w:rsidP="006B6955">
            <w:pPr>
              <w:jc w:val="both"/>
              <w:rPr>
                <w:sz w:val="18"/>
                <w:szCs w:val="18"/>
              </w:rPr>
            </w:pPr>
            <w:r w:rsidRPr="00020D40">
              <w:rPr>
                <w:rFonts w:cs="Calibri"/>
                <w:b/>
                <w:bCs/>
                <w:sz w:val="18"/>
                <w:szCs w:val="18"/>
              </w:rPr>
              <w:t>Accrual Accounting</w:t>
            </w:r>
          </w:p>
        </w:tc>
      </w:tr>
      <w:tr w:rsidR="004D22C6" w:rsidRPr="00CF7E1B" w14:paraId="6CA79737" w14:textId="77777777" w:rsidTr="00B513E5">
        <w:tc>
          <w:tcPr>
            <w:tcW w:w="745" w:type="pct"/>
            <w:tcBorders>
              <w:top w:val="nil"/>
              <w:left w:val="single" w:sz="2" w:space="0" w:color="auto"/>
              <w:bottom w:val="nil"/>
              <w:right w:val="single" w:sz="2" w:space="0" w:color="auto"/>
            </w:tcBorders>
          </w:tcPr>
          <w:p w14:paraId="398E7D6D" w14:textId="368CD5B2" w:rsidR="004D22C6" w:rsidRPr="00020D40" w:rsidRDefault="004D22C6">
            <w:pPr>
              <w:pStyle w:val="TableReference"/>
              <w:tabs>
                <w:tab w:val="left" w:pos="3306"/>
              </w:tabs>
              <w:spacing w:before="60"/>
              <w:rPr>
                <w:rFonts w:cs="Calibri"/>
                <w:color w:val="7030A0"/>
                <w:sz w:val="14"/>
              </w:rPr>
            </w:pPr>
            <w:r w:rsidRPr="00020D40">
              <w:rPr>
                <w:color w:val="7030A0"/>
                <w:sz w:val="14"/>
              </w:rPr>
              <w:t>AASB 101.27, AASB 101.17(a)</w:t>
            </w:r>
          </w:p>
        </w:tc>
        <w:tc>
          <w:tcPr>
            <w:tcW w:w="4255" w:type="pct"/>
            <w:tcBorders>
              <w:top w:val="nil"/>
              <w:left w:val="single" w:sz="2" w:space="0" w:color="auto"/>
              <w:bottom w:val="nil"/>
              <w:right w:val="nil"/>
            </w:tcBorders>
          </w:tcPr>
          <w:p w14:paraId="2A6E8315" w14:textId="4CD75DE7" w:rsidR="004D22C6" w:rsidRPr="00020D40" w:rsidRDefault="004D22C6" w:rsidP="004D22C6">
            <w:pPr>
              <w:spacing w:after="120"/>
              <w:jc w:val="both"/>
              <w:rPr>
                <w:iCs/>
                <w:sz w:val="18"/>
                <w:szCs w:val="18"/>
              </w:rPr>
            </w:pPr>
            <w:r w:rsidRPr="00020D40">
              <w:rPr>
                <w:iCs/>
                <w:sz w:val="18"/>
                <w:szCs w:val="18"/>
              </w:rPr>
              <w:t>The financial statements have been prepared using the accrual basis of accounting.</w:t>
            </w:r>
            <w:r w:rsidR="00FA7C77">
              <w:rPr>
                <w:iCs/>
                <w:sz w:val="18"/>
                <w:szCs w:val="18"/>
              </w:rPr>
              <w:t xml:space="preserve"> </w:t>
            </w:r>
            <w:r w:rsidRPr="00020D40">
              <w:rPr>
                <w:iCs/>
                <w:sz w:val="18"/>
                <w:szCs w:val="18"/>
              </w:rPr>
              <w:t>The financial statements are prepared according to historical cost convention, except for non-current assets held for sale, property, plant and equipment and financial instruments which are valued at fair value in accordance with (re)valuation policies applicable to the Agency during the reporting period</w:t>
            </w:r>
            <w:r w:rsidR="003F3191" w:rsidRPr="00020D40">
              <w:rPr>
                <w:iCs/>
                <w:sz w:val="18"/>
                <w:szCs w:val="18"/>
              </w:rPr>
              <w:t>.</w:t>
            </w:r>
          </w:p>
        </w:tc>
      </w:tr>
      <w:tr w:rsidR="003F3191" w:rsidRPr="00CF7E1B" w14:paraId="157CD552" w14:textId="77777777" w:rsidTr="00B513E5">
        <w:tc>
          <w:tcPr>
            <w:tcW w:w="745" w:type="pct"/>
            <w:tcBorders>
              <w:top w:val="nil"/>
              <w:left w:val="single" w:sz="2" w:space="0" w:color="auto"/>
              <w:bottom w:val="nil"/>
              <w:right w:val="single" w:sz="2" w:space="0" w:color="auto"/>
            </w:tcBorders>
          </w:tcPr>
          <w:p w14:paraId="5CF5C951" w14:textId="77777777" w:rsidR="003F3191" w:rsidRPr="00020D40" w:rsidRDefault="003F3191">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5C3918E4" w14:textId="178FAF23" w:rsidR="003F3191" w:rsidRPr="00020D40" w:rsidRDefault="003F3191" w:rsidP="006B6955">
            <w:pPr>
              <w:jc w:val="both"/>
              <w:rPr>
                <w:iCs/>
                <w:sz w:val="18"/>
                <w:szCs w:val="18"/>
              </w:rPr>
            </w:pPr>
            <w:r w:rsidRPr="00020D40">
              <w:rPr>
                <w:rFonts w:cs="Calibri"/>
                <w:b/>
                <w:bCs/>
                <w:sz w:val="18"/>
                <w:szCs w:val="18"/>
              </w:rPr>
              <w:t>Currency</w:t>
            </w:r>
          </w:p>
        </w:tc>
      </w:tr>
      <w:tr w:rsidR="004D22C6" w:rsidRPr="00CF7E1B" w14:paraId="5E9FCC2E" w14:textId="77777777" w:rsidTr="00B513E5">
        <w:tc>
          <w:tcPr>
            <w:tcW w:w="745" w:type="pct"/>
            <w:tcBorders>
              <w:top w:val="nil"/>
              <w:left w:val="single" w:sz="2" w:space="0" w:color="auto"/>
              <w:bottom w:val="nil"/>
              <w:right w:val="single" w:sz="2" w:space="0" w:color="auto"/>
            </w:tcBorders>
          </w:tcPr>
          <w:p w14:paraId="60831C72" w14:textId="536D73ED" w:rsidR="004D22C6" w:rsidRPr="00020D40" w:rsidRDefault="003F3191">
            <w:pPr>
              <w:pStyle w:val="TableReference"/>
              <w:tabs>
                <w:tab w:val="left" w:pos="3306"/>
              </w:tabs>
              <w:spacing w:before="60"/>
              <w:rPr>
                <w:rFonts w:cs="Calibri"/>
                <w:color w:val="7030A0"/>
                <w:sz w:val="14"/>
              </w:rPr>
            </w:pPr>
            <w:r w:rsidRPr="00020D40">
              <w:rPr>
                <w:color w:val="7030A0"/>
                <w:sz w:val="14"/>
              </w:rPr>
              <w:t>AASB 101.51(d)</w:t>
            </w:r>
          </w:p>
        </w:tc>
        <w:tc>
          <w:tcPr>
            <w:tcW w:w="4255" w:type="pct"/>
            <w:tcBorders>
              <w:top w:val="nil"/>
              <w:left w:val="single" w:sz="2" w:space="0" w:color="auto"/>
              <w:bottom w:val="nil"/>
              <w:right w:val="nil"/>
            </w:tcBorders>
          </w:tcPr>
          <w:p w14:paraId="20E725BF" w14:textId="23BA4DB1" w:rsidR="004D22C6" w:rsidRPr="00020D40" w:rsidRDefault="004D22C6" w:rsidP="003F3191">
            <w:pPr>
              <w:spacing w:after="120"/>
              <w:jc w:val="both"/>
              <w:rPr>
                <w:iCs/>
                <w:sz w:val="18"/>
                <w:szCs w:val="18"/>
              </w:rPr>
            </w:pPr>
            <w:r w:rsidRPr="00020D40">
              <w:rPr>
                <w:iCs/>
                <w:sz w:val="18"/>
                <w:szCs w:val="18"/>
              </w:rPr>
              <w:t>These financial statements are presented in Australian dollars, which is the Agency’s functional currency</w:t>
            </w:r>
            <w:r w:rsidR="003F3191" w:rsidRPr="00020D40">
              <w:rPr>
                <w:iCs/>
                <w:sz w:val="18"/>
                <w:szCs w:val="18"/>
              </w:rPr>
              <w:t>.</w:t>
            </w:r>
          </w:p>
        </w:tc>
      </w:tr>
      <w:tr w:rsidR="003F3191" w:rsidRPr="00CF7E1B" w14:paraId="5F7423F8" w14:textId="77777777" w:rsidTr="00B513E5">
        <w:tc>
          <w:tcPr>
            <w:tcW w:w="745" w:type="pct"/>
            <w:tcBorders>
              <w:top w:val="nil"/>
              <w:left w:val="single" w:sz="2" w:space="0" w:color="auto"/>
              <w:bottom w:val="nil"/>
              <w:right w:val="single" w:sz="2" w:space="0" w:color="auto"/>
            </w:tcBorders>
          </w:tcPr>
          <w:p w14:paraId="35604251" w14:textId="77777777" w:rsidR="003F3191" w:rsidRPr="00020D40" w:rsidRDefault="003F3191">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48DCF371" w14:textId="31C312F0" w:rsidR="003F3191" w:rsidRPr="00020D40" w:rsidRDefault="003F3191" w:rsidP="006B6955">
            <w:pPr>
              <w:jc w:val="both"/>
              <w:rPr>
                <w:iCs/>
                <w:sz w:val="18"/>
                <w:szCs w:val="18"/>
              </w:rPr>
            </w:pPr>
            <w:r w:rsidRPr="00020D40">
              <w:rPr>
                <w:rFonts w:cs="Calibri"/>
                <w:b/>
                <w:bCs/>
                <w:sz w:val="18"/>
                <w:szCs w:val="18"/>
              </w:rPr>
              <w:t>Individual Not-for-Profit Reporting Entity</w:t>
            </w:r>
          </w:p>
        </w:tc>
      </w:tr>
      <w:tr w:rsidR="004D22C6" w:rsidRPr="00CF7E1B" w14:paraId="18EE6E29" w14:textId="77777777" w:rsidTr="00B513E5">
        <w:tc>
          <w:tcPr>
            <w:tcW w:w="745" w:type="pct"/>
            <w:tcBorders>
              <w:top w:val="nil"/>
              <w:left w:val="single" w:sz="2" w:space="0" w:color="auto"/>
              <w:bottom w:val="nil"/>
              <w:right w:val="single" w:sz="2" w:space="0" w:color="auto"/>
            </w:tcBorders>
          </w:tcPr>
          <w:p w14:paraId="0ED4C0AA" w14:textId="36E61AFA" w:rsidR="004D22C6" w:rsidRPr="00020D40" w:rsidRDefault="003F3191">
            <w:pPr>
              <w:pStyle w:val="TableReference"/>
              <w:tabs>
                <w:tab w:val="left" w:pos="3306"/>
              </w:tabs>
              <w:spacing w:before="60"/>
              <w:rPr>
                <w:rFonts w:cs="Calibri"/>
                <w:color w:val="7030A0"/>
                <w:sz w:val="14"/>
              </w:rPr>
            </w:pPr>
            <w:r w:rsidRPr="00020D40">
              <w:rPr>
                <w:color w:val="7030A0"/>
                <w:sz w:val="14"/>
              </w:rPr>
              <w:t>AASB 101.51(b), AASB 1054.8(b)</w:t>
            </w:r>
          </w:p>
        </w:tc>
        <w:tc>
          <w:tcPr>
            <w:tcW w:w="4255" w:type="pct"/>
            <w:tcBorders>
              <w:top w:val="nil"/>
              <w:left w:val="single" w:sz="2" w:space="0" w:color="auto"/>
              <w:bottom w:val="nil"/>
              <w:right w:val="nil"/>
            </w:tcBorders>
            <w:vAlign w:val="center"/>
          </w:tcPr>
          <w:p w14:paraId="12EFE9F1" w14:textId="20AE872D" w:rsidR="004D22C6" w:rsidRPr="00020D40" w:rsidRDefault="004D22C6" w:rsidP="006A4081">
            <w:pPr>
              <w:spacing w:after="120"/>
              <w:rPr>
                <w:iCs/>
                <w:sz w:val="18"/>
                <w:szCs w:val="18"/>
              </w:rPr>
            </w:pPr>
            <w:r w:rsidRPr="00020D40">
              <w:rPr>
                <w:iCs/>
                <w:sz w:val="18"/>
                <w:szCs w:val="18"/>
              </w:rPr>
              <w:t>Example Agency is an individual not-for-profit reporting entity.</w:t>
            </w:r>
          </w:p>
        </w:tc>
      </w:tr>
      <w:tr w:rsidR="00837B44" w:rsidRPr="00CF7E1B" w14:paraId="5894E2CE" w14:textId="77777777" w:rsidTr="00B513E5">
        <w:tc>
          <w:tcPr>
            <w:tcW w:w="745" w:type="pct"/>
            <w:tcBorders>
              <w:top w:val="nil"/>
              <w:left w:val="single" w:sz="2" w:space="0" w:color="auto"/>
              <w:bottom w:val="nil"/>
              <w:right w:val="single" w:sz="2" w:space="0" w:color="auto"/>
            </w:tcBorders>
          </w:tcPr>
          <w:p w14:paraId="4D2F2C4E" w14:textId="77777777" w:rsidR="00837B44" w:rsidRPr="00020D40" w:rsidRDefault="00837B44">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25C38368" w14:textId="3DCC2D3E" w:rsidR="00837B44" w:rsidRPr="00020D40" w:rsidRDefault="003F3191" w:rsidP="006B6955">
            <w:pPr>
              <w:jc w:val="both"/>
              <w:rPr>
                <w:sz w:val="18"/>
                <w:szCs w:val="18"/>
              </w:rPr>
            </w:pPr>
            <w:r w:rsidRPr="00020D40">
              <w:rPr>
                <w:rFonts w:cs="Calibri"/>
                <w:b/>
                <w:bCs/>
                <w:sz w:val="18"/>
                <w:szCs w:val="18"/>
              </w:rPr>
              <w:t>Controlled and Territorial Items</w:t>
            </w:r>
          </w:p>
        </w:tc>
      </w:tr>
      <w:tr w:rsidR="003F3191" w:rsidRPr="00CF7E1B" w14:paraId="5D622639" w14:textId="77777777" w:rsidTr="00B513E5">
        <w:tc>
          <w:tcPr>
            <w:tcW w:w="745" w:type="pct"/>
            <w:tcBorders>
              <w:top w:val="nil"/>
              <w:left w:val="single" w:sz="2" w:space="0" w:color="auto"/>
              <w:bottom w:val="nil"/>
              <w:right w:val="single" w:sz="2" w:space="0" w:color="auto"/>
            </w:tcBorders>
          </w:tcPr>
          <w:p w14:paraId="4870AA49" w14:textId="77777777" w:rsidR="003F3191" w:rsidRPr="00020D40" w:rsidRDefault="003F3191">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25418398" w14:textId="682D98A4" w:rsidR="003F3191" w:rsidRPr="00020D40" w:rsidRDefault="003F3191" w:rsidP="00E16D69">
            <w:pPr>
              <w:spacing w:after="120"/>
              <w:jc w:val="both"/>
              <w:rPr>
                <w:sz w:val="18"/>
                <w:szCs w:val="18"/>
              </w:rPr>
            </w:pPr>
            <w:r w:rsidRPr="00020D40">
              <w:rPr>
                <w:iCs/>
                <w:sz w:val="18"/>
                <w:szCs w:val="18"/>
              </w:rPr>
              <w:t>The Agency produces Controlled and Territorial financial statements.</w:t>
            </w:r>
            <w:r w:rsidR="00FA7C77">
              <w:rPr>
                <w:iCs/>
                <w:sz w:val="18"/>
                <w:szCs w:val="18"/>
              </w:rPr>
              <w:t xml:space="preserve"> </w:t>
            </w:r>
            <w:r w:rsidRPr="00020D40">
              <w:rPr>
                <w:iCs/>
                <w:sz w:val="18"/>
                <w:szCs w:val="18"/>
              </w:rPr>
              <w:t>The Controlled financial statements include income, expenses, assets and liabilities over which the Agency has control.</w:t>
            </w:r>
            <w:r w:rsidR="00FA7C77">
              <w:rPr>
                <w:iCs/>
                <w:sz w:val="18"/>
                <w:szCs w:val="18"/>
              </w:rPr>
              <w:t xml:space="preserve"> </w:t>
            </w:r>
            <w:r w:rsidRPr="00020D40">
              <w:rPr>
                <w:iCs/>
                <w:sz w:val="18"/>
                <w:szCs w:val="18"/>
              </w:rPr>
              <w:t>The Territorial financial statements include income, expenses, assets and liabilities that the Agency administers on behalf of the ACT Government, but does not control.</w:t>
            </w:r>
          </w:p>
        </w:tc>
      </w:tr>
      <w:tr w:rsidR="00E16D69" w:rsidRPr="00CF7E1B" w14:paraId="799F37C7" w14:textId="77777777" w:rsidTr="00B513E5">
        <w:tc>
          <w:tcPr>
            <w:tcW w:w="745" w:type="pct"/>
            <w:tcBorders>
              <w:top w:val="nil"/>
              <w:left w:val="single" w:sz="2" w:space="0" w:color="auto"/>
              <w:bottom w:val="nil"/>
              <w:right w:val="single" w:sz="2" w:space="0" w:color="auto"/>
            </w:tcBorders>
          </w:tcPr>
          <w:p w14:paraId="3021D12A" w14:textId="77777777" w:rsidR="00E16D69" w:rsidRPr="00020D40" w:rsidRDefault="00E16D69">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1C6213D3" w14:textId="24F2810E" w:rsidR="00E16D69" w:rsidRPr="00020D40" w:rsidRDefault="00E16D69" w:rsidP="00E16D69">
            <w:pPr>
              <w:spacing w:after="120"/>
              <w:jc w:val="both"/>
              <w:rPr>
                <w:iCs/>
                <w:sz w:val="18"/>
                <w:szCs w:val="18"/>
              </w:rPr>
            </w:pPr>
            <w:r w:rsidRPr="00020D40">
              <w:rPr>
                <w:iCs/>
                <w:sz w:val="18"/>
                <w:szCs w:val="18"/>
              </w:rPr>
              <w:t xml:space="preserve">The purpose of the distinction between Controlled and Territorial is to enable an assessment of the Agency’s performance against the decisions it has made in relation to the resources it controls, while maintaining accountability for all resources under its responsibility. </w:t>
            </w:r>
          </w:p>
        </w:tc>
      </w:tr>
      <w:tr w:rsidR="00E16D69" w:rsidRPr="00CF7E1B" w14:paraId="50331EEA" w14:textId="77777777" w:rsidTr="00B513E5">
        <w:tc>
          <w:tcPr>
            <w:tcW w:w="745" w:type="pct"/>
            <w:tcBorders>
              <w:top w:val="nil"/>
              <w:left w:val="single" w:sz="2" w:space="0" w:color="auto"/>
              <w:bottom w:val="nil"/>
              <w:right w:val="single" w:sz="2" w:space="0" w:color="auto"/>
            </w:tcBorders>
          </w:tcPr>
          <w:p w14:paraId="0A49270E" w14:textId="77777777" w:rsidR="00E16D69" w:rsidRPr="00020D40" w:rsidRDefault="00E16D69">
            <w:pPr>
              <w:pStyle w:val="TableReference"/>
              <w:tabs>
                <w:tab w:val="left" w:pos="3306"/>
              </w:tabs>
              <w:spacing w:before="60"/>
              <w:rPr>
                <w:rFonts w:cs="Calibri"/>
                <w:color w:val="7030A0"/>
                <w:sz w:val="16"/>
                <w:szCs w:val="16"/>
              </w:rPr>
            </w:pPr>
          </w:p>
        </w:tc>
        <w:tc>
          <w:tcPr>
            <w:tcW w:w="4255" w:type="pct"/>
            <w:tcBorders>
              <w:top w:val="nil"/>
              <w:left w:val="single" w:sz="2" w:space="0" w:color="auto"/>
              <w:bottom w:val="nil"/>
              <w:right w:val="nil"/>
            </w:tcBorders>
          </w:tcPr>
          <w:p w14:paraId="336BF8C3" w14:textId="0677B2AA" w:rsidR="00E16D69" w:rsidRPr="00020D40" w:rsidRDefault="00E16D69" w:rsidP="006E5FFB">
            <w:pPr>
              <w:spacing w:after="120"/>
              <w:jc w:val="both"/>
              <w:rPr>
                <w:iCs/>
                <w:sz w:val="18"/>
                <w:szCs w:val="18"/>
              </w:rPr>
            </w:pPr>
            <w:r w:rsidRPr="00020D40">
              <w:rPr>
                <w:iCs/>
                <w:sz w:val="18"/>
                <w:szCs w:val="18"/>
              </w:rPr>
              <w:t>The basis of preparation described applies to both Controlled and Territorial financial statements except where specified otherwise</w:t>
            </w:r>
            <w:r w:rsidR="00A230E9" w:rsidRPr="00020D40">
              <w:rPr>
                <w:iCs/>
                <w:sz w:val="18"/>
                <w:szCs w:val="18"/>
              </w:rPr>
              <w:t>.</w:t>
            </w:r>
          </w:p>
        </w:tc>
      </w:tr>
      <w:tr w:rsidR="003F3191" w:rsidRPr="00CF7E1B" w14:paraId="6EADE92E" w14:textId="77777777" w:rsidTr="00B513E5">
        <w:tc>
          <w:tcPr>
            <w:tcW w:w="745" w:type="pct"/>
            <w:tcBorders>
              <w:top w:val="nil"/>
              <w:left w:val="single" w:sz="2" w:space="0" w:color="auto"/>
              <w:bottom w:val="nil"/>
              <w:right w:val="single" w:sz="2" w:space="0" w:color="auto"/>
            </w:tcBorders>
          </w:tcPr>
          <w:p w14:paraId="2D221BEE" w14:textId="77777777" w:rsidR="003F3191" w:rsidRPr="00020D40" w:rsidRDefault="003F3191">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10963CF9" w14:textId="3C44E327" w:rsidR="003F3191" w:rsidRPr="00020D40" w:rsidRDefault="006F09CF" w:rsidP="00837B44">
            <w:pPr>
              <w:jc w:val="both"/>
              <w:rPr>
                <w:sz w:val="18"/>
                <w:szCs w:val="18"/>
              </w:rPr>
            </w:pPr>
            <w:r w:rsidRPr="00020D40">
              <w:rPr>
                <w:rFonts w:cs="Calibri"/>
                <w:b/>
                <w:bCs/>
                <w:sz w:val="18"/>
                <w:szCs w:val="18"/>
              </w:rPr>
              <w:t>Reporting Period</w:t>
            </w:r>
          </w:p>
        </w:tc>
      </w:tr>
      <w:tr w:rsidR="003F3191" w:rsidRPr="00CF7E1B" w14:paraId="26D9D1FC" w14:textId="77777777" w:rsidTr="00B513E5">
        <w:tc>
          <w:tcPr>
            <w:tcW w:w="745" w:type="pct"/>
            <w:tcBorders>
              <w:top w:val="nil"/>
              <w:left w:val="single" w:sz="2" w:space="0" w:color="auto"/>
              <w:bottom w:val="nil"/>
              <w:right w:val="single" w:sz="2" w:space="0" w:color="auto"/>
            </w:tcBorders>
          </w:tcPr>
          <w:p w14:paraId="3960BD52" w14:textId="77E5368A" w:rsidR="003F3191" w:rsidRPr="00020D40" w:rsidRDefault="006F09CF">
            <w:pPr>
              <w:pStyle w:val="TableReference"/>
              <w:tabs>
                <w:tab w:val="left" w:pos="3306"/>
              </w:tabs>
              <w:spacing w:before="60"/>
              <w:rPr>
                <w:rFonts w:cs="Calibri"/>
                <w:color w:val="7030A0"/>
                <w:sz w:val="14"/>
              </w:rPr>
            </w:pPr>
            <w:r w:rsidRPr="00020D40">
              <w:rPr>
                <w:color w:val="7030A0"/>
                <w:sz w:val="14"/>
              </w:rPr>
              <w:t>AASB 101.51(c)</w:t>
            </w:r>
          </w:p>
        </w:tc>
        <w:tc>
          <w:tcPr>
            <w:tcW w:w="4255" w:type="pct"/>
            <w:tcBorders>
              <w:top w:val="nil"/>
              <w:left w:val="single" w:sz="2" w:space="0" w:color="auto"/>
              <w:bottom w:val="nil"/>
              <w:right w:val="nil"/>
            </w:tcBorders>
          </w:tcPr>
          <w:p w14:paraId="4F4BB7DF" w14:textId="5A9431DB" w:rsidR="003F3191" w:rsidRPr="00020D40" w:rsidRDefault="006F09CF" w:rsidP="006E5FFB">
            <w:pPr>
              <w:spacing w:after="120"/>
              <w:jc w:val="both"/>
              <w:rPr>
                <w:iCs/>
                <w:sz w:val="18"/>
                <w:szCs w:val="18"/>
              </w:rPr>
            </w:pPr>
            <w:r w:rsidRPr="00020D40">
              <w:rPr>
                <w:iCs/>
                <w:sz w:val="18"/>
                <w:szCs w:val="18"/>
              </w:rPr>
              <w:t xml:space="preserve">These financial statements state the financial performance, changes in equity and cash flows of the Agency for the year ended 30 June </w:t>
            </w:r>
            <w:r w:rsidR="007D393C" w:rsidRPr="00020D40">
              <w:rPr>
                <w:iCs/>
                <w:sz w:val="18"/>
                <w:szCs w:val="18"/>
              </w:rPr>
              <w:t>2022</w:t>
            </w:r>
            <w:r w:rsidRPr="00020D40">
              <w:rPr>
                <w:iCs/>
                <w:sz w:val="18"/>
                <w:szCs w:val="18"/>
              </w:rPr>
              <w:t xml:space="preserve"> together with the financial position of the Agency as at 30 June </w:t>
            </w:r>
            <w:r w:rsidR="007D393C" w:rsidRPr="00020D40">
              <w:rPr>
                <w:iCs/>
                <w:sz w:val="18"/>
                <w:szCs w:val="18"/>
              </w:rPr>
              <w:t>2022</w:t>
            </w:r>
            <w:r w:rsidRPr="00020D40">
              <w:rPr>
                <w:iCs/>
                <w:sz w:val="18"/>
                <w:szCs w:val="18"/>
              </w:rPr>
              <w:t>.</w:t>
            </w:r>
          </w:p>
        </w:tc>
      </w:tr>
      <w:tr w:rsidR="003F3191" w:rsidRPr="00CF7E1B" w14:paraId="7A65430E" w14:textId="77777777" w:rsidTr="00B513E5">
        <w:tc>
          <w:tcPr>
            <w:tcW w:w="745" w:type="pct"/>
            <w:tcBorders>
              <w:top w:val="nil"/>
              <w:left w:val="single" w:sz="2" w:space="0" w:color="auto"/>
              <w:bottom w:val="nil"/>
              <w:right w:val="single" w:sz="2" w:space="0" w:color="auto"/>
            </w:tcBorders>
          </w:tcPr>
          <w:p w14:paraId="5DE1CC01" w14:textId="77777777" w:rsidR="003F3191" w:rsidRPr="00020D40" w:rsidRDefault="003F3191">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3A5C1A2F" w14:textId="007F8412" w:rsidR="003F3191" w:rsidRPr="00020D40" w:rsidRDefault="006F09CF" w:rsidP="00837B44">
            <w:pPr>
              <w:jc w:val="both"/>
              <w:rPr>
                <w:sz w:val="18"/>
                <w:szCs w:val="18"/>
              </w:rPr>
            </w:pPr>
            <w:r w:rsidRPr="00020D40">
              <w:rPr>
                <w:rFonts w:cs="Calibri"/>
                <w:b/>
                <w:bCs/>
                <w:sz w:val="18"/>
                <w:szCs w:val="18"/>
              </w:rPr>
              <w:t>Comparative Figures</w:t>
            </w:r>
          </w:p>
        </w:tc>
      </w:tr>
      <w:tr w:rsidR="006F09CF" w:rsidRPr="00CF7E1B" w14:paraId="5239E979" w14:textId="77777777" w:rsidTr="00B513E5">
        <w:tc>
          <w:tcPr>
            <w:tcW w:w="745" w:type="pct"/>
            <w:tcBorders>
              <w:top w:val="nil"/>
              <w:left w:val="single" w:sz="2" w:space="0" w:color="auto"/>
              <w:bottom w:val="nil"/>
              <w:right w:val="single" w:sz="2" w:space="0" w:color="auto"/>
            </w:tcBorders>
          </w:tcPr>
          <w:p w14:paraId="23EACA7A" w14:textId="77777777" w:rsidR="006F09CF" w:rsidRPr="00020D40" w:rsidRDefault="006F09CF">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01667241" w14:textId="1E5B781E" w:rsidR="006F09CF" w:rsidRPr="00020D40" w:rsidRDefault="006F09CF" w:rsidP="00837B44">
            <w:pPr>
              <w:jc w:val="both"/>
              <w:rPr>
                <w:i/>
                <w:iCs/>
                <w:sz w:val="18"/>
                <w:szCs w:val="18"/>
              </w:rPr>
            </w:pPr>
            <w:r w:rsidRPr="00020D40">
              <w:rPr>
                <w:i/>
                <w:iCs/>
                <w:sz w:val="18"/>
                <w:szCs w:val="18"/>
              </w:rPr>
              <w:t>Budget Figures</w:t>
            </w:r>
          </w:p>
        </w:tc>
      </w:tr>
      <w:tr w:rsidR="006F09CF" w:rsidRPr="00CF7E1B" w14:paraId="129E5C46" w14:textId="77777777" w:rsidTr="00B513E5">
        <w:tc>
          <w:tcPr>
            <w:tcW w:w="745" w:type="pct"/>
            <w:tcBorders>
              <w:top w:val="nil"/>
              <w:left w:val="single" w:sz="2" w:space="0" w:color="auto"/>
              <w:bottom w:val="nil"/>
              <w:right w:val="single" w:sz="2" w:space="0" w:color="auto"/>
            </w:tcBorders>
          </w:tcPr>
          <w:p w14:paraId="0738AC29" w14:textId="0020ECAB" w:rsidR="006F09CF" w:rsidRPr="00020D40" w:rsidRDefault="006F09CF">
            <w:pPr>
              <w:pStyle w:val="TableReference"/>
              <w:tabs>
                <w:tab w:val="left" w:pos="3306"/>
              </w:tabs>
              <w:spacing w:before="60"/>
              <w:rPr>
                <w:rFonts w:cs="Calibri"/>
                <w:color w:val="7030A0"/>
                <w:sz w:val="14"/>
              </w:rPr>
            </w:pPr>
            <w:r w:rsidRPr="00020D40">
              <w:rPr>
                <w:color w:val="7030A0"/>
                <w:sz w:val="14"/>
              </w:rPr>
              <w:t>FMA 27(2) &amp; 63(2)</w:t>
            </w:r>
          </w:p>
        </w:tc>
        <w:tc>
          <w:tcPr>
            <w:tcW w:w="4255" w:type="pct"/>
            <w:tcBorders>
              <w:top w:val="nil"/>
              <w:left w:val="single" w:sz="2" w:space="0" w:color="auto"/>
              <w:bottom w:val="nil"/>
              <w:right w:val="nil"/>
            </w:tcBorders>
          </w:tcPr>
          <w:p w14:paraId="0D714CD8" w14:textId="4F6DC777" w:rsidR="00A230E9" w:rsidRPr="00020D40" w:rsidRDefault="00A230E9" w:rsidP="00E16D69">
            <w:pPr>
              <w:spacing w:after="120"/>
              <w:jc w:val="both"/>
              <w:rPr>
                <w:sz w:val="18"/>
                <w:szCs w:val="18"/>
              </w:rPr>
            </w:pPr>
            <w:r w:rsidRPr="00020D40">
              <w:rPr>
                <w:sz w:val="18"/>
                <w:szCs w:val="18"/>
              </w:rPr>
              <w:t>WORDING FOR DIRECTOTATES [</w:t>
            </w:r>
            <w:r w:rsidR="006F09CF" w:rsidRPr="00020D40">
              <w:rPr>
                <w:sz w:val="18"/>
                <w:szCs w:val="18"/>
              </w:rPr>
              <w:t xml:space="preserve">To facilitate a comparison with the Budget Papers, as required by the FMA, budget information for </w:t>
            </w:r>
            <w:r w:rsidR="007D393C" w:rsidRPr="00020D40">
              <w:rPr>
                <w:sz w:val="18"/>
                <w:szCs w:val="18"/>
              </w:rPr>
              <w:t xml:space="preserve">2021-22 </w:t>
            </w:r>
            <w:r w:rsidR="006F09CF" w:rsidRPr="00020D40">
              <w:rPr>
                <w:sz w:val="18"/>
                <w:szCs w:val="18"/>
              </w:rPr>
              <w:t>has been presented in the financial statements.</w:t>
            </w:r>
            <w:r w:rsidR="00FA7C77">
              <w:rPr>
                <w:sz w:val="18"/>
                <w:szCs w:val="18"/>
              </w:rPr>
              <w:t xml:space="preserve"> </w:t>
            </w:r>
            <w:r w:rsidR="006F09CF" w:rsidRPr="00020D40">
              <w:rPr>
                <w:sz w:val="18"/>
                <w:szCs w:val="18"/>
              </w:rPr>
              <w:t>Budget numbers in the financial statements are the original budget numbers that appear in the Budget Papers.</w:t>
            </w:r>
            <w:r w:rsidRPr="00020D40">
              <w:rPr>
                <w:sz w:val="18"/>
                <w:szCs w:val="18"/>
              </w:rPr>
              <w:t>]</w:t>
            </w:r>
            <w:r w:rsidR="00FA7C77">
              <w:rPr>
                <w:sz w:val="18"/>
                <w:szCs w:val="18"/>
              </w:rPr>
              <w:t xml:space="preserve"> </w:t>
            </w:r>
          </w:p>
          <w:p w14:paraId="24314E87" w14:textId="64E3DADD" w:rsidR="006F09CF" w:rsidRPr="00E16D69" w:rsidRDefault="00A230E9" w:rsidP="00E16D69">
            <w:pPr>
              <w:spacing w:after="120"/>
              <w:jc w:val="both"/>
              <w:rPr>
                <w:color w:val="FF0000"/>
                <w:sz w:val="18"/>
                <w:szCs w:val="18"/>
              </w:rPr>
            </w:pPr>
            <w:r w:rsidRPr="00020D40">
              <w:rPr>
                <w:color w:val="2E74B5" w:themeColor="accent1" w:themeShade="BF"/>
                <w:sz w:val="18"/>
                <w:szCs w:val="18"/>
              </w:rPr>
              <w:t>WORDING FOR TERRITORY AUTHORITIES [To facilitate a comparison with the Budget Papers, as required by the FMA, budget information for 2021-22 has been presented in the financial statements.</w:t>
            </w:r>
            <w:r w:rsidR="00FA7C77">
              <w:rPr>
                <w:color w:val="2E74B5" w:themeColor="accent1" w:themeShade="BF"/>
                <w:sz w:val="18"/>
                <w:szCs w:val="18"/>
              </w:rPr>
              <w:t xml:space="preserve"> </w:t>
            </w:r>
            <w:r w:rsidRPr="00020D40">
              <w:rPr>
                <w:color w:val="2E74B5" w:themeColor="accent1" w:themeShade="BF"/>
                <w:sz w:val="18"/>
                <w:szCs w:val="18"/>
              </w:rPr>
              <w:t>Budget numbers in the financial statements are the original budget numbers that appear in the Statement of Intent.]</w:t>
            </w:r>
          </w:p>
        </w:tc>
      </w:tr>
      <w:tr w:rsidR="006F09CF" w:rsidRPr="00CF7E1B" w14:paraId="5698DA34" w14:textId="77777777" w:rsidTr="00B513E5">
        <w:tc>
          <w:tcPr>
            <w:tcW w:w="745" w:type="pct"/>
            <w:tcBorders>
              <w:top w:val="nil"/>
              <w:left w:val="single" w:sz="2" w:space="0" w:color="auto"/>
              <w:bottom w:val="nil"/>
              <w:right w:val="single" w:sz="2" w:space="0" w:color="auto"/>
            </w:tcBorders>
          </w:tcPr>
          <w:p w14:paraId="28FC2651" w14:textId="77777777" w:rsidR="006F09CF" w:rsidRPr="00020D40" w:rsidRDefault="006F09CF">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6C56BCE0" w14:textId="4022CD07" w:rsidR="006F09CF" w:rsidRPr="00020D40" w:rsidRDefault="006F09CF" w:rsidP="006F09CF">
            <w:pPr>
              <w:jc w:val="both"/>
              <w:rPr>
                <w:i/>
                <w:iCs/>
                <w:sz w:val="18"/>
                <w:szCs w:val="18"/>
              </w:rPr>
            </w:pPr>
            <w:r w:rsidRPr="00020D40">
              <w:rPr>
                <w:i/>
                <w:iCs/>
                <w:sz w:val="18"/>
                <w:szCs w:val="18"/>
              </w:rPr>
              <w:t>Prior Year Comparatives</w:t>
            </w:r>
          </w:p>
        </w:tc>
      </w:tr>
      <w:tr w:rsidR="006F09CF" w:rsidRPr="00CF7E1B" w14:paraId="7A62191F" w14:textId="77777777" w:rsidTr="00B513E5">
        <w:tc>
          <w:tcPr>
            <w:tcW w:w="745" w:type="pct"/>
            <w:tcBorders>
              <w:top w:val="nil"/>
              <w:left w:val="single" w:sz="2" w:space="0" w:color="auto"/>
              <w:bottom w:val="nil"/>
              <w:right w:val="single" w:sz="2" w:space="0" w:color="auto"/>
            </w:tcBorders>
          </w:tcPr>
          <w:p w14:paraId="4CF7EBA3" w14:textId="77777777" w:rsidR="006F09CF" w:rsidRPr="00020D40" w:rsidRDefault="006F09CF" w:rsidP="006F09CF">
            <w:pPr>
              <w:pStyle w:val="TableReference"/>
              <w:tabs>
                <w:tab w:val="left" w:pos="3306"/>
              </w:tabs>
              <w:rPr>
                <w:color w:val="7030A0"/>
                <w:sz w:val="14"/>
              </w:rPr>
            </w:pPr>
            <w:r w:rsidRPr="00020D40">
              <w:rPr>
                <w:color w:val="7030A0"/>
                <w:sz w:val="14"/>
              </w:rPr>
              <w:t xml:space="preserve">AASB 101.38 </w:t>
            </w:r>
          </w:p>
          <w:p w14:paraId="273FAF54" w14:textId="77777777" w:rsidR="00AE0B56" w:rsidRPr="00020D40" w:rsidRDefault="00AE0B56" w:rsidP="006F09CF">
            <w:pPr>
              <w:pStyle w:val="TableReference"/>
              <w:tabs>
                <w:tab w:val="left" w:pos="3306"/>
              </w:tabs>
              <w:rPr>
                <w:color w:val="7030A0"/>
                <w:sz w:val="14"/>
              </w:rPr>
            </w:pPr>
          </w:p>
          <w:p w14:paraId="55B205D1" w14:textId="63D7FCC2" w:rsidR="006F09CF" w:rsidRPr="00020D40" w:rsidRDefault="006F09CF" w:rsidP="006F09CF">
            <w:pPr>
              <w:pStyle w:val="TableReference"/>
              <w:tabs>
                <w:tab w:val="left" w:pos="3306"/>
              </w:tabs>
              <w:rPr>
                <w:rFonts w:cs="Calibri"/>
                <w:color w:val="7030A0"/>
                <w:sz w:val="14"/>
              </w:rPr>
            </w:pPr>
          </w:p>
        </w:tc>
        <w:tc>
          <w:tcPr>
            <w:tcW w:w="4255" w:type="pct"/>
            <w:tcBorders>
              <w:top w:val="nil"/>
              <w:left w:val="single" w:sz="2" w:space="0" w:color="auto"/>
              <w:bottom w:val="nil"/>
              <w:right w:val="nil"/>
            </w:tcBorders>
          </w:tcPr>
          <w:p w14:paraId="2995FEF0" w14:textId="088ED253" w:rsidR="006F09CF" w:rsidRPr="00020D40" w:rsidRDefault="006F09CF" w:rsidP="00E16D69">
            <w:pPr>
              <w:spacing w:after="120"/>
              <w:jc w:val="both"/>
              <w:rPr>
                <w:sz w:val="18"/>
                <w:szCs w:val="18"/>
              </w:rPr>
            </w:pPr>
            <w:r w:rsidRPr="00020D40">
              <w:rPr>
                <w:sz w:val="18"/>
                <w:szCs w:val="18"/>
              </w:rPr>
              <w:t xml:space="preserve">Comparative information has been disclosed in respect of the previous period for amounts reported in the financial statements, except where an Australian Accounting Standard does not require comparative information to be disclosed. </w:t>
            </w:r>
          </w:p>
        </w:tc>
      </w:tr>
      <w:tr w:rsidR="00E16D69" w:rsidRPr="00CF7E1B" w14:paraId="1548E1E6" w14:textId="77777777" w:rsidTr="00B513E5">
        <w:tc>
          <w:tcPr>
            <w:tcW w:w="745" w:type="pct"/>
            <w:tcBorders>
              <w:top w:val="nil"/>
              <w:left w:val="single" w:sz="2" w:space="0" w:color="auto"/>
              <w:bottom w:val="nil"/>
              <w:right w:val="single" w:sz="2" w:space="0" w:color="auto"/>
            </w:tcBorders>
          </w:tcPr>
          <w:p w14:paraId="2AB797BE" w14:textId="77777777" w:rsidR="00E16D69" w:rsidRPr="00020D40" w:rsidRDefault="00E16D69" w:rsidP="00E16D69">
            <w:pPr>
              <w:pStyle w:val="TableReference"/>
              <w:tabs>
                <w:tab w:val="left" w:pos="3306"/>
              </w:tabs>
              <w:rPr>
                <w:color w:val="7030A0"/>
                <w:sz w:val="14"/>
              </w:rPr>
            </w:pPr>
            <w:r w:rsidRPr="00020D40">
              <w:rPr>
                <w:color w:val="7030A0"/>
                <w:sz w:val="14"/>
              </w:rPr>
              <w:t xml:space="preserve">AASB 101.41 </w:t>
            </w:r>
          </w:p>
          <w:p w14:paraId="1241EB56" w14:textId="77777777" w:rsidR="00E16D69" w:rsidRPr="00020D40" w:rsidRDefault="00E16D69" w:rsidP="006F09CF">
            <w:pPr>
              <w:pStyle w:val="TableReference"/>
              <w:tabs>
                <w:tab w:val="left" w:pos="3306"/>
              </w:tabs>
              <w:rPr>
                <w:color w:val="7030A0"/>
                <w:sz w:val="14"/>
              </w:rPr>
            </w:pPr>
          </w:p>
        </w:tc>
        <w:tc>
          <w:tcPr>
            <w:tcW w:w="4255" w:type="pct"/>
            <w:tcBorders>
              <w:top w:val="nil"/>
              <w:left w:val="single" w:sz="2" w:space="0" w:color="auto"/>
              <w:bottom w:val="nil"/>
              <w:right w:val="nil"/>
            </w:tcBorders>
          </w:tcPr>
          <w:p w14:paraId="05EDF7D2" w14:textId="6757E6A6" w:rsidR="00E16D69" w:rsidRPr="00020D40" w:rsidRDefault="00E16D69" w:rsidP="00E16D69">
            <w:pPr>
              <w:spacing w:after="120"/>
              <w:jc w:val="both"/>
              <w:rPr>
                <w:rFonts w:cs="Calibri"/>
                <w:sz w:val="18"/>
                <w:szCs w:val="18"/>
              </w:rPr>
            </w:pPr>
            <w:r w:rsidRPr="00020D40">
              <w:rPr>
                <w:rFonts w:cs="Calibri"/>
                <w:sz w:val="18"/>
                <w:szCs w:val="18"/>
              </w:rPr>
              <w:t>Where the presentation or classification of items in the financial statements is amended, the comparative amounts have been reclassified where practical.</w:t>
            </w:r>
            <w:r w:rsidR="00FA7C77">
              <w:rPr>
                <w:rFonts w:cs="Calibri"/>
                <w:sz w:val="18"/>
                <w:szCs w:val="18"/>
              </w:rPr>
              <w:t xml:space="preserve"> </w:t>
            </w:r>
            <w:r w:rsidRPr="00020D40">
              <w:rPr>
                <w:rFonts w:cs="Calibri"/>
                <w:sz w:val="18"/>
                <w:szCs w:val="18"/>
              </w:rPr>
              <w:t>Where a reclassification has occurred, the nature, amount and reason for the reclassification is provided.</w:t>
            </w:r>
          </w:p>
        </w:tc>
      </w:tr>
      <w:tr w:rsidR="006F09CF" w:rsidRPr="00CF7E1B" w14:paraId="7B3D8983" w14:textId="77777777" w:rsidTr="00B513E5">
        <w:tc>
          <w:tcPr>
            <w:tcW w:w="745" w:type="pct"/>
            <w:tcBorders>
              <w:top w:val="nil"/>
              <w:left w:val="single" w:sz="2" w:space="0" w:color="auto"/>
              <w:bottom w:val="nil"/>
              <w:right w:val="single" w:sz="2" w:space="0" w:color="auto"/>
            </w:tcBorders>
          </w:tcPr>
          <w:p w14:paraId="1CD2F246" w14:textId="77777777" w:rsidR="00AE0B56" w:rsidRPr="00020D40" w:rsidRDefault="00AE0B56">
            <w:pPr>
              <w:pStyle w:val="TableReference"/>
              <w:tabs>
                <w:tab w:val="left" w:pos="3306"/>
              </w:tabs>
              <w:spacing w:before="60"/>
              <w:rPr>
                <w:color w:val="7030A0"/>
                <w:sz w:val="14"/>
              </w:rPr>
            </w:pPr>
          </w:p>
          <w:p w14:paraId="74A1B732" w14:textId="5135ED06" w:rsidR="006F09CF" w:rsidRPr="00020D40" w:rsidRDefault="006F09CF">
            <w:pPr>
              <w:pStyle w:val="TableReference"/>
              <w:tabs>
                <w:tab w:val="left" w:pos="3306"/>
              </w:tabs>
              <w:spacing w:before="60"/>
              <w:rPr>
                <w:rFonts w:cs="Calibri"/>
                <w:color w:val="7030A0"/>
                <w:sz w:val="14"/>
              </w:rPr>
            </w:pPr>
            <w:r w:rsidRPr="00020D40">
              <w:rPr>
                <w:color w:val="7030A0"/>
                <w:sz w:val="14"/>
              </w:rPr>
              <w:t>AASB 101.51(e) &amp; 53</w:t>
            </w:r>
          </w:p>
        </w:tc>
        <w:tc>
          <w:tcPr>
            <w:tcW w:w="4255" w:type="pct"/>
            <w:tcBorders>
              <w:top w:val="nil"/>
              <w:left w:val="single" w:sz="2" w:space="0" w:color="auto"/>
              <w:bottom w:val="nil"/>
              <w:right w:val="nil"/>
            </w:tcBorders>
          </w:tcPr>
          <w:p w14:paraId="51AD7C44" w14:textId="77777777" w:rsidR="006F09CF" w:rsidRPr="00020D40" w:rsidRDefault="006F09CF" w:rsidP="006F09CF">
            <w:pPr>
              <w:jc w:val="both"/>
              <w:rPr>
                <w:rFonts w:cs="Calibri"/>
                <w:sz w:val="18"/>
                <w:szCs w:val="18"/>
              </w:rPr>
            </w:pPr>
            <w:r w:rsidRPr="00020D40">
              <w:rPr>
                <w:i/>
                <w:iCs/>
                <w:sz w:val="18"/>
                <w:szCs w:val="18"/>
              </w:rPr>
              <w:t>Rounding</w:t>
            </w:r>
            <w:r w:rsidRPr="00020D40">
              <w:rPr>
                <w:rFonts w:cs="Calibri"/>
                <w:sz w:val="18"/>
                <w:szCs w:val="18"/>
              </w:rPr>
              <w:t xml:space="preserve"> </w:t>
            </w:r>
          </w:p>
          <w:p w14:paraId="7AFDF218" w14:textId="3998470A" w:rsidR="006F09CF" w:rsidRPr="00020D40" w:rsidRDefault="006F09CF" w:rsidP="00837B44">
            <w:pPr>
              <w:jc w:val="both"/>
              <w:rPr>
                <w:rFonts w:cs="Calibri"/>
                <w:sz w:val="18"/>
                <w:szCs w:val="18"/>
              </w:rPr>
            </w:pPr>
            <w:r w:rsidRPr="00020D40">
              <w:rPr>
                <w:rFonts w:cs="Calibri"/>
                <w:sz w:val="18"/>
                <w:szCs w:val="18"/>
              </w:rPr>
              <w:t>All amounts in the financial statements have been rounded to the nearest thousand dollars ($’000).</w:t>
            </w:r>
            <w:r w:rsidR="00FA7C77">
              <w:rPr>
                <w:rFonts w:cs="Calibri"/>
                <w:sz w:val="18"/>
                <w:szCs w:val="18"/>
              </w:rPr>
              <w:t xml:space="preserve"> </w:t>
            </w:r>
            <w:r w:rsidRPr="00020D40">
              <w:rPr>
                <w:rFonts w:cs="Calibri"/>
                <w:sz w:val="18"/>
                <w:szCs w:val="18"/>
              </w:rPr>
              <w:t>Use of “</w:t>
            </w:r>
            <w:r w:rsidRPr="00020D40">
              <w:rPr>
                <w:rFonts w:cs="Calibri"/>
                <w:sz w:val="18"/>
                <w:szCs w:val="18"/>
              </w:rPr>
              <w:noBreakHyphen/>
              <w:t>” represents zero amounts or amounts rounded down to zero.</w:t>
            </w:r>
          </w:p>
        </w:tc>
      </w:tr>
      <w:tr w:rsidR="006F09CF" w:rsidRPr="00CF7E1B" w14:paraId="3A2F4F83" w14:textId="77777777" w:rsidTr="00B513E5">
        <w:tc>
          <w:tcPr>
            <w:tcW w:w="745" w:type="pct"/>
            <w:tcBorders>
              <w:top w:val="nil"/>
              <w:left w:val="single" w:sz="2" w:space="0" w:color="auto"/>
              <w:bottom w:val="nil"/>
              <w:right w:val="single" w:sz="2" w:space="0" w:color="auto"/>
            </w:tcBorders>
          </w:tcPr>
          <w:p w14:paraId="3A0C54E0" w14:textId="77777777" w:rsidR="006F09CF" w:rsidRPr="00020D40" w:rsidRDefault="006F09CF">
            <w:pPr>
              <w:pStyle w:val="TableReference"/>
              <w:tabs>
                <w:tab w:val="left" w:pos="3306"/>
              </w:tabs>
              <w:spacing w:before="60"/>
              <w:rPr>
                <w:rFonts w:cs="Calibri"/>
                <w:color w:val="7030A0"/>
                <w:sz w:val="14"/>
              </w:rPr>
            </w:pPr>
          </w:p>
        </w:tc>
        <w:tc>
          <w:tcPr>
            <w:tcW w:w="4255" w:type="pct"/>
            <w:tcBorders>
              <w:top w:val="nil"/>
              <w:left w:val="single" w:sz="2" w:space="0" w:color="auto"/>
              <w:bottom w:val="nil"/>
              <w:right w:val="nil"/>
            </w:tcBorders>
          </w:tcPr>
          <w:p w14:paraId="0620FA4F" w14:textId="154365C0" w:rsidR="006F09CF" w:rsidRPr="00020D40" w:rsidRDefault="006F09CF" w:rsidP="00837B44">
            <w:pPr>
              <w:jc w:val="both"/>
              <w:rPr>
                <w:sz w:val="18"/>
                <w:szCs w:val="18"/>
              </w:rPr>
            </w:pPr>
            <w:r w:rsidRPr="00020D40">
              <w:rPr>
                <w:rFonts w:cs="Calibri"/>
                <w:b/>
                <w:bCs/>
                <w:sz w:val="18"/>
                <w:szCs w:val="18"/>
              </w:rPr>
              <w:t>Going Concern</w:t>
            </w:r>
          </w:p>
        </w:tc>
      </w:tr>
      <w:tr w:rsidR="006F09CF" w:rsidRPr="00CF7E1B" w14:paraId="2663DD52" w14:textId="77777777" w:rsidTr="00B513E5">
        <w:tc>
          <w:tcPr>
            <w:tcW w:w="745" w:type="pct"/>
            <w:tcBorders>
              <w:top w:val="nil"/>
              <w:left w:val="single" w:sz="2" w:space="0" w:color="auto"/>
              <w:bottom w:val="nil"/>
              <w:right w:val="single" w:sz="2" w:space="0" w:color="auto"/>
            </w:tcBorders>
          </w:tcPr>
          <w:p w14:paraId="6E51CED2" w14:textId="77777777" w:rsidR="00DD7CBD" w:rsidRPr="00020D40" w:rsidRDefault="00DD7CBD">
            <w:pPr>
              <w:pStyle w:val="TableReference"/>
              <w:tabs>
                <w:tab w:val="left" w:pos="3306"/>
              </w:tabs>
              <w:spacing w:before="60"/>
              <w:rPr>
                <w:color w:val="7030A0"/>
                <w:sz w:val="14"/>
                <w:lang w:bidi="en-US"/>
              </w:rPr>
            </w:pPr>
            <w:r w:rsidRPr="00020D40">
              <w:rPr>
                <w:color w:val="7030A0"/>
                <w:sz w:val="14"/>
              </w:rPr>
              <w:t>ACT Treasury Directorate Finance Memorandum 2006/11</w:t>
            </w:r>
            <w:r w:rsidRPr="00020D40">
              <w:rPr>
                <w:color w:val="7030A0"/>
                <w:sz w:val="14"/>
                <w:lang w:bidi="en-US"/>
              </w:rPr>
              <w:t xml:space="preserve"> </w:t>
            </w:r>
          </w:p>
          <w:p w14:paraId="3F6B8F13" w14:textId="517E1E00" w:rsidR="006F09CF" w:rsidRPr="00020D40" w:rsidRDefault="00DD7CBD">
            <w:pPr>
              <w:pStyle w:val="TableReference"/>
              <w:tabs>
                <w:tab w:val="left" w:pos="3306"/>
              </w:tabs>
              <w:spacing w:before="60"/>
              <w:rPr>
                <w:rFonts w:cs="Calibri"/>
                <w:color w:val="7030A0"/>
                <w:sz w:val="14"/>
              </w:rPr>
            </w:pPr>
            <w:r w:rsidRPr="00020D40">
              <w:rPr>
                <w:color w:val="7030A0"/>
                <w:sz w:val="14"/>
                <w:lang w:bidi="en-US"/>
              </w:rPr>
              <w:t>AASB 101.25-26</w:t>
            </w:r>
          </w:p>
        </w:tc>
        <w:tc>
          <w:tcPr>
            <w:tcW w:w="4255" w:type="pct"/>
            <w:tcBorders>
              <w:top w:val="nil"/>
              <w:left w:val="single" w:sz="2" w:space="0" w:color="auto"/>
              <w:bottom w:val="nil"/>
              <w:right w:val="nil"/>
            </w:tcBorders>
          </w:tcPr>
          <w:p w14:paraId="1C5C9243" w14:textId="25F30471" w:rsidR="003B085C" w:rsidRPr="00020D40" w:rsidRDefault="00020D40" w:rsidP="00E16D69">
            <w:pPr>
              <w:spacing w:after="120"/>
              <w:jc w:val="both"/>
              <w:rPr>
                <w:rFonts w:cs="Calibri"/>
                <w:strike/>
                <w:sz w:val="18"/>
                <w:szCs w:val="18"/>
              </w:rPr>
            </w:pPr>
            <w:r w:rsidRPr="00020D40">
              <w:rPr>
                <w:rFonts w:cs="Calibri"/>
                <w:sz w:val="18"/>
                <w:szCs w:val="18"/>
              </w:rPr>
              <w:t xml:space="preserve">The 2021-22 financial statements have been prepared on a going concern basis as ‘Burley Griffin Agency’ has been funded in </w:t>
            </w:r>
            <w:r w:rsidR="00687AD5">
              <w:rPr>
                <w:rFonts w:cs="Calibri"/>
                <w:sz w:val="18"/>
                <w:szCs w:val="18"/>
              </w:rPr>
              <w:t xml:space="preserve">the </w:t>
            </w:r>
            <w:r w:rsidRPr="00020D40">
              <w:rPr>
                <w:rFonts w:cs="Calibri"/>
                <w:sz w:val="18"/>
                <w:szCs w:val="18"/>
              </w:rPr>
              <w:t>ACT Government 2022-23 Budget and the Budget Papers include forward estimates for ‘Burley Griffin Agency’.</w:t>
            </w:r>
          </w:p>
        </w:tc>
      </w:tr>
      <w:tr w:rsidR="00574DE1" w:rsidRPr="00CF7E1B" w14:paraId="2D6E32D8" w14:textId="77777777" w:rsidTr="00B513E5">
        <w:tc>
          <w:tcPr>
            <w:tcW w:w="745" w:type="pct"/>
            <w:tcBorders>
              <w:top w:val="nil"/>
              <w:left w:val="single" w:sz="2" w:space="0" w:color="auto"/>
              <w:bottom w:val="nil"/>
              <w:right w:val="single" w:sz="2" w:space="0" w:color="auto"/>
            </w:tcBorders>
          </w:tcPr>
          <w:p w14:paraId="176C84C2" w14:textId="77777777" w:rsidR="00574DE1" w:rsidRPr="00020D40" w:rsidRDefault="00574DE1">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392DCF15" w14:textId="7FCA390A" w:rsidR="00574DE1" w:rsidRPr="00020D40" w:rsidRDefault="00574DE1" w:rsidP="006E5FFB">
            <w:pPr>
              <w:spacing w:after="40"/>
              <w:jc w:val="both"/>
              <w:rPr>
                <w:rFonts w:cs="Calibri"/>
                <w:sz w:val="18"/>
                <w:szCs w:val="18"/>
              </w:rPr>
            </w:pPr>
            <w:r w:rsidRPr="00020D40">
              <w:rPr>
                <w:rFonts w:cs="Calibri"/>
                <w:b/>
                <w:bCs/>
                <w:sz w:val="18"/>
                <w:szCs w:val="18"/>
              </w:rPr>
              <w:t>COVID-19</w:t>
            </w:r>
            <w:r w:rsidR="00F777FA" w:rsidRPr="00020D40">
              <w:rPr>
                <w:rFonts w:cs="Calibri"/>
                <w:b/>
                <w:bCs/>
                <w:sz w:val="18"/>
                <w:szCs w:val="18"/>
              </w:rPr>
              <w:t xml:space="preserve"> Impact</w:t>
            </w:r>
          </w:p>
        </w:tc>
      </w:tr>
      <w:tr w:rsidR="00574DE1" w:rsidRPr="00CF7E1B" w14:paraId="2C4FEE6A" w14:textId="77777777" w:rsidTr="00B513E5">
        <w:tc>
          <w:tcPr>
            <w:tcW w:w="745" w:type="pct"/>
            <w:tcBorders>
              <w:top w:val="nil"/>
              <w:left w:val="single" w:sz="2" w:space="0" w:color="auto"/>
              <w:bottom w:val="nil"/>
              <w:right w:val="single" w:sz="2" w:space="0" w:color="auto"/>
            </w:tcBorders>
          </w:tcPr>
          <w:p w14:paraId="23317EFC" w14:textId="77777777" w:rsidR="00574DE1" w:rsidRPr="00020D40" w:rsidRDefault="00574DE1">
            <w:pPr>
              <w:pStyle w:val="TableReference"/>
              <w:tabs>
                <w:tab w:val="left" w:pos="3306"/>
              </w:tabs>
              <w:spacing w:before="60"/>
              <w:rPr>
                <w:color w:val="7030A0"/>
                <w:sz w:val="14"/>
              </w:rPr>
            </w:pPr>
          </w:p>
        </w:tc>
        <w:tc>
          <w:tcPr>
            <w:tcW w:w="4255" w:type="pct"/>
            <w:tcBorders>
              <w:top w:val="nil"/>
              <w:left w:val="single" w:sz="2" w:space="0" w:color="auto"/>
              <w:bottom w:val="nil"/>
              <w:right w:val="nil"/>
            </w:tcBorders>
          </w:tcPr>
          <w:p w14:paraId="7FA0620A" w14:textId="71A027FC" w:rsidR="00574DE1" w:rsidRPr="00020D40" w:rsidRDefault="00574DE1" w:rsidP="003F270D">
            <w:pPr>
              <w:pStyle w:val="Bullet1"/>
              <w:numPr>
                <w:ilvl w:val="0"/>
                <w:numId w:val="0"/>
              </w:numPr>
              <w:jc w:val="both"/>
              <w:rPr>
                <w:sz w:val="18"/>
                <w:szCs w:val="18"/>
              </w:rPr>
            </w:pPr>
            <w:r w:rsidRPr="00020D40">
              <w:rPr>
                <w:sz w:val="18"/>
                <w:szCs w:val="18"/>
              </w:rPr>
              <w:t>‘</w:t>
            </w:r>
            <w:r w:rsidR="001A6C09" w:rsidRPr="00020D40">
              <w:rPr>
                <w:sz w:val="18"/>
                <w:szCs w:val="18"/>
              </w:rPr>
              <w:t xml:space="preserve">Burley Griffin </w:t>
            </w:r>
            <w:r w:rsidRPr="00020D40">
              <w:rPr>
                <w:sz w:val="18"/>
                <w:szCs w:val="18"/>
              </w:rPr>
              <w:t xml:space="preserve">Agency’ has assessed the impact of the COVID-19 pandemic on its financial statements. From this assessment </w:t>
            </w:r>
            <w:r w:rsidR="00407B89" w:rsidRPr="00020D40">
              <w:rPr>
                <w:sz w:val="18"/>
                <w:szCs w:val="18"/>
              </w:rPr>
              <w:t xml:space="preserve">the </w:t>
            </w:r>
            <w:r w:rsidRPr="00020D40">
              <w:rPr>
                <w:sz w:val="18"/>
                <w:szCs w:val="18"/>
              </w:rPr>
              <w:t>Agency has concluded that COVID-19 has had a material impact on certain aspects of its operations.</w:t>
            </w:r>
            <w:r w:rsidR="00FA7C77">
              <w:rPr>
                <w:sz w:val="18"/>
                <w:szCs w:val="18"/>
              </w:rPr>
              <w:t xml:space="preserve"> </w:t>
            </w:r>
            <w:r w:rsidR="00407B89" w:rsidRPr="00020D40">
              <w:rPr>
                <w:sz w:val="18"/>
                <w:szCs w:val="18"/>
              </w:rPr>
              <w:t xml:space="preserve">The </w:t>
            </w:r>
            <w:r w:rsidRPr="00020D40">
              <w:rPr>
                <w:sz w:val="18"/>
                <w:szCs w:val="18"/>
              </w:rPr>
              <w:t>Agency has received more funding for additional employees and capital projects.</w:t>
            </w:r>
            <w:r w:rsidR="00FA7C77">
              <w:rPr>
                <w:sz w:val="18"/>
                <w:szCs w:val="18"/>
              </w:rPr>
              <w:t xml:space="preserve"> </w:t>
            </w:r>
            <w:r w:rsidRPr="00020D40">
              <w:rPr>
                <w:sz w:val="18"/>
                <w:szCs w:val="18"/>
              </w:rPr>
              <w:t>‘</w:t>
            </w:r>
            <w:r w:rsidR="001A6C09" w:rsidRPr="00020D40">
              <w:rPr>
                <w:sz w:val="18"/>
                <w:szCs w:val="18"/>
              </w:rPr>
              <w:t>Burley Griffin</w:t>
            </w:r>
            <w:r w:rsidRPr="00020D40">
              <w:rPr>
                <w:sz w:val="18"/>
                <w:szCs w:val="18"/>
              </w:rPr>
              <w:t xml:space="preserve"> Agency’s’ own source revenue has been negatively impacted with the amount of public transport fare revenue much lower than pre pandemic levels.</w:t>
            </w:r>
            <w:r w:rsidR="00FA7C77">
              <w:rPr>
                <w:sz w:val="18"/>
                <w:szCs w:val="18"/>
              </w:rPr>
              <w:t xml:space="preserve"> </w:t>
            </w:r>
            <w:r w:rsidRPr="00020D40">
              <w:rPr>
                <w:sz w:val="18"/>
                <w:szCs w:val="18"/>
              </w:rPr>
              <w:t>‘</w:t>
            </w:r>
            <w:r w:rsidR="001A6C09" w:rsidRPr="00020D40">
              <w:rPr>
                <w:sz w:val="18"/>
                <w:szCs w:val="18"/>
              </w:rPr>
              <w:t>Burley Griffin</w:t>
            </w:r>
            <w:r w:rsidRPr="00020D40">
              <w:rPr>
                <w:sz w:val="18"/>
                <w:szCs w:val="18"/>
              </w:rPr>
              <w:t xml:space="preserve"> Agency’ has also waived amounts owing to it and has had an event which has occurred after balance date.</w:t>
            </w:r>
            <w:r w:rsidR="00FA7C77">
              <w:rPr>
                <w:sz w:val="18"/>
                <w:szCs w:val="18"/>
              </w:rPr>
              <w:t xml:space="preserve"> </w:t>
            </w:r>
            <w:r w:rsidRPr="00020D40">
              <w:rPr>
                <w:sz w:val="18"/>
                <w:szCs w:val="18"/>
              </w:rPr>
              <w:t>All material COVID-19 disclosures are included in the note to which they relate.</w:t>
            </w:r>
            <w:r w:rsidR="00FA7C77">
              <w:rPr>
                <w:sz w:val="18"/>
                <w:szCs w:val="18"/>
              </w:rPr>
              <w:t xml:space="preserve"> </w:t>
            </w:r>
          </w:p>
          <w:p w14:paraId="3CE15A3F" w14:textId="00E82DF4" w:rsidR="001A6017" w:rsidRPr="00020D40" w:rsidRDefault="001A6017" w:rsidP="003F270D">
            <w:pPr>
              <w:pStyle w:val="Bullet1"/>
              <w:numPr>
                <w:ilvl w:val="0"/>
                <w:numId w:val="0"/>
              </w:numPr>
              <w:jc w:val="both"/>
              <w:rPr>
                <w:sz w:val="18"/>
                <w:szCs w:val="18"/>
              </w:rPr>
            </w:pPr>
            <w:r w:rsidRPr="00020D40">
              <w:rPr>
                <w:sz w:val="18"/>
                <w:szCs w:val="18"/>
              </w:rPr>
              <w:t>The COVID-19 pandemic has also resulted in ‘Burley Griffin Agency’ not being able to collect as much traffic fine and parking fine territorial revenue when compared to pre pandemic levels.</w:t>
            </w:r>
          </w:p>
        </w:tc>
      </w:tr>
      <w:tr w:rsidR="00BF34A3" w:rsidRPr="00CF7E1B" w14:paraId="5BA3D02A"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35105327" w14:textId="7C32FB83" w:rsidR="00BF34A3" w:rsidRPr="00550735" w:rsidRDefault="00E16D69" w:rsidP="00BD1DCB">
            <w:pPr>
              <w:pStyle w:val="TableReference"/>
              <w:tabs>
                <w:tab w:val="left" w:pos="3306"/>
              </w:tabs>
              <w:rPr>
                <w:rFonts w:cs="Calibri"/>
                <w:color w:val="7030A0"/>
                <w:sz w:val="22"/>
                <w:szCs w:val="22"/>
              </w:rPr>
            </w:pPr>
            <w:r w:rsidRPr="00550735">
              <w:rPr>
                <w:rFonts w:cs="Calibri"/>
                <w:b/>
                <w:color w:val="7030A0"/>
                <w:sz w:val="22"/>
                <w:szCs w:val="22"/>
              </w:rPr>
              <w:t>Reference</w:t>
            </w:r>
          </w:p>
        </w:tc>
        <w:tc>
          <w:tcPr>
            <w:tcW w:w="4255" w:type="pct"/>
            <w:tcBorders>
              <w:left w:val="single" w:sz="2" w:space="0" w:color="auto"/>
            </w:tcBorders>
            <w:shd w:val="clear" w:color="auto" w:fill="7030A0"/>
          </w:tcPr>
          <w:p w14:paraId="4E52DAE1" w14:textId="651B420A" w:rsidR="00BF34A3" w:rsidRPr="00550735" w:rsidRDefault="00953876" w:rsidP="00BD1DCB">
            <w:pPr>
              <w:pStyle w:val="CommentaryTitle"/>
              <w:spacing w:before="0" w:after="0"/>
              <w:rPr>
                <w:rFonts w:cs="Calibri"/>
                <w:color w:val="E7E6E6" w:themeColor="background2"/>
              </w:rPr>
            </w:pPr>
            <w:r w:rsidRPr="00E35CD2">
              <w:rPr>
                <w:rFonts w:cs="Calibri"/>
                <w:color w:val="FFFFFF" w:themeColor="background1"/>
                <w:sz w:val="28"/>
                <w:szCs w:val="28"/>
              </w:rPr>
              <w:t xml:space="preserve">Commentary </w:t>
            </w:r>
            <w:r w:rsidRPr="00E35CD2">
              <w:rPr>
                <w:rFonts w:cs="Calibri"/>
                <w:color w:val="FFFFFF" w:themeColor="background1"/>
                <w:sz w:val="28"/>
                <w:szCs w:val="28"/>
              </w:rPr>
              <w:sym w:font="Symbol" w:char="F02D"/>
            </w:r>
            <w:r w:rsidRPr="00E35CD2">
              <w:rPr>
                <w:rFonts w:cs="Calibri"/>
                <w:color w:val="FFFFFF" w:themeColor="background1"/>
                <w:sz w:val="28"/>
                <w:szCs w:val="28"/>
              </w:rPr>
              <w:t xml:space="preserve"> Note 2: Basis of Preparation of the Financial Statements</w:t>
            </w:r>
          </w:p>
        </w:tc>
      </w:tr>
      <w:tr w:rsidR="00136C28" w:rsidRPr="00CF7E1B" w14:paraId="1184FE04"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1FB0ACB6"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57DE9849" w14:textId="263C8F62" w:rsidR="00136C28" w:rsidRPr="00550735" w:rsidRDefault="00136C28" w:rsidP="00E35CD2">
            <w:pPr>
              <w:pStyle w:val="CommentaryTitle"/>
              <w:spacing w:after="120"/>
              <w:rPr>
                <w:rFonts w:cs="Calibri"/>
                <w:b w:val="0"/>
                <w:bCs w:val="0"/>
                <w:color w:val="E7E6E6" w:themeColor="background2"/>
                <w:sz w:val="18"/>
                <w:szCs w:val="18"/>
              </w:rPr>
            </w:pPr>
            <w:r w:rsidRPr="00E35CD2">
              <w:rPr>
                <w:rFonts w:cs="Calibri"/>
                <w:b w:val="0"/>
                <w:bCs w:val="0"/>
                <w:color w:val="FFFFFF" w:themeColor="background1"/>
                <w:sz w:val="18"/>
                <w:szCs w:val="18"/>
              </w:rPr>
              <w:t>There are a number of general requirements in relation to the presentation and disclosure of financial statements.</w:t>
            </w:r>
          </w:p>
        </w:tc>
      </w:tr>
      <w:tr w:rsidR="00136C28" w:rsidRPr="00CF7E1B" w14:paraId="2942DE5A"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3B39729"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5BBAD323" w14:textId="5110A8BD" w:rsidR="00136C28" w:rsidRPr="00550735" w:rsidRDefault="00136C28" w:rsidP="00BF34A3">
            <w:pPr>
              <w:pStyle w:val="CommentaryText"/>
              <w:tabs>
                <w:tab w:val="left" w:pos="3306"/>
              </w:tabs>
              <w:rPr>
                <w:rFonts w:cs="Calibri"/>
                <w:color w:val="E7E6E6" w:themeColor="background2"/>
                <w:sz w:val="18"/>
                <w:szCs w:val="18"/>
              </w:rPr>
            </w:pPr>
            <w:r w:rsidRPr="00550735">
              <w:rPr>
                <w:color w:val="E7E6E6" w:themeColor="background2"/>
                <w:sz w:val="18"/>
                <w:szCs w:val="18"/>
              </w:rPr>
              <w:t xml:space="preserve">AASB 101 </w:t>
            </w:r>
            <w:r w:rsidRPr="00550735">
              <w:rPr>
                <w:i/>
                <w:iCs/>
                <w:color w:val="E7E6E6" w:themeColor="background2"/>
                <w:sz w:val="18"/>
                <w:szCs w:val="18"/>
              </w:rPr>
              <w:t>Presentation of Financial Statements</w:t>
            </w:r>
            <w:r w:rsidRPr="00550735">
              <w:rPr>
                <w:color w:val="E7E6E6" w:themeColor="background2"/>
                <w:sz w:val="18"/>
                <w:szCs w:val="18"/>
              </w:rPr>
              <w:t xml:space="preserve"> requires the following:</w:t>
            </w:r>
          </w:p>
        </w:tc>
      </w:tr>
      <w:tr w:rsidR="00136C28" w:rsidRPr="00CF7E1B" w14:paraId="6704A5F2"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1171D677"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573D5577" w14:textId="32A67D81" w:rsidR="00136C28" w:rsidRPr="00550735" w:rsidRDefault="00136C28" w:rsidP="007122BC">
            <w:pPr>
              <w:pStyle w:val="CommentaryText"/>
              <w:numPr>
                <w:ilvl w:val="0"/>
                <w:numId w:val="72"/>
              </w:numPr>
              <w:tabs>
                <w:tab w:val="left" w:pos="3306"/>
              </w:tabs>
              <w:ind w:left="452"/>
              <w:rPr>
                <w:rFonts w:cs="Calibri"/>
                <w:color w:val="E7E6E6" w:themeColor="background2"/>
                <w:sz w:val="18"/>
                <w:szCs w:val="18"/>
              </w:rPr>
            </w:pPr>
            <w:r w:rsidRPr="00550735">
              <w:rPr>
                <w:rFonts w:cs="Calibri"/>
                <w:color w:val="E7E6E6" w:themeColor="background2"/>
                <w:sz w:val="18"/>
                <w:szCs w:val="18"/>
              </w:rPr>
              <w:t>financial statements should be presented on an annual basis. However, where an agency’s reporting period changes and where the financial period for the current or prior year covered in the financial statements is less, or more, than 12 months, the agency must disclose the reason for a period other than 12 months being used and that comparative amounts are not entirely comparable (AASB 101.36); and</w:t>
            </w:r>
          </w:p>
        </w:tc>
      </w:tr>
      <w:tr w:rsidR="00136C28" w:rsidRPr="00CF7E1B" w14:paraId="417BE6A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63BAC6A"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2A92E639" w14:textId="77777777" w:rsidR="00136C28" w:rsidRPr="00550735" w:rsidRDefault="00136C28" w:rsidP="007122BC">
            <w:pPr>
              <w:pStyle w:val="BodyText"/>
              <w:numPr>
                <w:ilvl w:val="0"/>
                <w:numId w:val="72"/>
              </w:numPr>
              <w:spacing w:before="120" w:after="40"/>
              <w:ind w:left="453" w:hanging="357"/>
              <w:rPr>
                <w:rFonts w:cs="Calibri"/>
                <w:color w:val="E7E6E6" w:themeColor="background2"/>
                <w:sz w:val="18"/>
                <w:szCs w:val="18"/>
              </w:rPr>
            </w:pPr>
            <w:r w:rsidRPr="00550735">
              <w:rPr>
                <w:rFonts w:cs="Calibri"/>
                <w:color w:val="E7E6E6" w:themeColor="background2"/>
                <w:sz w:val="18"/>
                <w:szCs w:val="18"/>
              </w:rPr>
              <w:t>Presentation and classification of items is retained from one period to the next unless:</w:t>
            </w:r>
          </w:p>
          <w:p w14:paraId="6096D82B" w14:textId="33DA2B0D" w:rsidR="00136C28" w:rsidRPr="00550735" w:rsidRDefault="00136C28" w:rsidP="007122BC">
            <w:pPr>
              <w:pStyle w:val="BodyText"/>
              <w:numPr>
                <w:ilvl w:val="2"/>
                <w:numId w:val="73"/>
              </w:numPr>
              <w:spacing w:after="120"/>
              <w:ind w:left="877" w:hanging="357"/>
              <w:rPr>
                <w:rFonts w:cs="Calibri"/>
                <w:color w:val="E7E6E6" w:themeColor="background2"/>
                <w:sz w:val="18"/>
                <w:szCs w:val="18"/>
              </w:rPr>
            </w:pPr>
            <w:r w:rsidRPr="00550735">
              <w:rPr>
                <w:rFonts w:cs="Calibri"/>
                <w:color w:val="E7E6E6" w:themeColor="background2"/>
                <w:sz w:val="18"/>
                <w:szCs w:val="18"/>
              </w:rPr>
              <w:t>it is apparent, following a significant change in the nature of the operations of the agency, that another presentation or classification would be more appropriate (having regard to the requirement in AASB 108) (AASB 101.45 (a)); or</w:t>
            </w:r>
          </w:p>
          <w:p w14:paraId="7A524708" w14:textId="15EFE40F" w:rsidR="00136C28" w:rsidRPr="00550735" w:rsidRDefault="00136C28" w:rsidP="007122BC">
            <w:pPr>
              <w:pStyle w:val="BodyText"/>
              <w:numPr>
                <w:ilvl w:val="2"/>
                <w:numId w:val="73"/>
              </w:numPr>
              <w:spacing w:after="120"/>
              <w:ind w:left="877" w:hanging="357"/>
              <w:rPr>
                <w:rFonts w:cs="Calibri"/>
                <w:color w:val="E7E6E6" w:themeColor="background2"/>
                <w:sz w:val="18"/>
                <w:szCs w:val="18"/>
              </w:rPr>
            </w:pPr>
            <w:r w:rsidRPr="00550735">
              <w:rPr>
                <w:rFonts w:cs="Calibri"/>
                <w:color w:val="E7E6E6" w:themeColor="background2"/>
                <w:sz w:val="18"/>
                <w:szCs w:val="18"/>
              </w:rPr>
              <w:t>a change in presentation or classification is required by Australian Accounting Standards (AASB 101.45 (b)).</w:t>
            </w:r>
          </w:p>
        </w:tc>
      </w:tr>
      <w:tr w:rsidR="00136C28" w:rsidRPr="00CF7E1B" w14:paraId="68A4FB93"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2C77909A"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01F32A28" w14:textId="69412363" w:rsidR="00136C28" w:rsidRPr="00550735" w:rsidRDefault="00136C28" w:rsidP="00BF34A3">
            <w:pPr>
              <w:pStyle w:val="CommentaryText"/>
              <w:tabs>
                <w:tab w:val="left" w:pos="3306"/>
              </w:tabs>
              <w:rPr>
                <w:rFonts w:cs="Calibri"/>
                <w:b/>
                <w:bCs/>
                <w:color w:val="E7E6E6" w:themeColor="background2"/>
                <w:sz w:val="18"/>
                <w:szCs w:val="18"/>
              </w:rPr>
            </w:pPr>
            <w:r w:rsidRPr="00550735">
              <w:rPr>
                <w:rFonts w:cs="Calibri"/>
                <w:color w:val="E7E6E6" w:themeColor="background2"/>
                <w:sz w:val="18"/>
                <w:szCs w:val="18"/>
              </w:rPr>
              <w:t>ACT Disclosure Policy requires all agencies to use the English language and Australian currency in the presentation of their financial statements.</w:t>
            </w:r>
          </w:p>
        </w:tc>
      </w:tr>
      <w:tr w:rsidR="00136C28" w:rsidRPr="00CF7E1B" w14:paraId="32D66EAC"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6D446C57"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40F2FED0" w14:textId="77777777" w:rsidR="00136C28" w:rsidRPr="00550735" w:rsidRDefault="00136C28" w:rsidP="00136C28">
            <w:pPr>
              <w:rPr>
                <w:color w:val="E7E6E6" w:themeColor="background2"/>
                <w:sz w:val="18"/>
                <w:szCs w:val="18"/>
              </w:rPr>
            </w:pPr>
            <w:r w:rsidRPr="00550735">
              <w:rPr>
                <w:color w:val="E7E6E6" w:themeColor="background2"/>
                <w:sz w:val="18"/>
                <w:szCs w:val="18"/>
              </w:rPr>
              <w:t>Amounts may be rounded to the nearest $1,000 in the financial statements, provided:</w:t>
            </w:r>
          </w:p>
          <w:p w14:paraId="4526507F" w14:textId="3602945B" w:rsidR="00136C28" w:rsidRPr="00E35CD2" w:rsidRDefault="00136C28" w:rsidP="00E35CD2">
            <w:pPr>
              <w:pStyle w:val="Commentary-Bullet"/>
              <w:rPr>
                <w:rFonts w:cs="Calibri"/>
                <w:color w:val="FFFFFF" w:themeColor="background1"/>
                <w:sz w:val="18"/>
                <w:szCs w:val="18"/>
              </w:rPr>
            </w:pPr>
            <w:r w:rsidRPr="00E35CD2">
              <w:rPr>
                <w:rFonts w:cs="Calibri"/>
                <w:color w:val="FFFFFF" w:themeColor="background1"/>
                <w:sz w:val="18"/>
                <w:szCs w:val="18"/>
              </w:rPr>
              <w:t>rounding is applied consistently; and</w:t>
            </w:r>
          </w:p>
          <w:p w14:paraId="74FD41E9" w14:textId="69EAF74B" w:rsidR="00136C28" w:rsidRPr="00550735" w:rsidRDefault="00136C28" w:rsidP="00E35CD2">
            <w:pPr>
              <w:pStyle w:val="Commentary-Bullet"/>
              <w:rPr>
                <w:rFonts w:cs="Calibri"/>
                <w:color w:val="E7E6E6" w:themeColor="background2"/>
                <w:sz w:val="18"/>
                <w:szCs w:val="18"/>
              </w:rPr>
            </w:pPr>
            <w:r w:rsidRPr="00E35CD2">
              <w:rPr>
                <w:rFonts w:cs="Calibri"/>
                <w:color w:val="FFFFFF" w:themeColor="background1"/>
                <w:sz w:val="18"/>
                <w:szCs w:val="18"/>
              </w:rPr>
              <w:t>the level of rounding is clearly indicated.</w:t>
            </w:r>
          </w:p>
        </w:tc>
      </w:tr>
      <w:tr w:rsidR="00136C28" w:rsidRPr="00CF7E1B" w14:paraId="3662251D"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6FDB4CAF"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4B19C332" w14:textId="4F11E031" w:rsidR="00136C28" w:rsidRPr="00550735" w:rsidRDefault="00136C28" w:rsidP="00BF34A3">
            <w:pPr>
              <w:pStyle w:val="CommentaryText"/>
              <w:tabs>
                <w:tab w:val="left" w:pos="3306"/>
              </w:tabs>
              <w:rPr>
                <w:rFonts w:cs="Calibri"/>
                <w:b/>
                <w:bCs/>
                <w:color w:val="E7E6E6" w:themeColor="background2"/>
                <w:sz w:val="18"/>
                <w:szCs w:val="18"/>
              </w:rPr>
            </w:pPr>
            <w:r w:rsidRPr="00550735">
              <w:rPr>
                <w:rFonts w:cs="Calibri"/>
                <w:color w:val="E7E6E6" w:themeColor="background2"/>
                <w:sz w:val="18"/>
                <w:szCs w:val="18"/>
              </w:rPr>
              <w:t>Rounding of amounts for financial statement purposes should not alter actual amounts in agencies’ financial systems.</w:t>
            </w:r>
          </w:p>
        </w:tc>
      </w:tr>
      <w:tr w:rsidR="00136C28" w:rsidRPr="00CF7E1B" w14:paraId="103ED18F"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0C6FA7F3" w14:textId="77777777" w:rsidR="00136C28" w:rsidRPr="00550735" w:rsidRDefault="00136C28"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328AC1F0" w14:textId="762CDCDA" w:rsidR="00136C28" w:rsidRPr="00550735" w:rsidRDefault="00136C28" w:rsidP="00BF34A3">
            <w:pPr>
              <w:pStyle w:val="CommentaryText"/>
              <w:tabs>
                <w:tab w:val="left" w:pos="3306"/>
              </w:tabs>
              <w:rPr>
                <w:rFonts w:cs="Calibri"/>
                <w:b/>
                <w:bCs/>
                <w:color w:val="E7E6E6" w:themeColor="background2"/>
                <w:sz w:val="18"/>
                <w:szCs w:val="18"/>
              </w:rPr>
            </w:pPr>
            <w:r w:rsidRPr="00550735">
              <w:rPr>
                <w:rFonts w:cs="Calibri"/>
                <w:color w:val="E7E6E6" w:themeColor="background2"/>
                <w:sz w:val="18"/>
                <w:szCs w:val="18"/>
              </w:rPr>
              <w:t>Directorates and territory authorities must also prepare financial statements in a form that facilitates a comparison with the budget contained in the Budget Papers for directorates (section 27(2) of the FMA) and with the budget information contained in a Territory Authority’s Statement of Intent (section 63 (2) of the FMA) for authorities.</w:t>
            </w:r>
          </w:p>
        </w:tc>
      </w:tr>
      <w:tr w:rsidR="00545E95" w:rsidRPr="00CF7E1B" w14:paraId="532D7225"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3A1034C0" w14:textId="77777777" w:rsidR="00545E95" w:rsidRPr="00550735" w:rsidRDefault="00545E95" w:rsidP="00545E95">
            <w:pPr>
              <w:pStyle w:val="TableReference"/>
              <w:tabs>
                <w:tab w:val="left" w:pos="3306"/>
              </w:tabs>
              <w:spacing w:before="60"/>
              <w:rPr>
                <w:color w:val="7030A0"/>
                <w:sz w:val="14"/>
              </w:rPr>
            </w:pPr>
            <w:r w:rsidRPr="00550735">
              <w:rPr>
                <w:color w:val="7030A0"/>
                <w:sz w:val="14"/>
              </w:rPr>
              <w:t>FMA 27(3)(c) &amp; (d), FMA 63(3)(c)</w:t>
            </w:r>
          </w:p>
          <w:p w14:paraId="6A0BB27B" w14:textId="77777777" w:rsidR="00545E95" w:rsidRPr="00550735" w:rsidRDefault="00545E95" w:rsidP="00136C28">
            <w:pPr>
              <w:pStyle w:val="TableReference"/>
              <w:tabs>
                <w:tab w:val="left" w:pos="3306"/>
              </w:tabs>
              <w:rPr>
                <w:rFonts w:cs="Calibri"/>
                <w:b/>
                <w:color w:val="7030A0"/>
                <w:sz w:val="14"/>
              </w:rPr>
            </w:pPr>
          </w:p>
        </w:tc>
        <w:tc>
          <w:tcPr>
            <w:tcW w:w="4255" w:type="pct"/>
            <w:tcBorders>
              <w:left w:val="single" w:sz="2" w:space="0" w:color="auto"/>
            </w:tcBorders>
            <w:shd w:val="clear" w:color="auto" w:fill="7030A0"/>
          </w:tcPr>
          <w:p w14:paraId="5DCB1690" w14:textId="4C5D8BA2" w:rsidR="00545E95" w:rsidRPr="00550735" w:rsidRDefault="00545E95" w:rsidP="00BF34A3">
            <w:pPr>
              <w:pStyle w:val="CommentaryText"/>
              <w:tabs>
                <w:tab w:val="left" w:pos="3306"/>
              </w:tabs>
              <w:rPr>
                <w:rFonts w:cs="Calibri"/>
                <w:color w:val="E7E6E6" w:themeColor="background2"/>
                <w:sz w:val="18"/>
                <w:szCs w:val="18"/>
              </w:rPr>
            </w:pPr>
            <w:r w:rsidRPr="00550735">
              <w:rPr>
                <w:color w:val="E7E6E6" w:themeColor="background2"/>
                <w:sz w:val="18"/>
                <w:szCs w:val="18"/>
              </w:rPr>
              <w:t>The annual financial statements must include a statement of the accounting policies adopted by the agency and such other statements as are necessary to fairly reflect the financial operations of the agency during the year and its financial position at the end of the year.</w:t>
            </w:r>
          </w:p>
        </w:tc>
      </w:tr>
      <w:tr w:rsidR="00545E95" w:rsidRPr="00CF7E1B" w14:paraId="251AF5A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170725C9" w14:textId="77777777" w:rsidR="00545E95" w:rsidRPr="00550735" w:rsidRDefault="00545E95" w:rsidP="00545E95">
            <w:pPr>
              <w:pStyle w:val="TableReference"/>
              <w:tabs>
                <w:tab w:val="left" w:pos="3306"/>
              </w:tabs>
              <w:spacing w:before="60"/>
              <w:rPr>
                <w:color w:val="7030A0"/>
                <w:sz w:val="14"/>
              </w:rPr>
            </w:pPr>
            <w:r w:rsidRPr="00550735">
              <w:rPr>
                <w:color w:val="7030A0"/>
                <w:sz w:val="14"/>
              </w:rPr>
              <w:t xml:space="preserve">AASB 101.10(e), AASB 101.17 </w:t>
            </w:r>
          </w:p>
          <w:p w14:paraId="094C5FEA" w14:textId="77777777" w:rsidR="00545E95" w:rsidRPr="00550735" w:rsidRDefault="00545E95" w:rsidP="00545E95">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520857BE" w14:textId="106CA0A4" w:rsidR="00545E95" w:rsidRPr="00550735" w:rsidRDefault="00545E95" w:rsidP="00545E95">
            <w:pPr>
              <w:pStyle w:val="CommentaryText"/>
              <w:tabs>
                <w:tab w:val="left" w:pos="3306"/>
              </w:tabs>
              <w:rPr>
                <w:color w:val="E7E6E6" w:themeColor="background2"/>
                <w:sz w:val="18"/>
                <w:szCs w:val="18"/>
              </w:rPr>
            </w:pPr>
            <w:r w:rsidRPr="00550735">
              <w:rPr>
                <w:rFonts w:cs="Calibri"/>
                <w:color w:val="E7E6E6" w:themeColor="background2"/>
                <w:sz w:val="18"/>
              </w:rPr>
              <w:t>Material accounting policies must be presented in the notes to the financial statements.</w:t>
            </w:r>
            <w:r w:rsidR="00FA7C77">
              <w:rPr>
                <w:rFonts w:cs="Calibri"/>
                <w:color w:val="E7E6E6" w:themeColor="background2"/>
                <w:sz w:val="18"/>
              </w:rPr>
              <w:t xml:space="preserve"> </w:t>
            </w:r>
            <w:r w:rsidRPr="00550735">
              <w:rPr>
                <w:rFonts w:cs="Calibri"/>
                <w:color w:val="E7E6E6" w:themeColor="background2"/>
                <w:sz w:val="18"/>
              </w:rPr>
              <w:t>The material accounting policies must include the measurement basis used in preparing the financial statements and the other accounting policies used that are relevant to an understanding of the financial statements.</w:t>
            </w:r>
          </w:p>
        </w:tc>
      </w:tr>
      <w:tr w:rsidR="00545E95" w:rsidRPr="00CF7E1B" w14:paraId="1D859570"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58F054C1" w14:textId="77777777" w:rsidR="00AF59A3" w:rsidRPr="00550735" w:rsidRDefault="00AF59A3" w:rsidP="00AF59A3">
            <w:pPr>
              <w:pStyle w:val="TableReference"/>
              <w:tabs>
                <w:tab w:val="left" w:pos="3306"/>
              </w:tabs>
              <w:spacing w:before="60"/>
              <w:rPr>
                <w:color w:val="7030A0"/>
                <w:sz w:val="14"/>
              </w:rPr>
            </w:pPr>
            <w:r w:rsidRPr="00550735">
              <w:rPr>
                <w:color w:val="7030A0"/>
                <w:sz w:val="14"/>
              </w:rPr>
              <w:t xml:space="preserve">AASB 1054.7 &amp; 9 </w:t>
            </w:r>
          </w:p>
          <w:p w14:paraId="377A0D3F" w14:textId="77777777" w:rsidR="00545E95" w:rsidRPr="00550735" w:rsidRDefault="00545E95" w:rsidP="00545E95">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605AFC15" w14:textId="30B2FC24" w:rsidR="00545E95" w:rsidRPr="00550735" w:rsidRDefault="00AF59A3" w:rsidP="00545E95">
            <w:pPr>
              <w:pStyle w:val="CommentaryText"/>
              <w:tabs>
                <w:tab w:val="left" w:pos="3306"/>
              </w:tabs>
              <w:rPr>
                <w:color w:val="E7E6E6" w:themeColor="background2"/>
                <w:sz w:val="18"/>
                <w:szCs w:val="18"/>
              </w:rPr>
            </w:pPr>
            <w:r w:rsidRPr="00550735">
              <w:rPr>
                <w:rFonts w:cs="Calibri"/>
                <w:bCs/>
                <w:color w:val="E7E6E6" w:themeColor="background2"/>
                <w:sz w:val="18"/>
                <w:szCs w:val="18"/>
              </w:rPr>
              <w:t>The notes must also include a statement that the financial statements are general-purpose financial statements and a statement as to whether the financial statements have been prepared in accordance with Australian Accounting Standards.</w:t>
            </w:r>
          </w:p>
        </w:tc>
      </w:tr>
      <w:tr w:rsidR="00545E95" w:rsidRPr="00CF7E1B" w14:paraId="6CC05040"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188177DB" w14:textId="77777777" w:rsidR="00AF59A3" w:rsidRPr="00550735" w:rsidRDefault="00AF59A3" w:rsidP="00AF59A3">
            <w:pPr>
              <w:pStyle w:val="TableReference"/>
              <w:tabs>
                <w:tab w:val="left" w:pos="3306"/>
              </w:tabs>
              <w:spacing w:before="60"/>
              <w:rPr>
                <w:color w:val="7030A0"/>
                <w:sz w:val="14"/>
              </w:rPr>
            </w:pPr>
            <w:r w:rsidRPr="00550735">
              <w:rPr>
                <w:color w:val="7030A0"/>
                <w:sz w:val="14"/>
              </w:rPr>
              <w:t xml:space="preserve">AASB 1054.8(a) &amp; (b) </w:t>
            </w:r>
          </w:p>
          <w:p w14:paraId="39CB043C" w14:textId="77777777" w:rsidR="00545E95" w:rsidRPr="00550735" w:rsidRDefault="00545E95" w:rsidP="00545E95">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3C6E40FF" w14:textId="25F22EB6" w:rsidR="00545E95" w:rsidRPr="00550735" w:rsidRDefault="00AF59A3" w:rsidP="00545E95">
            <w:pPr>
              <w:pStyle w:val="CommentaryText"/>
              <w:tabs>
                <w:tab w:val="left" w:pos="3306"/>
              </w:tabs>
              <w:rPr>
                <w:color w:val="E7E6E6" w:themeColor="background2"/>
                <w:sz w:val="18"/>
                <w:szCs w:val="18"/>
              </w:rPr>
            </w:pPr>
            <w:r w:rsidRPr="00550735">
              <w:rPr>
                <w:rFonts w:cs="Calibri"/>
                <w:bCs/>
                <w:color w:val="E7E6E6" w:themeColor="background2"/>
                <w:sz w:val="18"/>
                <w:szCs w:val="18"/>
              </w:rPr>
              <w:t>In addition to the above mandatory disclosure requirements, the commentary in the standards indicate that it may also be appropriate to indicate the relevant statutory and other requirements adopted in the preparation of the financial statements, such as compliance with the FMA. The notes should also disclose whether, for the purpose of preparing the financial statements, the agency is a for- profit or not-for-profit entity.</w:t>
            </w:r>
          </w:p>
        </w:tc>
      </w:tr>
      <w:tr w:rsidR="00545E95" w:rsidRPr="00CF7E1B" w14:paraId="5EF37985"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541CE191" w14:textId="77777777" w:rsidR="00AF59A3" w:rsidRPr="00550735" w:rsidRDefault="00AF59A3" w:rsidP="00AF59A3">
            <w:pPr>
              <w:pStyle w:val="TableReference"/>
              <w:tabs>
                <w:tab w:val="left" w:pos="3306"/>
              </w:tabs>
              <w:spacing w:before="60"/>
              <w:rPr>
                <w:color w:val="7030A0"/>
                <w:sz w:val="14"/>
              </w:rPr>
            </w:pPr>
            <w:r w:rsidRPr="00550735">
              <w:rPr>
                <w:color w:val="7030A0"/>
                <w:sz w:val="14"/>
              </w:rPr>
              <w:t>AASB 108.10</w:t>
            </w:r>
          </w:p>
          <w:p w14:paraId="220646DD" w14:textId="77777777" w:rsidR="00545E95" w:rsidRPr="00550735" w:rsidRDefault="00545E95" w:rsidP="00545E95">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65D95DE1" w14:textId="0ADEDA81" w:rsidR="00545E95" w:rsidRPr="00550735" w:rsidRDefault="00AF59A3" w:rsidP="00545E95">
            <w:pPr>
              <w:pStyle w:val="CommentaryText"/>
              <w:tabs>
                <w:tab w:val="left" w:pos="3306"/>
              </w:tabs>
              <w:rPr>
                <w:color w:val="E7E6E6" w:themeColor="background2"/>
                <w:sz w:val="18"/>
                <w:szCs w:val="18"/>
              </w:rPr>
            </w:pPr>
            <w:r w:rsidRPr="00550735">
              <w:rPr>
                <w:rFonts w:cs="Calibri"/>
                <w:bCs/>
                <w:color w:val="E7E6E6" w:themeColor="background2"/>
                <w:sz w:val="18"/>
                <w:szCs w:val="18"/>
              </w:rPr>
              <w:t>Where there is no accounting standard or accounting interpretation, the disclosures should focus on explaining why the policy applied ensures that relevant and reliable information is presented in the financial statements.</w:t>
            </w:r>
          </w:p>
        </w:tc>
      </w:tr>
      <w:tr w:rsidR="009E2F17" w:rsidRPr="00CF7E1B" w14:paraId="3FF0477B"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vMerge w:val="restart"/>
            <w:tcBorders>
              <w:left w:val="single" w:sz="2" w:space="0" w:color="auto"/>
              <w:right w:val="single" w:sz="2" w:space="0" w:color="auto"/>
            </w:tcBorders>
          </w:tcPr>
          <w:p w14:paraId="54C2D095" w14:textId="1DD929AC" w:rsidR="009E2F17" w:rsidRPr="00550735" w:rsidRDefault="009E2F17" w:rsidP="00AF59A3">
            <w:pPr>
              <w:pStyle w:val="TableReference"/>
              <w:tabs>
                <w:tab w:val="left" w:pos="3306"/>
              </w:tabs>
              <w:spacing w:before="60"/>
              <w:rPr>
                <w:color w:val="7030A0"/>
                <w:sz w:val="14"/>
              </w:rPr>
            </w:pPr>
            <w:r w:rsidRPr="00550735">
              <w:rPr>
                <w:color w:val="7030A0"/>
                <w:sz w:val="14"/>
              </w:rPr>
              <w:t>Model Financial Statement 1.6 Application –ACT Disclosure Policy</w:t>
            </w:r>
          </w:p>
        </w:tc>
        <w:tc>
          <w:tcPr>
            <w:tcW w:w="4255" w:type="pct"/>
            <w:tcBorders>
              <w:left w:val="single" w:sz="2" w:space="0" w:color="auto"/>
            </w:tcBorders>
            <w:shd w:val="clear" w:color="auto" w:fill="7030A0"/>
          </w:tcPr>
          <w:p w14:paraId="50C8BC65" w14:textId="50AFD038" w:rsidR="009E2F17" w:rsidRPr="00550735" w:rsidRDefault="009E2F17" w:rsidP="00AF59A3">
            <w:pPr>
              <w:pStyle w:val="CommentaryText"/>
              <w:tabs>
                <w:tab w:val="left" w:pos="3306"/>
              </w:tabs>
              <w:rPr>
                <w:rFonts w:cs="Calibri"/>
                <w:bCs/>
                <w:color w:val="E7E6E6" w:themeColor="background2"/>
                <w:sz w:val="18"/>
                <w:szCs w:val="18"/>
              </w:rPr>
            </w:pPr>
            <w:r w:rsidRPr="00550735">
              <w:rPr>
                <w:rFonts w:cs="Calibri"/>
                <w:bCs/>
                <w:color w:val="E7E6E6" w:themeColor="background2"/>
                <w:sz w:val="18"/>
                <w:szCs w:val="18"/>
              </w:rPr>
              <w:t>Disclosures should only be included where the item is materially relevant to the Agency.</w:t>
            </w:r>
          </w:p>
        </w:tc>
      </w:tr>
      <w:tr w:rsidR="009E2F17" w:rsidRPr="00CF7E1B" w14:paraId="11EAECB0"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66"/>
        </w:trPr>
        <w:tc>
          <w:tcPr>
            <w:tcW w:w="745" w:type="pct"/>
            <w:vMerge/>
            <w:tcBorders>
              <w:left w:val="single" w:sz="2" w:space="0" w:color="auto"/>
              <w:right w:val="single" w:sz="2" w:space="0" w:color="auto"/>
            </w:tcBorders>
          </w:tcPr>
          <w:p w14:paraId="01B2AEE7" w14:textId="77777777" w:rsidR="009E2F17" w:rsidRPr="00550735" w:rsidRDefault="009E2F17" w:rsidP="00AF59A3">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3EEC7FAD" w14:textId="018A915E" w:rsidR="009E2F17" w:rsidRPr="00E35CD2" w:rsidRDefault="009E2F17" w:rsidP="009E2F17">
            <w:pPr>
              <w:pStyle w:val="CommentaryText"/>
              <w:tabs>
                <w:tab w:val="left" w:pos="3306"/>
              </w:tabs>
              <w:spacing w:after="0"/>
              <w:rPr>
                <w:rFonts w:cs="Calibri"/>
                <w:bCs/>
                <w:color w:val="E7E6E6" w:themeColor="background2"/>
                <w:szCs w:val="20"/>
              </w:rPr>
            </w:pPr>
            <w:r w:rsidRPr="00E35CD2">
              <w:rPr>
                <w:rFonts w:cs="Calibri"/>
                <w:b/>
                <w:bCs/>
                <w:color w:val="E7E6E6" w:themeColor="background2"/>
                <w:szCs w:val="20"/>
              </w:rPr>
              <w:t>Assets and Liabilities</w:t>
            </w:r>
          </w:p>
        </w:tc>
      </w:tr>
      <w:tr w:rsidR="00AF59A3" w:rsidRPr="00CF7E1B" w14:paraId="4C5705F2"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5E711497" w14:textId="5133EBB8" w:rsidR="00AF59A3" w:rsidRPr="00550735" w:rsidRDefault="00AF59A3" w:rsidP="00AF59A3">
            <w:pPr>
              <w:pStyle w:val="TableReference"/>
              <w:tabs>
                <w:tab w:val="left" w:pos="3306"/>
              </w:tabs>
              <w:spacing w:before="60"/>
              <w:rPr>
                <w:rFonts w:cs="Calibri"/>
                <w:color w:val="7030A0"/>
                <w:sz w:val="14"/>
              </w:rPr>
            </w:pPr>
            <w:r w:rsidRPr="00550735">
              <w:rPr>
                <w:color w:val="7030A0"/>
                <w:sz w:val="14"/>
              </w:rPr>
              <w:t>AASB 101.125, AASB 101.127</w:t>
            </w:r>
          </w:p>
        </w:tc>
        <w:tc>
          <w:tcPr>
            <w:tcW w:w="4255" w:type="pct"/>
            <w:tcBorders>
              <w:left w:val="single" w:sz="2" w:space="0" w:color="auto"/>
            </w:tcBorders>
            <w:shd w:val="clear" w:color="auto" w:fill="7030A0"/>
          </w:tcPr>
          <w:p w14:paraId="332FD04E" w14:textId="77F1F13A" w:rsidR="00AF59A3" w:rsidRPr="00550735" w:rsidRDefault="00AF59A3" w:rsidP="00AF59A3">
            <w:pPr>
              <w:pStyle w:val="CommentaryText"/>
              <w:tabs>
                <w:tab w:val="left" w:pos="3306"/>
              </w:tabs>
              <w:spacing w:after="0"/>
              <w:rPr>
                <w:rFonts w:cs="Calibri"/>
                <w:b/>
                <w:bCs/>
                <w:color w:val="E7E6E6" w:themeColor="background2"/>
                <w:sz w:val="18"/>
                <w:szCs w:val="18"/>
              </w:rPr>
            </w:pPr>
            <w:r w:rsidRPr="00550735">
              <w:rPr>
                <w:rFonts w:cs="Calibri"/>
                <w:color w:val="E7E6E6" w:themeColor="background2"/>
                <w:sz w:val="18"/>
                <w:szCs w:val="18"/>
              </w:rPr>
              <w:t>All key assumptions concerning the future, that have a significant risk of causing material adjustments to carrying amounts of assets and liabilities within the next reporting period, must be disclosed.</w:t>
            </w:r>
            <w:r w:rsidR="00FA7C77">
              <w:rPr>
                <w:rFonts w:cs="Calibri"/>
                <w:color w:val="E7E6E6" w:themeColor="background2"/>
                <w:sz w:val="18"/>
                <w:szCs w:val="18"/>
              </w:rPr>
              <w:t xml:space="preserve"> </w:t>
            </w:r>
            <w:r w:rsidRPr="00550735">
              <w:rPr>
                <w:rFonts w:cs="Calibri"/>
                <w:color w:val="E7E6E6" w:themeColor="background2"/>
                <w:sz w:val="18"/>
                <w:szCs w:val="18"/>
              </w:rPr>
              <w:t>This disclosure will contain details of their nature and their carrying amounts as at the reporting date. The assumptions and other sources of estimation uncertainty disclosed in accordance with AASB 101.125 relate to the estimates that require management’s most difficult, subjective or complex judgements.</w:t>
            </w:r>
          </w:p>
        </w:tc>
      </w:tr>
      <w:tr w:rsidR="00AF59A3" w:rsidRPr="00CF7E1B" w14:paraId="6E3A5694"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41BEF77" w14:textId="77777777" w:rsidR="00AF59A3" w:rsidRPr="00550735" w:rsidRDefault="00AF59A3" w:rsidP="00AF59A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7EBE867D" w14:textId="095B9889" w:rsidR="00AF59A3" w:rsidRPr="00E35CD2" w:rsidRDefault="00AF59A3" w:rsidP="00AF59A3">
            <w:pPr>
              <w:pStyle w:val="CommentaryText"/>
              <w:tabs>
                <w:tab w:val="left" w:pos="3306"/>
              </w:tabs>
              <w:spacing w:before="120" w:after="0"/>
              <w:rPr>
                <w:rFonts w:cs="Calibri"/>
                <w:color w:val="E7E6E6" w:themeColor="background2"/>
                <w:szCs w:val="20"/>
              </w:rPr>
            </w:pPr>
            <w:r w:rsidRPr="00E35CD2">
              <w:rPr>
                <w:rFonts w:cs="Calibri"/>
                <w:b/>
                <w:bCs/>
                <w:color w:val="E7E6E6" w:themeColor="background2"/>
                <w:szCs w:val="20"/>
              </w:rPr>
              <w:t>Other Judgements and Estimates</w:t>
            </w:r>
          </w:p>
        </w:tc>
      </w:tr>
      <w:tr w:rsidR="00AF59A3" w:rsidRPr="00CF7E1B" w14:paraId="6F99CA76"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B1BD455" w14:textId="77777777" w:rsidR="00AF59A3" w:rsidRPr="00550735" w:rsidRDefault="00AF59A3" w:rsidP="00AF59A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05AD9780" w14:textId="467225F8" w:rsidR="00AF59A3" w:rsidRPr="00550735" w:rsidRDefault="00AF59A3" w:rsidP="00AF59A3">
            <w:pPr>
              <w:pStyle w:val="CommentaryText"/>
              <w:tabs>
                <w:tab w:val="left" w:pos="3306"/>
              </w:tabs>
              <w:spacing w:before="120" w:after="0"/>
              <w:rPr>
                <w:rFonts w:cs="Calibri"/>
                <w:b/>
                <w:bCs/>
                <w:color w:val="E7E6E6" w:themeColor="background2"/>
                <w:sz w:val="18"/>
                <w:szCs w:val="18"/>
              </w:rPr>
            </w:pPr>
            <w:r w:rsidRPr="00550735">
              <w:rPr>
                <w:rFonts w:cs="Calibri"/>
                <w:color w:val="E7E6E6" w:themeColor="background2"/>
                <w:sz w:val="18"/>
                <w:szCs w:val="18"/>
              </w:rPr>
              <w:t>For other significant accounting judgements and estimates they will be specific to each agency.</w:t>
            </w:r>
            <w:r w:rsidR="00FA7C77">
              <w:rPr>
                <w:rFonts w:cs="Calibri"/>
                <w:color w:val="E7E6E6" w:themeColor="background2"/>
                <w:sz w:val="18"/>
                <w:szCs w:val="18"/>
              </w:rPr>
              <w:t xml:space="preserve"> </w:t>
            </w:r>
            <w:r w:rsidRPr="00550735">
              <w:rPr>
                <w:color w:val="E7E6E6" w:themeColor="background2"/>
                <w:sz w:val="18"/>
                <w:szCs w:val="18"/>
              </w:rPr>
              <w:t>Where an agency has made a specific significant accounting judgement or estimate this must be disclosed. For example, the Superannuation Provision Account makes significant accounting estimates in relation to the superannuation liability</w:t>
            </w:r>
            <w:r w:rsidRPr="00550735">
              <w:rPr>
                <w:rFonts w:cs="Calibri"/>
                <w:b/>
                <w:color w:val="E7E6E6" w:themeColor="background2"/>
                <w:sz w:val="18"/>
                <w:szCs w:val="18"/>
              </w:rPr>
              <w:t>.</w:t>
            </w:r>
          </w:p>
        </w:tc>
      </w:tr>
      <w:tr w:rsidR="00AF59A3" w:rsidRPr="00CF7E1B" w14:paraId="1F5B19FB"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41960767" w14:textId="77777777" w:rsidR="00AF59A3" w:rsidRPr="00550735" w:rsidRDefault="00AF59A3" w:rsidP="00AF59A3">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33A6C187" w14:textId="1C7F202D" w:rsidR="00AF59A3" w:rsidRPr="00E35CD2" w:rsidRDefault="00AF59A3" w:rsidP="00AF59A3">
            <w:pPr>
              <w:pStyle w:val="CommentaryText"/>
              <w:tabs>
                <w:tab w:val="left" w:pos="3306"/>
              </w:tabs>
              <w:spacing w:before="120" w:after="0"/>
              <w:rPr>
                <w:rFonts w:cs="Calibri"/>
                <w:b/>
                <w:bCs/>
                <w:color w:val="E7E6E6" w:themeColor="background2"/>
                <w:szCs w:val="20"/>
              </w:rPr>
            </w:pPr>
            <w:r w:rsidRPr="00E35CD2">
              <w:rPr>
                <w:rFonts w:cs="Calibri"/>
                <w:b/>
                <w:bCs/>
                <w:color w:val="E7E6E6" w:themeColor="background2"/>
                <w:szCs w:val="20"/>
              </w:rPr>
              <w:t>Going Concern</w:t>
            </w:r>
          </w:p>
        </w:tc>
      </w:tr>
      <w:tr w:rsidR="00AF59A3" w:rsidRPr="00CF7E1B" w14:paraId="6D9C19D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cantSplit/>
          <w:trHeight w:val="23"/>
        </w:trPr>
        <w:tc>
          <w:tcPr>
            <w:tcW w:w="745" w:type="pct"/>
            <w:tcBorders>
              <w:left w:val="single" w:sz="2" w:space="0" w:color="auto"/>
              <w:right w:val="single" w:sz="2" w:space="0" w:color="auto"/>
            </w:tcBorders>
          </w:tcPr>
          <w:p w14:paraId="29CAE011" w14:textId="2582BFCF" w:rsidR="00AF59A3" w:rsidRPr="00550735" w:rsidRDefault="00AF59A3" w:rsidP="00E35CD2">
            <w:pPr>
              <w:pStyle w:val="TableReference"/>
              <w:tabs>
                <w:tab w:val="left" w:pos="3306"/>
              </w:tabs>
              <w:spacing w:before="60" w:after="40"/>
              <w:rPr>
                <w:rFonts w:cs="Calibri"/>
                <w:color w:val="7030A0"/>
                <w:sz w:val="14"/>
              </w:rPr>
            </w:pPr>
            <w:r w:rsidRPr="00550735">
              <w:rPr>
                <w:color w:val="7030A0"/>
                <w:sz w:val="14"/>
              </w:rPr>
              <w:t>AASB 101. 25-26</w:t>
            </w:r>
          </w:p>
        </w:tc>
        <w:tc>
          <w:tcPr>
            <w:tcW w:w="4255" w:type="pct"/>
            <w:tcBorders>
              <w:left w:val="single" w:sz="2" w:space="0" w:color="auto"/>
            </w:tcBorders>
            <w:shd w:val="clear" w:color="auto" w:fill="7030A0"/>
          </w:tcPr>
          <w:p w14:paraId="6702B30E" w14:textId="386197DD" w:rsidR="00AF59A3" w:rsidRPr="00550735" w:rsidRDefault="00AF59A3" w:rsidP="001D66DB">
            <w:pPr>
              <w:pStyle w:val="CommentaryText"/>
              <w:tabs>
                <w:tab w:val="left" w:pos="3306"/>
              </w:tabs>
              <w:spacing w:before="40"/>
              <w:rPr>
                <w:rFonts w:cs="Calibri"/>
                <w:b/>
                <w:bCs/>
                <w:color w:val="E7E6E6" w:themeColor="background2"/>
                <w:sz w:val="18"/>
                <w:szCs w:val="18"/>
              </w:rPr>
            </w:pPr>
            <w:r w:rsidRPr="00550735">
              <w:rPr>
                <w:color w:val="E7E6E6" w:themeColor="background2"/>
                <w:sz w:val="18"/>
                <w:szCs w:val="18"/>
              </w:rPr>
              <w:t>When preparing financial statements, management shall make an assessment of the agency’s ability to continue as a going concern.</w:t>
            </w:r>
            <w:r w:rsidR="00FA7C77">
              <w:rPr>
                <w:color w:val="E7E6E6" w:themeColor="background2"/>
                <w:sz w:val="18"/>
                <w:szCs w:val="18"/>
              </w:rPr>
              <w:t xml:space="preserve"> </w:t>
            </w:r>
            <w:r w:rsidRPr="00550735">
              <w:rPr>
                <w:color w:val="E7E6E6" w:themeColor="background2"/>
                <w:sz w:val="18"/>
                <w:szCs w:val="18"/>
              </w:rPr>
              <w:t>The general presumption for government agencies is that they will continue to perform their current functions and activities.</w:t>
            </w:r>
            <w:r w:rsidR="00FA7C77">
              <w:rPr>
                <w:color w:val="E7E6E6" w:themeColor="background2"/>
                <w:sz w:val="18"/>
                <w:szCs w:val="18"/>
              </w:rPr>
              <w:t xml:space="preserve"> </w:t>
            </w:r>
            <w:r w:rsidRPr="00550735">
              <w:rPr>
                <w:color w:val="E7E6E6" w:themeColor="background2"/>
                <w:sz w:val="18"/>
                <w:szCs w:val="18"/>
              </w:rPr>
              <w:t xml:space="preserve"> </w:t>
            </w:r>
          </w:p>
        </w:tc>
      </w:tr>
      <w:tr w:rsidR="009E2F17" w:rsidRPr="00CF7E1B" w14:paraId="4F00291A"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7E778F62" w14:textId="77777777" w:rsidR="009E2F17" w:rsidRPr="00550735" w:rsidRDefault="009E2F17" w:rsidP="00BD1DCB">
            <w:pPr>
              <w:pStyle w:val="TableReference"/>
              <w:tabs>
                <w:tab w:val="left" w:pos="3306"/>
              </w:tabs>
              <w:rPr>
                <w:rFonts w:cs="Calibri"/>
                <w:color w:val="7030A0"/>
                <w:sz w:val="22"/>
                <w:szCs w:val="22"/>
              </w:rPr>
            </w:pPr>
            <w:r w:rsidRPr="00550735">
              <w:rPr>
                <w:rFonts w:cs="Calibri"/>
                <w:b/>
                <w:color w:val="7030A0"/>
                <w:sz w:val="22"/>
                <w:szCs w:val="22"/>
              </w:rPr>
              <w:t>Reference</w:t>
            </w:r>
          </w:p>
        </w:tc>
        <w:tc>
          <w:tcPr>
            <w:tcW w:w="4255" w:type="pct"/>
            <w:tcBorders>
              <w:left w:val="single" w:sz="2" w:space="0" w:color="auto"/>
            </w:tcBorders>
            <w:shd w:val="clear" w:color="auto" w:fill="7030A0"/>
          </w:tcPr>
          <w:p w14:paraId="4BC4911F" w14:textId="4EF53CEC" w:rsidR="009E2F17" w:rsidRPr="00550735" w:rsidRDefault="009E2F17" w:rsidP="00BD1DCB">
            <w:pPr>
              <w:pStyle w:val="CommentaryTitle"/>
              <w:spacing w:before="0" w:after="0"/>
              <w:rPr>
                <w:rFonts w:cs="Calibri"/>
                <w:color w:val="E7E6E6" w:themeColor="background2"/>
              </w:rPr>
            </w:pPr>
            <w:r w:rsidRPr="00AC471F">
              <w:rPr>
                <w:rFonts w:cs="Calibri"/>
                <w:color w:val="FFFFFF" w:themeColor="background1"/>
                <w:sz w:val="28"/>
                <w:szCs w:val="28"/>
              </w:rPr>
              <w:t xml:space="preserve">Commentary </w:t>
            </w:r>
            <w:r w:rsidRPr="00AC471F">
              <w:rPr>
                <w:rFonts w:cs="Calibri"/>
                <w:color w:val="FFFFFF" w:themeColor="background1"/>
                <w:sz w:val="28"/>
                <w:szCs w:val="28"/>
              </w:rPr>
              <w:sym w:font="Symbol" w:char="F02D"/>
            </w:r>
            <w:r w:rsidRPr="00AC471F">
              <w:rPr>
                <w:rFonts w:cs="Calibri"/>
                <w:color w:val="FFFFFF" w:themeColor="background1"/>
                <w:sz w:val="28"/>
                <w:szCs w:val="28"/>
              </w:rPr>
              <w:t xml:space="preserve"> Note 2: Basis of Preparation of the Financial Statements </w:t>
            </w:r>
            <w:r w:rsidR="00AC471F" w:rsidRPr="00AC471F">
              <w:rPr>
                <w:rFonts w:cs="Calibri"/>
                <w:color w:val="FFFFFF" w:themeColor="background1"/>
                <w:sz w:val="28"/>
                <w:szCs w:val="28"/>
              </w:rPr>
              <w:t>–</w:t>
            </w:r>
            <w:r w:rsidRPr="00AC471F">
              <w:rPr>
                <w:rFonts w:cs="Calibri"/>
                <w:color w:val="FFFFFF" w:themeColor="background1"/>
                <w:sz w:val="28"/>
                <w:szCs w:val="28"/>
              </w:rPr>
              <w:t xml:space="preserve"> Continued</w:t>
            </w:r>
            <w:r w:rsidR="00AC471F">
              <w:rPr>
                <w:rFonts w:cs="Calibri"/>
                <w:b w:val="0"/>
                <w:bCs w:val="0"/>
                <w:color w:val="E7E6E6" w:themeColor="background2"/>
                <w:sz w:val="28"/>
                <w:szCs w:val="28"/>
              </w:rPr>
              <w:t xml:space="preserve"> </w:t>
            </w:r>
          </w:p>
        </w:tc>
      </w:tr>
      <w:tr w:rsidR="007C3EDD" w:rsidRPr="00CF7E1B" w14:paraId="504DC3B8"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7A76012A" w14:textId="77777777" w:rsidR="007C3EDD" w:rsidRPr="00550735" w:rsidRDefault="007C3EDD" w:rsidP="009A0F2F">
            <w:pPr>
              <w:pStyle w:val="TableReference"/>
              <w:tabs>
                <w:tab w:val="left" w:pos="3306"/>
              </w:tabs>
              <w:spacing w:before="60"/>
              <w:rPr>
                <w:rFonts w:cs="Calibri"/>
                <w:b/>
                <w:color w:val="7030A0"/>
                <w:sz w:val="22"/>
                <w:szCs w:val="22"/>
              </w:rPr>
            </w:pPr>
          </w:p>
        </w:tc>
        <w:tc>
          <w:tcPr>
            <w:tcW w:w="4255" w:type="pct"/>
            <w:tcBorders>
              <w:left w:val="single" w:sz="2" w:space="0" w:color="auto"/>
            </w:tcBorders>
            <w:shd w:val="clear" w:color="auto" w:fill="7030A0"/>
          </w:tcPr>
          <w:p w14:paraId="1C1798CD" w14:textId="46639827" w:rsidR="007C3EDD" w:rsidRPr="00AC471F" w:rsidRDefault="007C3EDD" w:rsidP="00AC471F">
            <w:pPr>
              <w:pStyle w:val="CommentaryTitle"/>
              <w:spacing w:after="120"/>
              <w:rPr>
                <w:rFonts w:cs="Calibri"/>
                <w:b w:val="0"/>
                <w:bCs w:val="0"/>
                <w:color w:val="FFFFFF" w:themeColor="background1"/>
                <w:sz w:val="18"/>
                <w:szCs w:val="18"/>
              </w:rPr>
            </w:pPr>
            <w:r w:rsidRPr="00AC471F">
              <w:rPr>
                <w:rFonts w:cs="Calibri"/>
                <w:b w:val="0"/>
                <w:bCs w:val="0"/>
                <w:color w:val="FFFFFF" w:themeColor="background1"/>
                <w:sz w:val="18"/>
                <w:szCs w:val="18"/>
              </w:rPr>
              <w:t>Where current assets and current liabilities are assessed by territorial authorities and territory owned corporations as part of a going concern analysis, dislcosure of the of the analysis</w:t>
            </w:r>
            <w:r w:rsidR="00483CC4" w:rsidRPr="00AC471F">
              <w:rPr>
                <w:rFonts w:cs="Calibri"/>
                <w:b w:val="0"/>
                <w:bCs w:val="0"/>
                <w:color w:val="FFFFFF" w:themeColor="background1"/>
                <w:sz w:val="18"/>
                <w:szCs w:val="18"/>
              </w:rPr>
              <w:t xml:space="preserve"> should be </w:t>
            </w:r>
            <w:r w:rsidR="00687AD5" w:rsidRPr="00AC471F">
              <w:rPr>
                <w:rFonts w:cs="Calibri"/>
                <w:b w:val="0"/>
                <w:bCs w:val="0"/>
                <w:color w:val="FFFFFF" w:themeColor="background1"/>
                <w:sz w:val="18"/>
                <w:szCs w:val="18"/>
              </w:rPr>
              <w:t>included</w:t>
            </w:r>
            <w:r w:rsidR="00483CC4" w:rsidRPr="00AC471F">
              <w:rPr>
                <w:rFonts w:cs="Calibri"/>
                <w:b w:val="0"/>
                <w:bCs w:val="0"/>
                <w:color w:val="FFFFFF" w:themeColor="background1"/>
                <w:sz w:val="18"/>
                <w:szCs w:val="18"/>
              </w:rPr>
              <w:t>.</w:t>
            </w:r>
          </w:p>
        </w:tc>
      </w:tr>
      <w:tr w:rsidR="009E2F17" w:rsidRPr="00CF7E1B" w14:paraId="17259233"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4F144D8F" w14:textId="77777777" w:rsidR="009E2F17" w:rsidRPr="00550735" w:rsidRDefault="009E2F17" w:rsidP="00AF59A3">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58F05624" w14:textId="50EE0F96" w:rsidR="009E2F17" w:rsidRPr="009E2F17" w:rsidRDefault="009E2F17" w:rsidP="00AF59A3">
            <w:pPr>
              <w:pStyle w:val="CommentaryText"/>
              <w:tabs>
                <w:tab w:val="left" w:pos="3306"/>
              </w:tabs>
              <w:spacing w:before="120" w:after="0"/>
              <w:rPr>
                <w:color w:val="E7E6E6" w:themeColor="background2"/>
                <w:sz w:val="18"/>
                <w:szCs w:val="18"/>
              </w:rPr>
            </w:pPr>
            <w:r w:rsidRPr="009E2F17">
              <w:rPr>
                <w:color w:val="E7E6E6" w:themeColor="background2"/>
                <w:sz w:val="18"/>
                <w:szCs w:val="18"/>
              </w:rPr>
              <w:t>From time to time, the government may decide through an administrative arrangement change, or similar event, to move functions across agencies and/or create new agencies (or more rarely cease an agency’s activities or sell off an agency).</w:t>
            </w:r>
            <w:r w:rsidR="00FA7C77">
              <w:rPr>
                <w:color w:val="E7E6E6" w:themeColor="background2"/>
                <w:sz w:val="18"/>
                <w:szCs w:val="18"/>
              </w:rPr>
              <w:t xml:space="preserve"> </w:t>
            </w:r>
            <w:r w:rsidRPr="009E2F17">
              <w:rPr>
                <w:color w:val="E7E6E6" w:themeColor="background2"/>
                <w:sz w:val="18"/>
                <w:szCs w:val="18"/>
              </w:rPr>
              <w:t>Agencies should disclose where it is known they will cease to be a separate reporting entity, due to an administrative arrangement change, or similar event.</w:t>
            </w:r>
            <w:r w:rsidR="00FA7C77">
              <w:rPr>
                <w:color w:val="E7E6E6" w:themeColor="background2"/>
                <w:sz w:val="18"/>
                <w:szCs w:val="18"/>
              </w:rPr>
              <w:t xml:space="preserve"> </w:t>
            </w:r>
            <w:r w:rsidRPr="009E2F17">
              <w:rPr>
                <w:color w:val="E7E6E6" w:themeColor="background2"/>
                <w:sz w:val="18"/>
                <w:szCs w:val="18"/>
              </w:rPr>
              <w:t xml:space="preserve"> An example disclosure would read</w:t>
            </w:r>
            <w:r w:rsidR="00FA7C77">
              <w:rPr>
                <w:color w:val="E7E6E6" w:themeColor="background2"/>
                <w:sz w:val="18"/>
                <w:szCs w:val="18"/>
              </w:rPr>
              <w:t xml:space="preserve"> </w:t>
            </w:r>
            <w:r w:rsidRPr="009E2F17">
              <w:rPr>
                <w:color w:val="E7E6E6" w:themeColor="background2"/>
                <w:sz w:val="18"/>
                <w:szCs w:val="18"/>
              </w:rPr>
              <w:t>“As a result of Administrative Arrangement 20X0 (No.1), notifiable instrument NI 20X0-XXX, announced on 30 May 20X0 ‘Burley Griffin Agency’ ceases as a separate reporting entity on 1 July 20XX”. ‘Burley Griffin Agency’s’ functions were transferred to ‘New Agency’.</w:t>
            </w:r>
          </w:p>
        </w:tc>
      </w:tr>
      <w:tr w:rsidR="009E2F17" w:rsidRPr="00CF7E1B" w14:paraId="470AAFB1"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0B04F5EE" w14:textId="77777777" w:rsidR="009E2F17" w:rsidRPr="009E2F17" w:rsidRDefault="009E2F17" w:rsidP="00AF59A3">
            <w:pPr>
              <w:pStyle w:val="TableReference"/>
              <w:tabs>
                <w:tab w:val="left" w:pos="3306"/>
              </w:tabs>
              <w:spacing w:before="60"/>
              <w:rPr>
                <w:color w:val="7030A0"/>
                <w:sz w:val="14"/>
              </w:rPr>
            </w:pPr>
          </w:p>
        </w:tc>
        <w:tc>
          <w:tcPr>
            <w:tcW w:w="4255" w:type="pct"/>
            <w:tcBorders>
              <w:left w:val="single" w:sz="2" w:space="0" w:color="auto"/>
            </w:tcBorders>
            <w:shd w:val="clear" w:color="auto" w:fill="7030A0"/>
          </w:tcPr>
          <w:p w14:paraId="585B70FE" w14:textId="77897EDA" w:rsidR="009E2F17" w:rsidRPr="00AC471F" w:rsidRDefault="009E2F17" w:rsidP="009E2F17">
            <w:pPr>
              <w:pStyle w:val="CommentaryText"/>
              <w:tabs>
                <w:tab w:val="left" w:pos="3306"/>
              </w:tabs>
              <w:spacing w:before="120" w:after="0"/>
              <w:rPr>
                <w:color w:val="E7E6E6" w:themeColor="background2"/>
                <w:szCs w:val="20"/>
              </w:rPr>
            </w:pPr>
            <w:r w:rsidRPr="00AC471F">
              <w:rPr>
                <w:b/>
                <w:bCs/>
                <w:color w:val="E7E6E6" w:themeColor="background2"/>
                <w:szCs w:val="20"/>
              </w:rPr>
              <w:t>Statement of Compliance with International Financial Reporting Standards (IFRSs)</w:t>
            </w:r>
          </w:p>
        </w:tc>
      </w:tr>
      <w:tr w:rsidR="009E2F17" w:rsidRPr="00CF7E1B" w14:paraId="1A8002DA" w14:textId="77777777" w:rsidTr="00B513E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745" w:type="pct"/>
            <w:tcBorders>
              <w:left w:val="single" w:sz="2" w:space="0" w:color="auto"/>
              <w:right w:val="single" w:sz="2" w:space="0" w:color="auto"/>
            </w:tcBorders>
          </w:tcPr>
          <w:p w14:paraId="5822F7EC" w14:textId="77777777" w:rsidR="009E2F17" w:rsidRPr="009E2F17" w:rsidRDefault="009E2F17" w:rsidP="009E2F17">
            <w:pPr>
              <w:pStyle w:val="TableReference"/>
              <w:tabs>
                <w:tab w:val="left" w:pos="3306"/>
              </w:tabs>
              <w:spacing w:before="60"/>
              <w:rPr>
                <w:color w:val="7030A0"/>
                <w:sz w:val="14"/>
              </w:rPr>
            </w:pPr>
            <w:r w:rsidRPr="009E2F17">
              <w:rPr>
                <w:color w:val="7030A0"/>
                <w:sz w:val="14"/>
              </w:rPr>
              <w:t xml:space="preserve">AASB 101.16 </w:t>
            </w:r>
          </w:p>
          <w:p w14:paraId="70EADE88" w14:textId="508E06A7" w:rsidR="009E2F17" w:rsidRPr="009E2F17" w:rsidRDefault="009E2F17" w:rsidP="009E2F17">
            <w:pPr>
              <w:pStyle w:val="TableReference"/>
              <w:tabs>
                <w:tab w:val="left" w:pos="3306"/>
              </w:tabs>
              <w:spacing w:before="60"/>
              <w:rPr>
                <w:color w:val="7030A0"/>
                <w:sz w:val="14"/>
              </w:rPr>
            </w:pPr>
            <w:r w:rsidRPr="009E2F17">
              <w:rPr>
                <w:color w:val="7030A0"/>
                <w:sz w:val="14"/>
              </w:rPr>
              <w:t>AASB 101.Aus16.3</w:t>
            </w:r>
          </w:p>
        </w:tc>
        <w:tc>
          <w:tcPr>
            <w:tcW w:w="4255" w:type="pct"/>
            <w:tcBorders>
              <w:left w:val="single" w:sz="2" w:space="0" w:color="auto"/>
            </w:tcBorders>
            <w:shd w:val="clear" w:color="auto" w:fill="7030A0"/>
          </w:tcPr>
          <w:p w14:paraId="7D680475" w14:textId="3096DB10" w:rsidR="009E2F17" w:rsidRPr="009E2F17" w:rsidRDefault="009E2F17" w:rsidP="001D66DB">
            <w:pPr>
              <w:pStyle w:val="CommentaryText"/>
              <w:tabs>
                <w:tab w:val="left" w:pos="3306"/>
              </w:tabs>
              <w:spacing w:before="40"/>
              <w:rPr>
                <w:color w:val="E7E6E6" w:themeColor="background2"/>
                <w:sz w:val="18"/>
                <w:szCs w:val="18"/>
              </w:rPr>
            </w:pPr>
            <w:r w:rsidRPr="009E2F17">
              <w:rPr>
                <w:color w:val="E7E6E6" w:themeColor="background2"/>
                <w:sz w:val="18"/>
                <w:szCs w:val="18"/>
              </w:rPr>
              <w:t>For-profit authorities are required to make an explicit and unreserved statement of compliance with IFRS in the notes where their financial statements comply with IFRSs. Compliance with Australian Accounting Standards by for- profit agencies will not necessarily lead to compliance with IFRSs.</w:t>
            </w:r>
          </w:p>
        </w:tc>
      </w:tr>
      <w:tr w:rsidR="000144FF" w:rsidRPr="00CF7E1B" w14:paraId="3562C08E" w14:textId="77777777" w:rsidTr="00B513E5">
        <w:tc>
          <w:tcPr>
            <w:tcW w:w="745" w:type="pct"/>
            <w:tcBorders>
              <w:top w:val="nil"/>
              <w:left w:val="single" w:sz="2" w:space="0" w:color="auto"/>
              <w:bottom w:val="nil"/>
              <w:right w:val="single" w:sz="2" w:space="0" w:color="auto"/>
            </w:tcBorders>
          </w:tcPr>
          <w:p w14:paraId="5177F450" w14:textId="5E1C2DFD" w:rsidR="000144FF" w:rsidRPr="009E2F17" w:rsidRDefault="000144FF">
            <w:pPr>
              <w:pStyle w:val="TableReference"/>
              <w:tabs>
                <w:tab w:val="left" w:pos="3306"/>
              </w:tabs>
              <w:spacing w:before="80"/>
              <w:rPr>
                <w:rFonts w:cs="Calibri"/>
                <w:color w:val="7030A0"/>
                <w:sz w:val="22"/>
                <w:szCs w:val="22"/>
                <w:highlight w:val="yellow"/>
              </w:rPr>
            </w:pPr>
          </w:p>
        </w:tc>
        <w:tc>
          <w:tcPr>
            <w:tcW w:w="4255" w:type="pct"/>
            <w:tcBorders>
              <w:top w:val="nil"/>
              <w:left w:val="single" w:sz="2" w:space="0" w:color="auto"/>
              <w:bottom w:val="nil"/>
              <w:right w:val="nil"/>
            </w:tcBorders>
          </w:tcPr>
          <w:p w14:paraId="01E47B81" w14:textId="35D0921B" w:rsidR="000144FF" w:rsidRPr="009E2F17" w:rsidRDefault="007D50BC" w:rsidP="00635FDB">
            <w:pPr>
              <w:pStyle w:val="Heading1"/>
              <w:numPr>
                <w:ilvl w:val="0"/>
                <w:numId w:val="0"/>
              </w:numPr>
              <w:rPr>
                <w:rFonts w:asciiTheme="minorHAnsi" w:hAnsiTheme="minorHAnsi" w:cstheme="minorHAnsi"/>
                <w:sz w:val="36"/>
                <w:szCs w:val="36"/>
                <w:highlight w:val="yellow"/>
              </w:rPr>
            </w:pPr>
            <w:bookmarkStart w:id="300" w:name="_Toc48468325"/>
            <w:bookmarkStart w:id="301" w:name="_Toc49155492"/>
            <w:bookmarkStart w:id="302" w:name="_Toc49223954"/>
            <w:bookmarkStart w:id="303" w:name="_Ref50257711"/>
            <w:bookmarkStart w:id="304" w:name="_Toc50440334"/>
            <w:bookmarkStart w:id="305" w:name="_Ref50523801"/>
            <w:bookmarkStart w:id="306" w:name="_Toc123096415"/>
            <w:bookmarkStart w:id="307" w:name="_Toc400627319"/>
            <w:bookmarkStart w:id="308" w:name="SummarySignificantAccPolicies"/>
            <w:bookmarkStart w:id="309" w:name="_Toc98763039"/>
            <w:r w:rsidRPr="009E2F17">
              <w:rPr>
                <w:rFonts w:asciiTheme="minorHAnsi" w:hAnsiTheme="minorHAnsi" w:cstheme="minorHAnsi"/>
                <w:sz w:val="36"/>
                <w:szCs w:val="36"/>
              </w:rPr>
              <w:t>N</w:t>
            </w:r>
            <w:r w:rsidR="00960982" w:rsidRPr="009E2F17">
              <w:rPr>
                <w:rFonts w:asciiTheme="minorHAnsi" w:hAnsiTheme="minorHAnsi" w:cstheme="minorHAnsi"/>
                <w:sz w:val="36"/>
                <w:szCs w:val="36"/>
              </w:rPr>
              <w:t>ote</w:t>
            </w:r>
            <w:r w:rsidRPr="009E2F17">
              <w:rPr>
                <w:rFonts w:asciiTheme="minorHAnsi" w:hAnsiTheme="minorHAnsi" w:cstheme="minorHAnsi"/>
                <w:sz w:val="36"/>
                <w:szCs w:val="36"/>
              </w:rPr>
              <w:t xml:space="preserve"> </w:t>
            </w:r>
            <w:r w:rsidR="00DD2353" w:rsidRPr="009E2F17">
              <w:rPr>
                <w:rFonts w:asciiTheme="minorHAnsi" w:hAnsiTheme="minorHAnsi" w:cstheme="minorHAnsi"/>
                <w:sz w:val="36"/>
                <w:szCs w:val="36"/>
              </w:rPr>
              <w:t>3</w:t>
            </w:r>
            <w:r w:rsidRPr="009E2F17">
              <w:rPr>
                <w:rFonts w:asciiTheme="minorHAnsi" w:hAnsiTheme="minorHAnsi" w:cstheme="minorHAnsi"/>
                <w:sz w:val="36"/>
                <w:szCs w:val="36"/>
              </w:rPr>
              <w:t>.</w:t>
            </w:r>
            <w:r w:rsidR="00FA7C77">
              <w:rPr>
                <w:rFonts w:asciiTheme="minorHAnsi" w:hAnsiTheme="minorHAnsi" w:cstheme="minorHAnsi"/>
                <w:sz w:val="36"/>
                <w:szCs w:val="36"/>
              </w:rPr>
              <w:t xml:space="preserve"> </w:t>
            </w:r>
            <w:r w:rsidRPr="009E2F17">
              <w:rPr>
                <w:rFonts w:asciiTheme="minorHAnsi" w:hAnsiTheme="minorHAnsi" w:cstheme="minorHAnsi"/>
                <w:sz w:val="36"/>
                <w:szCs w:val="36"/>
              </w:rPr>
              <w:t xml:space="preserve"> </w:t>
            </w:r>
            <w:r w:rsidR="00E21512" w:rsidRPr="009E2F17">
              <w:rPr>
                <w:rFonts w:asciiTheme="minorHAnsi" w:hAnsiTheme="minorHAnsi" w:cstheme="minorHAnsi"/>
                <w:sz w:val="36"/>
                <w:szCs w:val="36"/>
              </w:rPr>
              <w:t>Impact of Accounting Standards Issued But Yet to Be Applied</w:t>
            </w:r>
            <w:bookmarkEnd w:id="300"/>
            <w:bookmarkEnd w:id="301"/>
            <w:bookmarkEnd w:id="302"/>
            <w:bookmarkEnd w:id="303"/>
            <w:bookmarkEnd w:id="304"/>
            <w:bookmarkEnd w:id="305"/>
            <w:bookmarkEnd w:id="306"/>
            <w:bookmarkEnd w:id="307"/>
            <w:bookmarkEnd w:id="308"/>
            <w:bookmarkEnd w:id="309"/>
          </w:p>
        </w:tc>
      </w:tr>
      <w:tr w:rsidR="00E16D69" w:rsidRPr="00725106" w14:paraId="59B97866" w14:textId="77777777" w:rsidTr="00B513E5">
        <w:tc>
          <w:tcPr>
            <w:tcW w:w="745" w:type="pct"/>
            <w:tcBorders>
              <w:top w:val="nil"/>
              <w:left w:val="single" w:sz="2" w:space="0" w:color="auto"/>
              <w:bottom w:val="nil"/>
              <w:right w:val="single" w:sz="2" w:space="0" w:color="auto"/>
            </w:tcBorders>
          </w:tcPr>
          <w:p w14:paraId="12264DE1" w14:textId="7580CF07" w:rsidR="00E16D69" w:rsidRPr="009E2F17" w:rsidRDefault="00D9726C" w:rsidP="001604D1">
            <w:pPr>
              <w:pStyle w:val="TableReference"/>
              <w:tabs>
                <w:tab w:val="left" w:pos="3306"/>
              </w:tabs>
              <w:spacing w:before="80"/>
              <w:rPr>
                <w:color w:val="7030A0"/>
                <w:sz w:val="14"/>
              </w:rPr>
            </w:pPr>
            <w:r w:rsidRPr="009E2F17">
              <w:rPr>
                <w:rFonts w:cs="Calibri"/>
                <w:color w:val="7030A0"/>
                <w:sz w:val="14"/>
              </w:rPr>
              <w:t>AASB 101.10(e)</w:t>
            </w:r>
            <w:r w:rsidR="00735CA8" w:rsidRPr="009E2F17">
              <w:rPr>
                <w:color w:val="7030A0"/>
                <w:sz w:val="14"/>
              </w:rPr>
              <w:t xml:space="preserve"> </w:t>
            </w:r>
          </w:p>
        </w:tc>
        <w:tc>
          <w:tcPr>
            <w:tcW w:w="4255" w:type="pct"/>
            <w:tcBorders>
              <w:top w:val="nil"/>
              <w:left w:val="single" w:sz="2" w:space="0" w:color="auto"/>
              <w:bottom w:val="nil"/>
              <w:right w:val="nil"/>
            </w:tcBorders>
          </w:tcPr>
          <w:p w14:paraId="62866ABB" w14:textId="69933F25" w:rsidR="00E16D69" w:rsidRPr="009E2F17" w:rsidRDefault="00D9726C" w:rsidP="00875394">
            <w:pPr>
              <w:pStyle w:val="CommentText"/>
              <w:spacing w:after="120" w:line="276" w:lineRule="auto"/>
              <w:jc w:val="both"/>
              <w:rPr>
                <w:rFonts w:cs="Calibri"/>
                <w:sz w:val="18"/>
                <w:szCs w:val="18"/>
              </w:rPr>
            </w:pPr>
            <w:r w:rsidRPr="009E2F17">
              <w:rPr>
                <w:rFonts w:cs="Calibri"/>
                <w:sz w:val="18"/>
                <w:szCs w:val="18"/>
              </w:rPr>
              <w:t>The information below applies to both the Controlled and Territorial financial statements.</w:t>
            </w:r>
          </w:p>
        </w:tc>
      </w:tr>
      <w:tr w:rsidR="006E5FFB" w:rsidRPr="00725106" w14:paraId="212E600B" w14:textId="77777777" w:rsidTr="00B513E5">
        <w:tc>
          <w:tcPr>
            <w:tcW w:w="745" w:type="pct"/>
            <w:tcBorders>
              <w:top w:val="nil"/>
              <w:left w:val="single" w:sz="2" w:space="0" w:color="auto"/>
              <w:bottom w:val="nil"/>
              <w:right w:val="single" w:sz="2" w:space="0" w:color="auto"/>
            </w:tcBorders>
          </w:tcPr>
          <w:p w14:paraId="12A9DB53" w14:textId="77777777" w:rsidR="006E5FFB" w:rsidRPr="009E2F17" w:rsidRDefault="006E5FFB" w:rsidP="001604D1">
            <w:pPr>
              <w:pStyle w:val="TableReference"/>
              <w:tabs>
                <w:tab w:val="left" w:pos="3306"/>
              </w:tabs>
              <w:spacing w:before="80"/>
              <w:rPr>
                <w:rFonts w:cs="Calibri"/>
                <w:color w:val="7030A0"/>
                <w:sz w:val="14"/>
              </w:rPr>
            </w:pPr>
          </w:p>
        </w:tc>
        <w:tc>
          <w:tcPr>
            <w:tcW w:w="4255" w:type="pct"/>
            <w:tcBorders>
              <w:top w:val="nil"/>
              <w:left w:val="single" w:sz="2" w:space="0" w:color="auto"/>
              <w:bottom w:val="nil"/>
              <w:right w:val="nil"/>
            </w:tcBorders>
          </w:tcPr>
          <w:p w14:paraId="194FB062" w14:textId="6E3A10B9" w:rsidR="006E5FFB" w:rsidRPr="009E2F17" w:rsidRDefault="006E5FFB" w:rsidP="00875394">
            <w:pPr>
              <w:spacing w:after="120" w:line="276" w:lineRule="auto"/>
              <w:jc w:val="both"/>
              <w:rPr>
                <w:sz w:val="18"/>
                <w:szCs w:val="18"/>
              </w:rPr>
            </w:pPr>
            <w:r w:rsidRPr="009E2F17">
              <w:rPr>
                <w:sz w:val="18"/>
                <w:szCs w:val="18"/>
              </w:rPr>
              <w:t>All Australian Accounting Standards and Interpretations issued but yet to be applied are either not relevant to ‘Burley Griffin Agency’ or have been assessed as having an immaterial financial impact on ‘Burley Griffin Agency’.</w:t>
            </w:r>
            <w:r w:rsidR="00FA7C77">
              <w:rPr>
                <w:sz w:val="18"/>
                <w:szCs w:val="18"/>
              </w:rPr>
              <w:t xml:space="preserve"> </w:t>
            </w:r>
          </w:p>
        </w:tc>
      </w:tr>
      <w:tr w:rsidR="00994BEA" w:rsidRPr="00725106" w14:paraId="6E007987" w14:textId="77777777" w:rsidTr="00B513E5">
        <w:tc>
          <w:tcPr>
            <w:tcW w:w="745" w:type="pct"/>
            <w:tcBorders>
              <w:top w:val="nil"/>
              <w:left w:val="single" w:sz="2" w:space="0" w:color="auto"/>
              <w:bottom w:val="nil"/>
              <w:right w:val="single" w:sz="2" w:space="0" w:color="auto"/>
            </w:tcBorders>
          </w:tcPr>
          <w:p w14:paraId="4E9A5701" w14:textId="490F6EFD" w:rsidR="00994BEA" w:rsidRPr="009E2F17" w:rsidRDefault="006E5FFB" w:rsidP="001604D1">
            <w:pPr>
              <w:pStyle w:val="TableReference"/>
              <w:tabs>
                <w:tab w:val="left" w:pos="3306"/>
              </w:tabs>
              <w:spacing w:before="80"/>
              <w:rPr>
                <w:rFonts w:cs="Calibri"/>
                <w:color w:val="7030A0"/>
                <w:sz w:val="14"/>
              </w:rPr>
            </w:pPr>
            <w:r w:rsidRPr="009E2F17">
              <w:rPr>
                <w:color w:val="7030A0"/>
                <w:sz w:val="14"/>
              </w:rPr>
              <w:t>AASB 108.30 &amp; 31</w:t>
            </w:r>
          </w:p>
        </w:tc>
        <w:tc>
          <w:tcPr>
            <w:tcW w:w="4255" w:type="pct"/>
            <w:tcBorders>
              <w:top w:val="nil"/>
              <w:left w:val="single" w:sz="2" w:space="0" w:color="auto"/>
              <w:bottom w:val="nil"/>
              <w:right w:val="nil"/>
            </w:tcBorders>
          </w:tcPr>
          <w:p w14:paraId="1208931D" w14:textId="6C1BF716" w:rsidR="00994BEA" w:rsidRPr="009E2F17" w:rsidRDefault="006E5FFB" w:rsidP="00875394">
            <w:pPr>
              <w:jc w:val="both"/>
              <w:rPr>
                <w:strike/>
                <w:sz w:val="20"/>
                <w:szCs w:val="20"/>
              </w:rPr>
            </w:pPr>
            <w:r w:rsidRPr="009E2F17">
              <w:rPr>
                <w:sz w:val="18"/>
                <w:szCs w:val="18"/>
              </w:rPr>
              <w:t>These standards and interpretations are applicable to future reporting periods.</w:t>
            </w:r>
            <w:r w:rsidR="00FA7C77">
              <w:rPr>
                <w:sz w:val="18"/>
                <w:szCs w:val="18"/>
              </w:rPr>
              <w:t xml:space="preserve"> </w:t>
            </w:r>
            <w:r w:rsidRPr="009E2F17">
              <w:rPr>
                <w:sz w:val="18"/>
                <w:szCs w:val="18"/>
              </w:rPr>
              <w:t xml:space="preserve">‘Burley Griffin Agency’ does not intend to adopt these standards and interpretations early, with the exception of the change to AASB 101 resulting from AASB 2021/2 </w:t>
            </w:r>
            <w:r w:rsidRPr="009E2F17">
              <w:rPr>
                <w:i/>
                <w:iCs/>
                <w:sz w:val="18"/>
                <w:szCs w:val="18"/>
              </w:rPr>
              <w:t>Amendments to Australian Accounting Standards – Disclosure to Accounting Policies and Definitions of Accounting Policies and Definition of Accounting Estimates</w:t>
            </w:r>
            <w:r w:rsidRPr="009E2F17">
              <w:rPr>
                <w:sz w:val="18"/>
                <w:szCs w:val="18"/>
              </w:rPr>
              <w:t>.</w:t>
            </w:r>
            <w:r w:rsidR="00FA7C77">
              <w:rPr>
                <w:sz w:val="18"/>
                <w:szCs w:val="18"/>
              </w:rPr>
              <w:t xml:space="preserve"> </w:t>
            </w:r>
            <w:r w:rsidRPr="009E2F17">
              <w:rPr>
                <w:sz w:val="18"/>
                <w:szCs w:val="18"/>
              </w:rPr>
              <w:t>This change requires the Agency to disclose its material accounting policy information rather than its significant accounting policies.</w:t>
            </w:r>
            <w:r w:rsidR="00FA7C77">
              <w:rPr>
                <w:sz w:val="18"/>
                <w:szCs w:val="18"/>
              </w:rPr>
              <w:t xml:space="preserve"> </w:t>
            </w:r>
            <w:r w:rsidRPr="009E2F17">
              <w:rPr>
                <w:sz w:val="18"/>
                <w:szCs w:val="18"/>
              </w:rPr>
              <w:t>For all other Australian Accounting Standards issued by yet to be applied, they will be adopted from their application date.</w:t>
            </w:r>
          </w:p>
        </w:tc>
      </w:tr>
      <w:tr w:rsidR="00AC471F" w:rsidRPr="00725106" w14:paraId="4082236B" w14:textId="77777777" w:rsidTr="00B513E5">
        <w:tc>
          <w:tcPr>
            <w:tcW w:w="745" w:type="pct"/>
            <w:tcBorders>
              <w:top w:val="nil"/>
              <w:left w:val="single" w:sz="2" w:space="0" w:color="auto"/>
              <w:bottom w:val="nil"/>
              <w:right w:val="single" w:sz="2" w:space="0" w:color="auto"/>
            </w:tcBorders>
          </w:tcPr>
          <w:p w14:paraId="131CF416" w14:textId="77777777" w:rsidR="00AC471F" w:rsidRPr="009E2F17" w:rsidRDefault="00AC471F" w:rsidP="001604D1">
            <w:pPr>
              <w:pStyle w:val="TableReference"/>
              <w:tabs>
                <w:tab w:val="left" w:pos="3306"/>
              </w:tabs>
              <w:spacing w:before="80"/>
              <w:rPr>
                <w:color w:val="7030A0"/>
                <w:sz w:val="14"/>
              </w:rPr>
            </w:pPr>
          </w:p>
        </w:tc>
        <w:tc>
          <w:tcPr>
            <w:tcW w:w="4255" w:type="pct"/>
            <w:tcBorders>
              <w:top w:val="nil"/>
              <w:left w:val="single" w:sz="2" w:space="0" w:color="auto"/>
              <w:bottom w:val="nil"/>
              <w:right w:val="nil"/>
            </w:tcBorders>
          </w:tcPr>
          <w:p w14:paraId="58CCB680" w14:textId="77777777" w:rsidR="00AC471F" w:rsidRPr="009E2F17" w:rsidRDefault="00AC471F" w:rsidP="00875394">
            <w:pPr>
              <w:jc w:val="both"/>
              <w:rPr>
                <w:sz w:val="18"/>
                <w:szCs w:val="18"/>
              </w:rPr>
            </w:pPr>
          </w:p>
        </w:tc>
      </w:tr>
      <w:tr w:rsidR="00355BA5" w:rsidRPr="007E0503" w14:paraId="61A16F13" w14:textId="77777777" w:rsidTr="00B513E5">
        <w:tc>
          <w:tcPr>
            <w:tcW w:w="745" w:type="pct"/>
            <w:tcBorders>
              <w:top w:val="nil"/>
              <w:left w:val="single" w:sz="2" w:space="0" w:color="auto"/>
              <w:bottom w:val="nil"/>
              <w:right w:val="single" w:sz="2" w:space="0" w:color="auto"/>
            </w:tcBorders>
          </w:tcPr>
          <w:p w14:paraId="1CC34646" w14:textId="06D25836" w:rsidR="00355BA5" w:rsidRPr="009E2F17" w:rsidRDefault="00355BA5" w:rsidP="00355BA5">
            <w:pPr>
              <w:pStyle w:val="TableReference"/>
              <w:tabs>
                <w:tab w:val="left" w:pos="3306"/>
              </w:tabs>
              <w:spacing w:before="60"/>
              <w:rPr>
                <w:rFonts w:cs="Calibri"/>
                <w:color w:val="7030A0"/>
                <w:sz w:val="14"/>
              </w:rPr>
            </w:pPr>
            <w:r w:rsidRPr="009E2F17">
              <w:rPr>
                <w:rFonts w:cs="Calibri"/>
                <w:color w:val="7030A0"/>
                <w:sz w:val="14"/>
              </w:rPr>
              <w:br w:type="page"/>
            </w:r>
            <w:r w:rsidRPr="009E2F17">
              <w:rPr>
                <w:rFonts w:cs="Calibri"/>
                <w:color w:val="7030A0"/>
                <w:sz w:val="14"/>
              </w:rPr>
              <w:br w:type="page"/>
            </w:r>
          </w:p>
        </w:tc>
        <w:tc>
          <w:tcPr>
            <w:tcW w:w="4255" w:type="pct"/>
            <w:tcBorders>
              <w:top w:val="nil"/>
              <w:left w:val="single" w:sz="2" w:space="0" w:color="auto"/>
              <w:bottom w:val="nil"/>
              <w:right w:val="nil"/>
            </w:tcBorders>
            <w:shd w:val="clear" w:color="auto" w:fill="7030A0"/>
          </w:tcPr>
          <w:p w14:paraId="0A6BB8E9" w14:textId="10EBF8FC" w:rsidR="00355BA5" w:rsidRPr="009E2F17" w:rsidRDefault="00355BA5" w:rsidP="00355BA5">
            <w:pPr>
              <w:pStyle w:val="CommentaryTitle"/>
              <w:spacing w:after="240"/>
              <w:rPr>
                <w:bCs w:val="0"/>
                <w:color w:val="FFFFFF" w:themeColor="background1"/>
                <w:sz w:val="28"/>
                <w:szCs w:val="28"/>
              </w:rPr>
            </w:pPr>
            <w:r w:rsidRPr="009E2F17">
              <w:rPr>
                <w:rFonts w:cs="Calibri"/>
                <w:bCs w:val="0"/>
                <w:color w:val="FFFFFF" w:themeColor="background1"/>
                <w:sz w:val="28"/>
                <w:szCs w:val="28"/>
              </w:rPr>
              <w:t>Commentary – Note 3: Impact of Accounting Standards Issued but yet to be Applied</w:t>
            </w:r>
          </w:p>
        </w:tc>
      </w:tr>
      <w:tr w:rsidR="00355BA5" w:rsidRPr="0003539E" w14:paraId="7C244F24" w14:textId="77777777" w:rsidTr="00B513E5">
        <w:tc>
          <w:tcPr>
            <w:tcW w:w="745" w:type="pct"/>
            <w:tcBorders>
              <w:top w:val="nil"/>
              <w:left w:val="single" w:sz="2" w:space="0" w:color="auto"/>
              <w:bottom w:val="nil"/>
              <w:right w:val="single" w:sz="2" w:space="0" w:color="auto"/>
            </w:tcBorders>
          </w:tcPr>
          <w:p w14:paraId="092F2118" w14:textId="77777777" w:rsidR="00355BA5" w:rsidRPr="009E2F17" w:rsidRDefault="00355BA5" w:rsidP="00355BA5">
            <w:pPr>
              <w:pStyle w:val="TableReference"/>
              <w:tabs>
                <w:tab w:val="left" w:pos="3306"/>
              </w:tabs>
              <w:spacing w:before="80"/>
              <w:rPr>
                <w:rFonts w:cs="Calibri"/>
                <w:color w:val="7030A0"/>
                <w:sz w:val="14"/>
              </w:rPr>
            </w:pPr>
          </w:p>
        </w:tc>
        <w:tc>
          <w:tcPr>
            <w:tcW w:w="4255" w:type="pct"/>
            <w:tcBorders>
              <w:top w:val="nil"/>
              <w:left w:val="single" w:sz="2" w:space="0" w:color="auto"/>
              <w:bottom w:val="nil"/>
              <w:right w:val="nil"/>
            </w:tcBorders>
            <w:shd w:val="clear" w:color="auto" w:fill="7030A0"/>
          </w:tcPr>
          <w:p w14:paraId="70154C7D" w14:textId="6D80B257" w:rsidR="00355BA5" w:rsidRPr="009E2F17" w:rsidRDefault="00355BA5" w:rsidP="00355BA5">
            <w:pPr>
              <w:spacing w:after="120"/>
              <w:jc w:val="both"/>
              <w:rPr>
                <w:b/>
                <w:bCs/>
                <w:color w:val="FFFFFF" w:themeColor="background1"/>
                <w:sz w:val="18"/>
                <w:szCs w:val="18"/>
              </w:rPr>
            </w:pPr>
            <w:r w:rsidRPr="009E2F17">
              <w:rPr>
                <w:color w:val="FFFFFF" w:themeColor="background1"/>
                <w:sz w:val="18"/>
                <w:szCs w:val="18"/>
              </w:rPr>
              <w:t>The above example disclosure and this associated commentary is to assist agencies to make the necessary disclosures in their financial statements.</w:t>
            </w:r>
            <w:r w:rsidR="00FA7C77">
              <w:rPr>
                <w:color w:val="FFFFFF" w:themeColor="background1"/>
                <w:sz w:val="18"/>
                <w:szCs w:val="18"/>
              </w:rPr>
              <w:t xml:space="preserve"> </w:t>
            </w:r>
            <w:r w:rsidRPr="009E2F17">
              <w:rPr>
                <w:color w:val="FFFFFF" w:themeColor="background1"/>
                <w:sz w:val="18"/>
                <w:szCs w:val="18"/>
              </w:rPr>
              <w:t>Agencies should make their own assessment on the impact and relevance of the standards, bearing in mind that they should only disclose those standards and amending standards that are expected to have a material impact on them or where they have not yet assessed their impact.</w:t>
            </w:r>
            <w:r w:rsidR="00FA7C77">
              <w:rPr>
                <w:color w:val="FFFFFF" w:themeColor="background1"/>
                <w:sz w:val="18"/>
                <w:szCs w:val="18"/>
              </w:rPr>
              <w:t xml:space="preserve"> </w:t>
            </w:r>
          </w:p>
        </w:tc>
      </w:tr>
      <w:tr w:rsidR="006E5FFB" w:rsidRPr="0003539E" w14:paraId="53BEFCF2" w14:textId="77777777" w:rsidTr="00B513E5">
        <w:tc>
          <w:tcPr>
            <w:tcW w:w="745" w:type="pct"/>
            <w:tcBorders>
              <w:top w:val="nil"/>
              <w:left w:val="single" w:sz="2" w:space="0" w:color="auto"/>
              <w:bottom w:val="nil"/>
              <w:right w:val="single" w:sz="2" w:space="0" w:color="auto"/>
            </w:tcBorders>
          </w:tcPr>
          <w:p w14:paraId="422B9A99" w14:textId="77777777" w:rsidR="006E5FFB" w:rsidRPr="009E2F17" w:rsidRDefault="006E5FFB" w:rsidP="00355BA5">
            <w:pPr>
              <w:pStyle w:val="TableReference"/>
              <w:tabs>
                <w:tab w:val="left" w:pos="3306"/>
              </w:tabs>
              <w:spacing w:before="80"/>
              <w:rPr>
                <w:rFonts w:cs="Calibri"/>
                <w:color w:val="7030A0"/>
                <w:sz w:val="14"/>
              </w:rPr>
            </w:pPr>
          </w:p>
        </w:tc>
        <w:tc>
          <w:tcPr>
            <w:tcW w:w="4255" w:type="pct"/>
            <w:tcBorders>
              <w:top w:val="nil"/>
              <w:left w:val="single" w:sz="2" w:space="0" w:color="auto"/>
              <w:bottom w:val="nil"/>
              <w:right w:val="nil"/>
            </w:tcBorders>
            <w:shd w:val="clear" w:color="auto" w:fill="7030A0"/>
          </w:tcPr>
          <w:p w14:paraId="1DD6C7E2" w14:textId="28A63213" w:rsidR="006E5FFB" w:rsidRPr="009E2F17" w:rsidRDefault="006E5FFB" w:rsidP="00355BA5">
            <w:pPr>
              <w:spacing w:after="120"/>
              <w:jc w:val="both"/>
              <w:rPr>
                <w:color w:val="FFFFFF" w:themeColor="background1"/>
                <w:sz w:val="18"/>
                <w:szCs w:val="18"/>
              </w:rPr>
            </w:pPr>
            <w:r w:rsidRPr="009E2F17">
              <w:rPr>
                <w:color w:val="FFFFFF" w:themeColor="background1"/>
                <w:sz w:val="18"/>
                <w:szCs w:val="18"/>
              </w:rPr>
              <w:t>There are no ‘Standards Issued but Yet to be Applied’ listed in the disclosure above, as it is considered that none of these standards will be applicable to most agencies, or if applicable, will not have a material financial effect.</w:t>
            </w:r>
            <w:r w:rsidR="00FA7C77">
              <w:rPr>
                <w:color w:val="FFFFFF" w:themeColor="background1"/>
                <w:sz w:val="18"/>
                <w:szCs w:val="18"/>
              </w:rPr>
              <w:t xml:space="preserve"> </w:t>
            </w:r>
            <w:r w:rsidRPr="009E2F17">
              <w:rPr>
                <w:color w:val="FFFFFF" w:themeColor="background1"/>
                <w:sz w:val="18"/>
                <w:szCs w:val="18"/>
              </w:rPr>
              <w:t xml:space="preserve">These standards have not been disclosed because agencies do not have to include standards that would never apply to them (e.g. AASB 129 </w:t>
            </w:r>
            <w:r w:rsidRPr="009E2F17">
              <w:rPr>
                <w:i/>
                <w:iCs/>
                <w:color w:val="FFFFFF" w:themeColor="background1"/>
                <w:sz w:val="18"/>
                <w:szCs w:val="18"/>
              </w:rPr>
              <w:t>Financial Reporting in Hyperinflationary Economies</w:t>
            </w:r>
            <w:r w:rsidRPr="009E2F17">
              <w:rPr>
                <w:color w:val="FFFFFF" w:themeColor="background1"/>
                <w:sz w:val="18"/>
                <w:szCs w:val="18"/>
              </w:rPr>
              <w:t>) or that do not have a material financial impact on them.</w:t>
            </w:r>
            <w:r w:rsidR="00FA7C77">
              <w:rPr>
                <w:color w:val="FFFFFF" w:themeColor="background1"/>
                <w:sz w:val="18"/>
                <w:szCs w:val="18"/>
              </w:rPr>
              <w:t xml:space="preserve"> </w:t>
            </w:r>
            <w:r w:rsidRPr="009E2F17">
              <w:rPr>
                <w:color w:val="FFFFFF" w:themeColor="background1"/>
                <w:sz w:val="18"/>
                <w:szCs w:val="18"/>
              </w:rPr>
              <w:t>As such, most agencies will be able to simply use the disclosure wording included in th</w:t>
            </w:r>
            <w:r w:rsidR="00422628" w:rsidRPr="009E2F17">
              <w:rPr>
                <w:color w:val="FFFFFF" w:themeColor="background1"/>
                <w:sz w:val="18"/>
                <w:szCs w:val="18"/>
              </w:rPr>
              <w:t>is</w:t>
            </w:r>
            <w:r w:rsidRPr="009E2F17">
              <w:rPr>
                <w:color w:val="FFFFFF" w:themeColor="background1"/>
                <w:sz w:val="18"/>
                <w:szCs w:val="18"/>
              </w:rPr>
              <w:t xml:space="preserve"> </w:t>
            </w:r>
            <w:r w:rsidR="00422628" w:rsidRPr="009E2F17">
              <w:rPr>
                <w:color w:val="FFFFFF" w:themeColor="background1"/>
                <w:sz w:val="18"/>
                <w:szCs w:val="18"/>
              </w:rPr>
              <w:t>note for</w:t>
            </w:r>
            <w:r w:rsidRPr="009E2F17">
              <w:rPr>
                <w:color w:val="FFFFFF" w:themeColor="background1"/>
                <w:sz w:val="18"/>
                <w:szCs w:val="18"/>
              </w:rPr>
              <w:t xml:space="preserve"> their own financial statements.</w:t>
            </w:r>
          </w:p>
        </w:tc>
      </w:tr>
      <w:tr w:rsidR="00355BA5" w:rsidRPr="0003539E" w14:paraId="77DD5758" w14:textId="77777777" w:rsidTr="00B513E5">
        <w:trPr>
          <w:trHeight w:val="195"/>
        </w:trPr>
        <w:tc>
          <w:tcPr>
            <w:tcW w:w="745" w:type="pct"/>
            <w:tcBorders>
              <w:top w:val="nil"/>
              <w:left w:val="single" w:sz="2" w:space="0" w:color="auto"/>
              <w:bottom w:val="nil"/>
              <w:right w:val="single" w:sz="2" w:space="0" w:color="auto"/>
            </w:tcBorders>
          </w:tcPr>
          <w:p w14:paraId="50193F31" w14:textId="77777777" w:rsidR="00355BA5" w:rsidRPr="009E2F17" w:rsidRDefault="00355BA5" w:rsidP="00355BA5">
            <w:pPr>
              <w:pStyle w:val="TableReference"/>
              <w:tabs>
                <w:tab w:val="left" w:pos="3306"/>
              </w:tabs>
              <w:spacing w:before="80"/>
              <w:rPr>
                <w:rFonts w:cs="Calibri"/>
                <w:color w:val="7030A0"/>
                <w:sz w:val="14"/>
              </w:rPr>
            </w:pPr>
          </w:p>
        </w:tc>
        <w:tc>
          <w:tcPr>
            <w:tcW w:w="4255" w:type="pct"/>
            <w:tcBorders>
              <w:top w:val="nil"/>
              <w:left w:val="single" w:sz="2" w:space="0" w:color="auto"/>
              <w:bottom w:val="nil"/>
              <w:right w:val="nil"/>
            </w:tcBorders>
            <w:shd w:val="clear" w:color="auto" w:fill="7030A0"/>
          </w:tcPr>
          <w:p w14:paraId="739A0C78" w14:textId="455A54E0" w:rsidR="00355BA5" w:rsidRPr="009E2F17" w:rsidRDefault="00355BA5" w:rsidP="001D66DB">
            <w:pPr>
              <w:spacing w:after="120"/>
              <w:jc w:val="both"/>
              <w:rPr>
                <w:strike/>
                <w:color w:val="FFFFFF" w:themeColor="background1"/>
                <w:sz w:val="18"/>
                <w:szCs w:val="18"/>
              </w:rPr>
            </w:pPr>
            <w:r w:rsidRPr="009E2F17">
              <w:rPr>
                <w:color w:val="FFFFFF" w:themeColor="background1"/>
                <w:sz w:val="18"/>
                <w:szCs w:val="18"/>
              </w:rPr>
              <w:t>It is recommended that agencies review all the standards issued but yet to be applied to ensure these standards do not apply to them or they do not have a material financial impact.</w:t>
            </w:r>
          </w:p>
        </w:tc>
      </w:tr>
    </w:tbl>
    <w:p w14:paraId="2E60E29B" w14:textId="6F88A6E0" w:rsidR="00422628" w:rsidRDefault="00422628"/>
    <w:p w14:paraId="6876E1C0" w14:textId="55CC4F5F" w:rsidR="00422628" w:rsidRDefault="00422628"/>
    <w:p w14:paraId="1A0DC83B" w14:textId="1DC7354F" w:rsidR="00422628" w:rsidRDefault="00422628"/>
    <w:p w14:paraId="7E54E22D" w14:textId="1975C752" w:rsidR="00422628" w:rsidRDefault="00422628"/>
    <w:p w14:paraId="566C48B7" w14:textId="132E699A" w:rsidR="00422628" w:rsidRDefault="00422628"/>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
        <w:gridCol w:w="1554"/>
        <w:gridCol w:w="8931"/>
        <w:gridCol w:w="177"/>
      </w:tblGrid>
      <w:tr w:rsidR="00E547E3" w:rsidRPr="00CF7E1B" w14:paraId="226E5FE7"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5B922006" w14:textId="209B574B" w:rsidR="00E547E3" w:rsidRPr="000A1595" w:rsidRDefault="00422628" w:rsidP="000A1595">
            <w:pPr>
              <w:pStyle w:val="Reference"/>
              <w:tabs>
                <w:tab w:val="left" w:pos="3306"/>
              </w:tabs>
              <w:spacing w:before="120"/>
              <w:rPr>
                <w:rFonts w:cs="Calibri"/>
                <w:color w:val="7030A0"/>
                <w:sz w:val="22"/>
                <w:szCs w:val="22"/>
              </w:rPr>
            </w:pPr>
            <w:r>
              <w:br w:type="page"/>
            </w:r>
            <w:r w:rsidR="00F43361" w:rsidRPr="000A1595">
              <w:rPr>
                <w:rFonts w:cs="Calibri"/>
                <w:color w:val="7030A0"/>
                <w:sz w:val="22"/>
                <w:szCs w:val="22"/>
              </w:rPr>
              <w:t>Reference</w:t>
            </w:r>
          </w:p>
        </w:tc>
        <w:tc>
          <w:tcPr>
            <w:tcW w:w="4185" w:type="pct"/>
            <w:tcBorders>
              <w:top w:val="nil"/>
              <w:left w:val="single" w:sz="2" w:space="0" w:color="auto"/>
              <w:bottom w:val="nil"/>
              <w:right w:val="nil"/>
            </w:tcBorders>
          </w:tcPr>
          <w:p w14:paraId="0FE36A36" w14:textId="78F85C89" w:rsidR="00E547E3" w:rsidRPr="000A1595" w:rsidRDefault="00E547E3" w:rsidP="000A1595">
            <w:pPr>
              <w:pStyle w:val="Heading1"/>
              <w:numPr>
                <w:ilvl w:val="0"/>
                <w:numId w:val="0"/>
              </w:numPr>
              <w:spacing w:before="120"/>
              <w:ind w:left="34"/>
              <w:rPr>
                <w:rFonts w:asciiTheme="minorHAnsi" w:hAnsiTheme="minorHAnsi" w:cstheme="minorHAnsi"/>
                <w:sz w:val="36"/>
                <w:szCs w:val="36"/>
              </w:rPr>
            </w:pPr>
            <w:bookmarkStart w:id="310" w:name="changeaccpolicyesterror"/>
            <w:bookmarkStart w:id="311" w:name="_Toc98763040"/>
            <w:r w:rsidRPr="000A1595">
              <w:rPr>
                <w:rFonts w:asciiTheme="minorHAnsi" w:hAnsiTheme="minorHAnsi" w:cstheme="minorHAnsi"/>
                <w:sz w:val="36"/>
                <w:szCs w:val="36"/>
              </w:rPr>
              <w:t xml:space="preserve">Note </w:t>
            </w:r>
            <w:r w:rsidR="00DD2353" w:rsidRPr="000A1595">
              <w:rPr>
                <w:rFonts w:asciiTheme="minorHAnsi" w:hAnsiTheme="minorHAnsi" w:cstheme="minorHAnsi"/>
                <w:sz w:val="36"/>
                <w:szCs w:val="36"/>
              </w:rPr>
              <w:t>4</w:t>
            </w:r>
            <w:r w:rsidRPr="000A1595">
              <w:rPr>
                <w:rFonts w:asciiTheme="minorHAnsi" w:hAnsiTheme="minorHAnsi" w:cstheme="minorHAnsi"/>
                <w:sz w:val="36"/>
                <w:szCs w:val="36"/>
              </w:rPr>
              <w:t>.</w:t>
            </w:r>
            <w:r w:rsidR="00FA7C77">
              <w:rPr>
                <w:rFonts w:asciiTheme="minorHAnsi" w:hAnsiTheme="minorHAnsi" w:cstheme="minorHAnsi"/>
                <w:sz w:val="36"/>
                <w:szCs w:val="36"/>
              </w:rPr>
              <w:t xml:space="preserve"> </w:t>
            </w:r>
            <w:r w:rsidRPr="000A1595">
              <w:rPr>
                <w:rFonts w:asciiTheme="minorHAnsi" w:hAnsiTheme="minorHAnsi" w:cstheme="minorHAnsi"/>
                <w:sz w:val="36"/>
                <w:szCs w:val="36"/>
              </w:rPr>
              <w:t xml:space="preserve">Change </w:t>
            </w:r>
            <w:r w:rsidR="00EB05FD" w:rsidRPr="000A1595">
              <w:rPr>
                <w:rFonts w:asciiTheme="minorHAnsi" w:hAnsiTheme="minorHAnsi" w:cstheme="minorHAnsi"/>
                <w:sz w:val="36"/>
                <w:szCs w:val="36"/>
              </w:rPr>
              <w:t>in</w:t>
            </w:r>
            <w:r w:rsidRPr="000A1595">
              <w:rPr>
                <w:rFonts w:asciiTheme="minorHAnsi" w:hAnsiTheme="minorHAnsi" w:cstheme="minorHAnsi"/>
                <w:sz w:val="36"/>
                <w:szCs w:val="36"/>
              </w:rPr>
              <w:t xml:space="preserve"> Accounting Policy </w:t>
            </w:r>
            <w:r w:rsidR="00EB05FD" w:rsidRPr="000A1595">
              <w:rPr>
                <w:rFonts w:asciiTheme="minorHAnsi" w:hAnsiTheme="minorHAnsi" w:cstheme="minorHAnsi"/>
                <w:sz w:val="36"/>
                <w:szCs w:val="36"/>
              </w:rPr>
              <w:t>and</w:t>
            </w:r>
            <w:r w:rsidR="003A4CCB" w:rsidRPr="000A1595">
              <w:rPr>
                <w:rFonts w:asciiTheme="minorHAnsi" w:hAnsiTheme="minorHAnsi" w:cstheme="minorHAnsi"/>
                <w:sz w:val="36"/>
                <w:szCs w:val="36"/>
              </w:rPr>
              <w:t xml:space="preserve"> </w:t>
            </w:r>
            <w:r w:rsidRPr="000A1595">
              <w:rPr>
                <w:rFonts w:asciiTheme="minorHAnsi" w:hAnsiTheme="minorHAnsi" w:cstheme="minorHAnsi"/>
                <w:sz w:val="36"/>
                <w:szCs w:val="36"/>
              </w:rPr>
              <w:t>Accounting Estimates</w:t>
            </w:r>
            <w:r w:rsidR="00233708" w:rsidRPr="000A1595">
              <w:rPr>
                <w:rFonts w:asciiTheme="minorHAnsi" w:hAnsiTheme="minorHAnsi" w:cstheme="minorHAnsi"/>
                <w:sz w:val="36"/>
                <w:szCs w:val="36"/>
              </w:rPr>
              <w:t>,</w:t>
            </w:r>
            <w:r w:rsidRPr="000A1595">
              <w:rPr>
                <w:rFonts w:asciiTheme="minorHAnsi" w:hAnsiTheme="minorHAnsi" w:cstheme="minorHAnsi"/>
                <w:sz w:val="36"/>
                <w:szCs w:val="36"/>
              </w:rPr>
              <w:t xml:space="preserve"> </w:t>
            </w:r>
            <w:r w:rsidR="00EB05FD" w:rsidRPr="000A1595">
              <w:rPr>
                <w:rFonts w:asciiTheme="minorHAnsi" w:hAnsiTheme="minorHAnsi" w:cstheme="minorHAnsi"/>
                <w:sz w:val="36"/>
                <w:szCs w:val="36"/>
              </w:rPr>
              <w:t>and</w:t>
            </w:r>
            <w:r w:rsidR="003A4CCB" w:rsidRPr="000A1595">
              <w:rPr>
                <w:rFonts w:asciiTheme="minorHAnsi" w:hAnsiTheme="minorHAnsi" w:cstheme="minorHAnsi"/>
                <w:sz w:val="36"/>
                <w:szCs w:val="36"/>
              </w:rPr>
              <w:t xml:space="preserve"> </w:t>
            </w:r>
            <w:r w:rsidRPr="000A1595">
              <w:rPr>
                <w:rFonts w:asciiTheme="minorHAnsi" w:hAnsiTheme="minorHAnsi" w:cstheme="minorHAnsi"/>
                <w:sz w:val="36"/>
                <w:szCs w:val="36"/>
              </w:rPr>
              <w:t xml:space="preserve">Correction </w:t>
            </w:r>
            <w:r w:rsidR="00EB05FD" w:rsidRPr="000A1595">
              <w:rPr>
                <w:rFonts w:asciiTheme="minorHAnsi" w:hAnsiTheme="minorHAnsi" w:cstheme="minorHAnsi"/>
                <w:sz w:val="36"/>
                <w:szCs w:val="36"/>
              </w:rPr>
              <w:t>of a</w:t>
            </w:r>
            <w:r w:rsidR="003A4CCB" w:rsidRPr="000A1595">
              <w:rPr>
                <w:rFonts w:asciiTheme="minorHAnsi" w:hAnsiTheme="minorHAnsi" w:cstheme="minorHAnsi"/>
                <w:sz w:val="36"/>
                <w:szCs w:val="36"/>
              </w:rPr>
              <w:t xml:space="preserve"> </w:t>
            </w:r>
            <w:r w:rsidRPr="000A1595">
              <w:rPr>
                <w:rFonts w:asciiTheme="minorHAnsi" w:hAnsiTheme="minorHAnsi" w:cstheme="minorHAnsi"/>
                <w:sz w:val="36"/>
                <w:szCs w:val="36"/>
              </w:rPr>
              <w:t>Prior Period Error</w:t>
            </w:r>
            <w:bookmarkEnd w:id="310"/>
            <w:bookmarkEnd w:id="311"/>
            <w:r w:rsidR="00FA7C77">
              <w:rPr>
                <w:rFonts w:asciiTheme="minorHAnsi" w:hAnsiTheme="minorHAnsi" w:cstheme="minorHAnsi"/>
                <w:sz w:val="36"/>
                <w:szCs w:val="36"/>
              </w:rPr>
              <w:t xml:space="preserve">                             </w:t>
            </w:r>
          </w:p>
        </w:tc>
      </w:tr>
      <w:tr w:rsidR="003B1E1B" w:rsidRPr="00CF7E1B" w14:paraId="2DCDF4FD"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2EFA6764" w14:textId="76F0F8B2" w:rsidR="003B1E1B" w:rsidRPr="000A1595" w:rsidRDefault="00DA5048" w:rsidP="003B1E1B">
            <w:pPr>
              <w:pStyle w:val="TableReference"/>
              <w:tabs>
                <w:tab w:val="left" w:pos="3306"/>
              </w:tabs>
              <w:spacing w:before="60"/>
              <w:rPr>
                <w:rFonts w:cs="Calibri"/>
                <w:color w:val="7030A0"/>
                <w:sz w:val="14"/>
              </w:rPr>
            </w:pPr>
            <w:r w:rsidRPr="000A1595">
              <w:rPr>
                <w:rFonts w:cs="Calibri"/>
                <w:color w:val="7030A0"/>
                <w:sz w:val="14"/>
              </w:rPr>
              <w:t>AASB 101.10(e)</w:t>
            </w:r>
          </w:p>
        </w:tc>
        <w:tc>
          <w:tcPr>
            <w:tcW w:w="4185" w:type="pct"/>
            <w:tcBorders>
              <w:top w:val="nil"/>
              <w:left w:val="single" w:sz="2" w:space="0" w:color="auto"/>
              <w:bottom w:val="nil"/>
              <w:right w:val="nil"/>
            </w:tcBorders>
          </w:tcPr>
          <w:p w14:paraId="575D352D" w14:textId="7663BA8F" w:rsidR="003B1E1B" w:rsidRPr="000A1595" w:rsidRDefault="003B1E1B" w:rsidP="003B1E1B">
            <w:pPr>
              <w:pStyle w:val="TableText"/>
              <w:rPr>
                <w:rFonts w:cs="Calibri"/>
                <w:bCs/>
                <w:strike/>
                <w:sz w:val="20"/>
                <w:szCs w:val="20"/>
              </w:rPr>
            </w:pPr>
            <w:r w:rsidRPr="000A1595">
              <w:rPr>
                <w:b/>
                <w:bCs/>
              </w:rPr>
              <w:t>Change in Accounting Policy</w:t>
            </w:r>
          </w:p>
        </w:tc>
      </w:tr>
      <w:tr w:rsidR="003B1E1B" w:rsidRPr="00CF7E1B" w14:paraId="029C2AEA"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0A57DDD6" w14:textId="77777777" w:rsidR="003B1E1B" w:rsidRPr="000A1595" w:rsidRDefault="003B1E1B" w:rsidP="003B1E1B">
            <w:pPr>
              <w:pStyle w:val="TableReference"/>
              <w:tabs>
                <w:tab w:val="left" w:pos="3306"/>
              </w:tabs>
              <w:spacing w:before="60"/>
              <w:rPr>
                <w:rFonts w:cs="Calibri"/>
                <w:color w:val="7030A0"/>
                <w:sz w:val="14"/>
              </w:rPr>
            </w:pPr>
          </w:p>
        </w:tc>
        <w:tc>
          <w:tcPr>
            <w:tcW w:w="4185" w:type="pct"/>
            <w:tcBorders>
              <w:top w:val="nil"/>
              <w:left w:val="single" w:sz="2" w:space="0" w:color="auto"/>
              <w:bottom w:val="nil"/>
              <w:right w:val="nil"/>
            </w:tcBorders>
          </w:tcPr>
          <w:p w14:paraId="61097ADB" w14:textId="737CE4B1" w:rsidR="003E4058" w:rsidRPr="003E4058" w:rsidRDefault="003E4058" w:rsidP="003E4058">
            <w:pPr>
              <w:pStyle w:val="TableText"/>
              <w:jc w:val="both"/>
              <w:rPr>
                <w:rFonts w:cs="Calibri"/>
                <w:bCs/>
              </w:rPr>
            </w:pPr>
            <w:r w:rsidRPr="003E4058">
              <w:rPr>
                <w:rFonts w:cs="Calibri"/>
                <w:bCs/>
              </w:rPr>
              <w:t xml:space="preserve">‘Burley Griffin Agency’ has early adopted changes to AASB 101 </w:t>
            </w:r>
            <w:r w:rsidRPr="003E4058">
              <w:t xml:space="preserve">resulting from AASB 2021/2 </w:t>
            </w:r>
            <w:r w:rsidRPr="003E4058">
              <w:rPr>
                <w:i/>
                <w:iCs/>
              </w:rPr>
              <w:t>Amendments to Australian Accounting Standards – Disclosure to Accounting Policies and Definitions of Accounting Policies and Definition of Accounting Estimates</w:t>
            </w:r>
            <w:r>
              <w:rPr>
                <w:i/>
                <w:iCs/>
              </w:rPr>
              <w:t>.</w:t>
            </w:r>
            <w:r w:rsidRPr="003E4058">
              <w:rPr>
                <w:i/>
                <w:iCs/>
              </w:rPr>
              <w:t xml:space="preserve"> </w:t>
            </w:r>
            <w:r>
              <w:t>References are now</w:t>
            </w:r>
            <w:r w:rsidRPr="003E4058">
              <w:t xml:space="preserve"> to ‘material’ accounting policies rather than ‘significant’ accounting polic</w:t>
            </w:r>
            <w:r>
              <w:t>ies</w:t>
            </w:r>
            <w:r w:rsidRPr="003E4058">
              <w:t xml:space="preserve"> in th</w:t>
            </w:r>
            <w:r>
              <w:t xml:space="preserve">ese financial statements. </w:t>
            </w:r>
            <w:r w:rsidRPr="003E4058">
              <w:t xml:space="preserve"> </w:t>
            </w:r>
          </w:p>
          <w:p w14:paraId="67E62166" w14:textId="3799B43C" w:rsidR="003E4058" w:rsidRPr="003E4058" w:rsidRDefault="003E4058" w:rsidP="003E4058">
            <w:pPr>
              <w:jc w:val="both"/>
              <w:rPr>
                <w:sz w:val="18"/>
                <w:szCs w:val="18"/>
              </w:rPr>
            </w:pPr>
          </w:p>
        </w:tc>
      </w:tr>
      <w:tr w:rsidR="000A1595" w:rsidRPr="000A1595" w14:paraId="2A06EBC6"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798C5369" w14:textId="77777777" w:rsidR="003B1E1B" w:rsidRPr="000A1595" w:rsidRDefault="003B1E1B" w:rsidP="003B1E1B">
            <w:pPr>
              <w:pStyle w:val="TableReference"/>
              <w:tabs>
                <w:tab w:val="left" w:pos="3306"/>
              </w:tabs>
              <w:spacing w:before="60"/>
              <w:rPr>
                <w:rFonts w:cs="Calibri"/>
                <w:color w:val="7030A0"/>
                <w:sz w:val="14"/>
              </w:rPr>
            </w:pPr>
          </w:p>
        </w:tc>
        <w:tc>
          <w:tcPr>
            <w:tcW w:w="4185" w:type="pct"/>
            <w:tcBorders>
              <w:top w:val="nil"/>
              <w:left w:val="single" w:sz="2" w:space="0" w:color="auto"/>
              <w:bottom w:val="nil"/>
              <w:right w:val="nil"/>
            </w:tcBorders>
          </w:tcPr>
          <w:p w14:paraId="1768C980" w14:textId="67BA20EB" w:rsidR="003B1E1B" w:rsidRPr="000A1595" w:rsidRDefault="003B1E1B" w:rsidP="003B1E1B">
            <w:pPr>
              <w:rPr>
                <w:b/>
                <w:bCs/>
                <w:sz w:val="18"/>
                <w:szCs w:val="18"/>
              </w:rPr>
            </w:pPr>
            <w:r w:rsidRPr="000A1595">
              <w:rPr>
                <w:b/>
                <w:bCs/>
                <w:sz w:val="18"/>
                <w:szCs w:val="18"/>
              </w:rPr>
              <w:t>Change in Accounting Estimates</w:t>
            </w:r>
          </w:p>
        </w:tc>
      </w:tr>
      <w:tr w:rsidR="000A1595" w:rsidRPr="000A1595" w14:paraId="7699A851"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44C3EF1D" w14:textId="77777777" w:rsidR="003B1E1B" w:rsidRPr="000A1595" w:rsidRDefault="003B1E1B" w:rsidP="003B1E1B">
            <w:pPr>
              <w:pStyle w:val="TableReference"/>
              <w:tabs>
                <w:tab w:val="left" w:pos="3306"/>
              </w:tabs>
              <w:spacing w:before="60"/>
              <w:rPr>
                <w:rFonts w:cs="Calibri"/>
                <w:color w:val="7030A0"/>
                <w:sz w:val="14"/>
              </w:rPr>
            </w:pPr>
          </w:p>
        </w:tc>
        <w:tc>
          <w:tcPr>
            <w:tcW w:w="4185" w:type="pct"/>
            <w:tcBorders>
              <w:top w:val="nil"/>
              <w:left w:val="single" w:sz="2" w:space="0" w:color="auto"/>
              <w:bottom w:val="nil"/>
              <w:right w:val="nil"/>
            </w:tcBorders>
          </w:tcPr>
          <w:p w14:paraId="2BB9164F" w14:textId="4CEC6929" w:rsidR="003B1E1B" w:rsidRPr="000A1595" w:rsidRDefault="003B1E1B" w:rsidP="003B1E1B">
            <w:pPr>
              <w:spacing w:after="12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Burley Griffin</w:t>
            </w:r>
            <w:r w:rsidRPr="000A1595">
              <w:rPr>
                <w:rFonts w:asciiTheme="minorHAnsi" w:hAnsiTheme="minorHAnsi" w:cstheme="minorHAnsi"/>
                <w:sz w:val="18"/>
                <w:szCs w:val="18"/>
              </w:rPr>
              <w:t xml:space="preserve"> Agency’ had the following changes in accounting estimates during the reporting period.</w:t>
            </w:r>
          </w:p>
        </w:tc>
      </w:tr>
      <w:tr w:rsidR="000A1595" w:rsidRPr="000A1595" w14:paraId="0574668B"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4140D94A" w14:textId="77777777" w:rsidR="003B1E1B" w:rsidRPr="000A1595" w:rsidRDefault="003B1E1B" w:rsidP="003B1E1B">
            <w:pPr>
              <w:pStyle w:val="TableReference"/>
              <w:tabs>
                <w:tab w:val="left" w:pos="3306"/>
              </w:tabs>
              <w:spacing w:before="60"/>
              <w:rPr>
                <w:rFonts w:cs="Calibri"/>
                <w:color w:val="7030A0"/>
                <w:sz w:val="14"/>
              </w:rPr>
            </w:pPr>
          </w:p>
        </w:tc>
        <w:tc>
          <w:tcPr>
            <w:tcW w:w="4185" w:type="pct"/>
            <w:tcBorders>
              <w:top w:val="nil"/>
              <w:left w:val="single" w:sz="2" w:space="0" w:color="auto"/>
              <w:bottom w:val="nil"/>
              <w:right w:val="nil"/>
            </w:tcBorders>
          </w:tcPr>
          <w:p w14:paraId="6FDCD215" w14:textId="3CE1BCD1" w:rsidR="003B1E1B" w:rsidRPr="000A1595" w:rsidRDefault="003B1E1B" w:rsidP="003B1E1B">
            <w:pPr>
              <w:jc w:val="both"/>
              <w:rPr>
                <w:rFonts w:asciiTheme="minorHAnsi" w:hAnsiTheme="minorHAnsi" w:cstheme="minorHAnsi"/>
                <w:i/>
                <w:iCs/>
                <w:strike/>
                <w:sz w:val="18"/>
                <w:szCs w:val="18"/>
              </w:rPr>
            </w:pPr>
            <w:r w:rsidRPr="000A1595">
              <w:rPr>
                <w:rFonts w:asciiTheme="minorHAnsi" w:hAnsiTheme="minorHAnsi" w:cstheme="minorHAnsi"/>
                <w:i/>
                <w:iCs/>
                <w:sz w:val="18"/>
                <w:szCs w:val="18"/>
              </w:rPr>
              <w:t>Revisions of Useful Lives and Residual Values</w:t>
            </w:r>
          </w:p>
        </w:tc>
      </w:tr>
      <w:tr w:rsidR="000A1595" w:rsidRPr="000A1595" w14:paraId="2DE9EE9F"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3C9E06E3" w14:textId="06E93C8F" w:rsidR="003B1E1B" w:rsidRPr="000A1595" w:rsidRDefault="003B1E1B" w:rsidP="003B1E1B">
            <w:pPr>
              <w:pStyle w:val="TableReference"/>
              <w:tabs>
                <w:tab w:val="left" w:pos="3306"/>
              </w:tabs>
              <w:spacing w:before="60"/>
              <w:rPr>
                <w:rFonts w:cs="Calibri"/>
                <w:color w:val="7030A0"/>
                <w:sz w:val="14"/>
              </w:rPr>
            </w:pPr>
            <w:r w:rsidRPr="000A1595">
              <w:rPr>
                <w:color w:val="7030A0"/>
                <w:sz w:val="14"/>
              </w:rPr>
              <w:t>AASB 108.34 &amp; 39</w:t>
            </w:r>
          </w:p>
        </w:tc>
        <w:tc>
          <w:tcPr>
            <w:tcW w:w="4185" w:type="pct"/>
            <w:tcBorders>
              <w:top w:val="nil"/>
              <w:left w:val="single" w:sz="2" w:space="0" w:color="auto"/>
              <w:bottom w:val="nil"/>
              <w:right w:val="nil"/>
            </w:tcBorders>
          </w:tcPr>
          <w:p w14:paraId="157B1539" w14:textId="40DEF17A" w:rsidR="003B1E1B" w:rsidRPr="000A1595" w:rsidRDefault="003B1E1B" w:rsidP="003B1E1B">
            <w:pPr>
              <w:spacing w:after="12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Burley Griffin</w:t>
            </w:r>
            <w:r w:rsidRPr="000A1595">
              <w:rPr>
                <w:rFonts w:asciiTheme="minorHAnsi" w:hAnsiTheme="minorHAnsi" w:cstheme="minorHAnsi"/>
                <w:sz w:val="18"/>
                <w:szCs w:val="18"/>
              </w:rPr>
              <w:t xml:space="preserve"> Agency’ reviewed the useful lives and residual values of its property, plant and equipment at the end of the reporting period.</w:t>
            </w:r>
            <w:r w:rsidR="00FA7C77">
              <w:rPr>
                <w:rFonts w:asciiTheme="minorHAnsi" w:hAnsiTheme="minorHAnsi" w:cstheme="minorHAnsi"/>
                <w:sz w:val="18"/>
                <w:szCs w:val="18"/>
              </w:rPr>
              <w:t xml:space="preserve"> </w:t>
            </w:r>
            <w:r w:rsidRPr="000A1595">
              <w:rPr>
                <w:rFonts w:asciiTheme="minorHAnsi" w:hAnsiTheme="minorHAnsi" w:cstheme="minorHAnsi"/>
                <w:sz w:val="18"/>
                <w:szCs w:val="18"/>
              </w:rPr>
              <w:t xml:space="preserve">This review resulted in the adjustment to the useful lives of some community and heritage assets and the increase of the residual value of some plant and equipment, for details see Note 19 </w:t>
            </w:r>
            <w:r w:rsidRPr="00AB1649">
              <w:rPr>
                <w:rFonts w:asciiTheme="minorHAnsi" w:hAnsiTheme="minorHAnsi" w:cstheme="minorHAnsi"/>
                <w:i/>
                <w:iCs/>
                <w:sz w:val="18"/>
                <w:szCs w:val="18"/>
              </w:rPr>
              <w:t>Property, Plant and Equipment.</w:t>
            </w:r>
            <w:r w:rsidR="00FA7C77">
              <w:rPr>
                <w:rFonts w:asciiTheme="minorHAnsi" w:hAnsiTheme="minorHAnsi" w:cstheme="minorHAnsi"/>
                <w:sz w:val="18"/>
                <w:szCs w:val="18"/>
              </w:rPr>
              <w:t xml:space="preserve"> </w:t>
            </w:r>
          </w:p>
        </w:tc>
      </w:tr>
      <w:tr w:rsidR="000A1595" w:rsidRPr="000A1595" w14:paraId="06224995"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545EC5DE" w14:textId="77777777" w:rsidR="003B1E1B" w:rsidRPr="000A1595" w:rsidRDefault="003B1E1B" w:rsidP="003B1E1B">
            <w:pPr>
              <w:pStyle w:val="TableReference"/>
              <w:tabs>
                <w:tab w:val="left" w:pos="3306"/>
              </w:tabs>
              <w:spacing w:before="60"/>
              <w:rPr>
                <w:rFonts w:cs="Calibri"/>
                <w:color w:val="7030A0"/>
                <w:sz w:val="16"/>
                <w:szCs w:val="16"/>
              </w:rPr>
            </w:pPr>
          </w:p>
        </w:tc>
        <w:tc>
          <w:tcPr>
            <w:tcW w:w="4185" w:type="pct"/>
            <w:tcBorders>
              <w:top w:val="nil"/>
              <w:left w:val="single" w:sz="2" w:space="0" w:color="auto"/>
              <w:bottom w:val="nil"/>
              <w:right w:val="nil"/>
            </w:tcBorders>
          </w:tcPr>
          <w:p w14:paraId="52D9BC86" w14:textId="3B4CA223" w:rsidR="003B1E1B" w:rsidRPr="000A1595" w:rsidRDefault="003B1E1B" w:rsidP="003B1E1B">
            <w:pPr>
              <w:pStyle w:val="TableText"/>
              <w:rPr>
                <w:rFonts w:asciiTheme="minorHAnsi" w:hAnsiTheme="minorHAnsi" w:cstheme="minorHAnsi"/>
                <w:i/>
                <w:iCs/>
                <w:strike/>
              </w:rPr>
            </w:pPr>
            <w:r w:rsidRPr="000A1595">
              <w:rPr>
                <w:rFonts w:asciiTheme="minorHAnsi" w:hAnsiTheme="minorHAnsi" w:cstheme="minorHAnsi"/>
                <w:i/>
                <w:iCs/>
              </w:rPr>
              <w:t>Revision of Restructuring Provision</w:t>
            </w:r>
          </w:p>
        </w:tc>
      </w:tr>
      <w:tr w:rsidR="000A1595" w:rsidRPr="000A1595" w14:paraId="47A8D70B"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5A225876" w14:textId="77777777" w:rsidR="003B1E1B" w:rsidRPr="000A1595" w:rsidRDefault="003B1E1B" w:rsidP="003B1E1B">
            <w:pPr>
              <w:pStyle w:val="TableReference"/>
              <w:tabs>
                <w:tab w:val="left" w:pos="3306"/>
              </w:tabs>
              <w:spacing w:before="60"/>
              <w:rPr>
                <w:rFonts w:cs="Calibri"/>
                <w:color w:val="7030A0"/>
                <w:sz w:val="16"/>
                <w:szCs w:val="16"/>
              </w:rPr>
            </w:pPr>
          </w:p>
        </w:tc>
        <w:tc>
          <w:tcPr>
            <w:tcW w:w="4185" w:type="pct"/>
            <w:tcBorders>
              <w:top w:val="nil"/>
              <w:left w:val="single" w:sz="2" w:space="0" w:color="auto"/>
              <w:bottom w:val="nil"/>
              <w:right w:val="nil"/>
            </w:tcBorders>
          </w:tcPr>
          <w:p w14:paraId="72A88FFD" w14:textId="69B73174" w:rsidR="003B1E1B" w:rsidRPr="000A1595" w:rsidRDefault="003B1E1B" w:rsidP="003B1E1B">
            <w:pPr>
              <w:spacing w:after="240"/>
              <w:jc w:val="both"/>
              <w:rPr>
                <w:rFonts w:asciiTheme="minorHAnsi" w:hAnsiTheme="minorHAnsi" w:cstheme="minorHAnsi"/>
                <w:sz w:val="18"/>
                <w:szCs w:val="18"/>
              </w:rPr>
            </w:pPr>
            <w:r w:rsidRPr="000A1595">
              <w:rPr>
                <w:rFonts w:asciiTheme="minorHAnsi" w:hAnsiTheme="minorHAnsi" w:cstheme="minorHAnsi"/>
                <w:sz w:val="18"/>
                <w:szCs w:val="18"/>
              </w:rPr>
              <w:t>‘</w:t>
            </w:r>
            <w:r w:rsidRPr="000A1595">
              <w:rPr>
                <w:sz w:val="18"/>
                <w:szCs w:val="18"/>
              </w:rPr>
              <w:t xml:space="preserve">Burley Griffin </w:t>
            </w:r>
            <w:r w:rsidRPr="000A1595">
              <w:rPr>
                <w:rFonts w:asciiTheme="minorHAnsi" w:hAnsiTheme="minorHAnsi" w:cstheme="minorHAnsi"/>
                <w:sz w:val="18"/>
                <w:szCs w:val="18"/>
              </w:rPr>
              <w:t>Agency’ reviewed its provision for the restructuring of a maintenance division at the end of the reporting period.</w:t>
            </w:r>
            <w:r w:rsidR="00FA7C77">
              <w:rPr>
                <w:rFonts w:asciiTheme="minorHAnsi" w:hAnsiTheme="minorHAnsi" w:cstheme="minorHAnsi"/>
                <w:sz w:val="18"/>
                <w:szCs w:val="18"/>
              </w:rPr>
              <w:t xml:space="preserve"> </w:t>
            </w:r>
            <w:r w:rsidRPr="000A1595">
              <w:rPr>
                <w:rFonts w:asciiTheme="minorHAnsi" w:hAnsiTheme="minorHAnsi" w:cstheme="minorHAnsi"/>
                <w:sz w:val="18"/>
                <w:szCs w:val="18"/>
              </w:rPr>
              <w:t xml:space="preserve">It was determined that the initial amount estimated for the dismantling and disposing of plant and equipment was overstated and as such has been reduced, for details see Note 28 </w:t>
            </w:r>
            <w:r w:rsidRPr="00AB1649">
              <w:rPr>
                <w:rFonts w:asciiTheme="minorHAnsi" w:hAnsiTheme="minorHAnsi" w:cstheme="minorHAnsi"/>
                <w:i/>
                <w:iCs/>
                <w:sz w:val="18"/>
                <w:szCs w:val="18"/>
              </w:rPr>
              <w:t>Other Provisions.</w:t>
            </w:r>
            <w:r w:rsidRPr="000A1595">
              <w:rPr>
                <w:rFonts w:asciiTheme="minorHAnsi" w:hAnsiTheme="minorHAnsi" w:cstheme="minorHAnsi"/>
                <w:sz w:val="18"/>
                <w:szCs w:val="18"/>
              </w:rPr>
              <w:t xml:space="preserve"> </w:t>
            </w:r>
          </w:p>
        </w:tc>
      </w:tr>
      <w:tr w:rsidR="000A1595" w:rsidRPr="000A1595" w14:paraId="22077DAB" w14:textId="77777777" w:rsidTr="00B513E5">
        <w:trPr>
          <w:gridAfter w:val="1"/>
          <w:wAfter w:w="83" w:type="pct"/>
        </w:trPr>
        <w:tc>
          <w:tcPr>
            <w:tcW w:w="732" w:type="pct"/>
            <w:gridSpan w:val="2"/>
            <w:tcBorders>
              <w:top w:val="nil"/>
              <w:left w:val="single" w:sz="2" w:space="0" w:color="auto"/>
              <w:bottom w:val="nil"/>
              <w:right w:val="single" w:sz="2" w:space="0" w:color="auto"/>
            </w:tcBorders>
          </w:tcPr>
          <w:p w14:paraId="60026017" w14:textId="77777777" w:rsidR="003B1E1B" w:rsidRPr="000A1595" w:rsidRDefault="003B1E1B" w:rsidP="003B1E1B">
            <w:pPr>
              <w:pStyle w:val="TableReference"/>
              <w:tabs>
                <w:tab w:val="left" w:pos="3306"/>
              </w:tabs>
              <w:spacing w:before="60"/>
              <w:rPr>
                <w:rFonts w:cs="Calibri"/>
                <w:color w:val="7030A0"/>
                <w:sz w:val="16"/>
                <w:szCs w:val="16"/>
              </w:rPr>
            </w:pPr>
          </w:p>
        </w:tc>
        <w:tc>
          <w:tcPr>
            <w:tcW w:w="4185" w:type="pct"/>
            <w:tcBorders>
              <w:top w:val="nil"/>
              <w:left w:val="single" w:sz="2" w:space="0" w:color="auto"/>
              <w:bottom w:val="nil"/>
              <w:right w:val="nil"/>
            </w:tcBorders>
          </w:tcPr>
          <w:p w14:paraId="562D46F1" w14:textId="56C4A6D1" w:rsidR="003B1E1B" w:rsidRPr="000A1595" w:rsidRDefault="003B1E1B" w:rsidP="003B1E1B">
            <w:pPr>
              <w:spacing w:after="40"/>
              <w:rPr>
                <w:b/>
                <w:bCs/>
                <w:strike/>
                <w:sz w:val="18"/>
                <w:szCs w:val="18"/>
              </w:rPr>
            </w:pPr>
            <w:r w:rsidRPr="000A1595">
              <w:rPr>
                <w:b/>
                <w:bCs/>
                <w:sz w:val="18"/>
                <w:szCs w:val="18"/>
              </w:rPr>
              <w:t>Correction of Prior Period Errors</w:t>
            </w:r>
          </w:p>
        </w:tc>
      </w:tr>
      <w:tr w:rsidR="003B1E1B" w:rsidRPr="00E02536" w14:paraId="4B6412BF" w14:textId="77777777" w:rsidTr="00B513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Before w:val="1"/>
          <w:wBefore w:w="4" w:type="pct"/>
          <w:trHeight w:val="20"/>
          <w:jc w:val="center"/>
        </w:trPr>
        <w:tc>
          <w:tcPr>
            <w:tcW w:w="728" w:type="pct"/>
            <w:tcBorders>
              <w:left w:val="single" w:sz="2" w:space="0" w:color="auto"/>
              <w:right w:val="single" w:sz="2" w:space="0" w:color="auto"/>
            </w:tcBorders>
          </w:tcPr>
          <w:p w14:paraId="60B2F0F4" w14:textId="77777777" w:rsidR="003B1E1B" w:rsidRPr="000A1595" w:rsidRDefault="003B1E1B" w:rsidP="003B1E1B">
            <w:pPr>
              <w:pStyle w:val="TableText"/>
              <w:tabs>
                <w:tab w:val="left" w:pos="3306"/>
              </w:tabs>
              <w:rPr>
                <w:rFonts w:cs="Calibri"/>
                <w:color w:val="7030A0"/>
              </w:rPr>
            </w:pPr>
          </w:p>
        </w:tc>
        <w:tc>
          <w:tcPr>
            <w:tcW w:w="4268" w:type="pct"/>
            <w:gridSpan w:val="2"/>
            <w:tcBorders>
              <w:left w:val="single" w:sz="2" w:space="0" w:color="auto"/>
            </w:tcBorders>
            <w:vAlign w:val="bottom"/>
          </w:tcPr>
          <w:p w14:paraId="53BB16BC" w14:textId="571DD6B9" w:rsidR="003B1E1B" w:rsidRPr="00294AB5" w:rsidRDefault="003B1E1B" w:rsidP="003B1E1B">
            <w:pPr>
              <w:pStyle w:val="TableText"/>
              <w:tabs>
                <w:tab w:val="left" w:pos="3306"/>
              </w:tabs>
              <w:spacing w:before="0"/>
              <w:jc w:val="both"/>
              <w:rPr>
                <w:rFonts w:cs="Calibri"/>
                <w:bCs/>
                <w:iCs/>
              </w:rPr>
            </w:pPr>
            <w:r w:rsidRPr="000A1595">
              <w:rPr>
                <w:rFonts w:cs="Calibri"/>
              </w:rPr>
              <w:t xml:space="preserve">An example disclosure for a correction of a prior period error is contained in the </w:t>
            </w:r>
            <w:r w:rsidRPr="000A1595">
              <w:rPr>
                <w:i/>
                <w:iCs/>
              </w:rPr>
              <w:t>Accounting Disclosure Paper –</w:t>
            </w:r>
            <w:r w:rsidRPr="000A1595">
              <w:t xml:space="preserve"> </w:t>
            </w:r>
            <w:r w:rsidRPr="000A1595">
              <w:rPr>
                <w:rFonts w:cs="Calibri"/>
                <w:i/>
              </w:rPr>
              <w:t>Presenting Restatements of Comparatives</w:t>
            </w:r>
            <w:r w:rsidR="00294AB5">
              <w:rPr>
                <w:rFonts w:cs="Calibri"/>
                <w:iCs/>
              </w:rPr>
              <w:t>. This a separate supplementary paper to this Model.</w:t>
            </w:r>
          </w:p>
        </w:tc>
      </w:tr>
      <w:tr w:rsidR="003E4058" w:rsidRPr="00E02536" w14:paraId="634A8C92" w14:textId="77777777" w:rsidTr="00B513E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Before w:val="1"/>
          <w:wBefore w:w="4" w:type="pct"/>
          <w:trHeight w:val="20"/>
          <w:jc w:val="center"/>
        </w:trPr>
        <w:tc>
          <w:tcPr>
            <w:tcW w:w="728" w:type="pct"/>
            <w:tcBorders>
              <w:left w:val="single" w:sz="2" w:space="0" w:color="auto"/>
              <w:right w:val="single" w:sz="2" w:space="0" w:color="auto"/>
            </w:tcBorders>
          </w:tcPr>
          <w:p w14:paraId="4EC8F92E" w14:textId="77777777" w:rsidR="003E4058" w:rsidRPr="000A1595" w:rsidRDefault="003E4058" w:rsidP="003B1E1B">
            <w:pPr>
              <w:pStyle w:val="TableText"/>
              <w:tabs>
                <w:tab w:val="left" w:pos="3306"/>
              </w:tabs>
              <w:rPr>
                <w:rFonts w:cs="Calibri"/>
                <w:color w:val="7030A0"/>
              </w:rPr>
            </w:pPr>
          </w:p>
        </w:tc>
        <w:tc>
          <w:tcPr>
            <w:tcW w:w="4268" w:type="pct"/>
            <w:gridSpan w:val="2"/>
            <w:tcBorders>
              <w:left w:val="single" w:sz="2" w:space="0" w:color="auto"/>
              <w:bottom w:val="single" w:sz="2" w:space="0" w:color="7030A0"/>
            </w:tcBorders>
            <w:vAlign w:val="bottom"/>
          </w:tcPr>
          <w:p w14:paraId="0F0C3B45" w14:textId="77777777" w:rsidR="003E4058" w:rsidRPr="000A1595" w:rsidRDefault="003E4058" w:rsidP="003B1E1B">
            <w:pPr>
              <w:pStyle w:val="TableText"/>
              <w:tabs>
                <w:tab w:val="left" w:pos="3306"/>
              </w:tabs>
              <w:spacing w:before="0"/>
              <w:jc w:val="both"/>
              <w:rPr>
                <w:rFonts w:cs="Calibri"/>
              </w:rPr>
            </w:pPr>
          </w:p>
        </w:tc>
      </w:tr>
      <w:tr w:rsidR="003B1E1B" w:rsidRPr="00355BA5" w14:paraId="6558C2FD" w14:textId="77777777" w:rsidTr="00B513E5">
        <w:tc>
          <w:tcPr>
            <w:tcW w:w="732" w:type="pct"/>
            <w:gridSpan w:val="2"/>
            <w:tcBorders>
              <w:top w:val="nil"/>
              <w:left w:val="single" w:sz="2" w:space="0" w:color="auto"/>
              <w:bottom w:val="nil"/>
              <w:right w:val="single" w:sz="2" w:space="0" w:color="auto"/>
            </w:tcBorders>
          </w:tcPr>
          <w:p w14:paraId="437C2ACB" w14:textId="179D3217" w:rsidR="003B1E1B" w:rsidRPr="000A1595" w:rsidRDefault="003B1E1B" w:rsidP="003B1E1B">
            <w:pPr>
              <w:pStyle w:val="TableReference"/>
              <w:tabs>
                <w:tab w:val="left" w:pos="3306"/>
              </w:tabs>
              <w:spacing w:before="60"/>
              <w:rPr>
                <w:rFonts w:cs="Calibri"/>
                <w:color w:val="7030A0"/>
                <w:sz w:val="14"/>
              </w:rPr>
            </w:pPr>
            <w:r w:rsidRPr="000A1595">
              <w:rPr>
                <w:rFonts w:cs="Calibri"/>
                <w:color w:val="7030A0"/>
                <w:sz w:val="14"/>
              </w:rPr>
              <w:br w:type="page"/>
            </w:r>
            <w:r w:rsidRPr="000A1595">
              <w:rPr>
                <w:rFonts w:cs="Calibri"/>
                <w:color w:val="7030A0"/>
                <w:sz w:val="14"/>
              </w:rPr>
              <w:br w:type="page"/>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0D829347" w14:textId="36A6F826" w:rsidR="003B1E1B" w:rsidRPr="000A1595" w:rsidRDefault="003B1E1B" w:rsidP="003B1E1B">
            <w:pPr>
              <w:pStyle w:val="CommentaryTitle"/>
              <w:spacing w:after="240"/>
              <w:rPr>
                <w:bCs w:val="0"/>
                <w:color w:val="FFFFFF" w:themeColor="background1"/>
                <w:sz w:val="28"/>
                <w:szCs w:val="28"/>
              </w:rPr>
            </w:pPr>
            <w:r w:rsidRPr="000A1595">
              <w:rPr>
                <w:rFonts w:cs="Calibri"/>
                <w:bCs w:val="0"/>
                <w:color w:val="FFFFFF" w:themeColor="background1"/>
                <w:sz w:val="28"/>
                <w:szCs w:val="28"/>
              </w:rPr>
              <w:t>Commentary – Note 4: Change in Accounting Policy and Accounting Estimates, and Correction of a Prior Period Error</w:t>
            </w:r>
          </w:p>
        </w:tc>
      </w:tr>
      <w:tr w:rsidR="003B1E1B" w:rsidRPr="00355BA5" w14:paraId="050F7828" w14:textId="77777777" w:rsidTr="00B513E5">
        <w:tc>
          <w:tcPr>
            <w:tcW w:w="732" w:type="pct"/>
            <w:gridSpan w:val="2"/>
            <w:tcBorders>
              <w:top w:val="nil"/>
              <w:left w:val="single" w:sz="2" w:space="0" w:color="auto"/>
              <w:bottom w:val="nil"/>
              <w:right w:val="single" w:sz="2" w:space="0" w:color="auto"/>
            </w:tcBorders>
          </w:tcPr>
          <w:p w14:paraId="0120108F"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4627EF2D" w14:textId="1B2E9E25" w:rsidR="003B1E1B" w:rsidRPr="00E17229" w:rsidRDefault="003B1E1B" w:rsidP="003B1E1B">
            <w:pPr>
              <w:spacing w:after="120"/>
              <w:jc w:val="both"/>
              <w:rPr>
                <w:color w:val="FFFFFF" w:themeColor="background1"/>
                <w:sz w:val="20"/>
                <w:szCs w:val="20"/>
              </w:rPr>
            </w:pPr>
            <w:r w:rsidRPr="00E17229">
              <w:rPr>
                <w:rFonts w:cs="Calibri"/>
                <w:b/>
                <w:bCs/>
                <w:color w:val="FFFFFF" w:themeColor="background1"/>
                <w:sz w:val="20"/>
                <w:szCs w:val="20"/>
              </w:rPr>
              <w:t xml:space="preserve">Change in </w:t>
            </w:r>
            <w:r w:rsidR="00203716" w:rsidRPr="00E17229">
              <w:rPr>
                <w:rFonts w:cs="Calibri"/>
                <w:b/>
                <w:bCs/>
                <w:color w:val="FFFFFF" w:themeColor="background1"/>
                <w:sz w:val="20"/>
                <w:szCs w:val="20"/>
              </w:rPr>
              <w:t>Accounting</w:t>
            </w:r>
            <w:r w:rsidRPr="00E17229">
              <w:rPr>
                <w:rFonts w:cs="Calibri"/>
                <w:b/>
                <w:bCs/>
                <w:color w:val="FFFFFF" w:themeColor="background1"/>
                <w:sz w:val="20"/>
                <w:szCs w:val="20"/>
              </w:rPr>
              <w:t xml:space="preserve"> Policy</w:t>
            </w:r>
          </w:p>
        </w:tc>
      </w:tr>
      <w:tr w:rsidR="003B1E1B" w:rsidRPr="00735CA8" w14:paraId="4A6BA31F" w14:textId="77777777" w:rsidTr="00B513E5">
        <w:tc>
          <w:tcPr>
            <w:tcW w:w="732" w:type="pct"/>
            <w:gridSpan w:val="2"/>
            <w:tcBorders>
              <w:top w:val="nil"/>
              <w:left w:val="single" w:sz="2" w:space="0" w:color="auto"/>
              <w:bottom w:val="nil"/>
              <w:right w:val="single" w:sz="2" w:space="0" w:color="auto"/>
            </w:tcBorders>
          </w:tcPr>
          <w:p w14:paraId="45510EE9"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51B5E6FF" w14:textId="61B27B91" w:rsidR="003B1E1B" w:rsidRPr="000A1595" w:rsidRDefault="003B1E1B" w:rsidP="003B1E1B">
            <w:pPr>
              <w:spacing w:after="120"/>
              <w:jc w:val="both"/>
              <w:rPr>
                <w:color w:val="FFFFFF" w:themeColor="background1"/>
                <w:sz w:val="18"/>
                <w:szCs w:val="18"/>
              </w:rPr>
            </w:pPr>
            <w:r w:rsidRPr="000A1595">
              <w:rPr>
                <w:rFonts w:cs="Calibri"/>
                <w:color w:val="FFFFFF" w:themeColor="background1"/>
                <w:sz w:val="18"/>
                <w:szCs w:val="18"/>
              </w:rPr>
              <w:t xml:space="preserve">For information concerning the treatment and disclosure of a Change in Accounting Policy please refer to the </w:t>
            </w:r>
            <w:r w:rsidRPr="000A1595">
              <w:rPr>
                <w:i/>
                <w:iCs/>
                <w:color w:val="FFFFFF" w:themeColor="background1"/>
                <w:sz w:val="18"/>
                <w:szCs w:val="18"/>
              </w:rPr>
              <w:t>Accounting Disclosure Paper –</w:t>
            </w:r>
            <w:r w:rsidRPr="000A1595">
              <w:rPr>
                <w:color w:val="FFFFFF" w:themeColor="background1"/>
                <w:sz w:val="18"/>
                <w:szCs w:val="18"/>
              </w:rPr>
              <w:t xml:space="preserve"> </w:t>
            </w:r>
            <w:r w:rsidRPr="000A1595">
              <w:rPr>
                <w:rFonts w:cs="Calibri"/>
                <w:i/>
                <w:color w:val="FFFFFF" w:themeColor="background1"/>
                <w:sz w:val="18"/>
                <w:szCs w:val="18"/>
              </w:rPr>
              <w:t>Presenting Restatements of Comparatives</w:t>
            </w:r>
            <w:r w:rsidRPr="000A1595">
              <w:rPr>
                <w:rFonts w:cs="Calibri"/>
                <w:color w:val="FFFFFF" w:themeColor="background1"/>
                <w:sz w:val="18"/>
                <w:szCs w:val="18"/>
              </w:rPr>
              <w:t>.</w:t>
            </w:r>
          </w:p>
        </w:tc>
      </w:tr>
      <w:tr w:rsidR="003B1E1B" w:rsidRPr="00735CA8" w14:paraId="37EE0346" w14:textId="77777777" w:rsidTr="00B513E5">
        <w:tc>
          <w:tcPr>
            <w:tcW w:w="732" w:type="pct"/>
            <w:gridSpan w:val="2"/>
            <w:tcBorders>
              <w:top w:val="nil"/>
              <w:left w:val="single" w:sz="2" w:space="0" w:color="auto"/>
              <w:bottom w:val="nil"/>
              <w:right w:val="single" w:sz="2" w:space="0" w:color="auto"/>
            </w:tcBorders>
          </w:tcPr>
          <w:p w14:paraId="26E0936A" w14:textId="77777777" w:rsidR="003B1E1B" w:rsidRPr="000A1595" w:rsidRDefault="003B1E1B" w:rsidP="003B1E1B">
            <w:pPr>
              <w:pStyle w:val="TableReference"/>
              <w:tabs>
                <w:tab w:val="left" w:pos="3306"/>
              </w:tabs>
              <w:spacing w:before="80"/>
              <w:rPr>
                <w:rFonts w:cs="Calibri"/>
                <w:color w:val="7030A0"/>
                <w:sz w:val="14"/>
                <w:highlight w:val="yellow"/>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108420E1" w14:textId="36A27CBE"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Only affected line items are included in the Operating Statement and Balance Sheet table.</w:t>
            </w:r>
          </w:p>
        </w:tc>
      </w:tr>
      <w:tr w:rsidR="003B1E1B" w:rsidRPr="00355BA5" w14:paraId="39D67AA4" w14:textId="77777777" w:rsidTr="00B513E5">
        <w:tc>
          <w:tcPr>
            <w:tcW w:w="732" w:type="pct"/>
            <w:gridSpan w:val="2"/>
            <w:tcBorders>
              <w:top w:val="nil"/>
              <w:left w:val="single" w:sz="2" w:space="0" w:color="auto"/>
              <w:bottom w:val="nil"/>
              <w:right w:val="single" w:sz="2" w:space="0" w:color="auto"/>
            </w:tcBorders>
          </w:tcPr>
          <w:p w14:paraId="63F39E34" w14:textId="77777777" w:rsidR="003B1E1B" w:rsidRPr="000A1595" w:rsidRDefault="003B1E1B" w:rsidP="003B1E1B">
            <w:pPr>
              <w:pStyle w:val="TableReference"/>
              <w:tabs>
                <w:tab w:val="left" w:pos="3306"/>
              </w:tabs>
              <w:spacing w:before="80"/>
              <w:rPr>
                <w:rFonts w:cs="Calibri"/>
                <w:color w:val="7030A0"/>
                <w:sz w:val="14"/>
                <w:highlight w:val="yellow"/>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14090A22" w14:textId="4362A452"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 xml:space="preserve">If the impact on the Statement of Cash Flows is </w:t>
            </w:r>
            <w:r w:rsidR="00203716" w:rsidRPr="000A1595">
              <w:rPr>
                <w:rFonts w:cs="Calibri"/>
                <w:color w:val="FFFFFF" w:themeColor="background1"/>
                <w:sz w:val="18"/>
                <w:szCs w:val="18"/>
              </w:rPr>
              <w:t>material,</w:t>
            </w:r>
            <w:r w:rsidRPr="000A1595">
              <w:rPr>
                <w:rFonts w:cs="Calibri"/>
                <w:color w:val="FFFFFF" w:themeColor="background1"/>
                <w:sz w:val="18"/>
                <w:szCs w:val="18"/>
              </w:rPr>
              <w:t xml:space="preserve"> then a table showing the changes (similar to the operating statement and the balance sheet) should be included.</w:t>
            </w:r>
          </w:p>
        </w:tc>
      </w:tr>
      <w:tr w:rsidR="003B1E1B" w:rsidRPr="00355BA5" w14:paraId="3E84A227" w14:textId="77777777" w:rsidTr="00B513E5">
        <w:tc>
          <w:tcPr>
            <w:tcW w:w="732" w:type="pct"/>
            <w:gridSpan w:val="2"/>
            <w:tcBorders>
              <w:top w:val="nil"/>
              <w:left w:val="single" w:sz="2" w:space="0" w:color="auto"/>
              <w:bottom w:val="nil"/>
              <w:right w:val="single" w:sz="2" w:space="0" w:color="auto"/>
            </w:tcBorders>
          </w:tcPr>
          <w:p w14:paraId="4F989209" w14:textId="77777777" w:rsidR="001D66DB" w:rsidRDefault="001D66DB" w:rsidP="003B1E1B">
            <w:pPr>
              <w:rPr>
                <w:color w:val="7030A0"/>
                <w:sz w:val="14"/>
                <w:szCs w:val="14"/>
              </w:rPr>
            </w:pPr>
          </w:p>
          <w:p w14:paraId="1F0F026D" w14:textId="77777777" w:rsidR="001D66DB" w:rsidRDefault="001D66DB" w:rsidP="003B1E1B">
            <w:pPr>
              <w:rPr>
                <w:color w:val="7030A0"/>
                <w:sz w:val="14"/>
                <w:szCs w:val="14"/>
              </w:rPr>
            </w:pPr>
          </w:p>
          <w:p w14:paraId="0A1BE850" w14:textId="2B2755B0" w:rsidR="003B1E1B" w:rsidRPr="000A1595" w:rsidRDefault="003B1E1B" w:rsidP="003B1E1B">
            <w:pPr>
              <w:rPr>
                <w:rFonts w:cs="Calibri"/>
                <w:color w:val="7030A0"/>
                <w:sz w:val="14"/>
                <w:szCs w:val="14"/>
              </w:rPr>
            </w:pPr>
            <w:r w:rsidRPr="000A1595">
              <w:rPr>
                <w:color w:val="7030A0"/>
                <w:sz w:val="14"/>
                <w:szCs w:val="14"/>
              </w:rPr>
              <w:t>AASB 108.36</w:t>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2B662275" w14:textId="2FD38E49" w:rsidR="001D66DB" w:rsidRPr="001D66DB" w:rsidRDefault="001D66DB" w:rsidP="003B1E1B">
            <w:pPr>
              <w:spacing w:after="60"/>
              <w:jc w:val="both"/>
              <w:rPr>
                <w:rFonts w:cs="Calibri"/>
                <w:b/>
                <w:bCs/>
                <w:color w:val="FFFFFF" w:themeColor="background1"/>
                <w:sz w:val="20"/>
                <w:szCs w:val="20"/>
              </w:rPr>
            </w:pPr>
            <w:r>
              <w:rPr>
                <w:rFonts w:cs="Calibri"/>
                <w:b/>
                <w:bCs/>
                <w:color w:val="FFFFFF" w:themeColor="background1"/>
                <w:sz w:val="20"/>
                <w:szCs w:val="20"/>
              </w:rPr>
              <w:t>Change in Accounting Estimate</w:t>
            </w:r>
          </w:p>
          <w:p w14:paraId="03F3097B" w14:textId="70208A4A" w:rsidR="003B1E1B" w:rsidRPr="000A1595" w:rsidRDefault="003B1E1B" w:rsidP="003B1E1B">
            <w:pPr>
              <w:spacing w:after="60"/>
              <w:jc w:val="both"/>
              <w:rPr>
                <w:rFonts w:cs="Calibri"/>
                <w:color w:val="FFFFFF" w:themeColor="background1"/>
                <w:sz w:val="18"/>
                <w:szCs w:val="18"/>
              </w:rPr>
            </w:pPr>
            <w:r w:rsidRPr="000A1595">
              <w:rPr>
                <w:rFonts w:cs="Calibri"/>
                <w:color w:val="FFFFFF" w:themeColor="background1"/>
                <w:sz w:val="18"/>
                <w:szCs w:val="18"/>
              </w:rPr>
              <w:t>The effect of a change in an accounting estimate shall be recognised prospectively in the Operating Statement in:</w:t>
            </w:r>
          </w:p>
          <w:p w14:paraId="1DBF5FD2" w14:textId="77777777" w:rsidR="003B1E1B" w:rsidRPr="000A1595" w:rsidRDefault="003B1E1B" w:rsidP="007122BC">
            <w:pPr>
              <w:numPr>
                <w:ilvl w:val="0"/>
                <w:numId w:val="44"/>
              </w:numPr>
              <w:spacing w:after="60"/>
              <w:ind w:left="426" w:hanging="243"/>
              <w:jc w:val="both"/>
              <w:rPr>
                <w:rFonts w:cs="Calibri"/>
                <w:color w:val="FFFFFF" w:themeColor="background1"/>
                <w:sz w:val="18"/>
                <w:szCs w:val="18"/>
              </w:rPr>
            </w:pPr>
            <w:r w:rsidRPr="000A1595">
              <w:rPr>
                <w:rFonts w:cs="Calibri"/>
                <w:color w:val="FFFFFF" w:themeColor="background1"/>
                <w:sz w:val="18"/>
                <w:szCs w:val="18"/>
              </w:rPr>
              <w:t>the period of the change, if the change affects that period only; or</w:t>
            </w:r>
          </w:p>
          <w:p w14:paraId="6BABF28B" w14:textId="3625D8BA" w:rsidR="003B1E1B" w:rsidRPr="000A1595" w:rsidRDefault="003B1E1B" w:rsidP="007122BC">
            <w:pPr>
              <w:numPr>
                <w:ilvl w:val="0"/>
                <w:numId w:val="44"/>
              </w:numPr>
              <w:spacing w:after="120"/>
              <w:ind w:left="426" w:hanging="243"/>
              <w:jc w:val="both"/>
              <w:rPr>
                <w:rFonts w:cs="Calibri"/>
                <w:color w:val="FFFFFF" w:themeColor="background1"/>
                <w:sz w:val="18"/>
                <w:szCs w:val="18"/>
              </w:rPr>
            </w:pPr>
            <w:r w:rsidRPr="000A1595">
              <w:rPr>
                <w:rFonts w:cs="Calibri"/>
                <w:color w:val="FFFFFF" w:themeColor="background1"/>
                <w:sz w:val="18"/>
                <w:szCs w:val="18"/>
              </w:rPr>
              <w:t>the period of the change and future periods, if the change affects both.</w:t>
            </w:r>
          </w:p>
        </w:tc>
      </w:tr>
      <w:tr w:rsidR="003B1E1B" w:rsidRPr="00355BA5" w14:paraId="58C5C074" w14:textId="77777777" w:rsidTr="00B513E5">
        <w:tc>
          <w:tcPr>
            <w:tcW w:w="732" w:type="pct"/>
            <w:gridSpan w:val="2"/>
            <w:tcBorders>
              <w:top w:val="nil"/>
              <w:left w:val="single" w:sz="2" w:space="0" w:color="auto"/>
              <w:bottom w:val="nil"/>
              <w:right w:val="single" w:sz="2" w:space="0" w:color="auto"/>
            </w:tcBorders>
          </w:tcPr>
          <w:p w14:paraId="3AB1C178" w14:textId="40FC520F" w:rsidR="003B1E1B" w:rsidRPr="000A1595" w:rsidRDefault="003B1E1B" w:rsidP="003B1E1B">
            <w:pPr>
              <w:rPr>
                <w:rFonts w:cs="Calibri"/>
                <w:color w:val="7030A0"/>
                <w:sz w:val="14"/>
                <w:szCs w:val="14"/>
              </w:rPr>
            </w:pPr>
            <w:r w:rsidRPr="000A1595">
              <w:rPr>
                <w:rFonts w:cs="Calibri"/>
                <w:color w:val="7030A0"/>
                <w:sz w:val="14"/>
                <w:szCs w:val="14"/>
              </w:rPr>
              <w:t>AASB 108.37</w:t>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5057F102" w14:textId="27BF4235"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Except to the extent that a change in an accounting estimate gives rise to changes in assets and liabilities, or relates to an item of equity, it shall be recognised by adjusting the carrying amount of the related asset, liability or equity item in the reporting period of the change.</w:t>
            </w:r>
          </w:p>
        </w:tc>
      </w:tr>
      <w:tr w:rsidR="003B1E1B" w:rsidRPr="00355BA5" w14:paraId="5C2EE03B" w14:textId="77777777" w:rsidTr="00B513E5">
        <w:tc>
          <w:tcPr>
            <w:tcW w:w="732" w:type="pct"/>
            <w:gridSpan w:val="2"/>
            <w:tcBorders>
              <w:top w:val="nil"/>
              <w:left w:val="single" w:sz="2" w:space="0" w:color="auto"/>
              <w:bottom w:val="nil"/>
              <w:right w:val="single" w:sz="2" w:space="0" w:color="auto"/>
            </w:tcBorders>
          </w:tcPr>
          <w:p w14:paraId="3FE2964A" w14:textId="3197A871" w:rsidR="003B1E1B" w:rsidRPr="000A1595" w:rsidRDefault="003B1E1B" w:rsidP="003B1E1B">
            <w:pPr>
              <w:rPr>
                <w:rFonts w:cs="Calibri"/>
                <w:color w:val="7030A0"/>
                <w:sz w:val="14"/>
                <w:szCs w:val="14"/>
              </w:rPr>
            </w:pPr>
            <w:r w:rsidRPr="000A1595">
              <w:rPr>
                <w:color w:val="7030A0"/>
                <w:sz w:val="14"/>
                <w:szCs w:val="14"/>
              </w:rPr>
              <w:t>AASB 108.39, AASB 108.40</w:t>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72AC6F18" w14:textId="440E9308"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Agencies are required to disclose the nature and amount of a change in an accounting estimate that has an effect in the current reporting period or is expected to have an effect in future reporting periods, except for the disclosure of the effect on future reporting periods when it is impracticable to estimate that effect.</w:t>
            </w:r>
            <w:r w:rsidR="00FA7C77">
              <w:rPr>
                <w:rFonts w:cs="Calibri"/>
                <w:color w:val="FFFFFF" w:themeColor="background1"/>
                <w:sz w:val="18"/>
                <w:szCs w:val="18"/>
              </w:rPr>
              <w:t xml:space="preserve"> </w:t>
            </w:r>
            <w:r w:rsidRPr="000A1595">
              <w:rPr>
                <w:rFonts w:cs="Calibri"/>
                <w:color w:val="FFFFFF" w:themeColor="background1"/>
                <w:sz w:val="18"/>
                <w:szCs w:val="18"/>
              </w:rPr>
              <w:t>If the amount of the effect in future periods is not disclosed because estimating it is impracticable, that fact shall be disclosed.</w:t>
            </w:r>
          </w:p>
        </w:tc>
      </w:tr>
    </w:tbl>
    <w:p w14:paraId="161CF653" w14:textId="77777777" w:rsidR="00E17229" w:rsidRDefault="00E17229">
      <w:r>
        <w:br w:type="page"/>
      </w:r>
    </w:p>
    <w:tbl>
      <w:tblPr>
        <w:tblW w:w="521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9072"/>
        <w:gridCol w:w="36"/>
      </w:tblGrid>
      <w:tr w:rsidR="00E17229" w:rsidRPr="00355BA5" w14:paraId="36902E60" w14:textId="77777777" w:rsidTr="002F4A89">
        <w:tc>
          <w:tcPr>
            <w:tcW w:w="732" w:type="pct"/>
            <w:tcBorders>
              <w:top w:val="nil"/>
              <w:left w:val="single" w:sz="2" w:space="0" w:color="auto"/>
              <w:bottom w:val="nil"/>
              <w:right w:val="single" w:sz="2" w:space="0" w:color="auto"/>
            </w:tcBorders>
          </w:tcPr>
          <w:p w14:paraId="5A03B634" w14:textId="381BBFC9" w:rsidR="00E17229" w:rsidRPr="000A1595" w:rsidRDefault="00E17229" w:rsidP="00BD1DCB">
            <w:pPr>
              <w:pStyle w:val="Reference"/>
              <w:tabs>
                <w:tab w:val="left" w:pos="3306"/>
              </w:tabs>
              <w:rPr>
                <w:rFonts w:cs="Calibri"/>
                <w:color w:val="7030A0"/>
                <w:sz w:val="14"/>
              </w:rPr>
            </w:pPr>
            <w:r w:rsidRPr="000A1595">
              <w:rPr>
                <w:rFonts w:cs="Calibri"/>
                <w:color w:val="7030A0"/>
                <w:sz w:val="14"/>
              </w:rPr>
              <w:br w:type="page"/>
            </w:r>
            <w:r w:rsidRPr="000A1595">
              <w:rPr>
                <w:rFonts w:cs="Calibri"/>
                <w:color w:val="7030A0"/>
                <w:sz w:val="14"/>
              </w:rPr>
              <w:br w:type="page"/>
            </w:r>
            <w:r w:rsidR="00BB62BB" w:rsidRPr="000A1595">
              <w:rPr>
                <w:rFonts w:cs="Calibri"/>
                <w:color w:val="7030A0"/>
                <w:sz w:val="22"/>
                <w:szCs w:val="22"/>
              </w:rPr>
              <w:t>Reference</w:t>
            </w: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5B71C49A" w14:textId="7A4E08F1" w:rsidR="00E17229" w:rsidRPr="000A1595" w:rsidRDefault="00E17229" w:rsidP="00E17229">
            <w:pPr>
              <w:pStyle w:val="CommentaryTitle"/>
              <w:spacing w:before="0" w:after="240"/>
              <w:rPr>
                <w:bCs w:val="0"/>
                <w:color w:val="FFFFFF" w:themeColor="background1"/>
                <w:sz w:val="28"/>
                <w:szCs w:val="28"/>
              </w:rPr>
            </w:pPr>
            <w:r w:rsidRPr="000A1595">
              <w:rPr>
                <w:rFonts w:cs="Calibri"/>
                <w:bCs w:val="0"/>
                <w:color w:val="FFFFFF" w:themeColor="background1"/>
                <w:sz w:val="28"/>
                <w:szCs w:val="28"/>
              </w:rPr>
              <w:t>Commentary – Note 4: Change in Accounting Policy and Accounting Estimates, and Correction of a Prior Period Error</w:t>
            </w:r>
            <w:r>
              <w:rPr>
                <w:rFonts w:cs="Calibri"/>
                <w:bCs w:val="0"/>
                <w:color w:val="FFFFFF" w:themeColor="background1"/>
                <w:sz w:val="28"/>
                <w:szCs w:val="28"/>
              </w:rPr>
              <w:t xml:space="preserve"> – Continued </w:t>
            </w:r>
          </w:p>
        </w:tc>
      </w:tr>
      <w:tr w:rsidR="003B1E1B" w:rsidRPr="00355BA5" w14:paraId="170A6848" w14:textId="77777777" w:rsidTr="002F4A89">
        <w:tc>
          <w:tcPr>
            <w:tcW w:w="732" w:type="pct"/>
            <w:tcBorders>
              <w:top w:val="nil"/>
              <w:left w:val="single" w:sz="2" w:space="0" w:color="auto"/>
              <w:bottom w:val="nil"/>
              <w:right w:val="single" w:sz="2" w:space="0" w:color="auto"/>
            </w:tcBorders>
          </w:tcPr>
          <w:p w14:paraId="193D4698"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single" w:sz="2" w:space="0" w:color="7030A0"/>
              <w:right w:val="single" w:sz="2" w:space="0" w:color="7030A0"/>
            </w:tcBorders>
            <w:shd w:val="clear" w:color="auto" w:fill="7030A0"/>
          </w:tcPr>
          <w:p w14:paraId="0A512257" w14:textId="77777777" w:rsidR="003B1E1B" w:rsidRPr="000A1595" w:rsidRDefault="003B1E1B" w:rsidP="003B1E1B">
            <w:pPr>
              <w:spacing w:after="60"/>
              <w:jc w:val="both"/>
              <w:rPr>
                <w:rFonts w:cs="Calibri"/>
                <w:color w:val="FFFFFF" w:themeColor="background1"/>
                <w:sz w:val="18"/>
                <w:szCs w:val="18"/>
              </w:rPr>
            </w:pPr>
            <w:r w:rsidRPr="000A1595">
              <w:rPr>
                <w:rFonts w:cs="Calibri"/>
                <w:color w:val="FFFFFF" w:themeColor="background1"/>
                <w:sz w:val="18"/>
                <w:szCs w:val="18"/>
              </w:rPr>
              <w:t>For property, plant and equipment, disclosure of a change in an accounting estimate may arise from changes in estimates with respect to:</w:t>
            </w:r>
          </w:p>
          <w:p w14:paraId="659F0BD7" w14:textId="77777777" w:rsidR="003B1E1B" w:rsidRPr="000A1595" w:rsidRDefault="003B1E1B" w:rsidP="007122BC">
            <w:pPr>
              <w:numPr>
                <w:ilvl w:val="0"/>
                <w:numId w:val="44"/>
              </w:numPr>
              <w:spacing w:after="60"/>
              <w:ind w:left="426" w:hanging="243"/>
              <w:jc w:val="both"/>
              <w:rPr>
                <w:rFonts w:cs="Calibri"/>
                <w:color w:val="FFFFFF" w:themeColor="background1"/>
                <w:sz w:val="18"/>
                <w:szCs w:val="18"/>
              </w:rPr>
            </w:pPr>
            <w:r w:rsidRPr="000A1595">
              <w:rPr>
                <w:rFonts w:cs="Calibri"/>
                <w:color w:val="FFFFFF" w:themeColor="background1"/>
                <w:sz w:val="18"/>
                <w:szCs w:val="18"/>
              </w:rPr>
              <w:t>residual values;</w:t>
            </w:r>
          </w:p>
          <w:p w14:paraId="219625B4" w14:textId="77777777" w:rsidR="003B1E1B" w:rsidRPr="000A1595" w:rsidRDefault="003B1E1B" w:rsidP="007122BC">
            <w:pPr>
              <w:numPr>
                <w:ilvl w:val="0"/>
                <w:numId w:val="44"/>
              </w:numPr>
              <w:spacing w:after="60"/>
              <w:ind w:left="426" w:hanging="243"/>
              <w:jc w:val="both"/>
              <w:rPr>
                <w:rFonts w:cs="Calibri"/>
                <w:color w:val="FFFFFF" w:themeColor="background1"/>
                <w:sz w:val="18"/>
                <w:szCs w:val="18"/>
              </w:rPr>
            </w:pPr>
            <w:r w:rsidRPr="000A1595">
              <w:rPr>
                <w:rFonts w:cs="Calibri"/>
                <w:color w:val="FFFFFF" w:themeColor="background1"/>
                <w:sz w:val="18"/>
                <w:szCs w:val="18"/>
              </w:rPr>
              <w:t>the estimated costs of dismantling, removing or restoring items of property, plant and equipment;</w:t>
            </w:r>
          </w:p>
          <w:p w14:paraId="183121C4" w14:textId="1C61687F" w:rsidR="003B1E1B" w:rsidRPr="000A1595" w:rsidRDefault="003B1E1B" w:rsidP="007122BC">
            <w:pPr>
              <w:numPr>
                <w:ilvl w:val="0"/>
                <w:numId w:val="44"/>
              </w:numPr>
              <w:spacing w:after="60"/>
              <w:ind w:left="426" w:hanging="243"/>
              <w:jc w:val="both"/>
              <w:rPr>
                <w:rFonts w:cs="Calibri"/>
                <w:color w:val="FFFFFF" w:themeColor="background1"/>
                <w:sz w:val="18"/>
                <w:szCs w:val="18"/>
              </w:rPr>
            </w:pPr>
            <w:r w:rsidRPr="000A1595">
              <w:rPr>
                <w:rFonts w:cs="Calibri"/>
                <w:color w:val="FFFFFF" w:themeColor="background1"/>
                <w:sz w:val="18"/>
                <w:szCs w:val="18"/>
              </w:rPr>
              <w:t>useful lives; and</w:t>
            </w:r>
          </w:p>
          <w:p w14:paraId="043597BA" w14:textId="2FE91899" w:rsidR="003B1E1B" w:rsidRPr="000A1595" w:rsidRDefault="003B1E1B" w:rsidP="007122BC">
            <w:pPr>
              <w:numPr>
                <w:ilvl w:val="0"/>
                <w:numId w:val="44"/>
              </w:numPr>
              <w:spacing w:after="60"/>
              <w:ind w:left="426" w:hanging="243"/>
              <w:jc w:val="both"/>
              <w:rPr>
                <w:rFonts w:cs="Calibri"/>
                <w:color w:val="FFFFFF" w:themeColor="background1"/>
                <w:sz w:val="18"/>
                <w:szCs w:val="18"/>
              </w:rPr>
            </w:pPr>
            <w:r w:rsidRPr="000A1595">
              <w:rPr>
                <w:rFonts w:cs="Calibri"/>
                <w:color w:val="FFFFFF" w:themeColor="background1"/>
                <w:sz w:val="18"/>
                <w:szCs w:val="18"/>
              </w:rPr>
              <w:t>depreciation methods.</w:t>
            </w:r>
          </w:p>
        </w:tc>
      </w:tr>
      <w:tr w:rsidR="009A1F66" w:rsidRPr="00355BA5" w14:paraId="61BFDA0F" w14:textId="77777777" w:rsidTr="002F4A89">
        <w:tc>
          <w:tcPr>
            <w:tcW w:w="732" w:type="pct"/>
            <w:tcBorders>
              <w:top w:val="nil"/>
              <w:left w:val="single" w:sz="2" w:space="0" w:color="auto"/>
              <w:bottom w:val="nil"/>
              <w:right w:val="single" w:sz="2" w:space="0" w:color="auto"/>
            </w:tcBorders>
          </w:tcPr>
          <w:p w14:paraId="20959553" w14:textId="77777777" w:rsidR="009A1F66" w:rsidRPr="000A1595" w:rsidRDefault="009A1F66" w:rsidP="003B1E1B">
            <w:pPr>
              <w:pStyle w:val="TableReference"/>
              <w:tabs>
                <w:tab w:val="left" w:pos="3306"/>
              </w:tabs>
              <w:spacing w:before="80"/>
              <w:rPr>
                <w:rFonts w:cs="Calibri"/>
                <w:color w:val="7030A0"/>
                <w:sz w:val="14"/>
              </w:rPr>
            </w:pPr>
          </w:p>
        </w:tc>
        <w:tc>
          <w:tcPr>
            <w:tcW w:w="4268" w:type="pct"/>
            <w:gridSpan w:val="2"/>
            <w:tcBorders>
              <w:top w:val="single" w:sz="2" w:space="0" w:color="7030A0"/>
              <w:left w:val="single" w:sz="2" w:space="0" w:color="auto"/>
              <w:bottom w:val="nil"/>
              <w:right w:val="nil"/>
            </w:tcBorders>
            <w:shd w:val="clear" w:color="auto" w:fill="7030A0"/>
          </w:tcPr>
          <w:p w14:paraId="258E5E2E" w14:textId="60251CAC" w:rsidR="009A1F66" w:rsidRPr="000A1595" w:rsidRDefault="009A1F66" w:rsidP="003B1E1B">
            <w:pPr>
              <w:spacing w:after="60"/>
              <w:jc w:val="both"/>
              <w:rPr>
                <w:rFonts w:cs="Calibri"/>
                <w:color w:val="FFFFFF" w:themeColor="background1"/>
                <w:sz w:val="18"/>
                <w:szCs w:val="18"/>
              </w:rPr>
            </w:pPr>
            <w:r w:rsidRPr="000A1595">
              <w:rPr>
                <w:rFonts w:cs="Calibri"/>
                <w:color w:val="FFFFFF" w:themeColor="background1"/>
                <w:sz w:val="18"/>
                <w:szCs w:val="18"/>
              </w:rPr>
              <w:t xml:space="preserve">For further information concerning the treatment and disclosure of a Change in Accounting Estimate please refer to the </w:t>
            </w:r>
            <w:r w:rsidRPr="000A1595">
              <w:rPr>
                <w:i/>
                <w:iCs/>
                <w:color w:val="FFFFFF" w:themeColor="background1"/>
                <w:sz w:val="18"/>
                <w:szCs w:val="18"/>
              </w:rPr>
              <w:t>Accounting Disclosure Paper –</w:t>
            </w:r>
            <w:r w:rsidRPr="000A1595">
              <w:rPr>
                <w:color w:val="FFFFFF" w:themeColor="background1"/>
                <w:sz w:val="18"/>
                <w:szCs w:val="18"/>
              </w:rPr>
              <w:t xml:space="preserve"> </w:t>
            </w:r>
            <w:r w:rsidRPr="000A1595">
              <w:rPr>
                <w:rFonts w:cs="Calibri"/>
                <w:i/>
                <w:color w:val="FFFFFF" w:themeColor="background1"/>
                <w:sz w:val="18"/>
                <w:szCs w:val="18"/>
              </w:rPr>
              <w:t>Presenting Restatements of Comparatives.</w:t>
            </w:r>
          </w:p>
        </w:tc>
      </w:tr>
      <w:tr w:rsidR="003B1E1B" w:rsidRPr="00355BA5" w14:paraId="383E798C" w14:textId="77777777" w:rsidTr="002F4A89">
        <w:tc>
          <w:tcPr>
            <w:tcW w:w="732" w:type="pct"/>
            <w:tcBorders>
              <w:top w:val="nil"/>
              <w:left w:val="single" w:sz="2" w:space="0" w:color="auto"/>
              <w:bottom w:val="nil"/>
              <w:right w:val="single" w:sz="2" w:space="0" w:color="auto"/>
            </w:tcBorders>
          </w:tcPr>
          <w:p w14:paraId="38C4F810"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776D540D" w14:textId="3770C6B0" w:rsidR="003B1E1B" w:rsidRPr="00E17229" w:rsidRDefault="003B1E1B" w:rsidP="003B1E1B">
            <w:pPr>
              <w:spacing w:before="120"/>
              <w:jc w:val="both"/>
              <w:rPr>
                <w:rFonts w:cs="Calibri"/>
                <w:b/>
                <w:bCs/>
                <w:color w:val="FFFFFF" w:themeColor="background1"/>
                <w:sz w:val="20"/>
                <w:szCs w:val="20"/>
              </w:rPr>
            </w:pPr>
            <w:r w:rsidRPr="00E17229">
              <w:rPr>
                <w:rFonts w:cs="Calibri"/>
                <w:b/>
                <w:bCs/>
                <w:color w:val="FFFFFF" w:themeColor="background1"/>
                <w:sz w:val="20"/>
                <w:szCs w:val="20"/>
              </w:rPr>
              <w:t>Correction of Prior Period Errors</w:t>
            </w:r>
          </w:p>
        </w:tc>
      </w:tr>
      <w:tr w:rsidR="003B1E1B" w:rsidRPr="00355BA5" w14:paraId="3FFC3E4E" w14:textId="77777777" w:rsidTr="002F4A89">
        <w:tc>
          <w:tcPr>
            <w:tcW w:w="732" w:type="pct"/>
            <w:tcBorders>
              <w:top w:val="nil"/>
              <w:left w:val="single" w:sz="2" w:space="0" w:color="auto"/>
              <w:bottom w:val="nil"/>
              <w:right w:val="single" w:sz="2" w:space="0" w:color="auto"/>
            </w:tcBorders>
          </w:tcPr>
          <w:p w14:paraId="5847292B"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3D033B07" w14:textId="0698D685" w:rsidR="003B1E1B" w:rsidRPr="000A1595" w:rsidRDefault="003B1E1B" w:rsidP="000A1595">
            <w:pPr>
              <w:spacing w:after="120"/>
              <w:jc w:val="both"/>
              <w:rPr>
                <w:rFonts w:cs="Calibri"/>
                <w:color w:val="FFFFFF" w:themeColor="background1"/>
                <w:sz w:val="18"/>
                <w:szCs w:val="18"/>
              </w:rPr>
            </w:pPr>
            <w:r w:rsidRPr="000A1595">
              <w:rPr>
                <w:rFonts w:cs="Calibri"/>
                <w:color w:val="FFFFFF" w:themeColor="background1"/>
                <w:sz w:val="18"/>
                <w:szCs w:val="18"/>
              </w:rPr>
              <w:t xml:space="preserve">For information concerning the treatment and disclosure of a correction of a prior period error, please refer to the </w:t>
            </w:r>
            <w:r w:rsidRPr="000A1595">
              <w:rPr>
                <w:rFonts w:cs="Calibri"/>
                <w:i/>
                <w:iCs/>
                <w:color w:val="FFFFFF" w:themeColor="background1"/>
                <w:sz w:val="18"/>
                <w:szCs w:val="18"/>
              </w:rPr>
              <w:t>A</w:t>
            </w:r>
            <w:r w:rsidR="00294AB5">
              <w:rPr>
                <w:rFonts w:cs="Calibri"/>
                <w:i/>
                <w:iCs/>
                <w:color w:val="FFFFFF" w:themeColor="background1"/>
                <w:sz w:val="18"/>
                <w:szCs w:val="18"/>
              </w:rPr>
              <w:t>ccounting</w:t>
            </w:r>
            <w:r w:rsidRPr="000A1595">
              <w:rPr>
                <w:rFonts w:cs="Calibri"/>
                <w:i/>
                <w:iCs/>
                <w:color w:val="FFFFFF" w:themeColor="background1"/>
                <w:sz w:val="18"/>
                <w:szCs w:val="18"/>
              </w:rPr>
              <w:t xml:space="preserve"> </w:t>
            </w:r>
            <w:r w:rsidR="009A1F66" w:rsidRPr="000A1595">
              <w:rPr>
                <w:i/>
                <w:iCs/>
                <w:color w:val="FFFFFF" w:themeColor="background1"/>
                <w:sz w:val="18"/>
                <w:szCs w:val="18"/>
              </w:rPr>
              <w:t>Disclosure</w:t>
            </w:r>
            <w:r w:rsidR="009A1F66" w:rsidRPr="000A1595">
              <w:rPr>
                <w:rFonts w:cs="Calibri"/>
                <w:i/>
                <w:iCs/>
                <w:color w:val="FFFFFF" w:themeColor="background1"/>
                <w:sz w:val="18"/>
                <w:szCs w:val="18"/>
              </w:rPr>
              <w:t xml:space="preserve"> </w:t>
            </w:r>
            <w:r w:rsidRPr="000A1595">
              <w:rPr>
                <w:rFonts w:cs="Calibri"/>
                <w:i/>
                <w:iCs/>
                <w:color w:val="FFFFFF" w:themeColor="background1"/>
                <w:sz w:val="18"/>
                <w:szCs w:val="18"/>
              </w:rPr>
              <w:t>Paper - Presenting Restatements of Comparatives</w:t>
            </w:r>
          </w:p>
        </w:tc>
      </w:tr>
      <w:tr w:rsidR="003B1E1B" w:rsidRPr="00355BA5" w14:paraId="70D07B85" w14:textId="77777777" w:rsidTr="002F4A89">
        <w:tc>
          <w:tcPr>
            <w:tcW w:w="732" w:type="pct"/>
            <w:tcBorders>
              <w:top w:val="nil"/>
              <w:left w:val="single" w:sz="2" w:space="0" w:color="auto"/>
              <w:bottom w:val="nil"/>
              <w:right w:val="single" w:sz="2" w:space="0" w:color="auto"/>
            </w:tcBorders>
          </w:tcPr>
          <w:p w14:paraId="09389A78"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5B8AA45D" w14:textId="0B73E7CD" w:rsidR="003B1E1B" w:rsidRPr="00E17229" w:rsidRDefault="003B1E1B" w:rsidP="003B1E1B">
            <w:pPr>
              <w:spacing w:after="40"/>
              <w:jc w:val="both"/>
              <w:rPr>
                <w:rFonts w:cs="Calibri"/>
                <w:color w:val="FFFFFF" w:themeColor="background1"/>
                <w:sz w:val="20"/>
                <w:szCs w:val="20"/>
              </w:rPr>
            </w:pPr>
            <w:r w:rsidRPr="00E17229">
              <w:rPr>
                <w:rFonts w:cs="Calibri"/>
                <w:b/>
                <w:bCs/>
                <w:color w:val="FFFFFF" w:themeColor="background1"/>
                <w:sz w:val="20"/>
                <w:szCs w:val="20"/>
              </w:rPr>
              <w:t>Modification</w:t>
            </w:r>
          </w:p>
        </w:tc>
      </w:tr>
      <w:tr w:rsidR="003B1E1B" w:rsidRPr="00355BA5" w14:paraId="4D7F8412" w14:textId="77777777" w:rsidTr="002F4A89">
        <w:tc>
          <w:tcPr>
            <w:tcW w:w="732" w:type="pct"/>
            <w:tcBorders>
              <w:top w:val="nil"/>
              <w:left w:val="single" w:sz="2" w:space="0" w:color="auto"/>
              <w:bottom w:val="nil"/>
              <w:right w:val="single" w:sz="2" w:space="0" w:color="auto"/>
            </w:tcBorders>
          </w:tcPr>
          <w:p w14:paraId="5EEE5C3A"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795503CB" w14:textId="6A3DCAE5" w:rsidR="003B1E1B" w:rsidRPr="000A1595" w:rsidRDefault="003B1E1B" w:rsidP="003B1E1B">
            <w:pPr>
              <w:spacing w:after="120"/>
              <w:jc w:val="both"/>
              <w:rPr>
                <w:rFonts w:cs="Calibri"/>
                <w:color w:val="FFFFFF" w:themeColor="background1"/>
                <w:sz w:val="18"/>
                <w:szCs w:val="18"/>
              </w:rPr>
            </w:pPr>
            <w:r w:rsidRPr="000A1595">
              <w:rPr>
                <w:rFonts w:cs="Calibri"/>
                <w:color w:val="FFFFFF" w:themeColor="background1"/>
                <w:sz w:val="18"/>
                <w:szCs w:val="18"/>
              </w:rPr>
              <w:t>Agencies should modify this note to their particular requirements.</w:t>
            </w:r>
            <w:r w:rsidR="00FA7C77">
              <w:rPr>
                <w:rFonts w:cs="Calibri"/>
                <w:color w:val="FFFFFF" w:themeColor="background1"/>
                <w:sz w:val="18"/>
                <w:szCs w:val="18"/>
              </w:rPr>
              <w:t xml:space="preserve"> </w:t>
            </w:r>
            <w:r w:rsidRPr="000A1595">
              <w:rPr>
                <w:rFonts w:cs="Calibri"/>
                <w:color w:val="FFFFFF" w:themeColor="background1"/>
                <w:sz w:val="18"/>
                <w:szCs w:val="18"/>
              </w:rPr>
              <w:t>For example, if an agency only has a change in accounting policy and no corrections of errors or change in accounting estimates, then only the section on changes in accounting policy is required.</w:t>
            </w:r>
            <w:r w:rsidR="00FA7C77">
              <w:rPr>
                <w:rFonts w:cs="Calibri"/>
                <w:color w:val="FFFFFF" w:themeColor="background1"/>
                <w:sz w:val="18"/>
                <w:szCs w:val="18"/>
              </w:rPr>
              <w:t xml:space="preserve"> </w:t>
            </w:r>
            <w:r w:rsidRPr="000A1595">
              <w:rPr>
                <w:rFonts w:cs="Calibri"/>
                <w:color w:val="FFFFFF" w:themeColor="background1"/>
                <w:sz w:val="18"/>
                <w:szCs w:val="18"/>
              </w:rPr>
              <w:t>The note title should only reflect what the note contains.</w:t>
            </w:r>
            <w:r w:rsidR="00FA7C77">
              <w:rPr>
                <w:rFonts w:cs="Calibri"/>
                <w:color w:val="FFFFFF" w:themeColor="background1"/>
                <w:sz w:val="18"/>
                <w:szCs w:val="18"/>
              </w:rPr>
              <w:t xml:space="preserve"> </w:t>
            </w:r>
            <w:r w:rsidRPr="000A1595">
              <w:rPr>
                <w:rFonts w:cs="Calibri"/>
                <w:color w:val="FFFFFF" w:themeColor="background1"/>
                <w:sz w:val="18"/>
                <w:szCs w:val="18"/>
              </w:rPr>
              <w:t xml:space="preserve"> </w:t>
            </w:r>
          </w:p>
        </w:tc>
      </w:tr>
      <w:tr w:rsidR="003B1E1B" w:rsidRPr="00355BA5" w14:paraId="4E60285D" w14:textId="77777777" w:rsidTr="002F4A89">
        <w:tc>
          <w:tcPr>
            <w:tcW w:w="732" w:type="pct"/>
            <w:tcBorders>
              <w:top w:val="nil"/>
              <w:left w:val="single" w:sz="2" w:space="0" w:color="auto"/>
              <w:bottom w:val="nil"/>
              <w:right w:val="single" w:sz="2" w:space="0" w:color="auto"/>
            </w:tcBorders>
          </w:tcPr>
          <w:p w14:paraId="44F634EA" w14:textId="77777777" w:rsidR="003B1E1B" w:rsidRPr="000A1595" w:rsidRDefault="003B1E1B" w:rsidP="003B1E1B">
            <w:pPr>
              <w:pStyle w:val="TableReference"/>
              <w:tabs>
                <w:tab w:val="left" w:pos="3306"/>
              </w:tabs>
              <w:spacing w:before="80"/>
              <w:rPr>
                <w:rFonts w:cs="Calibri"/>
                <w:color w:val="7030A0"/>
                <w:sz w:val="14"/>
              </w:rPr>
            </w:pPr>
          </w:p>
        </w:tc>
        <w:tc>
          <w:tcPr>
            <w:tcW w:w="4268" w:type="pct"/>
            <w:gridSpan w:val="2"/>
            <w:tcBorders>
              <w:top w:val="nil"/>
              <w:left w:val="single" w:sz="2" w:space="0" w:color="auto"/>
              <w:bottom w:val="nil"/>
              <w:right w:val="nil"/>
            </w:tcBorders>
            <w:shd w:val="clear" w:color="auto" w:fill="7030A0"/>
          </w:tcPr>
          <w:p w14:paraId="3458D13F" w14:textId="7DAFEBFB" w:rsidR="003B1E1B" w:rsidRPr="000A1595" w:rsidRDefault="003B1E1B" w:rsidP="00E17229">
            <w:pPr>
              <w:spacing w:after="120"/>
              <w:jc w:val="both"/>
              <w:rPr>
                <w:rFonts w:cs="Calibri"/>
                <w:color w:val="FFFFFF" w:themeColor="background1"/>
                <w:sz w:val="18"/>
                <w:szCs w:val="18"/>
              </w:rPr>
            </w:pPr>
            <w:r w:rsidRPr="000A1595">
              <w:rPr>
                <w:rFonts w:cs="Calibri"/>
                <w:color w:val="FFFFFF" w:themeColor="background1"/>
                <w:sz w:val="18"/>
                <w:szCs w:val="18"/>
              </w:rPr>
              <w:t>In the event that an agency has none of the</w:t>
            </w:r>
            <w:r w:rsidR="00294AB5">
              <w:rPr>
                <w:rFonts w:cs="Calibri"/>
                <w:color w:val="FFFFFF" w:themeColor="background1"/>
                <w:sz w:val="18"/>
                <w:szCs w:val="18"/>
              </w:rPr>
              <w:t>se</w:t>
            </w:r>
            <w:r w:rsidRPr="000A1595">
              <w:rPr>
                <w:rFonts w:cs="Calibri"/>
                <w:color w:val="FFFFFF" w:themeColor="background1"/>
                <w:sz w:val="18"/>
                <w:szCs w:val="18"/>
              </w:rPr>
              <w:t xml:space="preserve"> items to report, then the note should be omitted in its entirety.</w:t>
            </w:r>
          </w:p>
        </w:tc>
      </w:tr>
      <w:tr w:rsidR="00FD6C68" w:rsidRPr="00CF7E1B" w14:paraId="56E935FB" w14:textId="77777777" w:rsidTr="002F4A89">
        <w:trPr>
          <w:gridAfter w:val="1"/>
          <w:wAfter w:w="17" w:type="pct"/>
        </w:trPr>
        <w:tc>
          <w:tcPr>
            <w:tcW w:w="732" w:type="pct"/>
            <w:tcBorders>
              <w:top w:val="nil"/>
              <w:left w:val="single" w:sz="2" w:space="0" w:color="auto"/>
              <w:bottom w:val="nil"/>
              <w:right w:val="single" w:sz="2" w:space="0" w:color="auto"/>
            </w:tcBorders>
            <w:vAlign w:val="center"/>
          </w:tcPr>
          <w:p w14:paraId="60BABEAE" w14:textId="4C5D7343" w:rsidR="00FD6C68" w:rsidRPr="000A1595" w:rsidRDefault="00FD6C68" w:rsidP="00C1324A">
            <w:pPr>
              <w:pStyle w:val="Reference"/>
              <w:tabs>
                <w:tab w:val="left" w:pos="3306"/>
              </w:tabs>
              <w:rPr>
                <w:rFonts w:cs="Calibri"/>
                <w:color w:val="7030A0"/>
                <w:sz w:val="22"/>
                <w:szCs w:val="22"/>
              </w:rPr>
            </w:pPr>
          </w:p>
        </w:tc>
        <w:tc>
          <w:tcPr>
            <w:tcW w:w="4251" w:type="pct"/>
            <w:tcBorders>
              <w:top w:val="nil"/>
              <w:left w:val="single" w:sz="2" w:space="0" w:color="auto"/>
              <w:bottom w:val="nil"/>
              <w:right w:val="nil"/>
            </w:tcBorders>
          </w:tcPr>
          <w:p w14:paraId="773211FE" w14:textId="12247AEE" w:rsidR="00FD6C68" w:rsidRPr="000A1595" w:rsidRDefault="00FD6C68" w:rsidP="00BD1DCB">
            <w:pPr>
              <w:pStyle w:val="Heading1"/>
              <w:numPr>
                <w:ilvl w:val="0"/>
                <w:numId w:val="0"/>
              </w:numPr>
              <w:ind w:left="1134" w:hanging="1134"/>
              <w:rPr>
                <w:rFonts w:asciiTheme="minorHAnsi" w:hAnsiTheme="minorHAnsi" w:cstheme="minorHAnsi"/>
                <w:sz w:val="36"/>
                <w:szCs w:val="36"/>
              </w:rPr>
            </w:pPr>
            <w:bookmarkStart w:id="312" w:name="_Toc98763041"/>
            <w:r w:rsidRPr="000A1595">
              <w:rPr>
                <w:rFonts w:asciiTheme="minorHAnsi" w:hAnsiTheme="minorHAnsi" w:cstheme="minorHAnsi"/>
                <w:sz w:val="36"/>
                <w:szCs w:val="36"/>
              </w:rPr>
              <w:t>Income Notes</w:t>
            </w:r>
            <w:bookmarkEnd w:id="312"/>
            <w:r w:rsidR="00FA7C77">
              <w:rPr>
                <w:rFonts w:asciiTheme="minorHAnsi" w:hAnsiTheme="minorHAnsi" w:cstheme="minorHAnsi"/>
                <w:sz w:val="36"/>
                <w:szCs w:val="36"/>
              </w:rPr>
              <w:t xml:space="preserve">                             </w:t>
            </w:r>
          </w:p>
        </w:tc>
      </w:tr>
      <w:tr w:rsidR="00382EF2" w:rsidRPr="00CF7E1B" w14:paraId="2DFDDC06" w14:textId="77777777" w:rsidTr="002F4A89">
        <w:trPr>
          <w:gridAfter w:val="1"/>
          <w:wAfter w:w="17" w:type="pct"/>
        </w:trPr>
        <w:tc>
          <w:tcPr>
            <w:tcW w:w="732" w:type="pct"/>
            <w:tcBorders>
              <w:top w:val="nil"/>
              <w:left w:val="single" w:sz="2" w:space="0" w:color="auto"/>
              <w:bottom w:val="nil"/>
              <w:right w:val="single" w:sz="2" w:space="0" w:color="auto"/>
            </w:tcBorders>
          </w:tcPr>
          <w:p w14:paraId="3413011E" w14:textId="77777777" w:rsidR="00382EF2" w:rsidRPr="000A1595" w:rsidRDefault="00382EF2" w:rsidP="00382EF2">
            <w:pPr>
              <w:pStyle w:val="Reference"/>
              <w:tabs>
                <w:tab w:val="left" w:pos="3306"/>
              </w:tabs>
              <w:rPr>
                <w:rFonts w:cs="Calibri"/>
                <w:color w:val="7030A0"/>
                <w:sz w:val="14"/>
                <w:szCs w:val="14"/>
              </w:rPr>
            </w:pPr>
          </w:p>
        </w:tc>
        <w:tc>
          <w:tcPr>
            <w:tcW w:w="4251" w:type="pct"/>
            <w:tcBorders>
              <w:top w:val="nil"/>
              <w:left w:val="single" w:sz="2" w:space="0" w:color="auto"/>
              <w:bottom w:val="nil"/>
              <w:right w:val="nil"/>
            </w:tcBorders>
          </w:tcPr>
          <w:p w14:paraId="581EBB22" w14:textId="4EE7D768" w:rsidR="00382EF2" w:rsidRPr="000A1595" w:rsidRDefault="00382EF2" w:rsidP="00EC2F33">
            <w:pPr>
              <w:pStyle w:val="Heading1"/>
              <w:numPr>
                <w:ilvl w:val="0"/>
                <w:numId w:val="0"/>
              </w:numPr>
              <w:spacing w:before="0" w:after="0"/>
              <w:ind w:left="1134" w:hanging="1134"/>
              <w:rPr>
                <w:rFonts w:asciiTheme="minorHAnsi" w:hAnsiTheme="minorHAnsi" w:cstheme="minorHAnsi"/>
                <w:sz w:val="36"/>
                <w:szCs w:val="36"/>
              </w:rPr>
            </w:pPr>
            <w:bookmarkStart w:id="313" w:name="_Toc98763042"/>
            <w:r w:rsidRPr="000A1595">
              <w:rPr>
                <w:rFonts w:ascii="Calibri" w:hAnsi="Calibri" w:cs="Calibri"/>
                <w:caps w:val="0"/>
                <w:sz w:val="18"/>
                <w:szCs w:val="18"/>
              </w:rPr>
              <w:t xml:space="preserve">Material Accounting Policies </w:t>
            </w:r>
            <w:r w:rsidR="00E17229">
              <w:rPr>
                <w:rFonts w:ascii="Calibri" w:hAnsi="Calibri" w:cs="Calibri"/>
                <w:caps w:val="0"/>
                <w:sz w:val="18"/>
                <w:szCs w:val="18"/>
              </w:rPr>
              <w:t>–</w:t>
            </w:r>
            <w:r w:rsidRPr="000A1595">
              <w:rPr>
                <w:rFonts w:ascii="Calibri" w:hAnsi="Calibri" w:cs="Calibri"/>
                <w:caps w:val="0"/>
                <w:sz w:val="18"/>
                <w:szCs w:val="18"/>
              </w:rPr>
              <w:t xml:space="preserve"> Income</w:t>
            </w:r>
            <w:bookmarkEnd w:id="313"/>
            <w:r w:rsidR="00E17229">
              <w:rPr>
                <w:rFonts w:ascii="Calibri" w:hAnsi="Calibri" w:cs="Calibri"/>
                <w:caps w:val="0"/>
                <w:sz w:val="18"/>
                <w:szCs w:val="18"/>
              </w:rPr>
              <w:t xml:space="preserve"> </w:t>
            </w:r>
          </w:p>
        </w:tc>
      </w:tr>
      <w:tr w:rsidR="00382EF2" w:rsidRPr="00CF7E1B" w14:paraId="1AB2C7EA" w14:textId="77777777" w:rsidTr="002F4A89">
        <w:trPr>
          <w:gridAfter w:val="1"/>
          <w:wAfter w:w="17" w:type="pct"/>
        </w:trPr>
        <w:tc>
          <w:tcPr>
            <w:tcW w:w="732" w:type="pct"/>
            <w:tcBorders>
              <w:top w:val="nil"/>
              <w:left w:val="single" w:sz="2" w:space="0" w:color="auto"/>
              <w:bottom w:val="nil"/>
              <w:right w:val="single" w:sz="2" w:space="0" w:color="auto"/>
            </w:tcBorders>
          </w:tcPr>
          <w:p w14:paraId="7098AAD6" w14:textId="77777777" w:rsidR="00382EF2" w:rsidRPr="000A1595" w:rsidRDefault="00382EF2" w:rsidP="00382EF2">
            <w:pPr>
              <w:pStyle w:val="Reference"/>
              <w:tabs>
                <w:tab w:val="left" w:pos="3306"/>
              </w:tabs>
              <w:rPr>
                <w:rFonts w:cs="Calibri"/>
                <w:color w:val="7030A0"/>
                <w:sz w:val="14"/>
                <w:szCs w:val="14"/>
              </w:rPr>
            </w:pPr>
          </w:p>
        </w:tc>
        <w:tc>
          <w:tcPr>
            <w:tcW w:w="4251" w:type="pct"/>
            <w:tcBorders>
              <w:top w:val="nil"/>
              <w:left w:val="single" w:sz="2" w:space="0" w:color="auto"/>
              <w:bottom w:val="nil"/>
              <w:right w:val="nil"/>
            </w:tcBorders>
          </w:tcPr>
          <w:p w14:paraId="2BDEBAD8" w14:textId="4243400D" w:rsidR="00382EF2" w:rsidRPr="000A1595" w:rsidRDefault="00382EF2" w:rsidP="00E17229">
            <w:pPr>
              <w:pStyle w:val="Heading1"/>
              <w:numPr>
                <w:ilvl w:val="0"/>
                <w:numId w:val="0"/>
              </w:numPr>
              <w:spacing w:before="80" w:after="0"/>
              <w:ind w:left="1134" w:hanging="1134"/>
              <w:rPr>
                <w:rFonts w:ascii="Calibri" w:hAnsi="Calibri" w:cs="Calibri"/>
                <w:caps w:val="0"/>
                <w:sz w:val="18"/>
                <w:szCs w:val="18"/>
              </w:rPr>
            </w:pPr>
            <w:bookmarkStart w:id="314" w:name="_Toc98763043"/>
            <w:r w:rsidRPr="000A1595">
              <w:rPr>
                <w:rFonts w:ascii="Calibri" w:hAnsi="Calibri" w:cs="Calibri"/>
                <w:caps w:val="0"/>
                <w:sz w:val="18"/>
                <w:szCs w:val="18"/>
              </w:rPr>
              <w:t>Income Recognition</w:t>
            </w:r>
            <w:bookmarkEnd w:id="314"/>
          </w:p>
        </w:tc>
      </w:tr>
      <w:tr w:rsidR="00FD6C68" w:rsidRPr="00CF7E1B" w14:paraId="48C7D499" w14:textId="77777777" w:rsidTr="002F4A89">
        <w:trPr>
          <w:gridAfter w:val="1"/>
          <w:wAfter w:w="17" w:type="pct"/>
        </w:trPr>
        <w:tc>
          <w:tcPr>
            <w:tcW w:w="732" w:type="pct"/>
            <w:tcBorders>
              <w:top w:val="nil"/>
              <w:left w:val="single" w:sz="2" w:space="0" w:color="auto"/>
              <w:bottom w:val="nil"/>
              <w:right w:val="single" w:sz="2" w:space="0" w:color="auto"/>
            </w:tcBorders>
          </w:tcPr>
          <w:p w14:paraId="4BC8D000" w14:textId="27761AB7" w:rsidR="00FD6C68" w:rsidRPr="000A1595" w:rsidRDefault="00FD6C68" w:rsidP="009A0F2F">
            <w:pPr>
              <w:pStyle w:val="TableReference"/>
              <w:tabs>
                <w:tab w:val="left" w:pos="3306"/>
              </w:tabs>
              <w:spacing w:before="60"/>
              <w:rPr>
                <w:rFonts w:cs="Calibri"/>
                <w:color w:val="7030A0"/>
                <w:sz w:val="14"/>
              </w:rPr>
            </w:pPr>
          </w:p>
        </w:tc>
        <w:tc>
          <w:tcPr>
            <w:tcW w:w="4251" w:type="pct"/>
            <w:tcBorders>
              <w:top w:val="nil"/>
              <w:left w:val="single" w:sz="2" w:space="0" w:color="auto"/>
              <w:bottom w:val="nil"/>
              <w:right w:val="nil"/>
            </w:tcBorders>
          </w:tcPr>
          <w:p w14:paraId="71E06677" w14:textId="6C80E3C0" w:rsidR="00FD6C68" w:rsidRPr="000A1595" w:rsidRDefault="00FD6C68" w:rsidP="009A0F2F">
            <w:pPr>
              <w:pStyle w:val="TableText"/>
              <w:rPr>
                <w:strike/>
              </w:rPr>
            </w:pPr>
            <w:r w:rsidRPr="000A1595">
              <w:rPr>
                <w:rFonts w:cs="Calibri"/>
              </w:rPr>
              <w:t xml:space="preserve">The following </w:t>
            </w:r>
            <w:r w:rsidR="006520B9" w:rsidRPr="000A1595">
              <w:rPr>
                <w:rFonts w:cs="Calibri"/>
              </w:rPr>
              <w:t>m</w:t>
            </w:r>
            <w:r w:rsidRPr="000A1595">
              <w:rPr>
                <w:rFonts w:cs="Calibri"/>
              </w:rPr>
              <w:t xml:space="preserve">aterial </w:t>
            </w:r>
            <w:r w:rsidR="006520B9" w:rsidRPr="000A1595">
              <w:rPr>
                <w:rFonts w:cs="Calibri"/>
              </w:rPr>
              <w:t>a</w:t>
            </w:r>
            <w:r w:rsidRPr="000A1595">
              <w:rPr>
                <w:rFonts w:cs="Calibri"/>
              </w:rPr>
              <w:t xml:space="preserve">ccounting </w:t>
            </w:r>
            <w:r w:rsidR="006520B9" w:rsidRPr="000A1595">
              <w:rPr>
                <w:rFonts w:cs="Calibri"/>
              </w:rPr>
              <w:t>p</w:t>
            </w:r>
            <w:r w:rsidRPr="000A1595">
              <w:rPr>
                <w:rFonts w:cs="Calibri"/>
              </w:rPr>
              <w:t xml:space="preserve">olicies relate to </w:t>
            </w:r>
            <w:r w:rsidR="003B397A" w:rsidRPr="000A1595">
              <w:rPr>
                <w:rFonts w:cs="Calibri"/>
              </w:rPr>
              <w:t xml:space="preserve">each </w:t>
            </w:r>
            <w:r w:rsidRPr="000A1595">
              <w:rPr>
                <w:rFonts w:cs="Calibri"/>
              </w:rPr>
              <w:t xml:space="preserve">income </w:t>
            </w:r>
            <w:r w:rsidR="003B397A" w:rsidRPr="000A1595">
              <w:rPr>
                <w:rFonts w:cs="Calibri"/>
              </w:rPr>
              <w:t>note unless stated otherwise in the individual note.</w:t>
            </w:r>
          </w:p>
        </w:tc>
      </w:tr>
      <w:tr w:rsidR="00FD6C68" w:rsidRPr="00CF7E1B" w14:paraId="7580C682" w14:textId="77777777" w:rsidTr="002F4A89">
        <w:trPr>
          <w:gridAfter w:val="1"/>
          <w:wAfter w:w="17" w:type="pct"/>
        </w:trPr>
        <w:tc>
          <w:tcPr>
            <w:tcW w:w="732" w:type="pct"/>
            <w:tcBorders>
              <w:top w:val="nil"/>
              <w:left w:val="single" w:sz="2" w:space="0" w:color="auto"/>
              <w:bottom w:val="nil"/>
              <w:right w:val="single" w:sz="2" w:space="0" w:color="auto"/>
            </w:tcBorders>
          </w:tcPr>
          <w:p w14:paraId="3533C4AE" w14:textId="77777777" w:rsidR="00FD6C68" w:rsidRPr="000A1595" w:rsidRDefault="00FD6C68" w:rsidP="009A0F2F">
            <w:pPr>
              <w:pStyle w:val="TableReference"/>
              <w:tabs>
                <w:tab w:val="left" w:pos="3306"/>
              </w:tabs>
              <w:spacing w:before="60"/>
              <w:rPr>
                <w:rFonts w:cs="Calibri"/>
                <w:color w:val="7030A0"/>
                <w:sz w:val="14"/>
              </w:rPr>
            </w:pPr>
          </w:p>
        </w:tc>
        <w:tc>
          <w:tcPr>
            <w:tcW w:w="4251" w:type="pct"/>
            <w:tcBorders>
              <w:top w:val="nil"/>
              <w:left w:val="single" w:sz="2" w:space="0" w:color="auto"/>
              <w:bottom w:val="nil"/>
              <w:right w:val="nil"/>
            </w:tcBorders>
          </w:tcPr>
          <w:p w14:paraId="17A36914" w14:textId="4E92CAA7" w:rsidR="003B397A" w:rsidRPr="000A1595" w:rsidRDefault="003B397A" w:rsidP="003B397A">
            <w:pPr>
              <w:jc w:val="both"/>
              <w:rPr>
                <w:sz w:val="18"/>
                <w:szCs w:val="18"/>
              </w:rPr>
            </w:pPr>
            <w:r w:rsidRPr="000A1595">
              <w:rPr>
                <w:sz w:val="18"/>
                <w:szCs w:val="18"/>
              </w:rPr>
              <w:t xml:space="preserve">Revenue is recognised in accordance with AASB 15 </w:t>
            </w:r>
            <w:r w:rsidRPr="000A1595">
              <w:rPr>
                <w:i/>
                <w:iCs/>
                <w:sz w:val="18"/>
                <w:szCs w:val="18"/>
              </w:rPr>
              <w:t>Revenue from Contracts with Customers</w:t>
            </w:r>
            <w:r w:rsidRPr="000A1595">
              <w:rPr>
                <w:sz w:val="18"/>
                <w:szCs w:val="18"/>
              </w:rPr>
              <w:t xml:space="preserve"> where the contract is enforceable and contains sufficiently specific performance obligations, otherwise revenue is in the scope of AASB 1058 </w:t>
            </w:r>
            <w:r w:rsidRPr="00E17229">
              <w:rPr>
                <w:i/>
                <w:iCs/>
                <w:sz w:val="18"/>
                <w:szCs w:val="18"/>
              </w:rPr>
              <w:t xml:space="preserve">Income of </w:t>
            </w:r>
            <w:r w:rsidR="00294AB5" w:rsidRPr="00E17229">
              <w:rPr>
                <w:i/>
                <w:iCs/>
                <w:sz w:val="18"/>
                <w:szCs w:val="18"/>
              </w:rPr>
              <w:t>N</w:t>
            </w:r>
            <w:r w:rsidRPr="00E17229">
              <w:rPr>
                <w:i/>
                <w:iCs/>
                <w:sz w:val="18"/>
                <w:szCs w:val="18"/>
              </w:rPr>
              <w:t>ot-for-Profit Entities</w:t>
            </w:r>
            <w:r w:rsidRPr="000A1595">
              <w:rPr>
                <w:sz w:val="18"/>
                <w:szCs w:val="18"/>
              </w:rPr>
              <w:t>.</w:t>
            </w:r>
          </w:p>
          <w:p w14:paraId="7302E0CE" w14:textId="77777777" w:rsidR="003B397A" w:rsidRPr="000A1595" w:rsidRDefault="003B397A" w:rsidP="003B397A">
            <w:pPr>
              <w:jc w:val="both"/>
              <w:rPr>
                <w:sz w:val="18"/>
                <w:szCs w:val="18"/>
              </w:rPr>
            </w:pPr>
          </w:p>
          <w:p w14:paraId="5077360C" w14:textId="77777777" w:rsidR="003B397A" w:rsidRPr="000A1595" w:rsidRDefault="003B397A" w:rsidP="003B397A">
            <w:pPr>
              <w:jc w:val="both"/>
              <w:rPr>
                <w:b/>
                <w:sz w:val="18"/>
                <w:szCs w:val="18"/>
              </w:rPr>
            </w:pPr>
            <w:r w:rsidRPr="000A1595">
              <w:rPr>
                <w:b/>
                <w:sz w:val="18"/>
                <w:szCs w:val="18"/>
              </w:rPr>
              <w:t>AASB 15</w:t>
            </w:r>
          </w:p>
          <w:p w14:paraId="086143E7" w14:textId="5ACDCCCD" w:rsidR="003B397A" w:rsidRPr="000A1595" w:rsidRDefault="003B397A" w:rsidP="003B397A">
            <w:pPr>
              <w:jc w:val="both"/>
              <w:rPr>
                <w:sz w:val="18"/>
                <w:szCs w:val="18"/>
              </w:rPr>
            </w:pPr>
            <w:r w:rsidRPr="000A1595">
              <w:rPr>
                <w:sz w:val="18"/>
                <w:szCs w:val="18"/>
              </w:rPr>
              <w:t>The core principle of AASB 15 is that revenue is recognised on a basis that reflects the transfer of promised goods or services to customers at an amount that reflects the consideration the entity expects to receive in exchange for those goods or services.</w:t>
            </w:r>
            <w:r w:rsidR="00FA7C77">
              <w:rPr>
                <w:sz w:val="18"/>
                <w:szCs w:val="18"/>
              </w:rPr>
              <w:t xml:space="preserve"> </w:t>
            </w:r>
            <w:r w:rsidRPr="000A1595">
              <w:rPr>
                <w:sz w:val="18"/>
                <w:szCs w:val="18"/>
              </w:rPr>
              <w:t>Revenue is recognised by applying a five step model as follows:</w:t>
            </w:r>
          </w:p>
          <w:p w14:paraId="1676AAB8" w14:textId="1B322451" w:rsidR="003B397A" w:rsidRPr="000A1595" w:rsidRDefault="003B397A" w:rsidP="007122BC">
            <w:pPr>
              <w:pStyle w:val="ListParagraph"/>
              <w:numPr>
                <w:ilvl w:val="1"/>
                <w:numId w:val="37"/>
              </w:numPr>
              <w:ind w:left="583" w:hanging="284"/>
              <w:jc w:val="both"/>
              <w:rPr>
                <w:sz w:val="18"/>
                <w:szCs w:val="18"/>
              </w:rPr>
            </w:pPr>
            <w:r w:rsidRPr="000A1595">
              <w:rPr>
                <w:sz w:val="18"/>
                <w:szCs w:val="18"/>
              </w:rPr>
              <w:t>identify the contract with the customer;</w:t>
            </w:r>
          </w:p>
          <w:p w14:paraId="6180185A" w14:textId="5167BAFE" w:rsidR="003B397A" w:rsidRPr="000A1595" w:rsidRDefault="003B397A" w:rsidP="007122BC">
            <w:pPr>
              <w:pStyle w:val="ListParagraph"/>
              <w:numPr>
                <w:ilvl w:val="1"/>
                <w:numId w:val="37"/>
              </w:numPr>
              <w:ind w:left="583" w:hanging="284"/>
              <w:jc w:val="both"/>
              <w:rPr>
                <w:sz w:val="18"/>
                <w:szCs w:val="18"/>
              </w:rPr>
            </w:pPr>
            <w:r w:rsidRPr="000A1595">
              <w:rPr>
                <w:sz w:val="18"/>
                <w:szCs w:val="18"/>
              </w:rPr>
              <w:t>identify the performance obligations;</w:t>
            </w:r>
          </w:p>
          <w:p w14:paraId="0A3327CA" w14:textId="1460F960" w:rsidR="003B397A" w:rsidRPr="000A1595" w:rsidRDefault="003B397A" w:rsidP="007122BC">
            <w:pPr>
              <w:pStyle w:val="ListParagraph"/>
              <w:numPr>
                <w:ilvl w:val="1"/>
                <w:numId w:val="37"/>
              </w:numPr>
              <w:ind w:left="583" w:hanging="284"/>
              <w:jc w:val="both"/>
              <w:rPr>
                <w:sz w:val="18"/>
                <w:szCs w:val="18"/>
              </w:rPr>
            </w:pPr>
            <w:r w:rsidRPr="000A1595">
              <w:rPr>
                <w:sz w:val="18"/>
                <w:szCs w:val="18"/>
              </w:rPr>
              <w:t>determine the transaction price;</w:t>
            </w:r>
          </w:p>
          <w:p w14:paraId="678A23DB" w14:textId="24090F2A" w:rsidR="003B397A" w:rsidRPr="000A1595" w:rsidRDefault="003B397A" w:rsidP="007122BC">
            <w:pPr>
              <w:pStyle w:val="ListParagraph"/>
              <w:numPr>
                <w:ilvl w:val="1"/>
                <w:numId w:val="37"/>
              </w:numPr>
              <w:ind w:left="583" w:hanging="284"/>
              <w:jc w:val="both"/>
              <w:rPr>
                <w:sz w:val="18"/>
                <w:szCs w:val="18"/>
              </w:rPr>
            </w:pPr>
            <w:r w:rsidRPr="000A1595">
              <w:rPr>
                <w:sz w:val="18"/>
                <w:szCs w:val="18"/>
              </w:rPr>
              <w:t>allocate the transaction price; and</w:t>
            </w:r>
          </w:p>
          <w:p w14:paraId="398E8098" w14:textId="77777777" w:rsidR="003B397A" w:rsidRPr="000A1595" w:rsidRDefault="003B397A" w:rsidP="007122BC">
            <w:pPr>
              <w:pStyle w:val="ListParagraph"/>
              <w:numPr>
                <w:ilvl w:val="1"/>
                <w:numId w:val="37"/>
              </w:numPr>
              <w:ind w:left="583" w:hanging="284"/>
              <w:jc w:val="both"/>
              <w:rPr>
                <w:sz w:val="18"/>
                <w:szCs w:val="18"/>
              </w:rPr>
            </w:pPr>
            <w:r w:rsidRPr="000A1595">
              <w:rPr>
                <w:sz w:val="18"/>
                <w:szCs w:val="18"/>
              </w:rPr>
              <w:t>recognise revenue as or when control of the performance obligation is transferred to the customer.</w:t>
            </w:r>
          </w:p>
          <w:p w14:paraId="2AE8209C" w14:textId="77777777" w:rsidR="003B397A" w:rsidRPr="000A1595" w:rsidRDefault="003B397A" w:rsidP="003B397A">
            <w:pPr>
              <w:jc w:val="both"/>
              <w:rPr>
                <w:sz w:val="18"/>
                <w:szCs w:val="18"/>
              </w:rPr>
            </w:pPr>
          </w:p>
          <w:p w14:paraId="2637CEE6" w14:textId="77777777" w:rsidR="003B397A" w:rsidRPr="000A1595" w:rsidRDefault="003B397A" w:rsidP="003B397A">
            <w:pPr>
              <w:jc w:val="both"/>
              <w:rPr>
                <w:sz w:val="18"/>
                <w:szCs w:val="18"/>
              </w:rPr>
            </w:pPr>
            <w:r w:rsidRPr="000A1595">
              <w:rPr>
                <w:sz w:val="18"/>
                <w:szCs w:val="18"/>
              </w:rPr>
              <w:t>Generally, the timing of the payment for sale of goods and rendering of services corresponds closely to the timing of satisfaction of the performance obligations, however where there is a difference, it will result in the recognition of a receivable, contract asset or contract liability.</w:t>
            </w:r>
          </w:p>
          <w:p w14:paraId="4609194F" w14:textId="77777777" w:rsidR="003B397A" w:rsidRPr="000A1595" w:rsidRDefault="003B397A" w:rsidP="003B397A">
            <w:pPr>
              <w:jc w:val="both"/>
              <w:rPr>
                <w:sz w:val="18"/>
                <w:szCs w:val="18"/>
              </w:rPr>
            </w:pPr>
          </w:p>
          <w:p w14:paraId="661CB7AD" w14:textId="47C119BE" w:rsidR="003B397A" w:rsidRPr="000A1595" w:rsidRDefault="003B397A" w:rsidP="003B397A">
            <w:pPr>
              <w:jc w:val="both"/>
              <w:rPr>
                <w:sz w:val="18"/>
                <w:szCs w:val="18"/>
              </w:rPr>
            </w:pPr>
            <w:r w:rsidRPr="000A1595">
              <w:rPr>
                <w:sz w:val="18"/>
                <w:szCs w:val="18"/>
              </w:rPr>
              <w:t>None of the revenue streams of the Agency have any significant financing terms as there is less than 12 months between receipt of funds and satisfaction of performance obligations</w:t>
            </w:r>
            <w:r w:rsidR="00BF37AB" w:rsidRPr="000A1595">
              <w:rPr>
                <w:sz w:val="18"/>
                <w:szCs w:val="18"/>
              </w:rPr>
              <w:t>.</w:t>
            </w:r>
          </w:p>
          <w:p w14:paraId="76BF48BA" w14:textId="77777777" w:rsidR="003B397A" w:rsidRPr="000A1595" w:rsidRDefault="003B397A" w:rsidP="003B397A">
            <w:pPr>
              <w:jc w:val="both"/>
              <w:rPr>
                <w:sz w:val="18"/>
                <w:szCs w:val="18"/>
              </w:rPr>
            </w:pPr>
          </w:p>
          <w:p w14:paraId="23560274" w14:textId="77777777" w:rsidR="003B397A" w:rsidRPr="000A1595" w:rsidRDefault="003B397A" w:rsidP="003B397A">
            <w:pPr>
              <w:jc w:val="both"/>
              <w:rPr>
                <w:b/>
                <w:sz w:val="18"/>
                <w:szCs w:val="18"/>
              </w:rPr>
            </w:pPr>
            <w:r w:rsidRPr="000A1595">
              <w:rPr>
                <w:b/>
                <w:sz w:val="18"/>
                <w:szCs w:val="18"/>
              </w:rPr>
              <w:t>AASB 1058</w:t>
            </w:r>
          </w:p>
          <w:p w14:paraId="35A8F1C9" w14:textId="77777777" w:rsidR="003B397A" w:rsidRPr="000A1595" w:rsidRDefault="003B397A" w:rsidP="003B397A">
            <w:pPr>
              <w:spacing w:after="120"/>
              <w:jc w:val="both"/>
              <w:rPr>
                <w:sz w:val="18"/>
                <w:szCs w:val="18"/>
              </w:rPr>
            </w:pPr>
            <w:r w:rsidRPr="000A1595">
              <w:rPr>
                <w:sz w:val="18"/>
                <w:szCs w:val="18"/>
              </w:rPr>
              <w:t>Where revenue streams are in the scope of AASB 1058, the Agency recognises the asset received (generally cash or other financial asset) at fair value, recognises any related amount (e.g. liability or equity) in accordance with an accounting standard and recognises revenue as the residual between the fair value of the asset and the related amount on receipt of the asset.</w:t>
            </w:r>
          </w:p>
          <w:p w14:paraId="1E0D0B8C" w14:textId="235944B8" w:rsidR="00FD6C68" w:rsidRPr="000A1595" w:rsidRDefault="003B397A" w:rsidP="00382EF2">
            <w:pPr>
              <w:jc w:val="both"/>
              <w:rPr>
                <w:sz w:val="18"/>
                <w:szCs w:val="18"/>
              </w:rPr>
            </w:pPr>
            <w:r w:rsidRPr="000A1595">
              <w:rPr>
                <w:sz w:val="18"/>
                <w:szCs w:val="18"/>
              </w:rPr>
              <w:t xml:space="preserve">Where a service concession unearned revenue liability is recognised, revenue will be recognised as the liability unwinds. </w:t>
            </w:r>
          </w:p>
        </w:tc>
      </w:tr>
    </w:tbl>
    <w:p w14:paraId="7FB14EC9" w14:textId="77777777" w:rsidR="00E17229" w:rsidRDefault="00E17229">
      <w:r>
        <w:br w:type="page"/>
      </w:r>
    </w:p>
    <w:tbl>
      <w:tblPr>
        <w:tblW w:w="519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9072"/>
      </w:tblGrid>
      <w:tr w:rsidR="00FD6C68" w:rsidRPr="00CF7E1B" w14:paraId="34ABC141" w14:textId="77777777" w:rsidTr="002F4A89">
        <w:tc>
          <w:tcPr>
            <w:tcW w:w="735" w:type="pct"/>
            <w:tcBorders>
              <w:top w:val="nil"/>
              <w:left w:val="single" w:sz="2" w:space="0" w:color="auto"/>
              <w:bottom w:val="nil"/>
              <w:right w:val="single" w:sz="2" w:space="0" w:color="auto"/>
            </w:tcBorders>
            <w:shd w:val="clear" w:color="auto" w:fill="auto"/>
          </w:tcPr>
          <w:p w14:paraId="4F0890BE" w14:textId="77777777" w:rsidR="00E17229" w:rsidRPr="000A1595" w:rsidRDefault="00E17229" w:rsidP="00E17229">
            <w:pPr>
              <w:pStyle w:val="TableText"/>
              <w:tabs>
                <w:tab w:val="left" w:pos="3306"/>
              </w:tabs>
              <w:spacing w:before="0"/>
              <w:rPr>
                <w:rFonts w:cs="Calibri"/>
                <w:b/>
                <w:bCs/>
                <w:color w:val="7030A0"/>
                <w:sz w:val="22"/>
                <w:szCs w:val="22"/>
              </w:rPr>
            </w:pPr>
            <w:r w:rsidRPr="000A1595">
              <w:rPr>
                <w:rFonts w:cs="Calibri"/>
                <w:b/>
                <w:bCs/>
                <w:color w:val="7030A0"/>
                <w:sz w:val="22"/>
                <w:szCs w:val="22"/>
              </w:rPr>
              <w:t>Reference</w:t>
            </w:r>
          </w:p>
          <w:p w14:paraId="395B6B70" w14:textId="74B28550" w:rsidR="00FD6C68" w:rsidRPr="000A1595" w:rsidRDefault="00FD6C68" w:rsidP="00E17229">
            <w:pPr>
              <w:pStyle w:val="TableReference"/>
              <w:tabs>
                <w:tab w:val="left" w:pos="3306"/>
              </w:tabs>
              <w:rPr>
                <w:rFonts w:cs="Calibri"/>
                <w:color w:val="7030A0"/>
                <w:sz w:val="14"/>
              </w:rPr>
            </w:pPr>
          </w:p>
        </w:tc>
        <w:tc>
          <w:tcPr>
            <w:tcW w:w="4265" w:type="pct"/>
            <w:tcBorders>
              <w:top w:val="nil"/>
              <w:left w:val="single" w:sz="2" w:space="0" w:color="auto"/>
              <w:bottom w:val="nil"/>
              <w:right w:val="nil"/>
            </w:tcBorders>
            <w:shd w:val="clear" w:color="auto" w:fill="7030A0"/>
          </w:tcPr>
          <w:p w14:paraId="033573E5" w14:textId="5645CBA0" w:rsidR="00FD6C68" w:rsidRPr="000A1595" w:rsidRDefault="00082883" w:rsidP="00E17229">
            <w:pPr>
              <w:spacing w:after="240"/>
              <w:jc w:val="both"/>
              <w:rPr>
                <w:rFonts w:cs="Calibri"/>
                <w:bCs/>
                <w:color w:val="FFFFFF" w:themeColor="background1"/>
                <w:sz w:val="28"/>
                <w:szCs w:val="28"/>
              </w:rPr>
            </w:pPr>
            <w:r w:rsidRPr="000A1595">
              <w:rPr>
                <w:rFonts w:cs="Calibri"/>
                <w:b/>
                <w:color w:val="FFFFFF" w:themeColor="background1"/>
                <w:sz w:val="28"/>
                <w:szCs w:val="28"/>
              </w:rPr>
              <w:t>Commentary – Income Notes</w:t>
            </w:r>
          </w:p>
        </w:tc>
      </w:tr>
      <w:tr w:rsidR="00082883" w:rsidRPr="00CF7E1B" w14:paraId="2F99BA0E" w14:textId="77777777" w:rsidTr="002F4A89">
        <w:tc>
          <w:tcPr>
            <w:tcW w:w="735" w:type="pct"/>
            <w:tcBorders>
              <w:top w:val="nil"/>
              <w:left w:val="single" w:sz="2" w:space="0" w:color="auto"/>
              <w:bottom w:val="nil"/>
              <w:right w:val="single" w:sz="2" w:space="0" w:color="auto"/>
            </w:tcBorders>
            <w:shd w:val="clear" w:color="auto" w:fill="auto"/>
          </w:tcPr>
          <w:p w14:paraId="3C21A2C6" w14:textId="0608B473" w:rsidR="00082883" w:rsidRPr="000A1595" w:rsidRDefault="00082883" w:rsidP="00082883">
            <w:pPr>
              <w:pStyle w:val="TableReference"/>
              <w:tabs>
                <w:tab w:val="left" w:pos="3306"/>
              </w:tabs>
              <w:spacing w:before="60"/>
              <w:rPr>
                <w:rFonts w:cs="Calibri"/>
                <w:color w:val="7030A0"/>
                <w:sz w:val="14"/>
              </w:rPr>
            </w:pPr>
          </w:p>
        </w:tc>
        <w:tc>
          <w:tcPr>
            <w:tcW w:w="4265" w:type="pct"/>
            <w:tcBorders>
              <w:top w:val="nil"/>
              <w:left w:val="single" w:sz="2" w:space="0" w:color="auto"/>
              <w:bottom w:val="nil"/>
              <w:right w:val="nil"/>
            </w:tcBorders>
            <w:shd w:val="clear" w:color="auto" w:fill="7030A0"/>
          </w:tcPr>
          <w:p w14:paraId="716E4D55" w14:textId="0FA59FF4" w:rsidR="00082883" w:rsidRPr="000A1595" w:rsidRDefault="00082883" w:rsidP="00082883">
            <w:pPr>
              <w:spacing w:after="120"/>
              <w:jc w:val="both"/>
              <w:rPr>
                <w:color w:val="FFFFFF" w:themeColor="background1"/>
                <w:sz w:val="20"/>
                <w:szCs w:val="20"/>
              </w:rPr>
            </w:pPr>
            <w:r w:rsidRPr="000A1595">
              <w:rPr>
                <w:color w:val="FFFFFF" w:themeColor="background1"/>
                <w:sz w:val="18"/>
                <w:szCs w:val="18"/>
              </w:rPr>
              <w:t>An agency shall disaggregate revenue recognised under AASB 15 and AASB 1058 into categories that depict how the nature, amount, timing and uncertainty of revenue and cash flows are affected by economic factors.</w:t>
            </w:r>
          </w:p>
        </w:tc>
      </w:tr>
      <w:tr w:rsidR="00082883" w:rsidRPr="006572B8" w14:paraId="3A542077"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80"/>
        </w:trPr>
        <w:tc>
          <w:tcPr>
            <w:tcW w:w="735" w:type="pct"/>
            <w:tcBorders>
              <w:left w:val="single" w:sz="2" w:space="0" w:color="auto"/>
              <w:right w:val="single" w:sz="2" w:space="0" w:color="auto"/>
            </w:tcBorders>
            <w:shd w:val="clear" w:color="auto" w:fill="auto"/>
          </w:tcPr>
          <w:p w14:paraId="3FEB8C1B" w14:textId="77777777" w:rsidR="00082883" w:rsidRPr="000A1595" w:rsidRDefault="00082883" w:rsidP="00082883">
            <w:pPr>
              <w:pStyle w:val="TableReference"/>
              <w:tabs>
                <w:tab w:val="left" w:pos="3306"/>
              </w:tabs>
              <w:spacing w:after="120"/>
              <w:rPr>
                <w:rFonts w:cs="Calibri"/>
                <w:color w:val="7030A0"/>
                <w:sz w:val="16"/>
                <w:szCs w:val="16"/>
              </w:rPr>
            </w:pPr>
          </w:p>
        </w:tc>
        <w:tc>
          <w:tcPr>
            <w:tcW w:w="4265" w:type="pct"/>
            <w:tcBorders>
              <w:left w:val="single" w:sz="2" w:space="0" w:color="auto"/>
            </w:tcBorders>
            <w:shd w:val="clear" w:color="auto" w:fill="7030A0"/>
          </w:tcPr>
          <w:p w14:paraId="7943D520" w14:textId="5FB82B51" w:rsidR="00082883" w:rsidRPr="000A1595" w:rsidRDefault="00082883" w:rsidP="00082883">
            <w:pPr>
              <w:pStyle w:val="CommentaryText"/>
              <w:tabs>
                <w:tab w:val="left" w:pos="3306"/>
              </w:tabs>
              <w:rPr>
                <w:rFonts w:cs="Calibri"/>
                <w:color w:val="FFFFFF" w:themeColor="background1"/>
                <w:sz w:val="18"/>
                <w:szCs w:val="18"/>
              </w:rPr>
            </w:pPr>
            <w:r w:rsidRPr="000A1595">
              <w:rPr>
                <w:color w:val="FFFFFF" w:themeColor="background1"/>
                <w:sz w:val="18"/>
                <w:szCs w:val="18"/>
              </w:rPr>
              <w:t>A not-for-profit agency shall assess which revenue standard is applicable to its income streams. For a not</w:t>
            </w:r>
            <w:r w:rsidRPr="000A1595">
              <w:rPr>
                <w:color w:val="FFFFFF" w:themeColor="background1"/>
                <w:sz w:val="18"/>
                <w:szCs w:val="18"/>
              </w:rPr>
              <w:noBreakHyphen/>
              <w:t>for</w:t>
            </w:r>
            <w:r w:rsidRPr="000A1595">
              <w:rPr>
                <w:color w:val="FFFFFF" w:themeColor="background1"/>
                <w:sz w:val="18"/>
                <w:szCs w:val="18"/>
              </w:rPr>
              <w:noBreakHyphen/>
              <w:t>profit agency, the majority of income streams are likely to be under either AASB 15 or AASB 1058. Because AASB 1058 undertakes a residual approach, an agency should assess the applicability of AASB 15 before it considers the application of AASB 1058.</w:t>
            </w:r>
          </w:p>
        </w:tc>
      </w:tr>
      <w:tr w:rsidR="00082883" w:rsidRPr="006572B8" w14:paraId="39085547"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80"/>
        </w:trPr>
        <w:tc>
          <w:tcPr>
            <w:tcW w:w="735" w:type="pct"/>
            <w:tcBorders>
              <w:left w:val="single" w:sz="2" w:space="0" w:color="auto"/>
              <w:right w:val="single" w:sz="2" w:space="0" w:color="auto"/>
            </w:tcBorders>
            <w:shd w:val="clear" w:color="auto" w:fill="auto"/>
          </w:tcPr>
          <w:p w14:paraId="486E482D" w14:textId="77777777" w:rsidR="00082883" w:rsidRPr="000A1595" w:rsidRDefault="00082883" w:rsidP="00082883">
            <w:pPr>
              <w:pStyle w:val="TableReference"/>
              <w:tabs>
                <w:tab w:val="left" w:pos="3306"/>
              </w:tabs>
              <w:spacing w:after="120"/>
              <w:rPr>
                <w:color w:val="7030A0"/>
                <w:sz w:val="14"/>
              </w:rPr>
            </w:pPr>
            <w:r w:rsidRPr="000A1595">
              <w:rPr>
                <w:color w:val="7030A0"/>
                <w:sz w:val="14"/>
              </w:rPr>
              <w:t>AASB 15.9</w:t>
            </w:r>
          </w:p>
          <w:p w14:paraId="5BF0DE10" w14:textId="12161FA1" w:rsidR="00082883" w:rsidRPr="000A1595" w:rsidRDefault="00082883" w:rsidP="00082883">
            <w:pPr>
              <w:pStyle w:val="TableReference"/>
              <w:tabs>
                <w:tab w:val="left" w:pos="3306"/>
              </w:tabs>
              <w:spacing w:after="120"/>
              <w:rPr>
                <w:color w:val="7030A0"/>
                <w:sz w:val="14"/>
              </w:rPr>
            </w:pPr>
            <w:r w:rsidRPr="000A1595">
              <w:rPr>
                <w:color w:val="7030A0"/>
                <w:sz w:val="14"/>
              </w:rPr>
              <w:t>AASB 15.9Aus1</w:t>
            </w:r>
          </w:p>
        </w:tc>
        <w:tc>
          <w:tcPr>
            <w:tcW w:w="4265" w:type="pct"/>
            <w:tcBorders>
              <w:left w:val="single" w:sz="2" w:space="0" w:color="auto"/>
            </w:tcBorders>
            <w:shd w:val="clear" w:color="auto" w:fill="7030A0"/>
          </w:tcPr>
          <w:p w14:paraId="5DA5B472" w14:textId="5DF4C428" w:rsidR="00082883" w:rsidRPr="000A1595" w:rsidRDefault="00082883" w:rsidP="00082883">
            <w:pPr>
              <w:spacing w:after="120"/>
              <w:jc w:val="both"/>
              <w:rPr>
                <w:rFonts w:cs="Calibri"/>
                <w:color w:val="FFFFFF" w:themeColor="background1"/>
                <w:sz w:val="18"/>
                <w:szCs w:val="18"/>
              </w:rPr>
            </w:pPr>
            <w:r w:rsidRPr="000A1595">
              <w:rPr>
                <w:color w:val="FFFFFF" w:themeColor="background1"/>
                <w:sz w:val="18"/>
                <w:szCs w:val="18"/>
              </w:rPr>
              <w:t>AASB 15 applies to contracts with customers that are enforceable and sufficiently specific. If the contract does not meet these criteria, an agency shall consider the requirements of AASB 1058 in accounting for such contracts.</w:t>
            </w:r>
          </w:p>
        </w:tc>
      </w:tr>
      <w:tr w:rsidR="007E0503" w:rsidRPr="007E0503" w14:paraId="4835D4B8" w14:textId="77777777" w:rsidTr="002F4A89">
        <w:tc>
          <w:tcPr>
            <w:tcW w:w="735" w:type="pct"/>
            <w:tcBorders>
              <w:top w:val="nil"/>
              <w:left w:val="single" w:sz="2" w:space="0" w:color="auto"/>
              <w:bottom w:val="nil"/>
              <w:right w:val="single" w:sz="2" w:space="0" w:color="auto"/>
            </w:tcBorders>
          </w:tcPr>
          <w:p w14:paraId="00BB61FD" w14:textId="77777777" w:rsidR="00AA0676" w:rsidRPr="000A1595" w:rsidRDefault="00AA0676" w:rsidP="00AA0676">
            <w:pPr>
              <w:rPr>
                <w:color w:val="7030A0"/>
              </w:rPr>
            </w:pPr>
            <w:bookmarkStart w:id="315" w:name="UserChg" w:colFirst="1" w:colLast="1"/>
          </w:p>
          <w:p w14:paraId="1F08CE6B" w14:textId="29F460BC" w:rsidR="00AA0676" w:rsidRPr="000A1595" w:rsidRDefault="00AA0676" w:rsidP="00AA0676">
            <w:pPr>
              <w:rPr>
                <w:color w:val="7030A0"/>
                <w:sz w:val="14"/>
                <w:szCs w:val="14"/>
              </w:rPr>
            </w:pPr>
            <w:r w:rsidRPr="000A1595">
              <w:rPr>
                <w:color w:val="7030A0"/>
                <w:sz w:val="14"/>
                <w:szCs w:val="14"/>
              </w:rPr>
              <w:t>AASB 15.113(a)</w:t>
            </w:r>
          </w:p>
        </w:tc>
        <w:tc>
          <w:tcPr>
            <w:tcW w:w="4265" w:type="pct"/>
            <w:tcBorders>
              <w:top w:val="nil"/>
              <w:left w:val="single" w:sz="2" w:space="0" w:color="auto"/>
              <w:bottom w:val="nil"/>
              <w:right w:val="nil"/>
            </w:tcBorders>
          </w:tcPr>
          <w:p w14:paraId="2FE390C6" w14:textId="612320B9" w:rsidR="000144FF" w:rsidRPr="00F63CF3" w:rsidRDefault="00BF027A" w:rsidP="007E0503">
            <w:pPr>
              <w:pStyle w:val="Heading1"/>
              <w:numPr>
                <w:ilvl w:val="0"/>
                <w:numId w:val="0"/>
              </w:numPr>
              <w:rPr>
                <w:rFonts w:asciiTheme="minorHAnsi" w:hAnsiTheme="minorHAnsi" w:cstheme="minorHAnsi"/>
                <w:sz w:val="36"/>
                <w:szCs w:val="36"/>
              </w:rPr>
            </w:pPr>
            <w:bookmarkStart w:id="316" w:name="_Toc48468421"/>
            <w:bookmarkStart w:id="317" w:name="_Toc49155540"/>
            <w:bookmarkStart w:id="318" w:name="_Toc49223996"/>
            <w:bookmarkStart w:id="319" w:name="_Ref50257799"/>
            <w:bookmarkStart w:id="320" w:name="_Toc50440340"/>
            <w:bookmarkStart w:id="321" w:name="_Ref50523876"/>
            <w:bookmarkStart w:id="322" w:name="_Toc400627322"/>
            <w:bookmarkStart w:id="323" w:name="_Toc98763044"/>
            <w:r w:rsidRPr="00F63CF3">
              <w:rPr>
                <w:rFonts w:asciiTheme="minorHAnsi" w:hAnsiTheme="minorHAnsi" w:cstheme="minorHAnsi"/>
                <w:sz w:val="36"/>
                <w:szCs w:val="36"/>
              </w:rPr>
              <w:t>N</w:t>
            </w:r>
            <w:r w:rsidR="00960982" w:rsidRPr="00F63CF3">
              <w:rPr>
                <w:rFonts w:asciiTheme="minorHAnsi" w:hAnsiTheme="minorHAnsi" w:cstheme="minorHAnsi"/>
                <w:sz w:val="36"/>
                <w:szCs w:val="36"/>
              </w:rPr>
              <w:t>ote</w:t>
            </w:r>
            <w:r w:rsidRPr="00F63CF3">
              <w:rPr>
                <w:rFonts w:asciiTheme="minorHAnsi" w:hAnsiTheme="minorHAnsi" w:cstheme="minorHAnsi"/>
                <w:sz w:val="36"/>
                <w:szCs w:val="36"/>
              </w:rPr>
              <w:t xml:space="preserve"> </w:t>
            </w:r>
            <w:r w:rsidRPr="00AD6903">
              <w:rPr>
                <w:rFonts w:asciiTheme="minorHAnsi" w:hAnsiTheme="minorHAnsi" w:cstheme="minorHAnsi"/>
                <w:sz w:val="36"/>
                <w:szCs w:val="36"/>
              </w:rPr>
              <w:t>5.</w:t>
            </w:r>
            <w:r w:rsidR="00FA7C77">
              <w:rPr>
                <w:rFonts w:asciiTheme="minorHAnsi" w:hAnsiTheme="minorHAnsi" w:cstheme="minorHAnsi"/>
                <w:sz w:val="36"/>
                <w:szCs w:val="36"/>
              </w:rPr>
              <w:t xml:space="preserve"> </w:t>
            </w:r>
            <w:bookmarkEnd w:id="316"/>
            <w:bookmarkEnd w:id="317"/>
            <w:bookmarkEnd w:id="318"/>
            <w:bookmarkEnd w:id="319"/>
            <w:bookmarkEnd w:id="320"/>
            <w:bookmarkEnd w:id="321"/>
            <w:bookmarkEnd w:id="322"/>
            <w:r w:rsidR="00E265C7" w:rsidRPr="00F63CF3">
              <w:rPr>
                <w:rFonts w:asciiTheme="minorHAnsi" w:hAnsiTheme="minorHAnsi" w:cstheme="minorHAnsi"/>
                <w:sz w:val="36"/>
                <w:szCs w:val="36"/>
              </w:rPr>
              <w:t>Sale</w:t>
            </w:r>
            <w:r w:rsidR="002F0FBA" w:rsidRPr="00F63CF3">
              <w:rPr>
                <w:rFonts w:asciiTheme="minorHAnsi" w:hAnsiTheme="minorHAnsi" w:cstheme="minorHAnsi"/>
                <w:sz w:val="36"/>
                <w:szCs w:val="36"/>
              </w:rPr>
              <w:t>S</w:t>
            </w:r>
            <w:r w:rsidR="00E265C7" w:rsidRPr="00F63CF3">
              <w:rPr>
                <w:rFonts w:asciiTheme="minorHAnsi" w:hAnsiTheme="minorHAnsi" w:cstheme="minorHAnsi"/>
                <w:sz w:val="36"/>
                <w:szCs w:val="36"/>
              </w:rPr>
              <w:t xml:space="preserve"> of Goods and Services from Contracts with Customers</w:t>
            </w:r>
            <w:bookmarkEnd w:id="323"/>
          </w:p>
        </w:tc>
      </w:tr>
      <w:tr w:rsidR="00D7560C" w:rsidRPr="007E0503" w14:paraId="11B17732" w14:textId="77777777" w:rsidTr="002F4A89">
        <w:tc>
          <w:tcPr>
            <w:tcW w:w="735" w:type="pct"/>
            <w:tcBorders>
              <w:top w:val="nil"/>
              <w:left w:val="single" w:sz="2" w:space="0" w:color="auto"/>
              <w:bottom w:val="nil"/>
              <w:right w:val="single" w:sz="2" w:space="0" w:color="auto"/>
            </w:tcBorders>
          </w:tcPr>
          <w:p w14:paraId="679921E8" w14:textId="77777777" w:rsidR="00D7560C" w:rsidRPr="000A1595" w:rsidRDefault="00D7560C"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78B6A3A9" w14:textId="64C1D757" w:rsidR="00D7560C" w:rsidRPr="000A1595" w:rsidRDefault="00D7560C" w:rsidP="006E5F44">
            <w:pPr>
              <w:pStyle w:val="Heading2"/>
              <w:numPr>
                <w:ilvl w:val="0"/>
                <w:numId w:val="0"/>
              </w:numPr>
              <w:spacing w:before="0" w:after="60"/>
            </w:pPr>
            <w:bookmarkStart w:id="324" w:name="_Toc98763045"/>
            <w:r w:rsidRPr="000A1595">
              <w:rPr>
                <w:rFonts w:ascii="Calibri" w:hAnsi="Calibri" w:cs="Calibri"/>
                <w:caps w:val="0"/>
                <w:sz w:val="18"/>
                <w:szCs w:val="18"/>
              </w:rPr>
              <w:t>Description</w:t>
            </w:r>
            <w:r w:rsidR="00987352" w:rsidRPr="000A1595">
              <w:rPr>
                <w:rFonts w:ascii="Calibri" w:hAnsi="Calibri" w:cs="Calibri"/>
                <w:caps w:val="0"/>
                <w:sz w:val="18"/>
                <w:szCs w:val="18"/>
              </w:rPr>
              <w:t xml:space="preserve"> and Material Accounting Policies</w:t>
            </w:r>
            <w:r w:rsidRPr="000A1595">
              <w:rPr>
                <w:rFonts w:ascii="Calibri" w:hAnsi="Calibri" w:cs="Calibri"/>
                <w:caps w:val="0"/>
                <w:sz w:val="18"/>
                <w:szCs w:val="18"/>
              </w:rPr>
              <w:t xml:space="preserve"> </w:t>
            </w:r>
            <w:r w:rsidR="00987352" w:rsidRPr="000A1595">
              <w:rPr>
                <w:rFonts w:ascii="Calibri" w:hAnsi="Calibri" w:cs="Calibri"/>
                <w:caps w:val="0"/>
                <w:sz w:val="18"/>
                <w:szCs w:val="18"/>
              </w:rPr>
              <w:t xml:space="preserve">relating to the </w:t>
            </w:r>
            <w:r w:rsidRPr="000A1595">
              <w:rPr>
                <w:rFonts w:ascii="Calibri" w:hAnsi="Calibri" w:cs="Calibri"/>
                <w:caps w:val="0"/>
                <w:sz w:val="18"/>
                <w:szCs w:val="18"/>
              </w:rPr>
              <w:t>Sale of Goods and Services</w:t>
            </w:r>
            <w:bookmarkEnd w:id="324"/>
          </w:p>
        </w:tc>
      </w:tr>
      <w:tr w:rsidR="00D7560C" w:rsidRPr="007E0503" w14:paraId="47759BF5" w14:textId="77777777" w:rsidTr="002F4A89">
        <w:tc>
          <w:tcPr>
            <w:tcW w:w="735" w:type="pct"/>
            <w:tcBorders>
              <w:top w:val="nil"/>
              <w:left w:val="single" w:sz="2" w:space="0" w:color="auto"/>
              <w:bottom w:val="nil"/>
              <w:right w:val="single" w:sz="2" w:space="0" w:color="auto"/>
            </w:tcBorders>
          </w:tcPr>
          <w:p w14:paraId="7B7AD114" w14:textId="77777777" w:rsidR="00C15213" w:rsidRPr="000A1595" w:rsidRDefault="00C15213" w:rsidP="00C15213">
            <w:pPr>
              <w:rPr>
                <w:color w:val="7030A0"/>
              </w:rPr>
            </w:pPr>
            <w:bookmarkStart w:id="325" w:name="_Hlk83757828"/>
          </w:p>
          <w:p w14:paraId="348D25C3" w14:textId="4EB7C7DA" w:rsidR="00C15213" w:rsidRPr="000A1595" w:rsidRDefault="00C15213" w:rsidP="000155C0">
            <w:pPr>
              <w:pStyle w:val="TableReference"/>
              <w:tabs>
                <w:tab w:val="left" w:pos="3306"/>
              </w:tabs>
              <w:spacing w:before="60"/>
              <w:rPr>
                <w:color w:val="7030A0"/>
              </w:rPr>
            </w:pPr>
          </w:p>
        </w:tc>
        <w:tc>
          <w:tcPr>
            <w:tcW w:w="4265" w:type="pct"/>
            <w:tcBorders>
              <w:top w:val="nil"/>
              <w:left w:val="single" w:sz="2" w:space="0" w:color="auto"/>
              <w:bottom w:val="nil"/>
              <w:right w:val="nil"/>
            </w:tcBorders>
          </w:tcPr>
          <w:p w14:paraId="25EE7119" w14:textId="411FFA75" w:rsidR="00C15213" w:rsidRPr="000A1595" w:rsidRDefault="00D7560C" w:rsidP="000155C0">
            <w:pPr>
              <w:pStyle w:val="Heading2"/>
              <w:numPr>
                <w:ilvl w:val="0"/>
                <w:numId w:val="0"/>
              </w:numPr>
              <w:spacing w:before="0"/>
              <w:jc w:val="both"/>
              <w:rPr>
                <w:rFonts w:cs="Calibri"/>
                <w:sz w:val="18"/>
                <w:szCs w:val="18"/>
              </w:rPr>
            </w:pPr>
            <w:bookmarkStart w:id="326" w:name="_Toc98763046"/>
            <w:r w:rsidRPr="000A1595">
              <w:rPr>
                <w:rFonts w:ascii="Calibri" w:hAnsi="Calibri" w:cs="Calibri"/>
                <w:b w:val="0"/>
                <w:bCs w:val="0"/>
                <w:caps w:val="0"/>
                <w:sz w:val="18"/>
                <w:szCs w:val="18"/>
              </w:rPr>
              <w:t>‘</w:t>
            </w:r>
            <w:r w:rsidR="001A6C09" w:rsidRPr="000A1595">
              <w:rPr>
                <w:rFonts w:ascii="Calibri" w:hAnsi="Calibri" w:cs="Calibri"/>
                <w:b w:val="0"/>
                <w:bCs w:val="0"/>
                <w:caps w:val="0"/>
                <w:sz w:val="18"/>
                <w:szCs w:val="18"/>
              </w:rPr>
              <w:t xml:space="preserve">Burley Griffin </w:t>
            </w:r>
            <w:r w:rsidRPr="000A1595">
              <w:rPr>
                <w:rFonts w:ascii="Calibri" w:hAnsi="Calibri" w:cs="Calibri"/>
                <w:b w:val="0"/>
                <w:bCs w:val="0"/>
                <w:caps w:val="0"/>
                <w:sz w:val="18"/>
                <w:szCs w:val="18"/>
              </w:rPr>
              <w:t>Agency’ earns revenue from providing goods and services to other ACT Government agencies</w:t>
            </w:r>
            <w:r w:rsidR="007978D2" w:rsidRPr="000A1595">
              <w:rPr>
                <w:rFonts w:ascii="Calibri" w:hAnsi="Calibri" w:cs="Calibri"/>
                <w:b w:val="0"/>
                <w:bCs w:val="0"/>
                <w:caps w:val="0"/>
                <w:sz w:val="18"/>
                <w:szCs w:val="18"/>
              </w:rPr>
              <w:t xml:space="preserve">, private sector consumers </w:t>
            </w:r>
            <w:r w:rsidRPr="000A1595">
              <w:rPr>
                <w:rFonts w:ascii="Calibri" w:hAnsi="Calibri" w:cs="Calibri"/>
                <w:b w:val="0"/>
                <w:bCs w:val="0"/>
                <w:caps w:val="0"/>
                <w:sz w:val="18"/>
                <w:szCs w:val="18"/>
              </w:rPr>
              <w:t>and to the public.</w:t>
            </w:r>
            <w:r w:rsidR="00FA7C77">
              <w:rPr>
                <w:rFonts w:ascii="Calibri" w:hAnsi="Calibri" w:cs="Calibri"/>
                <w:b w:val="0"/>
                <w:bCs w:val="0"/>
                <w:caps w:val="0"/>
                <w:sz w:val="18"/>
                <w:szCs w:val="18"/>
              </w:rPr>
              <w:t xml:space="preserve"> </w:t>
            </w:r>
            <w:r w:rsidR="008E1728" w:rsidRPr="000A1595">
              <w:rPr>
                <w:rFonts w:ascii="Calibri" w:hAnsi="Calibri" w:cs="Calibri"/>
                <w:b w:val="0"/>
                <w:bCs w:val="0"/>
                <w:caps w:val="0"/>
                <w:sz w:val="18"/>
                <w:szCs w:val="18"/>
              </w:rPr>
              <w:t xml:space="preserve">This revenue is legally retained by the </w:t>
            </w:r>
            <w:r w:rsidR="00294AB5">
              <w:rPr>
                <w:rFonts w:ascii="Calibri" w:hAnsi="Calibri" w:cs="Calibri"/>
                <w:b w:val="0"/>
                <w:bCs w:val="0"/>
                <w:caps w:val="0"/>
                <w:sz w:val="18"/>
                <w:szCs w:val="18"/>
              </w:rPr>
              <w:t>A</w:t>
            </w:r>
            <w:r w:rsidR="008E1728" w:rsidRPr="000A1595">
              <w:rPr>
                <w:rFonts w:ascii="Calibri" w:hAnsi="Calibri" w:cs="Calibri"/>
                <w:b w:val="0"/>
                <w:bCs w:val="0"/>
                <w:caps w:val="0"/>
                <w:sz w:val="18"/>
                <w:szCs w:val="18"/>
              </w:rPr>
              <w:t>gency and driven by consumer demand.</w:t>
            </w:r>
            <w:r w:rsidR="00FA7C77">
              <w:rPr>
                <w:rFonts w:ascii="Calibri" w:hAnsi="Calibri" w:cs="Calibri"/>
                <w:b w:val="0"/>
                <w:bCs w:val="0"/>
                <w:caps w:val="0"/>
                <w:sz w:val="18"/>
                <w:szCs w:val="18"/>
              </w:rPr>
              <w:t xml:space="preserve"> </w:t>
            </w:r>
            <w:r w:rsidR="008E1728" w:rsidRPr="000A1595">
              <w:rPr>
                <w:rFonts w:ascii="Calibri" w:hAnsi="Calibri" w:cs="Calibri"/>
                <w:b w:val="0"/>
                <w:bCs w:val="0"/>
                <w:caps w:val="0"/>
                <w:sz w:val="18"/>
                <w:szCs w:val="18"/>
              </w:rPr>
              <w:t>All revenue recognised in this note is user charge revenue.</w:t>
            </w:r>
            <w:bookmarkEnd w:id="326"/>
            <w:r w:rsidR="00FA7C77">
              <w:rPr>
                <w:rFonts w:ascii="Calibri" w:hAnsi="Calibri" w:cs="Calibri"/>
                <w:b w:val="0"/>
                <w:bCs w:val="0"/>
                <w:caps w:val="0"/>
                <w:sz w:val="18"/>
                <w:szCs w:val="18"/>
              </w:rPr>
              <w:t xml:space="preserve"> </w:t>
            </w:r>
            <w:r w:rsidR="00C15213" w:rsidRPr="000A1595">
              <w:rPr>
                <w:rFonts w:cs="Calibri"/>
                <w:sz w:val="18"/>
                <w:szCs w:val="18"/>
              </w:rPr>
              <w:t xml:space="preserve"> </w:t>
            </w:r>
          </w:p>
        </w:tc>
      </w:tr>
      <w:tr w:rsidR="00C15213" w:rsidRPr="007E0503" w14:paraId="3FD9F86A" w14:textId="77777777" w:rsidTr="002F4A89">
        <w:tc>
          <w:tcPr>
            <w:tcW w:w="735" w:type="pct"/>
            <w:tcBorders>
              <w:top w:val="nil"/>
              <w:left w:val="single" w:sz="2" w:space="0" w:color="auto"/>
              <w:bottom w:val="nil"/>
              <w:right w:val="single" w:sz="2" w:space="0" w:color="auto"/>
            </w:tcBorders>
          </w:tcPr>
          <w:p w14:paraId="2176B61D" w14:textId="77777777" w:rsidR="000155C0" w:rsidRPr="000A1595" w:rsidRDefault="000155C0" w:rsidP="000155C0">
            <w:pPr>
              <w:pStyle w:val="TableReference"/>
              <w:tabs>
                <w:tab w:val="left" w:pos="3306"/>
              </w:tabs>
              <w:spacing w:before="60"/>
              <w:rPr>
                <w:rFonts w:cs="Calibri"/>
                <w:color w:val="7030A0"/>
                <w:sz w:val="14"/>
              </w:rPr>
            </w:pPr>
            <w:r w:rsidRPr="000A1595">
              <w:rPr>
                <w:rFonts w:cs="Calibri"/>
                <w:color w:val="7030A0"/>
                <w:sz w:val="14"/>
              </w:rPr>
              <w:t>AASB 15.9-90</w:t>
            </w:r>
          </w:p>
          <w:p w14:paraId="28376531" w14:textId="77777777" w:rsidR="00C15213" w:rsidRPr="000A1595" w:rsidRDefault="00C15213"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7031C185" w14:textId="7A47E7A8" w:rsidR="00C15213" w:rsidRDefault="000155C0" w:rsidP="0032522E">
            <w:pPr>
              <w:spacing w:after="120"/>
              <w:jc w:val="both"/>
              <w:rPr>
                <w:rFonts w:cs="Calibri"/>
                <w:b/>
                <w:bCs/>
                <w:caps/>
                <w:color w:val="FF0000"/>
                <w:sz w:val="18"/>
                <w:szCs w:val="18"/>
              </w:rPr>
            </w:pPr>
            <w:r w:rsidRPr="000A1595">
              <w:rPr>
                <w:rFonts w:cs="Calibri"/>
                <w:sz w:val="18"/>
                <w:szCs w:val="18"/>
              </w:rPr>
              <w:t>Revenue is recognised either over time or at a point in time. Any distinct goods or services are separately identified and any discounts or rebates in the contract price are allocated to the separate elements.</w:t>
            </w:r>
            <w:r w:rsidR="00FA7C77">
              <w:rPr>
                <w:rFonts w:cs="Calibri"/>
                <w:sz w:val="18"/>
                <w:szCs w:val="18"/>
              </w:rPr>
              <w:t xml:space="preserve"> </w:t>
            </w:r>
            <w:r w:rsidR="00C15213" w:rsidRPr="000A1595">
              <w:rPr>
                <w:rFonts w:cs="Calibri"/>
                <w:sz w:val="18"/>
                <w:szCs w:val="18"/>
              </w:rPr>
              <w:t>Revenue is based on the transfer of promised goods or services to customers at an amount that reflects the consideration in exchange for those goods or services. The timing of the payment for sale of goods and rendering of services largely corresponds with the timing of satisfaction of the performance obligations, however where there is a difference, it will result in the recognition of a receivable, contract asset or contract liability.</w:t>
            </w:r>
            <w:r w:rsidR="00FA7C77">
              <w:rPr>
                <w:rFonts w:cs="Calibri"/>
                <w:sz w:val="18"/>
                <w:szCs w:val="18"/>
              </w:rPr>
              <w:t xml:space="preserve"> </w:t>
            </w:r>
            <w:r w:rsidR="00C15213" w:rsidRPr="000A1595">
              <w:rPr>
                <w:rFonts w:cs="Calibri"/>
                <w:sz w:val="18"/>
                <w:szCs w:val="18"/>
              </w:rPr>
              <w:t xml:space="preserve">Where payment is not received at the time of purchase, payments from customers are generally required within </w:t>
            </w:r>
            <w:r w:rsidR="000C4C28" w:rsidRPr="000A1595">
              <w:rPr>
                <w:rFonts w:cs="Calibri"/>
                <w:color w:val="C45911" w:themeColor="accent2" w:themeShade="BF"/>
                <w:sz w:val="18"/>
                <w:szCs w:val="18"/>
              </w:rPr>
              <w:t>&lt;</w:t>
            </w:r>
            <w:r w:rsidR="00C15213" w:rsidRPr="000A1595">
              <w:rPr>
                <w:rFonts w:cs="Calibri"/>
                <w:color w:val="C45911" w:themeColor="accent2" w:themeShade="BF"/>
                <w:sz w:val="18"/>
                <w:szCs w:val="18"/>
              </w:rPr>
              <w:t>xx</w:t>
            </w:r>
            <w:r w:rsidR="000C4C28" w:rsidRPr="000A1595">
              <w:rPr>
                <w:rFonts w:cs="Calibri"/>
                <w:color w:val="C45911" w:themeColor="accent2" w:themeShade="BF"/>
                <w:sz w:val="18"/>
                <w:szCs w:val="18"/>
              </w:rPr>
              <w:t>&gt;</w:t>
            </w:r>
            <w:r w:rsidR="00C15213" w:rsidRPr="00D7560C">
              <w:rPr>
                <w:rFonts w:cs="Calibri"/>
                <w:color w:val="FF0000"/>
                <w:sz w:val="18"/>
                <w:szCs w:val="18"/>
              </w:rPr>
              <w:t xml:space="preserve"> </w:t>
            </w:r>
            <w:r w:rsidR="00C15213" w:rsidRPr="000A1595">
              <w:rPr>
                <w:rFonts w:cs="Calibri"/>
                <w:sz w:val="18"/>
                <w:szCs w:val="18"/>
              </w:rPr>
              <w:t>days of the provision of services.</w:t>
            </w:r>
          </w:p>
        </w:tc>
      </w:tr>
      <w:tr w:rsidR="00C15213" w:rsidRPr="007E0503" w14:paraId="5B0D4949" w14:textId="77777777" w:rsidTr="002F4A89">
        <w:tc>
          <w:tcPr>
            <w:tcW w:w="735" w:type="pct"/>
            <w:tcBorders>
              <w:top w:val="nil"/>
              <w:left w:val="single" w:sz="2" w:space="0" w:color="auto"/>
              <w:bottom w:val="nil"/>
              <w:right w:val="single" w:sz="2" w:space="0" w:color="auto"/>
            </w:tcBorders>
          </w:tcPr>
          <w:p w14:paraId="5A2CCE7D" w14:textId="77777777" w:rsidR="00C15213" w:rsidRPr="000A1595" w:rsidRDefault="00C15213" w:rsidP="00A04CF4">
            <w:pPr>
              <w:pStyle w:val="TableText"/>
              <w:tabs>
                <w:tab w:val="left" w:pos="3306"/>
              </w:tabs>
              <w:spacing w:before="120"/>
              <w:rPr>
                <w:rFonts w:cs="Calibri"/>
                <w:b/>
                <w:bCs/>
                <w:color w:val="7030A0"/>
                <w:sz w:val="14"/>
                <w:szCs w:val="14"/>
              </w:rPr>
            </w:pPr>
          </w:p>
          <w:p w14:paraId="39E2BD0F" w14:textId="77777777" w:rsidR="006E5F44" w:rsidRPr="000A1595" w:rsidRDefault="006E5F44" w:rsidP="006E5F44">
            <w:pPr>
              <w:rPr>
                <w:color w:val="7030A0"/>
              </w:rPr>
            </w:pPr>
          </w:p>
          <w:p w14:paraId="08A5A4E3" w14:textId="77777777" w:rsidR="006E5F44" w:rsidRPr="000A1595" w:rsidRDefault="006E5F44" w:rsidP="006E5F44">
            <w:pPr>
              <w:rPr>
                <w:color w:val="7030A0"/>
              </w:rPr>
            </w:pPr>
          </w:p>
          <w:p w14:paraId="5A023365" w14:textId="77777777" w:rsidR="006E5F44" w:rsidRPr="000A1595" w:rsidRDefault="006E5F44" w:rsidP="006E5F44">
            <w:pPr>
              <w:rPr>
                <w:color w:val="7030A0"/>
              </w:rPr>
            </w:pPr>
          </w:p>
          <w:p w14:paraId="75B87732" w14:textId="77777777" w:rsidR="006E5F44" w:rsidRPr="000A1595" w:rsidRDefault="006E5F44" w:rsidP="006E5F44">
            <w:pPr>
              <w:rPr>
                <w:color w:val="7030A0"/>
              </w:rPr>
            </w:pPr>
          </w:p>
          <w:p w14:paraId="71C86D10" w14:textId="40C19EB1" w:rsidR="006E5F44" w:rsidRPr="000A1595" w:rsidRDefault="006E5F44" w:rsidP="006E5F44">
            <w:pPr>
              <w:rPr>
                <w:color w:val="7030A0"/>
              </w:rPr>
            </w:pPr>
            <w:r w:rsidRPr="000A1595">
              <w:rPr>
                <w:rFonts w:cs="Calibri"/>
                <w:color w:val="7030A0"/>
                <w:sz w:val="14"/>
                <w:szCs w:val="14"/>
              </w:rPr>
              <w:t>AASB 15.123</w:t>
            </w:r>
          </w:p>
        </w:tc>
        <w:tc>
          <w:tcPr>
            <w:tcW w:w="4265" w:type="pct"/>
            <w:tcBorders>
              <w:top w:val="nil"/>
              <w:left w:val="single" w:sz="2" w:space="0" w:color="auto"/>
              <w:bottom w:val="nil"/>
              <w:right w:val="nil"/>
            </w:tcBorders>
          </w:tcPr>
          <w:p w14:paraId="310D01DD" w14:textId="5F97D7C2" w:rsidR="00C15213" w:rsidRPr="000A1595" w:rsidRDefault="00C15213" w:rsidP="00F95AFF">
            <w:pPr>
              <w:pStyle w:val="Heading2"/>
              <w:numPr>
                <w:ilvl w:val="0"/>
                <w:numId w:val="0"/>
              </w:numPr>
              <w:spacing w:before="0" w:after="0"/>
              <w:jc w:val="both"/>
              <w:rPr>
                <w:rFonts w:ascii="Calibri" w:hAnsi="Calibri" w:cs="Calibri"/>
                <w:b w:val="0"/>
                <w:bCs w:val="0"/>
                <w:caps w:val="0"/>
                <w:sz w:val="18"/>
                <w:szCs w:val="18"/>
              </w:rPr>
            </w:pPr>
            <w:bookmarkStart w:id="327" w:name="_Hlk83757845"/>
            <w:bookmarkStart w:id="328" w:name="_Toc98763047"/>
            <w:r w:rsidRPr="000A1595">
              <w:rPr>
                <w:rFonts w:ascii="Calibri" w:hAnsi="Calibri" w:cs="Calibri"/>
                <w:b w:val="0"/>
                <w:bCs w:val="0"/>
                <w:caps w:val="0"/>
                <w:sz w:val="18"/>
                <w:szCs w:val="18"/>
              </w:rPr>
              <w:t>‘</w:t>
            </w:r>
            <w:r w:rsidR="001A6C09" w:rsidRPr="000A1595">
              <w:rPr>
                <w:rFonts w:ascii="Calibri" w:hAnsi="Calibri" w:cs="Calibri"/>
                <w:b w:val="0"/>
                <w:bCs w:val="0"/>
                <w:caps w:val="0"/>
                <w:sz w:val="18"/>
                <w:szCs w:val="18"/>
              </w:rPr>
              <w:t>Burley Griffin</w:t>
            </w:r>
            <w:r w:rsidRPr="000A1595">
              <w:rPr>
                <w:rFonts w:ascii="Calibri" w:hAnsi="Calibri" w:cs="Calibri"/>
                <w:b w:val="0"/>
                <w:bCs w:val="0"/>
                <w:caps w:val="0"/>
                <w:sz w:val="18"/>
                <w:szCs w:val="18"/>
              </w:rPr>
              <w:t xml:space="preserve"> Agency’ undertake</w:t>
            </w:r>
            <w:r w:rsidR="006C23AF" w:rsidRPr="000A1595">
              <w:rPr>
                <w:rFonts w:ascii="Calibri" w:hAnsi="Calibri" w:cs="Calibri"/>
                <w:b w:val="0"/>
                <w:bCs w:val="0"/>
                <w:caps w:val="0"/>
                <w:sz w:val="18"/>
                <w:szCs w:val="18"/>
              </w:rPr>
              <w:t>s</w:t>
            </w:r>
            <w:r w:rsidRPr="000A1595">
              <w:rPr>
                <w:rFonts w:ascii="Calibri" w:hAnsi="Calibri" w:cs="Calibri"/>
                <w:b w:val="0"/>
                <w:bCs w:val="0"/>
                <w:caps w:val="0"/>
                <w:sz w:val="18"/>
                <w:szCs w:val="18"/>
              </w:rPr>
              <w:t xml:space="preserve"> </w:t>
            </w:r>
            <w:r w:rsidR="006C23AF" w:rsidRPr="000A1595">
              <w:rPr>
                <w:rFonts w:ascii="Calibri" w:hAnsi="Calibri" w:cs="Calibri"/>
                <w:b w:val="0"/>
                <w:bCs w:val="0"/>
                <w:caps w:val="0"/>
                <w:sz w:val="18"/>
                <w:szCs w:val="18"/>
              </w:rPr>
              <w:t xml:space="preserve">an annual </w:t>
            </w:r>
            <w:r w:rsidRPr="000A1595">
              <w:rPr>
                <w:rFonts w:ascii="Calibri" w:hAnsi="Calibri" w:cs="Calibri"/>
                <w:b w:val="0"/>
                <w:bCs w:val="0"/>
                <w:caps w:val="0"/>
                <w:sz w:val="18"/>
                <w:szCs w:val="18"/>
              </w:rPr>
              <w:t>review to determine whether the goods and services it provides need to be classified as revenue from contracts with customers in accordance with AASB 15.</w:t>
            </w:r>
            <w:r w:rsidR="00FA7C77">
              <w:rPr>
                <w:rFonts w:ascii="Calibri" w:hAnsi="Calibri" w:cs="Calibri"/>
                <w:b w:val="0"/>
                <w:bCs w:val="0"/>
                <w:caps w:val="0"/>
                <w:sz w:val="18"/>
                <w:szCs w:val="18"/>
              </w:rPr>
              <w:t xml:space="preserve"> </w:t>
            </w:r>
            <w:r w:rsidRPr="000A1595">
              <w:rPr>
                <w:rFonts w:ascii="Calibri" w:hAnsi="Calibri" w:cs="Calibri"/>
                <w:b w:val="0"/>
                <w:bCs w:val="0"/>
                <w:caps w:val="0"/>
                <w:sz w:val="18"/>
                <w:szCs w:val="18"/>
              </w:rPr>
              <w:t>Th</w:t>
            </w:r>
            <w:r w:rsidR="00A53790" w:rsidRPr="000A1595">
              <w:rPr>
                <w:rFonts w:ascii="Calibri" w:hAnsi="Calibri" w:cs="Calibri"/>
                <w:b w:val="0"/>
                <w:bCs w:val="0"/>
                <w:caps w:val="0"/>
                <w:sz w:val="18"/>
                <w:szCs w:val="18"/>
              </w:rPr>
              <w:t>e</w:t>
            </w:r>
            <w:r w:rsidRPr="000A1595">
              <w:rPr>
                <w:rFonts w:ascii="Calibri" w:hAnsi="Calibri" w:cs="Calibri"/>
                <w:b w:val="0"/>
                <w:bCs w:val="0"/>
                <w:caps w:val="0"/>
                <w:sz w:val="18"/>
                <w:szCs w:val="18"/>
              </w:rPr>
              <w:t>s</w:t>
            </w:r>
            <w:r w:rsidR="00A53790" w:rsidRPr="000A1595">
              <w:rPr>
                <w:rFonts w:ascii="Calibri" w:hAnsi="Calibri" w:cs="Calibri"/>
                <w:b w:val="0"/>
                <w:bCs w:val="0"/>
                <w:caps w:val="0"/>
                <w:sz w:val="18"/>
                <w:szCs w:val="18"/>
              </w:rPr>
              <w:t>e</w:t>
            </w:r>
            <w:r w:rsidRPr="000A1595">
              <w:rPr>
                <w:rFonts w:ascii="Calibri" w:hAnsi="Calibri" w:cs="Calibri"/>
                <w:b w:val="0"/>
                <w:bCs w:val="0"/>
                <w:caps w:val="0"/>
                <w:sz w:val="18"/>
                <w:szCs w:val="18"/>
              </w:rPr>
              <w:t xml:space="preserve"> review</w:t>
            </w:r>
            <w:r w:rsidR="00A53790" w:rsidRPr="000A1595">
              <w:rPr>
                <w:rFonts w:ascii="Calibri" w:hAnsi="Calibri" w:cs="Calibri"/>
                <w:b w:val="0"/>
                <w:bCs w:val="0"/>
                <w:caps w:val="0"/>
                <w:sz w:val="18"/>
                <w:szCs w:val="18"/>
              </w:rPr>
              <w:t>s</w:t>
            </w:r>
            <w:r w:rsidRPr="000A1595">
              <w:rPr>
                <w:rFonts w:ascii="Calibri" w:hAnsi="Calibri" w:cs="Calibri"/>
                <w:b w:val="0"/>
                <w:bCs w:val="0"/>
                <w:caps w:val="0"/>
                <w:sz w:val="18"/>
                <w:szCs w:val="18"/>
              </w:rPr>
              <w:t xml:space="preserve"> involve contacting business units across ‘</w:t>
            </w:r>
            <w:r w:rsidR="001A6C09" w:rsidRPr="000A1595">
              <w:rPr>
                <w:rFonts w:ascii="Calibri" w:hAnsi="Calibri" w:cs="Calibri"/>
                <w:b w:val="0"/>
                <w:bCs w:val="0"/>
                <w:caps w:val="0"/>
                <w:sz w:val="18"/>
                <w:szCs w:val="18"/>
              </w:rPr>
              <w:t>Burley Griffin</w:t>
            </w:r>
            <w:r w:rsidRPr="000A1595">
              <w:rPr>
                <w:rFonts w:ascii="Calibri" w:hAnsi="Calibri" w:cs="Calibri"/>
                <w:b w:val="0"/>
                <w:bCs w:val="0"/>
                <w:caps w:val="0"/>
                <w:sz w:val="18"/>
                <w:szCs w:val="18"/>
              </w:rPr>
              <w:t xml:space="preserve"> Agency’ to obtain information </w:t>
            </w:r>
            <w:r w:rsidR="00A53790" w:rsidRPr="000A1595">
              <w:rPr>
                <w:rFonts w:ascii="Calibri" w:hAnsi="Calibri" w:cs="Calibri"/>
                <w:b w:val="0"/>
                <w:bCs w:val="0"/>
                <w:caps w:val="0"/>
                <w:sz w:val="18"/>
                <w:szCs w:val="18"/>
              </w:rPr>
              <w:t xml:space="preserve">primarily regarding any new </w:t>
            </w:r>
            <w:r w:rsidRPr="000A1595">
              <w:rPr>
                <w:rFonts w:ascii="Calibri" w:hAnsi="Calibri" w:cs="Calibri"/>
                <w:b w:val="0"/>
                <w:bCs w:val="0"/>
                <w:caps w:val="0"/>
                <w:sz w:val="18"/>
                <w:szCs w:val="18"/>
              </w:rPr>
              <w:t xml:space="preserve">contracts and other arrangements in order to make an assessment about whether </w:t>
            </w:r>
            <w:r w:rsidR="00A53790" w:rsidRPr="000A1595">
              <w:rPr>
                <w:rFonts w:ascii="Calibri" w:hAnsi="Calibri" w:cs="Calibri"/>
                <w:b w:val="0"/>
                <w:bCs w:val="0"/>
                <w:caps w:val="0"/>
                <w:sz w:val="18"/>
                <w:szCs w:val="18"/>
              </w:rPr>
              <w:t>they</w:t>
            </w:r>
            <w:r w:rsidRPr="000A1595">
              <w:rPr>
                <w:rFonts w:ascii="Calibri" w:hAnsi="Calibri" w:cs="Calibri"/>
                <w:b w:val="0"/>
                <w:bCs w:val="0"/>
                <w:caps w:val="0"/>
                <w:sz w:val="18"/>
                <w:szCs w:val="18"/>
              </w:rPr>
              <w:t xml:space="preserve"> fall within the scope of AASB 15.</w:t>
            </w:r>
            <w:r w:rsidR="00FA7C77">
              <w:rPr>
                <w:rFonts w:ascii="Calibri" w:hAnsi="Calibri" w:cs="Calibri"/>
                <w:b w:val="0"/>
                <w:bCs w:val="0"/>
                <w:caps w:val="0"/>
                <w:sz w:val="18"/>
                <w:szCs w:val="18"/>
              </w:rPr>
              <w:t xml:space="preserve"> </w:t>
            </w:r>
            <w:r w:rsidR="00A53790" w:rsidRPr="000A1595">
              <w:rPr>
                <w:rFonts w:ascii="Calibri" w:hAnsi="Calibri" w:cs="Calibri"/>
                <w:b w:val="0"/>
                <w:bCs w:val="0"/>
                <w:caps w:val="0"/>
                <w:sz w:val="18"/>
                <w:szCs w:val="18"/>
              </w:rPr>
              <w:t>The annual reviews also involve</w:t>
            </w:r>
            <w:r w:rsidR="006E4E03" w:rsidRPr="000A1595">
              <w:rPr>
                <w:rFonts w:ascii="Calibri" w:hAnsi="Calibri" w:cs="Calibri"/>
                <w:b w:val="0"/>
                <w:bCs w:val="0"/>
                <w:caps w:val="0"/>
                <w:sz w:val="18"/>
                <w:szCs w:val="18"/>
              </w:rPr>
              <w:t>s an assessment of any changes to existing contracts and other arrangements.</w:t>
            </w:r>
            <w:r w:rsidR="00FA7C77">
              <w:rPr>
                <w:rFonts w:ascii="Calibri" w:hAnsi="Calibri" w:cs="Calibri"/>
                <w:b w:val="0"/>
                <w:bCs w:val="0"/>
                <w:caps w:val="0"/>
                <w:sz w:val="18"/>
                <w:szCs w:val="18"/>
              </w:rPr>
              <w:t xml:space="preserve"> </w:t>
            </w:r>
            <w:r w:rsidRPr="000A1595">
              <w:rPr>
                <w:rFonts w:ascii="Calibri" w:hAnsi="Calibri" w:cs="Calibri"/>
                <w:b w:val="0"/>
                <w:bCs w:val="0"/>
                <w:caps w:val="0"/>
                <w:sz w:val="18"/>
                <w:szCs w:val="18"/>
              </w:rPr>
              <w:t>‘</w:t>
            </w:r>
            <w:r w:rsidR="001A6C09" w:rsidRPr="000A1595">
              <w:rPr>
                <w:rFonts w:ascii="Calibri" w:hAnsi="Calibri" w:cs="Calibri"/>
                <w:b w:val="0"/>
                <w:bCs w:val="0"/>
                <w:caps w:val="0"/>
                <w:sz w:val="18"/>
                <w:szCs w:val="18"/>
              </w:rPr>
              <w:t>Burley Griffin</w:t>
            </w:r>
            <w:r w:rsidRPr="000A1595">
              <w:rPr>
                <w:rFonts w:ascii="Calibri" w:hAnsi="Calibri" w:cs="Calibri"/>
                <w:b w:val="0"/>
                <w:bCs w:val="0"/>
                <w:caps w:val="0"/>
                <w:sz w:val="18"/>
                <w:szCs w:val="18"/>
              </w:rPr>
              <w:t xml:space="preserve"> Agency’ then assesse</w:t>
            </w:r>
            <w:r w:rsidR="006E4E03" w:rsidRPr="000A1595">
              <w:rPr>
                <w:rFonts w:ascii="Calibri" w:hAnsi="Calibri" w:cs="Calibri"/>
                <w:b w:val="0"/>
                <w:bCs w:val="0"/>
                <w:caps w:val="0"/>
                <w:sz w:val="18"/>
                <w:szCs w:val="18"/>
              </w:rPr>
              <w:t>s</w:t>
            </w:r>
            <w:r w:rsidRPr="000A1595">
              <w:rPr>
                <w:rFonts w:ascii="Calibri" w:hAnsi="Calibri" w:cs="Calibri"/>
                <w:b w:val="0"/>
                <w:bCs w:val="0"/>
                <w:caps w:val="0"/>
                <w:sz w:val="18"/>
                <w:szCs w:val="18"/>
              </w:rPr>
              <w:t xml:space="preserve"> its revenue from contracts with customers </w:t>
            </w:r>
            <w:r w:rsidR="00372E03" w:rsidRPr="000A1595">
              <w:rPr>
                <w:rFonts w:ascii="Calibri" w:hAnsi="Calibri" w:cs="Calibri"/>
                <w:b w:val="0"/>
                <w:bCs w:val="0"/>
                <w:caps w:val="0"/>
                <w:sz w:val="18"/>
                <w:szCs w:val="18"/>
              </w:rPr>
              <w:t>and uses k</w:t>
            </w:r>
            <w:r w:rsidR="006E4E03" w:rsidRPr="000A1595">
              <w:rPr>
                <w:rFonts w:ascii="Calibri" w:hAnsi="Calibri" w:cs="Calibri"/>
                <w:b w:val="0"/>
                <w:bCs w:val="0"/>
                <w:caps w:val="0"/>
                <w:sz w:val="18"/>
                <w:szCs w:val="18"/>
              </w:rPr>
              <w:t xml:space="preserve">ey judgements </w:t>
            </w:r>
            <w:r w:rsidR="00294AB5">
              <w:rPr>
                <w:rFonts w:ascii="Calibri" w:hAnsi="Calibri" w:cs="Calibri"/>
                <w:b w:val="0"/>
                <w:bCs w:val="0"/>
                <w:caps w:val="0"/>
                <w:sz w:val="18"/>
                <w:szCs w:val="18"/>
              </w:rPr>
              <w:t>in</w:t>
            </w:r>
            <w:r w:rsidR="006E4E03" w:rsidRPr="000A1595">
              <w:rPr>
                <w:rFonts w:ascii="Calibri" w:hAnsi="Calibri" w:cs="Calibri"/>
                <w:b w:val="0"/>
                <w:bCs w:val="0"/>
                <w:caps w:val="0"/>
                <w:sz w:val="18"/>
                <w:szCs w:val="18"/>
              </w:rPr>
              <w:t xml:space="preserve"> determining the satisfaction of performance obligations</w:t>
            </w:r>
            <w:r w:rsidR="000C4C28" w:rsidRPr="000A1595">
              <w:rPr>
                <w:rFonts w:ascii="Calibri" w:hAnsi="Calibri" w:cs="Calibri"/>
                <w:b w:val="0"/>
                <w:bCs w:val="0"/>
                <w:caps w:val="0"/>
                <w:sz w:val="18"/>
                <w:szCs w:val="18"/>
              </w:rPr>
              <w:t>.</w:t>
            </w:r>
            <w:r w:rsidR="00FA7C77">
              <w:rPr>
                <w:rFonts w:ascii="Calibri" w:hAnsi="Calibri" w:cs="Calibri"/>
                <w:b w:val="0"/>
                <w:bCs w:val="0"/>
                <w:caps w:val="0"/>
                <w:sz w:val="18"/>
                <w:szCs w:val="18"/>
              </w:rPr>
              <w:t xml:space="preserve"> </w:t>
            </w:r>
            <w:r w:rsidR="000C4C28" w:rsidRPr="000A1595">
              <w:rPr>
                <w:rFonts w:ascii="Calibri" w:hAnsi="Calibri" w:cs="Calibri"/>
                <w:b w:val="0"/>
                <w:bCs w:val="0"/>
                <w:caps w:val="0"/>
                <w:sz w:val="18"/>
                <w:szCs w:val="18"/>
              </w:rPr>
              <w:t xml:space="preserve">Key judgements are also used in </w:t>
            </w:r>
            <w:r w:rsidR="006E4E03" w:rsidRPr="000A1595">
              <w:rPr>
                <w:rFonts w:ascii="Calibri" w:hAnsi="Calibri" w:cs="Calibri"/>
                <w:b w:val="0"/>
                <w:bCs w:val="0"/>
                <w:caps w:val="0"/>
                <w:sz w:val="18"/>
                <w:szCs w:val="18"/>
              </w:rPr>
              <w:t>determining the transaction price and the amounts allocated to performance obligations.</w:t>
            </w:r>
            <w:r w:rsidR="00FA7C77">
              <w:rPr>
                <w:rFonts w:ascii="Calibri" w:hAnsi="Calibri" w:cs="Calibri"/>
                <w:b w:val="0"/>
                <w:bCs w:val="0"/>
                <w:caps w:val="0"/>
                <w:sz w:val="18"/>
                <w:szCs w:val="18"/>
              </w:rPr>
              <w:t xml:space="preserve"> </w:t>
            </w:r>
            <w:r w:rsidRPr="000A1595">
              <w:rPr>
                <w:rFonts w:ascii="Calibri" w:hAnsi="Calibri" w:cs="Calibri"/>
                <w:b w:val="0"/>
                <w:bCs w:val="0"/>
                <w:caps w:val="0"/>
                <w:sz w:val="18"/>
                <w:szCs w:val="18"/>
              </w:rPr>
              <w:t>As a result, ‘</w:t>
            </w:r>
            <w:r w:rsidR="001A6C09" w:rsidRPr="000A1595">
              <w:rPr>
                <w:rFonts w:ascii="Calibri" w:hAnsi="Calibri" w:cs="Calibri"/>
                <w:b w:val="0"/>
                <w:bCs w:val="0"/>
                <w:caps w:val="0"/>
                <w:sz w:val="18"/>
                <w:szCs w:val="18"/>
              </w:rPr>
              <w:t>Burley Griffin</w:t>
            </w:r>
            <w:r w:rsidRPr="000A1595">
              <w:rPr>
                <w:rFonts w:ascii="Calibri" w:hAnsi="Calibri" w:cs="Calibri"/>
                <w:b w:val="0"/>
                <w:bCs w:val="0"/>
                <w:caps w:val="0"/>
                <w:sz w:val="18"/>
                <w:szCs w:val="18"/>
              </w:rPr>
              <w:t xml:space="preserve"> Agency’ determined the goods and services to be classified as revenue from contracts with customers which have been included in this note as outlined below</w:t>
            </w:r>
            <w:bookmarkEnd w:id="327"/>
            <w:r w:rsidRPr="000A1595">
              <w:rPr>
                <w:rFonts w:ascii="Calibri" w:hAnsi="Calibri" w:cs="Calibri"/>
                <w:b w:val="0"/>
                <w:bCs w:val="0"/>
                <w:caps w:val="0"/>
                <w:sz w:val="18"/>
                <w:szCs w:val="18"/>
              </w:rPr>
              <w:t>:</w:t>
            </w:r>
            <w:bookmarkEnd w:id="328"/>
          </w:p>
        </w:tc>
      </w:tr>
      <w:bookmarkEnd w:id="325"/>
      <w:tr w:rsidR="00D7560C" w:rsidRPr="007E0503" w14:paraId="3438EBB3" w14:textId="77777777" w:rsidTr="002F4A89">
        <w:tc>
          <w:tcPr>
            <w:tcW w:w="735" w:type="pct"/>
            <w:tcBorders>
              <w:top w:val="nil"/>
              <w:left w:val="single" w:sz="2" w:space="0" w:color="auto"/>
              <w:bottom w:val="nil"/>
              <w:right w:val="single" w:sz="2" w:space="0" w:color="auto"/>
            </w:tcBorders>
          </w:tcPr>
          <w:p w14:paraId="62AD42FF" w14:textId="77777777" w:rsidR="00D7560C" w:rsidRPr="000A1595" w:rsidRDefault="00D7560C"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2BF013EB" w14:textId="27305CBF" w:rsidR="00D7560C" w:rsidRPr="000A1595" w:rsidRDefault="00D7560C" w:rsidP="00F95AFF">
            <w:pPr>
              <w:pStyle w:val="Heading2"/>
              <w:numPr>
                <w:ilvl w:val="0"/>
                <w:numId w:val="0"/>
              </w:numPr>
              <w:spacing w:before="120" w:after="0"/>
              <w:jc w:val="both"/>
              <w:rPr>
                <w:rFonts w:ascii="Calibri" w:hAnsi="Calibri" w:cs="Calibri"/>
                <w:b w:val="0"/>
                <w:bCs w:val="0"/>
                <w:caps w:val="0"/>
                <w:sz w:val="18"/>
                <w:szCs w:val="18"/>
              </w:rPr>
            </w:pPr>
            <w:bookmarkStart w:id="329" w:name="_Toc98763048"/>
            <w:r w:rsidRPr="000A1595">
              <w:rPr>
                <w:rFonts w:ascii="Calibri" w:hAnsi="Calibri" w:cs="Calibri"/>
                <w:b w:val="0"/>
                <w:bCs w:val="0"/>
                <w:i/>
                <w:iCs/>
                <w:caps w:val="0"/>
                <w:sz w:val="18"/>
                <w:szCs w:val="18"/>
              </w:rPr>
              <w:t>Sale of Goods</w:t>
            </w:r>
            <w:bookmarkEnd w:id="329"/>
          </w:p>
        </w:tc>
      </w:tr>
      <w:tr w:rsidR="00D7560C" w:rsidRPr="007E0503" w14:paraId="6B70CC6D" w14:textId="77777777" w:rsidTr="002F4A89">
        <w:tc>
          <w:tcPr>
            <w:tcW w:w="735" w:type="pct"/>
            <w:tcBorders>
              <w:top w:val="nil"/>
              <w:left w:val="single" w:sz="2" w:space="0" w:color="auto"/>
              <w:bottom w:val="nil"/>
              <w:right w:val="single" w:sz="2" w:space="0" w:color="auto"/>
            </w:tcBorders>
          </w:tcPr>
          <w:p w14:paraId="01D94DD0" w14:textId="77777777" w:rsidR="000155C0" w:rsidRPr="000A1595" w:rsidRDefault="000155C0" w:rsidP="000155C0">
            <w:pPr>
              <w:pStyle w:val="TableReference"/>
              <w:tabs>
                <w:tab w:val="left" w:pos="3306"/>
              </w:tabs>
              <w:spacing w:before="60"/>
              <w:rPr>
                <w:rFonts w:cs="Calibri"/>
                <w:color w:val="7030A0"/>
                <w:sz w:val="14"/>
                <w:szCs w:val="18"/>
              </w:rPr>
            </w:pPr>
            <w:r w:rsidRPr="000A1595">
              <w:rPr>
                <w:rFonts w:cs="Calibri"/>
                <w:color w:val="7030A0"/>
                <w:sz w:val="14"/>
              </w:rPr>
              <w:t>AASB 15.119</w:t>
            </w:r>
            <w:r w:rsidRPr="000A1595">
              <w:rPr>
                <w:rFonts w:cs="Calibri"/>
                <w:color w:val="7030A0"/>
                <w:sz w:val="14"/>
                <w:szCs w:val="18"/>
              </w:rPr>
              <w:t xml:space="preserve"> </w:t>
            </w:r>
          </w:p>
          <w:p w14:paraId="74DC5B90" w14:textId="088ACEC0" w:rsidR="00D7560C" w:rsidRPr="000A1595" w:rsidRDefault="000155C0" w:rsidP="000155C0">
            <w:pPr>
              <w:pStyle w:val="TableText"/>
              <w:tabs>
                <w:tab w:val="left" w:pos="3306"/>
              </w:tabs>
              <w:spacing w:before="120"/>
              <w:rPr>
                <w:rFonts w:cs="Calibri"/>
                <w:b/>
                <w:bCs/>
                <w:color w:val="7030A0"/>
                <w:sz w:val="14"/>
                <w:szCs w:val="14"/>
              </w:rPr>
            </w:pPr>
            <w:r w:rsidRPr="000A1595">
              <w:rPr>
                <w:rFonts w:cs="Calibri"/>
                <w:color w:val="7030A0"/>
                <w:sz w:val="14"/>
              </w:rPr>
              <w:t>AASB 15.125</w:t>
            </w:r>
          </w:p>
        </w:tc>
        <w:tc>
          <w:tcPr>
            <w:tcW w:w="4265" w:type="pct"/>
            <w:tcBorders>
              <w:top w:val="nil"/>
              <w:left w:val="single" w:sz="2" w:space="0" w:color="auto"/>
              <w:bottom w:val="nil"/>
              <w:right w:val="nil"/>
            </w:tcBorders>
          </w:tcPr>
          <w:p w14:paraId="44B19368" w14:textId="51D88E12" w:rsidR="00D7560C" w:rsidRPr="000A1595" w:rsidRDefault="00D7560C" w:rsidP="00F95AFF">
            <w:pPr>
              <w:pStyle w:val="Heading2"/>
              <w:numPr>
                <w:ilvl w:val="0"/>
                <w:numId w:val="0"/>
              </w:numPr>
              <w:spacing w:before="0" w:after="0"/>
              <w:jc w:val="both"/>
              <w:rPr>
                <w:rFonts w:ascii="Calibri" w:hAnsi="Calibri" w:cs="Calibri"/>
                <w:b w:val="0"/>
                <w:bCs w:val="0"/>
                <w:caps w:val="0"/>
                <w:sz w:val="18"/>
                <w:szCs w:val="18"/>
              </w:rPr>
            </w:pPr>
            <w:bookmarkStart w:id="330" w:name="_Toc98763049"/>
            <w:r w:rsidRPr="000A1595">
              <w:rPr>
                <w:rFonts w:ascii="Calibri" w:hAnsi="Calibri" w:cs="Calibri"/>
                <w:b w:val="0"/>
                <w:bCs w:val="0"/>
                <w:caps w:val="0"/>
                <w:sz w:val="18"/>
                <w:szCs w:val="18"/>
              </w:rPr>
              <w:t>This revenue stream relates to ‘</w:t>
            </w:r>
            <w:r w:rsidR="001A6C09" w:rsidRPr="000A1595">
              <w:rPr>
                <w:rFonts w:ascii="Calibri" w:hAnsi="Calibri" w:cs="Calibri"/>
                <w:b w:val="0"/>
                <w:bCs w:val="0"/>
                <w:caps w:val="0"/>
                <w:sz w:val="18"/>
                <w:szCs w:val="18"/>
              </w:rPr>
              <w:t>Burley Griffin</w:t>
            </w:r>
            <w:r w:rsidRPr="000A1595">
              <w:rPr>
                <w:rFonts w:ascii="Calibri" w:hAnsi="Calibri" w:cs="Calibri"/>
                <w:b w:val="0"/>
                <w:bCs w:val="0"/>
                <w:caps w:val="0"/>
                <w:sz w:val="18"/>
                <w:szCs w:val="18"/>
              </w:rPr>
              <w:t xml:space="preserve"> Agency’ selling various ACT </w:t>
            </w:r>
            <w:r w:rsidR="0067087D" w:rsidRPr="000A1595">
              <w:rPr>
                <w:rFonts w:ascii="Calibri" w:hAnsi="Calibri" w:cs="Calibri"/>
                <w:b w:val="0"/>
                <w:bCs w:val="0"/>
                <w:caps w:val="0"/>
                <w:sz w:val="18"/>
                <w:szCs w:val="18"/>
              </w:rPr>
              <w:t xml:space="preserve">environmental </w:t>
            </w:r>
            <w:r w:rsidRPr="000A1595">
              <w:rPr>
                <w:rFonts w:ascii="Calibri" w:hAnsi="Calibri" w:cs="Calibri"/>
                <w:b w:val="0"/>
                <w:bCs w:val="0"/>
                <w:caps w:val="0"/>
                <w:sz w:val="18"/>
                <w:szCs w:val="18"/>
              </w:rPr>
              <w:t>merchandising to tourists visiting Canberra and to the ACT community.</w:t>
            </w:r>
            <w:r w:rsidR="000155C0" w:rsidRPr="000A1595">
              <w:rPr>
                <w:rFonts w:ascii="Calibri" w:hAnsi="Calibri" w:cs="Calibri"/>
                <w:b w:val="0"/>
                <w:bCs w:val="0"/>
                <w:caps w:val="0"/>
                <w:sz w:val="18"/>
                <w:szCs w:val="18"/>
              </w:rPr>
              <w:t xml:space="preserve"> Revenue is recognised at the transaction price when ‘</w:t>
            </w:r>
            <w:r w:rsidR="001A6C09" w:rsidRPr="000A1595">
              <w:rPr>
                <w:rFonts w:ascii="Calibri" w:hAnsi="Calibri" w:cs="Calibri"/>
                <w:b w:val="0"/>
                <w:bCs w:val="0"/>
                <w:caps w:val="0"/>
                <w:sz w:val="18"/>
                <w:szCs w:val="18"/>
              </w:rPr>
              <w:t>Burley Griffin</w:t>
            </w:r>
            <w:r w:rsidR="000155C0" w:rsidRPr="000A1595">
              <w:rPr>
                <w:rFonts w:ascii="Calibri" w:hAnsi="Calibri" w:cs="Calibri"/>
                <w:b w:val="0"/>
                <w:bCs w:val="0"/>
                <w:caps w:val="0"/>
                <w:sz w:val="18"/>
                <w:szCs w:val="18"/>
              </w:rPr>
              <w:t xml:space="preserve"> Agency’ transfers control of the goods to customers.</w:t>
            </w:r>
            <w:r w:rsidR="00FA7C77">
              <w:rPr>
                <w:rFonts w:ascii="Calibri" w:hAnsi="Calibri" w:cs="Calibri"/>
                <w:b w:val="0"/>
                <w:bCs w:val="0"/>
                <w:caps w:val="0"/>
                <w:sz w:val="18"/>
                <w:szCs w:val="18"/>
              </w:rPr>
              <w:t xml:space="preserve"> </w:t>
            </w:r>
            <w:r w:rsidR="000155C0" w:rsidRPr="000A1595">
              <w:rPr>
                <w:rFonts w:ascii="Calibri" w:hAnsi="Calibri" w:cs="Calibri"/>
                <w:b w:val="0"/>
                <w:bCs w:val="0"/>
                <w:caps w:val="0"/>
                <w:sz w:val="18"/>
                <w:szCs w:val="18"/>
              </w:rPr>
              <w:t xml:space="preserve">This occurs when the </w:t>
            </w:r>
            <w:r w:rsidR="0067087D" w:rsidRPr="000A1595">
              <w:rPr>
                <w:rFonts w:ascii="Calibri" w:hAnsi="Calibri" w:cs="Calibri"/>
                <w:b w:val="0"/>
                <w:bCs w:val="0"/>
                <w:caps w:val="0"/>
                <w:sz w:val="18"/>
                <w:szCs w:val="18"/>
              </w:rPr>
              <w:t xml:space="preserve">environmental </w:t>
            </w:r>
            <w:r w:rsidR="000155C0" w:rsidRPr="000A1595">
              <w:rPr>
                <w:rFonts w:ascii="Calibri" w:hAnsi="Calibri" w:cs="Calibri"/>
                <w:b w:val="0"/>
                <w:bCs w:val="0"/>
                <w:caps w:val="0"/>
                <w:sz w:val="18"/>
                <w:szCs w:val="18"/>
              </w:rPr>
              <w:t>merchandising is sold to the customer and the transfer of physical possession to the customer occurs.</w:t>
            </w:r>
            <w:r w:rsidR="00FA7C77">
              <w:rPr>
                <w:rFonts w:ascii="Calibri" w:hAnsi="Calibri" w:cs="Calibri"/>
                <w:b w:val="0"/>
                <w:bCs w:val="0"/>
                <w:caps w:val="0"/>
                <w:sz w:val="18"/>
                <w:szCs w:val="18"/>
              </w:rPr>
              <w:t xml:space="preserve"> </w:t>
            </w:r>
            <w:r w:rsidR="000155C0" w:rsidRPr="000A1595">
              <w:rPr>
                <w:rFonts w:ascii="Calibri" w:hAnsi="Calibri" w:cs="Calibri"/>
                <w:b w:val="0"/>
                <w:bCs w:val="0"/>
                <w:caps w:val="0"/>
                <w:sz w:val="18"/>
                <w:szCs w:val="18"/>
              </w:rPr>
              <w:t xml:space="preserve">No volume discount </w:t>
            </w:r>
            <w:r w:rsidR="001F624C" w:rsidRPr="000A1595">
              <w:rPr>
                <w:rFonts w:ascii="Calibri" w:hAnsi="Calibri" w:cs="Calibri"/>
                <w:b w:val="0"/>
                <w:bCs w:val="0"/>
                <w:caps w:val="0"/>
                <w:sz w:val="18"/>
                <w:szCs w:val="18"/>
              </w:rPr>
              <w:t>is</w:t>
            </w:r>
            <w:r w:rsidR="000155C0" w:rsidRPr="000A1595">
              <w:rPr>
                <w:rFonts w:ascii="Calibri" w:hAnsi="Calibri" w:cs="Calibri"/>
                <w:b w:val="0"/>
                <w:bCs w:val="0"/>
                <w:caps w:val="0"/>
                <w:sz w:val="18"/>
                <w:szCs w:val="18"/>
              </w:rPr>
              <w:t xml:space="preserve"> provided.</w:t>
            </w:r>
            <w:r w:rsidR="00FA7C77">
              <w:rPr>
                <w:rFonts w:ascii="Calibri" w:hAnsi="Calibri" w:cs="Calibri"/>
                <w:b w:val="0"/>
                <w:bCs w:val="0"/>
                <w:caps w:val="0"/>
                <w:sz w:val="18"/>
                <w:szCs w:val="18"/>
              </w:rPr>
              <w:t xml:space="preserve"> </w:t>
            </w:r>
            <w:r w:rsidR="000155C0" w:rsidRPr="000A1595">
              <w:rPr>
                <w:rFonts w:ascii="Calibri" w:hAnsi="Calibri" w:cs="Calibri"/>
                <w:b w:val="0"/>
                <w:bCs w:val="0"/>
                <w:caps w:val="0"/>
                <w:sz w:val="18"/>
                <w:szCs w:val="18"/>
              </w:rPr>
              <w:t xml:space="preserve">Merchandising sold comes with the ability to return it within a 7-day period. </w:t>
            </w:r>
            <w:r w:rsidR="001F624C" w:rsidRPr="000A1595">
              <w:rPr>
                <w:rFonts w:ascii="Calibri" w:hAnsi="Calibri" w:cs="Calibri"/>
                <w:b w:val="0"/>
                <w:bCs w:val="0"/>
                <w:caps w:val="0"/>
                <w:sz w:val="18"/>
                <w:szCs w:val="18"/>
              </w:rPr>
              <w:t>G</w:t>
            </w:r>
            <w:r w:rsidR="000155C0" w:rsidRPr="000A1595">
              <w:rPr>
                <w:rFonts w:ascii="Calibri" w:hAnsi="Calibri" w:cs="Calibri"/>
                <w:b w:val="0"/>
                <w:bCs w:val="0"/>
                <w:caps w:val="0"/>
                <w:sz w:val="18"/>
                <w:szCs w:val="18"/>
              </w:rPr>
              <w:t>iven historical data shows that there is an immaterial amount of refunds for returned goods, the full selling price is recognised as revenue.</w:t>
            </w:r>
            <w:bookmarkEnd w:id="330"/>
          </w:p>
        </w:tc>
      </w:tr>
      <w:tr w:rsidR="00A23F18" w:rsidRPr="007E0503" w14:paraId="2AAFB98A" w14:textId="77777777" w:rsidTr="002F4A89">
        <w:tc>
          <w:tcPr>
            <w:tcW w:w="735" w:type="pct"/>
            <w:tcBorders>
              <w:top w:val="nil"/>
              <w:left w:val="single" w:sz="2" w:space="0" w:color="auto"/>
              <w:bottom w:val="nil"/>
              <w:right w:val="single" w:sz="2" w:space="0" w:color="auto"/>
            </w:tcBorders>
          </w:tcPr>
          <w:p w14:paraId="4C41905E" w14:textId="77777777" w:rsidR="00A23F18" w:rsidRPr="000A1595" w:rsidRDefault="00A23F18"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0A4C42EA" w14:textId="2F559959" w:rsidR="00A23F18" w:rsidRPr="000A1595" w:rsidRDefault="00A23F18" w:rsidP="003B77EE">
            <w:pPr>
              <w:pStyle w:val="Heading2"/>
              <w:numPr>
                <w:ilvl w:val="0"/>
                <w:numId w:val="0"/>
              </w:numPr>
              <w:spacing w:before="120" w:after="0"/>
              <w:jc w:val="both"/>
              <w:rPr>
                <w:rFonts w:ascii="Calibri" w:hAnsi="Calibri" w:cs="Calibri"/>
                <w:b w:val="0"/>
                <w:bCs w:val="0"/>
                <w:i/>
                <w:iCs/>
                <w:caps w:val="0"/>
                <w:sz w:val="18"/>
                <w:szCs w:val="18"/>
              </w:rPr>
            </w:pPr>
            <w:bookmarkStart w:id="331" w:name="_Toc98763050"/>
            <w:r w:rsidRPr="000A1595">
              <w:rPr>
                <w:rFonts w:ascii="Calibri" w:hAnsi="Calibri" w:cs="Calibri"/>
                <w:b w:val="0"/>
                <w:bCs w:val="0"/>
                <w:i/>
                <w:iCs/>
                <w:caps w:val="0"/>
                <w:sz w:val="18"/>
                <w:szCs w:val="18"/>
              </w:rPr>
              <w:t>Sale of Land</w:t>
            </w:r>
            <w:bookmarkEnd w:id="331"/>
          </w:p>
        </w:tc>
      </w:tr>
      <w:tr w:rsidR="00A23F18" w:rsidRPr="007E0503" w14:paraId="47062AA2" w14:textId="77777777" w:rsidTr="002F4A89">
        <w:tc>
          <w:tcPr>
            <w:tcW w:w="735" w:type="pct"/>
            <w:tcBorders>
              <w:top w:val="nil"/>
              <w:left w:val="single" w:sz="2" w:space="0" w:color="auto"/>
              <w:bottom w:val="nil"/>
              <w:right w:val="single" w:sz="2" w:space="0" w:color="auto"/>
            </w:tcBorders>
          </w:tcPr>
          <w:p w14:paraId="2515F45C" w14:textId="77777777" w:rsidR="00A23F18" w:rsidRPr="000A1595" w:rsidRDefault="00A23F18" w:rsidP="00A04CF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564C4529" w14:textId="1F0CDA27" w:rsidR="00A23F18" w:rsidRPr="000A1595" w:rsidRDefault="00A23F18" w:rsidP="00F95AFF">
            <w:pPr>
              <w:pStyle w:val="Heading2"/>
              <w:numPr>
                <w:ilvl w:val="0"/>
                <w:numId w:val="0"/>
              </w:numPr>
              <w:spacing w:before="0" w:after="0"/>
              <w:jc w:val="both"/>
              <w:rPr>
                <w:rFonts w:ascii="Calibri" w:hAnsi="Calibri" w:cs="Calibri"/>
                <w:b w:val="0"/>
                <w:bCs w:val="0"/>
                <w:caps w:val="0"/>
                <w:sz w:val="18"/>
                <w:szCs w:val="18"/>
              </w:rPr>
            </w:pPr>
            <w:bookmarkStart w:id="332" w:name="_Toc98763051"/>
            <w:r w:rsidRPr="000A1595">
              <w:rPr>
                <w:rFonts w:ascii="Calibri" w:hAnsi="Calibri" w:cs="Calibri"/>
                <w:b w:val="0"/>
                <w:bCs w:val="0"/>
                <w:caps w:val="0"/>
                <w:sz w:val="18"/>
                <w:szCs w:val="18"/>
              </w:rPr>
              <w:t>This revenue stream relates to ‘</w:t>
            </w:r>
            <w:r w:rsidR="001A6C09" w:rsidRPr="000A1595">
              <w:rPr>
                <w:rFonts w:ascii="Calibri" w:hAnsi="Calibri" w:cs="Calibri"/>
                <w:b w:val="0"/>
                <w:bCs w:val="0"/>
                <w:caps w:val="0"/>
                <w:sz w:val="18"/>
                <w:szCs w:val="18"/>
              </w:rPr>
              <w:t>Burley Griffin</w:t>
            </w:r>
            <w:r w:rsidRPr="000A1595">
              <w:rPr>
                <w:rFonts w:ascii="Calibri" w:hAnsi="Calibri" w:cs="Calibri"/>
                <w:b w:val="0"/>
                <w:bCs w:val="0"/>
                <w:caps w:val="0"/>
                <w:sz w:val="18"/>
                <w:szCs w:val="18"/>
              </w:rPr>
              <w:t xml:space="preserve"> Agency’ selling residential land to the public, selling commercial and industrial land to businesses and selling community land to community groups operating in the ACT.</w:t>
            </w:r>
            <w:r w:rsidR="00FA7C77">
              <w:rPr>
                <w:rFonts w:ascii="Calibri" w:hAnsi="Calibri" w:cs="Calibri"/>
                <w:b w:val="0"/>
                <w:bCs w:val="0"/>
                <w:caps w:val="0"/>
                <w:sz w:val="18"/>
                <w:szCs w:val="18"/>
              </w:rPr>
              <w:t xml:space="preserve"> </w:t>
            </w:r>
            <w:r w:rsidR="00514B94" w:rsidRPr="000A1595">
              <w:rPr>
                <w:rFonts w:ascii="Calibri" w:hAnsi="Calibri" w:cs="Calibri"/>
                <w:b w:val="0"/>
                <w:bCs w:val="0"/>
                <w:caps w:val="0"/>
                <w:sz w:val="18"/>
                <w:szCs w:val="18"/>
              </w:rPr>
              <w:t>Revenue is recognised by ‘</w:t>
            </w:r>
            <w:r w:rsidR="001A6C09" w:rsidRPr="000A1595">
              <w:rPr>
                <w:rFonts w:ascii="Calibri" w:hAnsi="Calibri" w:cs="Calibri"/>
                <w:b w:val="0"/>
                <w:bCs w:val="0"/>
                <w:caps w:val="0"/>
                <w:sz w:val="18"/>
                <w:szCs w:val="18"/>
              </w:rPr>
              <w:t>Burley Griffin</w:t>
            </w:r>
            <w:r w:rsidR="00514B94" w:rsidRPr="000A1595">
              <w:rPr>
                <w:rFonts w:ascii="Calibri" w:hAnsi="Calibri" w:cs="Calibri"/>
                <w:b w:val="0"/>
                <w:bCs w:val="0"/>
                <w:caps w:val="0"/>
                <w:sz w:val="18"/>
                <w:szCs w:val="18"/>
              </w:rPr>
              <w:t xml:space="preserve"> Agency’ when settlement occurs, because the purchaser has control of the land at this point in time.</w:t>
            </w:r>
            <w:r w:rsidR="00FA7C77">
              <w:rPr>
                <w:rFonts w:ascii="Calibri" w:hAnsi="Calibri" w:cs="Calibri"/>
                <w:b w:val="0"/>
                <w:bCs w:val="0"/>
                <w:caps w:val="0"/>
                <w:sz w:val="18"/>
                <w:szCs w:val="18"/>
              </w:rPr>
              <w:t xml:space="preserve"> </w:t>
            </w:r>
            <w:r w:rsidR="00514B94" w:rsidRPr="000A1595">
              <w:rPr>
                <w:rFonts w:ascii="Calibri" w:hAnsi="Calibri" w:cs="Calibri"/>
                <w:b w:val="0"/>
                <w:bCs w:val="0"/>
                <w:caps w:val="0"/>
                <w:sz w:val="18"/>
                <w:szCs w:val="18"/>
              </w:rPr>
              <w:t>That is, at settlement, the purchaser has legal title to the land, they obtain all the risks and rewards of ownership of the land and the purchaser can prevent others from accessing and directing the use of the land.</w:t>
            </w:r>
            <w:bookmarkEnd w:id="332"/>
          </w:p>
        </w:tc>
      </w:tr>
    </w:tbl>
    <w:p w14:paraId="4C4DB160" w14:textId="77777777" w:rsidR="00EC2F33" w:rsidRDefault="00EC2F33">
      <w:r>
        <w:br w:type="page"/>
      </w:r>
    </w:p>
    <w:tbl>
      <w:tblPr>
        <w:tblW w:w="5197"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9072"/>
      </w:tblGrid>
      <w:tr w:rsidR="00EC2F33" w:rsidRPr="007E0503" w14:paraId="56BC4A3B" w14:textId="77777777" w:rsidTr="002F4A89">
        <w:trPr>
          <w:cantSplit/>
        </w:trPr>
        <w:tc>
          <w:tcPr>
            <w:tcW w:w="735" w:type="pct"/>
            <w:tcBorders>
              <w:top w:val="nil"/>
              <w:left w:val="single" w:sz="2" w:space="0" w:color="auto"/>
              <w:bottom w:val="nil"/>
              <w:right w:val="single" w:sz="2" w:space="0" w:color="auto"/>
            </w:tcBorders>
          </w:tcPr>
          <w:p w14:paraId="3A725487" w14:textId="40A9C740" w:rsidR="00EC2F33" w:rsidRPr="00DA5048" w:rsidRDefault="00EC2F33" w:rsidP="00F22D61">
            <w:pPr>
              <w:pStyle w:val="TableText"/>
              <w:tabs>
                <w:tab w:val="left" w:pos="3306"/>
              </w:tabs>
              <w:spacing w:before="240" w:after="240"/>
              <w:rPr>
                <w:rFonts w:cs="Calibri"/>
                <w:b/>
                <w:bCs/>
                <w:color w:val="7030A0"/>
                <w:sz w:val="22"/>
                <w:szCs w:val="22"/>
              </w:rPr>
            </w:pPr>
            <w:r w:rsidRPr="00A35C64">
              <w:rPr>
                <w:rFonts w:cs="Calibri"/>
                <w:b/>
                <w:bCs/>
                <w:color w:val="7030A0"/>
                <w:sz w:val="22"/>
                <w:szCs w:val="22"/>
              </w:rPr>
              <w:t>Reference</w:t>
            </w:r>
          </w:p>
        </w:tc>
        <w:tc>
          <w:tcPr>
            <w:tcW w:w="4265" w:type="pct"/>
            <w:tcBorders>
              <w:top w:val="nil"/>
              <w:left w:val="single" w:sz="2" w:space="0" w:color="auto"/>
              <w:bottom w:val="nil"/>
              <w:right w:val="nil"/>
            </w:tcBorders>
          </w:tcPr>
          <w:p w14:paraId="4F219775" w14:textId="77777777" w:rsidR="00EC2F33" w:rsidRPr="00A35C64" w:rsidRDefault="00EC2F33" w:rsidP="00F22D61">
            <w:pPr>
              <w:pStyle w:val="Heading2"/>
              <w:numPr>
                <w:ilvl w:val="0"/>
                <w:numId w:val="0"/>
              </w:numPr>
              <w:spacing w:after="0"/>
              <w:ind w:left="174"/>
              <w:rPr>
                <w:rFonts w:ascii="Calibri" w:hAnsi="Calibri" w:cs="Calibri"/>
                <w:b w:val="0"/>
                <w:bCs w:val="0"/>
                <w:i/>
                <w:iCs/>
                <w:caps w:val="0"/>
                <w:sz w:val="18"/>
                <w:szCs w:val="18"/>
              </w:rPr>
            </w:pPr>
            <w:bookmarkStart w:id="333" w:name="_Toc98763052"/>
            <w:r w:rsidRPr="00A35C64">
              <w:rPr>
                <w:rFonts w:asciiTheme="minorHAnsi" w:hAnsiTheme="minorHAnsi" w:cstheme="minorHAnsi"/>
                <w:sz w:val="36"/>
                <w:szCs w:val="36"/>
              </w:rPr>
              <w:t>Note 5.</w:t>
            </w:r>
            <w:r>
              <w:rPr>
                <w:rFonts w:asciiTheme="minorHAnsi" w:hAnsiTheme="minorHAnsi" w:cstheme="minorHAnsi"/>
                <w:sz w:val="36"/>
                <w:szCs w:val="36"/>
              </w:rPr>
              <w:t xml:space="preserve"> </w:t>
            </w:r>
            <w:r w:rsidRPr="00A35C64">
              <w:rPr>
                <w:rFonts w:asciiTheme="minorHAnsi" w:hAnsiTheme="minorHAnsi" w:cstheme="minorHAnsi"/>
                <w:sz w:val="36"/>
                <w:szCs w:val="36"/>
              </w:rPr>
              <w:t>SaleS of Goods and Services from Contracts with Customers – Continued</w:t>
            </w:r>
            <w:bookmarkEnd w:id="333"/>
          </w:p>
        </w:tc>
      </w:tr>
      <w:tr w:rsidR="00EC2F33" w:rsidRPr="007E0503" w14:paraId="0A0964DF" w14:textId="77777777" w:rsidTr="002F4A89">
        <w:trPr>
          <w:cantSplit/>
        </w:trPr>
        <w:tc>
          <w:tcPr>
            <w:tcW w:w="735" w:type="pct"/>
            <w:tcBorders>
              <w:top w:val="nil"/>
              <w:left w:val="single" w:sz="2" w:space="0" w:color="auto"/>
              <w:bottom w:val="nil"/>
              <w:right w:val="single" w:sz="2" w:space="0" w:color="auto"/>
            </w:tcBorders>
          </w:tcPr>
          <w:p w14:paraId="75D98466" w14:textId="77777777" w:rsidR="00EC2F33" w:rsidRPr="000A1595" w:rsidRDefault="00EC2F33" w:rsidP="00DA5473">
            <w:pPr>
              <w:pStyle w:val="TableText"/>
              <w:tabs>
                <w:tab w:val="left" w:pos="3306"/>
              </w:tabs>
              <w:spacing w:before="0"/>
              <w:rPr>
                <w:rFonts w:cs="Calibri"/>
                <w:color w:val="7030A0"/>
                <w:sz w:val="14"/>
              </w:rPr>
            </w:pPr>
            <w:r w:rsidRPr="000A1595">
              <w:rPr>
                <w:rFonts w:cs="Calibri"/>
                <w:color w:val="7030A0"/>
                <w:sz w:val="14"/>
              </w:rPr>
              <w:t>AASB 15.119</w:t>
            </w:r>
          </w:p>
          <w:p w14:paraId="34B9292D" w14:textId="77777777" w:rsidR="00EC2F33" w:rsidRPr="000A1595" w:rsidRDefault="00EC2F33" w:rsidP="00DA5473">
            <w:pPr>
              <w:pStyle w:val="TableText"/>
              <w:tabs>
                <w:tab w:val="left" w:pos="3306"/>
              </w:tabs>
              <w:spacing w:before="0"/>
              <w:rPr>
                <w:rFonts w:cs="Calibri"/>
                <w:b/>
                <w:bCs/>
                <w:color w:val="7030A0"/>
                <w:sz w:val="14"/>
                <w:szCs w:val="14"/>
              </w:rPr>
            </w:pPr>
            <w:r w:rsidRPr="000A1595">
              <w:rPr>
                <w:rFonts w:cs="Calibri"/>
                <w:color w:val="7030A0"/>
                <w:sz w:val="14"/>
              </w:rPr>
              <w:t>AASB 15.124</w:t>
            </w:r>
          </w:p>
        </w:tc>
        <w:tc>
          <w:tcPr>
            <w:tcW w:w="4265" w:type="pct"/>
            <w:tcBorders>
              <w:top w:val="nil"/>
              <w:left w:val="single" w:sz="2" w:space="0" w:color="auto"/>
              <w:bottom w:val="nil"/>
              <w:right w:val="nil"/>
            </w:tcBorders>
          </w:tcPr>
          <w:p w14:paraId="3E6D8162" w14:textId="77777777" w:rsidR="00EC2F33" w:rsidRPr="000A1595" w:rsidRDefault="00EC2F33" w:rsidP="00DA5473">
            <w:pPr>
              <w:pStyle w:val="Heading2"/>
              <w:numPr>
                <w:ilvl w:val="0"/>
                <w:numId w:val="0"/>
              </w:numPr>
              <w:spacing w:before="120" w:after="0"/>
              <w:jc w:val="both"/>
              <w:rPr>
                <w:rFonts w:ascii="Calibri" w:hAnsi="Calibri" w:cs="Calibri"/>
                <w:b w:val="0"/>
                <w:bCs w:val="0"/>
                <w:i/>
                <w:iCs/>
                <w:caps w:val="0"/>
                <w:sz w:val="18"/>
                <w:szCs w:val="18"/>
              </w:rPr>
            </w:pPr>
            <w:bookmarkStart w:id="334" w:name="_Toc98763053"/>
            <w:r w:rsidRPr="000A1595">
              <w:rPr>
                <w:rFonts w:ascii="Calibri" w:hAnsi="Calibri" w:cs="Calibri"/>
                <w:b w:val="0"/>
                <w:bCs w:val="0"/>
                <w:i/>
                <w:iCs/>
                <w:caps w:val="0"/>
                <w:sz w:val="18"/>
                <w:szCs w:val="18"/>
              </w:rPr>
              <w:t>Services Revenue</w:t>
            </w:r>
            <w:bookmarkEnd w:id="334"/>
          </w:p>
        </w:tc>
      </w:tr>
      <w:tr w:rsidR="00EC2F33" w:rsidRPr="007E0503" w14:paraId="5644EF8C" w14:textId="77777777" w:rsidTr="002F4A89">
        <w:trPr>
          <w:cantSplit/>
        </w:trPr>
        <w:tc>
          <w:tcPr>
            <w:tcW w:w="735" w:type="pct"/>
            <w:tcBorders>
              <w:top w:val="nil"/>
              <w:left w:val="single" w:sz="2" w:space="0" w:color="auto"/>
              <w:bottom w:val="nil"/>
              <w:right w:val="single" w:sz="2" w:space="0" w:color="auto"/>
            </w:tcBorders>
          </w:tcPr>
          <w:p w14:paraId="256F7171" w14:textId="77777777" w:rsidR="00EC2F33" w:rsidRPr="000A1595" w:rsidRDefault="00EC2F33" w:rsidP="00DA5473">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3F5FB8E5" w14:textId="77777777" w:rsidR="00EC2F33" w:rsidRPr="000A1595" w:rsidRDefault="00EC2F33" w:rsidP="00DA5473">
            <w:pPr>
              <w:pStyle w:val="Heading2"/>
              <w:numPr>
                <w:ilvl w:val="0"/>
                <w:numId w:val="0"/>
              </w:numPr>
              <w:spacing w:before="120" w:after="40"/>
              <w:ind w:left="176"/>
              <w:jc w:val="both"/>
              <w:rPr>
                <w:rFonts w:ascii="Calibri" w:hAnsi="Calibri" w:cs="Calibri"/>
                <w:b w:val="0"/>
                <w:bCs w:val="0"/>
                <w:i/>
                <w:iCs/>
                <w:caps w:val="0"/>
                <w:sz w:val="18"/>
                <w:szCs w:val="18"/>
              </w:rPr>
            </w:pPr>
            <w:bookmarkStart w:id="335" w:name="_Toc98763054"/>
            <w:r w:rsidRPr="000A1595">
              <w:rPr>
                <w:rFonts w:ascii="Calibri" w:hAnsi="Calibri" w:cs="Calibri"/>
                <w:b w:val="0"/>
                <w:bCs w:val="0"/>
                <w:i/>
                <w:iCs/>
                <w:caps w:val="0"/>
                <w:sz w:val="18"/>
                <w:szCs w:val="18"/>
              </w:rPr>
              <w:t>Property Management Services</w:t>
            </w:r>
            <w:bookmarkEnd w:id="335"/>
          </w:p>
        </w:tc>
      </w:tr>
      <w:tr w:rsidR="00842B5D" w:rsidRPr="007E0503" w14:paraId="5E37D28C" w14:textId="77777777" w:rsidTr="002F4A89">
        <w:trPr>
          <w:cantSplit/>
        </w:trPr>
        <w:tc>
          <w:tcPr>
            <w:tcW w:w="735" w:type="pct"/>
            <w:tcBorders>
              <w:top w:val="nil"/>
              <w:left w:val="single" w:sz="2" w:space="0" w:color="auto"/>
              <w:bottom w:val="nil"/>
              <w:right w:val="single" w:sz="2" w:space="0" w:color="auto"/>
            </w:tcBorders>
          </w:tcPr>
          <w:p w14:paraId="206114FE" w14:textId="77777777" w:rsidR="00842B5D" w:rsidRPr="000A1595" w:rsidRDefault="00842B5D" w:rsidP="00842B5D">
            <w:pPr>
              <w:pStyle w:val="TableReference"/>
              <w:tabs>
                <w:tab w:val="left" w:pos="3306"/>
              </w:tabs>
              <w:spacing w:before="60"/>
              <w:rPr>
                <w:rFonts w:cs="Calibri"/>
                <w:color w:val="7030A0"/>
                <w:sz w:val="14"/>
              </w:rPr>
            </w:pPr>
            <w:r w:rsidRPr="000A1595">
              <w:rPr>
                <w:rFonts w:cs="Calibri"/>
                <w:color w:val="7030A0"/>
                <w:sz w:val="14"/>
              </w:rPr>
              <w:t>AASB 15.119</w:t>
            </w:r>
          </w:p>
          <w:p w14:paraId="010182E6" w14:textId="476F26B2" w:rsidR="00842B5D" w:rsidRPr="000A1595" w:rsidRDefault="00842B5D" w:rsidP="00842B5D">
            <w:pPr>
              <w:pStyle w:val="TableText"/>
              <w:tabs>
                <w:tab w:val="left" w:pos="3306"/>
              </w:tabs>
              <w:spacing w:before="120"/>
              <w:rPr>
                <w:rFonts w:cs="Calibri"/>
                <w:b/>
                <w:bCs/>
                <w:color w:val="7030A0"/>
                <w:sz w:val="14"/>
                <w:szCs w:val="14"/>
              </w:rPr>
            </w:pPr>
            <w:r w:rsidRPr="000A1595">
              <w:rPr>
                <w:rFonts w:cs="Calibri"/>
                <w:color w:val="7030A0"/>
                <w:sz w:val="14"/>
              </w:rPr>
              <w:t>AASB 15.125</w:t>
            </w:r>
          </w:p>
        </w:tc>
        <w:tc>
          <w:tcPr>
            <w:tcW w:w="4265" w:type="pct"/>
            <w:tcBorders>
              <w:top w:val="nil"/>
              <w:left w:val="single" w:sz="2" w:space="0" w:color="auto"/>
              <w:bottom w:val="nil"/>
              <w:right w:val="nil"/>
            </w:tcBorders>
          </w:tcPr>
          <w:p w14:paraId="3207543F" w14:textId="3808CC58" w:rsidR="00842B5D" w:rsidRPr="000A1595" w:rsidRDefault="00842B5D" w:rsidP="00842B5D">
            <w:pPr>
              <w:pStyle w:val="Heading2"/>
              <w:numPr>
                <w:ilvl w:val="0"/>
                <w:numId w:val="0"/>
              </w:numPr>
              <w:spacing w:before="0" w:after="0"/>
              <w:ind w:left="176"/>
              <w:jc w:val="both"/>
              <w:rPr>
                <w:rFonts w:ascii="Calibri" w:hAnsi="Calibri" w:cs="Calibri"/>
                <w:b w:val="0"/>
                <w:bCs w:val="0"/>
                <w:caps w:val="0"/>
                <w:sz w:val="18"/>
                <w:szCs w:val="18"/>
              </w:rPr>
            </w:pPr>
            <w:bookmarkStart w:id="336" w:name="_Toc98763055"/>
            <w:r w:rsidRPr="000A1595">
              <w:rPr>
                <w:rFonts w:ascii="Calibri" w:hAnsi="Calibri" w:cs="Calibri"/>
                <w:b w:val="0"/>
                <w:bCs w:val="0"/>
                <w:caps w:val="0"/>
                <w:sz w:val="18"/>
                <w:szCs w:val="18"/>
              </w:rPr>
              <w:t xml:space="preserve">This revenue stream relates to </w:t>
            </w:r>
            <w:bookmarkStart w:id="337" w:name="_Hlk90623795"/>
            <w:r w:rsidRPr="000A1595">
              <w:rPr>
                <w:rFonts w:ascii="Calibri" w:hAnsi="Calibri" w:cs="Calibri"/>
                <w:b w:val="0"/>
                <w:bCs w:val="0"/>
                <w:caps w:val="0"/>
                <w:sz w:val="18"/>
                <w:szCs w:val="18"/>
              </w:rPr>
              <w:t>property management services and includes the management of government owned commercial buildings, government office accommodation, multi-purpose buildings and leases of commercial buildings on behalf of the Territory.</w:t>
            </w:r>
            <w:bookmarkEnd w:id="337"/>
            <w:r w:rsidR="00FA7C77">
              <w:rPr>
                <w:rFonts w:ascii="Calibri" w:hAnsi="Calibri" w:cs="Calibri"/>
                <w:b w:val="0"/>
                <w:bCs w:val="0"/>
                <w:caps w:val="0"/>
                <w:sz w:val="18"/>
                <w:szCs w:val="18"/>
              </w:rPr>
              <w:t xml:space="preserve"> </w:t>
            </w:r>
            <w:r w:rsidRPr="000A1595">
              <w:rPr>
                <w:rFonts w:ascii="Calibri" w:hAnsi="Calibri" w:cs="Calibri"/>
                <w:b w:val="0"/>
                <w:bCs w:val="0"/>
                <w:caps w:val="0"/>
                <w:sz w:val="18"/>
                <w:szCs w:val="18"/>
              </w:rPr>
              <w:t xml:space="preserve">The property management services contracts are generally for </w:t>
            </w:r>
            <w:r w:rsidR="00EC2F33">
              <w:rPr>
                <w:rFonts w:ascii="Calibri" w:hAnsi="Calibri" w:cs="Calibri"/>
                <w:b w:val="0"/>
                <w:bCs w:val="0"/>
                <w:caps w:val="0"/>
                <w:sz w:val="18"/>
                <w:szCs w:val="18"/>
              </w:rPr>
              <w:t>three</w:t>
            </w:r>
            <w:r w:rsidRPr="000A1595">
              <w:rPr>
                <w:rFonts w:ascii="Calibri" w:hAnsi="Calibri" w:cs="Calibri"/>
                <w:b w:val="0"/>
                <w:bCs w:val="0"/>
                <w:caps w:val="0"/>
                <w:sz w:val="18"/>
                <w:szCs w:val="18"/>
              </w:rPr>
              <w:t xml:space="preserve"> years, are with other ACT Government Agencies, and the total charge for these services is based on a percentage of the rent.</w:t>
            </w:r>
            <w:r w:rsidR="00FA7C77">
              <w:rPr>
                <w:rFonts w:ascii="Calibri" w:hAnsi="Calibri" w:cs="Calibri"/>
                <w:b w:val="0"/>
                <w:bCs w:val="0"/>
                <w:caps w:val="0"/>
                <w:sz w:val="18"/>
                <w:szCs w:val="18"/>
              </w:rPr>
              <w:t xml:space="preserve"> </w:t>
            </w:r>
            <w:r w:rsidRPr="000A1595">
              <w:rPr>
                <w:rFonts w:ascii="Calibri" w:hAnsi="Calibri" w:cs="Calibri"/>
                <w:b w:val="0"/>
                <w:bCs w:val="0"/>
                <w:caps w:val="0"/>
                <w:sz w:val="18"/>
                <w:szCs w:val="18"/>
              </w:rPr>
              <w:t>All these contracts have the same or similar terms and conditions.</w:t>
            </w:r>
            <w:r w:rsidR="00FA7C77">
              <w:rPr>
                <w:rFonts w:ascii="Calibri" w:hAnsi="Calibri" w:cs="Calibri"/>
                <w:b w:val="0"/>
                <w:bCs w:val="0"/>
                <w:caps w:val="0"/>
                <w:sz w:val="18"/>
                <w:szCs w:val="18"/>
              </w:rPr>
              <w:t xml:space="preserve"> </w:t>
            </w:r>
            <w:r w:rsidRPr="000A1595">
              <w:rPr>
                <w:rFonts w:ascii="Calibri" w:hAnsi="Calibri" w:cs="Calibri"/>
                <w:b w:val="0"/>
                <w:bCs w:val="0"/>
                <w:caps w:val="0"/>
                <w:sz w:val="18"/>
                <w:szCs w:val="18"/>
              </w:rPr>
              <w:t>The contracts outline that the property management service revenue stream is made up of a number of activities comprising maintenance, cleaning, security and landscaping.</w:t>
            </w:r>
            <w:r w:rsidR="00FA7C77">
              <w:rPr>
                <w:rFonts w:ascii="Calibri" w:hAnsi="Calibri" w:cs="Calibri"/>
                <w:b w:val="0"/>
                <w:bCs w:val="0"/>
                <w:caps w:val="0"/>
                <w:sz w:val="18"/>
                <w:szCs w:val="18"/>
              </w:rPr>
              <w:t xml:space="preserve"> </w:t>
            </w:r>
            <w:r w:rsidRPr="000A1595">
              <w:rPr>
                <w:rFonts w:ascii="Calibri" w:hAnsi="Calibri" w:cs="Calibri"/>
                <w:b w:val="0"/>
                <w:bCs w:val="0"/>
                <w:caps w:val="0"/>
                <w:sz w:val="18"/>
                <w:szCs w:val="18"/>
              </w:rPr>
              <w:t>‘Burley Griffin Agency’ concluded that these activities are not distinct within the context of the contract because the performance obligation is to ensure the property is open and operating as intended each month over the term of the contract.</w:t>
            </w:r>
            <w:r w:rsidR="00FA7C77">
              <w:rPr>
                <w:rFonts w:ascii="Calibri" w:hAnsi="Calibri" w:cs="Calibri"/>
                <w:b w:val="0"/>
                <w:bCs w:val="0"/>
                <w:caps w:val="0"/>
                <w:sz w:val="18"/>
                <w:szCs w:val="18"/>
              </w:rPr>
              <w:t xml:space="preserve"> </w:t>
            </w:r>
            <w:r w:rsidRPr="000A1595">
              <w:rPr>
                <w:rFonts w:ascii="Calibri" w:hAnsi="Calibri" w:cs="Calibri"/>
                <w:b w:val="0"/>
                <w:bCs w:val="0"/>
                <w:caps w:val="0"/>
                <w:sz w:val="18"/>
                <w:szCs w:val="18"/>
              </w:rPr>
              <w:t>The other ACT Government agencies that are obtaining these property management services receive and consume the benefits of each activity when they are provided on a monthly basis, and as such, revenue is recognised on a monthly basis.</w:t>
            </w:r>
            <w:bookmarkEnd w:id="336"/>
          </w:p>
        </w:tc>
      </w:tr>
      <w:tr w:rsidR="00D7560C" w:rsidRPr="007E0503" w14:paraId="543585F3" w14:textId="77777777" w:rsidTr="002F4A89">
        <w:trPr>
          <w:cantSplit/>
        </w:trPr>
        <w:tc>
          <w:tcPr>
            <w:tcW w:w="735" w:type="pct"/>
            <w:tcBorders>
              <w:top w:val="nil"/>
              <w:left w:val="single" w:sz="2" w:space="0" w:color="auto"/>
              <w:bottom w:val="nil"/>
              <w:right w:val="single" w:sz="2" w:space="0" w:color="auto"/>
            </w:tcBorders>
          </w:tcPr>
          <w:p w14:paraId="368A5975" w14:textId="77777777" w:rsidR="00D7560C" w:rsidRPr="00DB02DF" w:rsidRDefault="00D7560C" w:rsidP="00A04CF4">
            <w:pPr>
              <w:pStyle w:val="TableText"/>
              <w:tabs>
                <w:tab w:val="left" w:pos="3306"/>
              </w:tabs>
              <w:spacing w:before="120"/>
              <w:rPr>
                <w:rFonts w:cs="Calibri"/>
                <w:b/>
                <w:bCs/>
                <w:sz w:val="14"/>
                <w:szCs w:val="14"/>
              </w:rPr>
            </w:pPr>
          </w:p>
        </w:tc>
        <w:tc>
          <w:tcPr>
            <w:tcW w:w="4265" w:type="pct"/>
            <w:tcBorders>
              <w:top w:val="nil"/>
              <w:left w:val="single" w:sz="2" w:space="0" w:color="auto"/>
              <w:bottom w:val="nil"/>
              <w:right w:val="nil"/>
            </w:tcBorders>
          </w:tcPr>
          <w:p w14:paraId="7496B1F2" w14:textId="38E535A8" w:rsidR="00D7560C" w:rsidRPr="000A1595" w:rsidRDefault="004871BD" w:rsidP="00F95AFF">
            <w:pPr>
              <w:pStyle w:val="Heading2"/>
              <w:numPr>
                <w:ilvl w:val="0"/>
                <w:numId w:val="0"/>
              </w:numPr>
              <w:spacing w:before="120" w:after="0"/>
              <w:ind w:left="174"/>
              <w:jc w:val="both"/>
              <w:rPr>
                <w:rFonts w:ascii="Calibri" w:hAnsi="Calibri" w:cs="Calibri"/>
                <w:b w:val="0"/>
                <w:bCs w:val="0"/>
                <w:i/>
                <w:iCs/>
                <w:caps w:val="0"/>
                <w:sz w:val="18"/>
                <w:szCs w:val="18"/>
              </w:rPr>
            </w:pPr>
            <w:bookmarkStart w:id="338" w:name="_Toc98763056"/>
            <w:r w:rsidRPr="000A1595">
              <w:rPr>
                <w:rFonts w:ascii="Calibri" w:hAnsi="Calibri" w:cs="Calibri"/>
                <w:b w:val="0"/>
                <w:bCs w:val="0"/>
                <w:i/>
                <w:iCs/>
                <w:caps w:val="0"/>
                <w:sz w:val="18"/>
                <w:szCs w:val="18"/>
              </w:rPr>
              <w:t>Facilities Management Services Revenue</w:t>
            </w:r>
            <w:bookmarkEnd w:id="338"/>
          </w:p>
        </w:tc>
      </w:tr>
      <w:tr w:rsidR="004871BD" w:rsidRPr="007E0503" w14:paraId="567D8E67" w14:textId="77777777" w:rsidTr="002F4A89">
        <w:trPr>
          <w:cantSplit/>
        </w:trPr>
        <w:tc>
          <w:tcPr>
            <w:tcW w:w="735" w:type="pct"/>
            <w:tcBorders>
              <w:top w:val="nil"/>
              <w:left w:val="single" w:sz="2" w:space="0" w:color="auto"/>
              <w:bottom w:val="nil"/>
              <w:right w:val="single" w:sz="2" w:space="0" w:color="auto"/>
            </w:tcBorders>
          </w:tcPr>
          <w:p w14:paraId="4EE38A5E" w14:textId="77777777" w:rsidR="004871BD" w:rsidRPr="00DB02DF" w:rsidRDefault="004871BD" w:rsidP="00A04CF4">
            <w:pPr>
              <w:pStyle w:val="TableText"/>
              <w:tabs>
                <w:tab w:val="left" w:pos="3306"/>
              </w:tabs>
              <w:spacing w:before="120"/>
              <w:rPr>
                <w:rFonts w:cs="Calibri"/>
                <w:b/>
                <w:bCs/>
                <w:sz w:val="14"/>
                <w:szCs w:val="14"/>
              </w:rPr>
            </w:pPr>
          </w:p>
        </w:tc>
        <w:tc>
          <w:tcPr>
            <w:tcW w:w="4265" w:type="pct"/>
            <w:tcBorders>
              <w:top w:val="nil"/>
              <w:left w:val="single" w:sz="2" w:space="0" w:color="auto"/>
              <w:bottom w:val="nil"/>
              <w:right w:val="nil"/>
            </w:tcBorders>
          </w:tcPr>
          <w:p w14:paraId="0A400E9F" w14:textId="36DD9102" w:rsidR="004871BD" w:rsidRPr="000A1595" w:rsidRDefault="0049065D" w:rsidP="00F95AFF">
            <w:pPr>
              <w:pStyle w:val="Heading2"/>
              <w:numPr>
                <w:ilvl w:val="0"/>
                <w:numId w:val="0"/>
              </w:numPr>
              <w:spacing w:before="0" w:after="0"/>
              <w:ind w:left="174"/>
              <w:jc w:val="both"/>
              <w:rPr>
                <w:rFonts w:ascii="Calibri" w:hAnsi="Calibri" w:cs="Calibri"/>
                <w:b w:val="0"/>
                <w:bCs w:val="0"/>
                <w:caps w:val="0"/>
                <w:sz w:val="18"/>
                <w:szCs w:val="18"/>
              </w:rPr>
            </w:pPr>
            <w:bookmarkStart w:id="339" w:name="_Toc98763057"/>
            <w:r w:rsidRPr="000A1595">
              <w:rPr>
                <w:rFonts w:ascii="Calibri" w:hAnsi="Calibri" w:cs="Calibri"/>
                <w:b w:val="0"/>
                <w:bCs w:val="0"/>
                <w:caps w:val="0"/>
                <w:sz w:val="18"/>
                <w:szCs w:val="18"/>
              </w:rPr>
              <w:t xml:space="preserve">This revenue stream relates to </w:t>
            </w:r>
            <w:r w:rsidR="004871BD" w:rsidRPr="000A1595">
              <w:rPr>
                <w:rFonts w:ascii="Calibri" w:hAnsi="Calibri" w:cs="Calibri"/>
                <w:b w:val="0"/>
                <w:bCs w:val="0"/>
                <w:caps w:val="0"/>
                <w:sz w:val="18"/>
                <w:szCs w:val="18"/>
              </w:rPr>
              <w:t>facilities management services</w:t>
            </w:r>
            <w:r w:rsidRPr="000A1595">
              <w:rPr>
                <w:rFonts w:ascii="Calibri" w:hAnsi="Calibri" w:cs="Calibri"/>
                <w:b w:val="0"/>
                <w:bCs w:val="0"/>
                <w:caps w:val="0"/>
                <w:sz w:val="18"/>
                <w:szCs w:val="18"/>
              </w:rPr>
              <w:t xml:space="preserve"> provided</w:t>
            </w:r>
            <w:r w:rsidR="004871BD" w:rsidRPr="000A1595">
              <w:rPr>
                <w:rFonts w:ascii="Calibri" w:hAnsi="Calibri" w:cs="Calibri"/>
                <w:b w:val="0"/>
                <w:bCs w:val="0"/>
                <w:caps w:val="0"/>
                <w:sz w:val="18"/>
                <w:szCs w:val="18"/>
              </w:rPr>
              <w:t xml:space="preserve"> to private sector clients.</w:t>
            </w:r>
            <w:r w:rsidR="00FA7C77">
              <w:rPr>
                <w:rFonts w:ascii="Calibri" w:hAnsi="Calibri" w:cs="Calibri"/>
                <w:b w:val="0"/>
                <w:bCs w:val="0"/>
                <w:caps w:val="0"/>
                <w:sz w:val="18"/>
                <w:szCs w:val="18"/>
              </w:rPr>
              <w:t xml:space="preserve"> </w:t>
            </w:r>
            <w:r w:rsidR="004871BD" w:rsidRPr="000A1595">
              <w:rPr>
                <w:rFonts w:ascii="Calibri" w:hAnsi="Calibri" w:cs="Calibri"/>
                <w:b w:val="0"/>
                <w:bCs w:val="0"/>
                <w:caps w:val="0"/>
                <w:sz w:val="18"/>
                <w:szCs w:val="18"/>
              </w:rPr>
              <w:t>Facilities management services involve building and equipment maintenance.</w:t>
            </w:r>
            <w:r w:rsidR="00FA7C77">
              <w:rPr>
                <w:rFonts w:ascii="Calibri" w:hAnsi="Calibri" w:cs="Calibri"/>
                <w:b w:val="0"/>
                <w:bCs w:val="0"/>
                <w:caps w:val="0"/>
                <w:sz w:val="18"/>
                <w:szCs w:val="18"/>
              </w:rPr>
              <w:t xml:space="preserve"> </w:t>
            </w:r>
            <w:r w:rsidR="00514B94" w:rsidRPr="000A1595">
              <w:rPr>
                <w:rFonts w:ascii="Calibri" w:hAnsi="Calibri" w:cs="Calibri"/>
                <w:b w:val="0"/>
                <w:bCs w:val="0"/>
                <w:caps w:val="0"/>
                <w:sz w:val="18"/>
                <w:szCs w:val="18"/>
              </w:rPr>
              <w:t>Control of the performance obligation is transferred at a point in time when the work is complete.</w:t>
            </w:r>
            <w:bookmarkEnd w:id="339"/>
          </w:p>
        </w:tc>
      </w:tr>
      <w:bookmarkEnd w:id="315"/>
      <w:tr w:rsidR="00483BA4" w:rsidRPr="007E0503" w14:paraId="554C667E" w14:textId="77777777" w:rsidTr="002F4A89">
        <w:trPr>
          <w:cantSplit/>
        </w:trPr>
        <w:tc>
          <w:tcPr>
            <w:tcW w:w="735" w:type="pct"/>
            <w:tcBorders>
              <w:top w:val="nil"/>
              <w:left w:val="single" w:sz="2" w:space="0" w:color="auto"/>
              <w:bottom w:val="nil"/>
              <w:right w:val="single" w:sz="2" w:space="0" w:color="auto"/>
            </w:tcBorders>
          </w:tcPr>
          <w:p w14:paraId="3E238522" w14:textId="340C295B" w:rsidR="00483BA4" w:rsidRPr="00A35C64" w:rsidRDefault="00DA5048" w:rsidP="00483BA4">
            <w:pPr>
              <w:pStyle w:val="TableText"/>
              <w:tabs>
                <w:tab w:val="left" w:pos="3306"/>
              </w:tabs>
              <w:spacing w:before="120"/>
              <w:rPr>
                <w:rFonts w:cs="Calibri"/>
                <w:b/>
                <w:bCs/>
                <w:color w:val="7030A0"/>
                <w:sz w:val="14"/>
                <w:szCs w:val="14"/>
              </w:rPr>
            </w:pPr>
            <w:r w:rsidRPr="00A35C64">
              <w:rPr>
                <w:color w:val="7030A0"/>
                <w:sz w:val="14"/>
                <w:szCs w:val="14"/>
              </w:rPr>
              <w:t>AASB 15.113(a)</w:t>
            </w:r>
          </w:p>
        </w:tc>
        <w:tc>
          <w:tcPr>
            <w:tcW w:w="4265" w:type="pct"/>
            <w:tcBorders>
              <w:top w:val="nil"/>
              <w:left w:val="single" w:sz="2" w:space="0" w:color="auto"/>
              <w:bottom w:val="nil"/>
              <w:right w:val="nil"/>
            </w:tcBorders>
          </w:tcPr>
          <w:p w14:paraId="73B72D29" w14:textId="7F744018" w:rsidR="00483BA4" w:rsidRPr="00A35C64" w:rsidRDefault="00483BA4" w:rsidP="00483BA4">
            <w:pPr>
              <w:pStyle w:val="Heading2"/>
              <w:numPr>
                <w:ilvl w:val="0"/>
                <w:numId w:val="0"/>
              </w:numPr>
              <w:spacing w:before="120" w:after="0"/>
              <w:ind w:left="174"/>
              <w:jc w:val="both"/>
              <w:rPr>
                <w:rFonts w:ascii="Calibri" w:hAnsi="Calibri" w:cs="Calibri"/>
                <w:b w:val="0"/>
                <w:bCs w:val="0"/>
                <w:i/>
                <w:iCs/>
                <w:caps w:val="0"/>
                <w:sz w:val="18"/>
                <w:szCs w:val="18"/>
              </w:rPr>
            </w:pPr>
            <w:bookmarkStart w:id="340" w:name="_Toc98763058"/>
            <w:r w:rsidRPr="00A35C64">
              <w:rPr>
                <w:rFonts w:ascii="Calibri" w:hAnsi="Calibri" w:cs="Calibri"/>
                <w:b w:val="0"/>
                <w:bCs w:val="0"/>
                <w:i/>
                <w:iCs/>
                <w:caps w:val="0"/>
                <w:sz w:val="18"/>
                <w:szCs w:val="18"/>
              </w:rPr>
              <w:t>Event Revenue</w:t>
            </w:r>
            <w:bookmarkEnd w:id="340"/>
          </w:p>
        </w:tc>
      </w:tr>
      <w:tr w:rsidR="00483BA4" w:rsidRPr="007E0503" w14:paraId="39854347" w14:textId="77777777" w:rsidTr="002F4A89">
        <w:trPr>
          <w:cantSplit/>
        </w:trPr>
        <w:tc>
          <w:tcPr>
            <w:tcW w:w="735" w:type="pct"/>
            <w:tcBorders>
              <w:top w:val="nil"/>
              <w:left w:val="single" w:sz="2" w:space="0" w:color="auto"/>
              <w:bottom w:val="nil"/>
              <w:right w:val="single" w:sz="2" w:space="0" w:color="auto"/>
            </w:tcBorders>
          </w:tcPr>
          <w:p w14:paraId="37865857"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0F4DBD02" w14:textId="77777777" w:rsidR="00483BA4" w:rsidRDefault="00483BA4" w:rsidP="00483BA4">
            <w:pPr>
              <w:pStyle w:val="Heading2"/>
              <w:numPr>
                <w:ilvl w:val="0"/>
                <w:numId w:val="0"/>
              </w:numPr>
              <w:spacing w:before="0" w:after="0"/>
              <w:ind w:left="174"/>
              <w:jc w:val="both"/>
              <w:rPr>
                <w:rFonts w:ascii="Calibri" w:hAnsi="Calibri" w:cs="Calibri"/>
                <w:b w:val="0"/>
                <w:bCs w:val="0"/>
                <w:caps w:val="0"/>
                <w:sz w:val="18"/>
                <w:szCs w:val="18"/>
              </w:rPr>
            </w:pPr>
            <w:bookmarkStart w:id="341" w:name="_Toc98763059"/>
            <w:r w:rsidRPr="00A35C64">
              <w:rPr>
                <w:rFonts w:ascii="Calibri" w:hAnsi="Calibri" w:cs="Calibri"/>
                <w:b w:val="0"/>
                <w:bCs w:val="0"/>
                <w:caps w:val="0"/>
                <w:sz w:val="18"/>
                <w:szCs w:val="18"/>
              </w:rPr>
              <w:t>This revenue stream relates to the promotion and management of major sporting events at venues including ‘Example Stadium’ and ‘Example Oval’.</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A major event is considered to be a match or feature that is a national or international fixture.</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Major sporting events promoted and managed by ‘Burley Griffin Agency’ include rugby, cricket and soccer matches.</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All contracts for these three sporting events have similar terms and conditions and involve ‘Burley Griffin Agency’ providing ticketing services, negotiating advertising signage at the ground, advertising the event through various types of media, and providing game day logistics, catering and cleaning.</w:t>
            </w:r>
            <w:bookmarkEnd w:id="341"/>
            <w:r w:rsidR="00FA7C77">
              <w:rPr>
                <w:rFonts w:ascii="Calibri" w:hAnsi="Calibri" w:cs="Calibri"/>
                <w:b w:val="0"/>
                <w:bCs w:val="0"/>
                <w:caps w:val="0"/>
                <w:sz w:val="18"/>
                <w:szCs w:val="18"/>
              </w:rPr>
              <w:t xml:space="preserve"> </w:t>
            </w:r>
          </w:p>
          <w:p w14:paraId="37F7D3CD" w14:textId="676B028D" w:rsidR="00EC2F33" w:rsidRPr="00EC2F33" w:rsidRDefault="00EC2F33" w:rsidP="00EC2F33"/>
        </w:tc>
      </w:tr>
      <w:tr w:rsidR="00483BA4" w:rsidRPr="007E0503" w14:paraId="5AD0CF4F" w14:textId="77777777" w:rsidTr="002F4A89">
        <w:trPr>
          <w:cantSplit/>
        </w:trPr>
        <w:tc>
          <w:tcPr>
            <w:tcW w:w="735" w:type="pct"/>
            <w:tcBorders>
              <w:top w:val="nil"/>
              <w:left w:val="single" w:sz="2" w:space="0" w:color="auto"/>
              <w:bottom w:val="nil"/>
              <w:right w:val="single" w:sz="2" w:space="0" w:color="auto"/>
            </w:tcBorders>
          </w:tcPr>
          <w:p w14:paraId="3A94CDA6"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79A21A1D" w14:textId="4667D9F7" w:rsidR="00483BA4" w:rsidRPr="00A35C64" w:rsidRDefault="00483BA4" w:rsidP="00483BA4">
            <w:pPr>
              <w:pStyle w:val="Heading2"/>
              <w:numPr>
                <w:ilvl w:val="0"/>
                <w:numId w:val="0"/>
              </w:numPr>
              <w:spacing w:before="0" w:after="0"/>
              <w:ind w:left="174"/>
              <w:jc w:val="both"/>
              <w:rPr>
                <w:rFonts w:ascii="Calibri" w:hAnsi="Calibri" w:cs="Calibri"/>
                <w:b w:val="0"/>
                <w:bCs w:val="0"/>
                <w:caps w:val="0"/>
                <w:sz w:val="18"/>
                <w:szCs w:val="18"/>
              </w:rPr>
            </w:pPr>
            <w:bookmarkStart w:id="342" w:name="_Toc98763060"/>
            <w:r w:rsidRPr="00A35C64">
              <w:rPr>
                <w:rFonts w:ascii="Calibri" w:hAnsi="Calibri" w:cs="Calibri"/>
                <w:b w:val="0"/>
                <w:bCs w:val="0"/>
                <w:caps w:val="0"/>
                <w:sz w:val="18"/>
                <w:szCs w:val="18"/>
              </w:rPr>
              <w:t>Event revenue contracts contain four performance obligations, each of which are satisfied at a point in time upon completion.</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The first performance obligation is upon signing the contract to run a major event and at this point 10% of the contract revenue is payable to ‘Burley Griffin Agency’ so this revenue is recognised at this point.</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The second performance obligation is upon the completion of signage negotiations which is required to be completed two weeks before the event.</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At this point a further 20% of contract revenue is recognised.</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The third performance obligation relates to ticketing and advertising and is required to commence one month from the event and finish the day before the event.</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At this point a further 30% of contract revenue is recognised evenly over this one-month period.</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The fourth performance obligation relates to the game day logistics, catering and cleaning.</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The final 40% of the contract revenue is recognised on the day of the event.</w:t>
            </w:r>
            <w:bookmarkEnd w:id="342"/>
          </w:p>
        </w:tc>
      </w:tr>
      <w:tr w:rsidR="00483BA4" w:rsidRPr="007E0503" w14:paraId="3458C367" w14:textId="77777777" w:rsidTr="002F4A89">
        <w:trPr>
          <w:cantSplit/>
        </w:trPr>
        <w:tc>
          <w:tcPr>
            <w:tcW w:w="735" w:type="pct"/>
            <w:tcBorders>
              <w:top w:val="nil"/>
              <w:left w:val="single" w:sz="2" w:space="0" w:color="auto"/>
              <w:bottom w:val="nil"/>
              <w:right w:val="single" w:sz="2" w:space="0" w:color="auto"/>
            </w:tcBorders>
          </w:tcPr>
          <w:p w14:paraId="6E8660A7"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3436C60E" w14:textId="09179182" w:rsidR="00483BA4" w:rsidRPr="00A35C64" w:rsidRDefault="00483BA4" w:rsidP="00483BA4">
            <w:pPr>
              <w:pStyle w:val="Heading2"/>
              <w:numPr>
                <w:ilvl w:val="0"/>
                <w:numId w:val="0"/>
              </w:numPr>
              <w:spacing w:before="120" w:after="0"/>
              <w:ind w:left="174"/>
              <w:jc w:val="both"/>
              <w:rPr>
                <w:rFonts w:ascii="Calibri" w:hAnsi="Calibri" w:cs="Calibri"/>
                <w:b w:val="0"/>
                <w:bCs w:val="0"/>
                <w:caps w:val="0"/>
                <w:sz w:val="18"/>
                <w:szCs w:val="18"/>
              </w:rPr>
            </w:pPr>
            <w:bookmarkStart w:id="343" w:name="_Toc98763061"/>
            <w:r w:rsidRPr="00A35C64">
              <w:rPr>
                <w:rFonts w:ascii="Calibri" w:hAnsi="Calibri" w:cs="Calibri"/>
                <w:b w:val="0"/>
                <w:bCs w:val="0"/>
                <w:i/>
                <w:iCs/>
                <w:caps w:val="0"/>
                <w:sz w:val="18"/>
                <w:szCs w:val="18"/>
              </w:rPr>
              <w:t>Fare Revenue</w:t>
            </w:r>
            <w:bookmarkEnd w:id="343"/>
          </w:p>
        </w:tc>
      </w:tr>
      <w:tr w:rsidR="00483BA4" w:rsidRPr="007E0503" w14:paraId="35C3471E" w14:textId="77777777" w:rsidTr="002F4A89">
        <w:trPr>
          <w:cantSplit/>
        </w:trPr>
        <w:tc>
          <w:tcPr>
            <w:tcW w:w="735" w:type="pct"/>
            <w:tcBorders>
              <w:top w:val="nil"/>
              <w:left w:val="single" w:sz="2" w:space="0" w:color="auto"/>
              <w:bottom w:val="nil"/>
              <w:right w:val="single" w:sz="2" w:space="0" w:color="auto"/>
            </w:tcBorders>
          </w:tcPr>
          <w:p w14:paraId="2644F975"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3F22D146" w14:textId="3A11DC23" w:rsidR="00483BA4" w:rsidRPr="00A35C64" w:rsidRDefault="00483BA4" w:rsidP="00483BA4">
            <w:pPr>
              <w:ind w:left="174"/>
              <w:jc w:val="both"/>
              <w:rPr>
                <w:rFonts w:cs="Calibri"/>
                <w:sz w:val="18"/>
                <w:szCs w:val="18"/>
              </w:rPr>
            </w:pPr>
            <w:r w:rsidRPr="00A35C64">
              <w:rPr>
                <w:rFonts w:cs="Calibri"/>
                <w:sz w:val="18"/>
                <w:szCs w:val="18"/>
              </w:rPr>
              <w:t>This revenue stream relates to fare revenue from the provision of public transport services. ‘Burley Griffin Agency’ recognises fare revenue from buses but has provided ‘</w:t>
            </w:r>
            <w:r w:rsidRPr="00A35C64">
              <w:rPr>
                <w:sz w:val="18"/>
                <w:szCs w:val="18"/>
              </w:rPr>
              <w:t>Example Metro’ with a right to charge third-party users of the light rail and as such ‘Burley Griffin Agency’ does not recognise revenue from light rail services.</w:t>
            </w:r>
            <w:r w:rsidR="00FA7C77">
              <w:rPr>
                <w:sz w:val="18"/>
                <w:szCs w:val="18"/>
              </w:rPr>
              <w:t xml:space="preserve"> </w:t>
            </w:r>
            <w:r w:rsidRPr="00A35C64">
              <w:rPr>
                <w:rFonts w:cs="Calibri"/>
                <w:sz w:val="18"/>
                <w:szCs w:val="18"/>
              </w:rPr>
              <w:t>The performance obligation is the provision of public transport services to the customer. Fares revenue is recognised when customers board the bus.</w:t>
            </w:r>
          </w:p>
        </w:tc>
      </w:tr>
      <w:tr w:rsidR="00483BA4" w:rsidRPr="007E0503" w14:paraId="493B0701" w14:textId="77777777" w:rsidTr="002F4A89">
        <w:trPr>
          <w:cantSplit/>
        </w:trPr>
        <w:tc>
          <w:tcPr>
            <w:tcW w:w="735" w:type="pct"/>
            <w:tcBorders>
              <w:top w:val="nil"/>
              <w:left w:val="single" w:sz="2" w:space="0" w:color="auto"/>
              <w:bottom w:val="nil"/>
              <w:right w:val="single" w:sz="2" w:space="0" w:color="auto"/>
            </w:tcBorders>
          </w:tcPr>
          <w:p w14:paraId="1843C797" w14:textId="77777777" w:rsidR="00483BA4" w:rsidRPr="00A35C64" w:rsidRDefault="00483BA4" w:rsidP="00483BA4">
            <w:pPr>
              <w:pStyle w:val="TableText"/>
              <w:tabs>
                <w:tab w:val="left" w:pos="3306"/>
              </w:tabs>
              <w:spacing w:before="120"/>
              <w:rPr>
                <w:rFonts w:cs="Calibri"/>
                <w:b/>
                <w:bCs/>
                <w:color w:val="7030A0"/>
                <w:sz w:val="14"/>
                <w:szCs w:val="14"/>
              </w:rPr>
            </w:pPr>
          </w:p>
        </w:tc>
        <w:tc>
          <w:tcPr>
            <w:tcW w:w="4265" w:type="pct"/>
            <w:tcBorders>
              <w:top w:val="nil"/>
              <w:left w:val="single" w:sz="2" w:space="0" w:color="auto"/>
              <w:bottom w:val="nil"/>
              <w:right w:val="nil"/>
            </w:tcBorders>
          </w:tcPr>
          <w:p w14:paraId="7B4CB7FB" w14:textId="02EDF9CA" w:rsidR="00483BA4" w:rsidRPr="00A35C64" w:rsidRDefault="00483BA4" w:rsidP="00483BA4">
            <w:pPr>
              <w:spacing w:before="120"/>
              <w:jc w:val="both"/>
              <w:rPr>
                <w:rFonts w:cs="Calibri"/>
                <w:sz w:val="18"/>
                <w:szCs w:val="18"/>
              </w:rPr>
            </w:pPr>
            <w:r w:rsidRPr="00A35C64">
              <w:rPr>
                <w:rFonts w:cs="Calibri"/>
                <w:i/>
                <w:iCs/>
                <w:sz w:val="18"/>
                <w:szCs w:val="18"/>
              </w:rPr>
              <w:t>Waste Fees</w:t>
            </w:r>
          </w:p>
        </w:tc>
      </w:tr>
      <w:tr w:rsidR="00483BA4" w:rsidRPr="007E0503" w14:paraId="431DE589" w14:textId="77777777" w:rsidTr="002F4A89">
        <w:trPr>
          <w:cantSplit/>
        </w:trPr>
        <w:tc>
          <w:tcPr>
            <w:tcW w:w="735" w:type="pct"/>
            <w:tcBorders>
              <w:top w:val="nil"/>
              <w:left w:val="single" w:sz="2" w:space="0" w:color="auto"/>
              <w:bottom w:val="nil"/>
              <w:right w:val="single" w:sz="2" w:space="0" w:color="auto"/>
            </w:tcBorders>
          </w:tcPr>
          <w:p w14:paraId="10016C4E" w14:textId="36145BF0" w:rsidR="00483BA4" w:rsidRPr="00A35C64" w:rsidRDefault="00483BA4" w:rsidP="00483BA4">
            <w:pPr>
              <w:pStyle w:val="TableText"/>
              <w:tabs>
                <w:tab w:val="left" w:pos="3306"/>
              </w:tabs>
              <w:spacing w:before="120"/>
              <w:rPr>
                <w:rFonts w:cs="Calibri"/>
                <w:b/>
                <w:bCs/>
                <w:color w:val="7030A0"/>
                <w:sz w:val="14"/>
                <w:szCs w:val="14"/>
              </w:rPr>
            </w:pPr>
            <w:r w:rsidRPr="00A35C64">
              <w:rPr>
                <w:rFonts w:cs="Calibri"/>
                <w:color w:val="7030A0"/>
                <w:sz w:val="14"/>
              </w:rPr>
              <w:t>AASB 15.119</w:t>
            </w:r>
          </w:p>
        </w:tc>
        <w:tc>
          <w:tcPr>
            <w:tcW w:w="4265" w:type="pct"/>
            <w:tcBorders>
              <w:top w:val="nil"/>
              <w:left w:val="single" w:sz="2" w:space="0" w:color="auto"/>
              <w:bottom w:val="nil"/>
              <w:right w:val="nil"/>
            </w:tcBorders>
          </w:tcPr>
          <w:p w14:paraId="21A49CBE" w14:textId="0C3DA72F" w:rsidR="00483BA4" w:rsidRPr="00A35C64" w:rsidRDefault="00483BA4" w:rsidP="00483BA4">
            <w:pPr>
              <w:pStyle w:val="Heading2"/>
              <w:numPr>
                <w:ilvl w:val="0"/>
                <w:numId w:val="0"/>
              </w:numPr>
              <w:spacing w:before="0" w:after="0"/>
              <w:jc w:val="both"/>
              <w:rPr>
                <w:rFonts w:ascii="Calibri" w:hAnsi="Calibri" w:cs="Calibri"/>
                <w:b w:val="0"/>
                <w:bCs w:val="0"/>
                <w:caps w:val="0"/>
                <w:sz w:val="18"/>
                <w:szCs w:val="18"/>
              </w:rPr>
            </w:pPr>
            <w:bookmarkStart w:id="344" w:name="_Toc98763062"/>
            <w:r w:rsidRPr="00A35C64">
              <w:rPr>
                <w:rFonts w:ascii="Calibri" w:hAnsi="Calibri" w:cs="Calibri"/>
                <w:b w:val="0"/>
                <w:bCs w:val="0"/>
                <w:caps w:val="0"/>
                <w:sz w:val="18"/>
                <w:szCs w:val="18"/>
              </w:rPr>
              <w:t>This revenue stream relates to fees being charged where certain types of waste require special burial arrangements.</w:t>
            </w:r>
            <w:r w:rsidR="00FA7C77">
              <w:rPr>
                <w:rFonts w:ascii="Calibri" w:hAnsi="Calibri" w:cs="Calibri"/>
                <w:b w:val="0"/>
                <w:bCs w:val="0"/>
                <w:caps w:val="0"/>
                <w:sz w:val="18"/>
                <w:szCs w:val="18"/>
              </w:rPr>
              <w:t xml:space="preserve"> </w:t>
            </w:r>
            <w:r w:rsidRPr="00A35C64">
              <w:rPr>
                <w:rFonts w:ascii="Calibri" w:hAnsi="Calibri" w:cs="Calibri"/>
                <w:b w:val="0"/>
                <w:bCs w:val="0"/>
                <w:caps w:val="0"/>
                <w:sz w:val="18"/>
                <w:szCs w:val="18"/>
              </w:rPr>
              <w:t>This waste includes oil, batteries, paint and asbestos. The performance obligation is the provision of landfill site access to a customer. Revenue is recognised at the time of disposal of contaminated waste at the landfill sites.</w:t>
            </w:r>
            <w:bookmarkEnd w:id="344"/>
          </w:p>
        </w:tc>
      </w:tr>
      <w:tr w:rsidR="00483BA4" w:rsidRPr="007E0503" w14:paraId="1EF42F59" w14:textId="77777777" w:rsidTr="002F4A89">
        <w:trPr>
          <w:cantSplit/>
        </w:trPr>
        <w:tc>
          <w:tcPr>
            <w:tcW w:w="735" w:type="pct"/>
            <w:tcBorders>
              <w:top w:val="nil"/>
              <w:left w:val="single" w:sz="2" w:space="0" w:color="auto"/>
              <w:bottom w:val="nil"/>
              <w:right w:val="single" w:sz="2" w:space="0" w:color="auto"/>
            </w:tcBorders>
          </w:tcPr>
          <w:p w14:paraId="176936C6" w14:textId="77777777" w:rsidR="00483BA4" w:rsidRPr="00A35C64" w:rsidRDefault="00483BA4" w:rsidP="00483BA4">
            <w:pPr>
              <w:pStyle w:val="TableText"/>
              <w:tabs>
                <w:tab w:val="left" w:pos="3306"/>
              </w:tabs>
              <w:spacing w:before="120"/>
              <w:rPr>
                <w:rFonts w:cs="Calibri"/>
                <w:color w:val="7030A0"/>
              </w:rPr>
            </w:pPr>
            <w:bookmarkStart w:id="345" w:name="_Hlk79155686"/>
          </w:p>
        </w:tc>
        <w:tc>
          <w:tcPr>
            <w:tcW w:w="4265" w:type="pct"/>
            <w:tcBorders>
              <w:top w:val="nil"/>
              <w:left w:val="single" w:sz="2" w:space="0" w:color="auto"/>
              <w:bottom w:val="nil"/>
              <w:right w:val="nil"/>
            </w:tcBorders>
            <w:vAlign w:val="bottom"/>
          </w:tcPr>
          <w:p w14:paraId="3A671096" w14:textId="07E38F8E" w:rsidR="00483BA4" w:rsidRPr="00A35C64" w:rsidRDefault="00483BA4" w:rsidP="00483BA4">
            <w:pPr>
              <w:pStyle w:val="Normal1"/>
              <w:spacing w:before="120"/>
              <w:rPr>
                <w:rFonts w:eastAsia="Times New Roman" w:cs="Calibri"/>
                <w:b/>
                <w:bCs/>
                <w:noProof w:val="0"/>
                <w:kern w:val="0"/>
                <w:sz w:val="18"/>
                <w:szCs w:val="18"/>
                <w:lang w:eastAsia="en-US"/>
              </w:rPr>
            </w:pPr>
            <w:r w:rsidRPr="00A35C64">
              <w:rPr>
                <w:rFonts w:eastAsia="Times New Roman" w:cs="Calibri"/>
                <w:b/>
                <w:bCs/>
                <w:noProof w:val="0"/>
                <w:kern w:val="0"/>
                <w:sz w:val="18"/>
                <w:szCs w:val="18"/>
                <w:lang w:eastAsia="en-US"/>
              </w:rPr>
              <w:t>COVID-19 Impact</w:t>
            </w:r>
          </w:p>
        </w:tc>
      </w:tr>
      <w:tr w:rsidR="00483BA4" w:rsidRPr="007E0503" w14:paraId="1C969B10" w14:textId="77777777" w:rsidTr="002F4A89">
        <w:trPr>
          <w:cantSplit/>
        </w:trPr>
        <w:tc>
          <w:tcPr>
            <w:tcW w:w="735" w:type="pct"/>
            <w:tcBorders>
              <w:top w:val="nil"/>
              <w:left w:val="single" w:sz="2" w:space="0" w:color="auto"/>
              <w:bottom w:val="nil"/>
              <w:right w:val="single" w:sz="2" w:space="0" w:color="auto"/>
            </w:tcBorders>
          </w:tcPr>
          <w:p w14:paraId="00D9530B" w14:textId="77777777" w:rsidR="00483BA4" w:rsidRPr="00A35C64" w:rsidRDefault="00483BA4" w:rsidP="00483BA4">
            <w:pPr>
              <w:pStyle w:val="TableText"/>
              <w:tabs>
                <w:tab w:val="left" w:pos="3306"/>
              </w:tabs>
              <w:spacing w:before="120"/>
              <w:rPr>
                <w:rFonts w:cs="Calibri"/>
                <w:color w:val="7030A0"/>
              </w:rPr>
            </w:pPr>
          </w:p>
        </w:tc>
        <w:tc>
          <w:tcPr>
            <w:tcW w:w="4265" w:type="pct"/>
            <w:tcBorders>
              <w:top w:val="nil"/>
              <w:left w:val="single" w:sz="2" w:space="0" w:color="auto"/>
              <w:bottom w:val="nil"/>
              <w:right w:val="nil"/>
            </w:tcBorders>
            <w:vAlign w:val="bottom"/>
          </w:tcPr>
          <w:p w14:paraId="2C538EB6" w14:textId="07BC1E72" w:rsidR="00483BA4" w:rsidRPr="00A35C64" w:rsidRDefault="00483BA4" w:rsidP="00483BA4">
            <w:pPr>
              <w:spacing w:after="120"/>
              <w:jc w:val="both"/>
              <w:rPr>
                <w:rFonts w:cs="Calibri"/>
                <w:sz w:val="18"/>
                <w:szCs w:val="18"/>
                <w:highlight w:val="yellow"/>
              </w:rPr>
            </w:pPr>
            <w:r w:rsidRPr="00A35C64">
              <w:rPr>
                <w:rFonts w:cs="Calibri"/>
                <w:sz w:val="18"/>
                <w:szCs w:val="18"/>
              </w:rPr>
              <w:t>Since the commencement of the COVID-19 pandemic ‘</w:t>
            </w:r>
            <w:r w:rsidRPr="00A35C64">
              <w:rPr>
                <w:sz w:val="18"/>
                <w:szCs w:val="18"/>
              </w:rPr>
              <w:t>Burley Griffin</w:t>
            </w:r>
            <w:r w:rsidRPr="00A35C64">
              <w:rPr>
                <w:rFonts w:cs="Calibri"/>
                <w:sz w:val="18"/>
                <w:szCs w:val="18"/>
              </w:rPr>
              <w:t xml:space="preserve"> Agency’ has lost a material amount of public transport fare revenue.</w:t>
            </w:r>
            <w:r w:rsidR="00FA7C77">
              <w:rPr>
                <w:rFonts w:cs="Calibri"/>
                <w:sz w:val="18"/>
                <w:szCs w:val="18"/>
              </w:rPr>
              <w:t xml:space="preserve"> </w:t>
            </w:r>
            <w:r w:rsidRPr="00A35C64">
              <w:rPr>
                <w:rFonts w:cs="Calibri"/>
                <w:sz w:val="18"/>
                <w:szCs w:val="18"/>
              </w:rPr>
              <w:t>Bus patronage decreased to an estimated 25% of pre COVID</w:t>
            </w:r>
            <w:r w:rsidRPr="00A35C64">
              <w:rPr>
                <w:rFonts w:cs="Calibri"/>
                <w:sz w:val="18"/>
                <w:szCs w:val="18"/>
              </w:rPr>
              <w:noBreakHyphen/>
              <w:t>19 levels in August 2021 due to a restricted service operating and lock down introduced by the ACT Government is response to the Delta outbreak.</w:t>
            </w:r>
            <w:r w:rsidR="00FA7C77">
              <w:rPr>
                <w:rFonts w:cs="Calibri"/>
                <w:sz w:val="18"/>
                <w:szCs w:val="18"/>
              </w:rPr>
              <w:t xml:space="preserve"> </w:t>
            </w:r>
            <w:r w:rsidRPr="00A35C64">
              <w:rPr>
                <w:rFonts w:cs="Calibri"/>
                <w:sz w:val="18"/>
                <w:szCs w:val="18"/>
              </w:rPr>
              <w:t>Since the lockdown ended in November 2021 and public transport services reverting to a normal timetable, patronage has since slowly recovered and is now estimated to be at 90% of pre COVID-19 levels.</w:t>
            </w:r>
            <w:r w:rsidR="00FA7C77">
              <w:rPr>
                <w:rFonts w:cs="Calibri"/>
                <w:sz w:val="18"/>
                <w:szCs w:val="18"/>
              </w:rPr>
              <w:t xml:space="preserve"> </w:t>
            </w:r>
            <w:r w:rsidRPr="00A35C64">
              <w:rPr>
                <w:rFonts w:cs="Calibri"/>
                <w:sz w:val="18"/>
                <w:szCs w:val="18"/>
              </w:rPr>
              <w:t>The reduction in patronage over the current financial year has resulted in lower fare revenue of approximately $</w:t>
            </w:r>
            <w:r w:rsidR="00B45A62" w:rsidRPr="00A35C64">
              <w:rPr>
                <w:rFonts w:cs="Calibri"/>
                <w:sz w:val="18"/>
                <w:szCs w:val="18"/>
              </w:rPr>
              <w:t>xxx</w:t>
            </w:r>
            <w:r w:rsidRPr="00A35C64">
              <w:rPr>
                <w:rFonts w:cs="Calibri"/>
                <w:sz w:val="18"/>
                <w:szCs w:val="18"/>
              </w:rPr>
              <w:t xml:space="preserve"> million when compared to pre-pandemic levels.</w:t>
            </w:r>
          </w:p>
        </w:tc>
      </w:tr>
    </w:tbl>
    <w:p w14:paraId="17B64A0F" w14:textId="77777777" w:rsidR="00EC2F33" w:rsidRDefault="00EC2F33">
      <w:r>
        <w:br w:type="page"/>
      </w:r>
    </w:p>
    <w:tbl>
      <w:tblPr>
        <w:tblW w:w="51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6663"/>
        <w:gridCol w:w="1276"/>
        <w:gridCol w:w="993"/>
        <w:gridCol w:w="140"/>
      </w:tblGrid>
      <w:tr w:rsidR="00EC2F33" w:rsidRPr="007E0503" w14:paraId="156E472F" w14:textId="77777777" w:rsidTr="002F4A89">
        <w:tc>
          <w:tcPr>
            <w:tcW w:w="734" w:type="pct"/>
            <w:tcBorders>
              <w:top w:val="nil"/>
              <w:left w:val="single" w:sz="2" w:space="0" w:color="auto"/>
              <w:bottom w:val="nil"/>
              <w:right w:val="single" w:sz="2" w:space="0" w:color="auto"/>
            </w:tcBorders>
          </w:tcPr>
          <w:p w14:paraId="4B37BDE0" w14:textId="42AD9191" w:rsidR="00EC2F33" w:rsidRPr="00DA5048" w:rsidRDefault="00EC2F33" w:rsidP="00F22D61">
            <w:pPr>
              <w:pStyle w:val="TableText"/>
              <w:tabs>
                <w:tab w:val="left" w:pos="3306"/>
              </w:tabs>
              <w:spacing w:before="240" w:after="240"/>
              <w:rPr>
                <w:rFonts w:cs="Calibri"/>
                <w:b/>
                <w:bCs/>
                <w:color w:val="7030A0"/>
                <w:sz w:val="22"/>
                <w:szCs w:val="22"/>
              </w:rPr>
            </w:pPr>
            <w:r w:rsidRPr="00A35C64">
              <w:rPr>
                <w:rFonts w:cs="Calibri"/>
                <w:b/>
                <w:bCs/>
                <w:color w:val="7030A0"/>
                <w:sz w:val="22"/>
                <w:szCs w:val="22"/>
              </w:rPr>
              <w:t>Reference</w:t>
            </w:r>
          </w:p>
        </w:tc>
        <w:tc>
          <w:tcPr>
            <w:tcW w:w="4266" w:type="pct"/>
            <w:gridSpan w:val="4"/>
            <w:tcBorders>
              <w:top w:val="nil"/>
              <w:left w:val="single" w:sz="2" w:space="0" w:color="auto"/>
              <w:bottom w:val="nil"/>
              <w:right w:val="nil"/>
            </w:tcBorders>
          </w:tcPr>
          <w:p w14:paraId="347C08E7" w14:textId="77777777" w:rsidR="00EC2F33" w:rsidRPr="00A35C64" w:rsidRDefault="00EC2F33" w:rsidP="00F22D61">
            <w:pPr>
              <w:pStyle w:val="Heading2"/>
              <w:numPr>
                <w:ilvl w:val="0"/>
                <w:numId w:val="0"/>
              </w:numPr>
              <w:spacing w:after="0"/>
              <w:ind w:left="174"/>
              <w:rPr>
                <w:rFonts w:ascii="Calibri" w:hAnsi="Calibri" w:cs="Calibri"/>
                <w:b w:val="0"/>
                <w:bCs w:val="0"/>
                <w:i/>
                <w:iCs/>
                <w:caps w:val="0"/>
                <w:sz w:val="18"/>
                <w:szCs w:val="18"/>
              </w:rPr>
            </w:pPr>
            <w:bookmarkStart w:id="346" w:name="_Toc98763063"/>
            <w:r w:rsidRPr="00A35C64">
              <w:rPr>
                <w:rFonts w:asciiTheme="minorHAnsi" w:hAnsiTheme="minorHAnsi" w:cstheme="minorHAnsi"/>
                <w:sz w:val="36"/>
                <w:szCs w:val="36"/>
              </w:rPr>
              <w:t>Note 5.</w:t>
            </w:r>
            <w:r>
              <w:rPr>
                <w:rFonts w:asciiTheme="minorHAnsi" w:hAnsiTheme="minorHAnsi" w:cstheme="minorHAnsi"/>
                <w:sz w:val="36"/>
                <w:szCs w:val="36"/>
              </w:rPr>
              <w:t xml:space="preserve"> </w:t>
            </w:r>
            <w:r w:rsidRPr="00A35C64">
              <w:rPr>
                <w:rFonts w:asciiTheme="minorHAnsi" w:hAnsiTheme="minorHAnsi" w:cstheme="minorHAnsi"/>
                <w:sz w:val="36"/>
                <w:szCs w:val="36"/>
              </w:rPr>
              <w:t>SaleS of Goods and Services from Contracts with Customers – Continued</w:t>
            </w:r>
            <w:bookmarkEnd w:id="346"/>
          </w:p>
        </w:tc>
      </w:tr>
      <w:tr w:rsidR="00483BA4" w:rsidRPr="007E0503" w14:paraId="37F70CA5" w14:textId="77777777" w:rsidTr="002F4A89">
        <w:tc>
          <w:tcPr>
            <w:tcW w:w="734" w:type="pct"/>
            <w:tcBorders>
              <w:top w:val="nil"/>
              <w:left w:val="single" w:sz="2" w:space="0" w:color="auto"/>
              <w:bottom w:val="nil"/>
              <w:right w:val="single" w:sz="2" w:space="0" w:color="auto"/>
            </w:tcBorders>
          </w:tcPr>
          <w:p w14:paraId="542E7A0C" w14:textId="77777777" w:rsidR="00483BA4" w:rsidRPr="00A35C64" w:rsidRDefault="00483BA4" w:rsidP="00483BA4">
            <w:pPr>
              <w:pStyle w:val="TableReference"/>
              <w:tabs>
                <w:tab w:val="left" w:pos="3306"/>
              </w:tabs>
              <w:rPr>
                <w:rFonts w:cs="Calibri"/>
                <w:color w:val="7030A0"/>
                <w:sz w:val="16"/>
                <w:szCs w:val="16"/>
              </w:rPr>
            </w:pPr>
          </w:p>
        </w:tc>
        <w:tc>
          <w:tcPr>
            <w:tcW w:w="3133" w:type="pct"/>
            <w:tcBorders>
              <w:top w:val="nil"/>
              <w:left w:val="single" w:sz="2" w:space="0" w:color="auto"/>
              <w:bottom w:val="nil"/>
              <w:right w:val="nil"/>
            </w:tcBorders>
            <w:vAlign w:val="bottom"/>
          </w:tcPr>
          <w:p w14:paraId="160D0B15" w14:textId="77777777" w:rsidR="00483BA4" w:rsidRPr="00A35C64" w:rsidRDefault="00483BA4" w:rsidP="00483BA4">
            <w:pPr>
              <w:pStyle w:val="TableTitle"/>
              <w:tabs>
                <w:tab w:val="left" w:pos="3306"/>
              </w:tabs>
              <w:rPr>
                <w:rFonts w:cs="Calibri"/>
              </w:rPr>
            </w:pPr>
          </w:p>
        </w:tc>
        <w:tc>
          <w:tcPr>
            <w:tcW w:w="600" w:type="pct"/>
            <w:tcBorders>
              <w:top w:val="nil"/>
              <w:left w:val="nil"/>
              <w:bottom w:val="nil"/>
              <w:right w:val="nil"/>
            </w:tcBorders>
            <w:vAlign w:val="bottom"/>
          </w:tcPr>
          <w:p w14:paraId="0D6EED9D" w14:textId="6E460039" w:rsidR="00483BA4" w:rsidRPr="00A35C64" w:rsidRDefault="00483BA4" w:rsidP="00483BA4">
            <w:pPr>
              <w:pStyle w:val="TableTitle"/>
              <w:tabs>
                <w:tab w:val="left" w:pos="3306"/>
              </w:tabs>
              <w:rPr>
                <w:rFonts w:cs="Calibri"/>
              </w:rPr>
            </w:pPr>
            <w:r w:rsidRPr="00A35C64">
              <w:rPr>
                <w:rFonts w:cs="Calibri"/>
              </w:rPr>
              <w:t>2022</w:t>
            </w:r>
          </w:p>
          <w:p w14:paraId="739E505C" w14:textId="77777777" w:rsidR="00483BA4" w:rsidRPr="00A35C64" w:rsidRDefault="00483BA4" w:rsidP="00483BA4">
            <w:pPr>
              <w:pStyle w:val="TableTitle"/>
              <w:tabs>
                <w:tab w:val="left" w:pos="3306"/>
              </w:tabs>
              <w:rPr>
                <w:rFonts w:cs="Calibri"/>
              </w:rPr>
            </w:pPr>
            <w:r w:rsidRPr="00A35C64">
              <w:rPr>
                <w:rFonts w:cs="Calibri"/>
              </w:rPr>
              <w:t>$’000</w:t>
            </w:r>
          </w:p>
        </w:tc>
        <w:tc>
          <w:tcPr>
            <w:tcW w:w="533" w:type="pct"/>
            <w:gridSpan w:val="2"/>
            <w:tcBorders>
              <w:top w:val="nil"/>
              <w:left w:val="nil"/>
              <w:bottom w:val="nil"/>
              <w:right w:val="nil"/>
            </w:tcBorders>
            <w:vAlign w:val="bottom"/>
          </w:tcPr>
          <w:p w14:paraId="1B7DDFB2" w14:textId="63555F23" w:rsidR="00483BA4" w:rsidRPr="00A35C64" w:rsidRDefault="00483BA4" w:rsidP="00483BA4">
            <w:pPr>
              <w:pStyle w:val="TableTitle"/>
              <w:tabs>
                <w:tab w:val="left" w:pos="3306"/>
              </w:tabs>
              <w:rPr>
                <w:rFonts w:cs="Calibri"/>
              </w:rPr>
            </w:pPr>
            <w:r w:rsidRPr="00A35C64">
              <w:rPr>
                <w:rFonts w:cs="Calibri"/>
              </w:rPr>
              <w:t>2021</w:t>
            </w:r>
          </w:p>
          <w:p w14:paraId="46FB7652" w14:textId="77777777" w:rsidR="00483BA4" w:rsidRPr="00A35C64" w:rsidRDefault="00483BA4" w:rsidP="00483BA4">
            <w:pPr>
              <w:pStyle w:val="TableTitle"/>
              <w:tabs>
                <w:tab w:val="left" w:pos="3306"/>
              </w:tabs>
              <w:rPr>
                <w:rFonts w:cs="Calibri"/>
              </w:rPr>
            </w:pPr>
            <w:r w:rsidRPr="00A35C64">
              <w:rPr>
                <w:rFonts w:cs="Calibri"/>
              </w:rPr>
              <w:t>$’000</w:t>
            </w:r>
          </w:p>
        </w:tc>
      </w:tr>
      <w:tr w:rsidR="00483BA4" w:rsidRPr="007E0503" w14:paraId="21611E4E" w14:textId="77777777" w:rsidTr="002F4A89">
        <w:tc>
          <w:tcPr>
            <w:tcW w:w="734" w:type="pct"/>
            <w:tcBorders>
              <w:top w:val="nil"/>
              <w:left w:val="single" w:sz="2" w:space="0" w:color="auto"/>
              <w:bottom w:val="nil"/>
              <w:right w:val="single" w:sz="2" w:space="0" w:color="auto"/>
            </w:tcBorders>
          </w:tcPr>
          <w:p w14:paraId="1BACDC27" w14:textId="1324A73D" w:rsidR="00483BA4" w:rsidRPr="00A35C64" w:rsidRDefault="00483BA4" w:rsidP="00483BA4">
            <w:pPr>
              <w:pStyle w:val="TableReference"/>
              <w:tabs>
                <w:tab w:val="left" w:pos="3306"/>
              </w:tabs>
              <w:spacing w:before="60"/>
              <w:rPr>
                <w:rFonts w:cs="Calibri"/>
                <w:strike/>
                <w:color w:val="7030A0"/>
                <w:sz w:val="16"/>
                <w:szCs w:val="16"/>
              </w:rPr>
            </w:pPr>
          </w:p>
        </w:tc>
        <w:tc>
          <w:tcPr>
            <w:tcW w:w="3133" w:type="pct"/>
            <w:tcBorders>
              <w:top w:val="nil"/>
              <w:left w:val="single" w:sz="2" w:space="0" w:color="auto"/>
              <w:bottom w:val="nil"/>
              <w:right w:val="nil"/>
            </w:tcBorders>
            <w:vAlign w:val="bottom"/>
          </w:tcPr>
          <w:p w14:paraId="51867F36" w14:textId="583B963B" w:rsidR="00483BA4" w:rsidRPr="00A35C64" w:rsidRDefault="003502EC" w:rsidP="00483BA4">
            <w:pPr>
              <w:pStyle w:val="TableText"/>
              <w:tabs>
                <w:tab w:val="left" w:pos="3306"/>
              </w:tabs>
              <w:rPr>
                <w:rFonts w:cs="Calibri"/>
                <w:b/>
                <w:bCs/>
                <w:strike/>
              </w:rPr>
            </w:pPr>
            <w:r w:rsidRPr="00A35C64">
              <w:rPr>
                <w:rFonts w:cs="Calibri"/>
                <w:b/>
                <w:bCs/>
              </w:rPr>
              <w:t>Sales of Goods and Services from Contacts with Customers</w:t>
            </w:r>
          </w:p>
        </w:tc>
        <w:tc>
          <w:tcPr>
            <w:tcW w:w="600" w:type="pct"/>
            <w:tcBorders>
              <w:top w:val="nil"/>
              <w:left w:val="nil"/>
              <w:bottom w:val="nil"/>
              <w:right w:val="nil"/>
            </w:tcBorders>
            <w:vAlign w:val="bottom"/>
          </w:tcPr>
          <w:p w14:paraId="2FCB198D" w14:textId="77777777" w:rsidR="00483BA4" w:rsidRPr="00A35C64" w:rsidRDefault="00483BA4" w:rsidP="00483BA4">
            <w:pPr>
              <w:pStyle w:val="TableText"/>
              <w:tabs>
                <w:tab w:val="left" w:pos="3306"/>
              </w:tabs>
              <w:jc w:val="right"/>
              <w:rPr>
                <w:rFonts w:cs="Calibri"/>
              </w:rPr>
            </w:pPr>
          </w:p>
        </w:tc>
        <w:tc>
          <w:tcPr>
            <w:tcW w:w="533" w:type="pct"/>
            <w:gridSpan w:val="2"/>
            <w:tcBorders>
              <w:top w:val="nil"/>
              <w:left w:val="nil"/>
              <w:bottom w:val="nil"/>
              <w:right w:val="nil"/>
            </w:tcBorders>
            <w:vAlign w:val="bottom"/>
          </w:tcPr>
          <w:p w14:paraId="1DA01562" w14:textId="77777777" w:rsidR="00483BA4" w:rsidRPr="00A35C64" w:rsidRDefault="00483BA4" w:rsidP="00483BA4">
            <w:pPr>
              <w:pStyle w:val="TableText"/>
              <w:tabs>
                <w:tab w:val="left" w:pos="3306"/>
              </w:tabs>
              <w:jc w:val="right"/>
              <w:rPr>
                <w:rFonts w:cs="Calibri"/>
              </w:rPr>
            </w:pPr>
          </w:p>
        </w:tc>
      </w:tr>
      <w:bookmarkEnd w:id="345"/>
      <w:tr w:rsidR="00483BA4" w:rsidRPr="007E0503" w14:paraId="2B36C778" w14:textId="77777777" w:rsidTr="002F4A89">
        <w:tc>
          <w:tcPr>
            <w:tcW w:w="734" w:type="pct"/>
            <w:tcBorders>
              <w:top w:val="nil"/>
              <w:left w:val="single" w:sz="2" w:space="0" w:color="auto"/>
              <w:bottom w:val="nil"/>
              <w:right w:val="single" w:sz="2" w:space="0" w:color="auto"/>
            </w:tcBorders>
          </w:tcPr>
          <w:p w14:paraId="3C7A4DEE" w14:textId="2AC7CC51" w:rsidR="00483BA4" w:rsidRPr="00A35C64" w:rsidRDefault="00483BA4" w:rsidP="00483BA4">
            <w:pPr>
              <w:pStyle w:val="TableReference"/>
              <w:tabs>
                <w:tab w:val="left" w:pos="3306"/>
              </w:tabs>
              <w:spacing w:before="60"/>
              <w:rPr>
                <w:rFonts w:cs="Calibri"/>
                <w:strike/>
                <w:color w:val="7030A0"/>
                <w:sz w:val="16"/>
                <w:szCs w:val="16"/>
              </w:rPr>
            </w:pPr>
            <w:r w:rsidRPr="00A35C64">
              <w:rPr>
                <w:color w:val="7030A0"/>
                <w:sz w:val="14"/>
              </w:rPr>
              <w:t>AASB 15.114</w:t>
            </w:r>
          </w:p>
        </w:tc>
        <w:tc>
          <w:tcPr>
            <w:tcW w:w="3133" w:type="pct"/>
            <w:tcBorders>
              <w:top w:val="nil"/>
              <w:left w:val="single" w:sz="2" w:space="0" w:color="auto"/>
              <w:bottom w:val="nil"/>
              <w:right w:val="nil"/>
            </w:tcBorders>
            <w:vAlign w:val="bottom"/>
          </w:tcPr>
          <w:p w14:paraId="3B0C6C11" w14:textId="4C151A63" w:rsidR="00483BA4" w:rsidRPr="00A35C64" w:rsidRDefault="00483BA4" w:rsidP="00483BA4">
            <w:pPr>
              <w:pStyle w:val="TableText"/>
              <w:tabs>
                <w:tab w:val="left" w:pos="3306"/>
              </w:tabs>
              <w:rPr>
                <w:rFonts w:cs="Calibri"/>
                <w:b/>
                <w:bCs/>
              </w:rPr>
            </w:pPr>
            <w:r w:rsidRPr="00A35C64">
              <w:rPr>
                <w:rFonts w:cs="Calibri"/>
              </w:rPr>
              <w:t>Sale of Goods</w:t>
            </w:r>
            <w:r w:rsidR="00FA7C77">
              <w:rPr>
                <w:rFonts w:cs="Calibri"/>
              </w:rPr>
              <w:t xml:space="preserve"> </w:t>
            </w:r>
            <w:r w:rsidRPr="00A35C64">
              <w:rPr>
                <w:rFonts w:cs="Calibri"/>
              </w:rPr>
              <w:t xml:space="preserve"> </w:t>
            </w:r>
          </w:p>
        </w:tc>
        <w:tc>
          <w:tcPr>
            <w:tcW w:w="600" w:type="pct"/>
            <w:tcBorders>
              <w:top w:val="nil"/>
              <w:left w:val="nil"/>
              <w:bottom w:val="nil"/>
              <w:right w:val="nil"/>
            </w:tcBorders>
            <w:vAlign w:val="bottom"/>
          </w:tcPr>
          <w:p w14:paraId="669AA263" w14:textId="77777777" w:rsidR="00483BA4" w:rsidRPr="00A35C64" w:rsidRDefault="00483BA4" w:rsidP="00483BA4">
            <w:pPr>
              <w:pStyle w:val="TableText"/>
              <w:tabs>
                <w:tab w:val="left" w:pos="3306"/>
              </w:tabs>
              <w:jc w:val="right"/>
              <w:rPr>
                <w:rFonts w:cs="Calibri"/>
              </w:rPr>
            </w:pPr>
          </w:p>
        </w:tc>
        <w:tc>
          <w:tcPr>
            <w:tcW w:w="533" w:type="pct"/>
            <w:gridSpan w:val="2"/>
            <w:tcBorders>
              <w:top w:val="nil"/>
              <w:left w:val="nil"/>
              <w:bottom w:val="nil"/>
              <w:right w:val="nil"/>
            </w:tcBorders>
            <w:vAlign w:val="bottom"/>
          </w:tcPr>
          <w:p w14:paraId="5554A47A" w14:textId="77777777" w:rsidR="00483BA4" w:rsidRPr="00A35C64" w:rsidRDefault="00483BA4" w:rsidP="00483BA4">
            <w:pPr>
              <w:pStyle w:val="TableText"/>
              <w:tabs>
                <w:tab w:val="left" w:pos="3306"/>
              </w:tabs>
              <w:jc w:val="right"/>
              <w:rPr>
                <w:rFonts w:cs="Calibri"/>
              </w:rPr>
            </w:pPr>
          </w:p>
        </w:tc>
      </w:tr>
      <w:tr w:rsidR="00483BA4" w:rsidRPr="007E0503" w14:paraId="234666F9" w14:textId="77777777" w:rsidTr="002F4A89">
        <w:tc>
          <w:tcPr>
            <w:tcW w:w="734" w:type="pct"/>
            <w:tcBorders>
              <w:top w:val="nil"/>
              <w:left w:val="single" w:sz="2" w:space="0" w:color="auto"/>
              <w:bottom w:val="nil"/>
              <w:right w:val="single" w:sz="2" w:space="0" w:color="auto"/>
            </w:tcBorders>
          </w:tcPr>
          <w:p w14:paraId="66F4D251" w14:textId="20F76D8E" w:rsidR="00483BA4" w:rsidRPr="00A35C64" w:rsidRDefault="00483BA4" w:rsidP="00483BA4">
            <w:pPr>
              <w:pStyle w:val="TableReference"/>
              <w:tabs>
                <w:tab w:val="left" w:pos="3306"/>
              </w:tabs>
              <w:spacing w:before="40"/>
              <w:rPr>
                <w:color w:val="7030A0"/>
                <w:sz w:val="14"/>
              </w:rPr>
            </w:pPr>
            <w:r w:rsidRPr="00A35C64">
              <w:rPr>
                <w:color w:val="7030A0"/>
                <w:sz w:val="14"/>
              </w:rPr>
              <w:t>AASB 15.114</w:t>
            </w:r>
          </w:p>
        </w:tc>
        <w:tc>
          <w:tcPr>
            <w:tcW w:w="3133" w:type="pct"/>
            <w:tcBorders>
              <w:top w:val="nil"/>
              <w:left w:val="single" w:sz="2" w:space="0" w:color="auto"/>
              <w:bottom w:val="nil"/>
              <w:right w:val="nil"/>
            </w:tcBorders>
            <w:vAlign w:val="bottom"/>
          </w:tcPr>
          <w:p w14:paraId="5935617D" w14:textId="553BC750" w:rsidR="00483BA4" w:rsidRPr="00A35C64" w:rsidRDefault="00483BA4" w:rsidP="00483BA4">
            <w:pPr>
              <w:pStyle w:val="TableText"/>
              <w:tabs>
                <w:tab w:val="left" w:pos="3306"/>
              </w:tabs>
              <w:rPr>
                <w:rFonts w:cs="Calibri"/>
              </w:rPr>
            </w:pPr>
            <w:r w:rsidRPr="00A35C64">
              <w:rPr>
                <w:rFonts w:cs="Calibri"/>
              </w:rPr>
              <w:t>Sale of Land</w:t>
            </w:r>
          </w:p>
        </w:tc>
        <w:tc>
          <w:tcPr>
            <w:tcW w:w="600" w:type="pct"/>
            <w:tcBorders>
              <w:top w:val="nil"/>
              <w:left w:val="nil"/>
              <w:bottom w:val="nil"/>
              <w:right w:val="nil"/>
            </w:tcBorders>
            <w:vAlign w:val="bottom"/>
          </w:tcPr>
          <w:p w14:paraId="6FE9E01C" w14:textId="77777777" w:rsidR="00483BA4" w:rsidRPr="00A35C64" w:rsidRDefault="00483BA4" w:rsidP="00483BA4">
            <w:pPr>
              <w:pStyle w:val="TableText"/>
              <w:tabs>
                <w:tab w:val="left" w:pos="3306"/>
              </w:tabs>
              <w:jc w:val="right"/>
              <w:rPr>
                <w:rFonts w:cs="Calibri"/>
              </w:rPr>
            </w:pPr>
          </w:p>
        </w:tc>
        <w:tc>
          <w:tcPr>
            <w:tcW w:w="533" w:type="pct"/>
            <w:gridSpan w:val="2"/>
            <w:tcBorders>
              <w:top w:val="nil"/>
              <w:left w:val="nil"/>
              <w:bottom w:val="nil"/>
              <w:right w:val="nil"/>
            </w:tcBorders>
            <w:vAlign w:val="bottom"/>
          </w:tcPr>
          <w:p w14:paraId="7A477AFE" w14:textId="77777777" w:rsidR="00483BA4" w:rsidRPr="00A35C64" w:rsidRDefault="00483BA4" w:rsidP="00483BA4">
            <w:pPr>
              <w:pStyle w:val="TableText"/>
              <w:tabs>
                <w:tab w:val="left" w:pos="3306"/>
              </w:tabs>
              <w:jc w:val="right"/>
              <w:rPr>
                <w:rFonts w:cs="Calibri"/>
              </w:rPr>
            </w:pPr>
          </w:p>
        </w:tc>
      </w:tr>
      <w:tr w:rsidR="00483BA4" w:rsidRPr="007E0503" w14:paraId="323D8080" w14:textId="77777777" w:rsidTr="002F4A89">
        <w:tc>
          <w:tcPr>
            <w:tcW w:w="734" w:type="pct"/>
            <w:tcBorders>
              <w:top w:val="nil"/>
              <w:left w:val="single" w:sz="2" w:space="0" w:color="auto"/>
              <w:bottom w:val="nil"/>
              <w:right w:val="single" w:sz="2" w:space="0" w:color="auto"/>
            </w:tcBorders>
          </w:tcPr>
          <w:p w14:paraId="407F9012" w14:textId="3292A814"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15.114</w:t>
            </w:r>
          </w:p>
        </w:tc>
        <w:tc>
          <w:tcPr>
            <w:tcW w:w="3133" w:type="pct"/>
            <w:tcBorders>
              <w:top w:val="nil"/>
              <w:left w:val="single" w:sz="2" w:space="0" w:color="auto"/>
              <w:bottom w:val="nil"/>
              <w:right w:val="nil"/>
            </w:tcBorders>
            <w:vAlign w:val="bottom"/>
          </w:tcPr>
          <w:p w14:paraId="78C6E1EB" w14:textId="3A590A7E" w:rsidR="00483BA4" w:rsidRPr="00A35C64" w:rsidRDefault="00483BA4" w:rsidP="00483BA4">
            <w:pPr>
              <w:pStyle w:val="TableText"/>
              <w:tabs>
                <w:tab w:val="left" w:pos="3306"/>
              </w:tabs>
              <w:rPr>
                <w:rFonts w:cs="Calibri"/>
              </w:rPr>
            </w:pPr>
            <w:r w:rsidRPr="00A35C64">
              <w:rPr>
                <w:rFonts w:cs="Calibri"/>
              </w:rPr>
              <w:t>Service Revenue</w:t>
            </w:r>
          </w:p>
        </w:tc>
        <w:tc>
          <w:tcPr>
            <w:tcW w:w="600" w:type="pct"/>
            <w:tcBorders>
              <w:top w:val="nil"/>
              <w:left w:val="nil"/>
              <w:bottom w:val="nil"/>
              <w:right w:val="nil"/>
            </w:tcBorders>
            <w:vAlign w:val="bottom"/>
          </w:tcPr>
          <w:p w14:paraId="00D5FD58" w14:textId="77777777" w:rsidR="00483BA4" w:rsidRPr="00A35C64" w:rsidRDefault="00483BA4" w:rsidP="00483BA4">
            <w:pPr>
              <w:pStyle w:val="TableText"/>
              <w:tabs>
                <w:tab w:val="left" w:pos="3306"/>
              </w:tabs>
              <w:jc w:val="right"/>
              <w:rPr>
                <w:rFonts w:cs="Calibri"/>
              </w:rPr>
            </w:pPr>
          </w:p>
        </w:tc>
        <w:tc>
          <w:tcPr>
            <w:tcW w:w="533" w:type="pct"/>
            <w:gridSpan w:val="2"/>
            <w:tcBorders>
              <w:top w:val="nil"/>
              <w:left w:val="nil"/>
              <w:bottom w:val="nil"/>
              <w:right w:val="nil"/>
            </w:tcBorders>
            <w:vAlign w:val="bottom"/>
          </w:tcPr>
          <w:p w14:paraId="2C64CDF2" w14:textId="77777777" w:rsidR="00483BA4" w:rsidRPr="00A35C64" w:rsidRDefault="00483BA4" w:rsidP="00483BA4">
            <w:pPr>
              <w:pStyle w:val="TableText"/>
              <w:tabs>
                <w:tab w:val="left" w:pos="3306"/>
              </w:tabs>
              <w:jc w:val="right"/>
              <w:rPr>
                <w:rFonts w:cs="Calibri"/>
              </w:rPr>
            </w:pPr>
          </w:p>
        </w:tc>
      </w:tr>
      <w:tr w:rsidR="00842B5D" w:rsidRPr="007E0503" w14:paraId="7D647250" w14:textId="77777777" w:rsidTr="002F4A89">
        <w:tc>
          <w:tcPr>
            <w:tcW w:w="734" w:type="pct"/>
            <w:tcBorders>
              <w:top w:val="nil"/>
              <w:left w:val="single" w:sz="2" w:space="0" w:color="auto"/>
              <w:bottom w:val="nil"/>
              <w:right w:val="single" w:sz="2" w:space="0" w:color="auto"/>
            </w:tcBorders>
          </w:tcPr>
          <w:p w14:paraId="29924C0A" w14:textId="71A543F0" w:rsidR="00842B5D" w:rsidRPr="00A35C64" w:rsidRDefault="00842B5D" w:rsidP="00483BA4">
            <w:pPr>
              <w:pStyle w:val="TableReference"/>
              <w:tabs>
                <w:tab w:val="left" w:pos="3306"/>
              </w:tabs>
              <w:spacing w:before="40"/>
              <w:rPr>
                <w:color w:val="7030A0"/>
                <w:sz w:val="14"/>
              </w:rPr>
            </w:pPr>
            <w:r w:rsidRPr="00A35C64">
              <w:rPr>
                <w:color w:val="7030A0"/>
                <w:sz w:val="14"/>
              </w:rPr>
              <w:t>AASB 15.B89</w:t>
            </w:r>
          </w:p>
        </w:tc>
        <w:tc>
          <w:tcPr>
            <w:tcW w:w="3133" w:type="pct"/>
            <w:tcBorders>
              <w:top w:val="nil"/>
              <w:left w:val="single" w:sz="2" w:space="0" w:color="auto"/>
              <w:bottom w:val="nil"/>
              <w:right w:val="nil"/>
            </w:tcBorders>
            <w:vAlign w:val="bottom"/>
          </w:tcPr>
          <w:p w14:paraId="6C7BEAFB" w14:textId="357B4071" w:rsidR="00842B5D" w:rsidRPr="00A35C64" w:rsidRDefault="00FA7C77" w:rsidP="00842B5D">
            <w:pPr>
              <w:pStyle w:val="TableText"/>
              <w:tabs>
                <w:tab w:val="left" w:pos="3306"/>
              </w:tabs>
              <w:rPr>
                <w:rFonts w:cs="Calibri"/>
              </w:rPr>
            </w:pPr>
            <w:r>
              <w:rPr>
                <w:rFonts w:cs="Calibri"/>
              </w:rPr>
              <w:t xml:space="preserve">  </w:t>
            </w:r>
            <w:r w:rsidR="00842B5D" w:rsidRPr="00A35C64">
              <w:rPr>
                <w:rFonts w:cs="Calibri"/>
              </w:rPr>
              <w:t xml:space="preserve"> - Property Management Services</w:t>
            </w:r>
            <w:r w:rsidR="00842B5D" w:rsidRPr="00A35C64">
              <w:rPr>
                <w:rFonts w:cs="Calibri"/>
                <w:vertAlign w:val="superscript"/>
              </w:rPr>
              <w:t>a</w:t>
            </w:r>
          </w:p>
        </w:tc>
        <w:tc>
          <w:tcPr>
            <w:tcW w:w="600" w:type="pct"/>
            <w:tcBorders>
              <w:top w:val="nil"/>
              <w:left w:val="nil"/>
              <w:bottom w:val="nil"/>
              <w:right w:val="nil"/>
            </w:tcBorders>
            <w:vAlign w:val="bottom"/>
          </w:tcPr>
          <w:p w14:paraId="68F286BB" w14:textId="77777777" w:rsidR="00842B5D" w:rsidRPr="00A35C64" w:rsidRDefault="00842B5D" w:rsidP="00483BA4">
            <w:pPr>
              <w:pStyle w:val="TableText"/>
              <w:tabs>
                <w:tab w:val="left" w:pos="3306"/>
              </w:tabs>
              <w:jc w:val="right"/>
              <w:rPr>
                <w:rFonts w:cs="Calibri"/>
              </w:rPr>
            </w:pPr>
          </w:p>
        </w:tc>
        <w:tc>
          <w:tcPr>
            <w:tcW w:w="533" w:type="pct"/>
            <w:gridSpan w:val="2"/>
            <w:tcBorders>
              <w:top w:val="nil"/>
              <w:left w:val="nil"/>
              <w:bottom w:val="nil"/>
              <w:right w:val="nil"/>
            </w:tcBorders>
            <w:vAlign w:val="bottom"/>
          </w:tcPr>
          <w:p w14:paraId="3B27B556" w14:textId="77777777" w:rsidR="00842B5D" w:rsidRPr="00A35C64" w:rsidRDefault="00842B5D" w:rsidP="00483BA4">
            <w:pPr>
              <w:pStyle w:val="TableText"/>
              <w:tabs>
                <w:tab w:val="left" w:pos="3306"/>
              </w:tabs>
              <w:jc w:val="right"/>
              <w:rPr>
                <w:rFonts w:cs="Calibri"/>
              </w:rPr>
            </w:pPr>
          </w:p>
        </w:tc>
      </w:tr>
      <w:tr w:rsidR="00483BA4" w:rsidRPr="007E0503" w14:paraId="43C464BB" w14:textId="77777777" w:rsidTr="002F4A89">
        <w:tc>
          <w:tcPr>
            <w:tcW w:w="734" w:type="pct"/>
            <w:tcBorders>
              <w:top w:val="nil"/>
              <w:left w:val="single" w:sz="2" w:space="0" w:color="auto"/>
              <w:bottom w:val="nil"/>
              <w:right w:val="single" w:sz="2" w:space="0" w:color="auto"/>
            </w:tcBorders>
          </w:tcPr>
          <w:p w14:paraId="34B48ED5" w14:textId="58C03E08"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15.B89</w:t>
            </w:r>
          </w:p>
        </w:tc>
        <w:tc>
          <w:tcPr>
            <w:tcW w:w="3133" w:type="pct"/>
            <w:tcBorders>
              <w:top w:val="nil"/>
              <w:left w:val="single" w:sz="2" w:space="0" w:color="auto"/>
              <w:bottom w:val="nil"/>
              <w:right w:val="nil"/>
            </w:tcBorders>
            <w:vAlign w:val="bottom"/>
          </w:tcPr>
          <w:p w14:paraId="0DD86231" w14:textId="33BBC99F" w:rsidR="00483BA4" w:rsidRPr="00A35C64" w:rsidRDefault="00FA7C77" w:rsidP="00483BA4">
            <w:pPr>
              <w:pStyle w:val="TableText"/>
              <w:tabs>
                <w:tab w:val="left" w:pos="3306"/>
              </w:tabs>
              <w:rPr>
                <w:rFonts w:cs="Calibri"/>
              </w:rPr>
            </w:pPr>
            <w:r>
              <w:rPr>
                <w:rFonts w:cs="Calibri"/>
              </w:rPr>
              <w:t xml:space="preserve">  </w:t>
            </w:r>
            <w:r w:rsidR="00483BA4" w:rsidRPr="00A35C64">
              <w:rPr>
                <w:rFonts w:cs="Calibri"/>
              </w:rPr>
              <w:t xml:space="preserve"> - Facilities Management Services Revenue</w:t>
            </w:r>
          </w:p>
        </w:tc>
        <w:tc>
          <w:tcPr>
            <w:tcW w:w="600" w:type="pct"/>
            <w:tcBorders>
              <w:top w:val="nil"/>
              <w:left w:val="nil"/>
              <w:bottom w:val="nil"/>
              <w:right w:val="nil"/>
            </w:tcBorders>
            <w:vAlign w:val="bottom"/>
          </w:tcPr>
          <w:p w14:paraId="413BA47D" w14:textId="77777777" w:rsidR="00483BA4" w:rsidRPr="00A35C64" w:rsidRDefault="00483BA4" w:rsidP="00483BA4">
            <w:pPr>
              <w:pStyle w:val="TableText"/>
              <w:tabs>
                <w:tab w:val="left" w:pos="3306"/>
              </w:tabs>
              <w:jc w:val="right"/>
              <w:rPr>
                <w:rFonts w:cs="Calibri"/>
              </w:rPr>
            </w:pPr>
          </w:p>
        </w:tc>
        <w:tc>
          <w:tcPr>
            <w:tcW w:w="533" w:type="pct"/>
            <w:gridSpan w:val="2"/>
            <w:tcBorders>
              <w:top w:val="nil"/>
              <w:left w:val="nil"/>
              <w:bottom w:val="nil"/>
              <w:right w:val="nil"/>
            </w:tcBorders>
            <w:vAlign w:val="bottom"/>
          </w:tcPr>
          <w:p w14:paraId="282237D3" w14:textId="77777777" w:rsidR="00483BA4" w:rsidRPr="00A35C64" w:rsidRDefault="00483BA4" w:rsidP="00483BA4">
            <w:pPr>
              <w:pStyle w:val="TableText"/>
              <w:tabs>
                <w:tab w:val="left" w:pos="3306"/>
              </w:tabs>
              <w:jc w:val="right"/>
              <w:rPr>
                <w:rFonts w:cs="Calibri"/>
              </w:rPr>
            </w:pPr>
          </w:p>
        </w:tc>
      </w:tr>
      <w:tr w:rsidR="00483BA4" w:rsidRPr="007E0503" w14:paraId="409AEE7B" w14:textId="77777777" w:rsidTr="002F4A89">
        <w:tc>
          <w:tcPr>
            <w:tcW w:w="734" w:type="pct"/>
            <w:tcBorders>
              <w:top w:val="nil"/>
              <w:left w:val="single" w:sz="2" w:space="0" w:color="auto"/>
              <w:bottom w:val="nil"/>
              <w:right w:val="single" w:sz="2" w:space="0" w:color="auto"/>
            </w:tcBorders>
          </w:tcPr>
          <w:p w14:paraId="6D5C45E8" w14:textId="6218A63A" w:rsidR="00483BA4" w:rsidRPr="00A35C64" w:rsidRDefault="00483BA4" w:rsidP="00483BA4">
            <w:pPr>
              <w:pStyle w:val="TableReference"/>
              <w:tabs>
                <w:tab w:val="left" w:pos="3306"/>
              </w:tabs>
              <w:spacing w:before="40"/>
              <w:rPr>
                <w:rFonts w:cs="Calibri"/>
                <w:color w:val="7030A0"/>
                <w:sz w:val="16"/>
                <w:szCs w:val="16"/>
              </w:rPr>
            </w:pPr>
            <w:r w:rsidRPr="00A35C64">
              <w:rPr>
                <w:color w:val="7030A0"/>
                <w:sz w:val="14"/>
              </w:rPr>
              <w:t>AASB 15.B89</w:t>
            </w:r>
          </w:p>
        </w:tc>
        <w:tc>
          <w:tcPr>
            <w:tcW w:w="3133" w:type="pct"/>
            <w:tcBorders>
              <w:top w:val="nil"/>
              <w:left w:val="single" w:sz="2" w:space="0" w:color="auto"/>
              <w:bottom w:val="nil"/>
              <w:right w:val="nil"/>
            </w:tcBorders>
            <w:vAlign w:val="bottom"/>
          </w:tcPr>
          <w:p w14:paraId="07F2D497" w14:textId="672C327F" w:rsidR="00483BA4" w:rsidRPr="00A35C64" w:rsidRDefault="00483BA4" w:rsidP="007122BC">
            <w:pPr>
              <w:pStyle w:val="TableText"/>
              <w:numPr>
                <w:ilvl w:val="1"/>
                <w:numId w:val="59"/>
              </w:numPr>
              <w:tabs>
                <w:tab w:val="clear" w:pos="1080"/>
                <w:tab w:val="left" w:pos="3306"/>
              </w:tabs>
              <w:ind w:left="286" w:hanging="76"/>
              <w:rPr>
                <w:rFonts w:cs="Calibri"/>
              </w:rPr>
            </w:pPr>
            <w:r w:rsidRPr="00A35C64">
              <w:rPr>
                <w:rFonts w:cs="Calibri"/>
              </w:rPr>
              <w:t xml:space="preserve"> Event Revenue</w:t>
            </w:r>
          </w:p>
        </w:tc>
        <w:tc>
          <w:tcPr>
            <w:tcW w:w="600" w:type="pct"/>
            <w:tcBorders>
              <w:top w:val="nil"/>
              <w:left w:val="nil"/>
              <w:bottom w:val="nil"/>
              <w:right w:val="nil"/>
            </w:tcBorders>
            <w:vAlign w:val="bottom"/>
          </w:tcPr>
          <w:p w14:paraId="09D24959" w14:textId="77777777" w:rsidR="00483BA4" w:rsidRPr="00A35C64" w:rsidRDefault="00483BA4" w:rsidP="00483BA4">
            <w:pPr>
              <w:pStyle w:val="TableText"/>
              <w:tabs>
                <w:tab w:val="left" w:pos="3306"/>
              </w:tabs>
              <w:jc w:val="right"/>
              <w:rPr>
                <w:rFonts w:cs="Calibri"/>
              </w:rPr>
            </w:pPr>
          </w:p>
        </w:tc>
        <w:tc>
          <w:tcPr>
            <w:tcW w:w="533" w:type="pct"/>
            <w:gridSpan w:val="2"/>
            <w:tcBorders>
              <w:top w:val="nil"/>
              <w:left w:val="nil"/>
              <w:bottom w:val="nil"/>
              <w:right w:val="nil"/>
            </w:tcBorders>
            <w:vAlign w:val="bottom"/>
          </w:tcPr>
          <w:p w14:paraId="6354A06A" w14:textId="77777777" w:rsidR="00483BA4" w:rsidRPr="00A35C64" w:rsidRDefault="00483BA4" w:rsidP="00483BA4">
            <w:pPr>
              <w:pStyle w:val="TableText"/>
              <w:tabs>
                <w:tab w:val="left" w:pos="3306"/>
              </w:tabs>
              <w:jc w:val="right"/>
              <w:rPr>
                <w:rFonts w:cs="Calibri"/>
              </w:rPr>
            </w:pPr>
          </w:p>
        </w:tc>
      </w:tr>
      <w:tr w:rsidR="00483BA4" w:rsidRPr="007E0503" w14:paraId="429EFFE9" w14:textId="77777777" w:rsidTr="002F4A89">
        <w:tc>
          <w:tcPr>
            <w:tcW w:w="734" w:type="pct"/>
            <w:tcBorders>
              <w:top w:val="nil"/>
              <w:left w:val="single" w:sz="2" w:space="0" w:color="auto"/>
              <w:bottom w:val="nil"/>
              <w:right w:val="single" w:sz="2" w:space="0" w:color="auto"/>
            </w:tcBorders>
          </w:tcPr>
          <w:p w14:paraId="69B759BD" w14:textId="260D49DA" w:rsidR="00483BA4" w:rsidRPr="00A35C64" w:rsidRDefault="00483BA4" w:rsidP="00483BA4">
            <w:pPr>
              <w:pStyle w:val="TableReference"/>
              <w:tabs>
                <w:tab w:val="left" w:pos="3306"/>
              </w:tabs>
              <w:spacing w:before="40"/>
              <w:rPr>
                <w:color w:val="7030A0"/>
                <w:sz w:val="14"/>
              </w:rPr>
            </w:pPr>
            <w:r w:rsidRPr="00A35C64">
              <w:rPr>
                <w:color w:val="7030A0"/>
                <w:sz w:val="14"/>
              </w:rPr>
              <w:t>AASB 15.B89</w:t>
            </w:r>
          </w:p>
        </w:tc>
        <w:tc>
          <w:tcPr>
            <w:tcW w:w="3133" w:type="pct"/>
            <w:tcBorders>
              <w:top w:val="nil"/>
              <w:left w:val="single" w:sz="2" w:space="0" w:color="auto"/>
              <w:bottom w:val="nil"/>
              <w:right w:val="nil"/>
            </w:tcBorders>
            <w:vAlign w:val="bottom"/>
          </w:tcPr>
          <w:p w14:paraId="39FA920F" w14:textId="75DD94B7" w:rsidR="00483BA4" w:rsidRPr="00A35C64" w:rsidRDefault="00FA7C77" w:rsidP="00483BA4">
            <w:pPr>
              <w:pStyle w:val="TableText"/>
              <w:tabs>
                <w:tab w:val="left" w:pos="3306"/>
              </w:tabs>
              <w:rPr>
                <w:rFonts w:cs="Calibri"/>
              </w:rPr>
            </w:pPr>
            <w:r>
              <w:rPr>
                <w:rFonts w:cs="Calibri"/>
              </w:rPr>
              <w:t xml:space="preserve">  </w:t>
            </w:r>
            <w:r w:rsidR="00483BA4" w:rsidRPr="00A35C64">
              <w:rPr>
                <w:rFonts w:cs="Calibri"/>
              </w:rPr>
              <w:t xml:space="preserve"> - Fare Revenue</w:t>
            </w:r>
          </w:p>
        </w:tc>
        <w:tc>
          <w:tcPr>
            <w:tcW w:w="600" w:type="pct"/>
            <w:tcBorders>
              <w:top w:val="nil"/>
              <w:left w:val="nil"/>
              <w:bottom w:val="nil"/>
              <w:right w:val="nil"/>
            </w:tcBorders>
            <w:vAlign w:val="bottom"/>
          </w:tcPr>
          <w:p w14:paraId="5CC22097" w14:textId="77777777" w:rsidR="00483BA4" w:rsidRPr="00A35C64" w:rsidRDefault="00483BA4" w:rsidP="00483BA4">
            <w:pPr>
              <w:pStyle w:val="TableText"/>
              <w:tabs>
                <w:tab w:val="left" w:pos="3306"/>
              </w:tabs>
              <w:jc w:val="right"/>
              <w:rPr>
                <w:rFonts w:cs="Calibri"/>
              </w:rPr>
            </w:pPr>
          </w:p>
        </w:tc>
        <w:tc>
          <w:tcPr>
            <w:tcW w:w="533" w:type="pct"/>
            <w:gridSpan w:val="2"/>
            <w:tcBorders>
              <w:top w:val="nil"/>
              <w:left w:val="nil"/>
              <w:bottom w:val="nil"/>
              <w:right w:val="nil"/>
            </w:tcBorders>
            <w:vAlign w:val="bottom"/>
          </w:tcPr>
          <w:p w14:paraId="1E692436" w14:textId="77777777" w:rsidR="00483BA4" w:rsidRPr="00A35C64" w:rsidRDefault="00483BA4" w:rsidP="00483BA4">
            <w:pPr>
              <w:pStyle w:val="TableText"/>
              <w:tabs>
                <w:tab w:val="left" w:pos="3306"/>
              </w:tabs>
              <w:jc w:val="right"/>
              <w:rPr>
                <w:rFonts w:cs="Calibri"/>
              </w:rPr>
            </w:pPr>
          </w:p>
        </w:tc>
      </w:tr>
      <w:tr w:rsidR="00483BA4" w:rsidRPr="007E0503" w14:paraId="4DE49282" w14:textId="77777777" w:rsidTr="002F4A89">
        <w:tc>
          <w:tcPr>
            <w:tcW w:w="734" w:type="pct"/>
            <w:tcBorders>
              <w:top w:val="nil"/>
              <w:left w:val="single" w:sz="2" w:space="0" w:color="auto"/>
              <w:bottom w:val="nil"/>
              <w:right w:val="single" w:sz="2" w:space="0" w:color="auto"/>
            </w:tcBorders>
          </w:tcPr>
          <w:p w14:paraId="4EC561D2" w14:textId="2201289A" w:rsidR="00483BA4" w:rsidRPr="00A35C64" w:rsidRDefault="00483BA4" w:rsidP="00483BA4">
            <w:pPr>
              <w:pStyle w:val="TableReference"/>
              <w:tabs>
                <w:tab w:val="left" w:pos="3306"/>
              </w:tabs>
              <w:spacing w:before="40"/>
              <w:rPr>
                <w:color w:val="7030A0"/>
                <w:sz w:val="14"/>
              </w:rPr>
            </w:pPr>
            <w:r w:rsidRPr="00A35C64">
              <w:rPr>
                <w:color w:val="7030A0"/>
                <w:sz w:val="14"/>
              </w:rPr>
              <w:t>AASB 15.114</w:t>
            </w:r>
          </w:p>
        </w:tc>
        <w:tc>
          <w:tcPr>
            <w:tcW w:w="3133" w:type="pct"/>
            <w:tcBorders>
              <w:top w:val="nil"/>
              <w:left w:val="single" w:sz="2" w:space="0" w:color="auto"/>
              <w:bottom w:val="nil"/>
              <w:right w:val="nil"/>
            </w:tcBorders>
            <w:vAlign w:val="bottom"/>
          </w:tcPr>
          <w:p w14:paraId="05469640" w14:textId="620085B7" w:rsidR="00483BA4" w:rsidRPr="00A35C64" w:rsidRDefault="00483BA4" w:rsidP="00483BA4">
            <w:pPr>
              <w:pStyle w:val="TableText"/>
              <w:tabs>
                <w:tab w:val="left" w:pos="3306"/>
              </w:tabs>
              <w:rPr>
                <w:rFonts w:cs="Calibri"/>
              </w:rPr>
            </w:pPr>
            <w:r w:rsidRPr="00A35C64">
              <w:rPr>
                <w:rFonts w:cs="Calibri"/>
              </w:rPr>
              <w:t>Waste Fees</w:t>
            </w:r>
          </w:p>
        </w:tc>
        <w:tc>
          <w:tcPr>
            <w:tcW w:w="600" w:type="pct"/>
            <w:tcBorders>
              <w:top w:val="nil"/>
              <w:left w:val="nil"/>
              <w:bottom w:val="nil"/>
              <w:right w:val="nil"/>
            </w:tcBorders>
            <w:vAlign w:val="bottom"/>
          </w:tcPr>
          <w:p w14:paraId="7FFECA5F" w14:textId="77777777" w:rsidR="00483BA4" w:rsidRPr="00A35C64" w:rsidRDefault="00483BA4" w:rsidP="00483BA4">
            <w:pPr>
              <w:pStyle w:val="TableText"/>
              <w:tabs>
                <w:tab w:val="left" w:pos="3306"/>
              </w:tabs>
              <w:jc w:val="right"/>
              <w:rPr>
                <w:rFonts w:cs="Calibri"/>
              </w:rPr>
            </w:pPr>
          </w:p>
        </w:tc>
        <w:tc>
          <w:tcPr>
            <w:tcW w:w="533" w:type="pct"/>
            <w:gridSpan w:val="2"/>
            <w:tcBorders>
              <w:top w:val="nil"/>
              <w:left w:val="nil"/>
              <w:bottom w:val="nil"/>
              <w:right w:val="nil"/>
            </w:tcBorders>
            <w:vAlign w:val="bottom"/>
          </w:tcPr>
          <w:p w14:paraId="6CA69665" w14:textId="77777777" w:rsidR="00483BA4" w:rsidRPr="00A35C64" w:rsidRDefault="00483BA4" w:rsidP="00483BA4">
            <w:pPr>
              <w:pStyle w:val="TableText"/>
              <w:tabs>
                <w:tab w:val="left" w:pos="3306"/>
              </w:tabs>
              <w:jc w:val="right"/>
              <w:rPr>
                <w:rFonts w:cs="Calibri"/>
              </w:rPr>
            </w:pPr>
          </w:p>
        </w:tc>
      </w:tr>
      <w:tr w:rsidR="00483BA4" w:rsidRPr="007E0503" w14:paraId="4534FA8E" w14:textId="77777777" w:rsidTr="002F4A89">
        <w:tc>
          <w:tcPr>
            <w:tcW w:w="734" w:type="pct"/>
            <w:tcBorders>
              <w:top w:val="nil"/>
              <w:left w:val="single" w:sz="2" w:space="0" w:color="auto"/>
              <w:bottom w:val="nil"/>
              <w:right w:val="single" w:sz="2" w:space="0" w:color="auto"/>
            </w:tcBorders>
          </w:tcPr>
          <w:p w14:paraId="7C778DB1"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1183CA09" w14:textId="77777777" w:rsidR="00483BA4" w:rsidRPr="00A35C64" w:rsidRDefault="00483BA4" w:rsidP="00483BA4">
            <w:pPr>
              <w:pStyle w:val="TableText"/>
              <w:tabs>
                <w:tab w:val="left" w:pos="3306"/>
              </w:tabs>
              <w:rPr>
                <w:rFonts w:cs="Calibri"/>
              </w:rPr>
            </w:pPr>
            <w:r w:rsidRPr="00A35C64">
              <w:rPr>
                <w:rFonts w:cs="Calibri"/>
              </w:rPr>
              <w:t>Other</w:t>
            </w:r>
          </w:p>
        </w:tc>
        <w:tc>
          <w:tcPr>
            <w:tcW w:w="600" w:type="pct"/>
            <w:tcBorders>
              <w:top w:val="nil"/>
              <w:left w:val="nil"/>
              <w:bottom w:val="single" w:sz="2" w:space="0" w:color="auto"/>
              <w:right w:val="nil"/>
            </w:tcBorders>
            <w:vAlign w:val="bottom"/>
          </w:tcPr>
          <w:p w14:paraId="07EA6768" w14:textId="77777777" w:rsidR="00483BA4" w:rsidRPr="00A35C64" w:rsidRDefault="00483BA4" w:rsidP="00483BA4">
            <w:pPr>
              <w:pStyle w:val="TableText"/>
              <w:tabs>
                <w:tab w:val="left" w:pos="3306"/>
              </w:tabs>
              <w:jc w:val="right"/>
              <w:rPr>
                <w:rFonts w:cs="Calibri"/>
              </w:rPr>
            </w:pPr>
          </w:p>
        </w:tc>
        <w:tc>
          <w:tcPr>
            <w:tcW w:w="533" w:type="pct"/>
            <w:gridSpan w:val="2"/>
            <w:tcBorders>
              <w:top w:val="nil"/>
              <w:left w:val="nil"/>
              <w:bottom w:val="single" w:sz="2" w:space="0" w:color="auto"/>
              <w:right w:val="nil"/>
            </w:tcBorders>
            <w:vAlign w:val="bottom"/>
          </w:tcPr>
          <w:p w14:paraId="468DB3BB" w14:textId="77777777" w:rsidR="00483BA4" w:rsidRPr="00A35C64" w:rsidRDefault="00483BA4" w:rsidP="00483BA4">
            <w:pPr>
              <w:pStyle w:val="TableText"/>
              <w:tabs>
                <w:tab w:val="left" w:pos="3306"/>
              </w:tabs>
              <w:jc w:val="right"/>
              <w:rPr>
                <w:rFonts w:cs="Calibri"/>
              </w:rPr>
            </w:pPr>
          </w:p>
        </w:tc>
      </w:tr>
      <w:tr w:rsidR="00483BA4" w:rsidRPr="007E0503" w14:paraId="72E7ADD1" w14:textId="77777777" w:rsidTr="002F4A89">
        <w:tc>
          <w:tcPr>
            <w:tcW w:w="734" w:type="pct"/>
            <w:tcBorders>
              <w:top w:val="nil"/>
              <w:left w:val="single" w:sz="2" w:space="0" w:color="auto"/>
              <w:bottom w:val="nil"/>
              <w:right w:val="single" w:sz="2" w:space="0" w:color="auto"/>
            </w:tcBorders>
          </w:tcPr>
          <w:p w14:paraId="03C29A5D"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5BA88959" w14:textId="104582A8" w:rsidR="00483BA4" w:rsidRPr="00A35C64" w:rsidRDefault="00483BA4" w:rsidP="00483BA4">
            <w:pPr>
              <w:pStyle w:val="TableText"/>
              <w:tabs>
                <w:tab w:val="left" w:pos="3306"/>
              </w:tabs>
              <w:rPr>
                <w:rFonts w:cs="Calibri"/>
                <w:b/>
                <w:bCs/>
              </w:rPr>
            </w:pPr>
            <w:bookmarkStart w:id="347" w:name="_Toc48468427"/>
            <w:bookmarkStart w:id="348" w:name="_Toc49155546"/>
            <w:bookmarkStart w:id="349" w:name="_Toc49224002"/>
            <w:r w:rsidRPr="00A35C64">
              <w:rPr>
                <w:rFonts w:cs="Calibri"/>
                <w:b/>
                <w:bCs/>
              </w:rPr>
              <w:t>Total Sales of Goods and Services</w:t>
            </w:r>
            <w:bookmarkEnd w:id="347"/>
            <w:bookmarkEnd w:id="348"/>
            <w:bookmarkEnd w:id="349"/>
            <w:r w:rsidRPr="00A35C64">
              <w:rPr>
                <w:rFonts w:cs="Calibri"/>
                <w:b/>
                <w:bCs/>
              </w:rPr>
              <w:t xml:space="preserve"> from Contacts with Customers</w:t>
            </w:r>
          </w:p>
        </w:tc>
        <w:tc>
          <w:tcPr>
            <w:tcW w:w="600" w:type="pct"/>
            <w:tcBorders>
              <w:top w:val="single" w:sz="2" w:space="0" w:color="auto"/>
              <w:left w:val="nil"/>
              <w:bottom w:val="double" w:sz="4" w:space="0" w:color="auto"/>
              <w:right w:val="nil"/>
            </w:tcBorders>
            <w:vAlign w:val="bottom"/>
          </w:tcPr>
          <w:p w14:paraId="6BA9F192" w14:textId="77777777" w:rsidR="00483BA4" w:rsidRPr="00A35C64" w:rsidRDefault="00483BA4" w:rsidP="00483BA4">
            <w:pPr>
              <w:pStyle w:val="TableText"/>
              <w:tabs>
                <w:tab w:val="left" w:pos="3306"/>
              </w:tabs>
              <w:jc w:val="right"/>
              <w:rPr>
                <w:rFonts w:cs="Calibri"/>
                <w:b/>
                <w:bCs/>
              </w:rPr>
            </w:pPr>
          </w:p>
        </w:tc>
        <w:tc>
          <w:tcPr>
            <w:tcW w:w="533" w:type="pct"/>
            <w:gridSpan w:val="2"/>
            <w:tcBorders>
              <w:top w:val="single" w:sz="2" w:space="0" w:color="auto"/>
              <w:left w:val="nil"/>
              <w:bottom w:val="double" w:sz="4" w:space="0" w:color="auto"/>
              <w:right w:val="nil"/>
            </w:tcBorders>
            <w:vAlign w:val="bottom"/>
          </w:tcPr>
          <w:p w14:paraId="71A570DC" w14:textId="77777777" w:rsidR="00483BA4" w:rsidRPr="00A35C64" w:rsidRDefault="00483BA4" w:rsidP="00483BA4">
            <w:pPr>
              <w:pStyle w:val="TableText"/>
              <w:tabs>
                <w:tab w:val="left" w:pos="3306"/>
              </w:tabs>
              <w:jc w:val="right"/>
              <w:rPr>
                <w:rFonts w:cs="Calibri"/>
                <w:b/>
                <w:bCs/>
              </w:rPr>
            </w:pPr>
          </w:p>
        </w:tc>
      </w:tr>
      <w:tr w:rsidR="00483BA4" w:rsidRPr="007E0503" w14:paraId="3818444F" w14:textId="77777777" w:rsidTr="002F4A89">
        <w:tc>
          <w:tcPr>
            <w:tcW w:w="734" w:type="pct"/>
            <w:tcBorders>
              <w:top w:val="nil"/>
              <w:left w:val="single" w:sz="2" w:space="0" w:color="auto"/>
              <w:bottom w:val="nil"/>
              <w:right w:val="single" w:sz="2" w:space="0" w:color="auto"/>
            </w:tcBorders>
          </w:tcPr>
          <w:p w14:paraId="0785C94D" w14:textId="77777777" w:rsidR="00483BA4" w:rsidRPr="00A35C64" w:rsidRDefault="00483BA4" w:rsidP="00483BA4">
            <w:pPr>
              <w:pStyle w:val="TableReference"/>
              <w:tabs>
                <w:tab w:val="left" w:pos="3306"/>
              </w:tabs>
              <w:spacing w:before="40"/>
              <w:rPr>
                <w:rFonts w:cs="Calibri"/>
                <w:color w:val="7030A0"/>
                <w:sz w:val="16"/>
                <w:szCs w:val="16"/>
              </w:rPr>
            </w:pPr>
          </w:p>
        </w:tc>
        <w:tc>
          <w:tcPr>
            <w:tcW w:w="3133" w:type="pct"/>
            <w:tcBorders>
              <w:top w:val="nil"/>
              <w:left w:val="single" w:sz="2" w:space="0" w:color="auto"/>
              <w:bottom w:val="nil"/>
              <w:right w:val="nil"/>
            </w:tcBorders>
            <w:vAlign w:val="bottom"/>
          </w:tcPr>
          <w:p w14:paraId="32884419" w14:textId="77777777" w:rsidR="00483BA4" w:rsidRPr="00A35C64" w:rsidRDefault="00483BA4" w:rsidP="00483BA4">
            <w:pPr>
              <w:pStyle w:val="TableText"/>
              <w:tabs>
                <w:tab w:val="left" w:pos="3306"/>
              </w:tabs>
              <w:rPr>
                <w:rFonts w:cs="Calibri"/>
                <w:b/>
                <w:bCs/>
              </w:rPr>
            </w:pPr>
          </w:p>
        </w:tc>
        <w:tc>
          <w:tcPr>
            <w:tcW w:w="600" w:type="pct"/>
            <w:tcBorders>
              <w:top w:val="double" w:sz="4" w:space="0" w:color="auto"/>
              <w:left w:val="nil"/>
              <w:bottom w:val="nil"/>
              <w:right w:val="nil"/>
            </w:tcBorders>
            <w:vAlign w:val="bottom"/>
          </w:tcPr>
          <w:p w14:paraId="30A9449B" w14:textId="77777777" w:rsidR="00483BA4" w:rsidRPr="00A35C64" w:rsidRDefault="00483BA4" w:rsidP="00483BA4">
            <w:pPr>
              <w:pStyle w:val="TableText"/>
              <w:tabs>
                <w:tab w:val="left" w:pos="3306"/>
              </w:tabs>
              <w:jc w:val="right"/>
              <w:rPr>
                <w:rFonts w:cs="Calibri"/>
                <w:b/>
                <w:bCs/>
              </w:rPr>
            </w:pPr>
          </w:p>
        </w:tc>
        <w:tc>
          <w:tcPr>
            <w:tcW w:w="533" w:type="pct"/>
            <w:gridSpan w:val="2"/>
            <w:tcBorders>
              <w:top w:val="double" w:sz="4" w:space="0" w:color="auto"/>
              <w:left w:val="nil"/>
              <w:bottom w:val="nil"/>
              <w:right w:val="nil"/>
            </w:tcBorders>
            <w:vAlign w:val="bottom"/>
          </w:tcPr>
          <w:p w14:paraId="68B9B9C2" w14:textId="77777777" w:rsidR="00483BA4" w:rsidRPr="00A35C64" w:rsidRDefault="00483BA4" w:rsidP="00483BA4">
            <w:pPr>
              <w:pStyle w:val="TableText"/>
              <w:tabs>
                <w:tab w:val="left" w:pos="3306"/>
              </w:tabs>
              <w:jc w:val="right"/>
              <w:rPr>
                <w:rFonts w:cs="Calibri"/>
                <w:b/>
                <w:bCs/>
              </w:rPr>
            </w:pPr>
          </w:p>
        </w:tc>
      </w:tr>
      <w:tr w:rsidR="008E1728" w:rsidRPr="007E0503" w14:paraId="440DFF5A" w14:textId="77777777" w:rsidTr="002F4A89">
        <w:tc>
          <w:tcPr>
            <w:tcW w:w="734" w:type="pct"/>
            <w:tcBorders>
              <w:top w:val="nil"/>
              <w:left w:val="single" w:sz="2" w:space="0" w:color="auto"/>
              <w:bottom w:val="nil"/>
              <w:right w:val="single" w:sz="2" w:space="0" w:color="auto"/>
            </w:tcBorders>
          </w:tcPr>
          <w:p w14:paraId="6BA969BB" w14:textId="77777777" w:rsidR="008E1728" w:rsidRPr="00A35C64" w:rsidRDefault="008E1728" w:rsidP="008E1728">
            <w:pPr>
              <w:pStyle w:val="TableReference"/>
              <w:tabs>
                <w:tab w:val="left" w:pos="3306"/>
              </w:tabs>
              <w:spacing w:before="40"/>
              <w:rPr>
                <w:rFonts w:cs="Calibri"/>
                <w:color w:val="7030A0"/>
                <w:sz w:val="16"/>
                <w:szCs w:val="16"/>
              </w:rPr>
            </w:pPr>
          </w:p>
        </w:tc>
        <w:tc>
          <w:tcPr>
            <w:tcW w:w="4266" w:type="pct"/>
            <w:gridSpan w:val="4"/>
            <w:tcBorders>
              <w:top w:val="nil"/>
              <w:left w:val="single" w:sz="2" w:space="0" w:color="auto"/>
              <w:bottom w:val="nil"/>
              <w:right w:val="nil"/>
            </w:tcBorders>
            <w:vAlign w:val="bottom"/>
          </w:tcPr>
          <w:p w14:paraId="1069C096" w14:textId="3F326EC7" w:rsidR="008E1728" w:rsidRPr="00A35C64" w:rsidRDefault="008E1728" w:rsidP="008E1728">
            <w:pPr>
              <w:pStyle w:val="TableText"/>
              <w:spacing w:before="0" w:after="120"/>
              <w:ind w:left="321" w:hanging="321"/>
              <w:jc w:val="both"/>
              <w:rPr>
                <w:rFonts w:cs="Calibri"/>
                <w:b/>
                <w:bCs/>
              </w:rPr>
            </w:pPr>
            <w:r w:rsidRPr="00A35C64">
              <w:rPr>
                <w:rFonts w:cs="Calibri"/>
              </w:rPr>
              <w:t>a)</w:t>
            </w:r>
            <w:r w:rsidRPr="00A35C64">
              <w:rPr>
                <w:rFonts w:cs="Calibri"/>
              </w:rPr>
              <w:tab/>
              <w:t xml:space="preserve">The increase </w:t>
            </w:r>
            <w:r w:rsidR="007A1C58" w:rsidRPr="00A35C64">
              <w:rPr>
                <w:rFonts w:cs="Calibri"/>
              </w:rPr>
              <w:t xml:space="preserve">in Property Management Fees of $xxx is mainly due to </w:t>
            </w:r>
            <w:r w:rsidRPr="00A35C64">
              <w:rPr>
                <w:rFonts w:cs="Calibri"/>
              </w:rPr>
              <w:t xml:space="preserve">the rise in rental prices in the ACT </w:t>
            </w:r>
            <w:r w:rsidR="007A1C58" w:rsidRPr="00A35C64">
              <w:rPr>
                <w:rFonts w:cs="Calibri"/>
              </w:rPr>
              <w:t xml:space="preserve">with </w:t>
            </w:r>
            <w:r w:rsidRPr="00A35C64">
              <w:rPr>
                <w:rFonts w:cs="Calibri"/>
              </w:rPr>
              <w:t xml:space="preserve">the property management fees charged as a percentage of the rent. </w:t>
            </w:r>
          </w:p>
        </w:tc>
      </w:tr>
      <w:tr w:rsidR="000144FF" w:rsidRPr="00CF7E1B" w14:paraId="3DFF3457"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57"/>
        </w:trPr>
        <w:tc>
          <w:tcPr>
            <w:tcW w:w="734" w:type="pct"/>
            <w:tcBorders>
              <w:left w:val="single" w:sz="2" w:space="0" w:color="auto"/>
              <w:right w:val="single" w:sz="2" w:space="0" w:color="auto"/>
            </w:tcBorders>
          </w:tcPr>
          <w:p w14:paraId="0075C55F" w14:textId="6591BAD3" w:rsidR="000144FF" w:rsidRPr="00985A9F" w:rsidRDefault="00E95471" w:rsidP="00DA5048">
            <w:pPr>
              <w:pStyle w:val="TableReference"/>
              <w:tabs>
                <w:tab w:val="left" w:pos="3306"/>
              </w:tabs>
              <w:spacing w:before="240" w:after="240"/>
              <w:rPr>
                <w:rFonts w:cs="Calibri"/>
                <w:b/>
                <w:color w:val="7030A0"/>
                <w:sz w:val="22"/>
                <w:szCs w:val="22"/>
              </w:rPr>
            </w:pPr>
            <w:r w:rsidRPr="00985A9F">
              <w:rPr>
                <w:color w:val="7030A0"/>
              </w:rPr>
              <w:br w:type="page"/>
            </w:r>
            <w:r w:rsidR="000144FF" w:rsidRPr="00985A9F">
              <w:rPr>
                <w:rFonts w:cs="Calibri"/>
                <w:b/>
                <w:color w:val="7030A0"/>
                <w:sz w:val="22"/>
                <w:szCs w:val="22"/>
              </w:rPr>
              <w:br w:type="page"/>
            </w:r>
          </w:p>
        </w:tc>
        <w:tc>
          <w:tcPr>
            <w:tcW w:w="4200" w:type="pct"/>
            <w:gridSpan w:val="3"/>
            <w:tcBorders>
              <w:left w:val="single" w:sz="2" w:space="0" w:color="auto"/>
            </w:tcBorders>
            <w:shd w:val="clear" w:color="auto" w:fill="7030A0"/>
          </w:tcPr>
          <w:p w14:paraId="4121852F" w14:textId="29168CC7" w:rsidR="005C7A5C" w:rsidRPr="00985A9F" w:rsidRDefault="000144FF" w:rsidP="007E0503">
            <w:pPr>
              <w:pStyle w:val="CommentaryTitle"/>
              <w:spacing w:after="240"/>
              <w:rPr>
                <w:rFonts w:cs="Calibri"/>
                <w:bCs w:val="0"/>
                <w:color w:val="FFFFFF" w:themeColor="background1"/>
                <w:sz w:val="28"/>
                <w:szCs w:val="28"/>
              </w:rPr>
            </w:pPr>
            <w:bookmarkStart w:id="350" w:name="_Toc50440341"/>
            <w:bookmarkStart w:id="351" w:name="_Toc163106313"/>
            <w:bookmarkStart w:id="352" w:name="_Toc194977568"/>
            <w:r w:rsidRPr="00985A9F">
              <w:rPr>
                <w:rFonts w:cs="Calibri"/>
                <w:bCs w:val="0"/>
                <w:color w:val="FFFFFF" w:themeColor="background1"/>
                <w:sz w:val="28"/>
                <w:szCs w:val="28"/>
              </w:rPr>
              <w:t xml:space="preserve">Commentary – Note 5: </w:t>
            </w:r>
            <w:bookmarkEnd w:id="350"/>
            <w:bookmarkEnd w:id="351"/>
            <w:bookmarkEnd w:id="352"/>
            <w:r w:rsidR="00E95471" w:rsidRPr="00985A9F">
              <w:rPr>
                <w:rFonts w:cs="Calibri"/>
                <w:bCs w:val="0"/>
                <w:color w:val="FFFFFF" w:themeColor="background1"/>
                <w:sz w:val="28"/>
                <w:szCs w:val="28"/>
              </w:rPr>
              <w:t>Sales of Goods and Services from Contracts with Customers</w:t>
            </w:r>
          </w:p>
        </w:tc>
      </w:tr>
      <w:tr w:rsidR="0032435F" w:rsidRPr="00CF7E1B" w14:paraId="78F8CE2F"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0287D1DD" w14:textId="77777777" w:rsidR="0032435F" w:rsidRPr="00985A9F" w:rsidRDefault="0032435F">
            <w:pPr>
              <w:pStyle w:val="TableReference"/>
              <w:tabs>
                <w:tab w:val="left" w:pos="3306"/>
              </w:tabs>
              <w:spacing w:before="60"/>
              <w:rPr>
                <w:rFonts w:cs="Calibri"/>
                <w:color w:val="7030A0"/>
                <w:sz w:val="16"/>
                <w:szCs w:val="16"/>
              </w:rPr>
            </w:pPr>
          </w:p>
        </w:tc>
        <w:tc>
          <w:tcPr>
            <w:tcW w:w="4200" w:type="pct"/>
            <w:gridSpan w:val="3"/>
            <w:tcBorders>
              <w:left w:val="single" w:sz="2" w:space="0" w:color="auto"/>
            </w:tcBorders>
            <w:shd w:val="clear" w:color="auto" w:fill="7030A0"/>
          </w:tcPr>
          <w:p w14:paraId="2F8AC01C" w14:textId="07E84C6F" w:rsidR="0032435F" w:rsidRPr="00985A9F" w:rsidRDefault="0032435F" w:rsidP="00645854">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Revenue recorded in this note is within the scope of AASB 15 </w:t>
            </w:r>
            <w:r w:rsidR="00AC1F6F" w:rsidRPr="00985A9F">
              <w:rPr>
                <w:rFonts w:cs="Calibri"/>
                <w:i/>
                <w:iCs/>
                <w:color w:val="FFFFFF" w:themeColor="background1"/>
                <w:sz w:val="18"/>
                <w:szCs w:val="18"/>
              </w:rPr>
              <w:t>Revenue from C</w:t>
            </w:r>
            <w:r w:rsidRPr="00985A9F">
              <w:rPr>
                <w:rFonts w:cs="Calibri"/>
                <w:i/>
                <w:iCs/>
                <w:color w:val="FFFFFF" w:themeColor="background1"/>
                <w:sz w:val="18"/>
                <w:szCs w:val="18"/>
              </w:rPr>
              <w:t>ontracts with Customers</w:t>
            </w:r>
            <w:r w:rsidRPr="00985A9F">
              <w:rPr>
                <w:rFonts w:cs="Calibri"/>
                <w:color w:val="FFFFFF" w:themeColor="background1"/>
                <w:sz w:val="18"/>
                <w:szCs w:val="18"/>
              </w:rPr>
              <w:t>, i.e. exists within an enforceable contract with sufficiently specific performance obligations.</w:t>
            </w:r>
          </w:p>
        </w:tc>
      </w:tr>
      <w:tr w:rsidR="004D4D37" w:rsidRPr="00CF7E1B" w14:paraId="45C12C44"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0F38B070" w14:textId="77777777" w:rsidR="004D4D37" w:rsidRPr="00985A9F" w:rsidRDefault="004D4D37" w:rsidP="004D4D37">
            <w:pPr>
              <w:pStyle w:val="TableReference"/>
              <w:tabs>
                <w:tab w:val="left" w:pos="3306"/>
              </w:tabs>
              <w:spacing w:before="60"/>
              <w:rPr>
                <w:rFonts w:cs="Calibri"/>
                <w:color w:val="7030A0"/>
                <w:sz w:val="14"/>
              </w:rPr>
            </w:pPr>
            <w:r w:rsidRPr="00985A9F">
              <w:rPr>
                <w:rFonts w:cs="Calibri"/>
                <w:color w:val="7030A0"/>
                <w:sz w:val="14"/>
              </w:rPr>
              <w:t>AASB 15.114,B87-89</w:t>
            </w:r>
          </w:p>
          <w:p w14:paraId="0CD57C6D" w14:textId="77777777" w:rsidR="004D4D37" w:rsidRPr="00985A9F" w:rsidRDefault="004D4D37" w:rsidP="004D4D37">
            <w:pPr>
              <w:pStyle w:val="TableReference"/>
              <w:tabs>
                <w:tab w:val="left" w:pos="3306"/>
              </w:tabs>
              <w:spacing w:before="60"/>
              <w:rPr>
                <w:rFonts w:cs="Calibri"/>
                <w:color w:val="7030A0"/>
                <w:sz w:val="14"/>
              </w:rPr>
            </w:pPr>
            <w:r w:rsidRPr="00985A9F">
              <w:rPr>
                <w:rFonts w:cs="Calibri"/>
                <w:color w:val="7030A0"/>
                <w:sz w:val="14"/>
              </w:rPr>
              <w:t>ACT Disclosure Policy</w:t>
            </w:r>
          </w:p>
          <w:p w14:paraId="3A60C78E" w14:textId="77777777" w:rsidR="004D4D37" w:rsidRPr="00985A9F" w:rsidRDefault="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DD454AD" w14:textId="2EEC9E6F" w:rsidR="004D4D37" w:rsidRPr="00985A9F" w:rsidRDefault="00A35910" w:rsidP="004D4D37">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The disaggregation shown in this note is by type of revenue </w:t>
            </w:r>
            <w:r w:rsidR="00A35C64" w:rsidRPr="00985A9F">
              <w:rPr>
                <w:rFonts w:cs="Calibri"/>
                <w:color w:val="FFFFFF" w:themeColor="background1"/>
                <w:sz w:val="18"/>
                <w:szCs w:val="18"/>
              </w:rPr>
              <w:t xml:space="preserve">but this </w:t>
            </w:r>
            <w:r w:rsidR="004D4D37" w:rsidRPr="00985A9F">
              <w:rPr>
                <w:rFonts w:cs="Calibri"/>
                <w:color w:val="FFFFFF" w:themeColor="background1"/>
                <w:sz w:val="18"/>
                <w:szCs w:val="18"/>
              </w:rPr>
              <w:t>breakdown is an example only.</w:t>
            </w:r>
            <w:r w:rsidR="00FA7C77">
              <w:rPr>
                <w:rFonts w:cs="Calibri"/>
                <w:color w:val="FFFFFF" w:themeColor="background1"/>
                <w:sz w:val="18"/>
                <w:szCs w:val="18"/>
              </w:rPr>
              <w:t xml:space="preserve"> </w:t>
            </w:r>
            <w:r w:rsidR="004D4D37" w:rsidRPr="00985A9F">
              <w:rPr>
                <w:rFonts w:cs="Calibri"/>
                <w:color w:val="FFFFFF" w:themeColor="background1"/>
                <w:sz w:val="18"/>
                <w:szCs w:val="18"/>
              </w:rPr>
              <w:t xml:space="preserve">Agencies </w:t>
            </w:r>
            <w:r w:rsidR="006E6744" w:rsidRPr="00985A9F">
              <w:rPr>
                <w:rFonts w:cs="Calibri"/>
                <w:color w:val="FFFFFF" w:themeColor="background1"/>
                <w:sz w:val="18"/>
                <w:szCs w:val="18"/>
              </w:rPr>
              <w:t xml:space="preserve">need to include a breakdown of all material </w:t>
            </w:r>
            <w:r w:rsidR="004D4D37" w:rsidRPr="00985A9F">
              <w:rPr>
                <w:rFonts w:cs="Calibri"/>
                <w:color w:val="FFFFFF" w:themeColor="background1"/>
                <w:sz w:val="18"/>
                <w:szCs w:val="18"/>
              </w:rPr>
              <w:t xml:space="preserve">revenue </w:t>
            </w:r>
            <w:r w:rsidR="006E6744" w:rsidRPr="00985A9F">
              <w:rPr>
                <w:rFonts w:cs="Calibri"/>
                <w:color w:val="FFFFFF" w:themeColor="background1"/>
                <w:sz w:val="18"/>
                <w:szCs w:val="18"/>
              </w:rPr>
              <w:t xml:space="preserve">line items </w:t>
            </w:r>
            <w:r w:rsidR="004D4D37" w:rsidRPr="00985A9F">
              <w:rPr>
                <w:rFonts w:cs="Calibri"/>
                <w:color w:val="FFFFFF" w:themeColor="background1"/>
                <w:sz w:val="18"/>
                <w:szCs w:val="18"/>
              </w:rPr>
              <w:t>from contracts with customers into categories that depict how the nature, amount, timing, and uncertainty of revenue and cash flows are affected by economic factors.</w:t>
            </w:r>
            <w:r w:rsidR="00FA7C77">
              <w:rPr>
                <w:rFonts w:cs="Calibri"/>
                <w:color w:val="FFFFFF" w:themeColor="background1"/>
                <w:sz w:val="18"/>
                <w:szCs w:val="18"/>
              </w:rPr>
              <w:t xml:space="preserve"> </w:t>
            </w:r>
          </w:p>
        </w:tc>
      </w:tr>
      <w:tr w:rsidR="00F777FA" w:rsidRPr="00CF7E1B" w14:paraId="41969C61"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1840F789" w14:textId="77777777" w:rsidR="00F777FA" w:rsidRPr="00985A9F" w:rsidRDefault="00F777FA" w:rsidP="00F777FA">
            <w:pPr>
              <w:pStyle w:val="TableReference"/>
              <w:tabs>
                <w:tab w:val="left" w:pos="3306"/>
              </w:tabs>
              <w:spacing w:before="60"/>
              <w:rPr>
                <w:rFonts w:cs="Calibri"/>
                <w:color w:val="7030A0"/>
                <w:sz w:val="14"/>
              </w:rPr>
            </w:pPr>
            <w:r w:rsidRPr="00985A9F">
              <w:rPr>
                <w:rFonts w:cs="Calibri"/>
                <w:color w:val="7030A0"/>
                <w:sz w:val="14"/>
              </w:rPr>
              <w:t>ACT Disclosure Policy</w:t>
            </w:r>
          </w:p>
          <w:p w14:paraId="063A076F" w14:textId="77777777" w:rsidR="00F777FA" w:rsidRPr="00985A9F" w:rsidRDefault="00F777FA" w:rsidP="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7B3BD63B" w14:textId="08F278C4" w:rsidR="00F777FA" w:rsidRPr="00985A9F" w:rsidRDefault="00F777FA" w:rsidP="004D4D37">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 xml:space="preserve">In addition, agencies should modify the length of the description and material </w:t>
            </w:r>
            <w:r w:rsidR="00A35910" w:rsidRPr="00985A9F">
              <w:rPr>
                <w:rFonts w:cs="Calibri"/>
                <w:color w:val="FFFFFF" w:themeColor="background1"/>
                <w:sz w:val="18"/>
                <w:szCs w:val="18"/>
              </w:rPr>
              <w:t>a</w:t>
            </w:r>
            <w:r w:rsidRPr="00985A9F">
              <w:rPr>
                <w:rFonts w:cs="Calibri"/>
                <w:color w:val="FFFFFF" w:themeColor="background1"/>
                <w:sz w:val="18"/>
                <w:szCs w:val="18"/>
              </w:rPr>
              <w:t xml:space="preserve">ccounting </w:t>
            </w:r>
            <w:r w:rsidR="00A35910" w:rsidRPr="00985A9F">
              <w:rPr>
                <w:rFonts w:cs="Calibri"/>
                <w:color w:val="FFFFFF" w:themeColor="background1"/>
                <w:sz w:val="18"/>
                <w:szCs w:val="18"/>
              </w:rPr>
              <w:t>p</w:t>
            </w:r>
            <w:r w:rsidRPr="00985A9F">
              <w:rPr>
                <w:rFonts w:cs="Calibri"/>
                <w:color w:val="FFFFFF" w:themeColor="background1"/>
                <w:sz w:val="18"/>
                <w:szCs w:val="18"/>
              </w:rPr>
              <w:t>olicies provided for each revenue type based on the materiality and complexity of that revenue type.</w:t>
            </w:r>
            <w:r w:rsidR="00FA7C77">
              <w:rPr>
                <w:rFonts w:cs="Calibri"/>
                <w:color w:val="FFFFFF" w:themeColor="background1"/>
                <w:sz w:val="18"/>
                <w:szCs w:val="18"/>
              </w:rPr>
              <w:t xml:space="preserve"> </w:t>
            </w:r>
            <w:r w:rsidRPr="00985A9F">
              <w:rPr>
                <w:rFonts w:cs="Calibri"/>
                <w:color w:val="FFFFFF" w:themeColor="background1"/>
                <w:sz w:val="18"/>
                <w:szCs w:val="18"/>
              </w:rPr>
              <w:t>That is, the more material and complex the revenue type, the longer the description and accounting policy should be for that revenue type.</w:t>
            </w:r>
            <w:r w:rsidR="00FA7C77">
              <w:rPr>
                <w:rFonts w:cs="Calibri"/>
                <w:color w:val="FFFFFF" w:themeColor="background1"/>
                <w:sz w:val="18"/>
                <w:szCs w:val="18"/>
              </w:rPr>
              <w:t xml:space="preserve"> </w:t>
            </w:r>
            <w:r w:rsidRPr="00985A9F">
              <w:rPr>
                <w:rFonts w:cs="Calibri"/>
                <w:color w:val="FFFFFF" w:themeColor="background1"/>
                <w:sz w:val="18"/>
                <w:szCs w:val="18"/>
              </w:rPr>
              <w:t>The less material and complex the revenue type, the shorter the description and accounting policy should be for that revenue type.</w:t>
            </w:r>
          </w:p>
        </w:tc>
      </w:tr>
      <w:tr w:rsidR="00F777FA" w:rsidRPr="00CF7E1B" w14:paraId="77222300"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698A1004" w14:textId="77777777" w:rsidR="00F777FA" w:rsidRPr="00985A9F" w:rsidRDefault="00F777FA" w:rsidP="00F777FA">
            <w:pPr>
              <w:pStyle w:val="TableReference"/>
              <w:tabs>
                <w:tab w:val="left" w:pos="3306"/>
              </w:tabs>
              <w:spacing w:before="60"/>
              <w:rPr>
                <w:rFonts w:cs="Calibri"/>
                <w:color w:val="7030A0"/>
                <w:sz w:val="14"/>
              </w:rPr>
            </w:pPr>
            <w:r w:rsidRPr="00985A9F">
              <w:rPr>
                <w:rFonts w:cs="Calibri"/>
                <w:color w:val="7030A0"/>
                <w:sz w:val="14"/>
              </w:rPr>
              <w:t>ACT Disclosure Policy</w:t>
            </w:r>
          </w:p>
          <w:p w14:paraId="02430F61" w14:textId="77777777" w:rsidR="00F777FA" w:rsidRPr="00985A9F" w:rsidRDefault="00F777FA" w:rsidP="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61B1A55F" w14:textId="092E787A" w:rsidR="00F777FA" w:rsidRPr="00985A9F" w:rsidRDefault="00F777FA" w:rsidP="004D4D37">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For example, in the Model Financial Statements, a detailed description and accounting policy has been included for Events Revenue as, for ‘</w:t>
            </w:r>
            <w:r w:rsidR="00AA0B6B" w:rsidRPr="00985A9F">
              <w:rPr>
                <w:color w:val="FFFFFF" w:themeColor="background1"/>
                <w:sz w:val="18"/>
                <w:szCs w:val="18"/>
              </w:rPr>
              <w:t>Burley Griffin</w:t>
            </w:r>
            <w:r w:rsidRPr="00985A9F">
              <w:rPr>
                <w:rFonts w:cs="Calibri"/>
                <w:color w:val="FFFFFF" w:themeColor="background1"/>
                <w:sz w:val="18"/>
                <w:szCs w:val="18"/>
              </w:rPr>
              <w:t xml:space="preserve"> Agency’, this revenue type is both material and complex.</w:t>
            </w:r>
            <w:r w:rsidR="00FA7C77">
              <w:rPr>
                <w:rFonts w:cs="Calibri"/>
                <w:color w:val="FFFFFF" w:themeColor="background1"/>
                <w:sz w:val="18"/>
                <w:szCs w:val="18"/>
              </w:rPr>
              <w:t xml:space="preserve"> </w:t>
            </w:r>
            <w:r w:rsidRPr="00985A9F">
              <w:rPr>
                <w:rFonts w:cs="Calibri"/>
                <w:color w:val="FFFFFF" w:themeColor="background1"/>
                <w:sz w:val="18"/>
                <w:szCs w:val="18"/>
              </w:rPr>
              <w:t>However, for agencies that have ‘Events Revenue’ that is less material and complex, it is expected that agencies would shorten the wording to be less descriptive.</w:t>
            </w:r>
            <w:r w:rsidR="00FA7C77">
              <w:rPr>
                <w:rFonts w:cs="Calibri"/>
                <w:color w:val="FFFFFF" w:themeColor="background1"/>
                <w:sz w:val="18"/>
                <w:szCs w:val="18"/>
              </w:rPr>
              <w:t xml:space="preserve"> </w:t>
            </w:r>
            <w:r w:rsidRPr="00985A9F">
              <w:rPr>
                <w:rFonts w:cs="Calibri"/>
                <w:color w:val="FFFFFF" w:themeColor="background1"/>
                <w:sz w:val="18"/>
                <w:szCs w:val="18"/>
              </w:rPr>
              <w:t>On the other hand, in the Model Financial Statements, a less detailed description and accounting policy has been included for Waste</w:t>
            </w:r>
            <w:r w:rsidR="00A35910" w:rsidRPr="00985A9F">
              <w:rPr>
                <w:rFonts w:cs="Calibri"/>
                <w:color w:val="FFFFFF" w:themeColor="background1"/>
                <w:sz w:val="18"/>
                <w:szCs w:val="18"/>
              </w:rPr>
              <w:t xml:space="preserve"> Fee</w:t>
            </w:r>
            <w:r w:rsidRPr="00985A9F">
              <w:rPr>
                <w:rFonts w:cs="Calibri"/>
                <w:color w:val="FFFFFF" w:themeColor="background1"/>
                <w:sz w:val="18"/>
                <w:szCs w:val="18"/>
              </w:rPr>
              <w:t xml:space="preserve"> Revenue as, for ‘</w:t>
            </w:r>
            <w:r w:rsidR="00AA0B6B" w:rsidRPr="00985A9F">
              <w:rPr>
                <w:color w:val="FFFFFF" w:themeColor="background1"/>
                <w:sz w:val="18"/>
                <w:szCs w:val="18"/>
              </w:rPr>
              <w:t>Burley Griffin</w:t>
            </w:r>
            <w:r w:rsidRPr="00985A9F">
              <w:rPr>
                <w:rFonts w:cs="Calibri"/>
                <w:color w:val="FFFFFF" w:themeColor="background1"/>
                <w:sz w:val="18"/>
                <w:szCs w:val="18"/>
              </w:rPr>
              <w:t xml:space="preserve"> Agency’, this revenue type is both less material and less complex.</w:t>
            </w:r>
            <w:r w:rsidR="00FA7C77">
              <w:rPr>
                <w:rFonts w:cs="Calibri"/>
                <w:color w:val="FFFFFF" w:themeColor="background1"/>
                <w:sz w:val="18"/>
                <w:szCs w:val="18"/>
              </w:rPr>
              <w:t xml:space="preserve"> </w:t>
            </w:r>
            <w:r w:rsidRPr="00985A9F">
              <w:rPr>
                <w:rFonts w:cs="Calibri"/>
                <w:color w:val="FFFFFF" w:themeColor="background1"/>
                <w:sz w:val="18"/>
                <w:szCs w:val="18"/>
              </w:rPr>
              <w:t xml:space="preserve">However, for agencies that have ‘Waste Revenue’ that is more material and complex, it is expected that agencies would lengthen the wording to be </w:t>
            </w:r>
            <w:r w:rsidR="00A35910" w:rsidRPr="00985A9F">
              <w:rPr>
                <w:rFonts w:cs="Calibri"/>
                <w:color w:val="FFFFFF" w:themeColor="background1"/>
                <w:sz w:val="18"/>
                <w:szCs w:val="18"/>
              </w:rPr>
              <w:t>more</w:t>
            </w:r>
            <w:r w:rsidRPr="00985A9F">
              <w:rPr>
                <w:rFonts w:cs="Calibri"/>
                <w:color w:val="FFFFFF" w:themeColor="background1"/>
                <w:sz w:val="18"/>
                <w:szCs w:val="18"/>
              </w:rPr>
              <w:t xml:space="preserve"> descriptive.</w:t>
            </w:r>
            <w:r w:rsidR="00FA7C77">
              <w:rPr>
                <w:rFonts w:cs="Calibri"/>
                <w:color w:val="FFFFFF" w:themeColor="background1"/>
                <w:sz w:val="18"/>
                <w:szCs w:val="18"/>
              </w:rPr>
              <w:t xml:space="preserve">   </w:t>
            </w:r>
            <w:r w:rsidRPr="00985A9F">
              <w:rPr>
                <w:rFonts w:cs="Calibri"/>
                <w:color w:val="FFFFFF" w:themeColor="background1"/>
                <w:sz w:val="18"/>
                <w:szCs w:val="18"/>
              </w:rPr>
              <w:t xml:space="preserve"> </w:t>
            </w:r>
          </w:p>
        </w:tc>
      </w:tr>
      <w:tr w:rsidR="004D4D37" w:rsidRPr="00CF7E1B" w14:paraId="24ACE215"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1D5A97BC" w14:textId="77777777" w:rsidR="004D4D37" w:rsidRPr="00985A9F" w:rsidRDefault="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377BD526" w14:textId="39F221C7" w:rsidR="004D4D37" w:rsidRPr="00985A9F" w:rsidRDefault="004D4D37" w:rsidP="00645854">
            <w:pPr>
              <w:pStyle w:val="CommentaryText"/>
              <w:tabs>
                <w:tab w:val="left" w:pos="3306"/>
              </w:tabs>
              <w:rPr>
                <w:rFonts w:cs="Calibri"/>
                <w:b/>
                <w:bCs/>
                <w:color w:val="FFFFFF" w:themeColor="background1"/>
                <w:sz w:val="18"/>
                <w:szCs w:val="18"/>
              </w:rPr>
            </w:pPr>
            <w:r w:rsidRPr="00985A9F">
              <w:rPr>
                <w:rFonts w:cs="Calibri"/>
                <w:b/>
                <w:bCs/>
                <w:color w:val="FFFFFF" w:themeColor="background1"/>
                <w:sz w:val="18"/>
                <w:szCs w:val="18"/>
              </w:rPr>
              <w:t>Revenue Recognition</w:t>
            </w:r>
          </w:p>
        </w:tc>
      </w:tr>
      <w:tr w:rsidR="000144FF" w:rsidRPr="00CF7E1B" w14:paraId="43AF2AAD"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1A19C949" w14:textId="77777777" w:rsidR="00E23704" w:rsidRPr="00985A9F" w:rsidRDefault="00E23704">
            <w:pPr>
              <w:pStyle w:val="TableReference"/>
              <w:tabs>
                <w:tab w:val="left" w:pos="3306"/>
              </w:tabs>
              <w:spacing w:before="60"/>
              <w:rPr>
                <w:rFonts w:cs="Calibri"/>
                <w:color w:val="7030A0"/>
                <w:sz w:val="14"/>
              </w:rPr>
            </w:pPr>
            <w:r w:rsidRPr="00985A9F">
              <w:rPr>
                <w:rFonts w:cs="Calibri"/>
                <w:color w:val="7030A0"/>
                <w:sz w:val="14"/>
              </w:rPr>
              <w:t>AASB 15.9-90</w:t>
            </w:r>
          </w:p>
          <w:p w14:paraId="6A4BA8EB" w14:textId="77777777" w:rsidR="00860738" w:rsidRPr="00985A9F" w:rsidRDefault="00860738">
            <w:pPr>
              <w:pStyle w:val="TableReference"/>
              <w:tabs>
                <w:tab w:val="left" w:pos="3306"/>
              </w:tabs>
              <w:spacing w:before="60"/>
              <w:rPr>
                <w:rFonts w:cs="Calibri"/>
                <w:color w:val="7030A0"/>
                <w:sz w:val="14"/>
              </w:rPr>
            </w:pPr>
          </w:p>
          <w:p w14:paraId="739C306F" w14:textId="77777777" w:rsidR="00860738" w:rsidRPr="00985A9F" w:rsidRDefault="00860738">
            <w:pPr>
              <w:pStyle w:val="TableReference"/>
              <w:tabs>
                <w:tab w:val="left" w:pos="3306"/>
              </w:tabs>
              <w:spacing w:before="60"/>
              <w:rPr>
                <w:rFonts w:cs="Calibri"/>
                <w:color w:val="7030A0"/>
                <w:sz w:val="14"/>
              </w:rPr>
            </w:pPr>
          </w:p>
          <w:p w14:paraId="49FB1633" w14:textId="77777777" w:rsidR="00860738" w:rsidRPr="00985A9F" w:rsidRDefault="00860738">
            <w:pPr>
              <w:pStyle w:val="TableReference"/>
              <w:tabs>
                <w:tab w:val="left" w:pos="3306"/>
              </w:tabs>
              <w:spacing w:before="60"/>
              <w:rPr>
                <w:rFonts w:cs="Calibri"/>
                <w:color w:val="7030A0"/>
                <w:sz w:val="14"/>
              </w:rPr>
            </w:pPr>
          </w:p>
          <w:p w14:paraId="408F7061" w14:textId="77777777" w:rsidR="00860738" w:rsidRPr="00985A9F" w:rsidRDefault="00860738">
            <w:pPr>
              <w:pStyle w:val="TableReference"/>
              <w:tabs>
                <w:tab w:val="left" w:pos="3306"/>
              </w:tabs>
              <w:spacing w:before="60"/>
              <w:rPr>
                <w:rFonts w:cs="Calibri"/>
                <w:color w:val="7030A0"/>
                <w:sz w:val="14"/>
              </w:rPr>
            </w:pPr>
          </w:p>
          <w:p w14:paraId="26C074DD" w14:textId="77777777" w:rsidR="009D712F" w:rsidRPr="00985A9F" w:rsidRDefault="009D712F">
            <w:pPr>
              <w:pStyle w:val="TableReference"/>
              <w:tabs>
                <w:tab w:val="left" w:pos="3306"/>
              </w:tabs>
              <w:spacing w:before="60"/>
              <w:rPr>
                <w:rFonts w:cs="Calibri"/>
                <w:color w:val="7030A0"/>
                <w:sz w:val="14"/>
              </w:rPr>
            </w:pPr>
          </w:p>
          <w:p w14:paraId="5A627FAB" w14:textId="583A5774" w:rsidR="00860738" w:rsidRPr="00985A9F" w:rsidRDefault="00860738">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F9B6034" w14:textId="77777777" w:rsidR="005F7356" w:rsidRPr="00985A9F" w:rsidRDefault="005F7356" w:rsidP="004C014A">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To determine whether to recognise revenue under AASB 15, agencies must follow a five-step process:</w:t>
            </w:r>
          </w:p>
          <w:p w14:paraId="16C6936B" w14:textId="77777777" w:rsidR="005F7356" w:rsidRPr="00EC2F33" w:rsidRDefault="003C5217"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i</w:t>
            </w:r>
            <w:r w:rsidR="005F7356" w:rsidRPr="00EC2F33">
              <w:rPr>
                <w:rFonts w:cs="Calibri"/>
                <w:color w:val="FFFFFF" w:themeColor="background1"/>
                <w:sz w:val="18"/>
                <w:szCs w:val="18"/>
              </w:rPr>
              <w:t>dentifying the contract with a customer;</w:t>
            </w:r>
          </w:p>
          <w:p w14:paraId="5B123242" w14:textId="1D7A6B7D" w:rsidR="005F7356" w:rsidRPr="00EC2F33" w:rsidRDefault="003C5217"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i</w:t>
            </w:r>
            <w:r w:rsidR="005F7356" w:rsidRPr="00EC2F33">
              <w:rPr>
                <w:rFonts w:cs="Calibri"/>
                <w:color w:val="FFFFFF" w:themeColor="background1"/>
                <w:sz w:val="18"/>
                <w:szCs w:val="18"/>
              </w:rPr>
              <w:t>dentifying</w:t>
            </w:r>
            <w:r w:rsidR="00FA7C77" w:rsidRPr="00EC2F33">
              <w:rPr>
                <w:rFonts w:cs="Calibri"/>
                <w:color w:val="FFFFFF" w:themeColor="background1"/>
                <w:sz w:val="18"/>
                <w:szCs w:val="18"/>
              </w:rPr>
              <w:t xml:space="preserve"> </w:t>
            </w:r>
            <w:r w:rsidR="005F7356" w:rsidRPr="00EC2F33">
              <w:rPr>
                <w:rFonts w:cs="Calibri"/>
                <w:color w:val="FFFFFF" w:themeColor="background1"/>
                <w:sz w:val="18"/>
                <w:szCs w:val="18"/>
              </w:rPr>
              <w:t>the performance obligations;</w:t>
            </w:r>
          </w:p>
          <w:p w14:paraId="641EE544" w14:textId="77777777" w:rsidR="005F7356" w:rsidRPr="00EC2F33" w:rsidRDefault="003C5217"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d</w:t>
            </w:r>
            <w:r w:rsidR="005F7356" w:rsidRPr="00EC2F33">
              <w:rPr>
                <w:rFonts w:cs="Calibri"/>
                <w:color w:val="FFFFFF" w:themeColor="background1"/>
                <w:sz w:val="18"/>
                <w:szCs w:val="18"/>
              </w:rPr>
              <w:t>etermining the transaction price;</w:t>
            </w:r>
          </w:p>
          <w:p w14:paraId="104E52FF" w14:textId="77777777" w:rsidR="005F7356" w:rsidRPr="00EC2F33" w:rsidRDefault="003C5217"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a</w:t>
            </w:r>
            <w:r w:rsidR="005F7356" w:rsidRPr="00EC2F33">
              <w:rPr>
                <w:rFonts w:cs="Calibri"/>
                <w:color w:val="FFFFFF" w:themeColor="background1"/>
                <w:sz w:val="18"/>
                <w:szCs w:val="18"/>
              </w:rPr>
              <w:t>llocating the transaction price to the performance obligations; and</w:t>
            </w:r>
          </w:p>
          <w:p w14:paraId="66180CC7" w14:textId="606D0E98" w:rsidR="005F7356" w:rsidRPr="00985A9F" w:rsidRDefault="003C5217" w:rsidP="007122BC">
            <w:pPr>
              <w:numPr>
                <w:ilvl w:val="0"/>
                <w:numId w:val="44"/>
              </w:numPr>
              <w:spacing w:after="60"/>
              <w:ind w:left="426" w:hanging="243"/>
              <w:jc w:val="both"/>
              <w:rPr>
                <w:color w:val="FFFFFF" w:themeColor="background1"/>
                <w:sz w:val="18"/>
                <w:szCs w:val="18"/>
              </w:rPr>
            </w:pPr>
            <w:r w:rsidRPr="00EC2F33">
              <w:rPr>
                <w:rFonts w:cs="Calibri"/>
                <w:color w:val="FFFFFF" w:themeColor="background1"/>
                <w:sz w:val="18"/>
                <w:szCs w:val="18"/>
              </w:rPr>
              <w:t>r</w:t>
            </w:r>
            <w:r w:rsidR="005F7356" w:rsidRPr="00EC2F33">
              <w:rPr>
                <w:rFonts w:cs="Calibri"/>
                <w:color w:val="FFFFFF" w:themeColor="background1"/>
                <w:sz w:val="18"/>
                <w:szCs w:val="18"/>
              </w:rPr>
              <w:t>ecognising revenue when/as performance obligations are satisfied</w:t>
            </w:r>
            <w:r w:rsidR="000723F4" w:rsidRPr="00EC2F33">
              <w:rPr>
                <w:rFonts w:cs="Calibri"/>
                <w:color w:val="FFFFFF" w:themeColor="background1"/>
                <w:sz w:val="18"/>
                <w:szCs w:val="18"/>
              </w:rPr>
              <w:t>.</w:t>
            </w:r>
          </w:p>
        </w:tc>
      </w:tr>
      <w:tr w:rsidR="004D4D37" w:rsidRPr="00CF7E1B" w14:paraId="2610B855"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66C7B0C4" w14:textId="77777777" w:rsidR="00F33EF9" w:rsidRPr="00985A9F" w:rsidRDefault="00F33EF9" w:rsidP="00F33EF9">
            <w:pPr>
              <w:pStyle w:val="TableReference"/>
              <w:tabs>
                <w:tab w:val="left" w:pos="3306"/>
              </w:tabs>
              <w:spacing w:before="60"/>
              <w:rPr>
                <w:rFonts w:cs="Calibri"/>
                <w:color w:val="7030A0"/>
                <w:sz w:val="14"/>
              </w:rPr>
            </w:pPr>
            <w:r w:rsidRPr="00985A9F">
              <w:rPr>
                <w:rFonts w:cs="Calibri"/>
                <w:color w:val="7030A0"/>
                <w:sz w:val="14"/>
              </w:rPr>
              <w:t>AASB 15.31-32</w:t>
            </w:r>
          </w:p>
          <w:p w14:paraId="38FFB3D3" w14:textId="77777777" w:rsidR="004D4D37" w:rsidRPr="00985A9F" w:rsidRDefault="004D4D37">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4A26BDC" w14:textId="7AFF4FA7" w:rsidR="004D4D37" w:rsidRPr="00985A9F" w:rsidRDefault="004D4D37" w:rsidP="004C014A">
            <w:pPr>
              <w:pStyle w:val="CommentaryText"/>
              <w:tabs>
                <w:tab w:val="left" w:pos="3306"/>
              </w:tabs>
              <w:rPr>
                <w:rFonts w:cs="Calibri"/>
                <w:color w:val="FFFFFF" w:themeColor="background1"/>
                <w:sz w:val="18"/>
                <w:szCs w:val="18"/>
              </w:rPr>
            </w:pPr>
            <w:r w:rsidRPr="00985A9F">
              <w:rPr>
                <w:rFonts w:cs="Calibri"/>
                <w:color w:val="FFFFFF" w:themeColor="background1"/>
                <w:sz w:val="18"/>
                <w:szCs w:val="18"/>
              </w:rPr>
              <w:t>Revenue is recognised when (or as) an agency satisfies performance obligations by transferring a promised good or service to a customer.</w:t>
            </w:r>
            <w:r w:rsidR="00FA7C77">
              <w:rPr>
                <w:rFonts w:cs="Calibri"/>
                <w:color w:val="FFFFFF" w:themeColor="background1"/>
                <w:sz w:val="18"/>
                <w:szCs w:val="18"/>
              </w:rPr>
              <w:t xml:space="preserve"> </w:t>
            </w:r>
            <w:r w:rsidR="006E6744" w:rsidRPr="00985A9F">
              <w:rPr>
                <w:rFonts w:cs="Calibri"/>
                <w:color w:val="FFFFFF" w:themeColor="background1"/>
                <w:sz w:val="18"/>
                <w:szCs w:val="18"/>
              </w:rPr>
              <w:t>Agencies need to consider the pattern of revenue recognition for each revenue type and f</w:t>
            </w:r>
            <w:r w:rsidRPr="00985A9F">
              <w:rPr>
                <w:rFonts w:cs="Calibri"/>
                <w:color w:val="FFFFFF" w:themeColor="background1"/>
                <w:sz w:val="18"/>
                <w:szCs w:val="18"/>
              </w:rPr>
              <w:t xml:space="preserve">or each performance obligation, </w:t>
            </w:r>
            <w:r w:rsidR="00817034" w:rsidRPr="00985A9F">
              <w:rPr>
                <w:rFonts w:cs="Calibri"/>
                <w:color w:val="FFFFFF" w:themeColor="background1"/>
                <w:sz w:val="18"/>
                <w:szCs w:val="18"/>
              </w:rPr>
              <w:t xml:space="preserve">to determine whether </w:t>
            </w:r>
            <w:r w:rsidRPr="00985A9F">
              <w:rPr>
                <w:rFonts w:cs="Calibri"/>
                <w:color w:val="FFFFFF" w:themeColor="background1"/>
                <w:sz w:val="18"/>
                <w:szCs w:val="18"/>
              </w:rPr>
              <w:t>contract</w:t>
            </w:r>
            <w:r w:rsidR="00817034" w:rsidRPr="00985A9F">
              <w:rPr>
                <w:rFonts w:cs="Calibri"/>
                <w:color w:val="FFFFFF" w:themeColor="background1"/>
                <w:sz w:val="18"/>
                <w:szCs w:val="18"/>
              </w:rPr>
              <w:t xml:space="preserve"> revenue</w:t>
            </w:r>
            <w:r w:rsidRPr="00985A9F">
              <w:rPr>
                <w:rFonts w:cs="Calibri"/>
                <w:color w:val="FFFFFF" w:themeColor="background1"/>
                <w:sz w:val="18"/>
                <w:szCs w:val="18"/>
              </w:rPr>
              <w:t xml:space="preserve"> </w:t>
            </w:r>
            <w:r w:rsidR="00817034" w:rsidRPr="00985A9F">
              <w:rPr>
                <w:rFonts w:cs="Calibri"/>
                <w:color w:val="FFFFFF" w:themeColor="background1"/>
                <w:sz w:val="18"/>
                <w:szCs w:val="18"/>
              </w:rPr>
              <w:t xml:space="preserve">is recognised </w:t>
            </w:r>
            <w:r w:rsidRPr="00985A9F">
              <w:rPr>
                <w:rFonts w:cs="Calibri"/>
                <w:color w:val="FFFFFF" w:themeColor="background1"/>
                <w:sz w:val="18"/>
                <w:szCs w:val="18"/>
              </w:rPr>
              <w:t>over time or at a point in time.</w:t>
            </w:r>
          </w:p>
        </w:tc>
      </w:tr>
      <w:tr w:rsidR="00691ECA" w:rsidRPr="00CF7E1B" w14:paraId="3E46C918"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12C7D4F0" w14:textId="77777777" w:rsidR="00691ECA" w:rsidRPr="00985A9F" w:rsidRDefault="00691ECA" w:rsidP="00691ECA">
            <w:pPr>
              <w:pStyle w:val="TableReference"/>
              <w:tabs>
                <w:tab w:val="left" w:pos="3306"/>
              </w:tabs>
              <w:spacing w:before="60"/>
              <w:rPr>
                <w:color w:val="7030A0"/>
                <w:sz w:val="14"/>
              </w:rPr>
            </w:pPr>
            <w:r w:rsidRPr="00985A9F">
              <w:rPr>
                <w:color w:val="7030A0"/>
                <w:sz w:val="14"/>
              </w:rPr>
              <w:t>AASB 15.31</w:t>
            </w:r>
          </w:p>
          <w:p w14:paraId="5ABFC373" w14:textId="77777777" w:rsidR="00691ECA" w:rsidRPr="00985A9F" w:rsidRDefault="00691ECA" w:rsidP="00691ECA">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09B9F709" w14:textId="1740B915" w:rsidR="00691ECA" w:rsidRPr="00985A9F" w:rsidRDefault="00691ECA" w:rsidP="007B316A">
            <w:pPr>
              <w:pStyle w:val="CommentaryText"/>
              <w:tabs>
                <w:tab w:val="left" w:pos="3306"/>
              </w:tabs>
              <w:rPr>
                <w:rFonts w:cs="Calibri"/>
                <w:color w:val="FFFFFF" w:themeColor="background1"/>
                <w:sz w:val="18"/>
                <w:szCs w:val="18"/>
              </w:rPr>
            </w:pPr>
            <w:r w:rsidRPr="00985A9F">
              <w:rPr>
                <w:color w:val="FFFFFF" w:themeColor="background1"/>
                <w:sz w:val="18"/>
                <w:szCs w:val="18"/>
              </w:rPr>
              <w:t xml:space="preserve">According to AASB 15, revenue shall be recognised when the agency satisfies a performance obligation by transferring a promised good or service (i.e. an asset) to a customer. An asset is transferred when (or as) the customer obtains control of that asset: </w:t>
            </w:r>
          </w:p>
        </w:tc>
      </w:tr>
      <w:tr w:rsidR="00EC2F33" w:rsidRPr="00CF7E1B" w14:paraId="445650A1"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80"/>
        </w:trPr>
        <w:tc>
          <w:tcPr>
            <w:tcW w:w="734" w:type="pct"/>
            <w:tcBorders>
              <w:left w:val="single" w:sz="2" w:space="0" w:color="auto"/>
              <w:right w:val="single" w:sz="2" w:space="0" w:color="auto"/>
            </w:tcBorders>
          </w:tcPr>
          <w:p w14:paraId="21BA1112" w14:textId="43D46F4E" w:rsidR="00EC2F33" w:rsidRPr="00985A9F" w:rsidRDefault="00EC2F33" w:rsidP="00EC2F33">
            <w:pPr>
              <w:pStyle w:val="TableReference"/>
              <w:tabs>
                <w:tab w:val="left" w:pos="3306"/>
              </w:tabs>
              <w:rPr>
                <w:color w:val="7030A0"/>
              </w:rPr>
            </w:pPr>
            <w:r w:rsidRPr="00985A9F">
              <w:rPr>
                <w:color w:val="7030A0"/>
              </w:rPr>
              <w:br w:type="page"/>
            </w:r>
            <w:r w:rsidRPr="00985A9F">
              <w:rPr>
                <w:rFonts w:cs="Calibri"/>
                <w:b/>
                <w:color w:val="7030A0"/>
                <w:sz w:val="22"/>
                <w:szCs w:val="22"/>
              </w:rPr>
              <w:t>Reference</w:t>
            </w:r>
          </w:p>
        </w:tc>
        <w:tc>
          <w:tcPr>
            <w:tcW w:w="4200" w:type="pct"/>
            <w:gridSpan w:val="3"/>
            <w:tcBorders>
              <w:left w:val="single" w:sz="2" w:space="0" w:color="auto"/>
            </w:tcBorders>
            <w:shd w:val="clear" w:color="auto" w:fill="7030A0"/>
            <w:vAlign w:val="center"/>
          </w:tcPr>
          <w:p w14:paraId="7A2DA66B" w14:textId="6C1A49B9" w:rsidR="00EC2F33" w:rsidRPr="00985A9F" w:rsidRDefault="00EC2F33" w:rsidP="00EC2F33">
            <w:pPr>
              <w:pStyle w:val="CommentaryTitle"/>
              <w:spacing w:before="0" w:after="120"/>
              <w:rPr>
                <w:color w:val="FFFFFF" w:themeColor="background1"/>
                <w:sz w:val="12"/>
                <w:szCs w:val="14"/>
              </w:rPr>
            </w:pPr>
            <w:r w:rsidRPr="00985A9F">
              <w:rPr>
                <w:rFonts w:cs="Calibri"/>
                <w:bCs w:val="0"/>
                <w:color w:val="FFFFFF" w:themeColor="background1"/>
                <w:sz w:val="28"/>
                <w:szCs w:val="28"/>
              </w:rPr>
              <w:t xml:space="preserve">Commentary – Note 5: Sales of Goods and Services from Contracts with Customers </w:t>
            </w:r>
            <w:r>
              <w:rPr>
                <w:rFonts w:cs="Calibri"/>
                <w:bCs w:val="0"/>
                <w:color w:val="FFFFFF" w:themeColor="background1"/>
                <w:sz w:val="28"/>
                <w:szCs w:val="28"/>
              </w:rPr>
              <w:t>–</w:t>
            </w:r>
            <w:r w:rsidRPr="00985A9F">
              <w:rPr>
                <w:rFonts w:cs="Calibri"/>
                <w:bCs w:val="0"/>
                <w:color w:val="FFFFFF" w:themeColor="background1"/>
                <w:sz w:val="28"/>
                <w:szCs w:val="28"/>
              </w:rPr>
              <w:t xml:space="preserve"> Continued</w:t>
            </w:r>
            <w:r>
              <w:rPr>
                <w:rFonts w:cs="Calibri"/>
                <w:bCs w:val="0"/>
                <w:color w:val="FFFFFF" w:themeColor="background1"/>
                <w:sz w:val="28"/>
                <w:szCs w:val="28"/>
              </w:rPr>
              <w:t xml:space="preserve"> </w:t>
            </w:r>
          </w:p>
        </w:tc>
      </w:tr>
      <w:tr w:rsidR="00F22D61" w:rsidRPr="00CF7E1B" w14:paraId="29B4C0FF"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7AD26E7B" w14:textId="77777777" w:rsidR="00F22D61" w:rsidRPr="00985A9F" w:rsidRDefault="00F22D61" w:rsidP="00DA5473">
            <w:pPr>
              <w:pStyle w:val="TableReference"/>
              <w:tabs>
                <w:tab w:val="left" w:pos="3306"/>
              </w:tabs>
              <w:spacing w:before="60"/>
              <w:rPr>
                <w:color w:val="7030A0"/>
                <w:sz w:val="14"/>
              </w:rPr>
            </w:pPr>
            <w:r w:rsidRPr="00985A9F">
              <w:rPr>
                <w:color w:val="7030A0"/>
                <w:sz w:val="14"/>
              </w:rPr>
              <w:t>AASB 15.32</w:t>
            </w:r>
          </w:p>
          <w:p w14:paraId="75E57092" w14:textId="77777777" w:rsidR="00F22D61" w:rsidRPr="00985A9F" w:rsidRDefault="00F22D61" w:rsidP="00DA5473">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7E1C9609" w14:textId="77777777" w:rsidR="00F22D61" w:rsidRPr="00985A9F" w:rsidRDefault="00F22D61" w:rsidP="007122BC">
            <w:pPr>
              <w:pStyle w:val="CommentaryText"/>
              <w:numPr>
                <w:ilvl w:val="0"/>
                <w:numId w:val="66"/>
              </w:numPr>
              <w:tabs>
                <w:tab w:val="left" w:pos="3306"/>
              </w:tabs>
              <w:spacing w:after="40"/>
              <w:ind w:left="493"/>
              <w:rPr>
                <w:rFonts w:cs="Calibri"/>
                <w:color w:val="FFFFFF" w:themeColor="background1"/>
                <w:sz w:val="18"/>
                <w:szCs w:val="18"/>
              </w:rPr>
            </w:pPr>
            <w:r w:rsidRPr="00985A9F">
              <w:rPr>
                <w:color w:val="FFFFFF" w:themeColor="background1"/>
                <w:sz w:val="18"/>
                <w:szCs w:val="18"/>
              </w:rPr>
              <w:t>for each performance obligation identified in a contract, an agency shall determine at contract inception whether it satisfies the performance obligation over time or satisfies the performance obligation at a point in time;</w:t>
            </w:r>
          </w:p>
        </w:tc>
      </w:tr>
      <w:tr w:rsidR="00691ECA" w:rsidRPr="00CF7E1B" w14:paraId="32839551"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0B73011C" w14:textId="77777777" w:rsidR="00691ECA" w:rsidRPr="00EC2F33" w:rsidRDefault="00691ECA" w:rsidP="00EC2F33">
            <w:pPr>
              <w:pStyle w:val="TableReference"/>
              <w:tabs>
                <w:tab w:val="left" w:pos="3306"/>
              </w:tabs>
              <w:spacing w:before="60"/>
              <w:rPr>
                <w:rFonts w:cs="Calibri"/>
                <w:color w:val="7030A0"/>
                <w:sz w:val="14"/>
              </w:rPr>
            </w:pPr>
            <w:r w:rsidRPr="00EC2F33">
              <w:rPr>
                <w:rFonts w:cs="Calibri"/>
                <w:color w:val="7030A0"/>
                <w:sz w:val="14"/>
              </w:rPr>
              <w:t>AASB 15.35</w:t>
            </w:r>
          </w:p>
          <w:p w14:paraId="3199E062" w14:textId="77777777" w:rsidR="00691ECA" w:rsidRPr="00985A9F" w:rsidRDefault="00691ECA" w:rsidP="00EC2F33">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7741CDDD" w14:textId="55FE3DC7" w:rsidR="00691ECA" w:rsidRPr="00985A9F" w:rsidRDefault="00691ECA"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an agency transfers control of a good or service over time and, therefore, satisfies a performance obligation and recognises revenue over time, if one of the following criteria is met: (a) the customer simultaneously receives and consumes the benefits provided by the agency’s performance as the agency performs; (b) the agency’s performance creates or enhances an asset (for example, work in progress) that the customer controls as the asset is created or enhanced; or (c) the agency’s performance does not create an asset with an alternative use to the agency and the agency has an enforceable right to payment for performance completed to date;</w:t>
            </w:r>
          </w:p>
        </w:tc>
      </w:tr>
      <w:tr w:rsidR="00691ECA" w:rsidRPr="00CF7E1B" w14:paraId="3511CF60"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1594D463" w14:textId="77777777" w:rsidR="00691ECA" w:rsidRPr="00EC2F33" w:rsidRDefault="00691ECA" w:rsidP="00EC2F33">
            <w:pPr>
              <w:pStyle w:val="TableReference"/>
              <w:tabs>
                <w:tab w:val="left" w:pos="3306"/>
              </w:tabs>
              <w:spacing w:before="60"/>
              <w:rPr>
                <w:rFonts w:cs="Calibri"/>
                <w:color w:val="7030A0"/>
                <w:sz w:val="14"/>
              </w:rPr>
            </w:pPr>
            <w:r w:rsidRPr="00EC2F33">
              <w:rPr>
                <w:rFonts w:cs="Calibri"/>
                <w:color w:val="7030A0"/>
                <w:sz w:val="14"/>
              </w:rPr>
              <w:t>AASB 15.39</w:t>
            </w:r>
          </w:p>
          <w:p w14:paraId="7817E703" w14:textId="77777777" w:rsidR="00691ECA" w:rsidRPr="00985A9F" w:rsidRDefault="00691ECA" w:rsidP="00EC2F33">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48064F02" w14:textId="09A48C52" w:rsidR="00691ECA" w:rsidRPr="00985A9F" w:rsidRDefault="00691ECA"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for each performance obligation satisfied over time, an agency shall recognise revenue over time by measuring the progress towards complete satisfaction of that performance obligation. The objective when measuring progress is to depict an agency’s performance in transferring control of goods or services promised to a customer (i.e. the satisfaction of an agency’s performance obligation);</w:t>
            </w:r>
          </w:p>
        </w:tc>
      </w:tr>
      <w:tr w:rsidR="00691ECA" w:rsidRPr="00CF7E1B" w14:paraId="742A2B07"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01E3E87D" w14:textId="08A7DBAB" w:rsidR="00691ECA" w:rsidRPr="00985A9F" w:rsidRDefault="00691ECA" w:rsidP="00EC2F33">
            <w:pPr>
              <w:pStyle w:val="TableReference"/>
              <w:tabs>
                <w:tab w:val="left" w:pos="3306"/>
              </w:tabs>
              <w:spacing w:before="60"/>
              <w:rPr>
                <w:rFonts w:cs="Calibri"/>
                <w:color w:val="7030A0"/>
                <w:sz w:val="14"/>
              </w:rPr>
            </w:pPr>
            <w:r w:rsidRPr="00EC2F33">
              <w:rPr>
                <w:rFonts w:cs="Calibri"/>
                <w:color w:val="7030A0"/>
                <w:sz w:val="14"/>
              </w:rPr>
              <w:t>AASB 15.40</w:t>
            </w:r>
          </w:p>
        </w:tc>
        <w:tc>
          <w:tcPr>
            <w:tcW w:w="4200" w:type="pct"/>
            <w:gridSpan w:val="3"/>
            <w:tcBorders>
              <w:left w:val="single" w:sz="2" w:space="0" w:color="auto"/>
            </w:tcBorders>
            <w:shd w:val="clear" w:color="auto" w:fill="7030A0"/>
          </w:tcPr>
          <w:p w14:paraId="1F5AA9A0" w14:textId="2C039614" w:rsidR="00691ECA" w:rsidRPr="00985A9F" w:rsidRDefault="00691ECA"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an agency shall apply a single method of measuring progress for each performance obligation satisfied over time and the agency shall apply that method consistently to similar performance obligations and in similar circumstances. At the end of each reporting period, an agency shall remeasure its progress towards complete satisfaction of a performance obligation satisfied over time;</w:t>
            </w:r>
            <w:r w:rsidR="00294AB5" w:rsidRPr="00EC2F33">
              <w:rPr>
                <w:rFonts w:cs="Calibri"/>
                <w:color w:val="FFFFFF" w:themeColor="background1"/>
                <w:sz w:val="18"/>
                <w:szCs w:val="18"/>
              </w:rPr>
              <w:t xml:space="preserve"> and</w:t>
            </w:r>
          </w:p>
        </w:tc>
      </w:tr>
      <w:tr w:rsidR="00691ECA" w:rsidRPr="00CF7E1B" w14:paraId="6442E2B4"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0ECD4198" w14:textId="438E93C4" w:rsidR="00691ECA" w:rsidRPr="00985A9F" w:rsidRDefault="00691ECA" w:rsidP="00EC2F33">
            <w:pPr>
              <w:pStyle w:val="TableReference"/>
              <w:tabs>
                <w:tab w:val="left" w:pos="3306"/>
              </w:tabs>
              <w:spacing w:before="60"/>
              <w:rPr>
                <w:rFonts w:cs="Calibri"/>
                <w:color w:val="7030A0"/>
                <w:sz w:val="14"/>
              </w:rPr>
            </w:pPr>
            <w:r w:rsidRPr="00EC2F33">
              <w:rPr>
                <w:rFonts w:cs="Calibri"/>
                <w:color w:val="7030A0"/>
                <w:sz w:val="14"/>
              </w:rPr>
              <w:t>AASB 15.38</w:t>
            </w:r>
          </w:p>
        </w:tc>
        <w:tc>
          <w:tcPr>
            <w:tcW w:w="4200" w:type="pct"/>
            <w:gridSpan w:val="3"/>
            <w:tcBorders>
              <w:left w:val="single" w:sz="2" w:space="0" w:color="auto"/>
            </w:tcBorders>
            <w:shd w:val="clear" w:color="auto" w:fill="7030A0"/>
          </w:tcPr>
          <w:p w14:paraId="735A24CE" w14:textId="390522CF" w:rsidR="001E378C" w:rsidRPr="00985A9F" w:rsidRDefault="00691ECA"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if a performance obligation is not satisfied over time, an agency satisfies the performance obligation at a point in time. Revenue should be recognised at the point in time at which a customer obtains control of a promised asset and the agency satisfies a performance obligation.</w:t>
            </w:r>
          </w:p>
        </w:tc>
      </w:tr>
      <w:tr w:rsidR="00985A9F" w:rsidRPr="00CF7E1B" w14:paraId="54EC29B9"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20"/>
        </w:trPr>
        <w:tc>
          <w:tcPr>
            <w:tcW w:w="734" w:type="pct"/>
            <w:tcBorders>
              <w:left w:val="single" w:sz="2" w:space="0" w:color="auto"/>
              <w:right w:val="single" w:sz="2" w:space="0" w:color="auto"/>
            </w:tcBorders>
          </w:tcPr>
          <w:p w14:paraId="01E10CB6" w14:textId="77777777" w:rsidR="00985A9F" w:rsidRPr="00985A9F" w:rsidRDefault="00985A9F" w:rsidP="00EC2F33">
            <w:pPr>
              <w:pStyle w:val="TableReference"/>
              <w:tabs>
                <w:tab w:val="left" w:pos="3306"/>
              </w:tabs>
              <w:spacing w:before="60"/>
              <w:rPr>
                <w:rFonts w:cs="Calibri"/>
                <w:color w:val="7030A0"/>
                <w:sz w:val="14"/>
              </w:rPr>
            </w:pPr>
            <w:r w:rsidRPr="00985A9F">
              <w:rPr>
                <w:rFonts w:cs="Calibri"/>
                <w:color w:val="7030A0"/>
                <w:sz w:val="14"/>
              </w:rPr>
              <w:t xml:space="preserve">AASB 15.124(a)&amp;(b) </w:t>
            </w:r>
          </w:p>
          <w:p w14:paraId="774B1F8F" w14:textId="31B1421D" w:rsidR="00985A9F" w:rsidRPr="00EC2F33" w:rsidRDefault="00985A9F" w:rsidP="00EC2F33">
            <w:pPr>
              <w:pStyle w:val="TableReference"/>
              <w:tabs>
                <w:tab w:val="left" w:pos="3306"/>
              </w:tabs>
              <w:spacing w:before="60"/>
              <w:rPr>
                <w:rFonts w:cs="Calibri"/>
                <w:color w:val="7030A0"/>
                <w:sz w:val="14"/>
              </w:rPr>
            </w:pPr>
            <w:r w:rsidRPr="00985A9F">
              <w:rPr>
                <w:rFonts w:cs="Calibri"/>
                <w:color w:val="7030A0"/>
                <w:sz w:val="14"/>
              </w:rPr>
              <w:t>AASB 15.125</w:t>
            </w:r>
          </w:p>
        </w:tc>
        <w:tc>
          <w:tcPr>
            <w:tcW w:w="4200" w:type="pct"/>
            <w:gridSpan w:val="3"/>
            <w:tcBorders>
              <w:left w:val="single" w:sz="2" w:space="0" w:color="auto"/>
            </w:tcBorders>
            <w:shd w:val="clear" w:color="auto" w:fill="7030A0"/>
          </w:tcPr>
          <w:p w14:paraId="1806B8CC" w14:textId="1A57980B" w:rsidR="00985A9F" w:rsidRPr="00985A9F" w:rsidRDefault="00985A9F" w:rsidP="00985A9F">
            <w:pPr>
              <w:pStyle w:val="CommentaryText"/>
              <w:tabs>
                <w:tab w:val="left" w:pos="3306"/>
              </w:tabs>
              <w:rPr>
                <w:color w:val="FFFFFF" w:themeColor="background1"/>
                <w:sz w:val="18"/>
                <w:szCs w:val="18"/>
              </w:rPr>
            </w:pPr>
            <w:r w:rsidRPr="00985A9F">
              <w:rPr>
                <w:rFonts w:cs="Calibri"/>
                <w:color w:val="FFFFFF" w:themeColor="background1"/>
                <w:sz w:val="18"/>
                <w:szCs w:val="18"/>
              </w:rPr>
              <w:t>For performance obligations that the agency satisfies over time it shall disclose the methods used to recognise revenue, for example a description of the output methods or input methods used and how they are applied and an explanation of why the methods used provide a faithful depiction of the transfer of goods or services.</w:t>
            </w:r>
            <w:r w:rsidR="00FA7C77">
              <w:rPr>
                <w:rFonts w:cs="Calibri"/>
                <w:color w:val="FFFFFF" w:themeColor="background1"/>
                <w:sz w:val="18"/>
                <w:szCs w:val="18"/>
              </w:rPr>
              <w:t xml:space="preserve"> </w:t>
            </w:r>
            <w:r w:rsidRPr="00985A9F">
              <w:rPr>
                <w:rFonts w:cs="Calibri"/>
                <w:color w:val="FFFFFF" w:themeColor="background1"/>
                <w:sz w:val="18"/>
                <w:szCs w:val="18"/>
              </w:rPr>
              <w:t>For performance obligations that are satisfied at a point in time, agencies shall disclose the significant judgements made in evaluating when a customer obtains control of the goods or services.</w:t>
            </w:r>
          </w:p>
        </w:tc>
      </w:tr>
      <w:tr w:rsidR="004D4054" w:rsidRPr="006572B8" w14:paraId="485321EA"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80"/>
        </w:trPr>
        <w:tc>
          <w:tcPr>
            <w:tcW w:w="734" w:type="pct"/>
            <w:tcBorders>
              <w:left w:val="single" w:sz="2" w:space="0" w:color="auto"/>
              <w:right w:val="single" w:sz="2" w:space="0" w:color="auto"/>
            </w:tcBorders>
          </w:tcPr>
          <w:p w14:paraId="5D12E5F7" w14:textId="77777777" w:rsidR="004D4054" w:rsidRPr="00985A9F" w:rsidRDefault="004D4054" w:rsidP="004D4054">
            <w:pPr>
              <w:pStyle w:val="TableReference"/>
              <w:tabs>
                <w:tab w:val="left" w:pos="3306"/>
              </w:tabs>
              <w:spacing w:before="60"/>
              <w:rPr>
                <w:rFonts w:cs="Calibri"/>
                <w:color w:val="7030A0"/>
                <w:sz w:val="14"/>
              </w:rPr>
            </w:pPr>
            <w:bookmarkStart w:id="353" w:name="Interest" w:colFirst="1" w:colLast="1"/>
          </w:p>
        </w:tc>
        <w:tc>
          <w:tcPr>
            <w:tcW w:w="4200" w:type="pct"/>
            <w:gridSpan w:val="3"/>
            <w:tcBorders>
              <w:left w:val="single" w:sz="2" w:space="0" w:color="auto"/>
            </w:tcBorders>
            <w:shd w:val="clear" w:color="auto" w:fill="7030A0"/>
          </w:tcPr>
          <w:p w14:paraId="390D250C" w14:textId="7029F2A2" w:rsidR="004D4054" w:rsidRPr="00985A9F" w:rsidRDefault="004D4054" w:rsidP="004D4054">
            <w:pPr>
              <w:rPr>
                <w:b/>
                <w:bCs/>
                <w:strike/>
                <w:color w:val="FFFFFF" w:themeColor="background1"/>
                <w:sz w:val="18"/>
                <w:szCs w:val="18"/>
              </w:rPr>
            </w:pPr>
            <w:r w:rsidRPr="00985A9F">
              <w:rPr>
                <w:rFonts w:cs="Calibri"/>
                <w:b/>
                <w:bCs/>
                <w:color w:val="FFFFFF" w:themeColor="background1"/>
                <w:sz w:val="18"/>
                <w:szCs w:val="18"/>
              </w:rPr>
              <w:t>Significant Accounting Judgement and Estimates – Revenue from Contracts</w:t>
            </w:r>
          </w:p>
        </w:tc>
      </w:tr>
      <w:tr w:rsidR="004D4054" w:rsidRPr="006572B8" w14:paraId="19F62F2A"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80"/>
        </w:trPr>
        <w:tc>
          <w:tcPr>
            <w:tcW w:w="734" w:type="pct"/>
            <w:tcBorders>
              <w:left w:val="single" w:sz="2" w:space="0" w:color="auto"/>
              <w:right w:val="single" w:sz="2" w:space="0" w:color="auto"/>
            </w:tcBorders>
          </w:tcPr>
          <w:p w14:paraId="1EF794EA"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1B189AC5" w14:textId="5258C2D4" w:rsidR="004D4054" w:rsidRPr="00985A9F" w:rsidRDefault="004D4054" w:rsidP="00D2233F">
            <w:pPr>
              <w:spacing w:after="120"/>
              <w:jc w:val="both"/>
              <w:rPr>
                <w:b/>
                <w:bCs/>
                <w:strike/>
                <w:color w:val="FFFFFF" w:themeColor="background1"/>
                <w:sz w:val="18"/>
                <w:szCs w:val="18"/>
              </w:rPr>
            </w:pPr>
            <w:r w:rsidRPr="00985A9F">
              <w:rPr>
                <w:rFonts w:cs="Calibri"/>
                <w:color w:val="FFFFFF" w:themeColor="background1"/>
                <w:sz w:val="18"/>
                <w:szCs w:val="18"/>
              </w:rPr>
              <w:t xml:space="preserve">Agencies should ensure that they refer to all </w:t>
            </w:r>
            <w:r w:rsidR="00294AB5">
              <w:rPr>
                <w:rFonts w:cs="Calibri"/>
                <w:color w:val="FFFFFF" w:themeColor="background1"/>
                <w:sz w:val="18"/>
                <w:szCs w:val="18"/>
              </w:rPr>
              <w:t>material</w:t>
            </w:r>
            <w:r w:rsidRPr="00985A9F">
              <w:rPr>
                <w:rFonts w:cs="Calibri"/>
                <w:color w:val="FFFFFF" w:themeColor="background1"/>
                <w:sz w:val="18"/>
                <w:szCs w:val="18"/>
              </w:rPr>
              <w:t xml:space="preserve"> judgements and estimates made in applying AASB 15 and AASB 1058, including determining the appropriate accounting standard, performance obligations and the pattern of control transfer of goods and services.</w:t>
            </w:r>
            <w:r w:rsidR="00FA7C77">
              <w:rPr>
                <w:rFonts w:cs="Calibri"/>
                <w:color w:val="FFFFFF" w:themeColor="background1"/>
                <w:sz w:val="18"/>
                <w:szCs w:val="18"/>
              </w:rPr>
              <w:t xml:space="preserve"> </w:t>
            </w:r>
            <w:r w:rsidRPr="00985A9F">
              <w:rPr>
                <w:rFonts w:cs="Calibri"/>
                <w:color w:val="FFFFFF" w:themeColor="background1"/>
                <w:sz w:val="18"/>
                <w:szCs w:val="18"/>
              </w:rPr>
              <w:t>These disclosures should be specific to the agency.</w:t>
            </w:r>
          </w:p>
        </w:tc>
      </w:tr>
      <w:tr w:rsidR="004D4054" w:rsidRPr="006572B8" w14:paraId="32FECFF7"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80"/>
        </w:trPr>
        <w:tc>
          <w:tcPr>
            <w:tcW w:w="734" w:type="pct"/>
            <w:tcBorders>
              <w:left w:val="single" w:sz="2" w:space="0" w:color="auto"/>
              <w:right w:val="single" w:sz="2" w:space="0" w:color="auto"/>
            </w:tcBorders>
          </w:tcPr>
          <w:p w14:paraId="442845A2" w14:textId="153B892A"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15.123</w:t>
            </w:r>
          </w:p>
        </w:tc>
        <w:tc>
          <w:tcPr>
            <w:tcW w:w="4200" w:type="pct"/>
            <w:gridSpan w:val="3"/>
            <w:tcBorders>
              <w:left w:val="single" w:sz="2" w:space="0" w:color="auto"/>
            </w:tcBorders>
            <w:shd w:val="clear" w:color="auto" w:fill="7030A0"/>
          </w:tcPr>
          <w:p w14:paraId="58042B52" w14:textId="2809D964" w:rsidR="004D4054" w:rsidRPr="00985A9F" w:rsidRDefault="004D4054" w:rsidP="00D2233F">
            <w:pPr>
              <w:spacing w:after="120"/>
              <w:jc w:val="both"/>
              <w:rPr>
                <w:b/>
                <w:bCs/>
                <w:strike/>
                <w:color w:val="FFFFFF" w:themeColor="background1"/>
                <w:sz w:val="18"/>
                <w:szCs w:val="18"/>
              </w:rPr>
            </w:pPr>
            <w:r w:rsidRPr="00985A9F">
              <w:rPr>
                <w:rFonts w:cs="Calibri"/>
                <w:color w:val="FFFFFF" w:themeColor="background1"/>
                <w:sz w:val="18"/>
                <w:szCs w:val="18"/>
              </w:rPr>
              <w:t>Key judgements include determining the timing of revenue from contracts with customers in terms of timing of satisfaction of performance obligations and determining the transaction price and the amounts allocated to performance obligations.</w:t>
            </w:r>
          </w:p>
        </w:tc>
      </w:tr>
      <w:tr w:rsidR="004D4054" w:rsidRPr="006572B8" w14:paraId="4428D609"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80"/>
        </w:trPr>
        <w:tc>
          <w:tcPr>
            <w:tcW w:w="734" w:type="pct"/>
            <w:tcBorders>
              <w:left w:val="single" w:sz="2" w:space="0" w:color="auto"/>
              <w:right w:val="single" w:sz="2" w:space="0" w:color="auto"/>
            </w:tcBorders>
          </w:tcPr>
          <w:p w14:paraId="1CE58F99" w14:textId="77777777" w:rsidR="004D4054" w:rsidRPr="00985A9F" w:rsidRDefault="004D4054" w:rsidP="004D4054">
            <w:pPr>
              <w:pStyle w:val="TableReference"/>
              <w:tabs>
                <w:tab w:val="left" w:pos="3306"/>
              </w:tabs>
              <w:spacing w:before="60"/>
              <w:rPr>
                <w:rFonts w:cs="Calibri"/>
                <w:color w:val="7030A0"/>
                <w:sz w:val="14"/>
              </w:rPr>
            </w:pPr>
          </w:p>
          <w:p w14:paraId="2DC291E3" w14:textId="77777777" w:rsidR="004D4054" w:rsidRPr="00985A9F" w:rsidRDefault="004D4054" w:rsidP="004D4054">
            <w:pPr>
              <w:pStyle w:val="TableReference"/>
              <w:tabs>
                <w:tab w:val="left" w:pos="3306"/>
              </w:tabs>
              <w:spacing w:before="60"/>
              <w:rPr>
                <w:rFonts w:cs="Calibri"/>
                <w:color w:val="7030A0"/>
                <w:sz w:val="14"/>
              </w:rPr>
            </w:pPr>
          </w:p>
          <w:p w14:paraId="391CE68C"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4C567B8" w14:textId="36BA40F8" w:rsidR="004D4054" w:rsidRPr="00985A9F" w:rsidRDefault="004D4054" w:rsidP="00985A9F">
            <w:pPr>
              <w:jc w:val="both"/>
              <w:rPr>
                <w:b/>
                <w:bCs/>
                <w:strike/>
                <w:color w:val="FFFFFF" w:themeColor="background1"/>
                <w:sz w:val="18"/>
                <w:szCs w:val="18"/>
              </w:rPr>
            </w:pPr>
            <w:r w:rsidRPr="00985A9F">
              <w:rPr>
                <w:rFonts w:cs="Calibri"/>
                <w:color w:val="FFFFFF" w:themeColor="background1"/>
                <w:sz w:val="18"/>
                <w:szCs w:val="18"/>
              </w:rPr>
              <w:t xml:space="preserve">Estimation uncertainty includes determining the transaction price (estimating variable consideration, adjusting the consideration for the time value of money and measuring non-cash considerations), allocating the transaction price, including estimating </w:t>
            </w:r>
            <w:r w:rsidR="003850B2" w:rsidRPr="00985A9F">
              <w:rPr>
                <w:rFonts w:cs="Calibri"/>
                <w:color w:val="FFFFFF" w:themeColor="background1"/>
                <w:sz w:val="18"/>
                <w:szCs w:val="18"/>
              </w:rPr>
              <w:t>standalone</w:t>
            </w:r>
            <w:r w:rsidRPr="00985A9F">
              <w:rPr>
                <w:rFonts w:cs="Calibri"/>
                <w:color w:val="FFFFFF" w:themeColor="background1"/>
                <w:sz w:val="18"/>
                <w:szCs w:val="18"/>
              </w:rPr>
              <w:t xml:space="preserve"> selling prices and allocating discounts and variable consideration.</w:t>
            </w:r>
          </w:p>
        </w:tc>
      </w:tr>
      <w:tr w:rsidR="004D4054" w:rsidRPr="006572B8" w14:paraId="46CD3F62"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80"/>
        </w:trPr>
        <w:tc>
          <w:tcPr>
            <w:tcW w:w="734" w:type="pct"/>
            <w:tcBorders>
              <w:left w:val="single" w:sz="2" w:space="0" w:color="auto"/>
              <w:right w:val="single" w:sz="2" w:space="0" w:color="auto"/>
            </w:tcBorders>
          </w:tcPr>
          <w:p w14:paraId="190B16EA"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15.114</w:t>
            </w:r>
          </w:p>
          <w:p w14:paraId="597AD224"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 xml:space="preserve">AASB 1058.24 </w:t>
            </w:r>
          </w:p>
        </w:tc>
        <w:tc>
          <w:tcPr>
            <w:tcW w:w="4200" w:type="pct"/>
            <w:gridSpan w:val="3"/>
            <w:tcBorders>
              <w:left w:val="single" w:sz="2" w:space="0" w:color="auto"/>
            </w:tcBorders>
            <w:shd w:val="clear" w:color="auto" w:fill="7030A0"/>
            <w:vAlign w:val="bottom"/>
          </w:tcPr>
          <w:p w14:paraId="57DCA5B0" w14:textId="3D416608" w:rsidR="004D4054" w:rsidRPr="00985A9F" w:rsidRDefault="004D4054" w:rsidP="00985A9F">
            <w:pPr>
              <w:rPr>
                <w:b/>
                <w:bCs/>
                <w:color w:val="FFFFFF" w:themeColor="background1"/>
                <w:sz w:val="18"/>
                <w:szCs w:val="18"/>
              </w:rPr>
            </w:pPr>
            <w:r w:rsidRPr="00985A9F">
              <w:rPr>
                <w:b/>
                <w:bCs/>
                <w:color w:val="FFFFFF" w:themeColor="background1"/>
                <w:sz w:val="18"/>
                <w:szCs w:val="18"/>
              </w:rPr>
              <w:t>Revenue Categories</w:t>
            </w:r>
          </w:p>
        </w:tc>
      </w:tr>
      <w:tr w:rsidR="004D4054" w:rsidRPr="006572B8" w14:paraId="2299B140"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80"/>
        </w:trPr>
        <w:tc>
          <w:tcPr>
            <w:tcW w:w="734" w:type="pct"/>
            <w:tcBorders>
              <w:left w:val="single" w:sz="2" w:space="0" w:color="auto"/>
              <w:right w:val="single" w:sz="2" w:space="0" w:color="auto"/>
            </w:tcBorders>
          </w:tcPr>
          <w:p w14:paraId="4B056266"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89CCE0E" w14:textId="77777777" w:rsidR="004D4054" w:rsidRPr="00985A9F" w:rsidRDefault="004D4054" w:rsidP="004D4054">
            <w:pPr>
              <w:jc w:val="both"/>
              <w:rPr>
                <w:color w:val="FFFFFF" w:themeColor="background1"/>
                <w:sz w:val="18"/>
                <w:szCs w:val="18"/>
              </w:rPr>
            </w:pPr>
            <w:r w:rsidRPr="00985A9F">
              <w:rPr>
                <w:color w:val="FFFFFF" w:themeColor="background1"/>
                <w:sz w:val="18"/>
                <w:szCs w:val="18"/>
              </w:rPr>
              <w:t>Revenue from contracts with customers under AASB 15 must be disclosed separately from other sources of revenue.</w:t>
            </w:r>
          </w:p>
        </w:tc>
      </w:tr>
      <w:tr w:rsidR="004D4054" w:rsidRPr="006572B8" w14:paraId="0989FAE8"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80"/>
        </w:trPr>
        <w:tc>
          <w:tcPr>
            <w:tcW w:w="734" w:type="pct"/>
            <w:tcBorders>
              <w:left w:val="single" w:sz="2" w:space="0" w:color="auto"/>
              <w:right w:val="single" w:sz="2" w:space="0" w:color="auto"/>
            </w:tcBorders>
          </w:tcPr>
          <w:p w14:paraId="7D31A6A2"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15.113(a)</w:t>
            </w:r>
          </w:p>
          <w:p w14:paraId="74D29281" w14:textId="77777777" w:rsidR="004D4054" w:rsidRPr="00985A9F" w:rsidRDefault="004D4054" w:rsidP="004D4054">
            <w:pPr>
              <w:pStyle w:val="TableReference"/>
              <w:tabs>
                <w:tab w:val="left" w:pos="3306"/>
              </w:tabs>
              <w:spacing w:before="60"/>
              <w:rPr>
                <w:rFonts w:cs="Calibri"/>
                <w:color w:val="7030A0"/>
                <w:sz w:val="14"/>
              </w:rPr>
            </w:pPr>
          </w:p>
          <w:p w14:paraId="4D4B503B"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15.B89</w:t>
            </w:r>
          </w:p>
          <w:p w14:paraId="5D51BA87" w14:textId="77777777" w:rsidR="004D4054" w:rsidRPr="00985A9F" w:rsidRDefault="004D4054" w:rsidP="004D4054">
            <w:pPr>
              <w:pStyle w:val="TableReference"/>
              <w:tabs>
                <w:tab w:val="left" w:pos="3306"/>
              </w:tabs>
              <w:spacing w:before="60"/>
              <w:rPr>
                <w:rFonts w:cs="Calibri"/>
                <w:color w:val="7030A0"/>
                <w:sz w:val="14"/>
              </w:rPr>
            </w:pPr>
          </w:p>
        </w:tc>
        <w:tc>
          <w:tcPr>
            <w:tcW w:w="4200" w:type="pct"/>
            <w:gridSpan w:val="3"/>
            <w:tcBorders>
              <w:left w:val="single" w:sz="2" w:space="0" w:color="auto"/>
            </w:tcBorders>
            <w:shd w:val="clear" w:color="auto" w:fill="7030A0"/>
          </w:tcPr>
          <w:p w14:paraId="236DB7BE" w14:textId="77777777" w:rsidR="004D4054" w:rsidRPr="00985A9F" w:rsidRDefault="004D4054" w:rsidP="00D2233F">
            <w:pPr>
              <w:jc w:val="both"/>
              <w:rPr>
                <w:color w:val="FFFFFF" w:themeColor="background1"/>
                <w:sz w:val="18"/>
                <w:szCs w:val="18"/>
              </w:rPr>
            </w:pPr>
            <w:r w:rsidRPr="00985A9F">
              <w:rPr>
                <w:color w:val="FFFFFF" w:themeColor="background1"/>
                <w:sz w:val="18"/>
                <w:szCs w:val="18"/>
              </w:rPr>
              <w:t xml:space="preserve">Examples of categories of revenue within the scope of AASB 15 that might be appropriate include, but are not limited to, all of the following: </w:t>
            </w:r>
          </w:p>
          <w:p w14:paraId="432EC0AD" w14:textId="77777777" w:rsidR="004D4054" w:rsidRPr="00EC2F33" w:rsidRDefault="004D4054"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 xml:space="preserve">type of good or service (for example, major product lines); </w:t>
            </w:r>
          </w:p>
          <w:p w14:paraId="73A27FB7" w14:textId="77777777" w:rsidR="004D4054" w:rsidRPr="00EC2F33" w:rsidRDefault="004D4054"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geographical region (for example, country or region);</w:t>
            </w:r>
          </w:p>
          <w:p w14:paraId="3C0A8BA3" w14:textId="77777777" w:rsidR="004D4054" w:rsidRPr="00EC2F33" w:rsidRDefault="004D4054"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 xml:space="preserve">market or type of customer (for example, government and non-government customers); </w:t>
            </w:r>
          </w:p>
          <w:p w14:paraId="7B9BC54D" w14:textId="77777777" w:rsidR="004D4054" w:rsidRPr="00EC2F33" w:rsidRDefault="004D4054"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 xml:space="preserve">type of contract (for example, fixed-price and time-and-materials contracts); </w:t>
            </w:r>
          </w:p>
          <w:p w14:paraId="21ED1A0E" w14:textId="77777777" w:rsidR="004D4054" w:rsidRPr="00EC2F33" w:rsidRDefault="004D4054"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contract duration (for example, short-term and long-term contracts);</w:t>
            </w:r>
          </w:p>
          <w:p w14:paraId="200D40F6" w14:textId="77777777" w:rsidR="004D4054" w:rsidRPr="00EC2F33" w:rsidRDefault="004D4054"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timing of transfer of goods or services (for example, revenue from goods or services transferred to customers at a point in time and revenue from goods or services transferred over time); and</w:t>
            </w:r>
          </w:p>
          <w:p w14:paraId="0DA83871" w14:textId="5B56C8C7" w:rsidR="004D4054" w:rsidRPr="00985A9F" w:rsidRDefault="004D4054" w:rsidP="007122BC">
            <w:pPr>
              <w:numPr>
                <w:ilvl w:val="0"/>
                <w:numId w:val="44"/>
              </w:numPr>
              <w:spacing w:after="60"/>
              <w:ind w:left="426" w:hanging="243"/>
              <w:jc w:val="both"/>
              <w:rPr>
                <w:color w:val="FFFFFF" w:themeColor="background1"/>
                <w:sz w:val="18"/>
                <w:szCs w:val="18"/>
              </w:rPr>
            </w:pPr>
            <w:r w:rsidRPr="00EC2F33">
              <w:rPr>
                <w:rFonts w:cs="Calibri"/>
                <w:color w:val="FFFFFF" w:themeColor="background1"/>
                <w:sz w:val="18"/>
                <w:szCs w:val="18"/>
              </w:rPr>
              <w:t>sales channels (for example, goods sold directly to consumers and goods sold through intermediaries).</w:t>
            </w:r>
          </w:p>
        </w:tc>
      </w:tr>
      <w:tr w:rsidR="004D4054" w:rsidRPr="006572B8" w14:paraId="4ACA8EA5"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1"/>
          <w:wAfter w:w="66" w:type="pct"/>
          <w:trHeight w:val="80"/>
        </w:trPr>
        <w:tc>
          <w:tcPr>
            <w:tcW w:w="734" w:type="pct"/>
            <w:tcBorders>
              <w:left w:val="single" w:sz="2" w:space="0" w:color="auto"/>
              <w:right w:val="single" w:sz="2" w:space="0" w:color="auto"/>
            </w:tcBorders>
          </w:tcPr>
          <w:p w14:paraId="0D6B3E12" w14:textId="77777777" w:rsidR="004D4054" w:rsidRPr="00985A9F" w:rsidRDefault="004D4054" w:rsidP="004D4054">
            <w:pPr>
              <w:pStyle w:val="TableReference"/>
              <w:tabs>
                <w:tab w:val="left" w:pos="3306"/>
              </w:tabs>
              <w:spacing w:before="60"/>
              <w:rPr>
                <w:rFonts w:cs="Calibri"/>
                <w:color w:val="7030A0"/>
                <w:sz w:val="14"/>
              </w:rPr>
            </w:pPr>
          </w:p>
          <w:p w14:paraId="6638FD52" w14:textId="77777777" w:rsidR="004D4054" w:rsidRPr="00985A9F" w:rsidRDefault="004D4054" w:rsidP="004D4054">
            <w:pPr>
              <w:pStyle w:val="TableReference"/>
              <w:tabs>
                <w:tab w:val="left" w:pos="3306"/>
              </w:tabs>
              <w:spacing w:before="60"/>
              <w:rPr>
                <w:rFonts w:cs="Calibri"/>
                <w:color w:val="7030A0"/>
                <w:sz w:val="14"/>
              </w:rPr>
            </w:pPr>
          </w:p>
          <w:p w14:paraId="335B2940" w14:textId="77777777" w:rsidR="004D4054" w:rsidRPr="00985A9F" w:rsidRDefault="004D4054" w:rsidP="004D4054">
            <w:pPr>
              <w:pStyle w:val="TableReference"/>
              <w:tabs>
                <w:tab w:val="left" w:pos="3306"/>
              </w:tabs>
              <w:spacing w:before="60"/>
              <w:rPr>
                <w:rFonts w:cs="Calibri"/>
                <w:color w:val="7030A0"/>
                <w:sz w:val="14"/>
              </w:rPr>
            </w:pPr>
          </w:p>
          <w:p w14:paraId="4B4A5CC2" w14:textId="77777777" w:rsidR="004D4054" w:rsidRPr="00985A9F" w:rsidRDefault="004D4054" w:rsidP="004D4054">
            <w:pPr>
              <w:pStyle w:val="TableReference"/>
              <w:tabs>
                <w:tab w:val="left" w:pos="3306"/>
              </w:tabs>
              <w:spacing w:before="60"/>
              <w:rPr>
                <w:rFonts w:cs="Calibri"/>
                <w:color w:val="7030A0"/>
                <w:sz w:val="14"/>
              </w:rPr>
            </w:pPr>
          </w:p>
          <w:p w14:paraId="7ED55684" w14:textId="77777777" w:rsidR="004D4054" w:rsidRPr="00985A9F" w:rsidRDefault="004D4054" w:rsidP="004D4054">
            <w:pPr>
              <w:pStyle w:val="TableReference"/>
              <w:tabs>
                <w:tab w:val="left" w:pos="3306"/>
              </w:tabs>
              <w:spacing w:before="60"/>
              <w:rPr>
                <w:rFonts w:cs="Calibri"/>
                <w:color w:val="7030A0"/>
                <w:sz w:val="14"/>
              </w:rPr>
            </w:pPr>
            <w:r w:rsidRPr="00985A9F">
              <w:rPr>
                <w:rFonts w:cs="Calibri"/>
                <w:color w:val="7030A0"/>
                <w:sz w:val="14"/>
              </w:rPr>
              <w:t>AASB 1058.26</w:t>
            </w:r>
          </w:p>
        </w:tc>
        <w:tc>
          <w:tcPr>
            <w:tcW w:w="4200" w:type="pct"/>
            <w:gridSpan w:val="3"/>
            <w:tcBorders>
              <w:left w:val="single" w:sz="2" w:space="0" w:color="auto"/>
            </w:tcBorders>
            <w:shd w:val="clear" w:color="auto" w:fill="7030A0"/>
          </w:tcPr>
          <w:p w14:paraId="5964F033" w14:textId="77777777" w:rsidR="004D4054" w:rsidRPr="00985A9F" w:rsidRDefault="004D4054" w:rsidP="00D2233F">
            <w:pPr>
              <w:jc w:val="both"/>
              <w:rPr>
                <w:color w:val="FFFFFF" w:themeColor="background1"/>
                <w:sz w:val="18"/>
                <w:szCs w:val="18"/>
              </w:rPr>
            </w:pPr>
            <w:r w:rsidRPr="00985A9F">
              <w:rPr>
                <w:color w:val="FFFFFF" w:themeColor="background1"/>
                <w:sz w:val="18"/>
                <w:szCs w:val="18"/>
              </w:rPr>
              <w:t xml:space="preserve">Examples of categories of income within the scope of AASB 1058 that might be appropriate include, but are not limited to, all of the following: </w:t>
            </w:r>
          </w:p>
          <w:p w14:paraId="105FC440" w14:textId="77777777" w:rsidR="004D4054" w:rsidRPr="00EC2F33" w:rsidRDefault="004D4054"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 xml:space="preserve">grants, bequests and donations of cash, other financial assets and goods; </w:t>
            </w:r>
          </w:p>
          <w:p w14:paraId="44F8780F" w14:textId="77777777" w:rsidR="004D4054" w:rsidRPr="00EC2F33" w:rsidRDefault="004D4054" w:rsidP="007122BC">
            <w:pPr>
              <w:numPr>
                <w:ilvl w:val="0"/>
                <w:numId w:val="44"/>
              </w:numPr>
              <w:spacing w:after="60"/>
              <w:ind w:left="426" w:hanging="243"/>
              <w:jc w:val="both"/>
              <w:rPr>
                <w:rFonts w:cs="Calibri"/>
                <w:color w:val="FFFFFF" w:themeColor="background1"/>
                <w:sz w:val="18"/>
                <w:szCs w:val="18"/>
              </w:rPr>
            </w:pPr>
            <w:r w:rsidRPr="00EC2F33">
              <w:rPr>
                <w:rFonts w:cs="Calibri"/>
                <w:color w:val="FFFFFF" w:themeColor="background1"/>
                <w:sz w:val="18"/>
                <w:szCs w:val="18"/>
              </w:rPr>
              <w:t>recognised volunteer services; and</w:t>
            </w:r>
          </w:p>
          <w:p w14:paraId="0B22A2C1" w14:textId="05B04785" w:rsidR="004D4054" w:rsidRPr="00985A9F" w:rsidRDefault="004D4054" w:rsidP="007122BC">
            <w:pPr>
              <w:numPr>
                <w:ilvl w:val="0"/>
                <w:numId w:val="44"/>
              </w:numPr>
              <w:spacing w:after="120"/>
              <w:ind w:left="425" w:hanging="244"/>
              <w:jc w:val="both"/>
              <w:rPr>
                <w:color w:val="FFFFFF" w:themeColor="background1"/>
                <w:sz w:val="18"/>
                <w:szCs w:val="18"/>
              </w:rPr>
            </w:pPr>
            <w:r w:rsidRPr="00EC2F33">
              <w:rPr>
                <w:rFonts w:cs="Calibri"/>
                <w:color w:val="FFFFFF" w:themeColor="background1"/>
                <w:sz w:val="18"/>
                <w:szCs w:val="18"/>
              </w:rPr>
              <w:t>appropriation income.</w:t>
            </w:r>
            <w:r w:rsidR="00FA7C77">
              <w:rPr>
                <w:color w:val="FFFFFF" w:themeColor="background1"/>
                <w:sz w:val="18"/>
                <w:szCs w:val="18"/>
              </w:rPr>
              <w:t xml:space="preserve"> </w:t>
            </w:r>
          </w:p>
        </w:tc>
      </w:tr>
    </w:tbl>
    <w:p w14:paraId="13F92F05" w14:textId="77777777" w:rsidR="00EC2F33" w:rsidRDefault="00EC2F33">
      <w:r>
        <w:br w:type="page"/>
      </w:r>
    </w:p>
    <w:tbl>
      <w:tblPr>
        <w:tblW w:w="5129" w:type="pct"/>
        <w:tblInd w:w="-6" w:type="dxa"/>
        <w:shd w:val="clear" w:color="auto" w:fill="CCFFCC"/>
        <w:tblLook w:val="00A0" w:firstRow="1" w:lastRow="0" w:firstColumn="1" w:lastColumn="0" w:noHBand="0" w:noVBand="0"/>
      </w:tblPr>
      <w:tblGrid>
        <w:gridCol w:w="1556"/>
        <w:gridCol w:w="6"/>
        <w:gridCol w:w="8934"/>
      </w:tblGrid>
      <w:tr w:rsidR="00EC2F33" w:rsidRPr="00CF7E1B" w14:paraId="633C54E6" w14:textId="77777777" w:rsidTr="002F4A89">
        <w:trPr>
          <w:trHeight w:val="80"/>
        </w:trPr>
        <w:tc>
          <w:tcPr>
            <w:tcW w:w="744" w:type="pct"/>
            <w:gridSpan w:val="2"/>
            <w:tcBorders>
              <w:left w:val="single" w:sz="2" w:space="0" w:color="auto"/>
              <w:right w:val="single" w:sz="2" w:space="0" w:color="auto"/>
            </w:tcBorders>
          </w:tcPr>
          <w:p w14:paraId="25E2CFDB" w14:textId="77777777" w:rsidR="00EC2F33" w:rsidRPr="00985A9F" w:rsidRDefault="00EC2F33" w:rsidP="00DA5473">
            <w:pPr>
              <w:pStyle w:val="TableReference"/>
              <w:tabs>
                <w:tab w:val="left" w:pos="3306"/>
              </w:tabs>
              <w:rPr>
                <w:color w:val="7030A0"/>
              </w:rPr>
            </w:pPr>
            <w:r w:rsidRPr="00985A9F">
              <w:rPr>
                <w:color w:val="7030A0"/>
              </w:rPr>
              <w:br w:type="page"/>
            </w:r>
            <w:r w:rsidRPr="00985A9F">
              <w:rPr>
                <w:rFonts w:cs="Calibri"/>
                <w:b/>
                <w:color w:val="7030A0"/>
                <w:sz w:val="22"/>
                <w:szCs w:val="22"/>
              </w:rPr>
              <w:t>Reference</w:t>
            </w:r>
          </w:p>
        </w:tc>
        <w:tc>
          <w:tcPr>
            <w:tcW w:w="4256" w:type="pct"/>
            <w:tcBorders>
              <w:left w:val="single" w:sz="2" w:space="0" w:color="auto"/>
            </w:tcBorders>
            <w:shd w:val="clear" w:color="auto" w:fill="7030A0"/>
            <w:vAlign w:val="center"/>
          </w:tcPr>
          <w:p w14:paraId="094CD2B6" w14:textId="77777777" w:rsidR="00EC2F33" w:rsidRPr="00985A9F" w:rsidRDefault="00EC2F33" w:rsidP="00EC2F33">
            <w:pPr>
              <w:pStyle w:val="CommentaryTitle"/>
              <w:spacing w:before="0" w:after="120"/>
              <w:rPr>
                <w:color w:val="FFFFFF" w:themeColor="background1"/>
                <w:sz w:val="12"/>
                <w:szCs w:val="14"/>
              </w:rPr>
            </w:pPr>
            <w:r w:rsidRPr="00985A9F">
              <w:rPr>
                <w:rFonts w:cs="Calibri"/>
                <w:bCs w:val="0"/>
                <w:color w:val="FFFFFF" w:themeColor="background1"/>
                <w:sz w:val="28"/>
                <w:szCs w:val="28"/>
              </w:rPr>
              <w:t xml:space="preserve">Commentary – Note 5: Sales of Goods and Services from Contracts with Customers </w:t>
            </w:r>
            <w:r>
              <w:rPr>
                <w:rFonts w:cs="Calibri"/>
                <w:bCs w:val="0"/>
                <w:color w:val="FFFFFF" w:themeColor="background1"/>
                <w:sz w:val="28"/>
                <w:szCs w:val="28"/>
              </w:rPr>
              <w:t>–</w:t>
            </w:r>
            <w:r w:rsidRPr="00985A9F">
              <w:rPr>
                <w:rFonts w:cs="Calibri"/>
                <w:bCs w:val="0"/>
                <w:color w:val="FFFFFF" w:themeColor="background1"/>
                <w:sz w:val="28"/>
                <w:szCs w:val="28"/>
              </w:rPr>
              <w:t xml:space="preserve"> Continued</w:t>
            </w:r>
            <w:r>
              <w:rPr>
                <w:rFonts w:cs="Calibri"/>
                <w:bCs w:val="0"/>
                <w:color w:val="FFFFFF" w:themeColor="background1"/>
                <w:sz w:val="28"/>
                <w:szCs w:val="28"/>
              </w:rPr>
              <w:t xml:space="preserve"> </w:t>
            </w:r>
          </w:p>
        </w:tc>
      </w:tr>
      <w:tr w:rsidR="005B43FE" w:rsidRPr="006572B8" w14:paraId="597ACAF7" w14:textId="77777777" w:rsidTr="002F4A89">
        <w:trPr>
          <w:trHeight w:val="80"/>
        </w:trPr>
        <w:tc>
          <w:tcPr>
            <w:tcW w:w="744" w:type="pct"/>
            <w:gridSpan w:val="2"/>
            <w:tcBorders>
              <w:left w:val="single" w:sz="2" w:space="0" w:color="auto"/>
              <w:right w:val="single" w:sz="2" w:space="0" w:color="auto"/>
            </w:tcBorders>
          </w:tcPr>
          <w:p w14:paraId="698931A9" w14:textId="7051FA38" w:rsidR="005B43FE" w:rsidRPr="00985A9F" w:rsidRDefault="005B43FE" w:rsidP="004D405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4F430745" w14:textId="3F9F8986" w:rsidR="005B43FE" w:rsidRPr="00985A9F" w:rsidRDefault="005B43FE" w:rsidP="004D4054">
            <w:pPr>
              <w:spacing w:after="40"/>
              <w:rPr>
                <w:b/>
                <w:bCs/>
                <w:color w:val="FFFFFF" w:themeColor="background1"/>
                <w:sz w:val="18"/>
                <w:szCs w:val="18"/>
              </w:rPr>
            </w:pPr>
            <w:r w:rsidRPr="00985A9F">
              <w:rPr>
                <w:b/>
                <w:bCs/>
                <w:color w:val="FFFFFF" w:themeColor="background1"/>
                <w:sz w:val="18"/>
                <w:szCs w:val="18"/>
              </w:rPr>
              <w:t>User Charge Revenue</w:t>
            </w:r>
          </w:p>
        </w:tc>
      </w:tr>
      <w:tr w:rsidR="005B43FE" w:rsidRPr="006572B8" w14:paraId="7CC6194C" w14:textId="77777777" w:rsidTr="002F4A89">
        <w:trPr>
          <w:trHeight w:val="780"/>
        </w:trPr>
        <w:tc>
          <w:tcPr>
            <w:tcW w:w="744" w:type="pct"/>
            <w:gridSpan w:val="2"/>
            <w:tcBorders>
              <w:left w:val="single" w:sz="2" w:space="0" w:color="auto"/>
              <w:right w:val="single" w:sz="2" w:space="0" w:color="auto"/>
            </w:tcBorders>
          </w:tcPr>
          <w:p w14:paraId="2B6AFE30" w14:textId="77777777" w:rsidR="005B43FE" w:rsidRPr="00985A9F" w:rsidRDefault="005B43FE" w:rsidP="004D405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42A63182" w14:textId="1EA3C388" w:rsidR="005B43FE" w:rsidRPr="00985A9F" w:rsidRDefault="005B43FE" w:rsidP="00985A9F">
            <w:pPr>
              <w:spacing w:after="40"/>
              <w:jc w:val="both"/>
              <w:rPr>
                <w:color w:val="FFFFFF" w:themeColor="background1"/>
                <w:sz w:val="18"/>
                <w:szCs w:val="18"/>
              </w:rPr>
            </w:pPr>
            <w:r w:rsidRPr="00985A9F">
              <w:rPr>
                <w:color w:val="FFFFFF" w:themeColor="background1"/>
                <w:sz w:val="18"/>
                <w:szCs w:val="18"/>
              </w:rPr>
              <w:t xml:space="preserve">User charge revenue relates to the sale of goods or provision of services to other entities (including ACT Government </w:t>
            </w:r>
            <w:r w:rsidR="003850B2" w:rsidRPr="00985A9F">
              <w:rPr>
                <w:color w:val="FFFFFF" w:themeColor="background1"/>
                <w:sz w:val="18"/>
                <w:szCs w:val="18"/>
              </w:rPr>
              <w:t>Entities</w:t>
            </w:r>
            <w:r w:rsidRPr="00985A9F">
              <w:rPr>
                <w:color w:val="FFFFFF" w:themeColor="background1"/>
                <w:sz w:val="18"/>
                <w:szCs w:val="18"/>
              </w:rPr>
              <w:t>). User charges are generated by consumer demand, are market related and have a commercial nature</w:t>
            </w:r>
            <w:r w:rsidR="00CF7634" w:rsidRPr="00985A9F">
              <w:rPr>
                <w:color w:val="FFFFFF" w:themeColor="background1"/>
                <w:sz w:val="18"/>
                <w:szCs w:val="18"/>
              </w:rPr>
              <w:t>.</w:t>
            </w:r>
            <w:r w:rsidRPr="00985A9F">
              <w:rPr>
                <w:color w:val="FFFFFF" w:themeColor="background1"/>
                <w:sz w:val="18"/>
                <w:szCs w:val="18"/>
              </w:rPr>
              <w:t xml:space="preserve"> </w:t>
            </w:r>
            <w:r w:rsidR="00CF7634" w:rsidRPr="00985A9F">
              <w:rPr>
                <w:color w:val="FFFFFF" w:themeColor="background1"/>
                <w:sz w:val="18"/>
                <w:szCs w:val="18"/>
              </w:rPr>
              <w:t>T</w:t>
            </w:r>
            <w:r w:rsidRPr="00985A9F">
              <w:rPr>
                <w:color w:val="FFFFFF" w:themeColor="background1"/>
                <w:sz w:val="18"/>
                <w:szCs w:val="18"/>
              </w:rPr>
              <w:t>hey are non</w:t>
            </w:r>
            <w:r w:rsidR="00CF7634" w:rsidRPr="00985A9F">
              <w:rPr>
                <w:color w:val="FFFFFF" w:themeColor="background1"/>
                <w:sz w:val="18"/>
                <w:szCs w:val="18"/>
              </w:rPr>
              <w:t>-</w:t>
            </w:r>
            <w:r w:rsidRPr="00985A9F">
              <w:rPr>
                <w:color w:val="FFFFFF" w:themeColor="background1"/>
                <w:sz w:val="18"/>
                <w:szCs w:val="18"/>
              </w:rPr>
              <w:t xml:space="preserve">regulatory in nature, in that they are not a policy instrument that government uses to regulate </w:t>
            </w:r>
            <w:r w:rsidR="00CF7634" w:rsidRPr="00985A9F">
              <w:rPr>
                <w:color w:val="FFFFFF" w:themeColor="background1"/>
                <w:sz w:val="18"/>
                <w:szCs w:val="18"/>
              </w:rPr>
              <w:t xml:space="preserve">an </w:t>
            </w:r>
            <w:r w:rsidRPr="00985A9F">
              <w:rPr>
                <w:color w:val="FFFFFF" w:themeColor="background1"/>
                <w:sz w:val="18"/>
                <w:szCs w:val="18"/>
              </w:rPr>
              <w:t>activity</w:t>
            </w:r>
            <w:r w:rsidR="00CF7634" w:rsidRPr="00985A9F">
              <w:rPr>
                <w:color w:val="FFFFFF" w:themeColor="background1"/>
                <w:sz w:val="18"/>
                <w:szCs w:val="18"/>
              </w:rPr>
              <w:t>.</w:t>
            </w:r>
          </w:p>
        </w:tc>
      </w:tr>
      <w:tr w:rsidR="004D4054" w:rsidRPr="006572B8" w14:paraId="00A78322" w14:textId="77777777" w:rsidTr="002F4A89">
        <w:trPr>
          <w:trHeight w:val="80"/>
        </w:trPr>
        <w:tc>
          <w:tcPr>
            <w:tcW w:w="744" w:type="pct"/>
            <w:gridSpan w:val="2"/>
            <w:tcBorders>
              <w:left w:val="single" w:sz="2" w:space="0" w:color="auto"/>
              <w:right w:val="single" w:sz="2" w:space="0" w:color="auto"/>
            </w:tcBorders>
          </w:tcPr>
          <w:p w14:paraId="140C464A" w14:textId="77777777" w:rsidR="004D4054" w:rsidRPr="00985A9F" w:rsidRDefault="004D4054" w:rsidP="004D4054">
            <w:pPr>
              <w:pStyle w:val="TableReference"/>
              <w:tabs>
                <w:tab w:val="left" w:pos="3306"/>
              </w:tabs>
              <w:spacing w:before="60"/>
              <w:rPr>
                <w:rFonts w:cs="Calibri"/>
                <w:color w:val="7030A0"/>
                <w:sz w:val="14"/>
              </w:rPr>
            </w:pPr>
          </w:p>
        </w:tc>
        <w:tc>
          <w:tcPr>
            <w:tcW w:w="4256" w:type="pct"/>
            <w:tcBorders>
              <w:left w:val="single" w:sz="2" w:space="0" w:color="auto"/>
            </w:tcBorders>
            <w:shd w:val="clear" w:color="auto" w:fill="7030A0"/>
          </w:tcPr>
          <w:p w14:paraId="35F12F12" w14:textId="4648BC93" w:rsidR="004D4054" w:rsidRPr="00985A9F" w:rsidRDefault="004D4054" w:rsidP="004D4054">
            <w:pPr>
              <w:spacing w:after="40"/>
              <w:rPr>
                <w:b/>
                <w:bCs/>
                <w:color w:val="FFFFFF" w:themeColor="background1"/>
                <w:sz w:val="18"/>
                <w:szCs w:val="18"/>
              </w:rPr>
            </w:pPr>
            <w:r w:rsidRPr="00985A9F">
              <w:rPr>
                <w:b/>
                <w:bCs/>
                <w:color w:val="FFFFFF" w:themeColor="background1"/>
                <w:sz w:val="18"/>
                <w:szCs w:val="18"/>
              </w:rPr>
              <w:t>Transaction Price</w:t>
            </w:r>
          </w:p>
        </w:tc>
      </w:tr>
      <w:tr w:rsidR="004D4054" w:rsidRPr="006572B8" w14:paraId="41E11F19" w14:textId="77777777" w:rsidTr="002F4A89">
        <w:trPr>
          <w:trHeight w:val="136"/>
        </w:trPr>
        <w:tc>
          <w:tcPr>
            <w:tcW w:w="744" w:type="pct"/>
            <w:gridSpan w:val="2"/>
            <w:tcBorders>
              <w:left w:val="single" w:sz="2" w:space="0" w:color="auto"/>
              <w:right w:val="single" w:sz="2" w:space="0" w:color="auto"/>
            </w:tcBorders>
          </w:tcPr>
          <w:p w14:paraId="21260202" w14:textId="77777777" w:rsidR="004D4054" w:rsidRPr="00985A9F" w:rsidRDefault="004D4054" w:rsidP="004D4054">
            <w:pPr>
              <w:pStyle w:val="TableReference"/>
              <w:tabs>
                <w:tab w:val="left" w:pos="3306"/>
              </w:tabs>
              <w:spacing w:before="60"/>
              <w:rPr>
                <w:color w:val="7030A0"/>
                <w:sz w:val="14"/>
              </w:rPr>
            </w:pPr>
            <w:r w:rsidRPr="00985A9F">
              <w:rPr>
                <w:color w:val="7030A0"/>
                <w:sz w:val="14"/>
              </w:rPr>
              <w:t>AASB 15.46</w:t>
            </w:r>
          </w:p>
          <w:p w14:paraId="4A27BA5A" w14:textId="77777777" w:rsidR="004D4054" w:rsidRPr="00985A9F" w:rsidRDefault="004D4054" w:rsidP="004D4054">
            <w:pPr>
              <w:pStyle w:val="TableReference"/>
              <w:tabs>
                <w:tab w:val="left" w:pos="3306"/>
              </w:tabs>
              <w:spacing w:before="60"/>
              <w:rPr>
                <w:color w:val="7030A0"/>
                <w:sz w:val="14"/>
              </w:rPr>
            </w:pPr>
            <w:r w:rsidRPr="00985A9F">
              <w:rPr>
                <w:color w:val="7030A0"/>
                <w:sz w:val="14"/>
              </w:rPr>
              <w:t>AASB 15.48</w:t>
            </w:r>
          </w:p>
          <w:p w14:paraId="7124EE4D" w14:textId="77777777" w:rsidR="004D4054" w:rsidRPr="00985A9F" w:rsidRDefault="004D4054" w:rsidP="004D4054">
            <w:pPr>
              <w:pStyle w:val="TableReference"/>
              <w:tabs>
                <w:tab w:val="left" w:pos="3306"/>
              </w:tabs>
              <w:spacing w:before="60"/>
              <w:rPr>
                <w:color w:val="7030A0"/>
                <w:sz w:val="14"/>
              </w:rPr>
            </w:pPr>
          </w:p>
        </w:tc>
        <w:tc>
          <w:tcPr>
            <w:tcW w:w="4256" w:type="pct"/>
            <w:tcBorders>
              <w:left w:val="single" w:sz="2" w:space="0" w:color="auto"/>
            </w:tcBorders>
            <w:shd w:val="clear" w:color="auto" w:fill="7030A0"/>
          </w:tcPr>
          <w:p w14:paraId="30D6F77C" w14:textId="77777777" w:rsidR="004D4054" w:rsidRPr="00985A9F" w:rsidRDefault="004D4054" w:rsidP="004D4054">
            <w:pPr>
              <w:pStyle w:val="CommentaryText"/>
              <w:tabs>
                <w:tab w:val="left" w:pos="3306"/>
              </w:tabs>
              <w:rPr>
                <w:rFonts w:cs="Calibri"/>
                <w:color w:val="FFFFFF" w:themeColor="background1"/>
                <w:sz w:val="18"/>
                <w:szCs w:val="18"/>
              </w:rPr>
            </w:pPr>
            <w:r w:rsidRPr="00985A9F">
              <w:rPr>
                <w:color w:val="FFFFFF" w:themeColor="background1"/>
                <w:sz w:val="18"/>
                <w:szCs w:val="18"/>
              </w:rPr>
              <w:t>AASB 15 requires recognition of revenue at the amount of the transaction price that is allocated to the performance obligation(s). When determining the transaction price, an agency shall consider the effects of variable consideration, constraining estimates of variable consideration, the existence of a significant financing component in the contract, non-cash consideration, and consideration payable to a customer.</w:t>
            </w:r>
          </w:p>
        </w:tc>
      </w:tr>
      <w:tr w:rsidR="001E378C" w:rsidRPr="006572B8" w14:paraId="19EB29AE" w14:textId="77777777" w:rsidTr="002F4A89">
        <w:trPr>
          <w:trHeight w:val="136"/>
        </w:trPr>
        <w:tc>
          <w:tcPr>
            <w:tcW w:w="744" w:type="pct"/>
            <w:gridSpan w:val="2"/>
            <w:tcBorders>
              <w:left w:val="single" w:sz="2" w:space="0" w:color="auto"/>
              <w:right w:val="single" w:sz="2" w:space="0" w:color="auto"/>
            </w:tcBorders>
          </w:tcPr>
          <w:p w14:paraId="2C391D0B" w14:textId="77777777" w:rsidR="001E378C" w:rsidRPr="00985A9F" w:rsidRDefault="001E378C" w:rsidP="004D4054">
            <w:pPr>
              <w:pStyle w:val="TableReference"/>
              <w:tabs>
                <w:tab w:val="left" w:pos="3306"/>
              </w:tabs>
              <w:spacing w:before="60"/>
              <w:rPr>
                <w:color w:val="7030A0"/>
                <w:sz w:val="14"/>
              </w:rPr>
            </w:pPr>
          </w:p>
        </w:tc>
        <w:tc>
          <w:tcPr>
            <w:tcW w:w="4256" w:type="pct"/>
            <w:tcBorders>
              <w:left w:val="single" w:sz="2" w:space="0" w:color="auto"/>
            </w:tcBorders>
            <w:shd w:val="clear" w:color="auto" w:fill="7030A0"/>
          </w:tcPr>
          <w:p w14:paraId="261BF74E" w14:textId="5123755E" w:rsidR="001E378C" w:rsidRPr="00985A9F" w:rsidRDefault="001E378C" w:rsidP="004D4054">
            <w:pPr>
              <w:pStyle w:val="CommentaryText"/>
              <w:tabs>
                <w:tab w:val="left" w:pos="3306"/>
              </w:tabs>
              <w:rPr>
                <w:color w:val="FFFFFF" w:themeColor="background1"/>
                <w:sz w:val="18"/>
                <w:szCs w:val="18"/>
              </w:rPr>
            </w:pPr>
            <w:r w:rsidRPr="00985A9F">
              <w:rPr>
                <w:color w:val="FFFFFF" w:themeColor="background1"/>
                <w:sz w:val="18"/>
                <w:szCs w:val="18"/>
              </w:rPr>
              <w:t xml:space="preserve">For further information please see ACT Guidance Paper: Revenue Disclosures </w:t>
            </w:r>
            <w:r w:rsidR="003850B2" w:rsidRPr="00985A9F">
              <w:rPr>
                <w:color w:val="FFFFFF" w:themeColor="background1"/>
                <w:sz w:val="18"/>
                <w:szCs w:val="18"/>
              </w:rPr>
              <w:t>and</w:t>
            </w:r>
            <w:r w:rsidRPr="00985A9F">
              <w:rPr>
                <w:color w:val="FFFFFF" w:themeColor="background1"/>
                <w:sz w:val="18"/>
                <w:szCs w:val="18"/>
              </w:rPr>
              <w:t xml:space="preserve"> Workpapers.</w:t>
            </w:r>
          </w:p>
        </w:tc>
      </w:tr>
      <w:tr w:rsidR="00FD30EB" w:rsidRPr="00CF7E1B" w14:paraId="03637591"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036DB92B" w14:textId="44265464" w:rsidR="00FD30EB" w:rsidRPr="00AC0200" w:rsidRDefault="00FD30EB" w:rsidP="00DA5048">
            <w:pPr>
              <w:pStyle w:val="TableReference"/>
              <w:tabs>
                <w:tab w:val="left" w:pos="3306"/>
              </w:tabs>
              <w:spacing w:before="240" w:after="240"/>
              <w:rPr>
                <w:rFonts w:cs="Calibri"/>
                <w:b/>
                <w:color w:val="7030A0"/>
                <w:sz w:val="22"/>
                <w:szCs w:val="22"/>
              </w:rPr>
            </w:pPr>
            <w:r w:rsidRPr="00AC0200">
              <w:rPr>
                <w:rFonts w:cs="Calibri"/>
                <w:b/>
                <w:color w:val="7030A0"/>
                <w:sz w:val="20"/>
                <w:szCs w:val="20"/>
              </w:rPr>
              <w:br w:type="page"/>
            </w:r>
          </w:p>
        </w:tc>
        <w:tc>
          <w:tcPr>
            <w:tcW w:w="4259" w:type="pct"/>
            <w:gridSpan w:val="2"/>
            <w:tcBorders>
              <w:top w:val="nil"/>
              <w:left w:val="single" w:sz="2" w:space="0" w:color="auto"/>
              <w:bottom w:val="nil"/>
              <w:right w:val="nil"/>
            </w:tcBorders>
          </w:tcPr>
          <w:p w14:paraId="236561BE" w14:textId="63DB0C9D" w:rsidR="00FD30EB" w:rsidRPr="00D9571B" w:rsidRDefault="00FD30EB" w:rsidP="009315BB">
            <w:pPr>
              <w:pStyle w:val="Heading1"/>
              <w:numPr>
                <w:ilvl w:val="0"/>
                <w:numId w:val="0"/>
              </w:numPr>
              <w:ind w:left="1134" w:hanging="1134"/>
            </w:pPr>
            <w:bookmarkStart w:id="354" w:name="_Toc98763064"/>
            <w:r w:rsidRPr="00AC0200">
              <w:t>Note 6.</w:t>
            </w:r>
            <w:r w:rsidR="00FA7C77">
              <w:t xml:space="preserve"> </w:t>
            </w:r>
            <w:r w:rsidRPr="00AC0200">
              <w:t xml:space="preserve"> Grants and contributions</w:t>
            </w:r>
            <w:r w:rsidR="000E31C1" w:rsidRPr="00AC0200">
              <w:rPr>
                <w:rFonts w:cs="Calibri"/>
              </w:rPr>
              <w:t xml:space="preserve"> Revenue</w:t>
            </w:r>
            <w:bookmarkEnd w:id="354"/>
          </w:p>
        </w:tc>
      </w:tr>
      <w:tr w:rsidR="0029443E" w:rsidRPr="00CF7E1B" w14:paraId="38467109"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5FE31DA8" w14:textId="77777777" w:rsidR="0029443E" w:rsidRPr="00AC0200" w:rsidRDefault="0029443E"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26F5A1A1" w14:textId="58C45BD3" w:rsidR="0029443E" w:rsidRPr="00AC0200" w:rsidRDefault="00325221" w:rsidP="00407912">
            <w:pPr>
              <w:jc w:val="both"/>
              <w:rPr>
                <w:rFonts w:cs="Calibri"/>
                <w:b/>
                <w:bCs/>
                <w:sz w:val="18"/>
                <w:szCs w:val="18"/>
              </w:rPr>
            </w:pPr>
            <w:r w:rsidRPr="00AC0200">
              <w:rPr>
                <w:rFonts w:cs="Calibri"/>
                <w:b/>
                <w:bCs/>
                <w:sz w:val="18"/>
                <w:szCs w:val="18"/>
              </w:rPr>
              <w:t xml:space="preserve">Description and Material Accounting Policies relating to </w:t>
            </w:r>
            <w:bookmarkStart w:id="355" w:name="_Hlk96499529"/>
            <w:r w:rsidRPr="00AC0200">
              <w:rPr>
                <w:rFonts w:cs="Calibri"/>
                <w:b/>
                <w:bCs/>
                <w:sz w:val="18"/>
                <w:szCs w:val="18"/>
              </w:rPr>
              <w:t>Grants and Contributions</w:t>
            </w:r>
            <w:r w:rsidRPr="00AC0200">
              <w:rPr>
                <w:rFonts w:cs="Calibri"/>
              </w:rPr>
              <w:t xml:space="preserve"> </w:t>
            </w:r>
            <w:r w:rsidRPr="00AC0200">
              <w:rPr>
                <w:rFonts w:cs="Calibri"/>
                <w:b/>
                <w:bCs/>
                <w:sz w:val="18"/>
                <w:szCs w:val="18"/>
              </w:rPr>
              <w:t>Revenue</w:t>
            </w:r>
            <w:bookmarkEnd w:id="355"/>
          </w:p>
        </w:tc>
      </w:tr>
      <w:tr w:rsidR="00325221" w:rsidRPr="00CF7E1B" w14:paraId="69FBC7CD"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67346FB2" w14:textId="77777777" w:rsidR="00325221" w:rsidRPr="00AC0200" w:rsidRDefault="00325221"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61ADF779" w14:textId="50D9C175" w:rsidR="00325221" w:rsidRPr="00AC0200" w:rsidRDefault="00325221" w:rsidP="00797D9C">
            <w:pPr>
              <w:spacing w:before="60"/>
              <w:jc w:val="both"/>
              <w:rPr>
                <w:rFonts w:cs="Calibri"/>
                <w:b/>
                <w:bCs/>
                <w:sz w:val="18"/>
                <w:szCs w:val="18"/>
              </w:rPr>
            </w:pPr>
            <w:r w:rsidRPr="00AC0200">
              <w:rPr>
                <w:rFonts w:cs="Calibri"/>
                <w:i/>
                <w:iCs/>
                <w:sz w:val="18"/>
                <w:szCs w:val="18"/>
              </w:rPr>
              <w:t>General Grant and Contributions Accounting Policy</w:t>
            </w:r>
          </w:p>
        </w:tc>
      </w:tr>
      <w:tr w:rsidR="00325221" w:rsidRPr="00CF7E1B" w14:paraId="165AEA64"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5496E288" w14:textId="7285F7A3" w:rsidR="00325221" w:rsidRPr="00AC0200" w:rsidRDefault="00325221" w:rsidP="009A0F2F">
            <w:pPr>
              <w:pStyle w:val="TableReference"/>
              <w:tabs>
                <w:tab w:val="left" w:pos="3306"/>
              </w:tabs>
              <w:rPr>
                <w:color w:val="7030A0"/>
                <w:sz w:val="14"/>
              </w:rPr>
            </w:pPr>
            <w:r w:rsidRPr="00AC0200">
              <w:rPr>
                <w:color w:val="7030A0"/>
                <w:sz w:val="14"/>
              </w:rPr>
              <w:t>AASB 1058.9</w:t>
            </w:r>
            <w:r w:rsidR="00FA7C77">
              <w:rPr>
                <w:color w:val="7030A0"/>
                <w:sz w:val="14"/>
              </w:rPr>
              <w:t xml:space="preserve"> </w:t>
            </w:r>
          </w:p>
          <w:p w14:paraId="3B7D4D61" w14:textId="77777777" w:rsidR="00325221" w:rsidRPr="00AC0200" w:rsidRDefault="00325221" w:rsidP="009A0F2F">
            <w:pPr>
              <w:pStyle w:val="TableReference"/>
              <w:tabs>
                <w:tab w:val="left" w:pos="3306"/>
              </w:tabs>
              <w:rPr>
                <w:color w:val="7030A0"/>
                <w:sz w:val="14"/>
              </w:rPr>
            </w:pPr>
            <w:r w:rsidRPr="00AC0200">
              <w:rPr>
                <w:color w:val="7030A0"/>
                <w:sz w:val="14"/>
              </w:rPr>
              <w:t xml:space="preserve">AASB 1058.18 </w:t>
            </w:r>
          </w:p>
          <w:p w14:paraId="510E5123" w14:textId="77777777" w:rsidR="00325221" w:rsidRPr="00AC0200" w:rsidRDefault="00325221" w:rsidP="009A0F2F">
            <w:pPr>
              <w:pStyle w:val="TableReference"/>
              <w:tabs>
                <w:tab w:val="left" w:pos="3306"/>
              </w:tabs>
              <w:rPr>
                <w:rFonts w:cs="Calibri"/>
                <w:b/>
                <w:color w:val="7030A0"/>
                <w:sz w:val="14"/>
              </w:rPr>
            </w:pPr>
            <w:r w:rsidRPr="00AC0200">
              <w:rPr>
                <w:color w:val="7030A0"/>
                <w:sz w:val="14"/>
              </w:rPr>
              <w:t>AASB 1058.15</w:t>
            </w:r>
          </w:p>
        </w:tc>
        <w:tc>
          <w:tcPr>
            <w:tcW w:w="4259" w:type="pct"/>
            <w:gridSpan w:val="2"/>
            <w:tcBorders>
              <w:top w:val="nil"/>
              <w:left w:val="single" w:sz="2" w:space="0" w:color="auto"/>
              <w:bottom w:val="nil"/>
              <w:right w:val="nil"/>
            </w:tcBorders>
          </w:tcPr>
          <w:p w14:paraId="46D9388A" w14:textId="7738BE7E" w:rsidR="00325221" w:rsidRPr="00AC0200" w:rsidRDefault="00325221" w:rsidP="00797D9C">
            <w:pPr>
              <w:spacing w:after="80"/>
              <w:jc w:val="both"/>
              <w:rPr>
                <w:sz w:val="18"/>
                <w:szCs w:val="18"/>
              </w:rPr>
            </w:pPr>
            <w:r w:rsidRPr="00AC0200">
              <w:rPr>
                <w:sz w:val="18"/>
                <w:szCs w:val="18"/>
              </w:rPr>
              <w:t>Where ‘</w:t>
            </w:r>
            <w:r w:rsidR="00AA0B6B" w:rsidRPr="00AC0200">
              <w:rPr>
                <w:sz w:val="18"/>
                <w:szCs w:val="18"/>
              </w:rPr>
              <w:t>Burley Griffin</w:t>
            </w:r>
            <w:r w:rsidRPr="00AC0200">
              <w:rPr>
                <w:sz w:val="18"/>
                <w:szCs w:val="18"/>
              </w:rPr>
              <w:t xml:space="preserve"> Agency’ receives an asset or services for significantly less than fair value then the transaction is in the scope of AASB 1058 and revenue is recognised on receipt of the asset / services.</w:t>
            </w:r>
            <w:r w:rsidR="004D4054" w:rsidRPr="00AC0200">
              <w:rPr>
                <w:sz w:val="18"/>
                <w:szCs w:val="18"/>
              </w:rPr>
              <w:t xml:space="preserve"> The related expense </w:t>
            </w:r>
            <w:r w:rsidR="00D15C54">
              <w:rPr>
                <w:sz w:val="18"/>
                <w:szCs w:val="18"/>
              </w:rPr>
              <w:t xml:space="preserve">and/or asset </w:t>
            </w:r>
            <w:r w:rsidR="004D4054" w:rsidRPr="00AC0200">
              <w:rPr>
                <w:sz w:val="18"/>
                <w:szCs w:val="18"/>
              </w:rPr>
              <w:t>is recognised in the line item to which it relates, when the services are received.</w:t>
            </w:r>
          </w:p>
        </w:tc>
      </w:tr>
      <w:tr w:rsidR="00325221" w:rsidRPr="00CF7E1B" w14:paraId="12F753A1"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35B64B9D" w14:textId="77777777" w:rsidR="00325221" w:rsidRPr="00AC0200" w:rsidRDefault="00325221"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340F4F1C" w14:textId="18A656D2" w:rsidR="00325221" w:rsidRPr="00AC0200" w:rsidRDefault="00325221" w:rsidP="00797D9C">
            <w:pPr>
              <w:spacing w:after="80"/>
              <w:jc w:val="both"/>
              <w:rPr>
                <w:sz w:val="18"/>
                <w:szCs w:val="18"/>
              </w:rPr>
            </w:pPr>
            <w:r w:rsidRPr="00AC0200">
              <w:rPr>
                <w:sz w:val="18"/>
                <w:szCs w:val="18"/>
              </w:rPr>
              <w:t xml:space="preserve">Goods and services received free of charge from ACT Government agencies are recognised as resources received free of charge, whereas goods and services received free of charge from entities external to the ACT Government are recognised as </w:t>
            </w:r>
            <w:r w:rsidR="00B22759" w:rsidRPr="00AC0200">
              <w:rPr>
                <w:sz w:val="18"/>
                <w:szCs w:val="18"/>
              </w:rPr>
              <w:t xml:space="preserve">grants, </w:t>
            </w:r>
            <w:r w:rsidRPr="00AC0200">
              <w:rPr>
                <w:sz w:val="18"/>
                <w:szCs w:val="18"/>
              </w:rPr>
              <w:t xml:space="preserve">donations or contributions. </w:t>
            </w:r>
          </w:p>
          <w:p w14:paraId="2D7F9802" w14:textId="61F3F643" w:rsidR="00325221" w:rsidRPr="00AC0200" w:rsidRDefault="009D2B65" w:rsidP="00325221">
            <w:pPr>
              <w:jc w:val="both"/>
              <w:rPr>
                <w:rFonts w:cs="Calibri"/>
                <w:b/>
                <w:bCs/>
                <w:sz w:val="18"/>
                <w:szCs w:val="18"/>
              </w:rPr>
            </w:pPr>
            <w:r>
              <w:rPr>
                <w:sz w:val="18"/>
                <w:szCs w:val="18"/>
              </w:rPr>
              <w:t>All t</w:t>
            </w:r>
            <w:r w:rsidR="00DA5048">
              <w:rPr>
                <w:sz w:val="18"/>
                <w:szCs w:val="18"/>
              </w:rPr>
              <w:t>he s</w:t>
            </w:r>
            <w:r w:rsidR="00325221" w:rsidRPr="00AC0200">
              <w:rPr>
                <w:sz w:val="18"/>
                <w:szCs w:val="18"/>
              </w:rPr>
              <w:t xml:space="preserve">ervices </w:t>
            </w:r>
            <w:r w:rsidR="00DA5048">
              <w:rPr>
                <w:sz w:val="18"/>
                <w:szCs w:val="18"/>
              </w:rPr>
              <w:t xml:space="preserve">listed below are recognised </w:t>
            </w:r>
            <w:r w:rsidR="00DA5048" w:rsidRPr="00AC0200">
              <w:rPr>
                <w:sz w:val="18"/>
                <w:szCs w:val="18"/>
              </w:rPr>
              <w:t>in the Operating Statement</w:t>
            </w:r>
            <w:r w:rsidR="00DA5048">
              <w:rPr>
                <w:sz w:val="18"/>
                <w:szCs w:val="18"/>
              </w:rPr>
              <w:t xml:space="preserve"> </w:t>
            </w:r>
            <w:r w:rsidR="00D15C54">
              <w:rPr>
                <w:sz w:val="18"/>
                <w:szCs w:val="18"/>
              </w:rPr>
              <w:t xml:space="preserve">or Balance Sheet as appropriate </w:t>
            </w:r>
            <w:r w:rsidR="00DA5048">
              <w:rPr>
                <w:sz w:val="18"/>
                <w:szCs w:val="18"/>
              </w:rPr>
              <w:t xml:space="preserve">as services </w:t>
            </w:r>
            <w:r w:rsidR="00325221" w:rsidRPr="00AC0200">
              <w:rPr>
                <w:sz w:val="18"/>
                <w:szCs w:val="18"/>
              </w:rPr>
              <w:t xml:space="preserve">received free of charge </w:t>
            </w:r>
            <w:r w:rsidR="00DA5048">
              <w:rPr>
                <w:sz w:val="18"/>
                <w:szCs w:val="18"/>
              </w:rPr>
              <w:t xml:space="preserve">given they are </w:t>
            </w:r>
            <w:r w:rsidR="00325221" w:rsidRPr="00AC0200">
              <w:rPr>
                <w:sz w:val="18"/>
                <w:szCs w:val="18"/>
              </w:rPr>
              <w:t>reliably measur</w:t>
            </w:r>
            <w:r w:rsidR="00C71650">
              <w:rPr>
                <w:sz w:val="18"/>
                <w:szCs w:val="18"/>
              </w:rPr>
              <w:t>able</w:t>
            </w:r>
            <w:r w:rsidR="00325221" w:rsidRPr="00AC0200">
              <w:rPr>
                <w:sz w:val="18"/>
                <w:szCs w:val="18"/>
              </w:rPr>
              <w:t xml:space="preserve"> and would have been purchased if not provided to the Agency free of charge.</w:t>
            </w:r>
          </w:p>
        </w:tc>
      </w:tr>
      <w:tr w:rsidR="0029443E" w:rsidRPr="00CF7E1B" w14:paraId="69761C13"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45B75772" w14:textId="77777777" w:rsidR="0029443E" w:rsidRPr="00AC0200" w:rsidRDefault="0029443E"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25A2968B" w14:textId="1AE7B4E8" w:rsidR="0029443E" w:rsidRPr="00AC0200" w:rsidRDefault="0029443E" w:rsidP="00407912">
            <w:pPr>
              <w:spacing w:before="120"/>
              <w:jc w:val="both"/>
              <w:rPr>
                <w:rFonts w:cs="Calibri"/>
                <w:i/>
                <w:iCs/>
                <w:sz w:val="18"/>
                <w:szCs w:val="18"/>
              </w:rPr>
            </w:pPr>
            <w:r w:rsidRPr="00AC0200">
              <w:rPr>
                <w:rFonts w:cs="Calibri"/>
                <w:i/>
                <w:iCs/>
                <w:sz w:val="18"/>
                <w:szCs w:val="18"/>
              </w:rPr>
              <w:t>Legal Services</w:t>
            </w:r>
          </w:p>
        </w:tc>
      </w:tr>
      <w:tr w:rsidR="0029443E" w:rsidRPr="00CF7E1B" w14:paraId="059B5513"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6B248DAC" w14:textId="131FE576" w:rsidR="0029443E" w:rsidRPr="00AC0200" w:rsidRDefault="003D0DB3" w:rsidP="000C06DA">
            <w:pPr>
              <w:pStyle w:val="TableReference"/>
              <w:tabs>
                <w:tab w:val="left" w:pos="3306"/>
              </w:tabs>
              <w:rPr>
                <w:rFonts w:cs="Calibri"/>
                <w:b/>
                <w:color w:val="7030A0"/>
                <w:sz w:val="14"/>
              </w:rPr>
            </w:pPr>
            <w:r w:rsidRPr="00AC0200">
              <w:rPr>
                <w:color w:val="7030A0"/>
                <w:sz w:val="14"/>
              </w:rPr>
              <w:t>AASB 1058.18</w:t>
            </w:r>
          </w:p>
        </w:tc>
        <w:tc>
          <w:tcPr>
            <w:tcW w:w="4259" w:type="pct"/>
            <w:gridSpan w:val="2"/>
            <w:tcBorders>
              <w:top w:val="nil"/>
              <w:left w:val="single" w:sz="2" w:space="0" w:color="auto"/>
              <w:bottom w:val="nil"/>
              <w:right w:val="nil"/>
            </w:tcBorders>
          </w:tcPr>
          <w:p w14:paraId="745BECE0" w14:textId="1ECFA0D4" w:rsidR="0029443E" w:rsidRPr="00AC0200" w:rsidRDefault="0029443E" w:rsidP="00953876">
            <w:pPr>
              <w:jc w:val="both"/>
              <w:rPr>
                <w:sz w:val="18"/>
                <w:szCs w:val="18"/>
              </w:rPr>
            </w:pPr>
            <w:r w:rsidRPr="00AC0200">
              <w:rPr>
                <w:rFonts w:cs="Calibri"/>
                <w:sz w:val="18"/>
                <w:szCs w:val="18"/>
              </w:rPr>
              <w:t>Legal Services were received free of charge from the ACT Government Solicitor’s Office (GSO) due to legal action resulting from ‘</w:t>
            </w:r>
            <w:r w:rsidR="00AA0B6B" w:rsidRPr="00AC0200">
              <w:rPr>
                <w:sz w:val="18"/>
                <w:szCs w:val="18"/>
              </w:rPr>
              <w:t>Burley Griffin</w:t>
            </w:r>
            <w:r w:rsidRPr="00AC0200">
              <w:rPr>
                <w:rFonts w:cs="Calibri"/>
                <w:sz w:val="18"/>
                <w:szCs w:val="18"/>
              </w:rPr>
              <w:t xml:space="preserve"> Agency’ burying waste material in landfill which then leaked and </w:t>
            </w:r>
            <w:bookmarkStart w:id="356" w:name="_Hlk72697464"/>
            <w:r w:rsidRPr="00AC0200">
              <w:rPr>
                <w:rFonts w:cs="Calibri"/>
                <w:sz w:val="18"/>
                <w:szCs w:val="18"/>
              </w:rPr>
              <w:t>contaminated</w:t>
            </w:r>
            <w:bookmarkEnd w:id="356"/>
            <w:r w:rsidRPr="00AC0200">
              <w:rPr>
                <w:rFonts w:cs="Calibri"/>
                <w:sz w:val="18"/>
                <w:szCs w:val="18"/>
              </w:rPr>
              <w:t xml:space="preserve"> the area and nearby farmland.</w:t>
            </w:r>
            <w:r w:rsidR="00FA7C77">
              <w:rPr>
                <w:rFonts w:cs="Calibri"/>
                <w:sz w:val="18"/>
                <w:szCs w:val="18"/>
              </w:rPr>
              <w:t xml:space="preserve"> </w:t>
            </w:r>
          </w:p>
        </w:tc>
      </w:tr>
      <w:tr w:rsidR="00D1530C" w:rsidRPr="00CF7E1B" w14:paraId="1D8AA99F"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42B32CBF" w14:textId="77777777" w:rsidR="00D1530C" w:rsidRPr="00AC0200" w:rsidRDefault="00D1530C" w:rsidP="000C06DA">
            <w:pPr>
              <w:pStyle w:val="TableReference"/>
              <w:tabs>
                <w:tab w:val="left" w:pos="3306"/>
              </w:tabs>
              <w:rPr>
                <w:color w:val="7030A0"/>
                <w:sz w:val="14"/>
              </w:rPr>
            </w:pPr>
          </w:p>
        </w:tc>
        <w:tc>
          <w:tcPr>
            <w:tcW w:w="4259" w:type="pct"/>
            <w:gridSpan w:val="2"/>
            <w:tcBorders>
              <w:top w:val="nil"/>
              <w:left w:val="single" w:sz="2" w:space="0" w:color="auto"/>
              <w:bottom w:val="nil"/>
              <w:right w:val="nil"/>
            </w:tcBorders>
          </w:tcPr>
          <w:p w14:paraId="6EC8845C" w14:textId="706C7239" w:rsidR="00D1530C" w:rsidRPr="00AC0200" w:rsidRDefault="00D1530C" w:rsidP="00324B6C">
            <w:pPr>
              <w:spacing w:before="120"/>
              <w:jc w:val="both"/>
              <w:rPr>
                <w:rFonts w:cs="Calibri"/>
                <w:sz w:val="18"/>
                <w:szCs w:val="18"/>
              </w:rPr>
            </w:pPr>
            <w:r w:rsidRPr="00AC0200">
              <w:rPr>
                <w:i/>
                <w:iCs/>
                <w:sz w:val="18"/>
                <w:szCs w:val="18"/>
              </w:rPr>
              <w:t xml:space="preserve">Chief Minister, Treasury and Economic Development Directorate (CMTEDD) </w:t>
            </w:r>
            <w:r w:rsidRPr="00AC0200">
              <w:rPr>
                <w:rFonts w:cs="Calibri"/>
                <w:i/>
                <w:iCs/>
                <w:sz w:val="18"/>
                <w:szCs w:val="18"/>
              </w:rPr>
              <w:t>Resource Received Free of Charge</w:t>
            </w:r>
            <w:r w:rsidR="00FA7C77">
              <w:rPr>
                <w:i/>
                <w:iCs/>
                <w:sz w:val="20"/>
              </w:rPr>
              <w:t xml:space="preserve"> </w:t>
            </w:r>
          </w:p>
        </w:tc>
      </w:tr>
      <w:tr w:rsidR="0029443E" w:rsidRPr="00CF7E1B" w14:paraId="5519AB25"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1C4D921A" w14:textId="77777777" w:rsidR="0029443E" w:rsidRPr="00AC0200" w:rsidRDefault="0029443E"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66EAB474" w14:textId="0E0653AE" w:rsidR="0029443E" w:rsidRPr="00AC0200" w:rsidRDefault="00324B6C" w:rsidP="00324B6C">
            <w:pPr>
              <w:spacing w:before="40" w:after="40"/>
              <w:ind w:left="321"/>
              <w:jc w:val="both"/>
              <w:rPr>
                <w:rFonts w:cs="Calibri"/>
                <w:i/>
                <w:iCs/>
                <w:sz w:val="18"/>
                <w:szCs w:val="18"/>
              </w:rPr>
            </w:pPr>
            <w:r w:rsidRPr="00AC0200">
              <w:rPr>
                <w:rFonts w:cs="Calibri"/>
                <w:i/>
                <w:iCs/>
                <w:sz w:val="18"/>
                <w:szCs w:val="18"/>
              </w:rPr>
              <w:t xml:space="preserve"> </w:t>
            </w:r>
            <w:r w:rsidR="0029443E" w:rsidRPr="00AC0200">
              <w:rPr>
                <w:rFonts w:cs="Calibri"/>
                <w:i/>
                <w:iCs/>
                <w:sz w:val="18"/>
                <w:szCs w:val="18"/>
              </w:rPr>
              <w:t>Shared Services Resource Received Free of Charge</w:t>
            </w:r>
          </w:p>
        </w:tc>
      </w:tr>
      <w:tr w:rsidR="0029443E" w:rsidRPr="00CF7E1B" w14:paraId="521C2D7F"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63594AC1" w14:textId="77777777" w:rsidR="0029443E" w:rsidRPr="00AC0200" w:rsidRDefault="0029443E"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7395BA62" w14:textId="174949C0" w:rsidR="0029443E" w:rsidRPr="00AC0200" w:rsidRDefault="0029443E" w:rsidP="00324B6C">
            <w:pPr>
              <w:spacing w:after="120"/>
              <w:ind w:left="321"/>
              <w:jc w:val="both"/>
              <w:rPr>
                <w:sz w:val="18"/>
                <w:szCs w:val="18"/>
              </w:rPr>
            </w:pPr>
            <w:r w:rsidRPr="00AC0200">
              <w:rPr>
                <w:rFonts w:cs="Calibri"/>
                <w:sz w:val="18"/>
                <w:szCs w:val="18"/>
              </w:rPr>
              <w:t>‘</w:t>
            </w:r>
            <w:r w:rsidR="00AA0B6B" w:rsidRPr="00AC0200">
              <w:rPr>
                <w:sz w:val="18"/>
                <w:szCs w:val="18"/>
              </w:rPr>
              <w:t>Burley Griffin</w:t>
            </w:r>
            <w:r w:rsidRPr="00AC0200">
              <w:rPr>
                <w:rFonts w:cs="Calibri"/>
                <w:sz w:val="18"/>
                <w:szCs w:val="18"/>
              </w:rPr>
              <w:t xml:space="preserve"> Agency’ is required by the ACT Government to use Shared Services for its financial and HR processing.</w:t>
            </w:r>
            <w:r w:rsidR="00FA7C77">
              <w:rPr>
                <w:rFonts w:cs="Calibri"/>
                <w:sz w:val="18"/>
                <w:szCs w:val="18"/>
              </w:rPr>
              <w:t xml:space="preserve"> </w:t>
            </w:r>
            <w:r w:rsidR="00324B6C" w:rsidRPr="00AC0200">
              <w:rPr>
                <w:rFonts w:cs="Calibri"/>
                <w:sz w:val="18"/>
                <w:szCs w:val="18"/>
              </w:rPr>
              <w:t>Shared Services is part of CMTEDD.</w:t>
            </w:r>
            <w:r w:rsidR="00FA7C77">
              <w:rPr>
                <w:rFonts w:cs="Calibri"/>
                <w:sz w:val="18"/>
                <w:szCs w:val="18"/>
              </w:rPr>
              <w:t xml:space="preserve"> </w:t>
            </w:r>
            <w:r w:rsidRPr="00AC0200">
              <w:rPr>
                <w:rFonts w:cs="Calibri"/>
                <w:sz w:val="18"/>
                <w:szCs w:val="18"/>
              </w:rPr>
              <w:t>Given Shared Services is directly appropriated by the ACT Government to provide certain services at a fixed cost to ‘</w:t>
            </w:r>
            <w:r w:rsidR="00AA0B6B" w:rsidRPr="00AC0200">
              <w:rPr>
                <w:sz w:val="18"/>
                <w:szCs w:val="18"/>
              </w:rPr>
              <w:t>Burley Griffin</w:t>
            </w:r>
            <w:r w:rsidRPr="00AC0200">
              <w:rPr>
                <w:rFonts w:cs="Calibri"/>
                <w:sz w:val="18"/>
                <w:szCs w:val="18"/>
              </w:rPr>
              <w:t xml:space="preserve"> Agency’, it means that </w:t>
            </w:r>
            <w:r w:rsidR="00C222C6" w:rsidRPr="00AC0200">
              <w:rPr>
                <w:rFonts w:cs="Calibri"/>
                <w:sz w:val="18"/>
                <w:szCs w:val="18"/>
              </w:rPr>
              <w:t xml:space="preserve">the </w:t>
            </w:r>
            <w:r w:rsidRPr="00AC0200">
              <w:rPr>
                <w:rFonts w:cs="Calibri"/>
                <w:sz w:val="18"/>
                <w:szCs w:val="18"/>
              </w:rPr>
              <w:t>Agency does not have to pay for these services.</w:t>
            </w:r>
            <w:r w:rsidR="00FA7C77">
              <w:rPr>
                <w:rFonts w:cs="Calibri"/>
                <w:sz w:val="18"/>
                <w:szCs w:val="18"/>
              </w:rPr>
              <w:t xml:space="preserve"> </w:t>
            </w:r>
          </w:p>
        </w:tc>
      </w:tr>
      <w:tr w:rsidR="0055481A" w:rsidRPr="00CF7E1B" w14:paraId="2E33DBE0"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4D356356" w14:textId="77777777" w:rsidR="0055481A" w:rsidRPr="00AC0200" w:rsidRDefault="0055481A"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1430C64B" w14:textId="00868E69" w:rsidR="0055481A" w:rsidRPr="00AC0200" w:rsidRDefault="00D1530C" w:rsidP="00324B6C">
            <w:pPr>
              <w:ind w:left="321"/>
              <w:jc w:val="both"/>
              <w:rPr>
                <w:rFonts w:cs="Calibri"/>
                <w:i/>
                <w:iCs/>
                <w:sz w:val="18"/>
                <w:szCs w:val="18"/>
              </w:rPr>
            </w:pPr>
            <w:r w:rsidRPr="00AC0200">
              <w:rPr>
                <w:i/>
                <w:iCs/>
                <w:sz w:val="18"/>
                <w:szCs w:val="18"/>
              </w:rPr>
              <w:t xml:space="preserve">Professional Standards Unit (PSU) </w:t>
            </w:r>
          </w:p>
        </w:tc>
      </w:tr>
      <w:tr w:rsidR="00DC3C21" w:rsidRPr="00CF7E1B" w14:paraId="4A2F5240"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4D7EF130" w14:textId="77777777" w:rsidR="00DC3C21" w:rsidRPr="00AC0200" w:rsidRDefault="00DC3C21"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0D979EDF" w14:textId="77777777" w:rsidR="00DC3C21" w:rsidRDefault="00CD2764" w:rsidP="00CD2764">
            <w:pPr>
              <w:ind w:left="321"/>
              <w:jc w:val="both"/>
              <w:rPr>
                <w:rFonts w:cs="Calibri"/>
                <w:sz w:val="18"/>
                <w:szCs w:val="18"/>
              </w:rPr>
            </w:pPr>
            <w:r w:rsidRPr="00CD2764">
              <w:rPr>
                <w:rFonts w:cs="Calibri"/>
                <w:sz w:val="18"/>
                <w:szCs w:val="18"/>
              </w:rPr>
              <w:t>Professional Standards Unit (PSU) is part of CMTEDD and provides investigation services regarding misconduct and other complaints relating to employees across the ACT Public Service. In addition to investigating complaints, PSU, through the office of the Public Sector Standards Commissioner also advises the Chief Minister on matters arising from investigations conducted.</w:t>
            </w:r>
          </w:p>
          <w:p w14:paraId="19F79582" w14:textId="52471FB1" w:rsidR="00CD2764" w:rsidRPr="00AC0200" w:rsidRDefault="00CD2764" w:rsidP="00CD2764">
            <w:pPr>
              <w:ind w:left="321"/>
              <w:jc w:val="both"/>
              <w:rPr>
                <w:i/>
                <w:iCs/>
                <w:sz w:val="18"/>
                <w:szCs w:val="18"/>
              </w:rPr>
            </w:pPr>
          </w:p>
        </w:tc>
      </w:tr>
      <w:tr w:rsidR="0055481A" w:rsidRPr="00CF7E1B" w14:paraId="758A66D8"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6C3F2B12" w14:textId="77777777" w:rsidR="0055481A" w:rsidRPr="00AC0200" w:rsidRDefault="0055481A"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4E643678" w14:textId="0D8974C7" w:rsidR="00DC3C21" w:rsidRPr="00AC0200" w:rsidRDefault="00F13C6C" w:rsidP="00CD2764">
            <w:pPr>
              <w:jc w:val="both"/>
              <w:rPr>
                <w:sz w:val="18"/>
                <w:szCs w:val="18"/>
              </w:rPr>
            </w:pPr>
            <w:r w:rsidRPr="00AC0200">
              <w:rPr>
                <w:rFonts w:cs="Calibri"/>
                <w:sz w:val="18"/>
                <w:szCs w:val="18"/>
              </w:rPr>
              <w:t>Given PSU</w:t>
            </w:r>
            <w:r w:rsidR="00A948F8" w:rsidRPr="00AC0200">
              <w:rPr>
                <w:rFonts w:cs="Calibri"/>
                <w:sz w:val="18"/>
                <w:szCs w:val="18"/>
              </w:rPr>
              <w:t xml:space="preserve"> </w:t>
            </w:r>
            <w:r w:rsidR="00C8769B" w:rsidRPr="00AC0200">
              <w:rPr>
                <w:rFonts w:cs="Calibri"/>
                <w:sz w:val="18"/>
                <w:szCs w:val="18"/>
              </w:rPr>
              <w:t>is</w:t>
            </w:r>
            <w:r w:rsidR="00A948F8" w:rsidRPr="00AC0200">
              <w:rPr>
                <w:rFonts w:cs="Calibri"/>
                <w:sz w:val="18"/>
                <w:szCs w:val="18"/>
              </w:rPr>
              <w:t xml:space="preserve"> </w:t>
            </w:r>
            <w:r w:rsidRPr="00AC0200">
              <w:rPr>
                <w:rFonts w:cs="Calibri"/>
                <w:sz w:val="18"/>
                <w:szCs w:val="18"/>
              </w:rPr>
              <w:t>directly appropriated by the ACT Government, ‘Burley Griffin Agency’ does not have to pay for these services.</w:t>
            </w:r>
            <w:r w:rsidR="00FA7C77">
              <w:rPr>
                <w:sz w:val="18"/>
                <w:szCs w:val="18"/>
              </w:rPr>
              <w:t xml:space="preserve"> </w:t>
            </w:r>
            <w:r w:rsidR="003A4B88" w:rsidRPr="00AC0200">
              <w:rPr>
                <w:rFonts w:cs="Calibri"/>
                <w:sz w:val="18"/>
                <w:szCs w:val="18"/>
              </w:rPr>
              <w:t>CMTEDD provided ‘Burley Griffin Agency’ with the fair value of the services provided.</w:t>
            </w:r>
          </w:p>
        </w:tc>
      </w:tr>
      <w:tr w:rsidR="00324B6C" w:rsidRPr="00CF7E1B" w14:paraId="58710F89"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69F9730E" w14:textId="77777777" w:rsidR="00324B6C" w:rsidRPr="00AC0200" w:rsidRDefault="00324B6C"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21BFDC3F" w14:textId="588B423A" w:rsidR="00324B6C" w:rsidRPr="00AC0200" w:rsidRDefault="00324B6C" w:rsidP="00A313AA">
            <w:pPr>
              <w:spacing w:before="120"/>
              <w:ind w:left="323"/>
              <w:jc w:val="both"/>
              <w:rPr>
                <w:rFonts w:cs="Calibri"/>
                <w:sz w:val="18"/>
                <w:szCs w:val="18"/>
              </w:rPr>
            </w:pPr>
            <w:r w:rsidRPr="00AC0200">
              <w:rPr>
                <w:i/>
                <w:iCs/>
                <w:sz w:val="18"/>
                <w:szCs w:val="18"/>
              </w:rPr>
              <w:t>Territory Records Office (TRO)</w:t>
            </w:r>
          </w:p>
        </w:tc>
      </w:tr>
      <w:tr w:rsidR="00324B6C" w:rsidRPr="00CF7E1B" w14:paraId="6CE70F3C"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741" w:type="pct"/>
            <w:tcBorders>
              <w:top w:val="nil"/>
              <w:left w:val="single" w:sz="2" w:space="0" w:color="auto"/>
              <w:bottom w:val="nil"/>
              <w:right w:val="single" w:sz="2" w:space="0" w:color="auto"/>
            </w:tcBorders>
          </w:tcPr>
          <w:p w14:paraId="0642FBF4" w14:textId="77777777" w:rsidR="00324B6C" w:rsidRPr="00AC0200" w:rsidRDefault="00324B6C" w:rsidP="000C06DA">
            <w:pPr>
              <w:pStyle w:val="TableReference"/>
              <w:tabs>
                <w:tab w:val="left" w:pos="3306"/>
              </w:tabs>
              <w:rPr>
                <w:rFonts w:cs="Calibri"/>
                <w:b/>
                <w:color w:val="7030A0"/>
                <w:sz w:val="14"/>
              </w:rPr>
            </w:pPr>
          </w:p>
        </w:tc>
        <w:tc>
          <w:tcPr>
            <w:tcW w:w="4259" w:type="pct"/>
            <w:gridSpan w:val="2"/>
            <w:tcBorders>
              <w:top w:val="nil"/>
              <w:left w:val="single" w:sz="2" w:space="0" w:color="auto"/>
              <w:bottom w:val="nil"/>
              <w:right w:val="nil"/>
            </w:tcBorders>
          </w:tcPr>
          <w:p w14:paraId="401CF3AF" w14:textId="52034F36" w:rsidR="00324B6C" w:rsidRPr="00CD2764" w:rsidRDefault="00E95F6B" w:rsidP="00EA5E45">
            <w:pPr>
              <w:ind w:left="323"/>
              <w:jc w:val="both"/>
              <w:rPr>
                <w:sz w:val="18"/>
                <w:szCs w:val="18"/>
              </w:rPr>
            </w:pPr>
            <w:r w:rsidRPr="00CD2764">
              <w:rPr>
                <w:sz w:val="18"/>
                <w:szCs w:val="18"/>
              </w:rPr>
              <w:t>TRO provides record management services to ‘Burley Griffin Agency’ free of charge.</w:t>
            </w:r>
            <w:r w:rsidR="00FA7C77">
              <w:rPr>
                <w:rFonts w:cs="Calibri"/>
                <w:sz w:val="18"/>
                <w:szCs w:val="18"/>
              </w:rPr>
              <w:t xml:space="preserve"> </w:t>
            </w:r>
            <w:r w:rsidRPr="00CD2764">
              <w:rPr>
                <w:rFonts w:cs="Calibri"/>
                <w:sz w:val="18"/>
                <w:szCs w:val="18"/>
              </w:rPr>
              <w:t>TRO is directly appropriated to provide these services across the ACT Government and as such, ‘Burley Griffin Agency’ is required to use these services.</w:t>
            </w:r>
            <w:r w:rsidR="00FA7C77">
              <w:rPr>
                <w:rFonts w:cs="Calibri"/>
                <w:sz w:val="18"/>
                <w:szCs w:val="18"/>
              </w:rPr>
              <w:t xml:space="preserve"> </w:t>
            </w:r>
            <w:r w:rsidR="00C8769B" w:rsidRPr="00CD2764">
              <w:rPr>
                <w:rFonts w:cs="Calibri"/>
                <w:sz w:val="18"/>
                <w:szCs w:val="18"/>
              </w:rPr>
              <w:t>CMTEDD provided ‘Burley Griffin Agency’ with the fair value of the services provided</w:t>
            </w:r>
            <w:r w:rsidR="00202DDD" w:rsidRPr="00CD2764">
              <w:rPr>
                <w:rFonts w:cs="Calibri"/>
                <w:sz w:val="18"/>
                <w:szCs w:val="18"/>
              </w:rPr>
              <w:t>.</w:t>
            </w:r>
            <w:r w:rsidR="00FA7C77">
              <w:rPr>
                <w:rFonts w:cs="Calibri"/>
                <w:sz w:val="18"/>
                <w:szCs w:val="18"/>
              </w:rPr>
              <w:t xml:space="preserve"> </w:t>
            </w:r>
            <w:r w:rsidR="00C8769B" w:rsidRPr="00CD2764">
              <w:rPr>
                <w:rFonts w:cs="Calibri"/>
                <w:sz w:val="18"/>
                <w:szCs w:val="18"/>
              </w:rPr>
              <w:t>TRO</w:t>
            </w:r>
            <w:r w:rsidR="00C8769B" w:rsidRPr="00CD2764">
              <w:rPr>
                <w:sz w:val="18"/>
                <w:szCs w:val="18"/>
              </w:rPr>
              <w:t xml:space="preserve"> is part of CMTEDD</w:t>
            </w:r>
            <w:r w:rsidR="00202DDD" w:rsidRPr="00CD2764">
              <w:rPr>
                <w:sz w:val="18"/>
                <w:szCs w:val="18"/>
              </w:rPr>
              <w:t>.</w:t>
            </w:r>
          </w:p>
          <w:p w14:paraId="4603800B" w14:textId="77777777" w:rsidR="00CD2764" w:rsidRPr="00CD2764" w:rsidRDefault="00CD2764" w:rsidP="00EA5E45">
            <w:pPr>
              <w:ind w:left="323"/>
              <w:jc w:val="both"/>
              <w:rPr>
                <w:sz w:val="18"/>
                <w:szCs w:val="18"/>
              </w:rPr>
            </w:pPr>
          </w:p>
          <w:p w14:paraId="1E1D6AF1" w14:textId="77777777" w:rsidR="00CD2764" w:rsidRDefault="00CD2764" w:rsidP="00EA5E45">
            <w:pPr>
              <w:ind w:left="323"/>
              <w:jc w:val="both"/>
              <w:rPr>
                <w:rFonts w:cs="Calibri"/>
                <w:i/>
                <w:iCs/>
                <w:sz w:val="18"/>
                <w:szCs w:val="18"/>
              </w:rPr>
            </w:pPr>
            <w:r w:rsidRPr="00CD2764">
              <w:rPr>
                <w:rFonts w:cs="Calibri"/>
                <w:i/>
                <w:iCs/>
                <w:sz w:val="18"/>
                <w:szCs w:val="18"/>
              </w:rPr>
              <w:t>Project Management Services provided by Major Projects Canberra (MPC)</w:t>
            </w:r>
          </w:p>
          <w:p w14:paraId="52C86567" w14:textId="54B3CAF1" w:rsidR="00CD2764" w:rsidRPr="00CD2764" w:rsidRDefault="00CD2764" w:rsidP="00EA5E45">
            <w:pPr>
              <w:ind w:left="323"/>
              <w:jc w:val="both"/>
              <w:rPr>
                <w:sz w:val="18"/>
                <w:szCs w:val="18"/>
              </w:rPr>
            </w:pPr>
            <w:r>
              <w:rPr>
                <w:rFonts w:cs="Calibri"/>
                <w:sz w:val="18"/>
                <w:szCs w:val="18"/>
              </w:rPr>
              <w:t>MPC provides procurement and infrastructure delivery services to ‘Burley Griffin Agency’ free of charge. MPC is directly appropriated to deliver these services and as such, ‘Burley Griffin Agency’ is required to use these services.</w:t>
            </w:r>
            <w:r w:rsidR="00FA7C77">
              <w:rPr>
                <w:rFonts w:cs="Calibri"/>
                <w:sz w:val="18"/>
                <w:szCs w:val="18"/>
              </w:rPr>
              <w:t xml:space="preserve"> </w:t>
            </w:r>
            <w:r>
              <w:rPr>
                <w:rFonts w:cs="Calibri"/>
                <w:sz w:val="18"/>
                <w:szCs w:val="18"/>
              </w:rPr>
              <w:t>The fair value of these services provided are capitalised</w:t>
            </w:r>
            <w:r w:rsidR="006902C4">
              <w:rPr>
                <w:rFonts w:cs="Calibri"/>
                <w:sz w:val="18"/>
                <w:szCs w:val="18"/>
              </w:rPr>
              <w:t xml:space="preserve"> </w:t>
            </w:r>
            <w:r>
              <w:rPr>
                <w:rFonts w:cs="Calibri"/>
                <w:sz w:val="18"/>
                <w:szCs w:val="18"/>
              </w:rPr>
              <w:t xml:space="preserve">on the Balance Sheet as they are directly attributable to the creation of the assets for which the service is provided. </w:t>
            </w:r>
          </w:p>
        </w:tc>
      </w:tr>
    </w:tbl>
    <w:p w14:paraId="7069620E" w14:textId="77777777" w:rsidR="006B168B" w:rsidRDefault="006B168B">
      <w:r>
        <w:br w:type="page"/>
      </w:r>
    </w:p>
    <w:tbl>
      <w:tblPr>
        <w:tblW w:w="512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6652"/>
        <w:gridCol w:w="1148"/>
        <w:gridCol w:w="1138"/>
      </w:tblGrid>
      <w:tr w:rsidR="006B168B" w:rsidRPr="00CF7E1B" w14:paraId="0043F9EB" w14:textId="77777777" w:rsidTr="002F4A89">
        <w:trPr>
          <w:cantSplit/>
        </w:trPr>
        <w:tc>
          <w:tcPr>
            <w:tcW w:w="742" w:type="pct"/>
            <w:tcBorders>
              <w:top w:val="nil"/>
              <w:left w:val="single" w:sz="2" w:space="0" w:color="auto"/>
              <w:bottom w:val="nil"/>
              <w:right w:val="single" w:sz="2" w:space="0" w:color="auto"/>
            </w:tcBorders>
          </w:tcPr>
          <w:p w14:paraId="3388B2B1" w14:textId="1F12AC97" w:rsidR="006B168B" w:rsidRPr="00AC0200" w:rsidRDefault="006B168B" w:rsidP="00F22D61">
            <w:pPr>
              <w:pStyle w:val="TableReference"/>
              <w:tabs>
                <w:tab w:val="left" w:pos="3306"/>
              </w:tabs>
              <w:spacing w:before="240"/>
              <w:rPr>
                <w:rFonts w:cs="Calibri"/>
                <w:b/>
                <w:color w:val="7030A0"/>
                <w:sz w:val="22"/>
                <w:szCs w:val="22"/>
              </w:rPr>
            </w:pPr>
            <w:r w:rsidRPr="00AC0200">
              <w:rPr>
                <w:rFonts w:cs="Calibri"/>
                <w:b/>
                <w:color w:val="7030A0"/>
                <w:sz w:val="20"/>
                <w:szCs w:val="20"/>
              </w:rPr>
              <w:br w:type="page"/>
            </w:r>
            <w:r w:rsidRPr="00985A9F">
              <w:rPr>
                <w:rFonts w:cs="Calibri"/>
                <w:b/>
                <w:color w:val="7030A0"/>
                <w:sz w:val="22"/>
                <w:szCs w:val="22"/>
              </w:rPr>
              <w:t>Reference</w:t>
            </w:r>
          </w:p>
        </w:tc>
        <w:tc>
          <w:tcPr>
            <w:tcW w:w="4258" w:type="pct"/>
            <w:gridSpan w:val="3"/>
            <w:tcBorders>
              <w:top w:val="nil"/>
              <w:left w:val="single" w:sz="2" w:space="0" w:color="auto"/>
              <w:bottom w:val="nil"/>
              <w:right w:val="nil"/>
            </w:tcBorders>
          </w:tcPr>
          <w:p w14:paraId="1E3C0978" w14:textId="573E1BC4" w:rsidR="006B168B" w:rsidRPr="00D9571B" w:rsidRDefault="006B168B" w:rsidP="00F22D61">
            <w:pPr>
              <w:pStyle w:val="Heading1"/>
              <w:numPr>
                <w:ilvl w:val="0"/>
                <w:numId w:val="0"/>
              </w:numPr>
            </w:pPr>
            <w:bookmarkStart w:id="357" w:name="_Toc98763065"/>
            <w:r w:rsidRPr="00AC0200">
              <w:t>Note 6.</w:t>
            </w:r>
            <w:r>
              <w:t xml:space="preserve"> </w:t>
            </w:r>
            <w:r w:rsidRPr="00AC0200">
              <w:t xml:space="preserve"> Grants and contributions</w:t>
            </w:r>
            <w:r w:rsidRPr="00AC0200">
              <w:rPr>
                <w:rFonts w:cs="Calibri"/>
              </w:rPr>
              <w:t xml:space="preserve"> Revenue</w:t>
            </w:r>
            <w:r>
              <w:rPr>
                <w:rFonts w:cs="Calibri"/>
              </w:rPr>
              <w:t xml:space="preserve"> – Continued</w:t>
            </w:r>
            <w:bookmarkEnd w:id="357"/>
            <w:r>
              <w:rPr>
                <w:rFonts w:cs="Calibri"/>
              </w:rPr>
              <w:t xml:space="preserve"> </w:t>
            </w:r>
          </w:p>
        </w:tc>
      </w:tr>
      <w:tr w:rsidR="006B168B" w:rsidRPr="00CF7E1B" w14:paraId="72458E27" w14:textId="77777777" w:rsidTr="002F4A89">
        <w:trPr>
          <w:cantSplit/>
        </w:trPr>
        <w:tc>
          <w:tcPr>
            <w:tcW w:w="742" w:type="pct"/>
            <w:tcBorders>
              <w:top w:val="nil"/>
              <w:left w:val="single" w:sz="2" w:space="0" w:color="auto"/>
              <w:bottom w:val="nil"/>
              <w:right w:val="single" w:sz="2" w:space="0" w:color="auto"/>
            </w:tcBorders>
          </w:tcPr>
          <w:p w14:paraId="4AD75E20" w14:textId="77777777" w:rsidR="006B168B" w:rsidRPr="00AC0200" w:rsidRDefault="006B168B" w:rsidP="00DA5473">
            <w:pPr>
              <w:pStyle w:val="TableReference"/>
              <w:tabs>
                <w:tab w:val="left" w:pos="3306"/>
              </w:tabs>
              <w:rPr>
                <w:rFonts w:cs="Calibri"/>
                <w:b/>
                <w:color w:val="7030A0"/>
                <w:sz w:val="14"/>
              </w:rPr>
            </w:pPr>
          </w:p>
        </w:tc>
        <w:tc>
          <w:tcPr>
            <w:tcW w:w="4258" w:type="pct"/>
            <w:gridSpan w:val="3"/>
            <w:tcBorders>
              <w:top w:val="nil"/>
              <w:left w:val="single" w:sz="2" w:space="0" w:color="auto"/>
              <w:bottom w:val="nil"/>
              <w:right w:val="nil"/>
            </w:tcBorders>
          </w:tcPr>
          <w:p w14:paraId="4342BC7B" w14:textId="19DF2C75" w:rsidR="006B168B" w:rsidRPr="00AC0200" w:rsidRDefault="006B168B" w:rsidP="00DA5473">
            <w:pPr>
              <w:jc w:val="both"/>
              <w:rPr>
                <w:rFonts w:cs="Calibri"/>
                <w:b/>
                <w:bCs/>
                <w:sz w:val="18"/>
                <w:szCs w:val="18"/>
              </w:rPr>
            </w:pPr>
            <w:r w:rsidRPr="00AC0200">
              <w:rPr>
                <w:rFonts w:cs="Calibri"/>
                <w:b/>
                <w:bCs/>
                <w:sz w:val="18"/>
                <w:szCs w:val="18"/>
              </w:rPr>
              <w:t>Description and Material Accounting Policies relating to Grants and Contributions</w:t>
            </w:r>
            <w:r w:rsidRPr="00AC0200">
              <w:rPr>
                <w:rFonts w:cs="Calibri"/>
              </w:rPr>
              <w:t xml:space="preserve"> </w:t>
            </w:r>
            <w:r w:rsidRPr="00AC0200">
              <w:rPr>
                <w:rFonts w:cs="Calibri"/>
                <w:b/>
                <w:bCs/>
                <w:sz w:val="18"/>
                <w:szCs w:val="18"/>
              </w:rPr>
              <w:t>Revenue</w:t>
            </w:r>
            <w:r>
              <w:rPr>
                <w:rFonts w:cs="Calibri"/>
                <w:b/>
                <w:bCs/>
                <w:sz w:val="18"/>
                <w:szCs w:val="18"/>
              </w:rPr>
              <w:t xml:space="preserve"> – Continued </w:t>
            </w:r>
          </w:p>
        </w:tc>
      </w:tr>
      <w:tr w:rsidR="0029443E" w:rsidRPr="00CF7E1B" w14:paraId="0279AED5" w14:textId="77777777" w:rsidTr="002F4A89">
        <w:trPr>
          <w:cantSplit/>
        </w:trPr>
        <w:tc>
          <w:tcPr>
            <w:tcW w:w="742" w:type="pct"/>
            <w:tcBorders>
              <w:top w:val="nil"/>
              <w:left w:val="single" w:sz="2" w:space="0" w:color="auto"/>
              <w:bottom w:val="nil"/>
              <w:right w:val="single" w:sz="2" w:space="0" w:color="auto"/>
            </w:tcBorders>
          </w:tcPr>
          <w:p w14:paraId="153D71AB" w14:textId="6D51A665" w:rsidR="0029443E" w:rsidRPr="00AC0200" w:rsidRDefault="0029443E" w:rsidP="000C06DA">
            <w:pPr>
              <w:pStyle w:val="TableReference"/>
              <w:tabs>
                <w:tab w:val="left" w:pos="3306"/>
              </w:tabs>
              <w:rPr>
                <w:rFonts w:cs="Calibri"/>
                <w:b/>
                <w:color w:val="7030A0"/>
                <w:sz w:val="14"/>
              </w:rPr>
            </w:pPr>
          </w:p>
        </w:tc>
        <w:tc>
          <w:tcPr>
            <w:tcW w:w="4258" w:type="pct"/>
            <w:gridSpan w:val="3"/>
            <w:tcBorders>
              <w:top w:val="nil"/>
              <w:left w:val="single" w:sz="2" w:space="0" w:color="auto"/>
              <w:bottom w:val="nil"/>
              <w:right w:val="nil"/>
            </w:tcBorders>
          </w:tcPr>
          <w:p w14:paraId="713E6A1C" w14:textId="797DF0AF" w:rsidR="0029443E" w:rsidRPr="00AC0200" w:rsidRDefault="0029443E" w:rsidP="00407912">
            <w:pPr>
              <w:spacing w:before="120"/>
              <w:jc w:val="both"/>
              <w:rPr>
                <w:rFonts w:cs="Calibri"/>
                <w:sz w:val="18"/>
                <w:szCs w:val="18"/>
              </w:rPr>
            </w:pPr>
            <w:r w:rsidRPr="00AC0200">
              <w:rPr>
                <w:rFonts w:cs="Calibri"/>
                <w:i/>
                <w:iCs/>
                <w:sz w:val="18"/>
                <w:szCs w:val="18"/>
              </w:rPr>
              <w:t>Volunteer Services Received Free of Charge</w:t>
            </w:r>
          </w:p>
        </w:tc>
      </w:tr>
      <w:tr w:rsidR="0029443E" w:rsidRPr="00CF7E1B" w14:paraId="227CBE0D" w14:textId="77777777" w:rsidTr="002F4A89">
        <w:trPr>
          <w:cantSplit/>
        </w:trPr>
        <w:tc>
          <w:tcPr>
            <w:tcW w:w="742" w:type="pct"/>
            <w:tcBorders>
              <w:top w:val="nil"/>
              <w:left w:val="single" w:sz="2" w:space="0" w:color="auto"/>
              <w:bottom w:val="nil"/>
              <w:right w:val="single" w:sz="2" w:space="0" w:color="auto"/>
            </w:tcBorders>
          </w:tcPr>
          <w:p w14:paraId="6666F103" w14:textId="77777777" w:rsidR="0029443E" w:rsidRPr="00AC0200" w:rsidRDefault="0029443E" w:rsidP="000C06DA">
            <w:pPr>
              <w:pStyle w:val="TableReference"/>
              <w:tabs>
                <w:tab w:val="left" w:pos="3306"/>
              </w:tabs>
              <w:rPr>
                <w:rFonts w:cs="Calibri"/>
                <w:b/>
                <w:color w:val="7030A0"/>
                <w:sz w:val="14"/>
              </w:rPr>
            </w:pPr>
          </w:p>
        </w:tc>
        <w:tc>
          <w:tcPr>
            <w:tcW w:w="4258" w:type="pct"/>
            <w:gridSpan w:val="3"/>
            <w:tcBorders>
              <w:top w:val="nil"/>
              <w:left w:val="single" w:sz="2" w:space="0" w:color="auto"/>
              <w:bottom w:val="nil"/>
              <w:right w:val="nil"/>
            </w:tcBorders>
          </w:tcPr>
          <w:p w14:paraId="1638F787" w14:textId="7316A9FB" w:rsidR="0029443E" w:rsidRPr="00AC0200" w:rsidRDefault="0029443E" w:rsidP="00F56C8D">
            <w:pPr>
              <w:spacing w:after="120"/>
              <w:jc w:val="both"/>
              <w:rPr>
                <w:sz w:val="18"/>
                <w:szCs w:val="18"/>
              </w:rPr>
            </w:pPr>
            <w:r w:rsidRPr="00AC0200">
              <w:rPr>
                <w:rFonts w:cs="Calibri"/>
                <w:sz w:val="18"/>
                <w:szCs w:val="18"/>
              </w:rPr>
              <w:t>Each financial year ‘</w:t>
            </w:r>
            <w:r w:rsidR="00AA0B6B" w:rsidRPr="00AC0200">
              <w:rPr>
                <w:sz w:val="18"/>
                <w:szCs w:val="18"/>
              </w:rPr>
              <w:t>Burley Griffin</w:t>
            </w:r>
            <w:r w:rsidRPr="00AC0200">
              <w:rPr>
                <w:rFonts w:cs="Calibri"/>
                <w:sz w:val="18"/>
                <w:szCs w:val="18"/>
              </w:rPr>
              <w:t xml:space="preserve"> Agency’ runs ‘Example Multicultural Festival’.</w:t>
            </w:r>
            <w:r w:rsidR="00FA7C77">
              <w:rPr>
                <w:rFonts w:cs="Calibri"/>
                <w:sz w:val="18"/>
                <w:szCs w:val="18"/>
              </w:rPr>
              <w:t xml:space="preserve"> </w:t>
            </w:r>
            <w:r w:rsidRPr="00AC0200">
              <w:rPr>
                <w:rFonts w:cs="Calibri"/>
                <w:sz w:val="18"/>
                <w:szCs w:val="18"/>
              </w:rPr>
              <w:t>As part of the festival approximately 130 staff from within the ACT Government volunteered to help out and undertake tasks such as Area Wardens, Reception Assistances, Festival Information Tent Officers, VIP Welcome Assistants and Logistics Radio Officers. In addition, approximately 40 volunteers external to the ACT Government also assisted in the running of the festival.</w:t>
            </w:r>
            <w:r w:rsidR="00FA7C77">
              <w:rPr>
                <w:rFonts w:cs="Calibri"/>
                <w:sz w:val="18"/>
                <w:szCs w:val="18"/>
              </w:rPr>
              <w:t xml:space="preserve"> </w:t>
            </w:r>
          </w:p>
        </w:tc>
      </w:tr>
      <w:tr w:rsidR="00F95AFF" w:rsidRPr="00CF7E1B" w14:paraId="73F352F0" w14:textId="77777777" w:rsidTr="002F4A89">
        <w:trPr>
          <w:cantSplit/>
        </w:trPr>
        <w:tc>
          <w:tcPr>
            <w:tcW w:w="742" w:type="pct"/>
            <w:tcBorders>
              <w:top w:val="nil"/>
              <w:left w:val="single" w:sz="2" w:space="0" w:color="auto"/>
              <w:bottom w:val="nil"/>
              <w:right w:val="single" w:sz="2" w:space="0" w:color="auto"/>
            </w:tcBorders>
          </w:tcPr>
          <w:p w14:paraId="46F9117E" w14:textId="77777777" w:rsidR="00F95AFF" w:rsidRPr="00AC0200" w:rsidRDefault="00F95AFF" w:rsidP="00A23E0E">
            <w:pPr>
              <w:pStyle w:val="TableReference"/>
              <w:tabs>
                <w:tab w:val="left" w:pos="3306"/>
              </w:tabs>
              <w:spacing w:before="240"/>
              <w:rPr>
                <w:rFonts w:cs="Calibri"/>
                <w:b/>
                <w:color w:val="7030A0"/>
                <w:sz w:val="20"/>
                <w:szCs w:val="20"/>
              </w:rPr>
            </w:pPr>
          </w:p>
        </w:tc>
        <w:tc>
          <w:tcPr>
            <w:tcW w:w="4258" w:type="pct"/>
            <w:gridSpan w:val="3"/>
            <w:tcBorders>
              <w:top w:val="nil"/>
              <w:left w:val="single" w:sz="2" w:space="0" w:color="auto"/>
              <w:bottom w:val="nil"/>
              <w:right w:val="nil"/>
            </w:tcBorders>
          </w:tcPr>
          <w:p w14:paraId="5C20DE0C" w14:textId="2AEFA93C" w:rsidR="00F95AFF" w:rsidRPr="00AC0200" w:rsidRDefault="00F95AFF" w:rsidP="00F95AFF">
            <w:pPr>
              <w:pStyle w:val="Normal1"/>
              <w:jc w:val="both"/>
              <w:rPr>
                <w:rFonts w:eastAsia="Times New Roman" w:cs="Calibri"/>
                <w:noProof w:val="0"/>
                <w:kern w:val="0"/>
                <w:sz w:val="18"/>
                <w:szCs w:val="18"/>
                <w:lang w:eastAsia="en-US"/>
              </w:rPr>
            </w:pPr>
            <w:r w:rsidRPr="00AC0200">
              <w:rPr>
                <w:rFonts w:eastAsia="Times New Roman" w:cs="Calibri"/>
                <w:noProof w:val="0"/>
                <w:kern w:val="0"/>
                <w:sz w:val="18"/>
                <w:szCs w:val="18"/>
                <w:lang w:eastAsia="en-US"/>
              </w:rPr>
              <w:t xml:space="preserve">The value of these volunteers’ time can be reliably measured by </w:t>
            </w:r>
            <w:r w:rsidR="00AA0B6B" w:rsidRPr="00AC0200">
              <w:rPr>
                <w:rFonts w:eastAsia="Times New Roman" w:cs="Calibri"/>
                <w:noProof w:val="0"/>
                <w:kern w:val="0"/>
                <w:sz w:val="18"/>
                <w:szCs w:val="18"/>
                <w:lang w:eastAsia="en-US"/>
              </w:rPr>
              <w:t>‘</w:t>
            </w:r>
            <w:r w:rsidR="00AA0B6B" w:rsidRPr="00AC0200">
              <w:rPr>
                <w:sz w:val="18"/>
                <w:szCs w:val="18"/>
              </w:rPr>
              <w:t xml:space="preserve">Burley Griffin </w:t>
            </w:r>
            <w:r w:rsidRPr="00AC0200">
              <w:rPr>
                <w:rFonts w:eastAsia="Times New Roman" w:cs="Calibri"/>
                <w:noProof w:val="0"/>
                <w:kern w:val="0"/>
                <w:sz w:val="18"/>
                <w:szCs w:val="18"/>
                <w:lang w:eastAsia="en-US"/>
              </w:rPr>
              <w:t>Agency’ as a number of quotes were obtained from the private sector to provide services for the festival, however these services were ultimately undertaken by volunteers.</w:t>
            </w:r>
            <w:r w:rsidR="00FA7C77">
              <w:rPr>
                <w:rFonts w:eastAsia="Times New Roman" w:cs="Calibri"/>
                <w:noProof w:val="0"/>
                <w:kern w:val="0"/>
                <w:sz w:val="18"/>
                <w:szCs w:val="18"/>
                <w:lang w:eastAsia="en-US"/>
              </w:rPr>
              <w:t xml:space="preserve"> </w:t>
            </w:r>
          </w:p>
        </w:tc>
      </w:tr>
      <w:tr w:rsidR="000A4241" w:rsidRPr="00CF7E1B" w14:paraId="7AC1E0AE" w14:textId="77777777" w:rsidTr="002F4A89">
        <w:trPr>
          <w:cantSplit/>
        </w:trPr>
        <w:tc>
          <w:tcPr>
            <w:tcW w:w="742" w:type="pct"/>
            <w:tcBorders>
              <w:top w:val="nil"/>
              <w:left w:val="single" w:sz="2" w:space="0" w:color="auto"/>
              <w:bottom w:val="nil"/>
              <w:right w:val="single" w:sz="2" w:space="0" w:color="auto"/>
            </w:tcBorders>
          </w:tcPr>
          <w:p w14:paraId="5C91018C" w14:textId="77777777" w:rsidR="000A4241" w:rsidRPr="00AC0200" w:rsidRDefault="000A4241" w:rsidP="00A07F3D">
            <w:pPr>
              <w:pStyle w:val="TableReference"/>
              <w:tabs>
                <w:tab w:val="left" w:pos="3306"/>
              </w:tabs>
              <w:rPr>
                <w:rFonts w:cs="Calibri"/>
                <w:b/>
                <w:color w:val="7030A0"/>
                <w:sz w:val="20"/>
                <w:szCs w:val="20"/>
              </w:rPr>
            </w:pPr>
          </w:p>
        </w:tc>
        <w:tc>
          <w:tcPr>
            <w:tcW w:w="4258" w:type="pct"/>
            <w:gridSpan w:val="3"/>
            <w:tcBorders>
              <w:top w:val="nil"/>
              <w:left w:val="single" w:sz="2" w:space="0" w:color="auto"/>
              <w:bottom w:val="nil"/>
              <w:right w:val="nil"/>
            </w:tcBorders>
          </w:tcPr>
          <w:p w14:paraId="41F54E19" w14:textId="3EF8BAC7" w:rsidR="000A4241" w:rsidRPr="00AC0200" w:rsidRDefault="000A4241" w:rsidP="00A07F3D">
            <w:pPr>
              <w:pStyle w:val="Normal1"/>
              <w:spacing w:before="120"/>
              <w:jc w:val="both"/>
              <w:rPr>
                <w:rFonts w:eastAsia="Times New Roman" w:cs="Calibri"/>
                <w:noProof w:val="0"/>
                <w:kern w:val="0"/>
                <w:sz w:val="18"/>
                <w:szCs w:val="18"/>
                <w:lang w:eastAsia="en-US"/>
              </w:rPr>
            </w:pPr>
            <w:r w:rsidRPr="00AC0200">
              <w:rPr>
                <w:rFonts w:eastAsia="Times New Roman"/>
                <w:i/>
                <w:iCs/>
                <w:noProof w:val="0"/>
                <w:kern w:val="0"/>
                <w:sz w:val="18"/>
                <w:szCs w:val="18"/>
                <w:lang w:eastAsia="en-US"/>
              </w:rPr>
              <w:t xml:space="preserve">COVID-19 Administration and </w:t>
            </w:r>
            <w:r w:rsidR="00A07F3D" w:rsidRPr="00AC0200">
              <w:rPr>
                <w:rFonts w:eastAsia="Times New Roman"/>
                <w:i/>
                <w:iCs/>
                <w:noProof w:val="0"/>
                <w:kern w:val="0"/>
                <w:sz w:val="18"/>
                <w:szCs w:val="18"/>
                <w:lang w:eastAsia="en-US"/>
              </w:rPr>
              <w:t>L</w:t>
            </w:r>
            <w:r w:rsidRPr="00AC0200">
              <w:rPr>
                <w:rFonts w:eastAsia="Times New Roman"/>
                <w:i/>
                <w:iCs/>
                <w:noProof w:val="0"/>
                <w:kern w:val="0"/>
                <w:sz w:val="18"/>
                <w:szCs w:val="18"/>
                <w:lang w:eastAsia="en-US"/>
              </w:rPr>
              <w:t xml:space="preserve">ogistical </w:t>
            </w:r>
            <w:r w:rsidR="00A07F3D" w:rsidRPr="00AC0200">
              <w:rPr>
                <w:rFonts w:eastAsia="Times New Roman"/>
                <w:i/>
                <w:iCs/>
                <w:noProof w:val="0"/>
                <w:kern w:val="0"/>
                <w:sz w:val="18"/>
                <w:szCs w:val="18"/>
                <w:lang w:eastAsia="en-US"/>
              </w:rPr>
              <w:t>S</w:t>
            </w:r>
            <w:r w:rsidRPr="00AC0200">
              <w:rPr>
                <w:rFonts w:eastAsia="Times New Roman"/>
                <w:i/>
                <w:iCs/>
                <w:noProof w:val="0"/>
                <w:kern w:val="0"/>
                <w:sz w:val="18"/>
                <w:szCs w:val="18"/>
                <w:lang w:eastAsia="en-US"/>
              </w:rPr>
              <w:t>upport</w:t>
            </w:r>
          </w:p>
        </w:tc>
      </w:tr>
      <w:tr w:rsidR="00A07F3D" w:rsidRPr="00CF7E1B" w14:paraId="6A81FB80" w14:textId="77777777" w:rsidTr="002F4A89">
        <w:trPr>
          <w:cantSplit/>
        </w:trPr>
        <w:tc>
          <w:tcPr>
            <w:tcW w:w="742" w:type="pct"/>
            <w:tcBorders>
              <w:top w:val="nil"/>
              <w:left w:val="single" w:sz="2" w:space="0" w:color="auto"/>
              <w:bottom w:val="nil"/>
              <w:right w:val="single" w:sz="2" w:space="0" w:color="auto"/>
            </w:tcBorders>
          </w:tcPr>
          <w:p w14:paraId="2AC12072" w14:textId="77777777" w:rsidR="00A07F3D" w:rsidRPr="00AC0200" w:rsidRDefault="00A07F3D" w:rsidP="00A23E0E">
            <w:pPr>
              <w:pStyle w:val="TableReference"/>
              <w:tabs>
                <w:tab w:val="left" w:pos="3306"/>
              </w:tabs>
              <w:spacing w:before="240"/>
              <w:rPr>
                <w:rFonts w:cs="Calibri"/>
                <w:b/>
                <w:color w:val="7030A0"/>
                <w:sz w:val="20"/>
                <w:szCs w:val="20"/>
              </w:rPr>
            </w:pPr>
          </w:p>
        </w:tc>
        <w:tc>
          <w:tcPr>
            <w:tcW w:w="4258" w:type="pct"/>
            <w:gridSpan w:val="3"/>
            <w:tcBorders>
              <w:top w:val="nil"/>
              <w:left w:val="single" w:sz="2" w:space="0" w:color="auto"/>
              <w:bottom w:val="nil"/>
              <w:right w:val="nil"/>
            </w:tcBorders>
          </w:tcPr>
          <w:p w14:paraId="4E0680A4" w14:textId="097D674B" w:rsidR="00A07F3D" w:rsidRPr="00AC0200" w:rsidRDefault="00A07F3D" w:rsidP="00A07F3D">
            <w:pPr>
              <w:pStyle w:val="Normal1"/>
              <w:jc w:val="both"/>
              <w:rPr>
                <w:rFonts w:eastAsia="Times New Roman"/>
                <w:noProof w:val="0"/>
                <w:kern w:val="0"/>
                <w:sz w:val="18"/>
                <w:szCs w:val="18"/>
                <w:lang w:eastAsia="en-US"/>
              </w:rPr>
            </w:pPr>
            <w:r w:rsidRPr="00AC0200">
              <w:rPr>
                <w:rFonts w:eastAsia="Times New Roman"/>
                <w:noProof w:val="0"/>
                <w:kern w:val="0"/>
                <w:sz w:val="18"/>
                <w:szCs w:val="18"/>
                <w:lang w:eastAsia="en-US"/>
              </w:rPr>
              <w:t>During the COVID-19 pandemic ‘Burley Griffin Agency’ received support</w:t>
            </w:r>
            <w:r w:rsidR="007B5795">
              <w:rPr>
                <w:rFonts w:eastAsia="Times New Roman"/>
                <w:noProof w:val="0"/>
                <w:kern w:val="0"/>
                <w:sz w:val="18"/>
                <w:szCs w:val="18"/>
                <w:lang w:eastAsia="en-US"/>
              </w:rPr>
              <w:t xml:space="preserve"> free of charge</w:t>
            </w:r>
            <w:r w:rsidRPr="00AC0200">
              <w:rPr>
                <w:rFonts w:eastAsia="Times New Roman"/>
                <w:noProof w:val="0"/>
                <w:kern w:val="0"/>
                <w:sz w:val="18"/>
                <w:szCs w:val="18"/>
                <w:lang w:eastAsia="en-US"/>
              </w:rPr>
              <w:t xml:space="preserve"> from other ACT Government Agencies with</w:t>
            </w:r>
            <w:r w:rsidR="00C8769B" w:rsidRPr="00AC0200">
              <w:rPr>
                <w:rFonts w:eastAsia="Times New Roman"/>
                <w:noProof w:val="0"/>
                <w:kern w:val="0"/>
                <w:sz w:val="18"/>
                <w:szCs w:val="18"/>
                <w:lang w:eastAsia="en-US"/>
              </w:rPr>
              <w:t xml:space="preserve"> the</w:t>
            </w:r>
            <w:r w:rsidR="00FA7C77">
              <w:rPr>
                <w:rFonts w:eastAsia="Times New Roman"/>
                <w:noProof w:val="0"/>
                <w:kern w:val="0"/>
                <w:sz w:val="18"/>
                <w:szCs w:val="18"/>
                <w:lang w:eastAsia="en-US"/>
              </w:rPr>
              <w:t xml:space="preserve"> </w:t>
            </w:r>
            <w:r w:rsidRPr="00AC0200">
              <w:rPr>
                <w:rFonts w:eastAsia="Times New Roman"/>
                <w:noProof w:val="0"/>
                <w:kern w:val="0"/>
                <w:sz w:val="18"/>
                <w:szCs w:val="18"/>
                <w:lang w:eastAsia="en-US"/>
              </w:rPr>
              <w:t xml:space="preserve"> administration of </w:t>
            </w:r>
            <w:r w:rsidR="00E213C9" w:rsidRPr="00AC0200">
              <w:rPr>
                <w:rFonts w:eastAsia="Times New Roman"/>
                <w:noProof w:val="0"/>
                <w:kern w:val="0"/>
                <w:sz w:val="18"/>
                <w:szCs w:val="18"/>
                <w:lang w:eastAsia="en-US"/>
              </w:rPr>
              <w:t>a</w:t>
            </w:r>
            <w:r w:rsidRPr="00AC0200">
              <w:rPr>
                <w:rFonts w:eastAsia="Times New Roman"/>
                <w:noProof w:val="0"/>
                <w:kern w:val="0"/>
                <w:sz w:val="18"/>
                <w:szCs w:val="18"/>
                <w:lang w:eastAsia="en-US"/>
              </w:rPr>
              <w:t xml:space="preserve"> new public transport timetable</w:t>
            </w:r>
            <w:r w:rsidR="00C8769B" w:rsidRPr="00AC0200">
              <w:rPr>
                <w:rFonts w:eastAsia="Times New Roman"/>
                <w:noProof w:val="0"/>
                <w:kern w:val="0"/>
                <w:sz w:val="18"/>
                <w:szCs w:val="18"/>
                <w:lang w:eastAsia="en-US"/>
              </w:rPr>
              <w:t>.</w:t>
            </w:r>
            <w:r w:rsidR="00FA7C77">
              <w:rPr>
                <w:rFonts w:eastAsia="Times New Roman"/>
                <w:noProof w:val="0"/>
                <w:kern w:val="0"/>
                <w:sz w:val="18"/>
                <w:szCs w:val="18"/>
                <w:lang w:eastAsia="en-US"/>
              </w:rPr>
              <w:t xml:space="preserve"> </w:t>
            </w:r>
            <w:r w:rsidR="00C8769B" w:rsidRPr="00AC0200">
              <w:rPr>
                <w:rFonts w:eastAsia="Times New Roman"/>
                <w:noProof w:val="0"/>
                <w:kern w:val="0"/>
                <w:sz w:val="18"/>
                <w:szCs w:val="18"/>
                <w:lang w:eastAsia="en-US"/>
              </w:rPr>
              <w:t xml:space="preserve">The timetable had to be altered due to the lockdown that occurred in Canberra in August through to November 2021 </w:t>
            </w:r>
            <w:r w:rsidR="00EA5E45" w:rsidRPr="00AC0200">
              <w:rPr>
                <w:rFonts w:eastAsia="Times New Roman"/>
                <w:noProof w:val="0"/>
                <w:kern w:val="0"/>
                <w:sz w:val="18"/>
                <w:szCs w:val="18"/>
                <w:lang w:eastAsia="en-US"/>
              </w:rPr>
              <w:t>resulting</w:t>
            </w:r>
            <w:r w:rsidR="00C8769B" w:rsidRPr="00AC0200">
              <w:rPr>
                <w:rFonts w:eastAsia="Times New Roman"/>
                <w:noProof w:val="0"/>
                <w:kern w:val="0"/>
                <w:sz w:val="18"/>
                <w:szCs w:val="18"/>
                <w:lang w:eastAsia="en-US"/>
              </w:rPr>
              <w:t xml:space="preserve"> </w:t>
            </w:r>
            <w:r w:rsidR="00E213C9" w:rsidRPr="00AC0200">
              <w:rPr>
                <w:rFonts w:eastAsia="Times New Roman"/>
                <w:noProof w:val="0"/>
                <w:kern w:val="0"/>
                <w:sz w:val="18"/>
                <w:szCs w:val="18"/>
                <w:lang w:eastAsia="en-US"/>
              </w:rPr>
              <w:t xml:space="preserve">from </w:t>
            </w:r>
            <w:r w:rsidR="00C8769B" w:rsidRPr="00AC0200">
              <w:rPr>
                <w:rFonts w:eastAsia="Times New Roman"/>
                <w:noProof w:val="0"/>
                <w:kern w:val="0"/>
                <w:sz w:val="18"/>
                <w:szCs w:val="18"/>
                <w:lang w:eastAsia="en-US"/>
              </w:rPr>
              <w:t>a COVID outbreak.</w:t>
            </w:r>
            <w:r w:rsidR="00FA7C77">
              <w:rPr>
                <w:rFonts w:eastAsia="Times New Roman"/>
                <w:noProof w:val="0"/>
                <w:kern w:val="0"/>
                <w:sz w:val="18"/>
                <w:szCs w:val="18"/>
                <w:lang w:eastAsia="en-US"/>
              </w:rPr>
              <w:t xml:space="preserve"> </w:t>
            </w:r>
            <w:r w:rsidRPr="00AC0200">
              <w:rPr>
                <w:rFonts w:eastAsia="Times New Roman"/>
                <w:noProof w:val="0"/>
                <w:kern w:val="0"/>
                <w:sz w:val="18"/>
                <w:szCs w:val="18"/>
                <w:lang w:eastAsia="en-US"/>
              </w:rPr>
              <w:t xml:space="preserve"> </w:t>
            </w:r>
          </w:p>
        </w:tc>
      </w:tr>
      <w:bookmarkEnd w:id="353"/>
      <w:tr w:rsidR="00E213C9" w:rsidRPr="00CF7E1B" w14:paraId="100DAFFA" w14:textId="77777777" w:rsidTr="002F4A89">
        <w:trPr>
          <w:cantSplit/>
        </w:trPr>
        <w:tc>
          <w:tcPr>
            <w:tcW w:w="742" w:type="pct"/>
            <w:tcBorders>
              <w:top w:val="nil"/>
              <w:left w:val="single" w:sz="2" w:space="0" w:color="auto"/>
              <w:bottom w:val="nil"/>
              <w:right w:val="single" w:sz="2" w:space="0" w:color="auto"/>
            </w:tcBorders>
          </w:tcPr>
          <w:p w14:paraId="0C9136AD" w14:textId="77777777" w:rsidR="00E213C9" w:rsidRPr="00AC0200" w:rsidRDefault="00E213C9" w:rsidP="00E213C9">
            <w:pPr>
              <w:pStyle w:val="TableReference"/>
              <w:tabs>
                <w:tab w:val="left" w:pos="3306"/>
              </w:tabs>
              <w:rPr>
                <w:rFonts w:cs="Calibri"/>
                <w:b/>
                <w:color w:val="7030A0"/>
                <w:sz w:val="20"/>
                <w:szCs w:val="20"/>
              </w:rPr>
            </w:pPr>
          </w:p>
        </w:tc>
        <w:tc>
          <w:tcPr>
            <w:tcW w:w="4258" w:type="pct"/>
            <w:gridSpan w:val="3"/>
            <w:tcBorders>
              <w:top w:val="nil"/>
              <w:left w:val="single" w:sz="2" w:space="0" w:color="auto"/>
              <w:bottom w:val="nil"/>
              <w:right w:val="nil"/>
            </w:tcBorders>
          </w:tcPr>
          <w:p w14:paraId="39EB399B" w14:textId="20BFD48A" w:rsidR="00E213C9" w:rsidRPr="00AC0200" w:rsidRDefault="00E213C9" w:rsidP="00E213C9">
            <w:pPr>
              <w:pStyle w:val="Heading1"/>
              <w:numPr>
                <w:ilvl w:val="0"/>
                <w:numId w:val="0"/>
              </w:numPr>
              <w:spacing w:before="120" w:after="0"/>
              <w:rPr>
                <w:rFonts w:ascii="Calibri" w:hAnsi="Calibri" w:cs="Calibri"/>
                <w:b w:val="0"/>
                <w:bCs w:val="0"/>
                <w:i/>
                <w:iCs/>
                <w:caps w:val="0"/>
                <w:sz w:val="18"/>
                <w:szCs w:val="18"/>
              </w:rPr>
            </w:pPr>
            <w:bookmarkStart w:id="358" w:name="_Toc98763066"/>
            <w:r w:rsidRPr="00AC0200">
              <w:rPr>
                <w:rFonts w:ascii="Calibri" w:hAnsi="Calibri" w:cs="Calibri"/>
                <w:b w:val="0"/>
                <w:bCs w:val="0"/>
                <w:i/>
                <w:iCs/>
                <w:caps w:val="0"/>
                <w:sz w:val="18"/>
                <w:szCs w:val="18"/>
              </w:rPr>
              <w:t>Other Grants and Contributions</w:t>
            </w:r>
            <w:bookmarkEnd w:id="358"/>
          </w:p>
        </w:tc>
      </w:tr>
      <w:tr w:rsidR="00E213C9" w:rsidRPr="00CF7E1B" w14:paraId="74BFE3A4" w14:textId="77777777" w:rsidTr="002F4A89">
        <w:trPr>
          <w:cantSplit/>
        </w:trPr>
        <w:tc>
          <w:tcPr>
            <w:tcW w:w="742" w:type="pct"/>
            <w:tcBorders>
              <w:top w:val="nil"/>
              <w:left w:val="single" w:sz="2" w:space="0" w:color="auto"/>
              <w:bottom w:val="nil"/>
              <w:right w:val="single" w:sz="2" w:space="0" w:color="auto"/>
            </w:tcBorders>
          </w:tcPr>
          <w:p w14:paraId="0191F3EE" w14:textId="77777777" w:rsidR="00E213C9" w:rsidRPr="00AC0200" w:rsidRDefault="00E213C9" w:rsidP="00E213C9">
            <w:pPr>
              <w:pStyle w:val="TableReference"/>
              <w:tabs>
                <w:tab w:val="left" w:pos="3306"/>
              </w:tabs>
              <w:rPr>
                <w:rFonts w:cs="Calibri"/>
                <w:b/>
                <w:color w:val="7030A0"/>
                <w:sz w:val="20"/>
                <w:szCs w:val="20"/>
              </w:rPr>
            </w:pPr>
          </w:p>
        </w:tc>
        <w:tc>
          <w:tcPr>
            <w:tcW w:w="4258" w:type="pct"/>
            <w:gridSpan w:val="3"/>
            <w:tcBorders>
              <w:top w:val="nil"/>
              <w:left w:val="single" w:sz="2" w:space="0" w:color="auto"/>
              <w:bottom w:val="nil"/>
              <w:right w:val="nil"/>
            </w:tcBorders>
          </w:tcPr>
          <w:p w14:paraId="5747B38C" w14:textId="096D5FAB" w:rsidR="00E213C9" w:rsidRPr="00AC0200" w:rsidRDefault="00E213C9" w:rsidP="00E213C9">
            <w:pPr>
              <w:pStyle w:val="Heading1"/>
              <w:numPr>
                <w:ilvl w:val="0"/>
                <w:numId w:val="0"/>
              </w:numPr>
              <w:spacing w:before="0" w:after="60"/>
              <w:jc w:val="both"/>
              <w:rPr>
                <w:rFonts w:ascii="Calibri" w:hAnsi="Calibri" w:cs="Calibri"/>
                <w:b w:val="0"/>
                <w:bCs w:val="0"/>
                <w:caps w:val="0"/>
                <w:sz w:val="18"/>
                <w:szCs w:val="18"/>
              </w:rPr>
            </w:pPr>
            <w:bookmarkStart w:id="359" w:name="_Toc98763067"/>
            <w:r w:rsidRPr="00AC0200">
              <w:rPr>
                <w:rFonts w:ascii="Calibri" w:hAnsi="Calibri" w:cs="Calibri"/>
                <w:b w:val="0"/>
                <w:bCs w:val="0"/>
                <w:caps w:val="0"/>
                <w:sz w:val="18"/>
                <w:szCs w:val="18"/>
              </w:rPr>
              <w:t>‘Grants with Sufficiently Specific Performance Obligations’ are recognised as revenue over time in accordance with AASB 15 when ‘Burley Griffin Agency’ satisfies the milestones contained in the funding agreement relating to the conduct of relevant ecological surveys for ‘Example Commonwealth Department’. The funding payments are normally received in advance however are not recognised as revenue until after the relevant obligation is satisfied.</w:t>
            </w:r>
            <w:bookmarkEnd w:id="359"/>
          </w:p>
        </w:tc>
      </w:tr>
      <w:tr w:rsidR="00E213C9" w:rsidRPr="00CF7E1B" w14:paraId="629C4097" w14:textId="77777777" w:rsidTr="002F4A89">
        <w:trPr>
          <w:cantSplit/>
          <w:trHeight w:val="1619"/>
        </w:trPr>
        <w:tc>
          <w:tcPr>
            <w:tcW w:w="742" w:type="pct"/>
            <w:tcBorders>
              <w:top w:val="nil"/>
              <w:left w:val="single" w:sz="2" w:space="0" w:color="auto"/>
              <w:bottom w:val="nil"/>
              <w:right w:val="single" w:sz="2" w:space="0" w:color="auto"/>
            </w:tcBorders>
          </w:tcPr>
          <w:p w14:paraId="7D54EC6F" w14:textId="77777777" w:rsidR="001A67CE" w:rsidRDefault="001A67CE" w:rsidP="001A67CE">
            <w:pPr>
              <w:pStyle w:val="TableReference"/>
              <w:tabs>
                <w:tab w:val="left" w:pos="3306"/>
              </w:tabs>
              <w:rPr>
                <w:color w:val="7030A0"/>
                <w:sz w:val="14"/>
              </w:rPr>
            </w:pPr>
          </w:p>
          <w:p w14:paraId="04FA438D" w14:textId="228C5992" w:rsidR="001A67CE" w:rsidRPr="00AC0200" w:rsidRDefault="001A67CE" w:rsidP="001A67CE">
            <w:pPr>
              <w:pStyle w:val="TableReference"/>
              <w:tabs>
                <w:tab w:val="left" w:pos="3306"/>
              </w:tabs>
              <w:rPr>
                <w:color w:val="7030A0"/>
                <w:sz w:val="14"/>
              </w:rPr>
            </w:pPr>
            <w:r w:rsidRPr="00AC0200">
              <w:rPr>
                <w:color w:val="7030A0"/>
                <w:sz w:val="14"/>
              </w:rPr>
              <w:t xml:space="preserve">AASB 15.31 </w:t>
            </w:r>
          </w:p>
          <w:p w14:paraId="0FFE1F43" w14:textId="77777777" w:rsidR="001A67CE" w:rsidRPr="00AC0200" w:rsidRDefault="001A67CE" w:rsidP="001A67CE">
            <w:pPr>
              <w:pStyle w:val="TableReference"/>
              <w:tabs>
                <w:tab w:val="left" w:pos="3306"/>
              </w:tabs>
              <w:rPr>
                <w:color w:val="7030A0"/>
                <w:sz w:val="14"/>
              </w:rPr>
            </w:pPr>
            <w:r w:rsidRPr="00AC0200">
              <w:rPr>
                <w:color w:val="7030A0"/>
                <w:sz w:val="14"/>
              </w:rPr>
              <w:t>AASB 1058.16</w:t>
            </w:r>
          </w:p>
          <w:p w14:paraId="5408CF1B" w14:textId="2302192B" w:rsidR="00E213C9" w:rsidRPr="00AC0200" w:rsidRDefault="001A67CE" w:rsidP="001A67CE">
            <w:pPr>
              <w:pStyle w:val="TableReference"/>
              <w:tabs>
                <w:tab w:val="left" w:pos="3306"/>
              </w:tabs>
              <w:rPr>
                <w:rFonts w:cs="Calibri"/>
                <w:b/>
                <w:color w:val="7030A0"/>
                <w:sz w:val="14"/>
              </w:rPr>
            </w:pPr>
            <w:r w:rsidRPr="00AC0200">
              <w:rPr>
                <w:color w:val="7030A0"/>
                <w:sz w:val="14"/>
              </w:rPr>
              <w:t>AASB 1058.35</w:t>
            </w:r>
          </w:p>
        </w:tc>
        <w:tc>
          <w:tcPr>
            <w:tcW w:w="4258" w:type="pct"/>
            <w:gridSpan w:val="3"/>
            <w:tcBorders>
              <w:top w:val="nil"/>
              <w:left w:val="single" w:sz="2" w:space="0" w:color="auto"/>
              <w:bottom w:val="nil"/>
              <w:right w:val="nil"/>
            </w:tcBorders>
          </w:tcPr>
          <w:p w14:paraId="70FE309F" w14:textId="11E07DC9" w:rsidR="00E213C9" w:rsidRPr="00AC0200" w:rsidRDefault="00E213C9" w:rsidP="00E213C9">
            <w:pPr>
              <w:spacing w:after="60"/>
              <w:jc w:val="both"/>
              <w:rPr>
                <w:rFonts w:cs="Calibri"/>
                <w:sz w:val="18"/>
                <w:szCs w:val="18"/>
              </w:rPr>
            </w:pPr>
            <w:r w:rsidRPr="00AC0200">
              <w:rPr>
                <w:rFonts w:cs="Calibri"/>
                <w:sz w:val="18"/>
                <w:szCs w:val="18"/>
              </w:rPr>
              <w:t>With the exception of the ‘Grants with Sufficiently Specific Performance Obligations’ line item, ‘</w:t>
            </w:r>
            <w:r w:rsidRPr="00AC0200">
              <w:rPr>
                <w:sz w:val="18"/>
                <w:szCs w:val="18"/>
              </w:rPr>
              <w:t>Burley Griffin</w:t>
            </w:r>
            <w:r w:rsidRPr="00AC0200">
              <w:rPr>
                <w:rFonts w:cs="Calibri"/>
                <w:sz w:val="18"/>
                <w:szCs w:val="18"/>
              </w:rPr>
              <w:t xml:space="preserve"> Agency’ has determined that the agreements/arrangements relating to ‘Other Grants and Contributions’ line items included in this note are not enforceable and they do not contain sufficiently specific performance obligations for recognising revenue from contracts with customers under AASB 15.</w:t>
            </w:r>
            <w:r w:rsidR="00FA7C77">
              <w:rPr>
                <w:rFonts w:cs="Calibri"/>
                <w:sz w:val="18"/>
                <w:szCs w:val="18"/>
              </w:rPr>
              <w:t xml:space="preserve"> </w:t>
            </w:r>
            <w:r w:rsidR="001A67CE" w:rsidRPr="00AC0200">
              <w:rPr>
                <w:rFonts w:cs="Calibri"/>
                <w:sz w:val="18"/>
                <w:szCs w:val="18"/>
              </w:rPr>
              <w:t>This is because none of the arrangements require ‘Burley Griffin Agency’ to provide an equal amount in return for the consideration received.</w:t>
            </w:r>
            <w:r w:rsidR="00FA7C77">
              <w:rPr>
                <w:rFonts w:cs="Calibri"/>
                <w:sz w:val="18"/>
                <w:szCs w:val="18"/>
              </w:rPr>
              <w:t xml:space="preserve"> </w:t>
            </w:r>
            <w:r w:rsidR="001A67CE" w:rsidRPr="00AC0200">
              <w:rPr>
                <w:rFonts w:cs="Calibri"/>
                <w:sz w:val="18"/>
                <w:szCs w:val="18"/>
              </w:rPr>
              <w:t>As such, AASB 1058 has been applied for recognising this revenue.</w:t>
            </w:r>
            <w:r w:rsidR="00FA7C77">
              <w:rPr>
                <w:rFonts w:cs="Calibri"/>
                <w:sz w:val="18"/>
                <w:szCs w:val="18"/>
              </w:rPr>
              <w:t xml:space="preserve"> </w:t>
            </w:r>
            <w:r w:rsidR="001A67CE" w:rsidRPr="00AC0200">
              <w:rPr>
                <w:rFonts w:cs="Calibri"/>
                <w:sz w:val="18"/>
                <w:szCs w:val="18"/>
              </w:rPr>
              <w:t>This revenue is recognised upon receipt of the donation, the grant funding or restructure fund receipts, with the exception of the ‘Grants to Acquire or Construct Assets to be Controlled by the Agency’ line item.</w:t>
            </w:r>
            <w:r w:rsidR="00FA7C77">
              <w:rPr>
                <w:rFonts w:cs="Calibri"/>
                <w:sz w:val="18"/>
                <w:szCs w:val="18"/>
              </w:rPr>
              <w:t xml:space="preserve"> </w:t>
            </w:r>
          </w:p>
        </w:tc>
      </w:tr>
      <w:tr w:rsidR="00E213C9" w:rsidRPr="00CF7E1B" w14:paraId="4F21E3F6" w14:textId="77777777" w:rsidTr="002F4A89">
        <w:trPr>
          <w:cantSplit/>
        </w:trPr>
        <w:tc>
          <w:tcPr>
            <w:tcW w:w="742" w:type="pct"/>
            <w:tcBorders>
              <w:top w:val="nil"/>
              <w:left w:val="single" w:sz="2" w:space="0" w:color="auto"/>
              <w:bottom w:val="nil"/>
              <w:right w:val="single" w:sz="2" w:space="0" w:color="auto"/>
            </w:tcBorders>
          </w:tcPr>
          <w:p w14:paraId="1278C867" w14:textId="77777777" w:rsidR="00E213C9" w:rsidRPr="00AC0200" w:rsidRDefault="00E213C9" w:rsidP="00E213C9">
            <w:pPr>
              <w:pStyle w:val="TableReference"/>
              <w:tabs>
                <w:tab w:val="left" w:pos="3306"/>
              </w:tabs>
              <w:rPr>
                <w:rFonts w:cs="Calibri"/>
                <w:b/>
                <w:color w:val="7030A0"/>
                <w:sz w:val="20"/>
                <w:szCs w:val="20"/>
              </w:rPr>
            </w:pPr>
          </w:p>
          <w:p w14:paraId="0560CB55" w14:textId="77777777" w:rsidR="00E213C9" w:rsidRPr="00AC0200" w:rsidRDefault="00E213C9" w:rsidP="00E213C9">
            <w:pPr>
              <w:pStyle w:val="TableReference"/>
              <w:tabs>
                <w:tab w:val="left" w:pos="3306"/>
              </w:tabs>
              <w:rPr>
                <w:rFonts w:cs="Calibri"/>
                <w:b/>
                <w:color w:val="7030A0"/>
                <w:sz w:val="20"/>
                <w:szCs w:val="20"/>
              </w:rPr>
            </w:pPr>
          </w:p>
          <w:p w14:paraId="57AEAD30" w14:textId="3EACC726" w:rsidR="00E213C9" w:rsidRPr="00AC0200" w:rsidRDefault="00E213C9" w:rsidP="00E213C9">
            <w:pPr>
              <w:pStyle w:val="TableReference"/>
              <w:tabs>
                <w:tab w:val="left" w:pos="3306"/>
              </w:tabs>
              <w:rPr>
                <w:rFonts w:cs="Calibri"/>
                <w:b/>
                <w:color w:val="7030A0"/>
                <w:sz w:val="20"/>
                <w:szCs w:val="20"/>
              </w:rPr>
            </w:pPr>
          </w:p>
        </w:tc>
        <w:tc>
          <w:tcPr>
            <w:tcW w:w="4258" w:type="pct"/>
            <w:gridSpan w:val="3"/>
            <w:tcBorders>
              <w:top w:val="nil"/>
              <w:left w:val="single" w:sz="2" w:space="0" w:color="auto"/>
              <w:bottom w:val="nil"/>
              <w:right w:val="nil"/>
            </w:tcBorders>
          </w:tcPr>
          <w:p w14:paraId="216783F9" w14:textId="7ED0C83A" w:rsidR="00E213C9" w:rsidRPr="00AC0200" w:rsidRDefault="00E213C9" w:rsidP="00E213C9">
            <w:pPr>
              <w:pStyle w:val="Heading1"/>
              <w:numPr>
                <w:ilvl w:val="0"/>
                <w:numId w:val="0"/>
              </w:numPr>
              <w:spacing w:before="0" w:after="0"/>
              <w:jc w:val="both"/>
              <w:rPr>
                <w:rFonts w:asciiTheme="minorHAnsi" w:hAnsiTheme="minorHAnsi" w:cstheme="minorHAnsi"/>
                <w:b w:val="0"/>
                <w:bCs w:val="0"/>
                <w:caps w:val="0"/>
                <w:sz w:val="18"/>
                <w:szCs w:val="18"/>
              </w:rPr>
            </w:pPr>
            <w:bookmarkStart w:id="360" w:name="_Toc98763068"/>
            <w:r w:rsidRPr="00AC0200">
              <w:rPr>
                <w:rFonts w:ascii="Calibri" w:hAnsi="Calibri"/>
                <w:b w:val="0"/>
                <w:bCs w:val="0"/>
                <w:caps w:val="0"/>
                <w:sz w:val="18"/>
                <w:szCs w:val="18"/>
              </w:rPr>
              <w:t>Where</w:t>
            </w:r>
            <w:r w:rsidRPr="00AC0200">
              <w:rPr>
                <w:rFonts w:asciiTheme="minorHAnsi" w:hAnsiTheme="minorHAnsi" w:cstheme="minorHAnsi"/>
                <w:sz w:val="18"/>
                <w:szCs w:val="18"/>
              </w:rPr>
              <w:t xml:space="preserve"> </w:t>
            </w:r>
            <w:r w:rsidRPr="00AC0200">
              <w:rPr>
                <w:rFonts w:ascii="Calibri" w:hAnsi="Calibri"/>
                <w:b w:val="0"/>
                <w:bCs w:val="0"/>
                <w:caps w:val="0"/>
                <w:sz w:val="18"/>
                <w:szCs w:val="18"/>
              </w:rPr>
              <w:t>‘Burley Griffin Agency’</w:t>
            </w:r>
            <w:r w:rsidRPr="00AC0200">
              <w:rPr>
                <w:rFonts w:asciiTheme="minorHAnsi" w:hAnsiTheme="minorHAnsi" w:cstheme="minorHAnsi"/>
                <w:sz w:val="18"/>
                <w:szCs w:val="18"/>
              </w:rPr>
              <w:t xml:space="preserve"> </w:t>
            </w:r>
            <w:r w:rsidRPr="00AC0200">
              <w:rPr>
                <w:rFonts w:ascii="Calibri" w:hAnsi="Calibri"/>
                <w:b w:val="0"/>
                <w:bCs w:val="0"/>
                <w:caps w:val="0"/>
                <w:sz w:val="18"/>
                <w:szCs w:val="18"/>
              </w:rPr>
              <w:t>receives</w:t>
            </w:r>
            <w:r w:rsidRPr="00AC0200">
              <w:rPr>
                <w:rFonts w:asciiTheme="minorHAnsi" w:hAnsiTheme="minorHAnsi" w:cstheme="minorHAnsi"/>
                <w:sz w:val="18"/>
                <w:szCs w:val="18"/>
              </w:rPr>
              <w:t xml:space="preserve"> </w:t>
            </w:r>
            <w:r w:rsidRPr="00AC0200">
              <w:rPr>
                <w:rFonts w:ascii="Calibri" w:hAnsi="Calibri"/>
                <w:b w:val="0"/>
                <w:bCs w:val="0"/>
                <w:caps w:val="0"/>
                <w:sz w:val="18"/>
                <w:szCs w:val="18"/>
              </w:rPr>
              <w:t>‘Grants to Acquire or Construct Assets to be Controlled by the Agency’</w:t>
            </w:r>
            <w:r w:rsidRPr="00AC0200">
              <w:rPr>
                <w:rFonts w:asciiTheme="minorHAnsi" w:hAnsiTheme="minorHAnsi" w:cstheme="minorHAnsi"/>
                <w:sz w:val="18"/>
                <w:szCs w:val="18"/>
              </w:rPr>
              <w:t xml:space="preserve"> </w:t>
            </w:r>
            <w:r w:rsidRPr="00AC0200">
              <w:rPr>
                <w:rFonts w:ascii="Calibri" w:hAnsi="Calibri"/>
                <w:b w:val="0"/>
                <w:bCs w:val="0"/>
                <w:caps w:val="0"/>
                <w:sz w:val="18"/>
                <w:szCs w:val="18"/>
              </w:rPr>
              <w:t>that meet the following</w:t>
            </w:r>
            <w:r w:rsidRPr="00AC0200">
              <w:rPr>
                <w:rFonts w:asciiTheme="minorHAnsi" w:hAnsiTheme="minorHAnsi" w:cstheme="minorHAnsi"/>
                <w:sz w:val="18"/>
                <w:szCs w:val="18"/>
              </w:rPr>
              <w:t>:</w:t>
            </w:r>
            <w:bookmarkEnd w:id="360"/>
          </w:p>
          <w:p w14:paraId="1B3EACEB" w14:textId="77777777" w:rsidR="00E213C9" w:rsidRPr="00AC0200" w:rsidRDefault="00E213C9" w:rsidP="007122BC">
            <w:pPr>
              <w:numPr>
                <w:ilvl w:val="0"/>
                <w:numId w:val="53"/>
              </w:numPr>
              <w:ind w:left="714" w:hanging="357"/>
              <w:jc w:val="both"/>
              <w:rPr>
                <w:sz w:val="18"/>
                <w:szCs w:val="18"/>
              </w:rPr>
            </w:pPr>
            <w:r w:rsidRPr="00AC0200">
              <w:rPr>
                <w:sz w:val="18"/>
                <w:szCs w:val="18"/>
              </w:rPr>
              <w:t>the contract is enforceable;</w:t>
            </w:r>
          </w:p>
          <w:p w14:paraId="4E7C7575" w14:textId="1095B4BB" w:rsidR="00E213C9" w:rsidRPr="00AC0200" w:rsidRDefault="00E213C9" w:rsidP="007122BC">
            <w:pPr>
              <w:numPr>
                <w:ilvl w:val="0"/>
                <w:numId w:val="53"/>
              </w:numPr>
              <w:ind w:left="714" w:hanging="357"/>
              <w:jc w:val="both"/>
              <w:rPr>
                <w:sz w:val="18"/>
                <w:szCs w:val="18"/>
              </w:rPr>
            </w:pPr>
            <w:r w:rsidRPr="00AC0200">
              <w:rPr>
                <w:sz w:val="18"/>
                <w:szCs w:val="18"/>
              </w:rPr>
              <w:t>the financial asset is to be used to acquire or construct a non-financial asset which will be recognised by the agency; and</w:t>
            </w:r>
          </w:p>
          <w:p w14:paraId="6336FA01" w14:textId="17B2EB4A" w:rsidR="00E213C9" w:rsidRPr="00AC0200" w:rsidRDefault="00E213C9" w:rsidP="007122BC">
            <w:pPr>
              <w:numPr>
                <w:ilvl w:val="0"/>
                <w:numId w:val="53"/>
              </w:numPr>
              <w:ind w:left="714" w:hanging="357"/>
              <w:jc w:val="both"/>
              <w:rPr>
                <w:sz w:val="18"/>
                <w:szCs w:val="18"/>
              </w:rPr>
            </w:pPr>
            <w:r w:rsidRPr="00AC0200">
              <w:rPr>
                <w:sz w:val="18"/>
                <w:szCs w:val="18"/>
              </w:rPr>
              <w:t>the asset is not required to be transferred to any other party;</w:t>
            </w:r>
          </w:p>
        </w:tc>
      </w:tr>
      <w:tr w:rsidR="00E213C9" w:rsidRPr="00CF7E1B" w14:paraId="490580F9" w14:textId="77777777" w:rsidTr="002F4A89">
        <w:trPr>
          <w:cantSplit/>
        </w:trPr>
        <w:tc>
          <w:tcPr>
            <w:tcW w:w="742" w:type="pct"/>
            <w:tcBorders>
              <w:top w:val="nil"/>
              <w:left w:val="single" w:sz="2" w:space="0" w:color="auto"/>
              <w:bottom w:val="nil"/>
              <w:right w:val="single" w:sz="2" w:space="0" w:color="auto"/>
            </w:tcBorders>
          </w:tcPr>
          <w:p w14:paraId="12CFB819" w14:textId="77777777" w:rsidR="00E213C9" w:rsidRPr="00AC0200" w:rsidRDefault="00E213C9" w:rsidP="00E213C9">
            <w:pPr>
              <w:pStyle w:val="TableReference"/>
              <w:tabs>
                <w:tab w:val="left" w:pos="3306"/>
              </w:tabs>
              <w:rPr>
                <w:rFonts w:cs="Calibri"/>
                <w:b/>
                <w:color w:val="7030A0"/>
                <w:sz w:val="20"/>
                <w:szCs w:val="20"/>
              </w:rPr>
            </w:pPr>
          </w:p>
        </w:tc>
        <w:tc>
          <w:tcPr>
            <w:tcW w:w="4258" w:type="pct"/>
            <w:gridSpan w:val="3"/>
            <w:tcBorders>
              <w:top w:val="nil"/>
              <w:left w:val="single" w:sz="2" w:space="0" w:color="auto"/>
              <w:bottom w:val="nil"/>
              <w:right w:val="nil"/>
            </w:tcBorders>
          </w:tcPr>
          <w:p w14:paraId="45D64AEF" w14:textId="5EBE394A" w:rsidR="00E213C9" w:rsidRPr="00AC0200" w:rsidRDefault="00E213C9" w:rsidP="00E213C9">
            <w:pPr>
              <w:jc w:val="both"/>
              <w:rPr>
                <w:rFonts w:cs="Calibri"/>
                <w:sz w:val="18"/>
                <w:szCs w:val="18"/>
              </w:rPr>
            </w:pPr>
            <w:r w:rsidRPr="00AC0200">
              <w:rPr>
                <w:sz w:val="18"/>
                <w:szCs w:val="18"/>
              </w:rPr>
              <w:t xml:space="preserve">then a contract liability is recognised on receipt of funds and revenue is recognised as the acquisition or construction occurs, </w:t>
            </w:r>
            <w:r w:rsidRPr="00AC0200">
              <w:rPr>
                <w:rFonts w:cs="Calibri"/>
                <w:sz w:val="18"/>
                <w:szCs w:val="18"/>
              </w:rPr>
              <w:t>using a progressive percentage of costs incurred because this most closely reflects the progress to completion</w:t>
            </w:r>
            <w:r w:rsidRPr="00AC0200">
              <w:rPr>
                <w:sz w:val="18"/>
                <w:szCs w:val="18"/>
              </w:rPr>
              <w:t>.</w:t>
            </w:r>
            <w:r w:rsidR="00FA7C77">
              <w:rPr>
                <w:sz w:val="18"/>
                <w:szCs w:val="18"/>
              </w:rPr>
              <w:t xml:space="preserve"> </w:t>
            </w:r>
          </w:p>
        </w:tc>
      </w:tr>
      <w:tr w:rsidR="00E213C9" w:rsidRPr="00CF7E1B" w14:paraId="4CB0E9C2" w14:textId="77777777" w:rsidTr="002F4A89">
        <w:trPr>
          <w:cantSplit/>
        </w:trPr>
        <w:tc>
          <w:tcPr>
            <w:tcW w:w="742" w:type="pct"/>
            <w:tcBorders>
              <w:top w:val="nil"/>
              <w:left w:val="single" w:sz="2" w:space="0" w:color="auto"/>
              <w:bottom w:val="nil"/>
              <w:right w:val="single" w:sz="2" w:space="0" w:color="auto"/>
            </w:tcBorders>
          </w:tcPr>
          <w:p w14:paraId="41749430" w14:textId="71959F2E" w:rsidR="00E213C9" w:rsidRPr="00AC0200" w:rsidRDefault="00E213C9" w:rsidP="00E213C9">
            <w:pPr>
              <w:pStyle w:val="TableReference"/>
              <w:tabs>
                <w:tab w:val="left" w:pos="3306"/>
              </w:tabs>
              <w:rPr>
                <w:rFonts w:cs="Calibri"/>
                <w:b/>
                <w:color w:val="7030A0"/>
                <w:sz w:val="20"/>
                <w:szCs w:val="20"/>
              </w:rPr>
            </w:pPr>
          </w:p>
        </w:tc>
        <w:tc>
          <w:tcPr>
            <w:tcW w:w="4258" w:type="pct"/>
            <w:gridSpan w:val="3"/>
            <w:tcBorders>
              <w:top w:val="nil"/>
              <w:left w:val="single" w:sz="2" w:space="0" w:color="auto"/>
              <w:bottom w:val="nil"/>
              <w:right w:val="nil"/>
            </w:tcBorders>
          </w:tcPr>
          <w:p w14:paraId="3065CE87" w14:textId="178C0482" w:rsidR="00E213C9" w:rsidRPr="00AC0200" w:rsidRDefault="00E213C9" w:rsidP="00E213C9">
            <w:pPr>
              <w:jc w:val="both"/>
              <w:rPr>
                <w:rFonts w:ascii="Arial" w:hAnsi="Arial"/>
                <w:b/>
                <w:bCs/>
                <w:caps/>
                <w:sz w:val="32"/>
                <w:szCs w:val="24"/>
              </w:rPr>
            </w:pPr>
          </w:p>
        </w:tc>
      </w:tr>
      <w:tr w:rsidR="00E213C9" w:rsidRPr="00F14B06" w14:paraId="3F319450" w14:textId="77777777" w:rsidTr="002F4A89">
        <w:trPr>
          <w:cantSplit/>
        </w:trPr>
        <w:tc>
          <w:tcPr>
            <w:tcW w:w="742" w:type="pct"/>
            <w:tcBorders>
              <w:top w:val="nil"/>
              <w:left w:val="single" w:sz="2" w:space="0" w:color="auto"/>
              <w:bottom w:val="nil"/>
              <w:right w:val="single" w:sz="2" w:space="0" w:color="auto"/>
            </w:tcBorders>
          </w:tcPr>
          <w:p w14:paraId="19A1F05A" w14:textId="77777777" w:rsidR="00E213C9" w:rsidRPr="00AC0200" w:rsidRDefault="00E213C9" w:rsidP="00E213C9">
            <w:pPr>
              <w:pStyle w:val="TableReference"/>
              <w:tabs>
                <w:tab w:val="left" w:pos="3306"/>
              </w:tabs>
              <w:spacing w:before="40"/>
              <w:rPr>
                <w:rFonts w:cs="Calibri"/>
                <w:color w:val="7030A0"/>
                <w:sz w:val="14"/>
              </w:rPr>
            </w:pPr>
            <w:r w:rsidRPr="00AC0200">
              <w:rPr>
                <w:rFonts w:cs="Calibri"/>
                <w:color w:val="7030A0"/>
                <w:sz w:val="14"/>
              </w:rPr>
              <w:t>ACT Disclosure Policy</w:t>
            </w:r>
          </w:p>
        </w:tc>
        <w:tc>
          <w:tcPr>
            <w:tcW w:w="3169" w:type="pct"/>
            <w:tcBorders>
              <w:top w:val="nil"/>
              <w:left w:val="single" w:sz="2" w:space="0" w:color="auto"/>
              <w:bottom w:val="nil"/>
              <w:right w:val="nil"/>
            </w:tcBorders>
            <w:vAlign w:val="bottom"/>
          </w:tcPr>
          <w:p w14:paraId="748E7AC5" w14:textId="77777777" w:rsidR="00E213C9" w:rsidRPr="00AC0200" w:rsidRDefault="00E213C9" w:rsidP="00E213C9">
            <w:pPr>
              <w:pStyle w:val="TableTitle"/>
              <w:tabs>
                <w:tab w:val="left" w:pos="3306"/>
              </w:tabs>
              <w:ind w:left="5821" w:right="-460"/>
              <w:rPr>
                <w:rFonts w:cs="Calibri"/>
              </w:rPr>
            </w:pPr>
          </w:p>
        </w:tc>
        <w:tc>
          <w:tcPr>
            <w:tcW w:w="547" w:type="pct"/>
            <w:tcBorders>
              <w:top w:val="nil"/>
              <w:left w:val="nil"/>
              <w:bottom w:val="nil"/>
              <w:right w:val="nil"/>
            </w:tcBorders>
            <w:vAlign w:val="bottom"/>
          </w:tcPr>
          <w:p w14:paraId="1908BBC0" w14:textId="70120161" w:rsidR="00E213C9" w:rsidRPr="00AC0200" w:rsidRDefault="00E213C9" w:rsidP="00E213C9">
            <w:pPr>
              <w:pStyle w:val="TableTitle"/>
              <w:tabs>
                <w:tab w:val="left" w:pos="3306"/>
              </w:tabs>
              <w:rPr>
                <w:rFonts w:cs="Calibri"/>
              </w:rPr>
            </w:pPr>
            <w:r w:rsidRPr="00AC0200">
              <w:rPr>
                <w:rFonts w:cs="Calibri"/>
              </w:rPr>
              <w:t>2022</w:t>
            </w:r>
          </w:p>
        </w:tc>
        <w:tc>
          <w:tcPr>
            <w:tcW w:w="542" w:type="pct"/>
            <w:tcBorders>
              <w:top w:val="nil"/>
              <w:left w:val="nil"/>
              <w:bottom w:val="nil"/>
              <w:right w:val="nil"/>
            </w:tcBorders>
            <w:vAlign w:val="bottom"/>
          </w:tcPr>
          <w:p w14:paraId="7F1762AD" w14:textId="48765DCA" w:rsidR="00E213C9" w:rsidRPr="00AC0200" w:rsidRDefault="00E213C9" w:rsidP="00E213C9">
            <w:pPr>
              <w:pStyle w:val="TableTitle"/>
              <w:tabs>
                <w:tab w:val="left" w:pos="3306"/>
              </w:tabs>
              <w:ind w:left="-3516" w:right="60"/>
              <w:rPr>
                <w:rFonts w:cs="Calibri"/>
              </w:rPr>
            </w:pPr>
            <w:r w:rsidRPr="00AC0200">
              <w:rPr>
                <w:rFonts w:cs="Calibri"/>
              </w:rPr>
              <w:t>2021</w:t>
            </w:r>
          </w:p>
        </w:tc>
      </w:tr>
      <w:tr w:rsidR="00E213C9" w:rsidRPr="00F14B06" w14:paraId="407A9E69" w14:textId="77777777" w:rsidTr="002F4A89">
        <w:trPr>
          <w:cantSplit/>
        </w:trPr>
        <w:tc>
          <w:tcPr>
            <w:tcW w:w="742" w:type="pct"/>
            <w:tcBorders>
              <w:top w:val="nil"/>
              <w:left w:val="single" w:sz="2" w:space="0" w:color="auto"/>
              <w:bottom w:val="nil"/>
              <w:right w:val="single" w:sz="2" w:space="0" w:color="auto"/>
            </w:tcBorders>
          </w:tcPr>
          <w:p w14:paraId="6C139880" w14:textId="77777777" w:rsidR="00E213C9" w:rsidRPr="00AC0200" w:rsidRDefault="00E213C9" w:rsidP="00E213C9">
            <w:pPr>
              <w:pStyle w:val="TableReference"/>
              <w:tabs>
                <w:tab w:val="left" w:pos="3306"/>
              </w:tabs>
              <w:spacing w:before="40"/>
              <w:rPr>
                <w:rFonts w:cs="Calibri"/>
                <w:color w:val="7030A0"/>
                <w:sz w:val="14"/>
              </w:rPr>
            </w:pPr>
          </w:p>
        </w:tc>
        <w:tc>
          <w:tcPr>
            <w:tcW w:w="3169" w:type="pct"/>
            <w:tcBorders>
              <w:top w:val="nil"/>
              <w:left w:val="single" w:sz="2" w:space="0" w:color="auto"/>
              <w:bottom w:val="nil"/>
              <w:right w:val="nil"/>
            </w:tcBorders>
            <w:vAlign w:val="bottom"/>
          </w:tcPr>
          <w:p w14:paraId="46CE65BA" w14:textId="2D631B14" w:rsidR="00E213C9" w:rsidRPr="00AC0200" w:rsidRDefault="00E213C9" w:rsidP="00E213C9">
            <w:pPr>
              <w:pStyle w:val="TableText"/>
              <w:tabs>
                <w:tab w:val="left" w:pos="3306"/>
              </w:tabs>
              <w:rPr>
                <w:rFonts w:cs="Calibri"/>
              </w:rPr>
            </w:pPr>
          </w:p>
        </w:tc>
        <w:tc>
          <w:tcPr>
            <w:tcW w:w="547" w:type="pct"/>
            <w:tcBorders>
              <w:top w:val="nil"/>
              <w:left w:val="nil"/>
              <w:bottom w:val="nil"/>
              <w:right w:val="nil"/>
            </w:tcBorders>
            <w:vAlign w:val="bottom"/>
          </w:tcPr>
          <w:p w14:paraId="77217AE4" w14:textId="77777777" w:rsidR="00E213C9" w:rsidRPr="00AC0200" w:rsidRDefault="00E213C9" w:rsidP="00E213C9">
            <w:pPr>
              <w:pStyle w:val="TableTitle"/>
              <w:tabs>
                <w:tab w:val="left" w:pos="3306"/>
              </w:tabs>
              <w:rPr>
                <w:rFonts w:cs="Calibri"/>
              </w:rPr>
            </w:pPr>
            <w:r w:rsidRPr="00AC0200">
              <w:rPr>
                <w:rFonts w:cs="Calibri"/>
              </w:rPr>
              <w:t>$’000</w:t>
            </w:r>
          </w:p>
        </w:tc>
        <w:tc>
          <w:tcPr>
            <w:tcW w:w="542" w:type="pct"/>
            <w:tcBorders>
              <w:top w:val="nil"/>
              <w:left w:val="nil"/>
              <w:bottom w:val="nil"/>
              <w:right w:val="nil"/>
            </w:tcBorders>
            <w:vAlign w:val="bottom"/>
          </w:tcPr>
          <w:p w14:paraId="5A74735D" w14:textId="77777777" w:rsidR="00E213C9" w:rsidRPr="00AC0200" w:rsidRDefault="00E213C9" w:rsidP="00E213C9">
            <w:pPr>
              <w:pStyle w:val="TableTitle"/>
              <w:tabs>
                <w:tab w:val="left" w:pos="3306"/>
              </w:tabs>
              <w:ind w:left="-3516" w:right="60"/>
              <w:rPr>
                <w:rFonts w:cs="Calibri"/>
              </w:rPr>
            </w:pPr>
            <w:r w:rsidRPr="00AC0200">
              <w:rPr>
                <w:rFonts w:cs="Calibri"/>
              </w:rPr>
              <w:t>$’000</w:t>
            </w:r>
          </w:p>
        </w:tc>
      </w:tr>
      <w:tr w:rsidR="00E213C9" w:rsidRPr="00F14B06" w14:paraId="53138A29" w14:textId="77777777" w:rsidTr="002F4A89">
        <w:trPr>
          <w:cantSplit/>
        </w:trPr>
        <w:tc>
          <w:tcPr>
            <w:tcW w:w="742" w:type="pct"/>
            <w:tcBorders>
              <w:top w:val="nil"/>
              <w:left w:val="single" w:sz="2" w:space="0" w:color="auto"/>
              <w:bottom w:val="nil"/>
              <w:right w:val="single" w:sz="2" w:space="0" w:color="auto"/>
            </w:tcBorders>
          </w:tcPr>
          <w:p w14:paraId="69CAD492" w14:textId="77777777" w:rsidR="00E213C9" w:rsidRPr="00AC0200" w:rsidRDefault="00E213C9" w:rsidP="00E213C9">
            <w:pPr>
              <w:pStyle w:val="TableReference"/>
              <w:tabs>
                <w:tab w:val="left" w:pos="3306"/>
              </w:tabs>
              <w:spacing w:before="40"/>
              <w:rPr>
                <w:rFonts w:cs="Calibri"/>
                <w:color w:val="7030A0"/>
                <w:sz w:val="14"/>
              </w:rPr>
            </w:pPr>
          </w:p>
        </w:tc>
        <w:tc>
          <w:tcPr>
            <w:tcW w:w="3169" w:type="pct"/>
            <w:tcBorders>
              <w:top w:val="nil"/>
              <w:left w:val="single" w:sz="2" w:space="0" w:color="auto"/>
              <w:bottom w:val="nil"/>
              <w:right w:val="nil"/>
            </w:tcBorders>
            <w:vAlign w:val="bottom"/>
          </w:tcPr>
          <w:p w14:paraId="2549C360" w14:textId="572ADDAE" w:rsidR="00E213C9" w:rsidRPr="00AC0200" w:rsidRDefault="00E213C9" w:rsidP="00E213C9">
            <w:pPr>
              <w:pStyle w:val="TableText"/>
              <w:tabs>
                <w:tab w:val="left" w:pos="3306"/>
              </w:tabs>
              <w:rPr>
                <w:rFonts w:cs="Calibri"/>
                <w:b/>
                <w:bCs/>
              </w:rPr>
            </w:pPr>
            <w:bookmarkStart w:id="361" w:name="_Hlk90623864"/>
            <w:r w:rsidRPr="00AC0200">
              <w:rPr>
                <w:rFonts w:cs="Calibri"/>
                <w:b/>
                <w:bCs/>
              </w:rPr>
              <w:t>Resources Received Free of Charge</w:t>
            </w:r>
            <w:bookmarkEnd w:id="361"/>
          </w:p>
        </w:tc>
        <w:tc>
          <w:tcPr>
            <w:tcW w:w="547" w:type="pct"/>
            <w:tcBorders>
              <w:top w:val="nil"/>
              <w:left w:val="nil"/>
              <w:bottom w:val="nil"/>
              <w:right w:val="nil"/>
            </w:tcBorders>
            <w:vAlign w:val="bottom"/>
          </w:tcPr>
          <w:p w14:paraId="19D907A7" w14:textId="77777777" w:rsidR="00E213C9" w:rsidRPr="00AC0200" w:rsidRDefault="00E213C9" w:rsidP="00E213C9">
            <w:pPr>
              <w:pStyle w:val="TableTitle"/>
              <w:tabs>
                <w:tab w:val="left" w:pos="3306"/>
              </w:tabs>
              <w:rPr>
                <w:rFonts w:cs="Calibri"/>
              </w:rPr>
            </w:pPr>
          </w:p>
        </w:tc>
        <w:tc>
          <w:tcPr>
            <w:tcW w:w="542" w:type="pct"/>
            <w:tcBorders>
              <w:top w:val="nil"/>
              <w:left w:val="nil"/>
              <w:bottom w:val="nil"/>
              <w:right w:val="nil"/>
            </w:tcBorders>
            <w:vAlign w:val="bottom"/>
          </w:tcPr>
          <w:p w14:paraId="360759FA" w14:textId="77777777" w:rsidR="00E213C9" w:rsidRPr="00AC0200" w:rsidRDefault="00E213C9" w:rsidP="00E213C9">
            <w:pPr>
              <w:pStyle w:val="TableTitle"/>
              <w:tabs>
                <w:tab w:val="left" w:pos="3306"/>
              </w:tabs>
              <w:ind w:left="-3516" w:right="60"/>
              <w:rPr>
                <w:rFonts w:cs="Calibri"/>
              </w:rPr>
            </w:pPr>
          </w:p>
        </w:tc>
      </w:tr>
      <w:tr w:rsidR="00E213C9" w:rsidRPr="00F14B06" w14:paraId="07496FFE" w14:textId="77777777" w:rsidTr="002F4A89">
        <w:trPr>
          <w:cantSplit/>
        </w:trPr>
        <w:tc>
          <w:tcPr>
            <w:tcW w:w="742" w:type="pct"/>
            <w:tcBorders>
              <w:top w:val="nil"/>
              <w:left w:val="single" w:sz="2" w:space="0" w:color="auto"/>
              <w:bottom w:val="nil"/>
              <w:right w:val="single" w:sz="2" w:space="0" w:color="auto"/>
            </w:tcBorders>
          </w:tcPr>
          <w:p w14:paraId="3B1C0400" w14:textId="77777777" w:rsidR="00E213C9" w:rsidRPr="00AC0200" w:rsidRDefault="00E213C9" w:rsidP="00E213C9">
            <w:pPr>
              <w:pStyle w:val="TableReference"/>
              <w:tabs>
                <w:tab w:val="left" w:pos="3306"/>
              </w:tabs>
              <w:spacing w:before="60"/>
              <w:rPr>
                <w:rFonts w:cs="Calibri"/>
                <w:color w:val="7030A0"/>
                <w:sz w:val="14"/>
              </w:rPr>
            </w:pPr>
            <w:bookmarkStart w:id="362" w:name="_Hlk90623877"/>
          </w:p>
        </w:tc>
        <w:tc>
          <w:tcPr>
            <w:tcW w:w="3169" w:type="pct"/>
            <w:tcBorders>
              <w:top w:val="nil"/>
              <w:left w:val="single" w:sz="2" w:space="0" w:color="auto"/>
              <w:bottom w:val="nil"/>
              <w:right w:val="nil"/>
            </w:tcBorders>
            <w:vAlign w:val="bottom"/>
          </w:tcPr>
          <w:p w14:paraId="3CD25662" w14:textId="485C9AC0" w:rsidR="00E213C9" w:rsidRPr="00AC0200" w:rsidRDefault="00E213C9" w:rsidP="00E213C9">
            <w:pPr>
              <w:pStyle w:val="TableText"/>
              <w:tabs>
                <w:tab w:val="left" w:pos="3306"/>
              </w:tabs>
              <w:rPr>
                <w:rFonts w:cs="Calibri"/>
              </w:rPr>
            </w:pPr>
            <w:r w:rsidRPr="00AC0200">
              <w:rPr>
                <w:rFonts w:cs="Calibri"/>
              </w:rPr>
              <w:t>Legal Services</w:t>
            </w:r>
            <w:r w:rsidRPr="00AC0200">
              <w:rPr>
                <w:rFonts w:cs="Calibri"/>
                <w:vertAlign w:val="superscript"/>
              </w:rPr>
              <w:t xml:space="preserve">a </w:t>
            </w:r>
          </w:p>
        </w:tc>
        <w:tc>
          <w:tcPr>
            <w:tcW w:w="547" w:type="pct"/>
            <w:tcBorders>
              <w:top w:val="nil"/>
              <w:left w:val="nil"/>
              <w:bottom w:val="nil"/>
              <w:right w:val="nil"/>
            </w:tcBorders>
            <w:vAlign w:val="bottom"/>
          </w:tcPr>
          <w:p w14:paraId="6C48B408" w14:textId="77777777" w:rsidR="00E213C9" w:rsidRPr="00AC0200" w:rsidRDefault="00E213C9" w:rsidP="00E213C9">
            <w:pPr>
              <w:pStyle w:val="TableText"/>
              <w:tabs>
                <w:tab w:val="left" w:pos="3306"/>
              </w:tabs>
              <w:jc w:val="right"/>
              <w:rPr>
                <w:rFonts w:cs="Calibri"/>
                <w:strike/>
              </w:rPr>
            </w:pPr>
          </w:p>
        </w:tc>
        <w:tc>
          <w:tcPr>
            <w:tcW w:w="542" w:type="pct"/>
            <w:tcBorders>
              <w:top w:val="nil"/>
              <w:left w:val="nil"/>
              <w:bottom w:val="nil"/>
              <w:right w:val="nil"/>
            </w:tcBorders>
            <w:vAlign w:val="bottom"/>
          </w:tcPr>
          <w:p w14:paraId="3C2F8D38" w14:textId="77777777" w:rsidR="00E213C9" w:rsidRPr="00AC0200" w:rsidRDefault="00E213C9" w:rsidP="00E213C9">
            <w:pPr>
              <w:pStyle w:val="TableText"/>
              <w:tabs>
                <w:tab w:val="left" w:pos="3306"/>
              </w:tabs>
              <w:jc w:val="right"/>
              <w:rPr>
                <w:rFonts w:cs="Calibri"/>
                <w:strike/>
              </w:rPr>
            </w:pPr>
          </w:p>
        </w:tc>
      </w:tr>
      <w:tr w:rsidR="00E213C9" w:rsidRPr="00F14B06" w14:paraId="5A7EB87F" w14:textId="77777777" w:rsidTr="002F4A89">
        <w:trPr>
          <w:cantSplit/>
        </w:trPr>
        <w:tc>
          <w:tcPr>
            <w:tcW w:w="742" w:type="pct"/>
            <w:tcBorders>
              <w:top w:val="nil"/>
              <w:left w:val="single" w:sz="2" w:space="0" w:color="auto"/>
              <w:bottom w:val="nil"/>
              <w:right w:val="single" w:sz="2" w:space="0" w:color="auto"/>
            </w:tcBorders>
          </w:tcPr>
          <w:p w14:paraId="275A242A" w14:textId="77777777" w:rsidR="00E213C9" w:rsidRPr="00AC0200" w:rsidRDefault="00E213C9"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482A1E46" w14:textId="3E6C55A1" w:rsidR="00E213C9" w:rsidRPr="00AC0200" w:rsidRDefault="00E213C9" w:rsidP="00E213C9">
            <w:pPr>
              <w:pStyle w:val="TableText"/>
              <w:tabs>
                <w:tab w:val="left" w:pos="3306"/>
              </w:tabs>
              <w:rPr>
                <w:rFonts w:cs="Calibri"/>
              </w:rPr>
            </w:pPr>
            <w:r w:rsidRPr="00AC0200">
              <w:rPr>
                <w:rFonts w:cs="Calibri"/>
              </w:rPr>
              <w:t xml:space="preserve">Financial Services provided by Shared Services </w:t>
            </w:r>
          </w:p>
        </w:tc>
        <w:tc>
          <w:tcPr>
            <w:tcW w:w="547" w:type="pct"/>
            <w:tcBorders>
              <w:top w:val="nil"/>
              <w:left w:val="nil"/>
              <w:bottom w:val="nil"/>
              <w:right w:val="nil"/>
            </w:tcBorders>
            <w:vAlign w:val="bottom"/>
          </w:tcPr>
          <w:p w14:paraId="12D8340E" w14:textId="77777777" w:rsidR="00E213C9" w:rsidRPr="00AC0200" w:rsidRDefault="00E213C9" w:rsidP="00E213C9">
            <w:pPr>
              <w:pStyle w:val="TableText"/>
              <w:tabs>
                <w:tab w:val="left" w:pos="3306"/>
              </w:tabs>
              <w:jc w:val="right"/>
              <w:rPr>
                <w:rFonts w:cs="Calibri"/>
              </w:rPr>
            </w:pPr>
          </w:p>
        </w:tc>
        <w:tc>
          <w:tcPr>
            <w:tcW w:w="542" w:type="pct"/>
            <w:tcBorders>
              <w:top w:val="nil"/>
              <w:left w:val="nil"/>
              <w:bottom w:val="nil"/>
              <w:right w:val="nil"/>
            </w:tcBorders>
            <w:vAlign w:val="bottom"/>
          </w:tcPr>
          <w:p w14:paraId="0B51C1A6" w14:textId="77777777" w:rsidR="00E213C9" w:rsidRPr="00AC0200" w:rsidRDefault="00E213C9" w:rsidP="00E213C9">
            <w:pPr>
              <w:pStyle w:val="TableText"/>
              <w:tabs>
                <w:tab w:val="left" w:pos="3306"/>
              </w:tabs>
              <w:jc w:val="right"/>
              <w:rPr>
                <w:rFonts w:cs="Calibri"/>
              </w:rPr>
            </w:pPr>
          </w:p>
        </w:tc>
      </w:tr>
      <w:tr w:rsidR="00E213C9" w:rsidRPr="00F14B06" w14:paraId="3F8D69AD" w14:textId="77777777" w:rsidTr="002F4A89">
        <w:trPr>
          <w:cantSplit/>
        </w:trPr>
        <w:tc>
          <w:tcPr>
            <w:tcW w:w="742" w:type="pct"/>
            <w:tcBorders>
              <w:top w:val="nil"/>
              <w:left w:val="single" w:sz="2" w:space="0" w:color="auto"/>
              <w:bottom w:val="nil"/>
              <w:right w:val="single" w:sz="2" w:space="0" w:color="auto"/>
            </w:tcBorders>
          </w:tcPr>
          <w:p w14:paraId="4A78CD02" w14:textId="77777777" w:rsidR="00E213C9" w:rsidRPr="00AC0200" w:rsidRDefault="00E213C9"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175D9CA5" w14:textId="5434DCCE" w:rsidR="00E213C9" w:rsidRPr="00AC0200" w:rsidRDefault="00E213C9" w:rsidP="00E213C9">
            <w:pPr>
              <w:pStyle w:val="TableText"/>
              <w:tabs>
                <w:tab w:val="left" w:pos="3306"/>
              </w:tabs>
              <w:rPr>
                <w:rFonts w:cs="Calibri"/>
              </w:rPr>
            </w:pPr>
            <w:r w:rsidRPr="00AC0200">
              <w:rPr>
                <w:rFonts w:cs="Calibri"/>
              </w:rPr>
              <w:t xml:space="preserve">Human Resources Services provided by Shared Services </w:t>
            </w:r>
          </w:p>
        </w:tc>
        <w:tc>
          <w:tcPr>
            <w:tcW w:w="547" w:type="pct"/>
            <w:tcBorders>
              <w:top w:val="nil"/>
              <w:left w:val="nil"/>
              <w:bottom w:val="nil"/>
              <w:right w:val="nil"/>
            </w:tcBorders>
            <w:vAlign w:val="bottom"/>
          </w:tcPr>
          <w:p w14:paraId="7D4F3463" w14:textId="77777777" w:rsidR="00E213C9" w:rsidRPr="00AC0200" w:rsidRDefault="00E213C9" w:rsidP="00E213C9">
            <w:pPr>
              <w:pStyle w:val="TableText"/>
              <w:tabs>
                <w:tab w:val="left" w:pos="3306"/>
              </w:tabs>
              <w:jc w:val="right"/>
              <w:rPr>
                <w:rFonts w:cs="Calibri"/>
              </w:rPr>
            </w:pPr>
          </w:p>
        </w:tc>
        <w:tc>
          <w:tcPr>
            <w:tcW w:w="542" w:type="pct"/>
            <w:tcBorders>
              <w:top w:val="nil"/>
              <w:left w:val="nil"/>
              <w:bottom w:val="nil"/>
              <w:right w:val="nil"/>
            </w:tcBorders>
            <w:vAlign w:val="bottom"/>
          </w:tcPr>
          <w:p w14:paraId="6299C0FC" w14:textId="77777777" w:rsidR="00E213C9" w:rsidRPr="00AC0200" w:rsidRDefault="00E213C9" w:rsidP="00E213C9">
            <w:pPr>
              <w:pStyle w:val="TableText"/>
              <w:tabs>
                <w:tab w:val="left" w:pos="3306"/>
              </w:tabs>
              <w:jc w:val="right"/>
              <w:rPr>
                <w:rFonts w:cs="Calibri"/>
              </w:rPr>
            </w:pPr>
          </w:p>
        </w:tc>
      </w:tr>
      <w:tr w:rsidR="00E213C9" w:rsidRPr="00F14B06" w14:paraId="350FF3C0" w14:textId="77777777" w:rsidTr="002F4A89">
        <w:trPr>
          <w:cantSplit/>
        </w:trPr>
        <w:tc>
          <w:tcPr>
            <w:tcW w:w="742" w:type="pct"/>
            <w:tcBorders>
              <w:top w:val="nil"/>
              <w:left w:val="single" w:sz="2" w:space="0" w:color="auto"/>
              <w:bottom w:val="nil"/>
              <w:right w:val="single" w:sz="2" w:space="0" w:color="auto"/>
            </w:tcBorders>
          </w:tcPr>
          <w:p w14:paraId="51381C2F" w14:textId="77777777" w:rsidR="00E213C9" w:rsidRPr="00AC0200" w:rsidRDefault="00E213C9"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709E23F1" w14:textId="62B8192B" w:rsidR="00E213C9" w:rsidRPr="00AC0200" w:rsidRDefault="00E213C9" w:rsidP="00E213C9">
            <w:pPr>
              <w:pStyle w:val="TableText"/>
              <w:tabs>
                <w:tab w:val="left" w:pos="3306"/>
              </w:tabs>
              <w:rPr>
                <w:rFonts w:cs="Calibri"/>
              </w:rPr>
            </w:pPr>
            <w:r w:rsidRPr="00AC0200">
              <w:rPr>
                <w:rFonts w:cs="Calibri"/>
              </w:rPr>
              <w:t xml:space="preserve">Record </w:t>
            </w:r>
            <w:r w:rsidR="00AC0200" w:rsidRPr="00AC0200">
              <w:rPr>
                <w:rFonts w:cs="Calibri"/>
              </w:rPr>
              <w:t xml:space="preserve">Management </w:t>
            </w:r>
            <w:r w:rsidRPr="00AC0200">
              <w:rPr>
                <w:rFonts w:cs="Calibri"/>
              </w:rPr>
              <w:t>Services provided by Territory Records Office</w:t>
            </w:r>
          </w:p>
        </w:tc>
        <w:tc>
          <w:tcPr>
            <w:tcW w:w="547" w:type="pct"/>
            <w:tcBorders>
              <w:top w:val="nil"/>
              <w:left w:val="nil"/>
              <w:bottom w:val="nil"/>
              <w:right w:val="nil"/>
            </w:tcBorders>
            <w:vAlign w:val="bottom"/>
          </w:tcPr>
          <w:p w14:paraId="7DD5D1D4" w14:textId="77777777" w:rsidR="00E213C9" w:rsidRPr="00AC0200" w:rsidRDefault="00E213C9" w:rsidP="00E213C9">
            <w:pPr>
              <w:pStyle w:val="TableText"/>
              <w:tabs>
                <w:tab w:val="left" w:pos="3306"/>
              </w:tabs>
              <w:jc w:val="right"/>
              <w:rPr>
                <w:rFonts w:cs="Calibri"/>
              </w:rPr>
            </w:pPr>
          </w:p>
        </w:tc>
        <w:tc>
          <w:tcPr>
            <w:tcW w:w="542" w:type="pct"/>
            <w:tcBorders>
              <w:top w:val="nil"/>
              <w:left w:val="nil"/>
              <w:bottom w:val="nil"/>
              <w:right w:val="nil"/>
            </w:tcBorders>
            <w:vAlign w:val="bottom"/>
          </w:tcPr>
          <w:p w14:paraId="0EDFA6D5" w14:textId="77777777" w:rsidR="00E213C9" w:rsidRPr="00AC0200" w:rsidRDefault="00E213C9" w:rsidP="00E213C9">
            <w:pPr>
              <w:pStyle w:val="TableText"/>
              <w:tabs>
                <w:tab w:val="left" w:pos="3306"/>
              </w:tabs>
              <w:jc w:val="right"/>
              <w:rPr>
                <w:rFonts w:cs="Calibri"/>
              </w:rPr>
            </w:pPr>
          </w:p>
        </w:tc>
      </w:tr>
      <w:tr w:rsidR="00E213C9" w:rsidRPr="00F14B06" w14:paraId="501CEF17" w14:textId="77777777" w:rsidTr="002F4A89">
        <w:trPr>
          <w:cantSplit/>
        </w:trPr>
        <w:tc>
          <w:tcPr>
            <w:tcW w:w="742" w:type="pct"/>
            <w:tcBorders>
              <w:top w:val="nil"/>
              <w:left w:val="single" w:sz="2" w:space="0" w:color="auto"/>
              <w:bottom w:val="nil"/>
              <w:right w:val="single" w:sz="2" w:space="0" w:color="auto"/>
            </w:tcBorders>
          </w:tcPr>
          <w:p w14:paraId="42C5F4EA" w14:textId="77777777" w:rsidR="00E213C9" w:rsidRPr="00AC0200" w:rsidRDefault="00E213C9"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3F519B23" w14:textId="43607AC7" w:rsidR="00E213C9" w:rsidRPr="00AC0200" w:rsidRDefault="00E213C9" w:rsidP="00E213C9">
            <w:pPr>
              <w:pStyle w:val="TableText"/>
              <w:tabs>
                <w:tab w:val="left" w:pos="3306"/>
              </w:tabs>
              <w:rPr>
                <w:rFonts w:cs="Calibri"/>
              </w:rPr>
            </w:pPr>
            <w:r w:rsidRPr="00AC0200">
              <w:rPr>
                <w:rFonts w:cs="Calibri"/>
              </w:rPr>
              <w:t>Investigation Services – Professional Standards Unit</w:t>
            </w:r>
          </w:p>
        </w:tc>
        <w:tc>
          <w:tcPr>
            <w:tcW w:w="547" w:type="pct"/>
            <w:tcBorders>
              <w:top w:val="nil"/>
              <w:left w:val="nil"/>
              <w:bottom w:val="nil"/>
              <w:right w:val="nil"/>
            </w:tcBorders>
            <w:vAlign w:val="bottom"/>
          </w:tcPr>
          <w:p w14:paraId="38B9574C" w14:textId="77777777" w:rsidR="00E213C9" w:rsidRPr="00AC0200" w:rsidRDefault="00E213C9" w:rsidP="00E213C9">
            <w:pPr>
              <w:pStyle w:val="TableText"/>
              <w:tabs>
                <w:tab w:val="left" w:pos="3306"/>
              </w:tabs>
              <w:jc w:val="right"/>
              <w:rPr>
                <w:rFonts w:cs="Calibri"/>
              </w:rPr>
            </w:pPr>
          </w:p>
        </w:tc>
        <w:tc>
          <w:tcPr>
            <w:tcW w:w="542" w:type="pct"/>
            <w:tcBorders>
              <w:top w:val="nil"/>
              <w:left w:val="nil"/>
              <w:bottom w:val="nil"/>
              <w:right w:val="nil"/>
            </w:tcBorders>
            <w:vAlign w:val="bottom"/>
          </w:tcPr>
          <w:p w14:paraId="3956C052" w14:textId="77777777" w:rsidR="00E213C9" w:rsidRPr="00AC0200" w:rsidRDefault="00E213C9" w:rsidP="00E213C9">
            <w:pPr>
              <w:pStyle w:val="TableText"/>
              <w:tabs>
                <w:tab w:val="left" w:pos="3306"/>
              </w:tabs>
              <w:jc w:val="right"/>
              <w:rPr>
                <w:rFonts w:cs="Calibri"/>
              </w:rPr>
            </w:pPr>
          </w:p>
        </w:tc>
      </w:tr>
      <w:tr w:rsidR="00E213C9" w:rsidRPr="00F14B06" w14:paraId="751C0405" w14:textId="77777777" w:rsidTr="002F4A89">
        <w:trPr>
          <w:cantSplit/>
        </w:trPr>
        <w:tc>
          <w:tcPr>
            <w:tcW w:w="742" w:type="pct"/>
            <w:tcBorders>
              <w:top w:val="nil"/>
              <w:left w:val="single" w:sz="2" w:space="0" w:color="auto"/>
              <w:bottom w:val="nil"/>
              <w:right w:val="single" w:sz="2" w:space="0" w:color="auto"/>
            </w:tcBorders>
          </w:tcPr>
          <w:p w14:paraId="4D81C2D0" w14:textId="77777777" w:rsidR="00E213C9" w:rsidRPr="00AC0200" w:rsidRDefault="00E213C9"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061B74D7" w14:textId="59EBE133" w:rsidR="00E213C9" w:rsidRPr="00AC0200" w:rsidRDefault="00E213C9" w:rsidP="00E213C9">
            <w:pPr>
              <w:pStyle w:val="TableText"/>
              <w:tabs>
                <w:tab w:val="left" w:pos="3306"/>
              </w:tabs>
              <w:rPr>
                <w:rFonts w:cs="Calibri"/>
                <w:highlight w:val="yellow"/>
              </w:rPr>
            </w:pPr>
            <w:r w:rsidRPr="00AC0200">
              <w:rPr>
                <w:rFonts w:cs="Calibri"/>
              </w:rPr>
              <w:t>COVID-19 Administration and Logistical Support</w:t>
            </w:r>
          </w:p>
        </w:tc>
        <w:tc>
          <w:tcPr>
            <w:tcW w:w="547" w:type="pct"/>
            <w:tcBorders>
              <w:top w:val="nil"/>
              <w:left w:val="nil"/>
              <w:bottom w:val="nil"/>
              <w:right w:val="nil"/>
            </w:tcBorders>
            <w:vAlign w:val="bottom"/>
          </w:tcPr>
          <w:p w14:paraId="665E1653" w14:textId="77777777" w:rsidR="00E213C9" w:rsidRPr="00AC0200" w:rsidRDefault="00E213C9" w:rsidP="00E213C9">
            <w:pPr>
              <w:pStyle w:val="TableText"/>
              <w:tabs>
                <w:tab w:val="left" w:pos="3306"/>
              </w:tabs>
              <w:jc w:val="right"/>
              <w:rPr>
                <w:rFonts w:cs="Calibri"/>
              </w:rPr>
            </w:pPr>
          </w:p>
        </w:tc>
        <w:tc>
          <w:tcPr>
            <w:tcW w:w="542" w:type="pct"/>
            <w:tcBorders>
              <w:top w:val="nil"/>
              <w:left w:val="nil"/>
              <w:bottom w:val="nil"/>
              <w:right w:val="nil"/>
            </w:tcBorders>
            <w:vAlign w:val="bottom"/>
          </w:tcPr>
          <w:p w14:paraId="428B4D29" w14:textId="77777777" w:rsidR="00E213C9" w:rsidRPr="00AC0200" w:rsidRDefault="00E213C9" w:rsidP="00E213C9">
            <w:pPr>
              <w:pStyle w:val="TableText"/>
              <w:tabs>
                <w:tab w:val="left" w:pos="3306"/>
              </w:tabs>
              <w:jc w:val="right"/>
              <w:rPr>
                <w:rFonts w:cs="Calibri"/>
              </w:rPr>
            </w:pPr>
          </w:p>
        </w:tc>
      </w:tr>
      <w:tr w:rsidR="00CD2764" w:rsidRPr="00F14B06" w14:paraId="53FCA1E6" w14:textId="77777777" w:rsidTr="002F4A89">
        <w:trPr>
          <w:cantSplit/>
        </w:trPr>
        <w:tc>
          <w:tcPr>
            <w:tcW w:w="742" w:type="pct"/>
            <w:tcBorders>
              <w:top w:val="nil"/>
              <w:left w:val="single" w:sz="2" w:space="0" w:color="auto"/>
              <w:bottom w:val="nil"/>
              <w:right w:val="single" w:sz="2" w:space="0" w:color="auto"/>
            </w:tcBorders>
          </w:tcPr>
          <w:p w14:paraId="51897F18" w14:textId="77777777" w:rsidR="00CD2764" w:rsidRPr="00AC0200" w:rsidRDefault="00CD2764"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22DDAE23" w14:textId="52D1B071" w:rsidR="00CD2764" w:rsidRPr="00CD2764" w:rsidRDefault="00CD2764" w:rsidP="00E213C9">
            <w:pPr>
              <w:pStyle w:val="TableText"/>
              <w:tabs>
                <w:tab w:val="left" w:pos="3306"/>
              </w:tabs>
              <w:rPr>
                <w:rFonts w:cs="Calibri"/>
              </w:rPr>
            </w:pPr>
            <w:r>
              <w:rPr>
                <w:rFonts w:cs="Calibri"/>
              </w:rPr>
              <w:t>Project Management Services provided by Major Projects Canberra</w:t>
            </w:r>
          </w:p>
        </w:tc>
        <w:tc>
          <w:tcPr>
            <w:tcW w:w="547" w:type="pct"/>
            <w:tcBorders>
              <w:top w:val="nil"/>
              <w:left w:val="nil"/>
              <w:bottom w:val="single" w:sz="2" w:space="0" w:color="auto"/>
              <w:right w:val="nil"/>
            </w:tcBorders>
            <w:vAlign w:val="bottom"/>
          </w:tcPr>
          <w:p w14:paraId="2D6E3634" w14:textId="77777777" w:rsidR="00CD2764" w:rsidRPr="00AC0200" w:rsidRDefault="00CD2764" w:rsidP="00E213C9">
            <w:pPr>
              <w:pStyle w:val="TableText"/>
              <w:tabs>
                <w:tab w:val="left" w:pos="3306"/>
              </w:tabs>
              <w:jc w:val="right"/>
              <w:rPr>
                <w:rFonts w:cs="Calibri"/>
                <w:b/>
                <w:bCs/>
              </w:rPr>
            </w:pPr>
          </w:p>
        </w:tc>
        <w:tc>
          <w:tcPr>
            <w:tcW w:w="542" w:type="pct"/>
            <w:tcBorders>
              <w:top w:val="nil"/>
              <w:left w:val="nil"/>
              <w:bottom w:val="single" w:sz="2" w:space="0" w:color="auto"/>
              <w:right w:val="nil"/>
            </w:tcBorders>
            <w:vAlign w:val="bottom"/>
          </w:tcPr>
          <w:p w14:paraId="78223949" w14:textId="77777777" w:rsidR="00CD2764" w:rsidRPr="00AC0200" w:rsidRDefault="00CD2764" w:rsidP="00E213C9">
            <w:pPr>
              <w:pStyle w:val="TableText"/>
              <w:tabs>
                <w:tab w:val="left" w:pos="3306"/>
              </w:tabs>
              <w:jc w:val="right"/>
              <w:rPr>
                <w:rFonts w:cs="Calibri"/>
                <w:b/>
                <w:bCs/>
              </w:rPr>
            </w:pPr>
          </w:p>
        </w:tc>
      </w:tr>
      <w:bookmarkEnd w:id="362"/>
      <w:tr w:rsidR="00E213C9" w:rsidRPr="00F14B06" w14:paraId="019CFA51" w14:textId="77777777" w:rsidTr="002F4A89">
        <w:trPr>
          <w:cantSplit/>
        </w:trPr>
        <w:tc>
          <w:tcPr>
            <w:tcW w:w="742" w:type="pct"/>
            <w:tcBorders>
              <w:top w:val="nil"/>
              <w:left w:val="single" w:sz="2" w:space="0" w:color="auto"/>
              <w:bottom w:val="nil"/>
              <w:right w:val="single" w:sz="2" w:space="0" w:color="auto"/>
            </w:tcBorders>
          </w:tcPr>
          <w:p w14:paraId="2F1BDB6E" w14:textId="5594BCD0" w:rsidR="00E213C9" w:rsidRPr="00AC0200" w:rsidRDefault="00E213C9" w:rsidP="00E213C9">
            <w:pPr>
              <w:pStyle w:val="TableReference"/>
              <w:tabs>
                <w:tab w:val="left" w:pos="3306"/>
              </w:tabs>
              <w:spacing w:before="60"/>
              <w:rPr>
                <w:rFonts w:cs="Calibri"/>
                <w:color w:val="7030A0"/>
                <w:sz w:val="14"/>
              </w:rPr>
            </w:pPr>
            <w:r w:rsidRPr="00AC0200">
              <w:rPr>
                <w:rFonts w:cs="Calibri"/>
                <w:color w:val="7030A0"/>
                <w:sz w:val="14"/>
              </w:rPr>
              <w:t>AASB 1058.22</w:t>
            </w:r>
          </w:p>
        </w:tc>
        <w:tc>
          <w:tcPr>
            <w:tcW w:w="3169" w:type="pct"/>
            <w:tcBorders>
              <w:top w:val="nil"/>
              <w:left w:val="single" w:sz="2" w:space="0" w:color="auto"/>
              <w:bottom w:val="nil"/>
              <w:right w:val="nil"/>
            </w:tcBorders>
            <w:vAlign w:val="bottom"/>
          </w:tcPr>
          <w:p w14:paraId="5ABDCCAC" w14:textId="77777777" w:rsidR="00E213C9" w:rsidRPr="00AC0200" w:rsidRDefault="00E213C9" w:rsidP="00E213C9">
            <w:pPr>
              <w:pStyle w:val="TableText"/>
              <w:tabs>
                <w:tab w:val="left" w:pos="3306"/>
              </w:tabs>
              <w:rPr>
                <w:rFonts w:cs="Calibri"/>
                <w:b/>
                <w:bCs/>
              </w:rPr>
            </w:pPr>
            <w:r w:rsidRPr="00AC0200">
              <w:rPr>
                <w:rFonts w:cs="Calibri"/>
                <w:b/>
                <w:bCs/>
              </w:rPr>
              <w:t>Total Resources Received Free of Charge</w:t>
            </w:r>
          </w:p>
        </w:tc>
        <w:tc>
          <w:tcPr>
            <w:tcW w:w="547" w:type="pct"/>
            <w:tcBorders>
              <w:top w:val="single" w:sz="2" w:space="0" w:color="auto"/>
              <w:left w:val="nil"/>
              <w:bottom w:val="single" w:sz="2" w:space="0" w:color="auto"/>
              <w:right w:val="nil"/>
            </w:tcBorders>
            <w:vAlign w:val="bottom"/>
          </w:tcPr>
          <w:p w14:paraId="3E61C7CA" w14:textId="77777777" w:rsidR="00E213C9" w:rsidRPr="00AC0200" w:rsidRDefault="00E213C9" w:rsidP="00E213C9">
            <w:pPr>
              <w:pStyle w:val="TableText"/>
              <w:tabs>
                <w:tab w:val="left" w:pos="3306"/>
              </w:tabs>
              <w:jc w:val="right"/>
              <w:rPr>
                <w:rFonts w:cs="Calibri"/>
                <w:b/>
                <w:bCs/>
              </w:rPr>
            </w:pPr>
          </w:p>
        </w:tc>
        <w:tc>
          <w:tcPr>
            <w:tcW w:w="542" w:type="pct"/>
            <w:tcBorders>
              <w:top w:val="single" w:sz="2" w:space="0" w:color="auto"/>
              <w:left w:val="nil"/>
              <w:bottom w:val="single" w:sz="2" w:space="0" w:color="auto"/>
              <w:right w:val="nil"/>
            </w:tcBorders>
            <w:vAlign w:val="bottom"/>
          </w:tcPr>
          <w:p w14:paraId="483A5A0A" w14:textId="77777777" w:rsidR="00E213C9" w:rsidRPr="00AC0200" w:rsidRDefault="00E213C9" w:rsidP="00E213C9">
            <w:pPr>
              <w:pStyle w:val="TableText"/>
              <w:tabs>
                <w:tab w:val="left" w:pos="3306"/>
              </w:tabs>
              <w:jc w:val="right"/>
              <w:rPr>
                <w:rFonts w:cs="Calibri"/>
                <w:b/>
                <w:bCs/>
              </w:rPr>
            </w:pPr>
          </w:p>
        </w:tc>
      </w:tr>
    </w:tbl>
    <w:p w14:paraId="291B38C6" w14:textId="77777777" w:rsidR="006B168B" w:rsidRDefault="006B168B">
      <w:r>
        <w:br w:type="page"/>
      </w:r>
    </w:p>
    <w:tbl>
      <w:tblPr>
        <w:tblW w:w="512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6652"/>
        <w:gridCol w:w="13"/>
        <w:gridCol w:w="1148"/>
        <w:gridCol w:w="1119"/>
      </w:tblGrid>
      <w:tr w:rsidR="006B168B" w:rsidRPr="00CF7E1B" w14:paraId="08DD49A8" w14:textId="77777777" w:rsidTr="002F4A89">
        <w:tc>
          <w:tcPr>
            <w:tcW w:w="745" w:type="pct"/>
            <w:tcBorders>
              <w:top w:val="nil"/>
              <w:left w:val="single" w:sz="2" w:space="0" w:color="auto"/>
              <w:bottom w:val="nil"/>
              <w:right w:val="single" w:sz="2" w:space="0" w:color="auto"/>
            </w:tcBorders>
          </w:tcPr>
          <w:p w14:paraId="0B0918DC" w14:textId="321C134B" w:rsidR="006B168B" w:rsidRPr="00AC0200" w:rsidRDefault="006B168B" w:rsidP="006B168B">
            <w:pPr>
              <w:pStyle w:val="TableReference"/>
              <w:tabs>
                <w:tab w:val="left" w:pos="3306"/>
              </w:tabs>
              <w:spacing w:after="240"/>
              <w:rPr>
                <w:rFonts w:cs="Calibri"/>
                <w:b/>
                <w:color w:val="7030A0"/>
                <w:sz w:val="22"/>
                <w:szCs w:val="22"/>
              </w:rPr>
            </w:pPr>
            <w:r w:rsidRPr="00AC0200">
              <w:rPr>
                <w:rFonts w:cs="Calibri"/>
                <w:b/>
                <w:color w:val="7030A0"/>
                <w:sz w:val="20"/>
                <w:szCs w:val="20"/>
              </w:rPr>
              <w:br w:type="page"/>
            </w:r>
            <w:r w:rsidRPr="00985A9F">
              <w:rPr>
                <w:rFonts w:cs="Calibri"/>
                <w:b/>
                <w:color w:val="7030A0"/>
                <w:sz w:val="22"/>
                <w:szCs w:val="22"/>
              </w:rPr>
              <w:t>Reference</w:t>
            </w:r>
          </w:p>
        </w:tc>
        <w:tc>
          <w:tcPr>
            <w:tcW w:w="4255" w:type="pct"/>
            <w:gridSpan w:val="4"/>
            <w:tcBorders>
              <w:top w:val="nil"/>
              <w:left w:val="single" w:sz="2" w:space="0" w:color="auto"/>
              <w:bottom w:val="nil"/>
              <w:right w:val="nil"/>
            </w:tcBorders>
          </w:tcPr>
          <w:p w14:paraId="770B5588" w14:textId="77777777" w:rsidR="006B168B" w:rsidRPr="00D9571B" w:rsidRDefault="006B168B" w:rsidP="00DA5473">
            <w:pPr>
              <w:pStyle w:val="Heading1"/>
              <w:numPr>
                <w:ilvl w:val="0"/>
                <w:numId w:val="0"/>
              </w:numPr>
              <w:spacing w:before="0"/>
            </w:pPr>
            <w:bookmarkStart w:id="363" w:name="_Toc98763069"/>
            <w:r w:rsidRPr="00AC0200">
              <w:t>Note 6.</w:t>
            </w:r>
            <w:r>
              <w:t xml:space="preserve"> </w:t>
            </w:r>
            <w:r w:rsidRPr="00AC0200">
              <w:t xml:space="preserve"> Grants and contributions</w:t>
            </w:r>
            <w:r w:rsidRPr="00AC0200">
              <w:rPr>
                <w:rFonts w:cs="Calibri"/>
              </w:rPr>
              <w:t xml:space="preserve"> Revenue</w:t>
            </w:r>
            <w:r>
              <w:rPr>
                <w:rFonts w:cs="Calibri"/>
              </w:rPr>
              <w:t xml:space="preserve"> – Continued</w:t>
            </w:r>
            <w:bookmarkEnd w:id="363"/>
            <w:r>
              <w:rPr>
                <w:rFonts w:cs="Calibri"/>
              </w:rPr>
              <w:t xml:space="preserve"> </w:t>
            </w:r>
          </w:p>
        </w:tc>
      </w:tr>
      <w:tr w:rsidR="006B168B" w:rsidRPr="00F14B06" w14:paraId="79B15AD3" w14:textId="77777777" w:rsidTr="002F4A89">
        <w:tc>
          <w:tcPr>
            <w:tcW w:w="745" w:type="pct"/>
            <w:tcBorders>
              <w:top w:val="nil"/>
              <w:left w:val="single" w:sz="2" w:space="0" w:color="auto"/>
              <w:bottom w:val="nil"/>
              <w:right w:val="single" w:sz="2" w:space="0" w:color="auto"/>
            </w:tcBorders>
          </w:tcPr>
          <w:p w14:paraId="1846DC9A" w14:textId="77777777" w:rsidR="006B168B" w:rsidRPr="00AC0200" w:rsidRDefault="006B168B" w:rsidP="00DA5473">
            <w:pPr>
              <w:pStyle w:val="TableReference"/>
              <w:tabs>
                <w:tab w:val="left" w:pos="3306"/>
              </w:tabs>
              <w:spacing w:before="40"/>
              <w:rPr>
                <w:rFonts w:cs="Calibri"/>
                <w:color w:val="7030A0"/>
                <w:sz w:val="14"/>
              </w:rPr>
            </w:pPr>
            <w:r w:rsidRPr="00AC0200">
              <w:rPr>
                <w:rFonts w:cs="Calibri"/>
                <w:color w:val="7030A0"/>
                <w:sz w:val="14"/>
              </w:rPr>
              <w:t>ACT Disclosure Policy</w:t>
            </w:r>
          </w:p>
        </w:tc>
        <w:tc>
          <w:tcPr>
            <w:tcW w:w="3169" w:type="pct"/>
            <w:tcBorders>
              <w:top w:val="nil"/>
              <w:left w:val="single" w:sz="2" w:space="0" w:color="auto"/>
              <w:bottom w:val="nil"/>
              <w:right w:val="nil"/>
            </w:tcBorders>
            <w:vAlign w:val="bottom"/>
          </w:tcPr>
          <w:p w14:paraId="7189B2D2" w14:textId="77777777" w:rsidR="006B168B" w:rsidRPr="00AC0200" w:rsidRDefault="006B168B" w:rsidP="00DA5473">
            <w:pPr>
              <w:pStyle w:val="TableTitle"/>
              <w:tabs>
                <w:tab w:val="left" w:pos="3306"/>
              </w:tabs>
              <w:ind w:left="5821" w:right="-460"/>
              <w:rPr>
                <w:rFonts w:cs="Calibri"/>
              </w:rPr>
            </w:pPr>
          </w:p>
        </w:tc>
        <w:tc>
          <w:tcPr>
            <w:tcW w:w="553" w:type="pct"/>
            <w:gridSpan w:val="2"/>
            <w:tcBorders>
              <w:top w:val="nil"/>
              <w:left w:val="nil"/>
              <w:bottom w:val="nil"/>
              <w:right w:val="nil"/>
            </w:tcBorders>
            <w:vAlign w:val="bottom"/>
          </w:tcPr>
          <w:p w14:paraId="4A9E08F1" w14:textId="77777777" w:rsidR="006B168B" w:rsidRPr="00AC0200" w:rsidRDefault="006B168B" w:rsidP="00DA5473">
            <w:pPr>
              <w:pStyle w:val="TableTitle"/>
              <w:tabs>
                <w:tab w:val="left" w:pos="3306"/>
              </w:tabs>
              <w:rPr>
                <w:rFonts w:cs="Calibri"/>
              </w:rPr>
            </w:pPr>
            <w:r w:rsidRPr="00AC0200">
              <w:rPr>
                <w:rFonts w:cs="Calibri"/>
              </w:rPr>
              <w:t>2022</w:t>
            </w:r>
          </w:p>
        </w:tc>
        <w:tc>
          <w:tcPr>
            <w:tcW w:w="533" w:type="pct"/>
            <w:tcBorders>
              <w:top w:val="nil"/>
              <w:left w:val="nil"/>
              <w:bottom w:val="nil"/>
              <w:right w:val="nil"/>
            </w:tcBorders>
            <w:vAlign w:val="bottom"/>
          </w:tcPr>
          <w:p w14:paraId="2BC9D9B2" w14:textId="77777777" w:rsidR="006B168B" w:rsidRPr="00AC0200" w:rsidRDefault="006B168B" w:rsidP="00DA5473">
            <w:pPr>
              <w:pStyle w:val="TableTitle"/>
              <w:tabs>
                <w:tab w:val="left" w:pos="3306"/>
              </w:tabs>
              <w:ind w:left="-3516" w:right="60"/>
              <w:rPr>
                <w:rFonts w:cs="Calibri"/>
              </w:rPr>
            </w:pPr>
            <w:r w:rsidRPr="00AC0200">
              <w:rPr>
                <w:rFonts w:cs="Calibri"/>
              </w:rPr>
              <w:t>2021</w:t>
            </w:r>
          </w:p>
        </w:tc>
      </w:tr>
      <w:tr w:rsidR="006B168B" w:rsidRPr="00F14B06" w14:paraId="30225D7A" w14:textId="77777777" w:rsidTr="002F4A89">
        <w:tc>
          <w:tcPr>
            <w:tcW w:w="745" w:type="pct"/>
            <w:tcBorders>
              <w:top w:val="nil"/>
              <w:left w:val="single" w:sz="2" w:space="0" w:color="auto"/>
              <w:bottom w:val="nil"/>
              <w:right w:val="single" w:sz="2" w:space="0" w:color="auto"/>
            </w:tcBorders>
          </w:tcPr>
          <w:p w14:paraId="23F656B3" w14:textId="77777777" w:rsidR="006B168B" w:rsidRPr="00AC0200" w:rsidRDefault="006B168B" w:rsidP="00DA5473">
            <w:pPr>
              <w:pStyle w:val="TableReference"/>
              <w:tabs>
                <w:tab w:val="left" w:pos="3306"/>
              </w:tabs>
              <w:spacing w:before="40"/>
              <w:rPr>
                <w:rFonts w:cs="Calibri"/>
                <w:color w:val="7030A0"/>
                <w:sz w:val="14"/>
              </w:rPr>
            </w:pPr>
          </w:p>
        </w:tc>
        <w:tc>
          <w:tcPr>
            <w:tcW w:w="3169" w:type="pct"/>
            <w:tcBorders>
              <w:top w:val="nil"/>
              <w:left w:val="single" w:sz="2" w:space="0" w:color="auto"/>
              <w:bottom w:val="nil"/>
              <w:right w:val="nil"/>
            </w:tcBorders>
            <w:vAlign w:val="bottom"/>
          </w:tcPr>
          <w:p w14:paraId="3C68E938" w14:textId="77777777" w:rsidR="006B168B" w:rsidRPr="00AC0200" w:rsidRDefault="006B168B" w:rsidP="00DA5473">
            <w:pPr>
              <w:pStyle w:val="TableText"/>
              <w:tabs>
                <w:tab w:val="left" w:pos="3306"/>
              </w:tabs>
              <w:rPr>
                <w:rFonts w:cs="Calibri"/>
              </w:rPr>
            </w:pPr>
          </w:p>
        </w:tc>
        <w:tc>
          <w:tcPr>
            <w:tcW w:w="553" w:type="pct"/>
            <w:gridSpan w:val="2"/>
            <w:tcBorders>
              <w:top w:val="nil"/>
              <w:left w:val="nil"/>
              <w:bottom w:val="nil"/>
              <w:right w:val="nil"/>
            </w:tcBorders>
            <w:vAlign w:val="bottom"/>
          </w:tcPr>
          <w:p w14:paraId="1FC7DB2B" w14:textId="77777777" w:rsidR="006B168B" w:rsidRPr="00AC0200" w:rsidRDefault="006B168B" w:rsidP="00DA5473">
            <w:pPr>
              <w:pStyle w:val="TableTitle"/>
              <w:tabs>
                <w:tab w:val="left" w:pos="3306"/>
              </w:tabs>
              <w:rPr>
                <w:rFonts w:cs="Calibri"/>
              </w:rPr>
            </w:pPr>
            <w:r w:rsidRPr="00AC0200">
              <w:rPr>
                <w:rFonts w:cs="Calibri"/>
              </w:rPr>
              <w:t>$’000</w:t>
            </w:r>
          </w:p>
        </w:tc>
        <w:tc>
          <w:tcPr>
            <w:tcW w:w="533" w:type="pct"/>
            <w:tcBorders>
              <w:top w:val="nil"/>
              <w:left w:val="nil"/>
              <w:bottom w:val="nil"/>
              <w:right w:val="nil"/>
            </w:tcBorders>
            <w:vAlign w:val="bottom"/>
          </w:tcPr>
          <w:p w14:paraId="512FC195" w14:textId="77777777" w:rsidR="006B168B" w:rsidRPr="00AC0200" w:rsidRDefault="006B168B" w:rsidP="00DA5473">
            <w:pPr>
              <w:pStyle w:val="TableTitle"/>
              <w:tabs>
                <w:tab w:val="left" w:pos="3306"/>
              </w:tabs>
              <w:ind w:left="-3516" w:right="60"/>
              <w:rPr>
                <w:rFonts w:cs="Calibri"/>
              </w:rPr>
            </w:pPr>
            <w:r w:rsidRPr="00AC0200">
              <w:rPr>
                <w:rFonts w:cs="Calibri"/>
              </w:rPr>
              <w:t>$’000</w:t>
            </w:r>
          </w:p>
        </w:tc>
      </w:tr>
      <w:tr w:rsidR="00E213C9" w:rsidRPr="00F14B06" w14:paraId="7D484237" w14:textId="77777777" w:rsidTr="002F4A89">
        <w:tc>
          <w:tcPr>
            <w:tcW w:w="745" w:type="pct"/>
            <w:tcBorders>
              <w:top w:val="nil"/>
              <w:left w:val="single" w:sz="2" w:space="0" w:color="auto"/>
              <w:bottom w:val="nil"/>
              <w:right w:val="single" w:sz="2" w:space="0" w:color="auto"/>
            </w:tcBorders>
          </w:tcPr>
          <w:p w14:paraId="31B0D2EB" w14:textId="202E3E5D" w:rsidR="00E213C9" w:rsidRPr="00AC0200" w:rsidRDefault="00E213C9" w:rsidP="00E213C9">
            <w:pPr>
              <w:pStyle w:val="TableReference"/>
              <w:tabs>
                <w:tab w:val="left" w:pos="3306"/>
              </w:tabs>
              <w:spacing w:before="40"/>
              <w:rPr>
                <w:rFonts w:cs="Calibri"/>
                <w:color w:val="7030A0"/>
                <w:sz w:val="14"/>
              </w:rPr>
            </w:pPr>
          </w:p>
        </w:tc>
        <w:tc>
          <w:tcPr>
            <w:tcW w:w="3169" w:type="pct"/>
            <w:tcBorders>
              <w:top w:val="nil"/>
              <w:left w:val="single" w:sz="2" w:space="0" w:color="auto"/>
              <w:bottom w:val="nil"/>
              <w:right w:val="nil"/>
            </w:tcBorders>
            <w:vAlign w:val="bottom"/>
          </w:tcPr>
          <w:p w14:paraId="679854C4" w14:textId="652460AF" w:rsidR="00E213C9" w:rsidRPr="00AC0200" w:rsidRDefault="00E213C9" w:rsidP="00E213C9">
            <w:pPr>
              <w:pStyle w:val="TableText"/>
              <w:tabs>
                <w:tab w:val="left" w:pos="3306"/>
              </w:tabs>
              <w:rPr>
                <w:rFonts w:cs="Calibri"/>
              </w:rPr>
            </w:pPr>
            <w:r w:rsidRPr="00AC0200">
              <w:rPr>
                <w:rFonts w:cs="Calibri"/>
                <w:b/>
                <w:bCs/>
              </w:rPr>
              <w:t xml:space="preserve">Other Grants and Contributions </w:t>
            </w:r>
          </w:p>
        </w:tc>
        <w:tc>
          <w:tcPr>
            <w:tcW w:w="553" w:type="pct"/>
            <w:gridSpan w:val="2"/>
            <w:tcBorders>
              <w:top w:val="nil"/>
              <w:left w:val="nil"/>
              <w:bottom w:val="nil"/>
              <w:right w:val="nil"/>
            </w:tcBorders>
            <w:vAlign w:val="bottom"/>
          </w:tcPr>
          <w:p w14:paraId="59F8C369" w14:textId="6A10CF41" w:rsidR="00E213C9" w:rsidRPr="00AC0200" w:rsidRDefault="00E213C9" w:rsidP="00E213C9">
            <w:pPr>
              <w:pStyle w:val="TableTitle"/>
              <w:tabs>
                <w:tab w:val="left" w:pos="3306"/>
              </w:tabs>
              <w:rPr>
                <w:rFonts w:cs="Calibri"/>
              </w:rPr>
            </w:pPr>
          </w:p>
        </w:tc>
        <w:tc>
          <w:tcPr>
            <w:tcW w:w="533" w:type="pct"/>
            <w:tcBorders>
              <w:top w:val="nil"/>
              <w:left w:val="nil"/>
              <w:bottom w:val="nil"/>
              <w:right w:val="nil"/>
            </w:tcBorders>
            <w:vAlign w:val="bottom"/>
          </w:tcPr>
          <w:p w14:paraId="376D75AD" w14:textId="57866588" w:rsidR="00E213C9" w:rsidRPr="00AC0200" w:rsidRDefault="00E213C9" w:rsidP="00E213C9">
            <w:pPr>
              <w:pStyle w:val="TableTitle"/>
              <w:tabs>
                <w:tab w:val="left" w:pos="3306"/>
              </w:tabs>
              <w:ind w:left="-3516" w:right="60"/>
              <w:rPr>
                <w:rFonts w:cs="Calibri"/>
              </w:rPr>
            </w:pPr>
          </w:p>
        </w:tc>
      </w:tr>
      <w:tr w:rsidR="00E213C9" w:rsidRPr="00F14B06" w14:paraId="637125AB" w14:textId="77777777" w:rsidTr="002F4A89">
        <w:tc>
          <w:tcPr>
            <w:tcW w:w="745" w:type="pct"/>
            <w:tcBorders>
              <w:top w:val="nil"/>
              <w:left w:val="single" w:sz="2" w:space="0" w:color="auto"/>
              <w:bottom w:val="nil"/>
              <w:right w:val="single" w:sz="2" w:space="0" w:color="auto"/>
            </w:tcBorders>
          </w:tcPr>
          <w:p w14:paraId="1613B037" w14:textId="1990B3D2" w:rsidR="00E213C9" w:rsidRPr="00AC0200" w:rsidRDefault="00E213C9" w:rsidP="00E213C9">
            <w:pPr>
              <w:pStyle w:val="TableReference"/>
              <w:tabs>
                <w:tab w:val="left" w:pos="3306"/>
              </w:tabs>
              <w:spacing w:before="40"/>
              <w:rPr>
                <w:rFonts w:cs="Calibri"/>
                <w:color w:val="7030A0"/>
                <w:sz w:val="14"/>
              </w:rPr>
            </w:pPr>
            <w:r w:rsidRPr="00AC0200">
              <w:rPr>
                <w:rFonts w:cs="Calibri"/>
                <w:color w:val="7030A0"/>
                <w:sz w:val="14"/>
              </w:rPr>
              <w:t>AASB 15.113(a) AASB 15.114</w:t>
            </w:r>
          </w:p>
        </w:tc>
        <w:tc>
          <w:tcPr>
            <w:tcW w:w="3169" w:type="pct"/>
            <w:tcBorders>
              <w:top w:val="nil"/>
              <w:left w:val="single" w:sz="2" w:space="0" w:color="auto"/>
              <w:bottom w:val="nil"/>
              <w:right w:val="nil"/>
            </w:tcBorders>
            <w:vAlign w:val="center"/>
          </w:tcPr>
          <w:p w14:paraId="0C5BF145" w14:textId="6B587BC6" w:rsidR="00E213C9" w:rsidRPr="00AC0200" w:rsidRDefault="00E213C9" w:rsidP="00E213C9">
            <w:pPr>
              <w:pStyle w:val="TableText"/>
              <w:tabs>
                <w:tab w:val="left" w:pos="3306"/>
              </w:tabs>
              <w:rPr>
                <w:rFonts w:cs="Calibri"/>
                <w:b/>
                <w:bCs/>
              </w:rPr>
            </w:pPr>
            <w:r w:rsidRPr="00AC0200">
              <w:t>Grants with Sufficiently Specific Performance Obligations</w:t>
            </w:r>
          </w:p>
        </w:tc>
        <w:tc>
          <w:tcPr>
            <w:tcW w:w="553" w:type="pct"/>
            <w:gridSpan w:val="2"/>
            <w:tcBorders>
              <w:top w:val="nil"/>
              <w:left w:val="nil"/>
              <w:bottom w:val="nil"/>
              <w:right w:val="nil"/>
            </w:tcBorders>
            <w:vAlign w:val="bottom"/>
          </w:tcPr>
          <w:p w14:paraId="3E439BE3" w14:textId="77777777" w:rsidR="00E213C9" w:rsidRPr="00AC0200" w:rsidRDefault="00E213C9" w:rsidP="00E213C9">
            <w:pPr>
              <w:pStyle w:val="TableTitle"/>
              <w:tabs>
                <w:tab w:val="left" w:pos="3306"/>
              </w:tabs>
              <w:rPr>
                <w:rFonts w:cs="Calibri"/>
              </w:rPr>
            </w:pPr>
          </w:p>
        </w:tc>
        <w:tc>
          <w:tcPr>
            <w:tcW w:w="533" w:type="pct"/>
            <w:tcBorders>
              <w:top w:val="nil"/>
              <w:left w:val="nil"/>
              <w:bottom w:val="nil"/>
              <w:right w:val="nil"/>
            </w:tcBorders>
            <w:vAlign w:val="bottom"/>
          </w:tcPr>
          <w:p w14:paraId="42C039AB" w14:textId="77777777" w:rsidR="00E213C9" w:rsidRPr="00AC0200" w:rsidRDefault="00E213C9" w:rsidP="00E213C9">
            <w:pPr>
              <w:pStyle w:val="TableTitle"/>
              <w:tabs>
                <w:tab w:val="left" w:pos="3306"/>
              </w:tabs>
              <w:ind w:left="-3516" w:right="60"/>
              <w:rPr>
                <w:rFonts w:cs="Calibri"/>
              </w:rPr>
            </w:pPr>
          </w:p>
        </w:tc>
      </w:tr>
      <w:tr w:rsidR="00E213C9" w:rsidRPr="00F14B06" w14:paraId="35AECEFA" w14:textId="77777777" w:rsidTr="002F4A89">
        <w:tc>
          <w:tcPr>
            <w:tcW w:w="745" w:type="pct"/>
            <w:tcBorders>
              <w:top w:val="nil"/>
              <w:left w:val="single" w:sz="2" w:space="0" w:color="auto"/>
              <w:bottom w:val="nil"/>
              <w:right w:val="single" w:sz="2" w:space="0" w:color="auto"/>
            </w:tcBorders>
          </w:tcPr>
          <w:p w14:paraId="5821260D" w14:textId="00EEF938" w:rsidR="00E213C9" w:rsidRPr="00AC0200" w:rsidRDefault="00E213C9" w:rsidP="00E213C9">
            <w:pPr>
              <w:pStyle w:val="TableReference"/>
              <w:tabs>
                <w:tab w:val="left" w:pos="3306"/>
              </w:tabs>
              <w:spacing w:before="60"/>
              <w:rPr>
                <w:rFonts w:cs="Calibri"/>
                <w:color w:val="7030A0"/>
                <w:sz w:val="14"/>
              </w:rPr>
            </w:pPr>
            <w:r w:rsidRPr="00AC0200">
              <w:rPr>
                <w:rFonts w:cs="Calibri"/>
                <w:color w:val="7030A0"/>
                <w:sz w:val="14"/>
              </w:rPr>
              <w:t>AASB 1058.10</w:t>
            </w:r>
          </w:p>
        </w:tc>
        <w:tc>
          <w:tcPr>
            <w:tcW w:w="3169" w:type="pct"/>
            <w:tcBorders>
              <w:top w:val="nil"/>
              <w:left w:val="single" w:sz="2" w:space="0" w:color="auto"/>
              <w:bottom w:val="nil"/>
              <w:right w:val="nil"/>
            </w:tcBorders>
            <w:vAlign w:val="bottom"/>
          </w:tcPr>
          <w:p w14:paraId="0ABD941F" w14:textId="103C1B04" w:rsidR="00E213C9" w:rsidRPr="00AC0200" w:rsidRDefault="00E213C9" w:rsidP="00E213C9">
            <w:pPr>
              <w:pStyle w:val="TableText"/>
              <w:tabs>
                <w:tab w:val="left" w:pos="3306"/>
              </w:tabs>
              <w:rPr>
                <w:rFonts w:cs="Calibri"/>
                <w:strike/>
              </w:rPr>
            </w:pPr>
            <w:r w:rsidRPr="00AC0200">
              <w:rPr>
                <w:rFonts w:cs="Calibri"/>
              </w:rPr>
              <w:t>Grants without Sufficient Performance Obligations</w:t>
            </w:r>
            <w:r w:rsidRPr="0009580B">
              <w:rPr>
                <w:rFonts w:cs="Calibri"/>
              </w:rPr>
              <w:t xml:space="preserve"> </w:t>
            </w:r>
          </w:p>
        </w:tc>
        <w:tc>
          <w:tcPr>
            <w:tcW w:w="553" w:type="pct"/>
            <w:gridSpan w:val="2"/>
            <w:tcBorders>
              <w:top w:val="nil"/>
              <w:left w:val="nil"/>
              <w:bottom w:val="nil"/>
              <w:right w:val="nil"/>
            </w:tcBorders>
            <w:vAlign w:val="bottom"/>
          </w:tcPr>
          <w:p w14:paraId="25E8231C" w14:textId="77777777" w:rsidR="00E213C9" w:rsidRPr="00AC0200" w:rsidRDefault="00E213C9" w:rsidP="00E213C9">
            <w:pPr>
              <w:pStyle w:val="TableText"/>
              <w:tabs>
                <w:tab w:val="left" w:pos="3306"/>
              </w:tabs>
              <w:jc w:val="right"/>
              <w:rPr>
                <w:rFonts w:cs="Calibri"/>
              </w:rPr>
            </w:pPr>
          </w:p>
        </w:tc>
        <w:tc>
          <w:tcPr>
            <w:tcW w:w="533" w:type="pct"/>
            <w:tcBorders>
              <w:top w:val="nil"/>
              <w:left w:val="nil"/>
              <w:bottom w:val="nil"/>
              <w:right w:val="nil"/>
            </w:tcBorders>
            <w:vAlign w:val="bottom"/>
          </w:tcPr>
          <w:p w14:paraId="5597A557" w14:textId="77777777" w:rsidR="00E213C9" w:rsidRPr="00AC0200" w:rsidRDefault="00E213C9" w:rsidP="00E213C9">
            <w:pPr>
              <w:pStyle w:val="TableText"/>
              <w:tabs>
                <w:tab w:val="left" w:pos="3306"/>
              </w:tabs>
              <w:jc w:val="right"/>
              <w:rPr>
                <w:rFonts w:cs="Calibri"/>
              </w:rPr>
            </w:pPr>
          </w:p>
        </w:tc>
      </w:tr>
      <w:tr w:rsidR="00E213C9" w:rsidRPr="00F14B06" w14:paraId="268D4686" w14:textId="77777777" w:rsidTr="002F4A89">
        <w:tc>
          <w:tcPr>
            <w:tcW w:w="745" w:type="pct"/>
            <w:tcBorders>
              <w:top w:val="nil"/>
              <w:left w:val="single" w:sz="2" w:space="0" w:color="auto"/>
              <w:bottom w:val="nil"/>
              <w:right w:val="single" w:sz="2" w:space="0" w:color="auto"/>
            </w:tcBorders>
          </w:tcPr>
          <w:p w14:paraId="0E471488" w14:textId="6343C1E9" w:rsidR="00E213C9" w:rsidRPr="00AC0200" w:rsidRDefault="00E213C9" w:rsidP="00E213C9">
            <w:pPr>
              <w:pStyle w:val="TableReference"/>
              <w:tabs>
                <w:tab w:val="left" w:pos="3306"/>
              </w:tabs>
              <w:spacing w:before="60"/>
              <w:rPr>
                <w:rFonts w:cs="Calibri"/>
                <w:color w:val="7030A0"/>
                <w:sz w:val="14"/>
              </w:rPr>
            </w:pPr>
            <w:r w:rsidRPr="00AC0200">
              <w:rPr>
                <w:rFonts w:cs="Calibri"/>
                <w:color w:val="7030A0"/>
                <w:sz w:val="14"/>
              </w:rPr>
              <w:t>AASB 1058.31</w:t>
            </w:r>
          </w:p>
        </w:tc>
        <w:tc>
          <w:tcPr>
            <w:tcW w:w="3169" w:type="pct"/>
            <w:tcBorders>
              <w:top w:val="nil"/>
              <w:left w:val="single" w:sz="2" w:space="0" w:color="auto"/>
              <w:bottom w:val="nil"/>
              <w:right w:val="nil"/>
            </w:tcBorders>
            <w:vAlign w:val="bottom"/>
          </w:tcPr>
          <w:p w14:paraId="57EB525D" w14:textId="36EAEA00" w:rsidR="00E213C9" w:rsidRPr="00AC0200" w:rsidRDefault="00E213C9" w:rsidP="00E213C9">
            <w:pPr>
              <w:pStyle w:val="TableText"/>
              <w:tabs>
                <w:tab w:val="left" w:pos="3306"/>
              </w:tabs>
              <w:rPr>
                <w:rFonts w:cs="Calibri"/>
              </w:rPr>
            </w:pPr>
            <w:r w:rsidRPr="00AC0200">
              <w:rPr>
                <w:rFonts w:cs="Calibri"/>
              </w:rPr>
              <w:t>Grants to Acquire or Construct Assets to be Controlled by the Agency</w:t>
            </w:r>
          </w:p>
        </w:tc>
        <w:tc>
          <w:tcPr>
            <w:tcW w:w="553" w:type="pct"/>
            <w:gridSpan w:val="2"/>
            <w:tcBorders>
              <w:top w:val="nil"/>
              <w:left w:val="nil"/>
              <w:bottom w:val="nil"/>
              <w:right w:val="nil"/>
            </w:tcBorders>
            <w:vAlign w:val="bottom"/>
          </w:tcPr>
          <w:p w14:paraId="79C39306" w14:textId="77777777" w:rsidR="00E213C9" w:rsidRPr="00AC0200" w:rsidRDefault="00E213C9" w:rsidP="00E213C9">
            <w:pPr>
              <w:pStyle w:val="TableText"/>
              <w:tabs>
                <w:tab w:val="left" w:pos="3306"/>
              </w:tabs>
              <w:jc w:val="right"/>
              <w:rPr>
                <w:rFonts w:cs="Calibri"/>
              </w:rPr>
            </w:pPr>
          </w:p>
        </w:tc>
        <w:tc>
          <w:tcPr>
            <w:tcW w:w="533" w:type="pct"/>
            <w:tcBorders>
              <w:top w:val="nil"/>
              <w:left w:val="nil"/>
              <w:bottom w:val="nil"/>
              <w:right w:val="nil"/>
            </w:tcBorders>
            <w:vAlign w:val="bottom"/>
          </w:tcPr>
          <w:p w14:paraId="5EEC33D4" w14:textId="77777777" w:rsidR="00E213C9" w:rsidRPr="00AC0200" w:rsidRDefault="00E213C9" w:rsidP="00E213C9">
            <w:pPr>
              <w:pStyle w:val="TableText"/>
              <w:tabs>
                <w:tab w:val="left" w:pos="3306"/>
              </w:tabs>
              <w:jc w:val="right"/>
              <w:rPr>
                <w:rFonts w:cs="Calibri"/>
              </w:rPr>
            </w:pPr>
          </w:p>
        </w:tc>
      </w:tr>
      <w:tr w:rsidR="00E213C9" w:rsidRPr="00F14B06" w14:paraId="59D8C808" w14:textId="77777777" w:rsidTr="002F4A89">
        <w:tc>
          <w:tcPr>
            <w:tcW w:w="745" w:type="pct"/>
            <w:tcBorders>
              <w:top w:val="nil"/>
              <w:left w:val="single" w:sz="2" w:space="0" w:color="auto"/>
              <w:bottom w:val="nil"/>
              <w:right w:val="single" w:sz="2" w:space="0" w:color="auto"/>
            </w:tcBorders>
          </w:tcPr>
          <w:p w14:paraId="14D75BD9" w14:textId="397DDEA4" w:rsidR="00E213C9" w:rsidRPr="00AC0200" w:rsidRDefault="00E213C9" w:rsidP="00E213C9">
            <w:pPr>
              <w:pStyle w:val="TableReference"/>
              <w:tabs>
                <w:tab w:val="left" w:pos="3306"/>
              </w:tabs>
              <w:spacing w:before="60"/>
              <w:rPr>
                <w:rFonts w:cs="Calibri"/>
                <w:color w:val="7030A0"/>
                <w:sz w:val="14"/>
              </w:rPr>
            </w:pPr>
            <w:r w:rsidRPr="00AC0200">
              <w:rPr>
                <w:rFonts w:cs="Calibri"/>
                <w:color w:val="7030A0"/>
                <w:sz w:val="14"/>
              </w:rPr>
              <w:t>AASB 1058.26(a)</w:t>
            </w:r>
          </w:p>
        </w:tc>
        <w:tc>
          <w:tcPr>
            <w:tcW w:w="3169" w:type="pct"/>
            <w:tcBorders>
              <w:top w:val="nil"/>
              <w:left w:val="single" w:sz="2" w:space="0" w:color="auto"/>
              <w:bottom w:val="nil"/>
              <w:right w:val="nil"/>
            </w:tcBorders>
            <w:vAlign w:val="bottom"/>
          </w:tcPr>
          <w:p w14:paraId="24EB4D27" w14:textId="5B7FF527" w:rsidR="00E213C9" w:rsidRPr="00AC0200" w:rsidRDefault="00E213C9" w:rsidP="00E213C9">
            <w:pPr>
              <w:pStyle w:val="TableText"/>
              <w:tabs>
                <w:tab w:val="left" w:pos="3306"/>
              </w:tabs>
              <w:rPr>
                <w:rFonts w:cs="Calibri"/>
              </w:rPr>
            </w:pPr>
            <w:r w:rsidRPr="00AC0200">
              <w:rPr>
                <w:rFonts w:cs="Calibri"/>
              </w:rPr>
              <w:t>Donations</w:t>
            </w:r>
            <w:r w:rsidR="00FA7C77">
              <w:rPr>
                <w:rFonts w:cs="Calibri"/>
              </w:rPr>
              <w:t xml:space="preserve"> </w:t>
            </w:r>
          </w:p>
        </w:tc>
        <w:tc>
          <w:tcPr>
            <w:tcW w:w="553" w:type="pct"/>
            <w:gridSpan w:val="2"/>
            <w:tcBorders>
              <w:top w:val="nil"/>
              <w:left w:val="nil"/>
              <w:bottom w:val="nil"/>
              <w:right w:val="nil"/>
            </w:tcBorders>
            <w:vAlign w:val="bottom"/>
          </w:tcPr>
          <w:p w14:paraId="71FBA948" w14:textId="77777777" w:rsidR="00E213C9" w:rsidRPr="00AC0200" w:rsidRDefault="00E213C9" w:rsidP="00E213C9">
            <w:pPr>
              <w:pStyle w:val="TableText"/>
              <w:tabs>
                <w:tab w:val="left" w:pos="3306"/>
              </w:tabs>
              <w:jc w:val="right"/>
              <w:rPr>
                <w:rFonts w:cs="Calibri"/>
              </w:rPr>
            </w:pPr>
          </w:p>
        </w:tc>
        <w:tc>
          <w:tcPr>
            <w:tcW w:w="533" w:type="pct"/>
            <w:tcBorders>
              <w:top w:val="nil"/>
              <w:left w:val="nil"/>
              <w:bottom w:val="nil"/>
              <w:right w:val="nil"/>
            </w:tcBorders>
            <w:vAlign w:val="bottom"/>
          </w:tcPr>
          <w:p w14:paraId="5E9A205F" w14:textId="77777777" w:rsidR="00E213C9" w:rsidRPr="00AC0200" w:rsidRDefault="00E213C9" w:rsidP="00E213C9">
            <w:pPr>
              <w:pStyle w:val="TableText"/>
              <w:tabs>
                <w:tab w:val="left" w:pos="3306"/>
              </w:tabs>
              <w:jc w:val="right"/>
              <w:rPr>
                <w:rFonts w:cs="Calibri"/>
              </w:rPr>
            </w:pPr>
          </w:p>
        </w:tc>
      </w:tr>
      <w:tr w:rsidR="00E213C9" w:rsidRPr="00F14B06" w14:paraId="1CF34DEF" w14:textId="77777777" w:rsidTr="002F4A89">
        <w:tc>
          <w:tcPr>
            <w:tcW w:w="745" w:type="pct"/>
            <w:tcBorders>
              <w:top w:val="nil"/>
              <w:left w:val="single" w:sz="2" w:space="0" w:color="auto"/>
              <w:bottom w:val="nil"/>
              <w:right w:val="single" w:sz="2" w:space="0" w:color="auto"/>
            </w:tcBorders>
          </w:tcPr>
          <w:p w14:paraId="2A37C2DF" w14:textId="77777777" w:rsidR="00E213C9" w:rsidRPr="00AC0200" w:rsidRDefault="00E213C9"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383BB603" w14:textId="53EC4AC2" w:rsidR="00E213C9" w:rsidRPr="00AC0200" w:rsidRDefault="00E213C9" w:rsidP="00E213C9">
            <w:pPr>
              <w:pStyle w:val="TableText"/>
              <w:tabs>
                <w:tab w:val="left" w:pos="3306"/>
              </w:tabs>
              <w:rPr>
                <w:rFonts w:cs="Calibri"/>
              </w:rPr>
            </w:pPr>
            <w:bookmarkStart w:id="364" w:name="_Hlk95075481"/>
            <w:r w:rsidRPr="00AC0200">
              <w:rPr>
                <w:rFonts w:cs="Calibri"/>
              </w:rPr>
              <w:t>Gain Arising from the Contribution of Assets</w:t>
            </w:r>
            <w:r w:rsidR="00FA7C77">
              <w:rPr>
                <w:rFonts w:cs="Calibri"/>
              </w:rPr>
              <w:t xml:space="preserve"> </w:t>
            </w:r>
            <w:bookmarkEnd w:id="364"/>
          </w:p>
        </w:tc>
        <w:tc>
          <w:tcPr>
            <w:tcW w:w="553" w:type="pct"/>
            <w:gridSpan w:val="2"/>
            <w:tcBorders>
              <w:top w:val="nil"/>
              <w:left w:val="nil"/>
              <w:bottom w:val="nil"/>
              <w:right w:val="nil"/>
            </w:tcBorders>
            <w:vAlign w:val="bottom"/>
          </w:tcPr>
          <w:p w14:paraId="65C25220" w14:textId="77777777" w:rsidR="00E213C9" w:rsidRPr="00AC0200" w:rsidRDefault="00E213C9" w:rsidP="00E213C9">
            <w:pPr>
              <w:pStyle w:val="TableText"/>
              <w:tabs>
                <w:tab w:val="left" w:pos="3306"/>
              </w:tabs>
              <w:jc w:val="right"/>
              <w:rPr>
                <w:rFonts w:cs="Calibri"/>
              </w:rPr>
            </w:pPr>
          </w:p>
        </w:tc>
        <w:tc>
          <w:tcPr>
            <w:tcW w:w="533" w:type="pct"/>
            <w:tcBorders>
              <w:top w:val="nil"/>
              <w:left w:val="nil"/>
              <w:bottom w:val="nil"/>
              <w:right w:val="nil"/>
            </w:tcBorders>
            <w:vAlign w:val="bottom"/>
          </w:tcPr>
          <w:p w14:paraId="6AD588F0" w14:textId="77777777" w:rsidR="00E213C9" w:rsidRPr="00AC0200" w:rsidRDefault="00E213C9" w:rsidP="00E213C9">
            <w:pPr>
              <w:pStyle w:val="TableText"/>
              <w:tabs>
                <w:tab w:val="left" w:pos="3306"/>
              </w:tabs>
              <w:jc w:val="right"/>
              <w:rPr>
                <w:rFonts w:cs="Calibri"/>
              </w:rPr>
            </w:pPr>
          </w:p>
        </w:tc>
      </w:tr>
      <w:tr w:rsidR="00E213C9" w:rsidRPr="00F14B06" w14:paraId="289EF623" w14:textId="77777777" w:rsidTr="002F4A89">
        <w:tc>
          <w:tcPr>
            <w:tcW w:w="745" w:type="pct"/>
            <w:tcBorders>
              <w:top w:val="nil"/>
              <w:left w:val="single" w:sz="2" w:space="0" w:color="auto"/>
              <w:bottom w:val="nil"/>
              <w:right w:val="single" w:sz="2" w:space="0" w:color="auto"/>
            </w:tcBorders>
          </w:tcPr>
          <w:p w14:paraId="6C7ECDD8" w14:textId="77777777" w:rsidR="00E213C9" w:rsidRPr="00AC0200" w:rsidRDefault="00E213C9"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57ABC9BC" w14:textId="60C9630D" w:rsidR="00E213C9" w:rsidRPr="00AC0200" w:rsidRDefault="00E213C9" w:rsidP="00E213C9">
            <w:pPr>
              <w:pStyle w:val="TableText"/>
              <w:tabs>
                <w:tab w:val="left" w:pos="3306"/>
              </w:tabs>
              <w:rPr>
                <w:rFonts w:cs="Calibri"/>
              </w:rPr>
            </w:pPr>
            <w:r w:rsidRPr="00AC0200">
              <w:rPr>
                <w:rFonts w:cs="Calibri"/>
              </w:rPr>
              <w:t>Donations of Property, Plant and Equipment</w:t>
            </w:r>
            <w:r w:rsidR="00FA7C77">
              <w:rPr>
                <w:rFonts w:cs="Calibri"/>
              </w:rPr>
              <w:t xml:space="preserve"> </w:t>
            </w:r>
          </w:p>
        </w:tc>
        <w:tc>
          <w:tcPr>
            <w:tcW w:w="553" w:type="pct"/>
            <w:gridSpan w:val="2"/>
            <w:tcBorders>
              <w:top w:val="nil"/>
              <w:left w:val="nil"/>
              <w:bottom w:val="nil"/>
              <w:right w:val="nil"/>
            </w:tcBorders>
            <w:vAlign w:val="bottom"/>
          </w:tcPr>
          <w:p w14:paraId="74670B48" w14:textId="77777777" w:rsidR="00E213C9" w:rsidRPr="00AC0200" w:rsidRDefault="00E213C9" w:rsidP="00E213C9">
            <w:pPr>
              <w:pStyle w:val="TableText"/>
              <w:tabs>
                <w:tab w:val="left" w:pos="3306"/>
              </w:tabs>
              <w:jc w:val="right"/>
              <w:rPr>
                <w:rFonts w:cs="Calibri"/>
              </w:rPr>
            </w:pPr>
          </w:p>
        </w:tc>
        <w:tc>
          <w:tcPr>
            <w:tcW w:w="533" w:type="pct"/>
            <w:tcBorders>
              <w:top w:val="nil"/>
              <w:left w:val="nil"/>
              <w:bottom w:val="nil"/>
              <w:right w:val="nil"/>
            </w:tcBorders>
            <w:vAlign w:val="bottom"/>
          </w:tcPr>
          <w:p w14:paraId="3028CF21" w14:textId="77777777" w:rsidR="00E213C9" w:rsidRPr="00AC0200" w:rsidRDefault="00E213C9" w:rsidP="00E213C9">
            <w:pPr>
              <w:pStyle w:val="TableText"/>
              <w:tabs>
                <w:tab w:val="left" w:pos="3306"/>
              </w:tabs>
              <w:jc w:val="right"/>
              <w:rPr>
                <w:rFonts w:cs="Calibri"/>
              </w:rPr>
            </w:pPr>
          </w:p>
        </w:tc>
      </w:tr>
      <w:tr w:rsidR="00E213C9" w:rsidRPr="00F14B06" w14:paraId="63B9A803" w14:textId="77777777" w:rsidTr="002F4A89">
        <w:tc>
          <w:tcPr>
            <w:tcW w:w="745" w:type="pct"/>
            <w:tcBorders>
              <w:top w:val="nil"/>
              <w:left w:val="single" w:sz="2" w:space="0" w:color="auto"/>
              <w:bottom w:val="nil"/>
              <w:right w:val="single" w:sz="2" w:space="0" w:color="auto"/>
            </w:tcBorders>
          </w:tcPr>
          <w:p w14:paraId="75556BB0" w14:textId="77777777" w:rsidR="00E213C9" w:rsidRPr="00AC0200" w:rsidRDefault="00E213C9"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69112A02" w14:textId="38FBA393" w:rsidR="00E213C9" w:rsidRPr="00AC0200" w:rsidRDefault="00E213C9" w:rsidP="00E213C9">
            <w:pPr>
              <w:pStyle w:val="TableText"/>
              <w:tabs>
                <w:tab w:val="left" w:pos="3306"/>
              </w:tabs>
              <w:rPr>
                <w:rFonts w:cs="Calibri"/>
              </w:rPr>
            </w:pPr>
            <w:r w:rsidRPr="00AC0200">
              <w:rPr>
                <w:rFonts w:cs="Calibri"/>
              </w:rPr>
              <w:t xml:space="preserve">Restructure Fund Receipts </w:t>
            </w:r>
          </w:p>
        </w:tc>
        <w:tc>
          <w:tcPr>
            <w:tcW w:w="553" w:type="pct"/>
            <w:gridSpan w:val="2"/>
            <w:tcBorders>
              <w:top w:val="nil"/>
              <w:left w:val="nil"/>
              <w:bottom w:val="nil"/>
              <w:right w:val="nil"/>
            </w:tcBorders>
            <w:vAlign w:val="bottom"/>
          </w:tcPr>
          <w:p w14:paraId="52857E4B" w14:textId="77777777" w:rsidR="00E213C9" w:rsidRPr="00AC0200" w:rsidRDefault="00E213C9" w:rsidP="00E213C9">
            <w:pPr>
              <w:pStyle w:val="TableText"/>
              <w:tabs>
                <w:tab w:val="left" w:pos="3306"/>
              </w:tabs>
              <w:jc w:val="right"/>
              <w:rPr>
                <w:rFonts w:cs="Calibri"/>
              </w:rPr>
            </w:pPr>
          </w:p>
        </w:tc>
        <w:tc>
          <w:tcPr>
            <w:tcW w:w="533" w:type="pct"/>
            <w:tcBorders>
              <w:top w:val="nil"/>
              <w:left w:val="nil"/>
              <w:bottom w:val="nil"/>
              <w:right w:val="nil"/>
            </w:tcBorders>
            <w:vAlign w:val="bottom"/>
          </w:tcPr>
          <w:p w14:paraId="664AEED7" w14:textId="77777777" w:rsidR="00E213C9" w:rsidRPr="00AC0200" w:rsidRDefault="00E213C9" w:rsidP="00E213C9">
            <w:pPr>
              <w:pStyle w:val="TableText"/>
              <w:tabs>
                <w:tab w:val="left" w:pos="3306"/>
              </w:tabs>
              <w:jc w:val="right"/>
              <w:rPr>
                <w:rFonts w:cs="Calibri"/>
              </w:rPr>
            </w:pPr>
          </w:p>
        </w:tc>
      </w:tr>
      <w:tr w:rsidR="00E213C9" w:rsidRPr="00F14B06" w14:paraId="593DDEDB" w14:textId="77777777" w:rsidTr="002F4A89">
        <w:tc>
          <w:tcPr>
            <w:tcW w:w="745" w:type="pct"/>
            <w:tcBorders>
              <w:top w:val="nil"/>
              <w:left w:val="single" w:sz="2" w:space="0" w:color="auto"/>
              <w:bottom w:val="nil"/>
              <w:right w:val="single" w:sz="2" w:space="0" w:color="auto"/>
            </w:tcBorders>
          </w:tcPr>
          <w:p w14:paraId="4299EAFD" w14:textId="531F3C2E" w:rsidR="00E213C9" w:rsidRPr="00AC0200" w:rsidRDefault="00E213C9" w:rsidP="00E213C9">
            <w:pPr>
              <w:pStyle w:val="TableReference"/>
              <w:tabs>
                <w:tab w:val="left" w:pos="3306"/>
              </w:tabs>
              <w:spacing w:before="60"/>
              <w:rPr>
                <w:rFonts w:cs="Calibri"/>
                <w:color w:val="7030A0"/>
                <w:sz w:val="14"/>
              </w:rPr>
            </w:pPr>
            <w:r w:rsidRPr="00AC0200">
              <w:rPr>
                <w:rFonts w:cs="Calibri"/>
                <w:color w:val="7030A0"/>
                <w:sz w:val="14"/>
              </w:rPr>
              <w:t>AASB 1058.26(b)</w:t>
            </w:r>
          </w:p>
        </w:tc>
        <w:tc>
          <w:tcPr>
            <w:tcW w:w="3169" w:type="pct"/>
            <w:tcBorders>
              <w:top w:val="nil"/>
              <w:left w:val="single" w:sz="2" w:space="0" w:color="auto"/>
              <w:bottom w:val="nil"/>
              <w:right w:val="nil"/>
            </w:tcBorders>
            <w:vAlign w:val="bottom"/>
          </w:tcPr>
          <w:p w14:paraId="25D8CE11" w14:textId="5A174259" w:rsidR="00E213C9" w:rsidRPr="00AC0200" w:rsidRDefault="00E213C9" w:rsidP="00E213C9">
            <w:pPr>
              <w:pStyle w:val="TableText"/>
              <w:tabs>
                <w:tab w:val="left" w:pos="3306"/>
              </w:tabs>
              <w:rPr>
                <w:rFonts w:cs="Calibri"/>
              </w:rPr>
            </w:pPr>
            <w:r w:rsidRPr="00AC0200">
              <w:rPr>
                <w:rFonts w:cs="Calibri"/>
              </w:rPr>
              <w:t>Volunteer Services – External Volunteers</w:t>
            </w:r>
          </w:p>
        </w:tc>
        <w:tc>
          <w:tcPr>
            <w:tcW w:w="553" w:type="pct"/>
            <w:gridSpan w:val="2"/>
            <w:tcBorders>
              <w:top w:val="nil"/>
              <w:left w:val="nil"/>
              <w:bottom w:val="single" w:sz="2" w:space="0" w:color="auto"/>
              <w:right w:val="nil"/>
            </w:tcBorders>
            <w:vAlign w:val="bottom"/>
          </w:tcPr>
          <w:p w14:paraId="09663A12" w14:textId="77777777" w:rsidR="00E213C9" w:rsidRPr="00AC0200" w:rsidRDefault="00E213C9" w:rsidP="00E213C9">
            <w:pPr>
              <w:pStyle w:val="TableText"/>
              <w:tabs>
                <w:tab w:val="left" w:pos="3306"/>
              </w:tabs>
              <w:jc w:val="right"/>
              <w:rPr>
                <w:rFonts w:cs="Calibri"/>
              </w:rPr>
            </w:pPr>
          </w:p>
        </w:tc>
        <w:tc>
          <w:tcPr>
            <w:tcW w:w="533" w:type="pct"/>
            <w:tcBorders>
              <w:top w:val="nil"/>
              <w:left w:val="nil"/>
              <w:bottom w:val="single" w:sz="2" w:space="0" w:color="auto"/>
              <w:right w:val="nil"/>
            </w:tcBorders>
            <w:vAlign w:val="bottom"/>
          </w:tcPr>
          <w:p w14:paraId="31CE7A7D" w14:textId="77777777" w:rsidR="00E213C9" w:rsidRPr="00AC0200" w:rsidRDefault="00E213C9" w:rsidP="00E213C9">
            <w:pPr>
              <w:pStyle w:val="TableText"/>
              <w:tabs>
                <w:tab w:val="left" w:pos="3306"/>
              </w:tabs>
              <w:jc w:val="right"/>
              <w:rPr>
                <w:rFonts w:cs="Calibri"/>
              </w:rPr>
            </w:pPr>
          </w:p>
        </w:tc>
      </w:tr>
      <w:tr w:rsidR="00E213C9" w:rsidRPr="00F14B06" w14:paraId="53686400" w14:textId="77777777" w:rsidTr="002F4A89">
        <w:tc>
          <w:tcPr>
            <w:tcW w:w="745" w:type="pct"/>
            <w:tcBorders>
              <w:top w:val="nil"/>
              <w:left w:val="single" w:sz="2" w:space="0" w:color="auto"/>
              <w:bottom w:val="nil"/>
              <w:right w:val="single" w:sz="2" w:space="0" w:color="auto"/>
            </w:tcBorders>
          </w:tcPr>
          <w:p w14:paraId="646F693C" w14:textId="77777777" w:rsidR="00E213C9" w:rsidRPr="00AC0200" w:rsidRDefault="00E213C9" w:rsidP="00E213C9">
            <w:pPr>
              <w:pStyle w:val="TableReference"/>
              <w:tabs>
                <w:tab w:val="left" w:pos="3306"/>
              </w:tabs>
              <w:spacing w:before="60"/>
              <w:rPr>
                <w:rFonts w:cs="Calibri"/>
                <w:color w:val="7030A0"/>
                <w:sz w:val="14"/>
              </w:rPr>
            </w:pPr>
          </w:p>
        </w:tc>
        <w:tc>
          <w:tcPr>
            <w:tcW w:w="3169" w:type="pct"/>
            <w:tcBorders>
              <w:top w:val="nil"/>
              <w:left w:val="single" w:sz="2" w:space="0" w:color="auto"/>
              <w:bottom w:val="nil"/>
              <w:right w:val="nil"/>
            </w:tcBorders>
            <w:vAlign w:val="bottom"/>
          </w:tcPr>
          <w:p w14:paraId="2124FD16" w14:textId="088246F2" w:rsidR="00E213C9" w:rsidRPr="00AC0200" w:rsidRDefault="00E213C9" w:rsidP="00E213C9">
            <w:pPr>
              <w:pStyle w:val="TableText"/>
              <w:tabs>
                <w:tab w:val="left" w:pos="3306"/>
              </w:tabs>
              <w:rPr>
                <w:rFonts w:cs="Calibri"/>
                <w:b/>
                <w:bCs/>
              </w:rPr>
            </w:pPr>
            <w:r w:rsidRPr="00AC0200">
              <w:rPr>
                <w:rFonts w:cs="Calibri"/>
                <w:b/>
                <w:bCs/>
              </w:rPr>
              <w:t xml:space="preserve">Total Other Grants and Contributions </w:t>
            </w:r>
          </w:p>
        </w:tc>
        <w:tc>
          <w:tcPr>
            <w:tcW w:w="553" w:type="pct"/>
            <w:gridSpan w:val="2"/>
            <w:tcBorders>
              <w:top w:val="single" w:sz="2" w:space="0" w:color="auto"/>
              <w:left w:val="nil"/>
              <w:bottom w:val="single" w:sz="4" w:space="0" w:color="auto"/>
              <w:right w:val="nil"/>
            </w:tcBorders>
            <w:vAlign w:val="bottom"/>
          </w:tcPr>
          <w:p w14:paraId="230E0A1D" w14:textId="77777777" w:rsidR="00E213C9" w:rsidRPr="00AC0200" w:rsidRDefault="00E213C9" w:rsidP="00E213C9">
            <w:pPr>
              <w:pStyle w:val="TableText"/>
              <w:tabs>
                <w:tab w:val="left" w:pos="3306"/>
              </w:tabs>
              <w:jc w:val="right"/>
              <w:rPr>
                <w:rFonts w:cs="Calibri"/>
                <w:b/>
                <w:bCs/>
              </w:rPr>
            </w:pPr>
          </w:p>
        </w:tc>
        <w:tc>
          <w:tcPr>
            <w:tcW w:w="533" w:type="pct"/>
            <w:tcBorders>
              <w:top w:val="single" w:sz="2" w:space="0" w:color="auto"/>
              <w:left w:val="nil"/>
              <w:bottom w:val="single" w:sz="4" w:space="0" w:color="auto"/>
              <w:right w:val="nil"/>
            </w:tcBorders>
            <w:vAlign w:val="bottom"/>
          </w:tcPr>
          <w:p w14:paraId="6CA6BB32" w14:textId="77777777" w:rsidR="00E213C9" w:rsidRPr="00AC0200" w:rsidRDefault="00E213C9" w:rsidP="00E213C9">
            <w:pPr>
              <w:pStyle w:val="TableText"/>
              <w:tabs>
                <w:tab w:val="left" w:pos="3306"/>
              </w:tabs>
              <w:jc w:val="right"/>
              <w:rPr>
                <w:rFonts w:cs="Calibri"/>
              </w:rPr>
            </w:pPr>
          </w:p>
        </w:tc>
      </w:tr>
      <w:tr w:rsidR="00E213C9" w:rsidRPr="00F14B06" w14:paraId="2C915777" w14:textId="77777777" w:rsidTr="002F4A89">
        <w:tc>
          <w:tcPr>
            <w:tcW w:w="745" w:type="pct"/>
            <w:tcBorders>
              <w:top w:val="nil"/>
              <w:left w:val="single" w:sz="2" w:space="0" w:color="auto"/>
              <w:bottom w:val="nil"/>
              <w:right w:val="single" w:sz="2" w:space="0" w:color="auto"/>
            </w:tcBorders>
          </w:tcPr>
          <w:p w14:paraId="66D13122" w14:textId="4B14C3EE" w:rsidR="00E213C9" w:rsidRPr="00AC0200" w:rsidRDefault="00E213C9" w:rsidP="00E213C9">
            <w:pPr>
              <w:pStyle w:val="TableReference"/>
              <w:tabs>
                <w:tab w:val="left" w:pos="3306"/>
              </w:tabs>
              <w:spacing w:before="40"/>
              <w:rPr>
                <w:rFonts w:cs="Calibri"/>
                <w:color w:val="7030A0"/>
                <w:sz w:val="14"/>
              </w:rPr>
            </w:pPr>
            <w:r w:rsidRPr="00AC0200">
              <w:rPr>
                <w:rFonts w:cs="Calibri"/>
                <w:color w:val="7030A0"/>
                <w:sz w:val="14"/>
              </w:rPr>
              <w:t>AASB 1058.22</w:t>
            </w:r>
          </w:p>
        </w:tc>
        <w:tc>
          <w:tcPr>
            <w:tcW w:w="3175" w:type="pct"/>
            <w:gridSpan w:val="2"/>
            <w:tcBorders>
              <w:top w:val="nil"/>
              <w:left w:val="single" w:sz="2" w:space="0" w:color="auto"/>
              <w:bottom w:val="nil"/>
              <w:right w:val="nil"/>
            </w:tcBorders>
            <w:vAlign w:val="bottom"/>
          </w:tcPr>
          <w:p w14:paraId="0256DD17" w14:textId="673557F1" w:rsidR="00E213C9" w:rsidRPr="00AC0200" w:rsidRDefault="00E213C9" w:rsidP="00E213C9">
            <w:pPr>
              <w:pStyle w:val="TableText"/>
              <w:tabs>
                <w:tab w:val="left" w:pos="3306"/>
              </w:tabs>
              <w:rPr>
                <w:rFonts w:cs="Calibri"/>
                <w:b/>
                <w:bCs/>
              </w:rPr>
            </w:pPr>
            <w:r w:rsidRPr="00AC0200">
              <w:rPr>
                <w:rFonts w:cs="Calibri"/>
                <w:b/>
                <w:bCs/>
              </w:rPr>
              <w:t>Total Grants and Contributions</w:t>
            </w:r>
          </w:p>
        </w:tc>
        <w:tc>
          <w:tcPr>
            <w:tcW w:w="547" w:type="pct"/>
            <w:tcBorders>
              <w:top w:val="single" w:sz="4" w:space="0" w:color="auto"/>
              <w:left w:val="nil"/>
              <w:bottom w:val="double" w:sz="4" w:space="0" w:color="auto"/>
              <w:right w:val="nil"/>
            </w:tcBorders>
            <w:vAlign w:val="bottom"/>
          </w:tcPr>
          <w:p w14:paraId="596C78DF" w14:textId="77777777" w:rsidR="00E213C9" w:rsidRPr="00AC0200" w:rsidRDefault="00E213C9" w:rsidP="00E213C9">
            <w:pPr>
              <w:pStyle w:val="TableText"/>
              <w:tabs>
                <w:tab w:val="left" w:pos="3306"/>
              </w:tabs>
              <w:jc w:val="right"/>
              <w:rPr>
                <w:rFonts w:cs="Calibri"/>
                <w:b/>
                <w:bCs/>
              </w:rPr>
            </w:pPr>
          </w:p>
        </w:tc>
        <w:tc>
          <w:tcPr>
            <w:tcW w:w="533" w:type="pct"/>
            <w:tcBorders>
              <w:top w:val="single" w:sz="4" w:space="0" w:color="auto"/>
              <w:left w:val="nil"/>
              <w:bottom w:val="double" w:sz="4" w:space="0" w:color="auto"/>
              <w:right w:val="nil"/>
            </w:tcBorders>
            <w:vAlign w:val="bottom"/>
          </w:tcPr>
          <w:p w14:paraId="3165E1BA" w14:textId="77777777" w:rsidR="00E213C9" w:rsidRPr="00AC0200" w:rsidRDefault="00E213C9" w:rsidP="00E213C9">
            <w:pPr>
              <w:pStyle w:val="TableText"/>
              <w:tabs>
                <w:tab w:val="left" w:pos="3306"/>
              </w:tabs>
              <w:jc w:val="right"/>
              <w:rPr>
                <w:rFonts w:cs="Calibri"/>
                <w:b/>
                <w:bCs/>
              </w:rPr>
            </w:pPr>
          </w:p>
        </w:tc>
      </w:tr>
      <w:tr w:rsidR="006D7030" w:rsidRPr="0080666E" w14:paraId="0BF42FE9" w14:textId="77777777" w:rsidTr="002F4A89">
        <w:trPr>
          <w:trHeight w:val="150"/>
        </w:trPr>
        <w:tc>
          <w:tcPr>
            <w:tcW w:w="745" w:type="pct"/>
            <w:tcBorders>
              <w:top w:val="nil"/>
              <w:left w:val="single" w:sz="2" w:space="0" w:color="auto"/>
              <w:bottom w:val="nil"/>
              <w:right w:val="single" w:sz="2" w:space="0" w:color="auto"/>
            </w:tcBorders>
          </w:tcPr>
          <w:p w14:paraId="47358004" w14:textId="77777777" w:rsidR="006D7030" w:rsidRPr="00AC0200" w:rsidRDefault="006D7030" w:rsidP="007B316A">
            <w:pPr>
              <w:pStyle w:val="TableText"/>
              <w:tabs>
                <w:tab w:val="left" w:pos="3306"/>
              </w:tabs>
              <w:spacing w:before="0"/>
              <w:jc w:val="both"/>
              <w:rPr>
                <w:rFonts w:cs="Calibri"/>
                <w:sz w:val="20"/>
                <w:szCs w:val="20"/>
              </w:rPr>
            </w:pPr>
          </w:p>
        </w:tc>
        <w:tc>
          <w:tcPr>
            <w:tcW w:w="3175" w:type="pct"/>
            <w:gridSpan w:val="2"/>
            <w:tcBorders>
              <w:top w:val="nil"/>
              <w:left w:val="single" w:sz="2" w:space="0" w:color="auto"/>
              <w:bottom w:val="nil"/>
              <w:right w:val="nil"/>
            </w:tcBorders>
          </w:tcPr>
          <w:p w14:paraId="58CBB082" w14:textId="1838698A" w:rsidR="006D7030" w:rsidRPr="00AC0200" w:rsidRDefault="006D7030" w:rsidP="007B316A">
            <w:pPr>
              <w:pStyle w:val="TableText"/>
              <w:tabs>
                <w:tab w:val="left" w:pos="3306"/>
              </w:tabs>
              <w:spacing w:before="0"/>
              <w:jc w:val="both"/>
              <w:rPr>
                <w:rFonts w:cs="Calibri"/>
                <w:sz w:val="20"/>
                <w:szCs w:val="20"/>
              </w:rPr>
            </w:pPr>
          </w:p>
        </w:tc>
        <w:tc>
          <w:tcPr>
            <w:tcW w:w="1080" w:type="pct"/>
            <w:gridSpan w:val="2"/>
            <w:tcBorders>
              <w:top w:val="double" w:sz="4" w:space="0" w:color="auto"/>
              <w:left w:val="nil"/>
              <w:bottom w:val="nil"/>
              <w:right w:val="nil"/>
            </w:tcBorders>
          </w:tcPr>
          <w:p w14:paraId="36343579" w14:textId="42CD4B39" w:rsidR="006D7030" w:rsidRPr="00AC0200" w:rsidRDefault="006D7030" w:rsidP="007B316A">
            <w:pPr>
              <w:pStyle w:val="TableText"/>
              <w:tabs>
                <w:tab w:val="left" w:pos="3306"/>
              </w:tabs>
              <w:spacing w:before="0"/>
              <w:jc w:val="both"/>
              <w:rPr>
                <w:rFonts w:cs="Calibri"/>
                <w:sz w:val="20"/>
                <w:szCs w:val="20"/>
              </w:rPr>
            </w:pPr>
          </w:p>
        </w:tc>
      </w:tr>
      <w:tr w:rsidR="00E213C9" w:rsidRPr="0080666E" w14:paraId="564FE8B5" w14:textId="77777777" w:rsidTr="002F4A89">
        <w:tc>
          <w:tcPr>
            <w:tcW w:w="745" w:type="pct"/>
            <w:tcBorders>
              <w:top w:val="nil"/>
              <w:left w:val="single" w:sz="2" w:space="0" w:color="auto"/>
              <w:bottom w:val="nil"/>
              <w:right w:val="single" w:sz="2" w:space="0" w:color="auto"/>
            </w:tcBorders>
          </w:tcPr>
          <w:p w14:paraId="31DEC607" w14:textId="77777777" w:rsidR="00E213C9" w:rsidRPr="00AC0200" w:rsidRDefault="00E213C9" w:rsidP="00E213C9">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4A5FBFDA" w14:textId="63E3CFE2" w:rsidR="00E213C9" w:rsidRPr="00AC0200" w:rsidRDefault="00E213C9" w:rsidP="007122BC">
            <w:pPr>
              <w:pStyle w:val="TableText"/>
              <w:numPr>
                <w:ilvl w:val="0"/>
                <w:numId w:val="52"/>
              </w:numPr>
              <w:tabs>
                <w:tab w:val="left" w:pos="3306"/>
              </w:tabs>
              <w:spacing w:before="0" w:after="120"/>
              <w:ind w:left="321"/>
              <w:jc w:val="both"/>
            </w:pPr>
            <w:r w:rsidRPr="00AC0200">
              <w:rPr>
                <w:rFonts w:cs="Calibri"/>
              </w:rPr>
              <w:t>The increase in legal services of $</w:t>
            </w:r>
            <w:r w:rsidR="00436BDE">
              <w:rPr>
                <w:rFonts w:cs="Calibri"/>
              </w:rPr>
              <w:t>xxx</w:t>
            </w:r>
            <w:r w:rsidRPr="00AC0200">
              <w:rPr>
                <w:rFonts w:cs="Calibri"/>
              </w:rPr>
              <w:t xml:space="preserve"> was due to the litigation arising from </w:t>
            </w:r>
            <w:r w:rsidRPr="00AC0200">
              <w:rPr>
                <w:rFonts w:asciiTheme="minorHAnsi" w:hAnsiTheme="minorHAnsi" w:cs="Calibri"/>
              </w:rPr>
              <w:t>contamination caused by ‘</w:t>
            </w:r>
            <w:r w:rsidRPr="00AC0200">
              <w:t>Burley Griffin</w:t>
            </w:r>
            <w:r w:rsidRPr="00AC0200">
              <w:rPr>
                <w:rFonts w:asciiTheme="minorHAnsi" w:hAnsiTheme="minorHAnsi" w:cs="Calibri"/>
              </w:rPr>
              <w:t xml:space="preserve"> Agency’.</w:t>
            </w:r>
            <w:r w:rsidR="00FA7C77">
              <w:rPr>
                <w:rFonts w:asciiTheme="minorHAnsi" w:hAnsiTheme="minorHAnsi" w:cs="Calibri"/>
              </w:rPr>
              <w:t xml:space="preserve"> </w:t>
            </w:r>
            <w:r w:rsidR="00FA7C77">
              <w:rPr>
                <w:rFonts w:cs="Calibri"/>
              </w:rPr>
              <w:t xml:space="preserve"> </w:t>
            </w:r>
          </w:p>
        </w:tc>
      </w:tr>
      <w:tr w:rsidR="00E213C9" w:rsidRPr="00CF7E1B" w14:paraId="3C1D9D9A"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57"/>
          <w:tblHeader/>
        </w:trPr>
        <w:tc>
          <w:tcPr>
            <w:tcW w:w="745" w:type="pct"/>
            <w:tcBorders>
              <w:left w:val="single" w:sz="2" w:space="0" w:color="auto"/>
              <w:right w:val="single" w:sz="2" w:space="0" w:color="auto"/>
            </w:tcBorders>
          </w:tcPr>
          <w:p w14:paraId="529F51C7" w14:textId="09955E80" w:rsidR="00E213C9" w:rsidRPr="00AC0200" w:rsidRDefault="00E213C9" w:rsidP="00E213C9">
            <w:pPr>
              <w:pStyle w:val="TableReference"/>
              <w:tabs>
                <w:tab w:val="left" w:pos="3306"/>
              </w:tabs>
              <w:spacing w:before="120" w:after="240"/>
              <w:rPr>
                <w:rFonts w:cs="Calibri"/>
                <w:b/>
                <w:color w:val="7030A0"/>
                <w:sz w:val="14"/>
              </w:rPr>
            </w:pPr>
          </w:p>
        </w:tc>
        <w:tc>
          <w:tcPr>
            <w:tcW w:w="4255" w:type="pct"/>
            <w:gridSpan w:val="4"/>
            <w:tcBorders>
              <w:left w:val="single" w:sz="2" w:space="0" w:color="auto"/>
            </w:tcBorders>
            <w:shd w:val="clear" w:color="auto" w:fill="7030A0"/>
          </w:tcPr>
          <w:p w14:paraId="451119F5" w14:textId="3AEE910D" w:rsidR="00E213C9" w:rsidRPr="00AC0200" w:rsidRDefault="00E213C9" w:rsidP="00E213C9">
            <w:pPr>
              <w:pStyle w:val="CommentaryTitle"/>
              <w:spacing w:after="240"/>
              <w:rPr>
                <w:rFonts w:cs="Calibri"/>
                <w:bCs w:val="0"/>
                <w:color w:val="FFFFFF" w:themeColor="background1"/>
                <w:sz w:val="28"/>
                <w:szCs w:val="28"/>
              </w:rPr>
            </w:pPr>
            <w:r w:rsidRPr="00AC0200">
              <w:rPr>
                <w:rFonts w:cs="Calibri"/>
                <w:bCs w:val="0"/>
                <w:color w:val="FFFFFF" w:themeColor="background1"/>
                <w:sz w:val="28"/>
                <w:szCs w:val="28"/>
              </w:rPr>
              <w:t xml:space="preserve">Commentary – Note 6: Grants and Contributions </w:t>
            </w:r>
            <w:r w:rsidRPr="00AC0200">
              <w:rPr>
                <w:rFonts w:cs="Calibri"/>
                <w:color w:val="FFFFFF" w:themeColor="background1"/>
                <w:sz w:val="28"/>
                <w:szCs w:val="28"/>
              </w:rPr>
              <w:t>Revenue</w:t>
            </w:r>
          </w:p>
        </w:tc>
      </w:tr>
      <w:tr w:rsidR="00E213C9" w:rsidRPr="00AB2101" w14:paraId="626AED28"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29973EB1"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2A4CE145" w14:textId="58762F5C" w:rsidR="00E213C9" w:rsidRPr="006B168B" w:rsidRDefault="00E213C9" w:rsidP="00E213C9">
            <w:pPr>
              <w:pStyle w:val="CommentaryText"/>
              <w:tabs>
                <w:tab w:val="left" w:pos="3306"/>
              </w:tabs>
              <w:spacing w:after="0"/>
              <w:rPr>
                <w:rFonts w:cs="Calibri"/>
                <w:strike/>
                <w:color w:val="FFFFFF" w:themeColor="background1"/>
                <w:szCs w:val="20"/>
              </w:rPr>
            </w:pPr>
            <w:r w:rsidRPr="006B168B">
              <w:rPr>
                <w:rFonts w:cs="Calibri"/>
                <w:b/>
                <w:bCs/>
                <w:color w:val="FFFFFF" w:themeColor="background1"/>
                <w:szCs w:val="20"/>
              </w:rPr>
              <w:t>AASB 1058 Income of Not-for-Profit Entities</w:t>
            </w:r>
          </w:p>
        </w:tc>
      </w:tr>
      <w:tr w:rsidR="00E213C9" w:rsidRPr="00AB2101" w14:paraId="0482E233"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4903CE16" w14:textId="77777777" w:rsidR="00E213C9" w:rsidRPr="00AC0200" w:rsidRDefault="00E213C9" w:rsidP="00E213C9">
            <w:pPr>
              <w:pStyle w:val="TableReference"/>
              <w:tabs>
                <w:tab w:val="left" w:pos="3306"/>
              </w:tabs>
              <w:spacing w:before="60"/>
              <w:rPr>
                <w:color w:val="7030A0"/>
                <w:sz w:val="14"/>
              </w:rPr>
            </w:pPr>
            <w:r w:rsidRPr="00AC0200">
              <w:rPr>
                <w:color w:val="7030A0"/>
                <w:sz w:val="14"/>
              </w:rPr>
              <w:t>AASB 1058.1</w:t>
            </w:r>
          </w:p>
          <w:p w14:paraId="6F1B0643"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7ACC23B5" w14:textId="320610E3" w:rsidR="00E213C9" w:rsidRPr="00AC0200" w:rsidRDefault="00E213C9" w:rsidP="00E213C9">
            <w:pPr>
              <w:pStyle w:val="CommentaryText"/>
              <w:tabs>
                <w:tab w:val="left" w:pos="3306"/>
              </w:tabs>
              <w:rPr>
                <w:rFonts w:cs="Calibri"/>
                <w:strike/>
                <w:color w:val="FFFFFF" w:themeColor="background1"/>
                <w:sz w:val="18"/>
                <w:szCs w:val="18"/>
              </w:rPr>
            </w:pPr>
            <w:r w:rsidRPr="00AC0200">
              <w:rPr>
                <w:color w:val="FFFFFF" w:themeColor="background1"/>
                <w:sz w:val="18"/>
                <w:szCs w:val="18"/>
              </w:rPr>
              <w:t>AASB 1058 applies to transactions where the consideration to acquire an asset is significantly less than fair value principally to enable a not-for-profit agency to further its objectives (i.e. transactions with a donation nature) and the receipt of volunteer services.</w:t>
            </w:r>
          </w:p>
        </w:tc>
      </w:tr>
      <w:tr w:rsidR="00E213C9" w:rsidRPr="00AB2101" w14:paraId="1E7D67AA"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2DC2A7B6" w14:textId="77777777" w:rsidR="00E213C9" w:rsidRPr="00AC0200" w:rsidRDefault="00E213C9" w:rsidP="00E213C9">
            <w:pPr>
              <w:pStyle w:val="TableReference"/>
              <w:tabs>
                <w:tab w:val="left" w:pos="3306"/>
              </w:tabs>
              <w:spacing w:before="60"/>
              <w:rPr>
                <w:color w:val="7030A0"/>
                <w:sz w:val="14"/>
              </w:rPr>
            </w:pPr>
            <w:r w:rsidRPr="00AC0200">
              <w:rPr>
                <w:color w:val="7030A0"/>
                <w:sz w:val="14"/>
              </w:rPr>
              <w:t>AASB 1058.8</w:t>
            </w:r>
          </w:p>
          <w:p w14:paraId="1FA8C364" w14:textId="77777777" w:rsidR="00E213C9" w:rsidRPr="00AC0200" w:rsidRDefault="00E213C9" w:rsidP="00E213C9">
            <w:pPr>
              <w:pStyle w:val="TableReference"/>
              <w:tabs>
                <w:tab w:val="left" w:pos="3306"/>
              </w:tabs>
              <w:spacing w:before="60"/>
              <w:rPr>
                <w:color w:val="7030A0"/>
                <w:sz w:val="14"/>
              </w:rPr>
            </w:pPr>
            <w:r w:rsidRPr="00AC0200">
              <w:rPr>
                <w:color w:val="7030A0"/>
                <w:sz w:val="14"/>
              </w:rPr>
              <w:t>AASB 1058.9</w:t>
            </w:r>
          </w:p>
          <w:p w14:paraId="03A1DD46"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73B26945" w14:textId="7931EF26" w:rsidR="00E213C9" w:rsidRPr="00AC0200" w:rsidRDefault="00E213C9" w:rsidP="00E213C9">
            <w:pPr>
              <w:pStyle w:val="CommentaryText"/>
              <w:tabs>
                <w:tab w:val="left" w:pos="3306"/>
              </w:tabs>
              <w:rPr>
                <w:rFonts w:cs="Calibri"/>
                <w:strike/>
                <w:color w:val="FFFFFF" w:themeColor="background1"/>
                <w:sz w:val="18"/>
                <w:szCs w:val="18"/>
              </w:rPr>
            </w:pPr>
            <w:r w:rsidRPr="00AC0200">
              <w:rPr>
                <w:color w:val="FFFFFF" w:themeColor="background1"/>
                <w:sz w:val="18"/>
                <w:szCs w:val="18"/>
              </w:rPr>
              <w:t xml:space="preserve">According to AASB 1058, an agency shall apply the requirements of other Australian Accounting Standards (as relevant) to an asset arising from a transaction (e.g. AASB 9 </w:t>
            </w:r>
            <w:r w:rsidRPr="00AC0200">
              <w:rPr>
                <w:i/>
                <w:iCs/>
                <w:color w:val="FFFFFF" w:themeColor="background1"/>
                <w:sz w:val="18"/>
                <w:szCs w:val="18"/>
              </w:rPr>
              <w:t>Financial Instruments</w:t>
            </w:r>
            <w:r w:rsidRPr="00AC0200">
              <w:rPr>
                <w:color w:val="FFFFFF" w:themeColor="background1"/>
                <w:sz w:val="18"/>
                <w:szCs w:val="18"/>
              </w:rPr>
              <w:t xml:space="preserve"> for cash received). On initial recognition of the asset, an agency shall recognise any related contributions by owners, increases in liabilities, decreases in assets (‘related amounts”), and revenue in accordance with other Australian Accounting Standards.</w:t>
            </w:r>
            <w:r w:rsidR="00FA7C77">
              <w:rPr>
                <w:color w:val="FFFFFF" w:themeColor="background1"/>
                <w:sz w:val="18"/>
                <w:szCs w:val="18"/>
              </w:rPr>
              <w:t xml:space="preserve"> </w:t>
            </w:r>
          </w:p>
        </w:tc>
      </w:tr>
      <w:tr w:rsidR="00E213C9" w:rsidRPr="00AB2101" w14:paraId="78F703DC"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03360149" w14:textId="77777777" w:rsidR="00E213C9" w:rsidRPr="00AC0200" w:rsidRDefault="00E213C9" w:rsidP="00E213C9">
            <w:pPr>
              <w:pStyle w:val="TableReference"/>
              <w:tabs>
                <w:tab w:val="left" w:pos="3306"/>
              </w:tabs>
              <w:spacing w:before="60"/>
              <w:rPr>
                <w:color w:val="7030A0"/>
                <w:sz w:val="14"/>
              </w:rPr>
            </w:pPr>
            <w:r w:rsidRPr="00AC0200">
              <w:rPr>
                <w:color w:val="7030A0"/>
                <w:sz w:val="14"/>
              </w:rPr>
              <w:t>AASB 1058.10</w:t>
            </w:r>
          </w:p>
          <w:p w14:paraId="49DBF5E8" w14:textId="77777777" w:rsidR="00E213C9" w:rsidRPr="00AC0200" w:rsidRDefault="00E213C9" w:rsidP="00E213C9">
            <w:pPr>
              <w:pStyle w:val="TableReference"/>
              <w:tabs>
                <w:tab w:val="left" w:pos="3306"/>
              </w:tabs>
              <w:spacing w:before="60"/>
              <w:rPr>
                <w:color w:val="7030A0"/>
                <w:sz w:val="14"/>
              </w:rPr>
            </w:pPr>
          </w:p>
          <w:p w14:paraId="60904E46" w14:textId="16759B74" w:rsidR="00E213C9" w:rsidRPr="00AC0200" w:rsidRDefault="00E213C9" w:rsidP="00E213C9">
            <w:pPr>
              <w:pStyle w:val="TableReference"/>
              <w:tabs>
                <w:tab w:val="left" w:pos="3306"/>
              </w:tabs>
              <w:spacing w:before="60"/>
              <w:rPr>
                <w:rFonts w:cs="Calibri"/>
                <w:color w:val="7030A0"/>
                <w:sz w:val="14"/>
              </w:rPr>
            </w:pPr>
            <w:r w:rsidRPr="00AC0200">
              <w:rPr>
                <w:color w:val="7030A0"/>
                <w:sz w:val="14"/>
              </w:rPr>
              <w:t>AASB 1058.15</w:t>
            </w:r>
          </w:p>
        </w:tc>
        <w:tc>
          <w:tcPr>
            <w:tcW w:w="4255" w:type="pct"/>
            <w:gridSpan w:val="4"/>
            <w:tcBorders>
              <w:left w:val="single" w:sz="2" w:space="0" w:color="auto"/>
            </w:tcBorders>
            <w:shd w:val="clear" w:color="auto" w:fill="7030A0"/>
          </w:tcPr>
          <w:p w14:paraId="1B17BE94" w14:textId="38D97746" w:rsidR="00E213C9" w:rsidRPr="00AC0200" w:rsidRDefault="00E213C9" w:rsidP="00E213C9">
            <w:pPr>
              <w:pStyle w:val="CommentaryText"/>
              <w:tabs>
                <w:tab w:val="left" w:pos="3306"/>
              </w:tabs>
              <w:rPr>
                <w:rFonts w:cs="Calibri"/>
                <w:strike/>
                <w:color w:val="FFFFFF" w:themeColor="background1"/>
                <w:sz w:val="18"/>
                <w:szCs w:val="18"/>
              </w:rPr>
            </w:pPr>
            <w:r w:rsidRPr="00AC0200">
              <w:rPr>
                <w:color w:val="FFFFFF" w:themeColor="background1"/>
                <w:sz w:val="18"/>
                <w:szCs w:val="18"/>
              </w:rPr>
              <w:t>For transactions within the scope of AASB 1058, an agency shall recognise income immediately in profit or loss for the excess of the initial carrying amount of an asset over the related amounts recognised in accordance with the other standards (referred to above).</w:t>
            </w:r>
          </w:p>
        </w:tc>
      </w:tr>
      <w:tr w:rsidR="00E213C9" w:rsidRPr="00AB2101" w14:paraId="560D7649"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07AD9977" w14:textId="09C192DF" w:rsidR="00E213C9" w:rsidRPr="00AC0200" w:rsidRDefault="00E213C9" w:rsidP="00E213C9">
            <w:pPr>
              <w:pStyle w:val="TableReference"/>
              <w:tabs>
                <w:tab w:val="left" w:pos="3306"/>
              </w:tabs>
              <w:spacing w:before="60"/>
              <w:rPr>
                <w:rFonts w:cs="Calibri"/>
                <w:color w:val="7030A0"/>
                <w:sz w:val="14"/>
              </w:rPr>
            </w:pPr>
            <w:r w:rsidRPr="00AC0200">
              <w:rPr>
                <w:rFonts w:cs="Calibri"/>
                <w:color w:val="7030A0"/>
                <w:sz w:val="14"/>
              </w:rPr>
              <w:t>AASB 1058.16</w:t>
            </w:r>
          </w:p>
        </w:tc>
        <w:tc>
          <w:tcPr>
            <w:tcW w:w="4255" w:type="pct"/>
            <w:gridSpan w:val="4"/>
            <w:tcBorders>
              <w:left w:val="single" w:sz="2" w:space="0" w:color="auto"/>
            </w:tcBorders>
            <w:shd w:val="clear" w:color="auto" w:fill="7030A0"/>
          </w:tcPr>
          <w:p w14:paraId="622C31B4" w14:textId="0F781DA1" w:rsidR="00E213C9" w:rsidRPr="00AC0200" w:rsidRDefault="00E213C9" w:rsidP="00E213C9">
            <w:pPr>
              <w:spacing w:after="40"/>
              <w:jc w:val="both"/>
              <w:rPr>
                <w:color w:val="FFFFFF" w:themeColor="background1"/>
                <w:sz w:val="18"/>
                <w:szCs w:val="18"/>
              </w:rPr>
            </w:pPr>
            <w:r w:rsidRPr="00AC0200">
              <w:rPr>
                <w:color w:val="FFFFFF" w:themeColor="background1"/>
                <w:sz w:val="18"/>
                <w:szCs w:val="18"/>
              </w:rPr>
              <w:t>There is an exception where a transfer of a financial asset is to enable an agency to acquire or construct a recognisable non-financial asset that will be controlled by the agency.</w:t>
            </w:r>
            <w:r w:rsidR="00FA7C77">
              <w:rPr>
                <w:color w:val="FFFFFF" w:themeColor="background1"/>
                <w:sz w:val="18"/>
                <w:szCs w:val="18"/>
              </w:rPr>
              <w:t xml:space="preserve"> </w:t>
            </w:r>
            <w:r w:rsidRPr="00AC0200">
              <w:rPr>
                <w:color w:val="FFFFFF" w:themeColor="background1"/>
                <w:sz w:val="18"/>
                <w:szCs w:val="18"/>
              </w:rPr>
              <w:t xml:space="preserve">This exception applies to a transfer that: </w:t>
            </w:r>
          </w:p>
          <w:p w14:paraId="547BA52D" w14:textId="77777777" w:rsidR="00E213C9" w:rsidRPr="006B168B" w:rsidRDefault="00E213C9" w:rsidP="007122BC">
            <w:pPr>
              <w:numPr>
                <w:ilvl w:val="0"/>
                <w:numId w:val="44"/>
              </w:numPr>
              <w:spacing w:after="60"/>
              <w:ind w:left="426" w:hanging="243"/>
              <w:jc w:val="both"/>
              <w:rPr>
                <w:rFonts w:cs="Calibri"/>
                <w:color w:val="FFFFFF" w:themeColor="background1"/>
                <w:sz w:val="18"/>
                <w:szCs w:val="18"/>
              </w:rPr>
            </w:pPr>
            <w:r w:rsidRPr="006B168B">
              <w:rPr>
                <w:rFonts w:cs="Calibri"/>
                <w:color w:val="FFFFFF" w:themeColor="background1"/>
                <w:sz w:val="18"/>
                <w:szCs w:val="18"/>
              </w:rPr>
              <w:t xml:space="preserve">requires the agency to use that financial asset to acquire or construct a recognisable non-financial asset to identified specifications; </w:t>
            </w:r>
          </w:p>
          <w:p w14:paraId="267C8092" w14:textId="77777777" w:rsidR="00E213C9" w:rsidRPr="006B168B" w:rsidRDefault="00E213C9" w:rsidP="007122BC">
            <w:pPr>
              <w:numPr>
                <w:ilvl w:val="0"/>
                <w:numId w:val="44"/>
              </w:numPr>
              <w:spacing w:after="60"/>
              <w:ind w:left="426" w:hanging="243"/>
              <w:jc w:val="both"/>
              <w:rPr>
                <w:rFonts w:cs="Calibri"/>
                <w:color w:val="FFFFFF" w:themeColor="background1"/>
                <w:sz w:val="18"/>
                <w:szCs w:val="18"/>
              </w:rPr>
            </w:pPr>
            <w:r w:rsidRPr="006B168B">
              <w:rPr>
                <w:rFonts w:cs="Calibri"/>
                <w:color w:val="FFFFFF" w:themeColor="background1"/>
                <w:sz w:val="18"/>
                <w:szCs w:val="18"/>
              </w:rPr>
              <w:t xml:space="preserve">does not require the agency to transfer the non-financial asset to the transferor or other parties; and </w:t>
            </w:r>
          </w:p>
          <w:p w14:paraId="29E5201B" w14:textId="2C138D39" w:rsidR="00E213C9" w:rsidRPr="00AC0200" w:rsidRDefault="00E213C9" w:rsidP="007122BC">
            <w:pPr>
              <w:numPr>
                <w:ilvl w:val="0"/>
                <w:numId w:val="44"/>
              </w:numPr>
              <w:spacing w:after="60"/>
              <w:ind w:left="426" w:hanging="243"/>
              <w:jc w:val="both"/>
              <w:rPr>
                <w:color w:val="FFFFFF" w:themeColor="background1"/>
                <w:sz w:val="18"/>
                <w:szCs w:val="18"/>
              </w:rPr>
            </w:pPr>
            <w:r w:rsidRPr="006B168B">
              <w:rPr>
                <w:rFonts w:cs="Calibri"/>
                <w:color w:val="FFFFFF" w:themeColor="background1"/>
                <w:sz w:val="18"/>
                <w:szCs w:val="18"/>
              </w:rPr>
              <w:t>occurs under an enforceable agreement.</w:t>
            </w:r>
          </w:p>
        </w:tc>
      </w:tr>
      <w:tr w:rsidR="00E213C9" w:rsidRPr="00AB2101" w14:paraId="0927DBBD"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286AD18E"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24F5EA3D" w14:textId="28C6EAA6" w:rsidR="00E213C9" w:rsidRPr="00AC0200" w:rsidRDefault="00E213C9" w:rsidP="00E213C9">
            <w:pPr>
              <w:pStyle w:val="CommentaryText"/>
              <w:tabs>
                <w:tab w:val="left" w:pos="3306"/>
              </w:tabs>
              <w:spacing w:after="0"/>
              <w:rPr>
                <w:rFonts w:cs="Calibri"/>
                <w:strike/>
                <w:color w:val="FFFFFF" w:themeColor="background1"/>
                <w:sz w:val="18"/>
                <w:szCs w:val="18"/>
              </w:rPr>
            </w:pPr>
            <w:r w:rsidRPr="00AC0200">
              <w:rPr>
                <w:color w:val="FFFFFF" w:themeColor="background1"/>
                <w:sz w:val="18"/>
                <w:szCs w:val="18"/>
              </w:rPr>
              <w:t>An agency shall recognise a liability for the excess of the initial carrying amount of a financial asset received in such a transfer over any related amounts recognised. The agency shall recognise income in profit or loss when the agency satisfies its obligations under the transfer.</w:t>
            </w:r>
          </w:p>
        </w:tc>
      </w:tr>
      <w:tr w:rsidR="00E213C9" w:rsidRPr="00AB2101" w14:paraId="27ABFF80"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62EB63B2"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7B5C86CA" w14:textId="77777777" w:rsidR="00E213C9" w:rsidRPr="00AC0200" w:rsidRDefault="00E213C9" w:rsidP="00E213C9">
            <w:pPr>
              <w:pStyle w:val="CommentaryText"/>
              <w:tabs>
                <w:tab w:val="left" w:pos="3306"/>
              </w:tabs>
              <w:spacing w:after="0"/>
              <w:rPr>
                <w:rFonts w:cs="Calibri"/>
                <w:strike/>
                <w:color w:val="FFFFFF" w:themeColor="background1"/>
                <w:sz w:val="18"/>
                <w:szCs w:val="18"/>
              </w:rPr>
            </w:pPr>
          </w:p>
        </w:tc>
      </w:tr>
      <w:tr w:rsidR="00E213C9" w:rsidRPr="00AB2101" w14:paraId="04A7A956"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7C75868E"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3B7FE68" w14:textId="046D037A" w:rsidR="00E213C9" w:rsidRPr="00AC0200" w:rsidRDefault="00E213C9" w:rsidP="00E213C9">
            <w:pPr>
              <w:pStyle w:val="CommentaryText"/>
              <w:tabs>
                <w:tab w:val="left" w:pos="3306"/>
              </w:tabs>
              <w:spacing w:after="0"/>
              <w:rPr>
                <w:rFonts w:cs="Calibri"/>
                <w:b/>
                <w:bCs/>
                <w:strike/>
                <w:color w:val="FFFFFF" w:themeColor="background1"/>
                <w:sz w:val="18"/>
                <w:szCs w:val="18"/>
              </w:rPr>
            </w:pPr>
            <w:r w:rsidRPr="00AC0200">
              <w:rPr>
                <w:rFonts w:cs="Calibri"/>
                <w:b/>
                <w:bCs/>
                <w:color w:val="FFFFFF" w:themeColor="background1"/>
                <w:sz w:val="18"/>
                <w:szCs w:val="18"/>
              </w:rPr>
              <w:t>Contribution of Services</w:t>
            </w:r>
          </w:p>
        </w:tc>
      </w:tr>
      <w:tr w:rsidR="00E213C9" w:rsidRPr="00AB2101" w14:paraId="720A8EF5"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5733EF5E" w14:textId="36CC9B73" w:rsidR="00E213C9" w:rsidRPr="0009580B" w:rsidRDefault="00E213C9" w:rsidP="00E213C9">
            <w:pPr>
              <w:pStyle w:val="TableReference"/>
              <w:tabs>
                <w:tab w:val="left" w:pos="3306"/>
              </w:tabs>
              <w:spacing w:before="60"/>
              <w:rPr>
                <w:rFonts w:cs="Calibri"/>
                <w:color w:val="7030A0"/>
                <w:sz w:val="14"/>
              </w:rPr>
            </w:pPr>
            <w:r w:rsidRPr="00AC0200">
              <w:rPr>
                <w:rFonts w:cs="Calibri"/>
                <w:color w:val="7030A0"/>
                <w:sz w:val="14"/>
              </w:rPr>
              <w:t>AASB 1058.18 &amp;22</w:t>
            </w:r>
          </w:p>
          <w:p w14:paraId="7E72BB7E" w14:textId="77777777" w:rsidR="00E213C9" w:rsidRPr="00AC0200" w:rsidRDefault="00E213C9" w:rsidP="00E213C9">
            <w:pPr>
              <w:pStyle w:val="TableReference"/>
              <w:tabs>
                <w:tab w:val="left" w:pos="3306"/>
              </w:tabs>
              <w:spacing w:before="60"/>
              <w:rPr>
                <w:rFonts w:cs="Calibri"/>
                <w:color w:val="7030A0"/>
                <w:sz w:val="14"/>
              </w:rPr>
            </w:pPr>
            <w:r w:rsidRPr="00AC0200">
              <w:rPr>
                <w:rFonts w:cs="Calibri"/>
                <w:color w:val="7030A0"/>
                <w:sz w:val="14"/>
              </w:rPr>
              <w:t>ACT Disclosure Policy</w:t>
            </w:r>
          </w:p>
          <w:p w14:paraId="46C1058B" w14:textId="5492A88D" w:rsidR="00E213C9" w:rsidRPr="00AC0200" w:rsidRDefault="00E213C9" w:rsidP="00E213C9">
            <w:pPr>
              <w:pStyle w:val="TableReference"/>
              <w:tabs>
                <w:tab w:val="left" w:pos="3306"/>
              </w:tabs>
              <w:rPr>
                <w:rFonts w:cs="Calibri"/>
                <w:color w:val="7030A0"/>
                <w:sz w:val="14"/>
              </w:rPr>
            </w:pPr>
          </w:p>
        </w:tc>
        <w:tc>
          <w:tcPr>
            <w:tcW w:w="4255" w:type="pct"/>
            <w:gridSpan w:val="4"/>
            <w:tcBorders>
              <w:left w:val="single" w:sz="2" w:space="0" w:color="auto"/>
            </w:tcBorders>
            <w:shd w:val="clear" w:color="auto" w:fill="7030A0"/>
          </w:tcPr>
          <w:p w14:paraId="75FE818B" w14:textId="0DAEB4C7" w:rsidR="00E213C9" w:rsidRPr="00AC0200" w:rsidRDefault="00E213C9" w:rsidP="00E213C9">
            <w:pPr>
              <w:pStyle w:val="CommentaryText"/>
              <w:tabs>
                <w:tab w:val="left" w:pos="3306"/>
              </w:tabs>
              <w:spacing w:after="0"/>
              <w:rPr>
                <w:rFonts w:cs="Calibri"/>
                <w:color w:val="FFFFFF" w:themeColor="background1"/>
                <w:sz w:val="18"/>
                <w:szCs w:val="18"/>
              </w:rPr>
            </w:pPr>
            <w:r w:rsidRPr="00AC0200">
              <w:rPr>
                <w:rFonts w:cs="Calibri"/>
                <w:color w:val="FFFFFF" w:themeColor="background1"/>
                <w:sz w:val="18"/>
                <w:szCs w:val="18"/>
              </w:rPr>
              <w:t>Contribution of services (resources received free of charge) must be recognised at their fair value if:</w:t>
            </w:r>
          </w:p>
          <w:p w14:paraId="3FBCA423" w14:textId="77777777" w:rsidR="00E213C9" w:rsidRPr="00AC0200" w:rsidRDefault="00E213C9" w:rsidP="007122BC">
            <w:pPr>
              <w:numPr>
                <w:ilvl w:val="0"/>
                <w:numId w:val="44"/>
              </w:numPr>
              <w:spacing w:after="60"/>
              <w:ind w:left="426" w:hanging="243"/>
              <w:jc w:val="both"/>
              <w:rPr>
                <w:rFonts w:cs="Calibri"/>
                <w:color w:val="FFFFFF" w:themeColor="background1"/>
                <w:sz w:val="18"/>
                <w:szCs w:val="18"/>
              </w:rPr>
            </w:pPr>
            <w:r w:rsidRPr="00AC0200">
              <w:rPr>
                <w:rFonts w:cs="Calibri"/>
                <w:color w:val="FFFFFF" w:themeColor="background1"/>
                <w:sz w:val="18"/>
                <w:szCs w:val="18"/>
              </w:rPr>
              <w:t>the fair value can be reliably measured, and</w:t>
            </w:r>
          </w:p>
          <w:p w14:paraId="42F1A942" w14:textId="77777777" w:rsidR="00E213C9" w:rsidRPr="00AC0200" w:rsidRDefault="00E213C9" w:rsidP="007122BC">
            <w:pPr>
              <w:numPr>
                <w:ilvl w:val="0"/>
                <w:numId w:val="44"/>
              </w:numPr>
              <w:spacing w:after="60"/>
              <w:ind w:left="426" w:hanging="243"/>
              <w:jc w:val="both"/>
              <w:rPr>
                <w:rFonts w:cs="Calibri"/>
                <w:color w:val="FFFFFF" w:themeColor="background1"/>
                <w:sz w:val="18"/>
                <w:szCs w:val="18"/>
              </w:rPr>
            </w:pPr>
            <w:r w:rsidRPr="00AC0200">
              <w:rPr>
                <w:rFonts w:cs="Calibri"/>
                <w:color w:val="FFFFFF" w:themeColor="background1"/>
                <w:sz w:val="18"/>
                <w:szCs w:val="18"/>
              </w:rPr>
              <w:t>the services would have been purchased if not received free of charge.</w:t>
            </w:r>
          </w:p>
          <w:p w14:paraId="2566C118" w14:textId="66990A82" w:rsidR="00E213C9" w:rsidRPr="00AC0200" w:rsidRDefault="00E213C9" w:rsidP="00E213C9">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Resources received free of charge comprise resources received from other ACT Government agencies.</w:t>
            </w:r>
            <w:r w:rsidR="00FA7C77">
              <w:rPr>
                <w:rFonts w:cs="Calibri"/>
                <w:color w:val="FFFFFF" w:themeColor="background1"/>
                <w:sz w:val="18"/>
                <w:szCs w:val="18"/>
              </w:rPr>
              <w:t xml:space="preserve"> </w:t>
            </w:r>
            <w:r w:rsidRPr="00AC0200">
              <w:rPr>
                <w:rFonts w:cs="Calibri"/>
                <w:color w:val="FFFFFF" w:themeColor="background1"/>
                <w:sz w:val="18"/>
                <w:szCs w:val="18"/>
              </w:rPr>
              <w:t>It does not include resources received from external parties.</w:t>
            </w:r>
          </w:p>
        </w:tc>
      </w:tr>
      <w:tr w:rsidR="00E213C9" w:rsidRPr="00AB2101" w14:paraId="4883AB19"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265CAF95" w14:textId="25BF147A" w:rsidR="00E213C9" w:rsidRPr="00AC0200" w:rsidRDefault="00E213C9" w:rsidP="00E213C9">
            <w:pPr>
              <w:pStyle w:val="TableReference"/>
              <w:tabs>
                <w:tab w:val="left" w:pos="3306"/>
              </w:tabs>
              <w:spacing w:before="60"/>
              <w:rPr>
                <w:rFonts w:cs="Calibri"/>
                <w:color w:val="7030A0"/>
                <w:sz w:val="14"/>
              </w:rPr>
            </w:pPr>
            <w:r w:rsidRPr="00AC0200">
              <w:rPr>
                <w:rFonts w:cs="Calibri"/>
                <w:color w:val="7030A0"/>
                <w:sz w:val="14"/>
              </w:rPr>
              <w:t>AASB 1058.27</w:t>
            </w:r>
          </w:p>
        </w:tc>
        <w:tc>
          <w:tcPr>
            <w:tcW w:w="4255" w:type="pct"/>
            <w:gridSpan w:val="4"/>
            <w:tcBorders>
              <w:left w:val="single" w:sz="2" w:space="0" w:color="auto"/>
            </w:tcBorders>
            <w:shd w:val="clear" w:color="auto" w:fill="7030A0"/>
          </w:tcPr>
          <w:p w14:paraId="4CC8A58B" w14:textId="008B75DA" w:rsidR="00E213C9" w:rsidRPr="00AC0200" w:rsidRDefault="00E213C9" w:rsidP="00E213C9">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Where revenue is recognised through a contract which is not enforceable or does not contain sufficiently specific performance obligations then it is within the scope of AASB 1058 and should be included within this note.</w:t>
            </w:r>
          </w:p>
        </w:tc>
      </w:tr>
      <w:tr w:rsidR="00E213C9" w:rsidRPr="00AB2101" w14:paraId="21F42E94"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38868796"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1C0C610F" w14:textId="2AC82854" w:rsidR="00E213C9" w:rsidRPr="00AC0200" w:rsidRDefault="00E213C9" w:rsidP="006B168B">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Disclosure should be included regarding the extent of volunteer services used regardless of whether the value of the services has been recognised.</w:t>
            </w:r>
          </w:p>
        </w:tc>
      </w:tr>
      <w:tr w:rsidR="006B168B" w:rsidRPr="00CF7E1B" w14:paraId="4D00C18C"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57"/>
          <w:tblHeader/>
        </w:trPr>
        <w:tc>
          <w:tcPr>
            <w:tcW w:w="745" w:type="pct"/>
            <w:tcBorders>
              <w:left w:val="single" w:sz="2" w:space="0" w:color="auto"/>
              <w:right w:val="single" w:sz="2" w:space="0" w:color="auto"/>
            </w:tcBorders>
          </w:tcPr>
          <w:p w14:paraId="7E4073F2" w14:textId="5A0A911D" w:rsidR="006B168B" w:rsidRPr="00AC0200" w:rsidRDefault="006B168B" w:rsidP="006B168B">
            <w:pPr>
              <w:pStyle w:val="TableReference"/>
              <w:tabs>
                <w:tab w:val="left" w:pos="3306"/>
              </w:tabs>
              <w:spacing w:after="240"/>
              <w:rPr>
                <w:rFonts w:cs="Calibri"/>
                <w:b/>
                <w:color w:val="7030A0"/>
                <w:sz w:val="14"/>
              </w:rPr>
            </w:pPr>
            <w:r w:rsidRPr="00985A9F">
              <w:rPr>
                <w:rFonts w:cs="Calibri"/>
                <w:b/>
                <w:color w:val="7030A0"/>
                <w:sz w:val="22"/>
                <w:szCs w:val="22"/>
              </w:rPr>
              <w:t>Reference</w:t>
            </w:r>
          </w:p>
        </w:tc>
        <w:tc>
          <w:tcPr>
            <w:tcW w:w="4255" w:type="pct"/>
            <w:gridSpan w:val="4"/>
            <w:tcBorders>
              <w:left w:val="single" w:sz="2" w:space="0" w:color="auto"/>
            </w:tcBorders>
            <w:shd w:val="clear" w:color="auto" w:fill="7030A0"/>
          </w:tcPr>
          <w:p w14:paraId="09AD00B4" w14:textId="00CBE12D" w:rsidR="006B168B" w:rsidRPr="00AC0200" w:rsidRDefault="006B168B" w:rsidP="006B168B">
            <w:pPr>
              <w:pStyle w:val="CommentaryTitle"/>
              <w:spacing w:before="0" w:after="240"/>
              <w:rPr>
                <w:rFonts w:cs="Calibri"/>
                <w:bCs w:val="0"/>
                <w:color w:val="FFFFFF" w:themeColor="background1"/>
                <w:sz w:val="28"/>
                <w:szCs w:val="28"/>
              </w:rPr>
            </w:pPr>
            <w:r w:rsidRPr="00AC0200">
              <w:rPr>
                <w:rFonts w:cs="Calibri"/>
                <w:bCs w:val="0"/>
                <w:color w:val="FFFFFF" w:themeColor="background1"/>
                <w:sz w:val="28"/>
                <w:szCs w:val="28"/>
              </w:rPr>
              <w:t xml:space="preserve">Commentary – Note 6: Grants and Contributions </w:t>
            </w:r>
            <w:r w:rsidRPr="00AC0200">
              <w:rPr>
                <w:rFonts w:cs="Calibri"/>
                <w:color w:val="FFFFFF" w:themeColor="background1"/>
                <w:sz w:val="28"/>
                <w:szCs w:val="28"/>
              </w:rPr>
              <w:t>Revenue</w:t>
            </w:r>
            <w:r>
              <w:rPr>
                <w:rFonts w:cs="Calibri"/>
                <w:color w:val="FFFFFF" w:themeColor="background1"/>
                <w:sz w:val="28"/>
                <w:szCs w:val="28"/>
              </w:rPr>
              <w:t xml:space="preserve"> – Continued </w:t>
            </w:r>
          </w:p>
        </w:tc>
      </w:tr>
      <w:tr w:rsidR="00E213C9" w:rsidRPr="00AB2101" w14:paraId="45EFE366"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0E3C55AA"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657EEAD7" w14:textId="77777777" w:rsidR="00E213C9" w:rsidRPr="00AC0200" w:rsidRDefault="00E213C9" w:rsidP="00E213C9">
            <w:pPr>
              <w:pStyle w:val="CommentaryText"/>
              <w:keepNext/>
              <w:keepLines/>
              <w:tabs>
                <w:tab w:val="left" w:pos="3306"/>
              </w:tabs>
              <w:spacing w:after="0"/>
              <w:rPr>
                <w:rFonts w:cs="Calibri"/>
                <w:color w:val="FFFFFF" w:themeColor="background1"/>
                <w:sz w:val="18"/>
                <w:szCs w:val="18"/>
              </w:rPr>
            </w:pPr>
            <w:r w:rsidRPr="00AC0200">
              <w:rPr>
                <w:rFonts w:cs="Calibri"/>
                <w:color w:val="FFFFFF" w:themeColor="background1"/>
                <w:sz w:val="18"/>
                <w:szCs w:val="18"/>
              </w:rPr>
              <w:t>Where Agencies receive capital grants that meet the following:</w:t>
            </w:r>
          </w:p>
          <w:p w14:paraId="510430DE" w14:textId="725CBD62" w:rsidR="00E213C9" w:rsidRPr="00AC0200" w:rsidRDefault="00E213C9"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AC0200">
              <w:rPr>
                <w:rFonts w:cs="Calibri"/>
                <w:color w:val="FFFFFF" w:themeColor="background1"/>
                <w:sz w:val="18"/>
                <w:szCs w:val="18"/>
              </w:rPr>
              <w:t>the contract is enforceable;</w:t>
            </w:r>
          </w:p>
          <w:p w14:paraId="28D38AAB" w14:textId="77F0D538" w:rsidR="00E213C9" w:rsidRPr="00AC0200" w:rsidRDefault="00E213C9"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AC0200">
              <w:rPr>
                <w:rFonts w:cs="Calibri"/>
                <w:color w:val="FFFFFF" w:themeColor="background1"/>
                <w:sz w:val="18"/>
                <w:szCs w:val="18"/>
              </w:rPr>
              <w:t>the financial assets are to be used to acquire or construct a non-financial asset which will be recognised on the agency’s books; and</w:t>
            </w:r>
          </w:p>
          <w:p w14:paraId="567B89AD" w14:textId="77777777" w:rsidR="00E213C9" w:rsidRPr="00AC0200" w:rsidRDefault="00E213C9" w:rsidP="007122BC">
            <w:pPr>
              <w:pStyle w:val="CommentaryText"/>
              <w:numPr>
                <w:ilvl w:val="0"/>
                <w:numId w:val="53"/>
              </w:numPr>
              <w:tabs>
                <w:tab w:val="left" w:pos="3306"/>
              </w:tabs>
              <w:spacing w:after="0"/>
              <w:ind w:left="463"/>
              <w:rPr>
                <w:rFonts w:cs="Calibri"/>
                <w:color w:val="FFFFFF" w:themeColor="background1"/>
                <w:sz w:val="18"/>
                <w:szCs w:val="18"/>
              </w:rPr>
            </w:pPr>
            <w:r w:rsidRPr="00AC0200">
              <w:rPr>
                <w:rFonts w:cs="Calibri"/>
                <w:color w:val="FFFFFF" w:themeColor="background1"/>
                <w:sz w:val="18"/>
                <w:szCs w:val="18"/>
              </w:rPr>
              <w:t>the asset is not required to be transferred to any other party</w:t>
            </w:r>
          </w:p>
          <w:p w14:paraId="3BAF0F6F" w14:textId="22558629" w:rsidR="00E213C9" w:rsidRPr="00AC0200" w:rsidRDefault="00E213C9" w:rsidP="00E213C9">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 xml:space="preserve">then this transaction is separately identified as the revenue is recognised as the asset is constructed or acquired rather than on receipt of the funds. </w:t>
            </w:r>
          </w:p>
        </w:tc>
      </w:tr>
      <w:tr w:rsidR="00E213C9" w:rsidRPr="00AB2101" w14:paraId="4F9C8E6C"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76658324"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2F64F876" w14:textId="11428FA4" w:rsidR="00E213C9" w:rsidRPr="00AC0200" w:rsidRDefault="00E213C9" w:rsidP="00E213C9">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Restructure Fund Receipts should be classified as Contributions and should be shown gross rather than netted off against the related termination expense.</w:t>
            </w:r>
          </w:p>
        </w:tc>
      </w:tr>
      <w:tr w:rsidR="00E213C9" w:rsidRPr="00AB2101" w14:paraId="567EACDD"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56890C29"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62A45C88" w14:textId="3A315E91" w:rsidR="00E213C9" w:rsidRPr="00AC0200" w:rsidRDefault="00E213C9" w:rsidP="00E213C9">
            <w:pPr>
              <w:pStyle w:val="CommentaryText"/>
              <w:tabs>
                <w:tab w:val="left" w:pos="3306"/>
              </w:tabs>
              <w:spacing w:after="0"/>
              <w:rPr>
                <w:rFonts w:cs="Calibri"/>
                <w:b/>
                <w:bCs/>
                <w:color w:val="FFFFFF" w:themeColor="background1"/>
                <w:sz w:val="18"/>
                <w:szCs w:val="18"/>
              </w:rPr>
            </w:pPr>
            <w:r w:rsidRPr="00AC0200">
              <w:rPr>
                <w:rFonts w:cs="Calibri"/>
                <w:b/>
                <w:bCs/>
                <w:color w:val="FFFFFF" w:themeColor="background1"/>
              </w:rPr>
              <w:t>Legal Services</w:t>
            </w:r>
          </w:p>
        </w:tc>
      </w:tr>
      <w:tr w:rsidR="00E213C9" w:rsidRPr="00AB2101" w14:paraId="7485965C"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
          <w:tblHeader/>
        </w:trPr>
        <w:tc>
          <w:tcPr>
            <w:tcW w:w="745" w:type="pct"/>
            <w:tcBorders>
              <w:left w:val="single" w:sz="2" w:space="0" w:color="auto"/>
              <w:right w:val="single" w:sz="2" w:space="0" w:color="auto"/>
            </w:tcBorders>
          </w:tcPr>
          <w:p w14:paraId="52E580E3" w14:textId="77777777" w:rsidR="00E213C9" w:rsidRPr="00AC0200" w:rsidRDefault="00E213C9" w:rsidP="00E213C9">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6D047E3" w14:textId="77777777" w:rsidR="00E213C9" w:rsidRPr="00AC0200" w:rsidRDefault="00E213C9" w:rsidP="00E213C9">
            <w:pPr>
              <w:pStyle w:val="CommentaryText"/>
              <w:tabs>
                <w:tab w:val="left" w:pos="3306"/>
              </w:tabs>
              <w:spacing w:after="0"/>
              <w:rPr>
                <w:rFonts w:cs="Calibri"/>
                <w:color w:val="FFFFFF" w:themeColor="background1"/>
                <w:sz w:val="18"/>
                <w:szCs w:val="18"/>
              </w:rPr>
            </w:pPr>
            <w:r w:rsidRPr="00AC0200">
              <w:rPr>
                <w:rFonts w:cs="Calibri"/>
                <w:color w:val="FFFFFF" w:themeColor="background1"/>
                <w:sz w:val="18"/>
                <w:szCs w:val="18"/>
              </w:rPr>
              <w:t>The Government Solicitors Office will provide agencies with the amount of resources that they have provided free of charge in the financial year.</w:t>
            </w:r>
          </w:p>
          <w:p w14:paraId="45D81496" w14:textId="77777777" w:rsidR="00E213C9" w:rsidRPr="00AC0200" w:rsidRDefault="00E213C9" w:rsidP="00E213C9">
            <w:pPr>
              <w:pStyle w:val="CommentaryText"/>
              <w:tabs>
                <w:tab w:val="left" w:pos="3306"/>
              </w:tabs>
              <w:spacing w:after="0"/>
              <w:rPr>
                <w:rFonts w:cs="Calibri"/>
                <w:color w:val="FFFFFF" w:themeColor="background1"/>
                <w:sz w:val="18"/>
                <w:szCs w:val="18"/>
              </w:rPr>
            </w:pPr>
          </w:p>
          <w:p w14:paraId="498E55FD" w14:textId="48917850" w:rsidR="00E213C9" w:rsidRPr="00AC0200" w:rsidRDefault="00E213C9" w:rsidP="006B168B">
            <w:pPr>
              <w:pStyle w:val="CommentaryText"/>
              <w:tabs>
                <w:tab w:val="left" w:pos="3306"/>
              </w:tabs>
              <w:rPr>
                <w:rFonts w:cs="Calibri"/>
                <w:color w:val="FFFFFF" w:themeColor="background1"/>
                <w:sz w:val="18"/>
                <w:szCs w:val="18"/>
              </w:rPr>
            </w:pPr>
            <w:r w:rsidRPr="00AC0200">
              <w:rPr>
                <w:rFonts w:cs="Calibri"/>
                <w:color w:val="FFFFFF" w:themeColor="background1"/>
                <w:sz w:val="18"/>
                <w:szCs w:val="18"/>
              </w:rPr>
              <w:t>Agencies need to ensure they do not disclose legally sensitive information.</w:t>
            </w:r>
            <w:r w:rsidR="00FA7C77">
              <w:rPr>
                <w:rFonts w:cs="Calibri"/>
                <w:color w:val="FFFFFF" w:themeColor="background1"/>
                <w:sz w:val="18"/>
                <w:szCs w:val="18"/>
              </w:rPr>
              <w:t xml:space="preserve"> </w:t>
            </w:r>
          </w:p>
        </w:tc>
      </w:tr>
      <w:tr w:rsidR="00E213C9" w:rsidRPr="00CF7E1B" w14:paraId="6B8307C4" w14:textId="77777777" w:rsidTr="002F4A89">
        <w:trPr>
          <w:trHeight w:val="119"/>
        </w:trPr>
        <w:tc>
          <w:tcPr>
            <w:tcW w:w="745" w:type="pct"/>
            <w:tcBorders>
              <w:top w:val="nil"/>
              <w:left w:val="single" w:sz="2" w:space="0" w:color="auto"/>
              <w:bottom w:val="nil"/>
              <w:right w:val="single" w:sz="2" w:space="0" w:color="auto"/>
            </w:tcBorders>
          </w:tcPr>
          <w:p w14:paraId="09BE7DF7" w14:textId="682B6DD0" w:rsidR="00E213C9" w:rsidRPr="00EB525E" w:rsidRDefault="00E213C9" w:rsidP="00E213C9">
            <w:pPr>
              <w:pStyle w:val="TableReference"/>
              <w:tabs>
                <w:tab w:val="left" w:pos="3306"/>
              </w:tabs>
              <w:spacing w:before="240" w:after="240"/>
              <w:rPr>
                <w:rFonts w:cs="Calibri"/>
                <w:b/>
                <w:color w:val="7030A0"/>
                <w:sz w:val="22"/>
                <w:szCs w:val="22"/>
              </w:rPr>
            </w:pPr>
            <w:r w:rsidRPr="00EB525E">
              <w:rPr>
                <w:color w:val="7030A0"/>
              </w:rPr>
              <w:br w:type="page"/>
            </w:r>
          </w:p>
        </w:tc>
        <w:tc>
          <w:tcPr>
            <w:tcW w:w="4255" w:type="pct"/>
            <w:gridSpan w:val="4"/>
            <w:tcBorders>
              <w:top w:val="nil"/>
              <w:left w:val="single" w:sz="2" w:space="0" w:color="auto"/>
              <w:bottom w:val="nil"/>
              <w:right w:val="nil"/>
            </w:tcBorders>
            <w:vAlign w:val="bottom"/>
          </w:tcPr>
          <w:p w14:paraId="6BF32FF0" w14:textId="0CFEAC1E" w:rsidR="00E213C9" w:rsidRPr="00EB525E" w:rsidRDefault="00E213C9" w:rsidP="00E213C9">
            <w:pPr>
              <w:pStyle w:val="Heading1"/>
              <w:numPr>
                <w:ilvl w:val="0"/>
                <w:numId w:val="0"/>
              </w:numPr>
              <w:ind w:left="1134" w:hanging="1134"/>
            </w:pPr>
            <w:bookmarkStart w:id="365" w:name="_Toc98763070"/>
            <w:bookmarkStart w:id="366" w:name="_Toc400627324"/>
            <w:bookmarkStart w:id="367" w:name="DistInvwithTBA"/>
            <w:r w:rsidRPr="00EB525E">
              <w:t>Note 7.</w:t>
            </w:r>
            <w:r w:rsidR="00FA7C77">
              <w:t xml:space="preserve"> </w:t>
            </w:r>
            <w:r w:rsidRPr="00EB525E">
              <w:t xml:space="preserve"> Investment </w:t>
            </w:r>
            <w:r w:rsidR="007B5795">
              <w:t xml:space="preserve">and Interest </w:t>
            </w:r>
            <w:r w:rsidRPr="00EB525E">
              <w:t>Revenue</w:t>
            </w:r>
            <w:bookmarkEnd w:id="365"/>
            <w:r w:rsidRPr="00EB525E">
              <w:t xml:space="preserve"> </w:t>
            </w:r>
            <w:bookmarkEnd w:id="366"/>
            <w:bookmarkEnd w:id="367"/>
          </w:p>
        </w:tc>
      </w:tr>
      <w:tr w:rsidR="00E213C9" w:rsidRPr="00CF7E1B" w14:paraId="1F09267F" w14:textId="77777777" w:rsidTr="002F4A89">
        <w:trPr>
          <w:trHeight w:val="119"/>
        </w:trPr>
        <w:tc>
          <w:tcPr>
            <w:tcW w:w="745" w:type="pct"/>
            <w:tcBorders>
              <w:top w:val="nil"/>
              <w:left w:val="single" w:sz="2" w:space="0" w:color="auto"/>
              <w:bottom w:val="nil"/>
              <w:right w:val="single" w:sz="2" w:space="0" w:color="auto"/>
            </w:tcBorders>
          </w:tcPr>
          <w:p w14:paraId="4B4B9AF3" w14:textId="77777777" w:rsidR="00E213C9" w:rsidRPr="00EB525E" w:rsidRDefault="00E213C9" w:rsidP="00E213C9">
            <w:pPr>
              <w:pStyle w:val="TableReference"/>
              <w:tabs>
                <w:tab w:val="left" w:pos="3306"/>
              </w:tabs>
              <w:spacing w:after="120"/>
              <w:rPr>
                <w:rFonts w:cs="Calibri"/>
                <w:b/>
                <w:color w:val="7030A0"/>
                <w:sz w:val="14"/>
              </w:rPr>
            </w:pPr>
          </w:p>
        </w:tc>
        <w:tc>
          <w:tcPr>
            <w:tcW w:w="4255" w:type="pct"/>
            <w:gridSpan w:val="4"/>
            <w:tcBorders>
              <w:top w:val="nil"/>
              <w:left w:val="single" w:sz="2" w:space="0" w:color="auto"/>
              <w:bottom w:val="nil"/>
              <w:right w:val="nil"/>
            </w:tcBorders>
            <w:vAlign w:val="bottom"/>
          </w:tcPr>
          <w:p w14:paraId="2E842842" w14:textId="1F04A602" w:rsidR="00E213C9" w:rsidRPr="00EB525E" w:rsidRDefault="00E213C9" w:rsidP="00E213C9">
            <w:pPr>
              <w:pStyle w:val="Heading1"/>
              <w:numPr>
                <w:ilvl w:val="0"/>
                <w:numId w:val="0"/>
              </w:numPr>
              <w:spacing w:before="0" w:after="0"/>
              <w:ind w:left="1310" w:hanging="1310"/>
              <w:rPr>
                <w:rFonts w:ascii="Calibri" w:hAnsi="Calibri"/>
                <w:caps w:val="0"/>
                <w:sz w:val="18"/>
                <w:szCs w:val="18"/>
              </w:rPr>
            </w:pPr>
            <w:bookmarkStart w:id="368" w:name="_Toc98763071"/>
            <w:r w:rsidRPr="00EB525E">
              <w:rPr>
                <w:rFonts w:ascii="Calibri" w:hAnsi="Calibri"/>
                <w:caps w:val="0"/>
                <w:sz w:val="18"/>
                <w:szCs w:val="18"/>
              </w:rPr>
              <w:t>Description and Material Accounting Policies relating to Investment and Interest Revenue</w:t>
            </w:r>
            <w:bookmarkEnd w:id="368"/>
          </w:p>
        </w:tc>
      </w:tr>
      <w:tr w:rsidR="00E213C9" w:rsidRPr="00CF7E1B" w14:paraId="7BF9D915" w14:textId="77777777" w:rsidTr="002F4A89">
        <w:trPr>
          <w:trHeight w:val="119"/>
        </w:trPr>
        <w:tc>
          <w:tcPr>
            <w:tcW w:w="745" w:type="pct"/>
            <w:tcBorders>
              <w:top w:val="nil"/>
              <w:left w:val="single" w:sz="2" w:space="0" w:color="auto"/>
              <w:bottom w:val="nil"/>
              <w:right w:val="single" w:sz="2" w:space="0" w:color="auto"/>
            </w:tcBorders>
          </w:tcPr>
          <w:p w14:paraId="26ED3A1E" w14:textId="77777777" w:rsidR="00E213C9" w:rsidRPr="00EB525E" w:rsidRDefault="00E213C9" w:rsidP="00E213C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75DB5FDF" w14:textId="7C96F200" w:rsidR="00E213C9" w:rsidRPr="00EB525E" w:rsidRDefault="00E213C9" w:rsidP="00E213C9">
            <w:pPr>
              <w:spacing w:before="120"/>
              <w:rPr>
                <w:i/>
                <w:iCs/>
                <w:sz w:val="18"/>
                <w:szCs w:val="18"/>
              </w:rPr>
            </w:pPr>
            <w:r w:rsidRPr="00EB525E">
              <w:rPr>
                <w:i/>
                <w:iCs/>
                <w:sz w:val="18"/>
                <w:szCs w:val="18"/>
              </w:rPr>
              <w:t>Interest revenue</w:t>
            </w:r>
          </w:p>
        </w:tc>
      </w:tr>
      <w:tr w:rsidR="00E213C9" w:rsidRPr="00CF7E1B" w14:paraId="0B7AC3CF" w14:textId="77777777" w:rsidTr="002F4A89">
        <w:trPr>
          <w:trHeight w:val="119"/>
        </w:trPr>
        <w:tc>
          <w:tcPr>
            <w:tcW w:w="745" w:type="pct"/>
            <w:tcBorders>
              <w:top w:val="nil"/>
              <w:left w:val="single" w:sz="2" w:space="0" w:color="auto"/>
              <w:bottom w:val="nil"/>
              <w:right w:val="single" w:sz="2" w:space="0" w:color="auto"/>
            </w:tcBorders>
          </w:tcPr>
          <w:p w14:paraId="44985141" w14:textId="00C73399" w:rsidR="00E213C9" w:rsidRPr="00EB525E" w:rsidRDefault="00E213C9" w:rsidP="00E213C9">
            <w:pPr>
              <w:pStyle w:val="TableReference"/>
              <w:tabs>
                <w:tab w:val="left" w:pos="3306"/>
              </w:tabs>
              <w:rPr>
                <w:color w:val="7030A0"/>
                <w:sz w:val="14"/>
              </w:rPr>
            </w:pPr>
            <w:r w:rsidRPr="00EB525E">
              <w:rPr>
                <w:color w:val="7030A0"/>
                <w:sz w:val="14"/>
              </w:rPr>
              <w:t xml:space="preserve">AASB 9.5.4.1 </w:t>
            </w:r>
          </w:p>
        </w:tc>
        <w:tc>
          <w:tcPr>
            <w:tcW w:w="4255" w:type="pct"/>
            <w:gridSpan w:val="4"/>
            <w:tcBorders>
              <w:top w:val="nil"/>
              <w:left w:val="single" w:sz="2" w:space="0" w:color="auto"/>
              <w:bottom w:val="nil"/>
              <w:right w:val="nil"/>
            </w:tcBorders>
          </w:tcPr>
          <w:p w14:paraId="227206C7" w14:textId="1363F57B" w:rsidR="00E213C9" w:rsidRPr="00EB525E" w:rsidRDefault="00E213C9" w:rsidP="00E213C9">
            <w:pPr>
              <w:jc w:val="both"/>
              <w:rPr>
                <w:sz w:val="18"/>
                <w:szCs w:val="18"/>
              </w:rPr>
            </w:pPr>
            <w:r w:rsidRPr="00EB525E">
              <w:rPr>
                <w:sz w:val="18"/>
                <w:szCs w:val="18"/>
              </w:rPr>
              <w:t>The Agency receives interest revenue from the ‘Example Home Loan Scheme’, where loans are offered at a concessional interest rate to assist low income households. For further information in relation to the ‘Example Home Loan Scheme’ see the ‘Unwinding of Concessional Loan Discount Revenue’ description below.</w:t>
            </w:r>
            <w:r w:rsidR="00FA7C77">
              <w:rPr>
                <w:sz w:val="18"/>
                <w:szCs w:val="18"/>
              </w:rPr>
              <w:t xml:space="preserve"> </w:t>
            </w:r>
            <w:r w:rsidRPr="00EB525E">
              <w:rPr>
                <w:sz w:val="18"/>
                <w:szCs w:val="18"/>
              </w:rPr>
              <w:t xml:space="preserve">The Agency recognises interest on these loans using the effective interest method. </w:t>
            </w:r>
          </w:p>
        </w:tc>
      </w:tr>
      <w:tr w:rsidR="00E213C9" w:rsidRPr="00CF7E1B" w14:paraId="585755E0" w14:textId="77777777" w:rsidTr="002F4A89">
        <w:trPr>
          <w:trHeight w:val="119"/>
        </w:trPr>
        <w:tc>
          <w:tcPr>
            <w:tcW w:w="745" w:type="pct"/>
            <w:tcBorders>
              <w:top w:val="nil"/>
              <w:left w:val="single" w:sz="2" w:space="0" w:color="auto"/>
              <w:bottom w:val="nil"/>
              <w:right w:val="single" w:sz="2" w:space="0" w:color="auto"/>
            </w:tcBorders>
          </w:tcPr>
          <w:p w14:paraId="3BB7CB42" w14:textId="77777777" w:rsidR="00E213C9" w:rsidRPr="00EB525E" w:rsidRDefault="00E213C9" w:rsidP="00E213C9">
            <w:pPr>
              <w:pStyle w:val="TableReference"/>
              <w:tabs>
                <w:tab w:val="left" w:pos="3306"/>
              </w:tabs>
              <w:spacing w:after="120"/>
              <w:rPr>
                <w:color w:val="7030A0"/>
                <w:sz w:val="14"/>
              </w:rPr>
            </w:pPr>
          </w:p>
        </w:tc>
        <w:tc>
          <w:tcPr>
            <w:tcW w:w="4255" w:type="pct"/>
            <w:gridSpan w:val="4"/>
            <w:tcBorders>
              <w:top w:val="nil"/>
              <w:left w:val="single" w:sz="2" w:space="0" w:color="auto"/>
              <w:bottom w:val="nil"/>
              <w:right w:val="nil"/>
            </w:tcBorders>
          </w:tcPr>
          <w:p w14:paraId="14FD66A4" w14:textId="3126471B" w:rsidR="00E213C9" w:rsidRPr="00EB525E" w:rsidRDefault="00E213C9" w:rsidP="00E213C9">
            <w:pPr>
              <w:spacing w:before="120"/>
              <w:rPr>
                <w:i/>
                <w:iCs/>
                <w:sz w:val="18"/>
                <w:szCs w:val="18"/>
              </w:rPr>
            </w:pPr>
            <w:r w:rsidRPr="00EB525E">
              <w:rPr>
                <w:i/>
                <w:iCs/>
                <w:sz w:val="18"/>
                <w:szCs w:val="18"/>
              </w:rPr>
              <w:t>Distribution revenue</w:t>
            </w:r>
          </w:p>
        </w:tc>
      </w:tr>
      <w:tr w:rsidR="00E213C9" w:rsidRPr="00CF7E1B" w14:paraId="3AAFAA1B" w14:textId="77777777" w:rsidTr="002F4A89">
        <w:trPr>
          <w:trHeight w:val="119"/>
        </w:trPr>
        <w:tc>
          <w:tcPr>
            <w:tcW w:w="745" w:type="pct"/>
            <w:tcBorders>
              <w:top w:val="nil"/>
              <w:left w:val="single" w:sz="2" w:space="0" w:color="auto"/>
              <w:bottom w:val="nil"/>
              <w:right w:val="single" w:sz="2" w:space="0" w:color="auto"/>
            </w:tcBorders>
          </w:tcPr>
          <w:p w14:paraId="4FD11499" w14:textId="77777777" w:rsidR="00E213C9" w:rsidRPr="00EB525E" w:rsidRDefault="00E213C9" w:rsidP="00E213C9">
            <w:pPr>
              <w:pStyle w:val="TableReference"/>
              <w:tabs>
                <w:tab w:val="left" w:pos="3306"/>
              </w:tabs>
              <w:spacing w:after="120"/>
              <w:rPr>
                <w:color w:val="7030A0"/>
                <w:sz w:val="14"/>
              </w:rPr>
            </w:pPr>
          </w:p>
        </w:tc>
        <w:tc>
          <w:tcPr>
            <w:tcW w:w="4255" w:type="pct"/>
            <w:gridSpan w:val="4"/>
            <w:tcBorders>
              <w:top w:val="nil"/>
              <w:left w:val="single" w:sz="2" w:space="0" w:color="auto"/>
              <w:bottom w:val="nil"/>
              <w:right w:val="nil"/>
            </w:tcBorders>
          </w:tcPr>
          <w:p w14:paraId="231012D8" w14:textId="640FD5F8" w:rsidR="00E213C9" w:rsidRPr="00EB525E" w:rsidRDefault="00E213C9" w:rsidP="00E213C9">
            <w:pPr>
              <w:jc w:val="both"/>
              <w:rPr>
                <w:sz w:val="18"/>
                <w:szCs w:val="18"/>
              </w:rPr>
            </w:pPr>
            <w:r w:rsidRPr="00EB525E">
              <w:rPr>
                <w:sz w:val="18"/>
                <w:szCs w:val="18"/>
              </w:rPr>
              <w:t>‘</w:t>
            </w:r>
            <w:bookmarkStart w:id="369" w:name="_Hlk90623924"/>
            <w:r w:rsidRPr="00EB525E">
              <w:rPr>
                <w:sz w:val="18"/>
                <w:szCs w:val="18"/>
              </w:rPr>
              <w:t>Burley Griffin Agency’ has ‘Investment Unit Holdings’ with the Territory Banking Account for which it receives a distribution</w:t>
            </w:r>
            <w:bookmarkEnd w:id="369"/>
            <w:r w:rsidRPr="00EB525E">
              <w:rPr>
                <w:sz w:val="18"/>
                <w:szCs w:val="18"/>
              </w:rPr>
              <w:t>.</w:t>
            </w:r>
            <w:r w:rsidR="00FA7C77">
              <w:rPr>
                <w:sz w:val="18"/>
                <w:szCs w:val="18"/>
              </w:rPr>
              <w:t xml:space="preserve"> </w:t>
            </w:r>
            <w:r w:rsidRPr="00EB525E">
              <w:rPr>
                <w:sz w:val="18"/>
                <w:szCs w:val="18"/>
              </w:rPr>
              <w:t>This is recognised when the Agency’s right to receive payment is established.</w:t>
            </w:r>
          </w:p>
        </w:tc>
      </w:tr>
      <w:tr w:rsidR="00E213C9" w:rsidRPr="00CF7E1B" w14:paraId="37EE9039" w14:textId="77777777" w:rsidTr="002F4A89">
        <w:trPr>
          <w:trHeight w:val="119"/>
        </w:trPr>
        <w:tc>
          <w:tcPr>
            <w:tcW w:w="745" w:type="pct"/>
            <w:tcBorders>
              <w:top w:val="nil"/>
              <w:left w:val="single" w:sz="2" w:space="0" w:color="auto"/>
              <w:bottom w:val="nil"/>
              <w:right w:val="single" w:sz="2" w:space="0" w:color="auto"/>
            </w:tcBorders>
          </w:tcPr>
          <w:p w14:paraId="03C10D37" w14:textId="77777777" w:rsidR="00E213C9" w:rsidRPr="00EB525E" w:rsidRDefault="00E213C9" w:rsidP="00E213C9">
            <w:pPr>
              <w:pStyle w:val="TableReference"/>
              <w:tabs>
                <w:tab w:val="left" w:pos="3306"/>
              </w:tabs>
              <w:spacing w:after="120"/>
              <w:rPr>
                <w:color w:val="7030A0"/>
                <w:sz w:val="14"/>
              </w:rPr>
            </w:pPr>
          </w:p>
        </w:tc>
        <w:tc>
          <w:tcPr>
            <w:tcW w:w="4255" w:type="pct"/>
            <w:gridSpan w:val="4"/>
            <w:tcBorders>
              <w:top w:val="nil"/>
              <w:left w:val="single" w:sz="2" w:space="0" w:color="auto"/>
              <w:bottom w:val="nil"/>
              <w:right w:val="nil"/>
            </w:tcBorders>
          </w:tcPr>
          <w:p w14:paraId="20249ED8" w14:textId="1C962507" w:rsidR="00E213C9" w:rsidRPr="00EB525E" w:rsidRDefault="00E213C9" w:rsidP="00E213C9">
            <w:pPr>
              <w:spacing w:before="120"/>
              <w:jc w:val="both"/>
              <w:rPr>
                <w:i/>
                <w:iCs/>
                <w:sz w:val="18"/>
                <w:szCs w:val="18"/>
              </w:rPr>
            </w:pPr>
            <w:r w:rsidRPr="00EB525E">
              <w:rPr>
                <w:i/>
                <w:iCs/>
                <w:sz w:val="18"/>
                <w:szCs w:val="18"/>
              </w:rPr>
              <w:t>Dividend revenue</w:t>
            </w:r>
          </w:p>
        </w:tc>
      </w:tr>
      <w:tr w:rsidR="00E213C9" w:rsidRPr="00CF7E1B" w14:paraId="450DDE04" w14:textId="77777777" w:rsidTr="002F4A89">
        <w:trPr>
          <w:trHeight w:val="119"/>
        </w:trPr>
        <w:tc>
          <w:tcPr>
            <w:tcW w:w="745" w:type="pct"/>
            <w:tcBorders>
              <w:top w:val="nil"/>
              <w:left w:val="single" w:sz="2" w:space="0" w:color="auto"/>
              <w:bottom w:val="nil"/>
              <w:right w:val="single" w:sz="2" w:space="0" w:color="auto"/>
            </w:tcBorders>
          </w:tcPr>
          <w:p w14:paraId="3AF0177A" w14:textId="46E9AD73" w:rsidR="00E213C9" w:rsidRPr="00EB525E" w:rsidRDefault="00E213C9" w:rsidP="00E213C9">
            <w:pPr>
              <w:pStyle w:val="TableReference"/>
              <w:tabs>
                <w:tab w:val="left" w:pos="3306"/>
              </w:tabs>
              <w:rPr>
                <w:color w:val="7030A0"/>
                <w:sz w:val="14"/>
              </w:rPr>
            </w:pPr>
            <w:r w:rsidRPr="00EB525E">
              <w:rPr>
                <w:color w:val="7030A0"/>
                <w:sz w:val="14"/>
              </w:rPr>
              <w:t>AASB 9.5.7.1A (a)(b)&amp;(c)</w:t>
            </w:r>
          </w:p>
        </w:tc>
        <w:tc>
          <w:tcPr>
            <w:tcW w:w="4255" w:type="pct"/>
            <w:gridSpan w:val="4"/>
            <w:tcBorders>
              <w:top w:val="nil"/>
              <w:left w:val="single" w:sz="2" w:space="0" w:color="auto"/>
              <w:bottom w:val="nil"/>
              <w:right w:val="nil"/>
            </w:tcBorders>
          </w:tcPr>
          <w:p w14:paraId="27C17E0F" w14:textId="359A4C8B" w:rsidR="00E213C9" w:rsidRPr="00EB525E" w:rsidRDefault="00E213C9" w:rsidP="00E213C9">
            <w:pPr>
              <w:spacing w:after="120"/>
              <w:jc w:val="both"/>
              <w:rPr>
                <w:sz w:val="18"/>
                <w:szCs w:val="18"/>
              </w:rPr>
            </w:pPr>
            <w:r w:rsidRPr="00EB525E">
              <w:rPr>
                <w:sz w:val="18"/>
                <w:szCs w:val="18"/>
              </w:rPr>
              <w:t>‘Burley Griffin Agency’ recognises dividend revenue when the Agency’s right to receive payment is established.</w:t>
            </w:r>
          </w:p>
        </w:tc>
      </w:tr>
      <w:tr w:rsidR="00E213C9" w:rsidRPr="00CF7E1B" w14:paraId="538375F5" w14:textId="77777777" w:rsidTr="002F4A89">
        <w:trPr>
          <w:trHeight w:val="119"/>
        </w:trPr>
        <w:tc>
          <w:tcPr>
            <w:tcW w:w="745" w:type="pct"/>
            <w:tcBorders>
              <w:top w:val="nil"/>
              <w:left w:val="single" w:sz="2" w:space="0" w:color="auto"/>
              <w:bottom w:val="nil"/>
              <w:right w:val="single" w:sz="2" w:space="0" w:color="auto"/>
            </w:tcBorders>
          </w:tcPr>
          <w:p w14:paraId="481DD1DB" w14:textId="77777777" w:rsidR="00E213C9" w:rsidRPr="00EB525E" w:rsidRDefault="00E213C9" w:rsidP="00E213C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3B089686" w14:textId="70A5BB8E" w:rsidR="00E213C9" w:rsidRPr="00EB525E" w:rsidRDefault="00E213C9" w:rsidP="00E213C9">
            <w:pPr>
              <w:jc w:val="both"/>
              <w:rPr>
                <w:i/>
                <w:iCs/>
                <w:sz w:val="18"/>
                <w:szCs w:val="18"/>
              </w:rPr>
            </w:pPr>
            <w:r w:rsidRPr="00EB525E">
              <w:rPr>
                <w:i/>
                <w:iCs/>
                <w:sz w:val="18"/>
                <w:szCs w:val="18"/>
              </w:rPr>
              <w:t>Rental income</w:t>
            </w:r>
          </w:p>
        </w:tc>
      </w:tr>
      <w:tr w:rsidR="00E213C9" w:rsidRPr="00CF7E1B" w14:paraId="18FBCE18" w14:textId="77777777" w:rsidTr="002F4A89">
        <w:trPr>
          <w:trHeight w:val="119"/>
        </w:trPr>
        <w:tc>
          <w:tcPr>
            <w:tcW w:w="745" w:type="pct"/>
            <w:tcBorders>
              <w:top w:val="nil"/>
              <w:left w:val="single" w:sz="2" w:space="0" w:color="auto"/>
              <w:bottom w:val="nil"/>
              <w:right w:val="single" w:sz="2" w:space="0" w:color="auto"/>
            </w:tcBorders>
          </w:tcPr>
          <w:p w14:paraId="7409688A" w14:textId="77777777" w:rsidR="00E213C9" w:rsidRPr="00EB525E" w:rsidRDefault="00E213C9" w:rsidP="00E213C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27FC66AD" w14:textId="57F991C7" w:rsidR="00E213C9" w:rsidRPr="00EB525E" w:rsidRDefault="00E213C9" w:rsidP="00E213C9">
            <w:pPr>
              <w:ind w:left="172"/>
              <w:jc w:val="both"/>
              <w:rPr>
                <w:i/>
                <w:iCs/>
                <w:sz w:val="18"/>
                <w:szCs w:val="18"/>
              </w:rPr>
            </w:pPr>
            <w:r w:rsidRPr="00EB525E">
              <w:rPr>
                <w:i/>
                <w:iCs/>
                <w:sz w:val="18"/>
                <w:szCs w:val="18"/>
              </w:rPr>
              <w:t>Rental income from Operating Leases</w:t>
            </w:r>
          </w:p>
        </w:tc>
      </w:tr>
      <w:tr w:rsidR="00E213C9" w:rsidRPr="00CF7E1B" w14:paraId="49BA7063" w14:textId="77777777" w:rsidTr="002F4A89">
        <w:trPr>
          <w:trHeight w:val="119"/>
        </w:trPr>
        <w:tc>
          <w:tcPr>
            <w:tcW w:w="745" w:type="pct"/>
            <w:tcBorders>
              <w:top w:val="nil"/>
              <w:left w:val="single" w:sz="2" w:space="0" w:color="auto"/>
              <w:bottom w:val="nil"/>
              <w:right w:val="single" w:sz="2" w:space="0" w:color="auto"/>
            </w:tcBorders>
          </w:tcPr>
          <w:p w14:paraId="71B4BBD2" w14:textId="5855B198" w:rsidR="00E213C9" w:rsidRPr="00EB525E" w:rsidRDefault="00E213C9" w:rsidP="00E213C9">
            <w:pPr>
              <w:pStyle w:val="TableReference"/>
              <w:tabs>
                <w:tab w:val="left" w:pos="3306"/>
              </w:tabs>
              <w:rPr>
                <w:color w:val="7030A0"/>
                <w:sz w:val="14"/>
              </w:rPr>
            </w:pPr>
            <w:r w:rsidRPr="00EB525E">
              <w:rPr>
                <w:color w:val="7030A0"/>
                <w:sz w:val="14"/>
              </w:rPr>
              <w:t>AASB 16.81</w:t>
            </w:r>
          </w:p>
        </w:tc>
        <w:tc>
          <w:tcPr>
            <w:tcW w:w="4255" w:type="pct"/>
            <w:gridSpan w:val="4"/>
            <w:tcBorders>
              <w:top w:val="nil"/>
              <w:left w:val="single" w:sz="2" w:space="0" w:color="auto"/>
              <w:bottom w:val="nil"/>
              <w:right w:val="nil"/>
            </w:tcBorders>
          </w:tcPr>
          <w:p w14:paraId="3D964AA5" w14:textId="438911C0" w:rsidR="00E213C9" w:rsidRPr="00EB525E" w:rsidRDefault="00E213C9" w:rsidP="00E213C9">
            <w:pPr>
              <w:spacing w:after="120"/>
              <w:ind w:left="170"/>
              <w:jc w:val="both"/>
              <w:rPr>
                <w:i/>
                <w:iCs/>
                <w:sz w:val="18"/>
                <w:szCs w:val="18"/>
              </w:rPr>
            </w:pPr>
            <w:r w:rsidRPr="00EB525E">
              <w:rPr>
                <w:sz w:val="18"/>
                <w:szCs w:val="18"/>
              </w:rPr>
              <w:t>‘Burley Griffin Agency’ holds buildings as investment properties for which it collects a commercial market rent.</w:t>
            </w:r>
            <w:r w:rsidR="00FA7C77">
              <w:rPr>
                <w:sz w:val="18"/>
                <w:szCs w:val="18"/>
              </w:rPr>
              <w:t xml:space="preserve"> </w:t>
            </w:r>
            <w:r w:rsidRPr="00EB525E">
              <w:rPr>
                <w:sz w:val="18"/>
                <w:szCs w:val="18"/>
              </w:rPr>
              <w:t>As a lessor of investment properties, the Agency leases to commercial and community tenants under an operating lease.</w:t>
            </w:r>
            <w:r w:rsidR="00FA7C77">
              <w:rPr>
                <w:sz w:val="18"/>
                <w:szCs w:val="18"/>
              </w:rPr>
              <w:t xml:space="preserve"> </w:t>
            </w:r>
            <w:r w:rsidRPr="00EB525E">
              <w:rPr>
                <w:bCs/>
                <w:sz w:val="18"/>
                <w:szCs w:val="18"/>
              </w:rPr>
              <w:t>The lease income from operating leases is recognised on a straight line basis over the lease term</w:t>
            </w:r>
            <w:r w:rsidRPr="00EB525E">
              <w:rPr>
                <w:sz w:val="18"/>
                <w:szCs w:val="18"/>
              </w:rPr>
              <w:t>.</w:t>
            </w:r>
            <w:r w:rsidR="00FA7C77">
              <w:rPr>
                <w:sz w:val="18"/>
                <w:szCs w:val="18"/>
              </w:rPr>
              <w:t xml:space="preserve"> </w:t>
            </w:r>
          </w:p>
        </w:tc>
      </w:tr>
      <w:tr w:rsidR="00E213C9" w:rsidRPr="00CF7E1B" w14:paraId="40374A6A" w14:textId="77777777" w:rsidTr="002F4A89">
        <w:trPr>
          <w:trHeight w:val="119"/>
        </w:trPr>
        <w:tc>
          <w:tcPr>
            <w:tcW w:w="745" w:type="pct"/>
            <w:tcBorders>
              <w:top w:val="nil"/>
              <w:left w:val="single" w:sz="2" w:space="0" w:color="auto"/>
              <w:bottom w:val="nil"/>
              <w:right w:val="single" w:sz="2" w:space="0" w:color="auto"/>
            </w:tcBorders>
          </w:tcPr>
          <w:p w14:paraId="23F94882" w14:textId="77777777" w:rsidR="00E213C9" w:rsidRPr="00EB525E" w:rsidRDefault="00E213C9" w:rsidP="00E213C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2D5F6876" w14:textId="33055623" w:rsidR="00E213C9" w:rsidRPr="00EB525E" w:rsidRDefault="00E213C9" w:rsidP="00E213C9">
            <w:pPr>
              <w:ind w:left="172"/>
              <w:jc w:val="both"/>
              <w:rPr>
                <w:sz w:val="18"/>
                <w:szCs w:val="18"/>
              </w:rPr>
            </w:pPr>
            <w:r w:rsidRPr="00EB525E">
              <w:rPr>
                <w:rFonts w:cs="Calibri"/>
                <w:sz w:val="18"/>
                <w:szCs w:val="18"/>
              </w:rPr>
              <w:t>Contingent rents are recognised as revenue in the period in which they are earned.</w:t>
            </w:r>
          </w:p>
        </w:tc>
      </w:tr>
      <w:tr w:rsidR="00E213C9" w:rsidRPr="00CF7E1B" w14:paraId="6324C37D" w14:textId="77777777" w:rsidTr="002F4A89">
        <w:trPr>
          <w:trHeight w:val="119"/>
        </w:trPr>
        <w:tc>
          <w:tcPr>
            <w:tcW w:w="745" w:type="pct"/>
            <w:tcBorders>
              <w:top w:val="nil"/>
              <w:left w:val="single" w:sz="2" w:space="0" w:color="auto"/>
              <w:bottom w:val="nil"/>
              <w:right w:val="single" w:sz="2" w:space="0" w:color="auto"/>
            </w:tcBorders>
          </w:tcPr>
          <w:p w14:paraId="1B4F78AE" w14:textId="77777777" w:rsidR="00E213C9" w:rsidRPr="00EB525E" w:rsidRDefault="00E213C9" w:rsidP="00E213C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52D57CE2" w14:textId="1BF31857" w:rsidR="00E213C9" w:rsidRPr="00EB525E" w:rsidRDefault="00E213C9" w:rsidP="00E213C9">
            <w:pPr>
              <w:spacing w:before="120"/>
              <w:ind w:left="172"/>
              <w:jc w:val="both"/>
              <w:rPr>
                <w:sz w:val="18"/>
                <w:szCs w:val="18"/>
              </w:rPr>
            </w:pPr>
            <w:r w:rsidRPr="00EB525E">
              <w:rPr>
                <w:i/>
                <w:iCs/>
                <w:sz w:val="18"/>
                <w:szCs w:val="18"/>
              </w:rPr>
              <w:t>Rental income from Financing Leases</w:t>
            </w:r>
          </w:p>
        </w:tc>
      </w:tr>
      <w:tr w:rsidR="00E213C9" w:rsidRPr="00CF7E1B" w14:paraId="4B2A1C40" w14:textId="77777777" w:rsidTr="002F4A89">
        <w:trPr>
          <w:trHeight w:val="119"/>
        </w:trPr>
        <w:tc>
          <w:tcPr>
            <w:tcW w:w="745" w:type="pct"/>
            <w:tcBorders>
              <w:top w:val="nil"/>
              <w:left w:val="single" w:sz="2" w:space="0" w:color="auto"/>
              <w:bottom w:val="nil"/>
              <w:right w:val="single" w:sz="2" w:space="0" w:color="auto"/>
            </w:tcBorders>
          </w:tcPr>
          <w:p w14:paraId="7C165131" w14:textId="77777777" w:rsidR="00E213C9" w:rsidRPr="00EB525E" w:rsidRDefault="00E213C9" w:rsidP="00E213C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7F35B9E9" w14:textId="6D10B73B" w:rsidR="00E213C9" w:rsidRPr="00EB525E" w:rsidRDefault="00E213C9" w:rsidP="00E213C9">
            <w:pPr>
              <w:spacing w:after="120"/>
              <w:ind w:left="172"/>
              <w:jc w:val="both"/>
              <w:rPr>
                <w:sz w:val="18"/>
                <w:szCs w:val="18"/>
              </w:rPr>
            </w:pPr>
            <w:r w:rsidRPr="00EB525E">
              <w:rPr>
                <w:sz w:val="18"/>
                <w:szCs w:val="18"/>
              </w:rPr>
              <w:t>The Agency has excess capacity in leased storage facility properties under a head lease.</w:t>
            </w:r>
            <w:r w:rsidR="00FA7C77">
              <w:rPr>
                <w:sz w:val="18"/>
                <w:szCs w:val="18"/>
              </w:rPr>
              <w:t xml:space="preserve"> </w:t>
            </w:r>
            <w:r w:rsidRPr="00EB525E">
              <w:rPr>
                <w:sz w:val="18"/>
                <w:szCs w:val="18"/>
              </w:rPr>
              <w:t>As such, ‘Burley Griffin Agency’ has sub-leased this excess capacity.</w:t>
            </w:r>
            <w:r w:rsidR="00FA7C77">
              <w:rPr>
                <w:sz w:val="18"/>
                <w:szCs w:val="18"/>
              </w:rPr>
              <w:t xml:space="preserve"> </w:t>
            </w:r>
            <w:r w:rsidRPr="00EB525E">
              <w:rPr>
                <w:sz w:val="18"/>
                <w:szCs w:val="18"/>
              </w:rPr>
              <w:t>As a lessor, ‘Burley Griffin Agency’ has accounted for these leases as a finance lease.</w:t>
            </w:r>
            <w:r w:rsidR="00FA7C77">
              <w:rPr>
                <w:sz w:val="18"/>
                <w:szCs w:val="18"/>
              </w:rPr>
              <w:t xml:space="preserve"> </w:t>
            </w:r>
            <w:r w:rsidRPr="00EB525E">
              <w:rPr>
                <w:bCs/>
                <w:sz w:val="18"/>
                <w:szCs w:val="18"/>
              </w:rPr>
              <w:t>Income under a finance lease is recognised based on a constant periodic rate of return on the Agency’s net investment in the lease.</w:t>
            </w:r>
            <w:r w:rsidR="00FA7C77">
              <w:rPr>
                <w:rFonts w:cs="Calibri"/>
                <w:sz w:val="18"/>
                <w:szCs w:val="18"/>
              </w:rPr>
              <w:t xml:space="preserve"> </w:t>
            </w:r>
          </w:p>
        </w:tc>
      </w:tr>
      <w:tr w:rsidR="00E213C9" w:rsidRPr="00CF7E1B" w14:paraId="47E64E27" w14:textId="77777777" w:rsidTr="002F4A89">
        <w:trPr>
          <w:trHeight w:val="119"/>
        </w:trPr>
        <w:tc>
          <w:tcPr>
            <w:tcW w:w="745" w:type="pct"/>
            <w:tcBorders>
              <w:top w:val="nil"/>
              <w:left w:val="single" w:sz="2" w:space="0" w:color="auto"/>
              <w:bottom w:val="nil"/>
              <w:right w:val="single" w:sz="2" w:space="0" w:color="auto"/>
            </w:tcBorders>
          </w:tcPr>
          <w:p w14:paraId="160E6776" w14:textId="77777777" w:rsidR="00E213C9" w:rsidRPr="00EB525E" w:rsidRDefault="00E213C9" w:rsidP="00E213C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41A3E71E" w14:textId="320DF405" w:rsidR="00E213C9" w:rsidRPr="00EB525E" w:rsidRDefault="00E213C9" w:rsidP="00E213C9">
            <w:pPr>
              <w:ind w:left="172"/>
              <w:jc w:val="both"/>
              <w:rPr>
                <w:sz w:val="18"/>
                <w:szCs w:val="18"/>
              </w:rPr>
            </w:pPr>
            <w:r w:rsidRPr="00EB525E">
              <w:rPr>
                <w:bCs/>
                <w:sz w:val="18"/>
                <w:szCs w:val="18"/>
              </w:rPr>
              <w:t xml:space="preserve">If any lease contains lease and non-lease components, then the non-lease components are accounted for in accordance with AASB 15 </w:t>
            </w:r>
            <w:r w:rsidRPr="00EB525E">
              <w:rPr>
                <w:bCs/>
                <w:i/>
                <w:iCs/>
                <w:sz w:val="18"/>
                <w:szCs w:val="18"/>
              </w:rPr>
              <w:t>Revenue from Contracts with Customers</w:t>
            </w:r>
            <w:r w:rsidRPr="00EB525E">
              <w:rPr>
                <w:bCs/>
                <w:sz w:val="18"/>
                <w:szCs w:val="18"/>
              </w:rPr>
              <w:t>.</w:t>
            </w:r>
          </w:p>
        </w:tc>
      </w:tr>
      <w:tr w:rsidR="00E213C9" w:rsidRPr="00CF7E1B" w14:paraId="50342EE2" w14:textId="77777777" w:rsidTr="002F4A89">
        <w:trPr>
          <w:trHeight w:val="119"/>
        </w:trPr>
        <w:tc>
          <w:tcPr>
            <w:tcW w:w="745" w:type="pct"/>
            <w:tcBorders>
              <w:top w:val="nil"/>
              <w:left w:val="single" w:sz="2" w:space="0" w:color="auto"/>
              <w:bottom w:val="nil"/>
              <w:right w:val="single" w:sz="2" w:space="0" w:color="auto"/>
            </w:tcBorders>
          </w:tcPr>
          <w:p w14:paraId="026C358D" w14:textId="77777777" w:rsidR="00E213C9" w:rsidRPr="00EB525E" w:rsidRDefault="00E213C9" w:rsidP="00E213C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0C4F1062" w14:textId="3A31A9C8" w:rsidR="00E213C9" w:rsidRPr="00EB525E" w:rsidRDefault="00E213C9" w:rsidP="00E213C9">
            <w:pPr>
              <w:spacing w:before="120"/>
              <w:rPr>
                <w:i/>
                <w:iCs/>
                <w:sz w:val="18"/>
                <w:szCs w:val="18"/>
              </w:rPr>
            </w:pPr>
            <w:r w:rsidRPr="00EB525E">
              <w:rPr>
                <w:i/>
                <w:iCs/>
                <w:sz w:val="18"/>
                <w:szCs w:val="18"/>
              </w:rPr>
              <w:t>Unwinding of concessional loan discount Revenue</w:t>
            </w:r>
          </w:p>
        </w:tc>
      </w:tr>
      <w:tr w:rsidR="00E213C9" w:rsidRPr="00CF7E1B" w14:paraId="037A86ED" w14:textId="77777777" w:rsidTr="002F4A89">
        <w:trPr>
          <w:trHeight w:val="119"/>
        </w:trPr>
        <w:tc>
          <w:tcPr>
            <w:tcW w:w="745" w:type="pct"/>
            <w:tcBorders>
              <w:top w:val="nil"/>
              <w:left w:val="single" w:sz="2" w:space="0" w:color="auto"/>
              <w:bottom w:val="nil"/>
              <w:right w:val="single" w:sz="2" w:space="0" w:color="auto"/>
            </w:tcBorders>
          </w:tcPr>
          <w:p w14:paraId="29AE98A3" w14:textId="77777777" w:rsidR="00E213C9" w:rsidRPr="00EB525E" w:rsidRDefault="00E213C9" w:rsidP="00E213C9">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2A225DF0" w14:textId="49ACD9D3" w:rsidR="00E213C9" w:rsidRPr="00EB525E" w:rsidRDefault="00E213C9" w:rsidP="00E213C9">
            <w:pPr>
              <w:spacing w:after="120"/>
              <w:jc w:val="both"/>
              <w:rPr>
                <w:sz w:val="18"/>
                <w:szCs w:val="18"/>
              </w:rPr>
            </w:pPr>
            <w:r w:rsidRPr="00EB525E">
              <w:rPr>
                <w:sz w:val="18"/>
                <w:szCs w:val="18"/>
              </w:rPr>
              <w:t>‘Burley Griffin Agency’ provides concessional loans under the ‘Example Home Loan Scheme’ to ACT residents.</w:t>
            </w:r>
            <w:r w:rsidR="00FA7C77">
              <w:rPr>
                <w:sz w:val="18"/>
                <w:szCs w:val="18"/>
              </w:rPr>
              <w:t xml:space="preserve"> </w:t>
            </w:r>
            <w:r w:rsidRPr="00EB525E">
              <w:rPr>
                <w:sz w:val="18"/>
                <w:szCs w:val="18"/>
              </w:rPr>
              <w:t>The concessional loans are at a low interest rate so the difference between the loan’s nominal value at the concessional rate and fair value at the market rate is initially recognised as a Concessional Loan Discount Expense.</w:t>
            </w:r>
            <w:r w:rsidR="00FA7C77">
              <w:rPr>
                <w:sz w:val="18"/>
                <w:szCs w:val="18"/>
              </w:rPr>
              <w:t xml:space="preserve"> </w:t>
            </w:r>
            <w:r w:rsidRPr="00EB525E">
              <w:rPr>
                <w:sz w:val="18"/>
                <w:szCs w:val="18"/>
              </w:rPr>
              <w:t xml:space="preserve">Subsequent to initial recognition ‘Burley Griffin Agency’ then recognises revenue for the unwinding of the concessional loan discount. </w:t>
            </w:r>
          </w:p>
        </w:tc>
      </w:tr>
    </w:tbl>
    <w:p w14:paraId="1A20229B" w14:textId="77777777" w:rsidR="007770B1" w:rsidRDefault="007770B1">
      <w:r>
        <w:br w:type="page"/>
      </w:r>
    </w:p>
    <w:tbl>
      <w:tblPr>
        <w:tblW w:w="513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6181"/>
        <w:gridCol w:w="1247"/>
        <w:gridCol w:w="1505"/>
      </w:tblGrid>
      <w:tr w:rsidR="007770B1" w:rsidRPr="00CF7E1B" w14:paraId="1D36D079" w14:textId="77777777" w:rsidTr="002F4A89">
        <w:trPr>
          <w:cantSplit/>
          <w:trHeight w:val="119"/>
        </w:trPr>
        <w:tc>
          <w:tcPr>
            <w:tcW w:w="745" w:type="pct"/>
            <w:tcBorders>
              <w:top w:val="nil"/>
              <w:left w:val="single" w:sz="2" w:space="0" w:color="auto"/>
              <w:bottom w:val="nil"/>
              <w:right w:val="single" w:sz="2" w:space="0" w:color="auto"/>
            </w:tcBorders>
          </w:tcPr>
          <w:p w14:paraId="13B0B5D7" w14:textId="2E44C6F4" w:rsidR="007770B1" w:rsidRPr="00EB525E" w:rsidRDefault="007770B1" w:rsidP="007770B1">
            <w:pPr>
              <w:pStyle w:val="TableReference"/>
              <w:tabs>
                <w:tab w:val="left" w:pos="3306"/>
              </w:tabs>
              <w:spacing w:after="240"/>
              <w:rPr>
                <w:rFonts w:cs="Calibri"/>
                <w:b/>
                <w:color w:val="7030A0"/>
                <w:sz w:val="22"/>
                <w:szCs w:val="22"/>
              </w:rPr>
            </w:pPr>
            <w:r w:rsidRPr="00EB525E">
              <w:rPr>
                <w:color w:val="7030A0"/>
              </w:rPr>
              <w:br w:type="page"/>
            </w:r>
            <w:r w:rsidRPr="00985A9F">
              <w:rPr>
                <w:rFonts w:cs="Calibri"/>
                <w:b/>
                <w:color w:val="7030A0"/>
                <w:sz w:val="22"/>
                <w:szCs w:val="22"/>
              </w:rPr>
              <w:t>Reference</w:t>
            </w:r>
          </w:p>
        </w:tc>
        <w:tc>
          <w:tcPr>
            <w:tcW w:w="4255" w:type="pct"/>
            <w:gridSpan w:val="3"/>
            <w:tcBorders>
              <w:top w:val="nil"/>
              <w:left w:val="single" w:sz="2" w:space="0" w:color="auto"/>
              <w:bottom w:val="nil"/>
              <w:right w:val="nil"/>
            </w:tcBorders>
            <w:vAlign w:val="bottom"/>
          </w:tcPr>
          <w:p w14:paraId="7D3CB69E" w14:textId="26F96A2B" w:rsidR="007770B1" w:rsidRPr="00EB525E" w:rsidRDefault="007770B1" w:rsidP="007770B1">
            <w:pPr>
              <w:pStyle w:val="Heading1"/>
              <w:numPr>
                <w:ilvl w:val="0"/>
                <w:numId w:val="0"/>
              </w:numPr>
              <w:spacing w:before="0"/>
            </w:pPr>
            <w:bookmarkStart w:id="370" w:name="_Toc98763072"/>
            <w:r w:rsidRPr="00EB525E">
              <w:t>Note 7.</w:t>
            </w:r>
            <w:r>
              <w:t xml:space="preserve"> </w:t>
            </w:r>
            <w:r w:rsidRPr="00EB525E">
              <w:t xml:space="preserve"> Investment </w:t>
            </w:r>
            <w:r>
              <w:t xml:space="preserve">and Interest </w:t>
            </w:r>
            <w:r w:rsidRPr="00EB525E">
              <w:t xml:space="preserve">Revenue </w:t>
            </w:r>
            <w:r>
              <w:t>– Continued</w:t>
            </w:r>
            <w:bookmarkEnd w:id="370"/>
            <w:r>
              <w:t xml:space="preserve"> </w:t>
            </w:r>
          </w:p>
        </w:tc>
      </w:tr>
      <w:tr w:rsidR="00E213C9" w:rsidRPr="00CF7E1B" w14:paraId="57268235" w14:textId="77777777" w:rsidTr="002F4A89">
        <w:trPr>
          <w:cantSplit/>
        </w:trPr>
        <w:tc>
          <w:tcPr>
            <w:tcW w:w="745" w:type="pct"/>
            <w:tcBorders>
              <w:top w:val="nil"/>
              <w:left w:val="single" w:sz="2" w:space="0" w:color="auto"/>
              <w:bottom w:val="nil"/>
              <w:right w:val="single" w:sz="2" w:space="0" w:color="auto"/>
            </w:tcBorders>
          </w:tcPr>
          <w:p w14:paraId="1CCDD487" w14:textId="125D234E" w:rsidR="00E213C9" w:rsidRPr="00EB525E" w:rsidRDefault="00E213C9" w:rsidP="0063296A">
            <w:pPr>
              <w:pStyle w:val="TableReference"/>
              <w:tabs>
                <w:tab w:val="left" w:pos="3306"/>
              </w:tabs>
              <w:spacing w:before="120"/>
              <w:rPr>
                <w:rFonts w:cs="Calibri"/>
                <w:color w:val="7030A0"/>
                <w:sz w:val="14"/>
              </w:rPr>
            </w:pPr>
            <w:r w:rsidRPr="00EB525E">
              <w:rPr>
                <w:rFonts w:cs="Calibri"/>
                <w:color w:val="7030A0"/>
                <w:sz w:val="14"/>
              </w:rPr>
              <w:t>AASB 7.20</w:t>
            </w:r>
          </w:p>
        </w:tc>
        <w:tc>
          <w:tcPr>
            <w:tcW w:w="2944" w:type="pct"/>
            <w:tcBorders>
              <w:top w:val="nil"/>
              <w:left w:val="single" w:sz="2" w:space="0" w:color="auto"/>
              <w:bottom w:val="nil"/>
              <w:right w:val="nil"/>
            </w:tcBorders>
            <w:vAlign w:val="center"/>
          </w:tcPr>
          <w:p w14:paraId="1F5F0F4B" w14:textId="28D0AB18" w:rsidR="00E213C9" w:rsidRPr="00EB525E" w:rsidRDefault="00E213C9" w:rsidP="00E213C9">
            <w:pPr>
              <w:pStyle w:val="TableText"/>
              <w:tabs>
                <w:tab w:val="left" w:pos="3306"/>
              </w:tabs>
              <w:rPr>
                <w:rFonts w:cs="Calibri"/>
                <w:strike/>
              </w:rPr>
            </w:pPr>
            <w:r w:rsidRPr="00EB525E">
              <w:rPr>
                <w:rFonts w:cs="Calibri"/>
                <w:b/>
                <w:bCs/>
              </w:rPr>
              <w:t>Investment and Interest Revenue</w:t>
            </w:r>
          </w:p>
        </w:tc>
        <w:tc>
          <w:tcPr>
            <w:tcW w:w="594" w:type="pct"/>
            <w:tcBorders>
              <w:top w:val="nil"/>
              <w:left w:val="nil"/>
              <w:bottom w:val="nil"/>
              <w:right w:val="nil"/>
            </w:tcBorders>
          </w:tcPr>
          <w:p w14:paraId="115D6B38" w14:textId="08CDA610" w:rsidR="00E213C9" w:rsidRPr="00EB525E" w:rsidRDefault="00E213C9" w:rsidP="00E213C9">
            <w:pPr>
              <w:pStyle w:val="TableTitle"/>
              <w:tabs>
                <w:tab w:val="left" w:pos="3306"/>
              </w:tabs>
              <w:rPr>
                <w:rFonts w:cs="Calibri"/>
              </w:rPr>
            </w:pPr>
            <w:r w:rsidRPr="00EB525E">
              <w:rPr>
                <w:rFonts w:cs="Calibri"/>
              </w:rPr>
              <w:t>2022</w:t>
            </w:r>
          </w:p>
          <w:p w14:paraId="0446FE51" w14:textId="77777777" w:rsidR="00E213C9" w:rsidRPr="00EB525E" w:rsidRDefault="00E213C9" w:rsidP="00E213C9">
            <w:pPr>
              <w:pStyle w:val="TableTitle"/>
              <w:tabs>
                <w:tab w:val="left" w:pos="2904"/>
              </w:tabs>
              <w:rPr>
                <w:rFonts w:cs="Calibri"/>
              </w:rPr>
            </w:pPr>
            <w:r w:rsidRPr="00EB525E">
              <w:rPr>
                <w:rFonts w:cs="Calibri"/>
              </w:rPr>
              <w:t>$’000</w:t>
            </w:r>
          </w:p>
        </w:tc>
        <w:tc>
          <w:tcPr>
            <w:tcW w:w="717" w:type="pct"/>
            <w:tcBorders>
              <w:top w:val="nil"/>
              <w:left w:val="nil"/>
              <w:bottom w:val="nil"/>
              <w:right w:val="nil"/>
            </w:tcBorders>
          </w:tcPr>
          <w:p w14:paraId="32972E10" w14:textId="6771AB9F" w:rsidR="00E213C9" w:rsidRPr="00EB525E" w:rsidRDefault="00E213C9" w:rsidP="00E213C9">
            <w:pPr>
              <w:pStyle w:val="TableTitle"/>
              <w:tabs>
                <w:tab w:val="left" w:pos="2904"/>
              </w:tabs>
              <w:rPr>
                <w:rFonts w:cs="Calibri"/>
              </w:rPr>
            </w:pPr>
            <w:r w:rsidRPr="00EB525E">
              <w:rPr>
                <w:rFonts w:cs="Calibri"/>
              </w:rPr>
              <w:t>2021</w:t>
            </w:r>
          </w:p>
          <w:p w14:paraId="6CCEDDF9" w14:textId="77777777" w:rsidR="00E213C9" w:rsidRPr="00EB525E" w:rsidRDefault="00E213C9" w:rsidP="00E213C9">
            <w:pPr>
              <w:pStyle w:val="TableTitle"/>
              <w:tabs>
                <w:tab w:val="left" w:pos="2904"/>
              </w:tabs>
              <w:rPr>
                <w:rFonts w:cs="Calibri"/>
              </w:rPr>
            </w:pPr>
            <w:r w:rsidRPr="00EB525E">
              <w:rPr>
                <w:rFonts w:cs="Calibri"/>
              </w:rPr>
              <w:t>$’000</w:t>
            </w:r>
          </w:p>
        </w:tc>
      </w:tr>
      <w:tr w:rsidR="00E213C9" w:rsidRPr="00CF7E1B" w14:paraId="0C78FC1F" w14:textId="77777777" w:rsidTr="002F4A89">
        <w:trPr>
          <w:cantSplit/>
        </w:trPr>
        <w:tc>
          <w:tcPr>
            <w:tcW w:w="745" w:type="pct"/>
            <w:tcBorders>
              <w:top w:val="nil"/>
              <w:left w:val="single" w:sz="2" w:space="0" w:color="auto"/>
              <w:bottom w:val="nil"/>
              <w:right w:val="single" w:sz="2" w:space="0" w:color="auto"/>
            </w:tcBorders>
          </w:tcPr>
          <w:p w14:paraId="0B3F0623" w14:textId="6315BC34"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AASB 7.20(b)</w:t>
            </w:r>
          </w:p>
        </w:tc>
        <w:tc>
          <w:tcPr>
            <w:tcW w:w="2944" w:type="pct"/>
            <w:tcBorders>
              <w:top w:val="nil"/>
              <w:left w:val="single" w:sz="2" w:space="0" w:color="auto"/>
              <w:bottom w:val="nil"/>
              <w:right w:val="nil"/>
            </w:tcBorders>
            <w:vAlign w:val="bottom"/>
          </w:tcPr>
          <w:p w14:paraId="0BDB1D0C" w14:textId="1F91490C" w:rsidR="00E213C9" w:rsidRPr="00EB525E" w:rsidRDefault="00E213C9" w:rsidP="00E213C9">
            <w:pPr>
              <w:pStyle w:val="TableText"/>
              <w:tabs>
                <w:tab w:val="left" w:pos="3306"/>
              </w:tabs>
              <w:rPr>
                <w:rFonts w:cs="Calibri"/>
              </w:rPr>
            </w:pPr>
            <w:r w:rsidRPr="00EB525E">
              <w:rPr>
                <w:rFonts w:cs="Calibri"/>
              </w:rPr>
              <w:t>Interest from Loans Receivable</w:t>
            </w:r>
            <w:r w:rsidRPr="00EB525E">
              <w:rPr>
                <w:rFonts w:cs="Calibri"/>
                <w:b/>
                <w:vertAlign w:val="superscript"/>
              </w:rPr>
              <w:t>a</w:t>
            </w:r>
            <w:r w:rsidR="00FA7C77">
              <w:rPr>
                <w:rFonts w:cs="Calibri"/>
                <w:b/>
                <w:vertAlign w:val="superscript"/>
              </w:rPr>
              <w:t xml:space="preserve"> </w:t>
            </w:r>
            <w:r w:rsidR="00FA7C77">
              <w:t xml:space="preserve">  </w:t>
            </w:r>
            <w:r w:rsidRPr="00EB525E">
              <w:t xml:space="preserve"> </w:t>
            </w:r>
          </w:p>
        </w:tc>
        <w:tc>
          <w:tcPr>
            <w:tcW w:w="594" w:type="pct"/>
            <w:tcBorders>
              <w:top w:val="nil"/>
              <w:left w:val="nil"/>
              <w:bottom w:val="nil"/>
              <w:right w:val="nil"/>
            </w:tcBorders>
            <w:vAlign w:val="bottom"/>
          </w:tcPr>
          <w:p w14:paraId="6FF60EE7" w14:textId="77777777" w:rsidR="00E213C9" w:rsidRPr="00EB525E" w:rsidRDefault="00E213C9" w:rsidP="00E213C9">
            <w:pPr>
              <w:pStyle w:val="TableText"/>
              <w:tabs>
                <w:tab w:val="left" w:pos="2904"/>
              </w:tabs>
              <w:jc w:val="right"/>
              <w:rPr>
                <w:rFonts w:cs="Calibri"/>
              </w:rPr>
            </w:pPr>
          </w:p>
        </w:tc>
        <w:tc>
          <w:tcPr>
            <w:tcW w:w="717" w:type="pct"/>
            <w:tcBorders>
              <w:top w:val="nil"/>
              <w:left w:val="nil"/>
              <w:bottom w:val="nil"/>
              <w:right w:val="nil"/>
            </w:tcBorders>
            <w:vAlign w:val="bottom"/>
          </w:tcPr>
          <w:p w14:paraId="4DA6A0F0" w14:textId="77777777" w:rsidR="00E213C9" w:rsidRPr="00EB525E" w:rsidRDefault="00E213C9" w:rsidP="00E213C9">
            <w:pPr>
              <w:pStyle w:val="TableText"/>
              <w:tabs>
                <w:tab w:val="left" w:pos="2904"/>
              </w:tabs>
              <w:jc w:val="right"/>
              <w:rPr>
                <w:rFonts w:cs="Calibri"/>
              </w:rPr>
            </w:pPr>
          </w:p>
        </w:tc>
      </w:tr>
      <w:tr w:rsidR="00E213C9" w:rsidRPr="00CF7E1B" w14:paraId="44FB5D9B" w14:textId="77777777" w:rsidTr="002F4A89">
        <w:trPr>
          <w:cantSplit/>
        </w:trPr>
        <w:tc>
          <w:tcPr>
            <w:tcW w:w="745" w:type="pct"/>
            <w:tcBorders>
              <w:top w:val="nil"/>
              <w:left w:val="single" w:sz="2" w:space="0" w:color="auto"/>
              <w:bottom w:val="nil"/>
              <w:right w:val="single" w:sz="2" w:space="0" w:color="auto"/>
            </w:tcBorders>
          </w:tcPr>
          <w:p w14:paraId="120316FF" w14:textId="77777777" w:rsidR="00E213C9" w:rsidRPr="00EB525E" w:rsidRDefault="00E213C9" w:rsidP="00E213C9">
            <w:pPr>
              <w:pStyle w:val="TableReference"/>
              <w:tabs>
                <w:tab w:val="left" w:pos="3306"/>
              </w:tabs>
              <w:spacing w:before="60"/>
              <w:rPr>
                <w:rFonts w:cs="Calibri"/>
                <w:color w:val="7030A0"/>
                <w:sz w:val="14"/>
              </w:rPr>
            </w:pPr>
          </w:p>
        </w:tc>
        <w:tc>
          <w:tcPr>
            <w:tcW w:w="2944" w:type="pct"/>
            <w:tcBorders>
              <w:top w:val="nil"/>
              <w:left w:val="single" w:sz="2" w:space="0" w:color="auto"/>
              <w:bottom w:val="nil"/>
              <w:right w:val="nil"/>
            </w:tcBorders>
            <w:vAlign w:val="bottom"/>
          </w:tcPr>
          <w:p w14:paraId="1B95EE8F" w14:textId="37DAA522" w:rsidR="00E213C9" w:rsidRPr="00EB525E" w:rsidRDefault="00E213C9" w:rsidP="00E213C9">
            <w:pPr>
              <w:pStyle w:val="TableText"/>
              <w:tabs>
                <w:tab w:val="left" w:pos="3306"/>
              </w:tabs>
              <w:rPr>
                <w:rFonts w:cs="Calibri"/>
              </w:rPr>
            </w:pPr>
            <w:r w:rsidRPr="00EB525E">
              <w:rPr>
                <w:rFonts w:cs="Calibri"/>
              </w:rPr>
              <w:t>Distribution from Investments with the Territory Banking Account</w:t>
            </w:r>
          </w:p>
        </w:tc>
        <w:tc>
          <w:tcPr>
            <w:tcW w:w="594" w:type="pct"/>
            <w:tcBorders>
              <w:top w:val="nil"/>
              <w:left w:val="nil"/>
              <w:bottom w:val="nil"/>
              <w:right w:val="nil"/>
            </w:tcBorders>
            <w:vAlign w:val="bottom"/>
          </w:tcPr>
          <w:p w14:paraId="61EDA715" w14:textId="77777777" w:rsidR="00E213C9" w:rsidRPr="00EB525E" w:rsidRDefault="00E213C9" w:rsidP="00E213C9">
            <w:pPr>
              <w:pStyle w:val="TableText"/>
              <w:tabs>
                <w:tab w:val="left" w:pos="2904"/>
              </w:tabs>
              <w:jc w:val="right"/>
              <w:rPr>
                <w:rFonts w:cs="Calibri"/>
              </w:rPr>
            </w:pPr>
          </w:p>
        </w:tc>
        <w:tc>
          <w:tcPr>
            <w:tcW w:w="717" w:type="pct"/>
            <w:tcBorders>
              <w:top w:val="nil"/>
              <w:left w:val="nil"/>
              <w:bottom w:val="nil"/>
              <w:right w:val="nil"/>
            </w:tcBorders>
            <w:vAlign w:val="bottom"/>
          </w:tcPr>
          <w:p w14:paraId="752FC73D" w14:textId="77777777" w:rsidR="00E213C9" w:rsidRPr="00EB525E" w:rsidRDefault="00E213C9" w:rsidP="00E213C9">
            <w:pPr>
              <w:pStyle w:val="TableText"/>
              <w:tabs>
                <w:tab w:val="left" w:pos="2904"/>
              </w:tabs>
              <w:jc w:val="right"/>
              <w:rPr>
                <w:rFonts w:cs="Calibri"/>
              </w:rPr>
            </w:pPr>
          </w:p>
        </w:tc>
      </w:tr>
      <w:tr w:rsidR="00E213C9" w:rsidRPr="00CF7E1B" w14:paraId="6231134D" w14:textId="77777777" w:rsidTr="002F4A89">
        <w:trPr>
          <w:cantSplit/>
        </w:trPr>
        <w:tc>
          <w:tcPr>
            <w:tcW w:w="745" w:type="pct"/>
            <w:tcBorders>
              <w:top w:val="nil"/>
              <w:left w:val="single" w:sz="2" w:space="0" w:color="auto"/>
              <w:bottom w:val="nil"/>
              <w:right w:val="single" w:sz="2" w:space="0" w:color="auto"/>
            </w:tcBorders>
          </w:tcPr>
          <w:p w14:paraId="1FD83FC8" w14:textId="77777777" w:rsidR="00E213C9" w:rsidRPr="00EB525E" w:rsidRDefault="00E213C9" w:rsidP="00E213C9">
            <w:pPr>
              <w:pStyle w:val="TableReference"/>
              <w:tabs>
                <w:tab w:val="left" w:pos="3306"/>
              </w:tabs>
              <w:spacing w:before="60"/>
              <w:rPr>
                <w:rFonts w:cs="Calibri"/>
                <w:color w:val="7030A0"/>
                <w:sz w:val="14"/>
              </w:rPr>
            </w:pPr>
          </w:p>
        </w:tc>
        <w:tc>
          <w:tcPr>
            <w:tcW w:w="2944" w:type="pct"/>
            <w:tcBorders>
              <w:top w:val="nil"/>
              <w:left w:val="single" w:sz="2" w:space="0" w:color="auto"/>
              <w:bottom w:val="nil"/>
              <w:right w:val="nil"/>
            </w:tcBorders>
            <w:vAlign w:val="bottom"/>
          </w:tcPr>
          <w:p w14:paraId="4613AB3B" w14:textId="4F2B6168" w:rsidR="00E213C9" w:rsidRPr="00EB525E" w:rsidRDefault="00E213C9" w:rsidP="00E213C9">
            <w:pPr>
              <w:pStyle w:val="TableText"/>
              <w:tabs>
                <w:tab w:val="left" w:pos="3306"/>
              </w:tabs>
              <w:rPr>
                <w:rFonts w:cs="Calibri"/>
              </w:rPr>
            </w:pPr>
            <w:r w:rsidRPr="00EB525E">
              <w:rPr>
                <w:rFonts w:cs="Calibri"/>
              </w:rPr>
              <w:t>Dividends</w:t>
            </w:r>
          </w:p>
        </w:tc>
        <w:tc>
          <w:tcPr>
            <w:tcW w:w="594" w:type="pct"/>
            <w:tcBorders>
              <w:top w:val="nil"/>
              <w:left w:val="nil"/>
              <w:bottom w:val="nil"/>
              <w:right w:val="nil"/>
            </w:tcBorders>
            <w:vAlign w:val="bottom"/>
          </w:tcPr>
          <w:p w14:paraId="7B9CCC86" w14:textId="77777777" w:rsidR="00E213C9" w:rsidRPr="00EB525E" w:rsidRDefault="00E213C9" w:rsidP="00E213C9">
            <w:pPr>
              <w:pStyle w:val="TableText"/>
              <w:tabs>
                <w:tab w:val="left" w:pos="2904"/>
              </w:tabs>
              <w:jc w:val="right"/>
              <w:rPr>
                <w:rFonts w:cs="Calibri"/>
              </w:rPr>
            </w:pPr>
          </w:p>
        </w:tc>
        <w:tc>
          <w:tcPr>
            <w:tcW w:w="717" w:type="pct"/>
            <w:tcBorders>
              <w:top w:val="nil"/>
              <w:left w:val="nil"/>
              <w:bottom w:val="nil"/>
              <w:right w:val="nil"/>
            </w:tcBorders>
            <w:vAlign w:val="bottom"/>
          </w:tcPr>
          <w:p w14:paraId="495F2591" w14:textId="77777777" w:rsidR="00E213C9" w:rsidRPr="00EB525E" w:rsidRDefault="00E213C9" w:rsidP="00E213C9">
            <w:pPr>
              <w:pStyle w:val="TableText"/>
              <w:tabs>
                <w:tab w:val="left" w:pos="2904"/>
              </w:tabs>
              <w:jc w:val="right"/>
              <w:rPr>
                <w:rFonts w:cs="Calibri"/>
              </w:rPr>
            </w:pPr>
          </w:p>
        </w:tc>
      </w:tr>
      <w:tr w:rsidR="00E213C9" w:rsidRPr="00CF7E1B" w14:paraId="34958A1C" w14:textId="77777777" w:rsidTr="002F4A89">
        <w:trPr>
          <w:cantSplit/>
        </w:trPr>
        <w:tc>
          <w:tcPr>
            <w:tcW w:w="745" w:type="pct"/>
            <w:tcBorders>
              <w:top w:val="nil"/>
              <w:left w:val="single" w:sz="2" w:space="0" w:color="auto"/>
              <w:bottom w:val="nil"/>
              <w:right w:val="single" w:sz="2" w:space="0" w:color="auto"/>
            </w:tcBorders>
          </w:tcPr>
          <w:p w14:paraId="77D0293D" w14:textId="77777777"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 xml:space="preserve">AASB 16.90(b) </w:t>
            </w:r>
          </w:p>
          <w:p w14:paraId="3FD787CD" w14:textId="07CAFF67"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AASB 140.75(f)(i)</w:t>
            </w:r>
          </w:p>
        </w:tc>
        <w:tc>
          <w:tcPr>
            <w:tcW w:w="2944" w:type="pct"/>
            <w:tcBorders>
              <w:top w:val="nil"/>
              <w:left w:val="single" w:sz="2" w:space="0" w:color="auto"/>
              <w:bottom w:val="nil"/>
              <w:right w:val="nil"/>
            </w:tcBorders>
            <w:vAlign w:val="center"/>
          </w:tcPr>
          <w:p w14:paraId="4A819BD0" w14:textId="11B4B7CF" w:rsidR="00E213C9" w:rsidRPr="00EB525E" w:rsidRDefault="00E213C9" w:rsidP="00E213C9">
            <w:pPr>
              <w:pStyle w:val="TableText"/>
              <w:tabs>
                <w:tab w:val="left" w:pos="3306"/>
              </w:tabs>
              <w:rPr>
                <w:rFonts w:cs="Calibri"/>
              </w:rPr>
            </w:pPr>
            <w:r w:rsidRPr="00EB525E">
              <w:rPr>
                <w:rFonts w:cs="Calibri"/>
                <w:bCs/>
              </w:rPr>
              <w:t xml:space="preserve">Operating Lease Rental Income from Investment Property </w:t>
            </w:r>
          </w:p>
        </w:tc>
        <w:tc>
          <w:tcPr>
            <w:tcW w:w="594" w:type="pct"/>
            <w:tcBorders>
              <w:top w:val="nil"/>
              <w:left w:val="nil"/>
              <w:bottom w:val="nil"/>
              <w:right w:val="nil"/>
            </w:tcBorders>
            <w:vAlign w:val="bottom"/>
          </w:tcPr>
          <w:p w14:paraId="69435A52" w14:textId="77777777" w:rsidR="00E213C9" w:rsidRPr="00EB525E" w:rsidRDefault="00E213C9" w:rsidP="00E213C9">
            <w:pPr>
              <w:pStyle w:val="TableText"/>
              <w:tabs>
                <w:tab w:val="left" w:pos="2904"/>
              </w:tabs>
              <w:jc w:val="right"/>
              <w:rPr>
                <w:rFonts w:cs="Calibri"/>
              </w:rPr>
            </w:pPr>
          </w:p>
        </w:tc>
        <w:tc>
          <w:tcPr>
            <w:tcW w:w="717" w:type="pct"/>
            <w:tcBorders>
              <w:top w:val="nil"/>
              <w:left w:val="nil"/>
              <w:bottom w:val="nil"/>
              <w:right w:val="nil"/>
            </w:tcBorders>
            <w:vAlign w:val="bottom"/>
          </w:tcPr>
          <w:p w14:paraId="57ECDADF" w14:textId="77777777" w:rsidR="00E213C9" w:rsidRPr="00EB525E" w:rsidRDefault="00E213C9" w:rsidP="00E213C9">
            <w:pPr>
              <w:pStyle w:val="TableText"/>
              <w:tabs>
                <w:tab w:val="left" w:pos="2904"/>
              </w:tabs>
              <w:jc w:val="right"/>
              <w:rPr>
                <w:rFonts w:cs="Calibri"/>
              </w:rPr>
            </w:pPr>
          </w:p>
        </w:tc>
      </w:tr>
      <w:tr w:rsidR="00E213C9" w:rsidRPr="00CF7E1B" w14:paraId="23950744" w14:textId="77777777" w:rsidTr="002F4A89">
        <w:trPr>
          <w:cantSplit/>
        </w:trPr>
        <w:tc>
          <w:tcPr>
            <w:tcW w:w="745" w:type="pct"/>
            <w:tcBorders>
              <w:top w:val="nil"/>
              <w:left w:val="single" w:sz="2" w:space="0" w:color="auto"/>
              <w:bottom w:val="nil"/>
              <w:right w:val="single" w:sz="2" w:space="0" w:color="auto"/>
            </w:tcBorders>
          </w:tcPr>
          <w:p w14:paraId="5CFC4C2D" w14:textId="77777777"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 xml:space="preserve">AASB 16.53(f) </w:t>
            </w:r>
          </w:p>
          <w:p w14:paraId="7B5E02B1" w14:textId="56033B3B"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AASB 16.90(a)(ii)</w:t>
            </w:r>
          </w:p>
        </w:tc>
        <w:tc>
          <w:tcPr>
            <w:tcW w:w="2944" w:type="pct"/>
            <w:tcBorders>
              <w:top w:val="nil"/>
              <w:left w:val="single" w:sz="2" w:space="0" w:color="auto"/>
              <w:bottom w:val="nil"/>
              <w:right w:val="nil"/>
            </w:tcBorders>
            <w:vAlign w:val="center"/>
          </w:tcPr>
          <w:p w14:paraId="609A3F87" w14:textId="513E9A06" w:rsidR="00E213C9" w:rsidRPr="00EB525E" w:rsidRDefault="00E213C9" w:rsidP="00E213C9">
            <w:pPr>
              <w:pStyle w:val="TableText"/>
              <w:tabs>
                <w:tab w:val="left" w:pos="3306"/>
              </w:tabs>
              <w:rPr>
                <w:rFonts w:cs="Calibri"/>
              </w:rPr>
            </w:pPr>
            <w:r w:rsidRPr="00EB525E">
              <w:rPr>
                <w:rFonts w:cs="Calibri"/>
                <w:bCs/>
              </w:rPr>
              <w:t xml:space="preserve">Finance Lease </w:t>
            </w:r>
            <w:r w:rsidRPr="00EB525E">
              <w:rPr>
                <w:rFonts w:cstheme="minorHAnsi"/>
              </w:rPr>
              <w:t>Rental Income from Sub-leasing Right-of-Use Assets</w:t>
            </w:r>
          </w:p>
        </w:tc>
        <w:tc>
          <w:tcPr>
            <w:tcW w:w="594" w:type="pct"/>
            <w:tcBorders>
              <w:top w:val="nil"/>
              <w:left w:val="nil"/>
              <w:bottom w:val="nil"/>
              <w:right w:val="nil"/>
            </w:tcBorders>
            <w:vAlign w:val="bottom"/>
          </w:tcPr>
          <w:p w14:paraId="1884085E" w14:textId="61312B84" w:rsidR="00E213C9" w:rsidRPr="00EB525E" w:rsidRDefault="00E213C9" w:rsidP="00E213C9">
            <w:pPr>
              <w:pStyle w:val="TableText"/>
              <w:tabs>
                <w:tab w:val="left" w:pos="2904"/>
              </w:tabs>
              <w:jc w:val="right"/>
              <w:rPr>
                <w:rFonts w:cs="Calibri"/>
              </w:rPr>
            </w:pPr>
          </w:p>
        </w:tc>
        <w:tc>
          <w:tcPr>
            <w:tcW w:w="717" w:type="pct"/>
            <w:tcBorders>
              <w:top w:val="nil"/>
              <w:left w:val="nil"/>
              <w:bottom w:val="nil"/>
              <w:right w:val="nil"/>
            </w:tcBorders>
            <w:vAlign w:val="bottom"/>
          </w:tcPr>
          <w:p w14:paraId="1C41CE53" w14:textId="7A246485" w:rsidR="00E213C9" w:rsidRPr="00EB525E" w:rsidRDefault="00E213C9" w:rsidP="00E213C9">
            <w:pPr>
              <w:pStyle w:val="TableText"/>
              <w:tabs>
                <w:tab w:val="left" w:pos="2904"/>
              </w:tabs>
              <w:jc w:val="right"/>
              <w:rPr>
                <w:rFonts w:cs="Calibri"/>
              </w:rPr>
            </w:pPr>
          </w:p>
        </w:tc>
      </w:tr>
      <w:tr w:rsidR="00E213C9" w:rsidRPr="00CF7E1B" w14:paraId="34B190C7" w14:textId="77777777" w:rsidTr="002F4A89">
        <w:trPr>
          <w:cantSplit/>
        </w:trPr>
        <w:tc>
          <w:tcPr>
            <w:tcW w:w="745" w:type="pct"/>
            <w:tcBorders>
              <w:top w:val="nil"/>
              <w:left w:val="single" w:sz="2" w:space="0" w:color="auto"/>
              <w:bottom w:val="nil"/>
              <w:right w:val="single" w:sz="2" w:space="0" w:color="auto"/>
            </w:tcBorders>
          </w:tcPr>
          <w:p w14:paraId="013B6F9D" w14:textId="77777777" w:rsidR="00E213C9" w:rsidRPr="00EB525E" w:rsidRDefault="00E213C9" w:rsidP="00E213C9">
            <w:pPr>
              <w:pStyle w:val="TableReference"/>
              <w:tabs>
                <w:tab w:val="left" w:pos="3306"/>
              </w:tabs>
              <w:spacing w:before="60"/>
              <w:rPr>
                <w:rFonts w:cs="Calibri"/>
                <w:color w:val="7030A0"/>
                <w:sz w:val="14"/>
              </w:rPr>
            </w:pPr>
          </w:p>
        </w:tc>
        <w:tc>
          <w:tcPr>
            <w:tcW w:w="2944" w:type="pct"/>
            <w:tcBorders>
              <w:top w:val="nil"/>
              <w:left w:val="single" w:sz="2" w:space="0" w:color="auto"/>
              <w:bottom w:val="nil"/>
              <w:right w:val="nil"/>
            </w:tcBorders>
            <w:vAlign w:val="bottom"/>
          </w:tcPr>
          <w:p w14:paraId="60359860" w14:textId="3DB3C34F" w:rsidR="00E213C9" w:rsidRPr="00EB525E" w:rsidRDefault="00E213C9" w:rsidP="00E213C9">
            <w:pPr>
              <w:pStyle w:val="TableText"/>
              <w:tabs>
                <w:tab w:val="left" w:pos="3306"/>
              </w:tabs>
              <w:rPr>
                <w:rFonts w:cs="Calibri"/>
                <w:b/>
                <w:strike/>
              </w:rPr>
            </w:pPr>
            <w:r w:rsidRPr="00EB525E">
              <w:rPr>
                <w:rFonts w:cs="Calibri"/>
              </w:rPr>
              <w:t>Unwinding of Concessional Loan Discount Revenue</w:t>
            </w:r>
          </w:p>
        </w:tc>
        <w:tc>
          <w:tcPr>
            <w:tcW w:w="594" w:type="pct"/>
            <w:tcBorders>
              <w:top w:val="nil"/>
              <w:left w:val="nil"/>
              <w:bottom w:val="nil"/>
              <w:right w:val="nil"/>
            </w:tcBorders>
            <w:vAlign w:val="bottom"/>
          </w:tcPr>
          <w:p w14:paraId="03237984" w14:textId="77777777" w:rsidR="00E213C9" w:rsidRPr="00EB525E" w:rsidRDefault="00E213C9" w:rsidP="00E213C9">
            <w:pPr>
              <w:pStyle w:val="TableText"/>
              <w:tabs>
                <w:tab w:val="left" w:pos="2904"/>
              </w:tabs>
              <w:jc w:val="right"/>
              <w:rPr>
                <w:rFonts w:cs="Calibri"/>
              </w:rPr>
            </w:pPr>
          </w:p>
        </w:tc>
        <w:tc>
          <w:tcPr>
            <w:tcW w:w="717" w:type="pct"/>
            <w:tcBorders>
              <w:top w:val="nil"/>
              <w:left w:val="nil"/>
              <w:bottom w:val="nil"/>
              <w:right w:val="nil"/>
            </w:tcBorders>
            <w:vAlign w:val="bottom"/>
          </w:tcPr>
          <w:p w14:paraId="02F96558" w14:textId="77777777" w:rsidR="00E213C9" w:rsidRPr="00EB525E" w:rsidRDefault="00E213C9" w:rsidP="00E213C9">
            <w:pPr>
              <w:pStyle w:val="TableText"/>
              <w:tabs>
                <w:tab w:val="left" w:pos="2904"/>
              </w:tabs>
              <w:jc w:val="right"/>
              <w:rPr>
                <w:rFonts w:cs="Calibri"/>
              </w:rPr>
            </w:pPr>
          </w:p>
        </w:tc>
      </w:tr>
      <w:tr w:rsidR="00E213C9" w:rsidRPr="00CF7E1B" w14:paraId="02E4E2CE" w14:textId="77777777" w:rsidTr="002F4A89">
        <w:trPr>
          <w:cantSplit/>
        </w:trPr>
        <w:tc>
          <w:tcPr>
            <w:tcW w:w="745" w:type="pct"/>
            <w:tcBorders>
              <w:top w:val="nil"/>
              <w:left w:val="single" w:sz="2" w:space="0" w:color="auto"/>
              <w:bottom w:val="nil"/>
              <w:right w:val="single" w:sz="2" w:space="0" w:color="auto"/>
            </w:tcBorders>
          </w:tcPr>
          <w:p w14:paraId="79B52582" w14:textId="451991F1"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AASB 15.58</w:t>
            </w:r>
          </w:p>
        </w:tc>
        <w:tc>
          <w:tcPr>
            <w:tcW w:w="2944" w:type="pct"/>
            <w:tcBorders>
              <w:top w:val="nil"/>
              <w:left w:val="single" w:sz="2" w:space="0" w:color="auto"/>
              <w:bottom w:val="nil"/>
              <w:right w:val="nil"/>
            </w:tcBorders>
            <w:vAlign w:val="center"/>
          </w:tcPr>
          <w:p w14:paraId="356CD820" w14:textId="0938B753" w:rsidR="00E213C9" w:rsidRPr="00EB525E" w:rsidRDefault="00E213C9" w:rsidP="00E213C9">
            <w:pPr>
              <w:pStyle w:val="TableText"/>
              <w:tabs>
                <w:tab w:val="left" w:pos="3306"/>
              </w:tabs>
              <w:rPr>
                <w:rFonts w:cs="Calibri"/>
                <w:b/>
                <w:strike/>
              </w:rPr>
            </w:pPr>
            <w:r w:rsidRPr="00EB525E">
              <w:rPr>
                <w:rFonts w:cs="Calibri"/>
                <w:bCs/>
              </w:rPr>
              <w:t>Royalties</w:t>
            </w:r>
          </w:p>
        </w:tc>
        <w:tc>
          <w:tcPr>
            <w:tcW w:w="594" w:type="pct"/>
            <w:tcBorders>
              <w:top w:val="nil"/>
              <w:left w:val="nil"/>
              <w:bottom w:val="nil"/>
              <w:right w:val="nil"/>
            </w:tcBorders>
            <w:vAlign w:val="bottom"/>
          </w:tcPr>
          <w:p w14:paraId="2BAC0CAF" w14:textId="77777777" w:rsidR="00E213C9" w:rsidRPr="00EB525E" w:rsidRDefault="00E213C9" w:rsidP="00E213C9">
            <w:pPr>
              <w:pStyle w:val="TableText"/>
              <w:tabs>
                <w:tab w:val="left" w:pos="2904"/>
              </w:tabs>
              <w:jc w:val="right"/>
              <w:rPr>
                <w:rFonts w:cs="Calibri"/>
              </w:rPr>
            </w:pPr>
          </w:p>
        </w:tc>
        <w:tc>
          <w:tcPr>
            <w:tcW w:w="717" w:type="pct"/>
            <w:tcBorders>
              <w:top w:val="nil"/>
              <w:left w:val="nil"/>
              <w:bottom w:val="nil"/>
              <w:right w:val="nil"/>
            </w:tcBorders>
            <w:vAlign w:val="bottom"/>
          </w:tcPr>
          <w:p w14:paraId="026F4CE0" w14:textId="77777777" w:rsidR="00E213C9" w:rsidRPr="00EB525E" w:rsidRDefault="00E213C9" w:rsidP="00E213C9">
            <w:pPr>
              <w:pStyle w:val="TableText"/>
              <w:tabs>
                <w:tab w:val="left" w:pos="2904"/>
              </w:tabs>
              <w:jc w:val="right"/>
              <w:rPr>
                <w:rFonts w:cs="Calibri"/>
              </w:rPr>
            </w:pPr>
          </w:p>
        </w:tc>
      </w:tr>
      <w:tr w:rsidR="00E213C9" w:rsidRPr="00CF7E1B" w14:paraId="21F3CB27" w14:textId="77777777" w:rsidTr="002F4A89">
        <w:trPr>
          <w:cantSplit/>
        </w:trPr>
        <w:tc>
          <w:tcPr>
            <w:tcW w:w="745" w:type="pct"/>
            <w:tcBorders>
              <w:top w:val="nil"/>
              <w:left w:val="single" w:sz="2" w:space="0" w:color="auto"/>
              <w:bottom w:val="nil"/>
              <w:right w:val="single" w:sz="2" w:space="0" w:color="auto"/>
            </w:tcBorders>
          </w:tcPr>
          <w:p w14:paraId="07E19361" w14:textId="71E066E1"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AASB 7.20(b)</w:t>
            </w:r>
          </w:p>
        </w:tc>
        <w:tc>
          <w:tcPr>
            <w:tcW w:w="2944" w:type="pct"/>
            <w:tcBorders>
              <w:top w:val="nil"/>
              <w:left w:val="single" w:sz="2" w:space="0" w:color="auto"/>
              <w:bottom w:val="nil"/>
              <w:right w:val="nil"/>
            </w:tcBorders>
            <w:vAlign w:val="bottom"/>
          </w:tcPr>
          <w:p w14:paraId="73DF99D2" w14:textId="48D7BCF3" w:rsidR="00E213C9" w:rsidRPr="00EB525E" w:rsidRDefault="00E213C9" w:rsidP="00E213C9">
            <w:pPr>
              <w:pStyle w:val="TableText"/>
              <w:tabs>
                <w:tab w:val="left" w:pos="3306"/>
              </w:tabs>
              <w:rPr>
                <w:rFonts w:cs="Calibri"/>
                <w:b/>
                <w:strike/>
              </w:rPr>
            </w:pPr>
            <w:r w:rsidRPr="00EB525E">
              <w:rPr>
                <w:rFonts w:cs="Calibri"/>
                <w:bCs/>
              </w:rPr>
              <w:t xml:space="preserve">Other Interest Revenue </w:t>
            </w:r>
          </w:p>
        </w:tc>
        <w:tc>
          <w:tcPr>
            <w:tcW w:w="594" w:type="pct"/>
            <w:tcBorders>
              <w:top w:val="nil"/>
              <w:left w:val="nil"/>
              <w:bottom w:val="single" w:sz="4" w:space="0" w:color="auto"/>
              <w:right w:val="nil"/>
            </w:tcBorders>
            <w:vAlign w:val="bottom"/>
          </w:tcPr>
          <w:p w14:paraId="641D0639" w14:textId="77777777" w:rsidR="00E213C9" w:rsidRPr="00EB525E" w:rsidRDefault="00E213C9" w:rsidP="00E213C9">
            <w:pPr>
              <w:pStyle w:val="TableText"/>
              <w:tabs>
                <w:tab w:val="left" w:pos="2904"/>
              </w:tabs>
              <w:jc w:val="right"/>
              <w:rPr>
                <w:rFonts w:cs="Calibri"/>
              </w:rPr>
            </w:pPr>
          </w:p>
        </w:tc>
        <w:tc>
          <w:tcPr>
            <w:tcW w:w="717" w:type="pct"/>
            <w:tcBorders>
              <w:top w:val="nil"/>
              <w:left w:val="nil"/>
              <w:bottom w:val="single" w:sz="4" w:space="0" w:color="auto"/>
              <w:right w:val="nil"/>
            </w:tcBorders>
            <w:vAlign w:val="bottom"/>
          </w:tcPr>
          <w:p w14:paraId="48849924" w14:textId="77777777" w:rsidR="00E213C9" w:rsidRPr="00EB525E" w:rsidRDefault="00E213C9" w:rsidP="00E213C9">
            <w:pPr>
              <w:pStyle w:val="TableText"/>
              <w:tabs>
                <w:tab w:val="left" w:pos="2904"/>
              </w:tabs>
              <w:jc w:val="right"/>
              <w:rPr>
                <w:rFonts w:cs="Calibri"/>
              </w:rPr>
            </w:pPr>
          </w:p>
        </w:tc>
      </w:tr>
      <w:tr w:rsidR="00E213C9" w:rsidRPr="00CF7E1B" w14:paraId="37154E67" w14:textId="77777777" w:rsidTr="002F4A89">
        <w:trPr>
          <w:cantSplit/>
        </w:trPr>
        <w:tc>
          <w:tcPr>
            <w:tcW w:w="745" w:type="pct"/>
            <w:tcBorders>
              <w:top w:val="nil"/>
              <w:left w:val="single" w:sz="2" w:space="0" w:color="auto"/>
              <w:bottom w:val="nil"/>
              <w:right w:val="single" w:sz="2" w:space="0" w:color="auto"/>
            </w:tcBorders>
          </w:tcPr>
          <w:p w14:paraId="38C1E336" w14:textId="784BE435"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AASB 101.82(a)</w:t>
            </w:r>
          </w:p>
        </w:tc>
        <w:tc>
          <w:tcPr>
            <w:tcW w:w="2944" w:type="pct"/>
            <w:tcBorders>
              <w:top w:val="nil"/>
              <w:left w:val="single" w:sz="2" w:space="0" w:color="auto"/>
              <w:bottom w:val="nil"/>
              <w:right w:val="nil"/>
            </w:tcBorders>
          </w:tcPr>
          <w:p w14:paraId="01365893" w14:textId="0D8AD2BC" w:rsidR="00E213C9" w:rsidRPr="00EB525E" w:rsidRDefault="00E213C9" w:rsidP="00E213C9">
            <w:pPr>
              <w:pStyle w:val="TableText"/>
              <w:tabs>
                <w:tab w:val="left" w:pos="3306"/>
              </w:tabs>
              <w:rPr>
                <w:rFonts w:cs="Calibri"/>
                <w:b/>
              </w:rPr>
            </w:pPr>
            <w:r w:rsidRPr="00EB525E">
              <w:rPr>
                <w:rFonts w:cs="Calibri"/>
                <w:b/>
              </w:rPr>
              <w:t>Total Investment and Interest Revenue</w:t>
            </w:r>
          </w:p>
        </w:tc>
        <w:tc>
          <w:tcPr>
            <w:tcW w:w="594" w:type="pct"/>
            <w:tcBorders>
              <w:top w:val="single" w:sz="4" w:space="0" w:color="auto"/>
              <w:left w:val="nil"/>
              <w:bottom w:val="double" w:sz="4" w:space="0" w:color="auto"/>
              <w:right w:val="nil"/>
            </w:tcBorders>
            <w:vAlign w:val="bottom"/>
          </w:tcPr>
          <w:p w14:paraId="1CF0BD98" w14:textId="77777777" w:rsidR="00E213C9" w:rsidRPr="00EB525E" w:rsidRDefault="00E213C9" w:rsidP="00E213C9">
            <w:pPr>
              <w:pStyle w:val="TableText"/>
              <w:tabs>
                <w:tab w:val="left" w:pos="2904"/>
              </w:tabs>
              <w:jc w:val="right"/>
              <w:rPr>
                <w:rFonts w:cs="Calibri"/>
              </w:rPr>
            </w:pPr>
          </w:p>
        </w:tc>
        <w:tc>
          <w:tcPr>
            <w:tcW w:w="717" w:type="pct"/>
            <w:tcBorders>
              <w:top w:val="single" w:sz="4" w:space="0" w:color="auto"/>
              <w:left w:val="nil"/>
              <w:bottom w:val="double" w:sz="4" w:space="0" w:color="auto"/>
              <w:right w:val="nil"/>
            </w:tcBorders>
            <w:vAlign w:val="bottom"/>
          </w:tcPr>
          <w:p w14:paraId="5AA640EB" w14:textId="77777777" w:rsidR="00E213C9" w:rsidRPr="00EB525E" w:rsidRDefault="00E213C9" w:rsidP="00E213C9">
            <w:pPr>
              <w:pStyle w:val="TableText"/>
              <w:tabs>
                <w:tab w:val="left" w:pos="2904"/>
              </w:tabs>
              <w:jc w:val="right"/>
              <w:rPr>
                <w:rFonts w:cs="Calibri"/>
              </w:rPr>
            </w:pPr>
          </w:p>
        </w:tc>
      </w:tr>
      <w:tr w:rsidR="00E213C9" w:rsidRPr="00407912" w14:paraId="6B1D4A1E" w14:textId="77777777" w:rsidTr="002F4A89">
        <w:trPr>
          <w:cantSplit/>
        </w:trPr>
        <w:tc>
          <w:tcPr>
            <w:tcW w:w="745" w:type="pct"/>
            <w:tcBorders>
              <w:top w:val="nil"/>
              <w:left w:val="single" w:sz="2" w:space="0" w:color="auto"/>
              <w:bottom w:val="nil"/>
              <w:right w:val="single" w:sz="2" w:space="0" w:color="auto"/>
            </w:tcBorders>
          </w:tcPr>
          <w:p w14:paraId="5FF22E65" w14:textId="77777777" w:rsidR="00E213C9" w:rsidRPr="00EB525E" w:rsidRDefault="00E213C9" w:rsidP="00E213C9">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68EABF0B" w14:textId="77777777" w:rsidR="00E213C9" w:rsidRPr="00EB525E" w:rsidRDefault="00E213C9" w:rsidP="00E213C9">
            <w:pPr>
              <w:pStyle w:val="TableText"/>
              <w:tabs>
                <w:tab w:val="left" w:pos="3306"/>
              </w:tabs>
              <w:spacing w:before="0"/>
              <w:rPr>
                <w:rFonts w:cs="Calibri"/>
                <w:b/>
                <w:sz w:val="14"/>
                <w:szCs w:val="14"/>
              </w:rPr>
            </w:pPr>
          </w:p>
        </w:tc>
        <w:tc>
          <w:tcPr>
            <w:tcW w:w="594" w:type="pct"/>
            <w:tcBorders>
              <w:top w:val="double" w:sz="4" w:space="0" w:color="auto"/>
              <w:left w:val="nil"/>
              <w:bottom w:val="nil"/>
              <w:right w:val="nil"/>
            </w:tcBorders>
            <w:vAlign w:val="bottom"/>
          </w:tcPr>
          <w:p w14:paraId="10AFE77C" w14:textId="77777777" w:rsidR="00E213C9" w:rsidRPr="00EB525E" w:rsidRDefault="00E213C9" w:rsidP="00E213C9">
            <w:pPr>
              <w:pStyle w:val="TableText"/>
              <w:tabs>
                <w:tab w:val="left" w:pos="2904"/>
              </w:tabs>
              <w:spacing w:before="0"/>
              <w:jc w:val="right"/>
              <w:rPr>
                <w:rFonts w:cs="Calibri"/>
                <w:sz w:val="14"/>
                <w:szCs w:val="14"/>
              </w:rPr>
            </w:pPr>
          </w:p>
        </w:tc>
        <w:tc>
          <w:tcPr>
            <w:tcW w:w="717" w:type="pct"/>
            <w:tcBorders>
              <w:top w:val="double" w:sz="4" w:space="0" w:color="auto"/>
              <w:left w:val="nil"/>
              <w:bottom w:val="nil"/>
              <w:right w:val="nil"/>
            </w:tcBorders>
            <w:vAlign w:val="bottom"/>
          </w:tcPr>
          <w:p w14:paraId="47503565" w14:textId="77777777" w:rsidR="00E213C9" w:rsidRPr="00EB525E" w:rsidRDefault="00E213C9" w:rsidP="00E213C9">
            <w:pPr>
              <w:pStyle w:val="TableText"/>
              <w:tabs>
                <w:tab w:val="left" w:pos="2904"/>
              </w:tabs>
              <w:spacing w:before="0"/>
              <w:jc w:val="right"/>
              <w:rPr>
                <w:rFonts w:cs="Calibri"/>
                <w:sz w:val="14"/>
                <w:szCs w:val="14"/>
              </w:rPr>
            </w:pPr>
          </w:p>
        </w:tc>
      </w:tr>
      <w:tr w:rsidR="00E213C9" w:rsidRPr="00407912" w14:paraId="797FAC5F" w14:textId="77777777" w:rsidTr="002F4A89">
        <w:trPr>
          <w:cantSplit/>
        </w:trPr>
        <w:tc>
          <w:tcPr>
            <w:tcW w:w="745" w:type="pct"/>
            <w:tcBorders>
              <w:top w:val="nil"/>
              <w:left w:val="single" w:sz="2" w:space="0" w:color="auto"/>
              <w:bottom w:val="nil"/>
              <w:right w:val="single" w:sz="2" w:space="0" w:color="auto"/>
            </w:tcBorders>
          </w:tcPr>
          <w:p w14:paraId="19294DA8" w14:textId="77777777" w:rsidR="00E213C9" w:rsidRPr="00EB525E" w:rsidRDefault="00E213C9" w:rsidP="00E213C9">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6094DFE0" w14:textId="2AB7F3DC" w:rsidR="00E213C9" w:rsidRPr="00EB525E" w:rsidRDefault="00E213C9" w:rsidP="00E213C9">
            <w:pPr>
              <w:pStyle w:val="TableText"/>
              <w:tabs>
                <w:tab w:val="left" w:pos="3306"/>
              </w:tabs>
              <w:spacing w:before="0"/>
              <w:rPr>
                <w:rFonts w:cs="Calibri"/>
                <w:b/>
              </w:rPr>
            </w:pPr>
            <w:r w:rsidRPr="00EB525E">
              <w:rPr>
                <w:rFonts w:cs="Calibri"/>
                <w:b/>
                <w:bCs/>
              </w:rPr>
              <w:t>Split of Investment and Interest Revenue</w:t>
            </w:r>
          </w:p>
        </w:tc>
        <w:tc>
          <w:tcPr>
            <w:tcW w:w="594" w:type="pct"/>
            <w:tcBorders>
              <w:top w:val="nil"/>
              <w:left w:val="nil"/>
              <w:bottom w:val="nil"/>
              <w:right w:val="nil"/>
            </w:tcBorders>
            <w:vAlign w:val="bottom"/>
          </w:tcPr>
          <w:p w14:paraId="4A5D76E8" w14:textId="77777777" w:rsidR="00E213C9" w:rsidRPr="00EB525E" w:rsidRDefault="00E213C9" w:rsidP="00E213C9">
            <w:pPr>
              <w:pStyle w:val="TableText"/>
              <w:tabs>
                <w:tab w:val="left" w:pos="2904"/>
              </w:tabs>
              <w:spacing w:before="0"/>
              <w:jc w:val="right"/>
              <w:rPr>
                <w:rFonts w:cs="Calibri"/>
              </w:rPr>
            </w:pPr>
          </w:p>
        </w:tc>
        <w:tc>
          <w:tcPr>
            <w:tcW w:w="717" w:type="pct"/>
            <w:tcBorders>
              <w:top w:val="nil"/>
              <w:left w:val="nil"/>
              <w:bottom w:val="nil"/>
              <w:right w:val="nil"/>
            </w:tcBorders>
            <w:vAlign w:val="bottom"/>
          </w:tcPr>
          <w:p w14:paraId="7EA776A6" w14:textId="77777777" w:rsidR="00E213C9" w:rsidRPr="00EB525E" w:rsidRDefault="00E213C9" w:rsidP="00E213C9">
            <w:pPr>
              <w:pStyle w:val="TableText"/>
              <w:tabs>
                <w:tab w:val="left" w:pos="2904"/>
              </w:tabs>
              <w:spacing w:before="0"/>
              <w:jc w:val="right"/>
              <w:rPr>
                <w:rFonts w:cs="Calibri"/>
              </w:rPr>
            </w:pPr>
          </w:p>
        </w:tc>
      </w:tr>
      <w:tr w:rsidR="00E213C9" w:rsidRPr="00407912" w14:paraId="1A36AA79" w14:textId="77777777" w:rsidTr="002F4A89">
        <w:trPr>
          <w:cantSplit/>
        </w:trPr>
        <w:tc>
          <w:tcPr>
            <w:tcW w:w="745" w:type="pct"/>
            <w:tcBorders>
              <w:top w:val="nil"/>
              <w:left w:val="single" w:sz="2" w:space="0" w:color="auto"/>
              <w:bottom w:val="nil"/>
              <w:right w:val="single" w:sz="2" w:space="0" w:color="auto"/>
            </w:tcBorders>
          </w:tcPr>
          <w:p w14:paraId="042573C5" w14:textId="77777777" w:rsidR="00E213C9" w:rsidRPr="00EB525E" w:rsidRDefault="00E213C9" w:rsidP="00E213C9">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2BD6F6AD" w14:textId="1BCCB067" w:rsidR="00E213C9" w:rsidRPr="00EB525E" w:rsidRDefault="00E213C9" w:rsidP="00E213C9">
            <w:pPr>
              <w:pStyle w:val="TableText"/>
              <w:tabs>
                <w:tab w:val="left" w:pos="3306"/>
              </w:tabs>
              <w:spacing w:before="0"/>
              <w:rPr>
                <w:rFonts w:cs="Calibri"/>
                <w:bCs/>
              </w:rPr>
            </w:pPr>
            <w:r w:rsidRPr="00EB525E">
              <w:rPr>
                <w:rFonts w:cs="Calibri"/>
                <w:bCs/>
              </w:rPr>
              <w:t>Investment Revenue</w:t>
            </w:r>
          </w:p>
        </w:tc>
        <w:tc>
          <w:tcPr>
            <w:tcW w:w="594" w:type="pct"/>
            <w:tcBorders>
              <w:top w:val="nil"/>
              <w:left w:val="nil"/>
              <w:bottom w:val="nil"/>
              <w:right w:val="nil"/>
            </w:tcBorders>
            <w:vAlign w:val="bottom"/>
          </w:tcPr>
          <w:p w14:paraId="70C227D5" w14:textId="77777777" w:rsidR="00E213C9" w:rsidRPr="00EB525E" w:rsidRDefault="00E213C9" w:rsidP="00E213C9">
            <w:pPr>
              <w:pStyle w:val="TableText"/>
              <w:tabs>
                <w:tab w:val="left" w:pos="2904"/>
              </w:tabs>
              <w:spacing w:before="0"/>
              <w:jc w:val="right"/>
              <w:rPr>
                <w:rFonts w:cs="Calibri"/>
              </w:rPr>
            </w:pPr>
          </w:p>
        </w:tc>
        <w:tc>
          <w:tcPr>
            <w:tcW w:w="717" w:type="pct"/>
            <w:tcBorders>
              <w:top w:val="nil"/>
              <w:left w:val="nil"/>
              <w:bottom w:val="nil"/>
              <w:right w:val="nil"/>
            </w:tcBorders>
            <w:vAlign w:val="bottom"/>
          </w:tcPr>
          <w:p w14:paraId="637F002D" w14:textId="77777777" w:rsidR="00E213C9" w:rsidRPr="00EB525E" w:rsidRDefault="00E213C9" w:rsidP="00E213C9">
            <w:pPr>
              <w:pStyle w:val="TableText"/>
              <w:tabs>
                <w:tab w:val="left" w:pos="2904"/>
              </w:tabs>
              <w:spacing w:before="0"/>
              <w:jc w:val="right"/>
              <w:rPr>
                <w:rFonts w:cs="Calibri"/>
              </w:rPr>
            </w:pPr>
          </w:p>
        </w:tc>
      </w:tr>
      <w:tr w:rsidR="00E213C9" w:rsidRPr="00407912" w14:paraId="6161FEDF" w14:textId="77777777" w:rsidTr="002F4A89">
        <w:trPr>
          <w:cantSplit/>
        </w:trPr>
        <w:tc>
          <w:tcPr>
            <w:tcW w:w="745" w:type="pct"/>
            <w:tcBorders>
              <w:top w:val="nil"/>
              <w:left w:val="single" w:sz="2" w:space="0" w:color="auto"/>
              <w:bottom w:val="nil"/>
              <w:right w:val="single" w:sz="2" w:space="0" w:color="auto"/>
            </w:tcBorders>
          </w:tcPr>
          <w:p w14:paraId="6932D4BA" w14:textId="77777777" w:rsidR="00E213C9" w:rsidRPr="00EB525E" w:rsidRDefault="00E213C9" w:rsidP="00E213C9">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5E17E3EC" w14:textId="3DF02AA3" w:rsidR="00E213C9" w:rsidRPr="00EB525E" w:rsidRDefault="00E213C9" w:rsidP="00E213C9">
            <w:pPr>
              <w:pStyle w:val="TableText"/>
              <w:tabs>
                <w:tab w:val="left" w:pos="3306"/>
              </w:tabs>
              <w:spacing w:before="0"/>
              <w:rPr>
                <w:rFonts w:cs="Calibri"/>
                <w:bCs/>
              </w:rPr>
            </w:pPr>
            <w:r w:rsidRPr="00EB525E">
              <w:rPr>
                <w:rFonts w:cs="Calibri"/>
                <w:bCs/>
              </w:rPr>
              <w:t>Interest Revenue</w:t>
            </w:r>
          </w:p>
        </w:tc>
        <w:tc>
          <w:tcPr>
            <w:tcW w:w="594" w:type="pct"/>
            <w:tcBorders>
              <w:top w:val="nil"/>
              <w:left w:val="nil"/>
              <w:bottom w:val="single" w:sz="2" w:space="0" w:color="auto"/>
              <w:right w:val="nil"/>
            </w:tcBorders>
            <w:vAlign w:val="bottom"/>
          </w:tcPr>
          <w:p w14:paraId="558FB458" w14:textId="77777777" w:rsidR="00E213C9" w:rsidRPr="00EB525E" w:rsidRDefault="00E213C9" w:rsidP="00E213C9">
            <w:pPr>
              <w:pStyle w:val="TableText"/>
              <w:tabs>
                <w:tab w:val="left" w:pos="2904"/>
              </w:tabs>
              <w:spacing w:before="0"/>
              <w:jc w:val="right"/>
              <w:rPr>
                <w:rFonts w:cs="Calibri"/>
              </w:rPr>
            </w:pPr>
          </w:p>
        </w:tc>
        <w:tc>
          <w:tcPr>
            <w:tcW w:w="717" w:type="pct"/>
            <w:tcBorders>
              <w:top w:val="nil"/>
              <w:left w:val="nil"/>
              <w:bottom w:val="single" w:sz="2" w:space="0" w:color="auto"/>
              <w:right w:val="nil"/>
            </w:tcBorders>
            <w:vAlign w:val="bottom"/>
          </w:tcPr>
          <w:p w14:paraId="0506651F" w14:textId="77777777" w:rsidR="00E213C9" w:rsidRPr="00EB525E" w:rsidRDefault="00E213C9" w:rsidP="00E213C9">
            <w:pPr>
              <w:pStyle w:val="TableText"/>
              <w:tabs>
                <w:tab w:val="left" w:pos="2904"/>
              </w:tabs>
              <w:spacing w:before="0"/>
              <w:jc w:val="right"/>
              <w:rPr>
                <w:rFonts w:cs="Calibri"/>
              </w:rPr>
            </w:pPr>
          </w:p>
        </w:tc>
      </w:tr>
      <w:tr w:rsidR="00E213C9" w:rsidRPr="00407912" w14:paraId="774AA884" w14:textId="77777777" w:rsidTr="002F4A89">
        <w:trPr>
          <w:cantSplit/>
        </w:trPr>
        <w:tc>
          <w:tcPr>
            <w:tcW w:w="745" w:type="pct"/>
            <w:tcBorders>
              <w:top w:val="nil"/>
              <w:left w:val="single" w:sz="2" w:space="0" w:color="auto"/>
              <w:bottom w:val="nil"/>
              <w:right w:val="single" w:sz="2" w:space="0" w:color="auto"/>
            </w:tcBorders>
          </w:tcPr>
          <w:p w14:paraId="5BC1DE9D" w14:textId="77777777" w:rsidR="00E213C9" w:rsidRPr="00EB525E" w:rsidRDefault="00E213C9" w:rsidP="00E213C9">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37860AC5" w14:textId="538D2BF6" w:rsidR="00E213C9" w:rsidRPr="00EB525E" w:rsidRDefault="00E213C9" w:rsidP="00E213C9">
            <w:pPr>
              <w:pStyle w:val="TableText"/>
              <w:tabs>
                <w:tab w:val="left" w:pos="3306"/>
              </w:tabs>
              <w:spacing w:before="0"/>
              <w:rPr>
                <w:rFonts w:cs="Calibri"/>
                <w:b/>
              </w:rPr>
            </w:pPr>
            <w:r w:rsidRPr="00EB525E">
              <w:rPr>
                <w:rFonts w:cs="Calibri"/>
                <w:b/>
              </w:rPr>
              <w:t>Total Investment and Interest Revenue</w:t>
            </w:r>
          </w:p>
        </w:tc>
        <w:tc>
          <w:tcPr>
            <w:tcW w:w="594" w:type="pct"/>
            <w:tcBorders>
              <w:top w:val="single" w:sz="2" w:space="0" w:color="auto"/>
              <w:left w:val="nil"/>
              <w:bottom w:val="double" w:sz="4" w:space="0" w:color="auto"/>
              <w:right w:val="nil"/>
            </w:tcBorders>
            <w:vAlign w:val="bottom"/>
          </w:tcPr>
          <w:p w14:paraId="2C580A53" w14:textId="77777777" w:rsidR="00E213C9" w:rsidRPr="00EB525E" w:rsidRDefault="00E213C9" w:rsidP="00E213C9">
            <w:pPr>
              <w:pStyle w:val="TableText"/>
              <w:tabs>
                <w:tab w:val="left" w:pos="2904"/>
              </w:tabs>
              <w:spacing w:before="0"/>
              <w:jc w:val="right"/>
              <w:rPr>
                <w:rFonts w:cs="Calibri"/>
              </w:rPr>
            </w:pPr>
          </w:p>
        </w:tc>
        <w:tc>
          <w:tcPr>
            <w:tcW w:w="717" w:type="pct"/>
            <w:tcBorders>
              <w:top w:val="single" w:sz="2" w:space="0" w:color="auto"/>
              <w:left w:val="nil"/>
              <w:bottom w:val="double" w:sz="4" w:space="0" w:color="auto"/>
              <w:right w:val="nil"/>
            </w:tcBorders>
            <w:vAlign w:val="bottom"/>
          </w:tcPr>
          <w:p w14:paraId="4890D510" w14:textId="77777777" w:rsidR="00E213C9" w:rsidRPr="00EB525E" w:rsidRDefault="00E213C9" w:rsidP="00E213C9">
            <w:pPr>
              <w:pStyle w:val="TableText"/>
              <w:tabs>
                <w:tab w:val="left" w:pos="2904"/>
              </w:tabs>
              <w:spacing w:before="0"/>
              <w:jc w:val="right"/>
              <w:rPr>
                <w:rFonts w:cs="Calibri"/>
              </w:rPr>
            </w:pPr>
          </w:p>
        </w:tc>
      </w:tr>
      <w:tr w:rsidR="00E213C9" w:rsidRPr="00407912" w14:paraId="06CB088E" w14:textId="77777777" w:rsidTr="002F4A89">
        <w:trPr>
          <w:cantSplit/>
        </w:trPr>
        <w:tc>
          <w:tcPr>
            <w:tcW w:w="745" w:type="pct"/>
            <w:tcBorders>
              <w:top w:val="nil"/>
              <w:left w:val="single" w:sz="2" w:space="0" w:color="auto"/>
              <w:bottom w:val="nil"/>
              <w:right w:val="single" w:sz="2" w:space="0" w:color="auto"/>
            </w:tcBorders>
          </w:tcPr>
          <w:p w14:paraId="03C8B43F" w14:textId="77777777" w:rsidR="00E213C9" w:rsidRPr="00EB525E" w:rsidRDefault="00E213C9" w:rsidP="00E213C9">
            <w:pPr>
              <w:pStyle w:val="TableReference"/>
              <w:tabs>
                <w:tab w:val="left" w:pos="3306"/>
              </w:tabs>
              <w:rPr>
                <w:rFonts w:cs="Calibri"/>
                <w:color w:val="7030A0"/>
                <w:sz w:val="14"/>
              </w:rPr>
            </w:pPr>
          </w:p>
        </w:tc>
        <w:tc>
          <w:tcPr>
            <w:tcW w:w="2944" w:type="pct"/>
            <w:tcBorders>
              <w:top w:val="nil"/>
              <w:left w:val="single" w:sz="2" w:space="0" w:color="auto"/>
              <w:bottom w:val="nil"/>
              <w:right w:val="nil"/>
            </w:tcBorders>
          </w:tcPr>
          <w:p w14:paraId="45B78690" w14:textId="77777777" w:rsidR="00E213C9" w:rsidRPr="00930178" w:rsidRDefault="00E213C9" w:rsidP="00E213C9">
            <w:pPr>
              <w:pStyle w:val="TableText"/>
              <w:tabs>
                <w:tab w:val="left" w:pos="3306"/>
              </w:tabs>
              <w:spacing w:before="0"/>
              <w:rPr>
                <w:rFonts w:cs="Calibri"/>
                <w:b/>
              </w:rPr>
            </w:pPr>
          </w:p>
        </w:tc>
        <w:tc>
          <w:tcPr>
            <w:tcW w:w="594" w:type="pct"/>
            <w:tcBorders>
              <w:top w:val="double" w:sz="4" w:space="0" w:color="auto"/>
              <w:left w:val="nil"/>
              <w:bottom w:val="nil"/>
              <w:right w:val="nil"/>
            </w:tcBorders>
            <w:vAlign w:val="bottom"/>
          </w:tcPr>
          <w:p w14:paraId="2CB22C90" w14:textId="77777777" w:rsidR="00E213C9" w:rsidRPr="00930178" w:rsidRDefault="00E213C9" w:rsidP="00E213C9">
            <w:pPr>
              <w:pStyle w:val="TableText"/>
              <w:tabs>
                <w:tab w:val="left" w:pos="2904"/>
              </w:tabs>
              <w:spacing w:before="0"/>
              <w:jc w:val="right"/>
              <w:rPr>
                <w:rFonts w:cs="Calibri"/>
              </w:rPr>
            </w:pPr>
          </w:p>
        </w:tc>
        <w:tc>
          <w:tcPr>
            <w:tcW w:w="717" w:type="pct"/>
            <w:tcBorders>
              <w:top w:val="double" w:sz="4" w:space="0" w:color="auto"/>
              <w:left w:val="nil"/>
              <w:bottom w:val="nil"/>
              <w:right w:val="nil"/>
            </w:tcBorders>
            <w:vAlign w:val="bottom"/>
          </w:tcPr>
          <w:p w14:paraId="4A645984" w14:textId="77777777" w:rsidR="00E213C9" w:rsidRPr="00930178" w:rsidRDefault="00E213C9" w:rsidP="00E213C9">
            <w:pPr>
              <w:pStyle w:val="TableText"/>
              <w:tabs>
                <w:tab w:val="left" w:pos="2904"/>
              </w:tabs>
              <w:spacing w:before="0"/>
              <w:jc w:val="right"/>
              <w:rPr>
                <w:rFonts w:cs="Calibri"/>
              </w:rPr>
            </w:pPr>
          </w:p>
        </w:tc>
      </w:tr>
      <w:tr w:rsidR="00E213C9" w:rsidRPr="00CF7E1B" w14:paraId="55369814" w14:textId="77777777" w:rsidTr="002F4A89">
        <w:trPr>
          <w:cantSplit/>
        </w:trPr>
        <w:tc>
          <w:tcPr>
            <w:tcW w:w="745" w:type="pct"/>
            <w:tcBorders>
              <w:top w:val="nil"/>
              <w:left w:val="single" w:sz="2" w:space="0" w:color="auto"/>
              <w:bottom w:val="nil"/>
              <w:right w:val="single" w:sz="2" w:space="0" w:color="auto"/>
            </w:tcBorders>
          </w:tcPr>
          <w:p w14:paraId="233974AD" w14:textId="1169FE1D"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AASB 7.20(b)</w:t>
            </w:r>
          </w:p>
        </w:tc>
        <w:tc>
          <w:tcPr>
            <w:tcW w:w="2944" w:type="pct"/>
            <w:tcBorders>
              <w:top w:val="nil"/>
              <w:left w:val="single" w:sz="2" w:space="0" w:color="auto"/>
              <w:bottom w:val="nil"/>
              <w:right w:val="nil"/>
            </w:tcBorders>
            <w:vAlign w:val="bottom"/>
          </w:tcPr>
          <w:p w14:paraId="2C93E804" w14:textId="41DFE477" w:rsidR="00E213C9" w:rsidRPr="00EB525E" w:rsidRDefault="00E213C9" w:rsidP="00E213C9">
            <w:pPr>
              <w:pStyle w:val="TableText"/>
              <w:tabs>
                <w:tab w:val="left" w:pos="2904"/>
              </w:tabs>
              <w:spacing w:after="120"/>
              <w:rPr>
                <w:rFonts w:cs="Calibri"/>
                <w:bCs/>
              </w:rPr>
            </w:pPr>
            <w:r w:rsidRPr="00EB525E">
              <w:rPr>
                <w:rFonts w:cs="Calibri"/>
                <w:bCs/>
              </w:rPr>
              <w:t>Total interest revenue from financial assets at amortised cost</w:t>
            </w:r>
          </w:p>
        </w:tc>
        <w:tc>
          <w:tcPr>
            <w:tcW w:w="594" w:type="pct"/>
            <w:tcBorders>
              <w:top w:val="nil"/>
              <w:left w:val="nil"/>
              <w:bottom w:val="nil"/>
              <w:right w:val="nil"/>
            </w:tcBorders>
            <w:vAlign w:val="bottom"/>
          </w:tcPr>
          <w:p w14:paraId="4138B4B3" w14:textId="77777777" w:rsidR="00E213C9" w:rsidRPr="00EB525E" w:rsidRDefault="00E213C9" w:rsidP="00E213C9">
            <w:pPr>
              <w:pStyle w:val="TableText"/>
              <w:tabs>
                <w:tab w:val="left" w:pos="2904"/>
              </w:tabs>
              <w:spacing w:after="120"/>
              <w:rPr>
                <w:rFonts w:cs="Calibri"/>
                <w:bCs/>
              </w:rPr>
            </w:pPr>
          </w:p>
        </w:tc>
        <w:tc>
          <w:tcPr>
            <w:tcW w:w="717" w:type="pct"/>
            <w:tcBorders>
              <w:top w:val="nil"/>
              <w:left w:val="nil"/>
              <w:bottom w:val="nil"/>
              <w:right w:val="nil"/>
            </w:tcBorders>
            <w:vAlign w:val="bottom"/>
          </w:tcPr>
          <w:p w14:paraId="6E3DD58E" w14:textId="4C7B2DAB" w:rsidR="00E213C9" w:rsidRPr="00EB525E" w:rsidRDefault="00E213C9" w:rsidP="00E213C9">
            <w:pPr>
              <w:pStyle w:val="TableText"/>
              <w:tabs>
                <w:tab w:val="left" w:pos="2904"/>
              </w:tabs>
              <w:spacing w:after="120"/>
              <w:rPr>
                <w:rFonts w:cs="Calibri"/>
                <w:bCs/>
              </w:rPr>
            </w:pPr>
          </w:p>
        </w:tc>
      </w:tr>
      <w:tr w:rsidR="00E213C9" w:rsidRPr="00CF7E1B" w14:paraId="4BDBA295" w14:textId="77777777" w:rsidTr="002F4A89">
        <w:trPr>
          <w:cantSplit/>
        </w:trPr>
        <w:tc>
          <w:tcPr>
            <w:tcW w:w="745" w:type="pct"/>
            <w:tcBorders>
              <w:top w:val="nil"/>
              <w:left w:val="single" w:sz="2" w:space="0" w:color="auto"/>
              <w:bottom w:val="nil"/>
              <w:right w:val="single" w:sz="2" w:space="0" w:color="auto"/>
            </w:tcBorders>
          </w:tcPr>
          <w:p w14:paraId="6B3A327F" w14:textId="6B6CBCD3" w:rsidR="00E213C9" w:rsidRPr="00EB525E" w:rsidRDefault="00E213C9" w:rsidP="00E213C9">
            <w:pPr>
              <w:pStyle w:val="TableReference"/>
              <w:tabs>
                <w:tab w:val="left" w:pos="3306"/>
              </w:tabs>
              <w:spacing w:before="60"/>
              <w:rPr>
                <w:rFonts w:cs="Calibri"/>
                <w:color w:val="7030A0"/>
                <w:sz w:val="14"/>
              </w:rPr>
            </w:pPr>
            <w:r w:rsidRPr="00EB525E">
              <w:rPr>
                <w:rFonts w:cs="Calibri"/>
                <w:color w:val="7030A0"/>
                <w:sz w:val="14"/>
              </w:rPr>
              <w:t>AASB 16.90(b)</w:t>
            </w:r>
          </w:p>
        </w:tc>
        <w:tc>
          <w:tcPr>
            <w:tcW w:w="2944" w:type="pct"/>
            <w:tcBorders>
              <w:top w:val="nil"/>
              <w:left w:val="single" w:sz="2" w:space="0" w:color="auto"/>
              <w:bottom w:val="nil"/>
              <w:right w:val="nil"/>
            </w:tcBorders>
            <w:vAlign w:val="bottom"/>
          </w:tcPr>
          <w:p w14:paraId="32B01498" w14:textId="63C12DE2" w:rsidR="00E213C9" w:rsidRPr="00EB525E" w:rsidRDefault="00E213C9" w:rsidP="00E213C9">
            <w:pPr>
              <w:pStyle w:val="TableText"/>
              <w:tabs>
                <w:tab w:val="left" w:pos="2904"/>
              </w:tabs>
              <w:spacing w:after="120"/>
              <w:rPr>
                <w:rFonts w:cs="Calibri"/>
                <w:bCs/>
              </w:rPr>
            </w:pPr>
            <w:r w:rsidRPr="00EB525E">
              <w:rPr>
                <w:rFonts w:cstheme="minorHAnsi"/>
              </w:rPr>
              <w:t>Operating Lease income relating to variable lease payments not dependent on an index or a rate</w:t>
            </w:r>
          </w:p>
        </w:tc>
        <w:tc>
          <w:tcPr>
            <w:tcW w:w="594" w:type="pct"/>
            <w:tcBorders>
              <w:top w:val="nil"/>
              <w:left w:val="nil"/>
              <w:bottom w:val="nil"/>
              <w:right w:val="nil"/>
            </w:tcBorders>
            <w:vAlign w:val="bottom"/>
          </w:tcPr>
          <w:p w14:paraId="2812D8C5" w14:textId="77777777" w:rsidR="00E213C9" w:rsidRPr="00EB525E" w:rsidRDefault="00E213C9" w:rsidP="00E213C9">
            <w:pPr>
              <w:pStyle w:val="TableText"/>
              <w:tabs>
                <w:tab w:val="left" w:pos="2904"/>
              </w:tabs>
              <w:spacing w:after="120"/>
              <w:rPr>
                <w:rFonts w:cs="Calibri"/>
                <w:bCs/>
              </w:rPr>
            </w:pPr>
          </w:p>
        </w:tc>
        <w:tc>
          <w:tcPr>
            <w:tcW w:w="717" w:type="pct"/>
            <w:tcBorders>
              <w:top w:val="nil"/>
              <w:left w:val="nil"/>
              <w:bottom w:val="nil"/>
              <w:right w:val="nil"/>
            </w:tcBorders>
            <w:vAlign w:val="bottom"/>
          </w:tcPr>
          <w:p w14:paraId="7612D754" w14:textId="77777777" w:rsidR="00E213C9" w:rsidRPr="00EB525E" w:rsidRDefault="00E213C9" w:rsidP="00E213C9">
            <w:pPr>
              <w:pStyle w:val="TableText"/>
              <w:tabs>
                <w:tab w:val="left" w:pos="2904"/>
              </w:tabs>
              <w:spacing w:after="120"/>
              <w:rPr>
                <w:rFonts w:cs="Calibri"/>
                <w:bCs/>
              </w:rPr>
            </w:pPr>
          </w:p>
        </w:tc>
      </w:tr>
      <w:tr w:rsidR="00E213C9" w:rsidRPr="00CF7E1B" w14:paraId="5F22C268" w14:textId="77777777" w:rsidTr="002F4A89">
        <w:trPr>
          <w:cantSplit/>
        </w:trPr>
        <w:tc>
          <w:tcPr>
            <w:tcW w:w="745" w:type="pct"/>
            <w:tcBorders>
              <w:top w:val="nil"/>
              <w:left w:val="single" w:sz="2" w:space="0" w:color="auto"/>
              <w:bottom w:val="nil"/>
              <w:right w:val="single" w:sz="2" w:space="0" w:color="auto"/>
            </w:tcBorders>
          </w:tcPr>
          <w:p w14:paraId="502A0039" w14:textId="77777777" w:rsidR="00E213C9" w:rsidRPr="00EB525E" w:rsidRDefault="00E213C9" w:rsidP="00E213C9">
            <w:pPr>
              <w:pStyle w:val="TableReference"/>
              <w:tabs>
                <w:tab w:val="left" w:pos="3306"/>
              </w:tabs>
              <w:spacing w:before="60"/>
              <w:rPr>
                <w:rFonts w:cs="Calibri"/>
                <w:color w:val="7030A0"/>
                <w:sz w:val="14"/>
              </w:rPr>
            </w:pPr>
          </w:p>
        </w:tc>
        <w:tc>
          <w:tcPr>
            <w:tcW w:w="4255" w:type="pct"/>
            <w:gridSpan w:val="3"/>
            <w:tcBorders>
              <w:top w:val="nil"/>
              <w:left w:val="single" w:sz="2" w:space="0" w:color="auto"/>
              <w:bottom w:val="nil"/>
              <w:right w:val="nil"/>
            </w:tcBorders>
            <w:vAlign w:val="bottom"/>
          </w:tcPr>
          <w:p w14:paraId="1B619EF9" w14:textId="77777777" w:rsidR="00E213C9" w:rsidRDefault="00E213C9" w:rsidP="007122BC">
            <w:pPr>
              <w:pStyle w:val="TableText"/>
              <w:numPr>
                <w:ilvl w:val="2"/>
                <w:numId w:val="23"/>
              </w:numPr>
              <w:tabs>
                <w:tab w:val="clear" w:pos="2082"/>
                <w:tab w:val="num" w:pos="1738"/>
                <w:tab w:val="left" w:pos="2904"/>
              </w:tabs>
              <w:ind w:left="462"/>
              <w:jc w:val="both"/>
              <w:rPr>
                <w:rFonts w:cs="Calibri"/>
                <w:bCs/>
              </w:rPr>
            </w:pPr>
            <w:r w:rsidRPr="00EB525E">
              <w:rPr>
                <w:rFonts w:cs="Calibri"/>
                <w:bCs/>
              </w:rPr>
              <w:t>The increase in interest</w:t>
            </w:r>
            <w:r w:rsidRPr="00EB525E">
              <w:rPr>
                <w:rFonts w:cs="Calibri"/>
              </w:rPr>
              <w:t xml:space="preserve"> </w:t>
            </w:r>
            <w:r w:rsidRPr="00EB525E">
              <w:rPr>
                <w:rFonts w:cs="Calibri"/>
                <w:bCs/>
              </w:rPr>
              <w:t>received from loan receivable of $</w:t>
            </w:r>
            <w:r w:rsidR="00EB525E">
              <w:rPr>
                <w:rFonts w:cs="Calibri"/>
                <w:bCs/>
              </w:rPr>
              <w:t>xxx</w:t>
            </w:r>
            <w:r w:rsidRPr="00EB525E">
              <w:rPr>
                <w:rFonts w:cs="Calibri"/>
                <w:bCs/>
              </w:rPr>
              <w:t xml:space="preserve"> reflects the issuing of more loans under the </w:t>
            </w:r>
            <w:r w:rsidRPr="00EB525E">
              <w:t>‘Example Home Loan Scheme’</w:t>
            </w:r>
            <w:r w:rsidRPr="00EB525E">
              <w:rPr>
                <w:rFonts w:cs="Calibri"/>
                <w:bCs/>
              </w:rPr>
              <w:t xml:space="preserve"> due to an increased demand for the scheme throughout the reporting period.</w:t>
            </w:r>
          </w:p>
          <w:p w14:paraId="746844C2" w14:textId="23AC1300" w:rsidR="007770B1" w:rsidRPr="007B316A" w:rsidRDefault="007770B1" w:rsidP="007770B1">
            <w:pPr>
              <w:rPr>
                <w:sz w:val="20"/>
                <w:szCs w:val="20"/>
              </w:rPr>
            </w:pPr>
          </w:p>
        </w:tc>
      </w:tr>
      <w:tr w:rsidR="00E213C9" w:rsidRPr="00CF7E1B" w14:paraId="0E6BFB2F" w14:textId="77777777" w:rsidTr="002F4A89">
        <w:trPr>
          <w:cantSplit/>
          <w:trHeight w:val="566"/>
        </w:trPr>
        <w:tc>
          <w:tcPr>
            <w:tcW w:w="745" w:type="pct"/>
            <w:tcBorders>
              <w:top w:val="nil"/>
              <w:left w:val="single" w:sz="2" w:space="0" w:color="auto"/>
              <w:bottom w:val="nil"/>
              <w:right w:val="single" w:sz="2" w:space="0" w:color="auto"/>
            </w:tcBorders>
          </w:tcPr>
          <w:p w14:paraId="2960CE13" w14:textId="00A49F4C" w:rsidR="00E213C9" w:rsidRPr="00685DB3" w:rsidRDefault="00E213C9" w:rsidP="00E213C9">
            <w:pPr>
              <w:pStyle w:val="TableReference"/>
              <w:tabs>
                <w:tab w:val="left" w:pos="3306"/>
              </w:tabs>
              <w:spacing w:before="240" w:after="240"/>
              <w:rPr>
                <w:strike/>
                <w:color w:val="7030A0"/>
                <w:sz w:val="20"/>
                <w:szCs w:val="20"/>
              </w:rPr>
            </w:pPr>
          </w:p>
        </w:tc>
        <w:tc>
          <w:tcPr>
            <w:tcW w:w="4255" w:type="pct"/>
            <w:gridSpan w:val="3"/>
            <w:tcBorders>
              <w:top w:val="nil"/>
              <w:left w:val="single" w:sz="2" w:space="0" w:color="auto"/>
              <w:bottom w:val="nil"/>
              <w:right w:val="nil"/>
            </w:tcBorders>
            <w:shd w:val="clear" w:color="auto" w:fill="7030A0"/>
          </w:tcPr>
          <w:p w14:paraId="5AEE98E2" w14:textId="1B4E01BC" w:rsidR="00E213C9" w:rsidRPr="00685DB3" w:rsidRDefault="00E213C9" w:rsidP="00E213C9">
            <w:pPr>
              <w:pStyle w:val="TableText"/>
              <w:tabs>
                <w:tab w:val="left" w:pos="2904"/>
              </w:tabs>
              <w:spacing w:before="240" w:after="240"/>
              <w:rPr>
                <w:rFonts w:cs="Calibri"/>
                <w:b/>
                <w:bCs/>
                <w:color w:val="FFFFFF" w:themeColor="background1"/>
                <w:sz w:val="28"/>
                <w:szCs w:val="28"/>
              </w:rPr>
            </w:pPr>
            <w:r w:rsidRPr="00685DB3">
              <w:rPr>
                <w:rFonts w:cs="Calibri"/>
                <w:b/>
                <w:bCs/>
                <w:color w:val="FFFFFF" w:themeColor="background1"/>
                <w:sz w:val="28"/>
                <w:szCs w:val="28"/>
              </w:rPr>
              <w:t xml:space="preserve">Commentary – Note 7: Investment </w:t>
            </w:r>
            <w:r w:rsidR="003879D7">
              <w:rPr>
                <w:rFonts w:cs="Calibri"/>
                <w:b/>
                <w:bCs/>
                <w:color w:val="FFFFFF" w:themeColor="background1"/>
                <w:sz w:val="28"/>
                <w:szCs w:val="28"/>
              </w:rPr>
              <w:t xml:space="preserve">and Interest </w:t>
            </w:r>
            <w:r w:rsidRPr="00685DB3">
              <w:rPr>
                <w:rFonts w:cs="Calibri"/>
                <w:b/>
                <w:bCs/>
                <w:color w:val="FFFFFF" w:themeColor="background1"/>
                <w:sz w:val="28"/>
                <w:szCs w:val="28"/>
              </w:rPr>
              <w:t>Revenue</w:t>
            </w:r>
          </w:p>
        </w:tc>
      </w:tr>
      <w:tr w:rsidR="00E213C9" w:rsidRPr="00CF7E1B" w14:paraId="02BFBD22" w14:textId="77777777" w:rsidTr="002F4A89">
        <w:trPr>
          <w:cantSplit/>
        </w:trPr>
        <w:tc>
          <w:tcPr>
            <w:tcW w:w="745" w:type="pct"/>
            <w:tcBorders>
              <w:top w:val="nil"/>
              <w:left w:val="single" w:sz="2" w:space="0" w:color="auto"/>
              <w:bottom w:val="nil"/>
              <w:right w:val="single" w:sz="2" w:space="0" w:color="auto"/>
            </w:tcBorders>
          </w:tcPr>
          <w:p w14:paraId="254D6E8D" w14:textId="77777777" w:rsidR="00E213C9" w:rsidRPr="00685DB3" w:rsidRDefault="00E213C9" w:rsidP="00E213C9">
            <w:pPr>
              <w:pStyle w:val="TableReference"/>
              <w:tabs>
                <w:tab w:val="left" w:pos="3306"/>
              </w:tabs>
              <w:spacing w:before="60"/>
              <w:rPr>
                <w:rFonts w:cs="Calibri"/>
                <w:color w:val="7030A0"/>
                <w:sz w:val="14"/>
              </w:rPr>
            </w:pPr>
          </w:p>
        </w:tc>
        <w:tc>
          <w:tcPr>
            <w:tcW w:w="4255" w:type="pct"/>
            <w:gridSpan w:val="3"/>
            <w:tcBorders>
              <w:top w:val="nil"/>
              <w:left w:val="single" w:sz="2" w:space="0" w:color="auto"/>
              <w:bottom w:val="nil"/>
              <w:right w:val="nil"/>
            </w:tcBorders>
            <w:shd w:val="clear" w:color="auto" w:fill="7030A0"/>
            <w:vAlign w:val="bottom"/>
          </w:tcPr>
          <w:p w14:paraId="2696D03F" w14:textId="62F48567" w:rsidR="00E213C9" w:rsidRPr="00C34A6F" w:rsidRDefault="00E213C9" w:rsidP="00E213C9">
            <w:pPr>
              <w:spacing w:after="40"/>
              <w:jc w:val="both"/>
              <w:rPr>
                <w:b/>
                <w:bCs/>
                <w:strike/>
                <w:color w:val="FFFFFF" w:themeColor="background1"/>
                <w:sz w:val="20"/>
                <w:szCs w:val="20"/>
              </w:rPr>
            </w:pPr>
            <w:r w:rsidRPr="00C34A6F">
              <w:rPr>
                <w:b/>
                <w:bCs/>
                <w:color w:val="FFFFFF" w:themeColor="background1"/>
                <w:sz w:val="20"/>
                <w:szCs w:val="20"/>
              </w:rPr>
              <w:t>Whole-of-Government Banking Arrangements</w:t>
            </w:r>
          </w:p>
        </w:tc>
      </w:tr>
      <w:tr w:rsidR="00E213C9" w:rsidRPr="00CF7E1B" w14:paraId="4F039A9C" w14:textId="77777777" w:rsidTr="002F4A89">
        <w:trPr>
          <w:cantSplit/>
        </w:trPr>
        <w:tc>
          <w:tcPr>
            <w:tcW w:w="745" w:type="pct"/>
            <w:tcBorders>
              <w:top w:val="nil"/>
              <w:left w:val="single" w:sz="2" w:space="0" w:color="auto"/>
              <w:bottom w:val="nil"/>
              <w:right w:val="single" w:sz="2" w:space="0" w:color="auto"/>
            </w:tcBorders>
          </w:tcPr>
          <w:p w14:paraId="0ED33CCE" w14:textId="31E4EEDF" w:rsidR="00E213C9" w:rsidRPr="00685DB3" w:rsidRDefault="00E213C9" w:rsidP="00E213C9">
            <w:pPr>
              <w:pStyle w:val="TableReference"/>
              <w:tabs>
                <w:tab w:val="left" w:pos="3306"/>
              </w:tabs>
              <w:spacing w:before="60"/>
              <w:rPr>
                <w:rFonts w:cs="Calibri"/>
                <w:color w:val="7030A0"/>
                <w:sz w:val="14"/>
              </w:rPr>
            </w:pPr>
            <w:r w:rsidRPr="00685DB3">
              <w:rPr>
                <w:rFonts w:cs="Calibri"/>
                <w:color w:val="7030A0"/>
                <w:sz w:val="14"/>
              </w:rPr>
              <w:t>AASB 9.5.4.1</w:t>
            </w:r>
          </w:p>
        </w:tc>
        <w:tc>
          <w:tcPr>
            <w:tcW w:w="4255" w:type="pct"/>
            <w:gridSpan w:val="3"/>
            <w:tcBorders>
              <w:top w:val="nil"/>
              <w:left w:val="single" w:sz="2" w:space="0" w:color="auto"/>
              <w:bottom w:val="nil"/>
              <w:right w:val="nil"/>
            </w:tcBorders>
            <w:shd w:val="clear" w:color="auto" w:fill="7030A0"/>
            <w:vAlign w:val="bottom"/>
          </w:tcPr>
          <w:p w14:paraId="58D06D72" w14:textId="355F4F37" w:rsidR="00E213C9" w:rsidRPr="00685DB3" w:rsidRDefault="00E213C9" w:rsidP="00E213C9">
            <w:pPr>
              <w:spacing w:after="120"/>
              <w:jc w:val="both"/>
              <w:rPr>
                <w:strike/>
                <w:color w:val="FFFFFF" w:themeColor="background1"/>
                <w:sz w:val="18"/>
                <w:szCs w:val="18"/>
              </w:rPr>
            </w:pPr>
            <w:r w:rsidRPr="00685DB3">
              <w:rPr>
                <w:color w:val="FFFFFF" w:themeColor="background1"/>
                <w:sz w:val="18"/>
                <w:szCs w:val="18"/>
              </w:rPr>
              <w:t>Agencies can have either set-off or non set-off bank accounts through the Territory Banking Account with Westpac as part of the Whole-of-Government Banking Arrangement.</w:t>
            </w:r>
            <w:r w:rsidR="00FA7C77">
              <w:rPr>
                <w:color w:val="FFFFFF" w:themeColor="background1"/>
                <w:sz w:val="18"/>
                <w:szCs w:val="18"/>
              </w:rPr>
              <w:t xml:space="preserve"> </w:t>
            </w:r>
            <w:r w:rsidRPr="00685DB3">
              <w:rPr>
                <w:color w:val="FFFFFF" w:themeColor="background1"/>
                <w:sz w:val="18"/>
                <w:szCs w:val="18"/>
              </w:rPr>
              <w:t>Agencies that have set-off bank accounts will not earn interest on the funds in those accounts. However, agencies that have set-off bank accounts will earn interest on the funds in those accounts which should be recorded in this note.</w:t>
            </w:r>
            <w:r w:rsidR="00FA7C77">
              <w:rPr>
                <w:color w:val="FFFFFF" w:themeColor="background1"/>
                <w:sz w:val="18"/>
                <w:szCs w:val="18"/>
              </w:rPr>
              <w:t xml:space="preserve"> </w:t>
            </w:r>
            <w:r w:rsidRPr="00685DB3">
              <w:rPr>
                <w:color w:val="FFFFFF" w:themeColor="background1"/>
                <w:sz w:val="18"/>
                <w:szCs w:val="18"/>
              </w:rPr>
              <w:t xml:space="preserve"> Where this is the case agencies should measure interest revenue using the effective interest method and should disclose this fact under the ‘Description and Material Accounting Policies relating to Investment and Interest Revenue’ heading in the Investment Revenue Note.</w:t>
            </w:r>
          </w:p>
        </w:tc>
      </w:tr>
      <w:tr w:rsidR="00E213C9" w:rsidRPr="00CF7E1B" w14:paraId="00B87BA5" w14:textId="77777777" w:rsidTr="002F4A89">
        <w:trPr>
          <w:cantSplit/>
        </w:trPr>
        <w:tc>
          <w:tcPr>
            <w:tcW w:w="745" w:type="pct"/>
            <w:tcBorders>
              <w:top w:val="nil"/>
              <w:left w:val="single" w:sz="2" w:space="0" w:color="auto"/>
              <w:bottom w:val="nil"/>
              <w:right w:val="single" w:sz="2" w:space="0" w:color="auto"/>
            </w:tcBorders>
          </w:tcPr>
          <w:p w14:paraId="59B15797" w14:textId="77777777" w:rsidR="00E213C9" w:rsidRPr="00685DB3" w:rsidRDefault="00E213C9" w:rsidP="00E213C9">
            <w:pPr>
              <w:pStyle w:val="TableReference"/>
              <w:tabs>
                <w:tab w:val="left" w:pos="3306"/>
              </w:tabs>
              <w:spacing w:before="60"/>
              <w:rPr>
                <w:rFonts w:cs="Calibri"/>
                <w:color w:val="7030A0"/>
                <w:sz w:val="14"/>
              </w:rPr>
            </w:pPr>
          </w:p>
        </w:tc>
        <w:tc>
          <w:tcPr>
            <w:tcW w:w="4255" w:type="pct"/>
            <w:gridSpan w:val="3"/>
            <w:tcBorders>
              <w:top w:val="nil"/>
              <w:left w:val="single" w:sz="2" w:space="0" w:color="auto"/>
              <w:bottom w:val="nil"/>
              <w:right w:val="nil"/>
            </w:tcBorders>
            <w:shd w:val="clear" w:color="auto" w:fill="7030A0"/>
            <w:vAlign w:val="bottom"/>
          </w:tcPr>
          <w:p w14:paraId="037A2A61" w14:textId="6EA4C99E" w:rsidR="00E213C9" w:rsidRPr="00C34A6F" w:rsidRDefault="00E213C9" w:rsidP="00E213C9">
            <w:pPr>
              <w:spacing w:after="40"/>
              <w:jc w:val="both"/>
              <w:rPr>
                <w:b/>
                <w:bCs/>
                <w:color w:val="FFFFFF" w:themeColor="background1"/>
                <w:sz w:val="20"/>
                <w:szCs w:val="20"/>
              </w:rPr>
            </w:pPr>
            <w:r w:rsidRPr="00C34A6F">
              <w:rPr>
                <w:rFonts w:cs="Calibri"/>
                <w:b/>
                <w:bCs/>
                <w:color w:val="FFFFFF" w:themeColor="background1"/>
                <w:sz w:val="20"/>
                <w:szCs w:val="20"/>
              </w:rPr>
              <w:t>Income from Investment Property</w:t>
            </w:r>
          </w:p>
        </w:tc>
      </w:tr>
      <w:tr w:rsidR="00E213C9" w:rsidRPr="00CF7E1B" w14:paraId="05686A7C" w14:textId="77777777" w:rsidTr="002F4A89">
        <w:trPr>
          <w:cantSplit/>
        </w:trPr>
        <w:tc>
          <w:tcPr>
            <w:tcW w:w="745" w:type="pct"/>
            <w:tcBorders>
              <w:top w:val="nil"/>
              <w:left w:val="single" w:sz="2" w:space="0" w:color="auto"/>
              <w:bottom w:val="nil"/>
              <w:right w:val="single" w:sz="2" w:space="0" w:color="auto"/>
            </w:tcBorders>
          </w:tcPr>
          <w:p w14:paraId="6D0A983B" w14:textId="64E1D6C4" w:rsidR="00E213C9" w:rsidRPr="00685DB3" w:rsidRDefault="00E213C9" w:rsidP="00E213C9">
            <w:pPr>
              <w:pStyle w:val="TableReference"/>
              <w:tabs>
                <w:tab w:val="left" w:pos="3306"/>
              </w:tabs>
              <w:spacing w:before="60"/>
              <w:rPr>
                <w:rFonts w:cs="Calibri"/>
                <w:color w:val="7030A0"/>
                <w:sz w:val="14"/>
              </w:rPr>
            </w:pPr>
            <w:r w:rsidRPr="00685DB3">
              <w:rPr>
                <w:rFonts w:cs="Calibri"/>
                <w:color w:val="7030A0"/>
                <w:sz w:val="14"/>
              </w:rPr>
              <w:t>ACT Disclosure Policy</w:t>
            </w:r>
          </w:p>
        </w:tc>
        <w:tc>
          <w:tcPr>
            <w:tcW w:w="4255" w:type="pct"/>
            <w:gridSpan w:val="3"/>
            <w:tcBorders>
              <w:top w:val="nil"/>
              <w:left w:val="single" w:sz="2" w:space="0" w:color="auto"/>
              <w:bottom w:val="nil"/>
              <w:right w:val="nil"/>
            </w:tcBorders>
            <w:shd w:val="clear" w:color="auto" w:fill="7030A0"/>
          </w:tcPr>
          <w:p w14:paraId="4A7F0179" w14:textId="41CEEB8C" w:rsidR="00E213C9" w:rsidRPr="00685DB3" w:rsidRDefault="00E213C9" w:rsidP="007770B1">
            <w:pPr>
              <w:spacing w:after="120"/>
              <w:jc w:val="both"/>
              <w:rPr>
                <w:strike/>
                <w:color w:val="FFFFFF" w:themeColor="background1"/>
                <w:sz w:val="18"/>
                <w:szCs w:val="18"/>
              </w:rPr>
            </w:pPr>
            <w:r w:rsidRPr="00685DB3">
              <w:rPr>
                <w:rFonts w:cs="Calibri"/>
                <w:color w:val="FFFFFF" w:themeColor="background1"/>
                <w:sz w:val="18"/>
                <w:szCs w:val="18"/>
              </w:rPr>
              <w:t>This note includes income earned from both owned investment property through head leases and income earned through sub-lease arrangements.</w:t>
            </w:r>
          </w:p>
        </w:tc>
      </w:tr>
    </w:tbl>
    <w:p w14:paraId="072BFB1D" w14:textId="4DA3FC2D" w:rsidR="00685DB3" w:rsidRDefault="00685DB3"/>
    <w:p w14:paraId="270E2B3B" w14:textId="5E514848" w:rsidR="00685DB3" w:rsidRDefault="00685DB3">
      <w:r>
        <w:br w:type="page"/>
      </w:r>
    </w:p>
    <w:tbl>
      <w:tblPr>
        <w:tblW w:w="5128" w:type="pct"/>
        <w:tblInd w:w="-6" w:type="dxa"/>
        <w:tblLook w:val="00A0" w:firstRow="1" w:lastRow="0" w:firstColumn="1" w:lastColumn="0" w:noHBand="0" w:noVBand="0"/>
      </w:tblPr>
      <w:tblGrid>
        <w:gridCol w:w="1564"/>
        <w:gridCol w:w="6376"/>
        <w:gridCol w:w="134"/>
        <w:gridCol w:w="1140"/>
        <w:gridCol w:w="1280"/>
      </w:tblGrid>
      <w:tr w:rsidR="000144FF" w:rsidRPr="00CF7E1B" w14:paraId="715FD196" w14:textId="77777777" w:rsidTr="002F4A89">
        <w:trPr>
          <w:cantSplit/>
        </w:trPr>
        <w:tc>
          <w:tcPr>
            <w:tcW w:w="745" w:type="pct"/>
            <w:tcBorders>
              <w:left w:val="single" w:sz="2" w:space="0" w:color="auto"/>
              <w:right w:val="single" w:sz="2" w:space="0" w:color="auto"/>
            </w:tcBorders>
          </w:tcPr>
          <w:p w14:paraId="01D1B3AB" w14:textId="4690B7CF" w:rsidR="000144FF" w:rsidRPr="00685DB3" w:rsidRDefault="00685DB3" w:rsidP="00A23E0E">
            <w:pPr>
              <w:pStyle w:val="TableReference"/>
              <w:tabs>
                <w:tab w:val="left" w:pos="3306"/>
              </w:tabs>
              <w:spacing w:before="240" w:after="240"/>
              <w:rPr>
                <w:rFonts w:cs="Calibri"/>
                <w:b/>
                <w:color w:val="7030A0"/>
                <w:sz w:val="22"/>
                <w:szCs w:val="22"/>
              </w:rPr>
            </w:pPr>
            <w:bookmarkStart w:id="371" w:name="InvGains" w:colFirst="1" w:colLast="1"/>
            <w:r w:rsidRPr="00685DB3">
              <w:rPr>
                <w:rFonts w:cs="Calibri"/>
                <w:b/>
                <w:color w:val="7030A0"/>
                <w:sz w:val="22"/>
                <w:szCs w:val="22"/>
              </w:rPr>
              <w:t>Reference</w:t>
            </w:r>
          </w:p>
        </w:tc>
        <w:tc>
          <w:tcPr>
            <w:tcW w:w="4255" w:type="pct"/>
            <w:gridSpan w:val="4"/>
            <w:tcBorders>
              <w:left w:val="single" w:sz="2" w:space="0" w:color="auto"/>
            </w:tcBorders>
          </w:tcPr>
          <w:p w14:paraId="64E647DD" w14:textId="4784C1B0" w:rsidR="000144FF" w:rsidRPr="00685DB3" w:rsidRDefault="008D058C" w:rsidP="00F14B06">
            <w:pPr>
              <w:pStyle w:val="Heading1"/>
              <w:numPr>
                <w:ilvl w:val="0"/>
                <w:numId w:val="0"/>
              </w:numPr>
            </w:pPr>
            <w:bookmarkStart w:id="372" w:name="OLE_LINK13"/>
            <w:bookmarkStart w:id="373" w:name="_Toc400627327"/>
            <w:bookmarkStart w:id="374" w:name="_Toc98763073"/>
            <w:r w:rsidRPr="00685DB3">
              <w:t xml:space="preserve">Note </w:t>
            </w:r>
            <w:r w:rsidR="003A4053" w:rsidRPr="00685DB3">
              <w:t>8</w:t>
            </w:r>
            <w:r w:rsidR="00DE4F6D" w:rsidRPr="00685DB3">
              <w:t>.</w:t>
            </w:r>
            <w:r w:rsidR="00FA7C77">
              <w:t xml:space="preserve"> </w:t>
            </w:r>
            <w:r w:rsidR="00DE4F6D" w:rsidRPr="00685DB3">
              <w:t xml:space="preserve"> </w:t>
            </w:r>
            <w:r w:rsidR="000144FF" w:rsidRPr="00685DB3">
              <w:t>Gains</w:t>
            </w:r>
            <w:bookmarkEnd w:id="372"/>
            <w:bookmarkEnd w:id="373"/>
            <w:r w:rsidR="00F14B06" w:rsidRPr="00685DB3">
              <w:t xml:space="preserve"> </w:t>
            </w:r>
            <w:r w:rsidR="00544E36" w:rsidRPr="00685DB3">
              <w:t>from Disposals, De</w:t>
            </w:r>
            <w:r w:rsidRPr="00685DB3">
              <w:t>Recognition and Re</w:t>
            </w:r>
            <w:r w:rsidR="00544E36" w:rsidRPr="00685DB3">
              <w:t>Measur</w:t>
            </w:r>
            <w:r w:rsidR="000F5D3D" w:rsidRPr="00685DB3">
              <w:t>ement</w:t>
            </w:r>
            <w:r w:rsidR="00544E36" w:rsidRPr="00685DB3">
              <w:t xml:space="preserve"> of Assets</w:t>
            </w:r>
            <w:bookmarkEnd w:id="374"/>
          </w:p>
        </w:tc>
      </w:tr>
      <w:tr w:rsidR="00AB6A06" w:rsidRPr="00F95AFF" w14:paraId="1BDC9C5C" w14:textId="77777777" w:rsidTr="002F4A89">
        <w:trPr>
          <w:cantSplit/>
        </w:trPr>
        <w:tc>
          <w:tcPr>
            <w:tcW w:w="745" w:type="pct"/>
            <w:tcBorders>
              <w:left w:val="single" w:sz="2" w:space="0" w:color="auto"/>
              <w:right w:val="single" w:sz="2" w:space="0" w:color="auto"/>
            </w:tcBorders>
          </w:tcPr>
          <w:p w14:paraId="63A068F6" w14:textId="77777777" w:rsidR="00AB6A06" w:rsidRPr="00685DB3" w:rsidRDefault="00AB6A06" w:rsidP="00F95AFF">
            <w:pPr>
              <w:pStyle w:val="TableReference"/>
              <w:tabs>
                <w:tab w:val="left" w:pos="3306"/>
              </w:tabs>
              <w:rPr>
                <w:rFonts w:cs="Calibri"/>
                <w:color w:val="7030A0"/>
                <w:sz w:val="18"/>
                <w:szCs w:val="18"/>
              </w:rPr>
            </w:pPr>
          </w:p>
        </w:tc>
        <w:tc>
          <w:tcPr>
            <w:tcW w:w="4255" w:type="pct"/>
            <w:gridSpan w:val="4"/>
            <w:tcBorders>
              <w:left w:val="single" w:sz="2" w:space="0" w:color="auto"/>
            </w:tcBorders>
          </w:tcPr>
          <w:p w14:paraId="1BE784C1" w14:textId="5008B5B0" w:rsidR="00AB6A06" w:rsidRPr="00685DB3" w:rsidRDefault="006C49B2" w:rsidP="00F95AFF">
            <w:pPr>
              <w:pStyle w:val="Heading1"/>
              <w:numPr>
                <w:ilvl w:val="0"/>
                <w:numId w:val="0"/>
              </w:numPr>
              <w:spacing w:before="0" w:after="0"/>
              <w:rPr>
                <w:rFonts w:ascii="Calibri" w:hAnsi="Calibri" w:cs="Calibri"/>
                <w:b w:val="0"/>
                <w:bCs w:val="0"/>
                <w:i/>
                <w:iCs/>
                <w:caps w:val="0"/>
                <w:sz w:val="18"/>
                <w:szCs w:val="18"/>
              </w:rPr>
            </w:pPr>
            <w:bookmarkStart w:id="375" w:name="_Toc98763074"/>
            <w:r w:rsidRPr="00685DB3">
              <w:rPr>
                <w:rFonts w:ascii="Calibri" w:hAnsi="Calibri"/>
                <w:caps w:val="0"/>
                <w:sz w:val="18"/>
                <w:szCs w:val="18"/>
              </w:rPr>
              <w:t xml:space="preserve">Description and </w:t>
            </w:r>
            <w:r w:rsidR="00AB6A06" w:rsidRPr="00685DB3">
              <w:rPr>
                <w:rFonts w:ascii="Calibri" w:hAnsi="Calibri"/>
                <w:caps w:val="0"/>
                <w:sz w:val="18"/>
                <w:szCs w:val="18"/>
              </w:rPr>
              <w:t xml:space="preserve">Material Accounting Policies Relating to </w:t>
            </w:r>
            <w:bookmarkStart w:id="376" w:name="_Hlk90635608"/>
            <w:r w:rsidR="00AB6A06" w:rsidRPr="00685DB3">
              <w:rPr>
                <w:rFonts w:ascii="Calibri" w:hAnsi="Calibri"/>
                <w:caps w:val="0"/>
                <w:sz w:val="18"/>
                <w:szCs w:val="18"/>
              </w:rPr>
              <w:t>Gains from Disposals, Derecognition and Remeasurement of Assets</w:t>
            </w:r>
            <w:bookmarkEnd w:id="376"/>
            <w:bookmarkEnd w:id="375"/>
          </w:p>
        </w:tc>
      </w:tr>
      <w:tr w:rsidR="00F95AFF" w:rsidRPr="00F95AFF" w14:paraId="0B048C21" w14:textId="77777777" w:rsidTr="002F4A89">
        <w:trPr>
          <w:cantSplit/>
        </w:trPr>
        <w:tc>
          <w:tcPr>
            <w:tcW w:w="745" w:type="pct"/>
            <w:tcBorders>
              <w:left w:val="single" w:sz="2" w:space="0" w:color="auto"/>
              <w:right w:val="single" w:sz="2" w:space="0" w:color="auto"/>
            </w:tcBorders>
          </w:tcPr>
          <w:p w14:paraId="127D85D6" w14:textId="77777777" w:rsidR="00F95AFF" w:rsidRPr="00685DB3" w:rsidRDefault="00F95AFF" w:rsidP="00F95AFF">
            <w:pPr>
              <w:pStyle w:val="TableReference"/>
              <w:tabs>
                <w:tab w:val="left" w:pos="3306"/>
              </w:tabs>
              <w:rPr>
                <w:rFonts w:cs="Calibri"/>
                <w:color w:val="7030A0"/>
                <w:sz w:val="18"/>
                <w:szCs w:val="18"/>
              </w:rPr>
            </w:pPr>
          </w:p>
        </w:tc>
        <w:tc>
          <w:tcPr>
            <w:tcW w:w="4255" w:type="pct"/>
            <w:gridSpan w:val="4"/>
            <w:tcBorders>
              <w:left w:val="single" w:sz="2" w:space="0" w:color="auto"/>
            </w:tcBorders>
          </w:tcPr>
          <w:p w14:paraId="74841AC9" w14:textId="1A757F83" w:rsidR="00F95AFF" w:rsidRPr="00685DB3" w:rsidRDefault="00F95AFF" w:rsidP="0097680B">
            <w:pPr>
              <w:pStyle w:val="Heading1"/>
              <w:numPr>
                <w:ilvl w:val="0"/>
                <w:numId w:val="0"/>
              </w:numPr>
              <w:spacing w:before="120" w:after="40"/>
              <w:rPr>
                <w:rFonts w:ascii="Calibri" w:hAnsi="Calibri" w:cs="Calibri"/>
                <w:b w:val="0"/>
                <w:bCs w:val="0"/>
                <w:i/>
                <w:iCs/>
                <w:caps w:val="0"/>
                <w:sz w:val="18"/>
                <w:szCs w:val="18"/>
              </w:rPr>
            </w:pPr>
            <w:bookmarkStart w:id="377" w:name="_Toc98763075"/>
            <w:r w:rsidRPr="00685DB3">
              <w:rPr>
                <w:rFonts w:ascii="Calibri" w:hAnsi="Calibri" w:cs="Calibri"/>
                <w:b w:val="0"/>
                <w:bCs w:val="0"/>
                <w:i/>
                <w:iCs/>
                <w:caps w:val="0"/>
                <w:sz w:val="18"/>
                <w:szCs w:val="18"/>
              </w:rPr>
              <w:t>Gains from the Forgiveness of Liabilities</w:t>
            </w:r>
            <w:bookmarkEnd w:id="377"/>
          </w:p>
        </w:tc>
      </w:tr>
      <w:tr w:rsidR="00F95AFF" w:rsidRPr="00F95AFF" w14:paraId="4A2829F3" w14:textId="77777777" w:rsidTr="002F4A89">
        <w:trPr>
          <w:cantSplit/>
        </w:trPr>
        <w:tc>
          <w:tcPr>
            <w:tcW w:w="745" w:type="pct"/>
            <w:tcBorders>
              <w:left w:val="single" w:sz="2" w:space="0" w:color="auto"/>
              <w:right w:val="single" w:sz="2" w:space="0" w:color="auto"/>
            </w:tcBorders>
          </w:tcPr>
          <w:p w14:paraId="15EA1B0C" w14:textId="210BDF5C" w:rsidR="00F95AFF" w:rsidRPr="00685DB3" w:rsidRDefault="00F95AFF" w:rsidP="00F95AFF">
            <w:pPr>
              <w:pStyle w:val="TableReference"/>
              <w:tabs>
                <w:tab w:val="left" w:pos="3306"/>
              </w:tabs>
              <w:rPr>
                <w:rFonts w:cs="Calibri"/>
                <w:color w:val="7030A0"/>
                <w:sz w:val="14"/>
              </w:rPr>
            </w:pPr>
            <w:r w:rsidRPr="00685DB3">
              <w:rPr>
                <w:rFonts w:cs="Calibri"/>
                <w:color w:val="7030A0"/>
                <w:sz w:val="14"/>
              </w:rPr>
              <w:t>AASB 1004.39</w:t>
            </w:r>
          </w:p>
        </w:tc>
        <w:tc>
          <w:tcPr>
            <w:tcW w:w="4255" w:type="pct"/>
            <w:gridSpan w:val="4"/>
            <w:tcBorders>
              <w:left w:val="single" w:sz="2" w:space="0" w:color="auto"/>
            </w:tcBorders>
          </w:tcPr>
          <w:p w14:paraId="511C6A55" w14:textId="37F49BEC" w:rsidR="00F95AFF" w:rsidRPr="00685DB3" w:rsidRDefault="00F95AFF" w:rsidP="00953876">
            <w:pPr>
              <w:pStyle w:val="Heading1"/>
              <w:numPr>
                <w:ilvl w:val="0"/>
                <w:numId w:val="0"/>
              </w:numPr>
              <w:spacing w:before="0" w:after="120"/>
              <w:rPr>
                <w:rFonts w:ascii="Calibri" w:hAnsi="Calibri" w:cs="Calibri"/>
                <w:b w:val="0"/>
                <w:bCs w:val="0"/>
                <w:caps w:val="0"/>
                <w:sz w:val="18"/>
                <w:szCs w:val="18"/>
              </w:rPr>
            </w:pPr>
            <w:bookmarkStart w:id="378" w:name="_Toc98763076"/>
            <w:r w:rsidRPr="00685DB3">
              <w:rPr>
                <w:rFonts w:ascii="Calibri" w:hAnsi="Calibri" w:cs="Calibri"/>
                <w:b w:val="0"/>
                <w:bCs w:val="0"/>
                <w:caps w:val="0"/>
                <w:sz w:val="18"/>
                <w:szCs w:val="18"/>
              </w:rPr>
              <w:t>Gains from the Forgiveness of Liabilities are recognised as income and recorded at the carrying amount.</w:t>
            </w:r>
            <w:bookmarkEnd w:id="378"/>
          </w:p>
        </w:tc>
      </w:tr>
      <w:tr w:rsidR="000F5D3D" w:rsidRPr="00CF7E1B" w14:paraId="74A27155"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3F85258" w14:textId="77777777" w:rsidR="00A140C8" w:rsidRPr="00685DB3" w:rsidRDefault="00A140C8" w:rsidP="00FA6573">
            <w:pPr>
              <w:pStyle w:val="TableReference"/>
              <w:tabs>
                <w:tab w:val="left" w:pos="3306"/>
              </w:tabs>
              <w:rPr>
                <w:rFonts w:cs="Calibri"/>
                <w:color w:val="7030A0"/>
                <w:sz w:val="16"/>
                <w:szCs w:val="16"/>
              </w:rPr>
            </w:pPr>
          </w:p>
        </w:tc>
        <w:tc>
          <w:tcPr>
            <w:tcW w:w="3102" w:type="pct"/>
            <w:gridSpan w:val="2"/>
            <w:tcBorders>
              <w:top w:val="nil"/>
              <w:left w:val="single" w:sz="2" w:space="0" w:color="auto"/>
              <w:bottom w:val="nil"/>
              <w:right w:val="nil"/>
            </w:tcBorders>
            <w:vAlign w:val="bottom"/>
          </w:tcPr>
          <w:p w14:paraId="687BAE57" w14:textId="77777777" w:rsidR="00A140C8" w:rsidRPr="00685DB3" w:rsidRDefault="00A140C8" w:rsidP="00867B85"/>
        </w:tc>
        <w:tc>
          <w:tcPr>
            <w:tcW w:w="543" w:type="pct"/>
            <w:tcBorders>
              <w:top w:val="nil"/>
              <w:left w:val="nil"/>
              <w:bottom w:val="nil"/>
              <w:right w:val="nil"/>
            </w:tcBorders>
            <w:vAlign w:val="bottom"/>
          </w:tcPr>
          <w:p w14:paraId="6BDC3E88" w14:textId="2B786434" w:rsidR="00A140C8" w:rsidRPr="00685DB3" w:rsidRDefault="00BC6053" w:rsidP="00BC6053">
            <w:pPr>
              <w:pStyle w:val="TableTitle"/>
              <w:tabs>
                <w:tab w:val="left" w:pos="3306"/>
              </w:tabs>
              <w:rPr>
                <w:rFonts w:cs="Calibri"/>
              </w:rPr>
            </w:pPr>
            <w:r w:rsidRPr="00685DB3">
              <w:rPr>
                <w:rFonts w:cs="Calibri"/>
              </w:rPr>
              <w:t>2022</w:t>
            </w:r>
          </w:p>
        </w:tc>
        <w:tc>
          <w:tcPr>
            <w:tcW w:w="610" w:type="pct"/>
            <w:tcBorders>
              <w:top w:val="nil"/>
              <w:left w:val="nil"/>
              <w:bottom w:val="nil"/>
              <w:right w:val="nil"/>
            </w:tcBorders>
            <w:vAlign w:val="bottom"/>
          </w:tcPr>
          <w:p w14:paraId="7B57DC11" w14:textId="2D148436" w:rsidR="00A140C8" w:rsidRPr="00685DB3" w:rsidRDefault="00BC6053" w:rsidP="00FA6573">
            <w:pPr>
              <w:pStyle w:val="TableTitle"/>
              <w:tabs>
                <w:tab w:val="left" w:pos="3306"/>
              </w:tabs>
              <w:rPr>
                <w:rFonts w:cs="Calibri"/>
              </w:rPr>
            </w:pPr>
            <w:r w:rsidRPr="00685DB3">
              <w:rPr>
                <w:rFonts w:cs="Calibri"/>
              </w:rPr>
              <w:t>2021</w:t>
            </w:r>
          </w:p>
        </w:tc>
      </w:tr>
      <w:bookmarkEnd w:id="371"/>
      <w:tr w:rsidR="000F5D3D" w:rsidRPr="00CF7E1B" w14:paraId="0F7B392D"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6E2BF25" w14:textId="77777777" w:rsidR="00FA6573" w:rsidRPr="00685DB3" w:rsidRDefault="00FA6573" w:rsidP="00FA6573">
            <w:pPr>
              <w:pStyle w:val="TableReference"/>
              <w:tabs>
                <w:tab w:val="left" w:pos="3306"/>
              </w:tabs>
              <w:rPr>
                <w:rFonts w:cs="Calibri"/>
                <w:color w:val="7030A0"/>
                <w:sz w:val="16"/>
                <w:szCs w:val="16"/>
              </w:rPr>
            </w:pPr>
          </w:p>
        </w:tc>
        <w:tc>
          <w:tcPr>
            <w:tcW w:w="3102" w:type="pct"/>
            <w:gridSpan w:val="2"/>
            <w:tcBorders>
              <w:top w:val="nil"/>
              <w:left w:val="single" w:sz="2" w:space="0" w:color="auto"/>
              <w:bottom w:val="nil"/>
              <w:right w:val="nil"/>
            </w:tcBorders>
            <w:vAlign w:val="bottom"/>
          </w:tcPr>
          <w:p w14:paraId="13CBAC43" w14:textId="77777777" w:rsidR="00867B85" w:rsidRPr="00685DB3" w:rsidRDefault="00867B85" w:rsidP="00867B85"/>
        </w:tc>
        <w:tc>
          <w:tcPr>
            <w:tcW w:w="543" w:type="pct"/>
            <w:tcBorders>
              <w:top w:val="nil"/>
              <w:left w:val="nil"/>
              <w:bottom w:val="nil"/>
              <w:right w:val="nil"/>
            </w:tcBorders>
            <w:vAlign w:val="bottom"/>
          </w:tcPr>
          <w:p w14:paraId="079C3433" w14:textId="77777777" w:rsidR="00FA6573" w:rsidRPr="00685DB3" w:rsidRDefault="00FA6573" w:rsidP="00FA6573">
            <w:pPr>
              <w:pStyle w:val="TableTitle"/>
              <w:tabs>
                <w:tab w:val="left" w:pos="3306"/>
              </w:tabs>
              <w:rPr>
                <w:rFonts w:cs="Calibri"/>
              </w:rPr>
            </w:pPr>
            <w:r w:rsidRPr="00685DB3">
              <w:rPr>
                <w:rFonts w:cs="Calibri"/>
              </w:rPr>
              <w:t>$’000</w:t>
            </w:r>
          </w:p>
        </w:tc>
        <w:tc>
          <w:tcPr>
            <w:tcW w:w="610" w:type="pct"/>
            <w:tcBorders>
              <w:top w:val="nil"/>
              <w:left w:val="nil"/>
              <w:bottom w:val="nil"/>
              <w:right w:val="nil"/>
            </w:tcBorders>
            <w:vAlign w:val="bottom"/>
          </w:tcPr>
          <w:p w14:paraId="0E8B424D" w14:textId="77777777" w:rsidR="00FA6573" w:rsidRPr="00685DB3" w:rsidRDefault="00FA6573" w:rsidP="00FA6573">
            <w:pPr>
              <w:pStyle w:val="TableTitle"/>
              <w:tabs>
                <w:tab w:val="left" w:pos="3306"/>
              </w:tabs>
              <w:rPr>
                <w:rFonts w:cs="Calibri"/>
              </w:rPr>
            </w:pPr>
            <w:r w:rsidRPr="00685DB3">
              <w:rPr>
                <w:rFonts w:cs="Calibri"/>
              </w:rPr>
              <w:t>$’000</w:t>
            </w:r>
          </w:p>
        </w:tc>
      </w:tr>
      <w:tr w:rsidR="00C64581" w:rsidRPr="00C64581" w14:paraId="48F7A359"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80F1E35" w14:textId="77777777" w:rsidR="00C64581" w:rsidRPr="00685DB3" w:rsidRDefault="00C64581" w:rsidP="00FA6573">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2D664F29" w14:textId="1EB5C74B" w:rsidR="00C64581" w:rsidRPr="00685DB3" w:rsidRDefault="00C64581" w:rsidP="008D058C">
            <w:pPr>
              <w:pStyle w:val="TableText"/>
              <w:tabs>
                <w:tab w:val="left" w:pos="3306"/>
              </w:tabs>
              <w:rPr>
                <w:rFonts w:cs="Calibri"/>
                <w:b/>
                <w:bCs/>
              </w:rPr>
            </w:pPr>
            <w:r w:rsidRPr="00685DB3">
              <w:rPr>
                <w:rFonts w:cs="Calibri"/>
                <w:b/>
                <w:bCs/>
              </w:rPr>
              <w:t>Gains on Disposal and De</w:t>
            </w:r>
            <w:r w:rsidR="008D058C" w:rsidRPr="00685DB3">
              <w:rPr>
                <w:rFonts w:cs="Calibri"/>
                <w:b/>
                <w:bCs/>
              </w:rPr>
              <w:t>r</w:t>
            </w:r>
            <w:r w:rsidRPr="00685DB3">
              <w:rPr>
                <w:rFonts w:cs="Calibri"/>
                <w:b/>
                <w:bCs/>
              </w:rPr>
              <w:t>ecognition of Assets</w:t>
            </w:r>
          </w:p>
        </w:tc>
      </w:tr>
      <w:tr w:rsidR="000F5D3D" w:rsidRPr="00CF7E1B" w14:paraId="1383A131"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54D257B" w14:textId="77777777" w:rsidR="00FA6573" w:rsidRPr="00685DB3" w:rsidRDefault="00FA6573" w:rsidP="00FA6573">
            <w:pPr>
              <w:pStyle w:val="TableReference"/>
              <w:tabs>
                <w:tab w:val="left" w:pos="3306"/>
              </w:tabs>
              <w:spacing w:before="40"/>
              <w:rPr>
                <w:rFonts w:cs="Calibri"/>
                <w:color w:val="7030A0"/>
                <w:sz w:val="14"/>
              </w:rPr>
            </w:pPr>
            <w:r w:rsidRPr="00685DB3">
              <w:rPr>
                <w:rFonts w:cs="Calibri"/>
                <w:color w:val="7030A0"/>
                <w:sz w:val="14"/>
              </w:rPr>
              <w:t>AASB 7.20(a)</w:t>
            </w:r>
          </w:p>
        </w:tc>
        <w:tc>
          <w:tcPr>
            <w:tcW w:w="3102" w:type="pct"/>
            <w:gridSpan w:val="2"/>
            <w:tcBorders>
              <w:top w:val="nil"/>
              <w:left w:val="single" w:sz="2" w:space="0" w:color="auto"/>
              <w:bottom w:val="nil"/>
              <w:right w:val="nil"/>
            </w:tcBorders>
            <w:vAlign w:val="bottom"/>
          </w:tcPr>
          <w:p w14:paraId="7BA380A6" w14:textId="3EA34ACC" w:rsidR="00FA6573" w:rsidRPr="00685DB3" w:rsidRDefault="00FA6573" w:rsidP="00FA6573">
            <w:pPr>
              <w:pStyle w:val="TableText"/>
              <w:tabs>
                <w:tab w:val="left" w:pos="3306"/>
              </w:tabs>
              <w:rPr>
                <w:rFonts w:cs="Calibri"/>
              </w:rPr>
            </w:pPr>
            <w:r w:rsidRPr="00685DB3">
              <w:rPr>
                <w:rFonts w:cs="Calibri"/>
              </w:rPr>
              <w:t xml:space="preserve">Gains on </w:t>
            </w:r>
            <w:r w:rsidR="000F5D3D" w:rsidRPr="00685DB3">
              <w:rPr>
                <w:rFonts w:cs="Calibri"/>
              </w:rPr>
              <w:t xml:space="preserve">Disposal of </w:t>
            </w:r>
            <w:r w:rsidRPr="00685DB3">
              <w:rPr>
                <w:rFonts w:cs="Calibri"/>
              </w:rPr>
              <w:t>Investments</w:t>
            </w:r>
            <w:r w:rsidRPr="00685DB3">
              <w:rPr>
                <w:rFonts w:cs="Calibri"/>
                <w:vertAlign w:val="superscript"/>
              </w:rPr>
              <w:t>a</w:t>
            </w:r>
          </w:p>
        </w:tc>
        <w:tc>
          <w:tcPr>
            <w:tcW w:w="543" w:type="pct"/>
            <w:tcBorders>
              <w:top w:val="nil"/>
              <w:left w:val="nil"/>
              <w:bottom w:val="nil"/>
              <w:right w:val="nil"/>
            </w:tcBorders>
            <w:vAlign w:val="bottom"/>
          </w:tcPr>
          <w:p w14:paraId="4A8B5D82" w14:textId="2D173DB0" w:rsidR="00FA6573" w:rsidRPr="00685DB3" w:rsidRDefault="00FA6573" w:rsidP="00FA6573">
            <w:pPr>
              <w:pStyle w:val="TableText"/>
              <w:tabs>
                <w:tab w:val="left" w:pos="3306"/>
              </w:tabs>
              <w:jc w:val="right"/>
              <w:rPr>
                <w:rFonts w:cs="Calibri"/>
                <w:strike/>
              </w:rPr>
            </w:pPr>
          </w:p>
        </w:tc>
        <w:tc>
          <w:tcPr>
            <w:tcW w:w="610" w:type="pct"/>
            <w:tcBorders>
              <w:top w:val="nil"/>
              <w:left w:val="nil"/>
              <w:bottom w:val="nil"/>
              <w:right w:val="nil"/>
            </w:tcBorders>
            <w:vAlign w:val="bottom"/>
          </w:tcPr>
          <w:p w14:paraId="5F8F3225" w14:textId="332BA9A0" w:rsidR="00FA6573" w:rsidRPr="00685DB3" w:rsidRDefault="00FA6573" w:rsidP="00FA6573">
            <w:pPr>
              <w:pStyle w:val="TableText"/>
              <w:tabs>
                <w:tab w:val="left" w:pos="3306"/>
              </w:tabs>
              <w:jc w:val="right"/>
              <w:rPr>
                <w:rFonts w:cs="Calibri"/>
                <w:strike/>
              </w:rPr>
            </w:pPr>
          </w:p>
        </w:tc>
      </w:tr>
      <w:tr w:rsidR="000F5D3D" w:rsidRPr="00CF7E1B" w14:paraId="77721CE8"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1DC768A" w14:textId="4D063B5C" w:rsidR="00C64581" w:rsidRPr="00685DB3" w:rsidRDefault="00C64581" w:rsidP="00FA6573">
            <w:pPr>
              <w:pStyle w:val="TableReference"/>
              <w:tabs>
                <w:tab w:val="left" w:pos="3306"/>
              </w:tabs>
              <w:spacing w:before="40"/>
              <w:rPr>
                <w:rFonts w:cs="Calibri"/>
                <w:color w:val="7030A0"/>
                <w:sz w:val="14"/>
              </w:rPr>
            </w:pPr>
            <w:r w:rsidRPr="00685DB3">
              <w:rPr>
                <w:rFonts w:cs="Calibri"/>
                <w:color w:val="7030A0"/>
                <w:sz w:val="14"/>
              </w:rPr>
              <w:t>AASB 7.20(a)</w:t>
            </w:r>
          </w:p>
        </w:tc>
        <w:tc>
          <w:tcPr>
            <w:tcW w:w="3102" w:type="pct"/>
            <w:gridSpan w:val="2"/>
            <w:tcBorders>
              <w:top w:val="nil"/>
              <w:left w:val="single" w:sz="2" w:space="0" w:color="auto"/>
              <w:bottom w:val="nil"/>
              <w:right w:val="nil"/>
            </w:tcBorders>
            <w:vAlign w:val="bottom"/>
          </w:tcPr>
          <w:p w14:paraId="51BC46BA" w14:textId="63241C9D" w:rsidR="00C64581" w:rsidRPr="00685DB3" w:rsidRDefault="000F5D3D" w:rsidP="008D058C">
            <w:pPr>
              <w:pStyle w:val="TableText"/>
              <w:tabs>
                <w:tab w:val="left" w:pos="3306"/>
              </w:tabs>
              <w:rPr>
                <w:rFonts w:cs="Calibri"/>
              </w:rPr>
            </w:pPr>
            <w:r w:rsidRPr="00685DB3">
              <w:rPr>
                <w:rFonts w:cs="Calibri"/>
              </w:rPr>
              <w:t>Gains from the Forgiveness of Liabilit</w:t>
            </w:r>
            <w:r w:rsidR="008D058C" w:rsidRPr="00685DB3">
              <w:rPr>
                <w:rFonts w:cs="Calibri"/>
              </w:rPr>
              <w:t>ies</w:t>
            </w:r>
          </w:p>
        </w:tc>
        <w:tc>
          <w:tcPr>
            <w:tcW w:w="543" w:type="pct"/>
            <w:tcBorders>
              <w:top w:val="nil"/>
              <w:left w:val="nil"/>
              <w:bottom w:val="nil"/>
              <w:right w:val="nil"/>
            </w:tcBorders>
            <w:vAlign w:val="bottom"/>
          </w:tcPr>
          <w:p w14:paraId="3EF2290F" w14:textId="77777777" w:rsidR="00C64581" w:rsidRPr="00685DB3" w:rsidRDefault="00C64581" w:rsidP="00FA6573">
            <w:pPr>
              <w:pStyle w:val="TableText"/>
              <w:tabs>
                <w:tab w:val="left" w:pos="3306"/>
              </w:tabs>
              <w:jc w:val="right"/>
              <w:rPr>
                <w:rFonts w:cs="Calibri"/>
              </w:rPr>
            </w:pPr>
          </w:p>
        </w:tc>
        <w:tc>
          <w:tcPr>
            <w:tcW w:w="610" w:type="pct"/>
            <w:tcBorders>
              <w:top w:val="nil"/>
              <w:left w:val="nil"/>
              <w:bottom w:val="nil"/>
              <w:right w:val="nil"/>
            </w:tcBorders>
            <w:vAlign w:val="bottom"/>
          </w:tcPr>
          <w:p w14:paraId="6B1DF5F8" w14:textId="77777777" w:rsidR="00C64581" w:rsidRPr="00685DB3" w:rsidRDefault="00C64581" w:rsidP="00FA6573">
            <w:pPr>
              <w:pStyle w:val="TableText"/>
              <w:tabs>
                <w:tab w:val="left" w:pos="3306"/>
              </w:tabs>
              <w:jc w:val="right"/>
              <w:rPr>
                <w:rFonts w:cs="Calibri"/>
              </w:rPr>
            </w:pPr>
          </w:p>
        </w:tc>
      </w:tr>
      <w:tr w:rsidR="000F5D3D" w:rsidRPr="00CF7E1B" w14:paraId="6E97BF3B"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3C2D8FB" w14:textId="77777777" w:rsidR="000F5D3D" w:rsidRPr="00685DB3" w:rsidRDefault="000F5D3D" w:rsidP="00FA6573">
            <w:pPr>
              <w:pStyle w:val="TableReference"/>
              <w:tabs>
                <w:tab w:val="left" w:pos="3306"/>
              </w:tabs>
              <w:spacing w:before="40"/>
              <w:rPr>
                <w:rFonts w:cs="Calibri"/>
                <w:color w:val="7030A0"/>
                <w:sz w:val="14"/>
              </w:rPr>
            </w:pPr>
          </w:p>
        </w:tc>
        <w:tc>
          <w:tcPr>
            <w:tcW w:w="3102" w:type="pct"/>
            <w:gridSpan w:val="2"/>
            <w:tcBorders>
              <w:top w:val="nil"/>
              <w:left w:val="single" w:sz="2" w:space="0" w:color="auto"/>
              <w:bottom w:val="nil"/>
              <w:right w:val="nil"/>
            </w:tcBorders>
            <w:vAlign w:val="bottom"/>
          </w:tcPr>
          <w:p w14:paraId="250AF22C" w14:textId="7AF4A2FC" w:rsidR="000F5D3D" w:rsidRPr="00685DB3" w:rsidRDefault="000F5D3D" w:rsidP="008D058C">
            <w:pPr>
              <w:pStyle w:val="TableText"/>
              <w:tabs>
                <w:tab w:val="left" w:pos="3306"/>
              </w:tabs>
              <w:rPr>
                <w:rFonts w:cs="Calibri"/>
              </w:rPr>
            </w:pPr>
            <w:r w:rsidRPr="00685DB3">
              <w:rPr>
                <w:rFonts w:cs="Calibri"/>
              </w:rPr>
              <w:t>Gains from the Sale of Assets</w:t>
            </w:r>
            <w:r w:rsidR="00FA7C77">
              <w:rPr>
                <w:rFonts w:cs="Calibri"/>
              </w:rPr>
              <w:t xml:space="preserve"> </w:t>
            </w:r>
          </w:p>
        </w:tc>
        <w:tc>
          <w:tcPr>
            <w:tcW w:w="543" w:type="pct"/>
            <w:tcBorders>
              <w:top w:val="nil"/>
              <w:left w:val="nil"/>
              <w:bottom w:val="nil"/>
              <w:right w:val="nil"/>
            </w:tcBorders>
            <w:vAlign w:val="bottom"/>
          </w:tcPr>
          <w:p w14:paraId="2FF9456C" w14:textId="77777777" w:rsidR="000F5D3D" w:rsidRPr="00685DB3" w:rsidRDefault="000F5D3D" w:rsidP="00FA6573">
            <w:pPr>
              <w:pStyle w:val="TableText"/>
              <w:tabs>
                <w:tab w:val="left" w:pos="3306"/>
              </w:tabs>
              <w:jc w:val="right"/>
              <w:rPr>
                <w:rFonts w:cs="Calibri"/>
              </w:rPr>
            </w:pPr>
          </w:p>
        </w:tc>
        <w:tc>
          <w:tcPr>
            <w:tcW w:w="610" w:type="pct"/>
            <w:tcBorders>
              <w:top w:val="nil"/>
              <w:left w:val="nil"/>
              <w:bottom w:val="nil"/>
              <w:right w:val="nil"/>
            </w:tcBorders>
            <w:vAlign w:val="bottom"/>
          </w:tcPr>
          <w:p w14:paraId="08E905FF" w14:textId="77777777" w:rsidR="000F5D3D" w:rsidRPr="00685DB3" w:rsidRDefault="000F5D3D" w:rsidP="00FA6573">
            <w:pPr>
              <w:pStyle w:val="TableText"/>
              <w:tabs>
                <w:tab w:val="left" w:pos="3306"/>
              </w:tabs>
              <w:jc w:val="right"/>
              <w:rPr>
                <w:rFonts w:cs="Calibri"/>
              </w:rPr>
            </w:pPr>
          </w:p>
        </w:tc>
      </w:tr>
      <w:tr w:rsidR="00BC4515" w:rsidRPr="00CF7E1B" w14:paraId="6A66258B"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622554B9" w14:textId="778B1D6D" w:rsidR="00BC4515" w:rsidRPr="00685DB3" w:rsidRDefault="00BC4515" w:rsidP="00BC4515">
            <w:pPr>
              <w:pStyle w:val="TableReference"/>
              <w:tabs>
                <w:tab w:val="left" w:pos="3306"/>
              </w:tabs>
              <w:spacing w:before="40"/>
              <w:rPr>
                <w:rFonts w:cs="Calibri"/>
                <w:color w:val="7030A0"/>
                <w:sz w:val="14"/>
              </w:rPr>
            </w:pPr>
            <w:r w:rsidRPr="00685DB3">
              <w:rPr>
                <w:color w:val="7030A0"/>
                <w:sz w:val="14"/>
              </w:rPr>
              <w:t>AASB 16.53(i)</w:t>
            </w:r>
          </w:p>
        </w:tc>
        <w:tc>
          <w:tcPr>
            <w:tcW w:w="3102" w:type="pct"/>
            <w:gridSpan w:val="2"/>
            <w:tcBorders>
              <w:top w:val="nil"/>
              <w:left w:val="single" w:sz="2" w:space="0" w:color="auto"/>
              <w:bottom w:val="nil"/>
              <w:right w:val="nil"/>
            </w:tcBorders>
          </w:tcPr>
          <w:p w14:paraId="4D301F70" w14:textId="68CA625B" w:rsidR="00BC4515" w:rsidRPr="00685DB3" w:rsidRDefault="00BC4515" w:rsidP="00BC4515">
            <w:pPr>
              <w:pStyle w:val="TableText"/>
              <w:tabs>
                <w:tab w:val="left" w:pos="3306"/>
              </w:tabs>
              <w:rPr>
                <w:rFonts w:cs="Calibri"/>
              </w:rPr>
            </w:pPr>
            <w:r w:rsidRPr="00685DB3">
              <w:t xml:space="preserve">Gains arising from Sale and Leaseback </w:t>
            </w:r>
            <w:r w:rsidR="003850B2" w:rsidRPr="00685DB3">
              <w:t>Arrangements</w:t>
            </w:r>
          </w:p>
        </w:tc>
        <w:tc>
          <w:tcPr>
            <w:tcW w:w="543" w:type="pct"/>
            <w:tcBorders>
              <w:top w:val="nil"/>
              <w:left w:val="nil"/>
              <w:bottom w:val="single" w:sz="4" w:space="0" w:color="auto"/>
              <w:right w:val="nil"/>
            </w:tcBorders>
            <w:vAlign w:val="bottom"/>
          </w:tcPr>
          <w:p w14:paraId="4A32EA8C" w14:textId="77777777" w:rsidR="00BC4515" w:rsidRPr="00685DB3" w:rsidRDefault="00BC4515" w:rsidP="00BC4515">
            <w:pPr>
              <w:pStyle w:val="TableText"/>
              <w:tabs>
                <w:tab w:val="left" w:pos="3306"/>
              </w:tabs>
              <w:jc w:val="right"/>
              <w:rPr>
                <w:rFonts w:cs="Calibri"/>
              </w:rPr>
            </w:pPr>
          </w:p>
        </w:tc>
        <w:tc>
          <w:tcPr>
            <w:tcW w:w="610" w:type="pct"/>
            <w:tcBorders>
              <w:top w:val="nil"/>
              <w:left w:val="nil"/>
              <w:bottom w:val="single" w:sz="4" w:space="0" w:color="auto"/>
              <w:right w:val="nil"/>
            </w:tcBorders>
            <w:vAlign w:val="bottom"/>
          </w:tcPr>
          <w:p w14:paraId="1E5CD50D" w14:textId="77777777" w:rsidR="00BC4515" w:rsidRPr="00685DB3" w:rsidRDefault="00BC4515" w:rsidP="00BC4515">
            <w:pPr>
              <w:pStyle w:val="TableText"/>
              <w:tabs>
                <w:tab w:val="left" w:pos="3306"/>
              </w:tabs>
              <w:jc w:val="right"/>
              <w:rPr>
                <w:rFonts w:cs="Calibri"/>
              </w:rPr>
            </w:pPr>
          </w:p>
        </w:tc>
      </w:tr>
      <w:tr w:rsidR="00BC4515" w:rsidRPr="00CF7E1B" w14:paraId="5C1F0AC5"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DA04EEE" w14:textId="77777777" w:rsidR="00BC4515" w:rsidRPr="00685DB3" w:rsidRDefault="00BC4515" w:rsidP="00BC4515">
            <w:pPr>
              <w:pStyle w:val="TableReference"/>
              <w:tabs>
                <w:tab w:val="left" w:pos="3306"/>
              </w:tabs>
              <w:spacing w:before="40"/>
              <w:rPr>
                <w:rFonts w:cs="Calibri"/>
                <w:color w:val="7030A0"/>
                <w:sz w:val="14"/>
              </w:rPr>
            </w:pPr>
          </w:p>
        </w:tc>
        <w:tc>
          <w:tcPr>
            <w:tcW w:w="3102" w:type="pct"/>
            <w:gridSpan w:val="2"/>
            <w:tcBorders>
              <w:top w:val="nil"/>
              <w:left w:val="single" w:sz="2" w:space="0" w:color="auto"/>
              <w:bottom w:val="nil"/>
              <w:right w:val="nil"/>
            </w:tcBorders>
            <w:vAlign w:val="bottom"/>
          </w:tcPr>
          <w:p w14:paraId="6A00E191" w14:textId="07A0A638" w:rsidR="00BC4515" w:rsidRPr="00685DB3" w:rsidRDefault="00BC4515" w:rsidP="00BC4515">
            <w:pPr>
              <w:pStyle w:val="TableText"/>
              <w:tabs>
                <w:tab w:val="left" w:pos="3306"/>
              </w:tabs>
              <w:rPr>
                <w:rFonts w:cs="Calibri"/>
              </w:rPr>
            </w:pPr>
            <w:r w:rsidRPr="00685DB3">
              <w:rPr>
                <w:rFonts w:cs="Calibri"/>
                <w:b/>
                <w:bCs/>
              </w:rPr>
              <w:t>Total Gains on Disposal and Derecognition of Assets</w:t>
            </w:r>
          </w:p>
        </w:tc>
        <w:tc>
          <w:tcPr>
            <w:tcW w:w="543" w:type="pct"/>
            <w:tcBorders>
              <w:top w:val="single" w:sz="4" w:space="0" w:color="auto"/>
              <w:left w:val="nil"/>
              <w:bottom w:val="single" w:sz="4" w:space="0" w:color="auto"/>
              <w:right w:val="nil"/>
            </w:tcBorders>
            <w:vAlign w:val="bottom"/>
          </w:tcPr>
          <w:p w14:paraId="3EDA611A" w14:textId="346C1FF1" w:rsidR="00BC4515" w:rsidRPr="00685DB3" w:rsidRDefault="00BC4515" w:rsidP="00BC4515">
            <w:pPr>
              <w:pStyle w:val="TableText"/>
              <w:tabs>
                <w:tab w:val="left" w:pos="3306"/>
              </w:tabs>
              <w:jc w:val="right"/>
              <w:rPr>
                <w:rFonts w:cs="Calibri"/>
              </w:rPr>
            </w:pPr>
          </w:p>
        </w:tc>
        <w:tc>
          <w:tcPr>
            <w:tcW w:w="610" w:type="pct"/>
            <w:tcBorders>
              <w:top w:val="single" w:sz="4" w:space="0" w:color="auto"/>
              <w:left w:val="nil"/>
              <w:bottom w:val="single" w:sz="4" w:space="0" w:color="auto"/>
              <w:right w:val="nil"/>
            </w:tcBorders>
            <w:vAlign w:val="bottom"/>
          </w:tcPr>
          <w:p w14:paraId="5ACBEBB9" w14:textId="54B810DF" w:rsidR="00BC4515" w:rsidRPr="00685DB3" w:rsidRDefault="00BC4515" w:rsidP="00BC4515">
            <w:pPr>
              <w:pStyle w:val="TableText"/>
              <w:tabs>
                <w:tab w:val="left" w:pos="3306"/>
              </w:tabs>
              <w:jc w:val="right"/>
              <w:rPr>
                <w:rFonts w:cs="Calibri"/>
              </w:rPr>
            </w:pPr>
          </w:p>
        </w:tc>
      </w:tr>
      <w:tr w:rsidR="00BC4515" w:rsidRPr="00CF7E1B" w14:paraId="0C843780"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D2602F5" w14:textId="77777777" w:rsidR="00BC4515" w:rsidRPr="00685DB3" w:rsidRDefault="00BC4515" w:rsidP="00BC4515">
            <w:pPr>
              <w:pStyle w:val="TableReference"/>
              <w:tabs>
                <w:tab w:val="left" w:pos="3306"/>
              </w:tabs>
              <w:spacing w:before="40"/>
              <w:rPr>
                <w:rFonts w:cs="Calibri"/>
                <w:color w:val="7030A0"/>
                <w:sz w:val="14"/>
              </w:rPr>
            </w:pPr>
          </w:p>
        </w:tc>
        <w:tc>
          <w:tcPr>
            <w:tcW w:w="3102" w:type="pct"/>
            <w:gridSpan w:val="2"/>
            <w:tcBorders>
              <w:top w:val="nil"/>
              <w:left w:val="single" w:sz="2" w:space="0" w:color="auto"/>
              <w:bottom w:val="nil"/>
              <w:right w:val="nil"/>
            </w:tcBorders>
            <w:vAlign w:val="bottom"/>
          </w:tcPr>
          <w:p w14:paraId="164C4CF2" w14:textId="77777777" w:rsidR="00BC4515" w:rsidRPr="00685DB3" w:rsidRDefault="00BC4515" w:rsidP="00BC4515">
            <w:pPr>
              <w:pStyle w:val="TableText"/>
              <w:tabs>
                <w:tab w:val="left" w:pos="3306"/>
              </w:tabs>
              <w:rPr>
                <w:rFonts w:cs="Calibri"/>
                <w:b/>
                <w:bCs/>
              </w:rPr>
            </w:pPr>
          </w:p>
        </w:tc>
        <w:tc>
          <w:tcPr>
            <w:tcW w:w="543" w:type="pct"/>
            <w:tcBorders>
              <w:top w:val="single" w:sz="4" w:space="0" w:color="auto"/>
              <w:left w:val="nil"/>
              <w:bottom w:val="nil"/>
              <w:right w:val="nil"/>
            </w:tcBorders>
            <w:vAlign w:val="bottom"/>
          </w:tcPr>
          <w:p w14:paraId="08308E86" w14:textId="77777777" w:rsidR="00BC4515" w:rsidRPr="00685DB3" w:rsidRDefault="00BC4515" w:rsidP="00BC4515">
            <w:pPr>
              <w:pStyle w:val="TableText"/>
              <w:tabs>
                <w:tab w:val="left" w:pos="3306"/>
              </w:tabs>
              <w:jc w:val="right"/>
              <w:rPr>
                <w:rFonts w:cs="Calibri"/>
              </w:rPr>
            </w:pPr>
          </w:p>
        </w:tc>
        <w:tc>
          <w:tcPr>
            <w:tcW w:w="610" w:type="pct"/>
            <w:tcBorders>
              <w:top w:val="single" w:sz="4" w:space="0" w:color="auto"/>
              <w:left w:val="nil"/>
              <w:bottom w:val="nil"/>
              <w:right w:val="nil"/>
            </w:tcBorders>
            <w:vAlign w:val="bottom"/>
          </w:tcPr>
          <w:p w14:paraId="49D85D68" w14:textId="77777777" w:rsidR="00BC4515" w:rsidRPr="00685DB3" w:rsidRDefault="00BC4515" w:rsidP="00BC4515">
            <w:pPr>
              <w:pStyle w:val="TableText"/>
              <w:tabs>
                <w:tab w:val="left" w:pos="3306"/>
              </w:tabs>
              <w:jc w:val="right"/>
              <w:rPr>
                <w:rFonts w:cs="Calibri"/>
              </w:rPr>
            </w:pPr>
          </w:p>
        </w:tc>
      </w:tr>
      <w:tr w:rsidR="00BC4515" w:rsidRPr="00CF7E1B" w14:paraId="6673F082"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04AC97ED" w14:textId="77777777" w:rsidR="00BC4515" w:rsidRPr="00685DB3" w:rsidRDefault="00BC4515" w:rsidP="00BC4515">
            <w:pPr>
              <w:pStyle w:val="TableReference"/>
              <w:tabs>
                <w:tab w:val="left" w:pos="3306"/>
              </w:tabs>
              <w:spacing w:before="40"/>
              <w:rPr>
                <w:rFonts w:cs="Calibri"/>
                <w:color w:val="7030A0"/>
                <w:sz w:val="14"/>
              </w:rPr>
            </w:pPr>
          </w:p>
        </w:tc>
        <w:tc>
          <w:tcPr>
            <w:tcW w:w="3102" w:type="pct"/>
            <w:gridSpan w:val="2"/>
            <w:tcBorders>
              <w:top w:val="nil"/>
              <w:left w:val="single" w:sz="2" w:space="0" w:color="auto"/>
              <w:bottom w:val="nil"/>
              <w:right w:val="nil"/>
            </w:tcBorders>
            <w:vAlign w:val="bottom"/>
          </w:tcPr>
          <w:p w14:paraId="6C4D1E69" w14:textId="598B6CAD" w:rsidR="00BC4515" w:rsidRPr="00685DB3" w:rsidRDefault="00BC4515" w:rsidP="00BC4515">
            <w:pPr>
              <w:pStyle w:val="TableText"/>
              <w:tabs>
                <w:tab w:val="left" w:pos="3306"/>
              </w:tabs>
              <w:rPr>
                <w:rFonts w:cs="Calibri"/>
              </w:rPr>
            </w:pPr>
            <w:r w:rsidRPr="00685DB3">
              <w:rPr>
                <w:rFonts w:cs="Calibri"/>
                <w:b/>
                <w:bCs/>
              </w:rPr>
              <w:t>Gains on Remeasurement of Assets</w:t>
            </w:r>
          </w:p>
        </w:tc>
        <w:tc>
          <w:tcPr>
            <w:tcW w:w="543" w:type="pct"/>
            <w:tcBorders>
              <w:top w:val="nil"/>
              <w:left w:val="nil"/>
              <w:bottom w:val="nil"/>
              <w:right w:val="nil"/>
            </w:tcBorders>
            <w:vAlign w:val="bottom"/>
          </w:tcPr>
          <w:p w14:paraId="65948EA4" w14:textId="77777777" w:rsidR="00BC4515" w:rsidRPr="00685DB3" w:rsidRDefault="00BC4515" w:rsidP="00BC4515">
            <w:pPr>
              <w:pStyle w:val="TableText"/>
              <w:tabs>
                <w:tab w:val="left" w:pos="3306"/>
              </w:tabs>
              <w:jc w:val="right"/>
              <w:rPr>
                <w:rFonts w:cs="Calibri"/>
              </w:rPr>
            </w:pPr>
          </w:p>
        </w:tc>
        <w:tc>
          <w:tcPr>
            <w:tcW w:w="610" w:type="pct"/>
            <w:tcBorders>
              <w:top w:val="nil"/>
              <w:left w:val="nil"/>
              <w:bottom w:val="nil"/>
              <w:right w:val="nil"/>
            </w:tcBorders>
            <w:vAlign w:val="bottom"/>
          </w:tcPr>
          <w:p w14:paraId="0F310405" w14:textId="77777777" w:rsidR="00BC4515" w:rsidRPr="00685DB3" w:rsidRDefault="00BC4515" w:rsidP="00BC4515">
            <w:pPr>
              <w:pStyle w:val="TableText"/>
              <w:tabs>
                <w:tab w:val="left" w:pos="3306"/>
              </w:tabs>
              <w:jc w:val="right"/>
              <w:rPr>
                <w:rFonts w:cs="Calibri"/>
              </w:rPr>
            </w:pPr>
          </w:p>
        </w:tc>
      </w:tr>
      <w:tr w:rsidR="00BC4515" w:rsidRPr="00CF7E1B" w14:paraId="630467D0"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D4D21E9" w14:textId="04EB956C" w:rsidR="00BC4515" w:rsidRPr="00685DB3" w:rsidRDefault="00BC4515" w:rsidP="00BC4515">
            <w:pPr>
              <w:pStyle w:val="TableReference"/>
              <w:tabs>
                <w:tab w:val="left" w:pos="3306"/>
              </w:tabs>
              <w:spacing w:before="40"/>
              <w:rPr>
                <w:rFonts w:cs="Calibri"/>
                <w:color w:val="7030A0"/>
                <w:sz w:val="14"/>
              </w:rPr>
            </w:pPr>
            <w:r w:rsidRPr="00685DB3">
              <w:rPr>
                <w:rFonts w:cs="Calibri"/>
                <w:color w:val="7030A0"/>
                <w:sz w:val="14"/>
              </w:rPr>
              <w:t>AASB 102.36(f)</w:t>
            </w:r>
          </w:p>
        </w:tc>
        <w:tc>
          <w:tcPr>
            <w:tcW w:w="3102" w:type="pct"/>
            <w:gridSpan w:val="2"/>
            <w:tcBorders>
              <w:top w:val="nil"/>
              <w:left w:val="single" w:sz="2" w:space="0" w:color="auto"/>
              <w:bottom w:val="nil"/>
              <w:right w:val="nil"/>
            </w:tcBorders>
            <w:vAlign w:val="bottom"/>
          </w:tcPr>
          <w:p w14:paraId="531AAB9B" w14:textId="08A1476E" w:rsidR="00BC4515" w:rsidRPr="00685DB3" w:rsidRDefault="00BC4515" w:rsidP="00BC4515">
            <w:pPr>
              <w:pStyle w:val="TableText"/>
              <w:tabs>
                <w:tab w:val="left" w:pos="3306"/>
              </w:tabs>
              <w:rPr>
                <w:rFonts w:cs="Calibri"/>
              </w:rPr>
            </w:pPr>
            <w:r w:rsidRPr="00685DB3">
              <w:rPr>
                <w:rFonts w:cs="Calibri"/>
              </w:rPr>
              <w:t>Reversal of the Write-down in Inventory</w:t>
            </w:r>
            <w:r w:rsidRPr="00685DB3">
              <w:rPr>
                <w:rFonts w:cs="Calibri"/>
                <w:vertAlign w:val="superscript"/>
              </w:rPr>
              <w:t>b</w:t>
            </w:r>
            <w:r w:rsidR="00FA7C77">
              <w:rPr>
                <w:rFonts w:cs="Calibri"/>
              </w:rPr>
              <w:t xml:space="preserve"> </w:t>
            </w:r>
          </w:p>
        </w:tc>
        <w:tc>
          <w:tcPr>
            <w:tcW w:w="543" w:type="pct"/>
            <w:tcBorders>
              <w:top w:val="nil"/>
              <w:left w:val="nil"/>
              <w:bottom w:val="nil"/>
              <w:right w:val="nil"/>
            </w:tcBorders>
            <w:vAlign w:val="bottom"/>
          </w:tcPr>
          <w:p w14:paraId="4136297B" w14:textId="77777777" w:rsidR="00BC4515" w:rsidRPr="00685DB3" w:rsidRDefault="00BC4515" w:rsidP="00BC4515">
            <w:pPr>
              <w:pStyle w:val="TableText"/>
              <w:tabs>
                <w:tab w:val="left" w:pos="3306"/>
              </w:tabs>
              <w:jc w:val="right"/>
              <w:rPr>
                <w:rFonts w:cs="Calibri"/>
              </w:rPr>
            </w:pPr>
          </w:p>
        </w:tc>
        <w:tc>
          <w:tcPr>
            <w:tcW w:w="610" w:type="pct"/>
            <w:tcBorders>
              <w:top w:val="nil"/>
              <w:left w:val="nil"/>
              <w:bottom w:val="nil"/>
              <w:right w:val="nil"/>
            </w:tcBorders>
            <w:vAlign w:val="bottom"/>
          </w:tcPr>
          <w:p w14:paraId="55E23B29" w14:textId="77777777" w:rsidR="00BC4515" w:rsidRPr="00685DB3" w:rsidRDefault="00BC4515" w:rsidP="00BC4515">
            <w:pPr>
              <w:pStyle w:val="TableText"/>
              <w:tabs>
                <w:tab w:val="left" w:pos="3306"/>
              </w:tabs>
              <w:jc w:val="right"/>
              <w:rPr>
                <w:rFonts w:cs="Calibri"/>
              </w:rPr>
            </w:pPr>
          </w:p>
        </w:tc>
      </w:tr>
      <w:tr w:rsidR="006A2D39" w:rsidRPr="00CF7E1B" w14:paraId="1EEB055E"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30E2029" w14:textId="77777777" w:rsidR="006A2D39" w:rsidRPr="00685DB3" w:rsidRDefault="006A2D39" w:rsidP="00BC4515">
            <w:pPr>
              <w:pStyle w:val="TableReference"/>
              <w:tabs>
                <w:tab w:val="left" w:pos="3306"/>
              </w:tabs>
              <w:spacing w:before="40"/>
              <w:rPr>
                <w:rFonts w:cs="Calibri"/>
                <w:color w:val="7030A0"/>
                <w:sz w:val="14"/>
              </w:rPr>
            </w:pPr>
          </w:p>
        </w:tc>
        <w:tc>
          <w:tcPr>
            <w:tcW w:w="3102" w:type="pct"/>
            <w:gridSpan w:val="2"/>
            <w:tcBorders>
              <w:top w:val="nil"/>
              <w:left w:val="single" w:sz="2" w:space="0" w:color="auto"/>
              <w:bottom w:val="nil"/>
              <w:right w:val="nil"/>
            </w:tcBorders>
            <w:vAlign w:val="bottom"/>
          </w:tcPr>
          <w:p w14:paraId="1FF47B4B" w14:textId="342B102E" w:rsidR="006A2D39" w:rsidRPr="00685DB3" w:rsidRDefault="006A2D39" w:rsidP="00BC4515">
            <w:pPr>
              <w:pStyle w:val="TableText"/>
              <w:tabs>
                <w:tab w:val="left" w:pos="3306"/>
              </w:tabs>
              <w:rPr>
                <w:rFonts w:cs="Calibri"/>
              </w:rPr>
            </w:pPr>
            <w:r w:rsidRPr="00685DB3">
              <w:t>Gains on Remeasurement of Investments</w:t>
            </w:r>
          </w:p>
        </w:tc>
        <w:tc>
          <w:tcPr>
            <w:tcW w:w="543" w:type="pct"/>
            <w:tcBorders>
              <w:top w:val="nil"/>
              <w:left w:val="nil"/>
              <w:bottom w:val="nil"/>
              <w:right w:val="nil"/>
            </w:tcBorders>
            <w:vAlign w:val="bottom"/>
          </w:tcPr>
          <w:p w14:paraId="012AC125" w14:textId="77777777" w:rsidR="006A2D39" w:rsidRPr="00685DB3" w:rsidRDefault="006A2D39" w:rsidP="00BC4515">
            <w:pPr>
              <w:pStyle w:val="TableText"/>
              <w:tabs>
                <w:tab w:val="left" w:pos="3306"/>
              </w:tabs>
              <w:jc w:val="right"/>
              <w:rPr>
                <w:rFonts w:cs="Calibri"/>
              </w:rPr>
            </w:pPr>
          </w:p>
        </w:tc>
        <w:tc>
          <w:tcPr>
            <w:tcW w:w="610" w:type="pct"/>
            <w:tcBorders>
              <w:top w:val="nil"/>
              <w:left w:val="nil"/>
              <w:bottom w:val="nil"/>
              <w:right w:val="nil"/>
            </w:tcBorders>
            <w:vAlign w:val="bottom"/>
          </w:tcPr>
          <w:p w14:paraId="60405433" w14:textId="77777777" w:rsidR="006A2D39" w:rsidRPr="00685DB3" w:rsidRDefault="006A2D39" w:rsidP="00BC4515">
            <w:pPr>
              <w:pStyle w:val="TableText"/>
              <w:tabs>
                <w:tab w:val="left" w:pos="3306"/>
              </w:tabs>
              <w:jc w:val="right"/>
              <w:rPr>
                <w:rFonts w:cs="Calibri"/>
              </w:rPr>
            </w:pPr>
          </w:p>
        </w:tc>
      </w:tr>
      <w:tr w:rsidR="00BC4515" w:rsidRPr="00CF7E1B" w14:paraId="50E4BE6A"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57C76268" w14:textId="70F1311E" w:rsidR="00BC4515" w:rsidRPr="00685DB3" w:rsidRDefault="00BC4515" w:rsidP="00BC4515">
            <w:pPr>
              <w:pStyle w:val="TableReference"/>
              <w:tabs>
                <w:tab w:val="left" w:pos="3306"/>
              </w:tabs>
              <w:spacing w:before="40"/>
              <w:rPr>
                <w:rFonts w:cs="Calibri"/>
                <w:color w:val="7030A0"/>
                <w:sz w:val="14"/>
              </w:rPr>
            </w:pPr>
            <w:r w:rsidRPr="00685DB3">
              <w:rPr>
                <w:rFonts w:cs="Calibri"/>
                <w:color w:val="7030A0"/>
                <w:sz w:val="14"/>
              </w:rPr>
              <w:t>AASB140.76(d)</w:t>
            </w:r>
          </w:p>
        </w:tc>
        <w:tc>
          <w:tcPr>
            <w:tcW w:w="3102" w:type="pct"/>
            <w:gridSpan w:val="2"/>
            <w:tcBorders>
              <w:top w:val="nil"/>
              <w:left w:val="single" w:sz="2" w:space="0" w:color="auto"/>
              <w:bottom w:val="nil"/>
              <w:right w:val="nil"/>
            </w:tcBorders>
            <w:vAlign w:val="bottom"/>
          </w:tcPr>
          <w:p w14:paraId="171701C1" w14:textId="1AFF8963" w:rsidR="00BC4515" w:rsidRPr="00685DB3" w:rsidRDefault="00BC4515" w:rsidP="00BC4515">
            <w:pPr>
              <w:pStyle w:val="TableText"/>
              <w:tabs>
                <w:tab w:val="left" w:pos="3306"/>
              </w:tabs>
              <w:rPr>
                <w:rFonts w:cs="Calibri"/>
              </w:rPr>
            </w:pPr>
            <w:r w:rsidRPr="00685DB3">
              <w:rPr>
                <w:rFonts w:cs="Calibri"/>
              </w:rPr>
              <w:t>Gains from the Revaluation of Investment Properties</w:t>
            </w:r>
            <w:r w:rsidR="00FA7C77">
              <w:rPr>
                <w:rFonts w:cs="Calibri"/>
              </w:rPr>
              <w:t xml:space="preserve"> </w:t>
            </w:r>
          </w:p>
        </w:tc>
        <w:tc>
          <w:tcPr>
            <w:tcW w:w="543" w:type="pct"/>
            <w:tcBorders>
              <w:top w:val="nil"/>
              <w:left w:val="nil"/>
              <w:bottom w:val="single" w:sz="4" w:space="0" w:color="auto"/>
              <w:right w:val="nil"/>
            </w:tcBorders>
            <w:vAlign w:val="bottom"/>
          </w:tcPr>
          <w:p w14:paraId="68AB1803" w14:textId="77777777" w:rsidR="00BC4515" w:rsidRPr="00685DB3" w:rsidRDefault="00BC4515" w:rsidP="00BC4515">
            <w:pPr>
              <w:pStyle w:val="TableText"/>
              <w:tabs>
                <w:tab w:val="left" w:pos="3306"/>
              </w:tabs>
              <w:jc w:val="right"/>
              <w:rPr>
                <w:rFonts w:cs="Calibri"/>
              </w:rPr>
            </w:pPr>
          </w:p>
        </w:tc>
        <w:tc>
          <w:tcPr>
            <w:tcW w:w="610" w:type="pct"/>
            <w:tcBorders>
              <w:top w:val="nil"/>
              <w:left w:val="nil"/>
              <w:bottom w:val="single" w:sz="4" w:space="0" w:color="auto"/>
              <w:right w:val="nil"/>
            </w:tcBorders>
            <w:vAlign w:val="bottom"/>
          </w:tcPr>
          <w:p w14:paraId="06C50F33" w14:textId="77777777" w:rsidR="00BC4515" w:rsidRPr="00685DB3" w:rsidRDefault="00BC4515" w:rsidP="00BC4515">
            <w:pPr>
              <w:pStyle w:val="TableText"/>
              <w:tabs>
                <w:tab w:val="left" w:pos="3306"/>
              </w:tabs>
              <w:jc w:val="right"/>
              <w:rPr>
                <w:rFonts w:cs="Calibri"/>
              </w:rPr>
            </w:pPr>
          </w:p>
        </w:tc>
      </w:tr>
      <w:tr w:rsidR="00BC4515" w:rsidRPr="00CF7E1B" w14:paraId="4DE4D34A"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2F061DA9" w14:textId="77777777" w:rsidR="00BC4515" w:rsidRPr="00685DB3" w:rsidRDefault="00BC4515" w:rsidP="00BC4515">
            <w:pPr>
              <w:pStyle w:val="TableReference"/>
              <w:tabs>
                <w:tab w:val="left" w:pos="3306"/>
              </w:tabs>
              <w:spacing w:before="40"/>
              <w:rPr>
                <w:rFonts w:cs="Calibri"/>
                <w:color w:val="7030A0"/>
                <w:sz w:val="14"/>
              </w:rPr>
            </w:pPr>
          </w:p>
        </w:tc>
        <w:tc>
          <w:tcPr>
            <w:tcW w:w="3102" w:type="pct"/>
            <w:gridSpan w:val="2"/>
            <w:tcBorders>
              <w:top w:val="nil"/>
              <w:left w:val="single" w:sz="2" w:space="0" w:color="auto"/>
              <w:bottom w:val="nil"/>
              <w:right w:val="nil"/>
            </w:tcBorders>
            <w:vAlign w:val="bottom"/>
          </w:tcPr>
          <w:p w14:paraId="18ACB962" w14:textId="4EABF653" w:rsidR="00BC4515" w:rsidRPr="00685DB3" w:rsidRDefault="00BC4515" w:rsidP="00BC4515">
            <w:pPr>
              <w:pStyle w:val="TableText"/>
              <w:tabs>
                <w:tab w:val="left" w:pos="3306"/>
              </w:tabs>
              <w:rPr>
                <w:rFonts w:cs="Calibri"/>
                <w:b/>
                <w:bCs/>
              </w:rPr>
            </w:pPr>
            <w:r w:rsidRPr="00685DB3">
              <w:rPr>
                <w:rFonts w:cs="Calibri"/>
                <w:b/>
                <w:bCs/>
              </w:rPr>
              <w:t>Total Gains on Remeasurement of Assets</w:t>
            </w:r>
          </w:p>
        </w:tc>
        <w:tc>
          <w:tcPr>
            <w:tcW w:w="543" w:type="pct"/>
            <w:tcBorders>
              <w:top w:val="single" w:sz="4" w:space="0" w:color="auto"/>
              <w:left w:val="nil"/>
              <w:bottom w:val="single" w:sz="4" w:space="0" w:color="auto"/>
              <w:right w:val="nil"/>
            </w:tcBorders>
            <w:vAlign w:val="bottom"/>
          </w:tcPr>
          <w:p w14:paraId="3550A80A" w14:textId="77777777" w:rsidR="00BC4515" w:rsidRPr="00685DB3" w:rsidRDefault="00BC4515" w:rsidP="00BC4515">
            <w:pPr>
              <w:pStyle w:val="TableText"/>
              <w:tabs>
                <w:tab w:val="left" w:pos="3306"/>
              </w:tabs>
              <w:jc w:val="right"/>
              <w:rPr>
                <w:rFonts w:cs="Calibri"/>
              </w:rPr>
            </w:pPr>
          </w:p>
        </w:tc>
        <w:tc>
          <w:tcPr>
            <w:tcW w:w="610" w:type="pct"/>
            <w:tcBorders>
              <w:top w:val="single" w:sz="4" w:space="0" w:color="auto"/>
              <w:left w:val="nil"/>
              <w:bottom w:val="single" w:sz="4" w:space="0" w:color="auto"/>
              <w:right w:val="nil"/>
            </w:tcBorders>
            <w:vAlign w:val="bottom"/>
          </w:tcPr>
          <w:p w14:paraId="724B4D63" w14:textId="77777777" w:rsidR="00BC4515" w:rsidRPr="00685DB3" w:rsidRDefault="00BC4515" w:rsidP="00BC4515">
            <w:pPr>
              <w:pStyle w:val="TableText"/>
              <w:tabs>
                <w:tab w:val="left" w:pos="3306"/>
              </w:tabs>
              <w:jc w:val="right"/>
              <w:rPr>
                <w:rFonts w:cs="Calibri"/>
              </w:rPr>
            </w:pPr>
          </w:p>
        </w:tc>
      </w:tr>
      <w:tr w:rsidR="00BC4515" w:rsidRPr="00CF7E1B" w14:paraId="088F501B"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6D192289" w14:textId="77777777" w:rsidR="00BC4515" w:rsidRPr="00685DB3" w:rsidRDefault="00BC4515" w:rsidP="00BC4515">
            <w:pPr>
              <w:pStyle w:val="TableReference"/>
              <w:tabs>
                <w:tab w:val="left" w:pos="3306"/>
              </w:tabs>
              <w:spacing w:before="40"/>
              <w:rPr>
                <w:rFonts w:cs="Calibri"/>
                <w:color w:val="7030A0"/>
                <w:sz w:val="14"/>
              </w:rPr>
            </w:pPr>
          </w:p>
        </w:tc>
        <w:tc>
          <w:tcPr>
            <w:tcW w:w="3102" w:type="pct"/>
            <w:gridSpan w:val="2"/>
            <w:tcBorders>
              <w:top w:val="nil"/>
              <w:left w:val="single" w:sz="2" w:space="0" w:color="auto"/>
              <w:bottom w:val="nil"/>
              <w:right w:val="nil"/>
            </w:tcBorders>
            <w:vAlign w:val="bottom"/>
          </w:tcPr>
          <w:p w14:paraId="784EE198" w14:textId="77777777" w:rsidR="00BC4515" w:rsidRPr="00685DB3" w:rsidRDefault="00BC4515" w:rsidP="00BC4515">
            <w:pPr>
              <w:pStyle w:val="TableText"/>
              <w:tabs>
                <w:tab w:val="left" w:pos="3306"/>
              </w:tabs>
              <w:rPr>
                <w:rFonts w:cs="Calibri"/>
              </w:rPr>
            </w:pPr>
          </w:p>
        </w:tc>
        <w:tc>
          <w:tcPr>
            <w:tcW w:w="543" w:type="pct"/>
            <w:tcBorders>
              <w:top w:val="single" w:sz="4" w:space="0" w:color="auto"/>
              <w:left w:val="nil"/>
              <w:bottom w:val="single" w:sz="4" w:space="0" w:color="auto"/>
              <w:right w:val="nil"/>
            </w:tcBorders>
            <w:vAlign w:val="bottom"/>
          </w:tcPr>
          <w:p w14:paraId="05317FEE" w14:textId="77777777" w:rsidR="00BC4515" w:rsidRPr="00685DB3" w:rsidRDefault="00BC4515" w:rsidP="00BC4515">
            <w:pPr>
              <w:pStyle w:val="TableText"/>
              <w:tabs>
                <w:tab w:val="left" w:pos="3306"/>
              </w:tabs>
              <w:jc w:val="right"/>
              <w:rPr>
                <w:rFonts w:cs="Calibri"/>
              </w:rPr>
            </w:pPr>
          </w:p>
        </w:tc>
        <w:tc>
          <w:tcPr>
            <w:tcW w:w="610" w:type="pct"/>
            <w:tcBorders>
              <w:top w:val="single" w:sz="4" w:space="0" w:color="auto"/>
              <w:left w:val="nil"/>
              <w:bottom w:val="single" w:sz="4" w:space="0" w:color="auto"/>
              <w:right w:val="nil"/>
            </w:tcBorders>
            <w:vAlign w:val="bottom"/>
          </w:tcPr>
          <w:p w14:paraId="57057CBD" w14:textId="77777777" w:rsidR="00BC4515" w:rsidRPr="00685DB3" w:rsidRDefault="00BC4515" w:rsidP="00BC4515">
            <w:pPr>
              <w:pStyle w:val="TableText"/>
              <w:tabs>
                <w:tab w:val="left" w:pos="3306"/>
              </w:tabs>
              <w:jc w:val="right"/>
              <w:rPr>
                <w:rFonts w:cs="Calibri"/>
              </w:rPr>
            </w:pPr>
          </w:p>
        </w:tc>
      </w:tr>
      <w:tr w:rsidR="00BC4515" w:rsidRPr="00CF7E1B" w14:paraId="4DC8F14D"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BCB8FEB" w14:textId="77777777" w:rsidR="00BC4515" w:rsidRPr="00685DB3" w:rsidRDefault="00BC4515" w:rsidP="00BC4515">
            <w:pPr>
              <w:pStyle w:val="TableReference"/>
              <w:tabs>
                <w:tab w:val="left" w:pos="3306"/>
              </w:tabs>
              <w:spacing w:before="40"/>
              <w:rPr>
                <w:rFonts w:cs="Calibri"/>
                <w:color w:val="7030A0"/>
                <w:sz w:val="14"/>
              </w:rPr>
            </w:pPr>
          </w:p>
        </w:tc>
        <w:tc>
          <w:tcPr>
            <w:tcW w:w="3102" w:type="pct"/>
            <w:gridSpan w:val="2"/>
            <w:tcBorders>
              <w:top w:val="nil"/>
              <w:left w:val="single" w:sz="2" w:space="0" w:color="auto"/>
              <w:bottom w:val="nil"/>
              <w:right w:val="nil"/>
            </w:tcBorders>
            <w:vAlign w:val="bottom"/>
          </w:tcPr>
          <w:p w14:paraId="0B5D1047" w14:textId="21D49C21" w:rsidR="00BC4515" w:rsidRPr="00685DB3" w:rsidRDefault="00BC4515" w:rsidP="00BC4515">
            <w:pPr>
              <w:pStyle w:val="TableText"/>
              <w:tabs>
                <w:tab w:val="left" w:pos="3306"/>
              </w:tabs>
              <w:rPr>
                <w:rFonts w:cs="Calibri"/>
                <w:b/>
                <w:bCs/>
              </w:rPr>
            </w:pPr>
            <w:r w:rsidRPr="00685DB3">
              <w:rPr>
                <w:rFonts w:cs="Calibri"/>
                <w:b/>
                <w:bCs/>
              </w:rPr>
              <w:t>Total Gains from Disposal, Derecognition and Remeasurement of Assets</w:t>
            </w:r>
          </w:p>
        </w:tc>
        <w:tc>
          <w:tcPr>
            <w:tcW w:w="543" w:type="pct"/>
            <w:tcBorders>
              <w:top w:val="single" w:sz="4" w:space="0" w:color="auto"/>
              <w:left w:val="nil"/>
              <w:bottom w:val="double" w:sz="4" w:space="0" w:color="auto"/>
              <w:right w:val="nil"/>
            </w:tcBorders>
            <w:vAlign w:val="bottom"/>
          </w:tcPr>
          <w:p w14:paraId="0C462879" w14:textId="5B7115DB" w:rsidR="00BC4515" w:rsidRPr="00685DB3" w:rsidRDefault="00BC4515" w:rsidP="00BC4515">
            <w:pPr>
              <w:pStyle w:val="TableText"/>
              <w:tabs>
                <w:tab w:val="left" w:pos="3306"/>
              </w:tabs>
              <w:jc w:val="right"/>
              <w:rPr>
                <w:rFonts w:cs="Calibri"/>
                <w:b/>
                <w:bCs/>
              </w:rPr>
            </w:pPr>
          </w:p>
        </w:tc>
        <w:tc>
          <w:tcPr>
            <w:tcW w:w="610" w:type="pct"/>
            <w:tcBorders>
              <w:top w:val="single" w:sz="4" w:space="0" w:color="auto"/>
              <w:left w:val="nil"/>
              <w:bottom w:val="double" w:sz="4" w:space="0" w:color="auto"/>
              <w:right w:val="nil"/>
            </w:tcBorders>
            <w:vAlign w:val="bottom"/>
          </w:tcPr>
          <w:p w14:paraId="7A8B51AA" w14:textId="33122DBA" w:rsidR="00BC4515" w:rsidRPr="00685DB3" w:rsidRDefault="00BC4515" w:rsidP="00BC4515">
            <w:pPr>
              <w:pStyle w:val="TableText"/>
              <w:tabs>
                <w:tab w:val="left" w:pos="3306"/>
              </w:tabs>
              <w:jc w:val="right"/>
              <w:rPr>
                <w:rFonts w:cs="Calibri"/>
                <w:b/>
                <w:bCs/>
              </w:rPr>
            </w:pPr>
          </w:p>
        </w:tc>
      </w:tr>
      <w:tr w:rsidR="00BC4515" w:rsidRPr="00CF7E1B" w14:paraId="68EB5734"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0DDEB45" w14:textId="77777777" w:rsidR="00BC4515" w:rsidRPr="00685DB3" w:rsidRDefault="00BC4515" w:rsidP="00BC4515">
            <w:pPr>
              <w:pStyle w:val="TableReference"/>
              <w:tabs>
                <w:tab w:val="left" w:pos="3306"/>
              </w:tabs>
              <w:spacing w:before="40"/>
              <w:rPr>
                <w:rFonts w:cs="Calibri"/>
                <w:color w:val="7030A0"/>
                <w:sz w:val="14"/>
              </w:rPr>
            </w:pPr>
          </w:p>
        </w:tc>
        <w:tc>
          <w:tcPr>
            <w:tcW w:w="3102" w:type="pct"/>
            <w:gridSpan w:val="2"/>
            <w:tcBorders>
              <w:top w:val="nil"/>
              <w:left w:val="single" w:sz="2" w:space="0" w:color="auto"/>
              <w:bottom w:val="nil"/>
              <w:right w:val="nil"/>
            </w:tcBorders>
            <w:vAlign w:val="bottom"/>
          </w:tcPr>
          <w:p w14:paraId="4C9776CE" w14:textId="77777777" w:rsidR="00BC4515" w:rsidRPr="00685DB3" w:rsidRDefault="00BC4515" w:rsidP="00BC4515">
            <w:pPr>
              <w:pStyle w:val="TableText"/>
              <w:tabs>
                <w:tab w:val="left" w:pos="3306"/>
              </w:tabs>
              <w:rPr>
                <w:rFonts w:cs="Calibri"/>
              </w:rPr>
            </w:pPr>
          </w:p>
        </w:tc>
        <w:tc>
          <w:tcPr>
            <w:tcW w:w="543" w:type="pct"/>
            <w:tcBorders>
              <w:top w:val="double" w:sz="4" w:space="0" w:color="auto"/>
              <w:left w:val="nil"/>
              <w:bottom w:val="nil"/>
              <w:right w:val="nil"/>
            </w:tcBorders>
            <w:vAlign w:val="bottom"/>
          </w:tcPr>
          <w:p w14:paraId="69B59446" w14:textId="77777777" w:rsidR="00BC4515" w:rsidRPr="00685DB3" w:rsidRDefault="00BC4515" w:rsidP="00BC4515">
            <w:pPr>
              <w:pStyle w:val="TableText"/>
              <w:tabs>
                <w:tab w:val="left" w:pos="3306"/>
              </w:tabs>
              <w:jc w:val="right"/>
              <w:rPr>
                <w:rFonts w:cs="Calibri"/>
              </w:rPr>
            </w:pPr>
          </w:p>
        </w:tc>
        <w:tc>
          <w:tcPr>
            <w:tcW w:w="610" w:type="pct"/>
            <w:tcBorders>
              <w:top w:val="double" w:sz="4" w:space="0" w:color="auto"/>
              <w:left w:val="nil"/>
              <w:bottom w:val="nil"/>
              <w:right w:val="nil"/>
            </w:tcBorders>
            <w:vAlign w:val="bottom"/>
          </w:tcPr>
          <w:p w14:paraId="760640A8" w14:textId="77777777" w:rsidR="00BC4515" w:rsidRPr="00685DB3" w:rsidRDefault="00BC4515" w:rsidP="00BC4515">
            <w:pPr>
              <w:pStyle w:val="TableText"/>
              <w:tabs>
                <w:tab w:val="left" w:pos="3306"/>
              </w:tabs>
              <w:jc w:val="right"/>
              <w:rPr>
                <w:rFonts w:cs="Calibri"/>
              </w:rPr>
            </w:pPr>
          </w:p>
        </w:tc>
      </w:tr>
      <w:tr w:rsidR="00BC4515" w:rsidRPr="00CF7E1B" w14:paraId="4D338C0D"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8247CA3" w14:textId="362081AB" w:rsidR="00BC4515" w:rsidRPr="00685DB3" w:rsidRDefault="00BC4515" w:rsidP="00BC4515">
            <w:pPr>
              <w:pStyle w:val="TableReference"/>
              <w:tabs>
                <w:tab w:val="left" w:pos="3306"/>
              </w:tabs>
              <w:spacing w:before="40"/>
              <w:rPr>
                <w:rFonts w:cs="Calibri"/>
                <w:color w:val="7030A0"/>
                <w:sz w:val="14"/>
              </w:rPr>
            </w:pPr>
            <w:r w:rsidRPr="00685DB3">
              <w:rPr>
                <w:rFonts w:cs="Calibri"/>
                <w:color w:val="7030A0"/>
                <w:sz w:val="14"/>
              </w:rPr>
              <w:t>AASB 102.36(g)</w:t>
            </w:r>
          </w:p>
          <w:p w14:paraId="277D4E91" w14:textId="2E10088B" w:rsidR="00BC4515" w:rsidRPr="00685DB3" w:rsidRDefault="00BC4515" w:rsidP="00BC4515">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59333141" w14:textId="2AFD0C96" w:rsidR="00BC4515" w:rsidRPr="00685DB3" w:rsidRDefault="00BC4515" w:rsidP="007122BC">
            <w:pPr>
              <w:pStyle w:val="TableText"/>
              <w:numPr>
                <w:ilvl w:val="0"/>
                <w:numId w:val="55"/>
              </w:numPr>
              <w:tabs>
                <w:tab w:val="clear" w:pos="2082"/>
                <w:tab w:val="left" w:pos="3306"/>
              </w:tabs>
              <w:spacing w:before="0" w:after="120"/>
              <w:ind w:left="351"/>
              <w:jc w:val="both"/>
              <w:rPr>
                <w:rFonts w:cs="Calibri"/>
              </w:rPr>
            </w:pPr>
            <w:r w:rsidRPr="00685DB3">
              <w:rPr>
                <w:rFonts w:cs="Calibri"/>
              </w:rPr>
              <w:t>The decrease in Gains on Disposal of Investments of $</w:t>
            </w:r>
            <w:r w:rsidR="00436BDE">
              <w:rPr>
                <w:rFonts w:cs="Calibri"/>
              </w:rPr>
              <w:t>xxx</w:t>
            </w:r>
            <w:r w:rsidRPr="00685DB3">
              <w:rPr>
                <w:rFonts w:cs="Calibri"/>
              </w:rPr>
              <w:t xml:space="preserve"> is due to ‘</w:t>
            </w:r>
            <w:r w:rsidR="00920EA7" w:rsidRPr="00685DB3">
              <w:t xml:space="preserve">Burley Griffin </w:t>
            </w:r>
            <w:r w:rsidRPr="00685DB3">
              <w:rPr>
                <w:rFonts w:cs="Calibri"/>
              </w:rPr>
              <w:t xml:space="preserve">Agency’ having fewer investments in </w:t>
            </w:r>
            <w:r w:rsidR="0097680B" w:rsidRPr="00685DB3">
              <w:rPr>
                <w:rFonts w:cs="Calibri"/>
              </w:rPr>
              <w:t>2021-22</w:t>
            </w:r>
            <w:r w:rsidRPr="00685DB3">
              <w:rPr>
                <w:rFonts w:cs="Calibri"/>
                <w:lang w:val="en-US"/>
              </w:rPr>
              <w:t>.</w:t>
            </w:r>
            <w:r w:rsidRPr="00685DB3">
              <w:rPr>
                <w:rFonts w:cs="Calibri"/>
              </w:rPr>
              <w:t xml:space="preserve"> </w:t>
            </w:r>
          </w:p>
          <w:p w14:paraId="0D3BE101" w14:textId="2B839F3B" w:rsidR="00BC4515" w:rsidRPr="00685DB3" w:rsidRDefault="00BC4515" w:rsidP="007122BC">
            <w:pPr>
              <w:pStyle w:val="ListParagraph"/>
              <w:numPr>
                <w:ilvl w:val="0"/>
                <w:numId w:val="55"/>
              </w:numPr>
              <w:tabs>
                <w:tab w:val="clear" w:pos="2082"/>
              </w:tabs>
              <w:ind w:left="351"/>
              <w:rPr>
                <w:sz w:val="20"/>
                <w:szCs w:val="20"/>
              </w:rPr>
            </w:pPr>
            <w:r w:rsidRPr="00685DB3">
              <w:rPr>
                <w:sz w:val="18"/>
                <w:szCs w:val="18"/>
              </w:rPr>
              <w:t xml:space="preserve">The reversal of the write-down of inventory </w:t>
            </w:r>
            <w:r w:rsidRPr="00685DB3">
              <w:rPr>
                <w:rFonts w:cs="Calibri"/>
                <w:sz w:val="18"/>
                <w:szCs w:val="18"/>
              </w:rPr>
              <w:t>of $</w:t>
            </w:r>
            <w:r w:rsidR="00436BDE">
              <w:rPr>
                <w:rFonts w:cs="Calibri"/>
                <w:sz w:val="18"/>
                <w:szCs w:val="18"/>
              </w:rPr>
              <w:t>xxx</w:t>
            </w:r>
            <w:r w:rsidRPr="00685DB3">
              <w:rPr>
                <w:sz w:val="18"/>
                <w:szCs w:val="18"/>
              </w:rPr>
              <w:t xml:space="preserve"> was due to a reassessment of the net realisable value of that inventory.</w:t>
            </w:r>
          </w:p>
        </w:tc>
      </w:tr>
      <w:tr w:rsidR="00685DB3" w:rsidRPr="00CF7E1B" w14:paraId="5C0DE79F"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5709EDD" w14:textId="77777777" w:rsidR="00685DB3" w:rsidRPr="00685DB3" w:rsidRDefault="00685DB3" w:rsidP="00BC4515">
            <w:pPr>
              <w:pStyle w:val="TableReference"/>
              <w:tabs>
                <w:tab w:val="left" w:pos="3306"/>
              </w:tabs>
              <w:spacing w:before="40"/>
              <w:rPr>
                <w:rFonts w:cs="Calibri"/>
                <w:color w:val="7030A0"/>
                <w:sz w:val="14"/>
              </w:rPr>
            </w:pPr>
          </w:p>
        </w:tc>
        <w:tc>
          <w:tcPr>
            <w:tcW w:w="4255" w:type="pct"/>
            <w:gridSpan w:val="4"/>
            <w:tcBorders>
              <w:top w:val="nil"/>
              <w:left w:val="single" w:sz="2" w:space="0" w:color="auto"/>
              <w:bottom w:val="nil"/>
              <w:right w:val="nil"/>
            </w:tcBorders>
            <w:vAlign w:val="bottom"/>
          </w:tcPr>
          <w:p w14:paraId="0C8B6E2A" w14:textId="77777777" w:rsidR="00685DB3" w:rsidRPr="00F14B06" w:rsidRDefault="00685DB3" w:rsidP="00685DB3">
            <w:pPr>
              <w:pStyle w:val="TableText"/>
              <w:tabs>
                <w:tab w:val="left" w:pos="3306"/>
              </w:tabs>
              <w:spacing w:before="0" w:after="120"/>
              <w:jc w:val="both"/>
              <w:rPr>
                <w:rFonts w:cs="Calibri"/>
              </w:rPr>
            </w:pPr>
          </w:p>
        </w:tc>
      </w:tr>
      <w:tr w:rsidR="00BC4515" w:rsidRPr="00CF7E1B" w14:paraId="324F089A"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D909A66" w14:textId="01A24610" w:rsidR="00BC4515" w:rsidRPr="00685DB3" w:rsidRDefault="00BC4515" w:rsidP="00BC4515">
            <w:pPr>
              <w:pStyle w:val="TableReference"/>
              <w:tabs>
                <w:tab w:val="left" w:pos="3306"/>
              </w:tabs>
              <w:spacing w:before="120" w:after="240"/>
              <w:rPr>
                <w:rFonts w:cs="Calibri"/>
                <w:b/>
                <w:color w:val="7030A0"/>
                <w:sz w:val="14"/>
              </w:rPr>
            </w:pPr>
            <w:r w:rsidRPr="00685DB3">
              <w:rPr>
                <w:color w:val="7030A0"/>
                <w:sz w:val="14"/>
              </w:rPr>
              <w:br w:type="page"/>
            </w:r>
            <w:r w:rsidRPr="00685DB3">
              <w:rPr>
                <w:color w:val="7030A0"/>
                <w:sz w:val="14"/>
              </w:rPr>
              <w:br w:type="page"/>
            </w:r>
            <w:r w:rsidRPr="00685DB3">
              <w:rPr>
                <w:rFonts w:cs="Calibri"/>
                <w:b/>
                <w:color w:val="7030A0"/>
                <w:sz w:val="14"/>
              </w:rPr>
              <w:br w:type="page"/>
            </w:r>
          </w:p>
        </w:tc>
        <w:tc>
          <w:tcPr>
            <w:tcW w:w="4255" w:type="pct"/>
            <w:gridSpan w:val="4"/>
            <w:tcBorders>
              <w:top w:val="nil"/>
              <w:left w:val="single" w:sz="2" w:space="0" w:color="auto"/>
              <w:bottom w:val="nil"/>
              <w:right w:val="nil"/>
            </w:tcBorders>
            <w:shd w:val="clear" w:color="auto" w:fill="7030A0"/>
          </w:tcPr>
          <w:p w14:paraId="3F80266D" w14:textId="38E86C2C" w:rsidR="00BC4515" w:rsidRPr="00685DB3" w:rsidRDefault="00BC4515" w:rsidP="00BC4515">
            <w:pPr>
              <w:pStyle w:val="CommentaryTitle"/>
              <w:spacing w:after="240"/>
              <w:rPr>
                <w:rFonts w:cs="Calibri"/>
                <w:bCs w:val="0"/>
                <w:color w:val="FFFFFF" w:themeColor="background1"/>
                <w:sz w:val="28"/>
                <w:szCs w:val="28"/>
              </w:rPr>
            </w:pPr>
            <w:bookmarkStart w:id="379" w:name="_Toc163106320"/>
            <w:bookmarkStart w:id="380" w:name="_Toc194977575"/>
            <w:r w:rsidRPr="00685DB3">
              <w:rPr>
                <w:rFonts w:cs="Calibri"/>
                <w:bCs w:val="0"/>
                <w:color w:val="FFFFFF" w:themeColor="background1"/>
                <w:sz w:val="28"/>
                <w:szCs w:val="28"/>
              </w:rPr>
              <w:t xml:space="preserve">Commentary – Note 8: Gains </w:t>
            </w:r>
            <w:bookmarkEnd w:id="379"/>
            <w:bookmarkEnd w:id="380"/>
            <w:r w:rsidRPr="00685DB3">
              <w:rPr>
                <w:rFonts w:cs="Calibri"/>
                <w:bCs w:val="0"/>
                <w:color w:val="FFFFFF" w:themeColor="background1"/>
                <w:sz w:val="28"/>
                <w:szCs w:val="28"/>
              </w:rPr>
              <w:t xml:space="preserve">from Disposal, Derecognition and </w:t>
            </w:r>
            <w:r w:rsidR="003850B2" w:rsidRPr="00685DB3">
              <w:rPr>
                <w:rFonts w:cs="Calibri"/>
                <w:bCs w:val="0"/>
                <w:color w:val="FFFFFF" w:themeColor="background1"/>
                <w:sz w:val="28"/>
                <w:szCs w:val="28"/>
              </w:rPr>
              <w:t>Remeasurement</w:t>
            </w:r>
            <w:r w:rsidRPr="00685DB3">
              <w:rPr>
                <w:rFonts w:cs="Calibri"/>
                <w:bCs w:val="0"/>
                <w:color w:val="FFFFFF" w:themeColor="background1"/>
                <w:sz w:val="28"/>
                <w:szCs w:val="28"/>
              </w:rPr>
              <w:t xml:space="preserve"> of Assets </w:t>
            </w:r>
          </w:p>
        </w:tc>
      </w:tr>
      <w:tr w:rsidR="00790B3E" w:rsidRPr="00CF7E1B" w14:paraId="6503CA9B"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77490A59" w14:textId="77777777" w:rsidR="00790B3E" w:rsidRPr="00685DB3" w:rsidRDefault="00790B3E" w:rsidP="00790B3E">
            <w:pPr>
              <w:pStyle w:val="TableReference"/>
              <w:tabs>
                <w:tab w:val="left" w:pos="3306"/>
              </w:tabs>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481EEA00" w14:textId="59F7118A" w:rsidR="00790B3E" w:rsidRPr="00685DB3" w:rsidRDefault="00790B3E" w:rsidP="00790B3E">
            <w:pPr>
              <w:pStyle w:val="CommentaryText"/>
              <w:rPr>
                <w:rFonts w:cs="Calibri"/>
                <w:strike/>
                <w:color w:val="FFFFFF" w:themeColor="background1"/>
                <w:sz w:val="18"/>
                <w:szCs w:val="18"/>
              </w:rPr>
            </w:pPr>
            <w:r w:rsidRPr="00685DB3">
              <w:rPr>
                <w:rFonts w:cs="Calibri"/>
                <w:color w:val="FFFFFF" w:themeColor="background1"/>
                <w:sz w:val="18"/>
                <w:szCs w:val="18"/>
              </w:rPr>
              <w:t>The breakdown shown in this note disclosure is an example only.</w:t>
            </w:r>
            <w:r w:rsidR="00FA7C77">
              <w:rPr>
                <w:rFonts w:cs="Calibri"/>
                <w:color w:val="FFFFFF" w:themeColor="background1"/>
                <w:sz w:val="18"/>
                <w:szCs w:val="18"/>
              </w:rPr>
              <w:t xml:space="preserve"> </w:t>
            </w:r>
            <w:r w:rsidRPr="00685DB3">
              <w:rPr>
                <w:rFonts w:cs="Calibri"/>
                <w:color w:val="FFFFFF" w:themeColor="background1"/>
                <w:sz w:val="18"/>
                <w:szCs w:val="18"/>
              </w:rPr>
              <w:t>Agencies should only include line items that are applicable to them where material.</w:t>
            </w:r>
            <w:r w:rsidR="00FA7C77">
              <w:rPr>
                <w:rFonts w:cs="Calibri"/>
                <w:color w:val="FFFFFF" w:themeColor="background1"/>
                <w:sz w:val="18"/>
                <w:szCs w:val="18"/>
              </w:rPr>
              <w:t xml:space="preserve"> </w:t>
            </w:r>
          </w:p>
        </w:tc>
      </w:tr>
      <w:tr w:rsidR="00BC4515" w:rsidRPr="00CF7E1B" w14:paraId="0A75AAC8"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E16F8C3" w14:textId="4597EDB4" w:rsidR="00BC4515" w:rsidRPr="00685DB3" w:rsidRDefault="00BC4515" w:rsidP="00BC4515">
            <w:pPr>
              <w:pStyle w:val="TableReference"/>
              <w:tabs>
                <w:tab w:val="left" w:pos="3306"/>
              </w:tabs>
              <w:spacing w:before="120"/>
              <w:rPr>
                <w:rFonts w:cs="Calibri"/>
                <w:color w:val="7030A0"/>
                <w:sz w:val="14"/>
              </w:rPr>
            </w:pPr>
            <w:r w:rsidRPr="00685DB3">
              <w:rPr>
                <w:rFonts w:cs="Calibri"/>
                <w:color w:val="7030A0"/>
                <w:sz w:val="14"/>
              </w:rPr>
              <w:t>AASB</w:t>
            </w:r>
            <w:r w:rsidR="00E911C4" w:rsidRPr="00685DB3">
              <w:rPr>
                <w:rFonts w:cs="Calibri"/>
                <w:color w:val="7030A0"/>
                <w:sz w:val="14"/>
              </w:rPr>
              <w:t xml:space="preserve"> </w:t>
            </w:r>
            <w:r w:rsidRPr="00685DB3">
              <w:rPr>
                <w:rFonts w:cs="Calibri"/>
                <w:color w:val="7030A0"/>
                <w:sz w:val="14"/>
              </w:rPr>
              <w:t>101.35</w:t>
            </w:r>
          </w:p>
          <w:p w14:paraId="3B57E396" w14:textId="77777777" w:rsidR="00BC4515" w:rsidRPr="00685DB3" w:rsidRDefault="00BC4515" w:rsidP="00BC4515">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35C2BA66" w14:textId="2BB9B1B2" w:rsidR="00BC4515" w:rsidRPr="00685DB3" w:rsidRDefault="00BC4515" w:rsidP="00BC4515">
            <w:pPr>
              <w:pStyle w:val="CommentaryText"/>
              <w:rPr>
                <w:rFonts w:cs="Calibri"/>
                <w:color w:val="FFFFFF" w:themeColor="background1"/>
                <w:sz w:val="18"/>
                <w:szCs w:val="18"/>
              </w:rPr>
            </w:pPr>
            <w:r w:rsidRPr="00685DB3">
              <w:rPr>
                <w:rFonts w:cs="Calibri"/>
                <w:color w:val="FFFFFF" w:themeColor="background1"/>
                <w:sz w:val="18"/>
                <w:szCs w:val="18"/>
              </w:rPr>
              <w:t>Gains and losses arising from a group of similar transactions should be reported on a net basis.</w:t>
            </w:r>
            <w:r w:rsidR="00FA7C77">
              <w:rPr>
                <w:rFonts w:cs="Calibri"/>
                <w:color w:val="FFFFFF" w:themeColor="background1"/>
                <w:sz w:val="18"/>
                <w:szCs w:val="18"/>
              </w:rPr>
              <w:t xml:space="preserve"> </w:t>
            </w:r>
            <w:r w:rsidRPr="00685DB3">
              <w:rPr>
                <w:rFonts w:cs="Calibri"/>
                <w:color w:val="FFFFFF" w:themeColor="background1"/>
                <w:sz w:val="18"/>
                <w:szCs w:val="18"/>
              </w:rPr>
              <w:t>However, if the gains and losses are material they should be reported separately</w:t>
            </w:r>
            <w:r w:rsidR="001E62F8" w:rsidRPr="00685DB3">
              <w:rPr>
                <w:rFonts w:cs="Calibri"/>
                <w:color w:val="FFFFFF" w:themeColor="background1"/>
                <w:sz w:val="18"/>
                <w:szCs w:val="18"/>
              </w:rPr>
              <w:t xml:space="preserve">, </w:t>
            </w:r>
            <w:r w:rsidR="007075A3" w:rsidRPr="00685DB3">
              <w:rPr>
                <w:rFonts w:cs="Calibri"/>
                <w:color w:val="FFFFFF" w:themeColor="background1"/>
                <w:sz w:val="18"/>
                <w:szCs w:val="18"/>
              </w:rPr>
              <w:t xml:space="preserve">except for the </w:t>
            </w:r>
            <w:bookmarkStart w:id="381" w:name="_Hlk91001179"/>
            <w:r w:rsidR="001E62F8" w:rsidRPr="00685DB3">
              <w:rPr>
                <w:rFonts w:cs="Calibri"/>
                <w:color w:val="FFFFFF" w:themeColor="background1"/>
                <w:sz w:val="18"/>
                <w:szCs w:val="18"/>
              </w:rPr>
              <w:t xml:space="preserve">Territory Banking Account </w:t>
            </w:r>
            <w:r w:rsidR="007075A3" w:rsidRPr="00685DB3">
              <w:rPr>
                <w:rFonts w:cs="Calibri"/>
                <w:color w:val="FFFFFF" w:themeColor="background1"/>
                <w:sz w:val="18"/>
                <w:szCs w:val="18"/>
              </w:rPr>
              <w:t xml:space="preserve">who will show </w:t>
            </w:r>
            <w:r w:rsidR="001E62F8" w:rsidRPr="00685DB3">
              <w:rPr>
                <w:rFonts w:cs="Calibri"/>
                <w:color w:val="FFFFFF" w:themeColor="background1"/>
                <w:sz w:val="18"/>
                <w:szCs w:val="18"/>
              </w:rPr>
              <w:t xml:space="preserve">all gains and losses </w:t>
            </w:r>
            <w:r w:rsidR="007075A3" w:rsidRPr="00685DB3">
              <w:rPr>
                <w:rFonts w:cs="Calibri"/>
                <w:color w:val="FFFFFF" w:themeColor="background1"/>
                <w:sz w:val="18"/>
                <w:szCs w:val="18"/>
              </w:rPr>
              <w:t xml:space="preserve">resulting from financial </w:t>
            </w:r>
            <w:r w:rsidR="001E62F8" w:rsidRPr="00685DB3">
              <w:rPr>
                <w:rFonts w:cs="Calibri"/>
                <w:color w:val="FFFFFF" w:themeColor="background1"/>
                <w:sz w:val="18"/>
                <w:szCs w:val="18"/>
              </w:rPr>
              <w:t>assets on a net basis</w:t>
            </w:r>
            <w:r w:rsidRPr="00685DB3">
              <w:rPr>
                <w:rFonts w:cs="Calibri"/>
                <w:color w:val="FFFFFF" w:themeColor="background1"/>
                <w:sz w:val="18"/>
                <w:szCs w:val="18"/>
              </w:rPr>
              <w:t>.</w:t>
            </w:r>
            <w:bookmarkEnd w:id="381"/>
          </w:p>
        </w:tc>
      </w:tr>
      <w:tr w:rsidR="00BC4515" w:rsidRPr="00CF7E1B" w14:paraId="48249D6A"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56201EF" w14:textId="77777777" w:rsidR="00BC4515" w:rsidRPr="00685DB3" w:rsidRDefault="00BC4515" w:rsidP="00BC4515">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5BF1039E" w14:textId="0251F579" w:rsidR="00BC4515" w:rsidRPr="00685DB3" w:rsidRDefault="00BC4515" w:rsidP="00BC4515">
            <w:pPr>
              <w:pStyle w:val="CommentaryText"/>
              <w:rPr>
                <w:rFonts w:cs="Calibri"/>
                <w:color w:val="FFFFFF" w:themeColor="background1"/>
                <w:sz w:val="18"/>
                <w:szCs w:val="18"/>
              </w:rPr>
            </w:pPr>
            <w:r w:rsidRPr="00685DB3">
              <w:rPr>
                <w:rFonts w:cs="Calibri"/>
                <w:color w:val="FFFFFF" w:themeColor="background1"/>
                <w:sz w:val="18"/>
                <w:szCs w:val="18"/>
              </w:rPr>
              <w:t>If an agency has made a net gain on investments held with the Territory Banking Account</w:t>
            </w:r>
            <w:r w:rsidR="00334F66" w:rsidRPr="00685DB3">
              <w:rPr>
                <w:rFonts w:cs="Calibri"/>
                <w:color w:val="FFFFFF" w:themeColor="background1"/>
                <w:sz w:val="18"/>
                <w:szCs w:val="18"/>
              </w:rPr>
              <w:t xml:space="preserve"> or on the </w:t>
            </w:r>
            <w:r w:rsidR="00790B3E" w:rsidRPr="00685DB3">
              <w:rPr>
                <w:rFonts w:cs="Calibri"/>
                <w:color w:val="FFFFFF" w:themeColor="background1"/>
                <w:sz w:val="18"/>
                <w:szCs w:val="18"/>
              </w:rPr>
              <w:t>Sale of Assets</w:t>
            </w:r>
            <w:r w:rsidRPr="00685DB3">
              <w:rPr>
                <w:rFonts w:cs="Calibri"/>
                <w:color w:val="FFFFFF" w:themeColor="background1"/>
                <w:sz w:val="18"/>
                <w:szCs w:val="18"/>
              </w:rPr>
              <w:t xml:space="preserve"> this is presented in </w:t>
            </w:r>
            <w:r w:rsidRPr="00685DB3">
              <w:rPr>
                <w:rFonts w:cs="Calibri"/>
                <w:i/>
                <w:iCs/>
                <w:color w:val="FFFFFF" w:themeColor="background1"/>
                <w:sz w:val="18"/>
                <w:szCs w:val="18"/>
              </w:rPr>
              <w:t>Gains</w:t>
            </w:r>
            <w:r w:rsidR="00334F66" w:rsidRPr="00685DB3">
              <w:rPr>
                <w:rFonts w:cs="Calibri"/>
                <w:i/>
                <w:iCs/>
                <w:color w:val="FFFFFF" w:themeColor="background1"/>
                <w:sz w:val="18"/>
                <w:szCs w:val="18"/>
              </w:rPr>
              <w:t xml:space="preserve"> from Disposal, Derecognition and Remeasurement of Assets</w:t>
            </w:r>
            <w:r w:rsidRPr="00685DB3">
              <w:rPr>
                <w:rFonts w:cs="Calibri"/>
                <w:color w:val="FFFFFF" w:themeColor="background1"/>
                <w:sz w:val="18"/>
                <w:szCs w:val="18"/>
              </w:rPr>
              <w:t>. If an agency makes a net loss on investments with the Territory Banking Account</w:t>
            </w:r>
            <w:r w:rsidR="00790B3E" w:rsidRPr="00685DB3">
              <w:rPr>
                <w:rFonts w:cs="Calibri"/>
                <w:color w:val="FFFFFF" w:themeColor="background1"/>
                <w:sz w:val="18"/>
                <w:szCs w:val="18"/>
              </w:rPr>
              <w:t xml:space="preserve"> or on the Sale of Assets</w:t>
            </w:r>
            <w:r w:rsidRPr="00685DB3">
              <w:rPr>
                <w:rFonts w:cs="Calibri"/>
                <w:color w:val="FFFFFF" w:themeColor="background1"/>
                <w:sz w:val="18"/>
                <w:szCs w:val="18"/>
              </w:rPr>
              <w:t xml:space="preserve">, this amount will appear in Note </w:t>
            </w:r>
            <w:r w:rsidR="00656D60" w:rsidRPr="00685DB3">
              <w:rPr>
                <w:rFonts w:cs="Calibri"/>
                <w:color w:val="FFFFFF" w:themeColor="background1"/>
                <w:sz w:val="18"/>
                <w:szCs w:val="18"/>
              </w:rPr>
              <w:t>14</w:t>
            </w:r>
            <w:r w:rsidRPr="00685DB3">
              <w:rPr>
                <w:rFonts w:cs="Calibri"/>
                <w:color w:val="FFFFFF" w:themeColor="background1"/>
                <w:sz w:val="18"/>
                <w:szCs w:val="18"/>
              </w:rPr>
              <w:t xml:space="preserve"> </w:t>
            </w:r>
            <w:r w:rsidRPr="00685DB3">
              <w:rPr>
                <w:rFonts w:cs="Calibri"/>
                <w:i/>
                <w:iCs/>
                <w:color w:val="FFFFFF" w:themeColor="background1"/>
                <w:sz w:val="18"/>
                <w:szCs w:val="18"/>
              </w:rPr>
              <w:t>Other Expenses</w:t>
            </w:r>
            <w:r w:rsidRPr="00685DB3">
              <w:rPr>
                <w:rFonts w:cs="Calibri"/>
                <w:color w:val="FFFFFF" w:themeColor="background1"/>
                <w:sz w:val="18"/>
                <w:szCs w:val="18"/>
              </w:rPr>
              <w:t>.</w:t>
            </w:r>
          </w:p>
        </w:tc>
      </w:tr>
      <w:tr w:rsidR="001E62F8" w:rsidRPr="00CF7E1B" w14:paraId="27F65296"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1436864D" w14:textId="77777777" w:rsidR="001E62F8" w:rsidRPr="00685DB3" w:rsidRDefault="001E62F8" w:rsidP="00BC4515">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37E6955E" w14:textId="75289DE3" w:rsidR="001E62F8" w:rsidRPr="00685DB3" w:rsidRDefault="001E62F8" w:rsidP="001E62F8">
            <w:pPr>
              <w:pStyle w:val="CommentaryText"/>
              <w:spacing w:after="40"/>
              <w:rPr>
                <w:rFonts w:cs="Calibri"/>
                <w:color w:val="FFFFFF" w:themeColor="background1"/>
                <w:sz w:val="18"/>
                <w:szCs w:val="18"/>
              </w:rPr>
            </w:pPr>
            <w:r w:rsidRPr="00685DB3">
              <w:rPr>
                <w:rFonts w:cs="Calibri"/>
                <w:color w:val="FFFFFF" w:themeColor="background1"/>
                <w:sz w:val="18"/>
                <w:szCs w:val="18"/>
              </w:rPr>
              <w:t>Agencies should be aware that if they have material amounts against the line items listed below, they should be included in the Other Income note:</w:t>
            </w:r>
          </w:p>
          <w:p w14:paraId="27F416CD" w14:textId="37DA4B39" w:rsidR="001E62F8" w:rsidRPr="00685DB3" w:rsidRDefault="001E62F8"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685DB3">
              <w:rPr>
                <w:rFonts w:cs="Calibri"/>
                <w:color w:val="FFFFFF" w:themeColor="background1"/>
                <w:sz w:val="18"/>
                <w:szCs w:val="18"/>
              </w:rPr>
              <w:t>reversal of asset revaluation decrements previously expensed, or</w:t>
            </w:r>
          </w:p>
          <w:p w14:paraId="0ACAFA70" w14:textId="77777777" w:rsidR="001E62F8" w:rsidRPr="00685DB3" w:rsidRDefault="001E62F8"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685DB3">
              <w:rPr>
                <w:rFonts w:cs="Calibri"/>
                <w:color w:val="FFFFFF" w:themeColor="background1"/>
                <w:sz w:val="18"/>
                <w:szCs w:val="18"/>
              </w:rPr>
              <w:t>re-recognition of assets previously written-off.</w:t>
            </w:r>
          </w:p>
        </w:tc>
      </w:tr>
      <w:tr w:rsidR="00BC4515" w:rsidRPr="00CF7E1B" w14:paraId="47561C92"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408EFEA4" w14:textId="77777777" w:rsidR="00BC4515" w:rsidRPr="00685DB3" w:rsidRDefault="00BC4515" w:rsidP="00BC4515">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48CBA3C2" w14:textId="46D78F57" w:rsidR="00BC4515" w:rsidRPr="00C34A6F" w:rsidRDefault="00BC4515" w:rsidP="00685DB3">
            <w:pPr>
              <w:pStyle w:val="CommentaryText"/>
              <w:spacing w:before="120" w:after="0"/>
              <w:rPr>
                <w:rFonts w:cs="Calibri"/>
                <w:strike/>
                <w:color w:val="FFFFFF" w:themeColor="background1"/>
                <w:szCs w:val="20"/>
              </w:rPr>
            </w:pPr>
            <w:r w:rsidRPr="00C34A6F">
              <w:rPr>
                <w:rFonts w:cs="Calibri"/>
                <w:b/>
                <w:bCs/>
                <w:color w:val="FFFFFF" w:themeColor="background1"/>
                <w:szCs w:val="20"/>
              </w:rPr>
              <w:t>Reversal of Impairment Loss</w:t>
            </w:r>
          </w:p>
        </w:tc>
      </w:tr>
      <w:tr w:rsidR="00BC4515" w:rsidRPr="00CF7E1B" w14:paraId="3A3A96F9"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nil"/>
              <w:left w:val="single" w:sz="2" w:space="0" w:color="auto"/>
              <w:bottom w:val="nil"/>
              <w:right w:val="single" w:sz="2" w:space="0" w:color="auto"/>
            </w:tcBorders>
          </w:tcPr>
          <w:p w14:paraId="302A5F0A" w14:textId="77777777" w:rsidR="00BC4515" w:rsidRPr="00685DB3" w:rsidRDefault="00BC4515" w:rsidP="00BC4515">
            <w:pPr>
              <w:pStyle w:val="TableReference"/>
              <w:tabs>
                <w:tab w:val="left" w:pos="3306"/>
              </w:tabs>
              <w:spacing w:before="120"/>
              <w:rPr>
                <w:rFonts w:cs="Calibri"/>
                <w:color w:val="7030A0"/>
                <w:sz w:val="14"/>
              </w:rPr>
            </w:pPr>
            <w:r w:rsidRPr="00685DB3">
              <w:rPr>
                <w:rFonts w:cs="Calibri"/>
                <w:color w:val="7030A0"/>
                <w:sz w:val="14"/>
              </w:rPr>
              <w:t>AASB 136.126(b)</w:t>
            </w:r>
          </w:p>
          <w:p w14:paraId="33BDCF1F" w14:textId="77777777" w:rsidR="00BC4515" w:rsidRPr="00685DB3" w:rsidRDefault="00BC4515" w:rsidP="00BC4515">
            <w:pPr>
              <w:pStyle w:val="TableReference"/>
              <w:tabs>
                <w:tab w:val="left" w:pos="3306"/>
              </w:tabs>
              <w:spacing w:before="60"/>
              <w:rPr>
                <w:rFonts w:cs="Calibri"/>
                <w:color w:val="7030A0"/>
                <w:sz w:val="14"/>
              </w:rPr>
            </w:pPr>
          </w:p>
        </w:tc>
        <w:tc>
          <w:tcPr>
            <w:tcW w:w="4255" w:type="pct"/>
            <w:gridSpan w:val="4"/>
            <w:tcBorders>
              <w:top w:val="nil"/>
              <w:left w:val="single" w:sz="2" w:space="0" w:color="auto"/>
              <w:bottom w:val="nil"/>
              <w:right w:val="nil"/>
            </w:tcBorders>
            <w:shd w:val="clear" w:color="auto" w:fill="7030A0"/>
          </w:tcPr>
          <w:p w14:paraId="13BFA571" w14:textId="4A8DA6BE" w:rsidR="00BC4515" w:rsidRPr="00685DB3" w:rsidRDefault="00BC4515" w:rsidP="00BC4515">
            <w:pPr>
              <w:pStyle w:val="CommentaryText"/>
              <w:rPr>
                <w:rFonts w:cs="Calibri"/>
                <w:strike/>
                <w:color w:val="FFFFFF" w:themeColor="background1"/>
                <w:sz w:val="18"/>
                <w:szCs w:val="18"/>
              </w:rPr>
            </w:pPr>
            <w:r w:rsidRPr="00685DB3">
              <w:rPr>
                <w:rFonts w:cs="Calibri"/>
                <w:color w:val="FFFFFF" w:themeColor="background1"/>
                <w:sz w:val="18"/>
                <w:szCs w:val="18"/>
              </w:rPr>
              <w:t>An agency shall disclose, for each class of asset, the amount of reversals of impairment losses recognised in the Operating Statement during the reporting period and the line item(s) of the Operating Statement in which those impairment losses are reversed.</w:t>
            </w:r>
            <w:r w:rsidR="00FA7C77">
              <w:rPr>
                <w:rFonts w:cs="Calibri"/>
                <w:color w:val="FFFFFF" w:themeColor="background1"/>
                <w:sz w:val="18"/>
                <w:szCs w:val="18"/>
              </w:rPr>
              <w:t xml:space="preserve"> </w:t>
            </w:r>
            <w:r w:rsidRPr="00685DB3">
              <w:rPr>
                <w:rFonts w:cs="Calibri"/>
                <w:color w:val="FFFFFF" w:themeColor="background1"/>
                <w:sz w:val="18"/>
                <w:szCs w:val="18"/>
              </w:rPr>
              <w:t>However, given that agencies are required to measure most Property, Plant and Equipment at fair value, most reversals of impairment losses will go through the Asset Revaluation Surplus.</w:t>
            </w:r>
            <w:r w:rsidR="00FA7C77">
              <w:rPr>
                <w:rFonts w:cs="Calibri"/>
                <w:color w:val="FFFFFF" w:themeColor="background1"/>
                <w:sz w:val="18"/>
                <w:szCs w:val="18"/>
              </w:rPr>
              <w:t xml:space="preserve"> </w:t>
            </w:r>
            <w:r w:rsidRPr="00685DB3">
              <w:rPr>
                <w:rFonts w:cs="Calibri"/>
                <w:color w:val="FFFFFF" w:themeColor="background1"/>
                <w:sz w:val="18"/>
                <w:szCs w:val="18"/>
              </w:rPr>
              <w:t>Any balance not able to be met by the Asset Revaluation Surplus would be recognised in the Operating Statement.</w:t>
            </w:r>
          </w:p>
        </w:tc>
      </w:tr>
      <w:tr w:rsidR="00264112" w:rsidRPr="00732D84" w14:paraId="6BE89732"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32C02D23" w14:textId="0534F6CC" w:rsidR="004F432E" w:rsidRPr="0046400A" w:rsidRDefault="00B208FF" w:rsidP="00A23E0E">
            <w:pPr>
              <w:pStyle w:val="TableReference"/>
              <w:tabs>
                <w:tab w:val="left" w:pos="3306"/>
              </w:tabs>
              <w:spacing w:before="240" w:after="240"/>
              <w:rPr>
                <w:rFonts w:cs="Calibri"/>
                <w:b/>
                <w:color w:val="7030A0"/>
                <w:sz w:val="22"/>
                <w:szCs w:val="22"/>
              </w:rPr>
            </w:pPr>
            <w:bookmarkStart w:id="382" w:name="GainsOther" w:colFirst="1" w:colLast="1"/>
            <w:r w:rsidRPr="0046400A">
              <w:rPr>
                <w:color w:val="7030A0"/>
              </w:rPr>
              <w:br w:type="page"/>
            </w:r>
            <w:r w:rsidR="00A7058E" w:rsidRPr="0046400A">
              <w:rPr>
                <w:rFonts w:cs="Calibri"/>
                <w:b/>
                <w:color w:val="7030A0"/>
                <w:sz w:val="22"/>
                <w:szCs w:val="22"/>
              </w:rPr>
              <w:t>Reference</w:t>
            </w:r>
          </w:p>
        </w:tc>
        <w:tc>
          <w:tcPr>
            <w:tcW w:w="4255" w:type="pct"/>
            <w:gridSpan w:val="4"/>
            <w:tcBorders>
              <w:top w:val="nil"/>
              <w:left w:val="single" w:sz="2" w:space="0" w:color="auto"/>
              <w:bottom w:val="nil"/>
              <w:right w:val="nil"/>
            </w:tcBorders>
          </w:tcPr>
          <w:p w14:paraId="119067BE" w14:textId="118C96AF" w:rsidR="004F432E" w:rsidRPr="0046400A" w:rsidRDefault="005753CF" w:rsidP="00A23E0E">
            <w:pPr>
              <w:pStyle w:val="Heading1"/>
              <w:numPr>
                <w:ilvl w:val="0"/>
                <w:numId w:val="0"/>
              </w:numPr>
            </w:pPr>
            <w:bookmarkStart w:id="383" w:name="OLE_LINK14"/>
            <w:bookmarkStart w:id="384" w:name="_Toc400627328"/>
            <w:bookmarkStart w:id="385" w:name="_Toc98763077"/>
            <w:r w:rsidRPr="0046400A">
              <w:t xml:space="preserve">Note </w:t>
            </w:r>
            <w:r w:rsidR="00012822" w:rsidRPr="0046400A">
              <w:t>9</w:t>
            </w:r>
            <w:r w:rsidR="00DE4F6D" w:rsidRPr="0046400A">
              <w:t>.</w:t>
            </w:r>
            <w:r w:rsidR="00FA7C77">
              <w:t xml:space="preserve"> </w:t>
            </w:r>
            <w:r w:rsidR="00DE4F6D" w:rsidRPr="0046400A">
              <w:t xml:space="preserve"> </w:t>
            </w:r>
            <w:r w:rsidR="005010B8" w:rsidRPr="0046400A">
              <w:t>O</w:t>
            </w:r>
            <w:r w:rsidR="00DE4F6D" w:rsidRPr="0046400A">
              <w:t xml:space="preserve">ther </w:t>
            </w:r>
            <w:r w:rsidR="00732D84" w:rsidRPr="0046400A">
              <w:t>Income</w:t>
            </w:r>
            <w:bookmarkEnd w:id="383"/>
            <w:bookmarkEnd w:id="384"/>
            <w:bookmarkEnd w:id="385"/>
            <w:r w:rsidR="003B7DA2" w:rsidRPr="0046400A">
              <w:t xml:space="preserve"> </w:t>
            </w:r>
          </w:p>
        </w:tc>
      </w:tr>
      <w:tr w:rsidR="0067344C" w:rsidRPr="00732D84" w14:paraId="3276128A"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30EBE26" w14:textId="77777777" w:rsidR="0067344C" w:rsidRPr="0046400A" w:rsidRDefault="0067344C" w:rsidP="0067344C">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17A1BA55" w14:textId="3AB621B7" w:rsidR="0067344C" w:rsidRPr="0046400A" w:rsidRDefault="006C49B2" w:rsidP="0067344C">
            <w:pPr>
              <w:pStyle w:val="Heading1"/>
              <w:numPr>
                <w:ilvl w:val="0"/>
                <w:numId w:val="0"/>
              </w:numPr>
              <w:spacing w:before="0" w:after="0"/>
              <w:rPr>
                <w:rFonts w:ascii="Calibri" w:hAnsi="Calibri" w:cs="Calibri"/>
                <w:b w:val="0"/>
                <w:bCs w:val="0"/>
                <w:caps w:val="0"/>
                <w:sz w:val="18"/>
                <w:szCs w:val="20"/>
              </w:rPr>
            </w:pPr>
            <w:bookmarkStart w:id="386" w:name="_Toc98763078"/>
            <w:r w:rsidRPr="0046400A">
              <w:rPr>
                <w:rFonts w:ascii="Calibri" w:hAnsi="Calibri" w:cs="Calibri"/>
                <w:caps w:val="0"/>
                <w:sz w:val="18"/>
                <w:szCs w:val="18"/>
              </w:rPr>
              <w:t>Description</w:t>
            </w:r>
            <w:r w:rsidRPr="0046400A">
              <w:rPr>
                <w:rFonts w:ascii="Calibri" w:hAnsi="Calibri"/>
                <w:caps w:val="0"/>
                <w:sz w:val="18"/>
                <w:szCs w:val="18"/>
              </w:rPr>
              <w:t xml:space="preserve"> and Material Accounting Policies Relating to </w:t>
            </w:r>
            <w:r w:rsidR="0098253D" w:rsidRPr="0046400A">
              <w:rPr>
                <w:rFonts w:ascii="Calibri" w:hAnsi="Calibri"/>
                <w:caps w:val="0"/>
                <w:sz w:val="18"/>
                <w:szCs w:val="18"/>
              </w:rPr>
              <w:t>Other Income</w:t>
            </w:r>
            <w:bookmarkEnd w:id="386"/>
          </w:p>
        </w:tc>
      </w:tr>
      <w:tr w:rsidR="00280E98" w:rsidRPr="00732D84" w14:paraId="638B6B8A"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1484D60A" w14:textId="77777777" w:rsidR="00280E98" w:rsidRPr="0046400A" w:rsidRDefault="00280E98" w:rsidP="0067344C">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4713F42E" w14:textId="0BF226C2" w:rsidR="00280E98" w:rsidRPr="0046400A" w:rsidRDefault="00280E98" w:rsidP="0067344C">
            <w:pPr>
              <w:pStyle w:val="Heading1"/>
              <w:numPr>
                <w:ilvl w:val="0"/>
                <w:numId w:val="0"/>
              </w:numPr>
              <w:spacing w:before="0" w:after="0"/>
              <w:rPr>
                <w:rFonts w:ascii="Calibri" w:hAnsi="Calibri" w:cs="Calibri"/>
                <w:caps w:val="0"/>
                <w:sz w:val="18"/>
                <w:szCs w:val="18"/>
              </w:rPr>
            </w:pPr>
            <w:bookmarkStart w:id="387" w:name="_Toc98763079"/>
            <w:r w:rsidRPr="0046400A">
              <w:rPr>
                <w:rFonts w:ascii="Calibri" w:hAnsi="Calibri" w:cs="Calibri"/>
                <w:b w:val="0"/>
                <w:bCs w:val="0"/>
                <w:i/>
                <w:iCs/>
                <w:caps w:val="0"/>
                <w:sz w:val="18"/>
                <w:szCs w:val="18"/>
              </w:rPr>
              <w:t>Revenue from Service Concession Arrangements</w:t>
            </w:r>
            <w:bookmarkEnd w:id="387"/>
          </w:p>
        </w:tc>
      </w:tr>
      <w:tr w:rsidR="00280E98" w:rsidRPr="00732D84" w14:paraId="263283F3"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2E1DFDE8" w14:textId="77777777" w:rsidR="00280E98" w:rsidRPr="0046400A" w:rsidRDefault="00280E98" w:rsidP="0067344C">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4FA2736A" w14:textId="04F54CB5" w:rsidR="00280E98" w:rsidRPr="0046400A" w:rsidRDefault="00280E98" w:rsidP="00280E98">
            <w:pPr>
              <w:pStyle w:val="Heading1"/>
              <w:numPr>
                <w:ilvl w:val="0"/>
                <w:numId w:val="0"/>
              </w:numPr>
              <w:spacing w:before="0" w:after="120"/>
              <w:rPr>
                <w:rFonts w:ascii="Calibri" w:hAnsi="Calibri" w:cs="Calibri"/>
                <w:caps w:val="0"/>
                <w:sz w:val="18"/>
                <w:szCs w:val="18"/>
              </w:rPr>
            </w:pPr>
            <w:bookmarkStart w:id="388" w:name="_Toc98763080"/>
            <w:r w:rsidRPr="0046400A">
              <w:rPr>
                <w:rFonts w:ascii="Calibri" w:hAnsi="Calibri" w:cs="Calibri"/>
                <w:b w:val="0"/>
                <w:bCs w:val="0"/>
                <w:caps w:val="0"/>
                <w:sz w:val="18"/>
                <w:szCs w:val="18"/>
              </w:rPr>
              <w:t>Revenue from Service Concession Arrangements is revenue that is recognised over time as the corresponding ‘Grant of a Right to Operate’ Liability reduces over the remaining period of the Service Concession Arrangement.</w:t>
            </w:r>
            <w:r w:rsidR="00FA7C77">
              <w:rPr>
                <w:rFonts w:ascii="Calibri" w:hAnsi="Calibri" w:cs="Calibri"/>
                <w:b w:val="0"/>
                <w:bCs w:val="0"/>
                <w:caps w:val="0"/>
                <w:sz w:val="18"/>
                <w:szCs w:val="18"/>
              </w:rPr>
              <w:t xml:space="preserve"> </w:t>
            </w:r>
            <w:r w:rsidRPr="0046400A">
              <w:rPr>
                <w:rFonts w:ascii="Calibri" w:hAnsi="Calibri" w:cs="Calibri"/>
                <w:b w:val="0"/>
                <w:bCs w:val="0"/>
                <w:caps w:val="0"/>
                <w:sz w:val="18"/>
                <w:szCs w:val="18"/>
              </w:rPr>
              <w:t xml:space="preserve">For more information in relation to service concession arrangements refer to Note </w:t>
            </w:r>
            <w:r w:rsidR="001A67CE">
              <w:rPr>
                <w:rFonts w:ascii="Calibri" w:hAnsi="Calibri" w:cs="Calibri"/>
                <w:b w:val="0"/>
                <w:bCs w:val="0"/>
                <w:caps w:val="0"/>
                <w:sz w:val="18"/>
                <w:szCs w:val="18"/>
              </w:rPr>
              <w:t>39</w:t>
            </w:r>
            <w:r w:rsidRPr="0046400A">
              <w:rPr>
                <w:rFonts w:ascii="Calibri" w:hAnsi="Calibri" w:cs="Calibri"/>
                <w:b w:val="0"/>
                <w:bCs w:val="0"/>
                <w:caps w:val="0"/>
                <w:sz w:val="18"/>
                <w:szCs w:val="18"/>
              </w:rPr>
              <w:t xml:space="preserve"> </w:t>
            </w:r>
            <w:r w:rsidRPr="00AB1649">
              <w:rPr>
                <w:rFonts w:ascii="Calibri" w:hAnsi="Calibri" w:cs="Calibri"/>
                <w:b w:val="0"/>
                <w:bCs w:val="0"/>
                <w:i/>
                <w:iCs/>
                <w:caps w:val="0"/>
                <w:sz w:val="18"/>
                <w:szCs w:val="18"/>
              </w:rPr>
              <w:t>Service Concession Arrangement</w:t>
            </w:r>
            <w:r w:rsidR="00AB1649" w:rsidRPr="00AB1649">
              <w:rPr>
                <w:rFonts w:ascii="Calibri" w:hAnsi="Calibri" w:cs="Calibri"/>
                <w:b w:val="0"/>
                <w:bCs w:val="0"/>
                <w:i/>
                <w:iCs/>
                <w:caps w:val="0"/>
                <w:sz w:val="18"/>
                <w:szCs w:val="18"/>
              </w:rPr>
              <w:t>s</w:t>
            </w:r>
            <w:r w:rsidRPr="0046400A">
              <w:rPr>
                <w:rFonts w:ascii="Calibri" w:hAnsi="Calibri" w:cs="Calibri"/>
                <w:b w:val="0"/>
                <w:bCs w:val="0"/>
                <w:caps w:val="0"/>
                <w:sz w:val="18"/>
                <w:szCs w:val="18"/>
              </w:rPr>
              <w:t>.</w:t>
            </w:r>
            <w:bookmarkEnd w:id="388"/>
          </w:p>
        </w:tc>
      </w:tr>
      <w:tr w:rsidR="0067344C" w:rsidRPr="00732D84" w14:paraId="6993868D"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66B99D63" w14:textId="77777777" w:rsidR="0067344C" w:rsidRPr="0046400A" w:rsidRDefault="0067344C" w:rsidP="0067344C">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79D7DF04" w14:textId="3F80E21F" w:rsidR="0067344C" w:rsidRPr="0046400A" w:rsidRDefault="0067344C" w:rsidP="00CA7E23">
            <w:pPr>
              <w:pStyle w:val="Heading1"/>
              <w:numPr>
                <w:ilvl w:val="0"/>
                <w:numId w:val="0"/>
              </w:numPr>
              <w:spacing w:before="60" w:after="0"/>
              <w:jc w:val="both"/>
              <w:rPr>
                <w:rFonts w:ascii="Calibri" w:hAnsi="Calibri" w:cs="Calibri"/>
                <w:b w:val="0"/>
                <w:bCs w:val="0"/>
                <w:caps w:val="0"/>
                <w:sz w:val="18"/>
                <w:szCs w:val="20"/>
              </w:rPr>
            </w:pPr>
            <w:bookmarkStart w:id="389" w:name="_Toc98763081"/>
            <w:r w:rsidRPr="0046400A">
              <w:rPr>
                <w:rFonts w:ascii="Calibri" w:hAnsi="Calibri" w:cs="Calibri"/>
                <w:b w:val="0"/>
                <w:bCs w:val="0"/>
                <w:i/>
                <w:iCs/>
                <w:caps w:val="0"/>
                <w:sz w:val="18"/>
                <w:szCs w:val="18"/>
              </w:rPr>
              <w:t>Other Revenue and Other Gains</w:t>
            </w:r>
            <w:bookmarkEnd w:id="389"/>
          </w:p>
        </w:tc>
      </w:tr>
      <w:tr w:rsidR="0067344C" w:rsidRPr="00732D84" w14:paraId="2696DB41"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1D6B064" w14:textId="77777777" w:rsidR="0067344C" w:rsidRPr="0046400A" w:rsidRDefault="0067344C" w:rsidP="0067344C">
            <w:pPr>
              <w:pStyle w:val="TableReference"/>
              <w:tabs>
                <w:tab w:val="left" w:pos="3306"/>
              </w:tabs>
              <w:rPr>
                <w:color w:val="7030A0"/>
                <w:sz w:val="14"/>
              </w:rPr>
            </w:pPr>
          </w:p>
        </w:tc>
        <w:tc>
          <w:tcPr>
            <w:tcW w:w="4255" w:type="pct"/>
            <w:gridSpan w:val="4"/>
            <w:tcBorders>
              <w:top w:val="nil"/>
              <w:left w:val="single" w:sz="2" w:space="0" w:color="auto"/>
              <w:bottom w:val="nil"/>
              <w:right w:val="nil"/>
            </w:tcBorders>
          </w:tcPr>
          <w:p w14:paraId="3439C066" w14:textId="329D9678" w:rsidR="0067344C" w:rsidRPr="0046400A" w:rsidRDefault="0067344C" w:rsidP="00CA7E23">
            <w:pPr>
              <w:pStyle w:val="Heading1"/>
              <w:numPr>
                <w:ilvl w:val="0"/>
                <w:numId w:val="0"/>
              </w:numPr>
              <w:spacing w:before="0" w:after="0"/>
              <w:jc w:val="both"/>
              <w:rPr>
                <w:rFonts w:ascii="Calibri" w:hAnsi="Calibri" w:cs="Calibri"/>
                <w:b w:val="0"/>
                <w:bCs w:val="0"/>
                <w:caps w:val="0"/>
                <w:sz w:val="18"/>
                <w:szCs w:val="20"/>
              </w:rPr>
            </w:pPr>
            <w:bookmarkStart w:id="390" w:name="_Toc98763082"/>
            <w:r w:rsidRPr="0046400A">
              <w:rPr>
                <w:rFonts w:ascii="Calibri" w:hAnsi="Calibri" w:cs="Calibri"/>
                <w:b w:val="0"/>
                <w:bCs w:val="0"/>
                <w:caps w:val="0"/>
                <w:sz w:val="18"/>
                <w:szCs w:val="18"/>
              </w:rPr>
              <w:t>Other Revenue arises from the core activities of ‘</w:t>
            </w:r>
            <w:r w:rsidR="00920EA7" w:rsidRPr="0046400A">
              <w:rPr>
                <w:rFonts w:ascii="Calibri" w:hAnsi="Calibri" w:cs="Calibri"/>
                <w:b w:val="0"/>
                <w:bCs w:val="0"/>
                <w:caps w:val="0"/>
                <w:sz w:val="18"/>
                <w:szCs w:val="18"/>
              </w:rPr>
              <w:t>Burley Griffin</w:t>
            </w:r>
            <w:r w:rsidRPr="0046400A">
              <w:rPr>
                <w:rFonts w:ascii="Calibri" w:hAnsi="Calibri" w:cs="Calibri"/>
                <w:b w:val="0"/>
                <w:bCs w:val="0"/>
                <w:caps w:val="0"/>
                <w:sz w:val="18"/>
                <w:szCs w:val="18"/>
              </w:rPr>
              <w:t xml:space="preserve"> Agency’, </w:t>
            </w:r>
            <w:r w:rsidR="003850B2" w:rsidRPr="0046400A">
              <w:rPr>
                <w:rFonts w:ascii="Calibri" w:hAnsi="Calibri" w:cs="Calibri"/>
                <w:b w:val="0"/>
                <w:bCs w:val="0"/>
                <w:caps w:val="0"/>
                <w:sz w:val="18"/>
                <w:szCs w:val="18"/>
              </w:rPr>
              <w:t>whereas</w:t>
            </w:r>
            <w:r w:rsidRPr="0046400A">
              <w:rPr>
                <w:rFonts w:ascii="Calibri" w:hAnsi="Calibri" w:cs="Calibri"/>
                <w:b w:val="0"/>
                <w:bCs w:val="0"/>
                <w:caps w:val="0"/>
                <w:sz w:val="18"/>
                <w:szCs w:val="18"/>
              </w:rPr>
              <w:t xml:space="preserve"> Other Gains are transactions that are not part of the Agency’s core activities and tend to be one off.</w:t>
            </w:r>
            <w:bookmarkEnd w:id="390"/>
            <w:r w:rsidR="00FA7C77">
              <w:rPr>
                <w:rFonts w:ascii="Calibri" w:hAnsi="Calibri" w:cs="Calibri"/>
                <w:b w:val="0"/>
                <w:bCs w:val="0"/>
                <w:caps w:val="0"/>
                <w:sz w:val="18"/>
                <w:szCs w:val="18"/>
              </w:rPr>
              <w:t xml:space="preserve"> </w:t>
            </w:r>
          </w:p>
        </w:tc>
      </w:tr>
      <w:bookmarkEnd w:id="382"/>
      <w:tr w:rsidR="000144FF" w:rsidRPr="00CF7E1B" w14:paraId="372A98D1"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035F481" w14:textId="77777777" w:rsidR="000144FF" w:rsidRPr="0046400A" w:rsidRDefault="000144FF">
            <w:pPr>
              <w:pStyle w:val="TableReference"/>
              <w:tabs>
                <w:tab w:val="left" w:pos="3306"/>
              </w:tabs>
              <w:spacing w:before="40"/>
              <w:rPr>
                <w:rFonts w:cs="Calibri"/>
                <w:color w:val="7030A0"/>
                <w:sz w:val="14"/>
              </w:rPr>
            </w:pPr>
          </w:p>
        </w:tc>
        <w:tc>
          <w:tcPr>
            <w:tcW w:w="3038" w:type="pct"/>
            <w:tcBorders>
              <w:top w:val="nil"/>
              <w:left w:val="single" w:sz="2" w:space="0" w:color="auto"/>
              <w:bottom w:val="nil"/>
              <w:right w:val="nil"/>
            </w:tcBorders>
            <w:vAlign w:val="bottom"/>
          </w:tcPr>
          <w:p w14:paraId="70F1CB5B" w14:textId="77777777" w:rsidR="000144FF" w:rsidRPr="0046400A" w:rsidRDefault="000144FF">
            <w:pPr>
              <w:pStyle w:val="TableTitle"/>
              <w:tabs>
                <w:tab w:val="left" w:pos="3306"/>
              </w:tabs>
              <w:jc w:val="left"/>
              <w:rPr>
                <w:rFonts w:cs="Calibri"/>
              </w:rPr>
            </w:pPr>
          </w:p>
        </w:tc>
        <w:tc>
          <w:tcPr>
            <w:tcW w:w="607" w:type="pct"/>
            <w:gridSpan w:val="2"/>
            <w:tcBorders>
              <w:top w:val="nil"/>
              <w:left w:val="nil"/>
              <w:bottom w:val="nil"/>
              <w:right w:val="nil"/>
            </w:tcBorders>
            <w:vAlign w:val="bottom"/>
          </w:tcPr>
          <w:p w14:paraId="071361BD" w14:textId="7174235A" w:rsidR="000144FF" w:rsidRPr="0009580B" w:rsidRDefault="00732D84" w:rsidP="00BC6053">
            <w:pPr>
              <w:pStyle w:val="TableTitle"/>
              <w:tabs>
                <w:tab w:val="left" w:pos="3306"/>
              </w:tabs>
              <w:rPr>
                <w:rFonts w:cs="Calibri"/>
              </w:rPr>
            </w:pPr>
            <w:r w:rsidRPr="0046400A">
              <w:rPr>
                <w:rFonts w:cs="Calibri"/>
              </w:rPr>
              <w:t>2022</w:t>
            </w:r>
          </w:p>
          <w:p w14:paraId="0D9956EC" w14:textId="77777777" w:rsidR="000144FF" w:rsidRPr="0046400A" w:rsidRDefault="000144FF">
            <w:pPr>
              <w:pStyle w:val="TableTitle"/>
              <w:tabs>
                <w:tab w:val="left" w:pos="3306"/>
              </w:tabs>
              <w:rPr>
                <w:rFonts w:cs="Calibri"/>
              </w:rPr>
            </w:pPr>
            <w:r w:rsidRPr="0046400A">
              <w:rPr>
                <w:rFonts w:cs="Calibri"/>
              </w:rPr>
              <w:t>$’000</w:t>
            </w:r>
          </w:p>
        </w:tc>
        <w:tc>
          <w:tcPr>
            <w:tcW w:w="610" w:type="pct"/>
            <w:tcBorders>
              <w:top w:val="nil"/>
              <w:left w:val="nil"/>
              <w:bottom w:val="nil"/>
              <w:right w:val="nil"/>
            </w:tcBorders>
            <w:vAlign w:val="bottom"/>
          </w:tcPr>
          <w:p w14:paraId="33C16CD3" w14:textId="77777777" w:rsidR="001F4216" w:rsidRDefault="0067344C">
            <w:pPr>
              <w:pStyle w:val="TableTitle"/>
              <w:tabs>
                <w:tab w:val="left" w:pos="3306"/>
              </w:tabs>
              <w:rPr>
                <w:rFonts w:cs="Calibri"/>
              </w:rPr>
            </w:pPr>
            <w:r w:rsidRPr="0046400A">
              <w:rPr>
                <w:rFonts w:cs="Calibri"/>
              </w:rPr>
              <w:t>2021</w:t>
            </w:r>
            <w:r w:rsidR="00FA7C77">
              <w:rPr>
                <w:rFonts w:cs="Calibri"/>
              </w:rPr>
              <w:t xml:space="preserve">    </w:t>
            </w:r>
          </w:p>
          <w:p w14:paraId="28754D7E" w14:textId="6B764852" w:rsidR="000144FF" w:rsidRPr="0046400A" w:rsidRDefault="000144FF">
            <w:pPr>
              <w:pStyle w:val="TableTitle"/>
              <w:tabs>
                <w:tab w:val="left" w:pos="3306"/>
              </w:tabs>
              <w:rPr>
                <w:rFonts w:cs="Calibri"/>
                <w:strike/>
              </w:rPr>
            </w:pPr>
            <w:r w:rsidRPr="0046400A">
              <w:rPr>
                <w:rFonts w:cs="Calibri"/>
              </w:rPr>
              <w:t>$’000</w:t>
            </w:r>
          </w:p>
        </w:tc>
      </w:tr>
      <w:tr w:rsidR="00264112" w:rsidRPr="00CF7E1B" w14:paraId="43EB0B28"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BB33A9B" w14:textId="77777777" w:rsidR="00264112" w:rsidRPr="0046400A" w:rsidRDefault="00264112">
            <w:pPr>
              <w:pStyle w:val="TableReference"/>
              <w:tabs>
                <w:tab w:val="left" w:pos="3306"/>
              </w:tabs>
              <w:spacing w:before="40"/>
              <w:rPr>
                <w:rFonts w:cs="Calibri"/>
                <w:color w:val="7030A0"/>
                <w:sz w:val="14"/>
              </w:rPr>
            </w:pPr>
          </w:p>
        </w:tc>
        <w:tc>
          <w:tcPr>
            <w:tcW w:w="3038" w:type="pct"/>
            <w:tcBorders>
              <w:top w:val="nil"/>
              <w:left w:val="single" w:sz="2" w:space="0" w:color="auto"/>
              <w:bottom w:val="nil"/>
              <w:right w:val="nil"/>
            </w:tcBorders>
            <w:vAlign w:val="bottom"/>
          </w:tcPr>
          <w:p w14:paraId="25DC5954" w14:textId="67257C0B" w:rsidR="00264112" w:rsidRPr="0046400A" w:rsidRDefault="00264112">
            <w:pPr>
              <w:pStyle w:val="TableTitle"/>
              <w:tabs>
                <w:tab w:val="left" w:pos="3306"/>
              </w:tabs>
              <w:jc w:val="left"/>
              <w:rPr>
                <w:rFonts w:cs="Calibri"/>
              </w:rPr>
            </w:pPr>
            <w:r w:rsidRPr="0046400A">
              <w:rPr>
                <w:rFonts w:cs="Calibri"/>
              </w:rPr>
              <w:t>Other Income</w:t>
            </w:r>
          </w:p>
        </w:tc>
        <w:tc>
          <w:tcPr>
            <w:tcW w:w="607" w:type="pct"/>
            <w:gridSpan w:val="2"/>
            <w:tcBorders>
              <w:top w:val="nil"/>
              <w:left w:val="nil"/>
              <w:bottom w:val="nil"/>
              <w:right w:val="nil"/>
            </w:tcBorders>
            <w:vAlign w:val="bottom"/>
          </w:tcPr>
          <w:p w14:paraId="115BB03A" w14:textId="77777777" w:rsidR="00264112" w:rsidRPr="0046400A" w:rsidRDefault="00264112" w:rsidP="00BC6053">
            <w:pPr>
              <w:pStyle w:val="TableTitle"/>
              <w:tabs>
                <w:tab w:val="left" w:pos="3306"/>
              </w:tabs>
              <w:rPr>
                <w:rFonts w:cs="Calibri"/>
              </w:rPr>
            </w:pPr>
          </w:p>
        </w:tc>
        <w:tc>
          <w:tcPr>
            <w:tcW w:w="610" w:type="pct"/>
            <w:tcBorders>
              <w:top w:val="nil"/>
              <w:left w:val="nil"/>
              <w:bottom w:val="nil"/>
              <w:right w:val="nil"/>
            </w:tcBorders>
            <w:vAlign w:val="bottom"/>
          </w:tcPr>
          <w:p w14:paraId="05846A34" w14:textId="77777777" w:rsidR="00264112" w:rsidRPr="0046400A" w:rsidRDefault="00264112">
            <w:pPr>
              <w:pStyle w:val="TableTitle"/>
              <w:tabs>
                <w:tab w:val="left" w:pos="3306"/>
              </w:tabs>
              <w:rPr>
                <w:rFonts w:cs="Calibri"/>
              </w:rPr>
            </w:pPr>
          </w:p>
        </w:tc>
      </w:tr>
      <w:tr w:rsidR="00264112" w:rsidRPr="00CF7E1B" w14:paraId="25B37ED3"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D038FBB" w14:textId="77777777" w:rsidR="00264112" w:rsidRPr="0046400A" w:rsidRDefault="00264112">
            <w:pPr>
              <w:pStyle w:val="TableReference"/>
              <w:tabs>
                <w:tab w:val="left" w:pos="3306"/>
              </w:tabs>
              <w:spacing w:before="40"/>
              <w:rPr>
                <w:rFonts w:cs="Calibri"/>
                <w:color w:val="7030A0"/>
                <w:sz w:val="14"/>
              </w:rPr>
            </w:pPr>
          </w:p>
        </w:tc>
        <w:tc>
          <w:tcPr>
            <w:tcW w:w="3038" w:type="pct"/>
            <w:tcBorders>
              <w:top w:val="nil"/>
              <w:left w:val="single" w:sz="2" w:space="0" w:color="auto"/>
              <w:bottom w:val="nil"/>
              <w:right w:val="nil"/>
            </w:tcBorders>
            <w:vAlign w:val="bottom"/>
          </w:tcPr>
          <w:p w14:paraId="0CADFA7D" w14:textId="4C5ACCEF" w:rsidR="00264112" w:rsidRPr="0046400A" w:rsidRDefault="00264112" w:rsidP="004E4224">
            <w:pPr>
              <w:pStyle w:val="TableTitle"/>
              <w:tabs>
                <w:tab w:val="left" w:pos="3306"/>
              </w:tabs>
              <w:spacing w:before="60"/>
              <w:jc w:val="left"/>
              <w:rPr>
                <w:rFonts w:cs="Calibri"/>
              </w:rPr>
            </w:pPr>
            <w:r w:rsidRPr="0046400A">
              <w:rPr>
                <w:rFonts w:cs="Calibri"/>
              </w:rPr>
              <w:t>Other Revenue</w:t>
            </w:r>
          </w:p>
        </w:tc>
        <w:tc>
          <w:tcPr>
            <w:tcW w:w="607" w:type="pct"/>
            <w:gridSpan w:val="2"/>
            <w:tcBorders>
              <w:top w:val="nil"/>
              <w:left w:val="nil"/>
              <w:bottom w:val="nil"/>
              <w:right w:val="nil"/>
            </w:tcBorders>
            <w:vAlign w:val="bottom"/>
          </w:tcPr>
          <w:p w14:paraId="096F4323" w14:textId="77777777" w:rsidR="00264112" w:rsidRPr="0046400A" w:rsidRDefault="00264112" w:rsidP="00BC6053">
            <w:pPr>
              <w:pStyle w:val="TableTitle"/>
              <w:tabs>
                <w:tab w:val="left" w:pos="3306"/>
              </w:tabs>
              <w:rPr>
                <w:rFonts w:cs="Calibri"/>
              </w:rPr>
            </w:pPr>
          </w:p>
        </w:tc>
        <w:tc>
          <w:tcPr>
            <w:tcW w:w="610" w:type="pct"/>
            <w:tcBorders>
              <w:top w:val="nil"/>
              <w:left w:val="nil"/>
              <w:bottom w:val="nil"/>
              <w:right w:val="nil"/>
            </w:tcBorders>
            <w:vAlign w:val="bottom"/>
          </w:tcPr>
          <w:p w14:paraId="0C6F5243" w14:textId="77777777" w:rsidR="00264112" w:rsidRPr="0046400A" w:rsidRDefault="00264112">
            <w:pPr>
              <w:pStyle w:val="TableTitle"/>
              <w:tabs>
                <w:tab w:val="left" w:pos="3306"/>
              </w:tabs>
              <w:rPr>
                <w:rFonts w:cs="Calibri"/>
              </w:rPr>
            </w:pPr>
          </w:p>
        </w:tc>
      </w:tr>
      <w:tr w:rsidR="00280E98" w:rsidRPr="00CF7E1B" w14:paraId="63B09F66"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762778D5" w14:textId="62E0E9B7" w:rsidR="00280E98" w:rsidRPr="0046400A" w:rsidRDefault="00280E98" w:rsidP="00280E98">
            <w:pPr>
              <w:pStyle w:val="TableReference"/>
              <w:tabs>
                <w:tab w:val="left" w:pos="3306"/>
              </w:tabs>
              <w:spacing w:before="40"/>
              <w:rPr>
                <w:rFonts w:cs="Calibri"/>
                <w:strike/>
                <w:color w:val="7030A0"/>
                <w:sz w:val="14"/>
              </w:rPr>
            </w:pPr>
            <w:r w:rsidRPr="0046400A">
              <w:rPr>
                <w:color w:val="7030A0"/>
                <w:sz w:val="14"/>
              </w:rPr>
              <w:t>AASB 1059.21-23</w:t>
            </w:r>
          </w:p>
        </w:tc>
        <w:tc>
          <w:tcPr>
            <w:tcW w:w="3038" w:type="pct"/>
            <w:tcBorders>
              <w:top w:val="nil"/>
              <w:left w:val="single" w:sz="2" w:space="0" w:color="auto"/>
              <w:bottom w:val="nil"/>
              <w:right w:val="nil"/>
            </w:tcBorders>
          </w:tcPr>
          <w:p w14:paraId="63538394" w14:textId="6972ED0A" w:rsidR="00280E98" w:rsidRPr="0046400A" w:rsidRDefault="00280E98" w:rsidP="00280E98">
            <w:pPr>
              <w:pStyle w:val="TableTitle"/>
              <w:tabs>
                <w:tab w:val="left" w:pos="3306"/>
              </w:tabs>
              <w:spacing w:after="60"/>
              <w:jc w:val="left"/>
              <w:rPr>
                <w:rFonts w:cs="Calibri"/>
                <w:b w:val="0"/>
                <w:bCs w:val="0"/>
                <w:i/>
                <w:iCs/>
                <w:strike/>
              </w:rPr>
            </w:pPr>
            <w:r w:rsidRPr="0046400A">
              <w:rPr>
                <w:rFonts w:cs="Calibri"/>
                <w:b w:val="0"/>
                <w:bCs w:val="0"/>
              </w:rPr>
              <w:t>Revenue from Service Concession Arrangements</w:t>
            </w:r>
          </w:p>
        </w:tc>
        <w:tc>
          <w:tcPr>
            <w:tcW w:w="607" w:type="pct"/>
            <w:gridSpan w:val="2"/>
            <w:tcBorders>
              <w:top w:val="nil"/>
              <w:left w:val="nil"/>
              <w:bottom w:val="nil"/>
              <w:right w:val="nil"/>
            </w:tcBorders>
            <w:vAlign w:val="bottom"/>
          </w:tcPr>
          <w:p w14:paraId="15EBBCE1" w14:textId="77777777" w:rsidR="00280E98" w:rsidRPr="0046400A" w:rsidRDefault="00280E98" w:rsidP="00280E98">
            <w:pPr>
              <w:pStyle w:val="TableTitle"/>
              <w:tabs>
                <w:tab w:val="left" w:pos="3306"/>
              </w:tabs>
              <w:rPr>
                <w:rFonts w:cs="Calibri"/>
              </w:rPr>
            </w:pPr>
          </w:p>
        </w:tc>
        <w:tc>
          <w:tcPr>
            <w:tcW w:w="610" w:type="pct"/>
            <w:tcBorders>
              <w:top w:val="nil"/>
              <w:left w:val="nil"/>
              <w:bottom w:val="nil"/>
              <w:right w:val="nil"/>
            </w:tcBorders>
            <w:vAlign w:val="bottom"/>
          </w:tcPr>
          <w:p w14:paraId="0FB9BDBC" w14:textId="77777777" w:rsidR="00280E98" w:rsidRPr="0046400A" w:rsidRDefault="00280E98" w:rsidP="00280E98">
            <w:pPr>
              <w:pStyle w:val="TableTitle"/>
              <w:tabs>
                <w:tab w:val="left" w:pos="3306"/>
              </w:tabs>
              <w:rPr>
                <w:rFonts w:cs="Calibri"/>
              </w:rPr>
            </w:pPr>
          </w:p>
        </w:tc>
      </w:tr>
      <w:tr w:rsidR="00280E98" w:rsidRPr="00CF7E1B" w14:paraId="53CFF58A"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0B94579" w14:textId="77777777" w:rsidR="00280E98" w:rsidRPr="0046400A" w:rsidRDefault="00280E98" w:rsidP="00280E98">
            <w:pPr>
              <w:pStyle w:val="TableReference"/>
              <w:tabs>
                <w:tab w:val="left" w:pos="3306"/>
              </w:tabs>
              <w:spacing w:before="40"/>
              <w:rPr>
                <w:rFonts w:cs="Calibri"/>
                <w:strike/>
                <w:color w:val="7030A0"/>
                <w:sz w:val="14"/>
              </w:rPr>
            </w:pPr>
          </w:p>
        </w:tc>
        <w:tc>
          <w:tcPr>
            <w:tcW w:w="3038" w:type="pct"/>
            <w:tcBorders>
              <w:top w:val="nil"/>
              <w:left w:val="single" w:sz="2" w:space="0" w:color="auto"/>
              <w:bottom w:val="nil"/>
              <w:right w:val="nil"/>
            </w:tcBorders>
            <w:vAlign w:val="bottom"/>
          </w:tcPr>
          <w:p w14:paraId="1EAB1664" w14:textId="23119026" w:rsidR="00280E98" w:rsidRPr="0046400A" w:rsidRDefault="00280E98" w:rsidP="00280E98">
            <w:pPr>
              <w:pStyle w:val="TableTitle"/>
              <w:tabs>
                <w:tab w:val="left" w:pos="3306"/>
              </w:tabs>
              <w:spacing w:after="60"/>
              <w:jc w:val="left"/>
              <w:rPr>
                <w:rFonts w:cs="Calibri"/>
                <w:b w:val="0"/>
                <w:bCs w:val="0"/>
                <w:i/>
                <w:iCs/>
                <w:strike/>
              </w:rPr>
            </w:pPr>
            <w:r w:rsidRPr="0046400A">
              <w:rPr>
                <w:rFonts w:cs="Calibri"/>
                <w:b w:val="0"/>
                <w:bCs w:val="0"/>
              </w:rPr>
              <w:t>Insurance Recoveries from the ACT Insurance Authority</w:t>
            </w:r>
          </w:p>
        </w:tc>
        <w:tc>
          <w:tcPr>
            <w:tcW w:w="607" w:type="pct"/>
            <w:gridSpan w:val="2"/>
            <w:tcBorders>
              <w:top w:val="nil"/>
              <w:left w:val="nil"/>
              <w:bottom w:val="nil"/>
              <w:right w:val="nil"/>
            </w:tcBorders>
            <w:vAlign w:val="bottom"/>
          </w:tcPr>
          <w:p w14:paraId="2486AF3B" w14:textId="77777777" w:rsidR="00280E98" w:rsidRPr="0046400A" w:rsidRDefault="00280E98" w:rsidP="00280E98">
            <w:pPr>
              <w:pStyle w:val="TableTitle"/>
              <w:tabs>
                <w:tab w:val="left" w:pos="3306"/>
              </w:tabs>
              <w:rPr>
                <w:rFonts w:cs="Calibri"/>
              </w:rPr>
            </w:pPr>
          </w:p>
        </w:tc>
        <w:tc>
          <w:tcPr>
            <w:tcW w:w="610" w:type="pct"/>
            <w:tcBorders>
              <w:top w:val="nil"/>
              <w:left w:val="nil"/>
              <w:bottom w:val="nil"/>
              <w:right w:val="nil"/>
            </w:tcBorders>
            <w:vAlign w:val="bottom"/>
          </w:tcPr>
          <w:p w14:paraId="5DFD270D" w14:textId="77777777" w:rsidR="00280E98" w:rsidRPr="0046400A" w:rsidRDefault="00280E98" w:rsidP="00280E98">
            <w:pPr>
              <w:pStyle w:val="TableTitle"/>
              <w:tabs>
                <w:tab w:val="left" w:pos="3306"/>
              </w:tabs>
              <w:rPr>
                <w:rFonts w:cs="Calibri"/>
              </w:rPr>
            </w:pPr>
          </w:p>
        </w:tc>
      </w:tr>
      <w:tr w:rsidR="00280E98" w:rsidRPr="00CF7E1B" w14:paraId="33F47D8A"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4EB1A223" w14:textId="77777777" w:rsidR="00280E98" w:rsidRPr="0046400A" w:rsidRDefault="00280E98" w:rsidP="00280E98">
            <w:pPr>
              <w:pStyle w:val="TableReference"/>
              <w:tabs>
                <w:tab w:val="left" w:pos="3306"/>
              </w:tabs>
              <w:spacing w:before="40"/>
              <w:rPr>
                <w:rFonts w:cs="Calibri"/>
                <w:color w:val="7030A0"/>
                <w:sz w:val="14"/>
              </w:rPr>
            </w:pPr>
          </w:p>
        </w:tc>
        <w:tc>
          <w:tcPr>
            <w:tcW w:w="3038" w:type="pct"/>
            <w:tcBorders>
              <w:top w:val="nil"/>
              <w:left w:val="single" w:sz="2" w:space="0" w:color="auto"/>
              <w:bottom w:val="nil"/>
              <w:right w:val="nil"/>
            </w:tcBorders>
            <w:vAlign w:val="bottom"/>
          </w:tcPr>
          <w:p w14:paraId="0FA5FA5A" w14:textId="5D9E989B" w:rsidR="00280E98" w:rsidRPr="0046400A" w:rsidRDefault="00280E98" w:rsidP="00280E98">
            <w:pPr>
              <w:pStyle w:val="TableTitle"/>
              <w:tabs>
                <w:tab w:val="left" w:pos="3306"/>
              </w:tabs>
              <w:jc w:val="left"/>
              <w:rPr>
                <w:rFonts w:cs="Calibri"/>
                <w:b w:val="0"/>
                <w:bCs w:val="0"/>
              </w:rPr>
            </w:pPr>
            <w:r w:rsidRPr="0046400A">
              <w:rPr>
                <w:rFonts w:cs="Calibri"/>
                <w:b w:val="0"/>
                <w:bCs w:val="0"/>
              </w:rPr>
              <w:t>Other Revenue</w:t>
            </w:r>
          </w:p>
        </w:tc>
        <w:tc>
          <w:tcPr>
            <w:tcW w:w="607" w:type="pct"/>
            <w:gridSpan w:val="2"/>
            <w:tcBorders>
              <w:top w:val="nil"/>
              <w:left w:val="nil"/>
              <w:bottom w:val="single" w:sz="4" w:space="0" w:color="auto"/>
              <w:right w:val="nil"/>
            </w:tcBorders>
            <w:vAlign w:val="bottom"/>
          </w:tcPr>
          <w:p w14:paraId="6D81F5CE" w14:textId="77777777" w:rsidR="00280E98" w:rsidRPr="0046400A" w:rsidRDefault="00280E98" w:rsidP="00280E98">
            <w:pPr>
              <w:pStyle w:val="TableTitle"/>
              <w:tabs>
                <w:tab w:val="left" w:pos="3306"/>
              </w:tabs>
              <w:rPr>
                <w:rFonts w:cs="Calibri"/>
              </w:rPr>
            </w:pPr>
          </w:p>
        </w:tc>
        <w:tc>
          <w:tcPr>
            <w:tcW w:w="610" w:type="pct"/>
            <w:tcBorders>
              <w:top w:val="nil"/>
              <w:left w:val="nil"/>
              <w:bottom w:val="single" w:sz="4" w:space="0" w:color="auto"/>
              <w:right w:val="nil"/>
            </w:tcBorders>
            <w:vAlign w:val="bottom"/>
          </w:tcPr>
          <w:p w14:paraId="2DBFD8FF" w14:textId="77777777" w:rsidR="00280E98" w:rsidRPr="0046400A" w:rsidRDefault="00280E98" w:rsidP="00280E98">
            <w:pPr>
              <w:pStyle w:val="TableTitle"/>
              <w:tabs>
                <w:tab w:val="left" w:pos="3306"/>
              </w:tabs>
              <w:rPr>
                <w:rFonts w:cs="Calibri"/>
              </w:rPr>
            </w:pPr>
          </w:p>
        </w:tc>
      </w:tr>
      <w:tr w:rsidR="00280E98" w:rsidRPr="00CF7E1B" w14:paraId="0ACD2792"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CD42E3F" w14:textId="77777777" w:rsidR="00280E98" w:rsidRPr="0046400A" w:rsidRDefault="00280E98" w:rsidP="00280E98">
            <w:pPr>
              <w:pStyle w:val="TableReference"/>
              <w:tabs>
                <w:tab w:val="left" w:pos="3306"/>
              </w:tabs>
              <w:spacing w:before="40"/>
              <w:rPr>
                <w:rFonts w:cs="Calibri"/>
                <w:color w:val="7030A0"/>
                <w:sz w:val="14"/>
              </w:rPr>
            </w:pPr>
          </w:p>
        </w:tc>
        <w:tc>
          <w:tcPr>
            <w:tcW w:w="3038" w:type="pct"/>
            <w:tcBorders>
              <w:top w:val="nil"/>
              <w:left w:val="single" w:sz="2" w:space="0" w:color="auto"/>
              <w:bottom w:val="nil"/>
              <w:right w:val="nil"/>
            </w:tcBorders>
            <w:vAlign w:val="bottom"/>
          </w:tcPr>
          <w:p w14:paraId="52FF09B7" w14:textId="58C510FE" w:rsidR="00280E98" w:rsidRPr="0046400A" w:rsidRDefault="00280E98" w:rsidP="00280E98">
            <w:pPr>
              <w:pStyle w:val="TableTitle"/>
              <w:tabs>
                <w:tab w:val="left" w:pos="3306"/>
              </w:tabs>
              <w:spacing w:before="120"/>
              <w:jc w:val="left"/>
              <w:rPr>
                <w:rFonts w:cs="Calibri"/>
              </w:rPr>
            </w:pPr>
            <w:r w:rsidRPr="0046400A">
              <w:rPr>
                <w:rFonts w:cs="Calibri"/>
              </w:rPr>
              <w:t>Total Other Revenue</w:t>
            </w:r>
          </w:p>
        </w:tc>
        <w:tc>
          <w:tcPr>
            <w:tcW w:w="607" w:type="pct"/>
            <w:gridSpan w:val="2"/>
            <w:tcBorders>
              <w:top w:val="single" w:sz="4" w:space="0" w:color="auto"/>
              <w:left w:val="nil"/>
              <w:bottom w:val="single" w:sz="4" w:space="0" w:color="auto"/>
              <w:right w:val="nil"/>
            </w:tcBorders>
            <w:vAlign w:val="bottom"/>
          </w:tcPr>
          <w:p w14:paraId="1D24A1BA" w14:textId="77777777" w:rsidR="00280E98" w:rsidRPr="0046400A" w:rsidRDefault="00280E98" w:rsidP="00280E98">
            <w:pPr>
              <w:pStyle w:val="TableTitle"/>
              <w:tabs>
                <w:tab w:val="left" w:pos="3306"/>
              </w:tabs>
              <w:rPr>
                <w:rFonts w:cs="Calibri"/>
              </w:rPr>
            </w:pPr>
          </w:p>
        </w:tc>
        <w:tc>
          <w:tcPr>
            <w:tcW w:w="610" w:type="pct"/>
            <w:tcBorders>
              <w:top w:val="single" w:sz="4" w:space="0" w:color="auto"/>
              <w:left w:val="nil"/>
              <w:bottom w:val="single" w:sz="4" w:space="0" w:color="auto"/>
              <w:right w:val="nil"/>
            </w:tcBorders>
            <w:vAlign w:val="bottom"/>
          </w:tcPr>
          <w:p w14:paraId="215D13CB" w14:textId="77777777" w:rsidR="00280E98" w:rsidRPr="0046400A" w:rsidRDefault="00280E98" w:rsidP="00280E98">
            <w:pPr>
              <w:pStyle w:val="TableTitle"/>
              <w:tabs>
                <w:tab w:val="left" w:pos="3306"/>
              </w:tabs>
              <w:rPr>
                <w:rFonts w:cs="Calibri"/>
              </w:rPr>
            </w:pPr>
          </w:p>
        </w:tc>
      </w:tr>
      <w:tr w:rsidR="00280E98" w:rsidRPr="00CF7E1B" w14:paraId="603B649F"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3D09E47" w14:textId="77777777" w:rsidR="00280E98" w:rsidRPr="0046400A" w:rsidRDefault="00280E98" w:rsidP="00280E98">
            <w:pPr>
              <w:pStyle w:val="TableReference"/>
              <w:tabs>
                <w:tab w:val="left" w:pos="3306"/>
              </w:tabs>
              <w:spacing w:before="40"/>
              <w:rPr>
                <w:rFonts w:cs="Calibri"/>
                <w:color w:val="7030A0"/>
                <w:sz w:val="14"/>
              </w:rPr>
            </w:pPr>
          </w:p>
        </w:tc>
        <w:tc>
          <w:tcPr>
            <w:tcW w:w="3038" w:type="pct"/>
            <w:tcBorders>
              <w:top w:val="nil"/>
              <w:left w:val="single" w:sz="2" w:space="0" w:color="auto"/>
              <w:bottom w:val="nil"/>
              <w:right w:val="nil"/>
            </w:tcBorders>
            <w:vAlign w:val="bottom"/>
          </w:tcPr>
          <w:p w14:paraId="0554DA58" w14:textId="77777777" w:rsidR="00280E98" w:rsidRPr="0046400A" w:rsidRDefault="00280E98" w:rsidP="00280E98">
            <w:pPr>
              <w:pStyle w:val="TableTitle"/>
              <w:tabs>
                <w:tab w:val="left" w:pos="3306"/>
              </w:tabs>
              <w:jc w:val="left"/>
              <w:rPr>
                <w:rFonts w:cs="Calibri"/>
              </w:rPr>
            </w:pPr>
          </w:p>
        </w:tc>
        <w:tc>
          <w:tcPr>
            <w:tcW w:w="607" w:type="pct"/>
            <w:gridSpan w:val="2"/>
            <w:tcBorders>
              <w:top w:val="single" w:sz="4" w:space="0" w:color="auto"/>
              <w:left w:val="nil"/>
              <w:bottom w:val="nil"/>
              <w:right w:val="nil"/>
            </w:tcBorders>
            <w:vAlign w:val="bottom"/>
          </w:tcPr>
          <w:p w14:paraId="23491F90" w14:textId="77777777" w:rsidR="00280E98" w:rsidRPr="0046400A" w:rsidRDefault="00280E98" w:rsidP="00280E98">
            <w:pPr>
              <w:pStyle w:val="TableTitle"/>
              <w:tabs>
                <w:tab w:val="left" w:pos="3306"/>
              </w:tabs>
              <w:jc w:val="left"/>
              <w:rPr>
                <w:rFonts w:cs="Calibri"/>
              </w:rPr>
            </w:pPr>
          </w:p>
        </w:tc>
        <w:tc>
          <w:tcPr>
            <w:tcW w:w="610" w:type="pct"/>
            <w:tcBorders>
              <w:top w:val="single" w:sz="4" w:space="0" w:color="auto"/>
              <w:left w:val="nil"/>
              <w:bottom w:val="nil"/>
              <w:right w:val="nil"/>
            </w:tcBorders>
            <w:vAlign w:val="bottom"/>
          </w:tcPr>
          <w:p w14:paraId="474C96A0" w14:textId="77777777" w:rsidR="00280E98" w:rsidRPr="0046400A" w:rsidRDefault="00280E98" w:rsidP="00280E98">
            <w:pPr>
              <w:pStyle w:val="TableTitle"/>
              <w:tabs>
                <w:tab w:val="left" w:pos="3306"/>
              </w:tabs>
              <w:rPr>
                <w:rFonts w:cs="Calibri"/>
              </w:rPr>
            </w:pPr>
          </w:p>
        </w:tc>
      </w:tr>
      <w:tr w:rsidR="00280E98" w:rsidRPr="00CF7E1B" w14:paraId="219BD4FE"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69666902" w14:textId="77777777" w:rsidR="00280E98" w:rsidRPr="0046400A" w:rsidRDefault="00280E98" w:rsidP="00280E98">
            <w:pPr>
              <w:pStyle w:val="TableReference"/>
              <w:tabs>
                <w:tab w:val="left" w:pos="3306"/>
              </w:tabs>
              <w:spacing w:before="40"/>
              <w:rPr>
                <w:rFonts w:cs="Calibri"/>
                <w:color w:val="7030A0"/>
                <w:sz w:val="14"/>
              </w:rPr>
            </w:pPr>
          </w:p>
        </w:tc>
        <w:tc>
          <w:tcPr>
            <w:tcW w:w="3038" w:type="pct"/>
            <w:tcBorders>
              <w:top w:val="nil"/>
              <w:left w:val="single" w:sz="2" w:space="0" w:color="auto"/>
              <w:bottom w:val="nil"/>
              <w:right w:val="nil"/>
            </w:tcBorders>
            <w:vAlign w:val="bottom"/>
          </w:tcPr>
          <w:p w14:paraId="18D76019" w14:textId="41A2C2DE" w:rsidR="00280E98" w:rsidRPr="0046400A" w:rsidRDefault="00280E98" w:rsidP="00280E98">
            <w:pPr>
              <w:pStyle w:val="TableTitle"/>
              <w:tabs>
                <w:tab w:val="left" w:pos="3306"/>
              </w:tabs>
              <w:jc w:val="left"/>
              <w:rPr>
                <w:rFonts w:cs="Calibri"/>
              </w:rPr>
            </w:pPr>
            <w:r w:rsidRPr="0046400A">
              <w:rPr>
                <w:rFonts w:cs="Calibri"/>
              </w:rPr>
              <w:t>Other Gains</w:t>
            </w:r>
          </w:p>
        </w:tc>
        <w:tc>
          <w:tcPr>
            <w:tcW w:w="607" w:type="pct"/>
            <w:gridSpan w:val="2"/>
            <w:tcBorders>
              <w:top w:val="nil"/>
              <w:left w:val="nil"/>
              <w:bottom w:val="nil"/>
              <w:right w:val="nil"/>
            </w:tcBorders>
            <w:vAlign w:val="bottom"/>
          </w:tcPr>
          <w:p w14:paraId="198E67EA" w14:textId="77777777" w:rsidR="00280E98" w:rsidRPr="0046400A" w:rsidRDefault="00280E98" w:rsidP="00280E98">
            <w:pPr>
              <w:pStyle w:val="TableTitle"/>
              <w:tabs>
                <w:tab w:val="left" w:pos="3306"/>
              </w:tabs>
              <w:rPr>
                <w:rFonts w:cs="Calibri"/>
              </w:rPr>
            </w:pPr>
          </w:p>
        </w:tc>
        <w:tc>
          <w:tcPr>
            <w:tcW w:w="610" w:type="pct"/>
            <w:tcBorders>
              <w:top w:val="nil"/>
              <w:left w:val="nil"/>
              <w:bottom w:val="nil"/>
              <w:right w:val="nil"/>
            </w:tcBorders>
            <w:vAlign w:val="bottom"/>
          </w:tcPr>
          <w:p w14:paraId="073544C4" w14:textId="77777777" w:rsidR="00280E98" w:rsidRPr="0046400A" w:rsidRDefault="00280E98" w:rsidP="00280E98">
            <w:pPr>
              <w:pStyle w:val="TableTitle"/>
              <w:tabs>
                <w:tab w:val="left" w:pos="3306"/>
              </w:tabs>
              <w:rPr>
                <w:rFonts w:cs="Calibri"/>
              </w:rPr>
            </w:pPr>
          </w:p>
        </w:tc>
      </w:tr>
      <w:tr w:rsidR="00280E98" w:rsidRPr="00F14B06" w14:paraId="101A1D10"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7A71ED9" w14:textId="1A196659" w:rsidR="00280E98" w:rsidRPr="0046400A" w:rsidRDefault="00280E98" w:rsidP="00280E98">
            <w:pPr>
              <w:pStyle w:val="TableReference"/>
              <w:tabs>
                <w:tab w:val="left" w:pos="3306"/>
              </w:tabs>
              <w:spacing w:before="60"/>
              <w:rPr>
                <w:rFonts w:cs="Calibri"/>
                <w:color w:val="7030A0"/>
                <w:sz w:val="14"/>
              </w:rPr>
            </w:pPr>
            <w:r w:rsidRPr="0046400A">
              <w:rPr>
                <w:rFonts w:cs="Calibri"/>
                <w:color w:val="7030A0"/>
                <w:sz w:val="14"/>
              </w:rPr>
              <w:t>AASB 101.97,98</w:t>
            </w:r>
          </w:p>
        </w:tc>
        <w:tc>
          <w:tcPr>
            <w:tcW w:w="3038" w:type="pct"/>
            <w:tcBorders>
              <w:top w:val="nil"/>
              <w:left w:val="single" w:sz="2" w:space="0" w:color="auto"/>
              <w:bottom w:val="nil"/>
              <w:right w:val="nil"/>
            </w:tcBorders>
          </w:tcPr>
          <w:p w14:paraId="41573C94" w14:textId="1479226F" w:rsidR="00280E98" w:rsidRPr="0046400A" w:rsidRDefault="00280E98" w:rsidP="00280E98">
            <w:pPr>
              <w:pStyle w:val="TableText"/>
              <w:tabs>
                <w:tab w:val="left" w:pos="3306"/>
              </w:tabs>
              <w:rPr>
                <w:rFonts w:cs="Calibri"/>
              </w:rPr>
            </w:pPr>
            <w:r w:rsidRPr="0046400A">
              <w:rPr>
                <w:rFonts w:cs="Calibri"/>
              </w:rPr>
              <w:t>Reversal of Asset Revaluation Decrements Previously Expensed</w:t>
            </w:r>
          </w:p>
        </w:tc>
        <w:tc>
          <w:tcPr>
            <w:tcW w:w="607" w:type="pct"/>
            <w:gridSpan w:val="2"/>
            <w:tcBorders>
              <w:top w:val="nil"/>
              <w:left w:val="nil"/>
              <w:bottom w:val="nil"/>
              <w:right w:val="nil"/>
            </w:tcBorders>
            <w:vAlign w:val="bottom"/>
          </w:tcPr>
          <w:p w14:paraId="4ABBDA20" w14:textId="77777777" w:rsidR="00280E98" w:rsidRPr="0046400A" w:rsidRDefault="00280E98" w:rsidP="00280E98">
            <w:pPr>
              <w:pStyle w:val="TableText"/>
              <w:tabs>
                <w:tab w:val="left" w:pos="3306"/>
              </w:tabs>
              <w:jc w:val="right"/>
              <w:rPr>
                <w:rFonts w:cs="Calibri"/>
                <w:strike/>
              </w:rPr>
            </w:pPr>
          </w:p>
        </w:tc>
        <w:tc>
          <w:tcPr>
            <w:tcW w:w="610" w:type="pct"/>
            <w:tcBorders>
              <w:top w:val="nil"/>
              <w:left w:val="nil"/>
              <w:bottom w:val="nil"/>
              <w:right w:val="nil"/>
            </w:tcBorders>
            <w:vAlign w:val="bottom"/>
          </w:tcPr>
          <w:p w14:paraId="23ABC7BB" w14:textId="77777777" w:rsidR="00280E98" w:rsidRPr="0046400A" w:rsidRDefault="00280E98" w:rsidP="00280E98">
            <w:pPr>
              <w:pStyle w:val="TableText"/>
              <w:tabs>
                <w:tab w:val="left" w:pos="3306"/>
              </w:tabs>
              <w:jc w:val="right"/>
              <w:rPr>
                <w:rFonts w:cs="Calibri"/>
                <w:strike/>
              </w:rPr>
            </w:pPr>
          </w:p>
        </w:tc>
      </w:tr>
      <w:tr w:rsidR="00280E98" w:rsidRPr="00F14B06" w14:paraId="78D73BF7"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5" w:type="pct"/>
            <w:tcBorders>
              <w:top w:val="nil"/>
              <w:left w:val="single" w:sz="2" w:space="0" w:color="auto"/>
              <w:bottom w:val="nil"/>
              <w:right w:val="single" w:sz="2" w:space="0" w:color="auto"/>
            </w:tcBorders>
          </w:tcPr>
          <w:p w14:paraId="51CE1A0A" w14:textId="210AF578" w:rsidR="00280E98" w:rsidRPr="0046400A" w:rsidRDefault="00280E98" w:rsidP="00280E98">
            <w:pPr>
              <w:pStyle w:val="TableReference"/>
              <w:tabs>
                <w:tab w:val="left" w:pos="3306"/>
              </w:tabs>
              <w:spacing w:before="60"/>
              <w:rPr>
                <w:rFonts w:cs="Calibri"/>
                <w:color w:val="7030A0"/>
                <w:sz w:val="14"/>
              </w:rPr>
            </w:pPr>
            <w:r w:rsidRPr="0046400A">
              <w:rPr>
                <w:rFonts w:cs="Calibri"/>
                <w:color w:val="7030A0"/>
                <w:sz w:val="14"/>
              </w:rPr>
              <w:t>AASB 101.97,98</w:t>
            </w:r>
          </w:p>
        </w:tc>
        <w:tc>
          <w:tcPr>
            <w:tcW w:w="3038" w:type="pct"/>
            <w:tcBorders>
              <w:top w:val="nil"/>
              <w:left w:val="single" w:sz="2" w:space="0" w:color="auto"/>
              <w:bottom w:val="nil"/>
              <w:right w:val="nil"/>
            </w:tcBorders>
          </w:tcPr>
          <w:p w14:paraId="6AC9E2D9" w14:textId="06E80204" w:rsidR="00280E98" w:rsidRPr="0046400A" w:rsidRDefault="00280E98" w:rsidP="00280E98">
            <w:pPr>
              <w:pStyle w:val="TableText"/>
              <w:tabs>
                <w:tab w:val="left" w:pos="3306"/>
              </w:tabs>
              <w:rPr>
                <w:rFonts w:cs="Calibri"/>
              </w:rPr>
            </w:pPr>
            <w:r w:rsidRPr="0046400A">
              <w:rPr>
                <w:rFonts w:cs="Calibri"/>
              </w:rPr>
              <w:t>Recognition of Assets Previously Written Off</w:t>
            </w:r>
          </w:p>
        </w:tc>
        <w:tc>
          <w:tcPr>
            <w:tcW w:w="607" w:type="pct"/>
            <w:gridSpan w:val="2"/>
            <w:tcBorders>
              <w:top w:val="nil"/>
              <w:left w:val="nil"/>
              <w:bottom w:val="nil"/>
              <w:right w:val="nil"/>
            </w:tcBorders>
            <w:vAlign w:val="bottom"/>
          </w:tcPr>
          <w:p w14:paraId="5E108A47" w14:textId="77777777" w:rsidR="00280E98" w:rsidRPr="0046400A" w:rsidRDefault="00280E98" w:rsidP="00280E98">
            <w:pPr>
              <w:pStyle w:val="TableText"/>
              <w:tabs>
                <w:tab w:val="left" w:pos="3306"/>
              </w:tabs>
              <w:jc w:val="right"/>
              <w:rPr>
                <w:rFonts w:cs="Calibri"/>
                <w:strike/>
              </w:rPr>
            </w:pPr>
          </w:p>
        </w:tc>
        <w:tc>
          <w:tcPr>
            <w:tcW w:w="610" w:type="pct"/>
            <w:tcBorders>
              <w:top w:val="nil"/>
              <w:left w:val="nil"/>
              <w:bottom w:val="nil"/>
              <w:right w:val="nil"/>
            </w:tcBorders>
            <w:vAlign w:val="bottom"/>
          </w:tcPr>
          <w:p w14:paraId="3B95B1EA" w14:textId="77777777" w:rsidR="00280E98" w:rsidRPr="0046400A" w:rsidRDefault="00280E98" w:rsidP="00280E98">
            <w:pPr>
              <w:pStyle w:val="TableText"/>
              <w:tabs>
                <w:tab w:val="left" w:pos="3306"/>
              </w:tabs>
              <w:jc w:val="right"/>
              <w:rPr>
                <w:rFonts w:cs="Calibri"/>
                <w:strike/>
              </w:rPr>
            </w:pPr>
          </w:p>
        </w:tc>
      </w:tr>
      <w:tr w:rsidR="00280E98" w:rsidRPr="00CF7E1B" w14:paraId="0C5A8832" w14:textId="77777777" w:rsidTr="002F4A89">
        <w:tc>
          <w:tcPr>
            <w:tcW w:w="745" w:type="pct"/>
            <w:tcBorders>
              <w:top w:val="nil"/>
              <w:left w:val="single" w:sz="2" w:space="0" w:color="auto"/>
              <w:bottom w:val="nil"/>
              <w:right w:val="single" w:sz="2" w:space="0" w:color="auto"/>
            </w:tcBorders>
          </w:tcPr>
          <w:p w14:paraId="49E6004A" w14:textId="77777777" w:rsidR="00280E98" w:rsidRPr="0046400A" w:rsidRDefault="00280E98" w:rsidP="00280E98">
            <w:pPr>
              <w:pStyle w:val="TableReference"/>
              <w:tabs>
                <w:tab w:val="left" w:pos="3306"/>
              </w:tabs>
              <w:spacing w:before="40"/>
              <w:rPr>
                <w:rFonts w:cs="Calibri"/>
                <w:color w:val="7030A0"/>
                <w:sz w:val="14"/>
              </w:rPr>
            </w:pPr>
          </w:p>
        </w:tc>
        <w:tc>
          <w:tcPr>
            <w:tcW w:w="3038" w:type="pct"/>
            <w:tcBorders>
              <w:left w:val="single" w:sz="2" w:space="0" w:color="auto"/>
              <w:right w:val="nil"/>
            </w:tcBorders>
            <w:vAlign w:val="bottom"/>
          </w:tcPr>
          <w:p w14:paraId="17A5E543" w14:textId="4ED839AD" w:rsidR="00280E98" w:rsidRPr="0046400A" w:rsidRDefault="00280E98" w:rsidP="00280E98">
            <w:pPr>
              <w:pStyle w:val="TableText"/>
              <w:rPr>
                <w:rFonts w:cs="Calibri"/>
              </w:rPr>
            </w:pPr>
            <w:r w:rsidRPr="0046400A">
              <w:rPr>
                <w:rFonts w:cs="Calibri"/>
              </w:rPr>
              <w:t xml:space="preserve">Other </w:t>
            </w:r>
          </w:p>
        </w:tc>
        <w:tc>
          <w:tcPr>
            <w:tcW w:w="607" w:type="pct"/>
            <w:gridSpan w:val="2"/>
            <w:tcBorders>
              <w:left w:val="nil"/>
              <w:bottom w:val="single" w:sz="4" w:space="0" w:color="auto"/>
              <w:right w:val="nil"/>
            </w:tcBorders>
            <w:vAlign w:val="bottom"/>
          </w:tcPr>
          <w:p w14:paraId="5258EEAA" w14:textId="77777777" w:rsidR="00280E98" w:rsidRPr="0046400A" w:rsidRDefault="00280E98" w:rsidP="00280E98">
            <w:pPr>
              <w:pStyle w:val="TableText"/>
              <w:tabs>
                <w:tab w:val="left" w:pos="3306"/>
              </w:tabs>
              <w:jc w:val="right"/>
              <w:rPr>
                <w:rFonts w:cs="Calibri"/>
                <w:strike/>
              </w:rPr>
            </w:pPr>
          </w:p>
        </w:tc>
        <w:tc>
          <w:tcPr>
            <w:tcW w:w="610" w:type="pct"/>
            <w:tcBorders>
              <w:left w:val="nil"/>
              <w:bottom w:val="single" w:sz="4" w:space="0" w:color="auto"/>
            </w:tcBorders>
            <w:vAlign w:val="bottom"/>
          </w:tcPr>
          <w:p w14:paraId="38C8D9DB" w14:textId="77777777" w:rsidR="00280E98" w:rsidRPr="0046400A" w:rsidRDefault="00280E98" w:rsidP="00280E98">
            <w:pPr>
              <w:pStyle w:val="TableText"/>
              <w:tabs>
                <w:tab w:val="left" w:pos="3306"/>
              </w:tabs>
              <w:jc w:val="right"/>
              <w:rPr>
                <w:rFonts w:cs="Calibri"/>
                <w:strike/>
              </w:rPr>
            </w:pPr>
          </w:p>
        </w:tc>
      </w:tr>
      <w:tr w:rsidR="00280E98" w:rsidRPr="00CF7E1B" w14:paraId="584EE9B4" w14:textId="77777777" w:rsidTr="002F4A89">
        <w:tc>
          <w:tcPr>
            <w:tcW w:w="745" w:type="pct"/>
            <w:tcBorders>
              <w:top w:val="nil"/>
              <w:left w:val="single" w:sz="2" w:space="0" w:color="auto"/>
              <w:right w:val="single" w:sz="2" w:space="0" w:color="auto"/>
            </w:tcBorders>
          </w:tcPr>
          <w:p w14:paraId="08278D48" w14:textId="77777777" w:rsidR="00280E98" w:rsidRPr="0046400A" w:rsidRDefault="00280E98" w:rsidP="00280E98">
            <w:pPr>
              <w:pStyle w:val="TableReference"/>
              <w:tabs>
                <w:tab w:val="left" w:pos="3306"/>
              </w:tabs>
              <w:spacing w:before="40"/>
              <w:rPr>
                <w:rFonts w:cs="Calibri"/>
                <w:color w:val="7030A0"/>
                <w:sz w:val="14"/>
              </w:rPr>
            </w:pPr>
          </w:p>
        </w:tc>
        <w:tc>
          <w:tcPr>
            <w:tcW w:w="3038" w:type="pct"/>
            <w:tcBorders>
              <w:left w:val="single" w:sz="2" w:space="0" w:color="auto"/>
              <w:right w:val="nil"/>
            </w:tcBorders>
            <w:vAlign w:val="bottom"/>
          </w:tcPr>
          <w:p w14:paraId="7063AF96" w14:textId="77777777" w:rsidR="00280E98" w:rsidRPr="0046400A" w:rsidRDefault="00280E98" w:rsidP="00280E98">
            <w:pPr>
              <w:pStyle w:val="TableText"/>
              <w:tabs>
                <w:tab w:val="left" w:pos="3306"/>
              </w:tabs>
              <w:spacing w:before="120"/>
              <w:rPr>
                <w:rFonts w:cs="Calibri"/>
                <w:b/>
                <w:bCs/>
              </w:rPr>
            </w:pPr>
            <w:r w:rsidRPr="0046400A">
              <w:rPr>
                <w:rFonts w:cs="Calibri"/>
                <w:b/>
                <w:bCs/>
              </w:rPr>
              <w:t>Total Other Gains</w:t>
            </w:r>
          </w:p>
        </w:tc>
        <w:tc>
          <w:tcPr>
            <w:tcW w:w="607" w:type="pct"/>
            <w:gridSpan w:val="2"/>
            <w:tcBorders>
              <w:top w:val="single" w:sz="4" w:space="0" w:color="auto"/>
              <w:left w:val="nil"/>
              <w:bottom w:val="single" w:sz="4" w:space="0" w:color="auto"/>
              <w:right w:val="nil"/>
            </w:tcBorders>
            <w:vAlign w:val="bottom"/>
          </w:tcPr>
          <w:p w14:paraId="3B5402AE" w14:textId="77777777" w:rsidR="00280E98" w:rsidRPr="0046400A" w:rsidRDefault="00280E98" w:rsidP="00280E98">
            <w:pPr>
              <w:pStyle w:val="TableText"/>
              <w:tabs>
                <w:tab w:val="left" w:pos="3306"/>
              </w:tabs>
              <w:jc w:val="right"/>
              <w:rPr>
                <w:rFonts w:cs="Calibri"/>
                <w:b/>
                <w:bCs/>
                <w:strike/>
              </w:rPr>
            </w:pPr>
          </w:p>
        </w:tc>
        <w:tc>
          <w:tcPr>
            <w:tcW w:w="610" w:type="pct"/>
            <w:tcBorders>
              <w:top w:val="single" w:sz="4" w:space="0" w:color="auto"/>
              <w:left w:val="nil"/>
              <w:bottom w:val="single" w:sz="4" w:space="0" w:color="auto"/>
            </w:tcBorders>
            <w:vAlign w:val="bottom"/>
          </w:tcPr>
          <w:p w14:paraId="20F7AA59" w14:textId="77777777" w:rsidR="00280E98" w:rsidRPr="0046400A" w:rsidRDefault="00280E98" w:rsidP="00280E98">
            <w:pPr>
              <w:pStyle w:val="TableText"/>
              <w:tabs>
                <w:tab w:val="left" w:pos="3306"/>
              </w:tabs>
              <w:jc w:val="right"/>
              <w:rPr>
                <w:rFonts w:cs="Calibri"/>
                <w:b/>
                <w:bCs/>
                <w:strike/>
              </w:rPr>
            </w:pPr>
          </w:p>
        </w:tc>
      </w:tr>
      <w:tr w:rsidR="00280E98" w:rsidRPr="00CF7E1B" w14:paraId="615BB915" w14:textId="77777777" w:rsidTr="002F4A89">
        <w:tc>
          <w:tcPr>
            <w:tcW w:w="745" w:type="pct"/>
            <w:tcBorders>
              <w:top w:val="nil"/>
              <w:left w:val="single" w:sz="2" w:space="0" w:color="auto"/>
              <w:right w:val="single" w:sz="2" w:space="0" w:color="auto"/>
            </w:tcBorders>
          </w:tcPr>
          <w:p w14:paraId="75D44C60" w14:textId="77777777" w:rsidR="00280E98" w:rsidRPr="0046400A" w:rsidRDefault="00280E98" w:rsidP="00280E98">
            <w:pPr>
              <w:pStyle w:val="TableReference"/>
              <w:tabs>
                <w:tab w:val="left" w:pos="3306"/>
              </w:tabs>
              <w:spacing w:before="40"/>
              <w:rPr>
                <w:rFonts w:cs="Calibri"/>
                <w:color w:val="7030A0"/>
                <w:sz w:val="14"/>
              </w:rPr>
            </w:pPr>
          </w:p>
        </w:tc>
        <w:tc>
          <w:tcPr>
            <w:tcW w:w="3038" w:type="pct"/>
            <w:tcBorders>
              <w:left w:val="single" w:sz="2" w:space="0" w:color="auto"/>
              <w:right w:val="nil"/>
            </w:tcBorders>
            <w:vAlign w:val="bottom"/>
          </w:tcPr>
          <w:p w14:paraId="6C82F064" w14:textId="77777777" w:rsidR="00280E98" w:rsidRPr="0046400A" w:rsidRDefault="00280E98" w:rsidP="00280E98">
            <w:pPr>
              <w:pStyle w:val="TableText"/>
              <w:tabs>
                <w:tab w:val="left" w:pos="3306"/>
              </w:tabs>
              <w:rPr>
                <w:rFonts w:cs="Calibri"/>
                <w:b/>
                <w:bCs/>
              </w:rPr>
            </w:pPr>
          </w:p>
        </w:tc>
        <w:tc>
          <w:tcPr>
            <w:tcW w:w="607" w:type="pct"/>
            <w:gridSpan w:val="2"/>
            <w:tcBorders>
              <w:top w:val="single" w:sz="4" w:space="0" w:color="auto"/>
              <w:left w:val="nil"/>
              <w:bottom w:val="single" w:sz="4" w:space="0" w:color="auto"/>
              <w:right w:val="nil"/>
            </w:tcBorders>
            <w:vAlign w:val="bottom"/>
          </w:tcPr>
          <w:p w14:paraId="764D0D5B" w14:textId="77777777" w:rsidR="00280E98" w:rsidRPr="0046400A" w:rsidRDefault="00280E98" w:rsidP="00280E98">
            <w:pPr>
              <w:pStyle w:val="TableText"/>
              <w:tabs>
                <w:tab w:val="left" w:pos="3306"/>
              </w:tabs>
              <w:jc w:val="right"/>
              <w:rPr>
                <w:rFonts w:cs="Calibri"/>
                <w:b/>
                <w:bCs/>
                <w:strike/>
              </w:rPr>
            </w:pPr>
          </w:p>
        </w:tc>
        <w:tc>
          <w:tcPr>
            <w:tcW w:w="610" w:type="pct"/>
            <w:tcBorders>
              <w:top w:val="single" w:sz="4" w:space="0" w:color="auto"/>
              <w:left w:val="nil"/>
              <w:bottom w:val="single" w:sz="4" w:space="0" w:color="auto"/>
            </w:tcBorders>
            <w:vAlign w:val="bottom"/>
          </w:tcPr>
          <w:p w14:paraId="050664F5" w14:textId="77777777" w:rsidR="00280E98" w:rsidRPr="0046400A" w:rsidRDefault="00280E98" w:rsidP="00280E98">
            <w:pPr>
              <w:pStyle w:val="TableText"/>
              <w:tabs>
                <w:tab w:val="left" w:pos="3306"/>
              </w:tabs>
              <w:jc w:val="right"/>
              <w:rPr>
                <w:rFonts w:cs="Calibri"/>
                <w:b/>
                <w:bCs/>
                <w:strike/>
              </w:rPr>
            </w:pPr>
          </w:p>
        </w:tc>
      </w:tr>
      <w:tr w:rsidR="00280E98" w:rsidRPr="00CF7E1B" w14:paraId="76D8126E" w14:textId="77777777" w:rsidTr="002F4A89">
        <w:tc>
          <w:tcPr>
            <w:tcW w:w="745" w:type="pct"/>
            <w:tcBorders>
              <w:top w:val="nil"/>
              <w:left w:val="single" w:sz="2" w:space="0" w:color="auto"/>
              <w:right w:val="single" w:sz="2" w:space="0" w:color="auto"/>
            </w:tcBorders>
          </w:tcPr>
          <w:p w14:paraId="21EF6E9B" w14:textId="77777777" w:rsidR="00280E98" w:rsidRPr="0046400A" w:rsidRDefault="00280E98" w:rsidP="00280E98">
            <w:pPr>
              <w:pStyle w:val="TableReference"/>
              <w:tabs>
                <w:tab w:val="left" w:pos="3306"/>
              </w:tabs>
              <w:spacing w:before="40"/>
              <w:rPr>
                <w:rFonts w:cs="Calibri"/>
                <w:color w:val="7030A0"/>
                <w:sz w:val="14"/>
              </w:rPr>
            </w:pPr>
          </w:p>
        </w:tc>
        <w:tc>
          <w:tcPr>
            <w:tcW w:w="3038" w:type="pct"/>
            <w:tcBorders>
              <w:left w:val="single" w:sz="2" w:space="0" w:color="auto"/>
              <w:right w:val="nil"/>
            </w:tcBorders>
            <w:vAlign w:val="bottom"/>
          </w:tcPr>
          <w:p w14:paraId="7972FFE1" w14:textId="02892955" w:rsidR="00280E98" w:rsidRPr="0046400A" w:rsidRDefault="00280E98" w:rsidP="00280E98">
            <w:pPr>
              <w:pStyle w:val="TableText"/>
              <w:tabs>
                <w:tab w:val="left" w:pos="3306"/>
              </w:tabs>
              <w:rPr>
                <w:rFonts w:cs="Calibri"/>
                <w:b/>
                <w:bCs/>
              </w:rPr>
            </w:pPr>
            <w:r w:rsidRPr="0046400A">
              <w:rPr>
                <w:rFonts w:cs="Calibri"/>
                <w:b/>
                <w:bCs/>
              </w:rPr>
              <w:t>Total Other Income</w:t>
            </w:r>
          </w:p>
        </w:tc>
        <w:tc>
          <w:tcPr>
            <w:tcW w:w="607" w:type="pct"/>
            <w:gridSpan w:val="2"/>
            <w:tcBorders>
              <w:top w:val="single" w:sz="4" w:space="0" w:color="auto"/>
              <w:left w:val="nil"/>
              <w:bottom w:val="double" w:sz="4" w:space="0" w:color="auto"/>
              <w:right w:val="nil"/>
            </w:tcBorders>
            <w:vAlign w:val="bottom"/>
          </w:tcPr>
          <w:p w14:paraId="4BCF5732" w14:textId="77777777" w:rsidR="00280E98" w:rsidRPr="0046400A" w:rsidRDefault="00280E98" w:rsidP="00280E98">
            <w:pPr>
              <w:pStyle w:val="TableText"/>
              <w:tabs>
                <w:tab w:val="left" w:pos="3306"/>
              </w:tabs>
              <w:jc w:val="right"/>
              <w:rPr>
                <w:rFonts w:cs="Calibri"/>
                <w:b/>
                <w:bCs/>
                <w:strike/>
              </w:rPr>
            </w:pPr>
          </w:p>
        </w:tc>
        <w:tc>
          <w:tcPr>
            <w:tcW w:w="610" w:type="pct"/>
            <w:tcBorders>
              <w:top w:val="single" w:sz="4" w:space="0" w:color="auto"/>
              <w:left w:val="nil"/>
              <w:bottom w:val="double" w:sz="4" w:space="0" w:color="auto"/>
            </w:tcBorders>
            <w:vAlign w:val="bottom"/>
          </w:tcPr>
          <w:p w14:paraId="6C50E7C3" w14:textId="77777777" w:rsidR="00280E98" w:rsidRPr="0046400A" w:rsidRDefault="00280E98" w:rsidP="00280E98">
            <w:pPr>
              <w:pStyle w:val="TableText"/>
              <w:tabs>
                <w:tab w:val="left" w:pos="3306"/>
              </w:tabs>
              <w:jc w:val="right"/>
              <w:rPr>
                <w:rFonts w:cs="Calibri"/>
                <w:b/>
                <w:bCs/>
                <w:strike/>
              </w:rPr>
            </w:pPr>
          </w:p>
        </w:tc>
      </w:tr>
      <w:tr w:rsidR="00280E98" w:rsidRPr="00CF7E1B" w14:paraId="03EF31BB" w14:textId="77777777" w:rsidTr="002F4A89">
        <w:trPr>
          <w:trHeight w:val="119"/>
        </w:trPr>
        <w:tc>
          <w:tcPr>
            <w:tcW w:w="745" w:type="pct"/>
            <w:tcBorders>
              <w:top w:val="nil"/>
              <w:left w:val="single" w:sz="2" w:space="0" w:color="auto"/>
              <w:bottom w:val="nil"/>
              <w:right w:val="single" w:sz="2" w:space="0" w:color="auto"/>
            </w:tcBorders>
          </w:tcPr>
          <w:p w14:paraId="1AA6C1B9" w14:textId="77777777" w:rsidR="00280E98" w:rsidRPr="0046400A" w:rsidRDefault="00280E98" w:rsidP="00280E98">
            <w:pPr>
              <w:pStyle w:val="TableReference"/>
              <w:tabs>
                <w:tab w:val="left" w:pos="3306"/>
              </w:tabs>
              <w:rPr>
                <w:rFonts w:cs="Calibri"/>
                <w:color w:val="7030A0"/>
                <w:sz w:val="14"/>
              </w:rPr>
            </w:pPr>
          </w:p>
        </w:tc>
        <w:tc>
          <w:tcPr>
            <w:tcW w:w="4255" w:type="pct"/>
            <w:gridSpan w:val="4"/>
            <w:tcBorders>
              <w:left w:val="single" w:sz="2" w:space="0" w:color="auto"/>
            </w:tcBorders>
            <w:vAlign w:val="bottom"/>
          </w:tcPr>
          <w:p w14:paraId="0A629B5F" w14:textId="77777777" w:rsidR="00280E98" w:rsidRPr="00CF7E1B" w:rsidRDefault="00280E98" w:rsidP="00280E98">
            <w:pPr>
              <w:pStyle w:val="TableText"/>
              <w:tabs>
                <w:tab w:val="left" w:pos="3306"/>
              </w:tabs>
              <w:spacing w:before="0"/>
              <w:rPr>
                <w:rFonts w:cs="Calibri"/>
              </w:rPr>
            </w:pPr>
          </w:p>
        </w:tc>
      </w:tr>
      <w:tr w:rsidR="00280E98" w:rsidRPr="00CF7E1B" w14:paraId="51D2AAA7" w14:textId="77777777" w:rsidTr="002F4A89">
        <w:tblPrEx>
          <w:shd w:val="clear" w:color="auto" w:fill="CCFFCC"/>
        </w:tblPrEx>
        <w:trPr>
          <w:trHeight w:val="20"/>
          <w:tblHeader/>
        </w:trPr>
        <w:tc>
          <w:tcPr>
            <w:tcW w:w="745" w:type="pct"/>
            <w:tcBorders>
              <w:left w:val="single" w:sz="2" w:space="0" w:color="auto"/>
              <w:right w:val="single" w:sz="2" w:space="0" w:color="auto"/>
            </w:tcBorders>
          </w:tcPr>
          <w:p w14:paraId="0A53787A" w14:textId="77777777" w:rsidR="00280E98" w:rsidRPr="0046400A" w:rsidRDefault="00280E98" w:rsidP="00280E98">
            <w:pPr>
              <w:pStyle w:val="TableReference"/>
              <w:tabs>
                <w:tab w:val="left" w:pos="3306"/>
              </w:tabs>
              <w:spacing w:before="120" w:after="240"/>
              <w:rPr>
                <w:rFonts w:cs="Calibri"/>
                <w:b/>
                <w:color w:val="7030A0"/>
                <w:sz w:val="14"/>
              </w:rPr>
            </w:pPr>
            <w:r w:rsidRPr="0046400A">
              <w:rPr>
                <w:rFonts w:cs="Calibri"/>
                <w:b/>
                <w:color w:val="7030A0"/>
                <w:sz w:val="14"/>
              </w:rPr>
              <w:br w:type="page"/>
            </w:r>
          </w:p>
        </w:tc>
        <w:tc>
          <w:tcPr>
            <w:tcW w:w="4255" w:type="pct"/>
            <w:gridSpan w:val="4"/>
            <w:tcBorders>
              <w:left w:val="single" w:sz="2" w:space="0" w:color="auto"/>
            </w:tcBorders>
            <w:shd w:val="clear" w:color="auto" w:fill="7030A0"/>
          </w:tcPr>
          <w:p w14:paraId="3F4193DF" w14:textId="776F7122" w:rsidR="00280E98" w:rsidRPr="00685DB3" w:rsidRDefault="00280E98" w:rsidP="00280E98">
            <w:pPr>
              <w:pStyle w:val="CommentaryTitle"/>
              <w:spacing w:after="240"/>
              <w:rPr>
                <w:rFonts w:cs="Calibri"/>
                <w:bCs w:val="0"/>
                <w:color w:val="FFFFFF" w:themeColor="background1"/>
                <w:sz w:val="28"/>
                <w:szCs w:val="28"/>
              </w:rPr>
            </w:pPr>
            <w:bookmarkStart w:id="391" w:name="_Toc163106322"/>
            <w:bookmarkStart w:id="392" w:name="_Toc194977577"/>
            <w:r w:rsidRPr="00685DB3">
              <w:rPr>
                <w:rFonts w:cs="Calibri"/>
                <w:bCs w:val="0"/>
                <w:color w:val="FFFFFF" w:themeColor="background1"/>
                <w:sz w:val="28"/>
                <w:szCs w:val="28"/>
              </w:rPr>
              <w:t>Commentary – Note 9: Other Income</w:t>
            </w:r>
            <w:bookmarkEnd w:id="391"/>
            <w:bookmarkEnd w:id="392"/>
            <w:r w:rsidRPr="00685DB3">
              <w:rPr>
                <w:rFonts w:cs="Calibri"/>
                <w:bCs w:val="0"/>
                <w:color w:val="FFFFFF" w:themeColor="background1"/>
                <w:sz w:val="28"/>
                <w:szCs w:val="28"/>
              </w:rPr>
              <w:t xml:space="preserve"> </w:t>
            </w:r>
          </w:p>
        </w:tc>
      </w:tr>
      <w:tr w:rsidR="00280E98" w:rsidRPr="00CF7E1B" w14:paraId="161D79C9" w14:textId="77777777" w:rsidTr="002F4A89">
        <w:tblPrEx>
          <w:shd w:val="clear" w:color="auto" w:fill="CCFFCC"/>
        </w:tblPrEx>
        <w:trPr>
          <w:trHeight w:val="20"/>
          <w:tblHeader/>
        </w:trPr>
        <w:tc>
          <w:tcPr>
            <w:tcW w:w="745" w:type="pct"/>
            <w:tcBorders>
              <w:left w:val="single" w:sz="2" w:space="0" w:color="auto"/>
              <w:right w:val="single" w:sz="2" w:space="0" w:color="auto"/>
            </w:tcBorders>
          </w:tcPr>
          <w:p w14:paraId="18429AB9" w14:textId="77777777" w:rsidR="00280E98" w:rsidRPr="0046400A" w:rsidRDefault="00280E98" w:rsidP="00280E98">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E3659BD" w14:textId="54B15731" w:rsidR="00280E98" w:rsidRPr="00685DB3" w:rsidRDefault="00280E98" w:rsidP="00280E98">
            <w:pPr>
              <w:spacing w:after="120"/>
              <w:rPr>
                <w:color w:val="FFFFFF" w:themeColor="background1"/>
                <w:sz w:val="18"/>
                <w:szCs w:val="18"/>
              </w:rPr>
            </w:pPr>
            <w:r w:rsidRPr="00685DB3">
              <w:rPr>
                <w:color w:val="FFFFFF" w:themeColor="background1"/>
                <w:sz w:val="18"/>
                <w:szCs w:val="18"/>
              </w:rPr>
              <w:t>The breakdown shown in this note disclosure is an example only.</w:t>
            </w:r>
            <w:r w:rsidR="00FA7C77">
              <w:rPr>
                <w:color w:val="FFFFFF" w:themeColor="background1"/>
                <w:sz w:val="18"/>
                <w:szCs w:val="18"/>
              </w:rPr>
              <w:t xml:space="preserve"> </w:t>
            </w:r>
            <w:r w:rsidRPr="00685DB3">
              <w:rPr>
                <w:color w:val="FFFFFF" w:themeColor="background1"/>
                <w:sz w:val="18"/>
                <w:szCs w:val="18"/>
              </w:rPr>
              <w:t>Agencies should only include line items that are applicable to them where material.</w:t>
            </w:r>
          </w:p>
        </w:tc>
      </w:tr>
      <w:tr w:rsidR="00280E98" w:rsidRPr="00CF7E1B" w14:paraId="3A09CEEB" w14:textId="77777777" w:rsidTr="002F4A89">
        <w:tblPrEx>
          <w:shd w:val="clear" w:color="auto" w:fill="CCFFCC"/>
        </w:tblPrEx>
        <w:trPr>
          <w:trHeight w:val="20"/>
          <w:tblHeader/>
        </w:trPr>
        <w:tc>
          <w:tcPr>
            <w:tcW w:w="745" w:type="pct"/>
            <w:tcBorders>
              <w:left w:val="single" w:sz="2" w:space="0" w:color="auto"/>
              <w:right w:val="single" w:sz="2" w:space="0" w:color="auto"/>
            </w:tcBorders>
          </w:tcPr>
          <w:p w14:paraId="2BBAAC6C" w14:textId="381101F7" w:rsidR="00280E98" w:rsidRPr="0046400A" w:rsidRDefault="00280E98" w:rsidP="00280E98">
            <w:pPr>
              <w:pStyle w:val="TableReference"/>
              <w:tabs>
                <w:tab w:val="left" w:pos="3306"/>
              </w:tabs>
              <w:spacing w:before="60"/>
              <w:rPr>
                <w:rFonts w:cs="Calibri"/>
                <w:color w:val="7030A0"/>
                <w:sz w:val="14"/>
              </w:rPr>
            </w:pPr>
            <w:r w:rsidRPr="0046400A">
              <w:rPr>
                <w:rFonts w:cs="Calibri"/>
                <w:color w:val="7030A0"/>
                <w:sz w:val="14"/>
              </w:rPr>
              <w:t>AASB 101.35</w:t>
            </w:r>
          </w:p>
        </w:tc>
        <w:tc>
          <w:tcPr>
            <w:tcW w:w="4255" w:type="pct"/>
            <w:gridSpan w:val="4"/>
            <w:tcBorders>
              <w:left w:val="single" w:sz="2" w:space="0" w:color="auto"/>
            </w:tcBorders>
            <w:shd w:val="clear" w:color="auto" w:fill="7030A0"/>
          </w:tcPr>
          <w:p w14:paraId="33756754" w14:textId="48EE4215" w:rsidR="00280E98" w:rsidRPr="00685DB3" w:rsidRDefault="00280E98" w:rsidP="00280E98">
            <w:pPr>
              <w:spacing w:after="120"/>
              <w:rPr>
                <w:color w:val="FFFFFF" w:themeColor="background1"/>
                <w:sz w:val="18"/>
                <w:szCs w:val="18"/>
              </w:rPr>
            </w:pPr>
            <w:r w:rsidRPr="00685DB3">
              <w:rPr>
                <w:color w:val="FFFFFF" w:themeColor="background1"/>
                <w:sz w:val="18"/>
                <w:szCs w:val="18"/>
              </w:rPr>
              <w:t>Gains and losses arising from a group of similar transactions should be reported on a net basis.</w:t>
            </w:r>
            <w:r w:rsidR="00FA7C77">
              <w:rPr>
                <w:color w:val="FFFFFF" w:themeColor="background1"/>
                <w:sz w:val="18"/>
                <w:szCs w:val="18"/>
              </w:rPr>
              <w:t xml:space="preserve"> </w:t>
            </w:r>
            <w:r w:rsidRPr="00685DB3">
              <w:rPr>
                <w:color w:val="FFFFFF" w:themeColor="background1"/>
                <w:sz w:val="18"/>
                <w:szCs w:val="18"/>
              </w:rPr>
              <w:t>However, if the gains and losses are material they should be reported separately.</w:t>
            </w:r>
          </w:p>
        </w:tc>
      </w:tr>
      <w:tr w:rsidR="00280E98" w:rsidRPr="00CF7E1B" w14:paraId="348590AC" w14:textId="77777777" w:rsidTr="002F4A89">
        <w:tblPrEx>
          <w:shd w:val="clear" w:color="auto" w:fill="CCFFCC"/>
        </w:tblPrEx>
        <w:trPr>
          <w:trHeight w:val="541"/>
          <w:tblHeader/>
        </w:trPr>
        <w:tc>
          <w:tcPr>
            <w:tcW w:w="745" w:type="pct"/>
            <w:vMerge w:val="restart"/>
            <w:tcBorders>
              <w:left w:val="single" w:sz="2" w:space="0" w:color="auto"/>
              <w:right w:val="single" w:sz="2" w:space="0" w:color="auto"/>
            </w:tcBorders>
          </w:tcPr>
          <w:p w14:paraId="392DBCE9" w14:textId="77777777" w:rsidR="00280E98" w:rsidRPr="0046400A" w:rsidRDefault="00280E98" w:rsidP="00280E98">
            <w:pPr>
              <w:pStyle w:val="TableReference"/>
              <w:tabs>
                <w:tab w:val="left" w:pos="3306"/>
              </w:tabs>
              <w:rPr>
                <w:rFonts w:cs="Calibri"/>
                <w:color w:val="7030A0"/>
                <w:sz w:val="14"/>
              </w:rPr>
            </w:pPr>
            <w:r w:rsidRPr="0046400A">
              <w:rPr>
                <w:rFonts w:cs="Calibri"/>
                <w:color w:val="7030A0"/>
                <w:sz w:val="14"/>
              </w:rPr>
              <w:t>AASB 101.7</w:t>
            </w:r>
          </w:p>
          <w:p w14:paraId="2AB51847" w14:textId="77777777" w:rsidR="00280E98" w:rsidRPr="0046400A" w:rsidRDefault="00280E98" w:rsidP="00280E98">
            <w:pPr>
              <w:pStyle w:val="TableReference"/>
              <w:tabs>
                <w:tab w:val="left" w:pos="3306"/>
              </w:tabs>
              <w:rPr>
                <w:rFonts w:cs="Calibri"/>
                <w:color w:val="7030A0"/>
                <w:sz w:val="14"/>
              </w:rPr>
            </w:pPr>
            <w:r w:rsidRPr="0046400A">
              <w:rPr>
                <w:rFonts w:cs="Calibri"/>
                <w:color w:val="7030A0"/>
                <w:sz w:val="14"/>
              </w:rPr>
              <w:t>AASB 108.5</w:t>
            </w:r>
          </w:p>
          <w:p w14:paraId="077EE079" w14:textId="617CCA21" w:rsidR="00280E98" w:rsidRPr="0046400A" w:rsidRDefault="00280E98" w:rsidP="00280E98">
            <w:pPr>
              <w:pStyle w:val="TableReference"/>
              <w:tabs>
                <w:tab w:val="left" w:pos="3306"/>
              </w:tabs>
              <w:rPr>
                <w:rFonts w:cs="Calibri"/>
                <w:color w:val="7030A0"/>
                <w:sz w:val="14"/>
              </w:rPr>
            </w:pPr>
            <w:r w:rsidRPr="0046400A">
              <w:rPr>
                <w:rFonts w:cs="Calibri"/>
                <w:color w:val="7030A0"/>
                <w:sz w:val="14"/>
              </w:rPr>
              <w:t>ACT Disclosure Policy</w:t>
            </w:r>
          </w:p>
        </w:tc>
        <w:tc>
          <w:tcPr>
            <w:tcW w:w="4255" w:type="pct"/>
            <w:gridSpan w:val="4"/>
            <w:tcBorders>
              <w:left w:val="single" w:sz="2" w:space="0" w:color="auto"/>
            </w:tcBorders>
            <w:shd w:val="clear" w:color="auto" w:fill="7030A0"/>
          </w:tcPr>
          <w:p w14:paraId="29762566" w14:textId="5C43B527" w:rsidR="00280E98" w:rsidRPr="00685DB3" w:rsidRDefault="00280E98" w:rsidP="00280E98">
            <w:pPr>
              <w:rPr>
                <w:color w:val="FFFFFF" w:themeColor="background1"/>
                <w:sz w:val="18"/>
                <w:szCs w:val="18"/>
              </w:rPr>
            </w:pPr>
            <w:r w:rsidRPr="00685DB3">
              <w:rPr>
                <w:color w:val="FFFFFF" w:themeColor="background1"/>
                <w:sz w:val="18"/>
                <w:szCs w:val="18"/>
              </w:rPr>
              <w:t>The notion of materiality applies to the classification of other income.</w:t>
            </w:r>
            <w:r w:rsidR="00FA7C77">
              <w:rPr>
                <w:color w:val="FFFFFF" w:themeColor="background1"/>
                <w:sz w:val="18"/>
                <w:szCs w:val="18"/>
              </w:rPr>
              <w:t xml:space="preserve"> </w:t>
            </w:r>
            <w:r w:rsidRPr="00685DB3">
              <w:rPr>
                <w:color w:val="FFFFFF" w:themeColor="background1"/>
                <w:sz w:val="18"/>
                <w:szCs w:val="18"/>
              </w:rPr>
              <w:t>Each material class of gains must be disclosed separately and the total of unclassified gains must not exceed 10% of total gains disclosed in the note.</w:t>
            </w:r>
            <w:r w:rsidR="00FA7C77">
              <w:rPr>
                <w:color w:val="FFFFFF" w:themeColor="background1"/>
                <w:sz w:val="18"/>
                <w:szCs w:val="18"/>
              </w:rPr>
              <w:t xml:space="preserve"> </w:t>
            </w:r>
          </w:p>
        </w:tc>
      </w:tr>
      <w:tr w:rsidR="00685DB3" w:rsidRPr="00CF7E1B" w14:paraId="5AC9A6C7" w14:textId="77777777" w:rsidTr="002F4A89">
        <w:tblPrEx>
          <w:shd w:val="clear" w:color="auto" w:fill="CCFFCC"/>
        </w:tblPrEx>
        <w:trPr>
          <w:trHeight w:val="20"/>
          <w:tblHeader/>
        </w:trPr>
        <w:tc>
          <w:tcPr>
            <w:tcW w:w="745" w:type="pct"/>
            <w:vMerge/>
            <w:tcBorders>
              <w:left w:val="single" w:sz="2" w:space="0" w:color="auto"/>
              <w:right w:val="single" w:sz="2" w:space="0" w:color="auto"/>
            </w:tcBorders>
          </w:tcPr>
          <w:p w14:paraId="7A389052" w14:textId="77777777" w:rsidR="00685DB3" w:rsidRPr="0046400A" w:rsidRDefault="00685DB3" w:rsidP="00280E98">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67058B9B" w14:textId="561F32A1" w:rsidR="00685DB3" w:rsidRPr="00E0586C" w:rsidRDefault="00685DB3" w:rsidP="00685DB3">
            <w:pPr>
              <w:rPr>
                <w:strike/>
                <w:color w:val="FFFFFF" w:themeColor="background1"/>
                <w:sz w:val="20"/>
                <w:szCs w:val="20"/>
              </w:rPr>
            </w:pPr>
            <w:r w:rsidRPr="00E0586C">
              <w:rPr>
                <w:b/>
                <w:bCs/>
                <w:color w:val="FFFFFF" w:themeColor="background1"/>
                <w:sz w:val="20"/>
                <w:szCs w:val="20"/>
              </w:rPr>
              <w:t>Service Concession Arrangements</w:t>
            </w:r>
          </w:p>
        </w:tc>
      </w:tr>
      <w:tr w:rsidR="00685DB3" w:rsidRPr="00CF7E1B" w14:paraId="6E0707AC" w14:textId="77777777" w:rsidTr="002F4A89">
        <w:tblPrEx>
          <w:shd w:val="clear" w:color="auto" w:fill="CCFFCC"/>
        </w:tblPrEx>
        <w:trPr>
          <w:trHeight w:val="20"/>
          <w:tblHeader/>
        </w:trPr>
        <w:tc>
          <w:tcPr>
            <w:tcW w:w="745" w:type="pct"/>
            <w:tcBorders>
              <w:left w:val="single" w:sz="2" w:space="0" w:color="auto"/>
              <w:right w:val="single" w:sz="2" w:space="0" w:color="auto"/>
            </w:tcBorders>
          </w:tcPr>
          <w:p w14:paraId="634753F7" w14:textId="77777777" w:rsidR="00685DB3" w:rsidRPr="0046400A" w:rsidRDefault="00685DB3" w:rsidP="00280E98">
            <w:pPr>
              <w:pStyle w:val="TableReference"/>
              <w:tabs>
                <w:tab w:val="left" w:pos="3306"/>
              </w:tabs>
              <w:spacing w:before="60"/>
              <w:rPr>
                <w:rFonts w:cs="Calibri"/>
                <w:color w:val="7030A0"/>
                <w:sz w:val="14"/>
              </w:rPr>
            </w:pPr>
          </w:p>
        </w:tc>
        <w:tc>
          <w:tcPr>
            <w:tcW w:w="4255" w:type="pct"/>
            <w:gridSpan w:val="4"/>
            <w:tcBorders>
              <w:left w:val="single" w:sz="2" w:space="0" w:color="auto"/>
            </w:tcBorders>
            <w:shd w:val="clear" w:color="auto" w:fill="7030A0"/>
          </w:tcPr>
          <w:p w14:paraId="426D168D" w14:textId="34E7AD88" w:rsidR="00685DB3" w:rsidRPr="00685DB3" w:rsidRDefault="00685DB3" w:rsidP="00E0586C">
            <w:pPr>
              <w:spacing w:after="120"/>
              <w:rPr>
                <w:color w:val="FFFFFF" w:themeColor="background1"/>
                <w:sz w:val="18"/>
                <w:szCs w:val="18"/>
              </w:rPr>
            </w:pPr>
            <w:r w:rsidRPr="00685DB3">
              <w:rPr>
                <w:color w:val="FFFFFF" w:themeColor="background1"/>
                <w:sz w:val="18"/>
                <w:szCs w:val="18"/>
              </w:rPr>
              <w:t>Where Service Concession Arrangement revenue is material when compared to total revenue of an agency then it will warrant its own line item on the face of the financial statements.</w:t>
            </w:r>
            <w:r w:rsidR="00FA7C77">
              <w:rPr>
                <w:color w:val="FFFFFF" w:themeColor="background1"/>
                <w:sz w:val="18"/>
                <w:szCs w:val="18"/>
              </w:rPr>
              <w:t xml:space="preserve"> </w:t>
            </w:r>
            <w:r w:rsidRPr="00685DB3">
              <w:rPr>
                <w:color w:val="FFFFFF" w:themeColor="background1"/>
                <w:sz w:val="18"/>
                <w:szCs w:val="18"/>
              </w:rPr>
              <w:t>Where it is immaterial in the context of this note then agencies should consider its inclusion in the ‘Other Revenue’ line item.</w:t>
            </w:r>
          </w:p>
        </w:tc>
      </w:tr>
    </w:tbl>
    <w:p w14:paraId="7B3B62B2" w14:textId="1C1417AE" w:rsidR="007635EB" w:rsidRDefault="007635EB"/>
    <w:p w14:paraId="49DD3159" w14:textId="456A0ED9" w:rsidR="003E2554" w:rsidRDefault="003E2554"/>
    <w:p w14:paraId="10C87A38" w14:textId="76057295" w:rsidR="00685DB3" w:rsidRDefault="00685DB3"/>
    <w:p w14:paraId="4A09BFD4" w14:textId="73111209" w:rsidR="00685DB3" w:rsidRDefault="00685DB3"/>
    <w:p w14:paraId="70EDE44B" w14:textId="53DEFF93" w:rsidR="00685DB3" w:rsidRDefault="00685DB3">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6519"/>
        <w:gridCol w:w="1276"/>
        <w:gridCol w:w="1135"/>
      </w:tblGrid>
      <w:tr w:rsidR="00CE67CE" w:rsidRPr="00CF7E1B" w14:paraId="055037E9" w14:textId="77777777" w:rsidTr="002F4A89">
        <w:trPr>
          <w:cantSplit/>
          <w:trHeight w:hRule="exact" w:val="953"/>
        </w:trPr>
        <w:tc>
          <w:tcPr>
            <w:tcW w:w="745" w:type="pct"/>
            <w:tcBorders>
              <w:top w:val="nil"/>
              <w:left w:val="single" w:sz="2" w:space="0" w:color="auto"/>
              <w:bottom w:val="nil"/>
              <w:right w:val="single" w:sz="2" w:space="0" w:color="auto"/>
            </w:tcBorders>
          </w:tcPr>
          <w:p w14:paraId="7AC4A19B" w14:textId="26F439A0" w:rsidR="00CE67CE" w:rsidRPr="0046400A" w:rsidRDefault="00551F51" w:rsidP="00927E75">
            <w:pPr>
              <w:pStyle w:val="TableReference"/>
              <w:tabs>
                <w:tab w:val="left" w:pos="3306"/>
              </w:tabs>
              <w:spacing w:before="240" w:after="240"/>
              <w:rPr>
                <w:color w:val="7030A0"/>
                <w:sz w:val="22"/>
                <w:szCs w:val="22"/>
              </w:rPr>
            </w:pPr>
            <w:r w:rsidRPr="0046400A">
              <w:rPr>
                <w:color w:val="7030A0"/>
              </w:rPr>
              <w:br w:type="page"/>
            </w:r>
            <w:bookmarkStart w:id="393" w:name="EmplExp" w:colFirst="1" w:colLast="1"/>
            <w:r w:rsidR="003A4053" w:rsidRPr="0046400A">
              <w:rPr>
                <w:rFonts w:cs="Calibri"/>
                <w:b/>
                <w:color w:val="7030A0"/>
                <w:sz w:val="22"/>
                <w:szCs w:val="22"/>
              </w:rPr>
              <w:t>Reference</w:t>
            </w:r>
          </w:p>
        </w:tc>
        <w:tc>
          <w:tcPr>
            <w:tcW w:w="4255" w:type="pct"/>
            <w:gridSpan w:val="3"/>
            <w:tcBorders>
              <w:top w:val="nil"/>
              <w:left w:val="single" w:sz="2" w:space="0" w:color="auto"/>
              <w:bottom w:val="nil"/>
              <w:right w:val="nil"/>
            </w:tcBorders>
          </w:tcPr>
          <w:p w14:paraId="6478B1F7" w14:textId="0A23623D" w:rsidR="00CE67CE" w:rsidRPr="0046400A" w:rsidRDefault="00CE67CE" w:rsidP="0008124A">
            <w:pPr>
              <w:pStyle w:val="Heading1"/>
              <w:numPr>
                <w:ilvl w:val="0"/>
                <w:numId w:val="0"/>
              </w:numPr>
              <w:rPr>
                <w:rFonts w:ascii="Arial Bold" w:hAnsi="Arial Bold" w:cs="Arial"/>
                <w:bCs w:val="0"/>
                <w:szCs w:val="32"/>
              </w:rPr>
            </w:pPr>
            <w:bookmarkStart w:id="394" w:name="_Toc98763083"/>
            <w:r w:rsidRPr="0046400A">
              <w:rPr>
                <w:rFonts w:ascii="Arial Bold" w:hAnsi="Arial Bold" w:cs="Arial"/>
                <w:bCs w:val="0"/>
                <w:szCs w:val="32"/>
              </w:rPr>
              <w:t xml:space="preserve">Note </w:t>
            </w:r>
            <w:r w:rsidR="00012822" w:rsidRPr="0046400A">
              <w:rPr>
                <w:rFonts w:ascii="Arial Bold" w:hAnsi="Arial Bold" w:cs="Arial"/>
                <w:bCs w:val="0"/>
                <w:szCs w:val="32"/>
              </w:rPr>
              <w:t>10</w:t>
            </w:r>
            <w:r w:rsidRPr="0046400A">
              <w:rPr>
                <w:rFonts w:ascii="Arial Bold" w:hAnsi="Arial Bold" w:cs="Arial"/>
                <w:bCs w:val="0"/>
                <w:szCs w:val="32"/>
              </w:rPr>
              <w:t>.</w:t>
            </w:r>
            <w:r w:rsidR="00FA7C77">
              <w:rPr>
                <w:rFonts w:ascii="Arial Bold" w:hAnsi="Arial Bold" w:cs="Arial"/>
                <w:bCs w:val="0"/>
                <w:szCs w:val="32"/>
              </w:rPr>
              <w:t xml:space="preserve"> </w:t>
            </w:r>
            <w:r w:rsidRPr="0046400A">
              <w:rPr>
                <w:rFonts w:ascii="Arial Bold" w:hAnsi="Arial Bold" w:cs="Arial"/>
                <w:bCs w:val="0"/>
                <w:szCs w:val="32"/>
              </w:rPr>
              <w:t xml:space="preserve"> Employee </w:t>
            </w:r>
            <w:r w:rsidR="00EB2186" w:rsidRPr="0046400A">
              <w:rPr>
                <w:rFonts w:ascii="Arial Bold" w:hAnsi="Arial Bold" w:cs="Arial"/>
                <w:bCs w:val="0"/>
                <w:szCs w:val="32"/>
              </w:rPr>
              <w:t xml:space="preserve">and Superannution </w:t>
            </w:r>
            <w:r w:rsidRPr="0046400A">
              <w:rPr>
                <w:rFonts w:ascii="Arial Bold" w:hAnsi="Arial Bold" w:cs="Arial"/>
                <w:bCs w:val="0"/>
                <w:szCs w:val="32"/>
              </w:rPr>
              <w:t>Expenses</w:t>
            </w:r>
            <w:bookmarkEnd w:id="394"/>
          </w:p>
        </w:tc>
      </w:tr>
      <w:tr w:rsidR="00FA71D0" w:rsidRPr="00CF7E1B" w14:paraId="7920280A" w14:textId="77777777" w:rsidTr="002F4A89">
        <w:trPr>
          <w:cantSplit/>
          <w:trHeight w:hRule="exact" w:val="455"/>
        </w:trPr>
        <w:tc>
          <w:tcPr>
            <w:tcW w:w="745" w:type="pct"/>
            <w:tcBorders>
              <w:top w:val="nil"/>
              <w:left w:val="single" w:sz="2" w:space="0" w:color="auto"/>
              <w:bottom w:val="nil"/>
              <w:right w:val="single" w:sz="2" w:space="0" w:color="auto"/>
            </w:tcBorders>
          </w:tcPr>
          <w:p w14:paraId="11D0661F" w14:textId="77777777" w:rsidR="00FA71D0" w:rsidRPr="0046400A" w:rsidRDefault="00FA71D0" w:rsidP="00FA71D0">
            <w:pPr>
              <w:pStyle w:val="TableReference"/>
              <w:tabs>
                <w:tab w:val="left" w:pos="3306"/>
              </w:tabs>
              <w:spacing w:before="120"/>
              <w:rPr>
                <w:color w:val="7030A0"/>
                <w:sz w:val="14"/>
              </w:rPr>
            </w:pPr>
          </w:p>
        </w:tc>
        <w:tc>
          <w:tcPr>
            <w:tcW w:w="4255" w:type="pct"/>
            <w:gridSpan w:val="3"/>
            <w:tcBorders>
              <w:top w:val="nil"/>
              <w:left w:val="single" w:sz="2" w:space="0" w:color="auto"/>
              <w:bottom w:val="nil"/>
              <w:right w:val="nil"/>
            </w:tcBorders>
          </w:tcPr>
          <w:p w14:paraId="02EA7F3E" w14:textId="3565D0BE" w:rsidR="00FA71D0" w:rsidRPr="0046400A" w:rsidRDefault="006C49B2" w:rsidP="00FA71D0">
            <w:pPr>
              <w:spacing w:before="120"/>
              <w:jc w:val="both"/>
              <w:rPr>
                <w:rFonts w:cs="Calibri"/>
                <w:b/>
                <w:bCs/>
                <w:sz w:val="18"/>
                <w:szCs w:val="18"/>
              </w:rPr>
            </w:pPr>
            <w:r w:rsidRPr="0046400A">
              <w:rPr>
                <w:rFonts w:cs="Calibri"/>
                <w:b/>
                <w:bCs/>
                <w:sz w:val="18"/>
                <w:szCs w:val="18"/>
              </w:rPr>
              <w:t xml:space="preserve">Description and </w:t>
            </w:r>
            <w:r w:rsidR="00217963" w:rsidRPr="0046400A">
              <w:rPr>
                <w:rFonts w:cs="Calibri"/>
                <w:b/>
                <w:bCs/>
                <w:sz w:val="18"/>
                <w:szCs w:val="18"/>
              </w:rPr>
              <w:t xml:space="preserve">Material Accounting Policies Relating to Employee </w:t>
            </w:r>
            <w:r w:rsidR="00EB2186" w:rsidRPr="0046400A">
              <w:rPr>
                <w:rFonts w:cs="Calibri"/>
                <w:b/>
                <w:bCs/>
                <w:sz w:val="18"/>
                <w:szCs w:val="18"/>
              </w:rPr>
              <w:t xml:space="preserve">and Superannuation </w:t>
            </w:r>
            <w:r w:rsidR="00217963" w:rsidRPr="0046400A">
              <w:rPr>
                <w:rFonts w:cs="Calibri"/>
                <w:b/>
                <w:bCs/>
                <w:sz w:val="18"/>
                <w:szCs w:val="18"/>
              </w:rPr>
              <w:t>Expenses</w:t>
            </w:r>
          </w:p>
        </w:tc>
      </w:tr>
      <w:tr w:rsidR="00DD4524" w:rsidRPr="00CF7E1B" w14:paraId="5AB4CB79" w14:textId="77777777" w:rsidTr="002F4A89">
        <w:trPr>
          <w:cantSplit/>
          <w:trHeight w:hRule="exact" w:val="1370"/>
        </w:trPr>
        <w:tc>
          <w:tcPr>
            <w:tcW w:w="745" w:type="pct"/>
            <w:tcBorders>
              <w:top w:val="nil"/>
              <w:left w:val="single" w:sz="2" w:space="0" w:color="auto"/>
              <w:bottom w:val="nil"/>
              <w:right w:val="single" w:sz="2" w:space="0" w:color="auto"/>
            </w:tcBorders>
          </w:tcPr>
          <w:p w14:paraId="3574E328" w14:textId="5D9E27F5" w:rsidR="00DD4524" w:rsidRPr="0046400A" w:rsidRDefault="00FA71D0" w:rsidP="0056464A">
            <w:pPr>
              <w:pStyle w:val="TableReference"/>
              <w:tabs>
                <w:tab w:val="left" w:pos="3306"/>
              </w:tabs>
              <w:rPr>
                <w:color w:val="7030A0"/>
                <w:sz w:val="14"/>
              </w:rPr>
            </w:pPr>
            <w:r w:rsidRPr="0046400A">
              <w:rPr>
                <w:color w:val="7030A0"/>
                <w:sz w:val="14"/>
              </w:rPr>
              <w:t>AASB 119.5 &amp; 9</w:t>
            </w:r>
          </w:p>
        </w:tc>
        <w:tc>
          <w:tcPr>
            <w:tcW w:w="4255" w:type="pct"/>
            <w:gridSpan w:val="3"/>
            <w:tcBorders>
              <w:top w:val="nil"/>
              <w:left w:val="single" w:sz="2" w:space="0" w:color="auto"/>
              <w:bottom w:val="nil"/>
              <w:right w:val="nil"/>
            </w:tcBorders>
          </w:tcPr>
          <w:p w14:paraId="0FF44F1F" w14:textId="77777777" w:rsidR="00FA71D0" w:rsidRPr="0046400A" w:rsidRDefault="00FA71D0" w:rsidP="0056464A">
            <w:pPr>
              <w:jc w:val="both"/>
              <w:rPr>
                <w:rFonts w:cs="Calibri"/>
                <w:sz w:val="18"/>
                <w:szCs w:val="18"/>
              </w:rPr>
            </w:pPr>
            <w:r w:rsidRPr="0046400A">
              <w:rPr>
                <w:rFonts w:cs="Calibri"/>
                <w:sz w:val="18"/>
                <w:szCs w:val="18"/>
              </w:rPr>
              <w:t>Employee benefits include:</w:t>
            </w:r>
          </w:p>
          <w:p w14:paraId="2A8C0D9D" w14:textId="3A67484A" w:rsidR="00FA71D0" w:rsidRPr="0046400A" w:rsidRDefault="00FA71D0" w:rsidP="007122BC">
            <w:pPr>
              <w:numPr>
                <w:ilvl w:val="0"/>
                <w:numId w:val="40"/>
              </w:numPr>
              <w:ind w:left="426" w:hanging="426"/>
              <w:jc w:val="both"/>
              <w:rPr>
                <w:rFonts w:cs="Calibri"/>
                <w:sz w:val="18"/>
                <w:szCs w:val="18"/>
              </w:rPr>
            </w:pPr>
            <w:r w:rsidRPr="0046400A">
              <w:rPr>
                <w:rFonts w:cs="Calibri"/>
                <w:sz w:val="18"/>
                <w:szCs w:val="18"/>
              </w:rPr>
              <w:t xml:space="preserve">short-term employee benefits such as wages and salaries, annual leave loading, </w:t>
            </w:r>
            <w:r w:rsidR="00B228FF" w:rsidRPr="0046400A">
              <w:rPr>
                <w:rFonts w:cs="Calibri"/>
                <w:sz w:val="18"/>
                <w:szCs w:val="18"/>
              </w:rPr>
              <w:t xml:space="preserve">non-monetary benefits (e.g. vehicles) </w:t>
            </w:r>
            <w:r w:rsidRPr="0046400A">
              <w:rPr>
                <w:rFonts w:cs="Calibri"/>
                <w:sz w:val="18"/>
                <w:szCs w:val="18"/>
              </w:rPr>
              <w:t>and applicable on-costs, if expected to be settled wholly before twelve months after the end of the annual reporting period in which the employees render the related services;</w:t>
            </w:r>
          </w:p>
          <w:p w14:paraId="59F30019" w14:textId="77777777" w:rsidR="00FA71D0" w:rsidRPr="0046400A" w:rsidRDefault="00FA71D0" w:rsidP="007122BC">
            <w:pPr>
              <w:pStyle w:val="CommentaryText"/>
              <w:numPr>
                <w:ilvl w:val="0"/>
                <w:numId w:val="30"/>
              </w:numPr>
              <w:spacing w:after="0"/>
              <w:rPr>
                <w:rFonts w:cs="Calibri"/>
                <w:sz w:val="18"/>
                <w:szCs w:val="18"/>
              </w:rPr>
            </w:pPr>
            <w:r w:rsidRPr="0046400A">
              <w:rPr>
                <w:rFonts w:cs="Calibri"/>
                <w:sz w:val="18"/>
                <w:szCs w:val="18"/>
              </w:rPr>
              <w:t>other long-term benefits such as long service leave and annual leave; and</w:t>
            </w:r>
          </w:p>
          <w:p w14:paraId="603B36DE" w14:textId="62C77E82" w:rsidR="00DD4524" w:rsidRPr="0046400A" w:rsidRDefault="00FA71D0" w:rsidP="007122BC">
            <w:pPr>
              <w:pStyle w:val="CommentaryText"/>
              <w:numPr>
                <w:ilvl w:val="0"/>
                <w:numId w:val="30"/>
              </w:numPr>
              <w:ind w:left="357" w:hanging="357"/>
              <w:rPr>
                <w:rFonts w:cs="Calibri"/>
                <w:sz w:val="18"/>
                <w:szCs w:val="18"/>
              </w:rPr>
            </w:pPr>
            <w:r w:rsidRPr="0046400A">
              <w:rPr>
                <w:rFonts w:cs="Calibri"/>
                <w:sz w:val="18"/>
                <w:szCs w:val="18"/>
              </w:rPr>
              <w:t xml:space="preserve">termination benefits. </w:t>
            </w:r>
          </w:p>
        </w:tc>
      </w:tr>
      <w:tr w:rsidR="00B96250" w:rsidRPr="00CF7E1B" w14:paraId="72508704" w14:textId="77777777" w:rsidTr="002F4A89">
        <w:trPr>
          <w:cantSplit/>
          <w:trHeight w:hRule="exact" w:val="581"/>
        </w:trPr>
        <w:tc>
          <w:tcPr>
            <w:tcW w:w="745" w:type="pct"/>
            <w:vMerge w:val="restart"/>
            <w:tcBorders>
              <w:top w:val="nil"/>
              <w:left w:val="single" w:sz="2" w:space="0" w:color="auto"/>
              <w:right w:val="single" w:sz="2" w:space="0" w:color="auto"/>
            </w:tcBorders>
          </w:tcPr>
          <w:p w14:paraId="5219F942" w14:textId="497C3596" w:rsidR="00B96250" w:rsidRPr="0046400A" w:rsidRDefault="00B96250" w:rsidP="00B228FF">
            <w:pPr>
              <w:pStyle w:val="TableReference"/>
              <w:tabs>
                <w:tab w:val="left" w:pos="3306"/>
              </w:tabs>
              <w:spacing w:before="160"/>
              <w:rPr>
                <w:color w:val="7030A0"/>
                <w:sz w:val="14"/>
              </w:rPr>
            </w:pPr>
            <w:r w:rsidRPr="0046400A">
              <w:rPr>
                <w:color w:val="7030A0"/>
                <w:sz w:val="14"/>
              </w:rPr>
              <w:t xml:space="preserve">ACT Disclosure Policy </w:t>
            </w:r>
          </w:p>
          <w:p w14:paraId="793D4C14" w14:textId="5FA4D8B1" w:rsidR="00B96250" w:rsidRPr="0046400A" w:rsidRDefault="00B96250" w:rsidP="00B228FF">
            <w:pPr>
              <w:pStyle w:val="TableReference"/>
              <w:tabs>
                <w:tab w:val="left" w:pos="3306"/>
              </w:tabs>
              <w:rPr>
                <w:color w:val="7030A0"/>
                <w:sz w:val="14"/>
              </w:rPr>
            </w:pPr>
            <w:r w:rsidRPr="0046400A">
              <w:rPr>
                <w:color w:val="7030A0"/>
                <w:sz w:val="14"/>
              </w:rPr>
              <w:t>AASB 119.5(b) &amp; 53</w:t>
            </w:r>
          </w:p>
        </w:tc>
        <w:tc>
          <w:tcPr>
            <w:tcW w:w="4255" w:type="pct"/>
            <w:gridSpan w:val="3"/>
            <w:tcBorders>
              <w:top w:val="nil"/>
              <w:left w:val="single" w:sz="2" w:space="0" w:color="auto"/>
              <w:bottom w:val="nil"/>
              <w:right w:val="nil"/>
            </w:tcBorders>
          </w:tcPr>
          <w:p w14:paraId="3F9C82BE" w14:textId="45EB3418" w:rsidR="00B96250" w:rsidRPr="0046400A" w:rsidRDefault="00B96250" w:rsidP="00B228FF">
            <w:pPr>
              <w:spacing w:before="120" w:after="120"/>
              <w:jc w:val="both"/>
              <w:rPr>
                <w:rFonts w:cs="Calibri"/>
                <w:sz w:val="18"/>
                <w:szCs w:val="18"/>
              </w:rPr>
            </w:pPr>
            <w:r w:rsidRPr="0046400A">
              <w:rPr>
                <w:rFonts w:cs="Calibri"/>
                <w:sz w:val="18"/>
                <w:szCs w:val="18"/>
              </w:rPr>
              <w:t>On-costs include annual leave, long service leave, superannuation and other costs that are incurred when employees take annual leave and long service leave.</w:t>
            </w:r>
          </w:p>
        </w:tc>
      </w:tr>
      <w:tr w:rsidR="00B96250" w:rsidRPr="00CF7E1B" w14:paraId="6FF61172" w14:textId="77777777" w:rsidTr="002F4A89">
        <w:trPr>
          <w:cantSplit/>
          <w:trHeight w:hRule="exact" w:val="855"/>
        </w:trPr>
        <w:tc>
          <w:tcPr>
            <w:tcW w:w="745" w:type="pct"/>
            <w:vMerge/>
            <w:tcBorders>
              <w:left w:val="single" w:sz="2" w:space="0" w:color="auto"/>
              <w:bottom w:val="nil"/>
              <w:right w:val="single" w:sz="2" w:space="0" w:color="auto"/>
            </w:tcBorders>
          </w:tcPr>
          <w:p w14:paraId="3F19992D" w14:textId="77777777" w:rsidR="00B96250" w:rsidRPr="0046400A" w:rsidRDefault="00B96250"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541620D3" w14:textId="7C61BDDA" w:rsidR="00B96250" w:rsidRPr="0046400A" w:rsidRDefault="00B96250" w:rsidP="00B228FF">
            <w:pPr>
              <w:spacing w:before="120"/>
              <w:jc w:val="both"/>
              <w:rPr>
                <w:rFonts w:cs="Calibri"/>
                <w:sz w:val="18"/>
                <w:szCs w:val="18"/>
              </w:rPr>
            </w:pPr>
            <w:r w:rsidRPr="0046400A">
              <w:rPr>
                <w:sz w:val="18"/>
                <w:szCs w:val="18"/>
              </w:rPr>
              <w:t>Employees of ‘</w:t>
            </w:r>
            <w:r w:rsidR="00920EA7" w:rsidRPr="0046400A">
              <w:rPr>
                <w:sz w:val="18"/>
                <w:szCs w:val="18"/>
              </w:rPr>
              <w:t xml:space="preserve">Burley Griffin </w:t>
            </w:r>
            <w:r w:rsidRPr="0046400A">
              <w:rPr>
                <w:sz w:val="18"/>
                <w:szCs w:val="18"/>
              </w:rPr>
              <w:t>Agency’ will have different superannuation arrangements due to the type of superannuation schemes available at the time of commencing employment, including both defined benefit and defined contribution superannuation scheme arrangements.</w:t>
            </w:r>
          </w:p>
        </w:tc>
      </w:tr>
      <w:tr w:rsidR="00B96250" w:rsidRPr="00CF7E1B" w14:paraId="4B3FE198" w14:textId="77777777" w:rsidTr="002F4A89">
        <w:trPr>
          <w:cantSplit/>
          <w:trHeight w:hRule="exact" w:val="1158"/>
        </w:trPr>
        <w:tc>
          <w:tcPr>
            <w:tcW w:w="745" w:type="pct"/>
            <w:tcBorders>
              <w:top w:val="nil"/>
              <w:left w:val="single" w:sz="2" w:space="0" w:color="auto"/>
              <w:bottom w:val="nil"/>
              <w:right w:val="single" w:sz="2" w:space="0" w:color="auto"/>
            </w:tcBorders>
          </w:tcPr>
          <w:p w14:paraId="7DCC68CF" w14:textId="77777777" w:rsidR="00B96250" w:rsidRPr="0046400A" w:rsidRDefault="00B96250"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25DDDBA4" w14:textId="62FDCD70" w:rsidR="00B96250" w:rsidRPr="0046400A" w:rsidRDefault="00B96250" w:rsidP="00B96250">
            <w:pPr>
              <w:spacing w:before="60"/>
              <w:jc w:val="both"/>
              <w:rPr>
                <w:rFonts w:cs="Calibri"/>
                <w:sz w:val="18"/>
                <w:szCs w:val="18"/>
              </w:rPr>
            </w:pPr>
            <w:r w:rsidRPr="0046400A">
              <w:rPr>
                <w:sz w:val="18"/>
                <w:szCs w:val="18"/>
              </w:rPr>
              <w:t>For employees who are members of the defined benefit Commonwealth Superannuation Scheme (CSS) and Public Sector Superannuation Scheme (PSS) ‘</w:t>
            </w:r>
            <w:r w:rsidR="00920EA7" w:rsidRPr="0046400A">
              <w:rPr>
                <w:sz w:val="18"/>
                <w:szCs w:val="18"/>
              </w:rPr>
              <w:t>Burley Griffin</w:t>
            </w:r>
            <w:r w:rsidRPr="0046400A">
              <w:rPr>
                <w:sz w:val="18"/>
                <w:szCs w:val="18"/>
              </w:rPr>
              <w:t xml:space="preserve"> Agency’ makes employer superannuation contribution payments to the Territory Banking Account at a rate determined by the Chief Minister, Treasury and Economic Development Directorate.</w:t>
            </w:r>
            <w:r w:rsidR="00FA7C77">
              <w:rPr>
                <w:sz w:val="18"/>
                <w:szCs w:val="18"/>
              </w:rPr>
              <w:t xml:space="preserve"> </w:t>
            </w:r>
            <w:r w:rsidRPr="0046400A">
              <w:rPr>
                <w:sz w:val="18"/>
                <w:szCs w:val="18"/>
              </w:rPr>
              <w:t xml:space="preserve">The </w:t>
            </w:r>
            <w:r w:rsidR="001E2DA2" w:rsidRPr="0046400A">
              <w:rPr>
                <w:sz w:val="18"/>
                <w:szCs w:val="18"/>
              </w:rPr>
              <w:t xml:space="preserve">‘Burley Griffin </w:t>
            </w:r>
            <w:r w:rsidRPr="0046400A">
              <w:rPr>
                <w:sz w:val="18"/>
                <w:szCs w:val="18"/>
              </w:rPr>
              <w:t>Agency</w:t>
            </w:r>
            <w:r w:rsidR="001E2DA2" w:rsidRPr="0046400A">
              <w:rPr>
                <w:sz w:val="18"/>
                <w:szCs w:val="18"/>
              </w:rPr>
              <w:t>’</w:t>
            </w:r>
            <w:r w:rsidRPr="0046400A">
              <w:rPr>
                <w:sz w:val="18"/>
                <w:szCs w:val="18"/>
              </w:rPr>
              <w:t xml:space="preserve"> also makes productivity superannuation contribution payments on behalf of these employees to the Commonwealth Superannuation Corporation, which is responsible for administration of the schemes.</w:t>
            </w:r>
          </w:p>
        </w:tc>
      </w:tr>
      <w:tr w:rsidR="00B96250" w:rsidRPr="00CF7E1B" w14:paraId="6D671A89" w14:textId="77777777" w:rsidTr="002F4A89">
        <w:trPr>
          <w:cantSplit/>
          <w:trHeight w:hRule="exact" w:val="863"/>
        </w:trPr>
        <w:tc>
          <w:tcPr>
            <w:tcW w:w="745" w:type="pct"/>
            <w:tcBorders>
              <w:top w:val="nil"/>
              <w:left w:val="single" w:sz="2" w:space="0" w:color="auto"/>
              <w:bottom w:val="nil"/>
              <w:right w:val="single" w:sz="2" w:space="0" w:color="auto"/>
            </w:tcBorders>
          </w:tcPr>
          <w:p w14:paraId="58228855" w14:textId="77777777" w:rsidR="00B96250" w:rsidRPr="0046400A" w:rsidRDefault="00B96250"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3FD51A84" w14:textId="6F2FF7B4" w:rsidR="00B96250" w:rsidRPr="0046400A" w:rsidRDefault="00B96250" w:rsidP="0046400A">
            <w:pPr>
              <w:spacing w:before="120"/>
              <w:jc w:val="both"/>
              <w:rPr>
                <w:rFonts w:cs="Calibri"/>
                <w:sz w:val="18"/>
                <w:szCs w:val="18"/>
              </w:rPr>
            </w:pPr>
            <w:r w:rsidRPr="0046400A">
              <w:rPr>
                <w:sz w:val="18"/>
                <w:szCs w:val="18"/>
              </w:rPr>
              <w:t xml:space="preserve">For employees who are members of defined contribution superannuation schemes (the Public Sector Superannuation Scheme Accumulation Plan (PSSAP) and schemes of employee choice) </w:t>
            </w:r>
            <w:r w:rsidR="00920EA7" w:rsidRPr="0046400A">
              <w:rPr>
                <w:sz w:val="18"/>
                <w:szCs w:val="18"/>
              </w:rPr>
              <w:t xml:space="preserve">‘Burley Griffin </w:t>
            </w:r>
            <w:r w:rsidRPr="0046400A">
              <w:rPr>
                <w:sz w:val="18"/>
                <w:szCs w:val="18"/>
              </w:rPr>
              <w:t>Agency</w:t>
            </w:r>
            <w:r w:rsidR="00920EA7" w:rsidRPr="0046400A">
              <w:rPr>
                <w:sz w:val="18"/>
                <w:szCs w:val="18"/>
              </w:rPr>
              <w:t>’</w:t>
            </w:r>
            <w:r w:rsidRPr="0046400A">
              <w:rPr>
                <w:sz w:val="18"/>
                <w:szCs w:val="18"/>
              </w:rPr>
              <w:t xml:space="preserve"> makes employer superannuation contribution payments directly to the employees’ relevant superannuation fund.</w:t>
            </w:r>
          </w:p>
        </w:tc>
      </w:tr>
      <w:tr w:rsidR="00B96250" w:rsidRPr="00CF7E1B" w14:paraId="4750C4CD" w14:textId="77777777" w:rsidTr="002F4A89">
        <w:trPr>
          <w:cantSplit/>
          <w:trHeight w:hRule="exact" w:val="839"/>
        </w:trPr>
        <w:tc>
          <w:tcPr>
            <w:tcW w:w="745" w:type="pct"/>
            <w:tcBorders>
              <w:top w:val="nil"/>
              <w:left w:val="single" w:sz="2" w:space="0" w:color="auto"/>
              <w:bottom w:val="nil"/>
              <w:right w:val="single" w:sz="2" w:space="0" w:color="auto"/>
            </w:tcBorders>
          </w:tcPr>
          <w:p w14:paraId="3172605C" w14:textId="77777777" w:rsidR="00B96250" w:rsidRPr="0046400A" w:rsidRDefault="00B96250"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0BE7666B" w14:textId="365A98D1" w:rsidR="00B96250" w:rsidRPr="0046400A" w:rsidRDefault="00B96250" w:rsidP="0046400A">
            <w:pPr>
              <w:spacing w:before="60"/>
              <w:jc w:val="both"/>
              <w:rPr>
                <w:rFonts w:cs="Calibri"/>
                <w:sz w:val="18"/>
                <w:szCs w:val="18"/>
              </w:rPr>
            </w:pPr>
            <w:r w:rsidRPr="0046400A">
              <w:rPr>
                <w:sz w:val="18"/>
                <w:szCs w:val="18"/>
              </w:rPr>
              <w:t>All defined benefit employer superannuation contributions are recognised as expenses on the same basis as the employer superannuation contributions made to defined contribution schemes. The accruing superannuation liability obligations are expensed as they are incurred and extinguished as they are paid.</w:t>
            </w:r>
          </w:p>
        </w:tc>
      </w:tr>
      <w:tr w:rsidR="0046400A" w:rsidRPr="00CF7E1B" w14:paraId="3FE77409" w14:textId="77777777" w:rsidTr="002F4A89">
        <w:trPr>
          <w:cantSplit/>
          <w:trHeight w:hRule="exact" w:val="165"/>
        </w:trPr>
        <w:tc>
          <w:tcPr>
            <w:tcW w:w="745" w:type="pct"/>
            <w:tcBorders>
              <w:top w:val="nil"/>
              <w:left w:val="single" w:sz="2" w:space="0" w:color="auto"/>
              <w:bottom w:val="nil"/>
              <w:right w:val="single" w:sz="2" w:space="0" w:color="auto"/>
            </w:tcBorders>
          </w:tcPr>
          <w:p w14:paraId="59323365" w14:textId="77777777" w:rsidR="0046400A" w:rsidRPr="0046400A" w:rsidRDefault="0046400A" w:rsidP="0056464A">
            <w:pPr>
              <w:pStyle w:val="TableReference"/>
              <w:tabs>
                <w:tab w:val="left" w:pos="3306"/>
              </w:tabs>
              <w:rPr>
                <w:color w:val="7030A0"/>
                <w:sz w:val="14"/>
              </w:rPr>
            </w:pPr>
          </w:p>
        </w:tc>
        <w:tc>
          <w:tcPr>
            <w:tcW w:w="4255" w:type="pct"/>
            <w:gridSpan w:val="3"/>
            <w:tcBorders>
              <w:top w:val="nil"/>
              <w:left w:val="single" w:sz="2" w:space="0" w:color="auto"/>
              <w:bottom w:val="nil"/>
              <w:right w:val="nil"/>
            </w:tcBorders>
          </w:tcPr>
          <w:p w14:paraId="75EA7DC2" w14:textId="77777777" w:rsidR="0046400A" w:rsidRPr="0046400A" w:rsidRDefault="0046400A" w:rsidP="00B228FF">
            <w:pPr>
              <w:spacing w:before="120"/>
              <w:jc w:val="both"/>
              <w:rPr>
                <w:sz w:val="18"/>
                <w:szCs w:val="18"/>
              </w:rPr>
            </w:pPr>
          </w:p>
        </w:tc>
      </w:tr>
      <w:bookmarkEnd w:id="393"/>
      <w:tr w:rsidR="00A7058E" w:rsidRPr="00CF7E1B" w14:paraId="641BC198" w14:textId="77777777" w:rsidTr="002F4A89">
        <w:trPr>
          <w:cantSplit/>
          <w:trHeight w:val="23"/>
        </w:trPr>
        <w:tc>
          <w:tcPr>
            <w:tcW w:w="745" w:type="pct"/>
            <w:tcBorders>
              <w:top w:val="nil"/>
              <w:left w:val="single" w:sz="2" w:space="0" w:color="auto"/>
              <w:bottom w:val="nil"/>
              <w:right w:val="single" w:sz="2" w:space="0" w:color="auto"/>
            </w:tcBorders>
          </w:tcPr>
          <w:p w14:paraId="1E1AAB3A" w14:textId="77777777" w:rsidR="00A7058E" w:rsidRPr="0046400A" w:rsidRDefault="00A7058E" w:rsidP="00927E75">
            <w:pPr>
              <w:pStyle w:val="TableReference"/>
              <w:tabs>
                <w:tab w:val="left" w:pos="3306"/>
              </w:tabs>
              <w:spacing w:before="40" w:after="240"/>
              <w:rPr>
                <w:rFonts w:cs="Calibri"/>
                <w:color w:val="7030A0"/>
                <w:sz w:val="14"/>
              </w:rPr>
            </w:pPr>
          </w:p>
        </w:tc>
        <w:tc>
          <w:tcPr>
            <w:tcW w:w="3106" w:type="pct"/>
            <w:tcBorders>
              <w:top w:val="nil"/>
              <w:left w:val="single" w:sz="2" w:space="0" w:color="auto"/>
              <w:bottom w:val="nil"/>
              <w:right w:val="nil"/>
            </w:tcBorders>
            <w:vAlign w:val="bottom"/>
          </w:tcPr>
          <w:p w14:paraId="0027A1D2" w14:textId="77777777" w:rsidR="00A7058E" w:rsidRPr="0046400A" w:rsidRDefault="00A7058E">
            <w:pPr>
              <w:tabs>
                <w:tab w:val="left" w:pos="3306"/>
              </w:tabs>
              <w:rPr>
                <w:rFonts w:cs="Calibri"/>
                <w:sz w:val="20"/>
                <w:szCs w:val="20"/>
              </w:rPr>
            </w:pPr>
          </w:p>
        </w:tc>
        <w:tc>
          <w:tcPr>
            <w:tcW w:w="608" w:type="pct"/>
            <w:tcBorders>
              <w:top w:val="nil"/>
              <w:left w:val="nil"/>
              <w:bottom w:val="nil"/>
              <w:right w:val="nil"/>
            </w:tcBorders>
            <w:vAlign w:val="bottom"/>
          </w:tcPr>
          <w:p w14:paraId="46229D91" w14:textId="16DDEC32" w:rsidR="001E7E5D" w:rsidRPr="0046400A" w:rsidRDefault="001E7E5D" w:rsidP="001E7E5D">
            <w:pPr>
              <w:pStyle w:val="TableTitle"/>
              <w:tabs>
                <w:tab w:val="left" w:pos="3306"/>
              </w:tabs>
              <w:rPr>
                <w:rFonts w:cs="Calibri"/>
              </w:rPr>
            </w:pPr>
            <w:r w:rsidRPr="0046400A">
              <w:rPr>
                <w:rFonts w:cs="Calibri"/>
              </w:rPr>
              <w:t>2022</w:t>
            </w:r>
          </w:p>
          <w:p w14:paraId="098C4DA1" w14:textId="77777777" w:rsidR="00A7058E" w:rsidRPr="0046400A" w:rsidRDefault="00A7058E" w:rsidP="00A7058E">
            <w:pPr>
              <w:pStyle w:val="TableTitle"/>
              <w:tabs>
                <w:tab w:val="left" w:pos="3306"/>
              </w:tabs>
              <w:rPr>
                <w:rFonts w:cs="Calibri"/>
              </w:rPr>
            </w:pPr>
            <w:r w:rsidRPr="0046400A">
              <w:rPr>
                <w:rFonts w:cs="Calibri"/>
              </w:rPr>
              <w:t>$’000</w:t>
            </w:r>
          </w:p>
        </w:tc>
        <w:tc>
          <w:tcPr>
            <w:tcW w:w="541" w:type="pct"/>
            <w:tcBorders>
              <w:top w:val="nil"/>
              <w:left w:val="nil"/>
              <w:bottom w:val="nil"/>
              <w:right w:val="nil"/>
            </w:tcBorders>
            <w:vAlign w:val="bottom"/>
          </w:tcPr>
          <w:p w14:paraId="693A923F" w14:textId="77777777" w:rsidR="00003325" w:rsidRDefault="00AB4981" w:rsidP="00A7058E">
            <w:pPr>
              <w:pStyle w:val="TableTitle"/>
              <w:tabs>
                <w:tab w:val="left" w:pos="3306"/>
              </w:tabs>
              <w:rPr>
                <w:rFonts w:cs="Calibri"/>
              </w:rPr>
            </w:pPr>
            <w:r w:rsidRPr="0046400A">
              <w:rPr>
                <w:rFonts w:cs="Calibri"/>
              </w:rPr>
              <w:t>2021</w:t>
            </w:r>
            <w:r w:rsidR="00FA7C77">
              <w:rPr>
                <w:rFonts w:cs="Calibri"/>
              </w:rPr>
              <w:t xml:space="preserve">    </w:t>
            </w:r>
          </w:p>
          <w:p w14:paraId="75FF7440" w14:textId="515FF4AE" w:rsidR="00A7058E" w:rsidRPr="0046400A" w:rsidRDefault="00A7058E" w:rsidP="00A7058E">
            <w:pPr>
              <w:pStyle w:val="TableTitle"/>
              <w:tabs>
                <w:tab w:val="left" w:pos="3306"/>
              </w:tabs>
              <w:rPr>
                <w:rFonts w:cs="Calibri"/>
              </w:rPr>
            </w:pPr>
            <w:r w:rsidRPr="0046400A">
              <w:rPr>
                <w:rFonts w:cs="Calibri"/>
              </w:rPr>
              <w:t>$’000</w:t>
            </w:r>
          </w:p>
        </w:tc>
      </w:tr>
      <w:tr w:rsidR="00A7058E" w:rsidRPr="00CF7E1B" w14:paraId="7CEBF517" w14:textId="77777777" w:rsidTr="002F4A89">
        <w:trPr>
          <w:cantSplit/>
          <w:trHeight w:val="23"/>
        </w:trPr>
        <w:tc>
          <w:tcPr>
            <w:tcW w:w="745" w:type="pct"/>
            <w:tcBorders>
              <w:top w:val="nil"/>
              <w:left w:val="single" w:sz="2" w:space="0" w:color="auto"/>
              <w:bottom w:val="nil"/>
              <w:right w:val="single" w:sz="2" w:space="0" w:color="auto"/>
            </w:tcBorders>
          </w:tcPr>
          <w:p w14:paraId="17DED849" w14:textId="77777777" w:rsidR="00A7058E" w:rsidRPr="0046400A" w:rsidRDefault="00A7058E">
            <w:pPr>
              <w:pStyle w:val="TableReference"/>
              <w:tabs>
                <w:tab w:val="left" w:pos="3306"/>
              </w:tabs>
              <w:spacing w:before="40"/>
              <w:rPr>
                <w:rFonts w:cs="Calibri"/>
                <w:color w:val="7030A0"/>
                <w:sz w:val="14"/>
              </w:rPr>
            </w:pPr>
            <w:r w:rsidRPr="0046400A">
              <w:rPr>
                <w:rFonts w:cs="Calibri"/>
                <w:color w:val="7030A0"/>
                <w:sz w:val="14"/>
              </w:rPr>
              <w:t xml:space="preserve"> </w:t>
            </w:r>
          </w:p>
        </w:tc>
        <w:tc>
          <w:tcPr>
            <w:tcW w:w="3106" w:type="pct"/>
            <w:tcBorders>
              <w:top w:val="nil"/>
              <w:left w:val="single" w:sz="2" w:space="0" w:color="auto"/>
              <w:bottom w:val="nil"/>
              <w:right w:val="nil"/>
            </w:tcBorders>
            <w:vAlign w:val="bottom"/>
          </w:tcPr>
          <w:p w14:paraId="5B1C29DB" w14:textId="77777777" w:rsidR="00A7058E" w:rsidRPr="0046400A" w:rsidRDefault="00A7058E">
            <w:pPr>
              <w:pStyle w:val="TableText"/>
              <w:tabs>
                <w:tab w:val="left" w:pos="3306"/>
              </w:tabs>
              <w:rPr>
                <w:rFonts w:cs="Calibri"/>
              </w:rPr>
            </w:pPr>
            <w:r w:rsidRPr="0046400A">
              <w:rPr>
                <w:rFonts w:cs="Calibri"/>
              </w:rPr>
              <w:t xml:space="preserve">Wages and Salaries </w:t>
            </w:r>
          </w:p>
        </w:tc>
        <w:tc>
          <w:tcPr>
            <w:tcW w:w="608" w:type="pct"/>
            <w:tcBorders>
              <w:top w:val="nil"/>
              <w:left w:val="nil"/>
              <w:bottom w:val="nil"/>
              <w:right w:val="nil"/>
            </w:tcBorders>
            <w:vAlign w:val="bottom"/>
          </w:tcPr>
          <w:p w14:paraId="627E9F62" w14:textId="1F19CB89"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2EB550DD" w14:textId="065C5447" w:rsidR="00A7058E" w:rsidRPr="0046400A" w:rsidRDefault="00A7058E">
            <w:pPr>
              <w:pStyle w:val="TableText"/>
              <w:tabs>
                <w:tab w:val="left" w:pos="3306"/>
              </w:tabs>
              <w:jc w:val="right"/>
              <w:rPr>
                <w:rFonts w:cs="Calibri"/>
              </w:rPr>
            </w:pPr>
          </w:p>
        </w:tc>
      </w:tr>
      <w:tr w:rsidR="00A7058E" w:rsidRPr="00CF7E1B" w14:paraId="2D95F090" w14:textId="77777777" w:rsidTr="002F4A89">
        <w:trPr>
          <w:cantSplit/>
          <w:trHeight w:val="23"/>
        </w:trPr>
        <w:tc>
          <w:tcPr>
            <w:tcW w:w="745" w:type="pct"/>
            <w:tcBorders>
              <w:top w:val="nil"/>
              <w:left w:val="single" w:sz="2" w:space="0" w:color="auto"/>
              <w:bottom w:val="nil"/>
              <w:right w:val="single" w:sz="2" w:space="0" w:color="auto"/>
            </w:tcBorders>
          </w:tcPr>
          <w:p w14:paraId="03266626" w14:textId="77777777" w:rsidR="00A7058E" w:rsidRPr="0046400A" w:rsidRDefault="00A7058E">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3297DC5" w14:textId="77777777" w:rsidR="00A7058E" w:rsidRPr="0046400A" w:rsidRDefault="00A7058E">
            <w:pPr>
              <w:pStyle w:val="TableText"/>
              <w:tabs>
                <w:tab w:val="left" w:pos="3306"/>
              </w:tabs>
              <w:rPr>
                <w:rFonts w:cs="Calibri"/>
              </w:rPr>
            </w:pPr>
            <w:r w:rsidRPr="0046400A">
              <w:rPr>
                <w:rFonts w:cs="Calibri"/>
              </w:rPr>
              <w:t>Annual Leave Expense</w:t>
            </w:r>
          </w:p>
        </w:tc>
        <w:tc>
          <w:tcPr>
            <w:tcW w:w="608" w:type="pct"/>
            <w:tcBorders>
              <w:top w:val="nil"/>
              <w:left w:val="nil"/>
              <w:bottom w:val="nil"/>
              <w:right w:val="nil"/>
            </w:tcBorders>
            <w:vAlign w:val="bottom"/>
          </w:tcPr>
          <w:p w14:paraId="19CAD0BA" w14:textId="53BBCA02"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14B6382E" w14:textId="3BA212E6" w:rsidR="00A7058E" w:rsidRPr="0046400A" w:rsidRDefault="00A7058E">
            <w:pPr>
              <w:pStyle w:val="TableText"/>
              <w:tabs>
                <w:tab w:val="left" w:pos="3306"/>
              </w:tabs>
              <w:jc w:val="right"/>
              <w:rPr>
                <w:rFonts w:cs="Calibri"/>
              </w:rPr>
            </w:pPr>
          </w:p>
        </w:tc>
      </w:tr>
      <w:tr w:rsidR="00A7058E" w:rsidRPr="00CF7E1B" w14:paraId="64BAB3C1" w14:textId="77777777" w:rsidTr="002F4A89">
        <w:trPr>
          <w:cantSplit/>
          <w:trHeight w:val="23"/>
        </w:trPr>
        <w:tc>
          <w:tcPr>
            <w:tcW w:w="745" w:type="pct"/>
            <w:tcBorders>
              <w:top w:val="nil"/>
              <w:left w:val="single" w:sz="2" w:space="0" w:color="auto"/>
              <w:bottom w:val="nil"/>
              <w:right w:val="single" w:sz="2" w:space="0" w:color="auto"/>
            </w:tcBorders>
          </w:tcPr>
          <w:p w14:paraId="6C3A9276" w14:textId="77777777" w:rsidR="00A7058E" w:rsidRPr="0046400A" w:rsidRDefault="00A7058E">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1E11A404" w14:textId="77777777" w:rsidR="00A7058E" w:rsidRPr="0046400A" w:rsidRDefault="00A7058E">
            <w:pPr>
              <w:pStyle w:val="TableText"/>
              <w:tabs>
                <w:tab w:val="left" w:pos="3306"/>
              </w:tabs>
              <w:rPr>
                <w:rFonts w:cs="Calibri"/>
              </w:rPr>
            </w:pPr>
            <w:r w:rsidRPr="0046400A">
              <w:rPr>
                <w:rFonts w:cs="Calibri"/>
              </w:rPr>
              <w:t>Long Service Leave Expense</w:t>
            </w:r>
          </w:p>
        </w:tc>
        <w:tc>
          <w:tcPr>
            <w:tcW w:w="608" w:type="pct"/>
            <w:tcBorders>
              <w:top w:val="nil"/>
              <w:left w:val="nil"/>
              <w:bottom w:val="nil"/>
              <w:right w:val="nil"/>
            </w:tcBorders>
            <w:vAlign w:val="bottom"/>
          </w:tcPr>
          <w:p w14:paraId="25CDFDB4" w14:textId="7ED8698A"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6A8AAA78" w14:textId="6641A15D" w:rsidR="00A7058E" w:rsidRPr="0046400A" w:rsidRDefault="00A7058E">
            <w:pPr>
              <w:pStyle w:val="TableText"/>
              <w:tabs>
                <w:tab w:val="left" w:pos="3306"/>
              </w:tabs>
              <w:jc w:val="right"/>
              <w:rPr>
                <w:rFonts w:cs="Calibri"/>
              </w:rPr>
            </w:pPr>
          </w:p>
        </w:tc>
      </w:tr>
      <w:tr w:rsidR="00A7058E" w:rsidRPr="00CF7E1B" w14:paraId="28C0757A" w14:textId="77777777" w:rsidTr="002F4A89">
        <w:trPr>
          <w:cantSplit/>
          <w:trHeight w:val="23"/>
        </w:trPr>
        <w:tc>
          <w:tcPr>
            <w:tcW w:w="745" w:type="pct"/>
            <w:tcBorders>
              <w:top w:val="nil"/>
              <w:left w:val="single" w:sz="2" w:space="0" w:color="auto"/>
              <w:bottom w:val="nil"/>
              <w:right w:val="single" w:sz="2" w:space="0" w:color="auto"/>
            </w:tcBorders>
          </w:tcPr>
          <w:p w14:paraId="698EDE1C" w14:textId="77777777" w:rsidR="00A7058E" w:rsidRPr="0046400A" w:rsidRDefault="00A7058E">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28EBC0B3" w14:textId="77777777" w:rsidR="00A7058E" w:rsidRPr="0046400A" w:rsidRDefault="00A7058E">
            <w:pPr>
              <w:pStyle w:val="TableText"/>
              <w:tabs>
                <w:tab w:val="left" w:pos="3306"/>
              </w:tabs>
              <w:rPr>
                <w:rFonts w:cs="Calibri"/>
              </w:rPr>
            </w:pPr>
            <w:r w:rsidRPr="0046400A">
              <w:rPr>
                <w:rFonts w:cs="Calibri"/>
              </w:rPr>
              <w:t>Workers’ Compensation</w:t>
            </w:r>
            <w:r w:rsidR="00AF709F" w:rsidRPr="0046400A">
              <w:rPr>
                <w:rFonts w:cs="Calibri"/>
              </w:rPr>
              <w:t xml:space="preserve"> Insurance</w:t>
            </w:r>
            <w:r w:rsidRPr="0046400A">
              <w:rPr>
                <w:rFonts w:cs="Calibri"/>
              </w:rPr>
              <w:t xml:space="preserve"> Premium </w:t>
            </w:r>
          </w:p>
        </w:tc>
        <w:tc>
          <w:tcPr>
            <w:tcW w:w="608" w:type="pct"/>
            <w:tcBorders>
              <w:top w:val="nil"/>
              <w:left w:val="nil"/>
              <w:bottom w:val="nil"/>
              <w:right w:val="nil"/>
            </w:tcBorders>
            <w:vAlign w:val="bottom"/>
          </w:tcPr>
          <w:p w14:paraId="774C5569" w14:textId="2754E18D"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46759ACD" w14:textId="4F55BD88" w:rsidR="00A7058E" w:rsidRPr="0046400A" w:rsidRDefault="00A7058E">
            <w:pPr>
              <w:pStyle w:val="TableText"/>
              <w:tabs>
                <w:tab w:val="left" w:pos="3306"/>
              </w:tabs>
              <w:jc w:val="right"/>
              <w:rPr>
                <w:rFonts w:cs="Calibri"/>
              </w:rPr>
            </w:pPr>
          </w:p>
        </w:tc>
      </w:tr>
      <w:tr w:rsidR="00A7058E" w:rsidRPr="00CF7E1B" w14:paraId="2652BD5B" w14:textId="77777777" w:rsidTr="002F4A89">
        <w:trPr>
          <w:cantSplit/>
          <w:trHeight w:val="23"/>
        </w:trPr>
        <w:tc>
          <w:tcPr>
            <w:tcW w:w="745" w:type="pct"/>
            <w:tcBorders>
              <w:top w:val="nil"/>
              <w:left w:val="single" w:sz="2" w:space="0" w:color="auto"/>
              <w:bottom w:val="nil"/>
              <w:right w:val="single" w:sz="2" w:space="0" w:color="auto"/>
            </w:tcBorders>
          </w:tcPr>
          <w:p w14:paraId="7A679C56" w14:textId="77777777" w:rsidR="00A7058E" w:rsidRPr="0046400A" w:rsidRDefault="00A7058E">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3E59955" w14:textId="77777777" w:rsidR="00A7058E" w:rsidRPr="0046400A" w:rsidRDefault="00A7058E">
            <w:pPr>
              <w:pStyle w:val="TableText"/>
              <w:tabs>
                <w:tab w:val="left" w:pos="3306"/>
              </w:tabs>
              <w:rPr>
                <w:rFonts w:cs="Calibri"/>
              </w:rPr>
            </w:pPr>
            <w:r w:rsidRPr="0046400A">
              <w:rPr>
                <w:rFonts w:cs="Calibri"/>
              </w:rPr>
              <w:t>Termination Expense</w:t>
            </w:r>
          </w:p>
        </w:tc>
        <w:tc>
          <w:tcPr>
            <w:tcW w:w="608" w:type="pct"/>
            <w:tcBorders>
              <w:top w:val="nil"/>
              <w:left w:val="nil"/>
              <w:bottom w:val="nil"/>
              <w:right w:val="nil"/>
            </w:tcBorders>
            <w:vAlign w:val="bottom"/>
          </w:tcPr>
          <w:p w14:paraId="4A384917" w14:textId="68186146" w:rsidR="00A7058E" w:rsidRPr="0046400A" w:rsidRDefault="00A7058E">
            <w:pPr>
              <w:pStyle w:val="TableText"/>
              <w:tabs>
                <w:tab w:val="left" w:pos="3306"/>
              </w:tabs>
              <w:jc w:val="right"/>
              <w:rPr>
                <w:rFonts w:cs="Calibri"/>
              </w:rPr>
            </w:pPr>
          </w:p>
        </w:tc>
        <w:tc>
          <w:tcPr>
            <w:tcW w:w="541" w:type="pct"/>
            <w:tcBorders>
              <w:top w:val="nil"/>
              <w:left w:val="nil"/>
              <w:bottom w:val="nil"/>
              <w:right w:val="nil"/>
            </w:tcBorders>
            <w:vAlign w:val="bottom"/>
          </w:tcPr>
          <w:p w14:paraId="6C58D0E4" w14:textId="7E5D9B36" w:rsidR="00A7058E" w:rsidRPr="0046400A" w:rsidRDefault="00A7058E">
            <w:pPr>
              <w:pStyle w:val="TableText"/>
              <w:tabs>
                <w:tab w:val="left" w:pos="3306"/>
              </w:tabs>
              <w:jc w:val="right"/>
              <w:rPr>
                <w:rFonts w:cs="Calibri"/>
              </w:rPr>
            </w:pPr>
          </w:p>
        </w:tc>
      </w:tr>
      <w:tr w:rsidR="00B96250" w:rsidRPr="00CF7E1B" w14:paraId="613C89B9" w14:textId="77777777" w:rsidTr="002F4A89">
        <w:trPr>
          <w:cantSplit/>
          <w:trHeight w:val="23"/>
        </w:trPr>
        <w:tc>
          <w:tcPr>
            <w:tcW w:w="745" w:type="pct"/>
            <w:tcBorders>
              <w:top w:val="nil"/>
              <w:left w:val="single" w:sz="2" w:space="0" w:color="auto"/>
              <w:bottom w:val="nil"/>
              <w:right w:val="single" w:sz="2" w:space="0" w:color="auto"/>
            </w:tcBorders>
          </w:tcPr>
          <w:p w14:paraId="336A2FD5" w14:textId="6A74B684" w:rsidR="00B96250" w:rsidRPr="0046400A" w:rsidRDefault="00B96250" w:rsidP="00B96250">
            <w:pPr>
              <w:pStyle w:val="TableReference"/>
              <w:tabs>
                <w:tab w:val="left" w:pos="3306"/>
              </w:tabs>
              <w:spacing w:before="40"/>
              <w:rPr>
                <w:rFonts w:cs="Calibri"/>
                <w:color w:val="7030A0"/>
                <w:sz w:val="14"/>
              </w:rPr>
            </w:pPr>
            <w:r w:rsidRPr="0046400A">
              <w:rPr>
                <w:rFonts w:cs="Calibri"/>
                <w:color w:val="7030A0"/>
                <w:sz w:val="14"/>
              </w:rPr>
              <w:t>AASB 119.53</w:t>
            </w:r>
          </w:p>
        </w:tc>
        <w:tc>
          <w:tcPr>
            <w:tcW w:w="3106" w:type="pct"/>
            <w:tcBorders>
              <w:top w:val="nil"/>
              <w:left w:val="single" w:sz="2" w:space="0" w:color="auto"/>
              <w:bottom w:val="nil"/>
              <w:right w:val="nil"/>
            </w:tcBorders>
            <w:vAlign w:val="bottom"/>
          </w:tcPr>
          <w:p w14:paraId="0BB9CE42" w14:textId="1A8AD67F" w:rsidR="00B96250" w:rsidRPr="0046400A" w:rsidRDefault="00B96250" w:rsidP="00B96250">
            <w:pPr>
              <w:pStyle w:val="TableText"/>
              <w:tabs>
                <w:tab w:val="left" w:pos="3306"/>
              </w:tabs>
              <w:rPr>
                <w:rFonts w:cs="Calibri"/>
              </w:rPr>
            </w:pPr>
            <w:r w:rsidRPr="0046400A">
              <w:rPr>
                <w:rFonts w:cs="Calibri"/>
              </w:rPr>
              <w:t>Superannuation Contributions to the Territory Banking Account</w:t>
            </w:r>
          </w:p>
        </w:tc>
        <w:tc>
          <w:tcPr>
            <w:tcW w:w="608" w:type="pct"/>
            <w:tcBorders>
              <w:top w:val="nil"/>
              <w:left w:val="nil"/>
              <w:bottom w:val="nil"/>
              <w:right w:val="nil"/>
            </w:tcBorders>
            <w:vAlign w:val="bottom"/>
          </w:tcPr>
          <w:p w14:paraId="722A5F37" w14:textId="77777777" w:rsidR="00B96250" w:rsidRPr="0046400A" w:rsidRDefault="00B96250" w:rsidP="00B96250">
            <w:pPr>
              <w:pStyle w:val="TableText"/>
              <w:tabs>
                <w:tab w:val="left" w:pos="3306"/>
              </w:tabs>
              <w:jc w:val="right"/>
              <w:rPr>
                <w:rFonts w:cs="Calibri"/>
              </w:rPr>
            </w:pPr>
          </w:p>
        </w:tc>
        <w:tc>
          <w:tcPr>
            <w:tcW w:w="541" w:type="pct"/>
            <w:tcBorders>
              <w:top w:val="nil"/>
              <w:left w:val="nil"/>
              <w:bottom w:val="nil"/>
              <w:right w:val="nil"/>
            </w:tcBorders>
            <w:vAlign w:val="bottom"/>
          </w:tcPr>
          <w:p w14:paraId="5E93A562" w14:textId="77777777" w:rsidR="00B96250" w:rsidRPr="0046400A" w:rsidRDefault="00B96250" w:rsidP="00B96250">
            <w:pPr>
              <w:pStyle w:val="TableText"/>
              <w:tabs>
                <w:tab w:val="left" w:pos="3306"/>
              </w:tabs>
              <w:jc w:val="right"/>
              <w:rPr>
                <w:rFonts w:cs="Calibri"/>
              </w:rPr>
            </w:pPr>
          </w:p>
        </w:tc>
      </w:tr>
      <w:tr w:rsidR="00B96250" w:rsidRPr="00CF7E1B" w14:paraId="509AEFBE" w14:textId="77777777" w:rsidTr="002F4A89">
        <w:trPr>
          <w:cantSplit/>
          <w:trHeight w:val="23"/>
        </w:trPr>
        <w:tc>
          <w:tcPr>
            <w:tcW w:w="745" w:type="pct"/>
            <w:tcBorders>
              <w:top w:val="nil"/>
              <w:left w:val="single" w:sz="2" w:space="0" w:color="auto"/>
              <w:bottom w:val="nil"/>
              <w:right w:val="single" w:sz="2" w:space="0" w:color="auto"/>
            </w:tcBorders>
          </w:tcPr>
          <w:p w14:paraId="47574E69"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B67FAE4" w14:textId="5B53993B" w:rsidR="00B96250" w:rsidRPr="0046400A" w:rsidRDefault="00B96250" w:rsidP="00B96250">
            <w:pPr>
              <w:pStyle w:val="TableText"/>
              <w:tabs>
                <w:tab w:val="left" w:pos="3306"/>
              </w:tabs>
              <w:rPr>
                <w:rFonts w:cs="Calibri"/>
              </w:rPr>
            </w:pPr>
            <w:r w:rsidRPr="0046400A">
              <w:rPr>
                <w:rFonts w:cs="Calibri"/>
              </w:rPr>
              <w:t>Productivity Benefit</w:t>
            </w:r>
          </w:p>
        </w:tc>
        <w:tc>
          <w:tcPr>
            <w:tcW w:w="608" w:type="pct"/>
            <w:tcBorders>
              <w:top w:val="nil"/>
              <w:left w:val="nil"/>
              <w:bottom w:val="nil"/>
              <w:right w:val="nil"/>
            </w:tcBorders>
            <w:vAlign w:val="bottom"/>
          </w:tcPr>
          <w:p w14:paraId="5F10FA7B" w14:textId="77777777" w:rsidR="00B96250" w:rsidRPr="0046400A" w:rsidRDefault="00B96250" w:rsidP="00B96250">
            <w:pPr>
              <w:pStyle w:val="TableText"/>
              <w:tabs>
                <w:tab w:val="left" w:pos="3306"/>
              </w:tabs>
              <w:jc w:val="right"/>
              <w:rPr>
                <w:rFonts w:cs="Calibri"/>
              </w:rPr>
            </w:pPr>
          </w:p>
        </w:tc>
        <w:tc>
          <w:tcPr>
            <w:tcW w:w="541" w:type="pct"/>
            <w:tcBorders>
              <w:top w:val="nil"/>
              <w:left w:val="nil"/>
              <w:bottom w:val="nil"/>
              <w:right w:val="nil"/>
            </w:tcBorders>
            <w:vAlign w:val="bottom"/>
          </w:tcPr>
          <w:p w14:paraId="2966320D" w14:textId="77777777" w:rsidR="00B96250" w:rsidRPr="0046400A" w:rsidRDefault="00B96250" w:rsidP="00B96250">
            <w:pPr>
              <w:pStyle w:val="TableText"/>
              <w:tabs>
                <w:tab w:val="left" w:pos="3306"/>
              </w:tabs>
              <w:jc w:val="right"/>
              <w:rPr>
                <w:rFonts w:cs="Calibri"/>
              </w:rPr>
            </w:pPr>
          </w:p>
        </w:tc>
      </w:tr>
      <w:tr w:rsidR="00B96250" w:rsidRPr="00CF7E1B" w14:paraId="02274245" w14:textId="77777777" w:rsidTr="002F4A89">
        <w:trPr>
          <w:cantSplit/>
          <w:trHeight w:val="23"/>
        </w:trPr>
        <w:tc>
          <w:tcPr>
            <w:tcW w:w="745" w:type="pct"/>
            <w:tcBorders>
              <w:top w:val="nil"/>
              <w:left w:val="single" w:sz="2" w:space="0" w:color="auto"/>
              <w:bottom w:val="nil"/>
              <w:right w:val="single" w:sz="2" w:space="0" w:color="auto"/>
            </w:tcBorders>
          </w:tcPr>
          <w:p w14:paraId="3E3752C7"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6B6F7F0C" w14:textId="312A5722" w:rsidR="00B96250" w:rsidRPr="0046400A" w:rsidRDefault="00B96250" w:rsidP="00B96250">
            <w:pPr>
              <w:pStyle w:val="TableText"/>
              <w:tabs>
                <w:tab w:val="left" w:pos="3306"/>
              </w:tabs>
              <w:rPr>
                <w:rFonts w:cs="Calibri"/>
              </w:rPr>
            </w:pPr>
            <w:r w:rsidRPr="0046400A">
              <w:rPr>
                <w:rFonts w:cs="Calibri"/>
              </w:rPr>
              <w:t>Superannuation to External Providers</w:t>
            </w:r>
          </w:p>
        </w:tc>
        <w:tc>
          <w:tcPr>
            <w:tcW w:w="608" w:type="pct"/>
            <w:tcBorders>
              <w:top w:val="nil"/>
              <w:left w:val="nil"/>
              <w:bottom w:val="nil"/>
              <w:right w:val="nil"/>
            </w:tcBorders>
            <w:vAlign w:val="bottom"/>
          </w:tcPr>
          <w:p w14:paraId="2F69D8A3" w14:textId="77777777" w:rsidR="00B96250" w:rsidRPr="0046400A" w:rsidRDefault="00B96250" w:rsidP="00B96250">
            <w:pPr>
              <w:pStyle w:val="TableText"/>
              <w:tabs>
                <w:tab w:val="left" w:pos="3306"/>
              </w:tabs>
              <w:jc w:val="right"/>
              <w:rPr>
                <w:rFonts w:cs="Calibri"/>
              </w:rPr>
            </w:pPr>
          </w:p>
        </w:tc>
        <w:tc>
          <w:tcPr>
            <w:tcW w:w="541" w:type="pct"/>
            <w:tcBorders>
              <w:top w:val="nil"/>
              <w:left w:val="nil"/>
              <w:bottom w:val="nil"/>
              <w:right w:val="nil"/>
            </w:tcBorders>
            <w:vAlign w:val="bottom"/>
          </w:tcPr>
          <w:p w14:paraId="0AA8A0A3" w14:textId="77777777" w:rsidR="00B96250" w:rsidRPr="0046400A" w:rsidRDefault="00B96250" w:rsidP="00B96250">
            <w:pPr>
              <w:pStyle w:val="TableText"/>
              <w:tabs>
                <w:tab w:val="left" w:pos="3306"/>
              </w:tabs>
              <w:jc w:val="right"/>
              <w:rPr>
                <w:rFonts w:cs="Calibri"/>
              </w:rPr>
            </w:pPr>
          </w:p>
        </w:tc>
      </w:tr>
      <w:tr w:rsidR="00B96250" w:rsidRPr="00CF7E1B" w14:paraId="1260C441" w14:textId="77777777" w:rsidTr="002F4A89">
        <w:trPr>
          <w:cantSplit/>
          <w:trHeight w:val="23"/>
        </w:trPr>
        <w:tc>
          <w:tcPr>
            <w:tcW w:w="745" w:type="pct"/>
            <w:tcBorders>
              <w:top w:val="nil"/>
              <w:left w:val="single" w:sz="2" w:space="0" w:color="auto"/>
              <w:bottom w:val="nil"/>
              <w:right w:val="single" w:sz="2" w:space="0" w:color="auto"/>
            </w:tcBorders>
          </w:tcPr>
          <w:p w14:paraId="4F370FB8"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0E62E083" w14:textId="77777777" w:rsidR="00B96250" w:rsidRPr="0046400A" w:rsidRDefault="00B96250" w:rsidP="00B96250">
            <w:pPr>
              <w:pStyle w:val="TableText"/>
              <w:tabs>
                <w:tab w:val="left" w:pos="3306"/>
              </w:tabs>
              <w:rPr>
                <w:rFonts w:cs="Calibri"/>
              </w:rPr>
            </w:pPr>
            <w:r w:rsidRPr="0046400A">
              <w:rPr>
                <w:rFonts w:cs="Calibri"/>
              </w:rPr>
              <w:t>Other Employee Benefits and On-Costs</w:t>
            </w:r>
          </w:p>
        </w:tc>
        <w:tc>
          <w:tcPr>
            <w:tcW w:w="608" w:type="pct"/>
            <w:tcBorders>
              <w:top w:val="nil"/>
              <w:left w:val="nil"/>
              <w:bottom w:val="single" w:sz="2" w:space="0" w:color="auto"/>
              <w:right w:val="nil"/>
            </w:tcBorders>
            <w:vAlign w:val="bottom"/>
          </w:tcPr>
          <w:p w14:paraId="024BACD4" w14:textId="053C95B9" w:rsidR="00B96250" w:rsidRPr="0046400A" w:rsidRDefault="00B96250" w:rsidP="00B96250">
            <w:pPr>
              <w:pStyle w:val="TableText"/>
              <w:tabs>
                <w:tab w:val="left" w:pos="3306"/>
              </w:tabs>
              <w:jc w:val="right"/>
              <w:rPr>
                <w:rFonts w:cs="Calibri"/>
              </w:rPr>
            </w:pPr>
          </w:p>
        </w:tc>
        <w:tc>
          <w:tcPr>
            <w:tcW w:w="541" w:type="pct"/>
            <w:tcBorders>
              <w:top w:val="nil"/>
              <w:left w:val="nil"/>
              <w:bottom w:val="single" w:sz="2" w:space="0" w:color="auto"/>
              <w:right w:val="nil"/>
            </w:tcBorders>
            <w:vAlign w:val="bottom"/>
          </w:tcPr>
          <w:p w14:paraId="2C31ED13" w14:textId="0A58A19C" w:rsidR="00B96250" w:rsidRPr="0046400A" w:rsidRDefault="00B96250" w:rsidP="00B96250">
            <w:pPr>
              <w:pStyle w:val="TableText"/>
              <w:tabs>
                <w:tab w:val="left" w:pos="3306"/>
              </w:tabs>
              <w:jc w:val="right"/>
              <w:rPr>
                <w:rFonts w:cs="Calibri"/>
              </w:rPr>
            </w:pPr>
          </w:p>
        </w:tc>
      </w:tr>
      <w:tr w:rsidR="00B96250" w:rsidRPr="00CF7E1B" w14:paraId="5AAC3F8A" w14:textId="77777777" w:rsidTr="002F4A89">
        <w:trPr>
          <w:cantSplit/>
          <w:trHeight w:val="23"/>
        </w:trPr>
        <w:tc>
          <w:tcPr>
            <w:tcW w:w="745" w:type="pct"/>
            <w:tcBorders>
              <w:top w:val="nil"/>
              <w:left w:val="single" w:sz="2" w:space="0" w:color="auto"/>
              <w:bottom w:val="nil"/>
              <w:right w:val="single" w:sz="2" w:space="0" w:color="auto"/>
            </w:tcBorders>
          </w:tcPr>
          <w:p w14:paraId="2555ADA2"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62F2E648" w14:textId="266A1012" w:rsidR="00B96250" w:rsidRPr="0046400A" w:rsidRDefault="00B96250" w:rsidP="00B96250">
            <w:pPr>
              <w:pStyle w:val="TableText"/>
              <w:tabs>
                <w:tab w:val="left" w:pos="3306"/>
              </w:tabs>
              <w:rPr>
                <w:rFonts w:cs="Calibri"/>
                <w:b/>
                <w:bCs/>
              </w:rPr>
            </w:pPr>
            <w:bookmarkStart w:id="395" w:name="_Toc48468447"/>
            <w:bookmarkStart w:id="396" w:name="_Toc49155565"/>
            <w:bookmarkStart w:id="397" w:name="_Toc49224019"/>
            <w:r w:rsidRPr="0046400A">
              <w:rPr>
                <w:rFonts w:cs="Calibri"/>
                <w:b/>
                <w:bCs/>
              </w:rPr>
              <w:t xml:space="preserve">Total Employee </w:t>
            </w:r>
            <w:r w:rsidR="00B076DD" w:rsidRPr="0046400A">
              <w:rPr>
                <w:rFonts w:cs="Calibri"/>
                <w:b/>
                <w:bCs/>
              </w:rPr>
              <w:t>and Superannuation</w:t>
            </w:r>
            <w:r w:rsidRPr="0046400A">
              <w:rPr>
                <w:rFonts w:cs="Calibri"/>
                <w:b/>
                <w:bCs/>
              </w:rPr>
              <w:t xml:space="preserve"> Expenses</w:t>
            </w:r>
            <w:bookmarkEnd w:id="395"/>
            <w:bookmarkEnd w:id="396"/>
            <w:bookmarkEnd w:id="397"/>
          </w:p>
        </w:tc>
        <w:tc>
          <w:tcPr>
            <w:tcW w:w="608" w:type="pct"/>
            <w:tcBorders>
              <w:top w:val="single" w:sz="2" w:space="0" w:color="auto"/>
              <w:left w:val="nil"/>
              <w:bottom w:val="double" w:sz="4" w:space="0" w:color="auto"/>
              <w:right w:val="nil"/>
            </w:tcBorders>
            <w:vAlign w:val="bottom"/>
          </w:tcPr>
          <w:p w14:paraId="1B794E78" w14:textId="79ACCD09" w:rsidR="00B96250" w:rsidRPr="0046400A" w:rsidRDefault="00B96250" w:rsidP="00B96250">
            <w:pPr>
              <w:pStyle w:val="TableText"/>
              <w:tabs>
                <w:tab w:val="left" w:pos="3306"/>
              </w:tabs>
              <w:jc w:val="right"/>
              <w:rPr>
                <w:rFonts w:cs="Calibri"/>
                <w:b/>
                <w:bCs/>
              </w:rPr>
            </w:pPr>
          </w:p>
        </w:tc>
        <w:tc>
          <w:tcPr>
            <w:tcW w:w="541" w:type="pct"/>
            <w:tcBorders>
              <w:top w:val="single" w:sz="2" w:space="0" w:color="auto"/>
              <w:left w:val="nil"/>
              <w:bottom w:val="double" w:sz="4" w:space="0" w:color="auto"/>
              <w:right w:val="nil"/>
            </w:tcBorders>
            <w:vAlign w:val="bottom"/>
          </w:tcPr>
          <w:p w14:paraId="17C4242B" w14:textId="00488898" w:rsidR="00B96250" w:rsidRPr="0046400A" w:rsidRDefault="00B96250" w:rsidP="00B96250">
            <w:pPr>
              <w:pStyle w:val="TableText"/>
              <w:tabs>
                <w:tab w:val="left" w:pos="3306"/>
              </w:tabs>
              <w:jc w:val="right"/>
              <w:rPr>
                <w:rFonts w:cs="Calibri"/>
                <w:b/>
                <w:bCs/>
              </w:rPr>
            </w:pPr>
          </w:p>
        </w:tc>
      </w:tr>
      <w:tr w:rsidR="00B96250" w:rsidRPr="00CF7E1B" w14:paraId="17BD32F7" w14:textId="77777777" w:rsidTr="002F4A89">
        <w:trPr>
          <w:cantSplit/>
          <w:trHeight w:val="23"/>
        </w:trPr>
        <w:tc>
          <w:tcPr>
            <w:tcW w:w="745" w:type="pct"/>
            <w:tcBorders>
              <w:top w:val="nil"/>
              <w:left w:val="single" w:sz="2" w:space="0" w:color="auto"/>
              <w:bottom w:val="nil"/>
              <w:right w:val="single" w:sz="2" w:space="0" w:color="auto"/>
            </w:tcBorders>
          </w:tcPr>
          <w:p w14:paraId="39AE6CB7"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38D6F0F" w14:textId="77777777" w:rsidR="00B96250" w:rsidRPr="0046400A" w:rsidRDefault="00B96250" w:rsidP="00B96250">
            <w:pPr>
              <w:pStyle w:val="TableText"/>
              <w:tabs>
                <w:tab w:val="left" w:pos="3306"/>
              </w:tabs>
              <w:rPr>
                <w:rFonts w:cs="Calibri"/>
                <w:b/>
                <w:bCs/>
              </w:rPr>
            </w:pPr>
          </w:p>
        </w:tc>
        <w:tc>
          <w:tcPr>
            <w:tcW w:w="608" w:type="pct"/>
            <w:tcBorders>
              <w:top w:val="double" w:sz="4" w:space="0" w:color="auto"/>
              <w:left w:val="nil"/>
              <w:bottom w:val="nil"/>
              <w:right w:val="nil"/>
            </w:tcBorders>
            <w:vAlign w:val="bottom"/>
          </w:tcPr>
          <w:p w14:paraId="13EA96B3" w14:textId="77777777" w:rsidR="00B96250" w:rsidRPr="0046400A" w:rsidRDefault="00B96250" w:rsidP="00B96250">
            <w:pPr>
              <w:pStyle w:val="TableText"/>
              <w:tabs>
                <w:tab w:val="left" w:pos="3306"/>
              </w:tabs>
              <w:jc w:val="right"/>
              <w:rPr>
                <w:rFonts w:cs="Calibri"/>
                <w:b/>
                <w:bCs/>
              </w:rPr>
            </w:pPr>
          </w:p>
        </w:tc>
        <w:tc>
          <w:tcPr>
            <w:tcW w:w="541" w:type="pct"/>
            <w:tcBorders>
              <w:top w:val="double" w:sz="4" w:space="0" w:color="auto"/>
              <w:left w:val="nil"/>
              <w:bottom w:val="nil"/>
              <w:right w:val="nil"/>
            </w:tcBorders>
            <w:vAlign w:val="bottom"/>
          </w:tcPr>
          <w:p w14:paraId="29A41B6F" w14:textId="77777777" w:rsidR="00B96250" w:rsidRPr="0046400A" w:rsidRDefault="00B96250" w:rsidP="00B96250">
            <w:pPr>
              <w:pStyle w:val="TableText"/>
              <w:tabs>
                <w:tab w:val="left" w:pos="3306"/>
              </w:tabs>
              <w:jc w:val="right"/>
              <w:rPr>
                <w:rFonts w:cs="Calibri"/>
                <w:b/>
                <w:bCs/>
              </w:rPr>
            </w:pPr>
          </w:p>
        </w:tc>
      </w:tr>
      <w:tr w:rsidR="00B96250" w:rsidRPr="00CF7E1B" w14:paraId="4313A72E" w14:textId="77777777" w:rsidTr="002F4A89">
        <w:trPr>
          <w:cantSplit/>
          <w:trHeight w:val="23"/>
        </w:trPr>
        <w:tc>
          <w:tcPr>
            <w:tcW w:w="745" w:type="pct"/>
            <w:tcBorders>
              <w:top w:val="nil"/>
              <w:left w:val="single" w:sz="2" w:space="0" w:color="auto"/>
              <w:bottom w:val="nil"/>
              <w:right w:val="single" w:sz="2" w:space="0" w:color="auto"/>
            </w:tcBorders>
          </w:tcPr>
          <w:p w14:paraId="1D0E7AA2"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4F836919" w14:textId="0665CDC4" w:rsidR="00B96250" w:rsidRPr="0046400A" w:rsidRDefault="00B96250" w:rsidP="00B96250">
            <w:pPr>
              <w:pStyle w:val="TableText"/>
              <w:tabs>
                <w:tab w:val="left" w:pos="3306"/>
              </w:tabs>
              <w:rPr>
                <w:rFonts w:cs="Calibri"/>
              </w:rPr>
            </w:pPr>
            <w:r w:rsidRPr="0046400A">
              <w:rPr>
                <w:rFonts w:cs="Calibri"/>
                <w:b/>
                <w:bCs/>
              </w:rPr>
              <w:t xml:space="preserve">Split of Employee </w:t>
            </w:r>
            <w:r w:rsidR="00EB2186" w:rsidRPr="0046400A">
              <w:rPr>
                <w:rFonts w:cs="Calibri"/>
                <w:b/>
                <w:bCs/>
              </w:rPr>
              <w:t>and Superannuation</w:t>
            </w:r>
            <w:r w:rsidRPr="0046400A">
              <w:rPr>
                <w:rFonts w:cs="Calibri"/>
                <w:b/>
                <w:bCs/>
              </w:rPr>
              <w:t xml:space="preserve"> Expenses</w:t>
            </w:r>
          </w:p>
        </w:tc>
        <w:tc>
          <w:tcPr>
            <w:tcW w:w="608" w:type="pct"/>
            <w:tcBorders>
              <w:top w:val="nil"/>
              <w:left w:val="nil"/>
              <w:bottom w:val="nil"/>
              <w:right w:val="nil"/>
            </w:tcBorders>
            <w:vAlign w:val="bottom"/>
          </w:tcPr>
          <w:p w14:paraId="7F63D286" w14:textId="77777777" w:rsidR="00B96250" w:rsidRPr="0046400A" w:rsidRDefault="00B96250" w:rsidP="00B96250">
            <w:pPr>
              <w:pStyle w:val="TableText"/>
              <w:tabs>
                <w:tab w:val="left" w:pos="3306"/>
              </w:tabs>
              <w:jc w:val="right"/>
              <w:rPr>
                <w:rFonts w:cs="Calibri"/>
              </w:rPr>
            </w:pPr>
          </w:p>
        </w:tc>
        <w:tc>
          <w:tcPr>
            <w:tcW w:w="541" w:type="pct"/>
            <w:tcBorders>
              <w:top w:val="nil"/>
              <w:left w:val="nil"/>
              <w:bottom w:val="nil"/>
              <w:right w:val="nil"/>
            </w:tcBorders>
            <w:vAlign w:val="bottom"/>
          </w:tcPr>
          <w:p w14:paraId="339054D8" w14:textId="77777777" w:rsidR="00B96250" w:rsidRPr="0046400A" w:rsidRDefault="00B96250" w:rsidP="00B96250">
            <w:pPr>
              <w:pStyle w:val="TableText"/>
              <w:tabs>
                <w:tab w:val="left" w:pos="3306"/>
              </w:tabs>
              <w:jc w:val="right"/>
              <w:rPr>
                <w:rFonts w:cs="Calibri"/>
              </w:rPr>
            </w:pPr>
          </w:p>
        </w:tc>
      </w:tr>
      <w:tr w:rsidR="00B96250" w:rsidRPr="00CF7E1B" w14:paraId="780C459C" w14:textId="77777777" w:rsidTr="002F4A89">
        <w:trPr>
          <w:cantSplit/>
          <w:trHeight w:val="23"/>
        </w:trPr>
        <w:tc>
          <w:tcPr>
            <w:tcW w:w="745" w:type="pct"/>
            <w:tcBorders>
              <w:top w:val="nil"/>
              <w:left w:val="single" w:sz="2" w:space="0" w:color="auto"/>
              <w:bottom w:val="nil"/>
              <w:right w:val="single" w:sz="2" w:space="0" w:color="auto"/>
            </w:tcBorders>
          </w:tcPr>
          <w:p w14:paraId="1E649CFA"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14E6E5F6" w14:textId="15F456A8" w:rsidR="00B96250" w:rsidRPr="0046400A" w:rsidRDefault="00B96250" w:rsidP="00B96250">
            <w:pPr>
              <w:pStyle w:val="TableText"/>
              <w:tabs>
                <w:tab w:val="left" w:pos="3306"/>
              </w:tabs>
              <w:rPr>
                <w:rFonts w:cs="Calibri"/>
              </w:rPr>
            </w:pPr>
            <w:r w:rsidRPr="0046400A">
              <w:rPr>
                <w:rFonts w:cs="Calibri"/>
              </w:rPr>
              <w:t>Total Employee Expenses</w:t>
            </w:r>
          </w:p>
        </w:tc>
        <w:tc>
          <w:tcPr>
            <w:tcW w:w="608" w:type="pct"/>
            <w:tcBorders>
              <w:top w:val="nil"/>
              <w:left w:val="nil"/>
              <w:bottom w:val="nil"/>
              <w:right w:val="nil"/>
            </w:tcBorders>
            <w:vAlign w:val="bottom"/>
          </w:tcPr>
          <w:p w14:paraId="7910B840" w14:textId="77777777" w:rsidR="00B96250" w:rsidRPr="0046400A" w:rsidRDefault="00B96250" w:rsidP="00B96250">
            <w:pPr>
              <w:pStyle w:val="TableText"/>
              <w:tabs>
                <w:tab w:val="left" w:pos="3306"/>
              </w:tabs>
              <w:jc w:val="right"/>
              <w:rPr>
                <w:rFonts w:cs="Calibri"/>
              </w:rPr>
            </w:pPr>
          </w:p>
        </w:tc>
        <w:tc>
          <w:tcPr>
            <w:tcW w:w="541" w:type="pct"/>
            <w:tcBorders>
              <w:top w:val="nil"/>
              <w:left w:val="nil"/>
              <w:bottom w:val="nil"/>
              <w:right w:val="nil"/>
            </w:tcBorders>
            <w:vAlign w:val="bottom"/>
          </w:tcPr>
          <w:p w14:paraId="11795DB3" w14:textId="77777777" w:rsidR="00B96250" w:rsidRPr="0046400A" w:rsidRDefault="00B96250" w:rsidP="00B96250">
            <w:pPr>
              <w:pStyle w:val="TableText"/>
              <w:tabs>
                <w:tab w:val="left" w:pos="3306"/>
              </w:tabs>
              <w:jc w:val="right"/>
              <w:rPr>
                <w:rFonts w:cs="Calibri"/>
              </w:rPr>
            </w:pPr>
          </w:p>
        </w:tc>
      </w:tr>
      <w:tr w:rsidR="00B96250" w:rsidRPr="00CF7E1B" w14:paraId="13124900" w14:textId="77777777" w:rsidTr="002F4A89">
        <w:trPr>
          <w:cantSplit/>
          <w:trHeight w:val="23"/>
        </w:trPr>
        <w:tc>
          <w:tcPr>
            <w:tcW w:w="745" w:type="pct"/>
            <w:tcBorders>
              <w:top w:val="nil"/>
              <w:left w:val="single" w:sz="2" w:space="0" w:color="auto"/>
              <w:bottom w:val="nil"/>
              <w:right w:val="single" w:sz="2" w:space="0" w:color="auto"/>
            </w:tcBorders>
          </w:tcPr>
          <w:p w14:paraId="1ECB6414"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7BCB053D" w14:textId="4304212E" w:rsidR="00B96250" w:rsidRPr="0046400A" w:rsidRDefault="00B96250" w:rsidP="00B96250">
            <w:pPr>
              <w:pStyle w:val="TableText"/>
              <w:tabs>
                <w:tab w:val="left" w:pos="3306"/>
              </w:tabs>
              <w:rPr>
                <w:rFonts w:cs="Calibri"/>
              </w:rPr>
            </w:pPr>
            <w:r w:rsidRPr="0046400A">
              <w:rPr>
                <w:rFonts w:cs="Calibri"/>
              </w:rPr>
              <w:t>Total Superannuation Expenses</w:t>
            </w:r>
          </w:p>
        </w:tc>
        <w:tc>
          <w:tcPr>
            <w:tcW w:w="608" w:type="pct"/>
            <w:tcBorders>
              <w:top w:val="nil"/>
              <w:left w:val="nil"/>
              <w:bottom w:val="single" w:sz="4" w:space="0" w:color="auto"/>
              <w:right w:val="nil"/>
            </w:tcBorders>
            <w:vAlign w:val="bottom"/>
          </w:tcPr>
          <w:p w14:paraId="3694FB48" w14:textId="77777777" w:rsidR="00B96250" w:rsidRPr="0046400A" w:rsidRDefault="00B96250" w:rsidP="00B96250">
            <w:pPr>
              <w:pStyle w:val="TableText"/>
              <w:tabs>
                <w:tab w:val="left" w:pos="3306"/>
              </w:tabs>
              <w:jc w:val="right"/>
              <w:rPr>
                <w:rFonts w:cs="Calibri"/>
              </w:rPr>
            </w:pPr>
          </w:p>
        </w:tc>
        <w:tc>
          <w:tcPr>
            <w:tcW w:w="541" w:type="pct"/>
            <w:tcBorders>
              <w:top w:val="nil"/>
              <w:left w:val="nil"/>
              <w:bottom w:val="single" w:sz="4" w:space="0" w:color="auto"/>
              <w:right w:val="nil"/>
            </w:tcBorders>
            <w:vAlign w:val="bottom"/>
          </w:tcPr>
          <w:p w14:paraId="0C78D865" w14:textId="77777777" w:rsidR="00B96250" w:rsidRPr="0046400A" w:rsidRDefault="00B96250" w:rsidP="00B96250">
            <w:pPr>
              <w:pStyle w:val="TableText"/>
              <w:tabs>
                <w:tab w:val="left" w:pos="3306"/>
              </w:tabs>
              <w:jc w:val="right"/>
              <w:rPr>
                <w:rFonts w:cs="Calibri"/>
              </w:rPr>
            </w:pPr>
          </w:p>
        </w:tc>
      </w:tr>
      <w:tr w:rsidR="00B96250" w:rsidRPr="00CF7E1B" w14:paraId="330D18E6" w14:textId="77777777" w:rsidTr="002F4A89">
        <w:trPr>
          <w:cantSplit/>
          <w:trHeight w:val="23"/>
        </w:trPr>
        <w:tc>
          <w:tcPr>
            <w:tcW w:w="745" w:type="pct"/>
            <w:tcBorders>
              <w:top w:val="nil"/>
              <w:left w:val="single" w:sz="2" w:space="0" w:color="auto"/>
              <w:bottom w:val="nil"/>
              <w:right w:val="single" w:sz="2" w:space="0" w:color="auto"/>
            </w:tcBorders>
          </w:tcPr>
          <w:p w14:paraId="4336B854" w14:textId="77777777" w:rsidR="00B96250" w:rsidRPr="0046400A" w:rsidRDefault="00B96250" w:rsidP="00B96250">
            <w:pPr>
              <w:pStyle w:val="TableReference"/>
              <w:tabs>
                <w:tab w:val="left" w:pos="3306"/>
              </w:tabs>
              <w:spacing w:before="40"/>
              <w:rPr>
                <w:rFonts w:cs="Calibri"/>
                <w:color w:val="7030A0"/>
                <w:sz w:val="14"/>
              </w:rPr>
            </w:pPr>
          </w:p>
        </w:tc>
        <w:tc>
          <w:tcPr>
            <w:tcW w:w="3106" w:type="pct"/>
            <w:tcBorders>
              <w:top w:val="nil"/>
              <w:left w:val="single" w:sz="2" w:space="0" w:color="auto"/>
              <w:bottom w:val="nil"/>
              <w:right w:val="nil"/>
            </w:tcBorders>
            <w:vAlign w:val="bottom"/>
          </w:tcPr>
          <w:p w14:paraId="254A40CA" w14:textId="4EC991B9" w:rsidR="00B96250" w:rsidRPr="0046400A" w:rsidRDefault="00B228FF" w:rsidP="00B96250">
            <w:pPr>
              <w:pStyle w:val="TableText"/>
              <w:tabs>
                <w:tab w:val="left" w:pos="3306"/>
              </w:tabs>
              <w:rPr>
                <w:rFonts w:cs="Calibri"/>
              </w:rPr>
            </w:pPr>
            <w:r w:rsidRPr="0046400A">
              <w:rPr>
                <w:rFonts w:cs="Calibri"/>
                <w:b/>
                <w:bCs/>
              </w:rPr>
              <w:t xml:space="preserve">Total Employee </w:t>
            </w:r>
            <w:r w:rsidR="00EB2186" w:rsidRPr="0046400A">
              <w:rPr>
                <w:rFonts w:cs="Calibri"/>
                <w:b/>
                <w:bCs/>
              </w:rPr>
              <w:t>and Superannuation</w:t>
            </w:r>
            <w:r w:rsidRPr="0046400A">
              <w:rPr>
                <w:rFonts w:cs="Calibri"/>
                <w:b/>
                <w:bCs/>
              </w:rPr>
              <w:t xml:space="preserve"> Expenses</w:t>
            </w:r>
          </w:p>
        </w:tc>
        <w:tc>
          <w:tcPr>
            <w:tcW w:w="608" w:type="pct"/>
            <w:tcBorders>
              <w:top w:val="single" w:sz="4" w:space="0" w:color="auto"/>
              <w:left w:val="nil"/>
              <w:bottom w:val="double" w:sz="4" w:space="0" w:color="auto"/>
              <w:right w:val="nil"/>
            </w:tcBorders>
            <w:vAlign w:val="bottom"/>
          </w:tcPr>
          <w:p w14:paraId="2CA449CB" w14:textId="77777777" w:rsidR="00B96250" w:rsidRPr="0046400A" w:rsidRDefault="00B96250" w:rsidP="00B96250">
            <w:pPr>
              <w:pStyle w:val="TableText"/>
              <w:tabs>
                <w:tab w:val="left" w:pos="3306"/>
              </w:tabs>
              <w:jc w:val="right"/>
              <w:rPr>
                <w:rFonts w:cs="Calibri"/>
              </w:rPr>
            </w:pPr>
          </w:p>
        </w:tc>
        <w:tc>
          <w:tcPr>
            <w:tcW w:w="541" w:type="pct"/>
            <w:tcBorders>
              <w:top w:val="single" w:sz="4" w:space="0" w:color="auto"/>
              <w:left w:val="nil"/>
              <w:bottom w:val="double" w:sz="4" w:space="0" w:color="auto"/>
              <w:right w:val="nil"/>
            </w:tcBorders>
            <w:vAlign w:val="bottom"/>
          </w:tcPr>
          <w:p w14:paraId="35AFC45E" w14:textId="77777777" w:rsidR="00B96250" w:rsidRPr="0046400A" w:rsidRDefault="00B96250" w:rsidP="00B96250">
            <w:pPr>
              <w:pStyle w:val="TableText"/>
              <w:tabs>
                <w:tab w:val="left" w:pos="3306"/>
              </w:tabs>
              <w:jc w:val="right"/>
              <w:rPr>
                <w:rFonts w:cs="Calibri"/>
              </w:rPr>
            </w:pPr>
          </w:p>
        </w:tc>
      </w:tr>
    </w:tbl>
    <w:p w14:paraId="7ADED0D2" w14:textId="50FE0412" w:rsidR="0046400A" w:rsidRDefault="0046400A"/>
    <w:p w14:paraId="3BEF0313" w14:textId="5B55D641" w:rsidR="0046400A" w:rsidRDefault="0046400A"/>
    <w:p w14:paraId="07095A1A" w14:textId="0CD24CCC" w:rsidR="0046400A" w:rsidRDefault="0046400A"/>
    <w:p w14:paraId="7AD8EE2B" w14:textId="03C8E76F" w:rsidR="0046400A" w:rsidRDefault="0046400A">
      <w:r>
        <w:br w:type="page"/>
      </w:r>
    </w:p>
    <w:tbl>
      <w:tblPr>
        <w:tblW w:w="5128" w:type="pct"/>
        <w:tblInd w:w="-6" w:type="dxa"/>
        <w:shd w:val="clear" w:color="auto" w:fill="CCFFCC"/>
        <w:tblLayout w:type="fixed"/>
        <w:tblLook w:val="00A0" w:firstRow="1" w:lastRow="0" w:firstColumn="1" w:lastColumn="0" w:noHBand="0" w:noVBand="0"/>
      </w:tblPr>
      <w:tblGrid>
        <w:gridCol w:w="1564"/>
        <w:gridCol w:w="8930"/>
      </w:tblGrid>
      <w:tr w:rsidR="00B96250" w:rsidRPr="00CF7E1B" w14:paraId="75EFF067" w14:textId="77777777" w:rsidTr="002F4A89">
        <w:trPr>
          <w:trHeight w:hRule="exact" w:val="514"/>
        </w:trPr>
        <w:tc>
          <w:tcPr>
            <w:tcW w:w="745" w:type="pct"/>
            <w:tcBorders>
              <w:left w:val="single" w:sz="2" w:space="0" w:color="auto"/>
              <w:right w:val="single" w:sz="2" w:space="0" w:color="auto"/>
            </w:tcBorders>
          </w:tcPr>
          <w:p w14:paraId="20679624" w14:textId="218F6055" w:rsidR="00B96250" w:rsidRPr="00A94766" w:rsidRDefault="00B96250" w:rsidP="00003325">
            <w:pPr>
              <w:pStyle w:val="TableReference"/>
              <w:tabs>
                <w:tab w:val="left" w:pos="3306"/>
              </w:tabs>
              <w:rPr>
                <w:rFonts w:cs="Calibri"/>
                <w:b/>
                <w:color w:val="7030A0"/>
                <w:sz w:val="22"/>
                <w:szCs w:val="22"/>
              </w:rPr>
            </w:pPr>
            <w:r w:rsidRPr="00A94766">
              <w:rPr>
                <w:rFonts w:cs="Calibri"/>
                <w:b/>
                <w:color w:val="7030A0"/>
                <w:sz w:val="22"/>
                <w:szCs w:val="22"/>
              </w:rPr>
              <w:br w:type="page"/>
              <w:t>Reference</w:t>
            </w:r>
          </w:p>
        </w:tc>
        <w:tc>
          <w:tcPr>
            <w:tcW w:w="4255" w:type="pct"/>
            <w:tcBorders>
              <w:left w:val="single" w:sz="2" w:space="0" w:color="auto"/>
            </w:tcBorders>
            <w:shd w:val="clear" w:color="auto" w:fill="7030A0"/>
          </w:tcPr>
          <w:p w14:paraId="40F79A86" w14:textId="45091985" w:rsidR="00B96250" w:rsidRPr="00A94766" w:rsidRDefault="00B96250" w:rsidP="00003325">
            <w:pPr>
              <w:pStyle w:val="CommentaryTitle"/>
              <w:spacing w:before="0" w:after="0"/>
              <w:rPr>
                <w:rFonts w:cs="Calibri"/>
                <w:bCs w:val="0"/>
                <w:color w:val="FFFFFF" w:themeColor="background1"/>
                <w:sz w:val="28"/>
                <w:szCs w:val="28"/>
              </w:rPr>
            </w:pPr>
            <w:bookmarkStart w:id="398" w:name="_Toc50440348"/>
            <w:bookmarkStart w:id="399" w:name="_Toc163106324"/>
            <w:bookmarkStart w:id="400" w:name="_Toc194977579"/>
            <w:r w:rsidRPr="00A94766">
              <w:rPr>
                <w:rFonts w:cs="Calibri"/>
                <w:bCs w:val="0"/>
                <w:color w:val="FFFFFF" w:themeColor="background1"/>
                <w:sz w:val="28"/>
                <w:szCs w:val="28"/>
              </w:rPr>
              <w:t xml:space="preserve">Commentary – Note 10: Employee </w:t>
            </w:r>
            <w:r w:rsidR="00EB2186" w:rsidRPr="00A94766">
              <w:rPr>
                <w:rFonts w:cs="Calibri"/>
                <w:bCs w:val="0"/>
                <w:color w:val="FFFFFF" w:themeColor="background1"/>
                <w:sz w:val="28"/>
                <w:szCs w:val="28"/>
              </w:rPr>
              <w:t>and Superannuation</w:t>
            </w:r>
            <w:r w:rsidR="00B228FF" w:rsidRPr="00A94766">
              <w:rPr>
                <w:rFonts w:cs="Calibri"/>
                <w:bCs w:val="0"/>
                <w:color w:val="FFFFFF" w:themeColor="background1"/>
                <w:sz w:val="28"/>
                <w:szCs w:val="28"/>
              </w:rPr>
              <w:t xml:space="preserve"> </w:t>
            </w:r>
            <w:r w:rsidRPr="00A94766">
              <w:rPr>
                <w:rFonts w:cs="Calibri"/>
                <w:bCs w:val="0"/>
                <w:color w:val="FFFFFF" w:themeColor="background1"/>
                <w:sz w:val="28"/>
                <w:szCs w:val="28"/>
              </w:rPr>
              <w:t>Expenses</w:t>
            </w:r>
            <w:bookmarkEnd w:id="398"/>
            <w:bookmarkEnd w:id="399"/>
            <w:bookmarkEnd w:id="400"/>
          </w:p>
        </w:tc>
      </w:tr>
      <w:tr w:rsidR="00B96250" w:rsidRPr="00CF7E1B" w14:paraId="05EB5469" w14:textId="77777777" w:rsidTr="002F4A89">
        <w:trPr>
          <w:trHeight w:val="20"/>
        </w:trPr>
        <w:tc>
          <w:tcPr>
            <w:tcW w:w="745" w:type="pct"/>
            <w:tcBorders>
              <w:left w:val="single" w:sz="2" w:space="0" w:color="auto"/>
              <w:right w:val="single" w:sz="2" w:space="0" w:color="auto"/>
            </w:tcBorders>
          </w:tcPr>
          <w:p w14:paraId="58EDAC41" w14:textId="77777777" w:rsidR="00B96250" w:rsidRPr="00A94766" w:rsidRDefault="00B96250" w:rsidP="00B96250">
            <w:pPr>
              <w:pStyle w:val="TableReference"/>
              <w:tabs>
                <w:tab w:val="left" w:pos="3306"/>
              </w:tabs>
              <w:spacing w:before="80"/>
              <w:rPr>
                <w:rFonts w:cs="Calibri"/>
                <w:color w:val="7030A0"/>
                <w:sz w:val="14"/>
              </w:rPr>
            </w:pPr>
            <w:r w:rsidRPr="00A94766">
              <w:rPr>
                <w:rFonts w:cs="Calibri"/>
                <w:color w:val="7030A0"/>
                <w:sz w:val="14"/>
              </w:rPr>
              <w:t>AASB 119.11</w:t>
            </w:r>
          </w:p>
          <w:p w14:paraId="30F62211" w14:textId="77777777" w:rsidR="00B96250" w:rsidRPr="00A94766" w:rsidRDefault="00B96250" w:rsidP="00B96250">
            <w:pPr>
              <w:pStyle w:val="TableReference"/>
              <w:tabs>
                <w:tab w:val="left" w:pos="3306"/>
              </w:tabs>
              <w:rPr>
                <w:rFonts w:cs="Calibri"/>
                <w:color w:val="7030A0"/>
                <w:sz w:val="14"/>
              </w:rPr>
            </w:pPr>
          </w:p>
          <w:p w14:paraId="6D85A197" w14:textId="77777777" w:rsidR="00B96250" w:rsidRPr="00A94766" w:rsidRDefault="00B96250" w:rsidP="00B96250">
            <w:pPr>
              <w:pStyle w:val="TableReference"/>
              <w:tabs>
                <w:tab w:val="left" w:pos="3306"/>
              </w:tabs>
              <w:spacing w:before="60"/>
              <w:rPr>
                <w:rFonts w:cs="Calibri"/>
                <w:color w:val="7030A0"/>
                <w:sz w:val="14"/>
              </w:rPr>
            </w:pPr>
          </w:p>
        </w:tc>
        <w:tc>
          <w:tcPr>
            <w:tcW w:w="4255" w:type="pct"/>
            <w:tcBorders>
              <w:left w:val="single" w:sz="2" w:space="0" w:color="auto"/>
            </w:tcBorders>
            <w:shd w:val="clear" w:color="auto" w:fill="7030A0"/>
          </w:tcPr>
          <w:p w14:paraId="3A951FA2" w14:textId="521CDF33" w:rsidR="00B96250" w:rsidRPr="00A94766" w:rsidRDefault="00B96250" w:rsidP="00B96250">
            <w:pPr>
              <w:pStyle w:val="CommentaryText"/>
              <w:tabs>
                <w:tab w:val="left" w:pos="3306"/>
              </w:tabs>
              <w:rPr>
                <w:rFonts w:cs="Calibri"/>
                <w:color w:val="FFFFFF" w:themeColor="background1"/>
                <w:sz w:val="18"/>
                <w:szCs w:val="18"/>
              </w:rPr>
            </w:pPr>
            <w:r w:rsidRPr="00A94766">
              <w:rPr>
                <w:rFonts w:cs="Calibri"/>
                <w:color w:val="FFFFFF" w:themeColor="background1"/>
                <w:sz w:val="18"/>
                <w:szCs w:val="18"/>
              </w:rPr>
              <w:t>Where an employee has rendered services to the agency during a reporting period, the agency must recognise as an expense (and a liability) the undiscounted amount of short-term employee benefits, including non-monetary benefits, expected to be settled in exchange for that service.</w:t>
            </w:r>
            <w:r w:rsidR="00FA7C77">
              <w:rPr>
                <w:rFonts w:cs="Calibri"/>
                <w:color w:val="FFFFFF" w:themeColor="background1"/>
                <w:sz w:val="18"/>
                <w:szCs w:val="18"/>
              </w:rPr>
              <w:t xml:space="preserve"> </w:t>
            </w:r>
            <w:r w:rsidRPr="00A94766">
              <w:rPr>
                <w:rFonts w:cs="Calibri"/>
                <w:color w:val="FFFFFF" w:themeColor="background1"/>
                <w:sz w:val="18"/>
                <w:szCs w:val="18"/>
              </w:rPr>
              <w:t>Wages and salaries include the cost of any components of a wage or salary package and related Fringe Benefits Tax.</w:t>
            </w:r>
          </w:p>
        </w:tc>
      </w:tr>
      <w:tr w:rsidR="00B96250" w:rsidRPr="00CF7E1B" w14:paraId="2FBB8CB2" w14:textId="77777777" w:rsidTr="002F4A89">
        <w:trPr>
          <w:trHeight w:val="20"/>
        </w:trPr>
        <w:tc>
          <w:tcPr>
            <w:tcW w:w="745" w:type="pct"/>
            <w:tcBorders>
              <w:left w:val="single" w:sz="2" w:space="0" w:color="auto"/>
              <w:right w:val="single" w:sz="2" w:space="0" w:color="auto"/>
            </w:tcBorders>
          </w:tcPr>
          <w:p w14:paraId="3011E95B" w14:textId="77777777" w:rsidR="00B96250" w:rsidRPr="00A94766" w:rsidRDefault="00B96250" w:rsidP="00B96250">
            <w:pPr>
              <w:pStyle w:val="TableReference"/>
              <w:tabs>
                <w:tab w:val="left" w:pos="3306"/>
              </w:tabs>
              <w:spacing w:before="60"/>
              <w:rPr>
                <w:rFonts w:cs="Calibri"/>
                <w:color w:val="7030A0"/>
                <w:sz w:val="16"/>
                <w:szCs w:val="16"/>
              </w:rPr>
            </w:pPr>
            <w:r w:rsidRPr="00A94766">
              <w:rPr>
                <w:rFonts w:cs="Calibri"/>
                <w:color w:val="7030A0"/>
                <w:sz w:val="16"/>
                <w:szCs w:val="16"/>
              </w:rPr>
              <w:t xml:space="preserve"> </w:t>
            </w:r>
          </w:p>
        </w:tc>
        <w:tc>
          <w:tcPr>
            <w:tcW w:w="4255" w:type="pct"/>
            <w:tcBorders>
              <w:left w:val="single" w:sz="2" w:space="0" w:color="auto"/>
            </w:tcBorders>
            <w:shd w:val="clear" w:color="auto" w:fill="7030A0"/>
          </w:tcPr>
          <w:p w14:paraId="3A321E27" w14:textId="24F9770F" w:rsidR="00B96250" w:rsidRPr="00A94766" w:rsidRDefault="00B96250" w:rsidP="00B96250">
            <w:pPr>
              <w:pStyle w:val="CommentaryText"/>
              <w:tabs>
                <w:tab w:val="left" w:pos="3306"/>
              </w:tabs>
              <w:rPr>
                <w:rFonts w:cs="Calibri"/>
                <w:color w:val="FFFFFF" w:themeColor="background1"/>
                <w:sz w:val="18"/>
                <w:szCs w:val="18"/>
              </w:rPr>
            </w:pPr>
            <w:r w:rsidRPr="00A94766">
              <w:rPr>
                <w:rFonts w:cs="Calibri"/>
                <w:color w:val="FFFFFF" w:themeColor="background1"/>
                <w:sz w:val="18"/>
                <w:szCs w:val="18"/>
              </w:rPr>
              <w:t xml:space="preserve">Termination expense represents the movement in the provision for termination benefits outlined in Note </w:t>
            </w:r>
            <w:r w:rsidR="00790BA7" w:rsidRPr="00A94766">
              <w:rPr>
                <w:rFonts w:cs="Calibri"/>
                <w:color w:val="FFFFFF" w:themeColor="background1"/>
                <w:sz w:val="18"/>
                <w:szCs w:val="18"/>
              </w:rPr>
              <w:t xml:space="preserve">27 </w:t>
            </w:r>
            <w:r w:rsidRPr="00A94766">
              <w:rPr>
                <w:rFonts w:cs="Calibri"/>
                <w:i/>
                <w:iCs/>
                <w:color w:val="FFFFFF" w:themeColor="background1"/>
                <w:sz w:val="18"/>
                <w:szCs w:val="18"/>
              </w:rPr>
              <w:t>Employee Benefits</w:t>
            </w:r>
            <w:r w:rsidRPr="00A94766">
              <w:rPr>
                <w:rFonts w:cs="Calibri"/>
                <w:color w:val="FFFFFF" w:themeColor="background1"/>
                <w:sz w:val="18"/>
                <w:szCs w:val="18"/>
              </w:rPr>
              <w:t>.</w:t>
            </w:r>
            <w:r w:rsidR="00FA7C77">
              <w:rPr>
                <w:rFonts w:cs="Calibri"/>
                <w:color w:val="FFFFFF" w:themeColor="background1"/>
                <w:sz w:val="18"/>
                <w:szCs w:val="18"/>
              </w:rPr>
              <w:t xml:space="preserve"> </w:t>
            </w:r>
            <w:r w:rsidRPr="00A94766">
              <w:rPr>
                <w:rFonts w:cs="Calibri"/>
                <w:color w:val="FFFFFF" w:themeColor="background1"/>
                <w:sz w:val="18"/>
                <w:szCs w:val="18"/>
              </w:rPr>
              <w:t>This provision relates solely to redundancies paid to employees as a result of positions being abolished due to a restructuring of the agency.</w:t>
            </w:r>
          </w:p>
        </w:tc>
      </w:tr>
      <w:tr w:rsidR="00B96250" w:rsidRPr="00CF7E1B" w14:paraId="1AA4D8F8" w14:textId="77777777" w:rsidTr="002F4A89">
        <w:trPr>
          <w:trHeight w:val="20"/>
        </w:trPr>
        <w:tc>
          <w:tcPr>
            <w:tcW w:w="745" w:type="pct"/>
            <w:tcBorders>
              <w:left w:val="single" w:sz="2" w:space="0" w:color="auto"/>
              <w:right w:val="single" w:sz="2" w:space="0" w:color="auto"/>
            </w:tcBorders>
          </w:tcPr>
          <w:p w14:paraId="302742A6" w14:textId="77777777" w:rsidR="00B96250" w:rsidRPr="00A94766" w:rsidRDefault="00B96250" w:rsidP="00B96250">
            <w:pPr>
              <w:pStyle w:val="TableReference"/>
              <w:tabs>
                <w:tab w:val="left" w:pos="3306"/>
              </w:tabs>
              <w:spacing w:before="60"/>
              <w:rPr>
                <w:rFonts w:cs="Calibri"/>
                <w:color w:val="7030A0"/>
                <w:sz w:val="16"/>
                <w:szCs w:val="16"/>
              </w:rPr>
            </w:pPr>
          </w:p>
        </w:tc>
        <w:tc>
          <w:tcPr>
            <w:tcW w:w="4255" w:type="pct"/>
            <w:tcBorders>
              <w:left w:val="single" w:sz="2" w:space="0" w:color="auto"/>
            </w:tcBorders>
            <w:shd w:val="clear" w:color="auto" w:fill="7030A0"/>
          </w:tcPr>
          <w:p w14:paraId="6D34B8DD" w14:textId="41245E1D" w:rsidR="00B96250" w:rsidRPr="00003325" w:rsidRDefault="00B96250" w:rsidP="00B96250">
            <w:pPr>
              <w:pStyle w:val="CommentaryText"/>
              <w:tabs>
                <w:tab w:val="left" w:pos="3306"/>
              </w:tabs>
              <w:spacing w:after="0"/>
              <w:rPr>
                <w:rFonts w:cs="Calibri"/>
                <w:color w:val="FFFFFF" w:themeColor="background1"/>
                <w:szCs w:val="20"/>
              </w:rPr>
            </w:pPr>
            <w:r w:rsidRPr="00003325">
              <w:rPr>
                <w:rFonts w:cs="Calibri"/>
                <w:b/>
                <w:bCs/>
                <w:color w:val="FFFFFF" w:themeColor="background1"/>
                <w:szCs w:val="20"/>
              </w:rPr>
              <w:t>Territory Authority Commentary</w:t>
            </w:r>
          </w:p>
        </w:tc>
      </w:tr>
      <w:tr w:rsidR="00B96250" w:rsidRPr="00CF7E1B" w14:paraId="41653519" w14:textId="77777777" w:rsidTr="002F4A89">
        <w:trPr>
          <w:trHeight w:val="20"/>
        </w:trPr>
        <w:tc>
          <w:tcPr>
            <w:tcW w:w="745" w:type="pct"/>
            <w:vMerge w:val="restart"/>
            <w:tcBorders>
              <w:left w:val="single" w:sz="2" w:space="0" w:color="auto"/>
              <w:right w:val="single" w:sz="2" w:space="0" w:color="auto"/>
            </w:tcBorders>
          </w:tcPr>
          <w:p w14:paraId="11262BF5" w14:textId="77777777" w:rsidR="00B96250" w:rsidRPr="00A94766" w:rsidRDefault="00B96250" w:rsidP="00B96250">
            <w:pPr>
              <w:pStyle w:val="TableReference"/>
              <w:tabs>
                <w:tab w:val="left" w:pos="3306"/>
              </w:tabs>
              <w:spacing w:before="60"/>
              <w:rPr>
                <w:color w:val="7030A0"/>
                <w:sz w:val="14"/>
              </w:rPr>
            </w:pPr>
            <w:r w:rsidRPr="00A94766">
              <w:rPr>
                <w:color w:val="7030A0"/>
                <w:sz w:val="14"/>
              </w:rPr>
              <w:t xml:space="preserve">AASB 119.83 </w:t>
            </w:r>
          </w:p>
          <w:p w14:paraId="0D20D5F4" w14:textId="02E23859" w:rsidR="00B96250" w:rsidRPr="00A94766" w:rsidRDefault="00B96250" w:rsidP="00B96250">
            <w:pPr>
              <w:pStyle w:val="TableReference"/>
              <w:tabs>
                <w:tab w:val="left" w:pos="3306"/>
              </w:tabs>
              <w:rPr>
                <w:rFonts w:cs="Calibri"/>
                <w:color w:val="7030A0"/>
                <w:sz w:val="16"/>
                <w:szCs w:val="16"/>
              </w:rPr>
            </w:pPr>
            <w:r w:rsidRPr="00A94766">
              <w:rPr>
                <w:color w:val="7030A0"/>
                <w:sz w:val="14"/>
              </w:rPr>
              <w:t>FFM Memo 2015/12</w:t>
            </w:r>
            <w:r w:rsidR="00744FD7" w:rsidRPr="00A94766">
              <w:rPr>
                <w:color w:val="7030A0"/>
                <w:sz w:val="14"/>
              </w:rPr>
              <w:t xml:space="preserve"> </w:t>
            </w:r>
            <w:r w:rsidRPr="00A94766">
              <w:rPr>
                <w:color w:val="7030A0"/>
                <w:sz w:val="14"/>
              </w:rPr>
              <w:t>ACT Accounting Policy Employee Benefits</w:t>
            </w:r>
          </w:p>
        </w:tc>
        <w:tc>
          <w:tcPr>
            <w:tcW w:w="4255" w:type="pct"/>
            <w:tcBorders>
              <w:left w:val="single" w:sz="2" w:space="0" w:color="auto"/>
            </w:tcBorders>
            <w:shd w:val="clear" w:color="auto" w:fill="7030A0"/>
          </w:tcPr>
          <w:p w14:paraId="3FBC99CD" w14:textId="59A260D1" w:rsidR="00B96250" w:rsidRPr="00003325" w:rsidRDefault="00B96250" w:rsidP="00B96250">
            <w:pPr>
              <w:pStyle w:val="CommentaryText"/>
              <w:tabs>
                <w:tab w:val="left" w:pos="3306"/>
              </w:tabs>
              <w:spacing w:after="0"/>
              <w:rPr>
                <w:rFonts w:cs="Calibri"/>
                <w:b/>
                <w:bCs/>
                <w:i/>
                <w:iCs/>
                <w:color w:val="FFFFFF" w:themeColor="background1"/>
                <w:szCs w:val="20"/>
              </w:rPr>
            </w:pPr>
            <w:r w:rsidRPr="00003325">
              <w:rPr>
                <w:i/>
                <w:iCs/>
                <w:color w:val="FFFFFF" w:themeColor="background1"/>
                <w:szCs w:val="20"/>
              </w:rPr>
              <w:t>Corporate Bond Rate</w:t>
            </w:r>
          </w:p>
        </w:tc>
      </w:tr>
      <w:tr w:rsidR="00B96250" w:rsidRPr="00CF7E1B" w14:paraId="0D231297" w14:textId="77777777" w:rsidTr="002F4A89">
        <w:trPr>
          <w:trHeight w:val="763"/>
        </w:trPr>
        <w:tc>
          <w:tcPr>
            <w:tcW w:w="745" w:type="pct"/>
            <w:vMerge/>
            <w:tcBorders>
              <w:left w:val="single" w:sz="2" w:space="0" w:color="auto"/>
              <w:right w:val="single" w:sz="2" w:space="0" w:color="auto"/>
            </w:tcBorders>
          </w:tcPr>
          <w:p w14:paraId="42EA4F0B" w14:textId="582150D0" w:rsidR="00B96250" w:rsidRPr="00316160" w:rsidRDefault="00B96250" w:rsidP="00B96250">
            <w:pPr>
              <w:pStyle w:val="TableReference"/>
              <w:tabs>
                <w:tab w:val="left" w:pos="3306"/>
              </w:tabs>
              <w:rPr>
                <w:rFonts w:cs="Calibri"/>
                <w:color w:val="000000"/>
                <w:sz w:val="14"/>
              </w:rPr>
            </w:pPr>
          </w:p>
        </w:tc>
        <w:tc>
          <w:tcPr>
            <w:tcW w:w="4255" w:type="pct"/>
            <w:tcBorders>
              <w:left w:val="single" w:sz="2" w:space="0" w:color="auto"/>
            </w:tcBorders>
            <w:shd w:val="clear" w:color="auto" w:fill="7030A0"/>
          </w:tcPr>
          <w:p w14:paraId="31E72FD7" w14:textId="7011DB88" w:rsidR="00B96250" w:rsidRPr="00A94766" w:rsidRDefault="00B96250" w:rsidP="00B96250">
            <w:pPr>
              <w:pStyle w:val="CommentaryText"/>
              <w:tabs>
                <w:tab w:val="left" w:pos="3306"/>
              </w:tabs>
              <w:rPr>
                <w:rFonts w:cs="Calibri"/>
                <w:color w:val="FFFFFF" w:themeColor="background1"/>
                <w:sz w:val="18"/>
                <w:szCs w:val="18"/>
              </w:rPr>
            </w:pPr>
            <w:r w:rsidRPr="00A94766">
              <w:rPr>
                <w:color w:val="FFFFFF" w:themeColor="background1"/>
                <w:sz w:val="18"/>
                <w:szCs w:val="18"/>
              </w:rPr>
              <w:t>The rate used by for-profit authorities to discount employment benefit obligations (both funded and unfunded) is determined by reference to market yields at the end of the reporting period on high quality corporate bonds.</w:t>
            </w:r>
          </w:p>
        </w:tc>
      </w:tr>
      <w:tr w:rsidR="000144FF" w:rsidRPr="00CF7E1B" w14:paraId="4EBE9DF1"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57FA243C" w14:textId="30679108" w:rsidR="000144FF" w:rsidRPr="001E6A24" w:rsidRDefault="000144FF" w:rsidP="00B13E02">
            <w:pPr>
              <w:pStyle w:val="TableReference"/>
              <w:tabs>
                <w:tab w:val="left" w:pos="3306"/>
              </w:tabs>
              <w:spacing w:before="240" w:after="240"/>
              <w:rPr>
                <w:rFonts w:cs="Calibri"/>
                <w:b/>
                <w:color w:val="7030A0"/>
                <w:sz w:val="22"/>
                <w:szCs w:val="22"/>
              </w:rPr>
            </w:pPr>
            <w:bookmarkStart w:id="401" w:name="SuppAndServ" w:colFirst="1" w:colLast="1"/>
            <w:bookmarkStart w:id="402" w:name="_Hlk88566313"/>
            <w:bookmarkStart w:id="403" w:name="_Hlk88566526"/>
          </w:p>
        </w:tc>
        <w:tc>
          <w:tcPr>
            <w:tcW w:w="4255" w:type="pct"/>
            <w:tcBorders>
              <w:top w:val="nil"/>
              <w:left w:val="single" w:sz="2" w:space="0" w:color="auto"/>
              <w:bottom w:val="nil"/>
              <w:right w:val="nil"/>
            </w:tcBorders>
          </w:tcPr>
          <w:p w14:paraId="324CFE25" w14:textId="260A05D9" w:rsidR="000144FF" w:rsidRPr="00CF7E1B" w:rsidRDefault="00DE4F6D" w:rsidP="00B13E02">
            <w:pPr>
              <w:pStyle w:val="Heading1"/>
              <w:numPr>
                <w:ilvl w:val="0"/>
                <w:numId w:val="0"/>
              </w:numPr>
            </w:pPr>
            <w:bookmarkStart w:id="404" w:name="_Toc49155570"/>
            <w:bookmarkStart w:id="405" w:name="_Toc49224022"/>
            <w:bookmarkStart w:id="406" w:name="_Ref50365336"/>
            <w:bookmarkStart w:id="407" w:name="_Toc50440350"/>
            <w:bookmarkStart w:id="408" w:name="_Ref50523951"/>
            <w:bookmarkStart w:id="409" w:name="_Toc400627331"/>
            <w:bookmarkStart w:id="410" w:name="_Toc98763084"/>
            <w:bookmarkStart w:id="411" w:name="_Toc48468452"/>
            <w:r w:rsidRPr="001E6A24">
              <w:t xml:space="preserve">Note </w:t>
            </w:r>
            <w:r w:rsidR="003A4053" w:rsidRPr="001E6A24">
              <w:t>1</w:t>
            </w:r>
            <w:r w:rsidR="005C197A" w:rsidRPr="001E6A24">
              <w:t>1</w:t>
            </w:r>
            <w:r>
              <w:t>.</w:t>
            </w:r>
            <w:r w:rsidR="00FA7C77">
              <w:t xml:space="preserve"> </w:t>
            </w:r>
            <w:r w:rsidR="00C129D8">
              <w:t xml:space="preserve"> </w:t>
            </w:r>
            <w:r w:rsidR="000144FF" w:rsidRPr="00CF7E1B">
              <w:t>Supplies and Services</w:t>
            </w:r>
            <w:bookmarkEnd w:id="404"/>
            <w:bookmarkEnd w:id="405"/>
            <w:bookmarkEnd w:id="406"/>
            <w:bookmarkEnd w:id="407"/>
            <w:bookmarkEnd w:id="408"/>
            <w:bookmarkEnd w:id="409"/>
            <w:bookmarkEnd w:id="410"/>
            <w:r w:rsidR="000144FF" w:rsidRPr="00CF7E1B">
              <w:t xml:space="preserve"> </w:t>
            </w:r>
            <w:bookmarkEnd w:id="411"/>
          </w:p>
        </w:tc>
      </w:tr>
      <w:tr w:rsidR="00E22C9D" w:rsidRPr="00CF7E1B" w14:paraId="747748F3"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8"/>
        </w:trPr>
        <w:tc>
          <w:tcPr>
            <w:tcW w:w="745" w:type="pct"/>
            <w:tcBorders>
              <w:top w:val="nil"/>
              <w:left w:val="single" w:sz="2" w:space="0" w:color="auto"/>
              <w:bottom w:val="nil"/>
              <w:right w:val="single" w:sz="2" w:space="0" w:color="auto"/>
            </w:tcBorders>
          </w:tcPr>
          <w:p w14:paraId="618EDEC4" w14:textId="77777777" w:rsidR="00E22C9D" w:rsidRPr="001E6A24" w:rsidRDefault="00E22C9D" w:rsidP="001E6A24">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4104E94F" w14:textId="71C01B2E" w:rsidR="00E22C9D" w:rsidRPr="001E6A24" w:rsidRDefault="006C49B2" w:rsidP="001E6A24">
            <w:pPr>
              <w:pStyle w:val="Heading1"/>
              <w:numPr>
                <w:ilvl w:val="0"/>
                <w:numId w:val="0"/>
              </w:numPr>
              <w:spacing w:before="0" w:after="0"/>
              <w:rPr>
                <w:sz w:val="18"/>
                <w:szCs w:val="18"/>
              </w:rPr>
            </w:pPr>
            <w:bookmarkStart w:id="412" w:name="_Toc98763085"/>
            <w:r w:rsidRPr="001E6A24">
              <w:rPr>
                <w:rFonts w:ascii="Calibri" w:hAnsi="Calibri" w:cs="Calibri"/>
                <w:caps w:val="0"/>
                <w:sz w:val="18"/>
                <w:szCs w:val="18"/>
              </w:rPr>
              <w:t xml:space="preserve">Description and </w:t>
            </w:r>
            <w:r w:rsidRPr="001E6A24">
              <w:rPr>
                <w:rFonts w:ascii="Calibri" w:hAnsi="Calibri"/>
                <w:caps w:val="0"/>
                <w:sz w:val="18"/>
                <w:szCs w:val="18"/>
              </w:rPr>
              <w:t>Material Accounting Policies Relating to Supplies and Services</w:t>
            </w:r>
            <w:bookmarkEnd w:id="412"/>
          </w:p>
        </w:tc>
      </w:tr>
      <w:tr w:rsidR="001A7B3D" w:rsidRPr="00CF7E1B" w14:paraId="33456BB9"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28"/>
        </w:trPr>
        <w:tc>
          <w:tcPr>
            <w:tcW w:w="745" w:type="pct"/>
            <w:tcBorders>
              <w:top w:val="nil"/>
              <w:left w:val="single" w:sz="2" w:space="0" w:color="auto"/>
              <w:bottom w:val="nil"/>
              <w:right w:val="single" w:sz="2" w:space="0" w:color="auto"/>
            </w:tcBorders>
          </w:tcPr>
          <w:p w14:paraId="07D3C060" w14:textId="77777777" w:rsidR="001A7B3D" w:rsidRPr="001E6A24" w:rsidRDefault="001A7B3D" w:rsidP="001E6A24">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6187D6B9" w14:textId="3667E646" w:rsidR="001A7B3D" w:rsidRPr="001E6A24" w:rsidRDefault="001A7B3D" w:rsidP="001E6A24">
            <w:pPr>
              <w:pStyle w:val="Heading1"/>
              <w:numPr>
                <w:ilvl w:val="0"/>
                <w:numId w:val="0"/>
              </w:numPr>
              <w:spacing w:before="60" w:after="0"/>
              <w:rPr>
                <w:rFonts w:ascii="Calibri" w:hAnsi="Calibri" w:cs="Calibri"/>
                <w:b w:val="0"/>
                <w:bCs w:val="0"/>
                <w:i/>
                <w:iCs/>
                <w:caps w:val="0"/>
                <w:sz w:val="18"/>
                <w:szCs w:val="18"/>
              </w:rPr>
            </w:pPr>
            <w:bookmarkStart w:id="413" w:name="_Toc98763086"/>
            <w:r w:rsidRPr="001E6A24">
              <w:rPr>
                <w:rFonts w:ascii="Calibri" w:hAnsi="Calibri" w:cs="Calibri"/>
                <w:b w:val="0"/>
                <w:bCs w:val="0"/>
                <w:i/>
                <w:iCs/>
                <w:caps w:val="0"/>
                <w:sz w:val="18"/>
                <w:szCs w:val="18"/>
              </w:rPr>
              <w:t>General - Supplies and Services</w:t>
            </w:r>
            <w:bookmarkEnd w:id="413"/>
          </w:p>
        </w:tc>
      </w:tr>
      <w:tr w:rsidR="001A7B3D" w:rsidRPr="00CF7E1B" w14:paraId="4969D544"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0D735995" w14:textId="77777777" w:rsidR="001A7B3D" w:rsidRPr="001E6A24" w:rsidRDefault="001A7B3D" w:rsidP="00702832">
            <w:pPr>
              <w:pStyle w:val="TableReference"/>
              <w:tabs>
                <w:tab w:val="left" w:pos="3306"/>
              </w:tabs>
              <w:spacing w:after="120"/>
              <w:rPr>
                <w:rFonts w:cs="Calibri"/>
                <w:b/>
                <w:color w:val="7030A0"/>
                <w:sz w:val="20"/>
                <w:szCs w:val="20"/>
              </w:rPr>
            </w:pPr>
          </w:p>
        </w:tc>
        <w:tc>
          <w:tcPr>
            <w:tcW w:w="4255" w:type="pct"/>
            <w:tcBorders>
              <w:top w:val="nil"/>
              <w:left w:val="single" w:sz="2" w:space="0" w:color="auto"/>
              <w:bottom w:val="nil"/>
              <w:right w:val="nil"/>
            </w:tcBorders>
          </w:tcPr>
          <w:p w14:paraId="1D405E2E" w14:textId="358A8F4E" w:rsidR="001A7B3D" w:rsidRPr="001E6A24" w:rsidRDefault="001A7B3D" w:rsidP="00B13E02">
            <w:pPr>
              <w:pStyle w:val="Heading1"/>
              <w:numPr>
                <w:ilvl w:val="0"/>
                <w:numId w:val="0"/>
              </w:numPr>
              <w:spacing w:before="0" w:after="120"/>
              <w:jc w:val="both"/>
              <w:rPr>
                <w:rFonts w:ascii="Calibri" w:hAnsi="Calibri" w:cs="Calibri"/>
                <w:b w:val="0"/>
                <w:bCs w:val="0"/>
                <w:caps w:val="0"/>
                <w:sz w:val="18"/>
                <w:szCs w:val="18"/>
              </w:rPr>
            </w:pPr>
            <w:bookmarkStart w:id="414" w:name="_Toc98763087"/>
            <w:r w:rsidRPr="001E6A24">
              <w:rPr>
                <w:rFonts w:ascii="Calibri" w:hAnsi="Calibri" w:cs="Calibri"/>
                <w:b w:val="0"/>
                <w:bCs w:val="0"/>
                <w:caps w:val="0"/>
                <w:sz w:val="18"/>
                <w:szCs w:val="18"/>
              </w:rPr>
              <w:t xml:space="preserve">Purchases of Supplies and Services generally represent the day-to-day running costs incurred in normal operations, recognised in the reporting period in which </w:t>
            </w:r>
            <w:r w:rsidR="006F33CC" w:rsidRPr="001E6A24">
              <w:rPr>
                <w:rFonts w:ascii="Calibri" w:hAnsi="Calibri" w:cs="Calibri"/>
                <w:b w:val="0"/>
                <w:bCs w:val="0"/>
                <w:caps w:val="0"/>
                <w:sz w:val="18"/>
                <w:szCs w:val="18"/>
              </w:rPr>
              <w:t>these expenses are</w:t>
            </w:r>
            <w:r w:rsidRPr="001E6A24">
              <w:rPr>
                <w:rFonts w:ascii="Calibri" w:hAnsi="Calibri" w:cs="Calibri"/>
                <w:b w:val="0"/>
                <w:bCs w:val="0"/>
                <w:caps w:val="0"/>
                <w:sz w:val="18"/>
                <w:szCs w:val="18"/>
              </w:rPr>
              <w:t xml:space="preserve"> incurred</w:t>
            </w:r>
            <w:r w:rsidR="006F33CC" w:rsidRPr="001E6A24">
              <w:rPr>
                <w:rFonts w:ascii="Calibri" w:hAnsi="Calibri" w:cs="Calibri"/>
                <w:b w:val="0"/>
                <w:bCs w:val="0"/>
                <w:caps w:val="0"/>
                <w:sz w:val="18"/>
                <w:szCs w:val="18"/>
              </w:rPr>
              <w:t>.</w:t>
            </w:r>
            <w:bookmarkEnd w:id="414"/>
          </w:p>
        </w:tc>
      </w:tr>
      <w:tr w:rsidR="00797FAC" w:rsidRPr="00CF7E1B" w14:paraId="12C71400"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2"/>
        </w:trPr>
        <w:tc>
          <w:tcPr>
            <w:tcW w:w="745" w:type="pct"/>
            <w:tcBorders>
              <w:top w:val="nil"/>
              <w:left w:val="single" w:sz="2" w:space="0" w:color="auto"/>
              <w:bottom w:val="nil"/>
              <w:right w:val="single" w:sz="2" w:space="0" w:color="auto"/>
            </w:tcBorders>
          </w:tcPr>
          <w:p w14:paraId="2482912D" w14:textId="77777777" w:rsidR="00797FAC" w:rsidRPr="001E6A24" w:rsidRDefault="00797FAC" w:rsidP="00837740">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4008202C" w14:textId="20B853EB" w:rsidR="00797FAC" w:rsidRPr="001E6A24" w:rsidRDefault="00797FAC" w:rsidP="001E6A24">
            <w:pPr>
              <w:pStyle w:val="Heading1"/>
              <w:numPr>
                <w:ilvl w:val="0"/>
                <w:numId w:val="0"/>
              </w:numPr>
              <w:spacing w:before="0" w:after="0"/>
              <w:rPr>
                <w:rFonts w:ascii="Calibri" w:hAnsi="Calibri" w:cs="Calibri"/>
                <w:b w:val="0"/>
                <w:bCs w:val="0"/>
                <w:i/>
                <w:iCs/>
                <w:caps w:val="0"/>
                <w:sz w:val="18"/>
                <w:szCs w:val="18"/>
              </w:rPr>
            </w:pPr>
            <w:bookmarkStart w:id="415" w:name="_Toc98763088"/>
            <w:r w:rsidRPr="001E6A24">
              <w:rPr>
                <w:rFonts w:ascii="Calibri" w:hAnsi="Calibri" w:cs="Calibri"/>
                <w:b w:val="0"/>
                <w:bCs w:val="0"/>
                <w:i/>
                <w:iCs/>
                <w:caps w:val="0"/>
                <w:sz w:val="18"/>
                <w:szCs w:val="18"/>
              </w:rPr>
              <w:t>Legal Expenses</w:t>
            </w:r>
            <w:bookmarkEnd w:id="415"/>
          </w:p>
        </w:tc>
      </w:tr>
      <w:tr w:rsidR="00E22C9D" w:rsidRPr="00CF7E1B" w14:paraId="380A3BCC"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22C318A3" w14:textId="77777777" w:rsidR="00E22C9D" w:rsidRPr="001E6A24" w:rsidRDefault="00E22C9D" w:rsidP="0008124A">
            <w:pPr>
              <w:pStyle w:val="TableReference"/>
              <w:tabs>
                <w:tab w:val="left" w:pos="3306"/>
              </w:tabs>
              <w:spacing w:before="240" w:after="240"/>
              <w:rPr>
                <w:rFonts w:cs="Calibri"/>
                <w:b/>
                <w:color w:val="7030A0"/>
                <w:sz w:val="20"/>
                <w:szCs w:val="20"/>
              </w:rPr>
            </w:pPr>
          </w:p>
        </w:tc>
        <w:tc>
          <w:tcPr>
            <w:tcW w:w="4255" w:type="pct"/>
            <w:tcBorders>
              <w:top w:val="nil"/>
              <w:left w:val="single" w:sz="2" w:space="0" w:color="auto"/>
              <w:bottom w:val="nil"/>
              <w:right w:val="nil"/>
            </w:tcBorders>
          </w:tcPr>
          <w:p w14:paraId="3194E461" w14:textId="741B9633" w:rsidR="00E22C9D" w:rsidRPr="001E6A24" w:rsidRDefault="0052210F" w:rsidP="00300197">
            <w:pPr>
              <w:pStyle w:val="Heading1"/>
              <w:numPr>
                <w:ilvl w:val="0"/>
                <w:numId w:val="0"/>
              </w:numPr>
              <w:spacing w:before="0" w:after="0"/>
              <w:jc w:val="both"/>
              <w:rPr>
                <w:sz w:val="18"/>
                <w:szCs w:val="18"/>
              </w:rPr>
            </w:pPr>
            <w:bookmarkStart w:id="416" w:name="_Toc98763089"/>
            <w:r w:rsidRPr="001E6A24">
              <w:rPr>
                <w:rFonts w:ascii="Calibri" w:hAnsi="Calibri" w:cs="Calibri"/>
                <w:b w:val="0"/>
                <w:bCs w:val="0"/>
                <w:caps w:val="0"/>
                <w:sz w:val="18"/>
                <w:szCs w:val="18"/>
              </w:rPr>
              <w:t>‘</w:t>
            </w:r>
            <w:r w:rsidR="00920EA7" w:rsidRPr="001E6A24">
              <w:rPr>
                <w:rFonts w:ascii="Calibri" w:hAnsi="Calibri" w:cs="Calibri"/>
                <w:b w:val="0"/>
                <w:bCs w:val="0"/>
                <w:caps w:val="0"/>
                <w:sz w:val="18"/>
                <w:szCs w:val="18"/>
              </w:rPr>
              <w:t xml:space="preserve">Burley Griffin </w:t>
            </w:r>
            <w:r w:rsidRPr="001E6A24">
              <w:rPr>
                <w:rFonts w:ascii="Calibri" w:hAnsi="Calibri" w:cs="Calibri"/>
                <w:b w:val="0"/>
                <w:bCs w:val="0"/>
                <w:caps w:val="0"/>
                <w:sz w:val="18"/>
                <w:szCs w:val="18"/>
              </w:rPr>
              <w:t xml:space="preserve">Agency’ has recognised legal expenses related to legal services received free of charge from the ACT Government </w:t>
            </w:r>
            <w:r w:rsidR="00744FD7" w:rsidRPr="001E6A24">
              <w:rPr>
                <w:rFonts w:ascii="Calibri" w:hAnsi="Calibri" w:cs="Calibri"/>
                <w:b w:val="0"/>
                <w:bCs w:val="0"/>
                <w:caps w:val="0"/>
                <w:sz w:val="18"/>
                <w:szCs w:val="18"/>
              </w:rPr>
              <w:t>Solicitor’s</w:t>
            </w:r>
            <w:r w:rsidRPr="001E6A24">
              <w:rPr>
                <w:rFonts w:ascii="Calibri" w:hAnsi="Calibri" w:cs="Calibri"/>
                <w:b w:val="0"/>
                <w:bCs w:val="0"/>
                <w:caps w:val="0"/>
                <w:sz w:val="18"/>
                <w:szCs w:val="18"/>
              </w:rPr>
              <w:t xml:space="preserve"> Office (GSO).</w:t>
            </w:r>
            <w:r w:rsidR="00FA7C77">
              <w:rPr>
                <w:rFonts w:ascii="Calibri" w:hAnsi="Calibri" w:cs="Calibri"/>
                <w:b w:val="0"/>
                <w:bCs w:val="0"/>
                <w:caps w:val="0"/>
                <w:sz w:val="18"/>
                <w:szCs w:val="18"/>
              </w:rPr>
              <w:t xml:space="preserve"> </w:t>
            </w:r>
            <w:r w:rsidRPr="001E6A24">
              <w:rPr>
                <w:rFonts w:ascii="Calibri" w:hAnsi="Calibri" w:cs="Calibri"/>
                <w:b w:val="0"/>
                <w:bCs w:val="0"/>
                <w:caps w:val="0"/>
                <w:sz w:val="18"/>
                <w:szCs w:val="18"/>
              </w:rPr>
              <w:t xml:space="preserve">The legal services were provided due to legal action </w:t>
            </w:r>
            <w:r w:rsidR="00702832" w:rsidRPr="001E6A24">
              <w:rPr>
                <w:rFonts w:ascii="Calibri" w:hAnsi="Calibri" w:cs="Calibri"/>
                <w:b w:val="0"/>
                <w:bCs w:val="0"/>
                <w:caps w:val="0"/>
                <w:sz w:val="18"/>
                <w:szCs w:val="18"/>
              </w:rPr>
              <w:t>being taken against ‘</w:t>
            </w:r>
            <w:r w:rsidR="00920EA7" w:rsidRPr="001E6A24">
              <w:rPr>
                <w:rFonts w:ascii="Calibri" w:hAnsi="Calibri" w:cs="Calibri"/>
                <w:b w:val="0"/>
                <w:bCs w:val="0"/>
                <w:caps w:val="0"/>
                <w:sz w:val="18"/>
                <w:szCs w:val="18"/>
              </w:rPr>
              <w:t xml:space="preserve">Burley Griffin </w:t>
            </w:r>
            <w:r w:rsidRPr="001E6A24">
              <w:rPr>
                <w:rFonts w:ascii="Calibri" w:hAnsi="Calibri" w:cs="Calibri"/>
                <w:b w:val="0"/>
                <w:bCs w:val="0"/>
                <w:caps w:val="0"/>
                <w:sz w:val="18"/>
                <w:szCs w:val="18"/>
              </w:rPr>
              <w:t xml:space="preserve">Agency’ </w:t>
            </w:r>
            <w:r w:rsidR="00702832" w:rsidRPr="001E6A24">
              <w:rPr>
                <w:rFonts w:ascii="Calibri" w:hAnsi="Calibri" w:cs="Calibri"/>
                <w:b w:val="0"/>
                <w:bCs w:val="0"/>
                <w:caps w:val="0"/>
                <w:sz w:val="18"/>
                <w:szCs w:val="18"/>
              </w:rPr>
              <w:t xml:space="preserve">for </w:t>
            </w:r>
            <w:r w:rsidRPr="001E6A24">
              <w:rPr>
                <w:rFonts w:ascii="Calibri" w:hAnsi="Calibri" w:cs="Calibri"/>
                <w:b w:val="0"/>
                <w:bCs w:val="0"/>
                <w:caps w:val="0"/>
                <w:sz w:val="18"/>
                <w:szCs w:val="18"/>
              </w:rPr>
              <w:t>burying waste material in landfill which then leaked and contaminated the area and nearby farmland.</w:t>
            </w:r>
            <w:r w:rsidR="00FA7C77">
              <w:rPr>
                <w:rFonts w:ascii="Calibri" w:hAnsi="Calibri" w:cs="Calibri"/>
                <w:b w:val="0"/>
                <w:bCs w:val="0"/>
                <w:caps w:val="0"/>
                <w:sz w:val="18"/>
                <w:szCs w:val="18"/>
              </w:rPr>
              <w:t xml:space="preserve"> </w:t>
            </w:r>
            <w:r w:rsidRPr="001E6A24">
              <w:rPr>
                <w:rFonts w:ascii="Calibri" w:hAnsi="Calibri" w:cs="Calibri"/>
                <w:b w:val="0"/>
                <w:bCs w:val="0"/>
                <w:caps w:val="0"/>
                <w:sz w:val="18"/>
                <w:szCs w:val="18"/>
              </w:rPr>
              <w:t>The GSO provided ‘</w:t>
            </w:r>
            <w:r w:rsidR="00920EA7" w:rsidRPr="001E6A24">
              <w:rPr>
                <w:rFonts w:ascii="Calibri" w:hAnsi="Calibri" w:cs="Calibri"/>
                <w:b w:val="0"/>
                <w:bCs w:val="0"/>
                <w:caps w:val="0"/>
                <w:sz w:val="18"/>
                <w:szCs w:val="18"/>
              </w:rPr>
              <w:t xml:space="preserve">Burley Griffin </w:t>
            </w:r>
            <w:r w:rsidRPr="001E6A24">
              <w:rPr>
                <w:rFonts w:ascii="Calibri" w:hAnsi="Calibri" w:cs="Calibri"/>
                <w:b w:val="0"/>
                <w:bCs w:val="0"/>
                <w:caps w:val="0"/>
                <w:sz w:val="18"/>
                <w:szCs w:val="18"/>
              </w:rPr>
              <w:t>Agency’ with the fair value of the services provided.</w:t>
            </w:r>
            <w:bookmarkEnd w:id="416"/>
            <w:r w:rsidR="00FA7C77">
              <w:rPr>
                <w:rFonts w:cs="Calibri"/>
                <w:sz w:val="18"/>
                <w:szCs w:val="18"/>
              </w:rPr>
              <w:t xml:space="preserve"> </w:t>
            </w:r>
            <w:r w:rsidR="00FA7C77">
              <w:rPr>
                <w:rFonts w:ascii="Calibri" w:hAnsi="Calibri" w:cs="Calibri"/>
                <w:b w:val="0"/>
                <w:bCs w:val="0"/>
                <w:caps w:val="0"/>
                <w:sz w:val="18"/>
                <w:szCs w:val="18"/>
              </w:rPr>
              <w:t xml:space="preserve"> </w:t>
            </w:r>
          </w:p>
        </w:tc>
      </w:tr>
      <w:tr w:rsidR="00797FAC" w:rsidRPr="00CF7E1B" w14:paraId="2476711A"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4940E12D" w14:textId="77777777" w:rsidR="00797FAC" w:rsidRPr="001E6A24" w:rsidRDefault="00797FAC" w:rsidP="00797FAC">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590B6033" w14:textId="4E4C366E" w:rsidR="00797FAC" w:rsidRPr="001E6A24" w:rsidRDefault="00797FAC" w:rsidP="00300197">
            <w:pPr>
              <w:pStyle w:val="Heading1"/>
              <w:numPr>
                <w:ilvl w:val="0"/>
                <w:numId w:val="0"/>
              </w:numPr>
              <w:spacing w:before="120" w:after="0"/>
              <w:jc w:val="both"/>
              <w:rPr>
                <w:rFonts w:ascii="Calibri" w:hAnsi="Calibri" w:cs="Calibri"/>
                <w:b w:val="0"/>
                <w:bCs w:val="0"/>
                <w:caps w:val="0"/>
                <w:sz w:val="18"/>
                <w:szCs w:val="18"/>
              </w:rPr>
            </w:pPr>
            <w:bookmarkStart w:id="417" w:name="_Toc98763090"/>
            <w:r w:rsidRPr="001E6A24">
              <w:rPr>
                <w:rFonts w:ascii="Calibri" w:hAnsi="Calibri" w:cs="Calibri"/>
                <w:b w:val="0"/>
                <w:bCs w:val="0"/>
                <w:i/>
                <w:iCs/>
                <w:caps w:val="0"/>
                <w:sz w:val="18"/>
                <w:szCs w:val="18"/>
              </w:rPr>
              <w:t>Lease Rental Payments</w:t>
            </w:r>
            <w:bookmarkEnd w:id="417"/>
          </w:p>
        </w:tc>
      </w:tr>
      <w:tr w:rsidR="00E22C9D" w:rsidRPr="00CF7E1B" w14:paraId="48404FA1"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6F2E2A20" w14:textId="44DA5E5B" w:rsidR="00E22C9D" w:rsidRPr="001E6A24" w:rsidRDefault="00013591" w:rsidP="00797FAC">
            <w:pPr>
              <w:pStyle w:val="TableReference"/>
              <w:tabs>
                <w:tab w:val="left" w:pos="3306"/>
              </w:tabs>
              <w:rPr>
                <w:rFonts w:cs="Calibri"/>
                <w:b/>
                <w:color w:val="7030A0"/>
                <w:sz w:val="14"/>
              </w:rPr>
            </w:pPr>
            <w:r w:rsidRPr="001E6A24">
              <w:rPr>
                <w:rFonts w:cs="Calibri"/>
                <w:color w:val="7030A0"/>
                <w:sz w:val="14"/>
              </w:rPr>
              <w:t>AASB 16.5(a)&amp;(b)</w:t>
            </w:r>
            <w:r w:rsidR="00702832" w:rsidRPr="001E6A24">
              <w:rPr>
                <w:rFonts w:cs="Calibri"/>
                <w:color w:val="7030A0"/>
                <w:sz w:val="14"/>
              </w:rPr>
              <w:t xml:space="preserve">, </w:t>
            </w:r>
            <w:r w:rsidRPr="001E6A24">
              <w:rPr>
                <w:rFonts w:cs="Calibri"/>
                <w:color w:val="7030A0"/>
                <w:sz w:val="14"/>
              </w:rPr>
              <w:t>B3-B8,B14</w:t>
            </w:r>
          </w:p>
        </w:tc>
        <w:tc>
          <w:tcPr>
            <w:tcW w:w="4255" w:type="pct"/>
            <w:tcBorders>
              <w:top w:val="nil"/>
              <w:left w:val="single" w:sz="2" w:space="0" w:color="auto"/>
              <w:bottom w:val="nil"/>
              <w:right w:val="nil"/>
            </w:tcBorders>
          </w:tcPr>
          <w:p w14:paraId="5912FB52" w14:textId="369B9E4D" w:rsidR="00E22C9D" w:rsidRPr="001E6A24" w:rsidRDefault="00013591" w:rsidP="00300197">
            <w:pPr>
              <w:pStyle w:val="Heading1"/>
              <w:numPr>
                <w:ilvl w:val="0"/>
                <w:numId w:val="0"/>
              </w:numPr>
              <w:spacing w:before="0" w:after="0"/>
              <w:jc w:val="both"/>
              <w:rPr>
                <w:rFonts w:ascii="Calibri" w:hAnsi="Calibri" w:cs="Calibri"/>
                <w:b w:val="0"/>
                <w:bCs w:val="0"/>
                <w:caps w:val="0"/>
                <w:sz w:val="18"/>
                <w:szCs w:val="18"/>
              </w:rPr>
            </w:pPr>
            <w:bookmarkStart w:id="418" w:name="_Toc98763091"/>
            <w:r w:rsidRPr="001E6A24">
              <w:rPr>
                <w:rFonts w:ascii="Calibri" w:hAnsi="Calibri" w:cs="Calibri"/>
                <w:b w:val="0"/>
                <w:bCs w:val="0"/>
                <w:caps w:val="0"/>
                <w:sz w:val="18"/>
                <w:szCs w:val="18"/>
              </w:rPr>
              <w:t>Lease Rental Payments includes short-term leases of 12 months or less and low value leases up to $10,000 as well as non-specialised accommodation leases with Property Group.</w:t>
            </w:r>
            <w:bookmarkEnd w:id="418"/>
          </w:p>
        </w:tc>
      </w:tr>
      <w:tr w:rsidR="00797FAC" w:rsidRPr="00CF7E1B" w14:paraId="3C792476"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280C6B6E" w14:textId="77777777" w:rsidR="00797FAC" w:rsidRPr="001E6A24" w:rsidRDefault="00797FAC" w:rsidP="00797FAC">
            <w:pPr>
              <w:pStyle w:val="TableReference"/>
              <w:tabs>
                <w:tab w:val="left" w:pos="3306"/>
              </w:tabs>
              <w:rPr>
                <w:rFonts w:cs="Calibri"/>
                <w:color w:val="7030A0"/>
                <w:sz w:val="14"/>
              </w:rPr>
            </w:pPr>
          </w:p>
        </w:tc>
        <w:tc>
          <w:tcPr>
            <w:tcW w:w="4255" w:type="pct"/>
            <w:tcBorders>
              <w:top w:val="nil"/>
              <w:left w:val="single" w:sz="2" w:space="0" w:color="auto"/>
              <w:bottom w:val="nil"/>
              <w:right w:val="nil"/>
            </w:tcBorders>
          </w:tcPr>
          <w:p w14:paraId="7F821554" w14:textId="1FF314B8" w:rsidR="00797FAC" w:rsidRPr="001E6A24" w:rsidRDefault="00797FAC" w:rsidP="00300197">
            <w:pPr>
              <w:pStyle w:val="Heading1"/>
              <w:numPr>
                <w:ilvl w:val="0"/>
                <w:numId w:val="0"/>
              </w:numPr>
              <w:spacing w:before="120" w:after="0"/>
              <w:jc w:val="both"/>
              <w:rPr>
                <w:rFonts w:ascii="Calibri" w:hAnsi="Calibri" w:cs="Calibri"/>
                <w:b w:val="0"/>
                <w:bCs w:val="0"/>
                <w:caps w:val="0"/>
                <w:sz w:val="18"/>
                <w:szCs w:val="18"/>
              </w:rPr>
            </w:pPr>
            <w:bookmarkStart w:id="419" w:name="_Toc98763092"/>
            <w:r w:rsidRPr="001E6A24">
              <w:rPr>
                <w:rFonts w:ascii="Calibri" w:hAnsi="Calibri" w:cs="Calibri"/>
                <w:b w:val="0"/>
                <w:bCs w:val="0"/>
                <w:i/>
                <w:iCs/>
                <w:caps w:val="0"/>
                <w:sz w:val="18"/>
                <w:szCs w:val="18"/>
              </w:rPr>
              <w:t>Auditor</w:t>
            </w:r>
            <w:r w:rsidR="00CD62BC" w:rsidRPr="001E6A24">
              <w:rPr>
                <w:rFonts w:ascii="Calibri" w:hAnsi="Calibri" w:cs="Calibri"/>
                <w:b w:val="0"/>
                <w:bCs w:val="0"/>
                <w:i/>
                <w:iCs/>
                <w:caps w:val="0"/>
                <w:sz w:val="18"/>
                <w:szCs w:val="18"/>
              </w:rPr>
              <w:t xml:space="preserve"> Service Fees</w:t>
            </w:r>
            <w:bookmarkEnd w:id="419"/>
          </w:p>
        </w:tc>
      </w:tr>
      <w:tr w:rsidR="00E22C9D" w:rsidRPr="00CF7E1B" w14:paraId="4AC3C9ED"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33D7CD9B" w14:textId="0D714483" w:rsidR="00E22C9D" w:rsidRPr="001E6A24" w:rsidRDefault="00B95D82" w:rsidP="001172AB">
            <w:pPr>
              <w:pStyle w:val="TableReference"/>
              <w:tabs>
                <w:tab w:val="left" w:pos="3306"/>
              </w:tabs>
              <w:spacing w:before="120"/>
              <w:rPr>
                <w:rFonts w:cs="Calibri"/>
                <w:b/>
                <w:color w:val="7030A0"/>
                <w:sz w:val="14"/>
              </w:rPr>
            </w:pPr>
            <w:r w:rsidRPr="001E6A24">
              <w:rPr>
                <w:rFonts w:cs="Calibri"/>
                <w:color w:val="7030A0"/>
                <w:sz w:val="14"/>
              </w:rPr>
              <w:t>AASB 1054.10</w:t>
            </w:r>
            <w:r w:rsidR="005C197A" w:rsidRPr="001E6A24">
              <w:rPr>
                <w:rFonts w:cs="Calibri"/>
                <w:color w:val="7030A0"/>
                <w:sz w:val="14"/>
              </w:rPr>
              <w:t xml:space="preserve"> (a) &amp;</w:t>
            </w:r>
            <w:r w:rsidRPr="001E6A24">
              <w:rPr>
                <w:rFonts w:cs="Calibri"/>
                <w:color w:val="7030A0"/>
                <w:sz w:val="14"/>
              </w:rPr>
              <w:t>(b)</w:t>
            </w:r>
          </w:p>
        </w:tc>
        <w:tc>
          <w:tcPr>
            <w:tcW w:w="4255" w:type="pct"/>
            <w:tcBorders>
              <w:top w:val="nil"/>
              <w:left w:val="single" w:sz="2" w:space="0" w:color="auto"/>
              <w:bottom w:val="nil"/>
              <w:right w:val="nil"/>
            </w:tcBorders>
          </w:tcPr>
          <w:p w14:paraId="78F7855A" w14:textId="716A68A5" w:rsidR="00B95D82" w:rsidRPr="001E6A24" w:rsidRDefault="00BF1186" w:rsidP="00B7657E">
            <w:pPr>
              <w:jc w:val="both"/>
              <w:rPr>
                <w:sz w:val="18"/>
                <w:szCs w:val="18"/>
              </w:rPr>
            </w:pPr>
            <w:r w:rsidRPr="001E6A24">
              <w:rPr>
                <w:sz w:val="18"/>
                <w:szCs w:val="18"/>
              </w:rPr>
              <w:t xml:space="preserve">Audit Fees are included in the Contractors and Consultants line item below. </w:t>
            </w:r>
            <w:r w:rsidR="009F1BEA" w:rsidRPr="001E6A24">
              <w:rPr>
                <w:sz w:val="18"/>
                <w:szCs w:val="18"/>
              </w:rPr>
              <w:t>Auditor’s remuneration consists of financial audit services provided to the Agency by the ACT Audit Office and any other services provided by a contract auditor engaged by the ACT Audit Office to conduct the financial audit.</w:t>
            </w:r>
            <w:r w:rsidR="00FA7C77">
              <w:rPr>
                <w:sz w:val="18"/>
                <w:szCs w:val="18"/>
              </w:rPr>
              <w:t xml:space="preserve"> </w:t>
            </w:r>
            <w:r w:rsidR="004F2D2D" w:rsidRPr="001E6A24">
              <w:rPr>
                <w:sz w:val="18"/>
                <w:szCs w:val="18"/>
              </w:rPr>
              <w:t>‘</w:t>
            </w:r>
            <w:r w:rsidRPr="001E6A24">
              <w:rPr>
                <w:sz w:val="18"/>
                <w:szCs w:val="18"/>
              </w:rPr>
              <w:t>Burley Griffin Agency’s</w:t>
            </w:r>
            <w:r w:rsidR="004F2D2D" w:rsidRPr="001E6A24">
              <w:rPr>
                <w:sz w:val="18"/>
                <w:szCs w:val="18"/>
              </w:rPr>
              <w:t>’</w:t>
            </w:r>
            <w:r w:rsidRPr="001E6A24">
              <w:rPr>
                <w:sz w:val="18"/>
                <w:szCs w:val="18"/>
              </w:rPr>
              <w:t xml:space="preserve"> audit fees for the audit of its 2021-22 financial statements was $xxx ($</w:t>
            </w:r>
            <w:r w:rsidR="00436BDE">
              <w:rPr>
                <w:sz w:val="18"/>
                <w:szCs w:val="18"/>
              </w:rPr>
              <w:t>xxx</w:t>
            </w:r>
            <w:r w:rsidRPr="001E6A24">
              <w:rPr>
                <w:sz w:val="18"/>
                <w:szCs w:val="18"/>
              </w:rPr>
              <w:t xml:space="preserve"> 2020-21). </w:t>
            </w:r>
            <w:r w:rsidR="00B95D82" w:rsidRPr="001E6A24">
              <w:rPr>
                <w:sz w:val="18"/>
                <w:szCs w:val="18"/>
              </w:rPr>
              <w:t xml:space="preserve">No other services were provided by the ACT </w:t>
            </w:r>
            <w:r w:rsidR="00173796">
              <w:rPr>
                <w:sz w:val="18"/>
                <w:szCs w:val="18"/>
              </w:rPr>
              <w:t>Audit Office</w:t>
            </w:r>
            <w:r w:rsidR="00B95D82" w:rsidRPr="001E6A24">
              <w:rPr>
                <w:sz w:val="18"/>
                <w:szCs w:val="18"/>
              </w:rPr>
              <w:t>.</w:t>
            </w:r>
          </w:p>
        </w:tc>
      </w:tr>
      <w:tr w:rsidR="00E22C9D" w:rsidRPr="00CF7E1B" w14:paraId="08880EA0"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39"/>
        </w:trPr>
        <w:tc>
          <w:tcPr>
            <w:tcW w:w="745" w:type="pct"/>
            <w:tcBorders>
              <w:top w:val="nil"/>
              <w:left w:val="single" w:sz="2" w:space="0" w:color="auto"/>
              <w:bottom w:val="nil"/>
              <w:right w:val="single" w:sz="2" w:space="0" w:color="auto"/>
            </w:tcBorders>
          </w:tcPr>
          <w:p w14:paraId="2C04BD8B" w14:textId="77777777" w:rsidR="00E22C9D" w:rsidRPr="001E6A24" w:rsidRDefault="00E22C9D" w:rsidP="00E22C9D">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4CE85815" w14:textId="4616D299" w:rsidR="00E22C9D" w:rsidRPr="001E6A24" w:rsidRDefault="00E22C9D" w:rsidP="00300197">
            <w:pPr>
              <w:pStyle w:val="Heading1"/>
              <w:numPr>
                <w:ilvl w:val="0"/>
                <w:numId w:val="0"/>
              </w:numPr>
              <w:spacing w:before="120" w:after="0"/>
              <w:jc w:val="both"/>
              <w:rPr>
                <w:rFonts w:cs="Arial"/>
                <w:bCs w:val="0"/>
                <w:i/>
                <w:iCs/>
                <w:caps w:val="0"/>
                <w:smallCaps/>
                <w:sz w:val="18"/>
                <w:szCs w:val="18"/>
              </w:rPr>
            </w:pPr>
            <w:bookmarkStart w:id="420" w:name="_Toc98763093"/>
            <w:r w:rsidRPr="001E6A24">
              <w:rPr>
                <w:rFonts w:ascii="Calibri" w:hAnsi="Calibri" w:cs="Calibri"/>
                <w:b w:val="0"/>
                <w:bCs w:val="0"/>
                <w:i/>
                <w:iCs/>
                <w:caps w:val="0"/>
                <w:sz w:val="18"/>
                <w:szCs w:val="18"/>
              </w:rPr>
              <w:t>Insurance</w:t>
            </w:r>
            <w:bookmarkEnd w:id="420"/>
          </w:p>
        </w:tc>
      </w:tr>
      <w:tr w:rsidR="00E22C9D" w:rsidRPr="00CF7E1B" w14:paraId="4315900E"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3A7F3F02" w14:textId="1E8A2981" w:rsidR="00E22C9D" w:rsidRPr="001E6A24" w:rsidRDefault="00702832" w:rsidP="00702832">
            <w:pPr>
              <w:pStyle w:val="TableReference"/>
              <w:tabs>
                <w:tab w:val="left" w:pos="3306"/>
              </w:tabs>
              <w:rPr>
                <w:rFonts w:cs="Calibri"/>
                <w:b/>
                <w:color w:val="7030A0"/>
                <w:sz w:val="14"/>
              </w:rPr>
            </w:pPr>
            <w:r w:rsidRPr="001E6A24">
              <w:rPr>
                <w:color w:val="7030A0"/>
                <w:sz w:val="14"/>
              </w:rPr>
              <w:t>AASB 16.5(a)&amp;(b) &amp;B3-B8;</w:t>
            </w:r>
          </w:p>
        </w:tc>
        <w:tc>
          <w:tcPr>
            <w:tcW w:w="4255" w:type="pct"/>
            <w:tcBorders>
              <w:top w:val="nil"/>
              <w:left w:val="single" w:sz="2" w:space="0" w:color="auto"/>
              <w:bottom w:val="nil"/>
              <w:right w:val="nil"/>
            </w:tcBorders>
          </w:tcPr>
          <w:p w14:paraId="3EA10A51" w14:textId="4110614B" w:rsidR="00E22C9D" w:rsidRPr="001E6A24" w:rsidRDefault="00E22C9D" w:rsidP="00300197">
            <w:pPr>
              <w:jc w:val="both"/>
              <w:rPr>
                <w:rFonts w:cs="Calibri"/>
                <w:sz w:val="18"/>
                <w:szCs w:val="18"/>
              </w:rPr>
            </w:pPr>
            <w:r w:rsidRPr="001E6A24">
              <w:rPr>
                <w:rFonts w:cs="Calibri"/>
                <w:sz w:val="18"/>
                <w:szCs w:val="18"/>
              </w:rPr>
              <w:t>Major risks are insured through the ACT Insurance Authority.</w:t>
            </w:r>
            <w:r w:rsidR="00FA7C77">
              <w:rPr>
                <w:rFonts w:cs="Calibri"/>
                <w:sz w:val="18"/>
                <w:szCs w:val="18"/>
              </w:rPr>
              <w:t xml:space="preserve"> </w:t>
            </w:r>
            <w:r w:rsidRPr="001E6A24">
              <w:rPr>
                <w:rFonts w:cs="Calibri"/>
                <w:sz w:val="18"/>
                <w:szCs w:val="18"/>
              </w:rPr>
              <w:t>The excess payable, under this arrangement, varies depending on each class of insurance held.</w:t>
            </w:r>
          </w:p>
        </w:tc>
      </w:tr>
      <w:tr w:rsidR="00E22C9D" w:rsidRPr="00CF7E1B" w14:paraId="61985719"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77"/>
        </w:trPr>
        <w:tc>
          <w:tcPr>
            <w:tcW w:w="745" w:type="pct"/>
            <w:tcBorders>
              <w:top w:val="nil"/>
              <w:left w:val="single" w:sz="2" w:space="0" w:color="auto"/>
              <w:bottom w:val="nil"/>
              <w:right w:val="single" w:sz="2" w:space="0" w:color="auto"/>
            </w:tcBorders>
          </w:tcPr>
          <w:p w14:paraId="49A42C61" w14:textId="77777777" w:rsidR="00E22C9D" w:rsidRPr="001E6A24" w:rsidRDefault="00E22C9D" w:rsidP="00E22C9D">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3A476FC9" w14:textId="743D3BDF" w:rsidR="00E22C9D" w:rsidRPr="001E6A24" w:rsidRDefault="00E22C9D" w:rsidP="00300197">
            <w:pPr>
              <w:pStyle w:val="Appxhead3"/>
              <w:spacing w:after="0"/>
              <w:jc w:val="both"/>
            </w:pPr>
            <w:r w:rsidRPr="001E6A24">
              <w:rPr>
                <w:rFonts w:ascii="Calibri" w:hAnsi="Calibri" w:cs="Calibri"/>
                <w:b w:val="0"/>
                <w:i/>
                <w:iCs/>
                <w:smallCaps w:val="0"/>
                <w:sz w:val="18"/>
                <w:szCs w:val="18"/>
              </w:rPr>
              <w:t>Repairs and Maintenance</w:t>
            </w:r>
          </w:p>
        </w:tc>
      </w:tr>
      <w:tr w:rsidR="00E22C9D" w:rsidRPr="00CF7E1B" w14:paraId="61E17682" w14:textId="77777777" w:rsidTr="002F4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9"/>
        </w:trPr>
        <w:tc>
          <w:tcPr>
            <w:tcW w:w="745" w:type="pct"/>
            <w:tcBorders>
              <w:top w:val="nil"/>
              <w:left w:val="single" w:sz="2" w:space="0" w:color="auto"/>
              <w:bottom w:val="nil"/>
              <w:right w:val="single" w:sz="2" w:space="0" w:color="auto"/>
            </w:tcBorders>
          </w:tcPr>
          <w:p w14:paraId="6BF03E1D" w14:textId="77777777" w:rsidR="00E22C9D" w:rsidRPr="001E6A24" w:rsidRDefault="00E22C9D" w:rsidP="00E22C9D">
            <w:pPr>
              <w:pStyle w:val="TableReference"/>
              <w:tabs>
                <w:tab w:val="left" w:pos="3306"/>
              </w:tabs>
              <w:rPr>
                <w:rFonts w:cs="Calibri"/>
                <w:b/>
                <w:color w:val="7030A0"/>
                <w:sz w:val="20"/>
                <w:szCs w:val="20"/>
              </w:rPr>
            </w:pPr>
          </w:p>
        </w:tc>
        <w:tc>
          <w:tcPr>
            <w:tcW w:w="4255" w:type="pct"/>
            <w:tcBorders>
              <w:top w:val="nil"/>
              <w:left w:val="single" w:sz="2" w:space="0" w:color="auto"/>
              <w:bottom w:val="nil"/>
              <w:right w:val="nil"/>
            </w:tcBorders>
          </w:tcPr>
          <w:p w14:paraId="7A8BD7C4" w14:textId="47E8DB99" w:rsidR="00E7007E" w:rsidRPr="001E6A24" w:rsidRDefault="00E22C9D" w:rsidP="00300197">
            <w:pPr>
              <w:jc w:val="both"/>
              <w:rPr>
                <w:rFonts w:cs="Calibri"/>
                <w:sz w:val="18"/>
                <w:szCs w:val="18"/>
              </w:rPr>
            </w:pPr>
            <w:r w:rsidRPr="001E6A24">
              <w:rPr>
                <w:rFonts w:cs="Calibri"/>
                <w:sz w:val="18"/>
                <w:szCs w:val="18"/>
              </w:rPr>
              <w:t>Maintenance expenses, which do not increase the service potential of an asset, are expensed.</w:t>
            </w:r>
          </w:p>
        </w:tc>
      </w:tr>
      <w:bookmarkEnd w:id="401"/>
    </w:tbl>
    <w:p w14:paraId="7B07577E" w14:textId="77777777" w:rsidR="006C7C66" w:rsidRDefault="006C7C66">
      <w:r>
        <w:rPr>
          <w:b/>
          <w:bCs/>
        </w:rPr>
        <w:br w:type="page"/>
      </w:r>
    </w:p>
    <w:tbl>
      <w:tblPr>
        <w:tblW w:w="512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5674"/>
        <w:gridCol w:w="254"/>
        <w:gridCol w:w="1272"/>
        <w:gridCol w:w="311"/>
        <w:gridCol w:w="1419"/>
      </w:tblGrid>
      <w:tr w:rsidR="006C7C66" w:rsidRPr="00CF7E1B" w14:paraId="1A8EDBBD" w14:textId="77777777" w:rsidTr="002F4A89">
        <w:trPr>
          <w:trHeight w:val="377"/>
        </w:trPr>
        <w:tc>
          <w:tcPr>
            <w:tcW w:w="746" w:type="pct"/>
            <w:tcBorders>
              <w:top w:val="nil"/>
              <w:left w:val="single" w:sz="2" w:space="0" w:color="auto"/>
              <w:bottom w:val="nil"/>
              <w:right w:val="single" w:sz="2" w:space="0" w:color="auto"/>
            </w:tcBorders>
          </w:tcPr>
          <w:p w14:paraId="0A8A37DC" w14:textId="77777777" w:rsidR="006C7C66" w:rsidRPr="001E6A24" w:rsidRDefault="006C7C66" w:rsidP="00DA5473">
            <w:pPr>
              <w:pStyle w:val="TableReference"/>
              <w:tabs>
                <w:tab w:val="left" w:pos="3306"/>
              </w:tabs>
              <w:spacing w:before="240" w:after="240"/>
              <w:rPr>
                <w:rFonts w:cs="Calibri"/>
                <w:b/>
                <w:color w:val="7030A0"/>
                <w:sz w:val="22"/>
                <w:szCs w:val="22"/>
              </w:rPr>
            </w:pPr>
            <w:r w:rsidRPr="001E6A24">
              <w:rPr>
                <w:rFonts w:cs="Calibri"/>
                <w:b/>
                <w:color w:val="7030A0"/>
                <w:sz w:val="22"/>
                <w:szCs w:val="22"/>
              </w:rPr>
              <w:t>Reference</w:t>
            </w:r>
          </w:p>
        </w:tc>
        <w:tc>
          <w:tcPr>
            <w:tcW w:w="4254" w:type="pct"/>
            <w:gridSpan w:val="5"/>
            <w:tcBorders>
              <w:top w:val="nil"/>
              <w:left w:val="single" w:sz="2" w:space="0" w:color="auto"/>
              <w:bottom w:val="nil"/>
              <w:right w:val="nil"/>
            </w:tcBorders>
          </w:tcPr>
          <w:p w14:paraId="738D9B61" w14:textId="44FBAA93" w:rsidR="006C7C66" w:rsidRPr="00CF7E1B" w:rsidRDefault="006C7C66" w:rsidP="00DA5473">
            <w:pPr>
              <w:pStyle w:val="Heading1"/>
              <w:numPr>
                <w:ilvl w:val="0"/>
                <w:numId w:val="0"/>
              </w:numPr>
            </w:pPr>
            <w:bookmarkStart w:id="421" w:name="_Toc98763094"/>
            <w:r w:rsidRPr="001E6A24">
              <w:t>Note 11</w:t>
            </w:r>
            <w:r>
              <w:t xml:space="preserve">.  </w:t>
            </w:r>
            <w:r w:rsidRPr="00CF7E1B">
              <w:t xml:space="preserve">Supplies and Services </w:t>
            </w:r>
            <w:r>
              <w:t>– Continued</w:t>
            </w:r>
            <w:bookmarkEnd w:id="421"/>
            <w:r>
              <w:t xml:space="preserve"> </w:t>
            </w:r>
          </w:p>
        </w:tc>
      </w:tr>
      <w:tr w:rsidR="000144FF" w:rsidRPr="00CF7E1B" w14:paraId="1959B474" w14:textId="77777777" w:rsidTr="002F4A89">
        <w:trPr>
          <w:trHeight w:val="23"/>
        </w:trPr>
        <w:tc>
          <w:tcPr>
            <w:tcW w:w="746" w:type="pct"/>
            <w:tcBorders>
              <w:top w:val="nil"/>
              <w:left w:val="single" w:sz="2" w:space="0" w:color="auto"/>
              <w:bottom w:val="nil"/>
              <w:right w:val="single" w:sz="2" w:space="0" w:color="auto"/>
            </w:tcBorders>
          </w:tcPr>
          <w:p w14:paraId="01BE11DA" w14:textId="52394B37" w:rsidR="000144FF" w:rsidRPr="001E6A24" w:rsidRDefault="000144FF">
            <w:pPr>
              <w:pStyle w:val="TableTitle"/>
              <w:tabs>
                <w:tab w:val="left" w:pos="3306"/>
              </w:tabs>
              <w:spacing w:before="40"/>
              <w:jc w:val="left"/>
              <w:rPr>
                <w:rFonts w:cs="Calibri"/>
                <w:color w:val="7030A0"/>
                <w:sz w:val="16"/>
                <w:szCs w:val="16"/>
              </w:rPr>
            </w:pPr>
          </w:p>
        </w:tc>
        <w:tc>
          <w:tcPr>
            <w:tcW w:w="2824" w:type="pct"/>
            <w:gridSpan w:val="2"/>
            <w:tcBorders>
              <w:top w:val="nil"/>
              <w:left w:val="single" w:sz="2" w:space="0" w:color="auto"/>
              <w:bottom w:val="nil"/>
              <w:right w:val="nil"/>
            </w:tcBorders>
            <w:vAlign w:val="bottom"/>
          </w:tcPr>
          <w:p w14:paraId="73BF8FDD" w14:textId="77777777" w:rsidR="000144FF" w:rsidRPr="001E6A24" w:rsidRDefault="000144FF">
            <w:pPr>
              <w:pStyle w:val="TableTitle"/>
              <w:tabs>
                <w:tab w:val="left" w:pos="3306"/>
              </w:tabs>
              <w:rPr>
                <w:rFonts w:cs="Calibri"/>
              </w:rPr>
            </w:pPr>
          </w:p>
        </w:tc>
        <w:tc>
          <w:tcPr>
            <w:tcW w:w="754" w:type="pct"/>
            <w:gridSpan w:val="2"/>
            <w:tcBorders>
              <w:top w:val="nil"/>
              <w:left w:val="nil"/>
              <w:bottom w:val="nil"/>
              <w:right w:val="nil"/>
            </w:tcBorders>
            <w:vAlign w:val="bottom"/>
          </w:tcPr>
          <w:p w14:paraId="16FF0FEB" w14:textId="23EBBAD6" w:rsidR="000144FF" w:rsidRPr="001E6A24" w:rsidRDefault="00661AF6">
            <w:pPr>
              <w:pStyle w:val="TableTitle"/>
              <w:tabs>
                <w:tab w:val="left" w:pos="3306"/>
              </w:tabs>
              <w:rPr>
                <w:rFonts w:cs="Calibri"/>
              </w:rPr>
            </w:pPr>
            <w:r w:rsidRPr="001E6A24">
              <w:rPr>
                <w:rFonts w:cs="Calibri"/>
              </w:rPr>
              <w:t>2022</w:t>
            </w:r>
          </w:p>
          <w:p w14:paraId="521273E0" w14:textId="77777777" w:rsidR="000144FF" w:rsidRPr="001E6A24" w:rsidRDefault="000144FF">
            <w:pPr>
              <w:pStyle w:val="TableTitle"/>
              <w:tabs>
                <w:tab w:val="left" w:pos="3306"/>
              </w:tabs>
              <w:rPr>
                <w:rFonts w:cs="Calibri"/>
              </w:rPr>
            </w:pPr>
            <w:r w:rsidRPr="001E6A24">
              <w:rPr>
                <w:rFonts w:cs="Calibri"/>
              </w:rPr>
              <w:t>$’000</w:t>
            </w:r>
          </w:p>
        </w:tc>
        <w:tc>
          <w:tcPr>
            <w:tcW w:w="676" w:type="pct"/>
            <w:tcBorders>
              <w:top w:val="nil"/>
              <w:left w:val="nil"/>
              <w:bottom w:val="nil"/>
              <w:right w:val="nil"/>
            </w:tcBorders>
            <w:vAlign w:val="bottom"/>
          </w:tcPr>
          <w:p w14:paraId="28F4397C" w14:textId="0B3DF7E7" w:rsidR="000144FF" w:rsidRPr="001E6A24" w:rsidRDefault="00AB4981">
            <w:pPr>
              <w:pStyle w:val="TableTitle"/>
              <w:tabs>
                <w:tab w:val="left" w:pos="3306"/>
              </w:tabs>
              <w:rPr>
                <w:rFonts w:cs="Calibri"/>
              </w:rPr>
            </w:pPr>
            <w:r w:rsidRPr="001E6A24">
              <w:rPr>
                <w:rFonts w:cs="Calibri"/>
              </w:rPr>
              <w:t>2021</w:t>
            </w:r>
          </w:p>
          <w:p w14:paraId="3C4E0D1C" w14:textId="77777777" w:rsidR="000144FF" w:rsidRPr="001E6A24" w:rsidRDefault="000144FF">
            <w:pPr>
              <w:pStyle w:val="TableTitle"/>
              <w:tabs>
                <w:tab w:val="left" w:pos="3306"/>
              </w:tabs>
              <w:rPr>
                <w:rFonts w:cs="Calibri"/>
              </w:rPr>
            </w:pPr>
            <w:r w:rsidRPr="001E6A24">
              <w:rPr>
                <w:rFonts w:cs="Calibri"/>
              </w:rPr>
              <w:t>$’000</w:t>
            </w:r>
          </w:p>
        </w:tc>
      </w:tr>
      <w:tr w:rsidR="000144FF" w:rsidRPr="00CF7E1B" w14:paraId="3FEB1BC9" w14:textId="77777777" w:rsidTr="002F4A89">
        <w:trPr>
          <w:trHeight w:val="23"/>
        </w:trPr>
        <w:tc>
          <w:tcPr>
            <w:tcW w:w="746" w:type="pct"/>
            <w:tcBorders>
              <w:top w:val="nil"/>
              <w:left w:val="single" w:sz="2" w:space="0" w:color="auto"/>
              <w:bottom w:val="nil"/>
              <w:right w:val="single" w:sz="2" w:space="0" w:color="auto"/>
            </w:tcBorders>
          </w:tcPr>
          <w:p w14:paraId="134ED368" w14:textId="210D6343" w:rsidR="000144FF" w:rsidRPr="001E6A24" w:rsidRDefault="0008124A">
            <w:pPr>
              <w:pStyle w:val="TableReference"/>
              <w:tabs>
                <w:tab w:val="left" w:pos="3306"/>
              </w:tabs>
              <w:spacing w:before="40"/>
              <w:rPr>
                <w:rFonts w:cs="Calibri"/>
                <w:color w:val="7030A0"/>
                <w:sz w:val="14"/>
              </w:rPr>
            </w:pPr>
            <w:r w:rsidRPr="001E6A24">
              <w:rPr>
                <w:rFonts w:cs="Calibri"/>
                <w:color w:val="7030A0"/>
                <w:sz w:val="14"/>
              </w:rPr>
              <w:t>AASB 16.53(c)&amp;(d)</w:t>
            </w:r>
          </w:p>
        </w:tc>
        <w:tc>
          <w:tcPr>
            <w:tcW w:w="2824" w:type="pct"/>
            <w:gridSpan w:val="2"/>
            <w:tcBorders>
              <w:top w:val="nil"/>
              <w:left w:val="single" w:sz="2" w:space="0" w:color="auto"/>
              <w:bottom w:val="nil"/>
              <w:right w:val="nil"/>
            </w:tcBorders>
            <w:vAlign w:val="bottom"/>
          </w:tcPr>
          <w:p w14:paraId="5210FBA5" w14:textId="77777777" w:rsidR="000144FF" w:rsidRPr="001E6A24" w:rsidRDefault="000144FF">
            <w:pPr>
              <w:pStyle w:val="TableText"/>
              <w:tabs>
                <w:tab w:val="left" w:pos="3306"/>
              </w:tabs>
              <w:rPr>
                <w:rFonts w:cs="Calibri"/>
              </w:rPr>
            </w:pPr>
            <w:r w:rsidRPr="001E6A24">
              <w:rPr>
                <w:rFonts w:cs="Calibri"/>
              </w:rPr>
              <w:t xml:space="preserve">Legal Expenses </w:t>
            </w:r>
            <w:r w:rsidRPr="001E6A24">
              <w:rPr>
                <w:rFonts w:cs="Calibri"/>
                <w:vertAlign w:val="superscript"/>
              </w:rPr>
              <w:t>a</w:t>
            </w:r>
          </w:p>
        </w:tc>
        <w:tc>
          <w:tcPr>
            <w:tcW w:w="754" w:type="pct"/>
            <w:gridSpan w:val="2"/>
            <w:tcBorders>
              <w:top w:val="nil"/>
              <w:left w:val="nil"/>
              <w:bottom w:val="nil"/>
              <w:right w:val="nil"/>
            </w:tcBorders>
            <w:vAlign w:val="bottom"/>
          </w:tcPr>
          <w:p w14:paraId="7092D1FD" w14:textId="7D6F5C1B"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4B8ECA13" w14:textId="3A80E21E" w:rsidR="000144FF" w:rsidRPr="001E6A24" w:rsidRDefault="000144FF">
            <w:pPr>
              <w:pStyle w:val="TableText"/>
              <w:tabs>
                <w:tab w:val="left" w:pos="3306"/>
              </w:tabs>
              <w:jc w:val="right"/>
              <w:rPr>
                <w:rFonts w:cs="Calibri"/>
              </w:rPr>
            </w:pPr>
          </w:p>
        </w:tc>
      </w:tr>
      <w:tr w:rsidR="000144FF" w:rsidRPr="00CF7E1B" w14:paraId="19EA4230" w14:textId="77777777" w:rsidTr="002F4A89">
        <w:trPr>
          <w:trHeight w:val="23"/>
        </w:trPr>
        <w:tc>
          <w:tcPr>
            <w:tcW w:w="746" w:type="pct"/>
            <w:tcBorders>
              <w:top w:val="nil"/>
              <w:left w:val="single" w:sz="2" w:space="0" w:color="auto"/>
              <w:bottom w:val="nil"/>
              <w:right w:val="single" w:sz="2" w:space="0" w:color="auto"/>
            </w:tcBorders>
          </w:tcPr>
          <w:p w14:paraId="3995C28A"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154FDC7" w14:textId="77777777" w:rsidR="000144FF" w:rsidRPr="001E6A24" w:rsidRDefault="000144FF">
            <w:pPr>
              <w:pStyle w:val="TableText"/>
              <w:tabs>
                <w:tab w:val="left" w:pos="3306"/>
              </w:tabs>
              <w:rPr>
                <w:rFonts w:cs="Calibri"/>
              </w:rPr>
            </w:pPr>
            <w:r w:rsidRPr="001E6A24">
              <w:rPr>
                <w:rFonts w:cs="Calibri"/>
              </w:rPr>
              <w:t xml:space="preserve">Contractors and Consultants </w:t>
            </w:r>
            <w:r w:rsidRPr="001E6A24">
              <w:rPr>
                <w:rFonts w:cs="Calibri"/>
                <w:vertAlign w:val="superscript"/>
              </w:rPr>
              <w:t>b</w:t>
            </w:r>
            <w:r w:rsidRPr="001E6A24">
              <w:rPr>
                <w:rFonts w:cs="Calibri"/>
              </w:rPr>
              <w:t xml:space="preserve"> </w:t>
            </w:r>
          </w:p>
        </w:tc>
        <w:tc>
          <w:tcPr>
            <w:tcW w:w="754" w:type="pct"/>
            <w:gridSpan w:val="2"/>
            <w:tcBorders>
              <w:top w:val="nil"/>
              <w:left w:val="nil"/>
              <w:bottom w:val="nil"/>
              <w:right w:val="nil"/>
            </w:tcBorders>
            <w:vAlign w:val="bottom"/>
          </w:tcPr>
          <w:p w14:paraId="7498865E" w14:textId="4EFD414A"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1A67C481" w14:textId="342D7564" w:rsidR="000144FF" w:rsidRPr="001E6A24" w:rsidRDefault="000144FF">
            <w:pPr>
              <w:pStyle w:val="TableText"/>
              <w:tabs>
                <w:tab w:val="left" w:pos="3306"/>
              </w:tabs>
              <w:jc w:val="right"/>
              <w:rPr>
                <w:rFonts w:cs="Calibri"/>
              </w:rPr>
            </w:pPr>
          </w:p>
        </w:tc>
      </w:tr>
      <w:tr w:rsidR="000144FF" w:rsidRPr="00CF7E1B" w14:paraId="08D5D7FF" w14:textId="77777777" w:rsidTr="002F4A89">
        <w:trPr>
          <w:trHeight w:val="23"/>
        </w:trPr>
        <w:tc>
          <w:tcPr>
            <w:tcW w:w="746" w:type="pct"/>
            <w:tcBorders>
              <w:top w:val="nil"/>
              <w:left w:val="single" w:sz="2" w:space="0" w:color="auto"/>
              <w:bottom w:val="nil"/>
              <w:right w:val="single" w:sz="2" w:space="0" w:color="auto"/>
            </w:tcBorders>
          </w:tcPr>
          <w:p w14:paraId="4AF9DD31"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EA76BA7" w14:textId="77777777" w:rsidR="000144FF" w:rsidRPr="001E6A24" w:rsidRDefault="000144FF">
            <w:pPr>
              <w:pStyle w:val="TableText"/>
              <w:tabs>
                <w:tab w:val="left" w:pos="3306"/>
              </w:tabs>
              <w:rPr>
                <w:rFonts w:cs="Calibri"/>
              </w:rPr>
            </w:pPr>
            <w:r w:rsidRPr="001E6A24">
              <w:rPr>
                <w:rFonts w:cs="Calibri"/>
              </w:rPr>
              <w:t xml:space="preserve">Consumable Stores and Supplies </w:t>
            </w:r>
            <w:r w:rsidRPr="001E6A24">
              <w:rPr>
                <w:rFonts w:cs="Calibri"/>
                <w:vertAlign w:val="superscript"/>
              </w:rPr>
              <w:t>c</w:t>
            </w:r>
          </w:p>
        </w:tc>
        <w:tc>
          <w:tcPr>
            <w:tcW w:w="754" w:type="pct"/>
            <w:gridSpan w:val="2"/>
            <w:tcBorders>
              <w:top w:val="nil"/>
              <w:left w:val="nil"/>
              <w:bottom w:val="nil"/>
              <w:right w:val="nil"/>
            </w:tcBorders>
            <w:vAlign w:val="bottom"/>
          </w:tcPr>
          <w:p w14:paraId="27D9D11E" w14:textId="7BDCF48F"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6A3831A8" w14:textId="64BE840E" w:rsidR="000144FF" w:rsidRPr="001E6A24" w:rsidRDefault="000144FF">
            <w:pPr>
              <w:pStyle w:val="TableText"/>
              <w:tabs>
                <w:tab w:val="left" w:pos="3306"/>
              </w:tabs>
              <w:jc w:val="right"/>
              <w:rPr>
                <w:rFonts w:cs="Calibri"/>
              </w:rPr>
            </w:pPr>
          </w:p>
        </w:tc>
      </w:tr>
      <w:tr w:rsidR="000144FF" w:rsidRPr="00CF7E1B" w14:paraId="41733E4F" w14:textId="77777777" w:rsidTr="002F4A89">
        <w:trPr>
          <w:trHeight w:val="23"/>
        </w:trPr>
        <w:tc>
          <w:tcPr>
            <w:tcW w:w="746" w:type="pct"/>
            <w:tcBorders>
              <w:top w:val="nil"/>
              <w:left w:val="single" w:sz="2" w:space="0" w:color="auto"/>
              <w:bottom w:val="nil"/>
              <w:right w:val="single" w:sz="2" w:space="0" w:color="auto"/>
            </w:tcBorders>
          </w:tcPr>
          <w:p w14:paraId="0ECBFC93"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2A549F3" w14:textId="77777777" w:rsidR="000144FF" w:rsidRPr="001E6A24" w:rsidRDefault="000144FF">
            <w:pPr>
              <w:pStyle w:val="TableText"/>
              <w:tabs>
                <w:tab w:val="left" w:pos="3306"/>
              </w:tabs>
              <w:rPr>
                <w:rFonts w:cs="Calibri"/>
              </w:rPr>
            </w:pPr>
            <w:r w:rsidRPr="001E6A24">
              <w:rPr>
                <w:rFonts w:cs="Calibri"/>
              </w:rPr>
              <w:t>Valuation Services</w:t>
            </w:r>
          </w:p>
        </w:tc>
        <w:tc>
          <w:tcPr>
            <w:tcW w:w="754" w:type="pct"/>
            <w:gridSpan w:val="2"/>
            <w:tcBorders>
              <w:top w:val="nil"/>
              <w:left w:val="nil"/>
              <w:bottom w:val="nil"/>
              <w:right w:val="nil"/>
            </w:tcBorders>
            <w:vAlign w:val="bottom"/>
          </w:tcPr>
          <w:p w14:paraId="5A12D21B" w14:textId="7EA51E0E"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1F13460E" w14:textId="669F0C3B" w:rsidR="000144FF" w:rsidRPr="001E6A24" w:rsidRDefault="000144FF">
            <w:pPr>
              <w:pStyle w:val="TableText"/>
              <w:tabs>
                <w:tab w:val="left" w:pos="3306"/>
              </w:tabs>
              <w:jc w:val="right"/>
              <w:rPr>
                <w:rFonts w:cs="Calibri"/>
              </w:rPr>
            </w:pPr>
          </w:p>
        </w:tc>
      </w:tr>
      <w:tr w:rsidR="000144FF" w:rsidRPr="00CF7E1B" w14:paraId="042A6789" w14:textId="77777777" w:rsidTr="002F4A89">
        <w:trPr>
          <w:trHeight w:val="23"/>
        </w:trPr>
        <w:tc>
          <w:tcPr>
            <w:tcW w:w="746" w:type="pct"/>
            <w:tcBorders>
              <w:top w:val="nil"/>
              <w:left w:val="single" w:sz="2" w:space="0" w:color="auto"/>
              <w:bottom w:val="nil"/>
              <w:right w:val="single" w:sz="2" w:space="0" w:color="auto"/>
            </w:tcBorders>
          </w:tcPr>
          <w:p w14:paraId="7D2A3184"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56BA8678" w14:textId="77777777" w:rsidR="000144FF" w:rsidRPr="001E6A24" w:rsidRDefault="000144FF">
            <w:pPr>
              <w:pStyle w:val="TableText"/>
              <w:tabs>
                <w:tab w:val="left" w:pos="3306"/>
              </w:tabs>
              <w:rPr>
                <w:rFonts w:cs="Calibri"/>
              </w:rPr>
            </w:pPr>
            <w:r w:rsidRPr="001E6A24">
              <w:rPr>
                <w:rFonts w:cs="Calibri"/>
              </w:rPr>
              <w:t>Hire Charges</w:t>
            </w:r>
          </w:p>
        </w:tc>
        <w:tc>
          <w:tcPr>
            <w:tcW w:w="754" w:type="pct"/>
            <w:gridSpan w:val="2"/>
            <w:tcBorders>
              <w:top w:val="nil"/>
              <w:left w:val="nil"/>
              <w:bottom w:val="nil"/>
              <w:right w:val="nil"/>
            </w:tcBorders>
            <w:vAlign w:val="bottom"/>
          </w:tcPr>
          <w:p w14:paraId="4CC58AA0" w14:textId="630F4E7E"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5163FE94" w14:textId="1F7EEB23" w:rsidR="000144FF" w:rsidRPr="001E6A24" w:rsidRDefault="000144FF">
            <w:pPr>
              <w:pStyle w:val="TableText"/>
              <w:tabs>
                <w:tab w:val="left" w:pos="3306"/>
              </w:tabs>
              <w:jc w:val="right"/>
              <w:rPr>
                <w:rFonts w:cs="Calibri"/>
              </w:rPr>
            </w:pPr>
          </w:p>
        </w:tc>
      </w:tr>
      <w:tr w:rsidR="000144FF" w:rsidRPr="00CF7E1B" w14:paraId="3E140F21" w14:textId="77777777" w:rsidTr="002F4A89">
        <w:trPr>
          <w:trHeight w:val="23"/>
        </w:trPr>
        <w:tc>
          <w:tcPr>
            <w:tcW w:w="746" w:type="pct"/>
            <w:tcBorders>
              <w:top w:val="nil"/>
              <w:left w:val="single" w:sz="2" w:space="0" w:color="auto"/>
              <w:bottom w:val="nil"/>
              <w:right w:val="single" w:sz="2" w:space="0" w:color="auto"/>
            </w:tcBorders>
          </w:tcPr>
          <w:p w14:paraId="69D2983B"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F2708BE" w14:textId="77777777" w:rsidR="000144FF" w:rsidRPr="001E6A24" w:rsidRDefault="000144FF">
            <w:pPr>
              <w:pStyle w:val="TableText"/>
              <w:tabs>
                <w:tab w:val="left" w:pos="3306"/>
              </w:tabs>
              <w:rPr>
                <w:rFonts w:cs="Calibri"/>
              </w:rPr>
            </w:pPr>
            <w:r w:rsidRPr="001E6A24">
              <w:rPr>
                <w:rFonts w:cs="Calibri"/>
              </w:rPr>
              <w:t>Utilities</w:t>
            </w:r>
          </w:p>
        </w:tc>
        <w:tc>
          <w:tcPr>
            <w:tcW w:w="754" w:type="pct"/>
            <w:gridSpan w:val="2"/>
            <w:tcBorders>
              <w:top w:val="nil"/>
              <w:left w:val="nil"/>
              <w:bottom w:val="nil"/>
              <w:right w:val="nil"/>
            </w:tcBorders>
            <w:vAlign w:val="bottom"/>
          </w:tcPr>
          <w:p w14:paraId="27873DC9" w14:textId="72749548"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0A5A1CEB" w14:textId="5D431B20" w:rsidR="000144FF" w:rsidRPr="001E6A24" w:rsidRDefault="000144FF">
            <w:pPr>
              <w:pStyle w:val="TableText"/>
              <w:tabs>
                <w:tab w:val="left" w:pos="3306"/>
              </w:tabs>
              <w:jc w:val="right"/>
              <w:rPr>
                <w:rFonts w:cs="Calibri"/>
              </w:rPr>
            </w:pPr>
          </w:p>
        </w:tc>
      </w:tr>
      <w:tr w:rsidR="000144FF" w:rsidRPr="00CF7E1B" w14:paraId="16158C8A" w14:textId="77777777" w:rsidTr="002F4A89">
        <w:trPr>
          <w:trHeight w:val="23"/>
        </w:trPr>
        <w:tc>
          <w:tcPr>
            <w:tcW w:w="746" w:type="pct"/>
            <w:tcBorders>
              <w:top w:val="nil"/>
              <w:left w:val="single" w:sz="2" w:space="0" w:color="auto"/>
              <w:bottom w:val="nil"/>
              <w:right w:val="single" w:sz="2" w:space="0" w:color="auto"/>
            </w:tcBorders>
          </w:tcPr>
          <w:p w14:paraId="229541D4"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530B1783" w14:textId="77777777" w:rsidR="000144FF" w:rsidRPr="001E6A24" w:rsidRDefault="000144FF">
            <w:pPr>
              <w:pStyle w:val="TableText"/>
              <w:tabs>
                <w:tab w:val="left" w:pos="3306"/>
              </w:tabs>
              <w:rPr>
                <w:rFonts w:cs="Calibri"/>
              </w:rPr>
            </w:pPr>
            <w:r w:rsidRPr="001E6A24">
              <w:rPr>
                <w:rFonts w:cs="Calibri"/>
              </w:rPr>
              <w:t xml:space="preserve">Insurance </w:t>
            </w:r>
            <w:r w:rsidRPr="001E6A24">
              <w:rPr>
                <w:rFonts w:cs="Calibri"/>
                <w:vertAlign w:val="superscript"/>
              </w:rPr>
              <w:t>d</w:t>
            </w:r>
          </w:p>
        </w:tc>
        <w:tc>
          <w:tcPr>
            <w:tcW w:w="754" w:type="pct"/>
            <w:gridSpan w:val="2"/>
            <w:tcBorders>
              <w:top w:val="nil"/>
              <w:left w:val="nil"/>
              <w:bottom w:val="nil"/>
              <w:right w:val="nil"/>
            </w:tcBorders>
            <w:vAlign w:val="bottom"/>
          </w:tcPr>
          <w:p w14:paraId="6B91F0F3" w14:textId="1182056C"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58D59DDA" w14:textId="7D8FD241" w:rsidR="000144FF" w:rsidRPr="001E6A24" w:rsidRDefault="000144FF">
            <w:pPr>
              <w:pStyle w:val="TableText"/>
              <w:tabs>
                <w:tab w:val="left" w:pos="3306"/>
              </w:tabs>
              <w:jc w:val="right"/>
              <w:rPr>
                <w:rFonts w:cs="Calibri"/>
              </w:rPr>
            </w:pPr>
          </w:p>
        </w:tc>
      </w:tr>
      <w:tr w:rsidR="000144FF" w:rsidRPr="00CF7E1B" w14:paraId="4EBFD535" w14:textId="77777777" w:rsidTr="002F4A89">
        <w:trPr>
          <w:trHeight w:val="23"/>
        </w:trPr>
        <w:tc>
          <w:tcPr>
            <w:tcW w:w="746" w:type="pct"/>
            <w:tcBorders>
              <w:top w:val="nil"/>
              <w:left w:val="single" w:sz="2" w:space="0" w:color="auto"/>
              <w:bottom w:val="nil"/>
              <w:right w:val="single" w:sz="2" w:space="0" w:color="auto"/>
            </w:tcBorders>
          </w:tcPr>
          <w:p w14:paraId="53BD4387"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1ED47121" w14:textId="77777777" w:rsidR="000144FF" w:rsidRPr="001E6A24" w:rsidRDefault="000144FF">
            <w:pPr>
              <w:pStyle w:val="TableText"/>
              <w:tabs>
                <w:tab w:val="left" w:pos="3306"/>
              </w:tabs>
              <w:rPr>
                <w:rFonts w:cs="Calibri"/>
              </w:rPr>
            </w:pPr>
            <w:r w:rsidRPr="001E6A24">
              <w:rPr>
                <w:rFonts w:cs="Calibri"/>
              </w:rPr>
              <w:t>Computing Costs</w:t>
            </w:r>
          </w:p>
        </w:tc>
        <w:tc>
          <w:tcPr>
            <w:tcW w:w="754" w:type="pct"/>
            <w:gridSpan w:val="2"/>
            <w:tcBorders>
              <w:top w:val="nil"/>
              <w:left w:val="nil"/>
              <w:bottom w:val="nil"/>
              <w:right w:val="nil"/>
            </w:tcBorders>
            <w:vAlign w:val="bottom"/>
          </w:tcPr>
          <w:p w14:paraId="5704C5B8" w14:textId="35D6A058"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6D220FAA" w14:textId="4416B2D0" w:rsidR="000144FF" w:rsidRPr="001E6A24" w:rsidRDefault="000144FF">
            <w:pPr>
              <w:pStyle w:val="TableText"/>
              <w:tabs>
                <w:tab w:val="left" w:pos="3306"/>
              </w:tabs>
              <w:jc w:val="right"/>
              <w:rPr>
                <w:rFonts w:cs="Calibri"/>
              </w:rPr>
            </w:pPr>
          </w:p>
        </w:tc>
      </w:tr>
      <w:tr w:rsidR="000144FF" w:rsidRPr="00CF7E1B" w14:paraId="22E3D225" w14:textId="77777777" w:rsidTr="002F4A89">
        <w:trPr>
          <w:trHeight w:val="23"/>
        </w:trPr>
        <w:tc>
          <w:tcPr>
            <w:tcW w:w="746" w:type="pct"/>
            <w:tcBorders>
              <w:top w:val="nil"/>
              <w:left w:val="single" w:sz="2" w:space="0" w:color="auto"/>
              <w:bottom w:val="nil"/>
              <w:right w:val="single" w:sz="2" w:space="0" w:color="auto"/>
            </w:tcBorders>
          </w:tcPr>
          <w:p w14:paraId="30633430"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8D5D86C" w14:textId="77777777" w:rsidR="000144FF" w:rsidRPr="001E6A24" w:rsidRDefault="000144FF">
            <w:pPr>
              <w:pStyle w:val="TableText"/>
              <w:tabs>
                <w:tab w:val="left" w:pos="3306"/>
              </w:tabs>
              <w:rPr>
                <w:rFonts w:cs="Calibri"/>
              </w:rPr>
            </w:pPr>
            <w:r w:rsidRPr="001E6A24">
              <w:rPr>
                <w:rFonts w:cs="Calibri"/>
              </w:rPr>
              <w:t xml:space="preserve">Repairs and Maintenance </w:t>
            </w:r>
            <w:r w:rsidRPr="001E6A24">
              <w:rPr>
                <w:rFonts w:cs="Calibri"/>
                <w:vertAlign w:val="superscript"/>
              </w:rPr>
              <w:t>e</w:t>
            </w:r>
          </w:p>
        </w:tc>
        <w:tc>
          <w:tcPr>
            <w:tcW w:w="754" w:type="pct"/>
            <w:gridSpan w:val="2"/>
            <w:tcBorders>
              <w:top w:val="nil"/>
              <w:left w:val="nil"/>
              <w:bottom w:val="nil"/>
              <w:right w:val="nil"/>
            </w:tcBorders>
            <w:vAlign w:val="bottom"/>
          </w:tcPr>
          <w:p w14:paraId="6EDC8FE8" w14:textId="66732BB8"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1E89ADF8" w14:textId="05D20E17" w:rsidR="000144FF" w:rsidRPr="001E6A24" w:rsidRDefault="000144FF">
            <w:pPr>
              <w:pStyle w:val="TableText"/>
              <w:tabs>
                <w:tab w:val="left" w:pos="3306"/>
              </w:tabs>
              <w:jc w:val="right"/>
              <w:rPr>
                <w:rFonts w:cs="Calibri"/>
              </w:rPr>
            </w:pPr>
          </w:p>
        </w:tc>
      </w:tr>
      <w:tr w:rsidR="000144FF" w:rsidRPr="00CF7E1B" w14:paraId="207B5FD1" w14:textId="77777777" w:rsidTr="002F4A89">
        <w:trPr>
          <w:trHeight w:val="23"/>
        </w:trPr>
        <w:tc>
          <w:tcPr>
            <w:tcW w:w="746" w:type="pct"/>
            <w:tcBorders>
              <w:top w:val="nil"/>
              <w:left w:val="single" w:sz="2" w:space="0" w:color="auto"/>
              <w:bottom w:val="nil"/>
              <w:right w:val="single" w:sz="2" w:space="0" w:color="auto"/>
            </w:tcBorders>
          </w:tcPr>
          <w:p w14:paraId="1901A11F"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E8EE745" w14:textId="77777777" w:rsidR="000144FF" w:rsidRPr="001E6A24" w:rsidRDefault="000144FF">
            <w:pPr>
              <w:pStyle w:val="TableText"/>
              <w:tabs>
                <w:tab w:val="left" w:pos="3306"/>
              </w:tabs>
              <w:rPr>
                <w:rFonts w:cs="Calibri"/>
              </w:rPr>
            </w:pPr>
            <w:r w:rsidRPr="001E6A24">
              <w:rPr>
                <w:rFonts w:cs="Calibri"/>
              </w:rPr>
              <w:t xml:space="preserve">Printing </w:t>
            </w:r>
          </w:p>
        </w:tc>
        <w:tc>
          <w:tcPr>
            <w:tcW w:w="754" w:type="pct"/>
            <w:gridSpan w:val="2"/>
            <w:tcBorders>
              <w:top w:val="nil"/>
              <w:left w:val="nil"/>
              <w:bottom w:val="nil"/>
              <w:right w:val="nil"/>
            </w:tcBorders>
            <w:vAlign w:val="bottom"/>
          </w:tcPr>
          <w:p w14:paraId="7B4B2711" w14:textId="0942D9A0"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0D26B1B0" w14:textId="6B6127DA" w:rsidR="000144FF" w:rsidRPr="001E6A24" w:rsidRDefault="000144FF">
            <w:pPr>
              <w:pStyle w:val="TableText"/>
              <w:tabs>
                <w:tab w:val="left" w:pos="3306"/>
              </w:tabs>
              <w:jc w:val="right"/>
              <w:rPr>
                <w:rFonts w:cs="Calibri"/>
              </w:rPr>
            </w:pPr>
          </w:p>
        </w:tc>
      </w:tr>
      <w:tr w:rsidR="000144FF" w:rsidRPr="00CF7E1B" w14:paraId="393BF7E3" w14:textId="77777777" w:rsidTr="002F4A89">
        <w:trPr>
          <w:trHeight w:val="23"/>
        </w:trPr>
        <w:tc>
          <w:tcPr>
            <w:tcW w:w="746" w:type="pct"/>
            <w:tcBorders>
              <w:top w:val="nil"/>
              <w:left w:val="single" w:sz="2" w:space="0" w:color="auto"/>
              <w:bottom w:val="nil"/>
              <w:right w:val="single" w:sz="2" w:space="0" w:color="auto"/>
            </w:tcBorders>
          </w:tcPr>
          <w:p w14:paraId="38179537"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7BC432F9" w14:textId="77777777" w:rsidR="000144FF" w:rsidRPr="001E6A24" w:rsidRDefault="000144FF">
            <w:pPr>
              <w:pStyle w:val="TableText"/>
              <w:tabs>
                <w:tab w:val="left" w:pos="3306"/>
              </w:tabs>
              <w:rPr>
                <w:rFonts w:cs="Calibri"/>
              </w:rPr>
            </w:pPr>
            <w:r w:rsidRPr="001E6A24">
              <w:rPr>
                <w:rFonts w:cs="Calibri"/>
              </w:rPr>
              <w:t>Communications</w:t>
            </w:r>
          </w:p>
        </w:tc>
        <w:tc>
          <w:tcPr>
            <w:tcW w:w="754" w:type="pct"/>
            <w:gridSpan w:val="2"/>
            <w:tcBorders>
              <w:top w:val="nil"/>
              <w:left w:val="nil"/>
              <w:bottom w:val="nil"/>
              <w:right w:val="nil"/>
            </w:tcBorders>
            <w:vAlign w:val="bottom"/>
          </w:tcPr>
          <w:p w14:paraId="30E46C0D" w14:textId="6D8BB9FF"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4611F049" w14:textId="64A37350" w:rsidR="000144FF" w:rsidRPr="001E6A24" w:rsidRDefault="000144FF">
            <w:pPr>
              <w:pStyle w:val="TableText"/>
              <w:tabs>
                <w:tab w:val="left" w:pos="3306"/>
              </w:tabs>
              <w:jc w:val="right"/>
              <w:rPr>
                <w:rFonts w:cs="Calibri"/>
              </w:rPr>
            </w:pPr>
          </w:p>
        </w:tc>
      </w:tr>
      <w:tr w:rsidR="000144FF" w:rsidRPr="00CF7E1B" w14:paraId="171A8C23" w14:textId="77777777" w:rsidTr="002F4A89">
        <w:trPr>
          <w:trHeight w:val="23"/>
        </w:trPr>
        <w:tc>
          <w:tcPr>
            <w:tcW w:w="746" w:type="pct"/>
            <w:tcBorders>
              <w:top w:val="nil"/>
              <w:left w:val="single" w:sz="2" w:space="0" w:color="auto"/>
              <w:bottom w:val="nil"/>
              <w:right w:val="single" w:sz="2" w:space="0" w:color="auto"/>
            </w:tcBorders>
          </w:tcPr>
          <w:p w14:paraId="4CA1915C"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D5264B7" w14:textId="77777777" w:rsidR="000144FF" w:rsidRPr="001E6A24" w:rsidRDefault="000144FF">
            <w:pPr>
              <w:pStyle w:val="TableText"/>
              <w:tabs>
                <w:tab w:val="left" w:pos="3306"/>
              </w:tabs>
              <w:rPr>
                <w:rFonts w:cs="Calibri"/>
              </w:rPr>
            </w:pPr>
            <w:r w:rsidRPr="001E6A24">
              <w:rPr>
                <w:rFonts w:cs="Calibri"/>
              </w:rPr>
              <w:t>Publications</w:t>
            </w:r>
          </w:p>
        </w:tc>
        <w:tc>
          <w:tcPr>
            <w:tcW w:w="754" w:type="pct"/>
            <w:gridSpan w:val="2"/>
            <w:tcBorders>
              <w:top w:val="nil"/>
              <w:left w:val="nil"/>
              <w:bottom w:val="nil"/>
              <w:right w:val="nil"/>
            </w:tcBorders>
            <w:vAlign w:val="bottom"/>
          </w:tcPr>
          <w:p w14:paraId="0CEEA8B6" w14:textId="47852F52"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3ACAF4B5" w14:textId="246B6818" w:rsidR="000144FF" w:rsidRPr="001E6A24" w:rsidRDefault="000144FF">
            <w:pPr>
              <w:pStyle w:val="TableText"/>
              <w:tabs>
                <w:tab w:val="left" w:pos="3306"/>
              </w:tabs>
              <w:jc w:val="right"/>
              <w:rPr>
                <w:rFonts w:cs="Calibri"/>
              </w:rPr>
            </w:pPr>
          </w:p>
        </w:tc>
      </w:tr>
      <w:tr w:rsidR="000144FF" w:rsidRPr="00CF7E1B" w14:paraId="1CF89586" w14:textId="77777777" w:rsidTr="002F4A89">
        <w:trPr>
          <w:trHeight w:val="23"/>
        </w:trPr>
        <w:tc>
          <w:tcPr>
            <w:tcW w:w="746" w:type="pct"/>
            <w:tcBorders>
              <w:top w:val="nil"/>
              <w:left w:val="single" w:sz="2" w:space="0" w:color="auto"/>
              <w:bottom w:val="nil"/>
              <w:right w:val="single" w:sz="2" w:space="0" w:color="auto"/>
            </w:tcBorders>
          </w:tcPr>
          <w:p w14:paraId="707EE005"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E6520B1" w14:textId="77777777" w:rsidR="000144FF" w:rsidRPr="001E6A24" w:rsidRDefault="000144FF">
            <w:pPr>
              <w:pStyle w:val="TableText"/>
              <w:tabs>
                <w:tab w:val="left" w:pos="3306"/>
              </w:tabs>
              <w:rPr>
                <w:rFonts w:cs="Calibri"/>
              </w:rPr>
            </w:pPr>
            <w:r w:rsidRPr="001E6A24">
              <w:rPr>
                <w:rFonts w:cs="Calibri"/>
              </w:rPr>
              <w:t>Postage and Courier</w:t>
            </w:r>
          </w:p>
        </w:tc>
        <w:tc>
          <w:tcPr>
            <w:tcW w:w="754" w:type="pct"/>
            <w:gridSpan w:val="2"/>
            <w:tcBorders>
              <w:top w:val="nil"/>
              <w:left w:val="nil"/>
              <w:bottom w:val="nil"/>
              <w:right w:val="nil"/>
            </w:tcBorders>
            <w:vAlign w:val="bottom"/>
          </w:tcPr>
          <w:p w14:paraId="18A41054" w14:textId="381A0E8D"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69131AD0" w14:textId="5B752505" w:rsidR="000144FF" w:rsidRPr="001E6A24" w:rsidRDefault="000144FF">
            <w:pPr>
              <w:pStyle w:val="TableText"/>
              <w:tabs>
                <w:tab w:val="left" w:pos="3306"/>
              </w:tabs>
              <w:jc w:val="right"/>
              <w:rPr>
                <w:rFonts w:cs="Calibri"/>
              </w:rPr>
            </w:pPr>
          </w:p>
        </w:tc>
      </w:tr>
      <w:tr w:rsidR="000144FF" w:rsidRPr="00CF7E1B" w14:paraId="26A933D3" w14:textId="77777777" w:rsidTr="002F4A89">
        <w:trPr>
          <w:trHeight w:val="23"/>
        </w:trPr>
        <w:tc>
          <w:tcPr>
            <w:tcW w:w="746" w:type="pct"/>
            <w:tcBorders>
              <w:top w:val="nil"/>
              <w:left w:val="single" w:sz="2" w:space="0" w:color="auto"/>
              <w:bottom w:val="nil"/>
              <w:right w:val="single" w:sz="2" w:space="0" w:color="auto"/>
            </w:tcBorders>
          </w:tcPr>
          <w:p w14:paraId="078D081B"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487C9FCB" w14:textId="77777777" w:rsidR="000144FF" w:rsidRPr="001E6A24" w:rsidRDefault="000144FF">
            <w:pPr>
              <w:pStyle w:val="TableText"/>
              <w:tabs>
                <w:tab w:val="left" w:pos="3306"/>
              </w:tabs>
              <w:rPr>
                <w:rFonts w:cs="Calibri"/>
              </w:rPr>
            </w:pPr>
            <w:r w:rsidRPr="001E6A24">
              <w:rPr>
                <w:rFonts w:cs="Calibri"/>
              </w:rPr>
              <w:t>Staff Development</w:t>
            </w:r>
          </w:p>
        </w:tc>
        <w:tc>
          <w:tcPr>
            <w:tcW w:w="754" w:type="pct"/>
            <w:gridSpan w:val="2"/>
            <w:tcBorders>
              <w:top w:val="nil"/>
              <w:left w:val="nil"/>
              <w:bottom w:val="nil"/>
              <w:right w:val="nil"/>
            </w:tcBorders>
            <w:vAlign w:val="bottom"/>
          </w:tcPr>
          <w:p w14:paraId="700AFA1F" w14:textId="3DCA7518"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702A6D1F" w14:textId="5AAD19FA" w:rsidR="000144FF" w:rsidRPr="001E6A24" w:rsidRDefault="000144FF">
            <w:pPr>
              <w:pStyle w:val="TableText"/>
              <w:tabs>
                <w:tab w:val="left" w:pos="3306"/>
              </w:tabs>
              <w:jc w:val="right"/>
              <w:rPr>
                <w:rFonts w:cs="Calibri"/>
              </w:rPr>
            </w:pPr>
          </w:p>
        </w:tc>
      </w:tr>
      <w:tr w:rsidR="000144FF" w:rsidRPr="00CF7E1B" w14:paraId="7BB3E7F9" w14:textId="77777777" w:rsidTr="002F4A89">
        <w:trPr>
          <w:trHeight w:val="23"/>
        </w:trPr>
        <w:tc>
          <w:tcPr>
            <w:tcW w:w="746" w:type="pct"/>
            <w:tcBorders>
              <w:top w:val="nil"/>
              <w:left w:val="single" w:sz="2" w:space="0" w:color="auto"/>
              <w:bottom w:val="nil"/>
              <w:right w:val="single" w:sz="2" w:space="0" w:color="auto"/>
            </w:tcBorders>
          </w:tcPr>
          <w:p w14:paraId="4435FF57"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669196B4" w14:textId="77777777" w:rsidR="000144FF" w:rsidRPr="001E6A24" w:rsidRDefault="000144FF">
            <w:pPr>
              <w:pStyle w:val="TableText"/>
              <w:tabs>
                <w:tab w:val="left" w:pos="3306"/>
              </w:tabs>
              <w:rPr>
                <w:rFonts w:cs="Calibri"/>
              </w:rPr>
            </w:pPr>
            <w:r w:rsidRPr="001E6A24">
              <w:rPr>
                <w:rFonts w:cs="Calibri"/>
              </w:rPr>
              <w:t>Stationery</w:t>
            </w:r>
          </w:p>
        </w:tc>
        <w:tc>
          <w:tcPr>
            <w:tcW w:w="754" w:type="pct"/>
            <w:gridSpan w:val="2"/>
            <w:tcBorders>
              <w:top w:val="nil"/>
              <w:left w:val="nil"/>
              <w:bottom w:val="nil"/>
              <w:right w:val="nil"/>
            </w:tcBorders>
            <w:vAlign w:val="bottom"/>
          </w:tcPr>
          <w:p w14:paraId="7A4F5905" w14:textId="298C590B"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511708A8" w14:textId="1AFAFB6E" w:rsidR="000144FF" w:rsidRPr="001E6A24" w:rsidRDefault="000144FF">
            <w:pPr>
              <w:pStyle w:val="TableText"/>
              <w:tabs>
                <w:tab w:val="left" w:pos="3306"/>
              </w:tabs>
              <w:jc w:val="right"/>
              <w:rPr>
                <w:rFonts w:cs="Calibri"/>
              </w:rPr>
            </w:pPr>
          </w:p>
        </w:tc>
      </w:tr>
      <w:tr w:rsidR="000144FF" w:rsidRPr="00CF7E1B" w14:paraId="02C6728C" w14:textId="77777777" w:rsidTr="002F4A89">
        <w:trPr>
          <w:trHeight w:val="23"/>
        </w:trPr>
        <w:tc>
          <w:tcPr>
            <w:tcW w:w="746" w:type="pct"/>
            <w:tcBorders>
              <w:top w:val="nil"/>
              <w:left w:val="single" w:sz="2" w:space="0" w:color="auto"/>
              <w:bottom w:val="nil"/>
              <w:right w:val="single" w:sz="2" w:space="0" w:color="auto"/>
            </w:tcBorders>
          </w:tcPr>
          <w:p w14:paraId="3FD73E95"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3F88AF2C" w14:textId="77777777" w:rsidR="000144FF" w:rsidRPr="001E6A24" w:rsidRDefault="000144FF">
            <w:pPr>
              <w:pStyle w:val="TableText"/>
              <w:tabs>
                <w:tab w:val="left" w:pos="3306"/>
              </w:tabs>
              <w:rPr>
                <w:rFonts w:cs="Calibri"/>
              </w:rPr>
            </w:pPr>
            <w:r w:rsidRPr="001E6A24">
              <w:rPr>
                <w:rFonts w:cs="Calibri"/>
              </w:rPr>
              <w:t>IT Services</w:t>
            </w:r>
          </w:p>
        </w:tc>
        <w:tc>
          <w:tcPr>
            <w:tcW w:w="754" w:type="pct"/>
            <w:gridSpan w:val="2"/>
            <w:tcBorders>
              <w:top w:val="nil"/>
              <w:left w:val="nil"/>
              <w:bottom w:val="nil"/>
              <w:right w:val="nil"/>
            </w:tcBorders>
            <w:vAlign w:val="bottom"/>
          </w:tcPr>
          <w:p w14:paraId="79B50B0A" w14:textId="38859AAF"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31757997" w14:textId="0840C9AD" w:rsidR="000144FF" w:rsidRPr="001E6A24" w:rsidRDefault="000144FF">
            <w:pPr>
              <w:pStyle w:val="TableText"/>
              <w:tabs>
                <w:tab w:val="left" w:pos="3306"/>
              </w:tabs>
              <w:jc w:val="right"/>
              <w:rPr>
                <w:rFonts w:cs="Calibri"/>
              </w:rPr>
            </w:pPr>
          </w:p>
        </w:tc>
      </w:tr>
      <w:tr w:rsidR="000144FF" w:rsidRPr="00CF7E1B" w14:paraId="43B2FFAC" w14:textId="77777777" w:rsidTr="002F4A89">
        <w:trPr>
          <w:trHeight w:val="23"/>
        </w:trPr>
        <w:tc>
          <w:tcPr>
            <w:tcW w:w="746" w:type="pct"/>
            <w:tcBorders>
              <w:top w:val="nil"/>
              <w:left w:val="single" w:sz="2" w:space="0" w:color="auto"/>
              <w:bottom w:val="nil"/>
              <w:right w:val="single" w:sz="2" w:space="0" w:color="auto"/>
            </w:tcBorders>
          </w:tcPr>
          <w:p w14:paraId="12250C6D" w14:textId="77777777" w:rsidR="000144FF" w:rsidRPr="001E6A24" w:rsidRDefault="000144FF">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325A617B" w14:textId="77777777" w:rsidR="000144FF" w:rsidRPr="001E6A24" w:rsidRDefault="000144FF">
            <w:pPr>
              <w:pStyle w:val="TableText"/>
              <w:tabs>
                <w:tab w:val="left" w:pos="3306"/>
              </w:tabs>
              <w:rPr>
                <w:rFonts w:cs="Calibri"/>
              </w:rPr>
            </w:pPr>
            <w:r w:rsidRPr="001E6A24">
              <w:rPr>
                <w:rFonts w:cs="Calibri"/>
              </w:rPr>
              <w:t>Travel</w:t>
            </w:r>
          </w:p>
        </w:tc>
        <w:tc>
          <w:tcPr>
            <w:tcW w:w="754" w:type="pct"/>
            <w:gridSpan w:val="2"/>
            <w:tcBorders>
              <w:top w:val="nil"/>
              <w:left w:val="nil"/>
              <w:bottom w:val="nil"/>
              <w:right w:val="nil"/>
            </w:tcBorders>
            <w:vAlign w:val="bottom"/>
          </w:tcPr>
          <w:p w14:paraId="505A78C9" w14:textId="2EAFE592"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39D88D56" w14:textId="788C052F" w:rsidR="000144FF" w:rsidRPr="001E6A24" w:rsidRDefault="000144FF">
            <w:pPr>
              <w:pStyle w:val="TableText"/>
              <w:tabs>
                <w:tab w:val="left" w:pos="3306"/>
              </w:tabs>
              <w:jc w:val="right"/>
              <w:rPr>
                <w:rFonts w:cs="Calibri"/>
              </w:rPr>
            </w:pPr>
          </w:p>
        </w:tc>
      </w:tr>
      <w:tr w:rsidR="00C34B84" w:rsidRPr="00CF7E1B" w14:paraId="6367AE8E" w14:textId="77777777" w:rsidTr="002F4A89">
        <w:trPr>
          <w:trHeight w:val="23"/>
        </w:trPr>
        <w:tc>
          <w:tcPr>
            <w:tcW w:w="746" w:type="pct"/>
            <w:tcBorders>
              <w:top w:val="nil"/>
              <w:left w:val="single" w:sz="2" w:space="0" w:color="auto"/>
              <w:bottom w:val="nil"/>
              <w:right w:val="single" w:sz="2" w:space="0" w:color="auto"/>
            </w:tcBorders>
            <w:vAlign w:val="bottom"/>
          </w:tcPr>
          <w:p w14:paraId="7265D5BB" w14:textId="77777777" w:rsidR="00C34B84" w:rsidRPr="001E6A24" w:rsidRDefault="00C34B84" w:rsidP="0085213D">
            <w:pPr>
              <w:pStyle w:val="TableReference"/>
              <w:tabs>
                <w:tab w:val="left" w:pos="3306"/>
              </w:tabs>
              <w:spacing w:before="40"/>
              <w:rPr>
                <w:rFonts w:cs="Calibri"/>
                <w:strike/>
                <w:color w:val="7030A0"/>
                <w:sz w:val="16"/>
                <w:szCs w:val="16"/>
              </w:rPr>
            </w:pPr>
          </w:p>
        </w:tc>
        <w:tc>
          <w:tcPr>
            <w:tcW w:w="2824" w:type="pct"/>
            <w:gridSpan w:val="2"/>
            <w:tcBorders>
              <w:top w:val="nil"/>
              <w:left w:val="single" w:sz="2" w:space="0" w:color="auto"/>
              <w:bottom w:val="nil"/>
              <w:right w:val="nil"/>
            </w:tcBorders>
            <w:vAlign w:val="bottom"/>
          </w:tcPr>
          <w:p w14:paraId="47C56C15" w14:textId="5656BDB8" w:rsidR="00C34B84" w:rsidRPr="001E6A24" w:rsidRDefault="00C34B84">
            <w:pPr>
              <w:pStyle w:val="TableText"/>
              <w:tabs>
                <w:tab w:val="left" w:pos="3306"/>
              </w:tabs>
            </w:pPr>
            <w:r w:rsidRPr="001E6A24">
              <w:t>Non-</w:t>
            </w:r>
            <w:r w:rsidR="00B076DD" w:rsidRPr="001E6A24">
              <w:t>S</w:t>
            </w:r>
            <w:r w:rsidRPr="001E6A24">
              <w:t>pecialised Accommodation Lease Payment Expense</w:t>
            </w:r>
          </w:p>
        </w:tc>
        <w:tc>
          <w:tcPr>
            <w:tcW w:w="754" w:type="pct"/>
            <w:gridSpan w:val="2"/>
            <w:tcBorders>
              <w:top w:val="nil"/>
              <w:left w:val="nil"/>
              <w:bottom w:val="nil"/>
              <w:right w:val="nil"/>
            </w:tcBorders>
            <w:vAlign w:val="bottom"/>
          </w:tcPr>
          <w:p w14:paraId="7BD032EC" w14:textId="77777777" w:rsidR="00C34B84" w:rsidRPr="001E6A24" w:rsidRDefault="00C34B84">
            <w:pPr>
              <w:pStyle w:val="TableText"/>
              <w:tabs>
                <w:tab w:val="left" w:pos="3306"/>
              </w:tabs>
              <w:jc w:val="right"/>
              <w:rPr>
                <w:rFonts w:cs="Calibri"/>
              </w:rPr>
            </w:pPr>
          </w:p>
        </w:tc>
        <w:tc>
          <w:tcPr>
            <w:tcW w:w="676" w:type="pct"/>
            <w:tcBorders>
              <w:top w:val="nil"/>
              <w:left w:val="nil"/>
              <w:bottom w:val="nil"/>
              <w:right w:val="nil"/>
            </w:tcBorders>
            <w:vAlign w:val="bottom"/>
          </w:tcPr>
          <w:p w14:paraId="7D3E8B01" w14:textId="77777777" w:rsidR="00C34B84" w:rsidRPr="001E6A24" w:rsidRDefault="00C34B84">
            <w:pPr>
              <w:pStyle w:val="TableText"/>
              <w:tabs>
                <w:tab w:val="left" w:pos="3306"/>
              </w:tabs>
              <w:jc w:val="right"/>
              <w:rPr>
                <w:rFonts w:cs="Calibri"/>
              </w:rPr>
            </w:pPr>
          </w:p>
        </w:tc>
      </w:tr>
      <w:tr w:rsidR="0039689F" w:rsidRPr="00CF7E1B" w14:paraId="2D0E294A" w14:textId="77777777" w:rsidTr="002F4A89">
        <w:trPr>
          <w:trHeight w:val="23"/>
        </w:trPr>
        <w:tc>
          <w:tcPr>
            <w:tcW w:w="746" w:type="pct"/>
            <w:tcBorders>
              <w:top w:val="nil"/>
              <w:left w:val="single" w:sz="2" w:space="0" w:color="auto"/>
              <w:bottom w:val="nil"/>
              <w:right w:val="single" w:sz="2" w:space="0" w:color="auto"/>
            </w:tcBorders>
            <w:vAlign w:val="bottom"/>
          </w:tcPr>
          <w:p w14:paraId="77E53620" w14:textId="54811AA3" w:rsidR="0039689F" w:rsidRPr="001E6A24" w:rsidRDefault="00C34B84" w:rsidP="0085213D">
            <w:pPr>
              <w:pStyle w:val="TableReference"/>
              <w:tabs>
                <w:tab w:val="left" w:pos="3306"/>
              </w:tabs>
              <w:spacing w:before="40"/>
              <w:rPr>
                <w:rFonts w:cs="Calibri"/>
                <w:strike/>
                <w:color w:val="7030A0"/>
                <w:sz w:val="14"/>
              </w:rPr>
            </w:pPr>
            <w:r w:rsidRPr="001E6A24">
              <w:rPr>
                <w:color w:val="7030A0"/>
                <w:sz w:val="14"/>
              </w:rPr>
              <w:t>AASB 16.53(c)</w:t>
            </w:r>
          </w:p>
        </w:tc>
        <w:tc>
          <w:tcPr>
            <w:tcW w:w="2824" w:type="pct"/>
            <w:gridSpan w:val="2"/>
            <w:tcBorders>
              <w:top w:val="nil"/>
              <w:left w:val="single" w:sz="2" w:space="0" w:color="auto"/>
              <w:bottom w:val="nil"/>
              <w:right w:val="nil"/>
            </w:tcBorders>
            <w:vAlign w:val="bottom"/>
          </w:tcPr>
          <w:p w14:paraId="2F5A70B9" w14:textId="6A554946" w:rsidR="0039689F" w:rsidRPr="001E6A24" w:rsidRDefault="00C34B84">
            <w:pPr>
              <w:pStyle w:val="TableText"/>
              <w:tabs>
                <w:tab w:val="left" w:pos="3306"/>
              </w:tabs>
              <w:rPr>
                <w:rFonts w:cs="Calibri"/>
              </w:rPr>
            </w:pPr>
            <w:r w:rsidRPr="001E6A24">
              <w:t xml:space="preserve">Expense </w:t>
            </w:r>
            <w:r w:rsidR="00B076DD" w:rsidRPr="001E6A24">
              <w:t>R</w:t>
            </w:r>
            <w:r w:rsidRPr="001E6A24">
              <w:t xml:space="preserve">elating to </w:t>
            </w:r>
            <w:r w:rsidR="00B076DD" w:rsidRPr="001E6A24">
              <w:t>S</w:t>
            </w:r>
            <w:r w:rsidRPr="001E6A24">
              <w:t>hort-</w:t>
            </w:r>
            <w:r w:rsidR="00B076DD" w:rsidRPr="001E6A24">
              <w:t>T</w:t>
            </w:r>
            <w:r w:rsidRPr="001E6A24">
              <w:t xml:space="preserve">erm </w:t>
            </w:r>
            <w:r w:rsidR="00B076DD" w:rsidRPr="001E6A24">
              <w:t>L</w:t>
            </w:r>
            <w:r w:rsidRPr="001E6A24">
              <w:t>eases</w:t>
            </w:r>
          </w:p>
        </w:tc>
        <w:tc>
          <w:tcPr>
            <w:tcW w:w="754" w:type="pct"/>
            <w:gridSpan w:val="2"/>
            <w:tcBorders>
              <w:top w:val="nil"/>
              <w:left w:val="nil"/>
              <w:bottom w:val="nil"/>
              <w:right w:val="nil"/>
            </w:tcBorders>
            <w:vAlign w:val="bottom"/>
          </w:tcPr>
          <w:p w14:paraId="3BA32FDD" w14:textId="77777777" w:rsidR="0039689F" w:rsidRPr="001E6A24" w:rsidRDefault="0039689F">
            <w:pPr>
              <w:pStyle w:val="TableText"/>
              <w:tabs>
                <w:tab w:val="left" w:pos="3306"/>
              </w:tabs>
              <w:jc w:val="right"/>
              <w:rPr>
                <w:rFonts w:cs="Calibri"/>
              </w:rPr>
            </w:pPr>
          </w:p>
        </w:tc>
        <w:tc>
          <w:tcPr>
            <w:tcW w:w="676" w:type="pct"/>
            <w:tcBorders>
              <w:top w:val="nil"/>
              <w:left w:val="nil"/>
              <w:bottom w:val="nil"/>
              <w:right w:val="nil"/>
            </w:tcBorders>
            <w:vAlign w:val="bottom"/>
          </w:tcPr>
          <w:p w14:paraId="7E701623" w14:textId="77777777" w:rsidR="0039689F" w:rsidRPr="001E6A24" w:rsidRDefault="0039689F">
            <w:pPr>
              <w:pStyle w:val="TableText"/>
              <w:tabs>
                <w:tab w:val="left" w:pos="3306"/>
              </w:tabs>
              <w:jc w:val="right"/>
              <w:rPr>
                <w:rFonts w:cs="Calibri"/>
              </w:rPr>
            </w:pPr>
          </w:p>
        </w:tc>
      </w:tr>
      <w:tr w:rsidR="0039689F" w:rsidRPr="00CF7E1B" w14:paraId="2B52EC9F" w14:textId="77777777" w:rsidTr="002F4A89">
        <w:trPr>
          <w:trHeight w:val="23"/>
        </w:trPr>
        <w:tc>
          <w:tcPr>
            <w:tcW w:w="746" w:type="pct"/>
            <w:tcBorders>
              <w:top w:val="nil"/>
              <w:left w:val="single" w:sz="2" w:space="0" w:color="auto"/>
              <w:bottom w:val="nil"/>
              <w:right w:val="single" w:sz="2" w:space="0" w:color="auto"/>
            </w:tcBorders>
            <w:vAlign w:val="bottom"/>
          </w:tcPr>
          <w:p w14:paraId="0BCB9CE8" w14:textId="34D35596" w:rsidR="0039689F" w:rsidRPr="001E6A24" w:rsidRDefault="00C34B84" w:rsidP="0085213D">
            <w:pPr>
              <w:pStyle w:val="TableReference"/>
              <w:tabs>
                <w:tab w:val="left" w:pos="3306"/>
              </w:tabs>
              <w:spacing w:before="40"/>
              <w:rPr>
                <w:rFonts w:cs="Calibri"/>
                <w:strike/>
                <w:color w:val="7030A0"/>
                <w:sz w:val="14"/>
              </w:rPr>
            </w:pPr>
            <w:r w:rsidRPr="001E6A24">
              <w:rPr>
                <w:color w:val="7030A0"/>
                <w:sz w:val="14"/>
              </w:rPr>
              <w:t>AASB 16.53(d)</w:t>
            </w:r>
          </w:p>
        </w:tc>
        <w:tc>
          <w:tcPr>
            <w:tcW w:w="2824" w:type="pct"/>
            <w:gridSpan w:val="2"/>
            <w:tcBorders>
              <w:top w:val="nil"/>
              <w:left w:val="single" w:sz="2" w:space="0" w:color="auto"/>
              <w:bottom w:val="nil"/>
              <w:right w:val="nil"/>
            </w:tcBorders>
            <w:vAlign w:val="bottom"/>
          </w:tcPr>
          <w:p w14:paraId="1D4F1D2A" w14:textId="07C082CD" w:rsidR="0039689F" w:rsidRPr="001E6A24" w:rsidRDefault="00C34B84">
            <w:pPr>
              <w:pStyle w:val="TableText"/>
              <w:tabs>
                <w:tab w:val="left" w:pos="3306"/>
              </w:tabs>
              <w:rPr>
                <w:rFonts w:cs="Calibri"/>
              </w:rPr>
            </w:pPr>
            <w:r w:rsidRPr="001E6A24">
              <w:t xml:space="preserve">Expense </w:t>
            </w:r>
            <w:r w:rsidR="00B076DD" w:rsidRPr="001E6A24">
              <w:t>R</w:t>
            </w:r>
            <w:r w:rsidRPr="001E6A24">
              <w:t xml:space="preserve">elating to </w:t>
            </w:r>
            <w:r w:rsidR="00B076DD" w:rsidRPr="001E6A24">
              <w:t>L</w:t>
            </w:r>
            <w:r w:rsidRPr="001E6A24">
              <w:t xml:space="preserve">eases of </w:t>
            </w:r>
            <w:r w:rsidR="00B076DD" w:rsidRPr="001E6A24">
              <w:t>L</w:t>
            </w:r>
            <w:r w:rsidRPr="001E6A24">
              <w:t>ow-</w:t>
            </w:r>
            <w:r w:rsidR="00B076DD" w:rsidRPr="001E6A24">
              <w:t>V</w:t>
            </w:r>
            <w:r w:rsidRPr="001E6A24">
              <w:t xml:space="preserve">alue </w:t>
            </w:r>
            <w:r w:rsidR="00B076DD" w:rsidRPr="001E6A24">
              <w:t>A</w:t>
            </w:r>
            <w:r w:rsidRPr="001E6A24">
              <w:t>ssets</w:t>
            </w:r>
          </w:p>
        </w:tc>
        <w:tc>
          <w:tcPr>
            <w:tcW w:w="754" w:type="pct"/>
            <w:gridSpan w:val="2"/>
            <w:tcBorders>
              <w:top w:val="nil"/>
              <w:left w:val="nil"/>
              <w:bottom w:val="nil"/>
              <w:right w:val="nil"/>
            </w:tcBorders>
            <w:vAlign w:val="bottom"/>
          </w:tcPr>
          <w:p w14:paraId="7F1EA687" w14:textId="77777777" w:rsidR="0039689F" w:rsidRPr="001E6A24" w:rsidRDefault="0039689F">
            <w:pPr>
              <w:pStyle w:val="TableText"/>
              <w:tabs>
                <w:tab w:val="left" w:pos="3306"/>
              </w:tabs>
              <w:jc w:val="right"/>
              <w:rPr>
                <w:rFonts w:cs="Calibri"/>
              </w:rPr>
            </w:pPr>
          </w:p>
        </w:tc>
        <w:tc>
          <w:tcPr>
            <w:tcW w:w="676" w:type="pct"/>
            <w:tcBorders>
              <w:top w:val="nil"/>
              <w:left w:val="nil"/>
              <w:bottom w:val="nil"/>
              <w:right w:val="nil"/>
            </w:tcBorders>
            <w:vAlign w:val="bottom"/>
          </w:tcPr>
          <w:p w14:paraId="55E773D1" w14:textId="77777777" w:rsidR="0039689F" w:rsidRPr="001E6A24" w:rsidRDefault="0039689F">
            <w:pPr>
              <w:pStyle w:val="TableText"/>
              <w:tabs>
                <w:tab w:val="left" w:pos="3306"/>
              </w:tabs>
              <w:jc w:val="right"/>
              <w:rPr>
                <w:rFonts w:cs="Calibri"/>
              </w:rPr>
            </w:pPr>
          </w:p>
        </w:tc>
      </w:tr>
      <w:tr w:rsidR="000144FF" w:rsidRPr="00CF7E1B" w14:paraId="08CEA363" w14:textId="77777777" w:rsidTr="002F4A89">
        <w:trPr>
          <w:trHeight w:val="23"/>
        </w:trPr>
        <w:tc>
          <w:tcPr>
            <w:tcW w:w="746" w:type="pct"/>
            <w:tcBorders>
              <w:top w:val="nil"/>
              <w:left w:val="single" w:sz="2" w:space="0" w:color="auto"/>
              <w:bottom w:val="nil"/>
              <w:right w:val="single" w:sz="2" w:space="0" w:color="auto"/>
            </w:tcBorders>
            <w:vAlign w:val="bottom"/>
          </w:tcPr>
          <w:p w14:paraId="4F8A1403" w14:textId="0BD4D8F9" w:rsidR="000144FF" w:rsidRPr="001E6A24" w:rsidRDefault="000144FF" w:rsidP="0085213D">
            <w:pPr>
              <w:pStyle w:val="TableReference"/>
              <w:tabs>
                <w:tab w:val="left" w:pos="3306"/>
              </w:tabs>
              <w:spacing w:before="40"/>
              <w:rPr>
                <w:rFonts w:cs="Calibri"/>
                <w:strike/>
                <w:color w:val="7030A0"/>
                <w:sz w:val="16"/>
                <w:szCs w:val="16"/>
              </w:rPr>
            </w:pPr>
          </w:p>
        </w:tc>
        <w:tc>
          <w:tcPr>
            <w:tcW w:w="2824" w:type="pct"/>
            <w:gridSpan w:val="2"/>
            <w:tcBorders>
              <w:top w:val="nil"/>
              <w:left w:val="single" w:sz="2" w:space="0" w:color="auto"/>
              <w:bottom w:val="nil"/>
              <w:right w:val="nil"/>
            </w:tcBorders>
            <w:vAlign w:val="bottom"/>
          </w:tcPr>
          <w:p w14:paraId="7F2E980B" w14:textId="25BD9FB2" w:rsidR="000144FF" w:rsidRPr="001E6A24" w:rsidRDefault="000144FF">
            <w:pPr>
              <w:pStyle w:val="TableText"/>
              <w:tabs>
                <w:tab w:val="left" w:pos="3306"/>
              </w:tabs>
              <w:rPr>
                <w:rFonts w:cs="Calibri"/>
              </w:rPr>
            </w:pPr>
            <w:r w:rsidRPr="001E6A24">
              <w:rPr>
                <w:rFonts w:cs="Calibri"/>
              </w:rPr>
              <w:t>Rent</w:t>
            </w:r>
            <w:r w:rsidR="0008124A" w:rsidRPr="001E6A24">
              <w:rPr>
                <w:rFonts w:cs="Calibri"/>
              </w:rPr>
              <w:t>al Expense Arising from Sub-L</w:t>
            </w:r>
            <w:r w:rsidRPr="001E6A24">
              <w:rPr>
                <w:rFonts w:cs="Calibri"/>
              </w:rPr>
              <w:t>eases</w:t>
            </w:r>
          </w:p>
        </w:tc>
        <w:tc>
          <w:tcPr>
            <w:tcW w:w="754" w:type="pct"/>
            <w:gridSpan w:val="2"/>
            <w:tcBorders>
              <w:top w:val="nil"/>
              <w:left w:val="nil"/>
              <w:bottom w:val="nil"/>
              <w:right w:val="nil"/>
            </w:tcBorders>
            <w:vAlign w:val="bottom"/>
          </w:tcPr>
          <w:p w14:paraId="398BDFD9" w14:textId="0D1C57B3" w:rsidR="000144FF" w:rsidRPr="001E6A2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4617596E" w14:textId="0D764406" w:rsidR="000144FF" w:rsidRPr="001E6A24" w:rsidRDefault="000144FF">
            <w:pPr>
              <w:pStyle w:val="TableText"/>
              <w:tabs>
                <w:tab w:val="left" w:pos="3306"/>
              </w:tabs>
              <w:jc w:val="right"/>
              <w:rPr>
                <w:rFonts w:cs="Calibri"/>
              </w:rPr>
            </w:pPr>
          </w:p>
        </w:tc>
      </w:tr>
      <w:tr w:rsidR="00E659C7" w:rsidRPr="00CF7E1B" w14:paraId="03F30372" w14:textId="77777777" w:rsidTr="002F4A89">
        <w:trPr>
          <w:trHeight w:val="23"/>
        </w:trPr>
        <w:tc>
          <w:tcPr>
            <w:tcW w:w="746" w:type="pct"/>
            <w:tcBorders>
              <w:top w:val="nil"/>
              <w:left w:val="single" w:sz="2" w:space="0" w:color="auto"/>
              <w:bottom w:val="nil"/>
              <w:right w:val="single" w:sz="2" w:space="0" w:color="auto"/>
            </w:tcBorders>
            <w:vAlign w:val="bottom"/>
          </w:tcPr>
          <w:p w14:paraId="279F6EF8" w14:textId="01ACB2C0" w:rsidR="00E659C7" w:rsidRPr="001E6A24" w:rsidRDefault="00C25808" w:rsidP="0085213D">
            <w:pPr>
              <w:pStyle w:val="TableReference"/>
              <w:tabs>
                <w:tab w:val="left" w:pos="3306"/>
              </w:tabs>
              <w:spacing w:before="40"/>
              <w:rPr>
                <w:rFonts w:cs="Calibri"/>
                <w:strike/>
                <w:color w:val="7030A0"/>
                <w:sz w:val="14"/>
              </w:rPr>
            </w:pPr>
            <w:r w:rsidRPr="001E6A24">
              <w:rPr>
                <w:color w:val="7030A0"/>
                <w:sz w:val="14"/>
              </w:rPr>
              <w:t>AASB 16.53(e)</w:t>
            </w:r>
          </w:p>
        </w:tc>
        <w:tc>
          <w:tcPr>
            <w:tcW w:w="2824" w:type="pct"/>
            <w:gridSpan w:val="2"/>
            <w:tcBorders>
              <w:top w:val="nil"/>
              <w:left w:val="single" w:sz="2" w:space="0" w:color="auto"/>
              <w:bottom w:val="nil"/>
              <w:right w:val="nil"/>
            </w:tcBorders>
            <w:vAlign w:val="bottom"/>
          </w:tcPr>
          <w:p w14:paraId="2A70F943" w14:textId="3C389A97" w:rsidR="00E659C7" w:rsidRPr="001E6A24" w:rsidRDefault="00E659C7">
            <w:pPr>
              <w:pStyle w:val="TableText"/>
              <w:tabs>
                <w:tab w:val="left" w:pos="3306"/>
              </w:tabs>
              <w:rPr>
                <w:rFonts w:cs="Calibri"/>
              </w:rPr>
            </w:pPr>
            <w:r w:rsidRPr="001E6A24">
              <w:rPr>
                <w:rFonts w:cstheme="minorHAnsi"/>
              </w:rPr>
              <w:t xml:space="preserve">Variable </w:t>
            </w:r>
            <w:r w:rsidR="00B076DD" w:rsidRPr="001E6A24">
              <w:rPr>
                <w:rFonts w:cstheme="minorHAnsi"/>
              </w:rPr>
              <w:t>L</w:t>
            </w:r>
            <w:r w:rsidRPr="001E6A24">
              <w:rPr>
                <w:rFonts w:cstheme="minorHAnsi"/>
              </w:rPr>
              <w:t xml:space="preserve">ease </w:t>
            </w:r>
            <w:r w:rsidR="00B076DD" w:rsidRPr="001E6A24">
              <w:rPr>
                <w:rFonts w:cstheme="minorHAnsi"/>
              </w:rPr>
              <w:t>P</w:t>
            </w:r>
            <w:r w:rsidRPr="001E6A24">
              <w:rPr>
                <w:rFonts w:cstheme="minorHAnsi"/>
              </w:rPr>
              <w:t xml:space="preserve">ayments based on </w:t>
            </w:r>
            <w:r w:rsidR="00B076DD" w:rsidRPr="001E6A24">
              <w:rPr>
                <w:rFonts w:cstheme="minorHAnsi"/>
              </w:rPr>
              <w:t>U</w:t>
            </w:r>
            <w:r w:rsidRPr="001E6A24">
              <w:rPr>
                <w:rFonts w:cstheme="minorHAnsi"/>
              </w:rPr>
              <w:t xml:space="preserve">sage not included in the </w:t>
            </w:r>
            <w:r w:rsidR="00B076DD" w:rsidRPr="001E6A24">
              <w:rPr>
                <w:rFonts w:cstheme="minorHAnsi"/>
              </w:rPr>
              <w:t>L</w:t>
            </w:r>
            <w:r w:rsidRPr="001E6A24">
              <w:rPr>
                <w:rFonts w:cstheme="minorHAnsi"/>
              </w:rPr>
              <w:t xml:space="preserve">ease </w:t>
            </w:r>
            <w:r w:rsidR="00B076DD" w:rsidRPr="001E6A24">
              <w:rPr>
                <w:rFonts w:cstheme="minorHAnsi"/>
              </w:rPr>
              <w:t>L</w:t>
            </w:r>
            <w:r w:rsidRPr="001E6A24">
              <w:rPr>
                <w:rFonts w:cstheme="minorHAnsi"/>
              </w:rPr>
              <w:t>iability</w:t>
            </w:r>
          </w:p>
        </w:tc>
        <w:tc>
          <w:tcPr>
            <w:tcW w:w="754" w:type="pct"/>
            <w:gridSpan w:val="2"/>
            <w:tcBorders>
              <w:top w:val="nil"/>
              <w:left w:val="nil"/>
              <w:bottom w:val="nil"/>
              <w:right w:val="nil"/>
            </w:tcBorders>
            <w:vAlign w:val="bottom"/>
          </w:tcPr>
          <w:p w14:paraId="4B1738A9" w14:textId="77777777" w:rsidR="00E659C7" w:rsidRPr="001E6A24" w:rsidRDefault="00E659C7">
            <w:pPr>
              <w:pStyle w:val="TableText"/>
              <w:tabs>
                <w:tab w:val="left" w:pos="3306"/>
              </w:tabs>
              <w:jc w:val="right"/>
              <w:rPr>
                <w:rFonts w:cs="Calibri"/>
              </w:rPr>
            </w:pPr>
          </w:p>
        </w:tc>
        <w:tc>
          <w:tcPr>
            <w:tcW w:w="676" w:type="pct"/>
            <w:tcBorders>
              <w:top w:val="nil"/>
              <w:left w:val="nil"/>
              <w:bottom w:val="nil"/>
              <w:right w:val="nil"/>
            </w:tcBorders>
            <w:vAlign w:val="bottom"/>
          </w:tcPr>
          <w:p w14:paraId="54E58382" w14:textId="77777777" w:rsidR="00E659C7" w:rsidRPr="001E6A24" w:rsidRDefault="00E659C7">
            <w:pPr>
              <w:pStyle w:val="TableText"/>
              <w:tabs>
                <w:tab w:val="left" w:pos="3306"/>
              </w:tabs>
              <w:jc w:val="right"/>
              <w:rPr>
                <w:rFonts w:cs="Calibri"/>
              </w:rPr>
            </w:pPr>
          </w:p>
        </w:tc>
      </w:tr>
      <w:tr w:rsidR="00661AF6" w:rsidRPr="00CF7E1B" w14:paraId="3FD9ECAF" w14:textId="77777777" w:rsidTr="002F4A89">
        <w:trPr>
          <w:trHeight w:val="23"/>
        </w:trPr>
        <w:tc>
          <w:tcPr>
            <w:tcW w:w="746" w:type="pct"/>
            <w:tcBorders>
              <w:top w:val="nil"/>
              <w:left w:val="single" w:sz="2" w:space="0" w:color="auto"/>
              <w:bottom w:val="nil"/>
              <w:right w:val="single" w:sz="2" w:space="0" w:color="auto"/>
            </w:tcBorders>
            <w:vAlign w:val="bottom"/>
          </w:tcPr>
          <w:p w14:paraId="4FF23F2F" w14:textId="77777777" w:rsidR="00661AF6" w:rsidRPr="001E6A24" w:rsidRDefault="00661AF6" w:rsidP="0085213D">
            <w:pPr>
              <w:pStyle w:val="TableReference"/>
              <w:tabs>
                <w:tab w:val="left" w:pos="3306"/>
              </w:tabs>
              <w:spacing w:before="40"/>
              <w:rPr>
                <w:rFonts w:cs="Calibri"/>
                <w:strike/>
                <w:color w:val="7030A0"/>
                <w:sz w:val="16"/>
                <w:szCs w:val="16"/>
              </w:rPr>
            </w:pPr>
          </w:p>
        </w:tc>
        <w:tc>
          <w:tcPr>
            <w:tcW w:w="2824" w:type="pct"/>
            <w:gridSpan w:val="2"/>
            <w:tcBorders>
              <w:top w:val="nil"/>
              <w:left w:val="single" w:sz="2" w:space="0" w:color="auto"/>
              <w:bottom w:val="nil"/>
              <w:right w:val="nil"/>
            </w:tcBorders>
            <w:vAlign w:val="bottom"/>
          </w:tcPr>
          <w:p w14:paraId="1B6EC585" w14:textId="56C22C10" w:rsidR="00661AF6" w:rsidRPr="001E6A24" w:rsidRDefault="00661AF6">
            <w:pPr>
              <w:pStyle w:val="TableText"/>
              <w:tabs>
                <w:tab w:val="left" w:pos="3306"/>
              </w:tabs>
              <w:rPr>
                <w:rFonts w:cs="Calibri"/>
              </w:rPr>
            </w:pPr>
            <w:r w:rsidRPr="001E6A24">
              <w:rPr>
                <w:rFonts w:cs="Calibri"/>
              </w:rPr>
              <w:t>Service Concession Arrangement – Service Expenses</w:t>
            </w:r>
          </w:p>
        </w:tc>
        <w:tc>
          <w:tcPr>
            <w:tcW w:w="754" w:type="pct"/>
            <w:gridSpan w:val="2"/>
            <w:tcBorders>
              <w:top w:val="nil"/>
              <w:left w:val="nil"/>
              <w:bottom w:val="nil"/>
              <w:right w:val="nil"/>
            </w:tcBorders>
            <w:vAlign w:val="bottom"/>
          </w:tcPr>
          <w:p w14:paraId="039C31D2" w14:textId="77777777" w:rsidR="00661AF6" w:rsidRPr="001E6A24" w:rsidRDefault="00661AF6">
            <w:pPr>
              <w:pStyle w:val="TableText"/>
              <w:tabs>
                <w:tab w:val="left" w:pos="3306"/>
              </w:tabs>
              <w:jc w:val="right"/>
              <w:rPr>
                <w:rFonts w:cs="Calibri"/>
              </w:rPr>
            </w:pPr>
          </w:p>
        </w:tc>
        <w:tc>
          <w:tcPr>
            <w:tcW w:w="676" w:type="pct"/>
            <w:tcBorders>
              <w:top w:val="nil"/>
              <w:left w:val="nil"/>
              <w:bottom w:val="nil"/>
              <w:right w:val="nil"/>
            </w:tcBorders>
            <w:vAlign w:val="bottom"/>
          </w:tcPr>
          <w:p w14:paraId="1A30091A" w14:textId="77777777" w:rsidR="00661AF6" w:rsidRPr="001E6A24" w:rsidRDefault="00661AF6">
            <w:pPr>
              <w:pStyle w:val="TableText"/>
              <w:tabs>
                <w:tab w:val="left" w:pos="3306"/>
              </w:tabs>
              <w:jc w:val="right"/>
              <w:rPr>
                <w:rFonts w:cs="Calibri"/>
              </w:rPr>
            </w:pPr>
          </w:p>
        </w:tc>
      </w:tr>
      <w:tr w:rsidR="00E22C9D" w:rsidRPr="00CF7E1B" w14:paraId="4B7594D5" w14:textId="77777777" w:rsidTr="002F4A89">
        <w:trPr>
          <w:trHeight w:val="23"/>
        </w:trPr>
        <w:tc>
          <w:tcPr>
            <w:tcW w:w="746" w:type="pct"/>
            <w:tcBorders>
              <w:top w:val="nil"/>
              <w:left w:val="single" w:sz="2" w:space="0" w:color="auto"/>
              <w:bottom w:val="nil"/>
              <w:right w:val="single" w:sz="2" w:space="0" w:color="auto"/>
            </w:tcBorders>
          </w:tcPr>
          <w:p w14:paraId="7A5EB8F2" w14:textId="77777777" w:rsidR="00E22C9D" w:rsidRPr="001E6A24" w:rsidRDefault="00E22C9D" w:rsidP="00E22C9D">
            <w:pPr>
              <w:pStyle w:val="TableReference"/>
              <w:tabs>
                <w:tab w:val="left" w:pos="3306"/>
              </w:tabs>
              <w:spacing w:before="40"/>
              <w:rPr>
                <w:rFonts w:cs="Calibri"/>
                <w:color w:val="7030A0"/>
                <w:sz w:val="16"/>
                <w:szCs w:val="16"/>
              </w:rPr>
            </w:pPr>
          </w:p>
        </w:tc>
        <w:tc>
          <w:tcPr>
            <w:tcW w:w="2824" w:type="pct"/>
            <w:gridSpan w:val="2"/>
            <w:tcBorders>
              <w:top w:val="nil"/>
              <w:left w:val="single" w:sz="2" w:space="0" w:color="auto"/>
              <w:bottom w:val="nil"/>
              <w:right w:val="nil"/>
            </w:tcBorders>
            <w:vAlign w:val="bottom"/>
          </w:tcPr>
          <w:p w14:paraId="1EEA0DA8" w14:textId="77777777" w:rsidR="00E22C9D" w:rsidRPr="001E6A24" w:rsidRDefault="00E22C9D" w:rsidP="00E22C9D">
            <w:pPr>
              <w:pStyle w:val="TableText"/>
              <w:tabs>
                <w:tab w:val="left" w:pos="3306"/>
              </w:tabs>
              <w:rPr>
                <w:rFonts w:cs="Calibri"/>
              </w:rPr>
            </w:pPr>
            <w:r w:rsidRPr="001E6A24">
              <w:rPr>
                <w:rFonts w:cs="Calibri"/>
              </w:rPr>
              <w:t>Other</w:t>
            </w:r>
          </w:p>
        </w:tc>
        <w:tc>
          <w:tcPr>
            <w:tcW w:w="754" w:type="pct"/>
            <w:gridSpan w:val="2"/>
            <w:tcBorders>
              <w:top w:val="nil"/>
              <w:left w:val="nil"/>
              <w:bottom w:val="single" w:sz="2" w:space="0" w:color="auto"/>
              <w:right w:val="nil"/>
            </w:tcBorders>
            <w:vAlign w:val="bottom"/>
          </w:tcPr>
          <w:p w14:paraId="141AB5AF" w14:textId="7795FB20" w:rsidR="00E22C9D" w:rsidRPr="001E6A24" w:rsidRDefault="00E22C9D" w:rsidP="00E22C9D">
            <w:pPr>
              <w:pStyle w:val="TableText"/>
              <w:tabs>
                <w:tab w:val="left" w:pos="3306"/>
              </w:tabs>
              <w:jc w:val="right"/>
              <w:rPr>
                <w:rFonts w:cs="Calibri"/>
              </w:rPr>
            </w:pPr>
          </w:p>
        </w:tc>
        <w:tc>
          <w:tcPr>
            <w:tcW w:w="676" w:type="pct"/>
            <w:tcBorders>
              <w:top w:val="nil"/>
              <w:left w:val="nil"/>
              <w:bottom w:val="single" w:sz="2" w:space="0" w:color="auto"/>
              <w:right w:val="nil"/>
            </w:tcBorders>
            <w:vAlign w:val="bottom"/>
          </w:tcPr>
          <w:p w14:paraId="5FB8B145" w14:textId="135D2660" w:rsidR="00E22C9D" w:rsidRPr="001E6A24" w:rsidRDefault="00E22C9D" w:rsidP="00E22C9D">
            <w:pPr>
              <w:pStyle w:val="TableText"/>
              <w:tabs>
                <w:tab w:val="left" w:pos="3306"/>
              </w:tabs>
              <w:jc w:val="right"/>
              <w:rPr>
                <w:rFonts w:cs="Calibri"/>
              </w:rPr>
            </w:pPr>
          </w:p>
        </w:tc>
      </w:tr>
      <w:tr w:rsidR="00E22C9D" w:rsidRPr="00CF7E1B" w14:paraId="75CA480B" w14:textId="77777777" w:rsidTr="002F4A89">
        <w:trPr>
          <w:trHeight w:val="23"/>
        </w:trPr>
        <w:tc>
          <w:tcPr>
            <w:tcW w:w="746" w:type="pct"/>
            <w:tcBorders>
              <w:top w:val="nil"/>
              <w:left w:val="single" w:sz="2" w:space="0" w:color="auto"/>
              <w:bottom w:val="nil"/>
              <w:right w:val="single" w:sz="2" w:space="0" w:color="auto"/>
            </w:tcBorders>
          </w:tcPr>
          <w:p w14:paraId="78DB9760" w14:textId="77777777" w:rsidR="00E22C9D" w:rsidRPr="00A7058E" w:rsidRDefault="00E22C9D" w:rsidP="00E22C9D">
            <w:pPr>
              <w:pStyle w:val="TableReference"/>
              <w:tabs>
                <w:tab w:val="left" w:pos="3306"/>
              </w:tabs>
              <w:spacing w:before="40"/>
              <w:rPr>
                <w:rFonts w:cs="Calibri"/>
                <w:color w:val="000000"/>
                <w:sz w:val="16"/>
                <w:szCs w:val="16"/>
              </w:rPr>
            </w:pPr>
          </w:p>
        </w:tc>
        <w:tc>
          <w:tcPr>
            <w:tcW w:w="2824" w:type="pct"/>
            <w:gridSpan w:val="2"/>
            <w:tcBorders>
              <w:top w:val="nil"/>
              <w:left w:val="single" w:sz="2" w:space="0" w:color="auto"/>
              <w:bottom w:val="nil"/>
              <w:right w:val="nil"/>
            </w:tcBorders>
            <w:vAlign w:val="bottom"/>
          </w:tcPr>
          <w:p w14:paraId="1B4B4293" w14:textId="77777777" w:rsidR="00E22C9D" w:rsidRPr="00CF7E1B" w:rsidRDefault="00E22C9D" w:rsidP="00E22C9D">
            <w:pPr>
              <w:pStyle w:val="TableText"/>
              <w:tabs>
                <w:tab w:val="left" w:pos="3306"/>
              </w:tabs>
              <w:rPr>
                <w:rFonts w:cs="Calibri"/>
                <w:b/>
                <w:bCs/>
              </w:rPr>
            </w:pPr>
            <w:bookmarkStart w:id="422" w:name="_Toc48468455"/>
            <w:bookmarkStart w:id="423" w:name="_Toc49155573"/>
            <w:bookmarkStart w:id="424" w:name="_Toc49224025"/>
            <w:r w:rsidRPr="00CF7E1B">
              <w:rPr>
                <w:rFonts w:cs="Calibri"/>
                <w:b/>
                <w:bCs/>
              </w:rPr>
              <w:t>Total Supplies and Services</w:t>
            </w:r>
            <w:bookmarkEnd w:id="422"/>
            <w:bookmarkEnd w:id="423"/>
            <w:bookmarkEnd w:id="424"/>
          </w:p>
        </w:tc>
        <w:tc>
          <w:tcPr>
            <w:tcW w:w="754" w:type="pct"/>
            <w:gridSpan w:val="2"/>
            <w:tcBorders>
              <w:top w:val="single" w:sz="2" w:space="0" w:color="auto"/>
              <w:left w:val="nil"/>
              <w:bottom w:val="double" w:sz="4" w:space="0" w:color="auto"/>
              <w:right w:val="nil"/>
            </w:tcBorders>
            <w:vAlign w:val="bottom"/>
          </w:tcPr>
          <w:p w14:paraId="3145CF41" w14:textId="78DF0872" w:rsidR="00E22C9D" w:rsidRPr="00CF7E1B" w:rsidRDefault="00E22C9D" w:rsidP="00E22C9D">
            <w:pPr>
              <w:pStyle w:val="TableText"/>
              <w:tabs>
                <w:tab w:val="left" w:pos="3306"/>
              </w:tabs>
              <w:jc w:val="right"/>
              <w:rPr>
                <w:rFonts w:cs="Calibri"/>
                <w:b/>
                <w:bCs/>
              </w:rPr>
            </w:pPr>
          </w:p>
        </w:tc>
        <w:tc>
          <w:tcPr>
            <w:tcW w:w="676" w:type="pct"/>
            <w:tcBorders>
              <w:top w:val="single" w:sz="2" w:space="0" w:color="auto"/>
              <w:left w:val="nil"/>
              <w:bottom w:val="double" w:sz="4" w:space="0" w:color="auto"/>
              <w:right w:val="nil"/>
            </w:tcBorders>
            <w:vAlign w:val="bottom"/>
          </w:tcPr>
          <w:p w14:paraId="5E2CBFE3" w14:textId="4FCFFB0D" w:rsidR="00E22C9D" w:rsidRPr="00CF7E1B" w:rsidRDefault="00E22C9D" w:rsidP="00E22C9D">
            <w:pPr>
              <w:pStyle w:val="TableText"/>
              <w:tabs>
                <w:tab w:val="left" w:pos="3306"/>
              </w:tabs>
              <w:jc w:val="right"/>
              <w:rPr>
                <w:rFonts w:cs="Calibri"/>
                <w:b/>
                <w:bCs/>
              </w:rPr>
            </w:pPr>
          </w:p>
        </w:tc>
      </w:tr>
      <w:bookmarkEnd w:id="402"/>
      <w:bookmarkEnd w:id="403"/>
      <w:tr w:rsidR="00B13E02" w:rsidRPr="00CF7E1B" w14:paraId="4A43A472" w14:textId="77777777" w:rsidTr="002F4A89">
        <w:trPr>
          <w:trHeight w:val="23"/>
        </w:trPr>
        <w:tc>
          <w:tcPr>
            <w:tcW w:w="746" w:type="pct"/>
            <w:tcBorders>
              <w:top w:val="nil"/>
              <w:left w:val="single" w:sz="2" w:space="0" w:color="auto"/>
              <w:bottom w:val="nil"/>
              <w:right w:val="single" w:sz="2" w:space="0" w:color="auto"/>
            </w:tcBorders>
          </w:tcPr>
          <w:p w14:paraId="6C3AD35E" w14:textId="77777777" w:rsidR="00B13E02" w:rsidRPr="00A7058E" w:rsidRDefault="00B13E02" w:rsidP="00B13E02">
            <w:pPr>
              <w:pStyle w:val="TableReference"/>
              <w:tabs>
                <w:tab w:val="left" w:pos="3306"/>
              </w:tabs>
              <w:spacing w:before="40"/>
              <w:rPr>
                <w:rFonts w:cs="Calibri"/>
                <w:color w:val="000000"/>
                <w:sz w:val="16"/>
                <w:szCs w:val="16"/>
              </w:rPr>
            </w:pPr>
          </w:p>
        </w:tc>
        <w:tc>
          <w:tcPr>
            <w:tcW w:w="4254" w:type="pct"/>
            <w:gridSpan w:val="5"/>
            <w:tcBorders>
              <w:top w:val="nil"/>
              <w:left w:val="single" w:sz="2" w:space="0" w:color="auto"/>
              <w:bottom w:val="nil"/>
              <w:right w:val="nil"/>
            </w:tcBorders>
            <w:vAlign w:val="bottom"/>
          </w:tcPr>
          <w:p w14:paraId="27CBA347" w14:textId="5C4925C1" w:rsidR="00B13E02" w:rsidRPr="001E6A24" w:rsidRDefault="00B13E02" w:rsidP="006C7C66">
            <w:pPr>
              <w:pStyle w:val="TableText"/>
              <w:tabs>
                <w:tab w:val="left" w:pos="3306"/>
              </w:tabs>
              <w:spacing w:before="120" w:after="60"/>
              <w:ind w:left="193" w:hanging="193"/>
              <w:jc w:val="both"/>
              <w:rPr>
                <w:rFonts w:cs="Calibri"/>
              </w:rPr>
            </w:pPr>
            <w:r w:rsidRPr="001E6A24">
              <w:rPr>
                <w:rFonts w:cs="Calibri"/>
              </w:rPr>
              <w:t>a)</w:t>
            </w:r>
            <w:r w:rsidRPr="001E6A24">
              <w:rPr>
                <w:rFonts w:cs="Calibri"/>
              </w:rPr>
              <w:tab/>
              <w:t>The increase in legal expenses of $xxx was due to the litigation arising from related claims.</w:t>
            </w:r>
            <w:r w:rsidR="00FA7C77">
              <w:rPr>
                <w:rFonts w:cs="Calibri"/>
              </w:rPr>
              <w:t xml:space="preserve"> </w:t>
            </w:r>
            <w:r w:rsidRPr="001E6A24">
              <w:rPr>
                <w:rFonts w:cs="Calibri"/>
              </w:rPr>
              <w:t>These legal expenses related to court costs, such as engaging the services of barristers.</w:t>
            </w:r>
            <w:r w:rsidR="00FA7C77">
              <w:rPr>
                <w:rFonts w:cs="Calibri"/>
              </w:rPr>
              <w:t xml:space="preserve"> </w:t>
            </w:r>
          </w:p>
        </w:tc>
      </w:tr>
      <w:tr w:rsidR="00B13E02" w:rsidRPr="00CF7E1B" w14:paraId="5FC0A6F7" w14:textId="77777777" w:rsidTr="002F4A89">
        <w:trPr>
          <w:trHeight w:val="23"/>
        </w:trPr>
        <w:tc>
          <w:tcPr>
            <w:tcW w:w="746" w:type="pct"/>
            <w:tcBorders>
              <w:top w:val="nil"/>
              <w:left w:val="single" w:sz="2" w:space="0" w:color="auto"/>
              <w:bottom w:val="nil"/>
              <w:right w:val="single" w:sz="2" w:space="0" w:color="auto"/>
            </w:tcBorders>
          </w:tcPr>
          <w:p w14:paraId="20089876" w14:textId="77777777" w:rsidR="00B13E02" w:rsidRPr="00A7058E" w:rsidRDefault="00B13E02" w:rsidP="00B13E02">
            <w:pPr>
              <w:pStyle w:val="TableReference"/>
              <w:tabs>
                <w:tab w:val="left" w:pos="3306"/>
              </w:tabs>
              <w:spacing w:before="40"/>
              <w:rPr>
                <w:rFonts w:cs="Calibri"/>
                <w:color w:val="000000"/>
                <w:sz w:val="16"/>
                <w:szCs w:val="16"/>
              </w:rPr>
            </w:pPr>
          </w:p>
        </w:tc>
        <w:tc>
          <w:tcPr>
            <w:tcW w:w="4254" w:type="pct"/>
            <w:gridSpan w:val="5"/>
            <w:tcBorders>
              <w:top w:val="nil"/>
              <w:left w:val="single" w:sz="2" w:space="0" w:color="auto"/>
              <w:bottom w:val="nil"/>
              <w:right w:val="nil"/>
            </w:tcBorders>
            <w:vAlign w:val="bottom"/>
          </w:tcPr>
          <w:p w14:paraId="04CDA1B1" w14:textId="639A2ADD" w:rsidR="00B13E02" w:rsidRPr="001E6A24" w:rsidRDefault="00B13E02" w:rsidP="00B13E02">
            <w:pPr>
              <w:pStyle w:val="TableText"/>
              <w:tabs>
                <w:tab w:val="left" w:pos="3306"/>
              </w:tabs>
              <w:spacing w:before="0" w:after="60"/>
              <w:ind w:left="193" w:hanging="193"/>
              <w:jc w:val="both"/>
              <w:rPr>
                <w:rFonts w:cs="Calibri"/>
              </w:rPr>
            </w:pPr>
            <w:r w:rsidRPr="001E6A24">
              <w:rPr>
                <w:rFonts w:cs="Calibri"/>
              </w:rPr>
              <w:t>b)</w:t>
            </w:r>
            <w:r w:rsidRPr="001E6A24">
              <w:rPr>
                <w:rFonts w:cs="Calibri"/>
              </w:rPr>
              <w:tab/>
              <w:t>The decrease in contractors and consultants of $xxx is due to an increase in the number of staff employed resulting in a decreased demand for contracting and consulting services.</w:t>
            </w:r>
          </w:p>
        </w:tc>
      </w:tr>
      <w:tr w:rsidR="00B13E02" w:rsidRPr="00CF7E1B" w14:paraId="05DB2ADB" w14:textId="77777777" w:rsidTr="002F4A89">
        <w:trPr>
          <w:trHeight w:val="23"/>
        </w:trPr>
        <w:tc>
          <w:tcPr>
            <w:tcW w:w="746" w:type="pct"/>
            <w:tcBorders>
              <w:top w:val="nil"/>
              <w:left w:val="single" w:sz="2" w:space="0" w:color="auto"/>
              <w:bottom w:val="nil"/>
              <w:right w:val="single" w:sz="2" w:space="0" w:color="auto"/>
            </w:tcBorders>
          </w:tcPr>
          <w:p w14:paraId="7CD23D40" w14:textId="77777777" w:rsidR="00B13E02" w:rsidRPr="00A7058E" w:rsidRDefault="00B13E02" w:rsidP="00B13E02">
            <w:pPr>
              <w:pStyle w:val="TableReference"/>
              <w:tabs>
                <w:tab w:val="left" w:pos="3306"/>
              </w:tabs>
              <w:spacing w:before="40"/>
              <w:rPr>
                <w:rFonts w:cs="Calibri"/>
                <w:color w:val="000000"/>
                <w:sz w:val="16"/>
                <w:szCs w:val="16"/>
              </w:rPr>
            </w:pPr>
          </w:p>
        </w:tc>
        <w:tc>
          <w:tcPr>
            <w:tcW w:w="4254" w:type="pct"/>
            <w:gridSpan w:val="5"/>
            <w:tcBorders>
              <w:top w:val="nil"/>
              <w:left w:val="single" w:sz="2" w:space="0" w:color="auto"/>
              <w:bottom w:val="nil"/>
              <w:right w:val="nil"/>
            </w:tcBorders>
            <w:vAlign w:val="bottom"/>
          </w:tcPr>
          <w:p w14:paraId="2884B331" w14:textId="6C98E15F" w:rsidR="00B13E02" w:rsidRPr="001E6A24" w:rsidRDefault="00B13E02" w:rsidP="00B13E02">
            <w:pPr>
              <w:pStyle w:val="TableText"/>
              <w:tabs>
                <w:tab w:val="left" w:pos="3306"/>
              </w:tabs>
              <w:spacing w:before="0" w:after="60"/>
              <w:ind w:left="193" w:hanging="193"/>
              <w:jc w:val="both"/>
              <w:rPr>
                <w:rFonts w:cs="Calibri"/>
              </w:rPr>
            </w:pPr>
            <w:r w:rsidRPr="001E6A24">
              <w:rPr>
                <w:rFonts w:cs="Calibri"/>
              </w:rPr>
              <w:t>c)</w:t>
            </w:r>
            <w:r w:rsidRPr="001E6A24">
              <w:rPr>
                <w:rFonts w:cs="Calibri"/>
              </w:rPr>
              <w:tab/>
              <w:t>The decrease in consumable stores and supplies of $xxx is due to the increase in the repairs and maintenance of infrastructure assets.</w:t>
            </w:r>
          </w:p>
        </w:tc>
      </w:tr>
      <w:tr w:rsidR="00B13E02" w:rsidRPr="00CF7E1B" w14:paraId="3807D17F" w14:textId="77777777" w:rsidTr="002F4A89">
        <w:trPr>
          <w:trHeight w:val="23"/>
        </w:trPr>
        <w:tc>
          <w:tcPr>
            <w:tcW w:w="746" w:type="pct"/>
            <w:tcBorders>
              <w:top w:val="nil"/>
              <w:left w:val="single" w:sz="2" w:space="0" w:color="auto"/>
              <w:bottom w:val="nil"/>
              <w:right w:val="single" w:sz="2" w:space="0" w:color="auto"/>
            </w:tcBorders>
          </w:tcPr>
          <w:p w14:paraId="4407D50C" w14:textId="77777777" w:rsidR="00B13E02" w:rsidRPr="00A7058E" w:rsidRDefault="00B13E02" w:rsidP="00B13E02">
            <w:pPr>
              <w:pStyle w:val="TableReference"/>
              <w:tabs>
                <w:tab w:val="left" w:pos="3306"/>
              </w:tabs>
              <w:spacing w:before="40"/>
              <w:rPr>
                <w:rFonts w:cs="Calibri"/>
                <w:color w:val="000000"/>
                <w:sz w:val="16"/>
                <w:szCs w:val="16"/>
              </w:rPr>
            </w:pPr>
          </w:p>
        </w:tc>
        <w:tc>
          <w:tcPr>
            <w:tcW w:w="4254" w:type="pct"/>
            <w:gridSpan w:val="5"/>
            <w:tcBorders>
              <w:top w:val="nil"/>
              <w:left w:val="single" w:sz="2" w:space="0" w:color="auto"/>
              <w:bottom w:val="nil"/>
              <w:right w:val="nil"/>
            </w:tcBorders>
            <w:vAlign w:val="bottom"/>
          </w:tcPr>
          <w:p w14:paraId="7B84FDC1" w14:textId="3DFBF912" w:rsidR="00B13E02" w:rsidRPr="001E6A24" w:rsidRDefault="00B13E02" w:rsidP="00B13E02">
            <w:pPr>
              <w:pStyle w:val="TableText"/>
              <w:tabs>
                <w:tab w:val="left" w:pos="3306"/>
              </w:tabs>
              <w:spacing w:before="0" w:after="60"/>
              <w:ind w:left="193" w:hanging="193"/>
              <w:jc w:val="both"/>
              <w:rPr>
                <w:rFonts w:cs="Calibri"/>
              </w:rPr>
            </w:pPr>
            <w:r w:rsidRPr="001E6A24">
              <w:rPr>
                <w:rFonts w:cs="Calibri"/>
              </w:rPr>
              <w:t>d)</w:t>
            </w:r>
            <w:r w:rsidRPr="001E6A24">
              <w:rPr>
                <w:rFonts w:cs="Calibri"/>
              </w:rPr>
              <w:tab/>
              <w:t>The increase in insurance expense of $xxx is due to the rise in the number and value of assets being insured.</w:t>
            </w:r>
            <w:r w:rsidR="00FA7C77">
              <w:rPr>
                <w:rFonts w:cs="Calibri"/>
              </w:rPr>
              <w:t xml:space="preserve"> </w:t>
            </w:r>
            <w:r w:rsidRPr="001E6A24">
              <w:rPr>
                <w:rFonts w:cs="Calibri"/>
              </w:rPr>
              <w:t>In addition, the revaluation of land, buildings, and community and heritage assets resulted in the value of insured assets increasing.</w:t>
            </w:r>
          </w:p>
        </w:tc>
      </w:tr>
      <w:tr w:rsidR="00B13E02" w:rsidRPr="00CF7E1B" w14:paraId="5BDB7C48" w14:textId="77777777" w:rsidTr="002F4A89">
        <w:trPr>
          <w:trHeight w:val="23"/>
        </w:trPr>
        <w:tc>
          <w:tcPr>
            <w:tcW w:w="746" w:type="pct"/>
            <w:tcBorders>
              <w:top w:val="nil"/>
              <w:left w:val="single" w:sz="2" w:space="0" w:color="auto"/>
              <w:bottom w:val="nil"/>
              <w:right w:val="single" w:sz="2" w:space="0" w:color="auto"/>
            </w:tcBorders>
          </w:tcPr>
          <w:p w14:paraId="1EFCBCB2" w14:textId="77777777" w:rsidR="00B13E02" w:rsidRDefault="00B13E02" w:rsidP="00B13E02">
            <w:pPr>
              <w:pStyle w:val="TableReference"/>
              <w:tabs>
                <w:tab w:val="left" w:pos="3306"/>
              </w:tabs>
              <w:spacing w:before="40"/>
              <w:rPr>
                <w:rFonts w:cs="Calibri"/>
                <w:color w:val="000000"/>
                <w:sz w:val="16"/>
                <w:szCs w:val="16"/>
              </w:rPr>
            </w:pPr>
          </w:p>
          <w:p w14:paraId="60DFBE0C" w14:textId="77777777" w:rsidR="00B13E02" w:rsidRDefault="00B13E02" w:rsidP="00B13E02">
            <w:pPr>
              <w:pStyle w:val="TableReference"/>
              <w:tabs>
                <w:tab w:val="left" w:pos="3306"/>
              </w:tabs>
              <w:spacing w:before="40"/>
              <w:rPr>
                <w:rFonts w:cs="Calibri"/>
                <w:color w:val="000000"/>
                <w:sz w:val="16"/>
                <w:szCs w:val="16"/>
              </w:rPr>
            </w:pPr>
          </w:p>
          <w:p w14:paraId="028AB3D8" w14:textId="0B0AE0A5" w:rsidR="00B13E02" w:rsidRPr="00A7058E" w:rsidRDefault="00B13E02" w:rsidP="00B13E02">
            <w:pPr>
              <w:pStyle w:val="TableReference"/>
              <w:tabs>
                <w:tab w:val="left" w:pos="3306"/>
              </w:tabs>
              <w:spacing w:before="40"/>
              <w:rPr>
                <w:rFonts w:cs="Calibri"/>
                <w:color w:val="000000"/>
                <w:sz w:val="16"/>
                <w:szCs w:val="16"/>
              </w:rPr>
            </w:pPr>
          </w:p>
        </w:tc>
        <w:tc>
          <w:tcPr>
            <w:tcW w:w="4254" w:type="pct"/>
            <w:gridSpan w:val="5"/>
            <w:tcBorders>
              <w:top w:val="nil"/>
              <w:left w:val="single" w:sz="2" w:space="0" w:color="auto"/>
              <w:bottom w:val="nil"/>
              <w:right w:val="nil"/>
            </w:tcBorders>
            <w:vAlign w:val="bottom"/>
          </w:tcPr>
          <w:p w14:paraId="1EF298C5" w14:textId="37123977" w:rsidR="00B13E02" w:rsidRPr="001E6A24" w:rsidRDefault="00B13E02" w:rsidP="00B13E02">
            <w:pPr>
              <w:pStyle w:val="TableText"/>
              <w:tabs>
                <w:tab w:val="left" w:pos="3306"/>
              </w:tabs>
              <w:spacing w:before="0" w:after="60"/>
              <w:ind w:left="170" w:hanging="170"/>
              <w:jc w:val="both"/>
              <w:rPr>
                <w:rFonts w:cs="Calibri"/>
              </w:rPr>
            </w:pPr>
            <w:r w:rsidRPr="001E6A24">
              <w:rPr>
                <w:rFonts w:cs="Calibri"/>
              </w:rPr>
              <w:t>e) Major maintenance on infrastructure assets of $xxx is carried out on a rolling basis over a period of 3 years.</w:t>
            </w:r>
            <w:r w:rsidR="00FA7C77">
              <w:rPr>
                <w:rFonts w:cs="Calibri"/>
              </w:rPr>
              <w:t xml:space="preserve"> </w:t>
            </w:r>
            <w:r w:rsidRPr="001E6A24">
              <w:rPr>
                <w:rFonts w:cs="Calibri"/>
              </w:rPr>
              <w:t>The increase in repairs and maintenance is due to this major cyclical maintenance being performed on larger sub-classes of infrastructure assets than last reporting period.</w:t>
            </w:r>
          </w:p>
        </w:tc>
      </w:tr>
      <w:tr w:rsidR="00B13E02" w:rsidRPr="00CF7E1B" w14:paraId="3278D242" w14:textId="77777777" w:rsidTr="002F4A89">
        <w:trPr>
          <w:trHeight w:val="23"/>
        </w:trPr>
        <w:tc>
          <w:tcPr>
            <w:tcW w:w="746" w:type="pct"/>
            <w:tcBorders>
              <w:top w:val="nil"/>
              <w:left w:val="single" w:sz="2" w:space="0" w:color="auto"/>
              <w:bottom w:val="nil"/>
              <w:right w:val="single" w:sz="2" w:space="0" w:color="auto"/>
            </w:tcBorders>
          </w:tcPr>
          <w:p w14:paraId="352C1EB9" w14:textId="77777777" w:rsidR="00B13E02" w:rsidRPr="00976DE1" w:rsidRDefault="00B13E02" w:rsidP="00B13E02">
            <w:pPr>
              <w:pStyle w:val="TableReference"/>
              <w:tabs>
                <w:tab w:val="left" w:pos="3306"/>
              </w:tabs>
              <w:spacing w:before="40"/>
              <w:rPr>
                <w:rFonts w:cs="Calibri"/>
                <w:color w:val="auto"/>
                <w:sz w:val="14"/>
              </w:rPr>
            </w:pPr>
          </w:p>
        </w:tc>
        <w:tc>
          <w:tcPr>
            <w:tcW w:w="4254" w:type="pct"/>
            <w:gridSpan w:val="5"/>
            <w:tcBorders>
              <w:top w:val="nil"/>
              <w:left w:val="single" w:sz="2" w:space="0" w:color="auto"/>
              <w:bottom w:val="nil"/>
              <w:right w:val="nil"/>
            </w:tcBorders>
            <w:vAlign w:val="bottom"/>
          </w:tcPr>
          <w:p w14:paraId="78A3797E" w14:textId="10C55C71" w:rsidR="00B13E02" w:rsidRPr="001E6A24" w:rsidRDefault="00B13E02" w:rsidP="00B13E02">
            <w:pPr>
              <w:pStyle w:val="TableText"/>
              <w:tabs>
                <w:tab w:val="left" w:pos="3306"/>
              </w:tabs>
              <w:spacing w:before="0" w:after="60"/>
              <w:jc w:val="both"/>
              <w:rPr>
                <w:rFonts w:cs="Calibri"/>
              </w:rPr>
            </w:pPr>
            <w:r w:rsidRPr="001E6A24">
              <w:rPr>
                <w:rFonts w:cs="Calibri"/>
              </w:rPr>
              <w:t xml:space="preserve">For more information in relation to service concession arrangements refer to Note </w:t>
            </w:r>
            <w:r w:rsidR="00E7007E">
              <w:rPr>
                <w:rFonts w:cs="Calibri"/>
              </w:rPr>
              <w:t>39</w:t>
            </w:r>
            <w:r w:rsidRPr="001E6A24">
              <w:rPr>
                <w:rFonts w:cs="Calibri"/>
              </w:rPr>
              <w:t xml:space="preserve"> </w:t>
            </w:r>
            <w:r w:rsidRPr="00E7007E">
              <w:rPr>
                <w:rFonts w:cs="Calibri"/>
                <w:i/>
                <w:iCs/>
              </w:rPr>
              <w:t>Service Concession Arrangements.</w:t>
            </w:r>
          </w:p>
        </w:tc>
      </w:tr>
      <w:tr w:rsidR="00B13E02" w:rsidRPr="00CF7E1B" w14:paraId="308F073B"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6" w:type="pct"/>
            <w:tcBorders>
              <w:left w:val="single" w:sz="2" w:space="0" w:color="auto"/>
              <w:right w:val="single" w:sz="2" w:space="0" w:color="auto"/>
            </w:tcBorders>
          </w:tcPr>
          <w:p w14:paraId="0E3BB146" w14:textId="77777777" w:rsidR="00B13E02" w:rsidRPr="00976DE1" w:rsidRDefault="00B13E02" w:rsidP="00B13E02">
            <w:pPr>
              <w:pStyle w:val="TableReference"/>
              <w:tabs>
                <w:tab w:val="left" w:pos="3306"/>
              </w:tabs>
              <w:spacing w:before="120" w:after="240"/>
              <w:rPr>
                <w:rFonts w:cs="Calibri"/>
                <w:b/>
                <w:color w:val="auto"/>
                <w:sz w:val="14"/>
              </w:rPr>
            </w:pPr>
            <w:r w:rsidRPr="00976DE1">
              <w:rPr>
                <w:rFonts w:cs="Calibri"/>
                <w:b/>
                <w:color w:val="auto"/>
                <w:sz w:val="14"/>
              </w:rPr>
              <w:br w:type="page"/>
            </w:r>
          </w:p>
        </w:tc>
        <w:tc>
          <w:tcPr>
            <w:tcW w:w="4254" w:type="pct"/>
            <w:gridSpan w:val="5"/>
            <w:tcBorders>
              <w:left w:val="single" w:sz="2" w:space="0" w:color="auto"/>
            </w:tcBorders>
            <w:shd w:val="clear" w:color="auto" w:fill="7030A0"/>
          </w:tcPr>
          <w:p w14:paraId="230C791D" w14:textId="1D1E7F15" w:rsidR="00B13E02" w:rsidRPr="001E6A24" w:rsidRDefault="00B13E02" w:rsidP="00DC42B3">
            <w:pPr>
              <w:pStyle w:val="CommentaryTitle"/>
              <w:spacing w:before="0" w:after="120"/>
              <w:rPr>
                <w:rFonts w:cs="Calibri"/>
                <w:bCs w:val="0"/>
                <w:color w:val="FFFFFF" w:themeColor="background1"/>
                <w:sz w:val="28"/>
                <w:szCs w:val="28"/>
              </w:rPr>
            </w:pPr>
            <w:bookmarkStart w:id="425" w:name="_Toc50440351"/>
            <w:bookmarkStart w:id="426" w:name="_Toc163106327"/>
            <w:bookmarkStart w:id="427" w:name="_Toc194977582"/>
            <w:r w:rsidRPr="001E6A24">
              <w:rPr>
                <w:rFonts w:cs="Calibri"/>
                <w:bCs w:val="0"/>
                <w:color w:val="FFFFFF" w:themeColor="background1"/>
                <w:sz w:val="28"/>
                <w:szCs w:val="28"/>
              </w:rPr>
              <w:t>Commentary – Note 11: Supplies and Services</w:t>
            </w:r>
            <w:bookmarkEnd w:id="425"/>
            <w:bookmarkEnd w:id="426"/>
            <w:bookmarkEnd w:id="427"/>
          </w:p>
        </w:tc>
      </w:tr>
      <w:tr w:rsidR="00B13E02" w:rsidRPr="00CF7E1B" w14:paraId="20EBD02A"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6" w:type="pct"/>
            <w:tcBorders>
              <w:left w:val="single" w:sz="2" w:space="0" w:color="auto"/>
              <w:right w:val="single" w:sz="2" w:space="0" w:color="auto"/>
            </w:tcBorders>
          </w:tcPr>
          <w:p w14:paraId="3DFE709B" w14:textId="7F46920D" w:rsidR="00B13E02" w:rsidRPr="00976DE1" w:rsidRDefault="00B13E02" w:rsidP="00B13E02">
            <w:pPr>
              <w:pStyle w:val="TableReference"/>
              <w:tabs>
                <w:tab w:val="left" w:pos="3306"/>
              </w:tabs>
              <w:spacing w:before="60"/>
              <w:rPr>
                <w:rFonts w:cs="Calibri"/>
                <w:color w:val="auto"/>
                <w:sz w:val="14"/>
              </w:rPr>
            </w:pPr>
          </w:p>
        </w:tc>
        <w:tc>
          <w:tcPr>
            <w:tcW w:w="4254" w:type="pct"/>
            <w:gridSpan w:val="5"/>
            <w:tcBorders>
              <w:left w:val="single" w:sz="2" w:space="0" w:color="auto"/>
            </w:tcBorders>
            <w:shd w:val="clear" w:color="auto" w:fill="7030A0"/>
          </w:tcPr>
          <w:p w14:paraId="52F876A1" w14:textId="376B4810" w:rsidR="00B13E02" w:rsidRPr="001E6A24" w:rsidRDefault="00B13E02" w:rsidP="00B13E02">
            <w:pPr>
              <w:pStyle w:val="CommentaryText"/>
              <w:tabs>
                <w:tab w:val="left" w:pos="3306"/>
              </w:tabs>
              <w:rPr>
                <w:rFonts w:cs="Calibri"/>
                <w:color w:val="FFFFFF" w:themeColor="background1"/>
                <w:sz w:val="18"/>
                <w:szCs w:val="18"/>
              </w:rPr>
            </w:pPr>
            <w:r w:rsidRPr="001E6A24">
              <w:rPr>
                <w:rFonts w:cs="Calibri"/>
                <w:color w:val="FFFFFF" w:themeColor="background1"/>
                <w:sz w:val="18"/>
                <w:szCs w:val="18"/>
              </w:rPr>
              <w:t>The breakdown of Supplies and Services shown above is an example only.</w:t>
            </w:r>
            <w:r w:rsidR="00FA7C77">
              <w:rPr>
                <w:rFonts w:cs="Calibri"/>
                <w:color w:val="FFFFFF" w:themeColor="background1"/>
                <w:sz w:val="18"/>
                <w:szCs w:val="18"/>
              </w:rPr>
              <w:t xml:space="preserve"> </w:t>
            </w:r>
            <w:r w:rsidRPr="001E6A24">
              <w:rPr>
                <w:rFonts w:cs="Calibri"/>
                <w:color w:val="FFFFFF" w:themeColor="background1"/>
                <w:sz w:val="18"/>
                <w:szCs w:val="18"/>
              </w:rPr>
              <w:t>Agencies will need to include their own breakdown of all material line items in the Supplies and Services expenses note disclosure.</w:t>
            </w:r>
          </w:p>
        </w:tc>
      </w:tr>
      <w:tr w:rsidR="00B13E02" w:rsidRPr="00CF7E1B" w14:paraId="48C868A2"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6" w:type="pct"/>
            <w:tcBorders>
              <w:left w:val="single" w:sz="2" w:space="0" w:color="auto"/>
              <w:right w:val="single" w:sz="2" w:space="0" w:color="auto"/>
            </w:tcBorders>
          </w:tcPr>
          <w:p w14:paraId="7DB8649B" w14:textId="77777777" w:rsidR="00B13E02" w:rsidRPr="00976DE1" w:rsidRDefault="00B13E02" w:rsidP="00B13E02">
            <w:pPr>
              <w:pStyle w:val="TableReference"/>
              <w:tabs>
                <w:tab w:val="left" w:pos="3306"/>
              </w:tabs>
              <w:spacing w:before="60"/>
              <w:rPr>
                <w:rFonts w:cs="Calibri"/>
                <w:color w:val="auto"/>
                <w:sz w:val="14"/>
              </w:rPr>
            </w:pPr>
          </w:p>
        </w:tc>
        <w:tc>
          <w:tcPr>
            <w:tcW w:w="4254" w:type="pct"/>
            <w:gridSpan w:val="5"/>
            <w:tcBorders>
              <w:left w:val="single" w:sz="2" w:space="0" w:color="auto"/>
            </w:tcBorders>
            <w:shd w:val="clear" w:color="auto" w:fill="7030A0"/>
          </w:tcPr>
          <w:p w14:paraId="25F87C61" w14:textId="74E7E210" w:rsidR="00B13E02" w:rsidRPr="006C7C66" w:rsidRDefault="00B13E02" w:rsidP="00B13E02">
            <w:pPr>
              <w:pStyle w:val="CommentaryText"/>
              <w:tabs>
                <w:tab w:val="left" w:pos="3306"/>
              </w:tabs>
              <w:spacing w:after="0"/>
              <w:rPr>
                <w:rFonts w:cs="Calibri"/>
                <w:b/>
                <w:color w:val="FFFFFF" w:themeColor="background1"/>
                <w:szCs w:val="20"/>
              </w:rPr>
            </w:pPr>
            <w:r w:rsidRPr="006C7C66">
              <w:rPr>
                <w:rFonts w:cs="Calibri"/>
                <w:b/>
                <w:color w:val="FFFFFF" w:themeColor="background1"/>
                <w:szCs w:val="20"/>
              </w:rPr>
              <w:t>Auditor’s Remuneration</w:t>
            </w:r>
          </w:p>
        </w:tc>
      </w:tr>
      <w:tr w:rsidR="00B13E02" w:rsidRPr="00CF7E1B" w14:paraId="492E4DF6"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6" w:type="pct"/>
            <w:tcBorders>
              <w:left w:val="single" w:sz="2" w:space="0" w:color="auto"/>
              <w:right w:val="single" w:sz="2" w:space="0" w:color="auto"/>
            </w:tcBorders>
          </w:tcPr>
          <w:p w14:paraId="708D733B" w14:textId="7947A5CC" w:rsidR="00B13E02" w:rsidRPr="00DC6A20" w:rsidRDefault="00B13E02" w:rsidP="00B13E02">
            <w:pPr>
              <w:pStyle w:val="TableReference"/>
              <w:tabs>
                <w:tab w:val="left" w:pos="3306"/>
              </w:tabs>
              <w:spacing w:before="60"/>
              <w:rPr>
                <w:rFonts w:cs="Calibri"/>
                <w:color w:val="auto"/>
                <w:sz w:val="14"/>
              </w:rPr>
            </w:pPr>
            <w:r w:rsidRPr="001E6A24">
              <w:rPr>
                <w:rFonts w:cs="Calibri"/>
                <w:color w:val="7030A0"/>
                <w:sz w:val="14"/>
              </w:rPr>
              <w:t>AASB 1054 10 &amp; 11</w:t>
            </w:r>
          </w:p>
        </w:tc>
        <w:tc>
          <w:tcPr>
            <w:tcW w:w="4254" w:type="pct"/>
            <w:gridSpan w:val="5"/>
            <w:tcBorders>
              <w:left w:val="single" w:sz="2" w:space="0" w:color="auto"/>
            </w:tcBorders>
            <w:shd w:val="clear" w:color="auto" w:fill="7030A0"/>
          </w:tcPr>
          <w:p w14:paraId="5E8A0641" w14:textId="49A95AAF" w:rsidR="00B13E02" w:rsidRPr="001E6A24" w:rsidRDefault="00B13E02" w:rsidP="006C7C66">
            <w:pPr>
              <w:pStyle w:val="CommentaryText"/>
              <w:tabs>
                <w:tab w:val="left" w:pos="3306"/>
              </w:tabs>
              <w:rPr>
                <w:rFonts w:cs="Calibri"/>
                <w:color w:val="FFFFFF" w:themeColor="background1"/>
                <w:sz w:val="18"/>
                <w:szCs w:val="18"/>
              </w:rPr>
            </w:pPr>
            <w:r w:rsidRPr="001E6A24">
              <w:rPr>
                <w:rFonts w:cs="Calibri"/>
                <w:color w:val="FFFFFF" w:themeColor="background1"/>
                <w:sz w:val="18"/>
                <w:szCs w:val="18"/>
              </w:rPr>
              <w:t xml:space="preserve">AASB 1054 </w:t>
            </w:r>
            <w:r w:rsidRPr="00EC47A0">
              <w:rPr>
                <w:rFonts w:cs="Calibri"/>
                <w:i/>
                <w:iCs/>
                <w:color w:val="FFFFFF" w:themeColor="background1"/>
                <w:sz w:val="18"/>
                <w:szCs w:val="18"/>
              </w:rPr>
              <w:t>Australian Additional Disclosures</w:t>
            </w:r>
            <w:r w:rsidRPr="001E6A24">
              <w:rPr>
                <w:rFonts w:cs="Calibri"/>
                <w:color w:val="FFFFFF" w:themeColor="background1"/>
                <w:sz w:val="18"/>
                <w:szCs w:val="18"/>
              </w:rPr>
              <w:t xml:space="preserve"> requires agencies to disclose the fees to:</w:t>
            </w:r>
          </w:p>
          <w:p w14:paraId="701ED230" w14:textId="77777777" w:rsidR="00B13E02" w:rsidRPr="001E6A24" w:rsidRDefault="00B13E02"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E6A24">
              <w:rPr>
                <w:rFonts w:cs="Calibri"/>
                <w:color w:val="FFFFFF" w:themeColor="background1"/>
                <w:sz w:val="18"/>
                <w:szCs w:val="18"/>
              </w:rPr>
              <w:t>the auditor of the agency for an audit or a review of its financial statements; and</w:t>
            </w:r>
          </w:p>
          <w:p w14:paraId="7D8A9976" w14:textId="20E654EE" w:rsidR="00B13E02" w:rsidRPr="001E6A24" w:rsidRDefault="00B13E02"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E6A24">
              <w:rPr>
                <w:rFonts w:cs="Calibri"/>
                <w:color w:val="FFFFFF" w:themeColor="background1"/>
                <w:sz w:val="18"/>
                <w:szCs w:val="18"/>
              </w:rPr>
              <w:t>the auditor of the agency for non-audit services in relation to the agency, disclosing separately the nature and amount of each of the non-audit services provided by the auditor.</w:t>
            </w:r>
            <w:r w:rsidR="00FA7C77">
              <w:rPr>
                <w:rFonts w:cs="Calibri"/>
                <w:color w:val="FFFFFF" w:themeColor="background1"/>
                <w:sz w:val="18"/>
                <w:szCs w:val="18"/>
              </w:rPr>
              <w:t xml:space="preserve"> </w:t>
            </w:r>
          </w:p>
        </w:tc>
      </w:tr>
      <w:tr w:rsidR="00B13E02" w:rsidRPr="00CF7E1B" w14:paraId="2B77DDF8"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4"/>
        </w:trPr>
        <w:tc>
          <w:tcPr>
            <w:tcW w:w="746" w:type="pct"/>
            <w:tcBorders>
              <w:left w:val="single" w:sz="2" w:space="0" w:color="auto"/>
              <w:right w:val="single" w:sz="2" w:space="0" w:color="auto"/>
            </w:tcBorders>
          </w:tcPr>
          <w:p w14:paraId="10E3DAFF" w14:textId="77777777" w:rsidR="00B13E02" w:rsidRPr="00976DE1" w:rsidRDefault="00B13E02" w:rsidP="00B13E02">
            <w:pPr>
              <w:pStyle w:val="TableReference"/>
              <w:tabs>
                <w:tab w:val="left" w:pos="3306"/>
              </w:tabs>
              <w:spacing w:before="60"/>
              <w:rPr>
                <w:rFonts w:cs="Calibri"/>
                <w:color w:val="auto"/>
                <w:sz w:val="14"/>
              </w:rPr>
            </w:pPr>
          </w:p>
        </w:tc>
        <w:tc>
          <w:tcPr>
            <w:tcW w:w="4254" w:type="pct"/>
            <w:gridSpan w:val="5"/>
            <w:tcBorders>
              <w:left w:val="single" w:sz="2" w:space="0" w:color="auto"/>
            </w:tcBorders>
            <w:shd w:val="clear" w:color="auto" w:fill="7030A0"/>
          </w:tcPr>
          <w:p w14:paraId="1055179F" w14:textId="65A9380C" w:rsidR="00B13E02" w:rsidRPr="001E6A24" w:rsidRDefault="00B13E02"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1E6A24">
              <w:rPr>
                <w:rFonts w:cs="Calibri"/>
                <w:color w:val="FFFFFF" w:themeColor="background1"/>
                <w:sz w:val="18"/>
                <w:szCs w:val="18"/>
              </w:rPr>
              <w:t>If auditor remuneration amounts are immaterial (when compared to total Supplies and Services) then agencies can include the amount in the ‘Other’ line item within the Supplies and Services note disclosure.</w:t>
            </w:r>
          </w:p>
        </w:tc>
      </w:tr>
      <w:tr w:rsidR="009D77F8" w:rsidRPr="00CF7E1B" w14:paraId="32243DA1" w14:textId="77777777" w:rsidTr="002F4A89">
        <w:trPr>
          <w:trHeight w:hRule="exact" w:val="798"/>
        </w:trPr>
        <w:tc>
          <w:tcPr>
            <w:tcW w:w="746" w:type="pct"/>
            <w:tcBorders>
              <w:top w:val="nil"/>
              <w:left w:val="single" w:sz="2" w:space="0" w:color="auto"/>
              <w:bottom w:val="nil"/>
              <w:right w:val="single" w:sz="2" w:space="0" w:color="auto"/>
            </w:tcBorders>
          </w:tcPr>
          <w:p w14:paraId="191A1937" w14:textId="77777777" w:rsidR="009D77F8" w:rsidRPr="00627844" w:rsidRDefault="001C480E" w:rsidP="00DC42B3">
            <w:pPr>
              <w:pStyle w:val="TableText"/>
              <w:tabs>
                <w:tab w:val="left" w:pos="3306"/>
              </w:tabs>
              <w:spacing w:before="240" w:after="240"/>
              <w:rPr>
                <w:rFonts w:cs="Calibri"/>
                <w:b/>
                <w:color w:val="7030A0"/>
                <w:sz w:val="22"/>
                <w:szCs w:val="22"/>
              </w:rPr>
            </w:pPr>
            <w:bookmarkStart w:id="428" w:name="GrantsandPurch" w:colFirst="1" w:colLast="1"/>
            <w:r w:rsidRPr="00627844">
              <w:rPr>
                <w:rFonts w:cs="Calibri"/>
                <w:b/>
                <w:color w:val="7030A0"/>
                <w:sz w:val="22"/>
                <w:szCs w:val="22"/>
              </w:rPr>
              <w:t>Reference</w:t>
            </w:r>
          </w:p>
        </w:tc>
        <w:tc>
          <w:tcPr>
            <w:tcW w:w="4254" w:type="pct"/>
            <w:gridSpan w:val="5"/>
            <w:tcBorders>
              <w:top w:val="nil"/>
              <w:left w:val="single" w:sz="2" w:space="0" w:color="auto"/>
              <w:bottom w:val="nil"/>
              <w:right w:val="nil"/>
            </w:tcBorders>
          </w:tcPr>
          <w:p w14:paraId="19461F1C" w14:textId="39DC1E49" w:rsidR="009D77F8" w:rsidRPr="00627844" w:rsidRDefault="00DE4F6D" w:rsidP="00DC42B3">
            <w:pPr>
              <w:pStyle w:val="Heading1"/>
              <w:numPr>
                <w:ilvl w:val="0"/>
                <w:numId w:val="0"/>
              </w:numPr>
            </w:pPr>
            <w:bookmarkStart w:id="429" w:name="_Toc49224036"/>
            <w:bookmarkStart w:id="430" w:name="_Ref50365415"/>
            <w:bookmarkStart w:id="431" w:name="_Toc50440353"/>
            <w:bookmarkStart w:id="432" w:name="_Ref50523972"/>
            <w:bookmarkStart w:id="433" w:name="_Toc400627333"/>
            <w:bookmarkStart w:id="434" w:name="_Toc98763095"/>
            <w:r w:rsidRPr="00627844">
              <w:t xml:space="preserve">Note </w:t>
            </w:r>
            <w:r w:rsidR="003A4053" w:rsidRPr="00627844">
              <w:t>1</w:t>
            </w:r>
            <w:r w:rsidR="00837523" w:rsidRPr="00627844">
              <w:t>2</w:t>
            </w:r>
            <w:r w:rsidRPr="00627844">
              <w:t>.</w:t>
            </w:r>
            <w:r w:rsidR="00FA7C77">
              <w:t xml:space="preserve"> </w:t>
            </w:r>
            <w:r w:rsidR="00C129D8" w:rsidRPr="00627844">
              <w:t xml:space="preserve"> </w:t>
            </w:r>
            <w:r w:rsidR="009D77F8" w:rsidRPr="00627844">
              <w:t>Grants and Purchased Services</w:t>
            </w:r>
            <w:bookmarkEnd w:id="429"/>
            <w:bookmarkEnd w:id="430"/>
            <w:bookmarkEnd w:id="431"/>
            <w:bookmarkEnd w:id="432"/>
            <w:bookmarkEnd w:id="433"/>
            <w:bookmarkEnd w:id="434"/>
          </w:p>
        </w:tc>
      </w:tr>
      <w:tr w:rsidR="00797480" w:rsidRPr="00CF7E1B" w14:paraId="5C62C4AC" w14:textId="77777777" w:rsidTr="002F4A89">
        <w:trPr>
          <w:trHeight w:hRule="exact" w:val="305"/>
        </w:trPr>
        <w:tc>
          <w:tcPr>
            <w:tcW w:w="746" w:type="pct"/>
            <w:tcBorders>
              <w:top w:val="nil"/>
              <w:left w:val="single" w:sz="2" w:space="0" w:color="auto"/>
              <w:bottom w:val="nil"/>
              <w:right w:val="single" w:sz="2" w:space="0" w:color="auto"/>
            </w:tcBorders>
          </w:tcPr>
          <w:p w14:paraId="758B8AD3" w14:textId="77777777" w:rsidR="00797480" w:rsidRPr="00627844" w:rsidRDefault="00797480" w:rsidP="00797480">
            <w:pPr>
              <w:pStyle w:val="TableText"/>
              <w:tabs>
                <w:tab w:val="left" w:pos="3306"/>
              </w:tabs>
              <w:spacing w:before="0"/>
              <w:rPr>
                <w:rFonts w:cs="Calibri"/>
                <w:b/>
                <w:color w:val="7030A0"/>
                <w:sz w:val="20"/>
                <w:szCs w:val="20"/>
              </w:rPr>
            </w:pPr>
          </w:p>
        </w:tc>
        <w:tc>
          <w:tcPr>
            <w:tcW w:w="4254" w:type="pct"/>
            <w:gridSpan w:val="5"/>
            <w:tcBorders>
              <w:top w:val="nil"/>
              <w:left w:val="single" w:sz="2" w:space="0" w:color="auto"/>
              <w:bottom w:val="nil"/>
              <w:right w:val="nil"/>
            </w:tcBorders>
          </w:tcPr>
          <w:p w14:paraId="0559AD87" w14:textId="6F434A1E" w:rsidR="00797480" w:rsidRPr="00627844" w:rsidRDefault="00FC3E9D" w:rsidP="00797480">
            <w:pPr>
              <w:pStyle w:val="Heading1"/>
              <w:numPr>
                <w:ilvl w:val="0"/>
                <w:numId w:val="0"/>
              </w:numPr>
              <w:spacing w:before="60" w:after="0"/>
              <w:rPr>
                <w:rFonts w:ascii="Calibri" w:hAnsi="Calibri" w:cs="Calibri"/>
                <w:caps w:val="0"/>
                <w:sz w:val="18"/>
                <w:szCs w:val="18"/>
              </w:rPr>
            </w:pPr>
            <w:bookmarkStart w:id="435" w:name="_Toc98763096"/>
            <w:r w:rsidRPr="00627844">
              <w:rPr>
                <w:rFonts w:ascii="Calibri" w:hAnsi="Calibri" w:cs="Calibri"/>
                <w:caps w:val="0"/>
                <w:sz w:val="18"/>
                <w:szCs w:val="18"/>
              </w:rPr>
              <w:t xml:space="preserve">Description and Material Accounting Policies relating to </w:t>
            </w:r>
            <w:r w:rsidR="00797480" w:rsidRPr="00627844">
              <w:rPr>
                <w:rFonts w:ascii="Calibri" w:hAnsi="Calibri" w:cs="Calibri"/>
                <w:caps w:val="0"/>
                <w:sz w:val="18"/>
                <w:szCs w:val="18"/>
              </w:rPr>
              <w:t>Grants and Purchased Services</w:t>
            </w:r>
            <w:bookmarkEnd w:id="435"/>
          </w:p>
        </w:tc>
      </w:tr>
      <w:bookmarkEnd w:id="428"/>
      <w:tr w:rsidR="009D77F8" w:rsidRPr="00CF7E1B" w14:paraId="53DFD78A" w14:textId="77777777" w:rsidTr="002F4A89">
        <w:trPr>
          <w:trHeight w:val="23"/>
        </w:trPr>
        <w:tc>
          <w:tcPr>
            <w:tcW w:w="746" w:type="pct"/>
            <w:tcBorders>
              <w:top w:val="nil"/>
              <w:left w:val="single" w:sz="2" w:space="0" w:color="auto"/>
              <w:bottom w:val="nil"/>
              <w:right w:val="single" w:sz="2" w:space="0" w:color="auto"/>
            </w:tcBorders>
          </w:tcPr>
          <w:p w14:paraId="335D15C4" w14:textId="77777777" w:rsidR="009D77F8" w:rsidRPr="00627844" w:rsidRDefault="009D77F8">
            <w:pPr>
              <w:pStyle w:val="TableReference"/>
              <w:tabs>
                <w:tab w:val="left" w:pos="3306"/>
              </w:tabs>
              <w:spacing w:before="40"/>
              <w:rPr>
                <w:rFonts w:cs="Calibri"/>
                <w:color w:val="7030A0"/>
                <w:sz w:val="14"/>
              </w:rPr>
            </w:pPr>
            <w:r w:rsidRPr="00627844">
              <w:rPr>
                <w:rFonts w:cs="Calibri"/>
                <w:color w:val="7030A0"/>
                <w:sz w:val="14"/>
              </w:rPr>
              <w:t>ACT Disclosure Policy</w:t>
            </w:r>
          </w:p>
        </w:tc>
        <w:tc>
          <w:tcPr>
            <w:tcW w:w="4254" w:type="pct"/>
            <w:gridSpan w:val="5"/>
            <w:tcBorders>
              <w:top w:val="nil"/>
              <w:left w:val="single" w:sz="2" w:space="0" w:color="auto"/>
              <w:bottom w:val="nil"/>
              <w:right w:val="nil"/>
            </w:tcBorders>
            <w:vAlign w:val="bottom"/>
          </w:tcPr>
          <w:p w14:paraId="5808E36D" w14:textId="2F3B0CCC" w:rsidR="009D77F8" w:rsidRPr="00627844" w:rsidRDefault="009D77F8" w:rsidP="00D17322">
            <w:pPr>
              <w:pStyle w:val="TableText"/>
              <w:spacing w:before="0" w:after="120"/>
              <w:jc w:val="both"/>
              <w:rPr>
                <w:rFonts w:cs="Calibri"/>
                <w:szCs w:val="20"/>
              </w:rPr>
            </w:pPr>
            <w:bookmarkStart w:id="436" w:name="_Hlk90635734"/>
            <w:r w:rsidRPr="00627844">
              <w:rPr>
                <w:rFonts w:cs="Calibri"/>
                <w:szCs w:val="20"/>
              </w:rPr>
              <w:t>Grants are amounts provided to ACT Government agencies and non</w:t>
            </w:r>
            <w:r w:rsidRPr="00627844">
              <w:rPr>
                <w:rFonts w:cs="Calibri"/>
                <w:szCs w:val="20"/>
              </w:rPr>
              <w:noBreakHyphen/>
              <w:t>ACT Government agencies for general assistance or for a particular purpose</w:t>
            </w:r>
            <w:bookmarkEnd w:id="436"/>
            <w:r w:rsidRPr="00627844">
              <w:rPr>
                <w:rFonts w:cs="Calibri"/>
                <w:szCs w:val="20"/>
              </w:rPr>
              <w:t>.</w:t>
            </w:r>
            <w:r w:rsidR="00FA7C77">
              <w:rPr>
                <w:rFonts w:cs="Calibri"/>
                <w:szCs w:val="20"/>
              </w:rPr>
              <w:t xml:space="preserve"> </w:t>
            </w:r>
            <w:r w:rsidRPr="00627844">
              <w:rPr>
                <w:rFonts w:cs="Calibri"/>
                <w:szCs w:val="20"/>
              </w:rPr>
              <w:t>Grants may be for capital, current or recurrent purposes and the name or category reflects the use of the grant.</w:t>
            </w:r>
            <w:r w:rsidR="00FA7C77">
              <w:rPr>
                <w:rFonts w:cs="Calibri"/>
                <w:szCs w:val="20"/>
              </w:rPr>
              <w:t xml:space="preserve"> </w:t>
            </w:r>
            <w:r w:rsidRPr="00627844">
              <w:rPr>
                <w:rFonts w:cs="Calibri"/>
                <w:szCs w:val="20"/>
              </w:rPr>
              <w:t>The grants given are usually subject to terms and conditions set out in the contract, correspondence, or by legislation.</w:t>
            </w:r>
            <w:r w:rsidR="00FA7C77">
              <w:rPr>
                <w:rFonts w:cs="Calibri"/>
                <w:szCs w:val="20"/>
              </w:rPr>
              <w:t xml:space="preserve">  </w:t>
            </w:r>
          </w:p>
          <w:p w14:paraId="74ED6F9D" w14:textId="0B62A56A" w:rsidR="001053C0" w:rsidRPr="00627844" w:rsidRDefault="00C91C6F" w:rsidP="00627844">
            <w:pPr>
              <w:spacing w:after="120"/>
              <w:jc w:val="both"/>
            </w:pPr>
            <w:r w:rsidRPr="00627844">
              <w:rPr>
                <w:sz w:val="18"/>
                <w:szCs w:val="18"/>
              </w:rPr>
              <w:t xml:space="preserve">Grants </w:t>
            </w:r>
            <w:r w:rsidR="001053C0" w:rsidRPr="00627844">
              <w:rPr>
                <w:sz w:val="18"/>
                <w:szCs w:val="18"/>
              </w:rPr>
              <w:t>are goods, services</w:t>
            </w:r>
            <w:r w:rsidRPr="00627844">
              <w:rPr>
                <w:sz w:val="18"/>
                <w:szCs w:val="18"/>
              </w:rPr>
              <w:t xml:space="preserve"> or</w:t>
            </w:r>
            <w:r w:rsidR="001053C0" w:rsidRPr="00627844">
              <w:rPr>
                <w:sz w:val="18"/>
                <w:szCs w:val="18"/>
              </w:rPr>
              <w:t xml:space="preserve"> assets </w:t>
            </w:r>
            <w:r w:rsidRPr="00627844">
              <w:rPr>
                <w:sz w:val="18"/>
                <w:szCs w:val="18"/>
              </w:rPr>
              <w:t>th</w:t>
            </w:r>
            <w:r w:rsidR="003A4B88" w:rsidRPr="00627844">
              <w:rPr>
                <w:sz w:val="18"/>
                <w:szCs w:val="18"/>
              </w:rPr>
              <w:t>at</w:t>
            </w:r>
            <w:r w:rsidRPr="00627844">
              <w:rPr>
                <w:sz w:val="18"/>
                <w:szCs w:val="18"/>
              </w:rPr>
              <w:t xml:space="preserve"> are provided to </w:t>
            </w:r>
            <w:r w:rsidR="001053C0" w:rsidRPr="00627844">
              <w:rPr>
                <w:sz w:val="18"/>
                <w:szCs w:val="18"/>
              </w:rPr>
              <w:t xml:space="preserve">another </w:t>
            </w:r>
            <w:r w:rsidRPr="00627844">
              <w:rPr>
                <w:sz w:val="18"/>
                <w:szCs w:val="18"/>
              </w:rPr>
              <w:t xml:space="preserve">entity </w:t>
            </w:r>
            <w:r w:rsidR="001053C0" w:rsidRPr="00627844">
              <w:rPr>
                <w:sz w:val="18"/>
                <w:szCs w:val="18"/>
              </w:rPr>
              <w:t>without receiving approximately equal value in return.</w:t>
            </w:r>
            <w:r w:rsidR="00FA7C77">
              <w:rPr>
                <w:sz w:val="18"/>
                <w:szCs w:val="18"/>
              </w:rPr>
              <w:t xml:space="preserve"> </w:t>
            </w:r>
            <w:r w:rsidRPr="00627844">
              <w:rPr>
                <w:sz w:val="18"/>
                <w:szCs w:val="18"/>
              </w:rPr>
              <w:t>‘Burley Griffin Agency’ provides recurrent grants to various community organisations under four different grant programs.</w:t>
            </w:r>
            <w:r w:rsidRPr="00627844">
              <w:t xml:space="preserve"> </w:t>
            </w:r>
            <w:r w:rsidR="00732BBD" w:rsidRPr="00627844">
              <w:rPr>
                <w:sz w:val="18"/>
                <w:szCs w:val="18"/>
              </w:rPr>
              <w:t xml:space="preserve">Capital Grants are payments from ‘Burley Griffin Agency’ that are provided to Non-Government Organisations for the construction of new buildings or to upgrade existing buildings. </w:t>
            </w:r>
            <w:r w:rsidRPr="00627844">
              <w:rPr>
                <w:sz w:val="18"/>
                <w:szCs w:val="18"/>
              </w:rPr>
              <w:t>Recurrent Grants expenditure is generally recognised when the services have been performed by the grantee or the grant eligibility criteria has been satisfied.</w:t>
            </w:r>
            <w:r w:rsidR="00FA7C77">
              <w:t xml:space="preserve"> </w:t>
            </w:r>
            <w:r w:rsidR="00683745" w:rsidRPr="00627844">
              <w:rPr>
                <w:sz w:val="18"/>
                <w:szCs w:val="18"/>
              </w:rPr>
              <w:t>Capital Grant expenses are recognised in the reporting period in which they are paid or payable.</w:t>
            </w:r>
          </w:p>
        </w:tc>
      </w:tr>
      <w:tr w:rsidR="001D1137" w:rsidRPr="00CF7E1B" w14:paraId="7F54C341" w14:textId="77777777" w:rsidTr="002F4A89">
        <w:trPr>
          <w:trHeight w:val="23"/>
        </w:trPr>
        <w:tc>
          <w:tcPr>
            <w:tcW w:w="746" w:type="pct"/>
            <w:tcBorders>
              <w:top w:val="nil"/>
              <w:left w:val="single" w:sz="2" w:space="0" w:color="auto"/>
              <w:bottom w:val="nil"/>
              <w:right w:val="single" w:sz="2" w:space="0" w:color="auto"/>
            </w:tcBorders>
          </w:tcPr>
          <w:p w14:paraId="0BE8241A" w14:textId="77777777" w:rsidR="001D1137" w:rsidRPr="00627844" w:rsidRDefault="001D1137">
            <w:pPr>
              <w:pStyle w:val="TableReference"/>
              <w:tabs>
                <w:tab w:val="left" w:pos="3306"/>
              </w:tabs>
              <w:spacing w:before="40"/>
              <w:rPr>
                <w:rFonts w:cs="Calibri"/>
                <w:color w:val="7030A0"/>
                <w:sz w:val="16"/>
                <w:szCs w:val="16"/>
              </w:rPr>
            </w:pPr>
          </w:p>
        </w:tc>
        <w:tc>
          <w:tcPr>
            <w:tcW w:w="4254" w:type="pct"/>
            <w:gridSpan w:val="5"/>
            <w:tcBorders>
              <w:top w:val="nil"/>
              <w:left w:val="single" w:sz="2" w:space="0" w:color="auto"/>
              <w:bottom w:val="nil"/>
              <w:right w:val="nil"/>
            </w:tcBorders>
            <w:vAlign w:val="bottom"/>
          </w:tcPr>
          <w:p w14:paraId="63BDB1A4" w14:textId="1241FFDC" w:rsidR="001D1137" w:rsidRPr="00627844" w:rsidRDefault="001D1137" w:rsidP="00D17322">
            <w:pPr>
              <w:pStyle w:val="TableText"/>
              <w:spacing w:before="0" w:after="120"/>
              <w:jc w:val="both"/>
              <w:rPr>
                <w:rFonts w:cs="Calibri"/>
                <w:szCs w:val="20"/>
              </w:rPr>
            </w:pPr>
            <w:r w:rsidRPr="00627844">
              <w:rPr>
                <w:rFonts w:cs="Calibri"/>
                <w:szCs w:val="20"/>
              </w:rPr>
              <w:t>Purchased services are amounts paid to obtain services from other ACT Government agencies and external parties.</w:t>
            </w:r>
            <w:r w:rsidR="00FA7C77">
              <w:rPr>
                <w:rFonts w:cs="Calibri"/>
                <w:szCs w:val="20"/>
              </w:rPr>
              <w:t xml:space="preserve"> </w:t>
            </w:r>
            <w:r w:rsidR="00055C59" w:rsidRPr="00627844">
              <w:rPr>
                <w:rFonts w:cs="Calibri"/>
                <w:szCs w:val="20"/>
              </w:rPr>
              <w:t>These transaction are reciprocal in nature.</w:t>
            </w:r>
          </w:p>
        </w:tc>
      </w:tr>
      <w:tr w:rsidR="009D77F8" w:rsidRPr="00CF7E1B" w14:paraId="2352A68A" w14:textId="77777777" w:rsidTr="002F4A89">
        <w:trPr>
          <w:trHeight w:val="23"/>
        </w:trPr>
        <w:tc>
          <w:tcPr>
            <w:tcW w:w="746" w:type="pct"/>
            <w:tcBorders>
              <w:top w:val="nil"/>
              <w:left w:val="single" w:sz="2" w:space="0" w:color="auto"/>
              <w:bottom w:val="nil"/>
              <w:right w:val="single" w:sz="2" w:space="0" w:color="auto"/>
            </w:tcBorders>
            <w:vAlign w:val="bottom"/>
          </w:tcPr>
          <w:p w14:paraId="4D5CAC90" w14:textId="77777777" w:rsidR="009D77F8" w:rsidRPr="00627844" w:rsidRDefault="009D77F8">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7754EB92" w14:textId="77777777" w:rsidR="009D77F8" w:rsidRPr="00627844" w:rsidRDefault="009D77F8">
            <w:pPr>
              <w:pStyle w:val="TableTitle"/>
              <w:tabs>
                <w:tab w:val="left" w:pos="3306"/>
              </w:tabs>
              <w:rPr>
                <w:rFonts w:cs="Calibri"/>
              </w:rPr>
            </w:pPr>
          </w:p>
        </w:tc>
        <w:tc>
          <w:tcPr>
            <w:tcW w:w="727" w:type="pct"/>
            <w:gridSpan w:val="2"/>
            <w:tcBorders>
              <w:top w:val="nil"/>
              <w:left w:val="nil"/>
              <w:bottom w:val="nil"/>
              <w:right w:val="nil"/>
            </w:tcBorders>
            <w:vAlign w:val="bottom"/>
          </w:tcPr>
          <w:p w14:paraId="0FDE4963" w14:textId="016A6802" w:rsidR="009D77F8" w:rsidRPr="00627844" w:rsidRDefault="001E7E5D" w:rsidP="001E7E5D">
            <w:pPr>
              <w:pStyle w:val="TableTitle"/>
              <w:tabs>
                <w:tab w:val="left" w:pos="3306"/>
              </w:tabs>
              <w:rPr>
                <w:rFonts w:cs="Calibri"/>
              </w:rPr>
            </w:pPr>
            <w:bookmarkStart w:id="437" w:name="_Toc48468470"/>
            <w:bookmarkStart w:id="438" w:name="_Toc49155587"/>
            <w:bookmarkStart w:id="439" w:name="_Toc49224037"/>
            <w:r w:rsidRPr="00627844">
              <w:rPr>
                <w:rFonts w:cs="Calibri"/>
              </w:rPr>
              <w:t>2022</w:t>
            </w:r>
          </w:p>
          <w:bookmarkEnd w:id="437"/>
          <w:bookmarkEnd w:id="438"/>
          <w:bookmarkEnd w:id="439"/>
          <w:p w14:paraId="5DB20C7E" w14:textId="77777777" w:rsidR="009D77F8" w:rsidRPr="00627844" w:rsidRDefault="009D77F8">
            <w:pPr>
              <w:pStyle w:val="TableTitle"/>
              <w:tabs>
                <w:tab w:val="left" w:pos="3306"/>
              </w:tabs>
              <w:rPr>
                <w:rFonts w:cs="Calibri"/>
              </w:rPr>
            </w:pPr>
            <w:r w:rsidRPr="00627844">
              <w:rPr>
                <w:rFonts w:cs="Calibri"/>
              </w:rPr>
              <w:t>$’000</w:t>
            </w:r>
          </w:p>
        </w:tc>
        <w:tc>
          <w:tcPr>
            <w:tcW w:w="824" w:type="pct"/>
            <w:gridSpan w:val="2"/>
            <w:tcBorders>
              <w:top w:val="nil"/>
              <w:left w:val="nil"/>
              <w:bottom w:val="nil"/>
              <w:right w:val="nil"/>
            </w:tcBorders>
            <w:vAlign w:val="bottom"/>
          </w:tcPr>
          <w:p w14:paraId="12961A17" w14:textId="40A9E2B1" w:rsidR="009D77F8" w:rsidRPr="00627844" w:rsidRDefault="00AB4981">
            <w:pPr>
              <w:pStyle w:val="TableTitle"/>
              <w:tabs>
                <w:tab w:val="left" w:pos="3306"/>
              </w:tabs>
              <w:rPr>
                <w:rFonts w:cs="Calibri"/>
              </w:rPr>
            </w:pPr>
            <w:bookmarkStart w:id="440" w:name="_Toc48468471"/>
            <w:bookmarkStart w:id="441" w:name="_Toc49155588"/>
            <w:bookmarkStart w:id="442" w:name="_Toc49224038"/>
            <w:r w:rsidRPr="00627844">
              <w:rPr>
                <w:rFonts w:cs="Calibri"/>
              </w:rPr>
              <w:t>2021</w:t>
            </w:r>
          </w:p>
          <w:bookmarkEnd w:id="440"/>
          <w:bookmarkEnd w:id="441"/>
          <w:bookmarkEnd w:id="442"/>
          <w:p w14:paraId="23738F71" w14:textId="77777777" w:rsidR="009D77F8" w:rsidRPr="00627844" w:rsidRDefault="009D77F8">
            <w:pPr>
              <w:pStyle w:val="TableTitle"/>
              <w:tabs>
                <w:tab w:val="left" w:pos="3306"/>
              </w:tabs>
              <w:rPr>
                <w:rFonts w:cs="Calibri"/>
              </w:rPr>
            </w:pPr>
            <w:r w:rsidRPr="00627844">
              <w:rPr>
                <w:rFonts w:cs="Calibri"/>
              </w:rPr>
              <w:t>$’000</w:t>
            </w:r>
          </w:p>
        </w:tc>
      </w:tr>
      <w:tr w:rsidR="009D77F8" w:rsidRPr="00CF7E1B" w14:paraId="7DFCCD20" w14:textId="77777777" w:rsidTr="002F4A89">
        <w:trPr>
          <w:trHeight w:val="23"/>
        </w:trPr>
        <w:tc>
          <w:tcPr>
            <w:tcW w:w="746" w:type="pct"/>
            <w:tcBorders>
              <w:top w:val="nil"/>
              <w:left w:val="single" w:sz="2" w:space="0" w:color="auto"/>
              <w:bottom w:val="nil"/>
              <w:right w:val="single" w:sz="2" w:space="0" w:color="auto"/>
            </w:tcBorders>
          </w:tcPr>
          <w:p w14:paraId="2C80DFE2" w14:textId="3F2DDE6B" w:rsidR="009D77F8" w:rsidRPr="00627844" w:rsidRDefault="003E2554" w:rsidP="00956A70">
            <w:pPr>
              <w:pStyle w:val="TableReference"/>
              <w:tabs>
                <w:tab w:val="left" w:pos="3306"/>
              </w:tabs>
              <w:rPr>
                <w:rFonts w:cs="Calibri"/>
                <w:color w:val="7030A0"/>
                <w:sz w:val="16"/>
                <w:szCs w:val="16"/>
              </w:rPr>
            </w:pPr>
            <w:r w:rsidRPr="00627844">
              <w:rPr>
                <w:rFonts w:cs="Calibri"/>
                <w:color w:val="7030A0"/>
                <w:sz w:val="14"/>
              </w:rPr>
              <w:t>ACT Disclosure Policy</w:t>
            </w:r>
          </w:p>
        </w:tc>
        <w:tc>
          <w:tcPr>
            <w:tcW w:w="2703" w:type="pct"/>
            <w:tcBorders>
              <w:top w:val="nil"/>
              <w:left w:val="single" w:sz="2" w:space="0" w:color="auto"/>
              <w:bottom w:val="nil"/>
              <w:right w:val="nil"/>
            </w:tcBorders>
            <w:vAlign w:val="bottom"/>
          </w:tcPr>
          <w:p w14:paraId="6719B611" w14:textId="77777777" w:rsidR="009D77F8" w:rsidRPr="00627844" w:rsidRDefault="009D77F8" w:rsidP="00956A70">
            <w:pPr>
              <w:pStyle w:val="TableText"/>
              <w:tabs>
                <w:tab w:val="left" w:pos="3306"/>
              </w:tabs>
              <w:spacing w:before="0"/>
              <w:rPr>
                <w:rFonts w:cs="Calibri"/>
                <w:b/>
                <w:bCs/>
              </w:rPr>
            </w:pPr>
            <w:r w:rsidRPr="00627844">
              <w:rPr>
                <w:rFonts w:cs="Calibri"/>
                <w:b/>
                <w:bCs/>
              </w:rPr>
              <w:t>Recurrent Grants</w:t>
            </w:r>
          </w:p>
        </w:tc>
        <w:tc>
          <w:tcPr>
            <w:tcW w:w="727" w:type="pct"/>
            <w:gridSpan w:val="2"/>
            <w:tcBorders>
              <w:top w:val="nil"/>
              <w:left w:val="nil"/>
              <w:bottom w:val="nil"/>
              <w:right w:val="nil"/>
            </w:tcBorders>
            <w:vAlign w:val="bottom"/>
          </w:tcPr>
          <w:p w14:paraId="606AA9A1" w14:textId="025FE470" w:rsidR="009D77F8" w:rsidRPr="00627844" w:rsidRDefault="009D77F8" w:rsidP="00956A70">
            <w:pPr>
              <w:pStyle w:val="TableText"/>
              <w:tabs>
                <w:tab w:val="left" w:pos="3306"/>
              </w:tabs>
              <w:spacing w:before="0"/>
              <w:jc w:val="right"/>
              <w:rPr>
                <w:rFonts w:cs="Calibri"/>
              </w:rPr>
            </w:pPr>
          </w:p>
        </w:tc>
        <w:tc>
          <w:tcPr>
            <w:tcW w:w="824" w:type="pct"/>
            <w:gridSpan w:val="2"/>
            <w:tcBorders>
              <w:top w:val="nil"/>
              <w:left w:val="nil"/>
              <w:bottom w:val="nil"/>
              <w:right w:val="nil"/>
            </w:tcBorders>
            <w:vAlign w:val="bottom"/>
          </w:tcPr>
          <w:p w14:paraId="76FA5E33" w14:textId="6F4698C6" w:rsidR="009D77F8" w:rsidRPr="00627844" w:rsidRDefault="009D77F8" w:rsidP="00956A70">
            <w:pPr>
              <w:pStyle w:val="TableText"/>
              <w:tabs>
                <w:tab w:val="left" w:pos="3306"/>
              </w:tabs>
              <w:spacing w:before="0"/>
              <w:jc w:val="right"/>
              <w:rPr>
                <w:rFonts w:cs="Calibri"/>
              </w:rPr>
            </w:pPr>
          </w:p>
        </w:tc>
      </w:tr>
      <w:tr w:rsidR="00F94364" w:rsidRPr="00CF7E1B" w14:paraId="358F0B9C" w14:textId="77777777" w:rsidTr="002F4A89">
        <w:trPr>
          <w:trHeight w:val="23"/>
        </w:trPr>
        <w:tc>
          <w:tcPr>
            <w:tcW w:w="746" w:type="pct"/>
            <w:tcBorders>
              <w:top w:val="nil"/>
              <w:left w:val="single" w:sz="2" w:space="0" w:color="auto"/>
              <w:bottom w:val="nil"/>
              <w:right w:val="single" w:sz="2" w:space="0" w:color="auto"/>
            </w:tcBorders>
          </w:tcPr>
          <w:p w14:paraId="4ACC0CB8" w14:textId="77777777" w:rsidR="00F94364" w:rsidRPr="00627844" w:rsidRDefault="00F94364">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1110D340" w14:textId="1EEFE5F6" w:rsidR="00F94364" w:rsidRPr="00627844" w:rsidRDefault="00F94364">
            <w:pPr>
              <w:pStyle w:val="TableText"/>
              <w:tabs>
                <w:tab w:val="left" w:pos="3306"/>
              </w:tabs>
              <w:rPr>
                <w:rFonts w:cs="Calibri"/>
              </w:rPr>
            </w:pPr>
            <w:r w:rsidRPr="00627844">
              <w:rPr>
                <w:rFonts w:cs="Calibri"/>
              </w:rPr>
              <w:t>Jobs for Canberrans</w:t>
            </w:r>
          </w:p>
        </w:tc>
        <w:tc>
          <w:tcPr>
            <w:tcW w:w="727" w:type="pct"/>
            <w:gridSpan w:val="2"/>
            <w:tcBorders>
              <w:top w:val="nil"/>
              <w:left w:val="nil"/>
              <w:bottom w:val="nil"/>
              <w:right w:val="nil"/>
            </w:tcBorders>
            <w:vAlign w:val="bottom"/>
          </w:tcPr>
          <w:p w14:paraId="4D850103" w14:textId="77777777" w:rsidR="00F94364" w:rsidRPr="00627844" w:rsidRDefault="00F94364">
            <w:pPr>
              <w:pStyle w:val="TableText"/>
              <w:tabs>
                <w:tab w:val="left" w:pos="3306"/>
              </w:tabs>
              <w:jc w:val="right"/>
              <w:rPr>
                <w:rFonts w:cs="Calibri"/>
              </w:rPr>
            </w:pPr>
          </w:p>
        </w:tc>
        <w:tc>
          <w:tcPr>
            <w:tcW w:w="824" w:type="pct"/>
            <w:gridSpan w:val="2"/>
            <w:tcBorders>
              <w:top w:val="nil"/>
              <w:left w:val="nil"/>
              <w:bottom w:val="nil"/>
              <w:right w:val="nil"/>
            </w:tcBorders>
            <w:vAlign w:val="bottom"/>
          </w:tcPr>
          <w:p w14:paraId="0284A3DD" w14:textId="77777777" w:rsidR="00F94364" w:rsidRPr="00627844" w:rsidRDefault="00F94364">
            <w:pPr>
              <w:pStyle w:val="TableText"/>
              <w:tabs>
                <w:tab w:val="left" w:pos="3306"/>
              </w:tabs>
              <w:jc w:val="right"/>
              <w:rPr>
                <w:rFonts w:cs="Calibri"/>
              </w:rPr>
            </w:pPr>
          </w:p>
        </w:tc>
      </w:tr>
      <w:tr w:rsidR="00F94364" w:rsidRPr="00CF7E1B" w14:paraId="12660449" w14:textId="77777777" w:rsidTr="002F4A89">
        <w:trPr>
          <w:trHeight w:val="23"/>
        </w:trPr>
        <w:tc>
          <w:tcPr>
            <w:tcW w:w="746" w:type="pct"/>
            <w:tcBorders>
              <w:top w:val="nil"/>
              <w:left w:val="single" w:sz="2" w:space="0" w:color="auto"/>
              <w:bottom w:val="nil"/>
              <w:right w:val="single" w:sz="2" w:space="0" w:color="auto"/>
            </w:tcBorders>
          </w:tcPr>
          <w:p w14:paraId="0542F6D2" w14:textId="77777777" w:rsidR="00F94364" w:rsidRPr="00627844" w:rsidRDefault="00F94364">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75037AED" w14:textId="270DEB1A" w:rsidR="00F94364" w:rsidRPr="00627844" w:rsidRDefault="00F94364">
            <w:pPr>
              <w:pStyle w:val="TableText"/>
              <w:tabs>
                <w:tab w:val="left" w:pos="3306"/>
              </w:tabs>
              <w:rPr>
                <w:rFonts w:cs="Calibri"/>
              </w:rPr>
            </w:pPr>
            <w:r w:rsidRPr="00627844">
              <w:rPr>
                <w:rFonts w:cs="Calibri"/>
              </w:rPr>
              <w:t>Example Sport Grants Program</w:t>
            </w:r>
          </w:p>
        </w:tc>
        <w:tc>
          <w:tcPr>
            <w:tcW w:w="727" w:type="pct"/>
            <w:gridSpan w:val="2"/>
            <w:tcBorders>
              <w:top w:val="nil"/>
              <w:left w:val="nil"/>
              <w:bottom w:val="nil"/>
              <w:right w:val="nil"/>
            </w:tcBorders>
            <w:vAlign w:val="bottom"/>
          </w:tcPr>
          <w:p w14:paraId="218FCF7C" w14:textId="77777777" w:rsidR="00F94364" w:rsidRPr="00627844" w:rsidRDefault="00F94364">
            <w:pPr>
              <w:pStyle w:val="TableText"/>
              <w:tabs>
                <w:tab w:val="left" w:pos="3306"/>
              </w:tabs>
              <w:jc w:val="right"/>
              <w:rPr>
                <w:rFonts w:cs="Calibri"/>
              </w:rPr>
            </w:pPr>
          </w:p>
        </w:tc>
        <w:tc>
          <w:tcPr>
            <w:tcW w:w="824" w:type="pct"/>
            <w:gridSpan w:val="2"/>
            <w:tcBorders>
              <w:top w:val="nil"/>
              <w:left w:val="nil"/>
              <w:bottom w:val="nil"/>
              <w:right w:val="nil"/>
            </w:tcBorders>
            <w:vAlign w:val="bottom"/>
          </w:tcPr>
          <w:p w14:paraId="2517856A" w14:textId="77777777" w:rsidR="00F94364" w:rsidRPr="00627844" w:rsidRDefault="00F94364">
            <w:pPr>
              <w:pStyle w:val="TableText"/>
              <w:tabs>
                <w:tab w:val="left" w:pos="3306"/>
              </w:tabs>
              <w:jc w:val="right"/>
              <w:rPr>
                <w:rFonts w:cs="Calibri"/>
              </w:rPr>
            </w:pPr>
          </w:p>
        </w:tc>
      </w:tr>
      <w:tr w:rsidR="00F94364" w:rsidRPr="00CF7E1B" w14:paraId="123FE2C9" w14:textId="77777777" w:rsidTr="002F4A89">
        <w:trPr>
          <w:trHeight w:val="23"/>
        </w:trPr>
        <w:tc>
          <w:tcPr>
            <w:tcW w:w="746" w:type="pct"/>
            <w:tcBorders>
              <w:top w:val="nil"/>
              <w:left w:val="single" w:sz="2" w:space="0" w:color="auto"/>
              <w:bottom w:val="nil"/>
              <w:right w:val="single" w:sz="2" w:space="0" w:color="auto"/>
            </w:tcBorders>
          </w:tcPr>
          <w:p w14:paraId="67B8671F" w14:textId="77777777" w:rsidR="00F94364" w:rsidRPr="00627844" w:rsidRDefault="00F94364">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2858FEDC" w14:textId="5EA485F9" w:rsidR="00F94364" w:rsidRPr="00627844" w:rsidRDefault="00593E6F">
            <w:pPr>
              <w:pStyle w:val="TableText"/>
              <w:tabs>
                <w:tab w:val="left" w:pos="3306"/>
              </w:tabs>
              <w:rPr>
                <w:rFonts w:cs="Calibri"/>
              </w:rPr>
            </w:pPr>
            <w:r w:rsidRPr="00627844">
              <w:rPr>
                <w:rFonts w:cs="Calibri"/>
              </w:rPr>
              <w:t>Example Community Grants Program</w:t>
            </w:r>
          </w:p>
        </w:tc>
        <w:tc>
          <w:tcPr>
            <w:tcW w:w="727" w:type="pct"/>
            <w:gridSpan w:val="2"/>
            <w:tcBorders>
              <w:top w:val="nil"/>
              <w:left w:val="nil"/>
              <w:bottom w:val="nil"/>
              <w:right w:val="nil"/>
            </w:tcBorders>
            <w:vAlign w:val="bottom"/>
          </w:tcPr>
          <w:p w14:paraId="79360C4B" w14:textId="77777777" w:rsidR="00F94364" w:rsidRPr="00627844" w:rsidRDefault="00F94364">
            <w:pPr>
              <w:pStyle w:val="TableText"/>
              <w:tabs>
                <w:tab w:val="left" w:pos="3306"/>
              </w:tabs>
              <w:jc w:val="right"/>
              <w:rPr>
                <w:rFonts w:cs="Calibri"/>
              </w:rPr>
            </w:pPr>
          </w:p>
        </w:tc>
        <w:tc>
          <w:tcPr>
            <w:tcW w:w="824" w:type="pct"/>
            <w:gridSpan w:val="2"/>
            <w:tcBorders>
              <w:top w:val="nil"/>
              <w:left w:val="nil"/>
              <w:bottom w:val="nil"/>
              <w:right w:val="nil"/>
            </w:tcBorders>
            <w:vAlign w:val="bottom"/>
          </w:tcPr>
          <w:p w14:paraId="2982994D" w14:textId="77777777" w:rsidR="00F94364" w:rsidRPr="00627844" w:rsidRDefault="00F94364">
            <w:pPr>
              <w:pStyle w:val="TableText"/>
              <w:tabs>
                <w:tab w:val="left" w:pos="3306"/>
              </w:tabs>
              <w:jc w:val="right"/>
              <w:rPr>
                <w:rFonts w:cs="Calibri"/>
              </w:rPr>
            </w:pPr>
          </w:p>
        </w:tc>
      </w:tr>
      <w:tr w:rsidR="00593E6F" w:rsidRPr="00CF7E1B" w14:paraId="6BFC6E01" w14:textId="77777777" w:rsidTr="002F4A89">
        <w:trPr>
          <w:trHeight w:val="23"/>
        </w:trPr>
        <w:tc>
          <w:tcPr>
            <w:tcW w:w="746" w:type="pct"/>
            <w:tcBorders>
              <w:top w:val="nil"/>
              <w:left w:val="single" w:sz="2" w:space="0" w:color="auto"/>
              <w:bottom w:val="nil"/>
              <w:right w:val="single" w:sz="2" w:space="0" w:color="auto"/>
            </w:tcBorders>
          </w:tcPr>
          <w:p w14:paraId="482160A2" w14:textId="77777777" w:rsidR="00593E6F" w:rsidRPr="00627844" w:rsidRDefault="00593E6F">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438514FF" w14:textId="1F95542D" w:rsidR="00593E6F" w:rsidRPr="00627844" w:rsidRDefault="00593E6F">
            <w:pPr>
              <w:pStyle w:val="TableText"/>
              <w:tabs>
                <w:tab w:val="left" w:pos="3306"/>
              </w:tabs>
              <w:rPr>
                <w:rFonts w:cs="Calibri"/>
              </w:rPr>
            </w:pPr>
            <w:r w:rsidRPr="00627844">
              <w:rPr>
                <w:rFonts w:cs="Calibri"/>
              </w:rPr>
              <w:t>Example Environment Program</w:t>
            </w:r>
          </w:p>
        </w:tc>
        <w:tc>
          <w:tcPr>
            <w:tcW w:w="727" w:type="pct"/>
            <w:gridSpan w:val="2"/>
            <w:tcBorders>
              <w:top w:val="nil"/>
              <w:left w:val="nil"/>
              <w:bottom w:val="single" w:sz="4" w:space="0" w:color="auto"/>
              <w:right w:val="nil"/>
            </w:tcBorders>
            <w:vAlign w:val="bottom"/>
          </w:tcPr>
          <w:p w14:paraId="638354EC" w14:textId="77777777" w:rsidR="00593E6F" w:rsidRPr="00627844" w:rsidRDefault="00593E6F">
            <w:pPr>
              <w:pStyle w:val="TableText"/>
              <w:tabs>
                <w:tab w:val="left" w:pos="3306"/>
              </w:tabs>
              <w:jc w:val="right"/>
              <w:rPr>
                <w:rFonts w:cs="Calibri"/>
              </w:rPr>
            </w:pPr>
          </w:p>
        </w:tc>
        <w:tc>
          <w:tcPr>
            <w:tcW w:w="824" w:type="pct"/>
            <w:gridSpan w:val="2"/>
            <w:tcBorders>
              <w:top w:val="nil"/>
              <w:left w:val="nil"/>
              <w:bottom w:val="single" w:sz="4" w:space="0" w:color="auto"/>
              <w:right w:val="nil"/>
            </w:tcBorders>
            <w:vAlign w:val="bottom"/>
          </w:tcPr>
          <w:p w14:paraId="405DDD37" w14:textId="77777777" w:rsidR="00593E6F" w:rsidRPr="00627844" w:rsidRDefault="00593E6F">
            <w:pPr>
              <w:pStyle w:val="TableText"/>
              <w:tabs>
                <w:tab w:val="left" w:pos="3306"/>
              </w:tabs>
              <w:jc w:val="right"/>
              <w:rPr>
                <w:rFonts w:cs="Calibri"/>
              </w:rPr>
            </w:pPr>
          </w:p>
        </w:tc>
      </w:tr>
      <w:tr w:rsidR="00956A70" w:rsidRPr="00CF7E1B" w14:paraId="6DE06407" w14:textId="77777777" w:rsidTr="002F4A89">
        <w:trPr>
          <w:trHeight w:val="23"/>
        </w:trPr>
        <w:tc>
          <w:tcPr>
            <w:tcW w:w="746" w:type="pct"/>
            <w:tcBorders>
              <w:top w:val="nil"/>
              <w:left w:val="single" w:sz="2" w:space="0" w:color="auto"/>
              <w:bottom w:val="nil"/>
              <w:right w:val="single" w:sz="2" w:space="0" w:color="auto"/>
            </w:tcBorders>
          </w:tcPr>
          <w:p w14:paraId="7D566EE4" w14:textId="77777777" w:rsidR="00956A70" w:rsidRPr="00627844" w:rsidRDefault="00956A70">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77E91EA1" w14:textId="71B67416" w:rsidR="00956A70" w:rsidRPr="00627844" w:rsidRDefault="00956A70" w:rsidP="00956A70">
            <w:pPr>
              <w:pStyle w:val="TableText"/>
              <w:tabs>
                <w:tab w:val="left" w:pos="3306"/>
              </w:tabs>
              <w:spacing w:before="0"/>
              <w:rPr>
                <w:rFonts w:cs="Calibri"/>
                <w:b/>
                <w:bCs/>
              </w:rPr>
            </w:pPr>
            <w:r w:rsidRPr="00627844">
              <w:rPr>
                <w:rFonts w:cs="Calibri"/>
                <w:b/>
                <w:bCs/>
              </w:rPr>
              <w:t>Total Recurrent Grants</w:t>
            </w:r>
          </w:p>
        </w:tc>
        <w:tc>
          <w:tcPr>
            <w:tcW w:w="727" w:type="pct"/>
            <w:gridSpan w:val="2"/>
            <w:tcBorders>
              <w:top w:val="single" w:sz="4" w:space="0" w:color="auto"/>
              <w:left w:val="nil"/>
              <w:bottom w:val="single" w:sz="4" w:space="0" w:color="auto"/>
              <w:right w:val="nil"/>
            </w:tcBorders>
            <w:vAlign w:val="bottom"/>
          </w:tcPr>
          <w:p w14:paraId="454905CB" w14:textId="77777777" w:rsidR="00956A70" w:rsidRPr="00627844" w:rsidRDefault="00956A70" w:rsidP="00956A70">
            <w:pPr>
              <w:pStyle w:val="TableText"/>
              <w:tabs>
                <w:tab w:val="left" w:pos="3306"/>
              </w:tabs>
              <w:spacing w:before="0"/>
              <w:jc w:val="right"/>
              <w:rPr>
                <w:rFonts w:cs="Calibri"/>
              </w:rPr>
            </w:pPr>
          </w:p>
        </w:tc>
        <w:tc>
          <w:tcPr>
            <w:tcW w:w="824" w:type="pct"/>
            <w:gridSpan w:val="2"/>
            <w:tcBorders>
              <w:top w:val="single" w:sz="4" w:space="0" w:color="auto"/>
              <w:left w:val="nil"/>
              <w:bottom w:val="single" w:sz="4" w:space="0" w:color="auto"/>
              <w:right w:val="nil"/>
            </w:tcBorders>
            <w:vAlign w:val="bottom"/>
          </w:tcPr>
          <w:p w14:paraId="1D70079A" w14:textId="77777777" w:rsidR="00956A70" w:rsidRPr="00627844" w:rsidRDefault="00956A70" w:rsidP="00956A70">
            <w:pPr>
              <w:pStyle w:val="TableText"/>
              <w:tabs>
                <w:tab w:val="left" w:pos="3306"/>
              </w:tabs>
              <w:spacing w:before="0"/>
              <w:jc w:val="right"/>
              <w:rPr>
                <w:rFonts w:cs="Calibri"/>
              </w:rPr>
            </w:pPr>
          </w:p>
        </w:tc>
      </w:tr>
      <w:tr w:rsidR="00956A70" w:rsidRPr="00CF7E1B" w14:paraId="500241AF" w14:textId="77777777" w:rsidTr="002F4A89">
        <w:trPr>
          <w:trHeight w:val="23"/>
        </w:trPr>
        <w:tc>
          <w:tcPr>
            <w:tcW w:w="746" w:type="pct"/>
            <w:tcBorders>
              <w:top w:val="nil"/>
              <w:left w:val="single" w:sz="2" w:space="0" w:color="auto"/>
              <w:bottom w:val="nil"/>
              <w:right w:val="single" w:sz="2" w:space="0" w:color="auto"/>
            </w:tcBorders>
          </w:tcPr>
          <w:p w14:paraId="55E9CF07" w14:textId="77777777" w:rsidR="00956A70" w:rsidRPr="00627844" w:rsidRDefault="00956A70">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05B833B0" w14:textId="77777777" w:rsidR="00956A70" w:rsidRPr="00627844" w:rsidRDefault="00956A70" w:rsidP="00956A70">
            <w:pPr>
              <w:pStyle w:val="TableText"/>
              <w:tabs>
                <w:tab w:val="left" w:pos="3306"/>
              </w:tabs>
              <w:spacing w:before="0"/>
              <w:rPr>
                <w:rFonts w:cs="Calibri"/>
                <w:b/>
                <w:bCs/>
              </w:rPr>
            </w:pPr>
          </w:p>
        </w:tc>
        <w:tc>
          <w:tcPr>
            <w:tcW w:w="727" w:type="pct"/>
            <w:gridSpan w:val="2"/>
            <w:tcBorders>
              <w:top w:val="single" w:sz="4" w:space="0" w:color="auto"/>
              <w:left w:val="nil"/>
              <w:bottom w:val="nil"/>
              <w:right w:val="nil"/>
            </w:tcBorders>
            <w:vAlign w:val="bottom"/>
          </w:tcPr>
          <w:p w14:paraId="06A388E2" w14:textId="77777777" w:rsidR="00956A70" w:rsidRPr="00627844" w:rsidRDefault="00956A70" w:rsidP="00956A70">
            <w:pPr>
              <w:pStyle w:val="TableText"/>
              <w:tabs>
                <w:tab w:val="left" w:pos="3306"/>
              </w:tabs>
              <w:spacing w:before="0"/>
              <w:jc w:val="right"/>
              <w:rPr>
                <w:rFonts w:cs="Calibri"/>
              </w:rPr>
            </w:pPr>
          </w:p>
        </w:tc>
        <w:tc>
          <w:tcPr>
            <w:tcW w:w="824" w:type="pct"/>
            <w:gridSpan w:val="2"/>
            <w:tcBorders>
              <w:top w:val="single" w:sz="4" w:space="0" w:color="auto"/>
              <w:left w:val="nil"/>
              <w:bottom w:val="nil"/>
              <w:right w:val="nil"/>
            </w:tcBorders>
            <w:vAlign w:val="bottom"/>
          </w:tcPr>
          <w:p w14:paraId="4AC70471" w14:textId="77777777" w:rsidR="00956A70" w:rsidRPr="00627844" w:rsidRDefault="00956A70" w:rsidP="00956A70">
            <w:pPr>
              <w:pStyle w:val="TableText"/>
              <w:tabs>
                <w:tab w:val="left" w:pos="3306"/>
              </w:tabs>
              <w:spacing w:before="0"/>
              <w:jc w:val="right"/>
              <w:rPr>
                <w:rFonts w:cs="Calibri"/>
              </w:rPr>
            </w:pPr>
          </w:p>
        </w:tc>
      </w:tr>
      <w:tr w:rsidR="009D77F8" w:rsidRPr="00CF7E1B" w14:paraId="02147CC8" w14:textId="77777777" w:rsidTr="002F4A89">
        <w:trPr>
          <w:trHeight w:val="23"/>
        </w:trPr>
        <w:tc>
          <w:tcPr>
            <w:tcW w:w="746" w:type="pct"/>
            <w:tcBorders>
              <w:top w:val="nil"/>
              <w:left w:val="single" w:sz="2" w:space="0" w:color="auto"/>
              <w:bottom w:val="nil"/>
              <w:right w:val="single" w:sz="2" w:space="0" w:color="auto"/>
            </w:tcBorders>
          </w:tcPr>
          <w:p w14:paraId="6656358A" w14:textId="5DBA7381" w:rsidR="009D77F8" w:rsidRPr="00627844" w:rsidRDefault="003E2554">
            <w:pPr>
              <w:pStyle w:val="TableReference"/>
              <w:tabs>
                <w:tab w:val="left" w:pos="3306"/>
              </w:tabs>
              <w:spacing w:before="40"/>
              <w:rPr>
                <w:rFonts w:cs="Calibri"/>
                <w:color w:val="7030A0"/>
                <w:sz w:val="16"/>
                <w:szCs w:val="16"/>
              </w:rPr>
            </w:pPr>
            <w:r w:rsidRPr="00627844">
              <w:rPr>
                <w:rFonts w:cs="Calibri"/>
                <w:color w:val="7030A0"/>
                <w:sz w:val="14"/>
              </w:rPr>
              <w:t>ACT Disclosure Policy</w:t>
            </w:r>
          </w:p>
        </w:tc>
        <w:tc>
          <w:tcPr>
            <w:tcW w:w="2703" w:type="pct"/>
            <w:tcBorders>
              <w:top w:val="nil"/>
              <w:left w:val="single" w:sz="2" w:space="0" w:color="auto"/>
              <w:bottom w:val="nil"/>
              <w:right w:val="nil"/>
            </w:tcBorders>
            <w:vAlign w:val="bottom"/>
          </w:tcPr>
          <w:p w14:paraId="1450E526" w14:textId="1C8A756F" w:rsidR="009D77F8" w:rsidRPr="00627844" w:rsidRDefault="009D77F8" w:rsidP="00D936CD">
            <w:pPr>
              <w:pStyle w:val="TableText"/>
              <w:tabs>
                <w:tab w:val="left" w:pos="3306"/>
              </w:tabs>
              <w:spacing w:before="120"/>
              <w:rPr>
                <w:rFonts w:cs="Calibri"/>
              </w:rPr>
            </w:pPr>
            <w:r w:rsidRPr="00627844">
              <w:rPr>
                <w:rFonts w:cs="Calibri"/>
                <w:b/>
                <w:bCs/>
              </w:rPr>
              <w:t>Capital Grants</w:t>
            </w:r>
            <w:r w:rsidRPr="00627844">
              <w:rPr>
                <w:rFonts w:cs="Calibri"/>
              </w:rPr>
              <w:t xml:space="preserve"> </w:t>
            </w:r>
            <w:r w:rsidR="00E7007E" w:rsidRPr="00E7007E">
              <w:rPr>
                <w:rFonts w:cs="Calibri"/>
                <w:vertAlign w:val="superscript"/>
              </w:rPr>
              <w:t>a</w:t>
            </w:r>
          </w:p>
        </w:tc>
        <w:tc>
          <w:tcPr>
            <w:tcW w:w="727" w:type="pct"/>
            <w:gridSpan w:val="2"/>
            <w:tcBorders>
              <w:top w:val="nil"/>
              <w:left w:val="nil"/>
              <w:bottom w:val="nil"/>
              <w:right w:val="nil"/>
            </w:tcBorders>
            <w:vAlign w:val="bottom"/>
          </w:tcPr>
          <w:p w14:paraId="7E739980" w14:textId="17064D02" w:rsidR="009D77F8" w:rsidRPr="00627844" w:rsidRDefault="009D77F8">
            <w:pPr>
              <w:pStyle w:val="TableText"/>
              <w:tabs>
                <w:tab w:val="left" w:pos="3306"/>
              </w:tabs>
              <w:jc w:val="right"/>
              <w:rPr>
                <w:rFonts w:cs="Calibri"/>
              </w:rPr>
            </w:pPr>
          </w:p>
        </w:tc>
        <w:tc>
          <w:tcPr>
            <w:tcW w:w="824" w:type="pct"/>
            <w:gridSpan w:val="2"/>
            <w:tcBorders>
              <w:top w:val="nil"/>
              <w:left w:val="nil"/>
              <w:bottom w:val="nil"/>
              <w:right w:val="nil"/>
            </w:tcBorders>
            <w:vAlign w:val="bottom"/>
          </w:tcPr>
          <w:p w14:paraId="33D4B445" w14:textId="33CB3D95" w:rsidR="009D77F8" w:rsidRPr="00627844" w:rsidRDefault="009D77F8">
            <w:pPr>
              <w:pStyle w:val="TableText"/>
              <w:tabs>
                <w:tab w:val="left" w:pos="3306"/>
              </w:tabs>
              <w:jc w:val="right"/>
              <w:rPr>
                <w:rFonts w:cs="Calibri"/>
              </w:rPr>
            </w:pPr>
          </w:p>
        </w:tc>
      </w:tr>
      <w:tr w:rsidR="00D936CD" w:rsidRPr="00CF7E1B" w14:paraId="14ADA34B" w14:textId="77777777" w:rsidTr="002F4A89">
        <w:trPr>
          <w:trHeight w:val="23"/>
        </w:trPr>
        <w:tc>
          <w:tcPr>
            <w:tcW w:w="746" w:type="pct"/>
            <w:tcBorders>
              <w:top w:val="nil"/>
              <w:left w:val="single" w:sz="2" w:space="0" w:color="auto"/>
              <w:bottom w:val="nil"/>
              <w:right w:val="single" w:sz="2" w:space="0" w:color="auto"/>
            </w:tcBorders>
          </w:tcPr>
          <w:p w14:paraId="3A869E57" w14:textId="77777777" w:rsidR="00D936CD" w:rsidRPr="00627844" w:rsidRDefault="00D936CD">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59753AD5" w14:textId="39743A39" w:rsidR="00D936CD" w:rsidRPr="00627844" w:rsidRDefault="00D936CD" w:rsidP="00906E7B">
            <w:pPr>
              <w:pStyle w:val="TableText"/>
              <w:tabs>
                <w:tab w:val="left" w:pos="3306"/>
              </w:tabs>
              <w:spacing w:before="0" w:after="40"/>
              <w:ind w:left="187" w:hanging="187"/>
              <w:rPr>
                <w:rFonts w:cs="Calibri"/>
              </w:rPr>
            </w:pPr>
            <w:r w:rsidRPr="00627844">
              <w:rPr>
                <w:rFonts w:cs="Calibri"/>
              </w:rPr>
              <w:t xml:space="preserve">Grant for the Construction of </w:t>
            </w:r>
            <w:r w:rsidRPr="00627844">
              <w:t>short</w:t>
            </w:r>
            <w:r w:rsidR="00DC779A" w:rsidRPr="00627844">
              <w:t>-</w:t>
            </w:r>
            <w:r w:rsidRPr="00627844">
              <w:t>term accommodation for people with disability</w:t>
            </w:r>
          </w:p>
        </w:tc>
        <w:tc>
          <w:tcPr>
            <w:tcW w:w="727" w:type="pct"/>
            <w:gridSpan w:val="2"/>
            <w:tcBorders>
              <w:top w:val="nil"/>
              <w:left w:val="nil"/>
              <w:bottom w:val="single" w:sz="4" w:space="0" w:color="auto"/>
              <w:right w:val="nil"/>
            </w:tcBorders>
            <w:vAlign w:val="bottom"/>
          </w:tcPr>
          <w:p w14:paraId="015EE54F" w14:textId="77777777" w:rsidR="00D936CD" w:rsidRPr="00627844" w:rsidRDefault="00D936CD">
            <w:pPr>
              <w:pStyle w:val="TableText"/>
              <w:tabs>
                <w:tab w:val="left" w:pos="3306"/>
              </w:tabs>
              <w:jc w:val="right"/>
              <w:rPr>
                <w:rFonts w:cs="Calibri"/>
              </w:rPr>
            </w:pPr>
          </w:p>
        </w:tc>
        <w:tc>
          <w:tcPr>
            <w:tcW w:w="824" w:type="pct"/>
            <w:gridSpan w:val="2"/>
            <w:tcBorders>
              <w:top w:val="nil"/>
              <w:left w:val="nil"/>
              <w:bottom w:val="single" w:sz="4" w:space="0" w:color="auto"/>
              <w:right w:val="nil"/>
            </w:tcBorders>
            <w:vAlign w:val="bottom"/>
          </w:tcPr>
          <w:p w14:paraId="308FB8B4" w14:textId="77777777" w:rsidR="00D936CD" w:rsidRPr="00627844" w:rsidRDefault="00D936CD">
            <w:pPr>
              <w:pStyle w:val="TableText"/>
              <w:tabs>
                <w:tab w:val="left" w:pos="3306"/>
              </w:tabs>
              <w:jc w:val="right"/>
              <w:rPr>
                <w:rFonts w:cs="Calibri"/>
              </w:rPr>
            </w:pPr>
          </w:p>
        </w:tc>
      </w:tr>
      <w:tr w:rsidR="00956A70" w:rsidRPr="00CF7E1B" w14:paraId="66EF3DDB" w14:textId="77777777" w:rsidTr="002F4A89">
        <w:trPr>
          <w:trHeight w:val="23"/>
        </w:trPr>
        <w:tc>
          <w:tcPr>
            <w:tcW w:w="746" w:type="pct"/>
            <w:tcBorders>
              <w:top w:val="nil"/>
              <w:left w:val="single" w:sz="2" w:space="0" w:color="auto"/>
              <w:bottom w:val="nil"/>
              <w:right w:val="single" w:sz="2" w:space="0" w:color="auto"/>
            </w:tcBorders>
          </w:tcPr>
          <w:p w14:paraId="0DB500EC" w14:textId="77777777" w:rsidR="00956A70" w:rsidRPr="00627844" w:rsidRDefault="00956A70" w:rsidP="00956A70">
            <w:pPr>
              <w:pStyle w:val="TableReference"/>
              <w:tabs>
                <w:tab w:val="left" w:pos="3306"/>
              </w:tabs>
              <w:rPr>
                <w:rFonts w:cs="Calibri"/>
                <w:color w:val="7030A0"/>
                <w:sz w:val="16"/>
                <w:szCs w:val="16"/>
              </w:rPr>
            </w:pPr>
          </w:p>
        </w:tc>
        <w:tc>
          <w:tcPr>
            <w:tcW w:w="2703" w:type="pct"/>
            <w:tcBorders>
              <w:top w:val="nil"/>
              <w:left w:val="single" w:sz="2" w:space="0" w:color="auto"/>
              <w:bottom w:val="nil"/>
              <w:right w:val="nil"/>
            </w:tcBorders>
            <w:vAlign w:val="bottom"/>
          </w:tcPr>
          <w:p w14:paraId="73F109F0" w14:textId="6BBBA25C" w:rsidR="00956A70" w:rsidRPr="00627844" w:rsidRDefault="00956A70" w:rsidP="00956A70">
            <w:pPr>
              <w:pStyle w:val="TableText"/>
              <w:tabs>
                <w:tab w:val="left" w:pos="3306"/>
              </w:tabs>
              <w:spacing w:before="0"/>
              <w:ind w:left="312" w:hanging="312"/>
              <w:rPr>
                <w:rFonts w:cs="Calibri"/>
                <w:b/>
                <w:bCs/>
              </w:rPr>
            </w:pPr>
            <w:r w:rsidRPr="00627844">
              <w:rPr>
                <w:rFonts w:cs="Calibri"/>
                <w:b/>
                <w:bCs/>
              </w:rPr>
              <w:t>Total Capital Grants</w:t>
            </w:r>
          </w:p>
        </w:tc>
        <w:tc>
          <w:tcPr>
            <w:tcW w:w="727" w:type="pct"/>
            <w:gridSpan w:val="2"/>
            <w:tcBorders>
              <w:top w:val="single" w:sz="4" w:space="0" w:color="auto"/>
              <w:left w:val="nil"/>
              <w:bottom w:val="single" w:sz="4" w:space="0" w:color="auto"/>
              <w:right w:val="nil"/>
            </w:tcBorders>
            <w:vAlign w:val="bottom"/>
          </w:tcPr>
          <w:p w14:paraId="011742D6" w14:textId="77777777" w:rsidR="00956A70" w:rsidRPr="00627844" w:rsidRDefault="00956A70" w:rsidP="00956A70">
            <w:pPr>
              <w:pStyle w:val="TableText"/>
              <w:tabs>
                <w:tab w:val="left" w:pos="3306"/>
              </w:tabs>
              <w:spacing w:before="0"/>
              <w:jc w:val="right"/>
              <w:rPr>
                <w:rFonts w:cs="Calibri"/>
              </w:rPr>
            </w:pPr>
          </w:p>
        </w:tc>
        <w:tc>
          <w:tcPr>
            <w:tcW w:w="824" w:type="pct"/>
            <w:gridSpan w:val="2"/>
            <w:tcBorders>
              <w:top w:val="single" w:sz="4" w:space="0" w:color="auto"/>
              <w:left w:val="nil"/>
              <w:bottom w:val="single" w:sz="4" w:space="0" w:color="auto"/>
              <w:right w:val="nil"/>
            </w:tcBorders>
            <w:vAlign w:val="bottom"/>
          </w:tcPr>
          <w:p w14:paraId="746BCEF3" w14:textId="77777777" w:rsidR="00956A70" w:rsidRPr="00627844" w:rsidRDefault="00956A70" w:rsidP="00956A70">
            <w:pPr>
              <w:pStyle w:val="TableText"/>
              <w:tabs>
                <w:tab w:val="left" w:pos="3306"/>
              </w:tabs>
              <w:spacing w:before="0"/>
              <w:jc w:val="right"/>
              <w:rPr>
                <w:rFonts w:cs="Calibri"/>
              </w:rPr>
            </w:pPr>
          </w:p>
        </w:tc>
      </w:tr>
      <w:tr w:rsidR="00956A70" w:rsidRPr="00CF7E1B" w14:paraId="72DD9389" w14:textId="77777777" w:rsidTr="002F4A89">
        <w:trPr>
          <w:trHeight w:val="23"/>
        </w:trPr>
        <w:tc>
          <w:tcPr>
            <w:tcW w:w="746" w:type="pct"/>
            <w:tcBorders>
              <w:top w:val="nil"/>
              <w:left w:val="single" w:sz="2" w:space="0" w:color="auto"/>
              <w:bottom w:val="nil"/>
              <w:right w:val="single" w:sz="2" w:space="0" w:color="auto"/>
            </w:tcBorders>
          </w:tcPr>
          <w:p w14:paraId="789CEC64" w14:textId="77777777" w:rsidR="00956A70" w:rsidRPr="00627844" w:rsidRDefault="00956A70" w:rsidP="00956A70">
            <w:pPr>
              <w:pStyle w:val="TableReference"/>
              <w:tabs>
                <w:tab w:val="left" w:pos="3306"/>
              </w:tabs>
              <w:rPr>
                <w:rFonts w:cs="Calibri"/>
                <w:color w:val="7030A0"/>
                <w:sz w:val="16"/>
                <w:szCs w:val="16"/>
              </w:rPr>
            </w:pPr>
          </w:p>
        </w:tc>
        <w:tc>
          <w:tcPr>
            <w:tcW w:w="2703" w:type="pct"/>
            <w:tcBorders>
              <w:top w:val="nil"/>
              <w:left w:val="single" w:sz="2" w:space="0" w:color="auto"/>
              <w:bottom w:val="nil"/>
              <w:right w:val="nil"/>
            </w:tcBorders>
            <w:vAlign w:val="bottom"/>
          </w:tcPr>
          <w:p w14:paraId="3725A80C" w14:textId="77777777" w:rsidR="00956A70" w:rsidRPr="00627844" w:rsidRDefault="00956A70" w:rsidP="00956A70">
            <w:pPr>
              <w:pStyle w:val="TableText"/>
              <w:tabs>
                <w:tab w:val="left" w:pos="3306"/>
              </w:tabs>
              <w:spacing w:before="0"/>
              <w:rPr>
                <w:rFonts w:cs="Calibri"/>
              </w:rPr>
            </w:pPr>
          </w:p>
        </w:tc>
        <w:tc>
          <w:tcPr>
            <w:tcW w:w="727" w:type="pct"/>
            <w:gridSpan w:val="2"/>
            <w:tcBorders>
              <w:top w:val="single" w:sz="4" w:space="0" w:color="auto"/>
              <w:left w:val="nil"/>
              <w:bottom w:val="nil"/>
              <w:right w:val="nil"/>
            </w:tcBorders>
            <w:vAlign w:val="bottom"/>
          </w:tcPr>
          <w:p w14:paraId="3AACA79B" w14:textId="77777777" w:rsidR="00956A70" w:rsidRPr="00627844" w:rsidRDefault="00956A70" w:rsidP="00956A70">
            <w:pPr>
              <w:pStyle w:val="TableText"/>
              <w:tabs>
                <w:tab w:val="left" w:pos="3306"/>
              </w:tabs>
              <w:spacing w:before="0"/>
              <w:jc w:val="right"/>
              <w:rPr>
                <w:rFonts w:cs="Calibri"/>
              </w:rPr>
            </w:pPr>
          </w:p>
        </w:tc>
        <w:tc>
          <w:tcPr>
            <w:tcW w:w="824" w:type="pct"/>
            <w:gridSpan w:val="2"/>
            <w:tcBorders>
              <w:top w:val="single" w:sz="4" w:space="0" w:color="auto"/>
              <w:left w:val="nil"/>
              <w:bottom w:val="nil"/>
              <w:right w:val="nil"/>
            </w:tcBorders>
            <w:vAlign w:val="bottom"/>
          </w:tcPr>
          <w:p w14:paraId="0CA6B795" w14:textId="77777777" w:rsidR="00956A70" w:rsidRPr="00627844" w:rsidRDefault="00956A70" w:rsidP="00956A70">
            <w:pPr>
              <w:pStyle w:val="TableText"/>
              <w:tabs>
                <w:tab w:val="left" w:pos="3306"/>
              </w:tabs>
              <w:spacing w:before="0"/>
              <w:jc w:val="right"/>
              <w:rPr>
                <w:rFonts w:cs="Calibri"/>
              </w:rPr>
            </w:pPr>
          </w:p>
        </w:tc>
      </w:tr>
      <w:tr w:rsidR="00956A70" w:rsidRPr="00CF7E1B" w14:paraId="2D0F2542" w14:textId="77777777" w:rsidTr="002F4A89">
        <w:trPr>
          <w:trHeight w:val="23"/>
        </w:trPr>
        <w:tc>
          <w:tcPr>
            <w:tcW w:w="746" w:type="pct"/>
            <w:tcBorders>
              <w:top w:val="nil"/>
              <w:left w:val="single" w:sz="2" w:space="0" w:color="auto"/>
              <w:bottom w:val="nil"/>
              <w:right w:val="single" w:sz="2" w:space="0" w:color="auto"/>
            </w:tcBorders>
          </w:tcPr>
          <w:p w14:paraId="06AA6DA6" w14:textId="54EE0463" w:rsidR="00956A70" w:rsidRPr="00627844" w:rsidRDefault="003E2554" w:rsidP="00956A70">
            <w:pPr>
              <w:pStyle w:val="TableReference"/>
              <w:tabs>
                <w:tab w:val="left" w:pos="3306"/>
              </w:tabs>
              <w:rPr>
                <w:rFonts w:cs="Calibri"/>
                <w:color w:val="7030A0"/>
                <w:sz w:val="16"/>
                <w:szCs w:val="16"/>
              </w:rPr>
            </w:pPr>
            <w:r w:rsidRPr="00627844">
              <w:rPr>
                <w:rFonts w:cs="Calibri"/>
                <w:color w:val="7030A0"/>
                <w:sz w:val="14"/>
              </w:rPr>
              <w:t>ACT Disclosure Policy</w:t>
            </w:r>
          </w:p>
        </w:tc>
        <w:tc>
          <w:tcPr>
            <w:tcW w:w="2703" w:type="pct"/>
            <w:tcBorders>
              <w:top w:val="nil"/>
              <w:left w:val="single" w:sz="2" w:space="0" w:color="auto"/>
              <w:bottom w:val="nil"/>
              <w:right w:val="nil"/>
            </w:tcBorders>
            <w:vAlign w:val="bottom"/>
          </w:tcPr>
          <w:p w14:paraId="533D364C" w14:textId="3D96507A" w:rsidR="00956A70" w:rsidRPr="00627844" w:rsidRDefault="00956A70" w:rsidP="00956A70">
            <w:pPr>
              <w:pStyle w:val="TableText"/>
              <w:tabs>
                <w:tab w:val="left" w:pos="3306"/>
              </w:tabs>
              <w:spacing w:before="0"/>
              <w:rPr>
                <w:rFonts w:cs="Calibri"/>
              </w:rPr>
            </w:pPr>
            <w:r w:rsidRPr="00627844">
              <w:rPr>
                <w:rFonts w:cs="Calibri"/>
                <w:b/>
                <w:bCs/>
              </w:rPr>
              <w:t>Purchased Services</w:t>
            </w:r>
            <w:r w:rsidRPr="00627844">
              <w:rPr>
                <w:rFonts w:cs="Calibri"/>
              </w:rPr>
              <w:t xml:space="preserve"> </w:t>
            </w:r>
            <w:r w:rsidR="00E7007E" w:rsidRPr="00E7007E">
              <w:rPr>
                <w:rFonts w:cs="Calibri"/>
                <w:vertAlign w:val="superscript"/>
              </w:rPr>
              <w:t>b</w:t>
            </w:r>
            <w:r w:rsidRPr="00627844">
              <w:rPr>
                <w:rFonts w:cs="Calibri"/>
              </w:rPr>
              <w:t xml:space="preserve"> </w:t>
            </w:r>
          </w:p>
        </w:tc>
        <w:tc>
          <w:tcPr>
            <w:tcW w:w="727" w:type="pct"/>
            <w:gridSpan w:val="2"/>
            <w:tcBorders>
              <w:top w:val="nil"/>
              <w:left w:val="nil"/>
              <w:bottom w:val="nil"/>
              <w:right w:val="nil"/>
            </w:tcBorders>
            <w:vAlign w:val="bottom"/>
          </w:tcPr>
          <w:p w14:paraId="6E58D5E7" w14:textId="77777777" w:rsidR="00956A70" w:rsidRPr="00627844" w:rsidRDefault="00956A70" w:rsidP="00956A70">
            <w:pPr>
              <w:pStyle w:val="TableText"/>
              <w:tabs>
                <w:tab w:val="left" w:pos="3306"/>
              </w:tabs>
              <w:spacing w:before="0"/>
              <w:jc w:val="right"/>
              <w:rPr>
                <w:rFonts w:cs="Calibri"/>
              </w:rPr>
            </w:pPr>
          </w:p>
        </w:tc>
        <w:tc>
          <w:tcPr>
            <w:tcW w:w="824" w:type="pct"/>
            <w:gridSpan w:val="2"/>
            <w:tcBorders>
              <w:top w:val="nil"/>
              <w:left w:val="nil"/>
              <w:bottom w:val="nil"/>
              <w:right w:val="nil"/>
            </w:tcBorders>
            <w:vAlign w:val="bottom"/>
          </w:tcPr>
          <w:p w14:paraId="6112E605" w14:textId="77777777" w:rsidR="00956A70" w:rsidRPr="00627844" w:rsidRDefault="00956A70" w:rsidP="00956A70">
            <w:pPr>
              <w:pStyle w:val="TableText"/>
              <w:tabs>
                <w:tab w:val="left" w:pos="3306"/>
              </w:tabs>
              <w:spacing w:before="0"/>
              <w:jc w:val="right"/>
              <w:rPr>
                <w:rFonts w:cs="Calibri"/>
              </w:rPr>
            </w:pPr>
          </w:p>
        </w:tc>
      </w:tr>
      <w:tr w:rsidR="00956A70" w:rsidRPr="00CF7E1B" w14:paraId="6FEEB0E6" w14:textId="77777777" w:rsidTr="002F4A89">
        <w:trPr>
          <w:trHeight w:val="23"/>
        </w:trPr>
        <w:tc>
          <w:tcPr>
            <w:tcW w:w="746" w:type="pct"/>
            <w:tcBorders>
              <w:top w:val="nil"/>
              <w:left w:val="single" w:sz="2" w:space="0" w:color="auto"/>
              <w:bottom w:val="nil"/>
              <w:right w:val="single" w:sz="2" w:space="0" w:color="auto"/>
            </w:tcBorders>
          </w:tcPr>
          <w:p w14:paraId="2442338E" w14:textId="77777777" w:rsidR="00956A70" w:rsidRPr="00627844" w:rsidRDefault="00956A70" w:rsidP="00956A70">
            <w:pPr>
              <w:pStyle w:val="TableReference"/>
              <w:tabs>
                <w:tab w:val="left" w:pos="3306"/>
              </w:tabs>
              <w:rPr>
                <w:rFonts w:cs="Calibri"/>
                <w:color w:val="7030A0"/>
                <w:sz w:val="16"/>
                <w:szCs w:val="16"/>
              </w:rPr>
            </w:pPr>
          </w:p>
        </w:tc>
        <w:tc>
          <w:tcPr>
            <w:tcW w:w="2703" w:type="pct"/>
            <w:tcBorders>
              <w:top w:val="nil"/>
              <w:left w:val="single" w:sz="2" w:space="0" w:color="auto"/>
              <w:bottom w:val="nil"/>
              <w:right w:val="nil"/>
            </w:tcBorders>
            <w:vAlign w:val="bottom"/>
          </w:tcPr>
          <w:p w14:paraId="1AC091F3" w14:textId="3854C7DF" w:rsidR="00956A70" w:rsidRPr="00627844" w:rsidRDefault="00956A70" w:rsidP="00956A70">
            <w:pPr>
              <w:pStyle w:val="TableText"/>
              <w:tabs>
                <w:tab w:val="left" w:pos="3306"/>
              </w:tabs>
              <w:rPr>
                <w:rFonts w:cs="Calibri"/>
              </w:rPr>
            </w:pPr>
            <w:r w:rsidRPr="00627844">
              <w:rPr>
                <w:rFonts w:cs="Calibri"/>
              </w:rPr>
              <w:t>Services Purchased from Community Legal Centres</w:t>
            </w:r>
            <w:r w:rsidR="00FA7C77">
              <w:rPr>
                <w:rFonts w:cs="Calibri"/>
              </w:rPr>
              <w:t xml:space="preserve">  </w:t>
            </w:r>
            <w:r w:rsidRPr="00627844">
              <w:rPr>
                <w:rFonts w:cs="Calibri"/>
              </w:rPr>
              <w:t xml:space="preserve"> </w:t>
            </w:r>
          </w:p>
        </w:tc>
        <w:tc>
          <w:tcPr>
            <w:tcW w:w="727" w:type="pct"/>
            <w:gridSpan w:val="2"/>
            <w:tcBorders>
              <w:top w:val="nil"/>
              <w:left w:val="nil"/>
              <w:bottom w:val="nil"/>
              <w:right w:val="nil"/>
            </w:tcBorders>
            <w:vAlign w:val="bottom"/>
          </w:tcPr>
          <w:p w14:paraId="68ABD611" w14:textId="77777777" w:rsidR="00956A70" w:rsidRPr="00627844" w:rsidRDefault="00956A70" w:rsidP="00956A70">
            <w:pPr>
              <w:pStyle w:val="TableText"/>
              <w:tabs>
                <w:tab w:val="left" w:pos="3306"/>
              </w:tabs>
              <w:spacing w:before="0"/>
              <w:jc w:val="right"/>
              <w:rPr>
                <w:rFonts w:cs="Calibri"/>
              </w:rPr>
            </w:pPr>
          </w:p>
        </w:tc>
        <w:tc>
          <w:tcPr>
            <w:tcW w:w="824" w:type="pct"/>
            <w:gridSpan w:val="2"/>
            <w:tcBorders>
              <w:top w:val="nil"/>
              <w:left w:val="nil"/>
              <w:bottom w:val="nil"/>
              <w:right w:val="nil"/>
            </w:tcBorders>
            <w:vAlign w:val="bottom"/>
          </w:tcPr>
          <w:p w14:paraId="23402C42" w14:textId="77777777" w:rsidR="00956A70" w:rsidRPr="00627844" w:rsidRDefault="00956A70" w:rsidP="00956A70">
            <w:pPr>
              <w:pStyle w:val="TableText"/>
              <w:tabs>
                <w:tab w:val="left" w:pos="3306"/>
              </w:tabs>
              <w:spacing w:before="0"/>
              <w:jc w:val="right"/>
              <w:rPr>
                <w:rFonts w:cs="Calibri"/>
              </w:rPr>
            </w:pPr>
          </w:p>
        </w:tc>
      </w:tr>
      <w:tr w:rsidR="00956A70" w:rsidRPr="00CF7E1B" w14:paraId="70218A70" w14:textId="77777777" w:rsidTr="002F4A89">
        <w:trPr>
          <w:trHeight w:val="23"/>
        </w:trPr>
        <w:tc>
          <w:tcPr>
            <w:tcW w:w="746" w:type="pct"/>
            <w:tcBorders>
              <w:top w:val="nil"/>
              <w:left w:val="single" w:sz="2" w:space="0" w:color="auto"/>
              <w:bottom w:val="nil"/>
              <w:right w:val="single" w:sz="2" w:space="0" w:color="auto"/>
            </w:tcBorders>
          </w:tcPr>
          <w:p w14:paraId="0C564E58" w14:textId="77777777" w:rsidR="00956A70" w:rsidRPr="00627844" w:rsidRDefault="00956A70" w:rsidP="00956A70">
            <w:pPr>
              <w:pStyle w:val="TableReference"/>
              <w:tabs>
                <w:tab w:val="left" w:pos="3306"/>
              </w:tabs>
              <w:rPr>
                <w:rFonts w:cs="Calibri"/>
                <w:color w:val="7030A0"/>
                <w:sz w:val="16"/>
                <w:szCs w:val="16"/>
              </w:rPr>
            </w:pPr>
          </w:p>
        </w:tc>
        <w:tc>
          <w:tcPr>
            <w:tcW w:w="2703" w:type="pct"/>
            <w:tcBorders>
              <w:top w:val="nil"/>
              <w:left w:val="single" w:sz="2" w:space="0" w:color="auto"/>
              <w:bottom w:val="nil"/>
              <w:right w:val="nil"/>
            </w:tcBorders>
            <w:vAlign w:val="bottom"/>
          </w:tcPr>
          <w:p w14:paraId="66083F36" w14:textId="75E24036" w:rsidR="00956A70" w:rsidRPr="00627844" w:rsidRDefault="00956A70" w:rsidP="00956A70">
            <w:pPr>
              <w:pStyle w:val="TableText"/>
              <w:tabs>
                <w:tab w:val="left" w:pos="3306"/>
              </w:tabs>
              <w:rPr>
                <w:rFonts w:cs="Calibri"/>
              </w:rPr>
            </w:pPr>
            <w:r w:rsidRPr="00627844">
              <w:rPr>
                <w:rFonts w:cs="Calibri"/>
              </w:rPr>
              <w:t>Services Purchased from Non-Government Organisations</w:t>
            </w:r>
          </w:p>
        </w:tc>
        <w:tc>
          <w:tcPr>
            <w:tcW w:w="727" w:type="pct"/>
            <w:gridSpan w:val="2"/>
            <w:tcBorders>
              <w:top w:val="nil"/>
              <w:left w:val="nil"/>
              <w:bottom w:val="single" w:sz="4" w:space="0" w:color="auto"/>
              <w:right w:val="nil"/>
            </w:tcBorders>
            <w:vAlign w:val="bottom"/>
          </w:tcPr>
          <w:p w14:paraId="656DF220" w14:textId="77777777" w:rsidR="00956A70" w:rsidRPr="00627844" w:rsidRDefault="00956A70" w:rsidP="00956A70">
            <w:pPr>
              <w:pStyle w:val="TableText"/>
              <w:tabs>
                <w:tab w:val="left" w:pos="3306"/>
              </w:tabs>
              <w:spacing w:before="0"/>
              <w:jc w:val="right"/>
              <w:rPr>
                <w:rFonts w:cs="Calibri"/>
              </w:rPr>
            </w:pPr>
          </w:p>
        </w:tc>
        <w:tc>
          <w:tcPr>
            <w:tcW w:w="824" w:type="pct"/>
            <w:gridSpan w:val="2"/>
            <w:tcBorders>
              <w:top w:val="nil"/>
              <w:left w:val="nil"/>
              <w:bottom w:val="single" w:sz="4" w:space="0" w:color="auto"/>
              <w:right w:val="nil"/>
            </w:tcBorders>
            <w:vAlign w:val="bottom"/>
          </w:tcPr>
          <w:p w14:paraId="45EEAAF6" w14:textId="77777777" w:rsidR="00956A70" w:rsidRPr="00627844" w:rsidRDefault="00956A70" w:rsidP="00956A70">
            <w:pPr>
              <w:pStyle w:val="TableText"/>
              <w:tabs>
                <w:tab w:val="left" w:pos="3306"/>
              </w:tabs>
              <w:spacing w:before="0"/>
              <w:jc w:val="right"/>
              <w:rPr>
                <w:rFonts w:cs="Calibri"/>
              </w:rPr>
            </w:pPr>
          </w:p>
        </w:tc>
      </w:tr>
      <w:tr w:rsidR="00956A70" w:rsidRPr="00CF7E1B" w14:paraId="46531766" w14:textId="77777777" w:rsidTr="002F4A89">
        <w:trPr>
          <w:trHeight w:val="23"/>
        </w:trPr>
        <w:tc>
          <w:tcPr>
            <w:tcW w:w="746" w:type="pct"/>
            <w:tcBorders>
              <w:top w:val="nil"/>
              <w:left w:val="single" w:sz="2" w:space="0" w:color="auto"/>
              <w:bottom w:val="nil"/>
              <w:right w:val="single" w:sz="2" w:space="0" w:color="auto"/>
            </w:tcBorders>
          </w:tcPr>
          <w:p w14:paraId="74DDDD9B" w14:textId="77777777" w:rsidR="00956A70" w:rsidRPr="00627844" w:rsidRDefault="00956A70" w:rsidP="00956A70">
            <w:pPr>
              <w:pStyle w:val="TableReference"/>
              <w:tabs>
                <w:tab w:val="left" w:pos="3306"/>
              </w:tabs>
              <w:rPr>
                <w:rFonts w:cs="Calibri"/>
                <w:color w:val="7030A0"/>
                <w:sz w:val="16"/>
                <w:szCs w:val="16"/>
              </w:rPr>
            </w:pPr>
          </w:p>
        </w:tc>
        <w:tc>
          <w:tcPr>
            <w:tcW w:w="2703" w:type="pct"/>
            <w:tcBorders>
              <w:top w:val="nil"/>
              <w:left w:val="single" w:sz="2" w:space="0" w:color="auto"/>
              <w:bottom w:val="nil"/>
              <w:right w:val="nil"/>
            </w:tcBorders>
            <w:vAlign w:val="bottom"/>
          </w:tcPr>
          <w:p w14:paraId="7E8B7AD1" w14:textId="03C64D55" w:rsidR="00956A70" w:rsidRPr="00627844" w:rsidRDefault="00956A70" w:rsidP="00956A70">
            <w:pPr>
              <w:pStyle w:val="TableText"/>
              <w:tabs>
                <w:tab w:val="left" w:pos="3306"/>
              </w:tabs>
              <w:rPr>
                <w:rFonts w:cs="Calibri"/>
              </w:rPr>
            </w:pPr>
            <w:r w:rsidRPr="00627844">
              <w:rPr>
                <w:rFonts w:cs="Calibri"/>
                <w:b/>
                <w:bCs/>
              </w:rPr>
              <w:t>Total Purchased Services</w:t>
            </w:r>
          </w:p>
        </w:tc>
        <w:tc>
          <w:tcPr>
            <w:tcW w:w="727" w:type="pct"/>
            <w:gridSpan w:val="2"/>
            <w:tcBorders>
              <w:top w:val="single" w:sz="4" w:space="0" w:color="auto"/>
              <w:left w:val="nil"/>
              <w:bottom w:val="single" w:sz="4" w:space="0" w:color="auto"/>
              <w:right w:val="nil"/>
            </w:tcBorders>
            <w:vAlign w:val="bottom"/>
          </w:tcPr>
          <w:p w14:paraId="47F39957" w14:textId="77777777" w:rsidR="00956A70" w:rsidRPr="00627844" w:rsidRDefault="00956A70" w:rsidP="00956A70">
            <w:pPr>
              <w:pStyle w:val="TableText"/>
              <w:tabs>
                <w:tab w:val="left" w:pos="3306"/>
              </w:tabs>
              <w:spacing w:before="0"/>
              <w:jc w:val="right"/>
              <w:rPr>
                <w:rFonts w:cs="Calibri"/>
              </w:rPr>
            </w:pPr>
          </w:p>
        </w:tc>
        <w:tc>
          <w:tcPr>
            <w:tcW w:w="824" w:type="pct"/>
            <w:gridSpan w:val="2"/>
            <w:tcBorders>
              <w:top w:val="single" w:sz="4" w:space="0" w:color="auto"/>
              <w:left w:val="nil"/>
              <w:bottom w:val="single" w:sz="4" w:space="0" w:color="auto"/>
              <w:right w:val="nil"/>
            </w:tcBorders>
            <w:vAlign w:val="bottom"/>
          </w:tcPr>
          <w:p w14:paraId="674E6A5B" w14:textId="77777777" w:rsidR="00956A70" w:rsidRPr="00627844" w:rsidRDefault="00956A70" w:rsidP="00956A70">
            <w:pPr>
              <w:pStyle w:val="TableText"/>
              <w:tabs>
                <w:tab w:val="left" w:pos="3306"/>
              </w:tabs>
              <w:spacing w:before="0"/>
              <w:jc w:val="right"/>
              <w:rPr>
                <w:rFonts w:cs="Calibri"/>
              </w:rPr>
            </w:pPr>
          </w:p>
        </w:tc>
      </w:tr>
      <w:tr w:rsidR="00956A70" w:rsidRPr="00CF7E1B" w14:paraId="33450459" w14:textId="77777777" w:rsidTr="002F4A89">
        <w:trPr>
          <w:trHeight w:val="23"/>
        </w:trPr>
        <w:tc>
          <w:tcPr>
            <w:tcW w:w="746" w:type="pct"/>
            <w:tcBorders>
              <w:top w:val="nil"/>
              <w:left w:val="single" w:sz="2" w:space="0" w:color="auto"/>
              <w:bottom w:val="nil"/>
              <w:right w:val="single" w:sz="2" w:space="0" w:color="auto"/>
            </w:tcBorders>
          </w:tcPr>
          <w:p w14:paraId="6703C398" w14:textId="77777777" w:rsidR="00956A70" w:rsidRPr="00627844" w:rsidRDefault="00956A70" w:rsidP="00956A70">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16738E3E" w14:textId="77777777" w:rsidR="00956A70" w:rsidRPr="00627844" w:rsidRDefault="00956A70" w:rsidP="00956A70">
            <w:pPr>
              <w:pStyle w:val="TableText"/>
              <w:tabs>
                <w:tab w:val="left" w:pos="3306"/>
              </w:tabs>
              <w:spacing w:before="120" w:after="120"/>
              <w:rPr>
                <w:rFonts w:cs="Calibri"/>
              </w:rPr>
            </w:pPr>
            <w:r w:rsidRPr="00627844">
              <w:rPr>
                <w:rFonts w:cs="Calibri"/>
              </w:rPr>
              <w:t>Community Service Obligation Payments to Agencies</w:t>
            </w:r>
          </w:p>
        </w:tc>
        <w:tc>
          <w:tcPr>
            <w:tcW w:w="727" w:type="pct"/>
            <w:gridSpan w:val="2"/>
            <w:tcBorders>
              <w:top w:val="single" w:sz="4" w:space="0" w:color="auto"/>
              <w:left w:val="nil"/>
              <w:bottom w:val="single" w:sz="2" w:space="0" w:color="auto"/>
              <w:right w:val="nil"/>
            </w:tcBorders>
            <w:vAlign w:val="center"/>
          </w:tcPr>
          <w:p w14:paraId="6A2499D7" w14:textId="0BE9626F" w:rsidR="00956A70" w:rsidRPr="00627844" w:rsidRDefault="00956A70" w:rsidP="00956A70">
            <w:pPr>
              <w:pStyle w:val="TableText"/>
              <w:tabs>
                <w:tab w:val="left" w:pos="3306"/>
              </w:tabs>
              <w:jc w:val="right"/>
              <w:rPr>
                <w:rFonts w:cs="Calibri"/>
              </w:rPr>
            </w:pPr>
          </w:p>
        </w:tc>
        <w:tc>
          <w:tcPr>
            <w:tcW w:w="824" w:type="pct"/>
            <w:gridSpan w:val="2"/>
            <w:tcBorders>
              <w:top w:val="single" w:sz="4" w:space="0" w:color="auto"/>
              <w:left w:val="nil"/>
              <w:bottom w:val="single" w:sz="2" w:space="0" w:color="auto"/>
              <w:right w:val="nil"/>
            </w:tcBorders>
            <w:vAlign w:val="center"/>
          </w:tcPr>
          <w:p w14:paraId="192ECB96" w14:textId="67C501F8" w:rsidR="00956A70" w:rsidRPr="00627844" w:rsidRDefault="00956A70" w:rsidP="00956A70">
            <w:pPr>
              <w:pStyle w:val="TableText"/>
              <w:tabs>
                <w:tab w:val="left" w:pos="3306"/>
              </w:tabs>
              <w:jc w:val="right"/>
              <w:rPr>
                <w:rFonts w:cs="Calibri"/>
              </w:rPr>
            </w:pPr>
          </w:p>
        </w:tc>
      </w:tr>
      <w:tr w:rsidR="00956A70" w:rsidRPr="00CF7E1B" w14:paraId="4C027549" w14:textId="77777777" w:rsidTr="002F4A89">
        <w:trPr>
          <w:trHeight w:val="23"/>
        </w:trPr>
        <w:tc>
          <w:tcPr>
            <w:tcW w:w="746" w:type="pct"/>
            <w:tcBorders>
              <w:top w:val="nil"/>
              <w:left w:val="single" w:sz="2" w:space="0" w:color="auto"/>
              <w:bottom w:val="nil"/>
              <w:right w:val="single" w:sz="2" w:space="0" w:color="auto"/>
            </w:tcBorders>
          </w:tcPr>
          <w:p w14:paraId="6F862CDB" w14:textId="77777777" w:rsidR="00956A70" w:rsidRPr="00627844" w:rsidRDefault="00956A70" w:rsidP="00956A70">
            <w:pPr>
              <w:pStyle w:val="TableReference"/>
              <w:tabs>
                <w:tab w:val="left" w:pos="3306"/>
              </w:tabs>
              <w:spacing w:before="40"/>
              <w:rPr>
                <w:rFonts w:cs="Calibri"/>
                <w:color w:val="7030A0"/>
                <w:sz w:val="16"/>
                <w:szCs w:val="16"/>
              </w:rPr>
            </w:pPr>
          </w:p>
        </w:tc>
        <w:tc>
          <w:tcPr>
            <w:tcW w:w="2703" w:type="pct"/>
            <w:tcBorders>
              <w:top w:val="nil"/>
              <w:left w:val="single" w:sz="2" w:space="0" w:color="auto"/>
              <w:bottom w:val="nil"/>
              <w:right w:val="nil"/>
            </w:tcBorders>
            <w:vAlign w:val="bottom"/>
          </w:tcPr>
          <w:p w14:paraId="0973BD21" w14:textId="77777777" w:rsidR="00956A70" w:rsidRPr="00627844" w:rsidRDefault="00956A70" w:rsidP="00956A70">
            <w:pPr>
              <w:pStyle w:val="TableText"/>
              <w:tabs>
                <w:tab w:val="left" w:pos="3306"/>
              </w:tabs>
              <w:rPr>
                <w:rFonts w:cs="Calibri"/>
                <w:b/>
                <w:bCs/>
              </w:rPr>
            </w:pPr>
            <w:bookmarkStart w:id="443" w:name="_Toc48468472"/>
            <w:bookmarkStart w:id="444" w:name="_Toc49155589"/>
            <w:bookmarkStart w:id="445" w:name="_Toc49224039"/>
            <w:r w:rsidRPr="00627844">
              <w:rPr>
                <w:rFonts w:cs="Calibri"/>
                <w:b/>
                <w:bCs/>
              </w:rPr>
              <w:t>Total Grants and Purchased Services</w:t>
            </w:r>
            <w:bookmarkEnd w:id="443"/>
            <w:bookmarkEnd w:id="444"/>
            <w:bookmarkEnd w:id="445"/>
          </w:p>
        </w:tc>
        <w:tc>
          <w:tcPr>
            <w:tcW w:w="727" w:type="pct"/>
            <w:gridSpan w:val="2"/>
            <w:tcBorders>
              <w:top w:val="single" w:sz="2" w:space="0" w:color="auto"/>
              <w:left w:val="nil"/>
              <w:bottom w:val="double" w:sz="4" w:space="0" w:color="auto"/>
              <w:right w:val="nil"/>
            </w:tcBorders>
            <w:vAlign w:val="bottom"/>
          </w:tcPr>
          <w:p w14:paraId="382B604C" w14:textId="17736158" w:rsidR="00956A70" w:rsidRPr="00627844" w:rsidRDefault="00956A70" w:rsidP="00956A70">
            <w:pPr>
              <w:pStyle w:val="TableText"/>
              <w:tabs>
                <w:tab w:val="left" w:pos="3306"/>
              </w:tabs>
              <w:jc w:val="right"/>
              <w:rPr>
                <w:rFonts w:cs="Calibri"/>
                <w:b/>
                <w:bCs/>
              </w:rPr>
            </w:pPr>
          </w:p>
        </w:tc>
        <w:tc>
          <w:tcPr>
            <w:tcW w:w="824" w:type="pct"/>
            <w:gridSpan w:val="2"/>
            <w:tcBorders>
              <w:top w:val="single" w:sz="2" w:space="0" w:color="auto"/>
              <w:left w:val="nil"/>
              <w:bottom w:val="double" w:sz="4" w:space="0" w:color="auto"/>
              <w:right w:val="nil"/>
            </w:tcBorders>
            <w:vAlign w:val="bottom"/>
          </w:tcPr>
          <w:p w14:paraId="731A1E1F" w14:textId="1371FFEA" w:rsidR="00956A70" w:rsidRPr="00627844" w:rsidRDefault="00956A70" w:rsidP="00956A70">
            <w:pPr>
              <w:pStyle w:val="TableText"/>
              <w:tabs>
                <w:tab w:val="left" w:pos="3306"/>
              </w:tabs>
              <w:jc w:val="right"/>
              <w:rPr>
                <w:rFonts w:cs="Calibri"/>
                <w:b/>
                <w:bCs/>
              </w:rPr>
            </w:pPr>
          </w:p>
        </w:tc>
      </w:tr>
      <w:tr w:rsidR="00956A70" w:rsidRPr="00CF7E1B" w14:paraId="744D9ACB" w14:textId="77777777" w:rsidTr="002F4A89">
        <w:trPr>
          <w:trHeight w:val="23"/>
        </w:trPr>
        <w:tc>
          <w:tcPr>
            <w:tcW w:w="746" w:type="pct"/>
            <w:tcBorders>
              <w:top w:val="nil"/>
              <w:left w:val="single" w:sz="2" w:space="0" w:color="auto"/>
              <w:bottom w:val="nil"/>
              <w:right w:val="single" w:sz="2" w:space="0" w:color="auto"/>
            </w:tcBorders>
          </w:tcPr>
          <w:p w14:paraId="155A4C43" w14:textId="77777777" w:rsidR="00956A70" w:rsidRPr="00627844" w:rsidRDefault="00956A70" w:rsidP="00956A70">
            <w:pPr>
              <w:pStyle w:val="TableReference"/>
              <w:tabs>
                <w:tab w:val="left" w:pos="3306"/>
              </w:tabs>
              <w:spacing w:before="40"/>
              <w:rPr>
                <w:rFonts w:cs="Calibri"/>
                <w:color w:val="7030A0"/>
                <w:sz w:val="16"/>
                <w:szCs w:val="16"/>
              </w:rPr>
            </w:pPr>
          </w:p>
        </w:tc>
        <w:tc>
          <w:tcPr>
            <w:tcW w:w="4254" w:type="pct"/>
            <w:gridSpan w:val="5"/>
            <w:tcBorders>
              <w:top w:val="nil"/>
              <w:left w:val="single" w:sz="2" w:space="0" w:color="auto"/>
              <w:bottom w:val="nil"/>
              <w:right w:val="nil"/>
            </w:tcBorders>
            <w:vAlign w:val="bottom"/>
          </w:tcPr>
          <w:p w14:paraId="442C588B" w14:textId="77777777" w:rsidR="00956A70" w:rsidRPr="00627844" w:rsidRDefault="00956A70" w:rsidP="00956A70">
            <w:pPr>
              <w:pStyle w:val="TableText"/>
              <w:tabs>
                <w:tab w:val="left" w:pos="3306"/>
              </w:tabs>
              <w:rPr>
                <w:rFonts w:cs="Calibri"/>
              </w:rPr>
            </w:pPr>
          </w:p>
        </w:tc>
      </w:tr>
      <w:tr w:rsidR="00956A70" w:rsidRPr="00CF7E1B" w14:paraId="634D62A3" w14:textId="77777777" w:rsidTr="002F4A89">
        <w:trPr>
          <w:trHeight w:val="23"/>
        </w:trPr>
        <w:tc>
          <w:tcPr>
            <w:tcW w:w="746" w:type="pct"/>
            <w:tcBorders>
              <w:top w:val="nil"/>
              <w:left w:val="single" w:sz="2" w:space="0" w:color="auto"/>
              <w:bottom w:val="nil"/>
              <w:right w:val="single" w:sz="2" w:space="0" w:color="auto"/>
            </w:tcBorders>
          </w:tcPr>
          <w:p w14:paraId="5AA4263B" w14:textId="77777777" w:rsidR="00956A70" w:rsidRPr="00627844" w:rsidRDefault="00956A70" w:rsidP="00956A70">
            <w:pPr>
              <w:pStyle w:val="TableReference"/>
              <w:tabs>
                <w:tab w:val="left" w:pos="3306"/>
              </w:tabs>
              <w:spacing w:before="40"/>
              <w:rPr>
                <w:rFonts w:cs="Calibri"/>
                <w:color w:val="7030A0"/>
                <w:sz w:val="16"/>
                <w:szCs w:val="16"/>
              </w:rPr>
            </w:pPr>
          </w:p>
        </w:tc>
        <w:tc>
          <w:tcPr>
            <w:tcW w:w="4254" w:type="pct"/>
            <w:gridSpan w:val="5"/>
            <w:tcBorders>
              <w:top w:val="nil"/>
              <w:left w:val="single" w:sz="2" w:space="0" w:color="auto"/>
              <w:bottom w:val="nil"/>
              <w:right w:val="nil"/>
            </w:tcBorders>
            <w:vAlign w:val="bottom"/>
          </w:tcPr>
          <w:p w14:paraId="7752AC26" w14:textId="61F60C0B" w:rsidR="00956A70" w:rsidRPr="00E7007E" w:rsidRDefault="00956A70" w:rsidP="007122BC">
            <w:pPr>
              <w:pStyle w:val="TableText"/>
              <w:numPr>
                <w:ilvl w:val="0"/>
                <w:numId w:val="77"/>
              </w:numPr>
              <w:tabs>
                <w:tab w:val="clear" w:pos="2340"/>
                <w:tab w:val="left" w:pos="2904"/>
              </w:tabs>
              <w:ind w:left="325"/>
              <w:jc w:val="both"/>
              <w:rPr>
                <w:rFonts w:cs="Calibri"/>
                <w:bCs/>
              </w:rPr>
            </w:pPr>
            <w:r w:rsidRPr="00E7007E">
              <w:rPr>
                <w:rFonts w:cs="Calibri"/>
                <w:bCs/>
              </w:rPr>
              <w:t>The increase in capital grants of $</w:t>
            </w:r>
            <w:r w:rsidR="00627844" w:rsidRPr="00E7007E">
              <w:rPr>
                <w:rFonts w:cs="Calibri"/>
                <w:bCs/>
              </w:rPr>
              <w:t>xxx</w:t>
            </w:r>
            <w:r w:rsidRPr="00E7007E">
              <w:rPr>
                <w:rFonts w:cs="Calibri"/>
                <w:bCs/>
              </w:rPr>
              <w:t xml:space="preserve"> is due to the Agency receiving an increase in Controlled Recurrent Payments to fund a new capital grant program being managed by the Agency.</w:t>
            </w:r>
          </w:p>
          <w:p w14:paraId="665B9AC5" w14:textId="5E9CBDFE" w:rsidR="00E7007E" w:rsidRPr="00E7007E" w:rsidRDefault="00E7007E" w:rsidP="007122BC">
            <w:pPr>
              <w:pStyle w:val="TableText"/>
              <w:numPr>
                <w:ilvl w:val="0"/>
                <w:numId w:val="77"/>
              </w:numPr>
              <w:tabs>
                <w:tab w:val="clear" w:pos="2340"/>
                <w:tab w:val="num" w:pos="1738"/>
                <w:tab w:val="left" w:pos="2904"/>
              </w:tabs>
              <w:ind w:left="325"/>
              <w:jc w:val="both"/>
            </w:pPr>
            <w:r w:rsidRPr="00E7007E">
              <w:rPr>
                <w:rFonts w:cs="Calibri"/>
                <w:bCs/>
              </w:rPr>
              <w:t>The increase in payments to service providers of $xxx is due to the Agency now being responsible for providing services involving the waste management and environmental function. These services were being provided by another agency in prior years.</w:t>
            </w:r>
          </w:p>
        </w:tc>
      </w:tr>
      <w:tr w:rsidR="00956A70" w:rsidRPr="00CF7E1B" w14:paraId="1D912145" w14:textId="77777777" w:rsidTr="002F4A89">
        <w:trPr>
          <w:trHeight w:val="23"/>
        </w:trPr>
        <w:tc>
          <w:tcPr>
            <w:tcW w:w="746" w:type="pct"/>
            <w:tcBorders>
              <w:top w:val="nil"/>
              <w:left w:val="single" w:sz="2" w:space="0" w:color="auto"/>
              <w:bottom w:val="nil"/>
              <w:right w:val="single" w:sz="2" w:space="0" w:color="auto"/>
            </w:tcBorders>
          </w:tcPr>
          <w:p w14:paraId="2ACDF6B6" w14:textId="77777777" w:rsidR="00956A70" w:rsidRPr="00627844" w:rsidRDefault="00956A70" w:rsidP="00956A70">
            <w:pPr>
              <w:pStyle w:val="TableReference"/>
              <w:tabs>
                <w:tab w:val="left" w:pos="3306"/>
              </w:tabs>
              <w:spacing w:before="40"/>
              <w:rPr>
                <w:rFonts w:cs="Calibri"/>
                <w:color w:val="7030A0"/>
                <w:sz w:val="16"/>
                <w:szCs w:val="16"/>
              </w:rPr>
            </w:pPr>
          </w:p>
        </w:tc>
        <w:tc>
          <w:tcPr>
            <w:tcW w:w="4254" w:type="pct"/>
            <w:gridSpan w:val="5"/>
            <w:tcBorders>
              <w:top w:val="nil"/>
              <w:left w:val="single" w:sz="2" w:space="0" w:color="auto"/>
              <w:bottom w:val="nil"/>
              <w:right w:val="nil"/>
            </w:tcBorders>
            <w:vAlign w:val="bottom"/>
          </w:tcPr>
          <w:p w14:paraId="3A7E6262" w14:textId="77777777" w:rsidR="00956A70" w:rsidRPr="00CF7E1B" w:rsidRDefault="00956A70" w:rsidP="00956A70">
            <w:pPr>
              <w:pStyle w:val="TableText"/>
              <w:tabs>
                <w:tab w:val="left" w:pos="3306"/>
              </w:tabs>
              <w:jc w:val="right"/>
              <w:rPr>
                <w:rFonts w:cs="Calibri"/>
              </w:rPr>
            </w:pPr>
          </w:p>
        </w:tc>
      </w:tr>
      <w:tr w:rsidR="00956A70" w:rsidRPr="00CF7E1B" w14:paraId="70311EED"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567"/>
          <w:tblHeader/>
        </w:trPr>
        <w:tc>
          <w:tcPr>
            <w:tcW w:w="746" w:type="pct"/>
            <w:tcBorders>
              <w:left w:val="single" w:sz="2" w:space="0" w:color="auto"/>
              <w:right w:val="single" w:sz="2" w:space="0" w:color="auto"/>
            </w:tcBorders>
          </w:tcPr>
          <w:p w14:paraId="63B61B79" w14:textId="77777777" w:rsidR="00956A70" w:rsidRPr="00627844" w:rsidRDefault="00956A70" w:rsidP="00956A70">
            <w:pPr>
              <w:pStyle w:val="TableReference"/>
              <w:tabs>
                <w:tab w:val="left" w:pos="3306"/>
              </w:tabs>
              <w:rPr>
                <w:rFonts w:cs="Calibri"/>
                <w:color w:val="7030A0"/>
                <w:sz w:val="16"/>
                <w:szCs w:val="16"/>
              </w:rPr>
            </w:pPr>
            <w:r w:rsidRPr="00627844">
              <w:rPr>
                <w:rFonts w:cs="Calibri"/>
                <w:color w:val="7030A0"/>
                <w:sz w:val="16"/>
                <w:szCs w:val="16"/>
              </w:rPr>
              <w:br w:type="page"/>
            </w:r>
          </w:p>
        </w:tc>
        <w:tc>
          <w:tcPr>
            <w:tcW w:w="4254" w:type="pct"/>
            <w:gridSpan w:val="5"/>
            <w:tcBorders>
              <w:left w:val="single" w:sz="2" w:space="0" w:color="auto"/>
            </w:tcBorders>
            <w:shd w:val="clear" w:color="auto" w:fill="7030A0"/>
          </w:tcPr>
          <w:p w14:paraId="5C48CEC4" w14:textId="2D5BA91B" w:rsidR="00956A70" w:rsidRPr="00627844" w:rsidRDefault="00956A70" w:rsidP="00956A70">
            <w:pPr>
              <w:pStyle w:val="CommentaryTitle"/>
              <w:spacing w:after="240"/>
              <w:rPr>
                <w:rFonts w:cs="Calibri"/>
                <w:color w:val="F2F2F2" w:themeColor="background1" w:themeShade="F2"/>
                <w:sz w:val="28"/>
                <w:szCs w:val="28"/>
              </w:rPr>
            </w:pPr>
            <w:bookmarkStart w:id="446" w:name="_Toc50440354"/>
            <w:bookmarkStart w:id="447" w:name="_Toc163106331"/>
            <w:r w:rsidRPr="00627844">
              <w:rPr>
                <w:rFonts w:cs="Calibri"/>
                <w:color w:val="F2F2F2" w:themeColor="background1" w:themeShade="F2"/>
                <w:sz w:val="28"/>
                <w:szCs w:val="28"/>
              </w:rPr>
              <w:t>Commentary – Note 1</w:t>
            </w:r>
            <w:r w:rsidR="00837523" w:rsidRPr="00627844">
              <w:rPr>
                <w:rFonts w:cs="Calibri"/>
                <w:color w:val="F2F2F2" w:themeColor="background1" w:themeShade="F2"/>
                <w:sz w:val="28"/>
                <w:szCs w:val="28"/>
              </w:rPr>
              <w:t>2</w:t>
            </w:r>
            <w:r w:rsidRPr="00627844">
              <w:rPr>
                <w:rFonts w:cs="Calibri"/>
                <w:color w:val="F2F2F2" w:themeColor="background1" w:themeShade="F2"/>
                <w:sz w:val="28"/>
                <w:szCs w:val="28"/>
              </w:rPr>
              <w:t>: Grants and Purchased Services</w:t>
            </w:r>
            <w:bookmarkEnd w:id="446"/>
            <w:bookmarkEnd w:id="447"/>
          </w:p>
        </w:tc>
      </w:tr>
      <w:tr w:rsidR="00956A70" w:rsidRPr="00CF7E1B" w14:paraId="0BFE4E31"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6" w:type="pct"/>
            <w:tcBorders>
              <w:left w:val="single" w:sz="2" w:space="0" w:color="auto"/>
              <w:right w:val="single" w:sz="2" w:space="0" w:color="auto"/>
            </w:tcBorders>
          </w:tcPr>
          <w:p w14:paraId="3E0E31B0" w14:textId="77777777" w:rsidR="00956A70" w:rsidRPr="00627844" w:rsidRDefault="00956A70" w:rsidP="00956A70">
            <w:pPr>
              <w:pStyle w:val="TableReference"/>
              <w:tabs>
                <w:tab w:val="left" w:pos="3306"/>
              </w:tabs>
              <w:spacing w:before="60"/>
              <w:rPr>
                <w:rFonts w:cs="Calibri"/>
                <w:color w:val="7030A0"/>
                <w:sz w:val="16"/>
                <w:szCs w:val="16"/>
              </w:rPr>
            </w:pPr>
          </w:p>
        </w:tc>
        <w:tc>
          <w:tcPr>
            <w:tcW w:w="4254" w:type="pct"/>
            <w:gridSpan w:val="5"/>
            <w:tcBorders>
              <w:left w:val="single" w:sz="2" w:space="0" w:color="auto"/>
            </w:tcBorders>
            <w:shd w:val="clear" w:color="auto" w:fill="7030A0"/>
          </w:tcPr>
          <w:p w14:paraId="4194FEC3" w14:textId="5EB61380" w:rsidR="00956A70" w:rsidRPr="00627844" w:rsidRDefault="00956A70" w:rsidP="00956A70">
            <w:pPr>
              <w:pStyle w:val="CommentaryText"/>
              <w:tabs>
                <w:tab w:val="left" w:pos="3306"/>
              </w:tabs>
              <w:rPr>
                <w:rFonts w:cs="Calibri"/>
                <w:color w:val="F2F2F2" w:themeColor="background1" w:themeShade="F2"/>
                <w:sz w:val="18"/>
                <w:szCs w:val="18"/>
              </w:rPr>
            </w:pPr>
            <w:r w:rsidRPr="00627844">
              <w:rPr>
                <w:rFonts w:cs="Calibri"/>
                <w:color w:val="F2F2F2" w:themeColor="background1" w:themeShade="F2"/>
                <w:sz w:val="18"/>
                <w:szCs w:val="18"/>
              </w:rPr>
              <w:t xml:space="preserve">Agencies should tailor the information in this note to their own circumstances setting out appropriate details of the service providers and grant recipients and the nature of the government objectives being achieved. That is, agencies should list specific </w:t>
            </w:r>
            <w:r w:rsidR="00C83ACF" w:rsidRPr="00627844">
              <w:rPr>
                <w:rFonts w:cs="Calibri"/>
                <w:color w:val="F2F2F2" w:themeColor="background1" w:themeShade="F2"/>
                <w:sz w:val="18"/>
                <w:szCs w:val="18"/>
              </w:rPr>
              <w:t xml:space="preserve">groups of </w:t>
            </w:r>
            <w:r w:rsidRPr="00627844">
              <w:rPr>
                <w:rFonts w:cs="Calibri"/>
                <w:color w:val="F2F2F2" w:themeColor="background1" w:themeShade="F2"/>
                <w:sz w:val="18"/>
                <w:szCs w:val="18"/>
              </w:rPr>
              <w:t xml:space="preserve">‘Payments to Service Providers’ and specific grant </w:t>
            </w:r>
            <w:r w:rsidR="00C83ACF" w:rsidRPr="00627844">
              <w:rPr>
                <w:rFonts w:cs="Calibri"/>
                <w:color w:val="F2F2F2" w:themeColor="background1" w:themeShade="F2"/>
                <w:sz w:val="18"/>
                <w:szCs w:val="18"/>
              </w:rPr>
              <w:t>programs</w:t>
            </w:r>
            <w:r w:rsidRPr="00627844">
              <w:rPr>
                <w:rFonts w:cs="Calibri"/>
                <w:color w:val="F2F2F2" w:themeColor="background1" w:themeShade="F2"/>
                <w:sz w:val="18"/>
                <w:szCs w:val="18"/>
              </w:rPr>
              <w:t xml:space="preserve">, instead of putting them all in one line item </w:t>
            </w:r>
            <w:r w:rsidR="00C83ACF" w:rsidRPr="00627844">
              <w:rPr>
                <w:rFonts w:cs="Calibri"/>
                <w:color w:val="F2F2F2" w:themeColor="background1" w:themeShade="F2"/>
                <w:sz w:val="18"/>
                <w:szCs w:val="18"/>
              </w:rPr>
              <w:t>(eg instead of putting all recurrent grants in one recurrent grants line item)</w:t>
            </w:r>
            <w:r w:rsidRPr="00627844">
              <w:rPr>
                <w:rFonts w:cs="Calibri"/>
                <w:color w:val="F2F2F2" w:themeColor="background1" w:themeShade="F2"/>
                <w:sz w:val="18"/>
                <w:szCs w:val="18"/>
              </w:rPr>
              <w:t>.</w:t>
            </w:r>
          </w:p>
        </w:tc>
      </w:tr>
      <w:tr w:rsidR="00956A70" w:rsidRPr="00CF7E1B" w14:paraId="391B0A9D"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6" w:type="pct"/>
            <w:tcBorders>
              <w:left w:val="single" w:sz="2" w:space="0" w:color="auto"/>
              <w:right w:val="single" w:sz="2" w:space="0" w:color="auto"/>
            </w:tcBorders>
          </w:tcPr>
          <w:p w14:paraId="360A6EFD" w14:textId="77777777" w:rsidR="00956A70" w:rsidRPr="00627844" w:rsidRDefault="00956A70" w:rsidP="00956A70">
            <w:pPr>
              <w:pStyle w:val="TableReference"/>
              <w:tabs>
                <w:tab w:val="left" w:pos="3306"/>
              </w:tabs>
              <w:spacing w:before="60"/>
              <w:rPr>
                <w:rFonts w:cs="Calibri"/>
                <w:color w:val="7030A0"/>
                <w:sz w:val="14"/>
              </w:rPr>
            </w:pPr>
            <w:r w:rsidRPr="00627844">
              <w:rPr>
                <w:rFonts w:cs="Calibri"/>
                <w:color w:val="7030A0"/>
                <w:sz w:val="14"/>
              </w:rPr>
              <w:t>Chief Minister’s Annual Report Directions</w:t>
            </w:r>
          </w:p>
        </w:tc>
        <w:tc>
          <w:tcPr>
            <w:tcW w:w="4254" w:type="pct"/>
            <w:gridSpan w:val="5"/>
            <w:tcBorders>
              <w:left w:val="single" w:sz="2" w:space="0" w:color="auto"/>
            </w:tcBorders>
            <w:shd w:val="clear" w:color="auto" w:fill="7030A0"/>
          </w:tcPr>
          <w:p w14:paraId="4950BACC" w14:textId="206A9415" w:rsidR="00956A70" w:rsidRPr="00627844" w:rsidRDefault="00956A70" w:rsidP="00956A70">
            <w:pPr>
              <w:pStyle w:val="CommentaryText"/>
              <w:tabs>
                <w:tab w:val="left" w:pos="3306"/>
              </w:tabs>
              <w:rPr>
                <w:rFonts w:cs="Calibri"/>
                <w:color w:val="F2F2F2" w:themeColor="background1" w:themeShade="F2"/>
                <w:sz w:val="18"/>
                <w:szCs w:val="18"/>
              </w:rPr>
            </w:pPr>
            <w:r w:rsidRPr="00627844">
              <w:rPr>
                <w:rFonts w:cs="Calibri"/>
                <w:color w:val="F2F2F2" w:themeColor="background1" w:themeShade="F2"/>
                <w:sz w:val="18"/>
                <w:szCs w:val="18"/>
              </w:rPr>
              <w:t>This note requires the disclosure of grants and payments to service providers. In addition, the Chief Minister’s Annual Report Directions requires details of service purchasing agreements, community grants, sponsorships and assistance provided by the agency to be reported in the agency’s Annual Report.</w:t>
            </w:r>
            <w:r w:rsidR="00FA7C77">
              <w:rPr>
                <w:rFonts w:cs="Calibri"/>
                <w:color w:val="F2F2F2" w:themeColor="background1" w:themeShade="F2"/>
                <w:sz w:val="18"/>
                <w:szCs w:val="18"/>
              </w:rPr>
              <w:t xml:space="preserve"> </w:t>
            </w:r>
          </w:p>
        </w:tc>
      </w:tr>
      <w:tr w:rsidR="007A04CB" w:rsidRPr="00CF7E1B" w14:paraId="0FA77A18" w14:textId="77777777" w:rsidTr="002F4A8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46" w:type="pct"/>
            <w:tcBorders>
              <w:left w:val="single" w:sz="2" w:space="0" w:color="auto"/>
              <w:right w:val="single" w:sz="2" w:space="0" w:color="auto"/>
            </w:tcBorders>
          </w:tcPr>
          <w:p w14:paraId="0EA1226C" w14:textId="77777777" w:rsidR="007A04CB" w:rsidRPr="00627844" w:rsidRDefault="007A04CB" w:rsidP="00956A70">
            <w:pPr>
              <w:pStyle w:val="TableReference"/>
              <w:tabs>
                <w:tab w:val="left" w:pos="3306"/>
              </w:tabs>
              <w:spacing w:before="60"/>
              <w:rPr>
                <w:rFonts w:cs="Calibri"/>
                <w:color w:val="7030A0"/>
                <w:sz w:val="14"/>
              </w:rPr>
            </w:pPr>
          </w:p>
        </w:tc>
        <w:tc>
          <w:tcPr>
            <w:tcW w:w="4254" w:type="pct"/>
            <w:gridSpan w:val="5"/>
            <w:tcBorders>
              <w:left w:val="single" w:sz="2" w:space="0" w:color="auto"/>
            </w:tcBorders>
            <w:shd w:val="clear" w:color="auto" w:fill="7030A0"/>
          </w:tcPr>
          <w:p w14:paraId="56B24254" w14:textId="77088F81" w:rsidR="007A04CB" w:rsidRPr="00627844" w:rsidRDefault="007A04CB" w:rsidP="00956A70">
            <w:pPr>
              <w:pStyle w:val="CommentaryText"/>
              <w:tabs>
                <w:tab w:val="left" w:pos="3306"/>
              </w:tabs>
              <w:rPr>
                <w:rFonts w:cs="Calibri"/>
                <w:color w:val="F2F2F2" w:themeColor="background1" w:themeShade="F2"/>
                <w:sz w:val="18"/>
                <w:szCs w:val="18"/>
              </w:rPr>
            </w:pPr>
            <w:r w:rsidRPr="00627844">
              <w:rPr>
                <w:rFonts w:cs="Calibri"/>
                <w:iCs/>
                <w:color w:val="F2F2F2" w:themeColor="background1" w:themeShade="F2"/>
                <w:sz w:val="18"/>
              </w:rPr>
              <w:t>Grants and Purchased Services are generally not applicable to territory authorities.</w:t>
            </w:r>
          </w:p>
        </w:tc>
      </w:tr>
      <w:tr w:rsidR="000144FF" w:rsidRPr="00CF7E1B" w14:paraId="2783AE29" w14:textId="77777777" w:rsidTr="002F4A89">
        <w:trPr>
          <w:cantSplit/>
          <w:trHeight w:hRule="exact" w:val="921"/>
        </w:trPr>
        <w:tc>
          <w:tcPr>
            <w:tcW w:w="746" w:type="pct"/>
            <w:tcBorders>
              <w:top w:val="nil"/>
              <w:left w:val="single" w:sz="2" w:space="0" w:color="auto"/>
              <w:bottom w:val="nil"/>
              <w:right w:val="single" w:sz="2" w:space="0" w:color="auto"/>
            </w:tcBorders>
          </w:tcPr>
          <w:p w14:paraId="6AC3FB9D" w14:textId="7CE35F57" w:rsidR="000144FF" w:rsidRPr="00627844" w:rsidRDefault="00022318" w:rsidP="0008124A">
            <w:pPr>
              <w:pStyle w:val="TableReference"/>
              <w:tabs>
                <w:tab w:val="left" w:pos="3306"/>
              </w:tabs>
              <w:spacing w:before="240" w:after="240"/>
              <w:rPr>
                <w:rFonts w:cs="Calibri"/>
                <w:b/>
                <w:color w:val="7030A0"/>
                <w:sz w:val="22"/>
                <w:szCs w:val="22"/>
              </w:rPr>
            </w:pPr>
            <w:r w:rsidRPr="00627844">
              <w:rPr>
                <w:b/>
                <w:bCs/>
                <w:color w:val="7030A0"/>
              </w:rPr>
              <w:br w:type="page"/>
            </w:r>
            <w:bookmarkStart w:id="448" w:name="BorrowCosts" w:colFirst="1" w:colLast="1"/>
            <w:r w:rsidR="001C480E" w:rsidRPr="00627844">
              <w:rPr>
                <w:rFonts w:cs="Calibri"/>
                <w:b/>
                <w:color w:val="7030A0"/>
                <w:sz w:val="22"/>
                <w:szCs w:val="22"/>
              </w:rPr>
              <w:t>Reference</w:t>
            </w:r>
          </w:p>
        </w:tc>
        <w:tc>
          <w:tcPr>
            <w:tcW w:w="4254" w:type="pct"/>
            <w:gridSpan w:val="5"/>
            <w:tcBorders>
              <w:top w:val="nil"/>
              <w:left w:val="single" w:sz="2" w:space="0" w:color="auto"/>
              <w:bottom w:val="nil"/>
              <w:right w:val="nil"/>
            </w:tcBorders>
          </w:tcPr>
          <w:p w14:paraId="7B989471" w14:textId="595CA215" w:rsidR="000144FF" w:rsidRPr="00627844" w:rsidRDefault="00F73636" w:rsidP="0008124A">
            <w:pPr>
              <w:pStyle w:val="Heading1"/>
              <w:numPr>
                <w:ilvl w:val="0"/>
                <w:numId w:val="0"/>
              </w:numPr>
            </w:pPr>
            <w:bookmarkStart w:id="449" w:name="_Toc49224040"/>
            <w:bookmarkStart w:id="450" w:name="_Ref50365433"/>
            <w:bookmarkStart w:id="451" w:name="_Toc50440355"/>
            <w:bookmarkStart w:id="452" w:name="_Ref50523980"/>
            <w:bookmarkStart w:id="453" w:name="_Toc400627334"/>
            <w:bookmarkStart w:id="454" w:name="_Toc98763097"/>
            <w:r w:rsidRPr="00627844">
              <w:t xml:space="preserve">Note </w:t>
            </w:r>
            <w:r w:rsidR="003A4053" w:rsidRPr="00627844">
              <w:t>1</w:t>
            </w:r>
            <w:r w:rsidR="00837523" w:rsidRPr="00627844">
              <w:t>3</w:t>
            </w:r>
            <w:r w:rsidR="0000488C" w:rsidRPr="00627844">
              <w:t>.</w:t>
            </w:r>
            <w:r w:rsidR="00FA7C77">
              <w:t xml:space="preserve"> </w:t>
            </w:r>
            <w:r w:rsidR="00C129D8" w:rsidRPr="00627844">
              <w:t xml:space="preserve"> </w:t>
            </w:r>
            <w:r w:rsidR="000144FF" w:rsidRPr="00627844">
              <w:t>Borrowing Costs</w:t>
            </w:r>
            <w:bookmarkEnd w:id="449"/>
            <w:bookmarkEnd w:id="450"/>
            <w:bookmarkEnd w:id="451"/>
            <w:bookmarkEnd w:id="452"/>
            <w:bookmarkEnd w:id="453"/>
            <w:bookmarkEnd w:id="454"/>
          </w:p>
        </w:tc>
      </w:tr>
      <w:tr w:rsidR="00C941D2" w:rsidRPr="00CF7E1B" w14:paraId="361FA316" w14:textId="77777777" w:rsidTr="002F4A89">
        <w:trPr>
          <w:cantSplit/>
          <w:trHeight w:hRule="exact" w:val="264"/>
        </w:trPr>
        <w:tc>
          <w:tcPr>
            <w:tcW w:w="746" w:type="pct"/>
            <w:tcBorders>
              <w:top w:val="nil"/>
              <w:left w:val="single" w:sz="2" w:space="0" w:color="auto"/>
              <w:bottom w:val="nil"/>
              <w:right w:val="single" w:sz="2" w:space="0" w:color="auto"/>
            </w:tcBorders>
          </w:tcPr>
          <w:p w14:paraId="2C9E9426" w14:textId="77777777" w:rsidR="00C941D2" w:rsidRPr="00627844" w:rsidRDefault="00C941D2" w:rsidP="008D3C8B">
            <w:pPr>
              <w:pStyle w:val="TableReference"/>
              <w:tabs>
                <w:tab w:val="left" w:pos="3306"/>
              </w:tabs>
              <w:rPr>
                <w:rFonts w:cs="Calibri"/>
                <w:b/>
                <w:color w:val="7030A0"/>
                <w:sz w:val="20"/>
                <w:szCs w:val="20"/>
              </w:rPr>
            </w:pPr>
          </w:p>
        </w:tc>
        <w:tc>
          <w:tcPr>
            <w:tcW w:w="4254" w:type="pct"/>
            <w:gridSpan w:val="5"/>
            <w:tcBorders>
              <w:top w:val="nil"/>
              <w:left w:val="single" w:sz="2" w:space="0" w:color="auto"/>
              <w:bottom w:val="nil"/>
              <w:right w:val="nil"/>
            </w:tcBorders>
          </w:tcPr>
          <w:p w14:paraId="5AA63A83" w14:textId="522A3553" w:rsidR="00C941D2" w:rsidRPr="00627844" w:rsidRDefault="001014DB" w:rsidP="008D3C8B">
            <w:pPr>
              <w:pStyle w:val="Heading1"/>
              <w:numPr>
                <w:ilvl w:val="0"/>
                <w:numId w:val="0"/>
              </w:numPr>
              <w:spacing w:before="0" w:after="0"/>
            </w:pPr>
            <w:bookmarkStart w:id="455" w:name="_Toc98763098"/>
            <w:r w:rsidRPr="00627844">
              <w:rPr>
                <w:rFonts w:ascii="Calibri" w:hAnsi="Calibri" w:cs="Calibri"/>
                <w:caps w:val="0"/>
                <w:sz w:val="18"/>
                <w:szCs w:val="18"/>
              </w:rPr>
              <w:t xml:space="preserve">Description and </w:t>
            </w:r>
            <w:r w:rsidR="008D3C8B" w:rsidRPr="00627844">
              <w:rPr>
                <w:rFonts w:ascii="Calibri" w:hAnsi="Calibri"/>
                <w:caps w:val="0"/>
                <w:sz w:val="18"/>
                <w:szCs w:val="18"/>
              </w:rPr>
              <w:t xml:space="preserve">Material Accounting Policies Relating to </w:t>
            </w:r>
            <w:r w:rsidR="00797480" w:rsidRPr="00627844">
              <w:rPr>
                <w:rFonts w:ascii="Calibri" w:hAnsi="Calibri"/>
                <w:caps w:val="0"/>
                <w:sz w:val="18"/>
                <w:szCs w:val="18"/>
              </w:rPr>
              <w:t>Borrowing Costs</w:t>
            </w:r>
            <w:bookmarkEnd w:id="455"/>
          </w:p>
        </w:tc>
      </w:tr>
      <w:tr w:rsidR="00C941D2" w:rsidRPr="00CF7E1B" w14:paraId="6B81140B" w14:textId="77777777" w:rsidTr="002F4A89">
        <w:trPr>
          <w:cantSplit/>
          <w:trHeight w:hRule="exact" w:val="921"/>
        </w:trPr>
        <w:tc>
          <w:tcPr>
            <w:tcW w:w="746" w:type="pct"/>
            <w:tcBorders>
              <w:top w:val="nil"/>
              <w:left w:val="single" w:sz="2" w:space="0" w:color="auto"/>
              <w:bottom w:val="nil"/>
              <w:right w:val="single" w:sz="2" w:space="0" w:color="auto"/>
            </w:tcBorders>
          </w:tcPr>
          <w:p w14:paraId="1904CE8F" w14:textId="5F29DB66" w:rsidR="00C941D2" w:rsidRPr="00627844" w:rsidRDefault="00C941D2" w:rsidP="00C941D2">
            <w:pPr>
              <w:pStyle w:val="TableReference"/>
              <w:tabs>
                <w:tab w:val="left" w:pos="3306"/>
              </w:tabs>
              <w:spacing w:before="40"/>
              <w:rPr>
                <w:rFonts w:cs="Calibri"/>
                <w:b/>
                <w:color w:val="7030A0"/>
                <w:sz w:val="14"/>
              </w:rPr>
            </w:pPr>
            <w:r w:rsidRPr="00627844">
              <w:rPr>
                <w:color w:val="7030A0"/>
                <w:sz w:val="14"/>
              </w:rPr>
              <w:t>AASB 123.Aus8.1 &amp; Aus26.1, ACT Accounting Policy – Property Plant &amp; Equipment</w:t>
            </w:r>
          </w:p>
        </w:tc>
        <w:tc>
          <w:tcPr>
            <w:tcW w:w="4254" w:type="pct"/>
            <w:gridSpan w:val="5"/>
            <w:tcBorders>
              <w:top w:val="nil"/>
              <w:left w:val="single" w:sz="2" w:space="0" w:color="auto"/>
              <w:bottom w:val="nil"/>
              <w:right w:val="nil"/>
            </w:tcBorders>
          </w:tcPr>
          <w:p w14:paraId="6874FFAA" w14:textId="311BEE8A" w:rsidR="00C941D2" w:rsidRPr="00627844" w:rsidRDefault="00F708E9" w:rsidP="00C941D2">
            <w:pPr>
              <w:jc w:val="both"/>
              <w:rPr>
                <w:sz w:val="18"/>
                <w:szCs w:val="18"/>
              </w:rPr>
            </w:pPr>
            <w:r w:rsidRPr="00627844">
              <w:rPr>
                <w:rFonts w:cs="Calibri"/>
                <w:sz w:val="18"/>
                <w:szCs w:val="18"/>
              </w:rPr>
              <w:t>All b</w:t>
            </w:r>
            <w:r w:rsidR="00C941D2" w:rsidRPr="00627844">
              <w:rPr>
                <w:rFonts w:cs="Calibri"/>
                <w:sz w:val="18"/>
                <w:szCs w:val="18"/>
              </w:rPr>
              <w:t>orrowing costs</w:t>
            </w:r>
            <w:r w:rsidRPr="00627844">
              <w:rPr>
                <w:rFonts w:cs="Calibri"/>
                <w:sz w:val="18"/>
                <w:szCs w:val="18"/>
              </w:rPr>
              <w:t>,</w:t>
            </w:r>
            <w:r w:rsidR="00C941D2" w:rsidRPr="00627844">
              <w:rPr>
                <w:rFonts w:cs="Calibri"/>
                <w:sz w:val="18"/>
                <w:szCs w:val="18"/>
              </w:rPr>
              <w:t xml:space="preserve"> </w:t>
            </w:r>
            <w:r w:rsidRPr="00627844">
              <w:rPr>
                <w:rFonts w:cs="Calibri"/>
                <w:sz w:val="18"/>
                <w:szCs w:val="18"/>
              </w:rPr>
              <w:t>including</w:t>
            </w:r>
            <w:r w:rsidRPr="00627844">
              <w:rPr>
                <w:sz w:val="18"/>
                <w:szCs w:val="18"/>
              </w:rPr>
              <w:t xml:space="preserve"> </w:t>
            </w:r>
            <w:r w:rsidR="006F2883" w:rsidRPr="00627844">
              <w:rPr>
                <w:sz w:val="18"/>
                <w:szCs w:val="18"/>
              </w:rPr>
              <w:t>th</w:t>
            </w:r>
            <w:r w:rsidRPr="00627844">
              <w:rPr>
                <w:sz w:val="18"/>
                <w:szCs w:val="18"/>
              </w:rPr>
              <w:t>ose that are</w:t>
            </w:r>
            <w:r w:rsidR="006F2883" w:rsidRPr="00627844">
              <w:rPr>
                <w:sz w:val="18"/>
                <w:szCs w:val="18"/>
              </w:rPr>
              <w:t xml:space="preserve"> directly attributable to the acquisition, construction or production of a qualifying asset</w:t>
            </w:r>
            <w:r w:rsidRPr="00627844">
              <w:rPr>
                <w:sz w:val="18"/>
                <w:szCs w:val="18"/>
              </w:rPr>
              <w:t xml:space="preserve">, </w:t>
            </w:r>
            <w:r w:rsidR="00C941D2" w:rsidRPr="00627844">
              <w:rPr>
                <w:rFonts w:cs="Calibri"/>
                <w:sz w:val="18"/>
                <w:szCs w:val="18"/>
              </w:rPr>
              <w:t>are expensed in the period in which they are incurred.</w:t>
            </w:r>
          </w:p>
        </w:tc>
      </w:tr>
      <w:bookmarkEnd w:id="448"/>
      <w:tr w:rsidR="000144FF" w:rsidRPr="00CF7E1B" w14:paraId="44FDF05F" w14:textId="77777777" w:rsidTr="002F4A89">
        <w:trPr>
          <w:cantSplit/>
          <w:trHeight w:val="23"/>
        </w:trPr>
        <w:tc>
          <w:tcPr>
            <w:tcW w:w="746" w:type="pct"/>
            <w:tcBorders>
              <w:top w:val="nil"/>
              <w:left w:val="single" w:sz="2" w:space="0" w:color="auto"/>
              <w:bottom w:val="nil"/>
              <w:right w:val="single" w:sz="2" w:space="0" w:color="auto"/>
            </w:tcBorders>
          </w:tcPr>
          <w:p w14:paraId="01BD1F29" w14:textId="77777777" w:rsidR="000144FF" w:rsidRPr="00627844" w:rsidRDefault="000144FF">
            <w:pPr>
              <w:pStyle w:val="TableReference"/>
              <w:tabs>
                <w:tab w:val="left" w:pos="3306"/>
              </w:tabs>
              <w:spacing w:before="40"/>
              <w:rPr>
                <w:rFonts w:cs="Calibri"/>
                <w:color w:val="7030A0"/>
                <w:sz w:val="14"/>
              </w:rPr>
            </w:pPr>
          </w:p>
        </w:tc>
        <w:tc>
          <w:tcPr>
            <w:tcW w:w="2824" w:type="pct"/>
            <w:gridSpan w:val="2"/>
            <w:tcBorders>
              <w:top w:val="nil"/>
              <w:left w:val="single" w:sz="2" w:space="0" w:color="auto"/>
              <w:bottom w:val="nil"/>
              <w:right w:val="nil"/>
            </w:tcBorders>
            <w:vAlign w:val="bottom"/>
          </w:tcPr>
          <w:p w14:paraId="4F610737" w14:textId="77777777" w:rsidR="000144FF" w:rsidRPr="00627844" w:rsidRDefault="000144FF">
            <w:pPr>
              <w:pStyle w:val="TableText"/>
              <w:tabs>
                <w:tab w:val="left" w:pos="3306"/>
              </w:tabs>
              <w:rPr>
                <w:rFonts w:cs="Calibri"/>
              </w:rPr>
            </w:pPr>
          </w:p>
        </w:tc>
        <w:tc>
          <w:tcPr>
            <w:tcW w:w="754" w:type="pct"/>
            <w:gridSpan w:val="2"/>
            <w:tcBorders>
              <w:top w:val="nil"/>
              <w:left w:val="nil"/>
              <w:bottom w:val="nil"/>
              <w:right w:val="nil"/>
            </w:tcBorders>
            <w:vAlign w:val="bottom"/>
          </w:tcPr>
          <w:p w14:paraId="4551C63B" w14:textId="641DA58C" w:rsidR="001E7E5D" w:rsidRPr="00627844" w:rsidRDefault="001E7E5D" w:rsidP="001E7E5D">
            <w:pPr>
              <w:pStyle w:val="TableTitle"/>
              <w:tabs>
                <w:tab w:val="left" w:pos="3306"/>
              </w:tabs>
              <w:rPr>
                <w:rFonts w:cs="Calibri"/>
              </w:rPr>
            </w:pPr>
            <w:r w:rsidRPr="00627844">
              <w:rPr>
                <w:rFonts w:cs="Calibri"/>
              </w:rPr>
              <w:t>2022</w:t>
            </w:r>
          </w:p>
          <w:p w14:paraId="412BFFE1" w14:textId="6064CD0A" w:rsidR="000144FF" w:rsidRPr="00627844" w:rsidRDefault="000144FF">
            <w:pPr>
              <w:pStyle w:val="TableText"/>
              <w:tabs>
                <w:tab w:val="left" w:pos="3306"/>
              </w:tabs>
              <w:jc w:val="right"/>
              <w:rPr>
                <w:rFonts w:cs="Calibri"/>
                <w:b/>
                <w:bCs/>
              </w:rPr>
            </w:pPr>
            <w:r w:rsidRPr="00627844">
              <w:rPr>
                <w:rFonts w:cs="Calibri"/>
                <w:b/>
                <w:bCs/>
              </w:rPr>
              <w:t>$’000</w:t>
            </w:r>
          </w:p>
        </w:tc>
        <w:tc>
          <w:tcPr>
            <w:tcW w:w="676" w:type="pct"/>
            <w:tcBorders>
              <w:top w:val="nil"/>
              <w:left w:val="nil"/>
              <w:bottom w:val="nil"/>
              <w:right w:val="nil"/>
            </w:tcBorders>
            <w:vAlign w:val="bottom"/>
          </w:tcPr>
          <w:p w14:paraId="50042E35" w14:textId="3F972CFF" w:rsidR="000144FF" w:rsidRPr="00627844" w:rsidRDefault="001E7E5D">
            <w:pPr>
              <w:pStyle w:val="TableText"/>
              <w:tabs>
                <w:tab w:val="left" w:pos="3306"/>
              </w:tabs>
              <w:jc w:val="right"/>
              <w:rPr>
                <w:rFonts w:cs="Calibri"/>
                <w:b/>
                <w:bCs/>
              </w:rPr>
            </w:pPr>
            <w:r w:rsidRPr="00627844">
              <w:rPr>
                <w:rFonts w:cs="Calibri"/>
                <w:b/>
                <w:bCs/>
              </w:rPr>
              <w:t>2021</w:t>
            </w:r>
            <w:r w:rsidR="000144FF" w:rsidRPr="00627844">
              <w:rPr>
                <w:rFonts w:cs="Calibri"/>
                <w:b/>
                <w:bCs/>
              </w:rPr>
              <w:t xml:space="preserve"> </w:t>
            </w:r>
          </w:p>
          <w:p w14:paraId="4B6D8E6E" w14:textId="77777777" w:rsidR="000144FF" w:rsidRPr="00627844" w:rsidRDefault="000144FF">
            <w:pPr>
              <w:pStyle w:val="TableText"/>
              <w:tabs>
                <w:tab w:val="left" w:pos="3306"/>
              </w:tabs>
              <w:jc w:val="right"/>
              <w:rPr>
                <w:rFonts w:cs="Calibri"/>
                <w:b/>
                <w:bCs/>
              </w:rPr>
            </w:pPr>
            <w:r w:rsidRPr="00627844">
              <w:rPr>
                <w:rFonts w:cs="Calibri"/>
                <w:b/>
                <w:bCs/>
              </w:rPr>
              <w:t>$’000</w:t>
            </w:r>
          </w:p>
        </w:tc>
      </w:tr>
      <w:tr w:rsidR="000144FF" w:rsidRPr="00CF7E1B" w14:paraId="484DBF15" w14:textId="77777777" w:rsidTr="002F4A89">
        <w:trPr>
          <w:cantSplit/>
          <w:trHeight w:val="23"/>
        </w:trPr>
        <w:tc>
          <w:tcPr>
            <w:tcW w:w="746" w:type="pct"/>
            <w:tcBorders>
              <w:top w:val="nil"/>
              <w:left w:val="single" w:sz="2" w:space="0" w:color="auto"/>
              <w:bottom w:val="nil"/>
              <w:right w:val="single" w:sz="2" w:space="0" w:color="auto"/>
            </w:tcBorders>
          </w:tcPr>
          <w:p w14:paraId="5CFB4141" w14:textId="77777777" w:rsidR="000144FF" w:rsidRPr="00627844" w:rsidRDefault="009266DD">
            <w:pPr>
              <w:pStyle w:val="TableReference"/>
              <w:tabs>
                <w:tab w:val="left" w:pos="3306"/>
              </w:tabs>
              <w:spacing w:before="60"/>
              <w:rPr>
                <w:rFonts w:cs="Calibri"/>
                <w:color w:val="7030A0"/>
                <w:sz w:val="14"/>
              </w:rPr>
            </w:pPr>
            <w:r w:rsidRPr="00627844">
              <w:rPr>
                <w:rFonts w:cs="Calibri"/>
                <w:color w:val="7030A0"/>
                <w:sz w:val="14"/>
              </w:rPr>
              <w:t>AASB 7</w:t>
            </w:r>
            <w:r w:rsidR="00D65811" w:rsidRPr="00627844">
              <w:rPr>
                <w:rFonts w:cs="Calibri"/>
                <w:color w:val="7030A0"/>
                <w:sz w:val="14"/>
              </w:rPr>
              <w:t>.</w:t>
            </w:r>
            <w:r w:rsidRPr="00627844">
              <w:rPr>
                <w:rFonts w:cs="Calibri"/>
                <w:color w:val="7030A0"/>
                <w:sz w:val="14"/>
              </w:rPr>
              <w:t>20(b)</w:t>
            </w:r>
          </w:p>
        </w:tc>
        <w:tc>
          <w:tcPr>
            <w:tcW w:w="2824" w:type="pct"/>
            <w:gridSpan w:val="2"/>
            <w:tcBorders>
              <w:top w:val="nil"/>
              <w:left w:val="single" w:sz="2" w:space="0" w:color="auto"/>
              <w:bottom w:val="nil"/>
              <w:right w:val="nil"/>
            </w:tcBorders>
            <w:vAlign w:val="bottom"/>
          </w:tcPr>
          <w:p w14:paraId="2E03452A" w14:textId="77777777" w:rsidR="000144FF" w:rsidRPr="00627844" w:rsidRDefault="000144FF">
            <w:pPr>
              <w:pStyle w:val="TableText"/>
              <w:tabs>
                <w:tab w:val="left" w:pos="3306"/>
              </w:tabs>
              <w:rPr>
                <w:rFonts w:cs="Calibri"/>
              </w:rPr>
            </w:pPr>
            <w:r w:rsidRPr="00627844">
              <w:rPr>
                <w:rFonts w:cs="Calibri"/>
              </w:rPr>
              <w:t>Interest Expense on Bank Overdraft / Borrowings</w:t>
            </w:r>
          </w:p>
        </w:tc>
        <w:tc>
          <w:tcPr>
            <w:tcW w:w="754" w:type="pct"/>
            <w:gridSpan w:val="2"/>
            <w:tcBorders>
              <w:top w:val="nil"/>
              <w:left w:val="nil"/>
              <w:bottom w:val="nil"/>
              <w:right w:val="nil"/>
            </w:tcBorders>
            <w:vAlign w:val="bottom"/>
          </w:tcPr>
          <w:p w14:paraId="4E811AF9" w14:textId="41CD6E33" w:rsidR="000144FF" w:rsidRPr="00627844" w:rsidRDefault="000144FF">
            <w:pPr>
              <w:pStyle w:val="TableText"/>
              <w:tabs>
                <w:tab w:val="left" w:pos="3306"/>
              </w:tabs>
              <w:jc w:val="right"/>
              <w:rPr>
                <w:rFonts w:cs="Calibri"/>
              </w:rPr>
            </w:pPr>
          </w:p>
        </w:tc>
        <w:tc>
          <w:tcPr>
            <w:tcW w:w="676" w:type="pct"/>
            <w:tcBorders>
              <w:top w:val="nil"/>
              <w:left w:val="nil"/>
              <w:bottom w:val="nil"/>
              <w:right w:val="nil"/>
            </w:tcBorders>
            <w:vAlign w:val="bottom"/>
          </w:tcPr>
          <w:p w14:paraId="49F49D92" w14:textId="406A1C53" w:rsidR="000144FF" w:rsidRPr="00627844" w:rsidRDefault="000144FF">
            <w:pPr>
              <w:pStyle w:val="TableText"/>
              <w:tabs>
                <w:tab w:val="left" w:pos="3306"/>
              </w:tabs>
              <w:jc w:val="right"/>
              <w:rPr>
                <w:rFonts w:cs="Calibri"/>
              </w:rPr>
            </w:pPr>
          </w:p>
        </w:tc>
      </w:tr>
      <w:tr w:rsidR="001C6573" w:rsidRPr="002C7AEF" w14:paraId="2D3BD49A" w14:textId="77777777" w:rsidTr="002F4A89">
        <w:trPr>
          <w:cantSplit/>
          <w:trHeight w:val="23"/>
        </w:trPr>
        <w:tc>
          <w:tcPr>
            <w:tcW w:w="746" w:type="pct"/>
            <w:tcBorders>
              <w:top w:val="nil"/>
              <w:left w:val="single" w:sz="2" w:space="0" w:color="auto"/>
              <w:bottom w:val="nil"/>
              <w:right w:val="single" w:sz="2" w:space="0" w:color="auto"/>
            </w:tcBorders>
          </w:tcPr>
          <w:p w14:paraId="3546EF55" w14:textId="1A34238C" w:rsidR="001C6573" w:rsidRPr="00627844" w:rsidRDefault="007C09A4" w:rsidP="00EC032E">
            <w:pPr>
              <w:pStyle w:val="TableReference"/>
              <w:tabs>
                <w:tab w:val="left" w:pos="3306"/>
              </w:tabs>
              <w:spacing w:before="60"/>
              <w:rPr>
                <w:rFonts w:cs="Calibri"/>
                <w:strike/>
                <w:color w:val="7030A0"/>
                <w:sz w:val="14"/>
              </w:rPr>
            </w:pPr>
            <w:r w:rsidRPr="00627844">
              <w:rPr>
                <w:rFonts w:cs="Calibri"/>
                <w:color w:val="7030A0"/>
                <w:sz w:val="14"/>
              </w:rPr>
              <w:t>AASB 16.53(b)</w:t>
            </w:r>
          </w:p>
        </w:tc>
        <w:tc>
          <w:tcPr>
            <w:tcW w:w="2824" w:type="pct"/>
            <w:gridSpan w:val="2"/>
            <w:tcBorders>
              <w:top w:val="nil"/>
              <w:left w:val="single" w:sz="2" w:space="0" w:color="auto"/>
              <w:bottom w:val="nil"/>
              <w:right w:val="nil"/>
            </w:tcBorders>
          </w:tcPr>
          <w:p w14:paraId="7D5872C8" w14:textId="2EEBBA22" w:rsidR="001C6573" w:rsidRPr="00627844" w:rsidRDefault="007C09A4" w:rsidP="007C09A4">
            <w:pPr>
              <w:pStyle w:val="TableText"/>
              <w:tabs>
                <w:tab w:val="left" w:pos="3306"/>
              </w:tabs>
              <w:rPr>
                <w:rFonts w:cs="Calibri"/>
              </w:rPr>
            </w:pPr>
            <w:r w:rsidRPr="00627844">
              <w:rPr>
                <w:rFonts w:cstheme="minorHAnsi"/>
              </w:rPr>
              <w:t>Interest on lease liabilities</w:t>
            </w:r>
          </w:p>
        </w:tc>
        <w:tc>
          <w:tcPr>
            <w:tcW w:w="754" w:type="pct"/>
            <w:gridSpan w:val="2"/>
            <w:tcBorders>
              <w:top w:val="nil"/>
              <w:left w:val="nil"/>
              <w:bottom w:val="nil"/>
              <w:right w:val="nil"/>
            </w:tcBorders>
            <w:shd w:val="clear" w:color="auto" w:fill="auto"/>
            <w:vAlign w:val="bottom"/>
          </w:tcPr>
          <w:p w14:paraId="453859DE" w14:textId="6229B2AC" w:rsidR="001C6573" w:rsidRPr="00627844" w:rsidRDefault="001C6573" w:rsidP="00EC032E">
            <w:pPr>
              <w:pStyle w:val="TableText"/>
              <w:tabs>
                <w:tab w:val="left" w:pos="3306"/>
              </w:tabs>
              <w:jc w:val="right"/>
              <w:rPr>
                <w:rFonts w:cs="Calibri"/>
              </w:rPr>
            </w:pPr>
          </w:p>
        </w:tc>
        <w:tc>
          <w:tcPr>
            <w:tcW w:w="676" w:type="pct"/>
            <w:tcBorders>
              <w:top w:val="nil"/>
              <w:left w:val="nil"/>
              <w:bottom w:val="nil"/>
              <w:right w:val="nil"/>
            </w:tcBorders>
            <w:shd w:val="clear" w:color="auto" w:fill="auto"/>
            <w:vAlign w:val="bottom"/>
          </w:tcPr>
          <w:p w14:paraId="1DDC7331" w14:textId="77777777" w:rsidR="001C6573" w:rsidRPr="00627844" w:rsidRDefault="001C6573" w:rsidP="00EC032E">
            <w:pPr>
              <w:pStyle w:val="TableText"/>
              <w:tabs>
                <w:tab w:val="left" w:pos="3306"/>
              </w:tabs>
              <w:jc w:val="right"/>
              <w:rPr>
                <w:rFonts w:cs="Calibri"/>
              </w:rPr>
            </w:pPr>
          </w:p>
        </w:tc>
      </w:tr>
      <w:tr w:rsidR="00F708E9" w:rsidRPr="002C7AEF" w14:paraId="7CFB9177" w14:textId="77777777" w:rsidTr="002F4A89">
        <w:trPr>
          <w:cantSplit/>
          <w:trHeight w:val="23"/>
        </w:trPr>
        <w:tc>
          <w:tcPr>
            <w:tcW w:w="746" w:type="pct"/>
            <w:tcBorders>
              <w:top w:val="nil"/>
              <w:left w:val="single" w:sz="2" w:space="0" w:color="auto"/>
              <w:bottom w:val="nil"/>
              <w:right w:val="single" w:sz="2" w:space="0" w:color="auto"/>
            </w:tcBorders>
          </w:tcPr>
          <w:p w14:paraId="06E05F58" w14:textId="77777777" w:rsidR="00F708E9" w:rsidRPr="00627844" w:rsidRDefault="00F708E9" w:rsidP="00EC032E">
            <w:pPr>
              <w:pStyle w:val="TableReference"/>
              <w:tabs>
                <w:tab w:val="left" w:pos="3306"/>
              </w:tabs>
              <w:spacing w:before="60"/>
              <w:rPr>
                <w:rFonts w:cs="Calibri"/>
                <w:color w:val="7030A0"/>
                <w:sz w:val="14"/>
              </w:rPr>
            </w:pPr>
          </w:p>
        </w:tc>
        <w:tc>
          <w:tcPr>
            <w:tcW w:w="2824" w:type="pct"/>
            <w:gridSpan w:val="2"/>
            <w:tcBorders>
              <w:top w:val="nil"/>
              <w:left w:val="single" w:sz="2" w:space="0" w:color="auto"/>
              <w:bottom w:val="nil"/>
              <w:right w:val="nil"/>
            </w:tcBorders>
            <w:vAlign w:val="bottom"/>
          </w:tcPr>
          <w:p w14:paraId="68B65CB4" w14:textId="2151E229" w:rsidR="00F708E9" w:rsidRPr="00627844" w:rsidRDefault="00F708E9" w:rsidP="00EC032E">
            <w:pPr>
              <w:pStyle w:val="TableText"/>
              <w:tabs>
                <w:tab w:val="left" w:pos="3306"/>
              </w:tabs>
              <w:rPr>
                <w:rFonts w:cs="Calibri"/>
              </w:rPr>
            </w:pPr>
            <w:r w:rsidRPr="00627844">
              <w:rPr>
                <w:rFonts w:cs="Calibri"/>
              </w:rPr>
              <w:t xml:space="preserve">Interest </w:t>
            </w:r>
            <w:r w:rsidRPr="00627844">
              <w:t>attributable to the construction of a qualifying asset</w:t>
            </w:r>
          </w:p>
        </w:tc>
        <w:tc>
          <w:tcPr>
            <w:tcW w:w="754" w:type="pct"/>
            <w:gridSpan w:val="2"/>
            <w:tcBorders>
              <w:top w:val="nil"/>
              <w:left w:val="nil"/>
              <w:bottom w:val="nil"/>
              <w:right w:val="nil"/>
            </w:tcBorders>
            <w:shd w:val="clear" w:color="auto" w:fill="auto"/>
            <w:vAlign w:val="bottom"/>
          </w:tcPr>
          <w:p w14:paraId="370F45E6" w14:textId="77777777" w:rsidR="00F708E9" w:rsidRPr="00627844" w:rsidRDefault="00F708E9" w:rsidP="00EC032E">
            <w:pPr>
              <w:pStyle w:val="TableText"/>
              <w:tabs>
                <w:tab w:val="left" w:pos="3306"/>
              </w:tabs>
              <w:jc w:val="right"/>
              <w:rPr>
                <w:rFonts w:cs="Calibri"/>
              </w:rPr>
            </w:pPr>
          </w:p>
        </w:tc>
        <w:tc>
          <w:tcPr>
            <w:tcW w:w="676" w:type="pct"/>
            <w:tcBorders>
              <w:top w:val="nil"/>
              <w:left w:val="nil"/>
              <w:bottom w:val="nil"/>
              <w:right w:val="nil"/>
            </w:tcBorders>
            <w:shd w:val="clear" w:color="auto" w:fill="auto"/>
            <w:vAlign w:val="bottom"/>
          </w:tcPr>
          <w:p w14:paraId="5FF96098" w14:textId="77777777" w:rsidR="00F708E9" w:rsidRPr="00627844" w:rsidRDefault="00F708E9" w:rsidP="00EC032E">
            <w:pPr>
              <w:pStyle w:val="TableText"/>
              <w:tabs>
                <w:tab w:val="left" w:pos="3306"/>
              </w:tabs>
              <w:jc w:val="right"/>
              <w:rPr>
                <w:rFonts w:cs="Calibri"/>
              </w:rPr>
            </w:pPr>
          </w:p>
        </w:tc>
      </w:tr>
      <w:tr w:rsidR="00661AF6" w:rsidRPr="002C7AEF" w14:paraId="61664A39" w14:textId="77777777" w:rsidTr="002F4A89">
        <w:trPr>
          <w:cantSplit/>
          <w:trHeight w:val="23"/>
        </w:trPr>
        <w:tc>
          <w:tcPr>
            <w:tcW w:w="746" w:type="pct"/>
            <w:tcBorders>
              <w:top w:val="nil"/>
              <w:left w:val="single" w:sz="2" w:space="0" w:color="auto"/>
              <w:bottom w:val="nil"/>
              <w:right w:val="single" w:sz="2" w:space="0" w:color="auto"/>
            </w:tcBorders>
          </w:tcPr>
          <w:p w14:paraId="66EAF485" w14:textId="77777777" w:rsidR="00661AF6" w:rsidRPr="00627844" w:rsidRDefault="00661AF6" w:rsidP="00EC032E">
            <w:pPr>
              <w:pStyle w:val="TableReference"/>
              <w:tabs>
                <w:tab w:val="left" w:pos="3306"/>
              </w:tabs>
              <w:spacing w:before="60"/>
              <w:rPr>
                <w:rFonts w:cs="Calibri"/>
                <w:color w:val="7030A0"/>
                <w:sz w:val="14"/>
              </w:rPr>
            </w:pPr>
          </w:p>
        </w:tc>
        <w:tc>
          <w:tcPr>
            <w:tcW w:w="2824" w:type="pct"/>
            <w:gridSpan w:val="2"/>
            <w:tcBorders>
              <w:top w:val="nil"/>
              <w:left w:val="single" w:sz="2" w:space="0" w:color="auto"/>
              <w:bottom w:val="nil"/>
              <w:right w:val="nil"/>
            </w:tcBorders>
            <w:vAlign w:val="bottom"/>
          </w:tcPr>
          <w:p w14:paraId="5EB3810F" w14:textId="2CBC7FEF" w:rsidR="00661AF6" w:rsidRPr="00627844" w:rsidRDefault="00661AF6" w:rsidP="00EC032E">
            <w:pPr>
              <w:pStyle w:val="TableText"/>
              <w:tabs>
                <w:tab w:val="left" w:pos="3306"/>
              </w:tabs>
              <w:rPr>
                <w:rFonts w:cs="Calibri"/>
              </w:rPr>
            </w:pPr>
            <w:r w:rsidRPr="00627844">
              <w:rPr>
                <w:rFonts w:cs="Calibri"/>
              </w:rPr>
              <w:t>Finance Costs from Service Concession Arrangements</w:t>
            </w:r>
          </w:p>
        </w:tc>
        <w:tc>
          <w:tcPr>
            <w:tcW w:w="754" w:type="pct"/>
            <w:gridSpan w:val="2"/>
            <w:tcBorders>
              <w:top w:val="nil"/>
              <w:left w:val="nil"/>
              <w:bottom w:val="nil"/>
              <w:right w:val="nil"/>
            </w:tcBorders>
            <w:shd w:val="clear" w:color="auto" w:fill="auto"/>
            <w:vAlign w:val="bottom"/>
          </w:tcPr>
          <w:p w14:paraId="276B1396" w14:textId="77777777" w:rsidR="00661AF6" w:rsidRPr="00627844" w:rsidRDefault="00661AF6" w:rsidP="00EC032E">
            <w:pPr>
              <w:pStyle w:val="TableText"/>
              <w:tabs>
                <w:tab w:val="left" w:pos="3306"/>
              </w:tabs>
              <w:jc w:val="right"/>
              <w:rPr>
                <w:rFonts w:cs="Calibri"/>
              </w:rPr>
            </w:pPr>
          </w:p>
        </w:tc>
        <w:tc>
          <w:tcPr>
            <w:tcW w:w="676" w:type="pct"/>
            <w:tcBorders>
              <w:top w:val="nil"/>
              <w:left w:val="nil"/>
              <w:bottom w:val="nil"/>
              <w:right w:val="nil"/>
            </w:tcBorders>
            <w:shd w:val="clear" w:color="auto" w:fill="auto"/>
            <w:vAlign w:val="bottom"/>
          </w:tcPr>
          <w:p w14:paraId="51DB33FD" w14:textId="77777777" w:rsidR="00661AF6" w:rsidRPr="00627844" w:rsidRDefault="00661AF6" w:rsidP="00EC032E">
            <w:pPr>
              <w:pStyle w:val="TableText"/>
              <w:tabs>
                <w:tab w:val="left" w:pos="3306"/>
              </w:tabs>
              <w:jc w:val="right"/>
              <w:rPr>
                <w:rFonts w:cs="Calibri"/>
              </w:rPr>
            </w:pPr>
          </w:p>
        </w:tc>
      </w:tr>
      <w:tr w:rsidR="000144FF" w:rsidRPr="00CF7E1B" w14:paraId="63CDDEFC" w14:textId="77777777" w:rsidTr="002F4A89">
        <w:trPr>
          <w:cantSplit/>
          <w:trHeight w:val="23"/>
        </w:trPr>
        <w:tc>
          <w:tcPr>
            <w:tcW w:w="746" w:type="pct"/>
            <w:tcBorders>
              <w:top w:val="nil"/>
              <w:left w:val="single" w:sz="2" w:space="0" w:color="auto"/>
              <w:bottom w:val="nil"/>
              <w:right w:val="single" w:sz="2" w:space="0" w:color="auto"/>
            </w:tcBorders>
          </w:tcPr>
          <w:p w14:paraId="6B57DB74" w14:textId="7D8F298B" w:rsidR="000144FF" w:rsidRPr="00627844" w:rsidRDefault="000144FF">
            <w:pPr>
              <w:pStyle w:val="TableReference"/>
              <w:tabs>
                <w:tab w:val="left" w:pos="3306"/>
              </w:tabs>
              <w:spacing w:before="60"/>
              <w:rPr>
                <w:rFonts w:cs="Calibri"/>
                <w:color w:val="7030A0"/>
                <w:sz w:val="14"/>
              </w:rPr>
            </w:pPr>
          </w:p>
        </w:tc>
        <w:tc>
          <w:tcPr>
            <w:tcW w:w="2824" w:type="pct"/>
            <w:gridSpan w:val="2"/>
            <w:tcBorders>
              <w:top w:val="nil"/>
              <w:left w:val="single" w:sz="2" w:space="0" w:color="auto"/>
              <w:bottom w:val="nil"/>
              <w:right w:val="nil"/>
            </w:tcBorders>
            <w:vAlign w:val="bottom"/>
          </w:tcPr>
          <w:p w14:paraId="248AE43C" w14:textId="77777777" w:rsidR="000144FF" w:rsidRPr="00627844" w:rsidRDefault="000144FF">
            <w:pPr>
              <w:pStyle w:val="TableText"/>
              <w:tabs>
                <w:tab w:val="left" w:pos="3306"/>
              </w:tabs>
              <w:rPr>
                <w:rFonts w:cs="Calibri"/>
              </w:rPr>
            </w:pPr>
            <w:r w:rsidRPr="00627844">
              <w:rPr>
                <w:rFonts w:cs="Calibri"/>
              </w:rPr>
              <w:t xml:space="preserve">Finance </w:t>
            </w:r>
            <w:r w:rsidR="005270F4" w:rsidRPr="00627844">
              <w:rPr>
                <w:rFonts w:cs="Calibri"/>
              </w:rPr>
              <w:t>Cost on Make Good</w:t>
            </w:r>
            <w:r w:rsidRPr="00627844">
              <w:rPr>
                <w:rFonts w:cs="Calibri"/>
              </w:rPr>
              <w:t xml:space="preserve"> </w:t>
            </w:r>
          </w:p>
        </w:tc>
        <w:tc>
          <w:tcPr>
            <w:tcW w:w="754" w:type="pct"/>
            <w:gridSpan w:val="2"/>
            <w:tcBorders>
              <w:top w:val="nil"/>
              <w:left w:val="nil"/>
              <w:bottom w:val="single" w:sz="2" w:space="0" w:color="auto"/>
              <w:right w:val="nil"/>
            </w:tcBorders>
            <w:vAlign w:val="bottom"/>
          </w:tcPr>
          <w:p w14:paraId="7F628545" w14:textId="60F36227" w:rsidR="000144FF" w:rsidRPr="00627844" w:rsidRDefault="000144FF">
            <w:pPr>
              <w:pStyle w:val="TableText"/>
              <w:tabs>
                <w:tab w:val="left" w:pos="3306"/>
              </w:tabs>
              <w:jc w:val="right"/>
              <w:rPr>
                <w:rFonts w:cs="Calibri"/>
              </w:rPr>
            </w:pPr>
          </w:p>
        </w:tc>
        <w:tc>
          <w:tcPr>
            <w:tcW w:w="676" w:type="pct"/>
            <w:tcBorders>
              <w:top w:val="nil"/>
              <w:left w:val="nil"/>
              <w:bottom w:val="single" w:sz="2" w:space="0" w:color="auto"/>
              <w:right w:val="nil"/>
            </w:tcBorders>
            <w:vAlign w:val="bottom"/>
          </w:tcPr>
          <w:p w14:paraId="019FA01B" w14:textId="74B86479" w:rsidR="000144FF" w:rsidRPr="00627844" w:rsidRDefault="000144FF">
            <w:pPr>
              <w:pStyle w:val="TableText"/>
              <w:tabs>
                <w:tab w:val="left" w:pos="3306"/>
              </w:tabs>
              <w:jc w:val="right"/>
              <w:rPr>
                <w:rFonts w:cs="Calibri"/>
              </w:rPr>
            </w:pPr>
          </w:p>
        </w:tc>
      </w:tr>
      <w:tr w:rsidR="000144FF" w:rsidRPr="00CF7E1B" w14:paraId="731DDEA2" w14:textId="77777777" w:rsidTr="002F4A89">
        <w:trPr>
          <w:cantSplit/>
          <w:trHeight w:val="23"/>
        </w:trPr>
        <w:tc>
          <w:tcPr>
            <w:tcW w:w="746" w:type="pct"/>
            <w:tcBorders>
              <w:top w:val="nil"/>
              <w:left w:val="single" w:sz="2" w:space="0" w:color="auto"/>
              <w:bottom w:val="nil"/>
              <w:right w:val="single" w:sz="2" w:space="0" w:color="auto"/>
            </w:tcBorders>
          </w:tcPr>
          <w:p w14:paraId="6BF045B5" w14:textId="77777777" w:rsidR="000144FF" w:rsidRPr="00627844" w:rsidRDefault="0063319D">
            <w:pPr>
              <w:pStyle w:val="TableReference"/>
              <w:tabs>
                <w:tab w:val="left" w:pos="3306"/>
              </w:tabs>
              <w:spacing w:before="40"/>
              <w:rPr>
                <w:rFonts w:cs="Calibri"/>
                <w:color w:val="7030A0"/>
                <w:sz w:val="14"/>
              </w:rPr>
            </w:pPr>
            <w:r w:rsidRPr="00627844">
              <w:rPr>
                <w:rFonts w:cs="Calibri"/>
                <w:color w:val="7030A0"/>
                <w:sz w:val="14"/>
              </w:rPr>
              <w:t>137.60</w:t>
            </w:r>
          </w:p>
        </w:tc>
        <w:tc>
          <w:tcPr>
            <w:tcW w:w="2824" w:type="pct"/>
            <w:gridSpan w:val="2"/>
            <w:tcBorders>
              <w:top w:val="nil"/>
              <w:left w:val="single" w:sz="2" w:space="0" w:color="auto"/>
              <w:bottom w:val="nil"/>
              <w:right w:val="nil"/>
            </w:tcBorders>
            <w:vAlign w:val="bottom"/>
          </w:tcPr>
          <w:p w14:paraId="7BAF2617" w14:textId="77777777" w:rsidR="000144FF" w:rsidRPr="00627844" w:rsidRDefault="000144FF">
            <w:pPr>
              <w:pStyle w:val="TableText"/>
              <w:tabs>
                <w:tab w:val="left" w:pos="3306"/>
              </w:tabs>
              <w:rPr>
                <w:rFonts w:cs="Calibri"/>
                <w:b/>
                <w:bCs/>
              </w:rPr>
            </w:pPr>
            <w:bookmarkStart w:id="456" w:name="_Toc48468473"/>
            <w:bookmarkStart w:id="457" w:name="_Toc49155592"/>
            <w:bookmarkStart w:id="458" w:name="_Toc49224041"/>
            <w:r w:rsidRPr="00627844">
              <w:rPr>
                <w:rFonts w:cs="Calibri"/>
                <w:b/>
                <w:bCs/>
              </w:rPr>
              <w:t>Total Borrowing Cost</w:t>
            </w:r>
            <w:bookmarkEnd w:id="456"/>
            <w:bookmarkEnd w:id="457"/>
            <w:bookmarkEnd w:id="458"/>
            <w:r w:rsidR="00D17322" w:rsidRPr="00627844">
              <w:rPr>
                <w:rFonts w:cs="Calibri"/>
                <w:b/>
                <w:bCs/>
              </w:rPr>
              <w:t>s</w:t>
            </w:r>
          </w:p>
        </w:tc>
        <w:tc>
          <w:tcPr>
            <w:tcW w:w="754" w:type="pct"/>
            <w:gridSpan w:val="2"/>
            <w:tcBorders>
              <w:top w:val="single" w:sz="2" w:space="0" w:color="auto"/>
              <w:left w:val="nil"/>
              <w:bottom w:val="double" w:sz="4" w:space="0" w:color="auto"/>
              <w:right w:val="nil"/>
            </w:tcBorders>
            <w:vAlign w:val="bottom"/>
          </w:tcPr>
          <w:p w14:paraId="09552B95" w14:textId="255F2743" w:rsidR="000144FF" w:rsidRPr="00627844" w:rsidRDefault="000144FF">
            <w:pPr>
              <w:pStyle w:val="TableText"/>
              <w:tabs>
                <w:tab w:val="left" w:pos="3306"/>
              </w:tabs>
              <w:jc w:val="right"/>
              <w:rPr>
                <w:rFonts w:cs="Calibri"/>
                <w:b/>
                <w:bCs/>
              </w:rPr>
            </w:pPr>
          </w:p>
        </w:tc>
        <w:tc>
          <w:tcPr>
            <w:tcW w:w="676" w:type="pct"/>
            <w:tcBorders>
              <w:top w:val="single" w:sz="2" w:space="0" w:color="auto"/>
              <w:left w:val="nil"/>
              <w:bottom w:val="double" w:sz="4" w:space="0" w:color="auto"/>
              <w:right w:val="nil"/>
            </w:tcBorders>
            <w:vAlign w:val="bottom"/>
          </w:tcPr>
          <w:p w14:paraId="2375A3E9" w14:textId="74095718" w:rsidR="000144FF" w:rsidRPr="00627844" w:rsidRDefault="000144FF">
            <w:pPr>
              <w:pStyle w:val="TableText"/>
              <w:tabs>
                <w:tab w:val="left" w:pos="3306"/>
              </w:tabs>
              <w:jc w:val="right"/>
              <w:rPr>
                <w:rFonts w:cs="Calibri"/>
                <w:b/>
                <w:bCs/>
              </w:rPr>
            </w:pPr>
          </w:p>
        </w:tc>
      </w:tr>
      <w:tr w:rsidR="00661AF6" w:rsidRPr="00CF7E1B" w14:paraId="00968807" w14:textId="77777777" w:rsidTr="002F4A89">
        <w:trPr>
          <w:cantSplit/>
          <w:trHeight w:val="23"/>
        </w:trPr>
        <w:tc>
          <w:tcPr>
            <w:tcW w:w="746" w:type="pct"/>
            <w:tcBorders>
              <w:top w:val="nil"/>
              <w:left w:val="single" w:sz="2" w:space="0" w:color="auto"/>
              <w:bottom w:val="nil"/>
              <w:right w:val="single" w:sz="2" w:space="0" w:color="auto"/>
            </w:tcBorders>
          </w:tcPr>
          <w:p w14:paraId="5BF2E782" w14:textId="77777777" w:rsidR="00661AF6" w:rsidRPr="00627844" w:rsidRDefault="00661AF6" w:rsidP="00661AF6">
            <w:pPr>
              <w:pStyle w:val="TableReference"/>
              <w:tabs>
                <w:tab w:val="left" w:pos="3306"/>
              </w:tabs>
              <w:spacing w:before="40"/>
              <w:rPr>
                <w:rFonts w:cs="Calibri"/>
                <w:color w:val="7030A0"/>
                <w:sz w:val="14"/>
              </w:rPr>
            </w:pPr>
          </w:p>
        </w:tc>
        <w:tc>
          <w:tcPr>
            <w:tcW w:w="4254" w:type="pct"/>
            <w:gridSpan w:val="5"/>
            <w:tcBorders>
              <w:top w:val="nil"/>
              <w:left w:val="single" w:sz="2" w:space="0" w:color="auto"/>
              <w:bottom w:val="nil"/>
              <w:right w:val="nil"/>
            </w:tcBorders>
          </w:tcPr>
          <w:p w14:paraId="6FE007C2" w14:textId="5DEC2D0F" w:rsidR="00661AF6" w:rsidRPr="00627844" w:rsidRDefault="00661AF6" w:rsidP="00BF37AB">
            <w:pPr>
              <w:pStyle w:val="TableText"/>
              <w:tabs>
                <w:tab w:val="left" w:pos="3306"/>
              </w:tabs>
              <w:spacing w:before="240"/>
              <w:jc w:val="both"/>
              <w:rPr>
                <w:rFonts w:cs="Calibri"/>
              </w:rPr>
            </w:pPr>
            <w:r w:rsidRPr="00627844">
              <w:rPr>
                <w:rFonts w:cs="Calibri"/>
              </w:rPr>
              <w:t xml:space="preserve">For more information in relation to service concession arrangements refer to Note </w:t>
            </w:r>
            <w:r w:rsidR="00E7007E">
              <w:rPr>
                <w:rFonts w:cs="Calibri"/>
              </w:rPr>
              <w:t>39</w:t>
            </w:r>
            <w:r w:rsidRPr="00627844">
              <w:rPr>
                <w:rFonts w:cs="Calibri"/>
              </w:rPr>
              <w:t xml:space="preserve"> </w:t>
            </w:r>
            <w:r w:rsidRPr="00AB1649">
              <w:rPr>
                <w:rFonts w:cs="Calibri"/>
              </w:rPr>
              <w:t>Service Concession Arrangements</w:t>
            </w:r>
            <w:r w:rsidRPr="00627844">
              <w:rPr>
                <w:rFonts w:cs="Calibri"/>
              </w:rPr>
              <w:t>.</w:t>
            </w:r>
          </w:p>
        </w:tc>
      </w:tr>
      <w:tr w:rsidR="00661AF6" w:rsidRPr="00CF7E1B" w14:paraId="491C95B2" w14:textId="77777777" w:rsidTr="002F4A89">
        <w:trPr>
          <w:cantSplit/>
          <w:trHeight w:val="23"/>
        </w:trPr>
        <w:tc>
          <w:tcPr>
            <w:tcW w:w="746" w:type="pct"/>
            <w:tcBorders>
              <w:top w:val="nil"/>
              <w:left w:val="single" w:sz="2" w:space="0" w:color="auto"/>
              <w:bottom w:val="nil"/>
              <w:right w:val="single" w:sz="2" w:space="0" w:color="auto"/>
            </w:tcBorders>
          </w:tcPr>
          <w:p w14:paraId="52B83109" w14:textId="77777777" w:rsidR="00661AF6" w:rsidRPr="00627844" w:rsidRDefault="00661AF6" w:rsidP="00661AF6">
            <w:pPr>
              <w:pStyle w:val="TableReference"/>
              <w:tabs>
                <w:tab w:val="left" w:pos="3306"/>
              </w:tabs>
              <w:spacing w:before="40"/>
              <w:rPr>
                <w:rFonts w:cs="Calibri"/>
                <w:color w:val="7030A0"/>
                <w:sz w:val="14"/>
              </w:rPr>
            </w:pPr>
          </w:p>
        </w:tc>
        <w:tc>
          <w:tcPr>
            <w:tcW w:w="2824" w:type="pct"/>
            <w:gridSpan w:val="2"/>
            <w:tcBorders>
              <w:top w:val="nil"/>
              <w:left w:val="single" w:sz="2" w:space="0" w:color="auto"/>
              <w:bottom w:val="nil"/>
              <w:right w:val="nil"/>
            </w:tcBorders>
            <w:vAlign w:val="bottom"/>
          </w:tcPr>
          <w:p w14:paraId="7F3E098C" w14:textId="77777777" w:rsidR="00661AF6" w:rsidRPr="00B91A27" w:rsidRDefault="00661AF6" w:rsidP="00661AF6">
            <w:pPr>
              <w:pStyle w:val="TableText"/>
              <w:tabs>
                <w:tab w:val="left" w:pos="3306"/>
              </w:tabs>
              <w:rPr>
                <w:rFonts w:cs="Calibri"/>
              </w:rPr>
            </w:pPr>
          </w:p>
        </w:tc>
        <w:tc>
          <w:tcPr>
            <w:tcW w:w="754" w:type="pct"/>
            <w:gridSpan w:val="2"/>
            <w:tcBorders>
              <w:top w:val="nil"/>
              <w:left w:val="nil"/>
              <w:bottom w:val="nil"/>
              <w:right w:val="nil"/>
            </w:tcBorders>
            <w:vAlign w:val="bottom"/>
          </w:tcPr>
          <w:p w14:paraId="0A01338D" w14:textId="77777777" w:rsidR="00661AF6" w:rsidRPr="00B91A27" w:rsidRDefault="00661AF6" w:rsidP="00661AF6">
            <w:pPr>
              <w:pStyle w:val="TableText"/>
              <w:tabs>
                <w:tab w:val="left" w:pos="3306"/>
              </w:tabs>
              <w:jc w:val="right"/>
              <w:rPr>
                <w:rFonts w:cs="Calibri"/>
              </w:rPr>
            </w:pPr>
          </w:p>
        </w:tc>
        <w:tc>
          <w:tcPr>
            <w:tcW w:w="676" w:type="pct"/>
            <w:tcBorders>
              <w:top w:val="nil"/>
              <w:left w:val="nil"/>
              <w:bottom w:val="nil"/>
              <w:right w:val="nil"/>
            </w:tcBorders>
            <w:vAlign w:val="bottom"/>
          </w:tcPr>
          <w:p w14:paraId="6B236D14" w14:textId="77777777" w:rsidR="00661AF6" w:rsidRPr="00B91A27" w:rsidRDefault="00661AF6" w:rsidP="00661AF6">
            <w:pPr>
              <w:pStyle w:val="TableText"/>
              <w:tabs>
                <w:tab w:val="left" w:pos="3306"/>
              </w:tabs>
              <w:jc w:val="right"/>
              <w:rPr>
                <w:rFonts w:cs="Calibri"/>
              </w:rPr>
            </w:pPr>
          </w:p>
        </w:tc>
      </w:tr>
      <w:tr w:rsidR="00661AF6" w:rsidRPr="00CF7E1B" w14:paraId="461E94AF" w14:textId="77777777" w:rsidTr="002F4A89">
        <w:trPr>
          <w:cantSplit/>
          <w:trHeight w:hRule="exact" w:val="545"/>
        </w:trPr>
        <w:tc>
          <w:tcPr>
            <w:tcW w:w="746" w:type="pct"/>
            <w:tcBorders>
              <w:top w:val="nil"/>
              <w:left w:val="single" w:sz="2" w:space="0" w:color="auto"/>
              <w:bottom w:val="nil"/>
              <w:right w:val="single" w:sz="2" w:space="0" w:color="auto"/>
            </w:tcBorders>
            <w:vAlign w:val="bottom"/>
          </w:tcPr>
          <w:p w14:paraId="29ED3369" w14:textId="77777777" w:rsidR="00661AF6" w:rsidRPr="00627844" w:rsidRDefault="00661AF6" w:rsidP="00661AF6">
            <w:pPr>
              <w:pStyle w:val="CommentaryReference"/>
              <w:rPr>
                <w:rFonts w:cs="Calibri"/>
                <w:color w:val="7030A0"/>
                <w:szCs w:val="14"/>
              </w:rPr>
            </w:pPr>
          </w:p>
        </w:tc>
        <w:tc>
          <w:tcPr>
            <w:tcW w:w="4254" w:type="pct"/>
            <w:gridSpan w:val="5"/>
            <w:tcBorders>
              <w:top w:val="nil"/>
              <w:left w:val="single" w:sz="2" w:space="0" w:color="auto"/>
              <w:bottom w:val="nil"/>
              <w:right w:val="nil"/>
            </w:tcBorders>
            <w:shd w:val="clear" w:color="auto" w:fill="7030A0"/>
          </w:tcPr>
          <w:p w14:paraId="0BDA05D6" w14:textId="26042DFE" w:rsidR="00661AF6" w:rsidRPr="00627844" w:rsidRDefault="00661AF6" w:rsidP="00661AF6">
            <w:pPr>
              <w:pStyle w:val="CommentaryTitle"/>
              <w:spacing w:after="240"/>
              <w:rPr>
                <w:rFonts w:cs="Calibri"/>
                <w:color w:val="FFFFFF" w:themeColor="background1"/>
                <w:sz w:val="28"/>
                <w:szCs w:val="28"/>
              </w:rPr>
            </w:pPr>
            <w:bookmarkStart w:id="459" w:name="_Toc163106333"/>
            <w:r w:rsidRPr="00627844">
              <w:rPr>
                <w:rFonts w:cs="Calibri"/>
                <w:color w:val="FFFFFF" w:themeColor="background1"/>
                <w:sz w:val="28"/>
                <w:szCs w:val="28"/>
              </w:rPr>
              <w:t xml:space="preserve">Commentary – Note </w:t>
            </w:r>
            <w:r w:rsidR="003A4053" w:rsidRPr="00627844">
              <w:rPr>
                <w:rFonts w:cs="Calibri"/>
                <w:color w:val="FFFFFF" w:themeColor="background1"/>
                <w:sz w:val="28"/>
                <w:szCs w:val="28"/>
              </w:rPr>
              <w:t>1</w:t>
            </w:r>
            <w:r w:rsidR="00126C02" w:rsidRPr="00627844">
              <w:rPr>
                <w:rFonts w:cs="Calibri"/>
                <w:color w:val="FFFFFF" w:themeColor="background1"/>
                <w:sz w:val="28"/>
                <w:szCs w:val="28"/>
              </w:rPr>
              <w:t>3</w:t>
            </w:r>
            <w:r w:rsidRPr="00627844">
              <w:rPr>
                <w:rFonts w:cs="Calibri"/>
                <w:color w:val="FFFFFF" w:themeColor="background1"/>
                <w:sz w:val="28"/>
                <w:szCs w:val="28"/>
              </w:rPr>
              <w:t>: Borrowing Costs</w:t>
            </w:r>
            <w:bookmarkEnd w:id="459"/>
          </w:p>
        </w:tc>
      </w:tr>
      <w:tr w:rsidR="00661AF6" w:rsidRPr="00CF7E1B" w14:paraId="2ACC767B" w14:textId="77777777" w:rsidTr="002F4A89">
        <w:trPr>
          <w:cantSplit/>
        </w:trPr>
        <w:tc>
          <w:tcPr>
            <w:tcW w:w="746" w:type="pct"/>
            <w:tcBorders>
              <w:top w:val="nil"/>
              <w:left w:val="single" w:sz="2" w:space="0" w:color="auto"/>
              <w:bottom w:val="nil"/>
              <w:right w:val="single" w:sz="2" w:space="0" w:color="auto"/>
            </w:tcBorders>
          </w:tcPr>
          <w:p w14:paraId="1E3AC6AB" w14:textId="77777777" w:rsidR="00661AF6" w:rsidRPr="00627844" w:rsidRDefault="00661AF6" w:rsidP="00661AF6">
            <w:pPr>
              <w:pStyle w:val="CommentaryReference"/>
              <w:spacing w:before="60"/>
              <w:rPr>
                <w:rFonts w:cs="Calibri"/>
                <w:color w:val="7030A0"/>
                <w:szCs w:val="14"/>
              </w:rPr>
            </w:pPr>
            <w:r w:rsidRPr="00627844">
              <w:rPr>
                <w:rFonts w:cs="Calibri"/>
                <w:color w:val="7030A0"/>
                <w:szCs w:val="14"/>
              </w:rPr>
              <w:t>AASB 123.6</w:t>
            </w:r>
          </w:p>
          <w:p w14:paraId="4FE45C0C" w14:textId="77777777" w:rsidR="00661AF6" w:rsidRPr="00627844" w:rsidRDefault="00661AF6" w:rsidP="00661AF6">
            <w:pPr>
              <w:pStyle w:val="CommentaryReference"/>
              <w:spacing w:before="60"/>
              <w:rPr>
                <w:rFonts w:cs="Calibri"/>
                <w:color w:val="7030A0"/>
                <w:szCs w:val="14"/>
              </w:rPr>
            </w:pPr>
          </w:p>
          <w:p w14:paraId="06AC0E9B" w14:textId="77777777" w:rsidR="00661AF6" w:rsidRPr="00627844" w:rsidRDefault="00661AF6" w:rsidP="00661AF6">
            <w:pPr>
              <w:pStyle w:val="CommentaryReference"/>
              <w:spacing w:before="60"/>
              <w:rPr>
                <w:rFonts w:cs="Calibri"/>
                <w:color w:val="7030A0"/>
                <w:szCs w:val="14"/>
              </w:rPr>
            </w:pPr>
          </w:p>
          <w:p w14:paraId="11B90669" w14:textId="77777777" w:rsidR="00661AF6" w:rsidRPr="00627844" w:rsidRDefault="00661AF6" w:rsidP="00661AF6">
            <w:pPr>
              <w:pStyle w:val="CommentaryReference"/>
              <w:spacing w:before="60"/>
              <w:rPr>
                <w:rFonts w:cs="Calibri"/>
                <w:color w:val="7030A0"/>
                <w:szCs w:val="14"/>
              </w:rPr>
            </w:pPr>
          </w:p>
          <w:p w14:paraId="0237A32B" w14:textId="77777777" w:rsidR="00661AF6" w:rsidRPr="00627844" w:rsidRDefault="00661AF6" w:rsidP="00661AF6">
            <w:pPr>
              <w:pStyle w:val="CommentaryReference"/>
              <w:spacing w:before="60"/>
              <w:rPr>
                <w:rFonts w:cs="Calibri"/>
                <w:color w:val="7030A0"/>
                <w:szCs w:val="14"/>
              </w:rPr>
            </w:pPr>
          </w:p>
          <w:p w14:paraId="2B7B64DD" w14:textId="77777777" w:rsidR="00661AF6" w:rsidRPr="00627844" w:rsidRDefault="00661AF6" w:rsidP="00661AF6">
            <w:pPr>
              <w:pStyle w:val="CommentaryReference"/>
              <w:spacing w:before="60"/>
              <w:rPr>
                <w:rFonts w:cs="Calibri"/>
                <w:color w:val="7030A0"/>
                <w:szCs w:val="14"/>
              </w:rPr>
            </w:pPr>
            <w:r w:rsidRPr="00627844">
              <w:rPr>
                <w:rFonts w:cs="Calibri"/>
                <w:color w:val="7030A0"/>
                <w:szCs w:val="14"/>
              </w:rPr>
              <w:t>AASB 16.49</w:t>
            </w:r>
          </w:p>
          <w:p w14:paraId="37D94DA0" w14:textId="77777777" w:rsidR="00661AF6" w:rsidRPr="00627844" w:rsidRDefault="00661AF6" w:rsidP="00661AF6">
            <w:pPr>
              <w:pStyle w:val="CommentaryReference"/>
              <w:spacing w:before="60"/>
              <w:rPr>
                <w:rFonts w:cs="Calibri"/>
                <w:color w:val="7030A0"/>
                <w:szCs w:val="14"/>
              </w:rPr>
            </w:pPr>
            <w:r w:rsidRPr="00627844">
              <w:rPr>
                <w:rFonts w:cs="Calibri"/>
                <w:color w:val="7030A0"/>
                <w:szCs w:val="14"/>
              </w:rPr>
              <w:t>AASB137.60</w:t>
            </w:r>
          </w:p>
        </w:tc>
        <w:tc>
          <w:tcPr>
            <w:tcW w:w="4254" w:type="pct"/>
            <w:gridSpan w:val="5"/>
            <w:tcBorders>
              <w:top w:val="nil"/>
              <w:left w:val="single" w:sz="2" w:space="0" w:color="auto"/>
              <w:bottom w:val="nil"/>
              <w:right w:val="nil"/>
            </w:tcBorders>
            <w:shd w:val="clear" w:color="auto" w:fill="7030A0"/>
          </w:tcPr>
          <w:p w14:paraId="2683CDB7" w14:textId="77777777" w:rsidR="00661AF6" w:rsidRPr="00627844" w:rsidRDefault="00661AF6" w:rsidP="00661AF6">
            <w:pPr>
              <w:pStyle w:val="CommentaryText"/>
              <w:rPr>
                <w:rFonts w:cs="Calibri"/>
                <w:color w:val="FFFFFF" w:themeColor="background1"/>
                <w:sz w:val="18"/>
                <w:szCs w:val="18"/>
              </w:rPr>
            </w:pPr>
            <w:r w:rsidRPr="00627844">
              <w:rPr>
                <w:rFonts w:cs="Calibri"/>
                <w:color w:val="FFFFFF" w:themeColor="background1"/>
                <w:sz w:val="18"/>
                <w:szCs w:val="18"/>
              </w:rPr>
              <w:t>Borrowing costs may include:</w:t>
            </w:r>
          </w:p>
          <w:p w14:paraId="6FABF8B6" w14:textId="056C2A61" w:rsidR="00661AF6" w:rsidRPr="00627844" w:rsidRDefault="00661AF6" w:rsidP="007122BC">
            <w:pPr>
              <w:pStyle w:val="CommentaryText"/>
              <w:numPr>
                <w:ilvl w:val="0"/>
                <w:numId w:val="9"/>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interest on bank overdrafts and short-term and long-term borrowings;</w:t>
            </w:r>
          </w:p>
          <w:p w14:paraId="33715674" w14:textId="222A6356" w:rsidR="00661AF6" w:rsidRPr="00627844" w:rsidRDefault="00661AF6" w:rsidP="007122BC">
            <w:pPr>
              <w:pStyle w:val="CommentaryText"/>
              <w:numPr>
                <w:ilvl w:val="0"/>
                <w:numId w:val="9"/>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 xml:space="preserve">interest in respect of lease liabilities recognised in accordance with AASB 16 </w:t>
            </w:r>
            <w:r w:rsidRPr="00627844">
              <w:rPr>
                <w:rFonts w:cs="Calibri"/>
                <w:i/>
                <w:iCs/>
                <w:color w:val="FFFFFF" w:themeColor="background1"/>
                <w:sz w:val="18"/>
                <w:szCs w:val="18"/>
              </w:rPr>
              <w:t>Leases</w:t>
            </w:r>
            <w:r w:rsidRPr="00627844">
              <w:rPr>
                <w:rFonts w:cs="Calibri"/>
                <w:color w:val="FFFFFF" w:themeColor="background1"/>
                <w:sz w:val="18"/>
                <w:szCs w:val="18"/>
              </w:rPr>
              <w:t>; and</w:t>
            </w:r>
          </w:p>
          <w:p w14:paraId="1E0E6F31" w14:textId="75F0FD92" w:rsidR="00661AF6" w:rsidRPr="00627844" w:rsidRDefault="00661AF6" w:rsidP="007122BC">
            <w:pPr>
              <w:pStyle w:val="CommentaryText"/>
              <w:numPr>
                <w:ilvl w:val="0"/>
                <w:numId w:val="9"/>
              </w:numPr>
              <w:tabs>
                <w:tab w:val="clear" w:pos="720"/>
                <w:tab w:val="num" w:pos="318"/>
              </w:tabs>
              <w:spacing w:after="60"/>
              <w:ind w:left="318" w:hanging="318"/>
              <w:rPr>
                <w:rFonts w:cs="Calibri"/>
                <w:color w:val="FFFFFF" w:themeColor="background1"/>
                <w:sz w:val="18"/>
                <w:szCs w:val="18"/>
              </w:rPr>
            </w:pPr>
            <w:r w:rsidRPr="00627844">
              <w:rPr>
                <w:rFonts w:cs="Calibri"/>
                <w:color w:val="FFFFFF" w:themeColor="background1"/>
                <w:sz w:val="18"/>
                <w:szCs w:val="18"/>
              </w:rPr>
              <w:t>the finance cost for the unwinding of the discount on make good provisions (recognised in accordance with AASB Interpretation 1.8).</w:t>
            </w:r>
          </w:p>
        </w:tc>
      </w:tr>
      <w:tr w:rsidR="00661AF6" w:rsidRPr="00CF7E1B" w14:paraId="07A0BC7C" w14:textId="77777777" w:rsidTr="002F4A89">
        <w:trPr>
          <w:cantSplit/>
        </w:trPr>
        <w:tc>
          <w:tcPr>
            <w:tcW w:w="746" w:type="pct"/>
            <w:tcBorders>
              <w:top w:val="nil"/>
              <w:left w:val="single" w:sz="2" w:space="0" w:color="auto"/>
              <w:bottom w:val="nil"/>
              <w:right w:val="single" w:sz="2" w:space="0" w:color="auto"/>
            </w:tcBorders>
          </w:tcPr>
          <w:p w14:paraId="00EA11B2" w14:textId="77777777" w:rsidR="00661AF6" w:rsidRPr="00627844" w:rsidRDefault="00661AF6" w:rsidP="00661AF6">
            <w:pPr>
              <w:pStyle w:val="CommentaryReference"/>
              <w:spacing w:before="60"/>
              <w:rPr>
                <w:rFonts w:cs="Calibri"/>
                <w:color w:val="7030A0"/>
                <w:szCs w:val="14"/>
              </w:rPr>
            </w:pPr>
            <w:r w:rsidRPr="00627844">
              <w:rPr>
                <w:rFonts w:cs="Calibri"/>
                <w:color w:val="7030A0"/>
                <w:szCs w:val="14"/>
              </w:rPr>
              <w:t>AASB 123.Aus 26.1</w:t>
            </w:r>
          </w:p>
        </w:tc>
        <w:tc>
          <w:tcPr>
            <w:tcW w:w="4254" w:type="pct"/>
            <w:gridSpan w:val="5"/>
            <w:tcBorders>
              <w:top w:val="nil"/>
              <w:left w:val="single" w:sz="2" w:space="0" w:color="auto"/>
              <w:bottom w:val="nil"/>
              <w:right w:val="nil"/>
            </w:tcBorders>
            <w:shd w:val="clear" w:color="auto" w:fill="7030A0"/>
          </w:tcPr>
          <w:p w14:paraId="2EB5984E" w14:textId="33594B9C" w:rsidR="00661AF6" w:rsidRPr="00627844" w:rsidRDefault="00661AF6" w:rsidP="00661AF6">
            <w:pPr>
              <w:pStyle w:val="CommentaryText"/>
              <w:rPr>
                <w:rFonts w:cs="Calibri"/>
                <w:color w:val="FFFFFF" w:themeColor="background1"/>
                <w:sz w:val="18"/>
                <w:szCs w:val="18"/>
              </w:rPr>
            </w:pPr>
            <w:r w:rsidRPr="00627844">
              <w:rPr>
                <w:rFonts w:cs="Calibri"/>
                <w:color w:val="FFFFFF" w:themeColor="background1"/>
                <w:sz w:val="18"/>
                <w:szCs w:val="18"/>
              </w:rPr>
              <w:t>The financial statements shall disclose the accounting policy adopted for borrowing costs.</w:t>
            </w:r>
            <w:r w:rsidR="00FA7C77">
              <w:rPr>
                <w:rFonts w:cs="Calibri"/>
                <w:color w:val="FFFFFF" w:themeColor="background1"/>
                <w:sz w:val="18"/>
                <w:szCs w:val="18"/>
              </w:rPr>
              <w:t xml:space="preserve"> </w:t>
            </w:r>
            <w:r w:rsidRPr="00627844">
              <w:rPr>
                <w:rFonts w:cs="Calibri"/>
                <w:color w:val="FFFFFF" w:themeColor="background1"/>
                <w:sz w:val="18"/>
                <w:szCs w:val="18"/>
              </w:rPr>
              <w:t xml:space="preserve">This policy should be included in </w:t>
            </w:r>
            <w:r w:rsidR="001E7E5D" w:rsidRPr="00627844">
              <w:rPr>
                <w:rFonts w:cs="Calibri"/>
                <w:color w:val="FFFFFF" w:themeColor="background1"/>
                <w:sz w:val="18"/>
                <w:szCs w:val="18"/>
              </w:rPr>
              <w:t>this note</w:t>
            </w:r>
            <w:r w:rsidRPr="00627844">
              <w:rPr>
                <w:rFonts w:cs="Calibri"/>
                <w:color w:val="FFFFFF" w:themeColor="background1"/>
                <w:sz w:val="18"/>
                <w:szCs w:val="18"/>
              </w:rPr>
              <w:t>.</w:t>
            </w:r>
          </w:p>
        </w:tc>
      </w:tr>
      <w:tr w:rsidR="00661AF6" w:rsidRPr="00CF7E1B" w14:paraId="23EF494E" w14:textId="77777777" w:rsidTr="002F4A89">
        <w:trPr>
          <w:cantSplit/>
          <w:trHeight w:val="627"/>
        </w:trPr>
        <w:tc>
          <w:tcPr>
            <w:tcW w:w="746" w:type="pct"/>
            <w:tcBorders>
              <w:top w:val="nil"/>
              <w:left w:val="single" w:sz="2" w:space="0" w:color="auto"/>
              <w:bottom w:val="nil"/>
              <w:right w:val="single" w:sz="2" w:space="0" w:color="auto"/>
            </w:tcBorders>
          </w:tcPr>
          <w:p w14:paraId="3C6B9F5A" w14:textId="77777777" w:rsidR="00661AF6" w:rsidRPr="00627844" w:rsidRDefault="00661AF6" w:rsidP="00661AF6">
            <w:pPr>
              <w:pStyle w:val="CommentaryReference"/>
              <w:spacing w:before="60"/>
              <w:rPr>
                <w:rFonts w:cs="Calibri"/>
                <w:color w:val="7030A0"/>
                <w:szCs w:val="14"/>
              </w:rPr>
            </w:pPr>
            <w:r w:rsidRPr="00627844">
              <w:rPr>
                <w:rFonts w:cs="Calibri"/>
                <w:color w:val="7030A0"/>
                <w:szCs w:val="14"/>
              </w:rPr>
              <w:t>AASB 123.Aus 8</w:t>
            </w:r>
          </w:p>
          <w:p w14:paraId="111429C4" w14:textId="77777777" w:rsidR="003E6734" w:rsidRPr="00627844" w:rsidRDefault="003E6734" w:rsidP="003E6734">
            <w:pPr>
              <w:pStyle w:val="CommentaryReference"/>
              <w:spacing w:before="60"/>
              <w:rPr>
                <w:rFonts w:cs="Calibri"/>
                <w:color w:val="7030A0"/>
                <w:szCs w:val="14"/>
              </w:rPr>
            </w:pPr>
            <w:r w:rsidRPr="00627844">
              <w:rPr>
                <w:rFonts w:cs="Calibri"/>
                <w:color w:val="7030A0"/>
                <w:szCs w:val="14"/>
              </w:rPr>
              <w:t>AASB 123.Aus 8.1</w:t>
            </w:r>
          </w:p>
          <w:p w14:paraId="7D24F33C" w14:textId="04185572" w:rsidR="00661AF6" w:rsidRPr="00627844" w:rsidRDefault="003E6734" w:rsidP="00036F8C">
            <w:pPr>
              <w:pStyle w:val="CommentaryReference"/>
              <w:spacing w:before="60"/>
              <w:rPr>
                <w:rFonts w:cs="Calibri"/>
                <w:color w:val="7030A0"/>
                <w:szCs w:val="14"/>
              </w:rPr>
            </w:pPr>
            <w:r w:rsidRPr="00627844">
              <w:rPr>
                <w:rFonts w:cs="Calibri"/>
                <w:color w:val="7030A0"/>
                <w:szCs w:val="14"/>
              </w:rPr>
              <w:t>ACT Accounting Policy</w:t>
            </w:r>
          </w:p>
        </w:tc>
        <w:tc>
          <w:tcPr>
            <w:tcW w:w="4254" w:type="pct"/>
            <w:gridSpan w:val="5"/>
            <w:tcBorders>
              <w:top w:val="nil"/>
              <w:left w:val="single" w:sz="2" w:space="0" w:color="auto"/>
              <w:bottom w:val="nil"/>
              <w:right w:val="nil"/>
            </w:tcBorders>
            <w:shd w:val="clear" w:color="auto" w:fill="7030A0"/>
          </w:tcPr>
          <w:p w14:paraId="68F89815" w14:textId="7C478205" w:rsidR="00661AF6" w:rsidRPr="00627844" w:rsidRDefault="00196AA5" w:rsidP="00036F8C">
            <w:pPr>
              <w:pStyle w:val="CommentaryText"/>
              <w:rPr>
                <w:rFonts w:cs="Calibri"/>
                <w:color w:val="FFFFFF" w:themeColor="background1"/>
                <w:sz w:val="18"/>
                <w:szCs w:val="18"/>
              </w:rPr>
            </w:pPr>
            <w:r w:rsidRPr="00627844">
              <w:rPr>
                <w:rFonts w:cs="Calibri"/>
                <w:color w:val="FFFFFF" w:themeColor="background1"/>
                <w:sz w:val="18"/>
                <w:szCs w:val="18"/>
              </w:rPr>
              <w:t>A</w:t>
            </w:r>
            <w:r w:rsidR="00661AF6" w:rsidRPr="00627844">
              <w:rPr>
                <w:rFonts w:cs="Calibri"/>
                <w:color w:val="FFFFFF" w:themeColor="background1"/>
                <w:sz w:val="18"/>
                <w:szCs w:val="18"/>
              </w:rPr>
              <w:t xml:space="preserve">n entity </w:t>
            </w:r>
            <w:r w:rsidR="00F708E9" w:rsidRPr="00627844">
              <w:rPr>
                <w:rFonts w:cs="Calibri"/>
                <w:color w:val="FFFFFF" w:themeColor="background1"/>
                <w:sz w:val="18"/>
                <w:szCs w:val="18"/>
              </w:rPr>
              <w:t xml:space="preserve">must </w:t>
            </w:r>
            <w:r w:rsidR="00661AF6" w:rsidRPr="00627844">
              <w:rPr>
                <w:rFonts w:cs="Calibri"/>
                <w:color w:val="FFFFFF" w:themeColor="background1"/>
                <w:sz w:val="18"/>
                <w:szCs w:val="18"/>
              </w:rPr>
              <w:t>capitalise borrowing costs that are directly attributable to the acquisition, construction or production of a qualifying asset as part of the cost of that asset</w:t>
            </w:r>
            <w:r w:rsidR="00F708E9" w:rsidRPr="00627844">
              <w:rPr>
                <w:rFonts w:cs="Calibri"/>
                <w:color w:val="FFFFFF" w:themeColor="background1"/>
                <w:sz w:val="18"/>
                <w:szCs w:val="18"/>
              </w:rPr>
              <w:t xml:space="preserve">, unless the entity </w:t>
            </w:r>
            <w:r w:rsidR="001F5CBC" w:rsidRPr="00627844">
              <w:rPr>
                <w:rFonts w:cs="Calibri"/>
                <w:color w:val="FFFFFF" w:themeColor="background1"/>
                <w:sz w:val="18"/>
                <w:szCs w:val="18"/>
              </w:rPr>
              <w:t xml:space="preserve">is </w:t>
            </w:r>
            <w:r w:rsidR="003E6734" w:rsidRPr="00627844">
              <w:rPr>
                <w:rFonts w:cs="Calibri"/>
                <w:color w:val="FFFFFF" w:themeColor="background1"/>
                <w:sz w:val="18"/>
                <w:szCs w:val="18"/>
              </w:rPr>
              <w:t>a not</w:t>
            </w:r>
            <w:r w:rsidR="001F5CBC" w:rsidRPr="00627844">
              <w:rPr>
                <w:rFonts w:cs="Calibri"/>
                <w:color w:val="FFFFFF" w:themeColor="background1"/>
                <w:sz w:val="18"/>
                <w:szCs w:val="18"/>
              </w:rPr>
              <w:t>-</w:t>
            </w:r>
            <w:r w:rsidR="003E6734" w:rsidRPr="00627844">
              <w:rPr>
                <w:rFonts w:cs="Calibri"/>
                <w:color w:val="FFFFFF" w:themeColor="background1"/>
                <w:sz w:val="18"/>
                <w:szCs w:val="18"/>
              </w:rPr>
              <w:t>for</w:t>
            </w:r>
            <w:r w:rsidR="001F5CBC" w:rsidRPr="00627844">
              <w:rPr>
                <w:rFonts w:cs="Calibri"/>
                <w:color w:val="FFFFFF" w:themeColor="background1"/>
                <w:sz w:val="18"/>
                <w:szCs w:val="18"/>
              </w:rPr>
              <w:t>-</w:t>
            </w:r>
            <w:r w:rsidR="003E6734" w:rsidRPr="00627844">
              <w:rPr>
                <w:rFonts w:cs="Calibri"/>
                <w:color w:val="FFFFFF" w:themeColor="background1"/>
                <w:sz w:val="18"/>
                <w:szCs w:val="18"/>
              </w:rPr>
              <w:t>pro</w:t>
            </w:r>
            <w:r w:rsidR="001F5CBC" w:rsidRPr="00627844">
              <w:rPr>
                <w:rFonts w:cs="Calibri"/>
                <w:color w:val="FFFFFF" w:themeColor="background1"/>
                <w:sz w:val="18"/>
                <w:szCs w:val="18"/>
              </w:rPr>
              <w:t>f</w:t>
            </w:r>
            <w:r w:rsidR="003E6734" w:rsidRPr="00627844">
              <w:rPr>
                <w:rFonts w:cs="Calibri"/>
                <w:color w:val="FFFFFF" w:themeColor="background1"/>
                <w:sz w:val="18"/>
                <w:szCs w:val="18"/>
              </w:rPr>
              <w:t xml:space="preserve">it </w:t>
            </w:r>
            <w:r w:rsidR="001F5CBC" w:rsidRPr="00627844">
              <w:rPr>
                <w:rFonts w:cs="Calibri"/>
                <w:color w:val="FFFFFF" w:themeColor="background1"/>
                <w:sz w:val="18"/>
                <w:szCs w:val="18"/>
              </w:rPr>
              <w:t xml:space="preserve">public sector </w:t>
            </w:r>
            <w:r w:rsidR="003E6734" w:rsidRPr="00627844">
              <w:rPr>
                <w:rFonts w:cs="Calibri"/>
                <w:color w:val="FFFFFF" w:themeColor="background1"/>
                <w:sz w:val="18"/>
                <w:szCs w:val="18"/>
              </w:rPr>
              <w:t>entity</w:t>
            </w:r>
            <w:r w:rsidR="00661AF6" w:rsidRPr="00627844">
              <w:rPr>
                <w:rFonts w:cs="Calibri"/>
                <w:color w:val="FFFFFF" w:themeColor="background1"/>
                <w:sz w:val="18"/>
                <w:szCs w:val="18"/>
              </w:rPr>
              <w:t>.</w:t>
            </w:r>
            <w:r w:rsidR="00FA7C77">
              <w:rPr>
                <w:rFonts w:cs="Calibri"/>
                <w:color w:val="FFFFFF" w:themeColor="background1"/>
                <w:sz w:val="18"/>
                <w:szCs w:val="18"/>
              </w:rPr>
              <w:t xml:space="preserve"> </w:t>
            </w:r>
            <w:r w:rsidR="001F5CBC" w:rsidRPr="00627844">
              <w:rPr>
                <w:rFonts w:cs="Calibri"/>
                <w:color w:val="FFFFFF" w:themeColor="background1"/>
                <w:sz w:val="18"/>
                <w:szCs w:val="18"/>
              </w:rPr>
              <w:t>A not-for-profit public sector entity may elect to recognise borrowing costs as an expense, regardless of how the borrowings are applied.</w:t>
            </w:r>
            <w:r w:rsidR="00FA7C77">
              <w:rPr>
                <w:rFonts w:cs="Calibri"/>
                <w:color w:val="FFFFFF" w:themeColor="background1"/>
                <w:sz w:val="18"/>
                <w:szCs w:val="18"/>
              </w:rPr>
              <w:t xml:space="preserve"> </w:t>
            </w:r>
            <w:r w:rsidR="003E6734" w:rsidRPr="00627844">
              <w:rPr>
                <w:rFonts w:cs="Calibri"/>
                <w:color w:val="FFFFFF" w:themeColor="background1"/>
                <w:sz w:val="18"/>
                <w:szCs w:val="18"/>
              </w:rPr>
              <w:t>ACT Accounting Policy requires all borrowing costs to be expensed in the period in which they occur.</w:t>
            </w:r>
            <w:r w:rsidR="00FA7C77">
              <w:rPr>
                <w:rFonts w:cs="Calibri"/>
                <w:color w:val="FFFFFF" w:themeColor="background1"/>
                <w:sz w:val="18"/>
                <w:szCs w:val="18"/>
              </w:rPr>
              <w:t xml:space="preserve"> </w:t>
            </w:r>
            <w:r w:rsidR="003E6734" w:rsidRPr="00627844">
              <w:rPr>
                <w:rFonts w:cs="Calibri"/>
                <w:color w:val="FFFFFF" w:themeColor="background1"/>
                <w:sz w:val="18"/>
                <w:szCs w:val="18"/>
              </w:rPr>
              <w:t xml:space="preserve">As such, all borrowing costs </w:t>
            </w:r>
            <w:r w:rsidR="001F5CBC" w:rsidRPr="00627844">
              <w:rPr>
                <w:rFonts w:cs="Calibri"/>
                <w:color w:val="FFFFFF" w:themeColor="background1"/>
                <w:sz w:val="18"/>
                <w:szCs w:val="18"/>
              </w:rPr>
              <w:t>are</w:t>
            </w:r>
            <w:r w:rsidR="003E6734" w:rsidRPr="00627844">
              <w:rPr>
                <w:rFonts w:cs="Calibri"/>
                <w:color w:val="FFFFFF" w:themeColor="background1"/>
                <w:sz w:val="18"/>
                <w:szCs w:val="18"/>
              </w:rPr>
              <w:t xml:space="preserve"> expensed as incurred. </w:t>
            </w:r>
          </w:p>
        </w:tc>
      </w:tr>
      <w:tr w:rsidR="00BA60DB" w:rsidRPr="00CF7E1B" w14:paraId="198CD56E" w14:textId="77777777" w:rsidTr="002F4A89">
        <w:trPr>
          <w:cantSplit/>
          <w:trHeight w:val="978"/>
        </w:trPr>
        <w:tc>
          <w:tcPr>
            <w:tcW w:w="746" w:type="pct"/>
            <w:tcBorders>
              <w:top w:val="nil"/>
              <w:left w:val="single" w:sz="2" w:space="0" w:color="auto"/>
              <w:bottom w:val="nil"/>
              <w:right w:val="single" w:sz="2" w:space="0" w:color="auto"/>
            </w:tcBorders>
          </w:tcPr>
          <w:p w14:paraId="52A08F54" w14:textId="77777777" w:rsidR="007B6D4A" w:rsidRPr="00627844" w:rsidRDefault="007B6D4A" w:rsidP="00661AF6">
            <w:pPr>
              <w:pStyle w:val="CommentaryReference"/>
              <w:spacing w:before="60"/>
              <w:rPr>
                <w:color w:val="7030A0"/>
              </w:rPr>
            </w:pPr>
            <w:r w:rsidRPr="00627844">
              <w:rPr>
                <w:color w:val="7030A0"/>
              </w:rPr>
              <w:t xml:space="preserve">AASB 123. 8 &amp; Aus 8.1 </w:t>
            </w:r>
          </w:p>
          <w:p w14:paraId="1DB0EB70" w14:textId="4A8E5D5D" w:rsidR="00BA60DB" w:rsidRPr="00627844" w:rsidRDefault="007B6D4A" w:rsidP="00661AF6">
            <w:pPr>
              <w:pStyle w:val="CommentaryReference"/>
              <w:spacing w:before="60"/>
              <w:rPr>
                <w:rFonts w:cs="Calibri"/>
                <w:color w:val="7030A0"/>
                <w:sz w:val="16"/>
              </w:rPr>
            </w:pPr>
            <w:r w:rsidRPr="00627844">
              <w:rPr>
                <w:color w:val="7030A0"/>
              </w:rPr>
              <w:t>ACT Disclosure Policy</w:t>
            </w:r>
          </w:p>
        </w:tc>
        <w:tc>
          <w:tcPr>
            <w:tcW w:w="4254" w:type="pct"/>
            <w:gridSpan w:val="5"/>
            <w:tcBorders>
              <w:top w:val="nil"/>
              <w:left w:val="single" w:sz="2" w:space="0" w:color="auto"/>
              <w:bottom w:val="nil"/>
              <w:right w:val="nil"/>
            </w:tcBorders>
            <w:shd w:val="clear" w:color="auto" w:fill="7030A0"/>
          </w:tcPr>
          <w:p w14:paraId="293E03D4" w14:textId="4B25A2E6" w:rsidR="00DC42B3" w:rsidRPr="00DC42B3" w:rsidRDefault="00DC42B3" w:rsidP="00661AF6">
            <w:pPr>
              <w:pStyle w:val="CommentaryText"/>
              <w:rPr>
                <w:color w:val="FFFFFF" w:themeColor="background1"/>
                <w:szCs w:val="20"/>
              </w:rPr>
            </w:pPr>
            <w:r w:rsidRPr="00DC42B3">
              <w:rPr>
                <w:rFonts w:cs="Calibri"/>
                <w:b/>
                <w:bCs/>
                <w:color w:val="FFFFFF" w:themeColor="background1"/>
                <w:szCs w:val="20"/>
              </w:rPr>
              <w:t>Territory Authority Commentary</w:t>
            </w:r>
          </w:p>
          <w:p w14:paraId="2744E834" w14:textId="2D1211B4" w:rsidR="00BA60DB" w:rsidRPr="00627844" w:rsidRDefault="00BA60DB" w:rsidP="00661AF6">
            <w:pPr>
              <w:pStyle w:val="CommentaryText"/>
              <w:rPr>
                <w:rFonts w:cs="Calibri"/>
                <w:color w:val="FFFFFF" w:themeColor="background1"/>
                <w:sz w:val="18"/>
                <w:szCs w:val="18"/>
              </w:rPr>
            </w:pPr>
            <w:r w:rsidRPr="00627844">
              <w:rPr>
                <w:color w:val="FFFFFF" w:themeColor="background1"/>
                <w:sz w:val="18"/>
                <w:szCs w:val="18"/>
              </w:rPr>
              <w:t>Territory authorities that are either for-profit, or not considered a public sector entity, will have to capitalise borrowing costs that are directly attributable to the acquisition, construction or production of a qualifying asset as part of the cost of that asset. These entities may still recognise other borrowing costs as an expense in the period in which they are incurred.</w:t>
            </w:r>
          </w:p>
        </w:tc>
      </w:tr>
    </w:tbl>
    <w:p w14:paraId="68992411" w14:textId="1A8E4D02" w:rsidR="00736D13" w:rsidRDefault="00736D13">
      <w:bookmarkStart w:id="460" w:name="ExpOther" w:colFirst="1" w:colLast="1"/>
    </w:p>
    <w:p w14:paraId="602CF8E7" w14:textId="38559215" w:rsidR="00C61EC0" w:rsidRDefault="00C61EC0"/>
    <w:p w14:paraId="45D1F324" w14:textId="61BFCE85" w:rsidR="00C61EC0" w:rsidRDefault="00C61EC0"/>
    <w:p w14:paraId="16629DB5" w14:textId="6048F6FA" w:rsidR="00C61EC0" w:rsidRDefault="00C61EC0"/>
    <w:p w14:paraId="6A37C6EF" w14:textId="5AA4C5EE" w:rsidR="00C61EC0" w:rsidRDefault="00C61EC0"/>
    <w:p w14:paraId="7E4A2110" w14:textId="77777777" w:rsidR="00906E7B" w:rsidRDefault="00906E7B"/>
    <w:p w14:paraId="05B47925" w14:textId="3E949186" w:rsidR="00C61EC0" w:rsidRDefault="00C61EC0"/>
    <w:p w14:paraId="649F84BD" w14:textId="56B4364D" w:rsidR="00916C26" w:rsidRDefault="00916C26"/>
    <w:p w14:paraId="5A941A89" w14:textId="7ECAEF8E" w:rsidR="00916C26" w:rsidRDefault="00916C26"/>
    <w:p w14:paraId="4A55091B" w14:textId="3B4B27A7" w:rsidR="00916C26" w:rsidRDefault="00916C26"/>
    <w:p w14:paraId="4D3CF926" w14:textId="77777777" w:rsidR="00916C26" w:rsidRDefault="00916C26"/>
    <w:p w14:paraId="2944B549" w14:textId="77777777" w:rsidR="00371988" w:rsidRDefault="00371988"/>
    <w:p w14:paraId="40C5203B" w14:textId="77777777" w:rsidR="001F4216" w:rsidRDefault="001F4216">
      <w:bookmarkStart w:id="461" w:name="_Hlk88140503"/>
      <w:r>
        <w:br w:type="page"/>
      </w:r>
    </w:p>
    <w:tbl>
      <w:tblPr>
        <w:tblW w:w="5142"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5783"/>
        <w:gridCol w:w="2016"/>
        <w:gridCol w:w="1164"/>
      </w:tblGrid>
      <w:tr w:rsidR="000144FF" w:rsidRPr="00CF7E1B" w14:paraId="4930A2D5" w14:textId="77777777" w:rsidTr="005F5B4C">
        <w:trPr>
          <w:cantSplit/>
          <w:trHeight w:val="289"/>
        </w:trPr>
        <w:tc>
          <w:tcPr>
            <w:tcW w:w="741" w:type="pct"/>
            <w:tcBorders>
              <w:top w:val="nil"/>
              <w:left w:val="single" w:sz="2" w:space="0" w:color="auto"/>
              <w:bottom w:val="nil"/>
              <w:right w:val="single" w:sz="2" w:space="0" w:color="auto"/>
            </w:tcBorders>
          </w:tcPr>
          <w:p w14:paraId="5609A134" w14:textId="3876CDE2" w:rsidR="000144FF" w:rsidRPr="00374599" w:rsidRDefault="00736D13" w:rsidP="00003FBD">
            <w:pPr>
              <w:pStyle w:val="TableReference"/>
              <w:tabs>
                <w:tab w:val="left" w:pos="3306"/>
              </w:tabs>
              <w:spacing w:before="240"/>
              <w:rPr>
                <w:rFonts w:cs="Calibri"/>
                <w:b/>
                <w:color w:val="7030A0"/>
                <w:sz w:val="22"/>
                <w:szCs w:val="22"/>
              </w:rPr>
            </w:pPr>
            <w:r w:rsidRPr="00374599">
              <w:rPr>
                <w:rFonts w:cs="Calibri"/>
                <w:b/>
                <w:color w:val="7030A0"/>
                <w:sz w:val="22"/>
                <w:szCs w:val="22"/>
              </w:rPr>
              <w:t>Reference</w:t>
            </w:r>
          </w:p>
        </w:tc>
        <w:tc>
          <w:tcPr>
            <w:tcW w:w="4259" w:type="pct"/>
            <w:gridSpan w:val="3"/>
            <w:tcBorders>
              <w:top w:val="nil"/>
              <w:left w:val="single" w:sz="2" w:space="0" w:color="auto"/>
              <w:bottom w:val="nil"/>
              <w:right w:val="nil"/>
            </w:tcBorders>
          </w:tcPr>
          <w:p w14:paraId="4A7A197D" w14:textId="55FC0B87" w:rsidR="000144FF" w:rsidRPr="00374599" w:rsidRDefault="00F73636" w:rsidP="00B0704B">
            <w:pPr>
              <w:pStyle w:val="Heading1"/>
              <w:numPr>
                <w:ilvl w:val="0"/>
                <w:numId w:val="0"/>
              </w:numPr>
            </w:pPr>
            <w:bookmarkStart w:id="462" w:name="_Toc49224042"/>
            <w:bookmarkStart w:id="463" w:name="_Ref50365465"/>
            <w:bookmarkStart w:id="464" w:name="_Toc50440356"/>
            <w:bookmarkStart w:id="465" w:name="_Ref50523995"/>
            <w:bookmarkStart w:id="466" w:name="_Toc400627335"/>
            <w:bookmarkStart w:id="467" w:name="_Toc98763099"/>
            <w:r w:rsidRPr="00374599">
              <w:t xml:space="preserve">Note </w:t>
            </w:r>
            <w:r w:rsidR="003A4053" w:rsidRPr="00374599">
              <w:t>1</w:t>
            </w:r>
            <w:r w:rsidR="00D36357" w:rsidRPr="00374599">
              <w:t>4</w:t>
            </w:r>
            <w:r w:rsidR="0000488C" w:rsidRPr="00374599">
              <w:t>.</w:t>
            </w:r>
            <w:r w:rsidR="00FA7C77">
              <w:t xml:space="preserve"> </w:t>
            </w:r>
            <w:r w:rsidR="00C129D8" w:rsidRPr="00374599">
              <w:t xml:space="preserve"> </w:t>
            </w:r>
            <w:r w:rsidR="000144FF" w:rsidRPr="00374599">
              <w:t>Other Expenses</w:t>
            </w:r>
            <w:bookmarkEnd w:id="462"/>
            <w:bookmarkEnd w:id="463"/>
            <w:bookmarkEnd w:id="464"/>
            <w:bookmarkEnd w:id="465"/>
            <w:bookmarkEnd w:id="466"/>
            <w:bookmarkEnd w:id="467"/>
          </w:p>
        </w:tc>
      </w:tr>
      <w:tr w:rsidR="003A2704" w:rsidRPr="00CF7E1B" w14:paraId="33A22561" w14:textId="77777777" w:rsidTr="005F5B4C">
        <w:trPr>
          <w:cantSplit/>
          <w:trHeight w:val="23"/>
        </w:trPr>
        <w:tc>
          <w:tcPr>
            <w:tcW w:w="741" w:type="pct"/>
            <w:tcBorders>
              <w:top w:val="nil"/>
              <w:left w:val="single" w:sz="2" w:space="0" w:color="auto"/>
              <w:bottom w:val="nil"/>
              <w:right w:val="single" w:sz="2" w:space="0" w:color="auto"/>
            </w:tcBorders>
          </w:tcPr>
          <w:p w14:paraId="5561B43B" w14:textId="77777777" w:rsidR="003A2704" w:rsidRPr="00374599" w:rsidRDefault="003A2704" w:rsidP="00A04F8C">
            <w:pPr>
              <w:pStyle w:val="TableReference"/>
              <w:tabs>
                <w:tab w:val="left" w:pos="3306"/>
              </w:tabs>
              <w:rPr>
                <w:rFonts w:cs="Calibri"/>
                <w:color w:val="7030A0"/>
                <w:sz w:val="16"/>
                <w:szCs w:val="16"/>
              </w:rPr>
            </w:pPr>
          </w:p>
        </w:tc>
        <w:tc>
          <w:tcPr>
            <w:tcW w:w="4259" w:type="pct"/>
            <w:gridSpan w:val="3"/>
            <w:tcBorders>
              <w:top w:val="nil"/>
              <w:left w:val="single" w:sz="2" w:space="0" w:color="auto"/>
              <w:bottom w:val="nil"/>
              <w:right w:val="nil"/>
            </w:tcBorders>
            <w:vAlign w:val="bottom"/>
          </w:tcPr>
          <w:p w14:paraId="57675E86" w14:textId="05D49463" w:rsidR="003A2704" w:rsidRPr="00374599" w:rsidRDefault="003A2704" w:rsidP="003A2704">
            <w:pPr>
              <w:pStyle w:val="TableText"/>
              <w:tabs>
                <w:tab w:val="left" w:pos="3306"/>
              </w:tabs>
              <w:rPr>
                <w:rFonts w:cs="Calibri"/>
                <w:b/>
                <w:bCs/>
              </w:rPr>
            </w:pPr>
            <w:r w:rsidRPr="00374599">
              <w:rPr>
                <w:rFonts w:cs="Calibri"/>
                <w:b/>
                <w:bCs/>
              </w:rPr>
              <w:t>Description and Material Accounting Policies Relating to Other Expenses</w:t>
            </w:r>
          </w:p>
        </w:tc>
      </w:tr>
      <w:tr w:rsidR="003A2704" w:rsidRPr="00CF7E1B" w14:paraId="27E299DC" w14:textId="77777777" w:rsidTr="005F5B4C">
        <w:trPr>
          <w:cantSplit/>
          <w:trHeight w:val="23"/>
        </w:trPr>
        <w:tc>
          <w:tcPr>
            <w:tcW w:w="741" w:type="pct"/>
            <w:tcBorders>
              <w:top w:val="nil"/>
              <w:left w:val="single" w:sz="2" w:space="0" w:color="auto"/>
              <w:bottom w:val="nil"/>
              <w:right w:val="single" w:sz="2" w:space="0" w:color="auto"/>
            </w:tcBorders>
          </w:tcPr>
          <w:p w14:paraId="6DFB43AF" w14:textId="77777777" w:rsidR="003A2704" w:rsidRPr="00374599" w:rsidRDefault="003A2704" w:rsidP="00A04F8C">
            <w:pPr>
              <w:pStyle w:val="TableReference"/>
              <w:tabs>
                <w:tab w:val="left" w:pos="3306"/>
              </w:tabs>
              <w:rPr>
                <w:rFonts w:cs="Calibri"/>
                <w:color w:val="7030A0"/>
                <w:sz w:val="16"/>
                <w:szCs w:val="16"/>
              </w:rPr>
            </w:pPr>
          </w:p>
        </w:tc>
        <w:tc>
          <w:tcPr>
            <w:tcW w:w="4259" w:type="pct"/>
            <w:gridSpan w:val="3"/>
            <w:tcBorders>
              <w:top w:val="nil"/>
              <w:left w:val="single" w:sz="2" w:space="0" w:color="auto"/>
              <w:bottom w:val="nil"/>
              <w:right w:val="nil"/>
            </w:tcBorders>
            <w:vAlign w:val="bottom"/>
          </w:tcPr>
          <w:p w14:paraId="4F1D08AC" w14:textId="2C11DE55" w:rsidR="003A2704" w:rsidRPr="00374599" w:rsidRDefault="003A2704" w:rsidP="003A2704">
            <w:pPr>
              <w:pStyle w:val="TableText"/>
              <w:tabs>
                <w:tab w:val="left" w:pos="3306"/>
              </w:tabs>
              <w:rPr>
                <w:rFonts w:cs="Calibri"/>
                <w:b/>
                <w:bCs/>
              </w:rPr>
            </w:pPr>
            <w:r w:rsidRPr="00374599">
              <w:rPr>
                <w:rFonts w:cs="Calibri"/>
                <w:i/>
                <w:iCs/>
              </w:rPr>
              <w:t>Restoration of Contaminated Sites Expense</w:t>
            </w:r>
          </w:p>
        </w:tc>
      </w:tr>
      <w:tr w:rsidR="002C02DA" w:rsidRPr="00CF7E1B" w14:paraId="0945852E" w14:textId="77777777" w:rsidTr="005F5B4C">
        <w:trPr>
          <w:cantSplit/>
          <w:trHeight w:val="23"/>
        </w:trPr>
        <w:tc>
          <w:tcPr>
            <w:tcW w:w="741" w:type="pct"/>
            <w:tcBorders>
              <w:top w:val="nil"/>
              <w:left w:val="single" w:sz="2" w:space="0" w:color="auto"/>
              <w:bottom w:val="nil"/>
              <w:right w:val="single" w:sz="2" w:space="0" w:color="auto"/>
            </w:tcBorders>
          </w:tcPr>
          <w:p w14:paraId="570FC46D" w14:textId="77777777" w:rsidR="002C02DA" w:rsidRPr="00374599" w:rsidRDefault="002C02DA" w:rsidP="00A04F8C">
            <w:pPr>
              <w:pStyle w:val="TableReference"/>
              <w:tabs>
                <w:tab w:val="left" w:pos="3306"/>
              </w:tabs>
              <w:rPr>
                <w:rFonts w:cs="Calibri"/>
                <w:color w:val="7030A0"/>
                <w:sz w:val="16"/>
                <w:szCs w:val="16"/>
              </w:rPr>
            </w:pPr>
          </w:p>
        </w:tc>
        <w:tc>
          <w:tcPr>
            <w:tcW w:w="4259" w:type="pct"/>
            <w:gridSpan w:val="3"/>
            <w:tcBorders>
              <w:top w:val="nil"/>
              <w:left w:val="single" w:sz="2" w:space="0" w:color="auto"/>
              <w:bottom w:val="nil"/>
              <w:right w:val="nil"/>
            </w:tcBorders>
          </w:tcPr>
          <w:p w14:paraId="18F4FAC8" w14:textId="63E886D0" w:rsidR="002C02DA" w:rsidRPr="00374599" w:rsidRDefault="00B44674" w:rsidP="00B53B78">
            <w:pPr>
              <w:pStyle w:val="TableText"/>
              <w:tabs>
                <w:tab w:val="left" w:pos="3306"/>
              </w:tabs>
              <w:spacing w:after="180"/>
              <w:rPr>
                <w:rFonts w:cs="Calibri"/>
                <w:b/>
                <w:bCs/>
              </w:rPr>
            </w:pPr>
            <w:r w:rsidRPr="00374599">
              <w:rPr>
                <w:rFonts w:cs="Calibri"/>
              </w:rPr>
              <w:t>‘Burley Griffin</w:t>
            </w:r>
            <w:r w:rsidR="002C02DA" w:rsidRPr="00374599">
              <w:rPr>
                <w:rFonts w:cs="Calibri"/>
              </w:rPr>
              <w:t xml:space="preserve"> Agency</w:t>
            </w:r>
            <w:r w:rsidRPr="00374599">
              <w:rPr>
                <w:rFonts w:cs="Calibri"/>
              </w:rPr>
              <w:t>’</w:t>
            </w:r>
            <w:r w:rsidR="002C02DA" w:rsidRPr="00374599">
              <w:rPr>
                <w:rFonts w:cs="Calibri"/>
              </w:rPr>
              <w:t xml:space="preserve"> disposed of waste material by burying it in landfill, however, it was discovered that the waste had leaked and contaminated the area, including nearby farmland.</w:t>
            </w:r>
            <w:r w:rsidR="00FA7C77">
              <w:rPr>
                <w:rFonts w:cs="Calibri"/>
              </w:rPr>
              <w:t xml:space="preserve"> </w:t>
            </w:r>
            <w:r w:rsidR="002C02DA" w:rsidRPr="00374599">
              <w:rPr>
                <w:rFonts w:cs="Calibri"/>
              </w:rPr>
              <w:t xml:space="preserve">As such, the Agency has recognised the estimated cost of clearing up the </w:t>
            </w:r>
            <w:r w:rsidRPr="00374599">
              <w:rPr>
                <w:rFonts w:cs="Calibri"/>
              </w:rPr>
              <w:t>site as an expense.</w:t>
            </w:r>
            <w:r w:rsidR="00FA7C77">
              <w:rPr>
                <w:rFonts w:cs="Calibri"/>
              </w:rPr>
              <w:t xml:space="preserve">  </w:t>
            </w:r>
          </w:p>
        </w:tc>
      </w:tr>
      <w:bookmarkEnd w:id="460"/>
      <w:tr w:rsidR="00CF551F" w:rsidRPr="00CF7E1B" w14:paraId="01B4E0BB" w14:textId="77777777" w:rsidTr="005F5B4C">
        <w:trPr>
          <w:cantSplit/>
          <w:trHeight w:val="23"/>
        </w:trPr>
        <w:tc>
          <w:tcPr>
            <w:tcW w:w="741" w:type="pct"/>
            <w:tcBorders>
              <w:top w:val="nil"/>
              <w:left w:val="single" w:sz="2" w:space="0" w:color="auto"/>
              <w:bottom w:val="nil"/>
              <w:right w:val="single" w:sz="2" w:space="0" w:color="auto"/>
            </w:tcBorders>
          </w:tcPr>
          <w:p w14:paraId="302237E6" w14:textId="77777777" w:rsidR="00CF551F" w:rsidRPr="00374599" w:rsidRDefault="00CF551F" w:rsidP="00CF551F">
            <w:pPr>
              <w:pStyle w:val="TableReference"/>
              <w:tabs>
                <w:tab w:val="left" w:pos="3306"/>
              </w:tabs>
              <w:rPr>
                <w:rFonts w:cs="Calibri"/>
                <w:color w:val="7030A0"/>
                <w:sz w:val="16"/>
                <w:szCs w:val="16"/>
              </w:rPr>
            </w:pPr>
          </w:p>
        </w:tc>
        <w:tc>
          <w:tcPr>
            <w:tcW w:w="4259" w:type="pct"/>
            <w:gridSpan w:val="3"/>
            <w:tcBorders>
              <w:top w:val="nil"/>
              <w:left w:val="single" w:sz="2" w:space="0" w:color="auto"/>
              <w:bottom w:val="nil"/>
              <w:right w:val="nil"/>
            </w:tcBorders>
          </w:tcPr>
          <w:p w14:paraId="088216E4" w14:textId="12850CCE" w:rsidR="00CF551F" w:rsidRPr="00374599" w:rsidRDefault="00CF551F" w:rsidP="00CF551F">
            <w:pPr>
              <w:pStyle w:val="TableText"/>
              <w:tabs>
                <w:tab w:val="left" w:pos="3306"/>
              </w:tabs>
              <w:rPr>
                <w:rFonts w:cs="Calibri"/>
                <w:b/>
                <w:bCs/>
              </w:rPr>
            </w:pPr>
            <w:r w:rsidRPr="00374599">
              <w:rPr>
                <w:rFonts w:cs="Calibri"/>
                <w:i/>
                <w:iCs/>
              </w:rPr>
              <w:t>Waivers</w:t>
            </w:r>
          </w:p>
        </w:tc>
      </w:tr>
      <w:tr w:rsidR="00CF551F" w:rsidRPr="00CF7E1B" w14:paraId="55D3FD8D" w14:textId="77777777" w:rsidTr="005F5B4C">
        <w:trPr>
          <w:cantSplit/>
          <w:trHeight w:val="23"/>
        </w:trPr>
        <w:tc>
          <w:tcPr>
            <w:tcW w:w="741" w:type="pct"/>
            <w:tcBorders>
              <w:top w:val="nil"/>
              <w:left w:val="single" w:sz="2" w:space="0" w:color="auto"/>
              <w:bottom w:val="nil"/>
              <w:right w:val="single" w:sz="2" w:space="0" w:color="auto"/>
            </w:tcBorders>
          </w:tcPr>
          <w:p w14:paraId="1548EDA4" w14:textId="1CCBBF8D" w:rsidR="00CF551F" w:rsidRPr="00374599" w:rsidRDefault="00CF551F" w:rsidP="00CF551F">
            <w:pPr>
              <w:pStyle w:val="TableReference"/>
              <w:tabs>
                <w:tab w:val="left" w:pos="3306"/>
              </w:tabs>
              <w:spacing w:before="60"/>
              <w:rPr>
                <w:color w:val="7030A0"/>
                <w:sz w:val="14"/>
              </w:rPr>
            </w:pPr>
            <w:r w:rsidRPr="00374599">
              <w:rPr>
                <w:rFonts w:cs="Calibri"/>
                <w:color w:val="7030A0"/>
                <w:sz w:val="14"/>
              </w:rPr>
              <w:t>FMA sec 131</w:t>
            </w:r>
            <w:r w:rsidR="00E1439A" w:rsidRPr="00374599">
              <w:rPr>
                <w:rFonts w:cs="Calibri"/>
                <w:color w:val="7030A0"/>
                <w:sz w:val="14"/>
              </w:rPr>
              <w:t xml:space="preserve"> </w:t>
            </w:r>
            <w:r w:rsidRPr="00374599">
              <w:rPr>
                <w:rFonts w:cs="Calibri"/>
                <w:color w:val="7030A0"/>
                <w:sz w:val="14"/>
              </w:rPr>
              <w:t>(1)(a)</w:t>
            </w:r>
            <w:r w:rsidRPr="00374599">
              <w:rPr>
                <w:color w:val="7030A0"/>
                <w:sz w:val="14"/>
              </w:rPr>
              <w:t xml:space="preserve"> </w:t>
            </w:r>
          </w:p>
          <w:p w14:paraId="5757DD4A" w14:textId="29D165E6" w:rsidR="00CF551F" w:rsidRPr="00374599" w:rsidRDefault="00CF551F" w:rsidP="00CF551F">
            <w:pPr>
              <w:pStyle w:val="TableReference"/>
              <w:tabs>
                <w:tab w:val="left" w:pos="3306"/>
              </w:tabs>
              <w:rPr>
                <w:rFonts w:cs="Calibri"/>
                <w:color w:val="7030A0"/>
                <w:sz w:val="16"/>
                <w:szCs w:val="16"/>
              </w:rPr>
            </w:pPr>
            <w:r w:rsidRPr="00374599">
              <w:rPr>
                <w:color w:val="7030A0"/>
                <w:sz w:val="14"/>
              </w:rPr>
              <w:t>FMA sec 131 (3)</w:t>
            </w:r>
          </w:p>
        </w:tc>
        <w:tc>
          <w:tcPr>
            <w:tcW w:w="4259" w:type="pct"/>
            <w:gridSpan w:val="3"/>
            <w:tcBorders>
              <w:top w:val="nil"/>
              <w:left w:val="single" w:sz="2" w:space="0" w:color="auto"/>
              <w:bottom w:val="nil"/>
              <w:right w:val="nil"/>
            </w:tcBorders>
          </w:tcPr>
          <w:p w14:paraId="60D13B12" w14:textId="02738879" w:rsidR="00CF551F" w:rsidRPr="00374599" w:rsidRDefault="00442D58" w:rsidP="007139C1">
            <w:pPr>
              <w:pStyle w:val="TableText"/>
              <w:tabs>
                <w:tab w:val="left" w:pos="3306"/>
              </w:tabs>
              <w:jc w:val="both"/>
              <w:rPr>
                <w:rFonts w:cs="Calibri"/>
                <w:b/>
                <w:bCs/>
              </w:rPr>
            </w:pPr>
            <w:r w:rsidRPr="00374599">
              <w:rPr>
                <w:rFonts w:cs="Calibri"/>
              </w:rPr>
              <w:t>A waiver is the relinquishment of a legal claim to a debt.</w:t>
            </w:r>
            <w:r w:rsidR="00FA7C77">
              <w:rPr>
                <w:rFonts w:cs="Calibri"/>
              </w:rPr>
              <w:t xml:space="preserve"> </w:t>
            </w:r>
            <w:r w:rsidR="00526C30" w:rsidRPr="00374599">
              <w:rPr>
                <w:rFonts w:cs="Calibri"/>
                <w:szCs w:val="20"/>
              </w:rPr>
              <w:t>T</w:t>
            </w:r>
            <w:r w:rsidR="00E1439A" w:rsidRPr="00374599">
              <w:rPr>
                <w:rFonts w:cs="Calibri"/>
                <w:szCs w:val="20"/>
              </w:rPr>
              <w:t xml:space="preserve">he Treasurer may in writing, waive the right to payment of an amount </w:t>
            </w:r>
            <w:r w:rsidR="00526C30" w:rsidRPr="00374599">
              <w:rPr>
                <w:rFonts w:cs="Calibri"/>
                <w:szCs w:val="20"/>
              </w:rPr>
              <w:t xml:space="preserve">owing </w:t>
            </w:r>
            <w:r w:rsidR="00E1439A" w:rsidRPr="00374599">
              <w:rPr>
                <w:rFonts w:cs="Calibri"/>
                <w:szCs w:val="20"/>
              </w:rPr>
              <w:t>to the Territory.</w:t>
            </w:r>
            <w:r w:rsidR="00FA7C77">
              <w:rPr>
                <w:rFonts w:cs="Calibri"/>
                <w:szCs w:val="20"/>
              </w:rPr>
              <w:t xml:space="preserve"> </w:t>
            </w:r>
            <w:r w:rsidR="00526C30" w:rsidRPr="00374599">
              <w:rPr>
                <w:rFonts w:cs="Calibri"/>
                <w:szCs w:val="20"/>
              </w:rPr>
              <w:t>In the current financial year t</w:t>
            </w:r>
            <w:r w:rsidR="00E1439A" w:rsidRPr="00374599">
              <w:rPr>
                <w:rFonts w:cs="Calibri"/>
                <w:szCs w:val="20"/>
              </w:rPr>
              <w:t xml:space="preserve">he Treasurer has waived </w:t>
            </w:r>
            <w:r w:rsidR="008E4BBA" w:rsidRPr="00374599">
              <w:t xml:space="preserve">sports ground hire fees, </w:t>
            </w:r>
            <w:r w:rsidR="00E1439A" w:rsidRPr="00374599">
              <w:rPr>
                <w:rFonts w:cs="Calibri"/>
                <w:szCs w:val="20"/>
              </w:rPr>
              <w:t>loans owing to the Agency from third parties</w:t>
            </w:r>
            <w:r w:rsidR="008E4BBA" w:rsidRPr="00374599">
              <w:rPr>
                <w:rFonts w:cs="Calibri"/>
                <w:szCs w:val="20"/>
              </w:rPr>
              <w:t>, and made other wa</w:t>
            </w:r>
            <w:r w:rsidR="00C94AC5" w:rsidRPr="00374599">
              <w:rPr>
                <w:rFonts w:cs="Calibri"/>
                <w:szCs w:val="20"/>
              </w:rPr>
              <w:t>i</w:t>
            </w:r>
            <w:r w:rsidR="008E4BBA" w:rsidRPr="00374599">
              <w:rPr>
                <w:rFonts w:cs="Calibri"/>
                <w:szCs w:val="20"/>
              </w:rPr>
              <w:t>vers</w:t>
            </w:r>
            <w:r w:rsidR="00E1439A" w:rsidRPr="00374599">
              <w:rPr>
                <w:rFonts w:cs="Calibri"/>
                <w:szCs w:val="20"/>
              </w:rPr>
              <w:t>.</w:t>
            </w:r>
            <w:r w:rsidR="00FA7C77">
              <w:rPr>
                <w:rFonts w:cs="Calibri"/>
              </w:rPr>
              <w:t xml:space="preserve"> </w:t>
            </w:r>
            <w:r w:rsidR="00E1439A" w:rsidRPr="00374599">
              <w:rPr>
                <w:rFonts w:cs="Calibri"/>
              </w:rPr>
              <w:t>Waivers are expensed during the year in which the right to payment was waived.</w:t>
            </w:r>
          </w:p>
        </w:tc>
      </w:tr>
      <w:tr w:rsidR="00CF551F" w:rsidRPr="00CF7E1B" w14:paraId="31974419" w14:textId="77777777" w:rsidTr="005F5B4C">
        <w:trPr>
          <w:cantSplit/>
          <w:trHeight w:val="23"/>
        </w:trPr>
        <w:tc>
          <w:tcPr>
            <w:tcW w:w="741" w:type="pct"/>
            <w:tcBorders>
              <w:top w:val="nil"/>
              <w:left w:val="single" w:sz="2" w:space="0" w:color="auto"/>
              <w:bottom w:val="nil"/>
              <w:right w:val="single" w:sz="2" w:space="0" w:color="auto"/>
            </w:tcBorders>
          </w:tcPr>
          <w:p w14:paraId="7E0291AA" w14:textId="77777777" w:rsidR="00CF551F" w:rsidRPr="00374599" w:rsidRDefault="00CF551F" w:rsidP="00CF551F">
            <w:pPr>
              <w:pStyle w:val="TableReference"/>
              <w:tabs>
                <w:tab w:val="left" w:pos="3306"/>
              </w:tabs>
              <w:rPr>
                <w:rFonts w:cs="Calibri"/>
                <w:color w:val="7030A0"/>
                <w:sz w:val="16"/>
                <w:szCs w:val="16"/>
              </w:rPr>
            </w:pPr>
          </w:p>
        </w:tc>
        <w:tc>
          <w:tcPr>
            <w:tcW w:w="4259" w:type="pct"/>
            <w:gridSpan w:val="3"/>
            <w:tcBorders>
              <w:top w:val="nil"/>
              <w:left w:val="single" w:sz="2" w:space="0" w:color="auto"/>
              <w:bottom w:val="nil"/>
              <w:right w:val="nil"/>
            </w:tcBorders>
          </w:tcPr>
          <w:p w14:paraId="439B22EA" w14:textId="007BD3A6" w:rsidR="00CF551F" w:rsidRPr="00374599" w:rsidRDefault="00CF551F" w:rsidP="00B53B78">
            <w:pPr>
              <w:pStyle w:val="TableText"/>
              <w:tabs>
                <w:tab w:val="left" w:pos="3306"/>
              </w:tabs>
              <w:spacing w:before="180"/>
              <w:jc w:val="both"/>
              <w:rPr>
                <w:rFonts w:cs="Calibri"/>
                <w:b/>
                <w:bCs/>
              </w:rPr>
            </w:pPr>
            <w:r w:rsidRPr="00374599">
              <w:rPr>
                <w:rFonts w:cs="Calibri"/>
                <w:i/>
                <w:iCs/>
              </w:rPr>
              <w:t xml:space="preserve">Impairment Losses – </w:t>
            </w:r>
            <w:r w:rsidR="00AC43FB" w:rsidRPr="00374599">
              <w:rPr>
                <w:rFonts w:cs="Calibri"/>
                <w:i/>
                <w:iCs/>
              </w:rPr>
              <w:t xml:space="preserve">Non-Financial </w:t>
            </w:r>
            <w:r w:rsidRPr="00374599">
              <w:rPr>
                <w:rFonts w:cs="Calibri"/>
                <w:i/>
                <w:iCs/>
              </w:rPr>
              <w:t>Assets</w:t>
            </w:r>
          </w:p>
        </w:tc>
      </w:tr>
      <w:tr w:rsidR="00951B21" w:rsidRPr="00CF7E1B" w14:paraId="33AD1B1F" w14:textId="77777777" w:rsidTr="005F5B4C">
        <w:trPr>
          <w:cantSplit/>
          <w:trHeight w:val="23"/>
        </w:trPr>
        <w:tc>
          <w:tcPr>
            <w:tcW w:w="741" w:type="pct"/>
            <w:tcBorders>
              <w:top w:val="nil"/>
              <w:left w:val="single" w:sz="2" w:space="0" w:color="auto"/>
              <w:bottom w:val="nil"/>
              <w:right w:val="single" w:sz="2" w:space="0" w:color="auto"/>
            </w:tcBorders>
          </w:tcPr>
          <w:p w14:paraId="5C1CCB67" w14:textId="77777777" w:rsidR="00951B21" w:rsidRPr="00374599" w:rsidRDefault="00951B21" w:rsidP="00CF551F">
            <w:pPr>
              <w:pStyle w:val="TableReference"/>
              <w:tabs>
                <w:tab w:val="left" w:pos="3306"/>
              </w:tabs>
              <w:rPr>
                <w:rFonts w:cs="Calibri"/>
                <w:color w:val="7030A0"/>
                <w:sz w:val="16"/>
                <w:szCs w:val="16"/>
              </w:rPr>
            </w:pPr>
          </w:p>
        </w:tc>
        <w:tc>
          <w:tcPr>
            <w:tcW w:w="4259" w:type="pct"/>
            <w:gridSpan w:val="3"/>
            <w:tcBorders>
              <w:top w:val="nil"/>
              <w:left w:val="single" w:sz="2" w:space="0" w:color="auto"/>
              <w:bottom w:val="nil"/>
              <w:right w:val="nil"/>
            </w:tcBorders>
          </w:tcPr>
          <w:p w14:paraId="57B41C43" w14:textId="4D3D0ACE" w:rsidR="00951B21" w:rsidRPr="00374599" w:rsidRDefault="00951B21" w:rsidP="007139C1">
            <w:pPr>
              <w:pStyle w:val="TableText"/>
              <w:tabs>
                <w:tab w:val="left" w:pos="3306"/>
              </w:tabs>
              <w:spacing w:before="0"/>
              <w:jc w:val="both"/>
              <w:rPr>
                <w:rFonts w:cs="Calibri"/>
                <w:i/>
                <w:iCs/>
              </w:rPr>
            </w:pPr>
            <w:r w:rsidRPr="00374599">
              <w:t xml:space="preserve">Impairment loss expenses are recognised for </w:t>
            </w:r>
            <w:r w:rsidR="00546643" w:rsidRPr="00374599">
              <w:t xml:space="preserve">both property, </w:t>
            </w:r>
            <w:r w:rsidRPr="00374599">
              <w:t>plant and equipment</w:t>
            </w:r>
            <w:r w:rsidR="0036774D" w:rsidRPr="00374599">
              <w:t>,</w:t>
            </w:r>
            <w:r w:rsidRPr="00374599">
              <w:t xml:space="preserve"> </w:t>
            </w:r>
            <w:r w:rsidR="00546643" w:rsidRPr="00374599">
              <w:t xml:space="preserve">and </w:t>
            </w:r>
            <w:r w:rsidRPr="00374599">
              <w:t xml:space="preserve">intangible assets </w:t>
            </w:r>
            <w:r w:rsidR="00CD3AD8" w:rsidRPr="00374599">
              <w:t xml:space="preserve">when their carrying amount is higher than </w:t>
            </w:r>
            <w:r w:rsidR="00546643" w:rsidRPr="00374599">
              <w:t>their</w:t>
            </w:r>
            <w:r w:rsidR="00CD3AD8" w:rsidRPr="00374599">
              <w:t xml:space="preserve"> recoverable </w:t>
            </w:r>
            <w:r w:rsidR="00546643" w:rsidRPr="00374599">
              <w:t>amount, with the difference between the two being the amount of the impairment loss.</w:t>
            </w:r>
            <w:r w:rsidR="00FA7C77">
              <w:t xml:space="preserve"> </w:t>
            </w:r>
            <w:r w:rsidR="00546643" w:rsidRPr="00374599">
              <w:t xml:space="preserve">Impairment losses for plant and equipment, lease hold improvements and intangibles are </w:t>
            </w:r>
            <w:r w:rsidRPr="00374599">
              <w:t>recognised</w:t>
            </w:r>
            <w:r w:rsidR="00AC43FB" w:rsidRPr="00374599">
              <w:t xml:space="preserve"> as an expense</w:t>
            </w:r>
            <w:r w:rsidRPr="00374599">
              <w:t xml:space="preserve"> in the Operating Statement</w:t>
            </w:r>
            <w:r w:rsidR="00AC43FB" w:rsidRPr="00374599">
              <w:t>.</w:t>
            </w:r>
            <w:r w:rsidR="00FA7C77">
              <w:t xml:space="preserve"> </w:t>
            </w:r>
            <w:r w:rsidR="00AC43FB" w:rsidRPr="00374599">
              <w:t>Impairment losses for land, buildings, infrastructure, and community and heritage assets, are only recognised as an expense when the amount of the impairment is greater than the balance in the Asset Revaluation Surplus for the relevant class of asset.</w:t>
            </w:r>
          </w:p>
        </w:tc>
      </w:tr>
      <w:tr w:rsidR="00CF551F" w:rsidRPr="00CF7E1B" w14:paraId="3699FC66" w14:textId="77777777" w:rsidTr="005F5B4C">
        <w:trPr>
          <w:cantSplit/>
          <w:trHeight w:val="23"/>
        </w:trPr>
        <w:tc>
          <w:tcPr>
            <w:tcW w:w="741" w:type="pct"/>
            <w:tcBorders>
              <w:top w:val="nil"/>
              <w:left w:val="single" w:sz="2" w:space="0" w:color="auto"/>
              <w:bottom w:val="nil"/>
              <w:right w:val="single" w:sz="2" w:space="0" w:color="auto"/>
            </w:tcBorders>
          </w:tcPr>
          <w:p w14:paraId="4E68841D" w14:textId="77777777" w:rsidR="00CF551F" w:rsidRPr="00374599" w:rsidRDefault="00CF551F" w:rsidP="00CF551F">
            <w:pPr>
              <w:pStyle w:val="TableReference"/>
              <w:tabs>
                <w:tab w:val="left" w:pos="3306"/>
              </w:tabs>
              <w:rPr>
                <w:rFonts w:cs="Calibri"/>
                <w:color w:val="7030A0"/>
                <w:sz w:val="16"/>
                <w:szCs w:val="16"/>
              </w:rPr>
            </w:pPr>
          </w:p>
        </w:tc>
        <w:tc>
          <w:tcPr>
            <w:tcW w:w="4259" w:type="pct"/>
            <w:gridSpan w:val="3"/>
            <w:tcBorders>
              <w:top w:val="nil"/>
              <w:left w:val="single" w:sz="2" w:space="0" w:color="auto"/>
              <w:bottom w:val="nil"/>
              <w:right w:val="nil"/>
            </w:tcBorders>
          </w:tcPr>
          <w:p w14:paraId="1AA13C7B" w14:textId="5A95F3C0" w:rsidR="00CF551F" w:rsidRPr="00374599" w:rsidRDefault="00CF551F" w:rsidP="00B53B78">
            <w:pPr>
              <w:pStyle w:val="TableText"/>
              <w:tabs>
                <w:tab w:val="left" w:pos="3306"/>
              </w:tabs>
              <w:spacing w:before="180"/>
              <w:jc w:val="both"/>
              <w:rPr>
                <w:rFonts w:cs="Calibri"/>
                <w:b/>
                <w:bCs/>
              </w:rPr>
            </w:pPr>
            <w:r w:rsidRPr="00374599">
              <w:rPr>
                <w:rFonts w:cs="Calibri"/>
                <w:i/>
                <w:iCs/>
              </w:rPr>
              <w:t xml:space="preserve">Impairment Losses and Write-Offs – </w:t>
            </w:r>
            <w:r w:rsidR="007139C1" w:rsidRPr="00374599">
              <w:rPr>
                <w:rFonts w:cs="Calibri"/>
                <w:i/>
                <w:iCs/>
              </w:rPr>
              <w:t>Accounts</w:t>
            </w:r>
            <w:r w:rsidR="002B797C" w:rsidRPr="00374599">
              <w:rPr>
                <w:rFonts w:cs="Calibri"/>
                <w:i/>
                <w:iCs/>
              </w:rPr>
              <w:t xml:space="preserve"> and Loans</w:t>
            </w:r>
            <w:r w:rsidR="007139C1" w:rsidRPr="00374599">
              <w:rPr>
                <w:rFonts w:cs="Calibri"/>
                <w:i/>
                <w:iCs/>
              </w:rPr>
              <w:t xml:space="preserve"> </w:t>
            </w:r>
            <w:r w:rsidRPr="00374599">
              <w:rPr>
                <w:rFonts w:cs="Calibri"/>
                <w:i/>
                <w:iCs/>
              </w:rPr>
              <w:t>Receivables</w:t>
            </w:r>
          </w:p>
        </w:tc>
      </w:tr>
      <w:tr w:rsidR="00CF551F" w:rsidRPr="00CF7E1B" w14:paraId="5B130F29" w14:textId="77777777" w:rsidTr="005F5B4C">
        <w:trPr>
          <w:cantSplit/>
          <w:trHeight w:val="23"/>
        </w:trPr>
        <w:tc>
          <w:tcPr>
            <w:tcW w:w="741" w:type="pct"/>
            <w:tcBorders>
              <w:top w:val="nil"/>
              <w:left w:val="single" w:sz="2" w:space="0" w:color="auto"/>
              <w:bottom w:val="nil"/>
              <w:right w:val="single" w:sz="2" w:space="0" w:color="auto"/>
            </w:tcBorders>
          </w:tcPr>
          <w:p w14:paraId="0CF2E7E7" w14:textId="77777777" w:rsidR="00CF551F" w:rsidRPr="00374599" w:rsidRDefault="00CF551F" w:rsidP="00CF551F">
            <w:pPr>
              <w:pStyle w:val="TableReference"/>
              <w:tabs>
                <w:tab w:val="left" w:pos="3306"/>
              </w:tabs>
              <w:rPr>
                <w:rFonts w:cs="Calibri"/>
                <w:color w:val="7030A0"/>
                <w:sz w:val="16"/>
                <w:szCs w:val="16"/>
              </w:rPr>
            </w:pPr>
          </w:p>
        </w:tc>
        <w:tc>
          <w:tcPr>
            <w:tcW w:w="4259" w:type="pct"/>
            <w:gridSpan w:val="3"/>
            <w:tcBorders>
              <w:top w:val="nil"/>
              <w:left w:val="single" w:sz="2" w:space="0" w:color="auto"/>
              <w:bottom w:val="nil"/>
              <w:right w:val="nil"/>
            </w:tcBorders>
          </w:tcPr>
          <w:p w14:paraId="5DB7465C" w14:textId="04FC9EAB" w:rsidR="007B346B" w:rsidRPr="00374599" w:rsidRDefault="004D0899" w:rsidP="00B53B78">
            <w:pPr>
              <w:pStyle w:val="TableText"/>
              <w:tabs>
                <w:tab w:val="left" w:pos="3306"/>
              </w:tabs>
              <w:spacing w:after="180"/>
              <w:jc w:val="both"/>
            </w:pPr>
            <w:r w:rsidRPr="00374599">
              <w:t xml:space="preserve">A matrix is used to calculate the amount of lifetime expected credit loss which factors practical and justifiable forward-looking information, including forecast economic changes expected to impact ‘Burley Griffin Agency’s’ receivables (See Note 16 </w:t>
            </w:r>
            <w:r w:rsidRPr="00AB1649">
              <w:rPr>
                <w:i/>
                <w:iCs/>
              </w:rPr>
              <w:t>Receivables</w:t>
            </w:r>
            <w:r w:rsidR="0035272C" w:rsidRPr="00AB1649">
              <w:rPr>
                <w:i/>
                <w:iCs/>
              </w:rPr>
              <w:t xml:space="preserve"> and Contract Assets</w:t>
            </w:r>
            <w:r w:rsidRPr="00374599">
              <w:t>).</w:t>
            </w:r>
            <w:r w:rsidR="002B797C" w:rsidRPr="00374599">
              <w:t xml:space="preserve"> This method is based on the possibility of default events occurring over the lifetime of the loans.</w:t>
            </w:r>
          </w:p>
        </w:tc>
      </w:tr>
      <w:tr w:rsidR="005A41DF" w:rsidRPr="00CF7E1B" w14:paraId="333518CA" w14:textId="77777777" w:rsidTr="005F5B4C">
        <w:trPr>
          <w:cantSplit/>
          <w:trHeight w:val="23"/>
        </w:trPr>
        <w:tc>
          <w:tcPr>
            <w:tcW w:w="741" w:type="pct"/>
            <w:tcBorders>
              <w:top w:val="nil"/>
              <w:left w:val="single" w:sz="2" w:space="0" w:color="auto"/>
              <w:bottom w:val="nil"/>
              <w:right w:val="single" w:sz="2" w:space="0" w:color="auto"/>
            </w:tcBorders>
          </w:tcPr>
          <w:p w14:paraId="0861E74A" w14:textId="77777777" w:rsidR="005A41DF" w:rsidRPr="00374599" w:rsidRDefault="005A41DF" w:rsidP="00CF551F">
            <w:pPr>
              <w:pStyle w:val="TableReference"/>
              <w:tabs>
                <w:tab w:val="left" w:pos="3306"/>
              </w:tabs>
              <w:rPr>
                <w:rFonts w:cs="Calibri"/>
                <w:color w:val="7030A0"/>
                <w:sz w:val="16"/>
                <w:szCs w:val="16"/>
              </w:rPr>
            </w:pPr>
          </w:p>
        </w:tc>
        <w:tc>
          <w:tcPr>
            <w:tcW w:w="4259" w:type="pct"/>
            <w:gridSpan w:val="3"/>
            <w:tcBorders>
              <w:top w:val="nil"/>
              <w:left w:val="single" w:sz="2" w:space="0" w:color="auto"/>
              <w:bottom w:val="nil"/>
              <w:right w:val="nil"/>
            </w:tcBorders>
          </w:tcPr>
          <w:p w14:paraId="2EF2C9D1" w14:textId="7DC9C4E2" w:rsidR="005A41DF" w:rsidRPr="00374599" w:rsidRDefault="005A41DF" w:rsidP="00F37E6F">
            <w:pPr>
              <w:pStyle w:val="TableText"/>
              <w:tabs>
                <w:tab w:val="left" w:pos="3306"/>
              </w:tabs>
              <w:jc w:val="both"/>
              <w:rPr>
                <w:i/>
                <w:iCs/>
              </w:rPr>
            </w:pPr>
            <w:r w:rsidRPr="00374599">
              <w:rPr>
                <w:rFonts w:cs="Calibri"/>
                <w:i/>
                <w:iCs/>
              </w:rPr>
              <w:t>Losses or Deficiencies in Public Monies</w:t>
            </w:r>
          </w:p>
        </w:tc>
      </w:tr>
      <w:tr w:rsidR="005A41DF" w:rsidRPr="00CF7E1B" w14:paraId="48DFAED5" w14:textId="77777777" w:rsidTr="005F5B4C">
        <w:trPr>
          <w:cantSplit/>
          <w:trHeight w:val="23"/>
        </w:trPr>
        <w:tc>
          <w:tcPr>
            <w:tcW w:w="741" w:type="pct"/>
            <w:tcBorders>
              <w:top w:val="nil"/>
              <w:left w:val="single" w:sz="2" w:space="0" w:color="auto"/>
              <w:bottom w:val="nil"/>
              <w:right w:val="single" w:sz="2" w:space="0" w:color="auto"/>
            </w:tcBorders>
          </w:tcPr>
          <w:p w14:paraId="060E574C" w14:textId="36E05D13" w:rsidR="005A41DF" w:rsidRPr="00374599" w:rsidRDefault="005A41DF" w:rsidP="005A41DF">
            <w:pPr>
              <w:pStyle w:val="TableReference"/>
              <w:tabs>
                <w:tab w:val="left" w:pos="3306"/>
              </w:tabs>
              <w:rPr>
                <w:rFonts w:cs="Calibri"/>
                <w:color w:val="7030A0"/>
                <w:sz w:val="16"/>
                <w:szCs w:val="16"/>
              </w:rPr>
            </w:pPr>
            <w:r w:rsidRPr="00374599">
              <w:rPr>
                <w:rFonts w:cs="Calibri"/>
                <w:color w:val="7030A0"/>
                <w:sz w:val="14"/>
              </w:rPr>
              <w:t>ACT Disclosure Policy</w:t>
            </w:r>
          </w:p>
        </w:tc>
        <w:tc>
          <w:tcPr>
            <w:tcW w:w="4259" w:type="pct"/>
            <w:gridSpan w:val="3"/>
            <w:tcBorders>
              <w:top w:val="nil"/>
              <w:left w:val="single" w:sz="2" w:space="0" w:color="auto"/>
              <w:bottom w:val="nil"/>
              <w:right w:val="nil"/>
            </w:tcBorders>
          </w:tcPr>
          <w:p w14:paraId="6F37C078" w14:textId="3CCFE478" w:rsidR="005A41DF" w:rsidRPr="00374599" w:rsidRDefault="005A41DF" w:rsidP="005A41DF">
            <w:pPr>
              <w:pStyle w:val="TableText"/>
              <w:tabs>
                <w:tab w:val="left" w:pos="3306"/>
              </w:tabs>
              <w:jc w:val="both"/>
            </w:pPr>
            <w:r w:rsidRPr="00374599">
              <w:rPr>
                <w:rFonts w:cs="Calibri"/>
              </w:rPr>
              <w:t>Th</w:t>
            </w:r>
            <w:r w:rsidR="000B1E08" w:rsidRPr="00374599">
              <w:rPr>
                <w:rFonts w:cs="Calibri"/>
              </w:rPr>
              <w:t xml:space="preserve">is </w:t>
            </w:r>
            <w:r w:rsidRPr="00374599">
              <w:rPr>
                <w:rFonts w:cs="Calibri"/>
              </w:rPr>
              <w:t>line item includes a number of different items including:</w:t>
            </w:r>
          </w:p>
        </w:tc>
      </w:tr>
      <w:tr w:rsidR="005A41DF" w:rsidRPr="00CF7E1B" w14:paraId="60DFFA2C" w14:textId="77777777" w:rsidTr="005F5B4C">
        <w:trPr>
          <w:cantSplit/>
          <w:trHeight w:val="23"/>
        </w:trPr>
        <w:tc>
          <w:tcPr>
            <w:tcW w:w="741" w:type="pct"/>
            <w:tcBorders>
              <w:top w:val="nil"/>
              <w:left w:val="single" w:sz="2" w:space="0" w:color="auto"/>
              <w:bottom w:val="nil"/>
              <w:right w:val="single" w:sz="2" w:space="0" w:color="auto"/>
            </w:tcBorders>
          </w:tcPr>
          <w:p w14:paraId="728A044C" w14:textId="77777777" w:rsidR="005A41DF" w:rsidRPr="00374599" w:rsidRDefault="005A41DF" w:rsidP="005A41DF">
            <w:pPr>
              <w:pStyle w:val="TableReference"/>
              <w:tabs>
                <w:tab w:val="left" w:pos="3306"/>
              </w:tabs>
              <w:rPr>
                <w:rFonts w:cs="Calibri"/>
                <w:color w:val="7030A0"/>
                <w:sz w:val="14"/>
              </w:rPr>
            </w:pPr>
          </w:p>
        </w:tc>
        <w:tc>
          <w:tcPr>
            <w:tcW w:w="4259" w:type="pct"/>
            <w:gridSpan w:val="3"/>
            <w:tcBorders>
              <w:top w:val="nil"/>
              <w:left w:val="single" w:sz="2" w:space="0" w:color="auto"/>
              <w:bottom w:val="nil"/>
              <w:right w:val="nil"/>
            </w:tcBorders>
          </w:tcPr>
          <w:p w14:paraId="2FD502AC" w14:textId="77777777" w:rsidR="005A41DF" w:rsidRPr="00374599" w:rsidRDefault="005A41DF" w:rsidP="007122BC">
            <w:pPr>
              <w:pStyle w:val="CommentaryText"/>
              <w:numPr>
                <w:ilvl w:val="0"/>
                <w:numId w:val="14"/>
              </w:numPr>
              <w:tabs>
                <w:tab w:val="clear" w:pos="720"/>
              </w:tabs>
              <w:spacing w:after="0"/>
              <w:ind w:left="604" w:hanging="283"/>
              <w:rPr>
                <w:rFonts w:cs="Calibri"/>
                <w:sz w:val="18"/>
                <w:szCs w:val="18"/>
              </w:rPr>
            </w:pPr>
            <w:r w:rsidRPr="00374599">
              <w:rPr>
                <w:rFonts w:cs="Calibri"/>
                <w:sz w:val="18"/>
                <w:szCs w:val="18"/>
              </w:rPr>
              <w:t>decrease in monies due to fraud;</w:t>
            </w:r>
          </w:p>
          <w:p w14:paraId="19D44DD0" w14:textId="77777777" w:rsidR="005A41DF" w:rsidRPr="00374599" w:rsidRDefault="005A41DF" w:rsidP="007122BC">
            <w:pPr>
              <w:pStyle w:val="CommentaryText"/>
              <w:numPr>
                <w:ilvl w:val="0"/>
                <w:numId w:val="15"/>
              </w:numPr>
              <w:tabs>
                <w:tab w:val="clear" w:pos="720"/>
              </w:tabs>
              <w:spacing w:after="0"/>
              <w:ind w:left="604" w:hanging="283"/>
              <w:rPr>
                <w:rFonts w:cs="Calibri"/>
                <w:sz w:val="18"/>
                <w:szCs w:val="18"/>
              </w:rPr>
            </w:pPr>
            <w:r w:rsidRPr="00374599">
              <w:rPr>
                <w:rFonts w:cs="Calibri"/>
                <w:sz w:val="18"/>
                <w:szCs w:val="18"/>
              </w:rPr>
              <w:t>monies which cannot be accounted for; and</w:t>
            </w:r>
          </w:p>
          <w:p w14:paraId="00B9E96D" w14:textId="77777777" w:rsidR="005A41DF" w:rsidRPr="00374599" w:rsidRDefault="005A41DF" w:rsidP="007122BC">
            <w:pPr>
              <w:pStyle w:val="CommentaryText"/>
              <w:numPr>
                <w:ilvl w:val="0"/>
                <w:numId w:val="21"/>
              </w:numPr>
              <w:tabs>
                <w:tab w:val="clear" w:pos="360"/>
                <w:tab w:val="left" w:pos="3306"/>
              </w:tabs>
              <w:spacing w:after="60"/>
              <w:ind w:left="604" w:hanging="283"/>
              <w:rPr>
                <w:rFonts w:cs="Calibri"/>
                <w:sz w:val="18"/>
                <w:szCs w:val="18"/>
              </w:rPr>
            </w:pPr>
            <w:r w:rsidRPr="00374599">
              <w:rPr>
                <w:rFonts w:cs="Calibri"/>
                <w:sz w:val="18"/>
                <w:szCs w:val="18"/>
              </w:rPr>
              <w:t>monies which have been lost.</w:t>
            </w:r>
          </w:p>
          <w:p w14:paraId="33D3D6B0" w14:textId="5C962418" w:rsidR="005A41DF" w:rsidRPr="00374599" w:rsidRDefault="000B1E08" w:rsidP="005A41DF">
            <w:pPr>
              <w:pStyle w:val="TableText"/>
              <w:tabs>
                <w:tab w:val="left" w:pos="3306"/>
              </w:tabs>
              <w:jc w:val="both"/>
              <w:rPr>
                <w:rFonts w:cs="Calibri"/>
              </w:rPr>
            </w:pPr>
            <w:r w:rsidRPr="00374599">
              <w:rPr>
                <w:rFonts w:cs="Calibri"/>
              </w:rPr>
              <w:t xml:space="preserve">Losses or Deficiencies in Public Monies are expensed during the year in which </w:t>
            </w:r>
            <w:r w:rsidR="00BE16A7" w:rsidRPr="00374599">
              <w:rPr>
                <w:rFonts w:cs="Calibri"/>
              </w:rPr>
              <w:t>these deficiencies were discovered</w:t>
            </w:r>
            <w:r w:rsidRPr="00374599">
              <w:rPr>
                <w:rFonts w:cs="Calibri"/>
              </w:rPr>
              <w:t>.</w:t>
            </w:r>
          </w:p>
        </w:tc>
      </w:tr>
      <w:tr w:rsidR="005A41DF" w:rsidRPr="00CF7E1B" w14:paraId="26CAD02B" w14:textId="77777777" w:rsidTr="005F5B4C">
        <w:trPr>
          <w:cantSplit/>
          <w:trHeight w:val="23"/>
        </w:trPr>
        <w:tc>
          <w:tcPr>
            <w:tcW w:w="741" w:type="pct"/>
            <w:tcBorders>
              <w:top w:val="nil"/>
              <w:left w:val="single" w:sz="2" w:space="0" w:color="auto"/>
              <w:bottom w:val="nil"/>
              <w:right w:val="single" w:sz="2" w:space="0" w:color="auto"/>
            </w:tcBorders>
          </w:tcPr>
          <w:p w14:paraId="190C17AE" w14:textId="77777777" w:rsidR="005A41DF" w:rsidRPr="00374599" w:rsidRDefault="005A41DF" w:rsidP="005A41DF">
            <w:pPr>
              <w:pStyle w:val="TableReference"/>
              <w:tabs>
                <w:tab w:val="left" w:pos="3306"/>
              </w:tabs>
              <w:rPr>
                <w:rFonts w:cs="Calibri"/>
                <w:color w:val="7030A0"/>
                <w:sz w:val="16"/>
                <w:szCs w:val="16"/>
              </w:rPr>
            </w:pPr>
          </w:p>
        </w:tc>
        <w:tc>
          <w:tcPr>
            <w:tcW w:w="2748" w:type="pct"/>
            <w:tcBorders>
              <w:top w:val="nil"/>
              <w:left w:val="single" w:sz="2" w:space="0" w:color="auto"/>
              <w:bottom w:val="nil"/>
              <w:right w:val="nil"/>
            </w:tcBorders>
            <w:vAlign w:val="bottom"/>
          </w:tcPr>
          <w:p w14:paraId="7FF52C19" w14:textId="3CA2E72B" w:rsidR="005A41DF" w:rsidRPr="00374599" w:rsidRDefault="005A41DF" w:rsidP="00B53B78">
            <w:pPr>
              <w:pStyle w:val="TableText"/>
              <w:tabs>
                <w:tab w:val="left" w:pos="3306"/>
              </w:tabs>
              <w:spacing w:before="180"/>
              <w:rPr>
                <w:rFonts w:cs="Calibri"/>
                <w:i/>
                <w:iCs/>
              </w:rPr>
            </w:pPr>
            <w:r w:rsidRPr="00374599">
              <w:rPr>
                <w:rFonts w:cs="Calibri"/>
                <w:i/>
                <w:iCs/>
              </w:rPr>
              <w:t>Act of Grace Payments</w:t>
            </w:r>
          </w:p>
        </w:tc>
        <w:tc>
          <w:tcPr>
            <w:tcW w:w="958" w:type="pct"/>
            <w:tcBorders>
              <w:top w:val="nil"/>
              <w:left w:val="nil"/>
              <w:bottom w:val="nil"/>
              <w:right w:val="nil"/>
            </w:tcBorders>
            <w:vAlign w:val="bottom"/>
          </w:tcPr>
          <w:p w14:paraId="7BA9BCA1" w14:textId="77777777" w:rsidR="005A41DF" w:rsidRPr="00374599" w:rsidRDefault="005A41DF" w:rsidP="005A41DF">
            <w:pPr>
              <w:pStyle w:val="TableText"/>
              <w:tabs>
                <w:tab w:val="left" w:pos="3306"/>
              </w:tabs>
              <w:jc w:val="right"/>
              <w:rPr>
                <w:rFonts w:cs="Calibri"/>
                <w:b/>
                <w:bCs/>
              </w:rPr>
            </w:pPr>
          </w:p>
        </w:tc>
        <w:tc>
          <w:tcPr>
            <w:tcW w:w="553" w:type="pct"/>
            <w:tcBorders>
              <w:top w:val="nil"/>
              <w:left w:val="nil"/>
              <w:bottom w:val="nil"/>
              <w:right w:val="nil"/>
            </w:tcBorders>
            <w:vAlign w:val="bottom"/>
          </w:tcPr>
          <w:p w14:paraId="39B66EF0" w14:textId="77777777" w:rsidR="005A41DF" w:rsidRPr="00374599" w:rsidRDefault="005A41DF" w:rsidP="005A41DF">
            <w:pPr>
              <w:pStyle w:val="TableText"/>
              <w:tabs>
                <w:tab w:val="left" w:pos="3306"/>
              </w:tabs>
              <w:jc w:val="right"/>
              <w:rPr>
                <w:rFonts w:cs="Calibri"/>
                <w:b/>
                <w:bCs/>
              </w:rPr>
            </w:pPr>
          </w:p>
        </w:tc>
      </w:tr>
      <w:tr w:rsidR="005A41DF" w:rsidRPr="00CF7E1B" w14:paraId="7038E74E" w14:textId="77777777" w:rsidTr="005F5B4C">
        <w:trPr>
          <w:cantSplit/>
          <w:trHeight w:val="23"/>
        </w:trPr>
        <w:tc>
          <w:tcPr>
            <w:tcW w:w="741" w:type="pct"/>
            <w:tcBorders>
              <w:top w:val="nil"/>
              <w:left w:val="single" w:sz="2" w:space="0" w:color="auto"/>
              <w:bottom w:val="nil"/>
              <w:right w:val="single" w:sz="2" w:space="0" w:color="auto"/>
            </w:tcBorders>
          </w:tcPr>
          <w:p w14:paraId="780D25DD" w14:textId="4670BCAC" w:rsidR="005A41DF" w:rsidRPr="00374599" w:rsidRDefault="005A41DF" w:rsidP="005A41DF">
            <w:pPr>
              <w:pStyle w:val="TableReference"/>
              <w:tabs>
                <w:tab w:val="left" w:pos="3306"/>
              </w:tabs>
              <w:spacing w:before="60"/>
              <w:rPr>
                <w:rFonts w:cs="Calibri"/>
                <w:color w:val="7030A0"/>
                <w:sz w:val="14"/>
              </w:rPr>
            </w:pPr>
            <w:r w:rsidRPr="00374599">
              <w:rPr>
                <w:rFonts w:cs="Calibri"/>
                <w:color w:val="7030A0"/>
                <w:sz w:val="14"/>
              </w:rPr>
              <w:t>FMA Sec 130</w:t>
            </w:r>
          </w:p>
          <w:p w14:paraId="45BC7F6B" w14:textId="72A3EC60" w:rsidR="005A41DF" w:rsidRPr="00374599" w:rsidRDefault="005A41DF" w:rsidP="005A41DF">
            <w:pPr>
              <w:pStyle w:val="TableReference"/>
              <w:tabs>
                <w:tab w:val="left" w:pos="3306"/>
              </w:tabs>
              <w:spacing w:before="60"/>
              <w:rPr>
                <w:rFonts w:cs="Calibri"/>
                <w:color w:val="7030A0"/>
                <w:sz w:val="16"/>
                <w:szCs w:val="16"/>
              </w:rPr>
            </w:pPr>
            <w:r w:rsidRPr="00374599">
              <w:rPr>
                <w:rFonts w:cs="Calibri"/>
                <w:color w:val="7030A0"/>
                <w:sz w:val="14"/>
              </w:rPr>
              <w:t>ACT Disclosure Policy</w:t>
            </w:r>
          </w:p>
        </w:tc>
        <w:tc>
          <w:tcPr>
            <w:tcW w:w="4259" w:type="pct"/>
            <w:gridSpan w:val="3"/>
            <w:tcBorders>
              <w:top w:val="nil"/>
              <w:left w:val="single" w:sz="2" w:space="0" w:color="auto"/>
              <w:bottom w:val="nil"/>
              <w:right w:val="nil"/>
            </w:tcBorders>
          </w:tcPr>
          <w:p w14:paraId="42346CA6" w14:textId="0C164BAF" w:rsidR="005A41DF" w:rsidRPr="00374599" w:rsidRDefault="005A41DF" w:rsidP="00B53B78">
            <w:pPr>
              <w:pStyle w:val="TableText"/>
              <w:tabs>
                <w:tab w:val="left" w:pos="3306"/>
              </w:tabs>
              <w:spacing w:after="180"/>
              <w:jc w:val="both"/>
              <w:rPr>
                <w:rFonts w:cs="Calibri"/>
                <w:b/>
                <w:bCs/>
              </w:rPr>
            </w:pPr>
            <w:r w:rsidRPr="00374599">
              <w:rPr>
                <w:rFonts w:cs="Calibri"/>
              </w:rPr>
              <w:t>The Treasurer authorised five Act of Grace Payments.</w:t>
            </w:r>
            <w:r w:rsidR="00FA7C77">
              <w:rPr>
                <w:rFonts w:cs="Calibri"/>
              </w:rPr>
              <w:t xml:space="preserve"> </w:t>
            </w:r>
            <w:r w:rsidRPr="00374599">
              <w:rPr>
                <w:rFonts w:cs="Calibri"/>
              </w:rPr>
              <w:t>Four of these payments related to an oversight made by ‘</w:t>
            </w:r>
            <w:r w:rsidRPr="00374599">
              <w:t xml:space="preserve">Burley Griffin </w:t>
            </w:r>
            <w:r w:rsidRPr="00374599">
              <w:rPr>
                <w:rFonts w:cs="Calibri"/>
              </w:rPr>
              <w:t>Agency’ regarding land development applications.</w:t>
            </w:r>
            <w:r w:rsidR="00FA7C77">
              <w:rPr>
                <w:rFonts w:cs="Calibri"/>
              </w:rPr>
              <w:t xml:space="preserve"> </w:t>
            </w:r>
            <w:r w:rsidRPr="00374599">
              <w:rPr>
                <w:rFonts w:cs="Calibri"/>
              </w:rPr>
              <w:t>The fifth payment related to a delayed heritage grant payment which resulted in the recipient incurring a penalty for late payment to a third party supplier due to not receiving the grant payment on time.</w:t>
            </w:r>
            <w:r w:rsidR="00FA7C77">
              <w:rPr>
                <w:rFonts w:cs="Calibri"/>
              </w:rPr>
              <w:t xml:space="preserve"> </w:t>
            </w:r>
            <w:r w:rsidRPr="00374599">
              <w:rPr>
                <w:rFonts w:cs="Calibri"/>
              </w:rPr>
              <w:t>The land development application oversights and the delayed grant payment did not legally entitle the applicant(s)/recipient(s) to compensation, however as all were unfairly disadvantaged by ‘</w:t>
            </w:r>
            <w:r w:rsidRPr="00374599">
              <w:t xml:space="preserve">Burley Griffin </w:t>
            </w:r>
            <w:r w:rsidRPr="00374599">
              <w:rPr>
                <w:rFonts w:cs="Calibri"/>
              </w:rPr>
              <w:t>Agency’, the Treasurer approved the Act of Grace Payments.</w:t>
            </w:r>
            <w:r w:rsidR="00FA7C77">
              <w:rPr>
                <w:rFonts w:cs="Calibri"/>
                <w:szCs w:val="20"/>
              </w:rPr>
              <w:t xml:space="preserve"> </w:t>
            </w:r>
          </w:p>
        </w:tc>
      </w:tr>
      <w:tr w:rsidR="005A41DF" w:rsidRPr="00CF7E1B" w14:paraId="2434F5E1" w14:textId="77777777" w:rsidTr="005F5B4C">
        <w:trPr>
          <w:cantSplit/>
          <w:trHeight w:val="23"/>
        </w:trPr>
        <w:tc>
          <w:tcPr>
            <w:tcW w:w="741" w:type="pct"/>
            <w:tcBorders>
              <w:top w:val="nil"/>
              <w:left w:val="single" w:sz="2" w:space="0" w:color="auto"/>
              <w:bottom w:val="nil"/>
              <w:right w:val="single" w:sz="2" w:space="0" w:color="auto"/>
            </w:tcBorders>
          </w:tcPr>
          <w:p w14:paraId="00CE596D" w14:textId="77777777" w:rsidR="005A41DF" w:rsidRPr="00374599" w:rsidRDefault="005A41DF" w:rsidP="005A41DF">
            <w:pPr>
              <w:pStyle w:val="TableReference"/>
              <w:tabs>
                <w:tab w:val="left" w:pos="3306"/>
              </w:tabs>
              <w:spacing w:before="60"/>
              <w:rPr>
                <w:rFonts w:cs="Calibri"/>
                <w:color w:val="7030A0"/>
                <w:sz w:val="14"/>
              </w:rPr>
            </w:pPr>
          </w:p>
        </w:tc>
        <w:tc>
          <w:tcPr>
            <w:tcW w:w="4259" w:type="pct"/>
            <w:gridSpan w:val="3"/>
            <w:tcBorders>
              <w:top w:val="nil"/>
              <w:left w:val="single" w:sz="2" w:space="0" w:color="auto"/>
              <w:bottom w:val="nil"/>
              <w:right w:val="nil"/>
            </w:tcBorders>
          </w:tcPr>
          <w:p w14:paraId="07495B01" w14:textId="6A9DAED4" w:rsidR="005A41DF" w:rsidRPr="00374599" w:rsidRDefault="005A41DF" w:rsidP="005A41DF">
            <w:pPr>
              <w:pStyle w:val="TableText"/>
              <w:tabs>
                <w:tab w:val="left" w:pos="3306"/>
              </w:tabs>
              <w:spacing w:before="0"/>
              <w:jc w:val="both"/>
              <w:rPr>
                <w:rFonts w:cs="Calibri"/>
                <w:i/>
                <w:iCs/>
              </w:rPr>
            </w:pPr>
            <w:r w:rsidRPr="00374599">
              <w:rPr>
                <w:rFonts w:cs="Calibri"/>
                <w:i/>
                <w:iCs/>
              </w:rPr>
              <w:t>Restructuring Expenses</w:t>
            </w:r>
          </w:p>
        </w:tc>
      </w:tr>
      <w:tr w:rsidR="005A41DF" w:rsidRPr="00CF7E1B" w14:paraId="3B9AC90B" w14:textId="77777777" w:rsidTr="005F5B4C">
        <w:trPr>
          <w:cantSplit/>
          <w:trHeight w:val="23"/>
        </w:trPr>
        <w:tc>
          <w:tcPr>
            <w:tcW w:w="741" w:type="pct"/>
            <w:tcBorders>
              <w:top w:val="nil"/>
              <w:left w:val="single" w:sz="2" w:space="0" w:color="auto"/>
              <w:bottom w:val="nil"/>
              <w:right w:val="single" w:sz="2" w:space="0" w:color="auto"/>
            </w:tcBorders>
          </w:tcPr>
          <w:p w14:paraId="7CEC824B" w14:textId="77777777" w:rsidR="005A41DF" w:rsidRPr="00374599" w:rsidRDefault="005A41DF" w:rsidP="005A41DF">
            <w:pPr>
              <w:pStyle w:val="TableReference"/>
              <w:tabs>
                <w:tab w:val="left" w:pos="3306"/>
              </w:tabs>
              <w:spacing w:before="60"/>
              <w:rPr>
                <w:rFonts w:cs="Calibri"/>
                <w:color w:val="7030A0"/>
                <w:sz w:val="14"/>
              </w:rPr>
            </w:pPr>
          </w:p>
        </w:tc>
        <w:tc>
          <w:tcPr>
            <w:tcW w:w="4259" w:type="pct"/>
            <w:gridSpan w:val="3"/>
            <w:tcBorders>
              <w:top w:val="nil"/>
              <w:left w:val="single" w:sz="2" w:space="0" w:color="auto"/>
              <w:bottom w:val="nil"/>
              <w:right w:val="nil"/>
            </w:tcBorders>
            <w:vAlign w:val="bottom"/>
          </w:tcPr>
          <w:p w14:paraId="184F7727" w14:textId="2AB058D3" w:rsidR="005A41DF" w:rsidRPr="00374599" w:rsidRDefault="005A41DF" w:rsidP="005A41DF">
            <w:pPr>
              <w:pStyle w:val="TableText"/>
              <w:tabs>
                <w:tab w:val="left" w:pos="3306"/>
              </w:tabs>
              <w:spacing w:before="0"/>
              <w:jc w:val="both"/>
              <w:rPr>
                <w:b/>
                <w:bCs/>
              </w:rPr>
            </w:pPr>
            <w:r w:rsidRPr="00374599">
              <w:rPr>
                <w:rFonts w:cs="Calibri"/>
              </w:rPr>
              <w:t>The Agency is undertaking a restructuring of a maintenance division that will result in the closure of the division and in 60 employees being made redundant.</w:t>
            </w:r>
            <w:r w:rsidR="00FA7C77">
              <w:rPr>
                <w:rFonts w:cs="Calibri"/>
              </w:rPr>
              <w:t xml:space="preserve"> </w:t>
            </w:r>
            <w:r w:rsidRPr="00374599">
              <w:rPr>
                <w:rFonts w:cs="Calibri"/>
              </w:rPr>
              <w:t>Restructuring is expected to be completed towards the end of the next reporting period.</w:t>
            </w:r>
          </w:p>
        </w:tc>
      </w:tr>
      <w:tr w:rsidR="005A41DF" w:rsidRPr="00CF7E1B" w14:paraId="2B7564C4" w14:textId="77777777" w:rsidTr="005F5B4C">
        <w:trPr>
          <w:cantSplit/>
          <w:trHeight w:val="23"/>
        </w:trPr>
        <w:tc>
          <w:tcPr>
            <w:tcW w:w="741" w:type="pct"/>
            <w:tcBorders>
              <w:top w:val="nil"/>
              <w:left w:val="single" w:sz="2" w:space="0" w:color="auto"/>
              <w:bottom w:val="nil"/>
              <w:right w:val="single" w:sz="2" w:space="0" w:color="auto"/>
            </w:tcBorders>
          </w:tcPr>
          <w:p w14:paraId="4AED0B50" w14:textId="77777777" w:rsidR="005A41DF" w:rsidRPr="00374599" w:rsidRDefault="005A41DF" w:rsidP="005A41DF">
            <w:pPr>
              <w:pStyle w:val="TableReference"/>
              <w:tabs>
                <w:tab w:val="left" w:pos="3306"/>
              </w:tabs>
              <w:spacing w:before="60"/>
              <w:rPr>
                <w:rFonts w:cs="Calibri"/>
                <w:color w:val="7030A0"/>
                <w:sz w:val="14"/>
              </w:rPr>
            </w:pPr>
          </w:p>
        </w:tc>
        <w:tc>
          <w:tcPr>
            <w:tcW w:w="4259" w:type="pct"/>
            <w:gridSpan w:val="3"/>
            <w:tcBorders>
              <w:top w:val="nil"/>
              <w:left w:val="single" w:sz="2" w:space="0" w:color="auto"/>
              <w:bottom w:val="nil"/>
              <w:right w:val="nil"/>
            </w:tcBorders>
            <w:vAlign w:val="bottom"/>
          </w:tcPr>
          <w:p w14:paraId="02D7CA37" w14:textId="6C711DE6" w:rsidR="005A41DF" w:rsidRPr="00374599" w:rsidRDefault="005A41DF" w:rsidP="005A41DF">
            <w:pPr>
              <w:pStyle w:val="TableText"/>
              <w:tabs>
                <w:tab w:val="left" w:pos="3306"/>
              </w:tabs>
              <w:spacing w:before="120"/>
              <w:jc w:val="both"/>
              <w:rPr>
                <w:b/>
                <w:bCs/>
              </w:rPr>
            </w:pPr>
            <w:r w:rsidRPr="00374599">
              <w:rPr>
                <w:rFonts w:cs="Calibri"/>
              </w:rPr>
              <w:t>The restructuring expense is recognised at the point in time when a formal detailed plan has been completed by ‘Burley Griffin Agency’ and a valid expectation has been raised, in those affected, that the restructuring will occur.</w:t>
            </w:r>
            <w:r w:rsidR="00FA7C77">
              <w:rPr>
                <w:rFonts w:cs="Calibri"/>
              </w:rPr>
              <w:t xml:space="preserve"> </w:t>
            </w:r>
          </w:p>
        </w:tc>
      </w:tr>
      <w:tr w:rsidR="005A41DF" w:rsidRPr="00CF7E1B" w14:paraId="7EE0DE2B" w14:textId="77777777" w:rsidTr="005F5B4C">
        <w:trPr>
          <w:cantSplit/>
          <w:trHeight w:val="23"/>
        </w:trPr>
        <w:tc>
          <w:tcPr>
            <w:tcW w:w="741" w:type="pct"/>
            <w:tcBorders>
              <w:top w:val="nil"/>
              <w:left w:val="single" w:sz="2" w:space="0" w:color="auto"/>
              <w:bottom w:val="nil"/>
              <w:right w:val="single" w:sz="2" w:space="0" w:color="auto"/>
            </w:tcBorders>
          </w:tcPr>
          <w:p w14:paraId="4FA6AA21" w14:textId="77777777" w:rsidR="005A41DF" w:rsidRPr="00374599" w:rsidRDefault="005A41DF" w:rsidP="005A41DF">
            <w:pPr>
              <w:pStyle w:val="TableReference"/>
              <w:tabs>
                <w:tab w:val="left" w:pos="3306"/>
              </w:tabs>
              <w:spacing w:before="60"/>
              <w:rPr>
                <w:rFonts w:cs="Calibri"/>
                <w:color w:val="7030A0"/>
                <w:sz w:val="14"/>
              </w:rPr>
            </w:pPr>
          </w:p>
        </w:tc>
        <w:tc>
          <w:tcPr>
            <w:tcW w:w="4259" w:type="pct"/>
            <w:gridSpan w:val="3"/>
            <w:tcBorders>
              <w:top w:val="nil"/>
              <w:left w:val="single" w:sz="2" w:space="0" w:color="auto"/>
              <w:bottom w:val="nil"/>
              <w:right w:val="nil"/>
            </w:tcBorders>
          </w:tcPr>
          <w:p w14:paraId="47D9856F" w14:textId="0C433853" w:rsidR="005A41DF" w:rsidRPr="00374599" w:rsidRDefault="005A41DF" w:rsidP="00B53B78">
            <w:pPr>
              <w:pStyle w:val="TableText"/>
              <w:tabs>
                <w:tab w:val="left" w:pos="3306"/>
              </w:tabs>
              <w:spacing w:before="180"/>
              <w:jc w:val="both"/>
              <w:rPr>
                <w:rFonts w:cs="Calibri"/>
              </w:rPr>
            </w:pPr>
            <w:r w:rsidRPr="00374599">
              <w:rPr>
                <w:b/>
                <w:bCs/>
              </w:rPr>
              <w:t>COVID-19 Impact</w:t>
            </w:r>
          </w:p>
        </w:tc>
      </w:tr>
      <w:tr w:rsidR="005A41DF" w:rsidRPr="00CF7E1B" w14:paraId="3CAA60ED" w14:textId="77777777" w:rsidTr="005F5B4C">
        <w:trPr>
          <w:cantSplit/>
          <w:trHeight w:val="23"/>
        </w:trPr>
        <w:tc>
          <w:tcPr>
            <w:tcW w:w="741" w:type="pct"/>
            <w:tcBorders>
              <w:top w:val="nil"/>
              <w:left w:val="single" w:sz="2" w:space="0" w:color="auto"/>
              <w:bottom w:val="nil"/>
              <w:right w:val="single" w:sz="2" w:space="0" w:color="auto"/>
            </w:tcBorders>
          </w:tcPr>
          <w:p w14:paraId="6F260B51" w14:textId="77777777" w:rsidR="005A41DF" w:rsidRPr="00374599" w:rsidRDefault="005A41DF" w:rsidP="005A41DF">
            <w:pPr>
              <w:pStyle w:val="TableReference"/>
              <w:tabs>
                <w:tab w:val="left" w:pos="3306"/>
              </w:tabs>
              <w:spacing w:before="60"/>
              <w:rPr>
                <w:rFonts w:cs="Calibri"/>
                <w:color w:val="7030A0"/>
                <w:sz w:val="14"/>
              </w:rPr>
            </w:pPr>
          </w:p>
        </w:tc>
        <w:tc>
          <w:tcPr>
            <w:tcW w:w="4259" w:type="pct"/>
            <w:gridSpan w:val="3"/>
            <w:tcBorders>
              <w:top w:val="nil"/>
              <w:left w:val="single" w:sz="2" w:space="0" w:color="auto"/>
              <w:bottom w:val="nil"/>
              <w:right w:val="nil"/>
            </w:tcBorders>
          </w:tcPr>
          <w:p w14:paraId="218D16A4" w14:textId="4EAA427C" w:rsidR="005A41DF" w:rsidRPr="00374599" w:rsidRDefault="005A41DF" w:rsidP="005A41DF">
            <w:pPr>
              <w:pStyle w:val="TableText"/>
              <w:tabs>
                <w:tab w:val="left" w:pos="3306"/>
              </w:tabs>
              <w:spacing w:before="0" w:after="120"/>
              <w:jc w:val="both"/>
              <w:rPr>
                <w:rFonts w:cs="Calibri"/>
              </w:rPr>
            </w:pPr>
            <w:r w:rsidRPr="00374599">
              <w:t>The ‘Stimulus Waivers’ relate to the waiver of sports ground hire fees as part of the ACT Government’s economic survival package to support the Territory’s economy during the COVID-19 pandemic.</w:t>
            </w:r>
            <w:r w:rsidR="00FA7C77">
              <w:t xml:space="preserve"> </w:t>
            </w:r>
            <w:r w:rsidRPr="00374599">
              <w:t>The amount of these Waivers was $xxx in 2021-22 making it material in comparison to total waivers provided by ‘Burley Griffin Agency’ of $xxx.</w:t>
            </w:r>
          </w:p>
        </w:tc>
      </w:tr>
    </w:tbl>
    <w:p w14:paraId="1F7D89F2" w14:textId="59008FFA" w:rsidR="00B53B78" w:rsidRDefault="00B53B78"/>
    <w:p w14:paraId="05A0501A" w14:textId="7AF197A2" w:rsidR="00B53B78" w:rsidRDefault="00B53B78"/>
    <w:p w14:paraId="215311CC" w14:textId="0ADE80FA" w:rsidR="00B53B78" w:rsidRDefault="00B53B78"/>
    <w:p w14:paraId="15069D56" w14:textId="39CEADA8" w:rsidR="00B53B78" w:rsidRDefault="00B53B78"/>
    <w:p w14:paraId="48E8CF76" w14:textId="77777777" w:rsidR="00B53B78" w:rsidRDefault="00B53B78"/>
    <w:tbl>
      <w:tblPr>
        <w:tblW w:w="516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4677"/>
        <w:gridCol w:w="709"/>
        <w:gridCol w:w="855"/>
        <w:gridCol w:w="421"/>
        <w:gridCol w:w="1140"/>
        <w:gridCol w:w="1163"/>
        <w:gridCol w:w="51"/>
      </w:tblGrid>
      <w:tr w:rsidR="00374599" w:rsidRPr="00374599" w14:paraId="6A58558D"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5AAC8765" w14:textId="2F8B699E" w:rsidR="00374599" w:rsidRPr="00374599" w:rsidRDefault="00374599" w:rsidP="00374599">
            <w:pPr>
              <w:pStyle w:val="TableReference"/>
              <w:tabs>
                <w:tab w:val="left" w:pos="3306"/>
              </w:tabs>
              <w:spacing w:before="240"/>
              <w:rPr>
                <w:rFonts w:cs="Calibri"/>
                <w:color w:val="7030A0"/>
                <w:sz w:val="14"/>
              </w:rPr>
            </w:pPr>
            <w:r w:rsidRPr="00374599">
              <w:rPr>
                <w:rFonts w:cs="Calibri"/>
                <w:b/>
                <w:color w:val="7030A0"/>
                <w:sz w:val="22"/>
                <w:szCs w:val="22"/>
              </w:rPr>
              <w:t>Reference</w:t>
            </w:r>
          </w:p>
        </w:tc>
        <w:tc>
          <w:tcPr>
            <w:tcW w:w="4237" w:type="pct"/>
            <w:gridSpan w:val="6"/>
            <w:tcBorders>
              <w:top w:val="nil"/>
              <w:left w:val="single" w:sz="2" w:space="0" w:color="auto"/>
              <w:bottom w:val="nil"/>
              <w:right w:val="nil"/>
            </w:tcBorders>
          </w:tcPr>
          <w:p w14:paraId="27D325A8" w14:textId="2CDA0869" w:rsidR="00374599" w:rsidRPr="00374599" w:rsidRDefault="00374599" w:rsidP="00374599">
            <w:pPr>
              <w:pStyle w:val="Heading1"/>
              <w:numPr>
                <w:ilvl w:val="0"/>
                <w:numId w:val="0"/>
              </w:numPr>
            </w:pPr>
            <w:bookmarkStart w:id="468" w:name="_Toc98763100"/>
            <w:r w:rsidRPr="00374599">
              <w:t>Note 14.</w:t>
            </w:r>
            <w:r w:rsidR="00FA7C77">
              <w:t xml:space="preserve"> </w:t>
            </w:r>
            <w:r w:rsidRPr="00374599">
              <w:t xml:space="preserve"> Other Expenses </w:t>
            </w:r>
            <w:r w:rsidR="00B81B19">
              <w:t>–</w:t>
            </w:r>
            <w:r w:rsidRPr="00374599">
              <w:t xml:space="preserve"> Continued</w:t>
            </w:r>
            <w:bookmarkEnd w:id="468"/>
            <w:r w:rsidR="00B81B19">
              <w:t xml:space="preserve"> </w:t>
            </w:r>
          </w:p>
        </w:tc>
      </w:tr>
      <w:tr w:rsidR="00374599" w:rsidRPr="00374599" w14:paraId="38680545"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69E397B9" w14:textId="77777777" w:rsidR="00374599" w:rsidRPr="00374599" w:rsidRDefault="00374599" w:rsidP="00374599">
            <w:pPr>
              <w:pStyle w:val="TableReference"/>
              <w:tabs>
                <w:tab w:val="left" w:pos="3306"/>
              </w:tabs>
              <w:spacing w:before="240"/>
              <w:rPr>
                <w:rFonts w:cs="Calibri"/>
                <w:color w:val="7030A0"/>
                <w:sz w:val="16"/>
                <w:szCs w:val="16"/>
              </w:rPr>
            </w:pPr>
          </w:p>
        </w:tc>
        <w:tc>
          <w:tcPr>
            <w:tcW w:w="2950" w:type="pct"/>
            <w:gridSpan w:val="3"/>
            <w:tcBorders>
              <w:top w:val="nil"/>
              <w:left w:val="single" w:sz="2" w:space="0" w:color="auto"/>
              <w:bottom w:val="nil"/>
              <w:right w:val="nil"/>
            </w:tcBorders>
            <w:vAlign w:val="bottom"/>
          </w:tcPr>
          <w:p w14:paraId="5B4085F2" w14:textId="77777777" w:rsidR="00374599" w:rsidRPr="00374599" w:rsidRDefault="00374599" w:rsidP="00374599">
            <w:pPr>
              <w:pStyle w:val="TableText"/>
              <w:tabs>
                <w:tab w:val="left" w:pos="3306"/>
              </w:tabs>
              <w:rPr>
                <w:rFonts w:cs="Calibri"/>
              </w:rPr>
            </w:pPr>
          </w:p>
        </w:tc>
        <w:tc>
          <w:tcPr>
            <w:tcW w:w="738" w:type="pct"/>
            <w:gridSpan w:val="2"/>
            <w:tcBorders>
              <w:top w:val="nil"/>
              <w:left w:val="nil"/>
              <w:bottom w:val="nil"/>
              <w:right w:val="nil"/>
            </w:tcBorders>
            <w:vAlign w:val="bottom"/>
          </w:tcPr>
          <w:p w14:paraId="555F8AC6" w14:textId="7D538B4D" w:rsidR="00374599" w:rsidRPr="00374599" w:rsidRDefault="00374599" w:rsidP="00374599">
            <w:pPr>
              <w:pStyle w:val="TableText"/>
              <w:tabs>
                <w:tab w:val="left" w:pos="3306"/>
              </w:tabs>
              <w:jc w:val="right"/>
              <w:rPr>
                <w:rFonts w:cs="Calibri"/>
                <w:b/>
                <w:bCs/>
              </w:rPr>
            </w:pPr>
            <w:r w:rsidRPr="00374599">
              <w:rPr>
                <w:rFonts w:cs="Calibri"/>
                <w:b/>
                <w:bCs/>
              </w:rPr>
              <w:t>2022</w:t>
            </w:r>
          </w:p>
          <w:p w14:paraId="4D5BC36B" w14:textId="77777777" w:rsidR="00374599" w:rsidRPr="00374599" w:rsidRDefault="00374599" w:rsidP="00374599">
            <w:pPr>
              <w:pStyle w:val="TableText"/>
              <w:tabs>
                <w:tab w:val="left" w:pos="3306"/>
              </w:tabs>
              <w:jc w:val="right"/>
              <w:rPr>
                <w:rFonts w:cs="Calibri"/>
                <w:b/>
                <w:bCs/>
              </w:rPr>
            </w:pPr>
            <w:r w:rsidRPr="00374599">
              <w:rPr>
                <w:rFonts w:cs="Calibri"/>
                <w:b/>
                <w:bCs/>
              </w:rPr>
              <w:t xml:space="preserve"> $’000</w:t>
            </w:r>
          </w:p>
        </w:tc>
        <w:tc>
          <w:tcPr>
            <w:tcW w:w="550" w:type="pct"/>
            <w:tcBorders>
              <w:top w:val="nil"/>
              <w:left w:val="nil"/>
              <w:bottom w:val="nil"/>
              <w:right w:val="nil"/>
            </w:tcBorders>
            <w:vAlign w:val="bottom"/>
          </w:tcPr>
          <w:p w14:paraId="5464B284" w14:textId="01B3A41E" w:rsidR="00374599" w:rsidRPr="00374599" w:rsidRDefault="00374599" w:rsidP="00374599">
            <w:pPr>
              <w:pStyle w:val="TableText"/>
              <w:tabs>
                <w:tab w:val="left" w:pos="3306"/>
              </w:tabs>
              <w:jc w:val="right"/>
              <w:rPr>
                <w:rFonts w:cs="Calibri"/>
                <w:b/>
                <w:bCs/>
              </w:rPr>
            </w:pPr>
            <w:r w:rsidRPr="00374599">
              <w:rPr>
                <w:rFonts w:cs="Calibri"/>
                <w:b/>
                <w:bCs/>
              </w:rPr>
              <w:t xml:space="preserve">2021 </w:t>
            </w:r>
          </w:p>
          <w:p w14:paraId="36215935" w14:textId="77777777" w:rsidR="00374599" w:rsidRPr="00374599" w:rsidRDefault="00374599" w:rsidP="00374599">
            <w:pPr>
              <w:pStyle w:val="TableText"/>
              <w:tabs>
                <w:tab w:val="left" w:pos="3306"/>
              </w:tabs>
              <w:jc w:val="right"/>
              <w:rPr>
                <w:rFonts w:cs="Calibri"/>
                <w:b/>
                <w:bCs/>
              </w:rPr>
            </w:pPr>
            <w:r w:rsidRPr="00374599">
              <w:rPr>
                <w:rFonts w:cs="Calibri"/>
                <w:b/>
                <w:bCs/>
              </w:rPr>
              <w:t>$’000</w:t>
            </w:r>
          </w:p>
        </w:tc>
      </w:tr>
      <w:tr w:rsidR="00374599" w:rsidRPr="00374599" w14:paraId="36A1BAB8"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099EF8B1" w14:textId="77777777" w:rsidR="00374599" w:rsidRPr="00374599" w:rsidRDefault="00374599" w:rsidP="00374599">
            <w:pPr>
              <w:pStyle w:val="TableReference"/>
              <w:tabs>
                <w:tab w:val="left" w:pos="3306"/>
              </w:tabs>
              <w:spacing w:before="40"/>
              <w:rPr>
                <w:rFonts w:cs="Calibri"/>
                <w:color w:val="7030A0"/>
                <w:sz w:val="16"/>
                <w:szCs w:val="16"/>
              </w:rPr>
            </w:pPr>
          </w:p>
        </w:tc>
        <w:tc>
          <w:tcPr>
            <w:tcW w:w="2950" w:type="pct"/>
            <w:gridSpan w:val="3"/>
            <w:tcBorders>
              <w:top w:val="nil"/>
              <w:left w:val="single" w:sz="2" w:space="0" w:color="auto"/>
              <w:bottom w:val="nil"/>
              <w:right w:val="nil"/>
            </w:tcBorders>
            <w:vAlign w:val="bottom"/>
          </w:tcPr>
          <w:p w14:paraId="32B762DC" w14:textId="77777777" w:rsidR="00374599" w:rsidRPr="00374599" w:rsidRDefault="00374599" w:rsidP="00374599">
            <w:pPr>
              <w:pStyle w:val="TableText"/>
              <w:tabs>
                <w:tab w:val="left" w:pos="3306"/>
              </w:tabs>
              <w:rPr>
                <w:rFonts w:cs="Calibri"/>
              </w:rPr>
            </w:pPr>
            <w:r w:rsidRPr="00374599">
              <w:rPr>
                <w:rFonts w:cs="Calibri"/>
              </w:rPr>
              <w:t xml:space="preserve">Losses from the </w:t>
            </w:r>
            <w:smartTag w:uri="urn:schemas-microsoft-com:office:smarttags" w:element="place">
              <w:smartTag w:uri="urn:schemas-microsoft-com:office:smarttags" w:element="City">
                <w:r w:rsidRPr="00374599">
                  <w:rPr>
                    <w:rFonts w:cs="Calibri"/>
                  </w:rPr>
                  <w:t>Sale</w:t>
                </w:r>
              </w:smartTag>
            </w:smartTag>
            <w:r w:rsidRPr="00374599">
              <w:rPr>
                <w:rFonts w:cs="Calibri"/>
              </w:rPr>
              <w:t xml:space="preserve"> of Assets</w:t>
            </w:r>
          </w:p>
        </w:tc>
        <w:tc>
          <w:tcPr>
            <w:tcW w:w="738" w:type="pct"/>
            <w:gridSpan w:val="2"/>
            <w:tcBorders>
              <w:top w:val="nil"/>
              <w:left w:val="nil"/>
              <w:bottom w:val="nil"/>
              <w:right w:val="nil"/>
            </w:tcBorders>
            <w:vAlign w:val="bottom"/>
          </w:tcPr>
          <w:p w14:paraId="4058737B" w14:textId="3FF6929B" w:rsidR="00374599" w:rsidRPr="00374599" w:rsidRDefault="00374599" w:rsidP="00374599">
            <w:pPr>
              <w:pStyle w:val="TableText"/>
              <w:tabs>
                <w:tab w:val="left" w:pos="3306"/>
              </w:tabs>
              <w:jc w:val="right"/>
              <w:rPr>
                <w:rFonts w:cs="Calibri"/>
              </w:rPr>
            </w:pPr>
          </w:p>
        </w:tc>
        <w:tc>
          <w:tcPr>
            <w:tcW w:w="550" w:type="pct"/>
            <w:tcBorders>
              <w:top w:val="nil"/>
              <w:left w:val="nil"/>
              <w:bottom w:val="nil"/>
              <w:right w:val="nil"/>
            </w:tcBorders>
            <w:vAlign w:val="bottom"/>
          </w:tcPr>
          <w:p w14:paraId="1C52FC32" w14:textId="017D5370" w:rsidR="00374599" w:rsidRPr="00374599" w:rsidRDefault="00374599" w:rsidP="00374599">
            <w:pPr>
              <w:pStyle w:val="TableText"/>
              <w:tabs>
                <w:tab w:val="left" w:pos="3306"/>
              </w:tabs>
              <w:jc w:val="right"/>
              <w:rPr>
                <w:rFonts w:cs="Calibri"/>
              </w:rPr>
            </w:pPr>
          </w:p>
        </w:tc>
      </w:tr>
      <w:tr w:rsidR="00374599" w:rsidRPr="00374599" w14:paraId="16CD9844"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7584F34A" w14:textId="77777777" w:rsidR="00374599" w:rsidRPr="00374599" w:rsidRDefault="00374599" w:rsidP="00374599">
            <w:pPr>
              <w:pStyle w:val="TableReference"/>
              <w:tabs>
                <w:tab w:val="left" w:pos="3306"/>
              </w:tabs>
              <w:spacing w:before="40"/>
              <w:rPr>
                <w:rFonts w:cs="Calibri"/>
                <w:color w:val="7030A0"/>
                <w:sz w:val="16"/>
                <w:szCs w:val="16"/>
              </w:rPr>
            </w:pPr>
          </w:p>
        </w:tc>
        <w:tc>
          <w:tcPr>
            <w:tcW w:w="2950" w:type="pct"/>
            <w:gridSpan w:val="3"/>
            <w:tcBorders>
              <w:top w:val="nil"/>
              <w:left w:val="single" w:sz="2" w:space="0" w:color="auto"/>
              <w:bottom w:val="nil"/>
              <w:right w:val="nil"/>
            </w:tcBorders>
            <w:vAlign w:val="bottom"/>
          </w:tcPr>
          <w:p w14:paraId="087664E8" w14:textId="465ED36D" w:rsidR="00374599" w:rsidRPr="00374599" w:rsidRDefault="00374599" w:rsidP="00374599">
            <w:pPr>
              <w:pStyle w:val="TableText"/>
              <w:tabs>
                <w:tab w:val="left" w:pos="3306"/>
              </w:tabs>
              <w:rPr>
                <w:rFonts w:cs="Calibri"/>
              </w:rPr>
            </w:pPr>
            <w:bookmarkStart w:id="469" w:name="_Hlk90625288"/>
            <w:r w:rsidRPr="00374599">
              <w:rPr>
                <w:rFonts w:cs="Calibri"/>
              </w:rPr>
              <w:t>Losses from Donated Assets</w:t>
            </w:r>
            <w:r w:rsidRPr="00374599">
              <w:rPr>
                <w:rFonts w:cs="Calibri"/>
                <w:vertAlign w:val="superscript"/>
              </w:rPr>
              <w:t>a</w:t>
            </w:r>
            <w:bookmarkEnd w:id="469"/>
          </w:p>
        </w:tc>
        <w:tc>
          <w:tcPr>
            <w:tcW w:w="738" w:type="pct"/>
            <w:gridSpan w:val="2"/>
            <w:tcBorders>
              <w:top w:val="nil"/>
              <w:left w:val="nil"/>
              <w:bottom w:val="nil"/>
              <w:right w:val="nil"/>
            </w:tcBorders>
            <w:vAlign w:val="bottom"/>
          </w:tcPr>
          <w:p w14:paraId="4109D80C" w14:textId="007D4C7B" w:rsidR="00374599" w:rsidRPr="00374599" w:rsidRDefault="00374599" w:rsidP="00374599">
            <w:pPr>
              <w:pStyle w:val="TableText"/>
              <w:tabs>
                <w:tab w:val="left" w:pos="3306"/>
              </w:tabs>
              <w:jc w:val="right"/>
              <w:rPr>
                <w:rFonts w:cs="Calibri"/>
              </w:rPr>
            </w:pPr>
          </w:p>
        </w:tc>
        <w:tc>
          <w:tcPr>
            <w:tcW w:w="550" w:type="pct"/>
            <w:tcBorders>
              <w:top w:val="nil"/>
              <w:left w:val="nil"/>
              <w:bottom w:val="nil"/>
              <w:right w:val="nil"/>
            </w:tcBorders>
            <w:vAlign w:val="bottom"/>
          </w:tcPr>
          <w:p w14:paraId="31B20DF1" w14:textId="71631082" w:rsidR="00374599" w:rsidRPr="00374599" w:rsidRDefault="00374599" w:rsidP="00374599">
            <w:pPr>
              <w:pStyle w:val="TableText"/>
              <w:tabs>
                <w:tab w:val="left" w:pos="3306"/>
              </w:tabs>
              <w:jc w:val="right"/>
              <w:rPr>
                <w:rFonts w:cs="Calibri"/>
              </w:rPr>
            </w:pPr>
          </w:p>
        </w:tc>
      </w:tr>
      <w:tr w:rsidR="00374599" w:rsidRPr="00374599" w14:paraId="1F93B19E"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793D0F7D" w14:textId="7777777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102.36(e) &amp; AASB 101.98(a)</w:t>
            </w:r>
          </w:p>
        </w:tc>
        <w:tc>
          <w:tcPr>
            <w:tcW w:w="2950" w:type="pct"/>
            <w:gridSpan w:val="3"/>
            <w:tcBorders>
              <w:top w:val="nil"/>
              <w:left w:val="single" w:sz="2" w:space="0" w:color="auto"/>
              <w:bottom w:val="nil"/>
              <w:right w:val="nil"/>
            </w:tcBorders>
            <w:vAlign w:val="center"/>
          </w:tcPr>
          <w:p w14:paraId="36881523" w14:textId="77777777" w:rsidR="00374599" w:rsidRPr="00374599" w:rsidRDefault="00374599" w:rsidP="00374599">
            <w:pPr>
              <w:pStyle w:val="TableText"/>
              <w:tabs>
                <w:tab w:val="left" w:pos="3306"/>
              </w:tabs>
              <w:rPr>
                <w:rFonts w:cs="Calibri"/>
              </w:rPr>
            </w:pPr>
            <w:r w:rsidRPr="00374599">
              <w:rPr>
                <w:rFonts w:cs="Calibri"/>
              </w:rPr>
              <w:t>Write-down in Inventory</w:t>
            </w:r>
          </w:p>
        </w:tc>
        <w:tc>
          <w:tcPr>
            <w:tcW w:w="738" w:type="pct"/>
            <w:gridSpan w:val="2"/>
            <w:tcBorders>
              <w:top w:val="nil"/>
              <w:left w:val="nil"/>
              <w:bottom w:val="nil"/>
              <w:right w:val="nil"/>
            </w:tcBorders>
            <w:vAlign w:val="bottom"/>
          </w:tcPr>
          <w:p w14:paraId="1D9FBAC1" w14:textId="59A37A14" w:rsidR="00374599" w:rsidRPr="00374599" w:rsidRDefault="00374599" w:rsidP="00374599">
            <w:pPr>
              <w:pStyle w:val="TableText"/>
              <w:tabs>
                <w:tab w:val="left" w:pos="3306"/>
              </w:tabs>
              <w:jc w:val="right"/>
              <w:rPr>
                <w:rFonts w:cs="Calibri"/>
              </w:rPr>
            </w:pPr>
          </w:p>
        </w:tc>
        <w:tc>
          <w:tcPr>
            <w:tcW w:w="550" w:type="pct"/>
            <w:tcBorders>
              <w:top w:val="nil"/>
              <w:left w:val="nil"/>
              <w:bottom w:val="nil"/>
              <w:right w:val="nil"/>
            </w:tcBorders>
            <w:vAlign w:val="bottom"/>
          </w:tcPr>
          <w:p w14:paraId="13CC4C31" w14:textId="6BD15B2B" w:rsidR="00374599" w:rsidRPr="00374599" w:rsidRDefault="00374599" w:rsidP="00374599">
            <w:pPr>
              <w:pStyle w:val="TableText"/>
              <w:tabs>
                <w:tab w:val="left" w:pos="3306"/>
              </w:tabs>
              <w:jc w:val="right"/>
              <w:rPr>
                <w:rFonts w:cs="Calibri"/>
              </w:rPr>
            </w:pPr>
          </w:p>
        </w:tc>
      </w:tr>
      <w:tr w:rsidR="00374599" w:rsidRPr="00374599" w14:paraId="4A532F49"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0011CE9F" w14:textId="77777777" w:rsidR="00374599" w:rsidRPr="00374599" w:rsidRDefault="00374599" w:rsidP="00374599">
            <w:pPr>
              <w:pStyle w:val="TableReference"/>
              <w:tabs>
                <w:tab w:val="left" w:pos="3306"/>
              </w:tabs>
              <w:spacing w:before="40"/>
              <w:rPr>
                <w:rFonts w:cs="Calibri"/>
                <w:color w:val="7030A0"/>
                <w:sz w:val="16"/>
                <w:szCs w:val="16"/>
              </w:rPr>
            </w:pPr>
          </w:p>
        </w:tc>
        <w:tc>
          <w:tcPr>
            <w:tcW w:w="2950" w:type="pct"/>
            <w:gridSpan w:val="3"/>
            <w:tcBorders>
              <w:top w:val="nil"/>
              <w:left w:val="single" w:sz="2" w:space="0" w:color="auto"/>
              <w:bottom w:val="nil"/>
              <w:right w:val="nil"/>
            </w:tcBorders>
            <w:vAlign w:val="bottom"/>
          </w:tcPr>
          <w:p w14:paraId="46306388" w14:textId="1A17CFB9" w:rsidR="00374599" w:rsidRPr="00374599" w:rsidRDefault="00374599" w:rsidP="00374599">
            <w:pPr>
              <w:pStyle w:val="TableText"/>
              <w:tabs>
                <w:tab w:val="left" w:pos="3306"/>
              </w:tabs>
              <w:rPr>
                <w:rFonts w:cs="Calibri"/>
              </w:rPr>
            </w:pPr>
            <w:r w:rsidRPr="00374599">
              <w:rPr>
                <w:rFonts w:cs="Calibri"/>
              </w:rPr>
              <w:t>Restoration of Contaminated Sites Expense</w:t>
            </w:r>
            <w:r w:rsidRPr="00374599">
              <w:rPr>
                <w:rFonts w:cs="Calibri"/>
                <w:vertAlign w:val="superscript"/>
              </w:rPr>
              <w:t>b</w:t>
            </w:r>
          </w:p>
        </w:tc>
        <w:tc>
          <w:tcPr>
            <w:tcW w:w="738" w:type="pct"/>
            <w:gridSpan w:val="2"/>
            <w:tcBorders>
              <w:top w:val="nil"/>
              <w:left w:val="nil"/>
              <w:bottom w:val="nil"/>
              <w:right w:val="nil"/>
            </w:tcBorders>
            <w:vAlign w:val="bottom"/>
          </w:tcPr>
          <w:p w14:paraId="496733F8" w14:textId="64FF1F40" w:rsidR="00374599" w:rsidRPr="00374599" w:rsidRDefault="00374599" w:rsidP="00374599">
            <w:pPr>
              <w:pStyle w:val="TableText"/>
              <w:tabs>
                <w:tab w:val="left" w:pos="3306"/>
              </w:tabs>
              <w:jc w:val="right"/>
              <w:rPr>
                <w:rFonts w:cs="Calibri"/>
              </w:rPr>
            </w:pPr>
          </w:p>
        </w:tc>
        <w:tc>
          <w:tcPr>
            <w:tcW w:w="550" w:type="pct"/>
            <w:tcBorders>
              <w:top w:val="nil"/>
              <w:left w:val="nil"/>
              <w:bottom w:val="nil"/>
              <w:right w:val="nil"/>
            </w:tcBorders>
            <w:vAlign w:val="bottom"/>
          </w:tcPr>
          <w:p w14:paraId="17419739" w14:textId="6F8F3C09" w:rsidR="00374599" w:rsidRPr="00374599" w:rsidRDefault="00374599" w:rsidP="00374599">
            <w:pPr>
              <w:pStyle w:val="TableText"/>
              <w:tabs>
                <w:tab w:val="left" w:pos="3306"/>
              </w:tabs>
              <w:jc w:val="right"/>
              <w:rPr>
                <w:rFonts w:cs="Calibri"/>
              </w:rPr>
            </w:pPr>
          </w:p>
        </w:tc>
      </w:tr>
      <w:tr w:rsidR="00374599" w:rsidRPr="00374599" w14:paraId="2D91E311"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7449EB98" w14:textId="77777777" w:rsidR="00374599" w:rsidRPr="00374599" w:rsidRDefault="00374599" w:rsidP="00374599">
            <w:pPr>
              <w:pStyle w:val="TableReference"/>
              <w:tabs>
                <w:tab w:val="left" w:pos="3306"/>
              </w:tabs>
              <w:spacing w:before="40"/>
              <w:rPr>
                <w:rFonts w:cs="Calibri"/>
                <w:color w:val="7030A0"/>
                <w:sz w:val="16"/>
                <w:szCs w:val="16"/>
              </w:rPr>
            </w:pPr>
          </w:p>
        </w:tc>
        <w:tc>
          <w:tcPr>
            <w:tcW w:w="2950" w:type="pct"/>
            <w:gridSpan w:val="3"/>
            <w:tcBorders>
              <w:top w:val="nil"/>
              <w:left w:val="single" w:sz="2" w:space="0" w:color="auto"/>
              <w:bottom w:val="nil"/>
              <w:right w:val="nil"/>
            </w:tcBorders>
            <w:vAlign w:val="bottom"/>
          </w:tcPr>
          <w:p w14:paraId="52E00B85" w14:textId="5FFB18B4" w:rsidR="00374599" w:rsidRPr="00374599" w:rsidRDefault="00374599" w:rsidP="00374599">
            <w:pPr>
              <w:pStyle w:val="TableText"/>
              <w:tabs>
                <w:tab w:val="left" w:pos="3306"/>
              </w:tabs>
              <w:rPr>
                <w:rFonts w:cs="Calibri"/>
              </w:rPr>
            </w:pPr>
            <w:r w:rsidRPr="00374599">
              <w:rPr>
                <w:rFonts w:cs="Calibri"/>
              </w:rPr>
              <w:t>Waivers (see below for further information about Waivers)</w:t>
            </w:r>
          </w:p>
        </w:tc>
        <w:tc>
          <w:tcPr>
            <w:tcW w:w="738" w:type="pct"/>
            <w:gridSpan w:val="2"/>
            <w:tcBorders>
              <w:top w:val="nil"/>
              <w:left w:val="nil"/>
              <w:bottom w:val="nil"/>
              <w:right w:val="nil"/>
            </w:tcBorders>
            <w:vAlign w:val="bottom"/>
          </w:tcPr>
          <w:p w14:paraId="7826DD55" w14:textId="1245F8F5"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0605F4ED" w14:textId="2A5ECF5D" w:rsidR="00374599" w:rsidRPr="00374599" w:rsidRDefault="00374599" w:rsidP="00374599">
            <w:pPr>
              <w:pStyle w:val="TableText"/>
              <w:tabs>
                <w:tab w:val="left" w:pos="3306"/>
              </w:tabs>
              <w:jc w:val="right"/>
              <w:rPr>
                <w:rFonts w:cs="Calibri"/>
              </w:rPr>
            </w:pPr>
          </w:p>
        </w:tc>
      </w:tr>
      <w:tr w:rsidR="00374599" w:rsidRPr="00374599" w14:paraId="6E6C0434"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1E4C8C48" w14:textId="77777777" w:rsidR="00374599" w:rsidRPr="00374599" w:rsidRDefault="00374599" w:rsidP="00374599">
            <w:pPr>
              <w:pStyle w:val="TableReference"/>
              <w:tabs>
                <w:tab w:val="left" w:pos="3306"/>
              </w:tabs>
              <w:spacing w:before="40"/>
              <w:rPr>
                <w:rFonts w:cs="Calibri"/>
                <w:color w:val="7030A0"/>
                <w:sz w:val="16"/>
                <w:szCs w:val="16"/>
              </w:rPr>
            </w:pPr>
          </w:p>
        </w:tc>
        <w:tc>
          <w:tcPr>
            <w:tcW w:w="2950" w:type="pct"/>
            <w:gridSpan w:val="3"/>
            <w:tcBorders>
              <w:top w:val="nil"/>
              <w:left w:val="single" w:sz="2" w:space="0" w:color="auto"/>
              <w:bottom w:val="nil"/>
              <w:right w:val="nil"/>
            </w:tcBorders>
            <w:vAlign w:val="bottom"/>
          </w:tcPr>
          <w:p w14:paraId="79AE56EE" w14:textId="21ED3C93" w:rsidR="00374599" w:rsidRPr="00374599" w:rsidRDefault="00374599" w:rsidP="00374599">
            <w:pPr>
              <w:pStyle w:val="TableText"/>
              <w:tabs>
                <w:tab w:val="left" w:pos="3306"/>
              </w:tabs>
              <w:rPr>
                <w:rFonts w:cs="Calibri"/>
              </w:rPr>
            </w:pPr>
            <w:r w:rsidRPr="00374599">
              <w:rPr>
                <w:rFonts w:cs="Calibri"/>
              </w:rPr>
              <w:t>Impairment Losses</w:t>
            </w:r>
          </w:p>
        </w:tc>
        <w:tc>
          <w:tcPr>
            <w:tcW w:w="738" w:type="pct"/>
            <w:gridSpan w:val="2"/>
            <w:tcBorders>
              <w:top w:val="nil"/>
              <w:left w:val="nil"/>
              <w:bottom w:val="nil"/>
              <w:right w:val="nil"/>
            </w:tcBorders>
            <w:vAlign w:val="bottom"/>
          </w:tcPr>
          <w:p w14:paraId="3049F22E" w14:textId="77777777"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1FDCA328" w14:textId="77777777" w:rsidR="00374599" w:rsidRPr="00374599" w:rsidRDefault="00374599" w:rsidP="00374599">
            <w:pPr>
              <w:pStyle w:val="TableText"/>
              <w:tabs>
                <w:tab w:val="left" w:pos="3306"/>
              </w:tabs>
              <w:jc w:val="right"/>
              <w:rPr>
                <w:rFonts w:cs="Calibri"/>
              </w:rPr>
            </w:pPr>
          </w:p>
        </w:tc>
      </w:tr>
      <w:tr w:rsidR="00374599" w:rsidRPr="00374599" w14:paraId="2BE1D2FE"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1B0DD573" w14:textId="19B6B1E6"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AASB 7.20(a)(vi)</w:t>
            </w:r>
          </w:p>
        </w:tc>
        <w:tc>
          <w:tcPr>
            <w:tcW w:w="2950" w:type="pct"/>
            <w:gridSpan w:val="3"/>
            <w:tcBorders>
              <w:top w:val="nil"/>
              <w:left w:val="single" w:sz="2" w:space="0" w:color="auto"/>
              <w:bottom w:val="nil"/>
              <w:right w:val="nil"/>
            </w:tcBorders>
            <w:vAlign w:val="bottom"/>
          </w:tcPr>
          <w:p w14:paraId="7CC24FA6" w14:textId="48721BBF" w:rsidR="00374599" w:rsidRPr="00374599" w:rsidRDefault="00FA7C77" w:rsidP="00374599">
            <w:pPr>
              <w:pStyle w:val="TableText"/>
              <w:tabs>
                <w:tab w:val="left" w:pos="3306"/>
              </w:tabs>
              <w:ind w:left="314" w:hanging="314"/>
              <w:rPr>
                <w:rFonts w:cs="Calibri"/>
              </w:rPr>
            </w:pPr>
            <w:r>
              <w:rPr>
                <w:rFonts w:cs="Calibri"/>
              </w:rPr>
              <w:t xml:space="preserve">  </w:t>
            </w:r>
            <w:r w:rsidR="00374599" w:rsidRPr="00374599">
              <w:rPr>
                <w:rFonts w:cs="Calibri"/>
              </w:rPr>
              <w:t xml:space="preserve"> - Expected Credit Loss Expense – Accounts Receivables (also see Note 16)</w:t>
            </w:r>
          </w:p>
        </w:tc>
        <w:tc>
          <w:tcPr>
            <w:tcW w:w="738" w:type="pct"/>
            <w:gridSpan w:val="2"/>
            <w:tcBorders>
              <w:top w:val="nil"/>
              <w:left w:val="nil"/>
              <w:bottom w:val="nil"/>
              <w:right w:val="nil"/>
            </w:tcBorders>
            <w:vAlign w:val="bottom"/>
          </w:tcPr>
          <w:p w14:paraId="4576A052" w14:textId="77777777"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72F13DEE" w14:textId="77777777" w:rsidR="00374599" w:rsidRPr="00374599" w:rsidRDefault="00374599" w:rsidP="00374599">
            <w:pPr>
              <w:pStyle w:val="TableText"/>
              <w:tabs>
                <w:tab w:val="left" w:pos="3306"/>
              </w:tabs>
              <w:jc w:val="right"/>
              <w:rPr>
                <w:rFonts w:cs="Calibri"/>
              </w:rPr>
            </w:pPr>
          </w:p>
        </w:tc>
      </w:tr>
      <w:tr w:rsidR="00374599" w:rsidRPr="00374599" w14:paraId="5AC66CD2"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109320E5" w14:textId="3A257931"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7.20(a)(vi)</w:t>
            </w:r>
          </w:p>
        </w:tc>
        <w:tc>
          <w:tcPr>
            <w:tcW w:w="2950" w:type="pct"/>
            <w:gridSpan w:val="3"/>
            <w:tcBorders>
              <w:top w:val="nil"/>
              <w:left w:val="single" w:sz="2" w:space="0" w:color="auto"/>
              <w:bottom w:val="nil"/>
              <w:right w:val="nil"/>
            </w:tcBorders>
            <w:vAlign w:val="bottom"/>
          </w:tcPr>
          <w:p w14:paraId="7761B141" w14:textId="6F473E72" w:rsidR="00374599" w:rsidRPr="00374599" w:rsidRDefault="00FA7C77" w:rsidP="00374599">
            <w:pPr>
              <w:pStyle w:val="TableText"/>
              <w:tabs>
                <w:tab w:val="left" w:pos="3306"/>
              </w:tabs>
              <w:ind w:left="314" w:hanging="314"/>
              <w:rPr>
                <w:rFonts w:cs="Calibri"/>
              </w:rPr>
            </w:pPr>
            <w:r>
              <w:rPr>
                <w:rFonts w:cs="Calibri"/>
              </w:rPr>
              <w:t xml:space="preserve">  </w:t>
            </w:r>
            <w:r w:rsidR="00374599" w:rsidRPr="00374599">
              <w:rPr>
                <w:rFonts w:cs="Calibri"/>
              </w:rPr>
              <w:t xml:space="preserve"> - Expected Credit Loss Expense – Loans Receivables (also see Note 16)</w:t>
            </w:r>
          </w:p>
        </w:tc>
        <w:tc>
          <w:tcPr>
            <w:tcW w:w="738" w:type="pct"/>
            <w:gridSpan w:val="2"/>
            <w:tcBorders>
              <w:top w:val="nil"/>
              <w:left w:val="nil"/>
              <w:bottom w:val="nil"/>
              <w:right w:val="nil"/>
            </w:tcBorders>
            <w:vAlign w:val="bottom"/>
          </w:tcPr>
          <w:p w14:paraId="79D9F010" w14:textId="77777777"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38DB93EB" w14:textId="77777777" w:rsidR="00374599" w:rsidRPr="00374599" w:rsidRDefault="00374599" w:rsidP="00374599">
            <w:pPr>
              <w:pStyle w:val="TableText"/>
              <w:tabs>
                <w:tab w:val="left" w:pos="3306"/>
              </w:tabs>
              <w:jc w:val="right"/>
              <w:rPr>
                <w:rFonts w:cs="Calibri"/>
              </w:rPr>
            </w:pPr>
          </w:p>
        </w:tc>
      </w:tr>
      <w:tr w:rsidR="00374599" w:rsidRPr="00374599" w14:paraId="7C41F408"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5262BFC4" w14:textId="6B1CD311"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AASB 136.126(a)</w:t>
            </w:r>
          </w:p>
        </w:tc>
        <w:tc>
          <w:tcPr>
            <w:tcW w:w="2950" w:type="pct"/>
            <w:gridSpan w:val="3"/>
            <w:tcBorders>
              <w:top w:val="nil"/>
              <w:left w:val="single" w:sz="2" w:space="0" w:color="auto"/>
              <w:bottom w:val="nil"/>
              <w:right w:val="nil"/>
            </w:tcBorders>
            <w:vAlign w:val="bottom"/>
          </w:tcPr>
          <w:p w14:paraId="316391C7" w14:textId="6A650F8C" w:rsidR="00374599" w:rsidRPr="00374599" w:rsidRDefault="00FA7C77" w:rsidP="00374599">
            <w:pPr>
              <w:pStyle w:val="TableText"/>
              <w:tabs>
                <w:tab w:val="left" w:pos="3306"/>
              </w:tabs>
              <w:ind w:left="314" w:hanging="314"/>
              <w:rPr>
                <w:rFonts w:cs="Calibri"/>
              </w:rPr>
            </w:pPr>
            <w:r>
              <w:rPr>
                <w:rFonts w:cs="Calibri"/>
              </w:rPr>
              <w:t xml:space="preserve">  </w:t>
            </w:r>
            <w:r w:rsidR="00374599" w:rsidRPr="00374599">
              <w:rPr>
                <w:rFonts w:cs="Calibri"/>
              </w:rPr>
              <w:t xml:space="preserve"> - Expected Credit Loss Expense – Plant and Equipment (also see Note 19)</w:t>
            </w:r>
          </w:p>
        </w:tc>
        <w:tc>
          <w:tcPr>
            <w:tcW w:w="738" w:type="pct"/>
            <w:gridSpan w:val="2"/>
            <w:tcBorders>
              <w:top w:val="nil"/>
              <w:left w:val="nil"/>
              <w:bottom w:val="nil"/>
              <w:right w:val="nil"/>
            </w:tcBorders>
            <w:vAlign w:val="bottom"/>
          </w:tcPr>
          <w:p w14:paraId="53DC5562" w14:textId="77777777"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46C4857D" w14:textId="77777777" w:rsidR="00374599" w:rsidRPr="00374599" w:rsidRDefault="00374599" w:rsidP="00374599">
            <w:pPr>
              <w:pStyle w:val="TableText"/>
              <w:tabs>
                <w:tab w:val="left" w:pos="3306"/>
              </w:tabs>
              <w:jc w:val="right"/>
              <w:rPr>
                <w:rFonts w:cs="Calibri"/>
              </w:rPr>
            </w:pPr>
          </w:p>
        </w:tc>
      </w:tr>
      <w:tr w:rsidR="00374599" w:rsidRPr="00374599" w14:paraId="2CA584DF"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38701173" w14:textId="21E492C4"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AASB 138.118(e)(iv)</w:t>
            </w:r>
          </w:p>
        </w:tc>
        <w:tc>
          <w:tcPr>
            <w:tcW w:w="2950" w:type="pct"/>
            <w:gridSpan w:val="3"/>
            <w:tcBorders>
              <w:top w:val="nil"/>
              <w:left w:val="single" w:sz="2" w:space="0" w:color="auto"/>
              <w:bottom w:val="nil"/>
              <w:right w:val="nil"/>
            </w:tcBorders>
            <w:vAlign w:val="bottom"/>
          </w:tcPr>
          <w:p w14:paraId="3E5A4D08" w14:textId="5924A91A" w:rsidR="00374599" w:rsidRPr="00374599" w:rsidRDefault="00FA7C77" w:rsidP="00374599">
            <w:pPr>
              <w:pStyle w:val="TableText"/>
              <w:tabs>
                <w:tab w:val="left" w:pos="3306"/>
              </w:tabs>
              <w:rPr>
                <w:rFonts w:cs="Calibri"/>
              </w:rPr>
            </w:pPr>
            <w:r>
              <w:rPr>
                <w:rFonts w:cs="Calibri"/>
              </w:rPr>
              <w:t xml:space="preserve">  </w:t>
            </w:r>
            <w:r w:rsidR="00374599" w:rsidRPr="00374599">
              <w:rPr>
                <w:rFonts w:cs="Calibri"/>
              </w:rPr>
              <w:t xml:space="preserve"> - Expected Credit Loss Expense – Intangibles (also see Note 21)</w:t>
            </w:r>
          </w:p>
        </w:tc>
        <w:tc>
          <w:tcPr>
            <w:tcW w:w="738" w:type="pct"/>
            <w:gridSpan w:val="2"/>
            <w:tcBorders>
              <w:top w:val="nil"/>
              <w:left w:val="nil"/>
              <w:bottom w:val="nil"/>
              <w:right w:val="nil"/>
            </w:tcBorders>
            <w:vAlign w:val="bottom"/>
          </w:tcPr>
          <w:p w14:paraId="294A0718" w14:textId="77777777"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17FEFFBC" w14:textId="77777777" w:rsidR="00374599" w:rsidRPr="00374599" w:rsidRDefault="00374599" w:rsidP="00374599">
            <w:pPr>
              <w:pStyle w:val="TableText"/>
              <w:tabs>
                <w:tab w:val="left" w:pos="3306"/>
              </w:tabs>
              <w:jc w:val="right"/>
              <w:rPr>
                <w:rFonts w:cs="Calibri"/>
              </w:rPr>
            </w:pPr>
          </w:p>
        </w:tc>
      </w:tr>
      <w:tr w:rsidR="00374599" w:rsidRPr="00374599" w14:paraId="4DEAE29D"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7BD67BD8" w14:textId="77777777" w:rsidR="00374599" w:rsidRPr="00374599" w:rsidRDefault="00374599" w:rsidP="00374599">
            <w:pPr>
              <w:pStyle w:val="TableReference"/>
              <w:tabs>
                <w:tab w:val="left" w:pos="3306"/>
              </w:tabs>
              <w:spacing w:before="40"/>
              <w:rPr>
                <w:rFonts w:cs="Calibri"/>
                <w:color w:val="7030A0"/>
                <w:sz w:val="16"/>
                <w:szCs w:val="16"/>
              </w:rPr>
            </w:pPr>
          </w:p>
        </w:tc>
        <w:tc>
          <w:tcPr>
            <w:tcW w:w="2950" w:type="pct"/>
            <w:gridSpan w:val="3"/>
            <w:tcBorders>
              <w:top w:val="nil"/>
              <w:left w:val="single" w:sz="2" w:space="0" w:color="auto"/>
              <w:bottom w:val="nil"/>
              <w:right w:val="nil"/>
            </w:tcBorders>
            <w:vAlign w:val="bottom"/>
          </w:tcPr>
          <w:p w14:paraId="6E59FCF6" w14:textId="743066BF" w:rsidR="00374599" w:rsidRPr="00374599" w:rsidRDefault="00374599" w:rsidP="00374599">
            <w:pPr>
              <w:pStyle w:val="TableText"/>
              <w:tabs>
                <w:tab w:val="left" w:pos="3306"/>
              </w:tabs>
              <w:rPr>
                <w:rFonts w:cs="Calibri"/>
              </w:rPr>
            </w:pPr>
            <w:r w:rsidRPr="00374599">
              <w:rPr>
                <w:rFonts w:cs="Calibri"/>
              </w:rPr>
              <w:t>Write-offs</w:t>
            </w:r>
          </w:p>
        </w:tc>
        <w:tc>
          <w:tcPr>
            <w:tcW w:w="738" w:type="pct"/>
            <w:gridSpan w:val="2"/>
            <w:tcBorders>
              <w:top w:val="nil"/>
              <w:left w:val="nil"/>
              <w:bottom w:val="nil"/>
              <w:right w:val="nil"/>
            </w:tcBorders>
            <w:vAlign w:val="bottom"/>
          </w:tcPr>
          <w:p w14:paraId="0D4A4E00" w14:textId="77777777"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769F0760" w14:textId="77777777" w:rsidR="00374599" w:rsidRPr="00374599" w:rsidRDefault="00374599" w:rsidP="00374599">
            <w:pPr>
              <w:pStyle w:val="TableText"/>
              <w:tabs>
                <w:tab w:val="left" w:pos="3306"/>
              </w:tabs>
              <w:jc w:val="right"/>
              <w:rPr>
                <w:rFonts w:cs="Calibri"/>
              </w:rPr>
            </w:pPr>
          </w:p>
        </w:tc>
      </w:tr>
      <w:tr w:rsidR="00374599" w:rsidRPr="00374599" w14:paraId="19BB7C82"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711B9E0A" w14:textId="3C9BE883"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0" w:type="pct"/>
            <w:gridSpan w:val="3"/>
            <w:tcBorders>
              <w:top w:val="nil"/>
              <w:left w:val="single" w:sz="2" w:space="0" w:color="auto"/>
              <w:bottom w:val="nil"/>
              <w:right w:val="nil"/>
            </w:tcBorders>
          </w:tcPr>
          <w:p w14:paraId="4B8AD414" w14:textId="20984867" w:rsidR="00374599" w:rsidRPr="00374599" w:rsidRDefault="00FA7C77" w:rsidP="00374599">
            <w:pPr>
              <w:pStyle w:val="TableText"/>
              <w:tabs>
                <w:tab w:val="left" w:pos="3306"/>
              </w:tabs>
              <w:rPr>
                <w:rFonts w:cs="Calibri"/>
              </w:rPr>
            </w:pPr>
            <w:r>
              <w:rPr>
                <w:rFonts w:cs="Calibri"/>
              </w:rPr>
              <w:t xml:space="preserve">  </w:t>
            </w:r>
            <w:r w:rsidR="00374599" w:rsidRPr="00374599">
              <w:rPr>
                <w:rFonts w:cs="Calibri"/>
              </w:rPr>
              <w:t xml:space="preserve"> - Losses or Deficiencies in Public Monies</w:t>
            </w:r>
          </w:p>
        </w:tc>
        <w:tc>
          <w:tcPr>
            <w:tcW w:w="738" w:type="pct"/>
            <w:gridSpan w:val="2"/>
            <w:tcBorders>
              <w:top w:val="nil"/>
              <w:left w:val="nil"/>
              <w:bottom w:val="nil"/>
              <w:right w:val="nil"/>
            </w:tcBorders>
            <w:vAlign w:val="bottom"/>
          </w:tcPr>
          <w:p w14:paraId="27F6D337" w14:textId="77777777"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4311B78D" w14:textId="77777777" w:rsidR="00374599" w:rsidRPr="00374599" w:rsidRDefault="00374599" w:rsidP="00374599">
            <w:pPr>
              <w:pStyle w:val="TableText"/>
              <w:tabs>
                <w:tab w:val="left" w:pos="3306"/>
              </w:tabs>
              <w:jc w:val="right"/>
              <w:rPr>
                <w:rFonts w:cs="Calibri"/>
              </w:rPr>
            </w:pPr>
          </w:p>
        </w:tc>
      </w:tr>
      <w:tr w:rsidR="00374599" w:rsidRPr="00374599" w14:paraId="581F41DD"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013C9B4D" w14:textId="1534EFE6"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0" w:type="pct"/>
            <w:gridSpan w:val="3"/>
            <w:tcBorders>
              <w:top w:val="nil"/>
              <w:left w:val="single" w:sz="2" w:space="0" w:color="auto"/>
              <w:bottom w:val="nil"/>
              <w:right w:val="nil"/>
            </w:tcBorders>
          </w:tcPr>
          <w:p w14:paraId="0D1E87F5" w14:textId="4E10EB1B" w:rsidR="00374599" w:rsidRPr="00374599" w:rsidRDefault="00FA7C77" w:rsidP="00374599">
            <w:pPr>
              <w:pStyle w:val="TableText"/>
              <w:tabs>
                <w:tab w:val="left" w:pos="3306"/>
              </w:tabs>
              <w:rPr>
                <w:rFonts w:cs="Calibri"/>
              </w:rPr>
            </w:pPr>
            <w:r>
              <w:rPr>
                <w:rFonts w:cs="Calibri"/>
              </w:rPr>
              <w:t xml:space="preserve">  </w:t>
            </w:r>
            <w:r w:rsidR="00374599" w:rsidRPr="00374599">
              <w:rPr>
                <w:rFonts w:cs="Calibri"/>
              </w:rPr>
              <w:t xml:space="preserve"> - Irrecoverable Debts</w:t>
            </w:r>
          </w:p>
        </w:tc>
        <w:tc>
          <w:tcPr>
            <w:tcW w:w="738" w:type="pct"/>
            <w:gridSpan w:val="2"/>
            <w:tcBorders>
              <w:top w:val="nil"/>
              <w:left w:val="nil"/>
              <w:bottom w:val="nil"/>
              <w:right w:val="nil"/>
            </w:tcBorders>
            <w:vAlign w:val="bottom"/>
          </w:tcPr>
          <w:p w14:paraId="67527135" w14:textId="77777777"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60CDF43A" w14:textId="77777777" w:rsidR="00374599" w:rsidRPr="00374599" w:rsidRDefault="00374599" w:rsidP="00374599">
            <w:pPr>
              <w:pStyle w:val="TableText"/>
              <w:tabs>
                <w:tab w:val="left" w:pos="3306"/>
              </w:tabs>
              <w:jc w:val="right"/>
              <w:rPr>
                <w:rFonts w:cs="Calibri"/>
              </w:rPr>
            </w:pPr>
          </w:p>
        </w:tc>
      </w:tr>
      <w:tr w:rsidR="00374599" w:rsidRPr="00374599" w14:paraId="36A9DAD1"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07D7E464" w14:textId="3A497145" w:rsidR="00374599" w:rsidRPr="00374599" w:rsidRDefault="00374599" w:rsidP="00374599">
            <w:pPr>
              <w:pStyle w:val="TableReference"/>
              <w:tabs>
                <w:tab w:val="left" w:pos="3306"/>
              </w:tabs>
              <w:spacing w:before="40"/>
              <w:rPr>
                <w:rFonts w:cs="Calibri"/>
                <w:color w:val="7030A0"/>
                <w:sz w:val="16"/>
                <w:szCs w:val="16"/>
              </w:rPr>
            </w:pPr>
            <w:r w:rsidRPr="00374599">
              <w:rPr>
                <w:rFonts w:cs="Calibri"/>
                <w:color w:val="7030A0"/>
                <w:sz w:val="14"/>
              </w:rPr>
              <w:t>ACT Disclosure Policy</w:t>
            </w:r>
          </w:p>
        </w:tc>
        <w:tc>
          <w:tcPr>
            <w:tcW w:w="2950" w:type="pct"/>
            <w:gridSpan w:val="3"/>
            <w:tcBorders>
              <w:top w:val="nil"/>
              <w:left w:val="single" w:sz="2" w:space="0" w:color="auto"/>
              <w:bottom w:val="nil"/>
              <w:right w:val="nil"/>
            </w:tcBorders>
          </w:tcPr>
          <w:p w14:paraId="00618ED3" w14:textId="07337A7A" w:rsidR="00374599" w:rsidRPr="00374599" w:rsidRDefault="00FA7C77" w:rsidP="00374599">
            <w:pPr>
              <w:pStyle w:val="TableText"/>
              <w:tabs>
                <w:tab w:val="left" w:pos="3306"/>
              </w:tabs>
              <w:rPr>
                <w:rFonts w:cs="Calibri"/>
              </w:rPr>
            </w:pPr>
            <w:r>
              <w:rPr>
                <w:rFonts w:cs="Calibri"/>
              </w:rPr>
              <w:t xml:space="preserve">  </w:t>
            </w:r>
            <w:r w:rsidR="00374599" w:rsidRPr="00374599">
              <w:rPr>
                <w:rFonts w:cs="Calibri"/>
              </w:rPr>
              <w:t xml:space="preserve"> - Obsolete Stock</w:t>
            </w:r>
          </w:p>
        </w:tc>
        <w:tc>
          <w:tcPr>
            <w:tcW w:w="738" w:type="pct"/>
            <w:gridSpan w:val="2"/>
            <w:tcBorders>
              <w:top w:val="nil"/>
              <w:left w:val="nil"/>
              <w:bottom w:val="nil"/>
              <w:right w:val="nil"/>
            </w:tcBorders>
            <w:vAlign w:val="bottom"/>
          </w:tcPr>
          <w:p w14:paraId="39B0D47F" w14:textId="77777777" w:rsidR="00374599" w:rsidRPr="00374599" w:rsidRDefault="00374599" w:rsidP="00374599">
            <w:pPr>
              <w:pStyle w:val="TableText"/>
              <w:tabs>
                <w:tab w:val="left" w:pos="3306"/>
              </w:tabs>
              <w:jc w:val="right"/>
              <w:rPr>
                <w:rFonts w:cs="Calibri"/>
                <w:strike/>
              </w:rPr>
            </w:pPr>
          </w:p>
        </w:tc>
        <w:tc>
          <w:tcPr>
            <w:tcW w:w="550" w:type="pct"/>
            <w:tcBorders>
              <w:top w:val="nil"/>
              <w:left w:val="nil"/>
              <w:bottom w:val="nil"/>
              <w:right w:val="nil"/>
            </w:tcBorders>
            <w:vAlign w:val="bottom"/>
          </w:tcPr>
          <w:p w14:paraId="4FD4ED8B" w14:textId="77777777" w:rsidR="00374599" w:rsidRPr="00374599" w:rsidRDefault="00374599" w:rsidP="00374599">
            <w:pPr>
              <w:pStyle w:val="TableText"/>
              <w:tabs>
                <w:tab w:val="left" w:pos="3306"/>
              </w:tabs>
              <w:jc w:val="right"/>
              <w:rPr>
                <w:rFonts w:cs="Calibri"/>
              </w:rPr>
            </w:pPr>
          </w:p>
        </w:tc>
      </w:tr>
      <w:tr w:rsidR="00374599" w:rsidRPr="00374599" w14:paraId="038052BE"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50C0DB24" w14:textId="191DEE47" w:rsidR="00374599" w:rsidRPr="00374599" w:rsidRDefault="00374599" w:rsidP="00374599">
            <w:pPr>
              <w:pStyle w:val="TableReference"/>
              <w:tabs>
                <w:tab w:val="left" w:pos="3306"/>
              </w:tabs>
              <w:spacing w:before="40"/>
              <w:rPr>
                <w:rFonts w:cs="Calibri"/>
                <w:color w:val="7030A0"/>
                <w:sz w:val="14"/>
              </w:rPr>
            </w:pPr>
          </w:p>
        </w:tc>
        <w:tc>
          <w:tcPr>
            <w:tcW w:w="2950" w:type="pct"/>
            <w:gridSpan w:val="3"/>
            <w:tcBorders>
              <w:top w:val="nil"/>
              <w:left w:val="single" w:sz="2" w:space="0" w:color="auto"/>
              <w:bottom w:val="nil"/>
              <w:right w:val="nil"/>
            </w:tcBorders>
            <w:vAlign w:val="bottom"/>
          </w:tcPr>
          <w:p w14:paraId="11A3D75C" w14:textId="110172E9" w:rsidR="00374599" w:rsidRPr="00374599" w:rsidRDefault="00374599" w:rsidP="00374599">
            <w:pPr>
              <w:pStyle w:val="TableText"/>
              <w:tabs>
                <w:tab w:val="left" w:pos="3306"/>
              </w:tabs>
              <w:rPr>
                <w:rFonts w:cs="Calibri"/>
                <w:highlight w:val="cyan"/>
              </w:rPr>
            </w:pPr>
            <w:r w:rsidRPr="00374599">
              <w:rPr>
                <w:rFonts w:cs="Calibri"/>
              </w:rPr>
              <w:t>Act of Grace Payments (see below for further information about Act of Grace Payments)</w:t>
            </w:r>
          </w:p>
        </w:tc>
        <w:tc>
          <w:tcPr>
            <w:tcW w:w="738" w:type="pct"/>
            <w:gridSpan w:val="2"/>
            <w:tcBorders>
              <w:top w:val="nil"/>
              <w:left w:val="nil"/>
              <w:bottom w:val="nil"/>
              <w:right w:val="nil"/>
            </w:tcBorders>
            <w:vAlign w:val="bottom"/>
          </w:tcPr>
          <w:p w14:paraId="5589B1BF" w14:textId="5A2FC1DB" w:rsidR="00374599" w:rsidRPr="00374599" w:rsidRDefault="00374599" w:rsidP="00374599">
            <w:pPr>
              <w:pStyle w:val="TableText"/>
              <w:tabs>
                <w:tab w:val="left" w:pos="3306"/>
              </w:tabs>
              <w:jc w:val="right"/>
              <w:rPr>
                <w:rFonts w:cs="Calibri"/>
              </w:rPr>
            </w:pPr>
          </w:p>
        </w:tc>
        <w:tc>
          <w:tcPr>
            <w:tcW w:w="550" w:type="pct"/>
            <w:tcBorders>
              <w:top w:val="nil"/>
              <w:left w:val="nil"/>
              <w:bottom w:val="nil"/>
              <w:right w:val="nil"/>
            </w:tcBorders>
            <w:vAlign w:val="bottom"/>
          </w:tcPr>
          <w:p w14:paraId="1E74D79D" w14:textId="216C7E23" w:rsidR="00374599" w:rsidRPr="00374599" w:rsidRDefault="00374599" w:rsidP="00374599">
            <w:pPr>
              <w:pStyle w:val="TableText"/>
              <w:tabs>
                <w:tab w:val="left" w:pos="3306"/>
              </w:tabs>
              <w:jc w:val="right"/>
              <w:rPr>
                <w:rFonts w:cs="Calibri"/>
              </w:rPr>
            </w:pPr>
          </w:p>
        </w:tc>
      </w:tr>
      <w:tr w:rsidR="00374599" w:rsidRPr="00374599" w14:paraId="4539A7BE"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6CF2F90B" w14:textId="7777777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101.98(b)</w:t>
            </w:r>
          </w:p>
        </w:tc>
        <w:tc>
          <w:tcPr>
            <w:tcW w:w="2950" w:type="pct"/>
            <w:gridSpan w:val="3"/>
            <w:tcBorders>
              <w:top w:val="nil"/>
              <w:left w:val="single" w:sz="2" w:space="0" w:color="auto"/>
              <w:bottom w:val="nil"/>
              <w:right w:val="nil"/>
            </w:tcBorders>
            <w:vAlign w:val="bottom"/>
          </w:tcPr>
          <w:p w14:paraId="404919C6" w14:textId="77777777" w:rsidR="00374599" w:rsidRPr="00374599" w:rsidRDefault="00374599" w:rsidP="00374599">
            <w:pPr>
              <w:pStyle w:val="TableText"/>
              <w:tabs>
                <w:tab w:val="left" w:pos="3306"/>
              </w:tabs>
              <w:rPr>
                <w:rFonts w:cs="Calibri"/>
              </w:rPr>
            </w:pPr>
            <w:r w:rsidRPr="00374599">
              <w:rPr>
                <w:rFonts w:cs="Calibri"/>
              </w:rPr>
              <w:t xml:space="preserve">Restructuring Expenses </w:t>
            </w:r>
            <w:r w:rsidRPr="00374599">
              <w:rPr>
                <w:rFonts w:cs="Calibri"/>
                <w:vertAlign w:val="superscript"/>
              </w:rPr>
              <w:t>c</w:t>
            </w:r>
          </w:p>
        </w:tc>
        <w:tc>
          <w:tcPr>
            <w:tcW w:w="738" w:type="pct"/>
            <w:gridSpan w:val="2"/>
            <w:tcBorders>
              <w:top w:val="nil"/>
              <w:left w:val="nil"/>
              <w:bottom w:val="nil"/>
              <w:right w:val="nil"/>
            </w:tcBorders>
            <w:vAlign w:val="bottom"/>
          </w:tcPr>
          <w:p w14:paraId="4F6EA7A8" w14:textId="5352B43E" w:rsidR="00374599" w:rsidRPr="00374599" w:rsidRDefault="00374599" w:rsidP="00374599">
            <w:pPr>
              <w:pStyle w:val="TableText"/>
              <w:tabs>
                <w:tab w:val="left" w:pos="3306"/>
              </w:tabs>
              <w:jc w:val="right"/>
              <w:rPr>
                <w:rFonts w:cs="Calibri"/>
              </w:rPr>
            </w:pPr>
          </w:p>
        </w:tc>
        <w:tc>
          <w:tcPr>
            <w:tcW w:w="550" w:type="pct"/>
            <w:tcBorders>
              <w:top w:val="nil"/>
              <w:left w:val="nil"/>
              <w:bottom w:val="nil"/>
              <w:right w:val="nil"/>
            </w:tcBorders>
            <w:vAlign w:val="bottom"/>
          </w:tcPr>
          <w:p w14:paraId="6322B2FE" w14:textId="752CD0C9" w:rsidR="00374599" w:rsidRPr="00374599" w:rsidRDefault="00374599" w:rsidP="00374599">
            <w:pPr>
              <w:pStyle w:val="TableText"/>
              <w:tabs>
                <w:tab w:val="left" w:pos="3306"/>
              </w:tabs>
              <w:jc w:val="right"/>
              <w:rPr>
                <w:rFonts w:cs="Calibri"/>
              </w:rPr>
            </w:pPr>
          </w:p>
        </w:tc>
      </w:tr>
      <w:tr w:rsidR="00374599" w:rsidRPr="00374599" w14:paraId="5DCDD96A"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4FE50C53" w14:textId="7777777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138.126</w:t>
            </w:r>
          </w:p>
        </w:tc>
        <w:tc>
          <w:tcPr>
            <w:tcW w:w="2950" w:type="pct"/>
            <w:gridSpan w:val="3"/>
            <w:tcBorders>
              <w:top w:val="nil"/>
              <w:left w:val="single" w:sz="2" w:space="0" w:color="auto"/>
              <w:bottom w:val="nil"/>
              <w:right w:val="nil"/>
            </w:tcBorders>
            <w:vAlign w:val="bottom"/>
          </w:tcPr>
          <w:p w14:paraId="2116A000" w14:textId="77777777" w:rsidR="00374599" w:rsidRPr="00374599" w:rsidRDefault="00374599" w:rsidP="00374599">
            <w:pPr>
              <w:pStyle w:val="TableText"/>
              <w:tabs>
                <w:tab w:val="left" w:pos="3306"/>
              </w:tabs>
              <w:rPr>
                <w:rFonts w:cs="Calibri"/>
              </w:rPr>
            </w:pPr>
            <w:r w:rsidRPr="00374599">
              <w:rPr>
                <w:rFonts w:cs="Calibri"/>
              </w:rPr>
              <w:t>Research and Development Expense – Software</w:t>
            </w:r>
          </w:p>
        </w:tc>
        <w:tc>
          <w:tcPr>
            <w:tcW w:w="738" w:type="pct"/>
            <w:gridSpan w:val="2"/>
            <w:tcBorders>
              <w:top w:val="nil"/>
              <w:left w:val="nil"/>
              <w:bottom w:val="nil"/>
              <w:right w:val="nil"/>
            </w:tcBorders>
            <w:vAlign w:val="bottom"/>
          </w:tcPr>
          <w:p w14:paraId="7C04DD4A" w14:textId="0217AC0C" w:rsidR="00374599" w:rsidRPr="00374599" w:rsidRDefault="00374599" w:rsidP="00374599">
            <w:pPr>
              <w:pStyle w:val="TableText"/>
              <w:tabs>
                <w:tab w:val="left" w:pos="3306"/>
              </w:tabs>
              <w:jc w:val="right"/>
              <w:rPr>
                <w:rFonts w:cs="Calibri"/>
              </w:rPr>
            </w:pPr>
          </w:p>
        </w:tc>
        <w:tc>
          <w:tcPr>
            <w:tcW w:w="550" w:type="pct"/>
            <w:tcBorders>
              <w:top w:val="nil"/>
              <w:left w:val="nil"/>
              <w:bottom w:val="nil"/>
              <w:right w:val="nil"/>
            </w:tcBorders>
            <w:vAlign w:val="bottom"/>
          </w:tcPr>
          <w:p w14:paraId="61AA500C" w14:textId="26D986DE" w:rsidR="00374599" w:rsidRPr="00374599" w:rsidRDefault="00374599" w:rsidP="00374599">
            <w:pPr>
              <w:pStyle w:val="TableText"/>
              <w:tabs>
                <w:tab w:val="left" w:pos="3306"/>
              </w:tabs>
              <w:jc w:val="right"/>
              <w:rPr>
                <w:rFonts w:cs="Calibri"/>
              </w:rPr>
            </w:pPr>
          </w:p>
        </w:tc>
      </w:tr>
      <w:tr w:rsidR="00374599" w:rsidRPr="00374599" w14:paraId="45E9DA45"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19E5145C" w14:textId="77777777" w:rsidR="00374599" w:rsidRPr="00374599" w:rsidRDefault="00374599" w:rsidP="00374599">
            <w:pPr>
              <w:pStyle w:val="TableReference"/>
              <w:tabs>
                <w:tab w:val="left" w:pos="3306"/>
              </w:tabs>
              <w:spacing w:before="40"/>
              <w:rPr>
                <w:rFonts w:cs="Calibri"/>
                <w:color w:val="7030A0"/>
                <w:sz w:val="14"/>
              </w:rPr>
            </w:pPr>
          </w:p>
        </w:tc>
        <w:tc>
          <w:tcPr>
            <w:tcW w:w="2950" w:type="pct"/>
            <w:gridSpan w:val="3"/>
            <w:tcBorders>
              <w:top w:val="nil"/>
              <w:left w:val="single" w:sz="2" w:space="0" w:color="auto"/>
              <w:bottom w:val="nil"/>
              <w:right w:val="nil"/>
            </w:tcBorders>
            <w:vAlign w:val="bottom"/>
          </w:tcPr>
          <w:p w14:paraId="044AD07D" w14:textId="60AF0C73" w:rsidR="00374599" w:rsidRPr="00374599" w:rsidRDefault="00374599" w:rsidP="00374599">
            <w:pPr>
              <w:pStyle w:val="TableText"/>
              <w:tabs>
                <w:tab w:val="left" w:pos="3306"/>
              </w:tabs>
              <w:rPr>
                <w:rFonts w:cs="Calibri"/>
              </w:rPr>
            </w:pPr>
            <w:r w:rsidRPr="00374599">
              <w:rPr>
                <w:rFonts w:cs="Calibri"/>
              </w:rPr>
              <w:t>Losses from the Forgiveness of Liabilities</w:t>
            </w:r>
          </w:p>
        </w:tc>
        <w:tc>
          <w:tcPr>
            <w:tcW w:w="738" w:type="pct"/>
            <w:gridSpan w:val="2"/>
            <w:tcBorders>
              <w:top w:val="nil"/>
              <w:left w:val="nil"/>
              <w:bottom w:val="nil"/>
              <w:right w:val="nil"/>
            </w:tcBorders>
            <w:vAlign w:val="bottom"/>
          </w:tcPr>
          <w:p w14:paraId="452CEE54" w14:textId="77777777" w:rsidR="00374599" w:rsidRPr="00374599" w:rsidRDefault="00374599" w:rsidP="00374599">
            <w:pPr>
              <w:pStyle w:val="TableText"/>
              <w:tabs>
                <w:tab w:val="left" w:pos="3306"/>
              </w:tabs>
              <w:jc w:val="right"/>
              <w:rPr>
                <w:rFonts w:cs="Calibri"/>
              </w:rPr>
            </w:pPr>
          </w:p>
        </w:tc>
        <w:tc>
          <w:tcPr>
            <w:tcW w:w="550" w:type="pct"/>
            <w:tcBorders>
              <w:top w:val="nil"/>
              <w:left w:val="nil"/>
              <w:bottom w:val="nil"/>
              <w:right w:val="nil"/>
            </w:tcBorders>
            <w:vAlign w:val="bottom"/>
          </w:tcPr>
          <w:p w14:paraId="67BFD8B7" w14:textId="77777777" w:rsidR="00374599" w:rsidRPr="00374599" w:rsidRDefault="00374599" w:rsidP="00374599">
            <w:pPr>
              <w:pStyle w:val="TableText"/>
              <w:tabs>
                <w:tab w:val="left" w:pos="3306"/>
              </w:tabs>
              <w:jc w:val="right"/>
              <w:rPr>
                <w:rFonts w:cs="Calibri"/>
              </w:rPr>
            </w:pPr>
          </w:p>
        </w:tc>
      </w:tr>
      <w:tr w:rsidR="00374599" w:rsidRPr="00374599" w14:paraId="7998983F"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64A4AD61" w14:textId="6C87BDE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16.53.(i)</w:t>
            </w:r>
          </w:p>
        </w:tc>
        <w:tc>
          <w:tcPr>
            <w:tcW w:w="2950" w:type="pct"/>
            <w:gridSpan w:val="3"/>
            <w:tcBorders>
              <w:top w:val="nil"/>
              <w:left w:val="single" w:sz="2" w:space="0" w:color="auto"/>
              <w:bottom w:val="nil"/>
              <w:right w:val="nil"/>
            </w:tcBorders>
            <w:vAlign w:val="bottom"/>
          </w:tcPr>
          <w:p w14:paraId="1C9C4DEA" w14:textId="6E98693F" w:rsidR="00374599" w:rsidRPr="00374599" w:rsidRDefault="00374599" w:rsidP="00374599">
            <w:pPr>
              <w:pStyle w:val="TableText"/>
              <w:tabs>
                <w:tab w:val="left" w:pos="3306"/>
              </w:tabs>
              <w:rPr>
                <w:rFonts w:cs="Calibri"/>
              </w:rPr>
            </w:pPr>
            <w:r w:rsidRPr="00374599">
              <w:t>Losses arising from sale and leaseback of leases</w:t>
            </w:r>
          </w:p>
        </w:tc>
        <w:tc>
          <w:tcPr>
            <w:tcW w:w="738" w:type="pct"/>
            <w:gridSpan w:val="2"/>
            <w:tcBorders>
              <w:top w:val="nil"/>
              <w:left w:val="nil"/>
              <w:bottom w:val="nil"/>
              <w:right w:val="nil"/>
            </w:tcBorders>
            <w:vAlign w:val="bottom"/>
          </w:tcPr>
          <w:p w14:paraId="3365BE29" w14:textId="77777777" w:rsidR="00374599" w:rsidRPr="00374599" w:rsidRDefault="00374599" w:rsidP="00374599">
            <w:pPr>
              <w:pStyle w:val="TableText"/>
              <w:tabs>
                <w:tab w:val="left" w:pos="3306"/>
              </w:tabs>
              <w:jc w:val="right"/>
              <w:rPr>
                <w:rFonts w:cs="Calibri"/>
              </w:rPr>
            </w:pPr>
          </w:p>
        </w:tc>
        <w:tc>
          <w:tcPr>
            <w:tcW w:w="550" w:type="pct"/>
            <w:tcBorders>
              <w:top w:val="nil"/>
              <w:left w:val="nil"/>
              <w:bottom w:val="nil"/>
              <w:right w:val="nil"/>
            </w:tcBorders>
            <w:vAlign w:val="bottom"/>
          </w:tcPr>
          <w:p w14:paraId="613CEE8E" w14:textId="77777777" w:rsidR="00374599" w:rsidRPr="00374599" w:rsidRDefault="00374599" w:rsidP="00374599">
            <w:pPr>
              <w:pStyle w:val="TableText"/>
              <w:tabs>
                <w:tab w:val="left" w:pos="3306"/>
              </w:tabs>
              <w:jc w:val="right"/>
              <w:rPr>
                <w:rFonts w:cs="Calibri"/>
              </w:rPr>
            </w:pPr>
          </w:p>
        </w:tc>
      </w:tr>
      <w:tr w:rsidR="00374599" w:rsidRPr="00374599" w14:paraId="7C03EC51"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3D1A976B" w14:textId="77777777" w:rsidR="00374599" w:rsidRPr="00374599" w:rsidRDefault="00374599" w:rsidP="00374599">
            <w:pPr>
              <w:pStyle w:val="TableReference"/>
              <w:tabs>
                <w:tab w:val="left" w:pos="3306"/>
              </w:tabs>
              <w:spacing w:before="40"/>
              <w:rPr>
                <w:rFonts w:cs="Calibri"/>
                <w:color w:val="7030A0"/>
                <w:sz w:val="14"/>
              </w:rPr>
            </w:pPr>
          </w:p>
        </w:tc>
        <w:tc>
          <w:tcPr>
            <w:tcW w:w="2950" w:type="pct"/>
            <w:gridSpan w:val="3"/>
            <w:tcBorders>
              <w:top w:val="nil"/>
              <w:left w:val="single" w:sz="2" w:space="0" w:color="auto"/>
              <w:bottom w:val="nil"/>
              <w:right w:val="nil"/>
            </w:tcBorders>
            <w:vAlign w:val="bottom"/>
          </w:tcPr>
          <w:p w14:paraId="402FAA87" w14:textId="77777777" w:rsidR="00374599" w:rsidRPr="00374599" w:rsidRDefault="00374599" w:rsidP="00374599">
            <w:pPr>
              <w:pStyle w:val="TableText"/>
              <w:tabs>
                <w:tab w:val="left" w:pos="3306"/>
              </w:tabs>
              <w:rPr>
                <w:rFonts w:cs="Calibri"/>
              </w:rPr>
            </w:pPr>
            <w:r w:rsidRPr="00374599">
              <w:rPr>
                <w:rFonts w:cs="Calibri"/>
              </w:rPr>
              <w:t xml:space="preserve">Other Expenses </w:t>
            </w:r>
          </w:p>
        </w:tc>
        <w:tc>
          <w:tcPr>
            <w:tcW w:w="738" w:type="pct"/>
            <w:gridSpan w:val="2"/>
            <w:tcBorders>
              <w:top w:val="nil"/>
              <w:left w:val="nil"/>
              <w:bottom w:val="single" w:sz="2" w:space="0" w:color="auto"/>
              <w:right w:val="nil"/>
            </w:tcBorders>
            <w:vAlign w:val="bottom"/>
          </w:tcPr>
          <w:p w14:paraId="7FADE1E5" w14:textId="09A6495E" w:rsidR="00374599" w:rsidRPr="00374599" w:rsidRDefault="00374599" w:rsidP="00374599">
            <w:pPr>
              <w:pStyle w:val="TableText"/>
              <w:tabs>
                <w:tab w:val="left" w:pos="3306"/>
              </w:tabs>
              <w:jc w:val="right"/>
              <w:rPr>
                <w:rFonts w:cs="Calibri"/>
              </w:rPr>
            </w:pPr>
          </w:p>
        </w:tc>
        <w:tc>
          <w:tcPr>
            <w:tcW w:w="550" w:type="pct"/>
            <w:tcBorders>
              <w:top w:val="nil"/>
              <w:left w:val="nil"/>
              <w:bottom w:val="single" w:sz="2" w:space="0" w:color="auto"/>
              <w:right w:val="nil"/>
            </w:tcBorders>
            <w:vAlign w:val="bottom"/>
          </w:tcPr>
          <w:p w14:paraId="4CBFFAC3" w14:textId="61300114" w:rsidR="00374599" w:rsidRPr="00374599" w:rsidRDefault="00374599" w:rsidP="00374599">
            <w:pPr>
              <w:pStyle w:val="TableText"/>
              <w:tabs>
                <w:tab w:val="left" w:pos="3306"/>
              </w:tabs>
              <w:jc w:val="right"/>
              <w:rPr>
                <w:rFonts w:cs="Calibri"/>
              </w:rPr>
            </w:pPr>
          </w:p>
        </w:tc>
      </w:tr>
      <w:tr w:rsidR="00374599" w:rsidRPr="00374599" w14:paraId="25A57113" w14:textId="77777777" w:rsidTr="005F5B4C">
        <w:trPr>
          <w:gridAfter w:val="1"/>
          <w:wAfter w:w="25" w:type="pct"/>
          <w:cantSplit/>
          <w:trHeight w:val="23"/>
        </w:trPr>
        <w:tc>
          <w:tcPr>
            <w:tcW w:w="738" w:type="pct"/>
            <w:tcBorders>
              <w:top w:val="nil"/>
              <w:left w:val="single" w:sz="2" w:space="0" w:color="auto"/>
              <w:bottom w:val="nil"/>
              <w:right w:val="single" w:sz="2" w:space="0" w:color="auto"/>
            </w:tcBorders>
          </w:tcPr>
          <w:p w14:paraId="72AC4CFD" w14:textId="77777777" w:rsidR="00374599" w:rsidRPr="00374599" w:rsidRDefault="00374599" w:rsidP="00374599">
            <w:pPr>
              <w:pStyle w:val="TableReference"/>
              <w:tabs>
                <w:tab w:val="left" w:pos="3306"/>
              </w:tabs>
              <w:spacing w:before="40"/>
              <w:rPr>
                <w:rFonts w:cs="Calibri"/>
                <w:color w:val="7030A0"/>
                <w:sz w:val="14"/>
              </w:rPr>
            </w:pPr>
          </w:p>
        </w:tc>
        <w:tc>
          <w:tcPr>
            <w:tcW w:w="2950" w:type="pct"/>
            <w:gridSpan w:val="3"/>
            <w:tcBorders>
              <w:top w:val="nil"/>
              <w:left w:val="single" w:sz="2" w:space="0" w:color="auto"/>
              <w:bottom w:val="nil"/>
              <w:right w:val="nil"/>
            </w:tcBorders>
            <w:vAlign w:val="bottom"/>
          </w:tcPr>
          <w:p w14:paraId="571287E9" w14:textId="77777777" w:rsidR="00374599" w:rsidRPr="00374599" w:rsidRDefault="00374599" w:rsidP="00374599">
            <w:pPr>
              <w:pStyle w:val="TableText"/>
              <w:tabs>
                <w:tab w:val="left" w:pos="3306"/>
              </w:tabs>
              <w:rPr>
                <w:rFonts w:cs="Calibri"/>
                <w:b/>
                <w:bCs/>
              </w:rPr>
            </w:pPr>
            <w:bookmarkStart w:id="470" w:name="_Toc48468476"/>
            <w:bookmarkStart w:id="471" w:name="_Toc49155593"/>
            <w:bookmarkStart w:id="472" w:name="_Toc49224043"/>
            <w:r w:rsidRPr="00374599">
              <w:rPr>
                <w:rFonts w:cs="Calibri"/>
                <w:b/>
                <w:bCs/>
              </w:rPr>
              <w:t>Total Other Expenses</w:t>
            </w:r>
            <w:bookmarkEnd w:id="470"/>
            <w:bookmarkEnd w:id="471"/>
            <w:bookmarkEnd w:id="472"/>
            <w:r w:rsidRPr="00374599">
              <w:rPr>
                <w:rFonts w:cs="Calibri"/>
                <w:b/>
                <w:bCs/>
              </w:rPr>
              <w:t xml:space="preserve"> </w:t>
            </w:r>
          </w:p>
        </w:tc>
        <w:tc>
          <w:tcPr>
            <w:tcW w:w="738" w:type="pct"/>
            <w:gridSpan w:val="2"/>
            <w:tcBorders>
              <w:top w:val="single" w:sz="2" w:space="0" w:color="auto"/>
              <w:left w:val="nil"/>
              <w:bottom w:val="double" w:sz="4" w:space="0" w:color="auto"/>
              <w:right w:val="nil"/>
            </w:tcBorders>
            <w:vAlign w:val="bottom"/>
          </w:tcPr>
          <w:p w14:paraId="7CF4D52D" w14:textId="3C8EBD45" w:rsidR="00374599" w:rsidRPr="00374599" w:rsidRDefault="00374599" w:rsidP="00374599">
            <w:pPr>
              <w:pStyle w:val="TableText"/>
              <w:tabs>
                <w:tab w:val="left" w:pos="3306"/>
              </w:tabs>
              <w:jc w:val="right"/>
              <w:rPr>
                <w:rFonts w:cs="Calibri"/>
                <w:b/>
                <w:bCs/>
                <w:strike/>
              </w:rPr>
            </w:pPr>
          </w:p>
        </w:tc>
        <w:tc>
          <w:tcPr>
            <w:tcW w:w="550" w:type="pct"/>
            <w:tcBorders>
              <w:top w:val="single" w:sz="2" w:space="0" w:color="auto"/>
              <w:left w:val="nil"/>
              <w:bottom w:val="double" w:sz="4" w:space="0" w:color="auto"/>
              <w:right w:val="nil"/>
            </w:tcBorders>
            <w:vAlign w:val="bottom"/>
          </w:tcPr>
          <w:p w14:paraId="57A30FE4" w14:textId="4B59513F" w:rsidR="00374599" w:rsidRPr="00374599" w:rsidRDefault="00374599" w:rsidP="00374599">
            <w:pPr>
              <w:pStyle w:val="TableText"/>
              <w:tabs>
                <w:tab w:val="left" w:pos="3306"/>
              </w:tabs>
              <w:jc w:val="right"/>
              <w:rPr>
                <w:rFonts w:cs="Calibri"/>
                <w:b/>
                <w:bCs/>
              </w:rPr>
            </w:pPr>
          </w:p>
        </w:tc>
      </w:tr>
      <w:tr w:rsidR="00374599" w:rsidRPr="00374599" w14:paraId="5B9B9818" w14:textId="77777777" w:rsidTr="005F5B4C">
        <w:trPr>
          <w:gridAfter w:val="1"/>
          <w:wAfter w:w="25" w:type="pct"/>
          <w:cantSplit/>
          <w:trHeight w:val="166"/>
        </w:trPr>
        <w:tc>
          <w:tcPr>
            <w:tcW w:w="738" w:type="pct"/>
            <w:tcBorders>
              <w:top w:val="nil"/>
              <w:left w:val="single" w:sz="2" w:space="0" w:color="auto"/>
              <w:bottom w:val="nil"/>
              <w:right w:val="single" w:sz="2" w:space="0" w:color="auto"/>
            </w:tcBorders>
          </w:tcPr>
          <w:p w14:paraId="56EFB82C" w14:textId="77777777" w:rsidR="00374599" w:rsidRPr="00374599" w:rsidRDefault="00374599" w:rsidP="00374599">
            <w:pPr>
              <w:pStyle w:val="TableReference"/>
              <w:tabs>
                <w:tab w:val="left" w:pos="3306"/>
              </w:tabs>
              <w:spacing w:before="40"/>
              <w:rPr>
                <w:rFonts w:cs="Calibri"/>
                <w:color w:val="7030A0"/>
                <w:sz w:val="14"/>
              </w:rPr>
            </w:pPr>
          </w:p>
        </w:tc>
        <w:tc>
          <w:tcPr>
            <w:tcW w:w="4237" w:type="pct"/>
            <w:gridSpan w:val="6"/>
            <w:tcBorders>
              <w:top w:val="nil"/>
              <w:left w:val="single" w:sz="2" w:space="0" w:color="auto"/>
              <w:bottom w:val="nil"/>
              <w:right w:val="nil"/>
            </w:tcBorders>
            <w:vAlign w:val="bottom"/>
          </w:tcPr>
          <w:p w14:paraId="45795AC2" w14:textId="77777777" w:rsidR="00374599" w:rsidRPr="00374599" w:rsidRDefault="00374599" w:rsidP="00374599">
            <w:pPr>
              <w:pStyle w:val="TableText"/>
              <w:tabs>
                <w:tab w:val="left" w:pos="3306"/>
              </w:tabs>
              <w:jc w:val="right"/>
              <w:rPr>
                <w:rFonts w:cs="Calibri"/>
              </w:rPr>
            </w:pPr>
          </w:p>
        </w:tc>
      </w:tr>
      <w:tr w:rsidR="00374599" w:rsidRPr="00CF7E1B" w14:paraId="5133BC67" w14:textId="77777777" w:rsidTr="005F5B4C">
        <w:trPr>
          <w:cantSplit/>
          <w:trHeight w:val="23"/>
        </w:trPr>
        <w:tc>
          <w:tcPr>
            <w:tcW w:w="738" w:type="pct"/>
            <w:tcBorders>
              <w:top w:val="nil"/>
              <w:left w:val="single" w:sz="2" w:space="0" w:color="auto"/>
              <w:bottom w:val="nil"/>
              <w:right w:val="single" w:sz="2" w:space="0" w:color="auto"/>
            </w:tcBorders>
          </w:tcPr>
          <w:p w14:paraId="79A0618E" w14:textId="77777777" w:rsidR="00374599" w:rsidRPr="00374599" w:rsidRDefault="00374599" w:rsidP="00374599">
            <w:pPr>
              <w:pStyle w:val="TableReference"/>
              <w:tabs>
                <w:tab w:val="left" w:pos="3306"/>
              </w:tabs>
              <w:spacing w:before="40"/>
              <w:rPr>
                <w:rFonts w:cs="Calibri"/>
                <w:color w:val="7030A0"/>
                <w:sz w:val="14"/>
              </w:rPr>
            </w:pPr>
          </w:p>
        </w:tc>
        <w:tc>
          <w:tcPr>
            <w:tcW w:w="4262" w:type="pct"/>
            <w:gridSpan w:val="7"/>
            <w:tcBorders>
              <w:top w:val="nil"/>
              <w:left w:val="single" w:sz="2" w:space="0" w:color="auto"/>
              <w:bottom w:val="nil"/>
              <w:right w:val="nil"/>
            </w:tcBorders>
            <w:vAlign w:val="bottom"/>
          </w:tcPr>
          <w:p w14:paraId="18CB7AD3" w14:textId="5B443830" w:rsidR="00374599" w:rsidRPr="00374599" w:rsidRDefault="00374599" w:rsidP="00374599">
            <w:pPr>
              <w:pStyle w:val="TableText"/>
              <w:tabs>
                <w:tab w:val="left" w:pos="3306"/>
              </w:tabs>
              <w:spacing w:before="0" w:after="120"/>
              <w:ind w:left="179" w:hanging="179"/>
              <w:jc w:val="both"/>
              <w:rPr>
                <w:rFonts w:cs="Calibri"/>
              </w:rPr>
            </w:pPr>
            <w:r w:rsidRPr="00374599">
              <w:rPr>
                <w:rFonts w:cs="Calibri"/>
              </w:rPr>
              <w:t xml:space="preserve">a) The increase in Losses from Donated Assets of $xxx is due to three community and heritage assets being donated to a Community Organisation. </w:t>
            </w:r>
          </w:p>
        </w:tc>
      </w:tr>
      <w:tr w:rsidR="00374599" w:rsidRPr="00CF7E1B" w14:paraId="4431B9F1" w14:textId="77777777" w:rsidTr="005F5B4C">
        <w:trPr>
          <w:cantSplit/>
          <w:trHeight w:val="23"/>
        </w:trPr>
        <w:tc>
          <w:tcPr>
            <w:tcW w:w="738" w:type="pct"/>
            <w:tcBorders>
              <w:top w:val="nil"/>
              <w:left w:val="single" w:sz="2" w:space="0" w:color="auto"/>
              <w:bottom w:val="nil"/>
              <w:right w:val="single" w:sz="2" w:space="0" w:color="auto"/>
            </w:tcBorders>
          </w:tcPr>
          <w:p w14:paraId="48CFADC2" w14:textId="77777777" w:rsidR="00374599" w:rsidRPr="00374599" w:rsidRDefault="00374599" w:rsidP="00374599">
            <w:pPr>
              <w:pStyle w:val="TableReference"/>
              <w:tabs>
                <w:tab w:val="left" w:pos="3306"/>
              </w:tabs>
              <w:spacing w:before="40"/>
              <w:rPr>
                <w:rFonts w:cs="Calibri"/>
                <w:color w:val="7030A0"/>
                <w:sz w:val="14"/>
              </w:rPr>
            </w:pPr>
          </w:p>
        </w:tc>
        <w:tc>
          <w:tcPr>
            <w:tcW w:w="4262" w:type="pct"/>
            <w:gridSpan w:val="7"/>
            <w:tcBorders>
              <w:top w:val="nil"/>
              <w:left w:val="single" w:sz="2" w:space="0" w:color="auto"/>
              <w:bottom w:val="nil"/>
              <w:right w:val="nil"/>
            </w:tcBorders>
            <w:vAlign w:val="bottom"/>
          </w:tcPr>
          <w:p w14:paraId="6249CC5B" w14:textId="3DAF96D5" w:rsidR="00374599" w:rsidRPr="00374599" w:rsidRDefault="00374599" w:rsidP="00374599">
            <w:pPr>
              <w:pStyle w:val="TableText"/>
              <w:tabs>
                <w:tab w:val="left" w:pos="3306"/>
              </w:tabs>
              <w:spacing w:before="0" w:after="120"/>
              <w:ind w:left="179" w:hanging="179"/>
              <w:jc w:val="both"/>
              <w:rPr>
                <w:rFonts w:cs="Calibri"/>
              </w:rPr>
            </w:pPr>
            <w:r w:rsidRPr="00374599">
              <w:rPr>
                <w:rFonts w:cs="Calibri"/>
              </w:rPr>
              <w:t>b) The increase in the Restoration of Contaminated Sites Expense of $xxx is due to the costs associated in cleaning up the Landfill site resulting from the leakage of waste material.</w:t>
            </w:r>
            <w:r w:rsidR="00FA7C77">
              <w:rPr>
                <w:rFonts w:cs="Calibri"/>
              </w:rPr>
              <w:t xml:space="preserve"> </w:t>
            </w:r>
          </w:p>
        </w:tc>
      </w:tr>
      <w:tr w:rsidR="00374599" w:rsidRPr="00CF7E1B" w14:paraId="66A11183" w14:textId="77777777" w:rsidTr="005F5B4C">
        <w:trPr>
          <w:cantSplit/>
          <w:trHeight w:val="23"/>
        </w:trPr>
        <w:tc>
          <w:tcPr>
            <w:tcW w:w="738" w:type="pct"/>
            <w:tcBorders>
              <w:top w:val="nil"/>
              <w:left w:val="single" w:sz="2" w:space="0" w:color="auto"/>
              <w:bottom w:val="nil"/>
              <w:right w:val="single" w:sz="2" w:space="0" w:color="auto"/>
            </w:tcBorders>
          </w:tcPr>
          <w:p w14:paraId="42B72832" w14:textId="77777777" w:rsidR="00374599" w:rsidRPr="00374599" w:rsidRDefault="00374599" w:rsidP="00374599">
            <w:pPr>
              <w:pStyle w:val="TableReference"/>
              <w:tabs>
                <w:tab w:val="left" w:pos="3306"/>
              </w:tabs>
              <w:spacing w:before="40"/>
              <w:rPr>
                <w:rFonts w:cs="Calibri"/>
                <w:color w:val="7030A0"/>
                <w:sz w:val="14"/>
              </w:rPr>
            </w:pPr>
          </w:p>
        </w:tc>
        <w:tc>
          <w:tcPr>
            <w:tcW w:w="4262" w:type="pct"/>
            <w:gridSpan w:val="7"/>
            <w:tcBorders>
              <w:top w:val="nil"/>
              <w:left w:val="single" w:sz="2" w:space="0" w:color="auto"/>
              <w:bottom w:val="nil"/>
              <w:right w:val="nil"/>
            </w:tcBorders>
            <w:vAlign w:val="bottom"/>
          </w:tcPr>
          <w:p w14:paraId="078DD13F" w14:textId="1A7689EA" w:rsidR="00374599" w:rsidRPr="00374599" w:rsidRDefault="00374599" w:rsidP="00374599">
            <w:pPr>
              <w:pStyle w:val="TableText"/>
              <w:tabs>
                <w:tab w:val="left" w:pos="3306"/>
              </w:tabs>
              <w:spacing w:before="0" w:after="120"/>
              <w:ind w:left="193" w:hanging="193"/>
              <w:jc w:val="both"/>
              <w:rPr>
                <w:rFonts w:cs="Calibri"/>
              </w:rPr>
            </w:pPr>
            <w:r w:rsidRPr="00374599">
              <w:rPr>
                <w:rFonts w:cs="Calibri"/>
              </w:rPr>
              <w:t>c) The increase in Restructure Expenses of $xxx relates to consultants reports and the cost of dismantling and disposing of plant and equipment.</w:t>
            </w:r>
            <w:r w:rsidR="00FA7C77">
              <w:rPr>
                <w:rFonts w:cs="Calibri"/>
              </w:rPr>
              <w:t xml:space="preserve"> </w:t>
            </w:r>
            <w:r w:rsidRPr="00374599">
              <w:rPr>
                <w:rFonts w:cs="Calibri"/>
              </w:rPr>
              <w:t>This expense was not incurred in the previous reporting period.</w:t>
            </w:r>
          </w:p>
        </w:tc>
      </w:tr>
      <w:tr w:rsidR="00374599" w:rsidRPr="00CF7E1B" w14:paraId="03E6DB2F" w14:textId="77777777" w:rsidTr="005F5B4C">
        <w:trPr>
          <w:cantSplit/>
          <w:trHeight w:val="75"/>
        </w:trPr>
        <w:tc>
          <w:tcPr>
            <w:tcW w:w="738" w:type="pct"/>
            <w:tcBorders>
              <w:top w:val="nil"/>
              <w:left w:val="single" w:sz="2" w:space="0" w:color="auto"/>
              <w:bottom w:val="nil"/>
              <w:right w:val="single" w:sz="2" w:space="0" w:color="auto"/>
            </w:tcBorders>
          </w:tcPr>
          <w:p w14:paraId="2B6D3A4B" w14:textId="77777777" w:rsidR="00374599" w:rsidRPr="00374599" w:rsidRDefault="00374599" w:rsidP="00374599">
            <w:pPr>
              <w:pStyle w:val="TableReference"/>
              <w:tabs>
                <w:tab w:val="left" w:pos="3306"/>
              </w:tabs>
              <w:spacing w:before="60"/>
              <w:rPr>
                <w:rFonts w:cs="Calibri"/>
                <w:color w:val="7030A0"/>
                <w:sz w:val="14"/>
              </w:rPr>
            </w:pPr>
          </w:p>
        </w:tc>
        <w:tc>
          <w:tcPr>
            <w:tcW w:w="4262" w:type="pct"/>
            <w:gridSpan w:val="7"/>
            <w:tcBorders>
              <w:top w:val="nil"/>
              <w:left w:val="single" w:sz="2" w:space="0" w:color="auto"/>
              <w:bottom w:val="nil"/>
              <w:right w:val="nil"/>
            </w:tcBorders>
          </w:tcPr>
          <w:p w14:paraId="18620858" w14:textId="0286CDF8" w:rsidR="00374599" w:rsidRPr="00374599" w:rsidRDefault="00374599" w:rsidP="00374599">
            <w:pPr>
              <w:pStyle w:val="TableText"/>
              <w:tabs>
                <w:tab w:val="left" w:pos="3306"/>
              </w:tabs>
              <w:spacing w:before="0"/>
              <w:jc w:val="both"/>
              <w:rPr>
                <w:rFonts w:cs="Calibri"/>
                <w:szCs w:val="20"/>
              </w:rPr>
            </w:pPr>
          </w:p>
        </w:tc>
      </w:tr>
      <w:tr w:rsidR="00374599" w:rsidRPr="00CF7E1B" w14:paraId="17E52B78" w14:textId="77777777" w:rsidTr="005F5B4C">
        <w:trPr>
          <w:cantSplit/>
          <w:trHeight w:val="75"/>
        </w:trPr>
        <w:tc>
          <w:tcPr>
            <w:tcW w:w="738" w:type="pct"/>
            <w:tcBorders>
              <w:top w:val="nil"/>
              <w:left w:val="single" w:sz="2" w:space="0" w:color="auto"/>
              <w:bottom w:val="nil"/>
              <w:right w:val="single" w:sz="2" w:space="0" w:color="auto"/>
            </w:tcBorders>
          </w:tcPr>
          <w:p w14:paraId="17AA1E09" w14:textId="77777777" w:rsidR="00374599" w:rsidRPr="00374599" w:rsidRDefault="00374599" w:rsidP="00374599">
            <w:pPr>
              <w:pStyle w:val="TableReference"/>
              <w:tabs>
                <w:tab w:val="left" w:pos="3306"/>
              </w:tabs>
              <w:spacing w:before="60"/>
              <w:rPr>
                <w:rFonts w:cs="Calibri"/>
                <w:color w:val="7030A0"/>
                <w:sz w:val="14"/>
              </w:rPr>
            </w:pPr>
          </w:p>
        </w:tc>
        <w:tc>
          <w:tcPr>
            <w:tcW w:w="4262" w:type="pct"/>
            <w:gridSpan w:val="7"/>
            <w:tcBorders>
              <w:top w:val="nil"/>
              <w:left w:val="single" w:sz="2" w:space="0" w:color="auto"/>
              <w:bottom w:val="nil"/>
              <w:right w:val="nil"/>
            </w:tcBorders>
          </w:tcPr>
          <w:p w14:paraId="744F0E51" w14:textId="3D64D7DC" w:rsidR="00374599" w:rsidRPr="00374599" w:rsidRDefault="00374599" w:rsidP="00374599">
            <w:pPr>
              <w:pStyle w:val="TableText"/>
              <w:tabs>
                <w:tab w:val="left" w:pos="3306"/>
              </w:tabs>
              <w:spacing w:before="0"/>
              <w:jc w:val="both"/>
              <w:rPr>
                <w:rFonts w:cs="Calibri"/>
                <w:b/>
                <w:bCs/>
                <w:szCs w:val="20"/>
              </w:rPr>
            </w:pPr>
          </w:p>
        </w:tc>
      </w:tr>
      <w:tr w:rsidR="00374599" w:rsidRPr="00CF7E1B" w14:paraId="271149F1" w14:textId="77777777" w:rsidTr="005F5B4C">
        <w:trPr>
          <w:cantSplit/>
          <w:trHeight w:val="75"/>
        </w:trPr>
        <w:tc>
          <w:tcPr>
            <w:tcW w:w="738" w:type="pct"/>
            <w:tcBorders>
              <w:top w:val="nil"/>
              <w:left w:val="single" w:sz="2" w:space="0" w:color="auto"/>
              <w:bottom w:val="nil"/>
              <w:right w:val="single" w:sz="2" w:space="0" w:color="auto"/>
            </w:tcBorders>
          </w:tcPr>
          <w:p w14:paraId="210A5049"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23B6C754" w14:textId="77777777" w:rsidR="00374599" w:rsidRPr="00374599" w:rsidRDefault="00374599" w:rsidP="00374599">
            <w:pPr>
              <w:pStyle w:val="TableText"/>
              <w:tabs>
                <w:tab w:val="left" w:pos="3306"/>
              </w:tabs>
              <w:spacing w:before="0"/>
              <w:ind w:left="193" w:hanging="193"/>
              <w:jc w:val="both"/>
              <w:rPr>
                <w:rFonts w:cs="Calibri"/>
                <w:b/>
                <w:bCs/>
              </w:rPr>
            </w:pPr>
          </w:p>
        </w:tc>
        <w:tc>
          <w:tcPr>
            <w:tcW w:w="335" w:type="pct"/>
            <w:tcBorders>
              <w:top w:val="nil"/>
              <w:left w:val="nil"/>
              <w:bottom w:val="nil"/>
              <w:right w:val="nil"/>
            </w:tcBorders>
            <w:vAlign w:val="bottom"/>
          </w:tcPr>
          <w:p w14:paraId="3609ADF2" w14:textId="01C83ECD" w:rsidR="00374599" w:rsidRPr="00374599" w:rsidRDefault="00374599" w:rsidP="00374599">
            <w:pPr>
              <w:pStyle w:val="TableText"/>
              <w:tabs>
                <w:tab w:val="left" w:pos="3306"/>
              </w:tabs>
              <w:spacing w:before="0"/>
              <w:ind w:left="193" w:hanging="193"/>
              <w:jc w:val="right"/>
              <w:rPr>
                <w:rFonts w:cs="Calibri"/>
                <w:b/>
                <w:bCs/>
              </w:rPr>
            </w:pPr>
            <w:r w:rsidRPr="00374599">
              <w:rPr>
                <w:rFonts w:cs="Calibri"/>
                <w:b/>
                <w:bCs/>
              </w:rPr>
              <w:t>No.</w:t>
            </w:r>
          </w:p>
        </w:tc>
        <w:tc>
          <w:tcPr>
            <w:tcW w:w="603" w:type="pct"/>
            <w:gridSpan w:val="2"/>
            <w:tcBorders>
              <w:top w:val="nil"/>
              <w:left w:val="nil"/>
              <w:bottom w:val="nil"/>
              <w:right w:val="nil"/>
            </w:tcBorders>
            <w:vAlign w:val="bottom"/>
          </w:tcPr>
          <w:p w14:paraId="2C62DAE2" w14:textId="1AF3EEE6" w:rsidR="00374599" w:rsidRPr="00374599" w:rsidRDefault="00374599" w:rsidP="00374599">
            <w:pPr>
              <w:pStyle w:val="TableText"/>
              <w:tabs>
                <w:tab w:val="left" w:pos="3306"/>
              </w:tabs>
              <w:spacing w:before="0"/>
              <w:ind w:left="193" w:hanging="193"/>
              <w:jc w:val="right"/>
              <w:rPr>
                <w:rFonts w:cs="Calibri"/>
                <w:b/>
                <w:bCs/>
              </w:rPr>
            </w:pPr>
            <w:r w:rsidRPr="00374599">
              <w:rPr>
                <w:rFonts w:cs="Calibri"/>
                <w:b/>
                <w:bCs/>
              </w:rPr>
              <w:t>2022</w:t>
            </w:r>
            <w:r w:rsidR="00FA7C77">
              <w:rPr>
                <w:rFonts w:cs="Calibri"/>
                <w:b/>
                <w:bCs/>
              </w:rPr>
              <w:t xml:space="preserve">   </w:t>
            </w:r>
            <w:r w:rsidRPr="00374599">
              <w:rPr>
                <w:rFonts w:cs="Calibri"/>
                <w:b/>
                <w:bCs/>
              </w:rPr>
              <w:t xml:space="preserve"> $’000</w:t>
            </w:r>
          </w:p>
        </w:tc>
        <w:tc>
          <w:tcPr>
            <w:tcW w:w="538" w:type="pct"/>
            <w:tcBorders>
              <w:top w:val="nil"/>
              <w:left w:val="nil"/>
              <w:bottom w:val="nil"/>
              <w:right w:val="nil"/>
            </w:tcBorders>
            <w:vAlign w:val="bottom"/>
          </w:tcPr>
          <w:p w14:paraId="6773CBE4" w14:textId="6B6756F9" w:rsidR="00374599" w:rsidRPr="00374599" w:rsidRDefault="00374599" w:rsidP="00374599">
            <w:pPr>
              <w:pStyle w:val="TableText"/>
              <w:tabs>
                <w:tab w:val="left" w:pos="3306"/>
              </w:tabs>
              <w:spacing w:before="0"/>
              <w:ind w:left="193" w:hanging="193"/>
              <w:jc w:val="right"/>
              <w:rPr>
                <w:rFonts w:cs="Calibri"/>
                <w:b/>
                <w:bCs/>
              </w:rPr>
            </w:pPr>
            <w:r w:rsidRPr="00374599">
              <w:rPr>
                <w:rFonts w:cs="Calibri"/>
                <w:b/>
                <w:bCs/>
              </w:rPr>
              <w:t>No.</w:t>
            </w:r>
          </w:p>
        </w:tc>
        <w:tc>
          <w:tcPr>
            <w:tcW w:w="575" w:type="pct"/>
            <w:gridSpan w:val="2"/>
            <w:tcBorders>
              <w:top w:val="nil"/>
              <w:left w:val="nil"/>
              <w:bottom w:val="nil"/>
              <w:right w:val="nil"/>
            </w:tcBorders>
            <w:vAlign w:val="bottom"/>
          </w:tcPr>
          <w:p w14:paraId="76808178" w14:textId="47848D8A" w:rsidR="00374599" w:rsidRPr="00374599" w:rsidRDefault="00374599" w:rsidP="00374599">
            <w:pPr>
              <w:pStyle w:val="TableTitle"/>
              <w:tabs>
                <w:tab w:val="left" w:pos="3306"/>
              </w:tabs>
              <w:rPr>
                <w:rFonts w:cs="Calibri"/>
              </w:rPr>
            </w:pPr>
            <w:r w:rsidRPr="00374599">
              <w:rPr>
                <w:rFonts w:cs="Calibri"/>
              </w:rPr>
              <w:t>2021</w:t>
            </w:r>
          </w:p>
          <w:p w14:paraId="6061E815" w14:textId="3AF3D1E7" w:rsidR="00374599" w:rsidRPr="00374599" w:rsidRDefault="00374599" w:rsidP="00374599">
            <w:pPr>
              <w:pStyle w:val="TableText"/>
              <w:tabs>
                <w:tab w:val="left" w:pos="3306"/>
              </w:tabs>
              <w:spacing w:before="0"/>
              <w:ind w:left="193" w:hanging="193"/>
              <w:jc w:val="right"/>
              <w:rPr>
                <w:rFonts w:cs="Calibri"/>
                <w:b/>
                <w:bCs/>
              </w:rPr>
            </w:pPr>
            <w:r w:rsidRPr="00374599">
              <w:rPr>
                <w:rFonts w:cs="Calibri"/>
                <w:b/>
                <w:bCs/>
              </w:rPr>
              <w:t>$’000</w:t>
            </w:r>
          </w:p>
        </w:tc>
      </w:tr>
      <w:tr w:rsidR="00374599" w:rsidRPr="00CF7E1B" w14:paraId="7E511CEC" w14:textId="77777777" w:rsidTr="005F5B4C">
        <w:trPr>
          <w:cantSplit/>
          <w:trHeight w:val="75"/>
        </w:trPr>
        <w:tc>
          <w:tcPr>
            <w:tcW w:w="738" w:type="pct"/>
            <w:tcBorders>
              <w:top w:val="nil"/>
              <w:left w:val="single" w:sz="2" w:space="0" w:color="auto"/>
              <w:bottom w:val="nil"/>
              <w:right w:val="single" w:sz="2" w:space="0" w:color="auto"/>
            </w:tcBorders>
          </w:tcPr>
          <w:p w14:paraId="5C843EF3"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586FDF9F" w14:textId="7A8127B9" w:rsidR="00374599" w:rsidRPr="00374599" w:rsidRDefault="00374599" w:rsidP="00374599">
            <w:pPr>
              <w:pStyle w:val="TableText"/>
              <w:tabs>
                <w:tab w:val="left" w:pos="3306"/>
              </w:tabs>
              <w:spacing w:before="0"/>
              <w:ind w:left="193" w:hanging="193"/>
              <w:jc w:val="both"/>
              <w:rPr>
                <w:rFonts w:cs="Calibri"/>
                <w:b/>
                <w:bCs/>
              </w:rPr>
            </w:pPr>
            <w:r w:rsidRPr="00374599">
              <w:rPr>
                <w:rFonts w:cs="Calibri"/>
                <w:b/>
                <w:bCs/>
                <w:szCs w:val="20"/>
              </w:rPr>
              <w:t xml:space="preserve">Breakdown of </w:t>
            </w:r>
            <w:r w:rsidRPr="00374599">
              <w:rPr>
                <w:rFonts w:cs="Calibri"/>
                <w:b/>
                <w:bCs/>
              </w:rPr>
              <w:t>Waivers</w:t>
            </w:r>
          </w:p>
        </w:tc>
        <w:tc>
          <w:tcPr>
            <w:tcW w:w="335" w:type="pct"/>
            <w:tcBorders>
              <w:top w:val="nil"/>
              <w:left w:val="nil"/>
              <w:bottom w:val="nil"/>
              <w:right w:val="nil"/>
            </w:tcBorders>
            <w:vAlign w:val="bottom"/>
          </w:tcPr>
          <w:p w14:paraId="56E2AD74"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51251B0C"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nil"/>
              <w:left w:val="nil"/>
              <w:bottom w:val="nil"/>
              <w:right w:val="nil"/>
            </w:tcBorders>
            <w:vAlign w:val="bottom"/>
          </w:tcPr>
          <w:p w14:paraId="178B8862"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nil"/>
              <w:left w:val="nil"/>
              <w:bottom w:val="nil"/>
              <w:right w:val="nil"/>
            </w:tcBorders>
            <w:vAlign w:val="bottom"/>
          </w:tcPr>
          <w:p w14:paraId="5EFBD617"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78A65C32" w14:textId="77777777" w:rsidTr="005F5B4C">
        <w:trPr>
          <w:cantSplit/>
          <w:trHeight w:val="75"/>
        </w:trPr>
        <w:tc>
          <w:tcPr>
            <w:tcW w:w="738" w:type="pct"/>
            <w:tcBorders>
              <w:top w:val="nil"/>
              <w:left w:val="single" w:sz="2" w:space="0" w:color="auto"/>
              <w:bottom w:val="nil"/>
              <w:right w:val="single" w:sz="2" w:space="0" w:color="auto"/>
            </w:tcBorders>
          </w:tcPr>
          <w:p w14:paraId="23813663" w14:textId="23E34F0B"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FMA sec 131(3)</w:t>
            </w:r>
          </w:p>
        </w:tc>
        <w:tc>
          <w:tcPr>
            <w:tcW w:w="2211" w:type="pct"/>
            <w:tcBorders>
              <w:top w:val="nil"/>
              <w:left w:val="single" w:sz="2" w:space="0" w:color="auto"/>
              <w:bottom w:val="nil"/>
              <w:right w:val="nil"/>
            </w:tcBorders>
            <w:vAlign w:val="bottom"/>
          </w:tcPr>
          <w:p w14:paraId="2F1047D0" w14:textId="3B0918AF" w:rsidR="00374599" w:rsidRPr="00374599" w:rsidRDefault="00374599" w:rsidP="00374599">
            <w:pPr>
              <w:pStyle w:val="TableText"/>
              <w:tabs>
                <w:tab w:val="left" w:pos="3306"/>
              </w:tabs>
              <w:spacing w:before="0"/>
              <w:ind w:left="193" w:hanging="193"/>
              <w:jc w:val="both"/>
              <w:rPr>
                <w:rFonts w:cs="Calibri"/>
              </w:rPr>
            </w:pPr>
            <w:r w:rsidRPr="00374599">
              <w:rPr>
                <w:rFonts w:cs="Calibri"/>
              </w:rPr>
              <w:t>Stimulus Waivers</w:t>
            </w:r>
          </w:p>
        </w:tc>
        <w:tc>
          <w:tcPr>
            <w:tcW w:w="335" w:type="pct"/>
            <w:tcBorders>
              <w:top w:val="nil"/>
              <w:left w:val="nil"/>
              <w:bottom w:val="nil"/>
              <w:right w:val="nil"/>
            </w:tcBorders>
            <w:vAlign w:val="bottom"/>
          </w:tcPr>
          <w:p w14:paraId="1E9FB3DB"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6FC3A25C"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nil"/>
              <w:left w:val="nil"/>
              <w:bottom w:val="nil"/>
              <w:right w:val="nil"/>
            </w:tcBorders>
            <w:vAlign w:val="bottom"/>
          </w:tcPr>
          <w:p w14:paraId="3F38A067"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nil"/>
              <w:left w:val="nil"/>
              <w:bottom w:val="nil"/>
              <w:right w:val="nil"/>
            </w:tcBorders>
            <w:vAlign w:val="bottom"/>
          </w:tcPr>
          <w:p w14:paraId="7A6E685B"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460240BF" w14:textId="77777777" w:rsidTr="005F5B4C">
        <w:trPr>
          <w:cantSplit/>
          <w:trHeight w:val="75"/>
        </w:trPr>
        <w:tc>
          <w:tcPr>
            <w:tcW w:w="738" w:type="pct"/>
            <w:tcBorders>
              <w:top w:val="nil"/>
              <w:left w:val="single" w:sz="2" w:space="0" w:color="auto"/>
              <w:bottom w:val="nil"/>
              <w:right w:val="single" w:sz="2" w:space="0" w:color="auto"/>
            </w:tcBorders>
          </w:tcPr>
          <w:p w14:paraId="5513539E" w14:textId="5E74EBC9"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 xml:space="preserve">FMA sec 131(3) </w:t>
            </w:r>
          </w:p>
        </w:tc>
        <w:tc>
          <w:tcPr>
            <w:tcW w:w="2211" w:type="pct"/>
            <w:tcBorders>
              <w:top w:val="nil"/>
              <w:left w:val="single" w:sz="2" w:space="0" w:color="auto"/>
              <w:bottom w:val="nil"/>
              <w:right w:val="nil"/>
            </w:tcBorders>
            <w:vAlign w:val="bottom"/>
          </w:tcPr>
          <w:p w14:paraId="617BB7C0" w14:textId="183208BB" w:rsidR="00374599" w:rsidRPr="00374599" w:rsidRDefault="00374599" w:rsidP="00374599">
            <w:pPr>
              <w:pStyle w:val="TableText"/>
              <w:tabs>
                <w:tab w:val="left" w:pos="3306"/>
              </w:tabs>
              <w:spacing w:before="0"/>
              <w:ind w:left="193" w:hanging="193"/>
              <w:jc w:val="both"/>
              <w:rPr>
                <w:rFonts w:cs="Calibri"/>
              </w:rPr>
            </w:pPr>
            <w:r w:rsidRPr="00374599">
              <w:rPr>
                <w:rFonts w:cs="Calibri"/>
              </w:rPr>
              <w:t>Loan Waivers</w:t>
            </w:r>
          </w:p>
        </w:tc>
        <w:tc>
          <w:tcPr>
            <w:tcW w:w="335" w:type="pct"/>
            <w:tcBorders>
              <w:top w:val="nil"/>
              <w:left w:val="nil"/>
              <w:bottom w:val="nil"/>
              <w:right w:val="nil"/>
            </w:tcBorders>
            <w:vAlign w:val="bottom"/>
          </w:tcPr>
          <w:p w14:paraId="62453B68"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1504EBE3"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nil"/>
              <w:left w:val="nil"/>
              <w:bottom w:val="nil"/>
              <w:right w:val="nil"/>
            </w:tcBorders>
            <w:vAlign w:val="bottom"/>
          </w:tcPr>
          <w:p w14:paraId="78DA148A"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nil"/>
              <w:left w:val="nil"/>
              <w:bottom w:val="nil"/>
              <w:right w:val="nil"/>
            </w:tcBorders>
            <w:vAlign w:val="bottom"/>
          </w:tcPr>
          <w:p w14:paraId="6152F15C"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2DAF9011" w14:textId="77777777" w:rsidTr="005F5B4C">
        <w:trPr>
          <w:cantSplit/>
          <w:trHeight w:val="75"/>
        </w:trPr>
        <w:tc>
          <w:tcPr>
            <w:tcW w:w="738" w:type="pct"/>
            <w:tcBorders>
              <w:top w:val="nil"/>
              <w:left w:val="single" w:sz="2" w:space="0" w:color="auto"/>
              <w:bottom w:val="nil"/>
              <w:right w:val="single" w:sz="2" w:space="0" w:color="auto"/>
            </w:tcBorders>
          </w:tcPr>
          <w:p w14:paraId="61CF1CFC" w14:textId="46866160"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FMA sec 131(3)</w:t>
            </w:r>
          </w:p>
        </w:tc>
        <w:tc>
          <w:tcPr>
            <w:tcW w:w="2211" w:type="pct"/>
            <w:tcBorders>
              <w:top w:val="nil"/>
              <w:left w:val="single" w:sz="2" w:space="0" w:color="auto"/>
              <w:bottom w:val="nil"/>
              <w:right w:val="nil"/>
            </w:tcBorders>
            <w:vAlign w:val="bottom"/>
          </w:tcPr>
          <w:p w14:paraId="6197E1E3" w14:textId="76AA7A47" w:rsidR="00374599" w:rsidRPr="00374599" w:rsidRDefault="00374599" w:rsidP="00374599">
            <w:pPr>
              <w:pStyle w:val="TableText"/>
              <w:tabs>
                <w:tab w:val="left" w:pos="3306"/>
              </w:tabs>
              <w:spacing w:before="0"/>
              <w:ind w:left="193" w:hanging="193"/>
              <w:jc w:val="both"/>
              <w:rPr>
                <w:rFonts w:cs="Calibri"/>
              </w:rPr>
            </w:pPr>
            <w:r w:rsidRPr="00374599">
              <w:rPr>
                <w:rFonts w:cs="Calibri"/>
              </w:rPr>
              <w:t>Other Waivers</w:t>
            </w:r>
          </w:p>
        </w:tc>
        <w:tc>
          <w:tcPr>
            <w:tcW w:w="335" w:type="pct"/>
            <w:tcBorders>
              <w:top w:val="nil"/>
              <w:left w:val="nil"/>
              <w:bottom w:val="single" w:sz="4" w:space="0" w:color="auto"/>
              <w:right w:val="nil"/>
            </w:tcBorders>
            <w:vAlign w:val="bottom"/>
          </w:tcPr>
          <w:p w14:paraId="1AC1A25A"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nil"/>
              <w:left w:val="nil"/>
              <w:bottom w:val="single" w:sz="4" w:space="0" w:color="auto"/>
              <w:right w:val="nil"/>
            </w:tcBorders>
            <w:vAlign w:val="bottom"/>
          </w:tcPr>
          <w:p w14:paraId="117E04DB"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nil"/>
              <w:left w:val="nil"/>
              <w:bottom w:val="single" w:sz="4" w:space="0" w:color="auto"/>
              <w:right w:val="nil"/>
            </w:tcBorders>
            <w:vAlign w:val="bottom"/>
          </w:tcPr>
          <w:p w14:paraId="2A8CF4D7"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nil"/>
              <w:left w:val="nil"/>
              <w:bottom w:val="single" w:sz="4" w:space="0" w:color="auto"/>
              <w:right w:val="nil"/>
            </w:tcBorders>
            <w:vAlign w:val="bottom"/>
          </w:tcPr>
          <w:p w14:paraId="7C99A72E"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56F57985" w14:textId="77777777" w:rsidTr="005F5B4C">
        <w:trPr>
          <w:cantSplit/>
          <w:trHeight w:val="75"/>
        </w:trPr>
        <w:tc>
          <w:tcPr>
            <w:tcW w:w="738" w:type="pct"/>
            <w:tcBorders>
              <w:top w:val="nil"/>
              <w:left w:val="single" w:sz="2" w:space="0" w:color="auto"/>
              <w:bottom w:val="nil"/>
              <w:right w:val="single" w:sz="2" w:space="0" w:color="auto"/>
            </w:tcBorders>
          </w:tcPr>
          <w:p w14:paraId="13265DDB"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41EB45CB" w14:textId="546B2D38" w:rsidR="00374599" w:rsidRPr="00374599" w:rsidRDefault="00374599" w:rsidP="00374599">
            <w:pPr>
              <w:pStyle w:val="TableText"/>
              <w:tabs>
                <w:tab w:val="left" w:pos="3306"/>
              </w:tabs>
              <w:spacing w:before="0"/>
              <w:ind w:left="193" w:hanging="193"/>
              <w:jc w:val="both"/>
              <w:rPr>
                <w:rFonts w:cs="Calibri"/>
              </w:rPr>
            </w:pPr>
            <w:r w:rsidRPr="00374599">
              <w:rPr>
                <w:rFonts w:cs="Calibri"/>
                <w:b/>
                <w:bCs/>
              </w:rPr>
              <w:t>Total Waivers</w:t>
            </w:r>
          </w:p>
        </w:tc>
        <w:tc>
          <w:tcPr>
            <w:tcW w:w="335" w:type="pct"/>
            <w:tcBorders>
              <w:top w:val="single" w:sz="4" w:space="0" w:color="auto"/>
              <w:left w:val="nil"/>
              <w:bottom w:val="double" w:sz="4" w:space="0" w:color="auto"/>
              <w:right w:val="nil"/>
            </w:tcBorders>
            <w:vAlign w:val="bottom"/>
          </w:tcPr>
          <w:p w14:paraId="79E14F2A"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single" w:sz="4" w:space="0" w:color="auto"/>
              <w:left w:val="nil"/>
              <w:bottom w:val="double" w:sz="4" w:space="0" w:color="auto"/>
              <w:right w:val="nil"/>
            </w:tcBorders>
            <w:vAlign w:val="bottom"/>
          </w:tcPr>
          <w:p w14:paraId="53A6F6F7"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single" w:sz="4" w:space="0" w:color="auto"/>
              <w:left w:val="nil"/>
              <w:bottom w:val="double" w:sz="4" w:space="0" w:color="auto"/>
              <w:right w:val="nil"/>
            </w:tcBorders>
            <w:vAlign w:val="bottom"/>
          </w:tcPr>
          <w:p w14:paraId="475D538C"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single" w:sz="4" w:space="0" w:color="auto"/>
              <w:left w:val="nil"/>
              <w:bottom w:val="double" w:sz="4" w:space="0" w:color="auto"/>
              <w:right w:val="nil"/>
            </w:tcBorders>
            <w:vAlign w:val="bottom"/>
          </w:tcPr>
          <w:p w14:paraId="625AF853"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5E1CB88A" w14:textId="77777777" w:rsidTr="005F5B4C">
        <w:trPr>
          <w:cantSplit/>
          <w:trHeight w:val="75"/>
        </w:trPr>
        <w:tc>
          <w:tcPr>
            <w:tcW w:w="738" w:type="pct"/>
            <w:tcBorders>
              <w:top w:val="nil"/>
              <w:left w:val="single" w:sz="2" w:space="0" w:color="auto"/>
              <w:bottom w:val="nil"/>
              <w:right w:val="single" w:sz="2" w:space="0" w:color="auto"/>
            </w:tcBorders>
          </w:tcPr>
          <w:p w14:paraId="37B8AEC5"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43157EC7" w14:textId="77777777" w:rsidR="00374599" w:rsidRPr="00374599" w:rsidRDefault="00374599" w:rsidP="00374599">
            <w:pPr>
              <w:pStyle w:val="TableText"/>
              <w:tabs>
                <w:tab w:val="left" w:pos="3306"/>
              </w:tabs>
              <w:spacing w:before="0"/>
              <w:ind w:left="193" w:hanging="193"/>
              <w:jc w:val="both"/>
              <w:rPr>
                <w:rFonts w:cs="Calibri"/>
              </w:rPr>
            </w:pPr>
          </w:p>
        </w:tc>
        <w:tc>
          <w:tcPr>
            <w:tcW w:w="335" w:type="pct"/>
            <w:tcBorders>
              <w:top w:val="double" w:sz="4" w:space="0" w:color="auto"/>
              <w:left w:val="nil"/>
              <w:bottom w:val="nil"/>
              <w:right w:val="nil"/>
            </w:tcBorders>
            <w:vAlign w:val="bottom"/>
          </w:tcPr>
          <w:p w14:paraId="2AAD6F83"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double" w:sz="4" w:space="0" w:color="auto"/>
              <w:left w:val="nil"/>
              <w:bottom w:val="nil"/>
              <w:right w:val="nil"/>
            </w:tcBorders>
            <w:vAlign w:val="bottom"/>
          </w:tcPr>
          <w:p w14:paraId="5A9BB88C"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double" w:sz="4" w:space="0" w:color="auto"/>
              <w:left w:val="nil"/>
              <w:bottom w:val="nil"/>
              <w:right w:val="nil"/>
            </w:tcBorders>
            <w:vAlign w:val="bottom"/>
          </w:tcPr>
          <w:p w14:paraId="2303C966"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double" w:sz="4" w:space="0" w:color="auto"/>
              <w:left w:val="nil"/>
              <w:bottom w:val="nil"/>
              <w:right w:val="nil"/>
            </w:tcBorders>
            <w:vAlign w:val="bottom"/>
          </w:tcPr>
          <w:p w14:paraId="63520F2A"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78FFD1CC" w14:textId="77777777" w:rsidTr="005F5B4C">
        <w:trPr>
          <w:cantSplit/>
          <w:trHeight w:val="75"/>
        </w:trPr>
        <w:tc>
          <w:tcPr>
            <w:tcW w:w="738" w:type="pct"/>
            <w:tcBorders>
              <w:top w:val="nil"/>
              <w:left w:val="single" w:sz="2" w:space="0" w:color="auto"/>
              <w:bottom w:val="nil"/>
              <w:right w:val="single" w:sz="2" w:space="0" w:color="auto"/>
            </w:tcBorders>
          </w:tcPr>
          <w:p w14:paraId="582C539E"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3790BECC" w14:textId="77777777" w:rsidR="00374599" w:rsidRPr="00374599" w:rsidRDefault="00374599" w:rsidP="00374599">
            <w:pPr>
              <w:pStyle w:val="TableText"/>
              <w:tabs>
                <w:tab w:val="left" w:pos="3306"/>
              </w:tabs>
              <w:spacing w:before="0"/>
              <w:ind w:left="193" w:hanging="193"/>
              <w:jc w:val="both"/>
              <w:rPr>
                <w:rFonts w:cs="Calibri"/>
              </w:rPr>
            </w:pPr>
          </w:p>
        </w:tc>
        <w:tc>
          <w:tcPr>
            <w:tcW w:w="335" w:type="pct"/>
            <w:tcBorders>
              <w:top w:val="nil"/>
              <w:left w:val="nil"/>
              <w:bottom w:val="nil"/>
              <w:right w:val="nil"/>
            </w:tcBorders>
            <w:vAlign w:val="bottom"/>
          </w:tcPr>
          <w:p w14:paraId="46F46F40"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2A5CCD9B"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nil"/>
              <w:left w:val="nil"/>
              <w:bottom w:val="nil"/>
              <w:right w:val="nil"/>
            </w:tcBorders>
            <w:vAlign w:val="bottom"/>
          </w:tcPr>
          <w:p w14:paraId="4548879A"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nil"/>
              <w:left w:val="nil"/>
              <w:bottom w:val="nil"/>
              <w:right w:val="nil"/>
            </w:tcBorders>
            <w:vAlign w:val="bottom"/>
          </w:tcPr>
          <w:p w14:paraId="0A87060D"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7B0F52C4" w14:textId="77777777" w:rsidTr="005F5B4C">
        <w:trPr>
          <w:cantSplit/>
          <w:trHeight w:val="75"/>
        </w:trPr>
        <w:tc>
          <w:tcPr>
            <w:tcW w:w="738" w:type="pct"/>
            <w:tcBorders>
              <w:top w:val="nil"/>
              <w:left w:val="single" w:sz="2" w:space="0" w:color="auto"/>
              <w:bottom w:val="nil"/>
              <w:right w:val="single" w:sz="2" w:space="0" w:color="auto"/>
            </w:tcBorders>
          </w:tcPr>
          <w:p w14:paraId="098962D2"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76A0C4B6" w14:textId="6ACF44F4" w:rsidR="00374599" w:rsidRPr="00374599" w:rsidRDefault="00374599" w:rsidP="00374599">
            <w:pPr>
              <w:pStyle w:val="TableText"/>
              <w:tabs>
                <w:tab w:val="left" w:pos="3306"/>
              </w:tabs>
              <w:spacing w:before="0"/>
              <w:ind w:left="193" w:hanging="193"/>
              <w:jc w:val="both"/>
              <w:rPr>
                <w:rFonts w:cs="Calibri"/>
                <w:b/>
                <w:bCs/>
              </w:rPr>
            </w:pPr>
            <w:r w:rsidRPr="00374599">
              <w:rPr>
                <w:rFonts w:cs="Calibri"/>
                <w:b/>
                <w:bCs/>
                <w:szCs w:val="20"/>
              </w:rPr>
              <w:t xml:space="preserve">Breakdown of </w:t>
            </w:r>
            <w:r w:rsidRPr="00374599">
              <w:rPr>
                <w:rFonts w:cs="Calibri"/>
                <w:b/>
                <w:bCs/>
              </w:rPr>
              <w:t>Act of Grace Payments</w:t>
            </w:r>
          </w:p>
        </w:tc>
        <w:tc>
          <w:tcPr>
            <w:tcW w:w="335" w:type="pct"/>
            <w:tcBorders>
              <w:top w:val="nil"/>
              <w:left w:val="nil"/>
              <w:bottom w:val="nil"/>
              <w:right w:val="nil"/>
            </w:tcBorders>
            <w:vAlign w:val="bottom"/>
          </w:tcPr>
          <w:p w14:paraId="10A783B0"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0573BD4D"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nil"/>
              <w:left w:val="nil"/>
              <w:bottom w:val="nil"/>
              <w:right w:val="nil"/>
            </w:tcBorders>
            <w:vAlign w:val="bottom"/>
          </w:tcPr>
          <w:p w14:paraId="4431D597"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nil"/>
              <w:left w:val="nil"/>
              <w:bottom w:val="nil"/>
              <w:right w:val="nil"/>
            </w:tcBorders>
            <w:vAlign w:val="bottom"/>
          </w:tcPr>
          <w:p w14:paraId="46DBD88C"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37D602E8" w14:textId="77777777" w:rsidTr="005F5B4C">
        <w:trPr>
          <w:cantSplit/>
          <w:trHeight w:val="75"/>
        </w:trPr>
        <w:tc>
          <w:tcPr>
            <w:tcW w:w="738" w:type="pct"/>
            <w:tcBorders>
              <w:top w:val="nil"/>
              <w:left w:val="single" w:sz="2" w:space="0" w:color="auto"/>
              <w:bottom w:val="nil"/>
              <w:right w:val="single" w:sz="2" w:space="0" w:color="auto"/>
            </w:tcBorders>
          </w:tcPr>
          <w:p w14:paraId="6F4681DB" w14:textId="55F3850F"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FMA Sec 130(9)</w:t>
            </w:r>
          </w:p>
        </w:tc>
        <w:tc>
          <w:tcPr>
            <w:tcW w:w="2211" w:type="pct"/>
            <w:tcBorders>
              <w:top w:val="nil"/>
              <w:left w:val="single" w:sz="2" w:space="0" w:color="auto"/>
              <w:bottom w:val="nil"/>
              <w:right w:val="nil"/>
            </w:tcBorders>
            <w:vAlign w:val="bottom"/>
          </w:tcPr>
          <w:p w14:paraId="7EF09A4D" w14:textId="6B8A7E15" w:rsidR="00374599" w:rsidRPr="00374599" w:rsidRDefault="00374599" w:rsidP="00374599">
            <w:pPr>
              <w:pStyle w:val="TableText"/>
              <w:tabs>
                <w:tab w:val="left" w:pos="3306"/>
              </w:tabs>
              <w:spacing w:before="0"/>
              <w:rPr>
                <w:rFonts w:cs="Calibri"/>
              </w:rPr>
            </w:pPr>
            <w:r w:rsidRPr="00374599">
              <w:rPr>
                <w:rFonts w:cs="Calibri"/>
              </w:rPr>
              <w:t>Payments relating to the oversight regarding land development applications</w:t>
            </w:r>
          </w:p>
        </w:tc>
        <w:tc>
          <w:tcPr>
            <w:tcW w:w="335" w:type="pct"/>
            <w:tcBorders>
              <w:top w:val="nil"/>
              <w:left w:val="nil"/>
              <w:bottom w:val="nil"/>
              <w:right w:val="nil"/>
            </w:tcBorders>
            <w:vAlign w:val="bottom"/>
          </w:tcPr>
          <w:p w14:paraId="6F5C83F7"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nil"/>
              <w:left w:val="nil"/>
              <w:bottom w:val="nil"/>
              <w:right w:val="nil"/>
            </w:tcBorders>
            <w:vAlign w:val="bottom"/>
          </w:tcPr>
          <w:p w14:paraId="4B3F8EA5"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nil"/>
              <w:left w:val="nil"/>
              <w:bottom w:val="nil"/>
              <w:right w:val="nil"/>
            </w:tcBorders>
            <w:vAlign w:val="bottom"/>
          </w:tcPr>
          <w:p w14:paraId="605029C7"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nil"/>
              <w:left w:val="nil"/>
              <w:bottom w:val="nil"/>
              <w:right w:val="nil"/>
            </w:tcBorders>
            <w:vAlign w:val="bottom"/>
          </w:tcPr>
          <w:p w14:paraId="7E5FAF53"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452D0A3F" w14:textId="77777777" w:rsidTr="005F5B4C">
        <w:trPr>
          <w:cantSplit/>
          <w:trHeight w:val="75"/>
        </w:trPr>
        <w:tc>
          <w:tcPr>
            <w:tcW w:w="738" w:type="pct"/>
            <w:tcBorders>
              <w:top w:val="nil"/>
              <w:left w:val="single" w:sz="2" w:space="0" w:color="auto"/>
              <w:bottom w:val="nil"/>
              <w:right w:val="single" w:sz="2" w:space="0" w:color="auto"/>
            </w:tcBorders>
          </w:tcPr>
          <w:p w14:paraId="6409A33C" w14:textId="2FB99305"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FMA Sec 130(9)</w:t>
            </w:r>
          </w:p>
        </w:tc>
        <w:tc>
          <w:tcPr>
            <w:tcW w:w="2211" w:type="pct"/>
            <w:tcBorders>
              <w:top w:val="nil"/>
              <w:left w:val="single" w:sz="2" w:space="0" w:color="auto"/>
              <w:bottom w:val="nil"/>
              <w:right w:val="nil"/>
            </w:tcBorders>
            <w:vAlign w:val="bottom"/>
          </w:tcPr>
          <w:p w14:paraId="60C82C9B" w14:textId="28BD6819" w:rsidR="00374599" w:rsidRPr="00374599" w:rsidRDefault="00374599" w:rsidP="00374599">
            <w:pPr>
              <w:pStyle w:val="TableText"/>
              <w:tabs>
                <w:tab w:val="left" w:pos="3306"/>
              </w:tabs>
              <w:spacing w:before="0"/>
              <w:rPr>
                <w:rFonts w:cs="Calibri"/>
              </w:rPr>
            </w:pPr>
            <w:r w:rsidRPr="00374599">
              <w:rPr>
                <w:rFonts w:cs="Calibri"/>
              </w:rPr>
              <w:t xml:space="preserve">Payment relating to a </w:t>
            </w:r>
            <w:r w:rsidRPr="00374599">
              <w:rPr>
                <w:rFonts w:cs="Calibri"/>
                <w:szCs w:val="20"/>
              </w:rPr>
              <w:t>delayed heritage grant payment</w:t>
            </w:r>
          </w:p>
        </w:tc>
        <w:tc>
          <w:tcPr>
            <w:tcW w:w="335" w:type="pct"/>
            <w:tcBorders>
              <w:top w:val="nil"/>
              <w:left w:val="nil"/>
              <w:bottom w:val="single" w:sz="4" w:space="0" w:color="auto"/>
              <w:right w:val="nil"/>
            </w:tcBorders>
            <w:vAlign w:val="bottom"/>
          </w:tcPr>
          <w:p w14:paraId="7A642127"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nil"/>
              <w:left w:val="nil"/>
              <w:bottom w:val="single" w:sz="4" w:space="0" w:color="auto"/>
              <w:right w:val="nil"/>
            </w:tcBorders>
            <w:vAlign w:val="bottom"/>
          </w:tcPr>
          <w:p w14:paraId="6E58D61E"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nil"/>
              <w:left w:val="nil"/>
              <w:bottom w:val="single" w:sz="4" w:space="0" w:color="auto"/>
              <w:right w:val="nil"/>
            </w:tcBorders>
            <w:vAlign w:val="bottom"/>
          </w:tcPr>
          <w:p w14:paraId="611B2DF7"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nil"/>
              <w:left w:val="nil"/>
              <w:bottom w:val="single" w:sz="4" w:space="0" w:color="auto"/>
              <w:right w:val="nil"/>
            </w:tcBorders>
            <w:vAlign w:val="bottom"/>
          </w:tcPr>
          <w:p w14:paraId="6ABF3A50" w14:textId="77777777" w:rsidR="00374599" w:rsidRPr="00374599" w:rsidRDefault="00374599" w:rsidP="00374599">
            <w:pPr>
              <w:pStyle w:val="TableText"/>
              <w:tabs>
                <w:tab w:val="left" w:pos="3306"/>
              </w:tabs>
              <w:spacing w:before="0"/>
              <w:ind w:left="193" w:hanging="193"/>
              <w:jc w:val="both"/>
              <w:rPr>
                <w:rFonts w:cs="Calibri"/>
              </w:rPr>
            </w:pPr>
          </w:p>
        </w:tc>
      </w:tr>
      <w:tr w:rsidR="00374599" w:rsidRPr="00CF7E1B" w14:paraId="37EECA5A" w14:textId="77777777" w:rsidTr="005F5B4C">
        <w:trPr>
          <w:cantSplit/>
          <w:trHeight w:val="75"/>
        </w:trPr>
        <w:tc>
          <w:tcPr>
            <w:tcW w:w="738" w:type="pct"/>
            <w:tcBorders>
              <w:top w:val="nil"/>
              <w:left w:val="single" w:sz="2" w:space="0" w:color="auto"/>
              <w:bottom w:val="nil"/>
              <w:right w:val="single" w:sz="2" w:space="0" w:color="auto"/>
            </w:tcBorders>
          </w:tcPr>
          <w:p w14:paraId="1E1625CC" w14:textId="77777777" w:rsidR="00374599" w:rsidRPr="00374599" w:rsidRDefault="00374599" w:rsidP="00374599">
            <w:pPr>
              <w:pStyle w:val="TableReference"/>
              <w:tabs>
                <w:tab w:val="left" w:pos="3306"/>
              </w:tabs>
              <w:spacing w:before="40"/>
              <w:rPr>
                <w:rFonts w:cs="Calibri"/>
                <w:color w:val="7030A0"/>
                <w:sz w:val="14"/>
              </w:rPr>
            </w:pPr>
          </w:p>
        </w:tc>
        <w:tc>
          <w:tcPr>
            <w:tcW w:w="2211" w:type="pct"/>
            <w:tcBorders>
              <w:top w:val="nil"/>
              <w:left w:val="single" w:sz="2" w:space="0" w:color="auto"/>
              <w:bottom w:val="nil"/>
              <w:right w:val="nil"/>
            </w:tcBorders>
            <w:vAlign w:val="bottom"/>
          </w:tcPr>
          <w:p w14:paraId="52B4C858" w14:textId="79A01587" w:rsidR="00374599" w:rsidRPr="00374599" w:rsidRDefault="00374599" w:rsidP="00374599">
            <w:pPr>
              <w:pStyle w:val="TableText"/>
              <w:tabs>
                <w:tab w:val="left" w:pos="3306"/>
              </w:tabs>
              <w:spacing w:before="0"/>
              <w:ind w:left="193" w:hanging="193"/>
              <w:jc w:val="both"/>
              <w:rPr>
                <w:rFonts w:cs="Calibri"/>
              </w:rPr>
            </w:pPr>
            <w:r w:rsidRPr="00374599">
              <w:rPr>
                <w:rFonts w:cs="Calibri"/>
                <w:b/>
                <w:bCs/>
              </w:rPr>
              <w:t>Total Act of Grace Payments</w:t>
            </w:r>
          </w:p>
        </w:tc>
        <w:tc>
          <w:tcPr>
            <w:tcW w:w="335" w:type="pct"/>
            <w:tcBorders>
              <w:top w:val="single" w:sz="4" w:space="0" w:color="auto"/>
              <w:left w:val="nil"/>
              <w:bottom w:val="double" w:sz="4" w:space="0" w:color="auto"/>
              <w:right w:val="nil"/>
            </w:tcBorders>
            <w:vAlign w:val="bottom"/>
          </w:tcPr>
          <w:p w14:paraId="7C76AB83" w14:textId="77777777" w:rsidR="00374599" w:rsidRPr="00374599" w:rsidRDefault="00374599" w:rsidP="00374599">
            <w:pPr>
              <w:pStyle w:val="TableText"/>
              <w:tabs>
                <w:tab w:val="left" w:pos="3306"/>
              </w:tabs>
              <w:spacing w:before="0"/>
              <w:ind w:left="193" w:hanging="193"/>
              <w:jc w:val="both"/>
              <w:rPr>
                <w:rFonts w:cs="Calibri"/>
              </w:rPr>
            </w:pPr>
          </w:p>
        </w:tc>
        <w:tc>
          <w:tcPr>
            <w:tcW w:w="603" w:type="pct"/>
            <w:gridSpan w:val="2"/>
            <w:tcBorders>
              <w:top w:val="single" w:sz="4" w:space="0" w:color="auto"/>
              <w:left w:val="nil"/>
              <w:bottom w:val="double" w:sz="4" w:space="0" w:color="auto"/>
              <w:right w:val="nil"/>
            </w:tcBorders>
            <w:vAlign w:val="bottom"/>
          </w:tcPr>
          <w:p w14:paraId="6F9EAEBB" w14:textId="77777777" w:rsidR="00374599" w:rsidRPr="00374599" w:rsidRDefault="00374599" w:rsidP="00374599">
            <w:pPr>
              <w:pStyle w:val="TableText"/>
              <w:tabs>
                <w:tab w:val="left" w:pos="3306"/>
              </w:tabs>
              <w:spacing w:before="0"/>
              <w:ind w:left="193" w:hanging="193"/>
              <w:jc w:val="both"/>
              <w:rPr>
                <w:rFonts w:cs="Calibri"/>
              </w:rPr>
            </w:pPr>
          </w:p>
        </w:tc>
        <w:tc>
          <w:tcPr>
            <w:tcW w:w="538" w:type="pct"/>
            <w:tcBorders>
              <w:top w:val="single" w:sz="4" w:space="0" w:color="auto"/>
              <w:left w:val="nil"/>
              <w:bottom w:val="double" w:sz="4" w:space="0" w:color="auto"/>
              <w:right w:val="nil"/>
            </w:tcBorders>
            <w:vAlign w:val="bottom"/>
          </w:tcPr>
          <w:p w14:paraId="35A23CBC" w14:textId="77777777" w:rsidR="00374599" w:rsidRPr="00374599" w:rsidRDefault="00374599" w:rsidP="00374599">
            <w:pPr>
              <w:pStyle w:val="TableText"/>
              <w:tabs>
                <w:tab w:val="left" w:pos="3306"/>
              </w:tabs>
              <w:spacing w:before="0"/>
              <w:ind w:left="193" w:hanging="193"/>
              <w:jc w:val="both"/>
              <w:rPr>
                <w:rFonts w:cs="Calibri"/>
              </w:rPr>
            </w:pPr>
          </w:p>
        </w:tc>
        <w:tc>
          <w:tcPr>
            <w:tcW w:w="575" w:type="pct"/>
            <w:gridSpan w:val="2"/>
            <w:tcBorders>
              <w:top w:val="single" w:sz="4" w:space="0" w:color="auto"/>
              <w:left w:val="nil"/>
              <w:bottom w:val="double" w:sz="4" w:space="0" w:color="auto"/>
              <w:right w:val="nil"/>
            </w:tcBorders>
            <w:vAlign w:val="bottom"/>
          </w:tcPr>
          <w:p w14:paraId="2C00DB6E" w14:textId="77777777" w:rsidR="00374599" w:rsidRPr="00374599" w:rsidRDefault="00374599" w:rsidP="00374599">
            <w:pPr>
              <w:pStyle w:val="TableText"/>
              <w:tabs>
                <w:tab w:val="left" w:pos="3306"/>
              </w:tabs>
              <w:spacing w:before="0"/>
              <w:ind w:left="193" w:hanging="193"/>
              <w:jc w:val="both"/>
              <w:rPr>
                <w:rFonts w:cs="Calibri"/>
              </w:rPr>
            </w:pPr>
          </w:p>
        </w:tc>
      </w:tr>
    </w:tbl>
    <w:p w14:paraId="37EC05BC" w14:textId="30CC24A1" w:rsidR="00374599" w:rsidRDefault="00374599"/>
    <w:p w14:paraId="22A5FBBF" w14:textId="4BEB70F4" w:rsidR="00374599" w:rsidRDefault="00374599"/>
    <w:p w14:paraId="225929C4" w14:textId="51A417F9" w:rsidR="00374599" w:rsidRDefault="00374599"/>
    <w:p w14:paraId="1F388825" w14:textId="56CBC15E" w:rsidR="00374599" w:rsidRDefault="00374599"/>
    <w:p w14:paraId="61C60964" w14:textId="77777777" w:rsidR="00374599" w:rsidRDefault="00374599"/>
    <w:tbl>
      <w:tblPr>
        <w:tblW w:w="516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9015"/>
      </w:tblGrid>
      <w:tr w:rsidR="00374599" w:rsidRPr="00CF7E1B" w14:paraId="2651FC82" w14:textId="77777777" w:rsidTr="005F5B4C">
        <w:trPr>
          <w:trHeight w:val="23"/>
        </w:trPr>
        <w:tc>
          <w:tcPr>
            <w:tcW w:w="738" w:type="pct"/>
            <w:tcBorders>
              <w:top w:val="nil"/>
              <w:left w:val="single" w:sz="2" w:space="0" w:color="auto"/>
              <w:bottom w:val="nil"/>
              <w:right w:val="single" w:sz="2" w:space="0" w:color="auto"/>
            </w:tcBorders>
          </w:tcPr>
          <w:p w14:paraId="41B565F2" w14:textId="467AADC4" w:rsidR="00374599" w:rsidRPr="00374599" w:rsidRDefault="00374599" w:rsidP="00B81B19">
            <w:pPr>
              <w:pStyle w:val="TableReference"/>
              <w:tabs>
                <w:tab w:val="left" w:pos="3306"/>
              </w:tabs>
              <w:spacing w:after="240"/>
              <w:rPr>
                <w:rFonts w:cs="Calibri"/>
                <w:color w:val="7030A0"/>
                <w:sz w:val="14"/>
              </w:rPr>
            </w:pPr>
            <w:r w:rsidRPr="00374599">
              <w:rPr>
                <w:rFonts w:cs="Calibri"/>
                <w:b/>
                <w:color w:val="7030A0"/>
                <w:sz w:val="22"/>
                <w:szCs w:val="22"/>
              </w:rPr>
              <w:t>Reference</w:t>
            </w:r>
          </w:p>
        </w:tc>
        <w:tc>
          <w:tcPr>
            <w:tcW w:w="4262" w:type="pct"/>
            <w:tcBorders>
              <w:top w:val="nil"/>
              <w:left w:val="single" w:sz="2" w:space="0" w:color="auto"/>
              <w:bottom w:val="nil"/>
              <w:right w:val="nil"/>
            </w:tcBorders>
            <w:shd w:val="clear" w:color="auto" w:fill="7030A0"/>
          </w:tcPr>
          <w:p w14:paraId="6714DC3D" w14:textId="4D523CEE" w:rsidR="00374599" w:rsidRPr="00374599" w:rsidRDefault="00374599" w:rsidP="00B81B19">
            <w:pPr>
              <w:pStyle w:val="TableText"/>
              <w:tabs>
                <w:tab w:val="left" w:pos="3306"/>
              </w:tabs>
              <w:spacing w:before="0" w:after="240"/>
              <w:ind w:left="193" w:hanging="193"/>
              <w:jc w:val="both"/>
              <w:rPr>
                <w:rFonts w:cs="Calibri"/>
                <w:color w:val="FFFFFF" w:themeColor="background1"/>
              </w:rPr>
            </w:pPr>
            <w:bookmarkStart w:id="473" w:name="_Toc50440357"/>
            <w:bookmarkStart w:id="474" w:name="_Toc163106336"/>
            <w:r w:rsidRPr="00374599">
              <w:rPr>
                <w:rFonts w:cs="Calibri"/>
                <w:b/>
                <w:bCs/>
                <w:color w:val="FFFFFF" w:themeColor="background1"/>
                <w:sz w:val="28"/>
                <w:szCs w:val="28"/>
              </w:rPr>
              <w:t>Commentary – Note 14: Other Expenses</w:t>
            </w:r>
            <w:bookmarkEnd w:id="473"/>
            <w:bookmarkEnd w:id="474"/>
          </w:p>
        </w:tc>
      </w:tr>
      <w:tr w:rsidR="00374599" w:rsidRPr="00CF7E1B" w14:paraId="03B09E6C"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655"/>
          <w:tblHeader/>
        </w:trPr>
        <w:tc>
          <w:tcPr>
            <w:tcW w:w="738" w:type="pct"/>
            <w:tcBorders>
              <w:left w:val="single" w:sz="2" w:space="0" w:color="auto"/>
              <w:right w:val="single" w:sz="2" w:space="0" w:color="auto"/>
            </w:tcBorders>
          </w:tcPr>
          <w:p w14:paraId="57319583" w14:textId="7777777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br w:type="page"/>
            </w:r>
          </w:p>
        </w:tc>
        <w:tc>
          <w:tcPr>
            <w:tcW w:w="4262" w:type="pct"/>
            <w:tcBorders>
              <w:left w:val="single" w:sz="2" w:space="0" w:color="auto"/>
            </w:tcBorders>
            <w:shd w:val="clear" w:color="auto" w:fill="7030A0"/>
          </w:tcPr>
          <w:p w14:paraId="244199A9" w14:textId="4F1632D6" w:rsidR="00374599" w:rsidRPr="00374599" w:rsidRDefault="00374599" w:rsidP="00374599">
            <w:pPr>
              <w:pStyle w:val="CommentaryTitle"/>
              <w:spacing w:after="240"/>
              <w:jc w:val="both"/>
              <w:rPr>
                <w:rFonts w:cs="Calibri"/>
                <w:b w:val="0"/>
                <w:bCs w:val="0"/>
                <w:color w:val="FFFFFF" w:themeColor="background1"/>
              </w:rPr>
            </w:pPr>
            <w:r w:rsidRPr="00374599">
              <w:rPr>
                <w:rFonts w:cs="Calibri"/>
                <w:b w:val="0"/>
                <w:bCs w:val="0"/>
                <w:color w:val="FFFFFF" w:themeColor="background1"/>
                <w:sz w:val="18"/>
                <w:szCs w:val="18"/>
              </w:rPr>
              <w:t>The breakdown shown in this note disclosure is an example only.</w:t>
            </w:r>
            <w:r w:rsidR="00FA7C77">
              <w:rPr>
                <w:rFonts w:cs="Calibri"/>
                <w:b w:val="0"/>
                <w:bCs w:val="0"/>
                <w:color w:val="FFFFFF" w:themeColor="background1"/>
                <w:sz w:val="18"/>
                <w:szCs w:val="18"/>
              </w:rPr>
              <w:t xml:space="preserve"> </w:t>
            </w:r>
            <w:r w:rsidRPr="00374599">
              <w:rPr>
                <w:rFonts w:cs="Calibri"/>
                <w:b w:val="0"/>
                <w:bCs w:val="0"/>
                <w:color w:val="FFFFFF" w:themeColor="background1"/>
                <w:sz w:val="18"/>
                <w:szCs w:val="18"/>
              </w:rPr>
              <w:t>Agencies should only include line items that are applicable to them where material.</w:t>
            </w:r>
          </w:p>
        </w:tc>
      </w:tr>
      <w:tr w:rsidR="00374599" w:rsidRPr="00CF7E1B" w14:paraId="3F5625DA"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38" w:type="pct"/>
            <w:tcBorders>
              <w:left w:val="single" w:sz="2" w:space="0" w:color="auto"/>
              <w:right w:val="single" w:sz="2" w:space="0" w:color="auto"/>
            </w:tcBorders>
          </w:tcPr>
          <w:p w14:paraId="29BA474A" w14:textId="77777777" w:rsidR="00374599" w:rsidRPr="00374599" w:rsidRDefault="00374599" w:rsidP="00374599">
            <w:pPr>
              <w:pStyle w:val="CommentaryReference"/>
              <w:spacing w:before="40"/>
              <w:rPr>
                <w:rFonts w:cs="Calibri"/>
                <w:color w:val="7030A0"/>
                <w:szCs w:val="14"/>
              </w:rPr>
            </w:pPr>
          </w:p>
        </w:tc>
        <w:tc>
          <w:tcPr>
            <w:tcW w:w="4262" w:type="pct"/>
            <w:tcBorders>
              <w:left w:val="single" w:sz="2" w:space="0" w:color="auto"/>
            </w:tcBorders>
            <w:shd w:val="clear" w:color="auto" w:fill="7030A0"/>
          </w:tcPr>
          <w:p w14:paraId="25FB2BA4" w14:textId="6D3257DF" w:rsidR="00374599" w:rsidRPr="00374599" w:rsidRDefault="00374599" w:rsidP="00374599">
            <w:pPr>
              <w:pStyle w:val="CommentaryText"/>
              <w:rPr>
                <w:rFonts w:cs="Calibri"/>
                <w:color w:val="FFFFFF" w:themeColor="background1"/>
                <w:sz w:val="18"/>
                <w:szCs w:val="18"/>
              </w:rPr>
            </w:pPr>
            <w:r w:rsidRPr="00374599">
              <w:rPr>
                <w:rFonts w:cs="Calibri"/>
                <w:color w:val="FFFFFF" w:themeColor="background1"/>
                <w:sz w:val="18"/>
                <w:szCs w:val="18"/>
              </w:rPr>
              <w:t>Gains and losses arising from a group of similar transactions should be reported on a net basis.</w:t>
            </w:r>
            <w:r w:rsidR="00FA7C77">
              <w:rPr>
                <w:rFonts w:cs="Calibri"/>
                <w:color w:val="FFFFFF" w:themeColor="background1"/>
                <w:sz w:val="18"/>
                <w:szCs w:val="18"/>
              </w:rPr>
              <w:t xml:space="preserve"> </w:t>
            </w:r>
            <w:r w:rsidRPr="00374599">
              <w:rPr>
                <w:rFonts w:cs="Calibri"/>
                <w:color w:val="FFFFFF" w:themeColor="background1"/>
                <w:sz w:val="18"/>
                <w:szCs w:val="18"/>
              </w:rPr>
              <w:t>However, if the gains and losses are material they should be reported separately.</w:t>
            </w:r>
          </w:p>
          <w:p w14:paraId="6A4DA23E" w14:textId="29CCB4D2" w:rsidR="00374599" w:rsidRPr="00374599" w:rsidRDefault="00374599" w:rsidP="00374599">
            <w:pPr>
              <w:pStyle w:val="CommentaryHeading"/>
              <w:keepNext w:val="0"/>
              <w:spacing w:before="60"/>
              <w:jc w:val="both"/>
              <w:rPr>
                <w:rFonts w:cs="Calibri"/>
                <w:b w:val="0"/>
                <w:bCs w:val="0"/>
                <w:strike/>
                <w:color w:val="FFFFFF" w:themeColor="background1"/>
                <w:sz w:val="18"/>
              </w:rPr>
            </w:pPr>
            <w:r w:rsidRPr="00374599">
              <w:rPr>
                <w:rFonts w:cs="Calibri"/>
                <w:b w:val="0"/>
                <w:bCs w:val="0"/>
                <w:color w:val="FFFFFF" w:themeColor="background1"/>
                <w:sz w:val="18"/>
              </w:rPr>
              <w:t xml:space="preserve">If an agency has made a net gain on investments held with the Territory Banking Account it will appear as </w:t>
            </w:r>
            <w:r w:rsidRPr="00374599">
              <w:rPr>
                <w:b w:val="0"/>
                <w:bCs w:val="0"/>
                <w:color w:val="FFFFFF" w:themeColor="background1"/>
                <w:sz w:val="18"/>
              </w:rPr>
              <w:t>Gains from Disposals, Derecognition and Remeasurement of Assets</w:t>
            </w:r>
            <w:r w:rsidRPr="00374599">
              <w:rPr>
                <w:rFonts w:cs="Calibri"/>
                <w:b w:val="0"/>
                <w:bCs w:val="0"/>
                <w:color w:val="FFFFFF" w:themeColor="background1"/>
                <w:sz w:val="18"/>
              </w:rPr>
              <w:t xml:space="preserve"> in Note 8.</w:t>
            </w:r>
            <w:r w:rsidR="00FA7C77">
              <w:rPr>
                <w:rFonts w:cs="Calibri"/>
                <w:b w:val="0"/>
                <w:bCs w:val="0"/>
                <w:color w:val="FFFFFF" w:themeColor="background1"/>
                <w:sz w:val="18"/>
              </w:rPr>
              <w:t xml:space="preserve"> </w:t>
            </w:r>
            <w:r w:rsidRPr="00374599">
              <w:rPr>
                <w:rFonts w:cs="Calibri"/>
                <w:b w:val="0"/>
                <w:bCs w:val="0"/>
                <w:color w:val="FFFFFF" w:themeColor="background1"/>
                <w:sz w:val="18"/>
              </w:rPr>
              <w:t xml:space="preserve">If a net loss has been made, then it should be included in this </w:t>
            </w:r>
            <w:r w:rsidRPr="00374599">
              <w:rPr>
                <w:rFonts w:cs="Calibri"/>
                <w:b w:val="0"/>
                <w:bCs w:val="0"/>
                <w:i/>
                <w:color w:val="FFFFFF" w:themeColor="background1"/>
                <w:sz w:val="18"/>
              </w:rPr>
              <w:t>Other Expenses</w:t>
            </w:r>
            <w:r w:rsidRPr="00374599">
              <w:rPr>
                <w:rFonts w:cs="Calibri"/>
                <w:b w:val="0"/>
                <w:bCs w:val="0"/>
                <w:color w:val="FFFFFF" w:themeColor="background1"/>
                <w:sz w:val="18"/>
              </w:rPr>
              <w:t xml:space="preserve"> note.</w:t>
            </w:r>
          </w:p>
        </w:tc>
      </w:tr>
      <w:tr w:rsidR="00374599" w:rsidRPr="00CF7E1B" w14:paraId="2E41B88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38" w:type="pct"/>
            <w:tcBorders>
              <w:left w:val="single" w:sz="2" w:space="0" w:color="auto"/>
              <w:right w:val="single" w:sz="2" w:space="0" w:color="auto"/>
            </w:tcBorders>
          </w:tcPr>
          <w:p w14:paraId="461BBF16" w14:textId="77777777" w:rsidR="00374599" w:rsidRPr="00374599" w:rsidRDefault="00374599" w:rsidP="00374599">
            <w:pPr>
              <w:pStyle w:val="CommentaryReference"/>
              <w:spacing w:before="40"/>
              <w:rPr>
                <w:rFonts w:cs="Calibri"/>
                <w:color w:val="7030A0"/>
                <w:szCs w:val="14"/>
              </w:rPr>
            </w:pPr>
            <w:r w:rsidRPr="00374599">
              <w:rPr>
                <w:rFonts w:cs="Calibri"/>
                <w:color w:val="7030A0"/>
                <w:szCs w:val="14"/>
              </w:rPr>
              <w:t>AASB 101.35</w:t>
            </w:r>
          </w:p>
        </w:tc>
        <w:tc>
          <w:tcPr>
            <w:tcW w:w="4262" w:type="pct"/>
            <w:tcBorders>
              <w:left w:val="single" w:sz="2" w:space="0" w:color="auto"/>
            </w:tcBorders>
            <w:shd w:val="clear" w:color="auto" w:fill="7030A0"/>
          </w:tcPr>
          <w:p w14:paraId="5BED00BA" w14:textId="3415B28E" w:rsidR="00374599" w:rsidRPr="00374599" w:rsidRDefault="00374599" w:rsidP="00374599">
            <w:pPr>
              <w:pStyle w:val="CommentaryText"/>
              <w:rPr>
                <w:rFonts w:cs="Calibri"/>
                <w:color w:val="FFFFFF" w:themeColor="background1"/>
                <w:sz w:val="18"/>
                <w:szCs w:val="18"/>
              </w:rPr>
            </w:pPr>
            <w:r w:rsidRPr="00374599">
              <w:rPr>
                <w:rFonts w:cs="Calibri"/>
                <w:color w:val="FFFFFF" w:themeColor="background1"/>
                <w:sz w:val="18"/>
                <w:szCs w:val="18"/>
              </w:rPr>
              <w:t xml:space="preserve">Revaluation decrements are expensed when a </w:t>
            </w:r>
            <w:r w:rsidRPr="00374599">
              <w:rPr>
                <w:color w:val="FFFFFF" w:themeColor="background1"/>
                <w:sz w:val="18"/>
                <w:szCs w:val="18"/>
              </w:rPr>
              <w:t>particular asset (of for-profit territory authorities), or</w:t>
            </w:r>
            <w:r w:rsidRPr="00374599">
              <w:rPr>
                <w:rFonts w:cs="Calibri"/>
                <w:color w:val="FFFFFF" w:themeColor="background1"/>
                <w:sz w:val="18"/>
                <w:szCs w:val="18"/>
              </w:rPr>
              <w:t xml:space="preserve"> class of assets</w:t>
            </w:r>
            <w:r w:rsidRPr="00374599">
              <w:rPr>
                <w:color w:val="FFFFFF" w:themeColor="background1"/>
                <w:sz w:val="18"/>
                <w:szCs w:val="18"/>
              </w:rPr>
              <w:t xml:space="preserve"> (of not-for-profit agencies)</w:t>
            </w:r>
            <w:r w:rsidRPr="00374599">
              <w:rPr>
                <w:rFonts w:cs="Calibri"/>
                <w:color w:val="FFFFFF" w:themeColor="background1"/>
                <w:sz w:val="18"/>
                <w:szCs w:val="18"/>
              </w:rPr>
              <w:t>, as a whole, has been revalued downwards and there is no amount in the Asset Revaluation Surplus for that asset class for the revaluation to be offset against.</w:t>
            </w:r>
          </w:p>
        </w:tc>
      </w:tr>
      <w:tr w:rsidR="00374599" w:rsidRPr="00CF7E1B" w14:paraId="2C47203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85"/>
          <w:tblHeader/>
        </w:trPr>
        <w:tc>
          <w:tcPr>
            <w:tcW w:w="738" w:type="pct"/>
            <w:tcBorders>
              <w:left w:val="single" w:sz="2" w:space="0" w:color="auto"/>
              <w:right w:val="single" w:sz="2" w:space="0" w:color="auto"/>
            </w:tcBorders>
          </w:tcPr>
          <w:p w14:paraId="2A50445F" w14:textId="77777777" w:rsidR="00374599" w:rsidRPr="00374599" w:rsidRDefault="00374599" w:rsidP="00374599">
            <w:pPr>
              <w:pStyle w:val="CommentaryReference"/>
              <w:spacing w:before="40"/>
              <w:rPr>
                <w:rFonts w:cs="Calibri"/>
                <w:color w:val="7030A0"/>
                <w:szCs w:val="14"/>
              </w:rPr>
            </w:pPr>
          </w:p>
        </w:tc>
        <w:tc>
          <w:tcPr>
            <w:tcW w:w="4262" w:type="pct"/>
            <w:tcBorders>
              <w:left w:val="single" w:sz="2" w:space="0" w:color="auto"/>
            </w:tcBorders>
            <w:shd w:val="clear" w:color="auto" w:fill="7030A0"/>
          </w:tcPr>
          <w:p w14:paraId="645BAEA0" w14:textId="44839B26" w:rsidR="00374599" w:rsidRPr="00374599" w:rsidRDefault="00374599" w:rsidP="00374599">
            <w:pPr>
              <w:pStyle w:val="CommentaryText"/>
              <w:spacing w:after="0"/>
              <w:rPr>
                <w:rFonts w:cs="Calibri"/>
                <w:strike/>
                <w:color w:val="FFFFFF" w:themeColor="background1"/>
                <w:sz w:val="18"/>
                <w:szCs w:val="18"/>
              </w:rPr>
            </w:pPr>
            <w:r w:rsidRPr="00374599">
              <w:rPr>
                <w:rFonts w:cs="Calibri"/>
                <w:color w:val="FFFFFF" w:themeColor="background1"/>
                <w:sz w:val="18"/>
                <w:szCs w:val="18"/>
              </w:rPr>
              <w:t>Agencies are required to assess at each reporting date whether there is an indication that non-current assets may be impaired and if so, to assess assets for impairment.</w:t>
            </w:r>
            <w:r w:rsidR="00FA7C77">
              <w:rPr>
                <w:rFonts w:cs="Calibri"/>
                <w:color w:val="FFFFFF" w:themeColor="background1"/>
                <w:sz w:val="18"/>
                <w:szCs w:val="18"/>
              </w:rPr>
              <w:t xml:space="preserve"> </w:t>
            </w:r>
            <w:r w:rsidRPr="00374599">
              <w:rPr>
                <w:rFonts w:cs="Calibri"/>
                <w:color w:val="FFFFFF" w:themeColor="background1"/>
                <w:sz w:val="18"/>
                <w:szCs w:val="18"/>
              </w:rPr>
              <w:t>Where a not-for-profit agency has an impairment loss against an asset, which has no Asset Revaluation Surplus against the class it is in, the impairment loss is recognised in the Operating Statement.</w:t>
            </w:r>
            <w:r w:rsidR="00FA7C77">
              <w:rPr>
                <w:rFonts w:cs="Calibri"/>
                <w:color w:val="FFFFFF" w:themeColor="background1"/>
                <w:sz w:val="18"/>
                <w:szCs w:val="18"/>
              </w:rPr>
              <w:t xml:space="preserve"> </w:t>
            </w:r>
            <w:r w:rsidRPr="00374599">
              <w:rPr>
                <w:rFonts w:cs="Calibri"/>
                <w:color w:val="FFFFFF" w:themeColor="background1"/>
                <w:sz w:val="18"/>
                <w:szCs w:val="18"/>
              </w:rPr>
              <w:t>However, an impairment loss, on an asset, which has an Asset Revaluation Surplus against the asset class it is in, is recognised directly against that Asset Revaluation Surplus to the extent that the impairment loss does not exceed the amount in the Asset Revaluation Surplus for that asset class.</w:t>
            </w:r>
          </w:p>
        </w:tc>
      </w:tr>
      <w:tr w:rsidR="00374599" w:rsidRPr="00CF7E1B" w14:paraId="517771A5"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57"/>
          <w:tblHeader/>
        </w:trPr>
        <w:tc>
          <w:tcPr>
            <w:tcW w:w="738" w:type="pct"/>
            <w:tcBorders>
              <w:left w:val="single" w:sz="2" w:space="0" w:color="auto"/>
              <w:right w:val="single" w:sz="2" w:space="0" w:color="auto"/>
            </w:tcBorders>
          </w:tcPr>
          <w:p w14:paraId="3FABD3FE" w14:textId="77777777" w:rsidR="00374599" w:rsidRPr="00374599" w:rsidRDefault="00374599" w:rsidP="00374599">
            <w:pPr>
              <w:pStyle w:val="CommentaryReference"/>
              <w:spacing w:before="120"/>
              <w:rPr>
                <w:rFonts w:cs="Calibri"/>
                <w:color w:val="7030A0"/>
                <w:szCs w:val="14"/>
              </w:rPr>
            </w:pPr>
            <w:r w:rsidRPr="00374599">
              <w:rPr>
                <w:rFonts w:cs="Calibri"/>
                <w:color w:val="7030A0"/>
                <w:szCs w:val="14"/>
              </w:rPr>
              <w:t>AASB 116.Aus 40.1</w:t>
            </w:r>
          </w:p>
        </w:tc>
        <w:tc>
          <w:tcPr>
            <w:tcW w:w="4262" w:type="pct"/>
            <w:tcBorders>
              <w:left w:val="single" w:sz="2" w:space="0" w:color="auto"/>
            </w:tcBorders>
            <w:shd w:val="clear" w:color="auto" w:fill="7030A0"/>
          </w:tcPr>
          <w:p w14:paraId="3DF09456" w14:textId="5C2B9B05" w:rsidR="00374599" w:rsidRPr="00B81B19" w:rsidRDefault="00374599" w:rsidP="00374599">
            <w:pPr>
              <w:pStyle w:val="CommentaryText"/>
              <w:spacing w:before="120" w:after="0"/>
              <w:rPr>
                <w:rFonts w:cs="Calibri"/>
                <w:color w:val="FFFFFF" w:themeColor="background1"/>
                <w:szCs w:val="20"/>
              </w:rPr>
            </w:pPr>
            <w:r w:rsidRPr="00B81B19">
              <w:rPr>
                <w:rFonts w:cs="Calibri"/>
                <w:b/>
                <w:bCs/>
                <w:color w:val="FFFFFF" w:themeColor="background1"/>
                <w:szCs w:val="20"/>
              </w:rPr>
              <w:t>Materiality</w:t>
            </w:r>
          </w:p>
        </w:tc>
      </w:tr>
      <w:tr w:rsidR="00374599" w:rsidRPr="00CF7E1B" w14:paraId="03419F52"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38" w:type="pct"/>
            <w:tcBorders>
              <w:left w:val="single" w:sz="2" w:space="0" w:color="auto"/>
              <w:right w:val="single" w:sz="2" w:space="0" w:color="auto"/>
            </w:tcBorders>
          </w:tcPr>
          <w:p w14:paraId="6E4FAEF0" w14:textId="77777777"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AASB 136.9, 10 &amp; 61</w:t>
            </w:r>
          </w:p>
        </w:tc>
        <w:tc>
          <w:tcPr>
            <w:tcW w:w="4262" w:type="pct"/>
            <w:tcBorders>
              <w:left w:val="single" w:sz="2" w:space="0" w:color="auto"/>
            </w:tcBorders>
            <w:shd w:val="clear" w:color="auto" w:fill="7030A0"/>
          </w:tcPr>
          <w:p w14:paraId="01F731E4" w14:textId="6DE3A8CD" w:rsidR="00374599" w:rsidRPr="00374599" w:rsidRDefault="00374599" w:rsidP="00374599">
            <w:pPr>
              <w:pStyle w:val="CommentaryText"/>
              <w:rPr>
                <w:rFonts w:cs="Calibri"/>
                <w:bCs/>
                <w:color w:val="FFFFFF" w:themeColor="background1"/>
                <w:sz w:val="18"/>
                <w:szCs w:val="18"/>
              </w:rPr>
            </w:pPr>
            <w:r w:rsidRPr="00374599">
              <w:rPr>
                <w:rFonts w:cs="Calibri"/>
                <w:color w:val="FFFFFF" w:themeColor="background1"/>
                <w:sz w:val="18"/>
                <w:szCs w:val="18"/>
              </w:rPr>
              <w:t>The notion of materiality applies to the classification of other expenses. The line item other expenses should not be disproportionately large compared to total expenses.</w:t>
            </w:r>
            <w:r w:rsidR="00FA7C77">
              <w:rPr>
                <w:rFonts w:cs="Calibri"/>
                <w:color w:val="FFFFFF" w:themeColor="background1"/>
                <w:sz w:val="18"/>
                <w:szCs w:val="18"/>
              </w:rPr>
              <w:t xml:space="preserve"> </w:t>
            </w:r>
            <w:r w:rsidRPr="00374599">
              <w:rPr>
                <w:rFonts w:cs="Calibri"/>
                <w:color w:val="FFFFFF" w:themeColor="background1"/>
                <w:sz w:val="18"/>
                <w:szCs w:val="18"/>
              </w:rPr>
              <w:t>Within the other expenses note each material class of other expenses must be disclosed separately and the total of unclassified other expenses must not exceed 10% of Total ‘Other Expenses ‘.</w:t>
            </w:r>
            <w:r w:rsidR="00FA7C77">
              <w:rPr>
                <w:rFonts w:cs="Calibri"/>
                <w:color w:val="FFFFFF" w:themeColor="background1"/>
                <w:sz w:val="18"/>
                <w:szCs w:val="18"/>
              </w:rPr>
              <w:t xml:space="preserve"> </w:t>
            </w:r>
          </w:p>
        </w:tc>
      </w:tr>
      <w:tr w:rsidR="00374599" w:rsidRPr="00CF7E1B" w14:paraId="1F873A95"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38" w:type="pct"/>
            <w:tcBorders>
              <w:left w:val="single" w:sz="2" w:space="0" w:color="auto"/>
              <w:right w:val="single" w:sz="2" w:space="0" w:color="auto"/>
            </w:tcBorders>
          </w:tcPr>
          <w:p w14:paraId="504F2FFE" w14:textId="7890412F"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ACT Disclosure Policy</w:t>
            </w:r>
          </w:p>
        </w:tc>
        <w:tc>
          <w:tcPr>
            <w:tcW w:w="4262" w:type="pct"/>
            <w:tcBorders>
              <w:left w:val="single" w:sz="2" w:space="0" w:color="auto"/>
            </w:tcBorders>
            <w:shd w:val="clear" w:color="auto" w:fill="7030A0"/>
          </w:tcPr>
          <w:p w14:paraId="08F0F8D8" w14:textId="65C3AB04" w:rsidR="00374599" w:rsidRPr="00374599" w:rsidRDefault="00374599" w:rsidP="00374599">
            <w:pPr>
              <w:pStyle w:val="CommentaryText"/>
              <w:rPr>
                <w:rFonts w:cs="Calibri"/>
                <w:color w:val="FFFFFF" w:themeColor="background1"/>
                <w:sz w:val="18"/>
                <w:szCs w:val="18"/>
              </w:rPr>
            </w:pPr>
            <w:r w:rsidRPr="00374599">
              <w:rPr>
                <w:rFonts w:cs="Calibri"/>
                <w:color w:val="FFFFFF" w:themeColor="background1"/>
                <w:sz w:val="18"/>
                <w:szCs w:val="18"/>
              </w:rPr>
              <w:t xml:space="preserve">Disclosures for waivers, write-offs, and act of grace payments are considered material by nature so disclosure of these line items in the </w:t>
            </w:r>
            <w:r w:rsidRPr="00374599">
              <w:rPr>
                <w:rFonts w:cs="Calibri"/>
                <w:i/>
                <w:iCs/>
                <w:color w:val="FFFFFF" w:themeColor="background1"/>
                <w:sz w:val="18"/>
                <w:szCs w:val="18"/>
              </w:rPr>
              <w:t>Other Expenses</w:t>
            </w:r>
            <w:r w:rsidRPr="00374599">
              <w:rPr>
                <w:rFonts w:cs="Calibri"/>
                <w:color w:val="FFFFFF" w:themeColor="background1"/>
                <w:sz w:val="18"/>
                <w:szCs w:val="18"/>
              </w:rPr>
              <w:t xml:space="preserve"> note are required regardless of their amount.</w:t>
            </w:r>
            <w:r w:rsidR="00FA7C77">
              <w:rPr>
                <w:rFonts w:cs="Calibri"/>
                <w:color w:val="FFFFFF" w:themeColor="background1"/>
                <w:sz w:val="18"/>
                <w:szCs w:val="18"/>
              </w:rPr>
              <w:t xml:space="preserve"> </w:t>
            </w:r>
            <w:r w:rsidRPr="00374599">
              <w:rPr>
                <w:rFonts w:cs="Calibri"/>
                <w:color w:val="FFFFFF" w:themeColor="background1"/>
                <w:sz w:val="18"/>
                <w:szCs w:val="18"/>
              </w:rPr>
              <w:t>However, where a prior period error is discovered in relation to a wavier, write-off or act of grace payment, then the error would have to be material by amount for a correction of a prior period error disclosure to be included in the ‘Change in Accounting Policy and Accounting Estimates, and Correction of a Prior Period Error’ Note.</w:t>
            </w:r>
            <w:r w:rsidR="00FA7C77">
              <w:rPr>
                <w:rFonts w:cs="Calibri"/>
                <w:color w:val="FFFFFF" w:themeColor="background1"/>
                <w:sz w:val="18"/>
                <w:szCs w:val="18"/>
              </w:rPr>
              <w:t xml:space="preserve"> </w:t>
            </w:r>
          </w:p>
        </w:tc>
      </w:tr>
      <w:tr w:rsidR="00374599" w:rsidRPr="00CF7E1B" w14:paraId="14F0AA87"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20"/>
          <w:tblHeader/>
        </w:trPr>
        <w:tc>
          <w:tcPr>
            <w:tcW w:w="738" w:type="pct"/>
            <w:tcBorders>
              <w:left w:val="single" w:sz="2" w:space="0" w:color="auto"/>
              <w:right w:val="single" w:sz="2" w:space="0" w:color="auto"/>
            </w:tcBorders>
          </w:tcPr>
          <w:p w14:paraId="54335324" w14:textId="77777777" w:rsidR="00374599" w:rsidRPr="00374599" w:rsidRDefault="00374599" w:rsidP="00374599">
            <w:pPr>
              <w:pStyle w:val="TableReference"/>
              <w:tabs>
                <w:tab w:val="left" w:pos="3306"/>
              </w:tabs>
              <w:spacing w:before="40"/>
              <w:rPr>
                <w:rFonts w:cs="Calibri"/>
                <w:color w:val="7030A0"/>
                <w:sz w:val="14"/>
              </w:rPr>
            </w:pPr>
          </w:p>
        </w:tc>
        <w:tc>
          <w:tcPr>
            <w:tcW w:w="4262" w:type="pct"/>
            <w:tcBorders>
              <w:left w:val="single" w:sz="2" w:space="0" w:color="auto"/>
            </w:tcBorders>
            <w:shd w:val="clear" w:color="auto" w:fill="7030A0"/>
          </w:tcPr>
          <w:p w14:paraId="50096EE8" w14:textId="02ADD421" w:rsidR="00374599" w:rsidRPr="00374599" w:rsidRDefault="00374599" w:rsidP="00374599">
            <w:pPr>
              <w:pStyle w:val="CommentaryText"/>
              <w:spacing w:after="0"/>
              <w:rPr>
                <w:rFonts w:cs="Calibri"/>
                <w:strike/>
                <w:color w:val="FFFFFF" w:themeColor="background1"/>
                <w:sz w:val="18"/>
                <w:szCs w:val="18"/>
              </w:rPr>
            </w:pPr>
            <w:r w:rsidRPr="00374599">
              <w:rPr>
                <w:rFonts w:cs="Calibri"/>
                <w:b/>
                <w:bCs/>
                <w:color w:val="FFFFFF" w:themeColor="background1"/>
                <w:sz w:val="18"/>
                <w:szCs w:val="18"/>
              </w:rPr>
              <w:t>Decrease in Monies due to Fraud</w:t>
            </w:r>
          </w:p>
        </w:tc>
      </w:tr>
      <w:tr w:rsidR="00374599" w:rsidRPr="00CF7E1B" w14:paraId="085DFEBC"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38" w:type="pct"/>
            <w:tcBorders>
              <w:left w:val="single" w:sz="2" w:space="0" w:color="auto"/>
              <w:right w:val="single" w:sz="2" w:space="0" w:color="auto"/>
            </w:tcBorders>
          </w:tcPr>
          <w:p w14:paraId="164704D6" w14:textId="5F8655AA"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Chief Minister’s Annual Report Directions</w:t>
            </w:r>
          </w:p>
        </w:tc>
        <w:tc>
          <w:tcPr>
            <w:tcW w:w="4262" w:type="pct"/>
            <w:tcBorders>
              <w:left w:val="single" w:sz="2" w:space="0" w:color="auto"/>
            </w:tcBorders>
            <w:shd w:val="clear" w:color="auto" w:fill="7030A0"/>
          </w:tcPr>
          <w:p w14:paraId="3D914056" w14:textId="61AF9F46" w:rsidR="00374599" w:rsidRPr="00374599" w:rsidRDefault="00374599" w:rsidP="00374599">
            <w:pPr>
              <w:pStyle w:val="CommentaryText"/>
              <w:rPr>
                <w:rFonts w:cs="Calibri"/>
                <w:strike/>
                <w:color w:val="FFFFFF" w:themeColor="background1"/>
                <w:sz w:val="18"/>
                <w:szCs w:val="18"/>
              </w:rPr>
            </w:pPr>
            <w:r w:rsidRPr="00374599">
              <w:rPr>
                <w:rFonts w:cs="Calibri"/>
                <w:color w:val="FFFFFF" w:themeColor="background1"/>
                <w:sz w:val="18"/>
                <w:szCs w:val="18"/>
              </w:rPr>
              <w:t xml:space="preserve">The Chief Minister’s Annual Report Directions requires further disclosure of fraud in the Annual Report. </w:t>
            </w:r>
          </w:p>
        </w:tc>
      </w:tr>
      <w:tr w:rsidR="00374599" w:rsidRPr="00CF7E1B" w14:paraId="0154ADF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01"/>
          <w:tblHeader/>
        </w:trPr>
        <w:tc>
          <w:tcPr>
            <w:tcW w:w="738" w:type="pct"/>
            <w:tcBorders>
              <w:left w:val="single" w:sz="2" w:space="0" w:color="auto"/>
              <w:right w:val="single" w:sz="2" w:space="0" w:color="auto"/>
            </w:tcBorders>
          </w:tcPr>
          <w:p w14:paraId="0789B5B5" w14:textId="77777777" w:rsidR="00374599" w:rsidRPr="00374599" w:rsidRDefault="00374599" w:rsidP="00374599">
            <w:pPr>
              <w:pStyle w:val="TableReference"/>
              <w:tabs>
                <w:tab w:val="left" w:pos="3306"/>
              </w:tabs>
              <w:rPr>
                <w:rFonts w:cs="Calibri"/>
                <w:color w:val="7030A0"/>
                <w:sz w:val="16"/>
                <w:szCs w:val="16"/>
              </w:rPr>
            </w:pPr>
          </w:p>
        </w:tc>
        <w:tc>
          <w:tcPr>
            <w:tcW w:w="4262" w:type="pct"/>
            <w:tcBorders>
              <w:left w:val="single" w:sz="2" w:space="0" w:color="auto"/>
              <w:bottom w:val="nil"/>
            </w:tcBorders>
            <w:shd w:val="clear" w:color="auto" w:fill="7030A0"/>
          </w:tcPr>
          <w:p w14:paraId="490C8B9C" w14:textId="42F557EA" w:rsidR="00374599" w:rsidRPr="00B81B19" w:rsidRDefault="00374599" w:rsidP="00374599">
            <w:pPr>
              <w:pStyle w:val="CommentaryText"/>
              <w:spacing w:after="0"/>
              <w:rPr>
                <w:rFonts w:cs="Calibri"/>
                <w:color w:val="FFFFFF" w:themeColor="background1"/>
                <w:szCs w:val="20"/>
              </w:rPr>
            </w:pPr>
            <w:r w:rsidRPr="00B81B19">
              <w:rPr>
                <w:rFonts w:cs="Calibri"/>
                <w:b/>
                <w:bCs/>
                <w:color w:val="FFFFFF" w:themeColor="background1"/>
                <w:szCs w:val="20"/>
              </w:rPr>
              <w:t>Act of Grace Payments</w:t>
            </w:r>
          </w:p>
        </w:tc>
      </w:tr>
      <w:tr w:rsidR="00374599" w:rsidRPr="00374599" w14:paraId="4D3780CA"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blHeader/>
        </w:trPr>
        <w:tc>
          <w:tcPr>
            <w:tcW w:w="738" w:type="pct"/>
            <w:tcBorders>
              <w:left w:val="single" w:sz="2" w:space="0" w:color="auto"/>
              <w:right w:val="single" w:sz="2" w:space="0" w:color="auto"/>
            </w:tcBorders>
          </w:tcPr>
          <w:p w14:paraId="28A3B421" w14:textId="77777777"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AASB 101.7</w:t>
            </w:r>
          </w:p>
          <w:p w14:paraId="543F0DDE" w14:textId="5F34F5AF"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AASB108.5</w:t>
            </w:r>
            <w:r w:rsidR="00FA7C77">
              <w:rPr>
                <w:rFonts w:cs="Calibri"/>
                <w:color w:val="7030A0"/>
                <w:sz w:val="14"/>
              </w:rPr>
              <w:t xml:space="preserve"> </w:t>
            </w:r>
          </w:p>
          <w:p w14:paraId="22157904" w14:textId="672D69C1"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ACT Disclosure Policy</w:t>
            </w:r>
          </w:p>
        </w:tc>
        <w:tc>
          <w:tcPr>
            <w:tcW w:w="4262" w:type="pct"/>
            <w:tcBorders>
              <w:left w:val="single" w:sz="2" w:space="0" w:color="auto"/>
              <w:bottom w:val="nil"/>
            </w:tcBorders>
            <w:shd w:val="clear" w:color="auto" w:fill="7030A0"/>
          </w:tcPr>
          <w:p w14:paraId="2CD046C3" w14:textId="6B538422" w:rsidR="00374599" w:rsidRPr="00374599" w:rsidRDefault="00374599" w:rsidP="00374599">
            <w:pPr>
              <w:pStyle w:val="CommentaryText"/>
              <w:tabs>
                <w:tab w:val="left" w:pos="3306"/>
              </w:tabs>
              <w:rPr>
                <w:rFonts w:cs="Calibri"/>
                <w:color w:val="FFFFFF" w:themeColor="background1"/>
                <w:sz w:val="18"/>
                <w:szCs w:val="18"/>
              </w:rPr>
            </w:pPr>
            <w:r w:rsidRPr="00374599">
              <w:rPr>
                <w:rFonts w:cs="Calibri"/>
                <w:color w:val="FFFFFF" w:themeColor="background1"/>
                <w:sz w:val="18"/>
                <w:szCs w:val="18"/>
              </w:rPr>
              <w:t xml:space="preserve">The </w:t>
            </w:r>
            <w:r w:rsidRPr="00374599">
              <w:rPr>
                <w:rFonts w:cs="Calibri"/>
                <w:i/>
                <w:iCs/>
                <w:color w:val="FFFFFF" w:themeColor="background1"/>
                <w:sz w:val="18"/>
                <w:szCs w:val="18"/>
              </w:rPr>
              <w:t>Financial Management Act 1996</w:t>
            </w:r>
            <w:r w:rsidRPr="00374599">
              <w:rPr>
                <w:rFonts w:cs="Calibri"/>
                <w:color w:val="FFFFFF" w:themeColor="background1"/>
                <w:sz w:val="18"/>
                <w:szCs w:val="18"/>
              </w:rPr>
              <w:t xml:space="preserve"> (FMA) states that an Act of Grace Payment made by a directorate must be reported in the notes to its financial statements in the reporting period the payments are made.</w:t>
            </w:r>
            <w:r w:rsidR="00FA7C77">
              <w:rPr>
                <w:rFonts w:cs="Calibri"/>
                <w:color w:val="FFFFFF" w:themeColor="background1"/>
                <w:sz w:val="18"/>
                <w:szCs w:val="18"/>
              </w:rPr>
              <w:t xml:space="preserve"> </w:t>
            </w:r>
          </w:p>
        </w:tc>
      </w:tr>
      <w:tr w:rsidR="00374599" w:rsidRPr="00CF7E1B" w14:paraId="2C4A3DB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9"/>
        </w:trPr>
        <w:tc>
          <w:tcPr>
            <w:tcW w:w="738" w:type="pct"/>
            <w:tcBorders>
              <w:top w:val="nil"/>
              <w:left w:val="single" w:sz="2" w:space="0" w:color="auto"/>
              <w:bottom w:val="nil"/>
              <w:right w:val="single" w:sz="2" w:space="0" w:color="auto"/>
            </w:tcBorders>
          </w:tcPr>
          <w:p w14:paraId="4B9F7B76" w14:textId="77777777"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FMA sec 130(8)</w:t>
            </w:r>
          </w:p>
          <w:p w14:paraId="1CE45E6B" w14:textId="01DB0F09" w:rsidR="00374599" w:rsidRPr="00374599" w:rsidRDefault="00374599" w:rsidP="00374599">
            <w:pPr>
              <w:pStyle w:val="TableReference"/>
              <w:tabs>
                <w:tab w:val="left" w:pos="3306"/>
              </w:tabs>
              <w:rPr>
                <w:rFonts w:cs="Calibri"/>
                <w:color w:val="7030A0"/>
                <w:sz w:val="14"/>
              </w:rPr>
            </w:pPr>
            <w:r w:rsidRPr="00374599">
              <w:rPr>
                <w:rFonts w:cs="Calibri"/>
                <w:color w:val="7030A0"/>
                <w:sz w:val="14"/>
              </w:rPr>
              <w:t>FMA sec 130(9)</w:t>
            </w:r>
          </w:p>
          <w:p w14:paraId="0957A2F3" w14:textId="3D922F0F" w:rsidR="00374599" w:rsidRPr="00374599" w:rsidRDefault="00374599" w:rsidP="00374599">
            <w:pPr>
              <w:pStyle w:val="TableReference"/>
              <w:tabs>
                <w:tab w:val="left" w:pos="3306"/>
              </w:tabs>
              <w:rPr>
                <w:rFonts w:cs="Calibri"/>
                <w:color w:val="7030A0"/>
                <w:sz w:val="16"/>
                <w:szCs w:val="16"/>
              </w:rPr>
            </w:pPr>
          </w:p>
        </w:tc>
        <w:tc>
          <w:tcPr>
            <w:tcW w:w="4262" w:type="pct"/>
            <w:tcBorders>
              <w:left w:val="single" w:sz="2" w:space="0" w:color="auto"/>
              <w:bottom w:val="nil"/>
            </w:tcBorders>
            <w:shd w:val="clear" w:color="auto" w:fill="7030A0"/>
          </w:tcPr>
          <w:p w14:paraId="0212F4E9" w14:textId="6A8A4D07" w:rsidR="00374599" w:rsidRPr="00374599" w:rsidRDefault="00374599" w:rsidP="00374599">
            <w:pPr>
              <w:pStyle w:val="CommentaryText"/>
              <w:tabs>
                <w:tab w:val="left" w:pos="3306"/>
              </w:tabs>
              <w:rPr>
                <w:rFonts w:cs="Calibri"/>
                <w:strike/>
                <w:color w:val="FFFFFF" w:themeColor="background1"/>
                <w:sz w:val="18"/>
                <w:szCs w:val="18"/>
              </w:rPr>
            </w:pPr>
            <w:r w:rsidRPr="00374599">
              <w:rPr>
                <w:rFonts w:cs="Calibri"/>
                <w:color w:val="FFFFFF" w:themeColor="background1"/>
                <w:sz w:val="18"/>
                <w:szCs w:val="18"/>
              </w:rPr>
              <w:t>The FMA states that the notes to the financial statements must indicate the amount and grounds for each Act of Grace payment.</w:t>
            </w:r>
            <w:r w:rsidR="00FA7C77">
              <w:rPr>
                <w:rFonts w:cs="Calibri"/>
                <w:color w:val="FFFFFF" w:themeColor="background1"/>
                <w:sz w:val="18"/>
                <w:szCs w:val="18"/>
              </w:rPr>
              <w:t xml:space="preserve"> </w:t>
            </w:r>
            <w:r w:rsidRPr="00374599">
              <w:rPr>
                <w:rFonts w:cs="Calibri"/>
                <w:color w:val="FFFFFF" w:themeColor="background1"/>
                <w:sz w:val="18"/>
                <w:szCs w:val="18"/>
              </w:rPr>
              <w:t>Where there are Act of Grace Payments which relate to the same event/situation, they can be grouped in one line item in the ‘Breakdown of Act of Grace Payments’ section of the ‘Other Expenses’ Note.</w:t>
            </w:r>
            <w:r w:rsidR="00FA7C77">
              <w:rPr>
                <w:rFonts w:cs="Calibri"/>
                <w:color w:val="FFFFFF" w:themeColor="background1"/>
                <w:sz w:val="18"/>
                <w:szCs w:val="18"/>
              </w:rPr>
              <w:t xml:space="preserve"> </w:t>
            </w:r>
            <w:r w:rsidRPr="00374599">
              <w:rPr>
                <w:rFonts w:cs="Calibri"/>
                <w:color w:val="FFFFFF" w:themeColor="background1"/>
                <w:sz w:val="18"/>
                <w:szCs w:val="18"/>
              </w:rPr>
              <w:t>Then the total number of individual Act of Grace Payments included in that line item are required to be disclosed for that line item.</w:t>
            </w:r>
            <w:r w:rsidR="00FA7C77">
              <w:rPr>
                <w:rFonts w:cs="Calibri"/>
                <w:color w:val="FFFFFF" w:themeColor="background1"/>
                <w:sz w:val="18"/>
                <w:szCs w:val="18"/>
              </w:rPr>
              <w:t xml:space="preserve"> </w:t>
            </w:r>
            <w:r w:rsidRPr="00374599">
              <w:rPr>
                <w:rFonts w:cs="Calibri"/>
                <w:color w:val="FFFFFF" w:themeColor="background1"/>
                <w:sz w:val="18"/>
                <w:szCs w:val="18"/>
              </w:rPr>
              <w:t>For example, in the above note, there are four individual payments relating to an oversight made by ‘</w:t>
            </w:r>
            <w:r w:rsidRPr="00374599">
              <w:rPr>
                <w:color w:val="FFFFFF" w:themeColor="background1"/>
                <w:sz w:val="18"/>
                <w:szCs w:val="18"/>
              </w:rPr>
              <w:t xml:space="preserve">Burley Griffin </w:t>
            </w:r>
            <w:r w:rsidRPr="00374599">
              <w:rPr>
                <w:rFonts w:cs="Calibri"/>
                <w:color w:val="FFFFFF" w:themeColor="background1"/>
                <w:sz w:val="18"/>
                <w:szCs w:val="18"/>
              </w:rPr>
              <w:t>Agency’ regarding land development applications.</w:t>
            </w:r>
            <w:r w:rsidR="00FA7C77">
              <w:rPr>
                <w:rFonts w:cs="Calibri"/>
                <w:color w:val="FFFFFF" w:themeColor="background1"/>
                <w:sz w:val="18"/>
                <w:szCs w:val="18"/>
              </w:rPr>
              <w:t xml:space="preserve"> </w:t>
            </w:r>
            <w:r w:rsidRPr="00374599">
              <w:rPr>
                <w:rFonts w:cs="Calibri"/>
                <w:color w:val="FFFFFF" w:themeColor="background1"/>
                <w:sz w:val="18"/>
                <w:szCs w:val="18"/>
              </w:rPr>
              <w:t>Therefore this is disclosed as a single line item and would include four against the number of Act of Grace Payments for that line item.</w:t>
            </w:r>
          </w:p>
        </w:tc>
      </w:tr>
      <w:tr w:rsidR="00374599" w:rsidRPr="00CF7E1B" w14:paraId="7D06FB1B"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3"/>
        </w:trPr>
        <w:tc>
          <w:tcPr>
            <w:tcW w:w="738" w:type="pct"/>
            <w:tcBorders>
              <w:top w:val="nil"/>
              <w:left w:val="single" w:sz="2" w:space="0" w:color="auto"/>
              <w:bottom w:val="nil"/>
              <w:right w:val="single" w:sz="2" w:space="0" w:color="auto"/>
            </w:tcBorders>
          </w:tcPr>
          <w:p w14:paraId="0D956EFB" w14:textId="77777777" w:rsidR="00374599" w:rsidRPr="00374599" w:rsidRDefault="00374599" w:rsidP="00374599">
            <w:pPr>
              <w:pStyle w:val="TableReference"/>
              <w:tabs>
                <w:tab w:val="left" w:pos="3306"/>
              </w:tabs>
              <w:spacing w:before="60"/>
              <w:rPr>
                <w:rFonts w:cs="Calibri"/>
                <w:color w:val="7030A0"/>
                <w:sz w:val="14"/>
              </w:rPr>
            </w:pPr>
            <w:r w:rsidRPr="00374599">
              <w:rPr>
                <w:rFonts w:cs="Calibri"/>
                <w:color w:val="7030A0"/>
                <w:sz w:val="14"/>
              </w:rPr>
              <w:t>FMA sec 130(10)</w:t>
            </w:r>
          </w:p>
          <w:p w14:paraId="629AE770" w14:textId="2C242638" w:rsidR="00374599" w:rsidRPr="00374599" w:rsidRDefault="00374599" w:rsidP="00374599">
            <w:pPr>
              <w:pStyle w:val="TableReference"/>
              <w:tabs>
                <w:tab w:val="left" w:pos="3306"/>
              </w:tabs>
              <w:spacing w:before="40"/>
              <w:rPr>
                <w:rFonts w:cs="Calibri"/>
                <w:color w:val="7030A0"/>
                <w:sz w:val="14"/>
              </w:rPr>
            </w:pPr>
            <w:r w:rsidRPr="00374599">
              <w:rPr>
                <w:rFonts w:cs="Calibri"/>
                <w:color w:val="7030A0"/>
                <w:sz w:val="14"/>
              </w:rPr>
              <w:t>ACT Disclosure Policy</w:t>
            </w:r>
          </w:p>
        </w:tc>
        <w:tc>
          <w:tcPr>
            <w:tcW w:w="4262" w:type="pct"/>
            <w:tcBorders>
              <w:left w:val="single" w:sz="2" w:space="0" w:color="auto"/>
              <w:bottom w:val="nil"/>
            </w:tcBorders>
            <w:shd w:val="clear" w:color="auto" w:fill="7030A0"/>
          </w:tcPr>
          <w:p w14:paraId="6BAD93AB" w14:textId="35AFADC6" w:rsidR="00374599" w:rsidRPr="00374599" w:rsidRDefault="00374599" w:rsidP="00374599">
            <w:pPr>
              <w:pStyle w:val="CommentaryText"/>
              <w:tabs>
                <w:tab w:val="left" w:pos="3306"/>
              </w:tabs>
              <w:spacing w:after="0"/>
              <w:rPr>
                <w:rFonts w:cs="Calibri"/>
                <w:color w:val="FFFFFF" w:themeColor="background1"/>
                <w:sz w:val="18"/>
                <w:szCs w:val="18"/>
              </w:rPr>
            </w:pPr>
            <w:r w:rsidRPr="00374599">
              <w:rPr>
                <w:rFonts w:cs="Calibri"/>
                <w:color w:val="FFFFFF" w:themeColor="background1"/>
                <w:sz w:val="18"/>
                <w:szCs w:val="18"/>
              </w:rPr>
              <w:t>The FMA also states that the financial statements shall not disclose the identity of an Act of Grace Payment recipient unless disclosure was agreed to by the recipient.</w:t>
            </w:r>
            <w:r w:rsidR="00FA7C77">
              <w:rPr>
                <w:rFonts w:cs="Calibri"/>
                <w:color w:val="FFFFFF" w:themeColor="background1"/>
                <w:sz w:val="18"/>
                <w:szCs w:val="18"/>
              </w:rPr>
              <w:t xml:space="preserve"> </w:t>
            </w:r>
            <w:r w:rsidRPr="00374599">
              <w:rPr>
                <w:rFonts w:cs="Calibri"/>
                <w:color w:val="FFFFFF" w:themeColor="background1"/>
                <w:sz w:val="18"/>
                <w:szCs w:val="18"/>
              </w:rPr>
              <w:t xml:space="preserve">ACT Disclosure Policy also requires that a description of an Act of Grace Payment or group of payments be included in the financial statements of the directorate or territory authority where it makes an Act of Grace Payment. </w:t>
            </w:r>
          </w:p>
        </w:tc>
      </w:tr>
      <w:tr w:rsidR="00374599" w:rsidRPr="00CF7E1B" w14:paraId="5D9D361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
        </w:trPr>
        <w:tc>
          <w:tcPr>
            <w:tcW w:w="738" w:type="pct"/>
            <w:tcBorders>
              <w:top w:val="nil"/>
              <w:left w:val="single" w:sz="2" w:space="0" w:color="auto"/>
              <w:bottom w:val="nil"/>
              <w:right w:val="single" w:sz="2" w:space="0" w:color="auto"/>
            </w:tcBorders>
          </w:tcPr>
          <w:p w14:paraId="157831AD" w14:textId="77777777" w:rsidR="00374599" w:rsidRPr="00374599" w:rsidRDefault="00374599" w:rsidP="00374599">
            <w:pPr>
              <w:pStyle w:val="TableReference"/>
              <w:tabs>
                <w:tab w:val="left" w:pos="3306"/>
              </w:tabs>
              <w:spacing w:before="120"/>
              <w:rPr>
                <w:rFonts w:cs="Calibri"/>
                <w:color w:val="7030A0"/>
                <w:sz w:val="14"/>
              </w:rPr>
            </w:pPr>
          </w:p>
        </w:tc>
        <w:tc>
          <w:tcPr>
            <w:tcW w:w="4262" w:type="pct"/>
            <w:tcBorders>
              <w:left w:val="single" w:sz="2" w:space="0" w:color="auto"/>
              <w:bottom w:val="nil"/>
            </w:tcBorders>
            <w:shd w:val="clear" w:color="auto" w:fill="7030A0"/>
          </w:tcPr>
          <w:p w14:paraId="3F16829A" w14:textId="2C679874" w:rsidR="00374599" w:rsidRPr="00B81B19" w:rsidRDefault="00374599" w:rsidP="00374599">
            <w:pPr>
              <w:pStyle w:val="CommentaryText"/>
              <w:spacing w:before="120" w:after="0"/>
              <w:rPr>
                <w:rFonts w:cs="Calibri"/>
                <w:b/>
                <w:bCs/>
                <w:color w:val="FFFFFF" w:themeColor="background1"/>
                <w:szCs w:val="20"/>
              </w:rPr>
            </w:pPr>
            <w:r w:rsidRPr="00B81B19">
              <w:rPr>
                <w:rFonts w:cs="Calibri"/>
                <w:b/>
                <w:bCs/>
                <w:color w:val="FFFFFF" w:themeColor="background1"/>
                <w:szCs w:val="20"/>
              </w:rPr>
              <w:t>Waiver</w:t>
            </w:r>
          </w:p>
        </w:tc>
      </w:tr>
      <w:tr w:rsidR="00374599" w:rsidRPr="00374599" w14:paraId="5ECBA837"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38" w:type="pct"/>
            <w:tcBorders>
              <w:left w:val="single" w:sz="2" w:space="0" w:color="auto"/>
              <w:right w:val="single" w:sz="2" w:space="0" w:color="auto"/>
            </w:tcBorders>
          </w:tcPr>
          <w:p w14:paraId="7A7916EF" w14:textId="77777777" w:rsidR="00374599" w:rsidRPr="00374599" w:rsidRDefault="00374599" w:rsidP="00374599">
            <w:pPr>
              <w:pStyle w:val="TableReference"/>
              <w:tabs>
                <w:tab w:val="left" w:pos="3306"/>
              </w:tabs>
              <w:rPr>
                <w:rFonts w:cs="Calibri"/>
                <w:color w:val="7030A0"/>
                <w:sz w:val="14"/>
              </w:rPr>
            </w:pPr>
          </w:p>
          <w:p w14:paraId="1271C55D" w14:textId="77777777" w:rsidR="00374599" w:rsidRPr="00374599" w:rsidRDefault="00374599" w:rsidP="00374599">
            <w:pPr>
              <w:pStyle w:val="TableReference"/>
              <w:tabs>
                <w:tab w:val="left" w:pos="3306"/>
              </w:tabs>
              <w:rPr>
                <w:rFonts w:cs="Calibri"/>
                <w:color w:val="7030A0"/>
                <w:sz w:val="14"/>
              </w:rPr>
            </w:pPr>
          </w:p>
        </w:tc>
        <w:tc>
          <w:tcPr>
            <w:tcW w:w="4262" w:type="pct"/>
            <w:tcBorders>
              <w:left w:val="single" w:sz="2" w:space="0" w:color="auto"/>
            </w:tcBorders>
            <w:shd w:val="clear" w:color="auto" w:fill="7030A0"/>
          </w:tcPr>
          <w:p w14:paraId="31AD420D" w14:textId="13993474" w:rsidR="00374599" w:rsidRPr="00374599" w:rsidRDefault="00374599" w:rsidP="00374599">
            <w:pPr>
              <w:pStyle w:val="TableText"/>
              <w:spacing w:before="0" w:after="120"/>
              <w:jc w:val="both"/>
              <w:rPr>
                <w:rFonts w:cs="Calibri"/>
                <w:color w:val="FFFFFF" w:themeColor="background1"/>
              </w:rPr>
            </w:pPr>
            <w:r w:rsidRPr="00374599">
              <w:rPr>
                <w:rFonts w:cs="Calibri"/>
                <w:color w:val="FFFFFF" w:themeColor="background1"/>
              </w:rPr>
              <w:t>A waiver is the relinquishment of a legal claim to a debt.</w:t>
            </w:r>
            <w:r w:rsidR="00FA7C77">
              <w:rPr>
                <w:rFonts w:cs="Calibri"/>
                <w:color w:val="FFFFFF" w:themeColor="background1"/>
              </w:rPr>
              <w:t xml:space="preserve"> </w:t>
            </w:r>
            <w:r w:rsidRPr="00374599">
              <w:rPr>
                <w:rFonts w:cs="Calibri"/>
                <w:color w:val="FFFFFF" w:themeColor="background1"/>
              </w:rPr>
              <w:t>The write-off of a debt is the accounting action taken to remove a debt from the books but does not relinquish the legal right of the Agency to recover the amount.</w:t>
            </w:r>
            <w:r w:rsidR="00FA7C77">
              <w:rPr>
                <w:rFonts w:cs="Calibri"/>
                <w:color w:val="FFFFFF" w:themeColor="background1"/>
              </w:rPr>
              <w:t xml:space="preserve"> </w:t>
            </w:r>
            <w:r w:rsidRPr="00374599">
              <w:rPr>
                <w:rFonts w:cs="Calibri"/>
                <w:color w:val="FFFFFF" w:themeColor="background1"/>
              </w:rPr>
              <w:t>A write-off of debts may occur for reasons other than waivers.</w:t>
            </w:r>
          </w:p>
        </w:tc>
      </w:tr>
      <w:tr w:rsidR="00374599" w:rsidRPr="00374599" w14:paraId="1F20A1D2"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38" w:type="pct"/>
            <w:tcBorders>
              <w:left w:val="single" w:sz="2" w:space="0" w:color="auto"/>
              <w:right w:val="single" w:sz="2" w:space="0" w:color="auto"/>
            </w:tcBorders>
          </w:tcPr>
          <w:p w14:paraId="4601285C" w14:textId="77777777" w:rsidR="00374599" w:rsidRPr="00374599" w:rsidRDefault="00374599" w:rsidP="00374599">
            <w:pPr>
              <w:pStyle w:val="TableReference"/>
              <w:tabs>
                <w:tab w:val="left" w:pos="3306"/>
              </w:tabs>
              <w:spacing w:before="60"/>
              <w:rPr>
                <w:rFonts w:cs="Calibri"/>
                <w:color w:val="7030A0"/>
                <w:sz w:val="14"/>
              </w:rPr>
            </w:pPr>
            <w:r w:rsidRPr="00374599">
              <w:rPr>
                <w:rFonts w:cs="Calibri"/>
                <w:color w:val="7030A0"/>
                <w:sz w:val="14"/>
              </w:rPr>
              <w:t>FMA sec 131 (3)</w:t>
            </w:r>
          </w:p>
          <w:p w14:paraId="35763E38" w14:textId="77777777" w:rsidR="00374599" w:rsidRPr="00374599" w:rsidRDefault="00374599" w:rsidP="00374599">
            <w:pPr>
              <w:pStyle w:val="TableReference"/>
              <w:tabs>
                <w:tab w:val="left" w:pos="3306"/>
              </w:tabs>
              <w:spacing w:before="60"/>
              <w:rPr>
                <w:rFonts w:cs="Calibri"/>
                <w:color w:val="7030A0"/>
                <w:sz w:val="14"/>
              </w:rPr>
            </w:pPr>
            <w:r w:rsidRPr="00374599">
              <w:rPr>
                <w:rFonts w:cs="Calibri"/>
                <w:color w:val="7030A0"/>
                <w:sz w:val="14"/>
              </w:rPr>
              <w:t>ACT Disclosure Policy</w:t>
            </w:r>
          </w:p>
        </w:tc>
        <w:tc>
          <w:tcPr>
            <w:tcW w:w="4262" w:type="pct"/>
            <w:tcBorders>
              <w:left w:val="single" w:sz="2" w:space="0" w:color="auto"/>
            </w:tcBorders>
            <w:shd w:val="clear" w:color="auto" w:fill="7030A0"/>
          </w:tcPr>
          <w:p w14:paraId="143DBA4C" w14:textId="3B26CD9C" w:rsidR="00374599" w:rsidRPr="00374599" w:rsidRDefault="00374599" w:rsidP="00374599">
            <w:pPr>
              <w:pStyle w:val="CommentaryText"/>
              <w:tabs>
                <w:tab w:val="left" w:pos="3306"/>
              </w:tabs>
              <w:rPr>
                <w:rFonts w:cs="Calibri"/>
                <w:color w:val="FFFFFF" w:themeColor="background1"/>
                <w:sz w:val="18"/>
                <w:szCs w:val="18"/>
              </w:rPr>
            </w:pPr>
            <w:r w:rsidRPr="00374599">
              <w:rPr>
                <w:rFonts w:cs="Calibri"/>
                <w:color w:val="FFFFFF" w:themeColor="background1"/>
                <w:sz w:val="18"/>
                <w:szCs w:val="18"/>
              </w:rPr>
              <w:t>The FMA requires that a waiver relating to an amount payable to the Territory shall be reported in the notes to the financial statements of the relevant agency that relate to the year in which the right to payment was waived.</w:t>
            </w:r>
          </w:p>
        </w:tc>
      </w:tr>
      <w:tr w:rsidR="00374599" w:rsidRPr="00374599" w14:paraId="1B21555D"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738" w:type="pct"/>
            <w:tcBorders>
              <w:left w:val="single" w:sz="2" w:space="0" w:color="auto"/>
              <w:right w:val="single" w:sz="2" w:space="0" w:color="auto"/>
            </w:tcBorders>
          </w:tcPr>
          <w:p w14:paraId="41ECAF35" w14:textId="77777777" w:rsidR="00374599" w:rsidRPr="00374599" w:rsidRDefault="00374599" w:rsidP="00374599">
            <w:pPr>
              <w:pStyle w:val="TableReference"/>
              <w:tabs>
                <w:tab w:val="left" w:pos="3306"/>
              </w:tabs>
              <w:spacing w:before="60"/>
              <w:rPr>
                <w:rFonts w:cs="Calibri"/>
                <w:color w:val="7030A0"/>
                <w:sz w:val="14"/>
              </w:rPr>
            </w:pPr>
          </w:p>
        </w:tc>
        <w:tc>
          <w:tcPr>
            <w:tcW w:w="4262" w:type="pct"/>
            <w:tcBorders>
              <w:left w:val="single" w:sz="2" w:space="0" w:color="auto"/>
            </w:tcBorders>
            <w:shd w:val="clear" w:color="auto" w:fill="7030A0"/>
          </w:tcPr>
          <w:p w14:paraId="300A6DC1" w14:textId="3AC64711" w:rsidR="00374599" w:rsidRPr="00374599" w:rsidRDefault="00374599" w:rsidP="00374599">
            <w:pPr>
              <w:pStyle w:val="TableText"/>
              <w:spacing w:before="0" w:after="120"/>
              <w:jc w:val="both"/>
              <w:rPr>
                <w:rFonts w:cs="Calibri"/>
                <w:color w:val="FFFFFF" w:themeColor="background1"/>
              </w:rPr>
            </w:pPr>
            <w:r w:rsidRPr="00374599">
              <w:rPr>
                <w:rFonts w:cs="Calibri"/>
                <w:color w:val="FFFFFF" w:themeColor="background1"/>
              </w:rPr>
              <w:t>If an agency has waivers associated with a government policy, then the note should provide details of waivers by policy type.</w:t>
            </w:r>
            <w:r w:rsidR="00FA7C77">
              <w:rPr>
                <w:rFonts w:cs="Calibri"/>
                <w:color w:val="FFFFFF" w:themeColor="background1"/>
              </w:rPr>
              <w:t xml:space="preserve"> </w:t>
            </w:r>
            <w:r w:rsidRPr="00374599">
              <w:rPr>
                <w:rFonts w:cs="Calibri"/>
                <w:color w:val="FFFFFF" w:themeColor="background1"/>
              </w:rPr>
              <w:t>Individual recipients of waivers should not be identified unless they have agreed to such disclosure.</w:t>
            </w:r>
          </w:p>
        </w:tc>
      </w:tr>
      <w:bookmarkEnd w:id="461"/>
    </w:tbl>
    <w:p w14:paraId="4364100B" w14:textId="70C85F91" w:rsidR="00F37E6F" w:rsidRDefault="00F37E6F">
      <w:pPr>
        <w:pStyle w:val="Header"/>
        <w:tabs>
          <w:tab w:val="clear" w:pos="4153"/>
          <w:tab w:val="clear" w:pos="8306"/>
        </w:tabs>
        <w:rPr>
          <w:rFonts w:cs="Calibri"/>
          <w:sz w:val="20"/>
          <w:szCs w:val="20"/>
        </w:rPr>
      </w:pPr>
    </w:p>
    <w:p w14:paraId="52073B41" w14:textId="77777777" w:rsidR="00F37E6F" w:rsidRDefault="00F37E6F">
      <w:pPr>
        <w:pStyle w:val="Header"/>
        <w:tabs>
          <w:tab w:val="clear" w:pos="4153"/>
          <w:tab w:val="clear" w:pos="8306"/>
        </w:tabs>
        <w:rPr>
          <w:rFonts w:cs="Calibri"/>
          <w:sz w:val="20"/>
          <w:szCs w:val="20"/>
        </w:rPr>
      </w:pP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6185"/>
        <w:gridCol w:w="1211"/>
        <w:gridCol w:w="1551"/>
      </w:tblGrid>
      <w:tr w:rsidR="008D14EE" w:rsidRPr="00737E3B" w14:paraId="0A8337D0" w14:textId="77777777" w:rsidTr="005F5B4C">
        <w:tc>
          <w:tcPr>
            <w:tcW w:w="737" w:type="pct"/>
            <w:tcBorders>
              <w:top w:val="nil"/>
              <w:left w:val="single" w:sz="2" w:space="0" w:color="auto"/>
              <w:bottom w:val="nil"/>
              <w:right w:val="single" w:sz="2" w:space="0" w:color="auto"/>
            </w:tcBorders>
          </w:tcPr>
          <w:p w14:paraId="2004A8D5" w14:textId="2B675225" w:rsidR="008D14EE" w:rsidRPr="00D6550C" w:rsidRDefault="00975FEC" w:rsidP="00975FEC">
            <w:pPr>
              <w:pStyle w:val="Reference"/>
              <w:tabs>
                <w:tab w:val="left" w:pos="3306"/>
              </w:tabs>
              <w:spacing w:before="240" w:after="240"/>
              <w:rPr>
                <w:rFonts w:cs="Calibri"/>
                <w:color w:val="7030A0"/>
                <w:sz w:val="22"/>
                <w:szCs w:val="22"/>
              </w:rPr>
            </w:pPr>
            <w:r w:rsidRPr="00D6550C">
              <w:rPr>
                <w:rFonts w:cs="Calibri"/>
                <w:color w:val="7030A0"/>
                <w:sz w:val="22"/>
                <w:szCs w:val="22"/>
              </w:rPr>
              <w:t>Reference</w:t>
            </w:r>
          </w:p>
        </w:tc>
        <w:tc>
          <w:tcPr>
            <w:tcW w:w="4263" w:type="pct"/>
            <w:gridSpan w:val="3"/>
            <w:tcBorders>
              <w:top w:val="nil"/>
              <w:left w:val="single" w:sz="2" w:space="0" w:color="auto"/>
              <w:bottom w:val="nil"/>
              <w:right w:val="nil"/>
            </w:tcBorders>
          </w:tcPr>
          <w:p w14:paraId="6DCDC81F" w14:textId="5136BAD8" w:rsidR="008D14EE" w:rsidRPr="00D6550C" w:rsidRDefault="008D14EE" w:rsidP="009A0F2F">
            <w:pPr>
              <w:pStyle w:val="Heading1"/>
              <w:numPr>
                <w:ilvl w:val="0"/>
                <w:numId w:val="0"/>
              </w:numPr>
              <w:ind w:left="34"/>
              <w:rPr>
                <w:rFonts w:asciiTheme="minorHAnsi" w:hAnsiTheme="minorHAnsi" w:cstheme="minorHAnsi"/>
                <w:sz w:val="36"/>
                <w:szCs w:val="36"/>
              </w:rPr>
            </w:pPr>
            <w:bookmarkStart w:id="475" w:name="_Toc98763101"/>
            <w:r w:rsidRPr="00D6550C">
              <w:rPr>
                <w:rFonts w:asciiTheme="minorHAnsi" w:hAnsiTheme="minorHAnsi" w:cstheme="minorHAnsi"/>
                <w:sz w:val="36"/>
                <w:szCs w:val="36"/>
              </w:rPr>
              <w:t>ASSET Notes</w:t>
            </w:r>
            <w:bookmarkEnd w:id="475"/>
            <w:r w:rsidR="00FA7C77">
              <w:rPr>
                <w:rFonts w:asciiTheme="minorHAnsi" w:hAnsiTheme="minorHAnsi" w:cstheme="minorHAnsi"/>
                <w:sz w:val="36"/>
                <w:szCs w:val="36"/>
              </w:rPr>
              <w:t xml:space="preserve">                             </w:t>
            </w:r>
          </w:p>
        </w:tc>
      </w:tr>
      <w:tr w:rsidR="008D14EE" w:rsidRPr="00FD6C68" w14:paraId="2FBE001C" w14:textId="77777777" w:rsidTr="005F5B4C">
        <w:tc>
          <w:tcPr>
            <w:tcW w:w="737" w:type="pct"/>
            <w:tcBorders>
              <w:top w:val="nil"/>
              <w:left w:val="single" w:sz="2" w:space="0" w:color="auto"/>
              <w:bottom w:val="nil"/>
              <w:right w:val="single" w:sz="2" w:space="0" w:color="auto"/>
            </w:tcBorders>
          </w:tcPr>
          <w:p w14:paraId="6700E56D" w14:textId="77777777" w:rsidR="008D14EE" w:rsidRPr="00D6550C" w:rsidRDefault="008D14EE" w:rsidP="009A0F2F">
            <w:pPr>
              <w:pStyle w:val="Reference"/>
              <w:tabs>
                <w:tab w:val="left" w:pos="3306"/>
              </w:tabs>
              <w:rPr>
                <w:rFonts w:cs="Calibri"/>
                <w:color w:val="7030A0"/>
                <w:sz w:val="14"/>
                <w:szCs w:val="14"/>
              </w:rPr>
            </w:pPr>
          </w:p>
        </w:tc>
        <w:tc>
          <w:tcPr>
            <w:tcW w:w="4263" w:type="pct"/>
            <w:gridSpan w:val="3"/>
            <w:tcBorders>
              <w:top w:val="nil"/>
              <w:left w:val="single" w:sz="2" w:space="0" w:color="auto"/>
              <w:bottom w:val="nil"/>
              <w:right w:val="nil"/>
            </w:tcBorders>
          </w:tcPr>
          <w:p w14:paraId="286E6FA6" w14:textId="561F4AFE" w:rsidR="008D14EE" w:rsidRPr="00D6550C" w:rsidRDefault="008D14EE" w:rsidP="009A0F2F">
            <w:pPr>
              <w:pStyle w:val="Heading1"/>
              <w:numPr>
                <w:ilvl w:val="0"/>
                <w:numId w:val="0"/>
              </w:numPr>
              <w:spacing w:before="0" w:after="0"/>
              <w:ind w:left="34"/>
              <w:rPr>
                <w:rFonts w:asciiTheme="minorHAnsi" w:hAnsiTheme="minorHAnsi" w:cstheme="minorHAnsi"/>
                <w:sz w:val="36"/>
                <w:szCs w:val="36"/>
              </w:rPr>
            </w:pPr>
            <w:bookmarkStart w:id="476" w:name="_Toc98763102"/>
            <w:r w:rsidRPr="00D6550C">
              <w:rPr>
                <w:rFonts w:ascii="Calibri" w:hAnsi="Calibri" w:cs="Calibri"/>
                <w:caps w:val="0"/>
                <w:sz w:val="18"/>
                <w:szCs w:val="18"/>
              </w:rPr>
              <w:t>Material Accounting Policies – Assets</w:t>
            </w:r>
            <w:bookmarkEnd w:id="476"/>
            <w:r w:rsidRPr="00D6550C">
              <w:rPr>
                <w:rFonts w:ascii="Calibri" w:hAnsi="Calibri" w:cs="Calibri"/>
                <w:caps w:val="0"/>
                <w:sz w:val="18"/>
                <w:szCs w:val="18"/>
              </w:rPr>
              <w:t xml:space="preserve"> </w:t>
            </w:r>
          </w:p>
        </w:tc>
      </w:tr>
      <w:tr w:rsidR="008D14EE" w14:paraId="12C8E20B" w14:textId="77777777" w:rsidTr="005F5B4C">
        <w:tc>
          <w:tcPr>
            <w:tcW w:w="737" w:type="pct"/>
            <w:tcBorders>
              <w:top w:val="nil"/>
              <w:left w:val="single" w:sz="2" w:space="0" w:color="auto"/>
              <w:bottom w:val="nil"/>
              <w:right w:val="single" w:sz="2" w:space="0" w:color="auto"/>
            </w:tcBorders>
          </w:tcPr>
          <w:p w14:paraId="2716EC9E" w14:textId="77777777" w:rsidR="008D14EE" w:rsidRPr="00D6550C" w:rsidRDefault="008D14EE" w:rsidP="009A0F2F">
            <w:pPr>
              <w:pStyle w:val="Reference"/>
              <w:tabs>
                <w:tab w:val="left" w:pos="3306"/>
              </w:tabs>
              <w:rPr>
                <w:rFonts w:cs="Calibri"/>
                <w:color w:val="7030A0"/>
                <w:sz w:val="14"/>
                <w:szCs w:val="14"/>
              </w:rPr>
            </w:pPr>
          </w:p>
        </w:tc>
        <w:tc>
          <w:tcPr>
            <w:tcW w:w="4263" w:type="pct"/>
            <w:gridSpan w:val="3"/>
            <w:tcBorders>
              <w:top w:val="nil"/>
              <w:left w:val="single" w:sz="2" w:space="0" w:color="auto"/>
              <w:bottom w:val="nil"/>
              <w:right w:val="nil"/>
            </w:tcBorders>
          </w:tcPr>
          <w:p w14:paraId="358036F3" w14:textId="5D92F132" w:rsidR="008D14EE" w:rsidRPr="00D6550C" w:rsidRDefault="008D14EE" w:rsidP="004B6F08">
            <w:pPr>
              <w:spacing w:before="120"/>
              <w:rPr>
                <w:rFonts w:cs="Calibri"/>
                <w:b/>
                <w:bCs/>
                <w:sz w:val="18"/>
                <w:szCs w:val="18"/>
              </w:rPr>
            </w:pPr>
            <w:r w:rsidRPr="00D6550C">
              <w:rPr>
                <w:rFonts w:cs="Calibri"/>
                <w:b/>
                <w:bCs/>
                <w:sz w:val="18"/>
                <w:szCs w:val="18"/>
              </w:rPr>
              <w:t xml:space="preserve">Assets – Current and Non-Current </w:t>
            </w:r>
          </w:p>
        </w:tc>
      </w:tr>
      <w:tr w:rsidR="008D14EE" w14:paraId="682EC5FB" w14:textId="77777777" w:rsidTr="005F5B4C">
        <w:tc>
          <w:tcPr>
            <w:tcW w:w="737" w:type="pct"/>
            <w:tcBorders>
              <w:top w:val="nil"/>
              <w:left w:val="single" w:sz="2" w:space="0" w:color="auto"/>
              <w:bottom w:val="nil"/>
              <w:right w:val="single" w:sz="2" w:space="0" w:color="auto"/>
            </w:tcBorders>
          </w:tcPr>
          <w:p w14:paraId="3F948AB3" w14:textId="2BAFE90C" w:rsidR="008D14EE" w:rsidRPr="00D6550C" w:rsidRDefault="008D14EE" w:rsidP="009A0F2F">
            <w:pPr>
              <w:pStyle w:val="Reference"/>
              <w:tabs>
                <w:tab w:val="left" w:pos="3306"/>
              </w:tabs>
              <w:rPr>
                <w:color w:val="7030A0"/>
                <w:sz w:val="18"/>
              </w:rPr>
            </w:pPr>
            <w:r w:rsidRPr="00D6550C">
              <w:rPr>
                <w:b w:val="0"/>
                <w:bCs w:val="0"/>
                <w:color w:val="7030A0"/>
                <w:sz w:val="14"/>
                <w:szCs w:val="14"/>
              </w:rPr>
              <w:t>AASB 101.60 &amp; 66</w:t>
            </w:r>
          </w:p>
        </w:tc>
        <w:tc>
          <w:tcPr>
            <w:tcW w:w="4263" w:type="pct"/>
            <w:gridSpan w:val="3"/>
            <w:tcBorders>
              <w:top w:val="nil"/>
              <w:left w:val="single" w:sz="2" w:space="0" w:color="auto"/>
              <w:bottom w:val="nil"/>
              <w:right w:val="nil"/>
            </w:tcBorders>
          </w:tcPr>
          <w:p w14:paraId="4099D28A" w14:textId="219BD052" w:rsidR="008D14EE" w:rsidRPr="00D6550C" w:rsidRDefault="008D14EE" w:rsidP="008D14EE">
            <w:pPr>
              <w:jc w:val="both"/>
              <w:rPr>
                <w:sz w:val="18"/>
                <w:szCs w:val="18"/>
              </w:rPr>
            </w:pPr>
            <w:r w:rsidRPr="00D6550C">
              <w:rPr>
                <w:sz w:val="18"/>
                <w:szCs w:val="18"/>
              </w:rPr>
              <w:t>Assets are classified as current where they are expected to be realised within 12 months after the reporting date.</w:t>
            </w:r>
            <w:r w:rsidR="00FA7C77">
              <w:rPr>
                <w:sz w:val="18"/>
                <w:szCs w:val="18"/>
              </w:rPr>
              <w:t xml:space="preserve"> </w:t>
            </w:r>
            <w:r w:rsidRPr="00D6550C">
              <w:rPr>
                <w:sz w:val="18"/>
                <w:szCs w:val="18"/>
              </w:rPr>
              <w:t>Assets, which do not fall within the current classification, are classified as non-current.</w:t>
            </w:r>
          </w:p>
        </w:tc>
      </w:tr>
      <w:tr w:rsidR="008D14EE" w:rsidRPr="00DD296A" w14:paraId="19891CC4" w14:textId="77777777" w:rsidTr="005F5B4C">
        <w:trPr>
          <w:trHeight w:val="224"/>
        </w:trPr>
        <w:tc>
          <w:tcPr>
            <w:tcW w:w="737" w:type="pct"/>
            <w:tcBorders>
              <w:top w:val="nil"/>
              <w:left w:val="single" w:sz="2" w:space="0" w:color="auto"/>
              <w:bottom w:val="nil"/>
              <w:right w:val="single" w:sz="2" w:space="0" w:color="auto"/>
            </w:tcBorders>
          </w:tcPr>
          <w:p w14:paraId="63B57A57" w14:textId="77777777" w:rsidR="008D14EE" w:rsidRPr="00D6550C" w:rsidRDefault="008D14EE" w:rsidP="008D14EE">
            <w:pPr>
              <w:pStyle w:val="TableReference"/>
              <w:tabs>
                <w:tab w:val="left" w:pos="3306"/>
              </w:tabs>
              <w:rPr>
                <w:rFonts w:cs="Calibri"/>
                <w:b/>
                <w:color w:val="7030A0"/>
                <w:sz w:val="18"/>
                <w:szCs w:val="18"/>
              </w:rPr>
            </w:pPr>
          </w:p>
        </w:tc>
        <w:tc>
          <w:tcPr>
            <w:tcW w:w="4263" w:type="pct"/>
            <w:gridSpan w:val="3"/>
            <w:tcBorders>
              <w:top w:val="nil"/>
              <w:left w:val="single" w:sz="2" w:space="0" w:color="auto"/>
              <w:bottom w:val="nil"/>
              <w:right w:val="nil"/>
            </w:tcBorders>
          </w:tcPr>
          <w:p w14:paraId="44234E8C" w14:textId="77777777" w:rsidR="008D14EE" w:rsidRPr="00D6550C" w:rsidRDefault="008D14EE" w:rsidP="008D14EE">
            <w:pPr>
              <w:pStyle w:val="Heading1"/>
              <w:numPr>
                <w:ilvl w:val="0"/>
                <w:numId w:val="0"/>
              </w:numPr>
              <w:spacing w:before="0" w:after="0"/>
              <w:rPr>
                <w:sz w:val="18"/>
                <w:szCs w:val="18"/>
              </w:rPr>
            </w:pPr>
          </w:p>
        </w:tc>
      </w:tr>
      <w:tr w:rsidR="00CA5AA0" w:rsidRPr="00DD296A" w14:paraId="001872E4" w14:textId="77777777" w:rsidTr="005F5B4C">
        <w:trPr>
          <w:trHeight w:val="454"/>
        </w:trPr>
        <w:tc>
          <w:tcPr>
            <w:tcW w:w="737" w:type="pct"/>
            <w:tcBorders>
              <w:top w:val="nil"/>
              <w:left w:val="single" w:sz="2" w:space="0" w:color="auto"/>
              <w:bottom w:val="nil"/>
              <w:right w:val="single" w:sz="2" w:space="0" w:color="auto"/>
            </w:tcBorders>
          </w:tcPr>
          <w:p w14:paraId="39A877D3" w14:textId="1D0D89AC" w:rsidR="00CA5AA0" w:rsidRPr="00D6550C" w:rsidRDefault="00CA5AA0" w:rsidP="00DA3E2F">
            <w:pPr>
              <w:pStyle w:val="TableReference"/>
              <w:tabs>
                <w:tab w:val="left" w:pos="3306"/>
              </w:tabs>
              <w:spacing w:before="240"/>
              <w:rPr>
                <w:rFonts w:cs="Calibri"/>
                <w:b/>
                <w:color w:val="7030A0"/>
                <w:sz w:val="20"/>
                <w:szCs w:val="20"/>
              </w:rPr>
            </w:pPr>
          </w:p>
        </w:tc>
        <w:tc>
          <w:tcPr>
            <w:tcW w:w="4263" w:type="pct"/>
            <w:gridSpan w:val="3"/>
            <w:tcBorders>
              <w:top w:val="nil"/>
              <w:left w:val="single" w:sz="2" w:space="0" w:color="auto"/>
              <w:bottom w:val="nil"/>
              <w:right w:val="nil"/>
            </w:tcBorders>
          </w:tcPr>
          <w:p w14:paraId="0F09A555" w14:textId="49F77DD1" w:rsidR="00CA5AA0" w:rsidRPr="00D6550C" w:rsidRDefault="00CA5AA0" w:rsidP="00CA5AA0">
            <w:pPr>
              <w:pStyle w:val="Heading1"/>
              <w:numPr>
                <w:ilvl w:val="0"/>
                <w:numId w:val="0"/>
              </w:numPr>
              <w:rPr>
                <w:rFonts w:cs="Calibri"/>
                <w:sz w:val="16"/>
              </w:rPr>
            </w:pPr>
            <w:bookmarkStart w:id="477" w:name="_Toc49224073"/>
            <w:bookmarkStart w:id="478" w:name="_Ref50365550"/>
            <w:bookmarkStart w:id="479" w:name="_Toc50440369"/>
            <w:bookmarkStart w:id="480" w:name="_Ref50524096"/>
            <w:bookmarkStart w:id="481" w:name="_Toc400627341"/>
            <w:bookmarkStart w:id="482" w:name="_Toc98763103"/>
            <w:bookmarkStart w:id="483" w:name="Investments"/>
            <w:r w:rsidRPr="00D6550C">
              <w:t xml:space="preserve">Note </w:t>
            </w:r>
            <w:r w:rsidR="008B29B3" w:rsidRPr="00D6550C">
              <w:t>15</w:t>
            </w:r>
            <w:r w:rsidRPr="00D6550C">
              <w:t>.</w:t>
            </w:r>
            <w:r w:rsidR="00FA7C77">
              <w:t xml:space="preserve"> </w:t>
            </w:r>
            <w:r w:rsidRPr="00D6550C">
              <w:t xml:space="preserve"> </w:t>
            </w:r>
            <w:r w:rsidR="008E2A2F" w:rsidRPr="00D6550C">
              <w:t xml:space="preserve">CASH AND </w:t>
            </w:r>
            <w:r w:rsidRPr="00D6550C">
              <w:t>Investments</w:t>
            </w:r>
            <w:bookmarkEnd w:id="477"/>
            <w:bookmarkEnd w:id="478"/>
            <w:bookmarkEnd w:id="479"/>
            <w:bookmarkEnd w:id="480"/>
            <w:bookmarkEnd w:id="481"/>
            <w:bookmarkEnd w:id="482"/>
            <w:r w:rsidRPr="00D6550C">
              <w:t xml:space="preserve"> </w:t>
            </w:r>
            <w:bookmarkEnd w:id="483"/>
          </w:p>
        </w:tc>
      </w:tr>
      <w:tr w:rsidR="008E2A2F" w:rsidRPr="008E2A2F" w14:paraId="7AD512DC" w14:textId="77777777" w:rsidTr="005F5B4C">
        <w:trPr>
          <w:trHeight w:val="183"/>
        </w:trPr>
        <w:tc>
          <w:tcPr>
            <w:tcW w:w="737" w:type="pct"/>
            <w:tcBorders>
              <w:top w:val="nil"/>
              <w:left w:val="single" w:sz="2" w:space="0" w:color="auto"/>
              <w:bottom w:val="nil"/>
              <w:right w:val="single" w:sz="2" w:space="0" w:color="auto"/>
            </w:tcBorders>
          </w:tcPr>
          <w:p w14:paraId="1AA15458" w14:textId="77777777" w:rsidR="008E2A2F" w:rsidRPr="00D6550C" w:rsidRDefault="008E2A2F" w:rsidP="008E2A2F">
            <w:pPr>
              <w:pStyle w:val="TableReference"/>
              <w:tabs>
                <w:tab w:val="left" w:pos="3306"/>
              </w:tabs>
              <w:rPr>
                <w:rFonts w:cs="Calibri"/>
                <w:b/>
                <w:color w:val="7030A0"/>
                <w:sz w:val="18"/>
                <w:szCs w:val="18"/>
              </w:rPr>
            </w:pPr>
          </w:p>
        </w:tc>
        <w:tc>
          <w:tcPr>
            <w:tcW w:w="4263" w:type="pct"/>
            <w:gridSpan w:val="3"/>
            <w:tcBorders>
              <w:top w:val="nil"/>
              <w:left w:val="single" w:sz="2" w:space="0" w:color="auto"/>
              <w:bottom w:val="nil"/>
              <w:right w:val="nil"/>
            </w:tcBorders>
          </w:tcPr>
          <w:p w14:paraId="3A2D66FF" w14:textId="6BCD05BA" w:rsidR="008E2A2F" w:rsidRPr="00D6550C" w:rsidRDefault="008E2A2F" w:rsidP="008E2A2F">
            <w:pPr>
              <w:pStyle w:val="Heading1"/>
              <w:numPr>
                <w:ilvl w:val="0"/>
                <w:numId w:val="0"/>
              </w:numPr>
              <w:spacing w:before="0" w:after="0"/>
              <w:rPr>
                <w:rFonts w:ascii="Calibri" w:hAnsi="Calibri"/>
                <w:caps w:val="0"/>
                <w:sz w:val="18"/>
                <w:szCs w:val="18"/>
              </w:rPr>
            </w:pPr>
            <w:bookmarkStart w:id="484" w:name="_Toc98763104"/>
            <w:r w:rsidRPr="00D6550C">
              <w:rPr>
                <w:rFonts w:ascii="Calibri" w:hAnsi="Calibri"/>
                <w:caps w:val="0"/>
                <w:sz w:val="18"/>
                <w:szCs w:val="18"/>
              </w:rPr>
              <w:t xml:space="preserve">Description and Material Accounting Policies Relating to Cash </w:t>
            </w:r>
            <w:r w:rsidR="00975FEC" w:rsidRPr="00D6550C">
              <w:rPr>
                <w:rFonts w:ascii="Calibri" w:hAnsi="Calibri"/>
                <w:caps w:val="0"/>
                <w:sz w:val="18"/>
                <w:szCs w:val="18"/>
              </w:rPr>
              <w:t>a</w:t>
            </w:r>
            <w:r w:rsidRPr="00D6550C">
              <w:rPr>
                <w:rFonts w:ascii="Calibri" w:hAnsi="Calibri"/>
                <w:caps w:val="0"/>
                <w:sz w:val="18"/>
                <w:szCs w:val="18"/>
              </w:rPr>
              <w:t>nd Investments</w:t>
            </w:r>
            <w:bookmarkEnd w:id="484"/>
          </w:p>
        </w:tc>
      </w:tr>
      <w:tr w:rsidR="008E2A2F" w:rsidRPr="008E2A2F" w14:paraId="6F30E44D" w14:textId="77777777" w:rsidTr="005F5B4C">
        <w:trPr>
          <w:trHeight w:val="114"/>
        </w:trPr>
        <w:tc>
          <w:tcPr>
            <w:tcW w:w="737" w:type="pct"/>
            <w:tcBorders>
              <w:top w:val="nil"/>
              <w:left w:val="single" w:sz="2" w:space="0" w:color="auto"/>
              <w:bottom w:val="nil"/>
              <w:right w:val="single" w:sz="2" w:space="0" w:color="auto"/>
            </w:tcBorders>
          </w:tcPr>
          <w:p w14:paraId="18A3ADC2" w14:textId="77777777" w:rsidR="008E2A2F" w:rsidRPr="00D6550C" w:rsidRDefault="008E2A2F" w:rsidP="008E2A2F">
            <w:pPr>
              <w:pStyle w:val="TableReference"/>
              <w:tabs>
                <w:tab w:val="left" w:pos="3306"/>
              </w:tabs>
              <w:rPr>
                <w:rFonts w:cs="Calibri"/>
                <w:b/>
                <w:color w:val="7030A0"/>
                <w:sz w:val="18"/>
                <w:szCs w:val="18"/>
              </w:rPr>
            </w:pPr>
          </w:p>
        </w:tc>
        <w:tc>
          <w:tcPr>
            <w:tcW w:w="4263" w:type="pct"/>
            <w:gridSpan w:val="3"/>
            <w:tcBorders>
              <w:top w:val="nil"/>
              <w:left w:val="single" w:sz="2" w:space="0" w:color="auto"/>
              <w:bottom w:val="nil"/>
              <w:right w:val="nil"/>
            </w:tcBorders>
          </w:tcPr>
          <w:p w14:paraId="5A4DA146" w14:textId="5E9A225B" w:rsidR="008E2A2F" w:rsidRPr="00D6550C" w:rsidRDefault="008E2A2F" w:rsidP="00EB525E">
            <w:pPr>
              <w:spacing w:before="120"/>
            </w:pPr>
            <w:r w:rsidRPr="00D6550C">
              <w:rPr>
                <w:i/>
                <w:iCs/>
                <w:sz w:val="18"/>
                <w:szCs w:val="18"/>
              </w:rPr>
              <w:t>Cash and Cash Equivalents</w:t>
            </w:r>
          </w:p>
        </w:tc>
      </w:tr>
      <w:tr w:rsidR="008E2A2F" w:rsidRPr="008E2A2F" w14:paraId="2CF5F952" w14:textId="77777777" w:rsidTr="005F5B4C">
        <w:trPr>
          <w:trHeight w:val="114"/>
        </w:trPr>
        <w:tc>
          <w:tcPr>
            <w:tcW w:w="737" w:type="pct"/>
            <w:tcBorders>
              <w:top w:val="nil"/>
              <w:left w:val="single" w:sz="2" w:space="0" w:color="auto"/>
              <w:bottom w:val="nil"/>
              <w:right w:val="single" w:sz="2" w:space="0" w:color="auto"/>
            </w:tcBorders>
          </w:tcPr>
          <w:p w14:paraId="6B02B059" w14:textId="2578CE29" w:rsidR="008E2A2F" w:rsidRPr="00D6550C" w:rsidRDefault="008E2A2F" w:rsidP="008E2A2F">
            <w:pPr>
              <w:pStyle w:val="TableReference"/>
              <w:tabs>
                <w:tab w:val="left" w:pos="3306"/>
              </w:tabs>
              <w:rPr>
                <w:rFonts w:cs="Calibri"/>
                <w:b/>
                <w:color w:val="7030A0"/>
                <w:sz w:val="18"/>
                <w:szCs w:val="18"/>
              </w:rPr>
            </w:pPr>
            <w:r w:rsidRPr="00D6550C">
              <w:rPr>
                <w:rFonts w:cs="Calibri"/>
                <w:color w:val="7030A0"/>
                <w:sz w:val="14"/>
              </w:rPr>
              <w:t>ACT Disclosure Policy</w:t>
            </w:r>
          </w:p>
        </w:tc>
        <w:tc>
          <w:tcPr>
            <w:tcW w:w="4263" w:type="pct"/>
            <w:gridSpan w:val="3"/>
            <w:tcBorders>
              <w:top w:val="nil"/>
              <w:left w:val="single" w:sz="2" w:space="0" w:color="auto"/>
              <w:bottom w:val="nil"/>
              <w:right w:val="nil"/>
            </w:tcBorders>
            <w:vAlign w:val="bottom"/>
          </w:tcPr>
          <w:p w14:paraId="613442DD" w14:textId="5351F2A2" w:rsidR="008E2A2F" w:rsidRPr="00D6550C" w:rsidRDefault="008E2A2F" w:rsidP="00975FEC">
            <w:pPr>
              <w:spacing w:after="120"/>
              <w:jc w:val="both"/>
              <w:rPr>
                <w:sz w:val="18"/>
                <w:szCs w:val="18"/>
              </w:rPr>
            </w:pPr>
            <w:r w:rsidRPr="00D6550C">
              <w:rPr>
                <w:rFonts w:cs="Calibri"/>
                <w:sz w:val="18"/>
                <w:szCs w:val="18"/>
              </w:rPr>
              <w:t>The Agency holds a number of bank accounts with the Westpac Bank as part of the whole-of-government banking arrangements.</w:t>
            </w:r>
            <w:r w:rsidR="00FA7C77">
              <w:rPr>
                <w:rFonts w:cs="Calibri"/>
                <w:sz w:val="18"/>
                <w:szCs w:val="18"/>
              </w:rPr>
              <w:t xml:space="preserve"> </w:t>
            </w:r>
            <w:r w:rsidRPr="00D6550C">
              <w:rPr>
                <w:rFonts w:cs="Calibri"/>
                <w:sz w:val="18"/>
                <w:szCs w:val="18"/>
              </w:rPr>
              <w:t>As part of these arrangements, the Agency does not receive any interest on these accounts</w:t>
            </w:r>
            <w:r w:rsidR="006C3643" w:rsidRPr="00D6550C">
              <w:rPr>
                <w:rFonts w:cs="Calibri"/>
                <w:sz w:val="18"/>
                <w:szCs w:val="18"/>
              </w:rPr>
              <w:t>, as all the accounts held are Set-Off Accounts.</w:t>
            </w:r>
            <w:r w:rsidRPr="00D6550C">
              <w:rPr>
                <w:rFonts w:cs="Calibri"/>
                <w:sz w:val="18"/>
                <w:szCs w:val="18"/>
              </w:rPr>
              <w:t xml:space="preserve"> </w:t>
            </w:r>
          </w:p>
        </w:tc>
      </w:tr>
      <w:tr w:rsidR="008E2A2F" w:rsidRPr="008E2A2F" w14:paraId="08F9CB38" w14:textId="77777777" w:rsidTr="005F5B4C">
        <w:trPr>
          <w:trHeight w:val="114"/>
        </w:trPr>
        <w:tc>
          <w:tcPr>
            <w:tcW w:w="737" w:type="pct"/>
            <w:tcBorders>
              <w:top w:val="nil"/>
              <w:left w:val="single" w:sz="2" w:space="0" w:color="auto"/>
              <w:bottom w:val="nil"/>
              <w:right w:val="single" w:sz="2" w:space="0" w:color="auto"/>
            </w:tcBorders>
          </w:tcPr>
          <w:p w14:paraId="3D045734" w14:textId="76D830AB" w:rsidR="008E2A2F" w:rsidRPr="00D6550C" w:rsidRDefault="008E2A2F" w:rsidP="00AD6ADB">
            <w:pPr>
              <w:pStyle w:val="TableReference"/>
              <w:tabs>
                <w:tab w:val="left" w:pos="3306"/>
              </w:tabs>
              <w:spacing w:before="40"/>
              <w:rPr>
                <w:rFonts w:cs="Calibri"/>
                <w:b/>
                <w:color w:val="7030A0"/>
                <w:sz w:val="18"/>
                <w:szCs w:val="18"/>
              </w:rPr>
            </w:pPr>
            <w:r w:rsidRPr="00D6550C">
              <w:rPr>
                <w:color w:val="7030A0"/>
                <w:sz w:val="14"/>
              </w:rPr>
              <w:t>AASB 107.6 &amp; 46, AASB 7.21</w:t>
            </w:r>
          </w:p>
        </w:tc>
        <w:tc>
          <w:tcPr>
            <w:tcW w:w="4263" w:type="pct"/>
            <w:gridSpan w:val="3"/>
            <w:tcBorders>
              <w:top w:val="nil"/>
              <w:left w:val="single" w:sz="2" w:space="0" w:color="auto"/>
              <w:bottom w:val="nil"/>
              <w:right w:val="nil"/>
            </w:tcBorders>
            <w:vAlign w:val="bottom"/>
          </w:tcPr>
          <w:p w14:paraId="6A9248A5" w14:textId="2DE15577" w:rsidR="008E2A2F" w:rsidRPr="00D6550C" w:rsidRDefault="008E2A2F" w:rsidP="00975FEC">
            <w:pPr>
              <w:jc w:val="both"/>
              <w:rPr>
                <w:sz w:val="18"/>
                <w:szCs w:val="18"/>
              </w:rPr>
            </w:pPr>
            <w:r w:rsidRPr="00D6550C">
              <w:rPr>
                <w:sz w:val="18"/>
                <w:szCs w:val="18"/>
              </w:rPr>
              <w:t>Cash includes cash at bank and cash on hand.</w:t>
            </w:r>
            <w:r w:rsidR="00FA7C77">
              <w:rPr>
                <w:sz w:val="18"/>
                <w:szCs w:val="18"/>
              </w:rPr>
              <w:t xml:space="preserve"> </w:t>
            </w:r>
            <w:r w:rsidRPr="00D6550C">
              <w:rPr>
                <w:sz w:val="18"/>
                <w:szCs w:val="18"/>
              </w:rPr>
              <w:t>Cash equivalents are short-term, highly liquid investments that are readily convertible to known amounts of cash and which are subject to an insignificant risk of changes in value.</w:t>
            </w:r>
            <w:r w:rsidR="00FA7C77">
              <w:rPr>
                <w:sz w:val="18"/>
                <w:szCs w:val="18"/>
              </w:rPr>
              <w:t xml:space="preserve"> </w:t>
            </w:r>
            <w:r w:rsidRPr="00D6550C">
              <w:rPr>
                <w:sz w:val="18"/>
                <w:szCs w:val="18"/>
              </w:rPr>
              <w:t xml:space="preserve">Bank overdrafts are included in cash and cash equivalents in the </w:t>
            </w:r>
            <w:r w:rsidRPr="00D6550C">
              <w:rPr>
                <w:rFonts w:cs="Calibri"/>
                <w:sz w:val="18"/>
                <w:szCs w:val="18"/>
              </w:rPr>
              <w:t xml:space="preserve">Statement of Cash Flows </w:t>
            </w:r>
            <w:r w:rsidRPr="00D6550C">
              <w:rPr>
                <w:sz w:val="18"/>
                <w:szCs w:val="18"/>
              </w:rPr>
              <w:t>but not in the cash and cash equivalents line on the Balance Sheet.</w:t>
            </w:r>
          </w:p>
        </w:tc>
      </w:tr>
      <w:tr w:rsidR="008E2A2F" w:rsidRPr="00DD296A" w14:paraId="196E866B" w14:textId="77777777" w:rsidTr="005F5B4C">
        <w:trPr>
          <w:trHeight w:val="172"/>
        </w:trPr>
        <w:tc>
          <w:tcPr>
            <w:tcW w:w="737" w:type="pct"/>
            <w:tcBorders>
              <w:top w:val="nil"/>
              <w:left w:val="single" w:sz="2" w:space="0" w:color="auto"/>
              <w:bottom w:val="nil"/>
              <w:right w:val="single" w:sz="2" w:space="0" w:color="auto"/>
            </w:tcBorders>
          </w:tcPr>
          <w:p w14:paraId="3EAA029E" w14:textId="77777777" w:rsidR="008E2A2F" w:rsidRPr="00D6550C" w:rsidRDefault="008E2A2F" w:rsidP="008E2A2F">
            <w:pPr>
              <w:pStyle w:val="TableReference"/>
              <w:tabs>
                <w:tab w:val="left" w:pos="3306"/>
              </w:tabs>
              <w:rPr>
                <w:rFonts w:cs="Calibri"/>
                <w:b/>
                <w:color w:val="7030A0"/>
                <w:sz w:val="20"/>
                <w:szCs w:val="20"/>
              </w:rPr>
            </w:pPr>
          </w:p>
        </w:tc>
        <w:tc>
          <w:tcPr>
            <w:tcW w:w="4263" w:type="pct"/>
            <w:gridSpan w:val="3"/>
            <w:tcBorders>
              <w:top w:val="nil"/>
              <w:left w:val="single" w:sz="2" w:space="0" w:color="auto"/>
              <w:bottom w:val="nil"/>
              <w:right w:val="nil"/>
            </w:tcBorders>
          </w:tcPr>
          <w:p w14:paraId="1B33486F" w14:textId="274FC385" w:rsidR="008E2A2F" w:rsidRPr="00D6550C" w:rsidRDefault="008E2A2F" w:rsidP="00EB525E">
            <w:pPr>
              <w:pStyle w:val="Heading1"/>
              <w:numPr>
                <w:ilvl w:val="0"/>
                <w:numId w:val="0"/>
              </w:numPr>
              <w:spacing w:before="120" w:after="0"/>
              <w:rPr>
                <w:rFonts w:ascii="Calibri" w:hAnsi="Calibri"/>
                <w:b w:val="0"/>
                <w:bCs w:val="0"/>
                <w:i/>
                <w:iCs/>
                <w:caps w:val="0"/>
                <w:sz w:val="18"/>
                <w:szCs w:val="18"/>
              </w:rPr>
            </w:pPr>
            <w:bookmarkStart w:id="485" w:name="_Toc98763105"/>
            <w:r w:rsidRPr="00D6550C">
              <w:rPr>
                <w:rFonts w:ascii="Calibri" w:hAnsi="Calibri"/>
                <w:b w:val="0"/>
                <w:bCs w:val="0"/>
                <w:i/>
                <w:iCs/>
                <w:caps w:val="0"/>
                <w:sz w:val="18"/>
                <w:szCs w:val="18"/>
              </w:rPr>
              <w:t>Investments</w:t>
            </w:r>
            <w:bookmarkEnd w:id="485"/>
          </w:p>
        </w:tc>
      </w:tr>
      <w:tr w:rsidR="008E2A2F" w:rsidRPr="0003588E" w14:paraId="6ECE2353" w14:textId="77777777" w:rsidTr="005F5B4C">
        <w:trPr>
          <w:trHeight w:val="454"/>
        </w:trPr>
        <w:tc>
          <w:tcPr>
            <w:tcW w:w="737" w:type="pct"/>
            <w:tcBorders>
              <w:top w:val="nil"/>
              <w:left w:val="single" w:sz="2" w:space="0" w:color="auto"/>
              <w:bottom w:val="nil"/>
              <w:right w:val="single" w:sz="2" w:space="0" w:color="auto"/>
            </w:tcBorders>
          </w:tcPr>
          <w:p w14:paraId="44FC5378" w14:textId="77777777" w:rsidR="008E2A2F" w:rsidRPr="00D6550C" w:rsidRDefault="008E2A2F" w:rsidP="008E2A2F">
            <w:pPr>
              <w:pStyle w:val="TableReference"/>
              <w:tabs>
                <w:tab w:val="left" w:pos="3306"/>
              </w:tabs>
              <w:spacing w:before="40"/>
              <w:rPr>
                <w:rFonts w:cs="Calibri"/>
                <w:color w:val="7030A0"/>
                <w:sz w:val="14"/>
              </w:rPr>
            </w:pPr>
            <w:r w:rsidRPr="00D6550C">
              <w:rPr>
                <w:rFonts w:cs="Calibri"/>
                <w:color w:val="7030A0"/>
                <w:sz w:val="14"/>
              </w:rPr>
              <w:t>ACT Disclosure Policy</w:t>
            </w:r>
          </w:p>
          <w:p w14:paraId="1F1AF6BE" w14:textId="77777777" w:rsidR="008E2A2F" w:rsidRPr="00D6550C" w:rsidRDefault="008E2A2F" w:rsidP="008E2A2F">
            <w:pPr>
              <w:pStyle w:val="TableReference"/>
              <w:tabs>
                <w:tab w:val="left" w:pos="3306"/>
              </w:tabs>
              <w:spacing w:before="40"/>
              <w:rPr>
                <w:rFonts w:cs="Calibri"/>
                <w:color w:val="7030A0"/>
                <w:sz w:val="16"/>
                <w:szCs w:val="16"/>
              </w:rPr>
            </w:pPr>
          </w:p>
        </w:tc>
        <w:tc>
          <w:tcPr>
            <w:tcW w:w="4263" w:type="pct"/>
            <w:gridSpan w:val="3"/>
            <w:tcBorders>
              <w:top w:val="nil"/>
              <w:left w:val="single" w:sz="2" w:space="0" w:color="auto"/>
              <w:bottom w:val="nil"/>
              <w:right w:val="nil"/>
            </w:tcBorders>
          </w:tcPr>
          <w:p w14:paraId="35CF5A76" w14:textId="4D271361" w:rsidR="008E2A2F" w:rsidRPr="00D6550C" w:rsidRDefault="0021441D" w:rsidP="008E2A2F">
            <w:pPr>
              <w:pStyle w:val="CommentaryHeading"/>
              <w:tabs>
                <w:tab w:val="left" w:pos="3306"/>
              </w:tabs>
              <w:spacing w:before="0" w:after="120"/>
              <w:jc w:val="both"/>
              <w:rPr>
                <w:rFonts w:cs="Calibri"/>
                <w:b w:val="0"/>
                <w:bCs w:val="0"/>
                <w:sz w:val="18"/>
              </w:rPr>
            </w:pPr>
            <w:r w:rsidRPr="00D6550C">
              <w:rPr>
                <w:rFonts w:cs="Calibri"/>
                <w:b w:val="0"/>
                <w:bCs w:val="0"/>
                <w:sz w:val="18"/>
              </w:rPr>
              <w:t>I</w:t>
            </w:r>
            <w:r w:rsidR="00206FA1" w:rsidRPr="00D6550C">
              <w:rPr>
                <w:rFonts w:cs="Calibri"/>
                <w:b w:val="0"/>
                <w:bCs w:val="0"/>
                <w:sz w:val="18"/>
              </w:rPr>
              <w:t xml:space="preserve">nvestments </w:t>
            </w:r>
            <w:r w:rsidRPr="00D6550C">
              <w:rPr>
                <w:rFonts w:cs="Calibri"/>
                <w:b w:val="0"/>
                <w:bCs w:val="0"/>
                <w:sz w:val="18"/>
              </w:rPr>
              <w:t xml:space="preserve">by the Agency </w:t>
            </w:r>
            <w:r w:rsidR="00206FA1" w:rsidRPr="00D6550C">
              <w:rPr>
                <w:rFonts w:cs="Calibri"/>
                <w:b w:val="0"/>
                <w:bCs w:val="0"/>
                <w:sz w:val="18"/>
              </w:rPr>
              <w:t>are made in accordance with the Treasurer</w:t>
            </w:r>
            <w:r w:rsidR="00341C62" w:rsidRPr="00D6550C">
              <w:rPr>
                <w:rFonts w:cs="Calibri"/>
                <w:b w:val="0"/>
                <w:bCs w:val="0"/>
                <w:sz w:val="18"/>
              </w:rPr>
              <w:t>’s</w:t>
            </w:r>
            <w:r w:rsidR="00206FA1" w:rsidRPr="00D6550C">
              <w:rPr>
                <w:rFonts w:cs="Calibri"/>
                <w:b w:val="0"/>
                <w:bCs w:val="0"/>
                <w:sz w:val="18"/>
              </w:rPr>
              <w:t xml:space="preserve"> approved ‘Burley Griffin Agency’ </w:t>
            </w:r>
            <w:r w:rsidR="00341C62" w:rsidRPr="00D6550C">
              <w:rPr>
                <w:rFonts w:cs="Calibri"/>
                <w:b w:val="0"/>
                <w:bCs w:val="0"/>
                <w:sz w:val="18"/>
              </w:rPr>
              <w:t>I</w:t>
            </w:r>
            <w:r w:rsidR="008E2A2F" w:rsidRPr="00D6550C">
              <w:rPr>
                <w:rFonts w:cs="Calibri"/>
                <w:b w:val="0"/>
                <w:bCs w:val="0"/>
                <w:sz w:val="18"/>
              </w:rPr>
              <w:t xml:space="preserve">nvestment </w:t>
            </w:r>
            <w:r w:rsidR="00341C62" w:rsidRPr="00D6550C">
              <w:rPr>
                <w:rFonts w:cs="Calibri"/>
                <w:b w:val="0"/>
                <w:bCs w:val="0"/>
                <w:sz w:val="18"/>
              </w:rPr>
              <w:t>P</w:t>
            </w:r>
            <w:r w:rsidR="008E2A2F" w:rsidRPr="00D6550C">
              <w:rPr>
                <w:rFonts w:cs="Calibri"/>
                <w:b w:val="0"/>
                <w:bCs w:val="0"/>
                <w:sz w:val="18"/>
              </w:rPr>
              <w:t>lan.</w:t>
            </w:r>
            <w:r w:rsidR="00FA7C77">
              <w:rPr>
                <w:rFonts w:cs="Calibri"/>
                <w:b w:val="0"/>
                <w:bCs w:val="0"/>
                <w:sz w:val="18"/>
              </w:rPr>
              <w:t xml:space="preserve"> </w:t>
            </w:r>
            <w:r w:rsidR="008E2A2F" w:rsidRPr="00D6550C">
              <w:rPr>
                <w:rFonts w:cs="Calibri"/>
                <w:b w:val="0"/>
                <w:bCs w:val="0"/>
                <w:sz w:val="18"/>
              </w:rPr>
              <w:t xml:space="preserve">The </w:t>
            </w:r>
            <w:r w:rsidR="00341C62" w:rsidRPr="00D6550C">
              <w:rPr>
                <w:rFonts w:cs="Calibri"/>
                <w:b w:val="0"/>
                <w:bCs w:val="0"/>
                <w:sz w:val="18"/>
              </w:rPr>
              <w:t xml:space="preserve">investment </w:t>
            </w:r>
            <w:r w:rsidR="008E2A2F" w:rsidRPr="00D6550C">
              <w:rPr>
                <w:rFonts w:cs="Calibri"/>
                <w:b w:val="0"/>
                <w:bCs w:val="0"/>
                <w:sz w:val="18"/>
              </w:rPr>
              <w:t>plan outlines ‘</w:t>
            </w:r>
            <w:r w:rsidR="00920EA7" w:rsidRPr="00D6550C">
              <w:rPr>
                <w:rFonts w:cs="Calibri"/>
                <w:b w:val="0"/>
                <w:bCs w:val="0"/>
                <w:sz w:val="18"/>
              </w:rPr>
              <w:t>Burley Griffin</w:t>
            </w:r>
            <w:r w:rsidR="008E2A2F" w:rsidRPr="00D6550C">
              <w:rPr>
                <w:rFonts w:cs="Calibri"/>
                <w:b w:val="0"/>
                <w:bCs w:val="0"/>
                <w:sz w:val="18"/>
              </w:rPr>
              <w:t xml:space="preserve"> Agency’s’ investment strategy and objectives in relation to investing its funds with the Territory Banking Account.</w:t>
            </w:r>
            <w:r w:rsidR="00341C62" w:rsidRPr="00D6550C">
              <w:rPr>
                <w:rFonts w:cs="Calibri"/>
                <w:b w:val="0"/>
                <w:bCs w:val="0"/>
                <w:sz w:val="18"/>
              </w:rPr>
              <w:t xml:space="preserve"> The investment return objective for the ‘Burley Griffin Agency</w:t>
            </w:r>
            <w:r w:rsidR="00EC3632" w:rsidRPr="00D6550C">
              <w:rPr>
                <w:rFonts w:cs="Calibri"/>
                <w:b w:val="0"/>
                <w:bCs w:val="0"/>
                <w:sz w:val="18"/>
              </w:rPr>
              <w:t>’s</w:t>
            </w:r>
            <w:r w:rsidR="00341C62" w:rsidRPr="00D6550C">
              <w:rPr>
                <w:rFonts w:cs="Calibri"/>
                <w:b w:val="0"/>
                <w:bCs w:val="0"/>
                <w:sz w:val="18"/>
              </w:rPr>
              <w:t xml:space="preserve">’ financial investments is CPI + </w:t>
            </w:r>
            <w:r w:rsidR="00341C62" w:rsidRPr="00D6550C">
              <w:rPr>
                <w:rFonts w:cs="Calibri"/>
                <w:b w:val="0"/>
                <w:bCs w:val="0"/>
                <w:color w:val="C45911" w:themeColor="accent2" w:themeShade="BF"/>
                <w:sz w:val="18"/>
              </w:rPr>
              <w:t>&lt;xx</w:t>
            </w:r>
            <w:r w:rsidR="00E911C4" w:rsidRPr="00D6550C">
              <w:rPr>
                <w:rFonts w:cs="Calibri"/>
                <w:b w:val="0"/>
                <w:bCs w:val="0"/>
                <w:color w:val="C45911" w:themeColor="accent2" w:themeShade="BF"/>
                <w:sz w:val="18"/>
              </w:rPr>
              <w:t>%</w:t>
            </w:r>
            <w:r w:rsidR="00341C62" w:rsidRPr="00D6550C">
              <w:rPr>
                <w:rFonts w:cs="Calibri"/>
                <w:b w:val="0"/>
                <w:bCs w:val="0"/>
                <w:color w:val="C45911" w:themeColor="accent2" w:themeShade="BF"/>
                <w:sz w:val="18"/>
              </w:rPr>
              <w:t xml:space="preserve">&gt; </w:t>
            </w:r>
            <w:r w:rsidR="00341C62" w:rsidRPr="00D6550C">
              <w:rPr>
                <w:rFonts w:cs="Calibri"/>
                <w:b w:val="0"/>
                <w:bCs w:val="0"/>
                <w:sz w:val="18"/>
              </w:rPr>
              <w:t>per annum.</w:t>
            </w:r>
          </w:p>
        </w:tc>
      </w:tr>
      <w:tr w:rsidR="00341C62" w:rsidRPr="0003588E" w14:paraId="36EF8EE2" w14:textId="77777777" w:rsidTr="005F5B4C">
        <w:trPr>
          <w:trHeight w:val="454"/>
        </w:trPr>
        <w:tc>
          <w:tcPr>
            <w:tcW w:w="737" w:type="pct"/>
            <w:tcBorders>
              <w:top w:val="nil"/>
              <w:left w:val="single" w:sz="2" w:space="0" w:color="auto"/>
              <w:bottom w:val="nil"/>
              <w:right w:val="single" w:sz="2" w:space="0" w:color="auto"/>
            </w:tcBorders>
          </w:tcPr>
          <w:p w14:paraId="467BC840" w14:textId="77777777" w:rsidR="00341C62" w:rsidRPr="00D6550C" w:rsidRDefault="00341C62" w:rsidP="008E2A2F">
            <w:pPr>
              <w:pStyle w:val="TableReference"/>
              <w:tabs>
                <w:tab w:val="left" w:pos="3306"/>
              </w:tabs>
              <w:spacing w:before="40"/>
              <w:rPr>
                <w:rFonts w:cs="Calibri"/>
                <w:color w:val="7030A0"/>
                <w:sz w:val="14"/>
              </w:rPr>
            </w:pPr>
          </w:p>
        </w:tc>
        <w:tc>
          <w:tcPr>
            <w:tcW w:w="4263" w:type="pct"/>
            <w:gridSpan w:val="3"/>
            <w:tcBorders>
              <w:top w:val="nil"/>
              <w:left w:val="single" w:sz="2" w:space="0" w:color="auto"/>
              <w:bottom w:val="nil"/>
              <w:right w:val="nil"/>
            </w:tcBorders>
          </w:tcPr>
          <w:p w14:paraId="15BE0C6E" w14:textId="22607117" w:rsidR="00341C62" w:rsidRPr="00D6550C" w:rsidRDefault="00341C62" w:rsidP="00D770AF">
            <w:pPr>
              <w:spacing w:after="120"/>
              <w:jc w:val="both"/>
              <w:rPr>
                <w:rFonts w:cs="Calibri"/>
                <w:sz w:val="18"/>
                <w:szCs w:val="18"/>
              </w:rPr>
            </w:pPr>
            <w:r w:rsidRPr="00D6550C">
              <w:rPr>
                <w:rFonts w:cs="Calibri"/>
                <w:sz w:val="18"/>
                <w:szCs w:val="18"/>
              </w:rPr>
              <w:t>‘Burley Griffin Agency’ makes investments with the Territory Banking Account by acquiring units in the Territory Banking Account's financial investments portfolio.</w:t>
            </w:r>
            <w:r w:rsidR="00FA7C77">
              <w:rPr>
                <w:rFonts w:cs="Calibri"/>
                <w:sz w:val="18"/>
                <w:szCs w:val="18"/>
              </w:rPr>
              <w:t xml:space="preserve"> </w:t>
            </w:r>
            <w:r w:rsidR="00EC3632" w:rsidRPr="00D6550C">
              <w:rPr>
                <w:rFonts w:cs="Calibri"/>
                <w:sz w:val="18"/>
                <w:szCs w:val="18"/>
              </w:rPr>
              <w:t>T</w:t>
            </w:r>
            <w:r w:rsidRPr="00D6550C">
              <w:rPr>
                <w:rFonts w:cs="Calibri"/>
                <w:sz w:val="18"/>
                <w:szCs w:val="18"/>
              </w:rPr>
              <w:t>he unit value changes in response to the underlying market value of the financial investments</w:t>
            </w:r>
            <w:r w:rsidR="00EC3632" w:rsidRPr="00D6550C">
              <w:rPr>
                <w:rFonts w:cs="Calibri"/>
                <w:sz w:val="18"/>
                <w:szCs w:val="18"/>
              </w:rPr>
              <w:t xml:space="preserve"> held by the Territory Banking Account</w:t>
            </w:r>
            <w:r w:rsidRPr="00D6550C">
              <w:rPr>
                <w:rFonts w:cs="Calibri"/>
                <w:sz w:val="18"/>
                <w:szCs w:val="18"/>
              </w:rPr>
              <w:t>.</w:t>
            </w:r>
            <w:r w:rsidR="00FA7C77">
              <w:rPr>
                <w:rFonts w:cs="Calibri"/>
                <w:sz w:val="18"/>
                <w:szCs w:val="18"/>
              </w:rPr>
              <w:t xml:space="preserve"> </w:t>
            </w:r>
            <w:r w:rsidRPr="00D6550C">
              <w:rPr>
                <w:rFonts w:cs="Calibri"/>
                <w:sz w:val="18"/>
                <w:szCs w:val="18"/>
              </w:rPr>
              <w:t>All unitised investments are designated at Fair Value through Profit or Loss with the carrying amount measured at fair value.</w:t>
            </w:r>
          </w:p>
        </w:tc>
      </w:tr>
      <w:tr w:rsidR="00653ECA" w:rsidRPr="0003588E" w14:paraId="0B95B37E" w14:textId="77777777" w:rsidTr="005F5B4C">
        <w:trPr>
          <w:trHeight w:val="454"/>
        </w:trPr>
        <w:tc>
          <w:tcPr>
            <w:tcW w:w="737" w:type="pct"/>
            <w:tcBorders>
              <w:top w:val="nil"/>
              <w:left w:val="single" w:sz="2" w:space="0" w:color="auto"/>
              <w:bottom w:val="nil"/>
              <w:right w:val="single" w:sz="2" w:space="0" w:color="auto"/>
            </w:tcBorders>
          </w:tcPr>
          <w:p w14:paraId="3E8EB161" w14:textId="77777777" w:rsidR="00653ECA" w:rsidRPr="00D6550C" w:rsidRDefault="00653ECA" w:rsidP="008E2A2F">
            <w:pPr>
              <w:pStyle w:val="TableReference"/>
              <w:tabs>
                <w:tab w:val="left" w:pos="3306"/>
              </w:tabs>
              <w:spacing w:before="40"/>
              <w:rPr>
                <w:rFonts w:cs="Calibri"/>
                <w:color w:val="7030A0"/>
                <w:sz w:val="14"/>
              </w:rPr>
            </w:pPr>
          </w:p>
        </w:tc>
        <w:tc>
          <w:tcPr>
            <w:tcW w:w="4263" w:type="pct"/>
            <w:gridSpan w:val="3"/>
            <w:tcBorders>
              <w:top w:val="nil"/>
              <w:left w:val="single" w:sz="2" w:space="0" w:color="auto"/>
              <w:bottom w:val="nil"/>
              <w:right w:val="nil"/>
            </w:tcBorders>
          </w:tcPr>
          <w:p w14:paraId="0337B7E0" w14:textId="31B24D60" w:rsidR="00653ECA" w:rsidRPr="00D6550C" w:rsidRDefault="00653ECA" w:rsidP="000C2491">
            <w:pPr>
              <w:spacing w:after="120"/>
              <w:jc w:val="both"/>
              <w:rPr>
                <w:rFonts w:cs="Calibri"/>
                <w:sz w:val="18"/>
                <w:szCs w:val="18"/>
              </w:rPr>
            </w:pPr>
            <w:r w:rsidRPr="00D6550C">
              <w:rPr>
                <w:rFonts w:cs="Calibri"/>
                <w:sz w:val="18"/>
                <w:szCs w:val="18"/>
              </w:rPr>
              <w:t xml:space="preserve">Fair value is the price that would be received to sell </w:t>
            </w:r>
            <w:r w:rsidR="00EC3632" w:rsidRPr="00D6550C">
              <w:rPr>
                <w:rFonts w:cs="Calibri"/>
                <w:sz w:val="18"/>
                <w:szCs w:val="18"/>
              </w:rPr>
              <w:t>the units</w:t>
            </w:r>
            <w:r w:rsidRPr="00D6550C">
              <w:rPr>
                <w:rFonts w:cs="Calibri"/>
                <w:sz w:val="18"/>
                <w:szCs w:val="18"/>
              </w:rPr>
              <w:t xml:space="preserve"> in an orderly transaction between market participants at the measurement date and reflects the best available prices of the underlying financial investments. Subsequent to initial measurement, investments are re-measured to fair value with changes in their fair value (gains/loss) recognised in the</w:t>
            </w:r>
            <w:r w:rsidRPr="00D6550C">
              <w:rPr>
                <w:rFonts w:cs="Calibri"/>
                <w:sz w:val="18"/>
              </w:rPr>
              <w:t xml:space="preserve"> Operating Statement</w:t>
            </w:r>
            <w:r w:rsidR="004F2BEE" w:rsidRPr="00D6550C">
              <w:rPr>
                <w:rFonts w:cs="Calibri"/>
                <w:sz w:val="18"/>
              </w:rPr>
              <w:t xml:space="preserve"> </w:t>
            </w:r>
            <w:r w:rsidR="004F2BEE" w:rsidRPr="00D6550C">
              <w:rPr>
                <w:rFonts w:cs="Calibri"/>
                <w:sz w:val="18"/>
                <w:szCs w:val="18"/>
              </w:rPr>
              <w:t xml:space="preserve">(see Model Financial Statements - Note 8 </w:t>
            </w:r>
            <w:r w:rsidR="004F2BEE" w:rsidRPr="00D6550C">
              <w:rPr>
                <w:rFonts w:cs="Calibri"/>
                <w:i/>
                <w:iCs/>
                <w:snapToGrid w:val="0"/>
                <w:sz w:val="18"/>
                <w:szCs w:val="18"/>
              </w:rPr>
              <w:t xml:space="preserve">Gains from Disposals, </w:t>
            </w:r>
            <w:r w:rsidR="00FF0A0E" w:rsidRPr="00D6550C">
              <w:rPr>
                <w:rFonts w:cs="Calibri"/>
                <w:i/>
                <w:iCs/>
                <w:snapToGrid w:val="0"/>
                <w:sz w:val="18"/>
                <w:szCs w:val="18"/>
              </w:rPr>
              <w:t>Derecognition</w:t>
            </w:r>
            <w:r w:rsidR="004F2BEE" w:rsidRPr="00D6550C">
              <w:rPr>
                <w:rFonts w:cs="Calibri"/>
                <w:i/>
                <w:iCs/>
                <w:snapToGrid w:val="0"/>
                <w:sz w:val="18"/>
                <w:szCs w:val="18"/>
              </w:rPr>
              <w:t xml:space="preserve"> and Remeasurement of Assets</w:t>
            </w:r>
            <w:r w:rsidR="004F2BEE" w:rsidRPr="00D6550C">
              <w:rPr>
                <w:rFonts w:cs="Calibri"/>
                <w:sz w:val="18"/>
                <w:szCs w:val="18"/>
              </w:rPr>
              <w:t xml:space="preserve"> or and Note 14 </w:t>
            </w:r>
            <w:r w:rsidR="004F2BEE" w:rsidRPr="00D6550C">
              <w:rPr>
                <w:rFonts w:cs="Calibri"/>
                <w:i/>
                <w:iCs/>
                <w:sz w:val="18"/>
                <w:szCs w:val="18"/>
              </w:rPr>
              <w:t>Other Expenses</w:t>
            </w:r>
            <w:r w:rsidR="004F2BEE" w:rsidRPr="00D6550C">
              <w:rPr>
                <w:rFonts w:cs="Calibri"/>
                <w:sz w:val="18"/>
                <w:szCs w:val="18"/>
              </w:rPr>
              <w:t>).</w:t>
            </w:r>
            <w:r w:rsidRPr="00D6550C">
              <w:rPr>
                <w:rFonts w:cs="Calibri"/>
                <w:sz w:val="18"/>
                <w:szCs w:val="18"/>
              </w:rPr>
              <w:t xml:space="preserve"> Distributions earned on these investments are </w:t>
            </w:r>
            <w:r w:rsidRPr="00D6550C">
              <w:rPr>
                <w:rFonts w:cs="Calibri"/>
                <w:sz w:val="18"/>
              </w:rPr>
              <w:t xml:space="preserve">disclosed in Note 7 </w:t>
            </w:r>
            <w:r w:rsidRPr="00D6550C">
              <w:rPr>
                <w:rFonts w:cs="Calibri"/>
                <w:i/>
                <w:iCs/>
                <w:sz w:val="18"/>
              </w:rPr>
              <w:t xml:space="preserve">Investment </w:t>
            </w:r>
            <w:r w:rsidR="003879D7">
              <w:rPr>
                <w:rFonts w:cs="Calibri"/>
                <w:i/>
                <w:iCs/>
                <w:sz w:val="18"/>
              </w:rPr>
              <w:t xml:space="preserve">and Interest </w:t>
            </w:r>
            <w:r w:rsidRPr="00D6550C">
              <w:rPr>
                <w:rFonts w:cs="Calibri"/>
                <w:i/>
                <w:iCs/>
                <w:sz w:val="18"/>
              </w:rPr>
              <w:t>Revenue</w:t>
            </w:r>
            <w:r w:rsidRPr="00D6550C">
              <w:rPr>
                <w:rFonts w:cs="Calibri"/>
                <w:sz w:val="18"/>
                <w:szCs w:val="18"/>
              </w:rPr>
              <w:t>.</w:t>
            </w:r>
          </w:p>
        </w:tc>
      </w:tr>
      <w:tr w:rsidR="008E2A2F" w:rsidRPr="0003588E" w14:paraId="330341D0" w14:textId="77777777" w:rsidTr="005F5B4C">
        <w:trPr>
          <w:trHeight w:val="454"/>
        </w:trPr>
        <w:tc>
          <w:tcPr>
            <w:tcW w:w="737" w:type="pct"/>
            <w:tcBorders>
              <w:top w:val="nil"/>
              <w:left w:val="single" w:sz="2" w:space="0" w:color="auto"/>
              <w:bottom w:val="nil"/>
              <w:right w:val="single" w:sz="2" w:space="0" w:color="auto"/>
            </w:tcBorders>
          </w:tcPr>
          <w:p w14:paraId="50489F5F" w14:textId="77777777" w:rsidR="008E2A2F" w:rsidRPr="00D6550C" w:rsidRDefault="008E2A2F" w:rsidP="008E2A2F">
            <w:pPr>
              <w:pStyle w:val="TableReference"/>
              <w:tabs>
                <w:tab w:val="left" w:pos="3306"/>
              </w:tabs>
              <w:spacing w:before="60"/>
              <w:rPr>
                <w:color w:val="7030A0"/>
                <w:sz w:val="14"/>
              </w:rPr>
            </w:pPr>
            <w:r w:rsidRPr="00D6550C">
              <w:rPr>
                <w:color w:val="7030A0"/>
                <w:sz w:val="14"/>
              </w:rPr>
              <w:t xml:space="preserve">AASB 7.21, </w:t>
            </w:r>
          </w:p>
          <w:p w14:paraId="24A3934A" w14:textId="6A988853" w:rsidR="008E2A2F" w:rsidRPr="00EB525E" w:rsidRDefault="008E2A2F" w:rsidP="00EB525E">
            <w:pPr>
              <w:pStyle w:val="TableReference"/>
              <w:tabs>
                <w:tab w:val="left" w:pos="3306"/>
              </w:tabs>
              <w:spacing w:before="60"/>
              <w:rPr>
                <w:color w:val="7030A0"/>
                <w:sz w:val="14"/>
              </w:rPr>
            </w:pPr>
            <w:r w:rsidRPr="00D6550C">
              <w:rPr>
                <w:color w:val="7030A0"/>
                <w:sz w:val="14"/>
              </w:rPr>
              <w:t>AASB 7.B5(e</w:t>
            </w:r>
          </w:p>
        </w:tc>
        <w:tc>
          <w:tcPr>
            <w:tcW w:w="4263" w:type="pct"/>
            <w:gridSpan w:val="3"/>
            <w:tcBorders>
              <w:top w:val="nil"/>
              <w:left w:val="single" w:sz="2" w:space="0" w:color="auto"/>
              <w:bottom w:val="nil"/>
              <w:right w:val="nil"/>
            </w:tcBorders>
          </w:tcPr>
          <w:p w14:paraId="3256478A" w14:textId="370CDDEE" w:rsidR="008E2A2F" w:rsidRPr="00D6550C" w:rsidRDefault="008E2A2F" w:rsidP="00EB525E">
            <w:pPr>
              <w:pStyle w:val="CommentaryHeading"/>
              <w:tabs>
                <w:tab w:val="left" w:pos="3306"/>
              </w:tabs>
              <w:spacing w:before="0" w:after="120"/>
              <w:jc w:val="both"/>
              <w:rPr>
                <w:rFonts w:cs="Calibri"/>
                <w:b w:val="0"/>
                <w:bCs w:val="0"/>
                <w:sz w:val="18"/>
              </w:rPr>
            </w:pPr>
            <w:r w:rsidRPr="00D6550C">
              <w:rPr>
                <w:rFonts w:cs="Calibri"/>
                <w:b w:val="0"/>
                <w:bCs w:val="0"/>
                <w:sz w:val="18"/>
              </w:rPr>
              <w:t>The investments that are not expected to be realised, sold or consumed in the normal operating cycle are classified as non-current investments with the Territory Banking Account.</w:t>
            </w:r>
          </w:p>
        </w:tc>
      </w:tr>
      <w:tr w:rsidR="00AE70BA" w:rsidRPr="0003588E" w14:paraId="41CF5949" w14:textId="77777777" w:rsidTr="005F5B4C">
        <w:trPr>
          <w:trHeight w:val="272"/>
        </w:trPr>
        <w:tc>
          <w:tcPr>
            <w:tcW w:w="737" w:type="pct"/>
            <w:tcBorders>
              <w:top w:val="nil"/>
              <w:left w:val="single" w:sz="2" w:space="0" w:color="auto"/>
              <w:bottom w:val="nil"/>
              <w:right w:val="single" w:sz="2" w:space="0" w:color="auto"/>
            </w:tcBorders>
          </w:tcPr>
          <w:p w14:paraId="6341A56B" w14:textId="47259515" w:rsidR="00AE70BA" w:rsidRPr="00D6550C" w:rsidRDefault="00EB525E" w:rsidP="00EB525E">
            <w:pPr>
              <w:pStyle w:val="TableReference"/>
              <w:tabs>
                <w:tab w:val="left" w:pos="3306"/>
              </w:tabs>
              <w:rPr>
                <w:color w:val="7030A0"/>
                <w:sz w:val="14"/>
              </w:rPr>
            </w:pPr>
            <w:r w:rsidRPr="00D6550C">
              <w:rPr>
                <w:color w:val="7030A0"/>
                <w:sz w:val="14"/>
              </w:rPr>
              <w:t>AASB 13.91</w:t>
            </w:r>
          </w:p>
        </w:tc>
        <w:tc>
          <w:tcPr>
            <w:tcW w:w="4263" w:type="pct"/>
            <w:gridSpan w:val="3"/>
            <w:tcBorders>
              <w:top w:val="nil"/>
              <w:left w:val="single" w:sz="2" w:space="0" w:color="auto"/>
              <w:bottom w:val="nil"/>
              <w:right w:val="nil"/>
            </w:tcBorders>
          </w:tcPr>
          <w:p w14:paraId="6873E970" w14:textId="74CCB3E7" w:rsidR="00AE70BA" w:rsidRPr="00D6550C" w:rsidRDefault="00AE70BA" w:rsidP="00AE70BA">
            <w:pPr>
              <w:pStyle w:val="TableText"/>
              <w:spacing w:before="0"/>
              <w:jc w:val="both"/>
              <w:rPr>
                <w:rFonts w:cs="Calibri"/>
                <w:b/>
                <w:bCs/>
              </w:rPr>
            </w:pPr>
            <w:r w:rsidRPr="00D6550C">
              <w:rPr>
                <w:rFonts w:cs="Calibri"/>
                <w:b/>
                <w:bCs/>
              </w:rPr>
              <w:t>(a) Cash and Investment Balances</w:t>
            </w:r>
          </w:p>
        </w:tc>
      </w:tr>
      <w:tr w:rsidR="008E2A2F" w:rsidRPr="00DD296A" w14:paraId="65586149" w14:textId="77777777" w:rsidTr="005F5B4C">
        <w:trPr>
          <w:trHeight w:val="23"/>
        </w:trPr>
        <w:tc>
          <w:tcPr>
            <w:tcW w:w="737" w:type="pct"/>
            <w:tcBorders>
              <w:top w:val="nil"/>
              <w:left w:val="single" w:sz="2" w:space="0" w:color="auto"/>
              <w:bottom w:val="nil"/>
              <w:right w:val="single" w:sz="2" w:space="0" w:color="auto"/>
            </w:tcBorders>
          </w:tcPr>
          <w:p w14:paraId="752E2BC6" w14:textId="77777777" w:rsidR="008E2A2F" w:rsidRPr="00D6550C" w:rsidRDefault="008E2A2F" w:rsidP="008E2A2F">
            <w:pPr>
              <w:pStyle w:val="TableReference"/>
              <w:tabs>
                <w:tab w:val="left" w:pos="3306"/>
              </w:tabs>
              <w:spacing w:before="40"/>
              <w:rPr>
                <w:rFonts w:cs="Calibri"/>
                <w:color w:val="7030A0"/>
                <w:sz w:val="16"/>
                <w:szCs w:val="16"/>
              </w:rPr>
            </w:pPr>
          </w:p>
        </w:tc>
        <w:tc>
          <w:tcPr>
            <w:tcW w:w="2947" w:type="pct"/>
            <w:tcBorders>
              <w:top w:val="nil"/>
              <w:left w:val="single" w:sz="2" w:space="0" w:color="auto"/>
              <w:bottom w:val="nil"/>
              <w:right w:val="nil"/>
            </w:tcBorders>
            <w:vAlign w:val="bottom"/>
          </w:tcPr>
          <w:p w14:paraId="07523841" w14:textId="77777777" w:rsidR="008E2A2F" w:rsidRPr="00D6550C" w:rsidRDefault="008E2A2F" w:rsidP="008E2A2F">
            <w:pPr>
              <w:pStyle w:val="TableText"/>
              <w:tabs>
                <w:tab w:val="left" w:pos="3306"/>
              </w:tabs>
              <w:rPr>
                <w:rFonts w:cs="Calibri"/>
                <w:b/>
                <w:bCs/>
              </w:rPr>
            </w:pPr>
          </w:p>
        </w:tc>
        <w:tc>
          <w:tcPr>
            <w:tcW w:w="577" w:type="pct"/>
            <w:tcBorders>
              <w:top w:val="nil"/>
              <w:left w:val="nil"/>
              <w:bottom w:val="nil"/>
              <w:right w:val="nil"/>
            </w:tcBorders>
            <w:vAlign w:val="bottom"/>
          </w:tcPr>
          <w:p w14:paraId="7844C9AF" w14:textId="0A5CC9B1" w:rsidR="008E2A2F" w:rsidRPr="00D6550C" w:rsidRDefault="008E2A2F" w:rsidP="008E2A2F">
            <w:pPr>
              <w:pStyle w:val="TableText"/>
              <w:tabs>
                <w:tab w:val="left" w:pos="3306"/>
              </w:tabs>
              <w:jc w:val="right"/>
              <w:rPr>
                <w:rFonts w:cs="Calibri"/>
                <w:b/>
                <w:bCs/>
              </w:rPr>
            </w:pPr>
            <w:r w:rsidRPr="00D6550C">
              <w:rPr>
                <w:rFonts w:cs="Calibri"/>
                <w:b/>
                <w:bCs/>
              </w:rPr>
              <w:t>2022</w:t>
            </w:r>
          </w:p>
          <w:p w14:paraId="01FA47FF" w14:textId="77777777" w:rsidR="008E2A2F" w:rsidRPr="00D6550C" w:rsidRDefault="008E2A2F" w:rsidP="008E2A2F">
            <w:pPr>
              <w:pStyle w:val="TableText"/>
              <w:tabs>
                <w:tab w:val="left" w:pos="3306"/>
              </w:tabs>
              <w:jc w:val="right"/>
              <w:rPr>
                <w:rFonts w:cs="Calibri"/>
                <w:b/>
                <w:bCs/>
              </w:rPr>
            </w:pPr>
            <w:r w:rsidRPr="00D6550C">
              <w:rPr>
                <w:rFonts w:cs="Calibri"/>
                <w:b/>
                <w:bCs/>
              </w:rPr>
              <w:t>$’000</w:t>
            </w:r>
          </w:p>
        </w:tc>
        <w:tc>
          <w:tcPr>
            <w:tcW w:w="739" w:type="pct"/>
            <w:tcBorders>
              <w:top w:val="nil"/>
              <w:left w:val="nil"/>
              <w:bottom w:val="nil"/>
              <w:right w:val="nil"/>
            </w:tcBorders>
            <w:vAlign w:val="bottom"/>
          </w:tcPr>
          <w:p w14:paraId="79A8BA34" w14:textId="3080AA43" w:rsidR="008E2A2F" w:rsidRPr="00D6550C" w:rsidRDefault="008E2A2F" w:rsidP="008E2A2F">
            <w:pPr>
              <w:pStyle w:val="TableTitle"/>
              <w:tabs>
                <w:tab w:val="left" w:pos="3306"/>
              </w:tabs>
              <w:rPr>
                <w:rFonts w:cs="Calibri"/>
              </w:rPr>
            </w:pPr>
            <w:r w:rsidRPr="00D6550C">
              <w:rPr>
                <w:rFonts w:cs="Calibri"/>
              </w:rPr>
              <w:t>2021</w:t>
            </w:r>
          </w:p>
          <w:p w14:paraId="58FC626A" w14:textId="77777777" w:rsidR="008E2A2F" w:rsidRPr="00D6550C" w:rsidRDefault="008E2A2F" w:rsidP="008E2A2F">
            <w:pPr>
              <w:pStyle w:val="TableText"/>
              <w:tabs>
                <w:tab w:val="left" w:pos="3306"/>
              </w:tabs>
              <w:jc w:val="right"/>
              <w:rPr>
                <w:rFonts w:cs="Calibri"/>
                <w:b/>
                <w:bCs/>
              </w:rPr>
            </w:pPr>
            <w:r w:rsidRPr="00D6550C">
              <w:rPr>
                <w:rFonts w:cs="Calibri"/>
                <w:b/>
                <w:bCs/>
              </w:rPr>
              <w:t>$’000</w:t>
            </w:r>
          </w:p>
        </w:tc>
      </w:tr>
      <w:tr w:rsidR="008E2A2F" w:rsidRPr="00DD296A" w14:paraId="235D69BE" w14:textId="77777777" w:rsidTr="005F5B4C">
        <w:trPr>
          <w:trHeight w:val="23"/>
        </w:trPr>
        <w:tc>
          <w:tcPr>
            <w:tcW w:w="737" w:type="pct"/>
            <w:tcBorders>
              <w:top w:val="nil"/>
              <w:left w:val="single" w:sz="2" w:space="0" w:color="auto"/>
              <w:bottom w:val="nil"/>
              <w:right w:val="single" w:sz="2" w:space="0" w:color="auto"/>
            </w:tcBorders>
          </w:tcPr>
          <w:p w14:paraId="0A991320" w14:textId="77777777" w:rsidR="008E2A2F" w:rsidRPr="00D6550C" w:rsidRDefault="008E2A2F" w:rsidP="008E2A2F">
            <w:pPr>
              <w:pStyle w:val="TableReference"/>
              <w:tabs>
                <w:tab w:val="left" w:pos="3306"/>
              </w:tabs>
              <w:rPr>
                <w:rFonts w:cs="Calibri"/>
                <w:color w:val="7030A0"/>
                <w:sz w:val="16"/>
                <w:szCs w:val="16"/>
              </w:rPr>
            </w:pPr>
          </w:p>
        </w:tc>
        <w:tc>
          <w:tcPr>
            <w:tcW w:w="2947" w:type="pct"/>
            <w:tcBorders>
              <w:top w:val="nil"/>
              <w:left w:val="single" w:sz="2" w:space="0" w:color="auto"/>
              <w:bottom w:val="nil"/>
              <w:right w:val="nil"/>
            </w:tcBorders>
            <w:vAlign w:val="bottom"/>
          </w:tcPr>
          <w:p w14:paraId="2D7F71CA" w14:textId="3888474E" w:rsidR="008E2A2F" w:rsidRPr="00D6550C" w:rsidRDefault="008E2A2F" w:rsidP="008E2A2F">
            <w:pPr>
              <w:pStyle w:val="TableText"/>
              <w:tabs>
                <w:tab w:val="left" w:pos="3306"/>
              </w:tabs>
              <w:spacing w:before="0"/>
              <w:rPr>
                <w:rFonts w:cs="Calibri"/>
              </w:rPr>
            </w:pPr>
            <w:r w:rsidRPr="00D6550C">
              <w:rPr>
                <w:rFonts w:cs="Calibri"/>
                <w:b/>
                <w:bCs/>
              </w:rPr>
              <w:t>Current Cash and Investments</w:t>
            </w:r>
          </w:p>
        </w:tc>
        <w:tc>
          <w:tcPr>
            <w:tcW w:w="577" w:type="pct"/>
            <w:tcBorders>
              <w:top w:val="nil"/>
              <w:left w:val="nil"/>
              <w:bottom w:val="nil"/>
              <w:right w:val="nil"/>
            </w:tcBorders>
            <w:vAlign w:val="bottom"/>
          </w:tcPr>
          <w:p w14:paraId="0D3D30F2" w14:textId="77777777" w:rsidR="008E2A2F" w:rsidRPr="00D6550C" w:rsidRDefault="008E2A2F" w:rsidP="008E2A2F">
            <w:pPr>
              <w:pStyle w:val="TableText"/>
              <w:tabs>
                <w:tab w:val="left" w:pos="3306"/>
              </w:tabs>
              <w:spacing w:before="0"/>
              <w:jc w:val="right"/>
              <w:rPr>
                <w:rFonts w:cs="Calibri"/>
              </w:rPr>
            </w:pPr>
          </w:p>
        </w:tc>
        <w:tc>
          <w:tcPr>
            <w:tcW w:w="739" w:type="pct"/>
            <w:tcBorders>
              <w:top w:val="nil"/>
              <w:left w:val="nil"/>
              <w:bottom w:val="nil"/>
              <w:right w:val="nil"/>
            </w:tcBorders>
            <w:vAlign w:val="bottom"/>
          </w:tcPr>
          <w:p w14:paraId="7F8B703A" w14:textId="77777777" w:rsidR="008E2A2F" w:rsidRPr="00D6550C" w:rsidRDefault="008E2A2F" w:rsidP="008E2A2F">
            <w:pPr>
              <w:pStyle w:val="TableText"/>
              <w:tabs>
                <w:tab w:val="left" w:pos="3306"/>
              </w:tabs>
              <w:spacing w:before="0"/>
              <w:jc w:val="right"/>
              <w:rPr>
                <w:rFonts w:cs="Calibri"/>
              </w:rPr>
            </w:pPr>
          </w:p>
        </w:tc>
      </w:tr>
      <w:tr w:rsidR="008E2A2F" w:rsidRPr="00DD296A" w14:paraId="5DC54ED7" w14:textId="77777777" w:rsidTr="005F5B4C">
        <w:trPr>
          <w:trHeight w:val="23"/>
        </w:trPr>
        <w:tc>
          <w:tcPr>
            <w:tcW w:w="737" w:type="pct"/>
            <w:tcBorders>
              <w:top w:val="nil"/>
              <w:left w:val="single" w:sz="2" w:space="0" w:color="auto"/>
              <w:bottom w:val="nil"/>
              <w:right w:val="single" w:sz="2" w:space="0" w:color="auto"/>
            </w:tcBorders>
          </w:tcPr>
          <w:p w14:paraId="3F55558A" w14:textId="213B4E68" w:rsidR="008E2A2F" w:rsidRPr="00D6550C" w:rsidRDefault="008E2A2F" w:rsidP="008E2A2F">
            <w:pPr>
              <w:pStyle w:val="TableReference"/>
              <w:tabs>
                <w:tab w:val="left" w:pos="3306"/>
              </w:tabs>
              <w:rPr>
                <w:rFonts w:cs="Calibri"/>
                <w:color w:val="7030A0"/>
                <w:sz w:val="16"/>
                <w:szCs w:val="16"/>
              </w:rPr>
            </w:pPr>
            <w:r w:rsidRPr="00D6550C">
              <w:rPr>
                <w:rFonts w:cs="Calibri"/>
                <w:color w:val="7030A0"/>
                <w:sz w:val="14"/>
              </w:rPr>
              <w:t>AASB 107.45</w:t>
            </w:r>
          </w:p>
        </w:tc>
        <w:tc>
          <w:tcPr>
            <w:tcW w:w="2947" w:type="pct"/>
            <w:tcBorders>
              <w:top w:val="nil"/>
              <w:left w:val="single" w:sz="2" w:space="0" w:color="auto"/>
              <w:bottom w:val="nil"/>
              <w:right w:val="nil"/>
            </w:tcBorders>
            <w:vAlign w:val="bottom"/>
          </w:tcPr>
          <w:p w14:paraId="47BF685F" w14:textId="071011DF" w:rsidR="008E2A2F" w:rsidRPr="00D6550C" w:rsidRDefault="00A56E8F" w:rsidP="008E2A2F">
            <w:pPr>
              <w:pStyle w:val="TableText"/>
              <w:tabs>
                <w:tab w:val="left" w:pos="3306"/>
              </w:tabs>
              <w:spacing w:before="0"/>
              <w:rPr>
                <w:rFonts w:cs="Calibri"/>
                <w:b/>
                <w:bCs/>
              </w:rPr>
            </w:pPr>
            <w:r w:rsidRPr="00D6550C">
              <w:t>Deposits Held at Call with a Financial Institution</w:t>
            </w:r>
            <w:r w:rsidR="008E2A2F" w:rsidRPr="00D6550C">
              <w:rPr>
                <w:rFonts w:cs="Calibri"/>
              </w:rPr>
              <w:t xml:space="preserve"> </w:t>
            </w:r>
            <w:r w:rsidR="008E2A2F" w:rsidRPr="00D6550C">
              <w:rPr>
                <w:rFonts w:cs="Calibri"/>
                <w:vertAlign w:val="superscript"/>
              </w:rPr>
              <w:t>a</w:t>
            </w:r>
          </w:p>
        </w:tc>
        <w:tc>
          <w:tcPr>
            <w:tcW w:w="577" w:type="pct"/>
            <w:tcBorders>
              <w:top w:val="nil"/>
              <w:left w:val="nil"/>
              <w:bottom w:val="nil"/>
              <w:right w:val="nil"/>
            </w:tcBorders>
            <w:vAlign w:val="bottom"/>
          </w:tcPr>
          <w:p w14:paraId="1513EB2B" w14:textId="77777777" w:rsidR="008E2A2F" w:rsidRPr="00D6550C" w:rsidRDefault="008E2A2F" w:rsidP="008E2A2F">
            <w:pPr>
              <w:pStyle w:val="TableText"/>
              <w:tabs>
                <w:tab w:val="left" w:pos="3306"/>
              </w:tabs>
              <w:spacing w:before="0"/>
              <w:jc w:val="right"/>
              <w:rPr>
                <w:rFonts w:cs="Calibri"/>
              </w:rPr>
            </w:pPr>
          </w:p>
        </w:tc>
        <w:tc>
          <w:tcPr>
            <w:tcW w:w="739" w:type="pct"/>
            <w:tcBorders>
              <w:top w:val="nil"/>
              <w:left w:val="nil"/>
              <w:bottom w:val="nil"/>
              <w:right w:val="nil"/>
            </w:tcBorders>
            <w:vAlign w:val="bottom"/>
          </w:tcPr>
          <w:p w14:paraId="38317E41" w14:textId="77777777" w:rsidR="008E2A2F" w:rsidRPr="00D6550C" w:rsidRDefault="008E2A2F" w:rsidP="008E2A2F">
            <w:pPr>
              <w:pStyle w:val="TableText"/>
              <w:tabs>
                <w:tab w:val="left" w:pos="3306"/>
              </w:tabs>
              <w:spacing w:before="0"/>
              <w:jc w:val="right"/>
              <w:rPr>
                <w:rFonts w:cs="Calibri"/>
              </w:rPr>
            </w:pPr>
          </w:p>
        </w:tc>
      </w:tr>
      <w:tr w:rsidR="008E2A2F" w:rsidRPr="00DD296A" w14:paraId="5287C211" w14:textId="77777777" w:rsidTr="005F5B4C">
        <w:trPr>
          <w:trHeight w:val="23"/>
        </w:trPr>
        <w:tc>
          <w:tcPr>
            <w:tcW w:w="737" w:type="pct"/>
            <w:tcBorders>
              <w:top w:val="nil"/>
              <w:left w:val="single" w:sz="2" w:space="0" w:color="auto"/>
              <w:bottom w:val="nil"/>
              <w:right w:val="single" w:sz="2" w:space="0" w:color="auto"/>
            </w:tcBorders>
          </w:tcPr>
          <w:p w14:paraId="05EF67B0" w14:textId="3E80DD4A" w:rsidR="008E2A2F" w:rsidRPr="00D6550C" w:rsidRDefault="008E2A2F" w:rsidP="008E2A2F">
            <w:pPr>
              <w:pStyle w:val="TableReference"/>
              <w:tabs>
                <w:tab w:val="left" w:pos="3306"/>
              </w:tabs>
              <w:rPr>
                <w:rFonts w:cs="Calibri"/>
                <w:color w:val="7030A0"/>
                <w:sz w:val="16"/>
                <w:szCs w:val="16"/>
              </w:rPr>
            </w:pPr>
            <w:r w:rsidRPr="00D6550C">
              <w:rPr>
                <w:rFonts w:cs="Calibri"/>
                <w:color w:val="7030A0"/>
                <w:sz w:val="14"/>
              </w:rPr>
              <w:t>AASB 107.45</w:t>
            </w:r>
          </w:p>
        </w:tc>
        <w:tc>
          <w:tcPr>
            <w:tcW w:w="2947" w:type="pct"/>
            <w:tcBorders>
              <w:top w:val="nil"/>
              <w:left w:val="single" w:sz="2" w:space="0" w:color="auto"/>
              <w:bottom w:val="nil"/>
              <w:right w:val="nil"/>
            </w:tcBorders>
            <w:vAlign w:val="bottom"/>
          </w:tcPr>
          <w:p w14:paraId="4C6983BC" w14:textId="70B62D95" w:rsidR="008E2A2F" w:rsidRPr="00D6550C" w:rsidRDefault="008E2A2F" w:rsidP="008E2A2F">
            <w:pPr>
              <w:pStyle w:val="TableText"/>
              <w:tabs>
                <w:tab w:val="left" w:pos="3306"/>
              </w:tabs>
              <w:spacing w:before="0"/>
              <w:rPr>
                <w:rFonts w:cs="Calibri"/>
                <w:b/>
                <w:bCs/>
              </w:rPr>
            </w:pPr>
            <w:r w:rsidRPr="00D6550C">
              <w:rPr>
                <w:rFonts w:cs="Calibri"/>
              </w:rPr>
              <w:t>Cash on Hand</w:t>
            </w:r>
          </w:p>
        </w:tc>
        <w:tc>
          <w:tcPr>
            <w:tcW w:w="577" w:type="pct"/>
            <w:tcBorders>
              <w:top w:val="nil"/>
              <w:left w:val="nil"/>
              <w:bottom w:val="nil"/>
              <w:right w:val="nil"/>
            </w:tcBorders>
            <w:vAlign w:val="bottom"/>
          </w:tcPr>
          <w:p w14:paraId="06EF9100" w14:textId="77777777" w:rsidR="008E2A2F" w:rsidRPr="00D6550C" w:rsidRDefault="008E2A2F" w:rsidP="008E2A2F">
            <w:pPr>
              <w:pStyle w:val="TableText"/>
              <w:tabs>
                <w:tab w:val="left" w:pos="3306"/>
              </w:tabs>
              <w:spacing w:before="0"/>
              <w:jc w:val="right"/>
              <w:rPr>
                <w:rFonts w:cs="Calibri"/>
              </w:rPr>
            </w:pPr>
          </w:p>
        </w:tc>
        <w:tc>
          <w:tcPr>
            <w:tcW w:w="739" w:type="pct"/>
            <w:tcBorders>
              <w:top w:val="nil"/>
              <w:left w:val="nil"/>
              <w:bottom w:val="nil"/>
              <w:right w:val="nil"/>
            </w:tcBorders>
            <w:vAlign w:val="bottom"/>
          </w:tcPr>
          <w:p w14:paraId="2F9A6E57" w14:textId="77777777" w:rsidR="008E2A2F" w:rsidRPr="00D6550C" w:rsidRDefault="008E2A2F" w:rsidP="008E2A2F">
            <w:pPr>
              <w:pStyle w:val="TableText"/>
              <w:tabs>
                <w:tab w:val="left" w:pos="3306"/>
              </w:tabs>
              <w:spacing w:before="0"/>
              <w:jc w:val="right"/>
              <w:rPr>
                <w:rFonts w:cs="Calibri"/>
              </w:rPr>
            </w:pPr>
          </w:p>
        </w:tc>
      </w:tr>
      <w:tr w:rsidR="00A56E8F" w:rsidRPr="00DD296A" w14:paraId="67EBA9FC" w14:textId="77777777" w:rsidTr="005F5B4C">
        <w:trPr>
          <w:trHeight w:val="23"/>
        </w:trPr>
        <w:tc>
          <w:tcPr>
            <w:tcW w:w="737" w:type="pct"/>
            <w:tcBorders>
              <w:top w:val="nil"/>
              <w:left w:val="single" w:sz="2" w:space="0" w:color="auto"/>
              <w:bottom w:val="nil"/>
              <w:right w:val="single" w:sz="2" w:space="0" w:color="auto"/>
            </w:tcBorders>
          </w:tcPr>
          <w:p w14:paraId="7A9775B2" w14:textId="5CC3CA13" w:rsidR="00A56E8F" w:rsidRPr="00D6550C" w:rsidRDefault="00A56E8F" w:rsidP="008E2A2F">
            <w:pPr>
              <w:pStyle w:val="TableReference"/>
              <w:tabs>
                <w:tab w:val="left" w:pos="3306"/>
              </w:tabs>
              <w:rPr>
                <w:rFonts w:cs="Calibri"/>
                <w:color w:val="7030A0"/>
                <w:sz w:val="14"/>
              </w:rPr>
            </w:pPr>
            <w:r w:rsidRPr="00D6550C">
              <w:rPr>
                <w:rFonts w:cs="Calibri"/>
                <w:color w:val="7030A0"/>
                <w:sz w:val="14"/>
              </w:rPr>
              <w:t>AASB 107.45</w:t>
            </w:r>
          </w:p>
        </w:tc>
        <w:tc>
          <w:tcPr>
            <w:tcW w:w="2947" w:type="pct"/>
            <w:tcBorders>
              <w:top w:val="nil"/>
              <w:left w:val="single" w:sz="2" w:space="0" w:color="auto"/>
              <w:bottom w:val="nil"/>
              <w:right w:val="nil"/>
            </w:tcBorders>
            <w:vAlign w:val="bottom"/>
          </w:tcPr>
          <w:p w14:paraId="1F8B1990" w14:textId="7FF7B1FC" w:rsidR="00A56E8F" w:rsidRPr="00D6550C" w:rsidRDefault="00A56E8F" w:rsidP="008E2A2F">
            <w:pPr>
              <w:pStyle w:val="TableText"/>
              <w:tabs>
                <w:tab w:val="left" w:pos="3306"/>
              </w:tabs>
              <w:spacing w:before="0"/>
              <w:rPr>
                <w:rFonts w:cs="Calibri"/>
              </w:rPr>
            </w:pPr>
            <w:r w:rsidRPr="00D6550C">
              <w:rPr>
                <w:rFonts w:cs="Calibri"/>
              </w:rPr>
              <w:t>Short-term Deposits</w:t>
            </w:r>
          </w:p>
        </w:tc>
        <w:tc>
          <w:tcPr>
            <w:tcW w:w="577" w:type="pct"/>
            <w:tcBorders>
              <w:top w:val="nil"/>
              <w:left w:val="nil"/>
              <w:bottom w:val="nil"/>
              <w:right w:val="nil"/>
            </w:tcBorders>
            <w:vAlign w:val="bottom"/>
          </w:tcPr>
          <w:p w14:paraId="3660725E" w14:textId="77777777" w:rsidR="00A56E8F" w:rsidRPr="00D6550C" w:rsidRDefault="00A56E8F" w:rsidP="008E2A2F">
            <w:pPr>
              <w:pStyle w:val="TableText"/>
              <w:tabs>
                <w:tab w:val="left" w:pos="3306"/>
              </w:tabs>
              <w:spacing w:before="0"/>
              <w:jc w:val="right"/>
              <w:rPr>
                <w:rFonts w:cs="Calibri"/>
              </w:rPr>
            </w:pPr>
          </w:p>
        </w:tc>
        <w:tc>
          <w:tcPr>
            <w:tcW w:w="739" w:type="pct"/>
            <w:tcBorders>
              <w:top w:val="nil"/>
              <w:left w:val="nil"/>
              <w:bottom w:val="nil"/>
              <w:right w:val="nil"/>
            </w:tcBorders>
            <w:vAlign w:val="bottom"/>
          </w:tcPr>
          <w:p w14:paraId="2D105DCF" w14:textId="77777777" w:rsidR="00A56E8F" w:rsidRPr="00D6550C" w:rsidRDefault="00A56E8F" w:rsidP="008E2A2F">
            <w:pPr>
              <w:pStyle w:val="TableText"/>
              <w:tabs>
                <w:tab w:val="left" w:pos="3306"/>
              </w:tabs>
              <w:spacing w:before="0"/>
              <w:jc w:val="right"/>
              <w:rPr>
                <w:rFonts w:cs="Calibri"/>
              </w:rPr>
            </w:pPr>
          </w:p>
        </w:tc>
      </w:tr>
      <w:tr w:rsidR="008E2A2F" w:rsidRPr="00DD296A" w14:paraId="06F5F33E" w14:textId="77777777" w:rsidTr="005F5B4C">
        <w:trPr>
          <w:trHeight w:val="23"/>
        </w:trPr>
        <w:tc>
          <w:tcPr>
            <w:tcW w:w="737" w:type="pct"/>
            <w:tcBorders>
              <w:top w:val="nil"/>
              <w:left w:val="single" w:sz="2" w:space="0" w:color="auto"/>
              <w:bottom w:val="nil"/>
              <w:right w:val="single" w:sz="2" w:space="0" w:color="auto"/>
            </w:tcBorders>
          </w:tcPr>
          <w:p w14:paraId="51AE5D7D" w14:textId="77777777" w:rsidR="008E2A2F" w:rsidRPr="00D6550C" w:rsidRDefault="008E2A2F" w:rsidP="008E2A2F">
            <w:pPr>
              <w:pStyle w:val="TableReference"/>
              <w:tabs>
                <w:tab w:val="left" w:pos="3306"/>
              </w:tabs>
              <w:spacing w:before="40"/>
              <w:rPr>
                <w:rFonts w:cs="Calibri"/>
                <w:color w:val="7030A0"/>
                <w:sz w:val="14"/>
              </w:rPr>
            </w:pPr>
            <w:r w:rsidRPr="00D6550C">
              <w:rPr>
                <w:rFonts w:cs="Calibri"/>
                <w:color w:val="7030A0"/>
                <w:sz w:val="14"/>
              </w:rPr>
              <w:t>AASB 101.66</w:t>
            </w:r>
          </w:p>
        </w:tc>
        <w:tc>
          <w:tcPr>
            <w:tcW w:w="2947" w:type="pct"/>
            <w:tcBorders>
              <w:top w:val="nil"/>
              <w:left w:val="single" w:sz="2" w:space="0" w:color="auto"/>
              <w:bottom w:val="nil"/>
              <w:right w:val="nil"/>
            </w:tcBorders>
            <w:vAlign w:val="bottom"/>
          </w:tcPr>
          <w:p w14:paraId="2945587B" w14:textId="76DFF612" w:rsidR="008E2A2F" w:rsidRPr="00D6550C" w:rsidRDefault="008E2A2F" w:rsidP="008E2A2F">
            <w:pPr>
              <w:pStyle w:val="TableText"/>
              <w:tabs>
                <w:tab w:val="left" w:pos="3306"/>
              </w:tabs>
              <w:rPr>
                <w:rFonts w:cs="Calibri"/>
              </w:rPr>
            </w:pPr>
            <w:r w:rsidRPr="00D6550C">
              <w:rPr>
                <w:rFonts w:cs="Calibri"/>
              </w:rPr>
              <w:t xml:space="preserve">Investments with the Territory Banking Account </w:t>
            </w:r>
          </w:p>
        </w:tc>
        <w:tc>
          <w:tcPr>
            <w:tcW w:w="577" w:type="pct"/>
            <w:tcBorders>
              <w:top w:val="nil"/>
              <w:left w:val="nil"/>
              <w:bottom w:val="nil"/>
              <w:right w:val="nil"/>
            </w:tcBorders>
            <w:vAlign w:val="bottom"/>
          </w:tcPr>
          <w:p w14:paraId="646038E1" w14:textId="77777777" w:rsidR="008E2A2F" w:rsidRPr="00D6550C" w:rsidRDefault="008E2A2F" w:rsidP="008E2A2F">
            <w:pPr>
              <w:pStyle w:val="TableText"/>
              <w:tabs>
                <w:tab w:val="left" w:pos="3306"/>
              </w:tabs>
              <w:jc w:val="right"/>
              <w:rPr>
                <w:rFonts w:cs="Calibri"/>
              </w:rPr>
            </w:pPr>
          </w:p>
        </w:tc>
        <w:tc>
          <w:tcPr>
            <w:tcW w:w="739" w:type="pct"/>
            <w:tcBorders>
              <w:top w:val="nil"/>
              <w:left w:val="nil"/>
              <w:bottom w:val="nil"/>
              <w:right w:val="nil"/>
            </w:tcBorders>
            <w:vAlign w:val="bottom"/>
          </w:tcPr>
          <w:p w14:paraId="5A72F38B" w14:textId="77777777" w:rsidR="008E2A2F" w:rsidRPr="00D6550C" w:rsidRDefault="008E2A2F" w:rsidP="008E2A2F">
            <w:pPr>
              <w:pStyle w:val="TableText"/>
              <w:tabs>
                <w:tab w:val="left" w:pos="3306"/>
              </w:tabs>
              <w:jc w:val="right"/>
              <w:rPr>
                <w:rFonts w:cs="Calibri"/>
              </w:rPr>
            </w:pPr>
          </w:p>
        </w:tc>
      </w:tr>
      <w:tr w:rsidR="00906E7B" w:rsidRPr="00906E7B" w14:paraId="4EED5120" w14:textId="77777777" w:rsidTr="005F5B4C">
        <w:trPr>
          <w:trHeight w:val="23"/>
        </w:trPr>
        <w:tc>
          <w:tcPr>
            <w:tcW w:w="737" w:type="pct"/>
            <w:tcBorders>
              <w:top w:val="nil"/>
              <w:left w:val="single" w:sz="2" w:space="0" w:color="auto"/>
              <w:bottom w:val="nil"/>
              <w:right w:val="single" w:sz="2" w:space="0" w:color="auto"/>
            </w:tcBorders>
          </w:tcPr>
          <w:p w14:paraId="09950EFA" w14:textId="77777777" w:rsidR="00906E7B" w:rsidRPr="00D6550C" w:rsidRDefault="00906E7B" w:rsidP="00906E7B">
            <w:pPr>
              <w:pStyle w:val="TableReference"/>
              <w:tabs>
                <w:tab w:val="left" w:pos="3306"/>
              </w:tabs>
              <w:rPr>
                <w:rFonts w:cs="Calibri"/>
                <w:color w:val="7030A0"/>
                <w:sz w:val="6"/>
                <w:szCs w:val="6"/>
              </w:rPr>
            </w:pPr>
          </w:p>
        </w:tc>
        <w:tc>
          <w:tcPr>
            <w:tcW w:w="2947" w:type="pct"/>
            <w:tcBorders>
              <w:top w:val="nil"/>
              <w:left w:val="single" w:sz="2" w:space="0" w:color="auto"/>
              <w:bottom w:val="nil"/>
              <w:right w:val="nil"/>
            </w:tcBorders>
            <w:shd w:val="clear" w:color="auto" w:fill="auto"/>
          </w:tcPr>
          <w:p w14:paraId="366C4D8F" w14:textId="77777777" w:rsidR="00906E7B" w:rsidRPr="00D6550C" w:rsidRDefault="00906E7B" w:rsidP="00906E7B">
            <w:pPr>
              <w:pStyle w:val="CommentaryHeading"/>
              <w:tabs>
                <w:tab w:val="left" w:pos="3306"/>
              </w:tabs>
              <w:spacing w:before="0" w:after="0"/>
              <w:rPr>
                <w:rFonts w:cs="Calibri"/>
                <w:sz w:val="6"/>
                <w:szCs w:val="6"/>
              </w:rPr>
            </w:pPr>
          </w:p>
        </w:tc>
        <w:tc>
          <w:tcPr>
            <w:tcW w:w="577" w:type="pct"/>
            <w:tcBorders>
              <w:top w:val="nil"/>
              <w:left w:val="nil"/>
              <w:bottom w:val="single" w:sz="2" w:space="0" w:color="auto"/>
              <w:right w:val="nil"/>
            </w:tcBorders>
            <w:vAlign w:val="bottom"/>
          </w:tcPr>
          <w:p w14:paraId="73E83E63" w14:textId="77777777" w:rsidR="00906E7B" w:rsidRPr="00D6550C" w:rsidRDefault="00906E7B" w:rsidP="00906E7B">
            <w:pPr>
              <w:pStyle w:val="TableText"/>
              <w:tabs>
                <w:tab w:val="left" w:pos="3306"/>
              </w:tabs>
              <w:spacing w:before="0"/>
              <w:jc w:val="right"/>
              <w:rPr>
                <w:rFonts w:cs="Calibri"/>
                <w:b/>
                <w:bCs/>
                <w:sz w:val="6"/>
                <w:szCs w:val="6"/>
              </w:rPr>
            </w:pPr>
          </w:p>
        </w:tc>
        <w:tc>
          <w:tcPr>
            <w:tcW w:w="739" w:type="pct"/>
            <w:tcBorders>
              <w:top w:val="nil"/>
              <w:left w:val="nil"/>
              <w:bottom w:val="single" w:sz="2" w:space="0" w:color="auto"/>
              <w:right w:val="nil"/>
            </w:tcBorders>
            <w:vAlign w:val="bottom"/>
          </w:tcPr>
          <w:p w14:paraId="2FAE5B32" w14:textId="77777777" w:rsidR="00906E7B" w:rsidRPr="00D6550C" w:rsidRDefault="00906E7B" w:rsidP="00906E7B">
            <w:pPr>
              <w:pStyle w:val="TableText"/>
              <w:tabs>
                <w:tab w:val="left" w:pos="3306"/>
              </w:tabs>
              <w:spacing w:before="0"/>
              <w:jc w:val="right"/>
              <w:rPr>
                <w:rFonts w:cs="Calibri"/>
                <w:b/>
                <w:bCs/>
                <w:sz w:val="6"/>
                <w:szCs w:val="6"/>
              </w:rPr>
            </w:pPr>
          </w:p>
        </w:tc>
      </w:tr>
      <w:tr w:rsidR="008E2A2F" w:rsidRPr="00DD296A" w14:paraId="1A7FEC3F" w14:textId="77777777" w:rsidTr="005F5B4C">
        <w:trPr>
          <w:trHeight w:val="23"/>
        </w:trPr>
        <w:tc>
          <w:tcPr>
            <w:tcW w:w="737" w:type="pct"/>
            <w:tcBorders>
              <w:top w:val="nil"/>
              <w:left w:val="single" w:sz="2" w:space="0" w:color="auto"/>
              <w:bottom w:val="nil"/>
              <w:right w:val="single" w:sz="2" w:space="0" w:color="auto"/>
            </w:tcBorders>
          </w:tcPr>
          <w:p w14:paraId="2481398A" w14:textId="77777777" w:rsidR="008E2A2F" w:rsidRPr="00D6550C" w:rsidRDefault="008E2A2F" w:rsidP="00906E7B">
            <w:pPr>
              <w:pStyle w:val="TableReference"/>
              <w:tabs>
                <w:tab w:val="left" w:pos="3306"/>
              </w:tabs>
              <w:rPr>
                <w:rFonts w:cs="Calibri"/>
                <w:color w:val="7030A0"/>
                <w:sz w:val="14"/>
              </w:rPr>
            </w:pPr>
          </w:p>
        </w:tc>
        <w:tc>
          <w:tcPr>
            <w:tcW w:w="2947" w:type="pct"/>
            <w:tcBorders>
              <w:top w:val="nil"/>
              <w:left w:val="single" w:sz="2" w:space="0" w:color="auto"/>
              <w:bottom w:val="nil"/>
              <w:right w:val="nil"/>
            </w:tcBorders>
            <w:shd w:val="clear" w:color="auto" w:fill="auto"/>
          </w:tcPr>
          <w:p w14:paraId="0C891676" w14:textId="782CE929" w:rsidR="008E2A2F" w:rsidRPr="00D6550C" w:rsidRDefault="008E2A2F" w:rsidP="00906E7B">
            <w:pPr>
              <w:pStyle w:val="CommentaryHeading"/>
              <w:tabs>
                <w:tab w:val="left" w:pos="3306"/>
              </w:tabs>
              <w:spacing w:before="0" w:after="0"/>
              <w:rPr>
                <w:rFonts w:cs="Calibri"/>
                <w:sz w:val="18"/>
              </w:rPr>
            </w:pPr>
            <w:r w:rsidRPr="00D6550C">
              <w:rPr>
                <w:rFonts w:cs="Calibri"/>
                <w:sz w:val="18"/>
              </w:rPr>
              <w:t>Total Current</w:t>
            </w:r>
            <w:r w:rsidR="00AD6ADB" w:rsidRPr="00D6550C">
              <w:rPr>
                <w:rFonts w:cs="Calibri"/>
                <w:b w:val="0"/>
                <w:bCs w:val="0"/>
              </w:rPr>
              <w:t xml:space="preserve"> </w:t>
            </w:r>
            <w:r w:rsidR="00AD6ADB" w:rsidRPr="00D6550C">
              <w:rPr>
                <w:rFonts w:cs="Calibri"/>
              </w:rPr>
              <w:t>Cash and</w:t>
            </w:r>
            <w:r w:rsidRPr="00D6550C">
              <w:rPr>
                <w:rFonts w:cs="Calibri"/>
                <w:sz w:val="18"/>
              </w:rPr>
              <w:t xml:space="preserve"> Investments </w:t>
            </w:r>
          </w:p>
        </w:tc>
        <w:tc>
          <w:tcPr>
            <w:tcW w:w="577" w:type="pct"/>
            <w:tcBorders>
              <w:top w:val="single" w:sz="2" w:space="0" w:color="auto"/>
              <w:left w:val="nil"/>
              <w:bottom w:val="single" w:sz="2" w:space="0" w:color="auto"/>
              <w:right w:val="nil"/>
            </w:tcBorders>
            <w:vAlign w:val="bottom"/>
          </w:tcPr>
          <w:p w14:paraId="022F709B" w14:textId="77777777" w:rsidR="008E2A2F" w:rsidRPr="00D6550C" w:rsidRDefault="008E2A2F" w:rsidP="00906E7B">
            <w:pPr>
              <w:pStyle w:val="TableText"/>
              <w:tabs>
                <w:tab w:val="left" w:pos="3306"/>
              </w:tabs>
              <w:spacing w:before="0"/>
              <w:jc w:val="right"/>
              <w:rPr>
                <w:rFonts w:cs="Calibri"/>
                <w:b/>
                <w:bCs/>
              </w:rPr>
            </w:pPr>
          </w:p>
        </w:tc>
        <w:tc>
          <w:tcPr>
            <w:tcW w:w="739" w:type="pct"/>
            <w:tcBorders>
              <w:top w:val="single" w:sz="2" w:space="0" w:color="auto"/>
              <w:left w:val="nil"/>
              <w:bottom w:val="single" w:sz="2" w:space="0" w:color="auto"/>
              <w:right w:val="nil"/>
            </w:tcBorders>
            <w:vAlign w:val="bottom"/>
          </w:tcPr>
          <w:p w14:paraId="70FFA593" w14:textId="77777777" w:rsidR="008E2A2F" w:rsidRPr="00D6550C" w:rsidRDefault="008E2A2F" w:rsidP="00906E7B">
            <w:pPr>
              <w:pStyle w:val="TableText"/>
              <w:tabs>
                <w:tab w:val="left" w:pos="3306"/>
              </w:tabs>
              <w:spacing w:before="0"/>
              <w:jc w:val="right"/>
              <w:rPr>
                <w:rFonts w:cs="Calibri"/>
                <w:b/>
                <w:bCs/>
              </w:rPr>
            </w:pPr>
          </w:p>
        </w:tc>
      </w:tr>
      <w:tr w:rsidR="00906E7B" w:rsidRPr="00906E7B" w14:paraId="78127DD5" w14:textId="77777777" w:rsidTr="005F5B4C">
        <w:trPr>
          <w:trHeight w:val="23"/>
        </w:trPr>
        <w:tc>
          <w:tcPr>
            <w:tcW w:w="737" w:type="pct"/>
            <w:tcBorders>
              <w:top w:val="nil"/>
              <w:left w:val="single" w:sz="2" w:space="0" w:color="auto"/>
              <w:bottom w:val="nil"/>
              <w:right w:val="single" w:sz="2" w:space="0" w:color="auto"/>
            </w:tcBorders>
          </w:tcPr>
          <w:p w14:paraId="6728CC66" w14:textId="77777777" w:rsidR="00906E7B" w:rsidRPr="00D6550C" w:rsidRDefault="00906E7B" w:rsidP="00906E7B">
            <w:pPr>
              <w:pStyle w:val="TableReference"/>
              <w:tabs>
                <w:tab w:val="left" w:pos="3306"/>
              </w:tabs>
              <w:rPr>
                <w:rFonts w:cs="Calibri"/>
                <w:color w:val="7030A0"/>
                <w:sz w:val="14"/>
              </w:rPr>
            </w:pPr>
          </w:p>
        </w:tc>
        <w:tc>
          <w:tcPr>
            <w:tcW w:w="2947" w:type="pct"/>
            <w:tcBorders>
              <w:top w:val="nil"/>
              <w:left w:val="single" w:sz="2" w:space="0" w:color="auto"/>
              <w:bottom w:val="nil"/>
              <w:right w:val="nil"/>
            </w:tcBorders>
            <w:shd w:val="clear" w:color="auto" w:fill="auto"/>
          </w:tcPr>
          <w:p w14:paraId="233644AA" w14:textId="77777777" w:rsidR="00906E7B" w:rsidRPr="00D6550C" w:rsidRDefault="00906E7B" w:rsidP="00906E7B">
            <w:pPr>
              <w:pStyle w:val="CommentaryHeading"/>
              <w:tabs>
                <w:tab w:val="left" w:pos="3306"/>
              </w:tabs>
              <w:spacing w:before="0" w:after="0"/>
              <w:rPr>
                <w:rFonts w:cs="Calibri"/>
                <w:sz w:val="14"/>
                <w:szCs w:val="14"/>
              </w:rPr>
            </w:pPr>
          </w:p>
        </w:tc>
        <w:tc>
          <w:tcPr>
            <w:tcW w:w="577" w:type="pct"/>
            <w:tcBorders>
              <w:top w:val="single" w:sz="2" w:space="0" w:color="auto"/>
              <w:left w:val="nil"/>
              <w:bottom w:val="nil"/>
              <w:right w:val="nil"/>
            </w:tcBorders>
            <w:vAlign w:val="bottom"/>
          </w:tcPr>
          <w:p w14:paraId="73F4FEE7" w14:textId="77777777" w:rsidR="00906E7B" w:rsidRPr="00D6550C" w:rsidRDefault="00906E7B" w:rsidP="00906E7B">
            <w:pPr>
              <w:pStyle w:val="TableText"/>
              <w:tabs>
                <w:tab w:val="left" w:pos="3306"/>
              </w:tabs>
              <w:spacing w:before="0"/>
              <w:jc w:val="right"/>
              <w:rPr>
                <w:rFonts w:cs="Calibri"/>
                <w:b/>
                <w:bCs/>
                <w:sz w:val="14"/>
                <w:szCs w:val="14"/>
              </w:rPr>
            </w:pPr>
          </w:p>
        </w:tc>
        <w:tc>
          <w:tcPr>
            <w:tcW w:w="739" w:type="pct"/>
            <w:tcBorders>
              <w:top w:val="single" w:sz="2" w:space="0" w:color="auto"/>
              <w:left w:val="nil"/>
              <w:bottom w:val="nil"/>
              <w:right w:val="nil"/>
            </w:tcBorders>
            <w:vAlign w:val="bottom"/>
          </w:tcPr>
          <w:p w14:paraId="18E3D942" w14:textId="77777777" w:rsidR="00906E7B" w:rsidRPr="00D6550C" w:rsidRDefault="00906E7B" w:rsidP="00906E7B">
            <w:pPr>
              <w:pStyle w:val="TableText"/>
              <w:tabs>
                <w:tab w:val="left" w:pos="3306"/>
              </w:tabs>
              <w:spacing w:before="0"/>
              <w:jc w:val="right"/>
              <w:rPr>
                <w:rFonts w:cs="Calibri"/>
                <w:b/>
                <w:bCs/>
                <w:sz w:val="14"/>
                <w:szCs w:val="14"/>
              </w:rPr>
            </w:pPr>
          </w:p>
        </w:tc>
      </w:tr>
      <w:tr w:rsidR="008E2A2F" w:rsidRPr="00DD296A" w14:paraId="045AEE98" w14:textId="77777777" w:rsidTr="005F5B4C">
        <w:trPr>
          <w:trHeight w:val="23"/>
        </w:trPr>
        <w:tc>
          <w:tcPr>
            <w:tcW w:w="737" w:type="pct"/>
            <w:tcBorders>
              <w:top w:val="nil"/>
              <w:left w:val="single" w:sz="2" w:space="0" w:color="auto"/>
              <w:bottom w:val="nil"/>
              <w:right w:val="single" w:sz="2" w:space="0" w:color="auto"/>
            </w:tcBorders>
          </w:tcPr>
          <w:p w14:paraId="3896F066" w14:textId="77777777" w:rsidR="008E2A2F" w:rsidRPr="00D6550C" w:rsidRDefault="008E2A2F" w:rsidP="008E2A2F">
            <w:pPr>
              <w:pStyle w:val="TableReference"/>
              <w:tabs>
                <w:tab w:val="left" w:pos="3306"/>
              </w:tabs>
              <w:spacing w:before="40"/>
              <w:rPr>
                <w:rFonts w:cs="Calibri"/>
                <w:color w:val="7030A0"/>
                <w:sz w:val="14"/>
              </w:rPr>
            </w:pPr>
            <w:r w:rsidRPr="00D6550C">
              <w:rPr>
                <w:rFonts w:cs="Calibri"/>
                <w:color w:val="7030A0"/>
                <w:sz w:val="14"/>
              </w:rPr>
              <w:t xml:space="preserve"> </w:t>
            </w:r>
          </w:p>
        </w:tc>
        <w:tc>
          <w:tcPr>
            <w:tcW w:w="2947" w:type="pct"/>
            <w:tcBorders>
              <w:top w:val="nil"/>
              <w:left w:val="single" w:sz="2" w:space="0" w:color="auto"/>
              <w:bottom w:val="nil"/>
              <w:right w:val="nil"/>
            </w:tcBorders>
            <w:vAlign w:val="bottom"/>
          </w:tcPr>
          <w:p w14:paraId="119145C9" w14:textId="7D01FB34" w:rsidR="008E2A2F" w:rsidRPr="00D6550C" w:rsidRDefault="008E2A2F" w:rsidP="008E2A2F">
            <w:pPr>
              <w:pStyle w:val="TableText"/>
              <w:tabs>
                <w:tab w:val="left" w:pos="3306"/>
              </w:tabs>
              <w:rPr>
                <w:rFonts w:cs="Calibri"/>
                <w:b/>
                <w:bCs/>
              </w:rPr>
            </w:pPr>
            <w:bookmarkStart w:id="486" w:name="_Toc48468521"/>
            <w:bookmarkStart w:id="487" w:name="_Toc49155632"/>
            <w:bookmarkStart w:id="488" w:name="_Toc49224077"/>
            <w:r w:rsidRPr="00D6550C">
              <w:rPr>
                <w:rFonts w:cs="Calibri"/>
                <w:b/>
                <w:bCs/>
              </w:rPr>
              <w:t>Non-Current</w:t>
            </w:r>
            <w:r w:rsidR="00232C6D" w:rsidRPr="00D6550C">
              <w:rPr>
                <w:rFonts w:cs="Calibri"/>
                <w:b/>
                <w:bCs/>
              </w:rPr>
              <w:t xml:space="preserve"> Cash and</w:t>
            </w:r>
            <w:r w:rsidRPr="00D6550C">
              <w:rPr>
                <w:rFonts w:cs="Calibri"/>
                <w:b/>
                <w:bCs/>
              </w:rPr>
              <w:t xml:space="preserve"> Investments</w:t>
            </w:r>
            <w:bookmarkEnd w:id="486"/>
            <w:bookmarkEnd w:id="487"/>
            <w:bookmarkEnd w:id="488"/>
            <w:r w:rsidRPr="00D6550C">
              <w:rPr>
                <w:rFonts w:cs="Calibri"/>
                <w:b/>
                <w:bCs/>
              </w:rPr>
              <w:t xml:space="preserve"> </w:t>
            </w:r>
          </w:p>
        </w:tc>
        <w:tc>
          <w:tcPr>
            <w:tcW w:w="577" w:type="pct"/>
            <w:tcBorders>
              <w:top w:val="nil"/>
              <w:left w:val="nil"/>
              <w:bottom w:val="nil"/>
              <w:right w:val="nil"/>
            </w:tcBorders>
            <w:vAlign w:val="bottom"/>
          </w:tcPr>
          <w:p w14:paraId="0D2EE380" w14:textId="77777777" w:rsidR="008E2A2F" w:rsidRPr="00D6550C" w:rsidRDefault="008E2A2F" w:rsidP="008E2A2F">
            <w:pPr>
              <w:pStyle w:val="TableText"/>
              <w:tabs>
                <w:tab w:val="left" w:pos="3306"/>
              </w:tabs>
              <w:jc w:val="right"/>
              <w:rPr>
                <w:rFonts w:cs="Calibri"/>
                <w:b/>
                <w:bCs/>
              </w:rPr>
            </w:pPr>
          </w:p>
        </w:tc>
        <w:tc>
          <w:tcPr>
            <w:tcW w:w="739" w:type="pct"/>
            <w:tcBorders>
              <w:top w:val="nil"/>
              <w:left w:val="nil"/>
              <w:bottom w:val="nil"/>
              <w:right w:val="nil"/>
            </w:tcBorders>
            <w:vAlign w:val="bottom"/>
          </w:tcPr>
          <w:p w14:paraId="5ADA50CF" w14:textId="77777777" w:rsidR="008E2A2F" w:rsidRPr="00D6550C" w:rsidRDefault="008E2A2F" w:rsidP="008E2A2F">
            <w:pPr>
              <w:pStyle w:val="TableText"/>
              <w:tabs>
                <w:tab w:val="left" w:pos="3306"/>
              </w:tabs>
              <w:jc w:val="right"/>
              <w:rPr>
                <w:rFonts w:cs="Calibri"/>
                <w:b/>
                <w:bCs/>
              </w:rPr>
            </w:pPr>
          </w:p>
        </w:tc>
      </w:tr>
      <w:tr w:rsidR="008E2A2F" w:rsidRPr="00DD296A" w14:paraId="7D7D07D2" w14:textId="77777777" w:rsidTr="005F5B4C">
        <w:trPr>
          <w:trHeight w:val="23"/>
        </w:trPr>
        <w:tc>
          <w:tcPr>
            <w:tcW w:w="737" w:type="pct"/>
            <w:tcBorders>
              <w:top w:val="nil"/>
              <w:left w:val="single" w:sz="2" w:space="0" w:color="auto"/>
              <w:bottom w:val="nil"/>
              <w:right w:val="single" w:sz="2" w:space="0" w:color="auto"/>
            </w:tcBorders>
          </w:tcPr>
          <w:p w14:paraId="2F7FE515" w14:textId="77777777" w:rsidR="008E2A2F" w:rsidRPr="00D6550C" w:rsidRDefault="008E2A2F" w:rsidP="008E2A2F">
            <w:pPr>
              <w:pStyle w:val="TableReference"/>
              <w:tabs>
                <w:tab w:val="left" w:pos="3306"/>
              </w:tabs>
              <w:spacing w:before="40"/>
              <w:rPr>
                <w:rFonts w:cs="Calibri"/>
                <w:color w:val="7030A0"/>
                <w:sz w:val="14"/>
              </w:rPr>
            </w:pPr>
            <w:r w:rsidRPr="00D6550C">
              <w:rPr>
                <w:rFonts w:cs="Calibri"/>
                <w:color w:val="7030A0"/>
                <w:sz w:val="14"/>
              </w:rPr>
              <w:t>AASB 101.66</w:t>
            </w:r>
          </w:p>
        </w:tc>
        <w:tc>
          <w:tcPr>
            <w:tcW w:w="2947" w:type="pct"/>
            <w:tcBorders>
              <w:top w:val="nil"/>
              <w:left w:val="single" w:sz="2" w:space="0" w:color="auto"/>
              <w:bottom w:val="nil"/>
              <w:right w:val="nil"/>
            </w:tcBorders>
            <w:vAlign w:val="bottom"/>
          </w:tcPr>
          <w:p w14:paraId="58842261" w14:textId="08F0056E" w:rsidR="008E2A2F" w:rsidRPr="00D6550C" w:rsidRDefault="008E2A2F" w:rsidP="008E2A2F">
            <w:pPr>
              <w:pStyle w:val="TableText"/>
              <w:tabs>
                <w:tab w:val="left" w:pos="3306"/>
              </w:tabs>
              <w:rPr>
                <w:rFonts w:cs="Calibri"/>
              </w:rPr>
            </w:pPr>
            <w:r w:rsidRPr="00D6550C">
              <w:rPr>
                <w:rFonts w:cs="Calibri"/>
              </w:rPr>
              <w:t xml:space="preserve">Investments with the Territory Banking Account </w:t>
            </w:r>
          </w:p>
        </w:tc>
        <w:tc>
          <w:tcPr>
            <w:tcW w:w="577" w:type="pct"/>
            <w:tcBorders>
              <w:top w:val="nil"/>
              <w:left w:val="nil"/>
              <w:bottom w:val="single" w:sz="2" w:space="0" w:color="auto"/>
              <w:right w:val="nil"/>
            </w:tcBorders>
            <w:vAlign w:val="bottom"/>
          </w:tcPr>
          <w:p w14:paraId="6027D594" w14:textId="77777777" w:rsidR="008E2A2F" w:rsidRPr="00D6550C" w:rsidRDefault="008E2A2F" w:rsidP="008E2A2F">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73396FA5" w14:textId="77777777" w:rsidR="008E2A2F" w:rsidRPr="00D6550C" w:rsidRDefault="008E2A2F" w:rsidP="008E2A2F">
            <w:pPr>
              <w:pStyle w:val="TableText"/>
              <w:tabs>
                <w:tab w:val="left" w:pos="3306"/>
              </w:tabs>
              <w:jc w:val="right"/>
              <w:rPr>
                <w:rFonts w:cs="Calibri"/>
              </w:rPr>
            </w:pPr>
          </w:p>
        </w:tc>
      </w:tr>
      <w:tr w:rsidR="008E2A2F" w:rsidRPr="00DD296A" w14:paraId="22DE0E1B" w14:textId="77777777" w:rsidTr="005F5B4C">
        <w:trPr>
          <w:trHeight w:val="23"/>
        </w:trPr>
        <w:tc>
          <w:tcPr>
            <w:tcW w:w="737" w:type="pct"/>
            <w:tcBorders>
              <w:top w:val="nil"/>
              <w:left w:val="single" w:sz="2" w:space="0" w:color="auto"/>
              <w:bottom w:val="nil"/>
              <w:right w:val="single" w:sz="2" w:space="0" w:color="auto"/>
            </w:tcBorders>
          </w:tcPr>
          <w:p w14:paraId="40A1FF4C" w14:textId="77777777" w:rsidR="008E2A2F" w:rsidRPr="00D6550C" w:rsidRDefault="008E2A2F" w:rsidP="008E2A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1CBD1C4" w14:textId="71807F7B" w:rsidR="008E2A2F" w:rsidRPr="00D6550C" w:rsidRDefault="008E2A2F" w:rsidP="008E2A2F">
            <w:pPr>
              <w:pStyle w:val="TableText"/>
              <w:tabs>
                <w:tab w:val="left" w:pos="3306"/>
              </w:tabs>
              <w:rPr>
                <w:rFonts w:cs="Calibri"/>
                <w:b/>
                <w:bCs/>
              </w:rPr>
            </w:pPr>
            <w:r w:rsidRPr="00D6550C">
              <w:rPr>
                <w:rFonts w:cs="Calibri"/>
                <w:b/>
                <w:bCs/>
              </w:rPr>
              <w:t xml:space="preserve">Total Non-Current </w:t>
            </w:r>
            <w:r w:rsidR="00232C6D" w:rsidRPr="00D6550C">
              <w:rPr>
                <w:rFonts w:cs="Calibri"/>
                <w:b/>
                <w:bCs/>
              </w:rPr>
              <w:t>Cash and</w:t>
            </w:r>
            <w:r w:rsidR="00232C6D" w:rsidRPr="00D6550C">
              <w:rPr>
                <w:rFonts w:cs="Calibri"/>
              </w:rPr>
              <w:t xml:space="preserve"> </w:t>
            </w:r>
            <w:r w:rsidRPr="00D6550C">
              <w:rPr>
                <w:rFonts w:cs="Calibri"/>
                <w:b/>
                <w:bCs/>
              </w:rPr>
              <w:t xml:space="preserve">Investments </w:t>
            </w:r>
          </w:p>
        </w:tc>
        <w:tc>
          <w:tcPr>
            <w:tcW w:w="577" w:type="pct"/>
            <w:tcBorders>
              <w:top w:val="single" w:sz="2" w:space="0" w:color="auto"/>
              <w:left w:val="nil"/>
              <w:bottom w:val="single" w:sz="2" w:space="0" w:color="auto"/>
              <w:right w:val="nil"/>
            </w:tcBorders>
            <w:vAlign w:val="bottom"/>
          </w:tcPr>
          <w:p w14:paraId="233B06CD" w14:textId="77777777" w:rsidR="008E2A2F" w:rsidRPr="00D6550C" w:rsidRDefault="008E2A2F" w:rsidP="008E2A2F">
            <w:pPr>
              <w:pStyle w:val="TableText"/>
              <w:tabs>
                <w:tab w:val="left" w:pos="3306"/>
              </w:tabs>
              <w:jc w:val="right"/>
              <w:rPr>
                <w:rFonts w:cs="Calibri"/>
              </w:rPr>
            </w:pPr>
          </w:p>
        </w:tc>
        <w:tc>
          <w:tcPr>
            <w:tcW w:w="739" w:type="pct"/>
            <w:tcBorders>
              <w:top w:val="single" w:sz="2" w:space="0" w:color="auto"/>
              <w:left w:val="nil"/>
              <w:bottom w:val="single" w:sz="2" w:space="0" w:color="auto"/>
              <w:right w:val="nil"/>
            </w:tcBorders>
            <w:vAlign w:val="bottom"/>
          </w:tcPr>
          <w:p w14:paraId="2A809B99" w14:textId="77777777" w:rsidR="008E2A2F" w:rsidRPr="00D6550C" w:rsidRDefault="008E2A2F" w:rsidP="008E2A2F">
            <w:pPr>
              <w:pStyle w:val="TableText"/>
              <w:tabs>
                <w:tab w:val="left" w:pos="3306"/>
              </w:tabs>
              <w:jc w:val="right"/>
              <w:rPr>
                <w:rFonts w:cs="Calibri"/>
              </w:rPr>
            </w:pPr>
          </w:p>
        </w:tc>
      </w:tr>
      <w:tr w:rsidR="00906E7B" w:rsidRPr="00906E7B" w14:paraId="6284A4BB" w14:textId="77777777" w:rsidTr="005F5B4C">
        <w:trPr>
          <w:trHeight w:val="23"/>
        </w:trPr>
        <w:tc>
          <w:tcPr>
            <w:tcW w:w="737" w:type="pct"/>
            <w:tcBorders>
              <w:top w:val="nil"/>
              <w:left w:val="single" w:sz="2" w:space="0" w:color="auto"/>
              <w:bottom w:val="nil"/>
              <w:right w:val="single" w:sz="2" w:space="0" w:color="auto"/>
            </w:tcBorders>
          </w:tcPr>
          <w:p w14:paraId="6D91E128" w14:textId="77777777" w:rsidR="00906E7B" w:rsidRPr="00D6550C" w:rsidRDefault="00906E7B" w:rsidP="008E2A2F">
            <w:pPr>
              <w:pStyle w:val="TableReference"/>
              <w:tabs>
                <w:tab w:val="left" w:pos="3306"/>
              </w:tabs>
              <w:spacing w:before="40"/>
              <w:rPr>
                <w:rFonts w:cs="Calibri"/>
                <w:color w:val="7030A0"/>
                <w:szCs w:val="12"/>
              </w:rPr>
            </w:pPr>
          </w:p>
        </w:tc>
        <w:tc>
          <w:tcPr>
            <w:tcW w:w="2947" w:type="pct"/>
            <w:tcBorders>
              <w:top w:val="nil"/>
              <w:left w:val="single" w:sz="2" w:space="0" w:color="auto"/>
              <w:bottom w:val="nil"/>
              <w:right w:val="nil"/>
            </w:tcBorders>
            <w:vAlign w:val="bottom"/>
          </w:tcPr>
          <w:p w14:paraId="10779FDD" w14:textId="77777777" w:rsidR="00906E7B" w:rsidRPr="00D6550C" w:rsidRDefault="00906E7B" w:rsidP="008E2A2F">
            <w:pPr>
              <w:pStyle w:val="TableText"/>
              <w:tabs>
                <w:tab w:val="left" w:pos="3306"/>
              </w:tabs>
              <w:rPr>
                <w:rFonts w:cs="Calibri"/>
                <w:b/>
                <w:bCs/>
                <w:sz w:val="12"/>
                <w:szCs w:val="12"/>
              </w:rPr>
            </w:pPr>
          </w:p>
        </w:tc>
        <w:tc>
          <w:tcPr>
            <w:tcW w:w="577" w:type="pct"/>
            <w:tcBorders>
              <w:top w:val="single" w:sz="2" w:space="0" w:color="auto"/>
              <w:left w:val="nil"/>
              <w:bottom w:val="single" w:sz="2" w:space="0" w:color="auto"/>
              <w:right w:val="nil"/>
            </w:tcBorders>
            <w:vAlign w:val="bottom"/>
          </w:tcPr>
          <w:p w14:paraId="583C9D27" w14:textId="77777777" w:rsidR="00906E7B" w:rsidRPr="00D6550C" w:rsidRDefault="00906E7B" w:rsidP="008E2A2F">
            <w:pPr>
              <w:pStyle w:val="TableText"/>
              <w:tabs>
                <w:tab w:val="left" w:pos="3306"/>
              </w:tabs>
              <w:jc w:val="right"/>
              <w:rPr>
                <w:rFonts w:cs="Calibri"/>
                <w:sz w:val="12"/>
                <w:szCs w:val="12"/>
              </w:rPr>
            </w:pPr>
          </w:p>
        </w:tc>
        <w:tc>
          <w:tcPr>
            <w:tcW w:w="739" w:type="pct"/>
            <w:tcBorders>
              <w:top w:val="single" w:sz="2" w:space="0" w:color="auto"/>
              <w:left w:val="nil"/>
              <w:bottom w:val="single" w:sz="2" w:space="0" w:color="auto"/>
              <w:right w:val="nil"/>
            </w:tcBorders>
            <w:vAlign w:val="bottom"/>
          </w:tcPr>
          <w:p w14:paraId="2865C007" w14:textId="77777777" w:rsidR="00906E7B" w:rsidRPr="00D6550C" w:rsidRDefault="00906E7B" w:rsidP="008E2A2F">
            <w:pPr>
              <w:pStyle w:val="TableText"/>
              <w:tabs>
                <w:tab w:val="left" w:pos="3306"/>
              </w:tabs>
              <w:jc w:val="right"/>
              <w:rPr>
                <w:rFonts w:cs="Calibri"/>
                <w:sz w:val="12"/>
                <w:szCs w:val="12"/>
              </w:rPr>
            </w:pPr>
          </w:p>
        </w:tc>
      </w:tr>
      <w:tr w:rsidR="008E2A2F" w:rsidRPr="00DD296A" w14:paraId="3C5065E3" w14:textId="77777777" w:rsidTr="005F5B4C">
        <w:trPr>
          <w:trHeight w:val="23"/>
        </w:trPr>
        <w:tc>
          <w:tcPr>
            <w:tcW w:w="737" w:type="pct"/>
            <w:tcBorders>
              <w:top w:val="nil"/>
              <w:left w:val="single" w:sz="2" w:space="0" w:color="auto"/>
              <w:bottom w:val="nil"/>
              <w:right w:val="single" w:sz="2" w:space="0" w:color="auto"/>
            </w:tcBorders>
          </w:tcPr>
          <w:p w14:paraId="5DD7A7A5" w14:textId="77777777" w:rsidR="008E2A2F" w:rsidRPr="00D6550C" w:rsidRDefault="008E2A2F" w:rsidP="008E2A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35475DCE" w14:textId="769D558E" w:rsidR="008E2A2F" w:rsidRPr="00D6550C" w:rsidRDefault="008E2A2F" w:rsidP="008E2A2F">
            <w:pPr>
              <w:pStyle w:val="TableText"/>
              <w:tabs>
                <w:tab w:val="left" w:pos="3306"/>
              </w:tabs>
              <w:rPr>
                <w:rFonts w:cs="Calibri"/>
                <w:b/>
                <w:bCs/>
              </w:rPr>
            </w:pPr>
            <w:r w:rsidRPr="00D6550C">
              <w:rPr>
                <w:rFonts w:cs="Calibri"/>
                <w:b/>
                <w:bCs/>
              </w:rPr>
              <w:t xml:space="preserve">Total </w:t>
            </w:r>
            <w:r w:rsidR="00AD6ADB" w:rsidRPr="00D6550C">
              <w:rPr>
                <w:rFonts w:cs="Calibri"/>
                <w:b/>
                <w:bCs/>
              </w:rPr>
              <w:t xml:space="preserve">Cash and </w:t>
            </w:r>
            <w:r w:rsidRPr="00D6550C">
              <w:rPr>
                <w:rFonts w:cs="Calibri"/>
                <w:b/>
                <w:bCs/>
              </w:rPr>
              <w:t xml:space="preserve">Investments </w:t>
            </w:r>
          </w:p>
        </w:tc>
        <w:tc>
          <w:tcPr>
            <w:tcW w:w="577" w:type="pct"/>
            <w:tcBorders>
              <w:top w:val="single" w:sz="2" w:space="0" w:color="auto"/>
              <w:left w:val="nil"/>
              <w:bottom w:val="double" w:sz="4" w:space="0" w:color="auto"/>
              <w:right w:val="nil"/>
            </w:tcBorders>
            <w:vAlign w:val="bottom"/>
          </w:tcPr>
          <w:p w14:paraId="0DE671CB" w14:textId="77777777" w:rsidR="008E2A2F" w:rsidRPr="00D6550C" w:rsidRDefault="008E2A2F" w:rsidP="008E2A2F">
            <w:pPr>
              <w:pStyle w:val="TableText"/>
              <w:tabs>
                <w:tab w:val="left" w:pos="3306"/>
              </w:tabs>
              <w:jc w:val="right"/>
              <w:rPr>
                <w:rFonts w:cs="Calibri"/>
                <w:b/>
                <w:bCs/>
              </w:rPr>
            </w:pPr>
          </w:p>
        </w:tc>
        <w:tc>
          <w:tcPr>
            <w:tcW w:w="739" w:type="pct"/>
            <w:tcBorders>
              <w:top w:val="single" w:sz="2" w:space="0" w:color="auto"/>
              <w:left w:val="nil"/>
              <w:bottom w:val="double" w:sz="4" w:space="0" w:color="auto"/>
              <w:right w:val="nil"/>
            </w:tcBorders>
            <w:vAlign w:val="bottom"/>
          </w:tcPr>
          <w:p w14:paraId="5CA836EF" w14:textId="77777777" w:rsidR="008E2A2F" w:rsidRPr="00D6550C" w:rsidRDefault="008E2A2F" w:rsidP="008E2A2F">
            <w:pPr>
              <w:pStyle w:val="TableText"/>
              <w:tabs>
                <w:tab w:val="left" w:pos="3306"/>
              </w:tabs>
              <w:jc w:val="right"/>
              <w:rPr>
                <w:rFonts w:cs="Calibri"/>
                <w:b/>
                <w:bCs/>
              </w:rPr>
            </w:pPr>
          </w:p>
        </w:tc>
      </w:tr>
      <w:tr w:rsidR="00C27562" w:rsidRPr="00DD296A" w14:paraId="38ACE45B" w14:textId="77777777" w:rsidTr="005F5B4C">
        <w:trPr>
          <w:trHeight w:val="23"/>
        </w:trPr>
        <w:tc>
          <w:tcPr>
            <w:tcW w:w="737" w:type="pct"/>
            <w:tcBorders>
              <w:top w:val="nil"/>
              <w:left w:val="single" w:sz="2" w:space="0" w:color="auto"/>
              <w:bottom w:val="nil"/>
              <w:right w:val="single" w:sz="2" w:space="0" w:color="auto"/>
            </w:tcBorders>
          </w:tcPr>
          <w:p w14:paraId="1CF2AE8E" w14:textId="77777777" w:rsidR="00C27562" w:rsidRPr="00A72B7A" w:rsidRDefault="00C27562" w:rsidP="009A0F2F">
            <w:pPr>
              <w:pStyle w:val="TableReference"/>
              <w:tabs>
                <w:tab w:val="left" w:pos="3306"/>
              </w:tabs>
              <w:spacing w:before="40"/>
              <w:rPr>
                <w:rFonts w:cs="Calibri"/>
                <w:color w:val="000000"/>
                <w:sz w:val="14"/>
              </w:rPr>
            </w:pPr>
          </w:p>
        </w:tc>
        <w:tc>
          <w:tcPr>
            <w:tcW w:w="4263" w:type="pct"/>
            <w:gridSpan w:val="3"/>
            <w:tcBorders>
              <w:top w:val="nil"/>
              <w:left w:val="single" w:sz="2" w:space="0" w:color="auto"/>
              <w:bottom w:val="nil"/>
              <w:right w:val="nil"/>
            </w:tcBorders>
            <w:shd w:val="clear" w:color="auto" w:fill="auto"/>
            <w:vAlign w:val="bottom"/>
          </w:tcPr>
          <w:p w14:paraId="251F3123" w14:textId="36BA3C7B" w:rsidR="00C27562" w:rsidRPr="00AD6ADB" w:rsidRDefault="00C27562" w:rsidP="00EB525E">
            <w:pPr>
              <w:spacing w:before="120"/>
              <w:jc w:val="both"/>
              <w:rPr>
                <w:sz w:val="18"/>
                <w:szCs w:val="18"/>
              </w:rPr>
            </w:pPr>
            <w:r w:rsidRPr="00D6550C">
              <w:rPr>
                <w:sz w:val="18"/>
                <w:szCs w:val="18"/>
              </w:rPr>
              <w:t xml:space="preserve">a) The increase in </w:t>
            </w:r>
            <w:r w:rsidR="008B4F25" w:rsidRPr="00D6550C">
              <w:rPr>
                <w:sz w:val="18"/>
                <w:szCs w:val="18"/>
              </w:rPr>
              <w:t xml:space="preserve">‘Deposits Held at Call with a Financial Institution’ </w:t>
            </w:r>
            <w:r w:rsidRPr="00D6550C">
              <w:rPr>
                <w:sz w:val="18"/>
                <w:szCs w:val="18"/>
              </w:rPr>
              <w:t>of $</w:t>
            </w:r>
            <w:r w:rsidR="00D6550C" w:rsidRPr="00D6550C">
              <w:rPr>
                <w:sz w:val="18"/>
                <w:szCs w:val="18"/>
              </w:rPr>
              <w:t>xxx</w:t>
            </w:r>
            <w:r w:rsidRPr="00D6550C">
              <w:rPr>
                <w:sz w:val="18"/>
                <w:szCs w:val="18"/>
              </w:rPr>
              <w:t xml:space="preserve"> was due to a combination of factors including, an increase in proceeds from the sale of property, plant and equipment, a decrease in the amount of property, plant and equipment purchased, together with an increase in capital contributions received from the ACT Government.</w:t>
            </w:r>
          </w:p>
        </w:tc>
      </w:tr>
      <w:tr w:rsidR="00EB525E" w:rsidRPr="00DD296A" w14:paraId="4322C483" w14:textId="77777777" w:rsidTr="005F5B4C">
        <w:trPr>
          <w:cantSplit/>
          <w:trHeight w:val="23"/>
        </w:trPr>
        <w:tc>
          <w:tcPr>
            <w:tcW w:w="737" w:type="pct"/>
            <w:tcBorders>
              <w:top w:val="nil"/>
              <w:left w:val="single" w:sz="2" w:space="0" w:color="auto"/>
              <w:bottom w:val="nil"/>
              <w:right w:val="single" w:sz="2" w:space="0" w:color="auto"/>
            </w:tcBorders>
          </w:tcPr>
          <w:p w14:paraId="5D4FC2C6" w14:textId="7FFDCAC2" w:rsidR="00EB525E" w:rsidRPr="00EB525E" w:rsidRDefault="00EB525E" w:rsidP="00EB525E">
            <w:pPr>
              <w:pStyle w:val="TableReference"/>
              <w:tabs>
                <w:tab w:val="left" w:pos="3306"/>
              </w:tabs>
              <w:spacing w:before="240"/>
              <w:rPr>
                <w:rFonts w:cs="Calibri"/>
                <w:b/>
                <w:bCs/>
                <w:color w:val="7030A0"/>
                <w:sz w:val="14"/>
              </w:rPr>
            </w:pPr>
            <w:r w:rsidRPr="00EB525E">
              <w:rPr>
                <w:rFonts w:cs="Calibri"/>
                <w:b/>
                <w:bCs/>
                <w:color w:val="7030A0"/>
                <w:sz w:val="22"/>
                <w:szCs w:val="22"/>
              </w:rPr>
              <w:t>Reference</w:t>
            </w:r>
          </w:p>
        </w:tc>
        <w:tc>
          <w:tcPr>
            <w:tcW w:w="4263" w:type="pct"/>
            <w:gridSpan w:val="3"/>
            <w:tcBorders>
              <w:top w:val="nil"/>
              <w:left w:val="single" w:sz="2" w:space="0" w:color="auto"/>
              <w:bottom w:val="nil"/>
              <w:right w:val="nil"/>
            </w:tcBorders>
            <w:shd w:val="clear" w:color="auto" w:fill="auto"/>
          </w:tcPr>
          <w:p w14:paraId="1C494D2F" w14:textId="7F33C18D" w:rsidR="00EB525E" w:rsidRPr="00DD296A" w:rsidRDefault="00EB525E" w:rsidP="00EB525E">
            <w:pPr>
              <w:pStyle w:val="Heading1"/>
              <w:numPr>
                <w:ilvl w:val="0"/>
                <w:numId w:val="0"/>
              </w:numPr>
              <w:ind w:left="1134" w:hanging="1134"/>
              <w:rPr>
                <w:rFonts w:cs="Calibri"/>
                <w:color w:val="000000"/>
              </w:rPr>
            </w:pPr>
            <w:bookmarkStart w:id="489" w:name="_Toc98763106"/>
            <w:r w:rsidRPr="00D6550C">
              <w:t>Note 15.</w:t>
            </w:r>
            <w:r w:rsidR="00FA7C77">
              <w:t xml:space="preserve"> </w:t>
            </w:r>
            <w:r w:rsidRPr="00D6550C">
              <w:t xml:space="preserve"> C</w:t>
            </w:r>
            <w:r>
              <w:t>ash and</w:t>
            </w:r>
            <w:r w:rsidRPr="00D6550C">
              <w:t xml:space="preserve"> Investments</w:t>
            </w:r>
            <w:r>
              <w:t xml:space="preserve"> </w:t>
            </w:r>
            <w:r w:rsidR="00B81B19">
              <w:t>–</w:t>
            </w:r>
            <w:r>
              <w:t xml:space="preserve"> Continued</w:t>
            </w:r>
            <w:bookmarkEnd w:id="489"/>
            <w:r w:rsidR="00B81B19">
              <w:t xml:space="preserve"> </w:t>
            </w:r>
          </w:p>
        </w:tc>
      </w:tr>
      <w:tr w:rsidR="003A2704" w:rsidRPr="00BA0DF6" w14:paraId="7F386585" w14:textId="77777777" w:rsidTr="005F5B4C">
        <w:trPr>
          <w:cantSplit/>
          <w:trHeight w:val="480"/>
        </w:trPr>
        <w:tc>
          <w:tcPr>
            <w:tcW w:w="737" w:type="pct"/>
            <w:tcBorders>
              <w:top w:val="nil"/>
              <w:left w:val="single" w:sz="2" w:space="0" w:color="auto"/>
              <w:bottom w:val="nil"/>
              <w:right w:val="single" w:sz="2" w:space="0" w:color="auto"/>
            </w:tcBorders>
          </w:tcPr>
          <w:p w14:paraId="3039C39F" w14:textId="77777777" w:rsidR="003A2704" w:rsidRPr="00EB525E" w:rsidRDefault="003A2704" w:rsidP="003C4C52">
            <w:pPr>
              <w:pStyle w:val="TableReference"/>
              <w:tabs>
                <w:tab w:val="left" w:pos="3306"/>
              </w:tabs>
              <w:rPr>
                <w:rFonts w:cs="Calibri"/>
                <w:color w:val="7030A0"/>
                <w:sz w:val="14"/>
              </w:rPr>
            </w:pPr>
          </w:p>
        </w:tc>
        <w:tc>
          <w:tcPr>
            <w:tcW w:w="2947" w:type="pct"/>
            <w:tcBorders>
              <w:top w:val="nil"/>
              <w:left w:val="single" w:sz="2" w:space="0" w:color="auto"/>
              <w:bottom w:val="nil"/>
              <w:right w:val="nil"/>
            </w:tcBorders>
            <w:vAlign w:val="bottom"/>
          </w:tcPr>
          <w:p w14:paraId="33127D1C" w14:textId="77777777" w:rsidR="003A2704" w:rsidRPr="00EB525E" w:rsidRDefault="003A2704" w:rsidP="003C4C52">
            <w:pPr>
              <w:pStyle w:val="TableText"/>
              <w:tabs>
                <w:tab w:val="left" w:pos="3306"/>
              </w:tabs>
              <w:spacing w:before="0"/>
              <w:rPr>
                <w:rFonts w:cs="Calibri"/>
              </w:rPr>
            </w:pPr>
          </w:p>
        </w:tc>
        <w:tc>
          <w:tcPr>
            <w:tcW w:w="577" w:type="pct"/>
            <w:tcBorders>
              <w:top w:val="nil"/>
              <w:left w:val="nil"/>
              <w:bottom w:val="nil"/>
              <w:right w:val="nil"/>
            </w:tcBorders>
            <w:vAlign w:val="bottom"/>
          </w:tcPr>
          <w:p w14:paraId="28D198DF" w14:textId="77777777" w:rsidR="003A2704" w:rsidRDefault="003A2704" w:rsidP="003C4C52">
            <w:pPr>
              <w:pStyle w:val="TableTitle"/>
              <w:tabs>
                <w:tab w:val="left" w:pos="3306"/>
              </w:tabs>
              <w:rPr>
                <w:rFonts w:cs="Calibri"/>
              </w:rPr>
            </w:pPr>
            <w:r w:rsidRPr="00EB525E">
              <w:rPr>
                <w:rFonts w:cs="Calibri"/>
              </w:rPr>
              <w:t>2022</w:t>
            </w:r>
            <w:r>
              <w:rPr>
                <w:rFonts w:cs="Calibri"/>
              </w:rPr>
              <w:t xml:space="preserve">    </w:t>
            </w:r>
          </w:p>
          <w:p w14:paraId="6756668C" w14:textId="7794F6EB" w:rsidR="003A2704" w:rsidRPr="00EB525E" w:rsidRDefault="003A2704" w:rsidP="003C4C52">
            <w:pPr>
              <w:pStyle w:val="TableTitle"/>
              <w:tabs>
                <w:tab w:val="left" w:pos="3306"/>
              </w:tabs>
              <w:rPr>
                <w:rFonts w:cs="Calibri"/>
              </w:rPr>
            </w:pPr>
            <w:r>
              <w:rPr>
                <w:rFonts w:cs="Calibri"/>
              </w:rPr>
              <w:t xml:space="preserve"> </w:t>
            </w:r>
            <w:r w:rsidRPr="00EB525E">
              <w:rPr>
                <w:rFonts w:cs="Calibri"/>
              </w:rPr>
              <w:t>$’000</w:t>
            </w:r>
          </w:p>
        </w:tc>
        <w:tc>
          <w:tcPr>
            <w:tcW w:w="739" w:type="pct"/>
            <w:tcBorders>
              <w:top w:val="nil"/>
              <w:left w:val="nil"/>
              <w:bottom w:val="nil"/>
              <w:right w:val="nil"/>
            </w:tcBorders>
            <w:vAlign w:val="bottom"/>
          </w:tcPr>
          <w:p w14:paraId="78A8FEB8" w14:textId="77777777" w:rsidR="003A2704" w:rsidRPr="00EB525E" w:rsidRDefault="003A2704" w:rsidP="003C4C52">
            <w:pPr>
              <w:pStyle w:val="TableTitle"/>
              <w:tabs>
                <w:tab w:val="left" w:pos="3306"/>
              </w:tabs>
              <w:rPr>
                <w:rFonts w:cs="Calibri"/>
              </w:rPr>
            </w:pPr>
            <w:r w:rsidRPr="00EB525E">
              <w:rPr>
                <w:rFonts w:cs="Calibri"/>
              </w:rPr>
              <w:t>2021</w:t>
            </w:r>
          </w:p>
          <w:p w14:paraId="0640CE56" w14:textId="77777777" w:rsidR="003A2704" w:rsidRPr="00EB525E" w:rsidRDefault="003A2704" w:rsidP="003C4C52">
            <w:pPr>
              <w:pStyle w:val="TableTitle"/>
              <w:tabs>
                <w:tab w:val="left" w:pos="3306"/>
              </w:tabs>
              <w:rPr>
                <w:rFonts w:cs="Calibri"/>
              </w:rPr>
            </w:pPr>
            <w:r w:rsidRPr="00EB525E">
              <w:rPr>
                <w:rFonts w:cs="Calibri"/>
              </w:rPr>
              <w:t>$’000</w:t>
            </w:r>
          </w:p>
        </w:tc>
      </w:tr>
      <w:tr w:rsidR="00232C6D" w:rsidRPr="00DD296A" w14:paraId="2EA21F21" w14:textId="77777777" w:rsidTr="005F5B4C">
        <w:trPr>
          <w:cantSplit/>
          <w:trHeight w:val="23"/>
        </w:trPr>
        <w:tc>
          <w:tcPr>
            <w:tcW w:w="737" w:type="pct"/>
            <w:tcBorders>
              <w:top w:val="nil"/>
              <w:left w:val="single" w:sz="2" w:space="0" w:color="auto"/>
              <w:bottom w:val="nil"/>
              <w:right w:val="single" w:sz="2" w:space="0" w:color="auto"/>
            </w:tcBorders>
          </w:tcPr>
          <w:p w14:paraId="6BC31FD3" w14:textId="77777777" w:rsidR="00232C6D" w:rsidRPr="00EB525E" w:rsidRDefault="00232C6D" w:rsidP="00232C6D">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shd w:val="clear" w:color="auto" w:fill="auto"/>
            <w:vAlign w:val="bottom"/>
          </w:tcPr>
          <w:p w14:paraId="37A8DA71" w14:textId="49CC0EE7" w:rsidR="00232C6D" w:rsidRPr="00EB525E" w:rsidRDefault="00232C6D" w:rsidP="008A0F4A">
            <w:pPr>
              <w:pStyle w:val="CommentaryHeading"/>
              <w:tabs>
                <w:tab w:val="left" w:pos="3306"/>
              </w:tabs>
              <w:spacing w:before="0" w:after="120"/>
              <w:rPr>
                <w:rFonts w:cs="Calibri"/>
                <w:sz w:val="18"/>
              </w:rPr>
            </w:pPr>
            <w:r w:rsidRPr="00EB525E">
              <w:rPr>
                <w:rFonts w:cs="Calibri"/>
                <w:sz w:val="18"/>
              </w:rPr>
              <w:t xml:space="preserve">Split of Cash and Investments </w:t>
            </w:r>
          </w:p>
        </w:tc>
        <w:tc>
          <w:tcPr>
            <w:tcW w:w="577" w:type="pct"/>
            <w:tcBorders>
              <w:top w:val="nil"/>
              <w:left w:val="nil"/>
              <w:bottom w:val="nil"/>
              <w:right w:val="nil"/>
            </w:tcBorders>
            <w:vAlign w:val="bottom"/>
          </w:tcPr>
          <w:p w14:paraId="63D0E41C" w14:textId="77777777" w:rsidR="00232C6D" w:rsidRPr="00EB525E" w:rsidRDefault="00232C6D" w:rsidP="00232C6D">
            <w:pPr>
              <w:pStyle w:val="TableText"/>
              <w:tabs>
                <w:tab w:val="left" w:pos="3306"/>
              </w:tabs>
              <w:jc w:val="right"/>
              <w:rPr>
                <w:rFonts w:cs="Calibri"/>
                <w:b/>
                <w:bCs/>
              </w:rPr>
            </w:pPr>
          </w:p>
        </w:tc>
        <w:tc>
          <w:tcPr>
            <w:tcW w:w="739" w:type="pct"/>
            <w:tcBorders>
              <w:top w:val="nil"/>
              <w:left w:val="nil"/>
              <w:bottom w:val="nil"/>
              <w:right w:val="nil"/>
            </w:tcBorders>
            <w:vAlign w:val="bottom"/>
          </w:tcPr>
          <w:p w14:paraId="5FCBF5D0" w14:textId="77777777" w:rsidR="00232C6D" w:rsidRPr="00EB525E" w:rsidRDefault="00232C6D" w:rsidP="00232C6D">
            <w:pPr>
              <w:pStyle w:val="TableText"/>
              <w:tabs>
                <w:tab w:val="left" w:pos="3306"/>
              </w:tabs>
              <w:jc w:val="right"/>
              <w:rPr>
                <w:rFonts w:cs="Calibri"/>
                <w:b/>
                <w:bCs/>
              </w:rPr>
            </w:pPr>
          </w:p>
        </w:tc>
      </w:tr>
      <w:tr w:rsidR="00232C6D" w:rsidRPr="00DD296A" w14:paraId="162E43E9" w14:textId="77777777" w:rsidTr="005F5B4C">
        <w:trPr>
          <w:cantSplit/>
          <w:trHeight w:val="23"/>
        </w:trPr>
        <w:tc>
          <w:tcPr>
            <w:tcW w:w="737" w:type="pct"/>
            <w:tcBorders>
              <w:top w:val="nil"/>
              <w:left w:val="single" w:sz="2" w:space="0" w:color="auto"/>
              <w:bottom w:val="nil"/>
              <w:right w:val="single" w:sz="2" w:space="0" w:color="auto"/>
            </w:tcBorders>
          </w:tcPr>
          <w:p w14:paraId="6242F1B8" w14:textId="3BDA9A13" w:rsidR="00232C6D" w:rsidRPr="00EB525E" w:rsidRDefault="0023781D" w:rsidP="00232C6D">
            <w:pPr>
              <w:pStyle w:val="TableReference"/>
              <w:tabs>
                <w:tab w:val="left" w:pos="3306"/>
              </w:tabs>
              <w:spacing w:before="40"/>
              <w:rPr>
                <w:rFonts w:cs="Calibri"/>
                <w:color w:val="7030A0"/>
                <w:sz w:val="14"/>
              </w:rPr>
            </w:pPr>
            <w:r w:rsidRPr="00EB525E">
              <w:rPr>
                <w:rFonts w:cs="Calibri"/>
                <w:color w:val="7030A0"/>
                <w:sz w:val="14"/>
              </w:rPr>
              <w:t>ACT Disclosure Policy</w:t>
            </w:r>
          </w:p>
        </w:tc>
        <w:tc>
          <w:tcPr>
            <w:tcW w:w="2947" w:type="pct"/>
            <w:tcBorders>
              <w:top w:val="nil"/>
              <w:left w:val="single" w:sz="2" w:space="0" w:color="auto"/>
              <w:bottom w:val="nil"/>
              <w:right w:val="nil"/>
            </w:tcBorders>
            <w:shd w:val="clear" w:color="auto" w:fill="auto"/>
            <w:vAlign w:val="bottom"/>
          </w:tcPr>
          <w:p w14:paraId="3D401734" w14:textId="4A22BA39" w:rsidR="00232C6D" w:rsidRPr="00EB525E" w:rsidRDefault="00232C6D" w:rsidP="00232C6D">
            <w:pPr>
              <w:pStyle w:val="CommentaryHeading"/>
              <w:tabs>
                <w:tab w:val="left" w:pos="3306"/>
              </w:tabs>
              <w:spacing w:before="0" w:after="0"/>
              <w:rPr>
                <w:rFonts w:cs="Calibri"/>
                <w:b w:val="0"/>
                <w:bCs w:val="0"/>
                <w:sz w:val="18"/>
              </w:rPr>
            </w:pPr>
            <w:r w:rsidRPr="00EB525E">
              <w:rPr>
                <w:b w:val="0"/>
                <w:bCs w:val="0"/>
                <w:sz w:val="18"/>
              </w:rPr>
              <w:t>Current Cash and Cash Equivalents</w:t>
            </w:r>
          </w:p>
        </w:tc>
        <w:tc>
          <w:tcPr>
            <w:tcW w:w="577" w:type="pct"/>
            <w:tcBorders>
              <w:top w:val="nil"/>
              <w:left w:val="nil"/>
              <w:bottom w:val="single" w:sz="4" w:space="0" w:color="auto"/>
              <w:right w:val="nil"/>
            </w:tcBorders>
            <w:vAlign w:val="bottom"/>
          </w:tcPr>
          <w:p w14:paraId="5EC70D4A" w14:textId="77777777" w:rsidR="00232C6D" w:rsidRPr="00EB525E" w:rsidRDefault="00232C6D" w:rsidP="00232C6D">
            <w:pPr>
              <w:pStyle w:val="TableText"/>
              <w:tabs>
                <w:tab w:val="left" w:pos="3306"/>
              </w:tabs>
              <w:jc w:val="right"/>
              <w:rPr>
                <w:rFonts w:cs="Calibri"/>
                <w:b/>
                <w:bCs/>
              </w:rPr>
            </w:pPr>
          </w:p>
        </w:tc>
        <w:tc>
          <w:tcPr>
            <w:tcW w:w="739" w:type="pct"/>
            <w:tcBorders>
              <w:top w:val="nil"/>
              <w:left w:val="nil"/>
              <w:bottom w:val="single" w:sz="4" w:space="0" w:color="auto"/>
              <w:right w:val="nil"/>
            </w:tcBorders>
            <w:vAlign w:val="bottom"/>
          </w:tcPr>
          <w:p w14:paraId="1555C333" w14:textId="77777777" w:rsidR="00232C6D" w:rsidRPr="00EB525E" w:rsidRDefault="00232C6D" w:rsidP="00232C6D">
            <w:pPr>
              <w:pStyle w:val="TableText"/>
              <w:tabs>
                <w:tab w:val="left" w:pos="3306"/>
              </w:tabs>
              <w:jc w:val="right"/>
              <w:rPr>
                <w:rFonts w:cs="Calibri"/>
                <w:b/>
                <w:bCs/>
              </w:rPr>
            </w:pPr>
          </w:p>
        </w:tc>
      </w:tr>
      <w:tr w:rsidR="008A0F4A" w:rsidRPr="00DD296A" w14:paraId="40BF39D4" w14:textId="77777777" w:rsidTr="005F5B4C">
        <w:trPr>
          <w:cantSplit/>
          <w:trHeight w:val="23"/>
        </w:trPr>
        <w:tc>
          <w:tcPr>
            <w:tcW w:w="737" w:type="pct"/>
            <w:tcBorders>
              <w:top w:val="nil"/>
              <w:left w:val="single" w:sz="2" w:space="0" w:color="auto"/>
              <w:bottom w:val="nil"/>
              <w:right w:val="single" w:sz="2" w:space="0" w:color="auto"/>
            </w:tcBorders>
          </w:tcPr>
          <w:p w14:paraId="1A711DA5" w14:textId="77777777" w:rsidR="008A0F4A" w:rsidRPr="00EB525E" w:rsidRDefault="008A0F4A" w:rsidP="00232C6D">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shd w:val="clear" w:color="auto" w:fill="auto"/>
            <w:vAlign w:val="bottom"/>
          </w:tcPr>
          <w:p w14:paraId="008B0C13" w14:textId="6DF88094" w:rsidR="008A0F4A" w:rsidRPr="00EB525E" w:rsidRDefault="008A0F4A" w:rsidP="008A0F4A">
            <w:pPr>
              <w:pStyle w:val="CommentaryHeading"/>
              <w:tabs>
                <w:tab w:val="left" w:pos="3306"/>
              </w:tabs>
              <w:spacing w:before="0" w:after="0"/>
              <w:rPr>
                <w:sz w:val="18"/>
              </w:rPr>
            </w:pPr>
            <w:r w:rsidRPr="00EB525E">
              <w:rPr>
                <w:sz w:val="18"/>
              </w:rPr>
              <w:t xml:space="preserve">Total Cash and Cash </w:t>
            </w:r>
            <w:r w:rsidR="00FF0A0E" w:rsidRPr="00EB525E">
              <w:rPr>
                <w:sz w:val="18"/>
              </w:rPr>
              <w:t>Equivalents</w:t>
            </w:r>
            <w:r w:rsidRPr="00EB525E">
              <w:rPr>
                <w:sz w:val="18"/>
              </w:rPr>
              <w:t xml:space="preserve"> </w:t>
            </w:r>
          </w:p>
        </w:tc>
        <w:tc>
          <w:tcPr>
            <w:tcW w:w="577" w:type="pct"/>
            <w:tcBorders>
              <w:top w:val="single" w:sz="4" w:space="0" w:color="auto"/>
              <w:left w:val="nil"/>
              <w:bottom w:val="single" w:sz="4" w:space="0" w:color="auto"/>
              <w:right w:val="nil"/>
            </w:tcBorders>
          </w:tcPr>
          <w:p w14:paraId="715AF32A" w14:textId="77777777" w:rsidR="008A0F4A" w:rsidRPr="00EB525E" w:rsidRDefault="008A0F4A" w:rsidP="008A0F4A">
            <w:pPr>
              <w:pStyle w:val="TableText"/>
              <w:tabs>
                <w:tab w:val="left" w:pos="3306"/>
              </w:tabs>
              <w:jc w:val="right"/>
              <w:rPr>
                <w:rFonts w:cs="Calibri"/>
                <w:b/>
                <w:bCs/>
              </w:rPr>
            </w:pPr>
          </w:p>
        </w:tc>
        <w:tc>
          <w:tcPr>
            <w:tcW w:w="739" w:type="pct"/>
            <w:tcBorders>
              <w:top w:val="single" w:sz="4" w:space="0" w:color="auto"/>
              <w:left w:val="nil"/>
              <w:bottom w:val="single" w:sz="4" w:space="0" w:color="auto"/>
              <w:right w:val="nil"/>
            </w:tcBorders>
          </w:tcPr>
          <w:p w14:paraId="492F904A" w14:textId="77777777" w:rsidR="008A0F4A" w:rsidRPr="00EB525E" w:rsidRDefault="008A0F4A" w:rsidP="008A0F4A">
            <w:pPr>
              <w:pStyle w:val="TableText"/>
              <w:tabs>
                <w:tab w:val="left" w:pos="3306"/>
              </w:tabs>
              <w:jc w:val="right"/>
              <w:rPr>
                <w:rFonts w:cs="Calibri"/>
                <w:b/>
                <w:bCs/>
              </w:rPr>
            </w:pPr>
          </w:p>
        </w:tc>
      </w:tr>
      <w:tr w:rsidR="008A0F4A" w:rsidRPr="008A0F4A" w14:paraId="363726E0" w14:textId="77777777" w:rsidTr="005F5B4C">
        <w:trPr>
          <w:cantSplit/>
          <w:trHeight w:val="23"/>
        </w:trPr>
        <w:tc>
          <w:tcPr>
            <w:tcW w:w="737" w:type="pct"/>
            <w:tcBorders>
              <w:top w:val="nil"/>
              <w:left w:val="single" w:sz="2" w:space="0" w:color="auto"/>
              <w:bottom w:val="nil"/>
              <w:right w:val="single" w:sz="2" w:space="0" w:color="auto"/>
            </w:tcBorders>
          </w:tcPr>
          <w:p w14:paraId="08FC6FC1" w14:textId="77777777" w:rsidR="008A0F4A" w:rsidRPr="00EB525E" w:rsidRDefault="008A0F4A" w:rsidP="008A0F4A">
            <w:pPr>
              <w:pStyle w:val="TableReference"/>
              <w:tabs>
                <w:tab w:val="left" w:pos="3306"/>
              </w:tabs>
              <w:rPr>
                <w:rFonts w:cs="Calibri"/>
                <w:color w:val="7030A0"/>
                <w:szCs w:val="12"/>
              </w:rPr>
            </w:pPr>
          </w:p>
        </w:tc>
        <w:tc>
          <w:tcPr>
            <w:tcW w:w="2947" w:type="pct"/>
            <w:tcBorders>
              <w:top w:val="nil"/>
              <w:left w:val="single" w:sz="2" w:space="0" w:color="auto"/>
              <w:bottom w:val="nil"/>
              <w:right w:val="nil"/>
            </w:tcBorders>
            <w:shd w:val="clear" w:color="auto" w:fill="auto"/>
            <w:vAlign w:val="bottom"/>
          </w:tcPr>
          <w:p w14:paraId="575800C0" w14:textId="77777777" w:rsidR="008A0F4A" w:rsidRPr="00EB525E" w:rsidRDefault="008A0F4A" w:rsidP="008A0F4A">
            <w:pPr>
              <w:pStyle w:val="CommentaryHeading"/>
              <w:tabs>
                <w:tab w:val="left" w:pos="3306"/>
              </w:tabs>
              <w:spacing w:before="0" w:after="0"/>
              <w:rPr>
                <w:sz w:val="18"/>
              </w:rPr>
            </w:pPr>
          </w:p>
        </w:tc>
        <w:tc>
          <w:tcPr>
            <w:tcW w:w="577" w:type="pct"/>
            <w:tcBorders>
              <w:top w:val="single" w:sz="4" w:space="0" w:color="auto"/>
              <w:left w:val="nil"/>
              <w:bottom w:val="nil"/>
              <w:right w:val="nil"/>
            </w:tcBorders>
          </w:tcPr>
          <w:p w14:paraId="6621A415" w14:textId="77777777" w:rsidR="008A0F4A" w:rsidRPr="00EB525E" w:rsidRDefault="008A0F4A" w:rsidP="008A0F4A">
            <w:pPr>
              <w:pStyle w:val="TableText"/>
              <w:tabs>
                <w:tab w:val="left" w:pos="3306"/>
              </w:tabs>
              <w:spacing w:before="0"/>
              <w:jc w:val="right"/>
              <w:rPr>
                <w:rFonts w:cs="Calibri"/>
                <w:b/>
                <w:bCs/>
                <w:sz w:val="12"/>
                <w:szCs w:val="12"/>
              </w:rPr>
            </w:pPr>
          </w:p>
        </w:tc>
        <w:tc>
          <w:tcPr>
            <w:tcW w:w="739" w:type="pct"/>
            <w:tcBorders>
              <w:top w:val="single" w:sz="4" w:space="0" w:color="auto"/>
              <w:left w:val="nil"/>
              <w:bottom w:val="nil"/>
              <w:right w:val="nil"/>
            </w:tcBorders>
          </w:tcPr>
          <w:p w14:paraId="33A0ADC5" w14:textId="77777777" w:rsidR="008A0F4A" w:rsidRPr="00EB525E" w:rsidRDefault="008A0F4A" w:rsidP="008A0F4A">
            <w:pPr>
              <w:pStyle w:val="TableText"/>
              <w:tabs>
                <w:tab w:val="left" w:pos="3306"/>
              </w:tabs>
              <w:spacing w:before="0"/>
              <w:jc w:val="right"/>
              <w:rPr>
                <w:rFonts w:cs="Calibri"/>
                <w:b/>
                <w:bCs/>
                <w:sz w:val="12"/>
                <w:szCs w:val="12"/>
              </w:rPr>
            </w:pPr>
          </w:p>
        </w:tc>
      </w:tr>
      <w:tr w:rsidR="008A0F4A" w:rsidRPr="00DD296A" w14:paraId="5730F354" w14:textId="77777777" w:rsidTr="005F5B4C">
        <w:trPr>
          <w:cantSplit/>
          <w:trHeight w:val="23"/>
        </w:trPr>
        <w:tc>
          <w:tcPr>
            <w:tcW w:w="737" w:type="pct"/>
            <w:tcBorders>
              <w:top w:val="nil"/>
              <w:left w:val="single" w:sz="2" w:space="0" w:color="auto"/>
              <w:bottom w:val="nil"/>
              <w:right w:val="single" w:sz="2" w:space="0" w:color="auto"/>
            </w:tcBorders>
          </w:tcPr>
          <w:p w14:paraId="042F8389" w14:textId="4C559049" w:rsidR="008A0F4A" w:rsidRPr="00EB525E" w:rsidRDefault="0023781D" w:rsidP="00232C6D">
            <w:pPr>
              <w:pStyle w:val="TableReference"/>
              <w:tabs>
                <w:tab w:val="left" w:pos="3306"/>
              </w:tabs>
              <w:spacing w:before="40"/>
              <w:rPr>
                <w:rFonts w:cs="Calibri"/>
                <w:color w:val="7030A0"/>
                <w:sz w:val="14"/>
              </w:rPr>
            </w:pPr>
            <w:r w:rsidRPr="00EB525E">
              <w:rPr>
                <w:rFonts w:cs="Calibri"/>
                <w:color w:val="7030A0"/>
                <w:sz w:val="14"/>
              </w:rPr>
              <w:t>ACT Disclosure Policy</w:t>
            </w:r>
          </w:p>
        </w:tc>
        <w:tc>
          <w:tcPr>
            <w:tcW w:w="2947" w:type="pct"/>
            <w:tcBorders>
              <w:top w:val="nil"/>
              <w:left w:val="single" w:sz="2" w:space="0" w:color="auto"/>
              <w:bottom w:val="nil"/>
              <w:right w:val="nil"/>
            </w:tcBorders>
            <w:shd w:val="clear" w:color="auto" w:fill="auto"/>
            <w:vAlign w:val="bottom"/>
          </w:tcPr>
          <w:p w14:paraId="2DD5DFBC" w14:textId="6D6A4AB7" w:rsidR="008A0F4A" w:rsidRPr="00EB525E" w:rsidRDefault="008A0F4A" w:rsidP="00232C6D">
            <w:pPr>
              <w:pStyle w:val="CommentaryHeading"/>
              <w:tabs>
                <w:tab w:val="left" w:pos="3306"/>
              </w:tabs>
              <w:spacing w:before="0" w:after="0"/>
              <w:rPr>
                <w:b w:val="0"/>
                <w:bCs w:val="0"/>
                <w:sz w:val="18"/>
              </w:rPr>
            </w:pPr>
            <w:r w:rsidRPr="00EB525E">
              <w:rPr>
                <w:b w:val="0"/>
                <w:bCs w:val="0"/>
                <w:sz w:val="18"/>
              </w:rPr>
              <w:t>Current Investments</w:t>
            </w:r>
          </w:p>
        </w:tc>
        <w:tc>
          <w:tcPr>
            <w:tcW w:w="577" w:type="pct"/>
            <w:tcBorders>
              <w:top w:val="nil"/>
              <w:left w:val="nil"/>
              <w:bottom w:val="nil"/>
              <w:right w:val="nil"/>
            </w:tcBorders>
            <w:vAlign w:val="bottom"/>
          </w:tcPr>
          <w:p w14:paraId="00F4F549" w14:textId="77777777" w:rsidR="008A0F4A" w:rsidRPr="00EB525E" w:rsidRDefault="008A0F4A" w:rsidP="00232C6D">
            <w:pPr>
              <w:pStyle w:val="TableText"/>
              <w:tabs>
                <w:tab w:val="left" w:pos="3306"/>
              </w:tabs>
              <w:jc w:val="right"/>
              <w:rPr>
                <w:rFonts w:cs="Calibri"/>
                <w:b/>
                <w:bCs/>
              </w:rPr>
            </w:pPr>
          </w:p>
        </w:tc>
        <w:tc>
          <w:tcPr>
            <w:tcW w:w="739" w:type="pct"/>
            <w:tcBorders>
              <w:top w:val="nil"/>
              <w:left w:val="nil"/>
              <w:bottom w:val="nil"/>
              <w:right w:val="nil"/>
            </w:tcBorders>
            <w:vAlign w:val="bottom"/>
          </w:tcPr>
          <w:p w14:paraId="507297A8" w14:textId="77777777" w:rsidR="008A0F4A" w:rsidRPr="00EB525E" w:rsidRDefault="008A0F4A" w:rsidP="00232C6D">
            <w:pPr>
              <w:pStyle w:val="TableText"/>
              <w:tabs>
                <w:tab w:val="left" w:pos="3306"/>
              </w:tabs>
              <w:jc w:val="right"/>
              <w:rPr>
                <w:rFonts w:cs="Calibri"/>
                <w:b/>
                <w:bCs/>
              </w:rPr>
            </w:pPr>
          </w:p>
        </w:tc>
      </w:tr>
      <w:tr w:rsidR="00232C6D" w:rsidRPr="00DD296A" w14:paraId="07B82CA2" w14:textId="77777777" w:rsidTr="005F5B4C">
        <w:trPr>
          <w:cantSplit/>
          <w:trHeight w:val="23"/>
        </w:trPr>
        <w:tc>
          <w:tcPr>
            <w:tcW w:w="737" w:type="pct"/>
            <w:tcBorders>
              <w:top w:val="nil"/>
              <w:left w:val="single" w:sz="2" w:space="0" w:color="auto"/>
              <w:bottom w:val="nil"/>
              <w:right w:val="single" w:sz="2" w:space="0" w:color="auto"/>
            </w:tcBorders>
          </w:tcPr>
          <w:p w14:paraId="79D18E96" w14:textId="098D2201" w:rsidR="00232C6D" w:rsidRPr="00EB525E" w:rsidRDefault="0023781D" w:rsidP="00232C6D">
            <w:pPr>
              <w:pStyle w:val="TableReference"/>
              <w:tabs>
                <w:tab w:val="left" w:pos="3306"/>
              </w:tabs>
              <w:spacing w:before="40"/>
              <w:rPr>
                <w:rFonts w:cs="Calibri"/>
                <w:color w:val="7030A0"/>
                <w:sz w:val="14"/>
              </w:rPr>
            </w:pPr>
            <w:r w:rsidRPr="00EB525E">
              <w:rPr>
                <w:rFonts w:cs="Calibri"/>
                <w:color w:val="7030A0"/>
                <w:sz w:val="14"/>
              </w:rPr>
              <w:t>ACT Disclosure Policy</w:t>
            </w:r>
          </w:p>
        </w:tc>
        <w:tc>
          <w:tcPr>
            <w:tcW w:w="2947" w:type="pct"/>
            <w:tcBorders>
              <w:top w:val="nil"/>
              <w:left w:val="single" w:sz="2" w:space="0" w:color="auto"/>
              <w:bottom w:val="nil"/>
              <w:right w:val="nil"/>
            </w:tcBorders>
            <w:shd w:val="clear" w:color="auto" w:fill="auto"/>
            <w:vAlign w:val="bottom"/>
          </w:tcPr>
          <w:p w14:paraId="77580886" w14:textId="5314CC04" w:rsidR="00232C6D" w:rsidRPr="00EB525E" w:rsidRDefault="00232C6D" w:rsidP="00232C6D">
            <w:pPr>
              <w:pStyle w:val="CommentaryHeading"/>
              <w:tabs>
                <w:tab w:val="left" w:pos="3306"/>
              </w:tabs>
              <w:spacing w:before="0" w:after="0"/>
              <w:rPr>
                <w:rFonts w:cs="Calibri"/>
                <w:b w:val="0"/>
                <w:bCs w:val="0"/>
                <w:sz w:val="18"/>
              </w:rPr>
            </w:pPr>
            <w:r w:rsidRPr="00EB525E">
              <w:rPr>
                <w:rFonts w:cs="Calibri"/>
                <w:b w:val="0"/>
                <w:bCs w:val="0"/>
                <w:sz w:val="18"/>
              </w:rPr>
              <w:t>Non-Current Investments</w:t>
            </w:r>
          </w:p>
        </w:tc>
        <w:tc>
          <w:tcPr>
            <w:tcW w:w="577" w:type="pct"/>
            <w:tcBorders>
              <w:top w:val="nil"/>
              <w:left w:val="nil"/>
              <w:bottom w:val="single" w:sz="4" w:space="0" w:color="auto"/>
              <w:right w:val="nil"/>
            </w:tcBorders>
            <w:vAlign w:val="bottom"/>
          </w:tcPr>
          <w:p w14:paraId="074BFC96" w14:textId="77777777" w:rsidR="00232C6D" w:rsidRPr="00EB525E" w:rsidRDefault="00232C6D" w:rsidP="00232C6D">
            <w:pPr>
              <w:pStyle w:val="TableText"/>
              <w:tabs>
                <w:tab w:val="left" w:pos="3306"/>
              </w:tabs>
              <w:jc w:val="right"/>
              <w:rPr>
                <w:rFonts w:cs="Calibri"/>
                <w:b/>
                <w:bCs/>
              </w:rPr>
            </w:pPr>
          </w:p>
        </w:tc>
        <w:tc>
          <w:tcPr>
            <w:tcW w:w="739" w:type="pct"/>
            <w:tcBorders>
              <w:top w:val="nil"/>
              <w:left w:val="nil"/>
              <w:bottom w:val="single" w:sz="4" w:space="0" w:color="auto"/>
              <w:right w:val="nil"/>
            </w:tcBorders>
            <w:vAlign w:val="bottom"/>
          </w:tcPr>
          <w:p w14:paraId="0925BC5F" w14:textId="77777777" w:rsidR="00232C6D" w:rsidRPr="00EB525E" w:rsidRDefault="00232C6D" w:rsidP="00232C6D">
            <w:pPr>
              <w:pStyle w:val="TableText"/>
              <w:tabs>
                <w:tab w:val="left" w:pos="3306"/>
              </w:tabs>
              <w:jc w:val="right"/>
              <w:rPr>
                <w:rFonts w:cs="Calibri"/>
                <w:b/>
                <w:bCs/>
              </w:rPr>
            </w:pPr>
          </w:p>
        </w:tc>
      </w:tr>
      <w:tr w:rsidR="00232C6D" w:rsidRPr="00DD296A" w14:paraId="7AE330ED" w14:textId="77777777" w:rsidTr="005F5B4C">
        <w:trPr>
          <w:cantSplit/>
          <w:trHeight w:val="23"/>
        </w:trPr>
        <w:tc>
          <w:tcPr>
            <w:tcW w:w="737" w:type="pct"/>
            <w:tcBorders>
              <w:top w:val="nil"/>
              <w:left w:val="single" w:sz="2" w:space="0" w:color="auto"/>
              <w:bottom w:val="nil"/>
              <w:right w:val="single" w:sz="2" w:space="0" w:color="auto"/>
            </w:tcBorders>
          </w:tcPr>
          <w:p w14:paraId="384DB929" w14:textId="77777777" w:rsidR="00232C6D" w:rsidRPr="00EB525E" w:rsidRDefault="00232C6D" w:rsidP="00232C6D">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shd w:val="clear" w:color="auto" w:fill="auto"/>
            <w:vAlign w:val="bottom"/>
          </w:tcPr>
          <w:p w14:paraId="18C524D4" w14:textId="655D8040" w:rsidR="00232C6D" w:rsidRPr="00EB525E" w:rsidRDefault="00232C6D" w:rsidP="008A0F4A">
            <w:pPr>
              <w:pStyle w:val="CommentaryHeading"/>
              <w:tabs>
                <w:tab w:val="left" w:pos="3306"/>
              </w:tabs>
              <w:spacing w:before="0" w:after="0"/>
              <w:rPr>
                <w:rFonts w:cs="Calibri"/>
                <w:sz w:val="18"/>
              </w:rPr>
            </w:pPr>
            <w:r w:rsidRPr="00EB525E">
              <w:rPr>
                <w:rFonts w:cs="Calibri"/>
                <w:sz w:val="18"/>
              </w:rPr>
              <w:t>Total Investments</w:t>
            </w:r>
          </w:p>
        </w:tc>
        <w:tc>
          <w:tcPr>
            <w:tcW w:w="577" w:type="pct"/>
            <w:tcBorders>
              <w:top w:val="single" w:sz="4" w:space="0" w:color="auto"/>
              <w:left w:val="nil"/>
              <w:bottom w:val="single" w:sz="4" w:space="0" w:color="auto"/>
              <w:right w:val="nil"/>
            </w:tcBorders>
            <w:vAlign w:val="bottom"/>
          </w:tcPr>
          <w:p w14:paraId="5E228D17" w14:textId="77777777" w:rsidR="00232C6D" w:rsidRPr="00EB525E" w:rsidRDefault="00232C6D" w:rsidP="008A0F4A">
            <w:pPr>
              <w:pStyle w:val="TableText"/>
              <w:tabs>
                <w:tab w:val="left" w:pos="3306"/>
              </w:tabs>
              <w:spacing w:before="0"/>
              <w:jc w:val="right"/>
              <w:rPr>
                <w:rFonts w:cs="Calibri"/>
                <w:b/>
                <w:bCs/>
              </w:rPr>
            </w:pPr>
          </w:p>
        </w:tc>
        <w:tc>
          <w:tcPr>
            <w:tcW w:w="739" w:type="pct"/>
            <w:tcBorders>
              <w:top w:val="single" w:sz="4" w:space="0" w:color="auto"/>
              <w:left w:val="nil"/>
              <w:bottom w:val="single" w:sz="4" w:space="0" w:color="auto"/>
              <w:right w:val="nil"/>
            </w:tcBorders>
            <w:vAlign w:val="bottom"/>
          </w:tcPr>
          <w:p w14:paraId="6E8B8E68" w14:textId="77777777" w:rsidR="00232C6D" w:rsidRPr="00EB525E" w:rsidRDefault="00232C6D" w:rsidP="008A0F4A">
            <w:pPr>
              <w:pStyle w:val="TableText"/>
              <w:tabs>
                <w:tab w:val="left" w:pos="3306"/>
              </w:tabs>
              <w:spacing w:before="0"/>
              <w:jc w:val="right"/>
              <w:rPr>
                <w:rFonts w:cs="Calibri"/>
                <w:b/>
                <w:bCs/>
              </w:rPr>
            </w:pPr>
          </w:p>
        </w:tc>
      </w:tr>
      <w:tr w:rsidR="008A0F4A" w:rsidRPr="008A0F4A" w14:paraId="630648B3" w14:textId="77777777" w:rsidTr="005F5B4C">
        <w:trPr>
          <w:cantSplit/>
          <w:trHeight w:val="23"/>
        </w:trPr>
        <w:tc>
          <w:tcPr>
            <w:tcW w:w="737" w:type="pct"/>
            <w:tcBorders>
              <w:top w:val="nil"/>
              <w:left w:val="single" w:sz="2" w:space="0" w:color="auto"/>
              <w:bottom w:val="nil"/>
              <w:right w:val="single" w:sz="2" w:space="0" w:color="auto"/>
            </w:tcBorders>
          </w:tcPr>
          <w:p w14:paraId="5BFBA8F4" w14:textId="77777777" w:rsidR="008A0F4A" w:rsidRPr="00EB525E" w:rsidRDefault="008A0F4A" w:rsidP="008A0F4A">
            <w:pPr>
              <w:pStyle w:val="TableReference"/>
              <w:tabs>
                <w:tab w:val="left" w:pos="3306"/>
              </w:tabs>
              <w:rPr>
                <w:rFonts w:cs="Calibri"/>
                <w:color w:val="7030A0"/>
                <w:szCs w:val="12"/>
              </w:rPr>
            </w:pPr>
          </w:p>
        </w:tc>
        <w:tc>
          <w:tcPr>
            <w:tcW w:w="2947" w:type="pct"/>
            <w:tcBorders>
              <w:top w:val="nil"/>
              <w:left w:val="single" w:sz="2" w:space="0" w:color="auto"/>
              <w:bottom w:val="nil"/>
              <w:right w:val="nil"/>
            </w:tcBorders>
            <w:shd w:val="clear" w:color="auto" w:fill="auto"/>
            <w:vAlign w:val="bottom"/>
          </w:tcPr>
          <w:p w14:paraId="608D6FC8" w14:textId="77777777" w:rsidR="008A0F4A" w:rsidRPr="00EB525E" w:rsidRDefault="008A0F4A" w:rsidP="008A0F4A">
            <w:pPr>
              <w:pStyle w:val="CommentaryHeading"/>
              <w:tabs>
                <w:tab w:val="left" w:pos="3306"/>
              </w:tabs>
              <w:spacing w:before="0" w:after="0"/>
              <w:rPr>
                <w:rFonts w:cs="Calibri"/>
                <w:sz w:val="18"/>
              </w:rPr>
            </w:pPr>
          </w:p>
        </w:tc>
        <w:tc>
          <w:tcPr>
            <w:tcW w:w="577" w:type="pct"/>
            <w:tcBorders>
              <w:top w:val="single" w:sz="4" w:space="0" w:color="auto"/>
              <w:left w:val="nil"/>
              <w:bottom w:val="single" w:sz="4" w:space="0" w:color="auto"/>
              <w:right w:val="nil"/>
            </w:tcBorders>
            <w:vAlign w:val="bottom"/>
          </w:tcPr>
          <w:p w14:paraId="2D062F03" w14:textId="77777777" w:rsidR="008A0F4A" w:rsidRPr="00EB525E" w:rsidRDefault="008A0F4A" w:rsidP="008A0F4A">
            <w:pPr>
              <w:pStyle w:val="TableText"/>
              <w:tabs>
                <w:tab w:val="left" w:pos="3306"/>
              </w:tabs>
              <w:spacing w:before="0"/>
              <w:jc w:val="right"/>
              <w:rPr>
                <w:rFonts w:cs="Calibri"/>
                <w:b/>
                <w:bCs/>
                <w:sz w:val="12"/>
                <w:szCs w:val="12"/>
              </w:rPr>
            </w:pPr>
          </w:p>
        </w:tc>
        <w:tc>
          <w:tcPr>
            <w:tcW w:w="739" w:type="pct"/>
            <w:tcBorders>
              <w:top w:val="single" w:sz="4" w:space="0" w:color="auto"/>
              <w:left w:val="nil"/>
              <w:bottom w:val="single" w:sz="4" w:space="0" w:color="auto"/>
              <w:right w:val="nil"/>
            </w:tcBorders>
            <w:vAlign w:val="bottom"/>
          </w:tcPr>
          <w:p w14:paraId="61465A62" w14:textId="77777777" w:rsidR="008A0F4A" w:rsidRPr="00EB525E" w:rsidRDefault="008A0F4A" w:rsidP="008A0F4A">
            <w:pPr>
              <w:pStyle w:val="TableText"/>
              <w:tabs>
                <w:tab w:val="left" w:pos="3306"/>
              </w:tabs>
              <w:spacing w:before="0"/>
              <w:jc w:val="right"/>
              <w:rPr>
                <w:rFonts w:cs="Calibri"/>
                <w:b/>
                <w:bCs/>
                <w:sz w:val="12"/>
                <w:szCs w:val="12"/>
              </w:rPr>
            </w:pPr>
          </w:p>
        </w:tc>
      </w:tr>
      <w:tr w:rsidR="00232C6D" w:rsidRPr="00DD296A" w14:paraId="2C4ECF15" w14:textId="77777777" w:rsidTr="005F5B4C">
        <w:trPr>
          <w:cantSplit/>
          <w:trHeight w:val="23"/>
        </w:trPr>
        <w:tc>
          <w:tcPr>
            <w:tcW w:w="737" w:type="pct"/>
            <w:tcBorders>
              <w:top w:val="nil"/>
              <w:left w:val="single" w:sz="2" w:space="0" w:color="auto"/>
              <w:bottom w:val="nil"/>
              <w:right w:val="single" w:sz="2" w:space="0" w:color="auto"/>
            </w:tcBorders>
          </w:tcPr>
          <w:p w14:paraId="7AD131D0" w14:textId="77777777" w:rsidR="00232C6D" w:rsidRPr="00EB525E" w:rsidRDefault="00232C6D" w:rsidP="00232C6D">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shd w:val="clear" w:color="auto" w:fill="auto"/>
            <w:vAlign w:val="bottom"/>
          </w:tcPr>
          <w:p w14:paraId="4670FB89" w14:textId="12558435" w:rsidR="00232C6D" w:rsidRPr="00EB525E" w:rsidRDefault="00232C6D" w:rsidP="00232C6D">
            <w:pPr>
              <w:pStyle w:val="CommentaryHeading"/>
              <w:tabs>
                <w:tab w:val="left" w:pos="3306"/>
              </w:tabs>
              <w:spacing w:before="0" w:after="0"/>
              <w:rPr>
                <w:rFonts w:cs="Calibri"/>
                <w:sz w:val="18"/>
              </w:rPr>
            </w:pPr>
            <w:r w:rsidRPr="00EB525E">
              <w:rPr>
                <w:rFonts w:cs="Calibri"/>
                <w:sz w:val="18"/>
              </w:rPr>
              <w:t>Total Cash and Investments</w:t>
            </w:r>
          </w:p>
        </w:tc>
        <w:tc>
          <w:tcPr>
            <w:tcW w:w="577" w:type="pct"/>
            <w:tcBorders>
              <w:top w:val="single" w:sz="4" w:space="0" w:color="auto"/>
              <w:left w:val="nil"/>
              <w:bottom w:val="double" w:sz="4" w:space="0" w:color="auto"/>
              <w:right w:val="nil"/>
            </w:tcBorders>
            <w:vAlign w:val="bottom"/>
          </w:tcPr>
          <w:p w14:paraId="776EA416" w14:textId="77777777" w:rsidR="00232C6D" w:rsidRPr="00EB525E" w:rsidRDefault="00232C6D" w:rsidP="00232C6D">
            <w:pPr>
              <w:pStyle w:val="TableText"/>
              <w:tabs>
                <w:tab w:val="left" w:pos="3306"/>
              </w:tabs>
              <w:jc w:val="right"/>
              <w:rPr>
                <w:rFonts w:cs="Calibri"/>
                <w:b/>
                <w:bCs/>
              </w:rPr>
            </w:pPr>
          </w:p>
        </w:tc>
        <w:tc>
          <w:tcPr>
            <w:tcW w:w="739" w:type="pct"/>
            <w:tcBorders>
              <w:top w:val="single" w:sz="4" w:space="0" w:color="auto"/>
              <w:left w:val="nil"/>
              <w:bottom w:val="double" w:sz="4" w:space="0" w:color="auto"/>
              <w:right w:val="nil"/>
            </w:tcBorders>
            <w:vAlign w:val="bottom"/>
          </w:tcPr>
          <w:p w14:paraId="6A99E0B7" w14:textId="77777777" w:rsidR="00232C6D" w:rsidRPr="00EB525E" w:rsidRDefault="00232C6D" w:rsidP="00232C6D">
            <w:pPr>
              <w:pStyle w:val="TableText"/>
              <w:tabs>
                <w:tab w:val="left" w:pos="3306"/>
              </w:tabs>
              <w:jc w:val="right"/>
              <w:rPr>
                <w:rFonts w:cs="Calibri"/>
                <w:b/>
                <w:bCs/>
              </w:rPr>
            </w:pPr>
          </w:p>
        </w:tc>
      </w:tr>
      <w:tr w:rsidR="00232C6D" w:rsidRPr="00DD296A" w14:paraId="2364D48A" w14:textId="77777777" w:rsidTr="005F5B4C">
        <w:trPr>
          <w:cantSplit/>
          <w:trHeight w:val="23"/>
        </w:trPr>
        <w:tc>
          <w:tcPr>
            <w:tcW w:w="737" w:type="pct"/>
            <w:tcBorders>
              <w:top w:val="nil"/>
              <w:left w:val="single" w:sz="2" w:space="0" w:color="auto"/>
              <w:bottom w:val="nil"/>
              <w:right w:val="single" w:sz="2" w:space="0" w:color="auto"/>
            </w:tcBorders>
          </w:tcPr>
          <w:p w14:paraId="23B6BF67" w14:textId="77777777" w:rsidR="00232C6D" w:rsidRPr="00EB525E" w:rsidRDefault="00232C6D" w:rsidP="00232C6D">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shd w:val="clear" w:color="auto" w:fill="auto"/>
          </w:tcPr>
          <w:p w14:paraId="34D98D16" w14:textId="77777777" w:rsidR="00232C6D" w:rsidRPr="00EB525E" w:rsidRDefault="00232C6D" w:rsidP="00232C6D">
            <w:pPr>
              <w:pStyle w:val="CommentaryHeading"/>
              <w:tabs>
                <w:tab w:val="left" w:pos="3306"/>
              </w:tabs>
              <w:spacing w:before="0" w:after="0"/>
              <w:rPr>
                <w:rFonts w:cs="Calibri"/>
                <w:sz w:val="18"/>
              </w:rPr>
            </w:pPr>
          </w:p>
        </w:tc>
        <w:tc>
          <w:tcPr>
            <w:tcW w:w="577" w:type="pct"/>
            <w:tcBorders>
              <w:top w:val="double" w:sz="4" w:space="0" w:color="auto"/>
              <w:left w:val="nil"/>
              <w:bottom w:val="nil"/>
              <w:right w:val="nil"/>
            </w:tcBorders>
            <w:vAlign w:val="bottom"/>
          </w:tcPr>
          <w:p w14:paraId="19066773" w14:textId="77777777" w:rsidR="00232C6D" w:rsidRPr="00EB525E" w:rsidRDefault="00232C6D" w:rsidP="00232C6D">
            <w:pPr>
              <w:pStyle w:val="TableText"/>
              <w:tabs>
                <w:tab w:val="left" w:pos="3306"/>
              </w:tabs>
              <w:jc w:val="right"/>
              <w:rPr>
                <w:rFonts w:cs="Calibri"/>
                <w:b/>
                <w:bCs/>
              </w:rPr>
            </w:pPr>
          </w:p>
        </w:tc>
        <w:tc>
          <w:tcPr>
            <w:tcW w:w="739" w:type="pct"/>
            <w:tcBorders>
              <w:top w:val="double" w:sz="4" w:space="0" w:color="auto"/>
              <w:left w:val="nil"/>
              <w:bottom w:val="nil"/>
              <w:right w:val="nil"/>
            </w:tcBorders>
            <w:vAlign w:val="bottom"/>
          </w:tcPr>
          <w:p w14:paraId="25BB742E" w14:textId="77777777" w:rsidR="00232C6D" w:rsidRPr="00EB525E" w:rsidRDefault="00232C6D" w:rsidP="00232C6D">
            <w:pPr>
              <w:pStyle w:val="TableText"/>
              <w:tabs>
                <w:tab w:val="left" w:pos="3306"/>
              </w:tabs>
              <w:jc w:val="right"/>
              <w:rPr>
                <w:rFonts w:cs="Calibri"/>
                <w:b/>
                <w:bCs/>
              </w:rPr>
            </w:pPr>
          </w:p>
        </w:tc>
      </w:tr>
      <w:tr w:rsidR="000E78AE" w:rsidRPr="00CF7E1B" w14:paraId="66084F7C" w14:textId="77777777" w:rsidTr="005F5B4C">
        <w:trPr>
          <w:cantSplit/>
          <w:trHeight w:val="23"/>
        </w:trPr>
        <w:tc>
          <w:tcPr>
            <w:tcW w:w="737" w:type="pct"/>
            <w:tcBorders>
              <w:top w:val="nil"/>
              <w:left w:val="single" w:sz="2" w:space="0" w:color="auto"/>
              <w:bottom w:val="nil"/>
              <w:right w:val="single" w:sz="2" w:space="0" w:color="auto"/>
            </w:tcBorders>
          </w:tcPr>
          <w:p w14:paraId="3A6E617E" w14:textId="77777777" w:rsidR="000E78AE" w:rsidRPr="00EB525E" w:rsidRDefault="000E78AE" w:rsidP="009A0F2F">
            <w:pPr>
              <w:pStyle w:val="TableReference"/>
              <w:tabs>
                <w:tab w:val="left" w:pos="3306"/>
              </w:tabs>
              <w:rPr>
                <w:rFonts w:cs="Calibri"/>
                <w:color w:val="7030A0"/>
                <w:sz w:val="14"/>
              </w:rPr>
            </w:pPr>
            <w:r w:rsidRPr="00EB525E">
              <w:rPr>
                <w:rFonts w:cs="Calibri"/>
                <w:color w:val="7030A0"/>
                <w:sz w:val="14"/>
              </w:rPr>
              <w:t>AASB 107.45</w:t>
            </w:r>
          </w:p>
        </w:tc>
        <w:tc>
          <w:tcPr>
            <w:tcW w:w="4263" w:type="pct"/>
            <w:gridSpan w:val="3"/>
            <w:tcBorders>
              <w:top w:val="nil"/>
              <w:left w:val="single" w:sz="2" w:space="0" w:color="auto"/>
              <w:bottom w:val="nil"/>
              <w:right w:val="nil"/>
            </w:tcBorders>
            <w:vAlign w:val="bottom"/>
          </w:tcPr>
          <w:p w14:paraId="379EE6C8" w14:textId="2CE821CD" w:rsidR="000E78AE" w:rsidRPr="00EB525E" w:rsidRDefault="000E78AE" w:rsidP="009A0F2F">
            <w:pPr>
              <w:pStyle w:val="TableText"/>
              <w:spacing w:before="0"/>
              <w:ind w:left="290" w:hanging="284"/>
              <w:jc w:val="both"/>
              <w:rPr>
                <w:rFonts w:cs="Calibri"/>
                <w:b/>
              </w:rPr>
            </w:pPr>
            <w:r w:rsidRPr="00EB525E">
              <w:rPr>
                <w:rFonts w:cs="Calibri"/>
                <w:b/>
              </w:rPr>
              <w:t>(</w:t>
            </w:r>
            <w:r w:rsidR="00AE70BA" w:rsidRPr="00EB525E">
              <w:rPr>
                <w:rFonts w:cs="Calibri"/>
                <w:b/>
              </w:rPr>
              <w:t>b</w:t>
            </w:r>
            <w:r w:rsidRPr="00EB525E">
              <w:rPr>
                <w:rFonts w:cs="Calibri"/>
                <w:b/>
              </w:rPr>
              <w:t>)</w:t>
            </w:r>
            <w:r w:rsidRPr="00EB525E">
              <w:rPr>
                <w:rFonts w:cs="Calibri"/>
                <w:b/>
              </w:rPr>
              <w:tab/>
              <w:t>Reconciliation of Cash and Cash Equivalents at the End of the Reporting Period in the Statement of Cash Flows to the Equivalent Items in the Balance Sheet.</w:t>
            </w:r>
            <w:r w:rsidR="00FA7C77">
              <w:rPr>
                <w:rFonts w:cs="Calibri"/>
                <w:b/>
              </w:rPr>
              <w:t xml:space="preserve"> </w:t>
            </w:r>
          </w:p>
        </w:tc>
      </w:tr>
      <w:tr w:rsidR="000E78AE" w:rsidRPr="00BA0DF6" w14:paraId="31AB47A2" w14:textId="77777777" w:rsidTr="005F5B4C">
        <w:trPr>
          <w:cantSplit/>
          <w:trHeight w:val="23"/>
        </w:trPr>
        <w:tc>
          <w:tcPr>
            <w:tcW w:w="737" w:type="pct"/>
            <w:tcBorders>
              <w:top w:val="nil"/>
              <w:left w:val="single" w:sz="2" w:space="0" w:color="auto"/>
              <w:bottom w:val="nil"/>
              <w:right w:val="single" w:sz="2" w:space="0" w:color="auto"/>
            </w:tcBorders>
          </w:tcPr>
          <w:p w14:paraId="5600F347" w14:textId="77777777" w:rsidR="000E78AE" w:rsidRPr="00EB525E" w:rsidRDefault="000E78AE" w:rsidP="009A0F2F">
            <w:pPr>
              <w:pStyle w:val="TableReference"/>
              <w:tabs>
                <w:tab w:val="left" w:pos="3306"/>
              </w:tabs>
              <w:spacing w:before="40"/>
              <w:rPr>
                <w:rFonts w:cs="Calibri"/>
                <w:color w:val="7030A0"/>
                <w:sz w:val="14"/>
              </w:rPr>
            </w:pPr>
            <w:r w:rsidRPr="00EB525E">
              <w:rPr>
                <w:rFonts w:cs="Calibri"/>
                <w:color w:val="7030A0"/>
                <w:sz w:val="14"/>
              </w:rPr>
              <w:t xml:space="preserve"> </w:t>
            </w:r>
          </w:p>
        </w:tc>
        <w:tc>
          <w:tcPr>
            <w:tcW w:w="2947" w:type="pct"/>
            <w:tcBorders>
              <w:top w:val="nil"/>
              <w:left w:val="single" w:sz="2" w:space="0" w:color="auto"/>
              <w:bottom w:val="nil"/>
              <w:right w:val="nil"/>
            </w:tcBorders>
            <w:vAlign w:val="bottom"/>
          </w:tcPr>
          <w:p w14:paraId="7D81D82F" w14:textId="77777777" w:rsidR="000E78AE" w:rsidRPr="00EB525E" w:rsidRDefault="000E78AE" w:rsidP="009A0F2F">
            <w:pPr>
              <w:pStyle w:val="TableText"/>
              <w:tabs>
                <w:tab w:val="left" w:pos="3306"/>
              </w:tabs>
              <w:rPr>
                <w:rFonts w:cs="Calibri"/>
              </w:rPr>
            </w:pPr>
            <w:r w:rsidRPr="00EB525E">
              <w:rPr>
                <w:rFonts w:cs="Calibri"/>
              </w:rPr>
              <w:t>Total Cash and Cash Equivalents Recorded in the Balance Sheet</w:t>
            </w:r>
          </w:p>
        </w:tc>
        <w:tc>
          <w:tcPr>
            <w:tcW w:w="577" w:type="pct"/>
            <w:tcBorders>
              <w:top w:val="nil"/>
              <w:left w:val="nil"/>
              <w:bottom w:val="nil"/>
              <w:right w:val="nil"/>
            </w:tcBorders>
            <w:vAlign w:val="bottom"/>
          </w:tcPr>
          <w:p w14:paraId="794F8AC4" w14:textId="77777777" w:rsidR="000E78AE" w:rsidRPr="00EB525E" w:rsidRDefault="000E78AE" w:rsidP="009A0F2F">
            <w:pPr>
              <w:pStyle w:val="TableText"/>
              <w:tabs>
                <w:tab w:val="left" w:pos="3306"/>
              </w:tabs>
              <w:jc w:val="right"/>
              <w:rPr>
                <w:rFonts w:cs="Calibri"/>
                <w:strike/>
              </w:rPr>
            </w:pPr>
          </w:p>
        </w:tc>
        <w:tc>
          <w:tcPr>
            <w:tcW w:w="739" w:type="pct"/>
            <w:tcBorders>
              <w:top w:val="nil"/>
              <w:left w:val="nil"/>
              <w:bottom w:val="nil"/>
              <w:right w:val="nil"/>
            </w:tcBorders>
            <w:vAlign w:val="bottom"/>
          </w:tcPr>
          <w:p w14:paraId="7B8B7F9B" w14:textId="77777777" w:rsidR="000E78AE" w:rsidRPr="00EB525E" w:rsidRDefault="000E78AE" w:rsidP="009A0F2F">
            <w:pPr>
              <w:pStyle w:val="TableText"/>
              <w:tabs>
                <w:tab w:val="left" w:pos="3306"/>
              </w:tabs>
              <w:jc w:val="right"/>
              <w:rPr>
                <w:rFonts w:cs="Calibri"/>
                <w:strike/>
              </w:rPr>
            </w:pPr>
          </w:p>
        </w:tc>
      </w:tr>
      <w:tr w:rsidR="000E78AE" w:rsidRPr="00BA0DF6" w14:paraId="75B441F8" w14:textId="77777777" w:rsidTr="005F5B4C">
        <w:trPr>
          <w:cantSplit/>
          <w:trHeight w:val="23"/>
        </w:trPr>
        <w:tc>
          <w:tcPr>
            <w:tcW w:w="737" w:type="pct"/>
            <w:tcBorders>
              <w:top w:val="nil"/>
              <w:left w:val="single" w:sz="2" w:space="0" w:color="auto"/>
              <w:bottom w:val="nil"/>
              <w:right w:val="single" w:sz="2" w:space="0" w:color="auto"/>
            </w:tcBorders>
          </w:tcPr>
          <w:p w14:paraId="12E7E21A"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4D9C786" w14:textId="77777777" w:rsidR="000E78AE" w:rsidRPr="00EB525E" w:rsidRDefault="000E78AE" w:rsidP="009A0F2F">
            <w:pPr>
              <w:pStyle w:val="TableText"/>
              <w:tabs>
                <w:tab w:val="left" w:pos="3306"/>
              </w:tabs>
              <w:rPr>
                <w:rFonts w:cs="Calibri"/>
              </w:rPr>
            </w:pPr>
            <w:r w:rsidRPr="00EB525E">
              <w:rPr>
                <w:rFonts w:cs="Calibri"/>
              </w:rPr>
              <w:t>Bank Overdraft</w:t>
            </w:r>
          </w:p>
        </w:tc>
        <w:tc>
          <w:tcPr>
            <w:tcW w:w="577" w:type="pct"/>
            <w:tcBorders>
              <w:top w:val="nil"/>
              <w:left w:val="nil"/>
              <w:bottom w:val="single" w:sz="2" w:space="0" w:color="auto"/>
              <w:right w:val="nil"/>
            </w:tcBorders>
            <w:vAlign w:val="bottom"/>
          </w:tcPr>
          <w:p w14:paraId="11C855D8"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4D92041A" w14:textId="77777777" w:rsidR="000E78AE" w:rsidRPr="00EB525E" w:rsidRDefault="000E78AE" w:rsidP="009A0F2F">
            <w:pPr>
              <w:pStyle w:val="TableText"/>
              <w:tabs>
                <w:tab w:val="left" w:pos="3306"/>
              </w:tabs>
              <w:jc w:val="right"/>
              <w:rPr>
                <w:rFonts w:cs="Calibri"/>
              </w:rPr>
            </w:pPr>
          </w:p>
        </w:tc>
      </w:tr>
      <w:tr w:rsidR="000E78AE" w:rsidRPr="00BA0DF6" w14:paraId="045AE5A9" w14:textId="77777777" w:rsidTr="005F5B4C">
        <w:trPr>
          <w:cantSplit/>
          <w:trHeight w:val="23"/>
        </w:trPr>
        <w:tc>
          <w:tcPr>
            <w:tcW w:w="737" w:type="pct"/>
            <w:tcBorders>
              <w:top w:val="nil"/>
              <w:left w:val="single" w:sz="2" w:space="0" w:color="auto"/>
              <w:bottom w:val="nil"/>
              <w:right w:val="single" w:sz="2" w:space="0" w:color="auto"/>
            </w:tcBorders>
          </w:tcPr>
          <w:p w14:paraId="1F53AFD9"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88DC8E8" w14:textId="77777777" w:rsidR="000E78AE" w:rsidRPr="00EB525E" w:rsidRDefault="000E78AE" w:rsidP="009A0F2F">
            <w:pPr>
              <w:pStyle w:val="TableText"/>
              <w:tabs>
                <w:tab w:val="left" w:pos="3306"/>
              </w:tabs>
              <w:rPr>
                <w:rFonts w:cs="Calibri"/>
                <w:b/>
                <w:bCs/>
              </w:rPr>
            </w:pPr>
            <w:r w:rsidRPr="00EB525E">
              <w:rPr>
                <w:rFonts w:cs="Calibri"/>
                <w:b/>
                <w:bCs/>
              </w:rPr>
              <w:t xml:space="preserve">Cash and Cash Equivalents at the End of the Reporting Period as Recorded in the </w:t>
            </w:r>
            <w:r w:rsidRPr="00EB525E">
              <w:rPr>
                <w:rFonts w:cs="Calibri"/>
                <w:b/>
              </w:rPr>
              <w:t>Statement of Cash Flows</w:t>
            </w:r>
          </w:p>
        </w:tc>
        <w:tc>
          <w:tcPr>
            <w:tcW w:w="577" w:type="pct"/>
            <w:tcBorders>
              <w:top w:val="single" w:sz="2" w:space="0" w:color="auto"/>
              <w:left w:val="nil"/>
              <w:bottom w:val="double" w:sz="4" w:space="0" w:color="auto"/>
              <w:right w:val="nil"/>
            </w:tcBorders>
            <w:vAlign w:val="bottom"/>
          </w:tcPr>
          <w:p w14:paraId="22616B83" w14:textId="77777777" w:rsidR="000E78AE" w:rsidRPr="00EB525E" w:rsidRDefault="000E78AE" w:rsidP="009A0F2F">
            <w:pPr>
              <w:pStyle w:val="TableText"/>
              <w:tabs>
                <w:tab w:val="left" w:pos="3306"/>
              </w:tabs>
              <w:jc w:val="right"/>
              <w:rPr>
                <w:rFonts w:cs="Calibri"/>
                <w:b/>
                <w:bCs/>
                <w:strike/>
              </w:rPr>
            </w:pPr>
          </w:p>
        </w:tc>
        <w:tc>
          <w:tcPr>
            <w:tcW w:w="739" w:type="pct"/>
            <w:tcBorders>
              <w:top w:val="single" w:sz="2" w:space="0" w:color="auto"/>
              <w:left w:val="nil"/>
              <w:bottom w:val="double" w:sz="4" w:space="0" w:color="auto"/>
              <w:right w:val="nil"/>
            </w:tcBorders>
            <w:vAlign w:val="bottom"/>
          </w:tcPr>
          <w:p w14:paraId="0E664467" w14:textId="77777777" w:rsidR="000E78AE" w:rsidRPr="00EB525E" w:rsidRDefault="000E78AE" w:rsidP="009A0F2F">
            <w:pPr>
              <w:pStyle w:val="TableText"/>
              <w:tabs>
                <w:tab w:val="left" w:pos="3306"/>
              </w:tabs>
              <w:jc w:val="right"/>
              <w:rPr>
                <w:rFonts w:cs="Calibri"/>
                <w:b/>
                <w:bCs/>
                <w:strike/>
              </w:rPr>
            </w:pPr>
          </w:p>
        </w:tc>
      </w:tr>
      <w:tr w:rsidR="000E78AE" w:rsidRPr="00CF7E1B" w14:paraId="069F6F74" w14:textId="77777777" w:rsidTr="005F5B4C">
        <w:trPr>
          <w:cantSplit/>
          <w:trHeight w:val="23"/>
        </w:trPr>
        <w:tc>
          <w:tcPr>
            <w:tcW w:w="737" w:type="pct"/>
            <w:tcBorders>
              <w:top w:val="nil"/>
              <w:left w:val="single" w:sz="2" w:space="0" w:color="auto"/>
              <w:bottom w:val="nil"/>
              <w:right w:val="single" w:sz="2" w:space="0" w:color="auto"/>
            </w:tcBorders>
          </w:tcPr>
          <w:p w14:paraId="2E292763" w14:textId="77777777" w:rsidR="000E78AE" w:rsidRPr="00EB525E" w:rsidRDefault="000E78AE" w:rsidP="009A0F2F">
            <w:pPr>
              <w:pStyle w:val="TableReference"/>
              <w:tabs>
                <w:tab w:val="left" w:pos="3306"/>
              </w:tabs>
              <w:spacing w:before="240"/>
              <w:rPr>
                <w:rFonts w:cs="Calibri"/>
                <w:color w:val="7030A0"/>
                <w:sz w:val="14"/>
              </w:rPr>
            </w:pPr>
            <w:r w:rsidRPr="00EB525E">
              <w:rPr>
                <w:rFonts w:cs="Calibri"/>
                <w:color w:val="7030A0"/>
                <w:sz w:val="14"/>
              </w:rPr>
              <w:t>AASB 1054.16</w:t>
            </w:r>
          </w:p>
        </w:tc>
        <w:tc>
          <w:tcPr>
            <w:tcW w:w="2947" w:type="pct"/>
            <w:tcBorders>
              <w:top w:val="nil"/>
              <w:left w:val="single" w:sz="2" w:space="0" w:color="auto"/>
              <w:bottom w:val="nil"/>
              <w:right w:val="nil"/>
            </w:tcBorders>
            <w:vAlign w:val="bottom"/>
          </w:tcPr>
          <w:p w14:paraId="7BD8D422" w14:textId="3345EF28" w:rsidR="000E78AE" w:rsidRPr="00EB525E" w:rsidRDefault="000E78AE" w:rsidP="009A0F2F">
            <w:pPr>
              <w:pStyle w:val="TableText"/>
              <w:tabs>
                <w:tab w:val="left" w:pos="3306"/>
              </w:tabs>
              <w:spacing w:before="240"/>
              <w:ind w:left="290" w:hanging="284"/>
              <w:rPr>
                <w:rFonts w:cs="Calibri"/>
              </w:rPr>
            </w:pPr>
            <w:r w:rsidRPr="00EB525E">
              <w:rPr>
                <w:rFonts w:cs="Calibri"/>
                <w:b/>
                <w:bCs/>
              </w:rPr>
              <w:t>(</w:t>
            </w:r>
            <w:r w:rsidR="00AE70BA" w:rsidRPr="00EB525E">
              <w:rPr>
                <w:rFonts w:cs="Calibri"/>
                <w:b/>
                <w:bCs/>
              </w:rPr>
              <w:t>c</w:t>
            </w:r>
            <w:r w:rsidRPr="00EB525E">
              <w:rPr>
                <w:rFonts w:cs="Calibri"/>
                <w:b/>
                <w:bCs/>
              </w:rPr>
              <w:t>)</w:t>
            </w:r>
            <w:r w:rsidRPr="00EB525E">
              <w:rPr>
                <w:rFonts w:cs="Calibri"/>
                <w:b/>
                <w:bCs/>
              </w:rPr>
              <w:tab/>
              <w:t>Reconciliation of the Operating Result to Net Cash Inflows from Operating Activities.</w:t>
            </w:r>
          </w:p>
        </w:tc>
        <w:tc>
          <w:tcPr>
            <w:tcW w:w="577" w:type="pct"/>
            <w:tcBorders>
              <w:top w:val="double" w:sz="4" w:space="0" w:color="auto"/>
              <w:left w:val="nil"/>
              <w:bottom w:val="nil"/>
              <w:right w:val="nil"/>
            </w:tcBorders>
            <w:vAlign w:val="bottom"/>
          </w:tcPr>
          <w:p w14:paraId="484F0E05" w14:textId="77777777" w:rsidR="000E78AE" w:rsidRPr="00EB525E" w:rsidRDefault="000E78AE" w:rsidP="009A0F2F">
            <w:pPr>
              <w:pStyle w:val="TableText"/>
              <w:tabs>
                <w:tab w:val="left" w:pos="3306"/>
              </w:tabs>
              <w:jc w:val="right"/>
              <w:rPr>
                <w:rFonts w:cs="Calibri"/>
              </w:rPr>
            </w:pPr>
          </w:p>
        </w:tc>
        <w:tc>
          <w:tcPr>
            <w:tcW w:w="739" w:type="pct"/>
            <w:tcBorders>
              <w:top w:val="double" w:sz="4" w:space="0" w:color="auto"/>
              <w:left w:val="nil"/>
              <w:bottom w:val="nil"/>
              <w:right w:val="nil"/>
            </w:tcBorders>
            <w:vAlign w:val="bottom"/>
          </w:tcPr>
          <w:p w14:paraId="1BD99E6D" w14:textId="77777777" w:rsidR="000E78AE" w:rsidRPr="00EB525E" w:rsidRDefault="000E78AE" w:rsidP="009A0F2F">
            <w:pPr>
              <w:pStyle w:val="TableText"/>
              <w:tabs>
                <w:tab w:val="left" w:pos="3306"/>
              </w:tabs>
              <w:jc w:val="right"/>
              <w:rPr>
                <w:rFonts w:cs="Calibri"/>
              </w:rPr>
            </w:pPr>
          </w:p>
        </w:tc>
      </w:tr>
      <w:tr w:rsidR="000E78AE" w:rsidRPr="00CF7E1B" w14:paraId="50710C20" w14:textId="77777777" w:rsidTr="005F5B4C">
        <w:trPr>
          <w:cantSplit/>
          <w:trHeight w:val="23"/>
        </w:trPr>
        <w:tc>
          <w:tcPr>
            <w:tcW w:w="737" w:type="pct"/>
            <w:tcBorders>
              <w:top w:val="nil"/>
              <w:left w:val="single" w:sz="2" w:space="0" w:color="auto"/>
              <w:bottom w:val="nil"/>
              <w:right w:val="single" w:sz="2" w:space="0" w:color="auto"/>
            </w:tcBorders>
          </w:tcPr>
          <w:p w14:paraId="2D835CEE"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390DB3F" w14:textId="67A4FD98" w:rsidR="000E78AE" w:rsidRPr="00EB525E" w:rsidRDefault="000E78AE" w:rsidP="009A0F2F">
            <w:pPr>
              <w:pStyle w:val="TableText"/>
              <w:tabs>
                <w:tab w:val="left" w:pos="3306"/>
              </w:tabs>
              <w:rPr>
                <w:rFonts w:cs="Calibri"/>
              </w:rPr>
            </w:pPr>
            <w:r w:rsidRPr="00EB525E">
              <w:rPr>
                <w:rFonts w:cs="Calibri"/>
              </w:rPr>
              <w:t xml:space="preserve">Operating Result </w:t>
            </w:r>
          </w:p>
        </w:tc>
        <w:tc>
          <w:tcPr>
            <w:tcW w:w="577" w:type="pct"/>
            <w:tcBorders>
              <w:top w:val="nil"/>
              <w:left w:val="nil"/>
              <w:bottom w:val="nil"/>
              <w:right w:val="nil"/>
            </w:tcBorders>
            <w:vAlign w:val="bottom"/>
          </w:tcPr>
          <w:p w14:paraId="0737CFFD" w14:textId="77777777" w:rsidR="000E78AE" w:rsidRPr="00EB525E" w:rsidRDefault="000E78AE" w:rsidP="009A0F2F">
            <w:pPr>
              <w:pStyle w:val="TableText"/>
              <w:tabs>
                <w:tab w:val="left" w:pos="3306"/>
              </w:tabs>
              <w:ind w:left="-533" w:firstLine="533"/>
              <w:jc w:val="right"/>
              <w:rPr>
                <w:rFonts w:cs="Calibri"/>
                <w:strike/>
              </w:rPr>
            </w:pPr>
          </w:p>
        </w:tc>
        <w:tc>
          <w:tcPr>
            <w:tcW w:w="739" w:type="pct"/>
            <w:tcBorders>
              <w:top w:val="nil"/>
              <w:left w:val="nil"/>
              <w:bottom w:val="nil"/>
              <w:right w:val="nil"/>
            </w:tcBorders>
            <w:vAlign w:val="bottom"/>
          </w:tcPr>
          <w:p w14:paraId="0332D70F" w14:textId="77777777" w:rsidR="000E78AE" w:rsidRPr="00EB525E" w:rsidRDefault="000E78AE" w:rsidP="009A0F2F">
            <w:pPr>
              <w:pStyle w:val="TableText"/>
              <w:tabs>
                <w:tab w:val="left" w:pos="3306"/>
              </w:tabs>
              <w:jc w:val="right"/>
              <w:rPr>
                <w:rFonts w:cs="Calibri"/>
              </w:rPr>
            </w:pPr>
          </w:p>
        </w:tc>
      </w:tr>
      <w:tr w:rsidR="000E78AE" w:rsidRPr="00CF7E1B" w14:paraId="2B43CDE9" w14:textId="77777777" w:rsidTr="005F5B4C">
        <w:trPr>
          <w:cantSplit/>
          <w:trHeight w:val="23"/>
        </w:trPr>
        <w:tc>
          <w:tcPr>
            <w:tcW w:w="737" w:type="pct"/>
            <w:tcBorders>
              <w:top w:val="nil"/>
              <w:left w:val="single" w:sz="2" w:space="0" w:color="auto"/>
              <w:bottom w:val="nil"/>
              <w:right w:val="single" w:sz="2" w:space="0" w:color="auto"/>
            </w:tcBorders>
          </w:tcPr>
          <w:p w14:paraId="1BEB11E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4199E96" w14:textId="77777777" w:rsidR="000E78AE" w:rsidRPr="00EB525E" w:rsidRDefault="000E78AE" w:rsidP="009A0F2F">
            <w:pPr>
              <w:pStyle w:val="TableText"/>
              <w:tabs>
                <w:tab w:val="left" w:pos="3306"/>
              </w:tabs>
              <w:spacing w:before="120"/>
              <w:rPr>
                <w:rFonts w:cs="Calibri"/>
                <w:b/>
                <w:bCs/>
              </w:rPr>
            </w:pPr>
            <w:r w:rsidRPr="00EB525E">
              <w:rPr>
                <w:rFonts w:cs="Calibri"/>
                <w:b/>
                <w:bCs/>
              </w:rPr>
              <w:t>Add/(Less) Non-Cash Items</w:t>
            </w:r>
          </w:p>
        </w:tc>
        <w:tc>
          <w:tcPr>
            <w:tcW w:w="577" w:type="pct"/>
            <w:tcBorders>
              <w:top w:val="nil"/>
              <w:left w:val="nil"/>
              <w:bottom w:val="nil"/>
              <w:right w:val="nil"/>
            </w:tcBorders>
            <w:vAlign w:val="bottom"/>
          </w:tcPr>
          <w:p w14:paraId="05E59CAA"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54B7D3C3" w14:textId="77777777" w:rsidR="000E78AE" w:rsidRPr="00EB525E" w:rsidRDefault="000E78AE" w:rsidP="009A0F2F">
            <w:pPr>
              <w:pStyle w:val="TableText"/>
              <w:tabs>
                <w:tab w:val="left" w:pos="3306"/>
              </w:tabs>
              <w:jc w:val="right"/>
              <w:rPr>
                <w:rFonts w:cs="Calibri"/>
              </w:rPr>
            </w:pPr>
          </w:p>
        </w:tc>
      </w:tr>
      <w:tr w:rsidR="000E78AE" w:rsidRPr="00CF7E1B" w14:paraId="658933D4" w14:textId="77777777" w:rsidTr="005F5B4C">
        <w:trPr>
          <w:cantSplit/>
          <w:trHeight w:val="23"/>
        </w:trPr>
        <w:tc>
          <w:tcPr>
            <w:tcW w:w="737" w:type="pct"/>
            <w:tcBorders>
              <w:top w:val="nil"/>
              <w:left w:val="single" w:sz="2" w:space="0" w:color="auto"/>
              <w:bottom w:val="nil"/>
              <w:right w:val="single" w:sz="2" w:space="0" w:color="auto"/>
            </w:tcBorders>
          </w:tcPr>
          <w:p w14:paraId="633F36F7"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0B2C7AF9" w14:textId="77777777" w:rsidR="000E78AE" w:rsidRPr="00EB525E" w:rsidRDefault="000E78AE" w:rsidP="009A0F2F">
            <w:pPr>
              <w:pStyle w:val="TableText"/>
              <w:tabs>
                <w:tab w:val="left" w:pos="3306"/>
              </w:tabs>
              <w:rPr>
                <w:rFonts w:cs="Calibri"/>
              </w:rPr>
            </w:pPr>
            <w:r w:rsidRPr="00EB525E">
              <w:rPr>
                <w:rFonts w:cs="Calibri"/>
              </w:rPr>
              <w:t>Impairment Loss of Non-Current Assets</w:t>
            </w:r>
          </w:p>
        </w:tc>
        <w:tc>
          <w:tcPr>
            <w:tcW w:w="577" w:type="pct"/>
            <w:tcBorders>
              <w:top w:val="nil"/>
              <w:left w:val="nil"/>
              <w:bottom w:val="nil"/>
              <w:right w:val="nil"/>
            </w:tcBorders>
            <w:vAlign w:val="bottom"/>
          </w:tcPr>
          <w:p w14:paraId="447662BF"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0CB70D63" w14:textId="77777777" w:rsidR="000E78AE" w:rsidRPr="00EB525E" w:rsidRDefault="000E78AE" w:rsidP="009A0F2F">
            <w:pPr>
              <w:pStyle w:val="TableText"/>
              <w:tabs>
                <w:tab w:val="left" w:pos="3306"/>
              </w:tabs>
              <w:jc w:val="right"/>
              <w:rPr>
                <w:rFonts w:cs="Calibri"/>
              </w:rPr>
            </w:pPr>
          </w:p>
        </w:tc>
      </w:tr>
      <w:tr w:rsidR="000E78AE" w:rsidRPr="00CF7E1B" w14:paraId="5E227CDC" w14:textId="77777777" w:rsidTr="005F5B4C">
        <w:trPr>
          <w:cantSplit/>
          <w:trHeight w:val="23"/>
        </w:trPr>
        <w:tc>
          <w:tcPr>
            <w:tcW w:w="737" w:type="pct"/>
            <w:tcBorders>
              <w:top w:val="nil"/>
              <w:left w:val="single" w:sz="2" w:space="0" w:color="auto"/>
              <w:bottom w:val="nil"/>
              <w:right w:val="single" w:sz="2" w:space="0" w:color="auto"/>
            </w:tcBorders>
          </w:tcPr>
          <w:p w14:paraId="5B9633F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C537BEB" w14:textId="77777777" w:rsidR="000E78AE" w:rsidRPr="00EB525E" w:rsidRDefault="000E78AE" w:rsidP="009A0F2F">
            <w:pPr>
              <w:pStyle w:val="TableText"/>
              <w:tabs>
                <w:tab w:val="left" w:pos="3306"/>
              </w:tabs>
              <w:rPr>
                <w:rFonts w:cs="Calibri"/>
              </w:rPr>
            </w:pPr>
            <w:r w:rsidRPr="00EB525E">
              <w:rPr>
                <w:rFonts w:cs="Calibri"/>
              </w:rPr>
              <w:t>Depreciation of Property, Plant and Equipment</w:t>
            </w:r>
          </w:p>
        </w:tc>
        <w:tc>
          <w:tcPr>
            <w:tcW w:w="577" w:type="pct"/>
            <w:tcBorders>
              <w:top w:val="nil"/>
              <w:left w:val="nil"/>
              <w:bottom w:val="nil"/>
              <w:right w:val="nil"/>
            </w:tcBorders>
            <w:vAlign w:val="bottom"/>
          </w:tcPr>
          <w:p w14:paraId="19C5B845"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513AF6FF" w14:textId="77777777" w:rsidR="000E78AE" w:rsidRPr="00EB525E" w:rsidRDefault="000E78AE" w:rsidP="009A0F2F">
            <w:pPr>
              <w:pStyle w:val="TableText"/>
              <w:tabs>
                <w:tab w:val="left" w:pos="3306"/>
              </w:tabs>
              <w:jc w:val="right"/>
              <w:rPr>
                <w:rFonts w:cs="Calibri"/>
              </w:rPr>
            </w:pPr>
          </w:p>
        </w:tc>
      </w:tr>
      <w:tr w:rsidR="000E78AE" w:rsidRPr="00CF7E1B" w14:paraId="18426BE1" w14:textId="77777777" w:rsidTr="005F5B4C">
        <w:trPr>
          <w:cantSplit/>
          <w:trHeight w:val="23"/>
        </w:trPr>
        <w:tc>
          <w:tcPr>
            <w:tcW w:w="737" w:type="pct"/>
            <w:tcBorders>
              <w:top w:val="nil"/>
              <w:left w:val="single" w:sz="2" w:space="0" w:color="auto"/>
              <w:bottom w:val="nil"/>
              <w:right w:val="single" w:sz="2" w:space="0" w:color="auto"/>
            </w:tcBorders>
          </w:tcPr>
          <w:p w14:paraId="6C1CF729"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E42C7AC" w14:textId="77777777" w:rsidR="000E78AE" w:rsidRPr="00EB525E" w:rsidRDefault="000E78AE" w:rsidP="009A0F2F">
            <w:pPr>
              <w:pStyle w:val="TableText"/>
              <w:tabs>
                <w:tab w:val="left" w:pos="3306"/>
              </w:tabs>
              <w:rPr>
                <w:rFonts w:cs="Calibri"/>
              </w:rPr>
            </w:pPr>
            <w:r w:rsidRPr="00EB525E">
              <w:rPr>
                <w:rFonts w:cs="Calibri"/>
              </w:rPr>
              <w:t>Amortisation of Intangibles</w:t>
            </w:r>
          </w:p>
        </w:tc>
        <w:tc>
          <w:tcPr>
            <w:tcW w:w="577" w:type="pct"/>
            <w:tcBorders>
              <w:top w:val="nil"/>
              <w:left w:val="nil"/>
              <w:bottom w:val="nil"/>
              <w:right w:val="nil"/>
            </w:tcBorders>
            <w:vAlign w:val="bottom"/>
          </w:tcPr>
          <w:p w14:paraId="52F2DAFD"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49C7FD04" w14:textId="77777777" w:rsidR="000E78AE" w:rsidRPr="00EB525E" w:rsidRDefault="000E78AE" w:rsidP="009A0F2F">
            <w:pPr>
              <w:pStyle w:val="TableText"/>
              <w:tabs>
                <w:tab w:val="left" w:pos="3306"/>
              </w:tabs>
              <w:jc w:val="right"/>
              <w:rPr>
                <w:rFonts w:cs="Calibri"/>
              </w:rPr>
            </w:pPr>
          </w:p>
        </w:tc>
      </w:tr>
      <w:tr w:rsidR="000E78AE" w:rsidRPr="00CF7E1B" w14:paraId="27A2D70E" w14:textId="77777777" w:rsidTr="005F5B4C">
        <w:trPr>
          <w:cantSplit/>
          <w:trHeight w:val="23"/>
        </w:trPr>
        <w:tc>
          <w:tcPr>
            <w:tcW w:w="737" w:type="pct"/>
            <w:tcBorders>
              <w:top w:val="nil"/>
              <w:left w:val="single" w:sz="2" w:space="0" w:color="auto"/>
              <w:bottom w:val="nil"/>
              <w:right w:val="single" w:sz="2" w:space="0" w:color="auto"/>
            </w:tcBorders>
          </w:tcPr>
          <w:p w14:paraId="47316005"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4C3D6C05" w14:textId="77777777" w:rsidR="000E78AE" w:rsidRPr="00EB525E" w:rsidRDefault="000E78AE" w:rsidP="009A0F2F">
            <w:pPr>
              <w:pStyle w:val="TableText"/>
              <w:tabs>
                <w:tab w:val="left" w:pos="3306"/>
              </w:tabs>
              <w:rPr>
                <w:rFonts w:cs="Calibri"/>
              </w:rPr>
            </w:pPr>
            <w:r w:rsidRPr="00EB525E">
              <w:rPr>
                <w:rFonts w:cs="Calibri"/>
              </w:rPr>
              <w:t>Assets Transferred or Contributed</w:t>
            </w:r>
          </w:p>
        </w:tc>
        <w:tc>
          <w:tcPr>
            <w:tcW w:w="577" w:type="pct"/>
            <w:tcBorders>
              <w:top w:val="nil"/>
              <w:left w:val="nil"/>
              <w:bottom w:val="nil"/>
              <w:right w:val="nil"/>
            </w:tcBorders>
            <w:vAlign w:val="bottom"/>
          </w:tcPr>
          <w:p w14:paraId="6B65CB3D"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3B32D1AE" w14:textId="77777777" w:rsidR="000E78AE" w:rsidRPr="00EB525E" w:rsidRDefault="000E78AE" w:rsidP="009A0F2F">
            <w:pPr>
              <w:pStyle w:val="TableText"/>
              <w:tabs>
                <w:tab w:val="left" w:pos="3306"/>
              </w:tabs>
              <w:jc w:val="right"/>
              <w:rPr>
                <w:rFonts w:cs="Calibri"/>
              </w:rPr>
            </w:pPr>
          </w:p>
        </w:tc>
      </w:tr>
      <w:tr w:rsidR="000E78AE" w:rsidRPr="00CF7E1B" w14:paraId="591CEAC8" w14:textId="77777777" w:rsidTr="005F5B4C">
        <w:trPr>
          <w:cantSplit/>
          <w:trHeight w:val="23"/>
        </w:trPr>
        <w:tc>
          <w:tcPr>
            <w:tcW w:w="737" w:type="pct"/>
            <w:tcBorders>
              <w:top w:val="nil"/>
              <w:left w:val="single" w:sz="2" w:space="0" w:color="auto"/>
              <w:bottom w:val="nil"/>
              <w:right w:val="single" w:sz="2" w:space="0" w:color="auto"/>
            </w:tcBorders>
          </w:tcPr>
          <w:p w14:paraId="2D20FB92"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55FCE74" w14:textId="77777777" w:rsidR="000E78AE" w:rsidRPr="00EB525E" w:rsidRDefault="000E78AE" w:rsidP="009A0F2F">
            <w:pPr>
              <w:pStyle w:val="TableText"/>
              <w:tabs>
                <w:tab w:val="left" w:pos="3306"/>
              </w:tabs>
              <w:rPr>
                <w:rFonts w:cs="Calibri"/>
              </w:rPr>
            </w:pPr>
            <w:r w:rsidRPr="00EB525E">
              <w:rPr>
                <w:rFonts w:cs="Calibri"/>
              </w:rPr>
              <w:t>(Gain)/Loss on the Revaluation of Investment Properties</w:t>
            </w:r>
          </w:p>
        </w:tc>
        <w:tc>
          <w:tcPr>
            <w:tcW w:w="577" w:type="pct"/>
            <w:tcBorders>
              <w:top w:val="nil"/>
              <w:left w:val="nil"/>
              <w:bottom w:val="nil"/>
              <w:right w:val="nil"/>
            </w:tcBorders>
            <w:vAlign w:val="bottom"/>
          </w:tcPr>
          <w:p w14:paraId="27801DBF"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901E78C" w14:textId="77777777" w:rsidR="000E78AE" w:rsidRPr="00EB525E" w:rsidRDefault="000E78AE" w:rsidP="009A0F2F">
            <w:pPr>
              <w:pStyle w:val="TableText"/>
              <w:tabs>
                <w:tab w:val="left" w:pos="3306"/>
              </w:tabs>
              <w:jc w:val="right"/>
              <w:rPr>
                <w:rFonts w:cs="Calibri"/>
              </w:rPr>
            </w:pPr>
          </w:p>
        </w:tc>
      </w:tr>
      <w:tr w:rsidR="000E78AE" w:rsidRPr="00CF7E1B" w14:paraId="635CD7A9" w14:textId="77777777" w:rsidTr="005F5B4C">
        <w:trPr>
          <w:cantSplit/>
          <w:trHeight w:val="23"/>
        </w:trPr>
        <w:tc>
          <w:tcPr>
            <w:tcW w:w="737" w:type="pct"/>
            <w:tcBorders>
              <w:top w:val="nil"/>
              <w:left w:val="single" w:sz="2" w:space="0" w:color="auto"/>
              <w:bottom w:val="nil"/>
              <w:right w:val="single" w:sz="2" w:space="0" w:color="auto"/>
            </w:tcBorders>
          </w:tcPr>
          <w:p w14:paraId="4567DD7D"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3CA8CE4A" w14:textId="77777777" w:rsidR="000E78AE" w:rsidRPr="00EB525E" w:rsidRDefault="000E78AE" w:rsidP="009A0F2F">
            <w:pPr>
              <w:pStyle w:val="TableText"/>
              <w:tabs>
                <w:tab w:val="left" w:pos="3306"/>
              </w:tabs>
              <w:rPr>
                <w:rFonts w:cs="Calibri"/>
              </w:rPr>
            </w:pPr>
            <w:r w:rsidRPr="00EB525E">
              <w:rPr>
                <w:rFonts w:cs="Calibri"/>
              </w:rPr>
              <w:t>Forgiveness of Liabilities</w:t>
            </w:r>
          </w:p>
        </w:tc>
        <w:tc>
          <w:tcPr>
            <w:tcW w:w="577" w:type="pct"/>
            <w:tcBorders>
              <w:top w:val="nil"/>
              <w:left w:val="nil"/>
              <w:bottom w:val="nil"/>
              <w:right w:val="nil"/>
            </w:tcBorders>
            <w:vAlign w:val="bottom"/>
          </w:tcPr>
          <w:p w14:paraId="32FECA78"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3AA3269" w14:textId="77777777" w:rsidR="000E78AE" w:rsidRPr="00EB525E" w:rsidRDefault="000E78AE" w:rsidP="009A0F2F">
            <w:pPr>
              <w:pStyle w:val="TableText"/>
              <w:tabs>
                <w:tab w:val="left" w:pos="3306"/>
              </w:tabs>
              <w:jc w:val="right"/>
              <w:rPr>
                <w:rFonts w:cs="Calibri"/>
              </w:rPr>
            </w:pPr>
          </w:p>
        </w:tc>
      </w:tr>
      <w:tr w:rsidR="000E78AE" w:rsidRPr="00CF7E1B" w14:paraId="31E702E3" w14:textId="77777777" w:rsidTr="005F5B4C">
        <w:trPr>
          <w:cantSplit/>
          <w:trHeight w:val="23"/>
        </w:trPr>
        <w:tc>
          <w:tcPr>
            <w:tcW w:w="737" w:type="pct"/>
            <w:tcBorders>
              <w:top w:val="nil"/>
              <w:left w:val="single" w:sz="2" w:space="0" w:color="auto"/>
              <w:bottom w:val="nil"/>
              <w:right w:val="single" w:sz="2" w:space="0" w:color="auto"/>
            </w:tcBorders>
          </w:tcPr>
          <w:p w14:paraId="7BCA4F6C"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1B55EB0E" w14:textId="77777777" w:rsidR="000E78AE" w:rsidRPr="00EB525E" w:rsidRDefault="000E78AE" w:rsidP="009A0F2F">
            <w:pPr>
              <w:pStyle w:val="TableText"/>
              <w:tabs>
                <w:tab w:val="left" w:pos="3306"/>
              </w:tabs>
              <w:rPr>
                <w:rFonts w:cs="Calibri"/>
              </w:rPr>
            </w:pPr>
            <w:r w:rsidRPr="00EB525E">
              <w:rPr>
                <w:rFonts w:cs="Calibri"/>
              </w:rPr>
              <w:t>Donated Assets</w:t>
            </w:r>
          </w:p>
        </w:tc>
        <w:tc>
          <w:tcPr>
            <w:tcW w:w="577" w:type="pct"/>
            <w:tcBorders>
              <w:top w:val="nil"/>
              <w:left w:val="nil"/>
              <w:bottom w:val="nil"/>
              <w:right w:val="nil"/>
            </w:tcBorders>
            <w:vAlign w:val="bottom"/>
          </w:tcPr>
          <w:p w14:paraId="4A2745A3"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5FA757FA" w14:textId="77777777" w:rsidR="000E78AE" w:rsidRPr="00EB525E" w:rsidRDefault="000E78AE" w:rsidP="009A0F2F">
            <w:pPr>
              <w:pStyle w:val="TableText"/>
              <w:tabs>
                <w:tab w:val="left" w:pos="3306"/>
              </w:tabs>
              <w:jc w:val="right"/>
              <w:rPr>
                <w:rFonts w:cs="Calibri"/>
              </w:rPr>
            </w:pPr>
          </w:p>
        </w:tc>
      </w:tr>
      <w:tr w:rsidR="000E78AE" w:rsidRPr="00CF7E1B" w14:paraId="66E74175" w14:textId="77777777" w:rsidTr="005F5B4C">
        <w:trPr>
          <w:cantSplit/>
          <w:trHeight w:val="23"/>
        </w:trPr>
        <w:tc>
          <w:tcPr>
            <w:tcW w:w="737" w:type="pct"/>
            <w:tcBorders>
              <w:top w:val="nil"/>
              <w:left w:val="single" w:sz="2" w:space="0" w:color="auto"/>
              <w:bottom w:val="nil"/>
              <w:right w:val="single" w:sz="2" w:space="0" w:color="auto"/>
            </w:tcBorders>
          </w:tcPr>
          <w:p w14:paraId="06669BFB"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97A93AC" w14:textId="77777777" w:rsidR="000E78AE" w:rsidRPr="00EB525E" w:rsidRDefault="000E78AE" w:rsidP="009A0F2F">
            <w:pPr>
              <w:pStyle w:val="TableText"/>
              <w:tabs>
                <w:tab w:val="left" w:pos="3306"/>
              </w:tabs>
              <w:rPr>
                <w:rFonts w:cs="Calibri"/>
              </w:rPr>
            </w:pPr>
            <w:r w:rsidRPr="00EB525E">
              <w:rPr>
                <w:rFonts w:cs="Calibri"/>
              </w:rPr>
              <w:t>Waivers and Irrecoverable Loans Receivable</w:t>
            </w:r>
          </w:p>
        </w:tc>
        <w:tc>
          <w:tcPr>
            <w:tcW w:w="577" w:type="pct"/>
            <w:tcBorders>
              <w:top w:val="nil"/>
              <w:left w:val="nil"/>
              <w:bottom w:val="nil"/>
              <w:right w:val="nil"/>
            </w:tcBorders>
            <w:vAlign w:val="bottom"/>
          </w:tcPr>
          <w:p w14:paraId="5E7FFCC2"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6F107F0E" w14:textId="77777777" w:rsidR="000E78AE" w:rsidRPr="00EB525E" w:rsidRDefault="000E78AE" w:rsidP="009A0F2F">
            <w:pPr>
              <w:pStyle w:val="TableText"/>
              <w:tabs>
                <w:tab w:val="left" w:pos="3306"/>
              </w:tabs>
              <w:jc w:val="right"/>
              <w:rPr>
                <w:rFonts w:cs="Calibri"/>
              </w:rPr>
            </w:pPr>
          </w:p>
        </w:tc>
      </w:tr>
      <w:tr w:rsidR="000E78AE" w:rsidRPr="00CF7E1B" w14:paraId="399405EE" w14:textId="77777777" w:rsidTr="005F5B4C">
        <w:trPr>
          <w:cantSplit/>
          <w:trHeight w:val="23"/>
        </w:trPr>
        <w:tc>
          <w:tcPr>
            <w:tcW w:w="737" w:type="pct"/>
            <w:tcBorders>
              <w:top w:val="nil"/>
              <w:left w:val="single" w:sz="2" w:space="0" w:color="auto"/>
              <w:bottom w:val="nil"/>
              <w:right w:val="single" w:sz="2" w:space="0" w:color="auto"/>
            </w:tcBorders>
          </w:tcPr>
          <w:p w14:paraId="50C70BA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7F160F6D" w14:textId="77777777" w:rsidR="000E78AE" w:rsidRPr="00EB525E" w:rsidRDefault="000E78AE" w:rsidP="009A0F2F">
            <w:pPr>
              <w:pStyle w:val="TableText"/>
              <w:tabs>
                <w:tab w:val="left" w:pos="3306"/>
              </w:tabs>
              <w:spacing w:before="120"/>
              <w:rPr>
                <w:rFonts w:cs="Calibri"/>
                <w:b/>
                <w:bCs/>
              </w:rPr>
            </w:pPr>
            <w:r w:rsidRPr="00EB525E">
              <w:rPr>
                <w:rFonts w:cs="Calibri"/>
                <w:b/>
                <w:bCs/>
              </w:rPr>
              <w:t>Add/(Less) Items Classified as Investing or Financing</w:t>
            </w:r>
          </w:p>
        </w:tc>
        <w:tc>
          <w:tcPr>
            <w:tcW w:w="577" w:type="pct"/>
            <w:tcBorders>
              <w:top w:val="nil"/>
              <w:left w:val="nil"/>
              <w:bottom w:val="nil"/>
              <w:right w:val="nil"/>
            </w:tcBorders>
            <w:vAlign w:val="bottom"/>
          </w:tcPr>
          <w:p w14:paraId="0C5AD70A"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13F859A7" w14:textId="77777777" w:rsidR="000E78AE" w:rsidRPr="00EB525E" w:rsidRDefault="000E78AE" w:rsidP="009A0F2F">
            <w:pPr>
              <w:pStyle w:val="TableText"/>
              <w:tabs>
                <w:tab w:val="left" w:pos="3306"/>
              </w:tabs>
              <w:jc w:val="right"/>
              <w:rPr>
                <w:rFonts w:cs="Calibri"/>
              </w:rPr>
            </w:pPr>
          </w:p>
        </w:tc>
      </w:tr>
      <w:tr w:rsidR="000E78AE" w:rsidRPr="00CF7E1B" w14:paraId="2A1DD48D" w14:textId="77777777" w:rsidTr="005F5B4C">
        <w:trPr>
          <w:cantSplit/>
          <w:trHeight w:val="23"/>
        </w:trPr>
        <w:tc>
          <w:tcPr>
            <w:tcW w:w="737" w:type="pct"/>
            <w:tcBorders>
              <w:top w:val="nil"/>
              <w:left w:val="single" w:sz="2" w:space="0" w:color="auto"/>
              <w:bottom w:val="nil"/>
              <w:right w:val="single" w:sz="2" w:space="0" w:color="auto"/>
            </w:tcBorders>
          </w:tcPr>
          <w:p w14:paraId="7EB44004"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408E15F" w14:textId="77777777" w:rsidR="000E78AE" w:rsidRPr="00EB525E" w:rsidRDefault="000E78AE" w:rsidP="009A0F2F">
            <w:pPr>
              <w:pStyle w:val="TableText"/>
              <w:tabs>
                <w:tab w:val="left" w:pos="3306"/>
              </w:tabs>
              <w:rPr>
                <w:rFonts w:cs="Calibri"/>
              </w:rPr>
            </w:pPr>
            <w:r w:rsidRPr="00EB525E">
              <w:rPr>
                <w:rFonts w:cs="Calibri"/>
              </w:rPr>
              <w:t xml:space="preserve">Net Loss/(Gain) on Disposal of Non-Current Assets </w:t>
            </w:r>
          </w:p>
        </w:tc>
        <w:tc>
          <w:tcPr>
            <w:tcW w:w="577" w:type="pct"/>
            <w:tcBorders>
              <w:top w:val="nil"/>
              <w:left w:val="nil"/>
              <w:bottom w:val="nil"/>
              <w:right w:val="nil"/>
            </w:tcBorders>
            <w:vAlign w:val="bottom"/>
          </w:tcPr>
          <w:p w14:paraId="43BAE688"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42AD442" w14:textId="77777777" w:rsidR="000E78AE" w:rsidRPr="00EB525E" w:rsidRDefault="000E78AE" w:rsidP="009A0F2F">
            <w:pPr>
              <w:pStyle w:val="TableText"/>
              <w:tabs>
                <w:tab w:val="left" w:pos="3306"/>
              </w:tabs>
              <w:jc w:val="right"/>
              <w:rPr>
                <w:rFonts w:cs="Calibri"/>
              </w:rPr>
            </w:pPr>
          </w:p>
        </w:tc>
      </w:tr>
      <w:tr w:rsidR="000E78AE" w:rsidRPr="00CF7E1B" w14:paraId="3CCA0D79" w14:textId="77777777" w:rsidTr="005F5B4C">
        <w:trPr>
          <w:cantSplit/>
          <w:trHeight w:val="23"/>
        </w:trPr>
        <w:tc>
          <w:tcPr>
            <w:tcW w:w="737" w:type="pct"/>
            <w:tcBorders>
              <w:top w:val="nil"/>
              <w:left w:val="single" w:sz="2" w:space="0" w:color="auto"/>
              <w:bottom w:val="nil"/>
              <w:right w:val="single" w:sz="2" w:space="0" w:color="auto"/>
            </w:tcBorders>
          </w:tcPr>
          <w:p w14:paraId="556FE057"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3FFE4F82" w14:textId="77777777" w:rsidR="000E78AE" w:rsidRPr="00EB525E" w:rsidRDefault="000E78AE" w:rsidP="009A0F2F">
            <w:pPr>
              <w:pStyle w:val="TableText"/>
              <w:tabs>
                <w:tab w:val="left" w:pos="3306"/>
              </w:tabs>
              <w:rPr>
                <w:rFonts w:cs="Calibri"/>
              </w:rPr>
            </w:pPr>
            <w:r w:rsidRPr="00EB525E">
              <w:rPr>
                <w:rFonts w:cs="Calibri"/>
              </w:rPr>
              <w:t>Gain on Investments</w:t>
            </w:r>
          </w:p>
        </w:tc>
        <w:tc>
          <w:tcPr>
            <w:tcW w:w="577" w:type="pct"/>
            <w:tcBorders>
              <w:top w:val="nil"/>
              <w:left w:val="nil"/>
              <w:bottom w:val="nil"/>
              <w:right w:val="nil"/>
            </w:tcBorders>
            <w:vAlign w:val="bottom"/>
          </w:tcPr>
          <w:p w14:paraId="1A3D0944"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329943C8" w14:textId="77777777" w:rsidR="000E78AE" w:rsidRPr="00EB525E" w:rsidRDefault="000E78AE" w:rsidP="009A0F2F">
            <w:pPr>
              <w:pStyle w:val="TableText"/>
              <w:tabs>
                <w:tab w:val="left" w:pos="3306"/>
              </w:tabs>
              <w:jc w:val="right"/>
              <w:rPr>
                <w:rFonts w:cs="Calibri"/>
              </w:rPr>
            </w:pPr>
          </w:p>
        </w:tc>
      </w:tr>
      <w:tr w:rsidR="000E78AE" w:rsidRPr="00CF7E1B" w14:paraId="48E9E492" w14:textId="77777777" w:rsidTr="005F5B4C">
        <w:trPr>
          <w:cantSplit/>
          <w:trHeight w:val="23"/>
        </w:trPr>
        <w:tc>
          <w:tcPr>
            <w:tcW w:w="737" w:type="pct"/>
            <w:tcBorders>
              <w:top w:val="nil"/>
              <w:left w:val="single" w:sz="2" w:space="0" w:color="auto"/>
              <w:bottom w:val="nil"/>
              <w:right w:val="single" w:sz="2" w:space="0" w:color="auto"/>
            </w:tcBorders>
          </w:tcPr>
          <w:p w14:paraId="2E73AF2E"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714317C" w14:textId="77777777" w:rsidR="000E78AE" w:rsidRPr="00EB525E" w:rsidRDefault="000E78AE" w:rsidP="009A0F2F">
            <w:pPr>
              <w:pStyle w:val="TableText"/>
              <w:tabs>
                <w:tab w:val="left" w:pos="3306"/>
              </w:tabs>
              <w:rPr>
                <w:rFonts w:cs="Calibri"/>
              </w:rPr>
            </w:pPr>
            <w:r w:rsidRPr="00EB525E">
              <w:rPr>
                <w:rFonts w:cs="Calibri"/>
              </w:rPr>
              <w:t>Share of Profit from Joint Venture (Not received as a distribution)</w:t>
            </w:r>
          </w:p>
        </w:tc>
        <w:tc>
          <w:tcPr>
            <w:tcW w:w="577" w:type="pct"/>
            <w:tcBorders>
              <w:top w:val="nil"/>
              <w:left w:val="nil"/>
              <w:bottom w:val="single" w:sz="2" w:space="0" w:color="auto"/>
              <w:right w:val="nil"/>
            </w:tcBorders>
            <w:vAlign w:val="bottom"/>
          </w:tcPr>
          <w:p w14:paraId="4CBB173F"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4077A461" w14:textId="77777777" w:rsidR="000E78AE" w:rsidRPr="00EB525E" w:rsidRDefault="000E78AE" w:rsidP="009A0F2F">
            <w:pPr>
              <w:pStyle w:val="TableText"/>
              <w:tabs>
                <w:tab w:val="left" w:pos="3306"/>
              </w:tabs>
              <w:jc w:val="right"/>
              <w:rPr>
                <w:rFonts w:cs="Calibri"/>
              </w:rPr>
            </w:pPr>
          </w:p>
        </w:tc>
      </w:tr>
      <w:tr w:rsidR="000E78AE" w:rsidRPr="00CF7E1B" w14:paraId="5855D4A1" w14:textId="77777777" w:rsidTr="005F5B4C">
        <w:trPr>
          <w:cantSplit/>
          <w:trHeight w:val="23"/>
        </w:trPr>
        <w:tc>
          <w:tcPr>
            <w:tcW w:w="737" w:type="pct"/>
            <w:tcBorders>
              <w:top w:val="nil"/>
              <w:left w:val="single" w:sz="2" w:space="0" w:color="auto"/>
              <w:bottom w:val="nil"/>
              <w:right w:val="single" w:sz="2" w:space="0" w:color="auto"/>
            </w:tcBorders>
          </w:tcPr>
          <w:p w14:paraId="4FF28BE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6ED2496" w14:textId="77777777" w:rsidR="000E78AE" w:rsidRPr="00EB525E" w:rsidRDefault="000E78AE" w:rsidP="009A0F2F">
            <w:pPr>
              <w:pStyle w:val="TableText"/>
              <w:tabs>
                <w:tab w:val="left" w:pos="3306"/>
              </w:tabs>
              <w:rPr>
                <w:rFonts w:cs="Calibri"/>
                <w:b/>
                <w:bCs/>
              </w:rPr>
            </w:pPr>
            <w:r w:rsidRPr="00EB525E">
              <w:rPr>
                <w:rFonts w:cs="Calibri"/>
                <w:b/>
                <w:bCs/>
              </w:rPr>
              <w:t>Cash Before Changes in Operating Assets and Liabilities</w:t>
            </w:r>
          </w:p>
        </w:tc>
        <w:tc>
          <w:tcPr>
            <w:tcW w:w="577" w:type="pct"/>
            <w:tcBorders>
              <w:top w:val="single" w:sz="2" w:space="0" w:color="auto"/>
              <w:left w:val="nil"/>
              <w:bottom w:val="single" w:sz="2" w:space="0" w:color="auto"/>
              <w:right w:val="nil"/>
            </w:tcBorders>
            <w:vAlign w:val="bottom"/>
          </w:tcPr>
          <w:p w14:paraId="72A14CE8" w14:textId="77777777" w:rsidR="000E78AE" w:rsidRPr="00EB525E" w:rsidRDefault="000E78AE" w:rsidP="009A0F2F">
            <w:pPr>
              <w:pStyle w:val="TableText"/>
              <w:tabs>
                <w:tab w:val="left" w:pos="3306"/>
              </w:tabs>
              <w:jc w:val="right"/>
              <w:rPr>
                <w:rFonts w:cs="Calibri"/>
                <w:b/>
                <w:bCs/>
                <w:strike/>
              </w:rPr>
            </w:pPr>
          </w:p>
        </w:tc>
        <w:tc>
          <w:tcPr>
            <w:tcW w:w="739" w:type="pct"/>
            <w:tcBorders>
              <w:top w:val="single" w:sz="2" w:space="0" w:color="auto"/>
              <w:left w:val="nil"/>
              <w:bottom w:val="single" w:sz="2" w:space="0" w:color="auto"/>
              <w:right w:val="nil"/>
            </w:tcBorders>
            <w:vAlign w:val="bottom"/>
          </w:tcPr>
          <w:p w14:paraId="311045E3" w14:textId="77777777" w:rsidR="000E78AE" w:rsidRPr="00EB525E" w:rsidRDefault="000E78AE" w:rsidP="009A0F2F">
            <w:pPr>
              <w:pStyle w:val="TableText"/>
              <w:tabs>
                <w:tab w:val="left" w:pos="3306"/>
              </w:tabs>
              <w:jc w:val="right"/>
              <w:rPr>
                <w:rFonts w:cs="Calibri"/>
                <w:b/>
                <w:bCs/>
              </w:rPr>
            </w:pPr>
          </w:p>
        </w:tc>
      </w:tr>
      <w:tr w:rsidR="000E78AE" w:rsidRPr="00CF7E1B" w14:paraId="75BD276A" w14:textId="77777777" w:rsidTr="005F5B4C">
        <w:trPr>
          <w:cantSplit/>
          <w:trHeight w:val="23"/>
        </w:trPr>
        <w:tc>
          <w:tcPr>
            <w:tcW w:w="737" w:type="pct"/>
            <w:tcBorders>
              <w:top w:val="nil"/>
              <w:left w:val="single" w:sz="2" w:space="0" w:color="auto"/>
              <w:bottom w:val="nil"/>
              <w:right w:val="single" w:sz="2" w:space="0" w:color="auto"/>
            </w:tcBorders>
          </w:tcPr>
          <w:p w14:paraId="6FCB030C"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5A40C60A" w14:textId="77777777" w:rsidR="000E78AE" w:rsidRPr="00EB525E" w:rsidRDefault="000E78AE" w:rsidP="009A0F2F">
            <w:pPr>
              <w:pStyle w:val="TableText"/>
              <w:tabs>
                <w:tab w:val="left" w:pos="3306"/>
              </w:tabs>
              <w:rPr>
                <w:rFonts w:cs="Calibri"/>
              </w:rPr>
            </w:pPr>
          </w:p>
        </w:tc>
        <w:tc>
          <w:tcPr>
            <w:tcW w:w="577" w:type="pct"/>
            <w:tcBorders>
              <w:top w:val="single" w:sz="2" w:space="0" w:color="auto"/>
              <w:left w:val="nil"/>
              <w:bottom w:val="nil"/>
              <w:right w:val="nil"/>
            </w:tcBorders>
            <w:vAlign w:val="bottom"/>
          </w:tcPr>
          <w:p w14:paraId="01FA5005" w14:textId="77777777" w:rsidR="000E78AE" w:rsidRPr="00EB525E" w:rsidRDefault="000E78AE" w:rsidP="009A0F2F">
            <w:pPr>
              <w:pStyle w:val="TableText"/>
              <w:tabs>
                <w:tab w:val="left" w:pos="3306"/>
              </w:tabs>
              <w:jc w:val="right"/>
              <w:rPr>
                <w:rFonts w:cs="Calibri"/>
              </w:rPr>
            </w:pPr>
          </w:p>
        </w:tc>
        <w:tc>
          <w:tcPr>
            <w:tcW w:w="739" w:type="pct"/>
            <w:tcBorders>
              <w:top w:val="single" w:sz="2" w:space="0" w:color="auto"/>
              <w:left w:val="nil"/>
              <w:bottom w:val="nil"/>
              <w:right w:val="nil"/>
            </w:tcBorders>
            <w:vAlign w:val="bottom"/>
          </w:tcPr>
          <w:p w14:paraId="7ADC6FE2" w14:textId="77777777" w:rsidR="000E78AE" w:rsidRPr="00EB525E" w:rsidRDefault="000E78AE" w:rsidP="009A0F2F">
            <w:pPr>
              <w:pStyle w:val="TableText"/>
              <w:tabs>
                <w:tab w:val="left" w:pos="3306"/>
              </w:tabs>
              <w:jc w:val="right"/>
              <w:rPr>
                <w:rFonts w:cs="Calibri"/>
              </w:rPr>
            </w:pPr>
          </w:p>
        </w:tc>
      </w:tr>
      <w:tr w:rsidR="000E78AE" w:rsidRPr="00CF7E1B" w14:paraId="2E7942D0" w14:textId="77777777" w:rsidTr="005F5B4C">
        <w:trPr>
          <w:cantSplit/>
          <w:trHeight w:val="23"/>
        </w:trPr>
        <w:tc>
          <w:tcPr>
            <w:tcW w:w="737" w:type="pct"/>
            <w:tcBorders>
              <w:top w:val="nil"/>
              <w:left w:val="single" w:sz="2" w:space="0" w:color="auto"/>
              <w:bottom w:val="nil"/>
              <w:right w:val="single" w:sz="2" w:space="0" w:color="auto"/>
            </w:tcBorders>
          </w:tcPr>
          <w:p w14:paraId="749DF714"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B1CB7EB" w14:textId="77777777" w:rsidR="000E78AE" w:rsidRPr="00EB525E" w:rsidRDefault="000E78AE" w:rsidP="009A0F2F">
            <w:pPr>
              <w:pStyle w:val="TableText"/>
              <w:tabs>
                <w:tab w:val="left" w:pos="3306"/>
              </w:tabs>
              <w:rPr>
                <w:rFonts w:cs="Calibri"/>
                <w:b/>
                <w:bCs/>
              </w:rPr>
            </w:pPr>
            <w:r w:rsidRPr="00EB525E">
              <w:rPr>
                <w:rFonts w:cs="Calibri"/>
                <w:b/>
                <w:bCs/>
              </w:rPr>
              <w:t xml:space="preserve">Changes in Operating Assets and Liabilities </w:t>
            </w:r>
          </w:p>
        </w:tc>
        <w:tc>
          <w:tcPr>
            <w:tcW w:w="577" w:type="pct"/>
            <w:tcBorders>
              <w:top w:val="nil"/>
              <w:left w:val="nil"/>
              <w:bottom w:val="nil"/>
              <w:right w:val="nil"/>
            </w:tcBorders>
            <w:vAlign w:val="bottom"/>
          </w:tcPr>
          <w:p w14:paraId="47C8A3BD"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73E5CC1" w14:textId="77777777" w:rsidR="000E78AE" w:rsidRPr="00EB525E" w:rsidRDefault="000E78AE" w:rsidP="009A0F2F">
            <w:pPr>
              <w:pStyle w:val="TableText"/>
              <w:tabs>
                <w:tab w:val="left" w:pos="3306"/>
              </w:tabs>
              <w:jc w:val="right"/>
              <w:rPr>
                <w:rFonts w:cs="Calibri"/>
              </w:rPr>
            </w:pPr>
          </w:p>
        </w:tc>
      </w:tr>
      <w:tr w:rsidR="000E78AE" w:rsidRPr="00CF7E1B" w14:paraId="4A8405C6" w14:textId="77777777" w:rsidTr="005F5B4C">
        <w:trPr>
          <w:cantSplit/>
          <w:trHeight w:val="23"/>
        </w:trPr>
        <w:tc>
          <w:tcPr>
            <w:tcW w:w="737" w:type="pct"/>
            <w:tcBorders>
              <w:top w:val="nil"/>
              <w:left w:val="single" w:sz="2" w:space="0" w:color="auto"/>
              <w:bottom w:val="nil"/>
              <w:right w:val="single" w:sz="2" w:space="0" w:color="auto"/>
            </w:tcBorders>
          </w:tcPr>
          <w:p w14:paraId="7D04F236"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41CCFADA" w14:textId="77777777" w:rsidR="000E78AE" w:rsidRPr="00EB525E" w:rsidRDefault="000E78AE" w:rsidP="009A0F2F">
            <w:pPr>
              <w:pStyle w:val="TableText"/>
              <w:tabs>
                <w:tab w:val="left" w:pos="3306"/>
              </w:tabs>
              <w:rPr>
                <w:rFonts w:cs="Calibri"/>
              </w:rPr>
            </w:pPr>
            <w:r w:rsidRPr="00EB525E">
              <w:rPr>
                <w:rFonts w:cs="Calibri"/>
              </w:rPr>
              <w:t>(Increase)/Decrease in Receivables and Contract Assets</w:t>
            </w:r>
          </w:p>
        </w:tc>
        <w:tc>
          <w:tcPr>
            <w:tcW w:w="577" w:type="pct"/>
            <w:tcBorders>
              <w:top w:val="nil"/>
              <w:left w:val="nil"/>
              <w:bottom w:val="nil"/>
              <w:right w:val="nil"/>
            </w:tcBorders>
            <w:vAlign w:val="bottom"/>
          </w:tcPr>
          <w:p w14:paraId="6FC05323"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40424CAB" w14:textId="77777777" w:rsidR="000E78AE" w:rsidRPr="00EB525E" w:rsidRDefault="000E78AE" w:rsidP="009A0F2F">
            <w:pPr>
              <w:pStyle w:val="TableText"/>
              <w:tabs>
                <w:tab w:val="left" w:pos="3306"/>
              </w:tabs>
              <w:jc w:val="right"/>
              <w:rPr>
                <w:rFonts w:cs="Calibri"/>
              </w:rPr>
            </w:pPr>
          </w:p>
        </w:tc>
      </w:tr>
      <w:tr w:rsidR="000E78AE" w:rsidRPr="00CF7E1B" w14:paraId="26B0896C" w14:textId="77777777" w:rsidTr="005F5B4C">
        <w:trPr>
          <w:cantSplit/>
          <w:trHeight w:val="23"/>
        </w:trPr>
        <w:tc>
          <w:tcPr>
            <w:tcW w:w="737" w:type="pct"/>
            <w:tcBorders>
              <w:top w:val="nil"/>
              <w:left w:val="single" w:sz="2" w:space="0" w:color="auto"/>
              <w:bottom w:val="nil"/>
              <w:right w:val="single" w:sz="2" w:space="0" w:color="auto"/>
            </w:tcBorders>
          </w:tcPr>
          <w:p w14:paraId="45DE6BF9"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00E110A5" w14:textId="77777777" w:rsidR="000E78AE" w:rsidRPr="00EB525E" w:rsidRDefault="000E78AE" w:rsidP="009A0F2F">
            <w:pPr>
              <w:pStyle w:val="TableText"/>
              <w:tabs>
                <w:tab w:val="left" w:pos="3306"/>
              </w:tabs>
              <w:rPr>
                <w:rFonts w:cs="Calibri"/>
              </w:rPr>
            </w:pPr>
            <w:r w:rsidRPr="00EB525E">
              <w:rPr>
                <w:rFonts w:cs="Calibri"/>
              </w:rPr>
              <w:t>(Increase)/Decrease in Inventories</w:t>
            </w:r>
          </w:p>
        </w:tc>
        <w:tc>
          <w:tcPr>
            <w:tcW w:w="577" w:type="pct"/>
            <w:tcBorders>
              <w:top w:val="nil"/>
              <w:left w:val="nil"/>
              <w:bottom w:val="nil"/>
              <w:right w:val="nil"/>
            </w:tcBorders>
            <w:vAlign w:val="bottom"/>
          </w:tcPr>
          <w:p w14:paraId="55482D9B"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4D0A7ED5" w14:textId="77777777" w:rsidR="000E78AE" w:rsidRPr="00EB525E" w:rsidRDefault="000E78AE" w:rsidP="009A0F2F">
            <w:pPr>
              <w:pStyle w:val="TableText"/>
              <w:tabs>
                <w:tab w:val="left" w:pos="3306"/>
              </w:tabs>
              <w:jc w:val="right"/>
              <w:rPr>
                <w:rFonts w:cs="Calibri"/>
              </w:rPr>
            </w:pPr>
          </w:p>
        </w:tc>
      </w:tr>
      <w:tr w:rsidR="000E78AE" w:rsidRPr="00CF7E1B" w14:paraId="6383B218" w14:textId="77777777" w:rsidTr="005F5B4C">
        <w:trPr>
          <w:cantSplit/>
          <w:trHeight w:val="23"/>
        </w:trPr>
        <w:tc>
          <w:tcPr>
            <w:tcW w:w="737" w:type="pct"/>
            <w:tcBorders>
              <w:top w:val="nil"/>
              <w:left w:val="single" w:sz="2" w:space="0" w:color="auto"/>
              <w:bottom w:val="nil"/>
              <w:right w:val="single" w:sz="2" w:space="0" w:color="auto"/>
            </w:tcBorders>
          </w:tcPr>
          <w:p w14:paraId="5D94B81E"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D684678" w14:textId="77777777" w:rsidR="000E78AE" w:rsidRPr="00EB525E" w:rsidRDefault="000E78AE" w:rsidP="009A0F2F">
            <w:pPr>
              <w:pStyle w:val="TableText"/>
              <w:tabs>
                <w:tab w:val="left" w:pos="3306"/>
              </w:tabs>
              <w:rPr>
                <w:rFonts w:cs="Calibri"/>
              </w:rPr>
            </w:pPr>
            <w:r w:rsidRPr="00EB525E">
              <w:rPr>
                <w:rFonts w:cs="Calibri"/>
              </w:rPr>
              <w:t>(Increase)/Decrease in Contract Assets</w:t>
            </w:r>
          </w:p>
        </w:tc>
        <w:tc>
          <w:tcPr>
            <w:tcW w:w="577" w:type="pct"/>
            <w:tcBorders>
              <w:top w:val="nil"/>
              <w:left w:val="nil"/>
              <w:bottom w:val="nil"/>
              <w:right w:val="nil"/>
            </w:tcBorders>
            <w:vAlign w:val="bottom"/>
          </w:tcPr>
          <w:p w14:paraId="14642ED5"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62654E8F" w14:textId="77777777" w:rsidR="000E78AE" w:rsidRPr="00EB525E" w:rsidRDefault="000E78AE" w:rsidP="009A0F2F">
            <w:pPr>
              <w:pStyle w:val="TableText"/>
              <w:tabs>
                <w:tab w:val="left" w:pos="3306"/>
              </w:tabs>
              <w:jc w:val="right"/>
              <w:rPr>
                <w:rFonts w:cs="Calibri"/>
              </w:rPr>
            </w:pPr>
          </w:p>
        </w:tc>
      </w:tr>
      <w:tr w:rsidR="000E78AE" w:rsidRPr="00CF7E1B" w14:paraId="53A234A8" w14:textId="77777777" w:rsidTr="005F5B4C">
        <w:trPr>
          <w:cantSplit/>
          <w:trHeight w:val="23"/>
        </w:trPr>
        <w:tc>
          <w:tcPr>
            <w:tcW w:w="737" w:type="pct"/>
            <w:tcBorders>
              <w:top w:val="nil"/>
              <w:left w:val="single" w:sz="2" w:space="0" w:color="auto"/>
              <w:bottom w:val="nil"/>
              <w:right w:val="single" w:sz="2" w:space="0" w:color="auto"/>
            </w:tcBorders>
          </w:tcPr>
          <w:p w14:paraId="4E541D02"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0BE9AAD9" w14:textId="77777777" w:rsidR="000E78AE" w:rsidRPr="00EB525E" w:rsidRDefault="000E78AE" w:rsidP="009A0F2F">
            <w:pPr>
              <w:pStyle w:val="TableText"/>
              <w:tabs>
                <w:tab w:val="left" w:pos="3306"/>
              </w:tabs>
              <w:rPr>
                <w:rFonts w:cs="Calibri"/>
              </w:rPr>
            </w:pPr>
            <w:r w:rsidRPr="00EB525E">
              <w:rPr>
                <w:rFonts w:cs="Calibri"/>
              </w:rPr>
              <w:t>(Increase)/Decrease in Other Assets</w:t>
            </w:r>
          </w:p>
        </w:tc>
        <w:tc>
          <w:tcPr>
            <w:tcW w:w="577" w:type="pct"/>
            <w:tcBorders>
              <w:top w:val="nil"/>
              <w:left w:val="nil"/>
              <w:bottom w:val="nil"/>
              <w:right w:val="nil"/>
            </w:tcBorders>
            <w:vAlign w:val="bottom"/>
          </w:tcPr>
          <w:p w14:paraId="1E4C077F"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65C8639C" w14:textId="77777777" w:rsidR="000E78AE" w:rsidRPr="00EB525E" w:rsidRDefault="000E78AE" w:rsidP="009A0F2F">
            <w:pPr>
              <w:pStyle w:val="TableText"/>
              <w:tabs>
                <w:tab w:val="left" w:pos="3306"/>
              </w:tabs>
              <w:jc w:val="right"/>
              <w:rPr>
                <w:rFonts w:cs="Calibri"/>
              </w:rPr>
            </w:pPr>
          </w:p>
        </w:tc>
      </w:tr>
      <w:tr w:rsidR="000E78AE" w:rsidRPr="00CF7E1B" w14:paraId="31B0F95B" w14:textId="77777777" w:rsidTr="005F5B4C">
        <w:trPr>
          <w:cantSplit/>
          <w:trHeight w:val="23"/>
        </w:trPr>
        <w:tc>
          <w:tcPr>
            <w:tcW w:w="737" w:type="pct"/>
            <w:tcBorders>
              <w:top w:val="nil"/>
              <w:left w:val="single" w:sz="2" w:space="0" w:color="auto"/>
              <w:bottom w:val="nil"/>
              <w:right w:val="single" w:sz="2" w:space="0" w:color="auto"/>
            </w:tcBorders>
          </w:tcPr>
          <w:p w14:paraId="10CAFAD5"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56058323" w14:textId="77777777" w:rsidR="000E78AE" w:rsidRPr="00EB525E" w:rsidRDefault="000E78AE" w:rsidP="009A0F2F">
            <w:pPr>
              <w:pStyle w:val="TableText"/>
              <w:tabs>
                <w:tab w:val="left" w:pos="3306"/>
              </w:tabs>
              <w:rPr>
                <w:rFonts w:cs="Calibri"/>
              </w:rPr>
            </w:pPr>
            <w:r w:rsidRPr="00EB525E">
              <w:rPr>
                <w:rFonts w:cs="Calibri"/>
              </w:rPr>
              <w:t xml:space="preserve">Increase /(Decrease) in Payables and Contract Liabilities </w:t>
            </w:r>
          </w:p>
        </w:tc>
        <w:tc>
          <w:tcPr>
            <w:tcW w:w="577" w:type="pct"/>
            <w:tcBorders>
              <w:top w:val="nil"/>
              <w:left w:val="nil"/>
              <w:bottom w:val="nil"/>
              <w:right w:val="nil"/>
            </w:tcBorders>
            <w:vAlign w:val="bottom"/>
          </w:tcPr>
          <w:p w14:paraId="2C84B3AD"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9EDC524" w14:textId="77777777" w:rsidR="000E78AE" w:rsidRPr="00EB525E" w:rsidRDefault="000E78AE" w:rsidP="009A0F2F">
            <w:pPr>
              <w:pStyle w:val="TableText"/>
              <w:tabs>
                <w:tab w:val="left" w:pos="3306"/>
              </w:tabs>
              <w:jc w:val="right"/>
              <w:rPr>
                <w:rFonts w:cs="Calibri"/>
              </w:rPr>
            </w:pPr>
          </w:p>
        </w:tc>
      </w:tr>
      <w:tr w:rsidR="000E78AE" w:rsidRPr="00CF7E1B" w14:paraId="74EA60C1" w14:textId="77777777" w:rsidTr="005F5B4C">
        <w:trPr>
          <w:cantSplit/>
          <w:trHeight w:val="23"/>
        </w:trPr>
        <w:tc>
          <w:tcPr>
            <w:tcW w:w="737" w:type="pct"/>
            <w:tcBorders>
              <w:top w:val="nil"/>
              <w:left w:val="single" w:sz="2" w:space="0" w:color="auto"/>
              <w:bottom w:val="nil"/>
              <w:right w:val="single" w:sz="2" w:space="0" w:color="auto"/>
            </w:tcBorders>
          </w:tcPr>
          <w:p w14:paraId="6D5AD486"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509808EC" w14:textId="77777777" w:rsidR="000E78AE" w:rsidRPr="00EB525E" w:rsidRDefault="000E78AE" w:rsidP="009A0F2F">
            <w:pPr>
              <w:pStyle w:val="TableText"/>
              <w:tabs>
                <w:tab w:val="left" w:pos="3306"/>
              </w:tabs>
              <w:rPr>
                <w:rFonts w:cs="Calibri"/>
                <w:b/>
              </w:rPr>
            </w:pPr>
            <w:r w:rsidRPr="00EB525E">
              <w:rPr>
                <w:rFonts w:cs="Calibri"/>
              </w:rPr>
              <w:t>Increase/(Decrease) in Contract Liabilities</w:t>
            </w:r>
          </w:p>
        </w:tc>
        <w:tc>
          <w:tcPr>
            <w:tcW w:w="577" w:type="pct"/>
            <w:tcBorders>
              <w:top w:val="nil"/>
              <w:left w:val="nil"/>
              <w:bottom w:val="nil"/>
              <w:right w:val="nil"/>
            </w:tcBorders>
            <w:vAlign w:val="bottom"/>
          </w:tcPr>
          <w:p w14:paraId="739B2378"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21AC955A" w14:textId="77777777" w:rsidR="000E78AE" w:rsidRPr="00EB525E" w:rsidRDefault="000E78AE" w:rsidP="009A0F2F">
            <w:pPr>
              <w:pStyle w:val="TableText"/>
              <w:tabs>
                <w:tab w:val="left" w:pos="3306"/>
              </w:tabs>
              <w:jc w:val="right"/>
              <w:rPr>
                <w:rFonts w:cs="Calibri"/>
              </w:rPr>
            </w:pPr>
          </w:p>
        </w:tc>
      </w:tr>
      <w:tr w:rsidR="000E78AE" w:rsidRPr="00CF7E1B" w14:paraId="5F7C67AF" w14:textId="77777777" w:rsidTr="005F5B4C">
        <w:trPr>
          <w:cantSplit/>
          <w:trHeight w:val="23"/>
        </w:trPr>
        <w:tc>
          <w:tcPr>
            <w:tcW w:w="737" w:type="pct"/>
            <w:tcBorders>
              <w:top w:val="nil"/>
              <w:left w:val="single" w:sz="2" w:space="0" w:color="auto"/>
              <w:bottom w:val="nil"/>
              <w:right w:val="single" w:sz="2" w:space="0" w:color="auto"/>
            </w:tcBorders>
          </w:tcPr>
          <w:p w14:paraId="5E8EBBC1"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24C5CDD5" w14:textId="77777777" w:rsidR="000E78AE" w:rsidRPr="00EB525E" w:rsidRDefault="000E78AE" w:rsidP="009A0F2F">
            <w:pPr>
              <w:pStyle w:val="TableText"/>
              <w:tabs>
                <w:tab w:val="left" w:pos="3306"/>
              </w:tabs>
              <w:rPr>
                <w:rFonts w:cs="Calibri"/>
              </w:rPr>
            </w:pPr>
            <w:r w:rsidRPr="00EB525E">
              <w:rPr>
                <w:rFonts w:cs="Calibri"/>
              </w:rPr>
              <w:t>Increase/(Decrease) in Provisions</w:t>
            </w:r>
          </w:p>
        </w:tc>
        <w:tc>
          <w:tcPr>
            <w:tcW w:w="577" w:type="pct"/>
            <w:tcBorders>
              <w:top w:val="nil"/>
              <w:left w:val="nil"/>
              <w:bottom w:val="nil"/>
              <w:right w:val="nil"/>
            </w:tcBorders>
            <w:vAlign w:val="bottom"/>
          </w:tcPr>
          <w:p w14:paraId="53761B60"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nil"/>
              <w:right w:val="nil"/>
            </w:tcBorders>
            <w:vAlign w:val="bottom"/>
          </w:tcPr>
          <w:p w14:paraId="75051826" w14:textId="77777777" w:rsidR="000E78AE" w:rsidRPr="00EB525E" w:rsidRDefault="000E78AE" w:rsidP="009A0F2F">
            <w:pPr>
              <w:pStyle w:val="TableText"/>
              <w:tabs>
                <w:tab w:val="left" w:pos="3306"/>
              </w:tabs>
              <w:jc w:val="right"/>
              <w:rPr>
                <w:rFonts w:cs="Calibri"/>
              </w:rPr>
            </w:pPr>
          </w:p>
        </w:tc>
      </w:tr>
      <w:tr w:rsidR="000E78AE" w:rsidRPr="00CF7E1B" w14:paraId="6C6056B3" w14:textId="77777777" w:rsidTr="005F5B4C">
        <w:trPr>
          <w:cantSplit/>
          <w:trHeight w:val="23"/>
        </w:trPr>
        <w:tc>
          <w:tcPr>
            <w:tcW w:w="737" w:type="pct"/>
            <w:tcBorders>
              <w:top w:val="nil"/>
              <w:left w:val="single" w:sz="2" w:space="0" w:color="auto"/>
              <w:bottom w:val="nil"/>
              <w:right w:val="single" w:sz="2" w:space="0" w:color="auto"/>
            </w:tcBorders>
          </w:tcPr>
          <w:p w14:paraId="42A28468"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6FBE6FD5" w14:textId="77777777" w:rsidR="000E78AE" w:rsidRPr="00EB525E" w:rsidRDefault="000E78AE" w:rsidP="009A0F2F">
            <w:pPr>
              <w:pStyle w:val="TableText"/>
              <w:tabs>
                <w:tab w:val="left" w:pos="3306"/>
              </w:tabs>
              <w:rPr>
                <w:rFonts w:cs="Calibri"/>
              </w:rPr>
            </w:pPr>
            <w:r w:rsidRPr="00EB525E">
              <w:rPr>
                <w:rFonts w:cs="Calibri"/>
              </w:rPr>
              <w:t>Increase/(Decrease) in Other Liabilities</w:t>
            </w:r>
          </w:p>
        </w:tc>
        <w:tc>
          <w:tcPr>
            <w:tcW w:w="577" w:type="pct"/>
            <w:tcBorders>
              <w:top w:val="nil"/>
              <w:left w:val="nil"/>
              <w:bottom w:val="single" w:sz="2" w:space="0" w:color="auto"/>
              <w:right w:val="nil"/>
            </w:tcBorders>
            <w:vAlign w:val="bottom"/>
          </w:tcPr>
          <w:p w14:paraId="77D5275A" w14:textId="77777777" w:rsidR="000E78AE" w:rsidRPr="00EB525E" w:rsidRDefault="000E78AE" w:rsidP="009A0F2F">
            <w:pPr>
              <w:pStyle w:val="TableText"/>
              <w:tabs>
                <w:tab w:val="left" w:pos="3306"/>
              </w:tabs>
              <w:jc w:val="right"/>
              <w:rPr>
                <w:rFonts w:cs="Calibri"/>
              </w:rPr>
            </w:pPr>
          </w:p>
        </w:tc>
        <w:tc>
          <w:tcPr>
            <w:tcW w:w="739" w:type="pct"/>
            <w:tcBorders>
              <w:top w:val="nil"/>
              <w:left w:val="nil"/>
              <w:bottom w:val="single" w:sz="2" w:space="0" w:color="auto"/>
              <w:right w:val="nil"/>
            </w:tcBorders>
            <w:vAlign w:val="bottom"/>
          </w:tcPr>
          <w:p w14:paraId="475393F7" w14:textId="77777777" w:rsidR="000E78AE" w:rsidRPr="00EB525E" w:rsidRDefault="000E78AE" w:rsidP="009A0F2F">
            <w:pPr>
              <w:pStyle w:val="TableText"/>
              <w:tabs>
                <w:tab w:val="left" w:pos="3306"/>
              </w:tabs>
              <w:jc w:val="right"/>
              <w:rPr>
                <w:rFonts w:cs="Calibri"/>
              </w:rPr>
            </w:pPr>
          </w:p>
        </w:tc>
      </w:tr>
      <w:tr w:rsidR="000E78AE" w:rsidRPr="00CF7E1B" w14:paraId="02BDE788" w14:textId="77777777" w:rsidTr="005F5B4C">
        <w:trPr>
          <w:cantSplit/>
          <w:trHeight w:val="23"/>
        </w:trPr>
        <w:tc>
          <w:tcPr>
            <w:tcW w:w="737" w:type="pct"/>
            <w:tcBorders>
              <w:top w:val="nil"/>
              <w:left w:val="single" w:sz="2" w:space="0" w:color="auto"/>
              <w:bottom w:val="nil"/>
              <w:right w:val="single" w:sz="2" w:space="0" w:color="auto"/>
            </w:tcBorders>
          </w:tcPr>
          <w:p w14:paraId="46EB076A"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4188470C" w14:textId="77777777" w:rsidR="000E78AE" w:rsidRPr="00EB525E" w:rsidRDefault="000E78AE" w:rsidP="009A0F2F">
            <w:pPr>
              <w:pStyle w:val="TableText"/>
              <w:tabs>
                <w:tab w:val="left" w:pos="3306"/>
              </w:tabs>
              <w:rPr>
                <w:rFonts w:cs="Calibri"/>
                <w:b/>
                <w:bCs/>
              </w:rPr>
            </w:pPr>
            <w:r w:rsidRPr="00EB525E">
              <w:rPr>
                <w:rFonts w:cs="Calibri"/>
                <w:b/>
                <w:bCs/>
              </w:rPr>
              <w:t>Net Changes in Operating Assets and Liabilities</w:t>
            </w:r>
          </w:p>
        </w:tc>
        <w:tc>
          <w:tcPr>
            <w:tcW w:w="577" w:type="pct"/>
            <w:tcBorders>
              <w:top w:val="single" w:sz="2" w:space="0" w:color="auto"/>
              <w:left w:val="nil"/>
              <w:bottom w:val="single" w:sz="2" w:space="0" w:color="auto"/>
              <w:right w:val="nil"/>
            </w:tcBorders>
            <w:vAlign w:val="bottom"/>
          </w:tcPr>
          <w:p w14:paraId="241A7386" w14:textId="77777777" w:rsidR="000E78AE" w:rsidRPr="00EB525E" w:rsidRDefault="000E78AE" w:rsidP="009A0F2F">
            <w:pPr>
              <w:pStyle w:val="TableText"/>
              <w:tabs>
                <w:tab w:val="left" w:pos="3306"/>
              </w:tabs>
              <w:jc w:val="right"/>
              <w:rPr>
                <w:rFonts w:cs="Calibri"/>
                <w:b/>
                <w:bCs/>
                <w:strike/>
              </w:rPr>
            </w:pPr>
          </w:p>
        </w:tc>
        <w:tc>
          <w:tcPr>
            <w:tcW w:w="739" w:type="pct"/>
            <w:tcBorders>
              <w:top w:val="single" w:sz="2" w:space="0" w:color="auto"/>
              <w:left w:val="nil"/>
              <w:bottom w:val="single" w:sz="2" w:space="0" w:color="auto"/>
              <w:right w:val="nil"/>
            </w:tcBorders>
            <w:vAlign w:val="bottom"/>
          </w:tcPr>
          <w:p w14:paraId="25CE9F31" w14:textId="77777777" w:rsidR="000E78AE" w:rsidRPr="00EB525E" w:rsidRDefault="000E78AE" w:rsidP="009A0F2F">
            <w:pPr>
              <w:pStyle w:val="TableText"/>
              <w:tabs>
                <w:tab w:val="left" w:pos="3306"/>
              </w:tabs>
              <w:jc w:val="right"/>
              <w:rPr>
                <w:rFonts w:cs="Calibri"/>
                <w:b/>
                <w:bCs/>
              </w:rPr>
            </w:pPr>
          </w:p>
        </w:tc>
      </w:tr>
      <w:tr w:rsidR="000E78AE" w:rsidRPr="00CF7E1B" w14:paraId="12E120A4" w14:textId="77777777" w:rsidTr="005F5B4C">
        <w:trPr>
          <w:cantSplit/>
          <w:trHeight w:val="23"/>
        </w:trPr>
        <w:tc>
          <w:tcPr>
            <w:tcW w:w="737" w:type="pct"/>
            <w:tcBorders>
              <w:top w:val="nil"/>
              <w:left w:val="single" w:sz="2" w:space="0" w:color="auto"/>
              <w:bottom w:val="nil"/>
              <w:right w:val="single" w:sz="2" w:space="0" w:color="auto"/>
            </w:tcBorders>
          </w:tcPr>
          <w:p w14:paraId="4A67FFE2" w14:textId="77777777" w:rsidR="000E78AE" w:rsidRPr="00EB525E" w:rsidRDefault="000E78AE" w:rsidP="009A0F2F">
            <w:pPr>
              <w:pStyle w:val="TableReference"/>
              <w:tabs>
                <w:tab w:val="left" w:pos="3306"/>
              </w:tabs>
              <w:spacing w:before="40"/>
              <w:rPr>
                <w:rFonts w:cs="Calibri"/>
                <w:color w:val="7030A0"/>
                <w:sz w:val="14"/>
              </w:rPr>
            </w:pPr>
          </w:p>
        </w:tc>
        <w:tc>
          <w:tcPr>
            <w:tcW w:w="2947" w:type="pct"/>
            <w:tcBorders>
              <w:top w:val="nil"/>
              <w:left w:val="single" w:sz="2" w:space="0" w:color="auto"/>
              <w:bottom w:val="nil"/>
              <w:right w:val="nil"/>
            </w:tcBorders>
            <w:vAlign w:val="bottom"/>
          </w:tcPr>
          <w:p w14:paraId="12D052C7" w14:textId="77777777" w:rsidR="000E78AE" w:rsidRPr="00EB525E" w:rsidRDefault="000E78AE" w:rsidP="009A0F2F">
            <w:pPr>
              <w:pStyle w:val="TableText"/>
              <w:tabs>
                <w:tab w:val="left" w:pos="3306"/>
              </w:tabs>
              <w:rPr>
                <w:rFonts w:cs="Calibri"/>
                <w:b/>
                <w:bCs/>
              </w:rPr>
            </w:pPr>
            <w:r w:rsidRPr="00EB525E">
              <w:rPr>
                <w:rFonts w:cs="Calibri"/>
                <w:b/>
                <w:bCs/>
              </w:rPr>
              <w:t>Net Cash Inflows from Operating Activities</w:t>
            </w:r>
          </w:p>
        </w:tc>
        <w:tc>
          <w:tcPr>
            <w:tcW w:w="577" w:type="pct"/>
            <w:tcBorders>
              <w:top w:val="single" w:sz="2" w:space="0" w:color="auto"/>
              <w:left w:val="nil"/>
              <w:bottom w:val="double" w:sz="4" w:space="0" w:color="auto"/>
              <w:right w:val="nil"/>
            </w:tcBorders>
            <w:vAlign w:val="bottom"/>
          </w:tcPr>
          <w:p w14:paraId="5D046652" w14:textId="77777777" w:rsidR="000E78AE" w:rsidRPr="00EB525E" w:rsidRDefault="000E78AE" w:rsidP="009A0F2F">
            <w:pPr>
              <w:pStyle w:val="TableText"/>
              <w:tabs>
                <w:tab w:val="left" w:pos="3306"/>
              </w:tabs>
              <w:jc w:val="right"/>
              <w:rPr>
                <w:rFonts w:cs="Calibri"/>
                <w:b/>
                <w:bCs/>
              </w:rPr>
            </w:pPr>
          </w:p>
        </w:tc>
        <w:tc>
          <w:tcPr>
            <w:tcW w:w="739" w:type="pct"/>
            <w:tcBorders>
              <w:top w:val="single" w:sz="2" w:space="0" w:color="auto"/>
              <w:left w:val="nil"/>
              <w:bottom w:val="double" w:sz="4" w:space="0" w:color="auto"/>
              <w:right w:val="nil"/>
            </w:tcBorders>
            <w:vAlign w:val="bottom"/>
          </w:tcPr>
          <w:p w14:paraId="0CD64351" w14:textId="77777777" w:rsidR="000E78AE" w:rsidRPr="00EB525E" w:rsidRDefault="000E78AE" w:rsidP="009A0F2F">
            <w:pPr>
              <w:pStyle w:val="TableText"/>
              <w:tabs>
                <w:tab w:val="left" w:pos="3306"/>
              </w:tabs>
              <w:jc w:val="right"/>
              <w:rPr>
                <w:rFonts w:cs="Calibri"/>
                <w:b/>
                <w:bCs/>
              </w:rPr>
            </w:pPr>
          </w:p>
        </w:tc>
      </w:tr>
    </w:tbl>
    <w:p w14:paraId="5BFE50FF" w14:textId="77777777" w:rsidR="00F22D61" w:rsidRDefault="00F22D61">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3383"/>
        <w:gridCol w:w="1257"/>
        <w:gridCol w:w="1545"/>
        <w:gridCol w:w="1503"/>
        <w:gridCol w:w="1259"/>
      </w:tblGrid>
      <w:tr w:rsidR="001A0130" w:rsidRPr="00CF7E1B" w14:paraId="45A2D633" w14:textId="77777777" w:rsidTr="005F5B4C">
        <w:trPr>
          <w:trHeight w:val="23"/>
        </w:trPr>
        <w:tc>
          <w:tcPr>
            <w:tcW w:w="737" w:type="pct"/>
            <w:tcBorders>
              <w:top w:val="nil"/>
              <w:left w:val="single" w:sz="2" w:space="0" w:color="auto"/>
              <w:bottom w:val="nil"/>
              <w:right w:val="single" w:sz="2" w:space="0" w:color="auto"/>
            </w:tcBorders>
          </w:tcPr>
          <w:p w14:paraId="2D2AEFB6" w14:textId="6D4A71D8" w:rsidR="001A0130" w:rsidRPr="001A0130" w:rsidRDefault="001A0130" w:rsidP="001A0130">
            <w:pPr>
              <w:pStyle w:val="TableReference"/>
              <w:tabs>
                <w:tab w:val="left" w:pos="3306"/>
              </w:tabs>
              <w:spacing w:before="240" w:after="240"/>
              <w:rPr>
                <w:rFonts w:cs="Calibri"/>
                <w:color w:val="7030A0"/>
                <w:sz w:val="14"/>
              </w:rPr>
            </w:pPr>
            <w:r w:rsidRPr="001A0130">
              <w:rPr>
                <w:rFonts w:cs="Calibri"/>
                <w:b/>
                <w:bCs/>
                <w:color w:val="7030A0"/>
                <w:sz w:val="22"/>
                <w:szCs w:val="22"/>
              </w:rPr>
              <w:t>Reference</w:t>
            </w:r>
          </w:p>
        </w:tc>
        <w:tc>
          <w:tcPr>
            <w:tcW w:w="4263" w:type="pct"/>
            <w:gridSpan w:val="5"/>
            <w:tcBorders>
              <w:top w:val="nil"/>
              <w:left w:val="single" w:sz="2" w:space="0" w:color="auto"/>
              <w:bottom w:val="nil"/>
              <w:right w:val="nil"/>
            </w:tcBorders>
          </w:tcPr>
          <w:p w14:paraId="720BB16F" w14:textId="2634A222" w:rsidR="001A0130" w:rsidRPr="001A0130" w:rsidRDefault="001A0130" w:rsidP="001A0130">
            <w:pPr>
              <w:pStyle w:val="TableText"/>
              <w:tabs>
                <w:tab w:val="left" w:pos="3306"/>
              </w:tabs>
              <w:spacing w:before="240" w:after="240"/>
              <w:rPr>
                <w:rFonts w:ascii="Arial" w:hAnsi="Arial"/>
                <w:b/>
                <w:bCs/>
                <w:caps/>
                <w:sz w:val="32"/>
                <w:szCs w:val="24"/>
              </w:rPr>
            </w:pPr>
            <w:r w:rsidRPr="001A0130">
              <w:rPr>
                <w:rFonts w:ascii="Arial" w:hAnsi="Arial"/>
                <w:b/>
                <w:bCs/>
                <w:caps/>
                <w:sz w:val="32"/>
                <w:szCs w:val="24"/>
              </w:rPr>
              <w:t>Note 15.</w:t>
            </w:r>
            <w:r w:rsidR="00FA7C77">
              <w:rPr>
                <w:rFonts w:ascii="Arial" w:hAnsi="Arial"/>
                <w:b/>
                <w:bCs/>
                <w:caps/>
                <w:sz w:val="32"/>
                <w:szCs w:val="24"/>
              </w:rPr>
              <w:t xml:space="preserve"> </w:t>
            </w:r>
            <w:r w:rsidRPr="001A0130">
              <w:rPr>
                <w:rFonts w:ascii="Arial" w:hAnsi="Arial"/>
                <w:b/>
                <w:bCs/>
                <w:caps/>
                <w:sz w:val="32"/>
                <w:szCs w:val="24"/>
              </w:rPr>
              <w:t xml:space="preserve"> Cash and Investments </w:t>
            </w:r>
            <w:r w:rsidR="00B81B19">
              <w:rPr>
                <w:rFonts w:ascii="Arial" w:hAnsi="Arial"/>
                <w:b/>
                <w:bCs/>
                <w:caps/>
                <w:sz w:val="32"/>
                <w:szCs w:val="24"/>
              </w:rPr>
              <w:t>–</w:t>
            </w:r>
            <w:r w:rsidRPr="001A0130">
              <w:rPr>
                <w:rFonts w:ascii="Arial" w:hAnsi="Arial"/>
                <w:b/>
                <w:bCs/>
                <w:caps/>
                <w:sz w:val="32"/>
                <w:szCs w:val="24"/>
              </w:rPr>
              <w:t xml:space="preserve"> Continued</w:t>
            </w:r>
            <w:r w:rsidR="00B81B19">
              <w:rPr>
                <w:rFonts w:ascii="Arial" w:hAnsi="Arial"/>
                <w:b/>
                <w:bCs/>
                <w:caps/>
                <w:sz w:val="32"/>
                <w:szCs w:val="24"/>
              </w:rPr>
              <w:t xml:space="preserve"> </w:t>
            </w:r>
          </w:p>
        </w:tc>
      </w:tr>
      <w:tr w:rsidR="003A2704" w:rsidRPr="00BA0DF6" w14:paraId="3FBB565C" w14:textId="77777777" w:rsidTr="005F5B4C">
        <w:trPr>
          <w:trHeight w:val="480"/>
        </w:trPr>
        <w:tc>
          <w:tcPr>
            <w:tcW w:w="737" w:type="pct"/>
            <w:tcBorders>
              <w:top w:val="nil"/>
              <w:left w:val="single" w:sz="2" w:space="0" w:color="auto"/>
              <w:bottom w:val="nil"/>
              <w:right w:val="single" w:sz="2" w:space="0" w:color="auto"/>
            </w:tcBorders>
          </w:tcPr>
          <w:p w14:paraId="2ABFEB62" w14:textId="77777777" w:rsidR="003A2704" w:rsidRPr="00EB525E" w:rsidRDefault="003A2704" w:rsidP="003C4C52">
            <w:pPr>
              <w:pStyle w:val="TableReference"/>
              <w:tabs>
                <w:tab w:val="left" w:pos="3306"/>
              </w:tabs>
              <w:rPr>
                <w:rFonts w:cs="Calibri"/>
                <w:color w:val="7030A0"/>
                <w:sz w:val="14"/>
              </w:rPr>
            </w:pPr>
          </w:p>
        </w:tc>
        <w:tc>
          <w:tcPr>
            <w:tcW w:w="2947" w:type="pct"/>
            <w:gridSpan w:val="3"/>
            <w:tcBorders>
              <w:top w:val="nil"/>
              <w:left w:val="single" w:sz="2" w:space="0" w:color="auto"/>
              <w:bottom w:val="nil"/>
              <w:right w:val="nil"/>
            </w:tcBorders>
            <w:vAlign w:val="bottom"/>
          </w:tcPr>
          <w:p w14:paraId="1FB5DFE7" w14:textId="77777777" w:rsidR="003A2704" w:rsidRPr="00EB525E" w:rsidRDefault="003A2704" w:rsidP="003C4C52">
            <w:pPr>
              <w:pStyle w:val="TableText"/>
              <w:tabs>
                <w:tab w:val="left" w:pos="3306"/>
              </w:tabs>
              <w:spacing w:before="0"/>
              <w:rPr>
                <w:rFonts w:cs="Calibri"/>
              </w:rPr>
            </w:pPr>
          </w:p>
        </w:tc>
        <w:tc>
          <w:tcPr>
            <w:tcW w:w="716" w:type="pct"/>
            <w:tcBorders>
              <w:top w:val="nil"/>
              <w:left w:val="nil"/>
              <w:bottom w:val="nil"/>
              <w:right w:val="nil"/>
            </w:tcBorders>
            <w:vAlign w:val="bottom"/>
          </w:tcPr>
          <w:p w14:paraId="1F5B5778" w14:textId="77777777" w:rsidR="003A2704" w:rsidRDefault="003A2704" w:rsidP="003C4C52">
            <w:pPr>
              <w:pStyle w:val="TableTitle"/>
              <w:tabs>
                <w:tab w:val="left" w:pos="3306"/>
              </w:tabs>
              <w:rPr>
                <w:rFonts w:cs="Calibri"/>
              </w:rPr>
            </w:pPr>
            <w:r w:rsidRPr="00EB525E">
              <w:rPr>
                <w:rFonts w:cs="Calibri"/>
              </w:rPr>
              <w:t>2022</w:t>
            </w:r>
            <w:r>
              <w:rPr>
                <w:rFonts w:cs="Calibri"/>
              </w:rPr>
              <w:t xml:space="preserve">    </w:t>
            </w:r>
          </w:p>
          <w:p w14:paraId="0E375310" w14:textId="77777777" w:rsidR="003A2704" w:rsidRPr="00EB525E" w:rsidRDefault="003A2704" w:rsidP="003C4C52">
            <w:pPr>
              <w:pStyle w:val="TableTitle"/>
              <w:tabs>
                <w:tab w:val="left" w:pos="3306"/>
              </w:tabs>
              <w:rPr>
                <w:rFonts w:cs="Calibri"/>
              </w:rPr>
            </w:pPr>
            <w:r>
              <w:rPr>
                <w:rFonts w:cs="Calibri"/>
              </w:rPr>
              <w:t xml:space="preserve"> </w:t>
            </w:r>
            <w:r w:rsidRPr="00EB525E">
              <w:rPr>
                <w:rFonts w:cs="Calibri"/>
              </w:rPr>
              <w:t>$’000</w:t>
            </w:r>
          </w:p>
        </w:tc>
        <w:tc>
          <w:tcPr>
            <w:tcW w:w="600" w:type="pct"/>
            <w:tcBorders>
              <w:top w:val="nil"/>
              <w:left w:val="nil"/>
              <w:bottom w:val="nil"/>
              <w:right w:val="nil"/>
            </w:tcBorders>
            <w:vAlign w:val="bottom"/>
          </w:tcPr>
          <w:p w14:paraId="7B7A56B0" w14:textId="77777777" w:rsidR="003A2704" w:rsidRPr="00EB525E" w:rsidRDefault="003A2704" w:rsidP="003C4C52">
            <w:pPr>
              <w:pStyle w:val="TableTitle"/>
              <w:tabs>
                <w:tab w:val="left" w:pos="3306"/>
              </w:tabs>
              <w:rPr>
                <w:rFonts w:cs="Calibri"/>
              </w:rPr>
            </w:pPr>
            <w:r w:rsidRPr="00EB525E">
              <w:rPr>
                <w:rFonts w:cs="Calibri"/>
              </w:rPr>
              <w:t>2021</w:t>
            </w:r>
          </w:p>
          <w:p w14:paraId="1F5CA1E3" w14:textId="77777777" w:rsidR="003A2704" w:rsidRPr="00EB525E" w:rsidRDefault="003A2704" w:rsidP="003C4C52">
            <w:pPr>
              <w:pStyle w:val="TableTitle"/>
              <w:tabs>
                <w:tab w:val="left" w:pos="3306"/>
              </w:tabs>
              <w:rPr>
                <w:rFonts w:cs="Calibri"/>
              </w:rPr>
            </w:pPr>
            <w:r w:rsidRPr="00EB525E">
              <w:rPr>
                <w:rFonts w:cs="Calibri"/>
              </w:rPr>
              <w:t>$’000</w:t>
            </w:r>
          </w:p>
        </w:tc>
      </w:tr>
      <w:tr w:rsidR="001A0130" w:rsidRPr="00CF7E1B" w14:paraId="77480912" w14:textId="77777777" w:rsidTr="005F5B4C">
        <w:trPr>
          <w:trHeight w:val="23"/>
        </w:trPr>
        <w:tc>
          <w:tcPr>
            <w:tcW w:w="737" w:type="pct"/>
            <w:tcBorders>
              <w:top w:val="nil"/>
              <w:left w:val="single" w:sz="2" w:space="0" w:color="auto"/>
              <w:bottom w:val="nil"/>
              <w:right w:val="single" w:sz="2" w:space="0" w:color="auto"/>
            </w:tcBorders>
          </w:tcPr>
          <w:p w14:paraId="3B0CD95C" w14:textId="77777777" w:rsidR="001A0130" w:rsidRPr="001A0130" w:rsidRDefault="001A0130" w:rsidP="001A0130">
            <w:pPr>
              <w:pStyle w:val="TableReference"/>
              <w:tabs>
                <w:tab w:val="left" w:pos="3306"/>
              </w:tabs>
              <w:spacing w:before="40"/>
              <w:rPr>
                <w:rFonts w:cs="Calibri"/>
                <w:color w:val="7030A0"/>
                <w:sz w:val="14"/>
              </w:rPr>
            </w:pPr>
            <w:r w:rsidRPr="001A0130">
              <w:rPr>
                <w:rFonts w:cs="Calibri"/>
                <w:color w:val="7030A0"/>
                <w:sz w:val="14"/>
              </w:rPr>
              <w:t>AASB 107.44(a)</w:t>
            </w:r>
          </w:p>
        </w:tc>
        <w:tc>
          <w:tcPr>
            <w:tcW w:w="2947" w:type="pct"/>
            <w:gridSpan w:val="3"/>
            <w:tcBorders>
              <w:top w:val="nil"/>
              <w:left w:val="single" w:sz="2" w:space="0" w:color="auto"/>
              <w:bottom w:val="nil"/>
              <w:right w:val="nil"/>
            </w:tcBorders>
            <w:vAlign w:val="bottom"/>
          </w:tcPr>
          <w:p w14:paraId="76FB7377" w14:textId="6EA78C7A" w:rsidR="001A0130" w:rsidRPr="00327BF3" w:rsidRDefault="001A0130" w:rsidP="001A0130">
            <w:pPr>
              <w:pStyle w:val="TableText"/>
              <w:tabs>
                <w:tab w:val="left" w:pos="3306"/>
              </w:tabs>
              <w:spacing w:before="0" w:after="120"/>
              <w:rPr>
                <w:rFonts w:cs="Calibri"/>
                <w:b/>
                <w:bCs/>
              </w:rPr>
            </w:pPr>
            <w:r w:rsidRPr="00327BF3">
              <w:rPr>
                <w:rFonts w:cs="Calibri"/>
                <w:b/>
                <w:bCs/>
              </w:rPr>
              <w:t>(d) Non-Cash Financing and Investing Activities</w:t>
            </w:r>
          </w:p>
        </w:tc>
        <w:tc>
          <w:tcPr>
            <w:tcW w:w="716" w:type="pct"/>
            <w:tcBorders>
              <w:top w:val="nil"/>
              <w:left w:val="nil"/>
              <w:bottom w:val="nil"/>
              <w:right w:val="nil"/>
            </w:tcBorders>
            <w:vAlign w:val="bottom"/>
          </w:tcPr>
          <w:p w14:paraId="278987C1" w14:textId="77777777" w:rsidR="001A0130" w:rsidRPr="00327BF3" w:rsidRDefault="001A0130" w:rsidP="001A0130">
            <w:pPr>
              <w:pStyle w:val="TableText"/>
              <w:tabs>
                <w:tab w:val="left" w:pos="3306"/>
              </w:tabs>
              <w:jc w:val="right"/>
              <w:rPr>
                <w:rFonts w:cs="Calibri"/>
              </w:rPr>
            </w:pPr>
          </w:p>
        </w:tc>
        <w:tc>
          <w:tcPr>
            <w:tcW w:w="600" w:type="pct"/>
            <w:tcBorders>
              <w:top w:val="nil"/>
              <w:left w:val="nil"/>
              <w:bottom w:val="nil"/>
              <w:right w:val="nil"/>
            </w:tcBorders>
            <w:vAlign w:val="bottom"/>
          </w:tcPr>
          <w:p w14:paraId="6229C3C3" w14:textId="77777777" w:rsidR="001A0130" w:rsidRPr="00327BF3" w:rsidRDefault="001A0130" w:rsidP="001A0130">
            <w:pPr>
              <w:pStyle w:val="TableText"/>
              <w:tabs>
                <w:tab w:val="left" w:pos="3306"/>
              </w:tabs>
              <w:jc w:val="right"/>
              <w:rPr>
                <w:rFonts w:cs="Calibri"/>
              </w:rPr>
            </w:pPr>
          </w:p>
        </w:tc>
      </w:tr>
      <w:tr w:rsidR="001A0130" w:rsidRPr="00CF7E1B" w14:paraId="1F7AE518" w14:textId="77777777" w:rsidTr="005F5B4C">
        <w:trPr>
          <w:trHeight w:val="23"/>
        </w:trPr>
        <w:tc>
          <w:tcPr>
            <w:tcW w:w="737" w:type="pct"/>
            <w:tcBorders>
              <w:top w:val="nil"/>
              <w:left w:val="single" w:sz="2" w:space="0" w:color="auto"/>
              <w:bottom w:val="nil"/>
              <w:right w:val="single" w:sz="2" w:space="0" w:color="auto"/>
            </w:tcBorders>
          </w:tcPr>
          <w:p w14:paraId="2190F3B3" w14:textId="77777777" w:rsidR="001A0130" w:rsidRPr="001A0130" w:rsidRDefault="001A0130" w:rsidP="001A0130">
            <w:pPr>
              <w:pStyle w:val="TableReference"/>
              <w:tabs>
                <w:tab w:val="left" w:pos="3306"/>
              </w:tabs>
              <w:spacing w:before="40"/>
              <w:rPr>
                <w:rFonts w:cs="Calibri"/>
                <w:color w:val="7030A0"/>
                <w:sz w:val="14"/>
              </w:rPr>
            </w:pPr>
          </w:p>
        </w:tc>
        <w:tc>
          <w:tcPr>
            <w:tcW w:w="2947" w:type="pct"/>
            <w:gridSpan w:val="3"/>
            <w:tcBorders>
              <w:top w:val="nil"/>
              <w:left w:val="single" w:sz="2" w:space="0" w:color="auto"/>
              <w:bottom w:val="nil"/>
              <w:right w:val="nil"/>
            </w:tcBorders>
            <w:vAlign w:val="bottom"/>
          </w:tcPr>
          <w:p w14:paraId="50E1CCC1" w14:textId="77777777" w:rsidR="001A0130" w:rsidRPr="00327BF3" w:rsidRDefault="001A0130" w:rsidP="001A0130">
            <w:pPr>
              <w:pStyle w:val="TableText"/>
              <w:tabs>
                <w:tab w:val="left" w:pos="3306"/>
              </w:tabs>
              <w:spacing w:before="0" w:after="120"/>
              <w:rPr>
                <w:rFonts w:cs="Calibri"/>
              </w:rPr>
            </w:pPr>
            <w:r w:rsidRPr="006A25E9">
              <w:rPr>
                <w:rFonts w:cs="Calibri"/>
              </w:rPr>
              <w:t>Acquisition of Assets by Assuming Liabilities or by Means of a Lease</w:t>
            </w:r>
          </w:p>
        </w:tc>
        <w:tc>
          <w:tcPr>
            <w:tcW w:w="716" w:type="pct"/>
            <w:tcBorders>
              <w:top w:val="nil"/>
              <w:left w:val="nil"/>
              <w:bottom w:val="nil"/>
              <w:right w:val="nil"/>
            </w:tcBorders>
            <w:vAlign w:val="bottom"/>
          </w:tcPr>
          <w:p w14:paraId="0178E0D5" w14:textId="77777777" w:rsidR="001A0130" w:rsidRPr="00327BF3" w:rsidRDefault="001A0130" w:rsidP="001A0130">
            <w:pPr>
              <w:pStyle w:val="TableText"/>
              <w:tabs>
                <w:tab w:val="left" w:pos="3306"/>
              </w:tabs>
              <w:spacing w:before="0" w:after="120"/>
              <w:jc w:val="right"/>
              <w:rPr>
                <w:rFonts w:cs="Calibri"/>
              </w:rPr>
            </w:pPr>
          </w:p>
        </w:tc>
        <w:tc>
          <w:tcPr>
            <w:tcW w:w="600" w:type="pct"/>
            <w:tcBorders>
              <w:top w:val="nil"/>
              <w:left w:val="nil"/>
              <w:bottom w:val="nil"/>
              <w:right w:val="nil"/>
            </w:tcBorders>
            <w:vAlign w:val="bottom"/>
          </w:tcPr>
          <w:p w14:paraId="15560141" w14:textId="77777777" w:rsidR="001A0130" w:rsidRPr="00327BF3" w:rsidRDefault="001A0130" w:rsidP="001A0130">
            <w:pPr>
              <w:pStyle w:val="TableText"/>
              <w:tabs>
                <w:tab w:val="left" w:pos="3306"/>
              </w:tabs>
              <w:spacing w:before="0" w:after="120"/>
              <w:jc w:val="right"/>
              <w:rPr>
                <w:rFonts w:cs="Calibri"/>
              </w:rPr>
            </w:pPr>
          </w:p>
        </w:tc>
      </w:tr>
      <w:tr w:rsidR="001A0130" w:rsidRPr="00416D13" w14:paraId="6946E67A" w14:textId="77777777" w:rsidTr="005F5B4C">
        <w:trPr>
          <w:trHeight w:val="23"/>
        </w:trPr>
        <w:tc>
          <w:tcPr>
            <w:tcW w:w="737" w:type="pct"/>
            <w:tcBorders>
              <w:top w:val="nil"/>
              <w:left w:val="single" w:sz="2" w:space="0" w:color="auto"/>
              <w:bottom w:val="nil"/>
              <w:right w:val="single" w:sz="2" w:space="0" w:color="auto"/>
            </w:tcBorders>
          </w:tcPr>
          <w:p w14:paraId="48B39DD3" w14:textId="77777777" w:rsidR="001A0130" w:rsidRPr="001A0130" w:rsidRDefault="001A0130" w:rsidP="001A0130">
            <w:pPr>
              <w:pStyle w:val="TableReference"/>
              <w:tabs>
                <w:tab w:val="left" w:pos="3306"/>
              </w:tabs>
              <w:spacing w:before="60"/>
              <w:rPr>
                <w:rFonts w:cs="Calibri"/>
                <w:color w:val="7030A0"/>
                <w:sz w:val="14"/>
              </w:rPr>
            </w:pPr>
            <w:r w:rsidRPr="001A0130">
              <w:rPr>
                <w:rFonts w:cs="Calibri"/>
                <w:color w:val="7030A0"/>
                <w:sz w:val="14"/>
              </w:rPr>
              <w:t>AASB 107.44-44E</w:t>
            </w:r>
          </w:p>
        </w:tc>
        <w:tc>
          <w:tcPr>
            <w:tcW w:w="4263" w:type="pct"/>
            <w:gridSpan w:val="5"/>
            <w:tcBorders>
              <w:top w:val="nil"/>
              <w:left w:val="single" w:sz="2" w:space="0" w:color="auto"/>
              <w:bottom w:val="nil"/>
              <w:right w:val="nil"/>
            </w:tcBorders>
            <w:vAlign w:val="bottom"/>
          </w:tcPr>
          <w:p w14:paraId="2DBA9084" w14:textId="0BC51DB8" w:rsidR="001A0130" w:rsidRPr="00327BF3" w:rsidRDefault="001A0130" w:rsidP="001A0130">
            <w:pPr>
              <w:pStyle w:val="TableText"/>
              <w:spacing w:before="0"/>
              <w:ind w:left="290" w:hanging="284"/>
              <w:jc w:val="both"/>
              <w:rPr>
                <w:rFonts w:cs="Calibri"/>
                <w:b/>
              </w:rPr>
            </w:pPr>
            <w:r w:rsidRPr="00327BF3">
              <w:rPr>
                <w:rFonts w:cs="Calibri"/>
                <w:b/>
              </w:rPr>
              <w:t>(e)</w:t>
            </w:r>
            <w:r w:rsidRPr="00327BF3">
              <w:rPr>
                <w:rFonts w:cs="Calibri"/>
                <w:b/>
              </w:rPr>
              <w:tab/>
              <w:t>Reconciliation of liabilities arising from financing activities.</w:t>
            </w:r>
            <w:r w:rsidR="00FA7C77">
              <w:rPr>
                <w:rFonts w:cs="Calibri"/>
                <w:b/>
              </w:rPr>
              <w:t xml:space="preserve"> </w:t>
            </w:r>
          </w:p>
        </w:tc>
      </w:tr>
      <w:tr w:rsidR="001A0130" w:rsidRPr="00AD2D89" w14:paraId="03A0A8AC" w14:textId="77777777" w:rsidTr="005F5B4C">
        <w:trPr>
          <w:trHeight w:val="23"/>
        </w:trPr>
        <w:tc>
          <w:tcPr>
            <w:tcW w:w="737" w:type="pct"/>
            <w:tcBorders>
              <w:top w:val="nil"/>
              <w:left w:val="single" w:sz="2" w:space="0" w:color="auto"/>
              <w:bottom w:val="nil"/>
              <w:right w:val="single" w:sz="2" w:space="0" w:color="auto"/>
            </w:tcBorders>
          </w:tcPr>
          <w:p w14:paraId="6004BDF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0F7CEC6" w14:textId="77777777" w:rsidR="001A0130" w:rsidRPr="00327BF3" w:rsidRDefault="001A0130" w:rsidP="001A0130">
            <w:pPr>
              <w:pStyle w:val="TableText"/>
              <w:spacing w:before="0"/>
              <w:ind w:left="290" w:hanging="284"/>
              <w:jc w:val="both"/>
              <w:rPr>
                <w:rFonts w:cs="Calibri"/>
                <w:b/>
              </w:rPr>
            </w:pPr>
          </w:p>
        </w:tc>
        <w:tc>
          <w:tcPr>
            <w:tcW w:w="599" w:type="pct"/>
            <w:tcBorders>
              <w:top w:val="nil"/>
              <w:left w:val="nil"/>
              <w:bottom w:val="nil"/>
              <w:right w:val="nil"/>
            </w:tcBorders>
            <w:vAlign w:val="bottom"/>
          </w:tcPr>
          <w:p w14:paraId="2DC43DF3" w14:textId="77777777" w:rsidR="001A0130" w:rsidRPr="00327BF3" w:rsidRDefault="001A0130" w:rsidP="001A0130">
            <w:pPr>
              <w:pStyle w:val="TableText"/>
              <w:spacing w:before="0"/>
              <w:ind w:left="290" w:hanging="284"/>
              <w:jc w:val="right"/>
              <w:rPr>
                <w:rFonts w:cs="Calibri"/>
                <w:b/>
              </w:rPr>
            </w:pPr>
            <w:r w:rsidRPr="00327BF3">
              <w:rPr>
                <w:rFonts w:cs="Calibri"/>
                <w:b/>
              </w:rPr>
              <w:t>Interest Bearing Liabilities</w:t>
            </w:r>
          </w:p>
        </w:tc>
        <w:tc>
          <w:tcPr>
            <w:tcW w:w="736" w:type="pct"/>
            <w:tcBorders>
              <w:top w:val="nil"/>
              <w:left w:val="nil"/>
              <w:bottom w:val="nil"/>
              <w:right w:val="nil"/>
            </w:tcBorders>
            <w:vAlign w:val="bottom"/>
          </w:tcPr>
          <w:p w14:paraId="5C8959B5" w14:textId="25FBE772" w:rsidR="001A0130" w:rsidRPr="00327BF3" w:rsidRDefault="001A0130" w:rsidP="001A0130">
            <w:pPr>
              <w:pStyle w:val="TableText"/>
              <w:spacing w:before="0"/>
              <w:ind w:left="290" w:hanging="284"/>
              <w:jc w:val="right"/>
              <w:rPr>
                <w:rFonts w:cs="Calibri"/>
                <w:b/>
              </w:rPr>
            </w:pPr>
            <w:r w:rsidRPr="00327BF3">
              <w:rPr>
                <w:rFonts w:cs="Calibri"/>
                <w:b/>
              </w:rPr>
              <w:t>Lease Liabilities</w:t>
            </w:r>
            <w:r w:rsidRPr="00327BF3">
              <w:rPr>
                <w:rFonts w:cs="Calibri"/>
                <w:bCs/>
              </w:rPr>
              <w:t xml:space="preserve"> </w:t>
            </w:r>
          </w:p>
        </w:tc>
        <w:tc>
          <w:tcPr>
            <w:tcW w:w="716" w:type="pct"/>
            <w:tcBorders>
              <w:top w:val="nil"/>
              <w:left w:val="nil"/>
              <w:bottom w:val="nil"/>
              <w:right w:val="nil"/>
            </w:tcBorders>
            <w:vAlign w:val="bottom"/>
          </w:tcPr>
          <w:p w14:paraId="1C436B11" w14:textId="77777777" w:rsidR="001A0130" w:rsidRPr="00327BF3" w:rsidRDefault="001A0130" w:rsidP="001A0130">
            <w:pPr>
              <w:pStyle w:val="TableText"/>
              <w:spacing w:before="0"/>
              <w:ind w:left="290" w:hanging="284"/>
              <w:jc w:val="right"/>
              <w:rPr>
                <w:rFonts w:cs="Calibri"/>
                <w:b/>
              </w:rPr>
            </w:pPr>
            <w:r w:rsidRPr="00327BF3">
              <w:rPr>
                <w:rFonts w:cs="Calibri"/>
                <w:b/>
              </w:rPr>
              <w:t>Service Concession Arrangement Financial Liability</w:t>
            </w:r>
          </w:p>
        </w:tc>
        <w:tc>
          <w:tcPr>
            <w:tcW w:w="600" w:type="pct"/>
            <w:tcBorders>
              <w:top w:val="nil"/>
              <w:left w:val="nil"/>
              <w:bottom w:val="nil"/>
              <w:right w:val="nil"/>
            </w:tcBorders>
            <w:vAlign w:val="bottom"/>
          </w:tcPr>
          <w:p w14:paraId="616F3DBF" w14:textId="77777777" w:rsidR="001A0130" w:rsidRPr="00327BF3" w:rsidRDefault="001A0130" w:rsidP="001A0130">
            <w:pPr>
              <w:pStyle w:val="TableText"/>
              <w:spacing w:before="0"/>
              <w:ind w:left="290" w:hanging="284"/>
              <w:jc w:val="right"/>
              <w:rPr>
                <w:rFonts w:cs="Calibri"/>
                <w:b/>
              </w:rPr>
            </w:pPr>
            <w:r w:rsidRPr="00327BF3">
              <w:rPr>
                <w:rFonts w:cs="Calibri"/>
                <w:b/>
              </w:rPr>
              <w:t>Provision for Dividend</w:t>
            </w:r>
          </w:p>
        </w:tc>
      </w:tr>
      <w:tr w:rsidR="001A0130" w:rsidRPr="00303035" w14:paraId="4B5083D9" w14:textId="77777777" w:rsidTr="005F5B4C">
        <w:trPr>
          <w:trHeight w:val="23"/>
        </w:trPr>
        <w:tc>
          <w:tcPr>
            <w:tcW w:w="737" w:type="pct"/>
            <w:tcBorders>
              <w:top w:val="nil"/>
              <w:left w:val="single" w:sz="2" w:space="0" w:color="auto"/>
              <w:bottom w:val="nil"/>
              <w:right w:val="single" w:sz="2" w:space="0" w:color="auto"/>
            </w:tcBorders>
          </w:tcPr>
          <w:p w14:paraId="4573919F"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DA65102" w14:textId="77777777" w:rsidR="001A0130" w:rsidRPr="00327BF3" w:rsidRDefault="001A0130" w:rsidP="001A0130">
            <w:pPr>
              <w:pStyle w:val="TableText"/>
              <w:spacing w:before="0"/>
              <w:ind w:left="290" w:hanging="284"/>
              <w:jc w:val="both"/>
              <w:rPr>
                <w:rFonts w:cs="Calibri"/>
                <w:b/>
              </w:rPr>
            </w:pPr>
          </w:p>
        </w:tc>
        <w:tc>
          <w:tcPr>
            <w:tcW w:w="599" w:type="pct"/>
            <w:tcBorders>
              <w:top w:val="nil"/>
              <w:left w:val="nil"/>
              <w:bottom w:val="nil"/>
              <w:right w:val="nil"/>
            </w:tcBorders>
            <w:vAlign w:val="bottom"/>
          </w:tcPr>
          <w:p w14:paraId="707EA82B"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c>
          <w:tcPr>
            <w:tcW w:w="736" w:type="pct"/>
            <w:tcBorders>
              <w:top w:val="nil"/>
              <w:left w:val="nil"/>
              <w:bottom w:val="nil"/>
              <w:right w:val="nil"/>
            </w:tcBorders>
            <w:vAlign w:val="bottom"/>
          </w:tcPr>
          <w:p w14:paraId="46066FEF" w14:textId="77777777" w:rsidR="001A0130" w:rsidRPr="00327BF3" w:rsidRDefault="001A0130" w:rsidP="001A0130">
            <w:pPr>
              <w:pStyle w:val="TableText"/>
              <w:spacing w:before="0"/>
              <w:ind w:left="290" w:hanging="284"/>
              <w:jc w:val="right"/>
              <w:rPr>
                <w:rFonts w:cs="Calibri"/>
                <w:bCs/>
                <w:strike/>
              </w:rPr>
            </w:pPr>
            <w:r w:rsidRPr="00327BF3">
              <w:rPr>
                <w:rFonts w:cs="Calibri"/>
                <w:b/>
                <w:bCs/>
              </w:rPr>
              <w:t>$’000</w:t>
            </w:r>
          </w:p>
        </w:tc>
        <w:tc>
          <w:tcPr>
            <w:tcW w:w="716" w:type="pct"/>
            <w:tcBorders>
              <w:top w:val="nil"/>
              <w:left w:val="nil"/>
              <w:bottom w:val="nil"/>
              <w:right w:val="nil"/>
            </w:tcBorders>
            <w:vAlign w:val="bottom"/>
          </w:tcPr>
          <w:p w14:paraId="0000F679"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c>
          <w:tcPr>
            <w:tcW w:w="600" w:type="pct"/>
            <w:tcBorders>
              <w:top w:val="nil"/>
              <w:left w:val="nil"/>
              <w:bottom w:val="nil"/>
              <w:right w:val="nil"/>
            </w:tcBorders>
            <w:vAlign w:val="bottom"/>
          </w:tcPr>
          <w:p w14:paraId="3FFC40D8" w14:textId="77777777" w:rsidR="001A0130" w:rsidRPr="00327BF3" w:rsidRDefault="001A0130" w:rsidP="001A0130">
            <w:pPr>
              <w:pStyle w:val="TableText"/>
              <w:spacing w:before="0"/>
              <w:ind w:left="290" w:hanging="284"/>
              <w:jc w:val="right"/>
              <w:rPr>
                <w:rFonts w:cs="Calibri"/>
                <w:bCs/>
              </w:rPr>
            </w:pPr>
            <w:r w:rsidRPr="00327BF3">
              <w:rPr>
                <w:rFonts w:cs="Calibri"/>
                <w:b/>
                <w:bCs/>
              </w:rPr>
              <w:t>$’000</w:t>
            </w:r>
          </w:p>
        </w:tc>
      </w:tr>
      <w:tr w:rsidR="001A0130" w:rsidRPr="00303035" w14:paraId="502646B4" w14:textId="77777777" w:rsidTr="005F5B4C">
        <w:trPr>
          <w:trHeight w:val="23"/>
        </w:trPr>
        <w:tc>
          <w:tcPr>
            <w:tcW w:w="737" w:type="pct"/>
            <w:tcBorders>
              <w:top w:val="nil"/>
              <w:left w:val="single" w:sz="2" w:space="0" w:color="auto"/>
              <w:bottom w:val="nil"/>
              <w:right w:val="single" w:sz="2" w:space="0" w:color="auto"/>
            </w:tcBorders>
          </w:tcPr>
          <w:p w14:paraId="6ADEFA3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732F145" w14:textId="77777777" w:rsidR="001A0130" w:rsidRPr="00327BF3" w:rsidRDefault="001A0130" w:rsidP="001A0130">
            <w:pPr>
              <w:pStyle w:val="TableText"/>
              <w:spacing w:before="120" w:after="60"/>
              <w:ind w:left="290" w:hanging="284"/>
              <w:jc w:val="both"/>
              <w:rPr>
                <w:rFonts w:cs="Calibri"/>
                <w:b/>
              </w:rPr>
            </w:pPr>
            <w:r w:rsidRPr="00327BF3">
              <w:rPr>
                <w:rFonts w:cs="Calibri"/>
                <w:b/>
              </w:rPr>
              <w:t>2022</w:t>
            </w:r>
          </w:p>
        </w:tc>
        <w:tc>
          <w:tcPr>
            <w:tcW w:w="599" w:type="pct"/>
            <w:tcBorders>
              <w:top w:val="nil"/>
              <w:left w:val="nil"/>
              <w:bottom w:val="nil"/>
              <w:right w:val="nil"/>
            </w:tcBorders>
            <w:vAlign w:val="bottom"/>
          </w:tcPr>
          <w:p w14:paraId="485EA853" w14:textId="77777777" w:rsidR="001A0130" w:rsidRPr="00327BF3" w:rsidRDefault="001A0130" w:rsidP="001A0130">
            <w:pPr>
              <w:pStyle w:val="TableText"/>
              <w:spacing w:before="0"/>
              <w:ind w:left="290" w:hanging="284"/>
              <w:jc w:val="right"/>
              <w:rPr>
                <w:rFonts w:cs="Calibri"/>
                <w:b/>
                <w:bCs/>
              </w:rPr>
            </w:pPr>
          </w:p>
        </w:tc>
        <w:tc>
          <w:tcPr>
            <w:tcW w:w="736" w:type="pct"/>
            <w:tcBorders>
              <w:top w:val="nil"/>
              <w:left w:val="nil"/>
              <w:bottom w:val="nil"/>
              <w:right w:val="nil"/>
            </w:tcBorders>
            <w:vAlign w:val="bottom"/>
          </w:tcPr>
          <w:p w14:paraId="726C6432" w14:textId="77777777" w:rsidR="001A0130" w:rsidRPr="00327BF3" w:rsidRDefault="001A0130" w:rsidP="001A0130">
            <w:pPr>
              <w:pStyle w:val="TableText"/>
              <w:spacing w:before="0"/>
              <w:ind w:left="290" w:hanging="284"/>
              <w:jc w:val="right"/>
              <w:rPr>
                <w:rFonts w:cs="Calibri"/>
                <w:b/>
                <w:bCs/>
              </w:rPr>
            </w:pPr>
          </w:p>
        </w:tc>
        <w:tc>
          <w:tcPr>
            <w:tcW w:w="716" w:type="pct"/>
            <w:tcBorders>
              <w:top w:val="nil"/>
              <w:left w:val="nil"/>
              <w:bottom w:val="nil"/>
              <w:right w:val="nil"/>
            </w:tcBorders>
            <w:vAlign w:val="bottom"/>
          </w:tcPr>
          <w:p w14:paraId="434CCF85" w14:textId="77777777" w:rsidR="001A0130" w:rsidRPr="00327BF3" w:rsidRDefault="001A0130" w:rsidP="001A0130">
            <w:pPr>
              <w:pStyle w:val="TableText"/>
              <w:spacing w:before="0"/>
              <w:ind w:left="290" w:hanging="284"/>
              <w:jc w:val="right"/>
              <w:rPr>
                <w:rFonts w:cs="Calibri"/>
                <w:b/>
                <w:bCs/>
              </w:rPr>
            </w:pPr>
          </w:p>
        </w:tc>
        <w:tc>
          <w:tcPr>
            <w:tcW w:w="600" w:type="pct"/>
            <w:tcBorders>
              <w:top w:val="nil"/>
              <w:left w:val="nil"/>
              <w:bottom w:val="nil"/>
              <w:right w:val="nil"/>
            </w:tcBorders>
            <w:vAlign w:val="bottom"/>
          </w:tcPr>
          <w:p w14:paraId="74C1F6CF" w14:textId="77777777" w:rsidR="001A0130" w:rsidRPr="00327BF3" w:rsidRDefault="001A0130" w:rsidP="001A0130">
            <w:pPr>
              <w:pStyle w:val="TableText"/>
              <w:spacing w:before="0"/>
              <w:ind w:left="290" w:hanging="284"/>
              <w:jc w:val="right"/>
              <w:rPr>
                <w:rFonts w:cs="Calibri"/>
                <w:b/>
                <w:bCs/>
              </w:rPr>
            </w:pPr>
          </w:p>
        </w:tc>
      </w:tr>
      <w:tr w:rsidR="001A0130" w:rsidRPr="00416D13" w14:paraId="2BCF684F" w14:textId="77777777" w:rsidTr="005F5B4C">
        <w:trPr>
          <w:trHeight w:val="23"/>
        </w:trPr>
        <w:tc>
          <w:tcPr>
            <w:tcW w:w="737" w:type="pct"/>
            <w:tcBorders>
              <w:top w:val="nil"/>
              <w:left w:val="single" w:sz="2" w:space="0" w:color="auto"/>
              <w:bottom w:val="nil"/>
              <w:right w:val="single" w:sz="2" w:space="0" w:color="auto"/>
            </w:tcBorders>
          </w:tcPr>
          <w:p w14:paraId="6773499F"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CDC379F" w14:textId="77777777" w:rsidR="001A0130" w:rsidRPr="00327BF3" w:rsidRDefault="001A0130" w:rsidP="001A0130">
            <w:pPr>
              <w:pStyle w:val="TableText"/>
              <w:spacing w:before="0"/>
              <w:ind w:left="290" w:hanging="284"/>
              <w:rPr>
                <w:rFonts w:cs="Calibri"/>
                <w:bCs/>
              </w:rPr>
            </w:pPr>
            <w:r w:rsidRPr="00327BF3">
              <w:rPr>
                <w:rFonts w:cs="Calibri"/>
                <w:bCs/>
              </w:rPr>
              <w:t>Carrying Amount at the Beginning of the Reporting Period</w:t>
            </w:r>
          </w:p>
        </w:tc>
        <w:tc>
          <w:tcPr>
            <w:tcW w:w="599" w:type="pct"/>
            <w:tcBorders>
              <w:top w:val="nil"/>
              <w:left w:val="nil"/>
              <w:bottom w:val="nil"/>
              <w:right w:val="nil"/>
            </w:tcBorders>
            <w:vAlign w:val="bottom"/>
          </w:tcPr>
          <w:p w14:paraId="374EA6F4"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F67B076"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7E98632"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4CDF226" w14:textId="77777777" w:rsidR="001A0130" w:rsidRPr="00327BF3" w:rsidRDefault="001A0130" w:rsidP="001A0130">
            <w:pPr>
              <w:pStyle w:val="TableText"/>
              <w:spacing w:before="0"/>
              <w:ind w:left="290" w:hanging="284"/>
              <w:jc w:val="both"/>
              <w:rPr>
                <w:rFonts w:cs="Calibri"/>
                <w:b/>
              </w:rPr>
            </w:pPr>
          </w:p>
        </w:tc>
      </w:tr>
      <w:tr w:rsidR="001A0130" w:rsidRPr="00416D13" w14:paraId="05DC82A2" w14:textId="77777777" w:rsidTr="005F5B4C">
        <w:trPr>
          <w:trHeight w:val="23"/>
        </w:trPr>
        <w:tc>
          <w:tcPr>
            <w:tcW w:w="737" w:type="pct"/>
            <w:tcBorders>
              <w:top w:val="nil"/>
              <w:left w:val="single" w:sz="2" w:space="0" w:color="auto"/>
              <w:bottom w:val="nil"/>
              <w:right w:val="single" w:sz="2" w:space="0" w:color="auto"/>
            </w:tcBorders>
          </w:tcPr>
          <w:p w14:paraId="4EE163A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7B81BE3" w14:textId="77777777" w:rsidR="001A0130" w:rsidRPr="00327BF3" w:rsidRDefault="001A0130" w:rsidP="001A0130">
            <w:pPr>
              <w:pStyle w:val="TableText"/>
              <w:spacing w:before="0"/>
              <w:ind w:left="290" w:hanging="284"/>
              <w:rPr>
                <w:rFonts w:cs="Calibri"/>
                <w:bCs/>
              </w:rPr>
            </w:pPr>
            <w:r w:rsidRPr="00327BF3">
              <w:rPr>
                <w:rFonts w:cs="Calibri"/>
                <w:bCs/>
              </w:rPr>
              <w:t>Cash Flow Changes:</w:t>
            </w:r>
          </w:p>
        </w:tc>
        <w:tc>
          <w:tcPr>
            <w:tcW w:w="599" w:type="pct"/>
            <w:tcBorders>
              <w:top w:val="nil"/>
              <w:left w:val="nil"/>
              <w:bottom w:val="nil"/>
              <w:right w:val="nil"/>
            </w:tcBorders>
            <w:vAlign w:val="bottom"/>
          </w:tcPr>
          <w:p w14:paraId="2D12ABB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4052FDB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4ADC856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08F6F9DF" w14:textId="77777777" w:rsidR="001A0130" w:rsidRPr="00327BF3" w:rsidRDefault="001A0130" w:rsidP="001A0130">
            <w:pPr>
              <w:pStyle w:val="TableText"/>
              <w:spacing w:before="0"/>
              <w:ind w:left="290" w:hanging="284"/>
              <w:jc w:val="both"/>
              <w:rPr>
                <w:rFonts w:cs="Calibri"/>
                <w:b/>
              </w:rPr>
            </w:pPr>
          </w:p>
        </w:tc>
      </w:tr>
      <w:tr w:rsidR="001A0130" w:rsidRPr="00416D13" w14:paraId="3144DDF6" w14:textId="77777777" w:rsidTr="005F5B4C">
        <w:trPr>
          <w:trHeight w:val="23"/>
        </w:trPr>
        <w:tc>
          <w:tcPr>
            <w:tcW w:w="737" w:type="pct"/>
            <w:tcBorders>
              <w:top w:val="nil"/>
              <w:left w:val="single" w:sz="2" w:space="0" w:color="auto"/>
              <w:bottom w:val="nil"/>
              <w:right w:val="single" w:sz="2" w:space="0" w:color="auto"/>
            </w:tcBorders>
          </w:tcPr>
          <w:p w14:paraId="778C312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847919E" w14:textId="2263F706" w:rsidR="001A0130" w:rsidRPr="00327BF3" w:rsidRDefault="00FA7C77" w:rsidP="001A0130">
            <w:pPr>
              <w:pStyle w:val="TableText"/>
              <w:spacing w:before="0"/>
              <w:rPr>
                <w:rFonts w:cs="Calibri"/>
                <w:bCs/>
              </w:rPr>
            </w:pPr>
            <w:r>
              <w:rPr>
                <w:rFonts w:cs="Calibri"/>
                <w:bCs/>
              </w:rPr>
              <w:t xml:space="preserve">  </w:t>
            </w:r>
            <w:r w:rsidR="001A0130" w:rsidRPr="00327BF3">
              <w:rPr>
                <w:rFonts w:cs="Calibri"/>
                <w:bCs/>
              </w:rPr>
              <w:t xml:space="preserve"> - Cash Received</w:t>
            </w:r>
          </w:p>
        </w:tc>
        <w:tc>
          <w:tcPr>
            <w:tcW w:w="599" w:type="pct"/>
            <w:tcBorders>
              <w:top w:val="nil"/>
              <w:left w:val="nil"/>
              <w:bottom w:val="nil"/>
              <w:right w:val="nil"/>
            </w:tcBorders>
            <w:vAlign w:val="bottom"/>
          </w:tcPr>
          <w:p w14:paraId="4CAA476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B82B8BA"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0F57DC8"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04E71CB4" w14:textId="77777777" w:rsidR="001A0130" w:rsidRPr="00327BF3" w:rsidRDefault="001A0130" w:rsidP="001A0130">
            <w:pPr>
              <w:pStyle w:val="TableText"/>
              <w:spacing w:before="0"/>
              <w:ind w:left="290" w:hanging="284"/>
              <w:jc w:val="both"/>
              <w:rPr>
                <w:rFonts w:cs="Calibri"/>
                <w:b/>
              </w:rPr>
            </w:pPr>
          </w:p>
        </w:tc>
      </w:tr>
      <w:tr w:rsidR="001A0130" w:rsidRPr="00416D13" w14:paraId="10AC6864" w14:textId="77777777" w:rsidTr="005F5B4C">
        <w:trPr>
          <w:trHeight w:val="23"/>
        </w:trPr>
        <w:tc>
          <w:tcPr>
            <w:tcW w:w="737" w:type="pct"/>
            <w:tcBorders>
              <w:top w:val="nil"/>
              <w:left w:val="single" w:sz="2" w:space="0" w:color="auto"/>
              <w:bottom w:val="nil"/>
              <w:right w:val="single" w:sz="2" w:space="0" w:color="auto"/>
            </w:tcBorders>
          </w:tcPr>
          <w:p w14:paraId="3A040587"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754D9BE" w14:textId="2AB4E930"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Cash Paid</w:t>
            </w:r>
          </w:p>
        </w:tc>
        <w:tc>
          <w:tcPr>
            <w:tcW w:w="599" w:type="pct"/>
            <w:tcBorders>
              <w:top w:val="nil"/>
              <w:left w:val="nil"/>
              <w:bottom w:val="nil"/>
              <w:right w:val="nil"/>
            </w:tcBorders>
            <w:vAlign w:val="bottom"/>
          </w:tcPr>
          <w:p w14:paraId="1D3235BA"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A43E30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0969882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099A06E" w14:textId="77777777" w:rsidR="001A0130" w:rsidRPr="00327BF3" w:rsidRDefault="001A0130" w:rsidP="001A0130">
            <w:pPr>
              <w:pStyle w:val="TableText"/>
              <w:spacing w:before="0"/>
              <w:ind w:left="290" w:hanging="284"/>
              <w:jc w:val="both"/>
              <w:rPr>
                <w:rFonts w:cs="Calibri"/>
                <w:b/>
              </w:rPr>
            </w:pPr>
          </w:p>
        </w:tc>
      </w:tr>
      <w:tr w:rsidR="001A0130" w:rsidRPr="00416D13" w14:paraId="2FFA3123" w14:textId="77777777" w:rsidTr="005F5B4C">
        <w:trPr>
          <w:trHeight w:val="23"/>
        </w:trPr>
        <w:tc>
          <w:tcPr>
            <w:tcW w:w="737" w:type="pct"/>
            <w:tcBorders>
              <w:top w:val="nil"/>
              <w:left w:val="single" w:sz="2" w:space="0" w:color="auto"/>
              <w:bottom w:val="nil"/>
              <w:right w:val="single" w:sz="2" w:space="0" w:color="auto"/>
            </w:tcBorders>
          </w:tcPr>
          <w:p w14:paraId="412D824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9EC5968" w14:textId="77777777" w:rsidR="001A0130" w:rsidRPr="00327BF3" w:rsidRDefault="001A0130" w:rsidP="001A0130">
            <w:pPr>
              <w:pStyle w:val="TableText"/>
              <w:spacing w:before="0"/>
              <w:ind w:left="290" w:hanging="284"/>
              <w:rPr>
                <w:rFonts w:cs="Calibri"/>
                <w:bCs/>
              </w:rPr>
            </w:pPr>
            <w:r w:rsidRPr="00327BF3">
              <w:rPr>
                <w:rFonts w:cs="Calibri"/>
                <w:bCs/>
              </w:rPr>
              <w:t>Non-Cash Changes:</w:t>
            </w:r>
          </w:p>
        </w:tc>
        <w:tc>
          <w:tcPr>
            <w:tcW w:w="599" w:type="pct"/>
            <w:tcBorders>
              <w:top w:val="nil"/>
              <w:left w:val="nil"/>
              <w:bottom w:val="nil"/>
              <w:right w:val="nil"/>
            </w:tcBorders>
            <w:vAlign w:val="bottom"/>
          </w:tcPr>
          <w:p w14:paraId="4B2E9C4F"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62F5F03"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25CC78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6C5FBD9D" w14:textId="77777777" w:rsidR="001A0130" w:rsidRPr="00327BF3" w:rsidRDefault="001A0130" w:rsidP="001A0130">
            <w:pPr>
              <w:pStyle w:val="TableText"/>
              <w:spacing w:before="0"/>
              <w:ind w:left="290" w:hanging="284"/>
              <w:jc w:val="both"/>
              <w:rPr>
                <w:rFonts w:cs="Calibri"/>
                <w:b/>
              </w:rPr>
            </w:pPr>
          </w:p>
        </w:tc>
      </w:tr>
      <w:tr w:rsidR="001A0130" w:rsidRPr="00416D13" w14:paraId="61A9D0A4" w14:textId="77777777" w:rsidTr="005F5B4C">
        <w:trPr>
          <w:trHeight w:val="23"/>
        </w:trPr>
        <w:tc>
          <w:tcPr>
            <w:tcW w:w="737" w:type="pct"/>
            <w:tcBorders>
              <w:top w:val="nil"/>
              <w:left w:val="single" w:sz="2" w:space="0" w:color="auto"/>
              <w:bottom w:val="nil"/>
              <w:right w:val="single" w:sz="2" w:space="0" w:color="auto"/>
            </w:tcBorders>
          </w:tcPr>
          <w:p w14:paraId="2C3BE45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10B44C55" w14:textId="72DA8E3D"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New Leases</w:t>
            </w:r>
          </w:p>
        </w:tc>
        <w:tc>
          <w:tcPr>
            <w:tcW w:w="599" w:type="pct"/>
            <w:tcBorders>
              <w:top w:val="nil"/>
              <w:left w:val="nil"/>
              <w:bottom w:val="nil"/>
              <w:right w:val="nil"/>
            </w:tcBorders>
            <w:vAlign w:val="bottom"/>
          </w:tcPr>
          <w:p w14:paraId="6FE1011D"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5F4A422"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354963B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5B8392F6" w14:textId="77777777" w:rsidR="001A0130" w:rsidRPr="00327BF3" w:rsidRDefault="001A0130" w:rsidP="001A0130">
            <w:pPr>
              <w:pStyle w:val="TableText"/>
              <w:spacing w:before="0"/>
              <w:ind w:left="290" w:hanging="284"/>
              <w:jc w:val="both"/>
              <w:rPr>
                <w:rFonts w:cs="Calibri"/>
                <w:b/>
              </w:rPr>
            </w:pPr>
          </w:p>
        </w:tc>
      </w:tr>
      <w:tr w:rsidR="001A0130" w:rsidRPr="00416D13" w14:paraId="3D9987FD" w14:textId="77777777" w:rsidTr="005F5B4C">
        <w:trPr>
          <w:trHeight w:val="23"/>
        </w:trPr>
        <w:tc>
          <w:tcPr>
            <w:tcW w:w="737" w:type="pct"/>
            <w:tcBorders>
              <w:top w:val="nil"/>
              <w:left w:val="single" w:sz="2" w:space="0" w:color="auto"/>
              <w:bottom w:val="nil"/>
              <w:right w:val="single" w:sz="2" w:space="0" w:color="auto"/>
            </w:tcBorders>
          </w:tcPr>
          <w:p w14:paraId="4AB60549"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3F595F7" w14:textId="09AC94E3" w:rsidR="001A0130" w:rsidRPr="00327BF3" w:rsidRDefault="00FA7C77" w:rsidP="001A0130">
            <w:pPr>
              <w:pStyle w:val="TableText"/>
              <w:spacing w:before="0"/>
              <w:ind w:left="314" w:hanging="314"/>
              <w:rPr>
                <w:rFonts w:cs="Calibri"/>
                <w:bCs/>
              </w:rPr>
            </w:pPr>
            <w:r>
              <w:rPr>
                <w:rFonts w:cs="Calibri"/>
                <w:bCs/>
              </w:rPr>
              <w:t xml:space="preserve">  </w:t>
            </w:r>
            <w:r w:rsidR="001A0130" w:rsidRPr="00327BF3">
              <w:rPr>
                <w:rFonts w:cs="Calibri"/>
                <w:bCs/>
              </w:rPr>
              <w:t xml:space="preserve"> - New Service Concession Arrangement Financial Liability</w:t>
            </w:r>
          </w:p>
        </w:tc>
        <w:tc>
          <w:tcPr>
            <w:tcW w:w="599" w:type="pct"/>
            <w:tcBorders>
              <w:top w:val="nil"/>
              <w:left w:val="nil"/>
              <w:bottom w:val="nil"/>
              <w:right w:val="nil"/>
            </w:tcBorders>
            <w:vAlign w:val="bottom"/>
          </w:tcPr>
          <w:p w14:paraId="3F86F368"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734ABFB"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AB695C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99D963D" w14:textId="77777777" w:rsidR="001A0130" w:rsidRPr="00327BF3" w:rsidRDefault="001A0130" w:rsidP="001A0130">
            <w:pPr>
              <w:pStyle w:val="TableText"/>
              <w:spacing w:before="0"/>
              <w:ind w:left="290" w:hanging="284"/>
              <w:jc w:val="both"/>
              <w:rPr>
                <w:rFonts w:cs="Calibri"/>
                <w:b/>
              </w:rPr>
            </w:pPr>
          </w:p>
        </w:tc>
      </w:tr>
      <w:tr w:rsidR="001A0130" w:rsidRPr="00416D13" w14:paraId="2E976D1B" w14:textId="77777777" w:rsidTr="005F5B4C">
        <w:trPr>
          <w:trHeight w:val="23"/>
        </w:trPr>
        <w:tc>
          <w:tcPr>
            <w:tcW w:w="737" w:type="pct"/>
            <w:tcBorders>
              <w:top w:val="nil"/>
              <w:left w:val="single" w:sz="2" w:space="0" w:color="auto"/>
              <w:bottom w:val="nil"/>
              <w:right w:val="single" w:sz="2" w:space="0" w:color="auto"/>
            </w:tcBorders>
          </w:tcPr>
          <w:p w14:paraId="4602C8F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3E51761" w14:textId="17929F1B" w:rsidR="001A0130" w:rsidRPr="00327BF3" w:rsidRDefault="00FA7C77" w:rsidP="001A0130">
            <w:pPr>
              <w:pStyle w:val="TableText"/>
              <w:spacing w:before="0"/>
              <w:ind w:left="290" w:hanging="284"/>
              <w:rPr>
                <w:rFonts w:cs="Calibri"/>
                <w:bCs/>
              </w:rPr>
            </w:pPr>
            <w:r>
              <w:rPr>
                <w:rFonts w:cs="Calibri"/>
                <w:bCs/>
              </w:rPr>
              <w:t xml:space="preserve">  </w:t>
            </w:r>
            <w:r w:rsidR="001A0130" w:rsidRPr="00327BF3">
              <w:rPr>
                <w:rFonts w:cs="Calibri"/>
                <w:bCs/>
              </w:rPr>
              <w:t xml:space="preserve"> - </w:t>
            </w:r>
            <w:r w:rsidR="001A0130" w:rsidRPr="00327BF3">
              <w:t>Transfers to / (from) another ACT Government agency</w:t>
            </w:r>
          </w:p>
        </w:tc>
        <w:tc>
          <w:tcPr>
            <w:tcW w:w="599" w:type="pct"/>
            <w:tcBorders>
              <w:top w:val="nil"/>
              <w:left w:val="nil"/>
              <w:bottom w:val="nil"/>
              <w:right w:val="nil"/>
            </w:tcBorders>
            <w:vAlign w:val="bottom"/>
          </w:tcPr>
          <w:p w14:paraId="36BEC80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00D25BD"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36D920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D883CF6" w14:textId="77777777" w:rsidR="001A0130" w:rsidRPr="00327BF3" w:rsidRDefault="001A0130" w:rsidP="001A0130">
            <w:pPr>
              <w:pStyle w:val="TableText"/>
              <w:spacing w:before="0"/>
              <w:ind w:left="290" w:hanging="284"/>
              <w:jc w:val="both"/>
              <w:rPr>
                <w:rFonts w:cs="Calibri"/>
                <w:b/>
              </w:rPr>
            </w:pPr>
          </w:p>
        </w:tc>
      </w:tr>
      <w:tr w:rsidR="001A0130" w:rsidRPr="00416D13" w14:paraId="69187F85" w14:textId="77777777" w:rsidTr="005F5B4C">
        <w:trPr>
          <w:trHeight w:val="23"/>
        </w:trPr>
        <w:tc>
          <w:tcPr>
            <w:tcW w:w="737" w:type="pct"/>
            <w:tcBorders>
              <w:top w:val="nil"/>
              <w:left w:val="single" w:sz="2" w:space="0" w:color="auto"/>
              <w:bottom w:val="nil"/>
              <w:right w:val="single" w:sz="2" w:space="0" w:color="auto"/>
            </w:tcBorders>
          </w:tcPr>
          <w:p w14:paraId="02416015"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210FACBE" w14:textId="6C64EA1F" w:rsidR="001A0130" w:rsidRPr="00327BF3" w:rsidRDefault="00FA7C77" w:rsidP="001A0130">
            <w:pPr>
              <w:pStyle w:val="TableText"/>
              <w:spacing w:before="0"/>
              <w:rPr>
                <w:rFonts w:cs="Calibri"/>
                <w:bCs/>
              </w:rPr>
            </w:pPr>
            <w:r>
              <w:rPr>
                <w:rFonts w:cs="Calibri"/>
                <w:bCs/>
              </w:rPr>
              <w:t xml:space="preserve">  </w:t>
            </w:r>
            <w:r w:rsidR="001A0130" w:rsidRPr="00327BF3">
              <w:rPr>
                <w:rFonts w:cs="Calibri"/>
                <w:bCs/>
              </w:rPr>
              <w:t xml:space="preserve"> - Other Movements</w:t>
            </w:r>
          </w:p>
        </w:tc>
        <w:tc>
          <w:tcPr>
            <w:tcW w:w="599" w:type="pct"/>
            <w:tcBorders>
              <w:top w:val="nil"/>
              <w:left w:val="nil"/>
              <w:bottom w:val="single" w:sz="2" w:space="0" w:color="auto"/>
              <w:right w:val="nil"/>
            </w:tcBorders>
            <w:vAlign w:val="bottom"/>
          </w:tcPr>
          <w:p w14:paraId="7162C7D2"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single" w:sz="2" w:space="0" w:color="auto"/>
              <w:right w:val="nil"/>
            </w:tcBorders>
            <w:vAlign w:val="bottom"/>
          </w:tcPr>
          <w:p w14:paraId="7598A91D"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single" w:sz="2" w:space="0" w:color="auto"/>
              <w:right w:val="nil"/>
            </w:tcBorders>
            <w:vAlign w:val="bottom"/>
          </w:tcPr>
          <w:p w14:paraId="7C9CB80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single" w:sz="2" w:space="0" w:color="auto"/>
              <w:right w:val="nil"/>
            </w:tcBorders>
            <w:vAlign w:val="bottom"/>
          </w:tcPr>
          <w:p w14:paraId="234D573D" w14:textId="77777777" w:rsidR="001A0130" w:rsidRPr="00327BF3" w:rsidRDefault="001A0130" w:rsidP="001A0130">
            <w:pPr>
              <w:pStyle w:val="TableText"/>
              <w:spacing w:before="0"/>
              <w:ind w:left="290" w:hanging="284"/>
              <w:jc w:val="both"/>
              <w:rPr>
                <w:rFonts w:cs="Calibri"/>
                <w:b/>
              </w:rPr>
            </w:pPr>
          </w:p>
        </w:tc>
      </w:tr>
      <w:tr w:rsidR="001A0130" w:rsidRPr="00416D13" w14:paraId="65FAE811" w14:textId="77777777" w:rsidTr="005F5B4C">
        <w:trPr>
          <w:trHeight w:val="23"/>
        </w:trPr>
        <w:tc>
          <w:tcPr>
            <w:tcW w:w="737" w:type="pct"/>
            <w:tcBorders>
              <w:top w:val="nil"/>
              <w:left w:val="single" w:sz="2" w:space="0" w:color="auto"/>
              <w:bottom w:val="nil"/>
              <w:right w:val="single" w:sz="2" w:space="0" w:color="auto"/>
            </w:tcBorders>
          </w:tcPr>
          <w:p w14:paraId="6BE112A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34950B0D" w14:textId="77777777" w:rsidR="001A0130" w:rsidRPr="00327BF3" w:rsidRDefault="001A0130" w:rsidP="001A0130">
            <w:pPr>
              <w:pStyle w:val="TableText"/>
              <w:spacing w:before="120"/>
              <w:ind w:left="290" w:hanging="284"/>
              <w:jc w:val="both"/>
              <w:rPr>
                <w:rFonts w:cs="Calibri"/>
                <w:b/>
              </w:rPr>
            </w:pPr>
            <w:r w:rsidRPr="00327BF3">
              <w:rPr>
                <w:rFonts w:cs="Calibri"/>
                <w:b/>
              </w:rPr>
              <w:t>Carrying Amount at the End of the Reporting Period</w:t>
            </w:r>
          </w:p>
        </w:tc>
        <w:tc>
          <w:tcPr>
            <w:tcW w:w="599" w:type="pct"/>
            <w:tcBorders>
              <w:top w:val="single" w:sz="2" w:space="0" w:color="auto"/>
              <w:left w:val="nil"/>
              <w:bottom w:val="double" w:sz="4" w:space="0" w:color="auto"/>
              <w:right w:val="nil"/>
            </w:tcBorders>
            <w:vAlign w:val="bottom"/>
          </w:tcPr>
          <w:p w14:paraId="54D5B3BC" w14:textId="77777777" w:rsidR="001A0130" w:rsidRPr="00327BF3" w:rsidRDefault="001A0130" w:rsidP="001A0130">
            <w:pPr>
              <w:pStyle w:val="TableText"/>
              <w:spacing w:before="0"/>
              <w:ind w:left="290" w:hanging="284"/>
              <w:jc w:val="both"/>
              <w:rPr>
                <w:rFonts w:cs="Calibri"/>
                <w:b/>
                <w:bCs/>
              </w:rPr>
            </w:pPr>
          </w:p>
        </w:tc>
        <w:tc>
          <w:tcPr>
            <w:tcW w:w="736" w:type="pct"/>
            <w:tcBorders>
              <w:top w:val="single" w:sz="2" w:space="0" w:color="auto"/>
              <w:left w:val="nil"/>
              <w:bottom w:val="double" w:sz="4" w:space="0" w:color="auto"/>
              <w:right w:val="nil"/>
            </w:tcBorders>
            <w:vAlign w:val="bottom"/>
          </w:tcPr>
          <w:p w14:paraId="255D0E1D" w14:textId="77777777" w:rsidR="001A0130" w:rsidRPr="00327BF3" w:rsidRDefault="001A0130" w:rsidP="001A0130">
            <w:pPr>
              <w:pStyle w:val="TableText"/>
              <w:spacing w:before="0"/>
              <w:ind w:left="290" w:hanging="284"/>
              <w:jc w:val="both"/>
              <w:rPr>
                <w:rFonts w:cs="Calibri"/>
                <w:b/>
              </w:rPr>
            </w:pPr>
          </w:p>
        </w:tc>
        <w:tc>
          <w:tcPr>
            <w:tcW w:w="716" w:type="pct"/>
            <w:tcBorders>
              <w:top w:val="single" w:sz="2" w:space="0" w:color="auto"/>
              <w:left w:val="nil"/>
              <w:bottom w:val="double" w:sz="4" w:space="0" w:color="auto"/>
              <w:right w:val="nil"/>
            </w:tcBorders>
            <w:vAlign w:val="bottom"/>
          </w:tcPr>
          <w:p w14:paraId="7DF327B4" w14:textId="77777777" w:rsidR="001A0130" w:rsidRPr="00327BF3" w:rsidRDefault="001A0130" w:rsidP="001A0130">
            <w:pPr>
              <w:pStyle w:val="TableText"/>
              <w:spacing w:before="0"/>
              <w:ind w:left="290" w:hanging="284"/>
              <w:jc w:val="both"/>
              <w:rPr>
                <w:rFonts w:cs="Calibri"/>
                <w:b/>
              </w:rPr>
            </w:pPr>
          </w:p>
        </w:tc>
        <w:tc>
          <w:tcPr>
            <w:tcW w:w="600" w:type="pct"/>
            <w:tcBorders>
              <w:top w:val="single" w:sz="2" w:space="0" w:color="auto"/>
              <w:left w:val="nil"/>
              <w:bottom w:val="double" w:sz="4" w:space="0" w:color="auto"/>
              <w:right w:val="nil"/>
            </w:tcBorders>
            <w:vAlign w:val="bottom"/>
          </w:tcPr>
          <w:p w14:paraId="744714EE" w14:textId="77777777" w:rsidR="001A0130" w:rsidRPr="00327BF3" w:rsidRDefault="001A0130" w:rsidP="001A0130">
            <w:pPr>
              <w:pStyle w:val="TableText"/>
              <w:spacing w:before="0"/>
              <w:ind w:left="290" w:hanging="284"/>
              <w:jc w:val="both"/>
              <w:rPr>
                <w:rFonts w:cs="Calibri"/>
                <w:b/>
              </w:rPr>
            </w:pPr>
          </w:p>
        </w:tc>
      </w:tr>
      <w:tr w:rsidR="001A0130" w:rsidRPr="00416D13" w14:paraId="007E0925" w14:textId="77777777" w:rsidTr="005F5B4C">
        <w:trPr>
          <w:trHeight w:val="23"/>
        </w:trPr>
        <w:tc>
          <w:tcPr>
            <w:tcW w:w="737" w:type="pct"/>
            <w:tcBorders>
              <w:top w:val="nil"/>
              <w:left w:val="single" w:sz="2" w:space="0" w:color="auto"/>
              <w:bottom w:val="nil"/>
              <w:right w:val="single" w:sz="2" w:space="0" w:color="auto"/>
            </w:tcBorders>
          </w:tcPr>
          <w:p w14:paraId="4474FC21"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6F94984" w14:textId="77777777" w:rsidR="001A0130" w:rsidRPr="00327BF3" w:rsidRDefault="001A0130" w:rsidP="001A0130">
            <w:pPr>
              <w:pStyle w:val="TableText"/>
              <w:spacing w:before="0"/>
              <w:ind w:left="290" w:hanging="284"/>
              <w:jc w:val="both"/>
              <w:rPr>
                <w:rFonts w:cs="Calibri"/>
                <w:b/>
              </w:rPr>
            </w:pPr>
          </w:p>
        </w:tc>
        <w:tc>
          <w:tcPr>
            <w:tcW w:w="599" w:type="pct"/>
            <w:tcBorders>
              <w:top w:val="double" w:sz="4" w:space="0" w:color="auto"/>
              <w:left w:val="nil"/>
              <w:bottom w:val="nil"/>
              <w:right w:val="nil"/>
            </w:tcBorders>
            <w:vAlign w:val="bottom"/>
          </w:tcPr>
          <w:p w14:paraId="34862A64" w14:textId="77777777" w:rsidR="001A0130" w:rsidRPr="00327BF3" w:rsidRDefault="001A0130" w:rsidP="001A0130">
            <w:pPr>
              <w:pStyle w:val="TableText"/>
              <w:spacing w:before="0"/>
              <w:ind w:left="290" w:hanging="284"/>
              <w:jc w:val="both"/>
              <w:rPr>
                <w:rFonts w:cs="Calibri"/>
                <w:b/>
                <w:bCs/>
              </w:rPr>
            </w:pPr>
          </w:p>
        </w:tc>
        <w:tc>
          <w:tcPr>
            <w:tcW w:w="736" w:type="pct"/>
            <w:tcBorders>
              <w:top w:val="double" w:sz="4" w:space="0" w:color="auto"/>
              <w:left w:val="nil"/>
              <w:bottom w:val="nil"/>
              <w:right w:val="nil"/>
            </w:tcBorders>
            <w:vAlign w:val="bottom"/>
          </w:tcPr>
          <w:p w14:paraId="1A150537" w14:textId="77777777" w:rsidR="001A0130" w:rsidRPr="00327BF3" w:rsidRDefault="001A0130" w:rsidP="001A0130">
            <w:pPr>
              <w:pStyle w:val="TableText"/>
              <w:spacing w:before="0"/>
              <w:ind w:left="290" w:hanging="284"/>
              <w:jc w:val="both"/>
              <w:rPr>
                <w:rFonts w:cs="Calibri"/>
                <w:b/>
              </w:rPr>
            </w:pPr>
          </w:p>
        </w:tc>
        <w:tc>
          <w:tcPr>
            <w:tcW w:w="716" w:type="pct"/>
            <w:tcBorders>
              <w:top w:val="double" w:sz="4" w:space="0" w:color="auto"/>
              <w:left w:val="nil"/>
              <w:bottom w:val="nil"/>
              <w:right w:val="nil"/>
            </w:tcBorders>
            <w:vAlign w:val="bottom"/>
          </w:tcPr>
          <w:p w14:paraId="3375BC03" w14:textId="77777777" w:rsidR="001A0130" w:rsidRPr="00327BF3" w:rsidRDefault="001A0130" w:rsidP="001A0130">
            <w:pPr>
              <w:pStyle w:val="TableText"/>
              <w:spacing w:before="0"/>
              <w:ind w:left="290" w:hanging="284"/>
              <w:jc w:val="both"/>
              <w:rPr>
                <w:rFonts w:cs="Calibri"/>
                <w:b/>
              </w:rPr>
            </w:pPr>
          </w:p>
        </w:tc>
        <w:tc>
          <w:tcPr>
            <w:tcW w:w="600" w:type="pct"/>
            <w:tcBorders>
              <w:top w:val="double" w:sz="4" w:space="0" w:color="auto"/>
              <w:left w:val="nil"/>
              <w:bottom w:val="nil"/>
              <w:right w:val="nil"/>
            </w:tcBorders>
            <w:vAlign w:val="bottom"/>
          </w:tcPr>
          <w:p w14:paraId="46BA9F4C" w14:textId="77777777" w:rsidR="001A0130" w:rsidRPr="00327BF3" w:rsidRDefault="001A0130" w:rsidP="001A0130">
            <w:pPr>
              <w:pStyle w:val="TableText"/>
              <w:spacing w:before="0"/>
              <w:ind w:left="290" w:hanging="284"/>
              <w:jc w:val="both"/>
              <w:rPr>
                <w:rFonts w:cs="Calibri"/>
                <w:b/>
              </w:rPr>
            </w:pPr>
          </w:p>
        </w:tc>
      </w:tr>
      <w:tr w:rsidR="001A0130" w:rsidRPr="00416D13" w14:paraId="7166751C" w14:textId="77777777" w:rsidTr="005F5B4C">
        <w:trPr>
          <w:trHeight w:val="23"/>
        </w:trPr>
        <w:tc>
          <w:tcPr>
            <w:tcW w:w="737" w:type="pct"/>
            <w:tcBorders>
              <w:top w:val="nil"/>
              <w:left w:val="single" w:sz="2" w:space="0" w:color="auto"/>
              <w:bottom w:val="nil"/>
              <w:right w:val="single" w:sz="2" w:space="0" w:color="auto"/>
            </w:tcBorders>
          </w:tcPr>
          <w:p w14:paraId="7E317E7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4BCCC97C" w14:textId="77777777" w:rsidR="001A0130" w:rsidRPr="00327BF3" w:rsidRDefault="001A0130" w:rsidP="001A0130">
            <w:pPr>
              <w:pStyle w:val="TableText"/>
              <w:spacing w:before="120" w:after="60"/>
              <w:ind w:left="290" w:hanging="284"/>
              <w:jc w:val="both"/>
              <w:rPr>
                <w:rFonts w:cs="Calibri"/>
                <w:b/>
              </w:rPr>
            </w:pPr>
            <w:r w:rsidRPr="00327BF3">
              <w:rPr>
                <w:rFonts w:cs="Calibri"/>
                <w:b/>
              </w:rPr>
              <w:t>2021</w:t>
            </w:r>
          </w:p>
        </w:tc>
        <w:tc>
          <w:tcPr>
            <w:tcW w:w="599" w:type="pct"/>
            <w:tcBorders>
              <w:top w:val="nil"/>
              <w:left w:val="nil"/>
              <w:bottom w:val="nil"/>
              <w:right w:val="nil"/>
            </w:tcBorders>
            <w:vAlign w:val="bottom"/>
          </w:tcPr>
          <w:p w14:paraId="0A5A78FC"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4BE01458"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6E7941A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CD924D3" w14:textId="77777777" w:rsidR="001A0130" w:rsidRPr="00327BF3" w:rsidRDefault="001A0130" w:rsidP="001A0130">
            <w:pPr>
              <w:pStyle w:val="TableText"/>
              <w:spacing w:before="0"/>
              <w:ind w:left="290" w:hanging="284"/>
              <w:jc w:val="both"/>
              <w:rPr>
                <w:rFonts w:cs="Calibri"/>
                <w:b/>
              </w:rPr>
            </w:pPr>
          </w:p>
        </w:tc>
      </w:tr>
      <w:tr w:rsidR="001A0130" w:rsidRPr="00416D13" w14:paraId="4736DA13" w14:textId="77777777" w:rsidTr="005F5B4C">
        <w:trPr>
          <w:trHeight w:val="23"/>
        </w:trPr>
        <w:tc>
          <w:tcPr>
            <w:tcW w:w="737" w:type="pct"/>
            <w:tcBorders>
              <w:top w:val="nil"/>
              <w:left w:val="single" w:sz="2" w:space="0" w:color="auto"/>
              <w:bottom w:val="nil"/>
              <w:right w:val="single" w:sz="2" w:space="0" w:color="auto"/>
            </w:tcBorders>
          </w:tcPr>
          <w:p w14:paraId="02A7B7CD"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7742D410" w14:textId="77777777" w:rsidR="001A0130" w:rsidRPr="00327BF3" w:rsidRDefault="001A0130" w:rsidP="001A0130">
            <w:pPr>
              <w:pStyle w:val="TableText"/>
              <w:spacing w:before="0"/>
              <w:ind w:left="290" w:hanging="284"/>
              <w:jc w:val="both"/>
              <w:rPr>
                <w:rFonts w:cs="Calibri"/>
                <w:b/>
              </w:rPr>
            </w:pPr>
            <w:r w:rsidRPr="00327BF3">
              <w:rPr>
                <w:rFonts w:cs="Calibri"/>
                <w:bCs/>
              </w:rPr>
              <w:t>Carrying Amount at the Beginning of Reporting Period</w:t>
            </w:r>
          </w:p>
        </w:tc>
        <w:tc>
          <w:tcPr>
            <w:tcW w:w="599" w:type="pct"/>
            <w:tcBorders>
              <w:top w:val="nil"/>
              <w:left w:val="nil"/>
              <w:bottom w:val="nil"/>
              <w:right w:val="nil"/>
            </w:tcBorders>
            <w:vAlign w:val="bottom"/>
          </w:tcPr>
          <w:p w14:paraId="59CE6A8A"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EDA234C"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188FB6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2F22056C" w14:textId="77777777" w:rsidR="001A0130" w:rsidRPr="00327BF3" w:rsidRDefault="001A0130" w:rsidP="001A0130">
            <w:pPr>
              <w:pStyle w:val="TableText"/>
              <w:spacing w:before="0"/>
              <w:ind w:left="290" w:hanging="284"/>
              <w:jc w:val="both"/>
              <w:rPr>
                <w:rFonts w:cs="Calibri"/>
                <w:b/>
              </w:rPr>
            </w:pPr>
          </w:p>
        </w:tc>
      </w:tr>
      <w:tr w:rsidR="001A0130" w:rsidRPr="00416D13" w14:paraId="333BEDF7" w14:textId="77777777" w:rsidTr="005F5B4C">
        <w:trPr>
          <w:trHeight w:val="23"/>
        </w:trPr>
        <w:tc>
          <w:tcPr>
            <w:tcW w:w="737" w:type="pct"/>
            <w:tcBorders>
              <w:top w:val="nil"/>
              <w:left w:val="single" w:sz="2" w:space="0" w:color="auto"/>
              <w:bottom w:val="nil"/>
              <w:right w:val="single" w:sz="2" w:space="0" w:color="auto"/>
            </w:tcBorders>
          </w:tcPr>
          <w:p w14:paraId="1E58DC9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212CCCB" w14:textId="77777777" w:rsidR="001A0130" w:rsidRPr="00327BF3" w:rsidRDefault="001A0130" w:rsidP="001A0130">
            <w:pPr>
              <w:pStyle w:val="TableText"/>
              <w:spacing w:before="0"/>
              <w:ind w:left="290" w:hanging="284"/>
              <w:jc w:val="both"/>
              <w:rPr>
                <w:rFonts w:cs="Calibri"/>
                <w:bCs/>
              </w:rPr>
            </w:pPr>
            <w:r w:rsidRPr="00327BF3">
              <w:rPr>
                <w:rFonts w:cs="Calibri"/>
                <w:bCs/>
              </w:rPr>
              <w:t>Cash Flow Changes:</w:t>
            </w:r>
          </w:p>
        </w:tc>
        <w:tc>
          <w:tcPr>
            <w:tcW w:w="599" w:type="pct"/>
            <w:tcBorders>
              <w:top w:val="nil"/>
              <w:left w:val="nil"/>
              <w:bottom w:val="nil"/>
              <w:right w:val="nil"/>
            </w:tcBorders>
            <w:vAlign w:val="bottom"/>
          </w:tcPr>
          <w:p w14:paraId="364755F9"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69B9FD35"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1F33CC99"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213CC41A" w14:textId="77777777" w:rsidR="001A0130" w:rsidRPr="00327BF3" w:rsidRDefault="001A0130" w:rsidP="001A0130">
            <w:pPr>
              <w:pStyle w:val="TableText"/>
              <w:spacing w:before="0"/>
              <w:ind w:left="290" w:hanging="284"/>
              <w:jc w:val="both"/>
              <w:rPr>
                <w:rFonts w:cs="Calibri"/>
                <w:b/>
              </w:rPr>
            </w:pPr>
          </w:p>
        </w:tc>
      </w:tr>
      <w:tr w:rsidR="001A0130" w:rsidRPr="00416D13" w14:paraId="1215B3DB" w14:textId="77777777" w:rsidTr="005F5B4C">
        <w:trPr>
          <w:trHeight w:val="23"/>
        </w:trPr>
        <w:tc>
          <w:tcPr>
            <w:tcW w:w="737" w:type="pct"/>
            <w:tcBorders>
              <w:top w:val="nil"/>
              <w:left w:val="single" w:sz="2" w:space="0" w:color="auto"/>
              <w:bottom w:val="nil"/>
              <w:right w:val="single" w:sz="2" w:space="0" w:color="auto"/>
            </w:tcBorders>
          </w:tcPr>
          <w:p w14:paraId="1D24F26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2D7317F4" w14:textId="619C8B88"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Cash Received</w:t>
            </w:r>
          </w:p>
        </w:tc>
        <w:tc>
          <w:tcPr>
            <w:tcW w:w="599" w:type="pct"/>
            <w:tcBorders>
              <w:top w:val="nil"/>
              <w:left w:val="nil"/>
              <w:bottom w:val="nil"/>
              <w:right w:val="nil"/>
            </w:tcBorders>
            <w:vAlign w:val="bottom"/>
          </w:tcPr>
          <w:p w14:paraId="336AC5A1"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222C911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2C73D3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5084CF68" w14:textId="77777777" w:rsidR="001A0130" w:rsidRPr="00327BF3" w:rsidRDefault="001A0130" w:rsidP="001A0130">
            <w:pPr>
              <w:pStyle w:val="TableText"/>
              <w:spacing w:before="0"/>
              <w:ind w:left="290" w:hanging="284"/>
              <w:jc w:val="both"/>
              <w:rPr>
                <w:rFonts w:cs="Calibri"/>
                <w:b/>
              </w:rPr>
            </w:pPr>
          </w:p>
        </w:tc>
      </w:tr>
      <w:tr w:rsidR="001A0130" w:rsidRPr="00416D13" w14:paraId="397AF1D7" w14:textId="77777777" w:rsidTr="005F5B4C">
        <w:trPr>
          <w:trHeight w:val="23"/>
        </w:trPr>
        <w:tc>
          <w:tcPr>
            <w:tcW w:w="737" w:type="pct"/>
            <w:tcBorders>
              <w:top w:val="nil"/>
              <w:left w:val="single" w:sz="2" w:space="0" w:color="auto"/>
              <w:bottom w:val="nil"/>
              <w:right w:val="single" w:sz="2" w:space="0" w:color="auto"/>
            </w:tcBorders>
          </w:tcPr>
          <w:p w14:paraId="65A1A1B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4C4C192" w14:textId="7CACEB24"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Cash Paid</w:t>
            </w:r>
          </w:p>
        </w:tc>
        <w:tc>
          <w:tcPr>
            <w:tcW w:w="599" w:type="pct"/>
            <w:tcBorders>
              <w:top w:val="nil"/>
              <w:left w:val="nil"/>
              <w:bottom w:val="nil"/>
              <w:right w:val="nil"/>
            </w:tcBorders>
            <w:vAlign w:val="bottom"/>
          </w:tcPr>
          <w:p w14:paraId="0B42AF58"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184D8A61"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1C262AF"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4950BD4C" w14:textId="77777777" w:rsidR="001A0130" w:rsidRPr="00327BF3" w:rsidRDefault="001A0130" w:rsidP="001A0130">
            <w:pPr>
              <w:pStyle w:val="TableText"/>
              <w:spacing w:before="0"/>
              <w:ind w:left="290" w:hanging="284"/>
              <w:jc w:val="both"/>
              <w:rPr>
                <w:rFonts w:cs="Calibri"/>
                <w:b/>
              </w:rPr>
            </w:pPr>
          </w:p>
        </w:tc>
      </w:tr>
      <w:tr w:rsidR="001A0130" w:rsidRPr="00416D13" w14:paraId="33F13E27" w14:textId="77777777" w:rsidTr="005F5B4C">
        <w:trPr>
          <w:trHeight w:val="23"/>
        </w:trPr>
        <w:tc>
          <w:tcPr>
            <w:tcW w:w="737" w:type="pct"/>
            <w:tcBorders>
              <w:top w:val="nil"/>
              <w:left w:val="single" w:sz="2" w:space="0" w:color="auto"/>
              <w:bottom w:val="nil"/>
              <w:right w:val="single" w:sz="2" w:space="0" w:color="auto"/>
            </w:tcBorders>
          </w:tcPr>
          <w:p w14:paraId="3C9C87CB"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C12438C" w14:textId="77777777" w:rsidR="001A0130" w:rsidRPr="00327BF3" w:rsidRDefault="001A0130" w:rsidP="001A0130">
            <w:pPr>
              <w:pStyle w:val="TableText"/>
              <w:spacing w:before="0"/>
              <w:ind w:left="290" w:hanging="284"/>
              <w:jc w:val="both"/>
              <w:rPr>
                <w:rFonts w:cs="Calibri"/>
                <w:bCs/>
              </w:rPr>
            </w:pPr>
            <w:r w:rsidRPr="00327BF3">
              <w:rPr>
                <w:rFonts w:cs="Calibri"/>
                <w:bCs/>
              </w:rPr>
              <w:t>Non-Cash Changes:</w:t>
            </w:r>
          </w:p>
        </w:tc>
        <w:tc>
          <w:tcPr>
            <w:tcW w:w="599" w:type="pct"/>
            <w:tcBorders>
              <w:top w:val="nil"/>
              <w:left w:val="nil"/>
              <w:bottom w:val="nil"/>
              <w:right w:val="nil"/>
            </w:tcBorders>
            <w:vAlign w:val="bottom"/>
          </w:tcPr>
          <w:p w14:paraId="43B632A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3FC297AC"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7417B40"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162210F5" w14:textId="77777777" w:rsidR="001A0130" w:rsidRPr="00327BF3" w:rsidRDefault="001A0130" w:rsidP="001A0130">
            <w:pPr>
              <w:pStyle w:val="TableText"/>
              <w:spacing w:before="0"/>
              <w:ind w:left="290" w:hanging="284"/>
              <w:jc w:val="both"/>
              <w:rPr>
                <w:rFonts w:cs="Calibri"/>
                <w:b/>
              </w:rPr>
            </w:pPr>
          </w:p>
        </w:tc>
      </w:tr>
      <w:tr w:rsidR="001A0130" w:rsidRPr="00416D13" w14:paraId="5C48E7AC" w14:textId="77777777" w:rsidTr="005F5B4C">
        <w:trPr>
          <w:trHeight w:val="23"/>
        </w:trPr>
        <w:tc>
          <w:tcPr>
            <w:tcW w:w="737" w:type="pct"/>
            <w:tcBorders>
              <w:top w:val="nil"/>
              <w:left w:val="single" w:sz="2" w:space="0" w:color="auto"/>
              <w:bottom w:val="nil"/>
              <w:right w:val="single" w:sz="2" w:space="0" w:color="auto"/>
            </w:tcBorders>
          </w:tcPr>
          <w:p w14:paraId="48EA2C05"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AA78B17" w14:textId="3B6B282B"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New Leases</w:t>
            </w:r>
          </w:p>
        </w:tc>
        <w:tc>
          <w:tcPr>
            <w:tcW w:w="599" w:type="pct"/>
            <w:tcBorders>
              <w:top w:val="nil"/>
              <w:left w:val="nil"/>
              <w:bottom w:val="nil"/>
              <w:right w:val="nil"/>
            </w:tcBorders>
            <w:vAlign w:val="bottom"/>
          </w:tcPr>
          <w:p w14:paraId="688FD1F0"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7075C332"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70CE3B4A"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2C575E7" w14:textId="77777777" w:rsidR="001A0130" w:rsidRPr="00327BF3" w:rsidRDefault="001A0130" w:rsidP="001A0130">
            <w:pPr>
              <w:pStyle w:val="TableText"/>
              <w:spacing w:before="0"/>
              <w:ind w:left="290" w:hanging="284"/>
              <w:jc w:val="both"/>
              <w:rPr>
                <w:rFonts w:cs="Calibri"/>
                <w:b/>
              </w:rPr>
            </w:pPr>
          </w:p>
        </w:tc>
      </w:tr>
      <w:tr w:rsidR="001A0130" w:rsidRPr="00416D13" w14:paraId="105B4839" w14:textId="77777777" w:rsidTr="005F5B4C">
        <w:trPr>
          <w:trHeight w:val="23"/>
        </w:trPr>
        <w:tc>
          <w:tcPr>
            <w:tcW w:w="737" w:type="pct"/>
            <w:tcBorders>
              <w:top w:val="nil"/>
              <w:left w:val="single" w:sz="2" w:space="0" w:color="auto"/>
              <w:bottom w:val="nil"/>
              <w:right w:val="single" w:sz="2" w:space="0" w:color="auto"/>
            </w:tcBorders>
          </w:tcPr>
          <w:p w14:paraId="73EC99A2"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56CEC81F" w14:textId="68065EBA"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New Service Concession Arrangement Financial Liability</w:t>
            </w:r>
          </w:p>
        </w:tc>
        <w:tc>
          <w:tcPr>
            <w:tcW w:w="599" w:type="pct"/>
            <w:tcBorders>
              <w:top w:val="nil"/>
              <w:left w:val="nil"/>
              <w:bottom w:val="nil"/>
              <w:right w:val="nil"/>
            </w:tcBorders>
            <w:vAlign w:val="bottom"/>
          </w:tcPr>
          <w:p w14:paraId="55E0393B"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160082D3"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2CA78BD4"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2AC202E" w14:textId="77777777" w:rsidR="001A0130" w:rsidRPr="00327BF3" w:rsidRDefault="001A0130" w:rsidP="001A0130">
            <w:pPr>
              <w:pStyle w:val="TableText"/>
              <w:spacing w:before="0"/>
              <w:ind w:left="290" w:hanging="284"/>
              <w:jc w:val="both"/>
              <w:rPr>
                <w:rFonts w:cs="Calibri"/>
                <w:b/>
              </w:rPr>
            </w:pPr>
          </w:p>
        </w:tc>
      </w:tr>
      <w:tr w:rsidR="001A0130" w:rsidRPr="00416D13" w14:paraId="5EDD26E3" w14:textId="77777777" w:rsidTr="005F5B4C">
        <w:trPr>
          <w:trHeight w:val="23"/>
        </w:trPr>
        <w:tc>
          <w:tcPr>
            <w:tcW w:w="737" w:type="pct"/>
            <w:tcBorders>
              <w:top w:val="nil"/>
              <w:left w:val="single" w:sz="2" w:space="0" w:color="auto"/>
              <w:bottom w:val="nil"/>
              <w:right w:val="single" w:sz="2" w:space="0" w:color="auto"/>
            </w:tcBorders>
          </w:tcPr>
          <w:p w14:paraId="18EE7F70"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109B9F2B" w14:textId="7B800464"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w:t>
            </w:r>
            <w:r w:rsidR="001A0130" w:rsidRPr="00327BF3">
              <w:t>Transfers to / (from) another ACT Government agency</w:t>
            </w:r>
          </w:p>
        </w:tc>
        <w:tc>
          <w:tcPr>
            <w:tcW w:w="599" w:type="pct"/>
            <w:tcBorders>
              <w:top w:val="nil"/>
              <w:left w:val="nil"/>
              <w:bottom w:val="nil"/>
              <w:right w:val="nil"/>
            </w:tcBorders>
            <w:vAlign w:val="bottom"/>
          </w:tcPr>
          <w:p w14:paraId="3D35DFEE"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nil"/>
              <w:right w:val="nil"/>
            </w:tcBorders>
            <w:vAlign w:val="bottom"/>
          </w:tcPr>
          <w:p w14:paraId="56DC86D9"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nil"/>
              <w:right w:val="nil"/>
            </w:tcBorders>
            <w:vAlign w:val="bottom"/>
          </w:tcPr>
          <w:p w14:paraId="652E276B"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nil"/>
              <w:right w:val="nil"/>
            </w:tcBorders>
            <w:vAlign w:val="bottom"/>
          </w:tcPr>
          <w:p w14:paraId="36AB25FD" w14:textId="77777777" w:rsidR="001A0130" w:rsidRPr="00327BF3" w:rsidRDefault="001A0130" w:rsidP="001A0130">
            <w:pPr>
              <w:pStyle w:val="TableText"/>
              <w:spacing w:before="0"/>
              <w:ind w:left="290" w:hanging="284"/>
              <w:jc w:val="both"/>
              <w:rPr>
                <w:rFonts w:cs="Calibri"/>
                <w:b/>
              </w:rPr>
            </w:pPr>
          </w:p>
        </w:tc>
      </w:tr>
      <w:tr w:rsidR="001A0130" w:rsidRPr="00416D13" w14:paraId="4708CA62" w14:textId="77777777" w:rsidTr="005F5B4C">
        <w:trPr>
          <w:trHeight w:val="23"/>
        </w:trPr>
        <w:tc>
          <w:tcPr>
            <w:tcW w:w="737" w:type="pct"/>
            <w:tcBorders>
              <w:top w:val="nil"/>
              <w:left w:val="single" w:sz="2" w:space="0" w:color="auto"/>
              <w:bottom w:val="nil"/>
              <w:right w:val="single" w:sz="2" w:space="0" w:color="auto"/>
            </w:tcBorders>
          </w:tcPr>
          <w:p w14:paraId="6529B358"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BD231DB" w14:textId="2E2F7B3A" w:rsidR="001A0130" w:rsidRPr="00327BF3" w:rsidRDefault="00FA7C77" w:rsidP="001A0130">
            <w:pPr>
              <w:pStyle w:val="TableText"/>
              <w:spacing w:before="0"/>
              <w:ind w:left="290" w:hanging="284"/>
              <w:jc w:val="both"/>
              <w:rPr>
                <w:rFonts w:cs="Calibri"/>
                <w:bCs/>
              </w:rPr>
            </w:pPr>
            <w:r>
              <w:rPr>
                <w:rFonts w:cs="Calibri"/>
                <w:bCs/>
              </w:rPr>
              <w:t xml:space="preserve">  </w:t>
            </w:r>
            <w:r w:rsidR="001A0130" w:rsidRPr="00327BF3">
              <w:rPr>
                <w:rFonts w:cs="Calibri"/>
                <w:bCs/>
              </w:rPr>
              <w:t xml:space="preserve"> - Other Movements</w:t>
            </w:r>
          </w:p>
        </w:tc>
        <w:tc>
          <w:tcPr>
            <w:tcW w:w="599" w:type="pct"/>
            <w:tcBorders>
              <w:top w:val="nil"/>
              <w:left w:val="nil"/>
              <w:bottom w:val="single" w:sz="4" w:space="0" w:color="auto"/>
              <w:right w:val="nil"/>
            </w:tcBorders>
            <w:vAlign w:val="bottom"/>
          </w:tcPr>
          <w:p w14:paraId="19CF4DD7" w14:textId="77777777" w:rsidR="001A0130" w:rsidRPr="00327BF3" w:rsidRDefault="001A0130" w:rsidP="001A0130">
            <w:pPr>
              <w:pStyle w:val="TableText"/>
              <w:spacing w:before="0"/>
              <w:ind w:left="290" w:hanging="284"/>
              <w:jc w:val="both"/>
              <w:rPr>
                <w:rFonts w:cs="Calibri"/>
                <w:b/>
                <w:bCs/>
              </w:rPr>
            </w:pPr>
          </w:p>
        </w:tc>
        <w:tc>
          <w:tcPr>
            <w:tcW w:w="736" w:type="pct"/>
            <w:tcBorders>
              <w:top w:val="nil"/>
              <w:left w:val="nil"/>
              <w:bottom w:val="single" w:sz="4" w:space="0" w:color="auto"/>
              <w:right w:val="nil"/>
            </w:tcBorders>
            <w:vAlign w:val="bottom"/>
          </w:tcPr>
          <w:p w14:paraId="40E9FC2F" w14:textId="77777777" w:rsidR="001A0130" w:rsidRPr="00327BF3" w:rsidRDefault="001A0130" w:rsidP="001A0130">
            <w:pPr>
              <w:pStyle w:val="TableText"/>
              <w:spacing w:before="0"/>
              <w:ind w:left="290" w:hanging="284"/>
              <w:jc w:val="both"/>
              <w:rPr>
                <w:rFonts w:cs="Calibri"/>
                <w:b/>
              </w:rPr>
            </w:pPr>
          </w:p>
        </w:tc>
        <w:tc>
          <w:tcPr>
            <w:tcW w:w="716" w:type="pct"/>
            <w:tcBorders>
              <w:top w:val="nil"/>
              <w:left w:val="nil"/>
              <w:bottom w:val="single" w:sz="4" w:space="0" w:color="auto"/>
              <w:right w:val="nil"/>
            </w:tcBorders>
            <w:vAlign w:val="bottom"/>
          </w:tcPr>
          <w:p w14:paraId="6B7C7110" w14:textId="77777777" w:rsidR="001A0130" w:rsidRPr="00327BF3" w:rsidRDefault="001A0130" w:rsidP="001A0130">
            <w:pPr>
              <w:pStyle w:val="TableText"/>
              <w:spacing w:before="0"/>
              <w:ind w:left="290" w:hanging="284"/>
              <w:jc w:val="both"/>
              <w:rPr>
                <w:rFonts w:cs="Calibri"/>
                <w:b/>
              </w:rPr>
            </w:pPr>
          </w:p>
        </w:tc>
        <w:tc>
          <w:tcPr>
            <w:tcW w:w="600" w:type="pct"/>
            <w:tcBorders>
              <w:top w:val="nil"/>
              <w:left w:val="nil"/>
              <w:bottom w:val="single" w:sz="4" w:space="0" w:color="auto"/>
              <w:right w:val="nil"/>
            </w:tcBorders>
            <w:vAlign w:val="bottom"/>
          </w:tcPr>
          <w:p w14:paraId="200A526C" w14:textId="77777777" w:rsidR="001A0130" w:rsidRPr="00327BF3" w:rsidRDefault="001A0130" w:rsidP="001A0130">
            <w:pPr>
              <w:pStyle w:val="TableText"/>
              <w:spacing w:before="0"/>
              <w:ind w:left="290" w:hanging="284"/>
              <w:jc w:val="both"/>
              <w:rPr>
                <w:rFonts w:cs="Calibri"/>
                <w:b/>
              </w:rPr>
            </w:pPr>
          </w:p>
        </w:tc>
      </w:tr>
      <w:tr w:rsidR="001A0130" w:rsidRPr="00416D13" w14:paraId="36A2FC52" w14:textId="77777777" w:rsidTr="005F5B4C">
        <w:trPr>
          <w:trHeight w:val="23"/>
        </w:trPr>
        <w:tc>
          <w:tcPr>
            <w:tcW w:w="737" w:type="pct"/>
            <w:tcBorders>
              <w:top w:val="nil"/>
              <w:left w:val="single" w:sz="2" w:space="0" w:color="auto"/>
              <w:bottom w:val="nil"/>
              <w:right w:val="single" w:sz="2" w:space="0" w:color="auto"/>
            </w:tcBorders>
          </w:tcPr>
          <w:p w14:paraId="3748E09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01DC527B" w14:textId="77777777" w:rsidR="001A0130" w:rsidRPr="00327BF3" w:rsidRDefault="001A0130" w:rsidP="001A0130">
            <w:pPr>
              <w:pStyle w:val="TableText"/>
              <w:spacing w:before="120"/>
              <w:ind w:left="290" w:hanging="284"/>
              <w:jc w:val="both"/>
              <w:rPr>
                <w:rFonts w:cs="Calibri"/>
                <w:bCs/>
              </w:rPr>
            </w:pPr>
            <w:r w:rsidRPr="00327BF3">
              <w:rPr>
                <w:rFonts w:cs="Calibri"/>
                <w:b/>
              </w:rPr>
              <w:t>Carrying Amount at the End of the Reporting Period</w:t>
            </w:r>
          </w:p>
        </w:tc>
        <w:tc>
          <w:tcPr>
            <w:tcW w:w="599" w:type="pct"/>
            <w:tcBorders>
              <w:top w:val="single" w:sz="4" w:space="0" w:color="auto"/>
              <w:left w:val="nil"/>
              <w:bottom w:val="double" w:sz="4" w:space="0" w:color="auto"/>
              <w:right w:val="nil"/>
            </w:tcBorders>
            <w:vAlign w:val="bottom"/>
          </w:tcPr>
          <w:p w14:paraId="7C54DB72" w14:textId="77777777" w:rsidR="001A0130" w:rsidRPr="00327BF3" w:rsidRDefault="001A0130" w:rsidP="001A0130">
            <w:pPr>
              <w:pStyle w:val="TableText"/>
              <w:spacing w:before="0"/>
              <w:ind w:left="290" w:hanging="284"/>
              <w:jc w:val="both"/>
              <w:rPr>
                <w:rFonts w:cs="Calibri"/>
                <w:b/>
                <w:bCs/>
              </w:rPr>
            </w:pPr>
          </w:p>
        </w:tc>
        <w:tc>
          <w:tcPr>
            <w:tcW w:w="736" w:type="pct"/>
            <w:tcBorders>
              <w:top w:val="single" w:sz="4" w:space="0" w:color="auto"/>
              <w:left w:val="nil"/>
              <w:bottom w:val="double" w:sz="4" w:space="0" w:color="auto"/>
              <w:right w:val="nil"/>
            </w:tcBorders>
            <w:vAlign w:val="bottom"/>
          </w:tcPr>
          <w:p w14:paraId="5E73AF68" w14:textId="77777777" w:rsidR="001A0130" w:rsidRPr="00327BF3" w:rsidRDefault="001A0130" w:rsidP="001A0130">
            <w:pPr>
              <w:pStyle w:val="TableText"/>
              <w:spacing w:before="0"/>
              <w:ind w:left="290" w:hanging="284"/>
              <w:jc w:val="both"/>
              <w:rPr>
                <w:rFonts w:cs="Calibri"/>
                <w:b/>
              </w:rPr>
            </w:pPr>
          </w:p>
        </w:tc>
        <w:tc>
          <w:tcPr>
            <w:tcW w:w="716" w:type="pct"/>
            <w:tcBorders>
              <w:top w:val="single" w:sz="4" w:space="0" w:color="auto"/>
              <w:left w:val="nil"/>
              <w:bottom w:val="double" w:sz="4" w:space="0" w:color="auto"/>
              <w:right w:val="nil"/>
            </w:tcBorders>
            <w:vAlign w:val="bottom"/>
          </w:tcPr>
          <w:p w14:paraId="171D1774" w14:textId="77777777" w:rsidR="001A0130" w:rsidRPr="00327BF3" w:rsidRDefault="001A0130" w:rsidP="001A0130">
            <w:pPr>
              <w:pStyle w:val="TableText"/>
              <w:spacing w:before="0"/>
              <w:ind w:left="290" w:hanging="284"/>
              <w:jc w:val="both"/>
              <w:rPr>
                <w:rFonts w:cs="Calibri"/>
                <w:b/>
              </w:rPr>
            </w:pPr>
          </w:p>
        </w:tc>
        <w:tc>
          <w:tcPr>
            <w:tcW w:w="600" w:type="pct"/>
            <w:tcBorders>
              <w:top w:val="single" w:sz="4" w:space="0" w:color="auto"/>
              <w:left w:val="nil"/>
              <w:bottom w:val="double" w:sz="4" w:space="0" w:color="auto"/>
              <w:right w:val="nil"/>
            </w:tcBorders>
            <w:vAlign w:val="bottom"/>
          </w:tcPr>
          <w:p w14:paraId="52197B7B" w14:textId="77777777" w:rsidR="001A0130" w:rsidRPr="00327BF3" w:rsidRDefault="001A0130" w:rsidP="001A0130">
            <w:pPr>
              <w:pStyle w:val="TableText"/>
              <w:spacing w:before="0"/>
              <w:ind w:left="290" w:hanging="284"/>
              <w:jc w:val="both"/>
              <w:rPr>
                <w:rFonts w:cs="Calibri"/>
                <w:b/>
              </w:rPr>
            </w:pPr>
          </w:p>
        </w:tc>
      </w:tr>
      <w:tr w:rsidR="001A0130" w:rsidRPr="00416D13" w14:paraId="1C9C108E" w14:textId="77777777" w:rsidTr="005F5B4C">
        <w:trPr>
          <w:trHeight w:val="23"/>
        </w:trPr>
        <w:tc>
          <w:tcPr>
            <w:tcW w:w="737" w:type="pct"/>
            <w:tcBorders>
              <w:top w:val="nil"/>
              <w:left w:val="single" w:sz="2" w:space="0" w:color="auto"/>
              <w:bottom w:val="nil"/>
              <w:right w:val="single" w:sz="2" w:space="0" w:color="auto"/>
            </w:tcBorders>
          </w:tcPr>
          <w:p w14:paraId="25B69914" w14:textId="77777777" w:rsidR="001A0130" w:rsidRPr="001A0130" w:rsidRDefault="001A0130" w:rsidP="001A0130">
            <w:pPr>
              <w:pStyle w:val="TableReference"/>
              <w:tabs>
                <w:tab w:val="left" w:pos="3306"/>
              </w:tabs>
              <w:spacing w:before="60"/>
              <w:rPr>
                <w:rFonts w:cs="Calibri"/>
                <w:color w:val="7030A0"/>
                <w:sz w:val="14"/>
              </w:rPr>
            </w:pPr>
          </w:p>
        </w:tc>
        <w:tc>
          <w:tcPr>
            <w:tcW w:w="1612" w:type="pct"/>
            <w:tcBorders>
              <w:top w:val="nil"/>
              <w:left w:val="single" w:sz="2" w:space="0" w:color="auto"/>
              <w:bottom w:val="nil"/>
              <w:right w:val="nil"/>
            </w:tcBorders>
            <w:vAlign w:val="bottom"/>
          </w:tcPr>
          <w:p w14:paraId="691B4C16" w14:textId="77777777" w:rsidR="001A0130" w:rsidRPr="00327BF3" w:rsidRDefault="001A0130" w:rsidP="001A0130">
            <w:pPr>
              <w:pStyle w:val="TableText"/>
              <w:spacing w:before="0"/>
              <w:ind w:left="290" w:hanging="284"/>
              <w:jc w:val="both"/>
              <w:rPr>
                <w:rFonts w:cs="Calibri"/>
                <w:bCs/>
              </w:rPr>
            </w:pPr>
          </w:p>
        </w:tc>
        <w:tc>
          <w:tcPr>
            <w:tcW w:w="599" w:type="pct"/>
            <w:tcBorders>
              <w:top w:val="double" w:sz="4" w:space="0" w:color="auto"/>
              <w:left w:val="nil"/>
              <w:bottom w:val="nil"/>
              <w:right w:val="nil"/>
            </w:tcBorders>
            <w:vAlign w:val="bottom"/>
          </w:tcPr>
          <w:p w14:paraId="5742CE31" w14:textId="77777777" w:rsidR="001A0130" w:rsidRPr="00327BF3" w:rsidRDefault="001A0130" w:rsidP="001A0130">
            <w:pPr>
              <w:pStyle w:val="TableText"/>
              <w:spacing w:before="0"/>
              <w:ind w:left="290" w:hanging="284"/>
              <w:jc w:val="both"/>
              <w:rPr>
                <w:rFonts w:cs="Calibri"/>
                <w:b/>
                <w:bCs/>
              </w:rPr>
            </w:pPr>
          </w:p>
        </w:tc>
        <w:tc>
          <w:tcPr>
            <w:tcW w:w="736" w:type="pct"/>
            <w:tcBorders>
              <w:top w:val="double" w:sz="4" w:space="0" w:color="auto"/>
              <w:left w:val="nil"/>
              <w:bottom w:val="nil"/>
              <w:right w:val="nil"/>
            </w:tcBorders>
            <w:vAlign w:val="bottom"/>
          </w:tcPr>
          <w:p w14:paraId="38ED24B6" w14:textId="77777777" w:rsidR="001A0130" w:rsidRPr="00327BF3" w:rsidRDefault="001A0130" w:rsidP="001A0130">
            <w:pPr>
              <w:pStyle w:val="TableText"/>
              <w:spacing w:before="0"/>
              <w:ind w:left="290" w:hanging="284"/>
              <w:jc w:val="both"/>
              <w:rPr>
                <w:rFonts w:cs="Calibri"/>
                <w:b/>
              </w:rPr>
            </w:pPr>
          </w:p>
        </w:tc>
        <w:tc>
          <w:tcPr>
            <w:tcW w:w="716" w:type="pct"/>
            <w:tcBorders>
              <w:top w:val="double" w:sz="4" w:space="0" w:color="auto"/>
              <w:left w:val="nil"/>
              <w:bottom w:val="nil"/>
              <w:right w:val="nil"/>
            </w:tcBorders>
            <w:vAlign w:val="bottom"/>
          </w:tcPr>
          <w:p w14:paraId="7CA63E11" w14:textId="77777777" w:rsidR="001A0130" w:rsidRPr="00327BF3" w:rsidRDefault="001A0130" w:rsidP="001A0130">
            <w:pPr>
              <w:pStyle w:val="TableText"/>
              <w:spacing w:before="0"/>
              <w:ind w:left="290" w:hanging="284"/>
              <w:jc w:val="both"/>
              <w:rPr>
                <w:rFonts w:cs="Calibri"/>
                <w:b/>
              </w:rPr>
            </w:pPr>
          </w:p>
        </w:tc>
        <w:tc>
          <w:tcPr>
            <w:tcW w:w="600" w:type="pct"/>
            <w:tcBorders>
              <w:top w:val="double" w:sz="4" w:space="0" w:color="auto"/>
              <w:left w:val="nil"/>
              <w:bottom w:val="nil"/>
              <w:right w:val="nil"/>
            </w:tcBorders>
            <w:vAlign w:val="bottom"/>
          </w:tcPr>
          <w:p w14:paraId="10A81E38" w14:textId="77777777" w:rsidR="001A0130" w:rsidRPr="00327BF3" w:rsidRDefault="001A0130" w:rsidP="001A0130">
            <w:pPr>
              <w:pStyle w:val="TableText"/>
              <w:spacing w:before="0"/>
              <w:ind w:left="290" w:hanging="284"/>
              <w:jc w:val="both"/>
              <w:rPr>
                <w:rFonts w:cs="Calibri"/>
                <w:b/>
              </w:rPr>
            </w:pPr>
          </w:p>
        </w:tc>
      </w:tr>
      <w:tr w:rsidR="001A0130" w:rsidRPr="00DD296A" w14:paraId="5284B464" w14:textId="77777777" w:rsidTr="005F5B4C">
        <w:trPr>
          <w:trHeight w:val="23"/>
        </w:trPr>
        <w:tc>
          <w:tcPr>
            <w:tcW w:w="737" w:type="pct"/>
            <w:tcBorders>
              <w:top w:val="nil"/>
              <w:left w:val="single" w:sz="2" w:space="0" w:color="auto"/>
              <w:bottom w:val="nil"/>
              <w:right w:val="single" w:sz="2" w:space="0" w:color="auto"/>
            </w:tcBorders>
          </w:tcPr>
          <w:p w14:paraId="317B61FD"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top w:val="nil"/>
              <w:left w:val="single" w:sz="2" w:space="0" w:color="auto"/>
              <w:bottom w:val="nil"/>
              <w:right w:val="nil"/>
            </w:tcBorders>
            <w:shd w:val="clear" w:color="auto" w:fill="auto"/>
            <w:vAlign w:val="bottom"/>
          </w:tcPr>
          <w:p w14:paraId="656AEFF7" w14:textId="77777777" w:rsidR="001A0130" w:rsidRPr="00327BF3" w:rsidRDefault="001A0130" w:rsidP="001A0130">
            <w:pPr>
              <w:pStyle w:val="CommentaryTitle"/>
              <w:spacing w:before="0" w:after="0"/>
              <w:rPr>
                <w:rFonts w:cs="Calibri"/>
              </w:rPr>
            </w:pPr>
          </w:p>
        </w:tc>
      </w:tr>
      <w:tr w:rsidR="001A0130" w:rsidRPr="00DD296A" w14:paraId="5D2627E4" w14:textId="77777777" w:rsidTr="005F5B4C">
        <w:trPr>
          <w:trHeight w:val="23"/>
        </w:trPr>
        <w:tc>
          <w:tcPr>
            <w:tcW w:w="737" w:type="pct"/>
            <w:tcBorders>
              <w:top w:val="nil"/>
              <w:left w:val="single" w:sz="2" w:space="0" w:color="auto"/>
              <w:bottom w:val="nil"/>
              <w:right w:val="single" w:sz="2" w:space="0" w:color="auto"/>
            </w:tcBorders>
          </w:tcPr>
          <w:p w14:paraId="4B6ED493"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top w:val="nil"/>
              <w:left w:val="single" w:sz="2" w:space="0" w:color="auto"/>
              <w:bottom w:val="nil"/>
              <w:right w:val="nil"/>
            </w:tcBorders>
            <w:shd w:val="clear" w:color="auto" w:fill="7030A0"/>
            <w:vAlign w:val="bottom"/>
          </w:tcPr>
          <w:p w14:paraId="75DDE84F" w14:textId="3B616CC8" w:rsidR="001A0130" w:rsidRPr="00327BF3" w:rsidRDefault="001A0130" w:rsidP="00B81B19">
            <w:pPr>
              <w:pStyle w:val="CommentaryTitle"/>
              <w:spacing w:before="0" w:after="240"/>
              <w:rPr>
                <w:rFonts w:cs="Calibri"/>
                <w:color w:val="FFFFFF" w:themeColor="background1"/>
                <w:sz w:val="28"/>
                <w:szCs w:val="28"/>
              </w:rPr>
            </w:pPr>
            <w:r w:rsidRPr="00327BF3">
              <w:rPr>
                <w:rFonts w:cs="Calibri"/>
                <w:color w:val="FFFFFF" w:themeColor="background1"/>
                <w:sz w:val="28"/>
                <w:szCs w:val="28"/>
              </w:rPr>
              <w:t xml:space="preserve">Commentary – Note 15: Cash and Investments </w:t>
            </w:r>
          </w:p>
        </w:tc>
      </w:tr>
      <w:tr w:rsidR="001A0130" w:rsidRPr="008124AD" w14:paraId="4C0EEAB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1F61DC14"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left w:val="single" w:sz="2" w:space="0" w:color="auto"/>
            </w:tcBorders>
            <w:shd w:val="clear" w:color="auto" w:fill="7030A0"/>
          </w:tcPr>
          <w:p w14:paraId="0844A231" w14:textId="617DA52A" w:rsidR="001A0130" w:rsidRPr="00B81B19" w:rsidRDefault="001A0130" w:rsidP="001A0130">
            <w:pPr>
              <w:rPr>
                <w:b/>
                <w:bCs/>
                <w:color w:val="FFFFFF" w:themeColor="background1"/>
                <w:sz w:val="20"/>
                <w:szCs w:val="20"/>
              </w:rPr>
            </w:pPr>
            <w:r w:rsidRPr="00B81B19">
              <w:rPr>
                <w:b/>
                <w:bCs/>
                <w:color w:val="FFFFFF" w:themeColor="background1"/>
                <w:sz w:val="20"/>
                <w:szCs w:val="20"/>
              </w:rPr>
              <w:t>Definition of Cash</w:t>
            </w:r>
          </w:p>
        </w:tc>
      </w:tr>
      <w:tr w:rsidR="001A0130" w:rsidRPr="008124AD" w14:paraId="406433D7"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1659BB05" w14:textId="2C362DC7" w:rsidR="001A0130" w:rsidRPr="001A0130" w:rsidRDefault="001A0130" w:rsidP="001A0130">
            <w:pPr>
              <w:pStyle w:val="TableReference"/>
              <w:tabs>
                <w:tab w:val="left" w:pos="3306"/>
              </w:tabs>
              <w:spacing w:before="40"/>
              <w:rPr>
                <w:rFonts w:cs="Calibri"/>
                <w:color w:val="7030A0"/>
                <w:sz w:val="14"/>
              </w:rPr>
            </w:pPr>
            <w:r w:rsidRPr="001A0130">
              <w:rPr>
                <w:rFonts w:cs="Calibri"/>
                <w:color w:val="7030A0"/>
                <w:sz w:val="14"/>
              </w:rPr>
              <w:t>AASB 107.6</w:t>
            </w:r>
          </w:p>
        </w:tc>
        <w:tc>
          <w:tcPr>
            <w:tcW w:w="4263" w:type="pct"/>
            <w:gridSpan w:val="5"/>
            <w:tcBorders>
              <w:left w:val="single" w:sz="2" w:space="0" w:color="auto"/>
            </w:tcBorders>
            <w:shd w:val="clear" w:color="auto" w:fill="7030A0"/>
          </w:tcPr>
          <w:p w14:paraId="0B686E82" w14:textId="381D0DC5" w:rsidR="001A0130" w:rsidRPr="00327BF3" w:rsidRDefault="001A0130" w:rsidP="001A0130">
            <w:pPr>
              <w:spacing w:after="120"/>
              <w:jc w:val="both"/>
              <w:rPr>
                <w:b/>
                <w:bCs/>
                <w:color w:val="FFFFFF" w:themeColor="background1"/>
                <w:sz w:val="18"/>
                <w:szCs w:val="18"/>
              </w:rPr>
            </w:pPr>
            <w:r w:rsidRPr="00327BF3">
              <w:rPr>
                <w:color w:val="FFFFFF" w:themeColor="background1"/>
                <w:sz w:val="18"/>
                <w:szCs w:val="18"/>
              </w:rPr>
              <w:t xml:space="preserve">Cash is defined in AASB 107 </w:t>
            </w:r>
            <w:r w:rsidRPr="00327BF3">
              <w:rPr>
                <w:i/>
                <w:iCs/>
                <w:color w:val="FFFFFF" w:themeColor="background1"/>
                <w:sz w:val="18"/>
                <w:szCs w:val="18"/>
              </w:rPr>
              <w:t>Statement of Cash Flows</w:t>
            </w:r>
            <w:r w:rsidRPr="00327BF3">
              <w:rPr>
                <w:color w:val="FFFFFF" w:themeColor="background1"/>
                <w:sz w:val="18"/>
                <w:szCs w:val="18"/>
              </w:rPr>
              <w:t xml:space="preserve"> as cash on hand and demand deposits.</w:t>
            </w:r>
            <w:r w:rsidR="00FA7C77">
              <w:rPr>
                <w:color w:val="FFFFFF" w:themeColor="background1"/>
                <w:sz w:val="18"/>
                <w:szCs w:val="18"/>
              </w:rPr>
              <w:t xml:space="preserve"> </w:t>
            </w:r>
            <w:r w:rsidRPr="00327BF3">
              <w:rPr>
                <w:color w:val="FFFFFF" w:themeColor="background1"/>
                <w:sz w:val="18"/>
                <w:szCs w:val="18"/>
              </w:rPr>
              <w:t>Cash on hand means notes and coins held and demand deposits are deposits held at call with a financial institution.</w:t>
            </w:r>
          </w:p>
        </w:tc>
      </w:tr>
      <w:tr w:rsidR="001A0130" w:rsidRPr="008124AD" w14:paraId="1098464D"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737" w:type="pct"/>
            <w:tcBorders>
              <w:left w:val="single" w:sz="2" w:space="0" w:color="auto"/>
              <w:right w:val="single" w:sz="2" w:space="0" w:color="auto"/>
            </w:tcBorders>
          </w:tcPr>
          <w:p w14:paraId="132E10F5" w14:textId="77777777" w:rsidR="001A0130" w:rsidRPr="001A0130" w:rsidRDefault="001A0130" w:rsidP="001A0130">
            <w:pPr>
              <w:pStyle w:val="TableReference"/>
              <w:tabs>
                <w:tab w:val="left" w:pos="3306"/>
              </w:tabs>
              <w:spacing w:before="60"/>
              <w:rPr>
                <w:rFonts w:cs="Calibri"/>
                <w:color w:val="7030A0"/>
                <w:sz w:val="14"/>
              </w:rPr>
            </w:pPr>
            <w:r w:rsidRPr="001A0130">
              <w:rPr>
                <w:rFonts w:cs="Calibri"/>
                <w:color w:val="7030A0"/>
                <w:sz w:val="14"/>
              </w:rPr>
              <w:t>AASB 107.6</w:t>
            </w:r>
          </w:p>
          <w:p w14:paraId="133E954E" w14:textId="77777777" w:rsidR="001A0130" w:rsidRPr="001A0130" w:rsidRDefault="001A0130" w:rsidP="001A0130">
            <w:pPr>
              <w:pStyle w:val="TableReference"/>
              <w:tabs>
                <w:tab w:val="left" w:pos="3306"/>
              </w:tabs>
              <w:spacing w:before="40"/>
              <w:rPr>
                <w:rFonts w:cs="Calibri"/>
                <w:color w:val="7030A0"/>
                <w:sz w:val="14"/>
              </w:rPr>
            </w:pPr>
          </w:p>
        </w:tc>
        <w:tc>
          <w:tcPr>
            <w:tcW w:w="4263" w:type="pct"/>
            <w:gridSpan w:val="5"/>
            <w:tcBorders>
              <w:left w:val="single" w:sz="2" w:space="0" w:color="auto"/>
            </w:tcBorders>
            <w:shd w:val="clear" w:color="auto" w:fill="7030A0"/>
          </w:tcPr>
          <w:p w14:paraId="62F29DB0" w14:textId="694D3229" w:rsidR="001A0130" w:rsidRPr="00327BF3" w:rsidRDefault="001A0130" w:rsidP="001A0130">
            <w:pPr>
              <w:spacing w:after="120"/>
              <w:jc w:val="both"/>
              <w:rPr>
                <w:b/>
                <w:bCs/>
                <w:color w:val="FFFFFF" w:themeColor="background1"/>
                <w:sz w:val="18"/>
                <w:szCs w:val="18"/>
              </w:rPr>
            </w:pPr>
            <w:r w:rsidRPr="00327BF3">
              <w:rPr>
                <w:color w:val="FFFFFF" w:themeColor="background1"/>
                <w:sz w:val="18"/>
                <w:szCs w:val="18"/>
              </w:rPr>
              <w:t>Cash equivalent assets are short-term, highly liquid investments that are readily convertible to known amounts of cash and are not subject to significant risk of movements in value.</w:t>
            </w:r>
          </w:p>
        </w:tc>
      </w:tr>
    </w:tbl>
    <w:p w14:paraId="7BFCD9A3" w14:textId="77777777" w:rsidR="00F22D61" w:rsidRDefault="00F22D61">
      <w:r>
        <w:br w:type="page"/>
      </w:r>
    </w:p>
    <w:tbl>
      <w:tblPr>
        <w:tblW w:w="5128" w:type="pct"/>
        <w:tblInd w:w="-6" w:type="dxa"/>
        <w:shd w:val="clear" w:color="auto" w:fill="CCFFCC"/>
        <w:tblLook w:val="00A0" w:firstRow="1" w:lastRow="0" w:firstColumn="1" w:lastColumn="0" w:noHBand="0" w:noVBand="0"/>
      </w:tblPr>
      <w:tblGrid>
        <w:gridCol w:w="1547"/>
        <w:gridCol w:w="8947"/>
      </w:tblGrid>
      <w:tr w:rsidR="00F22D61" w:rsidRPr="008124AD" w14:paraId="1C808329" w14:textId="77777777" w:rsidTr="005F5B4C">
        <w:trPr>
          <w:trHeight w:val="119"/>
        </w:trPr>
        <w:tc>
          <w:tcPr>
            <w:tcW w:w="737" w:type="pct"/>
            <w:tcBorders>
              <w:left w:val="single" w:sz="2" w:space="0" w:color="auto"/>
              <w:right w:val="single" w:sz="2" w:space="0" w:color="auto"/>
            </w:tcBorders>
          </w:tcPr>
          <w:p w14:paraId="7ECC9F00" w14:textId="77777777" w:rsidR="00F22D61" w:rsidRPr="001A0130" w:rsidRDefault="00F22D61" w:rsidP="00F22D61">
            <w:pPr>
              <w:pStyle w:val="TableReference"/>
              <w:tabs>
                <w:tab w:val="left" w:pos="3306"/>
              </w:tabs>
              <w:spacing w:after="240"/>
              <w:rPr>
                <w:rFonts w:cs="Calibri"/>
                <w:color w:val="7030A0"/>
                <w:sz w:val="14"/>
              </w:rPr>
            </w:pPr>
            <w:r w:rsidRPr="001A0130">
              <w:rPr>
                <w:rFonts w:cs="Calibri"/>
                <w:b/>
                <w:bCs/>
                <w:color w:val="7030A0"/>
                <w:sz w:val="22"/>
                <w:szCs w:val="22"/>
              </w:rPr>
              <w:t>Reference</w:t>
            </w:r>
          </w:p>
        </w:tc>
        <w:tc>
          <w:tcPr>
            <w:tcW w:w="4263" w:type="pct"/>
            <w:tcBorders>
              <w:left w:val="single" w:sz="2" w:space="0" w:color="auto"/>
            </w:tcBorders>
            <w:shd w:val="clear" w:color="auto" w:fill="7030A0"/>
          </w:tcPr>
          <w:p w14:paraId="0AFCBA37" w14:textId="77777777" w:rsidR="00F22D61" w:rsidRPr="001A0130" w:rsidRDefault="00F22D61" w:rsidP="00F22D61">
            <w:pPr>
              <w:spacing w:after="240"/>
              <w:jc w:val="both"/>
              <w:rPr>
                <w:i/>
                <w:iCs/>
                <w:color w:val="FFFFFF" w:themeColor="background1"/>
                <w:sz w:val="18"/>
                <w:szCs w:val="18"/>
              </w:rPr>
            </w:pPr>
            <w:r w:rsidRPr="001A0130">
              <w:rPr>
                <w:rFonts w:cs="Calibri"/>
                <w:b/>
                <w:bCs/>
                <w:color w:val="FFFFFF" w:themeColor="background1"/>
                <w:sz w:val="28"/>
                <w:szCs w:val="28"/>
              </w:rPr>
              <w:t xml:space="preserve">Commentary – Note 15: Cash and Investments </w:t>
            </w:r>
            <w:r>
              <w:rPr>
                <w:rFonts w:cs="Calibri"/>
                <w:b/>
                <w:bCs/>
                <w:color w:val="FFFFFF" w:themeColor="background1"/>
                <w:sz w:val="28"/>
                <w:szCs w:val="28"/>
              </w:rPr>
              <w:t>–</w:t>
            </w:r>
            <w:r w:rsidRPr="001A0130">
              <w:rPr>
                <w:rFonts w:cs="Calibri"/>
                <w:b/>
                <w:bCs/>
                <w:color w:val="FFFFFF" w:themeColor="background1"/>
                <w:sz w:val="28"/>
                <w:szCs w:val="28"/>
              </w:rPr>
              <w:t xml:space="preserve"> Continued</w:t>
            </w:r>
            <w:r>
              <w:rPr>
                <w:rFonts w:cs="Calibri"/>
                <w:b/>
                <w:bCs/>
                <w:color w:val="FFFFFF" w:themeColor="background1"/>
                <w:sz w:val="28"/>
                <w:szCs w:val="28"/>
              </w:rPr>
              <w:t xml:space="preserve"> </w:t>
            </w:r>
          </w:p>
        </w:tc>
      </w:tr>
      <w:tr w:rsidR="001A0130" w:rsidRPr="008124AD" w14:paraId="637B39A4" w14:textId="77777777" w:rsidTr="005F5B4C">
        <w:trPr>
          <w:trHeight w:val="119"/>
        </w:trPr>
        <w:tc>
          <w:tcPr>
            <w:tcW w:w="737" w:type="pct"/>
            <w:tcBorders>
              <w:left w:val="single" w:sz="2" w:space="0" w:color="auto"/>
              <w:right w:val="single" w:sz="2" w:space="0" w:color="auto"/>
            </w:tcBorders>
          </w:tcPr>
          <w:p w14:paraId="7B577072" w14:textId="2D3F99D2" w:rsidR="001A0130" w:rsidRPr="001A0130" w:rsidRDefault="001A0130" w:rsidP="001A0130">
            <w:pPr>
              <w:pStyle w:val="TableReference"/>
              <w:tabs>
                <w:tab w:val="left" w:pos="3306"/>
              </w:tabs>
              <w:spacing w:before="60"/>
              <w:rPr>
                <w:rFonts w:cs="Calibri"/>
                <w:color w:val="7030A0"/>
                <w:sz w:val="14"/>
              </w:rPr>
            </w:pPr>
          </w:p>
        </w:tc>
        <w:tc>
          <w:tcPr>
            <w:tcW w:w="4263" w:type="pct"/>
            <w:tcBorders>
              <w:left w:val="single" w:sz="2" w:space="0" w:color="auto"/>
            </w:tcBorders>
            <w:shd w:val="clear" w:color="auto" w:fill="7030A0"/>
          </w:tcPr>
          <w:p w14:paraId="6481D2A7" w14:textId="7D7CE017" w:rsidR="001A0130" w:rsidRPr="00B81B19" w:rsidRDefault="001A0130" w:rsidP="001A0130">
            <w:pPr>
              <w:jc w:val="both"/>
              <w:rPr>
                <w:b/>
                <w:bCs/>
                <w:color w:val="FFFFFF" w:themeColor="background1"/>
                <w:sz w:val="20"/>
                <w:szCs w:val="20"/>
              </w:rPr>
            </w:pPr>
            <w:r w:rsidRPr="00B81B19">
              <w:rPr>
                <w:b/>
                <w:bCs/>
                <w:color w:val="FFFFFF" w:themeColor="background1"/>
                <w:sz w:val="20"/>
                <w:szCs w:val="20"/>
              </w:rPr>
              <w:t xml:space="preserve">Whole-of-Government Banking Arrangements </w:t>
            </w:r>
          </w:p>
        </w:tc>
      </w:tr>
      <w:tr w:rsidR="001A0130" w:rsidRPr="008124AD" w14:paraId="0D15F5EB" w14:textId="77777777" w:rsidTr="005F5B4C">
        <w:trPr>
          <w:trHeight w:val="119"/>
        </w:trPr>
        <w:tc>
          <w:tcPr>
            <w:tcW w:w="737" w:type="pct"/>
            <w:tcBorders>
              <w:left w:val="single" w:sz="2" w:space="0" w:color="auto"/>
              <w:right w:val="single" w:sz="2" w:space="0" w:color="auto"/>
            </w:tcBorders>
          </w:tcPr>
          <w:p w14:paraId="61FCB51D" w14:textId="77777777" w:rsidR="001A0130" w:rsidRPr="001A0130" w:rsidRDefault="001A0130" w:rsidP="001A0130">
            <w:pPr>
              <w:pStyle w:val="TableReference"/>
              <w:tabs>
                <w:tab w:val="left" w:pos="3306"/>
              </w:tabs>
              <w:spacing w:before="60"/>
              <w:rPr>
                <w:rFonts w:cs="Calibri"/>
                <w:color w:val="7030A0"/>
                <w:sz w:val="14"/>
              </w:rPr>
            </w:pPr>
          </w:p>
        </w:tc>
        <w:tc>
          <w:tcPr>
            <w:tcW w:w="4263" w:type="pct"/>
            <w:tcBorders>
              <w:left w:val="single" w:sz="2" w:space="0" w:color="auto"/>
            </w:tcBorders>
            <w:shd w:val="clear" w:color="auto" w:fill="7030A0"/>
          </w:tcPr>
          <w:p w14:paraId="36BD092E" w14:textId="21F8CEC7" w:rsidR="001A0130" w:rsidRPr="00327BF3" w:rsidRDefault="001A0130" w:rsidP="001A0130">
            <w:pPr>
              <w:spacing w:after="120"/>
              <w:jc w:val="both"/>
              <w:rPr>
                <w:color w:val="FFFFFF" w:themeColor="background1"/>
                <w:sz w:val="18"/>
                <w:szCs w:val="18"/>
              </w:rPr>
            </w:pPr>
            <w:r w:rsidRPr="00327BF3">
              <w:rPr>
                <w:color w:val="FFFFFF" w:themeColor="background1"/>
                <w:sz w:val="18"/>
                <w:szCs w:val="18"/>
              </w:rPr>
              <w:t>Agencies can have either set-off or non set-off bank accounts through the Territory Banking Account with Westpac as part of the Whole-of-Government Banking Arrangement.</w:t>
            </w:r>
            <w:r w:rsidR="00FA7C77">
              <w:rPr>
                <w:color w:val="FFFFFF" w:themeColor="background1"/>
                <w:sz w:val="18"/>
                <w:szCs w:val="18"/>
              </w:rPr>
              <w:t xml:space="preserve"> </w:t>
            </w:r>
            <w:r w:rsidRPr="00327BF3">
              <w:rPr>
                <w:color w:val="FFFFFF" w:themeColor="background1"/>
                <w:sz w:val="18"/>
                <w:szCs w:val="18"/>
              </w:rPr>
              <w:t xml:space="preserve">Agencies that have set-off bank accounts will not earn interest on the funds in those accounts. However, agencies that have non set-off bank accounts will earn interest on the funds in those accounts which should be recorded as interest revenue in Note 7 </w:t>
            </w:r>
            <w:r w:rsidRPr="00327BF3">
              <w:rPr>
                <w:i/>
                <w:iCs/>
                <w:color w:val="FFFFFF" w:themeColor="background1"/>
                <w:sz w:val="18"/>
                <w:szCs w:val="18"/>
              </w:rPr>
              <w:t xml:space="preserve">Investment </w:t>
            </w:r>
            <w:r w:rsidR="003879D7">
              <w:rPr>
                <w:i/>
                <w:iCs/>
                <w:color w:val="FFFFFF" w:themeColor="background1"/>
                <w:sz w:val="18"/>
                <w:szCs w:val="18"/>
              </w:rPr>
              <w:t xml:space="preserve">and Interest </w:t>
            </w:r>
            <w:r w:rsidRPr="00327BF3">
              <w:rPr>
                <w:i/>
                <w:iCs/>
                <w:color w:val="FFFFFF" w:themeColor="background1"/>
                <w:sz w:val="18"/>
                <w:szCs w:val="18"/>
              </w:rPr>
              <w:t>Revenue</w:t>
            </w:r>
            <w:r w:rsidRPr="00327BF3">
              <w:rPr>
                <w:color w:val="FFFFFF" w:themeColor="background1"/>
                <w:sz w:val="18"/>
                <w:szCs w:val="18"/>
              </w:rPr>
              <w:t>.</w:t>
            </w:r>
            <w:r w:rsidR="00FA7C77">
              <w:rPr>
                <w:color w:val="FFFFFF" w:themeColor="background1"/>
                <w:sz w:val="18"/>
                <w:szCs w:val="18"/>
              </w:rPr>
              <w:t xml:space="preserve"> </w:t>
            </w:r>
          </w:p>
        </w:tc>
      </w:tr>
      <w:tr w:rsidR="001A0130" w:rsidRPr="008124AD" w14:paraId="1F33594F" w14:textId="77777777" w:rsidTr="005F5B4C">
        <w:trPr>
          <w:trHeight w:val="119"/>
        </w:trPr>
        <w:tc>
          <w:tcPr>
            <w:tcW w:w="737" w:type="pct"/>
            <w:tcBorders>
              <w:left w:val="single" w:sz="2" w:space="0" w:color="auto"/>
              <w:right w:val="single" w:sz="2" w:space="0" w:color="auto"/>
            </w:tcBorders>
          </w:tcPr>
          <w:p w14:paraId="0B0B68CE" w14:textId="77777777" w:rsidR="001A0130" w:rsidRPr="001A0130" w:rsidRDefault="001A0130" w:rsidP="001A0130">
            <w:pPr>
              <w:pStyle w:val="TableReference"/>
              <w:tabs>
                <w:tab w:val="left" w:pos="3306"/>
              </w:tabs>
              <w:spacing w:before="40"/>
              <w:rPr>
                <w:rFonts w:cs="Calibri"/>
                <w:color w:val="7030A0"/>
                <w:sz w:val="14"/>
              </w:rPr>
            </w:pPr>
          </w:p>
        </w:tc>
        <w:tc>
          <w:tcPr>
            <w:tcW w:w="4263" w:type="pct"/>
            <w:tcBorders>
              <w:left w:val="single" w:sz="2" w:space="0" w:color="auto"/>
            </w:tcBorders>
            <w:shd w:val="clear" w:color="auto" w:fill="7030A0"/>
          </w:tcPr>
          <w:p w14:paraId="4FC04C13" w14:textId="43A9B17F" w:rsidR="001A0130" w:rsidRPr="00B81B19" w:rsidRDefault="001A0130" w:rsidP="001A0130">
            <w:pPr>
              <w:jc w:val="both"/>
              <w:rPr>
                <w:b/>
                <w:bCs/>
                <w:color w:val="FFFFFF" w:themeColor="background1"/>
                <w:sz w:val="20"/>
                <w:szCs w:val="20"/>
              </w:rPr>
            </w:pPr>
            <w:r w:rsidRPr="00B81B19">
              <w:rPr>
                <w:b/>
                <w:bCs/>
                <w:color w:val="FFFFFF" w:themeColor="background1"/>
                <w:sz w:val="20"/>
                <w:szCs w:val="20"/>
              </w:rPr>
              <w:t>Trust Account Balances</w:t>
            </w:r>
          </w:p>
        </w:tc>
      </w:tr>
      <w:tr w:rsidR="001A0130" w:rsidRPr="008124AD" w14:paraId="03395748" w14:textId="77777777" w:rsidTr="005F5B4C">
        <w:trPr>
          <w:trHeight w:val="119"/>
        </w:trPr>
        <w:tc>
          <w:tcPr>
            <w:tcW w:w="737" w:type="pct"/>
            <w:tcBorders>
              <w:left w:val="single" w:sz="2" w:space="0" w:color="auto"/>
              <w:right w:val="single" w:sz="2" w:space="0" w:color="auto"/>
            </w:tcBorders>
          </w:tcPr>
          <w:p w14:paraId="50E86457" w14:textId="600B2828" w:rsidR="001A0130" w:rsidRPr="001A0130" w:rsidRDefault="001A0130" w:rsidP="001A0130">
            <w:pPr>
              <w:pStyle w:val="TableReference"/>
              <w:tabs>
                <w:tab w:val="left" w:pos="3306"/>
              </w:tabs>
              <w:spacing w:before="40"/>
              <w:rPr>
                <w:rFonts w:cs="Calibri"/>
                <w:color w:val="7030A0"/>
                <w:sz w:val="14"/>
              </w:rPr>
            </w:pPr>
            <w:r w:rsidRPr="001A0130">
              <w:rPr>
                <w:rFonts w:cs="Calibri"/>
                <w:color w:val="7030A0"/>
                <w:sz w:val="14"/>
              </w:rPr>
              <w:t>FMA Section 49</w:t>
            </w:r>
          </w:p>
        </w:tc>
        <w:tc>
          <w:tcPr>
            <w:tcW w:w="4263" w:type="pct"/>
            <w:tcBorders>
              <w:left w:val="single" w:sz="2" w:space="0" w:color="auto"/>
            </w:tcBorders>
            <w:shd w:val="clear" w:color="auto" w:fill="7030A0"/>
          </w:tcPr>
          <w:p w14:paraId="7E5E503E" w14:textId="5A540902" w:rsidR="001A0130" w:rsidRPr="001A0130" w:rsidRDefault="001A0130" w:rsidP="001A0130">
            <w:pPr>
              <w:jc w:val="both"/>
              <w:rPr>
                <w:b/>
                <w:bCs/>
                <w:color w:val="FFFFFF" w:themeColor="background1"/>
                <w:sz w:val="18"/>
                <w:szCs w:val="18"/>
              </w:rPr>
            </w:pPr>
            <w:r w:rsidRPr="001A0130">
              <w:rPr>
                <w:color w:val="FFFFFF" w:themeColor="background1"/>
                <w:sz w:val="18"/>
                <w:szCs w:val="18"/>
              </w:rPr>
              <w:t>Any monies held in trust by an agency should not be included in the agency’s cash balance.</w:t>
            </w:r>
            <w:r w:rsidR="00FA7C77">
              <w:rPr>
                <w:color w:val="FFFFFF" w:themeColor="background1"/>
                <w:sz w:val="18"/>
                <w:szCs w:val="18"/>
              </w:rPr>
              <w:t xml:space="preserve"> </w:t>
            </w:r>
            <w:r w:rsidRPr="001A0130">
              <w:rPr>
                <w:color w:val="FFFFFF" w:themeColor="background1"/>
                <w:sz w:val="18"/>
                <w:szCs w:val="18"/>
              </w:rPr>
              <w:t>Monies held in trust are disclosed by way of note only (see Note 3</w:t>
            </w:r>
            <w:r w:rsidR="000B7AD0">
              <w:rPr>
                <w:color w:val="FFFFFF" w:themeColor="background1"/>
                <w:sz w:val="18"/>
                <w:szCs w:val="18"/>
              </w:rPr>
              <w:t>7</w:t>
            </w:r>
            <w:r w:rsidRPr="001A0130">
              <w:rPr>
                <w:color w:val="FFFFFF" w:themeColor="background1"/>
                <w:sz w:val="18"/>
                <w:szCs w:val="18"/>
              </w:rPr>
              <w:t xml:space="preserve"> </w:t>
            </w:r>
            <w:r w:rsidRPr="001A0130">
              <w:rPr>
                <w:i/>
                <w:color w:val="FFFFFF" w:themeColor="background1"/>
                <w:sz w:val="18"/>
                <w:szCs w:val="18"/>
              </w:rPr>
              <w:t>Third Party Monies</w:t>
            </w:r>
            <w:r w:rsidRPr="001A0130">
              <w:rPr>
                <w:color w:val="FFFFFF" w:themeColor="background1"/>
                <w:sz w:val="18"/>
                <w:szCs w:val="18"/>
              </w:rPr>
              <w:t>).</w:t>
            </w:r>
          </w:p>
        </w:tc>
      </w:tr>
      <w:tr w:rsidR="001A0130" w:rsidRPr="008124AD" w14:paraId="72AA2DB7" w14:textId="77777777" w:rsidTr="005F5B4C">
        <w:trPr>
          <w:trHeight w:val="119"/>
        </w:trPr>
        <w:tc>
          <w:tcPr>
            <w:tcW w:w="737" w:type="pct"/>
            <w:tcBorders>
              <w:left w:val="single" w:sz="2" w:space="0" w:color="auto"/>
              <w:right w:val="single" w:sz="2" w:space="0" w:color="auto"/>
            </w:tcBorders>
          </w:tcPr>
          <w:p w14:paraId="06AFE882" w14:textId="77777777" w:rsidR="001A0130" w:rsidRPr="001A0130" w:rsidRDefault="001A0130" w:rsidP="001A0130">
            <w:pPr>
              <w:pStyle w:val="TableReference"/>
              <w:tabs>
                <w:tab w:val="left" w:pos="3306"/>
              </w:tabs>
              <w:spacing w:before="40"/>
              <w:rPr>
                <w:rFonts w:cs="Calibri"/>
                <w:color w:val="7030A0"/>
                <w:sz w:val="14"/>
              </w:rPr>
            </w:pPr>
          </w:p>
        </w:tc>
        <w:tc>
          <w:tcPr>
            <w:tcW w:w="4263" w:type="pct"/>
            <w:tcBorders>
              <w:left w:val="single" w:sz="2" w:space="0" w:color="auto"/>
            </w:tcBorders>
            <w:shd w:val="clear" w:color="auto" w:fill="7030A0"/>
          </w:tcPr>
          <w:p w14:paraId="25777402" w14:textId="2A6D8EA3" w:rsidR="001A0130" w:rsidRPr="00B81B19" w:rsidRDefault="001A0130" w:rsidP="001A0130">
            <w:pPr>
              <w:pStyle w:val="CommentaryHeading"/>
              <w:tabs>
                <w:tab w:val="left" w:pos="3306"/>
              </w:tabs>
              <w:spacing w:before="180" w:after="0"/>
              <w:jc w:val="both"/>
              <w:rPr>
                <w:rFonts w:cs="Calibri"/>
                <w:color w:val="FFFFFF" w:themeColor="background1"/>
                <w:szCs w:val="20"/>
              </w:rPr>
            </w:pPr>
            <w:r w:rsidRPr="00B81B19">
              <w:rPr>
                <w:rFonts w:cs="Calibri"/>
                <w:color w:val="FFFFFF" w:themeColor="background1"/>
                <w:szCs w:val="20"/>
              </w:rPr>
              <w:t>Investments</w:t>
            </w:r>
          </w:p>
        </w:tc>
      </w:tr>
      <w:tr w:rsidR="001A0130" w:rsidRPr="008124AD" w14:paraId="5E87CE48" w14:textId="77777777" w:rsidTr="005F5B4C">
        <w:trPr>
          <w:trHeight w:val="119"/>
        </w:trPr>
        <w:tc>
          <w:tcPr>
            <w:tcW w:w="737" w:type="pct"/>
            <w:tcBorders>
              <w:left w:val="single" w:sz="2" w:space="0" w:color="auto"/>
              <w:right w:val="single" w:sz="2" w:space="0" w:color="auto"/>
            </w:tcBorders>
          </w:tcPr>
          <w:p w14:paraId="36815056" w14:textId="77777777" w:rsidR="001A0130" w:rsidRPr="001A0130" w:rsidRDefault="001A0130" w:rsidP="001A0130">
            <w:pPr>
              <w:pStyle w:val="TableReference"/>
              <w:tabs>
                <w:tab w:val="left" w:pos="3306"/>
              </w:tabs>
              <w:spacing w:before="40"/>
              <w:rPr>
                <w:rFonts w:cs="Calibri"/>
                <w:color w:val="7030A0"/>
                <w:sz w:val="14"/>
              </w:rPr>
            </w:pPr>
            <w:r w:rsidRPr="001A0130">
              <w:rPr>
                <w:rFonts w:cs="Calibri"/>
                <w:color w:val="7030A0"/>
                <w:sz w:val="14"/>
              </w:rPr>
              <w:t>ACT Treasury Directorate Finance Memorandum 2006/11</w:t>
            </w:r>
          </w:p>
        </w:tc>
        <w:tc>
          <w:tcPr>
            <w:tcW w:w="4263" w:type="pct"/>
            <w:tcBorders>
              <w:left w:val="single" w:sz="2" w:space="0" w:color="auto"/>
            </w:tcBorders>
            <w:shd w:val="clear" w:color="auto" w:fill="7030A0"/>
          </w:tcPr>
          <w:p w14:paraId="59CB123F" w14:textId="1443BC47" w:rsidR="001A0130" w:rsidRPr="001A0130" w:rsidRDefault="001A0130" w:rsidP="001A0130">
            <w:pPr>
              <w:pStyle w:val="CommentaryHeading"/>
              <w:tabs>
                <w:tab w:val="left" w:pos="3306"/>
              </w:tabs>
              <w:spacing w:before="0" w:after="120"/>
              <w:jc w:val="both"/>
              <w:rPr>
                <w:rFonts w:cs="Calibri"/>
                <w:b w:val="0"/>
                <w:bCs w:val="0"/>
                <w:color w:val="FFFFFF" w:themeColor="background1"/>
                <w:sz w:val="18"/>
              </w:rPr>
            </w:pPr>
            <w:r w:rsidRPr="001A0130">
              <w:rPr>
                <w:rFonts w:cs="Calibri"/>
                <w:b w:val="0"/>
                <w:bCs w:val="0"/>
                <w:color w:val="FFFFFF" w:themeColor="background1"/>
                <w:sz w:val="18"/>
              </w:rPr>
              <w:t>To facilitate an efficient investment management arrangement a centralised and unitised investment administration structure is provided by Treasury, through the Territory Banking Account, that provided different investment options to meet the specific objectives of those agencies that have the approval to invest their funds.</w:t>
            </w:r>
            <w:r w:rsidR="00FA7C77">
              <w:rPr>
                <w:rFonts w:cs="Calibri"/>
                <w:b w:val="0"/>
                <w:bCs w:val="0"/>
                <w:color w:val="FFFFFF" w:themeColor="background1"/>
                <w:sz w:val="18"/>
              </w:rPr>
              <w:t xml:space="preserve"> </w:t>
            </w:r>
            <w:r w:rsidRPr="001A0130">
              <w:rPr>
                <w:rFonts w:cs="Calibri"/>
                <w:b w:val="0"/>
                <w:bCs w:val="0"/>
                <w:color w:val="FFFFFF" w:themeColor="background1"/>
                <w:sz w:val="18"/>
              </w:rPr>
              <w:t xml:space="preserve">Individual Investment Plans for each investing agency, describing their investment strategy and objectives, are required to be approved by the Treasurer. </w:t>
            </w:r>
          </w:p>
        </w:tc>
      </w:tr>
      <w:tr w:rsidR="001A0130" w:rsidRPr="008124AD" w14:paraId="69D8D40E" w14:textId="77777777" w:rsidTr="005F5B4C">
        <w:trPr>
          <w:trHeight w:val="119"/>
        </w:trPr>
        <w:tc>
          <w:tcPr>
            <w:tcW w:w="737" w:type="pct"/>
            <w:tcBorders>
              <w:left w:val="single" w:sz="2" w:space="0" w:color="auto"/>
              <w:right w:val="single" w:sz="2" w:space="0" w:color="auto"/>
            </w:tcBorders>
          </w:tcPr>
          <w:p w14:paraId="31BB2B0C" w14:textId="77777777" w:rsidR="001A0130" w:rsidRPr="001A0130" w:rsidRDefault="001A0130" w:rsidP="001A0130">
            <w:pPr>
              <w:pStyle w:val="TableReference"/>
              <w:tabs>
                <w:tab w:val="left" w:pos="3306"/>
              </w:tabs>
              <w:spacing w:before="40"/>
              <w:rPr>
                <w:rFonts w:cs="Calibri"/>
                <w:color w:val="7030A0"/>
                <w:sz w:val="16"/>
                <w:szCs w:val="16"/>
              </w:rPr>
            </w:pPr>
          </w:p>
        </w:tc>
        <w:tc>
          <w:tcPr>
            <w:tcW w:w="4263" w:type="pct"/>
            <w:tcBorders>
              <w:left w:val="single" w:sz="2" w:space="0" w:color="auto"/>
            </w:tcBorders>
            <w:shd w:val="clear" w:color="auto" w:fill="7030A0"/>
          </w:tcPr>
          <w:p w14:paraId="746F3889" w14:textId="6374B0A7" w:rsidR="001A0130" w:rsidRPr="001A0130" w:rsidRDefault="001A0130" w:rsidP="001A0130">
            <w:pPr>
              <w:pStyle w:val="CommentaryHeading"/>
              <w:tabs>
                <w:tab w:val="left" w:pos="3306"/>
              </w:tabs>
              <w:spacing w:before="0" w:after="120"/>
              <w:jc w:val="both"/>
              <w:rPr>
                <w:rFonts w:cs="Calibri"/>
                <w:b w:val="0"/>
                <w:bCs w:val="0"/>
                <w:color w:val="FFFFFF" w:themeColor="background1"/>
                <w:sz w:val="18"/>
              </w:rPr>
            </w:pPr>
            <w:r w:rsidRPr="001A0130">
              <w:rPr>
                <w:rFonts w:cs="Calibri"/>
                <w:b w:val="0"/>
                <w:bCs w:val="0"/>
                <w:color w:val="FFFFFF" w:themeColor="background1"/>
                <w:sz w:val="18"/>
              </w:rPr>
              <w:t>Agency investors have ‘Investment Unit Holdings’ with the Territory Banking Account.</w:t>
            </w:r>
          </w:p>
        </w:tc>
      </w:tr>
      <w:tr w:rsidR="001A0130" w:rsidRPr="008124AD" w14:paraId="2DABE629" w14:textId="77777777" w:rsidTr="005F5B4C">
        <w:trPr>
          <w:trHeight w:val="119"/>
        </w:trPr>
        <w:tc>
          <w:tcPr>
            <w:tcW w:w="737" w:type="pct"/>
            <w:tcBorders>
              <w:left w:val="single" w:sz="2" w:space="0" w:color="auto"/>
              <w:right w:val="single" w:sz="2" w:space="0" w:color="auto"/>
            </w:tcBorders>
          </w:tcPr>
          <w:p w14:paraId="1F9E8B65" w14:textId="77777777" w:rsidR="001A0130" w:rsidRPr="001A0130" w:rsidRDefault="001A0130" w:rsidP="001A0130">
            <w:pPr>
              <w:pStyle w:val="TableReference"/>
              <w:tabs>
                <w:tab w:val="left" w:pos="3306"/>
              </w:tabs>
              <w:spacing w:before="40"/>
              <w:rPr>
                <w:rFonts w:cs="Calibri"/>
                <w:color w:val="7030A0"/>
                <w:sz w:val="16"/>
                <w:szCs w:val="16"/>
              </w:rPr>
            </w:pPr>
          </w:p>
        </w:tc>
        <w:tc>
          <w:tcPr>
            <w:tcW w:w="4263" w:type="pct"/>
            <w:tcBorders>
              <w:left w:val="single" w:sz="2" w:space="0" w:color="auto"/>
            </w:tcBorders>
            <w:shd w:val="clear" w:color="auto" w:fill="7030A0"/>
          </w:tcPr>
          <w:p w14:paraId="205666A1" w14:textId="17CFA73E" w:rsidR="001A0130" w:rsidRPr="001A0130" w:rsidRDefault="001A0130" w:rsidP="001A0130">
            <w:pPr>
              <w:pStyle w:val="CommentaryHeading"/>
              <w:tabs>
                <w:tab w:val="left" w:pos="3306"/>
              </w:tabs>
              <w:spacing w:before="0" w:after="120"/>
              <w:jc w:val="both"/>
              <w:rPr>
                <w:rFonts w:cs="Calibri"/>
                <w:b w:val="0"/>
                <w:bCs w:val="0"/>
                <w:color w:val="FFFFFF" w:themeColor="background1"/>
                <w:sz w:val="18"/>
              </w:rPr>
            </w:pPr>
            <w:r w:rsidRPr="001A0130">
              <w:rPr>
                <w:rFonts w:cs="Calibri"/>
                <w:b w:val="0"/>
                <w:bCs w:val="0"/>
                <w:color w:val="FFFFFF" w:themeColor="background1"/>
                <w:sz w:val="18"/>
              </w:rPr>
              <w:t>Different investment options are provided by the Territory Banking Account to Agencies in order to meet the specific objectives of those agencies.</w:t>
            </w:r>
            <w:r w:rsidR="00FA7C77">
              <w:rPr>
                <w:rFonts w:cs="Calibri"/>
                <w:b w:val="0"/>
                <w:bCs w:val="0"/>
                <w:color w:val="FFFFFF" w:themeColor="background1"/>
                <w:sz w:val="18"/>
              </w:rPr>
              <w:t xml:space="preserve"> </w:t>
            </w:r>
          </w:p>
        </w:tc>
      </w:tr>
      <w:tr w:rsidR="001A0130" w:rsidRPr="00DD296A" w14:paraId="1E0776D1" w14:textId="77777777" w:rsidTr="005F5B4C">
        <w:trPr>
          <w:trHeight w:val="510"/>
        </w:trPr>
        <w:tc>
          <w:tcPr>
            <w:tcW w:w="737" w:type="pct"/>
            <w:tcBorders>
              <w:left w:val="single" w:sz="2" w:space="0" w:color="auto"/>
              <w:right w:val="single" w:sz="2" w:space="0" w:color="auto"/>
            </w:tcBorders>
          </w:tcPr>
          <w:p w14:paraId="1B01805E" w14:textId="77777777" w:rsidR="001A0130" w:rsidRPr="001A0130" w:rsidRDefault="001A0130" w:rsidP="001A0130">
            <w:pPr>
              <w:pStyle w:val="TableReference"/>
              <w:tabs>
                <w:tab w:val="left" w:pos="3306"/>
              </w:tabs>
              <w:spacing w:before="40"/>
              <w:rPr>
                <w:rFonts w:cs="Calibri"/>
                <w:color w:val="7030A0"/>
                <w:sz w:val="16"/>
                <w:szCs w:val="16"/>
              </w:rPr>
            </w:pPr>
          </w:p>
        </w:tc>
        <w:tc>
          <w:tcPr>
            <w:tcW w:w="4263" w:type="pct"/>
            <w:tcBorders>
              <w:left w:val="single" w:sz="2" w:space="0" w:color="auto"/>
            </w:tcBorders>
            <w:shd w:val="clear" w:color="auto" w:fill="7030A0"/>
          </w:tcPr>
          <w:p w14:paraId="3EB0C1CC" w14:textId="1651FC34" w:rsidR="001A0130" w:rsidRPr="001A0130" w:rsidRDefault="001A0130" w:rsidP="001A0130">
            <w:pPr>
              <w:pStyle w:val="CommentaryText"/>
              <w:tabs>
                <w:tab w:val="left" w:pos="3306"/>
              </w:tabs>
              <w:rPr>
                <w:rFonts w:cs="Calibri"/>
                <w:color w:val="FFFFFF" w:themeColor="background1"/>
                <w:sz w:val="18"/>
                <w:szCs w:val="18"/>
              </w:rPr>
            </w:pPr>
            <w:r w:rsidRPr="001A0130">
              <w:rPr>
                <w:rFonts w:cs="Calibri"/>
                <w:color w:val="FFFFFF" w:themeColor="background1"/>
                <w:sz w:val="18"/>
                <w:szCs w:val="18"/>
              </w:rPr>
              <w:t>Note that where an agency does not have any current or non-current investments, the investment part of this note disclosure is not required.</w:t>
            </w:r>
          </w:p>
        </w:tc>
      </w:tr>
      <w:tr w:rsidR="001A0130" w:rsidRPr="00DD296A" w14:paraId="12B78B78" w14:textId="77777777" w:rsidTr="005F5B4C">
        <w:trPr>
          <w:trHeight w:val="108"/>
        </w:trPr>
        <w:tc>
          <w:tcPr>
            <w:tcW w:w="737" w:type="pct"/>
            <w:tcBorders>
              <w:left w:val="single" w:sz="2" w:space="0" w:color="auto"/>
              <w:right w:val="single" w:sz="2" w:space="0" w:color="auto"/>
            </w:tcBorders>
          </w:tcPr>
          <w:p w14:paraId="36A7E3C9" w14:textId="77777777" w:rsidR="001A0130" w:rsidRPr="001A0130" w:rsidRDefault="001A0130" w:rsidP="001A0130">
            <w:pPr>
              <w:pStyle w:val="TableReference"/>
              <w:tabs>
                <w:tab w:val="left" w:pos="3306"/>
              </w:tabs>
              <w:spacing w:before="40"/>
              <w:rPr>
                <w:rFonts w:cs="Calibri"/>
                <w:color w:val="7030A0"/>
                <w:sz w:val="16"/>
                <w:szCs w:val="16"/>
              </w:rPr>
            </w:pPr>
          </w:p>
        </w:tc>
        <w:tc>
          <w:tcPr>
            <w:tcW w:w="4263" w:type="pct"/>
            <w:tcBorders>
              <w:left w:val="single" w:sz="2" w:space="0" w:color="auto"/>
            </w:tcBorders>
            <w:shd w:val="clear" w:color="auto" w:fill="7030A0"/>
          </w:tcPr>
          <w:p w14:paraId="61DA673D" w14:textId="331EE700" w:rsidR="001A0130" w:rsidRPr="00B81B19" w:rsidRDefault="001A0130" w:rsidP="001A0130">
            <w:pPr>
              <w:pStyle w:val="CommentaryText"/>
              <w:tabs>
                <w:tab w:val="left" w:pos="3306"/>
              </w:tabs>
              <w:spacing w:after="0"/>
              <w:rPr>
                <w:rFonts w:cs="Calibri"/>
                <w:b/>
                <w:bCs/>
                <w:color w:val="FFFFFF" w:themeColor="background1"/>
                <w:szCs w:val="20"/>
              </w:rPr>
            </w:pPr>
            <w:r w:rsidRPr="00B81B19">
              <w:rPr>
                <w:rFonts w:cs="Calibri"/>
                <w:b/>
                <w:bCs/>
                <w:color w:val="FFFFFF" w:themeColor="background1"/>
                <w:szCs w:val="20"/>
              </w:rPr>
              <w:t>Cash Flow Reconciliation</w:t>
            </w:r>
          </w:p>
        </w:tc>
      </w:tr>
      <w:tr w:rsidR="001A0130" w:rsidRPr="00DD296A" w14:paraId="3C236639" w14:textId="77777777" w:rsidTr="005F5B4C">
        <w:trPr>
          <w:trHeight w:val="510"/>
        </w:trPr>
        <w:tc>
          <w:tcPr>
            <w:tcW w:w="737" w:type="pct"/>
            <w:tcBorders>
              <w:left w:val="single" w:sz="2" w:space="0" w:color="auto"/>
              <w:right w:val="single" w:sz="2" w:space="0" w:color="auto"/>
            </w:tcBorders>
          </w:tcPr>
          <w:p w14:paraId="73D4EA74" w14:textId="77777777" w:rsidR="001A0130" w:rsidRPr="001A0130" w:rsidRDefault="001A0130" w:rsidP="001A0130">
            <w:pPr>
              <w:pStyle w:val="TableReference"/>
              <w:tabs>
                <w:tab w:val="left" w:pos="3306"/>
              </w:tabs>
              <w:spacing w:before="60"/>
              <w:rPr>
                <w:rFonts w:cs="Calibri"/>
                <w:color w:val="7030A0"/>
                <w:sz w:val="14"/>
              </w:rPr>
            </w:pPr>
            <w:r w:rsidRPr="001A0130">
              <w:rPr>
                <w:rFonts w:cs="Calibri"/>
                <w:color w:val="7030A0"/>
                <w:sz w:val="14"/>
              </w:rPr>
              <w:t>AASB 107.44A-44E</w:t>
            </w:r>
          </w:p>
          <w:p w14:paraId="5C1DB63C" w14:textId="77777777" w:rsidR="001A0130" w:rsidRPr="001A0130" w:rsidRDefault="001A0130" w:rsidP="001A0130">
            <w:pPr>
              <w:pStyle w:val="TableReference"/>
              <w:tabs>
                <w:tab w:val="left" w:pos="3306"/>
              </w:tabs>
              <w:spacing w:before="40"/>
              <w:rPr>
                <w:rFonts w:cs="Calibri"/>
                <w:color w:val="7030A0"/>
                <w:sz w:val="16"/>
                <w:szCs w:val="16"/>
              </w:rPr>
            </w:pPr>
          </w:p>
        </w:tc>
        <w:tc>
          <w:tcPr>
            <w:tcW w:w="4263" w:type="pct"/>
            <w:tcBorders>
              <w:left w:val="single" w:sz="2" w:space="0" w:color="auto"/>
            </w:tcBorders>
            <w:shd w:val="clear" w:color="auto" w:fill="7030A0"/>
          </w:tcPr>
          <w:p w14:paraId="7AE4F1F6" w14:textId="50552830" w:rsidR="001A0130" w:rsidRPr="001A0130" w:rsidRDefault="001A0130" w:rsidP="001A0130">
            <w:pPr>
              <w:pStyle w:val="CommentaryText"/>
              <w:tabs>
                <w:tab w:val="left" w:pos="3306"/>
              </w:tabs>
              <w:rPr>
                <w:rFonts w:cs="Calibri"/>
                <w:color w:val="FFFFFF" w:themeColor="background1"/>
                <w:sz w:val="18"/>
                <w:szCs w:val="18"/>
              </w:rPr>
            </w:pPr>
            <w:r w:rsidRPr="001A0130">
              <w:rPr>
                <w:rFonts w:cs="Calibri"/>
                <w:color w:val="FFFFFF" w:themeColor="background1"/>
                <w:sz w:val="18"/>
                <w:szCs w:val="18"/>
              </w:rPr>
              <w:t>Agencies preparing financial statements are required to provide disclosures that enable users of financial statements to evaluate changes in liabilities arising from financing activities, including both changes arising from cash flows and non-cash changes.</w:t>
            </w:r>
            <w:r w:rsidR="00FA7C77">
              <w:rPr>
                <w:rFonts w:cs="Calibri"/>
                <w:color w:val="FFFFFF" w:themeColor="background1"/>
                <w:sz w:val="18"/>
                <w:szCs w:val="18"/>
              </w:rPr>
              <w:t xml:space="preserve"> </w:t>
            </w:r>
            <w:r w:rsidRPr="001A0130">
              <w:rPr>
                <w:rFonts w:cs="Calibri"/>
                <w:color w:val="FFFFFF" w:themeColor="background1"/>
                <w:sz w:val="18"/>
                <w:szCs w:val="18"/>
              </w:rPr>
              <w:t>Where relevant, agencies should include these additional disclosures in its financial statements i.e. a reconciliation of the opening and closing balance of liabilities arising from financing activities.</w:t>
            </w:r>
            <w:r w:rsidRPr="0009580B">
              <w:rPr>
                <w:rFonts w:cs="Calibri"/>
                <w:color w:val="FFFFFF" w:themeColor="background1"/>
                <w:sz w:val="18"/>
                <w:szCs w:val="18"/>
              </w:rPr>
              <w:t xml:space="preserve"> </w:t>
            </w:r>
          </w:p>
        </w:tc>
      </w:tr>
      <w:tr w:rsidR="000144FF" w:rsidRPr="00CF7E1B" w14:paraId="1FE2654F" w14:textId="77777777" w:rsidTr="005F5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hRule="exact" w:val="762"/>
        </w:trPr>
        <w:tc>
          <w:tcPr>
            <w:tcW w:w="737" w:type="pct"/>
            <w:tcBorders>
              <w:top w:val="nil"/>
              <w:left w:val="single" w:sz="2" w:space="0" w:color="auto"/>
              <w:bottom w:val="nil"/>
              <w:right w:val="single" w:sz="2" w:space="0" w:color="auto"/>
            </w:tcBorders>
          </w:tcPr>
          <w:p w14:paraId="433BF461" w14:textId="7AA2B4D7" w:rsidR="000144FF" w:rsidRPr="007E70BB" w:rsidRDefault="000144FF" w:rsidP="00CA5AA0">
            <w:pPr>
              <w:pStyle w:val="TableReference"/>
              <w:tabs>
                <w:tab w:val="left" w:pos="3306"/>
              </w:tabs>
              <w:spacing w:before="240" w:after="240"/>
              <w:rPr>
                <w:rFonts w:cs="Calibri"/>
                <w:b/>
                <w:color w:val="7030A0"/>
                <w:sz w:val="22"/>
                <w:szCs w:val="22"/>
              </w:rPr>
            </w:pPr>
            <w:bookmarkStart w:id="490" w:name="Receivables" w:colFirst="1" w:colLast="1"/>
          </w:p>
        </w:tc>
        <w:tc>
          <w:tcPr>
            <w:tcW w:w="4263" w:type="pct"/>
            <w:tcBorders>
              <w:top w:val="nil"/>
              <w:left w:val="single" w:sz="2" w:space="0" w:color="auto"/>
              <w:bottom w:val="nil"/>
              <w:right w:val="nil"/>
            </w:tcBorders>
          </w:tcPr>
          <w:p w14:paraId="6E1B1430" w14:textId="34269F50" w:rsidR="000144FF" w:rsidRPr="00117BAF" w:rsidRDefault="00F73636" w:rsidP="00CA5AA0">
            <w:pPr>
              <w:pStyle w:val="Heading1"/>
              <w:numPr>
                <w:ilvl w:val="0"/>
                <w:numId w:val="0"/>
              </w:numPr>
            </w:pPr>
            <w:bookmarkStart w:id="491" w:name="_Toc49224059"/>
            <w:bookmarkStart w:id="492" w:name="_Ref50365542"/>
            <w:bookmarkStart w:id="493" w:name="_Toc50440368"/>
            <w:bookmarkStart w:id="494" w:name="_Ref50524086"/>
            <w:bookmarkStart w:id="495" w:name="_Toc400627340"/>
            <w:bookmarkStart w:id="496" w:name="_Toc98763107"/>
            <w:r w:rsidRPr="00117BAF">
              <w:t xml:space="preserve">Note </w:t>
            </w:r>
            <w:r w:rsidR="001C1B00" w:rsidRPr="00117BAF">
              <w:t>1</w:t>
            </w:r>
            <w:r w:rsidR="008B29B3" w:rsidRPr="00117BAF">
              <w:t>6</w:t>
            </w:r>
            <w:r w:rsidR="0005718D" w:rsidRPr="00117BAF">
              <w:t>.</w:t>
            </w:r>
            <w:r w:rsidR="00FA7C77">
              <w:t xml:space="preserve"> </w:t>
            </w:r>
            <w:r w:rsidR="00DD5BF8" w:rsidRPr="00117BAF">
              <w:t xml:space="preserve"> </w:t>
            </w:r>
            <w:r w:rsidR="000144FF" w:rsidRPr="00117BAF">
              <w:t>Receivables</w:t>
            </w:r>
            <w:bookmarkEnd w:id="491"/>
            <w:bookmarkEnd w:id="492"/>
            <w:bookmarkEnd w:id="493"/>
            <w:bookmarkEnd w:id="494"/>
            <w:bookmarkEnd w:id="495"/>
            <w:r w:rsidR="00B9734C" w:rsidRPr="00117BAF">
              <w:t xml:space="preserve"> and Contract Assets</w:t>
            </w:r>
            <w:bookmarkEnd w:id="496"/>
          </w:p>
        </w:tc>
      </w:tr>
      <w:tr w:rsidR="0022649D" w:rsidRPr="00CF7E1B" w14:paraId="5EDA891B" w14:textId="77777777" w:rsidTr="005F5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hRule="exact" w:val="281"/>
        </w:trPr>
        <w:tc>
          <w:tcPr>
            <w:tcW w:w="737" w:type="pct"/>
            <w:tcBorders>
              <w:top w:val="nil"/>
              <w:left w:val="single" w:sz="2" w:space="0" w:color="auto"/>
              <w:bottom w:val="nil"/>
              <w:right w:val="single" w:sz="2" w:space="0" w:color="auto"/>
            </w:tcBorders>
          </w:tcPr>
          <w:p w14:paraId="04101646" w14:textId="77777777" w:rsidR="0022649D" w:rsidRPr="007E70BB" w:rsidRDefault="0022649D" w:rsidP="00B471E0">
            <w:pPr>
              <w:pStyle w:val="TableReference"/>
              <w:tabs>
                <w:tab w:val="left" w:pos="3306"/>
              </w:tabs>
              <w:rPr>
                <w:rFonts w:cs="Calibri"/>
                <w:b/>
                <w:color w:val="7030A0"/>
                <w:sz w:val="20"/>
                <w:szCs w:val="20"/>
              </w:rPr>
            </w:pPr>
          </w:p>
        </w:tc>
        <w:tc>
          <w:tcPr>
            <w:tcW w:w="4263" w:type="pct"/>
            <w:tcBorders>
              <w:top w:val="nil"/>
              <w:left w:val="single" w:sz="2" w:space="0" w:color="auto"/>
              <w:bottom w:val="nil"/>
              <w:right w:val="nil"/>
            </w:tcBorders>
          </w:tcPr>
          <w:p w14:paraId="7833308D" w14:textId="6B25C5E0" w:rsidR="0022649D" w:rsidRPr="00117BAF" w:rsidRDefault="00A56E8F" w:rsidP="00B471E0">
            <w:pPr>
              <w:pStyle w:val="Heading1"/>
              <w:numPr>
                <w:ilvl w:val="0"/>
                <w:numId w:val="0"/>
              </w:numPr>
              <w:spacing w:before="0" w:after="0"/>
              <w:rPr>
                <w:rFonts w:ascii="Calibri" w:hAnsi="Calibri"/>
                <w:caps w:val="0"/>
                <w:sz w:val="18"/>
                <w:szCs w:val="18"/>
              </w:rPr>
            </w:pPr>
            <w:bookmarkStart w:id="497" w:name="_Toc98763108"/>
            <w:r w:rsidRPr="00117BAF">
              <w:rPr>
                <w:rFonts w:ascii="Calibri" w:hAnsi="Calibri"/>
                <w:caps w:val="0"/>
                <w:sz w:val="18"/>
                <w:szCs w:val="18"/>
              </w:rPr>
              <w:t xml:space="preserve">Description and </w:t>
            </w:r>
            <w:r w:rsidR="00E9511E" w:rsidRPr="00117BAF">
              <w:rPr>
                <w:rFonts w:ascii="Calibri" w:hAnsi="Calibri"/>
                <w:caps w:val="0"/>
                <w:sz w:val="18"/>
                <w:szCs w:val="18"/>
              </w:rPr>
              <w:t xml:space="preserve">Material Accounting Policies Relating to </w:t>
            </w:r>
            <w:r w:rsidR="001E4E9E" w:rsidRPr="00117BAF">
              <w:rPr>
                <w:rFonts w:ascii="Calibri" w:hAnsi="Calibri"/>
                <w:caps w:val="0"/>
                <w:sz w:val="18"/>
                <w:szCs w:val="18"/>
              </w:rPr>
              <w:t>Receivables</w:t>
            </w:r>
            <w:r w:rsidR="00952428" w:rsidRPr="00117BAF">
              <w:rPr>
                <w:rFonts w:ascii="Calibri" w:hAnsi="Calibri"/>
                <w:caps w:val="0"/>
                <w:sz w:val="18"/>
                <w:szCs w:val="18"/>
              </w:rPr>
              <w:t xml:space="preserve"> </w:t>
            </w:r>
            <w:r w:rsidR="000938D6" w:rsidRPr="00117BAF">
              <w:rPr>
                <w:rFonts w:ascii="Calibri" w:hAnsi="Calibri"/>
                <w:caps w:val="0"/>
                <w:sz w:val="18"/>
                <w:szCs w:val="18"/>
              </w:rPr>
              <w:t>and Contract Assets</w:t>
            </w:r>
            <w:bookmarkEnd w:id="497"/>
          </w:p>
        </w:tc>
      </w:tr>
      <w:tr w:rsidR="0022649D" w:rsidRPr="00CF7E1B" w14:paraId="34D600A7" w14:textId="77777777" w:rsidTr="005F5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hRule="exact" w:val="371"/>
        </w:trPr>
        <w:tc>
          <w:tcPr>
            <w:tcW w:w="737" w:type="pct"/>
            <w:tcBorders>
              <w:top w:val="nil"/>
              <w:left w:val="single" w:sz="2" w:space="0" w:color="auto"/>
              <w:bottom w:val="nil"/>
              <w:right w:val="single" w:sz="2" w:space="0" w:color="auto"/>
            </w:tcBorders>
          </w:tcPr>
          <w:p w14:paraId="70AFDCC4" w14:textId="77777777" w:rsidR="0022649D" w:rsidRPr="007E70BB" w:rsidRDefault="0022649D" w:rsidP="00CA5AA0">
            <w:pPr>
              <w:pStyle w:val="TableReference"/>
              <w:tabs>
                <w:tab w:val="left" w:pos="3306"/>
              </w:tabs>
              <w:spacing w:before="240" w:after="240"/>
              <w:rPr>
                <w:rFonts w:cs="Calibri"/>
                <w:b/>
                <w:color w:val="7030A0"/>
                <w:sz w:val="20"/>
                <w:szCs w:val="20"/>
              </w:rPr>
            </w:pPr>
          </w:p>
        </w:tc>
        <w:tc>
          <w:tcPr>
            <w:tcW w:w="4263" w:type="pct"/>
            <w:tcBorders>
              <w:top w:val="nil"/>
              <w:left w:val="single" w:sz="2" w:space="0" w:color="auto"/>
              <w:bottom w:val="nil"/>
              <w:right w:val="nil"/>
            </w:tcBorders>
          </w:tcPr>
          <w:p w14:paraId="25B53C46" w14:textId="1E686A0A" w:rsidR="0022649D" w:rsidRPr="00117BAF" w:rsidRDefault="0022649D" w:rsidP="00B471E0">
            <w:pPr>
              <w:pStyle w:val="Appxhead3"/>
              <w:spacing w:before="60"/>
              <w:rPr>
                <w:rFonts w:ascii="Calibri" w:hAnsi="Calibri" w:cs="Calibri"/>
                <w:b w:val="0"/>
                <w:i/>
                <w:iCs/>
                <w:smallCaps w:val="0"/>
                <w:sz w:val="18"/>
                <w:szCs w:val="18"/>
              </w:rPr>
            </w:pPr>
            <w:r w:rsidRPr="00117BAF">
              <w:rPr>
                <w:rFonts w:ascii="Calibri" w:hAnsi="Calibri" w:cs="Calibri"/>
                <w:b w:val="0"/>
                <w:i/>
                <w:iCs/>
                <w:smallCaps w:val="0"/>
                <w:sz w:val="18"/>
                <w:szCs w:val="18"/>
              </w:rPr>
              <w:t>Accounts Receivables</w:t>
            </w:r>
          </w:p>
        </w:tc>
      </w:tr>
      <w:tr w:rsidR="0022649D" w:rsidRPr="00CF7E1B" w14:paraId="144734CA" w14:textId="77777777" w:rsidTr="005F5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hRule="exact" w:val="945"/>
        </w:trPr>
        <w:tc>
          <w:tcPr>
            <w:tcW w:w="737" w:type="pct"/>
            <w:tcBorders>
              <w:top w:val="nil"/>
              <w:left w:val="single" w:sz="2" w:space="0" w:color="auto"/>
              <w:bottom w:val="nil"/>
              <w:right w:val="single" w:sz="2" w:space="0" w:color="auto"/>
            </w:tcBorders>
          </w:tcPr>
          <w:p w14:paraId="48DDAA5B" w14:textId="521C960E" w:rsidR="0022649D" w:rsidRPr="007E70BB" w:rsidRDefault="0022649D" w:rsidP="0022649D">
            <w:pPr>
              <w:pStyle w:val="TableReference"/>
              <w:tabs>
                <w:tab w:val="left" w:pos="3306"/>
              </w:tabs>
              <w:spacing w:before="40"/>
              <w:rPr>
                <w:rFonts w:cs="Calibri"/>
                <w:b/>
                <w:color w:val="7030A0"/>
                <w:sz w:val="14"/>
              </w:rPr>
            </w:pPr>
            <w:r w:rsidRPr="007E70BB">
              <w:rPr>
                <w:color w:val="7030A0"/>
                <w:sz w:val="14"/>
              </w:rPr>
              <w:t>AASB 7.21</w:t>
            </w:r>
          </w:p>
        </w:tc>
        <w:tc>
          <w:tcPr>
            <w:tcW w:w="4263" w:type="pct"/>
            <w:tcBorders>
              <w:top w:val="nil"/>
              <w:left w:val="single" w:sz="2" w:space="0" w:color="auto"/>
              <w:bottom w:val="nil"/>
              <w:right w:val="nil"/>
            </w:tcBorders>
          </w:tcPr>
          <w:p w14:paraId="7ADD3BAC" w14:textId="35F4AF87" w:rsidR="0022649D" w:rsidRPr="00117BAF" w:rsidRDefault="0022649D" w:rsidP="0022649D">
            <w:pPr>
              <w:jc w:val="both"/>
              <w:rPr>
                <w:rFonts w:cs="Calibri"/>
                <w:sz w:val="18"/>
                <w:szCs w:val="18"/>
              </w:rPr>
            </w:pPr>
            <w:r w:rsidRPr="00117BAF">
              <w:rPr>
                <w:rFonts w:cs="Calibri"/>
                <w:sz w:val="18"/>
                <w:szCs w:val="18"/>
              </w:rPr>
              <w:t>Accounts receivable (including trade receivables and other trade receivables) are measured at amortised cost, with any adjustments to the carrying amount being recorded in the Operating Statement</w:t>
            </w:r>
            <w:r w:rsidR="00596754" w:rsidRPr="00117BAF">
              <w:rPr>
                <w:rFonts w:cs="Calibri"/>
                <w:sz w:val="18"/>
                <w:szCs w:val="18"/>
              </w:rPr>
              <w:t>.</w:t>
            </w:r>
            <w:r w:rsidR="00FA7C77">
              <w:rPr>
                <w:rFonts w:cs="Calibri"/>
                <w:sz w:val="18"/>
                <w:szCs w:val="18"/>
              </w:rPr>
              <w:t xml:space="preserve"> </w:t>
            </w:r>
            <w:r w:rsidR="0032522E" w:rsidRPr="00117BAF">
              <w:rPr>
                <w:rFonts w:cs="Calibri"/>
                <w:sz w:val="18"/>
                <w:szCs w:val="18"/>
              </w:rPr>
              <w:t xml:space="preserve">Receivables relating to the </w:t>
            </w:r>
            <w:r w:rsidR="00956745" w:rsidRPr="00117BAF">
              <w:rPr>
                <w:rFonts w:cs="Calibri"/>
                <w:sz w:val="18"/>
                <w:szCs w:val="18"/>
              </w:rPr>
              <w:t>S</w:t>
            </w:r>
            <w:r w:rsidR="0032522E" w:rsidRPr="00117BAF">
              <w:rPr>
                <w:rFonts w:cs="Calibri"/>
                <w:sz w:val="18"/>
                <w:szCs w:val="18"/>
              </w:rPr>
              <w:t xml:space="preserve">ale of Goods and Services from </w:t>
            </w:r>
            <w:r w:rsidR="00956745" w:rsidRPr="00117BAF">
              <w:rPr>
                <w:rFonts w:cs="Calibri"/>
                <w:sz w:val="18"/>
                <w:szCs w:val="18"/>
              </w:rPr>
              <w:t>C</w:t>
            </w:r>
            <w:r w:rsidR="0032522E" w:rsidRPr="00117BAF">
              <w:rPr>
                <w:rFonts w:cs="Calibri"/>
                <w:sz w:val="18"/>
                <w:szCs w:val="18"/>
              </w:rPr>
              <w:t xml:space="preserve">ontracts with </w:t>
            </w:r>
            <w:r w:rsidR="00956745" w:rsidRPr="00117BAF">
              <w:rPr>
                <w:rFonts w:cs="Calibri"/>
                <w:sz w:val="18"/>
                <w:szCs w:val="18"/>
              </w:rPr>
              <w:t>C</w:t>
            </w:r>
            <w:r w:rsidR="0032522E" w:rsidRPr="00117BAF">
              <w:rPr>
                <w:rFonts w:cs="Calibri"/>
                <w:sz w:val="18"/>
                <w:szCs w:val="18"/>
              </w:rPr>
              <w:t>ustomers are recognised when invoiced, as this is the point in time that the consideration is unconditional because only the passage of time is required before the payment.</w:t>
            </w:r>
          </w:p>
        </w:tc>
      </w:tr>
      <w:tr w:rsidR="0022649D" w:rsidRPr="00CF7E1B" w14:paraId="3AF614C9" w14:textId="77777777" w:rsidTr="005F5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hRule="exact" w:val="282"/>
        </w:trPr>
        <w:tc>
          <w:tcPr>
            <w:tcW w:w="737" w:type="pct"/>
            <w:tcBorders>
              <w:top w:val="nil"/>
              <w:left w:val="single" w:sz="2" w:space="0" w:color="auto"/>
              <w:bottom w:val="nil"/>
              <w:right w:val="single" w:sz="2" w:space="0" w:color="auto"/>
            </w:tcBorders>
          </w:tcPr>
          <w:p w14:paraId="47F87AC4" w14:textId="77777777" w:rsidR="0022649D" w:rsidRPr="007E70BB" w:rsidRDefault="0022649D" w:rsidP="00E9511E">
            <w:pPr>
              <w:pStyle w:val="TableReference"/>
              <w:tabs>
                <w:tab w:val="left" w:pos="3306"/>
              </w:tabs>
              <w:rPr>
                <w:rFonts w:cs="Calibri"/>
                <w:b/>
                <w:color w:val="7030A0"/>
                <w:sz w:val="20"/>
                <w:szCs w:val="20"/>
              </w:rPr>
            </w:pPr>
          </w:p>
        </w:tc>
        <w:tc>
          <w:tcPr>
            <w:tcW w:w="4263" w:type="pct"/>
            <w:tcBorders>
              <w:top w:val="nil"/>
              <w:left w:val="single" w:sz="2" w:space="0" w:color="auto"/>
              <w:bottom w:val="nil"/>
              <w:right w:val="nil"/>
            </w:tcBorders>
          </w:tcPr>
          <w:p w14:paraId="228A9EAD" w14:textId="7615B17F" w:rsidR="0022649D" w:rsidRPr="00117BAF" w:rsidRDefault="0022649D" w:rsidP="00D82863">
            <w:pPr>
              <w:pStyle w:val="Appxhead3"/>
              <w:spacing w:before="60" w:after="0"/>
              <w:jc w:val="both"/>
              <w:rPr>
                <w:rFonts w:ascii="Calibri" w:hAnsi="Calibri" w:cs="Calibri"/>
                <w:b w:val="0"/>
                <w:i/>
                <w:iCs/>
                <w:smallCaps w:val="0"/>
                <w:sz w:val="18"/>
                <w:szCs w:val="18"/>
              </w:rPr>
            </w:pPr>
            <w:r w:rsidRPr="00117BAF">
              <w:rPr>
                <w:rFonts w:ascii="Calibri" w:hAnsi="Calibri" w:cs="Calibri"/>
                <w:b w:val="0"/>
                <w:i/>
                <w:iCs/>
                <w:smallCaps w:val="0"/>
                <w:sz w:val="18"/>
                <w:szCs w:val="18"/>
              </w:rPr>
              <w:t xml:space="preserve">Impairment loss – </w:t>
            </w:r>
            <w:r w:rsidR="00814D82" w:rsidRPr="00117BAF">
              <w:rPr>
                <w:rFonts w:ascii="Calibri" w:hAnsi="Calibri" w:cs="Calibri"/>
                <w:b w:val="0"/>
                <w:i/>
                <w:iCs/>
                <w:smallCaps w:val="0"/>
                <w:sz w:val="18"/>
                <w:szCs w:val="18"/>
              </w:rPr>
              <w:t xml:space="preserve">Accounts </w:t>
            </w:r>
            <w:r w:rsidRPr="00117BAF">
              <w:rPr>
                <w:rFonts w:ascii="Calibri" w:hAnsi="Calibri" w:cs="Calibri"/>
                <w:b w:val="0"/>
                <w:i/>
                <w:iCs/>
                <w:smallCaps w:val="0"/>
                <w:sz w:val="18"/>
                <w:szCs w:val="18"/>
              </w:rPr>
              <w:t xml:space="preserve">Receivables </w:t>
            </w:r>
          </w:p>
        </w:tc>
      </w:tr>
      <w:tr w:rsidR="0022649D" w:rsidRPr="00CF7E1B" w14:paraId="7409A8BB" w14:textId="77777777" w:rsidTr="005F5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hRule="exact" w:val="1841"/>
        </w:trPr>
        <w:tc>
          <w:tcPr>
            <w:tcW w:w="737" w:type="pct"/>
            <w:tcBorders>
              <w:top w:val="nil"/>
              <w:left w:val="single" w:sz="2" w:space="0" w:color="auto"/>
              <w:bottom w:val="nil"/>
              <w:right w:val="single" w:sz="2" w:space="0" w:color="auto"/>
            </w:tcBorders>
          </w:tcPr>
          <w:p w14:paraId="6574DB1E" w14:textId="0FC5308D" w:rsidR="00E9511E" w:rsidRPr="007E70BB" w:rsidRDefault="00956745" w:rsidP="00956745">
            <w:pPr>
              <w:pStyle w:val="TableReference"/>
              <w:tabs>
                <w:tab w:val="left" w:pos="3306"/>
              </w:tabs>
              <w:spacing w:before="40"/>
              <w:rPr>
                <w:color w:val="7030A0"/>
                <w:sz w:val="14"/>
              </w:rPr>
            </w:pPr>
            <w:r w:rsidRPr="007E70BB">
              <w:rPr>
                <w:color w:val="7030A0"/>
                <w:sz w:val="14"/>
              </w:rPr>
              <w:t>ASB 9.5.5.17</w:t>
            </w:r>
          </w:p>
          <w:p w14:paraId="5A5EE804" w14:textId="77777777" w:rsidR="00E9511E" w:rsidRPr="007E70BB" w:rsidRDefault="00E9511E" w:rsidP="00CA5AA0">
            <w:pPr>
              <w:pStyle w:val="TableReference"/>
              <w:tabs>
                <w:tab w:val="left" w:pos="3306"/>
              </w:tabs>
              <w:spacing w:before="240" w:after="240"/>
              <w:rPr>
                <w:color w:val="7030A0"/>
              </w:rPr>
            </w:pPr>
          </w:p>
          <w:p w14:paraId="0DC1A7F0" w14:textId="77777777" w:rsidR="00E9511E" w:rsidRPr="007E70BB" w:rsidRDefault="00E9511E" w:rsidP="00CA5AA0">
            <w:pPr>
              <w:pStyle w:val="TableReference"/>
              <w:tabs>
                <w:tab w:val="left" w:pos="3306"/>
              </w:tabs>
              <w:spacing w:before="240" w:after="240"/>
              <w:rPr>
                <w:color w:val="7030A0"/>
              </w:rPr>
            </w:pPr>
          </w:p>
          <w:p w14:paraId="11D4BE8A" w14:textId="77777777" w:rsidR="00E9511E" w:rsidRPr="007E70BB" w:rsidRDefault="00E9511E" w:rsidP="00CA5AA0">
            <w:pPr>
              <w:pStyle w:val="TableReference"/>
              <w:tabs>
                <w:tab w:val="left" w:pos="3306"/>
              </w:tabs>
              <w:spacing w:before="240" w:after="240"/>
              <w:rPr>
                <w:color w:val="7030A0"/>
              </w:rPr>
            </w:pPr>
          </w:p>
          <w:p w14:paraId="3D21DB89" w14:textId="77777777" w:rsidR="00E9511E" w:rsidRPr="007E70BB" w:rsidRDefault="00E9511E" w:rsidP="00CA5AA0">
            <w:pPr>
              <w:pStyle w:val="TableReference"/>
              <w:tabs>
                <w:tab w:val="left" w:pos="3306"/>
              </w:tabs>
              <w:spacing w:before="240" w:after="240"/>
              <w:rPr>
                <w:color w:val="7030A0"/>
              </w:rPr>
            </w:pPr>
          </w:p>
          <w:p w14:paraId="4AF7847C" w14:textId="77777777" w:rsidR="00E9511E" w:rsidRPr="007E70BB" w:rsidRDefault="00E9511E" w:rsidP="00CA5AA0">
            <w:pPr>
              <w:pStyle w:val="TableReference"/>
              <w:tabs>
                <w:tab w:val="left" w:pos="3306"/>
              </w:tabs>
              <w:spacing w:before="240" w:after="240"/>
              <w:rPr>
                <w:color w:val="7030A0"/>
              </w:rPr>
            </w:pPr>
          </w:p>
          <w:p w14:paraId="36B8191E" w14:textId="77777777" w:rsidR="00E9511E" w:rsidRPr="007E70BB" w:rsidRDefault="00E9511E" w:rsidP="00CA5AA0">
            <w:pPr>
              <w:pStyle w:val="TableReference"/>
              <w:tabs>
                <w:tab w:val="left" w:pos="3306"/>
              </w:tabs>
              <w:spacing w:before="240" w:after="240"/>
              <w:rPr>
                <w:color w:val="7030A0"/>
              </w:rPr>
            </w:pPr>
          </w:p>
          <w:p w14:paraId="229249F6" w14:textId="5B3A30C0" w:rsidR="0022649D" w:rsidRPr="007E70BB" w:rsidRDefault="0022649D" w:rsidP="00CA5AA0">
            <w:pPr>
              <w:pStyle w:val="TableReference"/>
              <w:tabs>
                <w:tab w:val="left" w:pos="3306"/>
              </w:tabs>
              <w:spacing w:before="240" w:after="240"/>
              <w:rPr>
                <w:rFonts w:cs="Calibri"/>
                <w:b/>
                <w:color w:val="7030A0"/>
                <w:sz w:val="14"/>
              </w:rPr>
            </w:pPr>
          </w:p>
        </w:tc>
        <w:tc>
          <w:tcPr>
            <w:tcW w:w="4263" w:type="pct"/>
            <w:tcBorders>
              <w:top w:val="nil"/>
              <w:left w:val="single" w:sz="2" w:space="0" w:color="auto"/>
              <w:bottom w:val="nil"/>
              <w:right w:val="nil"/>
            </w:tcBorders>
          </w:tcPr>
          <w:p w14:paraId="2E6DC8AF" w14:textId="707BB1CA" w:rsidR="0022649D" w:rsidRPr="00117BAF" w:rsidRDefault="0022649D" w:rsidP="00956745">
            <w:pPr>
              <w:spacing w:after="40"/>
              <w:jc w:val="both"/>
              <w:rPr>
                <w:sz w:val="18"/>
                <w:szCs w:val="18"/>
              </w:rPr>
            </w:pPr>
            <w:r w:rsidRPr="00117BAF">
              <w:rPr>
                <w:sz w:val="18"/>
                <w:szCs w:val="18"/>
              </w:rPr>
              <w:t>The allowance for expected credit losses represents the amount of trade receivables and other trade receivables the Agency estimates will not be repaid.</w:t>
            </w:r>
            <w:r w:rsidR="00FA7C77">
              <w:rPr>
                <w:sz w:val="18"/>
                <w:szCs w:val="18"/>
              </w:rPr>
              <w:t xml:space="preserve"> </w:t>
            </w:r>
            <w:r w:rsidRPr="00117BAF">
              <w:rPr>
                <w:sz w:val="18"/>
                <w:szCs w:val="18"/>
              </w:rPr>
              <w:t xml:space="preserve">The allowance for impairment losses is based on objective evidence and a review of overdue balances. An entity shall measure expected credit losses of a financial instrument in a way that reflects: </w:t>
            </w:r>
          </w:p>
          <w:p w14:paraId="44B8BDA9" w14:textId="77777777" w:rsidR="0022649D" w:rsidRPr="00117BAF" w:rsidRDefault="0022649D" w:rsidP="00956745">
            <w:pPr>
              <w:spacing w:after="40"/>
              <w:ind w:left="284" w:hanging="284"/>
              <w:jc w:val="both"/>
              <w:rPr>
                <w:sz w:val="18"/>
                <w:szCs w:val="18"/>
              </w:rPr>
            </w:pPr>
            <w:r w:rsidRPr="00117BAF">
              <w:rPr>
                <w:sz w:val="18"/>
                <w:szCs w:val="18"/>
              </w:rPr>
              <w:t xml:space="preserve">(a) an unbiased and probability-weighted amount that is determined by evaluating a range of possible outcomes; </w:t>
            </w:r>
          </w:p>
          <w:p w14:paraId="7E50DF4C" w14:textId="77777777" w:rsidR="0022649D" w:rsidRPr="00117BAF" w:rsidRDefault="0022649D" w:rsidP="00956745">
            <w:pPr>
              <w:spacing w:after="40"/>
              <w:jc w:val="both"/>
              <w:rPr>
                <w:sz w:val="18"/>
                <w:szCs w:val="18"/>
              </w:rPr>
            </w:pPr>
            <w:r w:rsidRPr="00117BAF">
              <w:rPr>
                <w:sz w:val="18"/>
                <w:szCs w:val="18"/>
              </w:rPr>
              <w:t xml:space="preserve">(b) the time value of money; and </w:t>
            </w:r>
          </w:p>
          <w:p w14:paraId="612C1AB6" w14:textId="5CF9BD52" w:rsidR="0022649D" w:rsidRPr="00117BAF" w:rsidRDefault="0022649D" w:rsidP="00532899">
            <w:pPr>
              <w:spacing w:after="120"/>
              <w:ind w:left="284" w:hanging="284"/>
              <w:jc w:val="both"/>
              <w:rPr>
                <w:sz w:val="18"/>
                <w:szCs w:val="18"/>
              </w:rPr>
            </w:pPr>
            <w:r w:rsidRPr="00117BAF">
              <w:rPr>
                <w:sz w:val="18"/>
                <w:szCs w:val="18"/>
              </w:rPr>
              <w:t xml:space="preserve">(c) reasonable and supportable information that is available without undue cost or effort at the reporting date about past events, current conditions and forecasts of future economic conditions </w:t>
            </w:r>
          </w:p>
        </w:tc>
      </w:tr>
      <w:tr w:rsidR="00532899" w:rsidRPr="00CF7E1B" w14:paraId="345E23F8" w14:textId="77777777" w:rsidTr="005F5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hRule="exact" w:val="1034"/>
        </w:trPr>
        <w:tc>
          <w:tcPr>
            <w:tcW w:w="737" w:type="pct"/>
            <w:tcBorders>
              <w:top w:val="nil"/>
              <w:left w:val="single" w:sz="2" w:space="0" w:color="auto"/>
              <w:bottom w:val="nil"/>
              <w:right w:val="single" w:sz="2" w:space="0" w:color="auto"/>
            </w:tcBorders>
          </w:tcPr>
          <w:p w14:paraId="4F42C7EE" w14:textId="39E68794" w:rsidR="00532899" w:rsidRPr="007E70BB" w:rsidRDefault="00532899" w:rsidP="00CA5AA0">
            <w:pPr>
              <w:pStyle w:val="TableReference"/>
              <w:tabs>
                <w:tab w:val="left" w:pos="3306"/>
              </w:tabs>
              <w:spacing w:before="240" w:after="240"/>
              <w:rPr>
                <w:color w:val="7030A0"/>
              </w:rPr>
            </w:pPr>
          </w:p>
        </w:tc>
        <w:tc>
          <w:tcPr>
            <w:tcW w:w="4263" w:type="pct"/>
            <w:tcBorders>
              <w:top w:val="nil"/>
              <w:left w:val="single" w:sz="2" w:space="0" w:color="auto"/>
              <w:bottom w:val="nil"/>
              <w:right w:val="nil"/>
            </w:tcBorders>
          </w:tcPr>
          <w:p w14:paraId="4FFCE807" w14:textId="18854F00" w:rsidR="00532899" w:rsidRPr="00117BAF" w:rsidRDefault="00532899" w:rsidP="0022649D">
            <w:pPr>
              <w:jc w:val="both"/>
              <w:rPr>
                <w:sz w:val="18"/>
                <w:szCs w:val="18"/>
              </w:rPr>
            </w:pPr>
            <w:r w:rsidRPr="00117BAF">
              <w:rPr>
                <w:sz w:val="18"/>
                <w:szCs w:val="18"/>
              </w:rPr>
              <w:t xml:space="preserve">The amount of the expected credit loss is recognised in the Operating Statement (see Note </w:t>
            </w:r>
            <w:r w:rsidR="008B29B3" w:rsidRPr="00117BAF">
              <w:rPr>
                <w:sz w:val="18"/>
                <w:szCs w:val="18"/>
              </w:rPr>
              <w:t xml:space="preserve">14 </w:t>
            </w:r>
            <w:r w:rsidR="00DC779A" w:rsidRPr="00117BAF">
              <w:rPr>
                <w:i/>
                <w:iCs/>
                <w:sz w:val="18"/>
                <w:szCs w:val="18"/>
              </w:rPr>
              <w:t>Other Expenses</w:t>
            </w:r>
            <w:r w:rsidRPr="00117BAF">
              <w:rPr>
                <w:sz w:val="18"/>
                <w:szCs w:val="18"/>
              </w:rPr>
              <w:t>).</w:t>
            </w:r>
            <w:r w:rsidR="00FA7C77">
              <w:rPr>
                <w:sz w:val="18"/>
                <w:szCs w:val="18"/>
              </w:rPr>
              <w:t xml:space="preserve"> </w:t>
            </w:r>
            <w:r w:rsidR="00D32868" w:rsidRPr="00117BAF">
              <w:rPr>
                <w:sz w:val="18"/>
                <w:szCs w:val="18"/>
              </w:rPr>
              <w:t>Where ‘Burley Griffin Agency’ has no reasonable expectation of recovering an amount owed by a debtor and ceases action to collect the debt, as the cost to recover the debt is more than the debt is worth, the debt is written-off by directly reducing the receivable against the loss allowance.</w:t>
            </w:r>
          </w:p>
        </w:tc>
      </w:tr>
    </w:tbl>
    <w:p w14:paraId="07115607" w14:textId="77777777" w:rsidR="00F22D61" w:rsidRDefault="00F22D61">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671"/>
        <w:gridCol w:w="1415"/>
        <w:gridCol w:w="285"/>
        <w:gridCol w:w="15"/>
        <w:gridCol w:w="1545"/>
      </w:tblGrid>
      <w:tr w:rsidR="00F22D61" w:rsidRPr="00CF7E1B" w14:paraId="64F81503" w14:textId="77777777" w:rsidTr="005F5B4C">
        <w:trPr>
          <w:cantSplit/>
          <w:trHeight w:hRule="exact" w:val="1081"/>
        </w:trPr>
        <w:tc>
          <w:tcPr>
            <w:tcW w:w="745" w:type="pct"/>
            <w:tcBorders>
              <w:top w:val="nil"/>
              <w:left w:val="single" w:sz="2" w:space="0" w:color="auto"/>
              <w:bottom w:val="nil"/>
              <w:right w:val="single" w:sz="2" w:space="0" w:color="auto"/>
            </w:tcBorders>
          </w:tcPr>
          <w:p w14:paraId="33E5EC85" w14:textId="1C4B127F" w:rsidR="00F22D61" w:rsidRPr="007E70BB" w:rsidRDefault="00F22D61" w:rsidP="00DA5473">
            <w:pPr>
              <w:pStyle w:val="TableReference"/>
              <w:tabs>
                <w:tab w:val="left" w:pos="3306"/>
              </w:tabs>
              <w:spacing w:before="240" w:after="240"/>
              <w:rPr>
                <w:rFonts w:cs="Calibri"/>
                <w:b/>
                <w:color w:val="7030A0"/>
                <w:sz w:val="22"/>
                <w:szCs w:val="22"/>
              </w:rPr>
            </w:pPr>
            <w:r w:rsidRPr="003E75E3">
              <w:rPr>
                <w:rFonts w:cs="Calibri"/>
                <w:b/>
                <w:color w:val="7030A0"/>
                <w:sz w:val="22"/>
                <w:szCs w:val="22"/>
              </w:rPr>
              <w:t>Reference</w:t>
            </w:r>
          </w:p>
        </w:tc>
        <w:tc>
          <w:tcPr>
            <w:tcW w:w="4255" w:type="pct"/>
            <w:gridSpan w:val="5"/>
            <w:tcBorders>
              <w:top w:val="nil"/>
              <w:left w:val="single" w:sz="2" w:space="0" w:color="auto"/>
              <w:bottom w:val="nil"/>
              <w:right w:val="nil"/>
            </w:tcBorders>
          </w:tcPr>
          <w:p w14:paraId="16AF7A6B" w14:textId="77777777" w:rsidR="00F22D61" w:rsidRPr="00117BAF" w:rsidRDefault="00F22D61" w:rsidP="00DA5473">
            <w:pPr>
              <w:pStyle w:val="Heading1"/>
              <w:numPr>
                <w:ilvl w:val="0"/>
                <w:numId w:val="0"/>
              </w:numPr>
            </w:pPr>
            <w:bookmarkStart w:id="498" w:name="_Toc98763109"/>
            <w:r w:rsidRPr="00117BAF">
              <w:t>Note 16.</w:t>
            </w:r>
            <w:r>
              <w:t xml:space="preserve"> </w:t>
            </w:r>
            <w:r w:rsidRPr="00117BAF">
              <w:t xml:space="preserve"> Receivables and Contract Assets</w:t>
            </w:r>
            <w:r>
              <w:t xml:space="preserve"> – Continued</w:t>
            </w:r>
            <w:bookmarkEnd w:id="498"/>
            <w:r>
              <w:t xml:space="preserve"> </w:t>
            </w:r>
          </w:p>
        </w:tc>
      </w:tr>
      <w:bookmarkEnd w:id="490"/>
      <w:tr w:rsidR="00716590" w:rsidRPr="00CF7E1B" w14:paraId="32A1F551" w14:textId="77777777" w:rsidTr="005F5B4C">
        <w:trPr>
          <w:cantSplit/>
          <w:trHeight w:hRule="exact" w:val="761"/>
        </w:trPr>
        <w:tc>
          <w:tcPr>
            <w:tcW w:w="745" w:type="pct"/>
            <w:vMerge w:val="restart"/>
            <w:tcBorders>
              <w:top w:val="nil"/>
              <w:left w:val="single" w:sz="2" w:space="0" w:color="auto"/>
              <w:right w:val="single" w:sz="2" w:space="0" w:color="auto"/>
            </w:tcBorders>
          </w:tcPr>
          <w:p w14:paraId="468C555F" w14:textId="04223BB4" w:rsidR="00716590" w:rsidRPr="007E70BB" w:rsidRDefault="00716590" w:rsidP="00BF61A6">
            <w:pPr>
              <w:rPr>
                <w:rFonts w:cs="Calibri"/>
                <w:i/>
                <w:color w:val="7030A0"/>
                <w:sz w:val="14"/>
                <w:szCs w:val="14"/>
              </w:rPr>
            </w:pPr>
            <w:r w:rsidRPr="007E70BB">
              <w:rPr>
                <w:rFonts w:cs="Calibri"/>
                <w:color w:val="7030A0"/>
                <w:sz w:val="14"/>
                <w:szCs w:val="14"/>
              </w:rPr>
              <w:t>AASB 9.5.5.8, 5.5.15 &amp; B5.35</w:t>
            </w:r>
            <w:r w:rsidR="002F21FB" w:rsidRPr="007E70BB">
              <w:rPr>
                <w:rFonts w:cs="Calibri"/>
                <w:color w:val="7030A0"/>
                <w:sz w:val="14"/>
                <w:szCs w:val="14"/>
              </w:rPr>
              <w:t xml:space="preserve"> </w:t>
            </w:r>
            <w:r w:rsidRPr="007E70BB">
              <w:rPr>
                <w:rFonts w:cs="Calibri"/>
                <w:color w:val="7030A0"/>
                <w:sz w:val="14"/>
                <w:szCs w:val="14"/>
              </w:rPr>
              <w:t xml:space="preserve">Financial Framework Memo 2018/23 </w:t>
            </w:r>
            <w:r w:rsidRPr="007E70BB">
              <w:rPr>
                <w:rFonts w:cs="Calibri"/>
                <w:i/>
                <w:color w:val="7030A0"/>
                <w:sz w:val="14"/>
                <w:szCs w:val="14"/>
              </w:rPr>
              <w:t>AASB 9</w:t>
            </w:r>
            <w:r w:rsidRPr="007E70BB">
              <w:rPr>
                <w:rFonts w:cs="Calibri"/>
                <w:color w:val="7030A0"/>
                <w:sz w:val="14"/>
                <w:szCs w:val="14"/>
              </w:rPr>
              <w:t xml:space="preserve"> </w:t>
            </w:r>
            <w:r w:rsidRPr="007E70BB">
              <w:rPr>
                <w:rFonts w:cs="Calibri"/>
                <w:i/>
                <w:color w:val="7030A0"/>
                <w:sz w:val="14"/>
                <w:szCs w:val="14"/>
              </w:rPr>
              <w:t>Financial Instruments - Further Implementation Guidance to Agencies</w:t>
            </w:r>
          </w:p>
          <w:p w14:paraId="10B3E54C" w14:textId="77777777" w:rsidR="00716590" w:rsidRPr="007E70BB" w:rsidRDefault="00716590" w:rsidP="00BF61A6">
            <w:pPr>
              <w:rPr>
                <w:rFonts w:cs="Calibri"/>
                <w:color w:val="7030A0"/>
                <w:sz w:val="14"/>
                <w:szCs w:val="14"/>
              </w:rPr>
            </w:pPr>
            <w:r w:rsidRPr="007E70BB">
              <w:rPr>
                <w:rFonts w:cs="Calibri"/>
                <w:color w:val="7030A0"/>
                <w:sz w:val="14"/>
                <w:szCs w:val="14"/>
              </w:rPr>
              <w:t>AASB 7.35(c)</w:t>
            </w:r>
          </w:p>
          <w:p w14:paraId="068C84F7" w14:textId="5BEC12AE" w:rsidR="00716590" w:rsidRPr="007E70BB" w:rsidRDefault="00716590" w:rsidP="00BF61A6">
            <w:pPr>
              <w:pStyle w:val="TableReference"/>
              <w:tabs>
                <w:tab w:val="left" w:pos="3306"/>
              </w:tabs>
              <w:rPr>
                <w:rFonts w:cs="Calibri"/>
                <w:color w:val="7030A0"/>
                <w:sz w:val="14"/>
              </w:rPr>
            </w:pPr>
            <w:r w:rsidRPr="007E70BB">
              <w:rPr>
                <w:color w:val="7030A0"/>
                <w:sz w:val="14"/>
              </w:rPr>
              <w:t>AASB 7.35F</w:t>
            </w:r>
          </w:p>
          <w:p w14:paraId="51D8008B" w14:textId="027967B7" w:rsidR="00716590" w:rsidRPr="007E70BB" w:rsidRDefault="00716590" w:rsidP="00BF61A6">
            <w:pPr>
              <w:pStyle w:val="TableReference"/>
              <w:tabs>
                <w:tab w:val="left" w:pos="3306"/>
              </w:tabs>
              <w:rPr>
                <w:color w:val="7030A0"/>
              </w:rPr>
            </w:pPr>
            <w:r w:rsidRPr="007E70BB">
              <w:rPr>
                <w:rFonts w:cs="Calibri"/>
                <w:color w:val="7030A0"/>
                <w:sz w:val="14"/>
              </w:rPr>
              <w:t>AASB 7.35G</w:t>
            </w:r>
          </w:p>
        </w:tc>
        <w:tc>
          <w:tcPr>
            <w:tcW w:w="4255" w:type="pct"/>
            <w:gridSpan w:val="5"/>
            <w:tcBorders>
              <w:top w:val="nil"/>
              <w:left w:val="single" w:sz="2" w:space="0" w:color="auto"/>
              <w:bottom w:val="nil"/>
              <w:right w:val="nil"/>
            </w:tcBorders>
          </w:tcPr>
          <w:p w14:paraId="6699BAD9" w14:textId="17F4687A" w:rsidR="00716590" w:rsidRPr="00117BAF" w:rsidRDefault="00716590" w:rsidP="00FD6C0F">
            <w:pPr>
              <w:jc w:val="both"/>
              <w:rPr>
                <w:sz w:val="18"/>
                <w:szCs w:val="18"/>
              </w:rPr>
            </w:pPr>
            <w:r w:rsidRPr="00117BAF">
              <w:rPr>
                <w:rFonts w:asciiTheme="minorHAnsi" w:hAnsiTheme="minorHAnsi" w:cstheme="minorHAnsi"/>
                <w:sz w:val="18"/>
                <w:szCs w:val="18"/>
              </w:rPr>
              <w:t>The allowance for expected credit losses of accounts receivables is measured at the lifetime expected credit losses at each reporting date. ‘Burley Griffin Agency’ has established a provision matrix based on its historical credit loss experience, adjusted for forward looking factors specific to the debtors and the economic environment.</w:t>
            </w:r>
          </w:p>
        </w:tc>
      </w:tr>
      <w:tr w:rsidR="00716590" w:rsidRPr="00CF7E1B" w14:paraId="086E515B" w14:textId="77777777" w:rsidTr="005F5B4C">
        <w:trPr>
          <w:cantSplit/>
          <w:trHeight w:hRule="exact" w:val="1414"/>
        </w:trPr>
        <w:tc>
          <w:tcPr>
            <w:tcW w:w="745" w:type="pct"/>
            <w:vMerge/>
            <w:tcBorders>
              <w:left w:val="single" w:sz="2" w:space="0" w:color="auto"/>
              <w:bottom w:val="nil"/>
              <w:right w:val="single" w:sz="2" w:space="0" w:color="auto"/>
            </w:tcBorders>
          </w:tcPr>
          <w:p w14:paraId="7B071C40" w14:textId="77777777" w:rsidR="00716590" w:rsidRPr="007E70BB" w:rsidRDefault="00716590" w:rsidP="00A71AD7">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5AD3BFB4" w14:textId="0A2303A6" w:rsidR="00716590" w:rsidRPr="00117BAF" w:rsidRDefault="00716590" w:rsidP="006E2E6D">
            <w:pPr>
              <w:pStyle w:val="Appxhead3"/>
              <w:spacing w:before="0" w:after="0"/>
              <w:jc w:val="both"/>
              <w:rPr>
                <w:rFonts w:asciiTheme="minorHAnsi" w:hAnsiTheme="minorHAnsi" w:cstheme="minorHAnsi"/>
                <w:b w:val="0"/>
                <w:smallCaps w:val="0"/>
                <w:sz w:val="18"/>
                <w:szCs w:val="18"/>
              </w:rPr>
            </w:pPr>
            <w:r w:rsidRPr="00117BAF">
              <w:rPr>
                <w:rFonts w:asciiTheme="minorHAnsi" w:hAnsiTheme="minorHAnsi" w:cstheme="minorHAnsi"/>
                <w:b w:val="0"/>
                <w:smallCaps w:val="0"/>
                <w:sz w:val="18"/>
                <w:szCs w:val="18"/>
              </w:rPr>
              <w:t xml:space="preserve">Loss rates are calculated separately for groupings of customers with similar loss patterns. ‘Burley Griffin Agency’ has determined there is </w:t>
            </w:r>
            <w:r w:rsidRPr="00117BAF">
              <w:rPr>
                <w:rFonts w:asciiTheme="minorHAnsi" w:hAnsiTheme="minorHAnsi" w:cstheme="minorHAnsi"/>
                <w:b w:val="0"/>
                <w:smallCaps w:val="0"/>
                <w:color w:val="C45911" w:themeColor="accent2" w:themeShade="BF"/>
                <w:sz w:val="18"/>
                <w:szCs w:val="18"/>
              </w:rPr>
              <w:t xml:space="preserve">&lt;one&gt; </w:t>
            </w:r>
            <w:r w:rsidRPr="00117BAF">
              <w:rPr>
                <w:rFonts w:asciiTheme="minorHAnsi" w:hAnsiTheme="minorHAnsi" w:cstheme="minorHAnsi"/>
                <w:b w:val="0"/>
                <w:smallCaps w:val="0"/>
                <w:sz w:val="18"/>
                <w:szCs w:val="18"/>
              </w:rPr>
              <w:t xml:space="preserve">material group for measuring expected credit losses based on the sale of services and the sale of goods reflecting customer profiles for revenue streams. The calculations reflect historical observed default rates calculated using credit losses experienced on past sales transactions during the last </w:t>
            </w:r>
            <w:r w:rsidRPr="00117BAF">
              <w:rPr>
                <w:rFonts w:asciiTheme="minorHAnsi" w:hAnsiTheme="minorHAnsi" w:cstheme="minorHAnsi"/>
                <w:b w:val="0"/>
                <w:smallCaps w:val="0"/>
                <w:color w:val="C45911" w:themeColor="accent2" w:themeShade="BF"/>
                <w:sz w:val="18"/>
                <w:szCs w:val="18"/>
              </w:rPr>
              <w:t xml:space="preserve">&lt;3&gt; </w:t>
            </w:r>
            <w:r w:rsidRPr="00117BAF">
              <w:rPr>
                <w:rFonts w:asciiTheme="minorHAnsi" w:hAnsiTheme="minorHAnsi" w:cstheme="minorHAnsi"/>
                <w:b w:val="0"/>
                <w:smallCaps w:val="0"/>
                <w:sz w:val="18"/>
                <w:szCs w:val="18"/>
              </w:rPr>
              <w:t>years preceding 30 June 202</w:t>
            </w:r>
            <w:r w:rsidR="000B7AD0">
              <w:rPr>
                <w:rFonts w:asciiTheme="minorHAnsi" w:hAnsiTheme="minorHAnsi" w:cstheme="minorHAnsi"/>
                <w:b w:val="0"/>
                <w:smallCaps w:val="0"/>
                <w:sz w:val="18"/>
                <w:szCs w:val="18"/>
              </w:rPr>
              <w:t>2</w:t>
            </w:r>
            <w:r w:rsidRPr="00117BAF">
              <w:rPr>
                <w:rFonts w:asciiTheme="minorHAnsi" w:hAnsiTheme="minorHAnsi" w:cstheme="minorHAnsi"/>
                <w:b w:val="0"/>
                <w:smallCaps w:val="0"/>
                <w:sz w:val="18"/>
                <w:szCs w:val="18"/>
              </w:rPr>
              <w:t>. The historical default rates are then adjusted by reasonable and supportable forward-looking information for expected changes in macroeconomic indicators that affect the future recovery of those receivables.</w:t>
            </w:r>
          </w:p>
        </w:tc>
      </w:tr>
      <w:tr w:rsidR="00A71AD7" w:rsidRPr="00CF7E1B" w14:paraId="31364EB7" w14:textId="77777777" w:rsidTr="005F5B4C">
        <w:trPr>
          <w:cantSplit/>
          <w:trHeight w:hRule="exact" w:val="1238"/>
        </w:trPr>
        <w:tc>
          <w:tcPr>
            <w:tcW w:w="745" w:type="pct"/>
            <w:tcBorders>
              <w:top w:val="nil"/>
              <w:left w:val="single" w:sz="2" w:space="0" w:color="auto"/>
              <w:bottom w:val="nil"/>
              <w:right w:val="single" w:sz="2" w:space="0" w:color="auto"/>
            </w:tcBorders>
          </w:tcPr>
          <w:p w14:paraId="31C8720F" w14:textId="77777777" w:rsidR="002F21FB" w:rsidRPr="007E70BB" w:rsidRDefault="002F21FB" w:rsidP="002F21FB">
            <w:pPr>
              <w:pStyle w:val="TableReference"/>
              <w:tabs>
                <w:tab w:val="left" w:pos="3306"/>
              </w:tabs>
              <w:spacing w:before="40"/>
              <w:rPr>
                <w:rFonts w:cs="Calibri"/>
                <w:color w:val="7030A0"/>
                <w:sz w:val="14"/>
              </w:rPr>
            </w:pPr>
            <w:r w:rsidRPr="007E70BB">
              <w:rPr>
                <w:rFonts w:cs="Calibri"/>
                <w:color w:val="7030A0"/>
                <w:sz w:val="14"/>
              </w:rPr>
              <w:t>ACT Disclosure Policy</w:t>
            </w:r>
          </w:p>
          <w:p w14:paraId="71CC6EAE" w14:textId="77777777" w:rsidR="002F21FB" w:rsidRPr="007E70BB" w:rsidRDefault="002F21FB" w:rsidP="002F21FB">
            <w:pPr>
              <w:pStyle w:val="TableReference"/>
              <w:tabs>
                <w:tab w:val="left" w:pos="3306"/>
              </w:tabs>
              <w:spacing w:before="40"/>
              <w:rPr>
                <w:rFonts w:cs="Calibri"/>
                <w:color w:val="7030A0"/>
                <w:sz w:val="14"/>
              </w:rPr>
            </w:pPr>
            <w:r w:rsidRPr="007E70BB">
              <w:rPr>
                <w:rFonts w:cs="Calibri"/>
                <w:color w:val="7030A0"/>
                <w:sz w:val="14"/>
              </w:rPr>
              <w:t>Financial Framework Memo 2018/23</w:t>
            </w:r>
          </w:p>
          <w:p w14:paraId="2DAE5180" w14:textId="4ABF031E" w:rsidR="00A71AD7" w:rsidRPr="007E70BB" w:rsidRDefault="002F21FB" w:rsidP="002F21FB">
            <w:pPr>
              <w:pStyle w:val="TableReference"/>
              <w:tabs>
                <w:tab w:val="left" w:pos="3306"/>
              </w:tabs>
              <w:spacing w:before="40"/>
              <w:rPr>
                <w:rFonts w:cs="Calibri"/>
                <w:bCs/>
                <w:color w:val="7030A0"/>
                <w:sz w:val="14"/>
              </w:rPr>
            </w:pPr>
            <w:r w:rsidRPr="007E70BB">
              <w:rPr>
                <w:rFonts w:cs="Calibri"/>
                <w:color w:val="7030A0"/>
                <w:sz w:val="14"/>
              </w:rPr>
              <w:t>AASB 9 Financial Instruments –Guidance to Agencies.</w:t>
            </w:r>
          </w:p>
        </w:tc>
        <w:tc>
          <w:tcPr>
            <w:tcW w:w="4255" w:type="pct"/>
            <w:gridSpan w:val="5"/>
            <w:tcBorders>
              <w:top w:val="nil"/>
              <w:left w:val="single" w:sz="2" w:space="0" w:color="auto"/>
              <w:bottom w:val="nil"/>
              <w:right w:val="nil"/>
            </w:tcBorders>
          </w:tcPr>
          <w:p w14:paraId="1379581F" w14:textId="3390ABB3" w:rsidR="00A71AD7" w:rsidRPr="00117BAF" w:rsidRDefault="00716590" w:rsidP="006E2E6D">
            <w:pPr>
              <w:pStyle w:val="Appxhead3"/>
              <w:spacing w:before="0" w:after="0"/>
              <w:jc w:val="both"/>
              <w:rPr>
                <w:sz w:val="18"/>
                <w:szCs w:val="18"/>
              </w:rPr>
            </w:pPr>
            <w:r w:rsidRPr="00117BAF">
              <w:rPr>
                <w:rFonts w:asciiTheme="minorHAnsi" w:hAnsiTheme="minorHAnsi" w:cstheme="minorHAnsi"/>
                <w:b w:val="0"/>
                <w:smallCaps w:val="0"/>
                <w:sz w:val="18"/>
                <w:szCs w:val="18"/>
              </w:rPr>
              <w:t xml:space="preserve">Inter-agency loans and receivables between ACT Government agencies are expected to have low credit risks. Consequently </w:t>
            </w:r>
            <w:r w:rsidR="002F21FB" w:rsidRPr="00117BAF">
              <w:rPr>
                <w:rFonts w:asciiTheme="minorHAnsi" w:hAnsiTheme="minorHAnsi" w:cstheme="minorHAnsi"/>
                <w:b w:val="0"/>
                <w:smallCaps w:val="0"/>
                <w:sz w:val="18"/>
                <w:szCs w:val="18"/>
              </w:rPr>
              <w:t xml:space="preserve">ACT Government </w:t>
            </w:r>
            <w:r w:rsidRPr="00117BAF">
              <w:rPr>
                <w:rFonts w:asciiTheme="minorHAnsi" w:hAnsiTheme="minorHAnsi" w:cstheme="minorHAnsi"/>
                <w:b w:val="0"/>
                <w:smallCaps w:val="0"/>
                <w:sz w:val="18"/>
                <w:szCs w:val="18"/>
              </w:rPr>
              <w:t>policy is that directorates, territory authorities and territory-owned corporations consolidated into the whole-of-Government financial statements will generally not measure any loss allowance for receivables collectible from other ACT Government agencies consolidated into the whole-of-government financial statements.</w:t>
            </w:r>
          </w:p>
        </w:tc>
      </w:tr>
      <w:tr w:rsidR="00A71AD7" w:rsidRPr="00CF7E1B" w14:paraId="5ADD7FE0" w14:textId="77777777" w:rsidTr="005F5B4C">
        <w:trPr>
          <w:cantSplit/>
          <w:trHeight w:hRule="exact" w:val="938"/>
        </w:trPr>
        <w:tc>
          <w:tcPr>
            <w:tcW w:w="745" w:type="pct"/>
            <w:tcBorders>
              <w:top w:val="nil"/>
              <w:left w:val="single" w:sz="2" w:space="0" w:color="auto"/>
              <w:bottom w:val="nil"/>
              <w:right w:val="single" w:sz="2" w:space="0" w:color="auto"/>
            </w:tcBorders>
          </w:tcPr>
          <w:p w14:paraId="05B5609D" w14:textId="77777777" w:rsidR="00A71AD7" w:rsidRPr="007E70BB" w:rsidRDefault="00A71AD7" w:rsidP="00A71AD7">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1A48186B" w14:textId="085F6FCA" w:rsidR="00A71AD7" w:rsidRPr="00117BAF" w:rsidRDefault="00FC4325" w:rsidP="006E2E6D">
            <w:pPr>
              <w:pStyle w:val="Appxhead3"/>
              <w:spacing w:before="0" w:after="0"/>
              <w:jc w:val="both"/>
              <w:rPr>
                <w:rFonts w:ascii="Calibri" w:hAnsi="Calibri" w:cs="Times New Roman"/>
                <w:b w:val="0"/>
                <w:smallCaps w:val="0"/>
                <w:sz w:val="18"/>
                <w:szCs w:val="18"/>
              </w:rPr>
            </w:pPr>
            <w:r w:rsidRPr="00117BAF">
              <w:rPr>
                <w:rFonts w:ascii="Calibri" w:hAnsi="Calibri" w:cs="Times New Roman"/>
                <w:b w:val="0"/>
                <w:smallCaps w:val="0"/>
                <w:sz w:val="18"/>
                <w:szCs w:val="18"/>
              </w:rPr>
              <w:t>The Agency has made a significant estimate in the calculation of the allowance for impairment losses for receivables in the Financial Statements.</w:t>
            </w:r>
            <w:r w:rsidR="00FA7C77">
              <w:rPr>
                <w:rFonts w:ascii="Calibri" w:hAnsi="Calibri" w:cs="Times New Roman"/>
                <w:b w:val="0"/>
                <w:smallCaps w:val="0"/>
                <w:sz w:val="18"/>
                <w:szCs w:val="18"/>
              </w:rPr>
              <w:t xml:space="preserve"> </w:t>
            </w:r>
            <w:r w:rsidRPr="00117BAF">
              <w:rPr>
                <w:rFonts w:ascii="Calibri" w:hAnsi="Calibri" w:cs="Times New Roman"/>
                <w:b w:val="0"/>
                <w:smallCaps w:val="0"/>
                <w:sz w:val="18"/>
                <w:szCs w:val="18"/>
              </w:rPr>
              <w:t xml:space="preserve">This </w:t>
            </w:r>
            <w:r w:rsidR="000B7AD0">
              <w:rPr>
                <w:rFonts w:ascii="Calibri" w:hAnsi="Calibri" w:cs="Times New Roman"/>
                <w:b w:val="0"/>
                <w:smallCaps w:val="0"/>
                <w:sz w:val="18"/>
                <w:szCs w:val="18"/>
              </w:rPr>
              <w:t>e</w:t>
            </w:r>
            <w:r w:rsidRPr="00117BAF">
              <w:rPr>
                <w:rFonts w:ascii="Calibri" w:hAnsi="Calibri" w:cs="Times New Roman"/>
                <w:b w:val="0"/>
                <w:smallCaps w:val="0"/>
                <w:sz w:val="18"/>
                <w:szCs w:val="18"/>
              </w:rPr>
              <w:t>stimate is based on a number of categorisations of receivables and the use of an expected credit loss provision matrix.</w:t>
            </w:r>
            <w:r w:rsidR="00FA7C77">
              <w:rPr>
                <w:rFonts w:ascii="Calibri" w:hAnsi="Calibri" w:cs="Times New Roman"/>
                <w:b w:val="0"/>
                <w:smallCaps w:val="0"/>
                <w:sz w:val="18"/>
                <w:szCs w:val="18"/>
              </w:rPr>
              <w:t xml:space="preserve"> </w:t>
            </w:r>
            <w:r w:rsidRPr="00117BAF">
              <w:rPr>
                <w:rFonts w:ascii="Calibri" w:hAnsi="Calibri" w:cs="Times New Roman"/>
                <w:b w:val="0"/>
                <w:smallCaps w:val="0"/>
                <w:sz w:val="18"/>
                <w:szCs w:val="18"/>
              </w:rPr>
              <w:t>These categorisations are considered by management to be appropriate and accurate.</w:t>
            </w:r>
          </w:p>
        </w:tc>
      </w:tr>
      <w:tr w:rsidR="00A71AD7" w:rsidRPr="00CF7E1B" w14:paraId="7B87C72A" w14:textId="77777777" w:rsidTr="005F5B4C">
        <w:trPr>
          <w:cantSplit/>
          <w:trHeight w:hRule="exact" w:val="271"/>
        </w:trPr>
        <w:tc>
          <w:tcPr>
            <w:tcW w:w="745" w:type="pct"/>
            <w:tcBorders>
              <w:top w:val="nil"/>
              <w:left w:val="single" w:sz="2" w:space="0" w:color="auto"/>
              <w:bottom w:val="nil"/>
              <w:right w:val="single" w:sz="2" w:space="0" w:color="auto"/>
            </w:tcBorders>
          </w:tcPr>
          <w:p w14:paraId="3EADDF8E" w14:textId="77777777" w:rsidR="00A71AD7" w:rsidRPr="007E70BB" w:rsidRDefault="00A71AD7" w:rsidP="00A71AD7">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2F661D88" w14:textId="319C4520" w:rsidR="00A71AD7" w:rsidRPr="00117BAF" w:rsidRDefault="00A71AD7" w:rsidP="006E2E6D">
            <w:pPr>
              <w:pStyle w:val="Appxhead3"/>
              <w:spacing w:before="60" w:after="0"/>
              <w:rPr>
                <w:rFonts w:ascii="Calibri" w:hAnsi="Calibri" w:cs="Calibri"/>
                <w:b w:val="0"/>
                <w:i/>
                <w:iCs/>
                <w:smallCaps w:val="0"/>
                <w:sz w:val="18"/>
                <w:szCs w:val="18"/>
              </w:rPr>
            </w:pPr>
            <w:r w:rsidRPr="00117BAF">
              <w:rPr>
                <w:rFonts w:ascii="Calibri" w:hAnsi="Calibri" w:cs="Calibri"/>
                <w:b w:val="0"/>
                <w:i/>
                <w:iCs/>
                <w:smallCaps w:val="0"/>
                <w:sz w:val="18"/>
                <w:szCs w:val="18"/>
              </w:rPr>
              <w:t>Loans Receivable</w:t>
            </w:r>
          </w:p>
        </w:tc>
      </w:tr>
      <w:tr w:rsidR="00A71AD7" w:rsidRPr="00CF7E1B" w14:paraId="6B8E467C" w14:textId="77777777" w:rsidTr="005F5B4C">
        <w:trPr>
          <w:cantSplit/>
          <w:trHeight w:hRule="exact" w:val="1033"/>
        </w:trPr>
        <w:tc>
          <w:tcPr>
            <w:tcW w:w="745" w:type="pct"/>
            <w:tcBorders>
              <w:top w:val="nil"/>
              <w:left w:val="single" w:sz="2" w:space="0" w:color="auto"/>
              <w:bottom w:val="nil"/>
              <w:right w:val="single" w:sz="2" w:space="0" w:color="auto"/>
            </w:tcBorders>
          </w:tcPr>
          <w:p w14:paraId="6E35594E" w14:textId="77777777" w:rsidR="00A71AD7" w:rsidRPr="007E70BB" w:rsidRDefault="00A71AD7" w:rsidP="00A71AD7">
            <w:pPr>
              <w:pStyle w:val="TableReference"/>
              <w:tabs>
                <w:tab w:val="left" w:pos="3306"/>
              </w:tabs>
              <w:spacing w:before="240" w:after="240"/>
              <w:rPr>
                <w:rFonts w:cs="Calibri"/>
                <w:b/>
                <w:color w:val="7030A0"/>
                <w:sz w:val="20"/>
                <w:szCs w:val="20"/>
              </w:rPr>
            </w:pPr>
          </w:p>
        </w:tc>
        <w:tc>
          <w:tcPr>
            <w:tcW w:w="4255" w:type="pct"/>
            <w:gridSpan w:val="5"/>
            <w:tcBorders>
              <w:top w:val="nil"/>
              <w:left w:val="single" w:sz="2" w:space="0" w:color="auto"/>
              <w:bottom w:val="nil"/>
              <w:right w:val="nil"/>
            </w:tcBorders>
          </w:tcPr>
          <w:p w14:paraId="0FAFEFC6" w14:textId="40A16813" w:rsidR="00A71AD7" w:rsidRPr="00117BAF" w:rsidRDefault="00A71AD7" w:rsidP="005B17DF">
            <w:pPr>
              <w:spacing w:after="120"/>
              <w:jc w:val="both"/>
            </w:pPr>
            <w:r w:rsidRPr="00117BAF">
              <w:rPr>
                <w:sz w:val="18"/>
                <w:szCs w:val="18"/>
              </w:rPr>
              <w:t>‘</w:t>
            </w:r>
            <w:r w:rsidR="00920EA7" w:rsidRPr="00117BAF">
              <w:rPr>
                <w:rFonts w:cs="Calibri"/>
                <w:sz w:val="18"/>
                <w:szCs w:val="18"/>
              </w:rPr>
              <w:t>Burley Griffin</w:t>
            </w:r>
            <w:r w:rsidRPr="00117BAF">
              <w:rPr>
                <w:sz w:val="18"/>
                <w:szCs w:val="18"/>
              </w:rPr>
              <w:t xml:space="preserve"> Agency’ provides concessional loans under the ‘Example Home Loan Scheme’ to ACT residents that meet certain eligibility criteria.</w:t>
            </w:r>
            <w:r w:rsidR="00FA7C77">
              <w:rPr>
                <w:sz w:val="18"/>
                <w:szCs w:val="18"/>
              </w:rPr>
              <w:t xml:space="preserve"> </w:t>
            </w:r>
            <w:r w:rsidRPr="00117BAF">
              <w:rPr>
                <w:sz w:val="18"/>
                <w:szCs w:val="18"/>
              </w:rPr>
              <w:t xml:space="preserve">The Scheme </w:t>
            </w:r>
            <w:r w:rsidR="008B2FF3" w:rsidRPr="00117BAF">
              <w:rPr>
                <w:sz w:val="18"/>
                <w:szCs w:val="18"/>
              </w:rPr>
              <w:t xml:space="preserve">commenced in 2019 and </w:t>
            </w:r>
            <w:r w:rsidRPr="00117BAF">
              <w:rPr>
                <w:sz w:val="18"/>
                <w:szCs w:val="18"/>
              </w:rPr>
              <w:t xml:space="preserve">was set up to </w:t>
            </w:r>
            <w:r w:rsidRPr="00117BAF">
              <w:rPr>
                <w:rFonts w:cs="Calibri"/>
                <w:sz w:val="18"/>
                <w:szCs w:val="18"/>
              </w:rPr>
              <w:t>assist low income households in achieving home ownership.</w:t>
            </w:r>
            <w:r w:rsidR="00FA7C77">
              <w:rPr>
                <w:sz w:val="18"/>
                <w:szCs w:val="18"/>
              </w:rPr>
              <w:t xml:space="preserve"> </w:t>
            </w:r>
            <w:r w:rsidRPr="00117BAF">
              <w:rPr>
                <w:sz w:val="18"/>
                <w:szCs w:val="18"/>
              </w:rPr>
              <w:t>The concessional loans have a low interest rate and the repayments are principal and interest.</w:t>
            </w:r>
            <w:r w:rsidR="00FA7C77">
              <w:rPr>
                <w:sz w:val="18"/>
                <w:szCs w:val="18"/>
              </w:rPr>
              <w:t xml:space="preserve"> </w:t>
            </w:r>
            <w:r w:rsidRPr="00117BAF">
              <w:rPr>
                <w:sz w:val="18"/>
                <w:szCs w:val="18"/>
              </w:rPr>
              <w:t>The loans have a term of 30 years, and repayments commence at the start of each loan.</w:t>
            </w:r>
            <w:r w:rsidR="00FA7C77">
              <w:rPr>
                <w:sz w:val="18"/>
                <w:szCs w:val="18"/>
              </w:rPr>
              <w:t xml:space="preserve"> </w:t>
            </w:r>
          </w:p>
        </w:tc>
      </w:tr>
      <w:tr w:rsidR="00A71AD7" w:rsidRPr="00CF7E1B" w14:paraId="29A521D4" w14:textId="77777777" w:rsidTr="005F5B4C">
        <w:trPr>
          <w:cantSplit/>
          <w:trHeight w:hRule="exact" w:val="1098"/>
        </w:trPr>
        <w:tc>
          <w:tcPr>
            <w:tcW w:w="745" w:type="pct"/>
            <w:tcBorders>
              <w:top w:val="nil"/>
              <w:left w:val="single" w:sz="2" w:space="0" w:color="auto"/>
              <w:bottom w:val="nil"/>
              <w:right w:val="single" w:sz="2" w:space="0" w:color="auto"/>
            </w:tcBorders>
          </w:tcPr>
          <w:p w14:paraId="3ABD3437" w14:textId="77777777" w:rsidR="00A71AD7" w:rsidRPr="007E70BB" w:rsidRDefault="00A71AD7" w:rsidP="00A71AD7">
            <w:pPr>
              <w:pStyle w:val="TableReference"/>
              <w:tabs>
                <w:tab w:val="left" w:pos="3306"/>
              </w:tabs>
              <w:spacing w:before="240" w:after="240"/>
              <w:rPr>
                <w:rFonts w:cs="Calibri"/>
                <w:b/>
                <w:color w:val="7030A0"/>
                <w:sz w:val="20"/>
                <w:szCs w:val="20"/>
              </w:rPr>
            </w:pPr>
          </w:p>
        </w:tc>
        <w:tc>
          <w:tcPr>
            <w:tcW w:w="4255" w:type="pct"/>
            <w:gridSpan w:val="5"/>
            <w:tcBorders>
              <w:top w:val="nil"/>
              <w:left w:val="single" w:sz="2" w:space="0" w:color="auto"/>
              <w:bottom w:val="nil"/>
              <w:right w:val="nil"/>
            </w:tcBorders>
          </w:tcPr>
          <w:p w14:paraId="0788E425" w14:textId="094A71AA" w:rsidR="00A71AD7" w:rsidRPr="00117BAF" w:rsidRDefault="00A71AD7" w:rsidP="005C2C7A">
            <w:pPr>
              <w:jc w:val="both"/>
              <w:rPr>
                <w:rFonts w:cs="Calibri"/>
                <w:sz w:val="18"/>
                <w:szCs w:val="18"/>
              </w:rPr>
            </w:pPr>
            <w:r w:rsidRPr="00117BAF">
              <w:rPr>
                <w:sz w:val="18"/>
                <w:szCs w:val="18"/>
              </w:rPr>
              <w:t>‘</w:t>
            </w:r>
            <w:r w:rsidR="00920EA7" w:rsidRPr="00117BAF">
              <w:rPr>
                <w:rFonts w:cs="Calibri"/>
                <w:sz w:val="18"/>
                <w:szCs w:val="18"/>
              </w:rPr>
              <w:t>Burley Griffin</w:t>
            </w:r>
            <w:r w:rsidRPr="00117BAF">
              <w:rPr>
                <w:sz w:val="18"/>
                <w:szCs w:val="18"/>
              </w:rPr>
              <w:t xml:space="preserve"> Agency’ does not inten</w:t>
            </w:r>
            <w:r w:rsidR="000B7AD0">
              <w:rPr>
                <w:sz w:val="18"/>
                <w:szCs w:val="18"/>
              </w:rPr>
              <w:t>d</w:t>
            </w:r>
            <w:r w:rsidRPr="00117BAF">
              <w:rPr>
                <w:sz w:val="18"/>
                <w:szCs w:val="18"/>
              </w:rPr>
              <w:t xml:space="preserve"> on selling the loans to recover the principal.</w:t>
            </w:r>
            <w:r w:rsidR="00FA7C77">
              <w:rPr>
                <w:sz w:val="18"/>
                <w:szCs w:val="18"/>
              </w:rPr>
              <w:t xml:space="preserve"> </w:t>
            </w:r>
            <w:r w:rsidRPr="00117BAF">
              <w:rPr>
                <w:sz w:val="18"/>
                <w:szCs w:val="18"/>
              </w:rPr>
              <w:t xml:space="preserve">On initial recognition, the Concessional Loans Receivable </w:t>
            </w:r>
            <w:r w:rsidR="005B17DF" w:rsidRPr="00117BAF">
              <w:rPr>
                <w:sz w:val="18"/>
                <w:szCs w:val="18"/>
              </w:rPr>
              <w:t>are</w:t>
            </w:r>
            <w:r w:rsidRPr="00117BAF">
              <w:rPr>
                <w:sz w:val="18"/>
                <w:szCs w:val="18"/>
              </w:rPr>
              <w:t xml:space="preserve"> measured at </w:t>
            </w:r>
            <w:r w:rsidR="005B17DF" w:rsidRPr="00117BAF">
              <w:rPr>
                <w:sz w:val="18"/>
                <w:szCs w:val="18"/>
              </w:rPr>
              <w:t>their</w:t>
            </w:r>
            <w:r w:rsidRPr="00117BAF">
              <w:rPr>
                <w:sz w:val="18"/>
                <w:szCs w:val="18"/>
              </w:rPr>
              <w:t xml:space="preserve"> fair value plus any transaction costs. The difference between the loan’s nominal value at the concessional rate and fair value at the market rate is recognised as a Concessional Loan Discount Expense.</w:t>
            </w:r>
            <w:r w:rsidR="00FA7C77">
              <w:rPr>
                <w:sz w:val="18"/>
                <w:szCs w:val="18"/>
              </w:rPr>
              <w:t xml:space="preserve"> </w:t>
            </w:r>
            <w:r w:rsidRPr="00117BAF">
              <w:rPr>
                <w:sz w:val="18"/>
                <w:szCs w:val="18"/>
              </w:rPr>
              <w:t>Subsequent to initial recognition Concessional Loans Receivable are measured at amortised cost.</w:t>
            </w:r>
          </w:p>
        </w:tc>
      </w:tr>
      <w:tr w:rsidR="00A71AD7" w:rsidRPr="00CF7E1B" w14:paraId="1172E9C0" w14:textId="77777777" w:rsidTr="005F5B4C">
        <w:trPr>
          <w:cantSplit/>
          <w:trHeight w:hRule="exact" w:val="303"/>
        </w:trPr>
        <w:tc>
          <w:tcPr>
            <w:tcW w:w="745" w:type="pct"/>
            <w:tcBorders>
              <w:top w:val="nil"/>
              <w:left w:val="single" w:sz="2" w:space="0" w:color="auto"/>
              <w:bottom w:val="nil"/>
              <w:right w:val="single" w:sz="2" w:space="0" w:color="auto"/>
            </w:tcBorders>
          </w:tcPr>
          <w:p w14:paraId="38E39048" w14:textId="77777777" w:rsidR="00A71AD7" w:rsidRPr="007E70BB" w:rsidRDefault="00A71AD7" w:rsidP="00A71AD7">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0D22F738" w14:textId="0E97BD77" w:rsidR="00A71AD7" w:rsidRPr="00117BAF" w:rsidRDefault="00A71AD7" w:rsidP="005C2C7A">
            <w:pPr>
              <w:jc w:val="both"/>
              <w:rPr>
                <w:rFonts w:cs="Calibri"/>
                <w:sz w:val="18"/>
                <w:szCs w:val="18"/>
              </w:rPr>
            </w:pPr>
            <w:r w:rsidRPr="00117BAF">
              <w:rPr>
                <w:rFonts w:cs="Calibri"/>
                <w:i/>
                <w:iCs/>
                <w:sz w:val="18"/>
                <w:szCs w:val="18"/>
              </w:rPr>
              <w:t>Impairment loss – Loans Receivables</w:t>
            </w:r>
            <w:r w:rsidRPr="00117BAF">
              <w:rPr>
                <w:rFonts w:cs="Calibri"/>
                <w:sz w:val="18"/>
                <w:szCs w:val="18"/>
                <w:highlight w:val="yellow"/>
              </w:rPr>
              <w:t xml:space="preserve"> </w:t>
            </w:r>
          </w:p>
        </w:tc>
      </w:tr>
      <w:tr w:rsidR="00A71AD7" w:rsidRPr="00CF7E1B" w14:paraId="0755001F" w14:textId="77777777" w:rsidTr="005F5B4C">
        <w:trPr>
          <w:cantSplit/>
          <w:trHeight w:hRule="exact" w:val="725"/>
        </w:trPr>
        <w:tc>
          <w:tcPr>
            <w:tcW w:w="745" w:type="pct"/>
            <w:tcBorders>
              <w:top w:val="nil"/>
              <w:left w:val="single" w:sz="2" w:space="0" w:color="auto"/>
              <w:bottom w:val="nil"/>
              <w:right w:val="single" w:sz="2" w:space="0" w:color="auto"/>
            </w:tcBorders>
          </w:tcPr>
          <w:p w14:paraId="4B3E9C43" w14:textId="77777777" w:rsidR="00A71AD7" w:rsidRPr="007E70BB" w:rsidRDefault="00A71AD7" w:rsidP="00A71AD7">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3BFD8145" w14:textId="33AFB3E4" w:rsidR="00A71AD7" w:rsidRPr="00117BAF" w:rsidRDefault="00A71AD7" w:rsidP="00A71AD7">
            <w:pPr>
              <w:jc w:val="both"/>
              <w:rPr>
                <w:rFonts w:cs="Calibri"/>
                <w:i/>
                <w:iCs/>
                <w:sz w:val="18"/>
                <w:szCs w:val="18"/>
              </w:rPr>
            </w:pPr>
            <w:r w:rsidRPr="001F4216">
              <w:rPr>
                <w:sz w:val="18"/>
                <w:szCs w:val="18"/>
              </w:rPr>
              <w:t>For loans receivable, ‘</w:t>
            </w:r>
            <w:r w:rsidR="00920EA7" w:rsidRPr="001F4216">
              <w:rPr>
                <w:sz w:val="18"/>
                <w:szCs w:val="18"/>
              </w:rPr>
              <w:t>Burley Griffin</w:t>
            </w:r>
            <w:r w:rsidRPr="001F4216">
              <w:rPr>
                <w:sz w:val="18"/>
                <w:szCs w:val="18"/>
              </w:rPr>
              <w:t xml:space="preserve"> Agency’ applied the simplified approach under AASB 9, which uses a lifetime expected </w:t>
            </w:r>
            <w:r w:rsidR="005B17DF" w:rsidRPr="001F4216">
              <w:rPr>
                <w:sz w:val="18"/>
                <w:szCs w:val="18"/>
              </w:rPr>
              <w:t xml:space="preserve">credit </w:t>
            </w:r>
            <w:r w:rsidRPr="001F4216">
              <w:rPr>
                <w:sz w:val="18"/>
                <w:szCs w:val="18"/>
              </w:rPr>
              <w:t>loss for all loans receivable.</w:t>
            </w:r>
            <w:r w:rsidR="00FA7C77" w:rsidRPr="001F4216">
              <w:rPr>
                <w:sz w:val="18"/>
                <w:szCs w:val="18"/>
              </w:rPr>
              <w:t xml:space="preserve"> </w:t>
            </w:r>
            <w:r w:rsidRPr="00117BAF">
              <w:rPr>
                <w:sz w:val="18"/>
                <w:szCs w:val="18"/>
              </w:rPr>
              <w:t>A provision matrix</w:t>
            </w:r>
            <w:r w:rsidR="003712A4" w:rsidRPr="00117BAF">
              <w:rPr>
                <w:sz w:val="18"/>
                <w:szCs w:val="18"/>
              </w:rPr>
              <w:t>,</w:t>
            </w:r>
            <w:r w:rsidRPr="00117BAF">
              <w:rPr>
                <w:sz w:val="18"/>
                <w:szCs w:val="18"/>
              </w:rPr>
              <w:t xml:space="preserve"> </w:t>
            </w:r>
            <w:r w:rsidR="002B797C" w:rsidRPr="001F4216">
              <w:rPr>
                <w:sz w:val="18"/>
                <w:szCs w:val="18"/>
              </w:rPr>
              <w:t>based on its historical credit loss experience adjusted for forward looking factors</w:t>
            </w:r>
            <w:r w:rsidR="003712A4" w:rsidRPr="001F4216">
              <w:rPr>
                <w:sz w:val="18"/>
                <w:szCs w:val="18"/>
              </w:rPr>
              <w:t>,</w:t>
            </w:r>
            <w:r w:rsidR="002B797C" w:rsidRPr="00117BAF">
              <w:rPr>
                <w:sz w:val="18"/>
                <w:szCs w:val="18"/>
              </w:rPr>
              <w:t xml:space="preserve"> </w:t>
            </w:r>
            <w:r w:rsidRPr="00117BAF">
              <w:rPr>
                <w:sz w:val="18"/>
                <w:szCs w:val="18"/>
              </w:rPr>
              <w:t>is used to calculate the expected credit loss.</w:t>
            </w:r>
          </w:p>
        </w:tc>
      </w:tr>
      <w:tr w:rsidR="005C2C7A" w:rsidRPr="00CF7E1B" w14:paraId="3EE2A957" w14:textId="77777777" w:rsidTr="005F5B4C">
        <w:trPr>
          <w:cantSplit/>
          <w:trHeight w:hRule="exact" w:val="495"/>
        </w:trPr>
        <w:tc>
          <w:tcPr>
            <w:tcW w:w="745" w:type="pct"/>
            <w:tcBorders>
              <w:top w:val="nil"/>
              <w:left w:val="single" w:sz="2" w:space="0" w:color="auto"/>
              <w:bottom w:val="nil"/>
              <w:right w:val="single" w:sz="2" w:space="0" w:color="auto"/>
            </w:tcBorders>
          </w:tcPr>
          <w:p w14:paraId="40F07E10" w14:textId="77777777" w:rsidR="005C2C7A" w:rsidRPr="007E70BB" w:rsidRDefault="005C2C7A" w:rsidP="005C2C7A">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652105A6" w14:textId="70D11455" w:rsidR="005C2C7A" w:rsidRPr="007E70BB" w:rsidRDefault="005C2C7A" w:rsidP="001F4216">
            <w:pPr>
              <w:pStyle w:val="Appxhead3"/>
              <w:spacing w:before="240" w:after="0"/>
              <w:rPr>
                <w:rFonts w:ascii="Calibri" w:hAnsi="Calibri" w:cs="Times New Roman"/>
                <w:bCs/>
                <w:smallCaps w:val="0"/>
                <w:sz w:val="18"/>
                <w:szCs w:val="18"/>
              </w:rPr>
            </w:pPr>
            <w:r w:rsidRPr="007E70BB">
              <w:rPr>
                <w:rFonts w:ascii="Calibri" w:hAnsi="Calibri" w:cs="Calibri"/>
                <w:b w:val="0"/>
                <w:i/>
                <w:iCs/>
                <w:smallCaps w:val="0"/>
                <w:sz w:val="18"/>
                <w:szCs w:val="18"/>
              </w:rPr>
              <w:t>Receivables for Finance Leases as Lessor</w:t>
            </w:r>
          </w:p>
        </w:tc>
      </w:tr>
      <w:tr w:rsidR="005C2C7A" w:rsidRPr="00CF7E1B" w14:paraId="422695DF" w14:textId="77777777" w:rsidTr="005F5B4C">
        <w:trPr>
          <w:cantSplit/>
          <w:trHeight w:hRule="exact" w:val="1736"/>
        </w:trPr>
        <w:tc>
          <w:tcPr>
            <w:tcW w:w="745" w:type="pct"/>
            <w:tcBorders>
              <w:top w:val="nil"/>
              <w:left w:val="single" w:sz="2" w:space="0" w:color="auto"/>
              <w:bottom w:val="nil"/>
              <w:right w:val="single" w:sz="2" w:space="0" w:color="auto"/>
            </w:tcBorders>
          </w:tcPr>
          <w:p w14:paraId="2005F4B8" w14:textId="77777777" w:rsidR="005C2C7A" w:rsidRPr="007E70BB" w:rsidRDefault="005C2C7A" w:rsidP="005C2C7A">
            <w:pPr>
              <w:rPr>
                <w:color w:val="7030A0"/>
                <w:sz w:val="14"/>
                <w:szCs w:val="14"/>
              </w:rPr>
            </w:pPr>
            <w:r w:rsidRPr="007E70BB">
              <w:rPr>
                <w:color w:val="7030A0"/>
                <w:sz w:val="14"/>
                <w:szCs w:val="14"/>
              </w:rPr>
              <w:t>AASB 16.61</w:t>
            </w:r>
          </w:p>
          <w:p w14:paraId="1F8A09CB" w14:textId="77777777" w:rsidR="005C2C7A" w:rsidRPr="007E70BB" w:rsidRDefault="005C2C7A" w:rsidP="005C2C7A">
            <w:pPr>
              <w:rPr>
                <w:color w:val="7030A0"/>
                <w:sz w:val="14"/>
                <w:szCs w:val="14"/>
              </w:rPr>
            </w:pPr>
            <w:r w:rsidRPr="007E70BB">
              <w:rPr>
                <w:color w:val="7030A0"/>
                <w:sz w:val="14"/>
                <w:szCs w:val="14"/>
              </w:rPr>
              <w:t>AASB 16.62</w:t>
            </w:r>
          </w:p>
          <w:p w14:paraId="6B06565A" w14:textId="77777777" w:rsidR="005C2C7A" w:rsidRPr="007E70BB" w:rsidRDefault="005C2C7A" w:rsidP="005C2C7A">
            <w:pPr>
              <w:pStyle w:val="TableReference"/>
              <w:tabs>
                <w:tab w:val="left" w:pos="3306"/>
              </w:tabs>
              <w:rPr>
                <w:rFonts w:cs="Calibri"/>
                <w:b/>
                <w:color w:val="7030A0"/>
                <w:sz w:val="20"/>
                <w:szCs w:val="20"/>
              </w:rPr>
            </w:pPr>
          </w:p>
        </w:tc>
        <w:tc>
          <w:tcPr>
            <w:tcW w:w="4255" w:type="pct"/>
            <w:gridSpan w:val="5"/>
            <w:tcBorders>
              <w:top w:val="nil"/>
              <w:left w:val="single" w:sz="2" w:space="0" w:color="auto"/>
              <w:bottom w:val="nil"/>
              <w:right w:val="nil"/>
            </w:tcBorders>
          </w:tcPr>
          <w:p w14:paraId="6D2BBE0B" w14:textId="37F4BC45" w:rsidR="005C2C7A" w:rsidRPr="007E70BB" w:rsidRDefault="005C2C7A" w:rsidP="006C7429">
            <w:pPr>
              <w:jc w:val="both"/>
              <w:rPr>
                <w:bCs/>
                <w:smallCaps/>
                <w:sz w:val="18"/>
                <w:szCs w:val="18"/>
              </w:rPr>
            </w:pPr>
            <w:r w:rsidRPr="007E70BB">
              <w:rPr>
                <w:sz w:val="18"/>
                <w:szCs w:val="18"/>
              </w:rPr>
              <w:t>‘Burley Griffin Agency’ has excess capacity in leased storage facility properties under a head lease.</w:t>
            </w:r>
            <w:r w:rsidR="00FA7C77">
              <w:rPr>
                <w:sz w:val="18"/>
                <w:szCs w:val="18"/>
              </w:rPr>
              <w:t xml:space="preserve"> </w:t>
            </w:r>
            <w:r w:rsidRPr="007E70BB">
              <w:rPr>
                <w:sz w:val="18"/>
                <w:szCs w:val="18"/>
              </w:rPr>
              <w:t>As such, ‘Burley Griffin Agency’ has sub-leased this excess capacity for the remaining life of the head lease at the same rate as the Agency is paying under the head lease.</w:t>
            </w:r>
            <w:r w:rsidR="00FA7C77">
              <w:rPr>
                <w:sz w:val="18"/>
                <w:szCs w:val="18"/>
              </w:rPr>
              <w:t xml:space="preserve"> </w:t>
            </w:r>
            <w:r w:rsidRPr="007E70BB">
              <w:rPr>
                <w:sz w:val="18"/>
                <w:szCs w:val="18"/>
              </w:rPr>
              <w:t>‘Burley Griffin Agency’ accounts for the head lease and sub-lease separately.</w:t>
            </w:r>
            <w:r w:rsidR="00FA7C77">
              <w:rPr>
                <w:sz w:val="18"/>
                <w:szCs w:val="18"/>
              </w:rPr>
              <w:t xml:space="preserve"> </w:t>
            </w:r>
            <w:r w:rsidRPr="007E70BB">
              <w:rPr>
                <w:sz w:val="18"/>
                <w:szCs w:val="18"/>
              </w:rPr>
              <w:t>The sub</w:t>
            </w:r>
            <w:r w:rsidR="00117BAF" w:rsidRPr="007E70BB">
              <w:rPr>
                <w:sz w:val="18"/>
                <w:szCs w:val="18"/>
              </w:rPr>
              <w:noBreakHyphen/>
            </w:r>
            <w:r w:rsidRPr="007E70BB">
              <w:rPr>
                <w:sz w:val="18"/>
                <w:szCs w:val="18"/>
              </w:rPr>
              <w:t>lease under this arrangement has been classified as</w:t>
            </w:r>
            <w:r w:rsidR="00763617" w:rsidRPr="007E70BB">
              <w:rPr>
                <w:sz w:val="18"/>
                <w:szCs w:val="18"/>
              </w:rPr>
              <w:t xml:space="preserve"> a</w:t>
            </w:r>
            <w:r w:rsidRPr="007E70BB">
              <w:rPr>
                <w:sz w:val="18"/>
                <w:szCs w:val="18"/>
              </w:rPr>
              <w:t xml:space="preserve"> finance lease, as they substantially transfer all the risks and rewards of ownership from ‘</w:t>
            </w:r>
            <w:r w:rsidRPr="007E70BB">
              <w:rPr>
                <w:rFonts w:cs="Calibri"/>
                <w:sz w:val="18"/>
                <w:szCs w:val="18"/>
              </w:rPr>
              <w:t>Burley Griffin</w:t>
            </w:r>
            <w:r w:rsidRPr="007E70BB">
              <w:rPr>
                <w:sz w:val="18"/>
                <w:szCs w:val="18"/>
              </w:rPr>
              <w:t xml:space="preserve"> Agency’ to the lessee.</w:t>
            </w:r>
            <w:r w:rsidR="00FA7C77">
              <w:rPr>
                <w:sz w:val="18"/>
                <w:szCs w:val="18"/>
              </w:rPr>
              <w:t xml:space="preserve"> </w:t>
            </w:r>
            <w:r w:rsidRPr="007E70BB">
              <w:rPr>
                <w:bCs/>
                <w:sz w:val="18"/>
                <w:szCs w:val="18"/>
              </w:rPr>
              <w:t>The classification of the sub-lease is based on the right-of-use asset which arises from the head lease rather than the useful life of the underlying asset.</w:t>
            </w:r>
            <w:r w:rsidR="00FA7C77">
              <w:rPr>
                <w:bCs/>
                <w:sz w:val="18"/>
                <w:szCs w:val="18"/>
              </w:rPr>
              <w:t xml:space="preserve"> </w:t>
            </w:r>
            <w:r w:rsidRPr="007E70BB">
              <w:rPr>
                <w:sz w:val="18"/>
                <w:szCs w:val="18"/>
              </w:rPr>
              <w:t>As such, the right</w:t>
            </w:r>
            <w:r w:rsidR="006C7429" w:rsidRPr="007E70BB">
              <w:rPr>
                <w:sz w:val="18"/>
                <w:szCs w:val="18"/>
              </w:rPr>
              <w:t>-</w:t>
            </w:r>
            <w:r w:rsidRPr="007E70BB">
              <w:rPr>
                <w:sz w:val="18"/>
                <w:szCs w:val="18"/>
              </w:rPr>
              <w:t>of</w:t>
            </w:r>
            <w:r w:rsidR="006C7429" w:rsidRPr="007E70BB">
              <w:rPr>
                <w:sz w:val="18"/>
                <w:szCs w:val="18"/>
              </w:rPr>
              <w:t>-</w:t>
            </w:r>
            <w:r w:rsidRPr="007E70BB">
              <w:rPr>
                <w:sz w:val="18"/>
                <w:szCs w:val="18"/>
              </w:rPr>
              <w:t>use asset has been derecognised and a</w:t>
            </w:r>
            <w:r w:rsidR="00117BAF" w:rsidRPr="007E70BB">
              <w:rPr>
                <w:sz w:val="18"/>
                <w:szCs w:val="18"/>
              </w:rPr>
              <w:t xml:space="preserve"> </w:t>
            </w:r>
            <w:r w:rsidRPr="007E70BB">
              <w:rPr>
                <w:sz w:val="18"/>
                <w:szCs w:val="18"/>
              </w:rPr>
              <w:t>finance lease receivable recognised in its place. This arrangement is due to expire in 2035.</w:t>
            </w:r>
          </w:p>
        </w:tc>
      </w:tr>
      <w:tr w:rsidR="005C2C7A" w:rsidRPr="0022649D" w14:paraId="3C112C0E" w14:textId="77777777" w:rsidTr="005F5B4C">
        <w:trPr>
          <w:cantSplit/>
          <w:trHeight w:val="283"/>
        </w:trPr>
        <w:tc>
          <w:tcPr>
            <w:tcW w:w="745" w:type="pct"/>
            <w:tcBorders>
              <w:top w:val="nil"/>
              <w:left w:val="single" w:sz="2" w:space="0" w:color="auto"/>
              <w:bottom w:val="nil"/>
              <w:right w:val="single" w:sz="2" w:space="0" w:color="auto"/>
            </w:tcBorders>
          </w:tcPr>
          <w:p w14:paraId="0A588214" w14:textId="77777777" w:rsidR="005C2C7A" w:rsidRPr="007E70BB" w:rsidRDefault="005C2C7A" w:rsidP="005C2C7A">
            <w:pPr>
              <w:pStyle w:val="TableReference"/>
              <w:tabs>
                <w:tab w:val="left" w:pos="3306"/>
              </w:tabs>
              <w:spacing w:before="40"/>
              <w:jc w:val="both"/>
              <w:rPr>
                <w:rFonts w:cs="Calibri"/>
                <w:b/>
                <w:color w:val="7030A0"/>
                <w:sz w:val="20"/>
                <w:szCs w:val="20"/>
              </w:rPr>
            </w:pPr>
          </w:p>
        </w:tc>
        <w:tc>
          <w:tcPr>
            <w:tcW w:w="4255" w:type="pct"/>
            <w:gridSpan w:val="5"/>
            <w:tcBorders>
              <w:top w:val="nil"/>
              <w:left w:val="single" w:sz="2" w:space="0" w:color="auto"/>
              <w:bottom w:val="nil"/>
              <w:right w:val="nil"/>
            </w:tcBorders>
          </w:tcPr>
          <w:p w14:paraId="0082FC2E" w14:textId="37B84F5A" w:rsidR="005C2C7A" w:rsidRPr="007E70BB" w:rsidRDefault="005C2C7A" w:rsidP="005C2C7A">
            <w:pPr>
              <w:pStyle w:val="Heading1"/>
              <w:numPr>
                <w:ilvl w:val="0"/>
                <w:numId w:val="0"/>
              </w:numPr>
              <w:spacing w:before="120" w:after="0"/>
              <w:rPr>
                <w:rFonts w:ascii="Calibri" w:hAnsi="Calibri" w:cs="Calibri"/>
                <w:b w:val="0"/>
                <w:bCs w:val="0"/>
                <w:i/>
                <w:iCs/>
                <w:caps w:val="0"/>
                <w:sz w:val="18"/>
                <w:szCs w:val="18"/>
              </w:rPr>
            </w:pPr>
            <w:bookmarkStart w:id="499" w:name="_Toc98763110"/>
            <w:r w:rsidRPr="007E70BB">
              <w:rPr>
                <w:rFonts w:ascii="Calibri" w:hAnsi="Calibri" w:cs="Calibri"/>
                <w:b w:val="0"/>
                <w:bCs w:val="0"/>
                <w:i/>
                <w:iCs/>
                <w:caps w:val="0"/>
                <w:sz w:val="18"/>
                <w:szCs w:val="18"/>
              </w:rPr>
              <w:t>Contract Assets</w:t>
            </w:r>
            <w:bookmarkEnd w:id="499"/>
          </w:p>
        </w:tc>
      </w:tr>
      <w:tr w:rsidR="005C2C7A" w:rsidRPr="0022649D" w14:paraId="21265873" w14:textId="77777777" w:rsidTr="005F5B4C">
        <w:trPr>
          <w:cantSplit/>
          <w:trHeight w:val="363"/>
        </w:trPr>
        <w:tc>
          <w:tcPr>
            <w:tcW w:w="745" w:type="pct"/>
            <w:tcBorders>
              <w:top w:val="nil"/>
              <w:left w:val="single" w:sz="2" w:space="0" w:color="auto"/>
              <w:bottom w:val="nil"/>
              <w:right w:val="single" w:sz="2" w:space="0" w:color="auto"/>
            </w:tcBorders>
          </w:tcPr>
          <w:p w14:paraId="51E06E99" w14:textId="77777777" w:rsidR="005C2C7A" w:rsidRPr="007E70BB" w:rsidRDefault="005C2C7A" w:rsidP="005C2C7A">
            <w:pPr>
              <w:pStyle w:val="TableReference"/>
              <w:tabs>
                <w:tab w:val="left" w:pos="3306"/>
              </w:tabs>
              <w:spacing w:before="40"/>
              <w:jc w:val="both"/>
              <w:rPr>
                <w:rFonts w:cs="Calibri"/>
                <w:color w:val="7030A0"/>
                <w:sz w:val="14"/>
              </w:rPr>
            </w:pPr>
            <w:r w:rsidRPr="007E70BB">
              <w:rPr>
                <w:rFonts w:cs="Calibri"/>
                <w:color w:val="7030A0"/>
                <w:sz w:val="14"/>
              </w:rPr>
              <w:t>AASB 15.117</w:t>
            </w:r>
          </w:p>
          <w:p w14:paraId="5FC330D0" w14:textId="77777777" w:rsidR="005C2C7A" w:rsidRPr="007E70BB" w:rsidRDefault="005C2C7A" w:rsidP="005C2C7A">
            <w:pPr>
              <w:pStyle w:val="TableReference"/>
              <w:tabs>
                <w:tab w:val="left" w:pos="3306"/>
              </w:tabs>
              <w:spacing w:before="40"/>
              <w:jc w:val="both"/>
              <w:rPr>
                <w:rFonts w:cs="Calibri"/>
                <w:color w:val="7030A0"/>
                <w:sz w:val="14"/>
              </w:rPr>
            </w:pPr>
          </w:p>
        </w:tc>
        <w:tc>
          <w:tcPr>
            <w:tcW w:w="4255" w:type="pct"/>
            <w:gridSpan w:val="5"/>
            <w:tcBorders>
              <w:top w:val="nil"/>
              <w:left w:val="single" w:sz="2" w:space="0" w:color="auto"/>
              <w:bottom w:val="nil"/>
              <w:right w:val="nil"/>
            </w:tcBorders>
          </w:tcPr>
          <w:p w14:paraId="5E348D87" w14:textId="237EC1F5" w:rsidR="005C2C7A" w:rsidRPr="007E70BB" w:rsidRDefault="005C2C7A" w:rsidP="005C2C7A">
            <w:pPr>
              <w:pStyle w:val="Heading1"/>
              <w:numPr>
                <w:ilvl w:val="0"/>
                <w:numId w:val="0"/>
              </w:numPr>
              <w:spacing w:before="0" w:after="120"/>
              <w:jc w:val="both"/>
              <w:rPr>
                <w:rFonts w:ascii="Calibri" w:hAnsi="Calibri" w:cs="Arial"/>
                <w:b w:val="0"/>
                <w:bCs w:val="0"/>
                <w:caps w:val="0"/>
                <w:sz w:val="18"/>
                <w:szCs w:val="18"/>
                <w:lang w:eastAsia="en-AU"/>
              </w:rPr>
            </w:pPr>
            <w:bookmarkStart w:id="500" w:name="_Toc98763111"/>
            <w:r w:rsidRPr="007E70BB">
              <w:rPr>
                <w:rFonts w:ascii="Calibri" w:hAnsi="Calibri" w:cs="Arial"/>
                <w:b w:val="0"/>
                <w:bCs w:val="0"/>
                <w:caps w:val="0"/>
                <w:sz w:val="18"/>
                <w:szCs w:val="18"/>
                <w:lang w:eastAsia="en-AU"/>
              </w:rPr>
              <w:t>Contract assets relate to ‘</w:t>
            </w:r>
            <w:r w:rsidRPr="007E70BB">
              <w:rPr>
                <w:rFonts w:ascii="Calibri" w:hAnsi="Calibri" w:cs="Calibri"/>
                <w:b w:val="0"/>
                <w:bCs w:val="0"/>
                <w:caps w:val="0"/>
                <w:sz w:val="18"/>
                <w:szCs w:val="18"/>
              </w:rPr>
              <w:t>Burley Griffin</w:t>
            </w:r>
            <w:r w:rsidRPr="007E70BB">
              <w:rPr>
                <w:sz w:val="18"/>
                <w:szCs w:val="18"/>
              </w:rPr>
              <w:t xml:space="preserve"> </w:t>
            </w:r>
            <w:r w:rsidRPr="007E70BB">
              <w:rPr>
                <w:rFonts w:ascii="Calibri" w:hAnsi="Calibri" w:cs="Arial"/>
                <w:b w:val="0"/>
                <w:bCs w:val="0"/>
                <w:caps w:val="0"/>
                <w:sz w:val="18"/>
                <w:szCs w:val="18"/>
                <w:lang w:eastAsia="en-AU"/>
              </w:rPr>
              <w:t xml:space="preserve">Agency’s’ right to consideration in exchange for works completed but not invoiced at the reporting date in respect of </w:t>
            </w:r>
            <w:r w:rsidRPr="007E70BB">
              <w:rPr>
                <w:rFonts w:ascii="Calibri" w:hAnsi="Calibri" w:cs="Calibri"/>
                <w:b w:val="0"/>
                <w:bCs w:val="0"/>
                <w:caps w:val="0"/>
                <w:sz w:val="18"/>
                <w:szCs w:val="18"/>
              </w:rPr>
              <w:t>Facilities Management Services and Property Management Services it provides to ACT and non-ACT Government customers</w:t>
            </w:r>
            <w:r w:rsidRPr="007E70BB">
              <w:rPr>
                <w:rFonts w:ascii="Calibri" w:hAnsi="Calibri" w:cs="Arial"/>
                <w:b w:val="0"/>
                <w:bCs w:val="0"/>
                <w:caps w:val="0"/>
                <w:sz w:val="18"/>
                <w:szCs w:val="18"/>
                <w:lang w:eastAsia="en-AU"/>
              </w:rPr>
              <w:t>.</w:t>
            </w:r>
            <w:r w:rsidR="00FA7C77">
              <w:rPr>
                <w:rFonts w:ascii="Calibri" w:hAnsi="Calibri" w:cs="Arial"/>
                <w:b w:val="0"/>
                <w:bCs w:val="0"/>
                <w:caps w:val="0"/>
                <w:sz w:val="18"/>
                <w:szCs w:val="18"/>
                <w:lang w:eastAsia="en-AU"/>
              </w:rPr>
              <w:t xml:space="preserve"> </w:t>
            </w:r>
            <w:r w:rsidRPr="007E70BB">
              <w:rPr>
                <w:rFonts w:ascii="Calibri" w:hAnsi="Calibri" w:cs="Arial"/>
                <w:b w:val="0"/>
                <w:bCs w:val="0"/>
                <w:caps w:val="0"/>
                <w:sz w:val="18"/>
                <w:szCs w:val="18"/>
                <w:lang w:eastAsia="en-AU"/>
              </w:rPr>
              <w:t>T</w:t>
            </w:r>
            <w:r w:rsidRPr="007E70BB">
              <w:rPr>
                <w:rFonts w:ascii="Calibri" w:hAnsi="Calibri" w:cs="Calibri"/>
                <w:b w:val="0"/>
                <w:bCs w:val="0"/>
                <w:caps w:val="0"/>
                <w:sz w:val="18"/>
                <w:szCs w:val="18"/>
              </w:rPr>
              <w:t xml:space="preserve">he benefits of </w:t>
            </w:r>
            <w:r w:rsidR="00012210" w:rsidRPr="007E70BB">
              <w:rPr>
                <w:rFonts w:ascii="Calibri" w:hAnsi="Calibri" w:cs="Calibri"/>
                <w:b w:val="0"/>
                <w:bCs w:val="0"/>
                <w:caps w:val="0"/>
                <w:sz w:val="18"/>
                <w:szCs w:val="18"/>
              </w:rPr>
              <w:t xml:space="preserve">Property Management Services </w:t>
            </w:r>
            <w:r w:rsidRPr="007E70BB">
              <w:rPr>
                <w:rFonts w:ascii="Calibri" w:hAnsi="Calibri" w:cs="Calibri"/>
                <w:b w:val="0"/>
                <w:bCs w:val="0"/>
                <w:caps w:val="0"/>
                <w:sz w:val="18"/>
                <w:szCs w:val="18"/>
              </w:rPr>
              <w:t>are received and consumed by the customers of ‘Burley Griffin Agency’ on a monthly basis.</w:t>
            </w:r>
            <w:r w:rsidR="00FA7C77">
              <w:rPr>
                <w:rFonts w:ascii="Calibri" w:hAnsi="Calibri" w:cs="Calibri"/>
                <w:b w:val="0"/>
                <w:bCs w:val="0"/>
                <w:caps w:val="0"/>
                <w:sz w:val="18"/>
                <w:szCs w:val="18"/>
              </w:rPr>
              <w:t xml:space="preserve"> </w:t>
            </w:r>
            <w:r w:rsidRPr="007E70BB">
              <w:rPr>
                <w:rFonts w:ascii="Calibri" w:hAnsi="Calibri" w:cs="Calibri"/>
                <w:b w:val="0"/>
                <w:bCs w:val="0"/>
                <w:caps w:val="0"/>
                <w:sz w:val="18"/>
                <w:szCs w:val="18"/>
              </w:rPr>
              <w:t>However the amount is only invoiced to customers at the start of the following month thereby resulting in the Agency recognising a contract asset at year end for services provided in June 2022.</w:t>
            </w:r>
            <w:r w:rsidR="00012210" w:rsidRPr="007E70BB">
              <w:rPr>
                <w:rFonts w:ascii="Calibri" w:hAnsi="Calibri" w:cs="Calibri"/>
                <w:b w:val="0"/>
                <w:bCs w:val="0"/>
                <w:caps w:val="0"/>
                <w:sz w:val="18"/>
                <w:szCs w:val="18"/>
              </w:rPr>
              <w:t xml:space="preserve"> Facilities Management Services are invoiced once the maintenance work is completed.</w:t>
            </w:r>
            <w:bookmarkEnd w:id="500"/>
          </w:p>
        </w:tc>
      </w:tr>
      <w:tr w:rsidR="005C2C7A" w:rsidRPr="00522585" w14:paraId="565D221D" w14:textId="77777777" w:rsidTr="005F5B4C">
        <w:trPr>
          <w:cantSplit/>
          <w:trHeight w:val="454"/>
        </w:trPr>
        <w:tc>
          <w:tcPr>
            <w:tcW w:w="745" w:type="pct"/>
            <w:tcBorders>
              <w:top w:val="nil"/>
              <w:left w:val="single" w:sz="2" w:space="0" w:color="auto"/>
              <w:bottom w:val="nil"/>
              <w:right w:val="single" w:sz="2" w:space="0" w:color="auto"/>
            </w:tcBorders>
          </w:tcPr>
          <w:p w14:paraId="79D3E987" w14:textId="77777777" w:rsidR="005C2C7A" w:rsidRPr="007E70BB" w:rsidRDefault="005C2C7A" w:rsidP="005C2C7A">
            <w:pPr>
              <w:pStyle w:val="TableReference"/>
              <w:tabs>
                <w:tab w:val="left" w:pos="3306"/>
              </w:tabs>
              <w:spacing w:before="40"/>
              <w:rPr>
                <w:rFonts w:cs="Calibri"/>
                <w:b/>
                <w:color w:val="7030A0"/>
                <w:sz w:val="14"/>
              </w:rPr>
            </w:pPr>
            <w:r w:rsidRPr="007E70BB">
              <w:rPr>
                <w:color w:val="7030A0"/>
                <w:sz w:val="14"/>
              </w:rPr>
              <w:t>AASB 15.107</w:t>
            </w:r>
          </w:p>
        </w:tc>
        <w:tc>
          <w:tcPr>
            <w:tcW w:w="4255" w:type="pct"/>
            <w:gridSpan w:val="5"/>
            <w:tcBorders>
              <w:top w:val="nil"/>
              <w:left w:val="single" w:sz="2" w:space="0" w:color="auto"/>
              <w:bottom w:val="nil"/>
              <w:right w:val="nil"/>
            </w:tcBorders>
          </w:tcPr>
          <w:p w14:paraId="51B2E08B" w14:textId="47FE9B3F" w:rsidR="005C2C7A" w:rsidRPr="007E70BB" w:rsidRDefault="005C2C7A" w:rsidP="005C2C7A">
            <w:pPr>
              <w:pStyle w:val="ListParagraph"/>
              <w:spacing w:after="120"/>
              <w:ind w:left="0"/>
              <w:contextualSpacing w:val="0"/>
              <w:jc w:val="both"/>
              <w:rPr>
                <w:rFonts w:cs="Arial"/>
                <w:sz w:val="18"/>
                <w:szCs w:val="18"/>
                <w:lang w:eastAsia="en-AU"/>
              </w:rPr>
            </w:pPr>
            <w:r w:rsidRPr="007E70BB">
              <w:rPr>
                <w:rFonts w:cs="Arial"/>
                <w:sz w:val="18"/>
                <w:szCs w:val="18"/>
                <w:lang w:eastAsia="en-AU"/>
              </w:rPr>
              <w:t xml:space="preserve">The amounts billed to customers are based on the achievement of various milestones established in the contract, </w:t>
            </w:r>
            <w:r w:rsidR="000938D6" w:rsidRPr="007E70BB">
              <w:rPr>
                <w:rFonts w:cs="Arial"/>
                <w:sz w:val="18"/>
                <w:szCs w:val="18"/>
                <w:lang w:eastAsia="en-AU"/>
              </w:rPr>
              <w:t xml:space="preserve">therefore </w:t>
            </w:r>
            <w:r w:rsidRPr="007E70BB">
              <w:rPr>
                <w:rFonts w:cs="Arial"/>
                <w:sz w:val="18"/>
                <w:szCs w:val="18"/>
                <w:lang w:eastAsia="en-AU"/>
              </w:rPr>
              <w:t>the amounts recognised as revenue in a given period do not necessarily coincide with the amounts billed to or certified by the customer.</w:t>
            </w:r>
            <w:r w:rsidR="00FA7C77">
              <w:rPr>
                <w:rFonts w:cs="Arial"/>
                <w:sz w:val="18"/>
                <w:szCs w:val="18"/>
                <w:lang w:eastAsia="en-AU"/>
              </w:rPr>
              <w:t xml:space="preserve"> </w:t>
            </w:r>
          </w:p>
        </w:tc>
      </w:tr>
      <w:tr w:rsidR="00F22D61" w:rsidRPr="00CF7E1B" w14:paraId="700B94A5" w14:textId="77777777" w:rsidTr="005F5B4C">
        <w:trPr>
          <w:cantSplit/>
          <w:trHeight w:val="23"/>
        </w:trPr>
        <w:tc>
          <w:tcPr>
            <w:tcW w:w="745" w:type="pct"/>
            <w:tcBorders>
              <w:top w:val="nil"/>
              <w:left w:val="single" w:sz="2" w:space="0" w:color="auto"/>
              <w:bottom w:val="nil"/>
              <w:right w:val="single" w:sz="2" w:space="0" w:color="auto"/>
            </w:tcBorders>
          </w:tcPr>
          <w:p w14:paraId="34ACCFBC" w14:textId="77777777" w:rsidR="00F22D61" w:rsidRPr="003E75E3" w:rsidRDefault="00F22D61" w:rsidP="00DA5473">
            <w:pPr>
              <w:pStyle w:val="TableReference"/>
              <w:tabs>
                <w:tab w:val="left" w:pos="3306"/>
              </w:tabs>
              <w:spacing w:before="240" w:after="240"/>
              <w:rPr>
                <w:rFonts w:cs="Calibri"/>
                <w:color w:val="7030A0"/>
                <w:sz w:val="14"/>
              </w:rPr>
            </w:pPr>
            <w:r w:rsidRPr="003E75E3">
              <w:rPr>
                <w:rFonts w:cs="Calibri"/>
                <w:b/>
                <w:color w:val="7030A0"/>
                <w:sz w:val="22"/>
                <w:szCs w:val="22"/>
              </w:rPr>
              <w:t>Reference</w:t>
            </w:r>
          </w:p>
        </w:tc>
        <w:tc>
          <w:tcPr>
            <w:tcW w:w="4255" w:type="pct"/>
            <w:gridSpan w:val="5"/>
            <w:tcBorders>
              <w:top w:val="nil"/>
              <w:left w:val="single" w:sz="2" w:space="0" w:color="auto"/>
              <w:bottom w:val="nil"/>
              <w:right w:val="nil"/>
            </w:tcBorders>
          </w:tcPr>
          <w:p w14:paraId="64AA304B" w14:textId="77777777" w:rsidR="00F22D61" w:rsidRPr="003E75E3" w:rsidRDefault="00F22D61" w:rsidP="00DA5473">
            <w:pPr>
              <w:pStyle w:val="TableText"/>
              <w:tabs>
                <w:tab w:val="left" w:pos="3306"/>
              </w:tabs>
              <w:spacing w:before="240" w:after="240"/>
              <w:rPr>
                <w:rFonts w:cs="Calibri"/>
              </w:rPr>
            </w:pPr>
            <w:r w:rsidRPr="003E75E3">
              <w:rPr>
                <w:rFonts w:ascii="Arial" w:hAnsi="Arial"/>
                <w:b/>
                <w:bCs/>
                <w:caps/>
                <w:sz w:val="32"/>
                <w:szCs w:val="24"/>
              </w:rPr>
              <w:t>Note 16.</w:t>
            </w:r>
            <w:r>
              <w:rPr>
                <w:rFonts w:ascii="Arial" w:hAnsi="Arial"/>
                <w:b/>
                <w:bCs/>
                <w:caps/>
                <w:sz w:val="32"/>
                <w:szCs w:val="24"/>
              </w:rPr>
              <w:t xml:space="preserve"> </w:t>
            </w:r>
            <w:r w:rsidRPr="003E75E3">
              <w:rPr>
                <w:rFonts w:ascii="Arial" w:hAnsi="Arial"/>
                <w:b/>
                <w:bCs/>
                <w:caps/>
                <w:sz w:val="32"/>
                <w:szCs w:val="24"/>
              </w:rPr>
              <w:t xml:space="preserve"> Receivables and Contract Assets </w:t>
            </w:r>
            <w:r>
              <w:rPr>
                <w:rFonts w:ascii="Arial" w:hAnsi="Arial"/>
                <w:b/>
                <w:bCs/>
                <w:caps/>
                <w:sz w:val="32"/>
                <w:szCs w:val="24"/>
              </w:rPr>
              <w:t>–</w:t>
            </w:r>
            <w:r w:rsidRPr="003E75E3">
              <w:rPr>
                <w:rFonts w:ascii="Arial" w:hAnsi="Arial"/>
                <w:b/>
                <w:bCs/>
                <w:caps/>
                <w:sz w:val="32"/>
                <w:szCs w:val="24"/>
              </w:rPr>
              <w:t xml:space="preserve"> Continued</w:t>
            </w:r>
            <w:r>
              <w:rPr>
                <w:rFonts w:ascii="Arial" w:hAnsi="Arial"/>
                <w:b/>
                <w:bCs/>
                <w:caps/>
                <w:sz w:val="32"/>
                <w:szCs w:val="24"/>
              </w:rPr>
              <w:t xml:space="preserve"> </w:t>
            </w:r>
          </w:p>
        </w:tc>
      </w:tr>
      <w:tr w:rsidR="005C2C7A" w:rsidRPr="001E4E9E" w14:paraId="78C668CF" w14:textId="77777777" w:rsidTr="005F5B4C">
        <w:trPr>
          <w:cantSplit/>
          <w:trHeight w:val="454"/>
        </w:trPr>
        <w:tc>
          <w:tcPr>
            <w:tcW w:w="745" w:type="pct"/>
            <w:tcBorders>
              <w:top w:val="nil"/>
              <w:left w:val="single" w:sz="2" w:space="0" w:color="auto"/>
              <w:bottom w:val="nil"/>
              <w:right w:val="single" w:sz="2" w:space="0" w:color="auto"/>
            </w:tcBorders>
          </w:tcPr>
          <w:p w14:paraId="4DF2A8C5" w14:textId="77777777" w:rsidR="005C2C7A" w:rsidRPr="007E70BB" w:rsidRDefault="005C2C7A" w:rsidP="005C2C7A">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tcPr>
          <w:p w14:paraId="71417F88" w14:textId="1B3B6A1B" w:rsidR="005C2C7A" w:rsidRPr="007E70BB" w:rsidRDefault="005C2C7A" w:rsidP="00117BAF">
            <w:pPr>
              <w:pStyle w:val="ListParagraph"/>
              <w:spacing w:after="120"/>
              <w:ind w:left="0"/>
              <w:contextualSpacing w:val="0"/>
              <w:jc w:val="both"/>
              <w:rPr>
                <w:rFonts w:cs="Arial"/>
                <w:sz w:val="18"/>
                <w:szCs w:val="18"/>
                <w:lang w:eastAsia="en-AU"/>
              </w:rPr>
            </w:pPr>
            <w:r w:rsidRPr="007E70BB">
              <w:rPr>
                <w:rFonts w:cs="Calibri"/>
                <w:sz w:val="18"/>
                <w:szCs w:val="18"/>
              </w:rPr>
              <w:t>When a performance obligation is satisfied by transferring a promised good or service to the customer before the customer pays consideration or before payment is due, the Agency presents the contract as a contract asset, unless the Agency’s rights to that amount of consideration are unconditional, in which case a receivable is recognised.</w:t>
            </w:r>
          </w:p>
        </w:tc>
      </w:tr>
      <w:tr w:rsidR="005C2C7A" w:rsidRPr="001E4E9E" w14:paraId="22DB69D3" w14:textId="77777777" w:rsidTr="005F5B4C">
        <w:trPr>
          <w:cantSplit/>
          <w:trHeight w:val="454"/>
        </w:trPr>
        <w:tc>
          <w:tcPr>
            <w:tcW w:w="745" w:type="pct"/>
            <w:tcBorders>
              <w:top w:val="nil"/>
              <w:left w:val="single" w:sz="2" w:space="0" w:color="auto"/>
              <w:bottom w:val="nil"/>
              <w:right w:val="single" w:sz="2" w:space="0" w:color="auto"/>
            </w:tcBorders>
          </w:tcPr>
          <w:p w14:paraId="6E7281EB" w14:textId="77777777" w:rsidR="005C2C7A" w:rsidRPr="007E70BB" w:rsidRDefault="005C2C7A" w:rsidP="005C2C7A">
            <w:pPr>
              <w:pStyle w:val="TableReference"/>
              <w:tabs>
                <w:tab w:val="left" w:pos="3306"/>
              </w:tabs>
              <w:spacing w:before="40"/>
              <w:rPr>
                <w:rFonts w:cs="Calibri"/>
                <w:b/>
                <w:color w:val="7030A0"/>
                <w:sz w:val="14"/>
              </w:rPr>
            </w:pPr>
            <w:r w:rsidRPr="007E70BB">
              <w:rPr>
                <w:color w:val="7030A0"/>
                <w:sz w:val="14"/>
              </w:rPr>
              <w:t>AASB 15.95</w:t>
            </w:r>
          </w:p>
        </w:tc>
        <w:tc>
          <w:tcPr>
            <w:tcW w:w="4255" w:type="pct"/>
            <w:gridSpan w:val="5"/>
            <w:tcBorders>
              <w:top w:val="nil"/>
              <w:left w:val="single" w:sz="2" w:space="0" w:color="auto"/>
              <w:bottom w:val="nil"/>
              <w:right w:val="nil"/>
            </w:tcBorders>
          </w:tcPr>
          <w:p w14:paraId="39EF0D3B" w14:textId="4A9AE984" w:rsidR="005C2C7A" w:rsidRPr="007E70BB" w:rsidRDefault="005C2C7A" w:rsidP="005C2C7A">
            <w:pPr>
              <w:jc w:val="both"/>
              <w:rPr>
                <w:rFonts w:eastAsia="Calibri"/>
                <w:sz w:val="18"/>
                <w:szCs w:val="18"/>
              </w:rPr>
            </w:pPr>
            <w:r w:rsidRPr="007E70BB">
              <w:rPr>
                <w:rFonts w:eastAsia="Calibri"/>
                <w:sz w:val="18"/>
                <w:szCs w:val="18"/>
              </w:rPr>
              <w:t>Where costs are incurred to fulfil a contract, they are accounted for under the relevant accounting standard, otherwise if the costs relate directly to a contract, the costs generate or enhance resources of the Agency that will be used to satisfy performance obligations in the future and the costs are expected to be recovered</w:t>
            </w:r>
            <w:r w:rsidR="000938D6" w:rsidRPr="007E70BB">
              <w:rPr>
                <w:rFonts w:eastAsia="Calibri"/>
                <w:sz w:val="18"/>
                <w:szCs w:val="18"/>
              </w:rPr>
              <w:t>,</w:t>
            </w:r>
            <w:r w:rsidRPr="007E70BB">
              <w:rPr>
                <w:rFonts w:eastAsia="Calibri"/>
                <w:sz w:val="18"/>
                <w:szCs w:val="18"/>
              </w:rPr>
              <w:t xml:space="preserve"> then they are capitalised as contract costs assets and released to operating statement on an systematic basis consistent with the transfer to the customer of the goods or services to which the asset relates.</w:t>
            </w:r>
          </w:p>
        </w:tc>
      </w:tr>
      <w:tr w:rsidR="005C2C7A" w:rsidRPr="00B36BAC" w14:paraId="3EC5EFDA" w14:textId="77777777" w:rsidTr="005F5B4C">
        <w:trPr>
          <w:cantSplit/>
          <w:trHeight w:val="454"/>
        </w:trPr>
        <w:tc>
          <w:tcPr>
            <w:tcW w:w="745" w:type="pct"/>
            <w:tcBorders>
              <w:top w:val="nil"/>
              <w:left w:val="single" w:sz="2" w:space="0" w:color="auto"/>
              <w:bottom w:val="nil"/>
              <w:right w:val="single" w:sz="2" w:space="0" w:color="auto"/>
            </w:tcBorders>
          </w:tcPr>
          <w:p w14:paraId="252B4AB5" w14:textId="173E700B" w:rsidR="005C2C7A" w:rsidRPr="007E70BB" w:rsidRDefault="005C2C7A" w:rsidP="005C2C7A">
            <w:pPr>
              <w:pStyle w:val="TableReference"/>
              <w:tabs>
                <w:tab w:val="left" w:pos="3306"/>
              </w:tabs>
              <w:spacing w:before="40"/>
              <w:rPr>
                <w:color w:val="7030A0"/>
                <w:sz w:val="14"/>
              </w:rPr>
            </w:pPr>
          </w:p>
        </w:tc>
        <w:tc>
          <w:tcPr>
            <w:tcW w:w="4255" w:type="pct"/>
            <w:gridSpan w:val="5"/>
            <w:tcBorders>
              <w:top w:val="nil"/>
              <w:left w:val="single" w:sz="2" w:space="0" w:color="auto"/>
              <w:bottom w:val="nil"/>
              <w:right w:val="nil"/>
            </w:tcBorders>
          </w:tcPr>
          <w:p w14:paraId="3BB885A8" w14:textId="77777777" w:rsidR="005C2C7A" w:rsidRPr="007E70BB" w:rsidRDefault="005C2C7A" w:rsidP="005C2C7A">
            <w:pPr>
              <w:jc w:val="both"/>
              <w:rPr>
                <w:rFonts w:asciiTheme="minorHAnsi" w:hAnsiTheme="minorHAnsi" w:cstheme="minorHAnsi"/>
                <w:b/>
                <w:bCs/>
                <w:sz w:val="18"/>
                <w:szCs w:val="18"/>
              </w:rPr>
            </w:pPr>
          </w:p>
          <w:p w14:paraId="08DDC472" w14:textId="30EC4597" w:rsidR="005C2C7A" w:rsidRPr="007E70BB" w:rsidRDefault="005C2C7A" w:rsidP="005C2C7A">
            <w:pPr>
              <w:jc w:val="both"/>
              <w:rPr>
                <w:rFonts w:eastAsia="Calibri"/>
                <w:sz w:val="18"/>
                <w:szCs w:val="18"/>
              </w:rPr>
            </w:pPr>
            <w:r w:rsidRPr="007E70BB">
              <w:rPr>
                <w:rFonts w:asciiTheme="minorHAnsi" w:hAnsiTheme="minorHAnsi" w:cstheme="minorHAnsi"/>
                <w:b/>
                <w:bCs/>
                <w:sz w:val="18"/>
                <w:szCs w:val="18"/>
              </w:rPr>
              <w:t>Impact of COVID-19</w:t>
            </w:r>
          </w:p>
        </w:tc>
      </w:tr>
      <w:tr w:rsidR="005C2C7A" w:rsidRPr="00CF7E1B" w14:paraId="4950399C" w14:textId="77777777" w:rsidTr="005F5B4C">
        <w:trPr>
          <w:cantSplit/>
          <w:trHeight w:hRule="exact" w:val="473"/>
        </w:trPr>
        <w:tc>
          <w:tcPr>
            <w:tcW w:w="745" w:type="pct"/>
            <w:tcBorders>
              <w:top w:val="nil"/>
              <w:left w:val="single" w:sz="2" w:space="0" w:color="auto"/>
              <w:bottom w:val="nil"/>
              <w:right w:val="single" w:sz="2" w:space="0" w:color="auto"/>
            </w:tcBorders>
          </w:tcPr>
          <w:p w14:paraId="1FBAC1D0" w14:textId="77777777" w:rsidR="005C2C7A" w:rsidRPr="007E70BB" w:rsidRDefault="005C2C7A" w:rsidP="005C2C7A">
            <w:pPr>
              <w:rPr>
                <w:color w:val="7030A0"/>
                <w:sz w:val="14"/>
                <w:szCs w:val="14"/>
              </w:rPr>
            </w:pPr>
          </w:p>
        </w:tc>
        <w:tc>
          <w:tcPr>
            <w:tcW w:w="4255" w:type="pct"/>
            <w:gridSpan w:val="5"/>
            <w:tcBorders>
              <w:top w:val="nil"/>
              <w:left w:val="single" w:sz="2" w:space="0" w:color="auto"/>
              <w:bottom w:val="nil"/>
              <w:right w:val="nil"/>
            </w:tcBorders>
          </w:tcPr>
          <w:p w14:paraId="5AAA10B8" w14:textId="71401EC3" w:rsidR="005C2C7A" w:rsidRPr="007E70BB" w:rsidRDefault="005C2C7A" w:rsidP="005C2C7A">
            <w:pPr>
              <w:spacing w:after="240"/>
              <w:jc w:val="both"/>
              <w:rPr>
                <w:sz w:val="18"/>
                <w:szCs w:val="18"/>
              </w:rPr>
            </w:pPr>
            <w:r w:rsidRPr="007E70BB">
              <w:rPr>
                <w:rFonts w:asciiTheme="minorHAnsi" w:hAnsiTheme="minorHAnsi" w:cstheme="minorHAnsi"/>
                <w:sz w:val="18"/>
                <w:szCs w:val="18"/>
              </w:rPr>
              <w:t>’</w:t>
            </w:r>
            <w:r w:rsidRPr="007E70BB">
              <w:rPr>
                <w:sz w:val="18"/>
                <w:szCs w:val="18"/>
              </w:rPr>
              <w:t xml:space="preserve">Burley Griffin </w:t>
            </w:r>
            <w:r w:rsidRPr="007E70BB">
              <w:rPr>
                <w:rFonts w:asciiTheme="minorHAnsi" w:hAnsiTheme="minorHAnsi" w:cstheme="minorHAnsi"/>
                <w:sz w:val="18"/>
                <w:szCs w:val="18"/>
              </w:rPr>
              <w:t>Agency’s’ Expected Credit Losses have increased reflecting changes in the ability of customers to settle their debts.</w:t>
            </w:r>
          </w:p>
        </w:tc>
      </w:tr>
      <w:tr w:rsidR="005C2C7A" w:rsidRPr="00CF7E1B" w14:paraId="7F8CEEC6" w14:textId="77777777" w:rsidTr="005F5B4C">
        <w:trPr>
          <w:cantSplit/>
          <w:trHeight w:val="23"/>
        </w:trPr>
        <w:tc>
          <w:tcPr>
            <w:tcW w:w="745" w:type="pct"/>
            <w:tcBorders>
              <w:top w:val="nil"/>
              <w:left w:val="single" w:sz="2" w:space="0" w:color="auto"/>
              <w:bottom w:val="nil"/>
              <w:right w:val="single" w:sz="2" w:space="0" w:color="auto"/>
            </w:tcBorders>
          </w:tcPr>
          <w:p w14:paraId="4B554284" w14:textId="77777777" w:rsidR="005C2C7A" w:rsidRPr="007E70BB" w:rsidRDefault="005C2C7A" w:rsidP="005C2C7A">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20E5B259" w14:textId="77777777" w:rsidR="005C2C7A" w:rsidRPr="007E70BB" w:rsidRDefault="005C2C7A" w:rsidP="005C2C7A">
            <w:pPr>
              <w:pStyle w:val="TableTitle"/>
              <w:tabs>
                <w:tab w:val="left" w:pos="3306"/>
              </w:tabs>
              <w:rPr>
                <w:rFonts w:cs="Calibri"/>
              </w:rPr>
            </w:pPr>
          </w:p>
        </w:tc>
        <w:tc>
          <w:tcPr>
            <w:tcW w:w="674" w:type="pct"/>
            <w:tcBorders>
              <w:top w:val="nil"/>
              <w:left w:val="nil"/>
              <w:bottom w:val="nil"/>
              <w:right w:val="nil"/>
            </w:tcBorders>
            <w:vAlign w:val="bottom"/>
          </w:tcPr>
          <w:p w14:paraId="26F7C57E" w14:textId="4024435A" w:rsidR="005C2C7A" w:rsidRPr="007E70BB" w:rsidRDefault="005C2C7A" w:rsidP="005C2C7A">
            <w:pPr>
              <w:pStyle w:val="TableTitle"/>
              <w:tabs>
                <w:tab w:val="left" w:pos="3306"/>
              </w:tabs>
              <w:rPr>
                <w:rFonts w:cs="Calibri"/>
              </w:rPr>
            </w:pPr>
            <w:r w:rsidRPr="007E70BB">
              <w:rPr>
                <w:rFonts w:cs="Calibri"/>
              </w:rPr>
              <w:t>2022</w:t>
            </w:r>
          </w:p>
          <w:p w14:paraId="0A603F5B" w14:textId="77777777" w:rsidR="005C2C7A" w:rsidRPr="007E70BB" w:rsidRDefault="005C2C7A" w:rsidP="005C2C7A">
            <w:pPr>
              <w:pStyle w:val="TableTitle"/>
              <w:tabs>
                <w:tab w:val="left" w:pos="3306"/>
              </w:tabs>
              <w:rPr>
                <w:rFonts w:cs="Calibri"/>
              </w:rPr>
            </w:pPr>
            <w:r w:rsidRPr="007E70BB">
              <w:rPr>
                <w:rFonts w:cs="Calibri"/>
              </w:rPr>
              <w:t>$’000</w:t>
            </w:r>
          </w:p>
        </w:tc>
        <w:tc>
          <w:tcPr>
            <w:tcW w:w="879" w:type="pct"/>
            <w:gridSpan w:val="3"/>
            <w:tcBorders>
              <w:top w:val="nil"/>
              <w:left w:val="nil"/>
              <w:bottom w:val="nil"/>
              <w:right w:val="nil"/>
            </w:tcBorders>
            <w:vAlign w:val="bottom"/>
          </w:tcPr>
          <w:p w14:paraId="296B2B99" w14:textId="4A093BAF" w:rsidR="005C2C7A" w:rsidRPr="007E70BB" w:rsidRDefault="005C2C7A" w:rsidP="005C2C7A">
            <w:pPr>
              <w:pStyle w:val="TableTitle"/>
              <w:tabs>
                <w:tab w:val="left" w:pos="3306"/>
              </w:tabs>
              <w:rPr>
                <w:rFonts w:cs="Calibri"/>
              </w:rPr>
            </w:pPr>
            <w:bookmarkStart w:id="501" w:name="_Toc48468502"/>
            <w:r w:rsidRPr="007E70BB">
              <w:rPr>
                <w:rFonts w:cs="Calibri"/>
              </w:rPr>
              <w:t>2021</w:t>
            </w:r>
          </w:p>
          <w:bookmarkEnd w:id="501"/>
          <w:p w14:paraId="0F746680" w14:textId="77777777" w:rsidR="005C2C7A" w:rsidRPr="007E70BB" w:rsidRDefault="005C2C7A" w:rsidP="005C2C7A">
            <w:pPr>
              <w:pStyle w:val="TableTitle"/>
              <w:tabs>
                <w:tab w:val="left" w:pos="3306"/>
              </w:tabs>
              <w:rPr>
                <w:rFonts w:cs="Calibri"/>
              </w:rPr>
            </w:pPr>
            <w:r w:rsidRPr="007E70BB">
              <w:rPr>
                <w:rFonts w:cs="Calibri"/>
              </w:rPr>
              <w:t>$’000</w:t>
            </w:r>
          </w:p>
        </w:tc>
      </w:tr>
      <w:tr w:rsidR="005C2C7A" w:rsidRPr="00CF7E1B" w14:paraId="0932295B" w14:textId="77777777" w:rsidTr="005F5B4C">
        <w:trPr>
          <w:cantSplit/>
          <w:trHeight w:val="23"/>
        </w:trPr>
        <w:tc>
          <w:tcPr>
            <w:tcW w:w="745" w:type="pct"/>
            <w:tcBorders>
              <w:top w:val="nil"/>
              <w:left w:val="single" w:sz="2" w:space="0" w:color="auto"/>
              <w:bottom w:val="nil"/>
              <w:right w:val="single" w:sz="2" w:space="0" w:color="auto"/>
            </w:tcBorders>
          </w:tcPr>
          <w:p w14:paraId="5CB11D8F" w14:textId="77777777" w:rsidR="005C2C7A" w:rsidRPr="007E70BB" w:rsidRDefault="005C2C7A" w:rsidP="005C2C7A">
            <w:pPr>
              <w:pStyle w:val="TableReference"/>
              <w:tabs>
                <w:tab w:val="left" w:pos="3306"/>
              </w:tabs>
              <w:spacing w:before="40"/>
              <w:rPr>
                <w:rFonts w:cs="Calibri"/>
                <w:color w:val="7030A0"/>
                <w:sz w:val="16"/>
                <w:szCs w:val="16"/>
              </w:rPr>
            </w:pPr>
          </w:p>
        </w:tc>
        <w:tc>
          <w:tcPr>
            <w:tcW w:w="2702" w:type="pct"/>
            <w:tcBorders>
              <w:top w:val="nil"/>
              <w:left w:val="single" w:sz="2" w:space="0" w:color="auto"/>
              <w:bottom w:val="nil"/>
              <w:right w:val="nil"/>
            </w:tcBorders>
            <w:vAlign w:val="bottom"/>
          </w:tcPr>
          <w:p w14:paraId="11C7EC11" w14:textId="0B8206E5" w:rsidR="005C2C7A" w:rsidRPr="007E70BB" w:rsidRDefault="005C2C7A" w:rsidP="005C2C7A">
            <w:pPr>
              <w:pStyle w:val="TableText"/>
              <w:tabs>
                <w:tab w:val="left" w:pos="3306"/>
              </w:tabs>
              <w:rPr>
                <w:rFonts w:cs="Calibri"/>
                <w:b/>
                <w:bCs/>
              </w:rPr>
            </w:pPr>
            <w:bookmarkStart w:id="502" w:name="_Toc48468503"/>
            <w:bookmarkStart w:id="503" w:name="_Toc49155615"/>
            <w:bookmarkStart w:id="504" w:name="_Toc49224061"/>
            <w:r w:rsidRPr="007E70BB">
              <w:rPr>
                <w:rFonts w:cs="Calibri"/>
                <w:b/>
                <w:bCs/>
              </w:rPr>
              <w:t>Current Receivables</w:t>
            </w:r>
            <w:bookmarkEnd w:id="502"/>
            <w:bookmarkEnd w:id="503"/>
            <w:bookmarkEnd w:id="504"/>
            <w:r w:rsidRPr="007E70BB">
              <w:rPr>
                <w:rFonts w:cs="Calibri"/>
                <w:b/>
                <w:bCs/>
              </w:rPr>
              <w:t xml:space="preserve"> and Contract Assets</w:t>
            </w:r>
          </w:p>
        </w:tc>
        <w:tc>
          <w:tcPr>
            <w:tcW w:w="674" w:type="pct"/>
            <w:tcBorders>
              <w:top w:val="nil"/>
              <w:left w:val="nil"/>
              <w:bottom w:val="nil"/>
              <w:right w:val="nil"/>
            </w:tcBorders>
            <w:vAlign w:val="bottom"/>
          </w:tcPr>
          <w:p w14:paraId="3DB7F7FB" w14:textId="77777777"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55B12DAD" w14:textId="77777777" w:rsidR="005C2C7A" w:rsidRPr="007E70BB" w:rsidRDefault="005C2C7A" w:rsidP="005C2C7A">
            <w:pPr>
              <w:pStyle w:val="TableText"/>
              <w:tabs>
                <w:tab w:val="left" w:pos="3306"/>
              </w:tabs>
              <w:jc w:val="right"/>
              <w:rPr>
                <w:rFonts w:cs="Calibri"/>
              </w:rPr>
            </w:pPr>
          </w:p>
        </w:tc>
      </w:tr>
      <w:tr w:rsidR="005C2C7A" w:rsidRPr="00CF7E1B" w14:paraId="075BF470" w14:textId="77777777" w:rsidTr="005F5B4C">
        <w:trPr>
          <w:cantSplit/>
          <w:trHeight w:val="23"/>
        </w:trPr>
        <w:tc>
          <w:tcPr>
            <w:tcW w:w="745" w:type="pct"/>
            <w:tcBorders>
              <w:top w:val="nil"/>
              <w:left w:val="single" w:sz="2" w:space="0" w:color="auto"/>
              <w:bottom w:val="nil"/>
              <w:right w:val="single" w:sz="2" w:space="0" w:color="auto"/>
            </w:tcBorders>
          </w:tcPr>
          <w:p w14:paraId="646943ED" w14:textId="77777777"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AASB 101.78(b)</w:t>
            </w:r>
          </w:p>
          <w:p w14:paraId="355FB9F5" w14:textId="77777777"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AASB 9.5.1.3 &amp; 5.2.1</w:t>
            </w:r>
          </w:p>
        </w:tc>
        <w:tc>
          <w:tcPr>
            <w:tcW w:w="2702" w:type="pct"/>
            <w:tcBorders>
              <w:top w:val="nil"/>
              <w:left w:val="single" w:sz="2" w:space="0" w:color="auto"/>
              <w:bottom w:val="nil"/>
              <w:right w:val="nil"/>
            </w:tcBorders>
            <w:vAlign w:val="center"/>
          </w:tcPr>
          <w:p w14:paraId="346DC432" w14:textId="77777777" w:rsidR="005C2C7A" w:rsidRPr="007E70BB" w:rsidRDefault="005C2C7A" w:rsidP="00172DF5">
            <w:pPr>
              <w:pStyle w:val="TableText"/>
              <w:tabs>
                <w:tab w:val="left" w:pos="3306"/>
              </w:tabs>
              <w:rPr>
                <w:rFonts w:cs="Calibri"/>
              </w:rPr>
            </w:pPr>
            <w:r w:rsidRPr="007E70BB">
              <w:rPr>
                <w:rFonts w:cs="Calibri"/>
              </w:rPr>
              <w:t xml:space="preserve">Trade Receivables </w:t>
            </w:r>
            <w:r w:rsidRPr="007E70BB">
              <w:rPr>
                <w:rFonts w:cs="Calibri"/>
                <w:vertAlign w:val="superscript"/>
              </w:rPr>
              <w:t>a</w:t>
            </w:r>
          </w:p>
        </w:tc>
        <w:tc>
          <w:tcPr>
            <w:tcW w:w="674" w:type="pct"/>
            <w:tcBorders>
              <w:top w:val="nil"/>
              <w:left w:val="nil"/>
              <w:bottom w:val="nil"/>
              <w:right w:val="nil"/>
            </w:tcBorders>
            <w:vAlign w:val="bottom"/>
          </w:tcPr>
          <w:p w14:paraId="720C83FC" w14:textId="18F44302"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53041DF" w14:textId="44AF6CF8" w:rsidR="005C2C7A" w:rsidRPr="007E70BB" w:rsidRDefault="005C2C7A" w:rsidP="005C2C7A">
            <w:pPr>
              <w:pStyle w:val="TableText"/>
              <w:tabs>
                <w:tab w:val="left" w:pos="3306"/>
              </w:tabs>
              <w:jc w:val="right"/>
              <w:rPr>
                <w:rFonts w:cs="Calibri"/>
              </w:rPr>
            </w:pPr>
          </w:p>
        </w:tc>
      </w:tr>
      <w:tr w:rsidR="005C2C7A" w:rsidRPr="00CF7E1B" w14:paraId="14CB5E84" w14:textId="77777777" w:rsidTr="005F5B4C">
        <w:trPr>
          <w:cantSplit/>
          <w:trHeight w:val="23"/>
        </w:trPr>
        <w:tc>
          <w:tcPr>
            <w:tcW w:w="745" w:type="pct"/>
            <w:tcBorders>
              <w:top w:val="nil"/>
              <w:left w:val="single" w:sz="2" w:space="0" w:color="auto"/>
              <w:bottom w:val="nil"/>
              <w:right w:val="single" w:sz="2" w:space="0" w:color="auto"/>
            </w:tcBorders>
          </w:tcPr>
          <w:p w14:paraId="6DBD19CB" w14:textId="77777777"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 xml:space="preserve">AASB 9.5.5.1 </w:t>
            </w:r>
          </w:p>
        </w:tc>
        <w:tc>
          <w:tcPr>
            <w:tcW w:w="2702" w:type="pct"/>
            <w:tcBorders>
              <w:top w:val="nil"/>
              <w:left w:val="single" w:sz="2" w:space="0" w:color="auto"/>
              <w:bottom w:val="nil"/>
              <w:right w:val="nil"/>
            </w:tcBorders>
            <w:vAlign w:val="bottom"/>
          </w:tcPr>
          <w:p w14:paraId="0A9367ED" w14:textId="7B0D0E38" w:rsidR="005C2C7A" w:rsidRPr="007E70BB" w:rsidRDefault="005C2C7A" w:rsidP="005C2C7A">
            <w:pPr>
              <w:pStyle w:val="TableText"/>
              <w:tabs>
                <w:tab w:val="left" w:pos="3306"/>
              </w:tabs>
              <w:rPr>
                <w:rFonts w:cs="Calibri"/>
              </w:rPr>
            </w:pPr>
            <w:r w:rsidRPr="007E70BB">
              <w:rPr>
                <w:rFonts w:cs="Calibri"/>
              </w:rPr>
              <w:t xml:space="preserve">Less: Expected Credit Loss Allowance </w:t>
            </w:r>
          </w:p>
        </w:tc>
        <w:tc>
          <w:tcPr>
            <w:tcW w:w="674" w:type="pct"/>
            <w:tcBorders>
              <w:top w:val="nil"/>
              <w:left w:val="nil"/>
              <w:bottom w:val="nil"/>
              <w:right w:val="nil"/>
            </w:tcBorders>
            <w:vAlign w:val="bottom"/>
          </w:tcPr>
          <w:p w14:paraId="5406A738" w14:textId="4866280B"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1E49EB0F" w14:textId="6DBB6031" w:rsidR="005C2C7A" w:rsidRPr="007E70BB" w:rsidRDefault="005C2C7A" w:rsidP="005C2C7A">
            <w:pPr>
              <w:pStyle w:val="TableText"/>
              <w:tabs>
                <w:tab w:val="left" w:pos="3306"/>
              </w:tabs>
              <w:jc w:val="right"/>
              <w:rPr>
                <w:rFonts w:cs="Calibri"/>
              </w:rPr>
            </w:pPr>
          </w:p>
        </w:tc>
      </w:tr>
      <w:tr w:rsidR="005C2C7A" w:rsidRPr="00CF7E1B" w14:paraId="156BA8F4" w14:textId="77777777" w:rsidTr="005F5B4C">
        <w:trPr>
          <w:cantSplit/>
          <w:trHeight w:val="23"/>
        </w:trPr>
        <w:tc>
          <w:tcPr>
            <w:tcW w:w="745" w:type="pct"/>
            <w:tcBorders>
              <w:top w:val="nil"/>
              <w:left w:val="single" w:sz="2" w:space="0" w:color="auto"/>
              <w:bottom w:val="nil"/>
              <w:right w:val="single" w:sz="2" w:space="0" w:color="auto"/>
            </w:tcBorders>
          </w:tcPr>
          <w:p w14:paraId="274B38CC" w14:textId="77777777"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0BCEBEA2" w14:textId="77777777" w:rsidR="005C2C7A" w:rsidRPr="007E70BB" w:rsidRDefault="005C2C7A" w:rsidP="005C2C7A">
            <w:pPr>
              <w:pStyle w:val="TableText"/>
              <w:tabs>
                <w:tab w:val="left" w:pos="3306"/>
              </w:tabs>
              <w:rPr>
                <w:rFonts w:cs="Calibri"/>
              </w:rPr>
            </w:pPr>
            <w:r w:rsidRPr="007E70BB">
              <w:rPr>
                <w:rFonts w:cs="Calibri"/>
              </w:rPr>
              <w:t>Other Trade Receivables</w:t>
            </w:r>
          </w:p>
        </w:tc>
        <w:tc>
          <w:tcPr>
            <w:tcW w:w="674" w:type="pct"/>
            <w:tcBorders>
              <w:top w:val="nil"/>
              <w:left w:val="nil"/>
              <w:bottom w:val="nil"/>
              <w:right w:val="nil"/>
            </w:tcBorders>
            <w:vAlign w:val="bottom"/>
          </w:tcPr>
          <w:p w14:paraId="1573FC22" w14:textId="77B5DD52"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1D9C6F6F" w14:textId="6ECE3436" w:rsidR="005C2C7A" w:rsidRPr="007E70BB" w:rsidRDefault="005C2C7A" w:rsidP="005C2C7A">
            <w:pPr>
              <w:pStyle w:val="TableText"/>
              <w:tabs>
                <w:tab w:val="left" w:pos="3306"/>
              </w:tabs>
              <w:jc w:val="right"/>
              <w:rPr>
                <w:rFonts w:cs="Calibri"/>
              </w:rPr>
            </w:pPr>
          </w:p>
        </w:tc>
      </w:tr>
      <w:tr w:rsidR="005C2C7A" w:rsidRPr="00CF7E1B" w14:paraId="1B260C59" w14:textId="77777777" w:rsidTr="005F5B4C">
        <w:trPr>
          <w:cantSplit/>
          <w:trHeight w:val="23"/>
        </w:trPr>
        <w:tc>
          <w:tcPr>
            <w:tcW w:w="745" w:type="pct"/>
            <w:tcBorders>
              <w:top w:val="nil"/>
              <w:left w:val="single" w:sz="2" w:space="0" w:color="auto"/>
              <w:bottom w:val="nil"/>
              <w:right w:val="single" w:sz="2" w:space="0" w:color="auto"/>
            </w:tcBorders>
          </w:tcPr>
          <w:p w14:paraId="5E3D51E2" w14:textId="77777777"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AASB 9.5.5.1</w:t>
            </w:r>
          </w:p>
        </w:tc>
        <w:tc>
          <w:tcPr>
            <w:tcW w:w="2702" w:type="pct"/>
            <w:tcBorders>
              <w:top w:val="nil"/>
              <w:left w:val="single" w:sz="2" w:space="0" w:color="auto"/>
              <w:bottom w:val="nil"/>
              <w:right w:val="nil"/>
            </w:tcBorders>
            <w:vAlign w:val="bottom"/>
          </w:tcPr>
          <w:p w14:paraId="717B429C" w14:textId="3EE78290" w:rsidR="005C2C7A" w:rsidRPr="007E70BB" w:rsidRDefault="005C2C7A" w:rsidP="005C2C7A">
            <w:pPr>
              <w:pStyle w:val="TableText"/>
              <w:tabs>
                <w:tab w:val="left" w:pos="3306"/>
              </w:tabs>
              <w:rPr>
                <w:rFonts w:cs="Calibri"/>
              </w:rPr>
            </w:pPr>
            <w:r w:rsidRPr="007E70BB">
              <w:rPr>
                <w:rFonts w:cs="Calibri"/>
              </w:rPr>
              <w:t xml:space="preserve">Less: Expected Credit Loss Allowance </w:t>
            </w:r>
          </w:p>
        </w:tc>
        <w:tc>
          <w:tcPr>
            <w:tcW w:w="674" w:type="pct"/>
            <w:tcBorders>
              <w:top w:val="nil"/>
              <w:left w:val="nil"/>
              <w:bottom w:val="nil"/>
              <w:right w:val="nil"/>
            </w:tcBorders>
            <w:vAlign w:val="bottom"/>
          </w:tcPr>
          <w:p w14:paraId="20B75003" w14:textId="585CF555"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338547F3" w14:textId="16F88D99" w:rsidR="005C2C7A" w:rsidRPr="007E70BB" w:rsidRDefault="005C2C7A" w:rsidP="005C2C7A">
            <w:pPr>
              <w:pStyle w:val="TableText"/>
              <w:tabs>
                <w:tab w:val="left" w:pos="3306"/>
              </w:tabs>
              <w:jc w:val="right"/>
              <w:rPr>
                <w:rFonts w:cs="Calibri"/>
              </w:rPr>
            </w:pPr>
          </w:p>
        </w:tc>
      </w:tr>
      <w:tr w:rsidR="005C2C7A" w:rsidRPr="00CF7E1B" w14:paraId="36CCA6AC" w14:textId="77777777" w:rsidTr="005F5B4C">
        <w:trPr>
          <w:cantSplit/>
          <w:trHeight w:val="23"/>
        </w:trPr>
        <w:tc>
          <w:tcPr>
            <w:tcW w:w="745" w:type="pct"/>
            <w:tcBorders>
              <w:top w:val="nil"/>
              <w:left w:val="single" w:sz="2" w:space="0" w:color="auto"/>
              <w:bottom w:val="nil"/>
              <w:right w:val="single" w:sz="2" w:space="0" w:color="auto"/>
            </w:tcBorders>
          </w:tcPr>
          <w:p w14:paraId="476B8EC9" w14:textId="59BE7A57"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AASB 15.116(a)</w:t>
            </w:r>
          </w:p>
        </w:tc>
        <w:tc>
          <w:tcPr>
            <w:tcW w:w="2702" w:type="pct"/>
            <w:tcBorders>
              <w:top w:val="nil"/>
              <w:left w:val="single" w:sz="2" w:space="0" w:color="auto"/>
              <w:bottom w:val="nil"/>
              <w:right w:val="nil"/>
            </w:tcBorders>
          </w:tcPr>
          <w:p w14:paraId="04518353" w14:textId="3C5389A7" w:rsidR="005C2C7A" w:rsidRPr="007E70BB" w:rsidRDefault="005C2C7A" w:rsidP="005C2C7A">
            <w:pPr>
              <w:pStyle w:val="TableText"/>
              <w:tabs>
                <w:tab w:val="left" w:pos="3306"/>
              </w:tabs>
              <w:rPr>
                <w:rFonts w:cs="Calibri"/>
              </w:rPr>
            </w:pPr>
            <w:r w:rsidRPr="007E70BB">
              <w:rPr>
                <w:rFonts w:cs="Calibri"/>
              </w:rPr>
              <w:t>Work Performed on Facilities Management Service</w:t>
            </w:r>
            <w:r w:rsidRPr="007E70BB">
              <w:rPr>
                <w:rFonts w:cs="Calibri"/>
                <w:b/>
                <w:bCs/>
                <w:caps/>
              </w:rPr>
              <w:t xml:space="preserve"> </w:t>
            </w:r>
            <w:r w:rsidRPr="007E70BB">
              <w:rPr>
                <w:rFonts w:cs="Calibri"/>
              </w:rPr>
              <w:t xml:space="preserve">Contracts with Customers not yet Invoiced </w:t>
            </w:r>
          </w:p>
        </w:tc>
        <w:tc>
          <w:tcPr>
            <w:tcW w:w="674" w:type="pct"/>
            <w:tcBorders>
              <w:top w:val="nil"/>
              <w:left w:val="nil"/>
              <w:bottom w:val="nil"/>
              <w:right w:val="nil"/>
            </w:tcBorders>
            <w:vAlign w:val="bottom"/>
          </w:tcPr>
          <w:p w14:paraId="4627B383" w14:textId="77777777"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7C1E7071" w14:textId="77777777" w:rsidR="005C2C7A" w:rsidRPr="007E70BB" w:rsidRDefault="005C2C7A" w:rsidP="005C2C7A">
            <w:pPr>
              <w:pStyle w:val="TableText"/>
              <w:tabs>
                <w:tab w:val="left" w:pos="3306"/>
              </w:tabs>
              <w:jc w:val="right"/>
              <w:rPr>
                <w:rFonts w:cs="Calibri"/>
              </w:rPr>
            </w:pPr>
          </w:p>
        </w:tc>
      </w:tr>
      <w:tr w:rsidR="005C2C7A" w:rsidRPr="00CF7E1B" w14:paraId="7EC1969D" w14:textId="77777777" w:rsidTr="005F5B4C">
        <w:trPr>
          <w:cantSplit/>
          <w:trHeight w:val="23"/>
        </w:trPr>
        <w:tc>
          <w:tcPr>
            <w:tcW w:w="745" w:type="pct"/>
            <w:tcBorders>
              <w:top w:val="nil"/>
              <w:left w:val="single" w:sz="2" w:space="0" w:color="auto"/>
              <w:bottom w:val="nil"/>
              <w:right w:val="single" w:sz="2" w:space="0" w:color="auto"/>
            </w:tcBorders>
          </w:tcPr>
          <w:p w14:paraId="41DAC078" w14:textId="293087BC"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vAlign w:val="bottom"/>
          </w:tcPr>
          <w:p w14:paraId="0016992F" w14:textId="4C4DB7CF" w:rsidR="005C2C7A" w:rsidRPr="007E70BB" w:rsidRDefault="005C2C7A" w:rsidP="005C2C7A">
            <w:pPr>
              <w:pStyle w:val="TableText"/>
              <w:tabs>
                <w:tab w:val="left" w:pos="3306"/>
              </w:tabs>
              <w:rPr>
                <w:rFonts w:cs="Calibri"/>
              </w:rPr>
            </w:pPr>
            <w:r w:rsidRPr="007E70BB">
              <w:rPr>
                <w:rFonts w:cs="Calibri"/>
              </w:rPr>
              <w:t xml:space="preserve">Less: </w:t>
            </w:r>
            <w:r w:rsidR="00D16984" w:rsidRPr="007E70BB">
              <w:rPr>
                <w:rFonts w:cs="Calibri"/>
              </w:rPr>
              <w:t>Expected Credit Loss Allowance</w:t>
            </w:r>
          </w:p>
        </w:tc>
        <w:tc>
          <w:tcPr>
            <w:tcW w:w="674" w:type="pct"/>
            <w:tcBorders>
              <w:top w:val="nil"/>
              <w:left w:val="nil"/>
              <w:bottom w:val="nil"/>
              <w:right w:val="nil"/>
            </w:tcBorders>
            <w:vAlign w:val="bottom"/>
          </w:tcPr>
          <w:p w14:paraId="7DFF4E87" w14:textId="77777777"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46748290" w14:textId="77777777" w:rsidR="005C2C7A" w:rsidRPr="007E70BB" w:rsidRDefault="005C2C7A" w:rsidP="005C2C7A">
            <w:pPr>
              <w:pStyle w:val="TableText"/>
              <w:tabs>
                <w:tab w:val="left" w:pos="3306"/>
              </w:tabs>
              <w:jc w:val="right"/>
              <w:rPr>
                <w:rFonts w:cs="Calibri"/>
              </w:rPr>
            </w:pPr>
          </w:p>
        </w:tc>
      </w:tr>
      <w:tr w:rsidR="005C2C7A" w:rsidRPr="00CF7E1B" w14:paraId="3EDE6DF2" w14:textId="77777777" w:rsidTr="005F5B4C">
        <w:trPr>
          <w:cantSplit/>
          <w:trHeight w:val="23"/>
        </w:trPr>
        <w:tc>
          <w:tcPr>
            <w:tcW w:w="745" w:type="pct"/>
            <w:tcBorders>
              <w:top w:val="nil"/>
              <w:left w:val="single" w:sz="2" w:space="0" w:color="auto"/>
              <w:bottom w:val="nil"/>
              <w:right w:val="single" w:sz="2" w:space="0" w:color="auto"/>
            </w:tcBorders>
          </w:tcPr>
          <w:p w14:paraId="29BAAEA8" w14:textId="17BF3048"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AASB 15.116(a)</w:t>
            </w:r>
          </w:p>
        </w:tc>
        <w:tc>
          <w:tcPr>
            <w:tcW w:w="2702" w:type="pct"/>
            <w:tcBorders>
              <w:top w:val="nil"/>
              <w:left w:val="single" w:sz="2" w:space="0" w:color="auto"/>
              <w:bottom w:val="nil"/>
              <w:right w:val="nil"/>
            </w:tcBorders>
          </w:tcPr>
          <w:p w14:paraId="79CB3AB2" w14:textId="0EBD5E10" w:rsidR="005C2C7A" w:rsidRPr="007E70BB" w:rsidRDefault="005C2C7A" w:rsidP="005C2C7A">
            <w:pPr>
              <w:pStyle w:val="TableText"/>
              <w:tabs>
                <w:tab w:val="left" w:pos="3306"/>
              </w:tabs>
              <w:rPr>
                <w:rFonts w:cs="Calibri"/>
              </w:rPr>
            </w:pPr>
            <w:r w:rsidRPr="007E70BB">
              <w:rPr>
                <w:rFonts w:cs="Calibri"/>
              </w:rPr>
              <w:t xml:space="preserve">Work Performed on </w:t>
            </w:r>
            <w:bookmarkStart w:id="505" w:name="_Hlk90626484"/>
            <w:r w:rsidRPr="007E70BB">
              <w:rPr>
                <w:rFonts w:cs="Calibri"/>
              </w:rPr>
              <w:t xml:space="preserve">Property Management Service Contracts </w:t>
            </w:r>
            <w:bookmarkEnd w:id="505"/>
            <w:r w:rsidRPr="007E70BB">
              <w:rPr>
                <w:rFonts w:cs="Calibri"/>
              </w:rPr>
              <w:t>with Customers not yet Invoiced</w:t>
            </w:r>
          </w:p>
        </w:tc>
        <w:tc>
          <w:tcPr>
            <w:tcW w:w="674" w:type="pct"/>
            <w:tcBorders>
              <w:top w:val="nil"/>
              <w:left w:val="nil"/>
              <w:bottom w:val="nil"/>
              <w:right w:val="nil"/>
            </w:tcBorders>
            <w:vAlign w:val="bottom"/>
          </w:tcPr>
          <w:p w14:paraId="0497AC70" w14:textId="77777777"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49BEFC36" w14:textId="77777777" w:rsidR="005C2C7A" w:rsidRPr="007E70BB" w:rsidRDefault="005C2C7A" w:rsidP="005C2C7A">
            <w:pPr>
              <w:pStyle w:val="TableText"/>
              <w:tabs>
                <w:tab w:val="left" w:pos="3306"/>
              </w:tabs>
              <w:jc w:val="right"/>
              <w:rPr>
                <w:rFonts w:cs="Calibri"/>
              </w:rPr>
            </w:pPr>
          </w:p>
        </w:tc>
      </w:tr>
      <w:tr w:rsidR="005C2C7A" w:rsidRPr="00CF7E1B" w14:paraId="00B84ABA" w14:textId="77777777" w:rsidTr="005F5B4C">
        <w:trPr>
          <w:cantSplit/>
          <w:trHeight w:val="23"/>
        </w:trPr>
        <w:tc>
          <w:tcPr>
            <w:tcW w:w="745" w:type="pct"/>
            <w:tcBorders>
              <w:top w:val="nil"/>
              <w:left w:val="single" w:sz="2" w:space="0" w:color="auto"/>
              <w:bottom w:val="nil"/>
              <w:right w:val="single" w:sz="2" w:space="0" w:color="auto"/>
            </w:tcBorders>
          </w:tcPr>
          <w:p w14:paraId="5F27F342" w14:textId="77777777" w:rsidR="005C2C7A" w:rsidRPr="007E70BB" w:rsidRDefault="005C2C7A" w:rsidP="005C2C7A">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1AAC1634" w14:textId="77777777" w:rsidR="005C2C7A" w:rsidRPr="007E70BB" w:rsidRDefault="005C2C7A" w:rsidP="005C2C7A">
            <w:pPr>
              <w:pStyle w:val="TableText"/>
              <w:tabs>
                <w:tab w:val="left" w:pos="3306"/>
              </w:tabs>
              <w:rPr>
                <w:rFonts w:cs="Calibri"/>
              </w:rPr>
            </w:pPr>
            <w:r w:rsidRPr="007E70BB">
              <w:rPr>
                <w:rFonts w:cs="Calibri"/>
              </w:rPr>
              <w:t>Accrued Revenue</w:t>
            </w:r>
          </w:p>
        </w:tc>
        <w:tc>
          <w:tcPr>
            <w:tcW w:w="674" w:type="pct"/>
            <w:tcBorders>
              <w:top w:val="nil"/>
              <w:left w:val="nil"/>
              <w:bottom w:val="nil"/>
              <w:right w:val="nil"/>
            </w:tcBorders>
            <w:vAlign w:val="bottom"/>
          </w:tcPr>
          <w:p w14:paraId="56DC7998" w14:textId="3DF0A3C3"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331989A" w14:textId="39383FB4" w:rsidR="005C2C7A" w:rsidRPr="007E70BB" w:rsidRDefault="005C2C7A" w:rsidP="005C2C7A">
            <w:pPr>
              <w:pStyle w:val="TableText"/>
              <w:tabs>
                <w:tab w:val="left" w:pos="3306"/>
              </w:tabs>
              <w:jc w:val="right"/>
              <w:rPr>
                <w:rFonts w:cs="Calibri"/>
              </w:rPr>
            </w:pPr>
          </w:p>
        </w:tc>
      </w:tr>
      <w:tr w:rsidR="005C2C7A" w:rsidRPr="00CF7E1B" w14:paraId="5038AE3C" w14:textId="77777777" w:rsidTr="005F5B4C">
        <w:trPr>
          <w:cantSplit/>
          <w:trHeight w:val="23"/>
        </w:trPr>
        <w:tc>
          <w:tcPr>
            <w:tcW w:w="745" w:type="pct"/>
            <w:tcBorders>
              <w:top w:val="nil"/>
              <w:left w:val="single" w:sz="2" w:space="0" w:color="auto"/>
              <w:bottom w:val="nil"/>
              <w:right w:val="single" w:sz="2" w:space="0" w:color="auto"/>
            </w:tcBorders>
          </w:tcPr>
          <w:p w14:paraId="391781EF" w14:textId="77777777" w:rsidR="005C2C7A" w:rsidRPr="007E70BB" w:rsidRDefault="005C2C7A" w:rsidP="005C2C7A">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55E088CA" w14:textId="77777777" w:rsidR="005C2C7A" w:rsidRPr="007E70BB" w:rsidRDefault="005C2C7A" w:rsidP="005C2C7A">
            <w:pPr>
              <w:pStyle w:val="TableText"/>
              <w:tabs>
                <w:tab w:val="left" w:pos="3306"/>
              </w:tabs>
              <w:rPr>
                <w:rFonts w:cs="Calibri"/>
              </w:rPr>
            </w:pPr>
            <w:r w:rsidRPr="007E70BB">
              <w:rPr>
                <w:rFonts w:cs="Calibri"/>
              </w:rPr>
              <w:t xml:space="preserve">Loans Receivable </w:t>
            </w:r>
            <w:r w:rsidRPr="007E70BB">
              <w:rPr>
                <w:rFonts w:cs="Calibri"/>
                <w:vertAlign w:val="superscript"/>
              </w:rPr>
              <w:t>b</w:t>
            </w:r>
          </w:p>
        </w:tc>
        <w:tc>
          <w:tcPr>
            <w:tcW w:w="674" w:type="pct"/>
            <w:tcBorders>
              <w:top w:val="nil"/>
              <w:left w:val="nil"/>
              <w:bottom w:val="nil"/>
              <w:right w:val="nil"/>
            </w:tcBorders>
            <w:vAlign w:val="bottom"/>
          </w:tcPr>
          <w:p w14:paraId="21EC7FF5" w14:textId="1C96AA16"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08F593ED" w14:textId="53C73705" w:rsidR="005C2C7A" w:rsidRPr="007E70BB" w:rsidRDefault="005C2C7A" w:rsidP="005C2C7A">
            <w:pPr>
              <w:pStyle w:val="TableText"/>
              <w:tabs>
                <w:tab w:val="left" w:pos="3306"/>
              </w:tabs>
              <w:jc w:val="right"/>
              <w:rPr>
                <w:rFonts w:cs="Calibri"/>
              </w:rPr>
            </w:pPr>
          </w:p>
        </w:tc>
      </w:tr>
      <w:tr w:rsidR="005C2C7A" w:rsidRPr="00CF7E1B" w14:paraId="46B752A0" w14:textId="77777777" w:rsidTr="005F5B4C">
        <w:trPr>
          <w:cantSplit/>
          <w:trHeight w:val="23"/>
        </w:trPr>
        <w:tc>
          <w:tcPr>
            <w:tcW w:w="745" w:type="pct"/>
            <w:tcBorders>
              <w:top w:val="nil"/>
              <w:left w:val="single" w:sz="2" w:space="0" w:color="auto"/>
              <w:bottom w:val="nil"/>
              <w:right w:val="single" w:sz="2" w:space="0" w:color="auto"/>
            </w:tcBorders>
          </w:tcPr>
          <w:p w14:paraId="16EB204C" w14:textId="5EEA905F" w:rsidR="005C2C7A" w:rsidRPr="007E70BB" w:rsidRDefault="005C2C7A" w:rsidP="005C2C7A">
            <w:pPr>
              <w:pStyle w:val="TableReference"/>
              <w:tabs>
                <w:tab w:val="left" w:pos="3306"/>
              </w:tabs>
              <w:spacing w:before="4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vAlign w:val="bottom"/>
          </w:tcPr>
          <w:p w14:paraId="5542B85C" w14:textId="7DF2256C" w:rsidR="005C2C7A" w:rsidRPr="007E70BB" w:rsidRDefault="005C2C7A" w:rsidP="005C2C7A">
            <w:pPr>
              <w:pStyle w:val="TableText"/>
              <w:tabs>
                <w:tab w:val="left" w:pos="3306"/>
              </w:tabs>
              <w:rPr>
                <w:rFonts w:cs="Calibri"/>
              </w:rPr>
            </w:pPr>
            <w:r w:rsidRPr="007E70BB">
              <w:rPr>
                <w:rFonts w:cs="Calibri"/>
              </w:rPr>
              <w:t xml:space="preserve">Less: </w:t>
            </w:r>
            <w:r w:rsidR="00D16984" w:rsidRPr="007E70BB">
              <w:rPr>
                <w:rFonts w:cs="Calibri"/>
              </w:rPr>
              <w:t>Expected Credit Loss Allowance</w:t>
            </w:r>
          </w:p>
        </w:tc>
        <w:tc>
          <w:tcPr>
            <w:tcW w:w="674" w:type="pct"/>
            <w:tcBorders>
              <w:top w:val="nil"/>
              <w:left w:val="nil"/>
              <w:bottom w:val="nil"/>
              <w:right w:val="nil"/>
            </w:tcBorders>
            <w:vAlign w:val="bottom"/>
          </w:tcPr>
          <w:p w14:paraId="7BA77676" w14:textId="77777777"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2789349" w14:textId="77777777" w:rsidR="005C2C7A" w:rsidRPr="007E70BB" w:rsidRDefault="005C2C7A" w:rsidP="005C2C7A">
            <w:pPr>
              <w:pStyle w:val="TableText"/>
              <w:tabs>
                <w:tab w:val="left" w:pos="3306"/>
              </w:tabs>
              <w:jc w:val="right"/>
              <w:rPr>
                <w:rFonts w:cs="Calibri"/>
              </w:rPr>
            </w:pPr>
          </w:p>
        </w:tc>
      </w:tr>
      <w:tr w:rsidR="005C2C7A" w:rsidRPr="00CF7E1B" w14:paraId="6CA1568A" w14:textId="77777777" w:rsidTr="005F5B4C">
        <w:trPr>
          <w:cantSplit/>
          <w:trHeight w:val="23"/>
        </w:trPr>
        <w:tc>
          <w:tcPr>
            <w:tcW w:w="745" w:type="pct"/>
            <w:tcBorders>
              <w:top w:val="nil"/>
              <w:left w:val="single" w:sz="2" w:space="0" w:color="auto"/>
              <w:bottom w:val="nil"/>
              <w:right w:val="single" w:sz="2" w:space="0" w:color="auto"/>
            </w:tcBorders>
          </w:tcPr>
          <w:p w14:paraId="2981040C" w14:textId="77777777"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Interpretation 1031.9</w:t>
            </w:r>
          </w:p>
        </w:tc>
        <w:tc>
          <w:tcPr>
            <w:tcW w:w="2702" w:type="pct"/>
            <w:tcBorders>
              <w:top w:val="nil"/>
              <w:left w:val="single" w:sz="2" w:space="0" w:color="auto"/>
              <w:bottom w:val="nil"/>
              <w:right w:val="nil"/>
            </w:tcBorders>
          </w:tcPr>
          <w:p w14:paraId="55850870" w14:textId="77777777" w:rsidR="005C2C7A" w:rsidRPr="007E70BB" w:rsidRDefault="005C2C7A" w:rsidP="005C2C7A">
            <w:pPr>
              <w:pStyle w:val="TableText"/>
              <w:tabs>
                <w:tab w:val="left" w:pos="3306"/>
              </w:tabs>
              <w:rPr>
                <w:rFonts w:cs="Calibri"/>
              </w:rPr>
            </w:pPr>
            <w:r w:rsidRPr="007E70BB">
              <w:rPr>
                <w:rFonts w:cs="Calibri"/>
              </w:rPr>
              <w:t>Net GST Receivable</w:t>
            </w:r>
          </w:p>
        </w:tc>
        <w:tc>
          <w:tcPr>
            <w:tcW w:w="674" w:type="pct"/>
            <w:tcBorders>
              <w:top w:val="nil"/>
              <w:left w:val="nil"/>
              <w:bottom w:val="nil"/>
              <w:right w:val="nil"/>
            </w:tcBorders>
            <w:vAlign w:val="bottom"/>
          </w:tcPr>
          <w:p w14:paraId="6BA1A6D9" w14:textId="57D19982"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338ABDD5" w14:textId="5B07DDB7" w:rsidR="005C2C7A" w:rsidRPr="007E70BB" w:rsidRDefault="005C2C7A" w:rsidP="005C2C7A">
            <w:pPr>
              <w:pStyle w:val="TableText"/>
              <w:tabs>
                <w:tab w:val="left" w:pos="3306"/>
              </w:tabs>
              <w:jc w:val="right"/>
              <w:rPr>
                <w:rFonts w:cs="Calibri"/>
              </w:rPr>
            </w:pPr>
          </w:p>
        </w:tc>
      </w:tr>
      <w:tr w:rsidR="005C2C7A" w:rsidRPr="00CF7E1B" w14:paraId="2A5A617D" w14:textId="77777777" w:rsidTr="005F5B4C">
        <w:trPr>
          <w:cantSplit/>
          <w:trHeight w:val="23"/>
        </w:trPr>
        <w:tc>
          <w:tcPr>
            <w:tcW w:w="745" w:type="pct"/>
            <w:tcBorders>
              <w:top w:val="nil"/>
              <w:left w:val="single" w:sz="2" w:space="0" w:color="auto"/>
              <w:bottom w:val="nil"/>
              <w:right w:val="single" w:sz="2" w:space="0" w:color="auto"/>
            </w:tcBorders>
          </w:tcPr>
          <w:p w14:paraId="17E8EF8E" w14:textId="7506C0D8" w:rsidR="005C2C7A" w:rsidRPr="007E70BB" w:rsidRDefault="005C2C7A" w:rsidP="005C2C7A">
            <w:pPr>
              <w:pStyle w:val="TableReference"/>
              <w:tabs>
                <w:tab w:val="left" w:pos="3306"/>
              </w:tabs>
              <w:spacing w:before="60"/>
              <w:rPr>
                <w:rFonts w:cs="Calibri"/>
                <w:color w:val="7030A0"/>
                <w:sz w:val="14"/>
              </w:rPr>
            </w:pPr>
            <w:r w:rsidRPr="007E70BB">
              <w:rPr>
                <w:rFonts w:cs="Calibri"/>
                <w:color w:val="7030A0"/>
                <w:sz w:val="14"/>
              </w:rPr>
              <w:t>AASB 15.113(b)</w:t>
            </w:r>
          </w:p>
        </w:tc>
        <w:tc>
          <w:tcPr>
            <w:tcW w:w="2702" w:type="pct"/>
            <w:tcBorders>
              <w:top w:val="nil"/>
              <w:left w:val="single" w:sz="2" w:space="0" w:color="auto"/>
              <w:bottom w:val="nil"/>
              <w:right w:val="nil"/>
            </w:tcBorders>
          </w:tcPr>
          <w:p w14:paraId="5E3AC7FE" w14:textId="018B0C08" w:rsidR="005C2C7A" w:rsidRPr="007E70BB" w:rsidRDefault="005C2C7A" w:rsidP="005C2C7A">
            <w:pPr>
              <w:pStyle w:val="TableText"/>
              <w:tabs>
                <w:tab w:val="left" w:pos="3306"/>
              </w:tabs>
              <w:rPr>
                <w:rFonts w:cs="Calibri"/>
              </w:rPr>
            </w:pPr>
            <w:r w:rsidRPr="007E70BB">
              <w:t>Receivables for Finance Leases as Lessor</w:t>
            </w:r>
          </w:p>
        </w:tc>
        <w:tc>
          <w:tcPr>
            <w:tcW w:w="674" w:type="pct"/>
            <w:tcBorders>
              <w:top w:val="nil"/>
              <w:left w:val="nil"/>
              <w:bottom w:val="nil"/>
              <w:right w:val="nil"/>
            </w:tcBorders>
            <w:vAlign w:val="bottom"/>
          </w:tcPr>
          <w:p w14:paraId="101737F7" w14:textId="77777777"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5CAA64A" w14:textId="77777777" w:rsidR="005C2C7A" w:rsidRPr="007E70BB" w:rsidRDefault="005C2C7A" w:rsidP="005C2C7A">
            <w:pPr>
              <w:pStyle w:val="TableText"/>
              <w:tabs>
                <w:tab w:val="left" w:pos="3306"/>
              </w:tabs>
              <w:jc w:val="right"/>
              <w:rPr>
                <w:rFonts w:cs="Calibri"/>
              </w:rPr>
            </w:pPr>
          </w:p>
        </w:tc>
      </w:tr>
      <w:tr w:rsidR="005C2C7A" w:rsidRPr="00CF7E1B" w14:paraId="462E28E5" w14:textId="77777777" w:rsidTr="005F5B4C">
        <w:trPr>
          <w:cantSplit/>
          <w:trHeight w:val="23"/>
        </w:trPr>
        <w:tc>
          <w:tcPr>
            <w:tcW w:w="745" w:type="pct"/>
            <w:tcBorders>
              <w:top w:val="nil"/>
              <w:left w:val="single" w:sz="2" w:space="0" w:color="auto"/>
              <w:bottom w:val="nil"/>
              <w:right w:val="single" w:sz="2" w:space="0" w:color="auto"/>
            </w:tcBorders>
          </w:tcPr>
          <w:p w14:paraId="0481D4E3" w14:textId="77777777" w:rsidR="005C2C7A" w:rsidRPr="007E70BB" w:rsidRDefault="005C2C7A" w:rsidP="005C2C7A">
            <w:pPr>
              <w:pStyle w:val="TableReference"/>
              <w:tabs>
                <w:tab w:val="left" w:pos="3306"/>
              </w:tabs>
              <w:spacing w:before="40"/>
              <w:rPr>
                <w:rFonts w:cs="Calibri"/>
                <w:color w:val="7030A0"/>
                <w:sz w:val="14"/>
              </w:rPr>
            </w:pPr>
            <w:r w:rsidRPr="007E70BB">
              <w:rPr>
                <w:rFonts w:cs="Calibri"/>
                <w:color w:val="7030A0"/>
                <w:sz w:val="14"/>
              </w:rPr>
              <w:t>AASB 101.78(b)</w:t>
            </w:r>
          </w:p>
        </w:tc>
        <w:tc>
          <w:tcPr>
            <w:tcW w:w="2702" w:type="pct"/>
            <w:tcBorders>
              <w:top w:val="nil"/>
              <w:left w:val="single" w:sz="2" w:space="0" w:color="auto"/>
              <w:bottom w:val="nil"/>
              <w:right w:val="nil"/>
            </w:tcBorders>
            <w:vAlign w:val="bottom"/>
          </w:tcPr>
          <w:p w14:paraId="03D0B98C" w14:textId="77777777" w:rsidR="005C2C7A" w:rsidRPr="007E70BB" w:rsidRDefault="005C2C7A" w:rsidP="005C2C7A">
            <w:pPr>
              <w:pStyle w:val="TableText"/>
              <w:tabs>
                <w:tab w:val="left" w:pos="3306"/>
              </w:tabs>
              <w:rPr>
                <w:rFonts w:cs="Calibri"/>
              </w:rPr>
            </w:pPr>
            <w:r w:rsidRPr="007E70BB">
              <w:rPr>
                <w:rFonts w:cs="Calibri"/>
              </w:rPr>
              <w:t>Other Current Receivables</w:t>
            </w:r>
          </w:p>
        </w:tc>
        <w:tc>
          <w:tcPr>
            <w:tcW w:w="674" w:type="pct"/>
            <w:tcBorders>
              <w:top w:val="nil"/>
              <w:left w:val="nil"/>
              <w:bottom w:val="single" w:sz="2" w:space="0" w:color="auto"/>
              <w:right w:val="nil"/>
            </w:tcBorders>
            <w:vAlign w:val="bottom"/>
          </w:tcPr>
          <w:p w14:paraId="796AE25C" w14:textId="1DC3DF64" w:rsidR="005C2C7A" w:rsidRPr="007E70BB" w:rsidRDefault="005C2C7A" w:rsidP="005C2C7A">
            <w:pPr>
              <w:pStyle w:val="TableText"/>
              <w:tabs>
                <w:tab w:val="left" w:pos="3306"/>
              </w:tabs>
              <w:jc w:val="right"/>
              <w:rPr>
                <w:rFonts w:cs="Calibri"/>
              </w:rPr>
            </w:pPr>
          </w:p>
        </w:tc>
        <w:tc>
          <w:tcPr>
            <w:tcW w:w="879" w:type="pct"/>
            <w:gridSpan w:val="3"/>
            <w:tcBorders>
              <w:top w:val="nil"/>
              <w:left w:val="nil"/>
              <w:bottom w:val="single" w:sz="2" w:space="0" w:color="auto"/>
              <w:right w:val="nil"/>
            </w:tcBorders>
            <w:vAlign w:val="bottom"/>
          </w:tcPr>
          <w:p w14:paraId="147ACD99" w14:textId="1EFAFCE0" w:rsidR="005C2C7A" w:rsidRPr="007E70BB" w:rsidRDefault="005C2C7A" w:rsidP="005C2C7A">
            <w:pPr>
              <w:pStyle w:val="TableText"/>
              <w:tabs>
                <w:tab w:val="left" w:pos="3306"/>
              </w:tabs>
              <w:jc w:val="right"/>
              <w:rPr>
                <w:rFonts w:cs="Calibri"/>
              </w:rPr>
            </w:pPr>
          </w:p>
        </w:tc>
      </w:tr>
      <w:tr w:rsidR="005C2C7A" w:rsidRPr="00CF7E1B" w14:paraId="23C02234" w14:textId="77777777" w:rsidTr="005F5B4C">
        <w:trPr>
          <w:cantSplit/>
          <w:trHeight w:val="23"/>
        </w:trPr>
        <w:tc>
          <w:tcPr>
            <w:tcW w:w="745" w:type="pct"/>
            <w:tcBorders>
              <w:top w:val="nil"/>
              <w:left w:val="single" w:sz="2" w:space="0" w:color="auto"/>
              <w:bottom w:val="nil"/>
              <w:right w:val="single" w:sz="2" w:space="0" w:color="auto"/>
            </w:tcBorders>
          </w:tcPr>
          <w:p w14:paraId="73E3A983" w14:textId="77777777" w:rsidR="005C2C7A" w:rsidRPr="007E70BB" w:rsidRDefault="005C2C7A" w:rsidP="005C2C7A">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7FEAFC00" w14:textId="5B673263" w:rsidR="005C2C7A" w:rsidRPr="007E70BB" w:rsidRDefault="005C2C7A" w:rsidP="005C2C7A">
            <w:pPr>
              <w:pStyle w:val="TableText"/>
              <w:tabs>
                <w:tab w:val="left" w:pos="3306"/>
              </w:tabs>
              <w:rPr>
                <w:rFonts w:cs="Calibri"/>
                <w:b/>
                <w:bCs/>
              </w:rPr>
            </w:pPr>
            <w:r w:rsidRPr="007E70BB">
              <w:rPr>
                <w:rFonts w:cs="Calibri"/>
                <w:b/>
                <w:bCs/>
              </w:rPr>
              <w:t>Total Current Receivables and Contract Assets</w:t>
            </w:r>
          </w:p>
        </w:tc>
        <w:tc>
          <w:tcPr>
            <w:tcW w:w="674" w:type="pct"/>
            <w:tcBorders>
              <w:top w:val="single" w:sz="2" w:space="0" w:color="auto"/>
              <w:left w:val="nil"/>
              <w:bottom w:val="single" w:sz="2" w:space="0" w:color="auto"/>
              <w:right w:val="nil"/>
            </w:tcBorders>
            <w:vAlign w:val="bottom"/>
          </w:tcPr>
          <w:p w14:paraId="74D27E1D" w14:textId="6BC6B8D3" w:rsidR="005C2C7A" w:rsidRPr="007E70BB" w:rsidRDefault="005C2C7A" w:rsidP="005C2C7A">
            <w:pPr>
              <w:pStyle w:val="TableText"/>
              <w:tabs>
                <w:tab w:val="left" w:pos="3306"/>
              </w:tabs>
              <w:jc w:val="right"/>
              <w:rPr>
                <w:rFonts w:cs="Calibri"/>
                <w:b/>
                <w:bCs/>
                <w:strike/>
              </w:rPr>
            </w:pPr>
          </w:p>
        </w:tc>
        <w:tc>
          <w:tcPr>
            <w:tcW w:w="879" w:type="pct"/>
            <w:gridSpan w:val="3"/>
            <w:tcBorders>
              <w:top w:val="single" w:sz="2" w:space="0" w:color="auto"/>
              <w:left w:val="nil"/>
              <w:bottom w:val="single" w:sz="2" w:space="0" w:color="auto"/>
              <w:right w:val="nil"/>
            </w:tcBorders>
            <w:vAlign w:val="bottom"/>
          </w:tcPr>
          <w:p w14:paraId="4A3D10F3" w14:textId="7E5DB3C6" w:rsidR="005C2C7A" w:rsidRPr="007E70BB" w:rsidRDefault="005C2C7A" w:rsidP="005C2C7A">
            <w:pPr>
              <w:pStyle w:val="TableText"/>
              <w:tabs>
                <w:tab w:val="left" w:pos="3306"/>
              </w:tabs>
              <w:jc w:val="right"/>
              <w:rPr>
                <w:rFonts w:cs="Calibri"/>
                <w:b/>
                <w:bCs/>
              </w:rPr>
            </w:pPr>
          </w:p>
        </w:tc>
      </w:tr>
      <w:tr w:rsidR="005C2C7A" w:rsidRPr="00CF7E1B" w14:paraId="7A71BF30" w14:textId="77777777" w:rsidTr="005F5B4C">
        <w:trPr>
          <w:cantSplit/>
          <w:trHeight w:val="23"/>
        </w:trPr>
        <w:tc>
          <w:tcPr>
            <w:tcW w:w="745" w:type="pct"/>
            <w:tcBorders>
              <w:top w:val="nil"/>
              <w:left w:val="single" w:sz="2" w:space="0" w:color="auto"/>
              <w:bottom w:val="nil"/>
              <w:right w:val="single" w:sz="2" w:space="0" w:color="auto"/>
            </w:tcBorders>
          </w:tcPr>
          <w:p w14:paraId="1CECFC42" w14:textId="77777777" w:rsidR="005C2C7A" w:rsidRPr="007E70BB" w:rsidRDefault="005C2C7A" w:rsidP="005C2C7A">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4A9641DF" w14:textId="77777777" w:rsidR="005C2C7A" w:rsidRPr="00B91A27" w:rsidRDefault="005C2C7A" w:rsidP="005C2C7A">
            <w:pPr>
              <w:pStyle w:val="TableText"/>
              <w:tabs>
                <w:tab w:val="left" w:pos="3306"/>
              </w:tabs>
              <w:rPr>
                <w:rFonts w:cs="Calibri"/>
              </w:rPr>
            </w:pPr>
          </w:p>
        </w:tc>
        <w:tc>
          <w:tcPr>
            <w:tcW w:w="674" w:type="pct"/>
            <w:tcBorders>
              <w:top w:val="single" w:sz="2" w:space="0" w:color="auto"/>
              <w:left w:val="nil"/>
              <w:bottom w:val="nil"/>
              <w:right w:val="nil"/>
            </w:tcBorders>
            <w:vAlign w:val="bottom"/>
          </w:tcPr>
          <w:p w14:paraId="0169F64F" w14:textId="77777777" w:rsidR="005C2C7A" w:rsidRPr="00B91A27" w:rsidRDefault="005C2C7A" w:rsidP="005C2C7A">
            <w:pPr>
              <w:pStyle w:val="TableText"/>
              <w:tabs>
                <w:tab w:val="left" w:pos="3306"/>
              </w:tabs>
              <w:jc w:val="right"/>
              <w:rPr>
                <w:rFonts w:cs="Calibri"/>
              </w:rPr>
            </w:pPr>
          </w:p>
        </w:tc>
        <w:tc>
          <w:tcPr>
            <w:tcW w:w="879" w:type="pct"/>
            <w:gridSpan w:val="3"/>
            <w:tcBorders>
              <w:top w:val="single" w:sz="2" w:space="0" w:color="auto"/>
              <w:left w:val="nil"/>
              <w:bottom w:val="nil"/>
              <w:right w:val="nil"/>
            </w:tcBorders>
            <w:vAlign w:val="bottom"/>
          </w:tcPr>
          <w:p w14:paraId="591AF68F" w14:textId="77777777" w:rsidR="005C2C7A" w:rsidRPr="00B91A27" w:rsidRDefault="005C2C7A" w:rsidP="005C2C7A">
            <w:pPr>
              <w:pStyle w:val="TableText"/>
              <w:tabs>
                <w:tab w:val="left" w:pos="3306"/>
              </w:tabs>
              <w:jc w:val="right"/>
              <w:rPr>
                <w:rFonts w:cs="Calibri"/>
              </w:rPr>
            </w:pPr>
          </w:p>
        </w:tc>
      </w:tr>
      <w:tr w:rsidR="000B7AD0" w:rsidRPr="00CF7E1B" w14:paraId="306F21D1" w14:textId="77777777" w:rsidTr="005F5B4C">
        <w:trPr>
          <w:cantSplit/>
          <w:trHeight w:val="23"/>
        </w:trPr>
        <w:tc>
          <w:tcPr>
            <w:tcW w:w="745" w:type="pct"/>
            <w:tcBorders>
              <w:top w:val="nil"/>
              <w:left w:val="single" w:sz="2" w:space="0" w:color="auto"/>
              <w:bottom w:val="nil"/>
              <w:right w:val="single" w:sz="2" w:space="0" w:color="auto"/>
            </w:tcBorders>
          </w:tcPr>
          <w:p w14:paraId="1F62160D" w14:textId="77777777" w:rsidR="000B7AD0" w:rsidRPr="003E75E3" w:rsidRDefault="000B7AD0" w:rsidP="006C742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10F4C52C" w14:textId="77777777" w:rsidR="000B7AD0" w:rsidRPr="003E75E3" w:rsidRDefault="000B7AD0" w:rsidP="006C7429">
            <w:pPr>
              <w:pStyle w:val="TableText"/>
              <w:tabs>
                <w:tab w:val="left" w:pos="3306"/>
              </w:tabs>
              <w:rPr>
                <w:rFonts w:cs="Calibri"/>
                <w:b/>
                <w:bCs/>
              </w:rPr>
            </w:pPr>
          </w:p>
        </w:tc>
        <w:tc>
          <w:tcPr>
            <w:tcW w:w="674" w:type="pct"/>
            <w:tcBorders>
              <w:top w:val="nil"/>
              <w:left w:val="nil"/>
              <w:bottom w:val="nil"/>
              <w:right w:val="nil"/>
            </w:tcBorders>
            <w:vAlign w:val="bottom"/>
          </w:tcPr>
          <w:p w14:paraId="193CD14C" w14:textId="76036009" w:rsidR="000B7AD0" w:rsidRPr="00C03B5E" w:rsidRDefault="000B7AD0" w:rsidP="006C7429">
            <w:pPr>
              <w:pStyle w:val="TableText"/>
              <w:tabs>
                <w:tab w:val="left" w:pos="3306"/>
              </w:tabs>
              <w:jc w:val="right"/>
              <w:rPr>
                <w:rFonts w:cs="Calibri"/>
                <w:b/>
                <w:bCs/>
              </w:rPr>
            </w:pPr>
            <w:r w:rsidRPr="00C03B5E">
              <w:rPr>
                <w:rFonts w:cs="Calibri"/>
                <w:b/>
                <w:bCs/>
              </w:rPr>
              <w:t>2022</w:t>
            </w:r>
          </w:p>
        </w:tc>
        <w:tc>
          <w:tcPr>
            <w:tcW w:w="879" w:type="pct"/>
            <w:gridSpan w:val="3"/>
            <w:tcBorders>
              <w:top w:val="nil"/>
              <w:left w:val="nil"/>
              <w:bottom w:val="nil"/>
              <w:right w:val="nil"/>
            </w:tcBorders>
            <w:vAlign w:val="bottom"/>
          </w:tcPr>
          <w:p w14:paraId="4D361FCF" w14:textId="79741687" w:rsidR="000B7AD0" w:rsidRPr="00C03B5E" w:rsidRDefault="00C03B5E" w:rsidP="006C7429">
            <w:pPr>
              <w:pStyle w:val="TableText"/>
              <w:tabs>
                <w:tab w:val="left" w:pos="3306"/>
              </w:tabs>
              <w:jc w:val="right"/>
              <w:rPr>
                <w:rFonts w:cs="Calibri"/>
                <w:b/>
                <w:bCs/>
              </w:rPr>
            </w:pPr>
            <w:r w:rsidRPr="00C03B5E">
              <w:rPr>
                <w:rFonts w:cs="Calibri"/>
                <w:b/>
                <w:bCs/>
              </w:rPr>
              <w:t>2021</w:t>
            </w:r>
          </w:p>
        </w:tc>
      </w:tr>
      <w:tr w:rsidR="000B7AD0" w:rsidRPr="00CF7E1B" w14:paraId="0A4E90F2" w14:textId="77777777" w:rsidTr="005F5B4C">
        <w:trPr>
          <w:cantSplit/>
          <w:trHeight w:val="23"/>
        </w:trPr>
        <w:tc>
          <w:tcPr>
            <w:tcW w:w="745" w:type="pct"/>
            <w:tcBorders>
              <w:top w:val="nil"/>
              <w:left w:val="single" w:sz="2" w:space="0" w:color="auto"/>
              <w:bottom w:val="nil"/>
              <w:right w:val="single" w:sz="2" w:space="0" w:color="auto"/>
            </w:tcBorders>
          </w:tcPr>
          <w:p w14:paraId="2C11BCF1" w14:textId="77777777" w:rsidR="000B7AD0" w:rsidRPr="003E75E3" w:rsidRDefault="000B7AD0" w:rsidP="006C742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3F8A2D5C" w14:textId="77777777" w:rsidR="000B7AD0" w:rsidRPr="003E75E3" w:rsidRDefault="000B7AD0" w:rsidP="006C7429">
            <w:pPr>
              <w:pStyle w:val="TableText"/>
              <w:tabs>
                <w:tab w:val="left" w:pos="3306"/>
              </w:tabs>
              <w:rPr>
                <w:rFonts w:cs="Calibri"/>
                <w:b/>
                <w:bCs/>
              </w:rPr>
            </w:pPr>
          </w:p>
        </w:tc>
        <w:tc>
          <w:tcPr>
            <w:tcW w:w="674" w:type="pct"/>
            <w:tcBorders>
              <w:top w:val="nil"/>
              <w:left w:val="nil"/>
              <w:bottom w:val="nil"/>
              <w:right w:val="nil"/>
            </w:tcBorders>
            <w:vAlign w:val="bottom"/>
          </w:tcPr>
          <w:p w14:paraId="32FB0B06" w14:textId="2EDA1832" w:rsidR="000B7AD0" w:rsidRPr="00C03B5E" w:rsidRDefault="00C03B5E" w:rsidP="006C7429">
            <w:pPr>
              <w:pStyle w:val="TableText"/>
              <w:tabs>
                <w:tab w:val="left" w:pos="3306"/>
              </w:tabs>
              <w:jc w:val="right"/>
              <w:rPr>
                <w:rFonts w:cs="Calibri"/>
                <w:b/>
                <w:bCs/>
              </w:rPr>
            </w:pPr>
            <w:r w:rsidRPr="00C03B5E">
              <w:rPr>
                <w:rFonts w:cs="Calibri"/>
                <w:b/>
                <w:bCs/>
              </w:rPr>
              <w:t>$’000</w:t>
            </w:r>
          </w:p>
        </w:tc>
        <w:tc>
          <w:tcPr>
            <w:tcW w:w="879" w:type="pct"/>
            <w:gridSpan w:val="3"/>
            <w:tcBorders>
              <w:top w:val="nil"/>
              <w:left w:val="nil"/>
              <w:bottom w:val="nil"/>
              <w:right w:val="nil"/>
            </w:tcBorders>
            <w:vAlign w:val="bottom"/>
          </w:tcPr>
          <w:p w14:paraId="63E2AE88" w14:textId="527E6646" w:rsidR="000B7AD0" w:rsidRPr="00C03B5E" w:rsidRDefault="00C03B5E" w:rsidP="006C7429">
            <w:pPr>
              <w:pStyle w:val="TableText"/>
              <w:tabs>
                <w:tab w:val="left" w:pos="3306"/>
              </w:tabs>
              <w:jc w:val="right"/>
              <w:rPr>
                <w:rFonts w:cs="Calibri"/>
                <w:b/>
                <w:bCs/>
              </w:rPr>
            </w:pPr>
            <w:r w:rsidRPr="00C03B5E">
              <w:rPr>
                <w:rFonts w:cs="Calibri"/>
                <w:b/>
                <w:bCs/>
              </w:rPr>
              <w:t>$’000</w:t>
            </w:r>
          </w:p>
        </w:tc>
      </w:tr>
      <w:tr w:rsidR="006C7429" w:rsidRPr="00CF7E1B" w14:paraId="7209240C" w14:textId="77777777" w:rsidTr="005F5B4C">
        <w:trPr>
          <w:cantSplit/>
          <w:trHeight w:val="23"/>
        </w:trPr>
        <w:tc>
          <w:tcPr>
            <w:tcW w:w="745" w:type="pct"/>
            <w:tcBorders>
              <w:top w:val="nil"/>
              <w:left w:val="single" w:sz="2" w:space="0" w:color="auto"/>
              <w:bottom w:val="nil"/>
              <w:right w:val="single" w:sz="2" w:space="0" w:color="auto"/>
            </w:tcBorders>
          </w:tcPr>
          <w:p w14:paraId="78C087AD" w14:textId="77777777" w:rsidR="006C7429" w:rsidRPr="003E75E3" w:rsidRDefault="006C7429" w:rsidP="006C742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0D21DFC7" w14:textId="7E293D9E" w:rsidR="006C7429" w:rsidRPr="003E75E3" w:rsidRDefault="006C7429" w:rsidP="006C7429">
            <w:pPr>
              <w:pStyle w:val="TableText"/>
              <w:tabs>
                <w:tab w:val="left" w:pos="3306"/>
              </w:tabs>
              <w:rPr>
                <w:rFonts w:cs="Calibri"/>
                <w:b/>
                <w:bCs/>
              </w:rPr>
            </w:pPr>
            <w:bookmarkStart w:id="506" w:name="_Toc48468504"/>
            <w:bookmarkStart w:id="507" w:name="_Toc49155616"/>
            <w:bookmarkStart w:id="508" w:name="_Toc49224062"/>
            <w:r w:rsidRPr="003E75E3">
              <w:rPr>
                <w:rFonts w:cs="Calibri"/>
                <w:b/>
                <w:bCs/>
              </w:rPr>
              <w:t>Non-Current Receivables</w:t>
            </w:r>
            <w:bookmarkEnd w:id="506"/>
            <w:bookmarkEnd w:id="507"/>
            <w:bookmarkEnd w:id="508"/>
            <w:r w:rsidRPr="003E75E3">
              <w:rPr>
                <w:rFonts w:cs="Calibri"/>
                <w:b/>
                <w:bCs/>
              </w:rPr>
              <w:t xml:space="preserve"> and Contract Assets</w:t>
            </w:r>
          </w:p>
        </w:tc>
        <w:tc>
          <w:tcPr>
            <w:tcW w:w="674" w:type="pct"/>
            <w:tcBorders>
              <w:top w:val="nil"/>
              <w:left w:val="nil"/>
              <w:bottom w:val="nil"/>
              <w:right w:val="nil"/>
            </w:tcBorders>
            <w:vAlign w:val="bottom"/>
          </w:tcPr>
          <w:p w14:paraId="6792865E" w14:textId="77777777" w:rsidR="006C7429" w:rsidRPr="003E75E3" w:rsidRDefault="006C7429" w:rsidP="006C7429">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7B39C360" w14:textId="77777777" w:rsidR="006C7429" w:rsidRPr="003E75E3" w:rsidRDefault="006C7429" w:rsidP="006C7429">
            <w:pPr>
              <w:pStyle w:val="TableText"/>
              <w:tabs>
                <w:tab w:val="left" w:pos="3306"/>
              </w:tabs>
              <w:jc w:val="right"/>
              <w:rPr>
                <w:rFonts w:cs="Calibri"/>
              </w:rPr>
            </w:pPr>
          </w:p>
        </w:tc>
      </w:tr>
      <w:tr w:rsidR="006C7429" w:rsidRPr="00CF7E1B" w14:paraId="5F806136" w14:textId="77777777" w:rsidTr="005F5B4C">
        <w:trPr>
          <w:cantSplit/>
          <w:trHeight w:val="23"/>
        </w:trPr>
        <w:tc>
          <w:tcPr>
            <w:tcW w:w="745" w:type="pct"/>
            <w:tcBorders>
              <w:top w:val="nil"/>
              <w:left w:val="single" w:sz="2" w:space="0" w:color="auto"/>
              <w:bottom w:val="nil"/>
              <w:right w:val="single" w:sz="2" w:space="0" w:color="auto"/>
            </w:tcBorders>
          </w:tcPr>
          <w:p w14:paraId="63B8C908" w14:textId="77777777" w:rsidR="006C7429" w:rsidRPr="003E75E3" w:rsidRDefault="006C7429" w:rsidP="006C7429">
            <w:pPr>
              <w:pStyle w:val="TableReference"/>
              <w:tabs>
                <w:tab w:val="left" w:pos="3306"/>
              </w:tabs>
              <w:spacing w:before="60"/>
              <w:rPr>
                <w:rFonts w:cs="Calibri"/>
                <w:color w:val="7030A0"/>
                <w:sz w:val="14"/>
              </w:rPr>
            </w:pPr>
            <w:r w:rsidRPr="003E75E3">
              <w:rPr>
                <w:rFonts w:cs="Calibri"/>
                <w:color w:val="7030A0"/>
                <w:sz w:val="14"/>
              </w:rPr>
              <w:t>AASB 101.78(b)</w:t>
            </w:r>
          </w:p>
          <w:p w14:paraId="43052EAB" w14:textId="77777777" w:rsidR="006C7429" w:rsidRPr="003E75E3" w:rsidRDefault="006C7429" w:rsidP="006C7429">
            <w:pPr>
              <w:pStyle w:val="TableReference"/>
              <w:tabs>
                <w:tab w:val="left" w:pos="3306"/>
              </w:tabs>
              <w:spacing w:before="60"/>
              <w:rPr>
                <w:rFonts w:cs="Calibri"/>
                <w:color w:val="7030A0"/>
                <w:sz w:val="14"/>
              </w:rPr>
            </w:pPr>
            <w:r w:rsidRPr="003E75E3">
              <w:rPr>
                <w:rFonts w:cs="Calibri"/>
                <w:color w:val="7030A0"/>
                <w:sz w:val="14"/>
              </w:rPr>
              <w:t>AASB 9.5.1.3 &amp; 5.2.1</w:t>
            </w:r>
          </w:p>
        </w:tc>
        <w:tc>
          <w:tcPr>
            <w:tcW w:w="2702" w:type="pct"/>
            <w:tcBorders>
              <w:top w:val="nil"/>
              <w:left w:val="single" w:sz="2" w:space="0" w:color="auto"/>
              <w:bottom w:val="nil"/>
              <w:right w:val="nil"/>
            </w:tcBorders>
            <w:vAlign w:val="center"/>
          </w:tcPr>
          <w:p w14:paraId="38DC2C24" w14:textId="77777777" w:rsidR="006C7429" w:rsidRPr="003E75E3" w:rsidRDefault="006C7429" w:rsidP="006C7429">
            <w:pPr>
              <w:pStyle w:val="TableText"/>
              <w:tabs>
                <w:tab w:val="left" w:pos="3306"/>
              </w:tabs>
              <w:rPr>
                <w:rFonts w:cs="Calibri"/>
              </w:rPr>
            </w:pPr>
            <w:r w:rsidRPr="003E75E3">
              <w:rPr>
                <w:rFonts w:cs="Calibri"/>
              </w:rPr>
              <w:t xml:space="preserve">Trade Receivables </w:t>
            </w:r>
            <w:r w:rsidRPr="003E75E3">
              <w:rPr>
                <w:rFonts w:cs="Calibri"/>
                <w:vertAlign w:val="superscript"/>
              </w:rPr>
              <w:t>a</w:t>
            </w:r>
          </w:p>
        </w:tc>
        <w:tc>
          <w:tcPr>
            <w:tcW w:w="674" w:type="pct"/>
            <w:tcBorders>
              <w:top w:val="nil"/>
              <w:left w:val="nil"/>
              <w:bottom w:val="nil"/>
              <w:right w:val="nil"/>
            </w:tcBorders>
            <w:vAlign w:val="bottom"/>
          </w:tcPr>
          <w:p w14:paraId="719628A2" w14:textId="345F9C35" w:rsidR="006C7429" w:rsidRPr="003E75E3" w:rsidRDefault="006C7429" w:rsidP="006C7429">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28A1BA9A" w14:textId="41AD6745" w:rsidR="006C7429" w:rsidRPr="003E75E3" w:rsidRDefault="006C7429" w:rsidP="006C7429">
            <w:pPr>
              <w:pStyle w:val="TableText"/>
              <w:tabs>
                <w:tab w:val="left" w:pos="3306"/>
              </w:tabs>
              <w:jc w:val="right"/>
              <w:rPr>
                <w:rFonts w:cs="Calibri"/>
              </w:rPr>
            </w:pPr>
          </w:p>
        </w:tc>
      </w:tr>
      <w:tr w:rsidR="006C7429" w:rsidRPr="00CF7E1B" w14:paraId="25CD3C43" w14:textId="77777777" w:rsidTr="005F5B4C">
        <w:trPr>
          <w:cantSplit/>
          <w:trHeight w:val="23"/>
        </w:trPr>
        <w:tc>
          <w:tcPr>
            <w:tcW w:w="745" w:type="pct"/>
            <w:tcBorders>
              <w:top w:val="nil"/>
              <w:left w:val="single" w:sz="2" w:space="0" w:color="auto"/>
              <w:bottom w:val="nil"/>
              <w:right w:val="single" w:sz="2" w:space="0" w:color="auto"/>
            </w:tcBorders>
          </w:tcPr>
          <w:p w14:paraId="5B1E4874" w14:textId="5CB1EF12" w:rsidR="006C7429" w:rsidRPr="003E75E3" w:rsidRDefault="006C7429" w:rsidP="006C7429">
            <w:pPr>
              <w:pStyle w:val="TableReference"/>
              <w:tabs>
                <w:tab w:val="left" w:pos="3306"/>
              </w:tabs>
              <w:spacing w:before="6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9.5.5.1</w:t>
            </w:r>
          </w:p>
        </w:tc>
        <w:tc>
          <w:tcPr>
            <w:tcW w:w="2702" w:type="pct"/>
            <w:tcBorders>
              <w:top w:val="nil"/>
              <w:left w:val="single" w:sz="2" w:space="0" w:color="auto"/>
              <w:bottom w:val="nil"/>
              <w:right w:val="nil"/>
            </w:tcBorders>
          </w:tcPr>
          <w:p w14:paraId="33CE834D" w14:textId="5288B0D8" w:rsidR="006C7429" w:rsidRPr="003E75E3" w:rsidRDefault="006C7429" w:rsidP="006C7429">
            <w:pPr>
              <w:pStyle w:val="TableText"/>
              <w:tabs>
                <w:tab w:val="left" w:pos="3306"/>
              </w:tabs>
              <w:rPr>
                <w:rFonts w:cs="Calibri"/>
              </w:rPr>
            </w:pPr>
            <w:r w:rsidRPr="003E75E3">
              <w:rPr>
                <w:rFonts w:cs="Calibri"/>
              </w:rPr>
              <w:t xml:space="preserve">Less: Expected Credit Loss Allowance </w:t>
            </w:r>
          </w:p>
        </w:tc>
        <w:tc>
          <w:tcPr>
            <w:tcW w:w="674" w:type="pct"/>
            <w:tcBorders>
              <w:top w:val="nil"/>
              <w:left w:val="nil"/>
              <w:bottom w:val="nil"/>
              <w:right w:val="nil"/>
            </w:tcBorders>
            <w:vAlign w:val="bottom"/>
          </w:tcPr>
          <w:p w14:paraId="148FEFCD" w14:textId="1E31E598" w:rsidR="006C7429" w:rsidRPr="003E75E3" w:rsidRDefault="006C7429" w:rsidP="006C7429">
            <w:pPr>
              <w:pStyle w:val="TableText"/>
              <w:tabs>
                <w:tab w:val="left" w:pos="3306"/>
              </w:tabs>
              <w:jc w:val="right"/>
              <w:rPr>
                <w:rFonts w:cs="Calibri"/>
                <w:strike/>
              </w:rPr>
            </w:pPr>
          </w:p>
        </w:tc>
        <w:tc>
          <w:tcPr>
            <w:tcW w:w="879" w:type="pct"/>
            <w:gridSpan w:val="3"/>
            <w:tcBorders>
              <w:top w:val="nil"/>
              <w:left w:val="nil"/>
              <w:bottom w:val="nil"/>
              <w:right w:val="nil"/>
            </w:tcBorders>
            <w:vAlign w:val="bottom"/>
          </w:tcPr>
          <w:p w14:paraId="70EF423E" w14:textId="52F8646F" w:rsidR="006C7429" w:rsidRPr="003E75E3" w:rsidRDefault="006C7429" w:rsidP="006C7429">
            <w:pPr>
              <w:pStyle w:val="TableText"/>
              <w:tabs>
                <w:tab w:val="left" w:pos="3306"/>
              </w:tabs>
              <w:jc w:val="right"/>
              <w:rPr>
                <w:rFonts w:cs="Calibri"/>
              </w:rPr>
            </w:pPr>
          </w:p>
        </w:tc>
      </w:tr>
      <w:tr w:rsidR="006C7429" w:rsidRPr="00CF7E1B" w14:paraId="56946EE6" w14:textId="77777777" w:rsidTr="005F5B4C">
        <w:trPr>
          <w:cantSplit/>
          <w:trHeight w:val="23"/>
        </w:trPr>
        <w:tc>
          <w:tcPr>
            <w:tcW w:w="745" w:type="pct"/>
            <w:tcBorders>
              <w:top w:val="nil"/>
              <w:left w:val="single" w:sz="2" w:space="0" w:color="auto"/>
              <w:bottom w:val="nil"/>
              <w:right w:val="single" w:sz="2" w:space="0" w:color="auto"/>
            </w:tcBorders>
          </w:tcPr>
          <w:p w14:paraId="562FFE26" w14:textId="4FAE2C24" w:rsidR="006C7429" w:rsidRPr="003E75E3" w:rsidRDefault="006C7429" w:rsidP="006C7429">
            <w:pPr>
              <w:pStyle w:val="TableReference"/>
              <w:tabs>
                <w:tab w:val="left" w:pos="3306"/>
              </w:tabs>
              <w:spacing w:before="60"/>
              <w:rPr>
                <w:rFonts w:cs="Calibri"/>
                <w:color w:val="7030A0"/>
                <w:sz w:val="14"/>
              </w:rPr>
            </w:pPr>
            <w:r w:rsidRPr="003E75E3">
              <w:rPr>
                <w:rFonts w:cs="Calibri"/>
                <w:color w:val="7030A0"/>
                <w:sz w:val="14"/>
              </w:rPr>
              <w:t>AASB 15.116(a)</w:t>
            </w:r>
          </w:p>
        </w:tc>
        <w:tc>
          <w:tcPr>
            <w:tcW w:w="2702" w:type="pct"/>
            <w:tcBorders>
              <w:top w:val="nil"/>
              <w:left w:val="single" w:sz="2" w:space="0" w:color="auto"/>
              <w:bottom w:val="nil"/>
              <w:right w:val="nil"/>
            </w:tcBorders>
          </w:tcPr>
          <w:p w14:paraId="0A35DE9C" w14:textId="67E04EB2" w:rsidR="006C7429" w:rsidRPr="003E75E3" w:rsidRDefault="006C7429" w:rsidP="006C7429">
            <w:pPr>
              <w:pStyle w:val="TableText"/>
              <w:tabs>
                <w:tab w:val="left" w:pos="3306"/>
              </w:tabs>
              <w:rPr>
                <w:rFonts w:cs="Calibri"/>
              </w:rPr>
            </w:pPr>
            <w:r w:rsidRPr="003E75E3">
              <w:rPr>
                <w:rFonts w:cs="Calibri"/>
              </w:rPr>
              <w:t>Work Performed on Facilities Management Services</w:t>
            </w:r>
            <w:r w:rsidRPr="003E75E3">
              <w:rPr>
                <w:rFonts w:cs="Calibri"/>
                <w:b/>
                <w:bCs/>
                <w:caps/>
              </w:rPr>
              <w:t xml:space="preserve"> </w:t>
            </w:r>
            <w:r w:rsidRPr="003E75E3">
              <w:rPr>
                <w:rFonts w:cs="Calibri"/>
              </w:rPr>
              <w:t xml:space="preserve">Contracts with Customers not yet Invoiced </w:t>
            </w:r>
          </w:p>
        </w:tc>
        <w:tc>
          <w:tcPr>
            <w:tcW w:w="674" w:type="pct"/>
            <w:tcBorders>
              <w:top w:val="nil"/>
              <w:left w:val="nil"/>
              <w:bottom w:val="nil"/>
              <w:right w:val="nil"/>
            </w:tcBorders>
            <w:vAlign w:val="bottom"/>
          </w:tcPr>
          <w:p w14:paraId="4FA9C23D" w14:textId="77777777" w:rsidR="006C7429" w:rsidRPr="003E75E3" w:rsidRDefault="006C7429" w:rsidP="006C7429">
            <w:pPr>
              <w:pStyle w:val="TableText"/>
              <w:tabs>
                <w:tab w:val="left" w:pos="3306"/>
              </w:tabs>
              <w:jc w:val="right"/>
              <w:rPr>
                <w:rFonts w:cs="Calibri"/>
                <w:strike/>
              </w:rPr>
            </w:pPr>
          </w:p>
        </w:tc>
        <w:tc>
          <w:tcPr>
            <w:tcW w:w="879" w:type="pct"/>
            <w:gridSpan w:val="3"/>
            <w:tcBorders>
              <w:top w:val="nil"/>
              <w:left w:val="nil"/>
              <w:bottom w:val="nil"/>
              <w:right w:val="nil"/>
            </w:tcBorders>
            <w:vAlign w:val="bottom"/>
          </w:tcPr>
          <w:p w14:paraId="3E8D8782" w14:textId="77777777" w:rsidR="006C7429" w:rsidRPr="003E75E3" w:rsidRDefault="006C7429" w:rsidP="006C7429">
            <w:pPr>
              <w:pStyle w:val="TableText"/>
              <w:tabs>
                <w:tab w:val="left" w:pos="3306"/>
              </w:tabs>
              <w:jc w:val="right"/>
              <w:rPr>
                <w:rFonts w:cs="Calibri"/>
              </w:rPr>
            </w:pPr>
          </w:p>
        </w:tc>
      </w:tr>
      <w:tr w:rsidR="006C7429" w:rsidRPr="00CF7E1B" w14:paraId="364337A3" w14:textId="77777777" w:rsidTr="005F5B4C">
        <w:trPr>
          <w:cantSplit/>
          <w:trHeight w:val="23"/>
        </w:trPr>
        <w:tc>
          <w:tcPr>
            <w:tcW w:w="745" w:type="pct"/>
            <w:tcBorders>
              <w:top w:val="nil"/>
              <w:left w:val="single" w:sz="2" w:space="0" w:color="auto"/>
              <w:bottom w:val="nil"/>
              <w:right w:val="single" w:sz="2" w:space="0" w:color="auto"/>
            </w:tcBorders>
          </w:tcPr>
          <w:p w14:paraId="671330DD" w14:textId="4940DE8C" w:rsidR="006C7429" w:rsidRPr="003E75E3" w:rsidRDefault="006C7429" w:rsidP="006C7429">
            <w:pPr>
              <w:pStyle w:val="TableReference"/>
              <w:tabs>
                <w:tab w:val="left" w:pos="3306"/>
              </w:tabs>
              <w:spacing w:before="60"/>
              <w:rPr>
                <w:rFonts w:cs="Calibri"/>
                <w:color w:val="7030A0"/>
                <w:sz w:val="14"/>
              </w:rPr>
            </w:pPr>
            <w:r w:rsidRPr="003E75E3">
              <w:rPr>
                <w:rFonts w:cs="Calibri"/>
                <w:color w:val="7030A0"/>
                <w:sz w:val="14"/>
              </w:rPr>
              <w:t>AASB 15.113(b)</w:t>
            </w:r>
          </w:p>
        </w:tc>
        <w:tc>
          <w:tcPr>
            <w:tcW w:w="2702" w:type="pct"/>
            <w:tcBorders>
              <w:top w:val="nil"/>
              <w:left w:val="single" w:sz="2" w:space="0" w:color="auto"/>
              <w:bottom w:val="nil"/>
              <w:right w:val="nil"/>
            </w:tcBorders>
            <w:shd w:val="clear" w:color="auto" w:fill="auto"/>
            <w:vAlign w:val="bottom"/>
          </w:tcPr>
          <w:p w14:paraId="66466BDF" w14:textId="7E643906" w:rsidR="006C7429" w:rsidRPr="003E75E3" w:rsidRDefault="006C7429" w:rsidP="006C7429">
            <w:pPr>
              <w:pStyle w:val="TableText"/>
              <w:tabs>
                <w:tab w:val="left" w:pos="3306"/>
              </w:tabs>
              <w:rPr>
                <w:rFonts w:cs="Calibri"/>
              </w:rPr>
            </w:pPr>
            <w:r w:rsidRPr="003E75E3">
              <w:rPr>
                <w:rFonts w:cs="Calibri"/>
              </w:rPr>
              <w:t>Less: Expected Credit Loss Allowance</w:t>
            </w:r>
          </w:p>
        </w:tc>
        <w:tc>
          <w:tcPr>
            <w:tcW w:w="674" w:type="pct"/>
            <w:tcBorders>
              <w:top w:val="nil"/>
              <w:left w:val="nil"/>
              <w:bottom w:val="nil"/>
              <w:right w:val="nil"/>
            </w:tcBorders>
            <w:vAlign w:val="bottom"/>
          </w:tcPr>
          <w:p w14:paraId="36A52A4C" w14:textId="77777777" w:rsidR="006C7429" w:rsidRPr="003E75E3" w:rsidRDefault="006C7429" w:rsidP="006C7429">
            <w:pPr>
              <w:pStyle w:val="TableText"/>
              <w:tabs>
                <w:tab w:val="left" w:pos="3306"/>
              </w:tabs>
              <w:jc w:val="right"/>
              <w:rPr>
                <w:rFonts w:cs="Calibri"/>
                <w:strike/>
              </w:rPr>
            </w:pPr>
          </w:p>
        </w:tc>
        <w:tc>
          <w:tcPr>
            <w:tcW w:w="879" w:type="pct"/>
            <w:gridSpan w:val="3"/>
            <w:tcBorders>
              <w:top w:val="nil"/>
              <w:left w:val="nil"/>
              <w:bottom w:val="nil"/>
              <w:right w:val="nil"/>
            </w:tcBorders>
            <w:vAlign w:val="bottom"/>
          </w:tcPr>
          <w:p w14:paraId="795468BE" w14:textId="77777777" w:rsidR="006C7429" w:rsidRPr="003E75E3" w:rsidRDefault="006C7429" w:rsidP="006C7429">
            <w:pPr>
              <w:pStyle w:val="TableText"/>
              <w:tabs>
                <w:tab w:val="left" w:pos="3306"/>
              </w:tabs>
              <w:jc w:val="right"/>
              <w:rPr>
                <w:rFonts w:cs="Calibri"/>
              </w:rPr>
            </w:pPr>
          </w:p>
        </w:tc>
      </w:tr>
      <w:tr w:rsidR="006C7429" w:rsidRPr="00CF7E1B" w14:paraId="748E5861" w14:textId="77777777" w:rsidTr="005F5B4C">
        <w:trPr>
          <w:cantSplit/>
          <w:trHeight w:val="23"/>
        </w:trPr>
        <w:tc>
          <w:tcPr>
            <w:tcW w:w="745" w:type="pct"/>
            <w:tcBorders>
              <w:top w:val="nil"/>
              <w:left w:val="single" w:sz="2" w:space="0" w:color="auto"/>
              <w:bottom w:val="nil"/>
              <w:right w:val="single" w:sz="2" w:space="0" w:color="auto"/>
            </w:tcBorders>
          </w:tcPr>
          <w:p w14:paraId="4DFB92C5" w14:textId="77777777"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AASB 101.78(b)</w:t>
            </w:r>
          </w:p>
        </w:tc>
        <w:tc>
          <w:tcPr>
            <w:tcW w:w="2702" w:type="pct"/>
            <w:tcBorders>
              <w:top w:val="nil"/>
              <w:left w:val="single" w:sz="2" w:space="0" w:color="auto"/>
              <w:bottom w:val="nil"/>
              <w:right w:val="nil"/>
            </w:tcBorders>
          </w:tcPr>
          <w:p w14:paraId="473A62A9" w14:textId="77777777" w:rsidR="006C7429" w:rsidRPr="003E75E3" w:rsidRDefault="006C7429" w:rsidP="006C7429">
            <w:pPr>
              <w:pStyle w:val="TableText"/>
              <w:tabs>
                <w:tab w:val="left" w:pos="3306"/>
              </w:tabs>
              <w:rPr>
                <w:rFonts w:cs="Calibri"/>
              </w:rPr>
            </w:pPr>
            <w:r w:rsidRPr="003E75E3">
              <w:rPr>
                <w:rFonts w:cs="Calibri"/>
              </w:rPr>
              <w:t xml:space="preserve">Loans Receivable </w:t>
            </w:r>
            <w:r w:rsidRPr="003E75E3">
              <w:rPr>
                <w:rFonts w:cs="Calibri"/>
                <w:vertAlign w:val="superscript"/>
              </w:rPr>
              <w:t>b</w:t>
            </w:r>
          </w:p>
        </w:tc>
        <w:tc>
          <w:tcPr>
            <w:tcW w:w="674" w:type="pct"/>
            <w:tcBorders>
              <w:top w:val="nil"/>
              <w:left w:val="nil"/>
              <w:bottom w:val="nil"/>
              <w:right w:val="nil"/>
            </w:tcBorders>
            <w:vAlign w:val="bottom"/>
          </w:tcPr>
          <w:p w14:paraId="25E7D818" w14:textId="43B3A264" w:rsidR="006C7429" w:rsidRPr="003E75E3" w:rsidRDefault="006C7429" w:rsidP="006C7429">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4A59DD5F" w14:textId="11A6B67D" w:rsidR="006C7429" w:rsidRPr="003E75E3" w:rsidRDefault="006C7429" w:rsidP="006C7429">
            <w:pPr>
              <w:pStyle w:val="TableText"/>
              <w:tabs>
                <w:tab w:val="left" w:pos="3306"/>
              </w:tabs>
              <w:jc w:val="right"/>
              <w:rPr>
                <w:rFonts w:cs="Calibri"/>
              </w:rPr>
            </w:pPr>
          </w:p>
        </w:tc>
      </w:tr>
      <w:tr w:rsidR="006C7429" w:rsidRPr="00CF7E1B" w14:paraId="67735B85" w14:textId="77777777" w:rsidTr="005F5B4C">
        <w:trPr>
          <w:cantSplit/>
          <w:trHeight w:val="23"/>
        </w:trPr>
        <w:tc>
          <w:tcPr>
            <w:tcW w:w="745" w:type="pct"/>
            <w:tcBorders>
              <w:top w:val="nil"/>
              <w:left w:val="single" w:sz="2" w:space="0" w:color="auto"/>
              <w:bottom w:val="nil"/>
              <w:right w:val="single" w:sz="2" w:space="0" w:color="auto"/>
            </w:tcBorders>
          </w:tcPr>
          <w:p w14:paraId="07C83A21" w14:textId="361364EF"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AASB 15.113(b)</w:t>
            </w:r>
          </w:p>
        </w:tc>
        <w:tc>
          <w:tcPr>
            <w:tcW w:w="2702" w:type="pct"/>
            <w:tcBorders>
              <w:top w:val="nil"/>
              <w:left w:val="single" w:sz="2" w:space="0" w:color="auto"/>
              <w:bottom w:val="nil"/>
              <w:right w:val="nil"/>
            </w:tcBorders>
          </w:tcPr>
          <w:p w14:paraId="276AAC9A" w14:textId="0231C333" w:rsidR="006C7429" w:rsidRPr="003E75E3" w:rsidRDefault="006C7429" w:rsidP="006C7429">
            <w:pPr>
              <w:pStyle w:val="TableText"/>
              <w:tabs>
                <w:tab w:val="left" w:pos="3306"/>
              </w:tabs>
            </w:pPr>
            <w:r w:rsidRPr="003E75E3">
              <w:rPr>
                <w:rFonts w:cs="Calibri"/>
              </w:rPr>
              <w:t>Less: Expected Credit Loss Allowance</w:t>
            </w:r>
          </w:p>
        </w:tc>
        <w:tc>
          <w:tcPr>
            <w:tcW w:w="674" w:type="pct"/>
            <w:tcBorders>
              <w:top w:val="nil"/>
              <w:left w:val="nil"/>
              <w:bottom w:val="nil"/>
              <w:right w:val="nil"/>
            </w:tcBorders>
            <w:vAlign w:val="bottom"/>
          </w:tcPr>
          <w:p w14:paraId="426C54A8" w14:textId="77777777" w:rsidR="006C7429" w:rsidRPr="003E75E3" w:rsidRDefault="006C7429" w:rsidP="006C7429">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50F87A29" w14:textId="77777777" w:rsidR="006C7429" w:rsidRPr="003E75E3" w:rsidRDefault="006C7429" w:rsidP="006C7429">
            <w:pPr>
              <w:pStyle w:val="TableText"/>
              <w:tabs>
                <w:tab w:val="left" w:pos="3306"/>
              </w:tabs>
              <w:jc w:val="right"/>
              <w:rPr>
                <w:rFonts w:cs="Calibri"/>
              </w:rPr>
            </w:pPr>
          </w:p>
        </w:tc>
      </w:tr>
      <w:tr w:rsidR="006C7429" w:rsidRPr="00CF7E1B" w14:paraId="040B49F7" w14:textId="77777777" w:rsidTr="005F5B4C">
        <w:trPr>
          <w:cantSplit/>
          <w:trHeight w:val="23"/>
        </w:trPr>
        <w:tc>
          <w:tcPr>
            <w:tcW w:w="745" w:type="pct"/>
            <w:tcBorders>
              <w:top w:val="nil"/>
              <w:left w:val="single" w:sz="2" w:space="0" w:color="auto"/>
              <w:bottom w:val="nil"/>
              <w:right w:val="single" w:sz="2" w:space="0" w:color="auto"/>
            </w:tcBorders>
          </w:tcPr>
          <w:p w14:paraId="3DD8EA56" w14:textId="77777777" w:rsidR="006C7429" w:rsidRPr="003E75E3" w:rsidRDefault="006C7429" w:rsidP="006C742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45A2C321" w14:textId="5D644B6D" w:rsidR="006C7429" w:rsidRPr="003E75E3" w:rsidRDefault="006C7429" w:rsidP="006C7429">
            <w:pPr>
              <w:pStyle w:val="TableText"/>
              <w:tabs>
                <w:tab w:val="left" w:pos="3306"/>
              </w:tabs>
              <w:rPr>
                <w:rFonts w:cs="Calibri"/>
              </w:rPr>
            </w:pPr>
            <w:r w:rsidRPr="003E75E3">
              <w:t>Receivables for Finance Leases as Lessor</w:t>
            </w:r>
          </w:p>
        </w:tc>
        <w:tc>
          <w:tcPr>
            <w:tcW w:w="674" w:type="pct"/>
            <w:tcBorders>
              <w:top w:val="nil"/>
              <w:left w:val="nil"/>
              <w:bottom w:val="nil"/>
              <w:right w:val="nil"/>
            </w:tcBorders>
            <w:vAlign w:val="bottom"/>
          </w:tcPr>
          <w:p w14:paraId="10249352" w14:textId="77777777" w:rsidR="006C7429" w:rsidRPr="003E75E3" w:rsidRDefault="006C7429" w:rsidP="006C7429">
            <w:pPr>
              <w:pStyle w:val="TableText"/>
              <w:tabs>
                <w:tab w:val="left" w:pos="3306"/>
              </w:tabs>
              <w:jc w:val="right"/>
              <w:rPr>
                <w:rFonts w:cs="Calibri"/>
              </w:rPr>
            </w:pPr>
          </w:p>
        </w:tc>
        <w:tc>
          <w:tcPr>
            <w:tcW w:w="879" w:type="pct"/>
            <w:gridSpan w:val="3"/>
            <w:tcBorders>
              <w:top w:val="nil"/>
              <w:left w:val="nil"/>
              <w:bottom w:val="nil"/>
              <w:right w:val="nil"/>
            </w:tcBorders>
            <w:vAlign w:val="bottom"/>
          </w:tcPr>
          <w:p w14:paraId="66346B75" w14:textId="77777777" w:rsidR="006C7429" w:rsidRPr="003E75E3" w:rsidRDefault="006C7429" w:rsidP="006C7429">
            <w:pPr>
              <w:pStyle w:val="TableText"/>
              <w:tabs>
                <w:tab w:val="left" w:pos="3306"/>
              </w:tabs>
              <w:jc w:val="right"/>
              <w:rPr>
                <w:rFonts w:cs="Calibri"/>
              </w:rPr>
            </w:pPr>
          </w:p>
        </w:tc>
      </w:tr>
      <w:tr w:rsidR="006C7429" w:rsidRPr="00CF7E1B" w14:paraId="3282554E" w14:textId="77777777" w:rsidTr="005F5B4C">
        <w:trPr>
          <w:cantSplit/>
          <w:trHeight w:val="23"/>
        </w:trPr>
        <w:tc>
          <w:tcPr>
            <w:tcW w:w="745" w:type="pct"/>
            <w:tcBorders>
              <w:top w:val="nil"/>
              <w:left w:val="single" w:sz="2" w:space="0" w:color="auto"/>
              <w:bottom w:val="nil"/>
              <w:right w:val="single" w:sz="2" w:space="0" w:color="auto"/>
            </w:tcBorders>
          </w:tcPr>
          <w:p w14:paraId="13E17D66" w14:textId="77777777"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AASB 101.78(b)</w:t>
            </w:r>
          </w:p>
        </w:tc>
        <w:tc>
          <w:tcPr>
            <w:tcW w:w="2702" w:type="pct"/>
            <w:tcBorders>
              <w:top w:val="nil"/>
              <w:left w:val="single" w:sz="2" w:space="0" w:color="auto"/>
              <w:bottom w:val="nil"/>
              <w:right w:val="nil"/>
            </w:tcBorders>
          </w:tcPr>
          <w:p w14:paraId="4C9464C8" w14:textId="77777777" w:rsidR="006C7429" w:rsidRPr="003E75E3" w:rsidRDefault="006C7429" w:rsidP="006C7429">
            <w:pPr>
              <w:pStyle w:val="TableText"/>
              <w:tabs>
                <w:tab w:val="left" w:pos="3306"/>
              </w:tabs>
              <w:rPr>
                <w:rFonts w:cs="Calibri"/>
              </w:rPr>
            </w:pPr>
            <w:r w:rsidRPr="003E75E3">
              <w:rPr>
                <w:rFonts w:cs="Calibri"/>
              </w:rPr>
              <w:t>Other Non-Current Receivables</w:t>
            </w:r>
          </w:p>
        </w:tc>
        <w:tc>
          <w:tcPr>
            <w:tcW w:w="674" w:type="pct"/>
            <w:tcBorders>
              <w:top w:val="nil"/>
              <w:left w:val="nil"/>
              <w:bottom w:val="single" w:sz="2" w:space="0" w:color="auto"/>
              <w:right w:val="nil"/>
            </w:tcBorders>
            <w:vAlign w:val="bottom"/>
          </w:tcPr>
          <w:p w14:paraId="73EB255E" w14:textId="3A1F78BA" w:rsidR="006C7429" w:rsidRPr="003E75E3" w:rsidRDefault="006C7429" w:rsidP="006C7429">
            <w:pPr>
              <w:pStyle w:val="TableText"/>
              <w:tabs>
                <w:tab w:val="left" w:pos="3306"/>
              </w:tabs>
              <w:jc w:val="right"/>
              <w:rPr>
                <w:rFonts w:cs="Calibri"/>
              </w:rPr>
            </w:pPr>
          </w:p>
        </w:tc>
        <w:tc>
          <w:tcPr>
            <w:tcW w:w="879" w:type="pct"/>
            <w:gridSpan w:val="3"/>
            <w:tcBorders>
              <w:top w:val="nil"/>
              <w:left w:val="nil"/>
              <w:bottom w:val="single" w:sz="2" w:space="0" w:color="auto"/>
              <w:right w:val="nil"/>
            </w:tcBorders>
            <w:vAlign w:val="bottom"/>
          </w:tcPr>
          <w:p w14:paraId="1F0589C0" w14:textId="5D69AD05" w:rsidR="006C7429" w:rsidRPr="003E75E3" w:rsidRDefault="006C7429" w:rsidP="006C7429">
            <w:pPr>
              <w:pStyle w:val="TableText"/>
              <w:tabs>
                <w:tab w:val="left" w:pos="3306"/>
              </w:tabs>
              <w:jc w:val="right"/>
              <w:rPr>
                <w:rFonts w:cs="Calibri"/>
              </w:rPr>
            </w:pPr>
          </w:p>
        </w:tc>
      </w:tr>
      <w:tr w:rsidR="006C7429" w:rsidRPr="00CF7E1B" w14:paraId="6616A7E2" w14:textId="77777777" w:rsidTr="005F5B4C">
        <w:trPr>
          <w:cantSplit/>
          <w:trHeight w:val="23"/>
        </w:trPr>
        <w:tc>
          <w:tcPr>
            <w:tcW w:w="745" w:type="pct"/>
            <w:tcBorders>
              <w:top w:val="nil"/>
              <w:left w:val="single" w:sz="2" w:space="0" w:color="auto"/>
              <w:bottom w:val="nil"/>
              <w:right w:val="single" w:sz="2" w:space="0" w:color="auto"/>
            </w:tcBorders>
          </w:tcPr>
          <w:p w14:paraId="4D0F60E9" w14:textId="77777777" w:rsidR="006C7429" w:rsidRPr="003E75E3" w:rsidRDefault="006C7429" w:rsidP="006C742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6205A0BC" w14:textId="35E3AB4B" w:rsidR="006C7429" w:rsidRPr="003E75E3" w:rsidRDefault="006C7429" w:rsidP="006C7429">
            <w:pPr>
              <w:pStyle w:val="TableText"/>
              <w:tabs>
                <w:tab w:val="left" w:pos="3306"/>
              </w:tabs>
              <w:rPr>
                <w:rFonts w:cs="Calibri"/>
                <w:b/>
                <w:bCs/>
              </w:rPr>
            </w:pPr>
            <w:r w:rsidRPr="003E75E3">
              <w:rPr>
                <w:rFonts w:cs="Calibri"/>
                <w:b/>
                <w:bCs/>
              </w:rPr>
              <w:t>Total Non-Current Receivables and Contract Assets</w:t>
            </w:r>
          </w:p>
        </w:tc>
        <w:tc>
          <w:tcPr>
            <w:tcW w:w="674" w:type="pct"/>
            <w:tcBorders>
              <w:top w:val="single" w:sz="2" w:space="0" w:color="auto"/>
              <w:left w:val="nil"/>
              <w:bottom w:val="single" w:sz="2" w:space="0" w:color="auto"/>
              <w:right w:val="nil"/>
            </w:tcBorders>
            <w:vAlign w:val="bottom"/>
          </w:tcPr>
          <w:p w14:paraId="0CF44130" w14:textId="67CB1BEC" w:rsidR="006C7429" w:rsidRPr="003E75E3" w:rsidRDefault="006C7429" w:rsidP="006C7429">
            <w:pPr>
              <w:pStyle w:val="TableText"/>
              <w:tabs>
                <w:tab w:val="left" w:pos="3306"/>
              </w:tabs>
              <w:jc w:val="right"/>
              <w:rPr>
                <w:rFonts w:cs="Calibri"/>
                <w:b/>
                <w:bCs/>
                <w:strike/>
              </w:rPr>
            </w:pPr>
          </w:p>
        </w:tc>
        <w:tc>
          <w:tcPr>
            <w:tcW w:w="879" w:type="pct"/>
            <w:gridSpan w:val="3"/>
            <w:tcBorders>
              <w:top w:val="single" w:sz="2" w:space="0" w:color="auto"/>
              <w:left w:val="nil"/>
              <w:bottom w:val="single" w:sz="2" w:space="0" w:color="auto"/>
              <w:right w:val="nil"/>
            </w:tcBorders>
            <w:vAlign w:val="bottom"/>
          </w:tcPr>
          <w:p w14:paraId="11758FB4" w14:textId="64673E3A" w:rsidR="006C7429" w:rsidRPr="003E75E3" w:rsidRDefault="006C7429" w:rsidP="006C7429">
            <w:pPr>
              <w:pStyle w:val="TableText"/>
              <w:tabs>
                <w:tab w:val="left" w:pos="3306"/>
              </w:tabs>
              <w:jc w:val="right"/>
              <w:rPr>
                <w:rFonts w:cs="Calibri"/>
                <w:b/>
                <w:bCs/>
              </w:rPr>
            </w:pPr>
          </w:p>
        </w:tc>
      </w:tr>
      <w:tr w:rsidR="006C7429" w:rsidRPr="00CF7E1B" w14:paraId="24373471" w14:textId="77777777" w:rsidTr="005F5B4C">
        <w:trPr>
          <w:cantSplit/>
          <w:trHeight w:val="23"/>
        </w:trPr>
        <w:tc>
          <w:tcPr>
            <w:tcW w:w="745" w:type="pct"/>
            <w:tcBorders>
              <w:top w:val="nil"/>
              <w:left w:val="single" w:sz="2" w:space="0" w:color="auto"/>
              <w:bottom w:val="nil"/>
              <w:right w:val="single" w:sz="2" w:space="0" w:color="auto"/>
            </w:tcBorders>
          </w:tcPr>
          <w:p w14:paraId="6DEF5573" w14:textId="108BC270" w:rsidR="006C7429" w:rsidRPr="003E75E3" w:rsidRDefault="006C7429" w:rsidP="006C742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11AE1364" w14:textId="156C20ED" w:rsidR="006C7429" w:rsidRPr="003E75E3" w:rsidRDefault="006C7429" w:rsidP="006C7429">
            <w:pPr>
              <w:pStyle w:val="TableText"/>
              <w:tabs>
                <w:tab w:val="left" w:pos="3306"/>
              </w:tabs>
              <w:rPr>
                <w:rFonts w:cs="Calibri"/>
                <w:b/>
                <w:bCs/>
              </w:rPr>
            </w:pPr>
            <w:r w:rsidRPr="003E75E3">
              <w:rPr>
                <w:rFonts w:cs="Calibri"/>
                <w:b/>
                <w:bCs/>
              </w:rPr>
              <w:t>Total Receivables and Contract Assets</w:t>
            </w:r>
          </w:p>
        </w:tc>
        <w:tc>
          <w:tcPr>
            <w:tcW w:w="674" w:type="pct"/>
            <w:tcBorders>
              <w:top w:val="single" w:sz="2" w:space="0" w:color="auto"/>
              <w:left w:val="nil"/>
              <w:bottom w:val="double" w:sz="4" w:space="0" w:color="auto"/>
              <w:right w:val="nil"/>
            </w:tcBorders>
            <w:vAlign w:val="bottom"/>
          </w:tcPr>
          <w:p w14:paraId="5E2AAB7C" w14:textId="3D06A6BE" w:rsidR="006C7429" w:rsidRPr="003E75E3" w:rsidRDefault="006C7429" w:rsidP="006C7429">
            <w:pPr>
              <w:pStyle w:val="TableText"/>
              <w:tabs>
                <w:tab w:val="left" w:pos="3306"/>
              </w:tabs>
              <w:jc w:val="right"/>
              <w:rPr>
                <w:rFonts w:cs="Calibri"/>
                <w:b/>
                <w:bCs/>
              </w:rPr>
            </w:pPr>
          </w:p>
        </w:tc>
        <w:tc>
          <w:tcPr>
            <w:tcW w:w="879" w:type="pct"/>
            <w:gridSpan w:val="3"/>
            <w:tcBorders>
              <w:top w:val="single" w:sz="2" w:space="0" w:color="auto"/>
              <w:left w:val="nil"/>
              <w:bottom w:val="double" w:sz="4" w:space="0" w:color="auto"/>
              <w:right w:val="nil"/>
            </w:tcBorders>
            <w:vAlign w:val="bottom"/>
          </w:tcPr>
          <w:p w14:paraId="26018AD1" w14:textId="75FB194D" w:rsidR="006C7429" w:rsidRPr="003E75E3" w:rsidRDefault="006C7429" w:rsidP="006C7429">
            <w:pPr>
              <w:pStyle w:val="TableText"/>
              <w:tabs>
                <w:tab w:val="left" w:pos="3306"/>
              </w:tabs>
              <w:jc w:val="right"/>
              <w:rPr>
                <w:rFonts w:cs="Calibri"/>
                <w:b/>
                <w:bCs/>
              </w:rPr>
            </w:pPr>
          </w:p>
        </w:tc>
      </w:tr>
      <w:tr w:rsidR="006C7429" w:rsidRPr="00CF7E1B" w14:paraId="2DCCFBF8" w14:textId="77777777" w:rsidTr="005F5B4C">
        <w:trPr>
          <w:cantSplit/>
          <w:trHeight w:val="23"/>
        </w:trPr>
        <w:tc>
          <w:tcPr>
            <w:tcW w:w="745" w:type="pct"/>
            <w:tcBorders>
              <w:top w:val="nil"/>
              <w:left w:val="single" w:sz="2" w:space="0" w:color="auto"/>
              <w:bottom w:val="nil"/>
              <w:right w:val="single" w:sz="2" w:space="0" w:color="auto"/>
            </w:tcBorders>
          </w:tcPr>
          <w:p w14:paraId="74E39596" w14:textId="77777777" w:rsidR="006C7429" w:rsidRPr="003E75E3" w:rsidRDefault="006C7429" w:rsidP="006C7429">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59EE80B8" w14:textId="77777777" w:rsidR="006C7429" w:rsidRPr="003E75E3" w:rsidRDefault="006C7429" w:rsidP="006C7429">
            <w:pPr>
              <w:pStyle w:val="TableText"/>
              <w:tabs>
                <w:tab w:val="left" w:pos="3306"/>
              </w:tabs>
              <w:jc w:val="right"/>
              <w:rPr>
                <w:rFonts w:cs="Calibri"/>
              </w:rPr>
            </w:pPr>
          </w:p>
        </w:tc>
      </w:tr>
      <w:tr w:rsidR="006C7429" w:rsidRPr="00CF7E1B" w14:paraId="220BEEFB" w14:textId="77777777" w:rsidTr="005F5B4C">
        <w:trPr>
          <w:cantSplit/>
          <w:trHeight w:val="23"/>
        </w:trPr>
        <w:tc>
          <w:tcPr>
            <w:tcW w:w="745" w:type="pct"/>
            <w:tcBorders>
              <w:top w:val="nil"/>
              <w:left w:val="single" w:sz="2" w:space="0" w:color="auto"/>
              <w:bottom w:val="nil"/>
              <w:right w:val="single" w:sz="2" w:space="0" w:color="auto"/>
            </w:tcBorders>
          </w:tcPr>
          <w:p w14:paraId="2015656E" w14:textId="77777777"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AASB 7.35I</w:t>
            </w:r>
          </w:p>
        </w:tc>
        <w:tc>
          <w:tcPr>
            <w:tcW w:w="4255" w:type="pct"/>
            <w:gridSpan w:val="5"/>
            <w:tcBorders>
              <w:top w:val="nil"/>
              <w:left w:val="single" w:sz="2" w:space="0" w:color="auto"/>
              <w:bottom w:val="nil"/>
              <w:right w:val="nil"/>
            </w:tcBorders>
            <w:vAlign w:val="bottom"/>
          </w:tcPr>
          <w:p w14:paraId="6FE0E707" w14:textId="36B086E4" w:rsidR="006C7429" w:rsidRPr="003E75E3" w:rsidRDefault="006C7429" w:rsidP="006C7429">
            <w:pPr>
              <w:pStyle w:val="TableText"/>
              <w:tabs>
                <w:tab w:val="left" w:pos="3306"/>
              </w:tabs>
              <w:rPr>
                <w:rFonts w:cs="Calibri"/>
              </w:rPr>
            </w:pPr>
            <w:r w:rsidRPr="003E75E3">
              <w:rPr>
                <w:rFonts w:cs="Calibri"/>
              </w:rPr>
              <w:t>a) The increase in Trade Receivables of $xxx is due to a large number of services being provided late in the reporting period, in comparison with last year.</w:t>
            </w:r>
            <w:r w:rsidR="00FA7C77">
              <w:rPr>
                <w:rFonts w:cs="Calibri"/>
              </w:rPr>
              <w:t xml:space="preserve"> </w:t>
            </w:r>
            <w:r w:rsidRPr="003E75E3">
              <w:rPr>
                <w:rFonts w:cs="Calibri"/>
              </w:rPr>
              <w:t>Most of these services were invoiced in June.</w:t>
            </w:r>
          </w:p>
        </w:tc>
      </w:tr>
      <w:tr w:rsidR="006C7429" w:rsidRPr="00CF7E1B" w14:paraId="5B0F7663" w14:textId="77777777" w:rsidTr="005F5B4C">
        <w:trPr>
          <w:cantSplit/>
          <w:trHeight w:val="23"/>
        </w:trPr>
        <w:tc>
          <w:tcPr>
            <w:tcW w:w="745" w:type="pct"/>
            <w:tcBorders>
              <w:top w:val="nil"/>
              <w:left w:val="single" w:sz="2" w:space="0" w:color="auto"/>
              <w:bottom w:val="nil"/>
              <w:right w:val="single" w:sz="2" w:space="0" w:color="auto"/>
            </w:tcBorders>
          </w:tcPr>
          <w:p w14:paraId="3EDBDB57" w14:textId="77777777"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AASB 7.35I</w:t>
            </w:r>
          </w:p>
        </w:tc>
        <w:tc>
          <w:tcPr>
            <w:tcW w:w="4255" w:type="pct"/>
            <w:gridSpan w:val="5"/>
            <w:tcBorders>
              <w:top w:val="nil"/>
              <w:left w:val="single" w:sz="2" w:space="0" w:color="auto"/>
              <w:bottom w:val="nil"/>
              <w:right w:val="nil"/>
            </w:tcBorders>
            <w:vAlign w:val="bottom"/>
          </w:tcPr>
          <w:p w14:paraId="137A6F60" w14:textId="3296A497" w:rsidR="006C7429" w:rsidRPr="003E75E3" w:rsidRDefault="006C7429" w:rsidP="006C7429">
            <w:pPr>
              <w:pStyle w:val="TableText"/>
              <w:tabs>
                <w:tab w:val="left" w:pos="3306"/>
              </w:tabs>
              <w:rPr>
                <w:rFonts w:cs="Calibri"/>
              </w:rPr>
            </w:pPr>
            <w:r w:rsidRPr="003E75E3">
              <w:rPr>
                <w:rFonts w:cs="Calibri"/>
              </w:rPr>
              <w:t>b) The increase in Loans Receivable of $xxx is mainly due to the issue of more loans throughout the reporting period.</w:t>
            </w:r>
            <w:r w:rsidR="00FA7C77">
              <w:rPr>
                <w:rFonts w:cs="Calibri"/>
              </w:rPr>
              <w:t xml:space="preserve"> </w:t>
            </w:r>
          </w:p>
        </w:tc>
      </w:tr>
      <w:tr w:rsidR="00F22D61" w:rsidRPr="00CF7E1B" w14:paraId="6D22DB78" w14:textId="77777777" w:rsidTr="005F5B4C">
        <w:trPr>
          <w:cantSplit/>
          <w:trHeight w:val="23"/>
        </w:trPr>
        <w:tc>
          <w:tcPr>
            <w:tcW w:w="745" w:type="pct"/>
            <w:tcBorders>
              <w:top w:val="nil"/>
              <w:left w:val="single" w:sz="2" w:space="0" w:color="auto"/>
              <w:bottom w:val="nil"/>
              <w:right w:val="single" w:sz="2" w:space="0" w:color="auto"/>
            </w:tcBorders>
          </w:tcPr>
          <w:p w14:paraId="29C9D61B" w14:textId="77777777" w:rsidR="00F22D61" w:rsidRPr="003E75E3" w:rsidRDefault="00F22D61" w:rsidP="00DA5473">
            <w:pPr>
              <w:pStyle w:val="TableReference"/>
              <w:tabs>
                <w:tab w:val="left" w:pos="3306"/>
              </w:tabs>
              <w:spacing w:before="240" w:after="240"/>
              <w:rPr>
                <w:rFonts w:cs="Calibri"/>
                <w:color w:val="7030A0"/>
                <w:sz w:val="14"/>
              </w:rPr>
            </w:pPr>
            <w:r w:rsidRPr="003E75E3">
              <w:rPr>
                <w:rFonts w:cs="Calibri"/>
                <w:b/>
                <w:color w:val="7030A0"/>
                <w:sz w:val="22"/>
                <w:szCs w:val="22"/>
              </w:rPr>
              <w:t>Reference</w:t>
            </w:r>
          </w:p>
        </w:tc>
        <w:tc>
          <w:tcPr>
            <w:tcW w:w="4255" w:type="pct"/>
            <w:gridSpan w:val="5"/>
            <w:tcBorders>
              <w:top w:val="nil"/>
              <w:left w:val="single" w:sz="2" w:space="0" w:color="auto"/>
              <w:bottom w:val="nil"/>
              <w:right w:val="nil"/>
            </w:tcBorders>
          </w:tcPr>
          <w:p w14:paraId="3F2798EF" w14:textId="77777777" w:rsidR="00F22D61" w:rsidRPr="003E75E3" w:rsidRDefault="00F22D61" w:rsidP="00DA5473">
            <w:pPr>
              <w:pStyle w:val="TableText"/>
              <w:tabs>
                <w:tab w:val="left" w:pos="3306"/>
              </w:tabs>
              <w:spacing w:before="240" w:after="240"/>
              <w:rPr>
                <w:rFonts w:cs="Calibri"/>
              </w:rPr>
            </w:pPr>
            <w:r w:rsidRPr="003E75E3">
              <w:rPr>
                <w:rFonts w:ascii="Arial" w:hAnsi="Arial"/>
                <w:b/>
                <w:bCs/>
                <w:caps/>
                <w:sz w:val="32"/>
                <w:szCs w:val="24"/>
              </w:rPr>
              <w:t>Note 16.</w:t>
            </w:r>
            <w:r>
              <w:rPr>
                <w:rFonts w:ascii="Arial" w:hAnsi="Arial"/>
                <w:b/>
                <w:bCs/>
                <w:caps/>
                <w:sz w:val="32"/>
                <w:szCs w:val="24"/>
              </w:rPr>
              <w:t xml:space="preserve"> </w:t>
            </w:r>
            <w:r w:rsidRPr="003E75E3">
              <w:rPr>
                <w:rFonts w:ascii="Arial" w:hAnsi="Arial"/>
                <w:b/>
                <w:bCs/>
                <w:caps/>
                <w:sz w:val="32"/>
                <w:szCs w:val="24"/>
              </w:rPr>
              <w:t xml:space="preserve"> Receivables and Contract Assets </w:t>
            </w:r>
            <w:r>
              <w:rPr>
                <w:rFonts w:ascii="Arial" w:hAnsi="Arial"/>
                <w:b/>
                <w:bCs/>
                <w:caps/>
                <w:sz w:val="32"/>
                <w:szCs w:val="24"/>
              </w:rPr>
              <w:t>–</w:t>
            </w:r>
            <w:r w:rsidRPr="003E75E3">
              <w:rPr>
                <w:rFonts w:ascii="Arial" w:hAnsi="Arial"/>
                <w:b/>
                <w:bCs/>
                <w:caps/>
                <w:sz w:val="32"/>
                <w:szCs w:val="24"/>
              </w:rPr>
              <w:t xml:space="preserve"> Continued</w:t>
            </w:r>
            <w:r>
              <w:rPr>
                <w:rFonts w:ascii="Arial" w:hAnsi="Arial"/>
                <w:b/>
                <w:bCs/>
                <w:caps/>
                <w:sz w:val="32"/>
                <w:szCs w:val="24"/>
              </w:rPr>
              <w:t xml:space="preserve"> </w:t>
            </w:r>
          </w:p>
        </w:tc>
      </w:tr>
      <w:tr w:rsidR="006C7429" w:rsidRPr="00CF7E1B" w14:paraId="72D51DB6" w14:textId="77777777" w:rsidTr="005F5B4C">
        <w:trPr>
          <w:cantSplit/>
          <w:trHeight w:val="23"/>
        </w:trPr>
        <w:tc>
          <w:tcPr>
            <w:tcW w:w="745" w:type="pct"/>
            <w:tcBorders>
              <w:top w:val="nil"/>
              <w:left w:val="single" w:sz="2" w:space="0" w:color="auto"/>
              <w:bottom w:val="nil"/>
              <w:right w:val="single" w:sz="2" w:space="0" w:color="auto"/>
            </w:tcBorders>
          </w:tcPr>
          <w:p w14:paraId="7B3D9CDC" w14:textId="77777777" w:rsidR="006C7429" w:rsidRPr="003E75E3" w:rsidRDefault="006C7429" w:rsidP="006C7429">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05B7AF84" w14:textId="77A13DF0" w:rsidR="006C7429" w:rsidRPr="003E75E3" w:rsidRDefault="00C03B5E" w:rsidP="006C7429">
            <w:pPr>
              <w:pStyle w:val="TableText"/>
              <w:tabs>
                <w:tab w:val="left" w:pos="3306"/>
              </w:tabs>
              <w:spacing w:before="120"/>
              <w:rPr>
                <w:rFonts w:cs="Calibri"/>
                <w:i/>
                <w:iCs/>
              </w:rPr>
            </w:pPr>
            <w:r>
              <w:rPr>
                <w:rFonts w:cs="Calibri"/>
                <w:i/>
                <w:iCs/>
              </w:rPr>
              <w:t xml:space="preserve">Material </w:t>
            </w:r>
            <w:r w:rsidR="006C7429" w:rsidRPr="003E75E3">
              <w:rPr>
                <w:rFonts w:cs="Calibri"/>
                <w:i/>
                <w:iCs/>
              </w:rPr>
              <w:t>Changes in Contract Asset Balances</w:t>
            </w:r>
          </w:p>
        </w:tc>
      </w:tr>
      <w:tr w:rsidR="006C7429" w:rsidRPr="00CF7E1B" w14:paraId="128EAB6F" w14:textId="77777777" w:rsidTr="005F5B4C">
        <w:trPr>
          <w:cantSplit/>
          <w:trHeight w:val="23"/>
        </w:trPr>
        <w:tc>
          <w:tcPr>
            <w:tcW w:w="745" w:type="pct"/>
            <w:tcBorders>
              <w:top w:val="nil"/>
              <w:left w:val="single" w:sz="2" w:space="0" w:color="auto"/>
              <w:bottom w:val="nil"/>
              <w:right w:val="single" w:sz="2" w:space="0" w:color="auto"/>
            </w:tcBorders>
          </w:tcPr>
          <w:p w14:paraId="74E1C93F" w14:textId="77777777"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AASB 15.118</w:t>
            </w:r>
          </w:p>
          <w:p w14:paraId="14F27917" w14:textId="77777777" w:rsidR="006C7429" w:rsidRPr="003E75E3" w:rsidRDefault="006C7429" w:rsidP="006C7429">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351C1CEE" w14:textId="77777777" w:rsidR="006C7429" w:rsidRPr="003E75E3" w:rsidRDefault="006C7429" w:rsidP="006C7429">
            <w:pPr>
              <w:pStyle w:val="TableText"/>
              <w:tabs>
                <w:tab w:val="left" w:pos="3306"/>
              </w:tabs>
              <w:rPr>
                <w:rFonts w:cs="Calibri"/>
              </w:rPr>
            </w:pPr>
            <w:r w:rsidRPr="003E75E3">
              <w:rPr>
                <w:rFonts w:cs="Calibri"/>
              </w:rPr>
              <w:t>The contract asset balance has increased significantly during the year because of additional works being undertaken in June 2022.</w:t>
            </w:r>
          </w:p>
        </w:tc>
      </w:tr>
      <w:tr w:rsidR="001F4216" w:rsidRPr="00CF7E1B" w14:paraId="63BA3810" w14:textId="77777777" w:rsidTr="005F5B4C">
        <w:trPr>
          <w:cantSplit/>
          <w:trHeight w:val="23"/>
        </w:trPr>
        <w:tc>
          <w:tcPr>
            <w:tcW w:w="745" w:type="pct"/>
            <w:tcBorders>
              <w:top w:val="nil"/>
              <w:left w:val="single" w:sz="2" w:space="0" w:color="auto"/>
              <w:bottom w:val="nil"/>
              <w:right w:val="single" w:sz="2" w:space="0" w:color="auto"/>
            </w:tcBorders>
          </w:tcPr>
          <w:p w14:paraId="5F112A8B" w14:textId="77777777" w:rsidR="001F4216" w:rsidRPr="003E75E3" w:rsidRDefault="001F4216" w:rsidP="00DA5473">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309A0025" w14:textId="77777777" w:rsidR="001F4216" w:rsidRPr="003E75E3" w:rsidRDefault="001F4216" w:rsidP="00DA5473">
            <w:pPr>
              <w:pStyle w:val="TableText"/>
              <w:tabs>
                <w:tab w:val="left" w:pos="3306"/>
              </w:tabs>
              <w:rPr>
                <w:rFonts w:cs="Calibri"/>
                <w:b/>
                <w:bCs/>
              </w:rPr>
            </w:pPr>
          </w:p>
        </w:tc>
        <w:tc>
          <w:tcPr>
            <w:tcW w:w="810" w:type="pct"/>
            <w:gridSpan w:val="2"/>
            <w:tcBorders>
              <w:top w:val="nil"/>
              <w:left w:val="nil"/>
              <w:bottom w:val="nil"/>
              <w:right w:val="nil"/>
            </w:tcBorders>
            <w:vAlign w:val="bottom"/>
          </w:tcPr>
          <w:p w14:paraId="1F0469A1" w14:textId="77777777" w:rsidR="001F4216" w:rsidRPr="00C03B5E" w:rsidRDefault="001F4216" w:rsidP="00DA5473">
            <w:pPr>
              <w:pStyle w:val="TableText"/>
              <w:tabs>
                <w:tab w:val="left" w:pos="3306"/>
              </w:tabs>
              <w:jc w:val="right"/>
              <w:rPr>
                <w:rFonts w:cs="Calibri"/>
                <w:b/>
                <w:bCs/>
              </w:rPr>
            </w:pPr>
            <w:r w:rsidRPr="00C03B5E">
              <w:rPr>
                <w:rFonts w:cs="Calibri"/>
                <w:b/>
                <w:bCs/>
              </w:rPr>
              <w:t>2022</w:t>
            </w:r>
          </w:p>
        </w:tc>
        <w:tc>
          <w:tcPr>
            <w:tcW w:w="743" w:type="pct"/>
            <w:gridSpan w:val="2"/>
            <w:tcBorders>
              <w:top w:val="nil"/>
              <w:left w:val="nil"/>
              <w:bottom w:val="nil"/>
              <w:right w:val="nil"/>
            </w:tcBorders>
            <w:vAlign w:val="bottom"/>
          </w:tcPr>
          <w:p w14:paraId="07550555" w14:textId="77777777" w:rsidR="001F4216" w:rsidRPr="00C03B5E" w:rsidRDefault="001F4216" w:rsidP="00DA5473">
            <w:pPr>
              <w:pStyle w:val="TableText"/>
              <w:tabs>
                <w:tab w:val="left" w:pos="3306"/>
              </w:tabs>
              <w:jc w:val="right"/>
              <w:rPr>
                <w:rFonts w:cs="Calibri"/>
                <w:b/>
                <w:bCs/>
              </w:rPr>
            </w:pPr>
            <w:r w:rsidRPr="00C03B5E">
              <w:rPr>
                <w:rFonts w:cs="Calibri"/>
                <w:b/>
                <w:bCs/>
              </w:rPr>
              <w:t>2021</w:t>
            </w:r>
          </w:p>
        </w:tc>
      </w:tr>
      <w:tr w:rsidR="001F4216" w:rsidRPr="00CF7E1B" w14:paraId="5C614BBE" w14:textId="77777777" w:rsidTr="005F5B4C">
        <w:trPr>
          <w:cantSplit/>
          <w:trHeight w:val="23"/>
        </w:trPr>
        <w:tc>
          <w:tcPr>
            <w:tcW w:w="745" w:type="pct"/>
            <w:tcBorders>
              <w:top w:val="nil"/>
              <w:left w:val="single" w:sz="2" w:space="0" w:color="auto"/>
              <w:bottom w:val="nil"/>
              <w:right w:val="single" w:sz="2" w:space="0" w:color="auto"/>
            </w:tcBorders>
          </w:tcPr>
          <w:p w14:paraId="7A05A1C3" w14:textId="77777777" w:rsidR="001F4216" w:rsidRPr="003E75E3" w:rsidRDefault="001F4216" w:rsidP="00DA5473">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451BC1E1" w14:textId="77777777" w:rsidR="001F4216" w:rsidRPr="003E75E3" w:rsidRDefault="001F4216" w:rsidP="00DA5473">
            <w:pPr>
              <w:pStyle w:val="TableText"/>
              <w:tabs>
                <w:tab w:val="left" w:pos="3306"/>
              </w:tabs>
              <w:rPr>
                <w:rFonts w:cs="Calibri"/>
                <w:b/>
                <w:bCs/>
              </w:rPr>
            </w:pPr>
          </w:p>
        </w:tc>
        <w:tc>
          <w:tcPr>
            <w:tcW w:w="810" w:type="pct"/>
            <w:gridSpan w:val="2"/>
            <w:tcBorders>
              <w:top w:val="nil"/>
              <w:left w:val="nil"/>
              <w:bottom w:val="nil"/>
              <w:right w:val="nil"/>
            </w:tcBorders>
            <w:vAlign w:val="bottom"/>
          </w:tcPr>
          <w:p w14:paraId="54E9C14F" w14:textId="77777777" w:rsidR="001F4216" w:rsidRPr="00C03B5E" w:rsidRDefault="001F4216" w:rsidP="00DA5473">
            <w:pPr>
              <w:pStyle w:val="TableText"/>
              <w:tabs>
                <w:tab w:val="left" w:pos="3306"/>
              </w:tabs>
              <w:jc w:val="right"/>
              <w:rPr>
                <w:rFonts w:cs="Calibri"/>
                <w:b/>
                <w:bCs/>
              </w:rPr>
            </w:pPr>
            <w:r w:rsidRPr="00C03B5E">
              <w:rPr>
                <w:rFonts w:cs="Calibri"/>
                <w:b/>
                <w:bCs/>
              </w:rPr>
              <w:t>$’000</w:t>
            </w:r>
          </w:p>
        </w:tc>
        <w:tc>
          <w:tcPr>
            <w:tcW w:w="743" w:type="pct"/>
            <w:gridSpan w:val="2"/>
            <w:tcBorders>
              <w:top w:val="nil"/>
              <w:left w:val="nil"/>
              <w:bottom w:val="nil"/>
              <w:right w:val="nil"/>
            </w:tcBorders>
            <w:vAlign w:val="bottom"/>
          </w:tcPr>
          <w:p w14:paraId="26A9D51C" w14:textId="77777777" w:rsidR="001F4216" w:rsidRPr="00C03B5E" w:rsidRDefault="001F4216" w:rsidP="00DA5473">
            <w:pPr>
              <w:pStyle w:val="TableText"/>
              <w:tabs>
                <w:tab w:val="left" w:pos="3306"/>
              </w:tabs>
              <w:jc w:val="right"/>
              <w:rPr>
                <w:rFonts w:cs="Calibri"/>
                <w:b/>
                <w:bCs/>
              </w:rPr>
            </w:pPr>
            <w:r w:rsidRPr="00C03B5E">
              <w:rPr>
                <w:rFonts w:cs="Calibri"/>
                <w:b/>
                <w:bCs/>
              </w:rPr>
              <w:t>$’000</w:t>
            </w:r>
          </w:p>
        </w:tc>
      </w:tr>
      <w:tr w:rsidR="006C7429" w:rsidRPr="00CF7E1B" w14:paraId="44159486" w14:textId="77777777" w:rsidTr="005F5B4C">
        <w:trPr>
          <w:cantSplit/>
          <w:trHeight w:val="23"/>
        </w:trPr>
        <w:tc>
          <w:tcPr>
            <w:tcW w:w="745" w:type="pct"/>
            <w:tcBorders>
              <w:top w:val="nil"/>
              <w:left w:val="single" w:sz="2" w:space="0" w:color="auto"/>
              <w:bottom w:val="nil"/>
              <w:right w:val="single" w:sz="2" w:space="0" w:color="auto"/>
            </w:tcBorders>
          </w:tcPr>
          <w:p w14:paraId="0C88BE97" w14:textId="5D8DDC96" w:rsidR="006C7429" w:rsidRPr="003E75E3" w:rsidRDefault="006C7429" w:rsidP="006C7429">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vAlign w:val="bottom"/>
          </w:tcPr>
          <w:p w14:paraId="7504614C" w14:textId="43F564A1" w:rsidR="006C7429" w:rsidRPr="003E75E3" w:rsidRDefault="006C7429" w:rsidP="006C7429">
            <w:pPr>
              <w:pStyle w:val="TableText"/>
              <w:tabs>
                <w:tab w:val="left" w:pos="3306"/>
              </w:tabs>
              <w:spacing w:before="0" w:after="120"/>
              <w:ind w:left="210" w:hanging="210"/>
              <w:jc w:val="both"/>
              <w:rPr>
                <w:rFonts w:cs="Calibri"/>
              </w:rPr>
            </w:pPr>
            <w:r w:rsidRPr="003E75E3">
              <w:rPr>
                <w:rFonts w:cs="Calibri"/>
                <w:b/>
                <w:bCs/>
              </w:rPr>
              <w:t>Split of Receivables and Contract Assets</w:t>
            </w:r>
          </w:p>
        </w:tc>
      </w:tr>
      <w:tr w:rsidR="006C7429" w:rsidRPr="00CF7E1B" w14:paraId="23EEEC4F" w14:textId="77777777" w:rsidTr="005F5B4C">
        <w:trPr>
          <w:cantSplit/>
          <w:trHeight w:val="23"/>
        </w:trPr>
        <w:tc>
          <w:tcPr>
            <w:tcW w:w="745" w:type="pct"/>
            <w:tcBorders>
              <w:top w:val="nil"/>
              <w:left w:val="single" w:sz="2" w:space="0" w:color="auto"/>
              <w:bottom w:val="nil"/>
              <w:right w:val="single" w:sz="2" w:space="0" w:color="auto"/>
            </w:tcBorders>
          </w:tcPr>
          <w:p w14:paraId="2CFF27C9" w14:textId="633DBBC5"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ACT Disclosure Policy</w:t>
            </w:r>
          </w:p>
        </w:tc>
        <w:tc>
          <w:tcPr>
            <w:tcW w:w="2702" w:type="pct"/>
            <w:tcBorders>
              <w:top w:val="nil"/>
              <w:left w:val="single" w:sz="2" w:space="0" w:color="auto"/>
              <w:bottom w:val="nil"/>
              <w:right w:val="nil"/>
            </w:tcBorders>
          </w:tcPr>
          <w:p w14:paraId="1FDC9957" w14:textId="77777777" w:rsidR="006C7429" w:rsidRPr="003E75E3" w:rsidRDefault="006C7429" w:rsidP="006C7429">
            <w:pPr>
              <w:pStyle w:val="TableText"/>
              <w:tabs>
                <w:tab w:val="left" w:pos="3306"/>
              </w:tabs>
              <w:spacing w:before="0"/>
              <w:ind w:left="210" w:hanging="210"/>
              <w:rPr>
                <w:rFonts w:cs="Calibri"/>
              </w:rPr>
            </w:pPr>
            <w:r w:rsidRPr="003E75E3">
              <w:rPr>
                <w:rFonts w:cs="Calibri"/>
              </w:rPr>
              <w:t xml:space="preserve">Current Receivables </w:t>
            </w:r>
          </w:p>
        </w:tc>
        <w:tc>
          <w:tcPr>
            <w:tcW w:w="810" w:type="pct"/>
            <w:gridSpan w:val="2"/>
            <w:tcBorders>
              <w:top w:val="nil"/>
              <w:left w:val="nil"/>
              <w:bottom w:val="nil"/>
              <w:right w:val="nil"/>
            </w:tcBorders>
            <w:vAlign w:val="bottom"/>
          </w:tcPr>
          <w:p w14:paraId="6CF36975" w14:textId="77777777" w:rsidR="006C7429" w:rsidRPr="003E75E3" w:rsidRDefault="006C7429" w:rsidP="006C7429">
            <w:pPr>
              <w:pStyle w:val="TableText"/>
              <w:tabs>
                <w:tab w:val="left" w:pos="3306"/>
              </w:tabs>
              <w:spacing w:before="0"/>
              <w:ind w:left="210" w:hanging="210"/>
              <w:jc w:val="both"/>
              <w:rPr>
                <w:rFonts w:cs="Calibri"/>
              </w:rPr>
            </w:pPr>
          </w:p>
        </w:tc>
        <w:tc>
          <w:tcPr>
            <w:tcW w:w="743" w:type="pct"/>
            <w:gridSpan w:val="2"/>
            <w:tcBorders>
              <w:top w:val="nil"/>
              <w:left w:val="nil"/>
              <w:bottom w:val="nil"/>
              <w:right w:val="nil"/>
            </w:tcBorders>
            <w:vAlign w:val="bottom"/>
          </w:tcPr>
          <w:p w14:paraId="53A60A88" w14:textId="42BB208D" w:rsidR="006C7429" w:rsidRPr="003E75E3" w:rsidRDefault="006C7429" w:rsidP="006C7429">
            <w:pPr>
              <w:pStyle w:val="TableText"/>
              <w:tabs>
                <w:tab w:val="left" w:pos="3306"/>
              </w:tabs>
              <w:spacing w:before="0"/>
              <w:ind w:left="210" w:hanging="210"/>
              <w:jc w:val="both"/>
              <w:rPr>
                <w:rFonts w:cs="Calibri"/>
              </w:rPr>
            </w:pPr>
          </w:p>
        </w:tc>
      </w:tr>
      <w:tr w:rsidR="006C7429" w:rsidRPr="00CF7E1B" w14:paraId="7A3B4976" w14:textId="77777777" w:rsidTr="005F5B4C">
        <w:trPr>
          <w:cantSplit/>
          <w:trHeight w:val="23"/>
        </w:trPr>
        <w:tc>
          <w:tcPr>
            <w:tcW w:w="745" w:type="pct"/>
            <w:tcBorders>
              <w:top w:val="nil"/>
              <w:left w:val="single" w:sz="2" w:space="0" w:color="auto"/>
              <w:bottom w:val="nil"/>
              <w:right w:val="single" w:sz="2" w:space="0" w:color="auto"/>
            </w:tcBorders>
          </w:tcPr>
          <w:p w14:paraId="4E75DEBC" w14:textId="01295728"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ACT Disclosure Policy</w:t>
            </w:r>
          </w:p>
        </w:tc>
        <w:tc>
          <w:tcPr>
            <w:tcW w:w="2702" w:type="pct"/>
            <w:tcBorders>
              <w:top w:val="nil"/>
              <w:left w:val="single" w:sz="2" w:space="0" w:color="auto"/>
              <w:bottom w:val="nil"/>
              <w:right w:val="nil"/>
            </w:tcBorders>
          </w:tcPr>
          <w:p w14:paraId="1AEEC145" w14:textId="3C88D02B" w:rsidR="006C7429" w:rsidRPr="003E75E3" w:rsidRDefault="006C7429" w:rsidP="006C7429">
            <w:pPr>
              <w:pStyle w:val="TableText"/>
              <w:tabs>
                <w:tab w:val="left" w:pos="3306"/>
              </w:tabs>
              <w:spacing w:before="0"/>
              <w:ind w:left="210" w:hanging="210"/>
              <w:rPr>
                <w:rFonts w:cs="Calibri"/>
              </w:rPr>
            </w:pPr>
            <w:r w:rsidRPr="003E75E3">
              <w:rPr>
                <w:rFonts w:cs="Calibri"/>
              </w:rPr>
              <w:t>Non-Current Receivables</w:t>
            </w:r>
          </w:p>
        </w:tc>
        <w:tc>
          <w:tcPr>
            <w:tcW w:w="810" w:type="pct"/>
            <w:gridSpan w:val="2"/>
            <w:tcBorders>
              <w:top w:val="nil"/>
              <w:left w:val="nil"/>
              <w:bottom w:val="single" w:sz="2" w:space="0" w:color="auto"/>
              <w:right w:val="nil"/>
            </w:tcBorders>
            <w:vAlign w:val="bottom"/>
          </w:tcPr>
          <w:p w14:paraId="547927EA" w14:textId="77777777" w:rsidR="006C7429" w:rsidRPr="003E75E3" w:rsidRDefault="006C7429" w:rsidP="006C7429">
            <w:pPr>
              <w:pStyle w:val="TableText"/>
              <w:tabs>
                <w:tab w:val="left" w:pos="3306"/>
              </w:tabs>
              <w:spacing w:before="0"/>
              <w:ind w:left="210" w:hanging="210"/>
              <w:jc w:val="both"/>
              <w:rPr>
                <w:rFonts w:cs="Calibri"/>
              </w:rPr>
            </w:pPr>
          </w:p>
        </w:tc>
        <w:tc>
          <w:tcPr>
            <w:tcW w:w="743" w:type="pct"/>
            <w:gridSpan w:val="2"/>
            <w:tcBorders>
              <w:top w:val="nil"/>
              <w:left w:val="nil"/>
              <w:bottom w:val="single" w:sz="2" w:space="0" w:color="auto"/>
              <w:right w:val="nil"/>
            </w:tcBorders>
            <w:vAlign w:val="bottom"/>
          </w:tcPr>
          <w:p w14:paraId="46FD3085" w14:textId="77777777" w:rsidR="006C7429" w:rsidRPr="003E75E3" w:rsidRDefault="006C7429" w:rsidP="006C7429">
            <w:pPr>
              <w:pStyle w:val="TableText"/>
              <w:tabs>
                <w:tab w:val="left" w:pos="3306"/>
              </w:tabs>
              <w:spacing w:before="0"/>
              <w:ind w:left="210" w:hanging="210"/>
              <w:jc w:val="both"/>
              <w:rPr>
                <w:rFonts w:cs="Calibri"/>
              </w:rPr>
            </w:pPr>
          </w:p>
        </w:tc>
      </w:tr>
      <w:tr w:rsidR="006C7429" w:rsidRPr="00CF7E1B" w14:paraId="63B19E71" w14:textId="77777777" w:rsidTr="005F5B4C">
        <w:trPr>
          <w:cantSplit/>
          <w:trHeight w:val="23"/>
        </w:trPr>
        <w:tc>
          <w:tcPr>
            <w:tcW w:w="745" w:type="pct"/>
            <w:tcBorders>
              <w:top w:val="nil"/>
              <w:left w:val="single" w:sz="2" w:space="0" w:color="auto"/>
              <w:bottom w:val="nil"/>
              <w:right w:val="single" w:sz="2" w:space="0" w:color="auto"/>
            </w:tcBorders>
          </w:tcPr>
          <w:p w14:paraId="2286551A" w14:textId="5F1F30A0"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AASB 7.35K</w:t>
            </w:r>
          </w:p>
        </w:tc>
        <w:tc>
          <w:tcPr>
            <w:tcW w:w="2702" w:type="pct"/>
            <w:tcBorders>
              <w:top w:val="nil"/>
              <w:left w:val="single" w:sz="2" w:space="0" w:color="auto"/>
              <w:bottom w:val="nil"/>
              <w:right w:val="nil"/>
            </w:tcBorders>
          </w:tcPr>
          <w:p w14:paraId="167B804B" w14:textId="5C88C651" w:rsidR="006C7429" w:rsidRPr="003E75E3" w:rsidRDefault="006C7429" w:rsidP="006C7429">
            <w:pPr>
              <w:pStyle w:val="TableText"/>
              <w:tabs>
                <w:tab w:val="left" w:pos="3306"/>
              </w:tabs>
              <w:spacing w:before="0"/>
              <w:ind w:left="210" w:hanging="210"/>
              <w:rPr>
                <w:rFonts w:cs="Calibri"/>
              </w:rPr>
            </w:pPr>
            <w:r w:rsidRPr="003E75E3">
              <w:rPr>
                <w:rFonts w:cs="Calibri"/>
                <w:b/>
                <w:bCs/>
              </w:rPr>
              <w:t>Total Receivables</w:t>
            </w:r>
          </w:p>
        </w:tc>
        <w:tc>
          <w:tcPr>
            <w:tcW w:w="810" w:type="pct"/>
            <w:gridSpan w:val="2"/>
            <w:tcBorders>
              <w:top w:val="single" w:sz="2" w:space="0" w:color="auto"/>
              <w:left w:val="nil"/>
              <w:bottom w:val="single" w:sz="2" w:space="0" w:color="auto"/>
              <w:right w:val="nil"/>
            </w:tcBorders>
            <w:vAlign w:val="bottom"/>
          </w:tcPr>
          <w:p w14:paraId="1AF5796B" w14:textId="77777777" w:rsidR="006C7429" w:rsidRPr="003E75E3" w:rsidRDefault="006C7429" w:rsidP="006C7429">
            <w:pPr>
              <w:pStyle w:val="TableText"/>
              <w:tabs>
                <w:tab w:val="left" w:pos="3306"/>
              </w:tabs>
              <w:spacing w:before="0"/>
              <w:ind w:left="210" w:hanging="210"/>
              <w:jc w:val="both"/>
              <w:rPr>
                <w:rFonts w:cs="Calibri"/>
              </w:rPr>
            </w:pPr>
          </w:p>
        </w:tc>
        <w:tc>
          <w:tcPr>
            <w:tcW w:w="743" w:type="pct"/>
            <w:gridSpan w:val="2"/>
            <w:tcBorders>
              <w:top w:val="single" w:sz="2" w:space="0" w:color="auto"/>
              <w:left w:val="nil"/>
              <w:bottom w:val="single" w:sz="2" w:space="0" w:color="auto"/>
              <w:right w:val="nil"/>
            </w:tcBorders>
            <w:vAlign w:val="bottom"/>
          </w:tcPr>
          <w:p w14:paraId="563FABE0" w14:textId="77777777" w:rsidR="006C7429" w:rsidRPr="003E75E3" w:rsidRDefault="006C7429" w:rsidP="006C7429">
            <w:pPr>
              <w:pStyle w:val="TableText"/>
              <w:tabs>
                <w:tab w:val="left" w:pos="3306"/>
              </w:tabs>
              <w:spacing w:before="0"/>
              <w:ind w:left="210" w:hanging="210"/>
              <w:jc w:val="both"/>
              <w:rPr>
                <w:rFonts w:cs="Calibri"/>
              </w:rPr>
            </w:pPr>
          </w:p>
        </w:tc>
      </w:tr>
      <w:tr w:rsidR="006C7429" w:rsidRPr="00CF7E1B" w14:paraId="4A0476F4" w14:textId="77777777" w:rsidTr="005F5B4C">
        <w:trPr>
          <w:cantSplit/>
          <w:trHeight w:val="23"/>
        </w:trPr>
        <w:tc>
          <w:tcPr>
            <w:tcW w:w="745" w:type="pct"/>
            <w:tcBorders>
              <w:top w:val="nil"/>
              <w:left w:val="single" w:sz="2" w:space="0" w:color="auto"/>
              <w:bottom w:val="nil"/>
              <w:right w:val="single" w:sz="2" w:space="0" w:color="auto"/>
            </w:tcBorders>
          </w:tcPr>
          <w:p w14:paraId="24D72DEF" w14:textId="77777777" w:rsidR="006C7429" w:rsidRPr="003E75E3" w:rsidRDefault="006C7429" w:rsidP="006C742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tcPr>
          <w:p w14:paraId="6E09E970" w14:textId="77777777" w:rsidR="006C7429" w:rsidRPr="003E75E3" w:rsidRDefault="006C7429" w:rsidP="006C7429">
            <w:pPr>
              <w:pStyle w:val="TableText"/>
              <w:tabs>
                <w:tab w:val="left" w:pos="3306"/>
              </w:tabs>
              <w:spacing w:before="0"/>
              <w:ind w:left="210" w:hanging="210"/>
              <w:rPr>
                <w:rFonts w:cs="Calibri"/>
              </w:rPr>
            </w:pPr>
          </w:p>
        </w:tc>
        <w:tc>
          <w:tcPr>
            <w:tcW w:w="810" w:type="pct"/>
            <w:gridSpan w:val="2"/>
            <w:tcBorders>
              <w:top w:val="single" w:sz="2" w:space="0" w:color="auto"/>
              <w:left w:val="nil"/>
              <w:bottom w:val="nil"/>
              <w:right w:val="nil"/>
            </w:tcBorders>
            <w:vAlign w:val="bottom"/>
          </w:tcPr>
          <w:p w14:paraId="0D4D4FB2" w14:textId="77777777" w:rsidR="006C7429" w:rsidRPr="003E75E3" w:rsidRDefault="006C7429" w:rsidP="006C7429">
            <w:pPr>
              <w:pStyle w:val="TableText"/>
              <w:tabs>
                <w:tab w:val="left" w:pos="3306"/>
              </w:tabs>
              <w:spacing w:before="0"/>
              <w:ind w:left="210" w:hanging="210"/>
              <w:jc w:val="both"/>
              <w:rPr>
                <w:rFonts w:cs="Calibri"/>
              </w:rPr>
            </w:pPr>
          </w:p>
        </w:tc>
        <w:tc>
          <w:tcPr>
            <w:tcW w:w="743" w:type="pct"/>
            <w:gridSpan w:val="2"/>
            <w:tcBorders>
              <w:top w:val="single" w:sz="2" w:space="0" w:color="auto"/>
              <w:left w:val="nil"/>
              <w:bottom w:val="nil"/>
              <w:right w:val="nil"/>
            </w:tcBorders>
            <w:vAlign w:val="bottom"/>
          </w:tcPr>
          <w:p w14:paraId="69F7299E" w14:textId="77777777" w:rsidR="006C7429" w:rsidRPr="003E75E3" w:rsidRDefault="006C7429" w:rsidP="006C7429">
            <w:pPr>
              <w:pStyle w:val="TableText"/>
              <w:tabs>
                <w:tab w:val="left" w:pos="3306"/>
              </w:tabs>
              <w:spacing w:before="0"/>
              <w:ind w:left="210" w:hanging="210"/>
              <w:jc w:val="both"/>
              <w:rPr>
                <w:rFonts w:cs="Calibri"/>
              </w:rPr>
            </w:pPr>
          </w:p>
        </w:tc>
      </w:tr>
      <w:tr w:rsidR="006C7429" w:rsidRPr="00CF7E1B" w14:paraId="14FC4995" w14:textId="77777777" w:rsidTr="005F5B4C">
        <w:trPr>
          <w:cantSplit/>
          <w:trHeight w:val="23"/>
        </w:trPr>
        <w:tc>
          <w:tcPr>
            <w:tcW w:w="745" w:type="pct"/>
            <w:tcBorders>
              <w:top w:val="nil"/>
              <w:left w:val="single" w:sz="2" w:space="0" w:color="auto"/>
              <w:bottom w:val="nil"/>
              <w:right w:val="single" w:sz="2" w:space="0" w:color="auto"/>
            </w:tcBorders>
          </w:tcPr>
          <w:p w14:paraId="6A797F9D" w14:textId="0F52F323"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ACT Disclosure Policy</w:t>
            </w:r>
          </w:p>
        </w:tc>
        <w:tc>
          <w:tcPr>
            <w:tcW w:w="2702" w:type="pct"/>
            <w:tcBorders>
              <w:top w:val="nil"/>
              <w:left w:val="single" w:sz="2" w:space="0" w:color="auto"/>
              <w:bottom w:val="nil"/>
              <w:right w:val="nil"/>
            </w:tcBorders>
          </w:tcPr>
          <w:p w14:paraId="5221AB36" w14:textId="67D079B6" w:rsidR="006C7429" w:rsidRPr="003E75E3" w:rsidRDefault="006C7429" w:rsidP="006C7429">
            <w:pPr>
              <w:pStyle w:val="TableText"/>
              <w:tabs>
                <w:tab w:val="left" w:pos="3306"/>
              </w:tabs>
              <w:spacing w:before="0"/>
              <w:ind w:left="210" w:hanging="210"/>
              <w:rPr>
                <w:rFonts w:cs="Calibri"/>
              </w:rPr>
            </w:pPr>
            <w:r w:rsidRPr="003E75E3">
              <w:rPr>
                <w:rFonts w:cs="Calibri"/>
              </w:rPr>
              <w:t>Current Contract Assets</w:t>
            </w:r>
          </w:p>
        </w:tc>
        <w:tc>
          <w:tcPr>
            <w:tcW w:w="810" w:type="pct"/>
            <w:gridSpan w:val="2"/>
            <w:tcBorders>
              <w:top w:val="nil"/>
              <w:left w:val="nil"/>
              <w:bottom w:val="nil"/>
              <w:right w:val="nil"/>
            </w:tcBorders>
            <w:vAlign w:val="bottom"/>
          </w:tcPr>
          <w:p w14:paraId="70B21626" w14:textId="77777777" w:rsidR="006C7429" w:rsidRPr="003E75E3" w:rsidRDefault="006C7429" w:rsidP="006C7429">
            <w:pPr>
              <w:pStyle w:val="TableText"/>
              <w:tabs>
                <w:tab w:val="left" w:pos="3306"/>
              </w:tabs>
              <w:spacing w:before="0"/>
              <w:ind w:left="210" w:hanging="210"/>
              <w:jc w:val="both"/>
              <w:rPr>
                <w:rFonts w:cs="Calibri"/>
              </w:rPr>
            </w:pPr>
          </w:p>
        </w:tc>
        <w:tc>
          <w:tcPr>
            <w:tcW w:w="743" w:type="pct"/>
            <w:gridSpan w:val="2"/>
            <w:tcBorders>
              <w:top w:val="nil"/>
              <w:left w:val="nil"/>
              <w:bottom w:val="nil"/>
              <w:right w:val="nil"/>
            </w:tcBorders>
            <w:vAlign w:val="bottom"/>
          </w:tcPr>
          <w:p w14:paraId="7B08A058" w14:textId="77777777" w:rsidR="006C7429" w:rsidRPr="003E75E3" w:rsidRDefault="006C7429" w:rsidP="006C7429">
            <w:pPr>
              <w:pStyle w:val="TableText"/>
              <w:tabs>
                <w:tab w:val="left" w:pos="3306"/>
              </w:tabs>
              <w:spacing w:before="0"/>
              <w:ind w:left="210" w:hanging="210"/>
              <w:jc w:val="both"/>
              <w:rPr>
                <w:rFonts w:cs="Calibri"/>
              </w:rPr>
            </w:pPr>
          </w:p>
        </w:tc>
      </w:tr>
      <w:tr w:rsidR="006C7429" w:rsidRPr="00CF7E1B" w14:paraId="0273E703" w14:textId="77777777" w:rsidTr="005F5B4C">
        <w:trPr>
          <w:cantSplit/>
          <w:trHeight w:val="80"/>
        </w:trPr>
        <w:tc>
          <w:tcPr>
            <w:tcW w:w="745" w:type="pct"/>
            <w:tcBorders>
              <w:top w:val="nil"/>
              <w:left w:val="single" w:sz="2" w:space="0" w:color="auto"/>
              <w:bottom w:val="nil"/>
              <w:right w:val="single" w:sz="2" w:space="0" w:color="auto"/>
            </w:tcBorders>
          </w:tcPr>
          <w:p w14:paraId="0D895DF0" w14:textId="2B92DF7B"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ACT Disclosure Policy</w:t>
            </w:r>
          </w:p>
        </w:tc>
        <w:tc>
          <w:tcPr>
            <w:tcW w:w="2702" w:type="pct"/>
            <w:tcBorders>
              <w:top w:val="nil"/>
              <w:left w:val="single" w:sz="2" w:space="0" w:color="auto"/>
              <w:bottom w:val="nil"/>
              <w:right w:val="nil"/>
            </w:tcBorders>
          </w:tcPr>
          <w:p w14:paraId="69E56B32" w14:textId="2550E187" w:rsidR="006C7429" w:rsidRPr="003E75E3" w:rsidRDefault="006C7429" w:rsidP="006C7429">
            <w:pPr>
              <w:pStyle w:val="TableText"/>
              <w:tabs>
                <w:tab w:val="left" w:pos="3306"/>
              </w:tabs>
              <w:spacing w:before="0"/>
              <w:ind w:left="210" w:hanging="210"/>
              <w:rPr>
                <w:rFonts w:cs="Calibri"/>
              </w:rPr>
            </w:pPr>
            <w:r w:rsidRPr="003E75E3">
              <w:rPr>
                <w:rFonts w:cs="Calibri"/>
              </w:rPr>
              <w:t>Non-Current Contract Assets</w:t>
            </w:r>
          </w:p>
        </w:tc>
        <w:tc>
          <w:tcPr>
            <w:tcW w:w="810" w:type="pct"/>
            <w:gridSpan w:val="2"/>
            <w:tcBorders>
              <w:top w:val="nil"/>
              <w:left w:val="nil"/>
              <w:bottom w:val="single" w:sz="2" w:space="0" w:color="auto"/>
              <w:right w:val="nil"/>
            </w:tcBorders>
            <w:vAlign w:val="bottom"/>
          </w:tcPr>
          <w:p w14:paraId="214E410C" w14:textId="77777777" w:rsidR="006C7429" w:rsidRPr="003E75E3" w:rsidRDefault="006C7429" w:rsidP="006C7429">
            <w:pPr>
              <w:pStyle w:val="TableText"/>
              <w:tabs>
                <w:tab w:val="left" w:pos="3306"/>
              </w:tabs>
              <w:spacing w:before="0"/>
              <w:ind w:left="210" w:hanging="210"/>
              <w:jc w:val="both"/>
              <w:rPr>
                <w:rFonts w:cs="Calibri"/>
              </w:rPr>
            </w:pPr>
          </w:p>
        </w:tc>
        <w:tc>
          <w:tcPr>
            <w:tcW w:w="743" w:type="pct"/>
            <w:gridSpan w:val="2"/>
            <w:tcBorders>
              <w:top w:val="nil"/>
              <w:left w:val="nil"/>
              <w:bottom w:val="single" w:sz="2" w:space="0" w:color="auto"/>
              <w:right w:val="nil"/>
            </w:tcBorders>
            <w:vAlign w:val="bottom"/>
          </w:tcPr>
          <w:p w14:paraId="522221B4" w14:textId="77777777" w:rsidR="006C7429" w:rsidRPr="003E75E3" w:rsidRDefault="006C7429" w:rsidP="006C7429">
            <w:pPr>
              <w:pStyle w:val="TableText"/>
              <w:tabs>
                <w:tab w:val="left" w:pos="3306"/>
              </w:tabs>
              <w:spacing w:before="0"/>
              <w:ind w:left="210" w:hanging="210"/>
              <w:jc w:val="both"/>
              <w:rPr>
                <w:rFonts w:cs="Calibri"/>
              </w:rPr>
            </w:pPr>
          </w:p>
        </w:tc>
      </w:tr>
      <w:tr w:rsidR="006C7429" w:rsidRPr="00CF7E1B" w14:paraId="745F00A3" w14:textId="77777777" w:rsidTr="005F5B4C">
        <w:trPr>
          <w:cantSplit/>
          <w:trHeight w:val="23"/>
        </w:trPr>
        <w:tc>
          <w:tcPr>
            <w:tcW w:w="745" w:type="pct"/>
            <w:tcBorders>
              <w:top w:val="nil"/>
              <w:left w:val="single" w:sz="2" w:space="0" w:color="auto"/>
              <w:bottom w:val="nil"/>
              <w:right w:val="single" w:sz="2" w:space="0" w:color="auto"/>
            </w:tcBorders>
          </w:tcPr>
          <w:p w14:paraId="5D06F903" w14:textId="79FB8231"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AASB 7.35K</w:t>
            </w:r>
          </w:p>
        </w:tc>
        <w:tc>
          <w:tcPr>
            <w:tcW w:w="2702" w:type="pct"/>
            <w:tcBorders>
              <w:top w:val="nil"/>
              <w:left w:val="single" w:sz="2" w:space="0" w:color="auto"/>
              <w:bottom w:val="nil"/>
              <w:right w:val="nil"/>
            </w:tcBorders>
            <w:vAlign w:val="bottom"/>
          </w:tcPr>
          <w:p w14:paraId="6F8BD1F6" w14:textId="6BE8A555" w:rsidR="006C7429" w:rsidRPr="003E75E3" w:rsidRDefault="006C7429" w:rsidP="006C7429">
            <w:pPr>
              <w:pStyle w:val="TableText"/>
              <w:tabs>
                <w:tab w:val="left" w:pos="3306"/>
              </w:tabs>
              <w:spacing w:before="0"/>
              <w:ind w:left="210" w:hanging="210"/>
              <w:jc w:val="both"/>
              <w:rPr>
                <w:rFonts w:cs="Calibri"/>
              </w:rPr>
            </w:pPr>
            <w:r w:rsidRPr="003E75E3">
              <w:rPr>
                <w:rFonts w:cs="Calibri"/>
                <w:b/>
                <w:bCs/>
              </w:rPr>
              <w:t>Total Contract Assets</w:t>
            </w:r>
          </w:p>
        </w:tc>
        <w:tc>
          <w:tcPr>
            <w:tcW w:w="810" w:type="pct"/>
            <w:gridSpan w:val="2"/>
            <w:tcBorders>
              <w:top w:val="single" w:sz="2" w:space="0" w:color="auto"/>
              <w:left w:val="nil"/>
              <w:bottom w:val="single" w:sz="2" w:space="0" w:color="auto"/>
              <w:right w:val="nil"/>
            </w:tcBorders>
            <w:vAlign w:val="bottom"/>
          </w:tcPr>
          <w:p w14:paraId="6202BD75" w14:textId="77777777" w:rsidR="006C7429" w:rsidRPr="003E75E3" w:rsidRDefault="006C7429" w:rsidP="006C7429">
            <w:pPr>
              <w:pStyle w:val="TableText"/>
              <w:tabs>
                <w:tab w:val="left" w:pos="3306"/>
              </w:tabs>
              <w:spacing w:before="0"/>
              <w:ind w:left="210" w:hanging="210"/>
              <w:jc w:val="both"/>
              <w:rPr>
                <w:rFonts w:cs="Calibri"/>
              </w:rPr>
            </w:pPr>
          </w:p>
        </w:tc>
        <w:tc>
          <w:tcPr>
            <w:tcW w:w="743" w:type="pct"/>
            <w:gridSpan w:val="2"/>
            <w:tcBorders>
              <w:top w:val="single" w:sz="2" w:space="0" w:color="auto"/>
              <w:left w:val="nil"/>
              <w:bottom w:val="single" w:sz="2" w:space="0" w:color="auto"/>
              <w:right w:val="nil"/>
            </w:tcBorders>
            <w:vAlign w:val="bottom"/>
          </w:tcPr>
          <w:p w14:paraId="1E2B0B58" w14:textId="77777777" w:rsidR="006C7429" w:rsidRPr="003E75E3" w:rsidRDefault="006C7429" w:rsidP="006C7429">
            <w:pPr>
              <w:pStyle w:val="TableText"/>
              <w:tabs>
                <w:tab w:val="left" w:pos="3306"/>
              </w:tabs>
              <w:spacing w:before="0"/>
              <w:ind w:left="210" w:hanging="210"/>
              <w:jc w:val="both"/>
              <w:rPr>
                <w:rFonts w:cs="Calibri"/>
              </w:rPr>
            </w:pPr>
          </w:p>
        </w:tc>
      </w:tr>
      <w:tr w:rsidR="006C7429" w:rsidRPr="00CF7E1B" w14:paraId="2C5DD5D7" w14:textId="77777777" w:rsidTr="005F5B4C">
        <w:trPr>
          <w:cantSplit/>
          <w:trHeight w:val="23"/>
        </w:trPr>
        <w:tc>
          <w:tcPr>
            <w:tcW w:w="745" w:type="pct"/>
            <w:tcBorders>
              <w:top w:val="nil"/>
              <w:left w:val="single" w:sz="2" w:space="0" w:color="auto"/>
              <w:bottom w:val="nil"/>
              <w:right w:val="single" w:sz="2" w:space="0" w:color="auto"/>
            </w:tcBorders>
          </w:tcPr>
          <w:p w14:paraId="7373A2F1" w14:textId="77777777" w:rsidR="006C7429" w:rsidRPr="003E75E3" w:rsidRDefault="006C7429" w:rsidP="006C7429">
            <w:pPr>
              <w:pStyle w:val="TableReference"/>
              <w:tabs>
                <w:tab w:val="left" w:pos="3306"/>
              </w:tabs>
              <w:spacing w:before="40"/>
              <w:rPr>
                <w:rFonts w:cs="Calibri"/>
                <w:color w:val="7030A0"/>
                <w:sz w:val="14"/>
              </w:rPr>
            </w:pPr>
          </w:p>
        </w:tc>
        <w:tc>
          <w:tcPr>
            <w:tcW w:w="2702" w:type="pct"/>
            <w:tcBorders>
              <w:top w:val="nil"/>
              <w:left w:val="single" w:sz="2" w:space="0" w:color="auto"/>
              <w:bottom w:val="nil"/>
              <w:right w:val="nil"/>
            </w:tcBorders>
            <w:vAlign w:val="bottom"/>
          </w:tcPr>
          <w:p w14:paraId="363EF4AF" w14:textId="10B82351" w:rsidR="006C7429" w:rsidRPr="003E75E3" w:rsidRDefault="006C7429" w:rsidP="006C7429">
            <w:pPr>
              <w:pStyle w:val="TableText"/>
              <w:tabs>
                <w:tab w:val="left" w:pos="3306"/>
              </w:tabs>
              <w:spacing w:before="120"/>
              <w:ind w:left="210" w:hanging="210"/>
              <w:rPr>
                <w:rFonts w:cs="Calibri"/>
              </w:rPr>
            </w:pPr>
            <w:r w:rsidRPr="003E75E3">
              <w:rPr>
                <w:rFonts w:cs="Calibri"/>
                <w:b/>
                <w:bCs/>
              </w:rPr>
              <w:t>Total Receivables and Contract Assets</w:t>
            </w:r>
          </w:p>
        </w:tc>
        <w:tc>
          <w:tcPr>
            <w:tcW w:w="810" w:type="pct"/>
            <w:gridSpan w:val="2"/>
            <w:tcBorders>
              <w:top w:val="single" w:sz="2" w:space="0" w:color="auto"/>
              <w:left w:val="nil"/>
              <w:bottom w:val="double" w:sz="4" w:space="0" w:color="auto"/>
              <w:right w:val="nil"/>
            </w:tcBorders>
            <w:vAlign w:val="bottom"/>
          </w:tcPr>
          <w:p w14:paraId="283D9E3D" w14:textId="77777777" w:rsidR="006C7429" w:rsidRPr="003E75E3" w:rsidRDefault="006C7429" w:rsidP="006C7429">
            <w:pPr>
              <w:pStyle w:val="TableText"/>
              <w:tabs>
                <w:tab w:val="left" w:pos="3306"/>
              </w:tabs>
              <w:spacing w:before="0"/>
              <w:ind w:left="210" w:hanging="210"/>
              <w:jc w:val="both"/>
              <w:rPr>
                <w:rFonts w:cs="Calibri"/>
              </w:rPr>
            </w:pPr>
          </w:p>
        </w:tc>
        <w:tc>
          <w:tcPr>
            <w:tcW w:w="743" w:type="pct"/>
            <w:gridSpan w:val="2"/>
            <w:tcBorders>
              <w:top w:val="single" w:sz="2" w:space="0" w:color="auto"/>
              <w:left w:val="nil"/>
              <w:bottom w:val="double" w:sz="4" w:space="0" w:color="auto"/>
              <w:right w:val="nil"/>
            </w:tcBorders>
            <w:vAlign w:val="bottom"/>
          </w:tcPr>
          <w:p w14:paraId="5EEC5AA2" w14:textId="77777777" w:rsidR="006C7429" w:rsidRPr="003E75E3" w:rsidRDefault="006C7429" w:rsidP="006C7429">
            <w:pPr>
              <w:pStyle w:val="TableText"/>
              <w:tabs>
                <w:tab w:val="left" w:pos="3306"/>
              </w:tabs>
              <w:spacing w:before="0"/>
              <w:ind w:left="210" w:hanging="210"/>
              <w:jc w:val="both"/>
              <w:rPr>
                <w:rFonts w:cs="Calibri"/>
              </w:rPr>
            </w:pPr>
          </w:p>
        </w:tc>
      </w:tr>
      <w:tr w:rsidR="006C7429" w:rsidRPr="006647C2" w14:paraId="333108A8" w14:textId="77777777" w:rsidTr="005F5B4C">
        <w:trPr>
          <w:cantSplit/>
          <w:trHeight w:val="23"/>
        </w:trPr>
        <w:tc>
          <w:tcPr>
            <w:tcW w:w="745" w:type="pct"/>
            <w:tcBorders>
              <w:top w:val="nil"/>
              <w:left w:val="single" w:sz="2" w:space="0" w:color="auto"/>
              <w:bottom w:val="nil"/>
              <w:right w:val="single" w:sz="2" w:space="0" w:color="auto"/>
            </w:tcBorders>
          </w:tcPr>
          <w:p w14:paraId="59CDF090" w14:textId="77777777" w:rsidR="006C7429" w:rsidRPr="003E75E3" w:rsidRDefault="006C7429" w:rsidP="006C7429">
            <w:pPr>
              <w:pStyle w:val="TableReference"/>
              <w:tabs>
                <w:tab w:val="left" w:pos="3306"/>
              </w:tabs>
              <w:rPr>
                <w:rFonts w:cs="Calibri"/>
                <w:color w:val="7030A0"/>
                <w:sz w:val="18"/>
                <w:szCs w:val="18"/>
              </w:rPr>
            </w:pPr>
          </w:p>
        </w:tc>
        <w:tc>
          <w:tcPr>
            <w:tcW w:w="4255" w:type="pct"/>
            <w:gridSpan w:val="5"/>
            <w:tcBorders>
              <w:top w:val="nil"/>
              <w:left w:val="single" w:sz="2" w:space="0" w:color="auto"/>
              <w:bottom w:val="nil"/>
              <w:right w:val="nil"/>
            </w:tcBorders>
            <w:shd w:val="clear" w:color="auto" w:fill="auto"/>
          </w:tcPr>
          <w:p w14:paraId="4C92B4DB" w14:textId="77777777" w:rsidR="006C7429" w:rsidRPr="003E75E3" w:rsidRDefault="006C7429" w:rsidP="006C7429">
            <w:pPr>
              <w:pStyle w:val="CommentaryHeading"/>
              <w:tabs>
                <w:tab w:val="left" w:pos="3306"/>
              </w:tabs>
              <w:spacing w:before="0" w:after="0"/>
              <w:rPr>
                <w:rFonts w:cs="Calibri"/>
                <w:sz w:val="18"/>
              </w:rPr>
            </w:pPr>
          </w:p>
        </w:tc>
      </w:tr>
      <w:tr w:rsidR="006C7429" w:rsidRPr="006647C2" w14:paraId="7A8C0D4E" w14:textId="77777777" w:rsidTr="005F5B4C">
        <w:trPr>
          <w:cantSplit/>
          <w:trHeight w:val="23"/>
        </w:trPr>
        <w:tc>
          <w:tcPr>
            <w:tcW w:w="745" w:type="pct"/>
            <w:tcBorders>
              <w:top w:val="nil"/>
              <w:left w:val="single" w:sz="2" w:space="0" w:color="auto"/>
              <w:bottom w:val="nil"/>
              <w:right w:val="single" w:sz="2" w:space="0" w:color="auto"/>
            </w:tcBorders>
          </w:tcPr>
          <w:p w14:paraId="6F3D4A3B" w14:textId="77777777" w:rsidR="006C7429" w:rsidRPr="003E75E3" w:rsidRDefault="006C7429" w:rsidP="006C7429">
            <w:pPr>
              <w:pStyle w:val="TableReference"/>
              <w:tabs>
                <w:tab w:val="left" w:pos="3306"/>
              </w:tabs>
              <w:spacing w:before="40"/>
              <w:rPr>
                <w:rFonts w:cs="Calibri"/>
                <w:color w:val="7030A0"/>
                <w:sz w:val="14"/>
              </w:rPr>
            </w:pPr>
          </w:p>
        </w:tc>
        <w:tc>
          <w:tcPr>
            <w:tcW w:w="4255" w:type="pct"/>
            <w:gridSpan w:val="5"/>
            <w:tcBorders>
              <w:top w:val="nil"/>
              <w:left w:val="single" w:sz="2" w:space="0" w:color="auto"/>
              <w:bottom w:val="nil"/>
              <w:right w:val="nil"/>
            </w:tcBorders>
            <w:shd w:val="clear" w:color="auto" w:fill="auto"/>
          </w:tcPr>
          <w:p w14:paraId="1D55AAF4" w14:textId="51B189EF" w:rsidR="006C7429" w:rsidRPr="003E75E3" w:rsidRDefault="006C7429" w:rsidP="006C7429">
            <w:pPr>
              <w:pStyle w:val="CommentaryHeading"/>
              <w:tabs>
                <w:tab w:val="left" w:pos="3306"/>
              </w:tabs>
              <w:spacing w:before="60" w:after="0"/>
              <w:rPr>
                <w:rFonts w:cs="Calibri"/>
                <w:sz w:val="18"/>
              </w:rPr>
            </w:pPr>
            <w:r w:rsidRPr="003E75E3">
              <w:rPr>
                <w:rFonts w:cs="Calibri"/>
                <w:sz w:val="18"/>
              </w:rPr>
              <w:t>Reconciliation of Contract Assets</w:t>
            </w:r>
          </w:p>
        </w:tc>
      </w:tr>
      <w:tr w:rsidR="006C7429" w:rsidRPr="006647C2" w14:paraId="4F0E9D64" w14:textId="77777777" w:rsidTr="005F5B4C">
        <w:trPr>
          <w:cantSplit/>
          <w:trHeight w:val="23"/>
        </w:trPr>
        <w:tc>
          <w:tcPr>
            <w:tcW w:w="745" w:type="pct"/>
            <w:tcBorders>
              <w:top w:val="nil"/>
              <w:left w:val="single" w:sz="2" w:space="0" w:color="auto"/>
              <w:bottom w:val="nil"/>
              <w:right w:val="single" w:sz="2" w:space="0" w:color="auto"/>
            </w:tcBorders>
          </w:tcPr>
          <w:p w14:paraId="69E77227" w14:textId="77777777" w:rsidR="006C7429" w:rsidRPr="003E75E3" w:rsidRDefault="006C7429" w:rsidP="006C7429">
            <w:pPr>
              <w:pStyle w:val="TableReference"/>
              <w:tabs>
                <w:tab w:val="left" w:pos="3306"/>
              </w:tabs>
              <w:spacing w:before="40"/>
              <w:rPr>
                <w:rFonts w:cs="Calibri"/>
                <w:color w:val="7030A0"/>
                <w:sz w:val="14"/>
              </w:rPr>
            </w:pPr>
            <w:r w:rsidRPr="003E75E3">
              <w:rPr>
                <w:rFonts w:cs="Calibri"/>
                <w:color w:val="7030A0"/>
                <w:sz w:val="14"/>
              </w:rPr>
              <w:t>AASB 15.116(a)</w:t>
            </w:r>
          </w:p>
        </w:tc>
        <w:tc>
          <w:tcPr>
            <w:tcW w:w="4255" w:type="pct"/>
            <w:gridSpan w:val="5"/>
            <w:tcBorders>
              <w:top w:val="nil"/>
              <w:left w:val="single" w:sz="2" w:space="0" w:color="auto"/>
              <w:bottom w:val="nil"/>
              <w:right w:val="nil"/>
            </w:tcBorders>
            <w:shd w:val="clear" w:color="auto" w:fill="auto"/>
          </w:tcPr>
          <w:p w14:paraId="6F133614" w14:textId="77777777" w:rsidR="006C7429" w:rsidRPr="003E75E3" w:rsidRDefault="006C7429" w:rsidP="006C7429">
            <w:pPr>
              <w:pStyle w:val="CommentaryHeading"/>
              <w:tabs>
                <w:tab w:val="left" w:pos="3306"/>
              </w:tabs>
              <w:spacing w:before="40" w:after="0"/>
              <w:rPr>
                <w:rFonts w:cs="Calibri"/>
                <w:b w:val="0"/>
                <w:bCs w:val="0"/>
                <w:sz w:val="18"/>
              </w:rPr>
            </w:pPr>
            <w:r w:rsidRPr="003E75E3">
              <w:rPr>
                <w:rFonts w:cs="Calibri"/>
                <w:b w:val="0"/>
                <w:bCs w:val="0"/>
                <w:sz w:val="18"/>
              </w:rPr>
              <w:t xml:space="preserve">Opening Balance of Contract Assets </w:t>
            </w:r>
          </w:p>
        </w:tc>
      </w:tr>
      <w:tr w:rsidR="006C7429" w:rsidRPr="006647C2" w14:paraId="0FA492AD" w14:textId="77777777" w:rsidTr="005F5B4C">
        <w:trPr>
          <w:cantSplit/>
          <w:trHeight w:val="23"/>
        </w:trPr>
        <w:tc>
          <w:tcPr>
            <w:tcW w:w="745" w:type="pct"/>
            <w:tcBorders>
              <w:top w:val="nil"/>
              <w:left w:val="single" w:sz="2" w:space="0" w:color="auto"/>
              <w:bottom w:val="nil"/>
              <w:right w:val="single" w:sz="2" w:space="0" w:color="auto"/>
            </w:tcBorders>
          </w:tcPr>
          <w:p w14:paraId="7EB8F68B" w14:textId="77777777" w:rsidR="006C7429" w:rsidRPr="003E75E3" w:rsidRDefault="006C7429" w:rsidP="006C7429">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5"/>
            <w:tcBorders>
              <w:top w:val="nil"/>
              <w:left w:val="single" w:sz="2" w:space="0" w:color="auto"/>
              <w:bottom w:val="nil"/>
              <w:right w:val="nil"/>
            </w:tcBorders>
            <w:shd w:val="clear" w:color="auto" w:fill="auto"/>
          </w:tcPr>
          <w:p w14:paraId="18D71DF2" w14:textId="77777777" w:rsidR="006C7429" w:rsidRPr="003E75E3" w:rsidRDefault="006C7429" w:rsidP="006C7429">
            <w:pPr>
              <w:pStyle w:val="CommentaryHeading"/>
              <w:tabs>
                <w:tab w:val="left" w:pos="3306"/>
              </w:tabs>
              <w:spacing w:before="40" w:after="0"/>
              <w:jc w:val="both"/>
              <w:rPr>
                <w:rFonts w:cs="Calibri"/>
                <w:b w:val="0"/>
                <w:bCs w:val="0"/>
                <w:sz w:val="18"/>
              </w:rPr>
            </w:pPr>
            <w:r w:rsidRPr="003E75E3">
              <w:rPr>
                <w:rFonts w:cs="Calibri"/>
                <w:b w:val="0"/>
                <w:bCs w:val="0"/>
                <w:sz w:val="18"/>
              </w:rPr>
              <w:t>Add: Additional costs to be recovered from customers</w:t>
            </w:r>
          </w:p>
        </w:tc>
      </w:tr>
      <w:tr w:rsidR="006C7429" w:rsidRPr="006647C2" w14:paraId="4FDA4F07" w14:textId="77777777" w:rsidTr="005F5B4C">
        <w:trPr>
          <w:cantSplit/>
          <w:trHeight w:val="23"/>
        </w:trPr>
        <w:tc>
          <w:tcPr>
            <w:tcW w:w="745" w:type="pct"/>
            <w:tcBorders>
              <w:top w:val="nil"/>
              <w:left w:val="single" w:sz="2" w:space="0" w:color="auto"/>
              <w:bottom w:val="nil"/>
              <w:right w:val="single" w:sz="2" w:space="0" w:color="auto"/>
            </w:tcBorders>
          </w:tcPr>
          <w:p w14:paraId="379BAE72" w14:textId="77777777" w:rsidR="006C7429" w:rsidRPr="003E75E3" w:rsidRDefault="006C7429" w:rsidP="006C7429">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5"/>
            <w:tcBorders>
              <w:top w:val="nil"/>
              <w:left w:val="single" w:sz="2" w:space="0" w:color="auto"/>
              <w:bottom w:val="nil"/>
              <w:right w:val="nil"/>
            </w:tcBorders>
            <w:shd w:val="clear" w:color="auto" w:fill="auto"/>
          </w:tcPr>
          <w:p w14:paraId="6A801CB6" w14:textId="77777777" w:rsidR="006C7429" w:rsidRPr="003E75E3" w:rsidRDefault="006C7429" w:rsidP="006C7429">
            <w:pPr>
              <w:pStyle w:val="CommentaryHeading"/>
              <w:tabs>
                <w:tab w:val="left" w:pos="3306"/>
              </w:tabs>
              <w:spacing w:before="40" w:after="0"/>
              <w:jc w:val="both"/>
              <w:rPr>
                <w:rFonts w:cs="Calibri"/>
                <w:b w:val="0"/>
                <w:bCs w:val="0"/>
                <w:sz w:val="18"/>
              </w:rPr>
            </w:pPr>
            <w:r w:rsidRPr="003E75E3">
              <w:rPr>
                <w:rFonts w:cs="Calibri"/>
                <w:b w:val="0"/>
                <w:bCs w:val="0"/>
                <w:sz w:val="18"/>
              </w:rPr>
              <w:t>Less: Contract Assets Transferred to Receivables</w:t>
            </w:r>
          </w:p>
        </w:tc>
      </w:tr>
      <w:tr w:rsidR="006C7429" w:rsidRPr="006647C2" w14:paraId="0EEFF7B4" w14:textId="77777777" w:rsidTr="005F5B4C">
        <w:trPr>
          <w:cantSplit/>
          <w:trHeight w:val="23"/>
        </w:trPr>
        <w:tc>
          <w:tcPr>
            <w:tcW w:w="745" w:type="pct"/>
            <w:tcBorders>
              <w:top w:val="nil"/>
              <w:left w:val="single" w:sz="2" w:space="0" w:color="auto"/>
              <w:bottom w:val="nil"/>
              <w:right w:val="single" w:sz="2" w:space="0" w:color="auto"/>
            </w:tcBorders>
          </w:tcPr>
          <w:p w14:paraId="0516A261" w14:textId="77777777" w:rsidR="006C7429" w:rsidRPr="003E75E3" w:rsidRDefault="006C7429" w:rsidP="006C7429">
            <w:pPr>
              <w:pStyle w:val="TableReference"/>
              <w:tabs>
                <w:tab w:val="left" w:pos="3306"/>
              </w:tabs>
              <w:spacing w:before="40"/>
              <w:jc w:val="both"/>
              <w:rPr>
                <w:rFonts w:cs="Calibri"/>
                <w:strike/>
                <w:color w:val="7030A0"/>
                <w:sz w:val="14"/>
              </w:rPr>
            </w:pPr>
            <w:r w:rsidRPr="003E75E3">
              <w:rPr>
                <w:rFonts w:cs="Calibri"/>
                <w:color w:val="7030A0"/>
                <w:sz w:val="14"/>
              </w:rPr>
              <w:t>AASB 15.118</w:t>
            </w:r>
          </w:p>
        </w:tc>
        <w:tc>
          <w:tcPr>
            <w:tcW w:w="4255" w:type="pct"/>
            <w:gridSpan w:val="5"/>
            <w:tcBorders>
              <w:top w:val="nil"/>
              <w:left w:val="single" w:sz="2" w:space="0" w:color="auto"/>
              <w:bottom w:val="nil"/>
              <w:right w:val="nil"/>
            </w:tcBorders>
            <w:shd w:val="clear" w:color="auto" w:fill="auto"/>
          </w:tcPr>
          <w:p w14:paraId="506006C1" w14:textId="77777777" w:rsidR="006C7429" w:rsidRPr="003E75E3" w:rsidRDefault="006C7429" w:rsidP="006C7429">
            <w:pPr>
              <w:pStyle w:val="CommentaryHeading"/>
              <w:tabs>
                <w:tab w:val="left" w:pos="3306"/>
              </w:tabs>
              <w:spacing w:before="40" w:after="0"/>
              <w:jc w:val="both"/>
              <w:rPr>
                <w:rFonts w:cs="Calibri"/>
                <w:b w:val="0"/>
                <w:bCs w:val="0"/>
                <w:sz w:val="18"/>
              </w:rPr>
            </w:pPr>
            <w:r w:rsidRPr="003E75E3">
              <w:rPr>
                <w:rFonts w:cs="Calibri"/>
                <w:b w:val="0"/>
                <w:bCs w:val="0"/>
                <w:sz w:val="18"/>
              </w:rPr>
              <w:t>Less: Contract Assets Transferred in Income</w:t>
            </w:r>
          </w:p>
        </w:tc>
      </w:tr>
      <w:tr w:rsidR="006C7429" w:rsidRPr="006647C2" w14:paraId="3E774981" w14:textId="77777777" w:rsidTr="005F5B4C">
        <w:trPr>
          <w:cantSplit/>
          <w:trHeight w:val="23"/>
        </w:trPr>
        <w:tc>
          <w:tcPr>
            <w:tcW w:w="745" w:type="pct"/>
            <w:tcBorders>
              <w:top w:val="nil"/>
              <w:left w:val="single" w:sz="2" w:space="0" w:color="auto"/>
              <w:bottom w:val="nil"/>
              <w:right w:val="single" w:sz="2" w:space="0" w:color="auto"/>
            </w:tcBorders>
          </w:tcPr>
          <w:p w14:paraId="26FE62D9" w14:textId="77777777" w:rsidR="006C7429" w:rsidRPr="003E75E3" w:rsidRDefault="006C7429" w:rsidP="006C7429">
            <w:pPr>
              <w:pStyle w:val="TableReference"/>
              <w:tabs>
                <w:tab w:val="left" w:pos="3306"/>
              </w:tabs>
              <w:spacing w:before="40"/>
              <w:jc w:val="both"/>
              <w:rPr>
                <w:rFonts w:cs="Calibri"/>
                <w:color w:val="7030A0"/>
                <w:sz w:val="14"/>
              </w:rPr>
            </w:pPr>
            <w:r w:rsidRPr="003E75E3">
              <w:rPr>
                <w:rFonts w:cs="Calibri"/>
                <w:color w:val="7030A0"/>
                <w:sz w:val="14"/>
              </w:rPr>
              <w:t>AASB 15.113(b)</w:t>
            </w:r>
          </w:p>
        </w:tc>
        <w:tc>
          <w:tcPr>
            <w:tcW w:w="4255" w:type="pct"/>
            <w:gridSpan w:val="5"/>
            <w:tcBorders>
              <w:top w:val="nil"/>
              <w:left w:val="single" w:sz="2" w:space="0" w:color="auto"/>
              <w:bottom w:val="nil"/>
              <w:right w:val="nil"/>
            </w:tcBorders>
            <w:shd w:val="clear" w:color="auto" w:fill="auto"/>
          </w:tcPr>
          <w:p w14:paraId="0822E9FD" w14:textId="77777777" w:rsidR="006C7429" w:rsidRPr="003E75E3" w:rsidRDefault="006C7429" w:rsidP="006C7429">
            <w:pPr>
              <w:pStyle w:val="CommentaryHeading"/>
              <w:tabs>
                <w:tab w:val="left" w:pos="3306"/>
              </w:tabs>
              <w:spacing w:before="40" w:after="40"/>
              <w:jc w:val="both"/>
              <w:rPr>
                <w:rFonts w:cs="Calibri"/>
                <w:b w:val="0"/>
                <w:bCs w:val="0"/>
                <w:sz w:val="18"/>
              </w:rPr>
            </w:pPr>
            <w:r w:rsidRPr="003E75E3">
              <w:rPr>
                <w:rFonts w:cs="Calibri"/>
                <w:b w:val="0"/>
                <w:bCs w:val="0"/>
                <w:sz w:val="18"/>
              </w:rPr>
              <w:t>Less: Impairment Allowance</w:t>
            </w:r>
          </w:p>
        </w:tc>
      </w:tr>
      <w:tr w:rsidR="006C7429" w:rsidRPr="006647C2" w14:paraId="6879BEFB" w14:textId="77777777" w:rsidTr="005F5B4C">
        <w:trPr>
          <w:cantSplit/>
          <w:trHeight w:val="23"/>
        </w:trPr>
        <w:tc>
          <w:tcPr>
            <w:tcW w:w="745" w:type="pct"/>
            <w:tcBorders>
              <w:top w:val="nil"/>
              <w:left w:val="single" w:sz="2" w:space="0" w:color="auto"/>
              <w:bottom w:val="nil"/>
              <w:right w:val="single" w:sz="2" w:space="0" w:color="auto"/>
            </w:tcBorders>
          </w:tcPr>
          <w:p w14:paraId="014BB55B" w14:textId="77777777" w:rsidR="006C7429" w:rsidRPr="003E75E3" w:rsidRDefault="006C7429" w:rsidP="006C7429">
            <w:pPr>
              <w:pStyle w:val="TableReference"/>
              <w:tabs>
                <w:tab w:val="left" w:pos="3306"/>
              </w:tabs>
              <w:spacing w:before="40"/>
              <w:jc w:val="both"/>
              <w:rPr>
                <w:rFonts w:cs="Calibri"/>
                <w:strike/>
                <w:color w:val="7030A0"/>
                <w:sz w:val="14"/>
              </w:rPr>
            </w:pPr>
            <w:r w:rsidRPr="003E75E3">
              <w:rPr>
                <w:rFonts w:cs="Calibri"/>
                <w:color w:val="7030A0"/>
                <w:sz w:val="14"/>
              </w:rPr>
              <w:t>AASB 15.116(a)</w:t>
            </w:r>
          </w:p>
        </w:tc>
        <w:tc>
          <w:tcPr>
            <w:tcW w:w="2702" w:type="pct"/>
            <w:tcBorders>
              <w:top w:val="nil"/>
              <w:left w:val="single" w:sz="2" w:space="0" w:color="auto"/>
              <w:bottom w:val="nil"/>
              <w:right w:val="nil"/>
            </w:tcBorders>
            <w:shd w:val="clear" w:color="auto" w:fill="auto"/>
          </w:tcPr>
          <w:p w14:paraId="50790F37" w14:textId="77777777" w:rsidR="006C7429" w:rsidRPr="003E75E3" w:rsidRDefault="006C7429" w:rsidP="006C7429">
            <w:pPr>
              <w:pStyle w:val="CommentaryHeading"/>
              <w:tabs>
                <w:tab w:val="left" w:pos="3306"/>
              </w:tabs>
              <w:spacing w:before="0"/>
              <w:jc w:val="both"/>
              <w:rPr>
                <w:rFonts w:cs="Calibri"/>
                <w:sz w:val="18"/>
              </w:rPr>
            </w:pPr>
            <w:r w:rsidRPr="003E75E3">
              <w:rPr>
                <w:rFonts w:cs="Calibri"/>
                <w:sz w:val="18"/>
              </w:rPr>
              <w:t>Closing Balance of Contract Assets</w:t>
            </w:r>
          </w:p>
        </w:tc>
        <w:tc>
          <w:tcPr>
            <w:tcW w:w="817" w:type="pct"/>
            <w:gridSpan w:val="3"/>
            <w:tcBorders>
              <w:top w:val="single" w:sz="2" w:space="0" w:color="auto"/>
              <w:left w:val="nil"/>
              <w:bottom w:val="double" w:sz="4" w:space="0" w:color="auto"/>
              <w:right w:val="nil"/>
            </w:tcBorders>
            <w:shd w:val="clear" w:color="auto" w:fill="auto"/>
          </w:tcPr>
          <w:p w14:paraId="4F49A2CC" w14:textId="77777777" w:rsidR="006C7429" w:rsidRPr="003E75E3" w:rsidRDefault="006C7429" w:rsidP="006C7429">
            <w:pPr>
              <w:pStyle w:val="CommentaryHeading"/>
              <w:tabs>
                <w:tab w:val="left" w:pos="3306"/>
              </w:tabs>
              <w:spacing w:before="0"/>
              <w:jc w:val="both"/>
              <w:rPr>
                <w:rFonts w:cs="Calibri"/>
                <w:sz w:val="18"/>
              </w:rPr>
            </w:pPr>
          </w:p>
        </w:tc>
        <w:tc>
          <w:tcPr>
            <w:tcW w:w="736" w:type="pct"/>
            <w:tcBorders>
              <w:top w:val="single" w:sz="2" w:space="0" w:color="auto"/>
              <w:left w:val="nil"/>
              <w:bottom w:val="double" w:sz="4" w:space="0" w:color="auto"/>
              <w:right w:val="nil"/>
            </w:tcBorders>
            <w:shd w:val="clear" w:color="auto" w:fill="auto"/>
          </w:tcPr>
          <w:p w14:paraId="56F74E0A" w14:textId="77777777" w:rsidR="006C7429" w:rsidRPr="003E75E3" w:rsidRDefault="006C7429" w:rsidP="006C7429">
            <w:pPr>
              <w:pStyle w:val="CommentaryHeading"/>
              <w:tabs>
                <w:tab w:val="left" w:pos="3306"/>
              </w:tabs>
              <w:spacing w:before="0"/>
              <w:jc w:val="both"/>
              <w:rPr>
                <w:rFonts w:cs="Calibri"/>
                <w:sz w:val="18"/>
              </w:rPr>
            </w:pPr>
          </w:p>
        </w:tc>
      </w:tr>
    </w:tbl>
    <w:p w14:paraId="0E345215" w14:textId="4399899E" w:rsidR="00101A49" w:rsidRDefault="00101A49"/>
    <w:p w14:paraId="7441408C" w14:textId="06562603" w:rsidR="00101A49" w:rsidRDefault="00101A49"/>
    <w:p w14:paraId="31FCEAFA" w14:textId="4ECF40E7" w:rsidR="00101A49" w:rsidRDefault="00101A49"/>
    <w:p w14:paraId="7FF9ADB7" w14:textId="288A307B" w:rsidR="00101A49" w:rsidRDefault="00101A49"/>
    <w:p w14:paraId="5872A0D8" w14:textId="40916738" w:rsidR="00101A49" w:rsidRDefault="00101A49"/>
    <w:p w14:paraId="2531A6A3" w14:textId="7CD28624" w:rsidR="00101A49" w:rsidRDefault="00101A49"/>
    <w:p w14:paraId="08C59B68" w14:textId="77777777" w:rsidR="00101A49" w:rsidRDefault="00101A49">
      <w:pPr>
        <w:sectPr w:rsidR="00101A49" w:rsidSect="00310663">
          <w:headerReference w:type="default" r:id="rId33"/>
          <w:footnotePr>
            <w:numRestart w:val="eachPage"/>
          </w:footnotePr>
          <w:pgSz w:w="11907" w:h="16840" w:code="9"/>
          <w:pgMar w:top="1134" w:right="992" w:bottom="567" w:left="680" w:header="425" w:footer="720" w:gutter="0"/>
          <w:cols w:space="720"/>
        </w:sectPr>
      </w:pPr>
    </w:p>
    <w:tbl>
      <w:tblPr>
        <w:tblW w:w="5012"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15"/>
        <w:gridCol w:w="2176"/>
        <w:gridCol w:w="1699"/>
        <w:gridCol w:w="1135"/>
        <w:gridCol w:w="992"/>
        <w:gridCol w:w="1696"/>
        <w:gridCol w:w="1135"/>
        <w:gridCol w:w="998"/>
        <w:gridCol w:w="1699"/>
        <w:gridCol w:w="1132"/>
        <w:gridCol w:w="977"/>
        <w:gridCol w:w="18"/>
      </w:tblGrid>
      <w:tr w:rsidR="003678AB" w:rsidRPr="00CF7E1B" w14:paraId="2B3C0D4E" w14:textId="77777777" w:rsidTr="005F5B4C">
        <w:trPr>
          <w:cantSplit/>
          <w:trHeight w:val="88"/>
        </w:trPr>
        <w:tc>
          <w:tcPr>
            <w:tcW w:w="499" w:type="pct"/>
            <w:tcBorders>
              <w:top w:val="nil"/>
              <w:left w:val="single" w:sz="2" w:space="0" w:color="auto"/>
              <w:bottom w:val="nil"/>
              <w:right w:val="single" w:sz="2" w:space="0" w:color="auto"/>
            </w:tcBorders>
          </w:tcPr>
          <w:p w14:paraId="3BDC1361" w14:textId="0EBEC8D3" w:rsidR="003678AB" w:rsidRPr="003E75E3" w:rsidRDefault="003678AB" w:rsidP="003678AB">
            <w:pPr>
              <w:pStyle w:val="TableReference"/>
              <w:tabs>
                <w:tab w:val="left" w:pos="3306"/>
              </w:tabs>
              <w:spacing w:before="240" w:after="240"/>
              <w:rPr>
                <w:rFonts w:cs="Calibri"/>
                <w:color w:val="7030A0"/>
                <w:sz w:val="14"/>
              </w:rPr>
            </w:pPr>
            <w:r w:rsidRPr="003E75E3">
              <w:rPr>
                <w:rFonts w:cs="Calibri"/>
                <w:b/>
                <w:color w:val="7030A0"/>
                <w:sz w:val="22"/>
                <w:szCs w:val="22"/>
              </w:rPr>
              <w:t>Reference</w:t>
            </w:r>
          </w:p>
        </w:tc>
        <w:tc>
          <w:tcPr>
            <w:tcW w:w="4501" w:type="pct"/>
            <w:gridSpan w:val="11"/>
            <w:tcBorders>
              <w:top w:val="nil"/>
              <w:left w:val="single" w:sz="2" w:space="0" w:color="auto"/>
              <w:bottom w:val="nil"/>
              <w:right w:val="nil"/>
            </w:tcBorders>
          </w:tcPr>
          <w:p w14:paraId="04E04823" w14:textId="065C9AA2" w:rsidR="003678AB" w:rsidRPr="003E75E3" w:rsidRDefault="003678AB" w:rsidP="003678AB">
            <w:pPr>
              <w:pStyle w:val="Heading1"/>
              <w:numPr>
                <w:ilvl w:val="0"/>
                <w:numId w:val="0"/>
              </w:numPr>
              <w:ind w:left="1134" w:hanging="1134"/>
              <w:rPr>
                <w:rFonts w:cs="Calibri"/>
              </w:rPr>
            </w:pPr>
            <w:bookmarkStart w:id="509" w:name="_Toc98763112"/>
            <w:r w:rsidRPr="003E75E3">
              <w:t>Note 16.</w:t>
            </w:r>
            <w:r w:rsidR="00FA7C77">
              <w:t xml:space="preserve"> </w:t>
            </w:r>
            <w:r w:rsidRPr="003E75E3">
              <w:t xml:space="preserve"> Receivables </w:t>
            </w:r>
            <w:r w:rsidRPr="003E75E3">
              <w:rPr>
                <w:smallCaps/>
              </w:rPr>
              <w:t xml:space="preserve">and Contract Assets </w:t>
            </w:r>
            <w:r w:rsidR="001F4216">
              <w:t>–</w:t>
            </w:r>
            <w:r w:rsidRPr="003E75E3">
              <w:t xml:space="preserve"> Continue</w:t>
            </w:r>
            <w:r w:rsidR="007B5795" w:rsidRPr="003E75E3">
              <w:t>D</w:t>
            </w:r>
            <w:bookmarkEnd w:id="509"/>
            <w:r w:rsidR="001F4216">
              <w:t xml:space="preserve"> </w:t>
            </w:r>
          </w:p>
        </w:tc>
      </w:tr>
      <w:tr w:rsidR="003E75E3" w:rsidRPr="003E75E3" w14:paraId="70A1BF1B" w14:textId="77777777" w:rsidTr="005F5B4C">
        <w:trPr>
          <w:gridAfter w:val="7"/>
          <w:wAfter w:w="2523" w:type="pct"/>
          <w:cantSplit/>
          <w:trHeight w:val="23"/>
        </w:trPr>
        <w:tc>
          <w:tcPr>
            <w:tcW w:w="499" w:type="pct"/>
            <w:tcBorders>
              <w:top w:val="nil"/>
              <w:left w:val="single" w:sz="2" w:space="0" w:color="auto"/>
              <w:bottom w:val="nil"/>
              <w:right w:val="single" w:sz="2" w:space="0" w:color="auto"/>
            </w:tcBorders>
          </w:tcPr>
          <w:p w14:paraId="07C76514" w14:textId="77777777" w:rsidR="003678AB" w:rsidRPr="003E75E3" w:rsidRDefault="003678AB" w:rsidP="003678AB">
            <w:pPr>
              <w:pStyle w:val="TableReference"/>
              <w:tabs>
                <w:tab w:val="left" w:pos="3306"/>
              </w:tabs>
              <w:spacing w:before="40"/>
              <w:rPr>
                <w:rFonts w:cs="Calibri"/>
                <w:color w:val="7030A0"/>
                <w:sz w:val="14"/>
              </w:rPr>
            </w:pPr>
          </w:p>
        </w:tc>
        <w:tc>
          <w:tcPr>
            <w:tcW w:w="1978" w:type="pct"/>
            <w:gridSpan w:val="4"/>
            <w:tcBorders>
              <w:top w:val="nil"/>
              <w:left w:val="single" w:sz="2" w:space="0" w:color="auto"/>
              <w:bottom w:val="nil"/>
              <w:right w:val="nil"/>
            </w:tcBorders>
            <w:vAlign w:val="bottom"/>
          </w:tcPr>
          <w:p w14:paraId="077D653E" w14:textId="77777777" w:rsidR="003678AB" w:rsidRPr="003E75E3" w:rsidRDefault="003678AB" w:rsidP="003678AB">
            <w:pPr>
              <w:pStyle w:val="TableText"/>
              <w:tabs>
                <w:tab w:val="left" w:pos="3306"/>
              </w:tabs>
              <w:spacing w:before="0"/>
              <w:ind w:left="210" w:hanging="210"/>
              <w:jc w:val="both"/>
              <w:rPr>
                <w:rFonts w:cs="Calibri"/>
                <w:b/>
                <w:bCs/>
              </w:rPr>
            </w:pPr>
            <w:r w:rsidRPr="003E75E3">
              <w:rPr>
                <w:rFonts w:cs="Calibri"/>
                <w:b/>
                <w:bCs/>
              </w:rPr>
              <w:t>Expected Credit Loss Allowance Provision Matrix</w:t>
            </w:r>
          </w:p>
        </w:tc>
      </w:tr>
      <w:tr w:rsidR="003E75E3" w:rsidRPr="003E75E3" w14:paraId="5322F105" w14:textId="77777777" w:rsidTr="005F5B4C">
        <w:trPr>
          <w:gridAfter w:val="7"/>
          <w:wAfter w:w="2523" w:type="pct"/>
          <w:cantSplit/>
          <w:trHeight w:val="219"/>
        </w:trPr>
        <w:tc>
          <w:tcPr>
            <w:tcW w:w="499" w:type="pct"/>
            <w:tcBorders>
              <w:top w:val="nil"/>
              <w:left w:val="single" w:sz="2" w:space="0" w:color="auto"/>
              <w:bottom w:val="nil"/>
              <w:right w:val="single" w:sz="2" w:space="0" w:color="auto"/>
            </w:tcBorders>
          </w:tcPr>
          <w:p w14:paraId="2215A230" w14:textId="77777777" w:rsidR="003678AB" w:rsidRPr="003E75E3" w:rsidRDefault="003678AB" w:rsidP="003678AB">
            <w:pPr>
              <w:pStyle w:val="TableReference"/>
              <w:tabs>
                <w:tab w:val="left" w:pos="3306"/>
              </w:tabs>
              <w:rPr>
                <w:rFonts w:cs="Calibri"/>
                <w:color w:val="7030A0"/>
                <w:sz w:val="14"/>
              </w:rPr>
            </w:pPr>
            <w:r w:rsidRPr="003E75E3">
              <w:rPr>
                <w:rFonts w:cs="Calibri"/>
                <w:color w:val="7030A0"/>
                <w:sz w:val="14"/>
              </w:rPr>
              <w:t>AASB7.35M-N,</w:t>
            </w:r>
          </w:p>
          <w:p w14:paraId="7D9421AD" w14:textId="32FBC61C" w:rsidR="003678AB" w:rsidRPr="003E75E3" w:rsidRDefault="003678AB" w:rsidP="003678AB">
            <w:pPr>
              <w:pStyle w:val="TableReference"/>
              <w:tabs>
                <w:tab w:val="left" w:pos="3306"/>
              </w:tabs>
              <w:spacing w:before="40"/>
              <w:rPr>
                <w:rFonts w:cs="Calibri"/>
                <w:color w:val="7030A0"/>
                <w:sz w:val="14"/>
              </w:rPr>
            </w:pPr>
            <w:r w:rsidRPr="003E75E3">
              <w:rPr>
                <w:rFonts w:cs="Calibri"/>
                <w:color w:val="7030A0"/>
                <w:sz w:val="14"/>
              </w:rPr>
              <w:t>B8H-J</w:t>
            </w:r>
          </w:p>
        </w:tc>
        <w:tc>
          <w:tcPr>
            <w:tcW w:w="1978" w:type="pct"/>
            <w:gridSpan w:val="4"/>
            <w:tcBorders>
              <w:top w:val="nil"/>
              <w:left w:val="single" w:sz="2" w:space="0" w:color="auto"/>
              <w:bottom w:val="nil"/>
              <w:right w:val="nil"/>
            </w:tcBorders>
            <w:vAlign w:val="center"/>
          </w:tcPr>
          <w:p w14:paraId="36DCE3FB" w14:textId="2B2B3732" w:rsidR="003678AB" w:rsidRPr="003E75E3" w:rsidRDefault="003678AB" w:rsidP="003678AB">
            <w:pPr>
              <w:pStyle w:val="TableText"/>
              <w:tabs>
                <w:tab w:val="left" w:pos="3306"/>
              </w:tabs>
              <w:spacing w:before="0"/>
              <w:rPr>
                <w:rFonts w:cs="Calibri"/>
                <w:b/>
                <w:bCs/>
              </w:rPr>
            </w:pPr>
            <w:r w:rsidRPr="003E75E3">
              <w:rPr>
                <w:rFonts w:cs="Calibri"/>
                <w:b/>
              </w:rPr>
              <w:t>Ageing of Receivables and Contract Assets</w:t>
            </w:r>
          </w:p>
        </w:tc>
      </w:tr>
      <w:tr w:rsidR="003678AB" w:rsidRPr="00CF7E1B" w14:paraId="5E6F695A" w14:textId="77777777" w:rsidTr="005F5B4C">
        <w:trPr>
          <w:cantSplit/>
          <w:trHeight w:val="219"/>
        </w:trPr>
        <w:tc>
          <w:tcPr>
            <w:tcW w:w="499" w:type="pct"/>
            <w:tcBorders>
              <w:top w:val="nil"/>
              <w:left w:val="single" w:sz="2" w:space="0" w:color="auto"/>
              <w:bottom w:val="nil"/>
              <w:right w:val="single" w:sz="2" w:space="0" w:color="auto"/>
            </w:tcBorders>
          </w:tcPr>
          <w:p w14:paraId="1BF2C73E" w14:textId="77777777" w:rsidR="003678AB" w:rsidRPr="003E75E3" w:rsidRDefault="003678AB" w:rsidP="003678AB">
            <w:pPr>
              <w:pStyle w:val="TableReference"/>
              <w:tabs>
                <w:tab w:val="left" w:pos="3306"/>
              </w:tabs>
              <w:rPr>
                <w:rFonts w:cs="Calibri"/>
                <w:color w:val="7030A0"/>
                <w:sz w:val="14"/>
              </w:rPr>
            </w:pPr>
          </w:p>
        </w:tc>
        <w:tc>
          <w:tcPr>
            <w:tcW w:w="4501" w:type="pct"/>
            <w:gridSpan w:val="11"/>
            <w:tcBorders>
              <w:top w:val="nil"/>
              <w:left w:val="single" w:sz="2" w:space="0" w:color="auto"/>
              <w:bottom w:val="nil"/>
              <w:right w:val="nil"/>
            </w:tcBorders>
            <w:vAlign w:val="center"/>
          </w:tcPr>
          <w:p w14:paraId="4BD250B7" w14:textId="77777777" w:rsidR="003678AB" w:rsidRPr="003E75E3" w:rsidRDefault="003678AB" w:rsidP="003678AB">
            <w:pPr>
              <w:pStyle w:val="TableText"/>
              <w:tabs>
                <w:tab w:val="left" w:pos="3306"/>
              </w:tabs>
              <w:spacing w:before="0"/>
              <w:rPr>
                <w:rFonts w:cs="Calibri"/>
                <w:b/>
              </w:rPr>
            </w:pPr>
          </w:p>
        </w:tc>
      </w:tr>
      <w:tr w:rsidR="00526331" w:rsidRPr="00CF7E1B" w14:paraId="131C3CB3" w14:textId="77777777" w:rsidTr="005F5B4C">
        <w:trPr>
          <w:cantSplit/>
          <w:trHeight w:val="219"/>
        </w:trPr>
        <w:tc>
          <w:tcPr>
            <w:tcW w:w="499" w:type="pct"/>
            <w:tcBorders>
              <w:top w:val="nil"/>
              <w:left w:val="single" w:sz="2" w:space="0" w:color="auto"/>
              <w:bottom w:val="nil"/>
              <w:right w:val="single" w:sz="2" w:space="0" w:color="auto"/>
            </w:tcBorders>
          </w:tcPr>
          <w:p w14:paraId="00CC0B39" w14:textId="77777777" w:rsidR="00526331" w:rsidRPr="003E75E3" w:rsidRDefault="00526331" w:rsidP="003678AB">
            <w:pPr>
              <w:pStyle w:val="TableReference"/>
              <w:tabs>
                <w:tab w:val="left" w:pos="3306"/>
              </w:tabs>
              <w:rPr>
                <w:rFonts w:cs="Calibri"/>
                <w:color w:val="7030A0"/>
                <w:sz w:val="14"/>
              </w:rPr>
            </w:pPr>
          </w:p>
        </w:tc>
        <w:tc>
          <w:tcPr>
            <w:tcW w:w="717" w:type="pct"/>
            <w:tcBorders>
              <w:top w:val="nil"/>
              <w:left w:val="single" w:sz="2" w:space="0" w:color="auto"/>
              <w:bottom w:val="nil"/>
              <w:right w:val="nil"/>
            </w:tcBorders>
            <w:vAlign w:val="center"/>
          </w:tcPr>
          <w:p w14:paraId="6A019E60" w14:textId="77777777" w:rsidR="00526331" w:rsidRPr="003E75E3" w:rsidRDefault="00526331" w:rsidP="003678AB">
            <w:pPr>
              <w:pStyle w:val="TableText"/>
              <w:tabs>
                <w:tab w:val="left" w:pos="3306"/>
              </w:tabs>
              <w:spacing w:before="0"/>
              <w:rPr>
                <w:rFonts w:cs="Calibri"/>
                <w:b/>
              </w:rPr>
            </w:pPr>
          </w:p>
        </w:tc>
        <w:tc>
          <w:tcPr>
            <w:tcW w:w="1261" w:type="pct"/>
            <w:gridSpan w:val="3"/>
            <w:tcBorders>
              <w:top w:val="nil"/>
              <w:left w:val="nil"/>
              <w:bottom w:val="nil"/>
              <w:right w:val="nil"/>
            </w:tcBorders>
            <w:vAlign w:val="center"/>
          </w:tcPr>
          <w:p w14:paraId="5B25AABB" w14:textId="49671387" w:rsidR="00526331" w:rsidRPr="003E75E3" w:rsidRDefault="00526331" w:rsidP="003678AB">
            <w:pPr>
              <w:pStyle w:val="TableText"/>
              <w:tabs>
                <w:tab w:val="left" w:pos="3306"/>
              </w:tabs>
              <w:spacing w:before="0"/>
              <w:jc w:val="center"/>
              <w:rPr>
                <w:rFonts w:cs="Calibri"/>
                <w:b/>
              </w:rPr>
            </w:pPr>
            <w:r w:rsidRPr="003E75E3">
              <w:rPr>
                <w:rFonts w:cs="Calibri"/>
                <w:b/>
              </w:rPr>
              <w:t>Accounts Receivable</w:t>
            </w:r>
          </w:p>
        </w:tc>
        <w:tc>
          <w:tcPr>
            <w:tcW w:w="1262" w:type="pct"/>
            <w:gridSpan w:val="3"/>
            <w:tcBorders>
              <w:top w:val="nil"/>
              <w:left w:val="nil"/>
              <w:bottom w:val="nil"/>
              <w:right w:val="nil"/>
            </w:tcBorders>
            <w:vAlign w:val="center"/>
          </w:tcPr>
          <w:p w14:paraId="4F13AA50" w14:textId="0C6F1E94" w:rsidR="00526331" w:rsidRPr="003E75E3" w:rsidRDefault="00526331" w:rsidP="003678AB">
            <w:pPr>
              <w:pStyle w:val="TableText"/>
              <w:tabs>
                <w:tab w:val="left" w:pos="3306"/>
              </w:tabs>
              <w:spacing w:before="0"/>
              <w:jc w:val="center"/>
              <w:rPr>
                <w:rFonts w:cs="Calibri"/>
                <w:b/>
              </w:rPr>
            </w:pPr>
            <w:r w:rsidRPr="003E75E3">
              <w:rPr>
                <w:rFonts w:cs="Calibri"/>
                <w:b/>
              </w:rPr>
              <w:t>Loans Receivable</w:t>
            </w:r>
          </w:p>
        </w:tc>
        <w:tc>
          <w:tcPr>
            <w:tcW w:w="1261" w:type="pct"/>
            <w:gridSpan w:val="4"/>
            <w:tcBorders>
              <w:top w:val="nil"/>
              <w:left w:val="nil"/>
              <w:bottom w:val="nil"/>
              <w:right w:val="nil"/>
            </w:tcBorders>
            <w:vAlign w:val="center"/>
          </w:tcPr>
          <w:p w14:paraId="2ED7426E" w14:textId="4684069B" w:rsidR="00526331" w:rsidRPr="003E75E3" w:rsidRDefault="00526331" w:rsidP="003678AB">
            <w:pPr>
              <w:pStyle w:val="TableText"/>
              <w:tabs>
                <w:tab w:val="left" w:pos="3306"/>
              </w:tabs>
              <w:spacing w:before="0"/>
              <w:jc w:val="center"/>
              <w:rPr>
                <w:rFonts w:cs="Calibri"/>
                <w:b/>
              </w:rPr>
            </w:pPr>
            <w:r w:rsidRPr="003E75E3">
              <w:rPr>
                <w:rFonts w:cs="Calibri"/>
                <w:b/>
              </w:rPr>
              <w:t>Contract Assets</w:t>
            </w:r>
          </w:p>
        </w:tc>
      </w:tr>
      <w:tr w:rsidR="009407C1" w:rsidRPr="00CF7E1B" w14:paraId="626C5DA3" w14:textId="77777777" w:rsidTr="005F5B4C">
        <w:trPr>
          <w:gridAfter w:val="1"/>
          <w:wAfter w:w="6" w:type="pct"/>
          <w:cantSplit/>
          <w:trHeight w:val="806"/>
        </w:trPr>
        <w:tc>
          <w:tcPr>
            <w:tcW w:w="499" w:type="pct"/>
            <w:tcBorders>
              <w:top w:val="nil"/>
              <w:left w:val="single" w:sz="2" w:space="0" w:color="auto"/>
              <w:bottom w:val="nil"/>
              <w:right w:val="single" w:sz="2" w:space="0" w:color="auto"/>
            </w:tcBorders>
            <w:vAlign w:val="bottom"/>
          </w:tcPr>
          <w:p w14:paraId="3CB8141B" w14:textId="77777777" w:rsidR="003678AB" w:rsidRPr="003E75E3" w:rsidRDefault="003678AB" w:rsidP="003678AB">
            <w:pPr>
              <w:pStyle w:val="TableReference"/>
              <w:tabs>
                <w:tab w:val="left" w:pos="3306"/>
              </w:tabs>
              <w:spacing w:before="40"/>
              <w:jc w:val="right"/>
              <w:rPr>
                <w:rFonts w:cs="Calibri"/>
                <w:color w:val="7030A0"/>
                <w:sz w:val="14"/>
              </w:rPr>
            </w:pPr>
          </w:p>
        </w:tc>
        <w:tc>
          <w:tcPr>
            <w:tcW w:w="717" w:type="pct"/>
            <w:tcBorders>
              <w:top w:val="nil"/>
              <w:left w:val="single" w:sz="2" w:space="0" w:color="auto"/>
              <w:bottom w:val="nil"/>
              <w:right w:val="nil"/>
            </w:tcBorders>
            <w:vAlign w:val="bottom"/>
          </w:tcPr>
          <w:p w14:paraId="7CE83662" w14:textId="77777777" w:rsidR="003678AB" w:rsidRPr="003E75E3" w:rsidRDefault="003678AB" w:rsidP="003678AB">
            <w:pPr>
              <w:pStyle w:val="TableText"/>
              <w:tabs>
                <w:tab w:val="left" w:pos="3306"/>
              </w:tabs>
              <w:spacing w:before="0"/>
              <w:ind w:left="210" w:hanging="210"/>
              <w:jc w:val="right"/>
              <w:rPr>
                <w:rFonts w:cs="Calibri"/>
                <w:b/>
                <w:bCs/>
              </w:rPr>
            </w:pPr>
          </w:p>
        </w:tc>
        <w:tc>
          <w:tcPr>
            <w:tcW w:w="560" w:type="pct"/>
            <w:tcBorders>
              <w:top w:val="nil"/>
              <w:left w:val="nil"/>
              <w:bottom w:val="nil"/>
              <w:right w:val="nil"/>
            </w:tcBorders>
            <w:vAlign w:val="bottom"/>
          </w:tcPr>
          <w:p w14:paraId="737B40FD" w14:textId="0A0A5819"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4" w:type="pct"/>
            <w:tcBorders>
              <w:top w:val="nil"/>
              <w:left w:val="nil"/>
              <w:bottom w:val="nil"/>
              <w:right w:val="nil"/>
            </w:tcBorders>
            <w:vAlign w:val="bottom"/>
          </w:tcPr>
          <w:p w14:paraId="7274926A"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5A791F9F" w14:textId="7D21F39A" w:rsidR="003678AB" w:rsidRPr="003E75E3" w:rsidRDefault="009407C1" w:rsidP="009407C1">
            <w:pPr>
              <w:pStyle w:val="TableText"/>
              <w:tabs>
                <w:tab w:val="left" w:pos="3306"/>
              </w:tabs>
              <w:spacing w:before="0"/>
              <w:jc w:val="center"/>
              <w:rPr>
                <w:rFonts w:cs="Calibri"/>
                <w:b/>
                <w:bCs/>
              </w:rPr>
            </w:pPr>
            <w:r w:rsidRPr="003E75E3">
              <w:rPr>
                <w:rFonts w:cs="Calibri"/>
                <w:b/>
                <w:bCs/>
              </w:rPr>
              <w:t>Allowance</w:t>
            </w:r>
          </w:p>
        </w:tc>
        <w:tc>
          <w:tcPr>
            <w:tcW w:w="327" w:type="pct"/>
            <w:tcBorders>
              <w:top w:val="nil"/>
              <w:left w:val="nil"/>
              <w:bottom w:val="nil"/>
              <w:right w:val="nil"/>
            </w:tcBorders>
            <w:vAlign w:val="bottom"/>
          </w:tcPr>
          <w:p w14:paraId="6CB15141" w14:textId="49E27CEA"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c>
          <w:tcPr>
            <w:tcW w:w="559" w:type="pct"/>
            <w:tcBorders>
              <w:top w:val="nil"/>
              <w:left w:val="nil"/>
              <w:bottom w:val="nil"/>
              <w:right w:val="nil"/>
            </w:tcBorders>
            <w:vAlign w:val="bottom"/>
          </w:tcPr>
          <w:p w14:paraId="2B0353E4" w14:textId="2AEA1A65"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4" w:type="pct"/>
            <w:tcBorders>
              <w:top w:val="nil"/>
              <w:left w:val="nil"/>
              <w:bottom w:val="nil"/>
              <w:right w:val="nil"/>
            </w:tcBorders>
            <w:vAlign w:val="bottom"/>
          </w:tcPr>
          <w:p w14:paraId="341CD081"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22128345" w14:textId="5077A560" w:rsidR="003678AB" w:rsidRPr="003E75E3" w:rsidRDefault="009407C1" w:rsidP="009407C1">
            <w:pPr>
              <w:pStyle w:val="TableText"/>
              <w:tabs>
                <w:tab w:val="left" w:pos="3306"/>
              </w:tabs>
              <w:spacing w:before="0"/>
              <w:jc w:val="center"/>
              <w:rPr>
                <w:rFonts w:cs="Calibri"/>
                <w:b/>
                <w:bCs/>
              </w:rPr>
            </w:pPr>
            <w:r w:rsidRPr="003E75E3">
              <w:rPr>
                <w:rFonts w:cs="Calibri"/>
                <w:b/>
                <w:bCs/>
              </w:rPr>
              <w:t>Allowance</w:t>
            </w:r>
          </w:p>
        </w:tc>
        <w:tc>
          <w:tcPr>
            <w:tcW w:w="329" w:type="pct"/>
            <w:tcBorders>
              <w:top w:val="nil"/>
              <w:left w:val="nil"/>
              <w:bottom w:val="nil"/>
              <w:right w:val="nil"/>
            </w:tcBorders>
            <w:vAlign w:val="bottom"/>
          </w:tcPr>
          <w:p w14:paraId="1ACA4265" w14:textId="720359F6"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c>
          <w:tcPr>
            <w:tcW w:w="560" w:type="pct"/>
            <w:tcBorders>
              <w:top w:val="nil"/>
              <w:left w:val="nil"/>
              <w:bottom w:val="nil"/>
              <w:right w:val="nil"/>
            </w:tcBorders>
            <w:vAlign w:val="bottom"/>
          </w:tcPr>
          <w:p w14:paraId="4D4CEFA4" w14:textId="47185DDB" w:rsidR="003678AB" w:rsidRPr="003E75E3" w:rsidRDefault="009407C1" w:rsidP="003678AB">
            <w:pPr>
              <w:pStyle w:val="TableText"/>
              <w:tabs>
                <w:tab w:val="left" w:pos="3306"/>
              </w:tabs>
              <w:spacing w:before="0"/>
              <w:jc w:val="center"/>
              <w:rPr>
                <w:rFonts w:cs="Calibri"/>
                <w:b/>
                <w:bCs/>
              </w:rPr>
            </w:pPr>
            <w:r w:rsidRPr="003E75E3">
              <w:rPr>
                <w:rFonts w:cs="Calibri"/>
                <w:b/>
                <w:bCs/>
              </w:rPr>
              <w:t xml:space="preserve">Estimated total gross carrying amount at default </w:t>
            </w:r>
          </w:p>
        </w:tc>
        <w:tc>
          <w:tcPr>
            <w:tcW w:w="373" w:type="pct"/>
            <w:tcBorders>
              <w:top w:val="nil"/>
              <w:left w:val="nil"/>
              <w:bottom w:val="nil"/>
              <w:right w:val="nil"/>
            </w:tcBorders>
            <w:vAlign w:val="bottom"/>
          </w:tcPr>
          <w:p w14:paraId="05BEB019" w14:textId="77777777" w:rsidR="009407C1" w:rsidRPr="003E75E3" w:rsidRDefault="009407C1" w:rsidP="009407C1">
            <w:pPr>
              <w:pStyle w:val="TableText"/>
              <w:tabs>
                <w:tab w:val="left" w:pos="3306"/>
              </w:tabs>
              <w:spacing w:before="0"/>
              <w:jc w:val="center"/>
              <w:rPr>
                <w:rFonts w:cs="Calibri"/>
                <w:b/>
                <w:bCs/>
              </w:rPr>
            </w:pPr>
            <w:r w:rsidRPr="003E75E3">
              <w:rPr>
                <w:rFonts w:cs="Calibri"/>
                <w:b/>
                <w:bCs/>
              </w:rPr>
              <w:t>Expected credit loss</w:t>
            </w:r>
          </w:p>
          <w:p w14:paraId="0C41C77A" w14:textId="5292BD29" w:rsidR="003678AB" w:rsidRPr="003E75E3" w:rsidRDefault="009407C1" w:rsidP="009407C1">
            <w:pPr>
              <w:pStyle w:val="TableText"/>
              <w:tabs>
                <w:tab w:val="left" w:pos="3306"/>
              </w:tabs>
              <w:spacing w:before="0"/>
              <w:jc w:val="center"/>
              <w:rPr>
                <w:rFonts w:cs="Calibri"/>
                <w:b/>
                <w:bCs/>
              </w:rPr>
            </w:pPr>
            <w:r w:rsidRPr="003E75E3">
              <w:rPr>
                <w:rFonts w:cs="Calibri"/>
                <w:b/>
                <w:bCs/>
              </w:rPr>
              <w:t xml:space="preserve">Allowance </w:t>
            </w:r>
          </w:p>
        </w:tc>
        <w:tc>
          <w:tcPr>
            <w:tcW w:w="322" w:type="pct"/>
            <w:tcBorders>
              <w:top w:val="nil"/>
              <w:left w:val="nil"/>
              <w:bottom w:val="nil"/>
              <w:right w:val="nil"/>
            </w:tcBorders>
            <w:vAlign w:val="bottom"/>
          </w:tcPr>
          <w:p w14:paraId="73BEFE62" w14:textId="626FA5A2" w:rsidR="003678AB" w:rsidRPr="003E75E3" w:rsidRDefault="009407C1" w:rsidP="003678AB">
            <w:pPr>
              <w:pStyle w:val="TableText"/>
              <w:tabs>
                <w:tab w:val="left" w:pos="3306"/>
              </w:tabs>
              <w:spacing w:before="0"/>
              <w:jc w:val="center"/>
              <w:rPr>
                <w:rFonts w:cs="Calibri"/>
                <w:b/>
                <w:bCs/>
              </w:rPr>
            </w:pPr>
            <w:r w:rsidRPr="003E75E3">
              <w:rPr>
                <w:rFonts w:cs="Calibri"/>
                <w:b/>
                <w:bCs/>
              </w:rPr>
              <w:t>Expected credit loss rate</w:t>
            </w:r>
          </w:p>
        </w:tc>
      </w:tr>
      <w:tr w:rsidR="009407C1" w:rsidRPr="00CF7E1B" w14:paraId="57F7A7D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52849FB7" w14:textId="77777777" w:rsidR="003678AB" w:rsidRPr="003E75E3" w:rsidRDefault="003678AB" w:rsidP="003678AB">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44F00D37" w14:textId="77777777" w:rsidR="003678AB" w:rsidRPr="003E75E3" w:rsidRDefault="003678AB" w:rsidP="003678AB">
            <w:pPr>
              <w:pStyle w:val="TableText"/>
              <w:tabs>
                <w:tab w:val="left" w:pos="3306"/>
              </w:tabs>
              <w:spacing w:before="0"/>
              <w:ind w:left="210" w:hanging="210"/>
              <w:jc w:val="both"/>
              <w:rPr>
                <w:rFonts w:cs="Calibri"/>
                <w:b/>
                <w:bCs/>
              </w:rPr>
            </w:pPr>
          </w:p>
        </w:tc>
        <w:tc>
          <w:tcPr>
            <w:tcW w:w="560" w:type="pct"/>
            <w:tcBorders>
              <w:top w:val="nil"/>
              <w:left w:val="nil"/>
              <w:bottom w:val="nil"/>
              <w:right w:val="nil"/>
            </w:tcBorders>
            <w:vAlign w:val="bottom"/>
          </w:tcPr>
          <w:p w14:paraId="4837D9BC" w14:textId="2D89C50B"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4" w:type="pct"/>
            <w:tcBorders>
              <w:top w:val="nil"/>
              <w:left w:val="nil"/>
              <w:bottom w:val="nil"/>
              <w:right w:val="nil"/>
            </w:tcBorders>
            <w:vAlign w:val="bottom"/>
          </w:tcPr>
          <w:p w14:paraId="21A8EA93" w14:textId="7C8DD83C"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7" w:type="pct"/>
            <w:tcBorders>
              <w:top w:val="nil"/>
              <w:left w:val="nil"/>
              <w:bottom w:val="nil"/>
              <w:right w:val="nil"/>
            </w:tcBorders>
            <w:vAlign w:val="bottom"/>
          </w:tcPr>
          <w:p w14:paraId="0120AA13" w14:textId="19590FD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c>
          <w:tcPr>
            <w:tcW w:w="559" w:type="pct"/>
            <w:tcBorders>
              <w:top w:val="nil"/>
              <w:left w:val="nil"/>
              <w:bottom w:val="nil"/>
              <w:right w:val="nil"/>
            </w:tcBorders>
            <w:vAlign w:val="bottom"/>
          </w:tcPr>
          <w:p w14:paraId="19211A0D" w14:textId="0341A03A"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4" w:type="pct"/>
            <w:tcBorders>
              <w:top w:val="nil"/>
              <w:left w:val="nil"/>
              <w:bottom w:val="nil"/>
              <w:right w:val="nil"/>
            </w:tcBorders>
            <w:vAlign w:val="bottom"/>
          </w:tcPr>
          <w:p w14:paraId="07EE2FA5" w14:textId="3E0025EB"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9" w:type="pct"/>
            <w:tcBorders>
              <w:top w:val="nil"/>
              <w:left w:val="nil"/>
              <w:bottom w:val="nil"/>
              <w:right w:val="nil"/>
            </w:tcBorders>
            <w:vAlign w:val="bottom"/>
          </w:tcPr>
          <w:p w14:paraId="2E9B9D62" w14:textId="07AC781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c>
          <w:tcPr>
            <w:tcW w:w="560" w:type="pct"/>
            <w:tcBorders>
              <w:top w:val="nil"/>
              <w:left w:val="nil"/>
              <w:bottom w:val="nil"/>
              <w:right w:val="nil"/>
            </w:tcBorders>
            <w:vAlign w:val="bottom"/>
          </w:tcPr>
          <w:p w14:paraId="56A3E4B0" w14:textId="088EBEF2"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‘$000</w:t>
            </w:r>
          </w:p>
        </w:tc>
        <w:tc>
          <w:tcPr>
            <w:tcW w:w="373" w:type="pct"/>
            <w:tcBorders>
              <w:top w:val="nil"/>
              <w:left w:val="nil"/>
              <w:bottom w:val="nil"/>
              <w:right w:val="nil"/>
            </w:tcBorders>
            <w:vAlign w:val="bottom"/>
          </w:tcPr>
          <w:p w14:paraId="35CC0277" w14:textId="762C051C" w:rsidR="003678AB" w:rsidRPr="003E75E3" w:rsidRDefault="003678AB" w:rsidP="003678AB">
            <w:pPr>
              <w:pStyle w:val="TableText"/>
              <w:tabs>
                <w:tab w:val="left" w:pos="3306"/>
              </w:tabs>
              <w:spacing w:before="0"/>
              <w:ind w:left="210" w:hanging="210"/>
              <w:jc w:val="center"/>
              <w:rPr>
                <w:rFonts w:cs="Calibri"/>
                <w:b/>
                <w:bCs/>
              </w:rPr>
            </w:pPr>
            <w:r w:rsidRPr="003E75E3">
              <w:rPr>
                <w:rFonts w:cs="Calibri"/>
                <w:b/>
                <w:bCs/>
              </w:rPr>
              <w:t>‘$000</w:t>
            </w:r>
          </w:p>
        </w:tc>
        <w:tc>
          <w:tcPr>
            <w:tcW w:w="322" w:type="pct"/>
            <w:tcBorders>
              <w:top w:val="nil"/>
              <w:left w:val="nil"/>
              <w:bottom w:val="nil"/>
              <w:right w:val="nil"/>
            </w:tcBorders>
            <w:vAlign w:val="bottom"/>
          </w:tcPr>
          <w:p w14:paraId="683BC4BE" w14:textId="1AAA0BAD" w:rsidR="003678AB" w:rsidRPr="003E75E3" w:rsidRDefault="009407C1" w:rsidP="003678AB">
            <w:pPr>
              <w:pStyle w:val="TableText"/>
              <w:tabs>
                <w:tab w:val="left" w:pos="3306"/>
              </w:tabs>
              <w:spacing w:before="0"/>
              <w:ind w:left="210" w:hanging="210"/>
              <w:jc w:val="center"/>
              <w:rPr>
                <w:rFonts w:cs="Calibri"/>
                <w:b/>
                <w:bCs/>
              </w:rPr>
            </w:pPr>
            <w:r w:rsidRPr="003E75E3">
              <w:rPr>
                <w:rFonts w:cs="Calibri"/>
                <w:b/>
                <w:bCs/>
              </w:rPr>
              <w:t>%</w:t>
            </w:r>
          </w:p>
        </w:tc>
      </w:tr>
      <w:tr w:rsidR="009407C1" w:rsidRPr="00CF7E1B" w14:paraId="35505A5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41024127" w14:textId="77777777" w:rsidR="003678AB" w:rsidRPr="003E75E3" w:rsidRDefault="003678AB" w:rsidP="003678AB">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E8A5827" w14:textId="330F1595" w:rsidR="003678AB" w:rsidRPr="003E75E3" w:rsidRDefault="003678AB" w:rsidP="003678AB">
            <w:pPr>
              <w:pStyle w:val="TableText"/>
              <w:tabs>
                <w:tab w:val="left" w:pos="3306"/>
              </w:tabs>
              <w:spacing w:before="0"/>
              <w:ind w:left="210" w:hanging="210"/>
              <w:jc w:val="both"/>
              <w:rPr>
                <w:rFonts w:cs="Calibri"/>
                <w:b/>
                <w:bCs/>
              </w:rPr>
            </w:pPr>
            <w:r w:rsidRPr="003E75E3">
              <w:rPr>
                <w:rFonts w:cs="Calibri"/>
                <w:b/>
              </w:rPr>
              <w:t>30 June 2022</w:t>
            </w:r>
          </w:p>
        </w:tc>
        <w:tc>
          <w:tcPr>
            <w:tcW w:w="560" w:type="pct"/>
            <w:tcBorders>
              <w:top w:val="nil"/>
              <w:left w:val="nil"/>
              <w:bottom w:val="nil"/>
              <w:right w:val="nil"/>
            </w:tcBorders>
            <w:vAlign w:val="bottom"/>
          </w:tcPr>
          <w:p w14:paraId="6C64819E" w14:textId="77777777" w:rsidR="003678AB" w:rsidRPr="003E75E3" w:rsidRDefault="003678AB" w:rsidP="003678AB">
            <w:pPr>
              <w:pStyle w:val="TableText"/>
              <w:tabs>
                <w:tab w:val="left" w:pos="3306"/>
              </w:tabs>
              <w:spacing w:before="0"/>
              <w:ind w:left="210" w:hanging="210"/>
              <w:jc w:val="center"/>
              <w:rPr>
                <w:rFonts w:cs="Calibri"/>
              </w:rPr>
            </w:pPr>
          </w:p>
        </w:tc>
        <w:tc>
          <w:tcPr>
            <w:tcW w:w="374" w:type="pct"/>
            <w:tcBorders>
              <w:top w:val="nil"/>
              <w:left w:val="nil"/>
              <w:bottom w:val="nil"/>
              <w:right w:val="nil"/>
            </w:tcBorders>
            <w:vAlign w:val="bottom"/>
          </w:tcPr>
          <w:p w14:paraId="66CD861A" w14:textId="77777777" w:rsidR="003678AB" w:rsidRPr="003E75E3" w:rsidRDefault="003678AB" w:rsidP="003678AB">
            <w:pPr>
              <w:pStyle w:val="TableText"/>
              <w:tabs>
                <w:tab w:val="left" w:pos="3306"/>
              </w:tabs>
              <w:spacing w:before="0"/>
              <w:ind w:left="210" w:hanging="210"/>
              <w:jc w:val="center"/>
              <w:rPr>
                <w:rFonts w:cs="Calibri"/>
              </w:rPr>
            </w:pPr>
          </w:p>
        </w:tc>
        <w:tc>
          <w:tcPr>
            <w:tcW w:w="327" w:type="pct"/>
            <w:tcBorders>
              <w:top w:val="nil"/>
              <w:left w:val="nil"/>
              <w:bottom w:val="nil"/>
              <w:right w:val="nil"/>
            </w:tcBorders>
          </w:tcPr>
          <w:p w14:paraId="13AB1CAF" w14:textId="77777777" w:rsidR="003678AB" w:rsidRPr="003E75E3" w:rsidRDefault="003678AB" w:rsidP="003678AB">
            <w:pPr>
              <w:pStyle w:val="TableText"/>
              <w:tabs>
                <w:tab w:val="left" w:pos="3306"/>
              </w:tabs>
              <w:spacing w:before="0"/>
              <w:ind w:left="210" w:hanging="210"/>
              <w:jc w:val="center"/>
              <w:rPr>
                <w:rFonts w:cs="Calibri"/>
              </w:rPr>
            </w:pPr>
          </w:p>
        </w:tc>
        <w:tc>
          <w:tcPr>
            <w:tcW w:w="559" w:type="pct"/>
            <w:tcBorders>
              <w:top w:val="nil"/>
              <w:left w:val="nil"/>
              <w:bottom w:val="nil"/>
              <w:right w:val="nil"/>
            </w:tcBorders>
          </w:tcPr>
          <w:p w14:paraId="2EB2BD42" w14:textId="5D29478F" w:rsidR="003678AB" w:rsidRPr="003E75E3" w:rsidRDefault="003678AB" w:rsidP="003678AB">
            <w:pPr>
              <w:pStyle w:val="TableText"/>
              <w:tabs>
                <w:tab w:val="left" w:pos="3306"/>
              </w:tabs>
              <w:spacing w:before="0"/>
              <w:ind w:left="210" w:hanging="210"/>
              <w:jc w:val="center"/>
              <w:rPr>
                <w:rFonts w:cs="Calibri"/>
              </w:rPr>
            </w:pPr>
          </w:p>
        </w:tc>
        <w:tc>
          <w:tcPr>
            <w:tcW w:w="374" w:type="pct"/>
            <w:tcBorders>
              <w:top w:val="nil"/>
              <w:left w:val="nil"/>
              <w:bottom w:val="nil"/>
              <w:right w:val="nil"/>
            </w:tcBorders>
          </w:tcPr>
          <w:p w14:paraId="284349EF" w14:textId="25F12204" w:rsidR="003678AB" w:rsidRPr="003E75E3" w:rsidRDefault="003678AB" w:rsidP="003678AB">
            <w:pPr>
              <w:pStyle w:val="TableText"/>
              <w:tabs>
                <w:tab w:val="left" w:pos="3306"/>
              </w:tabs>
              <w:spacing w:before="0"/>
              <w:ind w:left="210" w:hanging="210"/>
              <w:jc w:val="center"/>
              <w:rPr>
                <w:rFonts w:cs="Calibri"/>
              </w:rPr>
            </w:pPr>
          </w:p>
        </w:tc>
        <w:tc>
          <w:tcPr>
            <w:tcW w:w="329" w:type="pct"/>
            <w:tcBorders>
              <w:top w:val="nil"/>
              <w:left w:val="nil"/>
              <w:bottom w:val="nil"/>
              <w:right w:val="nil"/>
            </w:tcBorders>
          </w:tcPr>
          <w:p w14:paraId="24E874A0" w14:textId="57A67780" w:rsidR="003678AB" w:rsidRPr="003E75E3" w:rsidRDefault="003678AB" w:rsidP="003678AB">
            <w:pPr>
              <w:pStyle w:val="TableText"/>
              <w:tabs>
                <w:tab w:val="left" w:pos="3306"/>
              </w:tabs>
              <w:spacing w:before="0"/>
              <w:ind w:left="210" w:hanging="210"/>
              <w:jc w:val="center"/>
              <w:rPr>
                <w:rFonts w:cs="Calibri"/>
              </w:rPr>
            </w:pPr>
          </w:p>
        </w:tc>
        <w:tc>
          <w:tcPr>
            <w:tcW w:w="560" w:type="pct"/>
            <w:tcBorders>
              <w:top w:val="nil"/>
              <w:left w:val="nil"/>
              <w:bottom w:val="nil"/>
              <w:right w:val="nil"/>
            </w:tcBorders>
          </w:tcPr>
          <w:p w14:paraId="6BEE07F5" w14:textId="22F17A2A" w:rsidR="003678AB" w:rsidRPr="003E75E3" w:rsidRDefault="003678AB" w:rsidP="003678AB">
            <w:pPr>
              <w:pStyle w:val="TableText"/>
              <w:tabs>
                <w:tab w:val="left" w:pos="3306"/>
              </w:tabs>
              <w:spacing w:before="0"/>
              <w:ind w:left="210" w:hanging="210"/>
              <w:jc w:val="center"/>
              <w:rPr>
                <w:rFonts w:cs="Calibri"/>
              </w:rPr>
            </w:pPr>
          </w:p>
        </w:tc>
        <w:tc>
          <w:tcPr>
            <w:tcW w:w="373" w:type="pct"/>
            <w:tcBorders>
              <w:top w:val="nil"/>
              <w:left w:val="nil"/>
              <w:bottom w:val="nil"/>
              <w:right w:val="nil"/>
            </w:tcBorders>
          </w:tcPr>
          <w:p w14:paraId="5AF3936D" w14:textId="68890768" w:rsidR="003678AB" w:rsidRPr="003E75E3" w:rsidRDefault="003678AB" w:rsidP="003678AB">
            <w:pPr>
              <w:pStyle w:val="TableText"/>
              <w:tabs>
                <w:tab w:val="left" w:pos="3306"/>
              </w:tabs>
              <w:spacing w:before="0"/>
              <w:ind w:left="210" w:hanging="210"/>
              <w:jc w:val="center"/>
              <w:rPr>
                <w:rFonts w:cs="Calibri"/>
              </w:rPr>
            </w:pPr>
          </w:p>
        </w:tc>
        <w:tc>
          <w:tcPr>
            <w:tcW w:w="322" w:type="pct"/>
            <w:tcBorders>
              <w:top w:val="nil"/>
              <w:left w:val="nil"/>
              <w:bottom w:val="nil"/>
              <w:right w:val="nil"/>
            </w:tcBorders>
            <w:vAlign w:val="bottom"/>
          </w:tcPr>
          <w:p w14:paraId="759E8F73" w14:textId="6E876326" w:rsidR="003678AB" w:rsidRPr="003E75E3" w:rsidRDefault="003678AB" w:rsidP="003678AB">
            <w:pPr>
              <w:pStyle w:val="TableText"/>
              <w:tabs>
                <w:tab w:val="left" w:pos="3306"/>
              </w:tabs>
              <w:spacing w:before="0"/>
              <w:ind w:left="210" w:hanging="210"/>
              <w:jc w:val="center"/>
              <w:rPr>
                <w:rFonts w:cs="Calibri"/>
              </w:rPr>
            </w:pPr>
          </w:p>
        </w:tc>
      </w:tr>
      <w:tr w:rsidR="00E7206A" w:rsidRPr="00CF7E1B" w14:paraId="1AC866C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46CBF653"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9B5A5AC" w14:textId="695B302D"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Not Overdue</w:t>
            </w:r>
          </w:p>
        </w:tc>
        <w:tc>
          <w:tcPr>
            <w:tcW w:w="560" w:type="pct"/>
            <w:tcBorders>
              <w:top w:val="nil"/>
              <w:left w:val="nil"/>
              <w:bottom w:val="nil"/>
              <w:right w:val="nil"/>
            </w:tcBorders>
            <w:vAlign w:val="bottom"/>
          </w:tcPr>
          <w:p w14:paraId="68A170F4" w14:textId="5F134C73"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147726B2"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68C1D541" w14:textId="4471AC78"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4E09728" w14:textId="26781B73"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74790D8F" w14:textId="1A136399"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1DADE1D" w14:textId="387826E6"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0A4C5741" w14:textId="04CEF00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363478CE" w14:textId="25B4206A"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3A143D47" w14:textId="4D6BA8B8"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6B9750A"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000C1ED"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81C970A" w14:textId="000B00ED"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1-30 Days Past Due</w:t>
            </w:r>
          </w:p>
        </w:tc>
        <w:tc>
          <w:tcPr>
            <w:tcW w:w="560" w:type="pct"/>
            <w:tcBorders>
              <w:top w:val="nil"/>
              <w:left w:val="nil"/>
              <w:bottom w:val="nil"/>
              <w:right w:val="nil"/>
            </w:tcBorders>
            <w:vAlign w:val="bottom"/>
          </w:tcPr>
          <w:p w14:paraId="1BDB0A5D" w14:textId="0268CD45"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3D29604F"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1558E758" w14:textId="57F248AA"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D530D1C" w14:textId="6F1F0D94"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15005233" w14:textId="6713CAA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36ECD5EF" w14:textId="630A1624"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4A9A331" w14:textId="1487C066"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49DB1D43" w14:textId="2DBC1CCD"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77609E52" w14:textId="160B4823"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39CB916B"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79FC679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320147A" w14:textId="2970F344"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31-60 Days Past Due</w:t>
            </w:r>
          </w:p>
        </w:tc>
        <w:tc>
          <w:tcPr>
            <w:tcW w:w="560" w:type="pct"/>
            <w:tcBorders>
              <w:top w:val="nil"/>
              <w:left w:val="nil"/>
              <w:bottom w:val="nil"/>
              <w:right w:val="nil"/>
            </w:tcBorders>
            <w:vAlign w:val="bottom"/>
          </w:tcPr>
          <w:p w14:paraId="60BE84BA" w14:textId="09977C5A"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07F6CFCE"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D8F0F0D" w14:textId="04DA9022"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67413772" w14:textId="0EAFE91F"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60705955" w14:textId="762AE933"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59B3498" w14:textId="485E3050"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0EBA4D45" w14:textId="36D7F33D"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3E083FDD" w14:textId="1AE6438E"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28ECB75" w14:textId="75FE762B"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31D2A886"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8265B5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28A0AC4" w14:textId="17209E09"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61-90 Days Past Due</w:t>
            </w:r>
          </w:p>
        </w:tc>
        <w:tc>
          <w:tcPr>
            <w:tcW w:w="560" w:type="pct"/>
            <w:tcBorders>
              <w:top w:val="nil"/>
              <w:left w:val="nil"/>
              <w:bottom w:val="nil"/>
              <w:right w:val="nil"/>
            </w:tcBorders>
            <w:vAlign w:val="bottom"/>
          </w:tcPr>
          <w:p w14:paraId="64CBE0F6" w14:textId="138A4997"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7C821C73"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EFADC04" w14:textId="4FD80AD1"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29F17240" w14:textId="44410F75"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53578459" w14:textId="4BF8FC3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37223D2" w14:textId="511FFDC6"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6D0A526E" w14:textId="7E3D5EFE"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A26A593" w14:textId="1C3309C4"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68A54E0" w14:textId="5D86DF05"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9FFCDCE"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677C39A"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5B97A6A9" w14:textId="0F19D273" w:rsidR="00E7206A" w:rsidRPr="003E75E3" w:rsidRDefault="00E7206A" w:rsidP="00E7206A">
            <w:pPr>
              <w:pStyle w:val="TableText"/>
              <w:tabs>
                <w:tab w:val="left" w:pos="3306"/>
              </w:tabs>
              <w:spacing w:before="60"/>
              <w:ind w:left="210" w:hanging="210"/>
              <w:jc w:val="both"/>
              <w:rPr>
                <w:rFonts w:cs="Calibri"/>
                <w:bCs/>
              </w:rPr>
            </w:pPr>
            <w:r w:rsidRPr="003E75E3">
              <w:rPr>
                <w:rFonts w:cs="Calibri"/>
                <w:bCs/>
              </w:rPr>
              <w:t>&gt;91 Days Past Due</w:t>
            </w:r>
          </w:p>
        </w:tc>
        <w:tc>
          <w:tcPr>
            <w:tcW w:w="560" w:type="pct"/>
            <w:tcBorders>
              <w:top w:val="nil"/>
              <w:left w:val="nil"/>
              <w:bottom w:val="single" w:sz="4" w:space="0" w:color="auto"/>
              <w:right w:val="nil"/>
            </w:tcBorders>
            <w:vAlign w:val="bottom"/>
          </w:tcPr>
          <w:p w14:paraId="63E198AE" w14:textId="3B35D580"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single" w:sz="4" w:space="0" w:color="auto"/>
              <w:right w:val="nil"/>
            </w:tcBorders>
            <w:vAlign w:val="bottom"/>
          </w:tcPr>
          <w:p w14:paraId="60AB2BA4"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single" w:sz="4" w:space="0" w:color="auto"/>
              <w:right w:val="nil"/>
            </w:tcBorders>
            <w:vAlign w:val="bottom"/>
          </w:tcPr>
          <w:p w14:paraId="036AD73E" w14:textId="2E23E30C"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single" w:sz="4" w:space="0" w:color="auto"/>
              <w:right w:val="nil"/>
            </w:tcBorders>
          </w:tcPr>
          <w:p w14:paraId="002AC78A" w14:textId="48D73721"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single" w:sz="4" w:space="0" w:color="auto"/>
              <w:right w:val="nil"/>
            </w:tcBorders>
          </w:tcPr>
          <w:p w14:paraId="5F74170F" w14:textId="2EB8BCAB"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single" w:sz="4" w:space="0" w:color="auto"/>
              <w:right w:val="nil"/>
            </w:tcBorders>
          </w:tcPr>
          <w:p w14:paraId="314825A1" w14:textId="5F7D27FE"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single" w:sz="4" w:space="0" w:color="auto"/>
              <w:right w:val="nil"/>
            </w:tcBorders>
          </w:tcPr>
          <w:p w14:paraId="3F3FE625" w14:textId="1CD4F859"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single" w:sz="4" w:space="0" w:color="auto"/>
              <w:right w:val="nil"/>
            </w:tcBorders>
          </w:tcPr>
          <w:p w14:paraId="4BE0CDC5" w14:textId="400948F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single" w:sz="4" w:space="0" w:color="auto"/>
              <w:right w:val="nil"/>
            </w:tcBorders>
            <w:vAlign w:val="bottom"/>
          </w:tcPr>
          <w:p w14:paraId="21B62A04" w14:textId="57AABB50"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DE5F30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3FC96E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6C370F8F" w14:textId="55DE142B" w:rsidR="00E7206A" w:rsidRPr="003E75E3" w:rsidRDefault="00E7206A" w:rsidP="00E7206A">
            <w:pPr>
              <w:pStyle w:val="TableText"/>
              <w:tabs>
                <w:tab w:val="left" w:pos="3306"/>
              </w:tabs>
              <w:spacing w:before="60"/>
              <w:ind w:left="210" w:hanging="210"/>
              <w:jc w:val="both"/>
              <w:rPr>
                <w:rFonts w:cs="Calibri"/>
                <w:b/>
                <w:bCs/>
              </w:rPr>
            </w:pPr>
            <w:r w:rsidRPr="003E75E3">
              <w:rPr>
                <w:rFonts w:cs="Calibri"/>
                <w:b/>
              </w:rPr>
              <w:t>Total</w:t>
            </w:r>
          </w:p>
        </w:tc>
        <w:tc>
          <w:tcPr>
            <w:tcW w:w="560" w:type="pct"/>
            <w:tcBorders>
              <w:top w:val="single" w:sz="4" w:space="0" w:color="auto"/>
              <w:left w:val="nil"/>
              <w:bottom w:val="double" w:sz="4" w:space="0" w:color="auto"/>
              <w:right w:val="nil"/>
            </w:tcBorders>
            <w:vAlign w:val="bottom"/>
          </w:tcPr>
          <w:p w14:paraId="175CDEC2"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vAlign w:val="bottom"/>
          </w:tcPr>
          <w:p w14:paraId="60DA6B0D"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single" w:sz="4" w:space="0" w:color="auto"/>
              <w:left w:val="nil"/>
              <w:bottom w:val="double" w:sz="4" w:space="0" w:color="auto"/>
              <w:right w:val="nil"/>
            </w:tcBorders>
            <w:vAlign w:val="bottom"/>
          </w:tcPr>
          <w:p w14:paraId="2BDDC362"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single" w:sz="4" w:space="0" w:color="auto"/>
              <w:left w:val="nil"/>
              <w:bottom w:val="double" w:sz="4" w:space="0" w:color="auto"/>
              <w:right w:val="nil"/>
            </w:tcBorders>
          </w:tcPr>
          <w:p w14:paraId="17E148BB" w14:textId="34D0085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tcPr>
          <w:p w14:paraId="00594ACE" w14:textId="04359D54"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single" w:sz="4" w:space="0" w:color="auto"/>
              <w:left w:val="nil"/>
              <w:bottom w:val="double" w:sz="4" w:space="0" w:color="auto"/>
              <w:right w:val="nil"/>
            </w:tcBorders>
          </w:tcPr>
          <w:p w14:paraId="04E503D4" w14:textId="03A587D9"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single" w:sz="4" w:space="0" w:color="auto"/>
              <w:left w:val="nil"/>
              <w:bottom w:val="double" w:sz="4" w:space="0" w:color="auto"/>
              <w:right w:val="nil"/>
            </w:tcBorders>
          </w:tcPr>
          <w:p w14:paraId="1BD201ED" w14:textId="37D86D4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single" w:sz="4" w:space="0" w:color="auto"/>
              <w:left w:val="nil"/>
              <w:bottom w:val="double" w:sz="4" w:space="0" w:color="auto"/>
              <w:right w:val="nil"/>
            </w:tcBorders>
          </w:tcPr>
          <w:p w14:paraId="40A5E8C4" w14:textId="116CF3CF"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single" w:sz="4" w:space="0" w:color="auto"/>
              <w:left w:val="nil"/>
              <w:bottom w:val="double" w:sz="4" w:space="0" w:color="auto"/>
              <w:right w:val="nil"/>
            </w:tcBorders>
            <w:vAlign w:val="bottom"/>
          </w:tcPr>
          <w:p w14:paraId="3649C2DE" w14:textId="0A42D304"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754A9518"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13007E0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14EEB08D" w14:textId="77777777" w:rsidR="00E7206A" w:rsidRPr="003E75E3" w:rsidRDefault="00E7206A" w:rsidP="00E7206A">
            <w:pPr>
              <w:pStyle w:val="TableText"/>
              <w:tabs>
                <w:tab w:val="left" w:pos="3306"/>
              </w:tabs>
              <w:spacing w:before="0"/>
              <w:ind w:left="210" w:hanging="210"/>
              <w:jc w:val="both"/>
              <w:rPr>
                <w:rFonts w:cs="Calibri"/>
                <w:b/>
                <w:bCs/>
              </w:rPr>
            </w:pPr>
          </w:p>
        </w:tc>
        <w:tc>
          <w:tcPr>
            <w:tcW w:w="560" w:type="pct"/>
            <w:tcBorders>
              <w:top w:val="double" w:sz="4" w:space="0" w:color="auto"/>
              <w:left w:val="nil"/>
              <w:bottom w:val="nil"/>
              <w:right w:val="nil"/>
            </w:tcBorders>
            <w:vAlign w:val="bottom"/>
          </w:tcPr>
          <w:p w14:paraId="23F7CFF1"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double" w:sz="4" w:space="0" w:color="auto"/>
              <w:left w:val="nil"/>
              <w:bottom w:val="nil"/>
              <w:right w:val="nil"/>
            </w:tcBorders>
            <w:vAlign w:val="bottom"/>
          </w:tcPr>
          <w:p w14:paraId="74F1054C"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double" w:sz="4" w:space="0" w:color="auto"/>
              <w:left w:val="nil"/>
              <w:bottom w:val="nil"/>
              <w:right w:val="nil"/>
            </w:tcBorders>
            <w:vAlign w:val="bottom"/>
          </w:tcPr>
          <w:p w14:paraId="30982B96"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double" w:sz="4" w:space="0" w:color="auto"/>
              <w:left w:val="nil"/>
              <w:bottom w:val="nil"/>
              <w:right w:val="nil"/>
            </w:tcBorders>
          </w:tcPr>
          <w:p w14:paraId="4FFEEE79" w14:textId="759D5A25"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double" w:sz="4" w:space="0" w:color="auto"/>
              <w:left w:val="nil"/>
              <w:bottom w:val="nil"/>
              <w:right w:val="nil"/>
            </w:tcBorders>
          </w:tcPr>
          <w:p w14:paraId="590E15F8" w14:textId="38AFEC09"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double" w:sz="4" w:space="0" w:color="auto"/>
              <w:left w:val="nil"/>
              <w:bottom w:val="nil"/>
              <w:right w:val="nil"/>
            </w:tcBorders>
          </w:tcPr>
          <w:p w14:paraId="3D3D1983" w14:textId="7C97726F"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double" w:sz="4" w:space="0" w:color="auto"/>
              <w:left w:val="nil"/>
              <w:bottom w:val="nil"/>
              <w:right w:val="nil"/>
            </w:tcBorders>
          </w:tcPr>
          <w:p w14:paraId="46CC6D6D" w14:textId="60D096FC"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double" w:sz="4" w:space="0" w:color="auto"/>
              <w:left w:val="nil"/>
              <w:bottom w:val="nil"/>
              <w:right w:val="nil"/>
            </w:tcBorders>
          </w:tcPr>
          <w:p w14:paraId="12CE2709" w14:textId="62A09DA3"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double" w:sz="4" w:space="0" w:color="auto"/>
              <w:left w:val="nil"/>
              <w:bottom w:val="nil"/>
              <w:right w:val="nil"/>
            </w:tcBorders>
            <w:vAlign w:val="bottom"/>
          </w:tcPr>
          <w:p w14:paraId="5D653004" w14:textId="37DF7667"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4755229D"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899E574"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3046F28" w14:textId="6084099D" w:rsidR="00E7206A" w:rsidRPr="003E75E3" w:rsidRDefault="00E7206A" w:rsidP="00E7206A">
            <w:pPr>
              <w:pStyle w:val="TableText"/>
              <w:tabs>
                <w:tab w:val="left" w:pos="3306"/>
              </w:tabs>
              <w:spacing w:before="0"/>
              <w:ind w:left="210" w:hanging="210"/>
              <w:jc w:val="both"/>
              <w:rPr>
                <w:rFonts w:cs="Calibri"/>
                <w:b/>
                <w:bCs/>
              </w:rPr>
            </w:pPr>
            <w:r w:rsidRPr="003E75E3">
              <w:rPr>
                <w:rFonts w:cs="Calibri"/>
                <w:b/>
              </w:rPr>
              <w:t>30 June 2021</w:t>
            </w:r>
          </w:p>
        </w:tc>
        <w:tc>
          <w:tcPr>
            <w:tcW w:w="560" w:type="pct"/>
            <w:tcBorders>
              <w:top w:val="nil"/>
              <w:left w:val="nil"/>
              <w:bottom w:val="nil"/>
              <w:right w:val="nil"/>
            </w:tcBorders>
            <w:vAlign w:val="bottom"/>
          </w:tcPr>
          <w:p w14:paraId="5C29071B"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vAlign w:val="bottom"/>
          </w:tcPr>
          <w:p w14:paraId="2D026BC8"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49B6D484"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2414E1BA" w14:textId="58CCF3E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65A7F322" w14:textId="020F67FC"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2103CD57" w14:textId="0C6DA6E2"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1F9DE302" w14:textId="6C0899DE"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617DC06" w14:textId="2B8EC81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0EDA163" w14:textId="09BC410A"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27906AF7"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4C4E9C9"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7149A892" w14:textId="3115EE01"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Not Overdue</w:t>
            </w:r>
          </w:p>
        </w:tc>
        <w:tc>
          <w:tcPr>
            <w:tcW w:w="560" w:type="pct"/>
            <w:tcBorders>
              <w:top w:val="nil"/>
              <w:left w:val="nil"/>
              <w:bottom w:val="nil"/>
              <w:right w:val="nil"/>
            </w:tcBorders>
            <w:vAlign w:val="bottom"/>
          </w:tcPr>
          <w:p w14:paraId="31D4E01A" w14:textId="1B4C6E2D"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4EA6110C"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55B9E5E2" w14:textId="31CA0526"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1C78E107" w14:textId="0603AABE"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37E9518A" w14:textId="5024525F"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7567774B" w14:textId="772740AE"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06114C7" w14:textId="29E9477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11CB637A" w14:textId="071A8B5D"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3E8DDC3" w14:textId="2C609F48"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1BD1732F"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B4ECD7B"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592DB0E3" w14:textId="4C934724"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1-30 Days Past Due</w:t>
            </w:r>
          </w:p>
        </w:tc>
        <w:tc>
          <w:tcPr>
            <w:tcW w:w="560" w:type="pct"/>
            <w:tcBorders>
              <w:top w:val="nil"/>
              <w:left w:val="nil"/>
              <w:bottom w:val="nil"/>
              <w:right w:val="nil"/>
            </w:tcBorders>
            <w:vAlign w:val="bottom"/>
          </w:tcPr>
          <w:p w14:paraId="48E7E010" w14:textId="5E2B67E6" w:rsidR="00E7206A" w:rsidRPr="003E75E3" w:rsidRDefault="00E7206A" w:rsidP="00E7206A">
            <w:pPr>
              <w:pStyle w:val="TableText"/>
              <w:tabs>
                <w:tab w:val="left" w:pos="3306"/>
              </w:tabs>
              <w:spacing w:before="0"/>
              <w:ind w:left="210" w:hanging="210"/>
              <w:jc w:val="center"/>
              <w:rPr>
                <w:rFonts w:cs="Calibri"/>
                <w:b/>
                <w:strike/>
              </w:rPr>
            </w:pPr>
          </w:p>
        </w:tc>
        <w:tc>
          <w:tcPr>
            <w:tcW w:w="374" w:type="pct"/>
            <w:tcBorders>
              <w:top w:val="nil"/>
              <w:left w:val="nil"/>
              <w:bottom w:val="nil"/>
              <w:right w:val="nil"/>
            </w:tcBorders>
            <w:vAlign w:val="bottom"/>
          </w:tcPr>
          <w:p w14:paraId="028B995D"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51C3BDF2" w14:textId="2E3448B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73FEDE8D" w14:textId="57B4E50B"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07D7B594" w14:textId="645D8D34"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66736120" w14:textId="0CE9FE91"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4DDE7629" w14:textId="1D587B00"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0DE63D3B" w14:textId="4766CD4A"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40872634" w14:textId="42B3FC63"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7746494"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64A79131"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0B79EB3B" w14:textId="2A9030FE"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31-60 Days Past Due</w:t>
            </w:r>
          </w:p>
        </w:tc>
        <w:tc>
          <w:tcPr>
            <w:tcW w:w="560" w:type="pct"/>
            <w:tcBorders>
              <w:top w:val="nil"/>
              <w:left w:val="nil"/>
              <w:bottom w:val="nil"/>
              <w:right w:val="nil"/>
            </w:tcBorders>
            <w:vAlign w:val="bottom"/>
          </w:tcPr>
          <w:p w14:paraId="5F41F586" w14:textId="423DBB32"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0074ED46"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01D4C5C4" w14:textId="26D65A04"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652F4091" w14:textId="5D5ADCC8"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1984A66C" w14:textId="13ACBF30"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10337EA2" w14:textId="795DAB61"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2D32CDFB" w14:textId="7361F651"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0DAC738B" w14:textId="6A67DA69"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20BF56DF" w14:textId="54C7BD0D"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603DB62F"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2B0BC309"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7D45F114" w14:textId="78B45B9C"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61-90 Days Past Due</w:t>
            </w:r>
          </w:p>
        </w:tc>
        <w:tc>
          <w:tcPr>
            <w:tcW w:w="560" w:type="pct"/>
            <w:tcBorders>
              <w:top w:val="nil"/>
              <w:left w:val="nil"/>
              <w:bottom w:val="nil"/>
              <w:right w:val="nil"/>
            </w:tcBorders>
            <w:vAlign w:val="bottom"/>
          </w:tcPr>
          <w:p w14:paraId="7F3E9109" w14:textId="5543426E"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nil"/>
              <w:right w:val="nil"/>
            </w:tcBorders>
            <w:vAlign w:val="bottom"/>
          </w:tcPr>
          <w:p w14:paraId="1E4F0161"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nil"/>
              <w:right w:val="nil"/>
            </w:tcBorders>
            <w:vAlign w:val="bottom"/>
          </w:tcPr>
          <w:p w14:paraId="3AF100FC" w14:textId="08481483"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nil"/>
              <w:right w:val="nil"/>
            </w:tcBorders>
          </w:tcPr>
          <w:p w14:paraId="32AD3C51" w14:textId="5AB3B343"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nil"/>
              <w:right w:val="nil"/>
            </w:tcBorders>
          </w:tcPr>
          <w:p w14:paraId="0F3A0F8D" w14:textId="60CCFA5A"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nil"/>
              <w:right w:val="nil"/>
            </w:tcBorders>
          </w:tcPr>
          <w:p w14:paraId="361A8587" w14:textId="10F12C38"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nil"/>
              <w:right w:val="nil"/>
            </w:tcBorders>
          </w:tcPr>
          <w:p w14:paraId="675DB4FC" w14:textId="228DD469"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nil"/>
              <w:right w:val="nil"/>
            </w:tcBorders>
          </w:tcPr>
          <w:p w14:paraId="4A0AFFE3" w14:textId="1114D5E0"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nil"/>
              <w:right w:val="nil"/>
            </w:tcBorders>
            <w:vAlign w:val="bottom"/>
          </w:tcPr>
          <w:p w14:paraId="57F4AA7F" w14:textId="2BD94A7A"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58184850"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0A52CCDE"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258A23DC" w14:textId="58003BB5" w:rsidR="00E7206A" w:rsidRPr="003E75E3" w:rsidRDefault="00E7206A" w:rsidP="00E7206A">
            <w:pPr>
              <w:pStyle w:val="TableText"/>
              <w:tabs>
                <w:tab w:val="left" w:pos="3306"/>
              </w:tabs>
              <w:spacing w:before="60"/>
              <w:ind w:left="210" w:hanging="210"/>
              <w:jc w:val="both"/>
              <w:rPr>
                <w:rFonts w:cs="Calibri"/>
                <w:b/>
                <w:bCs/>
              </w:rPr>
            </w:pPr>
            <w:r w:rsidRPr="003E75E3">
              <w:rPr>
                <w:rFonts w:cs="Calibri"/>
                <w:bCs/>
              </w:rPr>
              <w:t>&gt;91 Days Past Due</w:t>
            </w:r>
          </w:p>
        </w:tc>
        <w:tc>
          <w:tcPr>
            <w:tcW w:w="560" w:type="pct"/>
            <w:tcBorders>
              <w:top w:val="nil"/>
              <w:left w:val="nil"/>
              <w:bottom w:val="single" w:sz="4" w:space="0" w:color="auto"/>
              <w:right w:val="nil"/>
            </w:tcBorders>
            <w:vAlign w:val="bottom"/>
          </w:tcPr>
          <w:p w14:paraId="3F8E8624" w14:textId="10586AED" w:rsidR="00E7206A" w:rsidRPr="003E75E3" w:rsidRDefault="00E7206A" w:rsidP="00E7206A">
            <w:pPr>
              <w:pStyle w:val="TableText"/>
              <w:tabs>
                <w:tab w:val="left" w:pos="3306"/>
              </w:tabs>
              <w:spacing w:before="0"/>
              <w:ind w:left="210" w:hanging="210"/>
              <w:jc w:val="center"/>
              <w:rPr>
                <w:rFonts w:cs="Calibri"/>
                <w:bCs/>
                <w:strike/>
              </w:rPr>
            </w:pPr>
          </w:p>
        </w:tc>
        <w:tc>
          <w:tcPr>
            <w:tcW w:w="374" w:type="pct"/>
            <w:tcBorders>
              <w:top w:val="nil"/>
              <w:left w:val="nil"/>
              <w:bottom w:val="single" w:sz="4" w:space="0" w:color="auto"/>
              <w:right w:val="nil"/>
            </w:tcBorders>
            <w:vAlign w:val="bottom"/>
          </w:tcPr>
          <w:p w14:paraId="59BCD709"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nil"/>
              <w:left w:val="nil"/>
              <w:bottom w:val="single" w:sz="4" w:space="0" w:color="auto"/>
              <w:right w:val="nil"/>
            </w:tcBorders>
            <w:vAlign w:val="bottom"/>
          </w:tcPr>
          <w:p w14:paraId="356D0079" w14:textId="50479CE3"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nil"/>
              <w:left w:val="nil"/>
              <w:bottom w:val="single" w:sz="4" w:space="0" w:color="auto"/>
              <w:right w:val="nil"/>
            </w:tcBorders>
          </w:tcPr>
          <w:p w14:paraId="1A8AB894" w14:textId="4ABFA6C0"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nil"/>
              <w:left w:val="nil"/>
              <w:bottom w:val="single" w:sz="4" w:space="0" w:color="auto"/>
              <w:right w:val="nil"/>
            </w:tcBorders>
          </w:tcPr>
          <w:p w14:paraId="011092FE" w14:textId="3AEFBF4D"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nil"/>
              <w:left w:val="nil"/>
              <w:bottom w:val="single" w:sz="4" w:space="0" w:color="auto"/>
              <w:right w:val="nil"/>
            </w:tcBorders>
          </w:tcPr>
          <w:p w14:paraId="2A539395" w14:textId="41735855"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nil"/>
              <w:left w:val="nil"/>
              <w:bottom w:val="single" w:sz="4" w:space="0" w:color="auto"/>
              <w:right w:val="nil"/>
            </w:tcBorders>
          </w:tcPr>
          <w:p w14:paraId="250344F4" w14:textId="32816D87"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nil"/>
              <w:left w:val="nil"/>
              <w:bottom w:val="single" w:sz="4" w:space="0" w:color="auto"/>
              <w:right w:val="nil"/>
            </w:tcBorders>
          </w:tcPr>
          <w:p w14:paraId="7476824B" w14:textId="10F513BF"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nil"/>
              <w:left w:val="nil"/>
              <w:bottom w:val="single" w:sz="4" w:space="0" w:color="auto"/>
              <w:right w:val="nil"/>
            </w:tcBorders>
            <w:vAlign w:val="bottom"/>
          </w:tcPr>
          <w:p w14:paraId="3C926ACE" w14:textId="230791F1" w:rsidR="00E7206A" w:rsidRPr="003E75E3" w:rsidRDefault="00E7206A" w:rsidP="00E7206A">
            <w:pPr>
              <w:pStyle w:val="TableText"/>
              <w:tabs>
                <w:tab w:val="left" w:pos="3306"/>
              </w:tabs>
              <w:spacing w:before="0"/>
              <w:ind w:left="210" w:hanging="210"/>
              <w:jc w:val="center"/>
              <w:rPr>
                <w:rFonts w:cs="Calibri"/>
                <w:b/>
              </w:rPr>
            </w:pPr>
          </w:p>
        </w:tc>
      </w:tr>
      <w:tr w:rsidR="00E7206A" w:rsidRPr="00CF7E1B" w14:paraId="21CF943B" w14:textId="77777777" w:rsidTr="005F5B4C">
        <w:trPr>
          <w:gridAfter w:val="1"/>
          <w:wAfter w:w="6" w:type="pct"/>
          <w:cantSplit/>
          <w:trHeight w:val="23"/>
        </w:trPr>
        <w:tc>
          <w:tcPr>
            <w:tcW w:w="499" w:type="pct"/>
            <w:tcBorders>
              <w:top w:val="nil"/>
              <w:left w:val="single" w:sz="2" w:space="0" w:color="auto"/>
              <w:bottom w:val="nil"/>
              <w:right w:val="single" w:sz="2" w:space="0" w:color="auto"/>
            </w:tcBorders>
          </w:tcPr>
          <w:p w14:paraId="3A7F6515" w14:textId="77777777" w:rsidR="00E7206A" w:rsidRPr="003E75E3" w:rsidRDefault="00E7206A" w:rsidP="00E7206A">
            <w:pPr>
              <w:pStyle w:val="TableReference"/>
              <w:tabs>
                <w:tab w:val="left" w:pos="3306"/>
              </w:tabs>
              <w:spacing w:before="40"/>
              <w:rPr>
                <w:rFonts w:cs="Calibri"/>
                <w:color w:val="7030A0"/>
                <w:sz w:val="14"/>
              </w:rPr>
            </w:pPr>
          </w:p>
        </w:tc>
        <w:tc>
          <w:tcPr>
            <w:tcW w:w="717" w:type="pct"/>
            <w:tcBorders>
              <w:top w:val="nil"/>
              <w:left w:val="single" w:sz="2" w:space="0" w:color="auto"/>
              <w:bottom w:val="nil"/>
              <w:right w:val="nil"/>
            </w:tcBorders>
            <w:vAlign w:val="bottom"/>
          </w:tcPr>
          <w:p w14:paraId="4455AE25" w14:textId="2C19FC9C" w:rsidR="00E7206A" w:rsidRPr="003E75E3" w:rsidRDefault="00E7206A" w:rsidP="00E7206A">
            <w:pPr>
              <w:pStyle w:val="TableText"/>
              <w:tabs>
                <w:tab w:val="left" w:pos="3306"/>
              </w:tabs>
              <w:spacing w:before="60"/>
              <w:ind w:left="210" w:hanging="210"/>
              <w:jc w:val="both"/>
              <w:rPr>
                <w:rFonts w:cs="Calibri"/>
                <w:b/>
                <w:bCs/>
              </w:rPr>
            </w:pPr>
            <w:r w:rsidRPr="003E75E3">
              <w:rPr>
                <w:rFonts w:cs="Calibri"/>
                <w:b/>
              </w:rPr>
              <w:t>Total</w:t>
            </w:r>
          </w:p>
        </w:tc>
        <w:tc>
          <w:tcPr>
            <w:tcW w:w="560" w:type="pct"/>
            <w:tcBorders>
              <w:top w:val="single" w:sz="4" w:space="0" w:color="auto"/>
              <w:left w:val="nil"/>
              <w:bottom w:val="double" w:sz="4" w:space="0" w:color="auto"/>
              <w:right w:val="nil"/>
            </w:tcBorders>
            <w:vAlign w:val="bottom"/>
          </w:tcPr>
          <w:p w14:paraId="2606A147" w14:textId="77777777"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vAlign w:val="bottom"/>
          </w:tcPr>
          <w:p w14:paraId="6765E07B" w14:textId="77777777" w:rsidR="00E7206A" w:rsidRPr="003E75E3" w:rsidRDefault="00E7206A" w:rsidP="00E7206A">
            <w:pPr>
              <w:pStyle w:val="TableText"/>
              <w:tabs>
                <w:tab w:val="left" w:pos="3306"/>
              </w:tabs>
              <w:spacing w:before="0"/>
              <w:ind w:left="210" w:hanging="210"/>
              <w:jc w:val="center"/>
              <w:rPr>
                <w:rFonts w:cs="Calibri"/>
                <w:b/>
              </w:rPr>
            </w:pPr>
          </w:p>
        </w:tc>
        <w:tc>
          <w:tcPr>
            <w:tcW w:w="327" w:type="pct"/>
            <w:tcBorders>
              <w:top w:val="single" w:sz="4" w:space="0" w:color="auto"/>
              <w:left w:val="nil"/>
              <w:bottom w:val="double" w:sz="4" w:space="0" w:color="auto"/>
              <w:right w:val="nil"/>
            </w:tcBorders>
          </w:tcPr>
          <w:p w14:paraId="77BCCFE0" w14:textId="77777777" w:rsidR="00E7206A" w:rsidRPr="003E75E3" w:rsidRDefault="00E7206A" w:rsidP="00E7206A">
            <w:pPr>
              <w:pStyle w:val="TableText"/>
              <w:tabs>
                <w:tab w:val="left" w:pos="3306"/>
              </w:tabs>
              <w:spacing w:before="0"/>
              <w:ind w:left="210" w:hanging="210"/>
              <w:jc w:val="center"/>
              <w:rPr>
                <w:rFonts w:cs="Calibri"/>
                <w:b/>
              </w:rPr>
            </w:pPr>
          </w:p>
        </w:tc>
        <w:tc>
          <w:tcPr>
            <w:tcW w:w="559" w:type="pct"/>
            <w:tcBorders>
              <w:top w:val="single" w:sz="4" w:space="0" w:color="auto"/>
              <w:left w:val="nil"/>
              <w:bottom w:val="double" w:sz="4" w:space="0" w:color="auto"/>
              <w:right w:val="nil"/>
            </w:tcBorders>
          </w:tcPr>
          <w:p w14:paraId="2E7F9EF6" w14:textId="31B7EAF0" w:rsidR="00E7206A" w:rsidRPr="003E75E3" w:rsidRDefault="00E7206A" w:rsidP="00E7206A">
            <w:pPr>
              <w:pStyle w:val="TableText"/>
              <w:tabs>
                <w:tab w:val="left" w:pos="3306"/>
              </w:tabs>
              <w:spacing w:before="0"/>
              <w:ind w:left="210" w:hanging="210"/>
              <w:jc w:val="center"/>
              <w:rPr>
                <w:rFonts w:cs="Calibri"/>
                <w:b/>
              </w:rPr>
            </w:pPr>
          </w:p>
        </w:tc>
        <w:tc>
          <w:tcPr>
            <w:tcW w:w="374" w:type="pct"/>
            <w:tcBorders>
              <w:top w:val="single" w:sz="4" w:space="0" w:color="auto"/>
              <w:left w:val="nil"/>
              <w:bottom w:val="double" w:sz="4" w:space="0" w:color="auto"/>
              <w:right w:val="nil"/>
            </w:tcBorders>
          </w:tcPr>
          <w:p w14:paraId="0628071E" w14:textId="56D7C3CE" w:rsidR="00E7206A" w:rsidRPr="003E75E3" w:rsidRDefault="00E7206A" w:rsidP="00E7206A">
            <w:pPr>
              <w:pStyle w:val="TableText"/>
              <w:tabs>
                <w:tab w:val="left" w:pos="3306"/>
              </w:tabs>
              <w:spacing w:before="0"/>
              <w:ind w:left="210" w:hanging="210"/>
              <w:jc w:val="center"/>
              <w:rPr>
                <w:rFonts w:cs="Calibri"/>
                <w:b/>
              </w:rPr>
            </w:pPr>
          </w:p>
        </w:tc>
        <w:tc>
          <w:tcPr>
            <w:tcW w:w="329" w:type="pct"/>
            <w:tcBorders>
              <w:top w:val="single" w:sz="4" w:space="0" w:color="auto"/>
              <w:left w:val="nil"/>
              <w:bottom w:val="double" w:sz="4" w:space="0" w:color="auto"/>
              <w:right w:val="nil"/>
            </w:tcBorders>
          </w:tcPr>
          <w:p w14:paraId="4BFABDB2" w14:textId="73E3D324" w:rsidR="00E7206A" w:rsidRPr="003E75E3" w:rsidRDefault="00E7206A" w:rsidP="00E7206A">
            <w:pPr>
              <w:pStyle w:val="TableText"/>
              <w:tabs>
                <w:tab w:val="left" w:pos="3306"/>
              </w:tabs>
              <w:spacing w:before="0"/>
              <w:ind w:left="210" w:hanging="210"/>
              <w:jc w:val="center"/>
              <w:rPr>
                <w:rFonts w:cs="Calibri"/>
                <w:b/>
              </w:rPr>
            </w:pPr>
          </w:p>
        </w:tc>
        <w:tc>
          <w:tcPr>
            <w:tcW w:w="560" w:type="pct"/>
            <w:tcBorders>
              <w:top w:val="single" w:sz="4" w:space="0" w:color="auto"/>
              <w:left w:val="nil"/>
              <w:bottom w:val="double" w:sz="4" w:space="0" w:color="auto"/>
              <w:right w:val="nil"/>
            </w:tcBorders>
          </w:tcPr>
          <w:p w14:paraId="04AD5C37" w14:textId="6351962A" w:rsidR="00E7206A" w:rsidRPr="003E75E3" w:rsidRDefault="00E7206A" w:rsidP="00E7206A">
            <w:pPr>
              <w:pStyle w:val="TableText"/>
              <w:tabs>
                <w:tab w:val="left" w:pos="3306"/>
              </w:tabs>
              <w:spacing w:before="0"/>
              <w:ind w:left="210" w:hanging="210"/>
              <w:jc w:val="center"/>
              <w:rPr>
                <w:rFonts w:cs="Calibri"/>
                <w:b/>
              </w:rPr>
            </w:pPr>
          </w:p>
        </w:tc>
        <w:tc>
          <w:tcPr>
            <w:tcW w:w="373" w:type="pct"/>
            <w:tcBorders>
              <w:top w:val="single" w:sz="4" w:space="0" w:color="auto"/>
              <w:left w:val="nil"/>
              <w:bottom w:val="double" w:sz="4" w:space="0" w:color="auto"/>
              <w:right w:val="nil"/>
            </w:tcBorders>
          </w:tcPr>
          <w:p w14:paraId="79CF3F36" w14:textId="097911D2" w:rsidR="00E7206A" w:rsidRPr="003E75E3" w:rsidRDefault="00E7206A" w:rsidP="00E7206A">
            <w:pPr>
              <w:pStyle w:val="TableText"/>
              <w:tabs>
                <w:tab w:val="left" w:pos="3306"/>
              </w:tabs>
              <w:spacing w:before="0"/>
              <w:ind w:left="210" w:hanging="210"/>
              <w:jc w:val="center"/>
              <w:rPr>
                <w:rFonts w:cs="Calibri"/>
                <w:b/>
              </w:rPr>
            </w:pPr>
          </w:p>
        </w:tc>
        <w:tc>
          <w:tcPr>
            <w:tcW w:w="322" w:type="pct"/>
            <w:tcBorders>
              <w:top w:val="single" w:sz="4" w:space="0" w:color="auto"/>
              <w:left w:val="nil"/>
              <w:bottom w:val="double" w:sz="4" w:space="0" w:color="auto"/>
              <w:right w:val="nil"/>
            </w:tcBorders>
            <w:vAlign w:val="bottom"/>
          </w:tcPr>
          <w:p w14:paraId="4A61B7A8" w14:textId="01717CD9" w:rsidR="00E7206A" w:rsidRPr="003E75E3" w:rsidRDefault="00E7206A" w:rsidP="00E7206A">
            <w:pPr>
              <w:pStyle w:val="TableText"/>
              <w:tabs>
                <w:tab w:val="left" w:pos="3306"/>
              </w:tabs>
              <w:spacing w:before="0"/>
              <w:ind w:left="210" w:hanging="210"/>
              <w:jc w:val="center"/>
              <w:rPr>
                <w:rFonts w:cs="Calibri"/>
                <w:b/>
              </w:rPr>
            </w:pPr>
          </w:p>
        </w:tc>
      </w:tr>
    </w:tbl>
    <w:p w14:paraId="1F7159AE" w14:textId="5A8A3084" w:rsidR="00101A49" w:rsidRDefault="00101A49"/>
    <w:p w14:paraId="02741CA9" w14:textId="3B7C37AB" w:rsidR="00101A49" w:rsidRDefault="00101A49"/>
    <w:p w14:paraId="27705E69" w14:textId="1CE2B0F9" w:rsidR="00101A49" w:rsidRDefault="00101A49"/>
    <w:p w14:paraId="4BE0A20E" w14:textId="77777777" w:rsidR="00101A49" w:rsidRDefault="00101A49">
      <w:pPr>
        <w:sectPr w:rsidR="00101A49" w:rsidSect="00101A49">
          <w:footnotePr>
            <w:numRestart w:val="eachPage"/>
          </w:footnotePr>
          <w:pgSz w:w="16840" w:h="11907" w:orient="landscape" w:code="9"/>
          <w:pgMar w:top="680" w:right="1134" w:bottom="992" w:left="567" w:header="425" w:footer="720" w:gutter="0"/>
          <w:cols w:space="720"/>
          <w:docGrid w:linePitch="299"/>
        </w:sectPr>
      </w:pPr>
    </w:p>
    <w:tbl>
      <w:tblPr>
        <w:tblW w:w="518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6265"/>
        <w:gridCol w:w="1132"/>
        <w:gridCol w:w="1533"/>
        <w:gridCol w:w="125"/>
      </w:tblGrid>
      <w:tr w:rsidR="003E75E3" w:rsidRPr="003E75E3" w14:paraId="4B362702" w14:textId="77777777" w:rsidTr="005F5B4C">
        <w:trPr>
          <w:gridAfter w:val="1"/>
          <w:wAfter w:w="59" w:type="pct"/>
          <w:cantSplit/>
          <w:trHeight w:val="187"/>
        </w:trPr>
        <w:tc>
          <w:tcPr>
            <w:tcW w:w="736" w:type="pct"/>
            <w:tcBorders>
              <w:top w:val="nil"/>
              <w:left w:val="single" w:sz="2" w:space="0" w:color="auto"/>
              <w:bottom w:val="nil"/>
              <w:right w:val="single" w:sz="2" w:space="0" w:color="auto"/>
            </w:tcBorders>
          </w:tcPr>
          <w:p w14:paraId="50F3190C" w14:textId="491B4C51" w:rsidR="005C2C7A" w:rsidRPr="003E75E3" w:rsidRDefault="005C2C7A" w:rsidP="005C2C7A">
            <w:pPr>
              <w:pStyle w:val="TableReference"/>
              <w:tabs>
                <w:tab w:val="left" w:pos="3306"/>
              </w:tabs>
              <w:spacing w:before="240" w:after="240"/>
              <w:rPr>
                <w:rFonts w:cs="Calibri"/>
                <w:b/>
                <w:color w:val="7030A0"/>
                <w:sz w:val="22"/>
                <w:szCs w:val="22"/>
              </w:rPr>
            </w:pPr>
            <w:r w:rsidRPr="003E75E3">
              <w:rPr>
                <w:color w:val="7030A0"/>
              </w:rPr>
              <w:br w:type="page"/>
            </w:r>
            <w:r w:rsidRPr="003E75E3">
              <w:rPr>
                <w:rFonts w:cs="Calibri"/>
                <w:b/>
                <w:color w:val="7030A0"/>
                <w:sz w:val="22"/>
                <w:szCs w:val="22"/>
              </w:rPr>
              <w:t>Reference</w:t>
            </w:r>
          </w:p>
        </w:tc>
        <w:tc>
          <w:tcPr>
            <w:tcW w:w="4205" w:type="pct"/>
            <w:gridSpan w:val="3"/>
            <w:tcBorders>
              <w:top w:val="nil"/>
              <w:left w:val="single" w:sz="2" w:space="0" w:color="auto"/>
              <w:bottom w:val="nil"/>
              <w:right w:val="nil"/>
            </w:tcBorders>
            <w:vAlign w:val="bottom"/>
          </w:tcPr>
          <w:p w14:paraId="1914BA27" w14:textId="4D7E2BAD" w:rsidR="005C2C7A" w:rsidRPr="003E75E3" w:rsidRDefault="005C2C7A" w:rsidP="005C2C7A">
            <w:pPr>
              <w:spacing w:before="240" w:after="240"/>
              <w:rPr>
                <w:rFonts w:ascii="Arial Bold" w:hAnsi="Arial Bold" w:cs="Arial"/>
                <w:b/>
                <w:caps/>
                <w:sz w:val="32"/>
                <w:szCs w:val="32"/>
              </w:rPr>
            </w:pPr>
            <w:r w:rsidRPr="003E75E3">
              <w:rPr>
                <w:rFonts w:ascii="Arial Bold" w:hAnsi="Arial Bold" w:cs="Arial"/>
                <w:b/>
                <w:caps/>
                <w:sz w:val="32"/>
                <w:szCs w:val="32"/>
              </w:rPr>
              <w:t>Note 16:</w:t>
            </w:r>
            <w:r w:rsidR="00FA7C77">
              <w:rPr>
                <w:rFonts w:ascii="Arial Bold" w:hAnsi="Arial Bold" w:cs="Arial"/>
                <w:b/>
                <w:caps/>
                <w:sz w:val="32"/>
                <w:szCs w:val="32"/>
              </w:rPr>
              <w:t xml:space="preserve"> </w:t>
            </w:r>
            <w:r w:rsidRPr="003E75E3">
              <w:rPr>
                <w:rFonts w:ascii="Arial Bold" w:hAnsi="Arial Bold" w:cs="Arial"/>
                <w:b/>
                <w:caps/>
                <w:sz w:val="32"/>
                <w:szCs w:val="32"/>
              </w:rPr>
              <w:t xml:space="preserve"> Receivables</w:t>
            </w:r>
            <w:r w:rsidR="00BB7D0C" w:rsidRPr="003E75E3">
              <w:rPr>
                <w:rFonts w:ascii="Arial Bold" w:hAnsi="Arial Bold" w:cs="Arial"/>
                <w:b/>
                <w:caps/>
                <w:sz w:val="32"/>
                <w:szCs w:val="32"/>
              </w:rPr>
              <w:t xml:space="preserve"> and Contract Assets</w:t>
            </w:r>
            <w:r w:rsidRPr="003E75E3">
              <w:rPr>
                <w:rFonts w:ascii="Arial Bold" w:hAnsi="Arial Bold" w:cs="Arial"/>
                <w:b/>
                <w:caps/>
                <w:sz w:val="32"/>
                <w:szCs w:val="32"/>
              </w:rPr>
              <w:t xml:space="preserve"> – Continued </w:t>
            </w:r>
          </w:p>
        </w:tc>
      </w:tr>
      <w:tr w:rsidR="005C2C7A" w:rsidRPr="001E4E9E" w14:paraId="388B3120" w14:textId="77777777" w:rsidTr="005F5B4C">
        <w:trPr>
          <w:cantSplit/>
          <w:trHeight w:val="23"/>
        </w:trPr>
        <w:tc>
          <w:tcPr>
            <w:tcW w:w="736" w:type="pct"/>
            <w:tcBorders>
              <w:top w:val="nil"/>
              <w:left w:val="single" w:sz="2" w:space="0" w:color="auto"/>
              <w:bottom w:val="nil"/>
              <w:right w:val="single" w:sz="2" w:space="0" w:color="auto"/>
            </w:tcBorders>
          </w:tcPr>
          <w:p w14:paraId="67482DB8" w14:textId="08344141" w:rsidR="005C2C7A" w:rsidRPr="003E75E3" w:rsidRDefault="005C2C7A" w:rsidP="005C2C7A">
            <w:pPr>
              <w:pStyle w:val="TableReference"/>
              <w:tabs>
                <w:tab w:val="left" w:pos="3306"/>
              </w:tabs>
              <w:spacing w:before="240"/>
              <w:rPr>
                <w:rFonts w:cs="Calibri"/>
                <w:color w:val="7030A0"/>
                <w:sz w:val="14"/>
              </w:rPr>
            </w:pPr>
          </w:p>
        </w:tc>
        <w:tc>
          <w:tcPr>
            <w:tcW w:w="2950" w:type="pct"/>
            <w:tcBorders>
              <w:top w:val="nil"/>
              <w:left w:val="single" w:sz="2" w:space="0" w:color="auto"/>
              <w:bottom w:val="nil"/>
              <w:right w:val="nil"/>
            </w:tcBorders>
            <w:vAlign w:val="bottom"/>
          </w:tcPr>
          <w:p w14:paraId="570ED185" w14:textId="5F3F1271" w:rsidR="005C2C7A" w:rsidRPr="003E75E3" w:rsidRDefault="005C2C7A" w:rsidP="005C2C7A">
            <w:pPr>
              <w:pStyle w:val="TableText"/>
              <w:tabs>
                <w:tab w:val="left" w:pos="3306"/>
              </w:tabs>
              <w:rPr>
                <w:rFonts w:asciiTheme="minorHAnsi" w:hAnsiTheme="minorHAnsi" w:cstheme="minorHAnsi"/>
                <w:b/>
                <w:bCs/>
              </w:rPr>
            </w:pPr>
          </w:p>
        </w:tc>
        <w:tc>
          <w:tcPr>
            <w:tcW w:w="533" w:type="pct"/>
            <w:tcBorders>
              <w:top w:val="nil"/>
              <w:left w:val="nil"/>
              <w:bottom w:val="nil"/>
              <w:right w:val="nil"/>
            </w:tcBorders>
            <w:vAlign w:val="bottom"/>
          </w:tcPr>
          <w:p w14:paraId="6E88C7CF" w14:textId="0B392A63"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2022</w:t>
            </w:r>
          </w:p>
          <w:p w14:paraId="10665101" w14:textId="77777777"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$’000</w:t>
            </w:r>
          </w:p>
        </w:tc>
        <w:tc>
          <w:tcPr>
            <w:tcW w:w="781" w:type="pct"/>
            <w:gridSpan w:val="2"/>
            <w:tcBorders>
              <w:top w:val="nil"/>
              <w:left w:val="nil"/>
              <w:bottom w:val="nil"/>
              <w:right w:val="nil"/>
            </w:tcBorders>
            <w:vAlign w:val="bottom"/>
          </w:tcPr>
          <w:p w14:paraId="403E5021" w14:textId="3DA5221E"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2021</w:t>
            </w:r>
          </w:p>
          <w:p w14:paraId="3194E7BE" w14:textId="77777777" w:rsidR="005C2C7A" w:rsidRPr="003E75E3" w:rsidRDefault="005C2C7A" w:rsidP="005C2C7A">
            <w:pPr>
              <w:pStyle w:val="TableTitle"/>
              <w:tabs>
                <w:tab w:val="left" w:pos="3306"/>
              </w:tabs>
              <w:rPr>
                <w:rFonts w:asciiTheme="minorHAnsi" w:hAnsiTheme="minorHAnsi" w:cstheme="minorHAnsi"/>
              </w:rPr>
            </w:pPr>
            <w:r w:rsidRPr="003E75E3">
              <w:rPr>
                <w:rFonts w:asciiTheme="minorHAnsi" w:hAnsiTheme="minorHAnsi" w:cstheme="minorHAnsi"/>
              </w:rPr>
              <w:t>$’000</w:t>
            </w:r>
          </w:p>
        </w:tc>
      </w:tr>
      <w:tr w:rsidR="00351F2E" w:rsidRPr="001E4E9E" w14:paraId="73F13BCF" w14:textId="77777777" w:rsidTr="005F5B4C">
        <w:trPr>
          <w:cantSplit/>
          <w:trHeight w:val="23"/>
        </w:trPr>
        <w:tc>
          <w:tcPr>
            <w:tcW w:w="736" w:type="pct"/>
            <w:tcBorders>
              <w:top w:val="nil"/>
              <w:left w:val="single" w:sz="2" w:space="0" w:color="auto"/>
              <w:bottom w:val="nil"/>
              <w:right w:val="single" w:sz="2" w:space="0" w:color="auto"/>
            </w:tcBorders>
          </w:tcPr>
          <w:p w14:paraId="19FD2137" w14:textId="57B81967" w:rsidR="00351F2E" w:rsidRPr="003E75E3" w:rsidRDefault="00351F2E" w:rsidP="005C2C7A">
            <w:pPr>
              <w:pStyle w:val="TableReference"/>
              <w:tabs>
                <w:tab w:val="left" w:pos="3306"/>
              </w:tabs>
              <w:spacing w:before="240"/>
              <w:rPr>
                <w:rFonts w:cs="Calibri"/>
                <w:color w:val="7030A0"/>
                <w:sz w:val="14"/>
              </w:rPr>
            </w:pPr>
            <w:r w:rsidRPr="003E75E3">
              <w:rPr>
                <w:rFonts w:cs="Calibri"/>
                <w:color w:val="7030A0"/>
                <w:sz w:val="14"/>
              </w:rPr>
              <w:t>AASB 7.35H</w:t>
            </w:r>
          </w:p>
        </w:tc>
        <w:tc>
          <w:tcPr>
            <w:tcW w:w="2950" w:type="pct"/>
            <w:tcBorders>
              <w:top w:val="nil"/>
              <w:left w:val="single" w:sz="2" w:space="0" w:color="auto"/>
              <w:bottom w:val="nil"/>
              <w:right w:val="nil"/>
            </w:tcBorders>
            <w:vAlign w:val="bottom"/>
          </w:tcPr>
          <w:p w14:paraId="1EF00024" w14:textId="0A66C5B1" w:rsidR="00351F2E" w:rsidRPr="003E75E3" w:rsidRDefault="00351F2E" w:rsidP="005C2C7A">
            <w:pPr>
              <w:pStyle w:val="TableText"/>
              <w:tabs>
                <w:tab w:val="left" w:pos="3306"/>
              </w:tabs>
              <w:rPr>
                <w:rFonts w:asciiTheme="minorHAnsi" w:hAnsiTheme="minorHAnsi" w:cstheme="minorHAnsi"/>
                <w:b/>
                <w:bCs/>
              </w:rPr>
            </w:pPr>
            <w:r w:rsidRPr="003E75E3">
              <w:rPr>
                <w:rFonts w:asciiTheme="minorHAnsi" w:hAnsiTheme="minorHAnsi" w:cstheme="minorHAnsi"/>
                <w:b/>
                <w:bCs/>
              </w:rPr>
              <w:t>Reconciliation of the Loss Allowance</w:t>
            </w:r>
          </w:p>
        </w:tc>
        <w:tc>
          <w:tcPr>
            <w:tcW w:w="533" w:type="pct"/>
            <w:tcBorders>
              <w:top w:val="nil"/>
              <w:left w:val="nil"/>
              <w:bottom w:val="nil"/>
              <w:right w:val="nil"/>
            </w:tcBorders>
            <w:vAlign w:val="bottom"/>
          </w:tcPr>
          <w:p w14:paraId="784231A7" w14:textId="77777777" w:rsidR="00351F2E" w:rsidRPr="003E75E3" w:rsidRDefault="00351F2E" w:rsidP="005C2C7A">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1E77C5F0" w14:textId="77777777" w:rsidR="00351F2E" w:rsidRPr="003E75E3" w:rsidRDefault="00351F2E" w:rsidP="005C2C7A">
            <w:pPr>
              <w:pStyle w:val="TableTitle"/>
              <w:tabs>
                <w:tab w:val="left" w:pos="3306"/>
              </w:tabs>
              <w:rPr>
                <w:rFonts w:asciiTheme="minorHAnsi" w:hAnsiTheme="minorHAnsi" w:cstheme="minorHAnsi"/>
              </w:rPr>
            </w:pPr>
          </w:p>
        </w:tc>
      </w:tr>
      <w:tr w:rsidR="00351F2E" w:rsidRPr="001E4E9E" w14:paraId="4A7F286E" w14:textId="77777777" w:rsidTr="005F5B4C">
        <w:trPr>
          <w:cantSplit/>
          <w:trHeight w:val="23"/>
        </w:trPr>
        <w:tc>
          <w:tcPr>
            <w:tcW w:w="736" w:type="pct"/>
            <w:tcBorders>
              <w:top w:val="nil"/>
              <w:left w:val="single" w:sz="2" w:space="0" w:color="auto"/>
              <w:bottom w:val="nil"/>
              <w:right w:val="single" w:sz="2" w:space="0" w:color="auto"/>
            </w:tcBorders>
          </w:tcPr>
          <w:p w14:paraId="5C0D5B52" w14:textId="77777777" w:rsidR="00351F2E" w:rsidRPr="003E75E3" w:rsidRDefault="00351F2E" w:rsidP="00351F2E">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07752F8F" w14:textId="500E0CBC" w:rsidR="00351F2E" w:rsidRPr="003E75E3" w:rsidRDefault="000478E1" w:rsidP="005C2C7A">
            <w:pPr>
              <w:pStyle w:val="TableText"/>
              <w:tabs>
                <w:tab w:val="left" w:pos="3306"/>
              </w:tabs>
              <w:rPr>
                <w:rFonts w:asciiTheme="minorHAnsi" w:hAnsiTheme="minorHAnsi" w:cstheme="minorHAnsi"/>
                <w:b/>
                <w:bCs/>
              </w:rPr>
            </w:pPr>
            <w:r w:rsidRPr="003E75E3">
              <w:rPr>
                <w:rFonts w:asciiTheme="minorHAnsi" w:hAnsiTheme="minorHAnsi" w:cstheme="minorHAnsi"/>
                <w:b/>
                <w:bCs/>
              </w:rPr>
              <w:t xml:space="preserve">Accounts </w:t>
            </w:r>
            <w:r w:rsidR="00351F2E" w:rsidRPr="003E75E3">
              <w:rPr>
                <w:rFonts w:asciiTheme="minorHAnsi" w:hAnsiTheme="minorHAnsi" w:cstheme="minorHAnsi"/>
                <w:b/>
                <w:bCs/>
              </w:rPr>
              <w:t>Receivable</w:t>
            </w:r>
          </w:p>
        </w:tc>
        <w:tc>
          <w:tcPr>
            <w:tcW w:w="533" w:type="pct"/>
            <w:tcBorders>
              <w:top w:val="nil"/>
              <w:left w:val="nil"/>
              <w:bottom w:val="nil"/>
              <w:right w:val="nil"/>
            </w:tcBorders>
            <w:vAlign w:val="bottom"/>
          </w:tcPr>
          <w:p w14:paraId="35AE4177" w14:textId="77777777" w:rsidR="00351F2E" w:rsidRPr="003E75E3" w:rsidRDefault="00351F2E" w:rsidP="005C2C7A">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791234C3" w14:textId="77777777" w:rsidR="00351F2E" w:rsidRPr="003E75E3" w:rsidRDefault="00351F2E" w:rsidP="005C2C7A">
            <w:pPr>
              <w:pStyle w:val="TableTitle"/>
              <w:tabs>
                <w:tab w:val="left" w:pos="3306"/>
              </w:tabs>
              <w:rPr>
                <w:rFonts w:asciiTheme="minorHAnsi" w:hAnsiTheme="minorHAnsi" w:cstheme="minorHAnsi"/>
              </w:rPr>
            </w:pPr>
          </w:p>
        </w:tc>
      </w:tr>
      <w:tr w:rsidR="005C2C7A" w:rsidRPr="001E4E9E" w14:paraId="0D001883" w14:textId="77777777" w:rsidTr="005F5B4C">
        <w:trPr>
          <w:cantSplit/>
          <w:trHeight w:val="23"/>
        </w:trPr>
        <w:tc>
          <w:tcPr>
            <w:tcW w:w="736" w:type="pct"/>
            <w:tcBorders>
              <w:top w:val="nil"/>
              <w:left w:val="single" w:sz="2" w:space="0" w:color="auto"/>
              <w:bottom w:val="nil"/>
              <w:right w:val="single" w:sz="2" w:space="0" w:color="auto"/>
            </w:tcBorders>
          </w:tcPr>
          <w:p w14:paraId="4EE86EF1"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45F4F6FB" w14:textId="49328047" w:rsidR="005C2C7A" w:rsidRPr="003E75E3" w:rsidRDefault="005C2C7A" w:rsidP="005C2C7A">
            <w:pPr>
              <w:pStyle w:val="TableText"/>
              <w:tabs>
                <w:tab w:val="left" w:pos="3306"/>
              </w:tabs>
              <w:rPr>
                <w:rFonts w:asciiTheme="minorHAnsi" w:hAnsiTheme="minorHAnsi" w:cstheme="minorHAnsi"/>
              </w:rPr>
            </w:pPr>
            <w:r w:rsidRPr="003E75E3">
              <w:rPr>
                <w:rFonts w:asciiTheme="minorHAnsi" w:hAnsiTheme="minorHAnsi" w:cstheme="minorHAnsi"/>
              </w:rPr>
              <w:t xml:space="preserve">Allowance </w:t>
            </w:r>
            <w:r w:rsidR="001456DB" w:rsidRPr="003E75E3">
              <w:rPr>
                <w:rFonts w:cs="Calibri"/>
              </w:rPr>
              <w:t xml:space="preserve">for Impairment Losses </w:t>
            </w:r>
            <w:r w:rsidRPr="003E75E3">
              <w:rPr>
                <w:rFonts w:asciiTheme="minorHAnsi" w:hAnsiTheme="minorHAnsi" w:cstheme="minorHAnsi"/>
              </w:rPr>
              <w:t xml:space="preserve">at the Beginning of the Reporting Period </w:t>
            </w:r>
          </w:p>
        </w:tc>
        <w:tc>
          <w:tcPr>
            <w:tcW w:w="533" w:type="pct"/>
            <w:tcBorders>
              <w:top w:val="nil"/>
              <w:left w:val="nil"/>
              <w:bottom w:val="nil"/>
              <w:right w:val="nil"/>
            </w:tcBorders>
            <w:vAlign w:val="bottom"/>
          </w:tcPr>
          <w:p w14:paraId="61B3D672" w14:textId="78ED8180" w:rsidR="005C2C7A" w:rsidRPr="003E75E3" w:rsidRDefault="005C2C7A" w:rsidP="005C2C7A">
            <w:pPr>
              <w:pStyle w:val="TableText"/>
              <w:tabs>
                <w:tab w:val="left" w:pos="3306"/>
              </w:tabs>
              <w:jc w:val="right"/>
              <w:rPr>
                <w:rFonts w:asciiTheme="minorHAnsi" w:hAnsiTheme="minorHAnsi" w:cstheme="minorHAnsi"/>
                <w:strike/>
              </w:rPr>
            </w:pPr>
          </w:p>
        </w:tc>
        <w:tc>
          <w:tcPr>
            <w:tcW w:w="781" w:type="pct"/>
            <w:gridSpan w:val="2"/>
            <w:tcBorders>
              <w:top w:val="nil"/>
              <w:left w:val="nil"/>
              <w:bottom w:val="nil"/>
              <w:right w:val="nil"/>
            </w:tcBorders>
            <w:vAlign w:val="bottom"/>
          </w:tcPr>
          <w:p w14:paraId="4B36B665" w14:textId="1EE9584F" w:rsidR="005C2C7A" w:rsidRPr="003E75E3" w:rsidRDefault="005C2C7A" w:rsidP="005C2C7A">
            <w:pPr>
              <w:pStyle w:val="TableText"/>
              <w:tabs>
                <w:tab w:val="left" w:pos="3306"/>
              </w:tabs>
              <w:jc w:val="right"/>
              <w:rPr>
                <w:rFonts w:asciiTheme="minorHAnsi" w:hAnsiTheme="minorHAnsi" w:cstheme="minorHAnsi"/>
                <w:strike/>
              </w:rPr>
            </w:pPr>
          </w:p>
        </w:tc>
      </w:tr>
      <w:tr w:rsidR="005C2C7A" w:rsidRPr="001E4E9E" w14:paraId="040340C3" w14:textId="77777777" w:rsidTr="005F5B4C">
        <w:trPr>
          <w:cantSplit/>
          <w:trHeight w:val="23"/>
        </w:trPr>
        <w:tc>
          <w:tcPr>
            <w:tcW w:w="736" w:type="pct"/>
            <w:tcBorders>
              <w:top w:val="nil"/>
              <w:left w:val="single" w:sz="2" w:space="0" w:color="auto"/>
              <w:bottom w:val="nil"/>
              <w:right w:val="single" w:sz="2" w:space="0" w:color="auto"/>
            </w:tcBorders>
          </w:tcPr>
          <w:p w14:paraId="68FA7DEC"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CBDA478" w14:textId="77777777" w:rsidR="005C2C7A" w:rsidRPr="003E75E3" w:rsidRDefault="005C2C7A" w:rsidP="005C2C7A">
            <w:pPr>
              <w:pStyle w:val="TableText"/>
              <w:tabs>
                <w:tab w:val="left" w:pos="3306"/>
              </w:tabs>
              <w:rPr>
                <w:rFonts w:asciiTheme="minorHAnsi" w:hAnsiTheme="minorHAnsi" w:cstheme="minorHAnsi"/>
              </w:rPr>
            </w:pPr>
            <w:r w:rsidRPr="003E75E3">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425B7259" w14:textId="3E6CE616" w:rsidR="005C2C7A" w:rsidRPr="003E75E3"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bottom"/>
          </w:tcPr>
          <w:p w14:paraId="493EA9C2" w14:textId="526D1935" w:rsidR="005C2C7A" w:rsidRPr="003E75E3" w:rsidRDefault="005C2C7A" w:rsidP="005C2C7A">
            <w:pPr>
              <w:pStyle w:val="TableText"/>
              <w:tabs>
                <w:tab w:val="left" w:pos="3306"/>
              </w:tabs>
              <w:jc w:val="right"/>
              <w:rPr>
                <w:rFonts w:asciiTheme="minorHAnsi" w:hAnsiTheme="minorHAnsi" w:cstheme="minorHAnsi"/>
              </w:rPr>
            </w:pPr>
          </w:p>
        </w:tc>
      </w:tr>
      <w:tr w:rsidR="005C2C7A" w:rsidRPr="001E4E9E" w14:paraId="59EED69D" w14:textId="77777777" w:rsidTr="005F5B4C">
        <w:trPr>
          <w:cantSplit/>
          <w:trHeight w:val="23"/>
        </w:trPr>
        <w:tc>
          <w:tcPr>
            <w:tcW w:w="736" w:type="pct"/>
            <w:tcBorders>
              <w:top w:val="nil"/>
              <w:left w:val="single" w:sz="2" w:space="0" w:color="auto"/>
              <w:bottom w:val="nil"/>
              <w:right w:val="single" w:sz="2" w:space="0" w:color="auto"/>
            </w:tcBorders>
          </w:tcPr>
          <w:p w14:paraId="0BD81EAF" w14:textId="77777777" w:rsidR="005C2C7A" w:rsidRPr="003E75E3" w:rsidRDefault="005C2C7A" w:rsidP="005C2C7A">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7D1DC8A2" w14:textId="77777777" w:rsidR="005C2C7A" w:rsidRPr="003E75E3" w:rsidRDefault="005C2C7A" w:rsidP="005C2C7A">
            <w:pPr>
              <w:pStyle w:val="Commentary-Bullet"/>
              <w:numPr>
                <w:ilvl w:val="0"/>
                <w:numId w:val="0"/>
              </w:numPr>
              <w:spacing w:before="40"/>
              <w:jc w:val="left"/>
              <w:rPr>
                <w:rFonts w:asciiTheme="minorHAnsi" w:hAnsiTheme="minorHAnsi" w:cstheme="minorHAnsi"/>
                <w:sz w:val="18"/>
                <w:szCs w:val="18"/>
              </w:rPr>
            </w:pPr>
            <w:r w:rsidRPr="003E75E3">
              <w:rPr>
                <w:rFonts w:asciiTheme="minorHAnsi" w:hAnsiTheme="minorHAnsi" w:cstheme="minorHAnsi"/>
                <w:sz w:val="18"/>
                <w:szCs w:val="18"/>
              </w:rPr>
              <w:t xml:space="preserve">Reduction in Allowance from Amounts Written off During the Reporting Period </w:t>
            </w:r>
          </w:p>
        </w:tc>
        <w:tc>
          <w:tcPr>
            <w:tcW w:w="533" w:type="pct"/>
            <w:tcBorders>
              <w:top w:val="nil"/>
              <w:left w:val="nil"/>
              <w:bottom w:val="nil"/>
              <w:right w:val="nil"/>
            </w:tcBorders>
            <w:vAlign w:val="center"/>
          </w:tcPr>
          <w:p w14:paraId="7AA6DD5E" w14:textId="5AAB4EF8" w:rsidR="005C2C7A" w:rsidRPr="003E75E3"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center"/>
          </w:tcPr>
          <w:p w14:paraId="6E875C5A" w14:textId="72C3C00B" w:rsidR="005C2C7A" w:rsidRPr="003E75E3" w:rsidRDefault="005C2C7A" w:rsidP="005C2C7A">
            <w:pPr>
              <w:pStyle w:val="TableText"/>
              <w:tabs>
                <w:tab w:val="left" w:pos="3306"/>
              </w:tabs>
              <w:jc w:val="right"/>
              <w:rPr>
                <w:rFonts w:asciiTheme="minorHAnsi" w:hAnsiTheme="minorHAnsi" w:cstheme="minorHAnsi"/>
              </w:rPr>
            </w:pPr>
          </w:p>
        </w:tc>
      </w:tr>
      <w:tr w:rsidR="005C2C7A" w:rsidRPr="001E4E9E" w14:paraId="4A126C01" w14:textId="77777777" w:rsidTr="005F5B4C">
        <w:trPr>
          <w:cantSplit/>
          <w:trHeight w:val="23"/>
        </w:trPr>
        <w:tc>
          <w:tcPr>
            <w:tcW w:w="736" w:type="pct"/>
            <w:tcBorders>
              <w:top w:val="nil"/>
              <w:left w:val="single" w:sz="2" w:space="0" w:color="auto"/>
              <w:bottom w:val="nil"/>
              <w:right w:val="single" w:sz="2" w:space="0" w:color="auto"/>
            </w:tcBorders>
          </w:tcPr>
          <w:p w14:paraId="3AAC30DC" w14:textId="4F1923F5" w:rsidR="005C2C7A" w:rsidRPr="003E75E3" w:rsidRDefault="005C2C7A" w:rsidP="005C2C7A">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7ADB2A01" w14:textId="104DE58E" w:rsidR="005C2C7A" w:rsidRPr="003E75E3" w:rsidRDefault="005C2C7A" w:rsidP="00302E5E">
            <w:pPr>
              <w:pStyle w:val="Commentary-Bullet"/>
              <w:numPr>
                <w:ilvl w:val="0"/>
                <w:numId w:val="0"/>
              </w:numPr>
              <w:spacing w:after="0"/>
              <w:jc w:val="left"/>
              <w:rPr>
                <w:rFonts w:asciiTheme="minorHAnsi" w:hAnsiTheme="minorHAnsi" w:cstheme="minorHAnsi"/>
                <w:sz w:val="18"/>
                <w:szCs w:val="18"/>
              </w:rPr>
            </w:pPr>
            <w:r w:rsidRPr="003E75E3">
              <w:rPr>
                <w:rFonts w:asciiTheme="minorHAnsi" w:hAnsiTheme="minorHAnsi" w:cstheme="minorHAnsi"/>
                <w:sz w:val="18"/>
                <w:szCs w:val="18"/>
              </w:rPr>
              <w:t xml:space="preserve">Expected Credit Loss Expense </w:t>
            </w:r>
          </w:p>
        </w:tc>
        <w:tc>
          <w:tcPr>
            <w:tcW w:w="533" w:type="pct"/>
            <w:tcBorders>
              <w:top w:val="nil"/>
              <w:left w:val="nil"/>
              <w:bottom w:val="single" w:sz="4" w:space="0" w:color="auto"/>
              <w:right w:val="nil"/>
            </w:tcBorders>
            <w:vAlign w:val="center"/>
          </w:tcPr>
          <w:p w14:paraId="44E77082" w14:textId="46A717AF" w:rsidR="005C2C7A" w:rsidRPr="003E75E3" w:rsidRDefault="005C2C7A" w:rsidP="005C2C7A">
            <w:pPr>
              <w:pStyle w:val="TableText"/>
              <w:tabs>
                <w:tab w:val="left" w:pos="3306"/>
              </w:tabs>
              <w:jc w:val="right"/>
              <w:rPr>
                <w:rFonts w:asciiTheme="minorHAnsi" w:hAnsiTheme="minorHAnsi" w:cstheme="minorHAnsi"/>
              </w:rPr>
            </w:pPr>
          </w:p>
        </w:tc>
        <w:tc>
          <w:tcPr>
            <w:tcW w:w="781" w:type="pct"/>
            <w:gridSpan w:val="2"/>
            <w:tcBorders>
              <w:top w:val="nil"/>
              <w:left w:val="nil"/>
              <w:bottom w:val="single" w:sz="4" w:space="0" w:color="auto"/>
              <w:right w:val="nil"/>
            </w:tcBorders>
            <w:vAlign w:val="center"/>
          </w:tcPr>
          <w:p w14:paraId="7DD406B6" w14:textId="79016C5D" w:rsidR="005C2C7A" w:rsidRPr="003E75E3" w:rsidRDefault="005C2C7A" w:rsidP="005C2C7A">
            <w:pPr>
              <w:pStyle w:val="TableText"/>
              <w:tabs>
                <w:tab w:val="left" w:pos="3306"/>
              </w:tabs>
              <w:ind w:left="360"/>
              <w:jc w:val="center"/>
              <w:rPr>
                <w:rFonts w:asciiTheme="minorHAnsi" w:hAnsiTheme="minorHAnsi" w:cstheme="minorHAnsi"/>
              </w:rPr>
            </w:pPr>
          </w:p>
        </w:tc>
      </w:tr>
      <w:tr w:rsidR="005C2C7A" w:rsidRPr="001E4E9E" w14:paraId="7B42DA4D" w14:textId="77777777" w:rsidTr="005F5B4C">
        <w:trPr>
          <w:cantSplit/>
          <w:trHeight w:val="23"/>
        </w:trPr>
        <w:tc>
          <w:tcPr>
            <w:tcW w:w="736" w:type="pct"/>
            <w:tcBorders>
              <w:top w:val="nil"/>
              <w:left w:val="single" w:sz="2" w:space="0" w:color="auto"/>
              <w:bottom w:val="nil"/>
              <w:right w:val="single" w:sz="2" w:space="0" w:color="auto"/>
            </w:tcBorders>
          </w:tcPr>
          <w:p w14:paraId="3FC62DD1" w14:textId="77777777" w:rsidR="005C2C7A" w:rsidRPr="003E75E3" w:rsidRDefault="005C2C7A"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30D88165" w14:textId="77777777" w:rsidR="005C2C7A" w:rsidRPr="003E75E3" w:rsidRDefault="005C2C7A" w:rsidP="0002064E">
            <w:pPr>
              <w:pStyle w:val="TableText"/>
              <w:tabs>
                <w:tab w:val="left" w:pos="3306"/>
              </w:tabs>
              <w:spacing w:before="0"/>
              <w:rPr>
                <w:rFonts w:asciiTheme="minorHAnsi" w:hAnsiTheme="minorHAnsi" w:cstheme="minorHAnsi"/>
                <w:b/>
                <w:bCs/>
              </w:rPr>
            </w:pPr>
            <w:r w:rsidRPr="003E75E3">
              <w:rPr>
                <w:rFonts w:asciiTheme="minorHAnsi" w:hAnsiTheme="minorHAnsi" w:cstheme="minorHAnsi"/>
                <w:b/>
                <w:bCs/>
              </w:rPr>
              <w:t xml:space="preserve">Allowance for Impairment Losses at the End of the Reporting Period </w:t>
            </w:r>
          </w:p>
        </w:tc>
        <w:tc>
          <w:tcPr>
            <w:tcW w:w="533" w:type="pct"/>
            <w:tcBorders>
              <w:top w:val="single" w:sz="4" w:space="0" w:color="auto"/>
              <w:left w:val="nil"/>
              <w:bottom w:val="double" w:sz="4" w:space="0" w:color="auto"/>
              <w:right w:val="nil"/>
            </w:tcBorders>
            <w:vAlign w:val="bottom"/>
          </w:tcPr>
          <w:p w14:paraId="7CE8CAB1" w14:textId="40C8C726" w:rsidR="005C2C7A" w:rsidRPr="003E75E3" w:rsidRDefault="005C2C7A" w:rsidP="0002064E">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09B4E1B0" w14:textId="13445DA2" w:rsidR="005C2C7A" w:rsidRPr="003E75E3" w:rsidRDefault="005C2C7A" w:rsidP="0002064E">
            <w:pPr>
              <w:pStyle w:val="TableText"/>
              <w:tabs>
                <w:tab w:val="left" w:pos="3306"/>
              </w:tabs>
              <w:spacing w:before="0"/>
              <w:jc w:val="right"/>
              <w:rPr>
                <w:rFonts w:asciiTheme="minorHAnsi" w:hAnsiTheme="minorHAnsi" w:cstheme="minorHAnsi"/>
                <w:b/>
                <w:bCs/>
                <w:strike/>
              </w:rPr>
            </w:pPr>
          </w:p>
        </w:tc>
      </w:tr>
      <w:tr w:rsidR="000478E1" w:rsidRPr="001E4E9E" w14:paraId="4CDCFC01" w14:textId="77777777" w:rsidTr="005F5B4C">
        <w:trPr>
          <w:cantSplit/>
          <w:trHeight w:val="23"/>
        </w:trPr>
        <w:tc>
          <w:tcPr>
            <w:tcW w:w="736" w:type="pct"/>
            <w:tcBorders>
              <w:top w:val="nil"/>
              <w:left w:val="single" w:sz="2" w:space="0" w:color="auto"/>
              <w:bottom w:val="nil"/>
              <w:right w:val="single" w:sz="2" w:space="0" w:color="auto"/>
            </w:tcBorders>
          </w:tcPr>
          <w:p w14:paraId="12EE0E23" w14:textId="77777777" w:rsidR="000478E1" w:rsidRPr="003E75E3" w:rsidRDefault="000478E1" w:rsidP="005C2C7A">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51A119B9" w14:textId="77777777" w:rsidR="000478E1" w:rsidRPr="003E75E3" w:rsidRDefault="000478E1" w:rsidP="0002064E">
            <w:pPr>
              <w:pStyle w:val="TableText"/>
              <w:tabs>
                <w:tab w:val="left" w:pos="3306"/>
              </w:tabs>
              <w:spacing w:before="0"/>
              <w:rPr>
                <w:rFonts w:asciiTheme="minorHAnsi" w:hAnsiTheme="minorHAnsi" w:cstheme="minorHAnsi"/>
                <w:b/>
                <w:bCs/>
              </w:rPr>
            </w:pPr>
          </w:p>
        </w:tc>
        <w:tc>
          <w:tcPr>
            <w:tcW w:w="533" w:type="pct"/>
            <w:tcBorders>
              <w:top w:val="double" w:sz="4" w:space="0" w:color="auto"/>
              <w:left w:val="nil"/>
              <w:bottom w:val="nil"/>
              <w:right w:val="nil"/>
            </w:tcBorders>
            <w:vAlign w:val="bottom"/>
          </w:tcPr>
          <w:p w14:paraId="2C64B336" w14:textId="77777777" w:rsidR="000478E1" w:rsidRPr="003E75E3" w:rsidRDefault="000478E1" w:rsidP="0002064E">
            <w:pPr>
              <w:pStyle w:val="TableText"/>
              <w:tabs>
                <w:tab w:val="left" w:pos="3306"/>
              </w:tabs>
              <w:spacing w:before="0"/>
              <w:jc w:val="right"/>
              <w:rPr>
                <w:rFonts w:asciiTheme="minorHAnsi" w:hAnsiTheme="minorHAnsi" w:cstheme="minorHAnsi"/>
                <w:b/>
                <w:bCs/>
                <w:strike/>
              </w:rPr>
            </w:pPr>
          </w:p>
        </w:tc>
        <w:tc>
          <w:tcPr>
            <w:tcW w:w="781" w:type="pct"/>
            <w:gridSpan w:val="2"/>
            <w:tcBorders>
              <w:top w:val="double" w:sz="4" w:space="0" w:color="auto"/>
              <w:left w:val="nil"/>
              <w:bottom w:val="nil"/>
              <w:right w:val="nil"/>
            </w:tcBorders>
            <w:vAlign w:val="bottom"/>
          </w:tcPr>
          <w:p w14:paraId="2E3BF2C3" w14:textId="77777777" w:rsidR="000478E1" w:rsidRPr="003E75E3" w:rsidRDefault="000478E1" w:rsidP="0002064E">
            <w:pPr>
              <w:pStyle w:val="TableText"/>
              <w:tabs>
                <w:tab w:val="left" w:pos="3306"/>
              </w:tabs>
              <w:spacing w:before="0"/>
              <w:jc w:val="right"/>
              <w:rPr>
                <w:rFonts w:asciiTheme="minorHAnsi" w:hAnsiTheme="minorHAnsi" w:cstheme="minorHAnsi"/>
                <w:b/>
                <w:bCs/>
                <w:strike/>
              </w:rPr>
            </w:pPr>
          </w:p>
        </w:tc>
      </w:tr>
      <w:tr w:rsidR="000478E1" w:rsidRPr="001E4E9E" w14:paraId="2FA7B6E4" w14:textId="77777777" w:rsidTr="005F5B4C">
        <w:trPr>
          <w:cantSplit/>
          <w:trHeight w:val="23"/>
        </w:trPr>
        <w:tc>
          <w:tcPr>
            <w:tcW w:w="736" w:type="pct"/>
            <w:tcBorders>
              <w:top w:val="nil"/>
              <w:left w:val="single" w:sz="2" w:space="0" w:color="auto"/>
              <w:bottom w:val="nil"/>
              <w:right w:val="single" w:sz="2" w:space="0" w:color="auto"/>
            </w:tcBorders>
          </w:tcPr>
          <w:p w14:paraId="556053D9"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B7D855E" w14:textId="4AF5A88B" w:rsidR="000478E1" w:rsidRPr="003E75E3" w:rsidRDefault="000478E1" w:rsidP="000478E1">
            <w:pPr>
              <w:pStyle w:val="TableText"/>
              <w:tabs>
                <w:tab w:val="left" w:pos="3306"/>
              </w:tabs>
              <w:spacing w:before="0"/>
              <w:rPr>
                <w:rFonts w:asciiTheme="minorHAnsi" w:hAnsiTheme="minorHAnsi" w:cstheme="minorHAnsi"/>
                <w:b/>
                <w:bCs/>
              </w:rPr>
            </w:pPr>
            <w:r w:rsidRPr="003E75E3">
              <w:rPr>
                <w:rFonts w:asciiTheme="minorHAnsi" w:hAnsiTheme="minorHAnsi" w:cstheme="minorHAnsi"/>
                <w:b/>
                <w:bCs/>
              </w:rPr>
              <w:t>Loans Receivable</w:t>
            </w:r>
          </w:p>
        </w:tc>
        <w:tc>
          <w:tcPr>
            <w:tcW w:w="533" w:type="pct"/>
            <w:tcBorders>
              <w:top w:val="nil"/>
              <w:left w:val="nil"/>
              <w:bottom w:val="nil"/>
              <w:right w:val="nil"/>
            </w:tcBorders>
            <w:vAlign w:val="bottom"/>
          </w:tcPr>
          <w:p w14:paraId="497269AC"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454CD582"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5249BE95" w14:textId="77777777" w:rsidTr="005F5B4C">
        <w:trPr>
          <w:cantSplit/>
          <w:trHeight w:val="23"/>
        </w:trPr>
        <w:tc>
          <w:tcPr>
            <w:tcW w:w="736" w:type="pct"/>
            <w:tcBorders>
              <w:top w:val="nil"/>
              <w:left w:val="single" w:sz="2" w:space="0" w:color="auto"/>
              <w:bottom w:val="nil"/>
              <w:right w:val="single" w:sz="2" w:space="0" w:color="auto"/>
            </w:tcBorders>
          </w:tcPr>
          <w:p w14:paraId="50201A6D"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7AA29A04" w14:textId="0C67F90C" w:rsidR="000478E1" w:rsidRPr="003E75E3" w:rsidRDefault="000478E1" w:rsidP="009407C1">
            <w:pPr>
              <w:pStyle w:val="TableText"/>
              <w:tabs>
                <w:tab w:val="left" w:pos="3306"/>
              </w:tabs>
              <w:spacing w:before="60"/>
              <w:rPr>
                <w:rFonts w:asciiTheme="minorHAnsi" w:hAnsiTheme="minorHAnsi" w:cstheme="minorHAnsi"/>
                <w:b/>
                <w:bCs/>
              </w:rPr>
            </w:pPr>
            <w:r w:rsidRPr="003E75E3">
              <w:rPr>
                <w:rFonts w:asciiTheme="minorHAnsi" w:hAnsiTheme="minorHAnsi" w:cstheme="minorHAnsi"/>
              </w:rPr>
              <w:t xml:space="preserve">Allowance </w:t>
            </w:r>
            <w:r w:rsidRPr="003E75E3">
              <w:rPr>
                <w:rFonts w:cs="Calibri"/>
              </w:rPr>
              <w:t xml:space="preserve">for Impairment Losses </w:t>
            </w:r>
            <w:r w:rsidRPr="003E75E3">
              <w:rPr>
                <w:rFonts w:asciiTheme="minorHAnsi" w:hAnsiTheme="minorHAnsi" w:cstheme="minorHAnsi"/>
              </w:rPr>
              <w:t xml:space="preserve">at the Beginning of the Reporting Period </w:t>
            </w:r>
          </w:p>
        </w:tc>
        <w:tc>
          <w:tcPr>
            <w:tcW w:w="533" w:type="pct"/>
            <w:tcBorders>
              <w:top w:val="nil"/>
              <w:left w:val="nil"/>
              <w:bottom w:val="nil"/>
              <w:right w:val="nil"/>
            </w:tcBorders>
            <w:vAlign w:val="bottom"/>
          </w:tcPr>
          <w:p w14:paraId="4AFB842A"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2E0A0AB6"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05A0C50A" w14:textId="77777777" w:rsidTr="005F5B4C">
        <w:trPr>
          <w:cantSplit/>
          <w:trHeight w:val="23"/>
        </w:trPr>
        <w:tc>
          <w:tcPr>
            <w:tcW w:w="736" w:type="pct"/>
            <w:tcBorders>
              <w:top w:val="nil"/>
              <w:left w:val="single" w:sz="2" w:space="0" w:color="auto"/>
              <w:bottom w:val="nil"/>
              <w:right w:val="single" w:sz="2" w:space="0" w:color="auto"/>
            </w:tcBorders>
          </w:tcPr>
          <w:p w14:paraId="72214B7E"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25A1A29" w14:textId="0BCA0207" w:rsidR="000478E1" w:rsidRPr="003E75E3" w:rsidRDefault="000478E1" w:rsidP="009407C1">
            <w:pPr>
              <w:pStyle w:val="TableText"/>
              <w:tabs>
                <w:tab w:val="left" w:pos="3306"/>
              </w:tabs>
              <w:spacing w:before="60"/>
              <w:rPr>
                <w:rFonts w:asciiTheme="minorHAnsi" w:hAnsiTheme="minorHAnsi" w:cstheme="minorHAnsi"/>
                <w:b/>
                <w:bCs/>
              </w:rPr>
            </w:pPr>
            <w:r w:rsidRPr="003E75E3">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55AA5443"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bottom"/>
          </w:tcPr>
          <w:p w14:paraId="026F5F1E"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7F2DFE88" w14:textId="77777777" w:rsidTr="005F5B4C">
        <w:trPr>
          <w:cantSplit/>
          <w:trHeight w:val="23"/>
        </w:trPr>
        <w:tc>
          <w:tcPr>
            <w:tcW w:w="736" w:type="pct"/>
            <w:tcBorders>
              <w:top w:val="nil"/>
              <w:left w:val="single" w:sz="2" w:space="0" w:color="auto"/>
              <w:bottom w:val="nil"/>
              <w:right w:val="single" w:sz="2" w:space="0" w:color="auto"/>
            </w:tcBorders>
          </w:tcPr>
          <w:p w14:paraId="03B3BA86" w14:textId="5FBC70A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21075F65" w14:textId="5B3A93A7" w:rsidR="000478E1" w:rsidRPr="003E75E3" w:rsidRDefault="000478E1" w:rsidP="009407C1">
            <w:pPr>
              <w:pStyle w:val="TableText"/>
              <w:tabs>
                <w:tab w:val="left" w:pos="3306"/>
              </w:tabs>
              <w:spacing w:before="60"/>
              <w:rPr>
                <w:rFonts w:asciiTheme="minorHAnsi" w:hAnsiTheme="minorHAnsi" w:cstheme="minorHAnsi"/>
                <w:b/>
                <w:bCs/>
              </w:rPr>
            </w:pPr>
            <w:r w:rsidRPr="003E75E3">
              <w:rPr>
                <w:rFonts w:asciiTheme="minorHAnsi" w:hAnsiTheme="minorHAnsi" w:cstheme="minorHAnsi"/>
              </w:rPr>
              <w:t xml:space="preserve">Reduction in Allowance from Amounts Written off During the Reporting Period </w:t>
            </w:r>
          </w:p>
        </w:tc>
        <w:tc>
          <w:tcPr>
            <w:tcW w:w="533" w:type="pct"/>
            <w:tcBorders>
              <w:top w:val="nil"/>
              <w:left w:val="nil"/>
              <w:bottom w:val="nil"/>
              <w:right w:val="nil"/>
            </w:tcBorders>
            <w:vAlign w:val="center"/>
          </w:tcPr>
          <w:p w14:paraId="32E35D2B"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nil"/>
              <w:right w:val="nil"/>
            </w:tcBorders>
            <w:vAlign w:val="center"/>
          </w:tcPr>
          <w:p w14:paraId="577A0566"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6D6208B8" w14:textId="77777777" w:rsidTr="005F5B4C">
        <w:trPr>
          <w:cantSplit/>
          <w:trHeight w:val="23"/>
        </w:trPr>
        <w:tc>
          <w:tcPr>
            <w:tcW w:w="736" w:type="pct"/>
            <w:tcBorders>
              <w:top w:val="nil"/>
              <w:left w:val="single" w:sz="2" w:space="0" w:color="auto"/>
              <w:bottom w:val="nil"/>
              <w:right w:val="single" w:sz="2" w:space="0" w:color="auto"/>
            </w:tcBorders>
          </w:tcPr>
          <w:p w14:paraId="228A9780" w14:textId="212FD7F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39E2D926" w14:textId="260B5C5B" w:rsidR="000478E1" w:rsidRPr="003E75E3" w:rsidRDefault="000478E1" w:rsidP="009407C1">
            <w:pPr>
              <w:pStyle w:val="TableText"/>
              <w:tabs>
                <w:tab w:val="left" w:pos="3306"/>
              </w:tabs>
              <w:spacing w:before="60"/>
              <w:rPr>
                <w:rFonts w:asciiTheme="minorHAnsi" w:hAnsiTheme="minorHAnsi" w:cstheme="minorHAnsi"/>
                <w:b/>
                <w:bCs/>
              </w:rPr>
            </w:pPr>
            <w:r w:rsidRPr="003E75E3">
              <w:rPr>
                <w:rFonts w:asciiTheme="minorHAnsi" w:hAnsiTheme="minorHAnsi" w:cstheme="minorHAnsi"/>
              </w:rPr>
              <w:t xml:space="preserve">Expected Credit Loss Expense </w:t>
            </w:r>
          </w:p>
        </w:tc>
        <w:tc>
          <w:tcPr>
            <w:tcW w:w="533" w:type="pct"/>
            <w:tcBorders>
              <w:top w:val="nil"/>
              <w:left w:val="nil"/>
              <w:bottom w:val="single" w:sz="4" w:space="0" w:color="auto"/>
              <w:right w:val="nil"/>
            </w:tcBorders>
            <w:vAlign w:val="center"/>
          </w:tcPr>
          <w:p w14:paraId="4EB163DD"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nil"/>
              <w:left w:val="nil"/>
              <w:bottom w:val="single" w:sz="4" w:space="0" w:color="auto"/>
              <w:right w:val="nil"/>
            </w:tcBorders>
            <w:vAlign w:val="center"/>
          </w:tcPr>
          <w:p w14:paraId="0651060E"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47BA5DB7" w14:textId="77777777" w:rsidTr="005F5B4C">
        <w:trPr>
          <w:cantSplit/>
          <w:trHeight w:val="23"/>
        </w:trPr>
        <w:tc>
          <w:tcPr>
            <w:tcW w:w="736" w:type="pct"/>
            <w:tcBorders>
              <w:top w:val="nil"/>
              <w:left w:val="single" w:sz="2" w:space="0" w:color="auto"/>
              <w:bottom w:val="nil"/>
              <w:right w:val="single" w:sz="2" w:space="0" w:color="auto"/>
            </w:tcBorders>
          </w:tcPr>
          <w:p w14:paraId="1493F16E"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AA1D58B" w14:textId="1CE2C6BC" w:rsidR="000478E1" w:rsidRPr="003E75E3" w:rsidRDefault="000478E1" w:rsidP="009407C1">
            <w:pPr>
              <w:pStyle w:val="TableText"/>
              <w:tabs>
                <w:tab w:val="left" w:pos="3306"/>
              </w:tabs>
              <w:spacing w:before="60"/>
              <w:rPr>
                <w:rFonts w:asciiTheme="minorHAnsi" w:hAnsiTheme="minorHAnsi" w:cstheme="minorHAnsi"/>
                <w:b/>
                <w:bCs/>
              </w:rPr>
            </w:pPr>
            <w:r w:rsidRPr="003E75E3">
              <w:rPr>
                <w:rFonts w:asciiTheme="minorHAnsi" w:hAnsiTheme="minorHAnsi" w:cstheme="minorHAnsi"/>
                <w:b/>
                <w:bCs/>
              </w:rPr>
              <w:t xml:space="preserve">Allowance for Impairment Losses at the End of the Reporting Period </w:t>
            </w:r>
          </w:p>
        </w:tc>
        <w:tc>
          <w:tcPr>
            <w:tcW w:w="533" w:type="pct"/>
            <w:tcBorders>
              <w:top w:val="single" w:sz="4" w:space="0" w:color="auto"/>
              <w:left w:val="nil"/>
              <w:bottom w:val="double" w:sz="4" w:space="0" w:color="auto"/>
              <w:right w:val="nil"/>
            </w:tcBorders>
            <w:vAlign w:val="bottom"/>
          </w:tcPr>
          <w:p w14:paraId="7D89DB08"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2CA4C22F"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C827FF" w14:paraId="7656CE15" w14:textId="77777777" w:rsidTr="005F5B4C">
        <w:trPr>
          <w:cantSplit/>
          <w:trHeight w:val="23"/>
        </w:trPr>
        <w:tc>
          <w:tcPr>
            <w:tcW w:w="736" w:type="pct"/>
            <w:tcBorders>
              <w:top w:val="nil"/>
              <w:left w:val="single" w:sz="2" w:space="0" w:color="auto"/>
              <w:bottom w:val="nil"/>
              <w:right w:val="single" w:sz="2" w:space="0" w:color="auto"/>
            </w:tcBorders>
          </w:tcPr>
          <w:p w14:paraId="7AA34C98"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65BE6046" w14:textId="77777777" w:rsidR="000478E1" w:rsidRPr="003E75E3" w:rsidRDefault="000478E1" w:rsidP="000478E1">
            <w:pPr>
              <w:pStyle w:val="TableText"/>
              <w:tabs>
                <w:tab w:val="left" w:pos="3306"/>
              </w:tabs>
              <w:rPr>
                <w:rFonts w:asciiTheme="minorHAnsi" w:hAnsiTheme="minorHAnsi" w:cstheme="minorHAnsi"/>
                <w:b/>
                <w:bCs/>
                <w:highlight w:val="yellow"/>
              </w:rPr>
            </w:pPr>
          </w:p>
        </w:tc>
        <w:tc>
          <w:tcPr>
            <w:tcW w:w="533" w:type="pct"/>
            <w:tcBorders>
              <w:top w:val="double" w:sz="4" w:space="0" w:color="auto"/>
              <w:left w:val="nil"/>
              <w:bottom w:val="nil"/>
              <w:right w:val="nil"/>
            </w:tcBorders>
            <w:vAlign w:val="bottom"/>
          </w:tcPr>
          <w:p w14:paraId="53803D69" w14:textId="77777777" w:rsidR="000478E1" w:rsidRPr="003E75E3" w:rsidRDefault="000478E1" w:rsidP="000478E1">
            <w:pPr>
              <w:pStyle w:val="TableTitle"/>
              <w:tabs>
                <w:tab w:val="left" w:pos="3306"/>
              </w:tabs>
              <w:rPr>
                <w:rFonts w:asciiTheme="minorHAnsi" w:hAnsiTheme="minorHAnsi" w:cstheme="minorHAnsi"/>
              </w:rPr>
            </w:pPr>
          </w:p>
        </w:tc>
        <w:tc>
          <w:tcPr>
            <w:tcW w:w="781" w:type="pct"/>
            <w:gridSpan w:val="2"/>
            <w:tcBorders>
              <w:top w:val="double" w:sz="4" w:space="0" w:color="auto"/>
              <w:left w:val="nil"/>
              <w:bottom w:val="nil"/>
              <w:right w:val="nil"/>
            </w:tcBorders>
            <w:vAlign w:val="bottom"/>
          </w:tcPr>
          <w:p w14:paraId="79C0D921" w14:textId="77777777" w:rsidR="000478E1" w:rsidRPr="003E75E3" w:rsidRDefault="000478E1" w:rsidP="000478E1">
            <w:pPr>
              <w:pStyle w:val="TableTitle"/>
              <w:tabs>
                <w:tab w:val="left" w:pos="3306"/>
              </w:tabs>
              <w:rPr>
                <w:rFonts w:asciiTheme="minorHAnsi" w:hAnsiTheme="minorHAnsi" w:cstheme="minorHAnsi"/>
              </w:rPr>
            </w:pPr>
          </w:p>
        </w:tc>
      </w:tr>
      <w:tr w:rsidR="000478E1" w:rsidRPr="00C827FF" w14:paraId="0EE6074A" w14:textId="77777777" w:rsidTr="005F5B4C">
        <w:trPr>
          <w:cantSplit/>
          <w:trHeight w:val="23"/>
        </w:trPr>
        <w:tc>
          <w:tcPr>
            <w:tcW w:w="736" w:type="pct"/>
            <w:tcBorders>
              <w:top w:val="nil"/>
              <w:left w:val="single" w:sz="2" w:space="0" w:color="auto"/>
              <w:bottom w:val="nil"/>
              <w:right w:val="single" w:sz="2" w:space="0" w:color="auto"/>
            </w:tcBorders>
          </w:tcPr>
          <w:p w14:paraId="09B3EABA"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vAlign w:val="bottom"/>
          </w:tcPr>
          <w:p w14:paraId="56409BDD" w14:textId="5337BE4E" w:rsidR="000478E1" w:rsidRPr="003E75E3" w:rsidRDefault="000478E1" w:rsidP="000478E1">
            <w:pPr>
              <w:pStyle w:val="TableText"/>
              <w:tabs>
                <w:tab w:val="left" w:pos="3306"/>
              </w:tabs>
              <w:rPr>
                <w:rFonts w:asciiTheme="minorHAnsi" w:hAnsiTheme="minorHAnsi" w:cstheme="minorHAnsi"/>
                <w:b/>
                <w:bCs/>
              </w:rPr>
            </w:pPr>
            <w:r w:rsidRPr="003E75E3">
              <w:rPr>
                <w:rFonts w:asciiTheme="minorHAnsi" w:hAnsiTheme="minorHAnsi" w:cstheme="minorHAnsi"/>
                <w:b/>
                <w:bCs/>
              </w:rPr>
              <w:t>Contract Assets</w:t>
            </w:r>
          </w:p>
        </w:tc>
        <w:tc>
          <w:tcPr>
            <w:tcW w:w="533" w:type="pct"/>
            <w:tcBorders>
              <w:top w:val="nil"/>
              <w:left w:val="nil"/>
              <w:bottom w:val="nil"/>
              <w:right w:val="nil"/>
            </w:tcBorders>
            <w:vAlign w:val="bottom"/>
          </w:tcPr>
          <w:p w14:paraId="07A85344" w14:textId="77777777" w:rsidR="000478E1" w:rsidRPr="003E75E3" w:rsidRDefault="000478E1" w:rsidP="000478E1">
            <w:pPr>
              <w:pStyle w:val="TableTitle"/>
              <w:tabs>
                <w:tab w:val="left" w:pos="3306"/>
              </w:tabs>
              <w:rPr>
                <w:rFonts w:asciiTheme="minorHAnsi" w:hAnsiTheme="minorHAnsi" w:cstheme="minorHAnsi"/>
              </w:rPr>
            </w:pPr>
          </w:p>
        </w:tc>
        <w:tc>
          <w:tcPr>
            <w:tcW w:w="781" w:type="pct"/>
            <w:gridSpan w:val="2"/>
            <w:tcBorders>
              <w:top w:val="nil"/>
              <w:left w:val="nil"/>
              <w:bottom w:val="nil"/>
              <w:right w:val="nil"/>
            </w:tcBorders>
            <w:vAlign w:val="bottom"/>
          </w:tcPr>
          <w:p w14:paraId="5F8F1358" w14:textId="77777777" w:rsidR="000478E1" w:rsidRPr="003E75E3" w:rsidRDefault="000478E1" w:rsidP="000478E1">
            <w:pPr>
              <w:pStyle w:val="TableTitle"/>
              <w:tabs>
                <w:tab w:val="left" w:pos="3306"/>
              </w:tabs>
              <w:rPr>
                <w:rFonts w:asciiTheme="minorHAnsi" w:hAnsiTheme="minorHAnsi" w:cstheme="minorHAnsi"/>
              </w:rPr>
            </w:pPr>
          </w:p>
        </w:tc>
      </w:tr>
      <w:tr w:rsidR="000478E1" w:rsidRPr="001E4E9E" w14:paraId="189C5094" w14:textId="77777777" w:rsidTr="005F5B4C">
        <w:trPr>
          <w:cantSplit/>
          <w:trHeight w:val="23"/>
        </w:trPr>
        <w:tc>
          <w:tcPr>
            <w:tcW w:w="736" w:type="pct"/>
            <w:tcBorders>
              <w:top w:val="nil"/>
              <w:left w:val="single" w:sz="2" w:space="0" w:color="auto"/>
              <w:bottom w:val="nil"/>
              <w:right w:val="single" w:sz="2" w:space="0" w:color="auto"/>
            </w:tcBorders>
          </w:tcPr>
          <w:p w14:paraId="29B2601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3B1C899A" w14:textId="77777777" w:rsidR="000478E1" w:rsidRPr="003E75E3" w:rsidRDefault="000478E1" w:rsidP="009407C1">
            <w:pPr>
              <w:pStyle w:val="TableText"/>
              <w:tabs>
                <w:tab w:val="left" w:pos="3306"/>
              </w:tabs>
              <w:rPr>
                <w:rFonts w:asciiTheme="minorHAnsi" w:hAnsiTheme="minorHAnsi" w:cstheme="minorHAnsi"/>
              </w:rPr>
            </w:pPr>
            <w:r w:rsidRPr="003E75E3">
              <w:rPr>
                <w:rFonts w:asciiTheme="minorHAnsi" w:hAnsiTheme="minorHAnsi" w:cstheme="minorHAnsi"/>
              </w:rPr>
              <w:t xml:space="preserve">Allowance </w:t>
            </w:r>
            <w:r w:rsidRPr="003E75E3">
              <w:rPr>
                <w:rFonts w:cs="Calibri"/>
              </w:rPr>
              <w:t xml:space="preserve">for Impairment Losses </w:t>
            </w:r>
            <w:r w:rsidRPr="003E75E3">
              <w:rPr>
                <w:rFonts w:asciiTheme="minorHAnsi" w:hAnsiTheme="minorHAnsi" w:cstheme="minorHAnsi"/>
              </w:rPr>
              <w:t xml:space="preserve">at the Beginning of the Reporting Period </w:t>
            </w:r>
          </w:p>
        </w:tc>
        <w:tc>
          <w:tcPr>
            <w:tcW w:w="533" w:type="pct"/>
            <w:tcBorders>
              <w:top w:val="nil"/>
              <w:left w:val="nil"/>
              <w:bottom w:val="nil"/>
              <w:right w:val="nil"/>
            </w:tcBorders>
            <w:vAlign w:val="bottom"/>
          </w:tcPr>
          <w:p w14:paraId="50D7A479" w14:textId="77777777" w:rsidR="000478E1" w:rsidRPr="003E75E3" w:rsidRDefault="000478E1" w:rsidP="000478E1">
            <w:pPr>
              <w:pStyle w:val="TableText"/>
              <w:tabs>
                <w:tab w:val="left" w:pos="3306"/>
              </w:tabs>
              <w:jc w:val="right"/>
              <w:rPr>
                <w:rFonts w:asciiTheme="minorHAnsi" w:hAnsiTheme="minorHAnsi" w:cstheme="minorHAnsi"/>
                <w:strike/>
              </w:rPr>
            </w:pPr>
          </w:p>
        </w:tc>
        <w:tc>
          <w:tcPr>
            <w:tcW w:w="781" w:type="pct"/>
            <w:gridSpan w:val="2"/>
            <w:tcBorders>
              <w:top w:val="nil"/>
              <w:left w:val="nil"/>
              <w:bottom w:val="nil"/>
              <w:right w:val="nil"/>
            </w:tcBorders>
            <w:vAlign w:val="bottom"/>
          </w:tcPr>
          <w:p w14:paraId="7BCD9364" w14:textId="77777777" w:rsidR="000478E1" w:rsidRPr="003E75E3" w:rsidRDefault="000478E1" w:rsidP="000478E1">
            <w:pPr>
              <w:pStyle w:val="TableText"/>
              <w:tabs>
                <w:tab w:val="left" w:pos="3306"/>
              </w:tabs>
              <w:jc w:val="right"/>
              <w:rPr>
                <w:rFonts w:asciiTheme="minorHAnsi" w:hAnsiTheme="minorHAnsi" w:cstheme="minorHAnsi"/>
                <w:strike/>
              </w:rPr>
            </w:pPr>
          </w:p>
        </w:tc>
      </w:tr>
      <w:tr w:rsidR="000478E1" w:rsidRPr="001E4E9E" w14:paraId="2DDD8953" w14:textId="77777777" w:rsidTr="005F5B4C">
        <w:trPr>
          <w:cantSplit/>
          <w:trHeight w:val="23"/>
        </w:trPr>
        <w:tc>
          <w:tcPr>
            <w:tcW w:w="736" w:type="pct"/>
            <w:tcBorders>
              <w:top w:val="nil"/>
              <w:left w:val="single" w:sz="2" w:space="0" w:color="auto"/>
              <w:bottom w:val="nil"/>
              <w:right w:val="single" w:sz="2" w:space="0" w:color="auto"/>
            </w:tcBorders>
          </w:tcPr>
          <w:p w14:paraId="3FCBEAF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0D013410" w14:textId="77777777" w:rsidR="000478E1" w:rsidRPr="003E75E3" w:rsidRDefault="000478E1" w:rsidP="009407C1">
            <w:pPr>
              <w:pStyle w:val="TableText"/>
              <w:tabs>
                <w:tab w:val="left" w:pos="3306"/>
              </w:tabs>
              <w:rPr>
                <w:rFonts w:asciiTheme="minorHAnsi" w:hAnsiTheme="minorHAnsi" w:cstheme="minorHAnsi"/>
              </w:rPr>
            </w:pPr>
            <w:r w:rsidRPr="003E75E3">
              <w:rPr>
                <w:rFonts w:asciiTheme="minorHAnsi" w:hAnsiTheme="minorHAnsi" w:cstheme="minorHAnsi"/>
              </w:rPr>
              <w:t>Reduction in Allowance from Amounts Recovered During the Reporting Period</w:t>
            </w:r>
          </w:p>
        </w:tc>
        <w:tc>
          <w:tcPr>
            <w:tcW w:w="533" w:type="pct"/>
            <w:tcBorders>
              <w:top w:val="nil"/>
              <w:left w:val="nil"/>
              <w:bottom w:val="nil"/>
              <w:right w:val="nil"/>
            </w:tcBorders>
            <w:vAlign w:val="bottom"/>
          </w:tcPr>
          <w:p w14:paraId="0236FDBE" w14:textId="77777777" w:rsidR="000478E1" w:rsidRPr="003E75E3"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bottom"/>
          </w:tcPr>
          <w:p w14:paraId="12B110C8" w14:textId="77777777" w:rsidR="000478E1" w:rsidRPr="003E75E3" w:rsidRDefault="000478E1" w:rsidP="000478E1">
            <w:pPr>
              <w:pStyle w:val="TableText"/>
              <w:tabs>
                <w:tab w:val="left" w:pos="3306"/>
              </w:tabs>
              <w:jc w:val="right"/>
              <w:rPr>
                <w:rFonts w:asciiTheme="minorHAnsi" w:hAnsiTheme="minorHAnsi" w:cstheme="minorHAnsi"/>
              </w:rPr>
            </w:pPr>
          </w:p>
        </w:tc>
      </w:tr>
      <w:tr w:rsidR="000478E1" w:rsidRPr="001E4E9E" w14:paraId="34DFFE2B" w14:textId="77777777" w:rsidTr="005F5B4C">
        <w:trPr>
          <w:cantSplit/>
          <w:trHeight w:val="23"/>
        </w:trPr>
        <w:tc>
          <w:tcPr>
            <w:tcW w:w="736" w:type="pct"/>
            <w:tcBorders>
              <w:top w:val="nil"/>
              <w:left w:val="single" w:sz="2" w:space="0" w:color="auto"/>
              <w:bottom w:val="nil"/>
              <w:right w:val="single" w:sz="2" w:space="0" w:color="auto"/>
            </w:tcBorders>
          </w:tcPr>
          <w:p w14:paraId="26E9F644" w14:textId="7777777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9.5.4.4</w:t>
            </w:r>
          </w:p>
        </w:tc>
        <w:tc>
          <w:tcPr>
            <w:tcW w:w="2950" w:type="pct"/>
            <w:tcBorders>
              <w:top w:val="nil"/>
              <w:left w:val="single" w:sz="2" w:space="0" w:color="auto"/>
              <w:bottom w:val="nil"/>
              <w:right w:val="nil"/>
            </w:tcBorders>
            <w:vAlign w:val="center"/>
          </w:tcPr>
          <w:p w14:paraId="7899629F" w14:textId="77777777" w:rsidR="000478E1" w:rsidRPr="003E75E3" w:rsidRDefault="000478E1" w:rsidP="009407C1">
            <w:pPr>
              <w:pStyle w:val="Commentary-Bullet"/>
              <w:numPr>
                <w:ilvl w:val="0"/>
                <w:numId w:val="0"/>
              </w:numPr>
              <w:spacing w:before="40"/>
              <w:jc w:val="left"/>
              <w:rPr>
                <w:rFonts w:asciiTheme="minorHAnsi" w:hAnsiTheme="minorHAnsi" w:cstheme="minorHAnsi"/>
                <w:sz w:val="18"/>
                <w:szCs w:val="18"/>
              </w:rPr>
            </w:pPr>
            <w:r w:rsidRPr="003E75E3">
              <w:rPr>
                <w:rFonts w:asciiTheme="minorHAnsi" w:hAnsiTheme="minorHAnsi" w:cstheme="minorHAnsi"/>
                <w:sz w:val="18"/>
                <w:szCs w:val="18"/>
              </w:rPr>
              <w:t xml:space="preserve">Reduction in Allowance from Amounts Written off During the Reporting Period </w:t>
            </w:r>
          </w:p>
        </w:tc>
        <w:tc>
          <w:tcPr>
            <w:tcW w:w="533" w:type="pct"/>
            <w:tcBorders>
              <w:top w:val="nil"/>
              <w:left w:val="nil"/>
              <w:bottom w:val="nil"/>
              <w:right w:val="nil"/>
            </w:tcBorders>
            <w:vAlign w:val="center"/>
          </w:tcPr>
          <w:p w14:paraId="2F695863" w14:textId="77777777" w:rsidR="000478E1" w:rsidRPr="003E75E3"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nil"/>
              <w:right w:val="nil"/>
            </w:tcBorders>
            <w:vAlign w:val="center"/>
          </w:tcPr>
          <w:p w14:paraId="777093B8" w14:textId="77777777" w:rsidR="000478E1" w:rsidRPr="003E75E3" w:rsidRDefault="000478E1" w:rsidP="000478E1">
            <w:pPr>
              <w:pStyle w:val="TableText"/>
              <w:tabs>
                <w:tab w:val="left" w:pos="3306"/>
              </w:tabs>
              <w:jc w:val="right"/>
              <w:rPr>
                <w:rFonts w:asciiTheme="minorHAnsi" w:hAnsiTheme="minorHAnsi" w:cstheme="minorHAnsi"/>
              </w:rPr>
            </w:pPr>
          </w:p>
        </w:tc>
      </w:tr>
      <w:tr w:rsidR="000478E1" w:rsidRPr="001E4E9E" w14:paraId="67B950B4" w14:textId="77777777" w:rsidTr="005F5B4C">
        <w:trPr>
          <w:cantSplit/>
          <w:trHeight w:val="23"/>
        </w:trPr>
        <w:tc>
          <w:tcPr>
            <w:tcW w:w="736" w:type="pct"/>
            <w:tcBorders>
              <w:top w:val="nil"/>
              <w:left w:val="single" w:sz="2" w:space="0" w:color="auto"/>
              <w:bottom w:val="nil"/>
              <w:right w:val="single" w:sz="2" w:space="0" w:color="auto"/>
            </w:tcBorders>
          </w:tcPr>
          <w:p w14:paraId="10268912" w14:textId="2B0599F9"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w:t>
            </w:r>
            <w:r w:rsidR="00FA7C77">
              <w:rPr>
                <w:rFonts w:cs="Calibri"/>
                <w:color w:val="7030A0"/>
                <w:sz w:val="14"/>
              </w:rPr>
              <w:t xml:space="preserve"> </w:t>
            </w:r>
            <w:r w:rsidRPr="003E75E3">
              <w:rPr>
                <w:rFonts w:cs="Calibri"/>
                <w:color w:val="7030A0"/>
                <w:sz w:val="14"/>
              </w:rPr>
              <w:t>9.5.5.8</w:t>
            </w:r>
          </w:p>
        </w:tc>
        <w:tc>
          <w:tcPr>
            <w:tcW w:w="2950" w:type="pct"/>
            <w:tcBorders>
              <w:top w:val="nil"/>
              <w:left w:val="single" w:sz="2" w:space="0" w:color="auto"/>
              <w:bottom w:val="nil"/>
              <w:right w:val="nil"/>
            </w:tcBorders>
            <w:vAlign w:val="center"/>
          </w:tcPr>
          <w:p w14:paraId="31653C06" w14:textId="77777777" w:rsidR="000478E1" w:rsidRPr="003E75E3" w:rsidRDefault="000478E1" w:rsidP="009407C1">
            <w:pPr>
              <w:pStyle w:val="Commentary-Bullet"/>
              <w:numPr>
                <w:ilvl w:val="0"/>
                <w:numId w:val="0"/>
              </w:numPr>
              <w:spacing w:after="0"/>
              <w:jc w:val="left"/>
              <w:rPr>
                <w:rFonts w:asciiTheme="minorHAnsi" w:hAnsiTheme="minorHAnsi" w:cstheme="minorHAnsi"/>
                <w:sz w:val="18"/>
                <w:szCs w:val="18"/>
              </w:rPr>
            </w:pPr>
            <w:r w:rsidRPr="003E75E3">
              <w:rPr>
                <w:rFonts w:asciiTheme="minorHAnsi" w:hAnsiTheme="minorHAnsi" w:cstheme="minorHAnsi"/>
                <w:sz w:val="18"/>
                <w:szCs w:val="18"/>
              </w:rPr>
              <w:t xml:space="preserve">Expected Credit Loss Expense </w:t>
            </w:r>
          </w:p>
        </w:tc>
        <w:tc>
          <w:tcPr>
            <w:tcW w:w="533" w:type="pct"/>
            <w:tcBorders>
              <w:top w:val="nil"/>
              <w:left w:val="nil"/>
              <w:bottom w:val="single" w:sz="4" w:space="0" w:color="auto"/>
              <w:right w:val="nil"/>
            </w:tcBorders>
            <w:vAlign w:val="center"/>
          </w:tcPr>
          <w:p w14:paraId="13BC8CC5" w14:textId="77777777" w:rsidR="000478E1" w:rsidRPr="003E75E3" w:rsidRDefault="000478E1" w:rsidP="000478E1">
            <w:pPr>
              <w:pStyle w:val="TableText"/>
              <w:tabs>
                <w:tab w:val="left" w:pos="3306"/>
              </w:tabs>
              <w:jc w:val="right"/>
              <w:rPr>
                <w:rFonts w:asciiTheme="minorHAnsi" w:hAnsiTheme="minorHAnsi" w:cstheme="minorHAnsi"/>
              </w:rPr>
            </w:pPr>
          </w:p>
        </w:tc>
        <w:tc>
          <w:tcPr>
            <w:tcW w:w="781" w:type="pct"/>
            <w:gridSpan w:val="2"/>
            <w:tcBorders>
              <w:top w:val="nil"/>
              <w:left w:val="nil"/>
              <w:bottom w:val="single" w:sz="4" w:space="0" w:color="auto"/>
              <w:right w:val="nil"/>
            </w:tcBorders>
            <w:vAlign w:val="center"/>
          </w:tcPr>
          <w:p w14:paraId="43712C32" w14:textId="77777777" w:rsidR="000478E1" w:rsidRPr="003E75E3" w:rsidRDefault="000478E1" w:rsidP="000478E1">
            <w:pPr>
              <w:pStyle w:val="TableText"/>
              <w:tabs>
                <w:tab w:val="left" w:pos="3306"/>
              </w:tabs>
              <w:ind w:left="360"/>
              <w:jc w:val="center"/>
              <w:rPr>
                <w:rFonts w:asciiTheme="minorHAnsi" w:hAnsiTheme="minorHAnsi" w:cstheme="minorHAnsi"/>
              </w:rPr>
            </w:pPr>
          </w:p>
        </w:tc>
      </w:tr>
      <w:tr w:rsidR="000478E1" w:rsidRPr="001E4E9E" w14:paraId="65B9F60C" w14:textId="77777777" w:rsidTr="005F5B4C">
        <w:trPr>
          <w:cantSplit/>
          <w:trHeight w:val="23"/>
        </w:trPr>
        <w:tc>
          <w:tcPr>
            <w:tcW w:w="736" w:type="pct"/>
            <w:tcBorders>
              <w:top w:val="nil"/>
              <w:left w:val="single" w:sz="2" w:space="0" w:color="auto"/>
              <w:bottom w:val="nil"/>
              <w:right w:val="single" w:sz="2" w:space="0" w:color="auto"/>
            </w:tcBorders>
          </w:tcPr>
          <w:p w14:paraId="4B5A01BA"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57010B78" w14:textId="77777777" w:rsidR="000478E1" w:rsidRPr="003E75E3" w:rsidRDefault="000478E1" w:rsidP="000478E1">
            <w:pPr>
              <w:pStyle w:val="TableText"/>
              <w:tabs>
                <w:tab w:val="left" w:pos="3306"/>
              </w:tabs>
              <w:spacing w:before="0"/>
              <w:rPr>
                <w:rFonts w:asciiTheme="minorHAnsi" w:hAnsiTheme="minorHAnsi" w:cstheme="minorHAnsi"/>
                <w:b/>
                <w:bCs/>
              </w:rPr>
            </w:pPr>
            <w:r w:rsidRPr="003E75E3">
              <w:rPr>
                <w:rFonts w:asciiTheme="minorHAnsi" w:hAnsiTheme="minorHAnsi" w:cstheme="minorHAnsi"/>
                <w:b/>
                <w:bCs/>
              </w:rPr>
              <w:t xml:space="preserve">Allowance for Impairment Losses at the End of the Reporting Period </w:t>
            </w:r>
          </w:p>
        </w:tc>
        <w:tc>
          <w:tcPr>
            <w:tcW w:w="533" w:type="pct"/>
            <w:tcBorders>
              <w:top w:val="single" w:sz="4" w:space="0" w:color="auto"/>
              <w:left w:val="nil"/>
              <w:bottom w:val="double" w:sz="4" w:space="0" w:color="auto"/>
              <w:right w:val="nil"/>
            </w:tcBorders>
            <w:vAlign w:val="bottom"/>
          </w:tcPr>
          <w:p w14:paraId="5E21DEB2"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single" w:sz="4" w:space="0" w:color="auto"/>
              <w:left w:val="nil"/>
              <w:bottom w:val="double" w:sz="4" w:space="0" w:color="auto"/>
              <w:right w:val="nil"/>
            </w:tcBorders>
            <w:vAlign w:val="bottom"/>
          </w:tcPr>
          <w:p w14:paraId="54694647"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1E4E9E" w14:paraId="66BDD1D8" w14:textId="77777777" w:rsidTr="005F5B4C">
        <w:trPr>
          <w:cantSplit/>
          <w:trHeight w:val="23"/>
        </w:trPr>
        <w:tc>
          <w:tcPr>
            <w:tcW w:w="736" w:type="pct"/>
            <w:tcBorders>
              <w:top w:val="nil"/>
              <w:left w:val="single" w:sz="2" w:space="0" w:color="auto"/>
              <w:bottom w:val="nil"/>
              <w:right w:val="single" w:sz="2" w:space="0" w:color="auto"/>
            </w:tcBorders>
          </w:tcPr>
          <w:p w14:paraId="21699C7A"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vAlign w:val="bottom"/>
          </w:tcPr>
          <w:p w14:paraId="6BA4A792" w14:textId="77777777" w:rsidR="000478E1" w:rsidRPr="003E75E3" w:rsidRDefault="000478E1" w:rsidP="000478E1">
            <w:pPr>
              <w:pStyle w:val="TableText"/>
              <w:tabs>
                <w:tab w:val="left" w:pos="3306"/>
              </w:tabs>
              <w:spacing w:before="0"/>
              <w:rPr>
                <w:rFonts w:asciiTheme="minorHAnsi" w:hAnsiTheme="minorHAnsi" w:cstheme="minorHAnsi"/>
                <w:b/>
                <w:bCs/>
              </w:rPr>
            </w:pPr>
          </w:p>
        </w:tc>
        <w:tc>
          <w:tcPr>
            <w:tcW w:w="533" w:type="pct"/>
            <w:tcBorders>
              <w:top w:val="double" w:sz="4" w:space="0" w:color="auto"/>
              <w:left w:val="nil"/>
              <w:bottom w:val="nil"/>
              <w:right w:val="nil"/>
            </w:tcBorders>
            <w:vAlign w:val="bottom"/>
          </w:tcPr>
          <w:p w14:paraId="26BD6F2C"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c>
          <w:tcPr>
            <w:tcW w:w="781" w:type="pct"/>
            <w:gridSpan w:val="2"/>
            <w:tcBorders>
              <w:top w:val="double" w:sz="4" w:space="0" w:color="auto"/>
              <w:left w:val="nil"/>
              <w:bottom w:val="nil"/>
              <w:right w:val="nil"/>
            </w:tcBorders>
            <w:vAlign w:val="bottom"/>
          </w:tcPr>
          <w:p w14:paraId="4C5EAA73" w14:textId="77777777" w:rsidR="000478E1" w:rsidRPr="003E75E3" w:rsidRDefault="000478E1" w:rsidP="000478E1">
            <w:pPr>
              <w:pStyle w:val="TableText"/>
              <w:tabs>
                <w:tab w:val="left" w:pos="3306"/>
              </w:tabs>
              <w:spacing w:before="0"/>
              <w:jc w:val="right"/>
              <w:rPr>
                <w:rFonts w:asciiTheme="minorHAnsi" w:hAnsiTheme="minorHAnsi" w:cstheme="minorHAnsi"/>
                <w:b/>
                <w:bCs/>
                <w:strike/>
              </w:rPr>
            </w:pPr>
          </w:p>
        </w:tc>
      </w:tr>
      <w:tr w:rsidR="000478E1" w:rsidRPr="004304D7" w14:paraId="7364D55A" w14:textId="77777777" w:rsidTr="005F5B4C">
        <w:trPr>
          <w:cantSplit/>
          <w:trHeight w:val="23"/>
        </w:trPr>
        <w:tc>
          <w:tcPr>
            <w:tcW w:w="736" w:type="pct"/>
            <w:tcBorders>
              <w:top w:val="nil"/>
              <w:left w:val="single" w:sz="2" w:space="0" w:color="auto"/>
              <w:bottom w:val="nil"/>
              <w:right w:val="single" w:sz="2" w:space="0" w:color="auto"/>
            </w:tcBorders>
          </w:tcPr>
          <w:p w14:paraId="6A3A323F" w14:textId="77777777"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7.35K</w:t>
            </w:r>
          </w:p>
        </w:tc>
        <w:tc>
          <w:tcPr>
            <w:tcW w:w="4264" w:type="pct"/>
            <w:gridSpan w:val="4"/>
            <w:tcBorders>
              <w:top w:val="nil"/>
              <w:left w:val="single" w:sz="2" w:space="0" w:color="auto"/>
              <w:bottom w:val="nil"/>
              <w:right w:val="nil"/>
            </w:tcBorders>
            <w:shd w:val="clear" w:color="auto" w:fill="auto"/>
            <w:vAlign w:val="bottom"/>
          </w:tcPr>
          <w:p w14:paraId="55A699BD" w14:textId="77777777" w:rsidR="000478E1" w:rsidRPr="003E75E3" w:rsidRDefault="000478E1" w:rsidP="000478E1">
            <w:pPr>
              <w:pStyle w:val="CommentaryText"/>
              <w:rPr>
                <w:rFonts w:asciiTheme="minorHAnsi" w:hAnsiTheme="minorHAnsi" w:cstheme="minorHAnsi"/>
                <w:sz w:val="18"/>
                <w:szCs w:val="18"/>
              </w:rPr>
            </w:pPr>
            <w:r w:rsidRPr="003E75E3">
              <w:rPr>
                <w:rFonts w:asciiTheme="minorHAnsi" w:hAnsiTheme="minorHAnsi" w:cstheme="minorHAnsi"/>
                <w:sz w:val="18"/>
                <w:szCs w:val="18"/>
              </w:rPr>
              <w:t>The maximum exposure to credit risk at the end of the reporting period for Receivables is the carrying amount of the asset inclusive of any allowance for impairment as shown in the table above.</w:t>
            </w:r>
          </w:p>
        </w:tc>
      </w:tr>
      <w:tr w:rsidR="000478E1" w:rsidRPr="004304D7" w14:paraId="032BD6BA" w14:textId="77777777" w:rsidTr="005F5B4C">
        <w:trPr>
          <w:cantSplit/>
          <w:trHeight w:val="23"/>
        </w:trPr>
        <w:tc>
          <w:tcPr>
            <w:tcW w:w="736" w:type="pct"/>
            <w:tcBorders>
              <w:top w:val="nil"/>
              <w:left w:val="single" w:sz="2" w:space="0" w:color="auto"/>
              <w:bottom w:val="nil"/>
              <w:right w:val="single" w:sz="2" w:space="0" w:color="auto"/>
            </w:tcBorders>
          </w:tcPr>
          <w:p w14:paraId="69FCAA89" w14:textId="77777777" w:rsidR="000478E1" w:rsidRPr="003E75E3" w:rsidRDefault="000478E1" w:rsidP="000478E1">
            <w:pPr>
              <w:pStyle w:val="TableReference"/>
              <w:tabs>
                <w:tab w:val="left" w:pos="3306"/>
              </w:tabs>
              <w:spacing w:before="40"/>
              <w:rPr>
                <w:rFonts w:cs="Calibri"/>
                <w:color w:val="7030A0"/>
                <w:sz w:val="14"/>
              </w:rPr>
            </w:pPr>
          </w:p>
        </w:tc>
        <w:tc>
          <w:tcPr>
            <w:tcW w:w="4264" w:type="pct"/>
            <w:gridSpan w:val="4"/>
            <w:tcBorders>
              <w:top w:val="nil"/>
              <w:left w:val="single" w:sz="2" w:space="0" w:color="auto"/>
              <w:bottom w:val="nil"/>
              <w:right w:val="nil"/>
            </w:tcBorders>
            <w:shd w:val="clear" w:color="auto" w:fill="auto"/>
            <w:vAlign w:val="bottom"/>
          </w:tcPr>
          <w:p w14:paraId="1D272E67" w14:textId="0FE66CDF" w:rsidR="000478E1" w:rsidRPr="003E75E3" w:rsidRDefault="000478E1" w:rsidP="000478E1">
            <w:pPr>
              <w:pStyle w:val="CommentaryText"/>
              <w:spacing w:after="40"/>
              <w:rPr>
                <w:rFonts w:asciiTheme="minorHAnsi" w:hAnsiTheme="minorHAnsi" w:cstheme="minorHAnsi"/>
                <w:b/>
                <w:bCs/>
                <w:sz w:val="18"/>
                <w:szCs w:val="18"/>
              </w:rPr>
            </w:pPr>
            <w:r w:rsidRPr="003E75E3">
              <w:rPr>
                <w:rFonts w:asciiTheme="minorHAnsi" w:hAnsiTheme="minorHAnsi" w:cstheme="minorHAnsi"/>
                <w:b/>
                <w:bCs/>
                <w:sz w:val="18"/>
                <w:szCs w:val="18"/>
              </w:rPr>
              <w:t>Lessor of Finance Leases</w:t>
            </w:r>
          </w:p>
        </w:tc>
      </w:tr>
      <w:tr w:rsidR="000478E1" w:rsidRPr="004304D7" w14:paraId="3780C1F4" w14:textId="77777777" w:rsidTr="005F5B4C">
        <w:trPr>
          <w:cantSplit/>
          <w:trHeight w:val="23"/>
        </w:trPr>
        <w:tc>
          <w:tcPr>
            <w:tcW w:w="736" w:type="pct"/>
            <w:tcBorders>
              <w:top w:val="nil"/>
              <w:left w:val="single" w:sz="2" w:space="0" w:color="auto"/>
              <w:bottom w:val="nil"/>
              <w:right w:val="single" w:sz="2" w:space="0" w:color="auto"/>
            </w:tcBorders>
          </w:tcPr>
          <w:p w14:paraId="3772AA26" w14:textId="4992433B" w:rsidR="000478E1" w:rsidRPr="003E75E3" w:rsidRDefault="000478E1" w:rsidP="000478E1">
            <w:pPr>
              <w:pStyle w:val="TableReference"/>
              <w:tabs>
                <w:tab w:val="left" w:pos="3306"/>
              </w:tabs>
              <w:spacing w:before="40"/>
              <w:rPr>
                <w:rFonts w:cs="Calibri"/>
                <w:color w:val="7030A0"/>
                <w:sz w:val="14"/>
              </w:rPr>
            </w:pPr>
            <w:r w:rsidRPr="003E75E3">
              <w:rPr>
                <w:rFonts w:cs="Calibri"/>
                <w:color w:val="7030A0"/>
                <w:sz w:val="14"/>
              </w:rPr>
              <w:t>AASB 16.94</w:t>
            </w:r>
          </w:p>
        </w:tc>
        <w:tc>
          <w:tcPr>
            <w:tcW w:w="4264" w:type="pct"/>
            <w:gridSpan w:val="4"/>
            <w:tcBorders>
              <w:top w:val="nil"/>
              <w:left w:val="single" w:sz="2" w:space="0" w:color="auto"/>
              <w:bottom w:val="nil"/>
              <w:right w:val="nil"/>
            </w:tcBorders>
            <w:shd w:val="clear" w:color="auto" w:fill="auto"/>
            <w:vAlign w:val="bottom"/>
          </w:tcPr>
          <w:p w14:paraId="44F649F9" w14:textId="01B17DEA" w:rsidR="000478E1" w:rsidRPr="003E75E3" w:rsidRDefault="000478E1" w:rsidP="000478E1">
            <w:pPr>
              <w:pStyle w:val="CommentaryText"/>
              <w:rPr>
                <w:sz w:val="18"/>
                <w:szCs w:val="18"/>
              </w:rPr>
            </w:pPr>
            <w:r w:rsidRPr="003E75E3">
              <w:rPr>
                <w:sz w:val="18"/>
                <w:szCs w:val="18"/>
              </w:rPr>
              <w:t>Maturity analysis of lease receivable showing the undiscounted lease payments to be received after reporting date for finance leases:</w:t>
            </w:r>
          </w:p>
        </w:tc>
      </w:tr>
      <w:tr w:rsidR="000478E1" w:rsidRPr="004304D7" w14:paraId="4F149109" w14:textId="77777777" w:rsidTr="005F5B4C">
        <w:trPr>
          <w:cantSplit/>
          <w:trHeight w:val="23"/>
        </w:trPr>
        <w:tc>
          <w:tcPr>
            <w:tcW w:w="736" w:type="pct"/>
            <w:tcBorders>
              <w:top w:val="nil"/>
              <w:left w:val="single" w:sz="2" w:space="0" w:color="auto"/>
              <w:bottom w:val="nil"/>
              <w:right w:val="single" w:sz="2" w:space="0" w:color="auto"/>
            </w:tcBorders>
          </w:tcPr>
          <w:p w14:paraId="6A6B4C58"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6195F2DB" w14:textId="40784FEB"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&lt; 1 year</w:t>
            </w:r>
          </w:p>
        </w:tc>
        <w:tc>
          <w:tcPr>
            <w:tcW w:w="533" w:type="pct"/>
            <w:tcBorders>
              <w:top w:val="nil"/>
              <w:left w:val="nil"/>
              <w:bottom w:val="nil"/>
              <w:right w:val="nil"/>
            </w:tcBorders>
            <w:shd w:val="clear" w:color="auto" w:fill="auto"/>
            <w:vAlign w:val="bottom"/>
          </w:tcPr>
          <w:p w14:paraId="5092A67B"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315CC594" w14:textId="6E878F6B"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B4A6453" w14:textId="77777777" w:rsidTr="005F5B4C">
        <w:trPr>
          <w:cantSplit/>
          <w:trHeight w:val="23"/>
        </w:trPr>
        <w:tc>
          <w:tcPr>
            <w:tcW w:w="736" w:type="pct"/>
            <w:tcBorders>
              <w:top w:val="nil"/>
              <w:left w:val="single" w:sz="2" w:space="0" w:color="auto"/>
              <w:bottom w:val="nil"/>
              <w:right w:val="single" w:sz="2" w:space="0" w:color="auto"/>
            </w:tcBorders>
          </w:tcPr>
          <w:p w14:paraId="41F25165"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08295B26" w14:textId="17F6DB56"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1 – 2 years</w:t>
            </w:r>
          </w:p>
        </w:tc>
        <w:tc>
          <w:tcPr>
            <w:tcW w:w="533" w:type="pct"/>
            <w:tcBorders>
              <w:top w:val="nil"/>
              <w:left w:val="nil"/>
              <w:bottom w:val="nil"/>
              <w:right w:val="nil"/>
            </w:tcBorders>
            <w:shd w:val="clear" w:color="auto" w:fill="auto"/>
            <w:vAlign w:val="bottom"/>
          </w:tcPr>
          <w:p w14:paraId="359A70E9"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00EA65A7"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0D5929F5" w14:textId="77777777" w:rsidTr="005F5B4C">
        <w:trPr>
          <w:cantSplit/>
          <w:trHeight w:val="23"/>
        </w:trPr>
        <w:tc>
          <w:tcPr>
            <w:tcW w:w="736" w:type="pct"/>
            <w:tcBorders>
              <w:top w:val="nil"/>
              <w:left w:val="single" w:sz="2" w:space="0" w:color="auto"/>
              <w:bottom w:val="nil"/>
              <w:right w:val="single" w:sz="2" w:space="0" w:color="auto"/>
            </w:tcBorders>
          </w:tcPr>
          <w:p w14:paraId="3D4C4C27"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33125115" w14:textId="4D0B6592"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2 – 3 years</w:t>
            </w:r>
          </w:p>
        </w:tc>
        <w:tc>
          <w:tcPr>
            <w:tcW w:w="533" w:type="pct"/>
            <w:tcBorders>
              <w:top w:val="nil"/>
              <w:left w:val="nil"/>
              <w:bottom w:val="nil"/>
              <w:right w:val="nil"/>
            </w:tcBorders>
            <w:shd w:val="clear" w:color="auto" w:fill="auto"/>
            <w:vAlign w:val="bottom"/>
          </w:tcPr>
          <w:p w14:paraId="60BD4F18"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59903BF6"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722CC4DF" w14:textId="77777777" w:rsidTr="005F5B4C">
        <w:trPr>
          <w:cantSplit/>
          <w:trHeight w:val="23"/>
        </w:trPr>
        <w:tc>
          <w:tcPr>
            <w:tcW w:w="736" w:type="pct"/>
            <w:tcBorders>
              <w:top w:val="nil"/>
              <w:left w:val="single" w:sz="2" w:space="0" w:color="auto"/>
              <w:bottom w:val="nil"/>
              <w:right w:val="single" w:sz="2" w:space="0" w:color="auto"/>
            </w:tcBorders>
          </w:tcPr>
          <w:p w14:paraId="7F613CF6"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506C9B42" w14:textId="7A050365"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3 – 4 years</w:t>
            </w:r>
          </w:p>
        </w:tc>
        <w:tc>
          <w:tcPr>
            <w:tcW w:w="533" w:type="pct"/>
            <w:tcBorders>
              <w:top w:val="nil"/>
              <w:left w:val="nil"/>
              <w:bottom w:val="nil"/>
              <w:right w:val="nil"/>
            </w:tcBorders>
            <w:shd w:val="clear" w:color="auto" w:fill="auto"/>
            <w:vAlign w:val="bottom"/>
          </w:tcPr>
          <w:p w14:paraId="718D1069"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4BBB7964"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9960E0F" w14:textId="77777777" w:rsidTr="005F5B4C">
        <w:trPr>
          <w:cantSplit/>
          <w:trHeight w:val="23"/>
        </w:trPr>
        <w:tc>
          <w:tcPr>
            <w:tcW w:w="736" w:type="pct"/>
            <w:tcBorders>
              <w:top w:val="nil"/>
              <w:left w:val="single" w:sz="2" w:space="0" w:color="auto"/>
              <w:bottom w:val="nil"/>
              <w:right w:val="single" w:sz="2" w:space="0" w:color="auto"/>
            </w:tcBorders>
          </w:tcPr>
          <w:p w14:paraId="4E622AF1"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27164C6C" w14:textId="0476A2F8"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Between 4 – 5 years</w:t>
            </w:r>
          </w:p>
        </w:tc>
        <w:tc>
          <w:tcPr>
            <w:tcW w:w="533" w:type="pct"/>
            <w:tcBorders>
              <w:top w:val="nil"/>
              <w:left w:val="nil"/>
              <w:bottom w:val="nil"/>
              <w:right w:val="nil"/>
            </w:tcBorders>
            <w:shd w:val="clear" w:color="auto" w:fill="auto"/>
            <w:vAlign w:val="bottom"/>
          </w:tcPr>
          <w:p w14:paraId="1D7EA227"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nil"/>
              <w:right w:val="nil"/>
            </w:tcBorders>
            <w:shd w:val="clear" w:color="auto" w:fill="auto"/>
            <w:vAlign w:val="bottom"/>
          </w:tcPr>
          <w:p w14:paraId="1E1F809F"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7A929D43" w14:textId="77777777" w:rsidTr="005F5B4C">
        <w:trPr>
          <w:cantSplit/>
          <w:trHeight w:val="23"/>
        </w:trPr>
        <w:tc>
          <w:tcPr>
            <w:tcW w:w="736" w:type="pct"/>
            <w:tcBorders>
              <w:top w:val="nil"/>
              <w:left w:val="single" w:sz="2" w:space="0" w:color="auto"/>
              <w:bottom w:val="nil"/>
              <w:right w:val="single" w:sz="2" w:space="0" w:color="auto"/>
            </w:tcBorders>
          </w:tcPr>
          <w:p w14:paraId="23EA30B4" w14:textId="77777777" w:rsidR="000478E1" w:rsidRPr="003E75E3" w:rsidRDefault="000478E1" w:rsidP="000478E1">
            <w:pPr>
              <w:pStyle w:val="TableReference"/>
              <w:tabs>
                <w:tab w:val="left" w:pos="3306"/>
              </w:tabs>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6A5B40D4" w14:textId="384362B3"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Greater than 5 years</w:t>
            </w:r>
          </w:p>
        </w:tc>
        <w:tc>
          <w:tcPr>
            <w:tcW w:w="533" w:type="pct"/>
            <w:tcBorders>
              <w:top w:val="nil"/>
              <w:left w:val="nil"/>
              <w:bottom w:val="single" w:sz="2" w:space="0" w:color="auto"/>
              <w:right w:val="nil"/>
            </w:tcBorders>
            <w:shd w:val="clear" w:color="auto" w:fill="auto"/>
            <w:vAlign w:val="bottom"/>
          </w:tcPr>
          <w:p w14:paraId="49D3043E"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single" w:sz="2" w:space="0" w:color="auto"/>
              <w:right w:val="nil"/>
            </w:tcBorders>
            <w:shd w:val="clear" w:color="auto" w:fill="auto"/>
            <w:vAlign w:val="bottom"/>
          </w:tcPr>
          <w:p w14:paraId="3F56A8B2"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F1F5166" w14:textId="77777777" w:rsidTr="005F5B4C">
        <w:trPr>
          <w:cantSplit/>
          <w:trHeight w:val="23"/>
        </w:trPr>
        <w:tc>
          <w:tcPr>
            <w:tcW w:w="736" w:type="pct"/>
            <w:tcBorders>
              <w:top w:val="nil"/>
              <w:left w:val="single" w:sz="2" w:space="0" w:color="auto"/>
              <w:bottom w:val="nil"/>
              <w:right w:val="single" w:sz="2" w:space="0" w:color="auto"/>
            </w:tcBorders>
          </w:tcPr>
          <w:p w14:paraId="60A8CCD4"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46C6C38C" w14:textId="69CABED2"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b/>
                <w:sz w:val="18"/>
                <w:szCs w:val="18"/>
              </w:rPr>
              <w:t>Total Lease Receivables</w:t>
            </w:r>
          </w:p>
        </w:tc>
        <w:tc>
          <w:tcPr>
            <w:tcW w:w="533" w:type="pct"/>
            <w:tcBorders>
              <w:top w:val="single" w:sz="2" w:space="0" w:color="auto"/>
              <w:left w:val="nil"/>
              <w:bottom w:val="single" w:sz="2" w:space="0" w:color="auto"/>
              <w:right w:val="nil"/>
            </w:tcBorders>
            <w:shd w:val="clear" w:color="auto" w:fill="auto"/>
            <w:vAlign w:val="bottom"/>
          </w:tcPr>
          <w:p w14:paraId="5248A63A"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2" w:space="0" w:color="auto"/>
              <w:left w:val="nil"/>
              <w:bottom w:val="single" w:sz="2" w:space="0" w:color="auto"/>
              <w:right w:val="nil"/>
            </w:tcBorders>
            <w:shd w:val="clear" w:color="auto" w:fill="auto"/>
            <w:vAlign w:val="bottom"/>
          </w:tcPr>
          <w:p w14:paraId="481DED24"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6B7A8739" w14:textId="77777777" w:rsidTr="005F5B4C">
        <w:trPr>
          <w:cantSplit/>
          <w:trHeight w:val="23"/>
        </w:trPr>
        <w:tc>
          <w:tcPr>
            <w:tcW w:w="736" w:type="pct"/>
            <w:tcBorders>
              <w:top w:val="nil"/>
              <w:left w:val="single" w:sz="2" w:space="0" w:color="auto"/>
              <w:bottom w:val="nil"/>
              <w:right w:val="single" w:sz="2" w:space="0" w:color="auto"/>
            </w:tcBorders>
          </w:tcPr>
          <w:p w14:paraId="6BF210D7"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407CFA4C" w14:textId="22E2CD8A" w:rsidR="000478E1" w:rsidRPr="003E75E3" w:rsidRDefault="000478E1" w:rsidP="000478E1">
            <w:pPr>
              <w:pStyle w:val="CommentaryText"/>
              <w:spacing w:before="40" w:after="0"/>
              <w:rPr>
                <w:rFonts w:cstheme="minorHAnsi"/>
                <w:sz w:val="18"/>
                <w:szCs w:val="18"/>
              </w:rPr>
            </w:pPr>
            <w:r w:rsidRPr="003E75E3">
              <w:rPr>
                <w:rFonts w:cstheme="minorHAnsi"/>
                <w:sz w:val="18"/>
                <w:szCs w:val="18"/>
              </w:rPr>
              <w:t>Unguaranteed Residual Value - Undiscounted</w:t>
            </w:r>
          </w:p>
        </w:tc>
        <w:tc>
          <w:tcPr>
            <w:tcW w:w="533" w:type="pct"/>
            <w:tcBorders>
              <w:top w:val="single" w:sz="2" w:space="0" w:color="auto"/>
              <w:left w:val="nil"/>
              <w:bottom w:val="nil"/>
              <w:right w:val="nil"/>
            </w:tcBorders>
            <w:shd w:val="clear" w:color="auto" w:fill="auto"/>
            <w:vAlign w:val="bottom"/>
          </w:tcPr>
          <w:p w14:paraId="159B088F"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2" w:space="0" w:color="auto"/>
              <w:left w:val="nil"/>
              <w:bottom w:val="nil"/>
              <w:right w:val="nil"/>
            </w:tcBorders>
            <w:shd w:val="clear" w:color="auto" w:fill="auto"/>
            <w:vAlign w:val="bottom"/>
          </w:tcPr>
          <w:p w14:paraId="77A40C58"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65C91EAD" w14:textId="77777777" w:rsidTr="005F5B4C">
        <w:trPr>
          <w:cantSplit/>
          <w:trHeight w:val="23"/>
        </w:trPr>
        <w:tc>
          <w:tcPr>
            <w:tcW w:w="736" w:type="pct"/>
            <w:tcBorders>
              <w:top w:val="nil"/>
              <w:left w:val="single" w:sz="2" w:space="0" w:color="auto"/>
              <w:bottom w:val="nil"/>
              <w:right w:val="single" w:sz="2" w:space="0" w:color="auto"/>
            </w:tcBorders>
          </w:tcPr>
          <w:p w14:paraId="6A3C83E3"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2E9C844A" w14:textId="5C5E24BD" w:rsidR="000478E1" w:rsidRPr="003E75E3" w:rsidRDefault="000478E1" w:rsidP="000478E1">
            <w:pPr>
              <w:pStyle w:val="CommentaryText"/>
              <w:spacing w:before="40" w:after="0"/>
              <w:rPr>
                <w:rFonts w:asciiTheme="minorHAnsi" w:hAnsiTheme="minorHAnsi" w:cstheme="minorHAnsi"/>
                <w:sz w:val="18"/>
                <w:szCs w:val="18"/>
              </w:rPr>
            </w:pPr>
            <w:r w:rsidRPr="003E75E3">
              <w:rPr>
                <w:rFonts w:cstheme="minorHAnsi"/>
                <w:sz w:val="18"/>
                <w:szCs w:val="18"/>
              </w:rPr>
              <w:t>Less: Unearned Finance Income</w:t>
            </w:r>
          </w:p>
        </w:tc>
        <w:tc>
          <w:tcPr>
            <w:tcW w:w="533" w:type="pct"/>
            <w:tcBorders>
              <w:top w:val="nil"/>
              <w:left w:val="nil"/>
              <w:bottom w:val="single" w:sz="4" w:space="0" w:color="auto"/>
              <w:right w:val="nil"/>
            </w:tcBorders>
            <w:shd w:val="clear" w:color="auto" w:fill="auto"/>
            <w:vAlign w:val="bottom"/>
          </w:tcPr>
          <w:p w14:paraId="458BE925"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nil"/>
              <w:left w:val="nil"/>
              <w:bottom w:val="single" w:sz="4" w:space="0" w:color="auto"/>
              <w:right w:val="nil"/>
            </w:tcBorders>
            <w:shd w:val="clear" w:color="auto" w:fill="auto"/>
            <w:vAlign w:val="bottom"/>
          </w:tcPr>
          <w:p w14:paraId="237BF740" w14:textId="77777777" w:rsidR="000478E1" w:rsidRPr="003E75E3" w:rsidRDefault="000478E1" w:rsidP="000478E1">
            <w:pPr>
              <w:pStyle w:val="CommentaryText"/>
              <w:spacing w:after="0"/>
              <w:rPr>
                <w:rFonts w:asciiTheme="minorHAnsi" w:hAnsiTheme="minorHAnsi" w:cstheme="minorHAnsi"/>
                <w:sz w:val="18"/>
                <w:szCs w:val="18"/>
              </w:rPr>
            </w:pPr>
          </w:p>
        </w:tc>
      </w:tr>
      <w:tr w:rsidR="000478E1" w:rsidRPr="004304D7" w14:paraId="3A94703B" w14:textId="77777777" w:rsidTr="005F5B4C">
        <w:trPr>
          <w:cantSplit/>
          <w:trHeight w:val="23"/>
        </w:trPr>
        <w:tc>
          <w:tcPr>
            <w:tcW w:w="736" w:type="pct"/>
            <w:tcBorders>
              <w:top w:val="nil"/>
              <w:left w:val="single" w:sz="2" w:space="0" w:color="auto"/>
              <w:bottom w:val="nil"/>
              <w:right w:val="single" w:sz="2" w:space="0" w:color="auto"/>
            </w:tcBorders>
          </w:tcPr>
          <w:p w14:paraId="0BABF1F4" w14:textId="77777777" w:rsidR="000478E1" w:rsidRPr="003E75E3" w:rsidRDefault="000478E1" w:rsidP="000478E1">
            <w:pPr>
              <w:pStyle w:val="TableReference"/>
              <w:tabs>
                <w:tab w:val="left" w:pos="3306"/>
              </w:tabs>
              <w:spacing w:before="40"/>
              <w:rPr>
                <w:rFonts w:cs="Calibri"/>
                <w:color w:val="7030A0"/>
                <w:sz w:val="14"/>
              </w:rPr>
            </w:pPr>
          </w:p>
        </w:tc>
        <w:tc>
          <w:tcPr>
            <w:tcW w:w="2950" w:type="pct"/>
            <w:tcBorders>
              <w:top w:val="nil"/>
              <w:left w:val="single" w:sz="2" w:space="0" w:color="auto"/>
              <w:bottom w:val="nil"/>
              <w:right w:val="nil"/>
            </w:tcBorders>
            <w:shd w:val="clear" w:color="auto" w:fill="auto"/>
            <w:vAlign w:val="bottom"/>
          </w:tcPr>
          <w:p w14:paraId="5E6DE280" w14:textId="23338D0A" w:rsidR="000478E1" w:rsidRPr="003E75E3" w:rsidRDefault="000478E1" w:rsidP="000478E1">
            <w:pPr>
              <w:pStyle w:val="CommentaryText"/>
              <w:spacing w:before="40" w:after="0"/>
              <w:rPr>
                <w:rFonts w:cstheme="minorHAnsi"/>
                <w:sz w:val="18"/>
                <w:szCs w:val="18"/>
              </w:rPr>
            </w:pPr>
            <w:r w:rsidRPr="003E75E3">
              <w:rPr>
                <w:b/>
                <w:bCs/>
                <w:sz w:val="18"/>
                <w:szCs w:val="18"/>
              </w:rPr>
              <w:t>Net Investment in the Finance Lease</w:t>
            </w:r>
          </w:p>
        </w:tc>
        <w:tc>
          <w:tcPr>
            <w:tcW w:w="533" w:type="pct"/>
            <w:tcBorders>
              <w:top w:val="single" w:sz="4" w:space="0" w:color="auto"/>
              <w:left w:val="nil"/>
              <w:bottom w:val="double" w:sz="4" w:space="0" w:color="auto"/>
              <w:right w:val="nil"/>
            </w:tcBorders>
            <w:shd w:val="clear" w:color="auto" w:fill="auto"/>
            <w:vAlign w:val="bottom"/>
          </w:tcPr>
          <w:p w14:paraId="38971F91" w14:textId="77777777" w:rsidR="000478E1" w:rsidRPr="003E75E3" w:rsidRDefault="000478E1" w:rsidP="000478E1">
            <w:pPr>
              <w:pStyle w:val="CommentaryText"/>
              <w:spacing w:after="0"/>
              <w:rPr>
                <w:rFonts w:asciiTheme="minorHAnsi" w:hAnsiTheme="minorHAnsi" w:cstheme="minorHAnsi"/>
                <w:sz w:val="18"/>
                <w:szCs w:val="18"/>
              </w:rPr>
            </w:pPr>
          </w:p>
        </w:tc>
        <w:tc>
          <w:tcPr>
            <w:tcW w:w="781" w:type="pct"/>
            <w:gridSpan w:val="2"/>
            <w:tcBorders>
              <w:top w:val="single" w:sz="4" w:space="0" w:color="auto"/>
              <w:left w:val="nil"/>
              <w:bottom w:val="double" w:sz="4" w:space="0" w:color="auto"/>
              <w:right w:val="nil"/>
            </w:tcBorders>
            <w:shd w:val="clear" w:color="auto" w:fill="auto"/>
            <w:vAlign w:val="bottom"/>
          </w:tcPr>
          <w:p w14:paraId="18A2DA11" w14:textId="77777777" w:rsidR="000478E1" w:rsidRPr="003E75E3" w:rsidRDefault="000478E1" w:rsidP="000478E1">
            <w:pPr>
              <w:pStyle w:val="CommentaryText"/>
              <w:spacing w:after="0"/>
              <w:rPr>
                <w:rFonts w:asciiTheme="minorHAnsi" w:hAnsiTheme="minorHAnsi" w:cstheme="minorHAnsi"/>
                <w:sz w:val="18"/>
                <w:szCs w:val="18"/>
              </w:rPr>
            </w:pPr>
          </w:p>
        </w:tc>
      </w:tr>
    </w:tbl>
    <w:p w14:paraId="44D314F2" w14:textId="77777777" w:rsidR="00641FF6" w:rsidRDefault="00641FF6"/>
    <w:p w14:paraId="14493E35" w14:textId="77777777" w:rsidR="00641FF6" w:rsidRDefault="00641FF6"/>
    <w:p w14:paraId="45B8090D" w14:textId="77777777" w:rsidR="00641FF6" w:rsidRDefault="00641FF6"/>
    <w:p w14:paraId="229AF924" w14:textId="58E43452" w:rsidR="00D90F91" w:rsidRDefault="00B91A27">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8930"/>
      </w:tblGrid>
      <w:tr w:rsidR="004304D7" w:rsidRPr="00DD296A" w14:paraId="44D15969" w14:textId="77777777" w:rsidTr="005F5B4C">
        <w:trPr>
          <w:cantSplit/>
          <w:trHeight w:val="23"/>
        </w:trPr>
        <w:tc>
          <w:tcPr>
            <w:tcW w:w="745" w:type="pct"/>
            <w:tcBorders>
              <w:top w:val="nil"/>
              <w:left w:val="single" w:sz="2" w:space="0" w:color="auto"/>
              <w:bottom w:val="nil"/>
              <w:right w:val="single" w:sz="2" w:space="0" w:color="auto"/>
            </w:tcBorders>
          </w:tcPr>
          <w:p w14:paraId="47C9FE40" w14:textId="3FAF8116" w:rsidR="004304D7" w:rsidRPr="003E75E3" w:rsidRDefault="00191F90" w:rsidP="00526331">
            <w:pPr>
              <w:pStyle w:val="TableReference"/>
              <w:tabs>
                <w:tab w:val="left" w:pos="3306"/>
              </w:tabs>
              <w:spacing w:after="240"/>
              <w:rPr>
                <w:rFonts w:cs="Calibri"/>
                <w:color w:val="7030A0"/>
                <w:sz w:val="22"/>
                <w:szCs w:val="22"/>
              </w:rPr>
            </w:pPr>
            <w:r w:rsidRPr="003E75E3">
              <w:rPr>
                <w:color w:val="7030A0"/>
              </w:rPr>
              <w:br w:type="page"/>
            </w:r>
            <w:r w:rsidR="00522585" w:rsidRPr="003E75E3">
              <w:rPr>
                <w:rFonts w:cs="Calibri"/>
                <w:b/>
                <w:color w:val="7030A0"/>
                <w:sz w:val="22"/>
                <w:szCs w:val="22"/>
              </w:rPr>
              <w:t>Reference</w:t>
            </w:r>
          </w:p>
        </w:tc>
        <w:tc>
          <w:tcPr>
            <w:tcW w:w="4255" w:type="pct"/>
            <w:tcBorders>
              <w:top w:val="nil"/>
              <w:left w:val="single" w:sz="2" w:space="0" w:color="auto"/>
              <w:bottom w:val="nil"/>
              <w:right w:val="nil"/>
            </w:tcBorders>
            <w:shd w:val="clear" w:color="auto" w:fill="7030A0"/>
            <w:vAlign w:val="bottom"/>
          </w:tcPr>
          <w:p w14:paraId="2B2BA7CE" w14:textId="68588725" w:rsidR="004304D7" w:rsidRPr="003E75E3" w:rsidRDefault="004304D7" w:rsidP="00526331">
            <w:pPr>
              <w:pStyle w:val="CommentaryText"/>
              <w:spacing w:after="240"/>
              <w:rPr>
                <w:rFonts w:cs="Calibri"/>
                <w:b/>
                <w:color w:val="FFFFFF" w:themeColor="background1"/>
                <w:sz w:val="28"/>
                <w:szCs w:val="28"/>
              </w:rPr>
            </w:pPr>
            <w:bookmarkStart w:id="510" w:name="_Toc163106347"/>
            <w:r w:rsidRPr="003E75E3">
              <w:rPr>
                <w:rFonts w:cs="Calibri"/>
                <w:b/>
                <w:color w:val="FFFFFF" w:themeColor="background1"/>
                <w:sz w:val="28"/>
                <w:szCs w:val="28"/>
              </w:rPr>
              <w:t xml:space="preserve">Commentary – Note </w:t>
            </w:r>
            <w:r w:rsidR="001C1B00" w:rsidRPr="003E75E3">
              <w:rPr>
                <w:rFonts w:cs="Calibri"/>
                <w:b/>
                <w:color w:val="FFFFFF" w:themeColor="background1"/>
                <w:sz w:val="28"/>
                <w:szCs w:val="28"/>
              </w:rPr>
              <w:t>1</w:t>
            </w:r>
            <w:r w:rsidR="008B29B3" w:rsidRPr="003E75E3">
              <w:rPr>
                <w:rFonts w:cs="Calibri"/>
                <w:b/>
                <w:color w:val="FFFFFF" w:themeColor="background1"/>
                <w:sz w:val="28"/>
                <w:szCs w:val="28"/>
              </w:rPr>
              <w:t>6</w:t>
            </w:r>
            <w:r w:rsidRPr="003E75E3">
              <w:rPr>
                <w:rFonts w:cs="Calibri"/>
                <w:b/>
                <w:color w:val="FFFFFF" w:themeColor="background1"/>
                <w:sz w:val="28"/>
                <w:szCs w:val="28"/>
              </w:rPr>
              <w:t>: Receivables</w:t>
            </w:r>
            <w:bookmarkEnd w:id="510"/>
            <w:r w:rsidR="009143CA" w:rsidRPr="003E75E3">
              <w:rPr>
                <w:rFonts w:cs="Calibri"/>
                <w:b/>
                <w:color w:val="FFFFFF" w:themeColor="background1"/>
                <w:sz w:val="28"/>
                <w:szCs w:val="28"/>
              </w:rPr>
              <w:t xml:space="preserve"> </w:t>
            </w:r>
            <w:r w:rsidR="00EC4C82" w:rsidRPr="003E75E3">
              <w:rPr>
                <w:rFonts w:cs="Calibri"/>
                <w:b/>
                <w:color w:val="FFFFFF" w:themeColor="background1"/>
                <w:sz w:val="28"/>
                <w:szCs w:val="28"/>
              </w:rPr>
              <w:t>and Contract Assets</w:t>
            </w:r>
          </w:p>
        </w:tc>
      </w:tr>
      <w:tr w:rsidR="001869E2" w:rsidRPr="00DD296A" w14:paraId="1BDA500D" w14:textId="77777777" w:rsidTr="005F5B4C">
        <w:trPr>
          <w:cantSplit/>
          <w:trHeight w:val="23"/>
        </w:trPr>
        <w:tc>
          <w:tcPr>
            <w:tcW w:w="745" w:type="pct"/>
            <w:tcBorders>
              <w:top w:val="nil"/>
              <w:left w:val="single" w:sz="2" w:space="0" w:color="auto"/>
              <w:bottom w:val="nil"/>
              <w:right w:val="single" w:sz="2" w:space="0" w:color="auto"/>
            </w:tcBorders>
          </w:tcPr>
          <w:p w14:paraId="3A47B892" w14:textId="77777777" w:rsidR="001869E2" w:rsidRPr="003E75E3" w:rsidRDefault="001869E2">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6C8094D3" w14:textId="761D4B83" w:rsidR="001869E2" w:rsidRPr="003E75E3" w:rsidRDefault="001869E2" w:rsidP="001869E2">
            <w:pPr>
              <w:pStyle w:val="CommentaryText"/>
              <w:rPr>
                <w:rFonts w:cs="Calibri"/>
                <w:b/>
                <w:bCs/>
                <w:color w:val="FFFFFF" w:themeColor="background1"/>
                <w:sz w:val="18"/>
                <w:szCs w:val="18"/>
              </w:rPr>
            </w:pPr>
            <w:r w:rsidRPr="003E75E3">
              <w:rPr>
                <w:rFonts w:cs="Calibri"/>
                <w:color w:val="FFFFFF" w:themeColor="background1"/>
                <w:sz w:val="18"/>
                <w:szCs w:val="18"/>
              </w:rPr>
              <w:t>The model provides the minimum disclosure requirements under AASB 9, with the breakdown shown in this note disclosure being an example only.</w:t>
            </w:r>
            <w:r w:rsidR="00FA7C77">
              <w:rPr>
                <w:rFonts w:cs="Calibri"/>
                <w:color w:val="FFFFFF" w:themeColor="background1"/>
                <w:sz w:val="18"/>
                <w:szCs w:val="18"/>
              </w:rPr>
              <w:t xml:space="preserve"> </w:t>
            </w:r>
            <w:r w:rsidRPr="003E75E3">
              <w:rPr>
                <w:rFonts w:cs="Calibri"/>
                <w:color w:val="FFFFFF" w:themeColor="background1"/>
                <w:sz w:val="18"/>
                <w:szCs w:val="18"/>
              </w:rPr>
              <w:t>Agencies need to adapt this note to fit their circumstances and materiality.</w:t>
            </w:r>
            <w:r w:rsidR="00FA7C77">
              <w:rPr>
                <w:rFonts w:cs="Calibri"/>
                <w:color w:val="FFFFFF" w:themeColor="background1"/>
                <w:sz w:val="18"/>
                <w:szCs w:val="18"/>
              </w:rPr>
              <w:t xml:space="preserve"> </w:t>
            </w:r>
            <w:r w:rsidRPr="003E75E3">
              <w:rPr>
                <w:rFonts w:cs="Calibri"/>
                <w:color w:val="FFFFFF" w:themeColor="background1"/>
                <w:sz w:val="18"/>
                <w:szCs w:val="18"/>
              </w:rPr>
              <w:t>Agencies should only include line items that are applicable to them where material.</w:t>
            </w:r>
            <w:r w:rsidR="00FA7C77">
              <w:rPr>
                <w:rFonts w:cs="Calibri"/>
                <w:color w:val="FFFFFF" w:themeColor="background1"/>
                <w:sz w:val="18"/>
                <w:szCs w:val="18"/>
              </w:rPr>
              <w:t xml:space="preserve"> </w:t>
            </w:r>
            <w:r w:rsidRPr="003E75E3">
              <w:rPr>
                <w:rFonts w:cs="Calibri"/>
                <w:color w:val="FFFFFF" w:themeColor="background1"/>
                <w:sz w:val="18"/>
                <w:szCs w:val="18"/>
              </w:rPr>
              <w:t>For example, where an agency does not have a material amount of contract assets then contract assets should not be included in this note.</w:t>
            </w:r>
            <w:r w:rsidR="00FA7C77">
              <w:rPr>
                <w:rFonts w:cs="Calibri"/>
                <w:color w:val="FFFFFF" w:themeColor="background1"/>
                <w:sz w:val="18"/>
                <w:szCs w:val="18"/>
              </w:rPr>
              <w:t xml:space="preserve"> </w:t>
            </w:r>
            <w:r w:rsidRPr="003E75E3">
              <w:rPr>
                <w:rFonts w:cs="Calibri"/>
                <w:color w:val="FFFFFF" w:themeColor="background1"/>
                <w:sz w:val="18"/>
                <w:szCs w:val="18"/>
              </w:rPr>
              <w:t xml:space="preserve">Where this is the case, this note should be titled ‘Receiables’ and would only include receivables. </w:t>
            </w:r>
          </w:p>
        </w:tc>
      </w:tr>
      <w:tr w:rsidR="009F2AA9" w:rsidRPr="00DD296A" w14:paraId="6FD599B9" w14:textId="77777777" w:rsidTr="005F5B4C">
        <w:trPr>
          <w:cantSplit/>
          <w:trHeight w:val="23"/>
        </w:trPr>
        <w:tc>
          <w:tcPr>
            <w:tcW w:w="745" w:type="pct"/>
            <w:tcBorders>
              <w:top w:val="nil"/>
              <w:left w:val="single" w:sz="2" w:space="0" w:color="auto"/>
              <w:bottom w:val="nil"/>
              <w:right w:val="single" w:sz="2" w:space="0" w:color="auto"/>
            </w:tcBorders>
          </w:tcPr>
          <w:p w14:paraId="4A961467" w14:textId="77777777" w:rsidR="009F2AA9" w:rsidRPr="003E75E3" w:rsidRDefault="009F2AA9">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A998D7B" w14:textId="42FED775" w:rsidR="009F2AA9" w:rsidRPr="003E75E3" w:rsidRDefault="009F2AA9" w:rsidP="009F2AA9">
            <w:pPr>
              <w:pStyle w:val="CommentaryText"/>
              <w:rPr>
                <w:rFonts w:cs="Calibri"/>
                <w:color w:val="FFFFFF" w:themeColor="background1"/>
                <w:sz w:val="18"/>
                <w:szCs w:val="18"/>
              </w:rPr>
            </w:pPr>
            <w:r w:rsidRPr="003E75E3">
              <w:rPr>
                <w:rFonts w:cs="Calibri"/>
                <w:color w:val="FFFFFF" w:themeColor="background1"/>
                <w:sz w:val="18"/>
                <w:szCs w:val="18"/>
              </w:rPr>
              <w:t>A ‘Reconciliation of the Loss Allowance’ needs to be included for each type of receivable/contract asset (ie accounts receivable, loans receivable, contracts assets etc).</w:t>
            </w:r>
            <w:r w:rsidR="00FA7C77">
              <w:rPr>
                <w:rFonts w:cs="Calibri"/>
                <w:color w:val="FFFFFF" w:themeColor="background1"/>
                <w:sz w:val="18"/>
                <w:szCs w:val="18"/>
              </w:rPr>
              <w:t xml:space="preserve"> </w:t>
            </w:r>
            <w:r w:rsidRPr="003E75E3">
              <w:rPr>
                <w:rFonts w:cs="Calibri"/>
                <w:color w:val="FFFFFF" w:themeColor="background1"/>
                <w:sz w:val="18"/>
                <w:szCs w:val="18"/>
              </w:rPr>
              <w:t xml:space="preserve">However, where these reconcilitations are not material they do not need to be separately </w:t>
            </w:r>
            <w:r w:rsidR="00E7206A" w:rsidRPr="003E75E3">
              <w:rPr>
                <w:rFonts w:cs="Calibri"/>
                <w:color w:val="FFFFFF" w:themeColor="background1"/>
                <w:sz w:val="18"/>
                <w:szCs w:val="18"/>
              </w:rPr>
              <w:t>disclosed or could be combined</w:t>
            </w:r>
            <w:r w:rsidRPr="003E75E3">
              <w:rPr>
                <w:rFonts w:cs="Calibri"/>
                <w:color w:val="FFFFFF" w:themeColor="background1"/>
                <w:sz w:val="18"/>
                <w:szCs w:val="18"/>
              </w:rPr>
              <w:t>.</w:t>
            </w:r>
            <w:r w:rsidR="00FA7C77">
              <w:rPr>
                <w:rFonts w:cs="Calibri"/>
                <w:color w:val="FFFFFF" w:themeColor="background1"/>
                <w:sz w:val="18"/>
                <w:szCs w:val="18"/>
              </w:rPr>
              <w:t xml:space="preserve">  </w:t>
            </w:r>
            <w:r w:rsidRPr="003E75E3">
              <w:rPr>
                <w:rFonts w:cs="Calibri"/>
                <w:color w:val="FFFFFF" w:themeColor="background1"/>
                <w:sz w:val="18"/>
                <w:szCs w:val="18"/>
              </w:rPr>
              <w:t xml:space="preserve"> </w:t>
            </w:r>
          </w:p>
        </w:tc>
      </w:tr>
      <w:tr w:rsidR="00B36BAC" w:rsidRPr="00DD296A" w14:paraId="57AC9D64" w14:textId="77777777" w:rsidTr="005F5B4C">
        <w:trPr>
          <w:cantSplit/>
          <w:trHeight w:val="23"/>
        </w:trPr>
        <w:tc>
          <w:tcPr>
            <w:tcW w:w="745" w:type="pct"/>
            <w:tcBorders>
              <w:top w:val="nil"/>
              <w:left w:val="single" w:sz="2" w:space="0" w:color="auto"/>
              <w:bottom w:val="nil"/>
              <w:right w:val="single" w:sz="2" w:space="0" w:color="auto"/>
            </w:tcBorders>
          </w:tcPr>
          <w:p w14:paraId="06CE12CD" w14:textId="77777777" w:rsidR="00B36BAC" w:rsidRPr="003E75E3" w:rsidRDefault="00B36BAC">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AB4083C" w14:textId="414D8D08" w:rsidR="00B36BAC" w:rsidRPr="001F4216" w:rsidRDefault="00B36BAC" w:rsidP="00B36BAC">
            <w:pPr>
              <w:pStyle w:val="CommentaryText"/>
              <w:spacing w:after="0"/>
              <w:rPr>
                <w:rFonts w:cs="Calibri"/>
                <w:b/>
                <w:bCs/>
                <w:color w:val="FFFFFF" w:themeColor="background1"/>
                <w:szCs w:val="20"/>
              </w:rPr>
            </w:pPr>
            <w:r w:rsidRPr="001F4216">
              <w:rPr>
                <w:rFonts w:cs="Calibri"/>
                <w:b/>
                <w:bCs/>
                <w:color w:val="FFFFFF" w:themeColor="background1"/>
                <w:szCs w:val="20"/>
              </w:rPr>
              <w:t>Receivables</w:t>
            </w:r>
          </w:p>
        </w:tc>
      </w:tr>
      <w:tr w:rsidR="002F2737" w:rsidRPr="00DD296A" w14:paraId="4C087EFB" w14:textId="77777777" w:rsidTr="005F5B4C">
        <w:trPr>
          <w:cantSplit/>
          <w:trHeight w:val="23"/>
        </w:trPr>
        <w:tc>
          <w:tcPr>
            <w:tcW w:w="745" w:type="pct"/>
            <w:tcBorders>
              <w:top w:val="nil"/>
              <w:left w:val="single" w:sz="2" w:space="0" w:color="auto"/>
              <w:bottom w:val="nil"/>
              <w:right w:val="single" w:sz="2" w:space="0" w:color="auto"/>
            </w:tcBorders>
          </w:tcPr>
          <w:p w14:paraId="066E0863" w14:textId="77777777" w:rsidR="002F2737" w:rsidRPr="003E75E3" w:rsidRDefault="002F2737">
            <w:pPr>
              <w:pStyle w:val="TableReference"/>
              <w:tabs>
                <w:tab w:val="left" w:pos="3306"/>
              </w:tabs>
              <w:spacing w:before="40"/>
              <w:rPr>
                <w:rFonts w:cs="Calibri"/>
                <w:color w:val="7030A0"/>
                <w:sz w:val="14"/>
              </w:rPr>
            </w:pPr>
            <w:r w:rsidRPr="003E75E3">
              <w:rPr>
                <w:rFonts w:cs="Calibri"/>
                <w:color w:val="7030A0"/>
                <w:sz w:val="14"/>
              </w:rPr>
              <w:t>ACT Disclosure Policy</w:t>
            </w:r>
          </w:p>
        </w:tc>
        <w:tc>
          <w:tcPr>
            <w:tcW w:w="4255" w:type="pct"/>
            <w:tcBorders>
              <w:top w:val="nil"/>
              <w:left w:val="single" w:sz="2" w:space="0" w:color="auto"/>
              <w:bottom w:val="nil"/>
              <w:right w:val="nil"/>
            </w:tcBorders>
            <w:shd w:val="clear" w:color="auto" w:fill="7030A0"/>
            <w:vAlign w:val="bottom"/>
          </w:tcPr>
          <w:p w14:paraId="464479FB" w14:textId="1FC387AB" w:rsidR="002F2737" w:rsidRPr="003E75E3" w:rsidRDefault="002F2737" w:rsidP="00F642D8">
            <w:pPr>
              <w:pStyle w:val="CommentaryText"/>
              <w:rPr>
                <w:rFonts w:cs="Calibri"/>
                <w:color w:val="FFFFFF" w:themeColor="background1"/>
                <w:sz w:val="18"/>
                <w:szCs w:val="18"/>
              </w:rPr>
            </w:pPr>
            <w:r w:rsidRPr="003E75E3">
              <w:rPr>
                <w:rFonts w:cs="Calibri"/>
                <w:color w:val="FFFFFF" w:themeColor="background1"/>
                <w:sz w:val="18"/>
                <w:szCs w:val="18"/>
              </w:rPr>
              <w:t>An agency is not required to include disclosures associated with ageing of their receivables where it has no receivables that are past due or impaired.</w:t>
            </w:r>
            <w:r w:rsidR="00FA7C77">
              <w:rPr>
                <w:rFonts w:cs="Calibri"/>
                <w:color w:val="FFFFFF" w:themeColor="background1"/>
                <w:sz w:val="18"/>
                <w:szCs w:val="18"/>
              </w:rPr>
              <w:t xml:space="preserve"> </w:t>
            </w:r>
            <w:r w:rsidRPr="003E75E3">
              <w:rPr>
                <w:rFonts w:cs="Calibri"/>
                <w:color w:val="FFFFFF" w:themeColor="background1"/>
                <w:sz w:val="18"/>
                <w:szCs w:val="18"/>
              </w:rPr>
              <w:t>They can simply state that ‘No receivables are past due or impaired.’</w:t>
            </w:r>
          </w:p>
        </w:tc>
      </w:tr>
      <w:tr w:rsidR="00D14FEE" w:rsidRPr="00DD296A" w14:paraId="5745A85D" w14:textId="77777777" w:rsidTr="005F5B4C">
        <w:trPr>
          <w:cantSplit/>
          <w:trHeight w:val="23"/>
        </w:trPr>
        <w:tc>
          <w:tcPr>
            <w:tcW w:w="745" w:type="pct"/>
            <w:tcBorders>
              <w:top w:val="nil"/>
              <w:left w:val="single" w:sz="2" w:space="0" w:color="auto"/>
              <w:bottom w:val="nil"/>
              <w:right w:val="single" w:sz="2" w:space="0" w:color="auto"/>
            </w:tcBorders>
          </w:tcPr>
          <w:p w14:paraId="56493246" w14:textId="77777777" w:rsidR="00D14FEE" w:rsidRPr="003E75E3" w:rsidRDefault="00D14FEE" w:rsidP="00D14FEE">
            <w:pPr>
              <w:pStyle w:val="TableReference"/>
              <w:tabs>
                <w:tab w:val="left" w:pos="3306"/>
              </w:tabs>
              <w:spacing w:before="40"/>
              <w:rPr>
                <w:rFonts w:cs="Calibri"/>
                <w:color w:val="7030A0"/>
                <w:sz w:val="14"/>
              </w:rPr>
            </w:pPr>
            <w:r w:rsidRPr="003E75E3">
              <w:rPr>
                <w:rFonts w:cs="Calibri"/>
                <w:color w:val="7030A0"/>
                <w:sz w:val="14"/>
              </w:rPr>
              <w:t>AASB 9B5.5.35</w:t>
            </w:r>
          </w:p>
          <w:p w14:paraId="511A8C82" w14:textId="77777777" w:rsidR="00D14FEE" w:rsidRPr="003E75E3" w:rsidRDefault="00D14FEE" w:rsidP="00D14FEE">
            <w:pPr>
              <w:pStyle w:val="TableReference"/>
              <w:tabs>
                <w:tab w:val="left" w:pos="3306"/>
              </w:tabs>
              <w:spacing w:before="40"/>
              <w:rPr>
                <w:rFonts w:cs="Calibri"/>
                <w:color w:val="7030A0"/>
                <w:sz w:val="14"/>
              </w:rPr>
            </w:pPr>
            <w:r w:rsidRPr="003E75E3">
              <w:rPr>
                <w:rFonts w:cs="Calibri"/>
                <w:color w:val="7030A0"/>
                <w:sz w:val="14"/>
              </w:rPr>
              <w:t>AASB 9B5.5.51-52</w:t>
            </w:r>
          </w:p>
        </w:tc>
        <w:tc>
          <w:tcPr>
            <w:tcW w:w="4255" w:type="pct"/>
            <w:tcBorders>
              <w:top w:val="nil"/>
              <w:left w:val="single" w:sz="2" w:space="0" w:color="auto"/>
              <w:bottom w:val="nil"/>
              <w:right w:val="nil"/>
            </w:tcBorders>
            <w:shd w:val="clear" w:color="auto" w:fill="7030A0"/>
            <w:vAlign w:val="bottom"/>
          </w:tcPr>
          <w:p w14:paraId="7DD108A5" w14:textId="228E7F62" w:rsidR="00D14FEE" w:rsidRPr="003E75E3" w:rsidRDefault="00686F2E" w:rsidP="00723914">
            <w:pPr>
              <w:spacing w:after="120"/>
              <w:jc w:val="both"/>
              <w:rPr>
                <w:rFonts w:cs="Calibri"/>
                <w:bCs/>
                <w:color w:val="FFFFFF" w:themeColor="background1"/>
                <w:sz w:val="18"/>
                <w:szCs w:val="18"/>
              </w:rPr>
            </w:pPr>
            <w:r w:rsidRPr="003E75E3">
              <w:rPr>
                <w:rFonts w:eastAsia="Times"/>
                <w:color w:val="FFFFFF" w:themeColor="background1"/>
                <w:sz w:val="18"/>
                <w:szCs w:val="18"/>
              </w:rPr>
              <w:t>Agencies need not undertake an exhaustive search for information but should consider all reasonable and supportable information that is available without undue cost or effort and that is relevant to the estimate of expected credit losses, including the effect of expected prepayments. The information used should include factors that are specific to the borrower, general economic conditions and an assessment of both the current as well as the forecast direction of conditions at the reporting date. Agencies may use various sources of data, that may be both internal (agency-specific) and external. Possible data sources include internal historical credit loss experience, internal ratings, credit loss experience of other agencies and external ratings, reports and statistics. Agencies that have no, or insufficient, sources of entity-specific data may use peer group experience for the comparable financial instrument (or g</w:t>
            </w:r>
            <w:r w:rsidR="00DA4022" w:rsidRPr="003E75E3">
              <w:rPr>
                <w:rFonts w:eastAsia="Times"/>
                <w:color w:val="FFFFFF" w:themeColor="background1"/>
                <w:sz w:val="18"/>
                <w:szCs w:val="18"/>
              </w:rPr>
              <w:t>roups of financial instruments).</w:t>
            </w:r>
          </w:p>
        </w:tc>
      </w:tr>
      <w:tr w:rsidR="00011C67" w:rsidRPr="00DD296A" w14:paraId="16DE2E33" w14:textId="77777777" w:rsidTr="005F5B4C">
        <w:trPr>
          <w:cantSplit/>
          <w:trHeight w:val="23"/>
        </w:trPr>
        <w:tc>
          <w:tcPr>
            <w:tcW w:w="745" w:type="pct"/>
            <w:tcBorders>
              <w:top w:val="nil"/>
              <w:left w:val="single" w:sz="2" w:space="0" w:color="auto"/>
              <w:bottom w:val="nil"/>
              <w:right w:val="single" w:sz="2" w:space="0" w:color="auto"/>
            </w:tcBorders>
          </w:tcPr>
          <w:p w14:paraId="207C833C" w14:textId="77777777" w:rsidR="00011C67" w:rsidRPr="003E75E3" w:rsidRDefault="00011C67">
            <w:pPr>
              <w:pStyle w:val="TableReference"/>
              <w:tabs>
                <w:tab w:val="left" w:pos="3306"/>
              </w:tabs>
              <w:spacing w:before="40"/>
              <w:rPr>
                <w:rFonts w:cs="Calibri"/>
                <w:color w:val="7030A0"/>
                <w:sz w:val="16"/>
                <w:szCs w:val="16"/>
              </w:rPr>
            </w:pPr>
          </w:p>
        </w:tc>
        <w:tc>
          <w:tcPr>
            <w:tcW w:w="4255" w:type="pct"/>
            <w:tcBorders>
              <w:top w:val="nil"/>
              <w:left w:val="single" w:sz="2" w:space="0" w:color="auto"/>
              <w:bottom w:val="nil"/>
              <w:right w:val="nil"/>
            </w:tcBorders>
            <w:shd w:val="clear" w:color="auto" w:fill="7030A0"/>
            <w:vAlign w:val="bottom"/>
          </w:tcPr>
          <w:p w14:paraId="63C34965" w14:textId="4648A252" w:rsidR="00011C67" w:rsidRPr="003E75E3" w:rsidRDefault="00011C67">
            <w:pPr>
              <w:pStyle w:val="CommentaryText"/>
              <w:rPr>
                <w:rFonts w:cs="Calibri"/>
                <w:color w:val="FFFFFF" w:themeColor="background1"/>
                <w:sz w:val="18"/>
                <w:szCs w:val="18"/>
              </w:rPr>
            </w:pPr>
            <w:r w:rsidRPr="003E75E3">
              <w:rPr>
                <w:rFonts w:cs="Calibri"/>
                <w:color w:val="FFFFFF" w:themeColor="background1"/>
                <w:sz w:val="18"/>
                <w:szCs w:val="18"/>
              </w:rPr>
              <w:t xml:space="preserve">The </w:t>
            </w:r>
            <w:r w:rsidR="00FD1E41" w:rsidRPr="003E75E3">
              <w:rPr>
                <w:rFonts w:cs="Calibri"/>
                <w:color w:val="FFFFFF" w:themeColor="background1"/>
                <w:sz w:val="18"/>
                <w:szCs w:val="18"/>
              </w:rPr>
              <w:t>a</w:t>
            </w:r>
            <w:r w:rsidR="003C497C" w:rsidRPr="003E75E3">
              <w:rPr>
                <w:rFonts w:cs="Calibri"/>
                <w:color w:val="FFFFFF" w:themeColor="background1"/>
                <w:sz w:val="18"/>
                <w:szCs w:val="18"/>
              </w:rPr>
              <w:t>gency</w:t>
            </w:r>
            <w:r w:rsidRPr="003E75E3">
              <w:rPr>
                <w:rFonts w:cs="Calibri"/>
                <w:color w:val="FFFFFF" w:themeColor="background1"/>
                <w:sz w:val="18"/>
                <w:szCs w:val="18"/>
              </w:rPr>
              <w:t xml:space="preserve"> has a net Goods and Services Tax (GST) receivable.</w:t>
            </w:r>
            <w:r w:rsidR="00FA7C77">
              <w:rPr>
                <w:rFonts w:cs="Calibri"/>
                <w:color w:val="FFFFFF" w:themeColor="background1"/>
                <w:sz w:val="18"/>
                <w:szCs w:val="18"/>
              </w:rPr>
              <w:t xml:space="preserve"> </w:t>
            </w:r>
            <w:r w:rsidRPr="003E75E3">
              <w:rPr>
                <w:rFonts w:cs="Calibri"/>
                <w:color w:val="FFFFFF" w:themeColor="background1"/>
                <w:sz w:val="18"/>
                <w:szCs w:val="18"/>
              </w:rPr>
              <w:t xml:space="preserve">A net GST receivable will be reported in most </w:t>
            </w:r>
            <w:r w:rsidR="0072477B" w:rsidRPr="003E75E3">
              <w:rPr>
                <w:rFonts w:cs="Calibri"/>
                <w:color w:val="FFFFFF" w:themeColor="background1"/>
                <w:sz w:val="18"/>
                <w:szCs w:val="18"/>
              </w:rPr>
              <w:t>Controlled</w:t>
            </w:r>
            <w:r w:rsidRPr="003E75E3">
              <w:rPr>
                <w:rFonts w:cs="Calibri"/>
                <w:color w:val="FFFFFF" w:themeColor="background1"/>
                <w:sz w:val="18"/>
                <w:szCs w:val="18"/>
              </w:rPr>
              <w:t xml:space="preserve"> financial </w:t>
            </w:r>
            <w:r w:rsidR="008A772F" w:rsidRPr="003E75E3">
              <w:rPr>
                <w:rFonts w:cs="Calibri"/>
                <w:color w:val="FFFFFF" w:themeColor="background1"/>
                <w:sz w:val="18"/>
                <w:szCs w:val="18"/>
              </w:rPr>
              <w:t>statements</w:t>
            </w:r>
            <w:r w:rsidRPr="003E75E3">
              <w:rPr>
                <w:rFonts w:cs="Calibri"/>
                <w:color w:val="FFFFFF" w:themeColor="background1"/>
                <w:sz w:val="18"/>
                <w:szCs w:val="18"/>
              </w:rPr>
              <w:t xml:space="preserve"> as no GST is payable to the Australian Taxation Office for </w:t>
            </w:r>
            <w:r w:rsidR="0061448C" w:rsidRPr="003E75E3">
              <w:rPr>
                <w:rFonts w:cs="Calibri"/>
                <w:color w:val="FFFFFF" w:themeColor="background1"/>
                <w:sz w:val="18"/>
                <w:szCs w:val="18"/>
              </w:rPr>
              <w:t xml:space="preserve">Controlled Recurrent Payments </w:t>
            </w:r>
            <w:r w:rsidRPr="003E75E3">
              <w:rPr>
                <w:rFonts w:cs="Calibri"/>
                <w:color w:val="FFFFFF" w:themeColor="background1"/>
                <w:sz w:val="18"/>
                <w:szCs w:val="18"/>
              </w:rPr>
              <w:t>funding.</w:t>
            </w:r>
            <w:r w:rsidR="00FA7C77">
              <w:rPr>
                <w:rFonts w:cs="Calibri"/>
                <w:color w:val="FFFFFF" w:themeColor="background1"/>
                <w:sz w:val="18"/>
                <w:szCs w:val="18"/>
              </w:rPr>
              <w:t xml:space="preserve"> </w:t>
            </w:r>
            <w:r w:rsidRPr="003E75E3">
              <w:rPr>
                <w:rFonts w:cs="Calibri"/>
                <w:color w:val="FFFFFF" w:themeColor="background1"/>
                <w:sz w:val="18"/>
                <w:szCs w:val="18"/>
              </w:rPr>
              <w:t xml:space="preserve">However, </w:t>
            </w:r>
            <w:r w:rsidR="00D65811" w:rsidRPr="003E75E3">
              <w:rPr>
                <w:rFonts w:cs="Calibri"/>
                <w:color w:val="FFFFFF" w:themeColor="background1"/>
                <w:sz w:val="18"/>
                <w:szCs w:val="18"/>
              </w:rPr>
              <w:t>a</w:t>
            </w:r>
            <w:r w:rsidR="003C497C" w:rsidRPr="003E75E3">
              <w:rPr>
                <w:rFonts w:cs="Calibri"/>
                <w:color w:val="FFFFFF" w:themeColor="background1"/>
                <w:sz w:val="18"/>
                <w:szCs w:val="18"/>
              </w:rPr>
              <w:t xml:space="preserve">gencies </w:t>
            </w:r>
            <w:r w:rsidRPr="003E75E3">
              <w:rPr>
                <w:rFonts w:cs="Calibri"/>
                <w:color w:val="FFFFFF" w:themeColor="background1"/>
                <w:sz w:val="18"/>
                <w:szCs w:val="18"/>
              </w:rPr>
              <w:t>will receive input tax credits for most expenses incurred.</w:t>
            </w:r>
            <w:r w:rsidR="00123A5F" w:rsidRPr="003E75E3">
              <w:rPr>
                <w:rFonts w:cs="Calibri"/>
                <w:color w:val="FFFFFF" w:themeColor="background1"/>
                <w:sz w:val="18"/>
                <w:szCs w:val="18"/>
              </w:rPr>
              <w:t xml:space="preserve"> The net GST </w:t>
            </w:r>
            <w:r w:rsidR="00DE5EF1" w:rsidRPr="003E75E3">
              <w:rPr>
                <w:rFonts w:cs="Calibri"/>
                <w:color w:val="FFFFFF" w:themeColor="background1"/>
                <w:sz w:val="18"/>
                <w:szCs w:val="18"/>
              </w:rPr>
              <w:t>r</w:t>
            </w:r>
            <w:r w:rsidR="00123A5F" w:rsidRPr="003E75E3">
              <w:rPr>
                <w:rFonts w:cs="Calibri"/>
                <w:color w:val="FFFFFF" w:themeColor="background1"/>
                <w:sz w:val="18"/>
                <w:szCs w:val="18"/>
              </w:rPr>
              <w:t xml:space="preserve">eceivable should be excluded from the </w:t>
            </w:r>
            <w:r w:rsidR="00DE5EF1" w:rsidRPr="003E75E3">
              <w:rPr>
                <w:rFonts w:cs="Calibri"/>
                <w:color w:val="FFFFFF" w:themeColor="background1"/>
                <w:sz w:val="18"/>
                <w:szCs w:val="18"/>
              </w:rPr>
              <w:t>calculation deriving the allowance for the expected credit loss</w:t>
            </w:r>
            <w:r w:rsidR="001D0DD0" w:rsidRPr="003E75E3">
              <w:rPr>
                <w:rFonts w:cs="Calibri"/>
                <w:color w:val="FFFFFF" w:themeColor="background1"/>
                <w:sz w:val="18"/>
                <w:szCs w:val="18"/>
              </w:rPr>
              <w:t xml:space="preserve"> because of the assessed low credit risk</w:t>
            </w:r>
            <w:r w:rsidR="00DE5EF1" w:rsidRPr="003E75E3">
              <w:rPr>
                <w:rFonts w:cs="Calibri"/>
                <w:color w:val="FFFFFF" w:themeColor="background1"/>
                <w:sz w:val="18"/>
                <w:szCs w:val="18"/>
              </w:rPr>
              <w:t>.</w:t>
            </w:r>
          </w:p>
          <w:p w14:paraId="55E39529" w14:textId="3AC6BDD7" w:rsidR="00011C67" w:rsidRPr="003E75E3" w:rsidRDefault="00011C67" w:rsidP="00EF49BC">
            <w:pPr>
              <w:pStyle w:val="CommentaryText"/>
              <w:rPr>
                <w:rFonts w:cs="Calibri"/>
                <w:color w:val="FFFFFF" w:themeColor="background1"/>
                <w:sz w:val="18"/>
                <w:szCs w:val="18"/>
              </w:rPr>
            </w:pPr>
            <w:r w:rsidRPr="003E75E3">
              <w:rPr>
                <w:rFonts w:cs="Calibri"/>
                <w:color w:val="FFFFFF" w:themeColor="background1"/>
                <w:sz w:val="18"/>
                <w:szCs w:val="18"/>
              </w:rPr>
              <w:t xml:space="preserve">If a net GST payable arises then this amount would be disclosed at Note </w:t>
            </w:r>
            <w:r w:rsidR="00762E7F" w:rsidRPr="003E75E3">
              <w:rPr>
                <w:rFonts w:cs="Calibri"/>
                <w:color w:val="FFFFFF" w:themeColor="background1"/>
                <w:sz w:val="18"/>
                <w:szCs w:val="18"/>
              </w:rPr>
              <w:t xml:space="preserve">24 </w:t>
            </w:r>
            <w:r w:rsidRPr="003E75E3">
              <w:rPr>
                <w:rFonts w:cs="Calibri"/>
                <w:i/>
                <w:color w:val="FFFFFF" w:themeColor="background1"/>
                <w:sz w:val="18"/>
                <w:szCs w:val="18"/>
              </w:rPr>
              <w:t>Payables</w:t>
            </w:r>
            <w:r w:rsidR="002541C3" w:rsidRPr="003E75E3">
              <w:rPr>
                <w:rFonts w:cs="Calibri"/>
                <w:color w:val="FFFFFF" w:themeColor="background1"/>
              </w:rPr>
              <w:t xml:space="preserve"> </w:t>
            </w:r>
            <w:r w:rsidR="002541C3" w:rsidRPr="003E75E3">
              <w:rPr>
                <w:rFonts w:cs="Calibri"/>
                <w:i/>
                <w:iCs/>
                <w:color w:val="FFFFFF" w:themeColor="background1"/>
                <w:sz w:val="18"/>
                <w:szCs w:val="18"/>
              </w:rPr>
              <w:t>and Contract Liabilities</w:t>
            </w:r>
            <w:r w:rsidRPr="003E75E3">
              <w:rPr>
                <w:rFonts w:cs="Calibri"/>
                <w:color w:val="FFFFFF" w:themeColor="background1"/>
                <w:sz w:val="18"/>
                <w:szCs w:val="18"/>
              </w:rPr>
              <w:t xml:space="preserve"> rather than in this receivables note.</w:t>
            </w:r>
          </w:p>
        </w:tc>
      </w:tr>
      <w:tr w:rsidR="00B36BAC" w:rsidRPr="00B36BAC" w14:paraId="05513D10" w14:textId="77777777" w:rsidTr="005F5B4C">
        <w:trPr>
          <w:cantSplit/>
          <w:trHeight w:val="23"/>
        </w:trPr>
        <w:tc>
          <w:tcPr>
            <w:tcW w:w="745" w:type="pct"/>
            <w:tcBorders>
              <w:top w:val="nil"/>
              <w:left w:val="single" w:sz="2" w:space="0" w:color="auto"/>
              <w:bottom w:val="nil"/>
              <w:right w:val="single" w:sz="2" w:space="0" w:color="auto"/>
            </w:tcBorders>
          </w:tcPr>
          <w:p w14:paraId="5DBD437F" w14:textId="36AACB79" w:rsidR="00B36BAC" w:rsidRPr="003E75E3" w:rsidRDefault="00B36BAC" w:rsidP="009A0F2F">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tcPr>
          <w:p w14:paraId="40D34D82" w14:textId="4FADD3DF" w:rsidR="00B36BAC" w:rsidRPr="001F4216" w:rsidRDefault="00B36BAC" w:rsidP="00B36BAC">
            <w:pPr>
              <w:pStyle w:val="TableReference"/>
              <w:tabs>
                <w:tab w:val="left" w:pos="3306"/>
              </w:tabs>
              <w:spacing w:before="120"/>
              <w:rPr>
                <w:rFonts w:cs="Calibri"/>
                <w:b/>
                <w:bCs/>
                <w:color w:val="FFFFFF" w:themeColor="background1"/>
                <w:sz w:val="20"/>
                <w:szCs w:val="20"/>
              </w:rPr>
            </w:pPr>
            <w:r w:rsidRPr="001F4216">
              <w:rPr>
                <w:rFonts w:cs="Calibri"/>
                <w:b/>
                <w:bCs/>
                <w:color w:val="FFFFFF" w:themeColor="background1"/>
                <w:sz w:val="20"/>
                <w:szCs w:val="20"/>
              </w:rPr>
              <w:t>Contract Assets</w:t>
            </w:r>
          </w:p>
        </w:tc>
      </w:tr>
      <w:tr w:rsidR="008A7FED" w:rsidRPr="00B36BAC" w14:paraId="696E2647" w14:textId="77777777" w:rsidTr="005F5B4C">
        <w:trPr>
          <w:cantSplit/>
          <w:trHeight w:val="23"/>
        </w:trPr>
        <w:tc>
          <w:tcPr>
            <w:tcW w:w="745" w:type="pct"/>
            <w:tcBorders>
              <w:top w:val="nil"/>
              <w:left w:val="single" w:sz="2" w:space="0" w:color="auto"/>
              <w:bottom w:val="nil"/>
              <w:right w:val="single" w:sz="2" w:space="0" w:color="auto"/>
            </w:tcBorders>
          </w:tcPr>
          <w:p w14:paraId="73FA4B4E" w14:textId="336B4A86"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 15.105</w:t>
            </w:r>
          </w:p>
        </w:tc>
        <w:tc>
          <w:tcPr>
            <w:tcW w:w="4255" w:type="pct"/>
            <w:tcBorders>
              <w:top w:val="nil"/>
              <w:left w:val="single" w:sz="2" w:space="0" w:color="auto"/>
              <w:bottom w:val="nil"/>
              <w:right w:val="nil"/>
            </w:tcBorders>
            <w:shd w:val="clear" w:color="auto" w:fill="7030A0"/>
          </w:tcPr>
          <w:p w14:paraId="6427E44C" w14:textId="5CDD26DB" w:rsidR="008A7FED" w:rsidRPr="003E75E3" w:rsidRDefault="000368F1" w:rsidP="00590B10">
            <w:pPr>
              <w:pStyle w:val="TableReference"/>
              <w:tabs>
                <w:tab w:val="left" w:pos="3306"/>
              </w:tabs>
              <w:spacing w:after="120"/>
              <w:jc w:val="both"/>
              <w:rPr>
                <w:rFonts w:cs="Calibri"/>
                <w:color w:val="FFFFFF" w:themeColor="background1"/>
                <w:sz w:val="18"/>
                <w:szCs w:val="18"/>
              </w:rPr>
            </w:pPr>
            <w:r w:rsidRPr="003E75E3">
              <w:rPr>
                <w:rFonts w:cs="Calibri"/>
                <w:color w:val="FFFFFF" w:themeColor="background1"/>
                <w:sz w:val="18"/>
                <w:szCs w:val="18"/>
              </w:rPr>
              <w:t>When either party to a contract has performed, an agency shall present the contract in the Balance Sheet as a contract asset or a contract liability, depending on the relationship between the agency’s performance and the customer’s payment.</w:t>
            </w:r>
            <w:r w:rsidR="00FA7C77">
              <w:rPr>
                <w:color w:val="FFFFFF" w:themeColor="background1"/>
              </w:rPr>
              <w:t xml:space="preserve"> </w:t>
            </w:r>
            <w:r w:rsidR="008A7FED" w:rsidRPr="003E75E3">
              <w:rPr>
                <w:rFonts w:cs="Calibri"/>
                <w:color w:val="FFFFFF" w:themeColor="background1"/>
                <w:sz w:val="18"/>
                <w:szCs w:val="18"/>
              </w:rPr>
              <w:t xml:space="preserve">Any unconditional rights to consideration are presented as a receivable separately from contract assets. </w:t>
            </w:r>
          </w:p>
        </w:tc>
      </w:tr>
      <w:tr w:rsidR="008A7FED" w:rsidRPr="00B36BAC" w14:paraId="301EE8D1" w14:textId="77777777" w:rsidTr="005F5B4C">
        <w:trPr>
          <w:cantSplit/>
          <w:trHeight w:val="23"/>
        </w:trPr>
        <w:tc>
          <w:tcPr>
            <w:tcW w:w="745" w:type="pct"/>
            <w:tcBorders>
              <w:top w:val="nil"/>
              <w:left w:val="single" w:sz="2" w:space="0" w:color="auto"/>
              <w:bottom w:val="nil"/>
              <w:right w:val="single" w:sz="2" w:space="0" w:color="auto"/>
            </w:tcBorders>
          </w:tcPr>
          <w:p w14:paraId="18A03135"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 xml:space="preserve">AASB 15 Appendix A </w:t>
            </w:r>
          </w:p>
          <w:p w14:paraId="548C800A"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Defined terms</w:t>
            </w:r>
          </w:p>
        </w:tc>
        <w:tc>
          <w:tcPr>
            <w:tcW w:w="4255" w:type="pct"/>
            <w:tcBorders>
              <w:top w:val="nil"/>
              <w:left w:val="single" w:sz="2" w:space="0" w:color="auto"/>
              <w:bottom w:val="nil"/>
              <w:right w:val="nil"/>
            </w:tcBorders>
            <w:shd w:val="clear" w:color="auto" w:fill="7030A0"/>
            <w:vAlign w:val="bottom"/>
          </w:tcPr>
          <w:p w14:paraId="2D18EBE8" w14:textId="10A552F5" w:rsidR="008A7FED" w:rsidRPr="003E75E3" w:rsidRDefault="009403E7" w:rsidP="00590B1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A</w:t>
            </w:r>
            <w:r w:rsidR="008A7FED" w:rsidRPr="003E75E3">
              <w:rPr>
                <w:rFonts w:cs="Calibri"/>
                <w:b w:val="0"/>
                <w:bCs w:val="0"/>
                <w:color w:val="FFFFFF" w:themeColor="background1"/>
                <w:sz w:val="18"/>
                <w:szCs w:val="18"/>
              </w:rPr>
              <w:t xml:space="preserve"> contract asset </w:t>
            </w:r>
            <w:r w:rsidRPr="003E75E3">
              <w:rPr>
                <w:rFonts w:cs="Calibri"/>
                <w:b w:val="0"/>
                <w:bCs w:val="0"/>
                <w:color w:val="FFFFFF" w:themeColor="background1"/>
                <w:sz w:val="18"/>
                <w:szCs w:val="18"/>
              </w:rPr>
              <w:t xml:space="preserve">is defined </w:t>
            </w:r>
            <w:r w:rsidR="008A7FED" w:rsidRPr="003E75E3">
              <w:rPr>
                <w:rFonts w:cs="Calibri"/>
                <w:b w:val="0"/>
                <w:bCs w:val="0"/>
                <w:color w:val="FFFFFF" w:themeColor="background1"/>
                <w:sz w:val="18"/>
                <w:szCs w:val="18"/>
              </w:rPr>
              <w:t>as an agency’s right to consideration in exchange for goods or services that the entity has transferred to a customer when that right is conditioned on something other than the passage of time (for example, the entity’s future performance).</w:t>
            </w:r>
          </w:p>
        </w:tc>
      </w:tr>
      <w:tr w:rsidR="008A7FED" w:rsidRPr="00B36BAC" w14:paraId="134C7E42" w14:textId="77777777" w:rsidTr="005F5B4C">
        <w:trPr>
          <w:cantSplit/>
          <w:trHeight w:val="23"/>
        </w:trPr>
        <w:tc>
          <w:tcPr>
            <w:tcW w:w="745" w:type="pct"/>
            <w:tcBorders>
              <w:top w:val="nil"/>
              <w:left w:val="single" w:sz="2" w:space="0" w:color="auto"/>
              <w:bottom w:val="nil"/>
              <w:right w:val="single" w:sz="2" w:space="0" w:color="auto"/>
            </w:tcBorders>
          </w:tcPr>
          <w:p w14:paraId="2CD662FB" w14:textId="77777777" w:rsidR="008A7FED" w:rsidRPr="003E75E3" w:rsidRDefault="008A7FED" w:rsidP="008A7FED">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37A014D8" w14:textId="77777777" w:rsidR="008A7FED" w:rsidRPr="003E75E3" w:rsidRDefault="008A7FED" w:rsidP="00590B1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Common contract asset balances are items such as services performed but not yet invoiced for contracts which are paid in arrears.</w:t>
            </w:r>
          </w:p>
        </w:tc>
      </w:tr>
      <w:tr w:rsidR="008A7FED" w:rsidRPr="00B36BAC" w14:paraId="3BD3238C" w14:textId="77777777" w:rsidTr="005F5B4C">
        <w:trPr>
          <w:cantSplit/>
          <w:trHeight w:val="23"/>
        </w:trPr>
        <w:tc>
          <w:tcPr>
            <w:tcW w:w="745" w:type="pct"/>
            <w:tcBorders>
              <w:top w:val="nil"/>
              <w:left w:val="single" w:sz="2" w:space="0" w:color="auto"/>
              <w:bottom w:val="nil"/>
              <w:right w:val="single" w:sz="2" w:space="0" w:color="auto"/>
            </w:tcBorders>
          </w:tcPr>
          <w:p w14:paraId="78947101"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 15.105</w:t>
            </w:r>
          </w:p>
          <w:p w14:paraId="71C03B0E" w14:textId="77777777"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 15.116(a)</w:t>
            </w:r>
          </w:p>
          <w:p w14:paraId="76A6867D" w14:textId="77777777" w:rsidR="008A7FED" w:rsidRPr="003E75E3" w:rsidRDefault="008A7FED" w:rsidP="008A7FED">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6D8253BB" w14:textId="256A0627" w:rsidR="008A7FED" w:rsidRPr="003E75E3" w:rsidRDefault="008A7FED" w:rsidP="00590B10">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Where an agency performs by transferring either goods or services to a customer before the payment is due or before the customer pays for consideration, then these are to be classified as contract assets. Contract assets exclude receivables from contracts with customers.</w:t>
            </w:r>
            <w:r w:rsidR="00FA7C77">
              <w:rPr>
                <w:rFonts w:cs="Calibri"/>
                <w:color w:val="FFFFFF" w:themeColor="background1"/>
                <w:sz w:val="18"/>
                <w:szCs w:val="18"/>
              </w:rPr>
              <w:t xml:space="preserve"> </w:t>
            </w:r>
            <w:r w:rsidRPr="003E75E3">
              <w:rPr>
                <w:rFonts w:cs="Calibri"/>
                <w:color w:val="FFFFFF" w:themeColor="background1"/>
                <w:sz w:val="18"/>
                <w:szCs w:val="18"/>
              </w:rPr>
              <w:t>Agencies must assess a contract asset for impairment in accordance with AASB 9.</w:t>
            </w:r>
          </w:p>
        </w:tc>
      </w:tr>
      <w:tr w:rsidR="008A7FED" w:rsidRPr="00B36BAC" w14:paraId="1C87C539" w14:textId="77777777" w:rsidTr="005F5B4C">
        <w:trPr>
          <w:cantSplit/>
          <w:trHeight w:val="23"/>
        </w:trPr>
        <w:tc>
          <w:tcPr>
            <w:tcW w:w="745" w:type="pct"/>
            <w:tcBorders>
              <w:top w:val="nil"/>
              <w:left w:val="single" w:sz="2" w:space="0" w:color="auto"/>
              <w:bottom w:val="nil"/>
              <w:right w:val="single" w:sz="2" w:space="0" w:color="auto"/>
            </w:tcBorders>
          </w:tcPr>
          <w:p w14:paraId="2E077A04" w14:textId="77777777" w:rsidR="008A7FED" w:rsidRPr="003E75E3" w:rsidRDefault="008A7FED" w:rsidP="008A7FED">
            <w:pPr>
              <w:pStyle w:val="TableReference"/>
              <w:tabs>
                <w:tab w:val="left" w:pos="3306"/>
              </w:tabs>
              <w:spacing w:before="40" w:after="120"/>
              <w:rPr>
                <w:rFonts w:cs="Calibri"/>
                <w:color w:val="7030A0"/>
                <w:sz w:val="14"/>
              </w:rPr>
            </w:pPr>
            <w:r w:rsidRPr="003E75E3">
              <w:rPr>
                <w:rFonts w:cs="Calibri"/>
                <w:color w:val="7030A0"/>
                <w:sz w:val="14"/>
              </w:rPr>
              <w:t xml:space="preserve">AASB 15.117 </w:t>
            </w:r>
          </w:p>
        </w:tc>
        <w:tc>
          <w:tcPr>
            <w:tcW w:w="4255" w:type="pct"/>
            <w:tcBorders>
              <w:top w:val="nil"/>
              <w:left w:val="single" w:sz="2" w:space="0" w:color="auto"/>
              <w:bottom w:val="nil"/>
              <w:right w:val="nil"/>
            </w:tcBorders>
            <w:shd w:val="clear" w:color="auto" w:fill="7030A0"/>
            <w:vAlign w:val="bottom"/>
          </w:tcPr>
          <w:p w14:paraId="6FE0C238" w14:textId="77777777" w:rsidR="008A7FED" w:rsidRPr="003E75E3" w:rsidRDefault="008A7FED" w:rsidP="00590B10">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Agencies must disclose contract assets separately from contract receivables.</w:t>
            </w:r>
          </w:p>
        </w:tc>
      </w:tr>
      <w:tr w:rsidR="008A7FED" w:rsidRPr="00B36BAC" w14:paraId="1B9A79B1" w14:textId="77777777" w:rsidTr="005F5B4C">
        <w:trPr>
          <w:cantSplit/>
          <w:trHeight w:val="23"/>
        </w:trPr>
        <w:tc>
          <w:tcPr>
            <w:tcW w:w="745" w:type="pct"/>
            <w:tcBorders>
              <w:top w:val="nil"/>
              <w:left w:val="single" w:sz="2" w:space="0" w:color="auto"/>
              <w:bottom w:val="nil"/>
              <w:right w:val="single" w:sz="2" w:space="0" w:color="auto"/>
            </w:tcBorders>
          </w:tcPr>
          <w:p w14:paraId="1FA5DE52" w14:textId="20D2B735" w:rsidR="008A7FED" w:rsidRPr="003E75E3" w:rsidRDefault="009403E7" w:rsidP="008A7FED">
            <w:pPr>
              <w:pStyle w:val="TableReference"/>
              <w:tabs>
                <w:tab w:val="left" w:pos="3306"/>
              </w:tabs>
              <w:spacing w:before="40"/>
              <w:rPr>
                <w:rFonts w:cs="Calibri"/>
                <w:color w:val="7030A0"/>
                <w:sz w:val="14"/>
              </w:rPr>
            </w:pPr>
            <w:r w:rsidRPr="003E75E3">
              <w:rPr>
                <w:rFonts w:cs="Calibri"/>
                <w:color w:val="7030A0"/>
                <w:sz w:val="14"/>
              </w:rPr>
              <w:t>AASB 15.116(a)</w:t>
            </w:r>
          </w:p>
        </w:tc>
        <w:tc>
          <w:tcPr>
            <w:tcW w:w="4255" w:type="pct"/>
            <w:tcBorders>
              <w:top w:val="nil"/>
              <w:left w:val="single" w:sz="2" w:space="0" w:color="auto"/>
              <w:bottom w:val="nil"/>
              <w:right w:val="nil"/>
            </w:tcBorders>
            <w:shd w:val="clear" w:color="auto" w:fill="7030A0"/>
            <w:vAlign w:val="bottom"/>
          </w:tcPr>
          <w:p w14:paraId="394EB59F" w14:textId="77777777" w:rsidR="008A7FED" w:rsidRPr="003E75E3" w:rsidRDefault="008A7FED" w:rsidP="00590B1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Agencies should disclose the opening and closing balances of contract assets.</w:t>
            </w:r>
          </w:p>
        </w:tc>
      </w:tr>
      <w:tr w:rsidR="008A7FED" w:rsidRPr="00B36BAC" w14:paraId="4FA6129E" w14:textId="77777777" w:rsidTr="005F5B4C">
        <w:trPr>
          <w:cantSplit/>
          <w:trHeight w:val="23"/>
        </w:trPr>
        <w:tc>
          <w:tcPr>
            <w:tcW w:w="745" w:type="pct"/>
            <w:tcBorders>
              <w:top w:val="nil"/>
              <w:left w:val="single" w:sz="2" w:space="0" w:color="auto"/>
              <w:bottom w:val="nil"/>
              <w:right w:val="single" w:sz="2" w:space="0" w:color="auto"/>
            </w:tcBorders>
          </w:tcPr>
          <w:p w14:paraId="42FA8B5A" w14:textId="20C0C6A0" w:rsidR="008A7FED" w:rsidRPr="003E75E3" w:rsidRDefault="008A7FED" w:rsidP="008A7FED">
            <w:pPr>
              <w:pStyle w:val="TableReference"/>
              <w:tabs>
                <w:tab w:val="left" w:pos="3306"/>
              </w:tabs>
              <w:spacing w:before="40"/>
              <w:rPr>
                <w:rFonts w:cs="Calibri"/>
                <w:color w:val="7030A0"/>
                <w:sz w:val="14"/>
              </w:rPr>
            </w:pPr>
            <w:r w:rsidRPr="003E75E3">
              <w:rPr>
                <w:rFonts w:cs="Calibri"/>
                <w:color w:val="7030A0"/>
                <w:sz w:val="14"/>
              </w:rPr>
              <w:t>AASB</w:t>
            </w:r>
            <w:r w:rsidR="00146647" w:rsidRPr="003E75E3">
              <w:rPr>
                <w:rFonts w:cs="Calibri"/>
                <w:color w:val="7030A0"/>
                <w:sz w:val="14"/>
              </w:rPr>
              <w:t xml:space="preserve"> </w:t>
            </w:r>
            <w:r w:rsidRPr="003E75E3">
              <w:rPr>
                <w:rFonts w:cs="Calibri"/>
                <w:color w:val="7030A0"/>
                <w:sz w:val="14"/>
              </w:rPr>
              <w:t>15.118</w:t>
            </w:r>
          </w:p>
          <w:p w14:paraId="0AB8C51B" w14:textId="77777777" w:rsidR="00146647" w:rsidRPr="003E75E3" w:rsidRDefault="00146647" w:rsidP="008A7FED">
            <w:pPr>
              <w:pStyle w:val="TableReference"/>
              <w:tabs>
                <w:tab w:val="left" w:pos="3306"/>
              </w:tabs>
              <w:spacing w:before="40"/>
              <w:rPr>
                <w:rFonts w:cs="Calibri"/>
                <w:color w:val="7030A0"/>
                <w:sz w:val="14"/>
              </w:rPr>
            </w:pPr>
            <w:r w:rsidRPr="003E75E3">
              <w:rPr>
                <w:rFonts w:cs="Calibri"/>
                <w:color w:val="7030A0"/>
                <w:sz w:val="14"/>
              </w:rPr>
              <w:t>AASB 15.119(a)</w:t>
            </w:r>
          </w:p>
          <w:p w14:paraId="103B487B" w14:textId="5D53109F" w:rsidR="00146647" w:rsidRPr="003E75E3" w:rsidRDefault="00146647" w:rsidP="008A7FED">
            <w:pPr>
              <w:pStyle w:val="TableReference"/>
              <w:tabs>
                <w:tab w:val="left" w:pos="3306"/>
              </w:tabs>
              <w:spacing w:before="40"/>
              <w:rPr>
                <w:rFonts w:cs="Calibri"/>
                <w:color w:val="7030A0"/>
                <w:sz w:val="14"/>
              </w:rPr>
            </w:pPr>
            <w:r w:rsidRPr="003E75E3">
              <w:rPr>
                <w:rFonts w:cs="Calibri"/>
                <w:color w:val="7030A0"/>
                <w:sz w:val="14"/>
              </w:rPr>
              <w:t>AASB 15.119(b)</w:t>
            </w:r>
          </w:p>
        </w:tc>
        <w:tc>
          <w:tcPr>
            <w:tcW w:w="4255" w:type="pct"/>
            <w:tcBorders>
              <w:top w:val="nil"/>
              <w:left w:val="single" w:sz="2" w:space="0" w:color="auto"/>
              <w:bottom w:val="nil"/>
              <w:right w:val="nil"/>
            </w:tcBorders>
            <w:shd w:val="clear" w:color="auto" w:fill="7030A0"/>
            <w:vAlign w:val="bottom"/>
          </w:tcPr>
          <w:p w14:paraId="4D584D9B" w14:textId="292A2CB8" w:rsidR="008A7FED" w:rsidRPr="003E75E3" w:rsidRDefault="008A7FED" w:rsidP="00590B10">
            <w:pPr>
              <w:pStyle w:val="TableReference"/>
              <w:tabs>
                <w:tab w:val="left" w:pos="3306"/>
              </w:tabs>
              <w:spacing w:after="120"/>
              <w:jc w:val="both"/>
              <w:rPr>
                <w:rFonts w:cs="Calibri"/>
                <w:b/>
                <w:color w:val="FFFFFF" w:themeColor="background1"/>
                <w:sz w:val="18"/>
                <w:szCs w:val="18"/>
              </w:rPr>
            </w:pPr>
            <w:r w:rsidRPr="003E75E3">
              <w:rPr>
                <w:rFonts w:cs="Calibri"/>
                <w:color w:val="FFFFFF" w:themeColor="background1"/>
                <w:sz w:val="18"/>
                <w:szCs w:val="18"/>
              </w:rPr>
              <w:t>Agencies shall explain how the timing of the satisfaction of performance obligations relates to the typical timing of payment and the effect that those factors have on the contract asset. Quantitative information may be used.</w:t>
            </w:r>
          </w:p>
        </w:tc>
      </w:tr>
      <w:tr w:rsidR="008A7FED" w:rsidRPr="00B36BAC" w14:paraId="45E577EF" w14:textId="77777777" w:rsidTr="005F5B4C">
        <w:trPr>
          <w:cantSplit/>
          <w:trHeight w:val="23"/>
        </w:trPr>
        <w:tc>
          <w:tcPr>
            <w:tcW w:w="745" w:type="pct"/>
            <w:tcBorders>
              <w:top w:val="nil"/>
              <w:left w:val="single" w:sz="2" w:space="0" w:color="auto"/>
              <w:bottom w:val="nil"/>
              <w:right w:val="single" w:sz="2" w:space="0" w:color="auto"/>
            </w:tcBorders>
          </w:tcPr>
          <w:p w14:paraId="31251309" w14:textId="77777777" w:rsidR="008A7FED" w:rsidRPr="003E75E3" w:rsidRDefault="008A7FED" w:rsidP="008A7FED">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6581FBA" w14:textId="76F55791" w:rsidR="008A7FED" w:rsidRPr="003E75E3" w:rsidRDefault="008A7FED" w:rsidP="008A7FED">
            <w:pPr>
              <w:pStyle w:val="CommentaryTitle"/>
              <w:spacing w:before="0" w:after="60"/>
              <w:jc w:val="both"/>
              <w:rPr>
                <w:rFonts w:cs="Calibri"/>
                <w:b w:val="0"/>
                <w:bCs w:val="0"/>
                <w:color w:val="FFFFFF" w:themeColor="background1"/>
                <w:sz w:val="18"/>
                <w:szCs w:val="18"/>
              </w:rPr>
            </w:pPr>
            <w:r w:rsidRPr="003E75E3">
              <w:rPr>
                <w:rFonts w:cs="Calibri"/>
                <w:b w:val="0"/>
                <w:bCs w:val="0"/>
                <w:color w:val="FFFFFF" w:themeColor="background1"/>
                <w:sz w:val="18"/>
                <w:szCs w:val="18"/>
              </w:rPr>
              <w:t>Agencies should explain significant changes in the balances of contact assets.</w:t>
            </w:r>
            <w:r w:rsidR="00FA7C77">
              <w:rPr>
                <w:rFonts w:cs="Calibri"/>
                <w:b w:val="0"/>
                <w:bCs w:val="0"/>
                <w:color w:val="FFFFFF" w:themeColor="background1"/>
                <w:sz w:val="18"/>
                <w:szCs w:val="18"/>
              </w:rPr>
              <w:t xml:space="preserve"> </w:t>
            </w:r>
            <w:r w:rsidRPr="003E75E3">
              <w:rPr>
                <w:rFonts w:cs="Calibri"/>
                <w:b w:val="0"/>
                <w:bCs w:val="0"/>
                <w:color w:val="FFFFFF" w:themeColor="background1"/>
                <w:sz w:val="18"/>
                <w:szCs w:val="18"/>
              </w:rPr>
              <w:t>Reasons for this change may include:</w:t>
            </w:r>
          </w:p>
          <w:p w14:paraId="2DC60C25" w14:textId="77777777" w:rsidR="008A7FED" w:rsidRPr="001F4216" w:rsidRDefault="008A7FED"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3E75E3">
              <w:rPr>
                <w:rFonts w:cs="Calibri"/>
                <w:color w:val="FFFFFF" w:themeColor="background1"/>
                <w:sz w:val="18"/>
                <w:szCs w:val="18"/>
              </w:rPr>
              <w:t>business combinations;</w:t>
            </w:r>
          </w:p>
          <w:p w14:paraId="21CCBEBC" w14:textId="77777777" w:rsidR="008A7FED" w:rsidRPr="001F4216" w:rsidRDefault="008A7FED"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3E75E3">
              <w:rPr>
                <w:rFonts w:cs="Calibri"/>
                <w:color w:val="FFFFFF" w:themeColor="background1"/>
                <w:sz w:val="18"/>
                <w:szCs w:val="18"/>
              </w:rPr>
              <w:t>cumulative catch-ups, such as those arising from a change in the measure of progress, a change in an estimate of the transaction price or a modification;</w:t>
            </w:r>
          </w:p>
          <w:p w14:paraId="46BDFD3A" w14:textId="77777777" w:rsidR="008A7FED" w:rsidRPr="001F4216" w:rsidRDefault="008A7FED"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3E75E3">
              <w:rPr>
                <w:rFonts w:cs="Calibri"/>
                <w:color w:val="FFFFFF" w:themeColor="background1"/>
                <w:sz w:val="18"/>
                <w:szCs w:val="18"/>
              </w:rPr>
              <w:t>impairment of contract assets;</w:t>
            </w:r>
          </w:p>
          <w:p w14:paraId="01A86620" w14:textId="77777777" w:rsidR="008A7FED" w:rsidRPr="001F4216" w:rsidRDefault="008A7FED"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3E75E3">
              <w:rPr>
                <w:rFonts w:cs="Calibri"/>
                <w:color w:val="FFFFFF" w:themeColor="background1"/>
                <w:sz w:val="18"/>
                <w:szCs w:val="18"/>
              </w:rPr>
              <w:t>a change in timeframe – of contact assets becoming a receivable; and</w:t>
            </w:r>
          </w:p>
          <w:p w14:paraId="34629B1D" w14:textId="77777777" w:rsidR="008A7FED" w:rsidRPr="003E75E3" w:rsidRDefault="008A7FED" w:rsidP="007122BC">
            <w:pPr>
              <w:pStyle w:val="CommentaryText"/>
              <w:keepNext/>
              <w:keepLines/>
              <w:numPr>
                <w:ilvl w:val="0"/>
                <w:numId w:val="53"/>
              </w:numPr>
              <w:tabs>
                <w:tab w:val="left" w:pos="3306"/>
              </w:tabs>
              <w:ind w:left="459" w:hanging="357"/>
              <w:rPr>
                <w:rFonts w:cs="Calibri"/>
                <w:b/>
                <w:bCs/>
                <w:color w:val="FFFFFF" w:themeColor="background1"/>
                <w:sz w:val="18"/>
                <w:szCs w:val="18"/>
              </w:rPr>
            </w:pPr>
            <w:r w:rsidRPr="003E75E3">
              <w:rPr>
                <w:rFonts w:cs="Calibri"/>
                <w:color w:val="FFFFFF" w:themeColor="background1"/>
                <w:sz w:val="18"/>
                <w:szCs w:val="18"/>
              </w:rPr>
              <w:t>a change in timeframe – for performance obligations to be satisfied.</w:t>
            </w:r>
          </w:p>
        </w:tc>
      </w:tr>
    </w:tbl>
    <w:p w14:paraId="1E2D3692" w14:textId="77777777" w:rsidR="00F22D61" w:rsidRDefault="00F22D61">
      <w:r>
        <w:br w:type="page"/>
      </w:r>
    </w:p>
    <w:tbl>
      <w:tblPr>
        <w:tblW w:w="512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8930"/>
      </w:tblGrid>
      <w:tr w:rsidR="00542690" w:rsidRPr="00B36BAC" w14:paraId="5EFA5D5D" w14:textId="77777777" w:rsidTr="005F5B4C">
        <w:trPr>
          <w:cantSplit/>
          <w:trHeight w:val="23"/>
        </w:trPr>
        <w:tc>
          <w:tcPr>
            <w:tcW w:w="745" w:type="pct"/>
            <w:tcBorders>
              <w:top w:val="nil"/>
              <w:left w:val="single" w:sz="2" w:space="0" w:color="auto"/>
              <w:bottom w:val="nil"/>
              <w:right w:val="single" w:sz="2" w:space="0" w:color="auto"/>
            </w:tcBorders>
          </w:tcPr>
          <w:p w14:paraId="3B0A92B0" w14:textId="279BC6FA" w:rsidR="00542690" w:rsidRPr="003E75E3" w:rsidRDefault="00542690" w:rsidP="001F4216">
            <w:pPr>
              <w:pStyle w:val="TableReference"/>
              <w:tabs>
                <w:tab w:val="left" w:pos="3306"/>
              </w:tabs>
              <w:spacing w:after="240"/>
              <w:rPr>
                <w:rFonts w:cs="Calibri"/>
                <w:color w:val="7030A0"/>
                <w:sz w:val="14"/>
              </w:rPr>
            </w:pPr>
            <w:r w:rsidRPr="003E75E3">
              <w:rPr>
                <w:color w:val="7030A0"/>
              </w:rPr>
              <w:br w:type="page"/>
            </w:r>
            <w:r w:rsidRPr="003E75E3">
              <w:rPr>
                <w:rFonts w:cs="Calibri"/>
                <w:b/>
                <w:color w:val="7030A0"/>
                <w:sz w:val="22"/>
                <w:szCs w:val="22"/>
              </w:rPr>
              <w:t>Reference</w:t>
            </w:r>
          </w:p>
        </w:tc>
        <w:tc>
          <w:tcPr>
            <w:tcW w:w="4255" w:type="pct"/>
            <w:tcBorders>
              <w:top w:val="nil"/>
              <w:left w:val="single" w:sz="2" w:space="0" w:color="auto"/>
              <w:bottom w:val="nil"/>
              <w:right w:val="nil"/>
            </w:tcBorders>
            <w:shd w:val="clear" w:color="auto" w:fill="7030A0"/>
          </w:tcPr>
          <w:p w14:paraId="1FAA2FD9" w14:textId="731CA700" w:rsidR="00542690" w:rsidRPr="003E75E3" w:rsidRDefault="00542690" w:rsidP="001F4216">
            <w:pPr>
              <w:pStyle w:val="CommentaryTitle"/>
              <w:spacing w:before="0" w:after="240"/>
              <w:rPr>
                <w:rFonts w:cs="Calibri"/>
                <w:b w:val="0"/>
                <w:bCs w:val="0"/>
                <w:i/>
                <w:iCs/>
                <w:color w:val="FFFFFF" w:themeColor="background1"/>
                <w:sz w:val="18"/>
                <w:szCs w:val="18"/>
              </w:rPr>
            </w:pPr>
            <w:r w:rsidRPr="003E75E3">
              <w:rPr>
                <w:rFonts w:cs="Calibri"/>
                <w:color w:val="FFFFFF" w:themeColor="background1"/>
                <w:sz w:val="28"/>
                <w:szCs w:val="28"/>
              </w:rPr>
              <w:t>Commentary – Note 16: Receivables and Contract Assets</w:t>
            </w:r>
            <w:r w:rsidR="003E75E3" w:rsidRPr="003E75E3">
              <w:rPr>
                <w:rFonts w:cs="Calibri"/>
                <w:color w:val="FFFFFF" w:themeColor="background1"/>
                <w:sz w:val="28"/>
                <w:szCs w:val="28"/>
              </w:rPr>
              <w:t xml:space="preserve"> </w:t>
            </w:r>
            <w:r w:rsidR="00F22D61">
              <w:rPr>
                <w:rFonts w:cs="Calibri"/>
                <w:color w:val="FFFFFF" w:themeColor="background1"/>
                <w:sz w:val="28"/>
                <w:szCs w:val="28"/>
              </w:rPr>
              <w:t>–</w:t>
            </w:r>
            <w:r w:rsidR="003E75E3" w:rsidRPr="003E75E3">
              <w:rPr>
                <w:rFonts w:cs="Calibri"/>
                <w:color w:val="FFFFFF" w:themeColor="background1"/>
                <w:sz w:val="28"/>
                <w:szCs w:val="28"/>
              </w:rPr>
              <w:t xml:space="preserve"> Continued</w:t>
            </w:r>
            <w:r w:rsidR="00F22D61">
              <w:rPr>
                <w:rFonts w:cs="Calibri"/>
                <w:color w:val="FFFFFF" w:themeColor="background1"/>
                <w:sz w:val="28"/>
                <w:szCs w:val="28"/>
              </w:rPr>
              <w:t xml:space="preserve"> </w:t>
            </w:r>
          </w:p>
        </w:tc>
      </w:tr>
      <w:tr w:rsidR="00542690" w:rsidRPr="00B36BAC" w14:paraId="0104C99E" w14:textId="77777777" w:rsidTr="005F5B4C">
        <w:trPr>
          <w:cantSplit/>
          <w:trHeight w:val="23"/>
        </w:trPr>
        <w:tc>
          <w:tcPr>
            <w:tcW w:w="745" w:type="pct"/>
            <w:tcBorders>
              <w:top w:val="nil"/>
              <w:left w:val="single" w:sz="2" w:space="0" w:color="auto"/>
              <w:bottom w:val="nil"/>
              <w:right w:val="single" w:sz="2" w:space="0" w:color="auto"/>
            </w:tcBorders>
          </w:tcPr>
          <w:p w14:paraId="23B56FC3" w14:textId="77777777" w:rsidR="00542690" w:rsidRPr="001F4216" w:rsidRDefault="00542690" w:rsidP="00542690">
            <w:pPr>
              <w:pStyle w:val="TableReference"/>
              <w:tabs>
                <w:tab w:val="left" w:pos="3306"/>
              </w:tabs>
              <w:spacing w:before="40"/>
              <w:rPr>
                <w:rFonts w:cs="Calibri"/>
                <w:color w:val="7030A0"/>
                <w:sz w:val="20"/>
                <w:szCs w:val="20"/>
              </w:rPr>
            </w:pPr>
          </w:p>
        </w:tc>
        <w:tc>
          <w:tcPr>
            <w:tcW w:w="4255" w:type="pct"/>
            <w:tcBorders>
              <w:top w:val="nil"/>
              <w:left w:val="single" w:sz="2" w:space="0" w:color="auto"/>
              <w:bottom w:val="nil"/>
              <w:right w:val="nil"/>
            </w:tcBorders>
            <w:shd w:val="clear" w:color="auto" w:fill="7030A0"/>
            <w:vAlign w:val="bottom"/>
          </w:tcPr>
          <w:p w14:paraId="028D47B6" w14:textId="77777777" w:rsidR="00542690" w:rsidRPr="001F4216" w:rsidRDefault="00542690" w:rsidP="00542690">
            <w:pPr>
              <w:pStyle w:val="CommentaryTitle"/>
              <w:spacing w:after="0"/>
              <w:jc w:val="both"/>
              <w:rPr>
                <w:rFonts w:cs="Calibri"/>
                <w:b w:val="0"/>
                <w:bCs w:val="0"/>
                <w:i/>
                <w:iCs/>
                <w:color w:val="FFFFFF" w:themeColor="background1"/>
                <w:sz w:val="20"/>
                <w:szCs w:val="20"/>
              </w:rPr>
            </w:pPr>
            <w:r w:rsidRPr="001F4216">
              <w:rPr>
                <w:rFonts w:cs="Calibri"/>
                <w:b w:val="0"/>
                <w:bCs w:val="0"/>
                <w:i/>
                <w:iCs/>
                <w:color w:val="FFFFFF" w:themeColor="background1"/>
                <w:sz w:val="20"/>
                <w:szCs w:val="20"/>
              </w:rPr>
              <w:t>Impairment of Contract Assets</w:t>
            </w:r>
          </w:p>
        </w:tc>
      </w:tr>
      <w:tr w:rsidR="00542690" w:rsidRPr="00B36BAC" w14:paraId="1E8F0EF2" w14:textId="77777777" w:rsidTr="005F5B4C">
        <w:trPr>
          <w:cantSplit/>
          <w:trHeight w:val="23"/>
        </w:trPr>
        <w:tc>
          <w:tcPr>
            <w:tcW w:w="745" w:type="pct"/>
            <w:tcBorders>
              <w:top w:val="nil"/>
              <w:left w:val="single" w:sz="2" w:space="0" w:color="auto"/>
              <w:bottom w:val="nil"/>
              <w:right w:val="single" w:sz="2" w:space="0" w:color="auto"/>
            </w:tcBorders>
          </w:tcPr>
          <w:p w14:paraId="2FB7643B" w14:textId="77777777" w:rsidR="00542690" w:rsidRPr="003E75E3" w:rsidRDefault="00542690" w:rsidP="0054269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98CEDE4" w14:textId="44250B03" w:rsidR="00542690" w:rsidRPr="003E75E3" w:rsidRDefault="00542690" w:rsidP="003E75E3">
            <w:pPr>
              <w:pStyle w:val="TableReference"/>
              <w:tabs>
                <w:tab w:val="left" w:pos="3306"/>
              </w:tabs>
              <w:spacing w:after="120"/>
              <w:jc w:val="both"/>
              <w:rPr>
                <w:rFonts w:cs="Calibri"/>
                <w:color w:val="FFFFFF" w:themeColor="background1"/>
                <w:sz w:val="18"/>
                <w:szCs w:val="18"/>
              </w:rPr>
            </w:pPr>
            <w:r w:rsidRPr="003E75E3">
              <w:rPr>
                <w:rFonts w:cs="Calibri"/>
                <w:color w:val="FFFFFF" w:themeColor="background1"/>
                <w:sz w:val="18"/>
                <w:szCs w:val="18"/>
              </w:rPr>
              <w:t>Contract assets are recognised and measured in accordance with AASB 15, however for impairment testing purposes they are covered by AASB 9 and therefore are assessed for impairment using the expected credit loss model.</w:t>
            </w:r>
          </w:p>
        </w:tc>
      </w:tr>
      <w:tr w:rsidR="00542690" w:rsidRPr="00B36BAC" w14:paraId="6E03D835" w14:textId="77777777" w:rsidTr="005F5B4C">
        <w:trPr>
          <w:cantSplit/>
          <w:trHeight w:val="23"/>
        </w:trPr>
        <w:tc>
          <w:tcPr>
            <w:tcW w:w="745" w:type="pct"/>
            <w:tcBorders>
              <w:top w:val="nil"/>
              <w:left w:val="single" w:sz="2" w:space="0" w:color="auto"/>
              <w:bottom w:val="nil"/>
              <w:right w:val="single" w:sz="2" w:space="0" w:color="auto"/>
            </w:tcBorders>
          </w:tcPr>
          <w:p w14:paraId="713D2434" w14:textId="53BE0089" w:rsidR="00542690" w:rsidRPr="003E75E3" w:rsidRDefault="00542690" w:rsidP="00542690">
            <w:pPr>
              <w:pStyle w:val="TableReference"/>
              <w:tabs>
                <w:tab w:val="left" w:pos="3306"/>
              </w:tabs>
              <w:spacing w:before="40"/>
              <w:rPr>
                <w:rFonts w:cs="Calibri"/>
                <w:color w:val="7030A0"/>
                <w:sz w:val="14"/>
              </w:rPr>
            </w:pPr>
            <w:r w:rsidRPr="003E75E3">
              <w:rPr>
                <w:rFonts w:cs="Calibri"/>
                <w:color w:val="7030A0"/>
                <w:sz w:val="14"/>
              </w:rPr>
              <w:t>AASB 15.113(b)</w:t>
            </w:r>
          </w:p>
        </w:tc>
        <w:tc>
          <w:tcPr>
            <w:tcW w:w="4255" w:type="pct"/>
            <w:tcBorders>
              <w:top w:val="nil"/>
              <w:left w:val="single" w:sz="2" w:space="0" w:color="auto"/>
              <w:bottom w:val="nil"/>
              <w:right w:val="nil"/>
            </w:tcBorders>
            <w:shd w:val="clear" w:color="auto" w:fill="7030A0"/>
            <w:vAlign w:val="bottom"/>
          </w:tcPr>
          <w:p w14:paraId="51A2CF9F" w14:textId="61F38FA2" w:rsidR="00542690" w:rsidRPr="003E75E3" w:rsidRDefault="00542690" w:rsidP="00542690">
            <w:pPr>
              <w:pStyle w:val="CommentaryTitle"/>
              <w:spacing w:before="0" w:after="120"/>
              <w:jc w:val="both"/>
              <w:rPr>
                <w:rFonts w:cs="Calibri"/>
                <w:b w:val="0"/>
                <w:bCs w:val="0"/>
                <w:color w:val="FFFFFF" w:themeColor="background1"/>
                <w:sz w:val="18"/>
                <w:szCs w:val="18"/>
              </w:rPr>
            </w:pPr>
            <w:r w:rsidRPr="003E75E3">
              <w:rPr>
                <w:rFonts w:cs="Calibri"/>
                <w:b w:val="0"/>
                <w:bCs w:val="0"/>
                <w:color w:val="FFFFFF" w:themeColor="background1"/>
                <w:sz w:val="18"/>
                <w:szCs w:val="18"/>
              </w:rPr>
              <w:t>Disclosure of impairment of contract assets is disclosed separately from impairment of other financial assets.</w:t>
            </w:r>
          </w:p>
        </w:tc>
      </w:tr>
      <w:tr w:rsidR="00542690" w:rsidRPr="00DD296A" w14:paraId="108F4C8E" w14:textId="77777777" w:rsidTr="005F5B4C">
        <w:trPr>
          <w:cantSplit/>
          <w:trHeight w:val="23"/>
        </w:trPr>
        <w:tc>
          <w:tcPr>
            <w:tcW w:w="745" w:type="pct"/>
            <w:tcBorders>
              <w:top w:val="nil"/>
              <w:left w:val="single" w:sz="2" w:space="0" w:color="auto"/>
              <w:bottom w:val="nil"/>
              <w:right w:val="single" w:sz="2" w:space="0" w:color="auto"/>
            </w:tcBorders>
          </w:tcPr>
          <w:p w14:paraId="41975B1A" w14:textId="151DC1E0" w:rsidR="00542690" w:rsidRPr="003E75E3" w:rsidRDefault="00542690" w:rsidP="00542690">
            <w:pPr>
              <w:pStyle w:val="TableReference"/>
              <w:tabs>
                <w:tab w:val="left" w:pos="3306"/>
              </w:tabs>
              <w:rPr>
                <w:color w:val="7030A0"/>
              </w:rPr>
            </w:pPr>
            <w:r w:rsidRPr="003E75E3">
              <w:rPr>
                <w:rFonts w:cs="Calibri"/>
                <w:color w:val="7030A0"/>
                <w:sz w:val="14"/>
              </w:rPr>
              <w:t>AASB 15.95</w:t>
            </w:r>
          </w:p>
        </w:tc>
        <w:tc>
          <w:tcPr>
            <w:tcW w:w="4255" w:type="pct"/>
            <w:tcBorders>
              <w:top w:val="nil"/>
              <w:left w:val="single" w:sz="2" w:space="0" w:color="auto"/>
              <w:bottom w:val="nil"/>
              <w:right w:val="nil"/>
            </w:tcBorders>
            <w:shd w:val="clear" w:color="auto" w:fill="7030A0"/>
            <w:vAlign w:val="bottom"/>
          </w:tcPr>
          <w:p w14:paraId="668ED507" w14:textId="4C6F3988" w:rsidR="00542690" w:rsidRPr="001F4216" w:rsidRDefault="00542690" w:rsidP="00542690">
            <w:pPr>
              <w:pStyle w:val="CommentaryText"/>
              <w:spacing w:after="0"/>
              <w:rPr>
                <w:rFonts w:cs="Calibri"/>
                <w:i/>
                <w:iCs/>
                <w:strike/>
                <w:color w:val="FFFFFF" w:themeColor="background1"/>
                <w:szCs w:val="20"/>
              </w:rPr>
            </w:pPr>
            <w:r w:rsidRPr="001F4216">
              <w:rPr>
                <w:rFonts w:cs="Calibri"/>
                <w:i/>
                <w:iCs/>
                <w:color w:val="FFFFFF" w:themeColor="background1"/>
                <w:szCs w:val="20"/>
              </w:rPr>
              <w:t>Contract Cost Asset</w:t>
            </w:r>
          </w:p>
        </w:tc>
      </w:tr>
      <w:tr w:rsidR="00542690" w:rsidRPr="00DD296A" w14:paraId="5AF6DFE2" w14:textId="77777777" w:rsidTr="005F5B4C">
        <w:trPr>
          <w:cantSplit/>
          <w:trHeight w:val="23"/>
        </w:trPr>
        <w:tc>
          <w:tcPr>
            <w:tcW w:w="745" w:type="pct"/>
            <w:tcBorders>
              <w:top w:val="nil"/>
              <w:left w:val="single" w:sz="2" w:space="0" w:color="auto"/>
              <w:bottom w:val="nil"/>
              <w:right w:val="single" w:sz="2" w:space="0" w:color="auto"/>
            </w:tcBorders>
          </w:tcPr>
          <w:p w14:paraId="042B105B"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031F1860" w14:textId="4C2DA25E"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AASB 15 requires incremental costs to obtain a contract and costs to fulfil a contract to be capitalised as an asset and released as the goods/services are transferred to the customer where certain conditions are met.</w:t>
            </w:r>
          </w:p>
        </w:tc>
      </w:tr>
      <w:tr w:rsidR="00542690" w:rsidRPr="00DD296A" w14:paraId="766ABE77" w14:textId="77777777" w:rsidTr="005F5B4C">
        <w:trPr>
          <w:cantSplit/>
          <w:trHeight w:val="23"/>
        </w:trPr>
        <w:tc>
          <w:tcPr>
            <w:tcW w:w="745" w:type="pct"/>
            <w:tcBorders>
              <w:top w:val="nil"/>
              <w:left w:val="single" w:sz="2" w:space="0" w:color="auto"/>
              <w:bottom w:val="nil"/>
              <w:right w:val="single" w:sz="2" w:space="0" w:color="auto"/>
            </w:tcBorders>
          </w:tcPr>
          <w:p w14:paraId="03DDBD28"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6CAE511D" w14:textId="493050AC"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When the agency has recognised an asset for costs to obtain or fulfil a contract with a customer, the agency is required to disclose the closing balance by main asset category (e.g. costs to obtain contracts, set up costs, pre-contract costs etc).</w:t>
            </w:r>
          </w:p>
        </w:tc>
      </w:tr>
      <w:tr w:rsidR="00542690" w:rsidRPr="00DD296A" w14:paraId="5A8FA1AA" w14:textId="77777777" w:rsidTr="005F5B4C">
        <w:trPr>
          <w:cantSplit/>
          <w:trHeight w:val="23"/>
        </w:trPr>
        <w:tc>
          <w:tcPr>
            <w:tcW w:w="745" w:type="pct"/>
            <w:tcBorders>
              <w:top w:val="nil"/>
              <w:left w:val="single" w:sz="2" w:space="0" w:color="auto"/>
              <w:bottom w:val="nil"/>
              <w:right w:val="single" w:sz="2" w:space="0" w:color="auto"/>
            </w:tcBorders>
          </w:tcPr>
          <w:p w14:paraId="03A82F99"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6636ACCA" w14:textId="3A469F4F"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 xml:space="preserve">It is unlikely that agencies would have </w:t>
            </w:r>
            <w:r w:rsidR="00C03B5E">
              <w:rPr>
                <w:rFonts w:eastAsia="Calibri"/>
                <w:color w:val="FFFFFF" w:themeColor="background1"/>
                <w:sz w:val="18"/>
                <w:szCs w:val="18"/>
              </w:rPr>
              <w:t>material</w:t>
            </w:r>
            <w:r w:rsidRPr="003E75E3">
              <w:rPr>
                <w:rFonts w:eastAsia="Calibri"/>
                <w:color w:val="FFFFFF" w:themeColor="background1"/>
                <w:sz w:val="18"/>
                <w:szCs w:val="18"/>
              </w:rPr>
              <w:t xml:space="preserve"> incremental costs to obtain a contract since this is generally costs such as commission.</w:t>
            </w:r>
          </w:p>
        </w:tc>
      </w:tr>
      <w:tr w:rsidR="00542690" w:rsidRPr="00DD296A" w14:paraId="71BEB5FA" w14:textId="77777777" w:rsidTr="005F5B4C">
        <w:trPr>
          <w:cantSplit/>
          <w:trHeight w:val="23"/>
        </w:trPr>
        <w:tc>
          <w:tcPr>
            <w:tcW w:w="745" w:type="pct"/>
            <w:tcBorders>
              <w:top w:val="nil"/>
              <w:left w:val="single" w:sz="2" w:space="0" w:color="auto"/>
              <w:bottom w:val="nil"/>
              <w:right w:val="single" w:sz="2" w:space="0" w:color="auto"/>
            </w:tcBorders>
          </w:tcPr>
          <w:p w14:paraId="737AFFAC" w14:textId="77777777" w:rsidR="00542690" w:rsidRPr="003E75E3" w:rsidRDefault="00542690" w:rsidP="00542690">
            <w:pPr>
              <w:pStyle w:val="TableReference"/>
              <w:tabs>
                <w:tab w:val="left" w:pos="3306"/>
              </w:tabs>
              <w:rPr>
                <w:color w:val="7030A0"/>
              </w:rPr>
            </w:pPr>
          </w:p>
        </w:tc>
        <w:tc>
          <w:tcPr>
            <w:tcW w:w="4255" w:type="pct"/>
            <w:tcBorders>
              <w:top w:val="nil"/>
              <w:left w:val="single" w:sz="2" w:space="0" w:color="auto"/>
              <w:bottom w:val="nil"/>
              <w:right w:val="nil"/>
            </w:tcBorders>
            <w:shd w:val="clear" w:color="auto" w:fill="7030A0"/>
            <w:vAlign w:val="bottom"/>
          </w:tcPr>
          <w:p w14:paraId="50AF578E" w14:textId="0DDFFA86" w:rsidR="00542690" w:rsidRPr="003E75E3" w:rsidRDefault="00542690" w:rsidP="00542690">
            <w:pPr>
              <w:pStyle w:val="CommentaryText"/>
              <w:rPr>
                <w:rFonts w:cs="Calibri"/>
                <w:b/>
                <w:bCs/>
                <w:strike/>
                <w:color w:val="FFFFFF" w:themeColor="background1"/>
                <w:sz w:val="24"/>
                <w:szCs w:val="24"/>
              </w:rPr>
            </w:pPr>
            <w:r w:rsidRPr="003E75E3">
              <w:rPr>
                <w:rFonts w:eastAsia="Calibri"/>
                <w:color w:val="FFFFFF" w:themeColor="background1"/>
                <w:sz w:val="18"/>
                <w:szCs w:val="18"/>
              </w:rPr>
              <w:t>In relation to costs to fulfil a contract, agencies should consider whether costs which have been incurred on a different basis from the recognition of revenue meet the criteria to be capitalised under AASB 15.</w:t>
            </w:r>
            <w:r w:rsidR="00FA7C77">
              <w:rPr>
                <w:rFonts w:eastAsia="Calibri"/>
                <w:color w:val="FFFFFF" w:themeColor="background1"/>
                <w:sz w:val="18"/>
                <w:szCs w:val="18"/>
              </w:rPr>
              <w:t xml:space="preserve"> </w:t>
            </w:r>
            <w:r w:rsidRPr="003E75E3">
              <w:rPr>
                <w:rFonts w:eastAsia="Calibri"/>
                <w:color w:val="FFFFFF" w:themeColor="background1"/>
                <w:sz w:val="18"/>
                <w:szCs w:val="18"/>
              </w:rPr>
              <w:t>Note that this is not an accounting policy choice, if the criteria are met then a contract cost must be recognised.</w:t>
            </w:r>
          </w:p>
        </w:tc>
      </w:tr>
      <w:tr w:rsidR="00542690" w:rsidRPr="00DD296A" w14:paraId="11B140C8" w14:textId="77777777" w:rsidTr="005F5B4C">
        <w:trPr>
          <w:cantSplit/>
          <w:trHeight w:val="23"/>
        </w:trPr>
        <w:tc>
          <w:tcPr>
            <w:tcW w:w="745" w:type="pct"/>
            <w:tcBorders>
              <w:top w:val="nil"/>
              <w:left w:val="single" w:sz="2" w:space="0" w:color="auto"/>
              <w:bottom w:val="nil"/>
              <w:right w:val="single" w:sz="2" w:space="0" w:color="auto"/>
            </w:tcBorders>
          </w:tcPr>
          <w:p w14:paraId="789DBF69" w14:textId="6844216E" w:rsidR="00542690" w:rsidRPr="003E75E3" w:rsidRDefault="00542690" w:rsidP="00542690">
            <w:pPr>
              <w:pStyle w:val="TableReference"/>
              <w:tabs>
                <w:tab w:val="left" w:pos="3306"/>
              </w:tabs>
              <w:spacing w:before="40"/>
              <w:rPr>
                <w:rFonts w:cs="Calibri"/>
                <w:color w:val="7030A0"/>
                <w:sz w:val="14"/>
              </w:rPr>
            </w:pPr>
            <w:r w:rsidRPr="003E75E3">
              <w:rPr>
                <w:rFonts w:cs="Calibri"/>
                <w:color w:val="7030A0"/>
                <w:sz w:val="14"/>
              </w:rPr>
              <w:t>AASB 7.31-42</w:t>
            </w:r>
          </w:p>
        </w:tc>
        <w:tc>
          <w:tcPr>
            <w:tcW w:w="4255" w:type="pct"/>
            <w:tcBorders>
              <w:top w:val="nil"/>
              <w:left w:val="single" w:sz="2" w:space="0" w:color="auto"/>
              <w:bottom w:val="nil"/>
              <w:right w:val="nil"/>
            </w:tcBorders>
            <w:shd w:val="clear" w:color="auto" w:fill="7030A0"/>
            <w:vAlign w:val="bottom"/>
          </w:tcPr>
          <w:p w14:paraId="0BB74A7C" w14:textId="086A83CA" w:rsidR="00542690" w:rsidRPr="003E75E3" w:rsidRDefault="00542690" w:rsidP="00542690">
            <w:pPr>
              <w:pStyle w:val="CommentaryText"/>
              <w:spacing w:after="0"/>
              <w:rPr>
                <w:rFonts w:cs="Calibri"/>
                <w:color w:val="FFFFFF" w:themeColor="background1"/>
                <w:sz w:val="18"/>
                <w:szCs w:val="18"/>
              </w:rPr>
            </w:pPr>
            <w:r w:rsidRPr="003E75E3">
              <w:rPr>
                <w:rFonts w:cs="Calibri"/>
                <w:color w:val="FFFFFF" w:themeColor="background1"/>
                <w:sz w:val="18"/>
                <w:szCs w:val="18"/>
              </w:rPr>
              <w:t xml:space="preserve">AASB 7 </w:t>
            </w:r>
            <w:r w:rsidRPr="003E75E3">
              <w:rPr>
                <w:rFonts w:cs="Calibri"/>
                <w:i/>
                <w:color w:val="FFFFFF" w:themeColor="background1"/>
                <w:sz w:val="18"/>
                <w:szCs w:val="18"/>
              </w:rPr>
              <w:t>Financial Instruments: Disclosures</w:t>
            </w:r>
            <w:r w:rsidRPr="003E75E3">
              <w:rPr>
                <w:rFonts w:cs="Calibri"/>
                <w:color w:val="FFFFFF" w:themeColor="background1"/>
                <w:sz w:val="18"/>
                <w:szCs w:val="18"/>
              </w:rPr>
              <w:t xml:space="preserve"> requires quantitative and qualitative disclosures for each type of risk (i.e. credit risk, liquidity risk and market risk) to evaluate the nature and extent of risks from financial instruments to which the agency is exposed, including financial assets that are either past due or impaired (see Note 31 </w:t>
            </w:r>
            <w:r w:rsidRPr="003E75E3">
              <w:rPr>
                <w:rFonts w:cs="Calibri"/>
                <w:i/>
                <w:color w:val="FFFFFF" w:themeColor="background1"/>
                <w:sz w:val="18"/>
                <w:szCs w:val="18"/>
              </w:rPr>
              <w:t>Financial Instruments</w:t>
            </w:r>
            <w:r w:rsidRPr="003E75E3">
              <w:rPr>
                <w:rFonts w:cs="Calibri"/>
                <w:color w:val="FFFFFF" w:themeColor="background1"/>
                <w:sz w:val="18"/>
                <w:szCs w:val="18"/>
              </w:rPr>
              <w:t>).</w:t>
            </w:r>
          </w:p>
        </w:tc>
      </w:tr>
      <w:tr w:rsidR="00542690" w:rsidRPr="00DD296A" w14:paraId="0EFB27BA" w14:textId="77777777" w:rsidTr="005F5B4C">
        <w:trPr>
          <w:cantSplit/>
          <w:trHeight w:val="23"/>
        </w:trPr>
        <w:tc>
          <w:tcPr>
            <w:tcW w:w="745" w:type="pct"/>
            <w:tcBorders>
              <w:top w:val="nil"/>
              <w:left w:val="single" w:sz="2" w:space="0" w:color="auto"/>
              <w:bottom w:val="nil"/>
              <w:right w:val="single" w:sz="2" w:space="0" w:color="auto"/>
            </w:tcBorders>
          </w:tcPr>
          <w:p w14:paraId="1E6BAA9D" w14:textId="77777777" w:rsidR="00542690" w:rsidRPr="003E75E3" w:rsidRDefault="00542690" w:rsidP="0054269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237D0A26" w14:textId="097AF532" w:rsidR="00542690" w:rsidRPr="001F4216" w:rsidRDefault="00542690" w:rsidP="00542690">
            <w:pPr>
              <w:pStyle w:val="CommentaryText"/>
              <w:spacing w:before="120" w:after="0"/>
              <w:rPr>
                <w:rFonts w:cs="Calibri"/>
                <w:color w:val="FFFFFF" w:themeColor="background1"/>
                <w:szCs w:val="20"/>
              </w:rPr>
            </w:pPr>
            <w:r w:rsidRPr="001F4216">
              <w:rPr>
                <w:rFonts w:cs="Calibri"/>
                <w:b/>
                <w:bCs/>
                <w:color w:val="FFFFFF" w:themeColor="background1"/>
                <w:szCs w:val="20"/>
              </w:rPr>
              <w:t>Impact of COVID-19 on Expected Credit Losses</w:t>
            </w:r>
          </w:p>
        </w:tc>
      </w:tr>
      <w:tr w:rsidR="00542690" w:rsidRPr="00DD296A" w14:paraId="6D8002E2" w14:textId="77777777" w:rsidTr="005F5B4C">
        <w:trPr>
          <w:cantSplit/>
          <w:trHeight w:val="23"/>
        </w:trPr>
        <w:tc>
          <w:tcPr>
            <w:tcW w:w="745" w:type="pct"/>
            <w:tcBorders>
              <w:top w:val="nil"/>
              <w:left w:val="single" w:sz="2" w:space="0" w:color="auto"/>
              <w:bottom w:val="nil"/>
              <w:right w:val="single" w:sz="2" w:space="0" w:color="auto"/>
            </w:tcBorders>
          </w:tcPr>
          <w:p w14:paraId="0D14EEED" w14:textId="77777777" w:rsidR="00542690" w:rsidRPr="003E75E3" w:rsidRDefault="00542690" w:rsidP="00542690">
            <w:pPr>
              <w:pStyle w:val="TableReference"/>
              <w:tabs>
                <w:tab w:val="left" w:pos="3306"/>
              </w:tabs>
              <w:spacing w:before="40"/>
              <w:rPr>
                <w:rFonts w:cs="Calibri"/>
                <w:color w:val="7030A0"/>
                <w:sz w:val="14"/>
              </w:rPr>
            </w:pPr>
          </w:p>
        </w:tc>
        <w:tc>
          <w:tcPr>
            <w:tcW w:w="4255" w:type="pct"/>
            <w:tcBorders>
              <w:top w:val="nil"/>
              <w:left w:val="single" w:sz="2" w:space="0" w:color="auto"/>
              <w:bottom w:val="nil"/>
              <w:right w:val="nil"/>
            </w:tcBorders>
            <w:shd w:val="clear" w:color="auto" w:fill="7030A0"/>
            <w:vAlign w:val="bottom"/>
          </w:tcPr>
          <w:p w14:paraId="7B81DD80" w14:textId="77777777" w:rsidR="00542690" w:rsidRPr="003E75E3" w:rsidRDefault="00542690" w:rsidP="00542690">
            <w:pPr>
              <w:jc w:val="both"/>
              <w:rPr>
                <w:color w:val="FFFFFF" w:themeColor="background1"/>
                <w:sz w:val="18"/>
                <w:szCs w:val="18"/>
              </w:rPr>
            </w:pPr>
            <w:r w:rsidRPr="003E75E3">
              <w:rPr>
                <w:color w:val="FFFFFF" w:themeColor="background1"/>
                <w:sz w:val="18"/>
                <w:szCs w:val="18"/>
              </w:rPr>
              <w:t xml:space="preserve">It is likely Expected Credit Losses (ECLs) will increase to reflect changes in the ability of customers to settle their debts. Material changes to the method of calculating ECLs will need to be appropriately disclosed. </w:t>
            </w:r>
          </w:p>
          <w:p w14:paraId="401B6A11" w14:textId="77777777" w:rsidR="00542690" w:rsidRPr="003E75E3" w:rsidRDefault="00542690" w:rsidP="007122BC">
            <w:pPr>
              <w:pStyle w:val="ListParagraph"/>
              <w:numPr>
                <w:ilvl w:val="0"/>
                <w:numId w:val="51"/>
              </w:numPr>
              <w:ind w:left="459"/>
              <w:jc w:val="both"/>
              <w:rPr>
                <w:color w:val="FFFFFF" w:themeColor="background1"/>
                <w:sz w:val="18"/>
                <w:szCs w:val="18"/>
              </w:rPr>
            </w:pPr>
            <w:r w:rsidRPr="003E75E3">
              <w:rPr>
                <w:color w:val="FFFFFF" w:themeColor="background1"/>
                <w:sz w:val="18"/>
                <w:szCs w:val="18"/>
              </w:rPr>
              <w:t>ECLs (ie provisions) against receivables may increase substantially; and</w:t>
            </w:r>
          </w:p>
          <w:p w14:paraId="771EA3D4" w14:textId="6253E638" w:rsidR="00542690" w:rsidRPr="003E75E3" w:rsidRDefault="00542690" w:rsidP="007122BC">
            <w:pPr>
              <w:pStyle w:val="CommentaryText"/>
              <w:keepNext/>
              <w:keepLines/>
              <w:numPr>
                <w:ilvl w:val="0"/>
                <w:numId w:val="53"/>
              </w:numPr>
              <w:tabs>
                <w:tab w:val="left" w:pos="3306"/>
              </w:tabs>
              <w:ind w:left="459" w:hanging="357"/>
              <w:rPr>
                <w:color w:val="FFFFFF" w:themeColor="background1"/>
                <w:sz w:val="18"/>
                <w:szCs w:val="18"/>
              </w:rPr>
            </w:pPr>
            <w:r w:rsidRPr="001F4216">
              <w:rPr>
                <w:rFonts w:cs="Calibri"/>
                <w:color w:val="FFFFFF" w:themeColor="background1"/>
                <w:sz w:val="18"/>
                <w:szCs w:val="18"/>
              </w:rPr>
              <w:t>agencies need to consider the appropriateness of their existing methodologies for predicting future ECLs.</w:t>
            </w:r>
          </w:p>
        </w:tc>
      </w:tr>
      <w:tr w:rsidR="009315BB" w:rsidRPr="00CF7E1B" w14:paraId="5A0A6C26" w14:textId="77777777" w:rsidTr="005F5B4C">
        <w:trPr>
          <w:cantSplit/>
        </w:trPr>
        <w:tc>
          <w:tcPr>
            <w:tcW w:w="745" w:type="pct"/>
            <w:tcBorders>
              <w:top w:val="nil"/>
              <w:left w:val="single" w:sz="2" w:space="0" w:color="auto"/>
              <w:bottom w:val="nil"/>
              <w:right w:val="single" w:sz="2" w:space="0" w:color="auto"/>
            </w:tcBorders>
          </w:tcPr>
          <w:p w14:paraId="32F50180" w14:textId="5D8BCC60" w:rsidR="009315BB" w:rsidRPr="00167B16" w:rsidRDefault="009315BB" w:rsidP="005C58EF">
            <w:pPr>
              <w:pStyle w:val="TableReference"/>
              <w:tabs>
                <w:tab w:val="left" w:pos="3306"/>
              </w:tabs>
              <w:spacing w:before="240" w:after="240"/>
              <w:rPr>
                <w:rFonts w:cs="Calibri"/>
                <w:color w:val="7030A0"/>
                <w:sz w:val="22"/>
                <w:szCs w:val="22"/>
              </w:rPr>
            </w:pPr>
          </w:p>
        </w:tc>
        <w:tc>
          <w:tcPr>
            <w:tcW w:w="4255" w:type="pct"/>
            <w:tcBorders>
              <w:top w:val="nil"/>
              <w:left w:val="single" w:sz="2" w:space="0" w:color="auto"/>
              <w:bottom w:val="nil"/>
              <w:right w:val="nil"/>
            </w:tcBorders>
            <w:vAlign w:val="bottom"/>
          </w:tcPr>
          <w:p w14:paraId="7C476569" w14:textId="406C2147" w:rsidR="009315BB" w:rsidRPr="000C75E5" w:rsidRDefault="009315BB" w:rsidP="009315BB">
            <w:pPr>
              <w:pStyle w:val="Heading1"/>
              <w:numPr>
                <w:ilvl w:val="0"/>
                <w:numId w:val="0"/>
              </w:numPr>
            </w:pPr>
            <w:bookmarkStart w:id="511" w:name="_Toc98763113"/>
            <w:r w:rsidRPr="00167B16">
              <w:t xml:space="preserve">Note </w:t>
            </w:r>
            <w:r w:rsidR="00762E7F" w:rsidRPr="00167B16">
              <w:t>17</w:t>
            </w:r>
            <w:r w:rsidRPr="00167B16">
              <w:t>.</w:t>
            </w:r>
            <w:r w:rsidR="00FA7C77">
              <w:t xml:space="preserve">  </w:t>
            </w:r>
            <w:r w:rsidRPr="00167B16">
              <w:t xml:space="preserve"> Inventories</w:t>
            </w:r>
            <w:bookmarkEnd w:id="511"/>
          </w:p>
        </w:tc>
      </w:tr>
      <w:tr w:rsidR="00797FEC" w:rsidRPr="00CF7E1B" w14:paraId="2576B4AE" w14:textId="77777777" w:rsidTr="005F5B4C">
        <w:trPr>
          <w:cantSplit/>
        </w:trPr>
        <w:tc>
          <w:tcPr>
            <w:tcW w:w="745" w:type="pct"/>
            <w:tcBorders>
              <w:top w:val="nil"/>
              <w:left w:val="single" w:sz="2" w:space="0" w:color="auto"/>
              <w:bottom w:val="nil"/>
              <w:right w:val="single" w:sz="2" w:space="0" w:color="auto"/>
            </w:tcBorders>
          </w:tcPr>
          <w:p w14:paraId="34DF2AE8" w14:textId="77777777" w:rsidR="00797FEC" w:rsidRPr="00167B16" w:rsidRDefault="00797FEC" w:rsidP="00167B16">
            <w:pPr>
              <w:pStyle w:val="TableReference"/>
              <w:tabs>
                <w:tab w:val="left" w:pos="3306"/>
              </w:tabs>
              <w:rPr>
                <w:color w:val="7030A0"/>
                <w:sz w:val="14"/>
              </w:rPr>
            </w:pPr>
          </w:p>
        </w:tc>
        <w:tc>
          <w:tcPr>
            <w:tcW w:w="4255" w:type="pct"/>
            <w:tcBorders>
              <w:top w:val="nil"/>
              <w:left w:val="single" w:sz="2" w:space="0" w:color="auto"/>
              <w:bottom w:val="nil"/>
              <w:right w:val="nil"/>
            </w:tcBorders>
            <w:vAlign w:val="bottom"/>
          </w:tcPr>
          <w:p w14:paraId="707DCEE2" w14:textId="211D6171" w:rsidR="00797FEC" w:rsidRPr="00167B16" w:rsidRDefault="004F40F6" w:rsidP="0057780C">
            <w:pPr>
              <w:pStyle w:val="Heading1"/>
              <w:numPr>
                <w:ilvl w:val="0"/>
                <w:numId w:val="0"/>
              </w:numPr>
              <w:spacing w:before="0" w:after="0"/>
              <w:rPr>
                <w:rFonts w:ascii="Calibri" w:hAnsi="Calibri" w:cs="Calibri"/>
                <w:caps w:val="0"/>
                <w:sz w:val="18"/>
                <w:szCs w:val="18"/>
              </w:rPr>
            </w:pPr>
            <w:bookmarkStart w:id="512" w:name="_Toc98763114"/>
            <w:r w:rsidRPr="00167B16">
              <w:rPr>
                <w:rFonts w:ascii="Calibri" w:hAnsi="Calibri" w:cs="Calibri"/>
                <w:caps w:val="0"/>
                <w:sz w:val="18"/>
                <w:szCs w:val="18"/>
              </w:rPr>
              <w:t>Description and Material Accounting Policies relating to Inventories</w:t>
            </w:r>
            <w:bookmarkEnd w:id="512"/>
          </w:p>
        </w:tc>
      </w:tr>
      <w:tr w:rsidR="00FC69F0" w:rsidRPr="00CF7E1B" w14:paraId="65A3EAC2" w14:textId="77777777" w:rsidTr="005F5B4C">
        <w:trPr>
          <w:cantSplit/>
        </w:trPr>
        <w:tc>
          <w:tcPr>
            <w:tcW w:w="745" w:type="pct"/>
            <w:tcBorders>
              <w:top w:val="nil"/>
              <w:left w:val="single" w:sz="2" w:space="0" w:color="auto"/>
              <w:bottom w:val="nil"/>
              <w:right w:val="single" w:sz="2" w:space="0" w:color="auto"/>
            </w:tcBorders>
          </w:tcPr>
          <w:p w14:paraId="45C975BD" w14:textId="77777777" w:rsidR="00FC69F0" w:rsidRPr="00167B16" w:rsidRDefault="00FC69F0" w:rsidP="00FC69F0">
            <w:pPr>
              <w:pStyle w:val="TableReference"/>
              <w:tabs>
                <w:tab w:val="left" w:pos="3306"/>
              </w:tabs>
              <w:rPr>
                <w:color w:val="7030A0"/>
                <w:sz w:val="14"/>
              </w:rPr>
            </w:pPr>
          </w:p>
        </w:tc>
        <w:tc>
          <w:tcPr>
            <w:tcW w:w="4255" w:type="pct"/>
            <w:tcBorders>
              <w:top w:val="nil"/>
              <w:left w:val="single" w:sz="2" w:space="0" w:color="auto"/>
              <w:bottom w:val="nil"/>
              <w:right w:val="nil"/>
            </w:tcBorders>
            <w:vAlign w:val="bottom"/>
          </w:tcPr>
          <w:p w14:paraId="5CB6A34F" w14:textId="7AF9AB7F" w:rsidR="00FC69F0" w:rsidRPr="00167B16" w:rsidRDefault="00FC69F0" w:rsidP="00FC69F0">
            <w:pPr>
              <w:pStyle w:val="Heading1"/>
              <w:numPr>
                <w:ilvl w:val="0"/>
                <w:numId w:val="0"/>
              </w:numPr>
              <w:spacing w:before="120" w:after="0"/>
              <w:rPr>
                <w:rFonts w:ascii="Calibri" w:hAnsi="Calibri" w:cs="Calibri"/>
                <w:b w:val="0"/>
                <w:bCs w:val="0"/>
                <w:i/>
                <w:iCs/>
                <w:caps w:val="0"/>
                <w:sz w:val="18"/>
                <w:szCs w:val="18"/>
              </w:rPr>
            </w:pPr>
            <w:bookmarkStart w:id="513" w:name="_Toc98763115"/>
            <w:r w:rsidRPr="00167B16">
              <w:rPr>
                <w:rFonts w:ascii="Calibri" w:hAnsi="Calibri" w:cs="Calibri"/>
                <w:b w:val="0"/>
                <w:bCs w:val="0"/>
                <w:i/>
                <w:iCs/>
                <w:caps w:val="0"/>
                <w:sz w:val="18"/>
                <w:szCs w:val="18"/>
              </w:rPr>
              <w:t>Inventory</w:t>
            </w:r>
            <w:bookmarkEnd w:id="513"/>
          </w:p>
        </w:tc>
      </w:tr>
      <w:tr w:rsidR="007B7B05" w:rsidRPr="00CF7E1B" w14:paraId="0D6F6B00" w14:textId="77777777" w:rsidTr="005F5B4C">
        <w:trPr>
          <w:cantSplit/>
        </w:trPr>
        <w:tc>
          <w:tcPr>
            <w:tcW w:w="745" w:type="pct"/>
            <w:tcBorders>
              <w:top w:val="nil"/>
              <w:left w:val="single" w:sz="2" w:space="0" w:color="auto"/>
              <w:bottom w:val="nil"/>
              <w:right w:val="single" w:sz="2" w:space="0" w:color="auto"/>
            </w:tcBorders>
          </w:tcPr>
          <w:p w14:paraId="5B1D07C9" w14:textId="77777777" w:rsidR="007B7B05" w:rsidRPr="00167B16" w:rsidRDefault="007B7B05" w:rsidP="007B7B05">
            <w:pPr>
              <w:pStyle w:val="TableReference"/>
              <w:tabs>
                <w:tab w:val="left" w:pos="3306"/>
              </w:tabs>
              <w:spacing w:before="240"/>
              <w:rPr>
                <w:color w:val="7030A0"/>
                <w:sz w:val="14"/>
              </w:rPr>
            </w:pPr>
          </w:p>
        </w:tc>
        <w:tc>
          <w:tcPr>
            <w:tcW w:w="4255" w:type="pct"/>
            <w:tcBorders>
              <w:top w:val="nil"/>
              <w:left w:val="single" w:sz="2" w:space="0" w:color="auto"/>
              <w:bottom w:val="nil"/>
              <w:right w:val="nil"/>
            </w:tcBorders>
          </w:tcPr>
          <w:p w14:paraId="03C09060" w14:textId="7525A58D" w:rsidR="007B7B05" w:rsidRPr="00167B16" w:rsidRDefault="007B7B05" w:rsidP="009A1E81">
            <w:pPr>
              <w:pStyle w:val="Heading1"/>
              <w:numPr>
                <w:ilvl w:val="0"/>
                <w:numId w:val="0"/>
              </w:numPr>
              <w:spacing w:before="0" w:after="0"/>
              <w:jc w:val="both"/>
              <w:rPr>
                <w:rFonts w:ascii="Calibri" w:hAnsi="Calibri" w:cs="Calibri"/>
                <w:b w:val="0"/>
                <w:bCs w:val="0"/>
                <w:caps w:val="0"/>
                <w:sz w:val="18"/>
                <w:szCs w:val="18"/>
              </w:rPr>
            </w:pPr>
            <w:bookmarkStart w:id="514" w:name="_Toc98763116"/>
            <w:r w:rsidRPr="00167B16">
              <w:rPr>
                <w:rFonts w:ascii="Calibri" w:hAnsi="Calibri" w:cs="Calibri"/>
                <w:b w:val="0"/>
                <w:bCs w:val="0"/>
                <w:caps w:val="0"/>
                <w:sz w:val="18"/>
                <w:szCs w:val="18"/>
              </w:rPr>
              <w:t>Inventory held by ‘</w:t>
            </w:r>
            <w:r w:rsidR="00645E43" w:rsidRPr="00167B16">
              <w:rPr>
                <w:rFonts w:ascii="Calibri" w:hAnsi="Calibri" w:cs="Calibri"/>
                <w:b w:val="0"/>
                <w:bCs w:val="0"/>
                <w:caps w:val="0"/>
                <w:sz w:val="18"/>
                <w:szCs w:val="18"/>
              </w:rPr>
              <w:t>Burley Griffin</w:t>
            </w:r>
            <w:r w:rsidRPr="00167B16">
              <w:rPr>
                <w:rFonts w:ascii="Calibri" w:hAnsi="Calibri" w:cs="Calibri"/>
                <w:b w:val="0"/>
                <w:bCs w:val="0"/>
                <w:caps w:val="0"/>
                <w:sz w:val="18"/>
                <w:szCs w:val="18"/>
              </w:rPr>
              <w:t xml:space="preserve"> Agency’ is made up of land</w:t>
            </w:r>
            <w:r w:rsidR="005B0BEB" w:rsidRPr="00167B16">
              <w:rPr>
                <w:rFonts w:ascii="Calibri" w:hAnsi="Calibri" w:cs="Calibri"/>
                <w:b w:val="0"/>
                <w:bCs w:val="0"/>
                <w:caps w:val="0"/>
                <w:sz w:val="18"/>
                <w:szCs w:val="18"/>
              </w:rPr>
              <w:t>,</w:t>
            </w:r>
            <w:r w:rsidR="00EC7A1C" w:rsidRPr="00167B16">
              <w:rPr>
                <w:rFonts w:ascii="Calibri" w:hAnsi="Calibri" w:cs="Calibri"/>
                <w:b w:val="0"/>
                <w:bCs w:val="0"/>
                <w:caps w:val="0"/>
                <w:sz w:val="18"/>
                <w:szCs w:val="18"/>
              </w:rPr>
              <w:t xml:space="preserve"> </w:t>
            </w:r>
            <w:r w:rsidR="005B0BEB" w:rsidRPr="00167B16">
              <w:rPr>
                <w:rFonts w:ascii="Calibri" w:hAnsi="Calibri" w:cs="Calibri"/>
                <w:b w:val="0"/>
                <w:bCs w:val="0"/>
                <w:caps w:val="0"/>
                <w:sz w:val="18"/>
                <w:szCs w:val="18"/>
              </w:rPr>
              <w:t>as well as</w:t>
            </w:r>
            <w:r w:rsidRPr="00167B16">
              <w:rPr>
                <w:rFonts w:ascii="Calibri" w:hAnsi="Calibri" w:cs="Calibri"/>
                <w:b w:val="0"/>
                <w:bCs w:val="0"/>
                <w:caps w:val="0"/>
                <w:sz w:val="18"/>
                <w:szCs w:val="18"/>
              </w:rPr>
              <w:t xml:space="preserve"> </w:t>
            </w:r>
            <w:r w:rsidR="00E57A1B" w:rsidRPr="00167B16">
              <w:rPr>
                <w:rFonts w:ascii="Calibri" w:hAnsi="Calibri" w:cs="Calibri"/>
                <w:b w:val="0"/>
                <w:bCs w:val="0"/>
                <w:caps w:val="0"/>
                <w:sz w:val="18"/>
                <w:szCs w:val="18"/>
              </w:rPr>
              <w:t xml:space="preserve">environmental </w:t>
            </w:r>
            <w:r w:rsidR="00EC7A1C" w:rsidRPr="00167B16">
              <w:rPr>
                <w:rFonts w:ascii="Calibri" w:hAnsi="Calibri" w:cs="Calibri"/>
                <w:b w:val="0"/>
                <w:bCs w:val="0"/>
                <w:caps w:val="0"/>
                <w:sz w:val="18"/>
                <w:szCs w:val="18"/>
              </w:rPr>
              <w:t>merchandising which i</w:t>
            </w:r>
            <w:r w:rsidR="005B0BEB" w:rsidRPr="00167B16">
              <w:rPr>
                <w:rFonts w:ascii="Calibri" w:hAnsi="Calibri" w:cs="Calibri"/>
                <w:b w:val="0"/>
                <w:bCs w:val="0"/>
                <w:caps w:val="0"/>
                <w:sz w:val="18"/>
                <w:szCs w:val="18"/>
              </w:rPr>
              <w:t>t</w:t>
            </w:r>
            <w:r w:rsidR="00EC7A1C" w:rsidRPr="00167B16">
              <w:rPr>
                <w:rFonts w:ascii="Calibri" w:hAnsi="Calibri" w:cs="Calibri"/>
                <w:b w:val="0"/>
                <w:bCs w:val="0"/>
                <w:caps w:val="0"/>
                <w:sz w:val="18"/>
                <w:szCs w:val="18"/>
              </w:rPr>
              <w:t xml:space="preserve"> sells to tourists visiting Canberra and to the ACT community.</w:t>
            </w:r>
            <w:r w:rsidR="00FA7C77">
              <w:rPr>
                <w:rFonts w:ascii="Calibri" w:hAnsi="Calibri" w:cs="Calibri"/>
                <w:b w:val="0"/>
                <w:bCs w:val="0"/>
                <w:caps w:val="0"/>
                <w:sz w:val="18"/>
                <w:szCs w:val="18"/>
              </w:rPr>
              <w:t xml:space="preserve"> </w:t>
            </w:r>
            <w:r w:rsidR="0067087D" w:rsidRPr="00167B16">
              <w:rPr>
                <w:rFonts w:ascii="Calibri" w:hAnsi="Calibri" w:cs="Calibri"/>
                <w:b w:val="0"/>
                <w:bCs w:val="0"/>
                <w:caps w:val="0"/>
                <w:sz w:val="18"/>
                <w:szCs w:val="18"/>
              </w:rPr>
              <w:t xml:space="preserve">‘Burley Griffin Agency’ acquires, develops and prepares land and hold this land as inventory. </w:t>
            </w:r>
            <w:r w:rsidR="00EC7A1C" w:rsidRPr="00167B16">
              <w:rPr>
                <w:rFonts w:ascii="Calibri" w:hAnsi="Calibri" w:cs="Calibri"/>
                <w:b w:val="0"/>
                <w:bCs w:val="0"/>
                <w:caps w:val="0"/>
                <w:sz w:val="18"/>
                <w:szCs w:val="18"/>
              </w:rPr>
              <w:t>Raw materials are purchased by ‘</w:t>
            </w:r>
            <w:r w:rsidR="00645E43" w:rsidRPr="00167B16">
              <w:rPr>
                <w:rFonts w:ascii="Calibri" w:hAnsi="Calibri" w:cs="Calibri"/>
                <w:b w:val="0"/>
                <w:bCs w:val="0"/>
                <w:caps w:val="0"/>
                <w:sz w:val="18"/>
                <w:szCs w:val="18"/>
              </w:rPr>
              <w:t>Burley Griffin Agency</w:t>
            </w:r>
            <w:r w:rsidR="00EC7A1C" w:rsidRPr="00167B16">
              <w:rPr>
                <w:rFonts w:ascii="Calibri" w:hAnsi="Calibri" w:cs="Calibri"/>
                <w:b w:val="0"/>
                <w:bCs w:val="0"/>
                <w:caps w:val="0"/>
                <w:sz w:val="18"/>
                <w:szCs w:val="18"/>
              </w:rPr>
              <w:t xml:space="preserve">’ and </w:t>
            </w:r>
            <w:r w:rsidR="0067087D" w:rsidRPr="00167B16">
              <w:rPr>
                <w:rFonts w:ascii="Calibri" w:hAnsi="Calibri" w:cs="Calibri"/>
                <w:b w:val="0"/>
                <w:bCs w:val="0"/>
                <w:caps w:val="0"/>
                <w:sz w:val="18"/>
                <w:szCs w:val="18"/>
              </w:rPr>
              <w:t xml:space="preserve">it then </w:t>
            </w:r>
            <w:r w:rsidR="00787469" w:rsidRPr="00167B16">
              <w:rPr>
                <w:rFonts w:ascii="Calibri" w:hAnsi="Calibri" w:cs="Calibri"/>
                <w:b w:val="0"/>
                <w:bCs w:val="0"/>
                <w:caps w:val="0"/>
                <w:sz w:val="18"/>
                <w:szCs w:val="18"/>
              </w:rPr>
              <w:t xml:space="preserve">produces the </w:t>
            </w:r>
            <w:r w:rsidR="00FF0A0E" w:rsidRPr="00167B16">
              <w:rPr>
                <w:rFonts w:ascii="Calibri" w:hAnsi="Calibri" w:cs="Calibri"/>
                <w:b w:val="0"/>
                <w:bCs w:val="0"/>
                <w:caps w:val="0"/>
                <w:sz w:val="18"/>
                <w:szCs w:val="18"/>
              </w:rPr>
              <w:t>merchandise</w:t>
            </w:r>
            <w:r w:rsidR="00EC7A1C" w:rsidRPr="00167B16">
              <w:rPr>
                <w:rFonts w:ascii="Calibri" w:hAnsi="Calibri" w:cs="Calibri"/>
                <w:b w:val="0"/>
                <w:bCs w:val="0"/>
                <w:caps w:val="0"/>
                <w:sz w:val="18"/>
                <w:szCs w:val="18"/>
              </w:rPr>
              <w:t xml:space="preserve"> in-house by agency staff</w:t>
            </w:r>
            <w:r w:rsidR="00787469" w:rsidRPr="00167B16">
              <w:rPr>
                <w:rFonts w:ascii="Calibri" w:hAnsi="Calibri" w:cs="Calibri"/>
                <w:b w:val="0"/>
                <w:bCs w:val="0"/>
                <w:caps w:val="0"/>
                <w:sz w:val="18"/>
                <w:szCs w:val="18"/>
              </w:rPr>
              <w:t>.</w:t>
            </w:r>
            <w:bookmarkEnd w:id="514"/>
          </w:p>
        </w:tc>
      </w:tr>
      <w:tr w:rsidR="009315BB" w:rsidRPr="00CF7E1B" w14:paraId="3311F170" w14:textId="77777777" w:rsidTr="005F5B4C">
        <w:trPr>
          <w:cantSplit/>
        </w:trPr>
        <w:tc>
          <w:tcPr>
            <w:tcW w:w="745" w:type="pct"/>
            <w:tcBorders>
              <w:top w:val="nil"/>
              <w:left w:val="single" w:sz="2" w:space="0" w:color="auto"/>
              <w:bottom w:val="nil"/>
              <w:right w:val="single" w:sz="2" w:space="0" w:color="auto"/>
            </w:tcBorders>
          </w:tcPr>
          <w:p w14:paraId="1CCD25AD" w14:textId="77777777" w:rsidR="005F2842" w:rsidRPr="00167B16" w:rsidRDefault="009315BB" w:rsidP="005F2842">
            <w:pPr>
              <w:pStyle w:val="TableReference"/>
              <w:tabs>
                <w:tab w:val="left" w:pos="3306"/>
              </w:tabs>
              <w:rPr>
                <w:color w:val="7030A0"/>
                <w:sz w:val="14"/>
              </w:rPr>
            </w:pPr>
            <w:r w:rsidRPr="00167B16">
              <w:rPr>
                <w:color w:val="7030A0"/>
                <w:sz w:val="14"/>
              </w:rPr>
              <w:t xml:space="preserve">AASB 102.36(a), </w:t>
            </w:r>
          </w:p>
          <w:p w14:paraId="1DB53DA9" w14:textId="2B349F39" w:rsidR="009315BB" w:rsidRPr="00167B16" w:rsidRDefault="009315BB" w:rsidP="005F2842">
            <w:pPr>
              <w:pStyle w:val="TableReference"/>
              <w:tabs>
                <w:tab w:val="left" w:pos="3306"/>
              </w:tabs>
              <w:rPr>
                <w:color w:val="7030A0"/>
                <w:sz w:val="14"/>
              </w:rPr>
            </w:pPr>
            <w:r w:rsidRPr="00167B16">
              <w:rPr>
                <w:color w:val="7030A0"/>
                <w:sz w:val="14"/>
              </w:rPr>
              <w:t xml:space="preserve">AASB 102.9, </w:t>
            </w:r>
          </w:p>
          <w:p w14:paraId="5571B922" w14:textId="1ED4A7AE" w:rsidR="009315BB" w:rsidRPr="00167B16" w:rsidRDefault="009315BB" w:rsidP="005F2842">
            <w:pPr>
              <w:pStyle w:val="TableReference"/>
              <w:tabs>
                <w:tab w:val="left" w:pos="3306"/>
              </w:tabs>
              <w:rPr>
                <w:color w:val="7030A0"/>
                <w:sz w:val="14"/>
              </w:rPr>
            </w:pPr>
            <w:r w:rsidRPr="00167B16">
              <w:rPr>
                <w:color w:val="7030A0"/>
                <w:sz w:val="14"/>
              </w:rPr>
              <w:t>AASB 102.25</w:t>
            </w:r>
          </w:p>
        </w:tc>
        <w:tc>
          <w:tcPr>
            <w:tcW w:w="4255" w:type="pct"/>
            <w:tcBorders>
              <w:top w:val="nil"/>
              <w:left w:val="single" w:sz="2" w:space="0" w:color="auto"/>
              <w:bottom w:val="nil"/>
              <w:right w:val="nil"/>
            </w:tcBorders>
            <w:vAlign w:val="bottom"/>
          </w:tcPr>
          <w:p w14:paraId="6A895F17" w14:textId="13289145" w:rsidR="009315BB" w:rsidRPr="009315BB" w:rsidRDefault="009315BB" w:rsidP="004F40F6">
            <w:pPr>
              <w:spacing w:before="120" w:after="120"/>
              <w:jc w:val="both"/>
              <w:rPr>
                <w:color w:val="538135" w:themeColor="accent6" w:themeShade="BF"/>
                <w:sz w:val="18"/>
                <w:szCs w:val="18"/>
              </w:rPr>
            </w:pPr>
            <w:r w:rsidRPr="00EF02BB">
              <w:rPr>
                <w:sz w:val="18"/>
                <w:szCs w:val="18"/>
              </w:rPr>
              <w:t>Inventories held for sale are valued at the lower of cost and net realisable value.</w:t>
            </w:r>
            <w:r w:rsidR="00FA7C77">
              <w:rPr>
                <w:sz w:val="18"/>
                <w:szCs w:val="18"/>
              </w:rPr>
              <w:t xml:space="preserve"> </w:t>
            </w:r>
            <w:r w:rsidR="0088689A" w:rsidRPr="00EF02BB">
              <w:rPr>
                <w:sz w:val="18"/>
                <w:szCs w:val="18"/>
              </w:rPr>
              <w:t xml:space="preserve">The cost of land inventory includes the </w:t>
            </w:r>
            <w:r w:rsidR="0067087D" w:rsidRPr="00EF02BB">
              <w:rPr>
                <w:sz w:val="18"/>
                <w:szCs w:val="18"/>
              </w:rPr>
              <w:t xml:space="preserve">value of </w:t>
            </w:r>
            <w:r w:rsidR="0088689A" w:rsidRPr="00EF02BB">
              <w:rPr>
                <w:sz w:val="18"/>
                <w:szCs w:val="18"/>
              </w:rPr>
              <w:t>the land itself along with all direct costs incurred in developing the land.</w:t>
            </w:r>
            <w:r w:rsidR="00FA7C77">
              <w:rPr>
                <w:sz w:val="18"/>
                <w:szCs w:val="18"/>
              </w:rPr>
              <w:t xml:space="preserve"> </w:t>
            </w:r>
            <w:r w:rsidR="00EC7A1C" w:rsidRPr="00EF02BB">
              <w:rPr>
                <w:sz w:val="18"/>
                <w:szCs w:val="18"/>
              </w:rPr>
              <w:t>The cost is assigned to land inventory on a specific identification of cost basis given this inventory is high value and low volume.</w:t>
            </w:r>
            <w:r w:rsidR="00FA7C77">
              <w:t xml:space="preserve"> </w:t>
            </w:r>
            <w:r w:rsidR="0088689A" w:rsidRPr="00EF02BB">
              <w:rPr>
                <w:sz w:val="18"/>
                <w:szCs w:val="18"/>
              </w:rPr>
              <w:t>The c</w:t>
            </w:r>
            <w:r w:rsidRPr="00EF02BB">
              <w:rPr>
                <w:sz w:val="18"/>
                <w:szCs w:val="18"/>
              </w:rPr>
              <w:t xml:space="preserve">ost </w:t>
            </w:r>
            <w:r w:rsidR="0088689A" w:rsidRPr="00EF02BB">
              <w:rPr>
                <w:sz w:val="18"/>
                <w:szCs w:val="18"/>
              </w:rPr>
              <w:t xml:space="preserve">of ACT </w:t>
            </w:r>
            <w:r w:rsidR="00FF0A0E" w:rsidRPr="00EF02BB">
              <w:rPr>
                <w:sz w:val="18"/>
                <w:szCs w:val="18"/>
              </w:rPr>
              <w:t>merchandising</w:t>
            </w:r>
            <w:r w:rsidR="0088689A" w:rsidRPr="00EF02BB">
              <w:rPr>
                <w:sz w:val="18"/>
                <w:szCs w:val="18"/>
              </w:rPr>
              <w:t xml:space="preserve"> inventory </w:t>
            </w:r>
            <w:r w:rsidRPr="00EF02BB">
              <w:rPr>
                <w:sz w:val="18"/>
                <w:szCs w:val="18"/>
              </w:rPr>
              <w:t>comprises the purchase price of inventories as well as transport, handling and other costs directly attributable to the acquisition of inventories.</w:t>
            </w:r>
            <w:r w:rsidR="00FA7C77">
              <w:rPr>
                <w:sz w:val="18"/>
                <w:szCs w:val="18"/>
              </w:rPr>
              <w:t xml:space="preserve"> </w:t>
            </w:r>
            <w:r w:rsidRPr="00EF02BB">
              <w:rPr>
                <w:sz w:val="18"/>
                <w:szCs w:val="18"/>
              </w:rPr>
              <w:t>Trade discounts, rebates and other similar items are deducted in determining the costs of purchase.</w:t>
            </w:r>
            <w:r w:rsidR="00FA7C77">
              <w:rPr>
                <w:sz w:val="18"/>
                <w:szCs w:val="18"/>
              </w:rPr>
              <w:t xml:space="preserve"> </w:t>
            </w:r>
            <w:r w:rsidRPr="00EF02BB">
              <w:rPr>
                <w:sz w:val="18"/>
                <w:szCs w:val="18"/>
              </w:rPr>
              <w:t>The cost of</w:t>
            </w:r>
            <w:r w:rsidR="0088689A" w:rsidRPr="00EF02BB">
              <w:rPr>
                <w:sz w:val="18"/>
                <w:szCs w:val="18"/>
              </w:rPr>
              <w:t xml:space="preserve"> the ACT </w:t>
            </w:r>
            <w:r w:rsidR="0067087D" w:rsidRPr="00EF02BB">
              <w:rPr>
                <w:sz w:val="18"/>
                <w:szCs w:val="18"/>
              </w:rPr>
              <w:t xml:space="preserve">environmental </w:t>
            </w:r>
            <w:r w:rsidR="0088689A" w:rsidRPr="00EF02BB">
              <w:rPr>
                <w:sz w:val="18"/>
                <w:szCs w:val="18"/>
              </w:rPr>
              <w:t xml:space="preserve">merchandising </w:t>
            </w:r>
            <w:r w:rsidRPr="00EF02BB">
              <w:rPr>
                <w:sz w:val="18"/>
                <w:szCs w:val="18"/>
              </w:rPr>
              <w:t xml:space="preserve">inventories is assigned using the </w:t>
            </w:r>
            <w:r w:rsidR="00C446AE" w:rsidRPr="00EF02BB">
              <w:rPr>
                <w:color w:val="C45911" w:themeColor="accent2" w:themeShade="BF"/>
                <w:sz w:val="18"/>
                <w:szCs w:val="18"/>
              </w:rPr>
              <w:t>&lt;</w:t>
            </w:r>
            <w:r w:rsidRPr="00EF02BB">
              <w:rPr>
                <w:color w:val="C45911" w:themeColor="accent2" w:themeShade="BF"/>
                <w:sz w:val="18"/>
                <w:szCs w:val="18"/>
              </w:rPr>
              <w:t>first-in, first</w:t>
            </w:r>
            <w:r w:rsidRPr="00EF02BB">
              <w:rPr>
                <w:color w:val="C45911" w:themeColor="accent2" w:themeShade="BF"/>
                <w:sz w:val="18"/>
                <w:szCs w:val="18"/>
              </w:rPr>
              <w:noBreakHyphen/>
              <w:t>out</w:t>
            </w:r>
            <w:r w:rsidR="00C446AE" w:rsidRPr="00EF02BB">
              <w:rPr>
                <w:color w:val="C45911" w:themeColor="accent2" w:themeShade="BF"/>
                <w:sz w:val="18"/>
                <w:szCs w:val="18"/>
              </w:rPr>
              <w:t>&gt;</w:t>
            </w:r>
            <w:r w:rsidR="00A714F2" w:rsidRPr="00EF02BB">
              <w:rPr>
                <w:color w:val="C45911" w:themeColor="accent2" w:themeShade="BF"/>
                <w:sz w:val="18"/>
                <w:szCs w:val="18"/>
              </w:rPr>
              <w:t xml:space="preserve"> OR </w:t>
            </w:r>
            <w:r w:rsidR="00C446AE" w:rsidRPr="00EF02BB">
              <w:rPr>
                <w:color w:val="C45911" w:themeColor="accent2" w:themeShade="BF"/>
                <w:sz w:val="18"/>
                <w:szCs w:val="18"/>
              </w:rPr>
              <w:t>&lt;</w:t>
            </w:r>
            <w:r w:rsidRPr="00EF02BB">
              <w:rPr>
                <w:color w:val="C45911" w:themeColor="accent2" w:themeShade="BF"/>
                <w:sz w:val="18"/>
                <w:szCs w:val="18"/>
              </w:rPr>
              <w:t>weighted average</w:t>
            </w:r>
            <w:r w:rsidR="00C446AE" w:rsidRPr="00EF02BB">
              <w:rPr>
                <w:color w:val="C45911" w:themeColor="accent2" w:themeShade="BF"/>
                <w:sz w:val="18"/>
                <w:szCs w:val="18"/>
              </w:rPr>
              <w:t>&gt;</w:t>
            </w:r>
            <w:r w:rsidRPr="00EF02BB">
              <w:rPr>
                <w:sz w:val="18"/>
                <w:szCs w:val="18"/>
              </w:rPr>
              <w:t xml:space="preserve"> method</w:t>
            </w:r>
            <w:r w:rsidR="0088689A" w:rsidRPr="00EF02BB">
              <w:rPr>
                <w:sz w:val="18"/>
                <w:szCs w:val="18"/>
              </w:rPr>
              <w:t xml:space="preserve"> given they are high volume</w:t>
            </w:r>
            <w:r w:rsidR="005B0BEB" w:rsidRPr="00EF02BB">
              <w:rPr>
                <w:sz w:val="18"/>
                <w:szCs w:val="18"/>
              </w:rPr>
              <w:t>,</w:t>
            </w:r>
            <w:r w:rsidR="0088689A" w:rsidRPr="00EF02BB">
              <w:rPr>
                <w:sz w:val="18"/>
                <w:szCs w:val="18"/>
              </w:rPr>
              <w:t xml:space="preserve"> </w:t>
            </w:r>
            <w:r w:rsidR="00EC7A1C" w:rsidRPr="00EF02BB">
              <w:rPr>
                <w:sz w:val="18"/>
                <w:szCs w:val="18"/>
              </w:rPr>
              <w:t xml:space="preserve">low value </w:t>
            </w:r>
            <w:r w:rsidR="0088689A" w:rsidRPr="00EF02BB">
              <w:rPr>
                <w:sz w:val="18"/>
                <w:szCs w:val="18"/>
              </w:rPr>
              <w:t>inventory items</w:t>
            </w:r>
            <w:r w:rsidRPr="00EF02BB">
              <w:rPr>
                <w:sz w:val="18"/>
                <w:szCs w:val="18"/>
              </w:rPr>
              <w:t>.</w:t>
            </w:r>
            <w:r w:rsidR="00FA7C77">
              <w:rPr>
                <w:sz w:val="18"/>
                <w:szCs w:val="18"/>
              </w:rPr>
              <w:t xml:space="preserve"> </w:t>
            </w:r>
            <w:r w:rsidR="00065FB1" w:rsidRPr="00EF02BB">
              <w:rPr>
                <w:sz w:val="18"/>
                <w:szCs w:val="18"/>
              </w:rPr>
              <w:t>Net realisable value</w:t>
            </w:r>
            <w:r w:rsidR="00A22CBF" w:rsidRPr="00EF02BB">
              <w:rPr>
                <w:sz w:val="18"/>
                <w:szCs w:val="18"/>
              </w:rPr>
              <w:t xml:space="preserve"> for land and merchandising inventory</w:t>
            </w:r>
            <w:r w:rsidR="00065FB1" w:rsidRPr="00EF02BB">
              <w:rPr>
                <w:sz w:val="18"/>
                <w:szCs w:val="18"/>
              </w:rPr>
              <w:t xml:space="preserve"> is determined using the estimated sales proceeds</w:t>
            </w:r>
            <w:r w:rsidR="00A22CBF" w:rsidRPr="00EF02BB">
              <w:rPr>
                <w:rFonts w:eastAsia="Calibri"/>
                <w:szCs w:val="22"/>
              </w:rPr>
              <w:t xml:space="preserve"> </w:t>
            </w:r>
            <w:r w:rsidR="00A22CBF" w:rsidRPr="00EF02BB">
              <w:rPr>
                <w:sz w:val="18"/>
                <w:szCs w:val="18"/>
              </w:rPr>
              <w:t>in the ordinary course of business</w:t>
            </w:r>
            <w:r w:rsidR="00065FB1" w:rsidRPr="00EF02BB">
              <w:rPr>
                <w:sz w:val="18"/>
                <w:szCs w:val="18"/>
              </w:rPr>
              <w:t xml:space="preserve"> less </w:t>
            </w:r>
            <w:r w:rsidR="00A22CBF" w:rsidRPr="00EF02BB">
              <w:rPr>
                <w:sz w:val="18"/>
                <w:szCs w:val="18"/>
              </w:rPr>
              <w:t xml:space="preserve">the estimated </w:t>
            </w:r>
            <w:r w:rsidR="00065FB1" w:rsidRPr="00EF02BB">
              <w:rPr>
                <w:sz w:val="18"/>
                <w:szCs w:val="18"/>
              </w:rPr>
              <w:t xml:space="preserve">costs </w:t>
            </w:r>
            <w:r w:rsidR="00A22CBF" w:rsidRPr="00EF02BB">
              <w:rPr>
                <w:sz w:val="18"/>
                <w:szCs w:val="18"/>
              </w:rPr>
              <w:t xml:space="preserve">of completion and less the costs </w:t>
            </w:r>
            <w:r w:rsidR="00065FB1" w:rsidRPr="00EF02BB">
              <w:rPr>
                <w:sz w:val="18"/>
                <w:szCs w:val="18"/>
              </w:rPr>
              <w:t>incurred in marketing, selling and distribution to customers.</w:t>
            </w:r>
          </w:p>
        </w:tc>
      </w:tr>
      <w:tr w:rsidR="009315BB" w:rsidRPr="00CF7E1B" w14:paraId="5AB66101" w14:textId="77777777" w:rsidTr="005F5B4C">
        <w:trPr>
          <w:cantSplit/>
        </w:trPr>
        <w:tc>
          <w:tcPr>
            <w:tcW w:w="745" w:type="pct"/>
            <w:tcBorders>
              <w:top w:val="nil"/>
              <w:left w:val="single" w:sz="2" w:space="0" w:color="auto"/>
              <w:bottom w:val="nil"/>
              <w:right w:val="single" w:sz="2" w:space="0" w:color="auto"/>
            </w:tcBorders>
          </w:tcPr>
          <w:p w14:paraId="6358CAA6" w14:textId="5EE8E027" w:rsidR="009315BB" w:rsidRPr="00167B16" w:rsidRDefault="009315BB" w:rsidP="00065FB1">
            <w:pPr>
              <w:pStyle w:val="TableReference"/>
              <w:tabs>
                <w:tab w:val="left" w:pos="3306"/>
              </w:tabs>
              <w:spacing w:before="40"/>
              <w:rPr>
                <w:color w:val="7030A0"/>
                <w:sz w:val="14"/>
              </w:rPr>
            </w:pPr>
            <w:r w:rsidRPr="00167B16">
              <w:rPr>
                <w:color w:val="7030A0"/>
                <w:sz w:val="14"/>
              </w:rPr>
              <w:t>AASB 102.Aus9.1</w:t>
            </w:r>
          </w:p>
        </w:tc>
        <w:tc>
          <w:tcPr>
            <w:tcW w:w="4255" w:type="pct"/>
            <w:tcBorders>
              <w:top w:val="nil"/>
              <w:left w:val="single" w:sz="2" w:space="0" w:color="auto"/>
              <w:bottom w:val="nil"/>
              <w:right w:val="nil"/>
            </w:tcBorders>
            <w:vAlign w:val="bottom"/>
          </w:tcPr>
          <w:p w14:paraId="606340B6" w14:textId="15D145F9" w:rsidR="009315BB" w:rsidRPr="00167B16" w:rsidRDefault="009315BB" w:rsidP="009315BB">
            <w:pPr>
              <w:spacing w:after="120"/>
              <w:jc w:val="both"/>
              <w:rPr>
                <w:rFonts w:cs="Calibri"/>
                <w:sz w:val="18"/>
                <w:szCs w:val="18"/>
              </w:rPr>
            </w:pPr>
            <w:r w:rsidRPr="00167B16">
              <w:rPr>
                <w:rFonts w:cs="Calibri"/>
                <w:sz w:val="18"/>
                <w:szCs w:val="18"/>
              </w:rPr>
              <w:t xml:space="preserve">Inventories held for distribution are measured at cost, adjusted when applicable for any loss of service potential </w:t>
            </w:r>
            <w:r w:rsidR="00847206" w:rsidRPr="00167B16">
              <w:rPr>
                <w:rFonts w:cs="Calibri"/>
                <w:sz w:val="18"/>
                <w:szCs w:val="18"/>
              </w:rPr>
              <w:t xml:space="preserve">with the carrying amount being </w:t>
            </w:r>
            <w:r w:rsidRPr="00167B16">
              <w:rPr>
                <w:rFonts w:cs="Calibri"/>
                <w:sz w:val="18"/>
                <w:szCs w:val="18"/>
              </w:rPr>
              <w:t xml:space="preserve">recorded in the Operating Statement </w:t>
            </w:r>
            <w:r w:rsidR="00BC0FD4" w:rsidRPr="00167B16">
              <w:rPr>
                <w:rFonts w:cs="Calibri"/>
                <w:sz w:val="18"/>
                <w:szCs w:val="18"/>
              </w:rPr>
              <w:t xml:space="preserve">as an expense </w:t>
            </w:r>
            <w:r w:rsidR="00847206" w:rsidRPr="00167B16">
              <w:rPr>
                <w:rFonts w:cs="Calibri"/>
                <w:sz w:val="18"/>
                <w:szCs w:val="18"/>
              </w:rPr>
              <w:t>once</w:t>
            </w:r>
            <w:r w:rsidR="00BC0FD4" w:rsidRPr="00167B16">
              <w:rPr>
                <w:rFonts w:cs="Calibri"/>
                <w:sz w:val="18"/>
                <w:szCs w:val="18"/>
              </w:rPr>
              <w:t xml:space="preserve"> the inventories are</w:t>
            </w:r>
            <w:r w:rsidR="00847206" w:rsidRPr="00167B16">
              <w:rPr>
                <w:rFonts w:cs="Calibri"/>
                <w:sz w:val="18"/>
                <w:szCs w:val="18"/>
              </w:rPr>
              <w:t xml:space="preserve"> distributed</w:t>
            </w:r>
            <w:r w:rsidRPr="00167B16">
              <w:rPr>
                <w:rFonts w:cs="Calibri"/>
                <w:sz w:val="18"/>
                <w:szCs w:val="18"/>
              </w:rPr>
              <w:t xml:space="preserve">. </w:t>
            </w:r>
          </w:p>
        </w:tc>
      </w:tr>
      <w:tr w:rsidR="005167EF" w:rsidRPr="00CF7E1B" w14:paraId="21373652" w14:textId="77777777" w:rsidTr="005F5B4C">
        <w:trPr>
          <w:cantSplit/>
        </w:trPr>
        <w:tc>
          <w:tcPr>
            <w:tcW w:w="745" w:type="pct"/>
            <w:tcBorders>
              <w:top w:val="nil"/>
              <w:left w:val="single" w:sz="2" w:space="0" w:color="auto"/>
              <w:bottom w:val="nil"/>
              <w:right w:val="single" w:sz="2" w:space="0" w:color="auto"/>
            </w:tcBorders>
          </w:tcPr>
          <w:p w14:paraId="6FF93BAB" w14:textId="77777777" w:rsidR="005167EF" w:rsidRPr="00167B16" w:rsidRDefault="005167EF" w:rsidP="00065FB1">
            <w:pPr>
              <w:pStyle w:val="TableReference"/>
              <w:tabs>
                <w:tab w:val="left" w:pos="3306"/>
              </w:tabs>
              <w:spacing w:before="40"/>
              <w:rPr>
                <w:color w:val="7030A0"/>
                <w:sz w:val="14"/>
              </w:rPr>
            </w:pPr>
          </w:p>
        </w:tc>
        <w:tc>
          <w:tcPr>
            <w:tcW w:w="4255" w:type="pct"/>
            <w:tcBorders>
              <w:top w:val="nil"/>
              <w:left w:val="single" w:sz="2" w:space="0" w:color="auto"/>
              <w:bottom w:val="nil"/>
              <w:right w:val="nil"/>
            </w:tcBorders>
            <w:vAlign w:val="bottom"/>
          </w:tcPr>
          <w:p w14:paraId="4772FBEB" w14:textId="72721373" w:rsidR="005167EF" w:rsidRPr="00167B16" w:rsidRDefault="005167EF" w:rsidP="009315BB">
            <w:pPr>
              <w:spacing w:after="120"/>
              <w:jc w:val="both"/>
              <w:rPr>
                <w:rFonts w:cs="Calibri"/>
                <w:sz w:val="18"/>
                <w:szCs w:val="18"/>
              </w:rPr>
            </w:pPr>
            <w:r w:rsidRPr="00167B16">
              <w:rPr>
                <w:sz w:val="18"/>
                <w:szCs w:val="18"/>
              </w:rPr>
              <w:t>Where inventories are acquired for no cost or nominal consideration, they are measured at current replacement cost at the date of acquisition. Current replacement cost is the cost ‘</w:t>
            </w:r>
            <w:r w:rsidR="00645E43" w:rsidRPr="00167B16">
              <w:rPr>
                <w:sz w:val="18"/>
                <w:szCs w:val="18"/>
              </w:rPr>
              <w:t>Burley Griffin</w:t>
            </w:r>
            <w:r w:rsidRPr="00167B16">
              <w:rPr>
                <w:sz w:val="18"/>
                <w:szCs w:val="18"/>
              </w:rPr>
              <w:t xml:space="preserve"> Agency’ would incur to acquire the asset.</w:t>
            </w:r>
          </w:p>
        </w:tc>
      </w:tr>
    </w:tbl>
    <w:p w14:paraId="180AAC14" w14:textId="77777777" w:rsidR="001F4216" w:rsidRDefault="001F4216">
      <w:r>
        <w:br w:type="page"/>
      </w:r>
    </w:p>
    <w:tbl>
      <w:tblPr>
        <w:tblW w:w="512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4"/>
        <w:gridCol w:w="5670"/>
        <w:gridCol w:w="1700"/>
        <w:gridCol w:w="1528"/>
        <w:gridCol w:w="34"/>
      </w:tblGrid>
      <w:tr w:rsidR="001F4216" w:rsidRPr="00CF7E1B" w14:paraId="00DE4F9F" w14:textId="77777777" w:rsidTr="005F5B4C">
        <w:trPr>
          <w:cantSplit/>
        </w:trPr>
        <w:tc>
          <w:tcPr>
            <w:tcW w:w="745" w:type="pct"/>
            <w:tcBorders>
              <w:top w:val="nil"/>
              <w:left w:val="single" w:sz="2" w:space="0" w:color="auto"/>
              <w:bottom w:val="nil"/>
              <w:right w:val="single" w:sz="2" w:space="0" w:color="auto"/>
            </w:tcBorders>
          </w:tcPr>
          <w:p w14:paraId="19F01197" w14:textId="77777777" w:rsidR="001F4216" w:rsidRPr="00167B16" w:rsidRDefault="001F4216" w:rsidP="00DA5473">
            <w:pPr>
              <w:pStyle w:val="TableReference"/>
              <w:tabs>
                <w:tab w:val="left" w:pos="3306"/>
              </w:tabs>
              <w:spacing w:before="240" w:after="240"/>
              <w:rPr>
                <w:rFonts w:cs="Calibri"/>
                <w:color w:val="7030A0"/>
                <w:sz w:val="22"/>
                <w:szCs w:val="22"/>
              </w:rPr>
            </w:pPr>
            <w:r w:rsidRPr="00167B16">
              <w:rPr>
                <w:rFonts w:cs="Calibri"/>
                <w:b/>
                <w:color w:val="7030A0"/>
                <w:sz w:val="22"/>
                <w:szCs w:val="22"/>
              </w:rPr>
              <w:t>Reference</w:t>
            </w:r>
          </w:p>
        </w:tc>
        <w:tc>
          <w:tcPr>
            <w:tcW w:w="4255" w:type="pct"/>
            <w:gridSpan w:val="4"/>
            <w:tcBorders>
              <w:top w:val="nil"/>
              <w:left w:val="single" w:sz="2" w:space="0" w:color="auto"/>
              <w:bottom w:val="nil"/>
              <w:right w:val="nil"/>
            </w:tcBorders>
            <w:vAlign w:val="bottom"/>
          </w:tcPr>
          <w:p w14:paraId="29DF9184" w14:textId="5E596C40" w:rsidR="001F4216" w:rsidRPr="000C75E5" w:rsidRDefault="001F4216" w:rsidP="00DA5473">
            <w:pPr>
              <w:pStyle w:val="Heading1"/>
              <w:numPr>
                <w:ilvl w:val="0"/>
                <w:numId w:val="0"/>
              </w:numPr>
            </w:pPr>
            <w:bookmarkStart w:id="515" w:name="_Toc98763117"/>
            <w:r w:rsidRPr="00167B16">
              <w:t>Note 17.</w:t>
            </w:r>
            <w:r>
              <w:t xml:space="preserve">  </w:t>
            </w:r>
            <w:r w:rsidRPr="00167B16">
              <w:t xml:space="preserve"> Inventories</w:t>
            </w:r>
            <w:r>
              <w:t xml:space="preserve"> – Continued</w:t>
            </w:r>
            <w:bookmarkEnd w:id="515"/>
            <w:r>
              <w:t xml:space="preserve"> </w:t>
            </w:r>
          </w:p>
        </w:tc>
      </w:tr>
      <w:tr w:rsidR="00B96250" w:rsidRPr="00CF7E1B" w14:paraId="324050F7" w14:textId="77777777" w:rsidTr="005F5B4C">
        <w:trPr>
          <w:cantSplit/>
        </w:trPr>
        <w:tc>
          <w:tcPr>
            <w:tcW w:w="745" w:type="pct"/>
            <w:tcBorders>
              <w:top w:val="nil"/>
              <w:left w:val="single" w:sz="2" w:space="0" w:color="auto"/>
              <w:bottom w:val="nil"/>
              <w:right w:val="single" w:sz="2" w:space="0" w:color="auto"/>
            </w:tcBorders>
          </w:tcPr>
          <w:p w14:paraId="6C1A1B71" w14:textId="05E0B19E" w:rsidR="00B96250" w:rsidRPr="00167B16" w:rsidRDefault="00B96250" w:rsidP="00065FB1">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vAlign w:val="bottom"/>
          </w:tcPr>
          <w:p w14:paraId="409BC0CD" w14:textId="4CAD72B5" w:rsidR="00B96250" w:rsidRPr="00167B16" w:rsidRDefault="00B96250" w:rsidP="00B96250">
            <w:pPr>
              <w:spacing w:before="60"/>
              <w:jc w:val="both"/>
              <w:rPr>
                <w:i/>
                <w:iCs/>
                <w:sz w:val="18"/>
                <w:szCs w:val="18"/>
              </w:rPr>
            </w:pPr>
            <w:r w:rsidRPr="00167B16">
              <w:rPr>
                <w:i/>
                <w:iCs/>
                <w:sz w:val="18"/>
                <w:szCs w:val="18"/>
              </w:rPr>
              <w:t>Cost of Goods Sold</w:t>
            </w:r>
            <w:r w:rsidR="00421CE0" w:rsidRPr="00167B16">
              <w:rPr>
                <w:i/>
                <w:iCs/>
                <w:sz w:val="18"/>
                <w:szCs w:val="18"/>
              </w:rPr>
              <w:t>/Distributed</w:t>
            </w:r>
          </w:p>
        </w:tc>
      </w:tr>
      <w:tr w:rsidR="00B96250" w:rsidRPr="00CF7E1B" w14:paraId="08218CF4" w14:textId="77777777" w:rsidTr="005F5B4C">
        <w:trPr>
          <w:cantSplit/>
        </w:trPr>
        <w:tc>
          <w:tcPr>
            <w:tcW w:w="745" w:type="pct"/>
            <w:tcBorders>
              <w:top w:val="nil"/>
              <w:left w:val="single" w:sz="2" w:space="0" w:color="auto"/>
              <w:bottom w:val="nil"/>
              <w:right w:val="single" w:sz="2" w:space="0" w:color="auto"/>
            </w:tcBorders>
          </w:tcPr>
          <w:p w14:paraId="793A579C" w14:textId="77777777" w:rsidR="00B96250" w:rsidRPr="00167B16" w:rsidRDefault="00B96250" w:rsidP="00B96250">
            <w:pPr>
              <w:pStyle w:val="TableReference"/>
              <w:tabs>
                <w:tab w:val="left" w:pos="3306"/>
              </w:tabs>
              <w:spacing w:before="40"/>
              <w:rPr>
                <w:color w:val="7030A0"/>
                <w:sz w:val="14"/>
              </w:rPr>
            </w:pPr>
          </w:p>
        </w:tc>
        <w:tc>
          <w:tcPr>
            <w:tcW w:w="4255" w:type="pct"/>
            <w:gridSpan w:val="4"/>
            <w:tcBorders>
              <w:top w:val="nil"/>
              <w:left w:val="single" w:sz="2" w:space="0" w:color="auto"/>
              <w:bottom w:val="nil"/>
              <w:right w:val="nil"/>
            </w:tcBorders>
          </w:tcPr>
          <w:p w14:paraId="4E3FFEDF" w14:textId="59BC6838" w:rsidR="00B96250" w:rsidRPr="00167B16" w:rsidRDefault="00B96250" w:rsidP="00B96250">
            <w:pPr>
              <w:spacing w:after="120"/>
              <w:jc w:val="both"/>
              <w:rPr>
                <w:sz w:val="18"/>
                <w:szCs w:val="18"/>
              </w:rPr>
            </w:pPr>
            <w:r w:rsidRPr="00167B16">
              <w:rPr>
                <w:rFonts w:cs="Calibri"/>
                <w:sz w:val="18"/>
                <w:szCs w:val="18"/>
              </w:rPr>
              <w:t>‘</w:t>
            </w:r>
            <w:r w:rsidR="00645E43" w:rsidRPr="00167B16">
              <w:rPr>
                <w:sz w:val="18"/>
                <w:szCs w:val="18"/>
              </w:rPr>
              <w:t>Burley Griffin</w:t>
            </w:r>
            <w:r w:rsidRPr="00167B16">
              <w:rPr>
                <w:rFonts w:cs="Calibri"/>
                <w:sz w:val="18"/>
                <w:szCs w:val="18"/>
              </w:rPr>
              <w:t xml:space="preserve"> Agency’ acquires and then develops residential land, commercial land, industrial land and community land.</w:t>
            </w:r>
            <w:r w:rsidR="00FA7C77">
              <w:rPr>
                <w:rFonts w:cs="Calibri"/>
                <w:sz w:val="18"/>
                <w:szCs w:val="18"/>
              </w:rPr>
              <w:t xml:space="preserve"> </w:t>
            </w:r>
            <w:r w:rsidRPr="00167B16">
              <w:rPr>
                <w:rFonts w:cs="Calibri"/>
                <w:sz w:val="18"/>
                <w:szCs w:val="18"/>
              </w:rPr>
              <w:t>While the land is being developed it is recognised as either inventory held for sale or inventory held for distribution.</w:t>
            </w:r>
            <w:r w:rsidR="00FA7C77">
              <w:rPr>
                <w:rFonts w:cs="Calibri"/>
                <w:sz w:val="18"/>
                <w:szCs w:val="18"/>
              </w:rPr>
              <w:t xml:space="preserve">  </w:t>
            </w:r>
            <w:r w:rsidRPr="00167B16">
              <w:rPr>
                <w:rFonts w:cs="Calibri"/>
                <w:sz w:val="18"/>
                <w:szCs w:val="18"/>
              </w:rPr>
              <w:t xml:space="preserve"> </w:t>
            </w:r>
          </w:p>
        </w:tc>
      </w:tr>
      <w:tr w:rsidR="00B96250" w:rsidRPr="00CF7E1B" w14:paraId="4A8FF491" w14:textId="77777777" w:rsidTr="005F5B4C">
        <w:trPr>
          <w:cantSplit/>
        </w:trPr>
        <w:tc>
          <w:tcPr>
            <w:tcW w:w="745" w:type="pct"/>
            <w:tcBorders>
              <w:top w:val="nil"/>
              <w:left w:val="single" w:sz="2" w:space="0" w:color="auto"/>
              <w:bottom w:val="nil"/>
              <w:right w:val="single" w:sz="2" w:space="0" w:color="auto"/>
            </w:tcBorders>
          </w:tcPr>
          <w:p w14:paraId="6E4FB383" w14:textId="0971BBDD" w:rsidR="00B96250" w:rsidRPr="00167B16" w:rsidRDefault="00B96250" w:rsidP="00B96250">
            <w:pPr>
              <w:pStyle w:val="TableReference"/>
              <w:tabs>
                <w:tab w:val="left" w:pos="3306"/>
              </w:tabs>
              <w:spacing w:before="40"/>
              <w:rPr>
                <w:color w:val="7030A0"/>
                <w:sz w:val="14"/>
              </w:rPr>
            </w:pPr>
            <w:r w:rsidRPr="00167B16">
              <w:rPr>
                <w:color w:val="7030A0"/>
                <w:sz w:val="14"/>
              </w:rPr>
              <w:t>AASB 102.34</w:t>
            </w:r>
          </w:p>
        </w:tc>
        <w:tc>
          <w:tcPr>
            <w:tcW w:w="4255" w:type="pct"/>
            <w:gridSpan w:val="4"/>
            <w:tcBorders>
              <w:top w:val="nil"/>
              <w:left w:val="single" w:sz="2" w:space="0" w:color="auto"/>
              <w:bottom w:val="nil"/>
              <w:right w:val="nil"/>
            </w:tcBorders>
          </w:tcPr>
          <w:p w14:paraId="02A68D86" w14:textId="0B4E670B" w:rsidR="00B96250" w:rsidRPr="00167B16" w:rsidRDefault="00B96250" w:rsidP="00B96250">
            <w:pPr>
              <w:spacing w:after="120"/>
              <w:jc w:val="both"/>
              <w:rPr>
                <w:sz w:val="18"/>
                <w:szCs w:val="18"/>
              </w:rPr>
            </w:pPr>
            <w:r w:rsidRPr="00167B16">
              <w:rPr>
                <w:rFonts w:cs="Calibri"/>
                <w:sz w:val="18"/>
                <w:szCs w:val="18"/>
              </w:rPr>
              <w:t>Inventories which are held for sale are recognised as an expense in the same period that the related income is recognised.</w:t>
            </w:r>
            <w:r w:rsidR="00FA7C77">
              <w:rPr>
                <w:rFonts w:cs="Calibri"/>
                <w:sz w:val="18"/>
                <w:szCs w:val="18"/>
              </w:rPr>
              <w:t xml:space="preserve"> </w:t>
            </w:r>
            <w:r w:rsidRPr="00167B16">
              <w:rPr>
                <w:rFonts w:cs="Calibri"/>
                <w:sz w:val="18"/>
                <w:szCs w:val="18"/>
              </w:rPr>
              <w:t>Inventories held for distribution are expensed at the time when they are distributed.</w:t>
            </w:r>
            <w:r w:rsidR="00FA7C77">
              <w:rPr>
                <w:rFonts w:cs="Calibri"/>
                <w:sz w:val="18"/>
                <w:szCs w:val="18"/>
              </w:rPr>
              <w:t xml:space="preserve"> </w:t>
            </w:r>
            <w:r w:rsidRPr="00167B16">
              <w:rPr>
                <w:rFonts w:cs="Calibri"/>
                <w:sz w:val="18"/>
                <w:szCs w:val="18"/>
              </w:rPr>
              <w:t xml:space="preserve">An expense is recognised for all losses of inventories and any </w:t>
            </w:r>
            <w:r w:rsidR="00E4274F" w:rsidRPr="00167B16">
              <w:rPr>
                <w:rFonts w:cs="Calibri"/>
                <w:sz w:val="18"/>
                <w:szCs w:val="18"/>
              </w:rPr>
              <w:t>write down</w:t>
            </w:r>
            <w:r w:rsidRPr="00167B16">
              <w:rPr>
                <w:rFonts w:cs="Calibri"/>
                <w:sz w:val="18"/>
                <w:szCs w:val="18"/>
              </w:rPr>
              <w:t xml:space="preserve"> of inventories in the period the loss</w:t>
            </w:r>
            <w:r w:rsidR="00C446AE" w:rsidRPr="00167B16">
              <w:rPr>
                <w:rFonts w:cs="Calibri"/>
                <w:sz w:val="18"/>
                <w:szCs w:val="18"/>
              </w:rPr>
              <w:t xml:space="preserve"> or </w:t>
            </w:r>
            <w:r w:rsidR="00E4274F" w:rsidRPr="00167B16">
              <w:rPr>
                <w:rFonts w:cs="Calibri"/>
                <w:sz w:val="18"/>
                <w:szCs w:val="18"/>
              </w:rPr>
              <w:t>write down</w:t>
            </w:r>
            <w:r w:rsidRPr="00167B16">
              <w:rPr>
                <w:rFonts w:cs="Calibri"/>
                <w:sz w:val="18"/>
                <w:szCs w:val="18"/>
              </w:rPr>
              <w:t xml:space="preserve"> occurs.</w:t>
            </w:r>
            <w:r w:rsidR="00FA7C77">
              <w:rPr>
                <w:rFonts w:cs="Calibri"/>
                <w:sz w:val="18"/>
                <w:szCs w:val="18"/>
              </w:rPr>
              <w:t xml:space="preserve"> </w:t>
            </w:r>
            <w:r w:rsidRPr="00167B16">
              <w:rPr>
                <w:rFonts w:cs="Calibri"/>
                <w:sz w:val="18"/>
                <w:szCs w:val="18"/>
              </w:rPr>
              <w:t>The amount of the expense is the difference between the carrying amount of the inventories and its net realisable value.</w:t>
            </w:r>
            <w:r w:rsidR="00FA7C77">
              <w:rPr>
                <w:sz w:val="18"/>
                <w:szCs w:val="18"/>
              </w:rPr>
              <w:t xml:space="preserve"> </w:t>
            </w:r>
            <w:r w:rsidRPr="00167B16">
              <w:rPr>
                <w:sz w:val="18"/>
                <w:szCs w:val="18"/>
              </w:rPr>
              <w:t>Where there is an increase in net realisable value of inventories that have previously been written down, this increase is recognised as a reduction in the amount of inventories recognised as an expense in the period in which the reversal occurs.</w:t>
            </w:r>
          </w:p>
        </w:tc>
      </w:tr>
      <w:tr w:rsidR="00B96250" w:rsidRPr="00DD296A" w14:paraId="0B67A141" w14:textId="77777777" w:rsidTr="005F5B4C">
        <w:trPr>
          <w:cantSplit/>
          <w:trHeight w:val="23"/>
        </w:trPr>
        <w:tc>
          <w:tcPr>
            <w:tcW w:w="745" w:type="pct"/>
            <w:tcBorders>
              <w:top w:val="nil"/>
              <w:left w:val="single" w:sz="2" w:space="0" w:color="auto"/>
              <w:bottom w:val="nil"/>
              <w:right w:val="single" w:sz="2" w:space="0" w:color="auto"/>
            </w:tcBorders>
          </w:tcPr>
          <w:p w14:paraId="526827BC"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tcPr>
          <w:p w14:paraId="00C92D2B" w14:textId="77777777" w:rsidR="00B96250" w:rsidRPr="00167B16" w:rsidRDefault="00B96250" w:rsidP="00B96250">
            <w:pPr>
              <w:pStyle w:val="TableText"/>
              <w:tabs>
                <w:tab w:val="left" w:pos="3306"/>
              </w:tabs>
              <w:rPr>
                <w:rFonts w:cs="Calibri"/>
                <w:b/>
                <w:bCs/>
              </w:rPr>
            </w:pPr>
            <w:r w:rsidRPr="00167B16">
              <w:rPr>
                <w:rFonts w:cs="Calibri"/>
                <w:b/>
                <w:bCs/>
              </w:rPr>
              <w:t xml:space="preserve"> </w:t>
            </w:r>
          </w:p>
        </w:tc>
        <w:tc>
          <w:tcPr>
            <w:tcW w:w="810" w:type="pct"/>
            <w:tcBorders>
              <w:top w:val="nil"/>
              <w:left w:val="nil"/>
              <w:bottom w:val="nil"/>
              <w:right w:val="nil"/>
            </w:tcBorders>
            <w:vAlign w:val="bottom"/>
          </w:tcPr>
          <w:p w14:paraId="40D6843E" w14:textId="2CB783E2" w:rsidR="00B96250" w:rsidRPr="00167B16" w:rsidRDefault="00B96250" w:rsidP="00B96250">
            <w:pPr>
              <w:pStyle w:val="TableText"/>
              <w:tabs>
                <w:tab w:val="left" w:pos="3306"/>
              </w:tabs>
              <w:jc w:val="right"/>
              <w:rPr>
                <w:rFonts w:cs="Calibri"/>
                <w:b/>
                <w:bCs/>
              </w:rPr>
            </w:pPr>
            <w:r w:rsidRPr="00167B16">
              <w:rPr>
                <w:rFonts w:cs="Calibri"/>
                <w:b/>
                <w:bCs/>
              </w:rPr>
              <w:t xml:space="preserve">2022 </w:t>
            </w:r>
          </w:p>
          <w:p w14:paraId="009C0C28" w14:textId="77777777" w:rsidR="00B96250" w:rsidRPr="00167B16" w:rsidRDefault="00B96250" w:rsidP="00B96250">
            <w:pPr>
              <w:pStyle w:val="TableText"/>
              <w:tabs>
                <w:tab w:val="left" w:pos="3306"/>
              </w:tabs>
              <w:jc w:val="right"/>
              <w:rPr>
                <w:rFonts w:cs="Calibri"/>
                <w:b/>
                <w:bCs/>
              </w:rPr>
            </w:pPr>
            <w:r w:rsidRPr="00167B16">
              <w:rPr>
                <w:rFonts w:cs="Calibri"/>
                <w:b/>
                <w:bCs/>
              </w:rPr>
              <w:t>$’000</w:t>
            </w:r>
          </w:p>
        </w:tc>
        <w:tc>
          <w:tcPr>
            <w:tcW w:w="744" w:type="pct"/>
            <w:gridSpan w:val="2"/>
            <w:tcBorders>
              <w:top w:val="nil"/>
              <w:left w:val="nil"/>
              <w:bottom w:val="nil"/>
              <w:right w:val="nil"/>
            </w:tcBorders>
            <w:vAlign w:val="bottom"/>
          </w:tcPr>
          <w:p w14:paraId="7D8AF9FF" w14:textId="34BC9B2D" w:rsidR="00B96250" w:rsidRPr="00167B16" w:rsidRDefault="00B96250" w:rsidP="00B96250">
            <w:pPr>
              <w:pStyle w:val="TableText"/>
              <w:tabs>
                <w:tab w:val="left" w:pos="3306"/>
              </w:tabs>
              <w:jc w:val="right"/>
              <w:rPr>
                <w:rFonts w:cs="Calibri"/>
                <w:b/>
                <w:bCs/>
              </w:rPr>
            </w:pPr>
            <w:r w:rsidRPr="00167B16">
              <w:rPr>
                <w:rFonts w:cs="Calibri"/>
                <w:b/>
                <w:bCs/>
              </w:rPr>
              <w:t>2021</w:t>
            </w:r>
          </w:p>
          <w:p w14:paraId="57A5B6EE" w14:textId="77777777" w:rsidR="00B96250" w:rsidRPr="00167B16" w:rsidRDefault="00B96250" w:rsidP="00B96250">
            <w:pPr>
              <w:pStyle w:val="TableText"/>
              <w:tabs>
                <w:tab w:val="left" w:pos="3306"/>
              </w:tabs>
              <w:jc w:val="right"/>
              <w:rPr>
                <w:rFonts w:cs="Calibri"/>
                <w:b/>
                <w:bCs/>
              </w:rPr>
            </w:pPr>
            <w:r w:rsidRPr="00167B16">
              <w:rPr>
                <w:rFonts w:cs="Calibri"/>
                <w:b/>
                <w:bCs/>
              </w:rPr>
              <w:t>$’000</w:t>
            </w:r>
          </w:p>
        </w:tc>
      </w:tr>
      <w:tr w:rsidR="00B96250" w:rsidRPr="00DD296A" w14:paraId="6F3C1999"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1A1F775"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5D9F09DC" w14:textId="77777777" w:rsidR="00B96250" w:rsidRPr="00167B16" w:rsidRDefault="00B96250" w:rsidP="00B96250">
            <w:pPr>
              <w:pStyle w:val="TableText"/>
              <w:tabs>
                <w:tab w:val="left" w:pos="3306"/>
              </w:tabs>
              <w:rPr>
                <w:rFonts w:cs="Calibri"/>
                <w:b/>
                <w:bCs/>
              </w:rPr>
            </w:pPr>
            <w:r w:rsidRPr="00167B16">
              <w:rPr>
                <w:rFonts w:cs="Calibri"/>
                <w:b/>
                <w:bCs/>
              </w:rPr>
              <w:t>Current Inventories</w:t>
            </w:r>
          </w:p>
        </w:tc>
        <w:tc>
          <w:tcPr>
            <w:tcW w:w="810" w:type="pct"/>
            <w:tcBorders>
              <w:top w:val="nil"/>
              <w:left w:val="nil"/>
              <w:bottom w:val="nil"/>
              <w:right w:val="nil"/>
            </w:tcBorders>
            <w:vAlign w:val="bottom"/>
          </w:tcPr>
          <w:p w14:paraId="394A2C4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6D910365" w14:textId="77777777" w:rsidR="00B96250" w:rsidRPr="00167B16" w:rsidRDefault="00B96250" w:rsidP="00B96250">
            <w:pPr>
              <w:pStyle w:val="TableText"/>
              <w:tabs>
                <w:tab w:val="left" w:pos="3306"/>
              </w:tabs>
              <w:jc w:val="right"/>
              <w:rPr>
                <w:rFonts w:cs="Calibri"/>
              </w:rPr>
            </w:pPr>
          </w:p>
        </w:tc>
      </w:tr>
      <w:tr w:rsidR="00B96250" w:rsidRPr="00DD296A" w14:paraId="1EAFCF94"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6FAEEF9A"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252ACBE0" w14:textId="77777777" w:rsidR="00B96250" w:rsidRPr="00167B16" w:rsidRDefault="00B96250" w:rsidP="00B96250">
            <w:pPr>
              <w:pStyle w:val="TableText"/>
              <w:tabs>
                <w:tab w:val="left" w:pos="3306"/>
              </w:tabs>
              <w:rPr>
                <w:rFonts w:cs="Calibri"/>
                <w:b/>
                <w:bCs/>
              </w:rPr>
            </w:pPr>
            <w:r w:rsidRPr="00167B16">
              <w:rPr>
                <w:rFonts w:cs="Calibri"/>
                <w:b/>
                <w:bCs/>
              </w:rPr>
              <w:t>Current Inventories Held for Sale</w:t>
            </w:r>
          </w:p>
        </w:tc>
        <w:tc>
          <w:tcPr>
            <w:tcW w:w="810" w:type="pct"/>
            <w:tcBorders>
              <w:top w:val="nil"/>
              <w:left w:val="nil"/>
              <w:bottom w:val="nil"/>
              <w:right w:val="nil"/>
            </w:tcBorders>
            <w:vAlign w:val="bottom"/>
          </w:tcPr>
          <w:p w14:paraId="75DC1DA0"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8696762" w14:textId="77777777" w:rsidR="00B96250" w:rsidRPr="00167B16" w:rsidRDefault="00B96250" w:rsidP="00B96250">
            <w:pPr>
              <w:pStyle w:val="TableText"/>
              <w:tabs>
                <w:tab w:val="left" w:pos="3306"/>
              </w:tabs>
              <w:jc w:val="right"/>
              <w:rPr>
                <w:rFonts w:cs="Calibri"/>
              </w:rPr>
            </w:pPr>
          </w:p>
        </w:tc>
      </w:tr>
      <w:tr w:rsidR="00B96250" w:rsidRPr="00DD296A" w14:paraId="2F09A7A7"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59BB245A" w14:textId="3C99D0B0"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7B6E6463" w14:textId="15C5BE6F" w:rsidR="00B96250" w:rsidRPr="00167B16" w:rsidRDefault="00B96250" w:rsidP="00B96250">
            <w:pPr>
              <w:pStyle w:val="TableText"/>
              <w:tabs>
                <w:tab w:val="left" w:pos="3306"/>
              </w:tabs>
              <w:rPr>
                <w:rFonts w:cs="Calibri"/>
              </w:rPr>
            </w:pPr>
            <w:r w:rsidRPr="00167B16">
              <w:rPr>
                <w:rFonts w:cs="Calibri"/>
              </w:rPr>
              <w:t xml:space="preserve">Supplies and </w:t>
            </w:r>
            <w:r w:rsidR="00A72190">
              <w:rPr>
                <w:rFonts w:cs="Calibri"/>
              </w:rPr>
              <w:t>C</w:t>
            </w:r>
            <w:r w:rsidRPr="00167B16">
              <w:rPr>
                <w:rFonts w:cs="Calibri"/>
              </w:rPr>
              <w:t>onsumables – Cost</w:t>
            </w:r>
          </w:p>
        </w:tc>
        <w:tc>
          <w:tcPr>
            <w:tcW w:w="810" w:type="pct"/>
            <w:tcBorders>
              <w:top w:val="nil"/>
              <w:left w:val="nil"/>
              <w:bottom w:val="nil"/>
              <w:right w:val="nil"/>
            </w:tcBorders>
            <w:vAlign w:val="bottom"/>
          </w:tcPr>
          <w:p w14:paraId="550E260C"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AD66C69" w14:textId="77777777" w:rsidR="00B96250" w:rsidRPr="00167B16" w:rsidRDefault="00B96250" w:rsidP="00B96250">
            <w:pPr>
              <w:pStyle w:val="TableText"/>
              <w:tabs>
                <w:tab w:val="left" w:pos="3306"/>
              </w:tabs>
              <w:jc w:val="right"/>
              <w:rPr>
                <w:rFonts w:cs="Calibri"/>
              </w:rPr>
            </w:pPr>
          </w:p>
        </w:tc>
      </w:tr>
      <w:tr w:rsidR="00B96250" w:rsidRPr="00DD296A" w14:paraId="0B3EC12B"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0716B4A" w14:textId="77980CC3"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3A2DC382" w14:textId="77777777" w:rsidR="00B96250" w:rsidRPr="00167B16" w:rsidRDefault="00B96250" w:rsidP="00B96250">
            <w:pPr>
              <w:pStyle w:val="TableText"/>
              <w:tabs>
                <w:tab w:val="left" w:pos="3306"/>
              </w:tabs>
              <w:rPr>
                <w:rFonts w:cs="Calibri"/>
              </w:rPr>
            </w:pPr>
            <w:r w:rsidRPr="00167B16">
              <w:rPr>
                <w:rFonts w:cs="Calibri"/>
              </w:rPr>
              <w:t>Work In Progress – Cost</w:t>
            </w:r>
          </w:p>
        </w:tc>
        <w:tc>
          <w:tcPr>
            <w:tcW w:w="810" w:type="pct"/>
            <w:tcBorders>
              <w:top w:val="nil"/>
              <w:left w:val="nil"/>
              <w:bottom w:val="nil"/>
              <w:right w:val="nil"/>
            </w:tcBorders>
            <w:vAlign w:val="bottom"/>
          </w:tcPr>
          <w:p w14:paraId="08B232F6"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3759CDF3" w14:textId="77777777" w:rsidR="00B96250" w:rsidRPr="00167B16" w:rsidRDefault="00B96250" w:rsidP="00B96250">
            <w:pPr>
              <w:pStyle w:val="TableText"/>
              <w:tabs>
                <w:tab w:val="left" w:pos="3306"/>
              </w:tabs>
              <w:jc w:val="right"/>
              <w:rPr>
                <w:rFonts w:cs="Calibri"/>
              </w:rPr>
            </w:pPr>
          </w:p>
        </w:tc>
      </w:tr>
      <w:tr w:rsidR="00B96250" w:rsidRPr="00DD296A" w14:paraId="4903DACF"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01853297" w14:textId="5D2E727A" w:rsidR="00B96250" w:rsidRPr="00167B16" w:rsidRDefault="00B96250" w:rsidP="00B96250">
            <w:pPr>
              <w:pStyle w:val="TableReference"/>
              <w:tabs>
                <w:tab w:val="left" w:pos="3306"/>
              </w:tabs>
              <w:spacing w:before="40"/>
              <w:rPr>
                <w:rFonts w:cs="Calibri"/>
                <w:color w:val="7030A0"/>
                <w:sz w:val="16"/>
                <w:szCs w:val="16"/>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6DF28586" w14:textId="77777777" w:rsidR="00B96250" w:rsidRPr="00167B16" w:rsidRDefault="00B96250" w:rsidP="00B96250">
            <w:pPr>
              <w:pStyle w:val="TableText"/>
              <w:tabs>
                <w:tab w:val="left" w:pos="3306"/>
              </w:tabs>
              <w:rPr>
                <w:rFonts w:cs="Calibri"/>
              </w:rPr>
            </w:pPr>
            <w:r w:rsidRPr="00167B16">
              <w:rPr>
                <w:rFonts w:cs="Calibri"/>
              </w:rPr>
              <w:t>Finished Goods</w:t>
            </w:r>
          </w:p>
        </w:tc>
        <w:tc>
          <w:tcPr>
            <w:tcW w:w="810" w:type="pct"/>
            <w:tcBorders>
              <w:top w:val="nil"/>
              <w:left w:val="nil"/>
              <w:bottom w:val="nil"/>
              <w:right w:val="nil"/>
            </w:tcBorders>
            <w:vAlign w:val="bottom"/>
          </w:tcPr>
          <w:p w14:paraId="0BF9482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75513FA7" w14:textId="77777777" w:rsidR="00B96250" w:rsidRPr="00167B16" w:rsidRDefault="00B96250" w:rsidP="00B96250">
            <w:pPr>
              <w:pStyle w:val="TableText"/>
              <w:tabs>
                <w:tab w:val="left" w:pos="3306"/>
              </w:tabs>
              <w:jc w:val="right"/>
              <w:rPr>
                <w:rFonts w:cs="Calibri"/>
              </w:rPr>
            </w:pPr>
          </w:p>
        </w:tc>
      </w:tr>
      <w:tr w:rsidR="00B96250" w:rsidRPr="00DD296A" w14:paraId="1D96B5CB"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3EE1BD4"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4E65DFFB" w14:textId="050D339F" w:rsidR="00B96250" w:rsidRPr="00167B16" w:rsidRDefault="00B96250" w:rsidP="007122BC">
            <w:pPr>
              <w:pStyle w:val="TableText"/>
              <w:numPr>
                <w:ilvl w:val="1"/>
                <w:numId w:val="59"/>
              </w:numPr>
              <w:tabs>
                <w:tab w:val="left" w:pos="3306"/>
              </w:tabs>
              <w:rPr>
                <w:rFonts w:cs="Calibri"/>
              </w:rPr>
            </w:pPr>
            <w:r w:rsidRPr="00167B16">
              <w:rPr>
                <w:rFonts w:cs="Calibri"/>
              </w:rPr>
              <w:t>Cost</w:t>
            </w:r>
          </w:p>
        </w:tc>
        <w:tc>
          <w:tcPr>
            <w:tcW w:w="810" w:type="pct"/>
            <w:tcBorders>
              <w:top w:val="nil"/>
              <w:left w:val="nil"/>
              <w:bottom w:val="nil"/>
              <w:right w:val="nil"/>
            </w:tcBorders>
            <w:vAlign w:val="bottom"/>
          </w:tcPr>
          <w:p w14:paraId="354E7DFF"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F446300" w14:textId="77777777" w:rsidR="00B96250" w:rsidRPr="00167B16" w:rsidRDefault="00B96250" w:rsidP="00B96250">
            <w:pPr>
              <w:pStyle w:val="TableText"/>
              <w:tabs>
                <w:tab w:val="left" w:pos="3306"/>
              </w:tabs>
              <w:jc w:val="right"/>
              <w:rPr>
                <w:rFonts w:cs="Calibri"/>
              </w:rPr>
            </w:pPr>
          </w:p>
        </w:tc>
      </w:tr>
      <w:tr w:rsidR="00590B10" w:rsidRPr="00DD296A" w14:paraId="41953F5E"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FE45217" w14:textId="77777777" w:rsidR="00590B10" w:rsidRPr="00167B16" w:rsidRDefault="00590B1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352E0051" w14:textId="66CC304A" w:rsidR="00590B10" w:rsidRPr="00167B16" w:rsidRDefault="00590B10" w:rsidP="007122BC">
            <w:pPr>
              <w:pStyle w:val="TableText"/>
              <w:numPr>
                <w:ilvl w:val="1"/>
                <w:numId w:val="59"/>
              </w:numPr>
              <w:tabs>
                <w:tab w:val="left" w:pos="3306"/>
              </w:tabs>
              <w:rPr>
                <w:rFonts w:cs="Calibri"/>
              </w:rPr>
            </w:pPr>
            <w:r w:rsidRPr="00167B16">
              <w:rPr>
                <w:rFonts w:cs="Calibri"/>
              </w:rPr>
              <w:t>Net Realisable Value</w:t>
            </w:r>
          </w:p>
        </w:tc>
        <w:tc>
          <w:tcPr>
            <w:tcW w:w="810" w:type="pct"/>
            <w:tcBorders>
              <w:top w:val="nil"/>
              <w:left w:val="nil"/>
              <w:bottom w:val="nil"/>
              <w:right w:val="nil"/>
            </w:tcBorders>
            <w:vAlign w:val="bottom"/>
          </w:tcPr>
          <w:p w14:paraId="40CEF399" w14:textId="77777777" w:rsidR="00590B10" w:rsidRPr="00167B16" w:rsidRDefault="00590B1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5E641C0E" w14:textId="77777777" w:rsidR="00590B10" w:rsidRPr="00167B16" w:rsidRDefault="00590B10" w:rsidP="00B96250">
            <w:pPr>
              <w:pStyle w:val="TableText"/>
              <w:tabs>
                <w:tab w:val="left" w:pos="3306"/>
              </w:tabs>
              <w:jc w:val="right"/>
              <w:rPr>
                <w:rFonts w:cs="Calibri"/>
              </w:rPr>
            </w:pPr>
          </w:p>
        </w:tc>
      </w:tr>
      <w:tr w:rsidR="00B96250" w:rsidRPr="00DD296A" w14:paraId="7449B6B1"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39C8E877"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6B8AEE27" w14:textId="77777777" w:rsidR="00B96250" w:rsidRPr="00167B16" w:rsidRDefault="00B96250" w:rsidP="00B96250">
            <w:pPr>
              <w:pStyle w:val="TableText"/>
              <w:tabs>
                <w:tab w:val="left" w:pos="3306"/>
              </w:tabs>
              <w:rPr>
                <w:rFonts w:cs="Calibri"/>
              </w:rPr>
            </w:pPr>
            <w:r w:rsidRPr="00167B16">
              <w:rPr>
                <w:rFonts w:cs="Calibri"/>
              </w:rPr>
              <w:t xml:space="preserve">Purchased Items </w:t>
            </w:r>
          </w:p>
        </w:tc>
        <w:tc>
          <w:tcPr>
            <w:tcW w:w="810" w:type="pct"/>
            <w:tcBorders>
              <w:top w:val="nil"/>
              <w:left w:val="nil"/>
              <w:bottom w:val="nil"/>
              <w:right w:val="nil"/>
            </w:tcBorders>
            <w:vAlign w:val="bottom"/>
          </w:tcPr>
          <w:p w14:paraId="4BDF2E9A"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4C0B9B18" w14:textId="77777777" w:rsidR="00B96250" w:rsidRPr="00167B16" w:rsidRDefault="00B96250" w:rsidP="00B96250">
            <w:pPr>
              <w:pStyle w:val="TableText"/>
              <w:tabs>
                <w:tab w:val="left" w:pos="3306"/>
              </w:tabs>
              <w:jc w:val="right"/>
              <w:rPr>
                <w:rFonts w:cs="Calibri"/>
              </w:rPr>
            </w:pPr>
          </w:p>
        </w:tc>
      </w:tr>
      <w:tr w:rsidR="00B96250" w:rsidRPr="00DD296A" w14:paraId="0F5B952A"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AF28F5F" w14:textId="77777777" w:rsidR="00B96250" w:rsidRPr="00167B16" w:rsidRDefault="00B96250" w:rsidP="00B96250">
            <w:pPr>
              <w:pStyle w:val="TableReference"/>
              <w:tabs>
                <w:tab w:val="left" w:pos="3306"/>
              </w:tabs>
              <w:spacing w:before="40"/>
              <w:rPr>
                <w:rFonts w:cs="Calibri"/>
                <w:color w:val="7030A0"/>
                <w:sz w:val="16"/>
                <w:szCs w:val="16"/>
              </w:rPr>
            </w:pPr>
          </w:p>
        </w:tc>
        <w:tc>
          <w:tcPr>
            <w:tcW w:w="2701" w:type="pct"/>
            <w:tcBorders>
              <w:top w:val="nil"/>
              <w:left w:val="single" w:sz="2" w:space="0" w:color="auto"/>
              <w:bottom w:val="nil"/>
              <w:right w:val="nil"/>
            </w:tcBorders>
            <w:vAlign w:val="bottom"/>
          </w:tcPr>
          <w:p w14:paraId="56731F14" w14:textId="77777777" w:rsidR="00B96250" w:rsidRPr="00167B16" w:rsidRDefault="00B96250" w:rsidP="007122BC">
            <w:pPr>
              <w:pStyle w:val="TableText"/>
              <w:numPr>
                <w:ilvl w:val="1"/>
                <w:numId w:val="59"/>
              </w:numPr>
              <w:tabs>
                <w:tab w:val="left" w:pos="3306"/>
              </w:tabs>
              <w:rPr>
                <w:rFonts w:cs="Calibri"/>
              </w:rPr>
            </w:pPr>
            <w:r w:rsidRPr="00167B16">
              <w:rPr>
                <w:rFonts w:cs="Calibri"/>
              </w:rPr>
              <w:t xml:space="preserve"> Cost</w:t>
            </w:r>
          </w:p>
        </w:tc>
        <w:tc>
          <w:tcPr>
            <w:tcW w:w="810" w:type="pct"/>
            <w:tcBorders>
              <w:top w:val="nil"/>
              <w:left w:val="nil"/>
              <w:bottom w:val="nil"/>
              <w:right w:val="nil"/>
            </w:tcBorders>
            <w:vAlign w:val="bottom"/>
          </w:tcPr>
          <w:p w14:paraId="197C2DDE"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4BF84AD4" w14:textId="77777777" w:rsidR="00B96250" w:rsidRPr="00167B16" w:rsidRDefault="00B96250" w:rsidP="00B96250">
            <w:pPr>
              <w:pStyle w:val="TableText"/>
              <w:tabs>
                <w:tab w:val="left" w:pos="3306"/>
              </w:tabs>
              <w:jc w:val="right"/>
              <w:rPr>
                <w:rFonts w:cs="Calibri"/>
              </w:rPr>
            </w:pPr>
          </w:p>
        </w:tc>
      </w:tr>
      <w:tr w:rsidR="00B96250" w:rsidRPr="00DD296A" w14:paraId="1BCDE766"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776202F"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102.9 &amp; 36(b)</w:t>
            </w:r>
          </w:p>
        </w:tc>
        <w:tc>
          <w:tcPr>
            <w:tcW w:w="2701" w:type="pct"/>
            <w:tcBorders>
              <w:top w:val="nil"/>
              <w:left w:val="single" w:sz="2" w:space="0" w:color="auto"/>
              <w:bottom w:val="nil"/>
              <w:right w:val="nil"/>
            </w:tcBorders>
          </w:tcPr>
          <w:p w14:paraId="19BD8032" w14:textId="039A5A7B" w:rsidR="00B96250" w:rsidRPr="00167B16" w:rsidRDefault="00B96250" w:rsidP="007122BC">
            <w:pPr>
              <w:pStyle w:val="TableText"/>
              <w:numPr>
                <w:ilvl w:val="1"/>
                <w:numId w:val="59"/>
              </w:numPr>
              <w:tabs>
                <w:tab w:val="left" w:pos="3306"/>
              </w:tabs>
              <w:rPr>
                <w:rFonts w:cs="Calibri"/>
              </w:rPr>
            </w:pPr>
            <w:r w:rsidRPr="00167B16">
              <w:rPr>
                <w:rFonts w:cs="Calibri"/>
              </w:rPr>
              <w:t>Net Realisable Value</w:t>
            </w:r>
          </w:p>
        </w:tc>
        <w:tc>
          <w:tcPr>
            <w:tcW w:w="810" w:type="pct"/>
            <w:tcBorders>
              <w:top w:val="nil"/>
              <w:left w:val="nil"/>
              <w:bottom w:val="single" w:sz="4" w:space="0" w:color="auto"/>
              <w:right w:val="nil"/>
            </w:tcBorders>
            <w:vAlign w:val="bottom"/>
          </w:tcPr>
          <w:p w14:paraId="15EBBED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single" w:sz="4" w:space="0" w:color="auto"/>
              <w:right w:val="nil"/>
            </w:tcBorders>
            <w:vAlign w:val="bottom"/>
          </w:tcPr>
          <w:p w14:paraId="10049B7E" w14:textId="77777777" w:rsidR="00B96250" w:rsidRPr="00167B16" w:rsidRDefault="00B96250" w:rsidP="00B96250">
            <w:pPr>
              <w:pStyle w:val="TableText"/>
              <w:tabs>
                <w:tab w:val="left" w:pos="3306"/>
              </w:tabs>
              <w:jc w:val="right"/>
              <w:rPr>
                <w:rFonts w:cs="Calibri"/>
              </w:rPr>
            </w:pPr>
          </w:p>
        </w:tc>
      </w:tr>
      <w:tr w:rsidR="00B96250" w:rsidRPr="00DD296A" w14:paraId="12DE3E54"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532F77D"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4F4D6288" w14:textId="77777777" w:rsidR="00B96250" w:rsidRPr="00167B16" w:rsidRDefault="00B96250" w:rsidP="00B96250">
            <w:pPr>
              <w:pStyle w:val="TableText"/>
              <w:tabs>
                <w:tab w:val="left" w:pos="3306"/>
              </w:tabs>
              <w:rPr>
                <w:rFonts w:cs="Calibri"/>
              </w:rPr>
            </w:pPr>
            <w:r w:rsidRPr="00167B16">
              <w:rPr>
                <w:rFonts w:cs="Calibri"/>
                <w:b/>
                <w:bCs/>
              </w:rPr>
              <w:t>Total Current Inventories Held for Sale</w:t>
            </w:r>
          </w:p>
        </w:tc>
        <w:tc>
          <w:tcPr>
            <w:tcW w:w="810" w:type="pct"/>
            <w:tcBorders>
              <w:top w:val="single" w:sz="4" w:space="0" w:color="auto"/>
              <w:left w:val="nil"/>
              <w:bottom w:val="nil"/>
              <w:right w:val="nil"/>
            </w:tcBorders>
            <w:vAlign w:val="bottom"/>
          </w:tcPr>
          <w:p w14:paraId="66C9D95D" w14:textId="77777777" w:rsidR="00B96250" w:rsidRPr="00167B16" w:rsidRDefault="00B96250" w:rsidP="001F4216">
            <w:pPr>
              <w:pStyle w:val="TableText"/>
              <w:tabs>
                <w:tab w:val="left" w:pos="3306"/>
              </w:tabs>
              <w:ind w:left="601"/>
              <w:jc w:val="right"/>
              <w:rPr>
                <w:rFonts w:cs="Calibri"/>
              </w:rPr>
            </w:pPr>
          </w:p>
        </w:tc>
        <w:tc>
          <w:tcPr>
            <w:tcW w:w="728" w:type="pct"/>
            <w:tcBorders>
              <w:top w:val="single" w:sz="4" w:space="0" w:color="auto"/>
              <w:left w:val="nil"/>
              <w:bottom w:val="nil"/>
              <w:right w:val="nil"/>
            </w:tcBorders>
            <w:vAlign w:val="bottom"/>
          </w:tcPr>
          <w:p w14:paraId="68A4BC72" w14:textId="77777777" w:rsidR="00B96250" w:rsidRPr="00167B16" w:rsidRDefault="00B96250" w:rsidP="00B96250">
            <w:pPr>
              <w:pStyle w:val="TableText"/>
              <w:tabs>
                <w:tab w:val="left" w:pos="3306"/>
              </w:tabs>
              <w:jc w:val="right"/>
              <w:rPr>
                <w:rFonts w:cs="Calibri"/>
              </w:rPr>
            </w:pPr>
          </w:p>
        </w:tc>
      </w:tr>
      <w:tr w:rsidR="00B96250" w:rsidRPr="00DD296A" w14:paraId="44B81720"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7309D8FB"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5BD6056D" w14:textId="77777777" w:rsidR="00B96250" w:rsidRPr="00167B16" w:rsidRDefault="00B96250" w:rsidP="00B96250">
            <w:pPr>
              <w:pStyle w:val="TableText"/>
              <w:tabs>
                <w:tab w:val="left" w:pos="3306"/>
              </w:tabs>
              <w:rPr>
                <w:rFonts w:cs="Calibri"/>
                <w:b/>
                <w:bCs/>
              </w:rPr>
            </w:pPr>
          </w:p>
        </w:tc>
        <w:tc>
          <w:tcPr>
            <w:tcW w:w="810" w:type="pct"/>
            <w:tcBorders>
              <w:top w:val="nil"/>
              <w:left w:val="nil"/>
              <w:bottom w:val="nil"/>
              <w:right w:val="nil"/>
            </w:tcBorders>
            <w:vAlign w:val="bottom"/>
          </w:tcPr>
          <w:p w14:paraId="3C9B0455"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220213A3" w14:textId="77777777" w:rsidR="00B96250" w:rsidRPr="00167B16" w:rsidRDefault="00B96250" w:rsidP="00B96250">
            <w:pPr>
              <w:pStyle w:val="TableText"/>
              <w:tabs>
                <w:tab w:val="left" w:pos="3306"/>
              </w:tabs>
              <w:jc w:val="right"/>
              <w:rPr>
                <w:rFonts w:cs="Calibri"/>
              </w:rPr>
            </w:pPr>
          </w:p>
        </w:tc>
      </w:tr>
      <w:tr w:rsidR="00B96250" w:rsidRPr="00DD296A" w14:paraId="0EF8E699"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655C0854"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16B87953" w14:textId="77777777" w:rsidR="00B96250" w:rsidRPr="00167B16" w:rsidRDefault="00B96250" w:rsidP="00B96250">
            <w:pPr>
              <w:pStyle w:val="TableText"/>
              <w:tabs>
                <w:tab w:val="left" w:pos="3306"/>
              </w:tabs>
              <w:rPr>
                <w:rFonts w:cs="Calibri"/>
              </w:rPr>
            </w:pPr>
            <w:r w:rsidRPr="00167B16">
              <w:rPr>
                <w:rFonts w:cs="Calibri"/>
                <w:b/>
                <w:bCs/>
              </w:rPr>
              <w:t>Current Inventories Held for Distribution</w:t>
            </w:r>
          </w:p>
        </w:tc>
        <w:tc>
          <w:tcPr>
            <w:tcW w:w="810" w:type="pct"/>
            <w:tcBorders>
              <w:top w:val="nil"/>
              <w:left w:val="nil"/>
              <w:bottom w:val="nil"/>
              <w:right w:val="nil"/>
            </w:tcBorders>
            <w:vAlign w:val="bottom"/>
          </w:tcPr>
          <w:p w14:paraId="3E1333D4"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01B81B38" w14:textId="77777777" w:rsidR="00B96250" w:rsidRPr="00167B16" w:rsidRDefault="00B96250" w:rsidP="00B96250">
            <w:pPr>
              <w:pStyle w:val="TableText"/>
              <w:tabs>
                <w:tab w:val="left" w:pos="3306"/>
              </w:tabs>
              <w:jc w:val="right"/>
              <w:rPr>
                <w:rFonts w:cs="Calibri"/>
              </w:rPr>
            </w:pPr>
          </w:p>
        </w:tc>
      </w:tr>
      <w:tr w:rsidR="00B96250" w:rsidRPr="00DD296A" w14:paraId="419FACD7"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7DB33859"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102.Aus 36.1(b)</w:t>
            </w:r>
          </w:p>
        </w:tc>
        <w:tc>
          <w:tcPr>
            <w:tcW w:w="2701" w:type="pct"/>
            <w:tcBorders>
              <w:top w:val="nil"/>
              <w:left w:val="single" w:sz="2" w:space="0" w:color="auto"/>
              <w:bottom w:val="nil"/>
              <w:right w:val="nil"/>
            </w:tcBorders>
          </w:tcPr>
          <w:p w14:paraId="5F85AB16" w14:textId="77777777" w:rsidR="00B96250" w:rsidRPr="00167B16" w:rsidRDefault="00B96250" w:rsidP="00B96250">
            <w:pPr>
              <w:pStyle w:val="TableText"/>
              <w:tabs>
                <w:tab w:val="left" w:pos="3306"/>
              </w:tabs>
              <w:rPr>
                <w:rFonts w:cs="Calibri"/>
              </w:rPr>
            </w:pPr>
            <w:r w:rsidRPr="00167B16">
              <w:rPr>
                <w:rFonts w:cs="Calibri"/>
              </w:rPr>
              <w:t>Purchased Items – Cost</w:t>
            </w:r>
          </w:p>
        </w:tc>
        <w:tc>
          <w:tcPr>
            <w:tcW w:w="810" w:type="pct"/>
            <w:tcBorders>
              <w:top w:val="nil"/>
              <w:left w:val="nil"/>
              <w:bottom w:val="nil"/>
              <w:right w:val="nil"/>
            </w:tcBorders>
            <w:vAlign w:val="bottom"/>
          </w:tcPr>
          <w:p w14:paraId="26015578"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nil"/>
              <w:right w:val="nil"/>
            </w:tcBorders>
            <w:vAlign w:val="bottom"/>
          </w:tcPr>
          <w:p w14:paraId="1C389458" w14:textId="77777777" w:rsidR="00B96250" w:rsidRPr="00167B16" w:rsidRDefault="00B96250" w:rsidP="00B96250">
            <w:pPr>
              <w:pStyle w:val="TableText"/>
              <w:tabs>
                <w:tab w:val="left" w:pos="3306"/>
              </w:tabs>
              <w:jc w:val="right"/>
              <w:rPr>
                <w:rFonts w:cs="Calibri"/>
              </w:rPr>
            </w:pPr>
          </w:p>
        </w:tc>
      </w:tr>
      <w:tr w:rsidR="00B96250" w:rsidRPr="00DD296A" w14:paraId="7B6082CE"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25B688C7"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66A9F782" w14:textId="77777777" w:rsidR="00B96250" w:rsidRPr="00167B16" w:rsidRDefault="00B96250" w:rsidP="00B96250">
            <w:pPr>
              <w:pStyle w:val="TableText"/>
              <w:tabs>
                <w:tab w:val="left" w:pos="3306"/>
              </w:tabs>
              <w:rPr>
                <w:rFonts w:cs="Calibri"/>
              </w:rPr>
            </w:pPr>
            <w:r w:rsidRPr="00167B16">
              <w:rPr>
                <w:rFonts w:cs="Calibri"/>
              </w:rPr>
              <w:t>Loss of Service Potential</w:t>
            </w:r>
          </w:p>
        </w:tc>
        <w:tc>
          <w:tcPr>
            <w:tcW w:w="810" w:type="pct"/>
            <w:tcBorders>
              <w:top w:val="nil"/>
              <w:left w:val="nil"/>
              <w:bottom w:val="single" w:sz="4" w:space="0" w:color="auto"/>
              <w:right w:val="nil"/>
            </w:tcBorders>
            <w:vAlign w:val="bottom"/>
          </w:tcPr>
          <w:p w14:paraId="21891F6E" w14:textId="77777777" w:rsidR="00B96250" w:rsidRPr="00167B16" w:rsidRDefault="00B96250" w:rsidP="001F4216">
            <w:pPr>
              <w:pStyle w:val="TableText"/>
              <w:tabs>
                <w:tab w:val="left" w:pos="3306"/>
              </w:tabs>
              <w:ind w:left="601"/>
              <w:jc w:val="right"/>
              <w:rPr>
                <w:rFonts w:cs="Calibri"/>
              </w:rPr>
            </w:pPr>
          </w:p>
        </w:tc>
        <w:tc>
          <w:tcPr>
            <w:tcW w:w="728" w:type="pct"/>
            <w:tcBorders>
              <w:top w:val="nil"/>
              <w:left w:val="nil"/>
              <w:bottom w:val="single" w:sz="4" w:space="0" w:color="auto"/>
              <w:right w:val="nil"/>
            </w:tcBorders>
            <w:vAlign w:val="bottom"/>
          </w:tcPr>
          <w:p w14:paraId="24877356" w14:textId="77777777" w:rsidR="00B96250" w:rsidRPr="00167B16" w:rsidRDefault="00B96250" w:rsidP="00B96250">
            <w:pPr>
              <w:pStyle w:val="TableText"/>
              <w:tabs>
                <w:tab w:val="left" w:pos="3306"/>
              </w:tabs>
              <w:jc w:val="right"/>
              <w:rPr>
                <w:rFonts w:cs="Calibri"/>
              </w:rPr>
            </w:pPr>
          </w:p>
        </w:tc>
      </w:tr>
      <w:tr w:rsidR="00B96250" w:rsidRPr="00DD296A" w14:paraId="467D873D"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40870D80"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tcPr>
          <w:p w14:paraId="181DBA4C" w14:textId="77777777" w:rsidR="00B96250" w:rsidRPr="00167B16" w:rsidRDefault="00B96250" w:rsidP="00B96250">
            <w:pPr>
              <w:pStyle w:val="TableText"/>
              <w:tabs>
                <w:tab w:val="left" w:pos="3306"/>
              </w:tabs>
              <w:rPr>
                <w:rFonts w:cs="Calibri"/>
              </w:rPr>
            </w:pPr>
            <w:r w:rsidRPr="00167B16">
              <w:rPr>
                <w:rFonts w:cs="Calibri"/>
                <w:b/>
                <w:bCs/>
              </w:rPr>
              <w:t>Total Current Inventories Held for Distribution</w:t>
            </w:r>
          </w:p>
        </w:tc>
        <w:tc>
          <w:tcPr>
            <w:tcW w:w="810" w:type="pct"/>
            <w:tcBorders>
              <w:top w:val="single" w:sz="4" w:space="0" w:color="auto"/>
              <w:left w:val="nil"/>
              <w:bottom w:val="single" w:sz="4" w:space="0" w:color="auto"/>
              <w:right w:val="nil"/>
            </w:tcBorders>
            <w:vAlign w:val="bottom"/>
          </w:tcPr>
          <w:p w14:paraId="4780C46F" w14:textId="77777777" w:rsidR="00B96250" w:rsidRPr="00167B16" w:rsidRDefault="00B96250" w:rsidP="001F4216">
            <w:pPr>
              <w:pStyle w:val="TableText"/>
              <w:tabs>
                <w:tab w:val="left" w:pos="3306"/>
              </w:tabs>
              <w:ind w:left="601"/>
              <w:jc w:val="right"/>
              <w:rPr>
                <w:rFonts w:cs="Calibri"/>
              </w:rPr>
            </w:pPr>
          </w:p>
        </w:tc>
        <w:tc>
          <w:tcPr>
            <w:tcW w:w="728" w:type="pct"/>
            <w:tcBorders>
              <w:top w:val="single" w:sz="4" w:space="0" w:color="auto"/>
              <w:left w:val="nil"/>
              <w:bottom w:val="single" w:sz="4" w:space="0" w:color="auto"/>
              <w:right w:val="nil"/>
            </w:tcBorders>
            <w:vAlign w:val="bottom"/>
          </w:tcPr>
          <w:p w14:paraId="31FCB376" w14:textId="77777777" w:rsidR="00B96250" w:rsidRPr="00167B16" w:rsidRDefault="00B96250" w:rsidP="00B96250">
            <w:pPr>
              <w:pStyle w:val="TableText"/>
              <w:tabs>
                <w:tab w:val="left" w:pos="3306"/>
              </w:tabs>
              <w:jc w:val="right"/>
              <w:rPr>
                <w:rFonts w:cs="Calibri"/>
              </w:rPr>
            </w:pPr>
          </w:p>
        </w:tc>
      </w:tr>
      <w:tr w:rsidR="00B96250" w:rsidRPr="00DD296A" w14:paraId="02084305" w14:textId="77777777" w:rsidTr="005F5B4C">
        <w:trPr>
          <w:gridAfter w:val="1"/>
          <w:wAfter w:w="16" w:type="pct"/>
          <w:cantSplit/>
          <w:trHeight w:val="23"/>
        </w:trPr>
        <w:tc>
          <w:tcPr>
            <w:tcW w:w="745" w:type="pct"/>
            <w:tcBorders>
              <w:top w:val="nil"/>
              <w:left w:val="single" w:sz="2" w:space="0" w:color="auto"/>
              <w:bottom w:val="nil"/>
              <w:right w:val="single" w:sz="2" w:space="0" w:color="auto"/>
            </w:tcBorders>
          </w:tcPr>
          <w:p w14:paraId="58BA130A" w14:textId="77777777" w:rsidR="00B96250" w:rsidRPr="00167B16" w:rsidRDefault="00B96250"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5794557" w14:textId="77777777" w:rsidR="00B96250" w:rsidRPr="00167B16" w:rsidRDefault="00B96250" w:rsidP="00B96250">
            <w:pPr>
              <w:pStyle w:val="TableText"/>
              <w:tabs>
                <w:tab w:val="left" w:pos="3306"/>
              </w:tabs>
              <w:rPr>
                <w:rFonts w:cs="Calibri"/>
                <w:b/>
                <w:bCs/>
              </w:rPr>
            </w:pPr>
            <w:r w:rsidRPr="00167B16">
              <w:rPr>
                <w:rFonts w:cs="Calibri"/>
                <w:b/>
                <w:bCs/>
              </w:rPr>
              <w:t>Total Current Inventories</w:t>
            </w:r>
          </w:p>
        </w:tc>
        <w:tc>
          <w:tcPr>
            <w:tcW w:w="810" w:type="pct"/>
            <w:tcBorders>
              <w:top w:val="single" w:sz="4" w:space="0" w:color="auto"/>
              <w:left w:val="nil"/>
              <w:bottom w:val="single" w:sz="4" w:space="0" w:color="auto"/>
              <w:right w:val="nil"/>
            </w:tcBorders>
            <w:vAlign w:val="bottom"/>
          </w:tcPr>
          <w:p w14:paraId="48660B39" w14:textId="77777777" w:rsidR="00B96250" w:rsidRPr="00167B16" w:rsidRDefault="00B96250" w:rsidP="001F4216">
            <w:pPr>
              <w:pStyle w:val="TableText"/>
              <w:tabs>
                <w:tab w:val="left" w:pos="3306"/>
              </w:tabs>
              <w:ind w:left="601"/>
              <w:jc w:val="right"/>
              <w:rPr>
                <w:rFonts w:cs="Calibri"/>
                <w:b/>
                <w:bCs/>
              </w:rPr>
            </w:pPr>
          </w:p>
        </w:tc>
        <w:tc>
          <w:tcPr>
            <w:tcW w:w="728" w:type="pct"/>
            <w:tcBorders>
              <w:top w:val="single" w:sz="4" w:space="0" w:color="auto"/>
              <w:left w:val="nil"/>
              <w:bottom w:val="single" w:sz="4" w:space="0" w:color="auto"/>
              <w:right w:val="nil"/>
            </w:tcBorders>
            <w:vAlign w:val="bottom"/>
          </w:tcPr>
          <w:p w14:paraId="0DC963D9" w14:textId="77777777" w:rsidR="00B96250" w:rsidRPr="00167B16" w:rsidRDefault="00B96250" w:rsidP="00B96250">
            <w:pPr>
              <w:pStyle w:val="TableText"/>
              <w:tabs>
                <w:tab w:val="left" w:pos="3306"/>
              </w:tabs>
              <w:jc w:val="right"/>
              <w:rPr>
                <w:rFonts w:cs="Calibri"/>
                <w:b/>
                <w:bCs/>
              </w:rPr>
            </w:pPr>
          </w:p>
        </w:tc>
      </w:tr>
      <w:tr w:rsidR="006B5DF1" w:rsidRPr="00DD296A" w14:paraId="73E56738" w14:textId="77777777" w:rsidTr="005F5B4C">
        <w:trPr>
          <w:cantSplit/>
          <w:trHeight w:val="293"/>
        </w:trPr>
        <w:tc>
          <w:tcPr>
            <w:tcW w:w="745" w:type="pct"/>
            <w:tcBorders>
              <w:top w:val="nil"/>
              <w:left w:val="single" w:sz="2" w:space="0" w:color="auto"/>
              <w:bottom w:val="nil"/>
              <w:right w:val="single" w:sz="2" w:space="0" w:color="auto"/>
            </w:tcBorders>
            <w:vAlign w:val="bottom"/>
          </w:tcPr>
          <w:p w14:paraId="1C06D8A0"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DB12B5F" w14:textId="77777777" w:rsidR="006B5DF1" w:rsidRPr="009315BB" w:rsidRDefault="006B5DF1" w:rsidP="00B96250">
            <w:pPr>
              <w:pStyle w:val="TableText"/>
              <w:tabs>
                <w:tab w:val="left" w:pos="3306"/>
              </w:tabs>
              <w:rPr>
                <w:rFonts w:cs="Calibri"/>
                <w:b/>
                <w:bCs/>
              </w:rPr>
            </w:pPr>
          </w:p>
        </w:tc>
        <w:tc>
          <w:tcPr>
            <w:tcW w:w="810" w:type="pct"/>
            <w:tcBorders>
              <w:top w:val="single" w:sz="4" w:space="0" w:color="auto"/>
              <w:left w:val="nil"/>
              <w:bottom w:val="nil"/>
              <w:right w:val="nil"/>
            </w:tcBorders>
            <w:vAlign w:val="bottom"/>
          </w:tcPr>
          <w:p w14:paraId="20D9ACA9" w14:textId="77777777" w:rsidR="006B5DF1" w:rsidRPr="00DD296A" w:rsidRDefault="006B5DF1" w:rsidP="00B96250">
            <w:pPr>
              <w:pStyle w:val="TableText"/>
              <w:tabs>
                <w:tab w:val="left" w:pos="3306"/>
              </w:tabs>
              <w:jc w:val="right"/>
              <w:rPr>
                <w:rFonts w:cs="Calibri"/>
                <w:b/>
                <w:bCs/>
                <w:color w:val="000000"/>
              </w:rPr>
            </w:pPr>
          </w:p>
        </w:tc>
        <w:tc>
          <w:tcPr>
            <w:tcW w:w="744" w:type="pct"/>
            <w:gridSpan w:val="2"/>
            <w:tcBorders>
              <w:top w:val="single" w:sz="4" w:space="0" w:color="auto"/>
              <w:left w:val="nil"/>
              <w:bottom w:val="nil"/>
              <w:right w:val="nil"/>
            </w:tcBorders>
            <w:vAlign w:val="bottom"/>
          </w:tcPr>
          <w:p w14:paraId="59C19E5E" w14:textId="77777777" w:rsidR="006B5DF1" w:rsidRPr="00DD296A" w:rsidRDefault="006B5DF1" w:rsidP="00B96250">
            <w:pPr>
              <w:pStyle w:val="TableText"/>
              <w:tabs>
                <w:tab w:val="left" w:pos="3306"/>
              </w:tabs>
              <w:jc w:val="right"/>
              <w:rPr>
                <w:rFonts w:cs="Calibri"/>
                <w:b/>
                <w:bCs/>
                <w:color w:val="000000"/>
              </w:rPr>
            </w:pPr>
          </w:p>
        </w:tc>
      </w:tr>
      <w:tr w:rsidR="006B5DF1" w:rsidRPr="00DD296A" w14:paraId="74DFBFA7" w14:textId="77777777" w:rsidTr="005F5B4C">
        <w:trPr>
          <w:cantSplit/>
          <w:trHeight w:val="293"/>
        </w:trPr>
        <w:tc>
          <w:tcPr>
            <w:tcW w:w="745" w:type="pct"/>
            <w:tcBorders>
              <w:top w:val="nil"/>
              <w:left w:val="single" w:sz="2" w:space="0" w:color="auto"/>
              <w:bottom w:val="nil"/>
              <w:right w:val="single" w:sz="2" w:space="0" w:color="auto"/>
            </w:tcBorders>
            <w:vAlign w:val="bottom"/>
          </w:tcPr>
          <w:p w14:paraId="02784F82"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5C8EE2E6" w14:textId="6CF459DE" w:rsidR="006B5DF1" w:rsidRPr="00167B16" w:rsidRDefault="006B5DF1" w:rsidP="00B96250">
            <w:pPr>
              <w:pStyle w:val="TableText"/>
              <w:tabs>
                <w:tab w:val="left" w:pos="3306"/>
              </w:tabs>
              <w:rPr>
                <w:rFonts w:cs="Calibri"/>
                <w:b/>
                <w:bCs/>
              </w:rPr>
            </w:pPr>
            <w:r w:rsidRPr="00167B16">
              <w:rPr>
                <w:rFonts w:cs="Calibri"/>
                <w:b/>
                <w:bCs/>
              </w:rPr>
              <w:t>Non-Current Inventories</w:t>
            </w:r>
          </w:p>
        </w:tc>
        <w:tc>
          <w:tcPr>
            <w:tcW w:w="810" w:type="pct"/>
            <w:tcBorders>
              <w:top w:val="nil"/>
              <w:left w:val="nil"/>
              <w:bottom w:val="nil"/>
              <w:right w:val="nil"/>
            </w:tcBorders>
            <w:vAlign w:val="bottom"/>
          </w:tcPr>
          <w:p w14:paraId="70A385FE" w14:textId="77777777" w:rsidR="006B5DF1" w:rsidRPr="00167B16" w:rsidRDefault="006B5DF1" w:rsidP="00B9625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C585C75" w14:textId="77777777" w:rsidR="006B5DF1" w:rsidRPr="00167B16" w:rsidRDefault="006B5DF1" w:rsidP="00B96250">
            <w:pPr>
              <w:pStyle w:val="TableText"/>
              <w:tabs>
                <w:tab w:val="left" w:pos="3306"/>
              </w:tabs>
              <w:jc w:val="right"/>
              <w:rPr>
                <w:rFonts w:cs="Calibri"/>
                <w:b/>
                <w:bCs/>
              </w:rPr>
            </w:pPr>
          </w:p>
        </w:tc>
      </w:tr>
      <w:tr w:rsidR="006B5DF1" w:rsidRPr="00DD296A" w14:paraId="41AF6D33" w14:textId="77777777" w:rsidTr="005F5B4C">
        <w:trPr>
          <w:cantSplit/>
          <w:trHeight w:val="293"/>
        </w:trPr>
        <w:tc>
          <w:tcPr>
            <w:tcW w:w="745" w:type="pct"/>
            <w:tcBorders>
              <w:top w:val="nil"/>
              <w:left w:val="single" w:sz="2" w:space="0" w:color="auto"/>
              <w:bottom w:val="nil"/>
              <w:right w:val="single" w:sz="2" w:space="0" w:color="auto"/>
            </w:tcBorders>
            <w:vAlign w:val="bottom"/>
          </w:tcPr>
          <w:p w14:paraId="18262A38" w14:textId="77777777" w:rsidR="006B5DF1" w:rsidRPr="00167B16" w:rsidRDefault="006B5DF1" w:rsidP="00B9625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B2E7792" w14:textId="1ED26DD0" w:rsidR="006B5DF1" w:rsidRPr="00167B16" w:rsidRDefault="006B5DF1" w:rsidP="00B96250">
            <w:pPr>
              <w:pStyle w:val="TableText"/>
              <w:tabs>
                <w:tab w:val="left" w:pos="3306"/>
              </w:tabs>
              <w:rPr>
                <w:rFonts w:cs="Calibri"/>
                <w:b/>
                <w:bCs/>
              </w:rPr>
            </w:pPr>
            <w:r w:rsidRPr="00167B16">
              <w:rPr>
                <w:rFonts w:cs="Calibri"/>
                <w:b/>
                <w:bCs/>
              </w:rPr>
              <w:t>Non-Current Inventories Held for Sale</w:t>
            </w:r>
          </w:p>
        </w:tc>
        <w:tc>
          <w:tcPr>
            <w:tcW w:w="810" w:type="pct"/>
            <w:tcBorders>
              <w:top w:val="nil"/>
              <w:left w:val="nil"/>
              <w:bottom w:val="nil"/>
              <w:right w:val="nil"/>
            </w:tcBorders>
            <w:vAlign w:val="bottom"/>
          </w:tcPr>
          <w:p w14:paraId="10ADCB9F" w14:textId="77777777" w:rsidR="006B5DF1" w:rsidRPr="00167B16" w:rsidRDefault="006B5DF1" w:rsidP="00B9625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76695359" w14:textId="77777777" w:rsidR="006B5DF1" w:rsidRPr="00167B16" w:rsidRDefault="006B5DF1" w:rsidP="00B96250">
            <w:pPr>
              <w:pStyle w:val="TableText"/>
              <w:tabs>
                <w:tab w:val="left" w:pos="3306"/>
              </w:tabs>
              <w:jc w:val="right"/>
              <w:rPr>
                <w:rFonts w:cs="Calibri"/>
                <w:b/>
                <w:bCs/>
              </w:rPr>
            </w:pPr>
          </w:p>
        </w:tc>
      </w:tr>
      <w:tr w:rsidR="006B5DF1" w:rsidRPr="00DD296A" w14:paraId="44C4015D" w14:textId="77777777" w:rsidTr="005F5B4C">
        <w:trPr>
          <w:cantSplit/>
          <w:trHeight w:val="293"/>
        </w:trPr>
        <w:tc>
          <w:tcPr>
            <w:tcW w:w="745" w:type="pct"/>
            <w:tcBorders>
              <w:top w:val="nil"/>
              <w:left w:val="single" w:sz="2" w:space="0" w:color="auto"/>
              <w:bottom w:val="nil"/>
              <w:right w:val="single" w:sz="2" w:space="0" w:color="auto"/>
            </w:tcBorders>
          </w:tcPr>
          <w:p w14:paraId="5E2ADAC9" w14:textId="4BF34A5E" w:rsidR="006B5DF1" w:rsidRPr="00167B16" w:rsidRDefault="006B5DF1" w:rsidP="006B5DF1">
            <w:pPr>
              <w:pStyle w:val="TableReference"/>
              <w:tabs>
                <w:tab w:val="left" w:pos="3306"/>
              </w:tabs>
              <w:spacing w:before="4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2D184250" w14:textId="4F78D44F" w:rsidR="006B5DF1" w:rsidRPr="00167B16" w:rsidRDefault="006B5DF1" w:rsidP="006B5DF1">
            <w:pPr>
              <w:pStyle w:val="TableText"/>
              <w:tabs>
                <w:tab w:val="left" w:pos="3306"/>
              </w:tabs>
              <w:rPr>
                <w:rFonts w:cs="Calibri"/>
                <w:b/>
                <w:bCs/>
              </w:rPr>
            </w:pPr>
            <w:r w:rsidRPr="00167B16">
              <w:rPr>
                <w:rFonts w:cs="Calibri"/>
              </w:rPr>
              <w:t>Work In Progress – Cost</w:t>
            </w:r>
          </w:p>
        </w:tc>
        <w:tc>
          <w:tcPr>
            <w:tcW w:w="810" w:type="pct"/>
            <w:tcBorders>
              <w:top w:val="nil"/>
              <w:left w:val="nil"/>
              <w:bottom w:val="nil"/>
              <w:right w:val="nil"/>
            </w:tcBorders>
            <w:vAlign w:val="bottom"/>
          </w:tcPr>
          <w:p w14:paraId="16B4C31E"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2FAE1763" w14:textId="77777777" w:rsidR="006B5DF1" w:rsidRPr="00167B16" w:rsidRDefault="006B5DF1" w:rsidP="006B5DF1">
            <w:pPr>
              <w:pStyle w:val="TableText"/>
              <w:tabs>
                <w:tab w:val="left" w:pos="3306"/>
              </w:tabs>
              <w:jc w:val="right"/>
              <w:rPr>
                <w:rFonts w:cs="Calibri"/>
                <w:b/>
                <w:bCs/>
              </w:rPr>
            </w:pPr>
          </w:p>
        </w:tc>
      </w:tr>
      <w:tr w:rsidR="006B5DF1" w:rsidRPr="00DD296A" w14:paraId="362D6621" w14:textId="77777777" w:rsidTr="005F5B4C">
        <w:trPr>
          <w:cantSplit/>
          <w:trHeight w:val="293"/>
        </w:trPr>
        <w:tc>
          <w:tcPr>
            <w:tcW w:w="745" w:type="pct"/>
            <w:tcBorders>
              <w:top w:val="nil"/>
              <w:left w:val="single" w:sz="2" w:space="0" w:color="auto"/>
              <w:bottom w:val="nil"/>
              <w:right w:val="single" w:sz="2" w:space="0" w:color="auto"/>
            </w:tcBorders>
          </w:tcPr>
          <w:p w14:paraId="4EA878C8" w14:textId="6975C492" w:rsidR="006B5DF1" w:rsidRPr="00167B16" w:rsidRDefault="006B5DF1" w:rsidP="006B5DF1">
            <w:pPr>
              <w:pStyle w:val="TableReference"/>
              <w:tabs>
                <w:tab w:val="left" w:pos="3306"/>
              </w:tabs>
              <w:spacing w:before="4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302E816D" w14:textId="66030820" w:rsidR="006B5DF1" w:rsidRPr="00167B16" w:rsidRDefault="006B5DF1" w:rsidP="006B5DF1">
            <w:pPr>
              <w:pStyle w:val="TableText"/>
              <w:tabs>
                <w:tab w:val="left" w:pos="3306"/>
              </w:tabs>
              <w:rPr>
                <w:rFonts w:cs="Calibri"/>
                <w:b/>
                <w:bCs/>
              </w:rPr>
            </w:pPr>
            <w:r w:rsidRPr="00167B16">
              <w:rPr>
                <w:rFonts w:cs="Calibri"/>
              </w:rPr>
              <w:t>Finished Goods</w:t>
            </w:r>
          </w:p>
        </w:tc>
        <w:tc>
          <w:tcPr>
            <w:tcW w:w="810" w:type="pct"/>
            <w:tcBorders>
              <w:top w:val="nil"/>
              <w:left w:val="nil"/>
              <w:bottom w:val="nil"/>
              <w:right w:val="nil"/>
            </w:tcBorders>
            <w:vAlign w:val="bottom"/>
          </w:tcPr>
          <w:p w14:paraId="0327F43D"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2ED18022" w14:textId="77777777" w:rsidR="006B5DF1" w:rsidRPr="00167B16" w:rsidRDefault="006B5DF1" w:rsidP="006B5DF1">
            <w:pPr>
              <w:pStyle w:val="TableText"/>
              <w:tabs>
                <w:tab w:val="left" w:pos="3306"/>
              </w:tabs>
              <w:jc w:val="right"/>
              <w:rPr>
                <w:rFonts w:cs="Calibri"/>
                <w:b/>
                <w:bCs/>
              </w:rPr>
            </w:pPr>
          </w:p>
        </w:tc>
      </w:tr>
      <w:tr w:rsidR="006B5DF1" w:rsidRPr="00DD296A" w14:paraId="5926C9CE" w14:textId="77777777" w:rsidTr="005F5B4C">
        <w:trPr>
          <w:cantSplit/>
          <w:trHeight w:val="293"/>
        </w:trPr>
        <w:tc>
          <w:tcPr>
            <w:tcW w:w="745" w:type="pct"/>
            <w:tcBorders>
              <w:top w:val="nil"/>
              <w:left w:val="single" w:sz="2" w:space="0" w:color="auto"/>
              <w:bottom w:val="nil"/>
              <w:right w:val="single" w:sz="2" w:space="0" w:color="auto"/>
            </w:tcBorders>
          </w:tcPr>
          <w:p w14:paraId="459B69E9" w14:textId="77777777" w:rsidR="006B5DF1" w:rsidRPr="00167B16" w:rsidRDefault="006B5DF1"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63AE908" w14:textId="2A71A2A8" w:rsidR="006B5DF1" w:rsidRPr="00167B16" w:rsidRDefault="006B5DF1" w:rsidP="007122BC">
            <w:pPr>
              <w:pStyle w:val="TableText"/>
              <w:numPr>
                <w:ilvl w:val="1"/>
                <w:numId w:val="59"/>
              </w:numPr>
              <w:tabs>
                <w:tab w:val="left" w:pos="3306"/>
              </w:tabs>
              <w:rPr>
                <w:rFonts w:cs="Calibri"/>
              </w:rPr>
            </w:pPr>
            <w:r w:rsidRPr="00167B16">
              <w:rPr>
                <w:rFonts w:cs="Calibri"/>
              </w:rPr>
              <w:t>Cost</w:t>
            </w:r>
          </w:p>
        </w:tc>
        <w:tc>
          <w:tcPr>
            <w:tcW w:w="810" w:type="pct"/>
            <w:tcBorders>
              <w:top w:val="nil"/>
              <w:left w:val="nil"/>
              <w:bottom w:val="nil"/>
              <w:right w:val="nil"/>
            </w:tcBorders>
            <w:vAlign w:val="bottom"/>
          </w:tcPr>
          <w:p w14:paraId="4D0ACC7F" w14:textId="77777777" w:rsidR="006B5DF1" w:rsidRPr="00167B16" w:rsidRDefault="006B5DF1"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3253EFE4" w14:textId="77777777" w:rsidR="006B5DF1" w:rsidRPr="00167B16" w:rsidRDefault="006B5DF1" w:rsidP="006B5DF1">
            <w:pPr>
              <w:pStyle w:val="TableText"/>
              <w:tabs>
                <w:tab w:val="left" w:pos="3306"/>
              </w:tabs>
              <w:jc w:val="right"/>
              <w:rPr>
                <w:rFonts w:cs="Calibri"/>
                <w:b/>
                <w:bCs/>
              </w:rPr>
            </w:pPr>
          </w:p>
        </w:tc>
      </w:tr>
      <w:tr w:rsidR="00590B10" w:rsidRPr="00DD296A" w14:paraId="3C7CD806" w14:textId="77777777" w:rsidTr="005F5B4C">
        <w:trPr>
          <w:cantSplit/>
          <w:trHeight w:val="293"/>
        </w:trPr>
        <w:tc>
          <w:tcPr>
            <w:tcW w:w="745" w:type="pct"/>
            <w:tcBorders>
              <w:top w:val="nil"/>
              <w:left w:val="single" w:sz="2" w:space="0" w:color="auto"/>
              <w:bottom w:val="nil"/>
              <w:right w:val="single" w:sz="2" w:space="0" w:color="auto"/>
            </w:tcBorders>
          </w:tcPr>
          <w:p w14:paraId="4A9C8974" w14:textId="77777777" w:rsidR="00590B10" w:rsidRPr="00167B16" w:rsidRDefault="00590B10"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2521296" w14:textId="42375B76" w:rsidR="00590B10" w:rsidRPr="00167B16" w:rsidRDefault="00590B10" w:rsidP="007122BC">
            <w:pPr>
              <w:pStyle w:val="TableText"/>
              <w:numPr>
                <w:ilvl w:val="1"/>
                <w:numId w:val="59"/>
              </w:numPr>
              <w:tabs>
                <w:tab w:val="left" w:pos="3306"/>
              </w:tabs>
              <w:rPr>
                <w:rFonts w:cs="Calibri"/>
              </w:rPr>
            </w:pPr>
            <w:r w:rsidRPr="00167B16">
              <w:rPr>
                <w:rFonts w:cs="Calibri"/>
              </w:rPr>
              <w:t>Net Realisable Value</w:t>
            </w:r>
          </w:p>
        </w:tc>
        <w:tc>
          <w:tcPr>
            <w:tcW w:w="810" w:type="pct"/>
            <w:tcBorders>
              <w:top w:val="nil"/>
              <w:left w:val="nil"/>
              <w:bottom w:val="single" w:sz="4" w:space="0" w:color="auto"/>
              <w:right w:val="nil"/>
            </w:tcBorders>
            <w:vAlign w:val="bottom"/>
          </w:tcPr>
          <w:p w14:paraId="519FF077" w14:textId="77777777" w:rsidR="00590B10" w:rsidRPr="00167B16" w:rsidRDefault="00590B10" w:rsidP="006B5DF1">
            <w:pPr>
              <w:pStyle w:val="TableText"/>
              <w:tabs>
                <w:tab w:val="left" w:pos="3306"/>
              </w:tabs>
              <w:jc w:val="right"/>
              <w:rPr>
                <w:rFonts w:cs="Calibri"/>
                <w:b/>
                <w:bCs/>
              </w:rPr>
            </w:pPr>
          </w:p>
        </w:tc>
        <w:tc>
          <w:tcPr>
            <w:tcW w:w="744" w:type="pct"/>
            <w:gridSpan w:val="2"/>
            <w:tcBorders>
              <w:top w:val="nil"/>
              <w:left w:val="nil"/>
              <w:bottom w:val="single" w:sz="4" w:space="0" w:color="auto"/>
              <w:right w:val="nil"/>
            </w:tcBorders>
            <w:vAlign w:val="bottom"/>
          </w:tcPr>
          <w:p w14:paraId="7FD8D553" w14:textId="77777777" w:rsidR="00590B10" w:rsidRPr="00167B16" w:rsidRDefault="00590B10" w:rsidP="006B5DF1">
            <w:pPr>
              <w:pStyle w:val="TableText"/>
              <w:tabs>
                <w:tab w:val="left" w:pos="3306"/>
              </w:tabs>
              <w:jc w:val="right"/>
              <w:rPr>
                <w:rFonts w:cs="Calibri"/>
                <w:b/>
                <w:bCs/>
              </w:rPr>
            </w:pPr>
          </w:p>
        </w:tc>
      </w:tr>
      <w:tr w:rsidR="006B5DF1" w:rsidRPr="00DD296A" w14:paraId="1FF6B797" w14:textId="77777777" w:rsidTr="005F5B4C">
        <w:trPr>
          <w:cantSplit/>
          <w:trHeight w:val="293"/>
        </w:trPr>
        <w:tc>
          <w:tcPr>
            <w:tcW w:w="745" w:type="pct"/>
            <w:tcBorders>
              <w:top w:val="nil"/>
              <w:left w:val="single" w:sz="2" w:space="0" w:color="auto"/>
              <w:bottom w:val="nil"/>
              <w:right w:val="single" w:sz="2" w:space="0" w:color="auto"/>
            </w:tcBorders>
            <w:vAlign w:val="bottom"/>
          </w:tcPr>
          <w:p w14:paraId="703C1402" w14:textId="77777777" w:rsidR="006B5DF1" w:rsidRPr="00167B16" w:rsidRDefault="006B5DF1"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BD874AE" w14:textId="5EC29DBE" w:rsidR="006B5DF1" w:rsidRPr="00167B16" w:rsidRDefault="006B5DF1" w:rsidP="006B5DF1">
            <w:pPr>
              <w:pStyle w:val="TableText"/>
              <w:tabs>
                <w:tab w:val="left" w:pos="3306"/>
              </w:tabs>
              <w:rPr>
                <w:rFonts w:cs="Calibri"/>
                <w:b/>
                <w:bCs/>
              </w:rPr>
            </w:pPr>
            <w:r w:rsidRPr="00167B16">
              <w:rPr>
                <w:rFonts w:cs="Calibri"/>
                <w:b/>
                <w:bCs/>
              </w:rPr>
              <w:t>Total Non-Current Inventories Held for Sale</w:t>
            </w:r>
          </w:p>
        </w:tc>
        <w:tc>
          <w:tcPr>
            <w:tcW w:w="810" w:type="pct"/>
            <w:tcBorders>
              <w:top w:val="single" w:sz="4" w:space="0" w:color="auto"/>
              <w:left w:val="nil"/>
              <w:bottom w:val="single" w:sz="4" w:space="0" w:color="auto"/>
              <w:right w:val="nil"/>
            </w:tcBorders>
            <w:vAlign w:val="bottom"/>
          </w:tcPr>
          <w:p w14:paraId="4A011D0A" w14:textId="77777777" w:rsidR="006B5DF1" w:rsidRPr="00167B16" w:rsidRDefault="006B5DF1" w:rsidP="006B5DF1">
            <w:pPr>
              <w:pStyle w:val="TableText"/>
              <w:tabs>
                <w:tab w:val="left" w:pos="3306"/>
              </w:tabs>
              <w:jc w:val="right"/>
              <w:rPr>
                <w:rFonts w:cs="Calibri"/>
                <w:b/>
                <w:bCs/>
              </w:rPr>
            </w:pPr>
          </w:p>
        </w:tc>
        <w:tc>
          <w:tcPr>
            <w:tcW w:w="744" w:type="pct"/>
            <w:gridSpan w:val="2"/>
            <w:tcBorders>
              <w:top w:val="single" w:sz="4" w:space="0" w:color="auto"/>
              <w:left w:val="nil"/>
              <w:bottom w:val="single" w:sz="4" w:space="0" w:color="auto"/>
              <w:right w:val="nil"/>
            </w:tcBorders>
            <w:vAlign w:val="bottom"/>
          </w:tcPr>
          <w:p w14:paraId="27C3DCB4" w14:textId="77777777" w:rsidR="006B5DF1" w:rsidRPr="00167B16" w:rsidRDefault="006B5DF1" w:rsidP="006B5DF1">
            <w:pPr>
              <w:pStyle w:val="TableText"/>
              <w:tabs>
                <w:tab w:val="left" w:pos="3306"/>
              </w:tabs>
              <w:jc w:val="right"/>
              <w:rPr>
                <w:rFonts w:cs="Calibri"/>
                <w:b/>
                <w:bCs/>
              </w:rPr>
            </w:pPr>
          </w:p>
        </w:tc>
      </w:tr>
      <w:tr w:rsidR="006B5DF1" w:rsidRPr="00DD296A" w14:paraId="17DF7DF9" w14:textId="77777777" w:rsidTr="005F5B4C">
        <w:trPr>
          <w:cantSplit/>
          <w:trHeight w:val="293"/>
        </w:trPr>
        <w:tc>
          <w:tcPr>
            <w:tcW w:w="745" w:type="pct"/>
            <w:tcBorders>
              <w:top w:val="nil"/>
              <w:left w:val="single" w:sz="2" w:space="0" w:color="auto"/>
              <w:bottom w:val="nil"/>
              <w:right w:val="single" w:sz="2" w:space="0" w:color="auto"/>
            </w:tcBorders>
            <w:vAlign w:val="bottom"/>
          </w:tcPr>
          <w:p w14:paraId="11FFB95D" w14:textId="77777777" w:rsidR="006B5DF1" w:rsidRPr="00167B16" w:rsidRDefault="006B5DF1" w:rsidP="00EF02BB">
            <w:pPr>
              <w:pStyle w:val="TableReference"/>
              <w:tabs>
                <w:tab w:val="left" w:pos="3306"/>
              </w:tabs>
              <w:spacing w:before="120"/>
              <w:rPr>
                <w:rFonts w:cs="Calibri"/>
                <w:color w:val="7030A0"/>
                <w:sz w:val="14"/>
              </w:rPr>
            </w:pPr>
            <w:r w:rsidRPr="00167B16">
              <w:rPr>
                <w:rFonts w:cs="Calibri"/>
                <w:color w:val="7030A0"/>
                <w:sz w:val="14"/>
              </w:rPr>
              <w:t>AASB 102.36(b)</w:t>
            </w:r>
          </w:p>
        </w:tc>
        <w:tc>
          <w:tcPr>
            <w:tcW w:w="2701" w:type="pct"/>
            <w:tcBorders>
              <w:top w:val="nil"/>
              <w:left w:val="single" w:sz="2" w:space="0" w:color="auto"/>
              <w:bottom w:val="nil"/>
              <w:right w:val="nil"/>
            </w:tcBorders>
            <w:vAlign w:val="bottom"/>
          </w:tcPr>
          <w:p w14:paraId="1A76CE27" w14:textId="1960D27F" w:rsidR="00515D1B" w:rsidRPr="00167B16" w:rsidRDefault="006B5DF1" w:rsidP="00EF02BB">
            <w:pPr>
              <w:pStyle w:val="TableText"/>
              <w:tabs>
                <w:tab w:val="left" w:pos="3306"/>
              </w:tabs>
              <w:spacing w:before="120"/>
              <w:rPr>
                <w:rFonts w:cs="Calibri"/>
                <w:b/>
                <w:bCs/>
              </w:rPr>
            </w:pPr>
            <w:r w:rsidRPr="00167B16">
              <w:rPr>
                <w:rFonts w:cs="Calibri"/>
                <w:b/>
                <w:bCs/>
              </w:rPr>
              <w:t>Total Inventories</w:t>
            </w:r>
          </w:p>
        </w:tc>
        <w:tc>
          <w:tcPr>
            <w:tcW w:w="810" w:type="pct"/>
            <w:tcBorders>
              <w:top w:val="single" w:sz="4" w:space="0" w:color="auto"/>
              <w:left w:val="nil"/>
              <w:bottom w:val="double" w:sz="4" w:space="0" w:color="auto"/>
              <w:right w:val="nil"/>
            </w:tcBorders>
            <w:vAlign w:val="bottom"/>
          </w:tcPr>
          <w:p w14:paraId="5ACF5C79" w14:textId="77777777" w:rsidR="006B5DF1" w:rsidRPr="00167B16" w:rsidRDefault="006B5DF1" w:rsidP="00EF02BB">
            <w:pPr>
              <w:pStyle w:val="TableText"/>
              <w:tabs>
                <w:tab w:val="left" w:pos="3306"/>
              </w:tabs>
              <w:spacing w:before="120"/>
              <w:jc w:val="right"/>
              <w:rPr>
                <w:rFonts w:cs="Calibri"/>
                <w:b/>
                <w:bCs/>
              </w:rPr>
            </w:pPr>
          </w:p>
        </w:tc>
        <w:tc>
          <w:tcPr>
            <w:tcW w:w="744" w:type="pct"/>
            <w:gridSpan w:val="2"/>
            <w:tcBorders>
              <w:top w:val="single" w:sz="4" w:space="0" w:color="auto"/>
              <w:left w:val="nil"/>
              <w:bottom w:val="double" w:sz="4" w:space="0" w:color="auto"/>
              <w:right w:val="nil"/>
            </w:tcBorders>
            <w:vAlign w:val="bottom"/>
          </w:tcPr>
          <w:p w14:paraId="601B7189" w14:textId="77777777" w:rsidR="006B5DF1" w:rsidRPr="00167B16" w:rsidRDefault="006B5DF1" w:rsidP="00EF02BB">
            <w:pPr>
              <w:pStyle w:val="TableText"/>
              <w:tabs>
                <w:tab w:val="left" w:pos="3306"/>
              </w:tabs>
              <w:spacing w:before="120"/>
              <w:jc w:val="right"/>
              <w:rPr>
                <w:rFonts w:cs="Calibri"/>
                <w:b/>
                <w:bCs/>
              </w:rPr>
            </w:pPr>
          </w:p>
        </w:tc>
      </w:tr>
      <w:tr w:rsidR="000B7404" w:rsidRPr="00DD296A" w14:paraId="4666A98F" w14:textId="77777777" w:rsidTr="005F5B4C">
        <w:trPr>
          <w:cantSplit/>
          <w:trHeight w:val="293"/>
        </w:trPr>
        <w:tc>
          <w:tcPr>
            <w:tcW w:w="745" w:type="pct"/>
            <w:tcBorders>
              <w:top w:val="nil"/>
              <w:left w:val="single" w:sz="2" w:space="0" w:color="auto"/>
              <w:bottom w:val="nil"/>
              <w:right w:val="single" w:sz="2" w:space="0" w:color="auto"/>
            </w:tcBorders>
            <w:vAlign w:val="bottom"/>
          </w:tcPr>
          <w:p w14:paraId="73C0E896" w14:textId="77777777" w:rsidR="000B7404" w:rsidRPr="00167B16" w:rsidRDefault="000B7404"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AA7AFBD" w14:textId="77777777" w:rsidR="000B7404" w:rsidRPr="00167B16" w:rsidRDefault="000B7404" w:rsidP="006B5DF1">
            <w:pPr>
              <w:pStyle w:val="TableText"/>
              <w:tabs>
                <w:tab w:val="left" w:pos="3306"/>
              </w:tabs>
              <w:rPr>
                <w:rFonts w:cs="Calibri"/>
                <w:b/>
                <w:bCs/>
              </w:rPr>
            </w:pPr>
          </w:p>
        </w:tc>
        <w:tc>
          <w:tcPr>
            <w:tcW w:w="810" w:type="pct"/>
            <w:tcBorders>
              <w:top w:val="double" w:sz="4" w:space="0" w:color="auto"/>
              <w:left w:val="nil"/>
              <w:bottom w:val="nil"/>
              <w:right w:val="nil"/>
            </w:tcBorders>
            <w:vAlign w:val="bottom"/>
          </w:tcPr>
          <w:p w14:paraId="1E0DB935" w14:textId="77777777" w:rsidR="000B7404" w:rsidRPr="00167B16" w:rsidRDefault="000B7404" w:rsidP="006B5DF1">
            <w:pPr>
              <w:pStyle w:val="TableText"/>
              <w:tabs>
                <w:tab w:val="left" w:pos="3306"/>
              </w:tabs>
              <w:jc w:val="right"/>
              <w:rPr>
                <w:rFonts w:cs="Calibri"/>
                <w:b/>
                <w:bCs/>
              </w:rPr>
            </w:pPr>
          </w:p>
        </w:tc>
        <w:tc>
          <w:tcPr>
            <w:tcW w:w="744" w:type="pct"/>
            <w:gridSpan w:val="2"/>
            <w:tcBorders>
              <w:top w:val="double" w:sz="4" w:space="0" w:color="auto"/>
              <w:left w:val="nil"/>
              <w:bottom w:val="nil"/>
              <w:right w:val="nil"/>
            </w:tcBorders>
            <w:vAlign w:val="bottom"/>
          </w:tcPr>
          <w:p w14:paraId="0F86EE0A" w14:textId="77777777" w:rsidR="000B7404" w:rsidRPr="00167B16" w:rsidRDefault="000B7404" w:rsidP="006B5DF1">
            <w:pPr>
              <w:pStyle w:val="TableText"/>
              <w:tabs>
                <w:tab w:val="left" w:pos="3306"/>
              </w:tabs>
              <w:jc w:val="right"/>
              <w:rPr>
                <w:rFonts w:cs="Calibri"/>
                <w:b/>
                <w:bCs/>
              </w:rPr>
            </w:pPr>
          </w:p>
        </w:tc>
      </w:tr>
      <w:tr w:rsidR="000B7404" w:rsidRPr="00DD296A" w14:paraId="2A17125B" w14:textId="77777777" w:rsidTr="005F5B4C">
        <w:trPr>
          <w:cantSplit/>
          <w:trHeight w:val="293"/>
        </w:trPr>
        <w:tc>
          <w:tcPr>
            <w:tcW w:w="745" w:type="pct"/>
            <w:tcBorders>
              <w:top w:val="nil"/>
              <w:left w:val="single" w:sz="2" w:space="0" w:color="auto"/>
              <w:bottom w:val="nil"/>
              <w:right w:val="single" w:sz="2" w:space="0" w:color="auto"/>
            </w:tcBorders>
            <w:vAlign w:val="bottom"/>
          </w:tcPr>
          <w:p w14:paraId="1C4B0F42" w14:textId="77777777" w:rsidR="000B7404" w:rsidRPr="00167B16" w:rsidRDefault="000B7404" w:rsidP="006B5DF1">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6951D1D" w14:textId="32123814" w:rsidR="000B7404" w:rsidRPr="00167B16" w:rsidRDefault="00115F4E" w:rsidP="006B5DF1">
            <w:pPr>
              <w:pStyle w:val="TableText"/>
              <w:tabs>
                <w:tab w:val="left" w:pos="3306"/>
              </w:tabs>
              <w:rPr>
                <w:rFonts w:cs="Calibri"/>
                <w:b/>
                <w:bCs/>
              </w:rPr>
            </w:pPr>
            <w:r w:rsidRPr="00167B16">
              <w:rPr>
                <w:b/>
                <w:bCs/>
              </w:rPr>
              <w:t>Reconciliation of Inventory</w:t>
            </w:r>
          </w:p>
        </w:tc>
        <w:tc>
          <w:tcPr>
            <w:tcW w:w="810" w:type="pct"/>
            <w:tcBorders>
              <w:top w:val="nil"/>
              <w:left w:val="nil"/>
              <w:bottom w:val="nil"/>
              <w:right w:val="nil"/>
            </w:tcBorders>
            <w:vAlign w:val="bottom"/>
          </w:tcPr>
          <w:p w14:paraId="218A959D" w14:textId="77777777" w:rsidR="000B7404" w:rsidRPr="00167B16" w:rsidRDefault="000B7404" w:rsidP="006B5DF1">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5C9A64BA" w14:textId="77777777" w:rsidR="000B7404" w:rsidRPr="00167B16" w:rsidRDefault="000B7404" w:rsidP="006B5DF1">
            <w:pPr>
              <w:pStyle w:val="TableText"/>
              <w:tabs>
                <w:tab w:val="left" w:pos="3306"/>
              </w:tabs>
              <w:jc w:val="right"/>
              <w:rPr>
                <w:rFonts w:cs="Calibri"/>
                <w:b/>
                <w:bCs/>
              </w:rPr>
            </w:pPr>
          </w:p>
        </w:tc>
      </w:tr>
      <w:tr w:rsidR="00FC69F0" w:rsidRPr="007E0503" w14:paraId="6EE929AF" w14:textId="77777777" w:rsidTr="005F5B4C">
        <w:trPr>
          <w:cantSplit/>
        </w:trPr>
        <w:tc>
          <w:tcPr>
            <w:tcW w:w="745" w:type="pct"/>
            <w:tcBorders>
              <w:top w:val="nil"/>
              <w:left w:val="single" w:sz="2" w:space="0" w:color="auto"/>
              <w:bottom w:val="nil"/>
              <w:right w:val="single" w:sz="2" w:space="0" w:color="auto"/>
            </w:tcBorders>
          </w:tcPr>
          <w:p w14:paraId="24878FEB"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7FA8FBD1" w14:textId="3AA68715" w:rsidR="00FC69F0" w:rsidRPr="00167B16" w:rsidRDefault="00FC69F0" w:rsidP="00FC69F0">
            <w:pPr>
              <w:pStyle w:val="TableText"/>
              <w:tabs>
                <w:tab w:val="left" w:pos="3306"/>
              </w:tabs>
              <w:rPr>
                <w:rFonts w:cs="Calibri"/>
                <w:b/>
                <w:bCs/>
              </w:rPr>
            </w:pPr>
            <w:r w:rsidRPr="00167B16">
              <w:rPr>
                <w:rFonts w:cs="Calibri"/>
                <w:b/>
                <w:bCs/>
              </w:rPr>
              <w:t>Cost of Sales</w:t>
            </w:r>
          </w:p>
        </w:tc>
        <w:tc>
          <w:tcPr>
            <w:tcW w:w="810" w:type="pct"/>
            <w:tcBorders>
              <w:top w:val="nil"/>
              <w:left w:val="nil"/>
              <w:bottom w:val="nil"/>
              <w:right w:val="nil"/>
            </w:tcBorders>
            <w:vAlign w:val="bottom"/>
          </w:tcPr>
          <w:p w14:paraId="10D16BC7"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D2065AB" w14:textId="77777777" w:rsidR="00FC69F0" w:rsidRPr="00167B16" w:rsidRDefault="00FC69F0" w:rsidP="00FC69F0">
            <w:pPr>
              <w:pStyle w:val="TableText"/>
              <w:tabs>
                <w:tab w:val="left" w:pos="3306"/>
              </w:tabs>
              <w:jc w:val="right"/>
              <w:rPr>
                <w:rFonts w:cs="Calibri"/>
                <w:b/>
                <w:bCs/>
              </w:rPr>
            </w:pPr>
          </w:p>
        </w:tc>
      </w:tr>
      <w:tr w:rsidR="00FC69F0" w:rsidRPr="007E0503" w14:paraId="5EFDEAF0" w14:textId="77777777" w:rsidTr="005F5B4C">
        <w:trPr>
          <w:cantSplit/>
        </w:trPr>
        <w:tc>
          <w:tcPr>
            <w:tcW w:w="745" w:type="pct"/>
            <w:tcBorders>
              <w:top w:val="nil"/>
              <w:left w:val="single" w:sz="2" w:space="0" w:color="auto"/>
              <w:bottom w:val="nil"/>
              <w:right w:val="single" w:sz="2" w:space="0" w:color="auto"/>
            </w:tcBorders>
          </w:tcPr>
          <w:p w14:paraId="24E543D1"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0A675FDA" w14:textId="1957D75C" w:rsidR="00FC69F0" w:rsidRPr="00167B16" w:rsidRDefault="00FC69F0" w:rsidP="00FC69F0">
            <w:pPr>
              <w:pStyle w:val="TableText"/>
              <w:tabs>
                <w:tab w:val="left" w:pos="3306"/>
              </w:tabs>
              <w:rPr>
                <w:rFonts w:cs="Calibri"/>
              </w:rPr>
            </w:pPr>
            <w:r w:rsidRPr="00167B16">
              <w:rPr>
                <w:rFonts w:cs="Calibri"/>
              </w:rPr>
              <w:t>Opening Inventory at the beginning of the Financial Year</w:t>
            </w:r>
          </w:p>
        </w:tc>
        <w:tc>
          <w:tcPr>
            <w:tcW w:w="810" w:type="pct"/>
            <w:tcBorders>
              <w:top w:val="nil"/>
              <w:left w:val="nil"/>
              <w:bottom w:val="nil"/>
              <w:right w:val="nil"/>
            </w:tcBorders>
            <w:vAlign w:val="bottom"/>
          </w:tcPr>
          <w:p w14:paraId="3AD4E724"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14B42BB8" w14:textId="77777777" w:rsidR="00FC69F0" w:rsidRPr="00167B16" w:rsidRDefault="00FC69F0" w:rsidP="00FC69F0">
            <w:pPr>
              <w:pStyle w:val="TableText"/>
              <w:tabs>
                <w:tab w:val="left" w:pos="3306"/>
              </w:tabs>
              <w:jc w:val="right"/>
              <w:rPr>
                <w:rFonts w:cs="Calibri"/>
                <w:b/>
                <w:bCs/>
              </w:rPr>
            </w:pPr>
          </w:p>
        </w:tc>
      </w:tr>
      <w:tr w:rsidR="00FC69F0" w:rsidRPr="007E0503" w14:paraId="149E9A7C" w14:textId="77777777" w:rsidTr="005F5B4C">
        <w:trPr>
          <w:cantSplit/>
        </w:trPr>
        <w:tc>
          <w:tcPr>
            <w:tcW w:w="745" w:type="pct"/>
            <w:tcBorders>
              <w:top w:val="nil"/>
              <w:left w:val="single" w:sz="2" w:space="0" w:color="auto"/>
              <w:bottom w:val="nil"/>
              <w:right w:val="single" w:sz="2" w:space="0" w:color="auto"/>
            </w:tcBorders>
          </w:tcPr>
          <w:p w14:paraId="02170FB9"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49C2D3EB" w14:textId="4B27407B" w:rsidR="00FC69F0" w:rsidRPr="00167B16" w:rsidRDefault="00FA7C77" w:rsidP="00651FC3">
            <w:pPr>
              <w:pStyle w:val="TableText"/>
              <w:tabs>
                <w:tab w:val="left" w:pos="3306"/>
              </w:tabs>
              <w:rPr>
                <w:rFonts w:cs="Calibri"/>
              </w:rPr>
            </w:pPr>
            <w:r>
              <w:rPr>
                <w:rFonts w:cs="Calibri"/>
              </w:rPr>
              <w:t xml:space="preserve">  </w:t>
            </w:r>
            <w:r w:rsidR="00651FC3" w:rsidRPr="00167B16">
              <w:rPr>
                <w:rFonts w:cs="Calibri"/>
              </w:rPr>
              <w:t xml:space="preserve"> - </w:t>
            </w:r>
            <w:r w:rsidR="00FF0A0E" w:rsidRPr="00167B16">
              <w:rPr>
                <w:rFonts w:cs="Calibri"/>
              </w:rPr>
              <w:t>Purchases</w:t>
            </w:r>
          </w:p>
        </w:tc>
        <w:tc>
          <w:tcPr>
            <w:tcW w:w="810" w:type="pct"/>
            <w:tcBorders>
              <w:top w:val="nil"/>
              <w:left w:val="nil"/>
              <w:bottom w:val="nil"/>
              <w:right w:val="nil"/>
            </w:tcBorders>
            <w:vAlign w:val="bottom"/>
          </w:tcPr>
          <w:p w14:paraId="5248C28D"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nil"/>
              <w:right w:val="nil"/>
            </w:tcBorders>
            <w:vAlign w:val="bottom"/>
          </w:tcPr>
          <w:p w14:paraId="4C5C8672" w14:textId="77777777" w:rsidR="00FC69F0" w:rsidRPr="00167B16" w:rsidRDefault="00FC69F0" w:rsidP="00FC69F0">
            <w:pPr>
              <w:pStyle w:val="TableText"/>
              <w:tabs>
                <w:tab w:val="left" w:pos="3306"/>
              </w:tabs>
              <w:jc w:val="right"/>
              <w:rPr>
                <w:rFonts w:cs="Calibri"/>
                <w:b/>
                <w:bCs/>
              </w:rPr>
            </w:pPr>
          </w:p>
        </w:tc>
      </w:tr>
      <w:tr w:rsidR="00FC69F0" w:rsidRPr="007E0503" w14:paraId="1DA93672" w14:textId="77777777" w:rsidTr="005F5B4C">
        <w:trPr>
          <w:cantSplit/>
        </w:trPr>
        <w:tc>
          <w:tcPr>
            <w:tcW w:w="745" w:type="pct"/>
            <w:tcBorders>
              <w:top w:val="nil"/>
              <w:left w:val="single" w:sz="2" w:space="0" w:color="auto"/>
              <w:bottom w:val="nil"/>
              <w:right w:val="single" w:sz="2" w:space="0" w:color="auto"/>
            </w:tcBorders>
          </w:tcPr>
          <w:p w14:paraId="5980C480" w14:textId="77777777" w:rsidR="00FC69F0" w:rsidRPr="00167B16" w:rsidRDefault="00FC69F0" w:rsidP="00FC69F0">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3BFF55E4" w14:textId="1D871716" w:rsidR="00FC69F0" w:rsidRPr="00167B16" w:rsidRDefault="00FA7C77" w:rsidP="00651FC3">
            <w:pPr>
              <w:pStyle w:val="TableText"/>
              <w:tabs>
                <w:tab w:val="left" w:pos="3306"/>
              </w:tabs>
              <w:rPr>
                <w:rFonts w:cs="Calibri"/>
              </w:rPr>
            </w:pPr>
            <w:r>
              <w:rPr>
                <w:rFonts w:cs="Calibri"/>
              </w:rPr>
              <w:t xml:space="preserve">  </w:t>
            </w:r>
            <w:r w:rsidR="00651FC3" w:rsidRPr="00167B16">
              <w:rPr>
                <w:rFonts w:cs="Calibri"/>
              </w:rPr>
              <w:t xml:space="preserve"> - </w:t>
            </w:r>
            <w:r w:rsidR="00FC69F0" w:rsidRPr="00167B16">
              <w:rPr>
                <w:rFonts w:cs="Calibri"/>
              </w:rPr>
              <w:t>Cost of Sales</w:t>
            </w:r>
          </w:p>
        </w:tc>
        <w:tc>
          <w:tcPr>
            <w:tcW w:w="810" w:type="pct"/>
            <w:tcBorders>
              <w:top w:val="nil"/>
              <w:left w:val="nil"/>
              <w:bottom w:val="single" w:sz="4" w:space="0" w:color="auto"/>
              <w:right w:val="nil"/>
            </w:tcBorders>
            <w:vAlign w:val="bottom"/>
          </w:tcPr>
          <w:p w14:paraId="4D8EDB2D" w14:textId="77777777" w:rsidR="00FC69F0" w:rsidRPr="00167B16" w:rsidRDefault="00FC69F0" w:rsidP="00FC69F0">
            <w:pPr>
              <w:pStyle w:val="TableText"/>
              <w:tabs>
                <w:tab w:val="left" w:pos="3306"/>
              </w:tabs>
              <w:jc w:val="right"/>
              <w:rPr>
                <w:rFonts w:cs="Calibri"/>
                <w:b/>
                <w:bCs/>
              </w:rPr>
            </w:pPr>
          </w:p>
        </w:tc>
        <w:tc>
          <w:tcPr>
            <w:tcW w:w="744" w:type="pct"/>
            <w:gridSpan w:val="2"/>
            <w:tcBorders>
              <w:top w:val="nil"/>
              <w:left w:val="nil"/>
              <w:bottom w:val="single" w:sz="4" w:space="0" w:color="auto"/>
              <w:right w:val="nil"/>
            </w:tcBorders>
            <w:vAlign w:val="bottom"/>
          </w:tcPr>
          <w:p w14:paraId="7C7B34E5" w14:textId="77777777" w:rsidR="00FC69F0" w:rsidRPr="00167B16" w:rsidRDefault="00FC69F0" w:rsidP="00FC69F0">
            <w:pPr>
              <w:pStyle w:val="TableText"/>
              <w:tabs>
                <w:tab w:val="left" w:pos="3306"/>
              </w:tabs>
              <w:jc w:val="right"/>
              <w:rPr>
                <w:rFonts w:cs="Calibri"/>
                <w:b/>
                <w:bCs/>
              </w:rPr>
            </w:pPr>
          </w:p>
        </w:tc>
      </w:tr>
      <w:tr w:rsidR="00092B55" w:rsidRPr="007E0503" w14:paraId="1F5890F7" w14:textId="77777777" w:rsidTr="005F5B4C">
        <w:trPr>
          <w:cantSplit/>
        </w:trPr>
        <w:tc>
          <w:tcPr>
            <w:tcW w:w="745" w:type="pct"/>
            <w:tcBorders>
              <w:top w:val="nil"/>
              <w:left w:val="single" w:sz="2" w:space="0" w:color="auto"/>
              <w:bottom w:val="nil"/>
              <w:right w:val="single" w:sz="2" w:space="0" w:color="auto"/>
            </w:tcBorders>
          </w:tcPr>
          <w:p w14:paraId="3D606638" w14:textId="15B5DF80" w:rsidR="00092B55" w:rsidRPr="00167B16" w:rsidRDefault="00092B55" w:rsidP="00092B55">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center"/>
          </w:tcPr>
          <w:p w14:paraId="363E582C" w14:textId="3F5384DE" w:rsidR="00092B55" w:rsidRPr="00167B16" w:rsidRDefault="00FA7C77" w:rsidP="007A35BC">
            <w:pPr>
              <w:pStyle w:val="TableText"/>
              <w:tabs>
                <w:tab w:val="left" w:pos="3306"/>
              </w:tabs>
              <w:rPr>
                <w:rFonts w:cs="Calibri"/>
              </w:rPr>
            </w:pPr>
            <w:r>
              <w:rPr>
                <w:rFonts w:cs="Calibri"/>
              </w:rPr>
              <w:t xml:space="preserve">  </w:t>
            </w:r>
            <w:r w:rsidR="007A35BC" w:rsidRPr="00167B16">
              <w:rPr>
                <w:rFonts w:cs="Calibri"/>
              </w:rPr>
              <w:t xml:space="preserve"> - </w:t>
            </w:r>
            <w:r w:rsidR="00092B55" w:rsidRPr="00167B16">
              <w:rPr>
                <w:rFonts w:cs="Calibri"/>
              </w:rPr>
              <w:t>Write-down in Inventory</w:t>
            </w:r>
          </w:p>
        </w:tc>
        <w:tc>
          <w:tcPr>
            <w:tcW w:w="810" w:type="pct"/>
            <w:tcBorders>
              <w:top w:val="single" w:sz="4" w:space="0" w:color="auto"/>
              <w:left w:val="nil"/>
              <w:bottom w:val="single" w:sz="4" w:space="0" w:color="auto"/>
              <w:right w:val="nil"/>
            </w:tcBorders>
            <w:vAlign w:val="bottom"/>
          </w:tcPr>
          <w:p w14:paraId="10C9640F" w14:textId="77777777" w:rsidR="00092B55" w:rsidRPr="00167B16" w:rsidRDefault="00092B55" w:rsidP="00092B55">
            <w:pPr>
              <w:pStyle w:val="TableText"/>
              <w:tabs>
                <w:tab w:val="left" w:pos="3306"/>
              </w:tabs>
              <w:jc w:val="right"/>
              <w:rPr>
                <w:rFonts w:cs="Calibri"/>
                <w:b/>
                <w:bCs/>
              </w:rPr>
            </w:pPr>
          </w:p>
        </w:tc>
        <w:tc>
          <w:tcPr>
            <w:tcW w:w="744" w:type="pct"/>
            <w:gridSpan w:val="2"/>
            <w:tcBorders>
              <w:top w:val="single" w:sz="4" w:space="0" w:color="auto"/>
              <w:left w:val="nil"/>
              <w:bottom w:val="single" w:sz="4" w:space="0" w:color="auto"/>
              <w:right w:val="nil"/>
            </w:tcBorders>
            <w:vAlign w:val="bottom"/>
          </w:tcPr>
          <w:p w14:paraId="19103F49" w14:textId="77777777" w:rsidR="00092B55" w:rsidRPr="00167B16" w:rsidRDefault="00092B55" w:rsidP="00092B55">
            <w:pPr>
              <w:pStyle w:val="TableText"/>
              <w:tabs>
                <w:tab w:val="left" w:pos="3306"/>
              </w:tabs>
              <w:jc w:val="right"/>
              <w:rPr>
                <w:rFonts w:cs="Calibri"/>
                <w:b/>
                <w:bCs/>
              </w:rPr>
            </w:pPr>
          </w:p>
        </w:tc>
      </w:tr>
      <w:tr w:rsidR="00092B55" w:rsidRPr="007E0503" w14:paraId="7D9CBD19" w14:textId="77777777" w:rsidTr="005F5B4C">
        <w:trPr>
          <w:cantSplit/>
        </w:trPr>
        <w:tc>
          <w:tcPr>
            <w:tcW w:w="745" w:type="pct"/>
            <w:tcBorders>
              <w:top w:val="nil"/>
              <w:left w:val="single" w:sz="2" w:space="0" w:color="auto"/>
              <w:bottom w:val="nil"/>
              <w:right w:val="single" w:sz="2" w:space="0" w:color="auto"/>
            </w:tcBorders>
          </w:tcPr>
          <w:p w14:paraId="324BAE2F" w14:textId="77777777" w:rsidR="00092B55" w:rsidRPr="00167B16" w:rsidRDefault="00092B55" w:rsidP="00092B55">
            <w:pPr>
              <w:pStyle w:val="TableReference"/>
              <w:tabs>
                <w:tab w:val="left" w:pos="3306"/>
              </w:tabs>
              <w:spacing w:before="40"/>
              <w:rPr>
                <w:rFonts w:cs="Calibri"/>
                <w:color w:val="7030A0"/>
                <w:sz w:val="14"/>
              </w:rPr>
            </w:pPr>
          </w:p>
        </w:tc>
        <w:tc>
          <w:tcPr>
            <w:tcW w:w="2701" w:type="pct"/>
            <w:tcBorders>
              <w:top w:val="nil"/>
              <w:left w:val="single" w:sz="2" w:space="0" w:color="auto"/>
              <w:bottom w:val="nil"/>
              <w:right w:val="nil"/>
            </w:tcBorders>
            <w:vAlign w:val="bottom"/>
          </w:tcPr>
          <w:p w14:paraId="1C66190B" w14:textId="6143AB73" w:rsidR="00092B55" w:rsidRPr="00167B16" w:rsidRDefault="00092B55" w:rsidP="00092B55">
            <w:pPr>
              <w:pStyle w:val="TableText"/>
              <w:tabs>
                <w:tab w:val="left" w:pos="3306"/>
              </w:tabs>
              <w:rPr>
                <w:rFonts w:cs="Calibri"/>
                <w:b/>
                <w:bCs/>
              </w:rPr>
            </w:pPr>
            <w:r w:rsidRPr="00167B16">
              <w:rPr>
                <w:rFonts w:cs="Calibri"/>
                <w:b/>
                <w:bCs/>
              </w:rPr>
              <w:t>Closing Inventory at the End of the Financial Year</w:t>
            </w:r>
          </w:p>
        </w:tc>
        <w:tc>
          <w:tcPr>
            <w:tcW w:w="810" w:type="pct"/>
            <w:tcBorders>
              <w:top w:val="single" w:sz="4" w:space="0" w:color="auto"/>
              <w:left w:val="nil"/>
              <w:bottom w:val="double" w:sz="4" w:space="0" w:color="auto"/>
              <w:right w:val="nil"/>
            </w:tcBorders>
            <w:vAlign w:val="bottom"/>
          </w:tcPr>
          <w:p w14:paraId="13DB77EA" w14:textId="77777777" w:rsidR="00092B55" w:rsidRPr="00167B16" w:rsidRDefault="00092B55" w:rsidP="00092B55">
            <w:pPr>
              <w:pStyle w:val="TableText"/>
              <w:tabs>
                <w:tab w:val="left" w:pos="3306"/>
              </w:tabs>
              <w:jc w:val="right"/>
              <w:rPr>
                <w:rFonts w:cs="Calibri"/>
                <w:b/>
                <w:bCs/>
              </w:rPr>
            </w:pPr>
          </w:p>
        </w:tc>
        <w:tc>
          <w:tcPr>
            <w:tcW w:w="744" w:type="pct"/>
            <w:gridSpan w:val="2"/>
            <w:tcBorders>
              <w:top w:val="single" w:sz="4" w:space="0" w:color="auto"/>
              <w:left w:val="nil"/>
              <w:bottom w:val="double" w:sz="4" w:space="0" w:color="auto"/>
              <w:right w:val="nil"/>
            </w:tcBorders>
            <w:vAlign w:val="bottom"/>
          </w:tcPr>
          <w:p w14:paraId="65941955" w14:textId="77777777" w:rsidR="00092B55" w:rsidRPr="00167B16" w:rsidRDefault="00092B55" w:rsidP="00092B55">
            <w:pPr>
              <w:pStyle w:val="TableText"/>
              <w:tabs>
                <w:tab w:val="left" w:pos="3306"/>
              </w:tabs>
              <w:jc w:val="right"/>
              <w:rPr>
                <w:rFonts w:cs="Calibri"/>
                <w:b/>
                <w:bCs/>
              </w:rPr>
            </w:pPr>
          </w:p>
        </w:tc>
      </w:tr>
    </w:tbl>
    <w:p w14:paraId="578CD16D" w14:textId="77777777" w:rsidR="00F22D61" w:rsidRDefault="00F22D61">
      <w:r>
        <w:br w:type="page"/>
      </w:r>
    </w:p>
    <w:tbl>
      <w:tblPr>
        <w:tblW w:w="627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669"/>
        <w:gridCol w:w="1701"/>
        <w:gridCol w:w="1563"/>
        <w:gridCol w:w="1170"/>
        <w:gridCol w:w="1165"/>
      </w:tblGrid>
      <w:tr w:rsidR="00F22D61" w:rsidRPr="00CF7E1B" w14:paraId="29A5C269" w14:textId="77777777" w:rsidTr="005F5B4C">
        <w:trPr>
          <w:gridAfter w:val="2"/>
          <w:wAfter w:w="910" w:type="pct"/>
        </w:trPr>
        <w:tc>
          <w:tcPr>
            <w:tcW w:w="609" w:type="pct"/>
            <w:tcBorders>
              <w:top w:val="nil"/>
              <w:left w:val="single" w:sz="2" w:space="0" w:color="auto"/>
              <w:bottom w:val="nil"/>
              <w:right w:val="single" w:sz="2" w:space="0" w:color="auto"/>
            </w:tcBorders>
          </w:tcPr>
          <w:p w14:paraId="710C5C92" w14:textId="77777777" w:rsidR="00F22D61" w:rsidRPr="00167B16" w:rsidRDefault="00F22D61" w:rsidP="00DA5473">
            <w:pPr>
              <w:pStyle w:val="TableReference"/>
              <w:tabs>
                <w:tab w:val="left" w:pos="3306"/>
              </w:tabs>
              <w:spacing w:before="240" w:after="240"/>
              <w:rPr>
                <w:rFonts w:cs="Calibri"/>
                <w:color w:val="7030A0"/>
                <w:sz w:val="22"/>
                <w:szCs w:val="22"/>
              </w:rPr>
            </w:pPr>
            <w:r w:rsidRPr="00167B16">
              <w:rPr>
                <w:rFonts w:cs="Calibri"/>
                <w:b/>
                <w:color w:val="7030A0"/>
                <w:sz w:val="22"/>
                <w:szCs w:val="22"/>
              </w:rPr>
              <w:t>Reference</w:t>
            </w:r>
          </w:p>
        </w:tc>
        <w:tc>
          <w:tcPr>
            <w:tcW w:w="3481" w:type="pct"/>
            <w:gridSpan w:val="3"/>
            <w:tcBorders>
              <w:top w:val="nil"/>
              <w:left w:val="single" w:sz="2" w:space="0" w:color="auto"/>
              <w:bottom w:val="nil"/>
              <w:right w:val="nil"/>
            </w:tcBorders>
            <w:vAlign w:val="bottom"/>
          </w:tcPr>
          <w:p w14:paraId="024845AD" w14:textId="77777777" w:rsidR="00F22D61" w:rsidRPr="000C75E5" w:rsidRDefault="00F22D61" w:rsidP="00DA5473">
            <w:pPr>
              <w:pStyle w:val="Heading1"/>
              <w:numPr>
                <w:ilvl w:val="0"/>
                <w:numId w:val="0"/>
              </w:numPr>
            </w:pPr>
            <w:bookmarkStart w:id="516" w:name="_Toc98763118"/>
            <w:r w:rsidRPr="00167B16">
              <w:t>Note 17.</w:t>
            </w:r>
            <w:r>
              <w:t xml:space="preserve">  </w:t>
            </w:r>
            <w:r w:rsidRPr="00167B16">
              <w:t xml:space="preserve"> Inventories</w:t>
            </w:r>
            <w:r>
              <w:t xml:space="preserve"> – Continued</w:t>
            </w:r>
            <w:bookmarkEnd w:id="516"/>
            <w:r>
              <w:t xml:space="preserve"> </w:t>
            </w:r>
          </w:p>
        </w:tc>
      </w:tr>
      <w:tr w:rsidR="00F22D61" w:rsidRPr="00DD296A" w14:paraId="4F6D1A6E" w14:textId="77777777" w:rsidTr="00BD1DCB">
        <w:trPr>
          <w:gridAfter w:val="2"/>
          <w:wAfter w:w="910" w:type="pct"/>
          <w:trHeight w:val="23"/>
        </w:trPr>
        <w:tc>
          <w:tcPr>
            <w:tcW w:w="609" w:type="pct"/>
            <w:tcBorders>
              <w:top w:val="nil"/>
              <w:left w:val="single" w:sz="2" w:space="0" w:color="auto"/>
              <w:bottom w:val="nil"/>
              <w:right w:val="single" w:sz="2" w:space="0" w:color="auto"/>
            </w:tcBorders>
          </w:tcPr>
          <w:p w14:paraId="72F84250" w14:textId="77777777" w:rsidR="00F22D61" w:rsidRPr="00167B16" w:rsidRDefault="00F22D61" w:rsidP="00DA5473">
            <w:pPr>
              <w:pStyle w:val="TableReference"/>
              <w:tabs>
                <w:tab w:val="left" w:pos="3306"/>
              </w:tabs>
              <w:spacing w:before="40"/>
              <w:rPr>
                <w:rFonts w:cs="Calibri"/>
                <w:color w:val="7030A0"/>
                <w:sz w:val="16"/>
                <w:szCs w:val="16"/>
              </w:rPr>
            </w:pPr>
          </w:p>
        </w:tc>
        <w:tc>
          <w:tcPr>
            <w:tcW w:w="2209" w:type="pct"/>
            <w:tcBorders>
              <w:top w:val="nil"/>
              <w:left w:val="single" w:sz="2" w:space="0" w:color="auto"/>
              <w:bottom w:val="nil"/>
              <w:right w:val="nil"/>
            </w:tcBorders>
          </w:tcPr>
          <w:p w14:paraId="3914F0E6" w14:textId="77777777" w:rsidR="00F22D61" w:rsidRPr="00167B16" w:rsidRDefault="00F22D61" w:rsidP="00DA5473">
            <w:pPr>
              <w:pStyle w:val="TableText"/>
              <w:tabs>
                <w:tab w:val="left" w:pos="3306"/>
              </w:tabs>
              <w:rPr>
                <w:rFonts w:cs="Calibri"/>
                <w:b/>
                <w:bCs/>
              </w:rPr>
            </w:pPr>
            <w:r w:rsidRPr="00167B16">
              <w:rPr>
                <w:rFonts w:cs="Calibri"/>
                <w:b/>
                <w:bCs/>
              </w:rPr>
              <w:t xml:space="preserve"> </w:t>
            </w:r>
          </w:p>
        </w:tc>
        <w:tc>
          <w:tcPr>
            <w:tcW w:w="663" w:type="pct"/>
            <w:tcBorders>
              <w:top w:val="nil"/>
              <w:left w:val="nil"/>
              <w:bottom w:val="nil"/>
              <w:right w:val="nil"/>
            </w:tcBorders>
            <w:vAlign w:val="bottom"/>
          </w:tcPr>
          <w:p w14:paraId="736A6884" w14:textId="77777777" w:rsidR="00F22D61" w:rsidRPr="00167B16" w:rsidRDefault="00F22D61" w:rsidP="00DA5473">
            <w:pPr>
              <w:pStyle w:val="TableText"/>
              <w:tabs>
                <w:tab w:val="left" w:pos="3306"/>
              </w:tabs>
              <w:jc w:val="right"/>
              <w:rPr>
                <w:rFonts w:cs="Calibri"/>
                <w:b/>
                <w:bCs/>
              </w:rPr>
            </w:pPr>
            <w:r w:rsidRPr="00167B16">
              <w:rPr>
                <w:rFonts w:cs="Calibri"/>
                <w:b/>
                <w:bCs/>
              </w:rPr>
              <w:t xml:space="preserve">2022 </w:t>
            </w:r>
          </w:p>
          <w:p w14:paraId="54387C4C" w14:textId="77777777" w:rsidR="00F22D61" w:rsidRPr="00167B16" w:rsidRDefault="00F22D61" w:rsidP="00DA5473">
            <w:pPr>
              <w:pStyle w:val="TableText"/>
              <w:tabs>
                <w:tab w:val="left" w:pos="3306"/>
              </w:tabs>
              <w:jc w:val="right"/>
              <w:rPr>
                <w:rFonts w:cs="Calibri"/>
                <w:b/>
                <w:bCs/>
              </w:rPr>
            </w:pPr>
            <w:r w:rsidRPr="00167B16">
              <w:rPr>
                <w:rFonts w:cs="Calibri"/>
                <w:b/>
                <w:bCs/>
              </w:rPr>
              <w:t>$’000</w:t>
            </w:r>
          </w:p>
        </w:tc>
        <w:tc>
          <w:tcPr>
            <w:tcW w:w="609" w:type="pct"/>
            <w:tcBorders>
              <w:top w:val="nil"/>
              <w:left w:val="nil"/>
              <w:bottom w:val="nil"/>
              <w:right w:val="nil"/>
            </w:tcBorders>
            <w:vAlign w:val="bottom"/>
          </w:tcPr>
          <w:p w14:paraId="160562A1" w14:textId="77777777" w:rsidR="00F22D61" w:rsidRPr="00167B16" w:rsidRDefault="00F22D61" w:rsidP="00DA5473">
            <w:pPr>
              <w:pStyle w:val="TableText"/>
              <w:tabs>
                <w:tab w:val="left" w:pos="3306"/>
              </w:tabs>
              <w:jc w:val="right"/>
              <w:rPr>
                <w:rFonts w:cs="Calibri"/>
                <w:b/>
                <w:bCs/>
              </w:rPr>
            </w:pPr>
            <w:r w:rsidRPr="00167B16">
              <w:rPr>
                <w:rFonts w:cs="Calibri"/>
                <w:b/>
                <w:bCs/>
              </w:rPr>
              <w:t>2021</w:t>
            </w:r>
          </w:p>
          <w:p w14:paraId="67A566FE" w14:textId="77777777" w:rsidR="00F22D61" w:rsidRPr="00167B16" w:rsidRDefault="00F22D61" w:rsidP="00DA5473">
            <w:pPr>
              <w:pStyle w:val="TableText"/>
              <w:tabs>
                <w:tab w:val="left" w:pos="3306"/>
              </w:tabs>
              <w:jc w:val="right"/>
              <w:rPr>
                <w:rFonts w:cs="Calibri"/>
                <w:b/>
                <w:bCs/>
              </w:rPr>
            </w:pPr>
            <w:r w:rsidRPr="00167B16">
              <w:rPr>
                <w:rFonts w:cs="Calibri"/>
                <w:b/>
                <w:bCs/>
              </w:rPr>
              <w:t>$’000</w:t>
            </w:r>
          </w:p>
        </w:tc>
      </w:tr>
      <w:tr w:rsidR="00092B55" w:rsidRPr="007E0503" w14:paraId="5CCEADF5" w14:textId="77777777" w:rsidTr="005F5B4C">
        <w:trPr>
          <w:gridAfter w:val="2"/>
          <w:wAfter w:w="910" w:type="pct"/>
        </w:trPr>
        <w:tc>
          <w:tcPr>
            <w:tcW w:w="609" w:type="pct"/>
            <w:tcBorders>
              <w:top w:val="nil"/>
              <w:left w:val="single" w:sz="2" w:space="0" w:color="auto"/>
              <w:bottom w:val="nil"/>
              <w:right w:val="single" w:sz="2" w:space="0" w:color="auto"/>
            </w:tcBorders>
          </w:tcPr>
          <w:p w14:paraId="12626910" w14:textId="5E074271"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6465367E" w14:textId="77777777" w:rsidR="00092B55" w:rsidRPr="00167B16" w:rsidRDefault="00092B55" w:rsidP="00092B55">
            <w:pPr>
              <w:pStyle w:val="TableText"/>
              <w:tabs>
                <w:tab w:val="left" w:pos="3306"/>
              </w:tabs>
              <w:rPr>
                <w:rFonts w:cs="Calibri"/>
                <w:b/>
                <w:bCs/>
              </w:rPr>
            </w:pPr>
            <w:r w:rsidRPr="00167B16">
              <w:rPr>
                <w:rFonts w:cs="Calibri"/>
                <w:b/>
                <w:bCs/>
              </w:rPr>
              <w:t>Cost of Distribution</w:t>
            </w:r>
          </w:p>
        </w:tc>
        <w:tc>
          <w:tcPr>
            <w:tcW w:w="663" w:type="pct"/>
            <w:tcBorders>
              <w:top w:val="nil"/>
              <w:left w:val="nil"/>
              <w:bottom w:val="nil"/>
              <w:right w:val="nil"/>
            </w:tcBorders>
            <w:vAlign w:val="bottom"/>
          </w:tcPr>
          <w:p w14:paraId="19E87C02"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06EA125A" w14:textId="77777777" w:rsidR="00092B55" w:rsidRPr="00167B16" w:rsidRDefault="00092B55" w:rsidP="00092B55">
            <w:pPr>
              <w:pStyle w:val="TableText"/>
              <w:tabs>
                <w:tab w:val="left" w:pos="3306"/>
              </w:tabs>
              <w:jc w:val="right"/>
              <w:rPr>
                <w:rFonts w:cs="Calibri"/>
                <w:b/>
                <w:bCs/>
              </w:rPr>
            </w:pPr>
          </w:p>
        </w:tc>
      </w:tr>
      <w:tr w:rsidR="00092B55" w:rsidRPr="007E0503" w14:paraId="12CED9C6" w14:textId="77777777" w:rsidTr="005F5B4C">
        <w:trPr>
          <w:gridAfter w:val="2"/>
          <w:wAfter w:w="910" w:type="pct"/>
        </w:trPr>
        <w:tc>
          <w:tcPr>
            <w:tcW w:w="609" w:type="pct"/>
            <w:tcBorders>
              <w:top w:val="nil"/>
              <w:left w:val="single" w:sz="2" w:space="0" w:color="auto"/>
              <w:bottom w:val="nil"/>
              <w:right w:val="single" w:sz="2" w:space="0" w:color="auto"/>
            </w:tcBorders>
          </w:tcPr>
          <w:p w14:paraId="7FF470BC"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5F95C93E" w14:textId="2693CC74" w:rsidR="00092B55" w:rsidRPr="00167B16" w:rsidRDefault="00092B55" w:rsidP="00092B55">
            <w:pPr>
              <w:pStyle w:val="TableText"/>
              <w:tabs>
                <w:tab w:val="left" w:pos="3306"/>
              </w:tabs>
              <w:rPr>
                <w:rFonts w:cs="Calibri"/>
              </w:rPr>
            </w:pPr>
            <w:r w:rsidRPr="00167B16">
              <w:rPr>
                <w:rFonts w:cs="Calibri"/>
              </w:rPr>
              <w:t>Opening Inventory at the beginning of the Financial Year</w:t>
            </w:r>
          </w:p>
        </w:tc>
        <w:tc>
          <w:tcPr>
            <w:tcW w:w="663" w:type="pct"/>
            <w:tcBorders>
              <w:top w:val="nil"/>
              <w:left w:val="nil"/>
              <w:bottom w:val="nil"/>
              <w:right w:val="nil"/>
            </w:tcBorders>
            <w:vAlign w:val="bottom"/>
          </w:tcPr>
          <w:p w14:paraId="10562D90"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551E9F37" w14:textId="77777777" w:rsidR="00092B55" w:rsidRPr="00167B16" w:rsidRDefault="00092B55" w:rsidP="00092B55">
            <w:pPr>
              <w:pStyle w:val="TableText"/>
              <w:tabs>
                <w:tab w:val="left" w:pos="3306"/>
              </w:tabs>
              <w:jc w:val="right"/>
              <w:rPr>
                <w:rFonts w:cs="Calibri"/>
                <w:b/>
                <w:bCs/>
              </w:rPr>
            </w:pPr>
          </w:p>
        </w:tc>
      </w:tr>
      <w:tr w:rsidR="00092B55" w:rsidRPr="007E0503" w14:paraId="6842DE4B" w14:textId="77777777" w:rsidTr="005F5B4C">
        <w:trPr>
          <w:gridAfter w:val="2"/>
          <w:wAfter w:w="910" w:type="pct"/>
        </w:trPr>
        <w:tc>
          <w:tcPr>
            <w:tcW w:w="609" w:type="pct"/>
            <w:tcBorders>
              <w:top w:val="nil"/>
              <w:left w:val="single" w:sz="2" w:space="0" w:color="auto"/>
              <w:bottom w:val="nil"/>
              <w:right w:val="single" w:sz="2" w:space="0" w:color="auto"/>
            </w:tcBorders>
          </w:tcPr>
          <w:p w14:paraId="47D6968B"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0E5A1C74" w14:textId="096F0530"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w:t>
            </w:r>
            <w:r w:rsidR="00FF0A0E" w:rsidRPr="00167B16">
              <w:rPr>
                <w:rFonts w:cs="Calibri"/>
              </w:rPr>
              <w:t>Purchases</w:t>
            </w:r>
          </w:p>
        </w:tc>
        <w:tc>
          <w:tcPr>
            <w:tcW w:w="663" w:type="pct"/>
            <w:tcBorders>
              <w:top w:val="nil"/>
              <w:left w:val="nil"/>
              <w:bottom w:val="nil"/>
              <w:right w:val="nil"/>
            </w:tcBorders>
            <w:vAlign w:val="bottom"/>
          </w:tcPr>
          <w:p w14:paraId="32024C55"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1D372994" w14:textId="77777777" w:rsidR="00092B55" w:rsidRPr="00167B16" w:rsidRDefault="00092B55" w:rsidP="00092B55">
            <w:pPr>
              <w:pStyle w:val="TableText"/>
              <w:tabs>
                <w:tab w:val="left" w:pos="3306"/>
              </w:tabs>
              <w:jc w:val="right"/>
              <w:rPr>
                <w:rFonts w:cs="Calibri"/>
                <w:b/>
                <w:bCs/>
              </w:rPr>
            </w:pPr>
          </w:p>
        </w:tc>
      </w:tr>
      <w:tr w:rsidR="00092B55" w:rsidRPr="007E0503" w14:paraId="3CD38869" w14:textId="77777777" w:rsidTr="005F5B4C">
        <w:trPr>
          <w:gridAfter w:val="2"/>
          <w:wAfter w:w="910" w:type="pct"/>
        </w:trPr>
        <w:tc>
          <w:tcPr>
            <w:tcW w:w="609" w:type="pct"/>
            <w:tcBorders>
              <w:top w:val="nil"/>
              <w:left w:val="single" w:sz="2" w:space="0" w:color="auto"/>
              <w:bottom w:val="nil"/>
              <w:right w:val="single" w:sz="2" w:space="0" w:color="auto"/>
            </w:tcBorders>
          </w:tcPr>
          <w:p w14:paraId="121394DC" w14:textId="68EBCE93" w:rsidR="00092B55" w:rsidRPr="00167B16" w:rsidRDefault="00092B55" w:rsidP="00092B55">
            <w:pPr>
              <w:pStyle w:val="TableReference"/>
              <w:tabs>
                <w:tab w:val="left" w:pos="3306"/>
              </w:tabs>
              <w:spacing w:before="40"/>
              <w:rPr>
                <w:color w:val="7030A0"/>
                <w:sz w:val="14"/>
              </w:rPr>
            </w:pPr>
            <w:r w:rsidRPr="00167B16">
              <w:rPr>
                <w:color w:val="7030A0"/>
                <w:sz w:val="14"/>
              </w:rPr>
              <w:t>AASB 102.Aus 36.1(c)</w:t>
            </w:r>
          </w:p>
        </w:tc>
        <w:tc>
          <w:tcPr>
            <w:tcW w:w="2209" w:type="pct"/>
            <w:tcBorders>
              <w:top w:val="nil"/>
              <w:left w:val="single" w:sz="2" w:space="0" w:color="auto"/>
              <w:bottom w:val="nil"/>
              <w:right w:val="nil"/>
            </w:tcBorders>
          </w:tcPr>
          <w:p w14:paraId="1442753F" w14:textId="3E2FD3C9"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Cost of Distribution</w:t>
            </w:r>
          </w:p>
        </w:tc>
        <w:tc>
          <w:tcPr>
            <w:tcW w:w="663" w:type="pct"/>
            <w:tcBorders>
              <w:top w:val="nil"/>
              <w:left w:val="nil"/>
              <w:bottom w:val="single" w:sz="4" w:space="0" w:color="auto"/>
              <w:right w:val="nil"/>
            </w:tcBorders>
            <w:vAlign w:val="bottom"/>
          </w:tcPr>
          <w:p w14:paraId="5498A3A3"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single" w:sz="4" w:space="0" w:color="auto"/>
              <w:right w:val="nil"/>
            </w:tcBorders>
            <w:vAlign w:val="bottom"/>
          </w:tcPr>
          <w:p w14:paraId="7ECA956E" w14:textId="77777777" w:rsidR="00092B55" w:rsidRPr="00167B16" w:rsidRDefault="00092B55" w:rsidP="00092B55">
            <w:pPr>
              <w:pStyle w:val="TableText"/>
              <w:tabs>
                <w:tab w:val="left" w:pos="3306"/>
              </w:tabs>
              <w:jc w:val="right"/>
              <w:rPr>
                <w:rFonts w:cs="Calibri"/>
                <w:b/>
                <w:bCs/>
              </w:rPr>
            </w:pPr>
          </w:p>
        </w:tc>
      </w:tr>
      <w:tr w:rsidR="00092B55" w:rsidRPr="007E0503" w14:paraId="796DF762" w14:textId="77777777" w:rsidTr="005F5B4C">
        <w:trPr>
          <w:gridAfter w:val="2"/>
          <w:wAfter w:w="910" w:type="pct"/>
        </w:trPr>
        <w:tc>
          <w:tcPr>
            <w:tcW w:w="609" w:type="pct"/>
            <w:tcBorders>
              <w:top w:val="nil"/>
              <w:left w:val="single" w:sz="2" w:space="0" w:color="auto"/>
              <w:bottom w:val="nil"/>
              <w:right w:val="single" w:sz="2" w:space="0" w:color="auto"/>
            </w:tcBorders>
          </w:tcPr>
          <w:p w14:paraId="35D1846E" w14:textId="77777777"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tcPr>
          <w:p w14:paraId="41D23917" w14:textId="639004A6" w:rsidR="00092B55" w:rsidRPr="00167B16" w:rsidRDefault="00FA7C77" w:rsidP="00092B55">
            <w:pPr>
              <w:pStyle w:val="TableText"/>
              <w:tabs>
                <w:tab w:val="left" w:pos="3306"/>
              </w:tabs>
              <w:rPr>
                <w:rFonts w:cs="Calibri"/>
              </w:rPr>
            </w:pPr>
            <w:r>
              <w:rPr>
                <w:rFonts w:cs="Calibri"/>
              </w:rPr>
              <w:t xml:space="preserve">  </w:t>
            </w:r>
            <w:r w:rsidR="00092B55" w:rsidRPr="00167B16">
              <w:rPr>
                <w:rFonts w:cs="Calibri"/>
              </w:rPr>
              <w:t xml:space="preserve"> - Loss of Service Potential</w:t>
            </w:r>
          </w:p>
        </w:tc>
        <w:tc>
          <w:tcPr>
            <w:tcW w:w="663" w:type="pct"/>
            <w:tcBorders>
              <w:top w:val="single" w:sz="4" w:space="0" w:color="auto"/>
              <w:left w:val="nil"/>
              <w:bottom w:val="single" w:sz="4" w:space="0" w:color="auto"/>
              <w:right w:val="nil"/>
            </w:tcBorders>
            <w:vAlign w:val="bottom"/>
          </w:tcPr>
          <w:p w14:paraId="38E50BFC" w14:textId="77777777" w:rsidR="00092B55" w:rsidRPr="00167B16" w:rsidRDefault="00092B55" w:rsidP="00092B55">
            <w:pPr>
              <w:pStyle w:val="TableText"/>
              <w:tabs>
                <w:tab w:val="left" w:pos="3306"/>
              </w:tabs>
              <w:jc w:val="right"/>
              <w:rPr>
                <w:rFonts w:cs="Calibri"/>
                <w:b/>
                <w:bCs/>
              </w:rPr>
            </w:pPr>
          </w:p>
        </w:tc>
        <w:tc>
          <w:tcPr>
            <w:tcW w:w="609" w:type="pct"/>
            <w:tcBorders>
              <w:top w:val="single" w:sz="4" w:space="0" w:color="auto"/>
              <w:left w:val="nil"/>
              <w:bottom w:val="single" w:sz="4" w:space="0" w:color="auto"/>
              <w:right w:val="nil"/>
            </w:tcBorders>
            <w:vAlign w:val="bottom"/>
          </w:tcPr>
          <w:p w14:paraId="46099A37" w14:textId="77777777" w:rsidR="00092B55" w:rsidRPr="00167B16" w:rsidRDefault="00092B55" w:rsidP="00092B55">
            <w:pPr>
              <w:pStyle w:val="TableText"/>
              <w:tabs>
                <w:tab w:val="left" w:pos="3306"/>
              </w:tabs>
              <w:jc w:val="right"/>
              <w:rPr>
                <w:rFonts w:cs="Calibri"/>
                <w:b/>
                <w:bCs/>
              </w:rPr>
            </w:pPr>
          </w:p>
        </w:tc>
      </w:tr>
      <w:tr w:rsidR="00092B55" w:rsidRPr="007E0503" w14:paraId="46B318BA" w14:textId="77777777" w:rsidTr="005F5B4C">
        <w:trPr>
          <w:gridAfter w:val="2"/>
          <w:wAfter w:w="910" w:type="pct"/>
        </w:trPr>
        <w:tc>
          <w:tcPr>
            <w:tcW w:w="609" w:type="pct"/>
            <w:tcBorders>
              <w:top w:val="nil"/>
              <w:left w:val="single" w:sz="2" w:space="0" w:color="auto"/>
              <w:bottom w:val="nil"/>
              <w:right w:val="single" w:sz="2" w:space="0" w:color="auto"/>
            </w:tcBorders>
          </w:tcPr>
          <w:p w14:paraId="24853DC6" w14:textId="78D044C9" w:rsidR="00092B55" w:rsidRPr="00167B16" w:rsidRDefault="00092B55" w:rsidP="00092B55">
            <w:pPr>
              <w:pStyle w:val="TableReference"/>
              <w:tabs>
                <w:tab w:val="left" w:pos="3306"/>
              </w:tabs>
              <w:spacing w:before="40"/>
              <w:rPr>
                <w:color w:val="7030A0"/>
                <w:sz w:val="14"/>
              </w:rPr>
            </w:pPr>
          </w:p>
        </w:tc>
        <w:tc>
          <w:tcPr>
            <w:tcW w:w="2209" w:type="pct"/>
            <w:tcBorders>
              <w:top w:val="nil"/>
              <w:left w:val="single" w:sz="2" w:space="0" w:color="auto"/>
              <w:bottom w:val="nil"/>
              <w:right w:val="nil"/>
            </w:tcBorders>
            <w:vAlign w:val="bottom"/>
          </w:tcPr>
          <w:p w14:paraId="269F9B4A" w14:textId="2CB0B8FE" w:rsidR="00092B55" w:rsidRPr="00167B16" w:rsidRDefault="00092B55" w:rsidP="00092B55">
            <w:pPr>
              <w:pStyle w:val="TableText"/>
              <w:tabs>
                <w:tab w:val="left" w:pos="3306"/>
              </w:tabs>
              <w:rPr>
                <w:rFonts w:cs="Calibri"/>
              </w:rPr>
            </w:pPr>
            <w:r w:rsidRPr="00167B16">
              <w:rPr>
                <w:rFonts w:cs="Calibri"/>
                <w:b/>
                <w:bCs/>
              </w:rPr>
              <w:t>Closing Inventory at the End of the Financial Year</w:t>
            </w:r>
          </w:p>
        </w:tc>
        <w:tc>
          <w:tcPr>
            <w:tcW w:w="663" w:type="pct"/>
            <w:tcBorders>
              <w:top w:val="single" w:sz="4" w:space="0" w:color="auto"/>
              <w:left w:val="nil"/>
              <w:bottom w:val="double" w:sz="4" w:space="0" w:color="auto"/>
              <w:right w:val="nil"/>
            </w:tcBorders>
            <w:vAlign w:val="bottom"/>
          </w:tcPr>
          <w:p w14:paraId="54152EDD" w14:textId="77777777" w:rsidR="00092B55" w:rsidRPr="00167B16" w:rsidRDefault="00092B55" w:rsidP="00092B55">
            <w:pPr>
              <w:pStyle w:val="TableText"/>
              <w:tabs>
                <w:tab w:val="left" w:pos="3306"/>
              </w:tabs>
              <w:jc w:val="right"/>
              <w:rPr>
                <w:rFonts w:cs="Calibri"/>
                <w:b/>
                <w:bCs/>
              </w:rPr>
            </w:pPr>
          </w:p>
        </w:tc>
        <w:tc>
          <w:tcPr>
            <w:tcW w:w="609" w:type="pct"/>
            <w:tcBorders>
              <w:top w:val="single" w:sz="4" w:space="0" w:color="auto"/>
              <w:left w:val="nil"/>
              <w:bottom w:val="double" w:sz="4" w:space="0" w:color="auto"/>
              <w:right w:val="nil"/>
            </w:tcBorders>
            <w:vAlign w:val="bottom"/>
          </w:tcPr>
          <w:p w14:paraId="4BB3AAFA" w14:textId="77777777" w:rsidR="00092B55" w:rsidRPr="00167B16" w:rsidRDefault="00092B55" w:rsidP="00092B55">
            <w:pPr>
              <w:pStyle w:val="TableText"/>
              <w:tabs>
                <w:tab w:val="left" w:pos="3306"/>
              </w:tabs>
              <w:jc w:val="right"/>
              <w:rPr>
                <w:rFonts w:cs="Calibri"/>
                <w:b/>
                <w:bCs/>
              </w:rPr>
            </w:pPr>
          </w:p>
        </w:tc>
      </w:tr>
      <w:tr w:rsidR="00092B55" w:rsidRPr="00C54CE1" w14:paraId="531182E2" w14:textId="77777777" w:rsidTr="005F5B4C">
        <w:trPr>
          <w:gridAfter w:val="2"/>
          <w:wAfter w:w="910" w:type="pct"/>
        </w:trPr>
        <w:tc>
          <w:tcPr>
            <w:tcW w:w="609" w:type="pct"/>
            <w:tcBorders>
              <w:top w:val="nil"/>
              <w:left w:val="single" w:sz="2" w:space="0" w:color="auto"/>
              <w:bottom w:val="nil"/>
              <w:right w:val="single" w:sz="2" w:space="0" w:color="auto"/>
            </w:tcBorders>
          </w:tcPr>
          <w:p w14:paraId="5FC88497" w14:textId="77777777" w:rsidR="00092B55" w:rsidRPr="00167B16" w:rsidRDefault="00092B55" w:rsidP="00C54CE1">
            <w:pPr>
              <w:pStyle w:val="TableReference"/>
              <w:tabs>
                <w:tab w:val="left" w:pos="3306"/>
              </w:tabs>
              <w:rPr>
                <w:color w:val="7030A0"/>
                <w:sz w:val="14"/>
              </w:rPr>
            </w:pPr>
          </w:p>
        </w:tc>
        <w:tc>
          <w:tcPr>
            <w:tcW w:w="2209" w:type="pct"/>
            <w:tcBorders>
              <w:top w:val="nil"/>
              <w:left w:val="single" w:sz="2" w:space="0" w:color="auto"/>
              <w:bottom w:val="nil"/>
              <w:right w:val="nil"/>
            </w:tcBorders>
            <w:vAlign w:val="bottom"/>
          </w:tcPr>
          <w:p w14:paraId="2A9379B6" w14:textId="77777777" w:rsidR="00092B55" w:rsidRPr="00167B16" w:rsidRDefault="00092B55" w:rsidP="00C54CE1">
            <w:pPr>
              <w:pStyle w:val="TableText"/>
              <w:tabs>
                <w:tab w:val="left" w:pos="3306"/>
              </w:tabs>
              <w:spacing w:before="0"/>
              <w:rPr>
                <w:rFonts w:cs="Calibri"/>
                <w:sz w:val="14"/>
                <w:szCs w:val="14"/>
              </w:rPr>
            </w:pPr>
          </w:p>
        </w:tc>
        <w:tc>
          <w:tcPr>
            <w:tcW w:w="663" w:type="pct"/>
            <w:tcBorders>
              <w:top w:val="double" w:sz="4" w:space="0" w:color="auto"/>
              <w:left w:val="nil"/>
              <w:bottom w:val="nil"/>
              <w:right w:val="nil"/>
            </w:tcBorders>
            <w:vAlign w:val="bottom"/>
          </w:tcPr>
          <w:p w14:paraId="76B10152" w14:textId="77777777" w:rsidR="00092B55" w:rsidRPr="00167B16" w:rsidRDefault="00092B55" w:rsidP="00C54CE1">
            <w:pPr>
              <w:pStyle w:val="TableText"/>
              <w:tabs>
                <w:tab w:val="left" w:pos="3306"/>
              </w:tabs>
              <w:spacing w:before="0"/>
              <w:jc w:val="right"/>
              <w:rPr>
                <w:rFonts w:cs="Calibri"/>
                <w:b/>
                <w:bCs/>
                <w:sz w:val="14"/>
                <w:szCs w:val="14"/>
              </w:rPr>
            </w:pPr>
          </w:p>
        </w:tc>
        <w:tc>
          <w:tcPr>
            <w:tcW w:w="609" w:type="pct"/>
            <w:tcBorders>
              <w:top w:val="double" w:sz="4" w:space="0" w:color="auto"/>
              <w:left w:val="nil"/>
              <w:bottom w:val="nil"/>
              <w:right w:val="nil"/>
            </w:tcBorders>
            <w:vAlign w:val="bottom"/>
          </w:tcPr>
          <w:p w14:paraId="7F8CAE8E" w14:textId="77777777" w:rsidR="00092B55" w:rsidRPr="00167B16" w:rsidRDefault="00092B55" w:rsidP="00C54CE1">
            <w:pPr>
              <w:pStyle w:val="TableText"/>
              <w:tabs>
                <w:tab w:val="left" w:pos="3306"/>
              </w:tabs>
              <w:spacing w:before="0"/>
              <w:jc w:val="right"/>
              <w:rPr>
                <w:rFonts w:cs="Calibri"/>
                <w:b/>
                <w:bCs/>
                <w:sz w:val="14"/>
                <w:szCs w:val="14"/>
              </w:rPr>
            </w:pPr>
          </w:p>
        </w:tc>
      </w:tr>
      <w:tr w:rsidR="00092B55" w:rsidRPr="00C54CE1" w14:paraId="5FCACC5C" w14:textId="77777777" w:rsidTr="005F5B4C">
        <w:trPr>
          <w:gridAfter w:val="2"/>
          <w:wAfter w:w="910" w:type="pct"/>
        </w:trPr>
        <w:tc>
          <w:tcPr>
            <w:tcW w:w="609" w:type="pct"/>
            <w:tcBorders>
              <w:top w:val="nil"/>
              <w:left w:val="single" w:sz="2" w:space="0" w:color="auto"/>
              <w:bottom w:val="nil"/>
              <w:right w:val="single" w:sz="2" w:space="0" w:color="auto"/>
            </w:tcBorders>
          </w:tcPr>
          <w:p w14:paraId="52C1A04E" w14:textId="77777777" w:rsidR="00092B55" w:rsidRPr="00167B16" w:rsidRDefault="00092B55" w:rsidP="00C54CE1">
            <w:pPr>
              <w:pStyle w:val="TableReference"/>
              <w:tabs>
                <w:tab w:val="left" w:pos="3306"/>
              </w:tabs>
              <w:rPr>
                <w:color w:val="7030A0"/>
                <w:sz w:val="14"/>
              </w:rPr>
            </w:pPr>
          </w:p>
        </w:tc>
        <w:tc>
          <w:tcPr>
            <w:tcW w:w="2209" w:type="pct"/>
            <w:tcBorders>
              <w:top w:val="nil"/>
              <w:left w:val="single" w:sz="2" w:space="0" w:color="auto"/>
              <w:bottom w:val="nil"/>
              <w:right w:val="nil"/>
            </w:tcBorders>
            <w:vAlign w:val="bottom"/>
          </w:tcPr>
          <w:p w14:paraId="692FAC58" w14:textId="77777777" w:rsidR="00092B55" w:rsidRPr="00167B16" w:rsidRDefault="00092B55" w:rsidP="00C54CE1">
            <w:pPr>
              <w:pStyle w:val="TableText"/>
              <w:tabs>
                <w:tab w:val="left" w:pos="3306"/>
              </w:tabs>
              <w:spacing w:before="0"/>
              <w:rPr>
                <w:rFonts w:cs="Calibri"/>
                <w:sz w:val="14"/>
                <w:szCs w:val="14"/>
              </w:rPr>
            </w:pPr>
          </w:p>
        </w:tc>
        <w:tc>
          <w:tcPr>
            <w:tcW w:w="663" w:type="pct"/>
            <w:tcBorders>
              <w:top w:val="nil"/>
              <w:left w:val="nil"/>
              <w:bottom w:val="nil"/>
              <w:right w:val="nil"/>
            </w:tcBorders>
            <w:vAlign w:val="bottom"/>
          </w:tcPr>
          <w:p w14:paraId="64F3AE44" w14:textId="77777777" w:rsidR="00092B55" w:rsidRPr="00167B16" w:rsidRDefault="00092B55" w:rsidP="00C54CE1">
            <w:pPr>
              <w:pStyle w:val="TableText"/>
              <w:tabs>
                <w:tab w:val="left" w:pos="3306"/>
              </w:tabs>
              <w:spacing w:before="0"/>
              <w:jc w:val="right"/>
              <w:rPr>
                <w:rFonts w:cs="Calibri"/>
                <w:b/>
                <w:bCs/>
                <w:sz w:val="14"/>
                <w:szCs w:val="14"/>
              </w:rPr>
            </w:pPr>
          </w:p>
        </w:tc>
        <w:tc>
          <w:tcPr>
            <w:tcW w:w="609" w:type="pct"/>
            <w:tcBorders>
              <w:top w:val="nil"/>
              <w:left w:val="nil"/>
              <w:bottom w:val="nil"/>
              <w:right w:val="nil"/>
            </w:tcBorders>
            <w:vAlign w:val="bottom"/>
          </w:tcPr>
          <w:p w14:paraId="73716208" w14:textId="77777777" w:rsidR="00092B55" w:rsidRPr="00167B16" w:rsidRDefault="00092B55" w:rsidP="00C54CE1">
            <w:pPr>
              <w:pStyle w:val="TableText"/>
              <w:tabs>
                <w:tab w:val="left" w:pos="3306"/>
              </w:tabs>
              <w:spacing w:before="0"/>
              <w:jc w:val="right"/>
              <w:rPr>
                <w:rFonts w:cs="Calibri"/>
                <w:b/>
                <w:bCs/>
                <w:sz w:val="14"/>
                <w:szCs w:val="14"/>
              </w:rPr>
            </w:pPr>
          </w:p>
        </w:tc>
      </w:tr>
      <w:tr w:rsidR="00092B55" w:rsidRPr="007E0503" w14:paraId="28045E05" w14:textId="77777777" w:rsidTr="005F5B4C">
        <w:trPr>
          <w:gridAfter w:val="2"/>
          <w:wAfter w:w="910" w:type="pct"/>
        </w:trPr>
        <w:tc>
          <w:tcPr>
            <w:tcW w:w="609" w:type="pct"/>
            <w:tcBorders>
              <w:top w:val="nil"/>
              <w:left w:val="single" w:sz="2" w:space="0" w:color="auto"/>
              <w:bottom w:val="nil"/>
              <w:right w:val="single" w:sz="2" w:space="0" w:color="auto"/>
            </w:tcBorders>
          </w:tcPr>
          <w:p w14:paraId="61D6F755" w14:textId="77777777" w:rsidR="00092B55" w:rsidRPr="00167B16" w:rsidRDefault="00092B55" w:rsidP="00092B55">
            <w:pPr>
              <w:pStyle w:val="TableReference"/>
              <w:tabs>
                <w:tab w:val="left" w:pos="3306"/>
              </w:tabs>
              <w:spacing w:before="40"/>
              <w:rPr>
                <w:rFonts w:cs="Calibri"/>
                <w:color w:val="7030A0"/>
                <w:sz w:val="14"/>
              </w:rPr>
            </w:pPr>
            <w:r w:rsidRPr="00167B16">
              <w:rPr>
                <w:color w:val="7030A0"/>
                <w:sz w:val="14"/>
              </w:rPr>
              <w:t>AASB 102.36(d)</w:t>
            </w:r>
          </w:p>
        </w:tc>
        <w:tc>
          <w:tcPr>
            <w:tcW w:w="2209" w:type="pct"/>
            <w:tcBorders>
              <w:top w:val="nil"/>
              <w:left w:val="single" w:sz="2" w:space="0" w:color="auto"/>
              <w:bottom w:val="nil"/>
              <w:right w:val="nil"/>
            </w:tcBorders>
            <w:vAlign w:val="bottom"/>
          </w:tcPr>
          <w:p w14:paraId="0EDB72EA" w14:textId="7A9A4D56" w:rsidR="00092B55" w:rsidRPr="00167B16" w:rsidRDefault="00092B55" w:rsidP="00092B55">
            <w:pPr>
              <w:pStyle w:val="TableText"/>
              <w:tabs>
                <w:tab w:val="left" w:pos="3306"/>
              </w:tabs>
              <w:rPr>
                <w:rFonts w:cs="Calibri"/>
              </w:rPr>
            </w:pPr>
            <w:r w:rsidRPr="00167B16">
              <w:rPr>
                <w:rFonts w:cs="Calibri"/>
                <w:b/>
                <w:bCs/>
              </w:rPr>
              <w:t xml:space="preserve"> </w:t>
            </w:r>
            <w:r w:rsidRPr="00167B16">
              <w:rPr>
                <w:rFonts w:cs="Calibri"/>
              </w:rPr>
              <w:t>Cost of Sales and Distributions</w:t>
            </w:r>
          </w:p>
        </w:tc>
        <w:tc>
          <w:tcPr>
            <w:tcW w:w="663" w:type="pct"/>
            <w:tcBorders>
              <w:top w:val="nil"/>
              <w:left w:val="nil"/>
              <w:bottom w:val="nil"/>
              <w:right w:val="nil"/>
            </w:tcBorders>
            <w:vAlign w:val="bottom"/>
          </w:tcPr>
          <w:p w14:paraId="13D4383A" w14:textId="77777777" w:rsidR="00092B55" w:rsidRPr="00167B16" w:rsidRDefault="00092B55" w:rsidP="00092B55">
            <w:pPr>
              <w:pStyle w:val="TableText"/>
              <w:tabs>
                <w:tab w:val="left" w:pos="3306"/>
              </w:tabs>
              <w:jc w:val="right"/>
              <w:rPr>
                <w:rFonts w:cs="Calibri"/>
                <w:b/>
                <w:bCs/>
              </w:rPr>
            </w:pPr>
          </w:p>
        </w:tc>
        <w:tc>
          <w:tcPr>
            <w:tcW w:w="609" w:type="pct"/>
            <w:tcBorders>
              <w:top w:val="nil"/>
              <w:left w:val="nil"/>
              <w:bottom w:val="nil"/>
              <w:right w:val="nil"/>
            </w:tcBorders>
            <w:vAlign w:val="bottom"/>
          </w:tcPr>
          <w:p w14:paraId="4F7DCBE8" w14:textId="77777777" w:rsidR="00092B55" w:rsidRPr="00167B16" w:rsidRDefault="00092B55" w:rsidP="00092B55">
            <w:pPr>
              <w:pStyle w:val="TableText"/>
              <w:tabs>
                <w:tab w:val="left" w:pos="3306"/>
              </w:tabs>
              <w:jc w:val="right"/>
              <w:rPr>
                <w:rFonts w:cs="Calibri"/>
                <w:b/>
                <w:bCs/>
              </w:rPr>
            </w:pPr>
          </w:p>
        </w:tc>
      </w:tr>
      <w:tr w:rsidR="00B96250" w:rsidRPr="00DD296A" w14:paraId="2245B5AD" w14:textId="77777777" w:rsidTr="005F5B4C">
        <w:trPr>
          <w:gridAfter w:val="2"/>
          <w:wAfter w:w="910" w:type="pct"/>
          <w:trHeight w:val="23"/>
        </w:trPr>
        <w:tc>
          <w:tcPr>
            <w:tcW w:w="609" w:type="pct"/>
            <w:tcBorders>
              <w:top w:val="nil"/>
              <w:left w:val="single" w:sz="2" w:space="0" w:color="auto"/>
              <w:bottom w:val="nil"/>
              <w:right w:val="single" w:sz="2" w:space="0" w:color="auto"/>
            </w:tcBorders>
          </w:tcPr>
          <w:p w14:paraId="2307F506" w14:textId="77777777" w:rsidR="00B96250" w:rsidRPr="00167B16" w:rsidRDefault="00B96250" w:rsidP="00B96250">
            <w:pPr>
              <w:pStyle w:val="TableReference"/>
              <w:tabs>
                <w:tab w:val="left" w:pos="3306"/>
              </w:tabs>
              <w:spacing w:before="40"/>
              <w:rPr>
                <w:rFonts w:cs="Calibri"/>
                <w:color w:val="7030A0"/>
                <w:sz w:val="14"/>
              </w:rPr>
            </w:pPr>
          </w:p>
        </w:tc>
        <w:tc>
          <w:tcPr>
            <w:tcW w:w="3481" w:type="pct"/>
            <w:gridSpan w:val="3"/>
            <w:tcBorders>
              <w:top w:val="nil"/>
              <w:left w:val="single" w:sz="2" w:space="0" w:color="auto"/>
              <w:bottom w:val="nil"/>
              <w:right w:val="nil"/>
            </w:tcBorders>
            <w:shd w:val="clear" w:color="auto" w:fill="7030A0"/>
            <w:vAlign w:val="bottom"/>
          </w:tcPr>
          <w:p w14:paraId="034FAA52" w14:textId="4264FF3B" w:rsidR="00B96250" w:rsidRPr="00167B16" w:rsidRDefault="00B96250" w:rsidP="00B96250">
            <w:pPr>
              <w:pStyle w:val="CommentaryTitle"/>
              <w:spacing w:after="240"/>
              <w:rPr>
                <w:rFonts w:cs="Calibri"/>
                <w:color w:val="FFFFFF" w:themeColor="background1"/>
                <w:sz w:val="28"/>
                <w:szCs w:val="28"/>
              </w:rPr>
            </w:pPr>
            <w:bookmarkStart w:id="517" w:name="_Toc163106350"/>
            <w:r w:rsidRPr="00167B16">
              <w:rPr>
                <w:rFonts w:cs="Calibri"/>
                <w:color w:val="FFFFFF" w:themeColor="background1"/>
                <w:sz w:val="28"/>
                <w:szCs w:val="28"/>
              </w:rPr>
              <w:t xml:space="preserve">Commentary </w:t>
            </w:r>
            <w:r w:rsidRPr="00167B16">
              <w:rPr>
                <w:rFonts w:cs="Calibri"/>
                <w:color w:val="FFFFFF" w:themeColor="background1"/>
                <w:sz w:val="28"/>
                <w:szCs w:val="28"/>
              </w:rPr>
              <w:sym w:font="Symbol" w:char="F02D"/>
            </w:r>
            <w:r w:rsidRPr="00167B16">
              <w:rPr>
                <w:rFonts w:cs="Calibri"/>
                <w:color w:val="FFFFFF" w:themeColor="background1"/>
                <w:sz w:val="28"/>
                <w:szCs w:val="28"/>
              </w:rPr>
              <w:t xml:space="preserve"> Note </w:t>
            </w:r>
            <w:r w:rsidR="00762E7F" w:rsidRPr="00167B16">
              <w:rPr>
                <w:rFonts w:cs="Calibri"/>
                <w:color w:val="FFFFFF" w:themeColor="background1"/>
                <w:sz w:val="28"/>
                <w:szCs w:val="28"/>
              </w:rPr>
              <w:t>17</w:t>
            </w:r>
            <w:r w:rsidRPr="00167B16">
              <w:rPr>
                <w:rFonts w:cs="Calibri"/>
                <w:color w:val="FFFFFF" w:themeColor="background1"/>
                <w:sz w:val="28"/>
                <w:szCs w:val="28"/>
              </w:rPr>
              <w:t>: Inventories</w:t>
            </w:r>
            <w:bookmarkEnd w:id="517"/>
          </w:p>
        </w:tc>
      </w:tr>
      <w:tr w:rsidR="00B96250" w:rsidRPr="00DD296A" w14:paraId="26E02866" w14:textId="77777777" w:rsidTr="005F5B4C">
        <w:trPr>
          <w:gridAfter w:val="2"/>
          <w:wAfter w:w="910" w:type="pct"/>
          <w:trHeight w:val="23"/>
        </w:trPr>
        <w:tc>
          <w:tcPr>
            <w:tcW w:w="609" w:type="pct"/>
            <w:tcBorders>
              <w:top w:val="nil"/>
              <w:left w:val="single" w:sz="2" w:space="0" w:color="auto"/>
              <w:bottom w:val="nil"/>
              <w:right w:val="single" w:sz="2" w:space="0" w:color="auto"/>
            </w:tcBorders>
          </w:tcPr>
          <w:p w14:paraId="03BF1E6B" w14:textId="77777777" w:rsidR="00B96250" w:rsidRPr="00167B16" w:rsidRDefault="00B96250" w:rsidP="00C85383">
            <w:pPr>
              <w:pStyle w:val="TableReference"/>
              <w:tabs>
                <w:tab w:val="left" w:pos="3306"/>
              </w:tabs>
              <w:spacing w:before="40"/>
              <w:rPr>
                <w:rFonts w:cs="Calibri"/>
                <w:color w:val="7030A0"/>
                <w:sz w:val="14"/>
              </w:rPr>
            </w:pPr>
          </w:p>
        </w:tc>
        <w:tc>
          <w:tcPr>
            <w:tcW w:w="3481" w:type="pct"/>
            <w:gridSpan w:val="3"/>
            <w:tcBorders>
              <w:top w:val="nil"/>
              <w:left w:val="single" w:sz="2" w:space="0" w:color="auto"/>
              <w:bottom w:val="nil"/>
              <w:right w:val="nil"/>
            </w:tcBorders>
            <w:shd w:val="clear" w:color="auto" w:fill="7030A0"/>
            <w:vAlign w:val="bottom"/>
          </w:tcPr>
          <w:p w14:paraId="55FEB12E" w14:textId="77777777" w:rsidR="00B96250" w:rsidRPr="00C85383" w:rsidRDefault="00B96250" w:rsidP="00C85383">
            <w:pPr>
              <w:pStyle w:val="CommentaryText"/>
              <w:tabs>
                <w:tab w:val="left" w:pos="3306"/>
              </w:tabs>
              <w:spacing w:after="0"/>
              <w:rPr>
                <w:rFonts w:cs="Calibri"/>
                <w:b/>
                <w:color w:val="FFFFFF" w:themeColor="background1"/>
                <w:szCs w:val="20"/>
              </w:rPr>
            </w:pPr>
            <w:r w:rsidRPr="00C85383">
              <w:rPr>
                <w:rFonts w:cs="Calibri"/>
                <w:b/>
                <w:color w:val="FFFFFF" w:themeColor="background1"/>
                <w:szCs w:val="20"/>
              </w:rPr>
              <w:t>Definition</w:t>
            </w:r>
          </w:p>
        </w:tc>
      </w:tr>
      <w:tr w:rsidR="00B96250" w:rsidRPr="00DD296A" w14:paraId="3C2ED189" w14:textId="77777777" w:rsidTr="005F5B4C">
        <w:trPr>
          <w:gridAfter w:val="2"/>
          <w:wAfter w:w="910" w:type="pct"/>
          <w:trHeight w:val="23"/>
        </w:trPr>
        <w:tc>
          <w:tcPr>
            <w:tcW w:w="609" w:type="pct"/>
            <w:tcBorders>
              <w:top w:val="nil"/>
              <w:left w:val="single" w:sz="2" w:space="0" w:color="auto"/>
              <w:bottom w:val="nil"/>
              <w:right w:val="single" w:sz="2" w:space="0" w:color="auto"/>
            </w:tcBorders>
          </w:tcPr>
          <w:p w14:paraId="007AA01C" w14:textId="77777777" w:rsidR="00B96250" w:rsidRPr="00167B16" w:rsidRDefault="00B96250" w:rsidP="00B96250">
            <w:pPr>
              <w:pStyle w:val="TableReference"/>
              <w:tabs>
                <w:tab w:val="left" w:pos="3306"/>
              </w:tabs>
              <w:spacing w:before="40"/>
              <w:rPr>
                <w:rFonts w:cs="Calibri"/>
                <w:color w:val="7030A0"/>
                <w:sz w:val="14"/>
              </w:rPr>
            </w:pPr>
            <w:r w:rsidRPr="00167B16">
              <w:rPr>
                <w:rFonts w:cs="Calibri"/>
                <w:color w:val="7030A0"/>
                <w:sz w:val="14"/>
              </w:rPr>
              <w:t>AASB 102.6</w:t>
            </w:r>
          </w:p>
        </w:tc>
        <w:tc>
          <w:tcPr>
            <w:tcW w:w="3481" w:type="pct"/>
            <w:gridSpan w:val="3"/>
            <w:tcBorders>
              <w:top w:val="nil"/>
              <w:left w:val="single" w:sz="2" w:space="0" w:color="auto"/>
              <w:bottom w:val="nil"/>
              <w:right w:val="nil"/>
            </w:tcBorders>
            <w:shd w:val="clear" w:color="auto" w:fill="7030A0"/>
            <w:vAlign w:val="bottom"/>
          </w:tcPr>
          <w:p w14:paraId="7B5CF77C" w14:textId="77777777" w:rsidR="00B96250" w:rsidRPr="00167B16" w:rsidRDefault="00B96250" w:rsidP="00B96250">
            <w:pPr>
              <w:pStyle w:val="CommentaryText"/>
              <w:rPr>
                <w:rFonts w:cs="Calibri"/>
                <w:color w:val="FFFFFF" w:themeColor="background1"/>
                <w:sz w:val="18"/>
                <w:szCs w:val="18"/>
              </w:rPr>
            </w:pPr>
            <w:r w:rsidRPr="00167B16">
              <w:rPr>
                <w:rFonts w:cs="Calibri"/>
                <w:color w:val="FFFFFF" w:themeColor="background1"/>
                <w:sz w:val="18"/>
                <w:szCs w:val="18"/>
              </w:rPr>
              <w:t>Inventories are assets:</w:t>
            </w:r>
          </w:p>
          <w:p w14:paraId="388F3B6C" w14:textId="77777777" w:rsidR="00B96250" w:rsidRPr="00167B16" w:rsidRDefault="00B96250" w:rsidP="007122BC">
            <w:pPr>
              <w:pStyle w:val="CommentaryText"/>
              <w:numPr>
                <w:ilvl w:val="0"/>
                <w:numId w:val="16"/>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held for sale in the ordinary course of business;</w:t>
            </w:r>
          </w:p>
          <w:p w14:paraId="69E7687C" w14:textId="77777777" w:rsidR="00B96250" w:rsidRPr="00167B16" w:rsidRDefault="00B96250" w:rsidP="007122BC">
            <w:pPr>
              <w:pStyle w:val="CommentaryText"/>
              <w:numPr>
                <w:ilvl w:val="0"/>
                <w:numId w:val="17"/>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process of production for such sale; or</w:t>
            </w:r>
          </w:p>
          <w:p w14:paraId="6DA05D79" w14:textId="77777777" w:rsidR="00B96250" w:rsidRPr="00167B16" w:rsidRDefault="00B96250" w:rsidP="007122BC">
            <w:pPr>
              <w:pStyle w:val="CommentaryText"/>
              <w:numPr>
                <w:ilvl w:val="0"/>
                <w:numId w:val="18"/>
              </w:numPr>
              <w:tabs>
                <w:tab w:val="clear" w:pos="720"/>
                <w:tab w:val="num" w:pos="458"/>
                <w:tab w:val="left" w:pos="3306"/>
              </w:tabs>
              <w:spacing w:after="0"/>
              <w:ind w:left="459" w:hanging="425"/>
              <w:rPr>
                <w:rFonts w:cs="Calibri"/>
                <w:color w:val="FFFFFF" w:themeColor="background1"/>
                <w:sz w:val="18"/>
                <w:szCs w:val="18"/>
              </w:rPr>
            </w:pPr>
            <w:r w:rsidRPr="00167B16">
              <w:rPr>
                <w:rFonts w:cs="Calibri"/>
                <w:color w:val="FFFFFF" w:themeColor="background1"/>
                <w:sz w:val="18"/>
                <w:szCs w:val="18"/>
              </w:rPr>
              <w:t>in the form of materials or supplies to be consumed in the production process or in the rendering of services.</w:t>
            </w:r>
          </w:p>
        </w:tc>
      </w:tr>
      <w:tr w:rsidR="00B96250" w:rsidRPr="009315BB" w14:paraId="5E799D12"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6B2941DE" w14:textId="77777777" w:rsidR="00B96250" w:rsidRPr="00167B16" w:rsidRDefault="00B96250" w:rsidP="00B96250">
            <w:pPr>
              <w:pStyle w:val="TableReference"/>
              <w:tabs>
                <w:tab w:val="left" w:pos="3306"/>
              </w:tabs>
              <w:spacing w:before="120"/>
              <w:rPr>
                <w:rFonts w:cs="Calibri"/>
                <w:color w:val="7030A0"/>
                <w:sz w:val="14"/>
              </w:rPr>
            </w:pPr>
            <w:r w:rsidRPr="00167B16">
              <w:rPr>
                <w:rFonts w:cs="Calibri"/>
                <w:color w:val="7030A0"/>
                <w:sz w:val="14"/>
              </w:rPr>
              <w:t>AASB 102.Aus 6.1</w:t>
            </w:r>
          </w:p>
        </w:tc>
        <w:tc>
          <w:tcPr>
            <w:tcW w:w="3481" w:type="pct"/>
            <w:gridSpan w:val="3"/>
            <w:tcBorders>
              <w:left w:val="single" w:sz="2" w:space="0" w:color="auto"/>
            </w:tcBorders>
            <w:shd w:val="clear" w:color="auto" w:fill="7030A0"/>
          </w:tcPr>
          <w:p w14:paraId="28D0DE55" w14:textId="77777777" w:rsidR="00B96250" w:rsidRPr="00167B16" w:rsidRDefault="00B96250" w:rsidP="00B96250">
            <w:pPr>
              <w:pStyle w:val="CommentaryText"/>
              <w:spacing w:before="120" w:after="0"/>
              <w:rPr>
                <w:rFonts w:cs="Calibri"/>
                <w:color w:val="FFFFFF" w:themeColor="background1"/>
                <w:sz w:val="18"/>
                <w:szCs w:val="18"/>
              </w:rPr>
            </w:pPr>
            <w:r w:rsidRPr="00167B16">
              <w:rPr>
                <w:rFonts w:cs="Calibri"/>
                <w:color w:val="FFFFFF" w:themeColor="background1"/>
                <w:sz w:val="18"/>
                <w:szCs w:val="18"/>
              </w:rPr>
              <w:t>Inventories held for distribution are assets:</w:t>
            </w:r>
          </w:p>
          <w:p w14:paraId="6FEE1FF1" w14:textId="77777777" w:rsidR="00B96250" w:rsidRPr="00167B16" w:rsidRDefault="00B96250" w:rsidP="007122BC">
            <w:pPr>
              <w:pStyle w:val="CommentaryText"/>
              <w:numPr>
                <w:ilvl w:val="0"/>
                <w:numId w:val="19"/>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held for distribution at no or nominal consideration in the ordinary course of operations;</w:t>
            </w:r>
          </w:p>
          <w:p w14:paraId="1D4C622E" w14:textId="77777777" w:rsidR="00B96250" w:rsidRPr="00167B16" w:rsidRDefault="00B96250" w:rsidP="007122BC">
            <w:pPr>
              <w:pStyle w:val="CommentaryText"/>
              <w:numPr>
                <w:ilvl w:val="0"/>
                <w:numId w:val="20"/>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process of production for distribution at no or nominal consideration in the ordinary course of operations; or</w:t>
            </w:r>
          </w:p>
          <w:p w14:paraId="165F3B7B" w14:textId="77777777" w:rsidR="00B96250" w:rsidRPr="00167B16" w:rsidRDefault="00B96250" w:rsidP="007122BC">
            <w:pPr>
              <w:pStyle w:val="CommentaryText"/>
              <w:numPr>
                <w:ilvl w:val="0"/>
                <w:numId w:val="17"/>
              </w:numPr>
              <w:tabs>
                <w:tab w:val="clear" w:pos="720"/>
                <w:tab w:val="num" w:pos="458"/>
              </w:tabs>
              <w:spacing w:after="0"/>
              <w:ind w:left="459" w:hanging="425"/>
              <w:rPr>
                <w:rFonts w:cs="Calibri"/>
                <w:color w:val="FFFFFF" w:themeColor="background1"/>
                <w:sz w:val="18"/>
                <w:szCs w:val="18"/>
              </w:rPr>
            </w:pPr>
            <w:r w:rsidRPr="00167B16">
              <w:rPr>
                <w:rFonts w:cs="Calibri"/>
                <w:color w:val="FFFFFF" w:themeColor="background1"/>
                <w:sz w:val="18"/>
                <w:szCs w:val="18"/>
              </w:rPr>
              <w:t>in the form of materials or supplies to be consumed in the production process or in the rendering of services at no or nominal consideration.</w:t>
            </w:r>
          </w:p>
        </w:tc>
      </w:tr>
      <w:tr w:rsidR="00B96250" w:rsidRPr="009315BB" w14:paraId="5A8113D7"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7A8BAF00"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4525E9A4" w14:textId="77777777" w:rsidR="00B96250" w:rsidRPr="00C85383" w:rsidRDefault="00B96250" w:rsidP="00B96250">
            <w:pPr>
              <w:autoSpaceDE w:val="0"/>
              <w:autoSpaceDN w:val="0"/>
              <w:adjustRightInd w:val="0"/>
              <w:spacing w:before="120"/>
              <w:rPr>
                <w:rFonts w:cs="Calibri"/>
                <w:b/>
                <w:color w:val="FFFFFF" w:themeColor="background1"/>
                <w:sz w:val="20"/>
                <w:szCs w:val="20"/>
              </w:rPr>
            </w:pPr>
            <w:r w:rsidRPr="00C85383">
              <w:rPr>
                <w:rFonts w:cs="Calibri"/>
                <w:b/>
                <w:color w:val="FFFFFF" w:themeColor="background1"/>
                <w:sz w:val="20"/>
                <w:szCs w:val="20"/>
              </w:rPr>
              <w:t>Measurement</w:t>
            </w:r>
          </w:p>
        </w:tc>
      </w:tr>
      <w:tr w:rsidR="00B96250" w:rsidRPr="009315BB" w14:paraId="7FB18D4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24E30216" w14:textId="686A4E1F"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102.9 &amp; Aus 9.1</w:t>
            </w:r>
          </w:p>
          <w:p w14:paraId="33D3DDCF" w14:textId="77777777" w:rsidR="00B96250" w:rsidRPr="00167B16" w:rsidRDefault="00B96250" w:rsidP="00B96250">
            <w:pPr>
              <w:pStyle w:val="TableReference"/>
              <w:tabs>
                <w:tab w:val="left" w:pos="3306"/>
              </w:tabs>
              <w:spacing w:before="60"/>
              <w:rPr>
                <w:rFonts w:cs="Calibri"/>
                <w:color w:val="7030A0"/>
                <w:sz w:val="14"/>
              </w:rPr>
            </w:pPr>
          </w:p>
          <w:p w14:paraId="61F1238A"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7AED6110" w14:textId="0F24F7B1" w:rsidR="00B96250" w:rsidRPr="00167B16" w:rsidRDefault="00B96250" w:rsidP="00B96250">
            <w:pPr>
              <w:pStyle w:val="TableText"/>
              <w:spacing w:before="0" w:after="120"/>
              <w:jc w:val="both"/>
              <w:rPr>
                <w:rFonts w:cs="Calibri"/>
                <w:color w:val="FFFFFF" w:themeColor="background1"/>
              </w:rPr>
            </w:pPr>
            <w:r w:rsidRPr="00167B16">
              <w:rPr>
                <w:rFonts w:cs="Calibri"/>
                <w:color w:val="FFFFFF" w:themeColor="background1"/>
              </w:rPr>
              <w:t xml:space="preserve">Under AASB 102 </w:t>
            </w:r>
            <w:r w:rsidRPr="00167B16">
              <w:rPr>
                <w:rFonts w:cs="Calibri"/>
                <w:i/>
                <w:color w:val="FFFFFF" w:themeColor="background1"/>
              </w:rPr>
              <w:t>Inventories</w:t>
            </w:r>
            <w:r w:rsidRPr="00167B16">
              <w:rPr>
                <w:rFonts w:cs="Calibri"/>
                <w:color w:val="FFFFFF" w:themeColor="background1"/>
              </w:rPr>
              <w:t>, inventories are to be measured at the lower of cost or net realisable value.</w:t>
            </w:r>
            <w:r w:rsidR="00FA7C77">
              <w:rPr>
                <w:rFonts w:cs="Calibri"/>
                <w:color w:val="FFFFFF" w:themeColor="background1"/>
              </w:rPr>
              <w:t xml:space="preserve"> </w:t>
            </w:r>
            <w:r w:rsidRPr="00167B16">
              <w:rPr>
                <w:rFonts w:cs="Calibri"/>
                <w:color w:val="FFFFFF" w:themeColor="background1"/>
              </w:rPr>
              <w:t>Not</w:t>
            </w:r>
            <w:r w:rsidRPr="00167B16">
              <w:rPr>
                <w:rFonts w:cs="Calibri"/>
                <w:color w:val="FFFFFF" w:themeColor="background1"/>
              </w:rPr>
              <w:noBreakHyphen/>
              <w:t>for-profit agencies with ‘inventories held for distribution’ are to measure them at cost, adjusted when applicable for any loss of service potential.</w:t>
            </w:r>
            <w:r w:rsidR="00FA7C77">
              <w:rPr>
                <w:rFonts w:cs="Calibri"/>
                <w:color w:val="FFFFFF" w:themeColor="background1"/>
              </w:rPr>
              <w:t xml:space="preserve"> </w:t>
            </w:r>
            <w:r w:rsidRPr="00167B16">
              <w:rPr>
                <w:rFonts w:cs="Calibri"/>
                <w:color w:val="FFFFFF" w:themeColor="background1"/>
              </w:rPr>
              <w:t>Agencies shall disclose the basis on which any loss of service potential of inventories held for distribution is assessed or the bases when more than one basis is used.</w:t>
            </w:r>
          </w:p>
        </w:tc>
      </w:tr>
      <w:tr w:rsidR="00B96250" w:rsidRPr="00DD296A" w14:paraId="0689E819"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33E363D4" w14:textId="77777777" w:rsidR="00BD1DCB" w:rsidRDefault="00BD1DCB" w:rsidP="00B96250">
            <w:pPr>
              <w:pStyle w:val="TableReference"/>
              <w:tabs>
                <w:tab w:val="left" w:pos="3306"/>
              </w:tabs>
              <w:spacing w:before="60"/>
              <w:rPr>
                <w:rFonts w:cs="Calibri"/>
                <w:color w:val="7030A0"/>
                <w:sz w:val="14"/>
              </w:rPr>
            </w:pPr>
          </w:p>
          <w:p w14:paraId="0ACFC20D" w14:textId="49148948"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102.36(b) &amp; Aus 36.1(b)</w:t>
            </w:r>
          </w:p>
          <w:p w14:paraId="5F542C69" w14:textId="77777777"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102.37</w:t>
            </w:r>
          </w:p>
        </w:tc>
        <w:tc>
          <w:tcPr>
            <w:tcW w:w="3481" w:type="pct"/>
            <w:gridSpan w:val="3"/>
            <w:tcBorders>
              <w:left w:val="single" w:sz="2" w:space="0" w:color="auto"/>
            </w:tcBorders>
            <w:shd w:val="clear" w:color="auto" w:fill="7030A0"/>
          </w:tcPr>
          <w:p w14:paraId="03AE197D" w14:textId="1E40E298" w:rsidR="00BD1DCB" w:rsidRDefault="00BD1DCB" w:rsidP="00B96250">
            <w:pPr>
              <w:pStyle w:val="CommentaryText"/>
              <w:tabs>
                <w:tab w:val="left" w:pos="3306"/>
              </w:tabs>
              <w:spacing w:after="0"/>
              <w:rPr>
                <w:rFonts w:cs="Calibri"/>
                <w:color w:val="FFFFFF" w:themeColor="background1"/>
                <w:sz w:val="18"/>
                <w:szCs w:val="18"/>
              </w:rPr>
            </w:pPr>
            <w:r w:rsidRPr="00C85383">
              <w:rPr>
                <w:rFonts w:cs="Calibri"/>
                <w:b/>
                <w:color w:val="FFFFFF" w:themeColor="background1"/>
                <w:szCs w:val="20"/>
              </w:rPr>
              <w:t>Classification</w:t>
            </w:r>
          </w:p>
          <w:p w14:paraId="3B38A11F" w14:textId="7EC5C1F0" w:rsidR="00B96250" w:rsidRPr="00167B16" w:rsidRDefault="00B96250" w:rsidP="00B96250">
            <w:pPr>
              <w:pStyle w:val="CommentaryText"/>
              <w:tabs>
                <w:tab w:val="left" w:pos="3306"/>
              </w:tabs>
              <w:spacing w:after="0"/>
              <w:rPr>
                <w:rFonts w:cs="Calibri"/>
                <w:color w:val="FFFFFF" w:themeColor="background1"/>
                <w:sz w:val="18"/>
                <w:szCs w:val="18"/>
              </w:rPr>
            </w:pPr>
            <w:r w:rsidRPr="00167B16">
              <w:rPr>
                <w:rFonts w:cs="Calibri"/>
                <w:color w:val="FFFFFF" w:themeColor="background1"/>
                <w:sz w:val="18"/>
                <w:szCs w:val="18"/>
              </w:rPr>
              <w:t>AASB 102 states that each category of inventories should be further sub-classified in a manner appropriate to the agency’s operations.</w:t>
            </w:r>
            <w:r w:rsidR="00FA7C77">
              <w:rPr>
                <w:rFonts w:cs="Calibri"/>
                <w:color w:val="FFFFFF" w:themeColor="background1"/>
                <w:sz w:val="18"/>
                <w:szCs w:val="18"/>
              </w:rPr>
              <w:t xml:space="preserve"> </w:t>
            </w:r>
            <w:r w:rsidRPr="00167B16">
              <w:rPr>
                <w:rFonts w:cs="Calibri"/>
                <w:color w:val="FFFFFF" w:themeColor="background1"/>
                <w:sz w:val="18"/>
                <w:szCs w:val="18"/>
              </w:rPr>
              <w:t>Common sub-classifications are merchandise, production supplies, raw materials, work in progress and finished goods.</w:t>
            </w:r>
          </w:p>
        </w:tc>
      </w:tr>
      <w:tr w:rsidR="00B96250" w:rsidRPr="00DD296A" w14:paraId="54A9D21E"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7399C5A5" w14:textId="77777777" w:rsidR="00B96250" w:rsidRPr="00167B16" w:rsidRDefault="00B96250" w:rsidP="00B9625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6D403E7A" w14:textId="77777777" w:rsidR="00B96250" w:rsidRPr="00C85383" w:rsidRDefault="00B96250" w:rsidP="00B96250">
            <w:pPr>
              <w:pStyle w:val="CommentaryText"/>
              <w:tabs>
                <w:tab w:val="left" w:pos="3306"/>
              </w:tabs>
              <w:spacing w:before="120" w:after="0"/>
              <w:rPr>
                <w:rFonts w:cs="Calibri"/>
                <w:b/>
                <w:color w:val="FFFFFF" w:themeColor="background1"/>
                <w:szCs w:val="20"/>
              </w:rPr>
            </w:pPr>
            <w:r w:rsidRPr="00C85383">
              <w:rPr>
                <w:rFonts w:cs="Calibri"/>
                <w:b/>
                <w:color w:val="FFFFFF" w:themeColor="background1"/>
                <w:szCs w:val="20"/>
              </w:rPr>
              <w:t>Inventories Pledged as Security</w:t>
            </w:r>
          </w:p>
        </w:tc>
      </w:tr>
      <w:tr w:rsidR="00B96250" w:rsidRPr="00DD296A" w14:paraId="33DE67D8"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741"/>
        </w:trPr>
        <w:tc>
          <w:tcPr>
            <w:tcW w:w="609" w:type="pct"/>
            <w:tcBorders>
              <w:left w:val="single" w:sz="2" w:space="0" w:color="auto"/>
              <w:right w:val="single" w:sz="2" w:space="0" w:color="auto"/>
            </w:tcBorders>
          </w:tcPr>
          <w:p w14:paraId="11EEB639" w14:textId="77777777" w:rsidR="00B96250" w:rsidRPr="00167B16" w:rsidRDefault="00B96250" w:rsidP="00B96250">
            <w:pPr>
              <w:pStyle w:val="TableReference"/>
              <w:tabs>
                <w:tab w:val="left" w:pos="3306"/>
              </w:tabs>
              <w:spacing w:before="60"/>
              <w:rPr>
                <w:rFonts w:cs="Calibri"/>
                <w:color w:val="7030A0"/>
                <w:sz w:val="14"/>
              </w:rPr>
            </w:pPr>
            <w:r w:rsidRPr="00167B16">
              <w:rPr>
                <w:rFonts w:cs="Calibri"/>
                <w:color w:val="7030A0"/>
                <w:sz w:val="14"/>
              </w:rPr>
              <w:t>AASB 102.36(h) &amp; Aus 36.1(g)</w:t>
            </w:r>
          </w:p>
        </w:tc>
        <w:tc>
          <w:tcPr>
            <w:tcW w:w="3481" w:type="pct"/>
            <w:gridSpan w:val="3"/>
            <w:tcBorders>
              <w:left w:val="single" w:sz="2" w:space="0" w:color="auto"/>
            </w:tcBorders>
            <w:shd w:val="clear" w:color="auto" w:fill="7030A0"/>
          </w:tcPr>
          <w:p w14:paraId="0DD15CB6" w14:textId="6D209970" w:rsidR="00B96250" w:rsidRPr="00167B16" w:rsidRDefault="00B96250" w:rsidP="00C54CE1">
            <w:pPr>
              <w:pStyle w:val="CommentaryText"/>
              <w:tabs>
                <w:tab w:val="left" w:pos="3306"/>
              </w:tabs>
              <w:spacing w:after="60"/>
              <w:rPr>
                <w:rFonts w:cs="Calibri"/>
                <w:color w:val="FFFFFF" w:themeColor="background1"/>
                <w:sz w:val="18"/>
                <w:szCs w:val="18"/>
              </w:rPr>
            </w:pPr>
            <w:r w:rsidRPr="00167B16">
              <w:rPr>
                <w:rFonts w:cs="Calibri"/>
                <w:color w:val="FFFFFF" w:themeColor="background1"/>
                <w:sz w:val="18"/>
                <w:szCs w:val="18"/>
              </w:rPr>
              <w:t>AASB 102 also requires specific disclosure of the carrying amount of inventories pledged specifically and separately from other assets of the agency as security for liabilities, and the nature of the security.</w:t>
            </w:r>
            <w:r w:rsidR="00FA7C77">
              <w:rPr>
                <w:rFonts w:cs="Calibri"/>
                <w:color w:val="FFFFFF" w:themeColor="background1"/>
                <w:sz w:val="18"/>
                <w:szCs w:val="18"/>
              </w:rPr>
              <w:t xml:space="preserve"> </w:t>
            </w:r>
            <w:r w:rsidRPr="00167B16">
              <w:rPr>
                <w:rFonts w:cs="Calibri"/>
                <w:color w:val="FFFFFF" w:themeColor="background1"/>
                <w:sz w:val="18"/>
                <w:szCs w:val="18"/>
              </w:rPr>
              <w:t>This is also required where an agency holds ‘inventories held for distribution’.</w:t>
            </w:r>
          </w:p>
        </w:tc>
      </w:tr>
      <w:tr w:rsidR="00FC69F0" w:rsidRPr="00DD296A" w14:paraId="0D689334" w14:textId="6BCB2216"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609" w:type="pct"/>
            <w:tcBorders>
              <w:left w:val="single" w:sz="2" w:space="0" w:color="auto"/>
              <w:right w:val="single" w:sz="2" w:space="0" w:color="auto"/>
            </w:tcBorders>
          </w:tcPr>
          <w:p w14:paraId="2FE33A1A" w14:textId="77777777" w:rsidR="00FC69F0" w:rsidRPr="00167B16" w:rsidRDefault="00FC69F0"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vAlign w:val="bottom"/>
          </w:tcPr>
          <w:p w14:paraId="3B38CEF6" w14:textId="74164D4B" w:rsidR="00FC69F0" w:rsidRPr="00C85383" w:rsidRDefault="00FC69F0" w:rsidP="00C54CE1">
            <w:pPr>
              <w:pStyle w:val="CommentaryText"/>
              <w:tabs>
                <w:tab w:val="left" w:pos="3306"/>
              </w:tabs>
              <w:spacing w:after="0"/>
              <w:rPr>
                <w:rFonts w:cs="Calibri"/>
                <w:b/>
                <w:color w:val="FFFFFF" w:themeColor="background1"/>
                <w:szCs w:val="20"/>
              </w:rPr>
            </w:pPr>
            <w:r w:rsidRPr="00C85383">
              <w:rPr>
                <w:rFonts w:cs="Calibri"/>
                <w:b/>
                <w:color w:val="FFFFFF" w:themeColor="background1"/>
                <w:szCs w:val="20"/>
              </w:rPr>
              <w:t xml:space="preserve">Cost </w:t>
            </w:r>
            <w:r w:rsidR="00C54CE1" w:rsidRPr="00C85383">
              <w:rPr>
                <w:rFonts w:cs="Calibri"/>
                <w:b/>
                <w:color w:val="FFFFFF" w:themeColor="background1"/>
                <w:szCs w:val="20"/>
              </w:rPr>
              <w:t xml:space="preserve">of </w:t>
            </w:r>
            <w:r w:rsidRPr="00C85383">
              <w:rPr>
                <w:rFonts w:cs="Calibri"/>
                <w:b/>
                <w:color w:val="FFFFFF" w:themeColor="background1"/>
                <w:szCs w:val="20"/>
              </w:rPr>
              <w:t>S</w:t>
            </w:r>
            <w:r w:rsidR="00C54CE1" w:rsidRPr="00C85383">
              <w:rPr>
                <w:rFonts w:cs="Calibri"/>
                <w:b/>
                <w:color w:val="FFFFFF" w:themeColor="background1"/>
                <w:szCs w:val="20"/>
              </w:rPr>
              <w:t>ales</w:t>
            </w:r>
            <w:r w:rsidRPr="00C85383">
              <w:rPr>
                <w:rFonts w:cs="Calibri"/>
                <w:b/>
                <w:color w:val="FFFFFF" w:themeColor="background1"/>
                <w:szCs w:val="20"/>
              </w:rPr>
              <w:t xml:space="preserve"> </w:t>
            </w:r>
          </w:p>
        </w:tc>
        <w:tc>
          <w:tcPr>
            <w:tcW w:w="456" w:type="pct"/>
            <w:vAlign w:val="bottom"/>
          </w:tcPr>
          <w:p w14:paraId="6AE79D5A" w14:textId="77777777" w:rsidR="00FC69F0" w:rsidRPr="00DD296A" w:rsidRDefault="00FC69F0" w:rsidP="00FC69F0"/>
        </w:tc>
        <w:tc>
          <w:tcPr>
            <w:tcW w:w="454" w:type="pct"/>
            <w:vAlign w:val="bottom"/>
          </w:tcPr>
          <w:p w14:paraId="528C6D2C" w14:textId="77777777" w:rsidR="00FC69F0" w:rsidRPr="00DD296A" w:rsidRDefault="00FC69F0" w:rsidP="00FC69F0"/>
        </w:tc>
      </w:tr>
      <w:tr w:rsidR="00FC69F0" w:rsidRPr="00DD296A" w14:paraId="6D7843F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03068ADC" w14:textId="607B8BA4" w:rsidR="00FC69F0" w:rsidRPr="00167B16" w:rsidRDefault="00FC69F0" w:rsidP="00FC69F0">
            <w:pPr>
              <w:pStyle w:val="TableReference"/>
              <w:tabs>
                <w:tab w:val="left" w:pos="3306"/>
              </w:tabs>
              <w:spacing w:before="60"/>
              <w:rPr>
                <w:rFonts w:cs="Calibri"/>
                <w:color w:val="7030A0"/>
                <w:sz w:val="14"/>
              </w:rPr>
            </w:pPr>
            <w:r w:rsidRPr="00167B16">
              <w:rPr>
                <w:rFonts w:cs="Calibri"/>
                <w:color w:val="7030A0"/>
                <w:sz w:val="14"/>
              </w:rPr>
              <w:t>AASB 102.38</w:t>
            </w:r>
          </w:p>
        </w:tc>
        <w:tc>
          <w:tcPr>
            <w:tcW w:w="3481" w:type="pct"/>
            <w:gridSpan w:val="3"/>
            <w:tcBorders>
              <w:left w:val="single" w:sz="2" w:space="0" w:color="auto"/>
            </w:tcBorders>
            <w:shd w:val="clear" w:color="auto" w:fill="7030A0"/>
          </w:tcPr>
          <w:p w14:paraId="2D09D68A" w14:textId="7EA8FACD" w:rsidR="00FC69F0" w:rsidRPr="00167B16" w:rsidRDefault="00FC69F0" w:rsidP="00FC69F0">
            <w:pPr>
              <w:pStyle w:val="CommentaryText"/>
              <w:tabs>
                <w:tab w:val="left" w:pos="3306"/>
              </w:tabs>
              <w:rPr>
                <w:rFonts w:cs="Calibri"/>
                <w:color w:val="FFFFFF" w:themeColor="background1"/>
                <w:sz w:val="18"/>
                <w:szCs w:val="18"/>
              </w:rPr>
            </w:pPr>
            <w:r w:rsidRPr="00167B16">
              <w:rPr>
                <w:color w:val="FFFFFF" w:themeColor="background1"/>
                <w:sz w:val="18"/>
                <w:szCs w:val="18"/>
              </w:rPr>
              <w:t>Cost of sales generally consists of those costs previously included in the measurement of inventory that has now been sold and unallocated production overheads and abnormal amounts of production costs of inventories. The circumstances of the entity may also warrant the inclusion of other amounts, such as distribution costs.</w:t>
            </w:r>
          </w:p>
        </w:tc>
      </w:tr>
      <w:tr w:rsidR="00C54CE1" w:rsidRPr="00DD296A" w14:paraId="26DA070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92"/>
        </w:trPr>
        <w:tc>
          <w:tcPr>
            <w:tcW w:w="609" w:type="pct"/>
            <w:tcBorders>
              <w:left w:val="single" w:sz="2" w:space="0" w:color="auto"/>
              <w:right w:val="single" w:sz="2" w:space="0" w:color="auto"/>
            </w:tcBorders>
          </w:tcPr>
          <w:p w14:paraId="56F19317" w14:textId="77777777" w:rsidR="00C54CE1" w:rsidRPr="00167B16" w:rsidRDefault="00C54CE1"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0CA4BC57" w14:textId="2EFB378B" w:rsidR="00C54CE1" w:rsidRPr="00C85383" w:rsidRDefault="00C54CE1" w:rsidP="00C54CE1">
            <w:pPr>
              <w:pStyle w:val="CommentaryText"/>
              <w:tabs>
                <w:tab w:val="left" w:pos="3306"/>
              </w:tabs>
              <w:spacing w:after="40"/>
              <w:rPr>
                <w:color w:val="FFFFFF" w:themeColor="background1"/>
                <w:szCs w:val="20"/>
              </w:rPr>
            </w:pPr>
            <w:r w:rsidRPr="00C85383">
              <w:rPr>
                <w:rFonts w:cs="Calibri"/>
                <w:b/>
                <w:bCs/>
                <w:color w:val="FFFFFF" w:themeColor="background1"/>
                <w:szCs w:val="20"/>
              </w:rPr>
              <w:t>Territory Authority Commentary</w:t>
            </w:r>
          </w:p>
        </w:tc>
      </w:tr>
      <w:tr w:rsidR="00C54CE1" w:rsidRPr="00DD296A" w14:paraId="6E24A451"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910" w:type="pct"/>
          <w:trHeight w:val="283"/>
        </w:trPr>
        <w:tc>
          <w:tcPr>
            <w:tcW w:w="609" w:type="pct"/>
            <w:tcBorders>
              <w:left w:val="single" w:sz="2" w:space="0" w:color="auto"/>
              <w:right w:val="single" w:sz="2" w:space="0" w:color="auto"/>
            </w:tcBorders>
          </w:tcPr>
          <w:p w14:paraId="2952EED8" w14:textId="77777777" w:rsidR="00C54CE1" w:rsidRPr="00167B16" w:rsidRDefault="00C54CE1" w:rsidP="00FC69F0">
            <w:pPr>
              <w:pStyle w:val="TableReference"/>
              <w:tabs>
                <w:tab w:val="left" w:pos="3306"/>
              </w:tabs>
              <w:spacing w:before="60"/>
              <w:rPr>
                <w:rFonts w:cs="Calibri"/>
                <w:color w:val="7030A0"/>
                <w:sz w:val="14"/>
              </w:rPr>
            </w:pPr>
          </w:p>
        </w:tc>
        <w:tc>
          <w:tcPr>
            <w:tcW w:w="3481" w:type="pct"/>
            <w:gridSpan w:val="3"/>
            <w:tcBorders>
              <w:left w:val="single" w:sz="2" w:space="0" w:color="auto"/>
            </w:tcBorders>
            <w:shd w:val="clear" w:color="auto" w:fill="7030A0"/>
          </w:tcPr>
          <w:p w14:paraId="6DA1AADC" w14:textId="5E6CCAE6" w:rsidR="00C54CE1" w:rsidRPr="00167B16" w:rsidRDefault="00C54CE1" w:rsidP="00C54CE1">
            <w:pPr>
              <w:pStyle w:val="CommentaryText"/>
              <w:tabs>
                <w:tab w:val="left" w:pos="3306"/>
              </w:tabs>
              <w:rPr>
                <w:color w:val="FFFFFF" w:themeColor="background1"/>
                <w:sz w:val="18"/>
                <w:szCs w:val="18"/>
              </w:rPr>
            </w:pPr>
            <w:r w:rsidRPr="00167B16">
              <w:rPr>
                <w:color w:val="FFFFFF" w:themeColor="background1"/>
                <w:sz w:val="18"/>
                <w:szCs w:val="18"/>
              </w:rPr>
              <w:t>For- profit territory authorities that possess ‘inventories held for distribution’ will need to measure them at the lower of cost or net realisable value, rather than at cost adjusted for any service loss potential, as the latter option only applies to not-for-profit agencies.</w:t>
            </w:r>
          </w:p>
        </w:tc>
      </w:tr>
    </w:tbl>
    <w:p w14:paraId="79A184CE" w14:textId="64107491" w:rsidR="006C2C39" w:rsidRDefault="006C2C39" w:rsidP="00360217">
      <w:pPr>
        <w:pStyle w:val="Header"/>
        <w:rPr>
          <w:rFonts w:cs="Calibri"/>
          <w:sz w:val="20"/>
          <w:szCs w:val="20"/>
        </w:rPr>
      </w:pPr>
    </w:p>
    <w:p w14:paraId="6654C1F4" w14:textId="77777777" w:rsidR="006C2C39" w:rsidRDefault="006C2C39">
      <w:pPr>
        <w:rPr>
          <w:rFonts w:cs="Calibri"/>
          <w:sz w:val="20"/>
          <w:szCs w:val="20"/>
        </w:rPr>
      </w:pPr>
      <w:r>
        <w:rPr>
          <w:rFonts w:cs="Calibri"/>
          <w:sz w:val="20"/>
          <w:szCs w:val="20"/>
        </w:rPr>
        <w:br w:type="page"/>
      </w:r>
    </w:p>
    <w:tbl>
      <w:tblPr>
        <w:tblW w:w="5243"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3"/>
        <w:gridCol w:w="4681"/>
        <w:gridCol w:w="270"/>
        <w:gridCol w:w="1287"/>
        <w:gridCol w:w="7"/>
        <w:gridCol w:w="230"/>
        <w:gridCol w:w="330"/>
        <w:gridCol w:w="562"/>
        <w:gridCol w:w="150"/>
        <w:gridCol w:w="139"/>
        <w:gridCol w:w="1281"/>
        <w:gridCol w:w="7"/>
        <w:gridCol w:w="230"/>
      </w:tblGrid>
      <w:tr w:rsidR="000E568E" w:rsidRPr="00CF7E1B" w14:paraId="365195E2"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4470C3AE" w14:textId="77777777" w:rsidR="000E568E" w:rsidRPr="00AD586B" w:rsidRDefault="00DD296A" w:rsidP="005D26A0">
            <w:pPr>
              <w:pStyle w:val="TableReference"/>
              <w:tabs>
                <w:tab w:val="left" w:pos="3306"/>
              </w:tabs>
              <w:spacing w:before="240" w:after="240"/>
              <w:rPr>
                <w:rFonts w:cs="Calibri"/>
                <w:b/>
                <w:color w:val="7030A0"/>
                <w:sz w:val="22"/>
                <w:szCs w:val="22"/>
              </w:rPr>
            </w:pPr>
            <w:bookmarkStart w:id="518" w:name="AssetsHeldforSale" w:colFirst="1" w:colLast="1"/>
            <w:r w:rsidRPr="00AD586B">
              <w:rPr>
                <w:rFonts w:cs="Calibri"/>
                <w:b/>
                <w:color w:val="7030A0"/>
                <w:sz w:val="22"/>
                <w:szCs w:val="22"/>
              </w:rPr>
              <w:t>Reference</w:t>
            </w:r>
          </w:p>
        </w:tc>
        <w:tc>
          <w:tcPr>
            <w:tcW w:w="4168" w:type="pct"/>
            <w:gridSpan w:val="11"/>
            <w:tcBorders>
              <w:top w:val="nil"/>
              <w:left w:val="single" w:sz="4" w:space="0" w:color="auto"/>
              <w:bottom w:val="nil"/>
              <w:right w:val="nil"/>
            </w:tcBorders>
          </w:tcPr>
          <w:p w14:paraId="350FB2F8" w14:textId="461B72B6" w:rsidR="000E568E" w:rsidRPr="00167B16" w:rsidRDefault="00F73636" w:rsidP="00AD586B">
            <w:pPr>
              <w:pStyle w:val="Heading1"/>
              <w:numPr>
                <w:ilvl w:val="0"/>
                <w:numId w:val="0"/>
              </w:numPr>
            </w:pPr>
            <w:bookmarkStart w:id="519" w:name="OLE_LINK15"/>
            <w:bookmarkStart w:id="520" w:name="_Toc400627343"/>
            <w:bookmarkStart w:id="521" w:name="_Toc98763119"/>
            <w:r w:rsidRPr="00167B16">
              <w:t>Note</w:t>
            </w:r>
            <w:r w:rsidR="004A1911" w:rsidRPr="00167B16">
              <w:t xml:space="preserve"> </w:t>
            </w:r>
            <w:r w:rsidR="00762E7F" w:rsidRPr="00167B16">
              <w:t>18</w:t>
            </w:r>
            <w:r w:rsidR="003E53DD" w:rsidRPr="00167B16">
              <w:t>.</w:t>
            </w:r>
            <w:r w:rsidR="00FA7C77">
              <w:t xml:space="preserve"> </w:t>
            </w:r>
            <w:r w:rsidR="00ED39F2" w:rsidRPr="00167B16">
              <w:t xml:space="preserve"> </w:t>
            </w:r>
            <w:r w:rsidR="00DE622C" w:rsidRPr="00167B16">
              <w:t>Non</w:t>
            </w:r>
            <w:r w:rsidR="00BC0E47" w:rsidRPr="00167B16">
              <w:t xml:space="preserve">–Current </w:t>
            </w:r>
            <w:r w:rsidR="000E568E" w:rsidRPr="00167B16">
              <w:t>Assets Held For Sale</w:t>
            </w:r>
            <w:bookmarkEnd w:id="519"/>
            <w:bookmarkEnd w:id="520"/>
            <w:bookmarkEnd w:id="521"/>
          </w:p>
        </w:tc>
      </w:tr>
      <w:tr w:rsidR="00B471E0" w:rsidRPr="00CF7E1B" w14:paraId="3330BD0C"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1856603D" w14:textId="77777777" w:rsidR="00B471E0" w:rsidRPr="00AD586B" w:rsidRDefault="00B471E0" w:rsidP="00B471E0">
            <w:pPr>
              <w:pStyle w:val="TableReference"/>
              <w:rPr>
                <w:rFonts w:cs="Calibri"/>
                <w:color w:val="7030A0"/>
                <w:sz w:val="16"/>
                <w:szCs w:val="16"/>
              </w:rPr>
            </w:pPr>
          </w:p>
        </w:tc>
        <w:tc>
          <w:tcPr>
            <w:tcW w:w="4168" w:type="pct"/>
            <w:gridSpan w:val="11"/>
            <w:tcBorders>
              <w:top w:val="nil"/>
              <w:left w:val="single" w:sz="4" w:space="0" w:color="auto"/>
              <w:bottom w:val="nil"/>
              <w:right w:val="nil"/>
            </w:tcBorders>
          </w:tcPr>
          <w:p w14:paraId="44B6C858" w14:textId="7CB27C91" w:rsidR="00B471E0" w:rsidRPr="00167B16" w:rsidRDefault="004F40F6" w:rsidP="00B471E0">
            <w:pPr>
              <w:pStyle w:val="TableText"/>
              <w:spacing w:before="0"/>
              <w:jc w:val="both"/>
              <w:rPr>
                <w:b/>
                <w:bCs/>
              </w:rPr>
            </w:pPr>
            <w:r w:rsidRPr="00167B16">
              <w:rPr>
                <w:b/>
                <w:bCs/>
              </w:rPr>
              <w:t>Description and Material Accounting Policies Relating to Non-Current Assets Held for Sale</w:t>
            </w:r>
          </w:p>
        </w:tc>
      </w:tr>
      <w:bookmarkEnd w:id="518"/>
      <w:tr w:rsidR="00F9541D" w:rsidRPr="00CF7E1B" w14:paraId="22F4C82F"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72EFC502" w14:textId="77777777" w:rsidR="00F9541D" w:rsidRPr="00AD586B" w:rsidRDefault="00F9541D">
            <w:pPr>
              <w:pStyle w:val="TableReference"/>
              <w:rPr>
                <w:rFonts w:cs="Calibri"/>
                <w:color w:val="7030A0"/>
                <w:sz w:val="14"/>
              </w:rPr>
            </w:pPr>
            <w:r w:rsidRPr="00AD586B">
              <w:rPr>
                <w:rFonts w:cs="Calibri"/>
                <w:color w:val="7030A0"/>
                <w:sz w:val="14"/>
              </w:rPr>
              <w:t>AASB 5</w:t>
            </w:r>
            <w:r w:rsidR="00D65811" w:rsidRPr="00AD586B">
              <w:rPr>
                <w:rFonts w:cs="Calibri"/>
                <w:color w:val="7030A0"/>
                <w:sz w:val="14"/>
              </w:rPr>
              <w:t>.</w:t>
            </w:r>
            <w:r w:rsidRPr="00AD586B">
              <w:rPr>
                <w:rFonts w:cs="Calibri"/>
                <w:color w:val="7030A0"/>
                <w:sz w:val="14"/>
              </w:rPr>
              <w:t>41</w:t>
            </w:r>
          </w:p>
        </w:tc>
        <w:tc>
          <w:tcPr>
            <w:tcW w:w="4168" w:type="pct"/>
            <w:gridSpan w:val="11"/>
            <w:tcBorders>
              <w:top w:val="nil"/>
              <w:left w:val="single" w:sz="4" w:space="0" w:color="auto"/>
              <w:bottom w:val="nil"/>
              <w:right w:val="nil"/>
            </w:tcBorders>
            <w:vAlign w:val="bottom"/>
          </w:tcPr>
          <w:p w14:paraId="7365C99F" w14:textId="697AB261" w:rsidR="00F9541D" w:rsidRPr="00167B16" w:rsidRDefault="00F9541D" w:rsidP="00423AC2">
            <w:pPr>
              <w:pStyle w:val="TableText"/>
              <w:spacing w:before="0"/>
              <w:jc w:val="both"/>
              <w:rPr>
                <w:rFonts w:cs="Calibri"/>
              </w:rPr>
            </w:pPr>
            <w:r w:rsidRPr="00167B16">
              <w:rPr>
                <w:rFonts w:cs="Calibri"/>
              </w:rPr>
              <w:t xml:space="preserve">The </w:t>
            </w:r>
            <w:r w:rsidR="003C497C" w:rsidRPr="00167B16">
              <w:rPr>
                <w:rFonts w:cs="Calibri"/>
              </w:rPr>
              <w:t>Agency</w:t>
            </w:r>
            <w:r w:rsidRPr="00167B16">
              <w:rPr>
                <w:rFonts w:cs="Calibri"/>
              </w:rPr>
              <w:t xml:space="preserve"> has </w:t>
            </w:r>
            <w:r w:rsidR="00A72190">
              <w:rPr>
                <w:rFonts w:cs="Calibri"/>
              </w:rPr>
              <w:t>three</w:t>
            </w:r>
            <w:r w:rsidRPr="00167B16">
              <w:rPr>
                <w:rFonts w:cs="Calibri"/>
              </w:rPr>
              <w:t xml:space="preserve"> investment properties that are expected to be sold during the middle of </w:t>
            </w:r>
            <w:r w:rsidR="000F26CE" w:rsidRPr="00167B16">
              <w:rPr>
                <w:rFonts w:cs="Calibri"/>
              </w:rPr>
              <w:t xml:space="preserve">the </w:t>
            </w:r>
            <w:r w:rsidRPr="00167B16">
              <w:rPr>
                <w:rFonts w:cs="Calibri"/>
              </w:rPr>
              <w:t xml:space="preserve">next </w:t>
            </w:r>
            <w:r w:rsidR="00582C5C" w:rsidRPr="00167B16">
              <w:rPr>
                <w:rFonts w:cs="Calibri"/>
              </w:rPr>
              <w:t>r</w:t>
            </w:r>
            <w:r w:rsidR="000F26CE" w:rsidRPr="00167B16">
              <w:rPr>
                <w:rFonts w:cs="Calibri"/>
              </w:rPr>
              <w:t xml:space="preserve">eporting </w:t>
            </w:r>
            <w:r w:rsidR="00582C5C" w:rsidRPr="00167B16">
              <w:rPr>
                <w:rFonts w:cs="Calibri"/>
              </w:rPr>
              <w:t>p</w:t>
            </w:r>
            <w:r w:rsidR="000F26CE" w:rsidRPr="00167B16">
              <w:rPr>
                <w:rFonts w:cs="Calibri"/>
              </w:rPr>
              <w:t>eriod</w:t>
            </w:r>
            <w:r w:rsidRPr="00167B16">
              <w:rPr>
                <w:rFonts w:cs="Calibri"/>
              </w:rPr>
              <w:t>.</w:t>
            </w:r>
            <w:r w:rsidR="00FA7C77">
              <w:rPr>
                <w:rFonts w:cs="Calibri"/>
              </w:rPr>
              <w:t xml:space="preserve"> </w:t>
            </w:r>
            <w:r w:rsidR="009110A8" w:rsidRPr="00167B16">
              <w:rPr>
                <w:rFonts w:cs="Calibri"/>
              </w:rPr>
              <w:t>The Agency is also disposing of plant and equipment as a result of a restructuring of its maintenance division.</w:t>
            </w:r>
          </w:p>
        </w:tc>
      </w:tr>
      <w:tr w:rsidR="00DB7306" w:rsidRPr="00CF7E1B" w14:paraId="5EA806B2"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6ACE1AF9" w14:textId="184BE9D4" w:rsidR="00DB7306" w:rsidRPr="00AD586B" w:rsidRDefault="00DB7306">
            <w:pPr>
              <w:pStyle w:val="TableReference"/>
              <w:rPr>
                <w:rFonts w:cs="Calibri"/>
                <w:color w:val="7030A0"/>
                <w:sz w:val="14"/>
              </w:rPr>
            </w:pPr>
            <w:r w:rsidRPr="00AD586B">
              <w:rPr>
                <w:color w:val="7030A0"/>
                <w:sz w:val="14"/>
              </w:rPr>
              <w:t xml:space="preserve">AASB 5.6 &amp; 7 </w:t>
            </w:r>
          </w:p>
        </w:tc>
        <w:tc>
          <w:tcPr>
            <w:tcW w:w="4168" w:type="pct"/>
            <w:gridSpan w:val="11"/>
            <w:tcBorders>
              <w:top w:val="nil"/>
              <w:left w:val="single" w:sz="4" w:space="0" w:color="auto"/>
              <w:bottom w:val="nil"/>
              <w:right w:val="nil"/>
            </w:tcBorders>
            <w:vAlign w:val="bottom"/>
          </w:tcPr>
          <w:p w14:paraId="7FEDBE3C" w14:textId="1A0F63DC" w:rsidR="00DB7306" w:rsidRPr="00167B16" w:rsidRDefault="00DB7306" w:rsidP="005035D6">
            <w:pPr>
              <w:spacing w:before="120" w:after="120"/>
              <w:jc w:val="both"/>
              <w:rPr>
                <w:sz w:val="18"/>
                <w:szCs w:val="18"/>
              </w:rPr>
            </w:pPr>
            <w:r w:rsidRPr="00167B16">
              <w:rPr>
                <w:sz w:val="18"/>
                <w:szCs w:val="18"/>
              </w:rPr>
              <w:t>Non-current assets held for sale are assets that are available for immediate sale in their present condition, and their sale is highly probable.</w:t>
            </w:r>
          </w:p>
        </w:tc>
      </w:tr>
      <w:tr w:rsidR="00DB7306" w:rsidRPr="00CF7E1B" w14:paraId="5C36F1F5"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5AA09881" w14:textId="33563851" w:rsidR="00DB7306" w:rsidRPr="00AD586B" w:rsidRDefault="00DB7306">
            <w:pPr>
              <w:pStyle w:val="TableReference"/>
              <w:rPr>
                <w:rFonts w:cs="Calibri"/>
                <w:color w:val="7030A0"/>
                <w:sz w:val="14"/>
              </w:rPr>
            </w:pPr>
            <w:r w:rsidRPr="00AD586B">
              <w:rPr>
                <w:color w:val="7030A0"/>
                <w:sz w:val="14"/>
              </w:rPr>
              <w:t>AASB 5.15, 20 &amp; 25</w:t>
            </w:r>
          </w:p>
        </w:tc>
        <w:tc>
          <w:tcPr>
            <w:tcW w:w="4168" w:type="pct"/>
            <w:gridSpan w:val="11"/>
            <w:tcBorders>
              <w:top w:val="nil"/>
              <w:left w:val="single" w:sz="4" w:space="0" w:color="auto"/>
              <w:bottom w:val="nil"/>
              <w:right w:val="nil"/>
            </w:tcBorders>
            <w:vAlign w:val="bottom"/>
          </w:tcPr>
          <w:p w14:paraId="5E076191" w14:textId="3A23E20D" w:rsidR="00DB7306" w:rsidRPr="00167B16" w:rsidRDefault="00DB7306" w:rsidP="00B471E0">
            <w:pPr>
              <w:pStyle w:val="TableText"/>
              <w:spacing w:before="0" w:after="120"/>
              <w:jc w:val="both"/>
              <w:rPr>
                <w:rFonts w:cs="Calibri"/>
              </w:rPr>
            </w:pPr>
            <w:r w:rsidRPr="00167B16">
              <w:rPr>
                <w:rFonts w:cs="Calibri"/>
                <w:szCs w:val="20"/>
              </w:rPr>
              <w:t>Assets held for sale are measured at the lower of the carrying amount and fair value less costs to sell.</w:t>
            </w:r>
            <w:r w:rsidR="00FA7C77">
              <w:rPr>
                <w:rFonts w:cs="Calibri"/>
                <w:szCs w:val="20"/>
              </w:rPr>
              <w:t xml:space="preserve"> </w:t>
            </w:r>
            <w:r w:rsidRPr="00167B16">
              <w:rPr>
                <w:rFonts w:cs="Calibri"/>
                <w:szCs w:val="20"/>
              </w:rPr>
              <w:t xml:space="preserve">An impairment loss is recognised for any initial or subsequent write down of the asset to fair value less cost to sell </w:t>
            </w:r>
            <w:r w:rsidRPr="00167B16">
              <w:t xml:space="preserve">(Note </w:t>
            </w:r>
            <w:r w:rsidR="00762E7F" w:rsidRPr="00167B16">
              <w:t xml:space="preserve">14 </w:t>
            </w:r>
            <w:r w:rsidR="00C54CE1" w:rsidRPr="00167B16">
              <w:rPr>
                <w:i/>
                <w:iCs/>
              </w:rPr>
              <w:t>Other Expenses</w:t>
            </w:r>
            <w:r w:rsidRPr="00167B16">
              <w:t>).</w:t>
            </w:r>
            <w:r w:rsidRPr="00167B16">
              <w:rPr>
                <w:rFonts w:cs="Calibri"/>
                <w:szCs w:val="20"/>
              </w:rPr>
              <w:t xml:space="preserve"> Assets held for sale are not depreciated.</w:t>
            </w:r>
          </w:p>
        </w:tc>
      </w:tr>
      <w:tr w:rsidR="000E568E" w:rsidRPr="00CF7E1B" w14:paraId="1ED7A40D"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23B06A73" w14:textId="77777777" w:rsidR="000E568E" w:rsidRPr="00AD586B" w:rsidRDefault="000E568E">
            <w:pPr>
              <w:pStyle w:val="TableText"/>
              <w:rPr>
                <w:rFonts w:cs="Calibri"/>
                <w:color w:val="7030A0"/>
                <w:sz w:val="16"/>
                <w:szCs w:val="16"/>
              </w:rPr>
            </w:pPr>
          </w:p>
        </w:tc>
        <w:tc>
          <w:tcPr>
            <w:tcW w:w="2910" w:type="pct"/>
            <w:gridSpan w:val="4"/>
            <w:tcBorders>
              <w:top w:val="nil"/>
              <w:left w:val="single" w:sz="4" w:space="0" w:color="auto"/>
              <w:bottom w:val="nil"/>
              <w:right w:val="nil"/>
            </w:tcBorders>
            <w:vAlign w:val="bottom"/>
          </w:tcPr>
          <w:p w14:paraId="41F07A2B" w14:textId="77777777" w:rsidR="000E568E" w:rsidRPr="00167B16" w:rsidRDefault="000E568E">
            <w:pPr>
              <w:pStyle w:val="TableText"/>
              <w:rPr>
                <w:rFonts w:cs="Calibri"/>
              </w:rPr>
            </w:pPr>
          </w:p>
        </w:tc>
        <w:tc>
          <w:tcPr>
            <w:tcW w:w="523" w:type="pct"/>
            <w:gridSpan w:val="3"/>
            <w:tcBorders>
              <w:top w:val="nil"/>
              <w:left w:val="nil"/>
              <w:bottom w:val="nil"/>
              <w:right w:val="nil"/>
            </w:tcBorders>
            <w:vAlign w:val="bottom"/>
          </w:tcPr>
          <w:p w14:paraId="418BACE5" w14:textId="52ADEE76" w:rsidR="000E568E" w:rsidRPr="00167B16" w:rsidRDefault="007202A5">
            <w:pPr>
              <w:pStyle w:val="TableTitle"/>
              <w:tabs>
                <w:tab w:val="left" w:pos="3306"/>
              </w:tabs>
              <w:rPr>
                <w:rFonts w:cs="Calibri"/>
              </w:rPr>
            </w:pPr>
            <w:r w:rsidRPr="00167B16">
              <w:rPr>
                <w:rFonts w:cs="Calibri"/>
              </w:rPr>
              <w:t>2022</w:t>
            </w:r>
          </w:p>
          <w:p w14:paraId="2674AEE6" w14:textId="77777777" w:rsidR="000E568E" w:rsidRPr="00167B16" w:rsidRDefault="000E568E">
            <w:pPr>
              <w:pStyle w:val="TableTitle"/>
              <w:tabs>
                <w:tab w:val="left" w:pos="3306"/>
              </w:tabs>
              <w:rPr>
                <w:rFonts w:cs="Calibri"/>
              </w:rPr>
            </w:pPr>
            <w:r w:rsidRPr="00167B16">
              <w:rPr>
                <w:rFonts w:cs="Calibri"/>
              </w:rPr>
              <w:t>$’000</w:t>
            </w:r>
          </w:p>
        </w:tc>
        <w:tc>
          <w:tcPr>
            <w:tcW w:w="735" w:type="pct"/>
            <w:gridSpan w:val="4"/>
            <w:tcBorders>
              <w:top w:val="nil"/>
              <w:left w:val="nil"/>
              <w:bottom w:val="nil"/>
              <w:right w:val="nil"/>
            </w:tcBorders>
            <w:vAlign w:val="bottom"/>
          </w:tcPr>
          <w:p w14:paraId="656681FF" w14:textId="3028056E" w:rsidR="000E568E" w:rsidRPr="00167B16" w:rsidRDefault="00DE6C8A">
            <w:pPr>
              <w:pStyle w:val="TableTitle"/>
              <w:tabs>
                <w:tab w:val="left" w:pos="3306"/>
              </w:tabs>
              <w:rPr>
                <w:rFonts w:cs="Calibri"/>
              </w:rPr>
            </w:pPr>
            <w:r w:rsidRPr="00167B16">
              <w:rPr>
                <w:rFonts w:cs="Calibri"/>
              </w:rPr>
              <w:t>2021</w:t>
            </w:r>
          </w:p>
          <w:p w14:paraId="289608AD" w14:textId="77777777" w:rsidR="000E568E" w:rsidRPr="00167B16" w:rsidRDefault="000E568E">
            <w:pPr>
              <w:pStyle w:val="TableTitle"/>
              <w:tabs>
                <w:tab w:val="left" w:pos="3306"/>
              </w:tabs>
              <w:rPr>
                <w:rFonts w:cs="Calibri"/>
              </w:rPr>
            </w:pPr>
            <w:r w:rsidRPr="00167B16">
              <w:rPr>
                <w:rFonts w:cs="Calibri"/>
              </w:rPr>
              <w:t>$’000</w:t>
            </w:r>
          </w:p>
        </w:tc>
      </w:tr>
      <w:tr w:rsidR="000E568E" w:rsidRPr="00CF7E1B" w14:paraId="1238D13B"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51BD39F9" w14:textId="77777777" w:rsidR="000E568E" w:rsidRPr="00AD586B" w:rsidRDefault="000E568E">
            <w:pPr>
              <w:pStyle w:val="TableReference"/>
              <w:spacing w:before="60"/>
              <w:rPr>
                <w:rFonts w:cs="Calibri"/>
                <w:color w:val="7030A0"/>
                <w:sz w:val="14"/>
              </w:rPr>
            </w:pPr>
            <w:r w:rsidRPr="00AD586B">
              <w:rPr>
                <w:rFonts w:cs="Calibri"/>
                <w:color w:val="7030A0"/>
                <w:sz w:val="14"/>
              </w:rPr>
              <w:t>AASB 5</w:t>
            </w:r>
            <w:r w:rsidR="00D65811" w:rsidRPr="00AD586B">
              <w:rPr>
                <w:rFonts w:cs="Calibri"/>
                <w:color w:val="7030A0"/>
                <w:sz w:val="14"/>
              </w:rPr>
              <w:t>.</w:t>
            </w:r>
            <w:r w:rsidRPr="00AD586B">
              <w:rPr>
                <w:rFonts w:cs="Calibri"/>
                <w:color w:val="7030A0"/>
                <w:sz w:val="14"/>
              </w:rPr>
              <w:t>38</w:t>
            </w:r>
          </w:p>
        </w:tc>
        <w:tc>
          <w:tcPr>
            <w:tcW w:w="2910" w:type="pct"/>
            <w:gridSpan w:val="4"/>
            <w:tcBorders>
              <w:top w:val="nil"/>
              <w:left w:val="single" w:sz="4" w:space="0" w:color="auto"/>
              <w:bottom w:val="nil"/>
              <w:right w:val="nil"/>
            </w:tcBorders>
            <w:vAlign w:val="bottom"/>
          </w:tcPr>
          <w:p w14:paraId="6365E896" w14:textId="7271022F" w:rsidR="000E568E" w:rsidRPr="00167B16" w:rsidRDefault="000E568E" w:rsidP="008F7C8F">
            <w:pPr>
              <w:pStyle w:val="TableText"/>
              <w:rPr>
                <w:rFonts w:cs="Calibri"/>
              </w:rPr>
            </w:pPr>
            <w:r w:rsidRPr="00167B16">
              <w:rPr>
                <w:rFonts w:cs="Calibri"/>
              </w:rPr>
              <w:t xml:space="preserve">Plant and Equipment </w:t>
            </w:r>
            <w:r w:rsidR="004A0397" w:rsidRPr="00167B16">
              <w:rPr>
                <w:rFonts w:cs="Calibri"/>
              </w:rPr>
              <w:t>H</w:t>
            </w:r>
            <w:r w:rsidRPr="00167B16">
              <w:rPr>
                <w:rFonts w:cs="Calibri"/>
              </w:rPr>
              <w:t xml:space="preserve">eld for </w:t>
            </w:r>
            <w:r w:rsidR="004A0397" w:rsidRPr="00167B16">
              <w:rPr>
                <w:rFonts w:cs="Calibri"/>
              </w:rPr>
              <w:t>S</w:t>
            </w:r>
            <w:r w:rsidRPr="00167B16">
              <w:rPr>
                <w:rFonts w:cs="Calibri"/>
              </w:rPr>
              <w:t>ale</w:t>
            </w:r>
            <w:r w:rsidRPr="00167B16">
              <w:rPr>
                <w:rFonts w:cs="Calibri"/>
                <w:vertAlign w:val="superscript"/>
              </w:rPr>
              <w:t>a</w:t>
            </w:r>
          </w:p>
        </w:tc>
        <w:tc>
          <w:tcPr>
            <w:tcW w:w="523" w:type="pct"/>
            <w:gridSpan w:val="3"/>
            <w:tcBorders>
              <w:top w:val="nil"/>
              <w:left w:val="nil"/>
              <w:bottom w:val="nil"/>
              <w:right w:val="nil"/>
            </w:tcBorders>
            <w:vAlign w:val="bottom"/>
          </w:tcPr>
          <w:p w14:paraId="5798A83E" w14:textId="08D982DD" w:rsidR="000E568E" w:rsidRPr="00167B16" w:rsidRDefault="000E568E">
            <w:pPr>
              <w:pStyle w:val="TableText"/>
              <w:jc w:val="right"/>
              <w:rPr>
                <w:rFonts w:cs="Calibri"/>
              </w:rPr>
            </w:pPr>
          </w:p>
        </w:tc>
        <w:tc>
          <w:tcPr>
            <w:tcW w:w="735" w:type="pct"/>
            <w:gridSpan w:val="4"/>
            <w:tcBorders>
              <w:top w:val="nil"/>
              <w:left w:val="nil"/>
              <w:bottom w:val="nil"/>
              <w:right w:val="nil"/>
            </w:tcBorders>
            <w:vAlign w:val="bottom"/>
          </w:tcPr>
          <w:p w14:paraId="167B45FE" w14:textId="4EA0C605" w:rsidR="000E568E" w:rsidRPr="00167B16" w:rsidRDefault="000E568E">
            <w:pPr>
              <w:pStyle w:val="TableText"/>
              <w:jc w:val="right"/>
              <w:rPr>
                <w:rFonts w:cs="Calibri"/>
              </w:rPr>
            </w:pPr>
          </w:p>
        </w:tc>
      </w:tr>
      <w:tr w:rsidR="000E568E" w:rsidRPr="00CF7E1B" w14:paraId="07EFA228"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28BF8180" w14:textId="77777777" w:rsidR="000E568E" w:rsidRPr="00AD586B" w:rsidRDefault="000E568E">
            <w:pPr>
              <w:pStyle w:val="TableReference"/>
              <w:spacing w:before="60"/>
              <w:rPr>
                <w:rFonts w:cs="Calibri"/>
                <w:color w:val="7030A0"/>
                <w:sz w:val="14"/>
              </w:rPr>
            </w:pPr>
          </w:p>
        </w:tc>
        <w:tc>
          <w:tcPr>
            <w:tcW w:w="2910" w:type="pct"/>
            <w:gridSpan w:val="4"/>
            <w:tcBorders>
              <w:top w:val="nil"/>
              <w:left w:val="single" w:sz="4" w:space="0" w:color="auto"/>
              <w:bottom w:val="nil"/>
              <w:right w:val="nil"/>
            </w:tcBorders>
            <w:vAlign w:val="bottom"/>
          </w:tcPr>
          <w:p w14:paraId="55D7E6C3" w14:textId="746DC5E0" w:rsidR="000E568E" w:rsidRPr="00167B16" w:rsidRDefault="000E568E" w:rsidP="008F7C8F">
            <w:pPr>
              <w:pStyle w:val="TableText"/>
              <w:rPr>
                <w:rFonts w:cs="Calibri"/>
              </w:rPr>
            </w:pPr>
            <w:r w:rsidRPr="00167B16">
              <w:rPr>
                <w:rFonts w:cs="Calibri"/>
              </w:rPr>
              <w:t xml:space="preserve">Investment Property </w:t>
            </w:r>
            <w:r w:rsidR="004A0397" w:rsidRPr="00167B16">
              <w:rPr>
                <w:rFonts w:cs="Calibri"/>
              </w:rPr>
              <w:t>Held for Sale</w:t>
            </w:r>
            <w:bookmarkStart w:id="522" w:name="OLE_LINK31"/>
            <w:r w:rsidRPr="00167B16">
              <w:rPr>
                <w:rFonts w:cs="Calibri"/>
                <w:vertAlign w:val="superscript"/>
              </w:rPr>
              <w:t>b</w:t>
            </w:r>
            <w:bookmarkEnd w:id="522"/>
          </w:p>
        </w:tc>
        <w:tc>
          <w:tcPr>
            <w:tcW w:w="523" w:type="pct"/>
            <w:gridSpan w:val="3"/>
            <w:tcBorders>
              <w:top w:val="nil"/>
              <w:left w:val="nil"/>
              <w:bottom w:val="single" w:sz="4" w:space="0" w:color="auto"/>
              <w:right w:val="nil"/>
            </w:tcBorders>
            <w:vAlign w:val="bottom"/>
          </w:tcPr>
          <w:p w14:paraId="56BCA9D2" w14:textId="4E849EC7" w:rsidR="000E568E" w:rsidRPr="00167B16" w:rsidRDefault="000E568E">
            <w:pPr>
              <w:pStyle w:val="TableText"/>
              <w:jc w:val="right"/>
              <w:rPr>
                <w:rFonts w:cs="Calibri"/>
              </w:rPr>
            </w:pPr>
          </w:p>
        </w:tc>
        <w:tc>
          <w:tcPr>
            <w:tcW w:w="735" w:type="pct"/>
            <w:gridSpan w:val="4"/>
            <w:tcBorders>
              <w:top w:val="nil"/>
              <w:left w:val="nil"/>
              <w:bottom w:val="single" w:sz="4" w:space="0" w:color="auto"/>
              <w:right w:val="nil"/>
            </w:tcBorders>
            <w:vAlign w:val="bottom"/>
          </w:tcPr>
          <w:p w14:paraId="1ECBB51B" w14:textId="1B7E11FC" w:rsidR="000E568E" w:rsidRPr="00167B16" w:rsidRDefault="000E568E">
            <w:pPr>
              <w:pStyle w:val="TableText"/>
              <w:jc w:val="right"/>
              <w:rPr>
                <w:rFonts w:cs="Calibri"/>
              </w:rPr>
            </w:pPr>
          </w:p>
        </w:tc>
      </w:tr>
      <w:tr w:rsidR="000E568E" w:rsidRPr="00CF7E1B" w14:paraId="2777764D" w14:textId="77777777" w:rsidTr="005F5B4C">
        <w:trPr>
          <w:gridAfter w:val="1"/>
          <w:wAfter w:w="107" w:type="pct"/>
          <w:cantSplit/>
          <w:trHeight w:val="289"/>
        </w:trPr>
        <w:tc>
          <w:tcPr>
            <w:tcW w:w="724" w:type="pct"/>
            <w:tcBorders>
              <w:top w:val="nil"/>
              <w:left w:val="single" w:sz="4" w:space="0" w:color="auto"/>
              <w:bottom w:val="nil"/>
              <w:right w:val="single" w:sz="4" w:space="0" w:color="auto"/>
            </w:tcBorders>
          </w:tcPr>
          <w:p w14:paraId="0F2C87BD" w14:textId="77777777" w:rsidR="000E568E" w:rsidRPr="00AD586B" w:rsidRDefault="000E568E">
            <w:pPr>
              <w:pStyle w:val="TableReference"/>
              <w:rPr>
                <w:rFonts w:cs="Calibri"/>
                <w:color w:val="7030A0"/>
                <w:sz w:val="14"/>
              </w:rPr>
            </w:pPr>
          </w:p>
        </w:tc>
        <w:tc>
          <w:tcPr>
            <w:tcW w:w="2910" w:type="pct"/>
            <w:gridSpan w:val="4"/>
            <w:tcBorders>
              <w:top w:val="nil"/>
              <w:left w:val="single" w:sz="4" w:space="0" w:color="auto"/>
              <w:bottom w:val="nil"/>
              <w:right w:val="nil"/>
            </w:tcBorders>
            <w:vAlign w:val="bottom"/>
          </w:tcPr>
          <w:p w14:paraId="3A6021C5" w14:textId="2825473D" w:rsidR="000E568E" w:rsidRPr="00167B16" w:rsidRDefault="000E568E" w:rsidP="008F7C8F">
            <w:pPr>
              <w:pStyle w:val="TableText"/>
              <w:rPr>
                <w:rFonts w:cs="Calibri"/>
                <w:b/>
                <w:bCs/>
              </w:rPr>
            </w:pPr>
            <w:r w:rsidRPr="00167B16">
              <w:rPr>
                <w:rFonts w:cs="Calibri"/>
                <w:b/>
                <w:bCs/>
              </w:rPr>
              <w:t xml:space="preserve">Total </w:t>
            </w:r>
            <w:r w:rsidR="008F7C8F" w:rsidRPr="00167B16">
              <w:rPr>
                <w:rFonts w:cs="Calibri"/>
                <w:b/>
                <w:bCs/>
              </w:rPr>
              <w:t xml:space="preserve">Non-Current </w:t>
            </w:r>
            <w:r w:rsidRPr="00167B16">
              <w:rPr>
                <w:rFonts w:cs="Calibri"/>
                <w:b/>
                <w:bCs/>
              </w:rPr>
              <w:t>Assets Held for Sale</w:t>
            </w:r>
          </w:p>
        </w:tc>
        <w:tc>
          <w:tcPr>
            <w:tcW w:w="523" w:type="pct"/>
            <w:gridSpan w:val="3"/>
            <w:tcBorders>
              <w:top w:val="single" w:sz="4" w:space="0" w:color="auto"/>
              <w:left w:val="nil"/>
              <w:bottom w:val="double" w:sz="4" w:space="0" w:color="auto"/>
              <w:right w:val="nil"/>
            </w:tcBorders>
            <w:vAlign w:val="bottom"/>
          </w:tcPr>
          <w:p w14:paraId="14FC60AE" w14:textId="404ACF3D" w:rsidR="000E568E" w:rsidRPr="00167B16" w:rsidRDefault="000E568E">
            <w:pPr>
              <w:pStyle w:val="TableText"/>
              <w:jc w:val="right"/>
              <w:rPr>
                <w:rFonts w:cs="Calibri"/>
                <w:b/>
                <w:bCs/>
              </w:rPr>
            </w:pPr>
          </w:p>
        </w:tc>
        <w:tc>
          <w:tcPr>
            <w:tcW w:w="735" w:type="pct"/>
            <w:gridSpan w:val="4"/>
            <w:tcBorders>
              <w:top w:val="single" w:sz="4" w:space="0" w:color="auto"/>
              <w:left w:val="nil"/>
              <w:bottom w:val="double" w:sz="4" w:space="0" w:color="auto"/>
              <w:right w:val="nil"/>
            </w:tcBorders>
            <w:vAlign w:val="bottom"/>
          </w:tcPr>
          <w:p w14:paraId="3115AC15" w14:textId="50CC14E7" w:rsidR="000E568E" w:rsidRPr="00167B16" w:rsidRDefault="000E568E">
            <w:pPr>
              <w:pStyle w:val="TableText"/>
              <w:jc w:val="right"/>
              <w:rPr>
                <w:rFonts w:cs="Calibri"/>
                <w:b/>
                <w:bCs/>
              </w:rPr>
            </w:pPr>
          </w:p>
        </w:tc>
      </w:tr>
      <w:tr w:rsidR="004F40F6" w:rsidRPr="00CF7E1B" w14:paraId="31892458" w14:textId="77777777" w:rsidTr="005F5B4C">
        <w:trPr>
          <w:gridAfter w:val="1"/>
          <w:wAfter w:w="107" w:type="pct"/>
          <w:cantSplit/>
          <w:trHeight w:val="289"/>
        </w:trPr>
        <w:tc>
          <w:tcPr>
            <w:tcW w:w="724" w:type="pct"/>
            <w:tcBorders>
              <w:top w:val="nil"/>
              <w:left w:val="single" w:sz="4" w:space="0" w:color="auto"/>
              <w:bottom w:val="nil"/>
              <w:right w:val="single" w:sz="4" w:space="0" w:color="auto"/>
            </w:tcBorders>
          </w:tcPr>
          <w:p w14:paraId="1A32C65E" w14:textId="77777777" w:rsidR="004F40F6" w:rsidRPr="00AD586B" w:rsidRDefault="004F40F6">
            <w:pPr>
              <w:pStyle w:val="TableReference"/>
              <w:rPr>
                <w:rFonts w:cs="Calibri"/>
                <w:color w:val="7030A0"/>
                <w:sz w:val="14"/>
              </w:rPr>
            </w:pPr>
          </w:p>
        </w:tc>
        <w:tc>
          <w:tcPr>
            <w:tcW w:w="2910" w:type="pct"/>
            <w:gridSpan w:val="4"/>
            <w:tcBorders>
              <w:top w:val="nil"/>
              <w:left w:val="single" w:sz="4" w:space="0" w:color="auto"/>
              <w:bottom w:val="nil"/>
              <w:right w:val="nil"/>
            </w:tcBorders>
            <w:vAlign w:val="bottom"/>
          </w:tcPr>
          <w:p w14:paraId="28F0B2AE" w14:textId="77777777" w:rsidR="004F40F6" w:rsidRPr="00167B16" w:rsidRDefault="004F40F6" w:rsidP="008F7C8F">
            <w:pPr>
              <w:pStyle w:val="TableText"/>
              <w:rPr>
                <w:rFonts w:cs="Calibri"/>
                <w:b/>
                <w:bCs/>
              </w:rPr>
            </w:pPr>
          </w:p>
        </w:tc>
        <w:tc>
          <w:tcPr>
            <w:tcW w:w="523" w:type="pct"/>
            <w:gridSpan w:val="3"/>
            <w:tcBorders>
              <w:top w:val="double" w:sz="4" w:space="0" w:color="auto"/>
              <w:left w:val="nil"/>
              <w:bottom w:val="nil"/>
              <w:right w:val="nil"/>
            </w:tcBorders>
            <w:vAlign w:val="bottom"/>
          </w:tcPr>
          <w:p w14:paraId="35038F55" w14:textId="77777777" w:rsidR="004F40F6" w:rsidRPr="00167B16" w:rsidRDefault="004F40F6">
            <w:pPr>
              <w:pStyle w:val="TableText"/>
              <w:jc w:val="right"/>
              <w:rPr>
                <w:rFonts w:cs="Calibri"/>
                <w:b/>
                <w:bCs/>
              </w:rPr>
            </w:pPr>
          </w:p>
        </w:tc>
        <w:tc>
          <w:tcPr>
            <w:tcW w:w="735" w:type="pct"/>
            <w:gridSpan w:val="4"/>
            <w:tcBorders>
              <w:top w:val="double" w:sz="4" w:space="0" w:color="auto"/>
              <w:left w:val="nil"/>
              <w:bottom w:val="nil"/>
              <w:right w:val="nil"/>
            </w:tcBorders>
            <w:vAlign w:val="bottom"/>
          </w:tcPr>
          <w:p w14:paraId="649E8CB7" w14:textId="77777777" w:rsidR="004F40F6" w:rsidRPr="00167B16" w:rsidRDefault="004F40F6">
            <w:pPr>
              <w:pStyle w:val="TableText"/>
              <w:jc w:val="right"/>
              <w:rPr>
                <w:rFonts w:cs="Calibri"/>
                <w:b/>
                <w:bCs/>
              </w:rPr>
            </w:pPr>
          </w:p>
        </w:tc>
      </w:tr>
      <w:tr w:rsidR="000E568E" w:rsidRPr="00CF7E1B" w14:paraId="0D335736"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2D022531" w14:textId="77777777" w:rsidR="000E568E" w:rsidRPr="00AD586B" w:rsidRDefault="000E568E" w:rsidP="008F7C8F">
            <w:pPr>
              <w:pStyle w:val="TableReference"/>
              <w:rPr>
                <w:rFonts w:cs="Calibri"/>
                <w:color w:val="7030A0"/>
                <w:sz w:val="14"/>
              </w:rPr>
            </w:pPr>
          </w:p>
        </w:tc>
        <w:tc>
          <w:tcPr>
            <w:tcW w:w="4168" w:type="pct"/>
            <w:gridSpan w:val="11"/>
            <w:tcBorders>
              <w:top w:val="nil"/>
              <w:left w:val="single" w:sz="4" w:space="0" w:color="auto"/>
              <w:bottom w:val="nil"/>
              <w:right w:val="nil"/>
            </w:tcBorders>
            <w:vAlign w:val="bottom"/>
          </w:tcPr>
          <w:p w14:paraId="46598BA3" w14:textId="4849C9FA" w:rsidR="000E568E" w:rsidRPr="00167B16" w:rsidRDefault="009110A8" w:rsidP="008F7C8F">
            <w:pPr>
              <w:ind w:left="207" w:hanging="207"/>
              <w:jc w:val="both"/>
              <w:rPr>
                <w:rFonts w:cs="Calibri"/>
                <w:sz w:val="18"/>
                <w:szCs w:val="18"/>
              </w:rPr>
            </w:pPr>
            <w:r w:rsidRPr="00167B16">
              <w:rPr>
                <w:rFonts w:cs="Calibri"/>
                <w:sz w:val="18"/>
                <w:szCs w:val="18"/>
              </w:rPr>
              <w:t>a)</w:t>
            </w:r>
            <w:r w:rsidRPr="00167B16">
              <w:rPr>
                <w:rFonts w:cs="Calibri"/>
                <w:sz w:val="18"/>
                <w:szCs w:val="18"/>
              </w:rPr>
              <w:tab/>
            </w:r>
            <w:r w:rsidR="00096734" w:rsidRPr="00167B16">
              <w:rPr>
                <w:rFonts w:cs="Calibri"/>
                <w:sz w:val="18"/>
                <w:szCs w:val="18"/>
              </w:rPr>
              <w:t>T</w:t>
            </w:r>
            <w:r w:rsidRPr="00167B16">
              <w:rPr>
                <w:rFonts w:cs="Calibri"/>
                <w:sz w:val="18"/>
                <w:szCs w:val="18"/>
              </w:rPr>
              <w:t xml:space="preserve">he increase in plant and equipment held for sale </w:t>
            </w:r>
            <w:r w:rsidR="000C0602" w:rsidRPr="00167B16">
              <w:rPr>
                <w:rFonts w:cs="Calibri"/>
                <w:sz w:val="18"/>
                <w:szCs w:val="18"/>
              </w:rPr>
              <w:t xml:space="preserve">of $xxx </w:t>
            </w:r>
            <w:r w:rsidRPr="00167B16">
              <w:rPr>
                <w:rFonts w:cs="Calibri"/>
                <w:sz w:val="18"/>
                <w:szCs w:val="18"/>
              </w:rPr>
              <w:t xml:space="preserve">can be attributed to </w:t>
            </w:r>
            <w:r w:rsidR="00A94274" w:rsidRPr="00167B16">
              <w:rPr>
                <w:rFonts w:cs="Calibri"/>
                <w:sz w:val="18"/>
                <w:szCs w:val="18"/>
              </w:rPr>
              <w:t>t</w:t>
            </w:r>
            <w:r w:rsidR="00F9541D" w:rsidRPr="00167B16">
              <w:rPr>
                <w:rFonts w:cs="Calibri"/>
                <w:sz w:val="18"/>
                <w:szCs w:val="18"/>
              </w:rPr>
              <w:t xml:space="preserve">he </w:t>
            </w:r>
            <w:r w:rsidR="008F7C8F" w:rsidRPr="00167B16">
              <w:rPr>
                <w:rFonts w:cs="Calibri"/>
                <w:sz w:val="18"/>
                <w:szCs w:val="18"/>
              </w:rPr>
              <w:t>a</w:t>
            </w:r>
            <w:r w:rsidR="003C497C" w:rsidRPr="00167B16">
              <w:rPr>
                <w:rFonts w:cs="Calibri"/>
                <w:sz w:val="18"/>
                <w:szCs w:val="18"/>
              </w:rPr>
              <w:t>gency</w:t>
            </w:r>
            <w:r w:rsidR="00F9541D" w:rsidRPr="00167B16">
              <w:rPr>
                <w:rFonts w:cs="Calibri"/>
                <w:sz w:val="18"/>
                <w:szCs w:val="18"/>
              </w:rPr>
              <w:t xml:space="preserve"> disposing of plant and equipment as a result of a restructuring of its maintenance division.</w:t>
            </w:r>
          </w:p>
          <w:p w14:paraId="744EC6F3" w14:textId="50B41A0C" w:rsidR="000E568E" w:rsidRPr="00167B16" w:rsidRDefault="000A559D" w:rsidP="008F7C8F">
            <w:pPr>
              <w:pStyle w:val="TableText"/>
              <w:spacing w:before="0"/>
              <w:ind w:left="207" w:hanging="207"/>
              <w:rPr>
                <w:rFonts w:cs="Calibri"/>
              </w:rPr>
            </w:pPr>
            <w:r w:rsidRPr="00167B16">
              <w:rPr>
                <w:rFonts w:cs="Calibri"/>
              </w:rPr>
              <w:t>b)</w:t>
            </w:r>
            <w:r w:rsidRPr="00167B16">
              <w:rPr>
                <w:rFonts w:cs="Calibri"/>
              </w:rPr>
              <w:tab/>
            </w:r>
            <w:r w:rsidR="00D61998" w:rsidRPr="00167B16">
              <w:rPr>
                <w:rFonts w:cs="Calibri"/>
              </w:rPr>
              <w:t>The increase in investment properties held for sale of $xxx</w:t>
            </w:r>
            <w:r w:rsidR="00E65C53" w:rsidRPr="00167B16">
              <w:rPr>
                <w:rFonts w:cs="Calibri"/>
              </w:rPr>
              <w:t xml:space="preserve"> was due to</w:t>
            </w:r>
            <w:r w:rsidR="00D61998" w:rsidRPr="00167B16">
              <w:rPr>
                <w:rFonts w:cs="Calibri"/>
              </w:rPr>
              <w:t xml:space="preserve"> </w:t>
            </w:r>
            <w:r w:rsidR="000E568E" w:rsidRPr="00167B16">
              <w:rPr>
                <w:rFonts w:cs="Calibri"/>
              </w:rPr>
              <w:t xml:space="preserve">no investment </w:t>
            </w:r>
            <w:r w:rsidR="0025046C" w:rsidRPr="00167B16">
              <w:rPr>
                <w:rFonts w:cs="Calibri"/>
              </w:rPr>
              <w:t xml:space="preserve">properties </w:t>
            </w:r>
            <w:r w:rsidR="00E65C53" w:rsidRPr="00167B16">
              <w:rPr>
                <w:rFonts w:cs="Calibri"/>
              </w:rPr>
              <w:t xml:space="preserve">being </w:t>
            </w:r>
            <w:r w:rsidR="0025046C" w:rsidRPr="00167B16">
              <w:rPr>
                <w:rFonts w:cs="Calibri"/>
              </w:rPr>
              <w:t>held for sale at the end of the previous reporting period</w:t>
            </w:r>
            <w:r w:rsidR="000E568E" w:rsidRPr="00167B16">
              <w:rPr>
                <w:rFonts w:cs="Calibri"/>
              </w:rPr>
              <w:t>.</w:t>
            </w:r>
          </w:p>
        </w:tc>
      </w:tr>
      <w:tr w:rsidR="00A96F4D" w:rsidRPr="00CF7E1B" w14:paraId="0B2A8E57"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05A55AB5" w14:textId="77777777" w:rsidR="00A96F4D" w:rsidRPr="00AD586B" w:rsidRDefault="00A96F4D">
            <w:pPr>
              <w:pStyle w:val="TableReference"/>
              <w:rPr>
                <w:rFonts w:cs="Calibri"/>
                <w:color w:val="7030A0"/>
                <w:sz w:val="14"/>
              </w:rPr>
            </w:pPr>
          </w:p>
        </w:tc>
        <w:tc>
          <w:tcPr>
            <w:tcW w:w="4168" w:type="pct"/>
            <w:gridSpan w:val="11"/>
            <w:tcBorders>
              <w:top w:val="nil"/>
              <w:left w:val="single" w:sz="4" w:space="0" w:color="auto"/>
              <w:bottom w:val="nil"/>
              <w:right w:val="nil"/>
            </w:tcBorders>
            <w:vAlign w:val="bottom"/>
          </w:tcPr>
          <w:p w14:paraId="33958C0D" w14:textId="77777777" w:rsidR="00A96F4D" w:rsidRPr="00167B16" w:rsidRDefault="00A96F4D" w:rsidP="009110A8">
            <w:pPr>
              <w:ind w:left="207" w:hanging="207"/>
              <w:jc w:val="both"/>
              <w:rPr>
                <w:rFonts w:cs="Calibri"/>
                <w:sz w:val="18"/>
                <w:szCs w:val="18"/>
              </w:rPr>
            </w:pPr>
          </w:p>
        </w:tc>
      </w:tr>
      <w:tr w:rsidR="00374524" w:rsidRPr="00CF7E1B" w14:paraId="0E0D5F86"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7AA35B3F" w14:textId="77777777" w:rsidR="00374524" w:rsidRPr="00AD586B" w:rsidRDefault="00374524">
            <w:pPr>
              <w:pStyle w:val="TableReference"/>
              <w:rPr>
                <w:rFonts w:cs="Calibri"/>
                <w:color w:val="7030A0"/>
                <w:sz w:val="14"/>
              </w:rPr>
            </w:pPr>
          </w:p>
        </w:tc>
        <w:tc>
          <w:tcPr>
            <w:tcW w:w="4168" w:type="pct"/>
            <w:gridSpan w:val="11"/>
            <w:tcBorders>
              <w:top w:val="nil"/>
              <w:left w:val="single" w:sz="4" w:space="0" w:color="auto"/>
              <w:bottom w:val="nil"/>
              <w:right w:val="nil"/>
            </w:tcBorders>
            <w:vAlign w:val="bottom"/>
          </w:tcPr>
          <w:p w14:paraId="67F07034" w14:textId="77777777" w:rsidR="00374524" w:rsidRPr="00167B16" w:rsidRDefault="00A96F4D" w:rsidP="00A96F4D">
            <w:pPr>
              <w:jc w:val="both"/>
              <w:rPr>
                <w:rFonts w:cs="Calibri"/>
                <w:b/>
                <w:sz w:val="18"/>
                <w:szCs w:val="18"/>
              </w:rPr>
            </w:pPr>
            <w:r w:rsidRPr="00167B16">
              <w:rPr>
                <w:rFonts w:cs="Calibri"/>
                <w:b/>
                <w:sz w:val="18"/>
                <w:szCs w:val="18"/>
              </w:rPr>
              <w:t>Fair Value Hierarchy</w:t>
            </w:r>
            <w:r w:rsidR="00260F74" w:rsidRPr="00167B16">
              <w:rPr>
                <w:rFonts w:cs="Calibri"/>
                <w:b/>
                <w:sz w:val="18"/>
                <w:szCs w:val="18"/>
              </w:rPr>
              <w:t xml:space="preserve"> </w:t>
            </w:r>
          </w:p>
        </w:tc>
      </w:tr>
      <w:tr w:rsidR="00BA2D61" w:rsidRPr="00CF7E1B" w14:paraId="72292D1B"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343247B4" w14:textId="77777777" w:rsidR="00BA2D61" w:rsidRPr="00AD586B" w:rsidRDefault="00BA2D61">
            <w:pPr>
              <w:pStyle w:val="TableReference"/>
              <w:rPr>
                <w:rFonts w:cs="Calibri"/>
                <w:color w:val="7030A0"/>
                <w:sz w:val="14"/>
              </w:rPr>
            </w:pPr>
          </w:p>
        </w:tc>
        <w:tc>
          <w:tcPr>
            <w:tcW w:w="4168" w:type="pct"/>
            <w:gridSpan w:val="11"/>
            <w:tcBorders>
              <w:top w:val="nil"/>
              <w:left w:val="single" w:sz="4" w:space="0" w:color="auto"/>
              <w:bottom w:val="nil"/>
              <w:right w:val="nil"/>
            </w:tcBorders>
            <w:vAlign w:val="bottom"/>
          </w:tcPr>
          <w:p w14:paraId="07F58CDA" w14:textId="59EE6055" w:rsidR="00BA2D61" w:rsidRPr="00167B16" w:rsidRDefault="00BA2D61" w:rsidP="00260F74">
            <w:pPr>
              <w:pStyle w:val="TableText"/>
              <w:spacing w:before="0"/>
              <w:rPr>
                <w:rFonts w:cs="Calibri"/>
              </w:rPr>
            </w:pPr>
            <w:r w:rsidRPr="00167B16">
              <w:rPr>
                <w:rFonts w:cs="Calibri"/>
              </w:rPr>
              <w:t>Details of the Agency’s assets held for sale at fair value and information about the Fair Value Hierarchy as at 30 June is as follows:</w:t>
            </w:r>
          </w:p>
        </w:tc>
      </w:tr>
      <w:tr w:rsidR="00BA2D61" w:rsidRPr="00CF7E1B" w14:paraId="1E947FCA"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19216345" w14:textId="77777777" w:rsidR="00BA2D61" w:rsidRPr="00AD586B" w:rsidRDefault="00BA2D61">
            <w:pPr>
              <w:pStyle w:val="TableReference"/>
              <w:rPr>
                <w:rFonts w:cs="Calibri"/>
                <w:color w:val="7030A0"/>
                <w:sz w:val="14"/>
              </w:rPr>
            </w:pPr>
          </w:p>
        </w:tc>
        <w:tc>
          <w:tcPr>
            <w:tcW w:w="2182" w:type="pct"/>
            <w:tcBorders>
              <w:top w:val="nil"/>
              <w:left w:val="single" w:sz="4" w:space="0" w:color="auto"/>
              <w:bottom w:val="nil"/>
              <w:right w:val="nil"/>
            </w:tcBorders>
            <w:vAlign w:val="bottom"/>
          </w:tcPr>
          <w:p w14:paraId="0DF6C892" w14:textId="77777777" w:rsidR="00BA2D61" w:rsidRPr="00167B16" w:rsidRDefault="00BA2D61" w:rsidP="00260F74">
            <w:pPr>
              <w:pStyle w:val="TableText"/>
              <w:spacing w:before="0"/>
              <w:rPr>
                <w:rFonts w:cs="Calibri"/>
              </w:rPr>
            </w:pPr>
          </w:p>
        </w:tc>
        <w:tc>
          <w:tcPr>
            <w:tcW w:w="1987" w:type="pct"/>
            <w:gridSpan w:val="10"/>
            <w:tcBorders>
              <w:top w:val="nil"/>
              <w:left w:val="nil"/>
              <w:bottom w:val="single" w:sz="4" w:space="0" w:color="auto"/>
              <w:right w:val="nil"/>
            </w:tcBorders>
            <w:vAlign w:val="center"/>
          </w:tcPr>
          <w:p w14:paraId="30EA10D5" w14:textId="630DD58E" w:rsidR="00BA2D61" w:rsidRPr="00167B16" w:rsidRDefault="00BA2D61" w:rsidP="00BA2D61">
            <w:pPr>
              <w:pStyle w:val="TableText"/>
              <w:spacing w:before="0"/>
              <w:jc w:val="center"/>
              <w:rPr>
                <w:rFonts w:cs="Calibri"/>
                <w:b/>
                <w:bCs/>
              </w:rPr>
            </w:pPr>
            <w:r w:rsidRPr="00167B16">
              <w:rPr>
                <w:rFonts w:cs="Calibri"/>
                <w:b/>
                <w:bCs/>
              </w:rPr>
              <w:t>Classification According to Fair Value Hierarchy 2022</w:t>
            </w:r>
          </w:p>
        </w:tc>
      </w:tr>
      <w:tr w:rsidR="00167B16" w:rsidRPr="00167B16" w14:paraId="10BEA514" w14:textId="77777777" w:rsidTr="005F5B4C">
        <w:trPr>
          <w:gridAfter w:val="2"/>
          <w:wAfter w:w="110" w:type="pct"/>
          <w:cantSplit/>
          <w:trHeight w:val="232"/>
        </w:trPr>
        <w:tc>
          <w:tcPr>
            <w:tcW w:w="724" w:type="pct"/>
            <w:tcBorders>
              <w:top w:val="nil"/>
              <w:left w:val="single" w:sz="4" w:space="0" w:color="auto"/>
              <w:bottom w:val="nil"/>
              <w:right w:val="single" w:sz="4" w:space="0" w:color="auto"/>
            </w:tcBorders>
          </w:tcPr>
          <w:p w14:paraId="549BD324" w14:textId="77777777" w:rsidR="00F5577F" w:rsidRPr="00AD586B" w:rsidRDefault="00F5577F" w:rsidP="00BA2D61">
            <w:pPr>
              <w:pStyle w:val="TableReference"/>
              <w:jc w:val="center"/>
              <w:rPr>
                <w:rFonts w:cs="Calibri"/>
                <w:color w:val="7030A0"/>
                <w:sz w:val="14"/>
              </w:rPr>
            </w:pPr>
          </w:p>
        </w:tc>
        <w:tc>
          <w:tcPr>
            <w:tcW w:w="2182" w:type="pct"/>
            <w:tcBorders>
              <w:top w:val="nil"/>
              <w:left w:val="single" w:sz="4" w:space="0" w:color="auto"/>
              <w:bottom w:val="nil"/>
              <w:right w:val="nil"/>
            </w:tcBorders>
          </w:tcPr>
          <w:p w14:paraId="78FFE2F4" w14:textId="77777777" w:rsidR="00F5577F" w:rsidRPr="00167B16" w:rsidRDefault="00F5577F" w:rsidP="00BA2D61">
            <w:pPr>
              <w:pStyle w:val="TableText"/>
              <w:spacing w:before="0"/>
              <w:jc w:val="center"/>
              <w:rPr>
                <w:rFonts w:cs="Calibri"/>
              </w:rPr>
            </w:pPr>
          </w:p>
        </w:tc>
        <w:tc>
          <w:tcPr>
            <w:tcW w:w="726" w:type="pct"/>
            <w:gridSpan w:val="2"/>
            <w:tcBorders>
              <w:top w:val="single" w:sz="4" w:space="0" w:color="auto"/>
              <w:left w:val="nil"/>
              <w:bottom w:val="nil"/>
              <w:right w:val="nil"/>
            </w:tcBorders>
          </w:tcPr>
          <w:p w14:paraId="60F4CAC4" w14:textId="35DFB18C" w:rsidR="00F5577F" w:rsidRPr="00167B16" w:rsidRDefault="00F5577F" w:rsidP="00BA2D61">
            <w:pPr>
              <w:pStyle w:val="TableText"/>
              <w:spacing w:before="0"/>
              <w:jc w:val="right"/>
              <w:rPr>
                <w:rFonts w:cs="Calibri"/>
                <w:b/>
              </w:rPr>
            </w:pPr>
            <w:r w:rsidRPr="00167B16">
              <w:rPr>
                <w:rFonts w:cs="Calibri"/>
                <w:b/>
              </w:rPr>
              <w:t>Level 2</w:t>
            </w:r>
          </w:p>
        </w:tc>
        <w:tc>
          <w:tcPr>
            <w:tcW w:w="596" w:type="pct"/>
            <w:gridSpan w:val="5"/>
            <w:tcBorders>
              <w:top w:val="single" w:sz="4" w:space="0" w:color="auto"/>
              <w:left w:val="nil"/>
              <w:bottom w:val="nil"/>
              <w:right w:val="nil"/>
            </w:tcBorders>
          </w:tcPr>
          <w:p w14:paraId="2A13BC3D" w14:textId="1D0192D1" w:rsidR="00F5577F" w:rsidRPr="00167B16" w:rsidRDefault="00F5577F" w:rsidP="00BA2D61">
            <w:pPr>
              <w:pStyle w:val="TableTitle"/>
              <w:tabs>
                <w:tab w:val="left" w:pos="1062"/>
                <w:tab w:val="left" w:pos="3306"/>
              </w:tabs>
              <w:rPr>
                <w:rFonts w:cs="Calibri"/>
                <w:bCs w:val="0"/>
              </w:rPr>
            </w:pPr>
            <w:r w:rsidRPr="00167B16">
              <w:rPr>
                <w:rFonts w:cs="Calibri"/>
                <w:bCs w:val="0"/>
              </w:rPr>
              <w:t>Level 3</w:t>
            </w:r>
          </w:p>
        </w:tc>
        <w:tc>
          <w:tcPr>
            <w:tcW w:w="662" w:type="pct"/>
            <w:gridSpan w:val="2"/>
            <w:tcBorders>
              <w:top w:val="single" w:sz="4" w:space="0" w:color="auto"/>
              <w:left w:val="nil"/>
              <w:bottom w:val="nil"/>
              <w:right w:val="nil"/>
            </w:tcBorders>
          </w:tcPr>
          <w:p w14:paraId="52292D60" w14:textId="3C1F8961" w:rsidR="00F5577F" w:rsidRPr="00167B16" w:rsidRDefault="00F5577F" w:rsidP="00BA2D61">
            <w:pPr>
              <w:pStyle w:val="TableText"/>
              <w:spacing w:before="0"/>
              <w:jc w:val="right"/>
              <w:rPr>
                <w:rFonts w:cs="Calibri"/>
                <w:b/>
              </w:rPr>
            </w:pPr>
            <w:r w:rsidRPr="00167B16">
              <w:rPr>
                <w:rFonts w:cs="Calibri"/>
                <w:b/>
              </w:rPr>
              <w:t>Total</w:t>
            </w:r>
          </w:p>
        </w:tc>
      </w:tr>
      <w:tr w:rsidR="00167B16" w:rsidRPr="00167B16" w14:paraId="65C31057" w14:textId="77777777" w:rsidTr="005F5B4C">
        <w:trPr>
          <w:gridAfter w:val="2"/>
          <w:wAfter w:w="110" w:type="pct"/>
          <w:cantSplit/>
        </w:trPr>
        <w:tc>
          <w:tcPr>
            <w:tcW w:w="724" w:type="pct"/>
            <w:tcBorders>
              <w:top w:val="nil"/>
              <w:left w:val="single" w:sz="4" w:space="0" w:color="auto"/>
              <w:bottom w:val="nil"/>
              <w:right w:val="single" w:sz="4" w:space="0" w:color="auto"/>
            </w:tcBorders>
          </w:tcPr>
          <w:p w14:paraId="7E59A86C" w14:textId="77777777" w:rsidR="00F5577F" w:rsidRPr="00AD586B" w:rsidRDefault="00F5577F" w:rsidP="00BA2D61">
            <w:pPr>
              <w:pStyle w:val="TableReference"/>
              <w:tabs>
                <w:tab w:val="left" w:pos="1062"/>
              </w:tabs>
              <w:spacing w:before="60"/>
              <w:rPr>
                <w:rFonts w:cs="Calibri"/>
                <w:color w:val="7030A0"/>
                <w:sz w:val="14"/>
              </w:rPr>
            </w:pPr>
            <w:r w:rsidRPr="00AD586B">
              <w:rPr>
                <w:rFonts w:cs="Calibri"/>
                <w:color w:val="7030A0"/>
                <w:sz w:val="14"/>
              </w:rPr>
              <w:t>AASB 13.93 (a) &amp; (b)</w:t>
            </w:r>
          </w:p>
          <w:p w14:paraId="43909A6F" w14:textId="509F29CD" w:rsidR="00F5577F" w:rsidRPr="00AD586B" w:rsidRDefault="00F5577F" w:rsidP="00BA2D61">
            <w:pPr>
              <w:pStyle w:val="TableReference"/>
              <w:rPr>
                <w:rFonts w:cs="Calibri"/>
                <w:color w:val="7030A0"/>
                <w:sz w:val="14"/>
              </w:rPr>
            </w:pPr>
            <w:r w:rsidRPr="00AD586B">
              <w:rPr>
                <w:rFonts w:cs="Calibri"/>
                <w:color w:val="7030A0"/>
                <w:sz w:val="14"/>
              </w:rPr>
              <w:t>AASB 13.94</w:t>
            </w:r>
          </w:p>
        </w:tc>
        <w:tc>
          <w:tcPr>
            <w:tcW w:w="2182" w:type="pct"/>
            <w:tcBorders>
              <w:top w:val="nil"/>
              <w:left w:val="single" w:sz="4" w:space="0" w:color="auto"/>
              <w:bottom w:val="nil"/>
              <w:right w:val="nil"/>
            </w:tcBorders>
            <w:vAlign w:val="bottom"/>
          </w:tcPr>
          <w:p w14:paraId="1D815C2F" w14:textId="318986EC" w:rsidR="00F5577F" w:rsidRPr="00167B16" w:rsidRDefault="00F5577F" w:rsidP="00260F74">
            <w:pPr>
              <w:pStyle w:val="TableText"/>
              <w:spacing w:before="0"/>
              <w:rPr>
                <w:rFonts w:cs="Calibri"/>
                <w:b/>
                <w:bCs/>
              </w:rPr>
            </w:pPr>
            <w:r w:rsidRPr="00167B16">
              <w:rPr>
                <w:rFonts w:cs="Calibri"/>
                <w:b/>
                <w:bCs/>
              </w:rPr>
              <w:t>Non-Current Assets Held for Sale at Fair Value</w:t>
            </w:r>
          </w:p>
        </w:tc>
        <w:tc>
          <w:tcPr>
            <w:tcW w:w="726" w:type="pct"/>
            <w:gridSpan w:val="2"/>
            <w:tcBorders>
              <w:top w:val="nil"/>
              <w:left w:val="nil"/>
              <w:bottom w:val="nil"/>
              <w:right w:val="nil"/>
            </w:tcBorders>
          </w:tcPr>
          <w:p w14:paraId="301BC818" w14:textId="2EA6A982" w:rsidR="00F5577F" w:rsidRPr="00167B16" w:rsidRDefault="00F5577F" w:rsidP="00BA2D61">
            <w:pPr>
              <w:pStyle w:val="TableText"/>
              <w:spacing w:before="0"/>
              <w:jc w:val="right"/>
              <w:rPr>
                <w:rFonts w:cs="Calibri"/>
                <w:b/>
              </w:rPr>
            </w:pPr>
            <w:r w:rsidRPr="00167B16">
              <w:rPr>
                <w:rFonts w:cs="Calibri"/>
                <w:b/>
              </w:rPr>
              <w:t>$’000</w:t>
            </w:r>
          </w:p>
        </w:tc>
        <w:tc>
          <w:tcPr>
            <w:tcW w:w="596" w:type="pct"/>
            <w:gridSpan w:val="5"/>
            <w:tcBorders>
              <w:top w:val="nil"/>
              <w:left w:val="nil"/>
              <w:bottom w:val="nil"/>
              <w:right w:val="nil"/>
            </w:tcBorders>
          </w:tcPr>
          <w:p w14:paraId="34D801C2" w14:textId="5AEA1E97" w:rsidR="00F5577F" w:rsidRPr="00167B16" w:rsidRDefault="00F5577F" w:rsidP="00BA2D61">
            <w:pPr>
              <w:pStyle w:val="TableText"/>
              <w:spacing w:before="0"/>
              <w:jc w:val="right"/>
              <w:rPr>
                <w:rFonts w:cs="Calibri"/>
                <w:b/>
              </w:rPr>
            </w:pPr>
            <w:r w:rsidRPr="00167B16">
              <w:rPr>
                <w:rFonts w:cs="Calibri"/>
                <w:b/>
              </w:rPr>
              <w:t>$’000</w:t>
            </w:r>
          </w:p>
        </w:tc>
        <w:tc>
          <w:tcPr>
            <w:tcW w:w="662" w:type="pct"/>
            <w:gridSpan w:val="2"/>
            <w:tcBorders>
              <w:top w:val="nil"/>
              <w:left w:val="nil"/>
              <w:bottom w:val="nil"/>
              <w:right w:val="nil"/>
            </w:tcBorders>
          </w:tcPr>
          <w:p w14:paraId="5DC83C6D" w14:textId="0C3C03EB" w:rsidR="00F5577F" w:rsidRPr="00167B16" w:rsidRDefault="00F5577F" w:rsidP="00BA2D61">
            <w:pPr>
              <w:pStyle w:val="TableText"/>
              <w:spacing w:before="0"/>
              <w:jc w:val="right"/>
              <w:rPr>
                <w:rFonts w:cs="Calibri"/>
                <w:b/>
              </w:rPr>
            </w:pPr>
            <w:r w:rsidRPr="00167B16">
              <w:rPr>
                <w:rFonts w:cs="Calibri"/>
                <w:b/>
              </w:rPr>
              <w:t>$’000</w:t>
            </w:r>
          </w:p>
        </w:tc>
      </w:tr>
      <w:tr w:rsidR="00167B16" w:rsidRPr="00167B16" w14:paraId="02212538" w14:textId="77777777" w:rsidTr="005F5B4C">
        <w:trPr>
          <w:gridAfter w:val="2"/>
          <w:wAfter w:w="110" w:type="pct"/>
          <w:cantSplit/>
        </w:trPr>
        <w:tc>
          <w:tcPr>
            <w:tcW w:w="724" w:type="pct"/>
            <w:tcBorders>
              <w:top w:val="nil"/>
              <w:left w:val="single" w:sz="4" w:space="0" w:color="auto"/>
              <w:bottom w:val="nil"/>
              <w:right w:val="single" w:sz="4" w:space="0" w:color="auto"/>
            </w:tcBorders>
          </w:tcPr>
          <w:p w14:paraId="4A06398C" w14:textId="77777777" w:rsidR="00F5577F" w:rsidRPr="00AD586B" w:rsidRDefault="00F5577F">
            <w:pPr>
              <w:pStyle w:val="TableReference"/>
              <w:rPr>
                <w:rFonts w:cs="Calibri"/>
                <w:color w:val="7030A0"/>
                <w:sz w:val="14"/>
              </w:rPr>
            </w:pPr>
          </w:p>
        </w:tc>
        <w:tc>
          <w:tcPr>
            <w:tcW w:w="2182" w:type="pct"/>
            <w:tcBorders>
              <w:top w:val="nil"/>
              <w:left w:val="single" w:sz="4" w:space="0" w:color="auto"/>
              <w:bottom w:val="nil"/>
              <w:right w:val="nil"/>
            </w:tcBorders>
            <w:vAlign w:val="bottom"/>
          </w:tcPr>
          <w:p w14:paraId="6BDA8E44" w14:textId="026E3CBD" w:rsidR="00F5577F" w:rsidRPr="00167B16" w:rsidRDefault="00F5577F" w:rsidP="00260F74">
            <w:pPr>
              <w:pStyle w:val="TableText"/>
              <w:spacing w:before="0"/>
              <w:rPr>
                <w:rFonts w:cs="Calibri"/>
              </w:rPr>
            </w:pPr>
            <w:r w:rsidRPr="00167B16">
              <w:rPr>
                <w:rFonts w:cs="Calibri"/>
              </w:rPr>
              <w:t>Plant and Equipment</w:t>
            </w:r>
          </w:p>
        </w:tc>
        <w:tc>
          <w:tcPr>
            <w:tcW w:w="726" w:type="pct"/>
            <w:gridSpan w:val="2"/>
            <w:tcBorders>
              <w:top w:val="nil"/>
              <w:left w:val="nil"/>
              <w:bottom w:val="nil"/>
              <w:right w:val="nil"/>
            </w:tcBorders>
            <w:vAlign w:val="bottom"/>
          </w:tcPr>
          <w:p w14:paraId="5E680CD2" w14:textId="77777777" w:rsidR="00F5577F" w:rsidRPr="00167B16" w:rsidRDefault="00F5577F" w:rsidP="00260F74">
            <w:pPr>
              <w:pStyle w:val="TableText"/>
              <w:spacing w:before="0"/>
              <w:rPr>
                <w:rFonts w:cs="Calibri"/>
              </w:rPr>
            </w:pPr>
          </w:p>
        </w:tc>
        <w:tc>
          <w:tcPr>
            <w:tcW w:w="596" w:type="pct"/>
            <w:gridSpan w:val="5"/>
            <w:tcBorders>
              <w:top w:val="nil"/>
              <w:left w:val="nil"/>
              <w:bottom w:val="nil"/>
              <w:right w:val="nil"/>
            </w:tcBorders>
            <w:vAlign w:val="bottom"/>
          </w:tcPr>
          <w:p w14:paraId="58C0C056" w14:textId="77777777" w:rsidR="00F5577F" w:rsidRPr="00167B16" w:rsidRDefault="00F5577F" w:rsidP="00260F74">
            <w:pPr>
              <w:pStyle w:val="TableText"/>
              <w:spacing w:before="0"/>
              <w:rPr>
                <w:rFonts w:cs="Calibri"/>
              </w:rPr>
            </w:pPr>
          </w:p>
        </w:tc>
        <w:tc>
          <w:tcPr>
            <w:tcW w:w="662" w:type="pct"/>
            <w:gridSpan w:val="2"/>
            <w:tcBorders>
              <w:top w:val="nil"/>
              <w:left w:val="nil"/>
              <w:bottom w:val="nil"/>
              <w:right w:val="nil"/>
            </w:tcBorders>
            <w:vAlign w:val="bottom"/>
          </w:tcPr>
          <w:p w14:paraId="759F7A3B" w14:textId="77777777" w:rsidR="00F5577F" w:rsidRPr="00167B16" w:rsidRDefault="00F5577F" w:rsidP="00260F74">
            <w:pPr>
              <w:pStyle w:val="TableText"/>
              <w:spacing w:before="0"/>
              <w:rPr>
                <w:rFonts w:cs="Calibri"/>
              </w:rPr>
            </w:pPr>
          </w:p>
        </w:tc>
      </w:tr>
      <w:tr w:rsidR="00167B16" w:rsidRPr="00167B16" w14:paraId="59E2B8B5" w14:textId="77777777" w:rsidTr="005F5B4C">
        <w:trPr>
          <w:gridAfter w:val="2"/>
          <w:wAfter w:w="110" w:type="pct"/>
          <w:cantSplit/>
        </w:trPr>
        <w:tc>
          <w:tcPr>
            <w:tcW w:w="724" w:type="pct"/>
            <w:tcBorders>
              <w:top w:val="nil"/>
              <w:left w:val="single" w:sz="4" w:space="0" w:color="auto"/>
              <w:bottom w:val="nil"/>
              <w:right w:val="single" w:sz="4" w:space="0" w:color="auto"/>
            </w:tcBorders>
          </w:tcPr>
          <w:p w14:paraId="7B57CBC5" w14:textId="77777777" w:rsidR="00F5577F" w:rsidRPr="00AD586B" w:rsidRDefault="00F5577F">
            <w:pPr>
              <w:pStyle w:val="TableReference"/>
              <w:rPr>
                <w:rFonts w:cs="Calibri"/>
                <w:color w:val="7030A0"/>
                <w:sz w:val="14"/>
              </w:rPr>
            </w:pPr>
          </w:p>
        </w:tc>
        <w:tc>
          <w:tcPr>
            <w:tcW w:w="2182" w:type="pct"/>
            <w:tcBorders>
              <w:top w:val="nil"/>
              <w:left w:val="single" w:sz="4" w:space="0" w:color="auto"/>
              <w:bottom w:val="nil"/>
              <w:right w:val="nil"/>
            </w:tcBorders>
            <w:vAlign w:val="bottom"/>
          </w:tcPr>
          <w:p w14:paraId="72314690" w14:textId="6FFD5461" w:rsidR="00F5577F" w:rsidRPr="00167B16" w:rsidRDefault="00F5577F" w:rsidP="00260F74">
            <w:pPr>
              <w:pStyle w:val="TableText"/>
              <w:spacing w:before="0"/>
              <w:rPr>
                <w:rFonts w:cs="Calibri"/>
              </w:rPr>
            </w:pPr>
            <w:r w:rsidRPr="00167B16">
              <w:rPr>
                <w:rFonts w:cs="Calibri"/>
              </w:rPr>
              <w:t>Investment Property</w:t>
            </w:r>
          </w:p>
        </w:tc>
        <w:tc>
          <w:tcPr>
            <w:tcW w:w="726" w:type="pct"/>
            <w:gridSpan w:val="2"/>
            <w:tcBorders>
              <w:top w:val="nil"/>
              <w:left w:val="nil"/>
              <w:bottom w:val="single" w:sz="2" w:space="0" w:color="auto"/>
              <w:right w:val="nil"/>
            </w:tcBorders>
            <w:vAlign w:val="bottom"/>
          </w:tcPr>
          <w:p w14:paraId="5CE0C9DF" w14:textId="77777777" w:rsidR="00F5577F" w:rsidRPr="00167B16" w:rsidRDefault="00F5577F" w:rsidP="00260F74">
            <w:pPr>
              <w:pStyle w:val="TableText"/>
              <w:spacing w:before="0"/>
              <w:rPr>
                <w:rFonts w:cs="Calibri"/>
              </w:rPr>
            </w:pPr>
          </w:p>
        </w:tc>
        <w:tc>
          <w:tcPr>
            <w:tcW w:w="596" w:type="pct"/>
            <w:gridSpan w:val="5"/>
            <w:tcBorders>
              <w:top w:val="nil"/>
              <w:left w:val="nil"/>
              <w:bottom w:val="single" w:sz="2" w:space="0" w:color="auto"/>
              <w:right w:val="nil"/>
            </w:tcBorders>
            <w:vAlign w:val="bottom"/>
          </w:tcPr>
          <w:p w14:paraId="36AD4A14" w14:textId="77777777" w:rsidR="00F5577F" w:rsidRPr="00167B16" w:rsidRDefault="00F5577F" w:rsidP="00260F74">
            <w:pPr>
              <w:pStyle w:val="TableText"/>
              <w:spacing w:before="0"/>
              <w:rPr>
                <w:rFonts w:cs="Calibri"/>
              </w:rPr>
            </w:pPr>
          </w:p>
        </w:tc>
        <w:tc>
          <w:tcPr>
            <w:tcW w:w="662" w:type="pct"/>
            <w:gridSpan w:val="2"/>
            <w:tcBorders>
              <w:top w:val="nil"/>
              <w:left w:val="nil"/>
              <w:bottom w:val="single" w:sz="2" w:space="0" w:color="auto"/>
              <w:right w:val="nil"/>
            </w:tcBorders>
            <w:vAlign w:val="bottom"/>
          </w:tcPr>
          <w:p w14:paraId="30FFA17B" w14:textId="77777777" w:rsidR="00F5577F" w:rsidRPr="00167B16" w:rsidRDefault="00F5577F" w:rsidP="00260F74">
            <w:pPr>
              <w:pStyle w:val="TableText"/>
              <w:spacing w:before="0"/>
              <w:rPr>
                <w:rFonts w:cs="Calibri"/>
              </w:rPr>
            </w:pPr>
          </w:p>
        </w:tc>
      </w:tr>
      <w:tr w:rsidR="00167B16" w:rsidRPr="00167B16" w14:paraId="4D73A4A7" w14:textId="77777777" w:rsidTr="005F5B4C">
        <w:trPr>
          <w:gridAfter w:val="2"/>
          <w:wAfter w:w="110" w:type="pct"/>
          <w:cantSplit/>
        </w:trPr>
        <w:tc>
          <w:tcPr>
            <w:tcW w:w="724" w:type="pct"/>
            <w:tcBorders>
              <w:top w:val="nil"/>
              <w:left w:val="single" w:sz="4" w:space="0" w:color="auto"/>
              <w:bottom w:val="nil"/>
              <w:right w:val="single" w:sz="4" w:space="0" w:color="auto"/>
            </w:tcBorders>
          </w:tcPr>
          <w:p w14:paraId="365572A1" w14:textId="77777777" w:rsidR="00F5577F" w:rsidRPr="00AD586B" w:rsidRDefault="00F5577F">
            <w:pPr>
              <w:pStyle w:val="TableReference"/>
              <w:rPr>
                <w:rFonts w:cs="Calibri"/>
                <w:color w:val="7030A0"/>
                <w:sz w:val="14"/>
              </w:rPr>
            </w:pPr>
          </w:p>
        </w:tc>
        <w:tc>
          <w:tcPr>
            <w:tcW w:w="2182" w:type="pct"/>
            <w:tcBorders>
              <w:top w:val="nil"/>
              <w:left w:val="single" w:sz="4" w:space="0" w:color="auto"/>
              <w:bottom w:val="nil"/>
              <w:right w:val="nil"/>
            </w:tcBorders>
            <w:vAlign w:val="bottom"/>
          </w:tcPr>
          <w:p w14:paraId="071B4E01" w14:textId="77777777" w:rsidR="00F5577F" w:rsidRPr="00167B16" w:rsidRDefault="00F5577F" w:rsidP="00260F74">
            <w:pPr>
              <w:pStyle w:val="TableText"/>
              <w:spacing w:before="0"/>
              <w:rPr>
                <w:rFonts w:cs="Calibri"/>
              </w:rPr>
            </w:pPr>
          </w:p>
        </w:tc>
        <w:tc>
          <w:tcPr>
            <w:tcW w:w="726" w:type="pct"/>
            <w:gridSpan w:val="2"/>
            <w:tcBorders>
              <w:top w:val="single" w:sz="2" w:space="0" w:color="auto"/>
              <w:left w:val="nil"/>
              <w:bottom w:val="double" w:sz="4" w:space="0" w:color="auto"/>
              <w:right w:val="nil"/>
            </w:tcBorders>
            <w:vAlign w:val="bottom"/>
          </w:tcPr>
          <w:p w14:paraId="441D1369" w14:textId="77777777" w:rsidR="00F5577F" w:rsidRPr="00167B16" w:rsidRDefault="00F5577F" w:rsidP="00260F74">
            <w:pPr>
              <w:pStyle w:val="TableText"/>
              <w:spacing w:before="0"/>
              <w:rPr>
                <w:rFonts w:cs="Calibri"/>
              </w:rPr>
            </w:pPr>
          </w:p>
        </w:tc>
        <w:tc>
          <w:tcPr>
            <w:tcW w:w="596" w:type="pct"/>
            <w:gridSpan w:val="5"/>
            <w:tcBorders>
              <w:top w:val="single" w:sz="2" w:space="0" w:color="auto"/>
              <w:left w:val="nil"/>
              <w:bottom w:val="double" w:sz="4" w:space="0" w:color="auto"/>
              <w:right w:val="nil"/>
            </w:tcBorders>
            <w:vAlign w:val="bottom"/>
          </w:tcPr>
          <w:p w14:paraId="2A7E74D1" w14:textId="77777777" w:rsidR="00F5577F" w:rsidRPr="00167B16" w:rsidRDefault="00F5577F" w:rsidP="00260F74">
            <w:pPr>
              <w:pStyle w:val="TableText"/>
              <w:spacing w:before="0"/>
              <w:rPr>
                <w:rFonts w:cs="Calibri"/>
              </w:rPr>
            </w:pPr>
          </w:p>
        </w:tc>
        <w:tc>
          <w:tcPr>
            <w:tcW w:w="662" w:type="pct"/>
            <w:gridSpan w:val="2"/>
            <w:tcBorders>
              <w:top w:val="single" w:sz="2" w:space="0" w:color="auto"/>
              <w:left w:val="nil"/>
              <w:bottom w:val="double" w:sz="4" w:space="0" w:color="auto"/>
              <w:right w:val="nil"/>
            </w:tcBorders>
            <w:vAlign w:val="bottom"/>
          </w:tcPr>
          <w:p w14:paraId="50544F51" w14:textId="77777777" w:rsidR="00F5577F" w:rsidRPr="00167B16" w:rsidRDefault="00F5577F" w:rsidP="00260F74">
            <w:pPr>
              <w:pStyle w:val="TableText"/>
              <w:spacing w:before="0"/>
              <w:rPr>
                <w:rFonts w:cs="Calibri"/>
              </w:rPr>
            </w:pPr>
          </w:p>
        </w:tc>
      </w:tr>
      <w:tr w:rsidR="00F5577F" w:rsidRPr="00CF7E1B" w14:paraId="5D053D7B" w14:textId="77777777" w:rsidTr="005F5B4C">
        <w:trPr>
          <w:cantSplit/>
        </w:trPr>
        <w:tc>
          <w:tcPr>
            <w:tcW w:w="724" w:type="pct"/>
            <w:tcBorders>
              <w:top w:val="nil"/>
              <w:left w:val="single" w:sz="4" w:space="0" w:color="auto"/>
              <w:bottom w:val="nil"/>
              <w:right w:val="single" w:sz="4" w:space="0" w:color="auto"/>
            </w:tcBorders>
          </w:tcPr>
          <w:p w14:paraId="2E12B1B0" w14:textId="77777777" w:rsidR="00BA2D61" w:rsidRPr="00AD586B" w:rsidRDefault="00BA2D61">
            <w:pPr>
              <w:pStyle w:val="TableReference"/>
              <w:rPr>
                <w:rFonts w:cs="Calibri"/>
                <w:color w:val="7030A0"/>
                <w:sz w:val="14"/>
              </w:rPr>
            </w:pPr>
          </w:p>
        </w:tc>
        <w:tc>
          <w:tcPr>
            <w:tcW w:w="2182" w:type="pct"/>
            <w:tcBorders>
              <w:top w:val="nil"/>
              <w:left w:val="single" w:sz="4" w:space="0" w:color="auto"/>
              <w:bottom w:val="nil"/>
              <w:right w:val="nil"/>
            </w:tcBorders>
            <w:vAlign w:val="bottom"/>
          </w:tcPr>
          <w:p w14:paraId="1E376835" w14:textId="77777777" w:rsidR="00BA2D61" w:rsidRPr="00167B16" w:rsidRDefault="00BA2D61" w:rsidP="00260F74">
            <w:pPr>
              <w:pStyle w:val="TableText"/>
              <w:spacing w:before="0"/>
              <w:rPr>
                <w:rFonts w:cs="Calibri"/>
              </w:rPr>
            </w:pPr>
          </w:p>
        </w:tc>
        <w:tc>
          <w:tcPr>
            <w:tcW w:w="726" w:type="pct"/>
            <w:gridSpan w:val="2"/>
            <w:tcBorders>
              <w:top w:val="double" w:sz="4" w:space="0" w:color="auto"/>
              <w:left w:val="nil"/>
              <w:bottom w:val="nil"/>
              <w:right w:val="nil"/>
            </w:tcBorders>
            <w:vAlign w:val="bottom"/>
          </w:tcPr>
          <w:p w14:paraId="4EA586BB" w14:textId="77777777" w:rsidR="00BA2D61" w:rsidRPr="00167B16" w:rsidRDefault="00BA2D61" w:rsidP="00260F74">
            <w:pPr>
              <w:pStyle w:val="TableText"/>
              <w:spacing w:before="0"/>
              <w:rPr>
                <w:rFonts w:cs="Calibri"/>
              </w:rPr>
            </w:pPr>
          </w:p>
        </w:tc>
        <w:tc>
          <w:tcPr>
            <w:tcW w:w="110" w:type="pct"/>
            <w:gridSpan w:val="2"/>
            <w:tcBorders>
              <w:top w:val="double" w:sz="4" w:space="0" w:color="auto"/>
              <w:left w:val="nil"/>
              <w:bottom w:val="nil"/>
              <w:right w:val="nil"/>
            </w:tcBorders>
            <w:vAlign w:val="bottom"/>
          </w:tcPr>
          <w:p w14:paraId="3F2E86BB" w14:textId="77777777" w:rsidR="00BA2D61" w:rsidRPr="00167B16" w:rsidRDefault="00BA2D61" w:rsidP="00260F74">
            <w:pPr>
              <w:pStyle w:val="TableText"/>
              <w:spacing w:before="0"/>
              <w:rPr>
                <w:rFonts w:cs="Calibri"/>
              </w:rPr>
            </w:pPr>
          </w:p>
        </w:tc>
        <w:tc>
          <w:tcPr>
            <w:tcW w:w="1148" w:type="pct"/>
            <w:gridSpan w:val="5"/>
            <w:tcBorders>
              <w:top w:val="double" w:sz="4" w:space="0" w:color="auto"/>
              <w:left w:val="nil"/>
              <w:bottom w:val="nil"/>
              <w:right w:val="nil"/>
            </w:tcBorders>
            <w:vAlign w:val="bottom"/>
          </w:tcPr>
          <w:p w14:paraId="76F382C1" w14:textId="77777777" w:rsidR="00BA2D61" w:rsidRPr="00167B16" w:rsidRDefault="00BA2D61" w:rsidP="00260F74">
            <w:pPr>
              <w:pStyle w:val="TableText"/>
              <w:spacing w:before="0"/>
              <w:rPr>
                <w:rFonts w:cs="Calibri"/>
              </w:rPr>
            </w:pPr>
          </w:p>
        </w:tc>
        <w:tc>
          <w:tcPr>
            <w:tcW w:w="110" w:type="pct"/>
            <w:gridSpan w:val="2"/>
            <w:tcBorders>
              <w:top w:val="nil"/>
              <w:left w:val="nil"/>
              <w:bottom w:val="nil"/>
              <w:right w:val="nil"/>
            </w:tcBorders>
            <w:vAlign w:val="bottom"/>
          </w:tcPr>
          <w:p w14:paraId="76EC299C" w14:textId="77777777" w:rsidR="00BA2D61" w:rsidRPr="00167B16" w:rsidRDefault="00BA2D61" w:rsidP="00260F74">
            <w:pPr>
              <w:pStyle w:val="TableText"/>
              <w:spacing w:before="0"/>
              <w:rPr>
                <w:rFonts w:cs="Calibri"/>
              </w:rPr>
            </w:pPr>
          </w:p>
        </w:tc>
      </w:tr>
      <w:tr w:rsidR="00BA2D61" w:rsidRPr="00CF7E1B" w14:paraId="5A1DEBFE"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6CF5043A" w14:textId="77777777" w:rsidR="00BA2D61" w:rsidRPr="00AD586B" w:rsidRDefault="00BA2D61">
            <w:pPr>
              <w:pStyle w:val="TableReference"/>
              <w:rPr>
                <w:rFonts w:cs="Calibri"/>
                <w:color w:val="7030A0"/>
                <w:sz w:val="14"/>
              </w:rPr>
            </w:pPr>
          </w:p>
        </w:tc>
        <w:tc>
          <w:tcPr>
            <w:tcW w:w="2182" w:type="pct"/>
            <w:tcBorders>
              <w:top w:val="nil"/>
              <w:left w:val="single" w:sz="4" w:space="0" w:color="auto"/>
              <w:bottom w:val="nil"/>
              <w:right w:val="nil"/>
            </w:tcBorders>
            <w:vAlign w:val="bottom"/>
          </w:tcPr>
          <w:p w14:paraId="0EB01AB6" w14:textId="77777777" w:rsidR="00BA2D61" w:rsidRPr="00167B16" w:rsidRDefault="00BA2D61" w:rsidP="00260F74">
            <w:pPr>
              <w:pStyle w:val="TableText"/>
              <w:spacing w:before="0"/>
              <w:rPr>
                <w:rFonts w:cs="Calibri"/>
              </w:rPr>
            </w:pPr>
          </w:p>
        </w:tc>
        <w:tc>
          <w:tcPr>
            <w:tcW w:w="1987" w:type="pct"/>
            <w:gridSpan w:val="10"/>
            <w:tcBorders>
              <w:top w:val="nil"/>
              <w:left w:val="nil"/>
              <w:bottom w:val="nil"/>
              <w:right w:val="nil"/>
            </w:tcBorders>
            <w:vAlign w:val="bottom"/>
          </w:tcPr>
          <w:p w14:paraId="14FD727D" w14:textId="77777777" w:rsidR="00BA2D61" w:rsidRPr="00167B16" w:rsidRDefault="00BA2D61" w:rsidP="00BA2D61">
            <w:pPr>
              <w:pStyle w:val="TableText"/>
              <w:spacing w:before="0"/>
              <w:jc w:val="center"/>
              <w:rPr>
                <w:rFonts w:cs="Calibri"/>
                <w:b/>
                <w:bCs/>
              </w:rPr>
            </w:pPr>
          </w:p>
        </w:tc>
      </w:tr>
      <w:tr w:rsidR="00BA2D61" w:rsidRPr="00CF7E1B" w14:paraId="7F94D406"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050E8901" w14:textId="77777777" w:rsidR="00BA2D61" w:rsidRPr="00AD586B" w:rsidRDefault="00BA2D61">
            <w:pPr>
              <w:pStyle w:val="TableReference"/>
              <w:rPr>
                <w:rFonts w:cs="Calibri"/>
                <w:color w:val="7030A0"/>
                <w:sz w:val="14"/>
              </w:rPr>
            </w:pPr>
          </w:p>
        </w:tc>
        <w:tc>
          <w:tcPr>
            <w:tcW w:w="2182" w:type="pct"/>
            <w:tcBorders>
              <w:top w:val="nil"/>
              <w:left w:val="single" w:sz="4" w:space="0" w:color="auto"/>
              <w:bottom w:val="nil"/>
              <w:right w:val="nil"/>
            </w:tcBorders>
            <w:vAlign w:val="bottom"/>
          </w:tcPr>
          <w:p w14:paraId="19AAAEE0" w14:textId="77777777" w:rsidR="00BA2D61" w:rsidRPr="00167B16" w:rsidRDefault="00BA2D61" w:rsidP="00260F74">
            <w:pPr>
              <w:pStyle w:val="TableText"/>
              <w:spacing w:before="0"/>
              <w:rPr>
                <w:rFonts w:cs="Calibri"/>
              </w:rPr>
            </w:pPr>
          </w:p>
        </w:tc>
        <w:tc>
          <w:tcPr>
            <w:tcW w:w="1987" w:type="pct"/>
            <w:gridSpan w:val="10"/>
            <w:tcBorders>
              <w:top w:val="nil"/>
              <w:left w:val="nil"/>
              <w:bottom w:val="single" w:sz="4" w:space="0" w:color="auto"/>
              <w:right w:val="nil"/>
            </w:tcBorders>
            <w:vAlign w:val="bottom"/>
          </w:tcPr>
          <w:p w14:paraId="335C8631" w14:textId="4F6D4D20" w:rsidR="00BA2D61" w:rsidRPr="00167B16" w:rsidRDefault="00BA2D61" w:rsidP="00BA2D61">
            <w:pPr>
              <w:pStyle w:val="TableText"/>
              <w:spacing w:before="0"/>
              <w:jc w:val="center"/>
              <w:rPr>
                <w:rFonts w:cs="Calibri"/>
                <w:b/>
                <w:bCs/>
              </w:rPr>
            </w:pPr>
            <w:r w:rsidRPr="00167B16">
              <w:rPr>
                <w:rFonts w:cs="Calibri"/>
                <w:b/>
                <w:bCs/>
              </w:rPr>
              <w:t>Classification According to Fair Value Hierarchy 2021</w:t>
            </w:r>
          </w:p>
        </w:tc>
      </w:tr>
      <w:tr w:rsidR="00F5577F" w:rsidRPr="00CF7E1B" w14:paraId="57B17B3E"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0D4920A0" w14:textId="77777777" w:rsidR="00F5577F" w:rsidRPr="00AD586B" w:rsidRDefault="00F5577F">
            <w:pPr>
              <w:pStyle w:val="TableReference"/>
              <w:rPr>
                <w:rFonts w:cs="Calibri"/>
                <w:color w:val="7030A0"/>
                <w:sz w:val="14"/>
              </w:rPr>
            </w:pPr>
          </w:p>
        </w:tc>
        <w:tc>
          <w:tcPr>
            <w:tcW w:w="2182" w:type="pct"/>
            <w:tcBorders>
              <w:top w:val="nil"/>
              <w:left w:val="single" w:sz="4" w:space="0" w:color="auto"/>
              <w:bottom w:val="nil"/>
              <w:right w:val="nil"/>
            </w:tcBorders>
            <w:vAlign w:val="bottom"/>
          </w:tcPr>
          <w:p w14:paraId="49755EAF" w14:textId="77777777" w:rsidR="00F5577F" w:rsidRPr="00167B16" w:rsidRDefault="00F5577F" w:rsidP="00260F74">
            <w:pPr>
              <w:pStyle w:val="TableText"/>
              <w:spacing w:before="0"/>
              <w:rPr>
                <w:rFonts w:cs="Calibri"/>
              </w:rPr>
            </w:pPr>
          </w:p>
        </w:tc>
        <w:tc>
          <w:tcPr>
            <w:tcW w:w="990" w:type="pct"/>
            <w:gridSpan w:val="5"/>
            <w:tcBorders>
              <w:top w:val="single" w:sz="4" w:space="0" w:color="auto"/>
              <w:left w:val="nil"/>
              <w:bottom w:val="nil"/>
              <w:right w:val="nil"/>
            </w:tcBorders>
            <w:vAlign w:val="bottom"/>
          </w:tcPr>
          <w:p w14:paraId="07FD7DD8" w14:textId="21AA5C17" w:rsidR="00F5577F" w:rsidRPr="00167B16" w:rsidRDefault="00F5577F" w:rsidP="00BA2D61">
            <w:pPr>
              <w:pStyle w:val="TableTitle"/>
              <w:tabs>
                <w:tab w:val="left" w:pos="3306"/>
              </w:tabs>
              <w:rPr>
                <w:rFonts w:cs="Calibri"/>
              </w:rPr>
            </w:pPr>
            <w:r w:rsidRPr="00167B16">
              <w:rPr>
                <w:rFonts w:cs="Calibri"/>
              </w:rPr>
              <w:t>Level 3</w:t>
            </w:r>
          </w:p>
        </w:tc>
        <w:tc>
          <w:tcPr>
            <w:tcW w:w="996" w:type="pct"/>
            <w:gridSpan w:val="5"/>
            <w:tcBorders>
              <w:top w:val="single" w:sz="4" w:space="0" w:color="auto"/>
              <w:left w:val="nil"/>
              <w:bottom w:val="nil"/>
              <w:right w:val="nil"/>
            </w:tcBorders>
            <w:vAlign w:val="bottom"/>
          </w:tcPr>
          <w:p w14:paraId="22D16F8F" w14:textId="1F9BB1D4" w:rsidR="00F5577F" w:rsidRPr="00167B16" w:rsidRDefault="00F5577F" w:rsidP="00BA2D61">
            <w:pPr>
              <w:pStyle w:val="TableTitle"/>
              <w:tabs>
                <w:tab w:val="left" w:pos="3306"/>
              </w:tabs>
              <w:rPr>
                <w:rFonts w:cs="Calibri"/>
              </w:rPr>
            </w:pPr>
            <w:r w:rsidRPr="00167B16">
              <w:rPr>
                <w:rFonts w:cs="Calibri"/>
              </w:rPr>
              <w:t>Total</w:t>
            </w:r>
          </w:p>
        </w:tc>
      </w:tr>
      <w:tr w:rsidR="00F5577F" w:rsidRPr="00CF7E1B" w14:paraId="097BD626"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3085898B" w14:textId="77777777" w:rsidR="00F5577F" w:rsidRPr="00AD586B" w:rsidRDefault="00F5577F" w:rsidP="00BA2D61">
            <w:pPr>
              <w:pStyle w:val="TableReference"/>
              <w:spacing w:before="60"/>
              <w:rPr>
                <w:rFonts w:cs="Calibri"/>
                <w:color w:val="7030A0"/>
                <w:sz w:val="14"/>
              </w:rPr>
            </w:pPr>
            <w:r w:rsidRPr="00AD586B">
              <w:rPr>
                <w:rFonts w:cs="Calibri"/>
                <w:color w:val="7030A0"/>
                <w:sz w:val="14"/>
              </w:rPr>
              <w:t>AASB 13.93 (a) &amp; (b)</w:t>
            </w:r>
          </w:p>
          <w:p w14:paraId="23E53A87" w14:textId="0DFA6F98" w:rsidR="00F5577F" w:rsidRPr="00AD586B" w:rsidRDefault="00F5577F" w:rsidP="00BA2D61">
            <w:pPr>
              <w:pStyle w:val="TableReference"/>
              <w:rPr>
                <w:rFonts w:cs="Calibri"/>
                <w:color w:val="7030A0"/>
                <w:sz w:val="14"/>
              </w:rPr>
            </w:pPr>
            <w:r w:rsidRPr="00AD586B">
              <w:rPr>
                <w:rFonts w:cs="Calibri"/>
                <w:color w:val="7030A0"/>
                <w:sz w:val="14"/>
              </w:rPr>
              <w:t>AASB 13.94</w:t>
            </w:r>
          </w:p>
        </w:tc>
        <w:tc>
          <w:tcPr>
            <w:tcW w:w="2182" w:type="pct"/>
            <w:tcBorders>
              <w:top w:val="nil"/>
              <w:left w:val="single" w:sz="4" w:space="0" w:color="auto"/>
              <w:bottom w:val="nil"/>
              <w:right w:val="nil"/>
            </w:tcBorders>
          </w:tcPr>
          <w:p w14:paraId="2C030551" w14:textId="4DACCC91" w:rsidR="00F5577F" w:rsidRPr="00167B16" w:rsidRDefault="00F5577F" w:rsidP="00BA2D61">
            <w:pPr>
              <w:pStyle w:val="TableText"/>
              <w:spacing w:before="0"/>
              <w:rPr>
                <w:rFonts w:cs="Calibri"/>
              </w:rPr>
            </w:pPr>
            <w:r w:rsidRPr="00167B16">
              <w:rPr>
                <w:rFonts w:cs="Calibri"/>
                <w:b/>
                <w:bCs/>
              </w:rPr>
              <w:t>Non-Current Assets Held for Sale at Fair Value</w:t>
            </w:r>
          </w:p>
        </w:tc>
        <w:tc>
          <w:tcPr>
            <w:tcW w:w="990" w:type="pct"/>
            <w:gridSpan w:val="5"/>
            <w:tcBorders>
              <w:top w:val="nil"/>
              <w:left w:val="nil"/>
              <w:bottom w:val="nil"/>
              <w:right w:val="nil"/>
            </w:tcBorders>
          </w:tcPr>
          <w:p w14:paraId="0757332E" w14:textId="5B09B6D4" w:rsidR="00F5577F" w:rsidRPr="00167B16" w:rsidRDefault="00F5577F" w:rsidP="00BA2D61">
            <w:pPr>
              <w:pStyle w:val="TableText"/>
              <w:spacing w:before="0"/>
              <w:jc w:val="right"/>
              <w:rPr>
                <w:rFonts w:cs="Calibri"/>
                <w:b/>
                <w:bCs/>
              </w:rPr>
            </w:pPr>
            <w:r w:rsidRPr="00167B16">
              <w:rPr>
                <w:rFonts w:cs="Calibri"/>
                <w:b/>
                <w:bCs/>
              </w:rPr>
              <w:t>$’000</w:t>
            </w:r>
          </w:p>
        </w:tc>
        <w:tc>
          <w:tcPr>
            <w:tcW w:w="996" w:type="pct"/>
            <w:gridSpan w:val="5"/>
            <w:tcBorders>
              <w:top w:val="nil"/>
              <w:left w:val="nil"/>
              <w:bottom w:val="nil"/>
              <w:right w:val="nil"/>
            </w:tcBorders>
          </w:tcPr>
          <w:p w14:paraId="375315E5" w14:textId="545D7DA7" w:rsidR="00F5577F" w:rsidRPr="00167B16" w:rsidRDefault="00F5577F" w:rsidP="00BA2D61">
            <w:pPr>
              <w:pStyle w:val="TableText"/>
              <w:spacing w:before="0"/>
              <w:jc w:val="right"/>
              <w:rPr>
                <w:rFonts w:cs="Calibri"/>
                <w:b/>
                <w:bCs/>
              </w:rPr>
            </w:pPr>
            <w:r w:rsidRPr="00167B16">
              <w:rPr>
                <w:rFonts w:cs="Calibri"/>
                <w:b/>
                <w:bCs/>
              </w:rPr>
              <w:t>$’000</w:t>
            </w:r>
          </w:p>
        </w:tc>
      </w:tr>
      <w:tr w:rsidR="00F5577F" w:rsidRPr="00CF7E1B" w14:paraId="1B99AA45"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75A3BD32" w14:textId="200D1258" w:rsidR="00F5577F" w:rsidRPr="00AD586B" w:rsidRDefault="00F5577F" w:rsidP="00BA2D61">
            <w:pPr>
              <w:pStyle w:val="TableReference"/>
              <w:rPr>
                <w:rFonts w:cs="Calibri"/>
                <w:color w:val="7030A0"/>
                <w:sz w:val="14"/>
              </w:rPr>
            </w:pPr>
          </w:p>
        </w:tc>
        <w:tc>
          <w:tcPr>
            <w:tcW w:w="2182" w:type="pct"/>
            <w:tcBorders>
              <w:top w:val="nil"/>
              <w:left w:val="single" w:sz="4" w:space="0" w:color="auto"/>
              <w:bottom w:val="nil"/>
              <w:right w:val="nil"/>
            </w:tcBorders>
            <w:vAlign w:val="bottom"/>
          </w:tcPr>
          <w:p w14:paraId="259E0C3F" w14:textId="0B2EE5B9" w:rsidR="00F5577F" w:rsidRPr="00167B16" w:rsidRDefault="00F5577F" w:rsidP="00BA2D61">
            <w:pPr>
              <w:pStyle w:val="TableText"/>
              <w:spacing w:before="0"/>
              <w:rPr>
                <w:rFonts w:cs="Calibri"/>
                <w:b/>
                <w:bCs/>
              </w:rPr>
            </w:pPr>
            <w:r w:rsidRPr="00167B16">
              <w:rPr>
                <w:rFonts w:cs="Calibri"/>
              </w:rPr>
              <w:t>Plant and Equipment</w:t>
            </w:r>
          </w:p>
        </w:tc>
        <w:tc>
          <w:tcPr>
            <w:tcW w:w="990" w:type="pct"/>
            <w:gridSpan w:val="5"/>
            <w:tcBorders>
              <w:top w:val="nil"/>
              <w:left w:val="nil"/>
              <w:bottom w:val="single" w:sz="2" w:space="0" w:color="auto"/>
              <w:right w:val="nil"/>
            </w:tcBorders>
            <w:vAlign w:val="bottom"/>
          </w:tcPr>
          <w:p w14:paraId="3FDC70ED" w14:textId="77777777" w:rsidR="00F5577F" w:rsidRPr="00167B16" w:rsidRDefault="00F5577F" w:rsidP="00BA2D61">
            <w:pPr>
              <w:pStyle w:val="TableText"/>
              <w:spacing w:before="0"/>
              <w:rPr>
                <w:rFonts w:cs="Calibri"/>
              </w:rPr>
            </w:pPr>
          </w:p>
        </w:tc>
        <w:tc>
          <w:tcPr>
            <w:tcW w:w="996" w:type="pct"/>
            <w:gridSpan w:val="5"/>
            <w:tcBorders>
              <w:top w:val="nil"/>
              <w:left w:val="nil"/>
              <w:bottom w:val="single" w:sz="2" w:space="0" w:color="auto"/>
              <w:right w:val="nil"/>
            </w:tcBorders>
            <w:vAlign w:val="bottom"/>
          </w:tcPr>
          <w:p w14:paraId="06E50912" w14:textId="77777777" w:rsidR="00F5577F" w:rsidRPr="00167B16" w:rsidRDefault="00F5577F" w:rsidP="00BA2D61">
            <w:pPr>
              <w:pStyle w:val="TableText"/>
              <w:spacing w:before="0"/>
              <w:rPr>
                <w:rFonts w:cs="Calibri"/>
              </w:rPr>
            </w:pPr>
          </w:p>
        </w:tc>
      </w:tr>
      <w:tr w:rsidR="00F5577F" w:rsidRPr="00CF7E1B" w14:paraId="690057F2"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779E8798" w14:textId="77777777" w:rsidR="00F5577F" w:rsidRPr="00AD586B" w:rsidRDefault="00F5577F" w:rsidP="00BA2D61">
            <w:pPr>
              <w:pStyle w:val="TableReference"/>
              <w:rPr>
                <w:rFonts w:cs="Calibri"/>
                <w:color w:val="7030A0"/>
                <w:sz w:val="14"/>
              </w:rPr>
            </w:pPr>
          </w:p>
        </w:tc>
        <w:tc>
          <w:tcPr>
            <w:tcW w:w="2182" w:type="pct"/>
            <w:tcBorders>
              <w:top w:val="nil"/>
              <w:left w:val="single" w:sz="4" w:space="0" w:color="auto"/>
              <w:bottom w:val="nil"/>
              <w:right w:val="nil"/>
            </w:tcBorders>
            <w:vAlign w:val="bottom"/>
          </w:tcPr>
          <w:p w14:paraId="17C4DA4B" w14:textId="54E25DA2" w:rsidR="00F5577F" w:rsidRPr="00167B16" w:rsidRDefault="00F5577F" w:rsidP="00BA2D61">
            <w:pPr>
              <w:pStyle w:val="TableText"/>
              <w:spacing w:before="0"/>
              <w:rPr>
                <w:rFonts w:cs="Calibri"/>
              </w:rPr>
            </w:pPr>
          </w:p>
        </w:tc>
        <w:tc>
          <w:tcPr>
            <w:tcW w:w="990" w:type="pct"/>
            <w:gridSpan w:val="5"/>
            <w:tcBorders>
              <w:top w:val="single" w:sz="2" w:space="0" w:color="auto"/>
              <w:left w:val="nil"/>
              <w:bottom w:val="double" w:sz="4" w:space="0" w:color="auto"/>
              <w:right w:val="nil"/>
            </w:tcBorders>
            <w:vAlign w:val="bottom"/>
          </w:tcPr>
          <w:p w14:paraId="6ABA9D26" w14:textId="77777777" w:rsidR="00F5577F" w:rsidRPr="00167B16" w:rsidRDefault="00F5577F" w:rsidP="00BA2D61">
            <w:pPr>
              <w:pStyle w:val="TableText"/>
              <w:spacing w:before="0"/>
              <w:rPr>
                <w:rFonts w:cs="Calibri"/>
              </w:rPr>
            </w:pPr>
          </w:p>
        </w:tc>
        <w:tc>
          <w:tcPr>
            <w:tcW w:w="996" w:type="pct"/>
            <w:gridSpan w:val="5"/>
            <w:tcBorders>
              <w:top w:val="single" w:sz="2" w:space="0" w:color="auto"/>
              <w:left w:val="nil"/>
              <w:bottom w:val="double" w:sz="4" w:space="0" w:color="auto"/>
              <w:right w:val="nil"/>
            </w:tcBorders>
            <w:vAlign w:val="bottom"/>
          </w:tcPr>
          <w:p w14:paraId="142BA25C" w14:textId="77777777" w:rsidR="00F5577F" w:rsidRPr="00167B16" w:rsidRDefault="00F5577F" w:rsidP="00BA2D61">
            <w:pPr>
              <w:pStyle w:val="TableText"/>
              <w:spacing w:before="0"/>
              <w:rPr>
                <w:rFonts w:cs="Calibri"/>
              </w:rPr>
            </w:pPr>
          </w:p>
        </w:tc>
      </w:tr>
      <w:tr w:rsidR="00167B16" w:rsidRPr="00CF7E1B" w14:paraId="46581EA6"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04A86AA8" w14:textId="77777777" w:rsidR="00BA2D61" w:rsidRPr="00AD586B" w:rsidRDefault="00BA2D61" w:rsidP="00BA2D61">
            <w:pPr>
              <w:pStyle w:val="TableReference"/>
              <w:rPr>
                <w:rFonts w:cs="Calibri"/>
                <w:color w:val="7030A0"/>
                <w:sz w:val="14"/>
              </w:rPr>
            </w:pPr>
          </w:p>
        </w:tc>
        <w:tc>
          <w:tcPr>
            <w:tcW w:w="2182" w:type="pct"/>
            <w:tcBorders>
              <w:top w:val="nil"/>
              <w:left w:val="single" w:sz="4" w:space="0" w:color="auto"/>
              <w:bottom w:val="nil"/>
              <w:right w:val="nil"/>
            </w:tcBorders>
            <w:vAlign w:val="bottom"/>
          </w:tcPr>
          <w:p w14:paraId="4C107158" w14:textId="77777777" w:rsidR="00BA2D61" w:rsidRPr="00167B16" w:rsidRDefault="00BA2D61" w:rsidP="00BA2D61">
            <w:pPr>
              <w:pStyle w:val="TableText"/>
              <w:spacing w:before="0"/>
              <w:rPr>
                <w:rFonts w:cs="Calibri"/>
              </w:rPr>
            </w:pPr>
          </w:p>
        </w:tc>
        <w:tc>
          <w:tcPr>
            <w:tcW w:w="126" w:type="pct"/>
            <w:tcBorders>
              <w:top w:val="double" w:sz="4" w:space="0" w:color="auto"/>
              <w:left w:val="nil"/>
              <w:bottom w:val="nil"/>
              <w:right w:val="nil"/>
            </w:tcBorders>
            <w:vAlign w:val="bottom"/>
          </w:tcPr>
          <w:p w14:paraId="2DD90D4B" w14:textId="77777777" w:rsidR="00BA2D61" w:rsidRPr="00167B16" w:rsidRDefault="00BA2D61" w:rsidP="00BA2D61">
            <w:pPr>
              <w:pStyle w:val="TableText"/>
              <w:spacing w:before="0"/>
              <w:rPr>
                <w:rFonts w:cs="Calibri"/>
              </w:rPr>
            </w:pPr>
          </w:p>
        </w:tc>
        <w:tc>
          <w:tcPr>
            <w:tcW w:w="603" w:type="pct"/>
            <w:gridSpan w:val="2"/>
            <w:tcBorders>
              <w:top w:val="double" w:sz="4" w:space="0" w:color="auto"/>
              <w:left w:val="nil"/>
              <w:bottom w:val="nil"/>
              <w:right w:val="nil"/>
            </w:tcBorders>
            <w:vAlign w:val="bottom"/>
          </w:tcPr>
          <w:p w14:paraId="7ADFC54B" w14:textId="77777777" w:rsidR="00BA2D61" w:rsidRPr="00167B16" w:rsidRDefault="00BA2D61" w:rsidP="00BA2D61">
            <w:pPr>
              <w:pStyle w:val="TableText"/>
              <w:spacing w:before="0"/>
              <w:rPr>
                <w:rFonts w:cs="Calibri"/>
              </w:rPr>
            </w:pPr>
          </w:p>
        </w:tc>
        <w:tc>
          <w:tcPr>
            <w:tcW w:w="658" w:type="pct"/>
            <w:gridSpan w:val="5"/>
            <w:tcBorders>
              <w:top w:val="double" w:sz="4" w:space="0" w:color="auto"/>
              <w:left w:val="nil"/>
              <w:bottom w:val="nil"/>
              <w:right w:val="nil"/>
            </w:tcBorders>
            <w:vAlign w:val="bottom"/>
          </w:tcPr>
          <w:p w14:paraId="75A0C049" w14:textId="77777777" w:rsidR="00BA2D61" w:rsidRPr="00167B16" w:rsidRDefault="00BA2D61" w:rsidP="00BA2D61">
            <w:pPr>
              <w:pStyle w:val="TableText"/>
              <w:spacing w:before="0"/>
              <w:rPr>
                <w:rFonts w:cs="Calibri"/>
              </w:rPr>
            </w:pPr>
          </w:p>
        </w:tc>
        <w:tc>
          <w:tcPr>
            <w:tcW w:w="600" w:type="pct"/>
            <w:gridSpan w:val="2"/>
            <w:tcBorders>
              <w:top w:val="double" w:sz="4" w:space="0" w:color="auto"/>
              <w:left w:val="nil"/>
              <w:bottom w:val="nil"/>
              <w:right w:val="nil"/>
            </w:tcBorders>
            <w:vAlign w:val="bottom"/>
          </w:tcPr>
          <w:p w14:paraId="32FD9C0B" w14:textId="77777777" w:rsidR="00BA2D61" w:rsidRPr="00167B16" w:rsidRDefault="00BA2D61" w:rsidP="00BA2D61">
            <w:pPr>
              <w:pStyle w:val="TableText"/>
              <w:spacing w:before="0"/>
              <w:rPr>
                <w:rFonts w:cs="Calibri"/>
              </w:rPr>
            </w:pPr>
          </w:p>
        </w:tc>
      </w:tr>
      <w:tr w:rsidR="00BA2D61" w:rsidRPr="00CF7E1B" w14:paraId="36BDD557"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6A6E3F12" w14:textId="77777777" w:rsidR="00BA2D61" w:rsidRPr="00AD586B" w:rsidRDefault="00BA2D61" w:rsidP="00BA2D61">
            <w:pPr>
              <w:pStyle w:val="TableReference"/>
              <w:rPr>
                <w:rFonts w:cs="Calibri"/>
                <w:color w:val="7030A0"/>
                <w:sz w:val="14"/>
              </w:rPr>
            </w:pPr>
          </w:p>
        </w:tc>
        <w:tc>
          <w:tcPr>
            <w:tcW w:w="4168" w:type="pct"/>
            <w:gridSpan w:val="11"/>
            <w:tcBorders>
              <w:top w:val="nil"/>
              <w:left w:val="single" w:sz="4" w:space="0" w:color="auto"/>
              <w:bottom w:val="nil"/>
              <w:right w:val="nil"/>
            </w:tcBorders>
            <w:vAlign w:val="bottom"/>
          </w:tcPr>
          <w:p w14:paraId="22767D9E" w14:textId="4C1343DE" w:rsidR="00BA2D61" w:rsidRPr="00167B16" w:rsidRDefault="00BA2D61" w:rsidP="00E65C53">
            <w:pPr>
              <w:pStyle w:val="TableText"/>
              <w:tabs>
                <w:tab w:val="left" w:pos="3306"/>
              </w:tabs>
              <w:spacing w:before="120" w:after="120"/>
              <w:rPr>
                <w:rFonts w:cs="Calibri"/>
                <w:i/>
              </w:rPr>
            </w:pPr>
            <w:r w:rsidRPr="00167B16">
              <w:rPr>
                <w:rFonts w:cs="Calibri"/>
              </w:rPr>
              <w:t xml:space="preserve">The Fair Value Hierarchy is discussed in Note </w:t>
            </w:r>
            <w:r w:rsidR="00762E7F" w:rsidRPr="00167B16">
              <w:rPr>
                <w:rFonts w:cs="Calibri"/>
              </w:rPr>
              <w:t>19</w:t>
            </w:r>
            <w:r w:rsidR="00292348" w:rsidRPr="00167B16">
              <w:rPr>
                <w:rFonts w:cs="Calibri"/>
              </w:rPr>
              <w:t xml:space="preserve"> </w:t>
            </w:r>
            <w:r w:rsidRPr="00167B16">
              <w:rPr>
                <w:rFonts w:cs="Calibri"/>
                <w:i/>
              </w:rPr>
              <w:t>Property, Plant and Equipment</w:t>
            </w:r>
            <w:r w:rsidRPr="00167B16">
              <w:rPr>
                <w:rFonts w:cs="Calibri"/>
              </w:rPr>
              <w:t>.</w:t>
            </w:r>
            <w:r w:rsidRPr="00167B16">
              <w:rPr>
                <w:rFonts w:cs="Calibri"/>
                <w:i/>
              </w:rPr>
              <w:t xml:space="preserve"> </w:t>
            </w:r>
          </w:p>
        </w:tc>
      </w:tr>
      <w:tr w:rsidR="00BA2D61" w:rsidRPr="00CF7E1B" w14:paraId="09D51C01"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2BAE3443" w14:textId="77777777" w:rsidR="00BA2D61" w:rsidRPr="00AD586B" w:rsidRDefault="00BA2D61" w:rsidP="00BA2D61">
            <w:pPr>
              <w:pStyle w:val="TableReference"/>
              <w:rPr>
                <w:rFonts w:cs="Calibri"/>
                <w:color w:val="7030A0"/>
                <w:sz w:val="14"/>
              </w:rPr>
            </w:pPr>
            <w:r w:rsidRPr="00AD586B">
              <w:rPr>
                <w:rFonts w:cs="Calibri"/>
                <w:color w:val="7030A0"/>
                <w:sz w:val="14"/>
              </w:rPr>
              <w:t>AASB 13 .93(c)&amp; (e)(iv)</w:t>
            </w:r>
          </w:p>
        </w:tc>
        <w:tc>
          <w:tcPr>
            <w:tcW w:w="4168" w:type="pct"/>
            <w:gridSpan w:val="11"/>
            <w:tcBorders>
              <w:top w:val="nil"/>
              <w:left w:val="single" w:sz="4" w:space="0" w:color="auto"/>
              <w:bottom w:val="nil"/>
              <w:right w:val="nil"/>
            </w:tcBorders>
            <w:vAlign w:val="bottom"/>
          </w:tcPr>
          <w:p w14:paraId="5517B705" w14:textId="77777777" w:rsidR="00BA2D61" w:rsidRPr="00167B16" w:rsidRDefault="00BA2D61" w:rsidP="00BA2D61">
            <w:pPr>
              <w:jc w:val="both"/>
              <w:rPr>
                <w:rFonts w:cs="Calibri"/>
                <w:sz w:val="18"/>
                <w:szCs w:val="18"/>
              </w:rPr>
            </w:pPr>
            <w:r w:rsidRPr="00167B16">
              <w:rPr>
                <w:rFonts w:cs="Calibri"/>
                <w:b/>
                <w:sz w:val="18"/>
                <w:szCs w:val="18"/>
              </w:rPr>
              <w:t>Transfers Between Categories</w:t>
            </w:r>
          </w:p>
        </w:tc>
      </w:tr>
      <w:tr w:rsidR="00BA2D61" w:rsidRPr="00CF7E1B" w14:paraId="292896C1"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4F9FF607" w14:textId="77777777" w:rsidR="00BA2D61" w:rsidRPr="00AD586B" w:rsidRDefault="00BA2D61" w:rsidP="00BA2D61">
            <w:pPr>
              <w:pStyle w:val="TableReference"/>
              <w:spacing w:before="60"/>
              <w:rPr>
                <w:rFonts w:cs="Calibri"/>
                <w:color w:val="7030A0"/>
                <w:sz w:val="14"/>
              </w:rPr>
            </w:pPr>
          </w:p>
        </w:tc>
        <w:tc>
          <w:tcPr>
            <w:tcW w:w="4168" w:type="pct"/>
            <w:gridSpan w:val="11"/>
            <w:tcBorders>
              <w:top w:val="nil"/>
              <w:left w:val="single" w:sz="4" w:space="0" w:color="auto"/>
              <w:bottom w:val="nil"/>
              <w:right w:val="nil"/>
            </w:tcBorders>
            <w:vAlign w:val="bottom"/>
          </w:tcPr>
          <w:p w14:paraId="46AE5611" w14:textId="1DDA8141" w:rsidR="00BA2D61" w:rsidRPr="00167B16" w:rsidRDefault="00BA2D61" w:rsidP="00BA2D61">
            <w:pPr>
              <w:pStyle w:val="TableText"/>
              <w:spacing w:before="0" w:after="120"/>
              <w:rPr>
                <w:rFonts w:cs="Calibri"/>
              </w:rPr>
            </w:pPr>
            <w:r w:rsidRPr="00167B16">
              <w:rPr>
                <w:rFonts w:cs="Calibri"/>
              </w:rPr>
              <w:t>There were no transfers between Levels 2 and 3 during the current and previous reporting period.</w:t>
            </w:r>
          </w:p>
        </w:tc>
      </w:tr>
      <w:tr w:rsidR="00BA2D61" w:rsidRPr="00CF7E1B" w14:paraId="7BA41BC9"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152C3605" w14:textId="77777777" w:rsidR="00BA2D61" w:rsidRPr="00AD586B" w:rsidRDefault="00BA2D61" w:rsidP="00BA2D61">
            <w:pPr>
              <w:pStyle w:val="TableReference"/>
              <w:rPr>
                <w:rFonts w:cs="Calibri"/>
                <w:color w:val="7030A0"/>
                <w:sz w:val="14"/>
              </w:rPr>
            </w:pPr>
          </w:p>
        </w:tc>
        <w:tc>
          <w:tcPr>
            <w:tcW w:w="4168" w:type="pct"/>
            <w:gridSpan w:val="11"/>
            <w:tcBorders>
              <w:top w:val="nil"/>
              <w:left w:val="single" w:sz="4" w:space="0" w:color="auto"/>
              <w:bottom w:val="nil"/>
              <w:right w:val="nil"/>
            </w:tcBorders>
            <w:vAlign w:val="bottom"/>
          </w:tcPr>
          <w:p w14:paraId="5C21115E" w14:textId="5143F219" w:rsidR="00BA2D61" w:rsidRPr="00167B16" w:rsidRDefault="00BA2D61" w:rsidP="00BA2D61">
            <w:pPr>
              <w:jc w:val="both"/>
              <w:rPr>
                <w:rFonts w:cs="Calibri"/>
                <w:b/>
                <w:sz w:val="18"/>
                <w:szCs w:val="18"/>
              </w:rPr>
            </w:pPr>
            <w:r w:rsidRPr="00167B16">
              <w:rPr>
                <w:rFonts w:cs="Calibri"/>
                <w:b/>
                <w:sz w:val="18"/>
                <w:szCs w:val="18"/>
              </w:rPr>
              <w:t>Valuation techniques, inputs and processes</w:t>
            </w:r>
          </w:p>
        </w:tc>
      </w:tr>
      <w:tr w:rsidR="00BA2D61" w:rsidRPr="00CF7E1B" w14:paraId="02CF310B" w14:textId="77777777" w:rsidTr="005F5B4C">
        <w:trPr>
          <w:gridAfter w:val="1"/>
          <w:wAfter w:w="107" w:type="pct"/>
          <w:cantSplit/>
        </w:trPr>
        <w:tc>
          <w:tcPr>
            <w:tcW w:w="724" w:type="pct"/>
            <w:tcBorders>
              <w:top w:val="nil"/>
              <w:left w:val="single" w:sz="4" w:space="0" w:color="auto"/>
              <w:bottom w:val="nil"/>
              <w:right w:val="single" w:sz="4" w:space="0" w:color="auto"/>
            </w:tcBorders>
          </w:tcPr>
          <w:p w14:paraId="61CAE9A6" w14:textId="77777777" w:rsidR="00BA2D61" w:rsidRPr="00AD586B" w:rsidRDefault="00BA2D61" w:rsidP="00BA2D61">
            <w:pPr>
              <w:pStyle w:val="TableReference"/>
              <w:spacing w:before="60"/>
              <w:rPr>
                <w:rFonts w:cs="Calibri"/>
                <w:color w:val="7030A0"/>
                <w:sz w:val="14"/>
              </w:rPr>
            </w:pPr>
            <w:r w:rsidRPr="00AD586B">
              <w:rPr>
                <w:rFonts w:cs="Calibri"/>
                <w:color w:val="7030A0"/>
                <w:sz w:val="14"/>
              </w:rPr>
              <w:t>AASB 18.93(d)</w:t>
            </w:r>
          </w:p>
        </w:tc>
        <w:tc>
          <w:tcPr>
            <w:tcW w:w="4168" w:type="pct"/>
            <w:gridSpan w:val="11"/>
            <w:tcBorders>
              <w:top w:val="nil"/>
              <w:left w:val="single" w:sz="4" w:space="0" w:color="auto"/>
              <w:bottom w:val="nil"/>
              <w:right w:val="nil"/>
            </w:tcBorders>
            <w:vAlign w:val="bottom"/>
          </w:tcPr>
          <w:p w14:paraId="40727A6B" w14:textId="65D8A05B" w:rsidR="00BA2D61" w:rsidRPr="00167B16" w:rsidRDefault="00BA2D61" w:rsidP="00E65C53">
            <w:pPr>
              <w:pStyle w:val="TableText"/>
              <w:spacing w:before="0"/>
              <w:jc w:val="both"/>
            </w:pPr>
            <w:r w:rsidRPr="00167B16">
              <w:rPr>
                <w:rFonts w:cs="Calibri"/>
              </w:rPr>
              <w:t>Level 2 fair values of assets held for sale are derived using the market approach.</w:t>
            </w:r>
            <w:r w:rsidR="00FA7C77">
              <w:rPr>
                <w:rFonts w:cs="Calibri"/>
              </w:rPr>
              <w:t xml:space="preserve"> </w:t>
            </w:r>
            <w:r w:rsidRPr="00167B16">
              <w:rPr>
                <w:rFonts w:cs="Calibri"/>
              </w:rPr>
              <w:t>These assets have been written down to fair value less costs to sell.</w:t>
            </w:r>
            <w:r w:rsidR="00FA7C77">
              <w:rPr>
                <w:rFonts w:cs="Calibri"/>
              </w:rPr>
              <w:t xml:space="preserve"> </w:t>
            </w:r>
            <w:r w:rsidRPr="00167B16">
              <w:rPr>
                <w:rFonts w:cs="Calibri"/>
              </w:rPr>
              <w:t>Fair value has been determined by reference to market evidence of sales prices of comparable assets.</w:t>
            </w:r>
            <w:r w:rsidR="00FA7C77">
              <w:rPr>
                <w:rFonts w:cs="Calibri"/>
              </w:rPr>
              <w:t xml:space="preserve"> </w:t>
            </w:r>
            <w:r w:rsidRPr="00167B16">
              <w:rPr>
                <w:rFonts w:cs="Calibri"/>
              </w:rPr>
              <w:t>Assets held for sale represent a non-recurring fair value measurement.</w:t>
            </w:r>
          </w:p>
        </w:tc>
      </w:tr>
    </w:tbl>
    <w:p w14:paraId="59604090" w14:textId="0DB82B7C" w:rsidR="00AD586B" w:rsidRDefault="00AD586B">
      <w:r>
        <w:br w:type="page"/>
      </w:r>
    </w:p>
    <w:tbl>
      <w:tblPr>
        <w:tblW w:w="5131"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9"/>
        <w:gridCol w:w="8919"/>
      </w:tblGrid>
      <w:tr w:rsidR="00BA2D61" w:rsidRPr="00CF7E1B" w14:paraId="67E9944C" w14:textId="77777777" w:rsidTr="005F5B4C">
        <w:trPr>
          <w:cantSplit/>
        </w:trPr>
        <w:tc>
          <w:tcPr>
            <w:tcW w:w="741" w:type="pct"/>
            <w:tcBorders>
              <w:top w:val="nil"/>
              <w:left w:val="single" w:sz="4" w:space="0" w:color="auto"/>
              <w:bottom w:val="nil"/>
              <w:right w:val="single" w:sz="4" w:space="0" w:color="7030A0"/>
            </w:tcBorders>
          </w:tcPr>
          <w:p w14:paraId="28BE3305" w14:textId="4335DF93" w:rsidR="00BA2D61" w:rsidRPr="00AD586B" w:rsidRDefault="00AD586B" w:rsidP="00BD1DCB">
            <w:pPr>
              <w:pStyle w:val="TableReference"/>
              <w:spacing w:after="240"/>
              <w:rPr>
                <w:rFonts w:cs="Calibri"/>
                <w:color w:val="7030A0"/>
                <w:sz w:val="14"/>
              </w:rPr>
            </w:pPr>
            <w:r w:rsidRPr="00AD586B">
              <w:rPr>
                <w:rFonts w:cs="Calibri"/>
                <w:b/>
                <w:color w:val="7030A0"/>
                <w:sz w:val="22"/>
                <w:szCs w:val="22"/>
              </w:rPr>
              <w:t>Reference</w:t>
            </w:r>
          </w:p>
        </w:tc>
        <w:tc>
          <w:tcPr>
            <w:tcW w:w="4259" w:type="pct"/>
            <w:gridSpan w:val="2"/>
            <w:tcBorders>
              <w:top w:val="nil"/>
              <w:left w:val="single" w:sz="4" w:space="0" w:color="7030A0"/>
              <w:bottom w:val="nil"/>
              <w:right w:val="single" w:sz="4" w:space="0" w:color="auto"/>
            </w:tcBorders>
            <w:shd w:val="clear" w:color="auto" w:fill="7030A0"/>
            <w:vAlign w:val="bottom"/>
          </w:tcPr>
          <w:p w14:paraId="23B81425" w14:textId="489890B7" w:rsidR="00BA2D61" w:rsidRPr="00AE2AE5" w:rsidRDefault="00BA2D61" w:rsidP="00BD1DCB">
            <w:pPr>
              <w:pStyle w:val="CommentaryText"/>
              <w:spacing w:after="240"/>
              <w:rPr>
                <w:rFonts w:cs="Calibri"/>
                <w:b/>
                <w:color w:val="FFFFFF" w:themeColor="background1"/>
                <w:sz w:val="28"/>
                <w:szCs w:val="28"/>
              </w:rPr>
            </w:pPr>
            <w:r w:rsidRPr="00AE2AE5">
              <w:rPr>
                <w:rFonts w:cs="Calibri"/>
                <w:b/>
                <w:color w:val="FFFFFF" w:themeColor="background1"/>
                <w:sz w:val="28"/>
                <w:szCs w:val="28"/>
              </w:rPr>
              <w:t xml:space="preserve">Commentary – Note </w:t>
            </w:r>
            <w:r w:rsidR="00762E7F" w:rsidRPr="00AE2AE5">
              <w:rPr>
                <w:rFonts w:cs="Calibri"/>
                <w:b/>
                <w:color w:val="FFFFFF" w:themeColor="background1"/>
                <w:sz w:val="28"/>
                <w:szCs w:val="28"/>
              </w:rPr>
              <w:t>18</w:t>
            </w:r>
            <w:r w:rsidRPr="00AE2AE5">
              <w:rPr>
                <w:rFonts w:cs="Calibri"/>
                <w:b/>
                <w:color w:val="FFFFFF" w:themeColor="background1"/>
                <w:sz w:val="28"/>
                <w:szCs w:val="28"/>
              </w:rPr>
              <w:t>: Non–Current Assets Held for Sale</w:t>
            </w:r>
          </w:p>
        </w:tc>
      </w:tr>
      <w:tr w:rsidR="00BA2D61" w:rsidRPr="00CF7E1B" w14:paraId="0A1CD081"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1" w:type="pct"/>
            <w:tcBorders>
              <w:left w:val="single" w:sz="4" w:space="0" w:color="auto"/>
              <w:right w:val="single" w:sz="4" w:space="0" w:color="7030A0"/>
            </w:tcBorders>
          </w:tcPr>
          <w:p w14:paraId="61992220" w14:textId="77777777" w:rsidR="00BA2D61" w:rsidRPr="00AD586B" w:rsidRDefault="00BA2D61" w:rsidP="00BA2D61">
            <w:pPr>
              <w:pStyle w:val="TableReference"/>
              <w:tabs>
                <w:tab w:val="left" w:pos="3306"/>
              </w:tabs>
              <w:spacing w:before="80"/>
              <w:rPr>
                <w:rFonts w:cs="Calibri"/>
                <w:color w:val="7030A0"/>
                <w:sz w:val="14"/>
              </w:rPr>
            </w:pPr>
            <w:r w:rsidRPr="00AD586B">
              <w:rPr>
                <w:rFonts w:cs="Calibri"/>
                <w:color w:val="7030A0"/>
                <w:sz w:val="14"/>
              </w:rPr>
              <w:t>AASB 5.7</w:t>
            </w:r>
          </w:p>
        </w:tc>
        <w:tc>
          <w:tcPr>
            <w:tcW w:w="4259" w:type="pct"/>
            <w:gridSpan w:val="2"/>
            <w:tcBorders>
              <w:left w:val="single" w:sz="4" w:space="0" w:color="7030A0"/>
              <w:right w:val="single" w:sz="4" w:space="0" w:color="auto"/>
            </w:tcBorders>
            <w:shd w:val="clear" w:color="auto" w:fill="7030A0"/>
          </w:tcPr>
          <w:p w14:paraId="1DCE303A" w14:textId="77777777"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For an asset to be classified as held for sale it must be available for immediate sale in its present condition subject only to terms that are usual and customary for the sale of such assets and the sale must be highly probable.</w:t>
            </w:r>
          </w:p>
        </w:tc>
      </w:tr>
      <w:tr w:rsidR="00BA2D61" w:rsidRPr="00CF7E1B" w14:paraId="1C15D76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41" w:type="pct"/>
            <w:tcBorders>
              <w:left w:val="single" w:sz="4" w:space="0" w:color="auto"/>
              <w:right w:val="single" w:sz="4" w:space="0" w:color="7030A0"/>
            </w:tcBorders>
          </w:tcPr>
          <w:p w14:paraId="0E779785" w14:textId="77777777" w:rsidR="00BA2D61" w:rsidRPr="00AD586B" w:rsidRDefault="00BA2D61" w:rsidP="00BA2D61">
            <w:pPr>
              <w:pStyle w:val="TableReference"/>
              <w:tabs>
                <w:tab w:val="left" w:pos="3306"/>
              </w:tabs>
              <w:spacing w:before="80"/>
              <w:rPr>
                <w:rFonts w:cs="Calibri"/>
                <w:color w:val="7030A0"/>
                <w:sz w:val="14"/>
              </w:rPr>
            </w:pPr>
            <w:r w:rsidRPr="00AD586B">
              <w:rPr>
                <w:rFonts w:cs="Calibri"/>
                <w:color w:val="7030A0"/>
                <w:sz w:val="14"/>
              </w:rPr>
              <w:t>AASB 5.8</w:t>
            </w:r>
          </w:p>
        </w:tc>
        <w:tc>
          <w:tcPr>
            <w:tcW w:w="4259" w:type="pct"/>
            <w:gridSpan w:val="2"/>
            <w:tcBorders>
              <w:left w:val="single" w:sz="4" w:space="0" w:color="7030A0"/>
              <w:right w:val="single" w:sz="4" w:space="0" w:color="auto"/>
            </w:tcBorders>
            <w:shd w:val="clear" w:color="auto" w:fill="7030A0"/>
          </w:tcPr>
          <w:p w14:paraId="1CFC74B4" w14:textId="77777777" w:rsidR="00BA2D61" w:rsidRPr="00AE2AE5" w:rsidRDefault="00BA2D61" w:rsidP="00BA2D61">
            <w:pPr>
              <w:pStyle w:val="CommentaryText"/>
              <w:spacing w:before="60"/>
              <w:rPr>
                <w:rFonts w:cs="Calibri"/>
                <w:b/>
                <w:color w:val="FFFFFF" w:themeColor="background1"/>
                <w:sz w:val="18"/>
                <w:szCs w:val="18"/>
              </w:rPr>
            </w:pPr>
            <w:r w:rsidRPr="00AE2AE5">
              <w:rPr>
                <w:rFonts w:cs="Calibri"/>
                <w:color w:val="FFFFFF" w:themeColor="background1"/>
                <w:sz w:val="18"/>
                <w:szCs w:val="18"/>
              </w:rPr>
              <w:t>For the sale to be highly probable, the appropriate level of management must be committed to a plan to sell the asset (or disposal group), and an active program to locate a buyer and complete the plan must have been initiated. Further, the asset (or disposal group) must be actively marketed for sale at a price that is reasonable in relation to its current fair value. In addition, the sale should be expected to qualify for recognition as a completed sale within one year from the date of classification, except where circumstances beyond the agency’s control extend the period of sale, and actions required to complete the plan should indicate that it is unlikely that significant changes to the plan will be made or that the plan will be withdrawn.</w:t>
            </w:r>
          </w:p>
        </w:tc>
      </w:tr>
      <w:tr w:rsidR="00BA2D61" w:rsidRPr="00CF7E1B" w14:paraId="5296176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27"/>
        </w:trPr>
        <w:tc>
          <w:tcPr>
            <w:tcW w:w="741" w:type="pct"/>
            <w:tcBorders>
              <w:left w:val="single" w:sz="4" w:space="0" w:color="auto"/>
              <w:right w:val="single" w:sz="4" w:space="0" w:color="7030A0"/>
            </w:tcBorders>
          </w:tcPr>
          <w:p w14:paraId="0CF4BB13" w14:textId="77777777" w:rsidR="00BA2D61" w:rsidRPr="00AD586B" w:rsidRDefault="00BA2D61" w:rsidP="00BA2D61">
            <w:pPr>
              <w:pStyle w:val="TableReference"/>
              <w:tabs>
                <w:tab w:val="left" w:pos="3306"/>
              </w:tabs>
              <w:spacing w:before="80"/>
              <w:rPr>
                <w:rFonts w:cs="Calibri"/>
                <w:color w:val="7030A0"/>
                <w:sz w:val="16"/>
                <w:szCs w:val="16"/>
              </w:rPr>
            </w:pPr>
          </w:p>
        </w:tc>
        <w:tc>
          <w:tcPr>
            <w:tcW w:w="4259" w:type="pct"/>
            <w:gridSpan w:val="2"/>
            <w:tcBorders>
              <w:left w:val="single" w:sz="4" w:space="0" w:color="7030A0"/>
              <w:right w:val="single" w:sz="4" w:space="0" w:color="auto"/>
            </w:tcBorders>
            <w:shd w:val="clear" w:color="auto" w:fill="7030A0"/>
          </w:tcPr>
          <w:p w14:paraId="23B96DAB" w14:textId="77777777" w:rsidR="00BA2D61" w:rsidRPr="00C85383" w:rsidRDefault="00BA2D61" w:rsidP="00BA2D61">
            <w:pPr>
              <w:pStyle w:val="CommentaryText"/>
              <w:spacing w:before="60" w:after="0"/>
              <w:rPr>
                <w:rFonts w:cs="Calibri"/>
                <w:b/>
                <w:color w:val="FFFFFF" w:themeColor="background1"/>
                <w:szCs w:val="20"/>
              </w:rPr>
            </w:pPr>
            <w:r w:rsidRPr="00C85383">
              <w:rPr>
                <w:rFonts w:cs="Calibri"/>
                <w:b/>
                <w:color w:val="FFFFFF" w:themeColor="background1"/>
                <w:szCs w:val="20"/>
              </w:rPr>
              <w:t>Fair Value Concepts and Disclosures</w:t>
            </w:r>
          </w:p>
          <w:p w14:paraId="1BB10194" w14:textId="40C8E30B"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 xml:space="preserve">Fair value concepts and disclosures relevant to </w:t>
            </w:r>
            <w:r w:rsidRPr="00EC47A0">
              <w:rPr>
                <w:rFonts w:cs="Calibri"/>
                <w:iCs/>
                <w:color w:val="FFFFFF" w:themeColor="background1"/>
                <w:sz w:val="18"/>
                <w:szCs w:val="18"/>
              </w:rPr>
              <w:t>AASB 13</w:t>
            </w:r>
            <w:r w:rsidRPr="00AE2AE5">
              <w:rPr>
                <w:rFonts w:cs="Calibri"/>
                <w:i/>
                <w:color w:val="FFFFFF" w:themeColor="background1"/>
                <w:sz w:val="18"/>
                <w:szCs w:val="18"/>
              </w:rPr>
              <w:t xml:space="preserve"> Fair Value Measurement</w:t>
            </w:r>
            <w:r w:rsidRPr="00AE2AE5">
              <w:rPr>
                <w:rFonts w:cs="Calibri"/>
                <w:color w:val="FFFFFF" w:themeColor="background1"/>
                <w:sz w:val="18"/>
                <w:szCs w:val="18"/>
              </w:rPr>
              <w:t xml:space="preserve"> are discussed in detail in the commentary to Note </w:t>
            </w:r>
            <w:r w:rsidR="00762E7F" w:rsidRPr="00AE2AE5">
              <w:rPr>
                <w:rFonts w:cs="Calibri"/>
                <w:color w:val="FFFFFF" w:themeColor="background1"/>
                <w:sz w:val="18"/>
                <w:szCs w:val="18"/>
              </w:rPr>
              <w:t xml:space="preserve">19 </w:t>
            </w:r>
            <w:r w:rsidRPr="00AE2AE5">
              <w:rPr>
                <w:rFonts w:cs="Calibri"/>
                <w:i/>
                <w:color w:val="FFFFFF" w:themeColor="background1"/>
                <w:sz w:val="18"/>
                <w:szCs w:val="18"/>
              </w:rPr>
              <w:t>Property, Plant and Equipment</w:t>
            </w:r>
            <w:r w:rsidRPr="00AE2AE5">
              <w:rPr>
                <w:rFonts w:cs="Calibri"/>
                <w:color w:val="FFFFFF" w:themeColor="background1"/>
                <w:sz w:val="18"/>
                <w:szCs w:val="18"/>
              </w:rPr>
              <w:t>.</w:t>
            </w:r>
          </w:p>
          <w:p w14:paraId="7096570A" w14:textId="43C7F394" w:rsidR="00BA2D61" w:rsidRPr="00AE2AE5" w:rsidRDefault="00BA2D61" w:rsidP="00BA2D61">
            <w:pPr>
              <w:pStyle w:val="CommentaryText"/>
              <w:spacing w:before="60"/>
              <w:rPr>
                <w:rFonts w:cs="Calibri"/>
                <w:color w:val="FFFFFF" w:themeColor="background1"/>
                <w:sz w:val="18"/>
                <w:szCs w:val="18"/>
              </w:rPr>
            </w:pPr>
            <w:r w:rsidRPr="00AE2AE5">
              <w:rPr>
                <w:rFonts w:cs="Calibri"/>
                <w:color w:val="FFFFFF" w:themeColor="background1"/>
                <w:sz w:val="18"/>
                <w:szCs w:val="18"/>
              </w:rPr>
              <w:t xml:space="preserve">If all Non-Current Assets held for sale are in the same fair value </w:t>
            </w:r>
            <w:r w:rsidR="00FF0A0E" w:rsidRPr="00AE2AE5">
              <w:rPr>
                <w:rFonts w:cs="Calibri"/>
                <w:color w:val="FFFFFF" w:themeColor="background1"/>
                <w:sz w:val="18"/>
                <w:szCs w:val="18"/>
              </w:rPr>
              <w:t>category,</w:t>
            </w:r>
            <w:r w:rsidRPr="00AE2AE5">
              <w:rPr>
                <w:rFonts w:cs="Calibri"/>
                <w:color w:val="FFFFFF" w:themeColor="background1"/>
                <w:sz w:val="18"/>
                <w:szCs w:val="18"/>
              </w:rPr>
              <w:t xml:space="preserve"> then a sentence to that effect could be used for disclosure rather than a tabular presentation.</w:t>
            </w:r>
          </w:p>
        </w:tc>
      </w:tr>
      <w:tr w:rsidR="000E568E" w:rsidRPr="00CF7E1B" w14:paraId="19D1EEA4" w14:textId="77777777" w:rsidTr="005F5B4C">
        <w:trPr>
          <w:cantSplit/>
          <w:trHeight w:val="119"/>
        </w:trPr>
        <w:tc>
          <w:tcPr>
            <w:tcW w:w="750" w:type="pct"/>
            <w:gridSpan w:val="2"/>
            <w:tcBorders>
              <w:top w:val="nil"/>
              <w:left w:val="single" w:sz="4" w:space="0" w:color="auto"/>
              <w:bottom w:val="nil"/>
              <w:right w:val="single" w:sz="4" w:space="0" w:color="auto"/>
            </w:tcBorders>
          </w:tcPr>
          <w:p w14:paraId="628575CC" w14:textId="572C79FB" w:rsidR="000E568E" w:rsidRPr="00AD586B" w:rsidRDefault="000E568E" w:rsidP="00D24FFF">
            <w:pPr>
              <w:pStyle w:val="TableReference"/>
              <w:tabs>
                <w:tab w:val="left" w:pos="3306"/>
              </w:tabs>
              <w:spacing w:before="240" w:after="240"/>
              <w:rPr>
                <w:rFonts w:cs="Calibri"/>
                <w:b/>
                <w:color w:val="7030A0"/>
                <w:sz w:val="22"/>
                <w:szCs w:val="22"/>
              </w:rPr>
            </w:pPr>
            <w:bookmarkStart w:id="523" w:name="PPandE" w:colFirst="1" w:colLast="1"/>
          </w:p>
        </w:tc>
        <w:tc>
          <w:tcPr>
            <w:tcW w:w="4250" w:type="pct"/>
            <w:tcBorders>
              <w:top w:val="nil"/>
              <w:left w:val="single" w:sz="4" w:space="0" w:color="auto"/>
              <w:bottom w:val="nil"/>
              <w:right w:val="nil"/>
            </w:tcBorders>
          </w:tcPr>
          <w:p w14:paraId="3504F258" w14:textId="27D65071" w:rsidR="000E568E" w:rsidRPr="00CF7E1B" w:rsidRDefault="00F73636" w:rsidP="00D24FFF">
            <w:pPr>
              <w:pStyle w:val="Heading1"/>
              <w:numPr>
                <w:ilvl w:val="0"/>
                <w:numId w:val="0"/>
              </w:numPr>
            </w:pPr>
            <w:bookmarkStart w:id="524" w:name="_Ref50365588"/>
            <w:bookmarkStart w:id="525" w:name="_Toc50440372"/>
            <w:bookmarkStart w:id="526" w:name="_Toc400627344"/>
            <w:bookmarkStart w:id="527" w:name="_Toc98763120"/>
            <w:r w:rsidRPr="00AD586B">
              <w:t>Note</w:t>
            </w:r>
            <w:r w:rsidR="00D22D34" w:rsidRPr="00AD586B">
              <w:t xml:space="preserve"> </w:t>
            </w:r>
            <w:r w:rsidR="00762E7F" w:rsidRPr="00AD586B">
              <w:t>19</w:t>
            </w:r>
            <w:r w:rsidR="00D22D34" w:rsidRPr="00AD586B">
              <w:t>.</w:t>
            </w:r>
            <w:r w:rsidR="00FA7C77">
              <w:t xml:space="preserve"> </w:t>
            </w:r>
            <w:r w:rsidR="00DD5BF8" w:rsidRPr="00AD586B">
              <w:t xml:space="preserve"> </w:t>
            </w:r>
            <w:r w:rsidR="000E568E" w:rsidRPr="00AD586B">
              <w:t>Property, Plant and Equipment</w:t>
            </w:r>
            <w:bookmarkEnd w:id="524"/>
            <w:bookmarkEnd w:id="525"/>
            <w:bookmarkEnd w:id="526"/>
            <w:bookmarkEnd w:id="527"/>
          </w:p>
        </w:tc>
      </w:tr>
      <w:bookmarkEnd w:id="523"/>
      <w:tr w:rsidR="00CD3407" w:rsidRPr="00B91A27" w14:paraId="60249BBA" w14:textId="77777777" w:rsidTr="005F5B4C">
        <w:trPr>
          <w:cantSplit/>
        </w:trPr>
        <w:tc>
          <w:tcPr>
            <w:tcW w:w="750" w:type="pct"/>
            <w:gridSpan w:val="2"/>
            <w:tcBorders>
              <w:top w:val="nil"/>
              <w:left w:val="single" w:sz="4" w:space="0" w:color="auto"/>
              <w:bottom w:val="nil"/>
              <w:right w:val="single" w:sz="4" w:space="0" w:color="auto"/>
            </w:tcBorders>
          </w:tcPr>
          <w:p w14:paraId="53B8F140" w14:textId="77777777" w:rsidR="00CD3407" w:rsidRPr="00AD586B" w:rsidRDefault="00CD3407">
            <w:pPr>
              <w:pStyle w:val="TableReference"/>
              <w:tabs>
                <w:tab w:val="left" w:pos="3306"/>
              </w:tabs>
              <w:spacing w:before="40"/>
              <w:rPr>
                <w:rFonts w:cs="Calibri"/>
                <w:color w:val="7030A0"/>
                <w:sz w:val="14"/>
              </w:rPr>
            </w:pPr>
          </w:p>
        </w:tc>
        <w:tc>
          <w:tcPr>
            <w:tcW w:w="4250" w:type="pct"/>
            <w:tcBorders>
              <w:top w:val="nil"/>
              <w:left w:val="single" w:sz="4" w:space="0" w:color="auto"/>
              <w:bottom w:val="nil"/>
              <w:right w:val="nil"/>
            </w:tcBorders>
          </w:tcPr>
          <w:p w14:paraId="790C18E9" w14:textId="7535A8BC" w:rsidR="00CD3407" w:rsidRPr="00AD586B" w:rsidRDefault="00CD3407" w:rsidP="003E53DD">
            <w:pPr>
              <w:pStyle w:val="TableText"/>
              <w:spacing w:before="0" w:after="120"/>
              <w:jc w:val="both"/>
              <w:rPr>
                <w:rFonts w:cs="Calibri"/>
                <w:b/>
                <w:bCs/>
              </w:rPr>
            </w:pPr>
            <w:r w:rsidRPr="00AD586B">
              <w:rPr>
                <w:rFonts w:cs="Calibri"/>
                <w:b/>
                <w:bCs/>
              </w:rPr>
              <w:t>Description and Material Accounting Policies relating to Property, Plant and Equipment</w:t>
            </w:r>
          </w:p>
        </w:tc>
      </w:tr>
      <w:tr w:rsidR="00CD3407" w:rsidRPr="00B91A27" w14:paraId="5CFBB0CC" w14:textId="77777777" w:rsidTr="005F5B4C">
        <w:trPr>
          <w:cantSplit/>
        </w:trPr>
        <w:tc>
          <w:tcPr>
            <w:tcW w:w="750" w:type="pct"/>
            <w:gridSpan w:val="2"/>
            <w:vMerge w:val="restart"/>
            <w:tcBorders>
              <w:top w:val="nil"/>
              <w:left w:val="single" w:sz="4" w:space="0" w:color="auto"/>
              <w:right w:val="single" w:sz="4" w:space="0" w:color="auto"/>
            </w:tcBorders>
          </w:tcPr>
          <w:p w14:paraId="6FAB6C26" w14:textId="77777777" w:rsidR="00CD3407" w:rsidRPr="00AD586B" w:rsidRDefault="00CD3407" w:rsidP="00CD3407">
            <w:pPr>
              <w:pStyle w:val="TableReference"/>
              <w:tabs>
                <w:tab w:val="left" w:pos="3306"/>
              </w:tabs>
              <w:spacing w:before="40"/>
              <w:rPr>
                <w:rFonts w:cs="Calibri"/>
                <w:color w:val="7030A0"/>
                <w:sz w:val="14"/>
              </w:rPr>
            </w:pPr>
            <w:r w:rsidRPr="00AD586B">
              <w:rPr>
                <w:rFonts w:cs="Calibri"/>
                <w:color w:val="7030A0"/>
                <w:sz w:val="14"/>
              </w:rPr>
              <w:t>ACT Accounting Policy</w:t>
            </w:r>
          </w:p>
          <w:p w14:paraId="5C9478D1" w14:textId="52D950D5" w:rsidR="00CD3407" w:rsidRPr="00AD586B" w:rsidRDefault="00CD3407">
            <w:pPr>
              <w:pStyle w:val="TableReference"/>
              <w:tabs>
                <w:tab w:val="left" w:pos="3306"/>
              </w:tabs>
              <w:spacing w:before="40"/>
              <w:rPr>
                <w:rFonts w:cs="Calibri"/>
                <w:color w:val="7030A0"/>
                <w:sz w:val="14"/>
              </w:rPr>
            </w:pPr>
          </w:p>
        </w:tc>
        <w:tc>
          <w:tcPr>
            <w:tcW w:w="4250" w:type="pct"/>
            <w:tcBorders>
              <w:top w:val="nil"/>
              <w:left w:val="single" w:sz="4" w:space="0" w:color="auto"/>
              <w:bottom w:val="nil"/>
              <w:right w:val="nil"/>
            </w:tcBorders>
          </w:tcPr>
          <w:p w14:paraId="46EBBE98" w14:textId="7C748C91" w:rsidR="00CD3407" w:rsidRPr="00AD586B" w:rsidRDefault="006E7FE9" w:rsidP="00CD3407">
            <w:pPr>
              <w:pStyle w:val="TableText"/>
              <w:spacing w:before="0" w:after="60"/>
              <w:jc w:val="both"/>
              <w:rPr>
                <w:rFonts w:cs="Calibri"/>
              </w:rPr>
            </w:pPr>
            <w:r>
              <w:rPr>
                <w:rFonts w:cs="Calibri"/>
              </w:rPr>
              <w:t>Property, Plant and Equipment</w:t>
            </w:r>
            <w:r w:rsidR="00CD3407" w:rsidRPr="00AD586B">
              <w:rPr>
                <w:rFonts w:cs="Calibri"/>
              </w:rPr>
              <w:t xml:space="preserve"> includes the following </w:t>
            </w:r>
            <w:r w:rsidR="00CB1A90" w:rsidRPr="00AD586B">
              <w:rPr>
                <w:rFonts w:cs="Calibri"/>
              </w:rPr>
              <w:t xml:space="preserve">six </w:t>
            </w:r>
            <w:r w:rsidR="00CD3407" w:rsidRPr="00AD586B">
              <w:rPr>
                <w:rFonts w:cs="Calibri"/>
              </w:rPr>
              <w:t>classes of assets.</w:t>
            </w:r>
            <w:r w:rsidR="00FA7C77">
              <w:rPr>
                <w:rFonts w:cs="Calibri"/>
              </w:rPr>
              <w:t xml:space="preserve"> </w:t>
            </w:r>
          </w:p>
        </w:tc>
      </w:tr>
      <w:tr w:rsidR="00CD3407" w:rsidRPr="00B91A27" w14:paraId="6BCEDCD2" w14:textId="77777777" w:rsidTr="005F5B4C">
        <w:trPr>
          <w:cantSplit/>
        </w:trPr>
        <w:tc>
          <w:tcPr>
            <w:tcW w:w="750" w:type="pct"/>
            <w:gridSpan w:val="2"/>
            <w:vMerge/>
            <w:tcBorders>
              <w:left w:val="single" w:sz="4" w:space="0" w:color="auto"/>
              <w:bottom w:val="nil"/>
              <w:right w:val="single" w:sz="4" w:space="0" w:color="auto"/>
            </w:tcBorders>
          </w:tcPr>
          <w:p w14:paraId="4524579E" w14:textId="77777777" w:rsidR="00CD3407" w:rsidRPr="00AD586B" w:rsidRDefault="00CD3407">
            <w:pPr>
              <w:pStyle w:val="TableReference"/>
              <w:tabs>
                <w:tab w:val="left" w:pos="3306"/>
              </w:tabs>
              <w:spacing w:before="40"/>
              <w:rPr>
                <w:rFonts w:cs="Calibri"/>
                <w:color w:val="7030A0"/>
                <w:sz w:val="14"/>
              </w:rPr>
            </w:pPr>
          </w:p>
        </w:tc>
        <w:tc>
          <w:tcPr>
            <w:tcW w:w="4250" w:type="pct"/>
            <w:tcBorders>
              <w:top w:val="nil"/>
              <w:left w:val="single" w:sz="4" w:space="0" w:color="auto"/>
              <w:bottom w:val="nil"/>
              <w:right w:val="nil"/>
            </w:tcBorders>
          </w:tcPr>
          <w:p w14:paraId="1E422D41" w14:textId="31B0BD2C" w:rsidR="00CD3407" w:rsidRPr="00AD586B" w:rsidRDefault="00CD3407" w:rsidP="007122BC">
            <w:pPr>
              <w:pStyle w:val="TableText"/>
              <w:numPr>
                <w:ilvl w:val="0"/>
                <w:numId w:val="10"/>
              </w:numPr>
              <w:tabs>
                <w:tab w:val="clear" w:pos="720"/>
                <w:tab w:val="num" w:pos="309"/>
              </w:tabs>
              <w:spacing w:before="0" w:after="60"/>
              <w:ind w:hanging="697"/>
              <w:jc w:val="both"/>
              <w:rPr>
                <w:rFonts w:cs="Calibri"/>
              </w:rPr>
            </w:pPr>
            <w:r w:rsidRPr="00AD586B">
              <w:rPr>
                <w:rFonts w:cs="Calibri"/>
                <w:b/>
                <w:iCs/>
              </w:rPr>
              <w:t>Land</w:t>
            </w:r>
            <w:r w:rsidRPr="00AD586B">
              <w:rPr>
                <w:rFonts w:cs="Calibri"/>
                <w:b/>
              </w:rPr>
              <w:t xml:space="preserve"> </w:t>
            </w:r>
            <w:r w:rsidRPr="00AD586B">
              <w:rPr>
                <w:rFonts w:cs="Calibri"/>
              </w:rPr>
              <w:t xml:space="preserve">includes leasehold land held by the Agency, but excludes land under infrastructure. </w:t>
            </w:r>
          </w:p>
        </w:tc>
      </w:tr>
      <w:tr w:rsidR="00CD3407" w:rsidRPr="00B91A27" w14:paraId="342E6C8C" w14:textId="77777777" w:rsidTr="005F5B4C">
        <w:trPr>
          <w:cantSplit/>
        </w:trPr>
        <w:tc>
          <w:tcPr>
            <w:tcW w:w="750" w:type="pct"/>
            <w:gridSpan w:val="2"/>
            <w:tcBorders>
              <w:top w:val="nil"/>
              <w:left w:val="single" w:sz="4" w:space="0" w:color="auto"/>
              <w:bottom w:val="nil"/>
              <w:right w:val="single" w:sz="4" w:space="0" w:color="auto"/>
            </w:tcBorders>
          </w:tcPr>
          <w:p w14:paraId="7B977240" w14:textId="77777777" w:rsidR="00CD3407" w:rsidRPr="00AD586B" w:rsidRDefault="00CD3407">
            <w:pPr>
              <w:pStyle w:val="TableReference"/>
              <w:tabs>
                <w:tab w:val="left" w:pos="3306"/>
              </w:tabs>
              <w:spacing w:before="40"/>
              <w:rPr>
                <w:rFonts w:cs="Calibri"/>
                <w:color w:val="7030A0"/>
                <w:sz w:val="14"/>
              </w:rPr>
            </w:pPr>
          </w:p>
        </w:tc>
        <w:tc>
          <w:tcPr>
            <w:tcW w:w="4250" w:type="pct"/>
            <w:tcBorders>
              <w:top w:val="nil"/>
              <w:left w:val="single" w:sz="4" w:space="0" w:color="auto"/>
              <w:bottom w:val="nil"/>
              <w:right w:val="nil"/>
            </w:tcBorders>
          </w:tcPr>
          <w:p w14:paraId="7C0703EC" w14:textId="4C74954E" w:rsidR="00CD3407" w:rsidRPr="00AD586B" w:rsidRDefault="00CD3407" w:rsidP="007122BC">
            <w:pPr>
              <w:pStyle w:val="TableText"/>
              <w:numPr>
                <w:ilvl w:val="0"/>
                <w:numId w:val="10"/>
              </w:numPr>
              <w:tabs>
                <w:tab w:val="clear" w:pos="720"/>
                <w:tab w:val="num" w:pos="309"/>
              </w:tabs>
              <w:spacing w:before="0" w:after="60"/>
              <w:ind w:left="307" w:hanging="284"/>
              <w:jc w:val="both"/>
              <w:rPr>
                <w:rFonts w:cs="Calibri"/>
              </w:rPr>
            </w:pPr>
            <w:r w:rsidRPr="00AD586B">
              <w:rPr>
                <w:rFonts w:cs="Calibri"/>
                <w:b/>
                <w:iCs/>
              </w:rPr>
              <w:t xml:space="preserve">Buildings </w:t>
            </w:r>
            <w:r w:rsidR="00471EEC" w:rsidRPr="00AD586B">
              <w:t>are structures that are separately identifiable from the land they are constructed upon.</w:t>
            </w:r>
            <w:r w:rsidR="00471EEC" w:rsidRPr="00AD586B">
              <w:rPr>
                <w:rFonts w:cs="Calibri"/>
                <w:iCs/>
              </w:rPr>
              <w:t xml:space="preserve"> Buildings include</w:t>
            </w:r>
            <w:r w:rsidRPr="00AD586B">
              <w:rPr>
                <w:rFonts w:cs="Calibri"/>
                <w:iCs/>
              </w:rPr>
              <w:t xml:space="preserve"> office buildings, warehouses,</w:t>
            </w:r>
            <w:r w:rsidRPr="00AD586B">
              <w:t xml:space="preserve"> light rail and bus depots</w:t>
            </w:r>
            <w:r w:rsidRPr="00AD586B">
              <w:rPr>
                <w:rFonts w:cs="Calibri"/>
                <w:iCs/>
              </w:rPr>
              <w:t xml:space="preserve"> and land improvements</w:t>
            </w:r>
            <w:r w:rsidRPr="00AD586B">
              <w:rPr>
                <w:rFonts w:cs="Calibri"/>
                <w:i/>
                <w:iCs/>
              </w:rPr>
              <w:t xml:space="preserve">. </w:t>
            </w:r>
            <w:r w:rsidR="00ED2CAD" w:rsidRPr="00AD586B">
              <w:rPr>
                <w:rFonts w:cs="Calibri"/>
                <w:bCs/>
                <w:iCs/>
              </w:rPr>
              <w:t>Land improvements</w:t>
            </w:r>
            <w:r w:rsidR="00ED2CAD" w:rsidRPr="00AD586B">
              <w:rPr>
                <w:rFonts w:cs="Calibri"/>
                <w:i/>
                <w:iCs/>
              </w:rPr>
              <w:t xml:space="preserve"> </w:t>
            </w:r>
            <w:r w:rsidR="00ED2CAD" w:rsidRPr="00AD586B">
              <w:rPr>
                <w:rFonts w:cs="Calibri"/>
              </w:rPr>
              <w:t>include parking lots, retaining walls and purpose built children’s playground structures</w:t>
            </w:r>
            <w:r w:rsidR="00292348" w:rsidRPr="00AD586B">
              <w:rPr>
                <w:rFonts w:cs="Calibri"/>
              </w:rPr>
              <w:t xml:space="preserve"> adjoining a building.</w:t>
            </w:r>
            <w:r w:rsidR="00FA7C77">
              <w:rPr>
                <w:rFonts w:cs="Calibri"/>
                <w:i/>
                <w:iCs/>
              </w:rPr>
              <w:t xml:space="preserve"> </w:t>
            </w:r>
            <w:r w:rsidR="0004022E" w:rsidRPr="00AD586B">
              <w:rPr>
                <w:rFonts w:cs="Calibri"/>
              </w:rPr>
              <w:t xml:space="preserve">Right-of-use </w:t>
            </w:r>
            <w:r w:rsidR="00ED2CAD" w:rsidRPr="00AD586B">
              <w:rPr>
                <w:rFonts w:cs="Calibri"/>
              </w:rPr>
              <w:t xml:space="preserve">building </w:t>
            </w:r>
            <w:r w:rsidR="0004022E" w:rsidRPr="00AD586B">
              <w:rPr>
                <w:rFonts w:cs="Calibri"/>
              </w:rPr>
              <w:t xml:space="preserve">assets and service concession </w:t>
            </w:r>
            <w:r w:rsidR="00ED2CAD" w:rsidRPr="00AD586B">
              <w:rPr>
                <w:rFonts w:cs="Calibri"/>
              </w:rPr>
              <w:t xml:space="preserve">building </w:t>
            </w:r>
            <w:r w:rsidR="0004022E" w:rsidRPr="00AD586B">
              <w:rPr>
                <w:rFonts w:cs="Calibri"/>
              </w:rPr>
              <w:t xml:space="preserve">assets </w:t>
            </w:r>
            <w:r w:rsidR="00ED2CAD" w:rsidRPr="00AD586B">
              <w:rPr>
                <w:rFonts w:cs="Calibri"/>
              </w:rPr>
              <w:t>are included within the b</w:t>
            </w:r>
            <w:r w:rsidR="00564FD6" w:rsidRPr="00AD586B">
              <w:rPr>
                <w:rFonts w:cs="Calibri"/>
              </w:rPr>
              <w:t>uilding asset class.</w:t>
            </w:r>
            <w:r w:rsidR="00FA7C77">
              <w:rPr>
                <w:rFonts w:cs="Calibri"/>
              </w:rPr>
              <w:t xml:space="preserve"> </w:t>
            </w:r>
            <w:r w:rsidR="00564FD6" w:rsidRPr="00AD586B">
              <w:rPr>
                <w:rFonts w:cs="Calibri"/>
              </w:rPr>
              <w:t>This includes the Public Private Partnership arrangement for the Court House being included as a right-of-use asset building and the Public Private Partnership arrangement for the Light Rail building being included as a service concession asset.</w:t>
            </w:r>
          </w:p>
        </w:tc>
      </w:tr>
      <w:tr w:rsidR="00CD3407" w:rsidRPr="00B91A27" w14:paraId="4369C48E" w14:textId="77777777" w:rsidTr="005F5B4C">
        <w:trPr>
          <w:cantSplit/>
        </w:trPr>
        <w:tc>
          <w:tcPr>
            <w:tcW w:w="750" w:type="pct"/>
            <w:gridSpan w:val="2"/>
            <w:tcBorders>
              <w:top w:val="nil"/>
              <w:left w:val="single" w:sz="4" w:space="0" w:color="auto"/>
              <w:bottom w:val="nil"/>
              <w:right w:val="single" w:sz="4" w:space="0" w:color="auto"/>
            </w:tcBorders>
          </w:tcPr>
          <w:p w14:paraId="7FDDE25D" w14:textId="77777777" w:rsidR="00CD3407" w:rsidRPr="00AD586B" w:rsidRDefault="00CD3407">
            <w:pPr>
              <w:pStyle w:val="TableReference"/>
              <w:tabs>
                <w:tab w:val="left" w:pos="3306"/>
              </w:tabs>
              <w:spacing w:before="40"/>
              <w:rPr>
                <w:rFonts w:cs="Calibri"/>
                <w:color w:val="7030A0"/>
                <w:sz w:val="14"/>
              </w:rPr>
            </w:pPr>
          </w:p>
        </w:tc>
        <w:tc>
          <w:tcPr>
            <w:tcW w:w="4250" w:type="pct"/>
            <w:tcBorders>
              <w:top w:val="nil"/>
              <w:left w:val="single" w:sz="4" w:space="0" w:color="auto"/>
              <w:bottom w:val="nil"/>
              <w:right w:val="nil"/>
            </w:tcBorders>
          </w:tcPr>
          <w:p w14:paraId="7E41F53B" w14:textId="6831AD5E" w:rsidR="00CD3407" w:rsidRPr="00AD586B" w:rsidRDefault="00CD3407" w:rsidP="007122BC">
            <w:pPr>
              <w:pStyle w:val="TableText"/>
              <w:numPr>
                <w:ilvl w:val="0"/>
                <w:numId w:val="10"/>
              </w:numPr>
              <w:tabs>
                <w:tab w:val="clear" w:pos="720"/>
                <w:tab w:val="num" w:pos="309"/>
              </w:tabs>
              <w:spacing w:before="0" w:after="60"/>
              <w:ind w:left="319" w:hanging="285"/>
              <w:jc w:val="both"/>
              <w:rPr>
                <w:rFonts w:cs="Calibri"/>
              </w:rPr>
            </w:pPr>
            <w:r w:rsidRPr="00AD586B">
              <w:rPr>
                <w:rFonts w:cs="Calibri"/>
                <w:b/>
                <w:iCs/>
              </w:rPr>
              <w:t>Leasehold improvements</w:t>
            </w:r>
            <w:r w:rsidRPr="00AD586B">
              <w:rPr>
                <w:rFonts w:cs="Calibri"/>
                <w:i/>
                <w:iCs/>
              </w:rPr>
              <w:t xml:space="preserve"> </w:t>
            </w:r>
            <w:r w:rsidR="00471EEC" w:rsidRPr="00AD586B">
              <w:t>are capital expenditure items incurred in relation to leased assets.</w:t>
            </w:r>
            <w:r w:rsidR="00471EEC" w:rsidRPr="00AD586B">
              <w:rPr>
                <w:rFonts w:cs="Calibri"/>
              </w:rPr>
              <w:t xml:space="preserve"> </w:t>
            </w:r>
            <w:r w:rsidR="00471EEC" w:rsidRPr="00AD586B">
              <w:t xml:space="preserve">Leasehold improvements </w:t>
            </w:r>
            <w:r w:rsidRPr="00AD586B">
              <w:rPr>
                <w:rFonts w:cs="Calibri"/>
              </w:rPr>
              <w:t>represent fit-outs in leased buildings.</w:t>
            </w:r>
          </w:p>
        </w:tc>
      </w:tr>
      <w:tr w:rsidR="00CD3407" w:rsidRPr="00B91A27" w14:paraId="221E2C3F" w14:textId="77777777" w:rsidTr="005F5B4C">
        <w:trPr>
          <w:cantSplit/>
        </w:trPr>
        <w:tc>
          <w:tcPr>
            <w:tcW w:w="750" w:type="pct"/>
            <w:gridSpan w:val="2"/>
            <w:tcBorders>
              <w:top w:val="nil"/>
              <w:left w:val="single" w:sz="4" w:space="0" w:color="auto"/>
              <w:bottom w:val="nil"/>
              <w:right w:val="single" w:sz="4" w:space="0" w:color="auto"/>
            </w:tcBorders>
          </w:tcPr>
          <w:p w14:paraId="61DEBC0A" w14:textId="7F5A5823" w:rsidR="00CD3407" w:rsidRPr="00AD586B" w:rsidRDefault="00CD3407">
            <w:pPr>
              <w:pStyle w:val="TableReference"/>
              <w:tabs>
                <w:tab w:val="left" w:pos="3306"/>
              </w:tabs>
              <w:spacing w:before="40"/>
              <w:rPr>
                <w:rFonts w:cs="Calibri"/>
                <w:color w:val="7030A0"/>
                <w:sz w:val="14"/>
              </w:rPr>
            </w:pPr>
            <w:r w:rsidRPr="00AD586B">
              <w:rPr>
                <w:rFonts w:cs="Calibri"/>
                <w:color w:val="7030A0"/>
                <w:sz w:val="14"/>
              </w:rPr>
              <w:t>AASB 116.74(a)</w:t>
            </w:r>
          </w:p>
        </w:tc>
        <w:tc>
          <w:tcPr>
            <w:tcW w:w="4250" w:type="pct"/>
            <w:tcBorders>
              <w:top w:val="nil"/>
              <w:left w:val="single" w:sz="4" w:space="0" w:color="auto"/>
              <w:bottom w:val="nil"/>
              <w:right w:val="nil"/>
            </w:tcBorders>
          </w:tcPr>
          <w:p w14:paraId="38E0C624" w14:textId="7499E32A" w:rsidR="00CD3407" w:rsidRPr="00AD586B" w:rsidRDefault="00CD3407" w:rsidP="007122BC">
            <w:pPr>
              <w:pStyle w:val="TableText"/>
              <w:numPr>
                <w:ilvl w:val="0"/>
                <w:numId w:val="10"/>
              </w:numPr>
              <w:tabs>
                <w:tab w:val="clear" w:pos="720"/>
                <w:tab w:val="num" w:pos="309"/>
              </w:tabs>
              <w:spacing w:before="0" w:after="60"/>
              <w:ind w:left="307" w:hanging="284"/>
              <w:jc w:val="both"/>
              <w:rPr>
                <w:rFonts w:cs="Calibri"/>
              </w:rPr>
            </w:pPr>
            <w:r w:rsidRPr="00AD586B">
              <w:rPr>
                <w:rFonts w:cs="Calibri"/>
                <w:b/>
                <w:iCs/>
              </w:rPr>
              <w:t>Plant and equipment</w:t>
            </w:r>
            <w:r w:rsidRPr="00AD586B">
              <w:rPr>
                <w:rFonts w:cs="Calibri"/>
                <w:i/>
                <w:iCs/>
              </w:rPr>
              <w:t xml:space="preserve"> </w:t>
            </w:r>
            <w:r w:rsidRPr="00AD586B">
              <w:rPr>
                <w:rFonts w:cs="Calibri"/>
              </w:rPr>
              <w:t xml:space="preserve">includes mobile plant, air conditioning and heating systems, office and computer equipment, furniture and fittings, </w:t>
            </w:r>
            <w:r w:rsidR="00C80BFF" w:rsidRPr="00AD586B">
              <w:rPr>
                <w:rFonts w:cs="Calibri"/>
              </w:rPr>
              <w:t xml:space="preserve">motor vehicles, </w:t>
            </w:r>
            <w:r w:rsidRPr="00AD586B">
              <w:rPr>
                <w:rFonts w:cs="Calibri"/>
              </w:rPr>
              <w:t xml:space="preserve">buses, </w:t>
            </w:r>
            <w:r w:rsidRPr="00AD586B">
              <w:t>light rail vehicles (rolling stock), light rail maintenance equipment</w:t>
            </w:r>
            <w:r w:rsidRPr="00AD586B">
              <w:rPr>
                <w:rFonts w:cs="Calibri"/>
              </w:rPr>
              <w:t>, and other mechanical and electronic equipment.</w:t>
            </w:r>
            <w:r w:rsidR="00FA7C77">
              <w:rPr>
                <w:rFonts w:cs="Calibri"/>
              </w:rPr>
              <w:t xml:space="preserve"> </w:t>
            </w:r>
            <w:r w:rsidR="00ED2CAD" w:rsidRPr="00AD586B">
              <w:rPr>
                <w:rFonts w:cs="Calibri"/>
              </w:rPr>
              <w:t xml:space="preserve">Right-of-use plant and equipment assets and service concession </w:t>
            </w:r>
            <w:r w:rsidR="00C80BFF" w:rsidRPr="00AD586B">
              <w:rPr>
                <w:rFonts w:cs="Calibri"/>
              </w:rPr>
              <w:t>plant and equipment</w:t>
            </w:r>
            <w:r w:rsidR="00ED2CAD" w:rsidRPr="00AD586B">
              <w:rPr>
                <w:rFonts w:cs="Calibri"/>
              </w:rPr>
              <w:t xml:space="preserve"> assets are included within the </w:t>
            </w:r>
            <w:r w:rsidR="00C80BFF" w:rsidRPr="00AD586B">
              <w:rPr>
                <w:rFonts w:cs="Calibri"/>
              </w:rPr>
              <w:t xml:space="preserve">plant and equipment </w:t>
            </w:r>
            <w:r w:rsidR="00ED2CAD" w:rsidRPr="00AD586B">
              <w:rPr>
                <w:rFonts w:cs="Calibri"/>
              </w:rPr>
              <w:t>asset class.</w:t>
            </w:r>
            <w:r w:rsidR="00FA7C77">
              <w:rPr>
                <w:rFonts w:cs="Calibri"/>
              </w:rPr>
              <w:t xml:space="preserve"> </w:t>
            </w:r>
            <w:r w:rsidRPr="00AD586B">
              <w:rPr>
                <w:rFonts w:cs="Calibri"/>
              </w:rPr>
              <w:t>The carrying amount of Plant and Equipment pledged separately and specifically as security for liabilities at 30 June 2022 was $xxx ($xxx in 2021).</w:t>
            </w:r>
          </w:p>
        </w:tc>
      </w:tr>
      <w:tr w:rsidR="00CD3407" w:rsidRPr="00B91A27" w14:paraId="712FD09A" w14:textId="77777777" w:rsidTr="005F5B4C">
        <w:trPr>
          <w:cantSplit/>
        </w:trPr>
        <w:tc>
          <w:tcPr>
            <w:tcW w:w="750" w:type="pct"/>
            <w:gridSpan w:val="2"/>
            <w:tcBorders>
              <w:top w:val="nil"/>
              <w:left w:val="single" w:sz="4" w:space="0" w:color="auto"/>
              <w:bottom w:val="nil"/>
              <w:right w:val="single" w:sz="4" w:space="0" w:color="auto"/>
            </w:tcBorders>
          </w:tcPr>
          <w:p w14:paraId="1D9FB1C4" w14:textId="77777777" w:rsidR="00CD3407" w:rsidRPr="00AD586B" w:rsidRDefault="00CD3407">
            <w:pPr>
              <w:pStyle w:val="TableReference"/>
              <w:tabs>
                <w:tab w:val="left" w:pos="3306"/>
              </w:tabs>
              <w:spacing w:before="40"/>
              <w:rPr>
                <w:rFonts w:cs="Calibri"/>
                <w:color w:val="7030A0"/>
                <w:sz w:val="14"/>
              </w:rPr>
            </w:pPr>
          </w:p>
        </w:tc>
        <w:tc>
          <w:tcPr>
            <w:tcW w:w="4250" w:type="pct"/>
            <w:tcBorders>
              <w:top w:val="nil"/>
              <w:left w:val="single" w:sz="4" w:space="0" w:color="auto"/>
              <w:bottom w:val="nil"/>
              <w:right w:val="nil"/>
            </w:tcBorders>
          </w:tcPr>
          <w:p w14:paraId="12736D2B" w14:textId="1D312359" w:rsidR="00CD3407" w:rsidRPr="00AD586B" w:rsidRDefault="00CD3407" w:rsidP="007122BC">
            <w:pPr>
              <w:pStyle w:val="TableText"/>
              <w:numPr>
                <w:ilvl w:val="0"/>
                <w:numId w:val="10"/>
              </w:numPr>
              <w:tabs>
                <w:tab w:val="clear" w:pos="720"/>
                <w:tab w:val="num" w:pos="309"/>
              </w:tabs>
              <w:spacing w:before="0" w:after="60"/>
              <w:ind w:left="307" w:hanging="284"/>
              <w:jc w:val="both"/>
              <w:rPr>
                <w:rFonts w:cs="Calibri"/>
              </w:rPr>
            </w:pPr>
            <w:r w:rsidRPr="00AD586B">
              <w:rPr>
                <w:rFonts w:cs="Calibri"/>
                <w:b/>
                <w:iCs/>
              </w:rPr>
              <w:t>Infrastructure assets</w:t>
            </w:r>
            <w:r w:rsidRPr="00AD586B">
              <w:rPr>
                <w:rFonts w:cs="Calibri"/>
                <w:i/>
                <w:iCs/>
              </w:rPr>
              <w:t xml:space="preserve"> </w:t>
            </w:r>
            <w:r w:rsidR="00471EEC" w:rsidRPr="00AD586B">
              <w:rPr>
                <w:rFonts w:cs="Calibri"/>
              </w:rPr>
              <w:t>are</w:t>
            </w:r>
            <w:r w:rsidR="00471EEC" w:rsidRPr="00AD586B">
              <w:t xml:space="preserve"> physical asset that typically have a long u</w:t>
            </w:r>
            <w:r w:rsidR="00A72190">
              <w:t>seful</w:t>
            </w:r>
            <w:r w:rsidR="00471EEC" w:rsidRPr="00AD586B">
              <w:t xml:space="preserve"> life and consist of </w:t>
            </w:r>
            <w:r w:rsidR="00BE2642" w:rsidRPr="00AD586B">
              <w:t>a</w:t>
            </w:r>
            <w:r w:rsidR="00471EEC" w:rsidRPr="00AD586B">
              <w:t xml:space="preserve"> network </w:t>
            </w:r>
            <w:r w:rsidR="00332880" w:rsidRPr="00AD586B">
              <w:t xml:space="preserve">of </w:t>
            </w:r>
            <w:r w:rsidR="00471EEC" w:rsidRPr="00AD586B">
              <w:t xml:space="preserve">components, which </w:t>
            </w:r>
            <w:r w:rsidR="00332880" w:rsidRPr="00AD586B">
              <w:t>enhance the productive capacity of the economy and supports Government services</w:t>
            </w:r>
            <w:r w:rsidR="00471EEC" w:rsidRPr="00AD586B">
              <w:t>.</w:t>
            </w:r>
            <w:r w:rsidR="00471EEC" w:rsidRPr="00AD586B">
              <w:rPr>
                <w:rFonts w:cs="Calibri"/>
              </w:rPr>
              <w:t xml:space="preserve"> Infrastructure assets </w:t>
            </w:r>
            <w:r w:rsidRPr="00AD586B">
              <w:rPr>
                <w:rFonts w:cs="Calibri"/>
              </w:rPr>
              <w:t xml:space="preserve">held by the Agency include </w:t>
            </w:r>
            <w:r w:rsidR="00ED7CA9" w:rsidRPr="00AD586B">
              <w:rPr>
                <w:rFonts w:cs="Calibri"/>
              </w:rPr>
              <w:t xml:space="preserve">roads (including earthworks), </w:t>
            </w:r>
            <w:r w:rsidRPr="00AD586B">
              <w:rPr>
                <w:rFonts w:cs="Calibri"/>
              </w:rPr>
              <w:t>bridges, stormwater drains, footpaths</w:t>
            </w:r>
            <w:r w:rsidR="00ED7CA9" w:rsidRPr="00AD586B">
              <w:rPr>
                <w:rFonts w:cs="Calibri"/>
              </w:rPr>
              <w:t>,</w:t>
            </w:r>
            <w:r w:rsidRPr="00AD586B">
              <w:rPr>
                <w:rFonts w:cs="Calibri"/>
              </w:rPr>
              <w:t xml:space="preserve"> street lighting</w:t>
            </w:r>
            <w:r w:rsidR="00ED7CA9" w:rsidRPr="00AD586B">
              <w:rPr>
                <w:rFonts w:cs="Calibri"/>
              </w:rPr>
              <w:t>, signs, barriers,</w:t>
            </w:r>
            <w:r w:rsidR="00435602" w:rsidRPr="00AD586B">
              <w:rPr>
                <w:rFonts w:cs="Calibri"/>
              </w:rPr>
              <w:t xml:space="preserve"> bollards</w:t>
            </w:r>
            <w:r w:rsidR="00292348" w:rsidRPr="00AD586B">
              <w:rPr>
                <w:rFonts w:cs="Calibri"/>
              </w:rPr>
              <w:t>,</w:t>
            </w:r>
            <w:r w:rsidRPr="00AD586B">
              <w:rPr>
                <w:rFonts w:cs="Calibri"/>
              </w:rPr>
              <w:t xml:space="preserve"> </w:t>
            </w:r>
            <w:r w:rsidR="00292348" w:rsidRPr="00AD586B">
              <w:rPr>
                <w:rFonts w:cs="Calibri"/>
              </w:rPr>
              <w:t xml:space="preserve">playgrounds not adjoining a building </w:t>
            </w:r>
            <w:r w:rsidRPr="00AD586B">
              <w:rPr>
                <w:rFonts w:cs="Calibri"/>
              </w:rPr>
              <w:t>and</w:t>
            </w:r>
            <w:r w:rsidRPr="00AD586B">
              <w:t xml:space="preserve"> light rail infrastructure assets (including tracks, overhead wiring and poles, signalling and traffic control systems, electricity substations and light rail stops)</w:t>
            </w:r>
            <w:r w:rsidRPr="00AD586B">
              <w:rPr>
                <w:rFonts w:cs="Calibri"/>
              </w:rPr>
              <w:t xml:space="preserve">. </w:t>
            </w:r>
            <w:r w:rsidR="00C80BFF" w:rsidRPr="00AD586B">
              <w:rPr>
                <w:rFonts w:cs="Calibri"/>
              </w:rPr>
              <w:t>Right-of-use infrastructure assets and service concession infrastructure assets are included within the infrastructure asset class.</w:t>
            </w:r>
            <w:r w:rsidR="00FA7C77">
              <w:rPr>
                <w:rFonts w:cs="Calibri"/>
              </w:rPr>
              <w:t xml:space="preserve">  </w:t>
            </w:r>
            <w:r w:rsidRPr="00AD586B">
              <w:rPr>
                <w:rFonts w:cs="Calibri"/>
              </w:rPr>
              <w:t>Land under infrastructure is not included in infrastructure assets.</w:t>
            </w:r>
          </w:p>
        </w:tc>
      </w:tr>
      <w:tr w:rsidR="00CD3407" w:rsidRPr="00B91A27" w14:paraId="566176E2" w14:textId="77777777" w:rsidTr="005F5B4C">
        <w:trPr>
          <w:cantSplit/>
        </w:trPr>
        <w:tc>
          <w:tcPr>
            <w:tcW w:w="750" w:type="pct"/>
            <w:gridSpan w:val="2"/>
            <w:tcBorders>
              <w:top w:val="nil"/>
              <w:left w:val="single" w:sz="4" w:space="0" w:color="auto"/>
              <w:bottom w:val="nil"/>
              <w:right w:val="single" w:sz="4" w:space="0" w:color="auto"/>
            </w:tcBorders>
          </w:tcPr>
          <w:p w14:paraId="61EA8EDE" w14:textId="77777777" w:rsidR="00CD3407" w:rsidRPr="00AD586B" w:rsidRDefault="00CD3407">
            <w:pPr>
              <w:pStyle w:val="TableReference"/>
              <w:tabs>
                <w:tab w:val="left" w:pos="3306"/>
              </w:tabs>
              <w:spacing w:before="40"/>
              <w:rPr>
                <w:rFonts w:cs="Calibri"/>
                <w:color w:val="7030A0"/>
                <w:sz w:val="14"/>
              </w:rPr>
            </w:pPr>
          </w:p>
        </w:tc>
        <w:tc>
          <w:tcPr>
            <w:tcW w:w="4250" w:type="pct"/>
            <w:tcBorders>
              <w:top w:val="nil"/>
              <w:left w:val="single" w:sz="4" w:space="0" w:color="auto"/>
              <w:bottom w:val="nil"/>
              <w:right w:val="nil"/>
            </w:tcBorders>
          </w:tcPr>
          <w:p w14:paraId="7E77D634" w14:textId="6B574A6C" w:rsidR="00CD3407" w:rsidRPr="00AD586B" w:rsidRDefault="00CD3407" w:rsidP="007122BC">
            <w:pPr>
              <w:pStyle w:val="TableText"/>
              <w:numPr>
                <w:ilvl w:val="0"/>
                <w:numId w:val="10"/>
              </w:numPr>
              <w:tabs>
                <w:tab w:val="clear" w:pos="720"/>
                <w:tab w:val="num" w:pos="309"/>
              </w:tabs>
              <w:spacing w:before="0"/>
              <w:ind w:left="307" w:hanging="284"/>
              <w:jc w:val="both"/>
              <w:rPr>
                <w:rFonts w:cs="Calibri"/>
                <w:b/>
                <w:iCs/>
              </w:rPr>
            </w:pPr>
            <w:r w:rsidRPr="00AD586B">
              <w:rPr>
                <w:rFonts w:cs="Calibri"/>
                <w:b/>
                <w:iCs/>
              </w:rPr>
              <w:t xml:space="preserve">Heritage </w:t>
            </w:r>
            <w:r w:rsidR="007734C8" w:rsidRPr="00AD586B">
              <w:rPr>
                <w:rFonts w:cs="Calibri"/>
                <w:b/>
                <w:iCs/>
              </w:rPr>
              <w:t xml:space="preserve">and Community assets. </w:t>
            </w:r>
            <w:r w:rsidR="007734C8" w:rsidRPr="00AD586B">
              <w:rPr>
                <w:rFonts w:cs="Calibri"/>
                <w:bCs/>
                <w:iCs/>
              </w:rPr>
              <w:t>Heritage assets</w:t>
            </w:r>
            <w:r w:rsidR="00332880" w:rsidRPr="00AD586B">
              <w:t xml:space="preserve"> refer to assets that have unique cultural, historical, geographical, scientific, and / or environmental attributes and that the Government intends to preserve indefinitely because of those attributes.</w:t>
            </w:r>
            <w:r w:rsidR="00FA7C77">
              <w:t xml:space="preserve"> </w:t>
            </w:r>
            <w:r w:rsidR="00332880" w:rsidRPr="00AD586B">
              <w:rPr>
                <w:rFonts w:cs="Calibri"/>
                <w:bCs/>
                <w:iCs/>
              </w:rPr>
              <w:t>Heritage assets</w:t>
            </w:r>
            <w:r w:rsidR="00332880" w:rsidRPr="00AD586B">
              <w:t xml:space="preserve"> </w:t>
            </w:r>
            <w:r w:rsidRPr="00AD586B">
              <w:rPr>
                <w:rFonts w:cs="Calibri"/>
              </w:rPr>
              <w:t>held by the Agency include art, historical buildings, and memorials.</w:t>
            </w:r>
            <w:r w:rsidR="00FA7C77">
              <w:rPr>
                <w:rFonts w:cs="Calibri"/>
              </w:rPr>
              <w:t xml:space="preserve"> </w:t>
            </w:r>
            <w:r w:rsidRPr="00AD586B">
              <w:rPr>
                <w:rFonts w:cs="Calibri"/>
              </w:rPr>
              <w:t xml:space="preserve"> </w:t>
            </w:r>
            <w:r w:rsidR="00332880" w:rsidRPr="00AD586B">
              <w:rPr>
                <w:rFonts w:cs="Calibri"/>
                <w:bCs/>
                <w:iCs/>
              </w:rPr>
              <w:t>Community assets</w:t>
            </w:r>
            <w:r w:rsidR="00332880" w:rsidRPr="00AD586B">
              <w:rPr>
                <w:rFonts w:cs="Calibri"/>
                <w:i/>
                <w:iCs/>
              </w:rPr>
              <w:t xml:space="preserve"> </w:t>
            </w:r>
            <w:r w:rsidR="00332880" w:rsidRPr="00AD586B">
              <w:t>are those assets that are provided essentially for general community use or service.</w:t>
            </w:r>
            <w:r w:rsidR="00332880" w:rsidRPr="00AD586B">
              <w:rPr>
                <w:rFonts w:cs="Calibri"/>
                <w:bCs/>
                <w:iCs/>
              </w:rPr>
              <w:t xml:space="preserve"> </w:t>
            </w:r>
            <w:r w:rsidR="007734C8" w:rsidRPr="00AD586B">
              <w:rPr>
                <w:rFonts w:cs="Calibri"/>
                <w:bCs/>
                <w:iCs/>
              </w:rPr>
              <w:t>Community assets</w:t>
            </w:r>
            <w:r w:rsidR="007734C8" w:rsidRPr="00AD586B">
              <w:rPr>
                <w:rFonts w:cs="Calibri"/>
                <w:i/>
                <w:iCs/>
              </w:rPr>
              <w:t xml:space="preserve"> </w:t>
            </w:r>
            <w:r w:rsidR="007734C8" w:rsidRPr="00AD586B">
              <w:rPr>
                <w:rFonts w:cs="Calibri"/>
              </w:rPr>
              <w:t>held by the Agency include public parks and gardens, public sporting reserves, public nature reserves and land under infrastructure.</w:t>
            </w:r>
          </w:p>
        </w:tc>
      </w:tr>
      <w:tr w:rsidR="0004022E" w:rsidRPr="00B91A27" w14:paraId="02110ADF" w14:textId="77777777" w:rsidTr="005F5B4C">
        <w:trPr>
          <w:cantSplit/>
        </w:trPr>
        <w:tc>
          <w:tcPr>
            <w:tcW w:w="750" w:type="pct"/>
            <w:gridSpan w:val="2"/>
            <w:tcBorders>
              <w:top w:val="nil"/>
              <w:left w:val="single" w:sz="4" w:space="0" w:color="auto"/>
              <w:bottom w:val="nil"/>
              <w:right w:val="single" w:sz="4" w:space="0" w:color="auto"/>
            </w:tcBorders>
          </w:tcPr>
          <w:p w14:paraId="79778496" w14:textId="77777777" w:rsidR="0004022E" w:rsidRPr="00AD586B" w:rsidRDefault="0004022E" w:rsidP="0004022E">
            <w:pPr>
              <w:pStyle w:val="TableReference"/>
              <w:tabs>
                <w:tab w:val="left" w:pos="3306"/>
              </w:tabs>
              <w:spacing w:before="180"/>
              <w:rPr>
                <w:rFonts w:cs="Calibri"/>
                <w:color w:val="7030A0"/>
                <w:sz w:val="14"/>
              </w:rPr>
            </w:pPr>
            <w:r w:rsidRPr="00AD586B">
              <w:rPr>
                <w:rFonts w:cs="Calibri"/>
                <w:color w:val="7030A0"/>
                <w:sz w:val="14"/>
              </w:rPr>
              <w:t>AASB 16.47</w:t>
            </w:r>
          </w:p>
          <w:p w14:paraId="601746A9" w14:textId="792674FC" w:rsidR="0004022E" w:rsidRPr="00AD586B" w:rsidRDefault="0004022E" w:rsidP="0004022E">
            <w:pPr>
              <w:pStyle w:val="TableReference"/>
              <w:tabs>
                <w:tab w:val="left" w:pos="3306"/>
              </w:tabs>
              <w:spacing w:before="40"/>
              <w:rPr>
                <w:rFonts w:cs="Calibri"/>
                <w:color w:val="7030A0"/>
                <w:sz w:val="14"/>
              </w:rPr>
            </w:pPr>
            <w:r w:rsidRPr="00AD586B">
              <w:rPr>
                <w:rFonts w:cs="Calibri"/>
                <w:color w:val="7030A0"/>
                <w:sz w:val="14"/>
              </w:rPr>
              <w:t>ACT Disclosure Policy</w:t>
            </w:r>
          </w:p>
        </w:tc>
        <w:tc>
          <w:tcPr>
            <w:tcW w:w="4250" w:type="pct"/>
            <w:tcBorders>
              <w:top w:val="nil"/>
              <w:left w:val="single" w:sz="4" w:space="0" w:color="auto"/>
              <w:bottom w:val="nil"/>
              <w:right w:val="nil"/>
            </w:tcBorders>
            <w:vAlign w:val="bottom"/>
          </w:tcPr>
          <w:p w14:paraId="77FEB920" w14:textId="38A909C3" w:rsidR="0004022E" w:rsidRPr="00AD586B" w:rsidRDefault="006E7FE9" w:rsidP="00CD3407">
            <w:pPr>
              <w:pStyle w:val="Heading1"/>
              <w:numPr>
                <w:ilvl w:val="0"/>
                <w:numId w:val="0"/>
              </w:numPr>
              <w:spacing w:before="120" w:after="0"/>
              <w:rPr>
                <w:rFonts w:ascii="Calibri" w:hAnsi="Calibri" w:cs="Calibri"/>
                <w:b w:val="0"/>
                <w:bCs w:val="0"/>
                <w:caps w:val="0"/>
                <w:sz w:val="18"/>
                <w:szCs w:val="18"/>
              </w:rPr>
            </w:pPr>
            <w:bookmarkStart w:id="528" w:name="_Toc98763121"/>
            <w:r>
              <w:rPr>
                <w:rFonts w:ascii="Calibri" w:hAnsi="Calibri" w:cs="Calibri"/>
                <w:b w:val="0"/>
                <w:bCs w:val="0"/>
                <w:caps w:val="0"/>
                <w:sz w:val="18"/>
                <w:szCs w:val="18"/>
              </w:rPr>
              <w:t>Property, Plant and Equipment</w:t>
            </w:r>
            <w:r w:rsidR="0004022E" w:rsidRPr="00AD586B">
              <w:rPr>
                <w:rFonts w:ascii="Calibri" w:hAnsi="Calibri" w:cs="Calibri"/>
                <w:b w:val="0"/>
                <w:bCs w:val="0"/>
                <w:caps w:val="0"/>
                <w:sz w:val="18"/>
                <w:szCs w:val="18"/>
              </w:rPr>
              <w:t xml:space="preserve"> does not include assets held for sale or investment property.</w:t>
            </w:r>
            <w:r w:rsidR="00FA7C77">
              <w:rPr>
                <w:rFonts w:ascii="Calibri" w:hAnsi="Calibri" w:cs="Calibri"/>
                <w:b w:val="0"/>
                <w:bCs w:val="0"/>
                <w:caps w:val="0"/>
                <w:sz w:val="18"/>
                <w:szCs w:val="18"/>
              </w:rPr>
              <w:t xml:space="preserve"> </w:t>
            </w:r>
            <w:r w:rsidR="0004022E" w:rsidRPr="00AD586B">
              <w:rPr>
                <w:rFonts w:ascii="Calibri" w:hAnsi="Calibri" w:cs="Calibri"/>
                <w:b w:val="0"/>
                <w:bCs w:val="0"/>
                <w:caps w:val="0"/>
                <w:sz w:val="18"/>
                <w:szCs w:val="18"/>
              </w:rPr>
              <w:t xml:space="preserve">Right-of-Use (ROU) assets recognised under AASB 16 </w:t>
            </w:r>
            <w:r w:rsidR="0004022E" w:rsidRPr="00AD586B">
              <w:rPr>
                <w:rFonts w:ascii="Calibri" w:hAnsi="Calibri" w:cs="Calibri"/>
                <w:b w:val="0"/>
                <w:bCs w:val="0"/>
                <w:i/>
                <w:iCs/>
                <w:caps w:val="0"/>
                <w:sz w:val="18"/>
                <w:szCs w:val="18"/>
              </w:rPr>
              <w:t>Leases</w:t>
            </w:r>
            <w:r w:rsidR="0004022E" w:rsidRPr="00AD586B">
              <w:rPr>
                <w:rFonts w:ascii="Calibri" w:hAnsi="Calibri" w:cs="Calibri"/>
                <w:b w:val="0"/>
                <w:bCs w:val="0"/>
                <w:caps w:val="0"/>
                <w:sz w:val="18"/>
                <w:szCs w:val="18"/>
              </w:rPr>
              <w:t xml:space="preserve"> are disclosed under the relevant class of property, plant and equipment.</w:t>
            </w:r>
            <w:bookmarkEnd w:id="528"/>
          </w:p>
        </w:tc>
      </w:tr>
      <w:tr w:rsidR="003A4053" w:rsidRPr="00B91A27" w14:paraId="7F38DA94" w14:textId="77777777" w:rsidTr="005F5B4C">
        <w:trPr>
          <w:cantSplit/>
        </w:trPr>
        <w:tc>
          <w:tcPr>
            <w:tcW w:w="750" w:type="pct"/>
            <w:gridSpan w:val="2"/>
            <w:tcBorders>
              <w:top w:val="nil"/>
              <w:left w:val="single" w:sz="4" w:space="0" w:color="auto"/>
              <w:bottom w:val="nil"/>
              <w:right w:val="single" w:sz="4" w:space="0" w:color="auto"/>
            </w:tcBorders>
          </w:tcPr>
          <w:p w14:paraId="32181CB8" w14:textId="77777777" w:rsidR="003A4053" w:rsidRPr="00AD586B" w:rsidRDefault="003A4053" w:rsidP="003A4053">
            <w:pPr>
              <w:pStyle w:val="TableReference"/>
              <w:tabs>
                <w:tab w:val="left" w:pos="3306"/>
              </w:tabs>
              <w:spacing w:before="40"/>
              <w:rPr>
                <w:rFonts w:cs="Calibri"/>
                <w:color w:val="7030A0"/>
                <w:sz w:val="14"/>
              </w:rPr>
            </w:pPr>
          </w:p>
        </w:tc>
        <w:tc>
          <w:tcPr>
            <w:tcW w:w="4250" w:type="pct"/>
            <w:tcBorders>
              <w:top w:val="nil"/>
              <w:left w:val="single" w:sz="4" w:space="0" w:color="auto"/>
              <w:bottom w:val="nil"/>
              <w:right w:val="nil"/>
            </w:tcBorders>
            <w:vAlign w:val="bottom"/>
          </w:tcPr>
          <w:p w14:paraId="62129DB4" w14:textId="64F7A0A2" w:rsidR="003A4053" w:rsidRPr="00AD586B" w:rsidRDefault="003A4053" w:rsidP="0004022E">
            <w:pPr>
              <w:pStyle w:val="Heading1"/>
              <w:numPr>
                <w:ilvl w:val="0"/>
                <w:numId w:val="0"/>
              </w:numPr>
              <w:spacing w:before="120" w:after="0"/>
              <w:rPr>
                <w:rFonts w:ascii="Calibri" w:hAnsi="Calibri"/>
                <w:b w:val="0"/>
                <w:bCs w:val="0"/>
                <w:i/>
                <w:iCs/>
                <w:caps w:val="0"/>
                <w:sz w:val="18"/>
                <w:szCs w:val="18"/>
              </w:rPr>
            </w:pPr>
            <w:bookmarkStart w:id="529" w:name="_Toc98763122"/>
            <w:r w:rsidRPr="00AD586B">
              <w:rPr>
                <w:rFonts w:ascii="Calibri" w:hAnsi="Calibri"/>
                <w:b w:val="0"/>
                <w:bCs w:val="0"/>
                <w:i/>
                <w:iCs/>
                <w:caps w:val="0"/>
                <w:sz w:val="18"/>
                <w:szCs w:val="18"/>
              </w:rPr>
              <w:t>Revision in Accounting Estimates</w:t>
            </w:r>
            <w:bookmarkEnd w:id="529"/>
            <w:r w:rsidRPr="00AD586B">
              <w:rPr>
                <w:rFonts w:ascii="Calibri" w:hAnsi="Calibri"/>
                <w:b w:val="0"/>
                <w:bCs w:val="0"/>
                <w:i/>
                <w:iCs/>
                <w:caps w:val="0"/>
                <w:sz w:val="18"/>
                <w:szCs w:val="18"/>
              </w:rPr>
              <w:t xml:space="preserve"> </w:t>
            </w:r>
          </w:p>
        </w:tc>
      </w:tr>
      <w:tr w:rsidR="003A4053" w:rsidRPr="00B91A27" w14:paraId="37DE7114" w14:textId="77777777" w:rsidTr="005F5B4C">
        <w:trPr>
          <w:cantSplit/>
        </w:trPr>
        <w:tc>
          <w:tcPr>
            <w:tcW w:w="750" w:type="pct"/>
            <w:gridSpan w:val="2"/>
            <w:tcBorders>
              <w:top w:val="nil"/>
              <w:left w:val="single" w:sz="4" w:space="0" w:color="auto"/>
              <w:bottom w:val="nil"/>
              <w:right w:val="single" w:sz="4" w:space="0" w:color="auto"/>
            </w:tcBorders>
          </w:tcPr>
          <w:p w14:paraId="0ADA4E7B" w14:textId="77777777" w:rsidR="003A4053" w:rsidRPr="00AD586B" w:rsidRDefault="003A4053" w:rsidP="003A4053">
            <w:pPr>
              <w:pStyle w:val="TableReference"/>
              <w:tabs>
                <w:tab w:val="left" w:pos="3306"/>
              </w:tabs>
              <w:rPr>
                <w:rFonts w:cs="Calibri"/>
                <w:color w:val="7030A0"/>
                <w:sz w:val="14"/>
              </w:rPr>
            </w:pPr>
            <w:r w:rsidRPr="00AD586B">
              <w:rPr>
                <w:rFonts w:cs="Calibri"/>
                <w:color w:val="7030A0"/>
                <w:sz w:val="14"/>
              </w:rPr>
              <w:t>AASB 116.51</w:t>
            </w:r>
          </w:p>
          <w:p w14:paraId="19B39AE8" w14:textId="7401802C" w:rsidR="003A4053" w:rsidRPr="00AD586B" w:rsidRDefault="003A4053" w:rsidP="003A4053">
            <w:pPr>
              <w:pStyle w:val="TableReference"/>
              <w:tabs>
                <w:tab w:val="left" w:pos="3306"/>
              </w:tabs>
              <w:spacing w:before="40"/>
              <w:rPr>
                <w:rFonts w:cs="Calibri"/>
                <w:color w:val="7030A0"/>
                <w:sz w:val="14"/>
              </w:rPr>
            </w:pPr>
            <w:r w:rsidRPr="00AD586B">
              <w:rPr>
                <w:rFonts w:cs="Calibri"/>
                <w:color w:val="7030A0"/>
                <w:sz w:val="14"/>
              </w:rPr>
              <w:t>AASB 108.34 &amp; 39</w:t>
            </w:r>
          </w:p>
        </w:tc>
        <w:tc>
          <w:tcPr>
            <w:tcW w:w="4250" w:type="pct"/>
            <w:tcBorders>
              <w:top w:val="nil"/>
              <w:left w:val="single" w:sz="4" w:space="0" w:color="auto"/>
              <w:bottom w:val="nil"/>
              <w:right w:val="nil"/>
            </w:tcBorders>
            <w:vAlign w:val="bottom"/>
          </w:tcPr>
          <w:p w14:paraId="1A4A8509" w14:textId="789F20BA" w:rsidR="003A4053" w:rsidRPr="00AD586B" w:rsidRDefault="003A4053" w:rsidP="00B5238F">
            <w:pPr>
              <w:pStyle w:val="Heading1"/>
              <w:numPr>
                <w:ilvl w:val="0"/>
                <w:numId w:val="0"/>
              </w:numPr>
              <w:spacing w:before="0" w:after="0"/>
              <w:jc w:val="both"/>
              <w:rPr>
                <w:rFonts w:ascii="Calibri" w:hAnsi="Calibri" w:cs="Calibri"/>
                <w:caps w:val="0"/>
                <w:sz w:val="18"/>
                <w:szCs w:val="18"/>
              </w:rPr>
            </w:pPr>
            <w:bookmarkStart w:id="530" w:name="_Toc98763123"/>
            <w:r w:rsidRPr="00AD586B">
              <w:rPr>
                <w:rFonts w:ascii="Calibri" w:hAnsi="Calibri" w:cs="Calibri"/>
                <w:b w:val="0"/>
                <w:bCs w:val="0"/>
                <w:caps w:val="0"/>
                <w:sz w:val="18"/>
                <w:szCs w:val="18"/>
              </w:rPr>
              <w:t>The useful lives of some community and heritage assets were reassessed resulting in the depreciation expense increasing by $xxx.</w:t>
            </w:r>
            <w:bookmarkEnd w:id="530"/>
          </w:p>
        </w:tc>
      </w:tr>
    </w:tbl>
    <w:p w14:paraId="408415FA" w14:textId="77777777" w:rsidR="00C85383" w:rsidRDefault="00C85383">
      <w:r>
        <w:br w:type="page"/>
      </w:r>
    </w:p>
    <w:tbl>
      <w:tblPr>
        <w:tblW w:w="513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5"/>
        <w:gridCol w:w="8923"/>
      </w:tblGrid>
      <w:tr w:rsidR="00C85383" w:rsidRPr="00B91A27" w14:paraId="157387CB" w14:textId="77777777" w:rsidTr="005F5B4C">
        <w:trPr>
          <w:cantSplit/>
          <w:trHeight w:val="261"/>
        </w:trPr>
        <w:tc>
          <w:tcPr>
            <w:tcW w:w="750" w:type="pct"/>
            <w:tcBorders>
              <w:top w:val="nil"/>
              <w:left w:val="single" w:sz="2" w:space="0" w:color="auto"/>
              <w:bottom w:val="nil"/>
              <w:right w:val="single" w:sz="2" w:space="0" w:color="auto"/>
            </w:tcBorders>
          </w:tcPr>
          <w:p w14:paraId="5F3819DA" w14:textId="77777777" w:rsidR="00C85383" w:rsidRPr="00AD586B" w:rsidRDefault="00C85383" w:rsidP="00DA5473">
            <w:pPr>
              <w:pStyle w:val="TableReference"/>
              <w:tabs>
                <w:tab w:val="left" w:pos="3306"/>
              </w:tabs>
              <w:spacing w:before="240" w:after="240"/>
              <w:rPr>
                <w:color w:val="7030A0"/>
                <w:sz w:val="14"/>
              </w:rPr>
            </w:pPr>
            <w:r w:rsidRPr="00AD586B">
              <w:rPr>
                <w:rFonts w:cs="Calibri"/>
                <w:b/>
                <w:color w:val="7030A0"/>
                <w:sz w:val="22"/>
                <w:szCs w:val="22"/>
              </w:rPr>
              <w:t>Reference</w:t>
            </w:r>
          </w:p>
        </w:tc>
        <w:tc>
          <w:tcPr>
            <w:tcW w:w="4250" w:type="pct"/>
            <w:tcBorders>
              <w:top w:val="nil"/>
              <w:left w:val="single" w:sz="2" w:space="0" w:color="auto"/>
              <w:bottom w:val="nil"/>
              <w:right w:val="nil"/>
            </w:tcBorders>
          </w:tcPr>
          <w:p w14:paraId="0644B8D5" w14:textId="1A2973B5" w:rsidR="00C85383" w:rsidRPr="00AD586B" w:rsidRDefault="00C85383" w:rsidP="00DA5473">
            <w:pPr>
              <w:pStyle w:val="Heading1"/>
              <w:numPr>
                <w:ilvl w:val="0"/>
                <w:numId w:val="0"/>
              </w:numPr>
              <w:rPr>
                <w:sz w:val="18"/>
                <w:szCs w:val="18"/>
              </w:rPr>
            </w:pPr>
            <w:bookmarkStart w:id="531" w:name="_Toc98763124"/>
            <w:r w:rsidRPr="00AD586B">
              <w:t>Note 19.</w:t>
            </w:r>
            <w:r>
              <w:t xml:space="preserve"> </w:t>
            </w:r>
            <w:r w:rsidRPr="00AD586B">
              <w:t xml:space="preserve"> Property, Plant and Equipment </w:t>
            </w:r>
            <w:r>
              <w:t>–</w:t>
            </w:r>
            <w:r w:rsidRPr="00AD586B">
              <w:t xml:space="preserve"> Continued</w:t>
            </w:r>
            <w:bookmarkEnd w:id="531"/>
            <w:r>
              <w:t xml:space="preserve"> </w:t>
            </w:r>
          </w:p>
        </w:tc>
      </w:tr>
      <w:tr w:rsidR="003A4053" w:rsidRPr="00B91A27" w14:paraId="5B952CD5" w14:textId="77777777" w:rsidTr="005F5B4C">
        <w:trPr>
          <w:cantSplit/>
        </w:trPr>
        <w:tc>
          <w:tcPr>
            <w:tcW w:w="750" w:type="pct"/>
            <w:tcBorders>
              <w:top w:val="nil"/>
              <w:left w:val="single" w:sz="2" w:space="0" w:color="auto"/>
              <w:bottom w:val="nil"/>
              <w:right w:val="single" w:sz="2" w:space="0" w:color="auto"/>
            </w:tcBorders>
          </w:tcPr>
          <w:p w14:paraId="697E3A36" w14:textId="3D10972B" w:rsidR="003A4053" w:rsidRPr="00AD586B" w:rsidRDefault="003A4053" w:rsidP="003A4053">
            <w:pPr>
              <w:pStyle w:val="TableReference"/>
              <w:tabs>
                <w:tab w:val="left" w:pos="3306"/>
              </w:tabs>
              <w:spacing w:before="40"/>
              <w:rPr>
                <w:rFonts w:cs="Calibri"/>
                <w:color w:val="7030A0"/>
                <w:sz w:val="14"/>
              </w:rPr>
            </w:pPr>
          </w:p>
        </w:tc>
        <w:tc>
          <w:tcPr>
            <w:tcW w:w="4250" w:type="pct"/>
            <w:tcBorders>
              <w:top w:val="nil"/>
              <w:left w:val="single" w:sz="2" w:space="0" w:color="auto"/>
              <w:bottom w:val="nil"/>
              <w:right w:val="nil"/>
            </w:tcBorders>
            <w:vAlign w:val="bottom"/>
          </w:tcPr>
          <w:p w14:paraId="2A8C1883" w14:textId="0BB76C72" w:rsidR="003A4053" w:rsidRPr="00AD586B" w:rsidRDefault="003A4053" w:rsidP="0004022E">
            <w:pPr>
              <w:pStyle w:val="Heading1"/>
              <w:numPr>
                <w:ilvl w:val="0"/>
                <w:numId w:val="0"/>
              </w:numPr>
              <w:spacing w:before="120" w:after="0"/>
              <w:rPr>
                <w:rFonts w:ascii="Calibri" w:hAnsi="Calibri" w:cs="Calibri"/>
                <w:caps w:val="0"/>
                <w:sz w:val="18"/>
                <w:szCs w:val="18"/>
              </w:rPr>
            </w:pPr>
            <w:bookmarkStart w:id="532" w:name="_Toc98763125"/>
            <w:r w:rsidRPr="00AD586B">
              <w:rPr>
                <w:rFonts w:ascii="Calibri" w:hAnsi="Calibri"/>
                <w:b w:val="0"/>
                <w:bCs w:val="0"/>
                <w:i/>
                <w:iCs/>
                <w:caps w:val="0"/>
                <w:sz w:val="18"/>
                <w:szCs w:val="18"/>
              </w:rPr>
              <w:t>Change in Depreciation due to a Revision of Carrying Amount</w:t>
            </w:r>
            <w:bookmarkEnd w:id="532"/>
          </w:p>
        </w:tc>
      </w:tr>
      <w:tr w:rsidR="003A4053" w:rsidRPr="00B91A27" w14:paraId="65A991B1" w14:textId="77777777" w:rsidTr="005F5B4C">
        <w:trPr>
          <w:cantSplit/>
        </w:trPr>
        <w:tc>
          <w:tcPr>
            <w:tcW w:w="750" w:type="pct"/>
            <w:tcBorders>
              <w:top w:val="nil"/>
              <w:left w:val="single" w:sz="2" w:space="0" w:color="auto"/>
              <w:bottom w:val="nil"/>
              <w:right w:val="single" w:sz="2" w:space="0" w:color="auto"/>
            </w:tcBorders>
          </w:tcPr>
          <w:p w14:paraId="16C8020C" w14:textId="77777777" w:rsidR="003A4053" w:rsidRPr="00AD586B" w:rsidRDefault="003A4053" w:rsidP="003A4053">
            <w:pPr>
              <w:pStyle w:val="TableReference"/>
              <w:tabs>
                <w:tab w:val="left" w:pos="3306"/>
              </w:tabs>
              <w:spacing w:before="60"/>
              <w:rPr>
                <w:rFonts w:cs="Calibri"/>
                <w:color w:val="7030A0"/>
                <w:sz w:val="14"/>
              </w:rPr>
            </w:pPr>
            <w:r w:rsidRPr="00AD586B">
              <w:rPr>
                <w:rFonts w:cs="Calibri"/>
                <w:color w:val="7030A0"/>
                <w:sz w:val="14"/>
              </w:rPr>
              <w:t>AASB 116.51</w:t>
            </w:r>
          </w:p>
          <w:p w14:paraId="662DF43C" w14:textId="1203356B" w:rsidR="003A4053" w:rsidRPr="00AD586B" w:rsidRDefault="003A4053" w:rsidP="003A4053">
            <w:pPr>
              <w:pStyle w:val="TableReference"/>
              <w:tabs>
                <w:tab w:val="left" w:pos="3306"/>
              </w:tabs>
              <w:spacing w:before="40"/>
              <w:rPr>
                <w:rFonts w:cs="Calibri"/>
                <w:color w:val="7030A0"/>
                <w:sz w:val="14"/>
              </w:rPr>
            </w:pPr>
            <w:r w:rsidRPr="00AD586B">
              <w:rPr>
                <w:rFonts w:cs="Calibri"/>
                <w:color w:val="7030A0"/>
                <w:sz w:val="14"/>
              </w:rPr>
              <w:t>AASB 108.39</w:t>
            </w:r>
          </w:p>
        </w:tc>
        <w:tc>
          <w:tcPr>
            <w:tcW w:w="4250" w:type="pct"/>
            <w:tcBorders>
              <w:top w:val="nil"/>
              <w:left w:val="single" w:sz="2" w:space="0" w:color="auto"/>
              <w:bottom w:val="nil"/>
              <w:right w:val="nil"/>
            </w:tcBorders>
            <w:vAlign w:val="bottom"/>
          </w:tcPr>
          <w:p w14:paraId="0BFF8BF9" w14:textId="3810D908" w:rsidR="003A4053" w:rsidRPr="00AD586B" w:rsidRDefault="003A4053" w:rsidP="00B5238F">
            <w:pPr>
              <w:pStyle w:val="Heading1"/>
              <w:numPr>
                <w:ilvl w:val="0"/>
                <w:numId w:val="0"/>
              </w:numPr>
              <w:spacing w:before="0" w:after="0"/>
              <w:jc w:val="both"/>
              <w:rPr>
                <w:rFonts w:ascii="Calibri" w:hAnsi="Calibri" w:cs="Calibri"/>
                <w:caps w:val="0"/>
                <w:sz w:val="18"/>
                <w:szCs w:val="18"/>
              </w:rPr>
            </w:pPr>
            <w:bookmarkStart w:id="533" w:name="_Toc98763126"/>
            <w:r w:rsidRPr="00AD586B">
              <w:rPr>
                <w:rFonts w:ascii="Calibri" w:hAnsi="Calibri" w:cs="Calibri"/>
                <w:b w:val="0"/>
                <w:bCs w:val="0"/>
                <w:caps w:val="0"/>
                <w:sz w:val="18"/>
                <w:szCs w:val="18"/>
              </w:rPr>
              <w:t>The residual value of plant and equipment was revised and subsequently increased as it was considered that some items of plant and equipment could be sold for an amount greater than originally anticipated.</w:t>
            </w:r>
            <w:r w:rsidR="00FA7C77">
              <w:rPr>
                <w:rFonts w:ascii="Calibri" w:hAnsi="Calibri" w:cs="Calibri"/>
                <w:b w:val="0"/>
                <w:bCs w:val="0"/>
                <w:caps w:val="0"/>
                <w:sz w:val="18"/>
                <w:szCs w:val="18"/>
              </w:rPr>
              <w:t xml:space="preserve"> </w:t>
            </w:r>
            <w:r w:rsidRPr="00AD586B">
              <w:rPr>
                <w:rFonts w:ascii="Calibri" w:hAnsi="Calibri" w:cs="Calibri"/>
                <w:b w:val="0"/>
                <w:bCs w:val="0"/>
                <w:caps w:val="0"/>
                <w:sz w:val="18"/>
                <w:szCs w:val="18"/>
              </w:rPr>
              <w:t>As a result, the depreciation on the plant and equipment was also revised and consequently decreased by $180,000 in the current reporting period.</w:t>
            </w:r>
            <w:bookmarkEnd w:id="533"/>
          </w:p>
        </w:tc>
      </w:tr>
      <w:tr w:rsidR="003A4053" w:rsidRPr="00B91A27" w14:paraId="02C53B7E" w14:textId="77777777" w:rsidTr="005F5B4C">
        <w:trPr>
          <w:cantSplit/>
        </w:trPr>
        <w:tc>
          <w:tcPr>
            <w:tcW w:w="750" w:type="pct"/>
            <w:tcBorders>
              <w:top w:val="nil"/>
              <w:left w:val="single" w:sz="2" w:space="0" w:color="auto"/>
              <w:bottom w:val="nil"/>
              <w:right w:val="single" w:sz="2" w:space="0" w:color="auto"/>
            </w:tcBorders>
          </w:tcPr>
          <w:p w14:paraId="7549AE95" w14:textId="77777777" w:rsidR="003A4053" w:rsidRPr="00AD586B" w:rsidRDefault="003A4053" w:rsidP="003A4053">
            <w:pPr>
              <w:pStyle w:val="TableReference"/>
              <w:tabs>
                <w:tab w:val="left" w:pos="3306"/>
              </w:tabs>
              <w:spacing w:before="40"/>
              <w:rPr>
                <w:rFonts w:cs="Calibri"/>
                <w:color w:val="7030A0"/>
                <w:sz w:val="14"/>
              </w:rPr>
            </w:pPr>
          </w:p>
        </w:tc>
        <w:tc>
          <w:tcPr>
            <w:tcW w:w="4250" w:type="pct"/>
            <w:tcBorders>
              <w:top w:val="nil"/>
              <w:left w:val="single" w:sz="2" w:space="0" w:color="auto"/>
              <w:bottom w:val="nil"/>
              <w:right w:val="nil"/>
            </w:tcBorders>
          </w:tcPr>
          <w:p w14:paraId="26BB840A" w14:textId="2F8C36E3" w:rsidR="003A4053" w:rsidRPr="00AD586B" w:rsidRDefault="003A4053" w:rsidP="00CF6E0E">
            <w:pPr>
              <w:pStyle w:val="Appxhead3"/>
              <w:spacing w:before="180" w:after="0"/>
              <w:jc w:val="both"/>
              <w:rPr>
                <w:rFonts w:ascii="Calibri" w:hAnsi="Calibri" w:cs="Times New Roman"/>
                <w:b w:val="0"/>
                <w:i/>
                <w:iCs/>
                <w:smallCaps w:val="0"/>
                <w:sz w:val="18"/>
                <w:szCs w:val="18"/>
              </w:rPr>
            </w:pPr>
            <w:r w:rsidRPr="00AD586B">
              <w:rPr>
                <w:rFonts w:ascii="Calibri" w:hAnsi="Calibri" w:cs="Times New Roman"/>
                <w:b w:val="0"/>
                <w:i/>
                <w:iCs/>
                <w:smallCaps w:val="0"/>
                <w:sz w:val="18"/>
                <w:szCs w:val="18"/>
              </w:rPr>
              <w:t>Acquisition and Recognition of Property, Plant and Equipment</w:t>
            </w:r>
          </w:p>
        </w:tc>
      </w:tr>
      <w:tr w:rsidR="003A4053" w:rsidRPr="00B91A27" w14:paraId="20AE1E01" w14:textId="77777777" w:rsidTr="005F5B4C">
        <w:trPr>
          <w:cantSplit/>
        </w:trPr>
        <w:tc>
          <w:tcPr>
            <w:tcW w:w="750" w:type="pct"/>
            <w:tcBorders>
              <w:top w:val="nil"/>
              <w:left w:val="single" w:sz="2" w:space="0" w:color="auto"/>
              <w:bottom w:val="nil"/>
              <w:right w:val="single" w:sz="2" w:space="0" w:color="auto"/>
            </w:tcBorders>
          </w:tcPr>
          <w:p w14:paraId="089253B9" w14:textId="77777777" w:rsidR="003A4053" w:rsidRPr="00AD586B" w:rsidRDefault="003A4053" w:rsidP="003A4053">
            <w:pPr>
              <w:pStyle w:val="TableReference"/>
              <w:tabs>
                <w:tab w:val="left" w:pos="3306"/>
              </w:tabs>
              <w:spacing w:before="40"/>
              <w:rPr>
                <w:color w:val="7030A0"/>
                <w:sz w:val="14"/>
              </w:rPr>
            </w:pPr>
            <w:r w:rsidRPr="00AD586B">
              <w:rPr>
                <w:color w:val="7030A0"/>
                <w:sz w:val="14"/>
              </w:rPr>
              <w:t xml:space="preserve">AASB 116.15, </w:t>
            </w:r>
          </w:p>
          <w:p w14:paraId="496DCD94" w14:textId="77777777" w:rsidR="003A4053" w:rsidRPr="00AD586B" w:rsidRDefault="003A4053" w:rsidP="003A4053">
            <w:pPr>
              <w:pStyle w:val="TableReference"/>
              <w:tabs>
                <w:tab w:val="left" w:pos="3306"/>
              </w:tabs>
              <w:rPr>
                <w:color w:val="7030A0"/>
                <w:sz w:val="14"/>
              </w:rPr>
            </w:pPr>
            <w:r w:rsidRPr="00AD586B">
              <w:rPr>
                <w:color w:val="7030A0"/>
                <w:sz w:val="14"/>
              </w:rPr>
              <w:t>AASB 116.Aus 15.1, AASB 1004.BC28</w:t>
            </w:r>
          </w:p>
          <w:p w14:paraId="68FA1FF8" w14:textId="14748EB2" w:rsidR="003A4053" w:rsidRPr="00AD586B" w:rsidRDefault="003A4053" w:rsidP="003A4053">
            <w:pPr>
              <w:pStyle w:val="TableReference"/>
              <w:tabs>
                <w:tab w:val="left" w:pos="3306"/>
              </w:tabs>
              <w:rPr>
                <w:rFonts w:cs="Calibri"/>
                <w:color w:val="7030A0"/>
                <w:sz w:val="14"/>
              </w:rPr>
            </w:pPr>
            <w:r w:rsidRPr="00AD586B">
              <w:rPr>
                <w:color w:val="7030A0"/>
                <w:sz w:val="14"/>
              </w:rPr>
              <w:t>AASB 1059.7</w:t>
            </w:r>
          </w:p>
        </w:tc>
        <w:tc>
          <w:tcPr>
            <w:tcW w:w="4250" w:type="pct"/>
            <w:tcBorders>
              <w:top w:val="nil"/>
              <w:left w:val="single" w:sz="2" w:space="0" w:color="auto"/>
              <w:bottom w:val="nil"/>
              <w:right w:val="nil"/>
            </w:tcBorders>
          </w:tcPr>
          <w:p w14:paraId="5EA951A5" w14:textId="5D6D7CBE" w:rsidR="003A4053" w:rsidRPr="00AD586B" w:rsidRDefault="006E7FE9" w:rsidP="00C12C73">
            <w:pPr>
              <w:spacing w:after="120"/>
              <w:jc w:val="both"/>
              <w:rPr>
                <w:strike/>
                <w:sz w:val="18"/>
                <w:szCs w:val="18"/>
              </w:rPr>
            </w:pPr>
            <w:r>
              <w:rPr>
                <w:sz w:val="18"/>
                <w:szCs w:val="18"/>
              </w:rPr>
              <w:t>Property, Plant and Equipment</w:t>
            </w:r>
            <w:r w:rsidR="003A4053" w:rsidRPr="00AD586B">
              <w:rPr>
                <w:sz w:val="18"/>
                <w:szCs w:val="18"/>
              </w:rPr>
              <w:t xml:space="preserve"> are initially recorded at cost.</w:t>
            </w:r>
            <w:r w:rsidR="00FA7C77">
              <w:rPr>
                <w:sz w:val="18"/>
                <w:szCs w:val="18"/>
              </w:rPr>
              <w:t xml:space="preserve"> </w:t>
            </w:r>
            <w:r w:rsidR="003D1921" w:rsidRPr="00AD586B">
              <w:rPr>
                <w:sz w:val="18"/>
                <w:szCs w:val="18"/>
              </w:rPr>
              <w:t xml:space="preserve">Right-of-use assets </w:t>
            </w:r>
            <w:r w:rsidR="003D1921" w:rsidRPr="00AD586B">
              <w:rPr>
                <w:rFonts w:asciiTheme="minorHAnsi" w:hAnsiTheme="minorHAnsi" w:cstheme="minorHAnsi"/>
                <w:sz w:val="18"/>
                <w:szCs w:val="18"/>
              </w:rPr>
              <w:t xml:space="preserve">are also measured at cost on initial recognition, where cost comprises the initial amount of the lease liability, initial direct costs, prepaid lease payments, estimated cost of removal and restoration less any lease incentives received. </w:t>
            </w:r>
            <w:r w:rsidR="003A4053" w:rsidRPr="00AD586B">
              <w:rPr>
                <w:sz w:val="18"/>
                <w:szCs w:val="18"/>
              </w:rPr>
              <w:t xml:space="preserve">However, the Agency initially recognises service concession assets at current replacement cost in accordance with the cost approach to fair value in AASB 13 </w:t>
            </w:r>
            <w:r w:rsidR="003A4053" w:rsidRPr="00AD586B">
              <w:rPr>
                <w:i/>
                <w:iCs/>
                <w:sz w:val="18"/>
                <w:szCs w:val="18"/>
              </w:rPr>
              <w:t>Fair Value Measurement</w:t>
            </w:r>
            <w:r w:rsidR="003A4053" w:rsidRPr="00AD586B">
              <w:rPr>
                <w:sz w:val="18"/>
                <w:szCs w:val="18"/>
              </w:rPr>
              <w:t>.</w:t>
            </w:r>
          </w:p>
        </w:tc>
      </w:tr>
      <w:tr w:rsidR="00C12C73" w:rsidRPr="00B91A27" w14:paraId="0CF10595" w14:textId="77777777" w:rsidTr="005F5B4C">
        <w:trPr>
          <w:cantSplit/>
        </w:trPr>
        <w:tc>
          <w:tcPr>
            <w:tcW w:w="750" w:type="pct"/>
            <w:tcBorders>
              <w:top w:val="nil"/>
              <w:left w:val="single" w:sz="2" w:space="0" w:color="auto"/>
              <w:bottom w:val="nil"/>
              <w:right w:val="single" w:sz="2" w:space="0" w:color="auto"/>
            </w:tcBorders>
          </w:tcPr>
          <w:p w14:paraId="5B669839" w14:textId="77777777" w:rsidR="00C12C73" w:rsidRPr="00AD586B" w:rsidRDefault="00C12C73" w:rsidP="003A4053">
            <w:pPr>
              <w:pStyle w:val="TableReference"/>
              <w:tabs>
                <w:tab w:val="left" w:pos="3306"/>
              </w:tabs>
              <w:spacing w:before="40"/>
              <w:rPr>
                <w:color w:val="7030A0"/>
                <w:sz w:val="14"/>
              </w:rPr>
            </w:pPr>
          </w:p>
        </w:tc>
        <w:tc>
          <w:tcPr>
            <w:tcW w:w="4250" w:type="pct"/>
            <w:tcBorders>
              <w:top w:val="nil"/>
              <w:left w:val="single" w:sz="2" w:space="0" w:color="auto"/>
              <w:bottom w:val="nil"/>
              <w:right w:val="nil"/>
            </w:tcBorders>
          </w:tcPr>
          <w:p w14:paraId="09EABA12" w14:textId="61897F40" w:rsidR="00C12C73" w:rsidRPr="00AD586B" w:rsidRDefault="00C12C73" w:rsidP="003A4053">
            <w:pPr>
              <w:spacing w:after="120"/>
              <w:jc w:val="both"/>
              <w:rPr>
                <w:sz w:val="18"/>
                <w:szCs w:val="18"/>
              </w:rPr>
            </w:pPr>
            <w:r w:rsidRPr="00AD586B">
              <w:rPr>
                <w:sz w:val="18"/>
                <w:szCs w:val="18"/>
              </w:rPr>
              <w:t>Where property, plant and equipment are acquired at no cost, or minimal cost, cost is its fair value as at the date of acquisition. However, property, plant and equipment acquired at no cost or minimal cost as part of a restructuring of administrative arrangements is measured at the transferor’s book value.</w:t>
            </w:r>
          </w:p>
        </w:tc>
      </w:tr>
      <w:tr w:rsidR="003A4053" w:rsidRPr="00B91A27" w14:paraId="06B3AC52" w14:textId="77777777" w:rsidTr="005F5B4C">
        <w:trPr>
          <w:cantSplit/>
        </w:trPr>
        <w:tc>
          <w:tcPr>
            <w:tcW w:w="750" w:type="pct"/>
            <w:tcBorders>
              <w:top w:val="nil"/>
              <w:left w:val="single" w:sz="2" w:space="0" w:color="auto"/>
              <w:bottom w:val="nil"/>
              <w:right w:val="single" w:sz="2" w:space="0" w:color="auto"/>
            </w:tcBorders>
          </w:tcPr>
          <w:p w14:paraId="1E408BE3" w14:textId="7404642F" w:rsidR="003A4053" w:rsidRPr="00AD586B" w:rsidRDefault="003A4053" w:rsidP="003A4053">
            <w:pPr>
              <w:pStyle w:val="TableReference"/>
              <w:tabs>
                <w:tab w:val="left" w:pos="3306"/>
              </w:tabs>
              <w:spacing w:before="40"/>
              <w:rPr>
                <w:color w:val="7030A0"/>
                <w:sz w:val="14"/>
              </w:rPr>
            </w:pPr>
            <w:r w:rsidRPr="00AD586B">
              <w:rPr>
                <w:color w:val="7030A0"/>
                <w:sz w:val="14"/>
              </w:rPr>
              <w:t>AASB 116.23</w:t>
            </w:r>
          </w:p>
        </w:tc>
        <w:tc>
          <w:tcPr>
            <w:tcW w:w="4250" w:type="pct"/>
            <w:tcBorders>
              <w:top w:val="nil"/>
              <w:left w:val="single" w:sz="2" w:space="0" w:color="auto"/>
              <w:bottom w:val="nil"/>
              <w:right w:val="nil"/>
            </w:tcBorders>
          </w:tcPr>
          <w:p w14:paraId="2D433777" w14:textId="534BA300" w:rsidR="003A4053" w:rsidRPr="00AD586B" w:rsidRDefault="003A4053" w:rsidP="005F7F2E">
            <w:pPr>
              <w:spacing w:after="120"/>
              <w:jc w:val="both"/>
              <w:rPr>
                <w:sz w:val="18"/>
                <w:szCs w:val="18"/>
              </w:rPr>
            </w:pPr>
            <w:r w:rsidRPr="00AD586B">
              <w:rPr>
                <w:sz w:val="18"/>
                <w:szCs w:val="18"/>
              </w:rPr>
              <w:t>Where payment for property, plant and equipment is deferred beyond normal credit terms, the difference between its cash price equivalent and the total payment is measured as interest over the period of credit.</w:t>
            </w:r>
            <w:r w:rsidR="00FA7C77">
              <w:rPr>
                <w:sz w:val="18"/>
                <w:szCs w:val="18"/>
              </w:rPr>
              <w:t xml:space="preserve"> </w:t>
            </w:r>
            <w:r w:rsidRPr="00AD586B">
              <w:rPr>
                <w:sz w:val="18"/>
                <w:szCs w:val="18"/>
              </w:rPr>
              <w:t>The discount rate used to calculate the cash price equivalent is an asset specific rate.</w:t>
            </w:r>
          </w:p>
        </w:tc>
      </w:tr>
      <w:tr w:rsidR="003A4053" w:rsidRPr="00B91A27" w14:paraId="6C9291D1" w14:textId="77777777" w:rsidTr="005F5B4C">
        <w:trPr>
          <w:cantSplit/>
          <w:trHeight w:val="261"/>
        </w:trPr>
        <w:tc>
          <w:tcPr>
            <w:tcW w:w="750" w:type="pct"/>
            <w:tcBorders>
              <w:top w:val="nil"/>
              <w:left w:val="single" w:sz="2" w:space="0" w:color="auto"/>
              <w:bottom w:val="nil"/>
              <w:right w:val="single" w:sz="2" w:space="0" w:color="auto"/>
            </w:tcBorders>
          </w:tcPr>
          <w:p w14:paraId="531E7693" w14:textId="77777777" w:rsidR="003A4053" w:rsidRPr="00AD586B" w:rsidRDefault="003A4053" w:rsidP="003A4053">
            <w:pPr>
              <w:pStyle w:val="TableReference"/>
              <w:tabs>
                <w:tab w:val="left" w:pos="3306"/>
              </w:tabs>
              <w:rPr>
                <w:color w:val="7030A0"/>
                <w:sz w:val="14"/>
              </w:rPr>
            </w:pPr>
          </w:p>
        </w:tc>
        <w:tc>
          <w:tcPr>
            <w:tcW w:w="4250" w:type="pct"/>
            <w:tcBorders>
              <w:top w:val="nil"/>
              <w:left w:val="single" w:sz="2" w:space="0" w:color="auto"/>
              <w:bottom w:val="nil"/>
              <w:right w:val="nil"/>
            </w:tcBorders>
          </w:tcPr>
          <w:p w14:paraId="52B7B473" w14:textId="56027D30" w:rsidR="003A4053" w:rsidRPr="00AD586B" w:rsidRDefault="006E7FE9" w:rsidP="00F458F6">
            <w:pPr>
              <w:spacing w:after="120"/>
              <w:jc w:val="both"/>
              <w:rPr>
                <w:sz w:val="18"/>
                <w:szCs w:val="18"/>
              </w:rPr>
            </w:pPr>
            <w:r>
              <w:rPr>
                <w:sz w:val="18"/>
                <w:szCs w:val="18"/>
              </w:rPr>
              <w:t>Property, Plant and Equipment</w:t>
            </w:r>
            <w:r w:rsidR="003A4053" w:rsidRPr="00AD586B">
              <w:rPr>
                <w:sz w:val="18"/>
                <w:szCs w:val="18"/>
              </w:rPr>
              <w:t xml:space="preserve"> with a minimum value of </w:t>
            </w:r>
            <w:r w:rsidR="003A4053" w:rsidRPr="00AA7D16">
              <w:rPr>
                <w:color w:val="C45911" w:themeColor="accent2" w:themeShade="BF"/>
                <w:sz w:val="18"/>
                <w:szCs w:val="18"/>
              </w:rPr>
              <w:t xml:space="preserve">&lt;$5,000&gt; </w:t>
            </w:r>
            <w:r w:rsidR="003A4053" w:rsidRPr="00AD586B">
              <w:rPr>
                <w:sz w:val="18"/>
                <w:szCs w:val="18"/>
              </w:rPr>
              <w:t xml:space="preserve">are capitalised. </w:t>
            </w:r>
          </w:p>
        </w:tc>
      </w:tr>
      <w:tr w:rsidR="005F7F2E" w:rsidRPr="00B91A27" w14:paraId="06844B0D" w14:textId="77777777" w:rsidTr="005F5B4C">
        <w:trPr>
          <w:cantSplit/>
          <w:trHeight w:val="261"/>
        </w:trPr>
        <w:tc>
          <w:tcPr>
            <w:tcW w:w="750" w:type="pct"/>
            <w:tcBorders>
              <w:top w:val="nil"/>
              <w:left w:val="single" w:sz="2" w:space="0" w:color="auto"/>
              <w:bottom w:val="nil"/>
              <w:right w:val="single" w:sz="2" w:space="0" w:color="auto"/>
            </w:tcBorders>
          </w:tcPr>
          <w:p w14:paraId="16A0B6C8" w14:textId="77777777" w:rsidR="005F7F2E" w:rsidRPr="00AD586B" w:rsidRDefault="005F7F2E" w:rsidP="005F7F2E">
            <w:pPr>
              <w:pStyle w:val="TableReference"/>
              <w:tabs>
                <w:tab w:val="left" w:pos="3306"/>
              </w:tabs>
              <w:rPr>
                <w:color w:val="7030A0"/>
                <w:sz w:val="14"/>
              </w:rPr>
            </w:pPr>
          </w:p>
        </w:tc>
        <w:tc>
          <w:tcPr>
            <w:tcW w:w="4250" w:type="pct"/>
            <w:tcBorders>
              <w:top w:val="nil"/>
              <w:left w:val="single" w:sz="2" w:space="0" w:color="auto"/>
              <w:bottom w:val="nil"/>
              <w:right w:val="nil"/>
            </w:tcBorders>
          </w:tcPr>
          <w:p w14:paraId="2E90DD3D" w14:textId="0BB3E39E" w:rsidR="005F7F2E" w:rsidRPr="00AD586B" w:rsidRDefault="005F7F2E" w:rsidP="005F7F2E">
            <w:pPr>
              <w:jc w:val="both"/>
              <w:rPr>
                <w:sz w:val="18"/>
                <w:szCs w:val="18"/>
              </w:rPr>
            </w:pPr>
            <w:r w:rsidRPr="00AD586B">
              <w:rPr>
                <w:i/>
                <w:iCs/>
                <w:sz w:val="18"/>
                <w:szCs w:val="18"/>
              </w:rPr>
              <w:t>Measurement of Property, Plant and Equipment After Initial Recognition</w:t>
            </w:r>
          </w:p>
        </w:tc>
      </w:tr>
      <w:tr w:rsidR="005F7F2E" w:rsidRPr="00B91A27" w14:paraId="051E302C" w14:textId="77777777" w:rsidTr="005F5B4C">
        <w:trPr>
          <w:cantSplit/>
          <w:trHeight w:val="261"/>
        </w:trPr>
        <w:tc>
          <w:tcPr>
            <w:tcW w:w="750" w:type="pct"/>
            <w:tcBorders>
              <w:top w:val="nil"/>
              <w:left w:val="single" w:sz="2" w:space="0" w:color="auto"/>
              <w:bottom w:val="nil"/>
              <w:right w:val="single" w:sz="2" w:space="0" w:color="auto"/>
            </w:tcBorders>
          </w:tcPr>
          <w:p w14:paraId="75BBE481" w14:textId="0F2FCA64" w:rsidR="005F7F2E" w:rsidRPr="00AD586B" w:rsidRDefault="005F7F2E" w:rsidP="005F7F2E">
            <w:pPr>
              <w:pStyle w:val="TableReference"/>
              <w:tabs>
                <w:tab w:val="left" w:pos="3306"/>
              </w:tabs>
              <w:rPr>
                <w:color w:val="7030A0"/>
                <w:sz w:val="14"/>
              </w:rPr>
            </w:pPr>
            <w:r w:rsidRPr="00AD586B">
              <w:rPr>
                <w:color w:val="7030A0"/>
                <w:sz w:val="14"/>
              </w:rPr>
              <w:t>AASB 16.23 &amp; 36, ACT Accounting Policy – Property Plant &amp; Equipment</w:t>
            </w:r>
          </w:p>
        </w:tc>
        <w:tc>
          <w:tcPr>
            <w:tcW w:w="4250" w:type="pct"/>
            <w:tcBorders>
              <w:top w:val="nil"/>
              <w:left w:val="single" w:sz="2" w:space="0" w:color="auto"/>
              <w:bottom w:val="nil"/>
              <w:right w:val="nil"/>
            </w:tcBorders>
          </w:tcPr>
          <w:p w14:paraId="443A2159" w14:textId="73C2D1BD" w:rsidR="005F7F2E" w:rsidRPr="00AD586B" w:rsidRDefault="006E7FE9" w:rsidP="005F7F2E">
            <w:pPr>
              <w:spacing w:after="120"/>
              <w:jc w:val="both"/>
              <w:rPr>
                <w:sz w:val="18"/>
                <w:szCs w:val="18"/>
              </w:rPr>
            </w:pPr>
            <w:r>
              <w:rPr>
                <w:sz w:val="18"/>
                <w:szCs w:val="18"/>
              </w:rPr>
              <w:t>Property, Plant and Equipment</w:t>
            </w:r>
            <w:r w:rsidR="005F7F2E" w:rsidRPr="00AD586B">
              <w:rPr>
                <w:sz w:val="18"/>
                <w:szCs w:val="18"/>
              </w:rPr>
              <w:t xml:space="preserve"> is valued using the cost or revaluation model of valuation.</w:t>
            </w:r>
            <w:r w:rsidR="00FA7C77">
              <w:rPr>
                <w:sz w:val="18"/>
                <w:szCs w:val="18"/>
              </w:rPr>
              <w:t xml:space="preserve"> </w:t>
            </w:r>
            <w:r w:rsidR="005F7F2E" w:rsidRPr="00AD586B">
              <w:rPr>
                <w:sz w:val="18"/>
                <w:szCs w:val="18"/>
              </w:rPr>
              <w:t>Land, buildings, infrastructure assets, leasehold improvements and community and heritage assets are measured at fair value.</w:t>
            </w:r>
            <w:r w:rsidR="00FA7C77">
              <w:rPr>
                <w:sz w:val="18"/>
                <w:szCs w:val="18"/>
              </w:rPr>
              <w:t xml:space="preserve"> </w:t>
            </w:r>
            <w:r w:rsidR="005F7F2E" w:rsidRPr="00AD586B">
              <w:rPr>
                <w:sz w:val="18"/>
                <w:szCs w:val="18"/>
              </w:rPr>
              <w:t>Plant and equipment is measured at cost.</w:t>
            </w:r>
            <w:r w:rsidR="00FA7C77">
              <w:rPr>
                <w:sz w:val="18"/>
                <w:szCs w:val="18"/>
              </w:rPr>
              <w:t xml:space="preserve"> </w:t>
            </w:r>
            <w:r w:rsidR="005F7F2E" w:rsidRPr="00AD586B">
              <w:rPr>
                <w:sz w:val="18"/>
                <w:szCs w:val="18"/>
              </w:rPr>
              <w:t>Service Concession Assets included in each of these asset classes are measured on the same basis as the rest of that asset class owned by the Agency.</w:t>
            </w:r>
            <w:r w:rsidR="00FA7C77">
              <w:rPr>
                <w:sz w:val="18"/>
                <w:szCs w:val="18"/>
              </w:rPr>
              <w:t xml:space="preserve"> </w:t>
            </w:r>
            <w:r w:rsidR="005F7F2E" w:rsidRPr="00AD586B">
              <w:rPr>
                <w:sz w:val="18"/>
                <w:szCs w:val="18"/>
              </w:rPr>
              <w:t xml:space="preserve"> </w:t>
            </w:r>
          </w:p>
        </w:tc>
      </w:tr>
      <w:tr w:rsidR="005F7F2E" w:rsidRPr="00B91A27" w14:paraId="1187CCF5" w14:textId="77777777" w:rsidTr="005F5B4C">
        <w:trPr>
          <w:cantSplit/>
          <w:trHeight w:val="261"/>
        </w:trPr>
        <w:tc>
          <w:tcPr>
            <w:tcW w:w="750" w:type="pct"/>
            <w:tcBorders>
              <w:top w:val="nil"/>
              <w:left w:val="single" w:sz="2" w:space="0" w:color="auto"/>
              <w:bottom w:val="nil"/>
              <w:right w:val="single" w:sz="2" w:space="0" w:color="auto"/>
            </w:tcBorders>
          </w:tcPr>
          <w:p w14:paraId="0553898E" w14:textId="77777777" w:rsidR="005F7F2E" w:rsidRPr="00AD586B" w:rsidRDefault="005F7F2E" w:rsidP="005F7F2E">
            <w:pPr>
              <w:pStyle w:val="TableReference"/>
              <w:tabs>
                <w:tab w:val="left" w:pos="3306"/>
              </w:tabs>
              <w:rPr>
                <w:color w:val="7030A0"/>
                <w:sz w:val="14"/>
              </w:rPr>
            </w:pPr>
          </w:p>
        </w:tc>
        <w:tc>
          <w:tcPr>
            <w:tcW w:w="4250" w:type="pct"/>
            <w:tcBorders>
              <w:top w:val="nil"/>
              <w:left w:val="single" w:sz="2" w:space="0" w:color="auto"/>
              <w:bottom w:val="nil"/>
              <w:right w:val="nil"/>
            </w:tcBorders>
          </w:tcPr>
          <w:p w14:paraId="70D0B39F" w14:textId="3481CB3A" w:rsidR="005F7F2E" w:rsidRPr="00AD586B" w:rsidRDefault="005F7F2E" w:rsidP="005F7F2E">
            <w:pPr>
              <w:spacing w:after="120"/>
              <w:jc w:val="both"/>
              <w:rPr>
                <w:sz w:val="18"/>
                <w:szCs w:val="18"/>
              </w:rPr>
            </w:pPr>
            <w:r w:rsidRPr="00AD586B">
              <w:rPr>
                <w:sz w:val="18"/>
                <w:szCs w:val="18"/>
              </w:rPr>
              <w:t>After the commencement date, right-of-use assets are measured at cost less any accumulated depreciation and accumulated impairment losses and adjusted for any re-measurement of the lease liability. Right-of-use assets are presented in property, plant and equipment under the relevant asset class.</w:t>
            </w:r>
          </w:p>
        </w:tc>
      </w:tr>
      <w:tr w:rsidR="005F7F2E" w:rsidRPr="00B91A27" w14:paraId="6447FED0" w14:textId="77777777" w:rsidTr="005F5B4C">
        <w:trPr>
          <w:cantSplit/>
          <w:trHeight w:val="261"/>
        </w:trPr>
        <w:tc>
          <w:tcPr>
            <w:tcW w:w="750" w:type="pct"/>
            <w:tcBorders>
              <w:top w:val="nil"/>
              <w:left w:val="single" w:sz="2" w:space="0" w:color="auto"/>
              <w:bottom w:val="nil"/>
              <w:right w:val="single" w:sz="2" w:space="0" w:color="auto"/>
            </w:tcBorders>
          </w:tcPr>
          <w:p w14:paraId="5FC0836F" w14:textId="1EBB0E7B" w:rsidR="005F7F2E" w:rsidRPr="00AD586B" w:rsidRDefault="005F7F2E" w:rsidP="005F7F2E">
            <w:pPr>
              <w:pStyle w:val="TableReference"/>
              <w:tabs>
                <w:tab w:val="left" w:pos="3306"/>
              </w:tabs>
              <w:rPr>
                <w:color w:val="7030A0"/>
                <w:sz w:val="14"/>
              </w:rPr>
            </w:pPr>
            <w:r w:rsidRPr="00AD586B">
              <w:rPr>
                <w:color w:val="7030A0"/>
                <w:sz w:val="14"/>
              </w:rPr>
              <w:t>AASB 1059.9(b)</w:t>
            </w:r>
          </w:p>
        </w:tc>
        <w:tc>
          <w:tcPr>
            <w:tcW w:w="4250" w:type="pct"/>
            <w:tcBorders>
              <w:top w:val="nil"/>
              <w:left w:val="single" w:sz="2" w:space="0" w:color="auto"/>
              <w:bottom w:val="nil"/>
              <w:right w:val="nil"/>
            </w:tcBorders>
          </w:tcPr>
          <w:p w14:paraId="777F28AA" w14:textId="09273E28" w:rsidR="005F7F2E" w:rsidRPr="00AD586B" w:rsidRDefault="005F7F2E" w:rsidP="005F7F2E">
            <w:pPr>
              <w:jc w:val="both"/>
              <w:rPr>
                <w:sz w:val="18"/>
                <w:szCs w:val="18"/>
              </w:rPr>
            </w:pPr>
            <w:r w:rsidRPr="00AD586B">
              <w:rPr>
                <w:sz w:val="18"/>
                <w:szCs w:val="18"/>
              </w:rPr>
              <w:t>The fair value of service concession assets measured using the revaluation model is determine based on current replacement cost.</w:t>
            </w:r>
          </w:p>
        </w:tc>
      </w:tr>
      <w:tr w:rsidR="005F7F2E" w:rsidRPr="00B91A27" w14:paraId="5B36DD1A" w14:textId="77777777" w:rsidTr="005F5B4C">
        <w:trPr>
          <w:cantSplit/>
        </w:trPr>
        <w:tc>
          <w:tcPr>
            <w:tcW w:w="750" w:type="pct"/>
            <w:tcBorders>
              <w:top w:val="nil"/>
              <w:left w:val="single" w:sz="2" w:space="0" w:color="auto"/>
              <w:bottom w:val="nil"/>
              <w:right w:val="single" w:sz="2" w:space="0" w:color="auto"/>
            </w:tcBorders>
          </w:tcPr>
          <w:p w14:paraId="39DF1E15" w14:textId="77777777" w:rsidR="005F7F2E" w:rsidRPr="00AD586B" w:rsidRDefault="005F7F2E" w:rsidP="005F7F2E">
            <w:pPr>
              <w:pStyle w:val="TableReference"/>
              <w:tabs>
                <w:tab w:val="left" w:pos="3306"/>
              </w:tabs>
              <w:rPr>
                <w:color w:val="7030A0"/>
                <w:sz w:val="14"/>
              </w:rPr>
            </w:pPr>
          </w:p>
        </w:tc>
        <w:tc>
          <w:tcPr>
            <w:tcW w:w="4250" w:type="pct"/>
            <w:tcBorders>
              <w:top w:val="nil"/>
              <w:left w:val="single" w:sz="2" w:space="0" w:color="auto"/>
              <w:bottom w:val="nil"/>
              <w:right w:val="nil"/>
            </w:tcBorders>
          </w:tcPr>
          <w:p w14:paraId="3F91E625" w14:textId="673AC5AA" w:rsidR="005F7F2E" w:rsidRPr="00AD586B" w:rsidRDefault="005F7F2E" w:rsidP="005F7F2E">
            <w:pPr>
              <w:pStyle w:val="Appxhead3"/>
              <w:spacing w:after="0"/>
              <w:jc w:val="both"/>
              <w:rPr>
                <w:rFonts w:ascii="Calibri" w:hAnsi="Calibri" w:cs="Times New Roman"/>
                <w:b w:val="0"/>
                <w:i/>
                <w:iCs/>
                <w:smallCaps w:val="0"/>
                <w:sz w:val="18"/>
                <w:szCs w:val="18"/>
              </w:rPr>
            </w:pPr>
            <w:r w:rsidRPr="00AD586B">
              <w:rPr>
                <w:rFonts w:ascii="Calibri" w:hAnsi="Calibri" w:cs="Times New Roman"/>
                <w:b w:val="0"/>
                <w:i/>
                <w:iCs/>
                <w:smallCaps w:val="0"/>
                <w:sz w:val="18"/>
                <w:szCs w:val="18"/>
              </w:rPr>
              <w:t>Major Cyclical Maintenance - Infrastructure Asset</w:t>
            </w:r>
          </w:p>
        </w:tc>
      </w:tr>
      <w:tr w:rsidR="005F7F2E" w:rsidRPr="00B91A27" w14:paraId="0A0B5E63" w14:textId="77777777" w:rsidTr="005F5B4C">
        <w:trPr>
          <w:cantSplit/>
        </w:trPr>
        <w:tc>
          <w:tcPr>
            <w:tcW w:w="750" w:type="pct"/>
            <w:tcBorders>
              <w:top w:val="nil"/>
              <w:left w:val="single" w:sz="2" w:space="0" w:color="auto"/>
              <w:bottom w:val="nil"/>
              <w:right w:val="single" w:sz="2" w:space="0" w:color="auto"/>
            </w:tcBorders>
          </w:tcPr>
          <w:p w14:paraId="244F3683" w14:textId="77777777" w:rsidR="005F7F2E" w:rsidRPr="00AD586B" w:rsidRDefault="005F7F2E" w:rsidP="005F7F2E">
            <w:pPr>
              <w:pStyle w:val="TableReference"/>
              <w:tabs>
                <w:tab w:val="left" w:pos="3306"/>
              </w:tabs>
              <w:spacing w:before="40"/>
              <w:rPr>
                <w:color w:val="7030A0"/>
                <w:sz w:val="14"/>
              </w:rPr>
            </w:pPr>
          </w:p>
        </w:tc>
        <w:tc>
          <w:tcPr>
            <w:tcW w:w="4250" w:type="pct"/>
            <w:tcBorders>
              <w:top w:val="nil"/>
              <w:left w:val="single" w:sz="2" w:space="0" w:color="auto"/>
              <w:bottom w:val="nil"/>
              <w:right w:val="nil"/>
            </w:tcBorders>
          </w:tcPr>
          <w:p w14:paraId="0DEAF6D1" w14:textId="4229F869" w:rsidR="005F7F2E" w:rsidRPr="00AD586B" w:rsidRDefault="005F7F2E" w:rsidP="005F7F2E">
            <w:pPr>
              <w:spacing w:after="120"/>
              <w:jc w:val="both"/>
              <w:rPr>
                <w:sz w:val="18"/>
                <w:szCs w:val="18"/>
              </w:rPr>
            </w:pPr>
            <w:r w:rsidRPr="00AD586B">
              <w:rPr>
                <w:sz w:val="18"/>
                <w:szCs w:val="18"/>
              </w:rPr>
              <w:t>The Agency undertakes major cyclical maintenance on its infrastructure assets.</w:t>
            </w:r>
            <w:r w:rsidR="00FA7C77">
              <w:rPr>
                <w:sz w:val="18"/>
                <w:szCs w:val="18"/>
              </w:rPr>
              <w:t xml:space="preserve"> </w:t>
            </w:r>
            <w:r w:rsidRPr="00AD586B">
              <w:rPr>
                <w:sz w:val="18"/>
                <w:szCs w:val="18"/>
              </w:rPr>
              <w:t>Where the maintenance leads to an upgrade, increasing the service potential of the existing infrastructure asset, the cost is capitalised.</w:t>
            </w:r>
          </w:p>
        </w:tc>
      </w:tr>
      <w:tr w:rsidR="005F7F2E" w:rsidRPr="00B91A27" w14:paraId="5EDBF830" w14:textId="77777777" w:rsidTr="005F5B4C">
        <w:trPr>
          <w:cantSplit/>
        </w:trPr>
        <w:tc>
          <w:tcPr>
            <w:tcW w:w="750" w:type="pct"/>
            <w:tcBorders>
              <w:top w:val="nil"/>
              <w:left w:val="single" w:sz="2" w:space="0" w:color="auto"/>
              <w:bottom w:val="nil"/>
              <w:right w:val="single" w:sz="2" w:space="0" w:color="auto"/>
            </w:tcBorders>
          </w:tcPr>
          <w:p w14:paraId="333983CE" w14:textId="77777777" w:rsidR="005F7F2E" w:rsidRPr="00AD586B" w:rsidRDefault="005F7F2E" w:rsidP="005F7F2E">
            <w:pPr>
              <w:pStyle w:val="TableReference"/>
              <w:tabs>
                <w:tab w:val="left" w:pos="3306"/>
              </w:tabs>
              <w:spacing w:before="40"/>
              <w:rPr>
                <w:color w:val="7030A0"/>
                <w:sz w:val="14"/>
              </w:rPr>
            </w:pPr>
          </w:p>
        </w:tc>
        <w:tc>
          <w:tcPr>
            <w:tcW w:w="4250" w:type="pct"/>
            <w:tcBorders>
              <w:top w:val="nil"/>
              <w:left w:val="single" w:sz="2" w:space="0" w:color="auto"/>
              <w:bottom w:val="nil"/>
              <w:right w:val="nil"/>
            </w:tcBorders>
            <w:vAlign w:val="bottom"/>
          </w:tcPr>
          <w:p w14:paraId="40823946" w14:textId="3E6C5110" w:rsidR="005F7F2E" w:rsidRPr="00AD586B" w:rsidRDefault="005F7F2E" w:rsidP="005F7F2E">
            <w:pPr>
              <w:jc w:val="both"/>
              <w:rPr>
                <w:i/>
                <w:iCs/>
                <w:sz w:val="18"/>
                <w:szCs w:val="18"/>
              </w:rPr>
            </w:pPr>
            <w:r w:rsidRPr="00AD586B">
              <w:rPr>
                <w:rFonts w:cs="Calibri"/>
                <w:i/>
                <w:iCs/>
                <w:sz w:val="18"/>
              </w:rPr>
              <w:t>Valuation of Non-Current Assets</w:t>
            </w:r>
          </w:p>
        </w:tc>
      </w:tr>
      <w:tr w:rsidR="005F7F2E" w:rsidRPr="00B91A27" w14:paraId="7F26E765" w14:textId="77777777" w:rsidTr="005F5B4C">
        <w:trPr>
          <w:cantSplit/>
        </w:trPr>
        <w:tc>
          <w:tcPr>
            <w:tcW w:w="750" w:type="pct"/>
            <w:tcBorders>
              <w:top w:val="nil"/>
              <w:left w:val="single" w:sz="2" w:space="0" w:color="auto"/>
              <w:bottom w:val="nil"/>
              <w:right w:val="single" w:sz="2" w:space="0" w:color="auto"/>
            </w:tcBorders>
          </w:tcPr>
          <w:p w14:paraId="61D17234" w14:textId="5C6EA828" w:rsidR="005F7F2E" w:rsidRPr="00AD586B" w:rsidRDefault="005F7F2E" w:rsidP="005F7F2E">
            <w:pPr>
              <w:pStyle w:val="TableReference"/>
              <w:tabs>
                <w:tab w:val="left" w:pos="3306"/>
              </w:tabs>
              <w:spacing w:before="40"/>
              <w:rPr>
                <w:color w:val="7030A0"/>
                <w:sz w:val="14"/>
              </w:rPr>
            </w:pPr>
            <w:r w:rsidRPr="00AD586B">
              <w:rPr>
                <w:rFonts w:cs="Calibri"/>
                <w:color w:val="7030A0"/>
                <w:sz w:val="14"/>
              </w:rPr>
              <w:t>AASB 116.77(a) &amp;(b)</w:t>
            </w:r>
          </w:p>
        </w:tc>
        <w:tc>
          <w:tcPr>
            <w:tcW w:w="4250" w:type="pct"/>
            <w:tcBorders>
              <w:top w:val="nil"/>
              <w:left w:val="single" w:sz="2" w:space="0" w:color="auto"/>
              <w:bottom w:val="nil"/>
              <w:right w:val="nil"/>
            </w:tcBorders>
            <w:vAlign w:val="bottom"/>
          </w:tcPr>
          <w:p w14:paraId="3B171254" w14:textId="6C65582C" w:rsidR="005F7F2E" w:rsidRPr="00AD586B" w:rsidRDefault="005F7F2E" w:rsidP="005F7F2E">
            <w:pPr>
              <w:spacing w:after="120"/>
              <w:jc w:val="both"/>
              <w:rPr>
                <w:rFonts w:cs="Calibri"/>
                <w:sz w:val="18"/>
                <w:szCs w:val="18"/>
              </w:rPr>
            </w:pPr>
            <w:r w:rsidRPr="00AD586B">
              <w:rPr>
                <w:rFonts w:cs="Calibri"/>
                <w:sz w:val="18"/>
                <w:szCs w:val="18"/>
              </w:rPr>
              <w:t>XYZ Valuers, an independent valuer, has performed all revaluations of the Agency’s property, plant and equipment assets.</w:t>
            </w:r>
            <w:r w:rsidR="00FA7C77">
              <w:rPr>
                <w:rFonts w:cs="Calibri"/>
                <w:sz w:val="18"/>
                <w:szCs w:val="18"/>
              </w:rPr>
              <w:t xml:space="preserve"> </w:t>
            </w:r>
            <w:r w:rsidRPr="00AD586B">
              <w:rPr>
                <w:rFonts w:cs="Calibri"/>
                <w:sz w:val="18"/>
                <w:szCs w:val="18"/>
              </w:rPr>
              <w:t>‘XYZ Valuers’ hold a recognised and relevant professional qualification and have recent experience in the location and category of the property, plant and equipment involved. The latest valuation of infrastructure assets was performed as at 30 June 2021.</w:t>
            </w:r>
            <w:r w:rsidR="00FA7C77">
              <w:rPr>
                <w:rFonts w:cs="Calibri"/>
                <w:sz w:val="18"/>
                <w:szCs w:val="18"/>
              </w:rPr>
              <w:t xml:space="preserve"> </w:t>
            </w:r>
            <w:r w:rsidRPr="00AD586B">
              <w:rPr>
                <w:rFonts w:cs="Calibri"/>
                <w:sz w:val="18"/>
                <w:szCs w:val="18"/>
              </w:rPr>
              <w:t xml:space="preserve">The latest valuation of land, buildings and community and heritage assets was performed as at 30 June 2022. </w:t>
            </w:r>
          </w:p>
        </w:tc>
      </w:tr>
      <w:tr w:rsidR="005F7F2E" w:rsidRPr="00B91A27" w14:paraId="58EDF208" w14:textId="77777777" w:rsidTr="005F5B4C">
        <w:trPr>
          <w:cantSplit/>
        </w:trPr>
        <w:tc>
          <w:tcPr>
            <w:tcW w:w="750" w:type="pct"/>
            <w:tcBorders>
              <w:top w:val="nil"/>
              <w:left w:val="single" w:sz="2" w:space="0" w:color="auto"/>
              <w:bottom w:val="nil"/>
              <w:right w:val="single" w:sz="2" w:space="0" w:color="auto"/>
            </w:tcBorders>
          </w:tcPr>
          <w:p w14:paraId="7F0A6A9A" w14:textId="77777777" w:rsidR="005F7F2E" w:rsidRPr="00AD586B" w:rsidRDefault="005F7F2E" w:rsidP="005F7F2E">
            <w:pPr>
              <w:pStyle w:val="TableReference"/>
              <w:tabs>
                <w:tab w:val="left" w:pos="3306"/>
              </w:tabs>
              <w:spacing w:before="40"/>
              <w:rPr>
                <w:color w:val="7030A0"/>
                <w:sz w:val="14"/>
              </w:rPr>
            </w:pPr>
          </w:p>
        </w:tc>
        <w:tc>
          <w:tcPr>
            <w:tcW w:w="4250" w:type="pct"/>
            <w:tcBorders>
              <w:top w:val="nil"/>
              <w:left w:val="single" w:sz="2" w:space="0" w:color="auto"/>
              <w:bottom w:val="nil"/>
              <w:right w:val="nil"/>
            </w:tcBorders>
            <w:vAlign w:val="bottom"/>
          </w:tcPr>
          <w:p w14:paraId="4DA89F23" w14:textId="2A51762B" w:rsidR="005F7F2E" w:rsidRPr="00AD586B" w:rsidRDefault="005F7F2E" w:rsidP="005F7F2E">
            <w:pPr>
              <w:jc w:val="both"/>
              <w:rPr>
                <w:sz w:val="18"/>
                <w:szCs w:val="18"/>
              </w:rPr>
            </w:pPr>
            <w:r w:rsidRPr="00AD586B">
              <w:rPr>
                <w:rFonts w:cs="Calibri"/>
                <w:sz w:val="18"/>
                <w:szCs w:val="18"/>
              </w:rPr>
              <w:t>The Agency has made a significant estimate regarding the fair value of its assets.</w:t>
            </w:r>
            <w:r w:rsidR="00FA7C77">
              <w:rPr>
                <w:rFonts w:cs="Calibri"/>
                <w:sz w:val="18"/>
                <w:szCs w:val="18"/>
              </w:rPr>
              <w:t xml:space="preserve"> </w:t>
            </w:r>
            <w:r w:rsidRPr="00AD586B">
              <w:rPr>
                <w:rFonts w:cs="Calibri"/>
                <w:sz w:val="18"/>
                <w:szCs w:val="18"/>
              </w:rPr>
              <w:t>Land and buildings have been recorded at the market value of similar properties as determined by an independent valuer.</w:t>
            </w:r>
            <w:r w:rsidR="00FA7C77">
              <w:rPr>
                <w:rFonts w:cs="Calibri"/>
                <w:sz w:val="18"/>
                <w:szCs w:val="18"/>
              </w:rPr>
              <w:t xml:space="preserve"> </w:t>
            </w:r>
            <w:r w:rsidRPr="00AD586B">
              <w:rPr>
                <w:rFonts w:cs="Calibri"/>
                <w:sz w:val="18"/>
                <w:szCs w:val="18"/>
              </w:rPr>
              <w:t>In some circumstances, buildings that are purpose built may in fact realise more or less in the market.</w:t>
            </w:r>
            <w:r w:rsidR="00FA7C77">
              <w:rPr>
                <w:rFonts w:cs="Calibri"/>
                <w:sz w:val="18"/>
                <w:szCs w:val="18"/>
              </w:rPr>
              <w:t xml:space="preserve"> </w:t>
            </w:r>
            <w:r w:rsidRPr="00AD586B">
              <w:rPr>
                <w:rFonts w:cs="Calibri"/>
                <w:sz w:val="18"/>
                <w:szCs w:val="18"/>
              </w:rPr>
              <w:t>Infrastructure assets and some community and heritage assets and service concession assets have been recorded at fair value based on current replacement cost as determined by an independent valuer.</w:t>
            </w:r>
            <w:r w:rsidR="00FA7C77">
              <w:rPr>
                <w:rFonts w:cs="Calibri"/>
                <w:sz w:val="18"/>
                <w:szCs w:val="18"/>
              </w:rPr>
              <w:t xml:space="preserve"> </w:t>
            </w:r>
            <w:r w:rsidRPr="00AD586B">
              <w:rPr>
                <w:rFonts w:cs="Calibri"/>
                <w:sz w:val="18"/>
                <w:szCs w:val="18"/>
              </w:rPr>
              <w:t>The valuation uses significant judgements and estimates to determine fair value, including the appropriate indexation figure and quantum of assets held.</w:t>
            </w:r>
            <w:r w:rsidR="00FA7C77">
              <w:rPr>
                <w:rFonts w:cs="Calibri"/>
                <w:sz w:val="18"/>
                <w:szCs w:val="18"/>
              </w:rPr>
              <w:t xml:space="preserve"> </w:t>
            </w:r>
            <w:r w:rsidRPr="00AD586B">
              <w:rPr>
                <w:rFonts w:cs="Calibri"/>
                <w:sz w:val="18"/>
                <w:szCs w:val="18"/>
              </w:rPr>
              <w:t>The fair value of assets is subject to management assessment between formal valuations.</w:t>
            </w:r>
          </w:p>
        </w:tc>
      </w:tr>
    </w:tbl>
    <w:p w14:paraId="52AAE29B" w14:textId="77777777" w:rsidR="00C85383" w:rsidRDefault="00C85383">
      <w:r>
        <w:br w:type="page"/>
      </w:r>
    </w:p>
    <w:tbl>
      <w:tblPr>
        <w:tblW w:w="513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4"/>
        <w:gridCol w:w="3532"/>
        <w:gridCol w:w="2696"/>
        <w:gridCol w:w="151"/>
        <w:gridCol w:w="1264"/>
        <w:gridCol w:w="1281"/>
      </w:tblGrid>
      <w:tr w:rsidR="00C85383" w:rsidRPr="00B91A27" w14:paraId="7135E196" w14:textId="77777777" w:rsidTr="005F5B4C">
        <w:trPr>
          <w:cantSplit/>
        </w:trPr>
        <w:tc>
          <w:tcPr>
            <w:tcW w:w="750" w:type="pct"/>
            <w:tcBorders>
              <w:top w:val="nil"/>
              <w:left w:val="single" w:sz="2" w:space="0" w:color="auto"/>
              <w:bottom w:val="nil"/>
              <w:right w:val="single" w:sz="2" w:space="0" w:color="auto"/>
            </w:tcBorders>
          </w:tcPr>
          <w:p w14:paraId="60C4F48D" w14:textId="77777777" w:rsidR="00C85383" w:rsidRPr="00AD586B" w:rsidRDefault="00C85383" w:rsidP="00DA5473">
            <w:pPr>
              <w:pStyle w:val="TableReference"/>
              <w:tabs>
                <w:tab w:val="left" w:pos="3306"/>
              </w:tabs>
              <w:spacing w:before="240" w:after="240"/>
              <w:rPr>
                <w:color w:val="7030A0"/>
              </w:rPr>
            </w:pPr>
            <w:r w:rsidRPr="00AD586B">
              <w:rPr>
                <w:rFonts w:cs="Calibri"/>
                <w:color w:val="7030A0"/>
              </w:rPr>
              <w:br w:type="page"/>
            </w:r>
            <w:r w:rsidRPr="00AD586B">
              <w:rPr>
                <w:rFonts w:cs="Calibri"/>
                <w:b/>
                <w:color w:val="7030A0"/>
                <w:sz w:val="22"/>
                <w:szCs w:val="22"/>
              </w:rPr>
              <w:t>Reference</w:t>
            </w:r>
          </w:p>
        </w:tc>
        <w:tc>
          <w:tcPr>
            <w:tcW w:w="4250" w:type="pct"/>
            <w:gridSpan w:val="5"/>
            <w:tcBorders>
              <w:top w:val="nil"/>
              <w:left w:val="single" w:sz="2" w:space="0" w:color="auto"/>
              <w:bottom w:val="nil"/>
              <w:right w:val="nil"/>
            </w:tcBorders>
          </w:tcPr>
          <w:p w14:paraId="7EE6A431" w14:textId="77777777" w:rsidR="00C85383" w:rsidRPr="00664759" w:rsidRDefault="00C85383" w:rsidP="00F22D61">
            <w:pPr>
              <w:spacing w:before="240" w:after="240"/>
              <w:rPr>
                <w:i/>
                <w:iCs/>
                <w:color w:val="538135" w:themeColor="accent6" w:themeShade="BF"/>
                <w:sz w:val="18"/>
                <w:szCs w:val="18"/>
              </w:rPr>
            </w:pPr>
            <w:r w:rsidRPr="00FB3AD2">
              <w:rPr>
                <w:rFonts w:ascii="Arial Bold" w:hAnsi="Arial Bold" w:cs="Arial"/>
                <w:b/>
                <w:caps/>
                <w:sz w:val="32"/>
                <w:szCs w:val="32"/>
              </w:rPr>
              <w:t>Note 19.</w:t>
            </w:r>
            <w:r>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 – Continued</w:t>
            </w:r>
          </w:p>
        </w:tc>
      </w:tr>
      <w:tr w:rsidR="005F7F2E" w:rsidRPr="00B91A27" w14:paraId="4781EC92" w14:textId="77777777" w:rsidTr="005F5B4C">
        <w:trPr>
          <w:cantSplit/>
        </w:trPr>
        <w:tc>
          <w:tcPr>
            <w:tcW w:w="750" w:type="pct"/>
            <w:tcBorders>
              <w:top w:val="nil"/>
              <w:left w:val="single" w:sz="2" w:space="0" w:color="auto"/>
              <w:bottom w:val="nil"/>
              <w:right w:val="single" w:sz="2" w:space="0" w:color="auto"/>
            </w:tcBorders>
          </w:tcPr>
          <w:p w14:paraId="4993BF47" w14:textId="434895E2" w:rsidR="005F7F2E" w:rsidRPr="00AD586B" w:rsidRDefault="005F7F2E" w:rsidP="005F7F2E">
            <w:pPr>
              <w:pStyle w:val="TableReference"/>
              <w:tabs>
                <w:tab w:val="left" w:pos="3306"/>
              </w:tabs>
              <w:spacing w:before="40"/>
              <w:rPr>
                <w:color w:val="7030A0"/>
                <w:sz w:val="14"/>
              </w:rPr>
            </w:pPr>
          </w:p>
        </w:tc>
        <w:tc>
          <w:tcPr>
            <w:tcW w:w="4250" w:type="pct"/>
            <w:gridSpan w:val="5"/>
            <w:tcBorders>
              <w:top w:val="nil"/>
              <w:left w:val="single" w:sz="2" w:space="0" w:color="auto"/>
              <w:bottom w:val="nil"/>
              <w:right w:val="nil"/>
            </w:tcBorders>
          </w:tcPr>
          <w:p w14:paraId="441DD505" w14:textId="4F93B7E0" w:rsidR="005F7F2E" w:rsidRPr="00AD586B" w:rsidRDefault="005F7F2E" w:rsidP="005F7F2E">
            <w:pPr>
              <w:spacing w:before="120"/>
              <w:jc w:val="both"/>
              <w:rPr>
                <w:i/>
                <w:iCs/>
                <w:sz w:val="18"/>
                <w:szCs w:val="18"/>
              </w:rPr>
            </w:pPr>
            <w:r w:rsidRPr="00AD586B">
              <w:rPr>
                <w:i/>
                <w:iCs/>
                <w:sz w:val="18"/>
                <w:szCs w:val="18"/>
              </w:rPr>
              <w:t>Revaluation</w:t>
            </w:r>
          </w:p>
        </w:tc>
      </w:tr>
      <w:tr w:rsidR="005F7F2E" w:rsidRPr="00B91A27" w14:paraId="1EEB0DE0" w14:textId="77777777" w:rsidTr="005F5B4C">
        <w:trPr>
          <w:cantSplit/>
        </w:trPr>
        <w:tc>
          <w:tcPr>
            <w:tcW w:w="750" w:type="pct"/>
            <w:tcBorders>
              <w:top w:val="nil"/>
              <w:left w:val="single" w:sz="2" w:space="0" w:color="auto"/>
              <w:bottom w:val="nil"/>
              <w:right w:val="single" w:sz="2" w:space="0" w:color="auto"/>
            </w:tcBorders>
          </w:tcPr>
          <w:p w14:paraId="0081B2AB" w14:textId="7ABDA531" w:rsidR="005F7F2E" w:rsidRPr="00AD586B" w:rsidRDefault="005F7F2E" w:rsidP="005F7F2E">
            <w:pPr>
              <w:pStyle w:val="TableReference"/>
              <w:tabs>
                <w:tab w:val="left" w:pos="3306"/>
              </w:tabs>
              <w:spacing w:before="40"/>
              <w:rPr>
                <w:color w:val="7030A0"/>
                <w:sz w:val="14"/>
              </w:rPr>
            </w:pPr>
            <w:r w:rsidRPr="00AD586B">
              <w:rPr>
                <w:color w:val="7030A0"/>
                <w:sz w:val="14"/>
              </w:rPr>
              <w:t>AASB 116.31 &amp; 34</w:t>
            </w:r>
          </w:p>
        </w:tc>
        <w:tc>
          <w:tcPr>
            <w:tcW w:w="4250" w:type="pct"/>
            <w:gridSpan w:val="5"/>
            <w:tcBorders>
              <w:top w:val="nil"/>
              <w:left w:val="single" w:sz="2" w:space="0" w:color="auto"/>
              <w:bottom w:val="nil"/>
              <w:right w:val="nil"/>
            </w:tcBorders>
          </w:tcPr>
          <w:p w14:paraId="0AB00CE3" w14:textId="32AB7F5A" w:rsidR="005F7F2E" w:rsidRPr="00AD586B" w:rsidRDefault="005F7F2E" w:rsidP="005F7F2E">
            <w:pPr>
              <w:pStyle w:val="Appxhead3"/>
              <w:spacing w:before="0" w:after="120"/>
              <w:jc w:val="both"/>
              <w:rPr>
                <w:rFonts w:ascii="Calibri" w:hAnsi="Calibri" w:cs="Times New Roman"/>
                <w:b w:val="0"/>
                <w:smallCaps w:val="0"/>
                <w:sz w:val="18"/>
                <w:szCs w:val="18"/>
              </w:rPr>
            </w:pPr>
            <w:r w:rsidRPr="00AD586B">
              <w:rPr>
                <w:rFonts w:ascii="Calibri" w:hAnsi="Calibri" w:cs="Times New Roman"/>
                <w:b w:val="0"/>
                <w:smallCaps w:val="0"/>
                <w:sz w:val="18"/>
                <w:szCs w:val="18"/>
              </w:rPr>
              <w:t xml:space="preserve">Land, buildings, infrastructure assets, leasehold improvements, and community and heritage assets are revalued every </w:t>
            </w:r>
            <w:r w:rsidR="006E7FE9">
              <w:rPr>
                <w:rFonts w:ascii="Calibri" w:hAnsi="Calibri" w:cs="Times New Roman"/>
                <w:b w:val="0"/>
                <w:smallCaps w:val="0"/>
                <w:sz w:val="18"/>
                <w:szCs w:val="18"/>
              </w:rPr>
              <w:t>three</w:t>
            </w:r>
            <w:r w:rsidRPr="00AD586B">
              <w:rPr>
                <w:rFonts w:ascii="Calibri" w:hAnsi="Calibri" w:cs="Times New Roman"/>
                <w:b w:val="0"/>
                <w:smallCaps w:val="0"/>
                <w:sz w:val="18"/>
                <w:szCs w:val="18"/>
              </w:rPr>
              <w:t xml:space="preserve"> years.</w:t>
            </w:r>
            <w:r w:rsidR="00FA7C77">
              <w:rPr>
                <w:rFonts w:ascii="Calibri" w:hAnsi="Calibri" w:cs="Times New Roman"/>
                <w:b w:val="0"/>
                <w:smallCaps w:val="0"/>
                <w:sz w:val="18"/>
                <w:szCs w:val="18"/>
              </w:rPr>
              <w:t xml:space="preserve"> </w:t>
            </w:r>
            <w:r w:rsidRPr="00AD586B">
              <w:rPr>
                <w:rFonts w:ascii="Calibri" w:hAnsi="Calibri" w:cs="Times New Roman"/>
                <w:b w:val="0"/>
                <w:smallCaps w:val="0"/>
                <w:sz w:val="18"/>
                <w:szCs w:val="18"/>
              </w:rPr>
              <w:t>This also includes all right-of-use assets and service concession assets within these asset classes.</w:t>
            </w:r>
            <w:r w:rsidR="00FA7C77">
              <w:rPr>
                <w:rFonts w:ascii="Calibri" w:hAnsi="Calibri" w:cs="Times New Roman"/>
                <w:b w:val="0"/>
                <w:smallCaps w:val="0"/>
                <w:sz w:val="18"/>
                <w:szCs w:val="18"/>
              </w:rPr>
              <w:t xml:space="preserve"> </w:t>
            </w:r>
            <w:r w:rsidRPr="00AD586B">
              <w:rPr>
                <w:rFonts w:ascii="Calibri" w:hAnsi="Calibri" w:cs="Times New Roman"/>
                <w:b w:val="0"/>
                <w:smallCaps w:val="0"/>
                <w:sz w:val="18"/>
                <w:szCs w:val="18"/>
              </w:rPr>
              <w:t>However, if at any time management considers that the carrying amount of an asset materially differs from its fair value, then the asset will be revalued regardless of when the last valuation took place.</w:t>
            </w:r>
            <w:r w:rsidR="00FA7C77">
              <w:rPr>
                <w:rFonts w:ascii="Calibri" w:hAnsi="Calibri" w:cs="Times New Roman"/>
                <w:b w:val="0"/>
                <w:smallCaps w:val="0"/>
                <w:sz w:val="18"/>
                <w:szCs w:val="18"/>
              </w:rPr>
              <w:t xml:space="preserve"> </w:t>
            </w:r>
            <w:r w:rsidRPr="00AD586B">
              <w:rPr>
                <w:rFonts w:ascii="Calibri" w:hAnsi="Calibri" w:cs="Times New Roman"/>
                <w:b w:val="0"/>
                <w:smallCaps w:val="0"/>
                <w:sz w:val="18"/>
                <w:szCs w:val="18"/>
              </w:rPr>
              <w:t>Any accumulated depreciation relating to buildings, leasehold improvements and community and heritage assets at the date of revaluation is written back against the gross carrying amount of the asset and the net amount is restated to the revalued amount of the asset.</w:t>
            </w:r>
            <w:r w:rsidR="00FA7C77">
              <w:rPr>
                <w:rFonts w:ascii="Calibri" w:hAnsi="Calibri" w:cs="Times New Roman"/>
                <w:b w:val="0"/>
                <w:smallCaps w:val="0"/>
                <w:sz w:val="18"/>
                <w:szCs w:val="18"/>
              </w:rPr>
              <w:t xml:space="preserve"> </w:t>
            </w:r>
          </w:p>
        </w:tc>
      </w:tr>
      <w:tr w:rsidR="005F7F2E" w:rsidRPr="00B91A27" w14:paraId="607DF27C" w14:textId="77777777" w:rsidTr="005F5B4C">
        <w:trPr>
          <w:cantSplit/>
        </w:trPr>
        <w:tc>
          <w:tcPr>
            <w:tcW w:w="750" w:type="pct"/>
            <w:tcBorders>
              <w:top w:val="nil"/>
              <w:left w:val="single" w:sz="2" w:space="0" w:color="auto"/>
              <w:bottom w:val="nil"/>
              <w:right w:val="single" w:sz="2" w:space="0" w:color="auto"/>
            </w:tcBorders>
          </w:tcPr>
          <w:p w14:paraId="293DEB5E" w14:textId="678BA806" w:rsidR="005F7F2E" w:rsidRPr="00AD586B" w:rsidRDefault="005F7F2E" w:rsidP="005F7F2E">
            <w:pPr>
              <w:pStyle w:val="TableReference"/>
              <w:tabs>
                <w:tab w:val="left" w:pos="3306"/>
              </w:tabs>
              <w:spacing w:before="40"/>
              <w:rPr>
                <w:color w:val="7030A0"/>
                <w:sz w:val="14"/>
              </w:rPr>
            </w:pPr>
            <w:r w:rsidRPr="00AD586B">
              <w:rPr>
                <w:color w:val="7030A0"/>
                <w:sz w:val="14"/>
              </w:rPr>
              <w:t>AASB 116.35(a)</w:t>
            </w:r>
          </w:p>
        </w:tc>
        <w:tc>
          <w:tcPr>
            <w:tcW w:w="4250" w:type="pct"/>
            <w:gridSpan w:val="5"/>
            <w:tcBorders>
              <w:top w:val="nil"/>
              <w:left w:val="single" w:sz="2" w:space="0" w:color="auto"/>
              <w:bottom w:val="nil"/>
              <w:right w:val="nil"/>
            </w:tcBorders>
          </w:tcPr>
          <w:p w14:paraId="477B4E76" w14:textId="1ABA04C7" w:rsidR="005F7F2E" w:rsidRPr="00AD586B" w:rsidRDefault="005F7F2E" w:rsidP="005F7F2E">
            <w:pPr>
              <w:jc w:val="both"/>
              <w:rPr>
                <w:sz w:val="18"/>
                <w:szCs w:val="18"/>
              </w:rPr>
            </w:pPr>
            <w:r w:rsidRPr="00AD586B">
              <w:rPr>
                <w:sz w:val="18"/>
                <w:szCs w:val="18"/>
              </w:rPr>
              <w:t>Any accumulated depreciation relating to infrastructure assets is restated proportionally with the change in the gross carrying amount so that the net carrying amount of those assets after revaluation equals its revalued amount.</w:t>
            </w:r>
          </w:p>
        </w:tc>
      </w:tr>
      <w:tr w:rsidR="005F7F2E" w:rsidRPr="00B91A27" w14:paraId="18CFAABB" w14:textId="77777777" w:rsidTr="005F5B4C">
        <w:trPr>
          <w:cantSplit/>
        </w:trPr>
        <w:tc>
          <w:tcPr>
            <w:tcW w:w="750" w:type="pct"/>
            <w:tcBorders>
              <w:top w:val="nil"/>
              <w:left w:val="single" w:sz="2" w:space="0" w:color="auto"/>
              <w:bottom w:val="nil"/>
              <w:right w:val="single" w:sz="2" w:space="0" w:color="auto"/>
            </w:tcBorders>
          </w:tcPr>
          <w:p w14:paraId="793EC520" w14:textId="77777777" w:rsidR="005F7F2E" w:rsidRPr="00AD586B" w:rsidRDefault="005F7F2E" w:rsidP="005F7F2E">
            <w:pPr>
              <w:pStyle w:val="TableReference"/>
              <w:tabs>
                <w:tab w:val="left" w:pos="3306"/>
              </w:tabs>
              <w:spacing w:before="120"/>
              <w:rPr>
                <w:color w:val="7030A0"/>
              </w:rPr>
            </w:pPr>
          </w:p>
        </w:tc>
        <w:tc>
          <w:tcPr>
            <w:tcW w:w="4250" w:type="pct"/>
            <w:gridSpan w:val="5"/>
            <w:tcBorders>
              <w:top w:val="nil"/>
              <w:left w:val="single" w:sz="2" w:space="0" w:color="auto"/>
              <w:bottom w:val="nil"/>
              <w:right w:val="nil"/>
            </w:tcBorders>
          </w:tcPr>
          <w:p w14:paraId="781D5841" w14:textId="16D25108" w:rsidR="005F7F2E" w:rsidRPr="00AD586B" w:rsidRDefault="005F7F2E" w:rsidP="005F7F2E">
            <w:pPr>
              <w:spacing w:before="180"/>
              <w:rPr>
                <w:i/>
                <w:iCs/>
                <w:sz w:val="18"/>
                <w:szCs w:val="18"/>
              </w:rPr>
            </w:pPr>
            <w:r w:rsidRPr="00AD586B">
              <w:rPr>
                <w:i/>
                <w:iCs/>
                <w:sz w:val="18"/>
                <w:szCs w:val="18"/>
              </w:rPr>
              <w:t>Impairment of Assets</w:t>
            </w:r>
          </w:p>
        </w:tc>
      </w:tr>
      <w:tr w:rsidR="005F7F2E" w:rsidRPr="00B91A27" w14:paraId="6ABFCD6B" w14:textId="77777777" w:rsidTr="005F5B4C">
        <w:trPr>
          <w:cantSplit/>
        </w:trPr>
        <w:tc>
          <w:tcPr>
            <w:tcW w:w="750" w:type="pct"/>
            <w:tcBorders>
              <w:top w:val="nil"/>
              <w:left w:val="single" w:sz="2" w:space="0" w:color="auto"/>
              <w:bottom w:val="nil"/>
              <w:right w:val="single" w:sz="2" w:space="0" w:color="auto"/>
            </w:tcBorders>
          </w:tcPr>
          <w:p w14:paraId="1878E365" w14:textId="32E7FBD1" w:rsidR="005F7F2E" w:rsidRPr="00AD586B" w:rsidRDefault="005F7F2E" w:rsidP="005F7F2E">
            <w:pPr>
              <w:pStyle w:val="TableReference"/>
              <w:tabs>
                <w:tab w:val="left" w:pos="3306"/>
              </w:tabs>
              <w:spacing w:before="40"/>
              <w:rPr>
                <w:color w:val="7030A0"/>
                <w:sz w:val="14"/>
              </w:rPr>
            </w:pPr>
            <w:r w:rsidRPr="00AD586B">
              <w:rPr>
                <w:color w:val="7030A0"/>
                <w:sz w:val="14"/>
              </w:rPr>
              <w:t>AASB 136.9 &amp; 10</w:t>
            </w:r>
          </w:p>
        </w:tc>
        <w:tc>
          <w:tcPr>
            <w:tcW w:w="4250" w:type="pct"/>
            <w:gridSpan w:val="5"/>
            <w:tcBorders>
              <w:top w:val="nil"/>
              <w:left w:val="single" w:sz="2" w:space="0" w:color="auto"/>
              <w:bottom w:val="nil"/>
              <w:right w:val="nil"/>
            </w:tcBorders>
          </w:tcPr>
          <w:p w14:paraId="70B855C8" w14:textId="4B4E80BB" w:rsidR="005F7F2E" w:rsidRPr="00AD586B" w:rsidRDefault="005F7F2E" w:rsidP="005F7F2E">
            <w:pPr>
              <w:spacing w:after="120"/>
              <w:jc w:val="both"/>
              <w:rPr>
                <w:rFonts w:cs="Calibri"/>
                <w:sz w:val="18"/>
                <w:szCs w:val="18"/>
              </w:rPr>
            </w:pPr>
            <w:r w:rsidRPr="00AD586B">
              <w:rPr>
                <w:rFonts w:cs="Calibri"/>
                <w:sz w:val="18"/>
                <w:szCs w:val="18"/>
              </w:rPr>
              <w:t>The Agency assesses, at each reporting date, whether there is any indication that property, plant and equipment may be impaired.</w:t>
            </w:r>
            <w:r w:rsidR="00FA7C77">
              <w:rPr>
                <w:rFonts w:cs="Calibri"/>
                <w:sz w:val="18"/>
                <w:szCs w:val="18"/>
              </w:rPr>
              <w:t xml:space="preserve"> </w:t>
            </w:r>
            <w:r w:rsidR="006E7FE9">
              <w:rPr>
                <w:rFonts w:cs="Calibri"/>
                <w:sz w:val="18"/>
                <w:szCs w:val="18"/>
              </w:rPr>
              <w:t>Property, Plant and Equipment</w:t>
            </w:r>
            <w:r w:rsidRPr="00AD586B">
              <w:rPr>
                <w:rFonts w:cs="Calibri"/>
                <w:sz w:val="18"/>
                <w:szCs w:val="18"/>
              </w:rPr>
              <w:t xml:space="preserve"> is also reviewed for impairment whenever events or changes in circumstances indicate that the carrying amount may not be recoverable.</w:t>
            </w:r>
            <w:r w:rsidR="00FA7C77">
              <w:rPr>
                <w:rFonts w:cs="Calibri"/>
                <w:sz w:val="18"/>
                <w:szCs w:val="18"/>
              </w:rPr>
              <w:t xml:space="preserve"> </w:t>
            </w:r>
          </w:p>
        </w:tc>
      </w:tr>
      <w:tr w:rsidR="005F7F2E" w:rsidRPr="00B91A27" w14:paraId="02CC4BF0" w14:textId="77777777" w:rsidTr="005F5B4C">
        <w:trPr>
          <w:cantSplit/>
        </w:trPr>
        <w:tc>
          <w:tcPr>
            <w:tcW w:w="750" w:type="pct"/>
            <w:tcBorders>
              <w:top w:val="nil"/>
              <w:left w:val="single" w:sz="2" w:space="0" w:color="auto"/>
              <w:bottom w:val="nil"/>
              <w:right w:val="single" w:sz="2" w:space="0" w:color="auto"/>
            </w:tcBorders>
          </w:tcPr>
          <w:p w14:paraId="743B5482" w14:textId="2AB6A6DC" w:rsidR="005F7F2E" w:rsidRPr="00AD586B" w:rsidRDefault="005F7F2E" w:rsidP="005F7F2E">
            <w:pPr>
              <w:pStyle w:val="TableReference"/>
              <w:tabs>
                <w:tab w:val="left" w:pos="3306"/>
              </w:tabs>
              <w:spacing w:before="40"/>
              <w:rPr>
                <w:color w:val="7030A0"/>
                <w:sz w:val="14"/>
              </w:rPr>
            </w:pPr>
            <w:r w:rsidRPr="00AD586B">
              <w:rPr>
                <w:color w:val="7030A0"/>
                <w:sz w:val="14"/>
              </w:rPr>
              <w:t>AASB 136.9, 59 &amp; 60</w:t>
            </w:r>
          </w:p>
        </w:tc>
        <w:tc>
          <w:tcPr>
            <w:tcW w:w="4250" w:type="pct"/>
            <w:gridSpan w:val="5"/>
            <w:tcBorders>
              <w:top w:val="nil"/>
              <w:left w:val="single" w:sz="2" w:space="0" w:color="auto"/>
              <w:bottom w:val="nil"/>
              <w:right w:val="nil"/>
            </w:tcBorders>
          </w:tcPr>
          <w:p w14:paraId="2325F8F3" w14:textId="2167E7C6" w:rsidR="005F7F2E" w:rsidRPr="00AD586B" w:rsidRDefault="005F7F2E" w:rsidP="005F7F2E">
            <w:pPr>
              <w:spacing w:after="120"/>
              <w:jc w:val="both"/>
              <w:rPr>
                <w:sz w:val="18"/>
                <w:szCs w:val="18"/>
              </w:rPr>
            </w:pPr>
            <w:r w:rsidRPr="00AD586B">
              <w:rPr>
                <w:sz w:val="18"/>
                <w:szCs w:val="18"/>
              </w:rPr>
              <w:t>Any resulting impairment losses, for land, buildings, infrastructure, and community and heritage assets, are recognised as a decrease in the Asset Revaluation Surplus relating to these classes of assets.</w:t>
            </w:r>
            <w:r w:rsidR="00FA7C77">
              <w:rPr>
                <w:sz w:val="18"/>
                <w:szCs w:val="18"/>
              </w:rPr>
              <w:t xml:space="preserve"> </w:t>
            </w:r>
            <w:r w:rsidRPr="00AD586B">
              <w:rPr>
                <w:sz w:val="18"/>
                <w:szCs w:val="18"/>
              </w:rPr>
              <w:t>This is because these asset classes are measured at fair value and have an Asset Revaluation Surplus attached to them. Where the impairment loss is greater than the balance in the Asset Revaluation Surplus for the relevant class of asset, the difference is expensed in the Operating Statement.</w:t>
            </w:r>
          </w:p>
        </w:tc>
      </w:tr>
      <w:tr w:rsidR="005F7F2E" w:rsidRPr="00B91A27" w14:paraId="5726A898" w14:textId="77777777" w:rsidTr="005F5B4C">
        <w:trPr>
          <w:cantSplit/>
        </w:trPr>
        <w:tc>
          <w:tcPr>
            <w:tcW w:w="750" w:type="pct"/>
            <w:tcBorders>
              <w:top w:val="nil"/>
              <w:left w:val="single" w:sz="2" w:space="0" w:color="auto"/>
              <w:bottom w:val="nil"/>
              <w:right w:val="single" w:sz="2" w:space="0" w:color="auto"/>
            </w:tcBorders>
          </w:tcPr>
          <w:p w14:paraId="4FB6FBB4" w14:textId="77777777" w:rsidR="005F7F2E" w:rsidRPr="00AD586B" w:rsidRDefault="005F7F2E" w:rsidP="005F7F2E">
            <w:pPr>
              <w:pStyle w:val="TableReference"/>
              <w:tabs>
                <w:tab w:val="left" w:pos="3306"/>
              </w:tabs>
              <w:spacing w:before="40"/>
              <w:rPr>
                <w:color w:val="7030A0"/>
              </w:rPr>
            </w:pPr>
          </w:p>
        </w:tc>
        <w:tc>
          <w:tcPr>
            <w:tcW w:w="4250" w:type="pct"/>
            <w:gridSpan w:val="5"/>
            <w:tcBorders>
              <w:top w:val="nil"/>
              <w:left w:val="single" w:sz="2" w:space="0" w:color="auto"/>
              <w:bottom w:val="nil"/>
              <w:right w:val="nil"/>
            </w:tcBorders>
          </w:tcPr>
          <w:p w14:paraId="3D8C3D3D" w14:textId="64BA0287" w:rsidR="005F7F2E" w:rsidRPr="00AD586B" w:rsidRDefault="005F7F2E" w:rsidP="005F7F2E">
            <w:pPr>
              <w:spacing w:after="120"/>
              <w:jc w:val="both"/>
              <w:rPr>
                <w:sz w:val="18"/>
                <w:szCs w:val="18"/>
              </w:rPr>
            </w:pPr>
            <w:r w:rsidRPr="00AD586B">
              <w:rPr>
                <w:sz w:val="18"/>
                <w:szCs w:val="18"/>
              </w:rPr>
              <w:t xml:space="preserve">Impairment losses for plant and equipment, and leasehold improvements are recognised in the Operating Statement (see Note 14 </w:t>
            </w:r>
            <w:r w:rsidRPr="006E7FE9">
              <w:rPr>
                <w:i/>
                <w:iCs/>
                <w:sz w:val="18"/>
                <w:szCs w:val="18"/>
              </w:rPr>
              <w:t>Other Expenses</w:t>
            </w:r>
            <w:r w:rsidRPr="00AD586B">
              <w:rPr>
                <w:sz w:val="18"/>
                <w:szCs w:val="18"/>
              </w:rPr>
              <w:t xml:space="preserve">), as plant and equipment is carried at cost, and leasehold improvements are carried at fair value but do not have an Asset Revaluation Surplus attached to them. The carrying amount of the asset is reduced to its recoverable amount. </w:t>
            </w:r>
          </w:p>
          <w:p w14:paraId="39E31197" w14:textId="61A15FEC" w:rsidR="005F7F2E" w:rsidRPr="00AD586B" w:rsidRDefault="005F7F2E" w:rsidP="005F7F2E">
            <w:pPr>
              <w:jc w:val="both"/>
              <w:rPr>
                <w:rFonts w:cs="Calibri"/>
                <w:sz w:val="18"/>
                <w:szCs w:val="18"/>
              </w:rPr>
            </w:pPr>
            <w:r w:rsidRPr="00AD586B">
              <w:rPr>
                <w:rFonts w:cs="Calibri"/>
                <w:sz w:val="18"/>
                <w:szCs w:val="18"/>
              </w:rPr>
              <w:t>Non-financial assets that have previously been impaired are reviewed for possible reversal of impairment at each reporting date.</w:t>
            </w:r>
          </w:p>
        </w:tc>
      </w:tr>
      <w:tr w:rsidR="00261E77" w:rsidRPr="00B91A27" w14:paraId="7365FB9B" w14:textId="77777777" w:rsidTr="005F5B4C">
        <w:trPr>
          <w:cantSplit/>
        </w:trPr>
        <w:tc>
          <w:tcPr>
            <w:tcW w:w="750" w:type="pct"/>
            <w:tcBorders>
              <w:top w:val="nil"/>
              <w:left w:val="single" w:sz="2" w:space="0" w:color="auto"/>
              <w:bottom w:val="nil"/>
              <w:right w:val="single" w:sz="2" w:space="0" w:color="auto"/>
            </w:tcBorders>
          </w:tcPr>
          <w:p w14:paraId="3CA41BA5" w14:textId="77777777" w:rsidR="00261E77" w:rsidRPr="00AD586B" w:rsidRDefault="00261E77" w:rsidP="005F7F2E">
            <w:pPr>
              <w:pStyle w:val="TableReference"/>
              <w:tabs>
                <w:tab w:val="left" w:pos="3306"/>
              </w:tabs>
              <w:spacing w:before="40"/>
              <w:rPr>
                <w:color w:val="7030A0"/>
              </w:rPr>
            </w:pPr>
          </w:p>
        </w:tc>
        <w:tc>
          <w:tcPr>
            <w:tcW w:w="4250" w:type="pct"/>
            <w:gridSpan w:val="5"/>
            <w:tcBorders>
              <w:top w:val="nil"/>
              <w:left w:val="single" w:sz="2" w:space="0" w:color="auto"/>
              <w:bottom w:val="nil"/>
              <w:right w:val="nil"/>
            </w:tcBorders>
          </w:tcPr>
          <w:p w14:paraId="7EC5554A" w14:textId="77777777" w:rsidR="00261E77" w:rsidRPr="00664759" w:rsidRDefault="00261E77" w:rsidP="005F7F2E">
            <w:pPr>
              <w:spacing w:before="120"/>
              <w:jc w:val="both"/>
              <w:rPr>
                <w:i/>
                <w:iCs/>
                <w:color w:val="538135" w:themeColor="accent6" w:themeShade="BF"/>
                <w:sz w:val="18"/>
                <w:szCs w:val="18"/>
              </w:rPr>
            </w:pPr>
          </w:p>
        </w:tc>
      </w:tr>
      <w:tr w:rsidR="00261E77" w:rsidRPr="00B91A27" w14:paraId="7C9E1C6F" w14:textId="77777777" w:rsidTr="005F5B4C">
        <w:trPr>
          <w:cantSplit/>
        </w:trPr>
        <w:tc>
          <w:tcPr>
            <w:tcW w:w="750" w:type="pct"/>
            <w:tcBorders>
              <w:top w:val="nil"/>
              <w:left w:val="single" w:sz="2" w:space="0" w:color="auto"/>
              <w:bottom w:val="nil"/>
              <w:right w:val="single" w:sz="2" w:space="0" w:color="auto"/>
            </w:tcBorders>
          </w:tcPr>
          <w:p w14:paraId="029418F1" w14:textId="77777777" w:rsidR="00261E77" w:rsidRPr="00AD586B" w:rsidRDefault="00261E77" w:rsidP="00261E77">
            <w:pPr>
              <w:pStyle w:val="TableReference"/>
              <w:tabs>
                <w:tab w:val="left" w:pos="3306"/>
              </w:tabs>
              <w:spacing w:before="40"/>
              <w:rPr>
                <w:color w:val="7030A0"/>
              </w:rPr>
            </w:pPr>
          </w:p>
        </w:tc>
        <w:tc>
          <w:tcPr>
            <w:tcW w:w="4250" w:type="pct"/>
            <w:gridSpan w:val="5"/>
            <w:tcBorders>
              <w:top w:val="nil"/>
              <w:left w:val="single" w:sz="2" w:space="0" w:color="auto"/>
              <w:bottom w:val="nil"/>
              <w:right w:val="nil"/>
            </w:tcBorders>
          </w:tcPr>
          <w:p w14:paraId="068D7A6B" w14:textId="3FDE48D1" w:rsidR="00261E77" w:rsidRPr="00AD586B" w:rsidRDefault="00261E77" w:rsidP="00261E77">
            <w:pPr>
              <w:spacing w:before="120"/>
              <w:jc w:val="both"/>
              <w:rPr>
                <w:i/>
                <w:iCs/>
                <w:sz w:val="18"/>
                <w:szCs w:val="18"/>
              </w:rPr>
            </w:pPr>
            <w:r w:rsidRPr="00AD586B">
              <w:rPr>
                <w:i/>
                <w:iCs/>
                <w:sz w:val="18"/>
                <w:szCs w:val="18"/>
              </w:rPr>
              <w:t>Depreciation and Useful Life</w:t>
            </w:r>
          </w:p>
        </w:tc>
      </w:tr>
      <w:tr w:rsidR="00261E77" w:rsidRPr="00C40298" w14:paraId="10B002DA" w14:textId="77777777" w:rsidTr="005F5B4C">
        <w:trPr>
          <w:cantSplit/>
          <w:trHeight w:val="23"/>
        </w:trPr>
        <w:tc>
          <w:tcPr>
            <w:tcW w:w="750" w:type="pct"/>
            <w:tcBorders>
              <w:top w:val="nil"/>
              <w:left w:val="single" w:sz="2" w:space="0" w:color="auto"/>
              <w:bottom w:val="nil"/>
              <w:right w:val="single" w:sz="2" w:space="0" w:color="auto"/>
            </w:tcBorders>
          </w:tcPr>
          <w:p w14:paraId="05618671" w14:textId="03134C3C" w:rsidR="00261E77" w:rsidRPr="00AD586B" w:rsidRDefault="00261E77" w:rsidP="00261E77">
            <w:pPr>
              <w:pStyle w:val="Reference"/>
              <w:spacing w:before="80"/>
              <w:rPr>
                <w:color w:val="7030A0"/>
                <w:sz w:val="14"/>
                <w:szCs w:val="14"/>
              </w:rPr>
            </w:pPr>
            <w:r w:rsidRPr="00AD586B">
              <w:rPr>
                <w:rFonts w:cs="Calibri"/>
                <w:color w:val="7030A0"/>
                <w:sz w:val="14"/>
              </w:rPr>
              <w:t>AASB 116.6</w:t>
            </w:r>
          </w:p>
        </w:tc>
        <w:tc>
          <w:tcPr>
            <w:tcW w:w="4250" w:type="pct"/>
            <w:gridSpan w:val="5"/>
            <w:tcBorders>
              <w:top w:val="nil"/>
              <w:left w:val="single" w:sz="2" w:space="0" w:color="auto"/>
              <w:bottom w:val="nil"/>
              <w:right w:val="nil"/>
            </w:tcBorders>
          </w:tcPr>
          <w:p w14:paraId="096F5F84" w14:textId="166048EE" w:rsidR="00261E77" w:rsidRPr="00AD586B" w:rsidRDefault="00261E77" w:rsidP="00AD586B">
            <w:pPr>
              <w:spacing w:before="60"/>
              <w:jc w:val="both"/>
              <w:rPr>
                <w:sz w:val="18"/>
                <w:szCs w:val="18"/>
              </w:rPr>
            </w:pPr>
            <w:r w:rsidRPr="00AD586B">
              <w:rPr>
                <w:sz w:val="18"/>
                <w:szCs w:val="18"/>
              </w:rPr>
              <w:t xml:space="preserve">Depreciation is the systematic allocation of the cost of an asset less its residual value over its useful life. </w:t>
            </w:r>
          </w:p>
        </w:tc>
      </w:tr>
      <w:tr w:rsidR="00261E77" w:rsidRPr="00C40298" w14:paraId="621A3421" w14:textId="77777777" w:rsidTr="005F5B4C">
        <w:trPr>
          <w:cantSplit/>
          <w:trHeight w:val="23"/>
        </w:trPr>
        <w:tc>
          <w:tcPr>
            <w:tcW w:w="750" w:type="pct"/>
            <w:tcBorders>
              <w:top w:val="nil"/>
              <w:left w:val="single" w:sz="2" w:space="0" w:color="auto"/>
              <w:bottom w:val="nil"/>
              <w:right w:val="single" w:sz="2" w:space="0" w:color="auto"/>
            </w:tcBorders>
          </w:tcPr>
          <w:p w14:paraId="46986E9C" w14:textId="77777777" w:rsidR="00261E77" w:rsidRPr="00AD586B" w:rsidRDefault="00261E77" w:rsidP="00261E77">
            <w:pPr>
              <w:pStyle w:val="Reference"/>
              <w:spacing w:before="80"/>
              <w:rPr>
                <w:rFonts w:cs="Calibri"/>
                <w:color w:val="7030A0"/>
                <w:sz w:val="14"/>
                <w:szCs w:val="14"/>
              </w:rPr>
            </w:pPr>
            <w:r w:rsidRPr="00AD586B">
              <w:rPr>
                <w:color w:val="7030A0"/>
                <w:sz w:val="14"/>
                <w:szCs w:val="14"/>
              </w:rPr>
              <w:t>AASB 116.43 &amp; 50</w:t>
            </w:r>
          </w:p>
        </w:tc>
        <w:tc>
          <w:tcPr>
            <w:tcW w:w="4250" w:type="pct"/>
            <w:gridSpan w:val="5"/>
            <w:tcBorders>
              <w:top w:val="nil"/>
              <w:left w:val="single" w:sz="2" w:space="0" w:color="auto"/>
              <w:bottom w:val="nil"/>
              <w:right w:val="nil"/>
            </w:tcBorders>
          </w:tcPr>
          <w:p w14:paraId="60D83947" w14:textId="54793558" w:rsidR="00261E77" w:rsidRPr="00AD586B" w:rsidRDefault="00261E77" w:rsidP="00AD586B">
            <w:pPr>
              <w:spacing w:before="120" w:after="120"/>
              <w:jc w:val="both"/>
              <w:rPr>
                <w:sz w:val="18"/>
                <w:szCs w:val="18"/>
              </w:rPr>
            </w:pPr>
            <w:r w:rsidRPr="00AD586B">
              <w:rPr>
                <w:sz w:val="18"/>
                <w:szCs w:val="18"/>
              </w:rPr>
              <w:t>Depreciation is applied to physical assets such as buildings, infrastructure assets, and plant and equipment.</w:t>
            </w:r>
            <w:r w:rsidR="00FA7C77">
              <w:rPr>
                <w:sz w:val="18"/>
                <w:szCs w:val="18"/>
              </w:rPr>
              <w:t xml:space="preserve"> </w:t>
            </w:r>
          </w:p>
        </w:tc>
      </w:tr>
      <w:tr w:rsidR="00261E77" w:rsidRPr="00C40298" w14:paraId="4DBB0CD2" w14:textId="77777777" w:rsidTr="005F5B4C">
        <w:trPr>
          <w:cantSplit/>
          <w:trHeight w:val="23"/>
        </w:trPr>
        <w:tc>
          <w:tcPr>
            <w:tcW w:w="750" w:type="pct"/>
            <w:tcBorders>
              <w:top w:val="nil"/>
              <w:left w:val="single" w:sz="2" w:space="0" w:color="auto"/>
              <w:bottom w:val="nil"/>
              <w:right w:val="single" w:sz="2" w:space="0" w:color="auto"/>
            </w:tcBorders>
          </w:tcPr>
          <w:p w14:paraId="224EBFF0" w14:textId="77777777" w:rsidR="00261E77" w:rsidRPr="00AD586B" w:rsidRDefault="00261E77" w:rsidP="00261E77">
            <w:pPr>
              <w:pStyle w:val="Reference"/>
              <w:rPr>
                <w:rFonts w:cs="Calibri"/>
                <w:color w:val="7030A0"/>
                <w:sz w:val="14"/>
                <w:szCs w:val="14"/>
              </w:rPr>
            </w:pPr>
          </w:p>
        </w:tc>
        <w:tc>
          <w:tcPr>
            <w:tcW w:w="4250" w:type="pct"/>
            <w:gridSpan w:val="5"/>
            <w:tcBorders>
              <w:top w:val="nil"/>
              <w:left w:val="single" w:sz="2" w:space="0" w:color="auto"/>
              <w:bottom w:val="nil"/>
              <w:right w:val="nil"/>
            </w:tcBorders>
            <w:vAlign w:val="bottom"/>
          </w:tcPr>
          <w:p w14:paraId="42262DE2" w14:textId="77777777" w:rsidR="00261E77" w:rsidRPr="00AD586B" w:rsidRDefault="00261E77" w:rsidP="00AD586B">
            <w:pPr>
              <w:spacing w:after="120"/>
              <w:jc w:val="both"/>
              <w:rPr>
                <w:sz w:val="18"/>
                <w:szCs w:val="18"/>
              </w:rPr>
            </w:pPr>
            <w:r w:rsidRPr="00AD586B">
              <w:rPr>
                <w:sz w:val="18"/>
                <w:szCs w:val="18"/>
              </w:rPr>
              <w:t>Land, and some community and heritage assets have an unlimited useful life and are therefore not depreciated.</w:t>
            </w:r>
          </w:p>
        </w:tc>
      </w:tr>
      <w:tr w:rsidR="00261E77" w:rsidRPr="00C40298" w14:paraId="0D4E9D29" w14:textId="77777777" w:rsidTr="005F5B4C">
        <w:trPr>
          <w:cantSplit/>
          <w:trHeight w:val="23"/>
        </w:trPr>
        <w:tc>
          <w:tcPr>
            <w:tcW w:w="750" w:type="pct"/>
            <w:tcBorders>
              <w:top w:val="nil"/>
              <w:left w:val="single" w:sz="2" w:space="0" w:color="auto"/>
              <w:bottom w:val="nil"/>
              <w:right w:val="single" w:sz="2" w:space="0" w:color="auto"/>
            </w:tcBorders>
          </w:tcPr>
          <w:p w14:paraId="1BE7A657" w14:textId="77777777" w:rsidR="00261E77" w:rsidRPr="00AD586B" w:rsidRDefault="00261E77" w:rsidP="00261E77">
            <w:pPr>
              <w:pStyle w:val="Reference"/>
              <w:rPr>
                <w:rFonts w:cs="Calibri"/>
                <w:color w:val="7030A0"/>
                <w:sz w:val="14"/>
                <w:szCs w:val="14"/>
              </w:rPr>
            </w:pPr>
          </w:p>
        </w:tc>
        <w:tc>
          <w:tcPr>
            <w:tcW w:w="4250" w:type="pct"/>
            <w:gridSpan w:val="5"/>
            <w:tcBorders>
              <w:top w:val="nil"/>
              <w:left w:val="single" w:sz="2" w:space="0" w:color="auto"/>
              <w:bottom w:val="nil"/>
              <w:right w:val="nil"/>
            </w:tcBorders>
            <w:vAlign w:val="bottom"/>
          </w:tcPr>
          <w:p w14:paraId="20E5071D" w14:textId="7CA19E0C" w:rsidR="00261E77" w:rsidRPr="00AD586B" w:rsidRDefault="00261E77" w:rsidP="00AD586B">
            <w:pPr>
              <w:spacing w:after="120"/>
              <w:jc w:val="both"/>
              <w:rPr>
                <w:sz w:val="18"/>
                <w:szCs w:val="18"/>
              </w:rPr>
            </w:pPr>
            <w:r w:rsidRPr="00AD586B">
              <w:rPr>
                <w:sz w:val="18"/>
                <w:szCs w:val="18"/>
              </w:rPr>
              <w:t>Right-of-use buildings, leasehold improvements, plant and equipment, and infrastructure assets are depreciated over the estimated useful life of each asset, or the unexpired period of the relevant lease, whichever is shorter.</w:t>
            </w:r>
          </w:p>
        </w:tc>
      </w:tr>
      <w:tr w:rsidR="00261E77" w:rsidRPr="00C40298" w14:paraId="289B374A" w14:textId="77777777" w:rsidTr="005F5B4C">
        <w:trPr>
          <w:cantSplit/>
          <w:trHeight w:val="23"/>
        </w:trPr>
        <w:tc>
          <w:tcPr>
            <w:tcW w:w="750" w:type="pct"/>
            <w:tcBorders>
              <w:top w:val="nil"/>
              <w:left w:val="single" w:sz="2" w:space="0" w:color="auto"/>
              <w:bottom w:val="nil"/>
              <w:right w:val="single" w:sz="2" w:space="0" w:color="auto"/>
            </w:tcBorders>
          </w:tcPr>
          <w:p w14:paraId="1BEFD529" w14:textId="77777777" w:rsidR="00261E77" w:rsidRPr="00AD586B" w:rsidRDefault="00261E77" w:rsidP="00261E77">
            <w:pPr>
              <w:pStyle w:val="Reference"/>
              <w:spacing w:before="40"/>
              <w:rPr>
                <w:color w:val="7030A0"/>
                <w:sz w:val="14"/>
                <w:szCs w:val="14"/>
              </w:rPr>
            </w:pPr>
            <w:r w:rsidRPr="00AD586B">
              <w:rPr>
                <w:color w:val="7030A0"/>
                <w:sz w:val="14"/>
                <w:szCs w:val="14"/>
              </w:rPr>
              <w:t>AASB 116.53</w:t>
            </w:r>
          </w:p>
        </w:tc>
        <w:tc>
          <w:tcPr>
            <w:tcW w:w="4250" w:type="pct"/>
            <w:gridSpan w:val="5"/>
            <w:tcBorders>
              <w:top w:val="nil"/>
              <w:left w:val="single" w:sz="2" w:space="0" w:color="auto"/>
              <w:bottom w:val="nil"/>
              <w:right w:val="nil"/>
            </w:tcBorders>
            <w:vAlign w:val="bottom"/>
          </w:tcPr>
          <w:p w14:paraId="5AD14043" w14:textId="77777777" w:rsidR="00261E77" w:rsidRPr="00AD586B" w:rsidRDefault="00261E77" w:rsidP="00AD586B">
            <w:pPr>
              <w:spacing w:after="120"/>
              <w:jc w:val="both"/>
              <w:rPr>
                <w:sz w:val="18"/>
                <w:szCs w:val="18"/>
              </w:rPr>
            </w:pPr>
            <w:r w:rsidRPr="00AD586B">
              <w:rPr>
                <w:sz w:val="18"/>
                <w:szCs w:val="18"/>
              </w:rPr>
              <w:t>All depreciation is calculated after first deducting any residual values, which remain for each asset.</w:t>
            </w:r>
          </w:p>
        </w:tc>
      </w:tr>
      <w:tr w:rsidR="00261E77" w:rsidRPr="00996A29" w14:paraId="1866C435" w14:textId="77777777" w:rsidTr="005F5B4C">
        <w:trPr>
          <w:cantSplit/>
          <w:trHeight w:val="23"/>
        </w:trPr>
        <w:tc>
          <w:tcPr>
            <w:tcW w:w="750" w:type="pct"/>
            <w:tcBorders>
              <w:top w:val="nil"/>
              <w:left w:val="single" w:sz="2" w:space="0" w:color="auto"/>
              <w:bottom w:val="nil"/>
              <w:right w:val="single" w:sz="2" w:space="0" w:color="auto"/>
            </w:tcBorders>
          </w:tcPr>
          <w:p w14:paraId="65A4C967" w14:textId="77777777" w:rsidR="00261E77" w:rsidRPr="00AD586B" w:rsidRDefault="00261E77" w:rsidP="00261E77">
            <w:pPr>
              <w:pStyle w:val="Reference"/>
              <w:rPr>
                <w:rFonts w:cs="Calibri"/>
                <w:color w:val="7030A0"/>
                <w:sz w:val="14"/>
                <w:szCs w:val="14"/>
              </w:rPr>
            </w:pPr>
          </w:p>
        </w:tc>
        <w:tc>
          <w:tcPr>
            <w:tcW w:w="4250" w:type="pct"/>
            <w:gridSpan w:val="5"/>
            <w:tcBorders>
              <w:top w:val="nil"/>
              <w:left w:val="single" w:sz="2" w:space="0" w:color="auto"/>
              <w:bottom w:val="nil"/>
              <w:right w:val="nil"/>
            </w:tcBorders>
            <w:vAlign w:val="bottom"/>
          </w:tcPr>
          <w:p w14:paraId="7DCF651B" w14:textId="5BFBCADA" w:rsidR="00261E77" w:rsidRPr="00AD586B" w:rsidRDefault="00261E77" w:rsidP="00261E77">
            <w:pPr>
              <w:spacing w:after="60"/>
              <w:jc w:val="both"/>
              <w:rPr>
                <w:sz w:val="18"/>
                <w:szCs w:val="18"/>
              </w:rPr>
            </w:pPr>
            <w:r w:rsidRPr="00AD586B">
              <w:rPr>
                <w:sz w:val="18"/>
                <w:szCs w:val="18"/>
              </w:rPr>
              <w:t>Depreciation for non-current assets is determined as follows:</w:t>
            </w:r>
          </w:p>
        </w:tc>
      </w:tr>
      <w:tr w:rsidR="00261E77" w:rsidRPr="00C40298" w14:paraId="4F4B132B" w14:textId="77777777" w:rsidTr="005F5B4C">
        <w:trPr>
          <w:cantSplit/>
          <w:trHeight w:val="204"/>
        </w:trPr>
        <w:tc>
          <w:tcPr>
            <w:tcW w:w="750" w:type="pct"/>
            <w:tcBorders>
              <w:top w:val="nil"/>
              <w:left w:val="single" w:sz="2" w:space="0" w:color="auto"/>
              <w:bottom w:val="nil"/>
              <w:right w:val="single" w:sz="2" w:space="0" w:color="auto"/>
            </w:tcBorders>
          </w:tcPr>
          <w:p w14:paraId="3981E16C" w14:textId="77777777" w:rsidR="00261E77" w:rsidRPr="00AD586B" w:rsidRDefault="00261E77" w:rsidP="00261E77">
            <w:pPr>
              <w:pStyle w:val="Reference"/>
              <w:spacing w:after="120"/>
              <w:rPr>
                <w:rFonts w:cs="Calibri"/>
                <w:color w:val="7030A0"/>
                <w:sz w:val="14"/>
                <w:szCs w:val="14"/>
              </w:rPr>
            </w:pPr>
          </w:p>
        </w:tc>
        <w:tc>
          <w:tcPr>
            <w:tcW w:w="1682" w:type="pct"/>
            <w:tcBorders>
              <w:top w:val="nil"/>
              <w:left w:val="single" w:sz="2" w:space="0" w:color="auto"/>
              <w:bottom w:val="nil"/>
              <w:right w:val="nil"/>
            </w:tcBorders>
          </w:tcPr>
          <w:p w14:paraId="46B1C09B" w14:textId="77777777" w:rsidR="00261E77" w:rsidRPr="00AD586B" w:rsidRDefault="00261E77" w:rsidP="00261E77">
            <w:pPr>
              <w:rPr>
                <w:b/>
                <w:bCs/>
                <w:sz w:val="18"/>
                <w:szCs w:val="18"/>
              </w:rPr>
            </w:pPr>
            <w:r w:rsidRPr="00AD586B">
              <w:rPr>
                <w:b/>
                <w:bCs/>
                <w:sz w:val="18"/>
                <w:szCs w:val="18"/>
              </w:rPr>
              <w:t>Class of Asset</w:t>
            </w:r>
          </w:p>
        </w:tc>
        <w:tc>
          <w:tcPr>
            <w:tcW w:w="1284" w:type="pct"/>
            <w:tcBorders>
              <w:top w:val="nil"/>
              <w:left w:val="nil"/>
              <w:bottom w:val="nil"/>
              <w:right w:val="nil"/>
            </w:tcBorders>
          </w:tcPr>
          <w:p w14:paraId="2C36C204" w14:textId="6C422F8B" w:rsidR="00261E77" w:rsidRPr="00AD586B" w:rsidRDefault="00261E77" w:rsidP="00C85383">
            <w:pPr>
              <w:jc w:val="center"/>
              <w:rPr>
                <w:b/>
                <w:bCs/>
                <w:sz w:val="18"/>
                <w:szCs w:val="18"/>
              </w:rPr>
            </w:pPr>
            <w:r w:rsidRPr="00AD586B">
              <w:rPr>
                <w:b/>
                <w:bCs/>
                <w:sz w:val="18"/>
                <w:szCs w:val="18"/>
              </w:rPr>
              <w:t>Depreciation</w:t>
            </w:r>
          </w:p>
        </w:tc>
        <w:tc>
          <w:tcPr>
            <w:tcW w:w="1284" w:type="pct"/>
            <w:gridSpan w:val="3"/>
            <w:tcBorders>
              <w:top w:val="nil"/>
              <w:left w:val="nil"/>
              <w:bottom w:val="nil"/>
              <w:right w:val="nil"/>
            </w:tcBorders>
          </w:tcPr>
          <w:p w14:paraId="4BBDE6C6" w14:textId="77777777" w:rsidR="00261E77" w:rsidRPr="00AD586B" w:rsidRDefault="00261E77" w:rsidP="00261E77">
            <w:pPr>
              <w:jc w:val="center"/>
              <w:rPr>
                <w:b/>
                <w:bCs/>
                <w:sz w:val="18"/>
                <w:szCs w:val="18"/>
              </w:rPr>
            </w:pPr>
            <w:r w:rsidRPr="00AD586B">
              <w:rPr>
                <w:b/>
                <w:bCs/>
                <w:sz w:val="18"/>
                <w:szCs w:val="18"/>
              </w:rPr>
              <w:t>Useful Life (Years)</w:t>
            </w:r>
          </w:p>
        </w:tc>
      </w:tr>
      <w:tr w:rsidR="00261E77" w:rsidRPr="00C40298" w14:paraId="517803C9" w14:textId="77777777" w:rsidTr="005F5B4C">
        <w:trPr>
          <w:cantSplit/>
          <w:trHeight w:val="23"/>
        </w:trPr>
        <w:tc>
          <w:tcPr>
            <w:tcW w:w="750" w:type="pct"/>
            <w:tcBorders>
              <w:top w:val="nil"/>
              <w:left w:val="single" w:sz="2" w:space="0" w:color="auto"/>
              <w:bottom w:val="nil"/>
              <w:right w:val="single" w:sz="2" w:space="0" w:color="auto"/>
            </w:tcBorders>
          </w:tcPr>
          <w:p w14:paraId="0E2B3F47" w14:textId="77777777" w:rsidR="00261E77" w:rsidRPr="00AD586B" w:rsidRDefault="00261E77" w:rsidP="00261E77">
            <w:pPr>
              <w:pStyle w:val="Reference"/>
              <w:spacing w:before="240" w:after="240"/>
              <w:rPr>
                <w:rFonts w:cs="Calibri"/>
                <w:color w:val="7030A0"/>
                <w:sz w:val="14"/>
                <w:szCs w:val="14"/>
              </w:rPr>
            </w:pPr>
          </w:p>
        </w:tc>
        <w:tc>
          <w:tcPr>
            <w:tcW w:w="1682" w:type="pct"/>
            <w:tcBorders>
              <w:top w:val="nil"/>
              <w:left w:val="single" w:sz="2" w:space="0" w:color="auto"/>
              <w:bottom w:val="nil"/>
              <w:right w:val="nil"/>
            </w:tcBorders>
          </w:tcPr>
          <w:p w14:paraId="2C27346D" w14:textId="77777777" w:rsidR="00261E77" w:rsidRPr="00AD586B" w:rsidRDefault="00261E77" w:rsidP="00261E77">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Buildings</w:t>
            </w:r>
          </w:p>
          <w:p w14:paraId="771304D3" w14:textId="77777777" w:rsidR="00261E77" w:rsidRPr="00AD586B" w:rsidRDefault="00261E77" w:rsidP="00261E77">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Leasehold Improvements</w:t>
            </w:r>
          </w:p>
          <w:p w14:paraId="2FACFA94" w14:textId="77777777" w:rsidR="00261E77" w:rsidRPr="00AD586B" w:rsidRDefault="00261E77" w:rsidP="00261E77">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Plant and Equipment</w:t>
            </w:r>
          </w:p>
          <w:p w14:paraId="1A15D736" w14:textId="77777777" w:rsidR="00261E77" w:rsidRPr="00AD586B" w:rsidRDefault="00261E77" w:rsidP="00261E77">
            <w:pPr>
              <w:pStyle w:val="CommentaryText"/>
              <w:spacing w:after="40"/>
              <w:rPr>
                <w:rFonts w:asciiTheme="minorHAnsi" w:hAnsiTheme="minorHAnsi" w:cstheme="minorHAnsi"/>
                <w:sz w:val="18"/>
                <w:szCs w:val="18"/>
              </w:rPr>
            </w:pPr>
            <w:r w:rsidRPr="00AD586B">
              <w:rPr>
                <w:rFonts w:asciiTheme="minorHAnsi" w:hAnsiTheme="minorHAnsi" w:cstheme="minorHAnsi"/>
                <w:sz w:val="18"/>
                <w:szCs w:val="18"/>
              </w:rPr>
              <w:t>Infrastructure</w:t>
            </w:r>
          </w:p>
          <w:p w14:paraId="1FD28D24" w14:textId="77777777" w:rsidR="00261E77" w:rsidRPr="00AD586B" w:rsidRDefault="00261E77" w:rsidP="00261E77">
            <w:pPr>
              <w:pStyle w:val="Heading1"/>
              <w:numPr>
                <w:ilvl w:val="0"/>
                <w:numId w:val="0"/>
              </w:numPr>
              <w:spacing w:before="0" w:after="120"/>
              <w:rPr>
                <w:rFonts w:asciiTheme="minorHAnsi" w:hAnsiTheme="minorHAnsi" w:cstheme="minorHAnsi"/>
                <w:b w:val="0"/>
                <w:bCs w:val="0"/>
                <w:caps w:val="0"/>
                <w:sz w:val="18"/>
                <w:szCs w:val="18"/>
              </w:rPr>
            </w:pPr>
            <w:bookmarkStart w:id="534" w:name="_Toc98763127"/>
            <w:r w:rsidRPr="00AD586B">
              <w:rPr>
                <w:rFonts w:asciiTheme="minorHAnsi" w:hAnsiTheme="minorHAnsi" w:cstheme="minorHAnsi"/>
                <w:b w:val="0"/>
                <w:bCs w:val="0"/>
                <w:caps w:val="0"/>
                <w:sz w:val="18"/>
                <w:szCs w:val="18"/>
              </w:rPr>
              <w:t>Community and Heritage Assets</w:t>
            </w:r>
            <w:bookmarkEnd w:id="534"/>
          </w:p>
        </w:tc>
        <w:tc>
          <w:tcPr>
            <w:tcW w:w="1284" w:type="pct"/>
            <w:tcBorders>
              <w:top w:val="nil"/>
              <w:left w:val="nil"/>
              <w:bottom w:val="nil"/>
              <w:right w:val="nil"/>
            </w:tcBorders>
          </w:tcPr>
          <w:p w14:paraId="6B7D676E" w14:textId="77777777" w:rsidR="00261E77" w:rsidRPr="00AD586B" w:rsidRDefault="00261E77"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Straight Line</w:t>
            </w:r>
          </w:p>
          <w:p w14:paraId="44F5E07F" w14:textId="77777777" w:rsidR="00261E77" w:rsidRPr="00AD586B" w:rsidRDefault="00261E77"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Straight Line</w:t>
            </w:r>
          </w:p>
          <w:p w14:paraId="27B23397" w14:textId="77777777" w:rsidR="00261E77" w:rsidRPr="00AD586B" w:rsidRDefault="00261E77"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Straight Line</w:t>
            </w:r>
          </w:p>
          <w:p w14:paraId="7A71FE52" w14:textId="77777777" w:rsidR="00261E77" w:rsidRPr="00AD586B" w:rsidRDefault="00261E77"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Straight Line</w:t>
            </w:r>
          </w:p>
          <w:p w14:paraId="75091AD3" w14:textId="77777777" w:rsidR="00261E77" w:rsidRPr="00AD586B" w:rsidRDefault="00261E77" w:rsidP="00261E77">
            <w:pPr>
              <w:pStyle w:val="Heading1"/>
              <w:numPr>
                <w:ilvl w:val="0"/>
                <w:numId w:val="0"/>
              </w:numPr>
              <w:spacing w:before="0" w:after="120"/>
              <w:jc w:val="center"/>
              <w:rPr>
                <w:rFonts w:asciiTheme="minorHAnsi" w:hAnsiTheme="minorHAnsi" w:cstheme="minorHAnsi"/>
                <w:b w:val="0"/>
                <w:bCs w:val="0"/>
                <w:caps w:val="0"/>
                <w:sz w:val="18"/>
                <w:szCs w:val="18"/>
              </w:rPr>
            </w:pPr>
            <w:bookmarkStart w:id="535" w:name="_Toc98763128"/>
            <w:r w:rsidRPr="00AD586B">
              <w:rPr>
                <w:rFonts w:asciiTheme="minorHAnsi" w:hAnsiTheme="minorHAnsi" w:cstheme="minorHAnsi"/>
                <w:b w:val="0"/>
                <w:bCs w:val="0"/>
                <w:caps w:val="0"/>
                <w:sz w:val="18"/>
                <w:szCs w:val="18"/>
              </w:rPr>
              <w:t>Straight Line</w:t>
            </w:r>
            <w:bookmarkEnd w:id="535"/>
          </w:p>
        </w:tc>
        <w:tc>
          <w:tcPr>
            <w:tcW w:w="1284" w:type="pct"/>
            <w:gridSpan w:val="3"/>
            <w:tcBorders>
              <w:top w:val="nil"/>
              <w:left w:val="nil"/>
              <w:bottom w:val="nil"/>
              <w:right w:val="nil"/>
            </w:tcBorders>
          </w:tcPr>
          <w:p w14:paraId="7956F44C" w14:textId="679138A6" w:rsidR="00261E77" w:rsidRPr="00AD586B" w:rsidRDefault="00261E77"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2-100</w:t>
            </w:r>
          </w:p>
          <w:p w14:paraId="17E70D5C" w14:textId="0930AD21" w:rsidR="00261E77" w:rsidRPr="00AD586B" w:rsidRDefault="00261E77"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2-40</w:t>
            </w:r>
          </w:p>
          <w:p w14:paraId="15F83EBE" w14:textId="42380F34" w:rsidR="00261E77" w:rsidRPr="00AD586B" w:rsidRDefault="00261E77"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2-126</w:t>
            </w:r>
          </w:p>
          <w:p w14:paraId="6F8BBAF7" w14:textId="206B8130" w:rsidR="00261E77" w:rsidRPr="0009580B" w:rsidRDefault="00261E77" w:rsidP="00261E77">
            <w:pPr>
              <w:pStyle w:val="CommentaryText"/>
              <w:tabs>
                <w:tab w:val="left" w:pos="3306"/>
              </w:tabs>
              <w:spacing w:after="40"/>
              <w:jc w:val="center"/>
              <w:rPr>
                <w:rFonts w:asciiTheme="minorHAnsi" w:hAnsiTheme="minorHAnsi" w:cstheme="minorHAnsi"/>
                <w:sz w:val="18"/>
                <w:szCs w:val="18"/>
              </w:rPr>
            </w:pPr>
            <w:r w:rsidRPr="00AD586B">
              <w:rPr>
                <w:rFonts w:asciiTheme="minorHAnsi" w:hAnsiTheme="minorHAnsi" w:cstheme="minorHAnsi"/>
                <w:sz w:val="18"/>
                <w:szCs w:val="18"/>
              </w:rPr>
              <w:t>3-138</w:t>
            </w:r>
          </w:p>
          <w:p w14:paraId="3B8DFEE2" w14:textId="0FA15D38" w:rsidR="00261E77" w:rsidRPr="00AD586B" w:rsidRDefault="00261E77" w:rsidP="00261E77">
            <w:pPr>
              <w:pStyle w:val="Heading1"/>
              <w:numPr>
                <w:ilvl w:val="0"/>
                <w:numId w:val="0"/>
              </w:numPr>
              <w:spacing w:before="0" w:after="120"/>
              <w:jc w:val="center"/>
              <w:rPr>
                <w:rFonts w:asciiTheme="minorHAnsi" w:hAnsiTheme="minorHAnsi" w:cstheme="minorHAnsi"/>
                <w:b w:val="0"/>
                <w:bCs w:val="0"/>
                <w:caps w:val="0"/>
                <w:sz w:val="18"/>
                <w:szCs w:val="18"/>
              </w:rPr>
            </w:pPr>
            <w:bookmarkStart w:id="536" w:name="_Toc98763129"/>
            <w:r w:rsidRPr="00AD586B">
              <w:rPr>
                <w:rFonts w:asciiTheme="minorHAnsi" w:hAnsiTheme="minorHAnsi" w:cstheme="minorHAnsi"/>
                <w:b w:val="0"/>
                <w:bCs w:val="0"/>
                <w:caps w:val="0"/>
                <w:sz w:val="18"/>
                <w:szCs w:val="18"/>
              </w:rPr>
              <w:t>3-100</w:t>
            </w:r>
            <w:bookmarkEnd w:id="536"/>
          </w:p>
        </w:tc>
      </w:tr>
      <w:tr w:rsidR="00261E77" w:rsidRPr="00A11F05" w14:paraId="196630D5" w14:textId="77777777" w:rsidTr="005F5B4C">
        <w:trPr>
          <w:cantSplit/>
          <w:trHeight w:val="23"/>
        </w:trPr>
        <w:tc>
          <w:tcPr>
            <w:tcW w:w="750" w:type="pct"/>
            <w:tcBorders>
              <w:top w:val="nil"/>
              <w:left w:val="single" w:sz="2" w:space="0" w:color="auto"/>
              <w:bottom w:val="nil"/>
              <w:right w:val="single" w:sz="2" w:space="0" w:color="auto"/>
            </w:tcBorders>
          </w:tcPr>
          <w:p w14:paraId="04360E24" w14:textId="77777777" w:rsidR="00261E77" w:rsidRPr="00AD586B" w:rsidRDefault="00261E77" w:rsidP="00261E77">
            <w:pPr>
              <w:pStyle w:val="Reference"/>
              <w:rPr>
                <w:color w:val="7030A0"/>
                <w:sz w:val="14"/>
                <w:szCs w:val="14"/>
              </w:rPr>
            </w:pPr>
            <w:r w:rsidRPr="00AD586B">
              <w:rPr>
                <w:color w:val="7030A0"/>
                <w:sz w:val="14"/>
                <w:szCs w:val="14"/>
              </w:rPr>
              <w:t>AASB 116.73(b) &amp; (c), AASB 138.118(a) &amp; (b)</w:t>
            </w:r>
          </w:p>
          <w:p w14:paraId="28C91F92" w14:textId="77777777" w:rsidR="00261E77" w:rsidRPr="00AD586B" w:rsidRDefault="00261E77" w:rsidP="00261E77">
            <w:pPr>
              <w:pStyle w:val="Reference"/>
              <w:rPr>
                <w:rFonts w:cs="Calibri"/>
                <w:color w:val="7030A0"/>
                <w:sz w:val="14"/>
                <w:szCs w:val="14"/>
              </w:rPr>
            </w:pPr>
            <w:r w:rsidRPr="00AD586B">
              <w:rPr>
                <w:color w:val="7030A0"/>
                <w:sz w:val="14"/>
                <w:szCs w:val="14"/>
              </w:rPr>
              <w:t>AASB 116.51</w:t>
            </w:r>
          </w:p>
        </w:tc>
        <w:tc>
          <w:tcPr>
            <w:tcW w:w="4250" w:type="pct"/>
            <w:gridSpan w:val="5"/>
            <w:tcBorders>
              <w:top w:val="nil"/>
              <w:left w:val="single" w:sz="2" w:space="0" w:color="auto"/>
              <w:bottom w:val="nil"/>
              <w:right w:val="nil"/>
            </w:tcBorders>
          </w:tcPr>
          <w:p w14:paraId="41E56BD2" w14:textId="35B73436" w:rsidR="00261E77" w:rsidRPr="00AD586B" w:rsidRDefault="00261E77" w:rsidP="00261E77">
            <w:pPr>
              <w:rPr>
                <w:rFonts w:cs="Calibri"/>
                <w:sz w:val="18"/>
                <w:szCs w:val="18"/>
              </w:rPr>
            </w:pPr>
            <w:r w:rsidRPr="00AD586B">
              <w:rPr>
                <w:rFonts w:cs="Calibri"/>
                <w:sz w:val="18"/>
                <w:szCs w:val="18"/>
              </w:rPr>
              <w:t>Land improvements are included within the building asset class.</w:t>
            </w:r>
          </w:p>
        </w:tc>
      </w:tr>
      <w:tr w:rsidR="00261E77" w:rsidRPr="00A11F05" w14:paraId="4BE43B8E" w14:textId="77777777" w:rsidTr="005F5B4C">
        <w:trPr>
          <w:cantSplit/>
          <w:trHeight w:val="23"/>
        </w:trPr>
        <w:tc>
          <w:tcPr>
            <w:tcW w:w="750" w:type="pct"/>
            <w:tcBorders>
              <w:top w:val="nil"/>
              <w:left w:val="single" w:sz="2" w:space="0" w:color="auto"/>
              <w:bottom w:val="nil"/>
              <w:right w:val="single" w:sz="2" w:space="0" w:color="auto"/>
            </w:tcBorders>
          </w:tcPr>
          <w:p w14:paraId="188F54E8" w14:textId="77777777" w:rsidR="00261E77" w:rsidRPr="00AD586B" w:rsidRDefault="00261E77" w:rsidP="00261E77">
            <w:pPr>
              <w:pStyle w:val="Reference"/>
              <w:rPr>
                <w:color w:val="7030A0"/>
                <w:sz w:val="14"/>
                <w:szCs w:val="14"/>
              </w:rPr>
            </w:pPr>
          </w:p>
        </w:tc>
        <w:tc>
          <w:tcPr>
            <w:tcW w:w="4250" w:type="pct"/>
            <w:gridSpan w:val="5"/>
            <w:tcBorders>
              <w:top w:val="nil"/>
              <w:left w:val="single" w:sz="2" w:space="0" w:color="auto"/>
              <w:bottom w:val="nil"/>
              <w:right w:val="nil"/>
            </w:tcBorders>
          </w:tcPr>
          <w:p w14:paraId="4DB8F6E3" w14:textId="71944CE7" w:rsidR="00261E77" w:rsidRPr="00AD586B" w:rsidRDefault="00261E77" w:rsidP="00261E77">
            <w:pPr>
              <w:spacing w:after="120"/>
              <w:jc w:val="both"/>
              <w:rPr>
                <w:sz w:val="18"/>
                <w:szCs w:val="18"/>
              </w:rPr>
            </w:pPr>
            <w:r w:rsidRPr="00AD586B">
              <w:rPr>
                <w:sz w:val="18"/>
                <w:szCs w:val="18"/>
              </w:rPr>
              <w:t>The Agency has made a significant estimate in determining the useful lives of its Property, Plant and Equipment.</w:t>
            </w:r>
            <w:r w:rsidR="00FA7C77">
              <w:rPr>
                <w:sz w:val="18"/>
                <w:szCs w:val="18"/>
              </w:rPr>
              <w:t xml:space="preserve"> </w:t>
            </w:r>
            <w:r w:rsidRPr="00AD586B">
              <w:rPr>
                <w:sz w:val="18"/>
                <w:szCs w:val="18"/>
              </w:rPr>
              <w:t xml:space="preserve">The estimation of useful lives of </w:t>
            </w:r>
            <w:r w:rsidR="006E7FE9">
              <w:rPr>
                <w:sz w:val="18"/>
                <w:szCs w:val="18"/>
              </w:rPr>
              <w:t xml:space="preserve">Property, Plant and Equipment </w:t>
            </w:r>
            <w:r w:rsidRPr="00AD586B">
              <w:rPr>
                <w:sz w:val="18"/>
                <w:szCs w:val="18"/>
              </w:rPr>
              <w:t>is based on the historical experience of similar assets and in some cases has been based on valuations provided by the ‘XYZ Valuers’.</w:t>
            </w:r>
            <w:r w:rsidR="00FA7C77">
              <w:rPr>
                <w:sz w:val="18"/>
                <w:szCs w:val="18"/>
              </w:rPr>
              <w:t xml:space="preserve"> </w:t>
            </w:r>
            <w:r w:rsidRPr="00AD586B">
              <w:rPr>
                <w:sz w:val="18"/>
                <w:szCs w:val="18"/>
              </w:rPr>
              <w:t>The useful lives are assessed on an annual basis and adjustments are made when necessary.</w:t>
            </w:r>
          </w:p>
        </w:tc>
      </w:tr>
      <w:tr w:rsidR="00261E77" w:rsidRPr="00996A29" w14:paraId="2502C469" w14:textId="77777777" w:rsidTr="00C85383">
        <w:trPr>
          <w:cantSplit/>
          <w:trHeight w:val="203"/>
        </w:trPr>
        <w:tc>
          <w:tcPr>
            <w:tcW w:w="750" w:type="pct"/>
            <w:tcBorders>
              <w:top w:val="nil"/>
              <w:left w:val="single" w:sz="2" w:space="0" w:color="7030A0"/>
              <w:bottom w:val="nil"/>
              <w:right w:val="single" w:sz="2" w:space="0" w:color="7030A0"/>
            </w:tcBorders>
          </w:tcPr>
          <w:p w14:paraId="75CA7F72" w14:textId="77777777" w:rsidR="00261E77" w:rsidRPr="00AD586B" w:rsidRDefault="00261E77" w:rsidP="00261E77">
            <w:pPr>
              <w:pStyle w:val="TableReference"/>
              <w:tabs>
                <w:tab w:val="left" w:pos="3306"/>
              </w:tabs>
              <w:rPr>
                <w:rFonts w:cs="Calibri"/>
                <w:color w:val="7030A0"/>
                <w:sz w:val="16"/>
                <w:szCs w:val="16"/>
              </w:rPr>
            </w:pPr>
          </w:p>
        </w:tc>
        <w:tc>
          <w:tcPr>
            <w:tcW w:w="4250" w:type="pct"/>
            <w:gridSpan w:val="5"/>
            <w:tcBorders>
              <w:top w:val="nil"/>
              <w:left w:val="single" w:sz="2" w:space="0" w:color="7030A0"/>
              <w:bottom w:val="nil"/>
              <w:right w:val="nil"/>
            </w:tcBorders>
          </w:tcPr>
          <w:p w14:paraId="74881E63" w14:textId="77777777" w:rsidR="00261E77" w:rsidRPr="00AD586B" w:rsidRDefault="00261E77" w:rsidP="00261E77">
            <w:pPr>
              <w:pStyle w:val="TableText"/>
              <w:spacing w:before="0"/>
              <w:rPr>
                <w:rFonts w:cs="Calibri"/>
                <w:b/>
                <w:bCs/>
              </w:rPr>
            </w:pPr>
            <w:r w:rsidRPr="00AD586B">
              <w:rPr>
                <w:rFonts w:cs="Calibri"/>
                <w:b/>
                <w:bCs/>
              </w:rPr>
              <w:t>Additional Information relating to Service Concession Arrangements</w:t>
            </w:r>
          </w:p>
        </w:tc>
      </w:tr>
      <w:tr w:rsidR="00261E77" w:rsidRPr="009603A1" w14:paraId="26BE60A3" w14:textId="77777777" w:rsidTr="005F5B4C">
        <w:trPr>
          <w:cantSplit/>
          <w:trHeight w:val="23"/>
        </w:trPr>
        <w:tc>
          <w:tcPr>
            <w:tcW w:w="750" w:type="pct"/>
            <w:tcBorders>
              <w:top w:val="nil"/>
              <w:left w:val="single" w:sz="2" w:space="0" w:color="7030A0"/>
              <w:bottom w:val="nil"/>
              <w:right w:val="single" w:sz="2" w:space="0" w:color="7030A0"/>
            </w:tcBorders>
          </w:tcPr>
          <w:p w14:paraId="7635C124" w14:textId="77777777" w:rsidR="00261E77" w:rsidRPr="00AD586B" w:rsidRDefault="00261E77" w:rsidP="00261E77">
            <w:pPr>
              <w:pStyle w:val="TableReference"/>
              <w:tabs>
                <w:tab w:val="left" w:pos="3306"/>
              </w:tabs>
              <w:spacing w:before="60"/>
              <w:rPr>
                <w:rFonts w:cs="Calibri"/>
                <w:color w:val="7030A0"/>
                <w:sz w:val="16"/>
                <w:szCs w:val="16"/>
              </w:rPr>
            </w:pPr>
          </w:p>
        </w:tc>
        <w:tc>
          <w:tcPr>
            <w:tcW w:w="4250" w:type="pct"/>
            <w:gridSpan w:val="5"/>
            <w:tcBorders>
              <w:top w:val="nil"/>
              <w:left w:val="single" w:sz="2" w:space="0" w:color="7030A0"/>
              <w:bottom w:val="nil"/>
              <w:right w:val="nil"/>
            </w:tcBorders>
            <w:vAlign w:val="bottom"/>
          </w:tcPr>
          <w:p w14:paraId="073F697C" w14:textId="2C4A14F8" w:rsidR="00261E77" w:rsidRPr="00AD586B" w:rsidRDefault="00261E77" w:rsidP="00261E77">
            <w:pPr>
              <w:pStyle w:val="TableText"/>
              <w:jc w:val="both"/>
              <w:rPr>
                <w:rFonts w:cs="Calibri"/>
                <w:b/>
                <w:bCs/>
              </w:rPr>
            </w:pPr>
            <w:r w:rsidRPr="00AD586B">
              <w:rPr>
                <w:rFonts w:cs="Calibri"/>
              </w:rPr>
              <w:t xml:space="preserve">For more information in relation to service concession arrangements refer to Note </w:t>
            </w:r>
            <w:r w:rsidR="00AB1649">
              <w:rPr>
                <w:rFonts w:cs="Calibri"/>
              </w:rPr>
              <w:t>39</w:t>
            </w:r>
            <w:r w:rsidRPr="00AD586B">
              <w:rPr>
                <w:rFonts w:cs="Calibri"/>
              </w:rPr>
              <w:t xml:space="preserve"> </w:t>
            </w:r>
            <w:r w:rsidRPr="00AB1649">
              <w:rPr>
                <w:rFonts w:cs="Calibri"/>
                <w:i/>
                <w:iCs/>
              </w:rPr>
              <w:t>Service Concession Arrangements</w:t>
            </w:r>
            <w:r w:rsidRPr="00AD586B">
              <w:rPr>
                <w:rFonts w:cs="Calibri"/>
              </w:rPr>
              <w:t>.</w:t>
            </w:r>
          </w:p>
        </w:tc>
      </w:tr>
      <w:tr w:rsidR="00C85383" w:rsidRPr="00B91A27" w14:paraId="4FB14B17" w14:textId="77777777" w:rsidTr="005F5B4C">
        <w:trPr>
          <w:cantSplit/>
        </w:trPr>
        <w:tc>
          <w:tcPr>
            <w:tcW w:w="750" w:type="pct"/>
            <w:tcBorders>
              <w:top w:val="nil"/>
              <w:left w:val="single" w:sz="2" w:space="0" w:color="auto"/>
              <w:bottom w:val="nil"/>
              <w:right w:val="single" w:sz="2" w:space="0" w:color="auto"/>
            </w:tcBorders>
          </w:tcPr>
          <w:p w14:paraId="036203A7" w14:textId="77777777" w:rsidR="00C85383" w:rsidRPr="00AD586B" w:rsidRDefault="00C85383" w:rsidP="00DA5473">
            <w:pPr>
              <w:pStyle w:val="TableReference"/>
              <w:tabs>
                <w:tab w:val="left" w:pos="3306"/>
              </w:tabs>
              <w:spacing w:before="240" w:after="240"/>
              <w:rPr>
                <w:color w:val="7030A0"/>
              </w:rPr>
            </w:pPr>
            <w:r w:rsidRPr="00AD586B">
              <w:rPr>
                <w:rFonts w:cs="Calibri"/>
                <w:color w:val="7030A0"/>
              </w:rPr>
              <w:br w:type="page"/>
            </w:r>
            <w:r w:rsidRPr="00AD586B">
              <w:rPr>
                <w:rFonts w:cs="Calibri"/>
                <w:b/>
                <w:color w:val="7030A0"/>
                <w:sz w:val="22"/>
                <w:szCs w:val="22"/>
              </w:rPr>
              <w:t>Reference</w:t>
            </w:r>
          </w:p>
        </w:tc>
        <w:tc>
          <w:tcPr>
            <w:tcW w:w="4250" w:type="pct"/>
            <w:gridSpan w:val="5"/>
            <w:tcBorders>
              <w:top w:val="nil"/>
              <w:left w:val="single" w:sz="2" w:space="0" w:color="auto"/>
              <w:bottom w:val="nil"/>
              <w:right w:val="nil"/>
            </w:tcBorders>
          </w:tcPr>
          <w:p w14:paraId="6232BE09" w14:textId="77777777" w:rsidR="00C85383" w:rsidRPr="00664759" w:rsidRDefault="00C85383" w:rsidP="00F22D61">
            <w:pPr>
              <w:spacing w:before="240" w:after="240"/>
              <w:rPr>
                <w:i/>
                <w:iCs/>
                <w:color w:val="538135" w:themeColor="accent6" w:themeShade="BF"/>
                <w:sz w:val="18"/>
                <w:szCs w:val="18"/>
              </w:rPr>
            </w:pPr>
            <w:r w:rsidRPr="00FB3AD2">
              <w:rPr>
                <w:rFonts w:ascii="Arial Bold" w:hAnsi="Arial Bold" w:cs="Arial"/>
                <w:b/>
                <w:caps/>
                <w:sz w:val="32"/>
                <w:szCs w:val="32"/>
              </w:rPr>
              <w:t>Note 19.</w:t>
            </w:r>
            <w:r>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 – Continued</w:t>
            </w:r>
          </w:p>
        </w:tc>
      </w:tr>
      <w:tr w:rsidR="00261E77" w:rsidRPr="00CF7E1B" w14:paraId="120D7473" w14:textId="77777777" w:rsidTr="005F5B4C">
        <w:trPr>
          <w:cantSplit/>
          <w:trHeight w:val="23"/>
        </w:trPr>
        <w:tc>
          <w:tcPr>
            <w:tcW w:w="750" w:type="pct"/>
            <w:tcBorders>
              <w:top w:val="nil"/>
              <w:left w:val="single" w:sz="2" w:space="0" w:color="auto"/>
              <w:bottom w:val="nil"/>
              <w:right w:val="single" w:sz="2" w:space="0" w:color="auto"/>
            </w:tcBorders>
          </w:tcPr>
          <w:p w14:paraId="347A52CA" w14:textId="77777777" w:rsidR="00261E77" w:rsidRPr="00AD586B" w:rsidRDefault="00261E77" w:rsidP="00261E77">
            <w:pPr>
              <w:pStyle w:val="TableReference"/>
              <w:tabs>
                <w:tab w:val="left" w:pos="3306"/>
              </w:tabs>
              <w:spacing w:before="60"/>
              <w:rPr>
                <w:rFonts w:cs="Calibri"/>
                <w:color w:val="7030A0"/>
                <w:sz w:val="16"/>
                <w:szCs w:val="16"/>
              </w:rPr>
            </w:pPr>
            <w:bookmarkStart w:id="537" w:name="_Hlk89632673"/>
          </w:p>
        </w:tc>
        <w:tc>
          <w:tcPr>
            <w:tcW w:w="4250" w:type="pct"/>
            <w:gridSpan w:val="5"/>
            <w:tcBorders>
              <w:top w:val="nil"/>
              <w:left w:val="single" w:sz="2" w:space="0" w:color="auto"/>
              <w:bottom w:val="nil"/>
              <w:right w:val="nil"/>
            </w:tcBorders>
            <w:vAlign w:val="bottom"/>
          </w:tcPr>
          <w:p w14:paraId="6ACDA6A7" w14:textId="48ADA171" w:rsidR="00261E77" w:rsidRPr="00AD586B" w:rsidRDefault="00261E77" w:rsidP="00261E77">
            <w:pPr>
              <w:pStyle w:val="TableText"/>
              <w:spacing w:before="0" w:after="120"/>
              <w:jc w:val="both"/>
              <w:rPr>
                <w:b/>
                <w:bCs/>
                <w:color w:val="2E74B5" w:themeColor="accent1" w:themeShade="BF"/>
              </w:rPr>
            </w:pPr>
            <w:r w:rsidRPr="00AD586B">
              <w:rPr>
                <w:b/>
                <w:bCs/>
                <w:color w:val="2E74B5" w:themeColor="accent1" w:themeShade="BF"/>
              </w:rPr>
              <w:t xml:space="preserve">Carrying Value of Fair Valued Assets under the Cost Model [DISCLOSURE FOR FOR-PROFIT AGENCIES </w:t>
            </w:r>
            <w:r w:rsidRPr="00AD586B">
              <w:rPr>
                <w:b/>
                <w:bCs/>
                <w:color w:val="2E74B5" w:themeColor="accent1" w:themeShade="BF"/>
                <w:u w:val="single"/>
              </w:rPr>
              <w:t>ONLY</w:t>
            </w:r>
            <w:r w:rsidRPr="00AD586B">
              <w:rPr>
                <w:b/>
                <w:bCs/>
                <w:color w:val="2E74B5" w:themeColor="accent1" w:themeShade="BF"/>
              </w:rPr>
              <w:t>]</w:t>
            </w:r>
          </w:p>
          <w:p w14:paraId="53C6F0B7" w14:textId="36C626DC" w:rsidR="00261E77" w:rsidRPr="00AD586B" w:rsidRDefault="00261E77" w:rsidP="00261E77">
            <w:pPr>
              <w:pStyle w:val="TableText"/>
              <w:spacing w:before="0" w:after="120"/>
              <w:jc w:val="both"/>
              <w:rPr>
                <w:rFonts w:cs="Calibri"/>
                <w:color w:val="2E74B5" w:themeColor="accent1" w:themeShade="BF"/>
              </w:rPr>
            </w:pPr>
            <w:r w:rsidRPr="00AD586B">
              <w:rPr>
                <w:color w:val="2E74B5" w:themeColor="accent1" w:themeShade="BF"/>
              </w:rPr>
              <w:t>The following classes of Property, Plant and Equipment, which are carried at Fair value (as indicated above), would have had carrying values, if measured using the cost model, as follows:</w:t>
            </w:r>
          </w:p>
        </w:tc>
      </w:tr>
      <w:tr w:rsidR="00261E77" w:rsidRPr="00CF7E1B" w14:paraId="27A66036" w14:textId="77777777" w:rsidTr="005F5B4C">
        <w:trPr>
          <w:cantSplit/>
          <w:trHeight w:val="36"/>
        </w:trPr>
        <w:tc>
          <w:tcPr>
            <w:tcW w:w="750" w:type="pct"/>
            <w:tcBorders>
              <w:top w:val="nil"/>
              <w:left w:val="single" w:sz="2" w:space="0" w:color="auto"/>
              <w:bottom w:val="nil"/>
              <w:right w:val="single" w:sz="2" w:space="0" w:color="auto"/>
            </w:tcBorders>
          </w:tcPr>
          <w:p w14:paraId="45443E25" w14:textId="77777777" w:rsidR="00261E77" w:rsidRPr="00AD586B" w:rsidRDefault="00261E77" w:rsidP="00261E77">
            <w:pPr>
              <w:pStyle w:val="TableReference"/>
              <w:tabs>
                <w:tab w:val="left" w:pos="3306"/>
              </w:tabs>
              <w:rPr>
                <w:rFonts w:cs="Calibri"/>
                <w:color w:val="7030A0"/>
                <w:sz w:val="16"/>
                <w:szCs w:val="16"/>
              </w:rPr>
            </w:pPr>
          </w:p>
        </w:tc>
        <w:tc>
          <w:tcPr>
            <w:tcW w:w="3038" w:type="pct"/>
            <w:gridSpan w:val="3"/>
            <w:tcBorders>
              <w:top w:val="nil"/>
              <w:left w:val="single" w:sz="2" w:space="0" w:color="auto"/>
              <w:bottom w:val="nil"/>
              <w:right w:val="nil"/>
            </w:tcBorders>
            <w:vAlign w:val="bottom"/>
          </w:tcPr>
          <w:p w14:paraId="6610FB9D" w14:textId="77777777" w:rsidR="00261E77" w:rsidRPr="00AD586B" w:rsidRDefault="00261E77" w:rsidP="00261E77">
            <w:pPr>
              <w:pStyle w:val="TableText"/>
              <w:spacing w:before="0"/>
              <w:jc w:val="both"/>
              <w:rPr>
                <w:rFonts w:cs="Calibri"/>
                <w:color w:val="2E74B5" w:themeColor="accent1" w:themeShade="BF"/>
              </w:rPr>
            </w:pPr>
          </w:p>
        </w:tc>
        <w:tc>
          <w:tcPr>
            <w:tcW w:w="602" w:type="pct"/>
            <w:tcBorders>
              <w:top w:val="nil"/>
              <w:left w:val="nil"/>
              <w:bottom w:val="nil"/>
              <w:right w:val="nil"/>
            </w:tcBorders>
            <w:vAlign w:val="center"/>
          </w:tcPr>
          <w:p w14:paraId="34919EA3" w14:textId="280FF3C2" w:rsidR="00261E77" w:rsidRPr="00AD586B" w:rsidRDefault="00261E77" w:rsidP="00261E77">
            <w:pPr>
              <w:pStyle w:val="TableText"/>
              <w:spacing w:before="0"/>
              <w:jc w:val="right"/>
              <w:rPr>
                <w:rFonts w:cs="Calibri"/>
                <w:b/>
                <w:bCs/>
                <w:color w:val="2E74B5" w:themeColor="accent1" w:themeShade="BF"/>
              </w:rPr>
            </w:pPr>
            <w:r w:rsidRPr="00AD586B">
              <w:rPr>
                <w:rFonts w:cs="Calibri"/>
                <w:b/>
                <w:bCs/>
                <w:color w:val="2E74B5" w:themeColor="accent1" w:themeShade="BF"/>
              </w:rPr>
              <w:t>2022</w:t>
            </w:r>
          </w:p>
        </w:tc>
        <w:tc>
          <w:tcPr>
            <w:tcW w:w="610" w:type="pct"/>
            <w:tcBorders>
              <w:top w:val="nil"/>
              <w:left w:val="nil"/>
              <w:bottom w:val="nil"/>
              <w:right w:val="nil"/>
            </w:tcBorders>
            <w:vAlign w:val="center"/>
          </w:tcPr>
          <w:p w14:paraId="517F9C92" w14:textId="4B19068F" w:rsidR="00261E77" w:rsidRPr="00AD586B" w:rsidRDefault="00261E77" w:rsidP="00261E77">
            <w:pPr>
              <w:pStyle w:val="TableText"/>
              <w:spacing w:before="0"/>
              <w:jc w:val="right"/>
              <w:rPr>
                <w:rFonts w:cs="Calibri"/>
                <w:b/>
                <w:bCs/>
                <w:color w:val="2E74B5" w:themeColor="accent1" w:themeShade="BF"/>
              </w:rPr>
            </w:pPr>
            <w:r w:rsidRPr="00AD586B">
              <w:rPr>
                <w:rFonts w:cs="Calibri"/>
                <w:b/>
                <w:bCs/>
                <w:color w:val="2E74B5" w:themeColor="accent1" w:themeShade="BF"/>
              </w:rPr>
              <w:t>2021</w:t>
            </w:r>
          </w:p>
        </w:tc>
      </w:tr>
      <w:tr w:rsidR="00261E77" w:rsidRPr="00CF7E1B" w14:paraId="09F774EF" w14:textId="77777777" w:rsidTr="005F5B4C">
        <w:trPr>
          <w:cantSplit/>
          <w:trHeight w:val="36"/>
        </w:trPr>
        <w:tc>
          <w:tcPr>
            <w:tcW w:w="750" w:type="pct"/>
            <w:tcBorders>
              <w:top w:val="nil"/>
              <w:left w:val="single" w:sz="2" w:space="0" w:color="auto"/>
              <w:bottom w:val="nil"/>
              <w:right w:val="single" w:sz="2" w:space="0" w:color="auto"/>
            </w:tcBorders>
          </w:tcPr>
          <w:p w14:paraId="0B47FE2A" w14:textId="77777777" w:rsidR="00261E77" w:rsidRPr="00AD586B" w:rsidRDefault="00261E77" w:rsidP="00261E77">
            <w:pPr>
              <w:pStyle w:val="TableReference"/>
              <w:tabs>
                <w:tab w:val="left" w:pos="3306"/>
              </w:tabs>
              <w:rPr>
                <w:rFonts w:cs="Calibri"/>
                <w:color w:val="7030A0"/>
                <w:sz w:val="16"/>
                <w:szCs w:val="16"/>
              </w:rPr>
            </w:pPr>
          </w:p>
        </w:tc>
        <w:tc>
          <w:tcPr>
            <w:tcW w:w="3038" w:type="pct"/>
            <w:gridSpan w:val="3"/>
            <w:tcBorders>
              <w:top w:val="nil"/>
              <w:left w:val="single" w:sz="2" w:space="0" w:color="auto"/>
              <w:bottom w:val="nil"/>
              <w:right w:val="nil"/>
            </w:tcBorders>
            <w:vAlign w:val="bottom"/>
          </w:tcPr>
          <w:p w14:paraId="63EE512B" w14:textId="77777777" w:rsidR="00261E77" w:rsidRPr="00AD586B" w:rsidRDefault="00261E77" w:rsidP="00261E77">
            <w:pPr>
              <w:pStyle w:val="TableText"/>
              <w:spacing w:before="0"/>
              <w:jc w:val="both"/>
              <w:rPr>
                <w:rFonts w:cs="Calibri"/>
                <w:color w:val="2E74B5" w:themeColor="accent1" w:themeShade="BF"/>
              </w:rPr>
            </w:pPr>
          </w:p>
        </w:tc>
        <w:tc>
          <w:tcPr>
            <w:tcW w:w="602" w:type="pct"/>
            <w:tcBorders>
              <w:top w:val="nil"/>
              <w:left w:val="nil"/>
              <w:bottom w:val="nil"/>
              <w:right w:val="nil"/>
            </w:tcBorders>
            <w:vAlign w:val="center"/>
          </w:tcPr>
          <w:p w14:paraId="48ACDC80" w14:textId="3575F76A" w:rsidR="00261E77" w:rsidRPr="00AD586B" w:rsidRDefault="00261E77" w:rsidP="00261E77">
            <w:pPr>
              <w:pStyle w:val="TableText"/>
              <w:spacing w:before="0"/>
              <w:jc w:val="right"/>
              <w:rPr>
                <w:rFonts w:cs="Calibri"/>
                <w:b/>
                <w:bCs/>
                <w:color w:val="2E74B5" w:themeColor="accent1" w:themeShade="BF"/>
              </w:rPr>
            </w:pPr>
            <w:r w:rsidRPr="00AD586B">
              <w:rPr>
                <w:rFonts w:cs="Calibri"/>
                <w:b/>
                <w:bCs/>
                <w:color w:val="2E74B5" w:themeColor="accent1" w:themeShade="BF"/>
              </w:rPr>
              <w:t>$’000</w:t>
            </w:r>
          </w:p>
        </w:tc>
        <w:tc>
          <w:tcPr>
            <w:tcW w:w="610" w:type="pct"/>
            <w:tcBorders>
              <w:top w:val="nil"/>
              <w:left w:val="nil"/>
              <w:bottom w:val="nil"/>
              <w:right w:val="nil"/>
            </w:tcBorders>
            <w:vAlign w:val="center"/>
          </w:tcPr>
          <w:p w14:paraId="2A93FA56" w14:textId="09A17E6E" w:rsidR="00261E77" w:rsidRPr="00AD586B" w:rsidRDefault="00261E77" w:rsidP="00261E77">
            <w:pPr>
              <w:pStyle w:val="TableText"/>
              <w:spacing w:before="0"/>
              <w:jc w:val="right"/>
              <w:rPr>
                <w:rFonts w:cs="Calibri"/>
                <w:b/>
                <w:bCs/>
                <w:color w:val="2E74B5" w:themeColor="accent1" w:themeShade="BF"/>
              </w:rPr>
            </w:pPr>
            <w:r w:rsidRPr="00AD586B">
              <w:rPr>
                <w:rFonts w:cs="Calibri"/>
                <w:b/>
                <w:bCs/>
                <w:color w:val="2E74B5" w:themeColor="accent1" w:themeShade="BF"/>
              </w:rPr>
              <w:t>$’000</w:t>
            </w:r>
          </w:p>
        </w:tc>
      </w:tr>
      <w:tr w:rsidR="00261E77" w:rsidRPr="00CF7E1B" w14:paraId="0E022507" w14:textId="77777777" w:rsidTr="005F5B4C">
        <w:trPr>
          <w:cantSplit/>
          <w:trHeight w:val="36"/>
        </w:trPr>
        <w:tc>
          <w:tcPr>
            <w:tcW w:w="750" w:type="pct"/>
            <w:tcBorders>
              <w:top w:val="nil"/>
              <w:left w:val="single" w:sz="2" w:space="0" w:color="auto"/>
              <w:bottom w:val="nil"/>
              <w:right w:val="single" w:sz="2" w:space="0" w:color="auto"/>
            </w:tcBorders>
          </w:tcPr>
          <w:p w14:paraId="336B9A5E" w14:textId="77777777" w:rsidR="00261E77" w:rsidRPr="00AD586B" w:rsidRDefault="00261E77" w:rsidP="00261E77">
            <w:pPr>
              <w:pStyle w:val="TableReference"/>
              <w:tabs>
                <w:tab w:val="left" w:pos="3306"/>
              </w:tabs>
              <w:spacing w:before="60"/>
              <w:rPr>
                <w:rFonts w:cs="Calibri"/>
                <w:color w:val="7030A0"/>
                <w:sz w:val="16"/>
                <w:szCs w:val="16"/>
              </w:rPr>
            </w:pPr>
          </w:p>
        </w:tc>
        <w:tc>
          <w:tcPr>
            <w:tcW w:w="3038" w:type="pct"/>
            <w:gridSpan w:val="3"/>
            <w:tcBorders>
              <w:top w:val="nil"/>
              <w:left w:val="single" w:sz="2" w:space="0" w:color="auto"/>
              <w:bottom w:val="nil"/>
              <w:right w:val="nil"/>
            </w:tcBorders>
            <w:vAlign w:val="bottom"/>
          </w:tcPr>
          <w:p w14:paraId="420DDED7" w14:textId="6F585531" w:rsidR="00261E77" w:rsidRPr="00AD586B" w:rsidRDefault="00261E77" w:rsidP="00261E77">
            <w:pPr>
              <w:pStyle w:val="TableText"/>
              <w:spacing w:before="0"/>
              <w:jc w:val="both"/>
              <w:rPr>
                <w:rFonts w:cs="Calibri"/>
                <w:b/>
                <w:bCs/>
                <w:color w:val="2E74B5" w:themeColor="accent1" w:themeShade="BF"/>
              </w:rPr>
            </w:pPr>
            <w:r w:rsidRPr="00AD586B">
              <w:rPr>
                <w:b/>
                <w:bCs/>
                <w:color w:val="2E74B5" w:themeColor="accent1" w:themeShade="BF"/>
              </w:rPr>
              <w:t>Carrying value if measured using Cost Model</w:t>
            </w:r>
          </w:p>
        </w:tc>
        <w:tc>
          <w:tcPr>
            <w:tcW w:w="602" w:type="pct"/>
            <w:tcBorders>
              <w:top w:val="nil"/>
              <w:left w:val="nil"/>
              <w:bottom w:val="nil"/>
              <w:right w:val="nil"/>
            </w:tcBorders>
            <w:vAlign w:val="center"/>
          </w:tcPr>
          <w:p w14:paraId="292ABE04" w14:textId="06C045E3"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center"/>
          </w:tcPr>
          <w:p w14:paraId="67C8661C" w14:textId="00743FCD" w:rsidR="00261E77" w:rsidRPr="00AD586B" w:rsidRDefault="00261E77" w:rsidP="00261E77">
            <w:pPr>
              <w:pStyle w:val="TableText"/>
              <w:spacing w:before="0"/>
              <w:jc w:val="both"/>
              <w:rPr>
                <w:rFonts w:cs="Calibri"/>
                <w:color w:val="2E74B5" w:themeColor="accent1" w:themeShade="BF"/>
              </w:rPr>
            </w:pPr>
          </w:p>
        </w:tc>
      </w:tr>
      <w:tr w:rsidR="00261E77" w:rsidRPr="00CF7E1B" w14:paraId="60F384A2" w14:textId="77777777" w:rsidTr="005F5B4C">
        <w:trPr>
          <w:cantSplit/>
          <w:trHeight w:val="36"/>
        </w:trPr>
        <w:tc>
          <w:tcPr>
            <w:tcW w:w="750" w:type="pct"/>
            <w:tcBorders>
              <w:top w:val="nil"/>
              <w:left w:val="single" w:sz="2" w:space="0" w:color="auto"/>
              <w:bottom w:val="nil"/>
              <w:right w:val="single" w:sz="2" w:space="0" w:color="auto"/>
            </w:tcBorders>
          </w:tcPr>
          <w:p w14:paraId="04B36E8C" w14:textId="77777777" w:rsidR="00261E77" w:rsidRPr="00AD586B" w:rsidRDefault="00261E77" w:rsidP="00261E77">
            <w:pPr>
              <w:pStyle w:val="TableReference"/>
              <w:tabs>
                <w:tab w:val="left" w:pos="3306"/>
              </w:tabs>
              <w:spacing w:before="60"/>
              <w:rPr>
                <w:rFonts w:cs="Calibri"/>
                <w:color w:val="7030A0"/>
                <w:sz w:val="16"/>
                <w:szCs w:val="16"/>
              </w:rPr>
            </w:pPr>
          </w:p>
        </w:tc>
        <w:tc>
          <w:tcPr>
            <w:tcW w:w="3038" w:type="pct"/>
            <w:gridSpan w:val="3"/>
            <w:tcBorders>
              <w:top w:val="nil"/>
              <w:left w:val="single" w:sz="2" w:space="0" w:color="auto"/>
              <w:bottom w:val="nil"/>
              <w:right w:val="nil"/>
            </w:tcBorders>
            <w:vAlign w:val="bottom"/>
          </w:tcPr>
          <w:p w14:paraId="72A499D8" w14:textId="15761500"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Land</w:t>
            </w:r>
          </w:p>
        </w:tc>
        <w:tc>
          <w:tcPr>
            <w:tcW w:w="602" w:type="pct"/>
            <w:tcBorders>
              <w:top w:val="nil"/>
              <w:left w:val="nil"/>
              <w:bottom w:val="nil"/>
              <w:right w:val="nil"/>
            </w:tcBorders>
            <w:vAlign w:val="bottom"/>
          </w:tcPr>
          <w:p w14:paraId="2FAEDB05"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621529DA"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76AEA76" w14:textId="77777777" w:rsidTr="005F5B4C">
        <w:trPr>
          <w:cantSplit/>
          <w:trHeight w:val="36"/>
        </w:trPr>
        <w:tc>
          <w:tcPr>
            <w:tcW w:w="750" w:type="pct"/>
            <w:tcBorders>
              <w:top w:val="nil"/>
              <w:left w:val="single" w:sz="2" w:space="0" w:color="auto"/>
              <w:bottom w:val="nil"/>
              <w:right w:val="single" w:sz="2" w:space="0" w:color="auto"/>
            </w:tcBorders>
          </w:tcPr>
          <w:p w14:paraId="3F730C7C" w14:textId="77777777" w:rsidR="00261E77" w:rsidRPr="00AD586B" w:rsidRDefault="00261E77" w:rsidP="00261E77">
            <w:pPr>
              <w:pStyle w:val="TableReference"/>
              <w:tabs>
                <w:tab w:val="left" w:pos="3306"/>
              </w:tabs>
              <w:spacing w:before="60"/>
              <w:rPr>
                <w:rFonts w:cs="Calibri"/>
                <w:color w:val="7030A0"/>
                <w:sz w:val="16"/>
                <w:szCs w:val="16"/>
              </w:rPr>
            </w:pPr>
          </w:p>
        </w:tc>
        <w:tc>
          <w:tcPr>
            <w:tcW w:w="3038" w:type="pct"/>
            <w:gridSpan w:val="3"/>
            <w:tcBorders>
              <w:top w:val="nil"/>
              <w:left w:val="single" w:sz="2" w:space="0" w:color="auto"/>
              <w:bottom w:val="nil"/>
              <w:right w:val="nil"/>
            </w:tcBorders>
            <w:vAlign w:val="bottom"/>
          </w:tcPr>
          <w:p w14:paraId="3BB2D0F5" w14:textId="1E7957F5" w:rsidR="00261E77" w:rsidRPr="00AD586B" w:rsidRDefault="00261E77" w:rsidP="00261E77">
            <w:pPr>
              <w:pStyle w:val="TableText"/>
              <w:spacing w:before="0"/>
              <w:jc w:val="both"/>
              <w:rPr>
                <w:rFonts w:cs="Calibri"/>
                <w:color w:val="2E74B5" w:themeColor="accent1" w:themeShade="BF"/>
              </w:rPr>
            </w:pPr>
            <w:r w:rsidRPr="00AD586B">
              <w:rPr>
                <w:color w:val="2E74B5" w:themeColor="accent1" w:themeShade="BF"/>
              </w:rPr>
              <w:t>Land at Cost</w:t>
            </w:r>
          </w:p>
        </w:tc>
        <w:tc>
          <w:tcPr>
            <w:tcW w:w="602" w:type="pct"/>
            <w:tcBorders>
              <w:top w:val="nil"/>
              <w:left w:val="nil"/>
              <w:bottom w:val="single" w:sz="6" w:space="0" w:color="auto"/>
              <w:right w:val="nil"/>
            </w:tcBorders>
            <w:vAlign w:val="bottom"/>
          </w:tcPr>
          <w:p w14:paraId="56070DA9"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single" w:sz="6" w:space="0" w:color="auto"/>
              <w:right w:val="nil"/>
            </w:tcBorders>
            <w:vAlign w:val="bottom"/>
          </w:tcPr>
          <w:p w14:paraId="67A3F13F"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FC81E96" w14:textId="77777777" w:rsidTr="005F5B4C">
        <w:trPr>
          <w:cantSplit/>
          <w:trHeight w:val="36"/>
        </w:trPr>
        <w:tc>
          <w:tcPr>
            <w:tcW w:w="750" w:type="pct"/>
            <w:tcBorders>
              <w:top w:val="nil"/>
              <w:left w:val="single" w:sz="2" w:space="0" w:color="auto"/>
              <w:bottom w:val="nil"/>
              <w:right w:val="single" w:sz="2" w:space="0" w:color="auto"/>
            </w:tcBorders>
          </w:tcPr>
          <w:p w14:paraId="6C7466A2" w14:textId="72E8F9B3" w:rsidR="00261E77" w:rsidRPr="00AD586B" w:rsidRDefault="00261E77" w:rsidP="00261E77">
            <w:pPr>
              <w:pStyle w:val="TableReference"/>
              <w:tabs>
                <w:tab w:val="left" w:pos="3306"/>
              </w:tabs>
              <w:spacing w:before="60"/>
              <w:rPr>
                <w:rFonts w:cs="Calibri"/>
                <w:color w:val="7030A0"/>
                <w:sz w:val="14"/>
              </w:rPr>
            </w:pPr>
            <w:r w:rsidRPr="00AD586B">
              <w:rPr>
                <w:color w:val="7030A0"/>
                <w:sz w:val="14"/>
              </w:rPr>
              <w:t>AASB 116.77(e)</w:t>
            </w:r>
          </w:p>
        </w:tc>
        <w:tc>
          <w:tcPr>
            <w:tcW w:w="3038" w:type="pct"/>
            <w:gridSpan w:val="3"/>
            <w:tcBorders>
              <w:top w:val="nil"/>
              <w:left w:val="single" w:sz="2" w:space="0" w:color="auto"/>
              <w:bottom w:val="nil"/>
              <w:right w:val="nil"/>
            </w:tcBorders>
            <w:vAlign w:val="bottom"/>
          </w:tcPr>
          <w:p w14:paraId="489252BB" w14:textId="47D25DEE" w:rsidR="00261E77" w:rsidRPr="00AD586B" w:rsidRDefault="00261E77" w:rsidP="00261E77">
            <w:pPr>
              <w:pStyle w:val="TableText"/>
              <w:spacing w:before="0"/>
              <w:jc w:val="both"/>
              <w:rPr>
                <w:rFonts w:cs="Calibri"/>
                <w:b/>
                <w:bCs/>
                <w:color w:val="2E74B5" w:themeColor="accent1" w:themeShade="BF"/>
              </w:rPr>
            </w:pPr>
            <w:r w:rsidRPr="00AD586B">
              <w:rPr>
                <w:b/>
                <w:bCs/>
                <w:color w:val="2E74B5" w:themeColor="accent1" w:themeShade="BF"/>
              </w:rPr>
              <w:t>Total Land Assets at Cost</w:t>
            </w:r>
          </w:p>
        </w:tc>
        <w:tc>
          <w:tcPr>
            <w:tcW w:w="602" w:type="pct"/>
            <w:tcBorders>
              <w:top w:val="single" w:sz="6" w:space="0" w:color="auto"/>
              <w:left w:val="nil"/>
              <w:bottom w:val="single" w:sz="6" w:space="0" w:color="auto"/>
              <w:right w:val="nil"/>
            </w:tcBorders>
            <w:vAlign w:val="bottom"/>
          </w:tcPr>
          <w:p w14:paraId="307CAFC5"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single" w:sz="6" w:space="0" w:color="auto"/>
              <w:left w:val="nil"/>
              <w:bottom w:val="single" w:sz="6" w:space="0" w:color="auto"/>
              <w:right w:val="nil"/>
            </w:tcBorders>
            <w:vAlign w:val="bottom"/>
          </w:tcPr>
          <w:p w14:paraId="3A6FD842"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5B529A04" w14:textId="77777777" w:rsidTr="005F5B4C">
        <w:trPr>
          <w:cantSplit/>
          <w:trHeight w:val="36"/>
        </w:trPr>
        <w:tc>
          <w:tcPr>
            <w:tcW w:w="750" w:type="pct"/>
            <w:tcBorders>
              <w:top w:val="nil"/>
              <w:left w:val="single" w:sz="2" w:space="0" w:color="auto"/>
              <w:bottom w:val="nil"/>
              <w:right w:val="single" w:sz="2" w:space="0" w:color="auto"/>
            </w:tcBorders>
          </w:tcPr>
          <w:p w14:paraId="23F2CDC5"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vAlign w:val="bottom"/>
          </w:tcPr>
          <w:p w14:paraId="34CCC261" w14:textId="2AACEBB0" w:rsidR="00261E77" w:rsidRPr="00AD586B" w:rsidRDefault="00261E77" w:rsidP="00261E77">
            <w:pPr>
              <w:pStyle w:val="TableText"/>
              <w:spacing w:before="0"/>
              <w:jc w:val="both"/>
              <w:rPr>
                <w:color w:val="2E74B5" w:themeColor="accent1" w:themeShade="BF"/>
              </w:rPr>
            </w:pPr>
          </w:p>
        </w:tc>
        <w:tc>
          <w:tcPr>
            <w:tcW w:w="602" w:type="pct"/>
            <w:tcBorders>
              <w:top w:val="single" w:sz="6" w:space="0" w:color="auto"/>
              <w:left w:val="nil"/>
              <w:bottom w:val="nil"/>
              <w:right w:val="nil"/>
            </w:tcBorders>
            <w:vAlign w:val="bottom"/>
          </w:tcPr>
          <w:p w14:paraId="2E49C57A"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single" w:sz="6" w:space="0" w:color="auto"/>
              <w:left w:val="nil"/>
              <w:bottom w:val="nil"/>
              <w:right w:val="nil"/>
            </w:tcBorders>
            <w:vAlign w:val="bottom"/>
          </w:tcPr>
          <w:p w14:paraId="5F29A2AC"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1B2D5CF" w14:textId="77777777" w:rsidTr="005F5B4C">
        <w:trPr>
          <w:cantSplit/>
          <w:trHeight w:val="36"/>
        </w:trPr>
        <w:tc>
          <w:tcPr>
            <w:tcW w:w="750" w:type="pct"/>
            <w:tcBorders>
              <w:top w:val="nil"/>
              <w:left w:val="single" w:sz="2" w:space="0" w:color="auto"/>
              <w:bottom w:val="nil"/>
              <w:right w:val="single" w:sz="2" w:space="0" w:color="auto"/>
            </w:tcBorders>
          </w:tcPr>
          <w:p w14:paraId="15B2952A"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vAlign w:val="bottom"/>
          </w:tcPr>
          <w:p w14:paraId="7F111E15" w14:textId="5C4A4B30" w:rsidR="00261E77" w:rsidRPr="00AD586B" w:rsidRDefault="00261E77" w:rsidP="00261E77">
            <w:pPr>
              <w:pStyle w:val="TableText"/>
              <w:spacing w:before="0"/>
              <w:jc w:val="both"/>
              <w:rPr>
                <w:b/>
                <w:bCs/>
                <w:color w:val="2E74B5" w:themeColor="accent1" w:themeShade="BF"/>
              </w:rPr>
            </w:pPr>
            <w:r w:rsidRPr="00AD586B">
              <w:rPr>
                <w:b/>
                <w:bCs/>
                <w:color w:val="2E74B5" w:themeColor="accent1" w:themeShade="BF"/>
              </w:rPr>
              <w:t>Buildings</w:t>
            </w:r>
          </w:p>
        </w:tc>
        <w:tc>
          <w:tcPr>
            <w:tcW w:w="602" w:type="pct"/>
            <w:tcBorders>
              <w:top w:val="nil"/>
              <w:left w:val="nil"/>
              <w:bottom w:val="nil"/>
              <w:right w:val="nil"/>
            </w:tcBorders>
            <w:vAlign w:val="bottom"/>
          </w:tcPr>
          <w:p w14:paraId="4EBC03D0"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1DEB29E4"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BCC6DA2" w14:textId="77777777" w:rsidTr="005F5B4C">
        <w:trPr>
          <w:cantSplit/>
          <w:trHeight w:val="36"/>
        </w:trPr>
        <w:tc>
          <w:tcPr>
            <w:tcW w:w="750" w:type="pct"/>
            <w:tcBorders>
              <w:top w:val="nil"/>
              <w:left w:val="single" w:sz="2" w:space="0" w:color="auto"/>
              <w:bottom w:val="nil"/>
              <w:right w:val="single" w:sz="2" w:space="0" w:color="auto"/>
            </w:tcBorders>
          </w:tcPr>
          <w:p w14:paraId="0E17130B"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vAlign w:val="bottom"/>
          </w:tcPr>
          <w:p w14:paraId="2642377B" w14:textId="4FC73F0C" w:rsidR="00261E77" w:rsidRPr="00AD586B" w:rsidRDefault="00261E77" w:rsidP="00261E77">
            <w:pPr>
              <w:pStyle w:val="TableText"/>
              <w:spacing w:before="0"/>
              <w:jc w:val="both"/>
              <w:rPr>
                <w:color w:val="2E74B5" w:themeColor="accent1" w:themeShade="BF"/>
              </w:rPr>
            </w:pPr>
            <w:r w:rsidRPr="00AD586B">
              <w:rPr>
                <w:color w:val="2E74B5" w:themeColor="accent1" w:themeShade="BF"/>
              </w:rPr>
              <w:t>Buildings at Cost</w:t>
            </w:r>
          </w:p>
        </w:tc>
        <w:tc>
          <w:tcPr>
            <w:tcW w:w="602" w:type="pct"/>
            <w:tcBorders>
              <w:top w:val="nil"/>
              <w:left w:val="nil"/>
              <w:bottom w:val="nil"/>
              <w:right w:val="nil"/>
            </w:tcBorders>
            <w:vAlign w:val="bottom"/>
          </w:tcPr>
          <w:p w14:paraId="55574326"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0FB7DE00"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779C3202" w14:textId="77777777" w:rsidTr="005F5B4C">
        <w:trPr>
          <w:cantSplit/>
          <w:trHeight w:val="36"/>
        </w:trPr>
        <w:tc>
          <w:tcPr>
            <w:tcW w:w="750" w:type="pct"/>
            <w:tcBorders>
              <w:top w:val="nil"/>
              <w:left w:val="single" w:sz="2" w:space="0" w:color="auto"/>
              <w:bottom w:val="nil"/>
              <w:right w:val="single" w:sz="2" w:space="0" w:color="auto"/>
            </w:tcBorders>
          </w:tcPr>
          <w:p w14:paraId="158682B4"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6450EE48" w14:textId="5F70842C" w:rsidR="00261E77" w:rsidRPr="00AD586B" w:rsidRDefault="00261E77" w:rsidP="00261E77">
            <w:pPr>
              <w:pStyle w:val="TableText"/>
              <w:spacing w:before="0"/>
              <w:jc w:val="both"/>
              <w:rPr>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0FD23785"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0EA8AA5C"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2CDD94BC" w14:textId="77777777" w:rsidTr="005F5B4C">
        <w:trPr>
          <w:cantSplit/>
          <w:trHeight w:val="36"/>
        </w:trPr>
        <w:tc>
          <w:tcPr>
            <w:tcW w:w="750" w:type="pct"/>
            <w:tcBorders>
              <w:top w:val="nil"/>
              <w:left w:val="single" w:sz="2" w:space="0" w:color="auto"/>
              <w:bottom w:val="nil"/>
              <w:right w:val="single" w:sz="2" w:space="0" w:color="auto"/>
            </w:tcBorders>
          </w:tcPr>
          <w:p w14:paraId="2F6E0776"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2B21191A" w14:textId="7A8B74CE" w:rsidR="00261E77" w:rsidRPr="00AD586B" w:rsidRDefault="00261E77" w:rsidP="00261E77">
            <w:pPr>
              <w:pStyle w:val="TableText"/>
              <w:spacing w:before="0"/>
              <w:jc w:val="both"/>
              <w:rPr>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6" w:space="0" w:color="auto"/>
              <w:right w:val="nil"/>
            </w:tcBorders>
            <w:vAlign w:val="bottom"/>
          </w:tcPr>
          <w:p w14:paraId="2FCCCF1E"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single" w:sz="6" w:space="0" w:color="auto"/>
              <w:right w:val="nil"/>
            </w:tcBorders>
            <w:vAlign w:val="bottom"/>
          </w:tcPr>
          <w:p w14:paraId="5F326F1D"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55EB530" w14:textId="77777777" w:rsidTr="005F5B4C">
        <w:trPr>
          <w:cantSplit/>
          <w:trHeight w:val="36"/>
        </w:trPr>
        <w:tc>
          <w:tcPr>
            <w:tcW w:w="750" w:type="pct"/>
            <w:tcBorders>
              <w:top w:val="nil"/>
              <w:left w:val="single" w:sz="2" w:space="0" w:color="auto"/>
              <w:bottom w:val="nil"/>
              <w:right w:val="single" w:sz="2" w:space="0" w:color="auto"/>
            </w:tcBorders>
          </w:tcPr>
          <w:p w14:paraId="64E782C0" w14:textId="59D56DC5" w:rsidR="00261E77" w:rsidRPr="00AD586B" w:rsidRDefault="00261E77" w:rsidP="00261E77">
            <w:pPr>
              <w:pStyle w:val="TableReference"/>
              <w:tabs>
                <w:tab w:val="left" w:pos="3306"/>
              </w:tabs>
              <w:spacing w:before="60"/>
              <w:rPr>
                <w:rFonts w:cs="Calibri"/>
                <w:color w:val="7030A0"/>
                <w:sz w:val="14"/>
              </w:rPr>
            </w:pPr>
            <w:r w:rsidRPr="00AD586B">
              <w:rPr>
                <w:color w:val="7030A0"/>
                <w:sz w:val="14"/>
              </w:rPr>
              <w:t>AASB 116.77(e)</w:t>
            </w:r>
          </w:p>
        </w:tc>
        <w:tc>
          <w:tcPr>
            <w:tcW w:w="3038" w:type="pct"/>
            <w:gridSpan w:val="3"/>
            <w:tcBorders>
              <w:top w:val="nil"/>
              <w:left w:val="single" w:sz="2" w:space="0" w:color="auto"/>
              <w:bottom w:val="nil"/>
              <w:right w:val="nil"/>
            </w:tcBorders>
            <w:vAlign w:val="bottom"/>
          </w:tcPr>
          <w:p w14:paraId="208FE01C" w14:textId="34EB07FD"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Total Buildings at Cost</w:t>
            </w:r>
          </w:p>
        </w:tc>
        <w:tc>
          <w:tcPr>
            <w:tcW w:w="602" w:type="pct"/>
            <w:tcBorders>
              <w:top w:val="single" w:sz="6" w:space="0" w:color="auto"/>
              <w:left w:val="nil"/>
              <w:bottom w:val="single" w:sz="6" w:space="0" w:color="auto"/>
              <w:right w:val="nil"/>
            </w:tcBorders>
            <w:vAlign w:val="bottom"/>
          </w:tcPr>
          <w:p w14:paraId="4A955C47"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single" w:sz="6" w:space="0" w:color="auto"/>
              <w:left w:val="nil"/>
              <w:bottom w:val="single" w:sz="6" w:space="0" w:color="auto"/>
              <w:right w:val="nil"/>
            </w:tcBorders>
            <w:vAlign w:val="bottom"/>
          </w:tcPr>
          <w:p w14:paraId="5F01DBEB"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22C8AA4F" w14:textId="77777777" w:rsidTr="005F5B4C">
        <w:trPr>
          <w:cantSplit/>
          <w:trHeight w:val="36"/>
        </w:trPr>
        <w:tc>
          <w:tcPr>
            <w:tcW w:w="750" w:type="pct"/>
            <w:tcBorders>
              <w:top w:val="nil"/>
              <w:left w:val="single" w:sz="2" w:space="0" w:color="auto"/>
              <w:bottom w:val="nil"/>
              <w:right w:val="single" w:sz="2" w:space="0" w:color="auto"/>
            </w:tcBorders>
          </w:tcPr>
          <w:p w14:paraId="64C9EC12"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vAlign w:val="bottom"/>
          </w:tcPr>
          <w:p w14:paraId="317258F0" w14:textId="0B722466" w:rsidR="00261E77" w:rsidRPr="00AD586B" w:rsidRDefault="00261E77" w:rsidP="00261E77">
            <w:pPr>
              <w:pStyle w:val="TableText"/>
              <w:spacing w:before="0"/>
              <w:jc w:val="both"/>
              <w:rPr>
                <w:rFonts w:cs="Calibri"/>
                <w:color w:val="2E74B5" w:themeColor="accent1" w:themeShade="BF"/>
              </w:rPr>
            </w:pPr>
          </w:p>
        </w:tc>
        <w:tc>
          <w:tcPr>
            <w:tcW w:w="602" w:type="pct"/>
            <w:tcBorders>
              <w:top w:val="single" w:sz="6" w:space="0" w:color="auto"/>
              <w:left w:val="nil"/>
              <w:bottom w:val="nil"/>
              <w:right w:val="nil"/>
            </w:tcBorders>
            <w:vAlign w:val="bottom"/>
          </w:tcPr>
          <w:p w14:paraId="0ACAC655"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single" w:sz="6" w:space="0" w:color="auto"/>
              <w:left w:val="nil"/>
              <w:bottom w:val="nil"/>
              <w:right w:val="nil"/>
            </w:tcBorders>
            <w:vAlign w:val="bottom"/>
          </w:tcPr>
          <w:p w14:paraId="202767DF"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2E8E17EE" w14:textId="77777777" w:rsidTr="005F5B4C">
        <w:trPr>
          <w:cantSplit/>
          <w:trHeight w:val="36"/>
        </w:trPr>
        <w:tc>
          <w:tcPr>
            <w:tcW w:w="750" w:type="pct"/>
            <w:tcBorders>
              <w:top w:val="nil"/>
              <w:left w:val="single" w:sz="2" w:space="0" w:color="auto"/>
              <w:bottom w:val="nil"/>
              <w:right w:val="single" w:sz="2" w:space="0" w:color="auto"/>
            </w:tcBorders>
          </w:tcPr>
          <w:p w14:paraId="4F186AE7"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76CA09F0" w14:textId="30919387"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Leasehold Improvements</w:t>
            </w:r>
          </w:p>
        </w:tc>
        <w:tc>
          <w:tcPr>
            <w:tcW w:w="602" w:type="pct"/>
            <w:tcBorders>
              <w:top w:val="nil"/>
              <w:left w:val="nil"/>
              <w:bottom w:val="nil"/>
              <w:right w:val="nil"/>
            </w:tcBorders>
            <w:vAlign w:val="bottom"/>
          </w:tcPr>
          <w:p w14:paraId="3FEC3D37"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64F538BA"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5BDDFFFD" w14:textId="77777777" w:rsidTr="005F5B4C">
        <w:trPr>
          <w:cantSplit/>
          <w:trHeight w:val="36"/>
        </w:trPr>
        <w:tc>
          <w:tcPr>
            <w:tcW w:w="750" w:type="pct"/>
            <w:tcBorders>
              <w:top w:val="nil"/>
              <w:left w:val="single" w:sz="2" w:space="0" w:color="auto"/>
              <w:bottom w:val="nil"/>
              <w:right w:val="single" w:sz="2" w:space="0" w:color="auto"/>
            </w:tcBorders>
          </w:tcPr>
          <w:p w14:paraId="21808320"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5A3329F5" w14:textId="24375EA7"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Leasehold Improvements at Cost</w:t>
            </w:r>
          </w:p>
        </w:tc>
        <w:tc>
          <w:tcPr>
            <w:tcW w:w="602" w:type="pct"/>
            <w:tcBorders>
              <w:top w:val="nil"/>
              <w:left w:val="nil"/>
              <w:bottom w:val="nil"/>
              <w:right w:val="nil"/>
            </w:tcBorders>
            <w:vAlign w:val="bottom"/>
          </w:tcPr>
          <w:p w14:paraId="77DD72D8"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058BB651"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2C88305" w14:textId="77777777" w:rsidTr="005F5B4C">
        <w:trPr>
          <w:cantSplit/>
          <w:trHeight w:val="36"/>
        </w:trPr>
        <w:tc>
          <w:tcPr>
            <w:tcW w:w="750" w:type="pct"/>
            <w:tcBorders>
              <w:top w:val="nil"/>
              <w:left w:val="single" w:sz="2" w:space="0" w:color="auto"/>
              <w:bottom w:val="nil"/>
              <w:right w:val="single" w:sz="2" w:space="0" w:color="auto"/>
            </w:tcBorders>
          </w:tcPr>
          <w:p w14:paraId="258E28E7"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59C3E562" w14:textId="266BF0E2"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4B43B4AC"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7F76FCAD"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079060F7" w14:textId="77777777" w:rsidTr="005F5B4C">
        <w:trPr>
          <w:cantSplit/>
          <w:trHeight w:val="36"/>
        </w:trPr>
        <w:tc>
          <w:tcPr>
            <w:tcW w:w="750" w:type="pct"/>
            <w:tcBorders>
              <w:top w:val="nil"/>
              <w:left w:val="single" w:sz="2" w:space="0" w:color="auto"/>
              <w:bottom w:val="nil"/>
              <w:right w:val="single" w:sz="2" w:space="0" w:color="auto"/>
            </w:tcBorders>
          </w:tcPr>
          <w:p w14:paraId="6B690730"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3745ABC8" w14:textId="1604C2A1"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6" w:space="0" w:color="auto"/>
              <w:right w:val="nil"/>
            </w:tcBorders>
            <w:vAlign w:val="bottom"/>
          </w:tcPr>
          <w:p w14:paraId="06DBEE81"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single" w:sz="6" w:space="0" w:color="auto"/>
              <w:right w:val="nil"/>
            </w:tcBorders>
            <w:vAlign w:val="bottom"/>
          </w:tcPr>
          <w:p w14:paraId="3E596BFB"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47764EE1" w14:textId="77777777" w:rsidTr="005F5B4C">
        <w:trPr>
          <w:cantSplit/>
          <w:trHeight w:val="36"/>
        </w:trPr>
        <w:tc>
          <w:tcPr>
            <w:tcW w:w="750" w:type="pct"/>
            <w:tcBorders>
              <w:top w:val="nil"/>
              <w:left w:val="single" w:sz="2" w:space="0" w:color="auto"/>
              <w:bottom w:val="nil"/>
              <w:right w:val="single" w:sz="2" w:space="0" w:color="auto"/>
            </w:tcBorders>
          </w:tcPr>
          <w:p w14:paraId="1314A686" w14:textId="026C8CCC" w:rsidR="00261E77" w:rsidRPr="00AD586B" w:rsidRDefault="00261E77" w:rsidP="00261E77">
            <w:pPr>
              <w:pStyle w:val="TableReference"/>
              <w:tabs>
                <w:tab w:val="left" w:pos="3306"/>
              </w:tabs>
              <w:spacing w:before="60"/>
              <w:rPr>
                <w:rFonts w:cs="Calibri"/>
                <w:color w:val="7030A0"/>
                <w:sz w:val="14"/>
              </w:rPr>
            </w:pPr>
            <w:r w:rsidRPr="00AD586B">
              <w:rPr>
                <w:color w:val="7030A0"/>
                <w:sz w:val="14"/>
              </w:rPr>
              <w:t>AASB 116.77(e)</w:t>
            </w:r>
          </w:p>
        </w:tc>
        <w:tc>
          <w:tcPr>
            <w:tcW w:w="3038" w:type="pct"/>
            <w:gridSpan w:val="3"/>
            <w:tcBorders>
              <w:top w:val="nil"/>
              <w:left w:val="single" w:sz="2" w:space="0" w:color="auto"/>
              <w:bottom w:val="nil"/>
              <w:right w:val="nil"/>
            </w:tcBorders>
          </w:tcPr>
          <w:p w14:paraId="1A4523A5" w14:textId="2125536A"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Total Leasehold Improvements at Cost</w:t>
            </w:r>
          </w:p>
        </w:tc>
        <w:tc>
          <w:tcPr>
            <w:tcW w:w="602" w:type="pct"/>
            <w:tcBorders>
              <w:top w:val="single" w:sz="6" w:space="0" w:color="auto"/>
              <w:left w:val="nil"/>
              <w:bottom w:val="single" w:sz="6" w:space="0" w:color="auto"/>
              <w:right w:val="nil"/>
            </w:tcBorders>
            <w:vAlign w:val="bottom"/>
          </w:tcPr>
          <w:p w14:paraId="697536EC"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single" w:sz="6" w:space="0" w:color="auto"/>
              <w:left w:val="nil"/>
              <w:bottom w:val="single" w:sz="6" w:space="0" w:color="auto"/>
              <w:right w:val="nil"/>
            </w:tcBorders>
            <w:vAlign w:val="bottom"/>
          </w:tcPr>
          <w:p w14:paraId="50C8EE99"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05C2B50" w14:textId="77777777" w:rsidTr="005F5B4C">
        <w:trPr>
          <w:cantSplit/>
          <w:trHeight w:val="36"/>
        </w:trPr>
        <w:tc>
          <w:tcPr>
            <w:tcW w:w="750" w:type="pct"/>
            <w:tcBorders>
              <w:top w:val="nil"/>
              <w:left w:val="single" w:sz="2" w:space="0" w:color="auto"/>
              <w:bottom w:val="nil"/>
              <w:right w:val="single" w:sz="2" w:space="0" w:color="auto"/>
            </w:tcBorders>
          </w:tcPr>
          <w:p w14:paraId="0B23E81D"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7B8C6730" w14:textId="77777777" w:rsidR="00261E77" w:rsidRPr="00AD586B" w:rsidRDefault="00261E77" w:rsidP="00261E77">
            <w:pPr>
              <w:pStyle w:val="TableText"/>
              <w:spacing w:before="0"/>
              <w:jc w:val="both"/>
              <w:rPr>
                <w:rFonts w:cs="Calibri"/>
                <w:b/>
                <w:bCs/>
                <w:color w:val="2E74B5" w:themeColor="accent1" w:themeShade="BF"/>
              </w:rPr>
            </w:pPr>
          </w:p>
        </w:tc>
        <w:tc>
          <w:tcPr>
            <w:tcW w:w="602" w:type="pct"/>
            <w:tcBorders>
              <w:top w:val="single" w:sz="6" w:space="0" w:color="auto"/>
              <w:left w:val="nil"/>
              <w:bottom w:val="nil"/>
              <w:right w:val="nil"/>
            </w:tcBorders>
            <w:vAlign w:val="bottom"/>
          </w:tcPr>
          <w:p w14:paraId="545FA7A7"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single" w:sz="6" w:space="0" w:color="auto"/>
              <w:left w:val="nil"/>
              <w:bottom w:val="nil"/>
              <w:right w:val="nil"/>
            </w:tcBorders>
            <w:vAlign w:val="bottom"/>
          </w:tcPr>
          <w:p w14:paraId="74AF9E63"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4FB6D56B" w14:textId="77777777" w:rsidTr="005F5B4C">
        <w:trPr>
          <w:cantSplit/>
          <w:trHeight w:val="36"/>
        </w:trPr>
        <w:tc>
          <w:tcPr>
            <w:tcW w:w="750" w:type="pct"/>
            <w:tcBorders>
              <w:top w:val="nil"/>
              <w:left w:val="single" w:sz="2" w:space="0" w:color="auto"/>
              <w:bottom w:val="nil"/>
              <w:right w:val="single" w:sz="2" w:space="0" w:color="auto"/>
            </w:tcBorders>
          </w:tcPr>
          <w:p w14:paraId="79B705B2" w14:textId="77777777" w:rsidR="00261E77" w:rsidRPr="00AD586B"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7D628415" w14:textId="77777777" w:rsidR="00261E77" w:rsidRPr="00AD586B" w:rsidRDefault="00261E77" w:rsidP="00261E77">
            <w:pPr>
              <w:pStyle w:val="TableText"/>
              <w:spacing w:before="0"/>
              <w:jc w:val="both"/>
              <w:rPr>
                <w:rFonts w:cs="Calibri"/>
                <w:b/>
                <w:bCs/>
                <w:color w:val="2E74B5" w:themeColor="accent1" w:themeShade="BF"/>
              </w:rPr>
            </w:pPr>
          </w:p>
        </w:tc>
        <w:tc>
          <w:tcPr>
            <w:tcW w:w="602" w:type="pct"/>
            <w:tcBorders>
              <w:top w:val="nil"/>
              <w:left w:val="nil"/>
              <w:bottom w:val="nil"/>
              <w:right w:val="nil"/>
            </w:tcBorders>
            <w:vAlign w:val="bottom"/>
          </w:tcPr>
          <w:p w14:paraId="477214BC"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7E925AEB" w14:textId="77777777" w:rsidR="00261E77" w:rsidRPr="00AD586B" w:rsidRDefault="00261E77" w:rsidP="00261E77">
            <w:pPr>
              <w:pStyle w:val="TableText"/>
              <w:spacing w:before="0"/>
              <w:jc w:val="both"/>
              <w:rPr>
                <w:rFonts w:cs="Calibri"/>
                <w:color w:val="2E74B5" w:themeColor="accent1" w:themeShade="BF"/>
              </w:rPr>
            </w:pPr>
          </w:p>
        </w:tc>
      </w:tr>
      <w:bookmarkEnd w:id="537"/>
      <w:tr w:rsidR="00261E77" w:rsidRPr="00CF7E1B" w14:paraId="2251C5AA" w14:textId="77777777" w:rsidTr="005F5B4C">
        <w:trPr>
          <w:cantSplit/>
          <w:trHeight w:val="36"/>
        </w:trPr>
        <w:tc>
          <w:tcPr>
            <w:tcW w:w="750" w:type="pct"/>
            <w:tcBorders>
              <w:top w:val="nil"/>
              <w:left w:val="single" w:sz="2" w:space="0" w:color="auto"/>
              <w:bottom w:val="nil"/>
              <w:right w:val="single" w:sz="2" w:space="0" w:color="auto"/>
            </w:tcBorders>
          </w:tcPr>
          <w:p w14:paraId="70F59FFB" w14:textId="77777777" w:rsidR="00261E77" w:rsidRPr="00FB3AD2"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vAlign w:val="bottom"/>
          </w:tcPr>
          <w:p w14:paraId="1A0748C9" w14:textId="291A67BC" w:rsidR="00261E77" w:rsidRPr="00AD586B" w:rsidRDefault="00261E77" w:rsidP="00261E77">
            <w:pPr>
              <w:pStyle w:val="TableText"/>
              <w:spacing w:before="0"/>
              <w:jc w:val="both"/>
              <w:rPr>
                <w:rFonts w:cs="Calibri"/>
                <w:b/>
                <w:bCs/>
                <w:color w:val="2E74B5" w:themeColor="accent1" w:themeShade="BF"/>
              </w:rPr>
            </w:pPr>
            <w:r w:rsidRPr="00AD586B">
              <w:rPr>
                <w:rFonts w:cs="Calibri"/>
                <w:b/>
                <w:bCs/>
                <w:color w:val="2E74B5" w:themeColor="accent1" w:themeShade="BF"/>
              </w:rPr>
              <w:t>Community and Heritage Assets</w:t>
            </w:r>
          </w:p>
        </w:tc>
        <w:tc>
          <w:tcPr>
            <w:tcW w:w="602" w:type="pct"/>
            <w:tcBorders>
              <w:top w:val="nil"/>
              <w:left w:val="nil"/>
              <w:bottom w:val="nil"/>
              <w:right w:val="nil"/>
            </w:tcBorders>
            <w:vAlign w:val="bottom"/>
          </w:tcPr>
          <w:p w14:paraId="24801060"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6001060B"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79818CEA" w14:textId="77777777" w:rsidTr="005F5B4C">
        <w:trPr>
          <w:cantSplit/>
          <w:trHeight w:val="36"/>
        </w:trPr>
        <w:tc>
          <w:tcPr>
            <w:tcW w:w="750" w:type="pct"/>
            <w:tcBorders>
              <w:top w:val="nil"/>
              <w:left w:val="single" w:sz="2" w:space="0" w:color="auto"/>
              <w:bottom w:val="nil"/>
              <w:right w:val="single" w:sz="2" w:space="0" w:color="auto"/>
            </w:tcBorders>
          </w:tcPr>
          <w:p w14:paraId="41812260" w14:textId="77777777" w:rsidR="00261E77" w:rsidRPr="00FB3AD2"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1210A567" w14:textId="536D8896" w:rsidR="00261E77" w:rsidRPr="00AD586B" w:rsidRDefault="00261E77" w:rsidP="00261E77">
            <w:pPr>
              <w:pStyle w:val="TableText"/>
              <w:spacing w:before="0"/>
              <w:jc w:val="both"/>
              <w:rPr>
                <w:rFonts w:cs="Calibri"/>
                <w:b/>
                <w:bCs/>
                <w:color w:val="2E74B5" w:themeColor="accent1" w:themeShade="BF"/>
              </w:rPr>
            </w:pPr>
            <w:r w:rsidRPr="00AD586B">
              <w:rPr>
                <w:rFonts w:cs="Calibri"/>
                <w:color w:val="2E74B5" w:themeColor="accent1" w:themeShade="BF"/>
              </w:rPr>
              <w:t>Community and Heritage Assets at Cost</w:t>
            </w:r>
          </w:p>
        </w:tc>
        <w:tc>
          <w:tcPr>
            <w:tcW w:w="602" w:type="pct"/>
            <w:tcBorders>
              <w:top w:val="nil"/>
              <w:left w:val="nil"/>
              <w:bottom w:val="nil"/>
              <w:right w:val="nil"/>
            </w:tcBorders>
            <w:vAlign w:val="bottom"/>
          </w:tcPr>
          <w:p w14:paraId="23A622CE"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37921021"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0D75123B" w14:textId="77777777" w:rsidTr="005F5B4C">
        <w:trPr>
          <w:cantSplit/>
          <w:trHeight w:val="36"/>
        </w:trPr>
        <w:tc>
          <w:tcPr>
            <w:tcW w:w="750" w:type="pct"/>
            <w:tcBorders>
              <w:top w:val="nil"/>
              <w:left w:val="single" w:sz="2" w:space="0" w:color="auto"/>
              <w:bottom w:val="nil"/>
              <w:right w:val="single" w:sz="2" w:space="0" w:color="auto"/>
            </w:tcBorders>
          </w:tcPr>
          <w:p w14:paraId="28572CA2" w14:textId="77777777" w:rsidR="00261E77" w:rsidRPr="00FB3AD2"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33581679" w14:textId="28A0EB8F"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5562EEB5"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4F6C6BEC"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19072EA1" w14:textId="77777777" w:rsidTr="005F5B4C">
        <w:trPr>
          <w:cantSplit/>
          <w:trHeight w:val="36"/>
        </w:trPr>
        <w:tc>
          <w:tcPr>
            <w:tcW w:w="750" w:type="pct"/>
            <w:tcBorders>
              <w:top w:val="nil"/>
              <w:left w:val="single" w:sz="2" w:space="0" w:color="auto"/>
              <w:bottom w:val="nil"/>
              <w:right w:val="single" w:sz="2" w:space="0" w:color="auto"/>
            </w:tcBorders>
          </w:tcPr>
          <w:p w14:paraId="16A66A29" w14:textId="77777777" w:rsidR="00261E77" w:rsidRPr="00FB3AD2" w:rsidRDefault="00261E77" w:rsidP="00261E77">
            <w:pPr>
              <w:pStyle w:val="TableReference"/>
              <w:tabs>
                <w:tab w:val="left" w:pos="3306"/>
              </w:tabs>
              <w:spacing w:before="60"/>
              <w:rPr>
                <w:rFonts w:cs="Calibri"/>
                <w:color w:val="7030A0"/>
                <w:sz w:val="14"/>
              </w:rPr>
            </w:pPr>
          </w:p>
        </w:tc>
        <w:tc>
          <w:tcPr>
            <w:tcW w:w="3038" w:type="pct"/>
            <w:gridSpan w:val="3"/>
            <w:tcBorders>
              <w:top w:val="nil"/>
              <w:left w:val="single" w:sz="2" w:space="0" w:color="auto"/>
              <w:bottom w:val="nil"/>
              <w:right w:val="nil"/>
            </w:tcBorders>
          </w:tcPr>
          <w:p w14:paraId="094374AC" w14:textId="06C12AF4" w:rsidR="00261E77" w:rsidRPr="00AD586B" w:rsidRDefault="00261E77" w:rsidP="00261E77">
            <w:pPr>
              <w:pStyle w:val="TableText"/>
              <w:spacing w:before="0"/>
              <w:jc w:val="both"/>
              <w:rPr>
                <w:rFonts w:cs="Calibri"/>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6" w:space="0" w:color="auto"/>
              <w:right w:val="nil"/>
            </w:tcBorders>
            <w:vAlign w:val="bottom"/>
          </w:tcPr>
          <w:p w14:paraId="7BDFB2C9"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single" w:sz="6" w:space="0" w:color="auto"/>
              <w:right w:val="nil"/>
            </w:tcBorders>
            <w:vAlign w:val="bottom"/>
          </w:tcPr>
          <w:p w14:paraId="4FDAD416"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DC6DE97" w14:textId="77777777" w:rsidTr="005F5B4C">
        <w:trPr>
          <w:cantSplit/>
          <w:trHeight w:val="36"/>
        </w:trPr>
        <w:tc>
          <w:tcPr>
            <w:tcW w:w="750" w:type="pct"/>
            <w:tcBorders>
              <w:top w:val="nil"/>
              <w:left w:val="single" w:sz="2" w:space="0" w:color="auto"/>
              <w:bottom w:val="nil"/>
              <w:right w:val="single" w:sz="2" w:space="0" w:color="auto"/>
            </w:tcBorders>
          </w:tcPr>
          <w:p w14:paraId="367F06C2" w14:textId="51D33874" w:rsidR="00261E77" w:rsidRPr="00FB3AD2" w:rsidRDefault="00261E77" w:rsidP="00261E77">
            <w:pPr>
              <w:pStyle w:val="TableReference"/>
              <w:tabs>
                <w:tab w:val="left" w:pos="3306"/>
              </w:tabs>
              <w:spacing w:before="60"/>
              <w:rPr>
                <w:rFonts w:cs="Calibri"/>
                <w:color w:val="7030A0"/>
                <w:sz w:val="14"/>
              </w:rPr>
            </w:pPr>
            <w:r w:rsidRPr="00FB3AD2">
              <w:rPr>
                <w:color w:val="7030A0"/>
                <w:sz w:val="14"/>
              </w:rPr>
              <w:t>AASB 116.77(e)</w:t>
            </w:r>
          </w:p>
        </w:tc>
        <w:tc>
          <w:tcPr>
            <w:tcW w:w="3038" w:type="pct"/>
            <w:gridSpan w:val="3"/>
            <w:tcBorders>
              <w:top w:val="nil"/>
              <w:left w:val="single" w:sz="2" w:space="0" w:color="auto"/>
              <w:bottom w:val="nil"/>
              <w:right w:val="nil"/>
            </w:tcBorders>
          </w:tcPr>
          <w:p w14:paraId="4232FF7E" w14:textId="04D43455" w:rsidR="00261E77" w:rsidRPr="00AD586B" w:rsidRDefault="00261E77" w:rsidP="00261E77">
            <w:pPr>
              <w:pStyle w:val="TableText"/>
              <w:spacing w:before="0"/>
              <w:jc w:val="both"/>
              <w:rPr>
                <w:rFonts w:cs="Calibri"/>
                <w:color w:val="2E74B5" w:themeColor="accent1" w:themeShade="BF"/>
              </w:rPr>
            </w:pPr>
            <w:r w:rsidRPr="00AD586B">
              <w:rPr>
                <w:rFonts w:cs="Calibri"/>
                <w:b/>
                <w:bCs/>
                <w:color w:val="2E74B5" w:themeColor="accent1" w:themeShade="BF"/>
              </w:rPr>
              <w:t>Total Community and Heritage Assets at Cost</w:t>
            </w:r>
          </w:p>
        </w:tc>
        <w:tc>
          <w:tcPr>
            <w:tcW w:w="602" w:type="pct"/>
            <w:tcBorders>
              <w:top w:val="single" w:sz="6" w:space="0" w:color="auto"/>
              <w:left w:val="nil"/>
              <w:bottom w:val="single" w:sz="6" w:space="0" w:color="auto"/>
              <w:right w:val="nil"/>
            </w:tcBorders>
            <w:vAlign w:val="bottom"/>
          </w:tcPr>
          <w:p w14:paraId="39805566"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single" w:sz="6" w:space="0" w:color="auto"/>
              <w:left w:val="nil"/>
              <w:bottom w:val="single" w:sz="6" w:space="0" w:color="auto"/>
              <w:right w:val="nil"/>
            </w:tcBorders>
            <w:vAlign w:val="bottom"/>
          </w:tcPr>
          <w:p w14:paraId="0B58EE9E"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3C255356" w14:textId="77777777" w:rsidTr="005F5B4C">
        <w:trPr>
          <w:cantSplit/>
          <w:trHeight w:val="36"/>
        </w:trPr>
        <w:tc>
          <w:tcPr>
            <w:tcW w:w="750" w:type="pct"/>
            <w:tcBorders>
              <w:top w:val="nil"/>
              <w:left w:val="single" w:sz="2" w:space="0" w:color="auto"/>
              <w:bottom w:val="nil"/>
              <w:right w:val="single" w:sz="2" w:space="0" w:color="auto"/>
            </w:tcBorders>
          </w:tcPr>
          <w:p w14:paraId="27994CF2" w14:textId="77777777" w:rsidR="00261E77" w:rsidRPr="00FB3AD2" w:rsidRDefault="00261E77" w:rsidP="00261E77">
            <w:pPr>
              <w:pStyle w:val="TableReference"/>
              <w:tabs>
                <w:tab w:val="left" w:pos="3306"/>
              </w:tabs>
              <w:spacing w:before="60"/>
              <w:rPr>
                <w:color w:val="7030A0"/>
                <w:sz w:val="14"/>
              </w:rPr>
            </w:pPr>
          </w:p>
        </w:tc>
        <w:tc>
          <w:tcPr>
            <w:tcW w:w="3038" w:type="pct"/>
            <w:gridSpan w:val="3"/>
            <w:tcBorders>
              <w:top w:val="nil"/>
              <w:left w:val="single" w:sz="2" w:space="0" w:color="auto"/>
              <w:bottom w:val="nil"/>
              <w:right w:val="nil"/>
            </w:tcBorders>
          </w:tcPr>
          <w:p w14:paraId="3F29B376" w14:textId="77777777" w:rsidR="00261E77" w:rsidRPr="00AD586B" w:rsidRDefault="00261E77" w:rsidP="00261E77">
            <w:pPr>
              <w:pStyle w:val="TableText"/>
              <w:spacing w:before="0"/>
              <w:jc w:val="both"/>
              <w:rPr>
                <w:rFonts w:cs="Calibri"/>
                <w:b/>
                <w:bCs/>
                <w:color w:val="2E74B5" w:themeColor="accent1" w:themeShade="BF"/>
              </w:rPr>
            </w:pPr>
          </w:p>
        </w:tc>
        <w:tc>
          <w:tcPr>
            <w:tcW w:w="602" w:type="pct"/>
            <w:tcBorders>
              <w:top w:val="single" w:sz="6" w:space="0" w:color="auto"/>
              <w:left w:val="nil"/>
              <w:bottom w:val="nil"/>
              <w:right w:val="nil"/>
            </w:tcBorders>
            <w:vAlign w:val="bottom"/>
          </w:tcPr>
          <w:p w14:paraId="3DD67DA6"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single" w:sz="6" w:space="0" w:color="auto"/>
              <w:left w:val="nil"/>
              <w:bottom w:val="nil"/>
              <w:right w:val="nil"/>
            </w:tcBorders>
            <w:vAlign w:val="bottom"/>
          </w:tcPr>
          <w:p w14:paraId="689F2397"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5FD31D45" w14:textId="77777777" w:rsidTr="005F5B4C">
        <w:trPr>
          <w:cantSplit/>
          <w:trHeight w:val="70"/>
        </w:trPr>
        <w:tc>
          <w:tcPr>
            <w:tcW w:w="750" w:type="pct"/>
            <w:tcBorders>
              <w:top w:val="nil"/>
              <w:left w:val="single" w:sz="2" w:space="0" w:color="auto"/>
              <w:bottom w:val="nil"/>
              <w:right w:val="single" w:sz="2" w:space="0" w:color="auto"/>
            </w:tcBorders>
          </w:tcPr>
          <w:p w14:paraId="65E28265" w14:textId="77777777" w:rsidR="00261E77" w:rsidRPr="00FB3AD2" w:rsidRDefault="00261E77" w:rsidP="00261E77">
            <w:pPr>
              <w:pStyle w:val="TableReference"/>
              <w:tabs>
                <w:tab w:val="left" w:pos="3306"/>
              </w:tabs>
              <w:spacing w:before="60"/>
              <w:rPr>
                <w:color w:val="7030A0"/>
                <w:sz w:val="14"/>
              </w:rPr>
            </w:pPr>
          </w:p>
        </w:tc>
        <w:tc>
          <w:tcPr>
            <w:tcW w:w="3038" w:type="pct"/>
            <w:gridSpan w:val="3"/>
            <w:tcBorders>
              <w:top w:val="nil"/>
              <w:left w:val="single" w:sz="2" w:space="0" w:color="auto"/>
              <w:bottom w:val="nil"/>
              <w:right w:val="nil"/>
            </w:tcBorders>
          </w:tcPr>
          <w:p w14:paraId="3DB136E8" w14:textId="776C6FF8" w:rsidR="00261E77" w:rsidRPr="00AD586B" w:rsidRDefault="00261E77" w:rsidP="00261E77">
            <w:pPr>
              <w:pStyle w:val="TableText"/>
              <w:spacing w:before="0"/>
              <w:jc w:val="both"/>
              <w:rPr>
                <w:rFonts w:cs="Calibri"/>
                <w:b/>
                <w:bCs/>
                <w:color w:val="2E74B5" w:themeColor="accent1" w:themeShade="BF"/>
              </w:rPr>
            </w:pPr>
            <w:r w:rsidRPr="00AD586B">
              <w:rPr>
                <w:rFonts w:cs="Calibri"/>
                <w:b/>
                <w:bCs/>
                <w:color w:val="2E74B5" w:themeColor="accent1" w:themeShade="BF"/>
              </w:rPr>
              <w:t>Infrastructure Assets</w:t>
            </w:r>
          </w:p>
        </w:tc>
        <w:tc>
          <w:tcPr>
            <w:tcW w:w="602" w:type="pct"/>
            <w:tcBorders>
              <w:top w:val="nil"/>
              <w:left w:val="nil"/>
              <w:bottom w:val="nil"/>
              <w:right w:val="nil"/>
            </w:tcBorders>
            <w:vAlign w:val="bottom"/>
          </w:tcPr>
          <w:p w14:paraId="5294306E"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1A12D71C"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7BD04477" w14:textId="77777777" w:rsidTr="005F5B4C">
        <w:trPr>
          <w:cantSplit/>
          <w:trHeight w:val="36"/>
        </w:trPr>
        <w:tc>
          <w:tcPr>
            <w:tcW w:w="750" w:type="pct"/>
            <w:tcBorders>
              <w:top w:val="nil"/>
              <w:left w:val="single" w:sz="2" w:space="0" w:color="auto"/>
              <w:bottom w:val="nil"/>
              <w:right w:val="single" w:sz="2" w:space="0" w:color="auto"/>
            </w:tcBorders>
          </w:tcPr>
          <w:p w14:paraId="74C8ECD2" w14:textId="77777777" w:rsidR="00261E77" w:rsidRPr="00FB3AD2" w:rsidRDefault="00261E77" w:rsidP="00261E77">
            <w:pPr>
              <w:pStyle w:val="TableReference"/>
              <w:tabs>
                <w:tab w:val="left" w:pos="3306"/>
              </w:tabs>
              <w:spacing w:before="60"/>
              <w:rPr>
                <w:color w:val="7030A0"/>
                <w:sz w:val="14"/>
              </w:rPr>
            </w:pPr>
          </w:p>
        </w:tc>
        <w:tc>
          <w:tcPr>
            <w:tcW w:w="3038" w:type="pct"/>
            <w:gridSpan w:val="3"/>
            <w:tcBorders>
              <w:top w:val="nil"/>
              <w:left w:val="single" w:sz="2" w:space="0" w:color="auto"/>
              <w:bottom w:val="nil"/>
              <w:right w:val="nil"/>
            </w:tcBorders>
          </w:tcPr>
          <w:p w14:paraId="5B3237A3" w14:textId="7CB15833" w:rsidR="00261E77" w:rsidRPr="00AD586B" w:rsidRDefault="00261E77" w:rsidP="00261E77">
            <w:pPr>
              <w:pStyle w:val="TableText"/>
              <w:spacing w:before="0"/>
              <w:jc w:val="both"/>
              <w:rPr>
                <w:rFonts w:cs="Calibri"/>
                <w:b/>
                <w:bCs/>
                <w:color w:val="2E74B5" w:themeColor="accent1" w:themeShade="BF"/>
              </w:rPr>
            </w:pPr>
            <w:r w:rsidRPr="00AD586B">
              <w:rPr>
                <w:rFonts w:cs="Calibri"/>
                <w:color w:val="2E74B5" w:themeColor="accent1" w:themeShade="BF"/>
              </w:rPr>
              <w:t>Infrastructure Assets at Cost</w:t>
            </w:r>
          </w:p>
        </w:tc>
        <w:tc>
          <w:tcPr>
            <w:tcW w:w="602" w:type="pct"/>
            <w:tcBorders>
              <w:top w:val="nil"/>
              <w:left w:val="nil"/>
              <w:bottom w:val="nil"/>
              <w:right w:val="nil"/>
            </w:tcBorders>
            <w:vAlign w:val="bottom"/>
          </w:tcPr>
          <w:p w14:paraId="308D5217"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38930915"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29230CC3" w14:textId="77777777" w:rsidTr="005F5B4C">
        <w:trPr>
          <w:cantSplit/>
          <w:trHeight w:val="36"/>
        </w:trPr>
        <w:tc>
          <w:tcPr>
            <w:tcW w:w="750" w:type="pct"/>
            <w:tcBorders>
              <w:top w:val="nil"/>
              <w:left w:val="single" w:sz="2" w:space="0" w:color="auto"/>
              <w:bottom w:val="nil"/>
              <w:right w:val="single" w:sz="2" w:space="0" w:color="auto"/>
            </w:tcBorders>
          </w:tcPr>
          <w:p w14:paraId="27C9142F" w14:textId="77777777" w:rsidR="00261E77" w:rsidRPr="00FB3AD2" w:rsidRDefault="00261E77" w:rsidP="00261E77">
            <w:pPr>
              <w:pStyle w:val="TableReference"/>
              <w:tabs>
                <w:tab w:val="left" w:pos="3306"/>
              </w:tabs>
              <w:spacing w:before="60"/>
              <w:rPr>
                <w:color w:val="7030A0"/>
                <w:sz w:val="14"/>
              </w:rPr>
            </w:pPr>
          </w:p>
        </w:tc>
        <w:tc>
          <w:tcPr>
            <w:tcW w:w="3038" w:type="pct"/>
            <w:gridSpan w:val="3"/>
            <w:tcBorders>
              <w:top w:val="nil"/>
              <w:left w:val="single" w:sz="2" w:space="0" w:color="auto"/>
              <w:bottom w:val="nil"/>
              <w:right w:val="nil"/>
            </w:tcBorders>
          </w:tcPr>
          <w:p w14:paraId="681812F5" w14:textId="0153D1A7" w:rsidR="00261E77" w:rsidRPr="00AD586B" w:rsidRDefault="00261E77" w:rsidP="00261E77">
            <w:pPr>
              <w:pStyle w:val="TableText"/>
              <w:spacing w:before="0"/>
              <w:jc w:val="both"/>
              <w:rPr>
                <w:rFonts w:cs="Calibri"/>
                <w:b/>
                <w:bCs/>
                <w:color w:val="2E74B5" w:themeColor="accent1" w:themeShade="BF"/>
              </w:rPr>
            </w:pPr>
            <w:r w:rsidRPr="00AD586B">
              <w:rPr>
                <w:rFonts w:cs="Calibri"/>
                <w:color w:val="2E74B5" w:themeColor="accent1" w:themeShade="BF"/>
              </w:rPr>
              <w:t>Less: Accumulated Depreciation</w:t>
            </w:r>
          </w:p>
        </w:tc>
        <w:tc>
          <w:tcPr>
            <w:tcW w:w="602" w:type="pct"/>
            <w:tcBorders>
              <w:top w:val="nil"/>
              <w:left w:val="nil"/>
              <w:bottom w:val="nil"/>
              <w:right w:val="nil"/>
            </w:tcBorders>
            <w:vAlign w:val="bottom"/>
          </w:tcPr>
          <w:p w14:paraId="7E9C3092"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nil"/>
              <w:right w:val="nil"/>
            </w:tcBorders>
            <w:vAlign w:val="bottom"/>
          </w:tcPr>
          <w:p w14:paraId="49003CA3"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68F3A524" w14:textId="77777777" w:rsidTr="005F5B4C">
        <w:trPr>
          <w:cantSplit/>
          <w:trHeight w:val="36"/>
        </w:trPr>
        <w:tc>
          <w:tcPr>
            <w:tcW w:w="750" w:type="pct"/>
            <w:tcBorders>
              <w:top w:val="nil"/>
              <w:left w:val="single" w:sz="2" w:space="0" w:color="auto"/>
              <w:bottom w:val="nil"/>
              <w:right w:val="single" w:sz="2" w:space="0" w:color="auto"/>
            </w:tcBorders>
          </w:tcPr>
          <w:p w14:paraId="5E88C1BA" w14:textId="77777777" w:rsidR="00261E77" w:rsidRPr="00FB3AD2" w:rsidRDefault="00261E77" w:rsidP="00261E77">
            <w:pPr>
              <w:pStyle w:val="TableReference"/>
              <w:tabs>
                <w:tab w:val="left" w:pos="3306"/>
              </w:tabs>
              <w:spacing w:before="60"/>
              <w:rPr>
                <w:color w:val="7030A0"/>
                <w:sz w:val="14"/>
              </w:rPr>
            </w:pPr>
          </w:p>
        </w:tc>
        <w:tc>
          <w:tcPr>
            <w:tcW w:w="3038" w:type="pct"/>
            <w:gridSpan w:val="3"/>
            <w:tcBorders>
              <w:top w:val="nil"/>
              <w:left w:val="single" w:sz="2" w:space="0" w:color="auto"/>
              <w:bottom w:val="nil"/>
              <w:right w:val="nil"/>
            </w:tcBorders>
          </w:tcPr>
          <w:p w14:paraId="3F7CEE9D" w14:textId="6992208E" w:rsidR="00261E77" w:rsidRPr="00AD586B" w:rsidRDefault="00261E77" w:rsidP="00261E77">
            <w:pPr>
              <w:pStyle w:val="TableText"/>
              <w:spacing w:before="0"/>
              <w:jc w:val="both"/>
              <w:rPr>
                <w:rFonts w:cs="Calibri"/>
                <w:b/>
                <w:bCs/>
                <w:color w:val="2E74B5" w:themeColor="accent1" w:themeShade="BF"/>
              </w:rPr>
            </w:pPr>
            <w:r w:rsidRPr="00AD586B">
              <w:rPr>
                <w:rFonts w:cs="Calibri"/>
                <w:color w:val="2E74B5" w:themeColor="accent1" w:themeShade="BF"/>
              </w:rPr>
              <w:t>Less: Accumulated Impairment Losses</w:t>
            </w:r>
          </w:p>
        </w:tc>
        <w:tc>
          <w:tcPr>
            <w:tcW w:w="602" w:type="pct"/>
            <w:tcBorders>
              <w:top w:val="nil"/>
              <w:left w:val="nil"/>
              <w:bottom w:val="single" w:sz="2" w:space="0" w:color="auto"/>
              <w:right w:val="nil"/>
            </w:tcBorders>
            <w:vAlign w:val="bottom"/>
          </w:tcPr>
          <w:p w14:paraId="36DAC20C" w14:textId="77777777" w:rsidR="00261E77" w:rsidRPr="00AD586B" w:rsidRDefault="00261E77" w:rsidP="00261E77">
            <w:pPr>
              <w:pStyle w:val="TableText"/>
              <w:spacing w:before="0"/>
              <w:jc w:val="both"/>
              <w:rPr>
                <w:rFonts w:cs="Calibri"/>
                <w:color w:val="2E74B5" w:themeColor="accent1" w:themeShade="BF"/>
              </w:rPr>
            </w:pPr>
          </w:p>
        </w:tc>
        <w:tc>
          <w:tcPr>
            <w:tcW w:w="610" w:type="pct"/>
            <w:tcBorders>
              <w:top w:val="nil"/>
              <w:left w:val="nil"/>
              <w:bottom w:val="single" w:sz="2" w:space="0" w:color="auto"/>
              <w:right w:val="nil"/>
            </w:tcBorders>
            <w:vAlign w:val="bottom"/>
          </w:tcPr>
          <w:p w14:paraId="01530501" w14:textId="77777777" w:rsidR="00261E77" w:rsidRPr="00AD586B" w:rsidRDefault="00261E77" w:rsidP="00261E77">
            <w:pPr>
              <w:pStyle w:val="TableText"/>
              <w:spacing w:before="0"/>
              <w:jc w:val="both"/>
              <w:rPr>
                <w:rFonts w:cs="Calibri"/>
                <w:color w:val="2E74B5" w:themeColor="accent1" w:themeShade="BF"/>
              </w:rPr>
            </w:pPr>
          </w:p>
        </w:tc>
      </w:tr>
      <w:tr w:rsidR="00261E77" w:rsidRPr="00CF7E1B" w14:paraId="58A6AE92" w14:textId="77777777" w:rsidTr="005F5B4C">
        <w:trPr>
          <w:cantSplit/>
          <w:trHeight w:val="23"/>
        </w:trPr>
        <w:tc>
          <w:tcPr>
            <w:tcW w:w="750" w:type="pct"/>
            <w:tcBorders>
              <w:top w:val="nil"/>
              <w:left w:val="single" w:sz="2" w:space="0" w:color="auto"/>
              <w:bottom w:val="nil"/>
              <w:right w:val="single" w:sz="2" w:space="0" w:color="auto"/>
            </w:tcBorders>
          </w:tcPr>
          <w:p w14:paraId="3B2DB643" w14:textId="7ECA0675" w:rsidR="00261E77" w:rsidRPr="00FB3AD2" w:rsidRDefault="00261E77" w:rsidP="00261E77">
            <w:pPr>
              <w:pStyle w:val="TableReference"/>
              <w:tabs>
                <w:tab w:val="left" w:pos="3306"/>
              </w:tabs>
              <w:spacing w:before="60"/>
              <w:rPr>
                <w:rFonts w:cs="Calibri"/>
                <w:color w:val="7030A0"/>
                <w:sz w:val="16"/>
                <w:szCs w:val="16"/>
              </w:rPr>
            </w:pPr>
            <w:r w:rsidRPr="00FB3AD2">
              <w:rPr>
                <w:color w:val="7030A0"/>
                <w:sz w:val="14"/>
              </w:rPr>
              <w:t>AASB 116.77(e)</w:t>
            </w:r>
          </w:p>
        </w:tc>
        <w:tc>
          <w:tcPr>
            <w:tcW w:w="3038" w:type="pct"/>
            <w:gridSpan w:val="3"/>
            <w:tcBorders>
              <w:top w:val="nil"/>
              <w:left w:val="single" w:sz="2" w:space="0" w:color="auto"/>
              <w:bottom w:val="nil"/>
              <w:right w:val="nil"/>
            </w:tcBorders>
            <w:vAlign w:val="bottom"/>
          </w:tcPr>
          <w:p w14:paraId="4B6CFE27" w14:textId="77777777" w:rsidR="00261E77" w:rsidRPr="00AD586B" w:rsidRDefault="00261E77" w:rsidP="00261E77">
            <w:pPr>
              <w:pStyle w:val="TableText"/>
              <w:spacing w:before="0" w:after="120"/>
              <w:jc w:val="both"/>
              <w:rPr>
                <w:rFonts w:cs="Calibri"/>
                <w:color w:val="2E74B5" w:themeColor="accent1" w:themeShade="BF"/>
              </w:rPr>
            </w:pPr>
            <w:r w:rsidRPr="00AD586B">
              <w:rPr>
                <w:rFonts w:cs="Calibri"/>
                <w:b/>
                <w:bCs/>
                <w:color w:val="2E74B5" w:themeColor="accent1" w:themeShade="BF"/>
              </w:rPr>
              <w:t>Total Infrastructure Assets at Cost</w:t>
            </w:r>
          </w:p>
        </w:tc>
        <w:tc>
          <w:tcPr>
            <w:tcW w:w="602" w:type="pct"/>
            <w:tcBorders>
              <w:top w:val="single" w:sz="2" w:space="0" w:color="auto"/>
              <w:left w:val="nil"/>
              <w:bottom w:val="single" w:sz="2" w:space="0" w:color="auto"/>
              <w:right w:val="nil"/>
            </w:tcBorders>
            <w:vAlign w:val="bottom"/>
          </w:tcPr>
          <w:p w14:paraId="2F5F0366" w14:textId="77777777" w:rsidR="00261E77" w:rsidRPr="00AD586B" w:rsidRDefault="00261E77" w:rsidP="00261E77">
            <w:pPr>
              <w:pStyle w:val="TableText"/>
              <w:spacing w:before="0" w:after="120"/>
              <w:jc w:val="both"/>
              <w:rPr>
                <w:rFonts w:cs="Calibri"/>
                <w:color w:val="2E74B5" w:themeColor="accent1" w:themeShade="BF"/>
              </w:rPr>
            </w:pPr>
          </w:p>
        </w:tc>
        <w:tc>
          <w:tcPr>
            <w:tcW w:w="610" w:type="pct"/>
            <w:tcBorders>
              <w:top w:val="single" w:sz="2" w:space="0" w:color="auto"/>
              <w:left w:val="nil"/>
              <w:bottom w:val="single" w:sz="2" w:space="0" w:color="auto"/>
              <w:right w:val="nil"/>
            </w:tcBorders>
            <w:vAlign w:val="bottom"/>
          </w:tcPr>
          <w:p w14:paraId="63B6033A" w14:textId="7F6E7434" w:rsidR="00261E77" w:rsidRPr="00AD586B" w:rsidRDefault="00261E77" w:rsidP="00261E77">
            <w:pPr>
              <w:pStyle w:val="TableText"/>
              <w:spacing w:before="0" w:after="120"/>
              <w:jc w:val="both"/>
              <w:rPr>
                <w:rFonts w:cs="Calibri"/>
                <w:color w:val="2E74B5" w:themeColor="accent1" w:themeShade="BF"/>
              </w:rPr>
            </w:pPr>
          </w:p>
        </w:tc>
      </w:tr>
    </w:tbl>
    <w:p w14:paraId="66593404" w14:textId="7F73E9CF" w:rsidR="00AB4450" w:rsidRDefault="00AB4450">
      <w:pPr>
        <w:pStyle w:val="Header"/>
        <w:tabs>
          <w:tab w:val="clear" w:pos="4153"/>
          <w:tab w:val="clear" w:pos="8306"/>
          <w:tab w:val="left" w:pos="3306"/>
        </w:tabs>
        <w:rPr>
          <w:rFonts w:cs="Calibri"/>
          <w:szCs w:val="16"/>
        </w:rPr>
      </w:pPr>
    </w:p>
    <w:p w14:paraId="0C2EFB09" w14:textId="77777777" w:rsidR="00AB4450" w:rsidRDefault="00AB4450" w:rsidP="00AB4450">
      <w:pPr>
        <w:tabs>
          <w:tab w:val="left" w:pos="1979"/>
        </w:tabs>
      </w:pPr>
      <w:r>
        <w:tab/>
      </w:r>
    </w:p>
    <w:p w14:paraId="1CDDA84E" w14:textId="50B6B447" w:rsidR="00AB4450" w:rsidRDefault="00AB4450" w:rsidP="00AB4450">
      <w:pPr>
        <w:tabs>
          <w:tab w:val="left" w:pos="1979"/>
        </w:tabs>
      </w:pPr>
    </w:p>
    <w:p w14:paraId="3CD5ADAD" w14:textId="6C74ABF9" w:rsidR="000144FF" w:rsidRPr="00AB4450" w:rsidRDefault="00AB4450" w:rsidP="00AB4450">
      <w:pPr>
        <w:tabs>
          <w:tab w:val="left" w:pos="1979"/>
        </w:tabs>
        <w:sectPr w:rsidR="000144FF" w:rsidRPr="00AB4450" w:rsidSect="00310663">
          <w:footnotePr>
            <w:numRestart w:val="eachPage"/>
          </w:footnotePr>
          <w:pgSz w:w="11907" w:h="16840" w:code="9"/>
          <w:pgMar w:top="1134" w:right="992" w:bottom="567" w:left="680" w:header="425" w:footer="720" w:gutter="0"/>
          <w:cols w:space="720"/>
        </w:sectPr>
      </w:pPr>
      <w:r>
        <w:tab/>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7"/>
        <w:gridCol w:w="5090"/>
        <w:gridCol w:w="1277"/>
        <w:gridCol w:w="1422"/>
        <w:gridCol w:w="1647"/>
        <w:gridCol w:w="54"/>
        <w:gridCol w:w="1423"/>
        <w:gridCol w:w="1275"/>
        <w:gridCol w:w="1271"/>
        <w:gridCol w:w="10"/>
        <w:gridCol w:w="855"/>
      </w:tblGrid>
      <w:tr w:rsidR="00AD586B" w:rsidRPr="00AD586B" w14:paraId="302F4590" w14:textId="77777777" w:rsidTr="005F5B4C">
        <w:trPr>
          <w:gridAfter w:val="5"/>
          <w:wAfter w:w="4834" w:type="dxa"/>
          <w:cantSplit/>
          <w:trHeight w:val="23"/>
        </w:trPr>
        <w:tc>
          <w:tcPr>
            <w:tcW w:w="1408" w:type="dxa"/>
            <w:tcBorders>
              <w:top w:val="nil"/>
              <w:left w:val="single" w:sz="2" w:space="0" w:color="auto"/>
              <w:bottom w:val="nil"/>
              <w:right w:val="single" w:sz="2" w:space="0" w:color="auto"/>
            </w:tcBorders>
          </w:tcPr>
          <w:p w14:paraId="31D8FE2D" w14:textId="77777777" w:rsidR="00C47D2D" w:rsidRPr="00AD586B" w:rsidRDefault="00C47D2D" w:rsidP="007D4DCE">
            <w:pPr>
              <w:pStyle w:val="Reference"/>
              <w:tabs>
                <w:tab w:val="left" w:pos="3306"/>
              </w:tabs>
              <w:spacing w:before="120" w:after="240"/>
              <w:rPr>
                <w:rFonts w:cs="Calibri"/>
                <w:color w:val="7030A0"/>
                <w:sz w:val="22"/>
                <w:szCs w:val="22"/>
              </w:rPr>
            </w:pPr>
            <w:bookmarkStart w:id="538" w:name="_Toc194978792"/>
            <w:bookmarkStart w:id="539" w:name="_Toc194996859"/>
            <w:r w:rsidRPr="00AD586B">
              <w:rPr>
                <w:rFonts w:cs="Calibri"/>
                <w:color w:val="7030A0"/>
                <w:sz w:val="22"/>
                <w:szCs w:val="22"/>
              </w:rPr>
              <w:t>Reference</w:t>
            </w:r>
          </w:p>
        </w:tc>
        <w:tc>
          <w:tcPr>
            <w:tcW w:w="9490" w:type="dxa"/>
            <w:gridSpan w:val="5"/>
            <w:tcBorders>
              <w:top w:val="nil"/>
              <w:left w:val="single" w:sz="2" w:space="0" w:color="auto"/>
              <w:bottom w:val="nil"/>
              <w:right w:val="nil"/>
            </w:tcBorders>
          </w:tcPr>
          <w:p w14:paraId="6C9BCDB3" w14:textId="5908F31E" w:rsidR="00C47D2D" w:rsidRPr="00AD586B" w:rsidRDefault="00C47D2D" w:rsidP="007D4DCE">
            <w:pPr>
              <w:spacing w:before="120" w:after="240"/>
              <w:rPr>
                <w:rFonts w:ascii="Arial Bold" w:hAnsi="Arial Bold" w:cs="Arial"/>
                <w:b/>
                <w:caps/>
                <w:sz w:val="32"/>
                <w:szCs w:val="32"/>
              </w:rPr>
            </w:pPr>
            <w:r w:rsidRPr="00AD586B">
              <w:rPr>
                <w:rFonts w:ascii="Arial Bold" w:hAnsi="Arial Bold" w:cs="Arial"/>
                <w:b/>
                <w:caps/>
                <w:sz w:val="32"/>
                <w:szCs w:val="32"/>
              </w:rPr>
              <w:t xml:space="preserve">Note </w:t>
            </w:r>
            <w:r w:rsidR="001B1A1D" w:rsidRPr="00AD586B">
              <w:rPr>
                <w:rFonts w:ascii="Arial Bold" w:hAnsi="Arial Bold" w:cs="Arial"/>
                <w:b/>
                <w:caps/>
                <w:sz w:val="32"/>
                <w:szCs w:val="32"/>
              </w:rPr>
              <w:t>19</w:t>
            </w:r>
            <w:r w:rsidRPr="00AD586B">
              <w:rPr>
                <w:rFonts w:ascii="Arial Bold" w:hAnsi="Arial Bold" w:cs="Arial"/>
                <w:b/>
                <w:caps/>
                <w:sz w:val="32"/>
                <w:szCs w:val="32"/>
              </w:rPr>
              <w:t>.</w:t>
            </w:r>
            <w:r w:rsidR="00FA7C77">
              <w:rPr>
                <w:rFonts w:ascii="Arial Bold" w:hAnsi="Arial Bold" w:cs="Arial"/>
                <w:b/>
                <w:caps/>
                <w:sz w:val="32"/>
                <w:szCs w:val="32"/>
              </w:rPr>
              <w:t xml:space="preserve"> </w:t>
            </w:r>
            <w:r w:rsidRPr="00AD586B">
              <w:rPr>
                <w:rFonts w:ascii="Arial Bold" w:hAnsi="Arial Bold" w:cs="Arial"/>
                <w:b/>
                <w:caps/>
                <w:sz w:val="32"/>
                <w:szCs w:val="32"/>
              </w:rPr>
              <w:t xml:space="preserve"> Property, Plant and Equipment – Continued</w:t>
            </w:r>
          </w:p>
        </w:tc>
      </w:tr>
      <w:tr w:rsidR="006060C9" w:rsidRPr="000415FC" w14:paraId="70BB4F4E" w14:textId="77777777" w:rsidTr="005F5B4C">
        <w:trPr>
          <w:cantSplit/>
          <w:trHeight w:val="23"/>
        </w:trPr>
        <w:tc>
          <w:tcPr>
            <w:tcW w:w="1408" w:type="dxa"/>
            <w:tcBorders>
              <w:top w:val="nil"/>
              <w:left w:val="single" w:sz="2" w:space="0" w:color="auto"/>
              <w:bottom w:val="nil"/>
              <w:right w:val="single" w:sz="2" w:space="0" w:color="auto"/>
            </w:tcBorders>
          </w:tcPr>
          <w:p w14:paraId="20C04C4D" w14:textId="77777777" w:rsidR="006060C9" w:rsidRPr="00AD586B" w:rsidRDefault="006060C9" w:rsidP="00AD586B">
            <w:pPr>
              <w:pStyle w:val="Reference"/>
              <w:tabs>
                <w:tab w:val="left" w:pos="3306"/>
              </w:tabs>
              <w:rPr>
                <w:rFonts w:cs="Calibri"/>
                <w:color w:val="7030A0"/>
                <w:sz w:val="22"/>
                <w:szCs w:val="22"/>
              </w:rPr>
            </w:pPr>
          </w:p>
        </w:tc>
        <w:tc>
          <w:tcPr>
            <w:tcW w:w="14324" w:type="dxa"/>
            <w:gridSpan w:val="10"/>
            <w:tcBorders>
              <w:top w:val="nil"/>
              <w:left w:val="single" w:sz="2" w:space="0" w:color="auto"/>
              <w:bottom w:val="nil"/>
              <w:right w:val="nil"/>
            </w:tcBorders>
          </w:tcPr>
          <w:p w14:paraId="0C3BE48B" w14:textId="2AE12829" w:rsidR="006060C9" w:rsidRPr="00AD586B" w:rsidRDefault="006060C9" w:rsidP="006060C9">
            <w:pPr>
              <w:pStyle w:val="NormalSFLeadIn"/>
              <w:spacing w:before="0" w:after="0"/>
              <w:rPr>
                <w:sz w:val="14"/>
                <w:szCs w:val="14"/>
              </w:rPr>
            </w:pPr>
            <w:bookmarkStart w:id="540" w:name="_Toc48468553"/>
            <w:bookmarkStart w:id="541" w:name="_Toc49155661"/>
            <w:bookmarkStart w:id="542" w:name="_Toc194918653"/>
            <w:r w:rsidRPr="00AD586B">
              <w:rPr>
                <w:b/>
                <w:sz w:val="18"/>
                <w:szCs w:val="18"/>
              </w:rPr>
              <w:t>Reconciliation of Property, Plant and Equipment</w:t>
            </w:r>
            <w:bookmarkEnd w:id="540"/>
            <w:bookmarkEnd w:id="541"/>
            <w:bookmarkEnd w:id="542"/>
            <w:r w:rsidRPr="00AD586B">
              <w:rPr>
                <w:b/>
                <w:sz w:val="18"/>
                <w:szCs w:val="18"/>
              </w:rPr>
              <w:t xml:space="preserve"> – 2021-22</w:t>
            </w:r>
          </w:p>
        </w:tc>
      </w:tr>
      <w:tr w:rsidR="00E6027A" w:rsidRPr="000415FC" w14:paraId="12CEB039" w14:textId="77777777" w:rsidTr="005F5B4C">
        <w:trPr>
          <w:cantSplit/>
          <w:trHeight w:val="84"/>
        </w:trPr>
        <w:tc>
          <w:tcPr>
            <w:tcW w:w="1408" w:type="dxa"/>
            <w:tcBorders>
              <w:top w:val="nil"/>
              <w:left w:val="single" w:sz="2" w:space="0" w:color="auto"/>
              <w:bottom w:val="nil"/>
              <w:right w:val="single" w:sz="2" w:space="0" w:color="auto"/>
            </w:tcBorders>
          </w:tcPr>
          <w:p w14:paraId="1730F075" w14:textId="77777777" w:rsidR="00AF6496" w:rsidRPr="00AD586B" w:rsidRDefault="00AF6496" w:rsidP="00AF6496">
            <w:pPr>
              <w:pStyle w:val="Reference"/>
              <w:tabs>
                <w:tab w:val="left" w:pos="3306"/>
              </w:tabs>
              <w:spacing w:before="120" w:after="240"/>
              <w:rPr>
                <w:rFonts w:cs="Calibri"/>
                <w:b w:val="0"/>
                <w:bCs w:val="0"/>
                <w:color w:val="7030A0"/>
                <w:sz w:val="14"/>
                <w:szCs w:val="14"/>
              </w:rPr>
            </w:pPr>
          </w:p>
        </w:tc>
        <w:tc>
          <w:tcPr>
            <w:tcW w:w="5090" w:type="dxa"/>
            <w:tcBorders>
              <w:top w:val="nil"/>
              <w:left w:val="single" w:sz="2" w:space="0" w:color="auto"/>
              <w:bottom w:val="nil"/>
              <w:right w:val="nil"/>
            </w:tcBorders>
          </w:tcPr>
          <w:p w14:paraId="4B8566F6" w14:textId="77777777" w:rsidR="00AF6496" w:rsidRPr="00AD586B" w:rsidRDefault="00AF6496" w:rsidP="00AF6496">
            <w:pPr>
              <w:rPr>
                <w:sz w:val="18"/>
                <w:szCs w:val="18"/>
              </w:rPr>
            </w:pPr>
          </w:p>
        </w:tc>
        <w:tc>
          <w:tcPr>
            <w:tcW w:w="1277" w:type="dxa"/>
            <w:tcBorders>
              <w:top w:val="nil"/>
              <w:left w:val="nil"/>
              <w:bottom w:val="nil"/>
              <w:right w:val="nil"/>
            </w:tcBorders>
          </w:tcPr>
          <w:p w14:paraId="5CF13584" w14:textId="77777777"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Land</w:t>
            </w:r>
            <w:r w:rsidRPr="00AD586B">
              <w:rPr>
                <w:rFonts w:asciiTheme="minorHAnsi" w:hAnsiTheme="minorHAnsi" w:cstheme="minorHAnsi"/>
                <w:vertAlign w:val="superscript"/>
              </w:rPr>
              <w:t>a</w:t>
            </w:r>
          </w:p>
          <w:p w14:paraId="57CBCD86" w14:textId="2C9EEF75"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$’000</w:t>
            </w:r>
          </w:p>
        </w:tc>
        <w:tc>
          <w:tcPr>
            <w:tcW w:w="1422" w:type="dxa"/>
            <w:tcBorders>
              <w:top w:val="nil"/>
              <w:left w:val="nil"/>
              <w:bottom w:val="nil"/>
              <w:right w:val="nil"/>
            </w:tcBorders>
          </w:tcPr>
          <w:p w14:paraId="6855218F" w14:textId="77777777"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Buildings</w:t>
            </w:r>
            <w:r w:rsidRPr="00AD586B">
              <w:rPr>
                <w:rFonts w:asciiTheme="minorHAnsi" w:hAnsiTheme="minorHAnsi" w:cstheme="minorHAnsi"/>
                <w:vertAlign w:val="superscript"/>
              </w:rPr>
              <w:t>b</w:t>
            </w:r>
          </w:p>
          <w:p w14:paraId="40986592" w14:textId="24F564C9"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$’000</w:t>
            </w:r>
          </w:p>
        </w:tc>
        <w:tc>
          <w:tcPr>
            <w:tcW w:w="1701" w:type="dxa"/>
            <w:gridSpan w:val="2"/>
            <w:tcBorders>
              <w:top w:val="nil"/>
              <w:left w:val="nil"/>
              <w:bottom w:val="nil"/>
              <w:right w:val="nil"/>
            </w:tcBorders>
          </w:tcPr>
          <w:p w14:paraId="752833D4" w14:textId="77777777"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Leasehold Improvements</w:t>
            </w:r>
          </w:p>
          <w:p w14:paraId="317D6E5A" w14:textId="225950CA"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$’000</w:t>
            </w:r>
          </w:p>
        </w:tc>
        <w:tc>
          <w:tcPr>
            <w:tcW w:w="1423" w:type="dxa"/>
            <w:tcBorders>
              <w:top w:val="nil"/>
              <w:left w:val="nil"/>
              <w:bottom w:val="nil"/>
              <w:right w:val="nil"/>
            </w:tcBorders>
          </w:tcPr>
          <w:p w14:paraId="577D2A20" w14:textId="77777777"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Plant and Equipment</w:t>
            </w:r>
          </w:p>
          <w:p w14:paraId="33FF4425" w14:textId="77C5F82C"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$’000</w:t>
            </w:r>
          </w:p>
        </w:tc>
        <w:tc>
          <w:tcPr>
            <w:tcW w:w="1275" w:type="dxa"/>
            <w:tcBorders>
              <w:top w:val="nil"/>
              <w:left w:val="nil"/>
              <w:bottom w:val="nil"/>
              <w:right w:val="nil"/>
            </w:tcBorders>
          </w:tcPr>
          <w:p w14:paraId="00CE9511" w14:textId="77777777"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Infrastructure Assets</w:t>
            </w:r>
          </w:p>
          <w:p w14:paraId="62E603ED" w14:textId="10396201"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$’000</w:t>
            </w:r>
          </w:p>
        </w:tc>
        <w:tc>
          <w:tcPr>
            <w:tcW w:w="1271" w:type="dxa"/>
            <w:tcBorders>
              <w:top w:val="nil"/>
              <w:left w:val="nil"/>
              <w:bottom w:val="nil"/>
              <w:right w:val="nil"/>
            </w:tcBorders>
          </w:tcPr>
          <w:p w14:paraId="04717604" w14:textId="77777777"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Community/ Heritage</w:t>
            </w:r>
          </w:p>
          <w:p w14:paraId="0FC93888" w14:textId="77777777"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Assets</w:t>
            </w:r>
            <w:r w:rsidRPr="00AD586B">
              <w:rPr>
                <w:rFonts w:asciiTheme="minorHAnsi" w:hAnsiTheme="minorHAnsi" w:cstheme="minorHAnsi"/>
                <w:vertAlign w:val="superscript"/>
              </w:rPr>
              <w:t>c</w:t>
            </w:r>
          </w:p>
          <w:p w14:paraId="2D3175B0" w14:textId="358A76A9"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$’000</w:t>
            </w:r>
          </w:p>
        </w:tc>
        <w:tc>
          <w:tcPr>
            <w:tcW w:w="863" w:type="dxa"/>
            <w:gridSpan w:val="2"/>
            <w:tcBorders>
              <w:top w:val="nil"/>
              <w:left w:val="nil"/>
              <w:bottom w:val="nil"/>
              <w:right w:val="nil"/>
            </w:tcBorders>
          </w:tcPr>
          <w:p w14:paraId="1BF70AE6" w14:textId="77777777"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Total</w:t>
            </w:r>
          </w:p>
          <w:p w14:paraId="5D7CAB91" w14:textId="6F69DF16" w:rsidR="00AF6496" w:rsidRPr="00AD586B" w:rsidRDefault="00AF6496" w:rsidP="00AF6496">
            <w:pPr>
              <w:pStyle w:val="TableTitle"/>
              <w:tabs>
                <w:tab w:val="left" w:pos="3306"/>
              </w:tabs>
              <w:rPr>
                <w:rFonts w:asciiTheme="minorHAnsi" w:hAnsiTheme="minorHAnsi" w:cstheme="minorHAnsi"/>
              </w:rPr>
            </w:pPr>
            <w:r w:rsidRPr="00AD586B">
              <w:rPr>
                <w:rFonts w:asciiTheme="minorHAnsi" w:hAnsiTheme="minorHAnsi" w:cstheme="minorHAnsi"/>
              </w:rPr>
              <w:t>$’000</w:t>
            </w:r>
          </w:p>
        </w:tc>
      </w:tr>
      <w:tr w:rsidR="00E6027A" w:rsidRPr="000415FC" w14:paraId="160001A1" w14:textId="77777777" w:rsidTr="005F5B4C">
        <w:trPr>
          <w:cantSplit/>
          <w:trHeight w:val="84"/>
        </w:trPr>
        <w:tc>
          <w:tcPr>
            <w:tcW w:w="1408" w:type="dxa"/>
            <w:tcBorders>
              <w:top w:val="nil"/>
              <w:left w:val="single" w:sz="2" w:space="0" w:color="auto"/>
              <w:bottom w:val="nil"/>
              <w:right w:val="single" w:sz="2" w:space="0" w:color="auto"/>
            </w:tcBorders>
          </w:tcPr>
          <w:p w14:paraId="0ABD894E" w14:textId="38FC452A" w:rsidR="006060C9" w:rsidRPr="00AD586B" w:rsidRDefault="006060C9"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w:t>
            </w:r>
          </w:p>
        </w:tc>
        <w:tc>
          <w:tcPr>
            <w:tcW w:w="5090" w:type="dxa"/>
            <w:tcBorders>
              <w:top w:val="nil"/>
              <w:left w:val="single" w:sz="2" w:space="0" w:color="auto"/>
              <w:bottom w:val="nil"/>
              <w:right w:val="nil"/>
            </w:tcBorders>
          </w:tcPr>
          <w:p w14:paraId="24493015" w14:textId="4729D8AC" w:rsidR="006060C9" w:rsidRPr="00AD586B" w:rsidRDefault="006060C9" w:rsidP="00AF6496">
            <w:pPr>
              <w:rPr>
                <w:sz w:val="18"/>
                <w:szCs w:val="18"/>
              </w:rPr>
            </w:pPr>
            <w:r w:rsidRPr="00AD586B">
              <w:rPr>
                <w:rFonts w:cs="Calibri"/>
                <w:b/>
                <w:sz w:val="18"/>
                <w:szCs w:val="18"/>
              </w:rPr>
              <w:t>Carrying Amount at the Beginning of the Reporting Period</w:t>
            </w:r>
          </w:p>
        </w:tc>
        <w:tc>
          <w:tcPr>
            <w:tcW w:w="1277" w:type="dxa"/>
            <w:tcBorders>
              <w:top w:val="nil"/>
              <w:left w:val="nil"/>
              <w:bottom w:val="nil"/>
              <w:right w:val="nil"/>
            </w:tcBorders>
          </w:tcPr>
          <w:p w14:paraId="26C658B1" w14:textId="77777777" w:rsidR="006060C9" w:rsidRPr="00AD586B" w:rsidRDefault="006060C9" w:rsidP="00AF6496">
            <w:pPr>
              <w:pStyle w:val="TableTitle"/>
              <w:tabs>
                <w:tab w:val="left" w:pos="3306"/>
              </w:tabs>
              <w:rPr>
                <w:rFonts w:asciiTheme="minorHAnsi" w:hAnsiTheme="minorHAnsi" w:cstheme="minorHAnsi"/>
              </w:rPr>
            </w:pPr>
          </w:p>
        </w:tc>
        <w:tc>
          <w:tcPr>
            <w:tcW w:w="1422" w:type="dxa"/>
            <w:tcBorders>
              <w:top w:val="nil"/>
              <w:left w:val="nil"/>
              <w:bottom w:val="nil"/>
              <w:right w:val="nil"/>
            </w:tcBorders>
          </w:tcPr>
          <w:p w14:paraId="22454795" w14:textId="77777777" w:rsidR="006060C9" w:rsidRPr="00AD586B" w:rsidRDefault="006060C9" w:rsidP="00AF6496">
            <w:pPr>
              <w:pStyle w:val="TableTitle"/>
              <w:tabs>
                <w:tab w:val="left" w:pos="3306"/>
              </w:tabs>
              <w:rPr>
                <w:rFonts w:asciiTheme="minorHAnsi" w:hAnsiTheme="minorHAnsi" w:cstheme="minorHAnsi"/>
              </w:rPr>
            </w:pPr>
          </w:p>
        </w:tc>
        <w:tc>
          <w:tcPr>
            <w:tcW w:w="1701" w:type="dxa"/>
            <w:gridSpan w:val="2"/>
            <w:tcBorders>
              <w:top w:val="nil"/>
              <w:left w:val="nil"/>
              <w:bottom w:val="nil"/>
              <w:right w:val="nil"/>
            </w:tcBorders>
          </w:tcPr>
          <w:p w14:paraId="56D7EB54" w14:textId="77777777" w:rsidR="006060C9" w:rsidRPr="00AD586B" w:rsidRDefault="006060C9" w:rsidP="00AF6496">
            <w:pPr>
              <w:pStyle w:val="TableTitle"/>
              <w:tabs>
                <w:tab w:val="left" w:pos="3306"/>
              </w:tabs>
              <w:rPr>
                <w:rFonts w:asciiTheme="minorHAnsi" w:hAnsiTheme="minorHAnsi" w:cstheme="minorHAnsi"/>
              </w:rPr>
            </w:pPr>
          </w:p>
        </w:tc>
        <w:tc>
          <w:tcPr>
            <w:tcW w:w="1423" w:type="dxa"/>
            <w:tcBorders>
              <w:top w:val="nil"/>
              <w:left w:val="nil"/>
              <w:bottom w:val="nil"/>
              <w:right w:val="nil"/>
            </w:tcBorders>
          </w:tcPr>
          <w:p w14:paraId="346BEB4E" w14:textId="77777777" w:rsidR="006060C9" w:rsidRPr="00AD586B" w:rsidRDefault="006060C9" w:rsidP="00AF6496">
            <w:pPr>
              <w:pStyle w:val="TableTitle"/>
              <w:tabs>
                <w:tab w:val="left" w:pos="3306"/>
              </w:tabs>
              <w:rPr>
                <w:rFonts w:asciiTheme="minorHAnsi" w:hAnsiTheme="minorHAnsi" w:cstheme="minorHAnsi"/>
              </w:rPr>
            </w:pPr>
          </w:p>
        </w:tc>
        <w:tc>
          <w:tcPr>
            <w:tcW w:w="1275" w:type="dxa"/>
            <w:tcBorders>
              <w:top w:val="nil"/>
              <w:left w:val="nil"/>
              <w:bottom w:val="nil"/>
              <w:right w:val="nil"/>
            </w:tcBorders>
          </w:tcPr>
          <w:p w14:paraId="2B2ED77E" w14:textId="77777777" w:rsidR="006060C9" w:rsidRPr="00AD586B" w:rsidRDefault="006060C9" w:rsidP="00AF6496">
            <w:pPr>
              <w:pStyle w:val="TableTitle"/>
              <w:tabs>
                <w:tab w:val="left" w:pos="3306"/>
              </w:tabs>
              <w:rPr>
                <w:rFonts w:asciiTheme="minorHAnsi" w:hAnsiTheme="minorHAnsi" w:cstheme="minorHAnsi"/>
              </w:rPr>
            </w:pPr>
          </w:p>
        </w:tc>
        <w:tc>
          <w:tcPr>
            <w:tcW w:w="1271" w:type="dxa"/>
            <w:tcBorders>
              <w:top w:val="nil"/>
              <w:left w:val="nil"/>
              <w:bottom w:val="nil"/>
              <w:right w:val="nil"/>
            </w:tcBorders>
          </w:tcPr>
          <w:p w14:paraId="3F0DD38A" w14:textId="77777777" w:rsidR="006060C9" w:rsidRPr="00AD586B" w:rsidRDefault="006060C9" w:rsidP="00AF6496">
            <w:pPr>
              <w:pStyle w:val="TableTitle"/>
              <w:tabs>
                <w:tab w:val="left" w:pos="3306"/>
              </w:tabs>
              <w:rPr>
                <w:rFonts w:asciiTheme="minorHAnsi" w:hAnsiTheme="minorHAnsi" w:cstheme="minorHAnsi"/>
              </w:rPr>
            </w:pPr>
          </w:p>
        </w:tc>
        <w:tc>
          <w:tcPr>
            <w:tcW w:w="863" w:type="dxa"/>
            <w:gridSpan w:val="2"/>
            <w:tcBorders>
              <w:top w:val="nil"/>
              <w:left w:val="nil"/>
              <w:bottom w:val="nil"/>
              <w:right w:val="nil"/>
            </w:tcBorders>
          </w:tcPr>
          <w:p w14:paraId="10793C03" w14:textId="77777777" w:rsidR="006060C9" w:rsidRPr="00AD586B" w:rsidRDefault="006060C9" w:rsidP="00AF6496">
            <w:pPr>
              <w:pStyle w:val="TableTitle"/>
              <w:tabs>
                <w:tab w:val="left" w:pos="3306"/>
              </w:tabs>
              <w:rPr>
                <w:rFonts w:asciiTheme="minorHAnsi" w:hAnsiTheme="minorHAnsi" w:cstheme="minorHAnsi"/>
              </w:rPr>
            </w:pPr>
          </w:p>
        </w:tc>
      </w:tr>
      <w:tr w:rsidR="00E6027A" w:rsidRPr="000415FC" w14:paraId="4813840C" w14:textId="77777777" w:rsidTr="005F5B4C">
        <w:trPr>
          <w:cantSplit/>
          <w:trHeight w:val="84"/>
        </w:trPr>
        <w:tc>
          <w:tcPr>
            <w:tcW w:w="1408" w:type="dxa"/>
            <w:tcBorders>
              <w:top w:val="nil"/>
              <w:left w:val="single" w:sz="2" w:space="0" w:color="auto"/>
              <w:bottom w:val="nil"/>
              <w:right w:val="single" w:sz="2" w:space="0" w:color="auto"/>
            </w:tcBorders>
          </w:tcPr>
          <w:p w14:paraId="7E1BA91A" w14:textId="77777777" w:rsidR="006060C9" w:rsidRPr="00AD586B" w:rsidRDefault="006060C9" w:rsidP="006060C9">
            <w:pPr>
              <w:pStyle w:val="TableReference"/>
              <w:tabs>
                <w:tab w:val="left" w:pos="3306"/>
              </w:tabs>
              <w:spacing w:before="40"/>
              <w:rPr>
                <w:rFonts w:cs="Calibri"/>
                <w:color w:val="7030A0"/>
                <w:sz w:val="14"/>
              </w:rPr>
            </w:pPr>
            <w:r w:rsidRPr="00AD586B">
              <w:rPr>
                <w:rFonts w:cs="Calibri"/>
                <w:color w:val="7030A0"/>
                <w:sz w:val="14"/>
              </w:rPr>
              <w:t>AASB 116.73(e)(i)</w:t>
            </w:r>
          </w:p>
          <w:p w14:paraId="0D1D8721" w14:textId="06335298" w:rsidR="006060C9" w:rsidRPr="00AD586B" w:rsidRDefault="006060C9"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16.53(h)</w:t>
            </w:r>
          </w:p>
        </w:tc>
        <w:tc>
          <w:tcPr>
            <w:tcW w:w="5090" w:type="dxa"/>
            <w:tcBorders>
              <w:top w:val="nil"/>
              <w:left w:val="single" w:sz="2" w:space="0" w:color="auto"/>
              <w:bottom w:val="nil"/>
              <w:right w:val="nil"/>
            </w:tcBorders>
          </w:tcPr>
          <w:p w14:paraId="40D5A47A" w14:textId="7A6DF3C8" w:rsidR="006060C9" w:rsidRPr="00AD586B" w:rsidRDefault="006060C9" w:rsidP="00AF6496">
            <w:pPr>
              <w:rPr>
                <w:rFonts w:cs="Calibri"/>
                <w:b/>
                <w:sz w:val="18"/>
                <w:szCs w:val="18"/>
              </w:rPr>
            </w:pPr>
            <w:r w:rsidRPr="00AD586B">
              <w:rPr>
                <w:rFonts w:cs="Calibri"/>
                <w:sz w:val="18"/>
                <w:szCs w:val="18"/>
              </w:rPr>
              <w:t>Additions</w:t>
            </w:r>
          </w:p>
        </w:tc>
        <w:tc>
          <w:tcPr>
            <w:tcW w:w="1277" w:type="dxa"/>
            <w:tcBorders>
              <w:top w:val="nil"/>
              <w:left w:val="nil"/>
              <w:bottom w:val="nil"/>
              <w:right w:val="nil"/>
            </w:tcBorders>
          </w:tcPr>
          <w:p w14:paraId="5F13AB98"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10AAC6CE"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0299857C"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56A2A5CF"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38BFE625"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34ECF228"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0112C4C6"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73038FA5" w14:textId="77777777" w:rsidTr="005F5B4C">
        <w:trPr>
          <w:cantSplit/>
          <w:trHeight w:val="84"/>
        </w:trPr>
        <w:tc>
          <w:tcPr>
            <w:tcW w:w="1408" w:type="dxa"/>
            <w:tcBorders>
              <w:top w:val="nil"/>
              <w:left w:val="single" w:sz="2" w:space="0" w:color="auto"/>
              <w:bottom w:val="nil"/>
              <w:right w:val="single" w:sz="2" w:space="0" w:color="auto"/>
            </w:tcBorders>
          </w:tcPr>
          <w:p w14:paraId="41A24DE5" w14:textId="3FF35EC7" w:rsidR="006060C9" w:rsidRPr="00AD586B" w:rsidRDefault="006060C9"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116.73(e)(ii)</w:t>
            </w:r>
          </w:p>
        </w:tc>
        <w:tc>
          <w:tcPr>
            <w:tcW w:w="5090" w:type="dxa"/>
            <w:tcBorders>
              <w:top w:val="nil"/>
              <w:left w:val="single" w:sz="2" w:space="0" w:color="auto"/>
              <w:bottom w:val="nil"/>
              <w:right w:val="nil"/>
            </w:tcBorders>
          </w:tcPr>
          <w:p w14:paraId="0A931C51" w14:textId="4EB7D3DE" w:rsidR="006060C9" w:rsidRPr="00AD586B" w:rsidRDefault="006060C9" w:rsidP="00AF6496">
            <w:pPr>
              <w:rPr>
                <w:rFonts w:cs="Calibri"/>
                <w:b/>
                <w:sz w:val="18"/>
                <w:szCs w:val="18"/>
              </w:rPr>
            </w:pPr>
            <w:r w:rsidRPr="00AD586B">
              <w:rPr>
                <w:rFonts w:cs="Calibri"/>
                <w:sz w:val="18"/>
                <w:szCs w:val="18"/>
              </w:rPr>
              <w:t>Assets Classified as Held for Sale</w:t>
            </w:r>
          </w:p>
        </w:tc>
        <w:tc>
          <w:tcPr>
            <w:tcW w:w="1277" w:type="dxa"/>
            <w:tcBorders>
              <w:top w:val="nil"/>
              <w:left w:val="nil"/>
              <w:bottom w:val="nil"/>
              <w:right w:val="nil"/>
            </w:tcBorders>
          </w:tcPr>
          <w:p w14:paraId="48B205E6"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7099246A"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3E16EADF"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103D4A4D"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1A5824EC"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428D2702"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3C1E5730"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7EF3E227" w14:textId="77777777" w:rsidTr="005F5B4C">
        <w:trPr>
          <w:cantSplit/>
          <w:trHeight w:val="84"/>
        </w:trPr>
        <w:tc>
          <w:tcPr>
            <w:tcW w:w="1408" w:type="dxa"/>
            <w:tcBorders>
              <w:top w:val="nil"/>
              <w:left w:val="single" w:sz="2" w:space="0" w:color="auto"/>
              <w:bottom w:val="nil"/>
              <w:right w:val="single" w:sz="2" w:space="0" w:color="auto"/>
            </w:tcBorders>
          </w:tcPr>
          <w:p w14:paraId="455B0DB3" w14:textId="660110A8" w:rsidR="006060C9" w:rsidRPr="00AD586B" w:rsidRDefault="006060C9" w:rsidP="006060C9">
            <w:pPr>
              <w:pStyle w:val="TableReference"/>
              <w:tabs>
                <w:tab w:val="left" w:pos="3306"/>
              </w:tabs>
              <w:spacing w:before="40"/>
              <w:rPr>
                <w:rFonts w:cs="Calibri"/>
                <w:color w:val="7030A0"/>
                <w:szCs w:val="12"/>
              </w:rPr>
            </w:pPr>
            <w:r w:rsidRPr="00AD586B">
              <w:rPr>
                <w:rFonts w:cs="Calibri"/>
                <w:color w:val="7030A0"/>
                <w:szCs w:val="12"/>
              </w:rPr>
              <w:t>AASB 116.73(e)(iv)</w:t>
            </w:r>
          </w:p>
        </w:tc>
        <w:tc>
          <w:tcPr>
            <w:tcW w:w="5090" w:type="dxa"/>
            <w:tcBorders>
              <w:top w:val="nil"/>
              <w:left w:val="single" w:sz="2" w:space="0" w:color="auto"/>
              <w:bottom w:val="nil"/>
              <w:right w:val="nil"/>
            </w:tcBorders>
          </w:tcPr>
          <w:p w14:paraId="51295B13" w14:textId="69E9C997" w:rsidR="006060C9" w:rsidRPr="00AD586B" w:rsidRDefault="006060C9" w:rsidP="00AF6496">
            <w:pPr>
              <w:rPr>
                <w:rFonts w:cs="Calibri"/>
                <w:b/>
                <w:sz w:val="18"/>
                <w:szCs w:val="18"/>
              </w:rPr>
            </w:pPr>
            <w:r w:rsidRPr="00AD586B">
              <w:rPr>
                <w:rFonts w:cs="Calibri"/>
                <w:sz w:val="18"/>
                <w:szCs w:val="18"/>
              </w:rPr>
              <w:t>Revaluation Increment/(Decrement)</w:t>
            </w:r>
          </w:p>
        </w:tc>
        <w:tc>
          <w:tcPr>
            <w:tcW w:w="1277" w:type="dxa"/>
            <w:tcBorders>
              <w:top w:val="nil"/>
              <w:left w:val="nil"/>
              <w:bottom w:val="nil"/>
              <w:right w:val="nil"/>
            </w:tcBorders>
          </w:tcPr>
          <w:p w14:paraId="3A97D9F2"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6E90DDEC"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469E8BBD"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4B63A5CE"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48DCA900"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544C44AF"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0CF3C5B1"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18A84A9E" w14:textId="77777777" w:rsidTr="005F5B4C">
        <w:trPr>
          <w:cantSplit/>
          <w:trHeight w:val="84"/>
        </w:trPr>
        <w:tc>
          <w:tcPr>
            <w:tcW w:w="1408" w:type="dxa"/>
            <w:tcBorders>
              <w:top w:val="nil"/>
              <w:left w:val="single" w:sz="2" w:space="0" w:color="auto"/>
              <w:bottom w:val="nil"/>
              <w:right w:val="single" w:sz="2" w:space="0" w:color="auto"/>
            </w:tcBorders>
          </w:tcPr>
          <w:p w14:paraId="0FA06D91" w14:textId="77777777" w:rsidR="006060C9" w:rsidRPr="00AD586B" w:rsidRDefault="006060C9" w:rsidP="006060C9">
            <w:pPr>
              <w:pStyle w:val="TableReference"/>
              <w:tabs>
                <w:tab w:val="left" w:pos="3306"/>
              </w:tabs>
              <w:spacing w:before="40"/>
              <w:rPr>
                <w:rFonts w:cs="Calibri"/>
                <w:color w:val="7030A0"/>
                <w:szCs w:val="12"/>
              </w:rPr>
            </w:pPr>
            <w:r w:rsidRPr="00AD586B">
              <w:rPr>
                <w:rFonts w:cs="Calibri"/>
                <w:color w:val="7030A0"/>
                <w:szCs w:val="12"/>
              </w:rPr>
              <w:t>AASB 116.73(e)(iv)</w:t>
            </w:r>
          </w:p>
          <w:p w14:paraId="6CF220DC" w14:textId="77777777" w:rsidR="006060C9" w:rsidRPr="00AD586B" w:rsidRDefault="006060C9" w:rsidP="00AF6496">
            <w:pPr>
              <w:pStyle w:val="Reference"/>
              <w:tabs>
                <w:tab w:val="left" w:pos="3306"/>
              </w:tabs>
              <w:rPr>
                <w:rFonts w:cs="Calibri"/>
                <w:b w:val="0"/>
                <w:bCs w:val="0"/>
                <w:color w:val="7030A0"/>
                <w:sz w:val="14"/>
                <w:szCs w:val="14"/>
              </w:rPr>
            </w:pPr>
          </w:p>
        </w:tc>
        <w:tc>
          <w:tcPr>
            <w:tcW w:w="5090" w:type="dxa"/>
            <w:tcBorders>
              <w:top w:val="nil"/>
              <w:left w:val="single" w:sz="2" w:space="0" w:color="auto"/>
              <w:bottom w:val="nil"/>
              <w:right w:val="nil"/>
            </w:tcBorders>
          </w:tcPr>
          <w:p w14:paraId="1FE3835F" w14:textId="278AD527" w:rsidR="006060C9" w:rsidRPr="00AD586B" w:rsidRDefault="006060C9" w:rsidP="00AF6496">
            <w:pPr>
              <w:rPr>
                <w:rFonts w:cs="Calibri"/>
                <w:b/>
                <w:sz w:val="18"/>
                <w:szCs w:val="18"/>
              </w:rPr>
            </w:pPr>
            <w:r w:rsidRPr="00AD586B">
              <w:rPr>
                <w:rFonts w:cs="Calibri"/>
                <w:sz w:val="18"/>
                <w:szCs w:val="18"/>
              </w:rPr>
              <w:t>Impairment Losses Recognised in Other Comprehensive Income</w:t>
            </w:r>
          </w:p>
        </w:tc>
        <w:tc>
          <w:tcPr>
            <w:tcW w:w="1277" w:type="dxa"/>
            <w:tcBorders>
              <w:top w:val="nil"/>
              <w:left w:val="nil"/>
              <w:bottom w:val="nil"/>
              <w:right w:val="nil"/>
            </w:tcBorders>
          </w:tcPr>
          <w:p w14:paraId="76339944"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348BCA07"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71D23FFD"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29EDB7C2"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1FAF6838"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273DDE8C"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0B8F6F2A"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2700C00C" w14:textId="77777777" w:rsidTr="005F5B4C">
        <w:trPr>
          <w:cantSplit/>
          <w:trHeight w:val="84"/>
        </w:trPr>
        <w:tc>
          <w:tcPr>
            <w:tcW w:w="1408" w:type="dxa"/>
            <w:tcBorders>
              <w:top w:val="nil"/>
              <w:left w:val="single" w:sz="2" w:space="0" w:color="auto"/>
              <w:bottom w:val="nil"/>
              <w:right w:val="single" w:sz="2" w:space="0" w:color="auto"/>
            </w:tcBorders>
          </w:tcPr>
          <w:p w14:paraId="489F26E7" w14:textId="1BDDB19E" w:rsidR="006060C9" w:rsidRPr="00AD586B" w:rsidRDefault="006060C9" w:rsidP="006060C9">
            <w:pPr>
              <w:pStyle w:val="TableReference"/>
              <w:tabs>
                <w:tab w:val="left" w:pos="3306"/>
              </w:tabs>
              <w:spacing w:before="40"/>
              <w:rPr>
                <w:rFonts w:cs="Calibri"/>
                <w:color w:val="7030A0"/>
                <w:sz w:val="14"/>
              </w:rPr>
            </w:pPr>
            <w:r w:rsidRPr="00AD586B">
              <w:rPr>
                <w:rFonts w:cs="Calibri"/>
                <w:color w:val="7030A0"/>
                <w:sz w:val="14"/>
              </w:rPr>
              <w:t xml:space="preserve">AASB 116.73(e)(vii) </w:t>
            </w:r>
          </w:p>
          <w:p w14:paraId="6C3B4597" w14:textId="1CA44037" w:rsidR="006060C9" w:rsidRPr="00AD586B" w:rsidRDefault="006060C9"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16.53(a)</w:t>
            </w:r>
          </w:p>
        </w:tc>
        <w:tc>
          <w:tcPr>
            <w:tcW w:w="5090" w:type="dxa"/>
            <w:tcBorders>
              <w:top w:val="nil"/>
              <w:left w:val="single" w:sz="2" w:space="0" w:color="auto"/>
              <w:bottom w:val="nil"/>
              <w:right w:val="nil"/>
            </w:tcBorders>
          </w:tcPr>
          <w:p w14:paraId="38E9A83E" w14:textId="4C1D9642" w:rsidR="006060C9" w:rsidRPr="00AD586B" w:rsidRDefault="006060C9" w:rsidP="00AF6496">
            <w:pPr>
              <w:rPr>
                <w:rFonts w:cs="Calibri"/>
                <w:b/>
                <w:sz w:val="18"/>
                <w:szCs w:val="18"/>
              </w:rPr>
            </w:pPr>
            <w:r w:rsidRPr="00AD586B">
              <w:rPr>
                <w:rFonts w:cs="Calibri"/>
                <w:sz w:val="18"/>
                <w:szCs w:val="18"/>
              </w:rPr>
              <w:t>Depreciation</w:t>
            </w:r>
          </w:p>
        </w:tc>
        <w:tc>
          <w:tcPr>
            <w:tcW w:w="1277" w:type="dxa"/>
            <w:tcBorders>
              <w:top w:val="nil"/>
              <w:left w:val="nil"/>
              <w:bottom w:val="nil"/>
              <w:right w:val="nil"/>
            </w:tcBorders>
          </w:tcPr>
          <w:p w14:paraId="76E82C0F"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43EF3DF9"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4C29637B"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6ADA4058"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51E367EE"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1C16E7F6"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35CD7B52"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1DB858BA" w14:textId="77777777" w:rsidTr="005F5B4C">
        <w:trPr>
          <w:cantSplit/>
          <w:trHeight w:val="84"/>
        </w:trPr>
        <w:tc>
          <w:tcPr>
            <w:tcW w:w="1408" w:type="dxa"/>
            <w:tcBorders>
              <w:top w:val="nil"/>
              <w:left w:val="single" w:sz="2" w:space="0" w:color="auto"/>
              <w:bottom w:val="nil"/>
              <w:right w:val="single" w:sz="2" w:space="0" w:color="auto"/>
            </w:tcBorders>
          </w:tcPr>
          <w:p w14:paraId="53047D75" w14:textId="5FEC5745" w:rsidR="006060C9" w:rsidRPr="00AD586B" w:rsidRDefault="006060C9"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090" w:type="dxa"/>
            <w:tcBorders>
              <w:top w:val="nil"/>
              <w:left w:val="single" w:sz="2" w:space="0" w:color="auto"/>
              <w:bottom w:val="nil"/>
              <w:right w:val="nil"/>
            </w:tcBorders>
          </w:tcPr>
          <w:p w14:paraId="6E4DD0BC" w14:textId="77F4558D" w:rsidR="006060C9" w:rsidRPr="00AD586B" w:rsidRDefault="006060C9" w:rsidP="00AF6496">
            <w:pPr>
              <w:rPr>
                <w:rFonts w:cs="Calibri"/>
                <w:b/>
                <w:sz w:val="18"/>
                <w:szCs w:val="18"/>
              </w:rPr>
            </w:pPr>
            <w:r w:rsidRPr="00AD586B">
              <w:rPr>
                <w:rFonts w:cs="Calibri"/>
                <w:sz w:val="18"/>
                <w:szCs w:val="18"/>
              </w:rPr>
              <w:t>Acquisition/(Disposal) through Administrative Restructuring</w:t>
            </w:r>
          </w:p>
        </w:tc>
        <w:tc>
          <w:tcPr>
            <w:tcW w:w="1277" w:type="dxa"/>
            <w:tcBorders>
              <w:top w:val="nil"/>
              <w:left w:val="nil"/>
              <w:bottom w:val="nil"/>
              <w:right w:val="nil"/>
            </w:tcBorders>
          </w:tcPr>
          <w:p w14:paraId="3A4DB754"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527EF53F"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6B9342A8"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0B711FE5"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0DE14739"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1675FD92"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478D95CB"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34C97AEC" w14:textId="77777777" w:rsidTr="005F5B4C">
        <w:trPr>
          <w:cantSplit/>
          <w:trHeight w:val="84"/>
        </w:trPr>
        <w:tc>
          <w:tcPr>
            <w:tcW w:w="1408" w:type="dxa"/>
            <w:tcBorders>
              <w:top w:val="nil"/>
              <w:left w:val="single" w:sz="2" w:space="0" w:color="auto"/>
              <w:bottom w:val="nil"/>
              <w:right w:val="single" w:sz="2" w:space="0" w:color="auto"/>
            </w:tcBorders>
          </w:tcPr>
          <w:p w14:paraId="2F239684" w14:textId="0931DB3F" w:rsidR="006060C9" w:rsidRPr="00AD586B" w:rsidRDefault="006060C9"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090" w:type="dxa"/>
            <w:tcBorders>
              <w:top w:val="nil"/>
              <w:left w:val="single" w:sz="2" w:space="0" w:color="auto"/>
              <w:bottom w:val="nil"/>
              <w:right w:val="nil"/>
            </w:tcBorders>
          </w:tcPr>
          <w:p w14:paraId="035218AB" w14:textId="4FA8AB6D" w:rsidR="006060C9" w:rsidRPr="00AD586B" w:rsidRDefault="006060C9" w:rsidP="00AF6496">
            <w:pPr>
              <w:rPr>
                <w:rFonts w:cs="Calibri"/>
                <w:b/>
                <w:sz w:val="18"/>
                <w:szCs w:val="18"/>
              </w:rPr>
            </w:pPr>
            <w:r w:rsidRPr="00AD586B">
              <w:rPr>
                <w:rFonts w:cs="Calibri"/>
                <w:sz w:val="18"/>
                <w:szCs w:val="18"/>
              </w:rPr>
              <w:t>Acquisition/(Disposal) from Transfers</w:t>
            </w:r>
          </w:p>
        </w:tc>
        <w:tc>
          <w:tcPr>
            <w:tcW w:w="1277" w:type="dxa"/>
            <w:tcBorders>
              <w:top w:val="nil"/>
              <w:left w:val="nil"/>
              <w:bottom w:val="nil"/>
              <w:right w:val="nil"/>
            </w:tcBorders>
          </w:tcPr>
          <w:p w14:paraId="7F8910BA"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4853A566"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4BFD098E"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45645BB6"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361F27C4"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64454B17"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515E96BC"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178651CE" w14:textId="77777777" w:rsidTr="005F5B4C">
        <w:trPr>
          <w:cantSplit/>
          <w:trHeight w:val="84"/>
        </w:trPr>
        <w:tc>
          <w:tcPr>
            <w:tcW w:w="1408" w:type="dxa"/>
            <w:tcBorders>
              <w:top w:val="nil"/>
              <w:left w:val="single" w:sz="2" w:space="0" w:color="auto"/>
              <w:bottom w:val="nil"/>
              <w:right w:val="single" w:sz="2" w:space="0" w:color="auto"/>
            </w:tcBorders>
          </w:tcPr>
          <w:p w14:paraId="7FF8A090" w14:textId="1610E1A3" w:rsidR="006060C9" w:rsidRPr="00AD586B" w:rsidRDefault="006060C9"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w:t>
            </w:r>
          </w:p>
        </w:tc>
        <w:tc>
          <w:tcPr>
            <w:tcW w:w="5090" w:type="dxa"/>
            <w:tcBorders>
              <w:top w:val="nil"/>
              <w:left w:val="single" w:sz="2" w:space="0" w:color="auto"/>
              <w:bottom w:val="nil"/>
              <w:right w:val="nil"/>
            </w:tcBorders>
          </w:tcPr>
          <w:p w14:paraId="0034B365" w14:textId="45827400" w:rsidR="006060C9" w:rsidRPr="00AD586B" w:rsidRDefault="006060C9" w:rsidP="00AF6496">
            <w:pPr>
              <w:rPr>
                <w:rFonts w:cs="Calibri"/>
                <w:b/>
                <w:sz w:val="18"/>
                <w:szCs w:val="18"/>
              </w:rPr>
            </w:pPr>
            <w:r w:rsidRPr="00AD586B">
              <w:rPr>
                <w:rFonts w:cs="Calibri"/>
                <w:sz w:val="18"/>
                <w:szCs w:val="18"/>
              </w:rPr>
              <w:t>Impairment Losses Recognised in the Operating Result</w:t>
            </w:r>
          </w:p>
        </w:tc>
        <w:tc>
          <w:tcPr>
            <w:tcW w:w="1277" w:type="dxa"/>
            <w:tcBorders>
              <w:top w:val="nil"/>
              <w:left w:val="nil"/>
              <w:bottom w:val="nil"/>
              <w:right w:val="nil"/>
            </w:tcBorders>
          </w:tcPr>
          <w:p w14:paraId="00D2EB1C"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3692343E"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21EAF0AD"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4D1FD3D8"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590EEBBF"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2C76D5E8"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65F8DEC0"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499B2DD1" w14:textId="77777777" w:rsidTr="005F5B4C">
        <w:trPr>
          <w:cantSplit/>
          <w:trHeight w:val="84"/>
        </w:trPr>
        <w:tc>
          <w:tcPr>
            <w:tcW w:w="1408" w:type="dxa"/>
            <w:tcBorders>
              <w:top w:val="nil"/>
              <w:left w:val="single" w:sz="2" w:space="0" w:color="auto"/>
              <w:bottom w:val="nil"/>
              <w:right w:val="single" w:sz="2" w:space="0" w:color="auto"/>
            </w:tcBorders>
          </w:tcPr>
          <w:p w14:paraId="34910FFB" w14:textId="4164EDF7" w:rsidR="006060C9" w:rsidRPr="00AD586B" w:rsidRDefault="006060C9"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116.73(e)(vi)</w:t>
            </w:r>
          </w:p>
        </w:tc>
        <w:tc>
          <w:tcPr>
            <w:tcW w:w="5090" w:type="dxa"/>
            <w:tcBorders>
              <w:top w:val="nil"/>
              <w:left w:val="single" w:sz="2" w:space="0" w:color="auto"/>
              <w:bottom w:val="nil"/>
              <w:right w:val="nil"/>
            </w:tcBorders>
          </w:tcPr>
          <w:p w14:paraId="3C1ED4AB" w14:textId="09A2C855" w:rsidR="006060C9" w:rsidRPr="00AD586B" w:rsidRDefault="006060C9" w:rsidP="00AF6496">
            <w:pPr>
              <w:rPr>
                <w:rFonts w:cs="Calibri"/>
                <w:b/>
                <w:sz w:val="18"/>
                <w:szCs w:val="18"/>
              </w:rPr>
            </w:pPr>
            <w:r w:rsidRPr="00AD586B">
              <w:rPr>
                <w:rFonts w:cs="Calibri"/>
                <w:sz w:val="18"/>
                <w:szCs w:val="18"/>
              </w:rPr>
              <w:t>Reversal of Impairment Losses Recognised in the Operating Result</w:t>
            </w:r>
          </w:p>
        </w:tc>
        <w:tc>
          <w:tcPr>
            <w:tcW w:w="1277" w:type="dxa"/>
            <w:tcBorders>
              <w:top w:val="nil"/>
              <w:left w:val="nil"/>
              <w:bottom w:val="nil"/>
              <w:right w:val="nil"/>
            </w:tcBorders>
          </w:tcPr>
          <w:p w14:paraId="05D17EB7"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50F6D6BF"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289933EE"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186A036F"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3612883A"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0000D6D1"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3B3DB6D0"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56649590" w14:textId="77777777" w:rsidTr="005F5B4C">
        <w:trPr>
          <w:cantSplit/>
          <w:trHeight w:val="84"/>
        </w:trPr>
        <w:tc>
          <w:tcPr>
            <w:tcW w:w="1408" w:type="dxa"/>
            <w:tcBorders>
              <w:top w:val="nil"/>
              <w:left w:val="single" w:sz="2" w:space="0" w:color="auto"/>
              <w:bottom w:val="nil"/>
              <w:right w:val="single" w:sz="2" w:space="0" w:color="auto"/>
            </w:tcBorders>
          </w:tcPr>
          <w:p w14:paraId="4A6799B8" w14:textId="7BDB9851" w:rsidR="006060C9" w:rsidRPr="00AD586B" w:rsidRDefault="006060C9"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w:t>
            </w:r>
          </w:p>
        </w:tc>
        <w:tc>
          <w:tcPr>
            <w:tcW w:w="5090" w:type="dxa"/>
            <w:tcBorders>
              <w:top w:val="nil"/>
              <w:left w:val="single" w:sz="2" w:space="0" w:color="auto"/>
              <w:bottom w:val="nil"/>
              <w:right w:val="nil"/>
            </w:tcBorders>
          </w:tcPr>
          <w:p w14:paraId="0381086E" w14:textId="6BF34492" w:rsidR="006060C9" w:rsidRPr="00AD586B" w:rsidRDefault="006060C9" w:rsidP="00AF6496">
            <w:pPr>
              <w:rPr>
                <w:rFonts w:cs="Calibri"/>
                <w:b/>
                <w:sz w:val="18"/>
                <w:szCs w:val="18"/>
              </w:rPr>
            </w:pPr>
            <w:r w:rsidRPr="00AD586B">
              <w:rPr>
                <w:rFonts w:cs="Calibri"/>
                <w:sz w:val="18"/>
                <w:szCs w:val="18"/>
              </w:rPr>
              <w:t>Changes in right-of-use assets due to changes in lease liability</w:t>
            </w:r>
          </w:p>
        </w:tc>
        <w:tc>
          <w:tcPr>
            <w:tcW w:w="1277" w:type="dxa"/>
            <w:tcBorders>
              <w:top w:val="nil"/>
              <w:left w:val="nil"/>
              <w:bottom w:val="nil"/>
              <w:right w:val="nil"/>
            </w:tcBorders>
          </w:tcPr>
          <w:p w14:paraId="082D1C9C"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45AF4C70"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71142E44"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2E3FCEC8"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60EC8DAB"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6E03D01B"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235386BC"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59DD3BDE" w14:textId="77777777" w:rsidTr="005F5B4C">
        <w:trPr>
          <w:cantSplit/>
          <w:trHeight w:val="84"/>
        </w:trPr>
        <w:tc>
          <w:tcPr>
            <w:tcW w:w="1408" w:type="dxa"/>
            <w:tcBorders>
              <w:top w:val="nil"/>
              <w:left w:val="single" w:sz="2" w:space="0" w:color="auto"/>
              <w:bottom w:val="nil"/>
              <w:right w:val="single" w:sz="2" w:space="0" w:color="auto"/>
            </w:tcBorders>
          </w:tcPr>
          <w:p w14:paraId="390C651E" w14:textId="5A1DC6FD" w:rsidR="006060C9" w:rsidRPr="00AD586B" w:rsidRDefault="006060C9" w:rsidP="00AF6496">
            <w:pPr>
              <w:pStyle w:val="Reference"/>
              <w:tabs>
                <w:tab w:val="left" w:pos="3306"/>
              </w:tabs>
              <w:rPr>
                <w:rFonts w:cs="Calibri"/>
                <w:b w:val="0"/>
                <w:bCs w:val="0"/>
                <w:color w:val="7030A0"/>
                <w:sz w:val="14"/>
                <w:szCs w:val="14"/>
              </w:rPr>
            </w:pPr>
            <w:r w:rsidRPr="00AD586B">
              <w:rPr>
                <w:rFonts w:cs="Calibri"/>
                <w:b w:val="0"/>
                <w:bCs w:val="0"/>
                <w:color w:val="7030A0"/>
                <w:sz w:val="14"/>
                <w:szCs w:val="14"/>
              </w:rPr>
              <w:t>AASB 116.73(e)(ix)</w:t>
            </w:r>
          </w:p>
        </w:tc>
        <w:tc>
          <w:tcPr>
            <w:tcW w:w="5090" w:type="dxa"/>
            <w:tcBorders>
              <w:top w:val="nil"/>
              <w:left w:val="single" w:sz="2" w:space="0" w:color="auto"/>
              <w:bottom w:val="nil"/>
              <w:right w:val="nil"/>
            </w:tcBorders>
          </w:tcPr>
          <w:p w14:paraId="2B901162" w14:textId="07E5E34D" w:rsidR="006060C9" w:rsidRPr="00AD586B" w:rsidRDefault="006060C9" w:rsidP="00AF6496">
            <w:pPr>
              <w:rPr>
                <w:rFonts w:cs="Calibri"/>
                <w:b/>
                <w:sz w:val="18"/>
                <w:szCs w:val="18"/>
              </w:rPr>
            </w:pPr>
            <w:r w:rsidRPr="00AD586B">
              <w:rPr>
                <w:rFonts w:cs="Calibri"/>
                <w:sz w:val="18"/>
                <w:szCs w:val="18"/>
              </w:rPr>
              <w:t>Other Movements</w:t>
            </w:r>
          </w:p>
        </w:tc>
        <w:tc>
          <w:tcPr>
            <w:tcW w:w="1277" w:type="dxa"/>
            <w:tcBorders>
              <w:top w:val="nil"/>
              <w:left w:val="nil"/>
              <w:bottom w:val="nil"/>
              <w:right w:val="nil"/>
            </w:tcBorders>
          </w:tcPr>
          <w:p w14:paraId="50F79C24"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nil"/>
              <w:right w:val="nil"/>
            </w:tcBorders>
          </w:tcPr>
          <w:p w14:paraId="462DEC1E"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nil"/>
              <w:right w:val="nil"/>
            </w:tcBorders>
          </w:tcPr>
          <w:p w14:paraId="6AC808F9"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nil"/>
              <w:right w:val="nil"/>
            </w:tcBorders>
          </w:tcPr>
          <w:p w14:paraId="170D1CA4"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nil"/>
              <w:right w:val="nil"/>
            </w:tcBorders>
          </w:tcPr>
          <w:p w14:paraId="6D106D82"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nil"/>
              <w:right w:val="nil"/>
            </w:tcBorders>
          </w:tcPr>
          <w:p w14:paraId="2A45FB54"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nil"/>
              <w:right w:val="nil"/>
            </w:tcBorders>
          </w:tcPr>
          <w:p w14:paraId="59C79CF5"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4B499208" w14:textId="77777777" w:rsidTr="005F5B4C">
        <w:trPr>
          <w:cantSplit/>
          <w:trHeight w:val="84"/>
        </w:trPr>
        <w:tc>
          <w:tcPr>
            <w:tcW w:w="1408" w:type="dxa"/>
            <w:tcBorders>
              <w:top w:val="nil"/>
              <w:left w:val="single" w:sz="2" w:space="0" w:color="auto"/>
              <w:bottom w:val="nil"/>
              <w:right w:val="single" w:sz="2" w:space="0" w:color="auto"/>
            </w:tcBorders>
          </w:tcPr>
          <w:p w14:paraId="1BDB9847" w14:textId="77777777" w:rsidR="006060C9" w:rsidRPr="00AD586B" w:rsidRDefault="006060C9" w:rsidP="006060C9">
            <w:pPr>
              <w:pStyle w:val="TableReference"/>
              <w:tabs>
                <w:tab w:val="left" w:pos="3306"/>
              </w:tabs>
              <w:spacing w:before="40"/>
              <w:rPr>
                <w:rFonts w:cs="Calibri"/>
                <w:color w:val="7030A0"/>
                <w:sz w:val="14"/>
              </w:rPr>
            </w:pPr>
            <w:r w:rsidRPr="00AD586B">
              <w:rPr>
                <w:rFonts w:cs="Calibri"/>
                <w:color w:val="7030A0"/>
                <w:sz w:val="14"/>
              </w:rPr>
              <w:t xml:space="preserve">AASB 116.73(e) </w:t>
            </w:r>
          </w:p>
          <w:p w14:paraId="5A1DA906" w14:textId="526D8DEB" w:rsidR="006060C9" w:rsidRPr="00AD586B" w:rsidRDefault="006060C9" w:rsidP="006060C9">
            <w:pPr>
              <w:pStyle w:val="Reference"/>
              <w:tabs>
                <w:tab w:val="left" w:pos="3306"/>
              </w:tabs>
              <w:rPr>
                <w:rFonts w:cs="Calibri"/>
                <w:b w:val="0"/>
                <w:bCs w:val="0"/>
                <w:color w:val="7030A0"/>
                <w:sz w:val="14"/>
                <w:szCs w:val="14"/>
              </w:rPr>
            </w:pPr>
            <w:r w:rsidRPr="00AD586B">
              <w:rPr>
                <w:rFonts w:cs="Calibri"/>
                <w:b w:val="0"/>
                <w:bCs w:val="0"/>
                <w:color w:val="7030A0"/>
                <w:sz w:val="14"/>
                <w:szCs w:val="14"/>
              </w:rPr>
              <w:t>AASB 16.53 (j)</w:t>
            </w:r>
          </w:p>
        </w:tc>
        <w:tc>
          <w:tcPr>
            <w:tcW w:w="5090" w:type="dxa"/>
            <w:tcBorders>
              <w:top w:val="nil"/>
              <w:left w:val="single" w:sz="2" w:space="0" w:color="auto"/>
              <w:bottom w:val="nil"/>
              <w:right w:val="nil"/>
            </w:tcBorders>
          </w:tcPr>
          <w:p w14:paraId="3EEA3E6B" w14:textId="37B96C70" w:rsidR="006060C9" w:rsidRPr="00AD586B" w:rsidRDefault="006060C9" w:rsidP="00AF6496">
            <w:pPr>
              <w:rPr>
                <w:rFonts w:cs="Calibri"/>
                <w:b/>
                <w:sz w:val="18"/>
                <w:szCs w:val="18"/>
              </w:rPr>
            </w:pPr>
            <w:r w:rsidRPr="00AD586B">
              <w:rPr>
                <w:rFonts w:cs="Calibri"/>
                <w:b/>
                <w:bCs/>
                <w:sz w:val="18"/>
                <w:szCs w:val="18"/>
              </w:rPr>
              <w:t>Carrying Amount at the End of the Reporting Period</w:t>
            </w:r>
          </w:p>
        </w:tc>
        <w:tc>
          <w:tcPr>
            <w:tcW w:w="1277" w:type="dxa"/>
            <w:tcBorders>
              <w:top w:val="nil"/>
              <w:left w:val="nil"/>
              <w:bottom w:val="single" w:sz="2" w:space="0" w:color="auto"/>
              <w:right w:val="nil"/>
            </w:tcBorders>
          </w:tcPr>
          <w:p w14:paraId="3B6976A6"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nil"/>
              <w:left w:val="nil"/>
              <w:bottom w:val="single" w:sz="2" w:space="0" w:color="auto"/>
              <w:right w:val="nil"/>
            </w:tcBorders>
          </w:tcPr>
          <w:p w14:paraId="57F987BC"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nil"/>
              <w:left w:val="nil"/>
              <w:bottom w:val="single" w:sz="2" w:space="0" w:color="auto"/>
              <w:right w:val="nil"/>
            </w:tcBorders>
          </w:tcPr>
          <w:p w14:paraId="1AD91170"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nil"/>
              <w:left w:val="nil"/>
              <w:bottom w:val="single" w:sz="2" w:space="0" w:color="auto"/>
              <w:right w:val="nil"/>
            </w:tcBorders>
          </w:tcPr>
          <w:p w14:paraId="147EBCDF"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nil"/>
              <w:left w:val="nil"/>
              <w:bottom w:val="single" w:sz="2" w:space="0" w:color="auto"/>
              <w:right w:val="nil"/>
            </w:tcBorders>
          </w:tcPr>
          <w:p w14:paraId="5D207FEA"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nil"/>
              <w:left w:val="nil"/>
              <w:bottom w:val="single" w:sz="2" w:space="0" w:color="auto"/>
              <w:right w:val="nil"/>
            </w:tcBorders>
          </w:tcPr>
          <w:p w14:paraId="42D82A18"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nil"/>
              <w:left w:val="nil"/>
              <w:bottom w:val="single" w:sz="2" w:space="0" w:color="auto"/>
              <w:right w:val="nil"/>
            </w:tcBorders>
          </w:tcPr>
          <w:p w14:paraId="79D3BEBF" w14:textId="77777777" w:rsidR="006060C9" w:rsidRPr="00AD586B" w:rsidRDefault="006060C9" w:rsidP="00AF6496">
            <w:pPr>
              <w:jc w:val="right"/>
              <w:rPr>
                <w:rFonts w:asciiTheme="minorHAnsi" w:hAnsiTheme="minorHAnsi" w:cstheme="minorHAnsi"/>
                <w:b/>
                <w:bCs/>
                <w:sz w:val="18"/>
                <w:szCs w:val="18"/>
              </w:rPr>
            </w:pPr>
          </w:p>
        </w:tc>
      </w:tr>
      <w:tr w:rsidR="00E6027A" w:rsidRPr="000415FC" w14:paraId="4F58ECAE" w14:textId="77777777" w:rsidTr="005F5B4C">
        <w:trPr>
          <w:cantSplit/>
          <w:trHeight w:val="84"/>
        </w:trPr>
        <w:tc>
          <w:tcPr>
            <w:tcW w:w="1408" w:type="dxa"/>
            <w:tcBorders>
              <w:top w:val="nil"/>
              <w:left w:val="single" w:sz="2" w:space="0" w:color="auto"/>
              <w:bottom w:val="nil"/>
              <w:right w:val="single" w:sz="2" w:space="0" w:color="auto"/>
            </w:tcBorders>
          </w:tcPr>
          <w:p w14:paraId="63D5E3E9" w14:textId="77777777" w:rsidR="006060C9" w:rsidRPr="00AD586B" w:rsidRDefault="006060C9" w:rsidP="006060C9">
            <w:pPr>
              <w:pStyle w:val="TableReference"/>
              <w:tabs>
                <w:tab w:val="left" w:pos="3306"/>
              </w:tabs>
              <w:spacing w:before="40"/>
              <w:rPr>
                <w:rFonts w:cs="Calibri"/>
                <w:color w:val="7030A0"/>
                <w:sz w:val="14"/>
              </w:rPr>
            </w:pPr>
          </w:p>
        </w:tc>
        <w:tc>
          <w:tcPr>
            <w:tcW w:w="5090" w:type="dxa"/>
            <w:tcBorders>
              <w:top w:val="nil"/>
              <w:left w:val="single" w:sz="2" w:space="0" w:color="auto"/>
              <w:bottom w:val="nil"/>
              <w:right w:val="nil"/>
            </w:tcBorders>
          </w:tcPr>
          <w:p w14:paraId="1F9552A4" w14:textId="77777777" w:rsidR="006060C9" w:rsidRPr="00AD586B" w:rsidRDefault="006060C9" w:rsidP="00AF6496">
            <w:pPr>
              <w:rPr>
                <w:rFonts w:cs="Calibri"/>
                <w:b/>
                <w:bCs/>
                <w:sz w:val="16"/>
              </w:rPr>
            </w:pPr>
          </w:p>
        </w:tc>
        <w:tc>
          <w:tcPr>
            <w:tcW w:w="1277" w:type="dxa"/>
            <w:tcBorders>
              <w:top w:val="single" w:sz="2" w:space="0" w:color="auto"/>
              <w:left w:val="nil"/>
              <w:bottom w:val="double" w:sz="4" w:space="0" w:color="auto"/>
              <w:right w:val="nil"/>
            </w:tcBorders>
          </w:tcPr>
          <w:p w14:paraId="3E900DC2"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single" w:sz="2" w:space="0" w:color="auto"/>
              <w:left w:val="nil"/>
              <w:bottom w:val="double" w:sz="4" w:space="0" w:color="auto"/>
              <w:right w:val="nil"/>
            </w:tcBorders>
          </w:tcPr>
          <w:p w14:paraId="376C9D73"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single" w:sz="2" w:space="0" w:color="auto"/>
              <w:left w:val="nil"/>
              <w:bottom w:val="double" w:sz="4" w:space="0" w:color="auto"/>
              <w:right w:val="nil"/>
            </w:tcBorders>
          </w:tcPr>
          <w:p w14:paraId="5CE113AD"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single" w:sz="2" w:space="0" w:color="auto"/>
              <w:left w:val="nil"/>
              <w:bottom w:val="double" w:sz="4" w:space="0" w:color="auto"/>
              <w:right w:val="nil"/>
            </w:tcBorders>
          </w:tcPr>
          <w:p w14:paraId="41BCB7F4"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single" w:sz="2" w:space="0" w:color="auto"/>
              <w:left w:val="nil"/>
              <w:bottom w:val="double" w:sz="4" w:space="0" w:color="auto"/>
              <w:right w:val="nil"/>
            </w:tcBorders>
          </w:tcPr>
          <w:p w14:paraId="7FE9D8E3"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single" w:sz="2" w:space="0" w:color="auto"/>
              <w:left w:val="nil"/>
              <w:bottom w:val="double" w:sz="4" w:space="0" w:color="auto"/>
              <w:right w:val="nil"/>
            </w:tcBorders>
          </w:tcPr>
          <w:p w14:paraId="49328715"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single" w:sz="2" w:space="0" w:color="auto"/>
              <w:left w:val="nil"/>
              <w:bottom w:val="double" w:sz="4" w:space="0" w:color="auto"/>
              <w:right w:val="nil"/>
            </w:tcBorders>
          </w:tcPr>
          <w:p w14:paraId="32750BF8" w14:textId="77777777" w:rsidR="006060C9" w:rsidRPr="00AD586B" w:rsidRDefault="006060C9" w:rsidP="00AF6496">
            <w:pPr>
              <w:jc w:val="right"/>
              <w:rPr>
                <w:rFonts w:asciiTheme="minorHAnsi" w:hAnsiTheme="minorHAnsi" w:cstheme="minorHAnsi"/>
                <w:b/>
                <w:bCs/>
                <w:sz w:val="18"/>
                <w:szCs w:val="18"/>
              </w:rPr>
            </w:pPr>
          </w:p>
        </w:tc>
      </w:tr>
      <w:tr w:rsidR="00AD586B" w:rsidRPr="000415FC" w14:paraId="1AC62B6C" w14:textId="77777777" w:rsidTr="005F5B4C">
        <w:trPr>
          <w:cantSplit/>
          <w:trHeight w:val="84"/>
        </w:trPr>
        <w:tc>
          <w:tcPr>
            <w:tcW w:w="1408" w:type="dxa"/>
            <w:tcBorders>
              <w:top w:val="nil"/>
              <w:left w:val="single" w:sz="2" w:space="0" w:color="auto"/>
              <w:bottom w:val="nil"/>
              <w:right w:val="single" w:sz="2" w:space="0" w:color="auto"/>
            </w:tcBorders>
          </w:tcPr>
          <w:p w14:paraId="163DC9FE" w14:textId="77777777" w:rsidR="006060C9" w:rsidRPr="00AD586B" w:rsidRDefault="006060C9" w:rsidP="006060C9">
            <w:pPr>
              <w:pStyle w:val="TableReference"/>
              <w:tabs>
                <w:tab w:val="left" w:pos="3306"/>
              </w:tabs>
              <w:spacing w:before="40"/>
              <w:rPr>
                <w:rFonts w:cs="Calibri"/>
                <w:color w:val="7030A0"/>
                <w:sz w:val="14"/>
              </w:rPr>
            </w:pPr>
          </w:p>
        </w:tc>
        <w:tc>
          <w:tcPr>
            <w:tcW w:w="5090" w:type="dxa"/>
            <w:tcBorders>
              <w:top w:val="nil"/>
              <w:left w:val="single" w:sz="2" w:space="0" w:color="auto"/>
              <w:bottom w:val="nil"/>
              <w:right w:val="nil"/>
            </w:tcBorders>
          </w:tcPr>
          <w:p w14:paraId="5B7AC72D" w14:textId="77777777" w:rsidR="006060C9" w:rsidRPr="00AD586B" w:rsidRDefault="006060C9" w:rsidP="00AF6496">
            <w:pPr>
              <w:rPr>
                <w:rFonts w:cs="Calibri"/>
                <w:b/>
                <w:bCs/>
                <w:sz w:val="16"/>
              </w:rPr>
            </w:pPr>
          </w:p>
        </w:tc>
        <w:tc>
          <w:tcPr>
            <w:tcW w:w="1277" w:type="dxa"/>
            <w:tcBorders>
              <w:top w:val="double" w:sz="4" w:space="0" w:color="auto"/>
              <w:left w:val="nil"/>
              <w:bottom w:val="nil"/>
              <w:right w:val="nil"/>
            </w:tcBorders>
          </w:tcPr>
          <w:p w14:paraId="1037E224" w14:textId="77777777" w:rsidR="006060C9" w:rsidRPr="00AD586B" w:rsidRDefault="006060C9" w:rsidP="00AF6496">
            <w:pPr>
              <w:jc w:val="right"/>
              <w:rPr>
                <w:rFonts w:asciiTheme="minorHAnsi" w:hAnsiTheme="minorHAnsi" w:cstheme="minorHAnsi"/>
                <w:b/>
                <w:bCs/>
                <w:sz w:val="18"/>
                <w:szCs w:val="18"/>
              </w:rPr>
            </w:pPr>
          </w:p>
        </w:tc>
        <w:tc>
          <w:tcPr>
            <w:tcW w:w="1422" w:type="dxa"/>
            <w:tcBorders>
              <w:top w:val="double" w:sz="4" w:space="0" w:color="auto"/>
              <w:left w:val="nil"/>
              <w:bottom w:val="nil"/>
              <w:right w:val="nil"/>
            </w:tcBorders>
          </w:tcPr>
          <w:p w14:paraId="4AEB3BEB" w14:textId="77777777" w:rsidR="006060C9" w:rsidRPr="00AD586B" w:rsidRDefault="006060C9" w:rsidP="00AF6496">
            <w:pPr>
              <w:jc w:val="right"/>
              <w:rPr>
                <w:rFonts w:asciiTheme="minorHAnsi" w:hAnsiTheme="minorHAnsi" w:cstheme="minorHAnsi"/>
                <w:b/>
                <w:bCs/>
                <w:sz w:val="18"/>
                <w:szCs w:val="18"/>
              </w:rPr>
            </w:pPr>
          </w:p>
        </w:tc>
        <w:tc>
          <w:tcPr>
            <w:tcW w:w="1701" w:type="dxa"/>
            <w:gridSpan w:val="2"/>
            <w:tcBorders>
              <w:top w:val="double" w:sz="4" w:space="0" w:color="auto"/>
              <w:left w:val="nil"/>
              <w:bottom w:val="nil"/>
              <w:right w:val="nil"/>
            </w:tcBorders>
          </w:tcPr>
          <w:p w14:paraId="3D669318" w14:textId="77777777" w:rsidR="006060C9" w:rsidRPr="00AD586B" w:rsidRDefault="006060C9" w:rsidP="00AF6496">
            <w:pPr>
              <w:jc w:val="right"/>
              <w:rPr>
                <w:rFonts w:asciiTheme="minorHAnsi" w:hAnsiTheme="minorHAnsi" w:cstheme="minorHAnsi"/>
                <w:b/>
                <w:bCs/>
                <w:sz w:val="18"/>
                <w:szCs w:val="18"/>
              </w:rPr>
            </w:pPr>
          </w:p>
        </w:tc>
        <w:tc>
          <w:tcPr>
            <w:tcW w:w="1423" w:type="dxa"/>
            <w:tcBorders>
              <w:top w:val="double" w:sz="4" w:space="0" w:color="auto"/>
              <w:left w:val="nil"/>
              <w:bottom w:val="nil"/>
              <w:right w:val="nil"/>
            </w:tcBorders>
          </w:tcPr>
          <w:p w14:paraId="2325C8B3" w14:textId="77777777" w:rsidR="006060C9" w:rsidRPr="00AD586B" w:rsidRDefault="006060C9" w:rsidP="00AF6496">
            <w:pPr>
              <w:jc w:val="right"/>
              <w:rPr>
                <w:rFonts w:asciiTheme="minorHAnsi" w:hAnsiTheme="minorHAnsi" w:cstheme="minorHAnsi"/>
                <w:b/>
                <w:bCs/>
                <w:sz w:val="18"/>
                <w:szCs w:val="18"/>
              </w:rPr>
            </w:pPr>
          </w:p>
        </w:tc>
        <w:tc>
          <w:tcPr>
            <w:tcW w:w="1275" w:type="dxa"/>
            <w:tcBorders>
              <w:top w:val="double" w:sz="4" w:space="0" w:color="auto"/>
              <w:left w:val="nil"/>
              <w:bottom w:val="nil"/>
              <w:right w:val="nil"/>
            </w:tcBorders>
          </w:tcPr>
          <w:p w14:paraId="7B9151B7" w14:textId="77777777" w:rsidR="006060C9" w:rsidRPr="00AD586B" w:rsidRDefault="006060C9" w:rsidP="00AF6496">
            <w:pPr>
              <w:jc w:val="right"/>
              <w:rPr>
                <w:rFonts w:asciiTheme="minorHAnsi" w:hAnsiTheme="minorHAnsi" w:cstheme="minorHAnsi"/>
                <w:b/>
                <w:bCs/>
                <w:sz w:val="18"/>
                <w:szCs w:val="18"/>
              </w:rPr>
            </w:pPr>
          </w:p>
        </w:tc>
        <w:tc>
          <w:tcPr>
            <w:tcW w:w="1271" w:type="dxa"/>
            <w:tcBorders>
              <w:top w:val="double" w:sz="4" w:space="0" w:color="auto"/>
              <w:left w:val="nil"/>
              <w:bottom w:val="nil"/>
              <w:right w:val="nil"/>
            </w:tcBorders>
          </w:tcPr>
          <w:p w14:paraId="10F8DFC1" w14:textId="77777777" w:rsidR="006060C9" w:rsidRPr="00AD586B" w:rsidRDefault="006060C9" w:rsidP="00AF6496">
            <w:pPr>
              <w:jc w:val="right"/>
              <w:rPr>
                <w:rFonts w:asciiTheme="minorHAnsi" w:hAnsiTheme="minorHAnsi" w:cstheme="minorHAnsi"/>
                <w:b/>
                <w:bCs/>
                <w:sz w:val="18"/>
                <w:szCs w:val="18"/>
              </w:rPr>
            </w:pPr>
          </w:p>
        </w:tc>
        <w:tc>
          <w:tcPr>
            <w:tcW w:w="863" w:type="dxa"/>
            <w:gridSpan w:val="2"/>
            <w:tcBorders>
              <w:top w:val="double" w:sz="4" w:space="0" w:color="auto"/>
              <w:left w:val="nil"/>
              <w:bottom w:val="nil"/>
              <w:right w:val="nil"/>
            </w:tcBorders>
          </w:tcPr>
          <w:p w14:paraId="36ACB5C6" w14:textId="77777777" w:rsidR="006060C9" w:rsidRPr="00AD586B" w:rsidRDefault="006060C9" w:rsidP="00AF6496">
            <w:pPr>
              <w:jc w:val="right"/>
              <w:rPr>
                <w:rFonts w:asciiTheme="minorHAnsi" w:hAnsiTheme="minorHAnsi" w:cstheme="minorHAnsi"/>
                <w:b/>
                <w:bCs/>
                <w:sz w:val="18"/>
                <w:szCs w:val="18"/>
              </w:rPr>
            </w:pPr>
          </w:p>
        </w:tc>
      </w:tr>
      <w:tr w:rsidR="00F15CC8" w:rsidRPr="000415FC" w14:paraId="65EAA2EA" w14:textId="77777777" w:rsidTr="005F5B4C">
        <w:trPr>
          <w:cantSplit/>
          <w:trHeight w:val="23"/>
        </w:trPr>
        <w:tc>
          <w:tcPr>
            <w:tcW w:w="1408" w:type="dxa"/>
            <w:tcBorders>
              <w:top w:val="nil"/>
              <w:left w:val="single" w:sz="2" w:space="0" w:color="auto"/>
              <w:bottom w:val="nil"/>
              <w:right w:val="single" w:sz="2" w:space="0" w:color="auto"/>
            </w:tcBorders>
          </w:tcPr>
          <w:p w14:paraId="0B758ADD" w14:textId="77777777" w:rsidR="00F15CC8" w:rsidRPr="00AD586B" w:rsidRDefault="00F15CC8" w:rsidP="00AF6496">
            <w:pPr>
              <w:pStyle w:val="TableReference"/>
              <w:tabs>
                <w:tab w:val="left" w:pos="3306"/>
              </w:tabs>
              <w:spacing w:before="40"/>
              <w:rPr>
                <w:rFonts w:cs="Calibri"/>
                <w:color w:val="7030A0"/>
                <w:sz w:val="18"/>
                <w:szCs w:val="18"/>
              </w:rPr>
            </w:pPr>
          </w:p>
        </w:tc>
        <w:tc>
          <w:tcPr>
            <w:tcW w:w="14322" w:type="dxa"/>
            <w:gridSpan w:val="10"/>
            <w:tcBorders>
              <w:top w:val="nil"/>
              <w:left w:val="single" w:sz="2" w:space="0" w:color="auto"/>
              <w:bottom w:val="nil"/>
              <w:right w:val="nil"/>
            </w:tcBorders>
          </w:tcPr>
          <w:p w14:paraId="4BD6D2A3" w14:textId="2CA23251" w:rsidR="00F15CC8" w:rsidRPr="00AD586B" w:rsidRDefault="00F15CC8" w:rsidP="00F15CC8">
            <w:pPr>
              <w:pStyle w:val="TableText"/>
              <w:tabs>
                <w:tab w:val="left" w:pos="3306"/>
              </w:tabs>
              <w:rPr>
                <w:rFonts w:cs="Calibri"/>
                <w:b/>
                <w:bCs/>
              </w:rPr>
            </w:pPr>
            <w:r w:rsidRPr="00AD586B">
              <w:rPr>
                <w:rFonts w:cs="Calibri"/>
              </w:rPr>
              <w:t>Carrying Amount at the End of the Reporting Period, is represented by:</w:t>
            </w:r>
          </w:p>
        </w:tc>
      </w:tr>
      <w:tr w:rsidR="00F15CC8" w:rsidRPr="000415FC" w14:paraId="393A02B6" w14:textId="77777777" w:rsidTr="005F5B4C">
        <w:trPr>
          <w:cantSplit/>
          <w:trHeight w:val="23"/>
        </w:trPr>
        <w:tc>
          <w:tcPr>
            <w:tcW w:w="1408" w:type="dxa"/>
            <w:tcBorders>
              <w:top w:val="nil"/>
              <w:left w:val="single" w:sz="2" w:space="0" w:color="auto"/>
              <w:bottom w:val="nil"/>
              <w:right w:val="single" w:sz="2" w:space="0" w:color="auto"/>
            </w:tcBorders>
          </w:tcPr>
          <w:p w14:paraId="61021B7B" w14:textId="2C53EE34" w:rsidR="00F15CC8" w:rsidRPr="00AD586B" w:rsidRDefault="00F15CC8" w:rsidP="00AF6496">
            <w:pPr>
              <w:pStyle w:val="TableReference"/>
              <w:tabs>
                <w:tab w:val="left" w:pos="3306"/>
              </w:tabs>
              <w:spacing w:before="40"/>
              <w:rPr>
                <w:rFonts w:cs="Calibri"/>
                <w:color w:val="7030A0"/>
                <w:sz w:val="14"/>
              </w:rPr>
            </w:pPr>
            <w:r w:rsidRPr="00AD586B">
              <w:rPr>
                <w:rFonts w:cs="Calibri"/>
                <w:color w:val="7030A0"/>
                <w:sz w:val="14"/>
              </w:rPr>
              <w:t>AASB 116.73(a) &amp;(d)</w:t>
            </w:r>
          </w:p>
        </w:tc>
        <w:tc>
          <w:tcPr>
            <w:tcW w:w="5090" w:type="dxa"/>
            <w:tcBorders>
              <w:top w:val="nil"/>
              <w:left w:val="single" w:sz="2" w:space="0" w:color="auto"/>
              <w:bottom w:val="nil"/>
              <w:right w:val="nil"/>
            </w:tcBorders>
            <w:vAlign w:val="bottom"/>
          </w:tcPr>
          <w:p w14:paraId="28E52E87" w14:textId="0D6F2553" w:rsidR="00F15CC8" w:rsidRPr="00AD586B" w:rsidRDefault="00F15CC8" w:rsidP="00AF6496">
            <w:pPr>
              <w:pStyle w:val="TableText"/>
              <w:tabs>
                <w:tab w:val="left" w:pos="3306"/>
              </w:tabs>
              <w:spacing w:before="20" w:after="20"/>
              <w:rPr>
                <w:rFonts w:cs="Calibri"/>
              </w:rPr>
            </w:pPr>
            <w:r w:rsidRPr="00AD586B">
              <w:rPr>
                <w:rFonts w:cs="Calibri"/>
              </w:rPr>
              <w:t>Gross Book Value</w:t>
            </w:r>
          </w:p>
        </w:tc>
        <w:tc>
          <w:tcPr>
            <w:tcW w:w="1277" w:type="dxa"/>
            <w:tcBorders>
              <w:top w:val="nil"/>
              <w:left w:val="nil"/>
              <w:bottom w:val="nil"/>
              <w:right w:val="nil"/>
            </w:tcBorders>
            <w:vAlign w:val="bottom"/>
          </w:tcPr>
          <w:p w14:paraId="7D7CEF84" w14:textId="77777777" w:rsidR="00F15CC8" w:rsidRPr="00AD586B" w:rsidRDefault="00F15CC8" w:rsidP="00AF6496">
            <w:pPr>
              <w:pStyle w:val="TableText"/>
              <w:tabs>
                <w:tab w:val="left" w:pos="3306"/>
              </w:tabs>
              <w:jc w:val="right"/>
              <w:rPr>
                <w:rFonts w:cs="Calibri"/>
                <w:b/>
                <w:bCs/>
              </w:rPr>
            </w:pPr>
          </w:p>
        </w:tc>
        <w:tc>
          <w:tcPr>
            <w:tcW w:w="1422" w:type="dxa"/>
            <w:tcBorders>
              <w:top w:val="nil"/>
              <w:left w:val="nil"/>
              <w:bottom w:val="nil"/>
              <w:right w:val="nil"/>
            </w:tcBorders>
          </w:tcPr>
          <w:p w14:paraId="6675B373" w14:textId="77777777" w:rsidR="00F15CC8" w:rsidRPr="00AD586B" w:rsidRDefault="00F15CC8" w:rsidP="00AF6496">
            <w:pPr>
              <w:pStyle w:val="TableText"/>
              <w:tabs>
                <w:tab w:val="left" w:pos="3306"/>
              </w:tabs>
              <w:jc w:val="right"/>
              <w:rPr>
                <w:rFonts w:cs="Calibri"/>
                <w:b/>
                <w:bCs/>
              </w:rPr>
            </w:pPr>
          </w:p>
        </w:tc>
        <w:tc>
          <w:tcPr>
            <w:tcW w:w="1647" w:type="dxa"/>
            <w:tcBorders>
              <w:top w:val="nil"/>
              <w:left w:val="nil"/>
              <w:bottom w:val="nil"/>
              <w:right w:val="nil"/>
            </w:tcBorders>
          </w:tcPr>
          <w:p w14:paraId="4C724035" w14:textId="77777777" w:rsidR="00F15CC8" w:rsidRPr="00AD586B" w:rsidRDefault="00F15CC8" w:rsidP="00AF6496">
            <w:pPr>
              <w:pStyle w:val="TableText"/>
              <w:tabs>
                <w:tab w:val="left" w:pos="3306"/>
              </w:tabs>
              <w:jc w:val="right"/>
              <w:rPr>
                <w:rFonts w:cs="Calibri"/>
                <w:b/>
                <w:bCs/>
              </w:rPr>
            </w:pPr>
          </w:p>
        </w:tc>
        <w:tc>
          <w:tcPr>
            <w:tcW w:w="1477" w:type="dxa"/>
            <w:gridSpan w:val="2"/>
            <w:tcBorders>
              <w:top w:val="nil"/>
              <w:left w:val="nil"/>
              <w:bottom w:val="nil"/>
              <w:right w:val="nil"/>
            </w:tcBorders>
            <w:vAlign w:val="bottom"/>
          </w:tcPr>
          <w:p w14:paraId="56160DA4" w14:textId="77777777" w:rsidR="00F15CC8" w:rsidRPr="00AD586B" w:rsidRDefault="00F15CC8" w:rsidP="00AF6496">
            <w:pPr>
              <w:pStyle w:val="TableText"/>
              <w:tabs>
                <w:tab w:val="left" w:pos="3306"/>
              </w:tabs>
              <w:jc w:val="right"/>
              <w:rPr>
                <w:rFonts w:cs="Calibri"/>
                <w:b/>
                <w:bCs/>
              </w:rPr>
            </w:pPr>
          </w:p>
        </w:tc>
        <w:tc>
          <w:tcPr>
            <w:tcW w:w="1275" w:type="dxa"/>
            <w:tcBorders>
              <w:top w:val="nil"/>
              <w:left w:val="nil"/>
              <w:bottom w:val="nil"/>
              <w:right w:val="nil"/>
            </w:tcBorders>
          </w:tcPr>
          <w:p w14:paraId="271624FF" w14:textId="77777777" w:rsidR="00F15CC8" w:rsidRPr="00AD586B" w:rsidRDefault="00F15CC8" w:rsidP="00AF6496">
            <w:pPr>
              <w:pStyle w:val="TableText"/>
              <w:tabs>
                <w:tab w:val="left" w:pos="3306"/>
              </w:tabs>
              <w:jc w:val="right"/>
              <w:rPr>
                <w:rFonts w:cs="Calibri"/>
                <w:b/>
                <w:bCs/>
              </w:rPr>
            </w:pPr>
          </w:p>
        </w:tc>
        <w:tc>
          <w:tcPr>
            <w:tcW w:w="1281" w:type="dxa"/>
            <w:gridSpan w:val="2"/>
            <w:tcBorders>
              <w:top w:val="nil"/>
              <w:left w:val="nil"/>
              <w:bottom w:val="nil"/>
              <w:right w:val="nil"/>
            </w:tcBorders>
            <w:vAlign w:val="bottom"/>
          </w:tcPr>
          <w:p w14:paraId="17960B01" w14:textId="77777777" w:rsidR="00F15CC8" w:rsidRPr="00AD586B" w:rsidRDefault="00F15CC8" w:rsidP="00AF6496">
            <w:pPr>
              <w:pStyle w:val="TableText"/>
              <w:tabs>
                <w:tab w:val="left" w:pos="3306"/>
              </w:tabs>
              <w:jc w:val="right"/>
              <w:rPr>
                <w:rFonts w:cs="Calibri"/>
                <w:b/>
                <w:bCs/>
              </w:rPr>
            </w:pPr>
          </w:p>
        </w:tc>
        <w:tc>
          <w:tcPr>
            <w:tcW w:w="853" w:type="dxa"/>
            <w:tcBorders>
              <w:top w:val="nil"/>
              <w:left w:val="nil"/>
              <w:bottom w:val="nil"/>
              <w:right w:val="nil"/>
            </w:tcBorders>
          </w:tcPr>
          <w:p w14:paraId="7230D9F6" w14:textId="77777777" w:rsidR="00F15CC8" w:rsidRPr="000415FC" w:rsidRDefault="00F15CC8" w:rsidP="00AF6496">
            <w:pPr>
              <w:pStyle w:val="TableText"/>
              <w:tabs>
                <w:tab w:val="left" w:pos="3306"/>
              </w:tabs>
              <w:jc w:val="right"/>
              <w:rPr>
                <w:rFonts w:cs="Calibri"/>
                <w:b/>
                <w:bCs/>
                <w:sz w:val="16"/>
                <w:szCs w:val="16"/>
              </w:rPr>
            </w:pPr>
          </w:p>
        </w:tc>
      </w:tr>
      <w:tr w:rsidR="00F15CC8" w:rsidRPr="000415FC" w14:paraId="45B544B0" w14:textId="77777777" w:rsidTr="005F5B4C">
        <w:trPr>
          <w:cantSplit/>
          <w:trHeight w:val="23"/>
        </w:trPr>
        <w:tc>
          <w:tcPr>
            <w:tcW w:w="1408" w:type="dxa"/>
            <w:tcBorders>
              <w:top w:val="nil"/>
              <w:left w:val="single" w:sz="2" w:space="0" w:color="auto"/>
              <w:bottom w:val="nil"/>
              <w:right w:val="single" w:sz="2" w:space="0" w:color="auto"/>
            </w:tcBorders>
          </w:tcPr>
          <w:p w14:paraId="0CB6D345" w14:textId="2AE61B08" w:rsidR="00F15CC8" w:rsidRPr="00AD586B" w:rsidRDefault="00F15CC8" w:rsidP="00AF6496">
            <w:pPr>
              <w:pStyle w:val="TableReference"/>
              <w:tabs>
                <w:tab w:val="left" w:pos="3306"/>
              </w:tabs>
              <w:spacing w:before="40"/>
              <w:rPr>
                <w:rFonts w:cs="Calibri"/>
                <w:color w:val="7030A0"/>
                <w:sz w:val="14"/>
              </w:rPr>
            </w:pPr>
            <w:r w:rsidRPr="00AD586B">
              <w:rPr>
                <w:rFonts w:cs="Calibri"/>
                <w:color w:val="7030A0"/>
                <w:sz w:val="14"/>
              </w:rPr>
              <w:t>AASB 116.73(d)</w:t>
            </w:r>
          </w:p>
        </w:tc>
        <w:tc>
          <w:tcPr>
            <w:tcW w:w="5090" w:type="dxa"/>
            <w:tcBorders>
              <w:top w:val="nil"/>
              <w:left w:val="single" w:sz="2" w:space="0" w:color="auto"/>
              <w:bottom w:val="nil"/>
              <w:right w:val="nil"/>
            </w:tcBorders>
            <w:vAlign w:val="bottom"/>
          </w:tcPr>
          <w:p w14:paraId="5CD3BAFB" w14:textId="048A5029" w:rsidR="00F15CC8" w:rsidRPr="00AD586B" w:rsidRDefault="00F15CC8" w:rsidP="00AF6496">
            <w:pPr>
              <w:pStyle w:val="TableText"/>
              <w:tabs>
                <w:tab w:val="left" w:pos="3306"/>
              </w:tabs>
              <w:spacing w:before="20" w:after="20"/>
              <w:rPr>
                <w:rFonts w:cs="Calibri"/>
              </w:rPr>
            </w:pPr>
            <w:r w:rsidRPr="00AD586B">
              <w:rPr>
                <w:rFonts w:cs="Calibri"/>
              </w:rPr>
              <w:t xml:space="preserve">Accumulated Depreciation </w:t>
            </w:r>
          </w:p>
        </w:tc>
        <w:tc>
          <w:tcPr>
            <w:tcW w:w="1277" w:type="dxa"/>
            <w:tcBorders>
              <w:top w:val="nil"/>
              <w:left w:val="nil"/>
              <w:bottom w:val="nil"/>
              <w:right w:val="nil"/>
            </w:tcBorders>
            <w:vAlign w:val="bottom"/>
          </w:tcPr>
          <w:p w14:paraId="767BB03B" w14:textId="77777777" w:rsidR="00F15CC8" w:rsidRPr="00AD586B" w:rsidRDefault="00F15CC8" w:rsidP="00AF6496">
            <w:pPr>
              <w:pStyle w:val="TableText"/>
              <w:tabs>
                <w:tab w:val="left" w:pos="3306"/>
              </w:tabs>
              <w:jc w:val="right"/>
              <w:rPr>
                <w:rFonts w:cs="Calibri"/>
                <w:b/>
                <w:bCs/>
              </w:rPr>
            </w:pPr>
          </w:p>
        </w:tc>
        <w:tc>
          <w:tcPr>
            <w:tcW w:w="1422" w:type="dxa"/>
            <w:tcBorders>
              <w:top w:val="nil"/>
              <w:left w:val="nil"/>
              <w:bottom w:val="nil"/>
              <w:right w:val="nil"/>
            </w:tcBorders>
          </w:tcPr>
          <w:p w14:paraId="57A12ED2" w14:textId="77777777" w:rsidR="00F15CC8" w:rsidRPr="00AD586B" w:rsidRDefault="00F15CC8" w:rsidP="00AF6496">
            <w:pPr>
              <w:pStyle w:val="TableText"/>
              <w:tabs>
                <w:tab w:val="left" w:pos="3306"/>
              </w:tabs>
              <w:jc w:val="right"/>
              <w:rPr>
                <w:rFonts w:cs="Calibri"/>
                <w:b/>
                <w:bCs/>
              </w:rPr>
            </w:pPr>
          </w:p>
        </w:tc>
        <w:tc>
          <w:tcPr>
            <w:tcW w:w="1647" w:type="dxa"/>
            <w:tcBorders>
              <w:top w:val="nil"/>
              <w:left w:val="nil"/>
              <w:bottom w:val="nil"/>
              <w:right w:val="nil"/>
            </w:tcBorders>
          </w:tcPr>
          <w:p w14:paraId="5D8E14A4" w14:textId="77777777" w:rsidR="00F15CC8" w:rsidRPr="00AD586B" w:rsidRDefault="00F15CC8" w:rsidP="00AF6496">
            <w:pPr>
              <w:pStyle w:val="TableText"/>
              <w:tabs>
                <w:tab w:val="left" w:pos="3306"/>
              </w:tabs>
              <w:jc w:val="right"/>
              <w:rPr>
                <w:rFonts w:cs="Calibri"/>
                <w:b/>
                <w:bCs/>
              </w:rPr>
            </w:pPr>
          </w:p>
        </w:tc>
        <w:tc>
          <w:tcPr>
            <w:tcW w:w="1477" w:type="dxa"/>
            <w:gridSpan w:val="2"/>
            <w:tcBorders>
              <w:top w:val="nil"/>
              <w:left w:val="nil"/>
              <w:bottom w:val="nil"/>
              <w:right w:val="nil"/>
            </w:tcBorders>
            <w:vAlign w:val="bottom"/>
          </w:tcPr>
          <w:p w14:paraId="2EBACD11" w14:textId="77777777" w:rsidR="00F15CC8" w:rsidRPr="00AD586B" w:rsidRDefault="00F15CC8" w:rsidP="00AF6496">
            <w:pPr>
              <w:pStyle w:val="TableText"/>
              <w:tabs>
                <w:tab w:val="left" w:pos="3306"/>
              </w:tabs>
              <w:jc w:val="right"/>
              <w:rPr>
                <w:rFonts w:cs="Calibri"/>
                <w:b/>
                <w:bCs/>
              </w:rPr>
            </w:pPr>
          </w:p>
        </w:tc>
        <w:tc>
          <w:tcPr>
            <w:tcW w:w="1275" w:type="dxa"/>
            <w:tcBorders>
              <w:top w:val="nil"/>
              <w:left w:val="nil"/>
              <w:bottom w:val="nil"/>
              <w:right w:val="nil"/>
            </w:tcBorders>
          </w:tcPr>
          <w:p w14:paraId="4F59D7D2" w14:textId="77777777" w:rsidR="00F15CC8" w:rsidRPr="00AD586B" w:rsidRDefault="00F15CC8" w:rsidP="00AF6496">
            <w:pPr>
              <w:pStyle w:val="TableText"/>
              <w:tabs>
                <w:tab w:val="left" w:pos="3306"/>
              </w:tabs>
              <w:jc w:val="right"/>
              <w:rPr>
                <w:rFonts w:cs="Calibri"/>
                <w:b/>
                <w:bCs/>
              </w:rPr>
            </w:pPr>
          </w:p>
        </w:tc>
        <w:tc>
          <w:tcPr>
            <w:tcW w:w="1281" w:type="dxa"/>
            <w:gridSpan w:val="2"/>
            <w:tcBorders>
              <w:top w:val="nil"/>
              <w:left w:val="nil"/>
              <w:bottom w:val="nil"/>
              <w:right w:val="nil"/>
            </w:tcBorders>
            <w:vAlign w:val="bottom"/>
          </w:tcPr>
          <w:p w14:paraId="44B97A8A" w14:textId="77777777" w:rsidR="00F15CC8" w:rsidRPr="00AD586B" w:rsidRDefault="00F15CC8" w:rsidP="00AF6496">
            <w:pPr>
              <w:pStyle w:val="TableText"/>
              <w:tabs>
                <w:tab w:val="left" w:pos="3306"/>
              </w:tabs>
              <w:jc w:val="right"/>
              <w:rPr>
                <w:rFonts w:cs="Calibri"/>
                <w:b/>
                <w:bCs/>
              </w:rPr>
            </w:pPr>
          </w:p>
        </w:tc>
        <w:tc>
          <w:tcPr>
            <w:tcW w:w="853" w:type="dxa"/>
            <w:tcBorders>
              <w:top w:val="nil"/>
              <w:left w:val="nil"/>
              <w:bottom w:val="nil"/>
              <w:right w:val="nil"/>
            </w:tcBorders>
          </w:tcPr>
          <w:p w14:paraId="1A9EE583" w14:textId="77777777" w:rsidR="00F15CC8" w:rsidRPr="000415FC" w:rsidRDefault="00F15CC8" w:rsidP="00AF6496">
            <w:pPr>
              <w:pStyle w:val="TableText"/>
              <w:tabs>
                <w:tab w:val="left" w:pos="3306"/>
              </w:tabs>
              <w:jc w:val="right"/>
              <w:rPr>
                <w:rFonts w:cs="Calibri"/>
                <w:b/>
                <w:bCs/>
                <w:sz w:val="16"/>
                <w:szCs w:val="16"/>
              </w:rPr>
            </w:pPr>
          </w:p>
        </w:tc>
      </w:tr>
      <w:tr w:rsidR="00F15CC8" w:rsidRPr="000415FC" w14:paraId="3442892F" w14:textId="77777777" w:rsidTr="005F5B4C">
        <w:trPr>
          <w:cantSplit/>
          <w:trHeight w:val="23"/>
        </w:trPr>
        <w:tc>
          <w:tcPr>
            <w:tcW w:w="1408" w:type="dxa"/>
            <w:tcBorders>
              <w:top w:val="nil"/>
              <w:left w:val="single" w:sz="2" w:space="0" w:color="auto"/>
              <w:bottom w:val="nil"/>
              <w:right w:val="single" w:sz="2" w:space="0" w:color="auto"/>
            </w:tcBorders>
          </w:tcPr>
          <w:p w14:paraId="37C4E00E" w14:textId="58A7C916" w:rsidR="00F15CC8" w:rsidRPr="00AD586B" w:rsidRDefault="00F15CC8" w:rsidP="00AF6496">
            <w:pPr>
              <w:pStyle w:val="TableReference"/>
              <w:tabs>
                <w:tab w:val="left" w:pos="3306"/>
              </w:tabs>
              <w:spacing w:before="40"/>
              <w:rPr>
                <w:rFonts w:cs="Calibri"/>
                <w:color w:val="7030A0"/>
                <w:sz w:val="14"/>
              </w:rPr>
            </w:pPr>
            <w:r w:rsidRPr="00AD586B">
              <w:rPr>
                <w:rFonts w:cs="Calibri"/>
                <w:color w:val="7030A0"/>
                <w:sz w:val="14"/>
              </w:rPr>
              <w:t>AASB 116.73(d)</w:t>
            </w:r>
          </w:p>
        </w:tc>
        <w:tc>
          <w:tcPr>
            <w:tcW w:w="5090" w:type="dxa"/>
            <w:tcBorders>
              <w:top w:val="nil"/>
              <w:left w:val="single" w:sz="2" w:space="0" w:color="auto"/>
              <w:bottom w:val="nil"/>
              <w:right w:val="nil"/>
            </w:tcBorders>
            <w:vAlign w:val="bottom"/>
          </w:tcPr>
          <w:p w14:paraId="16D44D88" w14:textId="4F9CCB38" w:rsidR="00F15CC8" w:rsidRPr="00AD586B" w:rsidRDefault="00F15CC8" w:rsidP="00AF6496">
            <w:pPr>
              <w:pStyle w:val="TableText"/>
              <w:tabs>
                <w:tab w:val="left" w:pos="3306"/>
              </w:tabs>
              <w:spacing w:before="20" w:after="20"/>
              <w:rPr>
                <w:rFonts w:cs="Calibri"/>
              </w:rPr>
            </w:pPr>
            <w:r w:rsidRPr="00AD586B">
              <w:rPr>
                <w:rFonts w:cs="Calibri"/>
              </w:rPr>
              <w:t>Accumulated Impairment Losses</w:t>
            </w:r>
          </w:p>
        </w:tc>
        <w:tc>
          <w:tcPr>
            <w:tcW w:w="1277" w:type="dxa"/>
            <w:tcBorders>
              <w:top w:val="nil"/>
              <w:left w:val="nil"/>
              <w:bottom w:val="nil"/>
              <w:right w:val="nil"/>
            </w:tcBorders>
            <w:vAlign w:val="bottom"/>
          </w:tcPr>
          <w:p w14:paraId="7FC7D9D3" w14:textId="77777777" w:rsidR="00F15CC8" w:rsidRPr="00AD586B" w:rsidRDefault="00F15CC8" w:rsidP="00AF6496">
            <w:pPr>
              <w:pStyle w:val="TableText"/>
              <w:tabs>
                <w:tab w:val="left" w:pos="3306"/>
              </w:tabs>
              <w:jc w:val="right"/>
              <w:rPr>
                <w:rFonts w:cs="Calibri"/>
                <w:b/>
                <w:bCs/>
              </w:rPr>
            </w:pPr>
          </w:p>
        </w:tc>
        <w:tc>
          <w:tcPr>
            <w:tcW w:w="1422" w:type="dxa"/>
            <w:tcBorders>
              <w:top w:val="nil"/>
              <w:left w:val="nil"/>
              <w:bottom w:val="nil"/>
              <w:right w:val="nil"/>
            </w:tcBorders>
          </w:tcPr>
          <w:p w14:paraId="5FECCA9E" w14:textId="77777777" w:rsidR="00F15CC8" w:rsidRPr="00AD586B" w:rsidRDefault="00F15CC8" w:rsidP="00AF6496">
            <w:pPr>
              <w:pStyle w:val="TableText"/>
              <w:tabs>
                <w:tab w:val="left" w:pos="3306"/>
              </w:tabs>
              <w:jc w:val="right"/>
              <w:rPr>
                <w:rFonts w:cs="Calibri"/>
                <w:b/>
                <w:bCs/>
              </w:rPr>
            </w:pPr>
          </w:p>
        </w:tc>
        <w:tc>
          <w:tcPr>
            <w:tcW w:w="1647" w:type="dxa"/>
            <w:tcBorders>
              <w:top w:val="nil"/>
              <w:left w:val="nil"/>
              <w:bottom w:val="nil"/>
              <w:right w:val="nil"/>
            </w:tcBorders>
          </w:tcPr>
          <w:p w14:paraId="1A25F527" w14:textId="77777777" w:rsidR="00F15CC8" w:rsidRPr="00AD586B" w:rsidRDefault="00F15CC8" w:rsidP="00AF6496">
            <w:pPr>
              <w:pStyle w:val="TableText"/>
              <w:tabs>
                <w:tab w:val="left" w:pos="3306"/>
              </w:tabs>
              <w:jc w:val="right"/>
              <w:rPr>
                <w:rFonts w:cs="Calibri"/>
                <w:b/>
                <w:bCs/>
              </w:rPr>
            </w:pPr>
          </w:p>
        </w:tc>
        <w:tc>
          <w:tcPr>
            <w:tcW w:w="1477" w:type="dxa"/>
            <w:gridSpan w:val="2"/>
            <w:tcBorders>
              <w:top w:val="nil"/>
              <w:left w:val="nil"/>
              <w:bottom w:val="nil"/>
              <w:right w:val="nil"/>
            </w:tcBorders>
            <w:vAlign w:val="bottom"/>
          </w:tcPr>
          <w:p w14:paraId="3D3AA645" w14:textId="77777777" w:rsidR="00F15CC8" w:rsidRPr="00AD586B" w:rsidRDefault="00F15CC8" w:rsidP="00AF6496">
            <w:pPr>
              <w:pStyle w:val="TableText"/>
              <w:tabs>
                <w:tab w:val="left" w:pos="3306"/>
              </w:tabs>
              <w:jc w:val="right"/>
              <w:rPr>
                <w:rFonts w:cs="Calibri"/>
                <w:b/>
                <w:bCs/>
              </w:rPr>
            </w:pPr>
          </w:p>
        </w:tc>
        <w:tc>
          <w:tcPr>
            <w:tcW w:w="1275" w:type="dxa"/>
            <w:tcBorders>
              <w:top w:val="nil"/>
              <w:left w:val="nil"/>
              <w:bottom w:val="nil"/>
              <w:right w:val="nil"/>
            </w:tcBorders>
          </w:tcPr>
          <w:p w14:paraId="0E097B63" w14:textId="77777777" w:rsidR="00F15CC8" w:rsidRPr="00AD586B" w:rsidRDefault="00F15CC8" w:rsidP="00AF6496">
            <w:pPr>
              <w:pStyle w:val="TableText"/>
              <w:tabs>
                <w:tab w:val="left" w:pos="3306"/>
              </w:tabs>
              <w:jc w:val="right"/>
              <w:rPr>
                <w:rFonts w:cs="Calibri"/>
                <w:b/>
                <w:bCs/>
              </w:rPr>
            </w:pPr>
          </w:p>
        </w:tc>
        <w:tc>
          <w:tcPr>
            <w:tcW w:w="1281" w:type="dxa"/>
            <w:gridSpan w:val="2"/>
            <w:tcBorders>
              <w:top w:val="nil"/>
              <w:left w:val="nil"/>
              <w:bottom w:val="nil"/>
              <w:right w:val="nil"/>
            </w:tcBorders>
            <w:vAlign w:val="bottom"/>
          </w:tcPr>
          <w:p w14:paraId="1CCF4209" w14:textId="77777777" w:rsidR="00F15CC8" w:rsidRPr="00AD586B" w:rsidRDefault="00F15CC8" w:rsidP="00AF6496">
            <w:pPr>
              <w:pStyle w:val="TableText"/>
              <w:tabs>
                <w:tab w:val="left" w:pos="3306"/>
              </w:tabs>
              <w:jc w:val="right"/>
              <w:rPr>
                <w:rFonts w:cs="Calibri"/>
                <w:b/>
                <w:bCs/>
              </w:rPr>
            </w:pPr>
          </w:p>
        </w:tc>
        <w:tc>
          <w:tcPr>
            <w:tcW w:w="853" w:type="dxa"/>
            <w:tcBorders>
              <w:top w:val="nil"/>
              <w:left w:val="nil"/>
              <w:bottom w:val="nil"/>
              <w:right w:val="nil"/>
            </w:tcBorders>
          </w:tcPr>
          <w:p w14:paraId="5625082B" w14:textId="77777777" w:rsidR="00F15CC8" w:rsidRPr="000415FC" w:rsidRDefault="00F15CC8" w:rsidP="00AF6496">
            <w:pPr>
              <w:pStyle w:val="TableText"/>
              <w:tabs>
                <w:tab w:val="left" w:pos="3306"/>
              </w:tabs>
              <w:jc w:val="right"/>
              <w:rPr>
                <w:rFonts w:cs="Calibri"/>
                <w:b/>
                <w:bCs/>
                <w:sz w:val="16"/>
                <w:szCs w:val="16"/>
              </w:rPr>
            </w:pPr>
          </w:p>
        </w:tc>
      </w:tr>
      <w:tr w:rsidR="00F15CC8" w:rsidRPr="000415FC" w14:paraId="0A632DE0" w14:textId="77777777" w:rsidTr="005F5B4C">
        <w:trPr>
          <w:cantSplit/>
          <w:trHeight w:val="23"/>
        </w:trPr>
        <w:tc>
          <w:tcPr>
            <w:tcW w:w="1408" w:type="dxa"/>
            <w:tcBorders>
              <w:top w:val="nil"/>
              <w:left w:val="single" w:sz="2" w:space="0" w:color="auto"/>
              <w:bottom w:val="nil"/>
              <w:right w:val="single" w:sz="2" w:space="0" w:color="auto"/>
            </w:tcBorders>
          </w:tcPr>
          <w:p w14:paraId="46E4FC7F" w14:textId="37DA4043" w:rsidR="00F15CC8" w:rsidRPr="00AD586B" w:rsidRDefault="00F15CC8" w:rsidP="00AF6496">
            <w:pPr>
              <w:pStyle w:val="TableReference"/>
              <w:tabs>
                <w:tab w:val="left" w:pos="3306"/>
              </w:tabs>
              <w:spacing w:before="40"/>
              <w:rPr>
                <w:rFonts w:cs="Calibri"/>
                <w:color w:val="7030A0"/>
                <w:sz w:val="14"/>
              </w:rPr>
            </w:pPr>
            <w:r w:rsidRPr="00AD586B">
              <w:rPr>
                <w:rFonts w:cs="Calibri"/>
                <w:color w:val="7030A0"/>
                <w:sz w:val="14"/>
              </w:rPr>
              <w:t>AASB 16.53(j)</w:t>
            </w:r>
          </w:p>
        </w:tc>
        <w:tc>
          <w:tcPr>
            <w:tcW w:w="5090" w:type="dxa"/>
            <w:tcBorders>
              <w:top w:val="nil"/>
              <w:left w:val="single" w:sz="2" w:space="0" w:color="auto"/>
              <w:bottom w:val="nil"/>
              <w:right w:val="nil"/>
            </w:tcBorders>
            <w:vAlign w:val="bottom"/>
          </w:tcPr>
          <w:p w14:paraId="59B7704C" w14:textId="19E3947D" w:rsidR="00F15CC8" w:rsidRPr="00AD586B" w:rsidRDefault="00F15CC8" w:rsidP="00AF6496">
            <w:pPr>
              <w:pStyle w:val="TableText"/>
              <w:tabs>
                <w:tab w:val="left" w:pos="3306"/>
              </w:tabs>
              <w:spacing w:before="20" w:after="20"/>
              <w:rPr>
                <w:rFonts w:cs="Calibri"/>
              </w:rPr>
            </w:pPr>
            <w:r w:rsidRPr="00AD586B">
              <w:rPr>
                <w:rFonts w:cs="Calibri"/>
              </w:rPr>
              <w:t>Carrying Amount of Right-of-Use Assets</w:t>
            </w:r>
          </w:p>
        </w:tc>
        <w:tc>
          <w:tcPr>
            <w:tcW w:w="1277" w:type="dxa"/>
            <w:tcBorders>
              <w:top w:val="nil"/>
              <w:left w:val="nil"/>
              <w:bottom w:val="nil"/>
              <w:right w:val="nil"/>
            </w:tcBorders>
            <w:vAlign w:val="bottom"/>
          </w:tcPr>
          <w:p w14:paraId="7D184AC5" w14:textId="77777777" w:rsidR="00F15CC8" w:rsidRPr="00AD586B" w:rsidRDefault="00F15CC8" w:rsidP="00AF6496">
            <w:pPr>
              <w:pStyle w:val="TableText"/>
              <w:tabs>
                <w:tab w:val="left" w:pos="3306"/>
              </w:tabs>
              <w:jc w:val="right"/>
              <w:rPr>
                <w:rFonts w:cs="Calibri"/>
                <w:b/>
                <w:bCs/>
              </w:rPr>
            </w:pPr>
          </w:p>
        </w:tc>
        <w:tc>
          <w:tcPr>
            <w:tcW w:w="1422" w:type="dxa"/>
            <w:tcBorders>
              <w:top w:val="nil"/>
              <w:left w:val="nil"/>
              <w:bottom w:val="nil"/>
              <w:right w:val="nil"/>
            </w:tcBorders>
          </w:tcPr>
          <w:p w14:paraId="260EC251" w14:textId="77777777" w:rsidR="00F15CC8" w:rsidRPr="00AD586B" w:rsidRDefault="00F15CC8" w:rsidP="00AF6496">
            <w:pPr>
              <w:pStyle w:val="TableText"/>
              <w:tabs>
                <w:tab w:val="left" w:pos="3306"/>
              </w:tabs>
              <w:jc w:val="right"/>
              <w:rPr>
                <w:rFonts w:cs="Calibri"/>
                <w:b/>
                <w:bCs/>
              </w:rPr>
            </w:pPr>
          </w:p>
        </w:tc>
        <w:tc>
          <w:tcPr>
            <w:tcW w:w="1647" w:type="dxa"/>
            <w:tcBorders>
              <w:top w:val="nil"/>
              <w:left w:val="nil"/>
              <w:bottom w:val="nil"/>
              <w:right w:val="nil"/>
            </w:tcBorders>
          </w:tcPr>
          <w:p w14:paraId="1F41576C" w14:textId="77777777" w:rsidR="00F15CC8" w:rsidRPr="00AD586B" w:rsidRDefault="00F15CC8" w:rsidP="00AF6496">
            <w:pPr>
              <w:pStyle w:val="TableText"/>
              <w:tabs>
                <w:tab w:val="left" w:pos="3306"/>
              </w:tabs>
              <w:jc w:val="right"/>
              <w:rPr>
                <w:rFonts w:cs="Calibri"/>
                <w:b/>
                <w:bCs/>
              </w:rPr>
            </w:pPr>
          </w:p>
        </w:tc>
        <w:tc>
          <w:tcPr>
            <w:tcW w:w="1477" w:type="dxa"/>
            <w:gridSpan w:val="2"/>
            <w:tcBorders>
              <w:top w:val="nil"/>
              <w:left w:val="nil"/>
              <w:bottom w:val="nil"/>
              <w:right w:val="nil"/>
            </w:tcBorders>
            <w:vAlign w:val="bottom"/>
          </w:tcPr>
          <w:p w14:paraId="28C39457" w14:textId="77777777" w:rsidR="00F15CC8" w:rsidRPr="00AD586B" w:rsidRDefault="00F15CC8" w:rsidP="00AF6496">
            <w:pPr>
              <w:pStyle w:val="TableText"/>
              <w:tabs>
                <w:tab w:val="left" w:pos="3306"/>
              </w:tabs>
              <w:jc w:val="right"/>
              <w:rPr>
                <w:rFonts w:cs="Calibri"/>
                <w:b/>
                <w:bCs/>
              </w:rPr>
            </w:pPr>
          </w:p>
        </w:tc>
        <w:tc>
          <w:tcPr>
            <w:tcW w:w="1275" w:type="dxa"/>
            <w:tcBorders>
              <w:top w:val="nil"/>
              <w:left w:val="nil"/>
              <w:bottom w:val="nil"/>
              <w:right w:val="nil"/>
            </w:tcBorders>
          </w:tcPr>
          <w:p w14:paraId="721E99BB" w14:textId="77777777" w:rsidR="00F15CC8" w:rsidRPr="00AD586B" w:rsidRDefault="00F15CC8" w:rsidP="00AF6496">
            <w:pPr>
              <w:pStyle w:val="TableText"/>
              <w:tabs>
                <w:tab w:val="left" w:pos="3306"/>
              </w:tabs>
              <w:jc w:val="right"/>
              <w:rPr>
                <w:rFonts w:cs="Calibri"/>
                <w:b/>
                <w:bCs/>
              </w:rPr>
            </w:pPr>
          </w:p>
        </w:tc>
        <w:tc>
          <w:tcPr>
            <w:tcW w:w="1281" w:type="dxa"/>
            <w:gridSpan w:val="2"/>
            <w:tcBorders>
              <w:top w:val="nil"/>
              <w:left w:val="nil"/>
              <w:bottom w:val="nil"/>
              <w:right w:val="nil"/>
            </w:tcBorders>
            <w:vAlign w:val="bottom"/>
          </w:tcPr>
          <w:p w14:paraId="1AFC89C1" w14:textId="77777777" w:rsidR="00F15CC8" w:rsidRPr="00AD586B" w:rsidRDefault="00F15CC8" w:rsidP="00AF6496">
            <w:pPr>
              <w:pStyle w:val="TableText"/>
              <w:tabs>
                <w:tab w:val="left" w:pos="3306"/>
              </w:tabs>
              <w:jc w:val="right"/>
              <w:rPr>
                <w:rFonts w:cs="Calibri"/>
                <w:b/>
                <w:bCs/>
              </w:rPr>
            </w:pPr>
          </w:p>
        </w:tc>
        <w:tc>
          <w:tcPr>
            <w:tcW w:w="853" w:type="dxa"/>
            <w:tcBorders>
              <w:top w:val="nil"/>
              <w:left w:val="nil"/>
              <w:bottom w:val="nil"/>
              <w:right w:val="nil"/>
            </w:tcBorders>
          </w:tcPr>
          <w:p w14:paraId="653D7D77" w14:textId="77777777" w:rsidR="00F15CC8" w:rsidRPr="000415FC" w:rsidRDefault="00F15CC8" w:rsidP="00AF6496">
            <w:pPr>
              <w:pStyle w:val="TableText"/>
              <w:tabs>
                <w:tab w:val="left" w:pos="3306"/>
              </w:tabs>
              <w:jc w:val="right"/>
              <w:rPr>
                <w:rFonts w:cs="Calibri"/>
                <w:b/>
                <w:bCs/>
                <w:sz w:val="16"/>
                <w:szCs w:val="16"/>
              </w:rPr>
            </w:pPr>
          </w:p>
        </w:tc>
      </w:tr>
      <w:tr w:rsidR="00AF6496" w:rsidRPr="000415FC" w14:paraId="5FFA8DAB" w14:textId="77777777" w:rsidTr="005F5B4C">
        <w:trPr>
          <w:cantSplit/>
          <w:trHeight w:val="23"/>
        </w:trPr>
        <w:tc>
          <w:tcPr>
            <w:tcW w:w="1408" w:type="dxa"/>
            <w:tcBorders>
              <w:top w:val="nil"/>
              <w:left w:val="single" w:sz="2" w:space="0" w:color="auto"/>
              <w:bottom w:val="nil"/>
              <w:right w:val="single" w:sz="2" w:space="0" w:color="auto"/>
            </w:tcBorders>
          </w:tcPr>
          <w:p w14:paraId="23E6196A" w14:textId="77777777" w:rsidR="00AF6496" w:rsidRPr="00AD586B" w:rsidRDefault="00AF6496" w:rsidP="00AF6496">
            <w:pPr>
              <w:pStyle w:val="TableReference"/>
              <w:tabs>
                <w:tab w:val="left" w:pos="3306"/>
              </w:tabs>
              <w:spacing w:before="40"/>
              <w:rPr>
                <w:rFonts w:cs="Calibri"/>
                <w:color w:val="7030A0"/>
                <w:sz w:val="14"/>
              </w:rPr>
            </w:pPr>
          </w:p>
        </w:tc>
        <w:tc>
          <w:tcPr>
            <w:tcW w:w="14322" w:type="dxa"/>
            <w:gridSpan w:val="10"/>
            <w:tcBorders>
              <w:top w:val="nil"/>
              <w:left w:val="single" w:sz="2" w:space="0" w:color="auto"/>
              <w:bottom w:val="nil"/>
              <w:right w:val="nil"/>
            </w:tcBorders>
            <w:vAlign w:val="bottom"/>
          </w:tcPr>
          <w:p w14:paraId="08953AB9" w14:textId="56EDA50F" w:rsidR="00AF6496" w:rsidRPr="00AD586B" w:rsidRDefault="00AF6496" w:rsidP="00E6027A">
            <w:pPr>
              <w:pStyle w:val="TableText"/>
              <w:tabs>
                <w:tab w:val="left" w:pos="3306"/>
              </w:tabs>
              <w:jc w:val="both"/>
              <w:rPr>
                <w:rFonts w:cs="Calibri"/>
                <w:b/>
                <w:bCs/>
              </w:rPr>
            </w:pPr>
            <w:r w:rsidRPr="00AD586B">
              <w:rPr>
                <w:rFonts w:cs="Calibri"/>
              </w:rPr>
              <w:t>a) The increase in land of $</w:t>
            </w:r>
            <w:r w:rsidR="00FB3AD2">
              <w:rPr>
                <w:rFonts w:cs="Calibri"/>
              </w:rPr>
              <w:t>xxx</w:t>
            </w:r>
            <w:r w:rsidRPr="00AD586B">
              <w:rPr>
                <w:rFonts w:cs="Calibri"/>
              </w:rPr>
              <w:t xml:space="preserve"> resulted from the Agency purchasing land in order to build a new warehouse for the storage of large items of plant and equipment and land to build a shopfront.</w:t>
            </w:r>
            <w:r w:rsidR="00FA7C77">
              <w:rPr>
                <w:rFonts w:cs="Calibri"/>
              </w:rPr>
              <w:t xml:space="preserve"> </w:t>
            </w:r>
            <w:r w:rsidRPr="00AD586B">
              <w:rPr>
                <w:rFonts w:cs="Calibri"/>
              </w:rPr>
              <w:t xml:space="preserve">The increase also resulted from a revaluation of the Agency’s existing land, which occurs every </w:t>
            </w:r>
            <w:r w:rsidR="006E7FE9">
              <w:rPr>
                <w:rFonts w:cs="Calibri"/>
              </w:rPr>
              <w:t>three</w:t>
            </w:r>
            <w:r w:rsidRPr="00AD586B">
              <w:rPr>
                <w:rFonts w:cs="Calibri"/>
              </w:rPr>
              <w:t xml:space="preserve"> years.</w:t>
            </w:r>
          </w:p>
        </w:tc>
      </w:tr>
      <w:tr w:rsidR="00AF6496" w:rsidRPr="000415FC" w14:paraId="31E237BA" w14:textId="77777777" w:rsidTr="005F5B4C">
        <w:trPr>
          <w:cantSplit/>
          <w:trHeight w:val="23"/>
        </w:trPr>
        <w:tc>
          <w:tcPr>
            <w:tcW w:w="1408" w:type="dxa"/>
            <w:tcBorders>
              <w:top w:val="nil"/>
              <w:left w:val="single" w:sz="2" w:space="0" w:color="auto"/>
              <w:bottom w:val="nil"/>
              <w:right w:val="single" w:sz="2" w:space="0" w:color="auto"/>
            </w:tcBorders>
          </w:tcPr>
          <w:p w14:paraId="5F53D4DC" w14:textId="77777777" w:rsidR="00AF6496" w:rsidRPr="00AD586B" w:rsidRDefault="00AF6496" w:rsidP="00AF6496">
            <w:pPr>
              <w:pStyle w:val="TableReference"/>
              <w:tabs>
                <w:tab w:val="left" w:pos="3306"/>
              </w:tabs>
              <w:spacing w:before="40"/>
              <w:rPr>
                <w:rFonts w:cs="Calibri"/>
                <w:color w:val="7030A0"/>
                <w:sz w:val="14"/>
              </w:rPr>
            </w:pPr>
          </w:p>
        </w:tc>
        <w:tc>
          <w:tcPr>
            <w:tcW w:w="14322" w:type="dxa"/>
            <w:gridSpan w:val="10"/>
            <w:tcBorders>
              <w:top w:val="nil"/>
              <w:left w:val="single" w:sz="2" w:space="0" w:color="auto"/>
              <w:bottom w:val="nil"/>
              <w:right w:val="nil"/>
            </w:tcBorders>
            <w:vAlign w:val="bottom"/>
          </w:tcPr>
          <w:p w14:paraId="2E19E13A" w14:textId="7EB10805" w:rsidR="00AF6496" w:rsidRPr="00AD586B" w:rsidRDefault="00AF6496" w:rsidP="00E6027A">
            <w:pPr>
              <w:pStyle w:val="TableText"/>
              <w:tabs>
                <w:tab w:val="left" w:pos="3306"/>
              </w:tabs>
              <w:jc w:val="both"/>
              <w:rPr>
                <w:rFonts w:cs="Calibri"/>
                <w:b/>
                <w:bCs/>
              </w:rPr>
            </w:pPr>
            <w:r w:rsidRPr="00AD586B">
              <w:rPr>
                <w:rFonts w:cs="Calibri"/>
              </w:rPr>
              <w:t>b) The increase in buildings of $</w:t>
            </w:r>
            <w:r w:rsidR="00FB3AD2">
              <w:rPr>
                <w:rFonts w:cs="Calibri"/>
              </w:rPr>
              <w:t>xxx</w:t>
            </w:r>
            <w:r w:rsidRPr="00AD586B">
              <w:rPr>
                <w:rFonts w:cs="Calibri"/>
              </w:rPr>
              <w:t xml:space="preserve"> resulted from two buildings located in Fyshwick and Canberra City being completed and transferred out of Capital Works in Progress.</w:t>
            </w:r>
            <w:r w:rsidR="00FA7C77">
              <w:rPr>
                <w:rFonts w:cs="Calibri"/>
              </w:rPr>
              <w:t xml:space="preserve"> </w:t>
            </w:r>
            <w:r w:rsidRPr="00AD586B">
              <w:rPr>
                <w:rFonts w:cs="Calibri"/>
              </w:rPr>
              <w:t xml:space="preserve">The increase also resulted from a revaluation of the Agency’s existing buildings, which occurs once every </w:t>
            </w:r>
            <w:r w:rsidR="006E7FE9">
              <w:rPr>
                <w:rFonts w:cs="Calibri"/>
              </w:rPr>
              <w:t>three</w:t>
            </w:r>
            <w:r w:rsidRPr="00AD586B">
              <w:rPr>
                <w:rFonts w:cs="Calibri"/>
              </w:rPr>
              <w:t xml:space="preserve"> years, and from a surplus building being transferred to the Agency from ACT Property Group, which will be used in the delivery of municipal services.</w:t>
            </w:r>
          </w:p>
        </w:tc>
      </w:tr>
      <w:tr w:rsidR="00AF6496" w:rsidRPr="000415FC" w14:paraId="28E778EB" w14:textId="77777777" w:rsidTr="005F5B4C">
        <w:trPr>
          <w:cantSplit/>
          <w:trHeight w:val="23"/>
        </w:trPr>
        <w:tc>
          <w:tcPr>
            <w:tcW w:w="1408" w:type="dxa"/>
            <w:tcBorders>
              <w:top w:val="nil"/>
              <w:left w:val="single" w:sz="2" w:space="0" w:color="auto"/>
              <w:bottom w:val="nil"/>
              <w:right w:val="single" w:sz="2" w:space="0" w:color="auto"/>
            </w:tcBorders>
          </w:tcPr>
          <w:p w14:paraId="3FA5713E" w14:textId="77777777" w:rsidR="00AF6496" w:rsidRPr="00AD586B" w:rsidRDefault="00AF6496" w:rsidP="00AF6496">
            <w:pPr>
              <w:pStyle w:val="TableReference"/>
              <w:tabs>
                <w:tab w:val="left" w:pos="3306"/>
              </w:tabs>
              <w:spacing w:before="40"/>
              <w:rPr>
                <w:rFonts w:cs="Calibri"/>
                <w:color w:val="7030A0"/>
                <w:sz w:val="14"/>
              </w:rPr>
            </w:pPr>
          </w:p>
        </w:tc>
        <w:tc>
          <w:tcPr>
            <w:tcW w:w="14322" w:type="dxa"/>
            <w:gridSpan w:val="10"/>
            <w:tcBorders>
              <w:top w:val="nil"/>
              <w:left w:val="single" w:sz="2" w:space="0" w:color="auto"/>
              <w:bottom w:val="nil"/>
              <w:right w:val="nil"/>
            </w:tcBorders>
            <w:vAlign w:val="bottom"/>
          </w:tcPr>
          <w:p w14:paraId="48F638A2" w14:textId="1F39C522" w:rsidR="00AF6496" w:rsidRPr="00AD586B" w:rsidRDefault="00AF6496" w:rsidP="00E6027A">
            <w:pPr>
              <w:pStyle w:val="TableText"/>
              <w:jc w:val="both"/>
              <w:rPr>
                <w:rFonts w:cs="Calibri"/>
              </w:rPr>
            </w:pPr>
            <w:r w:rsidRPr="00AD586B">
              <w:rPr>
                <w:rFonts w:cs="Calibri"/>
              </w:rPr>
              <w:t>c) The increase in Community and Heritage assets of $</w:t>
            </w:r>
            <w:r w:rsidR="00FB3AD2">
              <w:rPr>
                <w:rFonts w:cs="Calibri"/>
              </w:rPr>
              <w:t>xxx</w:t>
            </w:r>
            <w:r w:rsidRPr="00AD586B">
              <w:rPr>
                <w:rFonts w:cs="Calibri"/>
              </w:rPr>
              <w:t xml:space="preserve"> has resulted from a revaluation of Community and Heritage assets undertaken by ‘</w:t>
            </w:r>
            <w:r w:rsidRPr="00AD586B">
              <w:t xml:space="preserve">Burley Griffin </w:t>
            </w:r>
            <w:r w:rsidRPr="00AD586B">
              <w:rPr>
                <w:rFonts w:cs="Calibri"/>
              </w:rPr>
              <w:t>Agency’.</w:t>
            </w:r>
            <w:r w:rsidR="00FA7C77">
              <w:rPr>
                <w:rFonts w:cs="Calibri"/>
              </w:rPr>
              <w:t xml:space="preserve"> </w:t>
            </w:r>
            <w:r w:rsidRPr="00AD586B">
              <w:rPr>
                <w:rFonts w:cs="Calibri"/>
              </w:rPr>
              <w:t>The increase is also a result of a restructure of administrative arrangements, whereby ‘</w:t>
            </w:r>
            <w:r w:rsidRPr="00AD586B">
              <w:t xml:space="preserve">Burley Griffin </w:t>
            </w:r>
            <w:r w:rsidRPr="00AD586B">
              <w:rPr>
                <w:rFonts w:cs="Calibri"/>
              </w:rPr>
              <w:t xml:space="preserve">Agency’ received, a number of large heritage assets from </w:t>
            </w:r>
            <w:r w:rsidRPr="00AD586B">
              <w:t>ABC Directorate</w:t>
            </w:r>
            <w:r w:rsidRPr="00AD586B">
              <w:rPr>
                <w:rFonts w:cs="Calibri"/>
              </w:rPr>
              <w:t xml:space="preserve">. Please refer to Note 30 </w:t>
            </w:r>
            <w:r w:rsidRPr="00AD586B">
              <w:rPr>
                <w:rFonts w:cs="Calibri"/>
                <w:i/>
                <w:iCs/>
              </w:rPr>
              <w:t>Restructure of Administrative Arrangements</w:t>
            </w:r>
            <w:r w:rsidRPr="00AD586B">
              <w:rPr>
                <w:rFonts w:cs="Calibri"/>
                <w:i/>
              </w:rPr>
              <w:t xml:space="preserve"> </w:t>
            </w:r>
            <w:r w:rsidRPr="00AD586B">
              <w:rPr>
                <w:rFonts w:cs="Calibri"/>
              </w:rPr>
              <w:t>for further details.</w:t>
            </w:r>
          </w:p>
        </w:tc>
      </w:tr>
      <w:bookmarkEnd w:id="538"/>
      <w:bookmarkEnd w:id="539"/>
    </w:tbl>
    <w:p w14:paraId="79CB4332" w14:textId="77777777" w:rsidR="00B02AD2" w:rsidRDefault="00B02AD2" w:rsidP="0096118D">
      <w:pPr>
        <w:pStyle w:val="TableReference"/>
        <w:tabs>
          <w:tab w:val="left" w:pos="3306"/>
        </w:tabs>
        <w:spacing w:before="40"/>
        <w:rPr>
          <w:rFonts w:cs="Calibri"/>
          <w:color w:val="auto"/>
          <w:sz w:val="16"/>
          <w:szCs w:val="16"/>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4"/>
        <w:gridCol w:w="5102"/>
        <w:gridCol w:w="992"/>
        <w:gridCol w:w="1276"/>
        <w:gridCol w:w="1417"/>
        <w:gridCol w:w="1134"/>
        <w:gridCol w:w="1418"/>
        <w:gridCol w:w="1559"/>
        <w:gridCol w:w="1137"/>
      </w:tblGrid>
      <w:tr w:rsidR="00FB3AD2" w:rsidRPr="00FB3AD2" w14:paraId="41BA9887" w14:textId="77777777" w:rsidTr="005F5B4C">
        <w:trPr>
          <w:cantSplit/>
          <w:trHeight w:val="334"/>
        </w:trPr>
        <w:tc>
          <w:tcPr>
            <w:tcW w:w="1414" w:type="dxa"/>
            <w:tcBorders>
              <w:top w:val="nil"/>
              <w:left w:val="single" w:sz="2" w:space="0" w:color="auto"/>
              <w:bottom w:val="nil"/>
              <w:right w:val="single" w:sz="2" w:space="0" w:color="auto"/>
            </w:tcBorders>
          </w:tcPr>
          <w:p w14:paraId="6AB57848" w14:textId="77777777" w:rsidR="00B02AD2" w:rsidRPr="00FB3AD2" w:rsidRDefault="00B02AD2" w:rsidP="007D4DCE">
            <w:pPr>
              <w:pStyle w:val="Reference"/>
              <w:tabs>
                <w:tab w:val="left" w:pos="3306"/>
              </w:tabs>
              <w:spacing w:before="120" w:after="240"/>
              <w:rPr>
                <w:rFonts w:cs="Calibri"/>
                <w:color w:val="7030A0"/>
                <w:sz w:val="22"/>
                <w:szCs w:val="22"/>
              </w:rPr>
            </w:pPr>
            <w:r w:rsidRPr="00FB3AD2">
              <w:rPr>
                <w:rFonts w:cs="Calibri"/>
                <w:color w:val="7030A0"/>
                <w:sz w:val="22"/>
                <w:szCs w:val="22"/>
              </w:rPr>
              <w:t>Reference</w:t>
            </w:r>
          </w:p>
        </w:tc>
        <w:tc>
          <w:tcPr>
            <w:tcW w:w="14034" w:type="dxa"/>
            <w:gridSpan w:val="8"/>
            <w:tcBorders>
              <w:top w:val="nil"/>
              <w:left w:val="single" w:sz="2" w:space="0" w:color="auto"/>
              <w:bottom w:val="nil"/>
              <w:right w:val="nil"/>
            </w:tcBorders>
          </w:tcPr>
          <w:p w14:paraId="4ED44DD4" w14:textId="7AE5549A" w:rsidR="00B02AD2" w:rsidRPr="00FB3AD2" w:rsidRDefault="00B02AD2" w:rsidP="007D4DCE">
            <w:pPr>
              <w:spacing w:before="120" w:after="240"/>
              <w:rPr>
                <w:b/>
              </w:rPr>
            </w:pPr>
            <w:r w:rsidRPr="00FB3AD2">
              <w:rPr>
                <w:rFonts w:ascii="Arial Bold" w:hAnsi="Arial Bold" w:cs="Arial"/>
                <w:b/>
                <w:caps/>
                <w:sz w:val="32"/>
                <w:szCs w:val="32"/>
              </w:rPr>
              <w:t xml:space="preserve">Note </w:t>
            </w:r>
            <w:r w:rsidR="001B1A1D" w:rsidRPr="00FB3AD2">
              <w:rPr>
                <w:rFonts w:ascii="Arial Bold" w:hAnsi="Arial Bold" w:cs="Arial"/>
                <w:b/>
                <w:caps/>
                <w:sz w:val="32"/>
                <w:szCs w:val="32"/>
              </w:rPr>
              <w:t>19</w:t>
            </w:r>
            <w:r w:rsidRPr="00FB3AD2">
              <w:rPr>
                <w:rFonts w:ascii="Arial Bold" w:hAnsi="Arial Bold" w:cs="Arial"/>
                <w:b/>
                <w:caps/>
                <w:sz w:val="32"/>
                <w:szCs w:val="32"/>
              </w:rPr>
              <w:t>.</w:t>
            </w:r>
            <w:r w:rsidR="00FA7C77">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 – Continued</w:t>
            </w:r>
          </w:p>
        </w:tc>
      </w:tr>
      <w:tr w:rsidR="00FB3AD2" w:rsidRPr="00FB3AD2" w14:paraId="70A51CB3" w14:textId="77777777" w:rsidTr="005F5B4C">
        <w:trPr>
          <w:cantSplit/>
          <w:trHeight w:val="23"/>
        </w:trPr>
        <w:tc>
          <w:tcPr>
            <w:tcW w:w="1414" w:type="dxa"/>
            <w:tcBorders>
              <w:top w:val="nil"/>
              <w:left w:val="single" w:sz="2" w:space="0" w:color="auto"/>
              <w:bottom w:val="nil"/>
              <w:right w:val="single" w:sz="2" w:space="0" w:color="auto"/>
            </w:tcBorders>
            <w:vAlign w:val="bottom"/>
          </w:tcPr>
          <w:p w14:paraId="2E7A5D11" w14:textId="77777777" w:rsidR="00B02AD2" w:rsidRPr="00FB3AD2" w:rsidRDefault="00B02AD2" w:rsidP="007D4DCE">
            <w:pPr>
              <w:pStyle w:val="Reference"/>
              <w:tabs>
                <w:tab w:val="left" w:pos="3306"/>
              </w:tabs>
              <w:rPr>
                <w:rFonts w:cs="Calibri"/>
                <w:color w:val="7030A0"/>
                <w:sz w:val="16"/>
                <w:szCs w:val="16"/>
              </w:rPr>
            </w:pPr>
          </w:p>
        </w:tc>
        <w:tc>
          <w:tcPr>
            <w:tcW w:w="14034" w:type="dxa"/>
            <w:gridSpan w:val="8"/>
            <w:tcBorders>
              <w:top w:val="nil"/>
              <w:left w:val="single" w:sz="2" w:space="0" w:color="auto"/>
              <w:bottom w:val="nil"/>
              <w:right w:val="nil"/>
            </w:tcBorders>
          </w:tcPr>
          <w:p w14:paraId="27512FD7" w14:textId="05206DA7" w:rsidR="00B02AD2" w:rsidRPr="00FB3AD2" w:rsidRDefault="00B02AD2" w:rsidP="007D4DCE">
            <w:pPr>
              <w:spacing w:after="120"/>
              <w:rPr>
                <w:rFonts w:cs="Calibri"/>
                <w:sz w:val="18"/>
                <w:szCs w:val="18"/>
              </w:rPr>
            </w:pPr>
            <w:r w:rsidRPr="00FB3AD2">
              <w:rPr>
                <w:b/>
                <w:sz w:val="18"/>
                <w:szCs w:val="18"/>
              </w:rPr>
              <w:t>Reconciliation of Property, Plant and Equipment – 20</w:t>
            </w:r>
            <w:r w:rsidR="007D4DCE" w:rsidRPr="00FB3AD2">
              <w:rPr>
                <w:b/>
                <w:sz w:val="18"/>
                <w:szCs w:val="18"/>
              </w:rPr>
              <w:t>20</w:t>
            </w:r>
            <w:r w:rsidRPr="00FB3AD2">
              <w:rPr>
                <w:b/>
                <w:sz w:val="18"/>
                <w:szCs w:val="18"/>
              </w:rPr>
              <w:t>-2</w:t>
            </w:r>
            <w:r w:rsidR="007D4DCE" w:rsidRPr="00FB3AD2">
              <w:rPr>
                <w:b/>
                <w:sz w:val="18"/>
                <w:szCs w:val="18"/>
              </w:rPr>
              <w:t>1</w:t>
            </w:r>
          </w:p>
        </w:tc>
      </w:tr>
      <w:tr w:rsidR="00FB3AD2" w:rsidRPr="00FB3AD2" w14:paraId="6B9DE5C3" w14:textId="77777777" w:rsidTr="005F5B4C">
        <w:trPr>
          <w:cantSplit/>
          <w:trHeight w:val="84"/>
        </w:trPr>
        <w:tc>
          <w:tcPr>
            <w:tcW w:w="1414" w:type="dxa"/>
            <w:tcBorders>
              <w:top w:val="nil"/>
              <w:left w:val="single" w:sz="2" w:space="0" w:color="auto"/>
              <w:bottom w:val="nil"/>
              <w:right w:val="single" w:sz="2" w:space="0" w:color="auto"/>
            </w:tcBorders>
          </w:tcPr>
          <w:p w14:paraId="3557A831" w14:textId="77777777" w:rsidR="00E6027A" w:rsidRPr="00FB3AD2" w:rsidRDefault="00E6027A" w:rsidP="009A0F2F">
            <w:pPr>
              <w:pStyle w:val="Reference"/>
              <w:tabs>
                <w:tab w:val="left" w:pos="3306"/>
              </w:tabs>
              <w:spacing w:before="120" w:after="240"/>
              <w:rPr>
                <w:rFonts w:cs="Calibri"/>
                <w:b w:val="0"/>
                <w:bCs w:val="0"/>
                <w:color w:val="7030A0"/>
                <w:sz w:val="14"/>
                <w:szCs w:val="14"/>
              </w:rPr>
            </w:pPr>
          </w:p>
        </w:tc>
        <w:tc>
          <w:tcPr>
            <w:tcW w:w="5102" w:type="dxa"/>
            <w:tcBorders>
              <w:top w:val="nil"/>
              <w:left w:val="single" w:sz="2" w:space="0" w:color="auto"/>
              <w:bottom w:val="nil"/>
              <w:right w:val="nil"/>
            </w:tcBorders>
          </w:tcPr>
          <w:p w14:paraId="7EDC3C42" w14:textId="77777777" w:rsidR="00E6027A" w:rsidRPr="00FB3AD2" w:rsidRDefault="00E6027A" w:rsidP="009A0F2F">
            <w:pPr>
              <w:rPr>
                <w:sz w:val="18"/>
                <w:szCs w:val="18"/>
              </w:rPr>
            </w:pPr>
          </w:p>
        </w:tc>
        <w:tc>
          <w:tcPr>
            <w:tcW w:w="992" w:type="dxa"/>
            <w:tcBorders>
              <w:top w:val="nil"/>
              <w:left w:val="nil"/>
              <w:bottom w:val="nil"/>
              <w:right w:val="nil"/>
            </w:tcBorders>
          </w:tcPr>
          <w:p w14:paraId="6200B5B9" w14:textId="7D008148"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Land</w:t>
            </w:r>
          </w:p>
          <w:p w14:paraId="50485CE3"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$’000</w:t>
            </w:r>
          </w:p>
        </w:tc>
        <w:tc>
          <w:tcPr>
            <w:tcW w:w="1276" w:type="dxa"/>
            <w:tcBorders>
              <w:top w:val="nil"/>
              <w:left w:val="nil"/>
              <w:bottom w:val="nil"/>
              <w:right w:val="nil"/>
            </w:tcBorders>
          </w:tcPr>
          <w:p w14:paraId="032052C6" w14:textId="3D3B5CD6"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Buildings</w:t>
            </w:r>
          </w:p>
          <w:p w14:paraId="0A143566"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$’000</w:t>
            </w:r>
          </w:p>
        </w:tc>
        <w:tc>
          <w:tcPr>
            <w:tcW w:w="1417" w:type="dxa"/>
            <w:tcBorders>
              <w:top w:val="nil"/>
              <w:left w:val="nil"/>
              <w:bottom w:val="nil"/>
              <w:right w:val="nil"/>
            </w:tcBorders>
          </w:tcPr>
          <w:p w14:paraId="445137C3"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Leasehold Improvements</w:t>
            </w:r>
          </w:p>
          <w:p w14:paraId="7AD51D07"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$’000</w:t>
            </w:r>
          </w:p>
        </w:tc>
        <w:tc>
          <w:tcPr>
            <w:tcW w:w="1134" w:type="dxa"/>
            <w:tcBorders>
              <w:top w:val="nil"/>
              <w:left w:val="nil"/>
              <w:bottom w:val="nil"/>
              <w:right w:val="nil"/>
            </w:tcBorders>
          </w:tcPr>
          <w:p w14:paraId="5CC7875C"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Plant and Equipment</w:t>
            </w:r>
          </w:p>
          <w:p w14:paraId="6DA0AAF6"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$’000</w:t>
            </w:r>
          </w:p>
        </w:tc>
        <w:tc>
          <w:tcPr>
            <w:tcW w:w="1418" w:type="dxa"/>
            <w:tcBorders>
              <w:top w:val="nil"/>
              <w:left w:val="nil"/>
              <w:bottom w:val="nil"/>
              <w:right w:val="nil"/>
            </w:tcBorders>
          </w:tcPr>
          <w:p w14:paraId="47CB97B4"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Infrastructure Assets</w:t>
            </w:r>
          </w:p>
          <w:p w14:paraId="6887A370"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$’000</w:t>
            </w:r>
          </w:p>
        </w:tc>
        <w:tc>
          <w:tcPr>
            <w:tcW w:w="1559" w:type="dxa"/>
            <w:tcBorders>
              <w:top w:val="nil"/>
              <w:left w:val="nil"/>
              <w:bottom w:val="nil"/>
              <w:right w:val="nil"/>
            </w:tcBorders>
          </w:tcPr>
          <w:p w14:paraId="3695F1BB"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Community/ Heritage</w:t>
            </w:r>
          </w:p>
          <w:p w14:paraId="316757F2" w14:textId="29655F4D"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Assets</w:t>
            </w:r>
          </w:p>
          <w:p w14:paraId="64A59D8D"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$’000</w:t>
            </w:r>
          </w:p>
        </w:tc>
        <w:tc>
          <w:tcPr>
            <w:tcW w:w="1136" w:type="dxa"/>
            <w:tcBorders>
              <w:top w:val="nil"/>
              <w:left w:val="nil"/>
              <w:bottom w:val="nil"/>
              <w:right w:val="nil"/>
            </w:tcBorders>
          </w:tcPr>
          <w:p w14:paraId="409A24BB"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Total</w:t>
            </w:r>
          </w:p>
          <w:p w14:paraId="747FF318" w14:textId="77777777" w:rsidR="00E6027A" w:rsidRPr="00FB3AD2" w:rsidRDefault="00E6027A" w:rsidP="009A0F2F">
            <w:pPr>
              <w:pStyle w:val="TableTitle"/>
              <w:tabs>
                <w:tab w:val="left" w:pos="3306"/>
              </w:tabs>
              <w:rPr>
                <w:rFonts w:asciiTheme="minorHAnsi" w:hAnsiTheme="minorHAnsi" w:cstheme="minorHAnsi"/>
              </w:rPr>
            </w:pPr>
            <w:r w:rsidRPr="00FB3AD2">
              <w:rPr>
                <w:rFonts w:asciiTheme="minorHAnsi" w:hAnsiTheme="minorHAnsi" w:cstheme="minorHAnsi"/>
              </w:rPr>
              <w:t>$’000</w:t>
            </w:r>
          </w:p>
        </w:tc>
      </w:tr>
      <w:tr w:rsidR="00FB3AD2" w:rsidRPr="00FB3AD2" w14:paraId="31EEF789" w14:textId="77777777" w:rsidTr="005F5B4C">
        <w:trPr>
          <w:cantSplit/>
          <w:trHeight w:val="84"/>
        </w:trPr>
        <w:tc>
          <w:tcPr>
            <w:tcW w:w="1414" w:type="dxa"/>
            <w:tcBorders>
              <w:top w:val="nil"/>
              <w:left w:val="single" w:sz="2" w:space="0" w:color="auto"/>
              <w:bottom w:val="nil"/>
              <w:right w:val="single" w:sz="2" w:space="0" w:color="auto"/>
            </w:tcBorders>
          </w:tcPr>
          <w:p w14:paraId="23846865"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116.73(e)</w:t>
            </w:r>
          </w:p>
        </w:tc>
        <w:tc>
          <w:tcPr>
            <w:tcW w:w="5102" w:type="dxa"/>
            <w:tcBorders>
              <w:top w:val="nil"/>
              <w:left w:val="single" w:sz="2" w:space="0" w:color="auto"/>
              <w:bottom w:val="nil"/>
              <w:right w:val="nil"/>
            </w:tcBorders>
          </w:tcPr>
          <w:p w14:paraId="29A5BC97" w14:textId="77777777" w:rsidR="00E6027A" w:rsidRPr="00FB3AD2" w:rsidRDefault="00E6027A" w:rsidP="009A0F2F">
            <w:pPr>
              <w:rPr>
                <w:sz w:val="18"/>
                <w:szCs w:val="18"/>
              </w:rPr>
            </w:pPr>
            <w:r w:rsidRPr="00FB3AD2">
              <w:rPr>
                <w:rFonts w:cs="Calibri"/>
                <w:b/>
                <w:sz w:val="18"/>
                <w:szCs w:val="18"/>
              </w:rPr>
              <w:t>Carrying Amount at the Beginning of the Reporting Period</w:t>
            </w:r>
          </w:p>
        </w:tc>
        <w:tc>
          <w:tcPr>
            <w:tcW w:w="992" w:type="dxa"/>
            <w:tcBorders>
              <w:top w:val="nil"/>
              <w:left w:val="nil"/>
              <w:bottom w:val="nil"/>
              <w:right w:val="nil"/>
            </w:tcBorders>
          </w:tcPr>
          <w:p w14:paraId="5640B4C9" w14:textId="77777777" w:rsidR="00E6027A" w:rsidRPr="00FB3AD2" w:rsidRDefault="00E6027A" w:rsidP="009A0F2F">
            <w:pPr>
              <w:pStyle w:val="TableTitle"/>
              <w:tabs>
                <w:tab w:val="left" w:pos="3306"/>
              </w:tabs>
              <w:rPr>
                <w:rFonts w:asciiTheme="minorHAnsi" w:hAnsiTheme="minorHAnsi" w:cstheme="minorHAnsi"/>
              </w:rPr>
            </w:pPr>
          </w:p>
        </w:tc>
        <w:tc>
          <w:tcPr>
            <w:tcW w:w="1276" w:type="dxa"/>
            <w:tcBorders>
              <w:top w:val="nil"/>
              <w:left w:val="nil"/>
              <w:bottom w:val="nil"/>
              <w:right w:val="nil"/>
            </w:tcBorders>
          </w:tcPr>
          <w:p w14:paraId="0B646B40" w14:textId="77777777" w:rsidR="00E6027A" w:rsidRPr="00FB3AD2" w:rsidRDefault="00E6027A" w:rsidP="009A0F2F">
            <w:pPr>
              <w:pStyle w:val="TableTitle"/>
              <w:tabs>
                <w:tab w:val="left" w:pos="3306"/>
              </w:tabs>
              <w:rPr>
                <w:rFonts w:asciiTheme="minorHAnsi" w:hAnsiTheme="minorHAnsi" w:cstheme="minorHAnsi"/>
              </w:rPr>
            </w:pPr>
          </w:p>
        </w:tc>
        <w:tc>
          <w:tcPr>
            <w:tcW w:w="1417" w:type="dxa"/>
            <w:tcBorders>
              <w:top w:val="nil"/>
              <w:left w:val="nil"/>
              <w:bottom w:val="nil"/>
              <w:right w:val="nil"/>
            </w:tcBorders>
          </w:tcPr>
          <w:p w14:paraId="26731CC4" w14:textId="77777777" w:rsidR="00E6027A" w:rsidRPr="00FB3AD2" w:rsidRDefault="00E6027A" w:rsidP="009A0F2F">
            <w:pPr>
              <w:pStyle w:val="TableTitle"/>
              <w:tabs>
                <w:tab w:val="left" w:pos="3306"/>
              </w:tabs>
              <w:rPr>
                <w:rFonts w:asciiTheme="minorHAnsi" w:hAnsiTheme="minorHAnsi" w:cstheme="minorHAnsi"/>
              </w:rPr>
            </w:pPr>
          </w:p>
        </w:tc>
        <w:tc>
          <w:tcPr>
            <w:tcW w:w="1134" w:type="dxa"/>
            <w:tcBorders>
              <w:top w:val="nil"/>
              <w:left w:val="nil"/>
              <w:bottom w:val="nil"/>
              <w:right w:val="nil"/>
            </w:tcBorders>
          </w:tcPr>
          <w:p w14:paraId="29234C9E" w14:textId="77777777" w:rsidR="00E6027A" w:rsidRPr="00FB3AD2" w:rsidRDefault="00E6027A" w:rsidP="009A0F2F">
            <w:pPr>
              <w:pStyle w:val="TableTitle"/>
              <w:tabs>
                <w:tab w:val="left" w:pos="3306"/>
              </w:tabs>
              <w:rPr>
                <w:rFonts w:asciiTheme="minorHAnsi" w:hAnsiTheme="minorHAnsi" w:cstheme="minorHAnsi"/>
              </w:rPr>
            </w:pPr>
          </w:p>
        </w:tc>
        <w:tc>
          <w:tcPr>
            <w:tcW w:w="1418" w:type="dxa"/>
            <w:tcBorders>
              <w:top w:val="nil"/>
              <w:left w:val="nil"/>
              <w:bottom w:val="nil"/>
              <w:right w:val="nil"/>
            </w:tcBorders>
          </w:tcPr>
          <w:p w14:paraId="4A3F12D4" w14:textId="77777777" w:rsidR="00E6027A" w:rsidRPr="00FB3AD2" w:rsidRDefault="00E6027A" w:rsidP="009A0F2F">
            <w:pPr>
              <w:pStyle w:val="TableTitle"/>
              <w:tabs>
                <w:tab w:val="left" w:pos="3306"/>
              </w:tabs>
              <w:rPr>
                <w:rFonts w:asciiTheme="minorHAnsi" w:hAnsiTheme="minorHAnsi" w:cstheme="minorHAnsi"/>
              </w:rPr>
            </w:pPr>
          </w:p>
        </w:tc>
        <w:tc>
          <w:tcPr>
            <w:tcW w:w="1559" w:type="dxa"/>
            <w:tcBorders>
              <w:top w:val="nil"/>
              <w:left w:val="nil"/>
              <w:bottom w:val="nil"/>
              <w:right w:val="nil"/>
            </w:tcBorders>
          </w:tcPr>
          <w:p w14:paraId="70C22927" w14:textId="77777777" w:rsidR="00E6027A" w:rsidRPr="00FB3AD2" w:rsidRDefault="00E6027A" w:rsidP="009A0F2F">
            <w:pPr>
              <w:pStyle w:val="TableTitle"/>
              <w:tabs>
                <w:tab w:val="left" w:pos="3306"/>
              </w:tabs>
              <w:rPr>
                <w:rFonts w:asciiTheme="minorHAnsi" w:hAnsiTheme="minorHAnsi" w:cstheme="minorHAnsi"/>
              </w:rPr>
            </w:pPr>
          </w:p>
        </w:tc>
        <w:tc>
          <w:tcPr>
            <w:tcW w:w="1136" w:type="dxa"/>
            <w:tcBorders>
              <w:top w:val="nil"/>
              <w:left w:val="nil"/>
              <w:bottom w:val="nil"/>
              <w:right w:val="nil"/>
            </w:tcBorders>
          </w:tcPr>
          <w:p w14:paraId="63B1AAB6" w14:textId="77777777" w:rsidR="00E6027A" w:rsidRPr="00FB3AD2" w:rsidRDefault="00E6027A" w:rsidP="009A0F2F">
            <w:pPr>
              <w:pStyle w:val="TableTitle"/>
              <w:tabs>
                <w:tab w:val="left" w:pos="3306"/>
              </w:tabs>
              <w:rPr>
                <w:rFonts w:asciiTheme="minorHAnsi" w:hAnsiTheme="minorHAnsi" w:cstheme="minorHAnsi"/>
              </w:rPr>
            </w:pPr>
          </w:p>
        </w:tc>
      </w:tr>
      <w:tr w:rsidR="00FB3AD2" w:rsidRPr="00FB3AD2" w14:paraId="3744D636" w14:textId="77777777" w:rsidTr="005F5B4C">
        <w:trPr>
          <w:cantSplit/>
          <w:trHeight w:val="84"/>
        </w:trPr>
        <w:tc>
          <w:tcPr>
            <w:tcW w:w="1414" w:type="dxa"/>
            <w:tcBorders>
              <w:top w:val="nil"/>
              <w:left w:val="single" w:sz="2" w:space="0" w:color="auto"/>
              <w:bottom w:val="nil"/>
              <w:right w:val="single" w:sz="2" w:space="0" w:color="auto"/>
            </w:tcBorders>
          </w:tcPr>
          <w:p w14:paraId="379B206E" w14:textId="77777777" w:rsidR="00E6027A" w:rsidRPr="00FB3AD2" w:rsidRDefault="00E6027A" w:rsidP="009A0F2F">
            <w:pPr>
              <w:pStyle w:val="TableReference"/>
              <w:tabs>
                <w:tab w:val="left" w:pos="3306"/>
              </w:tabs>
              <w:spacing w:before="40"/>
              <w:rPr>
                <w:rFonts w:cs="Calibri"/>
                <w:color w:val="7030A0"/>
                <w:sz w:val="14"/>
              </w:rPr>
            </w:pPr>
            <w:r w:rsidRPr="00FB3AD2">
              <w:rPr>
                <w:rFonts w:cs="Calibri"/>
                <w:color w:val="7030A0"/>
                <w:sz w:val="14"/>
              </w:rPr>
              <w:t>AASB 116.73(e)(i)</w:t>
            </w:r>
          </w:p>
          <w:p w14:paraId="5537F7BF"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16.53(h)</w:t>
            </w:r>
          </w:p>
        </w:tc>
        <w:tc>
          <w:tcPr>
            <w:tcW w:w="5102" w:type="dxa"/>
            <w:tcBorders>
              <w:top w:val="nil"/>
              <w:left w:val="single" w:sz="2" w:space="0" w:color="auto"/>
              <w:bottom w:val="nil"/>
              <w:right w:val="nil"/>
            </w:tcBorders>
          </w:tcPr>
          <w:p w14:paraId="5F2847C8" w14:textId="77777777" w:rsidR="00E6027A" w:rsidRPr="00FB3AD2" w:rsidRDefault="00E6027A" w:rsidP="009A0F2F">
            <w:pPr>
              <w:rPr>
                <w:rFonts w:cs="Calibri"/>
                <w:b/>
                <w:sz w:val="18"/>
                <w:szCs w:val="18"/>
              </w:rPr>
            </w:pPr>
            <w:r w:rsidRPr="00FB3AD2">
              <w:rPr>
                <w:rFonts w:cs="Calibri"/>
                <w:sz w:val="18"/>
                <w:szCs w:val="18"/>
              </w:rPr>
              <w:t>Additions</w:t>
            </w:r>
          </w:p>
        </w:tc>
        <w:tc>
          <w:tcPr>
            <w:tcW w:w="992" w:type="dxa"/>
            <w:tcBorders>
              <w:top w:val="nil"/>
              <w:left w:val="nil"/>
              <w:bottom w:val="nil"/>
              <w:right w:val="nil"/>
            </w:tcBorders>
          </w:tcPr>
          <w:p w14:paraId="2756A4FD"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420455E0"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3B5F55A8"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5365DB5B"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059D1D49"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77792A38"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7E55A917"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7571F827" w14:textId="77777777" w:rsidTr="005F5B4C">
        <w:trPr>
          <w:cantSplit/>
          <w:trHeight w:val="84"/>
        </w:trPr>
        <w:tc>
          <w:tcPr>
            <w:tcW w:w="1414" w:type="dxa"/>
            <w:tcBorders>
              <w:top w:val="nil"/>
              <w:left w:val="single" w:sz="2" w:space="0" w:color="auto"/>
              <w:bottom w:val="nil"/>
              <w:right w:val="single" w:sz="2" w:space="0" w:color="auto"/>
            </w:tcBorders>
          </w:tcPr>
          <w:p w14:paraId="66DA9D06"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116.73(e)(ii)</w:t>
            </w:r>
          </w:p>
        </w:tc>
        <w:tc>
          <w:tcPr>
            <w:tcW w:w="5102" w:type="dxa"/>
            <w:tcBorders>
              <w:top w:val="nil"/>
              <w:left w:val="single" w:sz="2" w:space="0" w:color="auto"/>
              <w:bottom w:val="nil"/>
              <w:right w:val="nil"/>
            </w:tcBorders>
          </w:tcPr>
          <w:p w14:paraId="6BC6CCFD" w14:textId="77777777" w:rsidR="00E6027A" w:rsidRPr="00FB3AD2" w:rsidRDefault="00E6027A" w:rsidP="009A0F2F">
            <w:pPr>
              <w:rPr>
                <w:rFonts w:cs="Calibri"/>
                <w:b/>
                <w:sz w:val="18"/>
                <w:szCs w:val="18"/>
              </w:rPr>
            </w:pPr>
            <w:r w:rsidRPr="00FB3AD2">
              <w:rPr>
                <w:rFonts w:cs="Calibri"/>
                <w:sz w:val="18"/>
                <w:szCs w:val="18"/>
              </w:rPr>
              <w:t>Assets Classified as Held for Sale</w:t>
            </w:r>
          </w:p>
        </w:tc>
        <w:tc>
          <w:tcPr>
            <w:tcW w:w="992" w:type="dxa"/>
            <w:tcBorders>
              <w:top w:val="nil"/>
              <w:left w:val="nil"/>
              <w:bottom w:val="nil"/>
              <w:right w:val="nil"/>
            </w:tcBorders>
          </w:tcPr>
          <w:p w14:paraId="44B2EFA2"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1F9FFF15"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58098B50"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01326F3B"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06E1E4E2"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2316594B"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2B6C5126"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4CA1DC27" w14:textId="77777777" w:rsidTr="005F5B4C">
        <w:trPr>
          <w:cantSplit/>
          <w:trHeight w:val="84"/>
        </w:trPr>
        <w:tc>
          <w:tcPr>
            <w:tcW w:w="1414" w:type="dxa"/>
            <w:tcBorders>
              <w:top w:val="nil"/>
              <w:left w:val="single" w:sz="2" w:space="0" w:color="auto"/>
              <w:bottom w:val="nil"/>
              <w:right w:val="single" w:sz="2" w:space="0" w:color="auto"/>
            </w:tcBorders>
          </w:tcPr>
          <w:p w14:paraId="3049F475" w14:textId="77777777" w:rsidR="00E6027A" w:rsidRPr="00FB3AD2" w:rsidRDefault="00E6027A" w:rsidP="009A0F2F">
            <w:pPr>
              <w:pStyle w:val="TableReference"/>
              <w:tabs>
                <w:tab w:val="left" w:pos="3306"/>
              </w:tabs>
              <w:spacing w:before="40"/>
              <w:rPr>
                <w:rFonts w:cs="Calibri"/>
                <w:color w:val="7030A0"/>
                <w:szCs w:val="12"/>
              </w:rPr>
            </w:pPr>
            <w:r w:rsidRPr="00FB3AD2">
              <w:rPr>
                <w:rFonts w:cs="Calibri"/>
                <w:color w:val="7030A0"/>
                <w:szCs w:val="12"/>
              </w:rPr>
              <w:t>AASB 116.73(e)(iv)</w:t>
            </w:r>
          </w:p>
        </w:tc>
        <w:tc>
          <w:tcPr>
            <w:tcW w:w="5102" w:type="dxa"/>
            <w:tcBorders>
              <w:top w:val="nil"/>
              <w:left w:val="single" w:sz="2" w:space="0" w:color="auto"/>
              <w:bottom w:val="nil"/>
              <w:right w:val="nil"/>
            </w:tcBorders>
          </w:tcPr>
          <w:p w14:paraId="2033E72D" w14:textId="77777777" w:rsidR="00E6027A" w:rsidRPr="00FB3AD2" w:rsidRDefault="00E6027A" w:rsidP="009A0F2F">
            <w:pPr>
              <w:rPr>
                <w:rFonts w:cs="Calibri"/>
                <w:b/>
                <w:sz w:val="18"/>
                <w:szCs w:val="18"/>
              </w:rPr>
            </w:pPr>
            <w:r w:rsidRPr="00FB3AD2">
              <w:rPr>
                <w:rFonts w:cs="Calibri"/>
                <w:sz w:val="18"/>
                <w:szCs w:val="18"/>
              </w:rPr>
              <w:t>Revaluation Increment/(Decrement)</w:t>
            </w:r>
          </w:p>
        </w:tc>
        <w:tc>
          <w:tcPr>
            <w:tcW w:w="992" w:type="dxa"/>
            <w:tcBorders>
              <w:top w:val="nil"/>
              <w:left w:val="nil"/>
              <w:bottom w:val="nil"/>
              <w:right w:val="nil"/>
            </w:tcBorders>
          </w:tcPr>
          <w:p w14:paraId="02386572"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48986D74"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1AABC6F9"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4AFD020B"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674433B0"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3E7FE305"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4B3508DD"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54E46208" w14:textId="77777777" w:rsidTr="005F5B4C">
        <w:trPr>
          <w:cantSplit/>
          <w:trHeight w:val="84"/>
        </w:trPr>
        <w:tc>
          <w:tcPr>
            <w:tcW w:w="1414" w:type="dxa"/>
            <w:tcBorders>
              <w:top w:val="nil"/>
              <w:left w:val="single" w:sz="2" w:space="0" w:color="auto"/>
              <w:bottom w:val="nil"/>
              <w:right w:val="single" w:sz="2" w:space="0" w:color="auto"/>
            </w:tcBorders>
          </w:tcPr>
          <w:p w14:paraId="7887A426" w14:textId="77777777" w:rsidR="00E6027A" w:rsidRPr="00FB3AD2" w:rsidRDefault="00E6027A" w:rsidP="009A0F2F">
            <w:pPr>
              <w:pStyle w:val="TableReference"/>
              <w:tabs>
                <w:tab w:val="left" w:pos="3306"/>
              </w:tabs>
              <w:spacing w:before="40"/>
              <w:rPr>
                <w:rFonts w:cs="Calibri"/>
                <w:color w:val="7030A0"/>
                <w:szCs w:val="12"/>
              </w:rPr>
            </w:pPr>
            <w:r w:rsidRPr="00FB3AD2">
              <w:rPr>
                <w:rFonts w:cs="Calibri"/>
                <w:color w:val="7030A0"/>
                <w:szCs w:val="12"/>
              </w:rPr>
              <w:t>AASB 116.73(e)(iv)</w:t>
            </w:r>
          </w:p>
          <w:p w14:paraId="06B139CC" w14:textId="77777777" w:rsidR="00E6027A" w:rsidRPr="00FB3AD2" w:rsidRDefault="00E6027A" w:rsidP="009A0F2F">
            <w:pPr>
              <w:pStyle w:val="Reference"/>
              <w:tabs>
                <w:tab w:val="left" w:pos="3306"/>
              </w:tabs>
              <w:rPr>
                <w:rFonts w:cs="Calibri"/>
                <w:b w:val="0"/>
                <w:bCs w:val="0"/>
                <w:color w:val="7030A0"/>
                <w:sz w:val="14"/>
                <w:szCs w:val="14"/>
              </w:rPr>
            </w:pPr>
          </w:p>
        </w:tc>
        <w:tc>
          <w:tcPr>
            <w:tcW w:w="5102" w:type="dxa"/>
            <w:tcBorders>
              <w:top w:val="nil"/>
              <w:left w:val="single" w:sz="2" w:space="0" w:color="auto"/>
              <w:bottom w:val="nil"/>
              <w:right w:val="nil"/>
            </w:tcBorders>
          </w:tcPr>
          <w:p w14:paraId="5803017A" w14:textId="77777777" w:rsidR="00E6027A" w:rsidRPr="00FB3AD2" w:rsidRDefault="00E6027A" w:rsidP="009A0F2F">
            <w:pPr>
              <w:rPr>
                <w:rFonts w:cs="Calibri"/>
                <w:b/>
                <w:sz w:val="18"/>
                <w:szCs w:val="18"/>
              </w:rPr>
            </w:pPr>
            <w:r w:rsidRPr="00FB3AD2">
              <w:rPr>
                <w:rFonts w:cs="Calibri"/>
                <w:sz w:val="18"/>
                <w:szCs w:val="18"/>
              </w:rPr>
              <w:t>Impairment Losses Recognised in Other Comprehensive Income</w:t>
            </w:r>
          </w:p>
        </w:tc>
        <w:tc>
          <w:tcPr>
            <w:tcW w:w="992" w:type="dxa"/>
            <w:tcBorders>
              <w:top w:val="nil"/>
              <w:left w:val="nil"/>
              <w:bottom w:val="nil"/>
              <w:right w:val="nil"/>
            </w:tcBorders>
          </w:tcPr>
          <w:p w14:paraId="065C9245"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28641897"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23102330"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3D22A31B"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74D82543"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231A6F1B"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48252AB6"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08DA6C15" w14:textId="77777777" w:rsidTr="005F5B4C">
        <w:trPr>
          <w:cantSplit/>
          <w:trHeight w:val="84"/>
        </w:trPr>
        <w:tc>
          <w:tcPr>
            <w:tcW w:w="1414" w:type="dxa"/>
            <w:tcBorders>
              <w:top w:val="nil"/>
              <w:left w:val="single" w:sz="2" w:space="0" w:color="auto"/>
              <w:bottom w:val="nil"/>
              <w:right w:val="single" w:sz="2" w:space="0" w:color="auto"/>
            </w:tcBorders>
          </w:tcPr>
          <w:p w14:paraId="5891A58C" w14:textId="77777777" w:rsidR="00E6027A" w:rsidRPr="00FB3AD2" w:rsidRDefault="00E6027A" w:rsidP="009A0F2F">
            <w:pPr>
              <w:pStyle w:val="TableReference"/>
              <w:tabs>
                <w:tab w:val="left" w:pos="3306"/>
              </w:tabs>
              <w:spacing w:before="40"/>
              <w:rPr>
                <w:rFonts w:cs="Calibri"/>
                <w:color w:val="7030A0"/>
                <w:sz w:val="14"/>
              </w:rPr>
            </w:pPr>
            <w:r w:rsidRPr="00FB3AD2">
              <w:rPr>
                <w:rFonts w:cs="Calibri"/>
                <w:color w:val="7030A0"/>
                <w:sz w:val="14"/>
              </w:rPr>
              <w:t xml:space="preserve">AASB 116.73(e)(vii) </w:t>
            </w:r>
          </w:p>
          <w:p w14:paraId="6688C120"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16.53(a)</w:t>
            </w:r>
          </w:p>
        </w:tc>
        <w:tc>
          <w:tcPr>
            <w:tcW w:w="5102" w:type="dxa"/>
            <w:tcBorders>
              <w:top w:val="nil"/>
              <w:left w:val="single" w:sz="2" w:space="0" w:color="auto"/>
              <w:bottom w:val="nil"/>
              <w:right w:val="nil"/>
            </w:tcBorders>
          </w:tcPr>
          <w:p w14:paraId="2765DD97" w14:textId="77777777" w:rsidR="00E6027A" w:rsidRPr="00FB3AD2" w:rsidRDefault="00E6027A" w:rsidP="009A0F2F">
            <w:pPr>
              <w:rPr>
                <w:rFonts w:cs="Calibri"/>
                <w:b/>
                <w:sz w:val="18"/>
                <w:szCs w:val="18"/>
              </w:rPr>
            </w:pPr>
            <w:r w:rsidRPr="00FB3AD2">
              <w:rPr>
                <w:rFonts w:cs="Calibri"/>
                <w:sz w:val="18"/>
                <w:szCs w:val="18"/>
              </w:rPr>
              <w:t>Depreciation</w:t>
            </w:r>
          </w:p>
        </w:tc>
        <w:tc>
          <w:tcPr>
            <w:tcW w:w="992" w:type="dxa"/>
            <w:tcBorders>
              <w:top w:val="nil"/>
              <w:left w:val="nil"/>
              <w:bottom w:val="nil"/>
              <w:right w:val="nil"/>
            </w:tcBorders>
          </w:tcPr>
          <w:p w14:paraId="09F2B217"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3EA6D3BA"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21156954"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4D767E6D"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55DCFD4E"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19EE6DC8"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6AF66054"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478F11E9" w14:textId="77777777" w:rsidTr="005F5B4C">
        <w:trPr>
          <w:cantSplit/>
          <w:trHeight w:val="84"/>
        </w:trPr>
        <w:tc>
          <w:tcPr>
            <w:tcW w:w="1414" w:type="dxa"/>
            <w:tcBorders>
              <w:top w:val="nil"/>
              <w:left w:val="single" w:sz="2" w:space="0" w:color="auto"/>
              <w:bottom w:val="nil"/>
              <w:right w:val="single" w:sz="2" w:space="0" w:color="auto"/>
            </w:tcBorders>
          </w:tcPr>
          <w:p w14:paraId="3E7114F5"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116.73(e)(ix)</w:t>
            </w:r>
          </w:p>
        </w:tc>
        <w:tc>
          <w:tcPr>
            <w:tcW w:w="5102" w:type="dxa"/>
            <w:tcBorders>
              <w:top w:val="nil"/>
              <w:left w:val="single" w:sz="2" w:space="0" w:color="auto"/>
              <w:bottom w:val="nil"/>
              <w:right w:val="nil"/>
            </w:tcBorders>
          </w:tcPr>
          <w:p w14:paraId="133DBEBE" w14:textId="77777777" w:rsidR="00E6027A" w:rsidRPr="00FB3AD2" w:rsidRDefault="00E6027A" w:rsidP="009A0F2F">
            <w:pPr>
              <w:rPr>
                <w:rFonts w:cs="Calibri"/>
                <w:b/>
                <w:sz w:val="18"/>
                <w:szCs w:val="18"/>
              </w:rPr>
            </w:pPr>
            <w:r w:rsidRPr="00FB3AD2">
              <w:rPr>
                <w:rFonts w:cs="Calibri"/>
                <w:sz w:val="18"/>
                <w:szCs w:val="18"/>
              </w:rPr>
              <w:t>Acquisition/(Disposal) through Administrative Restructuring</w:t>
            </w:r>
          </w:p>
        </w:tc>
        <w:tc>
          <w:tcPr>
            <w:tcW w:w="992" w:type="dxa"/>
            <w:tcBorders>
              <w:top w:val="nil"/>
              <w:left w:val="nil"/>
              <w:bottom w:val="nil"/>
              <w:right w:val="nil"/>
            </w:tcBorders>
          </w:tcPr>
          <w:p w14:paraId="42CB3A4B"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09881CBA"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45C2B801"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5A19CD30"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2AE18793"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291AE3C7"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07A106D0"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5E425BBE" w14:textId="77777777" w:rsidTr="005F5B4C">
        <w:trPr>
          <w:cantSplit/>
          <w:trHeight w:val="84"/>
        </w:trPr>
        <w:tc>
          <w:tcPr>
            <w:tcW w:w="1414" w:type="dxa"/>
            <w:tcBorders>
              <w:top w:val="nil"/>
              <w:left w:val="single" w:sz="2" w:space="0" w:color="auto"/>
              <w:bottom w:val="nil"/>
              <w:right w:val="single" w:sz="2" w:space="0" w:color="auto"/>
            </w:tcBorders>
          </w:tcPr>
          <w:p w14:paraId="56AEE1E6"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116.73(e)(ix)</w:t>
            </w:r>
          </w:p>
        </w:tc>
        <w:tc>
          <w:tcPr>
            <w:tcW w:w="5102" w:type="dxa"/>
            <w:tcBorders>
              <w:top w:val="nil"/>
              <w:left w:val="single" w:sz="2" w:space="0" w:color="auto"/>
              <w:bottom w:val="nil"/>
              <w:right w:val="nil"/>
            </w:tcBorders>
          </w:tcPr>
          <w:p w14:paraId="0E1D0E9F" w14:textId="77777777" w:rsidR="00E6027A" w:rsidRPr="00FB3AD2" w:rsidRDefault="00E6027A" w:rsidP="009A0F2F">
            <w:pPr>
              <w:rPr>
                <w:rFonts w:cs="Calibri"/>
                <w:b/>
                <w:sz w:val="18"/>
                <w:szCs w:val="18"/>
              </w:rPr>
            </w:pPr>
            <w:r w:rsidRPr="00FB3AD2">
              <w:rPr>
                <w:rFonts w:cs="Calibri"/>
                <w:sz w:val="18"/>
                <w:szCs w:val="18"/>
              </w:rPr>
              <w:t>Acquisition/(Disposal) from Transfers</w:t>
            </w:r>
          </w:p>
        </w:tc>
        <w:tc>
          <w:tcPr>
            <w:tcW w:w="992" w:type="dxa"/>
            <w:tcBorders>
              <w:top w:val="nil"/>
              <w:left w:val="nil"/>
              <w:bottom w:val="nil"/>
              <w:right w:val="nil"/>
            </w:tcBorders>
          </w:tcPr>
          <w:p w14:paraId="0BC6A9FB"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5F73A8D8"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73215C2E"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61DA3843"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0BAD3D62"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10188051"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16FF613F"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37F601A4" w14:textId="77777777" w:rsidTr="005F5B4C">
        <w:trPr>
          <w:cantSplit/>
          <w:trHeight w:val="84"/>
        </w:trPr>
        <w:tc>
          <w:tcPr>
            <w:tcW w:w="1414" w:type="dxa"/>
            <w:tcBorders>
              <w:top w:val="nil"/>
              <w:left w:val="single" w:sz="2" w:space="0" w:color="auto"/>
              <w:bottom w:val="nil"/>
              <w:right w:val="single" w:sz="2" w:space="0" w:color="auto"/>
            </w:tcBorders>
          </w:tcPr>
          <w:p w14:paraId="32C66828"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116.73(e)(v)</w:t>
            </w:r>
          </w:p>
        </w:tc>
        <w:tc>
          <w:tcPr>
            <w:tcW w:w="5102" w:type="dxa"/>
            <w:tcBorders>
              <w:top w:val="nil"/>
              <w:left w:val="single" w:sz="2" w:space="0" w:color="auto"/>
              <w:bottom w:val="nil"/>
              <w:right w:val="nil"/>
            </w:tcBorders>
          </w:tcPr>
          <w:p w14:paraId="0096A219" w14:textId="77777777" w:rsidR="00E6027A" w:rsidRPr="00FB3AD2" w:rsidRDefault="00E6027A" w:rsidP="009A0F2F">
            <w:pPr>
              <w:rPr>
                <w:rFonts w:cs="Calibri"/>
                <w:b/>
                <w:sz w:val="18"/>
                <w:szCs w:val="18"/>
              </w:rPr>
            </w:pPr>
            <w:r w:rsidRPr="00FB3AD2">
              <w:rPr>
                <w:rFonts w:cs="Calibri"/>
                <w:sz w:val="18"/>
                <w:szCs w:val="18"/>
              </w:rPr>
              <w:t>Impairment Losses Recognised in the Operating Result</w:t>
            </w:r>
          </w:p>
        </w:tc>
        <w:tc>
          <w:tcPr>
            <w:tcW w:w="992" w:type="dxa"/>
            <w:tcBorders>
              <w:top w:val="nil"/>
              <w:left w:val="nil"/>
              <w:bottom w:val="nil"/>
              <w:right w:val="nil"/>
            </w:tcBorders>
          </w:tcPr>
          <w:p w14:paraId="2DD54B36"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6AB31DF3"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7490D59E"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73600AED"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4690221B"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227930F7"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1E582E54"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0E89DC43" w14:textId="77777777" w:rsidTr="005F5B4C">
        <w:trPr>
          <w:cantSplit/>
          <w:trHeight w:val="84"/>
        </w:trPr>
        <w:tc>
          <w:tcPr>
            <w:tcW w:w="1414" w:type="dxa"/>
            <w:tcBorders>
              <w:top w:val="nil"/>
              <w:left w:val="single" w:sz="2" w:space="0" w:color="auto"/>
              <w:bottom w:val="nil"/>
              <w:right w:val="single" w:sz="2" w:space="0" w:color="auto"/>
            </w:tcBorders>
          </w:tcPr>
          <w:p w14:paraId="73A9C219"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116.73(e)(vi)</w:t>
            </w:r>
          </w:p>
        </w:tc>
        <w:tc>
          <w:tcPr>
            <w:tcW w:w="5102" w:type="dxa"/>
            <w:tcBorders>
              <w:top w:val="nil"/>
              <w:left w:val="single" w:sz="2" w:space="0" w:color="auto"/>
              <w:bottom w:val="nil"/>
              <w:right w:val="nil"/>
            </w:tcBorders>
          </w:tcPr>
          <w:p w14:paraId="52882AE6" w14:textId="77777777" w:rsidR="00E6027A" w:rsidRPr="00FB3AD2" w:rsidRDefault="00E6027A" w:rsidP="009A0F2F">
            <w:pPr>
              <w:rPr>
                <w:rFonts w:cs="Calibri"/>
                <w:b/>
                <w:sz w:val="18"/>
                <w:szCs w:val="18"/>
              </w:rPr>
            </w:pPr>
            <w:r w:rsidRPr="00FB3AD2">
              <w:rPr>
                <w:rFonts w:cs="Calibri"/>
                <w:sz w:val="18"/>
                <w:szCs w:val="18"/>
              </w:rPr>
              <w:t>Reversal of Impairment Losses Recognised in the Operating Result</w:t>
            </w:r>
          </w:p>
        </w:tc>
        <w:tc>
          <w:tcPr>
            <w:tcW w:w="992" w:type="dxa"/>
            <w:tcBorders>
              <w:top w:val="nil"/>
              <w:left w:val="nil"/>
              <w:bottom w:val="nil"/>
              <w:right w:val="nil"/>
            </w:tcBorders>
          </w:tcPr>
          <w:p w14:paraId="4CE29019"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2ABEE10E"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77CCA4FB"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00E23BA8"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021742EC"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516F15A0"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2D9D81D0"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295297D4" w14:textId="77777777" w:rsidTr="005F5B4C">
        <w:trPr>
          <w:cantSplit/>
          <w:trHeight w:val="84"/>
        </w:trPr>
        <w:tc>
          <w:tcPr>
            <w:tcW w:w="1414" w:type="dxa"/>
            <w:tcBorders>
              <w:top w:val="nil"/>
              <w:left w:val="single" w:sz="2" w:space="0" w:color="auto"/>
              <w:bottom w:val="nil"/>
              <w:right w:val="single" w:sz="2" w:space="0" w:color="auto"/>
            </w:tcBorders>
          </w:tcPr>
          <w:p w14:paraId="59D3A5B1"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16.53</w:t>
            </w:r>
          </w:p>
        </w:tc>
        <w:tc>
          <w:tcPr>
            <w:tcW w:w="5102" w:type="dxa"/>
            <w:tcBorders>
              <w:top w:val="nil"/>
              <w:left w:val="single" w:sz="2" w:space="0" w:color="auto"/>
              <w:bottom w:val="nil"/>
              <w:right w:val="nil"/>
            </w:tcBorders>
          </w:tcPr>
          <w:p w14:paraId="27886FB6" w14:textId="77777777" w:rsidR="00E6027A" w:rsidRPr="00FB3AD2" w:rsidRDefault="00E6027A" w:rsidP="009A0F2F">
            <w:pPr>
              <w:rPr>
                <w:rFonts w:cs="Calibri"/>
                <w:b/>
                <w:sz w:val="18"/>
                <w:szCs w:val="18"/>
              </w:rPr>
            </w:pPr>
            <w:r w:rsidRPr="00FB3AD2">
              <w:rPr>
                <w:rFonts w:cs="Calibri"/>
                <w:sz w:val="18"/>
                <w:szCs w:val="18"/>
              </w:rPr>
              <w:t>Changes in right-of-use assets due to changes in lease liability</w:t>
            </w:r>
          </w:p>
        </w:tc>
        <w:tc>
          <w:tcPr>
            <w:tcW w:w="992" w:type="dxa"/>
            <w:tcBorders>
              <w:top w:val="nil"/>
              <w:left w:val="nil"/>
              <w:bottom w:val="nil"/>
              <w:right w:val="nil"/>
            </w:tcBorders>
          </w:tcPr>
          <w:p w14:paraId="38326EFC"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01D89989"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6D86C408"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661B47A4"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3F983C2A"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4E48EC13"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5E95866B"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40FB6F25" w14:textId="77777777" w:rsidTr="005F5B4C">
        <w:trPr>
          <w:cantSplit/>
          <w:trHeight w:val="84"/>
        </w:trPr>
        <w:tc>
          <w:tcPr>
            <w:tcW w:w="1414" w:type="dxa"/>
            <w:tcBorders>
              <w:top w:val="nil"/>
              <w:left w:val="single" w:sz="2" w:space="0" w:color="auto"/>
              <w:bottom w:val="nil"/>
              <w:right w:val="single" w:sz="2" w:space="0" w:color="auto"/>
            </w:tcBorders>
          </w:tcPr>
          <w:p w14:paraId="60977B80"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116.73(e)(ix)</w:t>
            </w:r>
          </w:p>
        </w:tc>
        <w:tc>
          <w:tcPr>
            <w:tcW w:w="5102" w:type="dxa"/>
            <w:tcBorders>
              <w:top w:val="nil"/>
              <w:left w:val="single" w:sz="2" w:space="0" w:color="auto"/>
              <w:bottom w:val="nil"/>
              <w:right w:val="nil"/>
            </w:tcBorders>
          </w:tcPr>
          <w:p w14:paraId="2E69D563" w14:textId="77777777" w:rsidR="00E6027A" w:rsidRPr="00FB3AD2" w:rsidRDefault="00E6027A" w:rsidP="009A0F2F">
            <w:pPr>
              <w:rPr>
                <w:rFonts w:cs="Calibri"/>
                <w:b/>
                <w:sz w:val="18"/>
                <w:szCs w:val="18"/>
              </w:rPr>
            </w:pPr>
            <w:r w:rsidRPr="00FB3AD2">
              <w:rPr>
                <w:rFonts w:cs="Calibri"/>
                <w:sz w:val="18"/>
                <w:szCs w:val="18"/>
              </w:rPr>
              <w:t>Other Movements</w:t>
            </w:r>
          </w:p>
        </w:tc>
        <w:tc>
          <w:tcPr>
            <w:tcW w:w="992" w:type="dxa"/>
            <w:tcBorders>
              <w:top w:val="nil"/>
              <w:left w:val="nil"/>
              <w:bottom w:val="nil"/>
              <w:right w:val="nil"/>
            </w:tcBorders>
          </w:tcPr>
          <w:p w14:paraId="2D2C026B"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nil"/>
              <w:right w:val="nil"/>
            </w:tcBorders>
          </w:tcPr>
          <w:p w14:paraId="0C659958"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nil"/>
              <w:right w:val="nil"/>
            </w:tcBorders>
          </w:tcPr>
          <w:p w14:paraId="30B8699C"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nil"/>
              <w:right w:val="nil"/>
            </w:tcBorders>
          </w:tcPr>
          <w:p w14:paraId="2DB858B2"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nil"/>
              <w:right w:val="nil"/>
            </w:tcBorders>
          </w:tcPr>
          <w:p w14:paraId="142F6209"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nil"/>
              <w:right w:val="nil"/>
            </w:tcBorders>
          </w:tcPr>
          <w:p w14:paraId="78D09DAD"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nil"/>
              <w:right w:val="nil"/>
            </w:tcBorders>
          </w:tcPr>
          <w:p w14:paraId="763DEEB4"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57CAB040" w14:textId="77777777" w:rsidTr="005F5B4C">
        <w:trPr>
          <w:cantSplit/>
          <w:trHeight w:val="84"/>
        </w:trPr>
        <w:tc>
          <w:tcPr>
            <w:tcW w:w="1414" w:type="dxa"/>
            <w:tcBorders>
              <w:top w:val="nil"/>
              <w:left w:val="single" w:sz="2" w:space="0" w:color="auto"/>
              <w:bottom w:val="nil"/>
              <w:right w:val="single" w:sz="2" w:space="0" w:color="auto"/>
            </w:tcBorders>
          </w:tcPr>
          <w:p w14:paraId="08E3ACBF" w14:textId="77777777" w:rsidR="00E6027A" w:rsidRPr="00FB3AD2" w:rsidRDefault="00E6027A" w:rsidP="009A0F2F">
            <w:pPr>
              <w:pStyle w:val="TableReference"/>
              <w:tabs>
                <w:tab w:val="left" w:pos="3306"/>
              </w:tabs>
              <w:spacing w:before="40"/>
              <w:rPr>
                <w:rFonts w:cs="Calibri"/>
                <w:color w:val="7030A0"/>
                <w:sz w:val="14"/>
              </w:rPr>
            </w:pPr>
            <w:r w:rsidRPr="00FB3AD2">
              <w:rPr>
                <w:rFonts w:cs="Calibri"/>
                <w:color w:val="7030A0"/>
                <w:sz w:val="14"/>
              </w:rPr>
              <w:t xml:space="preserve">AASB 116.73(e) </w:t>
            </w:r>
          </w:p>
          <w:p w14:paraId="2166C7BF" w14:textId="77777777" w:rsidR="00E6027A" w:rsidRPr="00FB3AD2" w:rsidRDefault="00E6027A" w:rsidP="009A0F2F">
            <w:pPr>
              <w:pStyle w:val="Reference"/>
              <w:tabs>
                <w:tab w:val="left" w:pos="3306"/>
              </w:tabs>
              <w:rPr>
                <w:rFonts w:cs="Calibri"/>
                <w:b w:val="0"/>
                <w:bCs w:val="0"/>
                <w:color w:val="7030A0"/>
                <w:sz w:val="14"/>
                <w:szCs w:val="14"/>
              </w:rPr>
            </w:pPr>
            <w:r w:rsidRPr="00FB3AD2">
              <w:rPr>
                <w:rFonts w:cs="Calibri"/>
                <w:b w:val="0"/>
                <w:bCs w:val="0"/>
                <w:color w:val="7030A0"/>
                <w:sz w:val="14"/>
                <w:szCs w:val="14"/>
              </w:rPr>
              <w:t>AASB 16.53 (j)</w:t>
            </w:r>
          </w:p>
        </w:tc>
        <w:tc>
          <w:tcPr>
            <w:tcW w:w="5102" w:type="dxa"/>
            <w:tcBorders>
              <w:top w:val="nil"/>
              <w:left w:val="single" w:sz="2" w:space="0" w:color="auto"/>
              <w:bottom w:val="nil"/>
              <w:right w:val="nil"/>
            </w:tcBorders>
          </w:tcPr>
          <w:p w14:paraId="7F09B23D" w14:textId="77777777" w:rsidR="00E6027A" w:rsidRPr="00FB3AD2" w:rsidRDefault="00E6027A" w:rsidP="009A0F2F">
            <w:pPr>
              <w:rPr>
                <w:rFonts w:cs="Calibri"/>
                <w:b/>
                <w:sz w:val="18"/>
                <w:szCs w:val="18"/>
              </w:rPr>
            </w:pPr>
            <w:r w:rsidRPr="00FB3AD2">
              <w:rPr>
                <w:rFonts w:cs="Calibri"/>
                <w:b/>
                <w:bCs/>
                <w:sz w:val="18"/>
                <w:szCs w:val="18"/>
              </w:rPr>
              <w:t>Carrying Amount at the End of the Reporting Period</w:t>
            </w:r>
          </w:p>
        </w:tc>
        <w:tc>
          <w:tcPr>
            <w:tcW w:w="992" w:type="dxa"/>
            <w:tcBorders>
              <w:top w:val="nil"/>
              <w:left w:val="nil"/>
              <w:bottom w:val="single" w:sz="2" w:space="0" w:color="auto"/>
              <w:right w:val="nil"/>
            </w:tcBorders>
          </w:tcPr>
          <w:p w14:paraId="3207D5C8"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nil"/>
              <w:left w:val="nil"/>
              <w:bottom w:val="single" w:sz="2" w:space="0" w:color="auto"/>
              <w:right w:val="nil"/>
            </w:tcBorders>
          </w:tcPr>
          <w:p w14:paraId="71A12ACD"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nil"/>
              <w:left w:val="nil"/>
              <w:bottom w:val="single" w:sz="2" w:space="0" w:color="auto"/>
              <w:right w:val="nil"/>
            </w:tcBorders>
          </w:tcPr>
          <w:p w14:paraId="4EF3EFCF"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nil"/>
              <w:left w:val="nil"/>
              <w:bottom w:val="single" w:sz="2" w:space="0" w:color="auto"/>
              <w:right w:val="nil"/>
            </w:tcBorders>
          </w:tcPr>
          <w:p w14:paraId="7F43C36B"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nil"/>
              <w:left w:val="nil"/>
              <w:bottom w:val="single" w:sz="2" w:space="0" w:color="auto"/>
              <w:right w:val="nil"/>
            </w:tcBorders>
          </w:tcPr>
          <w:p w14:paraId="65ACDD4D"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nil"/>
              <w:left w:val="nil"/>
              <w:bottom w:val="single" w:sz="2" w:space="0" w:color="auto"/>
              <w:right w:val="nil"/>
            </w:tcBorders>
          </w:tcPr>
          <w:p w14:paraId="33B2AF83"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nil"/>
              <w:left w:val="nil"/>
              <w:bottom w:val="single" w:sz="2" w:space="0" w:color="auto"/>
              <w:right w:val="nil"/>
            </w:tcBorders>
          </w:tcPr>
          <w:p w14:paraId="6903F494"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5734A623" w14:textId="77777777" w:rsidTr="005F5B4C">
        <w:trPr>
          <w:cantSplit/>
          <w:trHeight w:val="84"/>
        </w:trPr>
        <w:tc>
          <w:tcPr>
            <w:tcW w:w="1414" w:type="dxa"/>
            <w:tcBorders>
              <w:top w:val="nil"/>
              <w:left w:val="single" w:sz="2" w:space="0" w:color="auto"/>
              <w:bottom w:val="nil"/>
              <w:right w:val="single" w:sz="2" w:space="0" w:color="auto"/>
            </w:tcBorders>
          </w:tcPr>
          <w:p w14:paraId="15D862F7" w14:textId="77777777" w:rsidR="00E6027A" w:rsidRPr="00FB3AD2" w:rsidRDefault="00E6027A" w:rsidP="009A0F2F">
            <w:pPr>
              <w:pStyle w:val="TableReference"/>
              <w:tabs>
                <w:tab w:val="left" w:pos="3306"/>
              </w:tabs>
              <w:spacing w:before="40"/>
              <w:rPr>
                <w:rFonts w:cs="Calibri"/>
                <w:color w:val="7030A0"/>
                <w:sz w:val="14"/>
              </w:rPr>
            </w:pPr>
          </w:p>
        </w:tc>
        <w:tc>
          <w:tcPr>
            <w:tcW w:w="5102" w:type="dxa"/>
            <w:tcBorders>
              <w:top w:val="nil"/>
              <w:left w:val="single" w:sz="2" w:space="0" w:color="auto"/>
              <w:bottom w:val="nil"/>
              <w:right w:val="nil"/>
            </w:tcBorders>
          </w:tcPr>
          <w:p w14:paraId="29595DCC" w14:textId="77777777" w:rsidR="00E6027A" w:rsidRPr="00FB3AD2" w:rsidRDefault="00E6027A" w:rsidP="009A0F2F">
            <w:pPr>
              <w:rPr>
                <w:rFonts w:cs="Calibri"/>
                <w:b/>
                <w:bCs/>
                <w:sz w:val="16"/>
              </w:rPr>
            </w:pPr>
          </w:p>
        </w:tc>
        <w:tc>
          <w:tcPr>
            <w:tcW w:w="992" w:type="dxa"/>
            <w:tcBorders>
              <w:top w:val="single" w:sz="2" w:space="0" w:color="auto"/>
              <w:left w:val="nil"/>
              <w:bottom w:val="double" w:sz="4" w:space="0" w:color="auto"/>
              <w:right w:val="nil"/>
            </w:tcBorders>
          </w:tcPr>
          <w:p w14:paraId="64701A32" w14:textId="77777777" w:rsidR="00E6027A" w:rsidRPr="00FB3AD2" w:rsidRDefault="00E6027A" w:rsidP="009A0F2F">
            <w:pPr>
              <w:jc w:val="right"/>
              <w:rPr>
                <w:rFonts w:asciiTheme="minorHAnsi" w:hAnsiTheme="minorHAnsi" w:cstheme="minorHAnsi"/>
                <w:b/>
                <w:bCs/>
                <w:sz w:val="18"/>
                <w:szCs w:val="18"/>
              </w:rPr>
            </w:pPr>
          </w:p>
        </w:tc>
        <w:tc>
          <w:tcPr>
            <w:tcW w:w="1276" w:type="dxa"/>
            <w:tcBorders>
              <w:top w:val="single" w:sz="2" w:space="0" w:color="auto"/>
              <w:left w:val="nil"/>
              <w:bottom w:val="double" w:sz="4" w:space="0" w:color="auto"/>
              <w:right w:val="nil"/>
            </w:tcBorders>
          </w:tcPr>
          <w:p w14:paraId="3BA9EE1E" w14:textId="77777777" w:rsidR="00E6027A" w:rsidRPr="00FB3AD2" w:rsidRDefault="00E6027A" w:rsidP="009A0F2F">
            <w:pPr>
              <w:jc w:val="right"/>
              <w:rPr>
                <w:rFonts w:asciiTheme="minorHAnsi" w:hAnsiTheme="minorHAnsi" w:cstheme="minorHAnsi"/>
                <w:b/>
                <w:bCs/>
                <w:sz w:val="18"/>
                <w:szCs w:val="18"/>
              </w:rPr>
            </w:pPr>
          </w:p>
        </w:tc>
        <w:tc>
          <w:tcPr>
            <w:tcW w:w="1417" w:type="dxa"/>
            <w:tcBorders>
              <w:top w:val="single" w:sz="2" w:space="0" w:color="auto"/>
              <w:left w:val="nil"/>
              <w:bottom w:val="double" w:sz="4" w:space="0" w:color="auto"/>
              <w:right w:val="nil"/>
            </w:tcBorders>
          </w:tcPr>
          <w:p w14:paraId="0120DBB4" w14:textId="77777777" w:rsidR="00E6027A" w:rsidRPr="00FB3AD2" w:rsidRDefault="00E6027A" w:rsidP="009A0F2F">
            <w:pPr>
              <w:jc w:val="right"/>
              <w:rPr>
                <w:rFonts w:asciiTheme="minorHAnsi" w:hAnsiTheme="minorHAnsi" w:cstheme="minorHAnsi"/>
                <w:b/>
                <w:bCs/>
                <w:sz w:val="18"/>
                <w:szCs w:val="18"/>
              </w:rPr>
            </w:pPr>
          </w:p>
        </w:tc>
        <w:tc>
          <w:tcPr>
            <w:tcW w:w="1134" w:type="dxa"/>
            <w:tcBorders>
              <w:top w:val="single" w:sz="2" w:space="0" w:color="auto"/>
              <w:left w:val="nil"/>
              <w:bottom w:val="double" w:sz="4" w:space="0" w:color="auto"/>
              <w:right w:val="nil"/>
            </w:tcBorders>
          </w:tcPr>
          <w:p w14:paraId="649943F5" w14:textId="77777777" w:rsidR="00E6027A" w:rsidRPr="00FB3AD2" w:rsidRDefault="00E6027A" w:rsidP="009A0F2F">
            <w:pPr>
              <w:jc w:val="right"/>
              <w:rPr>
                <w:rFonts w:asciiTheme="minorHAnsi" w:hAnsiTheme="minorHAnsi" w:cstheme="minorHAnsi"/>
                <w:b/>
                <w:bCs/>
                <w:sz w:val="18"/>
                <w:szCs w:val="18"/>
              </w:rPr>
            </w:pPr>
          </w:p>
        </w:tc>
        <w:tc>
          <w:tcPr>
            <w:tcW w:w="1418" w:type="dxa"/>
            <w:tcBorders>
              <w:top w:val="single" w:sz="2" w:space="0" w:color="auto"/>
              <w:left w:val="nil"/>
              <w:bottom w:val="double" w:sz="4" w:space="0" w:color="auto"/>
              <w:right w:val="nil"/>
            </w:tcBorders>
          </w:tcPr>
          <w:p w14:paraId="66D0F75A" w14:textId="77777777" w:rsidR="00E6027A" w:rsidRPr="00FB3AD2" w:rsidRDefault="00E6027A" w:rsidP="009A0F2F">
            <w:pPr>
              <w:jc w:val="right"/>
              <w:rPr>
                <w:rFonts w:asciiTheme="minorHAnsi" w:hAnsiTheme="minorHAnsi" w:cstheme="minorHAnsi"/>
                <w:b/>
                <w:bCs/>
                <w:sz w:val="18"/>
                <w:szCs w:val="18"/>
              </w:rPr>
            </w:pPr>
          </w:p>
        </w:tc>
        <w:tc>
          <w:tcPr>
            <w:tcW w:w="1559" w:type="dxa"/>
            <w:tcBorders>
              <w:top w:val="single" w:sz="2" w:space="0" w:color="auto"/>
              <w:left w:val="nil"/>
              <w:bottom w:val="double" w:sz="4" w:space="0" w:color="auto"/>
              <w:right w:val="nil"/>
            </w:tcBorders>
          </w:tcPr>
          <w:p w14:paraId="79AE2BD5" w14:textId="77777777" w:rsidR="00E6027A" w:rsidRPr="00FB3AD2" w:rsidRDefault="00E6027A" w:rsidP="009A0F2F">
            <w:pPr>
              <w:jc w:val="right"/>
              <w:rPr>
                <w:rFonts w:asciiTheme="minorHAnsi" w:hAnsiTheme="minorHAnsi" w:cstheme="minorHAnsi"/>
                <w:b/>
                <w:bCs/>
                <w:sz w:val="18"/>
                <w:szCs w:val="18"/>
              </w:rPr>
            </w:pPr>
          </w:p>
        </w:tc>
        <w:tc>
          <w:tcPr>
            <w:tcW w:w="1136" w:type="dxa"/>
            <w:tcBorders>
              <w:top w:val="single" w:sz="2" w:space="0" w:color="auto"/>
              <w:left w:val="nil"/>
              <w:bottom w:val="double" w:sz="4" w:space="0" w:color="auto"/>
              <w:right w:val="nil"/>
            </w:tcBorders>
          </w:tcPr>
          <w:p w14:paraId="29D4790D" w14:textId="77777777" w:rsidR="00E6027A" w:rsidRPr="00FB3AD2" w:rsidRDefault="00E6027A" w:rsidP="009A0F2F">
            <w:pPr>
              <w:jc w:val="right"/>
              <w:rPr>
                <w:rFonts w:asciiTheme="minorHAnsi" w:hAnsiTheme="minorHAnsi" w:cstheme="minorHAnsi"/>
                <w:b/>
                <w:bCs/>
                <w:sz w:val="18"/>
                <w:szCs w:val="18"/>
              </w:rPr>
            </w:pPr>
          </w:p>
        </w:tc>
      </w:tr>
      <w:tr w:rsidR="00FB3AD2" w:rsidRPr="00FB3AD2" w14:paraId="3201E972" w14:textId="77777777" w:rsidTr="005F5B4C">
        <w:trPr>
          <w:gridAfter w:val="6"/>
          <w:wAfter w:w="7941" w:type="dxa"/>
          <w:cantSplit/>
          <w:trHeight w:val="23"/>
        </w:trPr>
        <w:tc>
          <w:tcPr>
            <w:tcW w:w="1414" w:type="dxa"/>
            <w:tcBorders>
              <w:top w:val="nil"/>
              <w:left w:val="single" w:sz="2" w:space="0" w:color="auto"/>
              <w:bottom w:val="nil"/>
              <w:right w:val="single" w:sz="2" w:space="0" w:color="auto"/>
            </w:tcBorders>
          </w:tcPr>
          <w:p w14:paraId="695F369D" w14:textId="77777777" w:rsidR="00041268" w:rsidRPr="00FB3AD2" w:rsidRDefault="00041268" w:rsidP="009A0F2F">
            <w:pPr>
              <w:pStyle w:val="TableReference"/>
              <w:tabs>
                <w:tab w:val="left" w:pos="3306"/>
              </w:tabs>
              <w:spacing w:before="40"/>
              <w:rPr>
                <w:rFonts w:cs="Calibri"/>
                <w:color w:val="7030A0"/>
                <w:sz w:val="14"/>
              </w:rPr>
            </w:pPr>
          </w:p>
        </w:tc>
        <w:tc>
          <w:tcPr>
            <w:tcW w:w="6094" w:type="dxa"/>
            <w:gridSpan w:val="2"/>
            <w:tcBorders>
              <w:top w:val="nil"/>
              <w:left w:val="single" w:sz="2" w:space="0" w:color="auto"/>
              <w:bottom w:val="nil"/>
              <w:right w:val="nil"/>
            </w:tcBorders>
          </w:tcPr>
          <w:p w14:paraId="04BF17D5" w14:textId="77777777" w:rsidR="00041268" w:rsidRPr="00FB3AD2" w:rsidRDefault="00041268" w:rsidP="009A0F2F">
            <w:pPr>
              <w:pStyle w:val="TableText"/>
              <w:tabs>
                <w:tab w:val="left" w:pos="3306"/>
              </w:tabs>
              <w:spacing w:after="40"/>
              <w:rPr>
                <w:rFonts w:cs="Calibri"/>
                <w:sz w:val="16"/>
                <w:szCs w:val="16"/>
              </w:rPr>
            </w:pPr>
          </w:p>
        </w:tc>
      </w:tr>
      <w:tr w:rsidR="00FB3AD2" w:rsidRPr="00FB3AD2" w14:paraId="5272F80B" w14:textId="77777777" w:rsidTr="005F5B4C">
        <w:trPr>
          <w:cantSplit/>
          <w:trHeight w:val="23"/>
        </w:trPr>
        <w:tc>
          <w:tcPr>
            <w:tcW w:w="1414" w:type="dxa"/>
            <w:tcBorders>
              <w:top w:val="nil"/>
              <w:left w:val="single" w:sz="2" w:space="0" w:color="auto"/>
              <w:bottom w:val="nil"/>
              <w:right w:val="single" w:sz="2" w:space="0" w:color="auto"/>
            </w:tcBorders>
          </w:tcPr>
          <w:p w14:paraId="538A36CB" w14:textId="77777777" w:rsidR="00890D8E" w:rsidRPr="00FB3AD2" w:rsidRDefault="00890D8E" w:rsidP="009A0F2F">
            <w:pPr>
              <w:pStyle w:val="TableReference"/>
              <w:tabs>
                <w:tab w:val="left" w:pos="3306"/>
              </w:tabs>
              <w:spacing w:before="40"/>
              <w:rPr>
                <w:rFonts w:cs="Calibri"/>
                <w:color w:val="7030A0"/>
                <w:sz w:val="14"/>
              </w:rPr>
            </w:pPr>
          </w:p>
        </w:tc>
        <w:tc>
          <w:tcPr>
            <w:tcW w:w="14034" w:type="dxa"/>
            <w:gridSpan w:val="8"/>
            <w:tcBorders>
              <w:top w:val="nil"/>
              <w:left w:val="single" w:sz="2" w:space="0" w:color="auto"/>
              <w:bottom w:val="nil"/>
              <w:right w:val="nil"/>
            </w:tcBorders>
          </w:tcPr>
          <w:p w14:paraId="7864EA07" w14:textId="0E808972" w:rsidR="00890D8E" w:rsidRPr="00FB3AD2" w:rsidRDefault="00890D8E" w:rsidP="009A0F2F">
            <w:pPr>
              <w:pStyle w:val="TableText"/>
              <w:tabs>
                <w:tab w:val="left" w:pos="3306"/>
              </w:tabs>
              <w:spacing w:after="40"/>
              <w:rPr>
                <w:rFonts w:cs="Calibri"/>
              </w:rPr>
            </w:pPr>
            <w:r w:rsidRPr="00FB3AD2">
              <w:rPr>
                <w:rFonts w:cs="Calibri"/>
              </w:rPr>
              <w:t>Carrying Amount at the End of the Reporting Period, is represented by:</w:t>
            </w:r>
          </w:p>
        </w:tc>
      </w:tr>
      <w:tr w:rsidR="00890D8E" w:rsidRPr="001B2AC5" w14:paraId="3D745298" w14:textId="77777777" w:rsidTr="005F5B4C">
        <w:trPr>
          <w:cantSplit/>
          <w:trHeight w:val="23"/>
        </w:trPr>
        <w:tc>
          <w:tcPr>
            <w:tcW w:w="1414" w:type="dxa"/>
            <w:tcBorders>
              <w:top w:val="nil"/>
              <w:left w:val="single" w:sz="2" w:space="0" w:color="auto"/>
              <w:bottom w:val="nil"/>
              <w:right w:val="single" w:sz="2" w:space="0" w:color="auto"/>
            </w:tcBorders>
          </w:tcPr>
          <w:p w14:paraId="7B88ECBC" w14:textId="77777777" w:rsidR="00890D8E" w:rsidRPr="00FB3AD2" w:rsidRDefault="00890D8E" w:rsidP="009A0F2F">
            <w:pPr>
              <w:pStyle w:val="TableReference"/>
              <w:tabs>
                <w:tab w:val="left" w:pos="3306"/>
              </w:tabs>
              <w:spacing w:before="40"/>
              <w:rPr>
                <w:rFonts w:cs="Calibri"/>
                <w:color w:val="7030A0"/>
                <w:sz w:val="14"/>
              </w:rPr>
            </w:pPr>
            <w:r w:rsidRPr="00FB3AD2">
              <w:rPr>
                <w:rFonts w:cs="Calibri"/>
                <w:color w:val="7030A0"/>
                <w:sz w:val="14"/>
              </w:rPr>
              <w:t>AASB 116.73(a) &amp;(d)</w:t>
            </w:r>
          </w:p>
        </w:tc>
        <w:tc>
          <w:tcPr>
            <w:tcW w:w="14035" w:type="dxa"/>
            <w:gridSpan w:val="8"/>
            <w:tcBorders>
              <w:top w:val="nil"/>
              <w:left w:val="single" w:sz="2" w:space="0" w:color="auto"/>
              <w:bottom w:val="nil"/>
              <w:right w:val="nil"/>
            </w:tcBorders>
            <w:vAlign w:val="bottom"/>
          </w:tcPr>
          <w:p w14:paraId="4EEEE281" w14:textId="77777777" w:rsidR="00890D8E" w:rsidRPr="00FB3AD2" w:rsidRDefault="00890D8E" w:rsidP="009A0F2F">
            <w:pPr>
              <w:pStyle w:val="TableText"/>
              <w:tabs>
                <w:tab w:val="left" w:pos="3306"/>
              </w:tabs>
              <w:spacing w:before="20" w:after="20"/>
              <w:rPr>
                <w:rFonts w:cs="Calibri"/>
              </w:rPr>
            </w:pPr>
            <w:r w:rsidRPr="00FB3AD2">
              <w:rPr>
                <w:rFonts w:cs="Calibri"/>
              </w:rPr>
              <w:t>Gross Book Value</w:t>
            </w:r>
          </w:p>
        </w:tc>
      </w:tr>
      <w:tr w:rsidR="00890D8E" w:rsidRPr="001B2AC5" w14:paraId="71F4A1E1" w14:textId="77777777" w:rsidTr="005F5B4C">
        <w:trPr>
          <w:cantSplit/>
          <w:trHeight w:val="23"/>
        </w:trPr>
        <w:tc>
          <w:tcPr>
            <w:tcW w:w="1414" w:type="dxa"/>
            <w:tcBorders>
              <w:top w:val="nil"/>
              <w:left w:val="single" w:sz="2" w:space="0" w:color="auto"/>
              <w:bottom w:val="nil"/>
              <w:right w:val="single" w:sz="2" w:space="0" w:color="auto"/>
            </w:tcBorders>
          </w:tcPr>
          <w:p w14:paraId="329161FE" w14:textId="77777777" w:rsidR="00890D8E" w:rsidRPr="00FB3AD2" w:rsidRDefault="00890D8E" w:rsidP="009A0F2F">
            <w:pPr>
              <w:pStyle w:val="TableReference"/>
              <w:tabs>
                <w:tab w:val="left" w:pos="3306"/>
              </w:tabs>
              <w:spacing w:before="40"/>
              <w:rPr>
                <w:rFonts w:cs="Calibri"/>
                <w:color w:val="7030A0"/>
                <w:sz w:val="14"/>
              </w:rPr>
            </w:pPr>
            <w:r w:rsidRPr="00FB3AD2">
              <w:rPr>
                <w:rFonts w:cs="Calibri"/>
                <w:color w:val="7030A0"/>
                <w:sz w:val="14"/>
              </w:rPr>
              <w:t>AASB 116.73(d)</w:t>
            </w:r>
          </w:p>
        </w:tc>
        <w:tc>
          <w:tcPr>
            <w:tcW w:w="14035" w:type="dxa"/>
            <w:gridSpan w:val="8"/>
            <w:tcBorders>
              <w:top w:val="nil"/>
              <w:left w:val="single" w:sz="2" w:space="0" w:color="auto"/>
              <w:bottom w:val="nil"/>
              <w:right w:val="nil"/>
            </w:tcBorders>
            <w:vAlign w:val="bottom"/>
          </w:tcPr>
          <w:p w14:paraId="0E691FC6" w14:textId="77777777" w:rsidR="00890D8E" w:rsidRPr="00FB3AD2" w:rsidRDefault="00890D8E" w:rsidP="009A0F2F">
            <w:pPr>
              <w:pStyle w:val="TableText"/>
              <w:tabs>
                <w:tab w:val="left" w:pos="3306"/>
              </w:tabs>
              <w:spacing w:before="20" w:after="20"/>
              <w:rPr>
                <w:rFonts w:cs="Calibri"/>
              </w:rPr>
            </w:pPr>
            <w:r w:rsidRPr="00FB3AD2">
              <w:rPr>
                <w:rFonts w:cs="Calibri"/>
              </w:rPr>
              <w:t xml:space="preserve">Accumulated Depreciation </w:t>
            </w:r>
          </w:p>
        </w:tc>
      </w:tr>
      <w:tr w:rsidR="00890D8E" w:rsidRPr="001B2AC5" w14:paraId="537A5615" w14:textId="77777777" w:rsidTr="005F5B4C">
        <w:trPr>
          <w:cantSplit/>
          <w:trHeight w:val="23"/>
        </w:trPr>
        <w:tc>
          <w:tcPr>
            <w:tcW w:w="1414" w:type="dxa"/>
            <w:tcBorders>
              <w:top w:val="nil"/>
              <w:left w:val="single" w:sz="2" w:space="0" w:color="auto"/>
              <w:bottom w:val="nil"/>
              <w:right w:val="single" w:sz="2" w:space="0" w:color="auto"/>
            </w:tcBorders>
          </w:tcPr>
          <w:p w14:paraId="50F3225C" w14:textId="77777777" w:rsidR="00890D8E" w:rsidRPr="00FB3AD2" w:rsidRDefault="00890D8E" w:rsidP="009A0F2F">
            <w:pPr>
              <w:pStyle w:val="TableReference"/>
              <w:tabs>
                <w:tab w:val="left" w:pos="3306"/>
              </w:tabs>
              <w:spacing w:before="40"/>
              <w:rPr>
                <w:rFonts w:cs="Calibri"/>
                <w:color w:val="7030A0"/>
                <w:sz w:val="14"/>
              </w:rPr>
            </w:pPr>
            <w:r w:rsidRPr="00FB3AD2">
              <w:rPr>
                <w:rFonts w:cs="Calibri"/>
                <w:color w:val="7030A0"/>
                <w:sz w:val="14"/>
              </w:rPr>
              <w:t>AASB 116.73(d)</w:t>
            </w:r>
          </w:p>
        </w:tc>
        <w:tc>
          <w:tcPr>
            <w:tcW w:w="14035" w:type="dxa"/>
            <w:gridSpan w:val="8"/>
            <w:tcBorders>
              <w:top w:val="nil"/>
              <w:left w:val="single" w:sz="2" w:space="0" w:color="auto"/>
              <w:bottom w:val="nil"/>
              <w:right w:val="nil"/>
            </w:tcBorders>
            <w:vAlign w:val="bottom"/>
          </w:tcPr>
          <w:p w14:paraId="1A79F35F" w14:textId="77777777" w:rsidR="00890D8E" w:rsidRPr="00FB3AD2" w:rsidRDefault="00890D8E" w:rsidP="009A0F2F">
            <w:pPr>
              <w:pStyle w:val="TableText"/>
              <w:tabs>
                <w:tab w:val="left" w:pos="3306"/>
              </w:tabs>
              <w:spacing w:before="20" w:after="20"/>
              <w:rPr>
                <w:rFonts w:cs="Calibri"/>
              </w:rPr>
            </w:pPr>
            <w:r w:rsidRPr="00FB3AD2">
              <w:rPr>
                <w:rFonts w:cs="Calibri"/>
              </w:rPr>
              <w:t>Accumulated Impairment Losses</w:t>
            </w:r>
          </w:p>
        </w:tc>
      </w:tr>
      <w:tr w:rsidR="00890D8E" w:rsidRPr="001B2AC5" w14:paraId="79C2FAB0" w14:textId="77777777" w:rsidTr="005F5B4C">
        <w:trPr>
          <w:cantSplit/>
          <w:trHeight w:val="23"/>
        </w:trPr>
        <w:tc>
          <w:tcPr>
            <w:tcW w:w="1414" w:type="dxa"/>
            <w:tcBorders>
              <w:top w:val="nil"/>
              <w:left w:val="single" w:sz="2" w:space="0" w:color="auto"/>
              <w:bottom w:val="nil"/>
              <w:right w:val="single" w:sz="2" w:space="0" w:color="auto"/>
            </w:tcBorders>
          </w:tcPr>
          <w:p w14:paraId="174543EA" w14:textId="77777777" w:rsidR="00890D8E" w:rsidRPr="00FB3AD2" w:rsidRDefault="00890D8E" w:rsidP="009A0F2F">
            <w:pPr>
              <w:pStyle w:val="TableReference"/>
              <w:tabs>
                <w:tab w:val="left" w:pos="3306"/>
              </w:tabs>
              <w:spacing w:before="40"/>
              <w:rPr>
                <w:rFonts w:cs="Calibri"/>
                <w:color w:val="7030A0"/>
                <w:sz w:val="14"/>
              </w:rPr>
            </w:pPr>
            <w:r w:rsidRPr="00FB3AD2">
              <w:rPr>
                <w:rFonts w:cs="Calibri"/>
                <w:color w:val="7030A0"/>
                <w:sz w:val="14"/>
              </w:rPr>
              <w:t>AASB 16.53(j)</w:t>
            </w:r>
          </w:p>
        </w:tc>
        <w:tc>
          <w:tcPr>
            <w:tcW w:w="14035" w:type="dxa"/>
            <w:gridSpan w:val="8"/>
            <w:tcBorders>
              <w:top w:val="nil"/>
              <w:left w:val="single" w:sz="2" w:space="0" w:color="auto"/>
              <w:bottom w:val="nil"/>
              <w:right w:val="nil"/>
            </w:tcBorders>
            <w:vAlign w:val="bottom"/>
          </w:tcPr>
          <w:p w14:paraId="574B2B24" w14:textId="77777777" w:rsidR="00890D8E" w:rsidRPr="00FB3AD2" w:rsidRDefault="00890D8E" w:rsidP="009A0F2F">
            <w:pPr>
              <w:pStyle w:val="TableText"/>
              <w:tabs>
                <w:tab w:val="left" w:pos="3306"/>
              </w:tabs>
              <w:spacing w:before="20" w:after="20"/>
              <w:rPr>
                <w:rFonts w:cs="Calibri"/>
              </w:rPr>
            </w:pPr>
            <w:r w:rsidRPr="00FB3AD2">
              <w:rPr>
                <w:rFonts w:cs="Calibri"/>
              </w:rPr>
              <w:t>Carrying Amount of Right-of-Use Assets</w:t>
            </w:r>
          </w:p>
        </w:tc>
      </w:tr>
    </w:tbl>
    <w:p w14:paraId="35603F97" w14:textId="45003A38" w:rsidR="00B02AD2" w:rsidRDefault="00B02AD2" w:rsidP="0096118D">
      <w:pPr>
        <w:pStyle w:val="TableReference"/>
        <w:tabs>
          <w:tab w:val="left" w:pos="3306"/>
        </w:tabs>
        <w:spacing w:before="40"/>
        <w:rPr>
          <w:rFonts w:cs="Calibri"/>
          <w:color w:val="auto"/>
          <w:sz w:val="16"/>
          <w:szCs w:val="16"/>
        </w:rPr>
        <w:sectPr w:rsidR="00B02AD2" w:rsidSect="00827474">
          <w:headerReference w:type="default" r:id="rId34"/>
          <w:footnotePr>
            <w:numRestart w:val="eachPage"/>
          </w:footnotePr>
          <w:pgSz w:w="16840" w:h="11907" w:orient="landscape" w:code="9"/>
          <w:pgMar w:top="1134" w:right="567" w:bottom="680" w:left="567" w:header="426" w:footer="283" w:gutter="0"/>
          <w:cols w:space="720"/>
          <w:docGrid w:linePitch="326"/>
        </w:sectPr>
      </w:pPr>
    </w:p>
    <w:tbl>
      <w:tblPr>
        <w:tblW w:w="5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4400"/>
        <w:gridCol w:w="1558"/>
        <w:gridCol w:w="1422"/>
        <w:gridCol w:w="1560"/>
      </w:tblGrid>
      <w:tr w:rsidR="00F73636" w:rsidRPr="00CF7E1B" w14:paraId="3D933921" w14:textId="77777777" w:rsidTr="005F5B4C">
        <w:trPr>
          <w:cantSplit/>
          <w:trHeight w:val="23"/>
        </w:trPr>
        <w:tc>
          <w:tcPr>
            <w:tcW w:w="743" w:type="pct"/>
            <w:tcBorders>
              <w:top w:val="nil"/>
              <w:left w:val="single" w:sz="2" w:space="0" w:color="auto"/>
              <w:bottom w:val="nil"/>
              <w:right w:val="single" w:sz="2" w:space="0" w:color="auto"/>
            </w:tcBorders>
          </w:tcPr>
          <w:p w14:paraId="30304A62" w14:textId="77777777" w:rsidR="00F73636" w:rsidRPr="00FB3AD2" w:rsidRDefault="00F73636" w:rsidP="00C85383">
            <w:pPr>
              <w:pStyle w:val="Reference"/>
              <w:rPr>
                <w:rFonts w:cs="Calibri"/>
                <w:color w:val="7030A0"/>
                <w:sz w:val="22"/>
                <w:szCs w:val="22"/>
              </w:rPr>
            </w:pPr>
            <w:r w:rsidRPr="00FB3AD2">
              <w:rPr>
                <w:rFonts w:cs="Calibri"/>
                <w:color w:val="7030A0"/>
                <w:sz w:val="22"/>
                <w:szCs w:val="22"/>
              </w:rPr>
              <w:t>Reference</w:t>
            </w:r>
          </w:p>
        </w:tc>
        <w:tc>
          <w:tcPr>
            <w:tcW w:w="4257" w:type="pct"/>
            <w:gridSpan w:val="4"/>
            <w:tcBorders>
              <w:top w:val="nil"/>
              <w:left w:val="single" w:sz="2" w:space="0" w:color="auto"/>
              <w:bottom w:val="nil"/>
              <w:right w:val="nil"/>
            </w:tcBorders>
          </w:tcPr>
          <w:p w14:paraId="47A26F43" w14:textId="4787062D" w:rsidR="00F73636" w:rsidRPr="00FB3AD2" w:rsidRDefault="00DA3E2F" w:rsidP="00C85383">
            <w:pPr>
              <w:rPr>
                <w:b/>
              </w:rPr>
            </w:pPr>
            <w:r w:rsidRPr="00FB3AD2">
              <w:rPr>
                <w:rFonts w:ascii="Arial Bold" w:hAnsi="Arial Bold" w:cs="Arial"/>
                <w:b/>
                <w:caps/>
                <w:sz w:val="32"/>
                <w:szCs w:val="32"/>
              </w:rPr>
              <w:t xml:space="preserve">Note </w:t>
            </w:r>
            <w:r w:rsidR="001B1A1D" w:rsidRPr="00FB3AD2">
              <w:rPr>
                <w:rFonts w:ascii="Arial Bold" w:hAnsi="Arial Bold" w:cs="Arial"/>
                <w:b/>
                <w:caps/>
                <w:sz w:val="32"/>
                <w:szCs w:val="32"/>
              </w:rPr>
              <w:t>19</w:t>
            </w:r>
            <w:r w:rsidRPr="00FB3AD2">
              <w:rPr>
                <w:rFonts w:ascii="Arial Bold" w:hAnsi="Arial Bold" w:cs="Arial"/>
                <w:b/>
                <w:caps/>
                <w:sz w:val="32"/>
                <w:szCs w:val="32"/>
              </w:rPr>
              <w:t>.</w:t>
            </w:r>
            <w:r w:rsidR="00FA7C77">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w:t>
            </w:r>
            <w:r w:rsidR="00774E1B" w:rsidRPr="00FB3AD2">
              <w:rPr>
                <w:rFonts w:ascii="Arial Bold" w:hAnsi="Arial Bold" w:cs="Arial"/>
                <w:b/>
                <w:caps/>
                <w:sz w:val="32"/>
                <w:szCs w:val="32"/>
              </w:rPr>
              <w:t xml:space="preserve"> </w:t>
            </w:r>
            <w:r w:rsidRPr="00FB3AD2">
              <w:rPr>
                <w:rFonts w:ascii="Arial Bold" w:hAnsi="Arial Bold" w:cs="Arial"/>
                <w:b/>
                <w:caps/>
                <w:sz w:val="32"/>
                <w:szCs w:val="32"/>
              </w:rPr>
              <w:t>– Continued</w:t>
            </w:r>
          </w:p>
        </w:tc>
      </w:tr>
      <w:tr w:rsidR="00F73636" w:rsidRPr="00CF7E1B" w14:paraId="05D364C6" w14:textId="77777777" w:rsidTr="005F5B4C">
        <w:trPr>
          <w:cantSplit/>
          <w:trHeight w:val="23"/>
        </w:trPr>
        <w:tc>
          <w:tcPr>
            <w:tcW w:w="743" w:type="pct"/>
            <w:tcBorders>
              <w:top w:val="nil"/>
              <w:left w:val="single" w:sz="2" w:space="0" w:color="auto"/>
              <w:bottom w:val="nil"/>
              <w:right w:val="single" w:sz="2" w:space="0" w:color="auto"/>
            </w:tcBorders>
          </w:tcPr>
          <w:p w14:paraId="54036E05" w14:textId="77777777" w:rsidR="00F73636" w:rsidRPr="00FB3AD2" w:rsidRDefault="00F73636" w:rsidP="00DA3E2F">
            <w:pPr>
              <w:pStyle w:val="Reference"/>
              <w:rPr>
                <w:rFonts w:cs="Calibri"/>
                <w:color w:val="7030A0"/>
                <w:sz w:val="16"/>
                <w:szCs w:val="16"/>
              </w:rPr>
            </w:pPr>
          </w:p>
        </w:tc>
        <w:tc>
          <w:tcPr>
            <w:tcW w:w="4257" w:type="pct"/>
            <w:gridSpan w:val="4"/>
            <w:tcBorders>
              <w:top w:val="nil"/>
              <w:left w:val="single" w:sz="2" w:space="0" w:color="auto"/>
              <w:bottom w:val="nil"/>
              <w:right w:val="nil"/>
            </w:tcBorders>
          </w:tcPr>
          <w:p w14:paraId="22A09726" w14:textId="77777777" w:rsidR="00F73636" w:rsidRPr="00FB3AD2" w:rsidRDefault="00F73636" w:rsidP="00DA3E2F">
            <w:pPr>
              <w:rPr>
                <w:b/>
                <w:sz w:val="18"/>
                <w:szCs w:val="18"/>
              </w:rPr>
            </w:pPr>
            <w:r w:rsidRPr="00FB3AD2">
              <w:rPr>
                <w:b/>
                <w:sz w:val="18"/>
                <w:szCs w:val="18"/>
              </w:rPr>
              <w:t>Fair Value Hierarchy</w:t>
            </w:r>
          </w:p>
        </w:tc>
      </w:tr>
      <w:tr w:rsidR="00F73636" w:rsidRPr="00CF7E1B" w14:paraId="0D461FD7" w14:textId="77777777" w:rsidTr="005F5B4C">
        <w:trPr>
          <w:cantSplit/>
          <w:trHeight w:val="23"/>
        </w:trPr>
        <w:tc>
          <w:tcPr>
            <w:tcW w:w="743" w:type="pct"/>
            <w:tcBorders>
              <w:top w:val="nil"/>
              <w:left w:val="single" w:sz="2" w:space="0" w:color="auto"/>
              <w:bottom w:val="nil"/>
              <w:right w:val="single" w:sz="2" w:space="0" w:color="auto"/>
            </w:tcBorders>
          </w:tcPr>
          <w:p w14:paraId="19CDBCD9" w14:textId="77777777" w:rsidR="00F73636" w:rsidRPr="00FB3AD2" w:rsidRDefault="00F73636" w:rsidP="00FB3080">
            <w:pPr>
              <w:pStyle w:val="TableReference"/>
              <w:tabs>
                <w:tab w:val="left" w:pos="3306"/>
              </w:tabs>
              <w:spacing w:before="40"/>
              <w:rPr>
                <w:rFonts w:cs="Calibri"/>
                <w:color w:val="7030A0"/>
                <w:sz w:val="14"/>
              </w:rPr>
            </w:pPr>
            <w:r w:rsidRPr="00FB3AD2">
              <w:rPr>
                <w:rFonts w:cs="Calibri"/>
                <w:color w:val="7030A0"/>
                <w:sz w:val="14"/>
              </w:rPr>
              <w:t>AASB 13.93(b)</w:t>
            </w:r>
          </w:p>
          <w:p w14:paraId="04D29E29" w14:textId="77777777" w:rsidR="00F73636" w:rsidRPr="00FB3AD2" w:rsidRDefault="00F73636" w:rsidP="00FB3080">
            <w:pPr>
              <w:pStyle w:val="TableReference"/>
              <w:tabs>
                <w:tab w:val="left" w:pos="3306"/>
              </w:tabs>
              <w:spacing w:before="40"/>
              <w:rPr>
                <w:rFonts w:cs="Calibri"/>
                <w:color w:val="7030A0"/>
                <w:sz w:val="14"/>
              </w:rPr>
            </w:pPr>
          </w:p>
          <w:p w14:paraId="69A2762E" w14:textId="77777777" w:rsidR="00F73636" w:rsidRPr="00FB3AD2" w:rsidRDefault="00F73636" w:rsidP="007D4DCE">
            <w:pPr>
              <w:pStyle w:val="TableReference"/>
              <w:tabs>
                <w:tab w:val="left" w:pos="3306"/>
              </w:tabs>
              <w:spacing w:before="80"/>
              <w:rPr>
                <w:rFonts w:cs="Calibri"/>
                <w:color w:val="7030A0"/>
                <w:sz w:val="14"/>
              </w:rPr>
            </w:pPr>
            <w:r w:rsidRPr="00FB3AD2">
              <w:rPr>
                <w:rFonts w:cs="Calibri"/>
                <w:color w:val="7030A0"/>
                <w:sz w:val="14"/>
              </w:rPr>
              <w:t>AASB 13.76</w:t>
            </w:r>
          </w:p>
          <w:p w14:paraId="3528E532" w14:textId="77777777" w:rsidR="00DA3E2F" w:rsidRPr="00FB3AD2" w:rsidRDefault="00DA3E2F" w:rsidP="00FB3080">
            <w:pPr>
              <w:pStyle w:val="TableReference"/>
              <w:tabs>
                <w:tab w:val="left" w:pos="3306"/>
              </w:tabs>
              <w:spacing w:before="40"/>
              <w:rPr>
                <w:rFonts w:cs="Calibri"/>
                <w:color w:val="7030A0"/>
                <w:sz w:val="14"/>
              </w:rPr>
            </w:pPr>
          </w:p>
          <w:p w14:paraId="4B905A7F" w14:textId="77777777" w:rsidR="00F73636" w:rsidRPr="00FB3AD2" w:rsidRDefault="00F73636" w:rsidP="00FB3080">
            <w:pPr>
              <w:pStyle w:val="TableReference"/>
              <w:tabs>
                <w:tab w:val="left" w:pos="3306"/>
              </w:tabs>
              <w:spacing w:before="40"/>
              <w:rPr>
                <w:rFonts w:cs="Calibri"/>
                <w:color w:val="7030A0"/>
                <w:sz w:val="14"/>
              </w:rPr>
            </w:pPr>
            <w:r w:rsidRPr="00FB3AD2">
              <w:rPr>
                <w:rFonts w:cs="Calibri"/>
                <w:color w:val="7030A0"/>
                <w:sz w:val="14"/>
              </w:rPr>
              <w:t>AASB 13.81</w:t>
            </w:r>
          </w:p>
          <w:p w14:paraId="4072A067" w14:textId="77777777" w:rsidR="00DA3E2F" w:rsidRPr="00FB3AD2" w:rsidRDefault="00DA3E2F" w:rsidP="00FB3080">
            <w:pPr>
              <w:pStyle w:val="TableReference"/>
              <w:tabs>
                <w:tab w:val="left" w:pos="3306"/>
              </w:tabs>
              <w:spacing w:before="40"/>
              <w:rPr>
                <w:rFonts w:cs="Calibri"/>
                <w:color w:val="7030A0"/>
                <w:sz w:val="14"/>
              </w:rPr>
            </w:pPr>
          </w:p>
          <w:p w14:paraId="7BECA0DC" w14:textId="77777777" w:rsidR="00F73636" w:rsidRPr="00FB3AD2" w:rsidRDefault="00F73636" w:rsidP="005346DC">
            <w:pPr>
              <w:pStyle w:val="TableReference"/>
              <w:tabs>
                <w:tab w:val="left" w:pos="3306"/>
              </w:tabs>
              <w:spacing w:before="80"/>
              <w:rPr>
                <w:rFonts w:cs="Calibri"/>
                <w:color w:val="7030A0"/>
                <w:sz w:val="14"/>
              </w:rPr>
            </w:pPr>
            <w:r w:rsidRPr="00FB3AD2">
              <w:rPr>
                <w:rFonts w:cs="Calibri"/>
                <w:color w:val="7030A0"/>
                <w:sz w:val="14"/>
              </w:rPr>
              <w:t>AASB 13.86</w:t>
            </w:r>
          </w:p>
        </w:tc>
        <w:tc>
          <w:tcPr>
            <w:tcW w:w="4257" w:type="pct"/>
            <w:gridSpan w:val="4"/>
            <w:tcBorders>
              <w:top w:val="nil"/>
              <w:left w:val="single" w:sz="2" w:space="0" w:color="auto"/>
              <w:bottom w:val="nil"/>
              <w:right w:val="nil"/>
            </w:tcBorders>
          </w:tcPr>
          <w:p w14:paraId="3FE41940" w14:textId="2A70A56A" w:rsidR="00F73636" w:rsidRPr="00FB3AD2" w:rsidRDefault="00F73636" w:rsidP="005E3765">
            <w:pPr>
              <w:pStyle w:val="TableTitle"/>
              <w:tabs>
                <w:tab w:val="left" w:pos="3306"/>
              </w:tabs>
              <w:spacing w:after="40"/>
              <w:jc w:val="both"/>
              <w:rPr>
                <w:rFonts w:cs="Calibri"/>
                <w:b w:val="0"/>
                <w:bCs w:val="0"/>
              </w:rPr>
            </w:pPr>
            <w:r w:rsidRPr="00FB3AD2">
              <w:rPr>
                <w:rFonts w:cs="Calibri"/>
                <w:b w:val="0"/>
                <w:bCs w:val="0"/>
              </w:rPr>
              <w:t xml:space="preserve">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w:t>
            </w:r>
            <w:r w:rsidR="0072147A" w:rsidRPr="00FB3AD2">
              <w:rPr>
                <w:rFonts w:cs="Calibri"/>
                <w:b w:val="0"/>
                <w:bCs w:val="0"/>
              </w:rPr>
              <w:t xml:space="preserve">below </w:t>
            </w:r>
            <w:r w:rsidRPr="00FB3AD2">
              <w:rPr>
                <w:rFonts w:cs="Calibri"/>
                <w:b w:val="0"/>
                <w:bCs w:val="0"/>
              </w:rPr>
              <w:t>reflects the significance of the inputs used in determining fair value.</w:t>
            </w:r>
            <w:r w:rsidR="00FA7C77">
              <w:rPr>
                <w:rFonts w:cs="Calibri"/>
                <w:b w:val="0"/>
                <w:bCs w:val="0"/>
              </w:rPr>
              <w:t xml:space="preserve"> </w:t>
            </w:r>
            <w:r w:rsidRPr="00FB3AD2">
              <w:rPr>
                <w:rFonts w:cs="Calibri"/>
                <w:b w:val="0"/>
                <w:bCs w:val="0"/>
              </w:rPr>
              <w:t xml:space="preserve">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is made up of the following three levels: </w:t>
            </w:r>
          </w:p>
          <w:p w14:paraId="2CA97382" w14:textId="77777777" w:rsidR="00F73636" w:rsidRPr="00FB3AD2" w:rsidRDefault="00F73636" w:rsidP="007122BC">
            <w:pPr>
              <w:numPr>
                <w:ilvl w:val="0"/>
                <w:numId w:val="26"/>
              </w:numPr>
              <w:autoSpaceDE w:val="0"/>
              <w:autoSpaceDN w:val="0"/>
              <w:adjustRightInd w:val="0"/>
              <w:spacing w:after="40"/>
              <w:jc w:val="both"/>
              <w:rPr>
                <w:rFonts w:cs="Calibri"/>
                <w:sz w:val="18"/>
                <w:szCs w:val="18"/>
              </w:rPr>
            </w:pPr>
            <w:r w:rsidRPr="00FB3AD2">
              <w:rPr>
                <w:rFonts w:cs="Calibri"/>
                <w:sz w:val="18"/>
                <w:szCs w:val="18"/>
              </w:rPr>
              <w:t>Level 1 - quoted prices (unadjusted) in active markets for identical assets or liabilities that the agency can access at the measurement date;</w:t>
            </w:r>
          </w:p>
          <w:p w14:paraId="7BC11219" w14:textId="77777777" w:rsidR="00F73636" w:rsidRPr="00FB3AD2" w:rsidRDefault="00F73636" w:rsidP="007122BC">
            <w:pPr>
              <w:pStyle w:val="ListParagraph"/>
              <w:numPr>
                <w:ilvl w:val="0"/>
                <w:numId w:val="26"/>
              </w:numPr>
              <w:autoSpaceDE w:val="0"/>
              <w:autoSpaceDN w:val="0"/>
              <w:adjustRightInd w:val="0"/>
              <w:spacing w:after="40"/>
              <w:contextualSpacing w:val="0"/>
              <w:jc w:val="both"/>
              <w:rPr>
                <w:rFonts w:cs="Calibri"/>
                <w:sz w:val="18"/>
                <w:szCs w:val="18"/>
              </w:rPr>
            </w:pPr>
            <w:r w:rsidRPr="00FB3AD2">
              <w:rPr>
                <w:rFonts w:cs="Calibri"/>
                <w:sz w:val="18"/>
                <w:szCs w:val="18"/>
              </w:rPr>
              <w:t>Level 2 - inputs other than quoted prices included within Level 1 that are observable for the asset or liability, either directly or indirectly; and</w:t>
            </w:r>
          </w:p>
          <w:p w14:paraId="38E03B0C" w14:textId="6F843E67" w:rsidR="00F73636" w:rsidRPr="00FB3AD2" w:rsidRDefault="00F73636" w:rsidP="007122BC">
            <w:pPr>
              <w:pStyle w:val="TableText"/>
              <w:numPr>
                <w:ilvl w:val="0"/>
                <w:numId w:val="26"/>
              </w:numPr>
              <w:tabs>
                <w:tab w:val="left" w:pos="3306"/>
              </w:tabs>
              <w:spacing w:after="80"/>
              <w:ind w:left="357" w:hanging="357"/>
              <w:rPr>
                <w:rFonts w:cs="Calibri"/>
              </w:rPr>
            </w:pPr>
            <w:r w:rsidRPr="00FB3AD2">
              <w:rPr>
                <w:rFonts w:cs="Calibri"/>
              </w:rPr>
              <w:t>Level 3 -</w:t>
            </w:r>
            <w:r w:rsidR="000413C4" w:rsidRPr="00FB3AD2">
              <w:rPr>
                <w:rFonts w:cs="Calibri"/>
              </w:rPr>
              <w:t xml:space="preserve"> </w:t>
            </w:r>
            <w:r w:rsidRPr="00FB3AD2">
              <w:rPr>
                <w:rFonts w:cs="Calibri"/>
              </w:rPr>
              <w:t>inputs that are unobservable for particular assets or liabilities.</w:t>
            </w:r>
          </w:p>
        </w:tc>
      </w:tr>
      <w:tr w:rsidR="00F73636" w:rsidRPr="00CF7E1B" w14:paraId="0A78FA65" w14:textId="77777777" w:rsidTr="005F5B4C">
        <w:trPr>
          <w:cantSplit/>
          <w:trHeight w:val="23"/>
        </w:trPr>
        <w:tc>
          <w:tcPr>
            <w:tcW w:w="743" w:type="pct"/>
            <w:tcBorders>
              <w:top w:val="nil"/>
              <w:left w:val="single" w:sz="2" w:space="0" w:color="auto"/>
              <w:bottom w:val="nil"/>
              <w:right w:val="single" w:sz="2" w:space="0" w:color="auto"/>
            </w:tcBorders>
          </w:tcPr>
          <w:p w14:paraId="564044D5" w14:textId="77777777" w:rsidR="00F73636" w:rsidRPr="00FB3AD2" w:rsidRDefault="00F73636" w:rsidP="009746F2">
            <w:pPr>
              <w:pStyle w:val="Reference"/>
              <w:rPr>
                <w:rFonts w:cs="Calibri"/>
                <w:color w:val="7030A0"/>
                <w:sz w:val="14"/>
                <w:szCs w:val="14"/>
              </w:rPr>
            </w:pPr>
            <w:bookmarkStart w:id="543" w:name="_Hlk411500847"/>
          </w:p>
        </w:tc>
        <w:tc>
          <w:tcPr>
            <w:tcW w:w="4257" w:type="pct"/>
            <w:gridSpan w:val="4"/>
            <w:tcBorders>
              <w:top w:val="nil"/>
              <w:left w:val="single" w:sz="2" w:space="0" w:color="auto"/>
              <w:bottom w:val="nil"/>
              <w:right w:val="nil"/>
            </w:tcBorders>
          </w:tcPr>
          <w:p w14:paraId="7A9D9563" w14:textId="77777777" w:rsidR="00F73636" w:rsidRPr="00FB3AD2" w:rsidRDefault="00F73636" w:rsidP="00260F74">
            <w:pPr>
              <w:pStyle w:val="TableTitle"/>
              <w:tabs>
                <w:tab w:val="left" w:pos="3306"/>
              </w:tabs>
              <w:jc w:val="both"/>
              <w:rPr>
                <w:rFonts w:cs="Calibri"/>
                <w:b w:val="0"/>
              </w:rPr>
            </w:pPr>
            <w:r w:rsidRPr="00FB3AD2">
              <w:rPr>
                <w:rFonts w:cs="Calibri"/>
                <w:b w:val="0"/>
                <w:bCs w:val="0"/>
              </w:rPr>
              <w:t xml:space="preserve">Details of the Agency’s property, plant and equipment at fair value and information about the </w:t>
            </w:r>
            <w:r w:rsidR="0096118D" w:rsidRPr="00FB3AD2">
              <w:rPr>
                <w:rFonts w:cs="Calibri"/>
                <w:b w:val="0"/>
                <w:bCs w:val="0"/>
              </w:rPr>
              <w:t>F</w:t>
            </w:r>
            <w:r w:rsidRPr="00FB3AD2">
              <w:rPr>
                <w:rFonts w:cs="Calibri"/>
                <w:b w:val="0"/>
                <w:bCs w:val="0"/>
              </w:rPr>
              <w:t xml:space="preserve">air </w:t>
            </w:r>
            <w:r w:rsidR="0096118D" w:rsidRPr="00FB3AD2">
              <w:rPr>
                <w:rFonts w:cs="Calibri"/>
                <w:b w:val="0"/>
                <w:bCs w:val="0"/>
              </w:rPr>
              <w:t>V</w:t>
            </w:r>
            <w:r w:rsidRPr="00FB3AD2">
              <w:rPr>
                <w:rFonts w:cs="Calibri"/>
                <w:b w:val="0"/>
                <w:bCs w:val="0"/>
              </w:rPr>
              <w:t xml:space="preserve">alue </w:t>
            </w:r>
            <w:r w:rsidR="0096118D" w:rsidRPr="00FB3AD2">
              <w:rPr>
                <w:rFonts w:cs="Calibri"/>
                <w:b w:val="0"/>
                <w:bCs w:val="0"/>
              </w:rPr>
              <w:t>H</w:t>
            </w:r>
            <w:r w:rsidRPr="00FB3AD2">
              <w:rPr>
                <w:rFonts w:cs="Calibri"/>
                <w:b w:val="0"/>
                <w:bCs w:val="0"/>
              </w:rPr>
              <w:t xml:space="preserve">ierarchy as at 30 June </w:t>
            </w:r>
            <w:r w:rsidR="00260F74" w:rsidRPr="00FB3AD2">
              <w:rPr>
                <w:rFonts w:cs="Calibri"/>
                <w:b w:val="0"/>
                <w:bCs w:val="0"/>
              </w:rPr>
              <w:t>is as</w:t>
            </w:r>
            <w:r w:rsidRPr="00FB3AD2">
              <w:rPr>
                <w:rFonts w:cs="Calibri"/>
                <w:b w:val="0"/>
                <w:bCs w:val="0"/>
              </w:rPr>
              <w:t xml:space="preserve"> follows:</w:t>
            </w:r>
          </w:p>
        </w:tc>
      </w:tr>
      <w:tr w:rsidR="00BA2D61" w:rsidRPr="00CF7E1B" w14:paraId="4D96C442" w14:textId="77777777" w:rsidTr="005F5B4C">
        <w:trPr>
          <w:cantSplit/>
          <w:trHeight w:val="23"/>
        </w:trPr>
        <w:tc>
          <w:tcPr>
            <w:tcW w:w="743" w:type="pct"/>
            <w:tcBorders>
              <w:top w:val="nil"/>
              <w:left w:val="single" w:sz="2" w:space="0" w:color="auto"/>
              <w:bottom w:val="nil"/>
              <w:right w:val="single" w:sz="2" w:space="0" w:color="auto"/>
            </w:tcBorders>
          </w:tcPr>
          <w:p w14:paraId="2C7882A0" w14:textId="77777777" w:rsidR="00BA2D61" w:rsidRPr="00FB3AD2" w:rsidRDefault="00BA2D61" w:rsidP="009746F2">
            <w:pPr>
              <w:pStyle w:val="Reference"/>
              <w:rPr>
                <w:rFonts w:cs="Calibri"/>
                <w:color w:val="7030A0"/>
                <w:sz w:val="14"/>
                <w:szCs w:val="14"/>
              </w:rPr>
            </w:pPr>
          </w:p>
        </w:tc>
        <w:tc>
          <w:tcPr>
            <w:tcW w:w="2095" w:type="pct"/>
            <w:tcBorders>
              <w:top w:val="nil"/>
              <w:left w:val="single" w:sz="2" w:space="0" w:color="auto"/>
              <w:bottom w:val="nil"/>
              <w:right w:val="nil"/>
            </w:tcBorders>
          </w:tcPr>
          <w:p w14:paraId="5731CF00" w14:textId="77777777" w:rsidR="00BA2D61" w:rsidRPr="00FB3AD2" w:rsidRDefault="00BA2D61" w:rsidP="00260F74">
            <w:pPr>
              <w:pStyle w:val="TableTitle"/>
              <w:tabs>
                <w:tab w:val="left" w:pos="3306"/>
              </w:tabs>
              <w:jc w:val="both"/>
              <w:rPr>
                <w:rFonts w:cs="Calibri"/>
                <w:b w:val="0"/>
                <w:bCs w:val="0"/>
              </w:rPr>
            </w:pPr>
          </w:p>
        </w:tc>
        <w:tc>
          <w:tcPr>
            <w:tcW w:w="2162" w:type="pct"/>
            <w:gridSpan w:val="3"/>
            <w:tcBorders>
              <w:top w:val="nil"/>
              <w:left w:val="nil"/>
              <w:bottom w:val="nil"/>
              <w:right w:val="nil"/>
            </w:tcBorders>
          </w:tcPr>
          <w:p w14:paraId="2638014E" w14:textId="6A4D0085" w:rsidR="00BA2D61" w:rsidRPr="00FB3AD2" w:rsidRDefault="00BA2D61" w:rsidP="00BA2D61">
            <w:pPr>
              <w:pStyle w:val="TableTitle"/>
              <w:tabs>
                <w:tab w:val="left" w:pos="3306"/>
              </w:tabs>
              <w:jc w:val="center"/>
              <w:rPr>
                <w:rFonts w:cs="Calibri"/>
                <w:b w:val="0"/>
                <w:bCs w:val="0"/>
              </w:rPr>
            </w:pPr>
            <w:r w:rsidRPr="00FB3AD2">
              <w:t>Classification According to Fair Value Hierarchy</w:t>
            </w:r>
          </w:p>
        </w:tc>
      </w:tr>
      <w:bookmarkEnd w:id="543"/>
      <w:tr w:rsidR="00041268" w:rsidRPr="00CF7E1B" w14:paraId="7A14012E" w14:textId="77777777" w:rsidTr="005F5B4C">
        <w:trPr>
          <w:cantSplit/>
          <w:trHeight w:val="23"/>
        </w:trPr>
        <w:tc>
          <w:tcPr>
            <w:tcW w:w="743" w:type="pct"/>
            <w:tcBorders>
              <w:top w:val="nil"/>
              <w:left w:val="single" w:sz="2" w:space="0" w:color="auto"/>
              <w:bottom w:val="nil"/>
              <w:right w:val="single" w:sz="2" w:space="0" w:color="auto"/>
            </w:tcBorders>
          </w:tcPr>
          <w:p w14:paraId="11675A5B" w14:textId="77777777" w:rsidR="00041268" w:rsidRPr="00FB3AD2" w:rsidRDefault="00041268" w:rsidP="009746F2">
            <w:pPr>
              <w:pStyle w:val="Reference"/>
              <w:rPr>
                <w:rFonts w:cs="Calibri"/>
                <w:color w:val="7030A0"/>
                <w:sz w:val="14"/>
                <w:szCs w:val="14"/>
              </w:rPr>
            </w:pPr>
          </w:p>
        </w:tc>
        <w:tc>
          <w:tcPr>
            <w:tcW w:w="2095" w:type="pct"/>
            <w:tcBorders>
              <w:top w:val="nil"/>
              <w:left w:val="single" w:sz="2" w:space="0" w:color="auto"/>
              <w:bottom w:val="nil"/>
              <w:right w:val="nil"/>
            </w:tcBorders>
          </w:tcPr>
          <w:p w14:paraId="4F286DCB" w14:textId="77777777" w:rsidR="00041268" w:rsidRPr="00FB3AD2" w:rsidRDefault="00041268" w:rsidP="00260F74">
            <w:pPr>
              <w:pStyle w:val="TableTitle"/>
              <w:tabs>
                <w:tab w:val="left" w:pos="3306"/>
              </w:tabs>
              <w:jc w:val="both"/>
              <w:rPr>
                <w:rFonts w:cs="Calibri"/>
                <w:b w:val="0"/>
                <w:bCs w:val="0"/>
              </w:rPr>
            </w:pPr>
          </w:p>
        </w:tc>
        <w:tc>
          <w:tcPr>
            <w:tcW w:w="742" w:type="pct"/>
            <w:tcBorders>
              <w:top w:val="nil"/>
              <w:left w:val="nil"/>
              <w:bottom w:val="nil"/>
              <w:right w:val="nil"/>
            </w:tcBorders>
          </w:tcPr>
          <w:p w14:paraId="36AC450C" w14:textId="687C49E5" w:rsidR="00041268" w:rsidRPr="00FB3AD2" w:rsidRDefault="00041268" w:rsidP="00BA2D61">
            <w:pPr>
              <w:pStyle w:val="TableTitle"/>
              <w:tabs>
                <w:tab w:val="left" w:pos="3306"/>
              </w:tabs>
              <w:rPr>
                <w:rFonts w:cs="Calibri"/>
              </w:rPr>
            </w:pPr>
            <w:r w:rsidRPr="00FB3AD2">
              <w:rPr>
                <w:rFonts w:cs="Calibri"/>
              </w:rPr>
              <w:t>Level 2</w:t>
            </w:r>
          </w:p>
        </w:tc>
        <w:tc>
          <w:tcPr>
            <w:tcW w:w="677" w:type="pct"/>
            <w:tcBorders>
              <w:top w:val="nil"/>
              <w:left w:val="nil"/>
              <w:bottom w:val="nil"/>
              <w:right w:val="nil"/>
            </w:tcBorders>
          </w:tcPr>
          <w:p w14:paraId="09E1AA9D" w14:textId="302000E1" w:rsidR="00041268" w:rsidRPr="00FB3AD2" w:rsidRDefault="00041268" w:rsidP="00BA2D61">
            <w:pPr>
              <w:pStyle w:val="TableTitle"/>
              <w:tabs>
                <w:tab w:val="left" w:pos="3306"/>
              </w:tabs>
              <w:rPr>
                <w:rFonts w:cs="Calibri"/>
              </w:rPr>
            </w:pPr>
            <w:r w:rsidRPr="00FB3AD2">
              <w:rPr>
                <w:rFonts w:cs="Calibri"/>
              </w:rPr>
              <w:t>Level 3</w:t>
            </w:r>
          </w:p>
        </w:tc>
        <w:tc>
          <w:tcPr>
            <w:tcW w:w="743" w:type="pct"/>
            <w:tcBorders>
              <w:top w:val="nil"/>
              <w:left w:val="nil"/>
              <w:bottom w:val="nil"/>
              <w:right w:val="nil"/>
            </w:tcBorders>
          </w:tcPr>
          <w:p w14:paraId="450208AF" w14:textId="7F072C1E" w:rsidR="00041268" w:rsidRPr="00FB3AD2" w:rsidRDefault="00041268" w:rsidP="00BA2D61">
            <w:pPr>
              <w:pStyle w:val="TableTitle"/>
              <w:tabs>
                <w:tab w:val="left" w:pos="3306"/>
              </w:tabs>
              <w:rPr>
                <w:rFonts w:cs="Calibri"/>
                <w:b w:val="0"/>
                <w:bCs w:val="0"/>
              </w:rPr>
            </w:pPr>
            <w:r w:rsidRPr="00FB3AD2">
              <w:rPr>
                <w:rFonts w:cs="Calibri"/>
              </w:rPr>
              <w:t>Total</w:t>
            </w:r>
          </w:p>
        </w:tc>
      </w:tr>
      <w:tr w:rsidR="00041268" w:rsidRPr="00CF7E1B" w14:paraId="6015087B" w14:textId="77777777" w:rsidTr="005F5B4C">
        <w:trPr>
          <w:cantSplit/>
          <w:trHeight w:val="23"/>
        </w:trPr>
        <w:tc>
          <w:tcPr>
            <w:tcW w:w="743" w:type="pct"/>
            <w:tcBorders>
              <w:top w:val="nil"/>
              <w:left w:val="single" w:sz="2" w:space="0" w:color="auto"/>
              <w:bottom w:val="nil"/>
              <w:right w:val="single" w:sz="2" w:space="0" w:color="auto"/>
            </w:tcBorders>
          </w:tcPr>
          <w:p w14:paraId="493AFBF7"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76E0FCAF" w14:textId="77777777" w:rsidR="00041268" w:rsidRPr="00FB3AD2" w:rsidRDefault="00041268" w:rsidP="000413C4">
            <w:pPr>
              <w:pStyle w:val="TableTitle"/>
              <w:tabs>
                <w:tab w:val="left" w:pos="3306"/>
              </w:tabs>
              <w:jc w:val="both"/>
              <w:rPr>
                <w:rFonts w:cs="Calibri"/>
                <w:b w:val="0"/>
                <w:bCs w:val="0"/>
              </w:rPr>
            </w:pPr>
          </w:p>
        </w:tc>
        <w:tc>
          <w:tcPr>
            <w:tcW w:w="742" w:type="pct"/>
            <w:tcBorders>
              <w:top w:val="nil"/>
              <w:left w:val="nil"/>
              <w:bottom w:val="nil"/>
              <w:right w:val="nil"/>
            </w:tcBorders>
          </w:tcPr>
          <w:p w14:paraId="3B6D84D6" w14:textId="069C3D7E" w:rsidR="00041268" w:rsidRPr="00FB3AD2" w:rsidRDefault="00041268" w:rsidP="000413C4">
            <w:pPr>
              <w:pStyle w:val="TableTitle"/>
              <w:tabs>
                <w:tab w:val="left" w:pos="3306"/>
              </w:tabs>
              <w:rPr>
                <w:rFonts w:cs="Calibri"/>
              </w:rPr>
            </w:pPr>
            <w:r w:rsidRPr="00FB3AD2">
              <w:rPr>
                <w:rFonts w:cs="Calibri"/>
              </w:rPr>
              <w:t>$’000</w:t>
            </w:r>
          </w:p>
        </w:tc>
        <w:tc>
          <w:tcPr>
            <w:tcW w:w="677" w:type="pct"/>
            <w:tcBorders>
              <w:top w:val="nil"/>
              <w:left w:val="nil"/>
              <w:bottom w:val="nil"/>
              <w:right w:val="nil"/>
            </w:tcBorders>
          </w:tcPr>
          <w:p w14:paraId="738DDF34" w14:textId="32EFCEBC" w:rsidR="00041268" w:rsidRPr="00FB3AD2" w:rsidRDefault="00041268" w:rsidP="000413C4">
            <w:pPr>
              <w:pStyle w:val="TableTitle"/>
              <w:tabs>
                <w:tab w:val="left" w:pos="3306"/>
              </w:tabs>
              <w:rPr>
                <w:rFonts w:cs="Calibri"/>
              </w:rPr>
            </w:pPr>
            <w:r w:rsidRPr="00FB3AD2">
              <w:rPr>
                <w:rFonts w:cs="Calibri"/>
              </w:rPr>
              <w:t>$’000</w:t>
            </w:r>
          </w:p>
        </w:tc>
        <w:tc>
          <w:tcPr>
            <w:tcW w:w="743" w:type="pct"/>
            <w:tcBorders>
              <w:top w:val="nil"/>
              <w:left w:val="nil"/>
              <w:bottom w:val="nil"/>
              <w:right w:val="nil"/>
            </w:tcBorders>
          </w:tcPr>
          <w:p w14:paraId="24B8C973" w14:textId="34DAD279" w:rsidR="00041268" w:rsidRPr="00FB3AD2" w:rsidRDefault="00041268" w:rsidP="000413C4">
            <w:pPr>
              <w:pStyle w:val="TableTitle"/>
              <w:tabs>
                <w:tab w:val="left" w:pos="3306"/>
              </w:tabs>
              <w:rPr>
                <w:rFonts w:cs="Calibri"/>
              </w:rPr>
            </w:pPr>
            <w:r w:rsidRPr="00FB3AD2">
              <w:rPr>
                <w:rFonts w:cs="Calibri"/>
              </w:rPr>
              <w:t>$’000</w:t>
            </w:r>
          </w:p>
        </w:tc>
      </w:tr>
      <w:tr w:rsidR="00041268" w:rsidRPr="00CF7E1B" w14:paraId="4291B10A" w14:textId="77777777" w:rsidTr="005F5B4C">
        <w:trPr>
          <w:cantSplit/>
          <w:trHeight w:val="23"/>
        </w:trPr>
        <w:tc>
          <w:tcPr>
            <w:tcW w:w="743" w:type="pct"/>
            <w:tcBorders>
              <w:top w:val="nil"/>
              <w:left w:val="single" w:sz="2" w:space="0" w:color="auto"/>
              <w:bottom w:val="nil"/>
              <w:right w:val="single" w:sz="2" w:space="0" w:color="auto"/>
            </w:tcBorders>
          </w:tcPr>
          <w:p w14:paraId="18C28F2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7AF9DF0B" w14:textId="557DEFAD" w:rsidR="00041268" w:rsidRPr="00FB3AD2" w:rsidRDefault="00041268" w:rsidP="000413C4">
            <w:pPr>
              <w:pStyle w:val="TableTitle"/>
              <w:tabs>
                <w:tab w:val="left" w:pos="3306"/>
              </w:tabs>
              <w:jc w:val="both"/>
              <w:rPr>
                <w:rFonts w:cs="Calibri"/>
                <w:b w:val="0"/>
                <w:bCs w:val="0"/>
              </w:rPr>
            </w:pPr>
            <w:r w:rsidRPr="00FB3AD2">
              <w:rPr>
                <w:rFonts w:cs="Calibri"/>
              </w:rPr>
              <w:t>2022</w:t>
            </w:r>
          </w:p>
        </w:tc>
        <w:tc>
          <w:tcPr>
            <w:tcW w:w="742" w:type="pct"/>
            <w:tcBorders>
              <w:top w:val="nil"/>
              <w:left w:val="nil"/>
              <w:bottom w:val="nil"/>
              <w:right w:val="nil"/>
            </w:tcBorders>
          </w:tcPr>
          <w:p w14:paraId="043FC251" w14:textId="1F28F15E" w:rsidR="00041268" w:rsidRPr="00FB3AD2" w:rsidRDefault="00041268" w:rsidP="000413C4">
            <w:pPr>
              <w:pStyle w:val="TableTitle"/>
              <w:tabs>
                <w:tab w:val="left" w:pos="3306"/>
              </w:tabs>
              <w:rPr>
                <w:rFonts w:cs="Calibri"/>
                <w:b w:val="0"/>
                <w:bCs w:val="0"/>
              </w:rPr>
            </w:pPr>
          </w:p>
        </w:tc>
        <w:tc>
          <w:tcPr>
            <w:tcW w:w="677" w:type="pct"/>
            <w:tcBorders>
              <w:top w:val="nil"/>
              <w:left w:val="nil"/>
              <w:bottom w:val="nil"/>
              <w:right w:val="nil"/>
            </w:tcBorders>
          </w:tcPr>
          <w:p w14:paraId="1D0E4CEF" w14:textId="7EC67950" w:rsidR="00041268" w:rsidRPr="00FB3AD2" w:rsidRDefault="00041268" w:rsidP="000413C4">
            <w:pPr>
              <w:pStyle w:val="TableTitle"/>
              <w:tabs>
                <w:tab w:val="left" w:pos="3306"/>
              </w:tabs>
              <w:rPr>
                <w:rFonts w:cs="Calibri"/>
                <w:b w:val="0"/>
                <w:bCs w:val="0"/>
              </w:rPr>
            </w:pPr>
          </w:p>
        </w:tc>
        <w:tc>
          <w:tcPr>
            <w:tcW w:w="743" w:type="pct"/>
            <w:tcBorders>
              <w:top w:val="nil"/>
              <w:left w:val="nil"/>
              <w:bottom w:val="nil"/>
              <w:right w:val="nil"/>
            </w:tcBorders>
          </w:tcPr>
          <w:p w14:paraId="48AA2672" w14:textId="741C5A70" w:rsidR="00041268" w:rsidRPr="00FB3AD2" w:rsidRDefault="00041268" w:rsidP="000413C4">
            <w:pPr>
              <w:pStyle w:val="TableTitle"/>
              <w:tabs>
                <w:tab w:val="left" w:pos="3306"/>
              </w:tabs>
              <w:rPr>
                <w:rFonts w:cs="Calibri"/>
                <w:b w:val="0"/>
                <w:bCs w:val="0"/>
              </w:rPr>
            </w:pPr>
          </w:p>
        </w:tc>
      </w:tr>
      <w:tr w:rsidR="00041268" w:rsidRPr="00CF7E1B" w14:paraId="7533A0E1" w14:textId="77777777" w:rsidTr="005F5B4C">
        <w:trPr>
          <w:cantSplit/>
          <w:trHeight w:val="23"/>
        </w:trPr>
        <w:tc>
          <w:tcPr>
            <w:tcW w:w="743" w:type="pct"/>
            <w:tcBorders>
              <w:top w:val="nil"/>
              <w:left w:val="single" w:sz="2" w:space="0" w:color="auto"/>
              <w:bottom w:val="nil"/>
              <w:right w:val="single" w:sz="2" w:space="0" w:color="auto"/>
            </w:tcBorders>
          </w:tcPr>
          <w:p w14:paraId="21B95166" w14:textId="77777777" w:rsidR="00041268" w:rsidRPr="00FB3AD2" w:rsidRDefault="00041268" w:rsidP="000413C4">
            <w:pPr>
              <w:pStyle w:val="TableReference"/>
              <w:tabs>
                <w:tab w:val="left" w:pos="3306"/>
              </w:tabs>
              <w:spacing w:before="40"/>
              <w:rPr>
                <w:rFonts w:cs="Calibri"/>
                <w:color w:val="7030A0"/>
                <w:sz w:val="14"/>
              </w:rPr>
            </w:pPr>
            <w:r w:rsidRPr="00FB3AD2">
              <w:rPr>
                <w:rFonts w:cs="Calibri"/>
                <w:color w:val="7030A0"/>
                <w:sz w:val="14"/>
              </w:rPr>
              <w:t>AASB 13.93(a)&amp;(b)</w:t>
            </w:r>
          </w:p>
          <w:p w14:paraId="5BBE1C42" w14:textId="5D746A5A" w:rsidR="00041268" w:rsidRPr="00FB3AD2" w:rsidRDefault="00041268" w:rsidP="000413C4">
            <w:pPr>
              <w:pStyle w:val="Reference"/>
              <w:rPr>
                <w:rFonts w:cs="Calibri"/>
                <w:color w:val="7030A0"/>
                <w:sz w:val="14"/>
                <w:szCs w:val="14"/>
              </w:rPr>
            </w:pPr>
            <w:r w:rsidRPr="00FB3AD2">
              <w:rPr>
                <w:rFonts w:cs="Calibri"/>
                <w:b w:val="0"/>
                <w:bCs w:val="0"/>
                <w:color w:val="7030A0"/>
                <w:sz w:val="14"/>
              </w:rPr>
              <w:t>AASB 13.94</w:t>
            </w:r>
          </w:p>
        </w:tc>
        <w:tc>
          <w:tcPr>
            <w:tcW w:w="2095" w:type="pct"/>
            <w:tcBorders>
              <w:top w:val="nil"/>
              <w:left w:val="single" w:sz="2" w:space="0" w:color="auto"/>
              <w:bottom w:val="nil"/>
              <w:right w:val="nil"/>
            </w:tcBorders>
          </w:tcPr>
          <w:p w14:paraId="274F0265" w14:textId="2E6F8B9E" w:rsidR="00041268" w:rsidRPr="00FB3AD2" w:rsidRDefault="00041268" w:rsidP="000413C4">
            <w:pPr>
              <w:pStyle w:val="TableTitle"/>
              <w:tabs>
                <w:tab w:val="left" w:pos="3306"/>
              </w:tabs>
              <w:jc w:val="both"/>
              <w:rPr>
                <w:rFonts w:cs="Calibri"/>
                <w:b w:val="0"/>
                <w:bCs w:val="0"/>
              </w:rPr>
            </w:pPr>
            <w:r w:rsidRPr="00FB3AD2">
              <w:t>Property, Plant and Equipment at Fair Value</w:t>
            </w:r>
          </w:p>
        </w:tc>
        <w:tc>
          <w:tcPr>
            <w:tcW w:w="742" w:type="pct"/>
            <w:tcBorders>
              <w:top w:val="nil"/>
              <w:left w:val="nil"/>
              <w:bottom w:val="nil"/>
              <w:right w:val="nil"/>
            </w:tcBorders>
          </w:tcPr>
          <w:p w14:paraId="47901B1C"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7E6CD730"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30883A5C" w14:textId="77777777" w:rsidR="00041268" w:rsidRPr="00FB3AD2" w:rsidRDefault="00041268" w:rsidP="000413C4">
            <w:pPr>
              <w:pStyle w:val="TableTitle"/>
              <w:tabs>
                <w:tab w:val="left" w:pos="3306"/>
              </w:tabs>
              <w:jc w:val="both"/>
              <w:rPr>
                <w:rFonts w:cs="Calibri"/>
                <w:b w:val="0"/>
                <w:bCs w:val="0"/>
              </w:rPr>
            </w:pPr>
          </w:p>
        </w:tc>
      </w:tr>
      <w:tr w:rsidR="00041268" w:rsidRPr="00CF7E1B" w14:paraId="4D11759F" w14:textId="77777777" w:rsidTr="005F5B4C">
        <w:trPr>
          <w:cantSplit/>
          <w:trHeight w:val="23"/>
        </w:trPr>
        <w:tc>
          <w:tcPr>
            <w:tcW w:w="743" w:type="pct"/>
            <w:tcBorders>
              <w:top w:val="nil"/>
              <w:left w:val="single" w:sz="2" w:space="0" w:color="auto"/>
              <w:bottom w:val="nil"/>
              <w:right w:val="single" w:sz="2" w:space="0" w:color="auto"/>
            </w:tcBorders>
          </w:tcPr>
          <w:p w14:paraId="186DDBDD"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499866E8" w14:textId="740D5434" w:rsidR="00041268" w:rsidRPr="00FB3AD2" w:rsidRDefault="00041268" w:rsidP="000413C4">
            <w:pPr>
              <w:pStyle w:val="TableTitle"/>
              <w:tabs>
                <w:tab w:val="left" w:pos="3306"/>
              </w:tabs>
              <w:jc w:val="both"/>
              <w:rPr>
                <w:rFonts w:cs="Calibri"/>
                <w:b w:val="0"/>
                <w:bCs w:val="0"/>
              </w:rPr>
            </w:pPr>
            <w:r w:rsidRPr="00FB3AD2">
              <w:rPr>
                <w:rFonts w:cs="Calibri"/>
                <w:b w:val="0"/>
                <w:bCs w:val="0"/>
              </w:rPr>
              <w:t>Land</w:t>
            </w:r>
          </w:p>
        </w:tc>
        <w:tc>
          <w:tcPr>
            <w:tcW w:w="742" w:type="pct"/>
            <w:tcBorders>
              <w:top w:val="nil"/>
              <w:left w:val="nil"/>
              <w:bottom w:val="nil"/>
              <w:right w:val="nil"/>
            </w:tcBorders>
          </w:tcPr>
          <w:p w14:paraId="70F36803"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44EA281C"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6119F19" w14:textId="77777777" w:rsidR="00041268" w:rsidRPr="00FB3AD2" w:rsidRDefault="00041268" w:rsidP="000413C4">
            <w:pPr>
              <w:pStyle w:val="TableTitle"/>
              <w:tabs>
                <w:tab w:val="left" w:pos="3306"/>
              </w:tabs>
              <w:jc w:val="both"/>
              <w:rPr>
                <w:rFonts w:cs="Calibri"/>
                <w:b w:val="0"/>
                <w:bCs w:val="0"/>
              </w:rPr>
            </w:pPr>
          </w:p>
        </w:tc>
      </w:tr>
      <w:tr w:rsidR="00041268" w:rsidRPr="00CF7E1B" w14:paraId="5BA4CB5B" w14:textId="77777777" w:rsidTr="005F5B4C">
        <w:trPr>
          <w:cantSplit/>
          <w:trHeight w:val="23"/>
        </w:trPr>
        <w:tc>
          <w:tcPr>
            <w:tcW w:w="743" w:type="pct"/>
            <w:tcBorders>
              <w:top w:val="nil"/>
              <w:left w:val="single" w:sz="2" w:space="0" w:color="auto"/>
              <w:bottom w:val="nil"/>
              <w:right w:val="single" w:sz="2" w:space="0" w:color="auto"/>
            </w:tcBorders>
          </w:tcPr>
          <w:p w14:paraId="6ED215B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0C988725" w14:textId="4933CAAD" w:rsidR="00041268" w:rsidRPr="00FB3AD2" w:rsidRDefault="00041268" w:rsidP="000413C4">
            <w:pPr>
              <w:pStyle w:val="TableTitle"/>
              <w:tabs>
                <w:tab w:val="left" w:pos="3306"/>
              </w:tabs>
              <w:jc w:val="both"/>
              <w:rPr>
                <w:rFonts w:cs="Calibri"/>
                <w:b w:val="0"/>
                <w:bCs w:val="0"/>
              </w:rPr>
            </w:pPr>
            <w:r w:rsidRPr="00FB3AD2">
              <w:rPr>
                <w:rFonts w:cs="Calibri"/>
                <w:b w:val="0"/>
                <w:bCs w:val="0"/>
              </w:rPr>
              <w:t>Buildings</w:t>
            </w:r>
          </w:p>
        </w:tc>
        <w:tc>
          <w:tcPr>
            <w:tcW w:w="742" w:type="pct"/>
            <w:tcBorders>
              <w:top w:val="nil"/>
              <w:left w:val="nil"/>
              <w:bottom w:val="nil"/>
              <w:right w:val="nil"/>
            </w:tcBorders>
          </w:tcPr>
          <w:p w14:paraId="5FBEFF0A"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3D4B10B4"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03CC9CB7" w14:textId="77777777" w:rsidR="00041268" w:rsidRPr="00FB3AD2" w:rsidRDefault="00041268" w:rsidP="000413C4">
            <w:pPr>
              <w:pStyle w:val="TableTitle"/>
              <w:tabs>
                <w:tab w:val="left" w:pos="3306"/>
              </w:tabs>
              <w:jc w:val="both"/>
              <w:rPr>
                <w:rFonts w:cs="Calibri"/>
                <w:b w:val="0"/>
                <w:bCs w:val="0"/>
              </w:rPr>
            </w:pPr>
          </w:p>
        </w:tc>
      </w:tr>
      <w:tr w:rsidR="00041268" w:rsidRPr="00CF7E1B" w14:paraId="00CB1AC4" w14:textId="77777777" w:rsidTr="005F5B4C">
        <w:trPr>
          <w:cantSplit/>
          <w:trHeight w:val="23"/>
        </w:trPr>
        <w:tc>
          <w:tcPr>
            <w:tcW w:w="743" w:type="pct"/>
            <w:tcBorders>
              <w:top w:val="nil"/>
              <w:left w:val="single" w:sz="2" w:space="0" w:color="auto"/>
              <w:bottom w:val="nil"/>
              <w:right w:val="single" w:sz="2" w:space="0" w:color="auto"/>
            </w:tcBorders>
          </w:tcPr>
          <w:p w14:paraId="221BB25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1B96149E" w14:textId="63DAC537" w:rsidR="00041268" w:rsidRPr="00FB3AD2" w:rsidRDefault="00041268" w:rsidP="000413C4">
            <w:pPr>
              <w:pStyle w:val="TableTitle"/>
              <w:tabs>
                <w:tab w:val="left" w:pos="3306"/>
              </w:tabs>
              <w:jc w:val="both"/>
              <w:rPr>
                <w:rFonts w:cs="Calibri"/>
                <w:b w:val="0"/>
                <w:bCs w:val="0"/>
              </w:rPr>
            </w:pPr>
            <w:r w:rsidRPr="00FB3AD2">
              <w:rPr>
                <w:rFonts w:cs="Calibri"/>
                <w:b w:val="0"/>
                <w:bCs w:val="0"/>
              </w:rPr>
              <w:t>Leasehold Improvements</w:t>
            </w:r>
          </w:p>
        </w:tc>
        <w:tc>
          <w:tcPr>
            <w:tcW w:w="742" w:type="pct"/>
            <w:tcBorders>
              <w:top w:val="nil"/>
              <w:left w:val="nil"/>
              <w:bottom w:val="nil"/>
              <w:right w:val="nil"/>
            </w:tcBorders>
          </w:tcPr>
          <w:p w14:paraId="41EDF823"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61553C9E"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1E035470" w14:textId="77777777" w:rsidR="00041268" w:rsidRPr="00FB3AD2" w:rsidRDefault="00041268" w:rsidP="000413C4">
            <w:pPr>
              <w:pStyle w:val="TableTitle"/>
              <w:tabs>
                <w:tab w:val="left" w:pos="3306"/>
              </w:tabs>
              <w:jc w:val="both"/>
              <w:rPr>
                <w:rFonts w:cs="Calibri"/>
                <w:b w:val="0"/>
                <w:bCs w:val="0"/>
              </w:rPr>
            </w:pPr>
          </w:p>
        </w:tc>
      </w:tr>
      <w:tr w:rsidR="00041268" w:rsidRPr="00CF7E1B" w14:paraId="239357E1" w14:textId="77777777" w:rsidTr="005F5B4C">
        <w:trPr>
          <w:cantSplit/>
          <w:trHeight w:val="23"/>
        </w:trPr>
        <w:tc>
          <w:tcPr>
            <w:tcW w:w="743" w:type="pct"/>
            <w:tcBorders>
              <w:top w:val="nil"/>
              <w:left w:val="single" w:sz="2" w:space="0" w:color="auto"/>
              <w:bottom w:val="nil"/>
              <w:right w:val="single" w:sz="2" w:space="0" w:color="auto"/>
            </w:tcBorders>
          </w:tcPr>
          <w:p w14:paraId="7AE0E1C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041E02A" w14:textId="6171AD65" w:rsidR="00041268" w:rsidRPr="00FB3AD2" w:rsidRDefault="00041268" w:rsidP="000413C4">
            <w:pPr>
              <w:pStyle w:val="TableTitle"/>
              <w:tabs>
                <w:tab w:val="left" w:pos="3306"/>
              </w:tabs>
              <w:jc w:val="both"/>
              <w:rPr>
                <w:rFonts w:cs="Calibri"/>
                <w:b w:val="0"/>
                <w:bCs w:val="0"/>
              </w:rPr>
            </w:pPr>
            <w:r w:rsidRPr="00FB3AD2">
              <w:rPr>
                <w:rFonts w:cs="Calibri"/>
                <w:b w:val="0"/>
                <w:bCs w:val="0"/>
              </w:rPr>
              <w:t>Infrastructure Assets</w:t>
            </w:r>
          </w:p>
        </w:tc>
        <w:tc>
          <w:tcPr>
            <w:tcW w:w="742" w:type="pct"/>
            <w:tcBorders>
              <w:top w:val="nil"/>
              <w:left w:val="nil"/>
              <w:bottom w:val="nil"/>
              <w:right w:val="nil"/>
            </w:tcBorders>
          </w:tcPr>
          <w:p w14:paraId="5D2BF24E"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79FB907F"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42E34322" w14:textId="77777777" w:rsidR="00041268" w:rsidRPr="00FB3AD2" w:rsidRDefault="00041268" w:rsidP="000413C4">
            <w:pPr>
              <w:pStyle w:val="TableTitle"/>
              <w:tabs>
                <w:tab w:val="left" w:pos="3306"/>
              </w:tabs>
              <w:jc w:val="both"/>
              <w:rPr>
                <w:rFonts w:cs="Calibri"/>
                <w:b w:val="0"/>
                <w:bCs w:val="0"/>
              </w:rPr>
            </w:pPr>
          </w:p>
        </w:tc>
      </w:tr>
      <w:tr w:rsidR="00041268" w:rsidRPr="00CF7E1B" w14:paraId="72D93E30" w14:textId="77777777" w:rsidTr="005F5B4C">
        <w:trPr>
          <w:cantSplit/>
          <w:trHeight w:val="23"/>
        </w:trPr>
        <w:tc>
          <w:tcPr>
            <w:tcW w:w="743" w:type="pct"/>
            <w:tcBorders>
              <w:top w:val="nil"/>
              <w:left w:val="single" w:sz="2" w:space="0" w:color="auto"/>
              <w:bottom w:val="nil"/>
              <w:right w:val="single" w:sz="2" w:space="0" w:color="auto"/>
            </w:tcBorders>
          </w:tcPr>
          <w:p w14:paraId="6317892A"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18F5F557" w14:textId="0A8A1AD0" w:rsidR="00041268" w:rsidRPr="00FB3AD2" w:rsidRDefault="00041268" w:rsidP="000413C4">
            <w:pPr>
              <w:pStyle w:val="TableTitle"/>
              <w:tabs>
                <w:tab w:val="left" w:pos="3306"/>
              </w:tabs>
              <w:jc w:val="both"/>
              <w:rPr>
                <w:rFonts w:cs="Calibri"/>
                <w:b w:val="0"/>
                <w:bCs w:val="0"/>
              </w:rPr>
            </w:pPr>
            <w:r w:rsidRPr="00FB3AD2">
              <w:rPr>
                <w:rFonts w:cs="Calibri"/>
                <w:b w:val="0"/>
                <w:bCs w:val="0"/>
              </w:rPr>
              <w:t>Community and Heritage Assets</w:t>
            </w:r>
          </w:p>
        </w:tc>
        <w:tc>
          <w:tcPr>
            <w:tcW w:w="742" w:type="pct"/>
            <w:tcBorders>
              <w:top w:val="nil"/>
              <w:left w:val="nil"/>
              <w:bottom w:val="single" w:sz="2" w:space="0" w:color="auto"/>
              <w:right w:val="nil"/>
            </w:tcBorders>
          </w:tcPr>
          <w:p w14:paraId="3FA6DB1A"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single" w:sz="2" w:space="0" w:color="auto"/>
              <w:right w:val="nil"/>
            </w:tcBorders>
          </w:tcPr>
          <w:p w14:paraId="7F305480"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single" w:sz="2" w:space="0" w:color="auto"/>
              <w:right w:val="nil"/>
            </w:tcBorders>
          </w:tcPr>
          <w:p w14:paraId="7C26AD74" w14:textId="77777777" w:rsidR="00041268" w:rsidRPr="00FB3AD2" w:rsidRDefault="00041268" w:rsidP="000413C4">
            <w:pPr>
              <w:pStyle w:val="TableTitle"/>
              <w:tabs>
                <w:tab w:val="left" w:pos="3306"/>
              </w:tabs>
              <w:jc w:val="both"/>
              <w:rPr>
                <w:rFonts w:cs="Calibri"/>
                <w:b w:val="0"/>
                <w:bCs w:val="0"/>
              </w:rPr>
            </w:pPr>
          </w:p>
        </w:tc>
      </w:tr>
      <w:tr w:rsidR="00041268" w:rsidRPr="00CF7E1B" w14:paraId="7FE3B209" w14:textId="77777777" w:rsidTr="005F5B4C">
        <w:trPr>
          <w:cantSplit/>
          <w:trHeight w:val="23"/>
        </w:trPr>
        <w:tc>
          <w:tcPr>
            <w:tcW w:w="743" w:type="pct"/>
            <w:tcBorders>
              <w:top w:val="nil"/>
              <w:left w:val="single" w:sz="2" w:space="0" w:color="auto"/>
              <w:bottom w:val="nil"/>
              <w:right w:val="single" w:sz="2" w:space="0" w:color="auto"/>
            </w:tcBorders>
          </w:tcPr>
          <w:p w14:paraId="0FA425E3"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74E387D" w14:textId="77777777" w:rsidR="00041268" w:rsidRPr="00FB3AD2" w:rsidRDefault="00041268" w:rsidP="000413C4">
            <w:pPr>
              <w:pStyle w:val="TableTitle"/>
              <w:tabs>
                <w:tab w:val="left" w:pos="3306"/>
              </w:tabs>
              <w:jc w:val="both"/>
              <w:rPr>
                <w:rFonts w:cs="Calibri"/>
                <w:b w:val="0"/>
                <w:bCs w:val="0"/>
              </w:rPr>
            </w:pPr>
          </w:p>
        </w:tc>
        <w:tc>
          <w:tcPr>
            <w:tcW w:w="742" w:type="pct"/>
            <w:tcBorders>
              <w:top w:val="single" w:sz="2" w:space="0" w:color="auto"/>
              <w:left w:val="nil"/>
              <w:bottom w:val="single" w:sz="2" w:space="0" w:color="auto"/>
              <w:right w:val="nil"/>
            </w:tcBorders>
          </w:tcPr>
          <w:p w14:paraId="094E736A" w14:textId="77777777" w:rsidR="00041268" w:rsidRPr="00FB3AD2" w:rsidRDefault="00041268" w:rsidP="000413C4">
            <w:pPr>
              <w:pStyle w:val="TableTitle"/>
              <w:tabs>
                <w:tab w:val="left" w:pos="3306"/>
              </w:tabs>
              <w:jc w:val="both"/>
              <w:rPr>
                <w:rFonts w:cs="Calibri"/>
                <w:b w:val="0"/>
                <w:bCs w:val="0"/>
              </w:rPr>
            </w:pPr>
          </w:p>
        </w:tc>
        <w:tc>
          <w:tcPr>
            <w:tcW w:w="677" w:type="pct"/>
            <w:tcBorders>
              <w:top w:val="single" w:sz="2" w:space="0" w:color="auto"/>
              <w:left w:val="nil"/>
              <w:bottom w:val="single" w:sz="2" w:space="0" w:color="auto"/>
              <w:right w:val="nil"/>
            </w:tcBorders>
          </w:tcPr>
          <w:p w14:paraId="21AE527F" w14:textId="77777777" w:rsidR="00041268" w:rsidRPr="00FB3AD2" w:rsidRDefault="00041268" w:rsidP="000413C4">
            <w:pPr>
              <w:pStyle w:val="TableTitle"/>
              <w:tabs>
                <w:tab w:val="left" w:pos="3306"/>
              </w:tabs>
              <w:jc w:val="both"/>
              <w:rPr>
                <w:rFonts w:cs="Calibri"/>
                <w:b w:val="0"/>
                <w:bCs w:val="0"/>
              </w:rPr>
            </w:pPr>
          </w:p>
        </w:tc>
        <w:tc>
          <w:tcPr>
            <w:tcW w:w="743" w:type="pct"/>
            <w:tcBorders>
              <w:top w:val="single" w:sz="2" w:space="0" w:color="auto"/>
              <w:left w:val="nil"/>
              <w:bottom w:val="single" w:sz="2" w:space="0" w:color="auto"/>
              <w:right w:val="nil"/>
            </w:tcBorders>
          </w:tcPr>
          <w:p w14:paraId="379F9353" w14:textId="77777777" w:rsidR="00041268" w:rsidRPr="00FB3AD2" w:rsidRDefault="00041268" w:rsidP="000413C4">
            <w:pPr>
              <w:pStyle w:val="TableTitle"/>
              <w:tabs>
                <w:tab w:val="left" w:pos="3306"/>
              </w:tabs>
              <w:jc w:val="both"/>
              <w:rPr>
                <w:rFonts w:cs="Calibri"/>
                <w:b w:val="0"/>
                <w:bCs w:val="0"/>
              </w:rPr>
            </w:pPr>
          </w:p>
        </w:tc>
      </w:tr>
      <w:tr w:rsidR="00041268" w:rsidRPr="00CF7E1B" w14:paraId="1F2806AB" w14:textId="77777777" w:rsidTr="005F5B4C">
        <w:trPr>
          <w:cantSplit/>
          <w:trHeight w:val="23"/>
        </w:trPr>
        <w:tc>
          <w:tcPr>
            <w:tcW w:w="743" w:type="pct"/>
            <w:tcBorders>
              <w:top w:val="nil"/>
              <w:left w:val="single" w:sz="2" w:space="0" w:color="auto"/>
              <w:bottom w:val="nil"/>
              <w:right w:val="single" w:sz="2" w:space="0" w:color="auto"/>
            </w:tcBorders>
          </w:tcPr>
          <w:p w14:paraId="5CE40836"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331BD9FB" w14:textId="0761B8B8" w:rsidR="00041268" w:rsidRPr="00FB3AD2" w:rsidRDefault="00041268" w:rsidP="000413C4">
            <w:pPr>
              <w:pStyle w:val="TableTitle"/>
              <w:tabs>
                <w:tab w:val="left" w:pos="3306"/>
              </w:tabs>
              <w:jc w:val="both"/>
              <w:rPr>
                <w:rFonts w:cs="Calibri"/>
                <w:b w:val="0"/>
                <w:bCs w:val="0"/>
              </w:rPr>
            </w:pPr>
            <w:r w:rsidRPr="00FB3AD2">
              <w:rPr>
                <w:rStyle w:val="Hyperlink"/>
                <w:rFonts w:cs="Calibri"/>
                <w:color w:val="auto"/>
                <w:u w:val="none"/>
              </w:rPr>
              <w:t>2021</w:t>
            </w:r>
          </w:p>
        </w:tc>
        <w:tc>
          <w:tcPr>
            <w:tcW w:w="742" w:type="pct"/>
            <w:tcBorders>
              <w:top w:val="single" w:sz="2" w:space="0" w:color="auto"/>
              <w:left w:val="nil"/>
              <w:bottom w:val="nil"/>
              <w:right w:val="nil"/>
            </w:tcBorders>
          </w:tcPr>
          <w:p w14:paraId="11758FFA" w14:textId="55B58496" w:rsidR="00041268" w:rsidRPr="00FB3AD2" w:rsidRDefault="00041268" w:rsidP="000413C4">
            <w:pPr>
              <w:pStyle w:val="TableTitle"/>
              <w:tabs>
                <w:tab w:val="left" w:pos="3306"/>
              </w:tabs>
              <w:rPr>
                <w:rFonts w:cs="Calibri"/>
                <w:b w:val="0"/>
                <w:bCs w:val="0"/>
                <w:strike/>
              </w:rPr>
            </w:pPr>
          </w:p>
        </w:tc>
        <w:tc>
          <w:tcPr>
            <w:tcW w:w="677" w:type="pct"/>
            <w:tcBorders>
              <w:top w:val="single" w:sz="2" w:space="0" w:color="auto"/>
              <w:left w:val="nil"/>
              <w:bottom w:val="nil"/>
              <w:right w:val="nil"/>
            </w:tcBorders>
          </w:tcPr>
          <w:p w14:paraId="6621144D" w14:textId="1D9A0835" w:rsidR="00041268" w:rsidRPr="00FB3AD2" w:rsidRDefault="00041268" w:rsidP="000413C4">
            <w:pPr>
              <w:pStyle w:val="TableTitle"/>
              <w:tabs>
                <w:tab w:val="left" w:pos="3306"/>
              </w:tabs>
              <w:rPr>
                <w:rFonts w:cs="Calibri"/>
                <w:b w:val="0"/>
                <w:bCs w:val="0"/>
                <w:strike/>
              </w:rPr>
            </w:pPr>
          </w:p>
        </w:tc>
        <w:tc>
          <w:tcPr>
            <w:tcW w:w="743" w:type="pct"/>
            <w:tcBorders>
              <w:top w:val="single" w:sz="2" w:space="0" w:color="auto"/>
              <w:left w:val="nil"/>
              <w:bottom w:val="nil"/>
              <w:right w:val="nil"/>
            </w:tcBorders>
          </w:tcPr>
          <w:p w14:paraId="1E14CDCD" w14:textId="54E62EB0" w:rsidR="00041268" w:rsidRPr="00FB3AD2" w:rsidRDefault="00041268" w:rsidP="000413C4">
            <w:pPr>
              <w:pStyle w:val="TableTitle"/>
              <w:tabs>
                <w:tab w:val="left" w:pos="3306"/>
              </w:tabs>
              <w:rPr>
                <w:rFonts w:cs="Calibri"/>
                <w:strike/>
              </w:rPr>
            </w:pPr>
          </w:p>
        </w:tc>
      </w:tr>
      <w:tr w:rsidR="00041268" w:rsidRPr="00CF7E1B" w14:paraId="320E6561" w14:textId="77777777" w:rsidTr="005F5B4C">
        <w:trPr>
          <w:cantSplit/>
          <w:trHeight w:val="23"/>
        </w:trPr>
        <w:tc>
          <w:tcPr>
            <w:tcW w:w="743" w:type="pct"/>
            <w:tcBorders>
              <w:top w:val="nil"/>
              <w:left w:val="single" w:sz="2" w:space="0" w:color="auto"/>
              <w:bottom w:val="nil"/>
              <w:right w:val="single" w:sz="2" w:space="0" w:color="auto"/>
            </w:tcBorders>
          </w:tcPr>
          <w:p w14:paraId="5E2301E7" w14:textId="77777777" w:rsidR="00041268" w:rsidRPr="00FB3AD2" w:rsidRDefault="00041268" w:rsidP="000413C4">
            <w:pPr>
              <w:pStyle w:val="TableReference"/>
              <w:tabs>
                <w:tab w:val="left" w:pos="3306"/>
              </w:tabs>
              <w:spacing w:before="40"/>
              <w:rPr>
                <w:rFonts w:cs="Calibri"/>
                <w:color w:val="7030A0"/>
                <w:sz w:val="14"/>
              </w:rPr>
            </w:pPr>
            <w:r w:rsidRPr="00FB3AD2">
              <w:rPr>
                <w:rFonts w:cs="Calibri"/>
                <w:color w:val="7030A0"/>
                <w:sz w:val="14"/>
              </w:rPr>
              <w:t>AASB 13.93(a)&amp;(b)</w:t>
            </w:r>
          </w:p>
          <w:p w14:paraId="3620964F" w14:textId="6A93F8ED" w:rsidR="00041268" w:rsidRPr="00FB3AD2" w:rsidRDefault="00041268" w:rsidP="000413C4">
            <w:pPr>
              <w:pStyle w:val="TableReference"/>
              <w:tabs>
                <w:tab w:val="left" w:pos="3306"/>
              </w:tabs>
              <w:spacing w:before="40"/>
              <w:rPr>
                <w:rFonts w:cs="Calibri"/>
                <w:color w:val="7030A0"/>
                <w:sz w:val="14"/>
              </w:rPr>
            </w:pPr>
            <w:r w:rsidRPr="00FB3AD2">
              <w:rPr>
                <w:rFonts w:cs="Calibri"/>
                <w:color w:val="7030A0"/>
                <w:sz w:val="14"/>
              </w:rPr>
              <w:t>AASB 13.94</w:t>
            </w:r>
          </w:p>
        </w:tc>
        <w:tc>
          <w:tcPr>
            <w:tcW w:w="2095" w:type="pct"/>
            <w:tcBorders>
              <w:top w:val="nil"/>
              <w:left w:val="single" w:sz="2" w:space="0" w:color="auto"/>
              <w:bottom w:val="nil"/>
              <w:right w:val="nil"/>
            </w:tcBorders>
            <w:vAlign w:val="center"/>
          </w:tcPr>
          <w:p w14:paraId="1B3336DC" w14:textId="20662E0A" w:rsidR="00041268" w:rsidRPr="00FB3AD2" w:rsidRDefault="00041268" w:rsidP="000413C4">
            <w:pPr>
              <w:pStyle w:val="TableTitle"/>
              <w:tabs>
                <w:tab w:val="left" w:pos="3306"/>
              </w:tabs>
              <w:jc w:val="left"/>
              <w:rPr>
                <w:rFonts w:cs="Calibri"/>
                <w:b w:val="0"/>
                <w:bCs w:val="0"/>
              </w:rPr>
            </w:pPr>
            <w:r w:rsidRPr="00FB3AD2">
              <w:rPr>
                <w:rStyle w:val="Hyperlink"/>
                <w:rFonts w:cs="Calibri"/>
                <w:color w:val="auto"/>
                <w:u w:val="none"/>
              </w:rPr>
              <w:t>Property, Plant and Equipment at Fair Value</w:t>
            </w:r>
          </w:p>
        </w:tc>
        <w:tc>
          <w:tcPr>
            <w:tcW w:w="742" w:type="pct"/>
            <w:tcBorders>
              <w:top w:val="nil"/>
              <w:left w:val="nil"/>
              <w:bottom w:val="nil"/>
              <w:right w:val="nil"/>
            </w:tcBorders>
          </w:tcPr>
          <w:p w14:paraId="35DDE317" w14:textId="0376077B" w:rsidR="00041268" w:rsidRPr="00FB3AD2" w:rsidRDefault="00041268" w:rsidP="000413C4">
            <w:pPr>
              <w:pStyle w:val="TableTitle"/>
              <w:tabs>
                <w:tab w:val="left" w:pos="3306"/>
              </w:tabs>
              <w:rPr>
                <w:rFonts w:cs="Calibri"/>
                <w:b w:val="0"/>
                <w:bCs w:val="0"/>
                <w:strike/>
              </w:rPr>
            </w:pPr>
          </w:p>
        </w:tc>
        <w:tc>
          <w:tcPr>
            <w:tcW w:w="677" w:type="pct"/>
            <w:tcBorders>
              <w:top w:val="nil"/>
              <w:left w:val="nil"/>
              <w:bottom w:val="nil"/>
              <w:right w:val="nil"/>
            </w:tcBorders>
          </w:tcPr>
          <w:p w14:paraId="1C5DBACE" w14:textId="6FDB9379" w:rsidR="00041268" w:rsidRPr="00FB3AD2" w:rsidRDefault="00041268" w:rsidP="000413C4">
            <w:pPr>
              <w:pStyle w:val="TableTitle"/>
              <w:tabs>
                <w:tab w:val="left" w:pos="3306"/>
              </w:tabs>
              <w:rPr>
                <w:rFonts w:cs="Calibri"/>
                <w:b w:val="0"/>
                <w:bCs w:val="0"/>
                <w:strike/>
              </w:rPr>
            </w:pPr>
          </w:p>
        </w:tc>
        <w:tc>
          <w:tcPr>
            <w:tcW w:w="743" w:type="pct"/>
            <w:tcBorders>
              <w:top w:val="nil"/>
              <w:left w:val="nil"/>
              <w:bottom w:val="nil"/>
              <w:right w:val="nil"/>
            </w:tcBorders>
          </w:tcPr>
          <w:p w14:paraId="52D43552" w14:textId="39398CCE" w:rsidR="00041268" w:rsidRPr="00FB3AD2" w:rsidRDefault="00041268" w:rsidP="000413C4">
            <w:pPr>
              <w:pStyle w:val="TableTitle"/>
              <w:tabs>
                <w:tab w:val="left" w:pos="3306"/>
              </w:tabs>
              <w:rPr>
                <w:rFonts w:cs="Calibri"/>
                <w:b w:val="0"/>
                <w:bCs w:val="0"/>
                <w:strike/>
              </w:rPr>
            </w:pPr>
          </w:p>
        </w:tc>
      </w:tr>
      <w:tr w:rsidR="00041268" w:rsidRPr="00CF7E1B" w14:paraId="32B9829E" w14:textId="77777777" w:rsidTr="005F5B4C">
        <w:trPr>
          <w:cantSplit/>
          <w:trHeight w:val="23"/>
        </w:trPr>
        <w:tc>
          <w:tcPr>
            <w:tcW w:w="743" w:type="pct"/>
            <w:tcBorders>
              <w:top w:val="nil"/>
              <w:left w:val="single" w:sz="2" w:space="0" w:color="auto"/>
              <w:bottom w:val="nil"/>
              <w:right w:val="single" w:sz="2" w:space="0" w:color="auto"/>
            </w:tcBorders>
          </w:tcPr>
          <w:p w14:paraId="2572D8DB"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41F6202D" w14:textId="1B4F1C0A" w:rsidR="00041268" w:rsidRPr="00FB3AD2" w:rsidRDefault="00041268" w:rsidP="000413C4">
            <w:pPr>
              <w:pStyle w:val="TableTitle"/>
              <w:tabs>
                <w:tab w:val="left" w:pos="3306"/>
              </w:tabs>
              <w:jc w:val="both"/>
              <w:rPr>
                <w:rFonts w:cs="Calibri"/>
                <w:b w:val="0"/>
                <w:bCs w:val="0"/>
              </w:rPr>
            </w:pPr>
            <w:r w:rsidRPr="00FB3AD2">
              <w:rPr>
                <w:b w:val="0"/>
                <w:bCs w:val="0"/>
              </w:rPr>
              <w:t>Land</w:t>
            </w:r>
          </w:p>
        </w:tc>
        <w:tc>
          <w:tcPr>
            <w:tcW w:w="742" w:type="pct"/>
            <w:tcBorders>
              <w:top w:val="nil"/>
              <w:left w:val="nil"/>
              <w:bottom w:val="nil"/>
              <w:right w:val="nil"/>
            </w:tcBorders>
          </w:tcPr>
          <w:p w14:paraId="3B8A0520"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38F36BFA"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D821701" w14:textId="77777777" w:rsidR="00041268" w:rsidRPr="00FB3AD2" w:rsidRDefault="00041268" w:rsidP="000413C4">
            <w:pPr>
              <w:pStyle w:val="TableTitle"/>
              <w:tabs>
                <w:tab w:val="left" w:pos="3306"/>
              </w:tabs>
              <w:jc w:val="both"/>
              <w:rPr>
                <w:rFonts w:cs="Calibri"/>
                <w:b w:val="0"/>
                <w:bCs w:val="0"/>
              </w:rPr>
            </w:pPr>
          </w:p>
        </w:tc>
      </w:tr>
      <w:tr w:rsidR="00041268" w:rsidRPr="00CF7E1B" w14:paraId="6F30B044" w14:textId="77777777" w:rsidTr="005F5B4C">
        <w:trPr>
          <w:cantSplit/>
          <w:trHeight w:val="23"/>
        </w:trPr>
        <w:tc>
          <w:tcPr>
            <w:tcW w:w="743" w:type="pct"/>
            <w:tcBorders>
              <w:top w:val="nil"/>
              <w:left w:val="single" w:sz="2" w:space="0" w:color="auto"/>
              <w:bottom w:val="nil"/>
              <w:right w:val="single" w:sz="2" w:space="0" w:color="auto"/>
            </w:tcBorders>
          </w:tcPr>
          <w:p w14:paraId="4B7AAD00"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3C4BA773" w14:textId="67AA30E4" w:rsidR="00041268" w:rsidRPr="00FB3AD2" w:rsidRDefault="00041268" w:rsidP="000413C4">
            <w:pPr>
              <w:pStyle w:val="TableTitle"/>
              <w:tabs>
                <w:tab w:val="left" w:pos="3306"/>
              </w:tabs>
              <w:jc w:val="both"/>
              <w:rPr>
                <w:rFonts w:cs="Calibri"/>
                <w:b w:val="0"/>
                <w:bCs w:val="0"/>
              </w:rPr>
            </w:pPr>
            <w:r w:rsidRPr="00FB3AD2">
              <w:rPr>
                <w:b w:val="0"/>
                <w:bCs w:val="0"/>
              </w:rPr>
              <w:t>Buildings</w:t>
            </w:r>
          </w:p>
        </w:tc>
        <w:tc>
          <w:tcPr>
            <w:tcW w:w="742" w:type="pct"/>
            <w:tcBorders>
              <w:top w:val="nil"/>
              <w:left w:val="nil"/>
              <w:bottom w:val="nil"/>
              <w:right w:val="nil"/>
            </w:tcBorders>
          </w:tcPr>
          <w:p w14:paraId="37E6D34D"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2D4512FB"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4DF5F123" w14:textId="77777777" w:rsidR="00041268" w:rsidRPr="00FB3AD2" w:rsidRDefault="00041268" w:rsidP="000413C4">
            <w:pPr>
              <w:pStyle w:val="TableTitle"/>
              <w:tabs>
                <w:tab w:val="left" w:pos="3306"/>
              </w:tabs>
              <w:jc w:val="both"/>
              <w:rPr>
                <w:rFonts w:cs="Calibri"/>
                <w:b w:val="0"/>
                <w:bCs w:val="0"/>
              </w:rPr>
            </w:pPr>
          </w:p>
        </w:tc>
      </w:tr>
      <w:tr w:rsidR="00041268" w:rsidRPr="00CF7E1B" w14:paraId="4C078031" w14:textId="77777777" w:rsidTr="005F5B4C">
        <w:trPr>
          <w:cantSplit/>
          <w:trHeight w:val="23"/>
        </w:trPr>
        <w:tc>
          <w:tcPr>
            <w:tcW w:w="743" w:type="pct"/>
            <w:tcBorders>
              <w:top w:val="nil"/>
              <w:left w:val="single" w:sz="2" w:space="0" w:color="auto"/>
              <w:bottom w:val="nil"/>
              <w:right w:val="single" w:sz="2" w:space="0" w:color="auto"/>
            </w:tcBorders>
          </w:tcPr>
          <w:p w14:paraId="61EBC4F0"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CEF0D45" w14:textId="1BE3A4FD" w:rsidR="00041268" w:rsidRPr="00FB3AD2" w:rsidRDefault="00041268" w:rsidP="000413C4">
            <w:pPr>
              <w:pStyle w:val="TableTitle"/>
              <w:tabs>
                <w:tab w:val="left" w:pos="3306"/>
              </w:tabs>
              <w:jc w:val="both"/>
              <w:rPr>
                <w:rFonts w:cs="Calibri"/>
                <w:b w:val="0"/>
                <w:bCs w:val="0"/>
              </w:rPr>
            </w:pPr>
            <w:r w:rsidRPr="00FB3AD2">
              <w:rPr>
                <w:b w:val="0"/>
                <w:bCs w:val="0"/>
              </w:rPr>
              <w:t>Leasehold Improvements</w:t>
            </w:r>
          </w:p>
        </w:tc>
        <w:tc>
          <w:tcPr>
            <w:tcW w:w="742" w:type="pct"/>
            <w:tcBorders>
              <w:top w:val="nil"/>
              <w:left w:val="nil"/>
              <w:bottom w:val="nil"/>
              <w:right w:val="nil"/>
            </w:tcBorders>
          </w:tcPr>
          <w:p w14:paraId="59B02A57"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5655430A"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1FF9C501" w14:textId="77777777" w:rsidR="00041268" w:rsidRPr="00FB3AD2" w:rsidRDefault="00041268" w:rsidP="000413C4">
            <w:pPr>
              <w:pStyle w:val="TableTitle"/>
              <w:tabs>
                <w:tab w:val="left" w:pos="3306"/>
              </w:tabs>
              <w:jc w:val="both"/>
              <w:rPr>
                <w:rFonts w:cs="Calibri"/>
                <w:b w:val="0"/>
                <w:bCs w:val="0"/>
              </w:rPr>
            </w:pPr>
          </w:p>
        </w:tc>
      </w:tr>
      <w:tr w:rsidR="00041268" w:rsidRPr="00CF7E1B" w14:paraId="53384C4F" w14:textId="77777777" w:rsidTr="005F5B4C">
        <w:trPr>
          <w:cantSplit/>
          <w:trHeight w:val="23"/>
        </w:trPr>
        <w:tc>
          <w:tcPr>
            <w:tcW w:w="743" w:type="pct"/>
            <w:tcBorders>
              <w:top w:val="nil"/>
              <w:left w:val="single" w:sz="2" w:space="0" w:color="auto"/>
              <w:bottom w:val="nil"/>
              <w:right w:val="single" w:sz="2" w:space="0" w:color="auto"/>
            </w:tcBorders>
          </w:tcPr>
          <w:p w14:paraId="19C80B42"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2A64A00B" w14:textId="72D90E2F" w:rsidR="00041268" w:rsidRPr="00FB3AD2" w:rsidRDefault="00041268" w:rsidP="000413C4">
            <w:pPr>
              <w:pStyle w:val="TableTitle"/>
              <w:tabs>
                <w:tab w:val="left" w:pos="3306"/>
              </w:tabs>
              <w:jc w:val="both"/>
              <w:rPr>
                <w:rFonts w:cs="Calibri"/>
                <w:b w:val="0"/>
                <w:bCs w:val="0"/>
              </w:rPr>
            </w:pPr>
            <w:r w:rsidRPr="00FB3AD2">
              <w:rPr>
                <w:b w:val="0"/>
                <w:bCs w:val="0"/>
              </w:rPr>
              <w:t>Infrastructure Assets</w:t>
            </w:r>
          </w:p>
        </w:tc>
        <w:tc>
          <w:tcPr>
            <w:tcW w:w="742" w:type="pct"/>
            <w:tcBorders>
              <w:top w:val="nil"/>
              <w:left w:val="nil"/>
              <w:bottom w:val="nil"/>
              <w:right w:val="nil"/>
            </w:tcBorders>
          </w:tcPr>
          <w:p w14:paraId="09A343F6"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nil"/>
              <w:right w:val="nil"/>
            </w:tcBorders>
          </w:tcPr>
          <w:p w14:paraId="5772E5E5"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nil"/>
              <w:right w:val="nil"/>
            </w:tcBorders>
          </w:tcPr>
          <w:p w14:paraId="6DEA5E80" w14:textId="77777777" w:rsidR="00041268" w:rsidRPr="00FB3AD2" w:rsidRDefault="00041268" w:rsidP="000413C4">
            <w:pPr>
              <w:pStyle w:val="TableTitle"/>
              <w:tabs>
                <w:tab w:val="left" w:pos="3306"/>
              </w:tabs>
              <w:jc w:val="both"/>
              <w:rPr>
                <w:rFonts w:cs="Calibri"/>
                <w:b w:val="0"/>
                <w:bCs w:val="0"/>
              </w:rPr>
            </w:pPr>
          </w:p>
        </w:tc>
      </w:tr>
      <w:tr w:rsidR="00041268" w:rsidRPr="00CF7E1B" w14:paraId="484CCBE6" w14:textId="77777777" w:rsidTr="005F5B4C">
        <w:trPr>
          <w:cantSplit/>
          <w:trHeight w:val="23"/>
        </w:trPr>
        <w:tc>
          <w:tcPr>
            <w:tcW w:w="743" w:type="pct"/>
            <w:tcBorders>
              <w:top w:val="nil"/>
              <w:left w:val="single" w:sz="2" w:space="0" w:color="auto"/>
              <w:bottom w:val="nil"/>
              <w:right w:val="single" w:sz="2" w:space="0" w:color="auto"/>
            </w:tcBorders>
          </w:tcPr>
          <w:p w14:paraId="4AAD95A1"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00522BF7" w14:textId="13ED8172" w:rsidR="00041268" w:rsidRPr="00FB3AD2" w:rsidRDefault="00041268" w:rsidP="000413C4">
            <w:pPr>
              <w:pStyle w:val="TableTitle"/>
              <w:tabs>
                <w:tab w:val="left" w:pos="3306"/>
              </w:tabs>
              <w:jc w:val="both"/>
              <w:rPr>
                <w:rFonts w:cs="Calibri"/>
                <w:b w:val="0"/>
                <w:bCs w:val="0"/>
              </w:rPr>
            </w:pPr>
            <w:r w:rsidRPr="00FB3AD2">
              <w:rPr>
                <w:b w:val="0"/>
                <w:bCs w:val="0"/>
              </w:rPr>
              <w:t>Community and Heritage Assets</w:t>
            </w:r>
          </w:p>
        </w:tc>
        <w:tc>
          <w:tcPr>
            <w:tcW w:w="742" w:type="pct"/>
            <w:tcBorders>
              <w:top w:val="nil"/>
              <w:left w:val="nil"/>
              <w:bottom w:val="single" w:sz="2" w:space="0" w:color="auto"/>
              <w:right w:val="nil"/>
            </w:tcBorders>
          </w:tcPr>
          <w:p w14:paraId="5D34D98E" w14:textId="77777777" w:rsidR="00041268" w:rsidRPr="00FB3AD2" w:rsidRDefault="00041268" w:rsidP="000413C4">
            <w:pPr>
              <w:pStyle w:val="TableTitle"/>
              <w:tabs>
                <w:tab w:val="left" w:pos="3306"/>
              </w:tabs>
              <w:jc w:val="both"/>
              <w:rPr>
                <w:rFonts w:cs="Calibri"/>
                <w:b w:val="0"/>
                <w:bCs w:val="0"/>
              </w:rPr>
            </w:pPr>
          </w:p>
        </w:tc>
        <w:tc>
          <w:tcPr>
            <w:tcW w:w="677" w:type="pct"/>
            <w:tcBorders>
              <w:top w:val="nil"/>
              <w:left w:val="nil"/>
              <w:bottom w:val="single" w:sz="2" w:space="0" w:color="auto"/>
              <w:right w:val="nil"/>
            </w:tcBorders>
          </w:tcPr>
          <w:p w14:paraId="4F8AFFB7" w14:textId="77777777" w:rsidR="00041268" w:rsidRPr="00FB3AD2" w:rsidRDefault="00041268" w:rsidP="000413C4">
            <w:pPr>
              <w:pStyle w:val="TableTitle"/>
              <w:tabs>
                <w:tab w:val="left" w:pos="3306"/>
              </w:tabs>
              <w:jc w:val="both"/>
              <w:rPr>
                <w:rFonts w:cs="Calibri"/>
                <w:b w:val="0"/>
                <w:bCs w:val="0"/>
              </w:rPr>
            </w:pPr>
          </w:p>
        </w:tc>
        <w:tc>
          <w:tcPr>
            <w:tcW w:w="743" w:type="pct"/>
            <w:tcBorders>
              <w:top w:val="nil"/>
              <w:left w:val="nil"/>
              <w:bottom w:val="single" w:sz="2" w:space="0" w:color="auto"/>
              <w:right w:val="nil"/>
            </w:tcBorders>
          </w:tcPr>
          <w:p w14:paraId="2280F53C" w14:textId="77777777" w:rsidR="00041268" w:rsidRPr="00FB3AD2" w:rsidRDefault="00041268" w:rsidP="000413C4">
            <w:pPr>
              <w:pStyle w:val="TableTitle"/>
              <w:tabs>
                <w:tab w:val="left" w:pos="3306"/>
              </w:tabs>
              <w:jc w:val="both"/>
              <w:rPr>
                <w:rFonts w:cs="Calibri"/>
                <w:b w:val="0"/>
                <w:bCs w:val="0"/>
              </w:rPr>
            </w:pPr>
          </w:p>
        </w:tc>
      </w:tr>
      <w:tr w:rsidR="00041268" w:rsidRPr="00CF7E1B" w14:paraId="6BA8D041" w14:textId="77777777" w:rsidTr="005F5B4C">
        <w:trPr>
          <w:cantSplit/>
          <w:trHeight w:val="23"/>
        </w:trPr>
        <w:tc>
          <w:tcPr>
            <w:tcW w:w="743" w:type="pct"/>
            <w:tcBorders>
              <w:top w:val="nil"/>
              <w:left w:val="single" w:sz="2" w:space="0" w:color="auto"/>
              <w:bottom w:val="nil"/>
              <w:right w:val="single" w:sz="2" w:space="0" w:color="auto"/>
            </w:tcBorders>
          </w:tcPr>
          <w:p w14:paraId="4370D67F" w14:textId="77777777" w:rsidR="00041268" w:rsidRPr="00FB3AD2" w:rsidRDefault="00041268" w:rsidP="000413C4">
            <w:pPr>
              <w:pStyle w:val="Reference"/>
              <w:rPr>
                <w:rFonts w:cs="Calibri"/>
                <w:color w:val="7030A0"/>
                <w:sz w:val="14"/>
                <w:szCs w:val="14"/>
              </w:rPr>
            </w:pPr>
          </w:p>
        </w:tc>
        <w:tc>
          <w:tcPr>
            <w:tcW w:w="2095" w:type="pct"/>
            <w:tcBorders>
              <w:top w:val="nil"/>
              <w:left w:val="single" w:sz="2" w:space="0" w:color="auto"/>
              <w:bottom w:val="nil"/>
              <w:right w:val="nil"/>
            </w:tcBorders>
          </w:tcPr>
          <w:p w14:paraId="5AE19DBA" w14:textId="77777777" w:rsidR="00041268" w:rsidRPr="00FB3AD2" w:rsidRDefault="00041268" w:rsidP="000413C4">
            <w:pPr>
              <w:pStyle w:val="TableTitle"/>
              <w:tabs>
                <w:tab w:val="left" w:pos="3306"/>
              </w:tabs>
              <w:jc w:val="both"/>
              <w:rPr>
                <w:rFonts w:cs="Calibri"/>
                <w:b w:val="0"/>
                <w:bCs w:val="0"/>
              </w:rPr>
            </w:pPr>
          </w:p>
        </w:tc>
        <w:tc>
          <w:tcPr>
            <w:tcW w:w="742" w:type="pct"/>
            <w:tcBorders>
              <w:top w:val="single" w:sz="2" w:space="0" w:color="auto"/>
              <w:left w:val="nil"/>
              <w:bottom w:val="single" w:sz="2" w:space="0" w:color="auto"/>
              <w:right w:val="nil"/>
            </w:tcBorders>
          </w:tcPr>
          <w:p w14:paraId="155C5172" w14:textId="77777777" w:rsidR="00041268" w:rsidRPr="00FB3AD2" w:rsidRDefault="00041268" w:rsidP="000413C4">
            <w:pPr>
              <w:pStyle w:val="TableTitle"/>
              <w:tabs>
                <w:tab w:val="left" w:pos="3306"/>
              </w:tabs>
              <w:jc w:val="both"/>
              <w:rPr>
                <w:rFonts w:cs="Calibri"/>
                <w:b w:val="0"/>
                <w:bCs w:val="0"/>
              </w:rPr>
            </w:pPr>
          </w:p>
        </w:tc>
        <w:tc>
          <w:tcPr>
            <w:tcW w:w="677" w:type="pct"/>
            <w:tcBorders>
              <w:top w:val="single" w:sz="2" w:space="0" w:color="auto"/>
              <w:left w:val="nil"/>
              <w:bottom w:val="single" w:sz="2" w:space="0" w:color="auto"/>
              <w:right w:val="nil"/>
            </w:tcBorders>
          </w:tcPr>
          <w:p w14:paraId="11AD4567" w14:textId="77777777" w:rsidR="00041268" w:rsidRPr="00FB3AD2" w:rsidRDefault="00041268" w:rsidP="000413C4">
            <w:pPr>
              <w:pStyle w:val="TableTitle"/>
              <w:tabs>
                <w:tab w:val="left" w:pos="3306"/>
              </w:tabs>
              <w:jc w:val="both"/>
              <w:rPr>
                <w:rFonts w:cs="Calibri"/>
                <w:b w:val="0"/>
                <w:bCs w:val="0"/>
              </w:rPr>
            </w:pPr>
          </w:p>
        </w:tc>
        <w:tc>
          <w:tcPr>
            <w:tcW w:w="743" w:type="pct"/>
            <w:tcBorders>
              <w:top w:val="single" w:sz="2" w:space="0" w:color="auto"/>
              <w:left w:val="nil"/>
              <w:bottom w:val="single" w:sz="2" w:space="0" w:color="auto"/>
              <w:right w:val="nil"/>
            </w:tcBorders>
          </w:tcPr>
          <w:p w14:paraId="3F4C42BB" w14:textId="77777777" w:rsidR="00041268" w:rsidRPr="00FB3AD2" w:rsidRDefault="00041268" w:rsidP="000413C4">
            <w:pPr>
              <w:pStyle w:val="TableTitle"/>
              <w:tabs>
                <w:tab w:val="left" w:pos="3306"/>
              </w:tabs>
              <w:jc w:val="both"/>
              <w:rPr>
                <w:rFonts w:cs="Calibri"/>
                <w:b w:val="0"/>
                <w:bCs w:val="0"/>
              </w:rPr>
            </w:pPr>
          </w:p>
        </w:tc>
      </w:tr>
      <w:tr w:rsidR="000413C4" w:rsidRPr="00CF7E1B" w14:paraId="3F11DC2E" w14:textId="77777777" w:rsidTr="005F5B4C">
        <w:tblPrEx>
          <w:jc w:val="right"/>
        </w:tblPrEx>
        <w:trPr>
          <w:cantSplit/>
          <w:trHeight w:val="276"/>
          <w:jc w:val="right"/>
        </w:trPr>
        <w:tc>
          <w:tcPr>
            <w:tcW w:w="743" w:type="pct"/>
            <w:tcBorders>
              <w:top w:val="nil"/>
              <w:left w:val="single" w:sz="2" w:space="0" w:color="auto"/>
              <w:bottom w:val="nil"/>
              <w:right w:val="single" w:sz="2" w:space="0" w:color="auto"/>
            </w:tcBorders>
          </w:tcPr>
          <w:p w14:paraId="440FEEA2"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13.93(c) &amp; e) (iv)</w:t>
            </w:r>
          </w:p>
        </w:tc>
        <w:tc>
          <w:tcPr>
            <w:tcW w:w="4257" w:type="pct"/>
            <w:gridSpan w:val="4"/>
            <w:tcBorders>
              <w:top w:val="nil"/>
              <w:left w:val="single" w:sz="2" w:space="0" w:color="auto"/>
              <w:bottom w:val="nil"/>
              <w:right w:val="nil"/>
            </w:tcBorders>
          </w:tcPr>
          <w:p w14:paraId="32429318" w14:textId="77777777" w:rsidR="000413C4" w:rsidRPr="00FB3AD2" w:rsidRDefault="000413C4" w:rsidP="000413C4">
            <w:pPr>
              <w:rPr>
                <w:b/>
                <w:sz w:val="18"/>
                <w:szCs w:val="18"/>
              </w:rPr>
            </w:pPr>
            <w:r w:rsidRPr="00FB3AD2">
              <w:rPr>
                <w:b/>
                <w:sz w:val="18"/>
                <w:szCs w:val="18"/>
              </w:rPr>
              <w:t>Transfers Between Categories</w:t>
            </w:r>
          </w:p>
        </w:tc>
      </w:tr>
      <w:tr w:rsidR="000413C4" w:rsidRPr="00CF7E1B" w14:paraId="7BCA2A7D" w14:textId="77777777" w:rsidTr="005F5B4C">
        <w:tblPrEx>
          <w:jc w:val="right"/>
        </w:tblPrEx>
        <w:trPr>
          <w:cantSplit/>
          <w:trHeight w:val="23"/>
          <w:jc w:val="right"/>
        </w:trPr>
        <w:tc>
          <w:tcPr>
            <w:tcW w:w="743" w:type="pct"/>
            <w:tcBorders>
              <w:top w:val="nil"/>
              <w:left w:val="single" w:sz="2" w:space="0" w:color="auto"/>
              <w:bottom w:val="nil"/>
              <w:right w:val="single" w:sz="2" w:space="0" w:color="auto"/>
            </w:tcBorders>
          </w:tcPr>
          <w:p w14:paraId="2B38B019" w14:textId="77777777" w:rsidR="000413C4" w:rsidRPr="00FB3AD2" w:rsidRDefault="000413C4" w:rsidP="000413C4">
            <w:pPr>
              <w:pStyle w:val="TableReference"/>
              <w:tabs>
                <w:tab w:val="left" w:pos="3306"/>
              </w:tabs>
              <w:spacing w:before="40"/>
              <w:rPr>
                <w:rFonts w:cs="Calibri"/>
                <w:color w:val="7030A0"/>
                <w:sz w:val="14"/>
              </w:rPr>
            </w:pPr>
          </w:p>
        </w:tc>
        <w:tc>
          <w:tcPr>
            <w:tcW w:w="4257" w:type="pct"/>
            <w:gridSpan w:val="4"/>
            <w:tcBorders>
              <w:top w:val="nil"/>
              <w:left w:val="single" w:sz="2" w:space="0" w:color="auto"/>
              <w:bottom w:val="nil"/>
              <w:right w:val="nil"/>
            </w:tcBorders>
            <w:vAlign w:val="bottom"/>
          </w:tcPr>
          <w:p w14:paraId="38C86B53" w14:textId="5D3EEA20" w:rsidR="000413C4" w:rsidRPr="00FB3AD2" w:rsidRDefault="000413C4" w:rsidP="000413C4">
            <w:pPr>
              <w:pStyle w:val="TableTitle"/>
              <w:tabs>
                <w:tab w:val="left" w:pos="3306"/>
              </w:tabs>
              <w:spacing w:after="120"/>
              <w:jc w:val="both"/>
              <w:rPr>
                <w:rFonts w:cs="Calibri"/>
              </w:rPr>
            </w:pPr>
            <w:r w:rsidRPr="00FB3AD2">
              <w:rPr>
                <w:rFonts w:cs="Calibri"/>
                <w:b w:val="0"/>
                <w:bCs w:val="0"/>
              </w:rPr>
              <w:t>There have been no transfers between Levels 2 and 3 during the current and previous reporting period.</w:t>
            </w:r>
          </w:p>
        </w:tc>
      </w:tr>
      <w:tr w:rsidR="000413C4" w:rsidRPr="00775965" w14:paraId="3F42EEA9" w14:textId="77777777" w:rsidTr="005F5B4C">
        <w:trPr>
          <w:cantSplit/>
          <w:trHeight w:val="23"/>
        </w:trPr>
        <w:tc>
          <w:tcPr>
            <w:tcW w:w="743" w:type="pct"/>
            <w:tcBorders>
              <w:top w:val="nil"/>
              <w:left w:val="single" w:sz="2" w:space="0" w:color="auto"/>
              <w:bottom w:val="nil"/>
              <w:right w:val="single" w:sz="2" w:space="0" w:color="auto"/>
            </w:tcBorders>
          </w:tcPr>
          <w:p w14:paraId="56BB9F60"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76DE0A6D" w14:textId="77777777" w:rsidR="000413C4" w:rsidRPr="00FB3AD2" w:rsidRDefault="000413C4" w:rsidP="00C85383">
            <w:pPr>
              <w:spacing w:after="60"/>
              <w:rPr>
                <w:b/>
                <w:sz w:val="18"/>
                <w:szCs w:val="18"/>
              </w:rPr>
            </w:pPr>
            <w:r w:rsidRPr="00FB3AD2">
              <w:rPr>
                <w:b/>
                <w:sz w:val="18"/>
                <w:szCs w:val="18"/>
              </w:rPr>
              <w:t>Valuation Techniques, Inputs and Processes:</w:t>
            </w:r>
          </w:p>
        </w:tc>
      </w:tr>
      <w:tr w:rsidR="000413C4" w:rsidRPr="00775965" w14:paraId="19F36BC3" w14:textId="77777777" w:rsidTr="005F5B4C">
        <w:trPr>
          <w:cantSplit/>
          <w:trHeight w:val="23"/>
        </w:trPr>
        <w:tc>
          <w:tcPr>
            <w:tcW w:w="743" w:type="pct"/>
            <w:tcBorders>
              <w:top w:val="nil"/>
              <w:left w:val="single" w:sz="2" w:space="0" w:color="auto"/>
              <w:bottom w:val="nil"/>
              <w:right w:val="single" w:sz="2" w:space="0" w:color="auto"/>
            </w:tcBorders>
          </w:tcPr>
          <w:p w14:paraId="05CA9500"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47C2DF0A" w14:textId="77777777" w:rsidR="000413C4" w:rsidRPr="00FB3AD2" w:rsidRDefault="000413C4" w:rsidP="000413C4">
            <w:pPr>
              <w:pStyle w:val="TableTitle"/>
              <w:tabs>
                <w:tab w:val="left" w:pos="3306"/>
              </w:tabs>
              <w:jc w:val="both"/>
              <w:rPr>
                <w:rFonts w:cs="Calibri"/>
              </w:rPr>
            </w:pPr>
            <w:r w:rsidRPr="00FB3AD2">
              <w:rPr>
                <w:rFonts w:cs="Calibri"/>
                <w:bCs w:val="0"/>
              </w:rPr>
              <w:t>Level 2 Valuation Techniques and Inputs</w:t>
            </w:r>
          </w:p>
        </w:tc>
      </w:tr>
      <w:tr w:rsidR="000413C4" w:rsidRPr="00775965" w14:paraId="7CB77B53" w14:textId="77777777" w:rsidTr="005F5B4C">
        <w:trPr>
          <w:cantSplit/>
          <w:trHeight w:val="23"/>
        </w:trPr>
        <w:tc>
          <w:tcPr>
            <w:tcW w:w="743" w:type="pct"/>
            <w:tcBorders>
              <w:top w:val="nil"/>
              <w:left w:val="single" w:sz="2" w:space="0" w:color="auto"/>
              <w:bottom w:val="nil"/>
              <w:right w:val="single" w:sz="2" w:space="0" w:color="auto"/>
            </w:tcBorders>
          </w:tcPr>
          <w:p w14:paraId="2A79C53F"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1C90DE93" w14:textId="4EDD6AB4" w:rsidR="000413C4" w:rsidRPr="00FB3AD2" w:rsidRDefault="000413C4" w:rsidP="000413C4">
            <w:pPr>
              <w:pStyle w:val="TableTitle"/>
              <w:tabs>
                <w:tab w:val="left" w:pos="3306"/>
              </w:tabs>
              <w:spacing w:after="120"/>
              <w:jc w:val="both"/>
              <w:rPr>
                <w:rFonts w:cs="Calibri"/>
                <w:b w:val="0"/>
              </w:rPr>
            </w:pPr>
            <w:r w:rsidRPr="00FB3AD2">
              <w:rPr>
                <w:rFonts w:cs="Calibri"/>
                <w:b w:val="0"/>
                <w:bCs w:val="0"/>
              </w:rPr>
              <w:t>Valuation Technique: The valuation technique used to value land and buildings is the market approach that reflects recent transaction prices for similar properties and buildings (comparable in location and size).</w:t>
            </w:r>
            <w:r w:rsidR="00FA7C77">
              <w:rPr>
                <w:rFonts w:cs="Calibri"/>
                <w:b w:val="0"/>
              </w:rPr>
              <w:t xml:space="preserve"> </w:t>
            </w:r>
          </w:p>
        </w:tc>
      </w:tr>
      <w:tr w:rsidR="000413C4" w:rsidRPr="00775965" w14:paraId="3797FC0F" w14:textId="77777777" w:rsidTr="005F5B4C">
        <w:trPr>
          <w:cantSplit/>
          <w:trHeight w:val="23"/>
        </w:trPr>
        <w:tc>
          <w:tcPr>
            <w:tcW w:w="743" w:type="pct"/>
            <w:tcBorders>
              <w:top w:val="nil"/>
              <w:left w:val="single" w:sz="2" w:space="0" w:color="auto"/>
              <w:bottom w:val="nil"/>
              <w:right w:val="single" w:sz="2" w:space="0" w:color="auto"/>
            </w:tcBorders>
          </w:tcPr>
          <w:p w14:paraId="70B45088"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5082738E" w14:textId="77777777" w:rsidR="000413C4" w:rsidRPr="00FB3AD2" w:rsidRDefault="000413C4" w:rsidP="000413C4">
            <w:pPr>
              <w:pStyle w:val="TableTitle"/>
              <w:tabs>
                <w:tab w:val="left" w:pos="3306"/>
              </w:tabs>
              <w:jc w:val="both"/>
              <w:rPr>
                <w:rFonts w:cs="Calibri"/>
                <w:b w:val="0"/>
              </w:rPr>
            </w:pPr>
            <w:r w:rsidRPr="00FB3AD2">
              <w:rPr>
                <w:rFonts w:cs="Calibri"/>
                <w:b w:val="0"/>
                <w:bCs w:val="0"/>
              </w:rPr>
              <w:t>Inputs: Prices and other relevant information generated by market transactions involving comparable land and buildings were considered. Regard was taken of the Crown Lease terms and tenure, The Australian Capital Territory Plan and the National Capital Plan, where applicable, as well as current zoning.</w:t>
            </w:r>
          </w:p>
        </w:tc>
      </w:tr>
      <w:tr w:rsidR="000413C4" w:rsidRPr="00775965" w14:paraId="1A5EF35C" w14:textId="77777777" w:rsidTr="005F5B4C">
        <w:trPr>
          <w:cantSplit/>
          <w:trHeight w:val="23"/>
        </w:trPr>
        <w:tc>
          <w:tcPr>
            <w:tcW w:w="743" w:type="pct"/>
            <w:tcBorders>
              <w:top w:val="nil"/>
              <w:left w:val="single" w:sz="2" w:space="0" w:color="auto"/>
              <w:bottom w:val="nil"/>
              <w:right w:val="single" w:sz="2" w:space="0" w:color="auto"/>
            </w:tcBorders>
          </w:tcPr>
          <w:p w14:paraId="6699555C" w14:textId="77777777" w:rsidR="000413C4" w:rsidRPr="00FB3AD2" w:rsidRDefault="000413C4" w:rsidP="000413C4">
            <w:pPr>
              <w:pStyle w:val="Reference"/>
              <w:rPr>
                <w:rFonts w:cs="Calibri"/>
                <w:color w:val="7030A0"/>
                <w:sz w:val="14"/>
                <w:szCs w:val="14"/>
              </w:rPr>
            </w:pPr>
          </w:p>
        </w:tc>
        <w:tc>
          <w:tcPr>
            <w:tcW w:w="4257" w:type="pct"/>
            <w:gridSpan w:val="4"/>
            <w:tcBorders>
              <w:top w:val="nil"/>
              <w:left w:val="single" w:sz="2" w:space="0" w:color="auto"/>
              <w:bottom w:val="nil"/>
              <w:right w:val="nil"/>
            </w:tcBorders>
          </w:tcPr>
          <w:p w14:paraId="25C23AFC" w14:textId="77777777" w:rsidR="000413C4" w:rsidRDefault="000413C4" w:rsidP="000413C4">
            <w:pPr>
              <w:pStyle w:val="TableTitle"/>
              <w:tabs>
                <w:tab w:val="left" w:pos="3306"/>
              </w:tabs>
              <w:spacing w:before="120"/>
              <w:jc w:val="both"/>
              <w:rPr>
                <w:rFonts w:cs="Calibri"/>
                <w:bCs w:val="0"/>
              </w:rPr>
            </w:pPr>
            <w:r w:rsidRPr="00FB3AD2">
              <w:rPr>
                <w:rFonts w:cs="Calibri"/>
                <w:bCs w:val="0"/>
              </w:rPr>
              <w:t>Level 3 Valuation Techniques and Significant Unobservable Inputs</w:t>
            </w:r>
          </w:p>
          <w:p w14:paraId="236CA768" w14:textId="324FCCA0" w:rsidR="00773769" w:rsidRPr="00773769" w:rsidRDefault="00773769" w:rsidP="00773769">
            <w:pPr>
              <w:rPr>
                <w:sz w:val="18"/>
                <w:szCs w:val="18"/>
                <w:u w:val="single"/>
              </w:rPr>
            </w:pPr>
            <w:r w:rsidRPr="00773769">
              <w:rPr>
                <w:sz w:val="18"/>
                <w:szCs w:val="18"/>
                <w:u w:val="single"/>
              </w:rPr>
              <w:t>Land</w:t>
            </w:r>
          </w:p>
        </w:tc>
      </w:tr>
      <w:tr w:rsidR="000413C4" w:rsidRPr="00775965" w14:paraId="4BADCE75" w14:textId="77777777" w:rsidTr="005F5B4C">
        <w:trPr>
          <w:cantSplit/>
          <w:trHeight w:val="23"/>
        </w:trPr>
        <w:tc>
          <w:tcPr>
            <w:tcW w:w="743" w:type="pct"/>
            <w:tcBorders>
              <w:top w:val="nil"/>
              <w:left w:val="single" w:sz="2" w:space="0" w:color="auto"/>
              <w:bottom w:val="nil"/>
              <w:right w:val="single" w:sz="2" w:space="0" w:color="auto"/>
            </w:tcBorders>
          </w:tcPr>
          <w:p w14:paraId="47AADB33"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00A81803" w14:textId="77777777" w:rsidR="000413C4" w:rsidRPr="00FB3AD2" w:rsidRDefault="000413C4" w:rsidP="000413C4">
            <w:pPr>
              <w:pStyle w:val="TableTitle"/>
              <w:tabs>
                <w:tab w:val="left" w:pos="3306"/>
              </w:tabs>
              <w:spacing w:after="120"/>
              <w:jc w:val="both"/>
              <w:rPr>
                <w:rFonts w:cs="Calibri"/>
                <w:b w:val="0"/>
                <w:bCs w:val="0"/>
              </w:rPr>
            </w:pPr>
            <w:r w:rsidRPr="00FB3AD2">
              <w:rPr>
                <w:rFonts w:cs="Calibri"/>
                <w:b w:val="0"/>
                <w:bCs w:val="0"/>
              </w:rPr>
              <w:t xml:space="preserve">Valuation Technique: Land where there is no active market or significant restrictions is valued through the market approach. </w:t>
            </w:r>
          </w:p>
        </w:tc>
      </w:tr>
      <w:tr w:rsidR="000413C4" w:rsidRPr="00775965" w14:paraId="20974D0E" w14:textId="77777777" w:rsidTr="005F5B4C">
        <w:trPr>
          <w:cantSplit/>
          <w:trHeight w:val="23"/>
        </w:trPr>
        <w:tc>
          <w:tcPr>
            <w:tcW w:w="743" w:type="pct"/>
            <w:tcBorders>
              <w:top w:val="nil"/>
              <w:left w:val="single" w:sz="2" w:space="0" w:color="auto"/>
              <w:bottom w:val="nil"/>
              <w:right w:val="single" w:sz="2" w:space="0" w:color="auto"/>
            </w:tcBorders>
          </w:tcPr>
          <w:p w14:paraId="65D62E27"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62E2BADE" w14:textId="77777777" w:rsidR="000413C4" w:rsidRDefault="000413C4" w:rsidP="000413C4">
            <w:pPr>
              <w:pStyle w:val="TableTitle"/>
              <w:tabs>
                <w:tab w:val="left" w:pos="3306"/>
              </w:tabs>
              <w:spacing w:after="120"/>
              <w:jc w:val="both"/>
              <w:rPr>
                <w:rFonts w:cs="Calibri"/>
                <w:b w:val="0"/>
                <w:bCs w:val="0"/>
              </w:rPr>
            </w:pPr>
            <w:r w:rsidRPr="00FB3AD2">
              <w:rPr>
                <w:rFonts w:cs="Calibri"/>
                <w:b w:val="0"/>
                <w:bCs w:val="0"/>
              </w:rPr>
              <w:t>Significant Unobservable Inputs: Selecting land with similar approximate utility. In determining the value of land with similar approximate utility, significant adjustment to market based data was required.</w:t>
            </w:r>
          </w:p>
          <w:p w14:paraId="64B576B1" w14:textId="3EA5C6FA" w:rsidR="00773769" w:rsidRPr="00773769" w:rsidRDefault="00773769" w:rsidP="00773769">
            <w:pPr>
              <w:rPr>
                <w:sz w:val="18"/>
                <w:szCs w:val="18"/>
                <w:u w:val="single"/>
              </w:rPr>
            </w:pPr>
            <w:r w:rsidRPr="00773769">
              <w:rPr>
                <w:sz w:val="18"/>
                <w:szCs w:val="18"/>
                <w:u w:val="single"/>
              </w:rPr>
              <w:t>Other Property, Plant and Equipment</w:t>
            </w:r>
          </w:p>
        </w:tc>
      </w:tr>
      <w:tr w:rsidR="000413C4" w:rsidRPr="00775965" w14:paraId="7355F084" w14:textId="77777777" w:rsidTr="005F5B4C">
        <w:trPr>
          <w:cantSplit/>
          <w:trHeight w:val="23"/>
        </w:trPr>
        <w:tc>
          <w:tcPr>
            <w:tcW w:w="743" w:type="pct"/>
            <w:tcBorders>
              <w:top w:val="nil"/>
              <w:left w:val="single" w:sz="2" w:space="0" w:color="auto"/>
              <w:bottom w:val="nil"/>
              <w:right w:val="single" w:sz="2" w:space="0" w:color="auto"/>
            </w:tcBorders>
          </w:tcPr>
          <w:p w14:paraId="6773C303" w14:textId="77777777" w:rsidR="000413C4" w:rsidRPr="00FB3AD2" w:rsidRDefault="000413C4" w:rsidP="000413C4">
            <w:pPr>
              <w:pStyle w:val="TableReference"/>
              <w:tabs>
                <w:tab w:val="left" w:pos="3306"/>
              </w:tabs>
              <w:spacing w:before="40"/>
              <w:rPr>
                <w:rFonts w:cs="Calibri"/>
                <w:color w:val="7030A0"/>
                <w:sz w:val="14"/>
              </w:rPr>
            </w:pPr>
          </w:p>
          <w:p w14:paraId="5F0D3B61"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19ABEAA8" w14:textId="63D9F1F2" w:rsidR="000413C4" w:rsidRPr="00FB3AD2" w:rsidRDefault="000413C4" w:rsidP="000413C4">
            <w:pPr>
              <w:pStyle w:val="TableTitle"/>
              <w:tabs>
                <w:tab w:val="left" w:pos="3306"/>
              </w:tabs>
              <w:spacing w:after="120"/>
              <w:jc w:val="both"/>
              <w:rPr>
                <w:rFonts w:cs="Calibri"/>
                <w:b w:val="0"/>
                <w:bCs w:val="0"/>
              </w:rPr>
            </w:pPr>
            <w:r w:rsidRPr="00FB3AD2">
              <w:rPr>
                <w:rFonts w:cs="Calibri"/>
                <w:b w:val="0"/>
                <w:bCs w:val="0"/>
              </w:rPr>
              <w:t>Valuation Technique: Buildings, Leasehold Improvements, Infrastructure Assets and Community and Heritage Assets were considered specialised assets by the Valuers and measured using the cost approach</w:t>
            </w:r>
            <w:r w:rsidR="00012531" w:rsidRPr="00FB3AD2">
              <w:rPr>
                <w:rFonts w:cs="Calibri"/>
                <w:b w:val="0"/>
                <w:bCs w:val="0"/>
              </w:rPr>
              <w:t xml:space="preserve"> to Fair value</w:t>
            </w:r>
            <w:r w:rsidRPr="00FB3AD2">
              <w:rPr>
                <w:rFonts w:cs="Calibri"/>
                <w:b w:val="0"/>
                <w:bCs w:val="0"/>
              </w:rPr>
              <w:t xml:space="preserve">. </w:t>
            </w:r>
          </w:p>
        </w:tc>
      </w:tr>
      <w:tr w:rsidR="000413C4" w:rsidRPr="00775965" w14:paraId="61B7ADED" w14:textId="77777777" w:rsidTr="005F5B4C">
        <w:trPr>
          <w:cantSplit/>
          <w:trHeight w:val="23"/>
        </w:trPr>
        <w:tc>
          <w:tcPr>
            <w:tcW w:w="743" w:type="pct"/>
            <w:tcBorders>
              <w:top w:val="nil"/>
              <w:left w:val="single" w:sz="2" w:space="0" w:color="auto"/>
              <w:bottom w:val="nil"/>
              <w:right w:val="single" w:sz="2" w:space="0" w:color="auto"/>
            </w:tcBorders>
          </w:tcPr>
          <w:p w14:paraId="42F8EEB7"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13.91(a) &amp; 93(d)</w:t>
            </w:r>
          </w:p>
        </w:tc>
        <w:tc>
          <w:tcPr>
            <w:tcW w:w="4257" w:type="pct"/>
            <w:gridSpan w:val="4"/>
            <w:tcBorders>
              <w:top w:val="nil"/>
              <w:left w:val="single" w:sz="2" w:space="0" w:color="auto"/>
              <w:bottom w:val="nil"/>
              <w:right w:val="nil"/>
            </w:tcBorders>
          </w:tcPr>
          <w:p w14:paraId="62EAB892" w14:textId="5CE0326A" w:rsidR="000413C4" w:rsidRPr="00FB3AD2" w:rsidRDefault="000413C4" w:rsidP="003262FD">
            <w:pPr>
              <w:pStyle w:val="TableTitle"/>
              <w:tabs>
                <w:tab w:val="left" w:pos="3306"/>
              </w:tabs>
              <w:spacing w:after="100"/>
              <w:jc w:val="both"/>
              <w:rPr>
                <w:rFonts w:cs="Calibri"/>
                <w:b w:val="0"/>
                <w:bCs w:val="0"/>
              </w:rPr>
            </w:pPr>
            <w:r w:rsidRPr="00FB3AD2">
              <w:rPr>
                <w:rFonts w:cs="Calibri"/>
                <w:b w:val="0"/>
                <w:bCs w:val="0"/>
              </w:rPr>
              <w:t>Significant Unobservable Inputs:</w:t>
            </w:r>
            <w:r w:rsidR="00FA7C77">
              <w:rPr>
                <w:rFonts w:cs="Calibri"/>
                <w:b w:val="0"/>
                <w:bCs w:val="0"/>
              </w:rPr>
              <w:t xml:space="preserve"> </w:t>
            </w:r>
            <w:r w:rsidRPr="00FB3AD2">
              <w:rPr>
                <w:rFonts w:cs="Calibri"/>
                <w:b w:val="0"/>
                <w:bCs w:val="0"/>
              </w:rPr>
              <w:t>Estimating the cost to a market participant to construct assets of comparable utility adjusted for obsolescence.</w:t>
            </w:r>
            <w:r w:rsidR="00FA7C77">
              <w:rPr>
                <w:rFonts w:cs="Calibri"/>
                <w:b w:val="0"/>
                <w:bCs w:val="0"/>
              </w:rPr>
              <w:t xml:space="preserve"> </w:t>
            </w:r>
            <w:r w:rsidRPr="00FB3AD2">
              <w:rPr>
                <w:rFonts w:cs="Calibri"/>
                <w:b w:val="0"/>
                <w:bCs w:val="0"/>
              </w:rPr>
              <w:t>For Buildings, historical cost per square metre of floor area was also used in measuring fair value. For Infrastructure Assets</w:t>
            </w:r>
            <w:r w:rsidR="00012531" w:rsidRPr="00FB3AD2">
              <w:rPr>
                <w:rFonts w:cs="Calibri"/>
                <w:b w:val="0"/>
                <w:bCs w:val="0"/>
              </w:rPr>
              <w:t>,</w:t>
            </w:r>
            <w:r w:rsidRPr="00FB3AD2">
              <w:rPr>
                <w:rFonts w:cs="Calibri"/>
                <w:b w:val="0"/>
                <w:bCs w:val="0"/>
              </w:rPr>
              <w:t xml:space="preserve"> the historical costs per cubic metre was also used in measuring fair value. In determining the value of buildings, leasehold improvements, infrastructure assets and community and heritage assets regard was given to the age and condition of the assets, their estimated replacement cost and current use. This required the use of data internal to ‘</w:t>
            </w:r>
            <w:r w:rsidRPr="00FB3AD2">
              <w:rPr>
                <w:b w:val="0"/>
                <w:bCs w:val="0"/>
              </w:rPr>
              <w:t xml:space="preserve">Burley Griffin </w:t>
            </w:r>
            <w:r w:rsidRPr="00FB3AD2">
              <w:rPr>
                <w:rFonts w:cs="Calibri"/>
                <w:b w:val="0"/>
                <w:bCs w:val="0"/>
              </w:rPr>
              <w:t>Agency’.</w:t>
            </w:r>
          </w:p>
        </w:tc>
      </w:tr>
      <w:tr w:rsidR="000413C4" w:rsidRPr="00775965" w14:paraId="324E8488" w14:textId="77777777" w:rsidTr="005F5B4C">
        <w:trPr>
          <w:cantSplit/>
          <w:trHeight w:val="23"/>
        </w:trPr>
        <w:tc>
          <w:tcPr>
            <w:tcW w:w="743" w:type="pct"/>
            <w:tcBorders>
              <w:top w:val="nil"/>
              <w:left w:val="single" w:sz="2" w:space="0" w:color="auto"/>
              <w:bottom w:val="nil"/>
              <w:right w:val="single" w:sz="2" w:space="0" w:color="auto"/>
            </w:tcBorders>
          </w:tcPr>
          <w:p w14:paraId="12914F11" w14:textId="4D9C4095"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13.93(d)</w:t>
            </w:r>
          </w:p>
        </w:tc>
        <w:tc>
          <w:tcPr>
            <w:tcW w:w="4257" w:type="pct"/>
            <w:gridSpan w:val="4"/>
            <w:tcBorders>
              <w:top w:val="nil"/>
              <w:left w:val="single" w:sz="2" w:space="0" w:color="auto"/>
              <w:bottom w:val="nil"/>
              <w:right w:val="nil"/>
            </w:tcBorders>
          </w:tcPr>
          <w:p w14:paraId="00BB739A" w14:textId="77777777" w:rsidR="000413C4" w:rsidRPr="00FB3AD2" w:rsidRDefault="000413C4" w:rsidP="000413C4">
            <w:pPr>
              <w:pStyle w:val="TableTitle"/>
              <w:tabs>
                <w:tab w:val="left" w:pos="3306"/>
              </w:tabs>
              <w:spacing w:after="120"/>
              <w:jc w:val="both"/>
              <w:rPr>
                <w:rFonts w:cs="Calibri"/>
                <w:b w:val="0"/>
                <w:bCs w:val="0"/>
              </w:rPr>
            </w:pPr>
            <w:r w:rsidRPr="00FB3AD2">
              <w:rPr>
                <w:rFonts w:cs="Calibri"/>
                <w:b w:val="0"/>
                <w:bCs w:val="0"/>
              </w:rPr>
              <w:t xml:space="preserve">There has been no change to the above valuation techniques during the year. </w:t>
            </w:r>
          </w:p>
        </w:tc>
      </w:tr>
      <w:tr w:rsidR="000413C4" w:rsidRPr="00775965" w14:paraId="725E4517" w14:textId="77777777" w:rsidTr="005F5B4C">
        <w:trPr>
          <w:cantSplit/>
          <w:trHeight w:val="23"/>
        </w:trPr>
        <w:tc>
          <w:tcPr>
            <w:tcW w:w="743" w:type="pct"/>
            <w:tcBorders>
              <w:top w:val="nil"/>
              <w:left w:val="single" w:sz="2" w:space="0" w:color="auto"/>
              <w:bottom w:val="nil"/>
              <w:right w:val="single" w:sz="2" w:space="0" w:color="auto"/>
            </w:tcBorders>
          </w:tcPr>
          <w:p w14:paraId="093F27FB" w14:textId="77777777"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13.95</w:t>
            </w:r>
          </w:p>
        </w:tc>
        <w:tc>
          <w:tcPr>
            <w:tcW w:w="4257" w:type="pct"/>
            <w:gridSpan w:val="4"/>
            <w:tcBorders>
              <w:top w:val="nil"/>
              <w:left w:val="single" w:sz="2" w:space="0" w:color="auto"/>
              <w:bottom w:val="nil"/>
              <w:right w:val="nil"/>
            </w:tcBorders>
          </w:tcPr>
          <w:p w14:paraId="56ED8D9B" w14:textId="77777777" w:rsidR="000413C4" w:rsidRPr="00FB3AD2" w:rsidRDefault="000413C4" w:rsidP="000413C4">
            <w:pPr>
              <w:pStyle w:val="TableTitle"/>
              <w:tabs>
                <w:tab w:val="left" w:pos="3306"/>
              </w:tabs>
              <w:jc w:val="both"/>
              <w:rPr>
                <w:rFonts w:cs="Calibri"/>
                <w:b w:val="0"/>
              </w:rPr>
            </w:pPr>
            <w:r w:rsidRPr="00FB3AD2">
              <w:rPr>
                <w:rFonts w:cs="Calibri"/>
                <w:b w:val="0"/>
                <w:bCs w:val="0"/>
              </w:rPr>
              <w:t>Transfers in and out of a fair value level are recognised on the date of the event or change in circumstances that caused the transfer.</w:t>
            </w:r>
          </w:p>
        </w:tc>
      </w:tr>
    </w:tbl>
    <w:p w14:paraId="0D61724E" w14:textId="77777777" w:rsidR="000702E1" w:rsidRDefault="000702E1" w:rsidP="000413C4">
      <w:pPr>
        <w:pStyle w:val="TableReference"/>
        <w:tabs>
          <w:tab w:val="left" w:pos="3306"/>
        </w:tabs>
        <w:spacing w:before="40"/>
        <w:rPr>
          <w:rFonts w:cs="Calibri"/>
          <w:color w:val="auto"/>
          <w:sz w:val="14"/>
        </w:rPr>
        <w:sectPr w:rsidR="000702E1" w:rsidSect="00986F4D">
          <w:footerReference w:type="default" r:id="rId35"/>
          <w:footnotePr>
            <w:numRestart w:val="eachPage"/>
          </w:footnotePr>
          <w:pgSz w:w="11907" w:h="16840" w:code="9"/>
          <w:pgMar w:top="567" w:right="1276" w:bottom="567" w:left="680" w:header="425" w:footer="383" w:gutter="0"/>
          <w:cols w:space="720"/>
          <w:docGrid w:linePitch="326"/>
        </w:sectPr>
      </w:pPr>
    </w:p>
    <w:tbl>
      <w:tblPr>
        <w:tblW w:w="48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6377"/>
        <w:gridCol w:w="995"/>
        <w:gridCol w:w="992"/>
        <w:gridCol w:w="1415"/>
        <w:gridCol w:w="1277"/>
        <w:gridCol w:w="1559"/>
        <w:gridCol w:w="1136"/>
      </w:tblGrid>
      <w:tr w:rsidR="000413C4" w:rsidRPr="00775965" w14:paraId="2AE3C50F" w14:textId="77777777" w:rsidTr="005F5B4C">
        <w:trPr>
          <w:gridAfter w:val="1"/>
          <w:wAfter w:w="371" w:type="pct"/>
          <w:cantSplit/>
          <w:trHeight w:val="360"/>
        </w:trPr>
        <w:tc>
          <w:tcPr>
            <w:tcW w:w="510" w:type="pct"/>
            <w:tcBorders>
              <w:top w:val="nil"/>
              <w:left w:val="single" w:sz="2" w:space="0" w:color="auto"/>
              <w:bottom w:val="nil"/>
              <w:right w:val="single" w:sz="2" w:space="0" w:color="auto"/>
            </w:tcBorders>
          </w:tcPr>
          <w:p w14:paraId="42ED8A9A" w14:textId="1A9760A8" w:rsidR="000413C4" w:rsidRPr="00FB3AD2" w:rsidRDefault="000413C4" w:rsidP="000413C4">
            <w:pPr>
              <w:pStyle w:val="TableReference"/>
              <w:tabs>
                <w:tab w:val="left" w:pos="3306"/>
              </w:tabs>
              <w:spacing w:before="120" w:after="240"/>
              <w:rPr>
                <w:rFonts w:cs="Calibri"/>
                <w:b/>
                <w:color w:val="7030A0"/>
                <w:sz w:val="22"/>
                <w:szCs w:val="22"/>
              </w:rPr>
            </w:pPr>
            <w:r w:rsidRPr="00FB3AD2">
              <w:rPr>
                <w:color w:val="7030A0"/>
              </w:rPr>
              <w:br w:type="page"/>
            </w:r>
            <w:r w:rsidRPr="00FB3AD2">
              <w:rPr>
                <w:rFonts w:cs="Calibri"/>
                <w:b/>
                <w:color w:val="7030A0"/>
                <w:sz w:val="22"/>
                <w:szCs w:val="22"/>
              </w:rPr>
              <w:t>Reference</w:t>
            </w:r>
          </w:p>
        </w:tc>
        <w:tc>
          <w:tcPr>
            <w:tcW w:w="4119" w:type="pct"/>
            <w:gridSpan w:val="6"/>
            <w:tcBorders>
              <w:top w:val="nil"/>
              <w:left w:val="single" w:sz="2" w:space="0" w:color="auto"/>
              <w:bottom w:val="nil"/>
              <w:right w:val="nil"/>
            </w:tcBorders>
          </w:tcPr>
          <w:p w14:paraId="2DEAFC74" w14:textId="7A633378" w:rsidR="000413C4" w:rsidRPr="00F73636" w:rsidRDefault="000413C4" w:rsidP="000413C4">
            <w:pPr>
              <w:spacing w:before="120" w:after="240"/>
              <w:rPr>
                <w:b/>
              </w:rPr>
            </w:pPr>
            <w:r w:rsidRPr="00FB3AD2">
              <w:rPr>
                <w:rFonts w:ascii="Arial Bold" w:hAnsi="Arial Bold" w:cs="Arial"/>
                <w:b/>
                <w:caps/>
                <w:sz w:val="32"/>
                <w:szCs w:val="32"/>
              </w:rPr>
              <w:t>Note 19.</w:t>
            </w:r>
            <w:r w:rsidR="00FA7C77">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 – Continued</w:t>
            </w:r>
          </w:p>
        </w:tc>
      </w:tr>
      <w:tr w:rsidR="00FB3AD2" w:rsidRPr="00FB3AD2" w14:paraId="016460B3" w14:textId="77777777" w:rsidTr="005F5B4C">
        <w:trPr>
          <w:gridAfter w:val="1"/>
          <w:wAfter w:w="371" w:type="pct"/>
          <w:cantSplit/>
          <w:trHeight w:val="23"/>
        </w:trPr>
        <w:tc>
          <w:tcPr>
            <w:tcW w:w="510" w:type="pct"/>
            <w:tcBorders>
              <w:top w:val="nil"/>
              <w:left w:val="single" w:sz="2" w:space="0" w:color="auto"/>
              <w:bottom w:val="nil"/>
              <w:right w:val="single" w:sz="2" w:space="0" w:color="auto"/>
            </w:tcBorders>
          </w:tcPr>
          <w:p w14:paraId="19DE2317" w14:textId="5EDA34DD" w:rsidR="000413C4" w:rsidRPr="00FB3AD2" w:rsidRDefault="000413C4" w:rsidP="000413C4">
            <w:pPr>
              <w:pStyle w:val="TableReference"/>
              <w:tabs>
                <w:tab w:val="left" w:pos="3306"/>
              </w:tabs>
              <w:spacing w:before="40"/>
              <w:rPr>
                <w:rFonts w:cs="Calibri"/>
                <w:color w:val="7030A0"/>
                <w:sz w:val="14"/>
              </w:rPr>
            </w:pPr>
            <w:r w:rsidRPr="00FB3AD2">
              <w:rPr>
                <w:rFonts w:cs="Calibri"/>
                <w:color w:val="7030A0"/>
                <w:sz w:val="14"/>
              </w:rPr>
              <w:t>AASB 13.93(e)</w:t>
            </w:r>
          </w:p>
        </w:tc>
        <w:tc>
          <w:tcPr>
            <w:tcW w:w="4119" w:type="pct"/>
            <w:gridSpan w:val="6"/>
            <w:tcBorders>
              <w:top w:val="nil"/>
              <w:left w:val="single" w:sz="2" w:space="0" w:color="auto"/>
              <w:bottom w:val="nil"/>
              <w:right w:val="nil"/>
            </w:tcBorders>
          </w:tcPr>
          <w:p w14:paraId="63C7C1D8" w14:textId="4AA00D31" w:rsidR="000413C4" w:rsidRPr="00FB3AD2" w:rsidRDefault="000413C4" w:rsidP="000413C4">
            <w:pPr>
              <w:rPr>
                <w:b/>
                <w:sz w:val="16"/>
                <w:highlight w:val="yellow"/>
              </w:rPr>
            </w:pPr>
            <w:r w:rsidRPr="00FB3AD2">
              <w:rPr>
                <w:b/>
                <w:sz w:val="18"/>
                <w:szCs w:val="18"/>
              </w:rPr>
              <w:t>Fair Value Measurements using Significant Unobservable Inputs (Level 3)</w:t>
            </w:r>
          </w:p>
        </w:tc>
      </w:tr>
      <w:tr w:rsidR="0070081A" w:rsidRPr="00DA3E2F" w14:paraId="5D41A42F" w14:textId="77777777" w:rsidTr="005F5B4C">
        <w:trPr>
          <w:cantSplit/>
          <w:trHeight w:val="23"/>
        </w:trPr>
        <w:tc>
          <w:tcPr>
            <w:tcW w:w="510" w:type="pct"/>
            <w:tcBorders>
              <w:top w:val="nil"/>
              <w:left w:val="single" w:sz="2" w:space="0" w:color="auto"/>
              <w:bottom w:val="nil"/>
              <w:right w:val="single" w:sz="2" w:space="0" w:color="auto"/>
            </w:tcBorders>
          </w:tcPr>
          <w:p w14:paraId="20D8EF39"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849D444" w14:textId="77777777" w:rsidR="000413C4" w:rsidRPr="00FB3AD2" w:rsidRDefault="000413C4" w:rsidP="000413C4">
            <w:pPr>
              <w:rPr>
                <w:b/>
                <w:sz w:val="18"/>
                <w:szCs w:val="18"/>
              </w:rPr>
            </w:pPr>
          </w:p>
        </w:tc>
        <w:tc>
          <w:tcPr>
            <w:tcW w:w="325" w:type="pct"/>
            <w:tcBorders>
              <w:top w:val="nil"/>
              <w:left w:val="nil"/>
              <w:bottom w:val="nil"/>
              <w:right w:val="nil"/>
            </w:tcBorders>
            <w:vAlign w:val="bottom"/>
          </w:tcPr>
          <w:p w14:paraId="53612000" w14:textId="32DA99CE" w:rsidR="000413C4" w:rsidRPr="00FB3AD2" w:rsidRDefault="000413C4" w:rsidP="000413C4">
            <w:pPr>
              <w:jc w:val="right"/>
              <w:rPr>
                <w:b/>
                <w:sz w:val="18"/>
                <w:szCs w:val="18"/>
              </w:rPr>
            </w:pPr>
            <w:r w:rsidRPr="00FB3AD2">
              <w:rPr>
                <w:b/>
                <w:sz w:val="18"/>
                <w:szCs w:val="18"/>
              </w:rPr>
              <w:t>Land</w:t>
            </w:r>
          </w:p>
        </w:tc>
        <w:tc>
          <w:tcPr>
            <w:tcW w:w="324" w:type="pct"/>
            <w:tcBorders>
              <w:top w:val="nil"/>
              <w:left w:val="nil"/>
              <w:bottom w:val="nil"/>
              <w:right w:val="nil"/>
            </w:tcBorders>
            <w:vAlign w:val="bottom"/>
          </w:tcPr>
          <w:p w14:paraId="50157E09" w14:textId="4ED7B453" w:rsidR="000413C4" w:rsidRPr="00FB3AD2" w:rsidRDefault="000413C4" w:rsidP="000413C4">
            <w:pPr>
              <w:jc w:val="right"/>
              <w:rPr>
                <w:b/>
                <w:sz w:val="18"/>
                <w:szCs w:val="18"/>
              </w:rPr>
            </w:pPr>
            <w:r w:rsidRPr="00FB3AD2">
              <w:rPr>
                <w:b/>
                <w:sz w:val="18"/>
                <w:szCs w:val="18"/>
              </w:rPr>
              <w:t>Buildings</w:t>
            </w:r>
          </w:p>
        </w:tc>
        <w:tc>
          <w:tcPr>
            <w:tcW w:w="462" w:type="pct"/>
            <w:tcBorders>
              <w:top w:val="nil"/>
              <w:left w:val="nil"/>
              <w:bottom w:val="nil"/>
              <w:right w:val="nil"/>
            </w:tcBorders>
            <w:vAlign w:val="bottom"/>
          </w:tcPr>
          <w:p w14:paraId="03182FC0" w14:textId="77777777" w:rsidR="000413C4" w:rsidRPr="00FB3AD2" w:rsidRDefault="000413C4" w:rsidP="000413C4">
            <w:pPr>
              <w:jc w:val="right"/>
              <w:rPr>
                <w:b/>
                <w:sz w:val="18"/>
                <w:szCs w:val="18"/>
              </w:rPr>
            </w:pPr>
            <w:r w:rsidRPr="00FB3AD2">
              <w:rPr>
                <w:b/>
                <w:sz w:val="18"/>
                <w:szCs w:val="18"/>
              </w:rPr>
              <w:t>Leasehold</w:t>
            </w:r>
          </w:p>
          <w:p w14:paraId="6390F789" w14:textId="51EC7A3E" w:rsidR="000413C4" w:rsidRPr="00FB3AD2" w:rsidRDefault="000413C4" w:rsidP="000413C4">
            <w:pPr>
              <w:jc w:val="right"/>
              <w:rPr>
                <w:b/>
                <w:sz w:val="18"/>
                <w:szCs w:val="18"/>
              </w:rPr>
            </w:pPr>
            <w:r w:rsidRPr="00FB3AD2">
              <w:rPr>
                <w:b/>
                <w:sz w:val="18"/>
                <w:szCs w:val="18"/>
              </w:rPr>
              <w:t>Improvements</w:t>
            </w:r>
          </w:p>
        </w:tc>
        <w:tc>
          <w:tcPr>
            <w:tcW w:w="417" w:type="pct"/>
            <w:tcBorders>
              <w:top w:val="nil"/>
              <w:left w:val="nil"/>
              <w:bottom w:val="nil"/>
              <w:right w:val="nil"/>
            </w:tcBorders>
            <w:vAlign w:val="bottom"/>
          </w:tcPr>
          <w:p w14:paraId="6EE8F145" w14:textId="77777777" w:rsidR="000413C4" w:rsidRPr="00FB3AD2" w:rsidRDefault="000413C4" w:rsidP="000413C4">
            <w:pPr>
              <w:jc w:val="right"/>
              <w:rPr>
                <w:b/>
                <w:sz w:val="18"/>
                <w:szCs w:val="18"/>
              </w:rPr>
            </w:pPr>
            <w:r w:rsidRPr="00FB3AD2">
              <w:rPr>
                <w:b/>
                <w:sz w:val="18"/>
                <w:szCs w:val="18"/>
              </w:rPr>
              <w:t>Infrastructure</w:t>
            </w:r>
          </w:p>
          <w:p w14:paraId="4B751B8F" w14:textId="797CD9DA" w:rsidR="000413C4" w:rsidRPr="00FB3AD2" w:rsidRDefault="000413C4" w:rsidP="000413C4">
            <w:pPr>
              <w:jc w:val="right"/>
              <w:rPr>
                <w:b/>
                <w:sz w:val="18"/>
                <w:szCs w:val="18"/>
              </w:rPr>
            </w:pPr>
            <w:r w:rsidRPr="00FB3AD2">
              <w:rPr>
                <w:b/>
                <w:sz w:val="18"/>
                <w:szCs w:val="18"/>
              </w:rPr>
              <w:t>Assets</w:t>
            </w:r>
          </w:p>
        </w:tc>
        <w:tc>
          <w:tcPr>
            <w:tcW w:w="509" w:type="pct"/>
            <w:tcBorders>
              <w:top w:val="nil"/>
              <w:left w:val="nil"/>
              <w:bottom w:val="nil"/>
              <w:right w:val="nil"/>
            </w:tcBorders>
          </w:tcPr>
          <w:p w14:paraId="2E6BE47B" w14:textId="52580AEF" w:rsidR="000413C4" w:rsidRPr="00FB3AD2" w:rsidRDefault="000413C4" w:rsidP="000413C4">
            <w:pPr>
              <w:jc w:val="right"/>
              <w:rPr>
                <w:b/>
                <w:sz w:val="18"/>
                <w:szCs w:val="18"/>
              </w:rPr>
            </w:pPr>
            <w:r w:rsidRPr="00FB3AD2">
              <w:rPr>
                <w:b/>
                <w:sz w:val="18"/>
                <w:szCs w:val="18"/>
              </w:rPr>
              <w:t>Community and Heritage Assets</w:t>
            </w:r>
          </w:p>
        </w:tc>
        <w:tc>
          <w:tcPr>
            <w:tcW w:w="371" w:type="pct"/>
            <w:tcBorders>
              <w:top w:val="nil"/>
              <w:left w:val="nil"/>
              <w:bottom w:val="nil"/>
              <w:right w:val="nil"/>
            </w:tcBorders>
            <w:vAlign w:val="bottom"/>
          </w:tcPr>
          <w:p w14:paraId="3D5E1468" w14:textId="2293AB5D" w:rsidR="000413C4" w:rsidRPr="00FB3AD2" w:rsidRDefault="000413C4" w:rsidP="000413C4">
            <w:pPr>
              <w:jc w:val="right"/>
              <w:rPr>
                <w:b/>
                <w:sz w:val="18"/>
                <w:szCs w:val="18"/>
              </w:rPr>
            </w:pPr>
            <w:r w:rsidRPr="00FB3AD2">
              <w:rPr>
                <w:b/>
                <w:sz w:val="18"/>
                <w:szCs w:val="18"/>
              </w:rPr>
              <w:t>Total</w:t>
            </w:r>
          </w:p>
        </w:tc>
      </w:tr>
      <w:tr w:rsidR="0070081A" w:rsidRPr="00DA3E2F" w14:paraId="09ADA954" w14:textId="77777777" w:rsidTr="005F5B4C">
        <w:trPr>
          <w:cantSplit/>
          <w:trHeight w:val="23"/>
        </w:trPr>
        <w:tc>
          <w:tcPr>
            <w:tcW w:w="510" w:type="pct"/>
            <w:tcBorders>
              <w:top w:val="nil"/>
              <w:left w:val="single" w:sz="2" w:space="0" w:color="auto"/>
              <w:bottom w:val="nil"/>
              <w:right w:val="single" w:sz="2" w:space="0" w:color="auto"/>
            </w:tcBorders>
          </w:tcPr>
          <w:p w14:paraId="678AEB68"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775D058" w14:textId="77777777" w:rsidR="000413C4" w:rsidRPr="00FB3AD2" w:rsidRDefault="000413C4" w:rsidP="000413C4">
            <w:pPr>
              <w:rPr>
                <w:b/>
                <w:sz w:val="18"/>
                <w:szCs w:val="18"/>
              </w:rPr>
            </w:pPr>
          </w:p>
        </w:tc>
        <w:tc>
          <w:tcPr>
            <w:tcW w:w="325" w:type="pct"/>
            <w:tcBorders>
              <w:top w:val="nil"/>
              <w:left w:val="nil"/>
              <w:bottom w:val="nil"/>
              <w:right w:val="nil"/>
            </w:tcBorders>
          </w:tcPr>
          <w:p w14:paraId="5DC69875" w14:textId="4F3985DC" w:rsidR="000413C4" w:rsidRPr="00FB3AD2" w:rsidRDefault="000413C4" w:rsidP="000413C4">
            <w:pPr>
              <w:jc w:val="right"/>
              <w:rPr>
                <w:b/>
                <w:sz w:val="18"/>
                <w:szCs w:val="18"/>
              </w:rPr>
            </w:pPr>
            <w:r w:rsidRPr="00FB3AD2">
              <w:rPr>
                <w:b/>
                <w:sz w:val="18"/>
                <w:szCs w:val="18"/>
              </w:rPr>
              <w:t>$’000</w:t>
            </w:r>
          </w:p>
        </w:tc>
        <w:tc>
          <w:tcPr>
            <w:tcW w:w="324" w:type="pct"/>
            <w:tcBorders>
              <w:top w:val="nil"/>
              <w:left w:val="nil"/>
              <w:bottom w:val="nil"/>
              <w:right w:val="nil"/>
            </w:tcBorders>
          </w:tcPr>
          <w:p w14:paraId="26D3AE33" w14:textId="61EAD677" w:rsidR="000413C4" w:rsidRPr="00FB3AD2" w:rsidRDefault="000413C4" w:rsidP="000413C4">
            <w:pPr>
              <w:jc w:val="right"/>
              <w:rPr>
                <w:b/>
                <w:sz w:val="18"/>
                <w:szCs w:val="18"/>
              </w:rPr>
            </w:pPr>
            <w:r w:rsidRPr="00FB3AD2">
              <w:rPr>
                <w:b/>
                <w:sz w:val="18"/>
                <w:szCs w:val="18"/>
              </w:rPr>
              <w:t>$’000</w:t>
            </w:r>
          </w:p>
        </w:tc>
        <w:tc>
          <w:tcPr>
            <w:tcW w:w="462" w:type="pct"/>
            <w:tcBorders>
              <w:top w:val="nil"/>
              <w:left w:val="nil"/>
              <w:bottom w:val="nil"/>
              <w:right w:val="nil"/>
            </w:tcBorders>
          </w:tcPr>
          <w:p w14:paraId="21CEB15F" w14:textId="0E5E264E" w:rsidR="000413C4" w:rsidRPr="00FB3AD2" w:rsidRDefault="000413C4" w:rsidP="000413C4">
            <w:pPr>
              <w:jc w:val="right"/>
              <w:rPr>
                <w:b/>
                <w:sz w:val="18"/>
                <w:szCs w:val="18"/>
              </w:rPr>
            </w:pPr>
            <w:r w:rsidRPr="00FB3AD2">
              <w:rPr>
                <w:b/>
                <w:sz w:val="18"/>
                <w:szCs w:val="18"/>
              </w:rPr>
              <w:t>$’000</w:t>
            </w:r>
          </w:p>
        </w:tc>
        <w:tc>
          <w:tcPr>
            <w:tcW w:w="417" w:type="pct"/>
            <w:tcBorders>
              <w:top w:val="nil"/>
              <w:left w:val="nil"/>
              <w:bottom w:val="nil"/>
              <w:right w:val="nil"/>
            </w:tcBorders>
          </w:tcPr>
          <w:p w14:paraId="117750FF" w14:textId="0DC83935" w:rsidR="000413C4" w:rsidRPr="00FB3AD2" w:rsidRDefault="000413C4" w:rsidP="000413C4">
            <w:pPr>
              <w:jc w:val="right"/>
              <w:rPr>
                <w:b/>
                <w:sz w:val="18"/>
                <w:szCs w:val="18"/>
              </w:rPr>
            </w:pPr>
            <w:r w:rsidRPr="00FB3AD2">
              <w:rPr>
                <w:b/>
                <w:sz w:val="18"/>
                <w:szCs w:val="18"/>
              </w:rPr>
              <w:t>$’000</w:t>
            </w:r>
          </w:p>
        </w:tc>
        <w:tc>
          <w:tcPr>
            <w:tcW w:w="509" w:type="pct"/>
            <w:tcBorders>
              <w:top w:val="nil"/>
              <w:left w:val="nil"/>
              <w:bottom w:val="nil"/>
              <w:right w:val="nil"/>
            </w:tcBorders>
          </w:tcPr>
          <w:p w14:paraId="50661048" w14:textId="16A84F10" w:rsidR="000413C4" w:rsidRPr="00FB3AD2" w:rsidRDefault="000413C4" w:rsidP="000413C4">
            <w:pPr>
              <w:jc w:val="right"/>
              <w:rPr>
                <w:b/>
                <w:sz w:val="18"/>
                <w:szCs w:val="18"/>
              </w:rPr>
            </w:pPr>
            <w:r w:rsidRPr="00FB3AD2">
              <w:rPr>
                <w:b/>
                <w:sz w:val="18"/>
                <w:szCs w:val="18"/>
              </w:rPr>
              <w:t>$’000</w:t>
            </w:r>
          </w:p>
        </w:tc>
        <w:tc>
          <w:tcPr>
            <w:tcW w:w="371" w:type="pct"/>
            <w:tcBorders>
              <w:top w:val="nil"/>
              <w:left w:val="nil"/>
              <w:bottom w:val="nil"/>
              <w:right w:val="nil"/>
            </w:tcBorders>
          </w:tcPr>
          <w:p w14:paraId="296B050E" w14:textId="49959989" w:rsidR="000413C4" w:rsidRPr="00FB3AD2" w:rsidRDefault="000413C4" w:rsidP="000413C4">
            <w:pPr>
              <w:jc w:val="right"/>
              <w:rPr>
                <w:b/>
                <w:sz w:val="18"/>
                <w:szCs w:val="18"/>
              </w:rPr>
            </w:pPr>
            <w:r w:rsidRPr="00FB3AD2">
              <w:rPr>
                <w:b/>
                <w:sz w:val="18"/>
                <w:szCs w:val="18"/>
              </w:rPr>
              <w:t>$’000</w:t>
            </w:r>
          </w:p>
        </w:tc>
      </w:tr>
      <w:tr w:rsidR="0070081A" w:rsidRPr="00DA3E2F" w14:paraId="112D02D3" w14:textId="77777777" w:rsidTr="005F5B4C">
        <w:trPr>
          <w:cantSplit/>
          <w:trHeight w:val="23"/>
        </w:trPr>
        <w:tc>
          <w:tcPr>
            <w:tcW w:w="510" w:type="pct"/>
            <w:tcBorders>
              <w:top w:val="nil"/>
              <w:left w:val="single" w:sz="2" w:space="0" w:color="auto"/>
              <w:bottom w:val="nil"/>
              <w:right w:val="single" w:sz="2" w:space="0" w:color="auto"/>
            </w:tcBorders>
          </w:tcPr>
          <w:p w14:paraId="06B796B3"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C1D0195" w14:textId="2570E9CF" w:rsidR="000413C4" w:rsidRPr="00FB3AD2" w:rsidRDefault="000413C4" w:rsidP="000413C4">
            <w:pPr>
              <w:spacing w:after="40"/>
              <w:rPr>
                <w:b/>
                <w:sz w:val="18"/>
                <w:szCs w:val="18"/>
              </w:rPr>
            </w:pPr>
            <w:r w:rsidRPr="00FB3AD2">
              <w:rPr>
                <w:rFonts w:cs="Calibri"/>
                <w:b/>
                <w:bCs/>
                <w:sz w:val="18"/>
                <w:szCs w:val="18"/>
              </w:rPr>
              <w:t>2022</w:t>
            </w:r>
          </w:p>
        </w:tc>
        <w:tc>
          <w:tcPr>
            <w:tcW w:w="325" w:type="pct"/>
            <w:tcBorders>
              <w:top w:val="nil"/>
              <w:left w:val="nil"/>
              <w:bottom w:val="nil"/>
              <w:right w:val="nil"/>
            </w:tcBorders>
          </w:tcPr>
          <w:p w14:paraId="0FD27F95" w14:textId="77777777" w:rsidR="000413C4" w:rsidRPr="00FB3AD2" w:rsidRDefault="000413C4" w:rsidP="000413C4">
            <w:pPr>
              <w:jc w:val="right"/>
              <w:rPr>
                <w:b/>
                <w:sz w:val="16"/>
              </w:rPr>
            </w:pPr>
          </w:p>
        </w:tc>
        <w:tc>
          <w:tcPr>
            <w:tcW w:w="324" w:type="pct"/>
            <w:tcBorders>
              <w:top w:val="nil"/>
              <w:left w:val="nil"/>
              <w:bottom w:val="nil"/>
              <w:right w:val="nil"/>
            </w:tcBorders>
          </w:tcPr>
          <w:p w14:paraId="1975316D" w14:textId="77777777" w:rsidR="000413C4" w:rsidRPr="00FB3AD2" w:rsidRDefault="000413C4" w:rsidP="000413C4">
            <w:pPr>
              <w:jc w:val="right"/>
              <w:rPr>
                <w:b/>
                <w:sz w:val="16"/>
              </w:rPr>
            </w:pPr>
          </w:p>
        </w:tc>
        <w:tc>
          <w:tcPr>
            <w:tcW w:w="462" w:type="pct"/>
            <w:tcBorders>
              <w:top w:val="nil"/>
              <w:left w:val="nil"/>
              <w:bottom w:val="nil"/>
              <w:right w:val="nil"/>
            </w:tcBorders>
          </w:tcPr>
          <w:p w14:paraId="3FF5E236" w14:textId="77777777" w:rsidR="000413C4" w:rsidRPr="00FB3AD2" w:rsidRDefault="000413C4" w:rsidP="000413C4">
            <w:pPr>
              <w:jc w:val="right"/>
              <w:rPr>
                <w:b/>
                <w:sz w:val="16"/>
              </w:rPr>
            </w:pPr>
          </w:p>
        </w:tc>
        <w:tc>
          <w:tcPr>
            <w:tcW w:w="417" w:type="pct"/>
            <w:tcBorders>
              <w:top w:val="nil"/>
              <w:left w:val="nil"/>
              <w:bottom w:val="nil"/>
              <w:right w:val="nil"/>
            </w:tcBorders>
          </w:tcPr>
          <w:p w14:paraId="56F4139F" w14:textId="77777777" w:rsidR="000413C4" w:rsidRPr="00FB3AD2" w:rsidRDefault="000413C4" w:rsidP="000413C4">
            <w:pPr>
              <w:jc w:val="right"/>
              <w:rPr>
                <w:b/>
                <w:sz w:val="16"/>
              </w:rPr>
            </w:pPr>
          </w:p>
        </w:tc>
        <w:tc>
          <w:tcPr>
            <w:tcW w:w="509" w:type="pct"/>
            <w:tcBorders>
              <w:top w:val="nil"/>
              <w:left w:val="nil"/>
              <w:bottom w:val="nil"/>
              <w:right w:val="nil"/>
            </w:tcBorders>
          </w:tcPr>
          <w:p w14:paraId="60803D34" w14:textId="77777777" w:rsidR="000413C4" w:rsidRPr="00FB3AD2" w:rsidRDefault="000413C4" w:rsidP="000413C4">
            <w:pPr>
              <w:jc w:val="right"/>
              <w:rPr>
                <w:b/>
                <w:sz w:val="16"/>
              </w:rPr>
            </w:pPr>
          </w:p>
        </w:tc>
        <w:tc>
          <w:tcPr>
            <w:tcW w:w="371" w:type="pct"/>
            <w:tcBorders>
              <w:top w:val="nil"/>
              <w:left w:val="nil"/>
              <w:bottom w:val="nil"/>
              <w:right w:val="nil"/>
            </w:tcBorders>
          </w:tcPr>
          <w:p w14:paraId="6CA1AB14" w14:textId="768B7E7B" w:rsidR="000413C4" w:rsidRPr="00FB3AD2" w:rsidRDefault="000413C4" w:rsidP="000413C4">
            <w:pPr>
              <w:jc w:val="right"/>
              <w:rPr>
                <w:b/>
                <w:sz w:val="16"/>
              </w:rPr>
            </w:pPr>
          </w:p>
        </w:tc>
      </w:tr>
      <w:tr w:rsidR="0070081A" w:rsidRPr="00DA3E2F" w14:paraId="6DAD5716" w14:textId="77777777" w:rsidTr="005F5B4C">
        <w:trPr>
          <w:cantSplit/>
          <w:trHeight w:val="23"/>
        </w:trPr>
        <w:tc>
          <w:tcPr>
            <w:tcW w:w="510" w:type="pct"/>
            <w:tcBorders>
              <w:top w:val="nil"/>
              <w:left w:val="single" w:sz="2" w:space="0" w:color="auto"/>
              <w:bottom w:val="nil"/>
              <w:right w:val="single" w:sz="2" w:space="0" w:color="auto"/>
            </w:tcBorders>
          </w:tcPr>
          <w:p w14:paraId="6BE7EA75"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B1A74FA" w14:textId="1C231407" w:rsidR="000413C4" w:rsidRPr="00FB3AD2" w:rsidRDefault="000413C4" w:rsidP="000413C4">
            <w:pPr>
              <w:spacing w:after="40"/>
              <w:rPr>
                <w:b/>
                <w:sz w:val="18"/>
                <w:szCs w:val="18"/>
              </w:rPr>
            </w:pPr>
            <w:r w:rsidRPr="00FB3AD2">
              <w:rPr>
                <w:sz w:val="18"/>
                <w:szCs w:val="18"/>
              </w:rPr>
              <w:t xml:space="preserve">Fair Value at </w:t>
            </w:r>
            <w:r w:rsidR="00E23F3D" w:rsidRPr="00FB3AD2">
              <w:rPr>
                <w:sz w:val="18"/>
                <w:szCs w:val="18"/>
              </w:rPr>
              <w:t xml:space="preserve">the </w:t>
            </w:r>
            <w:r w:rsidR="00012531" w:rsidRPr="00FB3AD2">
              <w:rPr>
                <w:sz w:val="18"/>
                <w:szCs w:val="18"/>
              </w:rPr>
              <w:t>B</w:t>
            </w:r>
            <w:r w:rsidRPr="00FB3AD2">
              <w:rPr>
                <w:sz w:val="18"/>
                <w:szCs w:val="18"/>
              </w:rPr>
              <w:t xml:space="preserve">eginning of the </w:t>
            </w:r>
            <w:r w:rsidR="00012531" w:rsidRPr="00FB3AD2">
              <w:rPr>
                <w:sz w:val="18"/>
                <w:szCs w:val="18"/>
              </w:rPr>
              <w:t>R</w:t>
            </w:r>
            <w:r w:rsidRPr="00FB3AD2">
              <w:rPr>
                <w:sz w:val="18"/>
                <w:szCs w:val="18"/>
              </w:rPr>
              <w:t xml:space="preserve">eporting </w:t>
            </w:r>
            <w:r w:rsidR="00012531" w:rsidRPr="00FB3AD2">
              <w:rPr>
                <w:sz w:val="18"/>
                <w:szCs w:val="18"/>
              </w:rPr>
              <w:t>P</w:t>
            </w:r>
            <w:r w:rsidRPr="00FB3AD2">
              <w:rPr>
                <w:sz w:val="18"/>
                <w:szCs w:val="18"/>
              </w:rPr>
              <w:t>eriod</w:t>
            </w:r>
          </w:p>
        </w:tc>
        <w:tc>
          <w:tcPr>
            <w:tcW w:w="325" w:type="pct"/>
            <w:tcBorders>
              <w:top w:val="nil"/>
              <w:left w:val="nil"/>
              <w:bottom w:val="nil"/>
              <w:right w:val="nil"/>
            </w:tcBorders>
          </w:tcPr>
          <w:p w14:paraId="01067902" w14:textId="77777777" w:rsidR="000413C4" w:rsidRPr="00FB3AD2" w:rsidRDefault="000413C4" w:rsidP="000413C4">
            <w:pPr>
              <w:rPr>
                <w:b/>
                <w:sz w:val="18"/>
                <w:szCs w:val="18"/>
              </w:rPr>
            </w:pPr>
          </w:p>
        </w:tc>
        <w:tc>
          <w:tcPr>
            <w:tcW w:w="324" w:type="pct"/>
            <w:tcBorders>
              <w:top w:val="nil"/>
              <w:left w:val="nil"/>
              <w:bottom w:val="nil"/>
              <w:right w:val="nil"/>
            </w:tcBorders>
          </w:tcPr>
          <w:p w14:paraId="705D0190" w14:textId="77777777" w:rsidR="000413C4" w:rsidRPr="00FB3AD2" w:rsidRDefault="000413C4" w:rsidP="000413C4">
            <w:pPr>
              <w:rPr>
                <w:b/>
                <w:sz w:val="18"/>
                <w:szCs w:val="18"/>
              </w:rPr>
            </w:pPr>
          </w:p>
        </w:tc>
        <w:tc>
          <w:tcPr>
            <w:tcW w:w="462" w:type="pct"/>
            <w:tcBorders>
              <w:top w:val="nil"/>
              <w:left w:val="nil"/>
              <w:bottom w:val="nil"/>
              <w:right w:val="nil"/>
            </w:tcBorders>
          </w:tcPr>
          <w:p w14:paraId="3B11E83A" w14:textId="77777777" w:rsidR="000413C4" w:rsidRPr="00FB3AD2" w:rsidRDefault="000413C4" w:rsidP="000413C4">
            <w:pPr>
              <w:rPr>
                <w:b/>
                <w:sz w:val="18"/>
                <w:szCs w:val="18"/>
              </w:rPr>
            </w:pPr>
          </w:p>
        </w:tc>
        <w:tc>
          <w:tcPr>
            <w:tcW w:w="417" w:type="pct"/>
            <w:tcBorders>
              <w:top w:val="nil"/>
              <w:left w:val="nil"/>
              <w:bottom w:val="nil"/>
              <w:right w:val="nil"/>
            </w:tcBorders>
          </w:tcPr>
          <w:p w14:paraId="3906C247" w14:textId="77777777" w:rsidR="000413C4" w:rsidRPr="00FB3AD2" w:rsidRDefault="000413C4" w:rsidP="000413C4">
            <w:pPr>
              <w:rPr>
                <w:b/>
                <w:sz w:val="18"/>
                <w:szCs w:val="18"/>
              </w:rPr>
            </w:pPr>
          </w:p>
        </w:tc>
        <w:tc>
          <w:tcPr>
            <w:tcW w:w="509" w:type="pct"/>
            <w:tcBorders>
              <w:top w:val="nil"/>
              <w:left w:val="nil"/>
              <w:bottom w:val="nil"/>
              <w:right w:val="nil"/>
            </w:tcBorders>
          </w:tcPr>
          <w:p w14:paraId="767453B5" w14:textId="77777777" w:rsidR="000413C4" w:rsidRPr="00FB3AD2" w:rsidRDefault="000413C4" w:rsidP="000413C4">
            <w:pPr>
              <w:rPr>
                <w:b/>
                <w:sz w:val="18"/>
                <w:szCs w:val="18"/>
              </w:rPr>
            </w:pPr>
          </w:p>
        </w:tc>
        <w:tc>
          <w:tcPr>
            <w:tcW w:w="371" w:type="pct"/>
            <w:tcBorders>
              <w:top w:val="nil"/>
              <w:left w:val="nil"/>
              <w:bottom w:val="nil"/>
              <w:right w:val="nil"/>
            </w:tcBorders>
          </w:tcPr>
          <w:p w14:paraId="5357E307" w14:textId="32B8CBEF" w:rsidR="000413C4" w:rsidRPr="00FB3AD2" w:rsidRDefault="000413C4" w:rsidP="000413C4">
            <w:pPr>
              <w:rPr>
                <w:b/>
                <w:sz w:val="18"/>
                <w:szCs w:val="18"/>
              </w:rPr>
            </w:pPr>
          </w:p>
        </w:tc>
      </w:tr>
      <w:tr w:rsidR="0070081A" w:rsidRPr="00DA3E2F" w14:paraId="160960D8" w14:textId="77777777" w:rsidTr="005F5B4C">
        <w:trPr>
          <w:cantSplit/>
          <w:trHeight w:val="23"/>
        </w:trPr>
        <w:tc>
          <w:tcPr>
            <w:tcW w:w="510" w:type="pct"/>
            <w:tcBorders>
              <w:top w:val="nil"/>
              <w:left w:val="single" w:sz="2" w:space="0" w:color="auto"/>
              <w:bottom w:val="nil"/>
              <w:right w:val="single" w:sz="2" w:space="0" w:color="auto"/>
            </w:tcBorders>
          </w:tcPr>
          <w:p w14:paraId="6790C640"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8126683" w14:textId="5821FF2F" w:rsidR="000413C4" w:rsidRPr="00FB3AD2" w:rsidRDefault="000413C4" w:rsidP="000413C4">
            <w:pPr>
              <w:spacing w:after="40"/>
              <w:rPr>
                <w:b/>
                <w:sz w:val="18"/>
                <w:szCs w:val="18"/>
              </w:rPr>
            </w:pPr>
            <w:r w:rsidRPr="00FB3AD2">
              <w:rPr>
                <w:sz w:val="18"/>
                <w:szCs w:val="18"/>
              </w:rPr>
              <w:t>Additions</w:t>
            </w:r>
          </w:p>
        </w:tc>
        <w:tc>
          <w:tcPr>
            <w:tcW w:w="325" w:type="pct"/>
            <w:tcBorders>
              <w:top w:val="nil"/>
              <w:left w:val="nil"/>
              <w:bottom w:val="nil"/>
              <w:right w:val="nil"/>
            </w:tcBorders>
          </w:tcPr>
          <w:p w14:paraId="34F3713A" w14:textId="77777777" w:rsidR="000413C4" w:rsidRPr="00FB3AD2" w:rsidRDefault="000413C4" w:rsidP="000413C4">
            <w:pPr>
              <w:rPr>
                <w:b/>
                <w:sz w:val="18"/>
                <w:szCs w:val="18"/>
              </w:rPr>
            </w:pPr>
          </w:p>
        </w:tc>
        <w:tc>
          <w:tcPr>
            <w:tcW w:w="324" w:type="pct"/>
            <w:tcBorders>
              <w:top w:val="nil"/>
              <w:left w:val="nil"/>
              <w:bottom w:val="nil"/>
              <w:right w:val="nil"/>
            </w:tcBorders>
          </w:tcPr>
          <w:p w14:paraId="7A4B9C67" w14:textId="77777777" w:rsidR="000413C4" w:rsidRPr="00FB3AD2" w:rsidRDefault="000413C4" w:rsidP="000413C4">
            <w:pPr>
              <w:rPr>
                <w:b/>
                <w:sz w:val="18"/>
                <w:szCs w:val="18"/>
              </w:rPr>
            </w:pPr>
          </w:p>
        </w:tc>
        <w:tc>
          <w:tcPr>
            <w:tcW w:w="462" w:type="pct"/>
            <w:tcBorders>
              <w:top w:val="nil"/>
              <w:left w:val="nil"/>
              <w:bottom w:val="nil"/>
              <w:right w:val="nil"/>
            </w:tcBorders>
          </w:tcPr>
          <w:p w14:paraId="41BC0F8F" w14:textId="77777777" w:rsidR="000413C4" w:rsidRPr="00FB3AD2" w:rsidRDefault="000413C4" w:rsidP="000413C4">
            <w:pPr>
              <w:rPr>
                <w:b/>
                <w:sz w:val="18"/>
                <w:szCs w:val="18"/>
              </w:rPr>
            </w:pPr>
          </w:p>
        </w:tc>
        <w:tc>
          <w:tcPr>
            <w:tcW w:w="417" w:type="pct"/>
            <w:tcBorders>
              <w:top w:val="nil"/>
              <w:left w:val="nil"/>
              <w:bottom w:val="nil"/>
              <w:right w:val="nil"/>
            </w:tcBorders>
          </w:tcPr>
          <w:p w14:paraId="66ADA967" w14:textId="77777777" w:rsidR="000413C4" w:rsidRPr="00FB3AD2" w:rsidRDefault="000413C4" w:rsidP="000413C4">
            <w:pPr>
              <w:rPr>
                <w:b/>
                <w:sz w:val="18"/>
                <w:szCs w:val="18"/>
              </w:rPr>
            </w:pPr>
          </w:p>
        </w:tc>
        <w:tc>
          <w:tcPr>
            <w:tcW w:w="509" w:type="pct"/>
            <w:tcBorders>
              <w:top w:val="nil"/>
              <w:left w:val="nil"/>
              <w:bottom w:val="nil"/>
              <w:right w:val="nil"/>
            </w:tcBorders>
          </w:tcPr>
          <w:p w14:paraId="3A7CD376" w14:textId="77777777" w:rsidR="000413C4" w:rsidRPr="00FB3AD2" w:rsidRDefault="000413C4" w:rsidP="000413C4">
            <w:pPr>
              <w:rPr>
                <w:b/>
                <w:sz w:val="18"/>
                <w:szCs w:val="18"/>
              </w:rPr>
            </w:pPr>
          </w:p>
        </w:tc>
        <w:tc>
          <w:tcPr>
            <w:tcW w:w="371" w:type="pct"/>
            <w:tcBorders>
              <w:top w:val="nil"/>
              <w:left w:val="nil"/>
              <w:bottom w:val="nil"/>
              <w:right w:val="nil"/>
            </w:tcBorders>
          </w:tcPr>
          <w:p w14:paraId="2F48C70F" w14:textId="67BC3652" w:rsidR="000413C4" w:rsidRPr="00FB3AD2" w:rsidRDefault="000413C4" w:rsidP="000413C4">
            <w:pPr>
              <w:rPr>
                <w:b/>
                <w:sz w:val="18"/>
                <w:szCs w:val="18"/>
              </w:rPr>
            </w:pPr>
          </w:p>
        </w:tc>
      </w:tr>
      <w:tr w:rsidR="0070081A" w:rsidRPr="00DA3E2F" w14:paraId="440F9606" w14:textId="77777777" w:rsidTr="005F5B4C">
        <w:trPr>
          <w:cantSplit/>
          <w:trHeight w:val="23"/>
        </w:trPr>
        <w:tc>
          <w:tcPr>
            <w:tcW w:w="510" w:type="pct"/>
            <w:tcBorders>
              <w:top w:val="nil"/>
              <w:left w:val="single" w:sz="2" w:space="0" w:color="auto"/>
              <w:bottom w:val="nil"/>
              <w:right w:val="single" w:sz="2" w:space="0" w:color="auto"/>
            </w:tcBorders>
          </w:tcPr>
          <w:p w14:paraId="0E6A523B"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FE14E9E" w14:textId="3A088890" w:rsidR="000413C4" w:rsidRPr="00FB3AD2" w:rsidRDefault="000413C4" w:rsidP="000413C4">
            <w:pPr>
              <w:spacing w:after="40"/>
              <w:rPr>
                <w:b/>
                <w:sz w:val="18"/>
                <w:szCs w:val="18"/>
              </w:rPr>
            </w:pPr>
            <w:r w:rsidRPr="00FB3AD2">
              <w:rPr>
                <w:sz w:val="18"/>
                <w:szCs w:val="18"/>
              </w:rPr>
              <w:t>Assets Classified as Held for Sale</w:t>
            </w:r>
          </w:p>
        </w:tc>
        <w:tc>
          <w:tcPr>
            <w:tcW w:w="325" w:type="pct"/>
            <w:tcBorders>
              <w:top w:val="nil"/>
              <w:left w:val="nil"/>
              <w:bottom w:val="nil"/>
              <w:right w:val="nil"/>
            </w:tcBorders>
          </w:tcPr>
          <w:p w14:paraId="2191CB2F" w14:textId="77777777" w:rsidR="000413C4" w:rsidRPr="00FB3AD2" w:rsidRDefault="000413C4" w:rsidP="000413C4">
            <w:pPr>
              <w:rPr>
                <w:b/>
                <w:sz w:val="18"/>
                <w:szCs w:val="18"/>
              </w:rPr>
            </w:pPr>
          </w:p>
        </w:tc>
        <w:tc>
          <w:tcPr>
            <w:tcW w:w="324" w:type="pct"/>
            <w:tcBorders>
              <w:top w:val="nil"/>
              <w:left w:val="nil"/>
              <w:bottom w:val="nil"/>
              <w:right w:val="nil"/>
            </w:tcBorders>
          </w:tcPr>
          <w:p w14:paraId="712C7DFF" w14:textId="77777777" w:rsidR="000413C4" w:rsidRPr="00FB3AD2" w:rsidRDefault="000413C4" w:rsidP="000413C4">
            <w:pPr>
              <w:rPr>
                <w:b/>
                <w:sz w:val="18"/>
                <w:szCs w:val="18"/>
              </w:rPr>
            </w:pPr>
          </w:p>
        </w:tc>
        <w:tc>
          <w:tcPr>
            <w:tcW w:w="462" w:type="pct"/>
            <w:tcBorders>
              <w:top w:val="nil"/>
              <w:left w:val="nil"/>
              <w:bottom w:val="nil"/>
              <w:right w:val="nil"/>
            </w:tcBorders>
          </w:tcPr>
          <w:p w14:paraId="52EA9B1E" w14:textId="77777777" w:rsidR="000413C4" w:rsidRPr="00FB3AD2" w:rsidRDefault="000413C4" w:rsidP="000413C4">
            <w:pPr>
              <w:rPr>
                <w:b/>
                <w:sz w:val="18"/>
                <w:szCs w:val="18"/>
              </w:rPr>
            </w:pPr>
          </w:p>
        </w:tc>
        <w:tc>
          <w:tcPr>
            <w:tcW w:w="417" w:type="pct"/>
            <w:tcBorders>
              <w:top w:val="nil"/>
              <w:left w:val="nil"/>
              <w:bottom w:val="nil"/>
              <w:right w:val="nil"/>
            </w:tcBorders>
          </w:tcPr>
          <w:p w14:paraId="0D4DB4EE" w14:textId="77777777" w:rsidR="000413C4" w:rsidRPr="00FB3AD2" w:rsidRDefault="000413C4" w:rsidP="000413C4">
            <w:pPr>
              <w:rPr>
                <w:b/>
                <w:sz w:val="18"/>
                <w:szCs w:val="18"/>
              </w:rPr>
            </w:pPr>
          </w:p>
        </w:tc>
        <w:tc>
          <w:tcPr>
            <w:tcW w:w="509" w:type="pct"/>
            <w:tcBorders>
              <w:top w:val="nil"/>
              <w:left w:val="nil"/>
              <w:bottom w:val="nil"/>
              <w:right w:val="nil"/>
            </w:tcBorders>
          </w:tcPr>
          <w:p w14:paraId="7E51E342" w14:textId="77777777" w:rsidR="000413C4" w:rsidRPr="00FB3AD2" w:rsidRDefault="000413C4" w:rsidP="000413C4">
            <w:pPr>
              <w:rPr>
                <w:b/>
                <w:sz w:val="18"/>
                <w:szCs w:val="18"/>
              </w:rPr>
            </w:pPr>
          </w:p>
        </w:tc>
        <w:tc>
          <w:tcPr>
            <w:tcW w:w="371" w:type="pct"/>
            <w:tcBorders>
              <w:top w:val="nil"/>
              <w:left w:val="nil"/>
              <w:bottom w:val="nil"/>
              <w:right w:val="nil"/>
            </w:tcBorders>
          </w:tcPr>
          <w:p w14:paraId="7922B891" w14:textId="61C93061" w:rsidR="000413C4" w:rsidRPr="00FB3AD2" w:rsidRDefault="000413C4" w:rsidP="000413C4">
            <w:pPr>
              <w:rPr>
                <w:b/>
                <w:sz w:val="18"/>
                <w:szCs w:val="18"/>
              </w:rPr>
            </w:pPr>
          </w:p>
        </w:tc>
      </w:tr>
      <w:tr w:rsidR="0070081A" w:rsidRPr="00DA3E2F" w14:paraId="4AB23C7E" w14:textId="77777777" w:rsidTr="005F5B4C">
        <w:trPr>
          <w:cantSplit/>
          <w:trHeight w:val="23"/>
        </w:trPr>
        <w:tc>
          <w:tcPr>
            <w:tcW w:w="510" w:type="pct"/>
            <w:tcBorders>
              <w:top w:val="nil"/>
              <w:left w:val="single" w:sz="2" w:space="0" w:color="auto"/>
              <w:bottom w:val="nil"/>
              <w:right w:val="single" w:sz="2" w:space="0" w:color="auto"/>
            </w:tcBorders>
          </w:tcPr>
          <w:p w14:paraId="4C5EB8E1"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68E7671A" w14:textId="53B24F3C" w:rsidR="000413C4" w:rsidRPr="00FB3AD2" w:rsidRDefault="000413C4" w:rsidP="000413C4">
            <w:pPr>
              <w:spacing w:after="40"/>
              <w:rPr>
                <w:b/>
                <w:sz w:val="18"/>
                <w:szCs w:val="18"/>
              </w:rPr>
            </w:pPr>
            <w:r w:rsidRPr="00FB3AD2">
              <w:rPr>
                <w:sz w:val="18"/>
                <w:szCs w:val="18"/>
              </w:rPr>
              <w:t>Depreciation</w:t>
            </w:r>
          </w:p>
        </w:tc>
        <w:tc>
          <w:tcPr>
            <w:tcW w:w="325" w:type="pct"/>
            <w:tcBorders>
              <w:top w:val="nil"/>
              <w:left w:val="nil"/>
              <w:bottom w:val="nil"/>
              <w:right w:val="nil"/>
            </w:tcBorders>
          </w:tcPr>
          <w:p w14:paraId="106B48B5" w14:textId="77777777" w:rsidR="000413C4" w:rsidRPr="00FB3AD2" w:rsidRDefault="000413C4" w:rsidP="000413C4">
            <w:pPr>
              <w:rPr>
                <w:b/>
                <w:sz w:val="18"/>
                <w:szCs w:val="18"/>
              </w:rPr>
            </w:pPr>
          </w:p>
        </w:tc>
        <w:tc>
          <w:tcPr>
            <w:tcW w:w="324" w:type="pct"/>
            <w:tcBorders>
              <w:top w:val="nil"/>
              <w:left w:val="nil"/>
              <w:bottom w:val="nil"/>
              <w:right w:val="nil"/>
            </w:tcBorders>
          </w:tcPr>
          <w:p w14:paraId="7ED10FAE" w14:textId="77777777" w:rsidR="000413C4" w:rsidRPr="00FB3AD2" w:rsidRDefault="000413C4" w:rsidP="000413C4">
            <w:pPr>
              <w:rPr>
                <w:b/>
                <w:sz w:val="18"/>
                <w:szCs w:val="18"/>
              </w:rPr>
            </w:pPr>
          </w:p>
        </w:tc>
        <w:tc>
          <w:tcPr>
            <w:tcW w:w="462" w:type="pct"/>
            <w:tcBorders>
              <w:top w:val="nil"/>
              <w:left w:val="nil"/>
              <w:bottom w:val="nil"/>
              <w:right w:val="nil"/>
            </w:tcBorders>
          </w:tcPr>
          <w:p w14:paraId="355394CD" w14:textId="77777777" w:rsidR="000413C4" w:rsidRPr="00FB3AD2" w:rsidRDefault="000413C4" w:rsidP="000413C4">
            <w:pPr>
              <w:rPr>
                <w:b/>
                <w:sz w:val="18"/>
                <w:szCs w:val="18"/>
              </w:rPr>
            </w:pPr>
          </w:p>
        </w:tc>
        <w:tc>
          <w:tcPr>
            <w:tcW w:w="417" w:type="pct"/>
            <w:tcBorders>
              <w:top w:val="nil"/>
              <w:left w:val="nil"/>
              <w:bottom w:val="nil"/>
              <w:right w:val="nil"/>
            </w:tcBorders>
          </w:tcPr>
          <w:p w14:paraId="6280496C" w14:textId="77777777" w:rsidR="000413C4" w:rsidRPr="00FB3AD2" w:rsidRDefault="000413C4" w:rsidP="000413C4">
            <w:pPr>
              <w:rPr>
                <w:b/>
                <w:sz w:val="18"/>
                <w:szCs w:val="18"/>
              </w:rPr>
            </w:pPr>
          </w:p>
        </w:tc>
        <w:tc>
          <w:tcPr>
            <w:tcW w:w="509" w:type="pct"/>
            <w:tcBorders>
              <w:top w:val="nil"/>
              <w:left w:val="nil"/>
              <w:bottom w:val="nil"/>
              <w:right w:val="nil"/>
            </w:tcBorders>
          </w:tcPr>
          <w:p w14:paraId="0A82D93E" w14:textId="77777777" w:rsidR="000413C4" w:rsidRPr="00FB3AD2" w:rsidRDefault="000413C4" w:rsidP="000413C4">
            <w:pPr>
              <w:rPr>
                <w:b/>
                <w:sz w:val="18"/>
                <w:szCs w:val="18"/>
              </w:rPr>
            </w:pPr>
          </w:p>
        </w:tc>
        <w:tc>
          <w:tcPr>
            <w:tcW w:w="371" w:type="pct"/>
            <w:tcBorders>
              <w:top w:val="nil"/>
              <w:left w:val="nil"/>
              <w:bottom w:val="nil"/>
              <w:right w:val="nil"/>
            </w:tcBorders>
          </w:tcPr>
          <w:p w14:paraId="6E8DA2FA" w14:textId="27C34D8D" w:rsidR="000413C4" w:rsidRPr="00FB3AD2" w:rsidRDefault="000413C4" w:rsidP="000413C4">
            <w:pPr>
              <w:rPr>
                <w:b/>
                <w:sz w:val="18"/>
                <w:szCs w:val="18"/>
              </w:rPr>
            </w:pPr>
          </w:p>
        </w:tc>
      </w:tr>
      <w:tr w:rsidR="0070081A" w:rsidRPr="00DA3E2F" w14:paraId="16AC2119" w14:textId="77777777" w:rsidTr="005F5B4C">
        <w:trPr>
          <w:cantSplit/>
          <w:trHeight w:val="23"/>
        </w:trPr>
        <w:tc>
          <w:tcPr>
            <w:tcW w:w="510" w:type="pct"/>
            <w:tcBorders>
              <w:top w:val="nil"/>
              <w:left w:val="single" w:sz="2" w:space="0" w:color="auto"/>
              <w:bottom w:val="nil"/>
              <w:right w:val="single" w:sz="2" w:space="0" w:color="auto"/>
            </w:tcBorders>
          </w:tcPr>
          <w:p w14:paraId="3015F737"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5B9D404" w14:textId="43E9C423" w:rsidR="000413C4" w:rsidRPr="00FB3AD2" w:rsidRDefault="000413C4" w:rsidP="000413C4">
            <w:pPr>
              <w:spacing w:after="40"/>
              <w:rPr>
                <w:b/>
                <w:sz w:val="18"/>
                <w:szCs w:val="18"/>
              </w:rPr>
            </w:pPr>
            <w:r w:rsidRPr="00FB3AD2">
              <w:rPr>
                <w:sz w:val="18"/>
                <w:szCs w:val="18"/>
              </w:rPr>
              <w:t>Acquisition/(Disposal)through Administrative</w:t>
            </w:r>
            <w:r w:rsidR="0070081A" w:rsidRPr="00FB3AD2">
              <w:rPr>
                <w:sz w:val="18"/>
                <w:szCs w:val="18"/>
              </w:rPr>
              <w:t xml:space="preserve"> Restructuring</w:t>
            </w:r>
          </w:p>
        </w:tc>
        <w:tc>
          <w:tcPr>
            <w:tcW w:w="325" w:type="pct"/>
            <w:tcBorders>
              <w:top w:val="nil"/>
              <w:left w:val="nil"/>
              <w:bottom w:val="nil"/>
              <w:right w:val="nil"/>
            </w:tcBorders>
          </w:tcPr>
          <w:p w14:paraId="550791E4" w14:textId="77777777" w:rsidR="000413C4" w:rsidRPr="00FB3AD2" w:rsidRDefault="000413C4" w:rsidP="000413C4">
            <w:pPr>
              <w:rPr>
                <w:b/>
                <w:sz w:val="18"/>
                <w:szCs w:val="18"/>
              </w:rPr>
            </w:pPr>
          </w:p>
        </w:tc>
        <w:tc>
          <w:tcPr>
            <w:tcW w:w="324" w:type="pct"/>
            <w:tcBorders>
              <w:top w:val="nil"/>
              <w:left w:val="nil"/>
              <w:bottom w:val="nil"/>
              <w:right w:val="nil"/>
            </w:tcBorders>
          </w:tcPr>
          <w:p w14:paraId="1E74BC02" w14:textId="77777777" w:rsidR="000413C4" w:rsidRPr="00FB3AD2" w:rsidRDefault="000413C4" w:rsidP="000413C4">
            <w:pPr>
              <w:rPr>
                <w:b/>
                <w:sz w:val="18"/>
                <w:szCs w:val="18"/>
              </w:rPr>
            </w:pPr>
          </w:p>
        </w:tc>
        <w:tc>
          <w:tcPr>
            <w:tcW w:w="462" w:type="pct"/>
            <w:tcBorders>
              <w:top w:val="nil"/>
              <w:left w:val="nil"/>
              <w:bottom w:val="nil"/>
              <w:right w:val="nil"/>
            </w:tcBorders>
          </w:tcPr>
          <w:p w14:paraId="7F5D6CF1" w14:textId="77777777" w:rsidR="000413C4" w:rsidRPr="00FB3AD2" w:rsidRDefault="000413C4" w:rsidP="000413C4">
            <w:pPr>
              <w:rPr>
                <w:b/>
                <w:sz w:val="18"/>
                <w:szCs w:val="18"/>
              </w:rPr>
            </w:pPr>
          </w:p>
        </w:tc>
        <w:tc>
          <w:tcPr>
            <w:tcW w:w="417" w:type="pct"/>
            <w:tcBorders>
              <w:top w:val="nil"/>
              <w:left w:val="nil"/>
              <w:bottom w:val="nil"/>
              <w:right w:val="nil"/>
            </w:tcBorders>
          </w:tcPr>
          <w:p w14:paraId="3E29600C" w14:textId="77777777" w:rsidR="000413C4" w:rsidRPr="00FB3AD2" w:rsidRDefault="000413C4" w:rsidP="000413C4">
            <w:pPr>
              <w:rPr>
                <w:b/>
                <w:sz w:val="18"/>
                <w:szCs w:val="18"/>
              </w:rPr>
            </w:pPr>
          </w:p>
        </w:tc>
        <w:tc>
          <w:tcPr>
            <w:tcW w:w="509" w:type="pct"/>
            <w:tcBorders>
              <w:top w:val="nil"/>
              <w:left w:val="nil"/>
              <w:bottom w:val="nil"/>
              <w:right w:val="nil"/>
            </w:tcBorders>
          </w:tcPr>
          <w:p w14:paraId="764DE893" w14:textId="77777777" w:rsidR="000413C4" w:rsidRPr="00FB3AD2" w:rsidRDefault="000413C4" w:rsidP="000413C4">
            <w:pPr>
              <w:rPr>
                <w:b/>
                <w:sz w:val="18"/>
                <w:szCs w:val="18"/>
              </w:rPr>
            </w:pPr>
          </w:p>
        </w:tc>
        <w:tc>
          <w:tcPr>
            <w:tcW w:w="371" w:type="pct"/>
            <w:tcBorders>
              <w:top w:val="nil"/>
              <w:left w:val="nil"/>
              <w:bottom w:val="nil"/>
              <w:right w:val="nil"/>
            </w:tcBorders>
          </w:tcPr>
          <w:p w14:paraId="545687FF" w14:textId="58D4C9C8" w:rsidR="000413C4" w:rsidRPr="00FB3AD2" w:rsidRDefault="000413C4" w:rsidP="000413C4">
            <w:pPr>
              <w:rPr>
                <w:b/>
                <w:sz w:val="18"/>
                <w:szCs w:val="18"/>
              </w:rPr>
            </w:pPr>
          </w:p>
        </w:tc>
      </w:tr>
      <w:tr w:rsidR="0070081A" w:rsidRPr="00DA3E2F" w14:paraId="3E0BA22D" w14:textId="77777777" w:rsidTr="005F5B4C">
        <w:trPr>
          <w:cantSplit/>
          <w:trHeight w:val="23"/>
        </w:trPr>
        <w:tc>
          <w:tcPr>
            <w:tcW w:w="510" w:type="pct"/>
            <w:tcBorders>
              <w:top w:val="nil"/>
              <w:left w:val="single" w:sz="2" w:space="0" w:color="auto"/>
              <w:bottom w:val="nil"/>
              <w:right w:val="single" w:sz="2" w:space="0" w:color="auto"/>
            </w:tcBorders>
          </w:tcPr>
          <w:p w14:paraId="4B03379D"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5796BE8" w14:textId="0E496147" w:rsidR="000413C4" w:rsidRPr="00FB3AD2" w:rsidRDefault="000413C4" w:rsidP="000413C4">
            <w:pPr>
              <w:spacing w:after="40"/>
              <w:rPr>
                <w:sz w:val="18"/>
                <w:szCs w:val="18"/>
              </w:rPr>
            </w:pPr>
            <w:r w:rsidRPr="00FB3AD2">
              <w:rPr>
                <w:sz w:val="18"/>
                <w:szCs w:val="18"/>
              </w:rPr>
              <w:t>Acquisition/Disposal From Transfers</w:t>
            </w:r>
          </w:p>
        </w:tc>
        <w:tc>
          <w:tcPr>
            <w:tcW w:w="325" w:type="pct"/>
            <w:tcBorders>
              <w:top w:val="nil"/>
              <w:left w:val="nil"/>
              <w:bottom w:val="nil"/>
              <w:right w:val="nil"/>
            </w:tcBorders>
          </w:tcPr>
          <w:p w14:paraId="2E2D965F" w14:textId="77777777" w:rsidR="000413C4" w:rsidRPr="00FB3AD2" w:rsidRDefault="000413C4" w:rsidP="000413C4">
            <w:pPr>
              <w:rPr>
                <w:b/>
                <w:sz w:val="18"/>
                <w:szCs w:val="18"/>
              </w:rPr>
            </w:pPr>
          </w:p>
        </w:tc>
        <w:tc>
          <w:tcPr>
            <w:tcW w:w="324" w:type="pct"/>
            <w:tcBorders>
              <w:top w:val="nil"/>
              <w:left w:val="nil"/>
              <w:bottom w:val="nil"/>
              <w:right w:val="nil"/>
            </w:tcBorders>
          </w:tcPr>
          <w:p w14:paraId="25EE945A" w14:textId="77777777" w:rsidR="000413C4" w:rsidRPr="00FB3AD2" w:rsidRDefault="000413C4" w:rsidP="000413C4">
            <w:pPr>
              <w:rPr>
                <w:b/>
                <w:sz w:val="18"/>
                <w:szCs w:val="18"/>
              </w:rPr>
            </w:pPr>
          </w:p>
        </w:tc>
        <w:tc>
          <w:tcPr>
            <w:tcW w:w="462" w:type="pct"/>
            <w:tcBorders>
              <w:top w:val="nil"/>
              <w:left w:val="nil"/>
              <w:bottom w:val="nil"/>
              <w:right w:val="nil"/>
            </w:tcBorders>
          </w:tcPr>
          <w:p w14:paraId="4CBE125E" w14:textId="77777777" w:rsidR="000413C4" w:rsidRPr="00FB3AD2" w:rsidRDefault="000413C4" w:rsidP="000413C4">
            <w:pPr>
              <w:rPr>
                <w:b/>
                <w:sz w:val="18"/>
                <w:szCs w:val="18"/>
              </w:rPr>
            </w:pPr>
          </w:p>
        </w:tc>
        <w:tc>
          <w:tcPr>
            <w:tcW w:w="417" w:type="pct"/>
            <w:tcBorders>
              <w:top w:val="nil"/>
              <w:left w:val="nil"/>
              <w:bottom w:val="nil"/>
              <w:right w:val="nil"/>
            </w:tcBorders>
          </w:tcPr>
          <w:p w14:paraId="32D3798A" w14:textId="77777777" w:rsidR="000413C4" w:rsidRPr="00FB3AD2" w:rsidRDefault="000413C4" w:rsidP="000413C4">
            <w:pPr>
              <w:rPr>
                <w:b/>
                <w:sz w:val="18"/>
                <w:szCs w:val="18"/>
              </w:rPr>
            </w:pPr>
          </w:p>
        </w:tc>
        <w:tc>
          <w:tcPr>
            <w:tcW w:w="509" w:type="pct"/>
            <w:tcBorders>
              <w:top w:val="nil"/>
              <w:left w:val="nil"/>
              <w:bottom w:val="nil"/>
              <w:right w:val="nil"/>
            </w:tcBorders>
          </w:tcPr>
          <w:p w14:paraId="62C1FA4B" w14:textId="77777777" w:rsidR="000413C4" w:rsidRPr="00FB3AD2" w:rsidRDefault="000413C4" w:rsidP="000413C4">
            <w:pPr>
              <w:rPr>
                <w:b/>
                <w:sz w:val="18"/>
                <w:szCs w:val="18"/>
              </w:rPr>
            </w:pPr>
          </w:p>
        </w:tc>
        <w:tc>
          <w:tcPr>
            <w:tcW w:w="371" w:type="pct"/>
            <w:tcBorders>
              <w:top w:val="nil"/>
              <w:left w:val="nil"/>
              <w:bottom w:val="nil"/>
              <w:right w:val="nil"/>
            </w:tcBorders>
          </w:tcPr>
          <w:p w14:paraId="75EA715B" w14:textId="77B7D70D" w:rsidR="000413C4" w:rsidRPr="00FB3AD2" w:rsidRDefault="000413C4" w:rsidP="000413C4">
            <w:pPr>
              <w:rPr>
                <w:b/>
                <w:sz w:val="18"/>
                <w:szCs w:val="18"/>
              </w:rPr>
            </w:pPr>
          </w:p>
        </w:tc>
      </w:tr>
      <w:tr w:rsidR="0070081A" w:rsidRPr="00DA3E2F" w14:paraId="37B8B074" w14:textId="77777777" w:rsidTr="005F5B4C">
        <w:trPr>
          <w:cantSplit/>
          <w:trHeight w:val="23"/>
        </w:trPr>
        <w:tc>
          <w:tcPr>
            <w:tcW w:w="510" w:type="pct"/>
            <w:tcBorders>
              <w:top w:val="nil"/>
              <w:left w:val="single" w:sz="2" w:space="0" w:color="auto"/>
              <w:bottom w:val="nil"/>
              <w:right w:val="single" w:sz="2" w:space="0" w:color="auto"/>
            </w:tcBorders>
          </w:tcPr>
          <w:p w14:paraId="15FF3144" w14:textId="1DC54EC4" w:rsidR="000702E1" w:rsidRPr="00FB3AD2" w:rsidRDefault="0070081A" w:rsidP="000413C4">
            <w:pPr>
              <w:pStyle w:val="TableReference"/>
              <w:tabs>
                <w:tab w:val="left" w:pos="3306"/>
              </w:tabs>
              <w:spacing w:before="40"/>
              <w:rPr>
                <w:rFonts w:cs="Calibri"/>
                <w:color w:val="7030A0"/>
                <w:sz w:val="14"/>
              </w:rPr>
            </w:pPr>
            <w:r w:rsidRPr="00FB3AD2">
              <w:rPr>
                <w:rFonts w:cs="Calibri"/>
                <w:color w:val="7030A0"/>
                <w:sz w:val="14"/>
              </w:rPr>
              <w:t>AASB 13.93(e)(i)</w:t>
            </w:r>
          </w:p>
        </w:tc>
        <w:tc>
          <w:tcPr>
            <w:tcW w:w="2082" w:type="pct"/>
            <w:tcBorders>
              <w:top w:val="nil"/>
              <w:left w:val="single" w:sz="2" w:space="0" w:color="auto"/>
              <w:bottom w:val="nil"/>
              <w:right w:val="nil"/>
            </w:tcBorders>
          </w:tcPr>
          <w:p w14:paraId="7A11AAE2" w14:textId="77AA5E11" w:rsidR="000702E1" w:rsidRPr="00FB3AD2" w:rsidRDefault="000702E1" w:rsidP="000413C4">
            <w:pPr>
              <w:spacing w:after="40"/>
              <w:rPr>
                <w:sz w:val="18"/>
                <w:szCs w:val="18"/>
              </w:rPr>
            </w:pPr>
            <w:r w:rsidRPr="00FB3AD2">
              <w:rPr>
                <w:sz w:val="18"/>
                <w:szCs w:val="18"/>
              </w:rPr>
              <w:t>Gains/(losses) recognised in Profit or Loss</w:t>
            </w:r>
          </w:p>
        </w:tc>
        <w:tc>
          <w:tcPr>
            <w:tcW w:w="325" w:type="pct"/>
            <w:tcBorders>
              <w:top w:val="nil"/>
              <w:left w:val="nil"/>
              <w:bottom w:val="nil"/>
              <w:right w:val="nil"/>
            </w:tcBorders>
          </w:tcPr>
          <w:p w14:paraId="12D58E40" w14:textId="77777777" w:rsidR="000702E1" w:rsidRPr="00FB3AD2" w:rsidRDefault="000702E1" w:rsidP="000413C4">
            <w:pPr>
              <w:rPr>
                <w:b/>
                <w:sz w:val="18"/>
                <w:szCs w:val="18"/>
              </w:rPr>
            </w:pPr>
          </w:p>
        </w:tc>
        <w:tc>
          <w:tcPr>
            <w:tcW w:w="324" w:type="pct"/>
            <w:tcBorders>
              <w:top w:val="nil"/>
              <w:left w:val="nil"/>
              <w:bottom w:val="nil"/>
              <w:right w:val="nil"/>
            </w:tcBorders>
          </w:tcPr>
          <w:p w14:paraId="25BEE154" w14:textId="77777777" w:rsidR="000702E1" w:rsidRPr="00FB3AD2" w:rsidRDefault="000702E1" w:rsidP="000413C4">
            <w:pPr>
              <w:rPr>
                <w:b/>
                <w:sz w:val="18"/>
                <w:szCs w:val="18"/>
              </w:rPr>
            </w:pPr>
          </w:p>
        </w:tc>
        <w:tc>
          <w:tcPr>
            <w:tcW w:w="462" w:type="pct"/>
            <w:tcBorders>
              <w:top w:val="nil"/>
              <w:left w:val="nil"/>
              <w:bottom w:val="nil"/>
              <w:right w:val="nil"/>
            </w:tcBorders>
          </w:tcPr>
          <w:p w14:paraId="26D71036" w14:textId="77777777" w:rsidR="000702E1" w:rsidRPr="00FB3AD2" w:rsidRDefault="000702E1" w:rsidP="000413C4">
            <w:pPr>
              <w:rPr>
                <w:b/>
                <w:sz w:val="18"/>
                <w:szCs w:val="18"/>
              </w:rPr>
            </w:pPr>
          </w:p>
        </w:tc>
        <w:tc>
          <w:tcPr>
            <w:tcW w:w="417" w:type="pct"/>
            <w:tcBorders>
              <w:top w:val="nil"/>
              <w:left w:val="nil"/>
              <w:bottom w:val="nil"/>
              <w:right w:val="nil"/>
            </w:tcBorders>
          </w:tcPr>
          <w:p w14:paraId="2395A00A" w14:textId="77777777" w:rsidR="000702E1" w:rsidRPr="00FB3AD2" w:rsidRDefault="000702E1" w:rsidP="000413C4">
            <w:pPr>
              <w:rPr>
                <w:b/>
                <w:sz w:val="18"/>
                <w:szCs w:val="18"/>
              </w:rPr>
            </w:pPr>
          </w:p>
        </w:tc>
        <w:tc>
          <w:tcPr>
            <w:tcW w:w="509" w:type="pct"/>
            <w:tcBorders>
              <w:top w:val="nil"/>
              <w:left w:val="nil"/>
              <w:bottom w:val="nil"/>
              <w:right w:val="nil"/>
            </w:tcBorders>
          </w:tcPr>
          <w:p w14:paraId="3E2970DB" w14:textId="77777777" w:rsidR="000702E1" w:rsidRPr="00FB3AD2" w:rsidRDefault="000702E1" w:rsidP="000413C4">
            <w:pPr>
              <w:rPr>
                <w:b/>
                <w:sz w:val="18"/>
                <w:szCs w:val="18"/>
              </w:rPr>
            </w:pPr>
          </w:p>
        </w:tc>
        <w:tc>
          <w:tcPr>
            <w:tcW w:w="371" w:type="pct"/>
            <w:tcBorders>
              <w:top w:val="nil"/>
              <w:left w:val="nil"/>
              <w:bottom w:val="nil"/>
              <w:right w:val="nil"/>
            </w:tcBorders>
          </w:tcPr>
          <w:p w14:paraId="56DB5780" w14:textId="77777777" w:rsidR="000702E1" w:rsidRPr="00FB3AD2" w:rsidRDefault="000702E1" w:rsidP="000413C4">
            <w:pPr>
              <w:rPr>
                <w:b/>
                <w:sz w:val="18"/>
                <w:szCs w:val="18"/>
              </w:rPr>
            </w:pPr>
          </w:p>
        </w:tc>
      </w:tr>
      <w:tr w:rsidR="0070081A" w:rsidRPr="00DA3E2F" w14:paraId="3E31FB22" w14:textId="77777777" w:rsidTr="005F5B4C">
        <w:trPr>
          <w:cantSplit/>
          <w:trHeight w:val="23"/>
        </w:trPr>
        <w:tc>
          <w:tcPr>
            <w:tcW w:w="510" w:type="pct"/>
            <w:tcBorders>
              <w:top w:val="nil"/>
              <w:left w:val="single" w:sz="2" w:space="0" w:color="auto"/>
              <w:bottom w:val="nil"/>
              <w:right w:val="single" w:sz="2" w:space="0" w:color="auto"/>
            </w:tcBorders>
          </w:tcPr>
          <w:p w14:paraId="786DC8AA" w14:textId="77777777" w:rsidR="000702E1" w:rsidRPr="00FB3AD2" w:rsidRDefault="000702E1"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6B81C3B" w14:textId="65F25991" w:rsidR="000702E1"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702E1" w:rsidRPr="00FB3AD2">
              <w:rPr>
                <w:sz w:val="18"/>
                <w:szCs w:val="18"/>
              </w:rPr>
              <w:t>Revaluation increments/(decrements) recognised in Profit or Loss</w:t>
            </w:r>
          </w:p>
        </w:tc>
        <w:tc>
          <w:tcPr>
            <w:tcW w:w="325" w:type="pct"/>
            <w:tcBorders>
              <w:top w:val="nil"/>
              <w:left w:val="nil"/>
              <w:bottom w:val="nil"/>
              <w:right w:val="nil"/>
            </w:tcBorders>
          </w:tcPr>
          <w:p w14:paraId="001FC60D" w14:textId="77777777" w:rsidR="000702E1" w:rsidRPr="00FB3AD2" w:rsidRDefault="000702E1" w:rsidP="000413C4">
            <w:pPr>
              <w:rPr>
                <w:b/>
                <w:sz w:val="18"/>
                <w:szCs w:val="18"/>
              </w:rPr>
            </w:pPr>
          </w:p>
        </w:tc>
        <w:tc>
          <w:tcPr>
            <w:tcW w:w="324" w:type="pct"/>
            <w:tcBorders>
              <w:top w:val="nil"/>
              <w:left w:val="nil"/>
              <w:bottom w:val="nil"/>
              <w:right w:val="nil"/>
            </w:tcBorders>
          </w:tcPr>
          <w:p w14:paraId="5DFD8031" w14:textId="77777777" w:rsidR="000702E1" w:rsidRPr="00FB3AD2" w:rsidRDefault="000702E1" w:rsidP="000413C4">
            <w:pPr>
              <w:rPr>
                <w:b/>
                <w:sz w:val="18"/>
                <w:szCs w:val="18"/>
              </w:rPr>
            </w:pPr>
          </w:p>
        </w:tc>
        <w:tc>
          <w:tcPr>
            <w:tcW w:w="462" w:type="pct"/>
            <w:tcBorders>
              <w:top w:val="nil"/>
              <w:left w:val="nil"/>
              <w:bottom w:val="nil"/>
              <w:right w:val="nil"/>
            </w:tcBorders>
          </w:tcPr>
          <w:p w14:paraId="612BBCBB" w14:textId="77777777" w:rsidR="000702E1" w:rsidRPr="00FB3AD2" w:rsidRDefault="000702E1" w:rsidP="000413C4">
            <w:pPr>
              <w:rPr>
                <w:b/>
                <w:sz w:val="18"/>
                <w:szCs w:val="18"/>
              </w:rPr>
            </w:pPr>
          </w:p>
        </w:tc>
        <w:tc>
          <w:tcPr>
            <w:tcW w:w="417" w:type="pct"/>
            <w:tcBorders>
              <w:top w:val="nil"/>
              <w:left w:val="nil"/>
              <w:bottom w:val="nil"/>
              <w:right w:val="nil"/>
            </w:tcBorders>
          </w:tcPr>
          <w:p w14:paraId="65F42D7E" w14:textId="77777777" w:rsidR="000702E1" w:rsidRPr="00FB3AD2" w:rsidRDefault="000702E1" w:rsidP="000413C4">
            <w:pPr>
              <w:rPr>
                <w:b/>
                <w:sz w:val="18"/>
                <w:szCs w:val="18"/>
              </w:rPr>
            </w:pPr>
          </w:p>
        </w:tc>
        <w:tc>
          <w:tcPr>
            <w:tcW w:w="509" w:type="pct"/>
            <w:tcBorders>
              <w:top w:val="nil"/>
              <w:left w:val="nil"/>
              <w:bottom w:val="nil"/>
              <w:right w:val="nil"/>
            </w:tcBorders>
          </w:tcPr>
          <w:p w14:paraId="638239A0" w14:textId="77777777" w:rsidR="000702E1" w:rsidRPr="00FB3AD2" w:rsidRDefault="000702E1" w:rsidP="000413C4">
            <w:pPr>
              <w:rPr>
                <w:b/>
                <w:sz w:val="18"/>
                <w:szCs w:val="18"/>
              </w:rPr>
            </w:pPr>
          </w:p>
        </w:tc>
        <w:tc>
          <w:tcPr>
            <w:tcW w:w="371" w:type="pct"/>
            <w:tcBorders>
              <w:top w:val="nil"/>
              <w:left w:val="nil"/>
              <w:bottom w:val="nil"/>
              <w:right w:val="nil"/>
            </w:tcBorders>
          </w:tcPr>
          <w:p w14:paraId="15E99CD3" w14:textId="77777777" w:rsidR="000702E1" w:rsidRPr="00FB3AD2" w:rsidRDefault="000702E1" w:rsidP="000413C4">
            <w:pPr>
              <w:rPr>
                <w:b/>
                <w:sz w:val="18"/>
                <w:szCs w:val="18"/>
              </w:rPr>
            </w:pPr>
          </w:p>
        </w:tc>
      </w:tr>
      <w:tr w:rsidR="0070081A" w:rsidRPr="00DA3E2F" w14:paraId="4DB6D1DC" w14:textId="77777777" w:rsidTr="005F5B4C">
        <w:trPr>
          <w:cantSplit/>
          <w:trHeight w:val="23"/>
        </w:trPr>
        <w:tc>
          <w:tcPr>
            <w:tcW w:w="510" w:type="pct"/>
            <w:tcBorders>
              <w:top w:val="nil"/>
              <w:left w:val="single" w:sz="2" w:space="0" w:color="auto"/>
              <w:bottom w:val="nil"/>
              <w:right w:val="single" w:sz="2" w:space="0" w:color="auto"/>
            </w:tcBorders>
          </w:tcPr>
          <w:p w14:paraId="1F96FCC9"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E6C6409" w14:textId="317897CE" w:rsidR="000413C4"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413C4" w:rsidRPr="00FB3AD2">
              <w:rPr>
                <w:sz w:val="18"/>
                <w:szCs w:val="18"/>
              </w:rPr>
              <w:t xml:space="preserve">Impairment Losses Recognised in the Operating </w:t>
            </w:r>
            <w:r w:rsidR="00A164A4" w:rsidRPr="00FB3AD2">
              <w:rPr>
                <w:rFonts w:cs="Calibri"/>
                <w:sz w:val="18"/>
                <w:szCs w:val="18"/>
              </w:rPr>
              <w:t>Result</w:t>
            </w:r>
          </w:p>
        </w:tc>
        <w:tc>
          <w:tcPr>
            <w:tcW w:w="325" w:type="pct"/>
            <w:tcBorders>
              <w:top w:val="nil"/>
              <w:left w:val="nil"/>
              <w:bottom w:val="nil"/>
              <w:right w:val="nil"/>
            </w:tcBorders>
          </w:tcPr>
          <w:p w14:paraId="1F46B63E" w14:textId="77777777" w:rsidR="000413C4" w:rsidRPr="00FB3AD2" w:rsidRDefault="000413C4" w:rsidP="000413C4">
            <w:pPr>
              <w:rPr>
                <w:b/>
                <w:sz w:val="18"/>
                <w:szCs w:val="18"/>
              </w:rPr>
            </w:pPr>
          </w:p>
        </w:tc>
        <w:tc>
          <w:tcPr>
            <w:tcW w:w="324" w:type="pct"/>
            <w:tcBorders>
              <w:top w:val="nil"/>
              <w:left w:val="nil"/>
              <w:bottom w:val="nil"/>
              <w:right w:val="nil"/>
            </w:tcBorders>
          </w:tcPr>
          <w:p w14:paraId="76CA1D7F" w14:textId="77777777" w:rsidR="000413C4" w:rsidRPr="00FB3AD2" w:rsidRDefault="000413C4" w:rsidP="000413C4">
            <w:pPr>
              <w:rPr>
                <w:b/>
                <w:sz w:val="18"/>
                <w:szCs w:val="18"/>
              </w:rPr>
            </w:pPr>
          </w:p>
        </w:tc>
        <w:tc>
          <w:tcPr>
            <w:tcW w:w="462" w:type="pct"/>
            <w:tcBorders>
              <w:top w:val="nil"/>
              <w:left w:val="nil"/>
              <w:bottom w:val="nil"/>
              <w:right w:val="nil"/>
            </w:tcBorders>
          </w:tcPr>
          <w:p w14:paraId="42DA7B16" w14:textId="77777777" w:rsidR="000413C4" w:rsidRPr="00FB3AD2" w:rsidRDefault="000413C4" w:rsidP="000413C4">
            <w:pPr>
              <w:rPr>
                <w:b/>
                <w:sz w:val="18"/>
                <w:szCs w:val="18"/>
              </w:rPr>
            </w:pPr>
          </w:p>
        </w:tc>
        <w:tc>
          <w:tcPr>
            <w:tcW w:w="417" w:type="pct"/>
            <w:tcBorders>
              <w:top w:val="nil"/>
              <w:left w:val="nil"/>
              <w:bottom w:val="nil"/>
              <w:right w:val="nil"/>
            </w:tcBorders>
          </w:tcPr>
          <w:p w14:paraId="52B0CED6" w14:textId="77777777" w:rsidR="000413C4" w:rsidRPr="00FB3AD2" w:rsidRDefault="000413C4" w:rsidP="000413C4">
            <w:pPr>
              <w:rPr>
                <w:b/>
                <w:sz w:val="18"/>
                <w:szCs w:val="18"/>
              </w:rPr>
            </w:pPr>
          </w:p>
        </w:tc>
        <w:tc>
          <w:tcPr>
            <w:tcW w:w="509" w:type="pct"/>
            <w:tcBorders>
              <w:top w:val="nil"/>
              <w:left w:val="nil"/>
              <w:bottom w:val="nil"/>
              <w:right w:val="nil"/>
            </w:tcBorders>
          </w:tcPr>
          <w:p w14:paraId="4D3EF579" w14:textId="77777777" w:rsidR="000413C4" w:rsidRPr="00FB3AD2" w:rsidRDefault="000413C4" w:rsidP="000413C4">
            <w:pPr>
              <w:rPr>
                <w:b/>
                <w:sz w:val="18"/>
                <w:szCs w:val="18"/>
              </w:rPr>
            </w:pPr>
          </w:p>
        </w:tc>
        <w:tc>
          <w:tcPr>
            <w:tcW w:w="371" w:type="pct"/>
            <w:tcBorders>
              <w:top w:val="nil"/>
              <w:left w:val="nil"/>
              <w:bottom w:val="nil"/>
              <w:right w:val="nil"/>
            </w:tcBorders>
          </w:tcPr>
          <w:p w14:paraId="63FBCB65" w14:textId="46ABF0BA" w:rsidR="000413C4" w:rsidRPr="00FB3AD2" w:rsidRDefault="000413C4" w:rsidP="000413C4">
            <w:pPr>
              <w:rPr>
                <w:b/>
                <w:sz w:val="18"/>
                <w:szCs w:val="18"/>
              </w:rPr>
            </w:pPr>
          </w:p>
        </w:tc>
      </w:tr>
      <w:tr w:rsidR="0070081A" w:rsidRPr="00DA3E2F" w14:paraId="6B22B19C" w14:textId="77777777" w:rsidTr="005F5B4C">
        <w:trPr>
          <w:cantSplit/>
          <w:trHeight w:val="23"/>
        </w:trPr>
        <w:tc>
          <w:tcPr>
            <w:tcW w:w="510" w:type="pct"/>
            <w:tcBorders>
              <w:top w:val="nil"/>
              <w:left w:val="single" w:sz="2" w:space="0" w:color="auto"/>
              <w:bottom w:val="nil"/>
              <w:right w:val="single" w:sz="2" w:space="0" w:color="auto"/>
            </w:tcBorders>
          </w:tcPr>
          <w:p w14:paraId="3AD0B6AC"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3FCC417" w14:textId="5A6EE91D" w:rsidR="000413C4" w:rsidRPr="00FB3AD2" w:rsidRDefault="00FA7C77" w:rsidP="0070081A">
            <w:pPr>
              <w:spacing w:after="40"/>
              <w:rPr>
                <w:sz w:val="18"/>
                <w:szCs w:val="18"/>
              </w:rPr>
            </w:pPr>
            <w:r>
              <w:rPr>
                <w:sz w:val="18"/>
                <w:szCs w:val="18"/>
              </w:rPr>
              <w:t xml:space="preserve">  </w:t>
            </w:r>
            <w:r w:rsidR="0070081A" w:rsidRPr="00FB3AD2">
              <w:rPr>
                <w:sz w:val="18"/>
                <w:szCs w:val="18"/>
              </w:rPr>
              <w:t xml:space="preserve"> - </w:t>
            </w:r>
            <w:r w:rsidR="000413C4" w:rsidRPr="00FB3AD2">
              <w:rPr>
                <w:sz w:val="18"/>
                <w:szCs w:val="18"/>
              </w:rPr>
              <w:t xml:space="preserve">Reversal of Impairment Losses Recognised in the Operating </w:t>
            </w:r>
            <w:r w:rsidR="00A164A4" w:rsidRPr="00FB3AD2">
              <w:rPr>
                <w:rFonts w:cs="Calibri"/>
                <w:sz w:val="18"/>
                <w:szCs w:val="18"/>
              </w:rPr>
              <w:t>Result</w:t>
            </w:r>
          </w:p>
        </w:tc>
        <w:tc>
          <w:tcPr>
            <w:tcW w:w="325" w:type="pct"/>
            <w:tcBorders>
              <w:top w:val="nil"/>
              <w:left w:val="nil"/>
              <w:bottom w:val="nil"/>
              <w:right w:val="nil"/>
            </w:tcBorders>
          </w:tcPr>
          <w:p w14:paraId="42FB9DDE" w14:textId="77777777" w:rsidR="000413C4" w:rsidRPr="00FB3AD2" w:rsidRDefault="000413C4" w:rsidP="000413C4">
            <w:pPr>
              <w:rPr>
                <w:b/>
                <w:sz w:val="18"/>
                <w:szCs w:val="18"/>
              </w:rPr>
            </w:pPr>
          </w:p>
        </w:tc>
        <w:tc>
          <w:tcPr>
            <w:tcW w:w="324" w:type="pct"/>
            <w:tcBorders>
              <w:top w:val="nil"/>
              <w:left w:val="nil"/>
              <w:bottom w:val="nil"/>
              <w:right w:val="nil"/>
            </w:tcBorders>
          </w:tcPr>
          <w:p w14:paraId="49E41CB3" w14:textId="77777777" w:rsidR="000413C4" w:rsidRPr="00FB3AD2" w:rsidRDefault="000413C4" w:rsidP="000413C4">
            <w:pPr>
              <w:rPr>
                <w:b/>
                <w:sz w:val="18"/>
                <w:szCs w:val="18"/>
              </w:rPr>
            </w:pPr>
          </w:p>
        </w:tc>
        <w:tc>
          <w:tcPr>
            <w:tcW w:w="462" w:type="pct"/>
            <w:tcBorders>
              <w:top w:val="nil"/>
              <w:left w:val="nil"/>
              <w:bottom w:val="nil"/>
              <w:right w:val="nil"/>
            </w:tcBorders>
          </w:tcPr>
          <w:p w14:paraId="4F2DCAB4" w14:textId="77777777" w:rsidR="000413C4" w:rsidRPr="00FB3AD2" w:rsidRDefault="000413C4" w:rsidP="000413C4">
            <w:pPr>
              <w:rPr>
                <w:b/>
                <w:sz w:val="18"/>
                <w:szCs w:val="18"/>
              </w:rPr>
            </w:pPr>
          </w:p>
        </w:tc>
        <w:tc>
          <w:tcPr>
            <w:tcW w:w="417" w:type="pct"/>
            <w:tcBorders>
              <w:top w:val="nil"/>
              <w:left w:val="nil"/>
              <w:bottom w:val="nil"/>
              <w:right w:val="nil"/>
            </w:tcBorders>
          </w:tcPr>
          <w:p w14:paraId="2AC646C4" w14:textId="77777777" w:rsidR="000413C4" w:rsidRPr="00FB3AD2" w:rsidRDefault="000413C4" w:rsidP="000413C4">
            <w:pPr>
              <w:rPr>
                <w:b/>
                <w:sz w:val="18"/>
                <w:szCs w:val="18"/>
              </w:rPr>
            </w:pPr>
          </w:p>
        </w:tc>
        <w:tc>
          <w:tcPr>
            <w:tcW w:w="509" w:type="pct"/>
            <w:tcBorders>
              <w:top w:val="nil"/>
              <w:left w:val="nil"/>
              <w:bottom w:val="nil"/>
              <w:right w:val="nil"/>
            </w:tcBorders>
          </w:tcPr>
          <w:p w14:paraId="7B2BEDB5" w14:textId="77777777" w:rsidR="000413C4" w:rsidRPr="00FB3AD2" w:rsidRDefault="000413C4" w:rsidP="000413C4">
            <w:pPr>
              <w:rPr>
                <w:b/>
                <w:sz w:val="18"/>
                <w:szCs w:val="18"/>
              </w:rPr>
            </w:pPr>
          </w:p>
        </w:tc>
        <w:tc>
          <w:tcPr>
            <w:tcW w:w="371" w:type="pct"/>
            <w:tcBorders>
              <w:top w:val="nil"/>
              <w:left w:val="nil"/>
              <w:bottom w:val="nil"/>
              <w:right w:val="nil"/>
            </w:tcBorders>
          </w:tcPr>
          <w:p w14:paraId="13958BD9" w14:textId="035BFE00" w:rsidR="000413C4" w:rsidRPr="00FB3AD2" w:rsidRDefault="000413C4" w:rsidP="000413C4">
            <w:pPr>
              <w:rPr>
                <w:b/>
                <w:sz w:val="18"/>
                <w:szCs w:val="18"/>
              </w:rPr>
            </w:pPr>
          </w:p>
        </w:tc>
      </w:tr>
      <w:tr w:rsidR="0070081A" w:rsidRPr="00DA3E2F" w14:paraId="2F453E06" w14:textId="77777777" w:rsidTr="005F5B4C">
        <w:trPr>
          <w:cantSplit/>
          <w:trHeight w:val="23"/>
        </w:trPr>
        <w:tc>
          <w:tcPr>
            <w:tcW w:w="510" w:type="pct"/>
            <w:tcBorders>
              <w:top w:val="nil"/>
              <w:left w:val="single" w:sz="2" w:space="0" w:color="auto"/>
              <w:bottom w:val="nil"/>
              <w:right w:val="single" w:sz="2" w:space="0" w:color="auto"/>
            </w:tcBorders>
          </w:tcPr>
          <w:p w14:paraId="0544FD16" w14:textId="5991E25E" w:rsidR="0070081A" w:rsidRPr="00FB3AD2" w:rsidRDefault="0070081A" w:rsidP="000413C4">
            <w:pPr>
              <w:pStyle w:val="TableReference"/>
              <w:tabs>
                <w:tab w:val="left" w:pos="3306"/>
              </w:tabs>
              <w:spacing w:before="40"/>
              <w:rPr>
                <w:rFonts w:cs="Calibri"/>
                <w:color w:val="7030A0"/>
                <w:sz w:val="14"/>
              </w:rPr>
            </w:pPr>
            <w:r w:rsidRPr="00FB3AD2">
              <w:rPr>
                <w:rFonts w:cs="Calibri"/>
                <w:color w:val="7030A0"/>
                <w:sz w:val="14"/>
              </w:rPr>
              <w:t>AASB 13.93(e)(ii)</w:t>
            </w:r>
          </w:p>
        </w:tc>
        <w:tc>
          <w:tcPr>
            <w:tcW w:w="2082" w:type="pct"/>
            <w:tcBorders>
              <w:top w:val="nil"/>
              <w:left w:val="single" w:sz="2" w:space="0" w:color="auto"/>
              <w:bottom w:val="nil"/>
              <w:right w:val="nil"/>
            </w:tcBorders>
          </w:tcPr>
          <w:p w14:paraId="42ADF654" w14:textId="4C23BE20" w:rsidR="0070081A" w:rsidRPr="00FB3AD2" w:rsidRDefault="0070081A" w:rsidP="0070081A">
            <w:pPr>
              <w:spacing w:after="40"/>
              <w:rPr>
                <w:sz w:val="18"/>
                <w:szCs w:val="18"/>
              </w:rPr>
            </w:pPr>
            <w:r w:rsidRPr="00FB3AD2">
              <w:rPr>
                <w:sz w:val="18"/>
                <w:szCs w:val="18"/>
              </w:rPr>
              <w:t>Gains/(losses) recognised in other comprehensive income</w:t>
            </w:r>
          </w:p>
        </w:tc>
        <w:tc>
          <w:tcPr>
            <w:tcW w:w="325" w:type="pct"/>
            <w:tcBorders>
              <w:top w:val="nil"/>
              <w:left w:val="nil"/>
              <w:bottom w:val="nil"/>
              <w:right w:val="nil"/>
            </w:tcBorders>
          </w:tcPr>
          <w:p w14:paraId="26CFDD58" w14:textId="77777777" w:rsidR="0070081A" w:rsidRPr="00FB3AD2" w:rsidRDefault="0070081A" w:rsidP="000413C4">
            <w:pPr>
              <w:rPr>
                <w:b/>
                <w:sz w:val="18"/>
                <w:szCs w:val="18"/>
              </w:rPr>
            </w:pPr>
          </w:p>
        </w:tc>
        <w:tc>
          <w:tcPr>
            <w:tcW w:w="324" w:type="pct"/>
            <w:tcBorders>
              <w:top w:val="nil"/>
              <w:left w:val="nil"/>
              <w:bottom w:val="nil"/>
              <w:right w:val="nil"/>
            </w:tcBorders>
          </w:tcPr>
          <w:p w14:paraId="0F6B30DE" w14:textId="77777777" w:rsidR="0070081A" w:rsidRPr="00FB3AD2" w:rsidRDefault="0070081A" w:rsidP="000413C4">
            <w:pPr>
              <w:rPr>
                <w:b/>
                <w:sz w:val="18"/>
                <w:szCs w:val="18"/>
              </w:rPr>
            </w:pPr>
          </w:p>
        </w:tc>
        <w:tc>
          <w:tcPr>
            <w:tcW w:w="462" w:type="pct"/>
            <w:tcBorders>
              <w:top w:val="nil"/>
              <w:left w:val="nil"/>
              <w:bottom w:val="nil"/>
              <w:right w:val="nil"/>
            </w:tcBorders>
          </w:tcPr>
          <w:p w14:paraId="1E3E7B75" w14:textId="77777777" w:rsidR="0070081A" w:rsidRPr="00FB3AD2" w:rsidRDefault="0070081A" w:rsidP="000413C4">
            <w:pPr>
              <w:rPr>
                <w:b/>
                <w:sz w:val="18"/>
                <w:szCs w:val="18"/>
              </w:rPr>
            </w:pPr>
          </w:p>
        </w:tc>
        <w:tc>
          <w:tcPr>
            <w:tcW w:w="417" w:type="pct"/>
            <w:tcBorders>
              <w:top w:val="nil"/>
              <w:left w:val="nil"/>
              <w:bottom w:val="nil"/>
              <w:right w:val="nil"/>
            </w:tcBorders>
          </w:tcPr>
          <w:p w14:paraId="5E1303EE" w14:textId="77777777" w:rsidR="0070081A" w:rsidRPr="00FB3AD2" w:rsidRDefault="0070081A" w:rsidP="000413C4">
            <w:pPr>
              <w:rPr>
                <w:b/>
                <w:sz w:val="18"/>
                <w:szCs w:val="18"/>
              </w:rPr>
            </w:pPr>
          </w:p>
        </w:tc>
        <w:tc>
          <w:tcPr>
            <w:tcW w:w="509" w:type="pct"/>
            <w:tcBorders>
              <w:top w:val="nil"/>
              <w:left w:val="nil"/>
              <w:bottom w:val="nil"/>
              <w:right w:val="nil"/>
            </w:tcBorders>
          </w:tcPr>
          <w:p w14:paraId="1A8AA5CB" w14:textId="77777777" w:rsidR="0070081A" w:rsidRPr="00FB3AD2" w:rsidRDefault="0070081A" w:rsidP="000413C4">
            <w:pPr>
              <w:rPr>
                <w:b/>
                <w:sz w:val="18"/>
                <w:szCs w:val="18"/>
              </w:rPr>
            </w:pPr>
          </w:p>
        </w:tc>
        <w:tc>
          <w:tcPr>
            <w:tcW w:w="371" w:type="pct"/>
            <w:tcBorders>
              <w:top w:val="nil"/>
              <w:left w:val="nil"/>
              <w:bottom w:val="nil"/>
              <w:right w:val="nil"/>
            </w:tcBorders>
          </w:tcPr>
          <w:p w14:paraId="5407188A" w14:textId="77777777" w:rsidR="0070081A" w:rsidRPr="00FB3AD2" w:rsidRDefault="0070081A" w:rsidP="000413C4">
            <w:pPr>
              <w:rPr>
                <w:b/>
                <w:sz w:val="18"/>
                <w:szCs w:val="18"/>
              </w:rPr>
            </w:pPr>
          </w:p>
        </w:tc>
      </w:tr>
      <w:tr w:rsidR="0070081A" w:rsidRPr="00DA3E2F" w14:paraId="00A4BE5B" w14:textId="77777777" w:rsidTr="005F5B4C">
        <w:trPr>
          <w:cantSplit/>
          <w:trHeight w:val="23"/>
        </w:trPr>
        <w:tc>
          <w:tcPr>
            <w:tcW w:w="510" w:type="pct"/>
            <w:tcBorders>
              <w:top w:val="nil"/>
              <w:left w:val="single" w:sz="2" w:space="0" w:color="auto"/>
              <w:bottom w:val="nil"/>
              <w:right w:val="single" w:sz="2" w:space="0" w:color="auto"/>
            </w:tcBorders>
          </w:tcPr>
          <w:p w14:paraId="75243082" w14:textId="77777777" w:rsidR="0070081A" w:rsidRPr="00FB3AD2" w:rsidRDefault="0070081A"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865E4D7" w14:textId="0DE52803" w:rsidR="0070081A" w:rsidRPr="00FB3AD2" w:rsidRDefault="00FA7C77" w:rsidP="003F5571">
            <w:pPr>
              <w:spacing w:after="40"/>
              <w:ind w:left="321" w:hanging="321"/>
              <w:rPr>
                <w:sz w:val="18"/>
                <w:szCs w:val="18"/>
              </w:rPr>
            </w:pPr>
            <w:r>
              <w:rPr>
                <w:sz w:val="18"/>
                <w:szCs w:val="18"/>
              </w:rPr>
              <w:t xml:space="preserve">  </w:t>
            </w:r>
            <w:r w:rsidR="0070081A" w:rsidRPr="00FB3AD2">
              <w:rPr>
                <w:sz w:val="18"/>
                <w:szCs w:val="18"/>
              </w:rPr>
              <w:t xml:space="preserve"> - Revaluation increments/(decrements) recognised in</w:t>
            </w:r>
            <w:r w:rsidR="003F5571" w:rsidRPr="00FB3AD2">
              <w:rPr>
                <w:sz w:val="18"/>
                <w:szCs w:val="18"/>
              </w:rPr>
              <w:t xml:space="preserve"> </w:t>
            </w:r>
            <w:r w:rsidR="0070081A" w:rsidRPr="00FB3AD2">
              <w:rPr>
                <w:sz w:val="18"/>
                <w:szCs w:val="18"/>
              </w:rPr>
              <w:t>Other Comprehensive Income</w:t>
            </w:r>
          </w:p>
        </w:tc>
        <w:tc>
          <w:tcPr>
            <w:tcW w:w="325" w:type="pct"/>
            <w:tcBorders>
              <w:top w:val="nil"/>
              <w:left w:val="nil"/>
              <w:bottom w:val="nil"/>
              <w:right w:val="nil"/>
            </w:tcBorders>
          </w:tcPr>
          <w:p w14:paraId="4808B817" w14:textId="77777777" w:rsidR="0070081A" w:rsidRPr="00FB3AD2" w:rsidRDefault="0070081A" w:rsidP="000413C4">
            <w:pPr>
              <w:rPr>
                <w:b/>
                <w:sz w:val="18"/>
                <w:szCs w:val="18"/>
              </w:rPr>
            </w:pPr>
          </w:p>
        </w:tc>
        <w:tc>
          <w:tcPr>
            <w:tcW w:w="324" w:type="pct"/>
            <w:tcBorders>
              <w:top w:val="nil"/>
              <w:left w:val="nil"/>
              <w:bottom w:val="nil"/>
              <w:right w:val="nil"/>
            </w:tcBorders>
          </w:tcPr>
          <w:p w14:paraId="118B15BD" w14:textId="77777777" w:rsidR="0070081A" w:rsidRPr="00FB3AD2" w:rsidRDefault="0070081A" w:rsidP="000413C4">
            <w:pPr>
              <w:rPr>
                <w:b/>
                <w:sz w:val="18"/>
                <w:szCs w:val="18"/>
              </w:rPr>
            </w:pPr>
          </w:p>
        </w:tc>
        <w:tc>
          <w:tcPr>
            <w:tcW w:w="462" w:type="pct"/>
            <w:tcBorders>
              <w:top w:val="nil"/>
              <w:left w:val="nil"/>
              <w:bottom w:val="nil"/>
              <w:right w:val="nil"/>
            </w:tcBorders>
          </w:tcPr>
          <w:p w14:paraId="1FCD9CCC" w14:textId="77777777" w:rsidR="0070081A" w:rsidRPr="00FB3AD2" w:rsidRDefault="0070081A" w:rsidP="000413C4">
            <w:pPr>
              <w:rPr>
                <w:b/>
                <w:sz w:val="18"/>
                <w:szCs w:val="18"/>
              </w:rPr>
            </w:pPr>
          </w:p>
        </w:tc>
        <w:tc>
          <w:tcPr>
            <w:tcW w:w="417" w:type="pct"/>
            <w:tcBorders>
              <w:top w:val="nil"/>
              <w:left w:val="nil"/>
              <w:bottom w:val="nil"/>
              <w:right w:val="nil"/>
            </w:tcBorders>
          </w:tcPr>
          <w:p w14:paraId="2E050D3C" w14:textId="77777777" w:rsidR="0070081A" w:rsidRPr="00FB3AD2" w:rsidRDefault="0070081A" w:rsidP="000413C4">
            <w:pPr>
              <w:rPr>
                <w:b/>
                <w:sz w:val="18"/>
                <w:szCs w:val="18"/>
              </w:rPr>
            </w:pPr>
          </w:p>
        </w:tc>
        <w:tc>
          <w:tcPr>
            <w:tcW w:w="509" w:type="pct"/>
            <w:tcBorders>
              <w:top w:val="nil"/>
              <w:left w:val="nil"/>
              <w:bottom w:val="nil"/>
              <w:right w:val="nil"/>
            </w:tcBorders>
          </w:tcPr>
          <w:p w14:paraId="12D98972" w14:textId="77777777" w:rsidR="0070081A" w:rsidRPr="00FB3AD2" w:rsidRDefault="0070081A" w:rsidP="000413C4">
            <w:pPr>
              <w:rPr>
                <w:b/>
                <w:sz w:val="18"/>
                <w:szCs w:val="18"/>
              </w:rPr>
            </w:pPr>
          </w:p>
        </w:tc>
        <w:tc>
          <w:tcPr>
            <w:tcW w:w="371" w:type="pct"/>
            <w:tcBorders>
              <w:top w:val="nil"/>
              <w:left w:val="nil"/>
              <w:bottom w:val="nil"/>
              <w:right w:val="nil"/>
            </w:tcBorders>
          </w:tcPr>
          <w:p w14:paraId="3E7A9B4D" w14:textId="77777777" w:rsidR="0070081A" w:rsidRPr="00FB3AD2" w:rsidRDefault="0070081A" w:rsidP="000413C4">
            <w:pPr>
              <w:rPr>
                <w:b/>
                <w:sz w:val="18"/>
                <w:szCs w:val="18"/>
              </w:rPr>
            </w:pPr>
          </w:p>
        </w:tc>
      </w:tr>
      <w:tr w:rsidR="0070081A" w:rsidRPr="00DA3E2F" w14:paraId="0FE3CC1F" w14:textId="77777777" w:rsidTr="005F5B4C">
        <w:trPr>
          <w:cantSplit/>
          <w:trHeight w:val="23"/>
        </w:trPr>
        <w:tc>
          <w:tcPr>
            <w:tcW w:w="510" w:type="pct"/>
            <w:tcBorders>
              <w:top w:val="nil"/>
              <w:left w:val="single" w:sz="2" w:space="0" w:color="auto"/>
              <w:bottom w:val="nil"/>
              <w:right w:val="single" w:sz="2" w:space="0" w:color="auto"/>
            </w:tcBorders>
          </w:tcPr>
          <w:p w14:paraId="553AC2C1" w14:textId="77777777" w:rsidR="0070081A" w:rsidRPr="00FB3AD2" w:rsidRDefault="0070081A"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A4E4BF1" w14:textId="245B018F" w:rsidR="0070081A" w:rsidRPr="00FB3AD2" w:rsidRDefault="00FA7C77" w:rsidP="0070081A">
            <w:pPr>
              <w:spacing w:after="40"/>
              <w:rPr>
                <w:sz w:val="18"/>
                <w:szCs w:val="18"/>
              </w:rPr>
            </w:pPr>
            <w:r>
              <w:rPr>
                <w:sz w:val="18"/>
                <w:szCs w:val="18"/>
              </w:rPr>
              <w:t xml:space="preserve">  </w:t>
            </w:r>
            <w:r w:rsidR="0070081A" w:rsidRPr="00FB3AD2">
              <w:rPr>
                <w:sz w:val="18"/>
                <w:szCs w:val="18"/>
              </w:rPr>
              <w:t xml:space="preserve"> - Impairment Losses Recognised in Other Comprehensive Income</w:t>
            </w:r>
          </w:p>
        </w:tc>
        <w:tc>
          <w:tcPr>
            <w:tcW w:w="325" w:type="pct"/>
            <w:tcBorders>
              <w:top w:val="nil"/>
              <w:left w:val="nil"/>
              <w:bottom w:val="nil"/>
              <w:right w:val="nil"/>
            </w:tcBorders>
          </w:tcPr>
          <w:p w14:paraId="38C4309F" w14:textId="77777777" w:rsidR="0070081A" w:rsidRPr="00FB3AD2" w:rsidRDefault="0070081A" w:rsidP="000413C4">
            <w:pPr>
              <w:rPr>
                <w:b/>
                <w:sz w:val="18"/>
                <w:szCs w:val="18"/>
              </w:rPr>
            </w:pPr>
          </w:p>
        </w:tc>
        <w:tc>
          <w:tcPr>
            <w:tcW w:w="324" w:type="pct"/>
            <w:tcBorders>
              <w:top w:val="nil"/>
              <w:left w:val="nil"/>
              <w:bottom w:val="nil"/>
              <w:right w:val="nil"/>
            </w:tcBorders>
          </w:tcPr>
          <w:p w14:paraId="598A15F5" w14:textId="77777777" w:rsidR="0070081A" w:rsidRPr="00FB3AD2" w:rsidRDefault="0070081A" w:rsidP="000413C4">
            <w:pPr>
              <w:rPr>
                <w:b/>
                <w:sz w:val="18"/>
                <w:szCs w:val="18"/>
              </w:rPr>
            </w:pPr>
          </w:p>
        </w:tc>
        <w:tc>
          <w:tcPr>
            <w:tcW w:w="462" w:type="pct"/>
            <w:tcBorders>
              <w:top w:val="nil"/>
              <w:left w:val="nil"/>
              <w:bottom w:val="nil"/>
              <w:right w:val="nil"/>
            </w:tcBorders>
          </w:tcPr>
          <w:p w14:paraId="21793BD0" w14:textId="77777777" w:rsidR="0070081A" w:rsidRPr="00FB3AD2" w:rsidRDefault="0070081A" w:rsidP="000413C4">
            <w:pPr>
              <w:rPr>
                <w:b/>
                <w:sz w:val="18"/>
                <w:szCs w:val="18"/>
              </w:rPr>
            </w:pPr>
          </w:p>
        </w:tc>
        <w:tc>
          <w:tcPr>
            <w:tcW w:w="417" w:type="pct"/>
            <w:tcBorders>
              <w:top w:val="nil"/>
              <w:left w:val="nil"/>
              <w:bottom w:val="nil"/>
              <w:right w:val="nil"/>
            </w:tcBorders>
          </w:tcPr>
          <w:p w14:paraId="42F84BF1" w14:textId="77777777" w:rsidR="0070081A" w:rsidRPr="00FB3AD2" w:rsidRDefault="0070081A" w:rsidP="000413C4">
            <w:pPr>
              <w:rPr>
                <w:b/>
                <w:sz w:val="18"/>
                <w:szCs w:val="18"/>
              </w:rPr>
            </w:pPr>
          </w:p>
        </w:tc>
        <w:tc>
          <w:tcPr>
            <w:tcW w:w="509" w:type="pct"/>
            <w:tcBorders>
              <w:top w:val="nil"/>
              <w:left w:val="nil"/>
              <w:bottom w:val="nil"/>
              <w:right w:val="nil"/>
            </w:tcBorders>
          </w:tcPr>
          <w:p w14:paraId="4A862AED" w14:textId="77777777" w:rsidR="0070081A" w:rsidRPr="00FB3AD2" w:rsidRDefault="0070081A" w:rsidP="000413C4">
            <w:pPr>
              <w:rPr>
                <w:b/>
                <w:sz w:val="18"/>
                <w:szCs w:val="18"/>
              </w:rPr>
            </w:pPr>
          </w:p>
        </w:tc>
        <w:tc>
          <w:tcPr>
            <w:tcW w:w="371" w:type="pct"/>
            <w:tcBorders>
              <w:top w:val="nil"/>
              <w:left w:val="nil"/>
              <w:bottom w:val="nil"/>
              <w:right w:val="nil"/>
            </w:tcBorders>
          </w:tcPr>
          <w:p w14:paraId="18299FCA" w14:textId="77777777" w:rsidR="0070081A" w:rsidRPr="00FB3AD2" w:rsidRDefault="0070081A" w:rsidP="000413C4">
            <w:pPr>
              <w:rPr>
                <w:b/>
                <w:sz w:val="18"/>
                <w:szCs w:val="18"/>
              </w:rPr>
            </w:pPr>
          </w:p>
        </w:tc>
      </w:tr>
      <w:tr w:rsidR="0070081A" w:rsidRPr="00DA3E2F" w14:paraId="46F09AF6" w14:textId="77777777" w:rsidTr="005F5B4C">
        <w:trPr>
          <w:cantSplit/>
          <w:trHeight w:val="23"/>
        </w:trPr>
        <w:tc>
          <w:tcPr>
            <w:tcW w:w="510" w:type="pct"/>
            <w:tcBorders>
              <w:top w:val="nil"/>
              <w:left w:val="single" w:sz="2" w:space="0" w:color="auto"/>
              <w:bottom w:val="nil"/>
              <w:right w:val="single" w:sz="2" w:space="0" w:color="auto"/>
            </w:tcBorders>
          </w:tcPr>
          <w:p w14:paraId="5FAF2A2C" w14:textId="77777777"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DF1D28B" w14:textId="383D9A6C" w:rsidR="000413C4" w:rsidRPr="00FB3AD2" w:rsidRDefault="000413C4" w:rsidP="000413C4">
            <w:pPr>
              <w:spacing w:after="40"/>
              <w:rPr>
                <w:sz w:val="18"/>
                <w:szCs w:val="18"/>
              </w:rPr>
            </w:pPr>
            <w:r w:rsidRPr="00FB3AD2">
              <w:rPr>
                <w:sz w:val="18"/>
                <w:szCs w:val="18"/>
              </w:rPr>
              <w:t>Other Movements</w:t>
            </w:r>
          </w:p>
        </w:tc>
        <w:tc>
          <w:tcPr>
            <w:tcW w:w="325" w:type="pct"/>
            <w:tcBorders>
              <w:top w:val="nil"/>
              <w:left w:val="nil"/>
              <w:bottom w:val="single" w:sz="2" w:space="0" w:color="auto"/>
              <w:right w:val="nil"/>
            </w:tcBorders>
          </w:tcPr>
          <w:p w14:paraId="2127024E" w14:textId="77777777" w:rsidR="000413C4" w:rsidRPr="00FB3AD2" w:rsidRDefault="000413C4" w:rsidP="000413C4">
            <w:pPr>
              <w:rPr>
                <w:b/>
                <w:sz w:val="18"/>
                <w:szCs w:val="18"/>
              </w:rPr>
            </w:pPr>
          </w:p>
        </w:tc>
        <w:tc>
          <w:tcPr>
            <w:tcW w:w="324" w:type="pct"/>
            <w:tcBorders>
              <w:top w:val="nil"/>
              <w:left w:val="nil"/>
              <w:bottom w:val="single" w:sz="2" w:space="0" w:color="auto"/>
              <w:right w:val="nil"/>
            </w:tcBorders>
          </w:tcPr>
          <w:p w14:paraId="70901BB6" w14:textId="77777777" w:rsidR="000413C4" w:rsidRPr="00FB3AD2" w:rsidRDefault="000413C4" w:rsidP="000413C4">
            <w:pPr>
              <w:rPr>
                <w:b/>
                <w:sz w:val="18"/>
                <w:szCs w:val="18"/>
              </w:rPr>
            </w:pPr>
          </w:p>
        </w:tc>
        <w:tc>
          <w:tcPr>
            <w:tcW w:w="462" w:type="pct"/>
            <w:tcBorders>
              <w:top w:val="nil"/>
              <w:left w:val="nil"/>
              <w:bottom w:val="single" w:sz="2" w:space="0" w:color="auto"/>
              <w:right w:val="nil"/>
            </w:tcBorders>
          </w:tcPr>
          <w:p w14:paraId="638409DB" w14:textId="77777777" w:rsidR="000413C4" w:rsidRPr="00FB3AD2" w:rsidRDefault="000413C4" w:rsidP="000413C4">
            <w:pPr>
              <w:rPr>
                <w:b/>
                <w:sz w:val="18"/>
                <w:szCs w:val="18"/>
              </w:rPr>
            </w:pPr>
          </w:p>
        </w:tc>
        <w:tc>
          <w:tcPr>
            <w:tcW w:w="417" w:type="pct"/>
            <w:tcBorders>
              <w:top w:val="nil"/>
              <w:left w:val="nil"/>
              <w:bottom w:val="single" w:sz="2" w:space="0" w:color="auto"/>
              <w:right w:val="nil"/>
            </w:tcBorders>
          </w:tcPr>
          <w:p w14:paraId="5B7AF065" w14:textId="77777777" w:rsidR="000413C4" w:rsidRPr="00FB3AD2" w:rsidRDefault="000413C4" w:rsidP="000413C4">
            <w:pPr>
              <w:rPr>
                <w:b/>
                <w:sz w:val="18"/>
                <w:szCs w:val="18"/>
              </w:rPr>
            </w:pPr>
          </w:p>
        </w:tc>
        <w:tc>
          <w:tcPr>
            <w:tcW w:w="509" w:type="pct"/>
            <w:tcBorders>
              <w:top w:val="nil"/>
              <w:left w:val="nil"/>
              <w:bottom w:val="single" w:sz="2" w:space="0" w:color="auto"/>
              <w:right w:val="nil"/>
            </w:tcBorders>
          </w:tcPr>
          <w:p w14:paraId="65618EE7" w14:textId="77777777" w:rsidR="000413C4" w:rsidRPr="00FB3AD2" w:rsidRDefault="000413C4" w:rsidP="000413C4">
            <w:pPr>
              <w:rPr>
                <w:b/>
                <w:sz w:val="18"/>
                <w:szCs w:val="18"/>
              </w:rPr>
            </w:pPr>
          </w:p>
        </w:tc>
        <w:tc>
          <w:tcPr>
            <w:tcW w:w="371" w:type="pct"/>
            <w:tcBorders>
              <w:top w:val="nil"/>
              <w:left w:val="nil"/>
              <w:bottom w:val="single" w:sz="2" w:space="0" w:color="auto"/>
              <w:right w:val="nil"/>
            </w:tcBorders>
          </w:tcPr>
          <w:p w14:paraId="16654ABB" w14:textId="5F4B434B" w:rsidR="000413C4" w:rsidRPr="00FB3AD2" w:rsidRDefault="000413C4" w:rsidP="000413C4">
            <w:pPr>
              <w:rPr>
                <w:b/>
                <w:sz w:val="18"/>
                <w:szCs w:val="18"/>
              </w:rPr>
            </w:pPr>
          </w:p>
        </w:tc>
      </w:tr>
      <w:tr w:rsidR="0070081A" w:rsidRPr="00DA3E2F" w14:paraId="0D037CDD" w14:textId="77777777" w:rsidTr="005F5B4C">
        <w:trPr>
          <w:cantSplit/>
          <w:trHeight w:val="23"/>
        </w:trPr>
        <w:tc>
          <w:tcPr>
            <w:tcW w:w="510" w:type="pct"/>
            <w:tcBorders>
              <w:top w:val="nil"/>
              <w:left w:val="single" w:sz="2" w:space="0" w:color="auto"/>
              <w:bottom w:val="nil"/>
              <w:right w:val="single" w:sz="2" w:space="0" w:color="auto"/>
            </w:tcBorders>
          </w:tcPr>
          <w:p w14:paraId="32FF2715" w14:textId="4D40C393" w:rsidR="000413C4" w:rsidRPr="00FB3AD2" w:rsidRDefault="000413C4" w:rsidP="000413C4">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18B1AE3" w14:textId="6DDC938C" w:rsidR="000413C4" w:rsidRPr="00FB3AD2" w:rsidRDefault="000413C4" w:rsidP="000413C4">
            <w:pPr>
              <w:spacing w:after="40"/>
              <w:rPr>
                <w:sz w:val="18"/>
                <w:szCs w:val="18"/>
              </w:rPr>
            </w:pPr>
            <w:r w:rsidRPr="00FB3AD2">
              <w:rPr>
                <w:b/>
                <w:sz w:val="18"/>
                <w:szCs w:val="18"/>
              </w:rPr>
              <w:t xml:space="preserve">Fair Value at </w:t>
            </w:r>
            <w:r w:rsidR="00E23F3D" w:rsidRPr="00FB3AD2">
              <w:rPr>
                <w:b/>
                <w:sz w:val="18"/>
                <w:szCs w:val="18"/>
              </w:rPr>
              <w:t xml:space="preserve">the </w:t>
            </w:r>
            <w:r w:rsidRPr="00FB3AD2">
              <w:rPr>
                <w:b/>
                <w:sz w:val="18"/>
                <w:szCs w:val="18"/>
              </w:rPr>
              <w:t>End of the Reporting Period</w:t>
            </w:r>
          </w:p>
        </w:tc>
        <w:tc>
          <w:tcPr>
            <w:tcW w:w="325" w:type="pct"/>
            <w:tcBorders>
              <w:top w:val="single" w:sz="2" w:space="0" w:color="auto"/>
              <w:left w:val="nil"/>
              <w:bottom w:val="double" w:sz="4" w:space="0" w:color="auto"/>
              <w:right w:val="nil"/>
            </w:tcBorders>
          </w:tcPr>
          <w:p w14:paraId="50932A2A" w14:textId="77777777" w:rsidR="000413C4" w:rsidRPr="00FB3AD2" w:rsidRDefault="000413C4" w:rsidP="000413C4">
            <w:pPr>
              <w:rPr>
                <w:b/>
                <w:sz w:val="18"/>
                <w:szCs w:val="18"/>
              </w:rPr>
            </w:pPr>
          </w:p>
        </w:tc>
        <w:tc>
          <w:tcPr>
            <w:tcW w:w="324" w:type="pct"/>
            <w:tcBorders>
              <w:top w:val="single" w:sz="2" w:space="0" w:color="auto"/>
              <w:left w:val="nil"/>
              <w:bottom w:val="double" w:sz="4" w:space="0" w:color="auto"/>
              <w:right w:val="nil"/>
            </w:tcBorders>
          </w:tcPr>
          <w:p w14:paraId="38C573D6" w14:textId="77777777" w:rsidR="000413C4" w:rsidRPr="00FB3AD2" w:rsidRDefault="000413C4" w:rsidP="000413C4">
            <w:pPr>
              <w:rPr>
                <w:b/>
                <w:sz w:val="18"/>
                <w:szCs w:val="18"/>
              </w:rPr>
            </w:pPr>
          </w:p>
        </w:tc>
        <w:tc>
          <w:tcPr>
            <w:tcW w:w="462" w:type="pct"/>
            <w:tcBorders>
              <w:top w:val="single" w:sz="2" w:space="0" w:color="auto"/>
              <w:left w:val="nil"/>
              <w:bottom w:val="double" w:sz="4" w:space="0" w:color="auto"/>
              <w:right w:val="nil"/>
            </w:tcBorders>
          </w:tcPr>
          <w:p w14:paraId="09F9B13C" w14:textId="77777777" w:rsidR="000413C4" w:rsidRPr="00FB3AD2" w:rsidRDefault="000413C4" w:rsidP="000413C4">
            <w:pPr>
              <w:rPr>
                <w:b/>
                <w:sz w:val="18"/>
                <w:szCs w:val="18"/>
              </w:rPr>
            </w:pPr>
          </w:p>
        </w:tc>
        <w:tc>
          <w:tcPr>
            <w:tcW w:w="417" w:type="pct"/>
            <w:tcBorders>
              <w:top w:val="single" w:sz="2" w:space="0" w:color="auto"/>
              <w:left w:val="nil"/>
              <w:bottom w:val="double" w:sz="4" w:space="0" w:color="auto"/>
              <w:right w:val="nil"/>
            </w:tcBorders>
          </w:tcPr>
          <w:p w14:paraId="4B111221" w14:textId="77777777" w:rsidR="000413C4" w:rsidRPr="00FB3AD2" w:rsidRDefault="000413C4" w:rsidP="000413C4">
            <w:pPr>
              <w:rPr>
                <w:b/>
                <w:sz w:val="18"/>
                <w:szCs w:val="18"/>
              </w:rPr>
            </w:pPr>
          </w:p>
        </w:tc>
        <w:tc>
          <w:tcPr>
            <w:tcW w:w="509" w:type="pct"/>
            <w:tcBorders>
              <w:top w:val="single" w:sz="2" w:space="0" w:color="auto"/>
              <w:left w:val="nil"/>
              <w:bottom w:val="double" w:sz="4" w:space="0" w:color="auto"/>
              <w:right w:val="nil"/>
            </w:tcBorders>
          </w:tcPr>
          <w:p w14:paraId="1A7D6643" w14:textId="77777777" w:rsidR="000413C4" w:rsidRPr="00FB3AD2" w:rsidRDefault="000413C4" w:rsidP="000413C4">
            <w:pPr>
              <w:rPr>
                <w:b/>
                <w:sz w:val="18"/>
                <w:szCs w:val="18"/>
              </w:rPr>
            </w:pPr>
          </w:p>
        </w:tc>
        <w:tc>
          <w:tcPr>
            <w:tcW w:w="371" w:type="pct"/>
            <w:tcBorders>
              <w:top w:val="single" w:sz="2" w:space="0" w:color="auto"/>
              <w:left w:val="nil"/>
              <w:bottom w:val="double" w:sz="4" w:space="0" w:color="auto"/>
              <w:right w:val="nil"/>
            </w:tcBorders>
          </w:tcPr>
          <w:p w14:paraId="68F152D4" w14:textId="6AB41B04" w:rsidR="000413C4" w:rsidRPr="00FB3AD2" w:rsidRDefault="000413C4" w:rsidP="000413C4">
            <w:pPr>
              <w:rPr>
                <w:b/>
                <w:sz w:val="18"/>
                <w:szCs w:val="18"/>
              </w:rPr>
            </w:pPr>
          </w:p>
        </w:tc>
      </w:tr>
      <w:tr w:rsidR="00C85383" w:rsidRPr="00DA3E2F" w14:paraId="63D74B92" w14:textId="77777777" w:rsidTr="005F5B4C">
        <w:trPr>
          <w:cantSplit/>
          <w:trHeight w:val="23"/>
        </w:trPr>
        <w:tc>
          <w:tcPr>
            <w:tcW w:w="510" w:type="pct"/>
            <w:tcBorders>
              <w:top w:val="nil"/>
              <w:left w:val="single" w:sz="2" w:space="0" w:color="auto"/>
              <w:bottom w:val="nil"/>
              <w:right w:val="single" w:sz="2" w:space="0" w:color="auto"/>
            </w:tcBorders>
          </w:tcPr>
          <w:p w14:paraId="5300C473" w14:textId="6A483D92" w:rsidR="00C85383" w:rsidRPr="00FB3AD2" w:rsidRDefault="00C85383" w:rsidP="00C85383">
            <w:pPr>
              <w:pStyle w:val="TableReference"/>
              <w:tabs>
                <w:tab w:val="left" w:pos="3306"/>
              </w:tabs>
              <w:rPr>
                <w:rFonts w:cs="Calibri"/>
                <w:color w:val="7030A0"/>
                <w:sz w:val="14"/>
              </w:rPr>
            </w:pPr>
            <w:r w:rsidRPr="00FB3AD2">
              <w:rPr>
                <w:rFonts w:cs="Calibri"/>
                <w:color w:val="7030A0"/>
                <w:sz w:val="14"/>
              </w:rPr>
              <w:t>AASB 13.93(f))</w:t>
            </w:r>
          </w:p>
        </w:tc>
        <w:tc>
          <w:tcPr>
            <w:tcW w:w="4490" w:type="pct"/>
            <w:gridSpan w:val="7"/>
            <w:tcBorders>
              <w:top w:val="nil"/>
              <w:left w:val="single" w:sz="2" w:space="0" w:color="auto"/>
              <w:bottom w:val="nil"/>
              <w:right w:val="nil"/>
            </w:tcBorders>
          </w:tcPr>
          <w:p w14:paraId="5F7D4545" w14:textId="663B550F" w:rsidR="00C85383" w:rsidRPr="00FB3AD2" w:rsidRDefault="00C85383" w:rsidP="000413C4">
            <w:pPr>
              <w:spacing w:before="40"/>
              <w:jc w:val="both"/>
              <w:rPr>
                <w:sz w:val="18"/>
                <w:szCs w:val="18"/>
              </w:rPr>
            </w:pPr>
            <w:r w:rsidRPr="00FB3AD2">
              <w:rPr>
                <w:sz w:val="18"/>
                <w:szCs w:val="18"/>
              </w:rPr>
              <w:t>Change in unrealised gains or losses for the period are included in profit or loss for assets held at the end of the reporting period.</w:t>
            </w:r>
          </w:p>
        </w:tc>
      </w:tr>
    </w:tbl>
    <w:p w14:paraId="3738579B" w14:textId="0785AB7B" w:rsidR="003262FD" w:rsidRDefault="003262FD"/>
    <w:p w14:paraId="2E103CD1" w14:textId="177F3715" w:rsidR="003262FD" w:rsidRDefault="003262FD">
      <w:r>
        <w:br w:type="page"/>
      </w:r>
    </w:p>
    <w:tbl>
      <w:tblPr>
        <w:tblW w:w="48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6377"/>
        <w:gridCol w:w="995"/>
        <w:gridCol w:w="992"/>
        <w:gridCol w:w="1415"/>
        <w:gridCol w:w="1277"/>
        <w:gridCol w:w="1559"/>
        <w:gridCol w:w="1136"/>
      </w:tblGrid>
      <w:tr w:rsidR="002A0724" w:rsidRPr="00775965" w14:paraId="380F107E" w14:textId="77777777" w:rsidTr="005F5B4C">
        <w:trPr>
          <w:gridAfter w:val="1"/>
          <w:wAfter w:w="371" w:type="pct"/>
          <w:cantSplit/>
          <w:trHeight w:val="360"/>
        </w:trPr>
        <w:tc>
          <w:tcPr>
            <w:tcW w:w="510" w:type="pct"/>
            <w:tcBorders>
              <w:top w:val="nil"/>
              <w:left w:val="single" w:sz="2" w:space="0" w:color="auto"/>
              <w:bottom w:val="nil"/>
              <w:right w:val="single" w:sz="2" w:space="0" w:color="auto"/>
            </w:tcBorders>
          </w:tcPr>
          <w:p w14:paraId="07A6CB66" w14:textId="77777777" w:rsidR="002A0724" w:rsidRPr="00FB3AD2" w:rsidRDefault="002A0724" w:rsidP="009A0F2F">
            <w:pPr>
              <w:pStyle w:val="TableReference"/>
              <w:tabs>
                <w:tab w:val="left" w:pos="3306"/>
              </w:tabs>
              <w:spacing w:before="120" w:after="240"/>
              <w:rPr>
                <w:rFonts w:cs="Calibri"/>
                <w:b/>
                <w:color w:val="7030A0"/>
                <w:sz w:val="22"/>
                <w:szCs w:val="22"/>
              </w:rPr>
            </w:pPr>
            <w:r w:rsidRPr="00FB3AD2">
              <w:rPr>
                <w:color w:val="7030A0"/>
              </w:rPr>
              <w:br w:type="page"/>
            </w:r>
            <w:r w:rsidRPr="00FB3AD2">
              <w:rPr>
                <w:rFonts w:cs="Calibri"/>
                <w:b/>
                <w:color w:val="7030A0"/>
                <w:sz w:val="22"/>
                <w:szCs w:val="22"/>
              </w:rPr>
              <w:t>Reference</w:t>
            </w:r>
          </w:p>
        </w:tc>
        <w:tc>
          <w:tcPr>
            <w:tcW w:w="4119" w:type="pct"/>
            <w:gridSpan w:val="6"/>
            <w:tcBorders>
              <w:top w:val="nil"/>
              <w:left w:val="single" w:sz="2" w:space="0" w:color="auto"/>
              <w:bottom w:val="nil"/>
              <w:right w:val="nil"/>
            </w:tcBorders>
          </w:tcPr>
          <w:p w14:paraId="24D5C5B9" w14:textId="04F286BC" w:rsidR="002A0724" w:rsidRPr="00F73636" w:rsidRDefault="002A0724" w:rsidP="009A0F2F">
            <w:pPr>
              <w:spacing w:before="120" w:after="240"/>
              <w:rPr>
                <w:b/>
              </w:rPr>
            </w:pPr>
            <w:r w:rsidRPr="00FB3AD2">
              <w:rPr>
                <w:rFonts w:ascii="Arial Bold" w:hAnsi="Arial Bold" w:cs="Arial"/>
                <w:b/>
                <w:caps/>
                <w:sz w:val="32"/>
                <w:szCs w:val="32"/>
              </w:rPr>
              <w:t>Note 19.</w:t>
            </w:r>
            <w:r w:rsidR="00FA7C77">
              <w:rPr>
                <w:rFonts w:ascii="Arial Bold" w:hAnsi="Arial Bold" w:cs="Arial"/>
                <w:b/>
                <w:caps/>
                <w:sz w:val="32"/>
                <w:szCs w:val="32"/>
              </w:rPr>
              <w:t xml:space="preserve"> </w:t>
            </w:r>
            <w:r w:rsidRPr="00FB3AD2">
              <w:rPr>
                <w:rFonts w:ascii="Arial Bold" w:hAnsi="Arial Bold" w:cs="Arial"/>
                <w:b/>
                <w:caps/>
                <w:sz w:val="32"/>
                <w:szCs w:val="32"/>
              </w:rPr>
              <w:t xml:space="preserve"> Property, Plant and Equipment – Continued</w:t>
            </w:r>
          </w:p>
        </w:tc>
      </w:tr>
      <w:tr w:rsidR="002A0724" w:rsidRPr="00DA3E2F" w14:paraId="2BB88AEA" w14:textId="77777777" w:rsidTr="005F5B4C">
        <w:trPr>
          <w:gridAfter w:val="1"/>
          <w:wAfter w:w="371" w:type="pct"/>
          <w:cantSplit/>
          <w:trHeight w:val="23"/>
        </w:trPr>
        <w:tc>
          <w:tcPr>
            <w:tcW w:w="510" w:type="pct"/>
            <w:tcBorders>
              <w:top w:val="nil"/>
              <w:left w:val="single" w:sz="2" w:space="0" w:color="auto"/>
              <w:bottom w:val="nil"/>
              <w:right w:val="single" w:sz="2" w:space="0" w:color="auto"/>
            </w:tcBorders>
          </w:tcPr>
          <w:p w14:paraId="34F873C9"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w:t>
            </w:r>
          </w:p>
        </w:tc>
        <w:tc>
          <w:tcPr>
            <w:tcW w:w="4119" w:type="pct"/>
            <w:gridSpan w:val="6"/>
            <w:tcBorders>
              <w:top w:val="nil"/>
              <w:left w:val="single" w:sz="2" w:space="0" w:color="auto"/>
              <w:bottom w:val="nil"/>
              <w:right w:val="nil"/>
            </w:tcBorders>
          </w:tcPr>
          <w:p w14:paraId="3A7EC0D5" w14:textId="77777777" w:rsidR="002A0724" w:rsidRPr="00006A2C" w:rsidRDefault="002A0724" w:rsidP="009A0F2F">
            <w:pPr>
              <w:rPr>
                <w:b/>
                <w:sz w:val="16"/>
                <w:highlight w:val="yellow"/>
              </w:rPr>
            </w:pPr>
            <w:r w:rsidRPr="00DA3E2F">
              <w:rPr>
                <w:b/>
                <w:sz w:val="18"/>
                <w:szCs w:val="18"/>
              </w:rPr>
              <w:t>Fair Value Measurements using Significant Unobservable Inputs (Level 3)</w:t>
            </w:r>
          </w:p>
        </w:tc>
      </w:tr>
      <w:tr w:rsidR="002A0724" w:rsidRPr="00DA3E2F" w14:paraId="7D72A04B" w14:textId="77777777" w:rsidTr="005F5B4C">
        <w:trPr>
          <w:cantSplit/>
          <w:trHeight w:val="23"/>
        </w:trPr>
        <w:tc>
          <w:tcPr>
            <w:tcW w:w="510" w:type="pct"/>
            <w:tcBorders>
              <w:top w:val="nil"/>
              <w:left w:val="single" w:sz="2" w:space="0" w:color="auto"/>
              <w:bottom w:val="nil"/>
              <w:right w:val="single" w:sz="2" w:space="0" w:color="auto"/>
            </w:tcBorders>
          </w:tcPr>
          <w:p w14:paraId="61B5FD2F"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DBEED89" w14:textId="77777777" w:rsidR="002A0724" w:rsidRPr="00FB3AD2" w:rsidRDefault="002A0724" w:rsidP="009A0F2F">
            <w:pPr>
              <w:rPr>
                <w:b/>
                <w:sz w:val="18"/>
                <w:szCs w:val="18"/>
              </w:rPr>
            </w:pPr>
          </w:p>
        </w:tc>
        <w:tc>
          <w:tcPr>
            <w:tcW w:w="325" w:type="pct"/>
            <w:tcBorders>
              <w:top w:val="nil"/>
              <w:left w:val="nil"/>
              <w:bottom w:val="nil"/>
              <w:right w:val="nil"/>
            </w:tcBorders>
            <w:vAlign w:val="bottom"/>
          </w:tcPr>
          <w:p w14:paraId="40AB651B" w14:textId="77777777" w:rsidR="002A0724" w:rsidRPr="00FB3AD2" w:rsidRDefault="002A0724" w:rsidP="009A0F2F">
            <w:pPr>
              <w:jc w:val="right"/>
              <w:rPr>
                <w:b/>
                <w:sz w:val="18"/>
                <w:szCs w:val="18"/>
              </w:rPr>
            </w:pPr>
            <w:r w:rsidRPr="00FB3AD2">
              <w:rPr>
                <w:b/>
                <w:sz w:val="18"/>
                <w:szCs w:val="18"/>
              </w:rPr>
              <w:t>Land</w:t>
            </w:r>
          </w:p>
        </w:tc>
        <w:tc>
          <w:tcPr>
            <w:tcW w:w="324" w:type="pct"/>
            <w:tcBorders>
              <w:top w:val="nil"/>
              <w:left w:val="nil"/>
              <w:bottom w:val="nil"/>
              <w:right w:val="nil"/>
            </w:tcBorders>
            <w:vAlign w:val="bottom"/>
          </w:tcPr>
          <w:p w14:paraId="0A528977" w14:textId="77777777" w:rsidR="002A0724" w:rsidRPr="00FB3AD2" w:rsidRDefault="002A0724" w:rsidP="009A0F2F">
            <w:pPr>
              <w:jc w:val="right"/>
              <w:rPr>
                <w:b/>
                <w:sz w:val="18"/>
                <w:szCs w:val="18"/>
              </w:rPr>
            </w:pPr>
            <w:r w:rsidRPr="00FB3AD2">
              <w:rPr>
                <w:b/>
                <w:sz w:val="18"/>
                <w:szCs w:val="18"/>
              </w:rPr>
              <w:t>Buildings</w:t>
            </w:r>
          </w:p>
        </w:tc>
        <w:tc>
          <w:tcPr>
            <w:tcW w:w="462" w:type="pct"/>
            <w:tcBorders>
              <w:top w:val="nil"/>
              <w:left w:val="nil"/>
              <w:bottom w:val="nil"/>
              <w:right w:val="nil"/>
            </w:tcBorders>
            <w:vAlign w:val="bottom"/>
          </w:tcPr>
          <w:p w14:paraId="1B7046BE" w14:textId="77777777" w:rsidR="002A0724" w:rsidRPr="00FB3AD2" w:rsidRDefault="002A0724" w:rsidP="009A0F2F">
            <w:pPr>
              <w:jc w:val="right"/>
              <w:rPr>
                <w:b/>
                <w:sz w:val="18"/>
                <w:szCs w:val="18"/>
              </w:rPr>
            </w:pPr>
            <w:r w:rsidRPr="00FB3AD2">
              <w:rPr>
                <w:b/>
                <w:sz w:val="18"/>
                <w:szCs w:val="18"/>
              </w:rPr>
              <w:t>Leasehold</w:t>
            </w:r>
          </w:p>
          <w:p w14:paraId="3D569674" w14:textId="77777777" w:rsidR="002A0724" w:rsidRPr="00FB3AD2" w:rsidRDefault="002A0724" w:rsidP="009A0F2F">
            <w:pPr>
              <w:jc w:val="right"/>
              <w:rPr>
                <w:b/>
                <w:sz w:val="18"/>
                <w:szCs w:val="18"/>
              </w:rPr>
            </w:pPr>
            <w:r w:rsidRPr="00FB3AD2">
              <w:rPr>
                <w:b/>
                <w:sz w:val="18"/>
                <w:szCs w:val="18"/>
              </w:rPr>
              <w:t>Improvements</w:t>
            </w:r>
          </w:p>
        </w:tc>
        <w:tc>
          <w:tcPr>
            <w:tcW w:w="417" w:type="pct"/>
            <w:tcBorders>
              <w:top w:val="nil"/>
              <w:left w:val="nil"/>
              <w:bottom w:val="nil"/>
              <w:right w:val="nil"/>
            </w:tcBorders>
            <w:vAlign w:val="bottom"/>
          </w:tcPr>
          <w:p w14:paraId="3DD6B928" w14:textId="77777777" w:rsidR="002A0724" w:rsidRPr="00FB3AD2" w:rsidRDefault="002A0724" w:rsidP="009A0F2F">
            <w:pPr>
              <w:jc w:val="right"/>
              <w:rPr>
                <w:b/>
                <w:sz w:val="18"/>
                <w:szCs w:val="18"/>
              </w:rPr>
            </w:pPr>
            <w:r w:rsidRPr="00FB3AD2">
              <w:rPr>
                <w:b/>
                <w:sz w:val="18"/>
                <w:szCs w:val="18"/>
              </w:rPr>
              <w:t>Infrastructure</w:t>
            </w:r>
          </w:p>
          <w:p w14:paraId="718A0546" w14:textId="77777777" w:rsidR="002A0724" w:rsidRPr="00FB3AD2" w:rsidRDefault="002A0724" w:rsidP="009A0F2F">
            <w:pPr>
              <w:jc w:val="right"/>
              <w:rPr>
                <w:b/>
                <w:sz w:val="18"/>
                <w:szCs w:val="18"/>
              </w:rPr>
            </w:pPr>
            <w:r w:rsidRPr="00FB3AD2">
              <w:rPr>
                <w:b/>
                <w:sz w:val="18"/>
                <w:szCs w:val="18"/>
              </w:rPr>
              <w:t>Assets</w:t>
            </w:r>
          </w:p>
        </w:tc>
        <w:tc>
          <w:tcPr>
            <w:tcW w:w="509" w:type="pct"/>
            <w:tcBorders>
              <w:top w:val="nil"/>
              <w:left w:val="nil"/>
              <w:bottom w:val="nil"/>
              <w:right w:val="nil"/>
            </w:tcBorders>
          </w:tcPr>
          <w:p w14:paraId="56F95526" w14:textId="77777777" w:rsidR="002A0724" w:rsidRPr="00FB3AD2" w:rsidRDefault="002A0724" w:rsidP="009A0F2F">
            <w:pPr>
              <w:jc w:val="right"/>
              <w:rPr>
                <w:b/>
                <w:sz w:val="18"/>
                <w:szCs w:val="18"/>
              </w:rPr>
            </w:pPr>
            <w:r w:rsidRPr="00FB3AD2">
              <w:rPr>
                <w:b/>
                <w:sz w:val="18"/>
                <w:szCs w:val="18"/>
              </w:rPr>
              <w:t>Community and Heritage Assets</w:t>
            </w:r>
          </w:p>
        </w:tc>
        <w:tc>
          <w:tcPr>
            <w:tcW w:w="371" w:type="pct"/>
            <w:tcBorders>
              <w:top w:val="nil"/>
              <w:left w:val="nil"/>
              <w:bottom w:val="nil"/>
              <w:right w:val="nil"/>
            </w:tcBorders>
            <w:vAlign w:val="bottom"/>
          </w:tcPr>
          <w:p w14:paraId="3644836C" w14:textId="77777777" w:rsidR="002A0724" w:rsidRPr="00FB3AD2" w:rsidRDefault="002A0724" w:rsidP="009A0F2F">
            <w:pPr>
              <w:jc w:val="right"/>
              <w:rPr>
                <w:b/>
                <w:sz w:val="18"/>
                <w:szCs w:val="18"/>
              </w:rPr>
            </w:pPr>
            <w:r w:rsidRPr="00FB3AD2">
              <w:rPr>
                <w:b/>
                <w:sz w:val="18"/>
                <w:szCs w:val="18"/>
              </w:rPr>
              <w:t>Total</w:t>
            </w:r>
          </w:p>
        </w:tc>
      </w:tr>
      <w:tr w:rsidR="002A0724" w:rsidRPr="00DA3E2F" w14:paraId="656E78B5" w14:textId="77777777" w:rsidTr="005F5B4C">
        <w:trPr>
          <w:cantSplit/>
          <w:trHeight w:val="23"/>
        </w:trPr>
        <w:tc>
          <w:tcPr>
            <w:tcW w:w="510" w:type="pct"/>
            <w:tcBorders>
              <w:top w:val="nil"/>
              <w:left w:val="single" w:sz="2" w:space="0" w:color="auto"/>
              <w:bottom w:val="nil"/>
              <w:right w:val="single" w:sz="2" w:space="0" w:color="auto"/>
            </w:tcBorders>
          </w:tcPr>
          <w:p w14:paraId="317C6A30"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D02808B" w14:textId="77777777" w:rsidR="002A0724" w:rsidRPr="00FB3AD2" w:rsidRDefault="002A0724" w:rsidP="009A0F2F">
            <w:pPr>
              <w:rPr>
                <w:b/>
                <w:sz w:val="18"/>
                <w:szCs w:val="18"/>
              </w:rPr>
            </w:pPr>
          </w:p>
        </w:tc>
        <w:tc>
          <w:tcPr>
            <w:tcW w:w="325" w:type="pct"/>
            <w:tcBorders>
              <w:top w:val="nil"/>
              <w:left w:val="nil"/>
              <w:bottom w:val="nil"/>
              <w:right w:val="nil"/>
            </w:tcBorders>
          </w:tcPr>
          <w:p w14:paraId="340A0474" w14:textId="77777777" w:rsidR="002A0724" w:rsidRPr="00FB3AD2" w:rsidRDefault="002A0724" w:rsidP="009A0F2F">
            <w:pPr>
              <w:jc w:val="right"/>
              <w:rPr>
                <w:b/>
                <w:sz w:val="18"/>
                <w:szCs w:val="18"/>
              </w:rPr>
            </w:pPr>
            <w:r w:rsidRPr="00FB3AD2">
              <w:rPr>
                <w:b/>
                <w:sz w:val="18"/>
                <w:szCs w:val="18"/>
              </w:rPr>
              <w:t>$’000</w:t>
            </w:r>
          </w:p>
        </w:tc>
        <w:tc>
          <w:tcPr>
            <w:tcW w:w="324" w:type="pct"/>
            <w:tcBorders>
              <w:top w:val="nil"/>
              <w:left w:val="nil"/>
              <w:bottom w:val="nil"/>
              <w:right w:val="nil"/>
            </w:tcBorders>
          </w:tcPr>
          <w:p w14:paraId="7F599334" w14:textId="77777777" w:rsidR="002A0724" w:rsidRPr="00FB3AD2" w:rsidRDefault="002A0724" w:rsidP="009A0F2F">
            <w:pPr>
              <w:jc w:val="right"/>
              <w:rPr>
                <w:b/>
                <w:sz w:val="18"/>
                <w:szCs w:val="18"/>
              </w:rPr>
            </w:pPr>
            <w:r w:rsidRPr="00FB3AD2">
              <w:rPr>
                <w:b/>
                <w:sz w:val="18"/>
                <w:szCs w:val="18"/>
              </w:rPr>
              <w:t>$’000</w:t>
            </w:r>
          </w:p>
        </w:tc>
        <w:tc>
          <w:tcPr>
            <w:tcW w:w="462" w:type="pct"/>
            <w:tcBorders>
              <w:top w:val="nil"/>
              <w:left w:val="nil"/>
              <w:bottom w:val="nil"/>
              <w:right w:val="nil"/>
            </w:tcBorders>
          </w:tcPr>
          <w:p w14:paraId="2A713385" w14:textId="77777777" w:rsidR="002A0724" w:rsidRPr="00FB3AD2" w:rsidRDefault="002A0724" w:rsidP="009A0F2F">
            <w:pPr>
              <w:jc w:val="right"/>
              <w:rPr>
                <w:b/>
                <w:sz w:val="18"/>
                <w:szCs w:val="18"/>
              </w:rPr>
            </w:pPr>
            <w:r w:rsidRPr="00FB3AD2">
              <w:rPr>
                <w:b/>
                <w:sz w:val="18"/>
                <w:szCs w:val="18"/>
              </w:rPr>
              <w:t>$’000</w:t>
            </w:r>
          </w:p>
        </w:tc>
        <w:tc>
          <w:tcPr>
            <w:tcW w:w="417" w:type="pct"/>
            <w:tcBorders>
              <w:top w:val="nil"/>
              <w:left w:val="nil"/>
              <w:bottom w:val="nil"/>
              <w:right w:val="nil"/>
            </w:tcBorders>
          </w:tcPr>
          <w:p w14:paraId="53D23215" w14:textId="77777777" w:rsidR="002A0724" w:rsidRPr="00FB3AD2" w:rsidRDefault="002A0724" w:rsidP="009A0F2F">
            <w:pPr>
              <w:jc w:val="right"/>
              <w:rPr>
                <w:b/>
                <w:sz w:val="18"/>
                <w:szCs w:val="18"/>
              </w:rPr>
            </w:pPr>
            <w:r w:rsidRPr="00FB3AD2">
              <w:rPr>
                <w:b/>
                <w:sz w:val="18"/>
                <w:szCs w:val="18"/>
              </w:rPr>
              <w:t>$’000</w:t>
            </w:r>
          </w:p>
        </w:tc>
        <w:tc>
          <w:tcPr>
            <w:tcW w:w="509" w:type="pct"/>
            <w:tcBorders>
              <w:top w:val="nil"/>
              <w:left w:val="nil"/>
              <w:bottom w:val="nil"/>
              <w:right w:val="nil"/>
            </w:tcBorders>
          </w:tcPr>
          <w:p w14:paraId="41D83562" w14:textId="77777777" w:rsidR="002A0724" w:rsidRPr="00FB3AD2" w:rsidRDefault="002A0724" w:rsidP="009A0F2F">
            <w:pPr>
              <w:jc w:val="right"/>
              <w:rPr>
                <w:b/>
                <w:sz w:val="18"/>
                <w:szCs w:val="18"/>
              </w:rPr>
            </w:pPr>
            <w:r w:rsidRPr="00FB3AD2">
              <w:rPr>
                <w:b/>
                <w:sz w:val="18"/>
                <w:szCs w:val="18"/>
              </w:rPr>
              <w:t>$’000</w:t>
            </w:r>
          </w:p>
        </w:tc>
        <w:tc>
          <w:tcPr>
            <w:tcW w:w="371" w:type="pct"/>
            <w:tcBorders>
              <w:top w:val="nil"/>
              <w:left w:val="nil"/>
              <w:bottom w:val="nil"/>
              <w:right w:val="nil"/>
            </w:tcBorders>
          </w:tcPr>
          <w:p w14:paraId="1E84BDB5" w14:textId="77777777" w:rsidR="002A0724" w:rsidRPr="00FB3AD2" w:rsidRDefault="002A0724" w:rsidP="009A0F2F">
            <w:pPr>
              <w:jc w:val="right"/>
              <w:rPr>
                <w:b/>
                <w:sz w:val="18"/>
                <w:szCs w:val="18"/>
              </w:rPr>
            </w:pPr>
            <w:r w:rsidRPr="00FB3AD2">
              <w:rPr>
                <w:b/>
                <w:sz w:val="18"/>
                <w:szCs w:val="18"/>
              </w:rPr>
              <w:t>$’000</w:t>
            </w:r>
          </w:p>
        </w:tc>
      </w:tr>
      <w:tr w:rsidR="002A0724" w:rsidRPr="00DA3E2F" w14:paraId="5F427B23" w14:textId="77777777" w:rsidTr="005F5B4C">
        <w:trPr>
          <w:cantSplit/>
          <w:trHeight w:val="23"/>
        </w:trPr>
        <w:tc>
          <w:tcPr>
            <w:tcW w:w="510" w:type="pct"/>
            <w:tcBorders>
              <w:top w:val="nil"/>
              <w:left w:val="single" w:sz="2" w:space="0" w:color="auto"/>
              <w:bottom w:val="nil"/>
              <w:right w:val="single" w:sz="2" w:space="0" w:color="auto"/>
            </w:tcBorders>
          </w:tcPr>
          <w:p w14:paraId="5A199B2F"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3633557" w14:textId="2E3F4DDC" w:rsidR="002A0724" w:rsidRPr="00FB3AD2" w:rsidRDefault="002A0724" w:rsidP="009A0F2F">
            <w:pPr>
              <w:spacing w:after="40"/>
              <w:rPr>
                <w:b/>
                <w:sz w:val="18"/>
                <w:szCs w:val="18"/>
              </w:rPr>
            </w:pPr>
            <w:r w:rsidRPr="00FB3AD2">
              <w:rPr>
                <w:rFonts w:cs="Calibri"/>
                <w:b/>
                <w:bCs/>
                <w:sz w:val="18"/>
                <w:szCs w:val="18"/>
              </w:rPr>
              <w:t>2021</w:t>
            </w:r>
          </w:p>
        </w:tc>
        <w:tc>
          <w:tcPr>
            <w:tcW w:w="325" w:type="pct"/>
            <w:tcBorders>
              <w:top w:val="nil"/>
              <w:left w:val="nil"/>
              <w:bottom w:val="nil"/>
              <w:right w:val="nil"/>
            </w:tcBorders>
          </w:tcPr>
          <w:p w14:paraId="30020739" w14:textId="77777777" w:rsidR="002A0724" w:rsidRPr="00FB3AD2" w:rsidRDefault="002A0724" w:rsidP="009A0F2F">
            <w:pPr>
              <w:jc w:val="right"/>
              <w:rPr>
                <w:b/>
                <w:sz w:val="16"/>
              </w:rPr>
            </w:pPr>
          </w:p>
        </w:tc>
        <w:tc>
          <w:tcPr>
            <w:tcW w:w="324" w:type="pct"/>
            <w:tcBorders>
              <w:top w:val="nil"/>
              <w:left w:val="nil"/>
              <w:bottom w:val="nil"/>
              <w:right w:val="nil"/>
            </w:tcBorders>
          </w:tcPr>
          <w:p w14:paraId="58DBED86" w14:textId="77777777" w:rsidR="002A0724" w:rsidRPr="00FB3AD2" w:rsidRDefault="002A0724" w:rsidP="009A0F2F">
            <w:pPr>
              <w:jc w:val="right"/>
              <w:rPr>
                <w:b/>
                <w:sz w:val="16"/>
              </w:rPr>
            </w:pPr>
          </w:p>
        </w:tc>
        <w:tc>
          <w:tcPr>
            <w:tcW w:w="462" w:type="pct"/>
            <w:tcBorders>
              <w:top w:val="nil"/>
              <w:left w:val="nil"/>
              <w:bottom w:val="nil"/>
              <w:right w:val="nil"/>
            </w:tcBorders>
          </w:tcPr>
          <w:p w14:paraId="08340307" w14:textId="77777777" w:rsidR="002A0724" w:rsidRPr="00FB3AD2" w:rsidRDefault="002A0724" w:rsidP="009A0F2F">
            <w:pPr>
              <w:jc w:val="right"/>
              <w:rPr>
                <w:b/>
                <w:sz w:val="16"/>
              </w:rPr>
            </w:pPr>
          </w:p>
        </w:tc>
        <w:tc>
          <w:tcPr>
            <w:tcW w:w="417" w:type="pct"/>
            <w:tcBorders>
              <w:top w:val="nil"/>
              <w:left w:val="nil"/>
              <w:bottom w:val="nil"/>
              <w:right w:val="nil"/>
            </w:tcBorders>
          </w:tcPr>
          <w:p w14:paraId="4E64D2BF" w14:textId="77777777" w:rsidR="002A0724" w:rsidRPr="00FB3AD2" w:rsidRDefault="002A0724" w:rsidP="009A0F2F">
            <w:pPr>
              <w:jc w:val="right"/>
              <w:rPr>
                <w:b/>
                <w:sz w:val="16"/>
              </w:rPr>
            </w:pPr>
          </w:p>
        </w:tc>
        <w:tc>
          <w:tcPr>
            <w:tcW w:w="509" w:type="pct"/>
            <w:tcBorders>
              <w:top w:val="nil"/>
              <w:left w:val="nil"/>
              <w:bottom w:val="nil"/>
              <w:right w:val="nil"/>
            </w:tcBorders>
          </w:tcPr>
          <w:p w14:paraId="0CF5D3DD" w14:textId="77777777" w:rsidR="002A0724" w:rsidRPr="00FB3AD2" w:rsidRDefault="002A0724" w:rsidP="009A0F2F">
            <w:pPr>
              <w:jc w:val="right"/>
              <w:rPr>
                <w:b/>
                <w:sz w:val="16"/>
              </w:rPr>
            </w:pPr>
          </w:p>
        </w:tc>
        <w:tc>
          <w:tcPr>
            <w:tcW w:w="371" w:type="pct"/>
            <w:tcBorders>
              <w:top w:val="nil"/>
              <w:left w:val="nil"/>
              <w:bottom w:val="nil"/>
              <w:right w:val="nil"/>
            </w:tcBorders>
          </w:tcPr>
          <w:p w14:paraId="4DCD7D08" w14:textId="77777777" w:rsidR="002A0724" w:rsidRPr="00FB3AD2" w:rsidRDefault="002A0724" w:rsidP="009A0F2F">
            <w:pPr>
              <w:jc w:val="right"/>
              <w:rPr>
                <w:b/>
                <w:sz w:val="16"/>
              </w:rPr>
            </w:pPr>
          </w:p>
        </w:tc>
      </w:tr>
      <w:tr w:rsidR="002A0724" w:rsidRPr="00DA3E2F" w14:paraId="29601D51" w14:textId="77777777" w:rsidTr="005F5B4C">
        <w:trPr>
          <w:cantSplit/>
          <w:trHeight w:val="23"/>
        </w:trPr>
        <w:tc>
          <w:tcPr>
            <w:tcW w:w="510" w:type="pct"/>
            <w:tcBorders>
              <w:top w:val="nil"/>
              <w:left w:val="single" w:sz="2" w:space="0" w:color="auto"/>
              <w:bottom w:val="nil"/>
              <w:right w:val="single" w:sz="2" w:space="0" w:color="auto"/>
            </w:tcBorders>
          </w:tcPr>
          <w:p w14:paraId="147AE8C0"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A3FCAF7" w14:textId="77777777" w:rsidR="002A0724" w:rsidRPr="00FB3AD2" w:rsidRDefault="002A0724" w:rsidP="009A0F2F">
            <w:pPr>
              <w:spacing w:after="40"/>
              <w:rPr>
                <w:b/>
                <w:sz w:val="18"/>
                <w:szCs w:val="18"/>
              </w:rPr>
            </w:pPr>
            <w:r w:rsidRPr="00FB3AD2">
              <w:rPr>
                <w:sz w:val="18"/>
                <w:szCs w:val="18"/>
              </w:rPr>
              <w:t>Fair Value at the Beginning of the Reporting Period</w:t>
            </w:r>
          </w:p>
        </w:tc>
        <w:tc>
          <w:tcPr>
            <w:tcW w:w="325" w:type="pct"/>
            <w:tcBorders>
              <w:top w:val="nil"/>
              <w:left w:val="nil"/>
              <w:bottom w:val="nil"/>
              <w:right w:val="nil"/>
            </w:tcBorders>
          </w:tcPr>
          <w:p w14:paraId="0C5A4EEF" w14:textId="77777777" w:rsidR="002A0724" w:rsidRPr="00FB3AD2" w:rsidRDefault="002A0724" w:rsidP="009A0F2F">
            <w:pPr>
              <w:rPr>
                <w:b/>
                <w:sz w:val="18"/>
                <w:szCs w:val="18"/>
              </w:rPr>
            </w:pPr>
          </w:p>
        </w:tc>
        <w:tc>
          <w:tcPr>
            <w:tcW w:w="324" w:type="pct"/>
            <w:tcBorders>
              <w:top w:val="nil"/>
              <w:left w:val="nil"/>
              <w:bottom w:val="nil"/>
              <w:right w:val="nil"/>
            </w:tcBorders>
          </w:tcPr>
          <w:p w14:paraId="7F92DB32" w14:textId="77777777" w:rsidR="002A0724" w:rsidRPr="00FB3AD2" w:rsidRDefault="002A0724" w:rsidP="009A0F2F">
            <w:pPr>
              <w:rPr>
                <w:b/>
                <w:sz w:val="18"/>
                <w:szCs w:val="18"/>
              </w:rPr>
            </w:pPr>
          </w:p>
        </w:tc>
        <w:tc>
          <w:tcPr>
            <w:tcW w:w="462" w:type="pct"/>
            <w:tcBorders>
              <w:top w:val="nil"/>
              <w:left w:val="nil"/>
              <w:bottom w:val="nil"/>
              <w:right w:val="nil"/>
            </w:tcBorders>
          </w:tcPr>
          <w:p w14:paraId="3FF00C18" w14:textId="77777777" w:rsidR="002A0724" w:rsidRPr="00FB3AD2" w:rsidRDefault="002A0724" w:rsidP="009A0F2F">
            <w:pPr>
              <w:rPr>
                <w:b/>
                <w:sz w:val="18"/>
                <w:szCs w:val="18"/>
              </w:rPr>
            </w:pPr>
          </w:p>
        </w:tc>
        <w:tc>
          <w:tcPr>
            <w:tcW w:w="417" w:type="pct"/>
            <w:tcBorders>
              <w:top w:val="nil"/>
              <w:left w:val="nil"/>
              <w:bottom w:val="nil"/>
              <w:right w:val="nil"/>
            </w:tcBorders>
          </w:tcPr>
          <w:p w14:paraId="770CC32A" w14:textId="77777777" w:rsidR="002A0724" w:rsidRPr="00FB3AD2" w:rsidRDefault="002A0724" w:rsidP="009A0F2F">
            <w:pPr>
              <w:rPr>
                <w:b/>
                <w:sz w:val="18"/>
                <w:szCs w:val="18"/>
              </w:rPr>
            </w:pPr>
          </w:p>
        </w:tc>
        <w:tc>
          <w:tcPr>
            <w:tcW w:w="509" w:type="pct"/>
            <w:tcBorders>
              <w:top w:val="nil"/>
              <w:left w:val="nil"/>
              <w:bottom w:val="nil"/>
              <w:right w:val="nil"/>
            </w:tcBorders>
          </w:tcPr>
          <w:p w14:paraId="3FA82947" w14:textId="77777777" w:rsidR="002A0724" w:rsidRPr="00FB3AD2" w:rsidRDefault="002A0724" w:rsidP="009A0F2F">
            <w:pPr>
              <w:rPr>
                <w:b/>
                <w:sz w:val="18"/>
                <w:szCs w:val="18"/>
              </w:rPr>
            </w:pPr>
          </w:p>
        </w:tc>
        <w:tc>
          <w:tcPr>
            <w:tcW w:w="371" w:type="pct"/>
            <w:tcBorders>
              <w:top w:val="nil"/>
              <w:left w:val="nil"/>
              <w:bottom w:val="nil"/>
              <w:right w:val="nil"/>
            </w:tcBorders>
          </w:tcPr>
          <w:p w14:paraId="31446EEC" w14:textId="77777777" w:rsidR="002A0724" w:rsidRPr="00FB3AD2" w:rsidRDefault="002A0724" w:rsidP="009A0F2F">
            <w:pPr>
              <w:rPr>
                <w:b/>
                <w:sz w:val="18"/>
                <w:szCs w:val="18"/>
              </w:rPr>
            </w:pPr>
          </w:p>
        </w:tc>
      </w:tr>
      <w:tr w:rsidR="002A0724" w:rsidRPr="00DA3E2F" w14:paraId="03A63908" w14:textId="77777777" w:rsidTr="005F5B4C">
        <w:trPr>
          <w:cantSplit/>
          <w:trHeight w:val="23"/>
        </w:trPr>
        <w:tc>
          <w:tcPr>
            <w:tcW w:w="510" w:type="pct"/>
            <w:tcBorders>
              <w:top w:val="nil"/>
              <w:left w:val="single" w:sz="2" w:space="0" w:color="auto"/>
              <w:bottom w:val="nil"/>
              <w:right w:val="single" w:sz="2" w:space="0" w:color="auto"/>
            </w:tcBorders>
          </w:tcPr>
          <w:p w14:paraId="67516E23"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9FB1A05" w14:textId="77777777" w:rsidR="002A0724" w:rsidRPr="00FB3AD2" w:rsidRDefault="002A0724" w:rsidP="009A0F2F">
            <w:pPr>
              <w:spacing w:after="40"/>
              <w:rPr>
                <w:b/>
                <w:sz w:val="18"/>
                <w:szCs w:val="18"/>
              </w:rPr>
            </w:pPr>
            <w:r w:rsidRPr="00FB3AD2">
              <w:rPr>
                <w:sz w:val="18"/>
                <w:szCs w:val="18"/>
              </w:rPr>
              <w:t>Additions</w:t>
            </w:r>
          </w:p>
        </w:tc>
        <w:tc>
          <w:tcPr>
            <w:tcW w:w="325" w:type="pct"/>
            <w:tcBorders>
              <w:top w:val="nil"/>
              <w:left w:val="nil"/>
              <w:bottom w:val="nil"/>
              <w:right w:val="nil"/>
            </w:tcBorders>
          </w:tcPr>
          <w:p w14:paraId="7121FB78" w14:textId="77777777" w:rsidR="002A0724" w:rsidRPr="00FB3AD2" w:rsidRDefault="002A0724" w:rsidP="009A0F2F">
            <w:pPr>
              <w:rPr>
                <w:b/>
                <w:sz w:val="18"/>
                <w:szCs w:val="18"/>
              </w:rPr>
            </w:pPr>
          </w:p>
        </w:tc>
        <w:tc>
          <w:tcPr>
            <w:tcW w:w="324" w:type="pct"/>
            <w:tcBorders>
              <w:top w:val="nil"/>
              <w:left w:val="nil"/>
              <w:bottom w:val="nil"/>
              <w:right w:val="nil"/>
            </w:tcBorders>
          </w:tcPr>
          <w:p w14:paraId="3FB919A3" w14:textId="77777777" w:rsidR="002A0724" w:rsidRPr="00FB3AD2" w:rsidRDefault="002A0724" w:rsidP="009A0F2F">
            <w:pPr>
              <w:rPr>
                <w:b/>
                <w:sz w:val="18"/>
                <w:szCs w:val="18"/>
              </w:rPr>
            </w:pPr>
          </w:p>
        </w:tc>
        <w:tc>
          <w:tcPr>
            <w:tcW w:w="462" w:type="pct"/>
            <w:tcBorders>
              <w:top w:val="nil"/>
              <w:left w:val="nil"/>
              <w:bottom w:val="nil"/>
              <w:right w:val="nil"/>
            </w:tcBorders>
          </w:tcPr>
          <w:p w14:paraId="3B19638C" w14:textId="77777777" w:rsidR="002A0724" w:rsidRPr="00FB3AD2" w:rsidRDefault="002A0724" w:rsidP="009A0F2F">
            <w:pPr>
              <w:rPr>
                <w:b/>
                <w:sz w:val="18"/>
                <w:szCs w:val="18"/>
              </w:rPr>
            </w:pPr>
          </w:p>
        </w:tc>
        <w:tc>
          <w:tcPr>
            <w:tcW w:w="417" w:type="pct"/>
            <w:tcBorders>
              <w:top w:val="nil"/>
              <w:left w:val="nil"/>
              <w:bottom w:val="nil"/>
              <w:right w:val="nil"/>
            </w:tcBorders>
          </w:tcPr>
          <w:p w14:paraId="580CC9D3" w14:textId="77777777" w:rsidR="002A0724" w:rsidRPr="00FB3AD2" w:rsidRDefault="002A0724" w:rsidP="009A0F2F">
            <w:pPr>
              <w:rPr>
                <w:b/>
                <w:sz w:val="18"/>
                <w:szCs w:val="18"/>
              </w:rPr>
            </w:pPr>
          </w:p>
        </w:tc>
        <w:tc>
          <w:tcPr>
            <w:tcW w:w="509" w:type="pct"/>
            <w:tcBorders>
              <w:top w:val="nil"/>
              <w:left w:val="nil"/>
              <w:bottom w:val="nil"/>
              <w:right w:val="nil"/>
            </w:tcBorders>
          </w:tcPr>
          <w:p w14:paraId="7DA786EE" w14:textId="77777777" w:rsidR="002A0724" w:rsidRPr="00FB3AD2" w:rsidRDefault="002A0724" w:rsidP="009A0F2F">
            <w:pPr>
              <w:rPr>
                <w:b/>
                <w:sz w:val="18"/>
                <w:szCs w:val="18"/>
              </w:rPr>
            </w:pPr>
          </w:p>
        </w:tc>
        <w:tc>
          <w:tcPr>
            <w:tcW w:w="371" w:type="pct"/>
            <w:tcBorders>
              <w:top w:val="nil"/>
              <w:left w:val="nil"/>
              <w:bottom w:val="nil"/>
              <w:right w:val="nil"/>
            </w:tcBorders>
          </w:tcPr>
          <w:p w14:paraId="1EF04C27" w14:textId="77777777" w:rsidR="002A0724" w:rsidRPr="00FB3AD2" w:rsidRDefault="002A0724" w:rsidP="009A0F2F">
            <w:pPr>
              <w:rPr>
                <w:b/>
                <w:sz w:val="18"/>
                <w:szCs w:val="18"/>
              </w:rPr>
            </w:pPr>
          </w:p>
        </w:tc>
      </w:tr>
      <w:tr w:rsidR="002A0724" w:rsidRPr="00DA3E2F" w14:paraId="49D1F68A" w14:textId="77777777" w:rsidTr="005F5B4C">
        <w:trPr>
          <w:cantSplit/>
          <w:trHeight w:val="23"/>
        </w:trPr>
        <w:tc>
          <w:tcPr>
            <w:tcW w:w="510" w:type="pct"/>
            <w:tcBorders>
              <w:top w:val="nil"/>
              <w:left w:val="single" w:sz="2" w:space="0" w:color="auto"/>
              <w:bottom w:val="nil"/>
              <w:right w:val="single" w:sz="2" w:space="0" w:color="auto"/>
            </w:tcBorders>
          </w:tcPr>
          <w:p w14:paraId="1AE6989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B797510" w14:textId="77777777" w:rsidR="002A0724" w:rsidRPr="00FB3AD2" w:rsidRDefault="002A0724" w:rsidP="009A0F2F">
            <w:pPr>
              <w:spacing w:after="40"/>
              <w:rPr>
                <w:b/>
                <w:sz w:val="18"/>
                <w:szCs w:val="18"/>
              </w:rPr>
            </w:pPr>
            <w:r w:rsidRPr="00FB3AD2">
              <w:rPr>
                <w:sz w:val="18"/>
                <w:szCs w:val="18"/>
              </w:rPr>
              <w:t>Assets Classified as Held for Sale</w:t>
            </w:r>
          </w:p>
        </w:tc>
        <w:tc>
          <w:tcPr>
            <w:tcW w:w="325" w:type="pct"/>
            <w:tcBorders>
              <w:top w:val="nil"/>
              <w:left w:val="nil"/>
              <w:bottom w:val="nil"/>
              <w:right w:val="nil"/>
            </w:tcBorders>
          </w:tcPr>
          <w:p w14:paraId="1D8C98DE" w14:textId="77777777" w:rsidR="002A0724" w:rsidRPr="00FB3AD2" w:rsidRDefault="002A0724" w:rsidP="009A0F2F">
            <w:pPr>
              <w:rPr>
                <w:b/>
                <w:sz w:val="18"/>
                <w:szCs w:val="18"/>
              </w:rPr>
            </w:pPr>
          </w:p>
        </w:tc>
        <w:tc>
          <w:tcPr>
            <w:tcW w:w="324" w:type="pct"/>
            <w:tcBorders>
              <w:top w:val="nil"/>
              <w:left w:val="nil"/>
              <w:bottom w:val="nil"/>
              <w:right w:val="nil"/>
            </w:tcBorders>
          </w:tcPr>
          <w:p w14:paraId="35D13D03" w14:textId="77777777" w:rsidR="002A0724" w:rsidRPr="00FB3AD2" w:rsidRDefault="002A0724" w:rsidP="009A0F2F">
            <w:pPr>
              <w:rPr>
                <w:b/>
                <w:sz w:val="18"/>
                <w:szCs w:val="18"/>
              </w:rPr>
            </w:pPr>
          </w:p>
        </w:tc>
        <w:tc>
          <w:tcPr>
            <w:tcW w:w="462" w:type="pct"/>
            <w:tcBorders>
              <w:top w:val="nil"/>
              <w:left w:val="nil"/>
              <w:bottom w:val="nil"/>
              <w:right w:val="nil"/>
            </w:tcBorders>
          </w:tcPr>
          <w:p w14:paraId="371E770E" w14:textId="77777777" w:rsidR="002A0724" w:rsidRPr="00FB3AD2" w:rsidRDefault="002A0724" w:rsidP="009A0F2F">
            <w:pPr>
              <w:rPr>
                <w:b/>
                <w:sz w:val="18"/>
                <w:szCs w:val="18"/>
              </w:rPr>
            </w:pPr>
          </w:p>
        </w:tc>
        <w:tc>
          <w:tcPr>
            <w:tcW w:w="417" w:type="pct"/>
            <w:tcBorders>
              <w:top w:val="nil"/>
              <w:left w:val="nil"/>
              <w:bottom w:val="nil"/>
              <w:right w:val="nil"/>
            </w:tcBorders>
          </w:tcPr>
          <w:p w14:paraId="26CA1B32" w14:textId="77777777" w:rsidR="002A0724" w:rsidRPr="00FB3AD2" w:rsidRDefault="002A0724" w:rsidP="009A0F2F">
            <w:pPr>
              <w:rPr>
                <w:b/>
                <w:sz w:val="18"/>
                <w:szCs w:val="18"/>
              </w:rPr>
            </w:pPr>
          </w:p>
        </w:tc>
        <w:tc>
          <w:tcPr>
            <w:tcW w:w="509" w:type="pct"/>
            <w:tcBorders>
              <w:top w:val="nil"/>
              <w:left w:val="nil"/>
              <w:bottom w:val="nil"/>
              <w:right w:val="nil"/>
            </w:tcBorders>
          </w:tcPr>
          <w:p w14:paraId="32820F1A" w14:textId="77777777" w:rsidR="002A0724" w:rsidRPr="00FB3AD2" w:rsidRDefault="002A0724" w:rsidP="009A0F2F">
            <w:pPr>
              <w:rPr>
                <w:b/>
                <w:sz w:val="18"/>
                <w:szCs w:val="18"/>
              </w:rPr>
            </w:pPr>
          </w:p>
        </w:tc>
        <w:tc>
          <w:tcPr>
            <w:tcW w:w="371" w:type="pct"/>
            <w:tcBorders>
              <w:top w:val="nil"/>
              <w:left w:val="nil"/>
              <w:bottom w:val="nil"/>
              <w:right w:val="nil"/>
            </w:tcBorders>
          </w:tcPr>
          <w:p w14:paraId="428A2C4A" w14:textId="77777777" w:rsidR="002A0724" w:rsidRPr="00FB3AD2" w:rsidRDefault="002A0724" w:rsidP="009A0F2F">
            <w:pPr>
              <w:rPr>
                <w:b/>
                <w:sz w:val="18"/>
                <w:szCs w:val="18"/>
              </w:rPr>
            </w:pPr>
          </w:p>
        </w:tc>
      </w:tr>
      <w:tr w:rsidR="002A0724" w:rsidRPr="00DA3E2F" w14:paraId="2ADAE214" w14:textId="77777777" w:rsidTr="005F5B4C">
        <w:trPr>
          <w:cantSplit/>
          <w:trHeight w:val="23"/>
        </w:trPr>
        <w:tc>
          <w:tcPr>
            <w:tcW w:w="510" w:type="pct"/>
            <w:tcBorders>
              <w:top w:val="nil"/>
              <w:left w:val="single" w:sz="2" w:space="0" w:color="auto"/>
              <w:bottom w:val="nil"/>
              <w:right w:val="single" w:sz="2" w:space="0" w:color="auto"/>
            </w:tcBorders>
          </w:tcPr>
          <w:p w14:paraId="514A07AE"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0158098" w14:textId="77777777" w:rsidR="002A0724" w:rsidRPr="00FB3AD2" w:rsidRDefault="002A0724" w:rsidP="009A0F2F">
            <w:pPr>
              <w:spacing w:after="40"/>
              <w:rPr>
                <w:b/>
                <w:sz w:val="18"/>
                <w:szCs w:val="18"/>
              </w:rPr>
            </w:pPr>
            <w:r w:rsidRPr="00FB3AD2">
              <w:rPr>
                <w:sz w:val="18"/>
                <w:szCs w:val="18"/>
              </w:rPr>
              <w:t>Depreciation</w:t>
            </w:r>
          </w:p>
        </w:tc>
        <w:tc>
          <w:tcPr>
            <w:tcW w:w="325" w:type="pct"/>
            <w:tcBorders>
              <w:top w:val="nil"/>
              <w:left w:val="nil"/>
              <w:bottom w:val="nil"/>
              <w:right w:val="nil"/>
            </w:tcBorders>
          </w:tcPr>
          <w:p w14:paraId="73F30DA6" w14:textId="77777777" w:rsidR="002A0724" w:rsidRPr="00FB3AD2" w:rsidRDefault="002A0724" w:rsidP="009A0F2F">
            <w:pPr>
              <w:rPr>
                <w:b/>
                <w:sz w:val="18"/>
                <w:szCs w:val="18"/>
              </w:rPr>
            </w:pPr>
          </w:p>
        </w:tc>
        <w:tc>
          <w:tcPr>
            <w:tcW w:w="324" w:type="pct"/>
            <w:tcBorders>
              <w:top w:val="nil"/>
              <w:left w:val="nil"/>
              <w:bottom w:val="nil"/>
              <w:right w:val="nil"/>
            </w:tcBorders>
          </w:tcPr>
          <w:p w14:paraId="4E5F8F9E" w14:textId="77777777" w:rsidR="002A0724" w:rsidRPr="00FB3AD2" w:rsidRDefault="002A0724" w:rsidP="009A0F2F">
            <w:pPr>
              <w:rPr>
                <w:b/>
                <w:sz w:val="18"/>
                <w:szCs w:val="18"/>
              </w:rPr>
            </w:pPr>
          </w:p>
        </w:tc>
        <w:tc>
          <w:tcPr>
            <w:tcW w:w="462" w:type="pct"/>
            <w:tcBorders>
              <w:top w:val="nil"/>
              <w:left w:val="nil"/>
              <w:bottom w:val="nil"/>
              <w:right w:val="nil"/>
            </w:tcBorders>
          </w:tcPr>
          <w:p w14:paraId="4315730B" w14:textId="77777777" w:rsidR="002A0724" w:rsidRPr="00FB3AD2" w:rsidRDefault="002A0724" w:rsidP="009A0F2F">
            <w:pPr>
              <w:rPr>
                <w:b/>
                <w:sz w:val="18"/>
                <w:szCs w:val="18"/>
              </w:rPr>
            </w:pPr>
          </w:p>
        </w:tc>
        <w:tc>
          <w:tcPr>
            <w:tcW w:w="417" w:type="pct"/>
            <w:tcBorders>
              <w:top w:val="nil"/>
              <w:left w:val="nil"/>
              <w:bottom w:val="nil"/>
              <w:right w:val="nil"/>
            </w:tcBorders>
          </w:tcPr>
          <w:p w14:paraId="28EB5440" w14:textId="77777777" w:rsidR="002A0724" w:rsidRPr="00FB3AD2" w:rsidRDefault="002A0724" w:rsidP="009A0F2F">
            <w:pPr>
              <w:rPr>
                <w:b/>
                <w:sz w:val="18"/>
                <w:szCs w:val="18"/>
              </w:rPr>
            </w:pPr>
          </w:p>
        </w:tc>
        <w:tc>
          <w:tcPr>
            <w:tcW w:w="509" w:type="pct"/>
            <w:tcBorders>
              <w:top w:val="nil"/>
              <w:left w:val="nil"/>
              <w:bottom w:val="nil"/>
              <w:right w:val="nil"/>
            </w:tcBorders>
          </w:tcPr>
          <w:p w14:paraId="670BDA43" w14:textId="77777777" w:rsidR="002A0724" w:rsidRPr="00FB3AD2" w:rsidRDefault="002A0724" w:rsidP="009A0F2F">
            <w:pPr>
              <w:rPr>
                <w:b/>
                <w:sz w:val="18"/>
                <w:szCs w:val="18"/>
              </w:rPr>
            </w:pPr>
          </w:p>
        </w:tc>
        <w:tc>
          <w:tcPr>
            <w:tcW w:w="371" w:type="pct"/>
            <w:tcBorders>
              <w:top w:val="nil"/>
              <w:left w:val="nil"/>
              <w:bottom w:val="nil"/>
              <w:right w:val="nil"/>
            </w:tcBorders>
          </w:tcPr>
          <w:p w14:paraId="4CC13353" w14:textId="77777777" w:rsidR="002A0724" w:rsidRPr="00FB3AD2" w:rsidRDefault="002A0724" w:rsidP="009A0F2F">
            <w:pPr>
              <w:rPr>
                <w:b/>
                <w:sz w:val="18"/>
                <w:szCs w:val="18"/>
              </w:rPr>
            </w:pPr>
          </w:p>
        </w:tc>
      </w:tr>
      <w:tr w:rsidR="002A0724" w:rsidRPr="00DA3E2F" w14:paraId="44D1ED93" w14:textId="77777777" w:rsidTr="005F5B4C">
        <w:trPr>
          <w:cantSplit/>
          <w:trHeight w:val="23"/>
        </w:trPr>
        <w:tc>
          <w:tcPr>
            <w:tcW w:w="510" w:type="pct"/>
            <w:tcBorders>
              <w:top w:val="nil"/>
              <w:left w:val="single" w:sz="2" w:space="0" w:color="auto"/>
              <w:bottom w:val="nil"/>
              <w:right w:val="single" w:sz="2" w:space="0" w:color="auto"/>
            </w:tcBorders>
          </w:tcPr>
          <w:p w14:paraId="2A1FD476"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2267960" w14:textId="77777777" w:rsidR="002A0724" w:rsidRPr="00FB3AD2" w:rsidRDefault="002A0724" w:rsidP="009A0F2F">
            <w:pPr>
              <w:spacing w:after="40"/>
              <w:rPr>
                <w:b/>
                <w:sz w:val="18"/>
                <w:szCs w:val="18"/>
              </w:rPr>
            </w:pPr>
            <w:r w:rsidRPr="00FB3AD2">
              <w:rPr>
                <w:sz w:val="18"/>
                <w:szCs w:val="18"/>
              </w:rPr>
              <w:t>Acquisition/(Disposal)through Administrative Restructuring</w:t>
            </w:r>
          </w:p>
        </w:tc>
        <w:tc>
          <w:tcPr>
            <w:tcW w:w="325" w:type="pct"/>
            <w:tcBorders>
              <w:top w:val="nil"/>
              <w:left w:val="nil"/>
              <w:bottom w:val="nil"/>
              <w:right w:val="nil"/>
            </w:tcBorders>
          </w:tcPr>
          <w:p w14:paraId="390B2ECB" w14:textId="77777777" w:rsidR="002A0724" w:rsidRPr="00FB3AD2" w:rsidRDefault="002A0724" w:rsidP="009A0F2F">
            <w:pPr>
              <w:rPr>
                <w:b/>
                <w:sz w:val="18"/>
                <w:szCs w:val="18"/>
              </w:rPr>
            </w:pPr>
          </w:p>
        </w:tc>
        <w:tc>
          <w:tcPr>
            <w:tcW w:w="324" w:type="pct"/>
            <w:tcBorders>
              <w:top w:val="nil"/>
              <w:left w:val="nil"/>
              <w:bottom w:val="nil"/>
              <w:right w:val="nil"/>
            </w:tcBorders>
          </w:tcPr>
          <w:p w14:paraId="7D0EF031" w14:textId="77777777" w:rsidR="002A0724" w:rsidRPr="00FB3AD2" w:rsidRDefault="002A0724" w:rsidP="009A0F2F">
            <w:pPr>
              <w:rPr>
                <w:b/>
                <w:sz w:val="18"/>
                <w:szCs w:val="18"/>
              </w:rPr>
            </w:pPr>
          </w:p>
        </w:tc>
        <w:tc>
          <w:tcPr>
            <w:tcW w:w="462" w:type="pct"/>
            <w:tcBorders>
              <w:top w:val="nil"/>
              <w:left w:val="nil"/>
              <w:bottom w:val="nil"/>
              <w:right w:val="nil"/>
            </w:tcBorders>
          </w:tcPr>
          <w:p w14:paraId="41218ED2" w14:textId="77777777" w:rsidR="002A0724" w:rsidRPr="00FB3AD2" w:rsidRDefault="002A0724" w:rsidP="009A0F2F">
            <w:pPr>
              <w:rPr>
                <w:b/>
                <w:sz w:val="18"/>
                <w:szCs w:val="18"/>
              </w:rPr>
            </w:pPr>
          </w:p>
        </w:tc>
        <w:tc>
          <w:tcPr>
            <w:tcW w:w="417" w:type="pct"/>
            <w:tcBorders>
              <w:top w:val="nil"/>
              <w:left w:val="nil"/>
              <w:bottom w:val="nil"/>
              <w:right w:val="nil"/>
            </w:tcBorders>
          </w:tcPr>
          <w:p w14:paraId="3F70F46B" w14:textId="77777777" w:rsidR="002A0724" w:rsidRPr="00FB3AD2" w:rsidRDefault="002A0724" w:rsidP="009A0F2F">
            <w:pPr>
              <w:rPr>
                <w:b/>
                <w:sz w:val="18"/>
                <w:szCs w:val="18"/>
              </w:rPr>
            </w:pPr>
          </w:p>
        </w:tc>
        <w:tc>
          <w:tcPr>
            <w:tcW w:w="509" w:type="pct"/>
            <w:tcBorders>
              <w:top w:val="nil"/>
              <w:left w:val="nil"/>
              <w:bottom w:val="nil"/>
              <w:right w:val="nil"/>
            </w:tcBorders>
          </w:tcPr>
          <w:p w14:paraId="6B5D7673" w14:textId="77777777" w:rsidR="002A0724" w:rsidRPr="00FB3AD2" w:rsidRDefault="002A0724" w:rsidP="009A0F2F">
            <w:pPr>
              <w:rPr>
                <w:b/>
                <w:sz w:val="18"/>
                <w:szCs w:val="18"/>
              </w:rPr>
            </w:pPr>
          </w:p>
        </w:tc>
        <w:tc>
          <w:tcPr>
            <w:tcW w:w="371" w:type="pct"/>
            <w:tcBorders>
              <w:top w:val="nil"/>
              <w:left w:val="nil"/>
              <w:bottom w:val="nil"/>
              <w:right w:val="nil"/>
            </w:tcBorders>
          </w:tcPr>
          <w:p w14:paraId="7B9601D9" w14:textId="77777777" w:rsidR="002A0724" w:rsidRPr="00FB3AD2" w:rsidRDefault="002A0724" w:rsidP="009A0F2F">
            <w:pPr>
              <w:rPr>
                <w:b/>
                <w:sz w:val="18"/>
                <w:szCs w:val="18"/>
              </w:rPr>
            </w:pPr>
          </w:p>
        </w:tc>
      </w:tr>
      <w:tr w:rsidR="002A0724" w:rsidRPr="00DA3E2F" w14:paraId="17EE34FE" w14:textId="77777777" w:rsidTr="005F5B4C">
        <w:trPr>
          <w:cantSplit/>
          <w:trHeight w:val="23"/>
        </w:trPr>
        <w:tc>
          <w:tcPr>
            <w:tcW w:w="510" w:type="pct"/>
            <w:tcBorders>
              <w:top w:val="nil"/>
              <w:left w:val="single" w:sz="2" w:space="0" w:color="auto"/>
              <w:bottom w:val="nil"/>
              <w:right w:val="single" w:sz="2" w:space="0" w:color="auto"/>
            </w:tcBorders>
          </w:tcPr>
          <w:p w14:paraId="4493F11A"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7A953DF8" w14:textId="77777777" w:rsidR="002A0724" w:rsidRPr="00FB3AD2" w:rsidRDefault="002A0724" w:rsidP="009A0F2F">
            <w:pPr>
              <w:spacing w:after="40"/>
              <w:rPr>
                <w:sz w:val="18"/>
                <w:szCs w:val="18"/>
              </w:rPr>
            </w:pPr>
            <w:r w:rsidRPr="00FB3AD2">
              <w:rPr>
                <w:sz w:val="18"/>
                <w:szCs w:val="18"/>
              </w:rPr>
              <w:t>Acquisition/Disposal From Transfers</w:t>
            </w:r>
          </w:p>
        </w:tc>
        <w:tc>
          <w:tcPr>
            <w:tcW w:w="325" w:type="pct"/>
            <w:tcBorders>
              <w:top w:val="nil"/>
              <w:left w:val="nil"/>
              <w:bottom w:val="nil"/>
              <w:right w:val="nil"/>
            </w:tcBorders>
          </w:tcPr>
          <w:p w14:paraId="4A7756E4" w14:textId="77777777" w:rsidR="002A0724" w:rsidRPr="00FB3AD2" w:rsidRDefault="002A0724" w:rsidP="009A0F2F">
            <w:pPr>
              <w:rPr>
                <w:b/>
                <w:sz w:val="18"/>
                <w:szCs w:val="18"/>
              </w:rPr>
            </w:pPr>
          </w:p>
        </w:tc>
        <w:tc>
          <w:tcPr>
            <w:tcW w:w="324" w:type="pct"/>
            <w:tcBorders>
              <w:top w:val="nil"/>
              <w:left w:val="nil"/>
              <w:bottom w:val="nil"/>
              <w:right w:val="nil"/>
            </w:tcBorders>
          </w:tcPr>
          <w:p w14:paraId="5F4D5626" w14:textId="77777777" w:rsidR="002A0724" w:rsidRPr="00FB3AD2" w:rsidRDefault="002A0724" w:rsidP="009A0F2F">
            <w:pPr>
              <w:rPr>
                <w:b/>
                <w:sz w:val="18"/>
                <w:szCs w:val="18"/>
              </w:rPr>
            </w:pPr>
          </w:p>
        </w:tc>
        <w:tc>
          <w:tcPr>
            <w:tcW w:w="462" w:type="pct"/>
            <w:tcBorders>
              <w:top w:val="nil"/>
              <w:left w:val="nil"/>
              <w:bottom w:val="nil"/>
              <w:right w:val="nil"/>
            </w:tcBorders>
          </w:tcPr>
          <w:p w14:paraId="34EECA2B" w14:textId="77777777" w:rsidR="002A0724" w:rsidRPr="00FB3AD2" w:rsidRDefault="002A0724" w:rsidP="009A0F2F">
            <w:pPr>
              <w:rPr>
                <w:b/>
                <w:sz w:val="18"/>
                <w:szCs w:val="18"/>
              </w:rPr>
            </w:pPr>
          </w:p>
        </w:tc>
        <w:tc>
          <w:tcPr>
            <w:tcW w:w="417" w:type="pct"/>
            <w:tcBorders>
              <w:top w:val="nil"/>
              <w:left w:val="nil"/>
              <w:bottom w:val="nil"/>
              <w:right w:val="nil"/>
            </w:tcBorders>
          </w:tcPr>
          <w:p w14:paraId="47CEAFB5" w14:textId="77777777" w:rsidR="002A0724" w:rsidRPr="00FB3AD2" w:rsidRDefault="002A0724" w:rsidP="009A0F2F">
            <w:pPr>
              <w:rPr>
                <w:b/>
                <w:sz w:val="18"/>
                <w:szCs w:val="18"/>
              </w:rPr>
            </w:pPr>
          </w:p>
        </w:tc>
        <w:tc>
          <w:tcPr>
            <w:tcW w:w="509" w:type="pct"/>
            <w:tcBorders>
              <w:top w:val="nil"/>
              <w:left w:val="nil"/>
              <w:bottom w:val="nil"/>
              <w:right w:val="nil"/>
            </w:tcBorders>
          </w:tcPr>
          <w:p w14:paraId="5F3795A8" w14:textId="77777777" w:rsidR="002A0724" w:rsidRPr="00FB3AD2" w:rsidRDefault="002A0724" w:rsidP="009A0F2F">
            <w:pPr>
              <w:rPr>
                <w:b/>
                <w:sz w:val="18"/>
                <w:szCs w:val="18"/>
              </w:rPr>
            </w:pPr>
          </w:p>
        </w:tc>
        <w:tc>
          <w:tcPr>
            <w:tcW w:w="371" w:type="pct"/>
            <w:tcBorders>
              <w:top w:val="nil"/>
              <w:left w:val="nil"/>
              <w:bottom w:val="nil"/>
              <w:right w:val="nil"/>
            </w:tcBorders>
          </w:tcPr>
          <w:p w14:paraId="7275453D" w14:textId="77777777" w:rsidR="002A0724" w:rsidRPr="00FB3AD2" w:rsidRDefault="002A0724" w:rsidP="009A0F2F">
            <w:pPr>
              <w:rPr>
                <w:b/>
                <w:sz w:val="18"/>
                <w:szCs w:val="18"/>
              </w:rPr>
            </w:pPr>
          </w:p>
        </w:tc>
      </w:tr>
      <w:tr w:rsidR="002A0724" w:rsidRPr="00DA3E2F" w14:paraId="06FAF4FA" w14:textId="77777777" w:rsidTr="005F5B4C">
        <w:trPr>
          <w:cantSplit/>
          <w:trHeight w:val="23"/>
        </w:trPr>
        <w:tc>
          <w:tcPr>
            <w:tcW w:w="510" w:type="pct"/>
            <w:tcBorders>
              <w:top w:val="nil"/>
              <w:left w:val="single" w:sz="2" w:space="0" w:color="auto"/>
              <w:bottom w:val="nil"/>
              <w:right w:val="single" w:sz="2" w:space="0" w:color="auto"/>
            </w:tcBorders>
          </w:tcPr>
          <w:p w14:paraId="2873A341"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13.93(e)(i)</w:t>
            </w:r>
          </w:p>
        </w:tc>
        <w:tc>
          <w:tcPr>
            <w:tcW w:w="2082" w:type="pct"/>
            <w:tcBorders>
              <w:top w:val="nil"/>
              <w:left w:val="single" w:sz="2" w:space="0" w:color="auto"/>
              <w:bottom w:val="nil"/>
              <w:right w:val="nil"/>
            </w:tcBorders>
          </w:tcPr>
          <w:p w14:paraId="774ACA2E" w14:textId="77777777" w:rsidR="002A0724" w:rsidRPr="00FB3AD2" w:rsidRDefault="002A0724" w:rsidP="009A0F2F">
            <w:pPr>
              <w:spacing w:after="40"/>
              <w:rPr>
                <w:sz w:val="18"/>
                <w:szCs w:val="18"/>
              </w:rPr>
            </w:pPr>
            <w:r w:rsidRPr="00FB3AD2">
              <w:rPr>
                <w:sz w:val="18"/>
                <w:szCs w:val="18"/>
              </w:rPr>
              <w:t>Gains/(losses) recognised in Profit or Loss</w:t>
            </w:r>
          </w:p>
        </w:tc>
        <w:tc>
          <w:tcPr>
            <w:tcW w:w="325" w:type="pct"/>
            <w:tcBorders>
              <w:top w:val="nil"/>
              <w:left w:val="nil"/>
              <w:bottom w:val="nil"/>
              <w:right w:val="nil"/>
            </w:tcBorders>
          </w:tcPr>
          <w:p w14:paraId="0B3B3130" w14:textId="77777777" w:rsidR="002A0724" w:rsidRPr="00FB3AD2" w:rsidRDefault="002A0724" w:rsidP="009A0F2F">
            <w:pPr>
              <w:rPr>
                <w:b/>
                <w:sz w:val="18"/>
                <w:szCs w:val="18"/>
              </w:rPr>
            </w:pPr>
          </w:p>
        </w:tc>
        <w:tc>
          <w:tcPr>
            <w:tcW w:w="324" w:type="pct"/>
            <w:tcBorders>
              <w:top w:val="nil"/>
              <w:left w:val="nil"/>
              <w:bottom w:val="nil"/>
              <w:right w:val="nil"/>
            </w:tcBorders>
          </w:tcPr>
          <w:p w14:paraId="78DAB642" w14:textId="77777777" w:rsidR="002A0724" w:rsidRPr="00FB3AD2" w:rsidRDefault="002A0724" w:rsidP="009A0F2F">
            <w:pPr>
              <w:rPr>
                <w:b/>
                <w:sz w:val="18"/>
                <w:szCs w:val="18"/>
              </w:rPr>
            </w:pPr>
          </w:p>
        </w:tc>
        <w:tc>
          <w:tcPr>
            <w:tcW w:w="462" w:type="pct"/>
            <w:tcBorders>
              <w:top w:val="nil"/>
              <w:left w:val="nil"/>
              <w:bottom w:val="nil"/>
              <w:right w:val="nil"/>
            </w:tcBorders>
          </w:tcPr>
          <w:p w14:paraId="798EE82D" w14:textId="77777777" w:rsidR="002A0724" w:rsidRPr="00FB3AD2" w:rsidRDefault="002A0724" w:rsidP="009A0F2F">
            <w:pPr>
              <w:rPr>
                <w:b/>
                <w:sz w:val="18"/>
                <w:szCs w:val="18"/>
              </w:rPr>
            </w:pPr>
          </w:p>
        </w:tc>
        <w:tc>
          <w:tcPr>
            <w:tcW w:w="417" w:type="pct"/>
            <w:tcBorders>
              <w:top w:val="nil"/>
              <w:left w:val="nil"/>
              <w:bottom w:val="nil"/>
              <w:right w:val="nil"/>
            </w:tcBorders>
          </w:tcPr>
          <w:p w14:paraId="7A6DFD41" w14:textId="77777777" w:rsidR="002A0724" w:rsidRPr="00FB3AD2" w:rsidRDefault="002A0724" w:rsidP="009A0F2F">
            <w:pPr>
              <w:rPr>
                <w:b/>
                <w:sz w:val="18"/>
                <w:szCs w:val="18"/>
              </w:rPr>
            </w:pPr>
          </w:p>
        </w:tc>
        <w:tc>
          <w:tcPr>
            <w:tcW w:w="509" w:type="pct"/>
            <w:tcBorders>
              <w:top w:val="nil"/>
              <w:left w:val="nil"/>
              <w:bottom w:val="nil"/>
              <w:right w:val="nil"/>
            </w:tcBorders>
          </w:tcPr>
          <w:p w14:paraId="6899B101" w14:textId="77777777" w:rsidR="002A0724" w:rsidRPr="00FB3AD2" w:rsidRDefault="002A0724" w:rsidP="009A0F2F">
            <w:pPr>
              <w:rPr>
                <w:b/>
                <w:sz w:val="18"/>
                <w:szCs w:val="18"/>
              </w:rPr>
            </w:pPr>
          </w:p>
        </w:tc>
        <w:tc>
          <w:tcPr>
            <w:tcW w:w="371" w:type="pct"/>
            <w:tcBorders>
              <w:top w:val="nil"/>
              <w:left w:val="nil"/>
              <w:bottom w:val="nil"/>
              <w:right w:val="nil"/>
            </w:tcBorders>
          </w:tcPr>
          <w:p w14:paraId="6B286015" w14:textId="77777777" w:rsidR="002A0724" w:rsidRPr="00FB3AD2" w:rsidRDefault="002A0724" w:rsidP="009A0F2F">
            <w:pPr>
              <w:rPr>
                <w:b/>
                <w:sz w:val="18"/>
                <w:szCs w:val="18"/>
              </w:rPr>
            </w:pPr>
          </w:p>
        </w:tc>
      </w:tr>
      <w:tr w:rsidR="002A0724" w:rsidRPr="00DA3E2F" w14:paraId="5B9B9A2D" w14:textId="77777777" w:rsidTr="005F5B4C">
        <w:trPr>
          <w:cantSplit/>
          <w:trHeight w:val="23"/>
        </w:trPr>
        <w:tc>
          <w:tcPr>
            <w:tcW w:w="510" w:type="pct"/>
            <w:tcBorders>
              <w:top w:val="nil"/>
              <w:left w:val="single" w:sz="2" w:space="0" w:color="auto"/>
              <w:bottom w:val="nil"/>
              <w:right w:val="single" w:sz="2" w:space="0" w:color="auto"/>
            </w:tcBorders>
          </w:tcPr>
          <w:p w14:paraId="6494CB4C"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3B481074" w14:textId="3B53EE1C"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Revaluation increments/(decrements) recognised in Profit or Loss</w:t>
            </w:r>
          </w:p>
        </w:tc>
        <w:tc>
          <w:tcPr>
            <w:tcW w:w="325" w:type="pct"/>
            <w:tcBorders>
              <w:top w:val="nil"/>
              <w:left w:val="nil"/>
              <w:bottom w:val="nil"/>
              <w:right w:val="nil"/>
            </w:tcBorders>
          </w:tcPr>
          <w:p w14:paraId="56AC16EB" w14:textId="77777777" w:rsidR="002A0724" w:rsidRPr="00FB3AD2" w:rsidRDefault="002A0724" w:rsidP="009A0F2F">
            <w:pPr>
              <w:rPr>
                <w:b/>
                <w:sz w:val="18"/>
                <w:szCs w:val="18"/>
              </w:rPr>
            </w:pPr>
          </w:p>
        </w:tc>
        <w:tc>
          <w:tcPr>
            <w:tcW w:w="324" w:type="pct"/>
            <w:tcBorders>
              <w:top w:val="nil"/>
              <w:left w:val="nil"/>
              <w:bottom w:val="nil"/>
              <w:right w:val="nil"/>
            </w:tcBorders>
          </w:tcPr>
          <w:p w14:paraId="22F81AFA" w14:textId="77777777" w:rsidR="002A0724" w:rsidRPr="00FB3AD2" w:rsidRDefault="002A0724" w:rsidP="009A0F2F">
            <w:pPr>
              <w:rPr>
                <w:b/>
                <w:sz w:val="18"/>
                <w:szCs w:val="18"/>
              </w:rPr>
            </w:pPr>
          </w:p>
        </w:tc>
        <w:tc>
          <w:tcPr>
            <w:tcW w:w="462" w:type="pct"/>
            <w:tcBorders>
              <w:top w:val="nil"/>
              <w:left w:val="nil"/>
              <w:bottom w:val="nil"/>
              <w:right w:val="nil"/>
            </w:tcBorders>
          </w:tcPr>
          <w:p w14:paraId="232FA7FD" w14:textId="77777777" w:rsidR="002A0724" w:rsidRPr="00FB3AD2" w:rsidRDefault="002A0724" w:rsidP="009A0F2F">
            <w:pPr>
              <w:rPr>
                <w:b/>
                <w:sz w:val="18"/>
                <w:szCs w:val="18"/>
              </w:rPr>
            </w:pPr>
          </w:p>
        </w:tc>
        <w:tc>
          <w:tcPr>
            <w:tcW w:w="417" w:type="pct"/>
            <w:tcBorders>
              <w:top w:val="nil"/>
              <w:left w:val="nil"/>
              <w:bottom w:val="nil"/>
              <w:right w:val="nil"/>
            </w:tcBorders>
          </w:tcPr>
          <w:p w14:paraId="764C4D1A" w14:textId="77777777" w:rsidR="002A0724" w:rsidRPr="00FB3AD2" w:rsidRDefault="002A0724" w:rsidP="009A0F2F">
            <w:pPr>
              <w:rPr>
                <w:b/>
                <w:sz w:val="18"/>
                <w:szCs w:val="18"/>
              </w:rPr>
            </w:pPr>
          </w:p>
        </w:tc>
        <w:tc>
          <w:tcPr>
            <w:tcW w:w="509" w:type="pct"/>
            <w:tcBorders>
              <w:top w:val="nil"/>
              <w:left w:val="nil"/>
              <w:bottom w:val="nil"/>
              <w:right w:val="nil"/>
            </w:tcBorders>
          </w:tcPr>
          <w:p w14:paraId="6836E77D" w14:textId="77777777" w:rsidR="002A0724" w:rsidRPr="00FB3AD2" w:rsidRDefault="002A0724" w:rsidP="009A0F2F">
            <w:pPr>
              <w:rPr>
                <w:b/>
                <w:sz w:val="18"/>
                <w:szCs w:val="18"/>
              </w:rPr>
            </w:pPr>
          </w:p>
        </w:tc>
        <w:tc>
          <w:tcPr>
            <w:tcW w:w="371" w:type="pct"/>
            <w:tcBorders>
              <w:top w:val="nil"/>
              <w:left w:val="nil"/>
              <w:bottom w:val="nil"/>
              <w:right w:val="nil"/>
            </w:tcBorders>
          </w:tcPr>
          <w:p w14:paraId="1D5B88CB" w14:textId="77777777" w:rsidR="002A0724" w:rsidRPr="00FB3AD2" w:rsidRDefault="002A0724" w:rsidP="009A0F2F">
            <w:pPr>
              <w:rPr>
                <w:b/>
                <w:sz w:val="18"/>
                <w:szCs w:val="18"/>
              </w:rPr>
            </w:pPr>
          </w:p>
        </w:tc>
      </w:tr>
      <w:tr w:rsidR="002A0724" w:rsidRPr="00DA3E2F" w14:paraId="12EEC819" w14:textId="77777777" w:rsidTr="005F5B4C">
        <w:trPr>
          <w:cantSplit/>
          <w:trHeight w:val="23"/>
        </w:trPr>
        <w:tc>
          <w:tcPr>
            <w:tcW w:w="510" w:type="pct"/>
            <w:tcBorders>
              <w:top w:val="nil"/>
              <w:left w:val="single" w:sz="2" w:space="0" w:color="auto"/>
              <w:bottom w:val="nil"/>
              <w:right w:val="single" w:sz="2" w:space="0" w:color="auto"/>
            </w:tcBorders>
          </w:tcPr>
          <w:p w14:paraId="7B76A6A8"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11E473F8" w14:textId="07E8EE37"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Impairment Losses Recognised in the Operating </w:t>
            </w:r>
            <w:r w:rsidR="005350CD" w:rsidRPr="00FB3AD2">
              <w:rPr>
                <w:rFonts w:cs="Calibri"/>
                <w:sz w:val="18"/>
                <w:szCs w:val="18"/>
              </w:rPr>
              <w:t>Result</w:t>
            </w:r>
          </w:p>
        </w:tc>
        <w:tc>
          <w:tcPr>
            <w:tcW w:w="325" w:type="pct"/>
            <w:tcBorders>
              <w:top w:val="nil"/>
              <w:left w:val="nil"/>
              <w:bottom w:val="nil"/>
              <w:right w:val="nil"/>
            </w:tcBorders>
          </w:tcPr>
          <w:p w14:paraId="0441AB2B" w14:textId="77777777" w:rsidR="002A0724" w:rsidRPr="00FB3AD2" w:rsidRDefault="002A0724" w:rsidP="009A0F2F">
            <w:pPr>
              <w:rPr>
                <w:b/>
                <w:sz w:val="18"/>
                <w:szCs w:val="18"/>
              </w:rPr>
            </w:pPr>
          </w:p>
        </w:tc>
        <w:tc>
          <w:tcPr>
            <w:tcW w:w="324" w:type="pct"/>
            <w:tcBorders>
              <w:top w:val="nil"/>
              <w:left w:val="nil"/>
              <w:bottom w:val="nil"/>
              <w:right w:val="nil"/>
            </w:tcBorders>
          </w:tcPr>
          <w:p w14:paraId="66503B54" w14:textId="77777777" w:rsidR="002A0724" w:rsidRPr="00FB3AD2" w:rsidRDefault="002A0724" w:rsidP="009A0F2F">
            <w:pPr>
              <w:rPr>
                <w:b/>
                <w:sz w:val="18"/>
                <w:szCs w:val="18"/>
              </w:rPr>
            </w:pPr>
          </w:p>
        </w:tc>
        <w:tc>
          <w:tcPr>
            <w:tcW w:w="462" w:type="pct"/>
            <w:tcBorders>
              <w:top w:val="nil"/>
              <w:left w:val="nil"/>
              <w:bottom w:val="nil"/>
              <w:right w:val="nil"/>
            </w:tcBorders>
          </w:tcPr>
          <w:p w14:paraId="2F00F3E3" w14:textId="77777777" w:rsidR="002A0724" w:rsidRPr="00FB3AD2" w:rsidRDefault="002A0724" w:rsidP="009A0F2F">
            <w:pPr>
              <w:rPr>
                <w:b/>
                <w:sz w:val="18"/>
                <w:szCs w:val="18"/>
              </w:rPr>
            </w:pPr>
          </w:p>
        </w:tc>
        <w:tc>
          <w:tcPr>
            <w:tcW w:w="417" w:type="pct"/>
            <w:tcBorders>
              <w:top w:val="nil"/>
              <w:left w:val="nil"/>
              <w:bottom w:val="nil"/>
              <w:right w:val="nil"/>
            </w:tcBorders>
          </w:tcPr>
          <w:p w14:paraId="5299144B" w14:textId="77777777" w:rsidR="002A0724" w:rsidRPr="00FB3AD2" w:rsidRDefault="002A0724" w:rsidP="009A0F2F">
            <w:pPr>
              <w:rPr>
                <w:b/>
                <w:sz w:val="18"/>
                <w:szCs w:val="18"/>
              </w:rPr>
            </w:pPr>
          </w:p>
        </w:tc>
        <w:tc>
          <w:tcPr>
            <w:tcW w:w="509" w:type="pct"/>
            <w:tcBorders>
              <w:top w:val="nil"/>
              <w:left w:val="nil"/>
              <w:bottom w:val="nil"/>
              <w:right w:val="nil"/>
            </w:tcBorders>
          </w:tcPr>
          <w:p w14:paraId="55AC705D" w14:textId="77777777" w:rsidR="002A0724" w:rsidRPr="00FB3AD2" w:rsidRDefault="002A0724" w:rsidP="009A0F2F">
            <w:pPr>
              <w:rPr>
                <w:b/>
                <w:sz w:val="18"/>
                <w:szCs w:val="18"/>
              </w:rPr>
            </w:pPr>
          </w:p>
        </w:tc>
        <w:tc>
          <w:tcPr>
            <w:tcW w:w="371" w:type="pct"/>
            <w:tcBorders>
              <w:top w:val="nil"/>
              <w:left w:val="nil"/>
              <w:bottom w:val="nil"/>
              <w:right w:val="nil"/>
            </w:tcBorders>
          </w:tcPr>
          <w:p w14:paraId="535F87EF" w14:textId="77777777" w:rsidR="002A0724" w:rsidRPr="00FB3AD2" w:rsidRDefault="002A0724" w:rsidP="009A0F2F">
            <w:pPr>
              <w:rPr>
                <w:b/>
                <w:sz w:val="18"/>
                <w:szCs w:val="18"/>
              </w:rPr>
            </w:pPr>
          </w:p>
        </w:tc>
      </w:tr>
      <w:tr w:rsidR="002A0724" w:rsidRPr="00DA3E2F" w14:paraId="03EF85FF" w14:textId="77777777" w:rsidTr="005F5B4C">
        <w:trPr>
          <w:cantSplit/>
          <w:trHeight w:val="23"/>
        </w:trPr>
        <w:tc>
          <w:tcPr>
            <w:tcW w:w="510" w:type="pct"/>
            <w:tcBorders>
              <w:top w:val="nil"/>
              <w:left w:val="single" w:sz="2" w:space="0" w:color="auto"/>
              <w:bottom w:val="nil"/>
              <w:right w:val="single" w:sz="2" w:space="0" w:color="auto"/>
            </w:tcBorders>
          </w:tcPr>
          <w:p w14:paraId="6D7F2C9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2DF7274" w14:textId="23E89098"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Reversal of Impairment Losses Recognised in the Operating </w:t>
            </w:r>
            <w:r w:rsidR="005350CD" w:rsidRPr="00FB3AD2">
              <w:rPr>
                <w:rFonts w:cs="Calibri"/>
                <w:sz w:val="18"/>
                <w:szCs w:val="18"/>
              </w:rPr>
              <w:t>Result</w:t>
            </w:r>
          </w:p>
        </w:tc>
        <w:tc>
          <w:tcPr>
            <w:tcW w:w="325" w:type="pct"/>
            <w:tcBorders>
              <w:top w:val="nil"/>
              <w:left w:val="nil"/>
              <w:bottom w:val="nil"/>
              <w:right w:val="nil"/>
            </w:tcBorders>
          </w:tcPr>
          <w:p w14:paraId="1136A9E1" w14:textId="77777777" w:rsidR="002A0724" w:rsidRPr="00FB3AD2" w:rsidRDefault="002A0724" w:rsidP="009A0F2F">
            <w:pPr>
              <w:rPr>
                <w:b/>
                <w:sz w:val="18"/>
                <w:szCs w:val="18"/>
              </w:rPr>
            </w:pPr>
          </w:p>
        </w:tc>
        <w:tc>
          <w:tcPr>
            <w:tcW w:w="324" w:type="pct"/>
            <w:tcBorders>
              <w:top w:val="nil"/>
              <w:left w:val="nil"/>
              <w:bottom w:val="nil"/>
              <w:right w:val="nil"/>
            </w:tcBorders>
          </w:tcPr>
          <w:p w14:paraId="791FD921" w14:textId="77777777" w:rsidR="002A0724" w:rsidRPr="00FB3AD2" w:rsidRDefault="002A0724" w:rsidP="009A0F2F">
            <w:pPr>
              <w:rPr>
                <w:b/>
                <w:sz w:val="18"/>
                <w:szCs w:val="18"/>
              </w:rPr>
            </w:pPr>
          </w:p>
        </w:tc>
        <w:tc>
          <w:tcPr>
            <w:tcW w:w="462" w:type="pct"/>
            <w:tcBorders>
              <w:top w:val="nil"/>
              <w:left w:val="nil"/>
              <w:bottom w:val="nil"/>
              <w:right w:val="nil"/>
            </w:tcBorders>
          </w:tcPr>
          <w:p w14:paraId="55D9B043" w14:textId="77777777" w:rsidR="002A0724" w:rsidRPr="00FB3AD2" w:rsidRDefault="002A0724" w:rsidP="009A0F2F">
            <w:pPr>
              <w:rPr>
                <w:b/>
                <w:sz w:val="18"/>
                <w:szCs w:val="18"/>
              </w:rPr>
            </w:pPr>
          </w:p>
        </w:tc>
        <w:tc>
          <w:tcPr>
            <w:tcW w:w="417" w:type="pct"/>
            <w:tcBorders>
              <w:top w:val="nil"/>
              <w:left w:val="nil"/>
              <w:bottom w:val="nil"/>
              <w:right w:val="nil"/>
            </w:tcBorders>
          </w:tcPr>
          <w:p w14:paraId="1B4BDC20" w14:textId="77777777" w:rsidR="002A0724" w:rsidRPr="00FB3AD2" w:rsidRDefault="002A0724" w:rsidP="009A0F2F">
            <w:pPr>
              <w:rPr>
                <w:b/>
                <w:sz w:val="18"/>
                <w:szCs w:val="18"/>
              </w:rPr>
            </w:pPr>
          </w:p>
        </w:tc>
        <w:tc>
          <w:tcPr>
            <w:tcW w:w="509" w:type="pct"/>
            <w:tcBorders>
              <w:top w:val="nil"/>
              <w:left w:val="nil"/>
              <w:bottom w:val="nil"/>
              <w:right w:val="nil"/>
            </w:tcBorders>
          </w:tcPr>
          <w:p w14:paraId="48486CAD" w14:textId="77777777" w:rsidR="002A0724" w:rsidRPr="00FB3AD2" w:rsidRDefault="002A0724" w:rsidP="009A0F2F">
            <w:pPr>
              <w:rPr>
                <w:b/>
                <w:sz w:val="18"/>
                <w:szCs w:val="18"/>
              </w:rPr>
            </w:pPr>
          </w:p>
        </w:tc>
        <w:tc>
          <w:tcPr>
            <w:tcW w:w="371" w:type="pct"/>
            <w:tcBorders>
              <w:top w:val="nil"/>
              <w:left w:val="nil"/>
              <w:bottom w:val="nil"/>
              <w:right w:val="nil"/>
            </w:tcBorders>
          </w:tcPr>
          <w:p w14:paraId="1D7DF367" w14:textId="77777777" w:rsidR="002A0724" w:rsidRPr="00FB3AD2" w:rsidRDefault="002A0724" w:rsidP="009A0F2F">
            <w:pPr>
              <w:rPr>
                <w:b/>
                <w:sz w:val="18"/>
                <w:szCs w:val="18"/>
              </w:rPr>
            </w:pPr>
          </w:p>
        </w:tc>
      </w:tr>
      <w:tr w:rsidR="002A0724" w:rsidRPr="00DA3E2F" w14:paraId="3F9C6EF1" w14:textId="77777777" w:rsidTr="005F5B4C">
        <w:trPr>
          <w:cantSplit/>
          <w:trHeight w:val="23"/>
        </w:trPr>
        <w:tc>
          <w:tcPr>
            <w:tcW w:w="510" w:type="pct"/>
            <w:tcBorders>
              <w:top w:val="nil"/>
              <w:left w:val="single" w:sz="2" w:space="0" w:color="auto"/>
              <w:bottom w:val="nil"/>
              <w:right w:val="single" w:sz="2" w:space="0" w:color="auto"/>
            </w:tcBorders>
          </w:tcPr>
          <w:p w14:paraId="16F4375E" w14:textId="77777777" w:rsidR="002A0724" w:rsidRPr="00FB3AD2" w:rsidRDefault="002A0724" w:rsidP="009A0F2F">
            <w:pPr>
              <w:pStyle w:val="TableReference"/>
              <w:tabs>
                <w:tab w:val="left" w:pos="3306"/>
              </w:tabs>
              <w:spacing w:before="40"/>
              <w:rPr>
                <w:rFonts w:cs="Calibri"/>
                <w:color w:val="7030A0"/>
                <w:sz w:val="14"/>
              </w:rPr>
            </w:pPr>
            <w:r w:rsidRPr="00FB3AD2">
              <w:rPr>
                <w:rFonts w:cs="Calibri"/>
                <w:color w:val="7030A0"/>
                <w:sz w:val="14"/>
              </w:rPr>
              <w:t>AASB 13.93(e)(ii)</w:t>
            </w:r>
          </w:p>
        </w:tc>
        <w:tc>
          <w:tcPr>
            <w:tcW w:w="2082" w:type="pct"/>
            <w:tcBorders>
              <w:top w:val="nil"/>
              <w:left w:val="single" w:sz="2" w:space="0" w:color="auto"/>
              <w:bottom w:val="nil"/>
              <w:right w:val="nil"/>
            </w:tcBorders>
          </w:tcPr>
          <w:p w14:paraId="31FCDFAD" w14:textId="77777777" w:rsidR="002A0724" w:rsidRPr="00FB3AD2" w:rsidRDefault="002A0724" w:rsidP="009A0F2F">
            <w:pPr>
              <w:spacing w:after="40"/>
              <w:rPr>
                <w:sz w:val="18"/>
                <w:szCs w:val="18"/>
              </w:rPr>
            </w:pPr>
            <w:r w:rsidRPr="00FB3AD2">
              <w:rPr>
                <w:sz w:val="18"/>
                <w:szCs w:val="18"/>
              </w:rPr>
              <w:t>Gains/(losses) recognised in other comprehensive income</w:t>
            </w:r>
          </w:p>
        </w:tc>
        <w:tc>
          <w:tcPr>
            <w:tcW w:w="325" w:type="pct"/>
            <w:tcBorders>
              <w:top w:val="nil"/>
              <w:left w:val="nil"/>
              <w:bottom w:val="nil"/>
              <w:right w:val="nil"/>
            </w:tcBorders>
          </w:tcPr>
          <w:p w14:paraId="4D1DB11C" w14:textId="77777777" w:rsidR="002A0724" w:rsidRPr="00FB3AD2" w:rsidRDefault="002A0724" w:rsidP="009A0F2F">
            <w:pPr>
              <w:rPr>
                <w:b/>
                <w:sz w:val="18"/>
                <w:szCs w:val="18"/>
              </w:rPr>
            </w:pPr>
          </w:p>
        </w:tc>
        <w:tc>
          <w:tcPr>
            <w:tcW w:w="324" w:type="pct"/>
            <w:tcBorders>
              <w:top w:val="nil"/>
              <w:left w:val="nil"/>
              <w:bottom w:val="nil"/>
              <w:right w:val="nil"/>
            </w:tcBorders>
          </w:tcPr>
          <w:p w14:paraId="07206108" w14:textId="77777777" w:rsidR="002A0724" w:rsidRPr="00FB3AD2" w:rsidRDefault="002A0724" w:rsidP="009A0F2F">
            <w:pPr>
              <w:rPr>
                <w:b/>
                <w:sz w:val="18"/>
                <w:szCs w:val="18"/>
              </w:rPr>
            </w:pPr>
          </w:p>
        </w:tc>
        <w:tc>
          <w:tcPr>
            <w:tcW w:w="462" w:type="pct"/>
            <w:tcBorders>
              <w:top w:val="nil"/>
              <w:left w:val="nil"/>
              <w:bottom w:val="nil"/>
              <w:right w:val="nil"/>
            </w:tcBorders>
          </w:tcPr>
          <w:p w14:paraId="00372BEE" w14:textId="77777777" w:rsidR="002A0724" w:rsidRPr="00FB3AD2" w:rsidRDefault="002A0724" w:rsidP="009A0F2F">
            <w:pPr>
              <w:rPr>
                <w:b/>
                <w:sz w:val="18"/>
                <w:szCs w:val="18"/>
              </w:rPr>
            </w:pPr>
          </w:p>
        </w:tc>
        <w:tc>
          <w:tcPr>
            <w:tcW w:w="417" w:type="pct"/>
            <w:tcBorders>
              <w:top w:val="nil"/>
              <w:left w:val="nil"/>
              <w:bottom w:val="nil"/>
              <w:right w:val="nil"/>
            </w:tcBorders>
          </w:tcPr>
          <w:p w14:paraId="5F9CE987" w14:textId="77777777" w:rsidR="002A0724" w:rsidRPr="00FB3AD2" w:rsidRDefault="002A0724" w:rsidP="009A0F2F">
            <w:pPr>
              <w:rPr>
                <w:b/>
                <w:sz w:val="18"/>
                <w:szCs w:val="18"/>
              </w:rPr>
            </w:pPr>
          </w:p>
        </w:tc>
        <w:tc>
          <w:tcPr>
            <w:tcW w:w="509" w:type="pct"/>
            <w:tcBorders>
              <w:top w:val="nil"/>
              <w:left w:val="nil"/>
              <w:bottom w:val="nil"/>
              <w:right w:val="nil"/>
            </w:tcBorders>
          </w:tcPr>
          <w:p w14:paraId="21B7D65C" w14:textId="77777777" w:rsidR="002A0724" w:rsidRPr="00FB3AD2" w:rsidRDefault="002A0724" w:rsidP="009A0F2F">
            <w:pPr>
              <w:rPr>
                <w:b/>
                <w:sz w:val="18"/>
                <w:szCs w:val="18"/>
              </w:rPr>
            </w:pPr>
          </w:p>
        </w:tc>
        <w:tc>
          <w:tcPr>
            <w:tcW w:w="371" w:type="pct"/>
            <w:tcBorders>
              <w:top w:val="nil"/>
              <w:left w:val="nil"/>
              <w:bottom w:val="nil"/>
              <w:right w:val="nil"/>
            </w:tcBorders>
          </w:tcPr>
          <w:p w14:paraId="24A74205" w14:textId="77777777" w:rsidR="002A0724" w:rsidRPr="00FB3AD2" w:rsidRDefault="002A0724" w:rsidP="009A0F2F">
            <w:pPr>
              <w:rPr>
                <w:b/>
                <w:sz w:val="18"/>
                <w:szCs w:val="18"/>
              </w:rPr>
            </w:pPr>
          </w:p>
        </w:tc>
      </w:tr>
      <w:tr w:rsidR="002A0724" w:rsidRPr="00DA3E2F" w14:paraId="0BD58D10" w14:textId="77777777" w:rsidTr="005F5B4C">
        <w:trPr>
          <w:cantSplit/>
          <w:trHeight w:val="23"/>
        </w:trPr>
        <w:tc>
          <w:tcPr>
            <w:tcW w:w="510" w:type="pct"/>
            <w:tcBorders>
              <w:top w:val="nil"/>
              <w:left w:val="single" w:sz="2" w:space="0" w:color="auto"/>
              <w:bottom w:val="nil"/>
              <w:right w:val="single" w:sz="2" w:space="0" w:color="auto"/>
            </w:tcBorders>
          </w:tcPr>
          <w:p w14:paraId="6F58E512"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4058D55B" w14:textId="654C7014" w:rsidR="002A0724" w:rsidRPr="00FB3AD2" w:rsidRDefault="00FA7C77" w:rsidP="009A0F2F">
            <w:pPr>
              <w:spacing w:after="40"/>
              <w:ind w:left="321" w:hanging="321"/>
              <w:rPr>
                <w:sz w:val="18"/>
                <w:szCs w:val="18"/>
              </w:rPr>
            </w:pPr>
            <w:r>
              <w:rPr>
                <w:sz w:val="18"/>
                <w:szCs w:val="18"/>
              </w:rPr>
              <w:t xml:space="preserve">  </w:t>
            </w:r>
            <w:r w:rsidR="002A0724" w:rsidRPr="00FB3AD2">
              <w:rPr>
                <w:sz w:val="18"/>
                <w:szCs w:val="18"/>
              </w:rPr>
              <w:t xml:space="preserve"> - Revaluation increments/(decrements) recognised in Other Comprehensive Income</w:t>
            </w:r>
          </w:p>
        </w:tc>
        <w:tc>
          <w:tcPr>
            <w:tcW w:w="325" w:type="pct"/>
            <w:tcBorders>
              <w:top w:val="nil"/>
              <w:left w:val="nil"/>
              <w:bottom w:val="nil"/>
              <w:right w:val="nil"/>
            </w:tcBorders>
          </w:tcPr>
          <w:p w14:paraId="2AFDDA9A" w14:textId="77777777" w:rsidR="002A0724" w:rsidRPr="00FB3AD2" w:rsidRDefault="002A0724" w:rsidP="009A0F2F">
            <w:pPr>
              <w:rPr>
                <w:b/>
                <w:sz w:val="18"/>
                <w:szCs w:val="18"/>
              </w:rPr>
            </w:pPr>
          </w:p>
        </w:tc>
        <w:tc>
          <w:tcPr>
            <w:tcW w:w="324" w:type="pct"/>
            <w:tcBorders>
              <w:top w:val="nil"/>
              <w:left w:val="nil"/>
              <w:bottom w:val="nil"/>
              <w:right w:val="nil"/>
            </w:tcBorders>
          </w:tcPr>
          <w:p w14:paraId="67B817EA" w14:textId="77777777" w:rsidR="002A0724" w:rsidRPr="00FB3AD2" w:rsidRDefault="002A0724" w:rsidP="009A0F2F">
            <w:pPr>
              <w:rPr>
                <w:b/>
                <w:sz w:val="18"/>
                <w:szCs w:val="18"/>
              </w:rPr>
            </w:pPr>
          </w:p>
        </w:tc>
        <w:tc>
          <w:tcPr>
            <w:tcW w:w="462" w:type="pct"/>
            <w:tcBorders>
              <w:top w:val="nil"/>
              <w:left w:val="nil"/>
              <w:bottom w:val="nil"/>
              <w:right w:val="nil"/>
            </w:tcBorders>
          </w:tcPr>
          <w:p w14:paraId="1C7A6146" w14:textId="77777777" w:rsidR="002A0724" w:rsidRPr="00FB3AD2" w:rsidRDefault="002A0724" w:rsidP="009A0F2F">
            <w:pPr>
              <w:rPr>
                <w:b/>
                <w:sz w:val="18"/>
                <w:szCs w:val="18"/>
              </w:rPr>
            </w:pPr>
          </w:p>
        </w:tc>
        <w:tc>
          <w:tcPr>
            <w:tcW w:w="417" w:type="pct"/>
            <w:tcBorders>
              <w:top w:val="nil"/>
              <w:left w:val="nil"/>
              <w:bottom w:val="nil"/>
              <w:right w:val="nil"/>
            </w:tcBorders>
          </w:tcPr>
          <w:p w14:paraId="1DF2782C" w14:textId="77777777" w:rsidR="002A0724" w:rsidRPr="00FB3AD2" w:rsidRDefault="002A0724" w:rsidP="009A0F2F">
            <w:pPr>
              <w:rPr>
                <w:b/>
                <w:sz w:val="18"/>
                <w:szCs w:val="18"/>
              </w:rPr>
            </w:pPr>
          </w:p>
        </w:tc>
        <w:tc>
          <w:tcPr>
            <w:tcW w:w="509" w:type="pct"/>
            <w:tcBorders>
              <w:top w:val="nil"/>
              <w:left w:val="nil"/>
              <w:bottom w:val="nil"/>
              <w:right w:val="nil"/>
            </w:tcBorders>
          </w:tcPr>
          <w:p w14:paraId="79F8FD3B" w14:textId="77777777" w:rsidR="002A0724" w:rsidRPr="00FB3AD2" w:rsidRDefault="002A0724" w:rsidP="009A0F2F">
            <w:pPr>
              <w:rPr>
                <w:b/>
                <w:sz w:val="18"/>
                <w:szCs w:val="18"/>
              </w:rPr>
            </w:pPr>
          </w:p>
        </w:tc>
        <w:tc>
          <w:tcPr>
            <w:tcW w:w="371" w:type="pct"/>
            <w:tcBorders>
              <w:top w:val="nil"/>
              <w:left w:val="nil"/>
              <w:bottom w:val="nil"/>
              <w:right w:val="nil"/>
            </w:tcBorders>
          </w:tcPr>
          <w:p w14:paraId="6017CB0D" w14:textId="77777777" w:rsidR="002A0724" w:rsidRPr="00FB3AD2" w:rsidRDefault="002A0724" w:rsidP="009A0F2F">
            <w:pPr>
              <w:rPr>
                <w:b/>
                <w:sz w:val="18"/>
                <w:szCs w:val="18"/>
              </w:rPr>
            </w:pPr>
          </w:p>
        </w:tc>
      </w:tr>
      <w:tr w:rsidR="002A0724" w:rsidRPr="00DA3E2F" w14:paraId="528A1B11" w14:textId="77777777" w:rsidTr="005F5B4C">
        <w:trPr>
          <w:cantSplit/>
          <w:trHeight w:val="23"/>
        </w:trPr>
        <w:tc>
          <w:tcPr>
            <w:tcW w:w="510" w:type="pct"/>
            <w:tcBorders>
              <w:top w:val="nil"/>
              <w:left w:val="single" w:sz="2" w:space="0" w:color="auto"/>
              <w:bottom w:val="nil"/>
              <w:right w:val="single" w:sz="2" w:space="0" w:color="auto"/>
            </w:tcBorders>
          </w:tcPr>
          <w:p w14:paraId="1A916267"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5678B6C0" w14:textId="7300B850" w:rsidR="002A0724" w:rsidRPr="00FB3AD2" w:rsidRDefault="00FA7C77" w:rsidP="009A0F2F">
            <w:pPr>
              <w:spacing w:after="40"/>
              <w:rPr>
                <w:sz w:val="18"/>
                <w:szCs w:val="18"/>
              </w:rPr>
            </w:pPr>
            <w:r>
              <w:rPr>
                <w:sz w:val="18"/>
                <w:szCs w:val="18"/>
              </w:rPr>
              <w:t xml:space="preserve">  </w:t>
            </w:r>
            <w:r w:rsidR="002A0724" w:rsidRPr="00FB3AD2">
              <w:rPr>
                <w:sz w:val="18"/>
                <w:szCs w:val="18"/>
              </w:rPr>
              <w:t xml:space="preserve"> - Impairment Losses Recognised in Other Comprehensive Income</w:t>
            </w:r>
          </w:p>
        </w:tc>
        <w:tc>
          <w:tcPr>
            <w:tcW w:w="325" w:type="pct"/>
            <w:tcBorders>
              <w:top w:val="nil"/>
              <w:left w:val="nil"/>
              <w:bottom w:val="nil"/>
              <w:right w:val="nil"/>
            </w:tcBorders>
          </w:tcPr>
          <w:p w14:paraId="7007B977" w14:textId="77777777" w:rsidR="002A0724" w:rsidRPr="00FB3AD2" w:rsidRDefault="002A0724" w:rsidP="009A0F2F">
            <w:pPr>
              <w:rPr>
                <w:b/>
                <w:sz w:val="18"/>
                <w:szCs w:val="18"/>
              </w:rPr>
            </w:pPr>
          </w:p>
        </w:tc>
        <w:tc>
          <w:tcPr>
            <w:tcW w:w="324" w:type="pct"/>
            <w:tcBorders>
              <w:top w:val="nil"/>
              <w:left w:val="nil"/>
              <w:bottom w:val="nil"/>
              <w:right w:val="nil"/>
            </w:tcBorders>
          </w:tcPr>
          <w:p w14:paraId="736302A3" w14:textId="77777777" w:rsidR="002A0724" w:rsidRPr="00FB3AD2" w:rsidRDefault="002A0724" w:rsidP="009A0F2F">
            <w:pPr>
              <w:rPr>
                <w:b/>
                <w:sz w:val="18"/>
                <w:szCs w:val="18"/>
              </w:rPr>
            </w:pPr>
          </w:p>
        </w:tc>
        <w:tc>
          <w:tcPr>
            <w:tcW w:w="462" w:type="pct"/>
            <w:tcBorders>
              <w:top w:val="nil"/>
              <w:left w:val="nil"/>
              <w:bottom w:val="nil"/>
              <w:right w:val="nil"/>
            </w:tcBorders>
          </w:tcPr>
          <w:p w14:paraId="38692386" w14:textId="77777777" w:rsidR="002A0724" w:rsidRPr="00FB3AD2" w:rsidRDefault="002A0724" w:rsidP="009A0F2F">
            <w:pPr>
              <w:rPr>
                <w:b/>
                <w:sz w:val="18"/>
                <w:szCs w:val="18"/>
              </w:rPr>
            </w:pPr>
          </w:p>
        </w:tc>
        <w:tc>
          <w:tcPr>
            <w:tcW w:w="417" w:type="pct"/>
            <w:tcBorders>
              <w:top w:val="nil"/>
              <w:left w:val="nil"/>
              <w:bottom w:val="nil"/>
              <w:right w:val="nil"/>
            </w:tcBorders>
          </w:tcPr>
          <w:p w14:paraId="34848C58" w14:textId="77777777" w:rsidR="002A0724" w:rsidRPr="00FB3AD2" w:rsidRDefault="002A0724" w:rsidP="009A0F2F">
            <w:pPr>
              <w:rPr>
                <w:b/>
                <w:sz w:val="18"/>
                <w:szCs w:val="18"/>
              </w:rPr>
            </w:pPr>
          </w:p>
        </w:tc>
        <w:tc>
          <w:tcPr>
            <w:tcW w:w="509" w:type="pct"/>
            <w:tcBorders>
              <w:top w:val="nil"/>
              <w:left w:val="nil"/>
              <w:bottom w:val="nil"/>
              <w:right w:val="nil"/>
            </w:tcBorders>
          </w:tcPr>
          <w:p w14:paraId="5C08DC71" w14:textId="77777777" w:rsidR="002A0724" w:rsidRPr="00FB3AD2" w:rsidRDefault="002A0724" w:rsidP="009A0F2F">
            <w:pPr>
              <w:rPr>
                <w:b/>
                <w:sz w:val="18"/>
                <w:szCs w:val="18"/>
              </w:rPr>
            </w:pPr>
          </w:p>
        </w:tc>
        <w:tc>
          <w:tcPr>
            <w:tcW w:w="371" w:type="pct"/>
            <w:tcBorders>
              <w:top w:val="nil"/>
              <w:left w:val="nil"/>
              <w:bottom w:val="nil"/>
              <w:right w:val="nil"/>
            </w:tcBorders>
          </w:tcPr>
          <w:p w14:paraId="5AFDB809" w14:textId="77777777" w:rsidR="002A0724" w:rsidRPr="00FB3AD2" w:rsidRDefault="002A0724" w:rsidP="009A0F2F">
            <w:pPr>
              <w:rPr>
                <w:b/>
                <w:sz w:val="18"/>
                <w:szCs w:val="18"/>
              </w:rPr>
            </w:pPr>
          </w:p>
        </w:tc>
      </w:tr>
      <w:tr w:rsidR="002A0724" w:rsidRPr="00DA3E2F" w14:paraId="47B7B0DC" w14:textId="77777777" w:rsidTr="005F5B4C">
        <w:trPr>
          <w:cantSplit/>
          <w:trHeight w:val="23"/>
        </w:trPr>
        <w:tc>
          <w:tcPr>
            <w:tcW w:w="510" w:type="pct"/>
            <w:tcBorders>
              <w:top w:val="nil"/>
              <w:left w:val="single" w:sz="2" w:space="0" w:color="auto"/>
              <w:bottom w:val="nil"/>
              <w:right w:val="single" w:sz="2" w:space="0" w:color="auto"/>
            </w:tcBorders>
          </w:tcPr>
          <w:p w14:paraId="173D474D"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24E50C92" w14:textId="77777777" w:rsidR="002A0724" w:rsidRPr="00FB3AD2" w:rsidRDefault="002A0724" w:rsidP="009A0F2F">
            <w:pPr>
              <w:spacing w:after="40"/>
              <w:rPr>
                <w:sz w:val="18"/>
                <w:szCs w:val="18"/>
              </w:rPr>
            </w:pPr>
            <w:r w:rsidRPr="00FB3AD2">
              <w:rPr>
                <w:sz w:val="18"/>
                <w:szCs w:val="18"/>
              </w:rPr>
              <w:t>Other Movements</w:t>
            </w:r>
          </w:p>
        </w:tc>
        <w:tc>
          <w:tcPr>
            <w:tcW w:w="325" w:type="pct"/>
            <w:tcBorders>
              <w:top w:val="nil"/>
              <w:left w:val="nil"/>
              <w:bottom w:val="single" w:sz="2" w:space="0" w:color="auto"/>
              <w:right w:val="nil"/>
            </w:tcBorders>
          </w:tcPr>
          <w:p w14:paraId="02200E57" w14:textId="77777777" w:rsidR="002A0724" w:rsidRPr="00FB3AD2" w:rsidRDefault="002A0724" w:rsidP="009A0F2F">
            <w:pPr>
              <w:rPr>
                <w:b/>
                <w:sz w:val="18"/>
                <w:szCs w:val="18"/>
              </w:rPr>
            </w:pPr>
          </w:p>
        </w:tc>
        <w:tc>
          <w:tcPr>
            <w:tcW w:w="324" w:type="pct"/>
            <w:tcBorders>
              <w:top w:val="nil"/>
              <w:left w:val="nil"/>
              <w:bottom w:val="single" w:sz="2" w:space="0" w:color="auto"/>
              <w:right w:val="nil"/>
            </w:tcBorders>
          </w:tcPr>
          <w:p w14:paraId="22D2D628" w14:textId="77777777" w:rsidR="002A0724" w:rsidRPr="00FB3AD2" w:rsidRDefault="002A0724" w:rsidP="009A0F2F">
            <w:pPr>
              <w:rPr>
                <w:b/>
                <w:sz w:val="18"/>
                <w:szCs w:val="18"/>
              </w:rPr>
            </w:pPr>
          </w:p>
        </w:tc>
        <w:tc>
          <w:tcPr>
            <w:tcW w:w="462" w:type="pct"/>
            <w:tcBorders>
              <w:top w:val="nil"/>
              <w:left w:val="nil"/>
              <w:bottom w:val="single" w:sz="2" w:space="0" w:color="auto"/>
              <w:right w:val="nil"/>
            </w:tcBorders>
          </w:tcPr>
          <w:p w14:paraId="0D6E7901" w14:textId="77777777" w:rsidR="002A0724" w:rsidRPr="00FB3AD2" w:rsidRDefault="002A0724" w:rsidP="009A0F2F">
            <w:pPr>
              <w:rPr>
                <w:b/>
                <w:sz w:val="18"/>
                <w:szCs w:val="18"/>
              </w:rPr>
            </w:pPr>
          </w:p>
        </w:tc>
        <w:tc>
          <w:tcPr>
            <w:tcW w:w="417" w:type="pct"/>
            <w:tcBorders>
              <w:top w:val="nil"/>
              <w:left w:val="nil"/>
              <w:bottom w:val="single" w:sz="2" w:space="0" w:color="auto"/>
              <w:right w:val="nil"/>
            </w:tcBorders>
          </w:tcPr>
          <w:p w14:paraId="6224D5E1" w14:textId="77777777" w:rsidR="002A0724" w:rsidRPr="00FB3AD2" w:rsidRDefault="002A0724" w:rsidP="009A0F2F">
            <w:pPr>
              <w:rPr>
                <w:b/>
                <w:sz w:val="18"/>
                <w:szCs w:val="18"/>
              </w:rPr>
            </w:pPr>
          </w:p>
        </w:tc>
        <w:tc>
          <w:tcPr>
            <w:tcW w:w="509" w:type="pct"/>
            <w:tcBorders>
              <w:top w:val="nil"/>
              <w:left w:val="nil"/>
              <w:bottom w:val="single" w:sz="2" w:space="0" w:color="auto"/>
              <w:right w:val="nil"/>
            </w:tcBorders>
          </w:tcPr>
          <w:p w14:paraId="3A2E139F" w14:textId="77777777" w:rsidR="002A0724" w:rsidRPr="00FB3AD2" w:rsidRDefault="002A0724" w:rsidP="009A0F2F">
            <w:pPr>
              <w:rPr>
                <w:b/>
                <w:sz w:val="18"/>
                <w:szCs w:val="18"/>
              </w:rPr>
            </w:pPr>
          </w:p>
        </w:tc>
        <w:tc>
          <w:tcPr>
            <w:tcW w:w="371" w:type="pct"/>
            <w:tcBorders>
              <w:top w:val="nil"/>
              <w:left w:val="nil"/>
              <w:bottom w:val="single" w:sz="2" w:space="0" w:color="auto"/>
              <w:right w:val="nil"/>
            </w:tcBorders>
          </w:tcPr>
          <w:p w14:paraId="14B39068" w14:textId="77777777" w:rsidR="002A0724" w:rsidRPr="00FB3AD2" w:rsidRDefault="002A0724" w:rsidP="009A0F2F">
            <w:pPr>
              <w:rPr>
                <w:b/>
                <w:sz w:val="18"/>
                <w:szCs w:val="18"/>
              </w:rPr>
            </w:pPr>
          </w:p>
        </w:tc>
      </w:tr>
      <w:tr w:rsidR="002A0724" w:rsidRPr="00DA3E2F" w14:paraId="0E8E0ABD" w14:textId="77777777" w:rsidTr="005F5B4C">
        <w:trPr>
          <w:cantSplit/>
          <w:trHeight w:val="23"/>
        </w:trPr>
        <w:tc>
          <w:tcPr>
            <w:tcW w:w="510" w:type="pct"/>
            <w:tcBorders>
              <w:top w:val="nil"/>
              <w:left w:val="single" w:sz="2" w:space="0" w:color="auto"/>
              <w:bottom w:val="nil"/>
              <w:right w:val="single" w:sz="2" w:space="0" w:color="auto"/>
            </w:tcBorders>
          </w:tcPr>
          <w:p w14:paraId="6D08C1E9" w14:textId="77777777" w:rsidR="002A0724" w:rsidRPr="00FB3AD2" w:rsidRDefault="002A0724" w:rsidP="009A0F2F">
            <w:pPr>
              <w:pStyle w:val="TableReference"/>
              <w:tabs>
                <w:tab w:val="left" w:pos="3306"/>
              </w:tabs>
              <w:spacing w:before="40"/>
              <w:rPr>
                <w:rFonts w:cs="Calibri"/>
                <w:color w:val="7030A0"/>
                <w:sz w:val="14"/>
              </w:rPr>
            </w:pPr>
          </w:p>
        </w:tc>
        <w:tc>
          <w:tcPr>
            <w:tcW w:w="2082" w:type="pct"/>
            <w:tcBorders>
              <w:top w:val="nil"/>
              <w:left w:val="single" w:sz="2" w:space="0" w:color="auto"/>
              <w:bottom w:val="nil"/>
              <w:right w:val="nil"/>
            </w:tcBorders>
          </w:tcPr>
          <w:p w14:paraId="0403E742" w14:textId="77777777" w:rsidR="002A0724" w:rsidRPr="00FB3AD2" w:rsidRDefault="002A0724" w:rsidP="009A0F2F">
            <w:pPr>
              <w:spacing w:after="40"/>
              <w:rPr>
                <w:sz w:val="18"/>
                <w:szCs w:val="18"/>
              </w:rPr>
            </w:pPr>
            <w:r w:rsidRPr="00FB3AD2">
              <w:rPr>
                <w:b/>
                <w:sz w:val="18"/>
                <w:szCs w:val="18"/>
              </w:rPr>
              <w:t>Fair Value at the End of the Reporting Period</w:t>
            </w:r>
          </w:p>
        </w:tc>
        <w:tc>
          <w:tcPr>
            <w:tcW w:w="325" w:type="pct"/>
            <w:tcBorders>
              <w:top w:val="single" w:sz="2" w:space="0" w:color="auto"/>
              <w:left w:val="nil"/>
              <w:bottom w:val="double" w:sz="4" w:space="0" w:color="auto"/>
              <w:right w:val="nil"/>
            </w:tcBorders>
          </w:tcPr>
          <w:p w14:paraId="24CB79C3" w14:textId="77777777" w:rsidR="002A0724" w:rsidRPr="00FB3AD2" w:rsidRDefault="002A0724" w:rsidP="009A0F2F">
            <w:pPr>
              <w:rPr>
                <w:b/>
                <w:sz w:val="18"/>
                <w:szCs w:val="18"/>
              </w:rPr>
            </w:pPr>
          </w:p>
        </w:tc>
        <w:tc>
          <w:tcPr>
            <w:tcW w:w="324" w:type="pct"/>
            <w:tcBorders>
              <w:top w:val="single" w:sz="2" w:space="0" w:color="auto"/>
              <w:left w:val="nil"/>
              <w:bottom w:val="double" w:sz="4" w:space="0" w:color="auto"/>
              <w:right w:val="nil"/>
            </w:tcBorders>
          </w:tcPr>
          <w:p w14:paraId="2D0AFCD1" w14:textId="77777777" w:rsidR="002A0724" w:rsidRPr="00FB3AD2" w:rsidRDefault="002A0724" w:rsidP="009A0F2F">
            <w:pPr>
              <w:rPr>
                <w:b/>
                <w:sz w:val="18"/>
                <w:szCs w:val="18"/>
              </w:rPr>
            </w:pPr>
          </w:p>
        </w:tc>
        <w:tc>
          <w:tcPr>
            <w:tcW w:w="462" w:type="pct"/>
            <w:tcBorders>
              <w:top w:val="single" w:sz="2" w:space="0" w:color="auto"/>
              <w:left w:val="nil"/>
              <w:bottom w:val="double" w:sz="4" w:space="0" w:color="auto"/>
              <w:right w:val="nil"/>
            </w:tcBorders>
          </w:tcPr>
          <w:p w14:paraId="1991A2A3" w14:textId="77777777" w:rsidR="002A0724" w:rsidRPr="00FB3AD2" w:rsidRDefault="002A0724" w:rsidP="009A0F2F">
            <w:pPr>
              <w:rPr>
                <w:b/>
                <w:sz w:val="18"/>
                <w:szCs w:val="18"/>
              </w:rPr>
            </w:pPr>
          </w:p>
        </w:tc>
        <w:tc>
          <w:tcPr>
            <w:tcW w:w="417" w:type="pct"/>
            <w:tcBorders>
              <w:top w:val="single" w:sz="2" w:space="0" w:color="auto"/>
              <w:left w:val="nil"/>
              <w:bottom w:val="double" w:sz="4" w:space="0" w:color="auto"/>
              <w:right w:val="nil"/>
            </w:tcBorders>
          </w:tcPr>
          <w:p w14:paraId="03191059" w14:textId="77777777" w:rsidR="002A0724" w:rsidRPr="00FB3AD2" w:rsidRDefault="002A0724" w:rsidP="009A0F2F">
            <w:pPr>
              <w:rPr>
                <w:b/>
                <w:sz w:val="18"/>
                <w:szCs w:val="18"/>
              </w:rPr>
            </w:pPr>
          </w:p>
        </w:tc>
        <w:tc>
          <w:tcPr>
            <w:tcW w:w="509" w:type="pct"/>
            <w:tcBorders>
              <w:top w:val="single" w:sz="2" w:space="0" w:color="auto"/>
              <w:left w:val="nil"/>
              <w:bottom w:val="double" w:sz="4" w:space="0" w:color="auto"/>
              <w:right w:val="nil"/>
            </w:tcBorders>
          </w:tcPr>
          <w:p w14:paraId="7394E498" w14:textId="77777777" w:rsidR="002A0724" w:rsidRPr="00FB3AD2" w:rsidRDefault="002A0724" w:rsidP="009A0F2F">
            <w:pPr>
              <w:rPr>
                <w:b/>
                <w:sz w:val="18"/>
                <w:szCs w:val="18"/>
              </w:rPr>
            </w:pPr>
          </w:p>
        </w:tc>
        <w:tc>
          <w:tcPr>
            <w:tcW w:w="371" w:type="pct"/>
            <w:tcBorders>
              <w:top w:val="single" w:sz="2" w:space="0" w:color="auto"/>
              <w:left w:val="nil"/>
              <w:bottom w:val="double" w:sz="4" w:space="0" w:color="auto"/>
              <w:right w:val="nil"/>
            </w:tcBorders>
          </w:tcPr>
          <w:p w14:paraId="32129940" w14:textId="77777777" w:rsidR="002A0724" w:rsidRPr="00FB3AD2" w:rsidRDefault="002A0724" w:rsidP="009A0F2F">
            <w:pPr>
              <w:rPr>
                <w:b/>
                <w:sz w:val="18"/>
                <w:szCs w:val="18"/>
              </w:rPr>
            </w:pPr>
          </w:p>
        </w:tc>
      </w:tr>
      <w:tr w:rsidR="00C85383" w:rsidRPr="00DA3E2F" w14:paraId="0C75E0AB" w14:textId="77777777" w:rsidTr="005F5B4C">
        <w:trPr>
          <w:cantSplit/>
          <w:trHeight w:val="23"/>
        </w:trPr>
        <w:tc>
          <w:tcPr>
            <w:tcW w:w="510" w:type="pct"/>
            <w:tcBorders>
              <w:top w:val="nil"/>
              <w:left w:val="single" w:sz="2" w:space="0" w:color="auto"/>
              <w:bottom w:val="nil"/>
              <w:right w:val="single" w:sz="2" w:space="0" w:color="auto"/>
            </w:tcBorders>
          </w:tcPr>
          <w:p w14:paraId="38119139" w14:textId="77777777" w:rsidR="00C85383" w:rsidRPr="00FB3AD2" w:rsidRDefault="00C85383" w:rsidP="00C85383">
            <w:pPr>
              <w:pStyle w:val="TableReference"/>
              <w:tabs>
                <w:tab w:val="left" w:pos="3306"/>
              </w:tabs>
              <w:rPr>
                <w:rFonts w:cs="Calibri"/>
                <w:color w:val="7030A0"/>
                <w:sz w:val="14"/>
              </w:rPr>
            </w:pPr>
            <w:r w:rsidRPr="00FB3AD2">
              <w:rPr>
                <w:rFonts w:cs="Calibri"/>
                <w:color w:val="7030A0"/>
                <w:sz w:val="14"/>
              </w:rPr>
              <w:t>AASB 13.93(f))</w:t>
            </w:r>
          </w:p>
        </w:tc>
        <w:tc>
          <w:tcPr>
            <w:tcW w:w="4490" w:type="pct"/>
            <w:gridSpan w:val="7"/>
            <w:tcBorders>
              <w:top w:val="nil"/>
              <w:left w:val="single" w:sz="2" w:space="0" w:color="auto"/>
              <w:bottom w:val="nil"/>
              <w:right w:val="nil"/>
            </w:tcBorders>
          </w:tcPr>
          <w:p w14:paraId="36419174" w14:textId="7C16EFBD" w:rsidR="00C85383" w:rsidRPr="00FB3AD2" w:rsidRDefault="00C85383" w:rsidP="009A0F2F">
            <w:pPr>
              <w:spacing w:before="40"/>
              <w:jc w:val="both"/>
              <w:rPr>
                <w:sz w:val="18"/>
                <w:szCs w:val="18"/>
              </w:rPr>
            </w:pPr>
            <w:r w:rsidRPr="00FB3AD2">
              <w:rPr>
                <w:sz w:val="18"/>
                <w:szCs w:val="18"/>
              </w:rPr>
              <w:t>Change in unrealised gains or losses for the period are included in profit or loss for assets held at the end of the reporting period.</w:t>
            </w:r>
          </w:p>
        </w:tc>
      </w:tr>
    </w:tbl>
    <w:p w14:paraId="58E4B182" w14:textId="77777777" w:rsidR="000702E1" w:rsidRDefault="000702E1">
      <w:pPr>
        <w:sectPr w:rsidR="000702E1" w:rsidSect="000702E1">
          <w:footnotePr>
            <w:numRestart w:val="eachPage"/>
          </w:footnotePr>
          <w:pgSz w:w="16840" w:h="11907" w:orient="landscape" w:code="9"/>
          <w:pgMar w:top="680" w:right="567" w:bottom="1276" w:left="567" w:header="425" w:footer="383" w:gutter="0"/>
          <w:cols w:space="720"/>
          <w:docGrid w:linePitch="326"/>
        </w:sectPr>
      </w:pPr>
    </w:p>
    <w:p w14:paraId="639C71B7" w14:textId="5B8B120F" w:rsidR="00F811FB" w:rsidRDefault="00F811FB"/>
    <w:tbl>
      <w:tblPr>
        <w:tblW w:w="5276"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6"/>
        <w:gridCol w:w="8929"/>
      </w:tblGrid>
      <w:tr w:rsidR="009D099B" w:rsidRPr="009A2CC8" w14:paraId="707FB945" w14:textId="77777777" w:rsidTr="005F5B4C">
        <w:tc>
          <w:tcPr>
            <w:tcW w:w="746" w:type="pct"/>
            <w:tcBorders>
              <w:top w:val="nil"/>
              <w:left w:val="single" w:sz="4" w:space="0" w:color="auto"/>
              <w:bottom w:val="nil"/>
              <w:right w:val="single" w:sz="4" w:space="0" w:color="auto"/>
            </w:tcBorders>
          </w:tcPr>
          <w:p w14:paraId="7C87A719" w14:textId="77777777" w:rsidR="009D099B" w:rsidRPr="001D7E72" w:rsidRDefault="009D099B" w:rsidP="00E3612F">
            <w:pPr>
              <w:spacing w:before="120" w:after="240"/>
              <w:rPr>
                <w:b/>
                <w:bCs/>
                <w:color w:val="7030A0"/>
                <w:szCs w:val="22"/>
              </w:rPr>
            </w:pPr>
            <w:r w:rsidRPr="001D7E72">
              <w:rPr>
                <w:rFonts w:cs="Calibri"/>
                <w:b/>
                <w:color w:val="7030A0"/>
                <w:szCs w:val="22"/>
              </w:rPr>
              <w:t>Reference</w:t>
            </w:r>
          </w:p>
        </w:tc>
        <w:tc>
          <w:tcPr>
            <w:tcW w:w="4254" w:type="pct"/>
            <w:tcBorders>
              <w:top w:val="nil"/>
              <w:left w:val="single" w:sz="4" w:space="0" w:color="auto"/>
              <w:bottom w:val="nil"/>
              <w:right w:val="nil"/>
            </w:tcBorders>
          </w:tcPr>
          <w:p w14:paraId="7B225E11" w14:textId="450D18D8" w:rsidR="009D099B" w:rsidRPr="001D7E72" w:rsidRDefault="00E3612F" w:rsidP="00E3612F">
            <w:pPr>
              <w:spacing w:before="120" w:after="240"/>
              <w:rPr>
                <w:b/>
                <w:bCs/>
                <w:szCs w:val="24"/>
              </w:rPr>
            </w:pPr>
            <w:r w:rsidRPr="001D7E72">
              <w:rPr>
                <w:rFonts w:ascii="Arial Bold" w:hAnsi="Arial Bold" w:cs="Arial"/>
                <w:b/>
                <w:caps/>
                <w:sz w:val="32"/>
                <w:szCs w:val="32"/>
              </w:rPr>
              <w:t xml:space="preserve">Note </w:t>
            </w:r>
            <w:r w:rsidR="001B1A1D" w:rsidRPr="001D7E72">
              <w:rPr>
                <w:rFonts w:ascii="Arial Bold" w:hAnsi="Arial Bold" w:cs="Arial"/>
                <w:b/>
                <w:caps/>
                <w:sz w:val="32"/>
                <w:szCs w:val="32"/>
              </w:rPr>
              <w:t>19</w:t>
            </w:r>
            <w:r w:rsidRPr="001D7E72">
              <w:rPr>
                <w:rFonts w:ascii="Arial Bold" w:hAnsi="Arial Bold" w:cs="Arial"/>
                <w:b/>
                <w:caps/>
                <w:sz w:val="32"/>
                <w:szCs w:val="32"/>
              </w:rPr>
              <w:t>.</w:t>
            </w:r>
            <w:r w:rsidR="00FA7C77">
              <w:rPr>
                <w:rFonts w:ascii="Arial Bold" w:hAnsi="Arial Bold" w:cs="Arial"/>
                <w:b/>
                <w:caps/>
                <w:sz w:val="32"/>
                <w:szCs w:val="32"/>
              </w:rPr>
              <w:t xml:space="preserve"> </w:t>
            </w:r>
            <w:r w:rsidRPr="001D7E72">
              <w:rPr>
                <w:rFonts w:ascii="Arial Bold" w:hAnsi="Arial Bold" w:cs="Arial"/>
                <w:b/>
                <w:caps/>
                <w:sz w:val="32"/>
                <w:szCs w:val="32"/>
              </w:rPr>
              <w:t xml:space="preserve"> Property, Plant and Equipment</w:t>
            </w:r>
            <w:r w:rsidR="00774E1B" w:rsidRPr="001D7E72">
              <w:rPr>
                <w:rFonts w:ascii="Arial Bold" w:hAnsi="Arial Bold" w:cs="Arial"/>
                <w:b/>
                <w:caps/>
                <w:sz w:val="32"/>
                <w:szCs w:val="32"/>
              </w:rPr>
              <w:t xml:space="preserve"> </w:t>
            </w:r>
            <w:r w:rsidRPr="001D7E72">
              <w:rPr>
                <w:rFonts w:ascii="Arial Bold" w:hAnsi="Arial Bold" w:cs="Arial"/>
                <w:b/>
                <w:caps/>
                <w:sz w:val="32"/>
                <w:szCs w:val="32"/>
              </w:rPr>
              <w:t>– Continued</w:t>
            </w:r>
          </w:p>
        </w:tc>
      </w:tr>
      <w:tr w:rsidR="00B0215E" w14:paraId="53FBA0A4" w14:textId="77777777" w:rsidTr="005F5B4C">
        <w:tc>
          <w:tcPr>
            <w:tcW w:w="746" w:type="pct"/>
            <w:tcBorders>
              <w:top w:val="nil"/>
              <w:left w:val="single" w:sz="4" w:space="0" w:color="auto"/>
              <w:bottom w:val="nil"/>
              <w:right w:val="single" w:sz="4" w:space="0" w:color="auto"/>
            </w:tcBorders>
          </w:tcPr>
          <w:p w14:paraId="2B6D8446" w14:textId="5469AB13" w:rsidR="00B0215E" w:rsidRPr="001D7E72" w:rsidRDefault="00B0215E">
            <w:pPr>
              <w:rPr>
                <w:rFonts w:cs="Calibri"/>
                <w:color w:val="7030A0"/>
                <w:sz w:val="14"/>
                <w:szCs w:val="14"/>
              </w:rPr>
            </w:pPr>
            <w:r w:rsidRPr="001D7E72">
              <w:rPr>
                <w:rFonts w:cs="Calibri"/>
                <w:color w:val="7030A0"/>
                <w:sz w:val="14"/>
                <w:szCs w:val="14"/>
              </w:rPr>
              <w:t>AASB 13.93(i)</w:t>
            </w:r>
          </w:p>
        </w:tc>
        <w:tc>
          <w:tcPr>
            <w:tcW w:w="4254" w:type="pct"/>
            <w:tcBorders>
              <w:top w:val="nil"/>
              <w:left w:val="single" w:sz="4" w:space="0" w:color="auto"/>
              <w:bottom w:val="nil"/>
              <w:right w:val="nil"/>
            </w:tcBorders>
          </w:tcPr>
          <w:p w14:paraId="23782A4D" w14:textId="6F1769F0" w:rsidR="00B0215E" w:rsidRPr="001D7E72" w:rsidRDefault="00B0215E" w:rsidP="00E3612F">
            <w:pPr>
              <w:pStyle w:val="TableTitle"/>
              <w:tabs>
                <w:tab w:val="left" w:pos="3306"/>
              </w:tabs>
              <w:jc w:val="both"/>
              <w:rPr>
                <w:rFonts w:cs="Calibri"/>
              </w:rPr>
            </w:pPr>
            <w:r w:rsidRPr="001D7E72">
              <w:rPr>
                <w:rFonts w:cs="Calibri"/>
              </w:rPr>
              <w:t xml:space="preserve">Assets where Current </w:t>
            </w:r>
            <w:r w:rsidR="00773769">
              <w:rPr>
                <w:rFonts w:cs="Calibri"/>
              </w:rPr>
              <w:t>U</w:t>
            </w:r>
            <w:r w:rsidRPr="001D7E72">
              <w:rPr>
                <w:rFonts w:cs="Calibri"/>
              </w:rPr>
              <w:t xml:space="preserve">se is not Highest and Best </w:t>
            </w:r>
            <w:r w:rsidR="00773769">
              <w:rPr>
                <w:rFonts w:cs="Calibri"/>
              </w:rPr>
              <w:t>U</w:t>
            </w:r>
            <w:r w:rsidRPr="001D7E72">
              <w:rPr>
                <w:rFonts w:cs="Calibri"/>
              </w:rPr>
              <w:t>se</w:t>
            </w:r>
          </w:p>
        </w:tc>
      </w:tr>
      <w:tr w:rsidR="00FE5C31" w14:paraId="6F6D7C25" w14:textId="77777777" w:rsidTr="005F5B4C">
        <w:tc>
          <w:tcPr>
            <w:tcW w:w="746" w:type="pct"/>
            <w:tcBorders>
              <w:top w:val="nil"/>
              <w:left w:val="single" w:sz="4" w:space="0" w:color="auto"/>
              <w:bottom w:val="nil"/>
              <w:right w:val="single" w:sz="4" w:space="0" w:color="auto"/>
            </w:tcBorders>
          </w:tcPr>
          <w:p w14:paraId="415CF6CD" w14:textId="77777777" w:rsidR="00FE5C31" w:rsidRPr="001D7E72" w:rsidRDefault="00FE5C31">
            <w:pPr>
              <w:rPr>
                <w:b/>
                <w:bCs/>
                <w:color w:val="7030A0"/>
                <w:sz w:val="16"/>
              </w:rPr>
            </w:pPr>
          </w:p>
        </w:tc>
        <w:tc>
          <w:tcPr>
            <w:tcW w:w="4254" w:type="pct"/>
            <w:tcBorders>
              <w:top w:val="nil"/>
              <w:left w:val="single" w:sz="4" w:space="0" w:color="auto"/>
              <w:bottom w:val="nil"/>
              <w:right w:val="nil"/>
            </w:tcBorders>
          </w:tcPr>
          <w:p w14:paraId="2674F1D0" w14:textId="58F4EAEE" w:rsidR="00FE5C31" w:rsidRPr="001D7E72" w:rsidRDefault="000D560A" w:rsidP="00E3612F">
            <w:pPr>
              <w:pStyle w:val="TableTitle"/>
              <w:tabs>
                <w:tab w:val="left" w:pos="3306"/>
              </w:tabs>
              <w:jc w:val="both"/>
              <w:rPr>
                <w:b w:val="0"/>
                <w:bCs w:val="0"/>
              </w:rPr>
            </w:pPr>
            <w:r w:rsidRPr="001D7E72">
              <w:rPr>
                <w:rFonts w:cs="Calibri"/>
                <w:b w:val="0"/>
              </w:rPr>
              <w:t xml:space="preserve">‘Burley Griffin </w:t>
            </w:r>
            <w:r w:rsidR="00FE5C31" w:rsidRPr="001D7E72">
              <w:rPr>
                <w:rFonts w:cs="Calibri"/>
                <w:b w:val="0"/>
              </w:rPr>
              <w:t>Agency</w:t>
            </w:r>
            <w:r w:rsidRPr="001D7E72">
              <w:rPr>
                <w:rFonts w:cs="Calibri"/>
                <w:b w:val="0"/>
              </w:rPr>
              <w:t>’</w:t>
            </w:r>
            <w:r w:rsidR="00FE5C31" w:rsidRPr="001D7E72">
              <w:rPr>
                <w:rFonts w:cs="Calibri"/>
                <w:b w:val="0"/>
              </w:rPr>
              <w:t xml:space="preserve"> has a block of land with a three stor</w:t>
            </w:r>
            <w:r w:rsidR="001B78DF" w:rsidRPr="001D7E72">
              <w:rPr>
                <w:rFonts w:cs="Calibri"/>
                <w:b w:val="0"/>
              </w:rPr>
              <w:t>e</w:t>
            </w:r>
            <w:r w:rsidR="00FE5C31" w:rsidRPr="001D7E72">
              <w:rPr>
                <w:rFonts w:cs="Calibri"/>
                <w:b w:val="0"/>
              </w:rPr>
              <w:t>y building near the Belconnen Town Centre that is mainly used as a shopfront. Given recent commercial and residential development in the immediate area, management is of th</w:t>
            </w:r>
            <w:r w:rsidR="00323E59" w:rsidRPr="001D7E72">
              <w:rPr>
                <w:rFonts w:cs="Calibri"/>
                <w:b w:val="0"/>
              </w:rPr>
              <w:t xml:space="preserve">e view, based on expert advice, </w:t>
            </w:r>
            <w:r w:rsidR="00FE5C31" w:rsidRPr="001D7E72">
              <w:rPr>
                <w:rFonts w:cs="Calibri"/>
                <w:b w:val="0"/>
              </w:rPr>
              <w:t>that the highest and best use of this property would be to sell it on the open market for construction of a high-rise residential tower, to meet the accommodation needs of students and young families.</w:t>
            </w:r>
            <w:r w:rsidR="00FA7C77">
              <w:rPr>
                <w:rFonts w:cs="Calibri"/>
                <w:b w:val="0"/>
              </w:rPr>
              <w:t xml:space="preserve"> </w:t>
            </w:r>
            <w:r w:rsidR="00FE5C31" w:rsidRPr="001D7E72">
              <w:rPr>
                <w:rFonts w:cs="Calibri"/>
                <w:b w:val="0"/>
              </w:rPr>
              <w:t>An alternative site for the shopfront has been identified.</w:t>
            </w:r>
            <w:r w:rsidR="00FA7C77">
              <w:rPr>
                <w:rFonts w:cs="Calibri"/>
                <w:b w:val="0"/>
              </w:rPr>
              <w:t xml:space="preserve"> </w:t>
            </w:r>
            <w:r w:rsidR="00FE5C31" w:rsidRPr="001D7E72">
              <w:rPr>
                <w:rFonts w:cs="Calibri"/>
                <w:b w:val="0"/>
              </w:rPr>
              <w:t>There is no physical, legal or financial barrier to this sale and the Government will be proceeding with this course of action. Accordingly, the fair value of this property reflects its estimated selling price, in its current condition, to a developer.</w:t>
            </w:r>
          </w:p>
        </w:tc>
      </w:tr>
      <w:tr w:rsidR="00C930EB" w14:paraId="10B3F75B" w14:textId="77777777" w:rsidTr="005F5B4C">
        <w:tc>
          <w:tcPr>
            <w:tcW w:w="746" w:type="pct"/>
            <w:tcBorders>
              <w:top w:val="nil"/>
              <w:left w:val="single" w:sz="4" w:space="0" w:color="auto"/>
              <w:bottom w:val="nil"/>
              <w:right w:val="single" w:sz="4" w:space="0" w:color="auto"/>
            </w:tcBorders>
          </w:tcPr>
          <w:p w14:paraId="45978821" w14:textId="77777777" w:rsidR="00C930EB" w:rsidRPr="001D7E72" w:rsidRDefault="00C930EB">
            <w:pPr>
              <w:rPr>
                <w:b/>
                <w:bCs/>
                <w:color w:val="7030A0"/>
                <w:sz w:val="16"/>
              </w:rPr>
            </w:pPr>
          </w:p>
        </w:tc>
        <w:tc>
          <w:tcPr>
            <w:tcW w:w="4254" w:type="pct"/>
            <w:tcBorders>
              <w:top w:val="nil"/>
              <w:left w:val="single" w:sz="4" w:space="0" w:color="auto"/>
              <w:bottom w:val="nil"/>
              <w:right w:val="nil"/>
            </w:tcBorders>
          </w:tcPr>
          <w:p w14:paraId="614E377F" w14:textId="77777777" w:rsidR="00C930EB" w:rsidRPr="00E3612F" w:rsidRDefault="00C930EB" w:rsidP="00E3612F">
            <w:pPr>
              <w:pStyle w:val="TableTitle"/>
              <w:tabs>
                <w:tab w:val="left" w:pos="3306"/>
              </w:tabs>
              <w:jc w:val="both"/>
              <w:rPr>
                <w:rFonts w:cs="Calibri"/>
                <w:b w:val="0"/>
              </w:rPr>
            </w:pPr>
          </w:p>
        </w:tc>
      </w:tr>
      <w:tr w:rsidR="00FE5C31" w:rsidRPr="00CF7E1B" w14:paraId="49106343"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56409180" w14:textId="77777777" w:rsidR="00FE5C31" w:rsidRPr="001D7E72" w:rsidRDefault="00FE5C31">
            <w:pPr>
              <w:pStyle w:val="Reference"/>
              <w:tabs>
                <w:tab w:val="left" w:pos="3306"/>
              </w:tabs>
              <w:rPr>
                <w:rFonts w:cs="Calibri"/>
                <w:color w:val="7030A0"/>
                <w:sz w:val="14"/>
                <w:szCs w:val="14"/>
              </w:rPr>
            </w:pPr>
          </w:p>
        </w:tc>
        <w:tc>
          <w:tcPr>
            <w:tcW w:w="4254" w:type="pct"/>
            <w:tcBorders>
              <w:left w:val="single" w:sz="4" w:space="0" w:color="auto"/>
            </w:tcBorders>
            <w:shd w:val="clear" w:color="auto" w:fill="7030A0"/>
          </w:tcPr>
          <w:p w14:paraId="061AB14C" w14:textId="44E98D9E" w:rsidR="00FE5C31" w:rsidRPr="001D7E72" w:rsidRDefault="00FE5C31" w:rsidP="00E3612F">
            <w:pPr>
              <w:pStyle w:val="CommentaryTitle"/>
              <w:spacing w:after="120"/>
              <w:rPr>
                <w:rFonts w:cs="Calibri"/>
                <w:color w:val="FFFFFF" w:themeColor="background1"/>
                <w:sz w:val="28"/>
                <w:szCs w:val="28"/>
              </w:rPr>
            </w:pPr>
            <w:bookmarkStart w:id="544" w:name="_Toc50440374"/>
            <w:bookmarkStart w:id="545" w:name="_Toc163106356"/>
            <w:r w:rsidRPr="001D7E72">
              <w:rPr>
                <w:rFonts w:cs="Calibri"/>
                <w:color w:val="FFFFFF" w:themeColor="background1"/>
                <w:sz w:val="28"/>
                <w:szCs w:val="28"/>
              </w:rPr>
              <w:t xml:space="preserve">Commentary – Note </w:t>
            </w:r>
            <w:r w:rsidR="001B1A1D" w:rsidRPr="001D7E72">
              <w:rPr>
                <w:rFonts w:cs="Calibri"/>
                <w:color w:val="FFFFFF" w:themeColor="background1"/>
                <w:sz w:val="28"/>
                <w:szCs w:val="28"/>
              </w:rPr>
              <w:t>19</w:t>
            </w:r>
            <w:r w:rsidRPr="001D7E72">
              <w:rPr>
                <w:rFonts w:cs="Calibri"/>
                <w:color w:val="FFFFFF" w:themeColor="background1"/>
                <w:sz w:val="28"/>
                <w:szCs w:val="28"/>
              </w:rPr>
              <w:t>: Property, Plant and Equipment</w:t>
            </w:r>
            <w:bookmarkEnd w:id="544"/>
            <w:bookmarkEnd w:id="545"/>
            <w:r w:rsidR="00774E1B" w:rsidRPr="001D7E72">
              <w:rPr>
                <w:rFonts w:cs="Calibri"/>
                <w:color w:val="FFFFFF" w:themeColor="background1"/>
                <w:sz w:val="28"/>
                <w:szCs w:val="28"/>
              </w:rPr>
              <w:t xml:space="preserve"> </w:t>
            </w:r>
          </w:p>
        </w:tc>
      </w:tr>
      <w:tr w:rsidR="00FE5C31" w:rsidRPr="00CF7E1B" w14:paraId="5D486CB2"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33D19D9A" w14:textId="77777777" w:rsidR="00FE5C31" w:rsidRPr="001D7E72" w:rsidRDefault="00FE5C31">
            <w:pPr>
              <w:pStyle w:val="TableReference"/>
              <w:tabs>
                <w:tab w:val="left" w:pos="3306"/>
              </w:tabs>
              <w:rPr>
                <w:rFonts w:cs="Calibri"/>
                <w:color w:val="7030A0"/>
                <w:sz w:val="14"/>
              </w:rPr>
            </w:pPr>
          </w:p>
        </w:tc>
        <w:tc>
          <w:tcPr>
            <w:tcW w:w="4254" w:type="pct"/>
            <w:tcBorders>
              <w:left w:val="single" w:sz="4" w:space="0" w:color="auto"/>
            </w:tcBorders>
            <w:shd w:val="clear" w:color="auto" w:fill="7030A0"/>
          </w:tcPr>
          <w:p w14:paraId="0B97E568" w14:textId="77777777" w:rsidR="00FE5C31" w:rsidRPr="00D31168" w:rsidRDefault="00FE5C31" w:rsidP="000C2014">
            <w:pPr>
              <w:pStyle w:val="CommentaryHeading"/>
              <w:tabs>
                <w:tab w:val="left" w:pos="3306"/>
              </w:tabs>
              <w:spacing w:before="0" w:after="0"/>
              <w:rPr>
                <w:rFonts w:cs="Calibri"/>
                <w:color w:val="FFFFFF" w:themeColor="background1"/>
                <w:szCs w:val="20"/>
              </w:rPr>
            </w:pPr>
            <w:r w:rsidRPr="00D31168">
              <w:rPr>
                <w:rFonts w:cs="Calibri"/>
                <w:color w:val="FFFFFF" w:themeColor="background1"/>
                <w:szCs w:val="20"/>
              </w:rPr>
              <w:t>Classes</w:t>
            </w:r>
          </w:p>
        </w:tc>
      </w:tr>
      <w:tr w:rsidR="00FE5C31" w:rsidRPr="00CF7E1B" w14:paraId="7951E789"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3E7EBF0F" w14:textId="77777777" w:rsidR="00FE5C31" w:rsidRPr="001D7E72" w:rsidRDefault="00FE5C31">
            <w:pPr>
              <w:pStyle w:val="TableReference"/>
              <w:tabs>
                <w:tab w:val="left" w:pos="3306"/>
              </w:tabs>
              <w:spacing w:before="60"/>
              <w:rPr>
                <w:rFonts w:cs="Calibri"/>
                <w:color w:val="7030A0"/>
                <w:sz w:val="14"/>
              </w:rPr>
            </w:pPr>
            <w:r w:rsidRPr="001D7E72">
              <w:rPr>
                <w:rFonts w:cs="Calibri"/>
                <w:color w:val="7030A0"/>
                <w:sz w:val="14"/>
              </w:rPr>
              <w:t xml:space="preserve"> ACT Disclosure Policy</w:t>
            </w:r>
          </w:p>
          <w:p w14:paraId="1F74667D" w14:textId="77777777" w:rsidR="00FE5C31" w:rsidRPr="001D7E72" w:rsidRDefault="00FE5C31">
            <w:pPr>
              <w:pStyle w:val="TableReference"/>
              <w:tabs>
                <w:tab w:val="left" w:pos="3306"/>
              </w:tabs>
              <w:spacing w:before="60"/>
              <w:rPr>
                <w:rFonts w:cs="Calibri"/>
                <w:color w:val="7030A0"/>
                <w:sz w:val="14"/>
              </w:rPr>
            </w:pPr>
            <w:r w:rsidRPr="001D7E72">
              <w:rPr>
                <w:rFonts w:cs="Calibri"/>
                <w:color w:val="7030A0"/>
                <w:sz w:val="14"/>
              </w:rPr>
              <w:t>AASB 116.37</w:t>
            </w:r>
          </w:p>
        </w:tc>
        <w:tc>
          <w:tcPr>
            <w:tcW w:w="4254" w:type="pct"/>
            <w:tcBorders>
              <w:left w:val="single" w:sz="4" w:space="0" w:color="auto"/>
            </w:tcBorders>
            <w:shd w:val="clear" w:color="auto" w:fill="7030A0"/>
          </w:tcPr>
          <w:p w14:paraId="4F8C7A30" w14:textId="7DC8187A" w:rsidR="00FE5C31" w:rsidRPr="001D7E72" w:rsidRDefault="00FE5C31" w:rsidP="000C2014">
            <w:pPr>
              <w:pStyle w:val="CommentaryText"/>
              <w:spacing w:after="0"/>
              <w:rPr>
                <w:rFonts w:cs="Calibri"/>
                <w:color w:val="FFFFFF" w:themeColor="background1"/>
                <w:sz w:val="18"/>
                <w:szCs w:val="18"/>
              </w:rPr>
            </w:pPr>
            <w:r w:rsidRPr="001D7E72">
              <w:rPr>
                <w:rFonts w:cs="Calibri"/>
                <w:color w:val="FFFFFF" w:themeColor="background1"/>
                <w:sz w:val="18"/>
                <w:szCs w:val="18"/>
              </w:rPr>
              <w:t>ACT Disclosure Policy requires the following classes of Property, Plant and Equipment be disclosed in an agency’s financial statements where applicable:</w:t>
            </w:r>
          </w:p>
          <w:p w14:paraId="5B3866CB" w14:textId="77777777" w:rsidR="00FE5C31" w:rsidRPr="001D7E72" w:rsidRDefault="00FE5C31"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land;</w:t>
            </w:r>
          </w:p>
          <w:p w14:paraId="1DCC4E0B" w14:textId="77777777" w:rsidR="00FE5C31" w:rsidRPr="001D7E72" w:rsidRDefault="00FE5C31"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buildings;</w:t>
            </w:r>
          </w:p>
          <w:p w14:paraId="41DABCBC" w14:textId="77777777" w:rsidR="00FE5C31" w:rsidRPr="001D7E72" w:rsidRDefault="00FE5C31"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leasehold improvements;</w:t>
            </w:r>
          </w:p>
          <w:p w14:paraId="7F874FBC" w14:textId="77777777" w:rsidR="00FE5C31" w:rsidRPr="001D7E72" w:rsidRDefault="00FE5C31"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plant and equipment;</w:t>
            </w:r>
          </w:p>
          <w:p w14:paraId="050ADE87" w14:textId="49A42A8D" w:rsidR="00FE5C31" w:rsidRPr="001D7E72" w:rsidRDefault="00FE5C31"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co</w:t>
            </w:r>
            <w:r w:rsidR="00E3612F" w:rsidRPr="001D7E72">
              <w:rPr>
                <w:rFonts w:cs="Calibri"/>
                <w:color w:val="FFFFFF" w:themeColor="background1"/>
                <w:sz w:val="18"/>
                <w:szCs w:val="18"/>
              </w:rPr>
              <w:t xml:space="preserve">mmunity and heritage assets; </w:t>
            </w:r>
            <w:r w:rsidR="00905B5C" w:rsidRPr="001D7E72">
              <w:rPr>
                <w:rFonts w:cs="Calibri"/>
                <w:color w:val="FFFFFF" w:themeColor="background1"/>
                <w:sz w:val="18"/>
                <w:szCs w:val="18"/>
              </w:rPr>
              <w:t>and</w:t>
            </w:r>
          </w:p>
          <w:p w14:paraId="0D07A502" w14:textId="6099FDA8" w:rsidR="00E3612F" w:rsidRPr="001D7E72" w:rsidRDefault="00FE5C31"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infras</w:t>
            </w:r>
            <w:r w:rsidR="00E3612F" w:rsidRPr="001D7E72">
              <w:rPr>
                <w:rFonts w:cs="Calibri"/>
                <w:color w:val="FFFFFF" w:themeColor="background1"/>
                <w:sz w:val="18"/>
                <w:szCs w:val="18"/>
              </w:rPr>
              <w:t>tructure assets</w:t>
            </w:r>
            <w:r w:rsidR="00905B5C" w:rsidRPr="001D7E72">
              <w:rPr>
                <w:rFonts w:cs="Calibri"/>
                <w:color w:val="FFFFFF" w:themeColor="background1"/>
                <w:sz w:val="18"/>
                <w:szCs w:val="18"/>
              </w:rPr>
              <w:t xml:space="preserve">. </w:t>
            </w:r>
          </w:p>
        </w:tc>
      </w:tr>
      <w:tr w:rsidR="00E60250" w:rsidRPr="00CF7E1B" w14:paraId="1544B2DA"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2193810B" w14:textId="77777777" w:rsidR="00E60250" w:rsidRPr="001D7E72" w:rsidRDefault="00E60250" w:rsidP="00E60250">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tcPr>
          <w:p w14:paraId="32CA484E" w14:textId="40E049FC" w:rsidR="00E60250" w:rsidRPr="00D31168" w:rsidRDefault="00AE7A0F" w:rsidP="00E60250">
            <w:pPr>
              <w:pStyle w:val="CommentaryHeading"/>
              <w:tabs>
                <w:tab w:val="left" w:pos="3306"/>
              </w:tabs>
              <w:spacing w:after="0"/>
              <w:rPr>
                <w:rFonts w:cs="Calibri"/>
                <w:color w:val="FFFFFF" w:themeColor="background1"/>
                <w:szCs w:val="20"/>
              </w:rPr>
            </w:pPr>
            <w:r w:rsidRPr="00D31168">
              <w:rPr>
                <w:rFonts w:cs="Calibri"/>
                <w:color w:val="FFFFFF" w:themeColor="background1"/>
                <w:szCs w:val="20"/>
              </w:rPr>
              <w:t xml:space="preserve">Property, Plant and Equipment </w:t>
            </w:r>
            <w:r w:rsidR="00E60250" w:rsidRPr="00D31168">
              <w:rPr>
                <w:rFonts w:cs="Calibri"/>
                <w:color w:val="FFFFFF" w:themeColor="background1"/>
                <w:szCs w:val="20"/>
              </w:rPr>
              <w:t>Reconciliations</w:t>
            </w:r>
          </w:p>
        </w:tc>
      </w:tr>
      <w:tr w:rsidR="00320465" w:rsidRPr="00CF7E1B" w14:paraId="3E925131"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06F3CA4F" w14:textId="77777777" w:rsidR="00320465" w:rsidRPr="001D7E72" w:rsidRDefault="00320465" w:rsidP="00E60250">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tcPr>
          <w:p w14:paraId="51A4E92D" w14:textId="3EA9E0DF" w:rsidR="00320465" w:rsidRPr="00D31168" w:rsidRDefault="00320465" w:rsidP="00E60250">
            <w:pPr>
              <w:pStyle w:val="CommentaryHeading"/>
              <w:tabs>
                <w:tab w:val="left" w:pos="3306"/>
              </w:tabs>
              <w:spacing w:after="0"/>
              <w:rPr>
                <w:rFonts w:cs="Calibri"/>
                <w:b w:val="0"/>
                <w:bCs w:val="0"/>
                <w:color w:val="FFFFFF" w:themeColor="background1"/>
                <w:szCs w:val="20"/>
              </w:rPr>
            </w:pPr>
            <w:r w:rsidRPr="00D31168">
              <w:rPr>
                <w:rFonts w:cs="Calibri"/>
                <w:b w:val="0"/>
                <w:bCs w:val="0"/>
                <w:i/>
                <w:iCs/>
                <w:color w:val="FFFFFF" w:themeColor="background1"/>
                <w:szCs w:val="20"/>
              </w:rPr>
              <w:t>Reconciliation of All Property, Plant and Equipment</w:t>
            </w:r>
          </w:p>
        </w:tc>
      </w:tr>
      <w:tr w:rsidR="00E60250" w:rsidRPr="00CF7E1B" w14:paraId="4E272339"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078E18DC" w14:textId="77777777" w:rsidR="00E60250" w:rsidRPr="001D7E72" w:rsidRDefault="00E60250" w:rsidP="00E60250">
            <w:pPr>
              <w:pStyle w:val="TableReference"/>
              <w:tabs>
                <w:tab w:val="left" w:pos="3306"/>
              </w:tabs>
              <w:spacing w:before="60"/>
              <w:rPr>
                <w:rFonts w:cs="Calibri"/>
                <w:color w:val="7030A0"/>
                <w:sz w:val="14"/>
              </w:rPr>
            </w:pPr>
            <w:r w:rsidRPr="001D7E72">
              <w:rPr>
                <w:rFonts w:cs="Calibri"/>
                <w:color w:val="7030A0"/>
                <w:sz w:val="14"/>
              </w:rPr>
              <w:t xml:space="preserve">AASB 116.73(e) </w:t>
            </w:r>
          </w:p>
          <w:p w14:paraId="715C6438" w14:textId="77777777" w:rsidR="00E60250" w:rsidRPr="001D7E72" w:rsidRDefault="00E60250" w:rsidP="00E60250">
            <w:pPr>
              <w:pStyle w:val="TableReference"/>
              <w:tabs>
                <w:tab w:val="left" w:pos="3306"/>
              </w:tabs>
              <w:rPr>
                <w:rFonts w:cs="Calibri"/>
                <w:color w:val="7030A0"/>
                <w:sz w:val="14"/>
              </w:rPr>
            </w:pPr>
          </w:p>
        </w:tc>
        <w:tc>
          <w:tcPr>
            <w:tcW w:w="4254" w:type="pct"/>
            <w:tcBorders>
              <w:left w:val="single" w:sz="4" w:space="0" w:color="auto"/>
            </w:tcBorders>
            <w:shd w:val="clear" w:color="auto" w:fill="7030A0"/>
          </w:tcPr>
          <w:p w14:paraId="007DB04F" w14:textId="729F78A1" w:rsidR="00E60250" w:rsidRPr="001D7E72" w:rsidRDefault="00441402" w:rsidP="00B5238F">
            <w:pPr>
              <w:pStyle w:val="CommentaryText"/>
              <w:tabs>
                <w:tab w:val="left" w:pos="3306"/>
              </w:tabs>
              <w:spacing w:after="40"/>
              <w:rPr>
                <w:rFonts w:cs="Calibri"/>
                <w:color w:val="FFFFFF" w:themeColor="background1"/>
                <w:sz w:val="18"/>
                <w:szCs w:val="18"/>
              </w:rPr>
            </w:pPr>
            <w:r w:rsidRPr="001D7E72">
              <w:rPr>
                <w:rFonts w:cs="Calibri"/>
                <w:color w:val="FFFFFF" w:themeColor="background1"/>
                <w:sz w:val="18"/>
                <w:szCs w:val="18"/>
              </w:rPr>
              <w:t>A</w:t>
            </w:r>
            <w:r w:rsidR="00E60250" w:rsidRPr="001D7E72">
              <w:rPr>
                <w:rFonts w:cs="Calibri"/>
                <w:color w:val="FFFFFF" w:themeColor="background1"/>
                <w:sz w:val="18"/>
                <w:szCs w:val="18"/>
              </w:rPr>
              <w:t xml:space="preserve"> reconciliation of the carrying amounts of each class of Property, Plant and Equipment at the beginning and end of the reporting period</w:t>
            </w:r>
            <w:r w:rsidRPr="001D7E72">
              <w:rPr>
                <w:rFonts w:cs="Calibri"/>
                <w:color w:val="FFFFFF" w:themeColor="background1"/>
                <w:sz w:val="18"/>
                <w:szCs w:val="18"/>
              </w:rPr>
              <w:t xml:space="preserve"> must</w:t>
            </w:r>
            <w:r w:rsidR="00E60250" w:rsidRPr="001D7E72">
              <w:rPr>
                <w:rFonts w:cs="Calibri"/>
                <w:color w:val="FFFFFF" w:themeColor="background1"/>
                <w:sz w:val="18"/>
                <w:szCs w:val="18"/>
              </w:rPr>
              <w:t xml:space="preserve"> be disclosed in an agency’s financial statements.</w:t>
            </w:r>
            <w:r w:rsidR="00FA7C77">
              <w:rPr>
                <w:rFonts w:cs="Calibri"/>
                <w:color w:val="FFFFFF" w:themeColor="background1"/>
                <w:sz w:val="18"/>
                <w:szCs w:val="18"/>
              </w:rPr>
              <w:t xml:space="preserve"> </w:t>
            </w:r>
            <w:r w:rsidR="00E60250" w:rsidRPr="001D7E72">
              <w:rPr>
                <w:rFonts w:cs="Calibri"/>
                <w:color w:val="FFFFFF" w:themeColor="background1"/>
                <w:sz w:val="18"/>
                <w:szCs w:val="18"/>
              </w:rPr>
              <w:t>Where applicable, the reconciliation must show details of movements as follows:</w:t>
            </w:r>
          </w:p>
          <w:p w14:paraId="70E172D4" w14:textId="77777777" w:rsidR="00E60250" w:rsidRPr="001D7E72" w:rsidRDefault="00E60250"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additions;</w:t>
            </w:r>
          </w:p>
          <w:p w14:paraId="13FF2EB3" w14:textId="77777777" w:rsidR="00E60250" w:rsidRPr="001D7E72" w:rsidRDefault="00E60250"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assets classified as held for sale or included in a disposal group held for sale;</w:t>
            </w:r>
          </w:p>
          <w:p w14:paraId="3FAF3576" w14:textId="77777777" w:rsidR="00E60250" w:rsidRPr="001D7E72" w:rsidRDefault="00E60250"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acquisitions through business combinations;</w:t>
            </w:r>
          </w:p>
          <w:p w14:paraId="3FA2BEB1" w14:textId="77777777" w:rsidR="00E60250" w:rsidRPr="001D7E72" w:rsidRDefault="00E60250"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increases or decreases in other comprehensive income resulting from revaluations, impairment losses and impairment losses reversed;</w:t>
            </w:r>
          </w:p>
          <w:p w14:paraId="617A696F" w14:textId="77777777" w:rsidR="00E60250" w:rsidRPr="001D7E72" w:rsidRDefault="00E60250"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impairment losses, or impairment losses reversed, in profit and loss;</w:t>
            </w:r>
          </w:p>
          <w:p w14:paraId="302BBF10" w14:textId="77777777" w:rsidR="00E60250" w:rsidRPr="001D7E72" w:rsidRDefault="00E60250"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depreciation; and</w:t>
            </w:r>
          </w:p>
          <w:p w14:paraId="194D8655" w14:textId="77777777" w:rsidR="00E60250" w:rsidRPr="001D7E72" w:rsidRDefault="00E60250"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1D7E72">
              <w:rPr>
                <w:rFonts w:cs="Calibri"/>
                <w:color w:val="FFFFFF" w:themeColor="background1"/>
                <w:sz w:val="18"/>
                <w:szCs w:val="18"/>
              </w:rPr>
              <w:t>other changes.</w:t>
            </w:r>
          </w:p>
        </w:tc>
      </w:tr>
      <w:tr w:rsidR="00320465" w:rsidRPr="00CF7E1B" w14:paraId="0FF201F7"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55ED9735" w14:textId="77777777" w:rsidR="00320465" w:rsidRPr="001D7E72" w:rsidRDefault="00320465" w:rsidP="00320465">
            <w:pPr>
              <w:pStyle w:val="TableReference"/>
              <w:tabs>
                <w:tab w:val="left" w:pos="3306"/>
              </w:tabs>
              <w:spacing w:before="60"/>
              <w:rPr>
                <w:rFonts w:cs="Calibri"/>
                <w:color w:val="7030A0"/>
                <w:sz w:val="14"/>
              </w:rPr>
            </w:pPr>
          </w:p>
        </w:tc>
        <w:tc>
          <w:tcPr>
            <w:tcW w:w="4254" w:type="pct"/>
            <w:tcBorders>
              <w:left w:val="single" w:sz="4" w:space="0" w:color="auto"/>
            </w:tcBorders>
            <w:shd w:val="clear" w:color="auto" w:fill="7030A0"/>
            <w:vAlign w:val="bottom"/>
          </w:tcPr>
          <w:p w14:paraId="16CEA08D" w14:textId="33108EA5" w:rsidR="00320465" w:rsidRPr="00D31168" w:rsidRDefault="00320465" w:rsidP="00320465">
            <w:pPr>
              <w:pStyle w:val="CommentaryText"/>
              <w:tabs>
                <w:tab w:val="left" w:pos="3306"/>
              </w:tabs>
              <w:spacing w:after="40"/>
              <w:rPr>
                <w:rFonts w:cs="Calibri"/>
                <w:strike/>
                <w:color w:val="FFFFFF" w:themeColor="background1"/>
                <w:szCs w:val="20"/>
              </w:rPr>
            </w:pPr>
            <w:r w:rsidRPr="00D31168">
              <w:rPr>
                <w:rFonts w:cs="Calibri"/>
                <w:i/>
                <w:iCs/>
                <w:color w:val="FFFFFF" w:themeColor="background1"/>
                <w:szCs w:val="20"/>
              </w:rPr>
              <w:t>Reconciliation of Level 3 Property, Plant and Equipment</w:t>
            </w:r>
          </w:p>
        </w:tc>
      </w:tr>
      <w:tr w:rsidR="00320465" w:rsidRPr="00CF7E1B" w14:paraId="1FA38B0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618CEECB" w14:textId="1A5059D6" w:rsidR="00320465" w:rsidRPr="001D7E72" w:rsidRDefault="00320465" w:rsidP="00320465">
            <w:pPr>
              <w:pStyle w:val="TableReference"/>
              <w:tabs>
                <w:tab w:val="left" w:pos="3306"/>
              </w:tabs>
              <w:spacing w:before="60"/>
              <w:rPr>
                <w:rFonts w:cs="Calibri"/>
                <w:color w:val="7030A0"/>
                <w:sz w:val="14"/>
              </w:rPr>
            </w:pPr>
            <w:r w:rsidRPr="001D7E72">
              <w:rPr>
                <w:rFonts w:cs="Calibri"/>
                <w:color w:val="7030A0"/>
              </w:rPr>
              <w:t>AASB 13.93(e)</w:t>
            </w:r>
          </w:p>
        </w:tc>
        <w:tc>
          <w:tcPr>
            <w:tcW w:w="4254" w:type="pct"/>
            <w:tcBorders>
              <w:left w:val="single" w:sz="4" w:space="0" w:color="auto"/>
            </w:tcBorders>
            <w:shd w:val="clear" w:color="auto" w:fill="7030A0"/>
            <w:vAlign w:val="bottom"/>
          </w:tcPr>
          <w:p w14:paraId="17931E31" w14:textId="77777777" w:rsidR="00320465" w:rsidRPr="001D7E72" w:rsidRDefault="00320465" w:rsidP="00320465">
            <w:pPr>
              <w:pStyle w:val="CommentaryText"/>
              <w:rPr>
                <w:rFonts w:cs="Calibri"/>
                <w:color w:val="FFFFFF" w:themeColor="background1"/>
                <w:sz w:val="18"/>
                <w:szCs w:val="18"/>
              </w:rPr>
            </w:pPr>
            <w:r w:rsidRPr="001D7E72">
              <w:rPr>
                <w:rFonts w:cs="Calibri"/>
                <w:color w:val="FFFFFF" w:themeColor="background1"/>
                <w:sz w:val="18"/>
                <w:szCs w:val="18"/>
              </w:rPr>
              <w:t>Agencies shall provide a reconciliation from the opening balances to the closing balances, disclosing separately changes during the period attributable to the following:</w:t>
            </w:r>
          </w:p>
          <w:p w14:paraId="01FA012A" w14:textId="5270A3E8" w:rsidR="00320465"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total gains or losses for the period recognised in the operating result by line item;</w:t>
            </w:r>
          </w:p>
          <w:p w14:paraId="6F0B670C" w14:textId="39FC8132" w:rsidR="00320465"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total gains or losses for the period recognised in other comprehensive income by line item;</w:t>
            </w:r>
          </w:p>
          <w:p w14:paraId="237D1972" w14:textId="5BB8FEE3" w:rsidR="00320465" w:rsidRPr="001D7E72"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1D7E72">
              <w:rPr>
                <w:rFonts w:cs="Calibri"/>
                <w:color w:val="FFFFFF" w:themeColor="background1"/>
                <w:sz w:val="18"/>
                <w:szCs w:val="18"/>
              </w:rPr>
              <w:t>purchases, sales, issues and settlements (each disclosed separately);</w:t>
            </w:r>
            <w:r w:rsidR="00773769">
              <w:rPr>
                <w:rFonts w:cs="Calibri"/>
                <w:color w:val="FFFFFF" w:themeColor="background1"/>
                <w:sz w:val="18"/>
                <w:szCs w:val="18"/>
              </w:rPr>
              <w:t xml:space="preserve"> and</w:t>
            </w:r>
          </w:p>
          <w:p w14:paraId="76B1D775" w14:textId="3906BFF4" w:rsidR="00320465" w:rsidRPr="001D7E72" w:rsidRDefault="00320465" w:rsidP="007122BC">
            <w:pPr>
              <w:pStyle w:val="CommentaryText"/>
              <w:keepNext/>
              <w:keepLines/>
              <w:numPr>
                <w:ilvl w:val="0"/>
                <w:numId w:val="53"/>
              </w:numPr>
              <w:tabs>
                <w:tab w:val="left" w:pos="3306"/>
              </w:tabs>
              <w:spacing w:after="0"/>
              <w:ind w:left="463"/>
              <w:rPr>
                <w:rFonts w:cs="Calibri"/>
                <w:strike/>
                <w:color w:val="FFFFFF" w:themeColor="background1"/>
                <w:sz w:val="18"/>
                <w:szCs w:val="18"/>
              </w:rPr>
            </w:pPr>
            <w:r w:rsidRPr="001D7E72">
              <w:rPr>
                <w:rFonts w:cs="Calibri"/>
                <w:color w:val="FFFFFF" w:themeColor="background1"/>
                <w:sz w:val="18"/>
                <w:szCs w:val="18"/>
              </w:rPr>
              <w:t>the amounts of any transfers into or out of level 3, the reasons for those transfers and the policy for determining when transfers between levels are deemed to have occurred.</w:t>
            </w:r>
            <w:r w:rsidR="00FA7C77">
              <w:rPr>
                <w:rFonts w:cs="Calibri"/>
                <w:color w:val="FFFFFF" w:themeColor="background1"/>
                <w:sz w:val="18"/>
                <w:szCs w:val="18"/>
              </w:rPr>
              <w:t xml:space="preserve"> </w:t>
            </w:r>
            <w:r w:rsidRPr="001D7E72">
              <w:rPr>
                <w:rFonts w:cs="Calibri"/>
                <w:color w:val="FFFFFF" w:themeColor="background1"/>
                <w:sz w:val="18"/>
                <w:szCs w:val="18"/>
              </w:rPr>
              <w:t>Transfers into Level 3 shall be disclosed and discussed separately from transfers out of Level 3.</w:t>
            </w:r>
          </w:p>
        </w:tc>
      </w:tr>
      <w:tr w:rsidR="00320465" w:rsidRPr="00CF7E1B" w14:paraId="0C094890"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Look w:val="0000" w:firstRow="0" w:lastRow="0" w:firstColumn="0" w:lastColumn="0" w:noHBand="0" w:noVBand="0"/>
        </w:tblPrEx>
        <w:trPr>
          <w:trHeight w:val="283"/>
        </w:trPr>
        <w:tc>
          <w:tcPr>
            <w:tcW w:w="746" w:type="pct"/>
            <w:tcBorders>
              <w:left w:val="single" w:sz="4" w:space="0" w:color="auto"/>
              <w:right w:val="single" w:sz="4" w:space="0" w:color="auto"/>
            </w:tcBorders>
          </w:tcPr>
          <w:p w14:paraId="4E7F3253" w14:textId="77777777" w:rsidR="00320465" w:rsidRPr="001D7E72" w:rsidRDefault="00320465" w:rsidP="00320465">
            <w:pPr>
              <w:pStyle w:val="TableReference"/>
              <w:spacing w:before="60"/>
              <w:rPr>
                <w:rFonts w:cs="Calibri"/>
                <w:color w:val="7030A0"/>
                <w:sz w:val="14"/>
              </w:rPr>
            </w:pPr>
            <w:r w:rsidRPr="001D7E72">
              <w:rPr>
                <w:rFonts w:cs="Calibri"/>
                <w:color w:val="7030A0"/>
                <w:sz w:val="14"/>
              </w:rPr>
              <w:t>AASB 116.74(a)</w:t>
            </w:r>
          </w:p>
        </w:tc>
        <w:tc>
          <w:tcPr>
            <w:tcW w:w="4254" w:type="pct"/>
            <w:tcBorders>
              <w:left w:val="single" w:sz="4" w:space="0" w:color="auto"/>
            </w:tcBorders>
            <w:shd w:val="clear" w:color="auto" w:fill="7030A0"/>
          </w:tcPr>
          <w:p w14:paraId="00BA7438" w14:textId="520D9E4C" w:rsidR="00320465" w:rsidRPr="001D7E72" w:rsidRDefault="00320465" w:rsidP="00320465">
            <w:pPr>
              <w:pStyle w:val="CommentaryText"/>
              <w:rPr>
                <w:rFonts w:cs="Calibri"/>
                <w:color w:val="FFFFFF" w:themeColor="background1"/>
                <w:sz w:val="18"/>
                <w:szCs w:val="18"/>
              </w:rPr>
            </w:pPr>
            <w:r w:rsidRPr="001D7E72">
              <w:rPr>
                <w:rFonts w:cs="Calibri"/>
                <w:color w:val="FFFFFF" w:themeColor="background1"/>
                <w:sz w:val="18"/>
                <w:szCs w:val="18"/>
              </w:rPr>
              <w:t>Agencies must disclose information about the carrying amount of any non-current assets pledged as security for liabilities and the existence and amounts of any restrictions on title.</w:t>
            </w:r>
          </w:p>
        </w:tc>
      </w:tr>
      <w:tr w:rsidR="00320465" w:rsidRPr="00C41F18" w14:paraId="693A595B" w14:textId="77777777" w:rsidTr="005F5B4C">
        <w:tblPrEx>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27295A1D" w14:textId="77777777" w:rsidR="00320465" w:rsidRPr="001D7E72" w:rsidRDefault="00320465" w:rsidP="00320465">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7872DAA1" w14:textId="77777777" w:rsidR="00320465" w:rsidRPr="00D31168" w:rsidRDefault="00320465" w:rsidP="00320465">
            <w:pPr>
              <w:pStyle w:val="CommentaryText"/>
              <w:spacing w:after="0"/>
              <w:rPr>
                <w:rFonts w:cs="Calibri"/>
                <w:b/>
                <w:bCs/>
                <w:color w:val="FFFFFF" w:themeColor="background1"/>
                <w:szCs w:val="20"/>
              </w:rPr>
            </w:pPr>
            <w:r w:rsidRPr="00D31168">
              <w:rPr>
                <w:rFonts w:cs="Calibri"/>
                <w:b/>
                <w:bCs/>
                <w:color w:val="FFFFFF" w:themeColor="background1"/>
                <w:szCs w:val="20"/>
              </w:rPr>
              <w:t>Measurement</w:t>
            </w:r>
          </w:p>
        </w:tc>
      </w:tr>
      <w:tr w:rsidR="00320465" w:rsidRPr="00C41F18" w14:paraId="70B8D0A9" w14:textId="77777777" w:rsidTr="005F5B4C">
        <w:tblPrEx>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0D3B77E1" w14:textId="77777777" w:rsidR="00320465" w:rsidRPr="001D7E72" w:rsidRDefault="00320465" w:rsidP="00320465">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vAlign w:val="bottom"/>
          </w:tcPr>
          <w:p w14:paraId="3D729B33" w14:textId="645BFE66" w:rsidR="00320465" w:rsidRPr="00D31168" w:rsidRDefault="00320465" w:rsidP="00320465">
            <w:pPr>
              <w:pStyle w:val="CommentaryText"/>
              <w:spacing w:after="0"/>
              <w:rPr>
                <w:rFonts w:cs="Calibri"/>
                <w:i/>
                <w:iCs/>
                <w:color w:val="FFFFFF" w:themeColor="background1"/>
                <w:szCs w:val="20"/>
              </w:rPr>
            </w:pPr>
            <w:r w:rsidRPr="00D31168">
              <w:rPr>
                <w:rFonts w:cs="Calibri"/>
                <w:i/>
                <w:iCs/>
                <w:color w:val="FFFFFF" w:themeColor="background1"/>
                <w:szCs w:val="20"/>
              </w:rPr>
              <w:t>Initial Measurement</w:t>
            </w:r>
          </w:p>
        </w:tc>
      </w:tr>
      <w:tr w:rsidR="00320465" w:rsidRPr="003E28E6" w14:paraId="718FCD8C" w14:textId="77777777" w:rsidTr="005F5B4C">
        <w:tblPrEx>
          <w:tblLook w:val="00A0" w:firstRow="1" w:lastRow="0" w:firstColumn="1" w:lastColumn="0" w:noHBand="0" w:noVBand="0"/>
        </w:tblPrEx>
        <w:trPr>
          <w:trHeight w:val="23"/>
        </w:trPr>
        <w:tc>
          <w:tcPr>
            <w:tcW w:w="746" w:type="pct"/>
            <w:tcBorders>
              <w:top w:val="nil"/>
              <w:left w:val="single" w:sz="4" w:space="0" w:color="auto"/>
              <w:bottom w:val="nil"/>
              <w:right w:val="single" w:sz="4" w:space="0" w:color="auto"/>
            </w:tcBorders>
          </w:tcPr>
          <w:p w14:paraId="6F886AE8" w14:textId="77777777" w:rsidR="00320465" w:rsidRPr="001D7E72" w:rsidRDefault="00320465" w:rsidP="00320465">
            <w:pPr>
              <w:pStyle w:val="TableReference"/>
              <w:tabs>
                <w:tab w:val="left" w:pos="3306"/>
              </w:tabs>
              <w:spacing w:before="60"/>
              <w:rPr>
                <w:rFonts w:cs="Calibri"/>
                <w:color w:val="7030A0"/>
                <w:sz w:val="14"/>
              </w:rPr>
            </w:pPr>
          </w:p>
        </w:tc>
        <w:tc>
          <w:tcPr>
            <w:tcW w:w="4254" w:type="pct"/>
            <w:tcBorders>
              <w:top w:val="nil"/>
              <w:left w:val="single" w:sz="4" w:space="0" w:color="auto"/>
              <w:bottom w:val="nil"/>
              <w:right w:val="nil"/>
            </w:tcBorders>
            <w:shd w:val="clear" w:color="auto" w:fill="7030A0"/>
          </w:tcPr>
          <w:p w14:paraId="5F7A4AAE" w14:textId="368AA445" w:rsidR="00320465" w:rsidRPr="001D7E72" w:rsidRDefault="006E7FE9" w:rsidP="00320465">
            <w:pPr>
              <w:pStyle w:val="CommentaryText"/>
              <w:rPr>
                <w:rFonts w:cs="Calibri"/>
                <w:color w:val="FFFFFF" w:themeColor="background1"/>
                <w:sz w:val="18"/>
                <w:szCs w:val="18"/>
              </w:rPr>
            </w:pPr>
            <w:r>
              <w:rPr>
                <w:color w:val="FFFFFF" w:themeColor="background1"/>
                <w:sz w:val="18"/>
                <w:szCs w:val="18"/>
              </w:rPr>
              <w:t>Property, Plant and Equipment</w:t>
            </w:r>
            <w:r w:rsidR="00320465" w:rsidRPr="001D7E72">
              <w:rPr>
                <w:color w:val="FFFFFF" w:themeColor="background1"/>
                <w:sz w:val="18"/>
                <w:szCs w:val="18"/>
              </w:rPr>
              <w:t xml:space="preserve"> are initially recorded at cost, with service concession assets initially measured at current replacement cost.</w:t>
            </w:r>
          </w:p>
        </w:tc>
      </w:tr>
    </w:tbl>
    <w:p w14:paraId="4C824E1D" w14:textId="77777777" w:rsidR="000F51E0" w:rsidRDefault="000F51E0">
      <w:r>
        <w:br w:type="page"/>
      </w:r>
    </w:p>
    <w:tbl>
      <w:tblPr>
        <w:tblW w:w="5275"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6"/>
        <w:gridCol w:w="8929"/>
      </w:tblGrid>
      <w:tr w:rsidR="00B33CD5" w:rsidRPr="003E28E6" w14:paraId="1DCBDD99" w14:textId="77777777" w:rsidTr="005F5B4C">
        <w:trPr>
          <w:trHeight w:val="23"/>
        </w:trPr>
        <w:tc>
          <w:tcPr>
            <w:tcW w:w="746" w:type="pct"/>
            <w:tcBorders>
              <w:top w:val="nil"/>
              <w:left w:val="single" w:sz="2" w:space="0" w:color="auto"/>
              <w:bottom w:val="nil"/>
              <w:right w:val="single" w:sz="2" w:space="0" w:color="auto"/>
            </w:tcBorders>
          </w:tcPr>
          <w:p w14:paraId="5D4536CF" w14:textId="4F92C452" w:rsidR="00B33CD5" w:rsidRPr="00B33CD5" w:rsidRDefault="00B33CD5" w:rsidP="000F51E0">
            <w:pPr>
              <w:pStyle w:val="NormalSFLeadIn"/>
              <w:spacing w:before="0" w:after="240"/>
              <w:rPr>
                <w:b/>
                <w:bCs/>
                <w:color w:val="7030A0"/>
                <w:sz w:val="14"/>
              </w:rPr>
            </w:pPr>
            <w:r w:rsidRPr="00B33CD5">
              <w:rPr>
                <w:b/>
                <w:bCs/>
                <w:color w:val="7030A0"/>
              </w:rPr>
              <w:t>Reference</w:t>
            </w:r>
          </w:p>
        </w:tc>
        <w:tc>
          <w:tcPr>
            <w:tcW w:w="4254" w:type="pct"/>
            <w:tcBorders>
              <w:top w:val="nil"/>
              <w:left w:val="single" w:sz="2" w:space="0" w:color="auto"/>
              <w:bottom w:val="nil"/>
              <w:right w:val="nil"/>
            </w:tcBorders>
            <w:shd w:val="clear" w:color="auto" w:fill="7030A0"/>
            <w:vAlign w:val="bottom"/>
          </w:tcPr>
          <w:p w14:paraId="43548DAC" w14:textId="46D7F8D8" w:rsidR="00B33CD5" w:rsidRPr="00B33CD5" w:rsidRDefault="00B33CD5" w:rsidP="000F51E0">
            <w:pPr>
              <w:pStyle w:val="TableText"/>
              <w:spacing w:before="0" w:after="240"/>
              <w:jc w:val="both"/>
              <w:rPr>
                <w:rFonts w:cs="Calibri"/>
                <w:b/>
                <w:bCs/>
                <w:color w:val="FFFFFF" w:themeColor="background1"/>
              </w:rPr>
            </w:pPr>
            <w:r w:rsidRPr="00B33CD5">
              <w:rPr>
                <w:rFonts w:cs="Calibri"/>
                <w:b/>
                <w:bCs/>
                <w:color w:val="FFFFFF" w:themeColor="background1"/>
                <w:sz w:val="28"/>
                <w:szCs w:val="28"/>
              </w:rPr>
              <w:t>Commentary – Note 19: Property, Plant and Equipment</w:t>
            </w:r>
            <w:r w:rsidR="00EF02F9">
              <w:rPr>
                <w:rFonts w:cs="Calibri"/>
                <w:b/>
                <w:bCs/>
                <w:color w:val="FFFFFF" w:themeColor="background1"/>
                <w:sz w:val="28"/>
                <w:szCs w:val="28"/>
              </w:rPr>
              <w:t xml:space="preserve"> </w:t>
            </w:r>
            <w:r w:rsidR="000F51E0">
              <w:rPr>
                <w:rFonts w:cs="Calibri"/>
                <w:b/>
                <w:bCs/>
                <w:color w:val="FFFFFF" w:themeColor="background1"/>
                <w:sz w:val="28"/>
                <w:szCs w:val="28"/>
              </w:rPr>
              <w:t>–</w:t>
            </w:r>
            <w:r w:rsidR="00EF02F9">
              <w:rPr>
                <w:rFonts w:cs="Calibri"/>
                <w:b/>
                <w:bCs/>
                <w:color w:val="FFFFFF" w:themeColor="background1"/>
                <w:sz w:val="28"/>
                <w:szCs w:val="28"/>
              </w:rPr>
              <w:t xml:space="preserve"> Continued</w:t>
            </w:r>
            <w:r w:rsidR="000F51E0">
              <w:rPr>
                <w:rFonts w:cs="Calibri"/>
                <w:b/>
                <w:bCs/>
                <w:color w:val="FFFFFF" w:themeColor="background1"/>
                <w:sz w:val="28"/>
                <w:szCs w:val="28"/>
              </w:rPr>
              <w:t xml:space="preserve"> </w:t>
            </w:r>
          </w:p>
        </w:tc>
      </w:tr>
      <w:tr w:rsidR="00320465" w:rsidRPr="003E28E6" w14:paraId="451D773F" w14:textId="77777777" w:rsidTr="005F5B4C">
        <w:trPr>
          <w:trHeight w:val="23"/>
        </w:trPr>
        <w:tc>
          <w:tcPr>
            <w:tcW w:w="746" w:type="pct"/>
            <w:tcBorders>
              <w:top w:val="nil"/>
              <w:left w:val="single" w:sz="2" w:space="0" w:color="auto"/>
              <w:bottom w:val="nil"/>
              <w:right w:val="single" w:sz="2" w:space="0" w:color="auto"/>
            </w:tcBorders>
          </w:tcPr>
          <w:p w14:paraId="6800E537" w14:textId="304EFD90" w:rsidR="00320465" w:rsidRPr="00B33CD5" w:rsidRDefault="00320465" w:rsidP="00320465">
            <w:pPr>
              <w:pStyle w:val="TableReference"/>
              <w:tabs>
                <w:tab w:val="left" w:pos="3306"/>
              </w:tabs>
              <w:spacing w:before="60"/>
              <w:rPr>
                <w:rFonts w:cs="Calibri"/>
                <w:color w:val="7030A0"/>
                <w:sz w:val="14"/>
              </w:rPr>
            </w:pPr>
            <w:r w:rsidRPr="00B33CD5">
              <w:rPr>
                <w:rFonts w:cs="Calibri"/>
                <w:color w:val="7030A0"/>
                <w:sz w:val="14"/>
              </w:rPr>
              <w:t>AASB 116.16</w:t>
            </w:r>
          </w:p>
        </w:tc>
        <w:tc>
          <w:tcPr>
            <w:tcW w:w="4254" w:type="pct"/>
            <w:tcBorders>
              <w:top w:val="nil"/>
              <w:left w:val="single" w:sz="2" w:space="0" w:color="auto"/>
              <w:bottom w:val="nil"/>
              <w:right w:val="nil"/>
            </w:tcBorders>
            <w:shd w:val="clear" w:color="auto" w:fill="7030A0"/>
            <w:vAlign w:val="bottom"/>
          </w:tcPr>
          <w:p w14:paraId="61624372" w14:textId="77777777" w:rsidR="00320465" w:rsidRPr="000F51E0" w:rsidRDefault="00320465" w:rsidP="000F51E0">
            <w:pPr>
              <w:pStyle w:val="CommentaryText"/>
              <w:keepNext/>
              <w:keepLines/>
              <w:tabs>
                <w:tab w:val="left" w:pos="3306"/>
              </w:tabs>
              <w:spacing w:after="0"/>
              <w:rPr>
                <w:rFonts w:cs="Calibri"/>
                <w:color w:val="FFFFFF" w:themeColor="background1"/>
                <w:sz w:val="18"/>
                <w:szCs w:val="18"/>
              </w:rPr>
            </w:pPr>
            <w:r w:rsidRPr="000F51E0">
              <w:rPr>
                <w:rFonts w:cs="Calibri"/>
                <w:color w:val="FFFFFF" w:themeColor="background1"/>
                <w:sz w:val="18"/>
                <w:szCs w:val="18"/>
              </w:rPr>
              <w:t>The cost of an item of property, plant and equipment comprises:</w:t>
            </w:r>
          </w:p>
          <w:p w14:paraId="11C246DB" w14:textId="77777777" w:rsidR="00320465" w:rsidRPr="000F51E0"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its purchase price;</w:t>
            </w:r>
          </w:p>
          <w:p w14:paraId="3F35E10C" w14:textId="77777777" w:rsidR="00320465" w:rsidRPr="000F51E0"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any directly attributable costs; and</w:t>
            </w:r>
          </w:p>
          <w:p w14:paraId="05666AD7" w14:textId="3674F05D" w:rsidR="00320465" w:rsidRPr="000F51E0" w:rsidRDefault="00320465"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0F51E0">
              <w:rPr>
                <w:rFonts w:cs="Calibri"/>
                <w:color w:val="FFFFFF" w:themeColor="background1"/>
                <w:sz w:val="18"/>
                <w:szCs w:val="18"/>
              </w:rPr>
              <w:t>the initial estimate of the costs of dismantling and removing the item and restoring the site on which it is located.</w:t>
            </w:r>
          </w:p>
        </w:tc>
      </w:tr>
      <w:tr w:rsidR="00320465" w:rsidRPr="003E28E6" w14:paraId="0C43B60D" w14:textId="77777777" w:rsidTr="005F5B4C">
        <w:trPr>
          <w:trHeight w:val="23"/>
        </w:trPr>
        <w:tc>
          <w:tcPr>
            <w:tcW w:w="746" w:type="pct"/>
            <w:tcBorders>
              <w:top w:val="nil"/>
              <w:left w:val="single" w:sz="2" w:space="0" w:color="auto"/>
              <w:bottom w:val="nil"/>
              <w:right w:val="single" w:sz="2" w:space="0" w:color="auto"/>
            </w:tcBorders>
          </w:tcPr>
          <w:p w14:paraId="634B2976" w14:textId="77777777" w:rsidR="00320465" w:rsidRPr="00B33CD5" w:rsidRDefault="00320465" w:rsidP="0032046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46D802E2" w14:textId="77777777" w:rsidR="00320465" w:rsidRPr="00B33CD5" w:rsidRDefault="00320465" w:rsidP="007A1AA8">
            <w:pPr>
              <w:pStyle w:val="CommentaryText"/>
              <w:spacing w:after="40"/>
              <w:rPr>
                <w:rFonts w:cs="Calibri"/>
                <w:color w:val="FFFFFF" w:themeColor="background1"/>
                <w:sz w:val="18"/>
                <w:szCs w:val="18"/>
              </w:rPr>
            </w:pPr>
            <w:r w:rsidRPr="00B33CD5">
              <w:rPr>
                <w:rFonts w:cs="Calibri"/>
                <w:color w:val="FFFFFF" w:themeColor="background1"/>
                <w:sz w:val="18"/>
                <w:szCs w:val="18"/>
              </w:rPr>
              <w:t>Right-of-use assets are initially measured at cost including the following:</w:t>
            </w:r>
          </w:p>
          <w:p w14:paraId="67F361AE" w14:textId="77777777" w:rsidR="00320465" w:rsidRPr="00B33CD5"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amount of the initial measurement of the lease liability;</w:t>
            </w:r>
          </w:p>
          <w:p w14:paraId="7EF73848" w14:textId="77777777" w:rsidR="00320465" w:rsidRPr="00B33CD5"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any lease payments made at or before the commencement date less any lease incentives received;</w:t>
            </w:r>
          </w:p>
          <w:p w14:paraId="6D372DD2" w14:textId="5E1F70F8" w:rsidR="00320465" w:rsidRPr="00B33CD5"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any initial direct costs; and </w:t>
            </w:r>
          </w:p>
          <w:p w14:paraId="55828C0D" w14:textId="78E5C14E" w:rsidR="00320465" w:rsidRPr="00B33CD5" w:rsidRDefault="00320465"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restoration costs, including dismantling and removing the underlying asset.</w:t>
            </w:r>
          </w:p>
        </w:tc>
      </w:tr>
      <w:tr w:rsidR="00320465" w:rsidRPr="003E28E6" w14:paraId="2D46A1AC" w14:textId="77777777" w:rsidTr="005F5B4C">
        <w:trPr>
          <w:trHeight w:val="23"/>
        </w:trPr>
        <w:tc>
          <w:tcPr>
            <w:tcW w:w="746" w:type="pct"/>
            <w:tcBorders>
              <w:top w:val="nil"/>
              <w:left w:val="single" w:sz="2" w:space="0" w:color="auto"/>
              <w:bottom w:val="nil"/>
              <w:right w:val="single" w:sz="2" w:space="0" w:color="auto"/>
            </w:tcBorders>
          </w:tcPr>
          <w:p w14:paraId="1D25BE0F" w14:textId="77777777" w:rsidR="00320465" w:rsidRPr="00B33CD5" w:rsidRDefault="00320465" w:rsidP="0032046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4BF9127A" w14:textId="293AE6BD" w:rsidR="00320465" w:rsidRPr="000F51E0" w:rsidRDefault="00320465" w:rsidP="00320465">
            <w:pPr>
              <w:pStyle w:val="CommentaryText"/>
              <w:spacing w:after="0"/>
              <w:rPr>
                <w:rFonts w:cs="Calibri"/>
                <w:i/>
                <w:iCs/>
                <w:color w:val="FFFFFF" w:themeColor="background1"/>
                <w:szCs w:val="20"/>
              </w:rPr>
            </w:pPr>
            <w:r w:rsidRPr="000F51E0">
              <w:rPr>
                <w:rFonts w:cs="Calibri"/>
                <w:i/>
                <w:iCs/>
                <w:color w:val="FFFFFF" w:themeColor="background1"/>
                <w:szCs w:val="20"/>
              </w:rPr>
              <w:t xml:space="preserve">Subsequent Measurement </w:t>
            </w:r>
          </w:p>
        </w:tc>
      </w:tr>
      <w:tr w:rsidR="00320465" w:rsidRPr="003E28E6" w14:paraId="14C7A7CA" w14:textId="77777777" w:rsidTr="005F5B4C">
        <w:trPr>
          <w:trHeight w:val="23"/>
        </w:trPr>
        <w:tc>
          <w:tcPr>
            <w:tcW w:w="746" w:type="pct"/>
            <w:tcBorders>
              <w:top w:val="nil"/>
              <w:left w:val="single" w:sz="2" w:space="0" w:color="auto"/>
              <w:bottom w:val="nil"/>
              <w:right w:val="single" w:sz="2" w:space="0" w:color="auto"/>
            </w:tcBorders>
          </w:tcPr>
          <w:p w14:paraId="7E82F676" w14:textId="77777777" w:rsidR="00320465" w:rsidRPr="00B33CD5" w:rsidRDefault="00320465" w:rsidP="00320465">
            <w:pPr>
              <w:pStyle w:val="TableReference"/>
              <w:tabs>
                <w:tab w:val="left" w:pos="3306"/>
              </w:tabs>
              <w:spacing w:before="60"/>
              <w:rPr>
                <w:rFonts w:cs="Calibri"/>
                <w:color w:val="7030A0"/>
                <w:sz w:val="14"/>
              </w:rPr>
            </w:pPr>
            <w:r w:rsidRPr="00B33CD5">
              <w:rPr>
                <w:rFonts w:cs="Calibri"/>
                <w:color w:val="7030A0"/>
                <w:sz w:val="14"/>
              </w:rPr>
              <w:t>ACT Accounting Policy</w:t>
            </w:r>
          </w:p>
          <w:p w14:paraId="0135F71F" w14:textId="77777777" w:rsidR="00320465" w:rsidRPr="00B33CD5" w:rsidRDefault="00320465" w:rsidP="0032046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0E560342" w14:textId="1337C3B4" w:rsidR="00320465" w:rsidRPr="00B33CD5" w:rsidRDefault="00320465" w:rsidP="00320465">
            <w:pPr>
              <w:pStyle w:val="CommentaryText"/>
              <w:rPr>
                <w:rFonts w:cs="Calibri"/>
                <w:strike/>
                <w:color w:val="FFFFFF" w:themeColor="background1"/>
                <w:sz w:val="18"/>
                <w:szCs w:val="18"/>
              </w:rPr>
            </w:pPr>
            <w:r w:rsidRPr="00B33CD5">
              <w:rPr>
                <w:rFonts w:cs="Calibri"/>
                <w:color w:val="FFFFFF" w:themeColor="background1"/>
                <w:sz w:val="18"/>
                <w:szCs w:val="18"/>
              </w:rPr>
              <w:t>Agencies are required to measure all land, buildings, infrastructure assets and community and heritage assets at fair value.</w:t>
            </w:r>
            <w:r w:rsidR="00FA7C77">
              <w:rPr>
                <w:rFonts w:cs="Calibri"/>
                <w:color w:val="FFFFFF" w:themeColor="background1"/>
                <w:sz w:val="18"/>
                <w:szCs w:val="18"/>
              </w:rPr>
              <w:t xml:space="preserve"> </w:t>
            </w:r>
            <w:r w:rsidRPr="00B33CD5">
              <w:rPr>
                <w:rFonts w:cs="Calibri"/>
                <w:color w:val="FFFFFF" w:themeColor="background1"/>
                <w:sz w:val="18"/>
                <w:szCs w:val="18"/>
              </w:rPr>
              <w:t xml:space="preserve">Plant and equipment, and leasehold improvements are to be measured at fair value when the value of these assets is used in making management decisions, and measured at cost or fair value when the value of these assets is not used to make management decisions. </w:t>
            </w:r>
          </w:p>
        </w:tc>
      </w:tr>
      <w:tr w:rsidR="00320465" w:rsidRPr="00675698" w14:paraId="198D7571" w14:textId="77777777" w:rsidTr="005F5B4C">
        <w:trPr>
          <w:trHeight w:val="351"/>
        </w:trPr>
        <w:tc>
          <w:tcPr>
            <w:tcW w:w="746" w:type="pct"/>
            <w:tcBorders>
              <w:top w:val="nil"/>
              <w:left w:val="single" w:sz="2" w:space="0" w:color="auto"/>
              <w:bottom w:val="nil"/>
              <w:right w:val="single" w:sz="2" w:space="0" w:color="auto"/>
            </w:tcBorders>
          </w:tcPr>
          <w:p w14:paraId="3C3047C4" w14:textId="1214EB06" w:rsidR="00320465" w:rsidRPr="00B33CD5" w:rsidRDefault="00320465" w:rsidP="00320465">
            <w:pPr>
              <w:pStyle w:val="TableReference"/>
              <w:tabs>
                <w:tab w:val="left" w:pos="3306"/>
              </w:tabs>
              <w:spacing w:before="60"/>
              <w:rPr>
                <w:rFonts w:cs="Calibri"/>
                <w:color w:val="7030A0"/>
                <w:sz w:val="14"/>
              </w:rPr>
            </w:pPr>
            <w:r w:rsidRPr="00B33CD5">
              <w:rPr>
                <w:rFonts w:cs="Calibri"/>
                <w:color w:val="7030A0"/>
                <w:sz w:val="14"/>
              </w:rPr>
              <w:t>ACT Accounting Policy</w:t>
            </w:r>
          </w:p>
        </w:tc>
        <w:tc>
          <w:tcPr>
            <w:tcW w:w="4254" w:type="pct"/>
            <w:tcBorders>
              <w:top w:val="nil"/>
              <w:left w:val="single" w:sz="2" w:space="0" w:color="auto"/>
              <w:bottom w:val="nil"/>
              <w:right w:val="nil"/>
            </w:tcBorders>
            <w:shd w:val="clear" w:color="auto" w:fill="7030A0"/>
          </w:tcPr>
          <w:p w14:paraId="233DEBD8" w14:textId="0795DD6E" w:rsidR="00320465" w:rsidRPr="00B33CD5" w:rsidRDefault="00320465" w:rsidP="00320465">
            <w:pPr>
              <w:pStyle w:val="CommentaryText"/>
              <w:jc w:val="left"/>
              <w:rPr>
                <w:rFonts w:cs="Calibri"/>
                <w:b/>
                <w:color w:val="FFFFFF" w:themeColor="background1"/>
                <w:sz w:val="18"/>
                <w:szCs w:val="18"/>
              </w:rPr>
            </w:pPr>
            <w:r w:rsidRPr="00B33CD5">
              <w:rPr>
                <w:rFonts w:cs="Calibri"/>
                <w:color w:val="FFFFFF" w:themeColor="background1"/>
                <w:sz w:val="18"/>
                <w:szCs w:val="18"/>
              </w:rPr>
              <w:t>Agencies are required to subsequently measure</w:t>
            </w:r>
            <w:r w:rsidR="007E70BB" w:rsidRPr="00B33CD5">
              <w:rPr>
                <w:rFonts w:cs="Calibri"/>
                <w:color w:val="FFFFFF" w:themeColor="background1"/>
                <w:sz w:val="18"/>
                <w:szCs w:val="18"/>
              </w:rPr>
              <w:t xml:space="preserve"> </w:t>
            </w:r>
            <w:r w:rsidRPr="00B33CD5">
              <w:rPr>
                <w:rFonts w:cs="Calibri"/>
                <w:color w:val="FFFFFF" w:themeColor="background1"/>
                <w:sz w:val="18"/>
                <w:szCs w:val="18"/>
              </w:rPr>
              <w:t xml:space="preserve">right-of-use assets at cost. </w:t>
            </w:r>
          </w:p>
        </w:tc>
      </w:tr>
      <w:tr w:rsidR="00320465" w:rsidRPr="00675698" w14:paraId="04B95CFC" w14:textId="77777777" w:rsidTr="005F5B4C">
        <w:trPr>
          <w:trHeight w:val="351"/>
        </w:trPr>
        <w:tc>
          <w:tcPr>
            <w:tcW w:w="746" w:type="pct"/>
            <w:tcBorders>
              <w:top w:val="nil"/>
              <w:left w:val="single" w:sz="2" w:space="0" w:color="auto"/>
              <w:bottom w:val="nil"/>
              <w:right w:val="single" w:sz="2" w:space="0" w:color="auto"/>
            </w:tcBorders>
          </w:tcPr>
          <w:p w14:paraId="0A759622" w14:textId="71990874" w:rsidR="00320465" w:rsidRPr="00B33CD5" w:rsidRDefault="00320465" w:rsidP="00320465">
            <w:pPr>
              <w:pStyle w:val="TableReference"/>
              <w:tabs>
                <w:tab w:val="left" w:pos="3306"/>
              </w:tabs>
              <w:spacing w:before="60"/>
              <w:rPr>
                <w:rFonts w:cs="Calibri"/>
                <w:color w:val="7030A0"/>
                <w:sz w:val="14"/>
              </w:rPr>
            </w:pPr>
            <w:r w:rsidRPr="00B33CD5">
              <w:rPr>
                <w:rFonts w:cs="Calibri"/>
                <w:color w:val="7030A0"/>
              </w:rPr>
              <w:t>AASB 13.91(a)</w:t>
            </w:r>
          </w:p>
        </w:tc>
        <w:tc>
          <w:tcPr>
            <w:tcW w:w="4254" w:type="pct"/>
            <w:tcBorders>
              <w:top w:val="nil"/>
              <w:left w:val="single" w:sz="2" w:space="0" w:color="auto"/>
              <w:bottom w:val="nil"/>
              <w:right w:val="nil"/>
            </w:tcBorders>
            <w:shd w:val="clear" w:color="auto" w:fill="7030A0"/>
            <w:vAlign w:val="bottom"/>
          </w:tcPr>
          <w:p w14:paraId="5C0D4914" w14:textId="16E637FD" w:rsidR="00320465" w:rsidRPr="00B33CD5" w:rsidRDefault="00320465" w:rsidP="00320465">
            <w:pPr>
              <w:pStyle w:val="CommentaryText"/>
              <w:spacing w:after="0"/>
              <w:rPr>
                <w:rFonts w:cs="Calibri"/>
                <w:b/>
                <w:color w:val="FFFFFF" w:themeColor="background1"/>
                <w:sz w:val="18"/>
                <w:szCs w:val="18"/>
              </w:rPr>
            </w:pPr>
            <w:r w:rsidRPr="00B33CD5">
              <w:rPr>
                <w:rFonts w:cs="Calibri"/>
                <w:color w:val="FFFFFF" w:themeColor="background1"/>
                <w:sz w:val="18"/>
                <w:szCs w:val="18"/>
              </w:rPr>
              <w:t>For assets and liabilities that are measured at fair value in the balance sheet after initial recognition, agencies shall disclose the valuation techniques and inputs used to determine fair value.</w:t>
            </w:r>
          </w:p>
        </w:tc>
      </w:tr>
      <w:tr w:rsidR="00320465" w:rsidRPr="00675698" w14:paraId="6A1A482D" w14:textId="77777777" w:rsidTr="005F5B4C">
        <w:trPr>
          <w:trHeight w:val="351"/>
        </w:trPr>
        <w:tc>
          <w:tcPr>
            <w:tcW w:w="746" w:type="pct"/>
            <w:tcBorders>
              <w:top w:val="nil"/>
              <w:left w:val="single" w:sz="2" w:space="0" w:color="auto"/>
              <w:bottom w:val="nil"/>
              <w:right w:val="single" w:sz="2" w:space="0" w:color="auto"/>
            </w:tcBorders>
          </w:tcPr>
          <w:p w14:paraId="0CC5E774" w14:textId="77777777" w:rsidR="00320465" w:rsidRPr="00B33CD5" w:rsidRDefault="00320465" w:rsidP="0032046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1F4D0DE2" w14:textId="0DA7CE9E" w:rsidR="00320465" w:rsidRPr="000F51E0" w:rsidRDefault="00320465" w:rsidP="00320465">
            <w:pPr>
              <w:pStyle w:val="CommentaryText"/>
              <w:spacing w:after="0"/>
              <w:rPr>
                <w:rFonts w:cs="Calibri"/>
                <w:color w:val="FFFFFF" w:themeColor="background1"/>
                <w:szCs w:val="20"/>
              </w:rPr>
            </w:pPr>
            <w:r w:rsidRPr="000F51E0">
              <w:rPr>
                <w:rFonts w:cs="Calibri"/>
                <w:b/>
                <w:color w:val="FFFFFF" w:themeColor="background1"/>
                <w:szCs w:val="20"/>
              </w:rPr>
              <w:t>Fair Value Disclosures</w:t>
            </w:r>
          </w:p>
        </w:tc>
      </w:tr>
      <w:tr w:rsidR="00320465" w:rsidRPr="00C41F18" w14:paraId="672D77B1"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49"/>
          <w:tblHeader/>
        </w:trPr>
        <w:tc>
          <w:tcPr>
            <w:tcW w:w="746" w:type="pct"/>
            <w:tcBorders>
              <w:left w:val="single" w:sz="2" w:space="0" w:color="auto"/>
              <w:right w:val="single" w:sz="2" w:space="0" w:color="auto"/>
            </w:tcBorders>
          </w:tcPr>
          <w:p w14:paraId="78AB8CFE" w14:textId="77777777" w:rsidR="00320465" w:rsidRPr="00B33CD5" w:rsidRDefault="00320465" w:rsidP="00320465">
            <w:pPr>
              <w:pStyle w:val="CommentaryReference"/>
              <w:rPr>
                <w:rFonts w:cs="Calibri"/>
                <w:color w:val="7030A0"/>
                <w:szCs w:val="14"/>
              </w:rPr>
            </w:pPr>
          </w:p>
        </w:tc>
        <w:tc>
          <w:tcPr>
            <w:tcW w:w="4254" w:type="pct"/>
            <w:tcBorders>
              <w:left w:val="single" w:sz="2" w:space="0" w:color="auto"/>
            </w:tcBorders>
            <w:shd w:val="clear" w:color="auto" w:fill="7030A0"/>
          </w:tcPr>
          <w:p w14:paraId="684CD8FE" w14:textId="77777777" w:rsidR="00320465" w:rsidRPr="000F51E0" w:rsidRDefault="00320465" w:rsidP="00320465">
            <w:pPr>
              <w:pStyle w:val="CommentaryText"/>
              <w:spacing w:before="60" w:after="40"/>
              <w:rPr>
                <w:rFonts w:cs="Calibri"/>
                <w:i/>
                <w:iCs/>
                <w:color w:val="FFFFFF" w:themeColor="background1"/>
                <w:szCs w:val="20"/>
              </w:rPr>
            </w:pPr>
            <w:r w:rsidRPr="000F51E0">
              <w:rPr>
                <w:rFonts w:cs="Calibri"/>
                <w:i/>
                <w:iCs/>
                <w:color w:val="FFFFFF" w:themeColor="background1"/>
                <w:szCs w:val="20"/>
              </w:rPr>
              <w:t>Valuation Techniques</w:t>
            </w:r>
          </w:p>
        </w:tc>
      </w:tr>
      <w:tr w:rsidR="00320465" w:rsidRPr="00C41F18" w14:paraId="1EE43DCF"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579"/>
          <w:tblHeader/>
        </w:trPr>
        <w:tc>
          <w:tcPr>
            <w:tcW w:w="746" w:type="pct"/>
            <w:tcBorders>
              <w:left w:val="single" w:sz="2" w:space="0" w:color="auto"/>
              <w:right w:val="single" w:sz="2" w:space="0" w:color="auto"/>
            </w:tcBorders>
          </w:tcPr>
          <w:p w14:paraId="56559EF6" w14:textId="77777777" w:rsidR="00320465" w:rsidRPr="00B33CD5" w:rsidRDefault="00320465" w:rsidP="00320465">
            <w:pPr>
              <w:pStyle w:val="CommentaryReference"/>
              <w:spacing w:before="60"/>
              <w:rPr>
                <w:rFonts w:cs="Calibri"/>
                <w:color w:val="7030A0"/>
                <w:szCs w:val="14"/>
              </w:rPr>
            </w:pPr>
            <w:r w:rsidRPr="00B33CD5">
              <w:rPr>
                <w:rFonts w:cs="Calibri"/>
                <w:color w:val="7030A0"/>
                <w:szCs w:val="14"/>
              </w:rPr>
              <w:t>AASB 13.B.5</w:t>
            </w:r>
          </w:p>
          <w:p w14:paraId="2DC01F28" w14:textId="77777777" w:rsidR="00320465" w:rsidRPr="00B33CD5" w:rsidRDefault="00320465" w:rsidP="00320465">
            <w:pPr>
              <w:pStyle w:val="CommentaryReference"/>
              <w:spacing w:before="60"/>
              <w:rPr>
                <w:rFonts w:cs="Calibri"/>
                <w:color w:val="7030A0"/>
                <w:szCs w:val="14"/>
              </w:rPr>
            </w:pPr>
          </w:p>
          <w:p w14:paraId="3E780890" w14:textId="77777777" w:rsidR="00320465" w:rsidRPr="00B33CD5" w:rsidRDefault="00320465" w:rsidP="00320465">
            <w:pPr>
              <w:pStyle w:val="CommentaryReference"/>
              <w:spacing w:before="60"/>
              <w:rPr>
                <w:rFonts w:cs="Calibri"/>
                <w:color w:val="7030A0"/>
                <w:szCs w:val="14"/>
              </w:rPr>
            </w:pPr>
          </w:p>
          <w:p w14:paraId="1DED5DA6" w14:textId="77777777" w:rsidR="00320465" w:rsidRPr="00B33CD5" w:rsidRDefault="00320465" w:rsidP="00320465">
            <w:pPr>
              <w:pStyle w:val="CommentaryReference"/>
              <w:spacing w:before="60"/>
              <w:rPr>
                <w:rFonts w:cs="Calibri"/>
                <w:color w:val="7030A0"/>
                <w:szCs w:val="14"/>
              </w:rPr>
            </w:pPr>
            <w:r w:rsidRPr="00B33CD5">
              <w:rPr>
                <w:rFonts w:cs="Calibri"/>
                <w:color w:val="7030A0"/>
                <w:szCs w:val="14"/>
              </w:rPr>
              <w:t>AASB 13.B8</w:t>
            </w:r>
          </w:p>
          <w:p w14:paraId="362E5AE8" w14:textId="77777777" w:rsidR="00320465" w:rsidRPr="00B33CD5" w:rsidRDefault="00320465" w:rsidP="00320465">
            <w:pPr>
              <w:pStyle w:val="CommentaryReference"/>
              <w:spacing w:before="60"/>
              <w:rPr>
                <w:rFonts w:cs="Calibri"/>
                <w:color w:val="7030A0"/>
                <w:szCs w:val="14"/>
              </w:rPr>
            </w:pPr>
          </w:p>
          <w:p w14:paraId="2B625990" w14:textId="77777777" w:rsidR="00320465" w:rsidRPr="00B33CD5" w:rsidRDefault="00320465" w:rsidP="00320465">
            <w:pPr>
              <w:pStyle w:val="CommentaryReference"/>
              <w:spacing w:before="60"/>
              <w:rPr>
                <w:rFonts w:cs="Calibri"/>
                <w:color w:val="7030A0"/>
                <w:szCs w:val="14"/>
              </w:rPr>
            </w:pPr>
          </w:p>
          <w:p w14:paraId="7712B6A3" w14:textId="77777777" w:rsidR="00320465" w:rsidRPr="00B33CD5" w:rsidRDefault="00320465" w:rsidP="00320465">
            <w:pPr>
              <w:pStyle w:val="CommentaryReference"/>
              <w:spacing w:before="60"/>
              <w:rPr>
                <w:rFonts w:cs="Calibri"/>
                <w:color w:val="7030A0"/>
                <w:szCs w:val="14"/>
              </w:rPr>
            </w:pPr>
            <w:r w:rsidRPr="00B33CD5">
              <w:rPr>
                <w:rFonts w:cs="Calibri"/>
                <w:color w:val="7030A0"/>
                <w:szCs w:val="14"/>
              </w:rPr>
              <w:t>AASB 13.B10</w:t>
            </w:r>
          </w:p>
        </w:tc>
        <w:tc>
          <w:tcPr>
            <w:tcW w:w="4254" w:type="pct"/>
            <w:tcBorders>
              <w:left w:val="single" w:sz="2" w:space="0" w:color="auto"/>
            </w:tcBorders>
            <w:shd w:val="clear" w:color="auto" w:fill="7030A0"/>
          </w:tcPr>
          <w:p w14:paraId="23F57670" w14:textId="77777777" w:rsidR="00320465" w:rsidRPr="00B33CD5"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Market approach – uses prices and other relevant information generated by market transactions involving identical or comparable (i.e. similar) assets, liabilities or a group of assets and liabilities such as a business.</w:t>
            </w:r>
          </w:p>
          <w:p w14:paraId="1ACD7DD5" w14:textId="77777777" w:rsidR="00320465" w:rsidRPr="00B33CD5" w:rsidRDefault="0032046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Cost approach – reflects the amount that would be required currently to replace the service capacity of an asset (often referred to as the current replacement cost).</w:t>
            </w:r>
          </w:p>
          <w:p w14:paraId="5861115F" w14:textId="1E3746C9" w:rsidR="00320465" w:rsidRPr="00B33CD5" w:rsidRDefault="00320465"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Income approach – converts future amounts (e.g. cash flows or income and expenses) to a single (i.e. discounted) amount.</w:t>
            </w:r>
            <w:r w:rsidR="00FA7C77">
              <w:rPr>
                <w:rFonts w:cs="Calibri"/>
                <w:color w:val="FFFFFF" w:themeColor="background1"/>
                <w:sz w:val="18"/>
                <w:szCs w:val="18"/>
              </w:rPr>
              <w:t xml:space="preserve"> </w:t>
            </w:r>
            <w:r w:rsidRPr="00B33CD5">
              <w:rPr>
                <w:rFonts w:cs="Calibri"/>
                <w:color w:val="FFFFFF" w:themeColor="background1"/>
                <w:sz w:val="18"/>
                <w:szCs w:val="18"/>
              </w:rPr>
              <w:t>When the income approach is used, the fair value measurement reflects current market expectations about those future amounts.</w:t>
            </w:r>
          </w:p>
        </w:tc>
      </w:tr>
      <w:tr w:rsidR="00006B24" w:rsidRPr="00C41F18" w14:paraId="5B5510B5" w14:textId="77777777" w:rsidTr="005F5B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579"/>
          <w:tblHeader/>
        </w:trPr>
        <w:tc>
          <w:tcPr>
            <w:tcW w:w="746" w:type="pct"/>
            <w:tcBorders>
              <w:left w:val="single" w:sz="2" w:space="0" w:color="auto"/>
              <w:right w:val="single" w:sz="2" w:space="0" w:color="auto"/>
            </w:tcBorders>
          </w:tcPr>
          <w:p w14:paraId="5C75A6BB" w14:textId="2A6EE7E3"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13.93(g)</w:t>
            </w:r>
          </w:p>
        </w:tc>
        <w:tc>
          <w:tcPr>
            <w:tcW w:w="4254" w:type="pct"/>
            <w:tcBorders>
              <w:left w:val="single" w:sz="2" w:space="0" w:color="auto"/>
            </w:tcBorders>
            <w:shd w:val="clear" w:color="auto" w:fill="7030A0"/>
          </w:tcPr>
          <w:p w14:paraId="288A43BA" w14:textId="7BC2AE54" w:rsidR="00006B24" w:rsidRPr="00B33CD5" w:rsidRDefault="00006B24" w:rsidP="00006B24">
            <w:pPr>
              <w:pStyle w:val="CommentaryText"/>
              <w:spacing w:after="40"/>
              <w:jc w:val="left"/>
              <w:rPr>
                <w:rFonts w:cs="Calibri"/>
                <w:color w:val="FFFFFF" w:themeColor="background1"/>
                <w:sz w:val="18"/>
                <w:szCs w:val="18"/>
              </w:rPr>
            </w:pPr>
            <w:r w:rsidRPr="00B33CD5">
              <w:rPr>
                <w:rFonts w:cs="Calibri"/>
                <w:color w:val="FFFFFF" w:themeColor="background1"/>
                <w:sz w:val="18"/>
                <w:szCs w:val="18"/>
              </w:rPr>
              <w:t xml:space="preserve">Agencies shall provide a description of their valuation process (including, for example, how they decide their valuation policies and procedures and analyses changes in fair value measurements from period to period). </w:t>
            </w:r>
          </w:p>
        </w:tc>
      </w:tr>
      <w:tr w:rsidR="00006B24" w:rsidRPr="00CF7E1B" w14:paraId="5443CCE1" w14:textId="77777777" w:rsidTr="005F5B4C">
        <w:trPr>
          <w:trHeight w:val="23"/>
        </w:trPr>
        <w:tc>
          <w:tcPr>
            <w:tcW w:w="746" w:type="pct"/>
            <w:tcBorders>
              <w:top w:val="nil"/>
              <w:left w:val="single" w:sz="2" w:space="0" w:color="auto"/>
              <w:bottom w:val="nil"/>
              <w:right w:val="single" w:sz="2" w:space="0" w:color="auto"/>
            </w:tcBorders>
          </w:tcPr>
          <w:p w14:paraId="7E501F86" w14:textId="77777777" w:rsidR="00BD1DCB" w:rsidRDefault="00BD1DCB" w:rsidP="00006B24">
            <w:pPr>
              <w:pStyle w:val="CommentaryReference"/>
              <w:spacing w:before="60"/>
              <w:rPr>
                <w:rFonts w:cs="Calibri"/>
                <w:color w:val="7030A0"/>
                <w:szCs w:val="14"/>
              </w:rPr>
            </w:pPr>
          </w:p>
          <w:p w14:paraId="39DCA2FD" w14:textId="3DCD0BF2"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13.93(b)</w:t>
            </w:r>
          </w:p>
          <w:p w14:paraId="60658C70" w14:textId="77777777" w:rsidR="00006B24" w:rsidRPr="00B33CD5" w:rsidRDefault="00006B24" w:rsidP="00006B24">
            <w:pPr>
              <w:pStyle w:val="CommentaryReference"/>
              <w:spacing w:before="60"/>
              <w:rPr>
                <w:rFonts w:cs="Calibri"/>
                <w:color w:val="7030A0"/>
                <w:szCs w:val="14"/>
              </w:rPr>
            </w:pPr>
          </w:p>
          <w:p w14:paraId="32C99E4C" w14:textId="77777777" w:rsidR="00006B24" w:rsidRPr="00B33CD5" w:rsidRDefault="00006B24" w:rsidP="00006B24">
            <w:pPr>
              <w:pStyle w:val="CommentaryReference"/>
              <w:spacing w:before="60"/>
              <w:rPr>
                <w:rFonts w:cs="Calibri"/>
                <w:color w:val="7030A0"/>
                <w:szCs w:val="14"/>
              </w:rPr>
            </w:pPr>
          </w:p>
          <w:p w14:paraId="7BCA9BE1" w14:textId="77777777"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13.76</w:t>
            </w:r>
          </w:p>
          <w:p w14:paraId="26CAF183" w14:textId="77777777" w:rsidR="00006B24" w:rsidRPr="00B33CD5" w:rsidRDefault="00006B24" w:rsidP="00006B24">
            <w:pPr>
              <w:pStyle w:val="CommentaryReference"/>
              <w:spacing w:before="60"/>
              <w:rPr>
                <w:rFonts w:cs="Calibri"/>
                <w:color w:val="7030A0"/>
                <w:szCs w:val="14"/>
              </w:rPr>
            </w:pPr>
          </w:p>
          <w:p w14:paraId="52A00249" w14:textId="77777777"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13.81</w:t>
            </w:r>
          </w:p>
          <w:p w14:paraId="5F84803C" w14:textId="77777777" w:rsidR="00006B24" w:rsidRPr="00B33CD5" w:rsidRDefault="00006B24" w:rsidP="00006B24">
            <w:pPr>
              <w:pStyle w:val="CommentaryReference"/>
              <w:spacing w:before="60"/>
              <w:rPr>
                <w:rFonts w:cs="Calibri"/>
                <w:color w:val="7030A0"/>
                <w:szCs w:val="14"/>
              </w:rPr>
            </w:pPr>
          </w:p>
          <w:p w14:paraId="79387634" w14:textId="77777777"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13.86</w:t>
            </w:r>
          </w:p>
        </w:tc>
        <w:tc>
          <w:tcPr>
            <w:tcW w:w="4254" w:type="pct"/>
            <w:tcBorders>
              <w:top w:val="nil"/>
              <w:left w:val="single" w:sz="2" w:space="0" w:color="auto"/>
              <w:bottom w:val="nil"/>
              <w:right w:val="nil"/>
            </w:tcBorders>
            <w:shd w:val="clear" w:color="auto" w:fill="7030A0"/>
            <w:vAlign w:val="bottom"/>
          </w:tcPr>
          <w:p w14:paraId="05D7AB23" w14:textId="7A97A6ED" w:rsidR="00BD1DCB" w:rsidRPr="00BD1DCB" w:rsidRDefault="00BD1DCB" w:rsidP="00006B24">
            <w:pPr>
              <w:pStyle w:val="CommentaryText"/>
              <w:spacing w:after="40"/>
              <w:rPr>
                <w:rFonts w:cs="Calibri"/>
                <w:b/>
                <w:bCs/>
                <w:color w:val="FFFFFF" w:themeColor="background1"/>
                <w:szCs w:val="20"/>
              </w:rPr>
            </w:pPr>
            <w:r w:rsidRPr="00BD1DCB">
              <w:rPr>
                <w:rFonts w:cs="Calibri"/>
                <w:b/>
                <w:bCs/>
                <w:color w:val="FFFFFF" w:themeColor="background1"/>
                <w:szCs w:val="20"/>
              </w:rPr>
              <w:t xml:space="preserve">Fair Value Hierarchy </w:t>
            </w:r>
          </w:p>
          <w:p w14:paraId="061BA520" w14:textId="6A16C02F" w:rsidR="00006B24" w:rsidRPr="00B33CD5" w:rsidRDefault="00006B24" w:rsidP="00006B24">
            <w:pPr>
              <w:pStyle w:val="CommentaryText"/>
              <w:spacing w:after="40"/>
              <w:rPr>
                <w:rFonts w:cs="Calibri"/>
                <w:color w:val="FFFFFF" w:themeColor="background1"/>
                <w:sz w:val="18"/>
                <w:szCs w:val="18"/>
              </w:rPr>
            </w:pPr>
            <w:r w:rsidRPr="00B33CD5">
              <w:rPr>
                <w:rFonts w:cs="Calibri"/>
                <w:color w:val="FFFFFF" w:themeColor="background1"/>
                <w:sz w:val="18"/>
                <w:szCs w:val="18"/>
              </w:rPr>
              <w:t>Agencies are required to classify assets and liabilities measured at fair value into a Fair Value Hierarchy that reflects the significance of the inputs used in determining their fair value.</w:t>
            </w:r>
            <w:r w:rsidR="00FA7C77">
              <w:rPr>
                <w:rFonts w:cs="Calibri"/>
                <w:color w:val="FFFFFF" w:themeColor="background1"/>
                <w:sz w:val="18"/>
                <w:szCs w:val="18"/>
              </w:rPr>
              <w:t xml:space="preserve"> </w:t>
            </w:r>
            <w:r w:rsidRPr="00B33CD5">
              <w:rPr>
                <w:rFonts w:cs="Calibri"/>
                <w:color w:val="FFFFFF" w:themeColor="background1"/>
                <w:sz w:val="18"/>
                <w:szCs w:val="18"/>
              </w:rPr>
              <w:t xml:space="preserve">The Fair Value Hierarchy is made up of the following three levels: </w:t>
            </w:r>
          </w:p>
          <w:p w14:paraId="6D9A7664" w14:textId="77777777" w:rsidR="00006B24" w:rsidRPr="00B33CD5" w:rsidRDefault="00006B24"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Level 1 - quoted prices (unadjusted) in active markets for identical assets or liabilities that the agency can access at the measurement date;</w:t>
            </w:r>
          </w:p>
          <w:p w14:paraId="59BCDC41" w14:textId="77777777" w:rsidR="00006B24" w:rsidRPr="00B33CD5" w:rsidRDefault="00006B24" w:rsidP="007122BC">
            <w:pPr>
              <w:pStyle w:val="CommentaryText"/>
              <w:keepNext/>
              <w:keepLines/>
              <w:numPr>
                <w:ilvl w:val="0"/>
                <w:numId w:val="53"/>
              </w:numPr>
              <w:tabs>
                <w:tab w:val="left" w:pos="3306"/>
              </w:tabs>
              <w:spacing w:after="0"/>
              <w:ind w:left="459" w:hanging="357"/>
              <w:rPr>
                <w:rFonts w:cs="Calibri"/>
                <w:color w:val="FFFFFF" w:themeColor="background1"/>
                <w:sz w:val="18"/>
                <w:szCs w:val="18"/>
              </w:rPr>
            </w:pPr>
            <w:r w:rsidRPr="00B33CD5">
              <w:rPr>
                <w:rFonts w:cs="Calibri"/>
                <w:color w:val="FFFFFF" w:themeColor="background1"/>
                <w:sz w:val="18"/>
                <w:szCs w:val="18"/>
              </w:rPr>
              <w:t>Level 2 - inputs other than quoted prices included within Level 1 that are observable for the asset or liability, either directly or indirectly; and</w:t>
            </w:r>
          </w:p>
          <w:p w14:paraId="3D5A8241" w14:textId="77777777" w:rsidR="00006B24" w:rsidRPr="00B33CD5" w:rsidRDefault="00006B24"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Level 3 -inputs that are unobservable for particular assets or liabilities.</w:t>
            </w:r>
          </w:p>
        </w:tc>
      </w:tr>
      <w:tr w:rsidR="00006B24" w:rsidRPr="00CF7E1B" w14:paraId="5D58F9F0" w14:textId="77777777" w:rsidTr="005F5B4C">
        <w:trPr>
          <w:trHeight w:val="23"/>
        </w:trPr>
        <w:tc>
          <w:tcPr>
            <w:tcW w:w="746" w:type="pct"/>
            <w:tcBorders>
              <w:top w:val="nil"/>
              <w:left w:val="single" w:sz="2" w:space="0" w:color="auto"/>
              <w:bottom w:val="nil"/>
              <w:right w:val="single" w:sz="2" w:space="0" w:color="auto"/>
            </w:tcBorders>
          </w:tcPr>
          <w:p w14:paraId="0A4F62FF" w14:textId="77777777" w:rsidR="00006B24" w:rsidRPr="00B33CD5" w:rsidRDefault="00006B24" w:rsidP="00006B24">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22958696" w14:textId="347E4140" w:rsidR="00006B24" w:rsidRPr="000F51E0" w:rsidRDefault="00006B24" w:rsidP="00006B24">
            <w:pPr>
              <w:pStyle w:val="CommentaryText"/>
              <w:spacing w:after="40"/>
              <w:rPr>
                <w:rFonts w:cs="Calibri"/>
                <w:bCs/>
                <w:i/>
                <w:iCs/>
                <w:color w:val="FFFFFF" w:themeColor="background1"/>
                <w:szCs w:val="20"/>
              </w:rPr>
            </w:pPr>
            <w:r w:rsidRPr="000F51E0">
              <w:rPr>
                <w:rFonts w:cs="Calibri"/>
                <w:bCs/>
                <w:i/>
                <w:iCs/>
                <w:color w:val="FFFFFF" w:themeColor="background1"/>
                <w:szCs w:val="20"/>
              </w:rPr>
              <w:t>Levels 1 and 2 Valuation Inputs</w:t>
            </w:r>
          </w:p>
        </w:tc>
      </w:tr>
      <w:tr w:rsidR="00006B24" w:rsidRPr="00CF7E1B" w14:paraId="0C787E87" w14:textId="77777777" w:rsidTr="005F5B4C">
        <w:trPr>
          <w:trHeight w:val="23"/>
        </w:trPr>
        <w:tc>
          <w:tcPr>
            <w:tcW w:w="746" w:type="pct"/>
            <w:tcBorders>
              <w:top w:val="nil"/>
              <w:left w:val="single" w:sz="2" w:space="0" w:color="auto"/>
              <w:bottom w:val="nil"/>
              <w:right w:val="single" w:sz="2" w:space="0" w:color="auto"/>
            </w:tcBorders>
          </w:tcPr>
          <w:p w14:paraId="25D642B6" w14:textId="6A99F1FD"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13.93(c)</w:t>
            </w:r>
          </w:p>
        </w:tc>
        <w:tc>
          <w:tcPr>
            <w:tcW w:w="4254" w:type="pct"/>
            <w:tcBorders>
              <w:top w:val="nil"/>
              <w:left w:val="single" w:sz="2" w:space="0" w:color="auto"/>
              <w:bottom w:val="nil"/>
              <w:right w:val="nil"/>
            </w:tcBorders>
            <w:shd w:val="clear" w:color="auto" w:fill="7030A0"/>
            <w:vAlign w:val="bottom"/>
          </w:tcPr>
          <w:p w14:paraId="27CA06ED" w14:textId="2EE56A87" w:rsidR="00006B24" w:rsidRPr="00B33CD5" w:rsidRDefault="00006B24" w:rsidP="00006B24">
            <w:pPr>
              <w:pStyle w:val="CommentaryText"/>
              <w:rPr>
                <w:rFonts w:cs="Calibri"/>
                <w:color w:val="FFFFFF" w:themeColor="background1"/>
                <w:sz w:val="18"/>
                <w:szCs w:val="18"/>
              </w:rPr>
            </w:pPr>
            <w:r w:rsidRPr="00B33CD5">
              <w:rPr>
                <w:rFonts w:cs="Calibri"/>
                <w:color w:val="FFFFFF" w:themeColor="background1"/>
                <w:sz w:val="18"/>
                <w:szCs w:val="18"/>
              </w:rPr>
              <w:t>Agencies shall disclose for assets and liabilities held at the end of the reporting period that are measured at fair value, the amounts of any transfers between Level 1 and Level 2 of the Fair Value Hierarchy, the reasons for the transfers and the agency’s policy for determining when transfers between levels are deemed to have occurred. Transfers into each level shall be disclosed separately from transfers out of each level.</w:t>
            </w:r>
          </w:p>
        </w:tc>
      </w:tr>
      <w:tr w:rsidR="00006B24" w:rsidRPr="00CF7E1B" w14:paraId="7759B61E" w14:textId="77777777" w:rsidTr="005F5B4C">
        <w:trPr>
          <w:trHeight w:val="23"/>
        </w:trPr>
        <w:tc>
          <w:tcPr>
            <w:tcW w:w="746" w:type="pct"/>
            <w:tcBorders>
              <w:top w:val="nil"/>
              <w:left w:val="single" w:sz="2" w:space="0" w:color="auto"/>
              <w:bottom w:val="nil"/>
              <w:right w:val="single" w:sz="2" w:space="0" w:color="auto"/>
            </w:tcBorders>
          </w:tcPr>
          <w:p w14:paraId="3BF9807E" w14:textId="77777777" w:rsidR="00006B24" w:rsidRPr="00B33CD5" w:rsidRDefault="00006B24" w:rsidP="00006B24">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6DC345CD" w14:textId="32347AEF" w:rsidR="00006B24" w:rsidRPr="000F51E0" w:rsidRDefault="00006B24" w:rsidP="00006B24">
            <w:pPr>
              <w:pStyle w:val="CommentaryText"/>
              <w:spacing w:after="40"/>
              <w:rPr>
                <w:rFonts w:cs="Calibri"/>
                <w:bCs/>
                <w:i/>
                <w:iCs/>
                <w:color w:val="FFFFFF" w:themeColor="background1"/>
                <w:szCs w:val="20"/>
              </w:rPr>
            </w:pPr>
            <w:r w:rsidRPr="000F51E0">
              <w:rPr>
                <w:rFonts w:cs="Calibri"/>
                <w:bCs/>
                <w:i/>
                <w:iCs/>
                <w:color w:val="FFFFFF" w:themeColor="background1"/>
                <w:szCs w:val="20"/>
              </w:rPr>
              <w:t>Levels 2 and 3 Valuation Inputs</w:t>
            </w:r>
          </w:p>
        </w:tc>
      </w:tr>
      <w:tr w:rsidR="00006B24" w:rsidRPr="00CF7E1B" w14:paraId="3AA9383B" w14:textId="77777777" w:rsidTr="005F5B4C">
        <w:trPr>
          <w:trHeight w:val="23"/>
        </w:trPr>
        <w:tc>
          <w:tcPr>
            <w:tcW w:w="746" w:type="pct"/>
            <w:tcBorders>
              <w:top w:val="nil"/>
              <w:left w:val="single" w:sz="2" w:space="0" w:color="auto"/>
              <w:bottom w:val="nil"/>
              <w:right w:val="single" w:sz="2" w:space="0" w:color="auto"/>
            </w:tcBorders>
          </w:tcPr>
          <w:p w14:paraId="0D2C07EE" w14:textId="225CFE04" w:rsidR="00006B24" w:rsidRPr="00B33CD5" w:rsidRDefault="00006B24" w:rsidP="00006B24">
            <w:pPr>
              <w:pStyle w:val="CommentaryReference"/>
              <w:spacing w:before="60"/>
              <w:rPr>
                <w:rFonts w:cs="Calibri"/>
                <w:color w:val="7030A0"/>
                <w:szCs w:val="14"/>
              </w:rPr>
            </w:pPr>
            <w:r w:rsidRPr="00B33CD5">
              <w:rPr>
                <w:rFonts w:cs="Calibri"/>
                <w:color w:val="7030A0"/>
                <w:szCs w:val="14"/>
              </w:rPr>
              <w:t>AASB 13.93(d)</w:t>
            </w:r>
          </w:p>
        </w:tc>
        <w:tc>
          <w:tcPr>
            <w:tcW w:w="4254" w:type="pct"/>
            <w:tcBorders>
              <w:top w:val="nil"/>
              <w:left w:val="single" w:sz="2" w:space="0" w:color="auto"/>
              <w:bottom w:val="nil"/>
              <w:right w:val="nil"/>
            </w:tcBorders>
            <w:shd w:val="clear" w:color="auto" w:fill="7030A0"/>
            <w:vAlign w:val="bottom"/>
          </w:tcPr>
          <w:p w14:paraId="6D38E4AA" w14:textId="45D9F3A6" w:rsidR="00006B24" w:rsidRPr="00B33CD5" w:rsidRDefault="00006B24" w:rsidP="00006B24">
            <w:pPr>
              <w:pStyle w:val="CommentaryText"/>
              <w:rPr>
                <w:rFonts w:cs="Calibri"/>
                <w:color w:val="FFFFFF" w:themeColor="background1"/>
                <w:sz w:val="18"/>
                <w:szCs w:val="18"/>
              </w:rPr>
            </w:pPr>
            <w:r w:rsidRPr="00B33CD5">
              <w:rPr>
                <w:rFonts w:cs="Calibri"/>
                <w:color w:val="FFFFFF" w:themeColor="background1"/>
                <w:sz w:val="18"/>
                <w:szCs w:val="18"/>
              </w:rPr>
              <w:t>Agencies shall disclose for fair value measurements categorised within Level 2 and Level 3 of the fair value hierarchy, a description of the valuation technique(s) and the inputs used in the fair value measurement.</w:t>
            </w:r>
            <w:r w:rsidR="00FA7C77">
              <w:rPr>
                <w:rFonts w:cs="Calibri"/>
                <w:color w:val="FFFFFF" w:themeColor="background1"/>
                <w:sz w:val="18"/>
                <w:szCs w:val="18"/>
              </w:rPr>
              <w:t xml:space="preserve"> </w:t>
            </w:r>
            <w:r w:rsidRPr="00B33CD5">
              <w:rPr>
                <w:rFonts w:cs="Calibri"/>
                <w:color w:val="FFFFFF" w:themeColor="background1"/>
                <w:sz w:val="18"/>
                <w:szCs w:val="18"/>
              </w:rPr>
              <w:t>If there has been a change in the valuation technique (e.g. changing from a market approach to an income approach or the use of an additional valuation technique), agencies shall disclose that change and the reason(s) for making it.</w:t>
            </w:r>
          </w:p>
        </w:tc>
      </w:tr>
      <w:tr w:rsidR="00006B24" w:rsidRPr="00CF7E1B" w14:paraId="338BFA9D" w14:textId="77777777" w:rsidTr="005F5B4C">
        <w:trPr>
          <w:trHeight w:val="23"/>
        </w:trPr>
        <w:tc>
          <w:tcPr>
            <w:tcW w:w="746" w:type="pct"/>
            <w:tcBorders>
              <w:top w:val="nil"/>
              <w:left w:val="single" w:sz="2" w:space="0" w:color="auto"/>
              <w:bottom w:val="nil"/>
              <w:right w:val="single" w:sz="2" w:space="0" w:color="auto"/>
            </w:tcBorders>
          </w:tcPr>
          <w:p w14:paraId="74E5BFF2" w14:textId="77777777" w:rsidR="00006B24" w:rsidRPr="00B33CD5" w:rsidRDefault="00006B24" w:rsidP="00006B24">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2D01A7B8" w14:textId="1ADE9E93" w:rsidR="00006B24" w:rsidRPr="000F51E0" w:rsidRDefault="00006B24" w:rsidP="00006B24">
            <w:pPr>
              <w:pStyle w:val="CommentaryText"/>
              <w:spacing w:after="40"/>
              <w:rPr>
                <w:rFonts w:cs="Calibri"/>
                <w:bCs/>
                <w:i/>
                <w:iCs/>
                <w:color w:val="FFFFFF" w:themeColor="background1"/>
                <w:szCs w:val="20"/>
              </w:rPr>
            </w:pPr>
            <w:r w:rsidRPr="000F51E0">
              <w:rPr>
                <w:rFonts w:cs="Calibri"/>
                <w:bCs/>
                <w:i/>
                <w:iCs/>
                <w:color w:val="FFFFFF" w:themeColor="background1"/>
                <w:szCs w:val="20"/>
              </w:rPr>
              <w:t>Level 3 Valuation Inputs</w:t>
            </w:r>
          </w:p>
        </w:tc>
      </w:tr>
      <w:tr w:rsidR="00006B24" w:rsidRPr="00CF7E1B" w14:paraId="60004C9B" w14:textId="77777777" w:rsidTr="005F5B4C">
        <w:trPr>
          <w:trHeight w:val="23"/>
        </w:trPr>
        <w:tc>
          <w:tcPr>
            <w:tcW w:w="746" w:type="pct"/>
            <w:tcBorders>
              <w:top w:val="nil"/>
              <w:left w:val="single" w:sz="2" w:space="0" w:color="auto"/>
              <w:bottom w:val="nil"/>
              <w:right w:val="single" w:sz="2" w:space="0" w:color="auto"/>
            </w:tcBorders>
          </w:tcPr>
          <w:p w14:paraId="1A324354" w14:textId="69762020" w:rsidR="00006B24" w:rsidRPr="00B33CD5" w:rsidRDefault="00006B24" w:rsidP="00006B24">
            <w:pPr>
              <w:pStyle w:val="CommentaryReference"/>
              <w:spacing w:before="60"/>
              <w:rPr>
                <w:rFonts w:cs="Calibri"/>
                <w:color w:val="7030A0"/>
                <w:szCs w:val="14"/>
              </w:rPr>
            </w:pPr>
            <w:r w:rsidRPr="00B33CD5">
              <w:rPr>
                <w:rFonts w:cs="Calibri"/>
                <w:color w:val="7030A0"/>
                <w:szCs w:val="14"/>
              </w:rPr>
              <w:t>AAB 13.91(b)</w:t>
            </w:r>
          </w:p>
        </w:tc>
        <w:tc>
          <w:tcPr>
            <w:tcW w:w="4254" w:type="pct"/>
            <w:tcBorders>
              <w:top w:val="nil"/>
              <w:left w:val="single" w:sz="2" w:space="0" w:color="auto"/>
              <w:bottom w:val="nil"/>
              <w:right w:val="nil"/>
            </w:tcBorders>
            <w:shd w:val="clear" w:color="auto" w:fill="7030A0"/>
            <w:vAlign w:val="bottom"/>
          </w:tcPr>
          <w:p w14:paraId="154DAD5C" w14:textId="73BB6AB3" w:rsidR="00006B24" w:rsidRPr="00B33CD5" w:rsidRDefault="00006B24" w:rsidP="00006B24">
            <w:pPr>
              <w:pStyle w:val="CommentaryText"/>
              <w:rPr>
                <w:rFonts w:cs="Calibri"/>
                <w:color w:val="FFFFFF" w:themeColor="background1"/>
                <w:sz w:val="18"/>
                <w:szCs w:val="18"/>
              </w:rPr>
            </w:pPr>
            <w:r w:rsidRPr="00B33CD5">
              <w:rPr>
                <w:rFonts w:cs="Calibri"/>
                <w:color w:val="FFFFFF" w:themeColor="background1"/>
                <w:sz w:val="18"/>
                <w:szCs w:val="18"/>
              </w:rPr>
              <w:t>For fair value measurements using significant unobservable inputs, agencies shall disclose the effect of the measurements on the operating result or other comprehensive income for the reporting period.</w:t>
            </w:r>
          </w:p>
        </w:tc>
      </w:tr>
      <w:tr w:rsidR="00B33CD5" w:rsidRPr="00CF7E1B" w14:paraId="276C9EDB" w14:textId="77777777" w:rsidTr="005F5B4C">
        <w:trPr>
          <w:cantSplit/>
          <w:trHeight w:val="23"/>
        </w:trPr>
        <w:tc>
          <w:tcPr>
            <w:tcW w:w="746" w:type="pct"/>
            <w:tcBorders>
              <w:top w:val="nil"/>
              <w:left w:val="single" w:sz="2" w:space="0" w:color="auto"/>
              <w:bottom w:val="nil"/>
              <w:right w:val="single" w:sz="2" w:space="0" w:color="auto"/>
            </w:tcBorders>
          </w:tcPr>
          <w:p w14:paraId="699C40BE" w14:textId="1690D744" w:rsidR="00B33CD5" w:rsidRPr="00B33CD5" w:rsidRDefault="00B33CD5" w:rsidP="000F51E0">
            <w:pPr>
              <w:pStyle w:val="NormalSFLeadIn"/>
              <w:spacing w:before="0" w:after="240"/>
              <w:rPr>
                <w:rFonts w:cs="Calibri"/>
                <w:b/>
                <w:bCs/>
                <w:color w:val="538135" w:themeColor="accent6" w:themeShade="BF"/>
                <w:szCs w:val="14"/>
              </w:rPr>
            </w:pPr>
            <w:r w:rsidRPr="00B33CD5">
              <w:rPr>
                <w:b/>
                <w:bCs/>
                <w:color w:val="7030A0"/>
              </w:rPr>
              <w:t>Reference</w:t>
            </w:r>
          </w:p>
        </w:tc>
        <w:tc>
          <w:tcPr>
            <w:tcW w:w="4254" w:type="pct"/>
            <w:tcBorders>
              <w:top w:val="nil"/>
              <w:left w:val="single" w:sz="2" w:space="0" w:color="auto"/>
              <w:bottom w:val="nil"/>
              <w:right w:val="nil"/>
            </w:tcBorders>
            <w:shd w:val="clear" w:color="auto" w:fill="7030A0"/>
            <w:vAlign w:val="bottom"/>
          </w:tcPr>
          <w:p w14:paraId="2A6CB51B" w14:textId="643B5834" w:rsidR="00B33CD5" w:rsidRPr="00B33CD5" w:rsidRDefault="00B33CD5" w:rsidP="000F51E0">
            <w:pPr>
              <w:pStyle w:val="CommentaryText"/>
              <w:spacing w:after="240"/>
              <w:rPr>
                <w:rFonts w:cs="Calibri"/>
                <w:color w:val="FFFFFF" w:themeColor="background1"/>
                <w:sz w:val="18"/>
                <w:szCs w:val="18"/>
              </w:rPr>
            </w:pPr>
            <w:r w:rsidRPr="00B33CD5">
              <w:rPr>
                <w:rFonts w:cs="Calibri"/>
                <w:b/>
                <w:bCs/>
                <w:color w:val="FFFFFF" w:themeColor="background1"/>
                <w:sz w:val="28"/>
                <w:szCs w:val="28"/>
              </w:rPr>
              <w:t>Commentary – Note 19: Property, Plant and Equipment</w:t>
            </w:r>
            <w:r w:rsidR="00EF02F9">
              <w:rPr>
                <w:rFonts w:cs="Calibri"/>
                <w:b/>
                <w:bCs/>
                <w:color w:val="FFFFFF" w:themeColor="background1"/>
                <w:sz w:val="28"/>
                <w:szCs w:val="28"/>
              </w:rPr>
              <w:t xml:space="preserve"> </w:t>
            </w:r>
            <w:r w:rsidR="000F51E0">
              <w:rPr>
                <w:rFonts w:cs="Calibri"/>
                <w:b/>
                <w:bCs/>
                <w:color w:val="FFFFFF" w:themeColor="background1"/>
                <w:sz w:val="28"/>
                <w:szCs w:val="28"/>
              </w:rPr>
              <w:t>–</w:t>
            </w:r>
            <w:r w:rsidR="00EF02F9">
              <w:rPr>
                <w:rFonts w:cs="Calibri"/>
                <w:b/>
                <w:bCs/>
                <w:color w:val="FFFFFF" w:themeColor="background1"/>
                <w:sz w:val="28"/>
                <w:szCs w:val="28"/>
              </w:rPr>
              <w:t xml:space="preserve"> Continued</w:t>
            </w:r>
            <w:r w:rsidR="000F51E0">
              <w:rPr>
                <w:rFonts w:cs="Calibri"/>
                <w:b/>
                <w:bCs/>
                <w:color w:val="FFFFFF" w:themeColor="background1"/>
                <w:sz w:val="28"/>
                <w:szCs w:val="28"/>
              </w:rPr>
              <w:t xml:space="preserve"> </w:t>
            </w:r>
          </w:p>
        </w:tc>
      </w:tr>
      <w:tr w:rsidR="00B33CD5" w:rsidRPr="00CF7E1B" w14:paraId="50E19DDE" w14:textId="77777777" w:rsidTr="005F5B4C">
        <w:trPr>
          <w:cantSplit/>
          <w:trHeight w:val="23"/>
        </w:trPr>
        <w:tc>
          <w:tcPr>
            <w:tcW w:w="746" w:type="pct"/>
            <w:tcBorders>
              <w:top w:val="nil"/>
              <w:left w:val="single" w:sz="2" w:space="0" w:color="auto"/>
              <w:bottom w:val="nil"/>
              <w:right w:val="single" w:sz="2" w:space="0" w:color="auto"/>
            </w:tcBorders>
          </w:tcPr>
          <w:p w14:paraId="36BF5751" w14:textId="77F957A0"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13.93(b)</w:t>
            </w:r>
          </w:p>
        </w:tc>
        <w:tc>
          <w:tcPr>
            <w:tcW w:w="4254" w:type="pct"/>
            <w:tcBorders>
              <w:top w:val="nil"/>
              <w:left w:val="single" w:sz="2" w:space="0" w:color="auto"/>
              <w:bottom w:val="nil"/>
              <w:right w:val="nil"/>
            </w:tcBorders>
            <w:shd w:val="clear" w:color="auto" w:fill="7030A0"/>
            <w:vAlign w:val="bottom"/>
          </w:tcPr>
          <w:p w14:paraId="6585963D" w14:textId="56FF8DBF"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Agencies shall provide quantitative information about significant unobservable inputs used in the fair value measurement.</w:t>
            </w:r>
            <w:r w:rsidR="00FA7C77">
              <w:rPr>
                <w:rFonts w:cs="Calibri"/>
                <w:color w:val="FFFFFF" w:themeColor="background1"/>
                <w:sz w:val="18"/>
                <w:szCs w:val="18"/>
              </w:rPr>
              <w:t xml:space="preserve"> </w:t>
            </w:r>
            <w:r w:rsidRPr="00B33CD5">
              <w:rPr>
                <w:rFonts w:cs="Calibri"/>
                <w:color w:val="FFFFFF" w:themeColor="background1"/>
                <w:sz w:val="18"/>
                <w:szCs w:val="18"/>
              </w:rPr>
              <w:t>Agencies are not required to create quantitative information to comply with this disclosure requirement if they have not developed quantitative unobservable inputs when measuring fair value (e.g. when an entity uses prices from prior transactions or third-party pricing information without adjustment).</w:t>
            </w:r>
            <w:r w:rsidR="00FA7C77">
              <w:rPr>
                <w:rFonts w:cs="Calibri"/>
                <w:color w:val="FFFFFF" w:themeColor="background1"/>
                <w:sz w:val="18"/>
                <w:szCs w:val="18"/>
              </w:rPr>
              <w:t xml:space="preserve"> </w:t>
            </w:r>
            <w:r w:rsidRPr="00B33CD5">
              <w:rPr>
                <w:rFonts w:cs="Calibri"/>
                <w:color w:val="FFFFFF" w:themeColor="background1"/>
                <w:sz w:val="18"/>
                <w:szCs w:val="18"/>
              </w:rPr>
              <w:t>However, when providing this disclosure agencies cannot ignore quantitative unobservable inputs that are significant to the fair value measurement and are reasonably available to them.</w:t>
            </w:r>
          </w:p>
        </w:tc>
      </w:tr>
      <w:tr w:rsidR="00B33CD5" w:rsidRPr="00CF7E1B" w14:paraId="68799722" w14:textId="77777777" w:rsidTr="005F5B4C">
        <w:trPr>
          <w:cantSplit/>
          <w:trHeight w:val="23"/>
        </w:trPr>
        <w:tc>
          <w:tcPr>
            <w:tcW w:w="746" w:type="pct"/>
            <w:tcBorders>
              <w:top w:val="nil"/>
              <w:left w:val="single" w:sz="2" w:space="0" w:color="auto"/>
              <w:bottom w:val="nil"/>
              <w:right w:val="single" w:sz="2" w:space="0" w:color="auto"/>
            </w:tcBorders>
          </w:tcPr>
          <w:p w14:paraId="15C56DC4"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5210C59A" w14:textId="4E87A4FB"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Agencies only need to disclose those valuation input levels (ie Level 1, 2 &amp; 3) that are relevant to them.</w:t>
            </w:r>
            <w:r w:rsidR="00FA7C77">
              <w:rPr>
                <w:rFonts w:cs="Calibri"/>
                <w:color w:val="FFFFFF" w:themeColor="background1"/>
                <w:sz w:val="18"/>
                <w:szCs w:val="18"/>
              </w:rPr>
              <w:t xml:space="preserve"> </w:t>
            </w:r>
            <w:r w:rsidRPr="00B33CD5">
              <w:rPr>
                <w:rFonts w:cs="Calibri"/>
                <w:color w:val="FFFFFF" w:themeColor="background1"/>
                <w:sz w:val="18"/>
                <w:szCs w:val="18"/>
              </w:rPr>
              <w:t>For example, ‘Burley Griffin Agency’ does not have any assets in Level 1 and as such only disclosures for Level 2 and Level 3 have been included in the above Property, Plant and Equipment note. It is not expected that any agencies will have Property, Plant and Equipment contained in Level 1.</w:t>
            </w:r>
          </w:p>
        </w:tc>
      </w:tr>
      <w:tr w:rsidR="00B33CD5" w:rsidRPr="00CF7E1B" w14:paraId="446C8517" w14:textId="77777777" w:rsidTr="005F5B4C">
        <w:trPr>
          <w:cantSplit/>
          <w:trHeight w:val="23"/>
        </w:trPr>
        <w:tc>
          <w:tcPr>
            <w:tcW w:w="746" w:type="pct"/>
            <w:tcBorders>
              <w:top w:val="nil"/>
              <w:left w:val="single" w:sz="2" w:space="0" w:color="auto"/>
              <w:bottom w:val="nil"/>
              <w:right w:val="single" w:sz="2" w:space="0" w:color="auto"/>
            </w:tcBorders>
          </w:tcPr>
          <w:p w14:paraId="71A0548D"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2ED88B80" w14:textId="6B4C9019" w:rsidR="00B33CD5" w:rsidRPr="000F51E0" w:rsidRDefault="00B33CD5" w:rsidP="00B33CD5">
            <w:pPr>
              <w:pStyle w:val="CommentaryText"/>
              <w:spacing w:after="40"/>
              <w:rPr>
                <w:rFonts w:cs="Calibri"/>
                <w:i/>
                <w:iCs/>
                <w:color w:val="FFFFFF" w:themeColor="background1"/>
                <w:szCs w:val="20"/>
              </w:rPr>
            </w:pPr>
            <w:r w:rsidRPr="000F51E0">
              <w:rPr>
                <w:rFonts w:cs="Calibri"/>
                <w:i/>
                <w:iCs/>
                <w:color w:val="FFFFFF" w:themeColor="background1"/>
                <w:szCs w:val="20"/>
              </w:rPr>
              <w:t>Following Policy for Transfers Between Levels of the Fair Value Hierarchy</w:t>
            </w:r>
          </w:p>
        </w:tc>
      </w:tr>
      <w:tr w:rsidR="00B33CD5" w:rsidRPr="00CF7E1B" w14:paraId="374BADC5" w14:textId="77777777" w:rsidTr="005F5B4C">
        <w:trPr>
          <w:cantSplit/>
          <w:trHeight w:val="23"/>
        </w:trPr>
        <w:tc>
          <w:tcPr>
            <w:tcW w:w="746" w:type="pct"/>
            <w:tcBorders>
              <w:top w:val="nil"/>
              <w:left w:val="single" w:sz="2" w:space="0" w:color="auto"/>
              <w:bottom w:val="nil"/>
              <w:right w:val="single" w:sz="2" w:space="0" w:color="auto"/>
            </w:tcBorders>
          </w:tcPr>
          <w:p w14:paraId="3DE3A83D"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44EAF342" w14:textId="25BFD2E7" w:rsidR="00B33CD5" w:rsidRPr="00B33CD5" w:rsidRDefault="00B33CD5" w:rsidP="00B33CD5">
            <w:pPr>
              <w:pStyle w:val="CommentaryText"/>
              <w:spacing w:after="40"/>
              <w:rPr>
                <w:rFonts w:cs="Calibri"/>
                <w:color w:val="FFFFFF" w:themeColor="background1"/>
                <w:sz w:val="18"/>
                <w:szCs w:val="18"/>
              </w:rPr>
            </w:pPr>
            <w:r w:rsidRPr="00B33CD5">
              <w:rPr>
                <w:rFonts w:cs="Calibri"/>
                <w:color w:val="FFFFFF" w:themeColor="background1"/>
                <w:sz w:val="18"/>
                <w:szCs w:val="18"/>
              </w:rPr>
              <w:t>Agencies shall disclose and consistently follow its policy for determining when transfers between levels of the Fair Value Hierarchy are deemed to have occurred. The policy about the timing of recognising transfers shall be the same for transfers into the levels as for transfers out of the levels.</w:t>
            </w:r>
            <w:r w:rsidR="00FA7C77">
              <w:rPr>
                <w:rFonts w:cs="Calibri"/>
                <w:color w:val="FFFFFF" w:themeColor="background1"/>
                <w:sz w:val="18"/>
                <w:szCs w:val="18"/>
              </w:rPr>
              <w:t xml:space="preserve"> </w:t>
            </w:r>
            <w:r w:rsidRPr="00B33CD5">
              <w:rPr>
                <w:rFonts w:cs="Calibri"/>
                <w:color w:val="FFFFFF" w:themeColor="background1"/>
                <w:sz w:val="18"/>
                <w:szCs w:val="18"/>
              </w:rPr>
              <w:t>Examples of policies for determining the timing of transfers include the following:</w:t>
            </w:r>
          </w:p>
          <w:p w14:paraId="04830C50" w14:textId="16D7FBB3" w:rsidR="00B33CD5" w:rsidRDefault="00B33CD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date of the event or change in circumstance that caused the transfer;</w:t>
            </w:r>
          </w:p>
          <w:p w14:paraId="327C0AAB" w14:textId="0721E73F" w:rsidR="00B33CD5" w:rsidRDefault="00B33CD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the beginning of the reporting period; or</w:t>
            </w:r>
          </w:p>
          <w:p w14:paraId="61B9FDD5" w14:textId="5BB1FF09" w:rsidR="00B33CD5" w:rsidRPr="00B33CD5" w:rsidRDefault="00B33CD5"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the end of the reporting period.</w:t>
            </w:r>
          </w:p>
        </w:tc>
      </w:tr>
      <w:tr w:rsidR="00B33CD5" w:rsidRPr="00CF7E1B" w14:paraId="3E20F065" w14:textId="77777777" w:rsidTr="005F5B4C">
        <w:trPr>
          <w:cantSplit/>
          <w:trHeight w:val="23"/>
        </w:trPr>
        <w:tc>
          <w:tcPr>
            <w:tcW w:w="746" w:type="pct"/>
            <w:tcBorders>
              <w:top w:val="nil"/>
              <w:left w:val="single" w:sz="2" w:space="0" w:color="auto"/>
              <w:bottom w:val="nil"/>
              <w:right w:val="single" w:sz="2" w:space="0" w:color="auto"/>
            </w:tcBorders>
          </w:tcPr>
          <w:p w14:paraId="16BFA0D2" w14:textId="5691EFF5"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13.93(b)</w:t>
            </w:r>
          </w:p>
        </w:tc>
        <w:tc>
          <w:tcPr>
            <w:tcW w:w="4254" w:type="pct"/>
            <w:tcBorders>
              <w:top w:val="nil"/>
              <w:left w:val="single" w:sz="2" w:space="0" w:color="auto"/>
              <w:bottom w:val="nil"/>
              <w:right w:val="nil"/>
            </w:tcBorders>
            <w:shd w:val="clear" w:color="auto" w:fill="7030A0"/>
            <w:vAlign w:val="bottom"/>
          </w:tcPr>
          <w:p w14:paraId="50894B77" w14:textId="37AF753A"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Agencies shall disclose the level of the Fair Value Hierarchy within which the fair value measurements are categorised in their entirety (Level 1, 2 or 3).</w:t>
            </w:r>
          </w:p>
        </w:tc>
      </w:tr>
      <w:tr w:rsidR="00B33CD5" w:rsidRPr="00675698" w14:paraId="3FFD8FC7" w14:textId="77777777" w:rsidTr="005F5B4C">
        <w:trPr>
          <w:cantSplit/>
          <w:trHeight w:val="23"/>
        </w:trPr>
        <w:tc>
          <w:tcPr>
            <w:tcW w:w="746" w:type="pct"/>
            <w:tcBorders>
              <w:top w:val="nil"/>
              <w:left w:val="single" w:sz="2" w:space="0" w:color="auto"/>
              <w:bottom w:val="nil"/>
              <w:right w:val="single" w:sz="2" w:space="0" w:color="auto"/>
            </w:tcBorders>
          </w:tcPr>
          <w:p w14:paraId="16E857C8"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tcPr>
          <w:p w14:paraId="6A7C5CB6" w14:textId="6A81E3E0" w:rsidR="00B33CD5" w:rsidRPr="000F51E0" w:rsidRDefault="00B33CD5" w:rsidP="00B33CD5">
            <w:pPr>
              <w:pStyle w:val="CommentaryText"/>
              <w:spacing w:after="40"/>
              <w:rPr>
                <w:rFonts w:cs="Calibri"/>
                <w:bCs/>
                <w:i/>
                <w:iCs/>
                <w:color w:val="FFFFFF" w:themeColor="background1"/>
                <w:szCs w:val="20"/>
              </w:rPr>
            </w:pPr>
            <w:r w:rsidRPr="000F51E0">
              <w:rPr>
                <w:rFonts w:cs="Calibri"/>
                <w:bCs/>
                <w:i/>
                <w:iCs/>
                <w:color w:val="FFFFFF" w:themeColor="background1"/>
                <w:szCs w:val="20"/>
              </w:rPr>
              <w:t>Fair Value Disclosures – General</w:t>
            </w:r>
          </w:p>
        </w:tc>
      </w:tr>
      <w:tr w:rsidR="00B33CD5" w:rsidRPr="00675698" w14:paraId="356FA3C5" w14:textId="77777777" w:rsidTr="005F5B4C">
        <w:trPr>
          <w:cantSplit/>
          <w:trHeight w:val="23"/>
        </w:trPr>
        <w:tc>
          <w:tcPr>
            <w:tcW w:w="746" w:type="pct"/>
            <w:tcBorders>
              <w:top w:val="nil"/>
              <w:left w:val="single" w:sz="2" w:space="0" w:color="auto"/>
              <w:bottom w:val="nil"/>
              <w:right w:val="single" w:sz="2" w:space="0" w:color="auto"/>
            </w:tcBorders>
          </w:tcPr>
          <w:p w14:paraId="0D4FE594" w14:textId="3C3C21C1"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13.94(a)&amp;(b)</w:t>
            </w:r>
          </w:p>
          <w:p w14:paraId="4D272293" w14:textId="77777777"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13.95</w:t>
            </w:r>
          </w:p>
          <w:p w14:paraId="71664A00" w14:textId="77777777" w:rsidR="00B33CD5" w:rsidRPr="00B33CD5"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tcPr>
          <w:p w14:paraId="7C31D1B7" w14:textId="77777777" w:rsidR="00B33CD5" w:rsidRPr="00B33CD5" w:rsidRDefault="00B33CD5" w:rsidP="00B33CD5">
            <w:pPr>
              <w:pStyle w:val="CommentaryText"/>
              <w:spacing w:after="40"/>
              <w:rPr>
                <w:rFonts w:cs="Calibri"/>
                <w:color w:val="FFFFFF" w:themeColor="background1"/>
                <w:sz w:val="18"/>
                <w:szCs w:val="18"/>
              </w:rPr>
            </w:pPr>
            <w:r w:rsidRPr="00B33CD5">
              <w:rPr>
                <w:rFonts w:cs="Calibri"/>
                <w:color w:val="FFFFFF" w:themeColor="background1"/>
                <w:sz w:val="18"/>
                <w:szCs w:val="18"/>
              </w:rPr>
              <w:t>Agencies need to classify assets and liabilities on the basis of the following:</w:t>
            </w:r>
          </w:p>
          <w:p w14:paraId="1E475317" w14:textId="67610FFE" w:rsidR="00B33CD5" w:rsidRPr="00B33CD5" w:rsidRDefault="00B33CD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B33CD5">
              <w:rPr>
                <w:rFonts w:cs="Calibri"/>
                <w:color w:val="FFFFFF" w:themeColor="background1"/>
                <w:sz w:val="18"/>
                <w:szCs w:val="18"/>
              </w:rPr>
              <w:t xml:space="preserve">the nature, characteristics and risks of the asset or liability; and </w:t>
            </w:r>
          </w:p>
          <w:p w14:paraId="314B6BB4" w14:textId="77777777" w:rsidR="00B33CD5" w:rsidRPr="00B33CD5" w:rsidRDefault="00B33CD5"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B33CD5">
              <w:rPr>
                <w:rFonts w:cs="Calibri"/>
                <w:color w:val="FFFFFF" w:themeColor="background1"/>
                <w:sz w:val="18"/>
                <w:szCs w:val="18"/>
              </w:rPr>
              <w:t>the level of the Fair Value Hierarchy within which the fair value measurement is categorised.</w:t>
            </w:r>
          </w:p>
        </w:tc>
      </w:tr>
      <w:tr w:rsidR="00B33CD5" w:rsidRPr="00675698" w14:paraId="06921B9B" w14:textId="77777777" w:rsidTr="005F5B4C">
        <w:trPr>
          <w:cantSplit/>
          <w:trHeight w:val="23"/>
        </w:trPr>
        <w:tc>
          <w:tcPr>
            <w:tcW w:w="746" w:type="pct"/>
            <w:tcBorders>
              <w:top w:val="nil"/>
              <w:left w:val="single" w:sz="2" w:space="0" w:color="auto"/>
              <w:bottom w:val="nil"/>
              <w:right w:val="single" w:sz="2" w:space="0" w:color="auto"/>
            </w:tcBorders>
          </w:tcPr>
          <w:p w14:paraId="2DC8A317" w14:textId="55AACA50"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13.93(a)</w:t>
            </w:r>
          </w:p>
        </w:tc>
        <w:tc>
          <w:tcPr>
            <w:tcW w:w="4254" w:type="pct"/>
            <w:tcBorders>
              <w:top w:val="nil"/>
              <w:left w:val="single" w:sz="2" w:space="0" w:color="auto"/>
              <w:bottom w:val="nil"/>
              <w:right w:val="nil"/>
            </w:tcBorders>
            <w:shd w:val="clear" w:color="auto" w:fill="7030A0"/>
            <w:vAlign w:val="bottom"/>
          </w:tcPr>
          <w:p w14:paraId="052564A1" w14:textId="32DD8B79"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 xml:space="preserve">Agencies shall disclose the fair value measurement of assets and liabilities at the end of the reporting period. </w:t>
            </w:r>
          </w:p>
        </w:tc>
      </w:tr>
      <w:tr w:rsidR="00B33CD5" w:rsidRPr="00675698" w14:paraId="41CB2FC6" w14:textId="77777777" w:rsidTr="005F5B4C">
        <w:trPr>
          <w:cantSplit/>
          <w:trHeight w:val="23"/>
        </w:trPr>
        <w:tc>
          <w:tcPr>
            <w:tcW w:w="746" w:type="pct"/>
            <w:tcBorders>
              <w:top w:val="nil"/>
              <w:left w:val="single" w:sz="2" w:space="0" w:color="auto"/>
              <w:bottom w:val="nil"/>
              <w:right w:val="single" w:sz="2" w:space="0" w:color="auto"/>
            </w:tcBorders>
          </w:tcPr>
          <w:p w14:paraId="2870808B" w14:textId="1F6C3DD0"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13.99</w:t>
            </w:r>
          </w:p>
        </w:tc>
        <w:tc>
          <w:tcPr>
            <w:tcW w:w="4254" w:type="pct"/>
            <w:tcBorders>
              <w:top w:val="nil"/>
              <w:left w:val="single" w:sz="2" w:space="0" w:color="auto"/>
              <w:bottom w:val="nil"/>
              <w:right w:val="nil"/>
            </w:tcBorders>
            <w:shd w:val="clear" w:color="auto" w:fill="7030A0"/>
            <w:vAlign w:val="bottom"/>
          </w:tcPr>
          <w:p w14:paraId="7F0018FA" w14:textId="3EBDE25E"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Agencies shall present the quantitative disclosures required by AASB 13</w:t>
            </w:r>
            <w:r w:rsidR="00773769">
              <w:rPr>
                <w:rFonts w:cs="Calibri"/>
                <w:color w:val="FFFFFF" w:themeColor="background1"/>
                <w:sz w:val="18"/>
                <w:szCs w:val="18"/>
              </w:rPr>
              <w:t xml:space="preserve"> </w:t>
            </w:r>
            <w:r w:rsidR="00773769">
              <w:rPr>
                <w:rFonts w:cs="Calibri"/>
                <w:i/>
                <w:iCs/>
                <w:color w:val="FFFFFF" w:themeColor="background1"/>
                <w:sz w:val="18"/>
                <w:szCs w:val="18"/>
              </w:rPr>
              <w:t>Fair Value Measurement</w:t>
            </w:r>
            <w:r w:rsidRPr="00B33CD5">
              <w:rPr>
                <w:rFonts w:cs="Calibri"/>
                <w:color w:val="FFFFFF" w:themeColor="background1"/>
                <w:sz w:val="18"/>
                <w:szCs w:val="18"/>
              </w:rPr>
              <w:t xml:space="preserve"> in a tabular format unless another format is more appropriate.</w:t>
            </w:r>
          </w:p>
        </w:tc>
      </w:tr>
      <w:tr w:rsidR="00B33CD5" w:rsidRPr="009E6A89" w14:paraId="36B79EB8" w14:textId="77777777" w:rsidTr="005F5B4C">
        <w:trPr>
          <w:cantSplit/>
          <w:trHeight w:val="23"/>
        </w:trPr>
        <w:tc>
          <w:tcPr>
            <w:tcW w:w="746" w:type="pct"/>
            <w:tcBorders>
              <w:top w:val="nil"/>
              <w:left w:val="single" w:sz="2" w:space="0" w:color="auto"/>
              <w:bottom w:val="nil"/>
              <w:right w:val="single" w:sz="2" w:space="0" w:color="auto"/>
            </w:tcBorders>
          </w:tcPr>
          <w:p w14:paraId="688C6F92" w14:textId="77777777" w:rsidR="00B33CD5" w:rsidRPr="00B33CD5" w:rsidRDefault="00B33CD5" w:rsidP="00B33CD5">
            <w:pPr>
              <w:pStyle w:val="TableReference"/>
              <w:tabs>
                <w:tab w:val="left" w:pos="3306"/>
              </w:tabs>
              <w:rPr>
                <w:rFonts w:cs="Calibri"/>
                <w:b/>
                <w:color w:val="7030A0"/>
                <w:sz w:val="22"/>
                <w:szCs w:val="22"/>
              </w:rPr>
            </w:pPr>
            <w:r w:rsidRPr="00B33CD5">
              <w:rPr>
                <w:rFonts w:cs="Calibri"/>
                <w:color w:val="7030A0"/>
              </w:rPr>
              <w:br w:type="page"/>
            </w:r>
          </w:p>
        </w:tc>
        <w:tc>
          <w:tcPr>
            <w:tcW w:w="4254" w:type="pct"/>
            <w:tcBorders>
              <w:top w:val="nil"/>
              <w:left w:val="single" w:sz="2" w:space="0" w:color="auto"/>
              <w:bottom w:val="nil"/>
              <w:right w:val="nil"/>
            </w:tcBorders>
            <w:shd w:val="clear" w:color="auto" w:fill="7030A0"/>
            <w:vAlign w:val="bottom"/>
          </w:tcPr>
          <w:p w14:paraId="6EA1228E" w14:textId="5425AEF7" w:rsidR="00B33CD5" w:rsidRPr="000F51E0" w:rsidRDefault="00B33CD5" w:rsidP="000F51E0">
            <w:pPr>
              <w:pStyle w:val="CommentaryText"/>
              <w:spacing w:after="60"/>
              <w:rPr>
                <w:rFonts w:cs="Calibri"/>
                <w:bCs/>
                <w:color w:val="FFFFFF" w:themeColor="background1"/>
                <w:szCs w:val="20"/>
              </w:rPr>
            </w:pPr>
            <w:r w:rsidRPr="000F51E0">
              <w:rPr>
                <w:rFonts w:cs="Calibri"/>
                <w:b/>
                <w:color w:val="FFFFFF" w:themeColor="background1"/>
                <w:szCs w:val="20"/>
              </w:rPr>
              <w:t>Depreciation</w:t>
            </w:r>
          </w:p>
        </w:tc>
      </w:tr>
      <w:tr w:rsidR="00B33CD5" w:rsidRPr="00771BDB" w14:paraId="04FB3004" w14:textId="77777777" w:rsidTr="005F5B4C">
        <w:trPr>
          <w:cantSplit/>
          <w:trHeight w:val="23"/>
        </w:trPr>
        <w:tc>
          <w:tcPr>
            <w:tcW w:w="746" w:type="pct"/>
            <w:tcBorders>
              <w:top w:val="nil"/>
              <w:left w:val="single" w:sz="2" w:space="0" w:color="auto"/>
              <w:bottom w:val="nil"/>
              <w:right w:val="single" w:sz="2" w:space="0" w:color="auto"/>
            </w:tcBorders>
          </w:tcPr>
          <w:p w14:paraId="3D50B982" w14:textId="77777777" w:rsidR="00B33CD5" w:rsidRPr="00B33CD5" w:rsidRDefault="00B33CD5" w:rsidP="00B33CD5">
            <w:pPr>
              <w:pStyle w:val="TableReference"/>
              <w:tabs>
                <w:tab w:val="left" w:pos="3306"/>
              </w:tabs>
              <w:spacing w:before="60"/>
              <w:rPr>
                <w:rFonts w:cs="Calibri"/>
                <w:color w:val="7030A0"/>
                <w:sz w:val="16"/>
                <w:szCs w:val="16"/>
              </w:rPr>
            </w:pPr>
          </w:p>
        </w:tc>
        <w:tc>
          <w:tcPr>
            <w:tcW w:w="4254" w:type="pct"/>
            <w:tcBorders>
              <w:top w:val="nil"/>
              <w:left w:val="single" w:sz="2" w:space="0" w:color="auto"/>
              <w:bottom w:val="nil"/>
              <w:right w:val="nil"/>
            </w:tcBorders>
            <w:shd w:val="clear" w:color="auto" w:fill="7030A0"/>
            <w:vAlign w:val="bottom"/>
          </w:tcPr>
          <w:p w14:paraId="5CE980B3" w14:textId="77777777" w:rsidR="00B33CD5" w:rsidRPr="000F51E0" w:rsidRDefault="00B33CD5" w:rsidP="00B33CD5">
            <w:pPr>
              <w:pStyle w:val="CommentaryText"/>
              <w:spacing w:after="0"/>
              <w:rPr>
                <w:rFonts w:cs="Calibri"/>
                <w:i/>
                <w:iCs/>
                <w:color w:val="FFFFFF" w:themeColor="background1"/>
                <w:szCs w:val="20"/>
              </w:rPr>
            </w:pPr>
            <w:r w:rsidRPr="000F51E0">
              <w:rPr>
                <w:rFonts w:cs="Calibri"/>
                <w:i/>
                <w:iCs/>
                <w:color w:val="FFFFFF" w:themeColor="background1"/>
                <w:szCs w:val="20"/>
              </w:rPr>
              <w:t>Depreciation of Land</w:t>
            </w:r>
          </w:p>
        </w:tc>
      </w:tr>
      <w:tr w:rsidR="00B33CD5" w:rsidRPr="009E6A89" w14:paraId="31949770" w14:textId="77777777" w:rsidTr="005F5B4C">
        <w:trPr>
          <w:cantSplit/>
          <w:trHeight w:val="23"/>
        </w:trPr>
        <w:tc>
          <w:tcPr>
            <w:tcW w:w="746" w:type="pct"/>
            <w:tcBorders>
              <w:top w:val="nil"/>
              <w:left w:val="single" w:sz="2" w:space="0" w:color="auto"/>
              <w:bottom w:val="nil"/>
              <w:right w:val="single" w:sz="2" w:space="0" w:color="auto"/>
            </w:tcBorders>
          </w:tcPr>
          <w:p w14:paraId="336DCCE4" w14:textId="77777777" w:rsidR="00B33CD5" w:rsidRPr="00B33CD5" w:rsidRDefault="00B33CD5" w:rsidP="00B33CD5">
            <w:pPr>
              <w:pStyle w:val="TableReference"/>
              <w:tabs>
                <w:tab w:val="left" w:pos="3306"/>
              </w:tabs>
              <w:spacing w:before="60"/>
              <w:rPr>
                <w:rFonts w:cs="Calibri"/>
                <w:color w:val="7030A0"/>
                <w:sz w:val="14"/>
              </w:rPr>
            </w:pPr>
            <w:r w:rsidRPr="00B33CD5">
              <w:rPr>
                <w:rFonts w:cs="Calibri"/>
                <w:color w:val="7030A0"/>
                <w:sz w:val="14"/>
              </w:rPr>
              <w:t>AASB 116.58 &amp; 59</w:t>
            </w:r>
          </w:p>
        </w:tc>
        <w:tc>
          <w:tcPr>
            <w:tcW w:w="4254" w:type="pct"/>
            <w:tcBorders>
              <w:top w:val="nil"/>
              <w:left w:val="single" w:sz="2" w:space="0" w:color="auto"/>
              <w:bottom w:val="nil"/>
              <w:right w:val="nil"/>
            </w:tcBorders>
            <w:shd w:val="clear" w:color="auto" w:fill="7030A0"/>
            <w:vAlign w:val="bottom"/>
          </w:tcPr>
          <w:p w14:paraId="17A1B474" w14:textId="6BC92169" w:rsidR="00B33CD5" w:rsidRPr="00B33CD5" w:rsidRDefault="00B33CD5" w:rsidP="00B33CD5">
            <w:pPr>
              <w:pStyle w:val="TableText"/>
              <w:jc w:val="both"/>
              <w:rPr>
                <w:rFonts w:cs="Calibri"/>
                <w:color w:val="FFFFFF" w:themeColor="background1"/>
              </w:rPr>
            </w:pPr>
            <w:r w:rsidRPr="00B33CD5">
              <w:rPr>
                <w:rFonts w:cs="Calibri"/>
                <w:color w:val="FFFFFF" w:themeColor="background1"/>
              </w:rPr>
              <w:t>With some exceptions, such as quarries or landfill, land has an unlimited useful life and therefore is not depreciated.</w:t>
            </w:r>
            <w:r w:rsidR="00FA7C77">
              <w:rPr>
                <w:rFonts w:cs="Calibri"/>
                <w:color w:val="FFFFFF" w:themeColor="background1"/>
              </w:rPr>
              <w:t xml:space="preserve"> </w:t>
            </w:r>
            <w:r w:rsidRPr="00B33CD5">
              <w:rPr>
                <w:rFonts w:cs="Calibri"/>
                <w:color w:val="FFFFFF" w:themeColor="background1"/>
              </w:rPr>
              <w:t>Where land is required to be restored after it has been used, this cost must be capitalised into the carrying amount of the land and a relevant provision raised.</w:t>
            </w:r>
            <w:r w:rsidR="00FA7C77">
              <w:rPr>
                <w:rFonts w:cs="Calibri"/>
                <w:color w:val="FFFFFF" w:themeColor="background1"/>
              </w:rPr>
              <w:t xml:space="preserve"> </w:t>
            </w:r>
            <w:r w:rsidRPr="00B33CD5">
              <w:rPr>
                <w:rFonts w:cs="Calibri"/>
                <w:color w:val="FFFFFF" w:themeColor="background1"/>
              </w:rPr>
              <w:t>That portion of the land’s cost is then depreciated over the period the land will be used (i.e. until the time the land is restored).</w:t>
            </w:r>
            <w:r w:rsidR="00FA7C77">
              <w:rPr>
                <w:rFonts w:cs="Calibri"/>
                <w:color w:val="FFFFFF" w:themeColor="background1"/>
              </w:rPr>
              <w:t xml:space="preserve"> </w:t>
            </w:r>
            <w:r w:rsidRPr="00B33CD5">
              <w:rPr>
                <w:rFonts w:cs="Calibri"/>
                <w:color w:val="FFFFFF" w:themeColor="background1"/>
              </w:rPr>
              <w:t xml:space="preserve">For example, where an agency has a landfill site which is required to be restored by law at the end of 10 years, the restoration portion of the land’s value will be depreciated over the next 10 years. </w:t>
            </w:r>
          </w:p>
        </w:tc>
      </w:tr>
      <w:tr w:rsidR="00B33CD5" w:rsidRPr="009E6A89" w14:paraId="12F5BC64" w14:textId="77777777" w:rsidTr="005F5B4C">
        <w:trPr>
          <w:cantSplit/>
          <w:trHeight w:val="23"/>
        </w:trPr>
        <w:tc>
          <w:tcPr>
            <w:tcW w:w="746" w:type="pct"/>
            <w:tcBorders>
              <w:top w:val="nil"/>
              <w:left w:val="single" w:sz="2" w:space="0" w:color="auto"/>
              <w:bottom w:val="nil"/>
              <w:right w:val="single" w:sz="2" w:space="0" w:color="auto"/>
            </w:tcBorders>
          </w:tcPr>
          <w:p w14:paraId="2C82809A" w14:textId="77777777" w:rsidR="00B33CD5" w:rsidRPr="00B33CD5"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258C506A" w14:textId="7E319DA0" w:rsidR="00B33CD5" w:rsidRPr="000F51E0" w:rsidRDefault="00B33CD5" w:rsidP="00B33CD5">
            <w:pPr>
              <w:pStyle w:val="TableText"/>
              <w:jc w:val="both"/>
              <w:rPr>
                <w:rFonts w:cs="Calibri"/>
                <w:color w:val="FFFFFF" w:themeColor="background1"/>
                <w:sz w:val="20"/>
                <w:szCs w:val="20"/>
              </w:rPr>
            </w:pPr>
            <w:r w:rsidRPr="000F51E0">
              <w:rPr>
                <w:rFonts w:cs="Calibri"/>
                <w:i/>
                <w:iCs/>
                <w:color w:val="FFFFFF" w:themeColor="background1"/>
                <w:sz w:val="20"/>
                <w:szCs w:val="20"/>
              </w:rPr>
              <w:t xml:space="preserve">Depreciation of Right-of-Use </w:t>
            </w:r>
            <w:r w:rsidR="000F51E0">
              <w:rPr>
                <w:rFonts w:cs="Calibri"/>
                <w:i/>
                <w:iCs/>
                <w:color w:val="FFFFFF" w:themeColor="background1"/>
                <w:sz w:val="20"/>
                <w:szCs w:val="20"/>
              </w:rPr>
              <w:t>A</w:t>
            </w:r>
            <w:r w:rsidRPr="000F51E0">
              <w:rPr>
                <w:rFonts w:cs="Calibri"/>
                <w:i/>
                <w:iCs/>
                <w:color w:val="FFFFFF" w:themeColor="background1"/>
                <w:sz w:val="20"/>
                <w:szCs w:val="20"/>
              </w:rPr>
              <w:t>ssets</w:t>
            </w:r>
          </w:p>
        </w:tc>
      </w:tr>
      <w:tr w:rsidR="00B33CD5" w:rsidRPr="009E6A89" w14:paraId="177C0627" w14:textId="77777777" w:rsidTr="005F5B4C">
        <w:trPr>
          <w:cantSplit/>
          <w:trHeight w:val="23"/>
        </w:trPr>
        <w:tc>
          <w:tcPr>
            <w:tcW w:w="746" w:type="pct"/>
            <w:tcBorders>
              <w:top w:val="nil"/>
              <w:left w:val="single" w:sz="2" w:space="0" w:color="auto"/>
              <w:bottom w:val="nil"/>
              <w:right w:val="single" w:sz="2" w:space="0" w:color="auto"/>
            </w:tcBorders>
          </w:tcPr>
          <w:p w14:paraId="7848FF8C" w14:textId="77777777" w:rsidR="00B33CD5" w:rsidRPr="00B33CD5" w:rsidRDefault="00B33CD5" w:rsidP="00B33CD5">
            <w:pPr>
              <w:pStyle w:val="TableReference"/>
              <w:tabs>
                <w:tab w:val="left" w:pos="3306"/>
              </w:tabs>
              <w:spacing w:before="60"/>
              <w:rPr>
                <w:rFonts w:cs="Calibri"/>
                <w:color w:val="7030A0"/>
                <w:sz w:val="14"/>
              </w:rPr>
            </w:pPr>
            <w:r w:rsidRPr="00B33CD5">
              <w:rPr>
                <w:rFonts w:cs="Calibri"/>
                <w:color w:val="7030A0"/>
                <w:sz w:val="14"/>
              </w:rPr>
              <w:t>AASB 16.57</w:t>
            </w:r>
          </w:p>
        </w:tc>
        <w:tc>
          <w:tcPr>
            <w:tcW w:w="4254" w:type="pct"/>
            <w:tcBorders>
              <w:top w:val="nil"/>
              <w:left w:val="single" w:sz="2" w:space="0" w:color="auto"/>
              <w:bottom w:val="nil"/>
              <w:right w:val="nil"/>
            </w:tcBorders>
            <w:shd w:val="clear" w:color="auto" w:fill="7030A0"/>
            <w:vAlign w:val="bottom"/>
          </w:tcPr>
          <w:p w14:paraId="2380990B" w14:textId="71CF2A49" w:rsidR="00B33CD5" w:rsidRPr="00B33CD5" w:rsidRDefault="00B33CD5" w:rsidP="00B33CD5">
            <w:pPr>
              <w:pStyle w:val="TableText"/>
              <w:spacing w:after="120"/>
              <w:jc w:val="both"/>
              <w:rPr>
                <w:rFonts w:cs="Calibri"/>
                <w:color w:val="FFFFFF" w:themeColor="background1"/>
              </w:rPr>
            </w:pPr>
            <w:r w:rsidRPr="00B33CD5">
              <w:rPr>
                <w:rFonts w:cs="Calibri"/>
                <w:color w:val="FFFFFF" w:themeColor="background1"/>
              </w:rPr>
              <w:t>Right-of-Use assets are generally depreciated over the shorter of the asset’s useful life and the lease term.</w:t>
            </w:r>
            <w:r w:rsidR="00FA7C77">
              <w:rPr>
                <w:rFonts w:cs="Calibri"/>
                <w:color w:val="FFFFFF" w:themeColor="background1"/>
              </w:rPr>
              <w:t xml:space="preserve"> </w:t>
            </w:r>
            <w:r w:rsidRPr="00B33CD5">
              <w:rPr>
                <w:rFonts w:cs="Calibri"/>
                <w:color w:val="FFFFFF" w:themeColor="background1"/>
              </w:rPr>
              <w:t>Where the agency obtains ownership of the underlying leased asset or if the cost of the right-of-use asset reflects that the agency will exercise a purchase option, the agency depreciates the right-of-use asset over its useful life.</w:t>
            </w:r>
          </w:p>
        </w:tc>
      </w:tr>
      <w:tr w:rsidR="00B33CD5" w:rsidRPr="009E6A89" w14:paraId="69D56C09" w14:textId="77777777" w:rsidTr="005F5B4C">
        <w:trPr>
          <w:cantSplit/>
          <w:trHeight w:val="23"/>
        </w:trPr>
        <w:tc>
          <w:tcPr>
            <w:tcW w:w="746" w:type="pct"/>
            <w:tcBorders>
              <w:top w:val="nil"/>
              <w:left w:val="single" w:sz="2" w:space="0" w:color="auto"/>
              <w:bottom w:val="nil"/>
              <w:right w:val="single" w:sz="2" w:space="0" w:color="auto"/>
            </w:tcBorders>
          </w:tcPr>
          <w:p w14:paraId="0C04C0C4" w14:textId="77777777" w:rsidR="00B33CD5" w:rsidRPr="00B33CD5"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2D63D454" w14:textId="77777777" w:rsidR="00B33CD5" w:rsidRPr="000F51E0" w:rsidRDefault="00B33CD5" w:rsidP="00B33CD5">
            <w:pPr>
              <w:pStyle w:val="CommentaryText"/>
              <w:spacing w:after="0"/>
              <w:rPr>
                <w:rFonts w:cs="Calibri"/>
                <w:b/>
                <w:bCs/>
                <w:color w:val="FFFFFF" w:themeColor="background1"/>
                <w:szCs w:val="20"/>
              </w:rPr>
            </w:pPr>
            <w:r w:rsidRPr="000F51E0">
              <w:rPr>
                <w:rFonts w:cs="Calibri"/>
                <w:b/>
                <w:bCs/>
                <w:color w:val="FFFFFF" w:themeColor="background1"/>
                <w:szCs w:val="20"/>
              </w:rPr>
              <w:t>Useful Lives</w:t>
            </w:r>
          </w:p>
        </w:tc>
      </w:tr>
      <w:tr w:rsidR="00B33CD5" w:rsidRPr="009E6A89" w14:paraId="4A8B8808" w14:textId="77777777" w:rsidTr="005F5B4C">
        <w:trPr>
          <w:cantSplit/>
          <w:trHeight w:val="23"/>
        </w:trPr>
        <w:tc>
          <w:tcPr>
            <w:tcW w:w="746" w:type="pct"/>
            <w:tcBorders>
              <w:top w:val="nil"/>
              <w:left w:val="single" w:sz="2" w:space="0" w:color="auto"/>
              <w:bottom w:val="nil"/>
              <w:right w:val="single" w:sz="2" w:space="0" w:color="auto"/>
            </w:tcBorders>
          </w:tcPr>
          <w:p w14:paraId="3B9E8716" w14:textId="77777777" w:rsidR="00B33CD5" w:rsidRPr="00B33CD5" w:rsidRDefault="00B33CD5" w:rsidP="00B33CD5">
            <w:pPr>
              <w:pStyle w:val="TableReference"/>
              <w:tabs>
                <w:tab w:val="left" w:pos="3306"/>
              </w:tabs>
              <w:spacing w:before="60"/>
              <w:rPr>
                <w:rFonts w:cs="Calibri"/>
                <w:color w:val="7030A0"/>
                <w:sz w:val="14"/>
              </w:rPr>
            </w:pPr>
            <w:r w:rsidRPr="00B33CD5">
              <w:rPr>
                <w:rFonts w:cs="Calibri"/>
                <w:color w:val="7030A0"/>
                <w:sz w:val="14"/>
              </w:rPr>
              <w:t>AASB 116.51</w:t>
            </w:r>
          </w:p>
          <w:p w14:paraId="4BB12D76" w14:textId="77777777" w:rsidR="00B33CD5" w:rsidRPr="00B33CD5" w:rsidRDefault="00B33CD5" w:rsidP="00B33CD5">
            <w:pPr>
              <w:pStyle w:val="TableReference"/>
              <w:tabs>
                <w:tab w:val="left" w:pos="3306"/>
              </w:tabs>
              <w:rPr>
                <w:rFonts w:cs="Calibri"/>
                <w:color w:val="7030A0"/>
                <w:sz w:val="14"/>
              </w:rPr>
            </w:pPr>
          </w:p>
        </w:tc>
        <w:tc>
          <w:tcPr>
            <w:tcW w:w="4254" w:type="pct"/>
            <w:tcBorders>
              <w:top w:val="nil"/>
              <w:left w:val="single" w:sz="2" w:space="0" w:color="auto"/>
              <w:bottom w:val="nil"/>
              <w:right w:val="nil"/>
            </w:tcBorders>
            <w:shd w:val="clear" w:color="auto" w:fill="7030A0"/>
          </w:tcPr>
          <w:p w14:paraId="6729D2DE" w14:textId="233BDF82"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 xml:space="preserve">Agencies must assess their asset’s useful lives at the end of each reporting period and where expectations differ from previous estimates, the changes shall be accounted for as a change in accounting estimate in accordance with AASB 108 </w:t>
            </w:r>
            <w:r w:rsidRPr="00B33CD5">
              <w:rPr>
                <w:rFonts w:cs="Calibri"/>
                <w:i/>
                <w:iCs/>
                <w:color w:val="FFFFFF" w:themeColor="background1"/>
                <w:sz w:val="18"/>
                <w:szCs w:val="18"/>
              </w:rPr>
              <w:t>Accounting Policies, Changes in Accounting Estimates and Errors</w:t>
            </w:r>
            <w:r w:rsidRPr="00B33CD5">
              <w:rPr>
                <w:rFonts w:cs="Calibri"/>
                <w:color w:val="FFFFFF" w:themeColor="background1"/>
                <w:sz w:val="18"/>
                <w:szCs w:val="18"/>
              </w:rPr>
              <w:t>.</w:t>
            </w:r>
            <w:r w:rsidR="00FA7C77">
              <w:rPr>
                <w:rFonts w:cs="Calibri"/>
                <w:color w:val="FFFFFF" w:themeColor="background1"/>
                <w:sz w:val="18"/>
                <w:szCs w:val="18"/>
              </w:rPr>
              <w:t xml:space="preserve"> </w:t>
            </w:r>
          </w:p>
        </w:tc>
      </w:tr>
      <w:tr w:rsidR="00B33CD5" w:rsidRPr="009E6A89" w14:paraId="1C0ED369" w14:textId="77777777" w:rsidTr="005F5B4C">
        <w:trPr>
          <w:cantSplit/>
          <w:trHeight w:val="23"/>
        </w:trPr>
        <w:tc>
          <w:tcPr>
            <w:tcW w:w="746" w:type="pct"/>
            <w:tcBorders>
              <w:top w:val="nil"/>
              <w:left w:val="single" w:sz="2" w:space="0" w:color="auto"/>
              <w:bottom w:val="nil"/>
              <w:right w:val="single" w:sz="2" w:space="0" w:color="auto"/>
            </w:tcBorders>
          </w:tcPr>
          <w:p w14:paraId="65EE7EA2" w14:textId="77777777" w:rsidR="00B33CD5" w:rsidRPr="00B33CD5" w:rsidRDefault="00B33CD5" w:rsidP="00B33CD5">
            <w:pPr>
              <w:pStyle w:val="TableReference"/>
              <w:tabs>
                <w:tab w:val="left" w:pos="3306"/>
              </w:tabs>
              <w:spacing w:before="60"/>
              <w:rPr>
                <w:rFonts w:cs="Calibri"/>
                <w:color w:val="7030A0"/>
                <w:sz w:val="14"/>
              </w:rPr>
            </w:pPr>
            <w:r w:rsidRPr="00B33CD5">
              <w:rPr>
                <w:rFonts w:cs="Calibri"/>
                <w:color w:val="7030A0"/>
                <w:sz w:val="14"/>
              </w:rPr>
              <w:t>AASB 108.36</w:t>
            </w:r>
          </w:p>
        </w:tc>
        <w:tc>
          <w:tcPr>
            <w:tcW w:w="4254" w:type="pct"/>
            <w:tcBorders>
              <w:top w:val="nil"/>
              <w:left w:val="single" w:sz="2" w:space="0" w:color="auto"/>
              <w:bottom w:val="nil"/>
              <w:right w:val="nil"/>
            </w:tcBorders>
            <w:shd w:val="clear" w:color="auto" w:fill="7030A0"/>
            <w:vAlign w:val="bottom"/>
          </w:tcPr>
          <w:p w14:paraId="097D03FE" w14:textId="40BA3FF6"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Changes in accounting estimates are required to be recognised prospectively in the Operating Statement by including it as revenue or expense in the reporting period in which the accounting estimate is revised, if the revision affects that reporting period only, or in the reporting period of the revision and future reporting periods, if the revision affects both the current and future reporting periods.</w:t>
            </w:r>
          </w:p>
        </w:tc>
      </w:tr>
      <w:tr w:rsidR="00B33CD5" w:rsidRPr="00E94AEC" w14:paraId="5000A846" w14:textId="77777777" w:rsidTr="005F5B4C">
        <w:trPr>
          <w:cantSplit/>
          <w:trHeight w:val="23"/>
        </w:trPr>
        <w:tc>
          <w:tcPr>
            <w:tcW w:w="746" w:type="pct"/>
            <w:tcBorders>
              <w:top w:val="nil"/>
              <w:left w:val="single" w:sz="2" w:space="0" w:color="auto"/>
              <w:bottom w:val="nil"/>
              <w:right w:val="single" w:sz="2" w:space="0" w:color="auto"/>
            </w:tcBorders>
          </w:tcPr>
          <w:p w14:paraId="63684357" w14:textId="77777777" w:rsidR="00B33CD5" w:rsidRPr="00B33CD5" w:rsidRDefault="00B33CD5" w:rsidP="00B33CD5">
            <w:pPr>
              <w:pStyle w:val="CommentaryReference"/>
              <w:spacing w:before="60"/>
              <w:rPr>
                <w:rFonts w:cs="Calibri"/>
                <w:color w:val="7030A0"/>
                <w:szCs w:val="14"/>
              </w:rPr>
            </w:pPr>
          </w:p>
        </w:tc>
        <w:tc>
          <w:tcPr>
            <w:tcW w:w="4254" w:type="pct"/>
            <w:tcBorders>
              <w:top w:val="nil"/>
              <w:left w:val="single" w:sz="2" w:space="0" w:color="auto"/>
              <w:bottom w:val="nil"/>
              <w:right w:val="nil"/>
            </w:tcBorders>
            <w:shd w:val="clear" w:color="auto" w:fill="7030A0"/>
            <w:vAlign w:val="bottom"/>
          </w:tcPr>
          <w:p w14:paraId="31EC4430" w14:textId="2048DAA5" w:rsidR="00B33CD5" w:rsidRPr="000F51E0" w:rsidRDefault="00B33CD5" w:rsidP="00B33CD5">
            <w:pPr>
              <w:pStyle w:val="CommentaryText"/>
              <w:spacing w:after="40"/>
              <w:rPr>
                <w:rFonts w:cs="Calibri"/>
                <w:b/>
                <w:bCs/>
                <w:color w:val="FFFFFF" w:themeColor="background1"/>
                <w:szCs w:val="20"/>
              </w:rPr>
            </w:pPr>
            <w:r w:rsidRPr="000F51E0">
              <w:rPr>
                <w:rFonts w:cs="Calibri"/>
                <w:b/>
                <w:bCs/>
                <w:color w:val="FFFFFF" w:themeColor="background1"/>
                <w:szCs w:val="20"/>
              </w:rPr>
              <w:t>Highest and Best Use</w:t>
            </w:r>
          </w:p>
        </w:tc>
      </w:tr>
      <w:tr w:rsidR="00B33CD5" w:rsidRPr="00E94AEC" w14:paraId="5551A41D" w14:textId="77777777" w:rsidTr="005F5B4C">
        <w:trPr>
          <w:cantSplit/>
          <w:trHeight w:val="23"/>
        </w:trPr>
        <w:tc>
          <w:tcPr>
            <w:tcW w:w="746" w:type="pct"/>
            <w:tcBorders>
              <w:top w:val="nil"/>
              <w:left w:val="single" w:sz="2" w:space="0" w:color="auto"/>
              <w:bottom w:val="nil"/>
              <w:right w:val="single" w:sz="2" w:space="0" w:color="auto"/>
            </w:tcBorders>
          </w:tcPr>
          <w:p w14:paraId="194BD721" w14:textId="77777777" w:rsidR="00B33CD5" w:rsidRPr="00B33CD5" w:rsidRDefault="00B33CD5" w:rsidP="00B33CD5">
            <w:pPr>
              <w:pStyle w:val="CommentaryReference"/>
              <w:spacing w:before="60"/>
              <w:rPr>
                <w:rFonts w:cs="Calibri"/>
                <w:color w:val="7030A0"/>
                <w:szCs w:val="14"/>
              </w:rPr>
            </w:pPr>
            <w:r w:rsidRPr="00B33CD5">
              <w:rPr>
                <w:rFonts w:cs="Calibri"/>
                <w:color w:val="7030A0"/>
                <w:szCs w:val="14"/>
              </w:rPr>
              <w:t>ASSB 13.93(i)</w:t>
            </w:r>
          </w:p>
        </w:tc>
        <w:tc>
          <w:tcPr>
            <w:tcW w:w="4254" w:type="pct"/>
            <w:tcBorders>
              <w:top w:val="nil"/>
              <w:left w:val="single" w:sz="2" w:space="0" w:color="auto"/>
              <w:bottom w:val="nil"/>
              <w:right w:val="nil"/>
            </w:tcBorders>
            <w:shd w:val="clear" w:color="auto" w:fill="7030A0"/>
          </w:tcPr>
          <w:p w14:paraId="0D88D4A0" w14:textId="77777777" w:rsidR="00B33CD5" w:rsidRPr="00B33CD5" w:rsidRDefault="00B33CD5" w:rsidP="00B33CD5">
            <w:pPr>
              <w:pStyle w:val="CommentaryText"/>
              <w:jc w:val="left"/>
              <w:rPr>
                <w:rFonts w:cs="Calibri"/>
                <w:color w:val="FFFFFF" w:themeColor="background1"/>
                <w:sz w:val="18"/>
                <w:szCs w:val="18"/>
              </w:rPr>
            </w:pPr>
            <w:r w:rsidRPr="00B33CD5">
              <w:rPr>
                <w:rFonts w:cs="Calibri"/>
                <w:color w:val="FFFFFF" w:themeColor="background1"/>
                <w:sz w:val="18"/>
                <w:szCs w:val="18"/>
              </w:rPr>
              <w:t>If the highest and best use of a non-financial asset differs from its current use, agencies shall disclose that fact and why the non-financial asset is being used in a manner that differs from its highest and best use.</w:t>
            </w:r>
          </w:p>
        </w:tc>
      </w:tr>
      <w:tr w:rsidR="00B33CD5" w:rsidRPr="00E94AEC" w14:paraId="1BCB9F1D" w14:textId="77777777" w:rsidTr="005F5B4C">
        <w:trPr>
          <w:cantSplit/>
          <w:trHeight w:val="23"/>
        </w:trPr>
        <w:tc>
          <w:tcPr>
            <w:tcW w:w="746" w:type="pct"/>
            <w:tcBorders>
              <w:top w:val="nil"/>
              <w:left w:val="single" w:sz="2" w:space="0" w:color="auto"/>
              <w:bottom w:val="nil"/>
              <w:right w:val="single" w:sz="2" w:space="0" w:color="auto"/>
            </w:tcBorders>
          </w:tcPr>
          <w:p w14:paraId="3811C9E6" w14:textId="77777777" w:rsidR="00B33CD5" w:rsidRPr="00B33CD5" w:rsidRDefault="00B33CD5" w:rsidP="00B33CD5">
            <w:pPr>
              <w:pStyle w:val="CommentaryReference"/>
              <w:spacing w:before="60"/>
              <w:rPr>
                <w:rFonts w:cs="Calibri"/>
                <w:color w:val="7030A0"/>
                <w:szCs w:val="14"/>
              </w:rPr>
            </w:pPr>
            <w:r w:rsidRPr="00B33CD5">
              <w:rPr>
                <w:rFonts w:cs="Calibri"/>
                <w:color w:val="7030A0"/>
                <w:szCs w:val="14"/>
              </w:rPr>
              <w:t>AASB 13.27 &amp; 28</w:t>
            </w:r>
          </w:p>
        </w:tc>
        <w:tc>
          <w:tcPr>
            <w:tcW w:w="4254" w:type="pct"/>
            <w:tcBorders>
              <w:top w:val="nil"/>
              <w:left w:val="single" w:sz="2" w:space="0" w:color="auto"/>
              <w:bottom w:val="nil"/>
              <w:right w:val="nil"/>
            </w:tcBorders>
            <w:shd w:val="clear" w:color="auto" w:fill="7030A0"/>
            <w:vAlign w:val="bottom"/>
          </w:tcPr>
          <w:p w14:paraId="1D7B3C79" w14:textId="77777777" w:rsidR="00B33CD5" w:rsidRPr="00B33CD5" w:rsidRDefault="00B33CD5" w:rsidP="00B33CD5">
            <w:pPr>
              <w:pStyle w:val="CommentaryText"/>
              <w:rPr>
                <w:rFonts w:cs="Calibri"/>
                <w:color w:val="FFFFFF" w:themeColor="background1"/>
                <w:sz w:val="18"/>
                <w:szCs w:val="18"/>
              </w:rPr>
            </w:pPr>
            <w:r w:rsidRPr="00B33CD5">
              <w:rPr>
                <w:rFonts w:cs="Calibri"/>
                <w:color w:val="FFFFFF" w:themeColor="background1"/>
                <w:sz w:val="18"/>
                <w:szCs w:val="18"/>
              </w:rPr>
              <w:t>The highest and best use of a non-financial asset takes into account the use of the asset that is physically possible (given location and size), legally permissible (given zoning regulations), and financially feasible (generates adequate income or cash flows).</w:t>
            </w:r>
          </w:p>
        </w:tc>
      </w:tr>
      <w:tr w:rsidR="00B33CD5" w:rsidRPr="00675698" w14:paraId="11EF7CB9" w14:textId="77777777" w:rsidTr="005F5B4C">
        <w:trPr>
          <w:cantSplit/>
          <w:trHeight w:val="23"/>
        </w:trPr>
        <w:tc>
          <w:tcPr>
            <w:tcW w:w="746" w:type="pct"/>
            <w:tcBorders>
              <w:top w:val="nil"/>
              <w:left w:val="single" w:sz="2" w:space="0" w:color="auto"/>
              <w:bottom w:val="nil"/>
              <w:right w:val="single" w:sz="2" w:space="0" w:color="auto"/>
            </w:tcBorders>
          </w:tcPr>
          <w:p w14:paraId="1DD355F0" w14:textId="2F55CC37" w:rsidR="00B33CD5" w:rsidRPr="00B33CD5" w:rsidRDefault="00B33CD5" w:rsidP="000F51E0">
            <w:pPr>
              <w:pStyle w:val="NormalSFLeadIn"/>
              <w:spacing w:before="0" w:after="240"/>
              <w:rPr>
                <w:rFonts w:cs="Calibri"/>
                <w:b/>
                <w:bCs/>
                <w:color w:val="7030A0"/>
                <w:szCs w:val="14"/>
              </w:rPr>
            </w:pPr>
            <w:r w:rsidRPr="00B33CD5">
              <w:rPr>
                <w:b/>
                <w:bCs/>
                <w:color w:val="7030A0"/>
              </w:rPr>
              <w:t>Reference</w:t>
            </w:r>
          </w:p>
        </w:tc>
        <w:tc>
          <w:tcPr>
            <w:tcW w:w="4254" w:type="pct"/>
            <w:tcBorders>
              <w:top w:val="nil"/>
              <w:left w:val="single" w:sz="2" w:space="0" w:color="auto"/>
              <w:bottom w:val="nil"/>
              <w:right w:val="nil"/>
            </w:tcBorders>
            <w:shd w:val="clear" w:color="auto" w:fill="7030A0"/>
            <w:vAlign w:val="bottom"/>
          </w:tcPr>
          <w:p w14:paraId="4F94939B" w14:textId="749630C0" w:rsidR="00B33CD5" w:rsidRPr="000106B3" w:rsidRDefault="00B33CD5" w:rsidP="000F51E0">
            <w:pPr>
              <w:pStyle w:val="CommentaryText"/>
              <w:spacing w:after="240"/>
              <w:rPr>
                <w:rFonts w:cs="Calibri"/>
                <w:b/>
                <w:bCs/>
                <w:color w:val="FFFFFF" w:themeColor="background1"/>
                <w:sz w:val="18"/>
              </w:rPr>
            </w:pPr>
            <w:r w:rsidRPr="000106B3">
              <w:rPr>
                <w:rFonts w:cs="Calibri"/>
                <w:b/>
                <w:bCs/>
                <w:color w:val="FFFFFF" w:themeColor="background1"/>
                <w:sz w:val="28"/>
                <w:szCs w:val="28"/>
              </w:rPr>
              <w:t>Commentary – Note 19: Property, Plant and Equipment</w:t>
            </w:r>
            <w:r w:rsidR="00EF02F9">
              <w:rPr>
                <w:rFonts w:cs="Calibri"/>
                <w:b/>
                <w:bCs/>
                <w:color w:val="FFFFFF" w:themeColor="background1"/>
                <w:sz w:val="28"/>
                <w:szCs w:val="28"/>
              </w:rPr>
              <w:t xml:space="preserve"> </w:t>
            </w:r>
            <w:r w:rsidR="000F51E0">
              <w:rPr>
                <w:rFonts w:cs="Calibri"/>
                <w:b/>
                <w:bCs/>
                <w:color w:val="FFFFFF" w:themeColor="background1"/>
                <w:sz w:val="28"/>
                <w:szCs w:val="28"/>
              </w:rPr>
              <w:t>–</w:t>
            </w:r>
            <w:r w:rsidR="00EF02F9">
              <w:rPr>
                <w:rFonts w:cs="Calibri"/>
                <w:b/>
                <w:bCs/>
                <w:color w:val="FFFFFF" w:themeColor="background1"/>
                <w:sz w:val="28"/>
                <w:szCs w:val="28"/>
              </w:rPr>
              <w:t xml:space="preserve"> Continued</w:t>
            </w:r>
            <w:r w:rsidR="000F51E0">
              <w:rPr>
                <w:rFonts w:cs="Calibri"/>
                <w:b/>
                <w:bCs/>
                <w:color w:val="FFFFFF" w:themeColor="background1"/>
                <w:sz w:val="28"/>
                <w:szCs w:val="28"/>
              </w:rPr>
              <w:t xml:space="preserve"> </w:t>
            </w:r>
          </w:p>
        </w:tc>
      </w:tr>
      <w:tr w:rsidR="00B33CD5" w:rsidRPr="00675698" w14:paraId="45F502A8" w14:textId="77777777" w:rsidTr="005F5B4C">
        <w:trPr>
          <w:cantSplit/>
          <w:trHeight w:val="23"/>
        </w:trPr>
        <w:tc>
          <w:tcPr>
            <w:tcW w:w="746" w:type="pct"/>
            <w:tcBorders>
              <w:top w:val="nil"/>
              <w:left w:val="single" w:sz="2" w:space="0" w:color="auto"/>
              <w:bottom w:val="nil"/>
              <w:right w:val="single" w:sz="2" w:space="0" w:color="auto"/>
            </w:tcBorders>
            <w:vAlign w:val="bottom"/>
          </w:tcPr>
          <w:p w14:paraId="2AF460E6" w14:textId="77777777" w:rsidR="00B33CD5" w:rsidRPr="00675698" w:rsidRDefault="00B33CD5" w:rsidP="00B33CD5">
            <w:pPr>
              <w:pStyle w:val="CommentaryReference"/>
              <w:spacing w:before="60"/>
              <w:rPr>
                <w:rFonts w:cs="Calibri"/>
                <w:color w:val="538135" w:themeColor="accent6" w:themeShade="BF"/>
                <w:szCs w:val="14"/>
              </w:rPr>
            </w:pPr>
          </w:p>
        </w:tc>
        <w:tc>
          <w:tcPr>
            <w:tcW w:w="4254" w:type="pct"/>
            <w:tcBorders>
              <w:top w:val="nil"/>
              <w:left w:val="single" w:sz="2" w:space="0" w:color="auto"/>
              <w:bottom w:val="nil"/>
              <w:right w:val="nil"/>
            </w:tcBorders>
            <w:shd w:val="clear" w:color="auto" w:fill="7030A0"/>
            <w:vAlign w:val="bottom"/>
          </w:tcPr>
          <w:p w14:paraId="7C3630A4" w14:textId="2EA50D75" w:rsidR="00B33CD5" w:rsidRPr="000F51E0" w:rsidRDefault="00B33CD5" w:rsidP="00B33CD5">
            <w:pPr>
              <w:pStyle w:val="CommentaryText"/>
              <w:spacing w:after="40"/>
              <w:rPr>
                <w:rFonts w:cs="Calibri"/>
                <w:b/>
                <w:bCs/>
                <w:color w:val="FFFFFF" w:themeColor="background1"/>
                <w:szCs w:val="20"/>
              </w:rPr>
            </w:pPr>
            <w:r w:rsidRPr="000F51E0">
              <w:rPr>
                <w:rFonts w:cs="Calibri"/>
                <w:b/>
                <w:bCs/>
                <w:color w:val="FFFFFF" w:themeColor="background1"/>
                <w:szCs w:val="20"/>
              </w:rPr>
              <w:t>Voluntary Disclosures</w:t>
            </w:r>
          </w:p>
        </w:tc>
      </w:tr>
      <w:tr w:rsidR="00B33CD5" w:rsidRPr="00675698" w14:paraId="65E86D1D" w14:textId="77777777" w:rsidTr="005F5B4C">
        <w:trPr>
          <w:cantSplit/>
          <w:trHeight w:val="23"/>
        </w:trPr>
        <w:tc>
          <w:tcPr>
            <w:tcW w:w="746" w:type="pct"/>
            <w:tcBorders>
              <w:top w:val="nil"/>
              <w:left w:val="single" w:sz="2" w:space="0" w:color="auto"/>
              <w:bottom w:val="nil"/>
              <w:right w:val="single" w:sz="2" w:space="0" w:color="auto"/>
            </w:tcBorders>
          </w:tcPr>
          <w:p w14:paraId="6ACED7B5" w14:textId="54CF7203" w:rsidR="00B33CD5" w:rsidRPr="000106B3" w:rsidRDefault="00B33CD5" w:rsidP="00B33CD5">
            <w:pPr>
              <w:rPr>
                <w:rFonts w:cs="Calibri"/>
                <w:color w:val="7030A0"/>
                <w:sz w:val="16"/>
              </w:rPr>
            </w:pPr>
            <w:r w:rsidRPr="000106B3">
              <w:rPr>
                <w:rFonts w:cs="Calibri"/>
                <w:color w:val="7030A0"/>
                <w:sz w:val="14"/>
              </w:rPr>
              <w:t>AASB 116.79</w:t>
            </w:r>
          </w:p>
        </w:tc>
        <w:tc>
          <w:tcPr>
            <w:tcW w:w="4254" w:type="pct"/>
            <w:tcBorders>
              <w:top w:val="nil"/>
              <w:left w:val="single" w:sz="2" w:space="0" w:color="auto"/>
              <w:bottom w:val="nil"/>
              <w:right w:val="nil"/>
            </w:tcBorders>
            <w:shd w:val="clear" w:color="auto" w:fill="7030A0"/>
            <w:vAlign w:val="bottom"/>
          </w:tcPr>
          <w:p w14:paraId="3468D95C" w14:textId="5C2E2997" w:rsidR="00B33CD5" w:rsidRPr="000106B3" w:rsidRDefault="00B33CD5" w:rsidP="00B33CD5">
            <w:pPr>
              <w:pStyle w:val="CommentaryText"/>
              <w:spacing w:after="40"/>
              <w:rPr>
                <w:rFonts w:cs="Calibri"/>
                <w:color w:val="FFFFFF" w:themeColor="background1"/>
                <w:sz w:val="18"/>
                <w:szCs w:val="18"/>
              </w:rPr>
            </w:pPr>
            <w:r w:rsidRPr="000106B3">
              <w:rPr>
                <w:rFonts w:cs="Calibri"/>
                <w:color w:val="FFFFFF" w:themeColor="background1"/>
                <w:sz w:val="18"/>
                <w:szCs w:val="18"/>
              </w:rPr>
              <w:t>To assist users of financial statements, the following voluntary disclosures are recommended:</w:t>
            </w:r>
          </w:p>
          <w:p w14:paraId="35675F16" w14:textId="77777777" w:rsidR="00B33CD5" w:rsidRPr="000106B3" w:rsidRDefault="00B33CD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0106B3">
              <w:rPr>
                <w:rFonts w:cs="Calibri"/>
                <w:color w:val="FFFFFF" w:themeColor="background1"/>
                <w:sz w:val="18"/>
                <w:szCs w:val="18"/>
              </w:rPr>
              <w:t>the carrying amount of temporarily idle property, plant and equipment;</w:t>
            </w:r>
          </w:p>
          <w:p w14:paraId="59B79F77" w14:textId="31C67426" w:rsidR="00B33CD5" w:rsidRPr="000106B3" w:rsidRDefault="00B33CD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0106B3">
              <w:rPr>
                <w:rFonts w:cs="Calibri"/>
                <w:color w:val="FFFFFF" w:themeColor="background1"/>
                <w:sz w:val="18"/>
                <w:szCs w:val="18"/>
              </w:rPr>
              <w:t>the gross carrying amount of any fully depreciated property, plant and equipment that is still in use; and</w:t>
            </w:r>
          </w:p>
          <w:p w14:paraId="1C363052" w14:textId="746D7537" w:rsidR="00B33CD5" w:rsidRPr="000106B3" w:rsidRDefault="00B33CD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0F51E0">
              <w:rPr>
                <w:rFonts w:cs="Calibri"/>
                <w:color w:val="FFFFFF" w:themeColor="background1"/>
                <w:sz w:val="18"/>
                <w:szCs w:val="18"/>
              </w:rPr>
              <w:t xml:space="preserve">the carrying amount of property, plant and equipment retired from active use and not classified as held for sale in accordance with AASB 5 </w:t>
            </w:r>
            <w:r w:rsidRPr="000F51E0">
              <w:rPr>
                <w:rFonts w:cs="Calibri"/>
                <w:i/>
                <w:iCs/>
                <w:color w:val="FFFFFF" w:themeColor="background1"/>
                <w:sz w:val="18"/>
                <w:szCs w:val="18"/>
              </w:rPr>
              <w:t>Non-current Assets Held for Sale and Discontinued Operations</w:t>
            </w:r>
            <w:r w:rsidRPr="000F51E0">
              <w:rPr>
                <w:rFonts w:cs="Calibri"/>
                <w:color w:val="FFFFFF" w:themeColor="background1"/>
                <w:sz w:val="18"/>
                <w:szCs w:val="18"/>
              </w:rPr>
              <w:t>.</w:t>
            </w:r>
          </w:p>
        </w:tc>
      </w:tr>
      <w:tr w:rsidR="00B33CD5" w:rsidRPr="00244458" w14:paraId="222FCC0D" w14:textId="77777777" w:rsidTr="005F5B4C">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tcPr>
          <w:p w14:paraId="4BE20DE4" w14:textId="77777777" w:rsidR="00B33CD5" w:rsidRPr="000106B3"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3A3BC636" w14:textId="77777777" w:rsidR="00B33CD5" w:rsidRPr="000F51E0" w:rsidRDefault="00B33CD5" w:rsidP="00B33CD5">
            <w:pPr>
              <w:pStyle w:val="CommentaryText"/>
              <w:spacing w:before="120" w:after="0"/>
              <w:rPr>
                <w:b/>
                <w:bCs/>
                <w:color w:val="FFFFFF" w:themeColor="background1"/>
                <w:szCs w:val="20"/>
              </w:rPr>
            </w:pPr>
            <w:r w:rsidRPr="000F51E0">
              <w:rPr>
                <w:b/>
                <w:bCs/>
                <w:color w:val="FFFFFF" w:themeColor="background1"/>
                <w:szCs w:val="20"/>
              </w:rPr>
              <w:t>Disclosures required by Lessors that have Operating Leases involving Property, Plant and Equipment</w:t>
            </w:r>
          </w:p>
        </w:tc>
      </w:tr>
      <w:tr w:rsidR="00B33CD5" w:rsidRPr="00244458" w14:paraId="3AE9DC5F" w14:textId="77777777" w:rsidTr="005F5B4C">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tcPr>
          <w:p w14:paraId="1EB3DEAC" w14:textId="77777777" w:rsidR="00B33CD5" w:rsidRPr="000106B3" w:rsidRDefault="00B33CD5" w:rsidP="00B33CD5">
            <w:pPr>
              <w:pStyle w:val="TableReference"/>
              <w:tabs>
                <w:tab w:val="left" w:pos="3306"/>
              </w:tabs>
              <w:spacing w:before="60"/>
              <w:rPr>
                <w:rFonts w:cs="Calibri"/>
                <w:color w:val="7030A0"/>
                <w:sz w:val="14"/>
              </w:rPr>
            </w:pPr>
            <w:r w:rsidRPr="000106B3">
              <w:rPr>
                <w:rFonts w:cs="Calibri"/>
                <w:color w:val="7030A0"/>
                <w:sz w:val="14"/>
              </w:rPr>
              <w:t>AASB 16.95</w:t>
            </w:r>
          </w:p>
        </w:tc>
        <w:tc>
          <w:tcPr>
            <w:tcW w:w="4254" w:type="pct"/>
            <w:tcBorders>
              <w:top w:val="nil"/>
              <w:left w:val="single" w:sz="2" w:space="0" w:color="auto"/>
              <w:bottom w:val="nil"/>
              <w:right w:val="nil"/>
            </w:tcBorders>
            <w:shd w:val="clear" w:color="auto" w:fill="7030A0"/>
            <w:vAlign w:val="bottom"/>
          </w:tcPr>
          <w:p w14:paraId="75723F0D" w14:textId="77777777" w:rsidR="00B33CD5" w:rsidRPr="000106B3" w:rsidRDefault="00B33CD5" w:rsidP="00B33CD5">
            <w:pPr>
              <w:pStyle w:val="CommentaryText"/>
              <w:rPr>
                <w:rFonts w:cs="Calibri"/>
                <w:color w:val="FFFFFF" w:themeColor="background1"/>
                <w:sz w:val="18"/>
                <w:szCs w:val="18"/>
              </w:rPr>
            </w:pPr>
            <w:r w:rsidRPr="000106B3">
              <w:rPr>
                <w:color w:val="FFFFFF" w:themeColor="background1"/>
                <w:sz w:val="18"/>
                <w:szCs w:val="18"/>
              </w:rPr>
              <w:t>Where an agency is a lessor with operating leases involving property, plant and equipment it needs to provide the disclosures required by AASB 116 separately for the assets subject to an operating lease from those that are held and used by the lessor.</w:t>
            </w:r>
          </w:p>
        </w:tc>
      </w:tr>
      <w:tr w:rsidR="00B33CD5" w:rsidRPr="00CF7E1B" w14:paraId="2CC99DC0" w14:textId="77777777" w:rsidTr="005F5B4C">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vAlign w:val="bottom"/>
          </w:tcPr>
          <w:p w14:paraId="03330CBB" w14:textId="77777777" w:rsidR="00B33CD5" w:rsidRPr="000106B3"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587C1F4C" w14:textId="77777777" w:rsidR="00B33CD5" w:rsidRPr="000F51E0" w:rsidRDefault="00B33CD5" w:rsidP="00B33CD5">
            <w:pPr>
              <w:pStyle w:val="CommentaryHeading"/>
              <w:spacing w:before="0" w:after="0"/>
              <w:rPr>
                <w:rFonts w:cs="Calibri"/>
                <w:color w:val="FFFFFF" w:themeColor="background1"/>
                <w:szCs w:val="20"/>
              </w:rPr>
            </w:pPr>
            <w:r w:rsidRPr="000F51E0">
              <w:rPr>
                <w:rFonts w:cs="Calibri"/>
                <w:color w:val="FFFFFF" w:themeColor="background1"/>
                <w:szCs w:val="20"/>
              </w:rPr>
              <w:t>Compensation from Third Party</w:t>
            </w:r>
          </w:p>
        </w:tc>
      </w:tr>
      <w:tr w:rsidR="00B33CD5" w:rsidRPr="00CF7E1B" w14:paraId="2D3F1190" w14:textId="77777777" w:rsidTr="005F5B4C">
        <w:tblPrEx>
          <w:tblLook w:val="0000" w:firstRow="0" w:lastRow="0" w:firstColumn="0" w:lastColumn="0" w:noHBand="0" w:noVBand="0"/>
        </w:tblPrEx>
        <w:trPr>
          <w:cantSplit/>
          <w:trHeight w:val="23"/>
        </w:trPr>
        <w:tc>
          <w:tcPr>
            <w:tcW w:w="746" w:type="pct"/>
            <w:tcBorders>
              <w:top w:val="nil"/>
              <w:left w:val="single" w:sz="2" w:space="0" w:color="auto"/>
              <w:bottom w:val="nil"/>
              <w:right w:val="single" w:sz="2" w:space="0" w:color="auto"/>
            </w:tcBorders>
          </w:tcPr>
          <w:p w14:paraId="4DB591E3" w14:textId="77777777" w:rsidR="00B33CD5" w:rsidRPr="000106B3" w:rsidRDefault="00B33CD5" w:rsidP="00B33CD5">
            <w:pPr>
              <w:pStyle w:val="TableReference"/>
              <w:tabs>
                <w:tab w:val="left" w:pos="3306"/>
              </w:tabs>
              <w:spacing w:before="60"/>
              <w:rPr>
                <w:rFonts w:cs="Calibri"/>
                <w:color w:val="7030A0"/>
                <w:sz w:val="14"/>
              </w:rPr>
            </w:pPr>
            <w:r w:rsidRPr="000106B3">
              <w:rPr>
                <w:rFonts w:cs="Calibri"/>
                <w:color w:val="7030A0"/>
                <w:sz w:val="14"/>
              </w:rPr>
              <w:t>AASB 116.74(d)</w:t>
            </w:r>
          </w:p>
        </w:tc>
        <w:tc>
          <w:tcPr>
            <w:tcW w:w="4254" w:type="pct"/>
            <w:tcBorders>
              <w:top w:val="nil"/>
              <w:left w:val="single" w:sz="2" w:space="0" w:color="auto"/>
              <w:bottom w:val="nil"/>
              <w:right w:val="nil"/>
            </w:tcBorders>
            <w:shd w:val="clear" w:color="auto" w:fill="7030A0"/>
            <w:vAlign w:val="bottom"/>
          </w:tcPr>
          <w:p w14:paraId="49AA81B6" w14:textId="77777777" w:rsidR="00B33CD5" w:rsidRPr="000106B3" w:rsidRDefault="00B33CD5" w:rsidP="00B33CD5">
            <w:pPr>
              <w:pStyle w:val="CommentaryText"/>
              <w:rPr>
                <w:rFonts w:cs="Calibri"/>
                <w:color w:val="FFFFFF" w:themeColor="background1"/>
                <w:sz w:val="18"/>
                <w:szCs w:val="18"/>
              </w:rPr>
            </w:pPr>
            <w:r w:rsidRPr="000106B3">
              <w:rPr>
                <w:rFonts w:cs="Calibri"/>
                <w:color w:val="FFFFFF" w:themeColor="background1"/>
                <w:sz w:val="18"/>
                <w:szCs w:val="18"/>
              </w:rPr>
              <w:t xml:space="preserve">Agencies must disclose the amount of compensation received from third parties for items of property, plant and equipment that were impaired, lost or given up during the reporting period that have not already been separately disclosed in the Operating Statement. </w:t>
            </w:r>
          </w:p>
        </w:tc>
      </w:tr>
      <w:tr w:rsidR="00B33CD5" w:rsidRPr="00C12C73" w14:paraId="6ADA0F7C" w14:textId="77777777" w:rsidTr="005F5B4C">
        <w:trPr>
          <w:cantSplit/>
          <w:trHeight w:val="23"/>
        </w:trPr>
        <w:tc>
          <w:tcPr>
            <w:tcW w:w="746" w:type="pct"/>
            <w:tcBorders>
              <w:top w:val="nil"/>
              <w:left w:val="single" w:sz="2" w:space="0" w:color="auto"/>
              <w:bottom w:val="nil"/>
              <w:right w:val="single" w:sz="2" w:space="0" w:color="auto"/>
            </w:tcBorders>
          </w:tcPr>
          <w:p w14:paraId="63CB58AF" w14:textId="77777777" w:rsidR="00B33CD5" w:rsidRPr="000106B3" w:rsidRDefault="00B33CD5" w:rsidP="00B33CD5">
            <w:pPr>
              <w:pStyle w:val="TableReference"/>
              <w:tabs>
                <w:tab w:val="left" w:pos="3306"/>
              </w:tabs>
              <w:spacing w:before="60"/>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0B162019" w14:textId="71FE6A68" w:rsidR="00B33CD5" w:rsidRPr="000F51E0" w:rsidRDefault="00B33CD5" w:rsidP="00B33CD5">
            <w:pPr>
              <w:pStyle w:val="CommentaryText"/>
              <w:spacing w:after="40"/>
              <w:rPr>
                <w:rFonts w:cs="Calibri"/>
                <w:b/>
                <w:bCs/>
                <w:iCs/>
                <w:color w:val="FFFFFF" w:themeColor="background1"/>
                <w:szCs w:val="20"/>
              </w:rPr>
            </w:pPr>
            <w:r w:rsidRPr="000F51E0">
              <w:rPr>
                <w:rFonts w:cs="Calibri"/>
                <w:b/>
                <w:bCs/>
                <w:iCs/>
                <w:color w:val="FFFFFF" w:themeColor="background1"/>
                <w:szCs w:val="20"/>
              </w:rPr>
              <w:t xml:space="preserve">Right of Use Assets Acquired by Lessees </w:t>
            </w:r>
          </w:p>
        </w:tc>
      </w:tr>
      <w:tr w:rsidR="00B33CD5" w:rsidRPr="00D52D67" w14:paraId="5AF724EF" w14:textId="77777777" w:rsidTr="005F5B4C">
        <w:trPr>
          <w:cantSplit/>
          <w:trHeight w:val="23"/>
        </w:trPr>
        <w:tc>
          <w:tcPr>
            <w:tcW w:w="746" w:type="pct"/>
            <w:tcBorders>
              <w:top w:val="nil"/>
              <w:left w:val="single" w:sz="2" w:space="0" w:color="auto"/>
              <w:bottom w:val="nil"/>
              <w:right w:val="single" w:sz="2" w:space="0" w:color="auto"/>
            </w:tcBorders>
          </w:tcPr>
          <w:p w14:paraId="45FDC06E" w14:textId="48450ED8"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vAlign w:val="bottom"/>
          </w:tcPr>
          <w:p w14:paraId="32CC1966" w14:textId="77777777" w:rsidR="00B33CD5" w:rsidRPr="000106B3" w:rsidRDefault="00B33CD5" w:rsidP="00B33CD5">
            <w:pPr>
              <w:pStyle w:val="CommentaryText"/>
              <w:spacing w:after="40"/>
              <w:rPr>
                <w:rFonts w:cs="Calibri"/>
                <w:strike/>
                <w:color w:val="FFFFFF" w:themeColor="background1"/>
                <w:sz w:val="18"/>
                <w:szCs w:val="18"/>
              </w:rPr>
            </w:pPr>
            <w:r w:rsidRPr="000106B3">
              <w:rPr>
                <w:color w:val="FFFFFF" w:themeColor="background1"/>
                <w:sz w:val="18"/>
                <w:szCs w:val="18"/>
              </w:rPr>
              <w:t xml:space="preserve">A lessee shall either present in the statement of financial position, or disclose in the notes: </w:t>
            </w:r>
          </w:p>
        </w:tc>
      </w:tr>
      <w:tr w:rsidR="00B33CD5" w:rsidRPr="00D52D67" w14:paraId="4BFFF7C6" w14:textId="77777777" w:rsidTr="005F5B4C">
        <w:trPr>
          <w:cantSplit/>
          <w:trHeight w:val="393"/>
        </w:trPr>
        <w:tc>
          <w:tcPr>
            <w:tcW w:w="746" w:type="pct"/>
            <w:tcBorders>
              <w:top w:val="nil"/>
              <w:left w:val="single" w:sz="2" w:space="0" w:color="auto"/>
              <w:bottom w:val="nil"/>
              <w:right w:val="single" w:sz="2" w:space="0" w:color="auto"/>
            </w:tcBorders>
          </w:tcPr>
          <w:p w14:paraId="5650DE95" w14:textId="77777777"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tcPr>
          <w:p w14:paraId="7777DA55" w14:textId="77777777" w:rsidR="00B33CD5" w:rsidRPr="000106B3" w:rsidRDefault="00B33CD5" w:rsidP="007122BC">
            <w:pPr>
              <w:pStyle w:val="CommentaryText"/>
              <w:keepNext/>
              <w:keepLines/>
              <w:numPr>
                <w:ilvl w:val="0"/>
                <w:numId w:val="53"/>
              </w:numPr>
              <w:tabs>
                <w:tab w:val="left" w:pos="3306"/>
              </w:tabs>
              <w:spacing w:after="0"/>
              <w:ind w:left="463"/>
              <w:rPr>
                <w:color w:val="FFFFFF" w:themeColor="background1"/>
                <w:sz w:val="18"/>
                <w:szCs w:val="18"/>
              </w:rPr>
            </w:pPr>
            <w:r w:rsidRPr="000F51E0">
              <w:rPr>
                <w:rFonts w:cs="Calibri"/>
                <w:color w:val="FFFFFF" w:themeColor="background1"/>
                <w:sz w:val="18"/>
                <w:szCs w:val="18"/>
              </w:rPr>
              <w:t>right-of-use assets separately from other assets. If a lessee does not present right-of-use assets separately in the statement of financial position, the lessee shall:</w:t>
            </w:r>
            <w:r w:rsidRPr="000106B3">
              <w:rPr>
                <w:color w:val="FFFFFF" w:themeColor="background1"/>
                <w:sz w:val="18"/>
                <w:szCs w:val="18"/>
              </w:rPr>
              <w:t xml:space="preserve"> </w:t>
            </w:r>
          </w:p>
        </w:tc>
      </w:tr>
      <w:tr w:rsidR="00B33CD5" w:rsidRPr="00D52D67" w14:paraId="3C1F106C" w14:textId="77777777" w:rsidTr="005F5B4C">
        <w:trPr>
          <w:cantSplit/>
          <w:trHeight w:val="449"/>
        </w:trPr>
        <w:tc>
          <w:tcPr>
            <w:tcW w:w="746" w:type="pct"/>
            <w:tcBorders>
              <w:top w:val="nil"/>
              <w:left w:val="single" w:sz="2" w:space="0" w:color="auto"/>
              <w:bottom w:val="nil"/>
              <w:right w:val="single" w:sz="2" w:space="0" w:color="auto"/>
            </w:tcBorders>
          </w:tcPr>
          <w:p w14:paraId="35D13B60" w14:textId="77777777"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tcPr>
          <w:p w14:paraId="36DFA08D" w14:textId="77777777" w:rsidR="00B33CD5" w:rsidRPr="000106B3" w:rsidRDefault="00B33CD5" w:rsidP="007122BC">
            <w:pPr>
              <w:pStyle w:val="CommentaryText"/>
              <w:numPr>
                <w:ilvl w:val="0"/>
                <w:numId w:val="65"/>
              </w:numPr>
              <w:spacing w:after="40"/>
              <w:ind w:left="877"/>
              <w:jc w:val="left"/>
              <w:rPr>
                <w:color w:val="FFFFFF" w:themeColor="background1"/>
                <w:sz w:val="18"/>
                <w:szCs w:val="18"/>
              </w:rPr>
            </w:pPr>
            <w:r w:rsidRPr="000106B3">
              <w:rPr>
                <w:color w:val="FFFFFF" w:themeColor="background1"/>
                <w:sz w:val="18"/>
                <w:szCs w:val="18"/>
              </w:rPr>
              <w:t>include right-of-use assets within the same line item as that within which the corresponding underlying assets would be presented if they were owned; and</w:t>
            </w:r>
          </w:p>
        </w:tc>
      </w:tr>
      <w:tr w:rsidR="00B33CD5" w:rsidRPr="00D52D67" w14:paraId="09C8C620" w14:textId="77777777" w:rsidTr="005F5B4C">
        <w:trPr>
          <w:cantSplit/>
          <w:trHeight w:val="259"/>
        </w:trPr>
        <w:tc>
          <w:tcPr>
            <w:tcW w:w="746" w:type="pct"/>
            <w:tcBorders>
              <w:top w:val="nil"/>
              <w:left w:val="single" w:sz="2" w:space="0" w:color="auto"/>
              <w:bottom w:val="nil"/>
              <w:right w:val="single" w:sz="2" w:space="0" w:color="auto"/>
            </w:tcBorders>
          </w:tcPr>
          <w:p w14:paraId="0EC5D8DA" w14:textId="77777777"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tcPr>
          <w:p w14:paraId="571CDFF6" w14:textId="77777777" w:rsidR="00B33CD5" w:rsidRPr="000106B3" w:rsidRDefault="00B33CD5" w:rsidP="007122BC">
            <w:pPr>
              <w:pStyle w:val="CommentaryText"/>
              <w:numPr>
                <w:ilvl w:val="0"/>
                <w:numId w:val="65"/>
              </w:numPr>
              <w:ind w:left="873" w:hanging="357"/>
              <w:jc w:val="left"/>
              <w:rPr>
                <w:color w:val="FFFFFF" w:themeColor="background1"/>
                <w:sz w:val="18"/>
                <w:szCs w:val="18"/>
              </w:rPr>
            </w:pPr>
            <w:r w:rsidRPr="000106B3">
              <w:rPr>
                <w:color w:val="FFFFFF" w:themeColor="background1"/>
                <w:sz w:val="18"/>
                <w:szCs w:val="18"/>
              </w:rPr>
              <w:t>disclose which line items in the statement of financial position include those right-of-use assets.</w:t>
            </w:r>
          </w:p>
        </w:tc>
      </w:tr>
      <w:tr w:rsidR="00B33CD5" w:rsidRPr="00D52D67" w14:paraId="57256AA3" w14:textId="77777777" w:rsidTr="005F5B4C">
        <w:trPr>
          <w:cantSplit/>
          <w:trHeight w:val="23"/>
        </w:trPr>
        <w:tc>
          <w:tcPr>
            <w:tcW w:w="746" w:type="pct"/>
            <w:tcBorders>
              <w:top w:val="nil"/>
              <w:left w:val="single" w:sz="2" w:space="0" w:color="auto"/>
              <w:bottom w:val="nil"/>
              <w:right w:val="single" w:sz="2" w:space="0" w:color="auto"/>
            </w:tcBorders>
          </w:tcPr>
          <w:p w14:paraId="7665605C" w14:textId="77777777" w:rsidR="00B33CD5" w:rsidRPr="000106B3" w:rsidRDefault="00B33CD5" w:rsidP="00B33CD5">
            <w:pPr>
              <w:pStyle w:val="TableReference"/>
              <w:tabs>
                <w:tab w:val="left" w:pos="3306"/>
              </w:tabs>
              <w:spacing w:before="60"/>
              <w:rPr>
                <w:rFonts w:cs="Calibri"/>
                <w:color w:val="7030A0"/>
                <w:sz w:val="14"/>
              </w:rPr>
            </w:pPr>
            <w:r w:rsidRPr="000106B3">
              <w:rPr>
                <w:rFonts w:cs="Calibri"/>
                <w:color w:val="7030A0"/>
                <w:sz w:val="14"/>
              </w:rPr>
              <w:t>ACT Disclosure Policy</w:t>
            </w:r>
          </w:p>
          <w:p w14:paraId="2A2EA61B" w14:textId="77777777" w:rsidR="00B33CD5" w:rsidRPr="000106B3" w:rsidRDefault="00B33CD5" w:rsidP="00B33CD5">
            <w:pPr>
              <w:pStyle w:val="TableReference"/>
              <w:tabs>
                <w:tab w:val="left" w:pos="3306"/>
              </w:tabs>
              <w:spacing w:before="60"/>
              <w:rPr>
                <w:rFonts w:cs="Calibri"/>
                <w:strike/>
                <w:color w:val="7030A0"/>
                <w:sz w:val="14"/>
              </w:rPr>
            </w:pPr>
          </w:p>
        </w:tc>
        <w:tc>
          <w:tcPr>
            <w:tcW w:w="4254" w:type="pct"/>
            <w:tcBorders>
              <w:top w:val="nil"/>
              <w:left w:val="single" w:sz="2" w:space="0" w:color="auto"/>
              <w:bottom w:val="nil"/>
              <w:right w:val="nil"/>
            </w:tcBorders>
            <w:shd w:val="clear" w:color="auto" w:fill="7030A0"/>
            <w:vAlign w:val="bottom"/>
          </w:tcPr>
          <w:p w14:paraId="5AA716E0" w14:textId="77777777" w:rsidR="00B33CD5" w:rsidRPr="000106B3" w:rsidRDefault="00B33CD5" w:rsidP="00B33CD5">
            <w:pPr>
              <w:pStyle w:val="CommentaryText"/>
              <w:rPr>
                <w:color w:val="FFFFFF" w:themeColor="background1"/>
                <w:sz w:val="18"/>
                <w:szCs w:val="18"/>
              </w:rPr>
            </w:pPr>
            <w:r w:rsidRPr="000106B3">
              <w:rPr>
                <w:color w:val="FFFFFF" w:themeColor="background1"/>
                <w:sz w:val="18"/>
                <w:szCs w:val="18"/>
              </w:rPr>
              <w:t xml:space="preserve">Given the Model sets out that right-of-use assets are not included on the face of the Balance Sheet, agencies need to include right-of-use assets within the same line item as that within which the corresponding underlying assets would be presented if they were owned. </w:t>
            </w:r>
          </w:p>
        </w:tc>
      </w:tr>
      <w:tr w:rsidR="00B33CD5" w:rsidRPr="00D605D8" w14:paraId="3B3AD6A0" w14:textId="77777777" w:rsidTr="005F5B4C">
        <w:trPr>
          <w:cantSplit/>
          <w:trHeight w:val="23"/>
        </w:trPr>
        <w:tc>
          <w:tcPr>
            <w:tcW w:w="746" w:type="pct"/>
            <w:tcBorders>
              <w:top w:val="nil"/>
              <w:left w:val="single" w:sz="2" w:space="0" w:color="auto"/>
              <w:bottom w:val="nil"/>
              <w:right w:val="single" w:sz="2" w:space="0" w:color="auto"/>
            </w:tcBorders>
          </w:tcPr>
          <w:p w14:paraId="20B9B47D" w14:textId="77777777" w:rsidR="00B33CD5" w:rsidRPr="000106B3" w:rsidRDefault="00B33CD5" w:rsidP="00B33CD5">
            <w:pPr>
              <w:pStyle w:val="TableReference"/>
              <w:tabs>
                <w:tab w:val="left" w:pos="3306"/>
              </w:tabs>
              <w:spacing w:before="60"/>
              <w:rPr>
                <w:rFonts w:cs="Calibri"/>
                <w:color w:val="7030A0"/>
                <w:sz w:val="14"/>
              </w:rPr>
            </w:pPr>
            <w:r w:rsidRPr="000106B3">
              <w:rPr>
                <w:rFonts w:cs="Calibri"/>
                <w:color w:val="7030A0"/>
                <w:sz w:val="14"/>
              </w:rPr>
              <w:t>AASB 16.48</w:t>
            </w:r>
          </w:p>
        </w:tc>
        <w:tc>
          <w:tcPr>
            <w:tcW w:w="4254" w:type="pct"/>
            <w:tcBorders>
              <w:top w:val="nil"/>
              <w:left w:val="single" w:sz="2" w:space="0" w:color="auto"/>
              <w:bottom w:val="nil"/>
              <w:right w:val="nil"/>
            </w:tcBorders>
            <w:shd w:val="clear" w:color="auto" w:fill="7030A0"/>
            <w:vAlign w:val="bottom"/>
          </w:tcPr>
          <w:p w14:paraId="0F4DEAF1" w14:textId="77777777" w:rsidR="00B33CD5" w:rsidRPr="000106B3" w:rsidRDefault="00B33CD5" w:rsidP="00B33CD5">
            <w:pPr>
              <w:pStyle w:val="CommentaryText"/>
              <w:rPr>
                <w:color w:val="FFFFFF" w:themeColor="background1"/>
                <w:sz w:val="18"/>
                <w:szCs w:val="18"/>
              </w:rPr>
            </w:pPr>
            <w:r w:rsidRPr="000106B3">
              <w:rPr>
                <w:color w:val="FFFFFF" w:themeColor="background1"/>
                <w:sz w:val="18"/>
                <w:szCs w:val="18"/>
              </w:rPr>
              <w:t>Right-of-use assets that meet the definition of investment property are presented within Investment Property.</w:t>
            </w:r>
          </w:p>
        </w:tc>
      </w:tr>
      <w:tr w:rsidR="00B33CD5" w:rsidRPr="00C41F18" w14:paraId="1A1CA44F" w14:textId="77777777" w:rsidTr="005F5B4C">
        <w:trPr>
          <w:cantSplit/>
          <w:trHeight w:val="23"/>
        </w:trPr>
        <w:tc>
          <w:tcPr>
            <w:tcW w:w="746" w:type="pct"/>
            <w:tcBorders>
              <w:top w:val="nil"/>
              <w:left w:val="single" w:sz="2" w:space="0" w:color="auto"/>
              <w:bottom w:val="nil"/>
              <w:right w:val="single" w:sz="2" w:space="0" w:color="auto"/>
            </w:tcBorders>
          </w:tcPr>
          <w:p w14:paraId="12B3C3DA" w14:textId="77777777" w:rsidR="00B33CD5" w:rsidRPr="000106B3" w:rsidRDefault="00B33CD5" w:rsidP="00B33CD5">
            <w:pPr>
              <w:pStyle w:val="TableReference"/>
              <w:tabs>
                <w:tab w:val="left" w:pos="3306"/>
              </w:tabs>
              <w:rPr>
                <w:rFonts w:cs="Calibri"/>
                <w:color w:val="7030A0"/>
                <w:sz w:val="14"/>
              </w:rPr>
            </w:pPr>
          </w:p>
        </w:tc>
        <w:tc>
          <w:tcPr>
            <w:tcW w:w="4254" w:type="pct"/>
            <w:tcBorders>
              <w:top w:val="nil"/>
              <w:left w:val="single" w:sz="2" w:space="0" w:color="auto"/>
              <w:bottom w:val="nil"/>
              <w:right w:val="nil"/>
            </w:tcBorders>
            <w:shd w:val="clear" w:color="auto" w:fill="7030A0"/>
            <w:vAlign w:val="bottom"/>
          </w:tcPr>
          <w:p w14:paraId="156D387C" w14:textId="77777777" w:rsidR="00B33CD5" w:rsidRPr="000F51E0" w:rsidRDefault="00B33CD5" w:rsidP="00B33CD5">
            <w:pPr>
              <w:pStyle w:val="CommentaryText"/>
              <w:spacing w:after="40"/>
              <w:rPr>
                <w:b/>
                <w:bCs/>
                <w:color w:val="FFFFFF" w:themeColor="background1"/>
                <w:szCs w:val="20"/>
              </w:rPr>
            </w:pPr>
            <w:r w:rsidRPr="000F51E0">
              <w:rPr>
                <w:b/>
                <w:bCs/>
                <w:color w:val="FFFFFF" w:themeColor="background1"/>
                <w:szCs w:val="20"/>
              </w:rPr>
              <w:t>Treatment of Revaluation Decrements</w:t>
            </w:r>
          </w:p>
        </w:tc>
      </w:tr>
      <w:tr w:rsidR="00B33CD5" w:rsidRPr="00C41F18" w14:paraId="3324E06C" w14:textId="77777777" w:rsidTr="005F5B4C">
        <w:trPr>
          <w:cantSplit/>
          <w:trHeight w:val="23"/>
        </w:trPr>
        <w:tc>
          <w:tcPr>
            <w:tcW w:w="746" w:type="pct"/>
            <w:tcBorders>
              <w:top w:val="nil"/>
              <w:left w:val="single" w:sz="2" w:space="0" w:color="auto"/>
              <w:bottom w:val="nil"/>
              <w:right w:val="single" w:sz="2" w:space="0" w:color="auto"/>
            </w:tcBorders>
          </w:tcPr>
          <w:p w14:paraId="57D82FD2" w14:textId="77777777" w:rsidR="00B33CD5" w:rsidRPr="000106B3" w:rsidRDefault="00B33CD5" w:rsidP="00B33CD5">
            <w:pPr>
              <w:pStyle w:val="TableReference"/>
              <w:tabs>
                <w:tab w:val="left" w:pos="3306"/>
              </w:tabs>
              <w:rPr>
                <w:rFonts w:cs="Calibri"/>
                <w:color w:val="7030A0"/>
                <w:sz w:val="14"/>
              </w:rPr>
            </w:pPr>
            <w:r w:rsidRPr="000106B3">
              <w:rPr>
                <w:rFonts w:cs="Calibri"/>
                <w:color w:val="7030A0"/>
                <w:sz w:val="14"/>
              </w:rPr>
              <w:t>AASB 116.Aus 40.1</w:t>
            </w:r>
          </w:p>
        </w:tc>
        <w:tc>
          <w:tcPr>
            <w:tcW w:w="4254" w:type="pct"/>
            <w:tcBorders>
              <w:top w:val="nil"/>
              <w:left w:val="single" w:sz="2" w:space="0" w:color="auto"/>
              <w:bottom w:val="nil"/>
              <w:right w:val="nil"/>
            </w:tcBorders>
            <w:shd w:val="clear" w:color="auto" w:fill="7030A0"/>
            <w:vAlign w:val="bottom"/>
          </w:tcPr>
          <w:p w14:paraId="1BAF6791" w14:textId="77777777" w:rsidR="00B33CD5" w:rsidRPr="000106B3" w:rsidRDefault="00B33CD5" w:rsidP="000106B3">
            <w:pPr>
              <w:pStyle w:val="CommentaryText"/>
              <w:rPr>
                <w:color w:val="FFFFFF" w:themeColor="background1"/>
                <w:sz w:val="18"/>
                <w:szCs w:val="18"/>
              </w:rPr>
            </w:pPr>
            <w:r w:rsidRPr="000106B3">
              <w:rPr>
                <w:color w:val="FFFFFF" w:themeColor="background1"/>
                <w:sz w:val="18"/>
                <w:szCs w:val="18"/>
              </w:rPr>
              <w:t>Revaluation decrements are expensed when a particular asset (of for-profit territory authorities), or class of assets (of not-for-profit agency), as a whole, has been revalued downwards and there is no amount in the Asset Revaluation Surplus for that asset class for the revaluation to be offset against.</w:t>
            </w:r>
          </w:p>
        </w:tc>
      </w:tr>
      <w:tr w:rsidR="00DD600D" w:rsidRPr="00CF7E1B" w14:paraId="1D073E0C" w14:textId="77777777" w:rsidTr="005F5B4C">
        <w:trPr>
          <w:cantSplit/>
          <w:trHeight w:val="23"/>
        </w:trPr>
        <w:tc>
          <w:tcPr>
            <w:tcW w:w="746" w:type="pct"/>
            <w:tcBorders>
              <w:top w:val="nil"/>
              <w:left w:val="single" w:sz="2" w:space="0" w:color="auto"/>
              <w:bottom w:val="nil"/>
              <w:right w:val="single" w:sz="2" w:space="0" w:color="auto"/>
            </w:tcBorders>
          </w:tcPr>
          <w:p w14:paraId="680A2F2C" w14:textId="77777777" w:rsidR="00DD600D" w:rsidRPr="000106B3" w:rsidRDefault="00DD600D" w:rsidP="00DD600D">
            <w:pPr>
              <w:pStyle w:val="CommentaryReference"/>
              <w:spacing w:before="60"/>
              <w:rPr>
                <w:rFonts w:cs="Calibri"/>
                <w:color w:val="7030A0"/>
                <w:sz w:val="16"/>
              </w:rPr>
            </w:pPr>
          </w:p>
        </w:tc>
        <w:tc>
          <w:tcPr>
            <w:tcW w:w="4254" w:type="pct"/>
            <w:tcBorders>
              <w:top w:val="nil"/>
              <w:left w:val="single" w:sz="2" w:space="0" w:color="auto"/>
              <w:bottom w:val="nil"/>
              <w:right w:val="nil"/>
            </w:tcBorders>
            <w:shd w:val="clear" w:color="auto" w:fill="7030A0"/>
            <w:vAlign w:val="bottom"/>
          </w:tcPr>
          <w:p w14:paraId="69C09B00" w14:textId="77777777" w:rsidR="00DD600D" w:rsidRPr="000F51E0" w:rsidRDefault="00DD600D" w:rsidP="000106B3">
            <w:pPr>
              <w:pStyle w:val="CommentaryText"/>
              <w:spacing w:before="40" w:after="0"/>
              <w:rPr>
                <w:rFonts w:cs="Calibri"/>
                <w:b/>
                <w:bCs/>
                <w:color w:val="FFFFFF" w:themeColor="background1"/>
                <w:szCs w:val="20"/>
              </w:rPr>
            </w:pPr>
            <w:r w:rsidRPr="000F51E0">
              <w:rPr>
                <w:rFonts w:cs="Calibri"/>
                <w:b/>
                <w:bCs/>
                <w:color w:val="FFFFFF" w:themeColor="background1"/>
                <w:szCs w:val="20"/>
              </w:rPr>
              <w:t>Territory Authority Commentary</w:t>
            </w:r>
          </w:p>
        </w:tc>
      </w:tr>
      <w:tr w:rsidR="00DD600D" w:rsidRPr="00CF7E1B" w14:paraId="61CAA92E" w14:textId="77777777" w:rsidTr="005F5B4C">
        <w:trPr>
          <w:cantSplit/>
          <w:trHeight w:val="23"/>
        </w:trPr>
        <w:tc>
          <w:tcPr>
            <w:tcW w:w="746" w:type="pct"/>
            <w:tcBorders>
              <w:top w:val="nil"/>
              <w:left w:val="single" w:sz="2" w:space="0" w:color="auto"/>
              <w:bottom w:val="nil"/>
              <w:right w:val="single" w:sz="2" w:space="0" w:color="auto"/>
            </w:tcBorders>
          </w:tcPr>
          <w:p w14:paraId="39E40D2E" w14:textId="77777777" w:rsidR="00DD600D" w:rsidRPr="000106B3" w:rsidRDefault="00DD600D" w:rsidP="00DD600D">
            <w:pPr>
              <w:pStyle w:val="CommentaryReference"/>
              <w:spacing w:before="60"/>
              <w:rPr>
                <w:rFonts w:cs="Calibri"/>
                <w:color w:val="7030A0"/>
                <w:sz w:val="16"/>
              </w:rPr>
            </w:pPr>
          </w:p>
        </w:tc>
        <w:tc>
          <w:tcPr>
            <w:tcW w:w="4254" w:type="pct"/>
            <w:tcBorders>
              <w:top w:val="nil"/>
              <w:left w:val="single" w:sz="2" w:space="0" w:color="auto"/>
              <w:bottom w:val="nil"/>
              <w:right w:val="nil"/>
            </w:tcBorders>
            <w:shd w:val="clear" w:color="auto" w:fill="7030A0"/>
            <w:vAlign w:val="bottom"/>
          </w:tcPr>
          <w:p w14:paraId="7CDA67BD" w14:textId="77777777" w:rsidR="00DD600D" w:rsidRPr="000F51E0" w:rsidRDefault="00DD600D" w:rsidP="00DD600D">
            <w:pPr>
              <w:pStyle w:val="CommentaryText"/>
              <w:spacing w:before="120" w:after="0"/>
              <w:rPr>
                <w:rFonts w:cs="Calibri"/>
                <w:b/>
                <w:bCs/>
                <w:i/>
                <w:iCs/>
                <w:color w:val="FFFFFF" w:themeColor="background1"/>
                <w:szCs w:val="20"/>
              </w:rPr>
            </w:pPr>
            <w:r w:rsidRPr="000F51E0">
              <w:rPr>
                <w:i/>
                <w:iCs/>
                <w:color w:val="FFFFFF" w:themeColor="background1"/>
                <w:szCs w:val="20"/>
              </w:rPr>
              <w:t>For-profit Territory Authorities</w:t>
            </w:r>
          </w:p>
        </w:tc>
      </w:tr>
      <w:tr w:rsidR="00DD600D" w:rsidRPr="00CF7E1B" w14:paraId="51D74510" w14:textId="77777777" w:rsidTr="005F5B4C">
        <w:trPr>
          <w:cantSplit/>
          <w:trHeight w:val="23"/>
        </w:trPr>
        <w:tc>
          <w:tcPr>
            <w:tcW w:w="746" w:type="pct"/>
            <w:tcBorders>
              <w:top w:val="nil"/>
              <w:left w:val="single" w:sz="2" w:space="0" w:color="auto"/>
              <w:bottom w:val="nil"/>
              <w:right w:val="single" w:sz="2" w:space="0" w:color="auto"/>
            </w:tcBorders>
          </w:tcPr>
          <w:p w14:paraId="6B12BBCB" w14:textId="149FE803" w:rsidR="00DD600D" w:rsidRPr="000106B3" w:rsidRDefault="00DD600D" w:rsidP="00E434A8">
            <w:pPr>
              <w:pStyle w:val="TableReference"/>
              <w:tabs>
                <w:tab w:val="left" w:pos="3306"/>
              </w:tabs>
              <w:spacing w:before="60"/>
              <w:rPr>
                <w:color w:val="7030A0"/>
                <w:sz w:val="14"/>
              </w:rPr>
            </w:pPr>
            <w:r w:rsidRPr="000106B3">
              <w:rPr>
                <w:color w:val="7030A0"/>
                <w:sz w:val="14"/>
              </w:rPr>
              <w:t xml:space="preserve">AASB 116.77(e) </w:t>
            </w:r>
          </w:p>
        </w:tc>
        <w:tc>
          <w:tcPr>
            <w:tcW w:w="4254" w:type="pct"/>
            <w:tcBorders>
              <w:top w:val="nil"/>
              <w:left w:val="single" w:sz="2" w:space="0" w:color="auto"/>
              <w:bottom w:val="nil"/>
              <w:right w:val="nil"/>
            </w:tcBorders>
            <w:shd w:val="clear" w:color="auto" w:fill="7030A0"/>
          </w:tcPr>
          <w:p w14:paraId="48BB3B1B" w14:textId="429B0FAF" w:rsidR="00DD600D" w:rsidRPr="000106B3" w:rsidRDefault="00DD600D" w:rsidP="00E434A8">
            <w:pPr>
              <w:pStyle w:val="CommentaryText"/>
              <w:rPr>
                <w:color w:val="FFFFFF" w:themeColor="background1"/>
                <w:sz w:val="18"/>
                <w:szCs w:val="18"/>
              </w:rPr>
            </w:pPr>
            <w:r w:rsidRPr="000106B3">
              <w:rPr>
                <w:color w:val="FFFFFF" w:themeColor="background1"/>
                <w:sz w:val="18"/>
                <w:szCs w:val="18"/>
              </w:rPr>
              <w:t xml:space="preserve">Territory authorities that are for-profit </w:t>
            </w:r>
            <w:r w:rsidR="00E434A8" w:rsidRPr="000106B3">
              <w:rPr>
                <w:color w:val="FFFFFF" w:themeColor="background1"/>
                <w:sz w:val="18"/>
                <w:szCs w:val="18"/>
              </w:rPr>
              <w:t>are</w:t>
            </w:r>
            <w:r w:rsidRPr="000106B3">
              <w:rPr>
                <w:color w:val="FFFFFF" w:themeColor="background1"/>
                <w:sz w:val="18"/>
                <w:szCs w:val="18"/>
              </w:rPr>
              <w:t xml:space="preserve"> required to disclose for each revalued class of property, plant and equipment, the carrying amount that would have been recognised had the assets been carried under the cost model. An example disclosure is presented above. </w:t>
            </w:r>
          </w:p>
        </w:tc>
      </w:tr>
      <w:tr w:rsidR="00DD600D" w:rsidRPr="00CF7E1B" w14:paraId="085468AC" w14:textId="77777777" w:rsidTr="005F5B4C">
        <w:trPr>
          <w:cantSplit/>
          <w:trHeight w:val="23"/>
        </w:trPr>
        <w:tc>
          <w:tcPr>
            <w:tcW w:w="746" w:type="pct"/>
            <w:tcBorders>
              <w:top w:val="nil"/>
              <w:left w:val="single" w:sz="2" w:space="0" w:color="auto"/>
              <w:bottom w:val="nil"/>
              <w:right w:val="single" w:sz="2" w:space="0" w:color="auto"/>
            </w:tcBorders>
          </w:tcPr>
          <w:p w14:paraId="4A8150E0" w14:textId="77777777" w:rsidR="00DD600D" w:rsidRPr="000106B3" w:rsidRDefault="00DD600D" w:rsidP="00DD600D">
            <w:pPr>
              <w:pStyle w:val="CommentaryReference"/>
              <w:spacing w:before="60"/>
              <w:rPr>
                <w:color w:val="7030A0"/>
              </w:rPr>
            </w:pPr>
            <w:r w:rsidRPr="000106B3">
              <w:rPr>
                <w:color w:val="7030A0"/>
              </w:rPr>
              <w:t>AASB 116.AUS 77.1</w:t>
            </w:r>
          </w:p>
        </w:tc>
        <w:tc>
          <w:tcPr>
            <w:tcW w:w="4254" w:type="pct"/>
            <w:tcBorders>
              <w:top w:val="nil"/>
              <w:left w:val="single" w:sz="2" w:space="0" w:color="auto"/>
              <w:bottom w:val="nil"/>
              <w:right w:val="nil"/>
            </w:tcBorders>
            <w:shd w:val="clear" w:color="auto" w:fill="7030A0"/>
            <w:vAlign w:val="bottom"/>
          </w:tcPr>
          <w:p w14:paraId="5E0887F3" w14:textId="77777777" w:rsidR="00DD600D" w:rsidRPr="000106B3" w:rsidRDefault="00DD600D" w:rsidP="00DD600D">
            <w:pPr>
              <w:pStyle w:val="CommentaryText"/>
              <w:rPr>
                <w:color w:val="FFFFFF" w:themeColor="background1"/>
                <w:sz w:val="18"/>
                <w:szCs w:val="18"/>
              </w:rPr>
            </w:pPr>
            <w:r w:rsidRPr="000106B3">
              <w:rPr>
                <w:color w:val="FFFFFF" w:themeColor="background1"/>
                <w:sz w:val="18"/>
                <w:szCs w:val="18"/>
              </w:rPr>
              <w:t>Territory authorities which are not-for-profit are not required to make this disclosure.</w:t>
            </w:r>
          </w:p>
        </w:tc>
      </w:tr>
      <w:tr w:rsidR="00DD600D" w:rsidRPr="00CF7E1B" w14:paraId="60030C54" w14:textId="77777777" w:rsidTr="005F5B4C">
        <w:trPr>
          <w:cantSplit/>
          <w:trHeight w:val="23"/>
        </w:trPr>
        <w:tc>
          <w:tcPr>
            <w:tcW w:w="746" w:type="pct"/>
            <w:tcBorders>
              <w:top w:val="nil"/>
              <w:left w:val="single" w:sz="2" w:space="0" w:color="auto"/>
              <w:bottom w:val="nil"/>
              <w:right w:val="single" w:sz="2" w:space="0" w:color="auto"/>
            </w:tcBorders>
          </w:tcPr>
          <w:p w14:paraId="29403779" w14:textId="77777777" w:rsidR="00DD600D" w:rsidRPr="000106B3" w:rsidRDefault="00DD600D" w:rsidP="00DD600D">
            <w:pPr>
              <w:pStyle w:val="CommentaryReference"/>
              <w:spacing w:before="60"/>
              <w:rPr>
                <w:rFonts w:cs="Calibri"/>
                <w:color w:val="7030A0"/>
                <w:sz w:val="16"/>
              </w:rPr>
            </w:pPr>
            <w:r w:rsidRPr="000106B3">
              <w:rPr>
                <w:color w:val="7030A0"/>
              </w:rPr>
              <w:t>AASB 13.93(f)</w:t>
            </w:r>
          </w:p>
        </w:tc>
        <w:tc>
          <w:tcPr>
            <w:tcW w:w="4254" w:type="pct"/>
            <w:tcBorders>
              <w:top w:val="nil"/>
              <w:left w:val="single" w:sz="2" w:space="0" w:color="auto"/>
              <w:bottom w:val="nil"/>
              <w:right w:val="nil"/>
            </w:tcBorders>
            <w:shd w:val="clear" w:color="auto" w:fill="7030A0"/>
            <w:vAlign w:val="bottom"/>
          </w:tcPr>
          <w:p w14:paraId="1F9CDE26" w14:textId="57DA3123" w:rsidR="00DD600D" w:rsidRPr="000106B3" w:rsidRDefault="00DD600D" w:rsidP="00DD600D">
            <w:pPr>
              <w:pStyle w:val="CommentaryText"/>
              <w:rPr>
                <w:rFonts w:cs="Calibri"/>
                <w:color w:val="FFFFFF" w:themeColor="background1"/>
                <w:sz w:val="18"/>
                <w:szCs w:val="18"/>
              </w:rPr>
            </w:pPr>
            <w:r w:rsidRPr="000106B3">
              <w:rPr>
                <w:color w:val="FFFFFF" w:themeColor="background1"/>
                <w:sz w:val="18"/>
                <w:szCs w:val="18"/>
              </w:rPr>
              <w:t>For recurring fair value measurements categorised within level 3 of the fair value hierarchy, for-profit authorities need to disclose the amount of the total gains and losses for the period attributable to the change in unrealised gains or losses relating to those assets and liabilities held at the end of the reporting period, by line item.</w:t>
            </w:r>
          </w:p>
        </w:tc>
      </w:tr>
      <w:tr w:rsidR="00DD600D" w:rsidRPr="00CF7E1B" w14:paraId="719116EB" w14:textId="77777777" w:rsidTr="005F5B4C">
        <w:trPr>
          <w:cantSplit/>
          <w:trHeight w:val="23"/>
        </w:trPr>
        <w:tc>
          <w:tcPr>
            <w:tcW w:w="746" w:type="pct"/>
            <w:tcBorders>
              <w:top w:val="nil"/>
              <w:left w:val="single" w:sz="2" w:space="0" w:color="auto"/>
              <w:bottom w:val="nil"/>
              <w:right w:val="single" w:sz="2" w:space="0" w:color="auto"/>
            </w:tcBorders>
          </w:tcPr>
          <w:p w14:paraId="6FFCD904" w14:textId="77777777" w:rsidR="00DD600D" w:rsidRPr="000106B3" w:rsidRDefault="00DD600D" w:rsidP="00DD600D">
            <w:pPr>
              <w:pStyle w:val="CommentaryReference"/>
              <w:spacing w:before="60"/>
              <w:rPr>
                <w:rFonts w:cs="Calibri"/>
                <w:color w:val="7030A0"/>
                <w:sz w:val="16"/>
              </w:rPr>
            </w:pPr>
            <w:r w:rsidRPr="000106B3">
              <w:rPr>
                <w:color w:val="7030A0"/>
              </w:rPr>
              <w:t>AASB 93(d)</w:t>
            </w:r>
          </w:p>
        </w:tc>
        <w:tc>
          <w:tcPr>
            <w:tcW w:w="4254" w:type="pct"/>
            <w:tcBorders>
              <w:top w:val="nil"/>
              <w:left w:val="single" w:sz="2" w:space="0" w:color="auto"/>
              <w:bottom w:val="nil"/>
              <w:right w:val="nil"/>
            </w:tcBorders>
            <w:shd w:val="clear" w:color="auto" w:fill="7030A0"/>
            <w:vAlign w:val="bottom"/>
          </w:tcPr>
          <w:p w14:paraId="521E5AE0" w14:textId="77777777" w:rsidR="00DD600D" w:rsidRPr="000106B3" w:rsidRDefault="00DD600D" w:rsidP="00DD600D">
            <w:pPr>
              <w:pStyle w:val="CommentaryText"/>
              <w:rPr>
                <w:color w:val="FFFFFF" w:themeColor="background1"/>
                <w:sz w:val="18"/>
                <w:szCs w:val="18"/>
              </w:rPr>
            </w:pPr>
            <w:r w:rsidRPr="000106B3">
              <w:rPr>
                <w:color w:val="FFFFFF" w:themeColor="background1"/>
                <w:sz w:val="18"/>
                <w:szCs w:val="18"/>
              </w:rPr>
              <w:t>For fair value measurements categorised within level 3 of the fair value hierarchy, for-profit authorities have to disclose quantitative information about the significant unobservable inputs used in the fair value measurement.</w:t>
            </w:r>
          </w:p>
        </w:tc>
      </w:tr>
      <w:tr w:rsidR="00DD600D" w:rsidRPr="00CF7E1B" w14:paraId="00263463" w14:textId="77777777" w:rsidTr="005F5B4C">
        <w:trPr>
          <w:cantSplit/>
          <w:trHeight w:val="23"/>
        </w:trPr>
        <w:tc>
          <w:tcPr>
            <w:tcW w:w="746" w:type="pct"/>
            <w:tcBorders>
              <w:top w:val="nil"/>
              <w:left w:val="single" w:sz="2" w:space="0" w:color="auto"/>
              <w:bottom w:val="nil"/>
              <w:right w:val="single" w:sz="2" w:space="0" w:color="auto"/>
            </w:tcBorders>
          </w:tcPr>
          <w:p w14:paraId="66292384" w14:textId="77777777" w:rsidR="00DD600D" w:rsidRPr="000106B3" w:rsidRDefault="00DD600D" w:rsidP="00DD600D">
            <w:pPr>
              <w:pStyle w:val="CommentaryReference"/>
              <w:spacing w:before="60"/>
              <w:rPr>
                <w:rFonts w:cs="Calibri"/>
                <w:color w:val="7030A0"/>
                <w:sz w:val="16"/>
              </w:rPr>
            </w:pPr>
            <w:r w:rsidRPr="000106B3">
              <w:rPr>
                <w:color w:val="7030A0"/>
              </w:rPr>
              <w:t>AASB 93(h)(i)</w:t>
            </w:r>
          </w:p>
        </w:tc>
        <w:tc>
          <w:tcPr>
            <w:tcW w:w="4254" w:type="pct"/>
            <w:tcBorders>
              <w:top w:val="nil"/>
              <w:left w:val="single" w:sz="2" w:space="0" w:color="auto"/>
              <w:bottom w:val="nil"/>
              <w:right w:val="nil"/>
            </w:tcBorders>
            <w:shd w:val="clear" w:color="auto" w:fill="7030A0"/>
            <w:vAlign w:val="bottom"/>
          </w:tcPr>
          <w:p w14:paraId="53445964" w14:textId="77777777" w:rsidR="00DD600D" w:rsidRPr="000106B3" w:rsidRDefault="00DD600D" w:rsidP="00DD600D">
            <w:pPr>
              <w:pStyle w:val="CommentaryText"/>
              <w:rPr>
                <w:rFonts w:cs="Calibri"/>
                <w:color w:val="FFFFFF" w:themeColor="background1"/>
                <w:sz w:val="18"/>
                <w:szCs w:val="18"/>
              </w:rPr>
            </w:pPr>
            <w:r w:rsidRPr="000106B3">
              <w:rPr>
                <w:color w:val="FFFFFF" w:themeColor="background1"/>
                <w:sz w:val="18"/>
                <w:szCs w:val="18"/>
              </w:rPr>
              <w:t>For-profit authorities also need to provide a narrative description of the sensitivity of the fair value measurements to changes in unobservable inputs if a change in those inputs to a different amount might result in a significantly higher or lower fair value measurement. If there are interrelationships between those inputs and other unobservable inputs, agencies shall provide a description of those interrelationships and how they might magnify or mitigate the effect of changes in the unobservable inputs on the fair value measurement.</w:t>
            </w:r>
          </w:p>
        </w:tc>
      </w:tr>
    </w:tbl>
    <w:p w14:paraId="43BAA918" w14:textId="6AF5DD1A" w:rsidR="00B0215E" w:rsidRDefault="00B0215E">
      <w:pPr>
        <w:rPr>
          <w:rFonts w:cs="Calibri"/>
        </w:rPr>
      </w:pPr>
    </w:p>
    <w:p w14:paraId="7530110C" w14:textId="50827DD1" w:rsidR="007E70BB" w:rsidRDefault="007E70BB">
      <w:pPr>
        <w:rPr>
          <w:rFonts w:cs="Calibri"/>
        </w:rPr>
      </w:pPr>
      <w:r>
        <w:rPr>
          <w:rFonts w:cs="Calibri"/>
        </w:rPr>
        <w:br w:type="page"/>
      </w:r>
    </w:p>
    <w:p w14:paraId="6DEC687F" w14:textId="77777777" w:rsidR="006665F9" w:rsidRPr="00CF7E1B" w:rsidRDefault="006665F9">
      <w:pPr>
        <w:rPr>
          <w:rFonts w:cs="Calibri"/>
          <w:sz w:val="6"/>
        </w:rPr>
      </w:pPr>
    </w:p>
    <w:tbl>
      <w:tblPr>
        <w:tblW w:w="52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5363"/>
        <w:gridCol w:w="25"/>
        <w:gridCol w:w="1265"/>
        <w:gridCol w:w="13"/>
        <w:gridCol w:w="539"/>
        <w:gridCol w:w="422"/>
        <w:gridCol w:w="29"/>
        <w:gridCol w:w="283"/>
        <w:gridCol w:w="17"/>
        <w:gridCol w:w="976"/>
      </w:tblGrid>
      <w:tr w:rsidR="000144FF" w:rsidRPr="00CF7E1B" w14:paraId="7A41FC87" w14:textId="77777777" w:rsidTr="002A16D9">
        <w:trPr>
          <w:cantSplit/>
          <w:trHeight w:val="23"/>
        </w:trPr>
        <w:tc>
          <w:tcPr>
            <w:tcW w:w="743" w:type="pct"/>
            <w:tcBorders>
              <w:top w:val="nil"/>
              <w:left w:val="single" w:sz="4" w:space="0" w:color="auto"/>
              <w:bottom w:val="nil"/>
              <w:right w:val="single" w:sz="4" w:space="0" w:color="auto"/>
            </w:tcBorders>
          </w:tcPr>
          <w:p w14:paraId="2171C913" w14:textId="77777777" w:rsidR="000144FF" w:rsidRPr="000F62B8" w:rsidRDefault="00F13375" w:rsidP="00980416">
            <w:pPr>
              <w:pStyle w:val="TableReference"/>
              <w:tabs>
                <w:tab w:val="left" w:pos="3306"/>
              </w:tabs>
              <w:spacing w:before="120"/>
              <w:rPr>
                <w:rFonts w:cs="Calibri"/>
                <w:b/>
                <w:color w:val="7030A0"/>
                <w:sz w:val="22"/>
                <w:szCs w:val="22"/>
              </w:rPr>
            </w:pPr>
            <w:bookmarkStart w:id="546" w:name="InvProperties" w:colFirst="1" w:colLast="1"/>
            <w:r w:rsidRPr="000F62B8">
              <w:rPr>
                <w:rFonts w:cs="Calibri"/>
                <w:b/>
                <w:color w:val="7030A0"/>
                <w:sz w:val="22"/>
                <w:szCs w:val="22"/>
              </w:rPr>
              <w:t>Reference</w:t>
            </w:r>
          </w:p>
        </w:tc>
        <w:tc>
          <w:tcPr>
            <w:tcW w:w="4257" w:type="pct"/>
            <w:gridSpan w:val="10"/>
            <w:tcBorders>
              <w:top w:val="nil"/>
              <w:left w:val="single" w:sz="4" w:space="0" w:color="auto"/>
              <w:bottom w:val="nil"/>
              <w:right w:val="nil"/>
            </w:tcBorders>
          </w:tcPr>
          <w:p w14:paraId="253B97F9" w14:textId="7B9F3491" w:rsidR="000144FF" w:rsidRPr="000F62B8" w:rsidRDefault="00ED39F2" w:rsidP="00980416">
            <w:pPr>
              <w:pStyle w:val="Heading1"/>
              <w:numPr>
                <w:ilvl w:val="0"/>
                <w:numId w:val="0"/>
              </w:numPr>
              <w:spacing w:before="120"/>
            </w:pPr>
            <w:bookmarkStart w:id="547" w:name="_Toc400627345"/>
            <w:bookmarkStart w:id="548" w:name="_Toc98763130"/>
            <w:r w:rsidRPr="000F62B8">
              <w:t>Note</w:t>
            </w:r>
            <w:r w:rsidR="003B3F08" w:rsidRPr="000F62B8">
              <w:t xml:space="preserve"> </w:t>
            </w:r>
            <w:r w:rsidR="001B1A1D" w:rsidRPr="000F62B8">
              <w:t>20</w:t>
            </w:r>
            <w:r w:rsidR="003B3F08" w:rsidRPr="000F62B8">
              <w:t>.</w:t>
            </w:r>
            <w:r w:rsidR="00FA7C77">
              <w:t xml:space="preserve"> </w:t>
            </w:r>
            <w:r w:rsidRPr="000F62B8">
              <w:t xml:space="preserve"> </w:t>
            </w:r>
            <w:r w:rsidR="00475B98" w:rsidRPr="000F62B8">
              <w:t xml:space="preserve">Investment </w:t>
            </w:r>
            <w:r w:rsidR="00322257" w:rsidRPr="000F62B8">
              <w:t>P</w:t>
            </w:r>
            <w:r w:rsidR="00475B98" w:rsidRPr="000F62B8">
              <w:t>roperties</w:t>
            </w:r>
            <w:bookmarkEnd w:id="547"/>
            <w:bookmarkEnd w:id="548"/>
          </w:p>
        </w:tc>
      </w:tr>
      <w:bookmarkEnd w:id="546"/>
      <w:tr w:rsidR="00342BC7" w:rsidRPr="00CF7E1B" w14:paraId="41C12048" w14:textId="77777777" w:rsidTr="002A16D9">
        <w:trPr>
          <w:cantSplit/>
          <w:trHeight w:val="23"/>
        </w:trPr>
        <w:tc>
          <w:tcPr>
            <w:tcW w:w="743" w:type="pct"/>
            <w:tcBorders>
              <w:top w:val="nil"/>
              <w:left w:val="single" w:sz="4" w:space="0" w:color="auto"/>
              <w:bottom w:val="nil"/>
              <w:right w:val="single" w:sz="4" w:space="0" w:color="auto"/>
            </w:tcBorders>
          </w:tcPr>
          <w:p w14:paraId="3FB7A86D" w14:textId="77777777" w:rsidR="00342BC7" w:rsidRPr="000F62B8" w:rsidRDefault="00342BC7" w:rsidP="00DB7306">
            <w:pPr>
              <w:pStyle w:val="TableReference"/>
              <w:tabs>
                <w:tab w:val="left" w:pos="3306"/>
              </w:tabs>
              <w:rPr>
                <w:rFonts w:cs="Calibri"/>
                <w:b/>
                <w:color w:val="7030A0"/>
                <w:sz w:val="20"/>
                <w:szCs w:val="20"/>
              </w:rPr>
            </w:pPr>
          </w:p>
        </w:tc>
        <w:tc>
          <w:tcPr>
            <w:tcW w:w="4257" w:type="pct"/>
            <w:gridSpan w:val="10"/>
            <w:tcBorders>
              <w:top w:val="nil"/>
              <w:left w:val="single" w:sz="4" w:space="0" w:color="auto"/>
              <w:bottom w:val="nil"/>
              <w:right w:val="nil"/>
            </w:tcBorders>
          </w:tcPr>
          <w:p w14:paraId="03C543A7" w14:textId="6BD5AA04" w:rsidR="00342BC7" w:rsidRPr="000F62B8" w:rsidRDefault="00CF6E0E" w:rsidP="002C0D3B">
            <w:pPr>
              <w:pStyle w:val="Heading1"/>
              <w:numPr>
                <w:ilvl w:val="0"/>
                <w:numId w:val="0"/>
              </w:numPr>
              <w:spacing w:before="0" w:after="0"/>
            </w:pPr>
            <w:bookmarkStart w:id="549" w:name="_Toc98763131"/>
            <w:r w:rsidRPr="000F62B8">
              <w:rPr>
                <w:rFonts w:ascii="Calibri" w:hAnsi="Calibri" w:cs="Calibri"/>
                <w:caps w:val="0"/>
                <w:sz w:val="18"/>
                <w:szCs w:val="18"/>
              </w:rPr>
              <w:t>Description and Material Accounting Policies Relating to Investment Properties</w:t>
            </w:r>
            <w:bookmarkEnd w:id="549"/>
            <w:r w:rsidRPr="000F62B8">
              <w:rPr>
                <w:rFonts w:ascii="Calibri" w:hAnsi="Calibri" w:cs="Calibri"/>
                <w:caps w:val="0"/>
                <w:sz w:val="18"/>
                <w:szCs w:val="18"/>
              </w:rPr>
              <w:t xml:space="preserve"> </w:t>
            </w:r>
          </w:p>
        </w:tc>
      </w:tr>
      <w:tr w:rsidR="00342BC7" w:rsidRPr="00CF7E1B" w14:paraId="0D394B8C" w14:textId="77777777" w:rsidTr="002A16D9">
        <w:trPr>
          <w:cantSplit/>
          <w:trHeight w:val="23"/>
        </w:trPr>
        <w:tc>
          <w:tcPr>
            <w:tcW w:w="743" w:type="pct"/>
            <w:tcBorders>
              <w:top w:val="nil"/>
              <w:left w:val="single" w:sz="4" w:space="0" w:color="auto"/>
              <w:bottom w:val="nil"/>
              <w:right w:val="single" w:sz="4" w:space="0" w:color="auto"/>
            </w:tcBorders>
          </w:tcPr>
          <w:p w14:paraId="56A03176" w14:textId="3CFB5FF0" w:rsidR="00342BC7" w:rsidRPr="000F62B8" w:rsidRDefault="00342BC7" w:rsidP="00342BC7">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tcPr>
          <w:p w14:paraId="573451F7" w14:textId="4903C1C8" w:rsidR="00342BC7" w:rsidRPr="000F62B8" w:rsidRDefault="00D5198A" w:rsidP="0095733E">
            <w:pPr>
              <w:spacing w:after="80"/>
              <w:ind w:right="172"/>
              <w:jc w:val="both"/>
              <w:rPr>
                <w:sz w:val="18"/>
                <w:szCs w:val="18"/>
              </w:rPr>
            </w:pPr>
            <w:r w:rsidRPr="000F62B8">
              <w:rPr>
                <w:sz w:val="18"/>
                <w:szCs w:val="18"/>
              </w:rPr>
              <w:t>Investment properties are properties held to earn rental income or for capital appreciation, or both.</w:t>
            </w:r>
            <w:r w:rsidR="00FA7C77">
              <w:rPr>
                <w:sz w:val="18"/>
                <w:szCs w:val="18"/>
              </w:rPr>
              <w:t xml:space="preserve"> </w:t>
            </w:r>
            <w:r w:rsidR="00A82DC4" w:rsidRPr="000F62B8">
              <w:rPr>
                <w:sz w:val="18"/>
                <w:szCs w:val="18"/>
              </w:rPr>
              <w:t>‘</w:t>
            </w:r>
            <w:r w:rsidR="00645E43" w:rsidRPr="000F62B8">
              <w:rPr>
                <w:sz w:val="18"/>
                <w:szCs w:val="18"/>
              </w:rPr>
              <w:t xml:space="preserve">Burley Griffin </w:t>
            </w:r>
            <w:r w:rsidR="00A82DC4" w:rsidRPr="000F62B8">
              <w:rPr>
                <w:sz w:val="18"/>
                <w:szCs w:val="18"/>
              </w:rPr>
              <w:t xml:space="preserve">Agency’ owns </w:t>
            </w:r>
            <w:r w:rsidR="00BE2642" w:rsidRPr="000F62B8">
              <w:rPr>
                <w:sz w:val="18"/>
                <w:szCs w:val="18"/>
              </w:rPr>
              <w:t>commercial</w:t>
            </w:r>
            <w:r w:rsidR="00A82DC4" w:rsidRPr="000F62B8">
              <w:rPr>
                <w:sz w:val="18"/>
                <w:szCs w:val="18"/>
              </w:rPr>
              <w:t xml:space="preserve"> and office buildings which are classified as investment property</w:t>
            </w:r>
            <w:r w:rsidRPr="000F62B8">
              <w:t xml:space="preserve"> </w:t>
            </w:r>
            <w:r w:rsidRPr="000F62B8">
              <w:rPr>
                <w:sz w:val="18"/>
                <w:szCs w:val="18"/>
              </w:rPr>
              <w:t>as they</w:t>
            </w:r>
            <w:r w:rsidRPr="000F62B8">
              <w:rPr>
                <w:rFonts w:cs="Calibri"/>
                <w:sz w:val="18"/>
                <w:szCs w:val="18"/>
              </w:rPr>
              <w:t xml:space="preserve"> are held primarily for rental income</w:t>
            </w:r>
            <w:r w:rsidR="00A82DC4" w:rsidRPr="000F62B8">
              <w:rPr>
                <w:sz w:val="18"/>
                <w:szCs w:val="18"/>
              </w:rPr>
              <w:t>.</w:t>
            </w:r>
            <w:r w:rsidR="00FA7C77">
              <w:rPr>
                <w:sz w:val="18"/>
                <w:szCs w:val="18"/>
              </w:rPr>
              <w:t xml:space="preserve"> </w:t>
            </w:r>
          </w:p>
        </w:tc>
      </w:tr>
      <w:tr w:rsidR="003E28E6" w:rsidRPr="00CF7E1B" w14:paraId="23E0BA68" w14:textId="77777777" w:rsidTr="002A16D9">
        <w:trPr>
          <w:cantSplit/>
          <w:trHeight w:val="23"/>
        </w:trPr>
        <w:tc>
          <w:tcPr>
            <w:tcW w:w="743" w:type="pct"/>
            <w:tcBorders>
              <w:top w:val="nil"/>
              <w:left w:val="single" w:sz="4" w:space="0" w:color="auto"/>
              <w:bottom w:val="nil"/>
              <w:right w:val="single" w:sz="4" w:space="0" w:color="auto"/>
            </w:tcBorders>
          </w:tcPr>
          <w:p w14:paraId="4F8C8D7C" w14:textId="77777777" w:rsidR="003E28E6" w:rsidRPr="000F62B8" w:rsidRDefault="003E28E6" w:rsidP="003E28E6">
            <w:pPr>
              <w:pStyle w:val="TableReference"/>
              <w:tabs>
                <w:tab w:val="left" w:pos="3306"/>
              </w:tabs>
              <w:spacing w:before="40"/>
              <w:rPr>
                <w:rFonts w:cs="Calibri"/>
                <w:color w:val="7030A0"/>
                <w:sz w:val="14"/>
              </w:rPr>
            </w:pPr>
            <w:r w:rsidRPr="000F62B8">
              <w:rPr>
                <w:rFonts w:cs="Calibri"/>
                <w:color w:val="7030A0"/>
                <w:sz w:val="14"/>
              </w:rPr>
              <w:t>AASB 140.75(g)</w:t>
            </w:r>
          </w:p>
          <w:p w14:paraId="7760CB49" w14:textId="77777777" w:rsidR="003E28E6" w:rsidRPr="000F62B8" w:rsidRDefault="003E28E6" w:rsidP="00342BC7">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tcPr>
          <w:p w14:paraId="57639F3D" w14:textId="07CA4842" w:rsidR="003E28E6" w:rsidRPr="000F62B8" w:rsidRDefault="00A82DC4" w:rsidP="0095733E">
            <w:pPr>
              <w:pStyle w:val="TableText"/>
              <w:spacing w:before="0" w:after="80"/>
              <w:jc w:val="both"/>
              <w:rPr>
                <w:rFonts w:cs="Calibri"/>
              </w:rPr>
            </w:pPr>
            <w:r w:rsidRPr="000F62B8">
              <w:t>These are leased to commercial and community tenants which generally have terms of 2 – 15 years.</w:t>
            </w:r>
            <w:r w:rsidR="00FA7C77">
              <w:t xml:space="preserve"> </w:t>
            </w:r>
            <w:r w:rsidR="00776003" w:rsidRPr="000F62B8">
              <w:rPr>
                <w:rFonts w:cs="Calibri"/>
              </w:rPr>
              <w:t>L</w:t>
            </w:r>
            <w:r w:rsidR="00776003" w:rsidRPr="000F62B8">
              <w:t>essees do not have an option to purchase the property at the expiry of the lease period.</w:t>
            </w:r>
            <w:r w:rsidR="00FA7C77">
              <w:t xml:space="preserve"> </w:t>
            </w:r>
            <w:r w:rsidR="002F6A78" w:rsidRPr="000F62B8">
              <w:t xml:space="preserve">The rents </w:t>
            </w:r>
            <w:r w:rsidR="00BC43CD" w:rsidRPr="000F62B8">
              <w:t>relating to commercial properties</w:t>
            </w:r>
            <w:r w:rsidR="00FA7C77">
              <w:t xml:space="preserve"> </w:t>
            </w:r>
            <w:r w:rsidR="002F6A78" w:rsidRPr="000F62B8">
              <w:t>increase by CPI each year with a market rent reset every 5th year.</w:t>
            </w:r>
            <w:r w:rsidR="00FA7C77">
              <w:t xml:space="preserve"> </w:t>
            </w:r>
            <w:r w:rsidR="00493022" w:rsidRPr="000F62B8">
              <w:t>‘</w:t>
            </w:r>
            <w:r w:rsidR="00645E43" w:rsidRPr="000F62B8">
              <w:t xml:space="preserve">Burley Griffin </w:t>
            </w:r>
            <w:r w:rsidR="00493022" w:rsidRPr="000F62B8">
              <w:t>Agency’ charges rent on the commercial properties monthly in advance.</w:t>
            </w:r>
            <w:r w:rsidR="00FA7C77">
              <w:t xml:space="preserve"> </w:t>
            </w:r>
            <w:r w:rsidR="003E28E6" w:rsidRPr="000F62B8">
              <w:rPr>
                <w:rFonts w:cs="Calibri"/>
              </w:rPr>
              <w:t>There are no restrictions on investment properties held or any restrictions on the income generated.</w:t>
            </w:r>
          </w:p>
        </w:tc>
      </w:tr>
      <w:tr w:rsidR="003E28E6" w:rsidRPr="00CF7E1B" w14:paraId="6B0EC2B3" w14:textId="77777777" w:rsidTr="002A16D9">
        <w:trPr>
          <w:cantSplit/>
          <w:trHeight w:val="23"/>
        </w:trPr>
        <w:tc>
          <w:tcPr>
            <w:tcW w:w="743" w:type="pct"/>
            <w:tcBorders>
              <w:top w:val="nil"/>
              <w:left w:val="single" w:sz="4" w:space="0" w:color="auto"/>
              <w:bottom w:val="nil"/>
              <w:right w:val="single" w:sz="4" w:space="0" w:color="auto"/>
            </w:tcBorders>
          </w:tcPr>
          <w:p w14:paraId="092A6CDF" w14:textId="129C5155" w:rsidR="003E28E6" w:rsidRPr="000F62B8" w:rsidRDefault="003E28E6" w:rsidP="00342BC7">
            <w:pPr>
              <w:pStyle w:val="TableReference"/>
              <w:tabs>
                <w:tab w:val="left" w:pos="3306"/>
              </w:tabs>
              <w:spacing w:before="40"/>
              <w:rPr>
                <w:rFonts w:cs="Calibri"/>
                <w:color w:val="7030A0"/>
                <w:sz w:val="14"/>
              </w:rPr>
            </w:pPr>
            <w:r w:rsidRPr="000F62B8">
              <w:rPr>
                <w:rFonts w:cs="Calibri"/>
                <w:color w:val="7030A0"/>
                <w:sz w:val="14"/>
              </w:rPr>
              <w:t>AASB 140.75(h)</w:t>
            </w:r>
          </w:p>
        </w:tc>
        <w:tc>
          <w:tcPr>
            <w:tcW w:w="4257" w:type="pct"/>
            <w:gridSpan w:val="10"/>
            <w:tcBorders>
              <w:top w:val="nil"/>
              <w:left w:val="single" w:sz="4" w:space="0" w:color="auto"/>
              <w:bottom w:val="nil"/>
              <w:right w:val="nil"/>
            </w:tcBorders>
          </w:tcPr>
          <w:p w14:paraId="3B9F5864" w14:textId="332FA33A" w:rsidR="003E28E6" w:rsidRPr="000F62B8" w:rsidRDefault="003E28E6" w:rsidP="0095733E">
            <w:pPr>
              <w:pStyle w:val="TableText"/>
              <w:spacing w:before="0" w:after="80"/>
              <w:jc w:val="both"/>
              <w:rPr>
                <w:rFonts w:cs="Calibri"/>
              </w:rPr>
            </w:pPr>
            <w:r w:rsidRPr="000F62B8">
              <w:rPr>
                <w:rFonts w:cs="Calibri"/>
              </w:rPr>
              <w:t>There are no contractual obligations to construct, purchase or develop investment properties.</w:t>
            </w:r>
            <w:r w:rsidR="00FA7C77">
              <w:rPr>
                <w:rFonts w:cs="Calibri"/>
              </w:rPr>
              <w:t xml:space="preserve"> </w:t>
            </w:r>
            <w:r w:rsidRPr="000F62B8">
              <w:rPr>
                <w:rFonts w:cs="Calibri"/>
              </w:rPr>
              <w:t>Further there is no contractual obligation for the repair, maintenance or enhancement of the investment properties.</w:t>
            </w:r>
            <w:r w:rsidR="00FA7C77">
              <w:rPr>
                <w:rFonts w:cs="Calibri"/>
              </w:rPr>
              <w:t xml:space="preserve"> </w:t>
            </w:r>
          </w:p>
        </w:tc>
      </w:tr>
      <w:tr w:rsidR="00342BC7" w:rsidRPr="00CF7E1B" w14:paraId="53C3D316" w14:textId="77777777" w:rsidTr="002A16D9">
        <w:trPr>
          <w:cantSplit/>
          <w:trHeight w:val="23"/>
        </w:trPr>
        <w:tc>
          <w:tcPr>
            <w:tcW w:w="743" w:type="pct"/>
            <w:tcBorders>
              <w:top w:val="nil"/>
              <w:left w:val="single" w:sz="4" w:space="0" w:color="auto"/>
              <w:bottom w:val="nil"/>
              <w:right w:val="single" w:sz="4" w:space="0" w:color="auto"/>
            </w:tcBorders>
          </w:tcPr>
          <w:p w14:paraId="6A13F307" w14:textId="77777777" w:rsidR="00342BC7" w:rsidRPr="000F62B8" w:rsidRDefault="00342BC7" w:rsidP="00342BC7">
            <w:pPr>
              <w:pStyle w:val="TableReference"/>
              <w:tabs>
                <w:tab w:val="left" w:pos="3306"/>
              </w:tabs>
              <w:spacing w:before="40"/>
              <w:rPr>
                <w:rFonts w:cs="Calibri"/>
                <w:color w:val="7030A0"/>
                <w:sz w:val="14"/>
              </w:rPr>
            </w:pPr>
            <w:r w:rsidRPr="000F62B8">
              <w:rPr>
                <w:rFonts w:cs="Calibri"/>
                <w:color w:val="7030A0"/>
                <w:sz w:val="14"/>
              </w:rPr>
              <w:t>AASB 140.75(e)</w:t>
            </w:r>
          </w:p>
        </w:tc>
        <w:tc>
          <w:tcPr>
            <w:tcW w:w="4257" w:type="pct"/>
            <w:gridSpan w:val="10"/>
            <w:tcBorders>
              <w:top w:val="nil"/>
              <w:left w:val="single" w:sz="4" w:space="0" w:color="auto"/>
              <w:bottom w:val="nil"/>
              <w:right w:val="nil"/>
            </w:tcBorders>
          </w:tcPr>
          <w:p w14:paraId="1A5F4416" w14:textId="1C3FE4B3" w:rsidR="00342BC7" w:rsidRPr="000F62B8" w:rsidRDefault="00342BC7" w:rsidP="0095733E">
            <w:pPr>
              <w:autoSpaceDE w:val="0"/>
              <w:autoSpaceDN w:val="0"/>
              <w:adjustRightInd w:val="0"/>
              <w:spacing w:after="80"/>
              <w:jc w:val="both"/>
              <w:rPr>
                <w:rFonts w:cs="Calibri"/>
                <w:sz w:val="18"/>
                <w:szCs w:val="18"/>
              </w:rPr>
            </w:pPr>
            <w:r w:rsidRPr="000F62B8">
              <w:rPr>
                <w:rFonts w:cs="Calibri"/>
                <w:sz w:val="18"/>
                <w:szCs w:val="18"/>
              </w:rPr>
              <w:t>The fair value of investment properties was determined by an independent valuation undertaken by ‘XYZ Valuers’ as at 30 June 2022.</w:t>
            </w:r>
            <w:r w:rsidR="00FA7C77">
              <w:rPr>
                <w:rFonts w:cs="Calibri"/>
                <w:sz w:val="18"/>
                <w:szCs w:val="18"/>
              </w:rPr>
              <w:t xml:space="preserve"> </w:t>
            </w:r>
            <w:r w:rsidRPr="000F62B8">
              <w:rPr>
                <w:rFonts w:cs="Calibri"/>
                <w:sz w:val="18"/>
                <w:szCs w:val="18"/>
              </w:rPr>
              <w:t>‘XYZ Valuers’ hold a recognised and relevant professional qualification and have recent experience in the location and category of the investment properties involved.</w:t>
            </w:r>
          </w:p>
        </w:tc>
      </w:tr>
      <w:tr w:rsidR="00C608A2" w:rsidRPr="00CF7E1B" w14:paraId="5580AE1A" w14:textId="77777777" w:rsidTr="002A16D9">
        <w:trPr>
          <w:cantSplit/>
          <w:trHeight w:val="23"/>
        </w:trPr>
        <w:tc>
          <w:tcPr>
            <w:tcW w:w="743" w:type="pct"/>
            <w:tcBorders>
              <w:top w:val="nil"/>
              <w:left w:val="single" w:sz="4" w:space="0" w:color="auto"/>
              <w:bottom w:val="nil"/>
              <w:right w:val="single" w:sz="4" w:space="0" w:color="auto"/>
            </w:tcBorders>
          </w:tcPr>
          <w:p w14:paraId="2FA787BA" w14:textId="4D14E3CF" w:rsidR="00C608A2" w:rsidRPr="000F62B8" w:rsidRDefault="008D2D4B" w:rsidP="00342BC7">
            <w:pPr>
              <w:pStyle w:val="TableReference"/>
              <w:tabs>
                <w:tab w:val="left" w:pos="3306"/>
              </w:tabs>
              <w:spacing w:before="40"/>
              <w:rPr>
                <w:rFonts w:cs="Calibri"/>
                <w:color w:val="7030A0"/>
                <w:sz w:val="14"/>
              </w:rPr>
            </w:pPr>
            <w:r w:rsidRPr="000F62B8">
              <w:rPr>
                <w:rFonts w:cs="Calibri"/>
                <w:color w:val="7030A0"/>
                <w:sz w:val="14"/>
              </w:rPr>
              <w:t>AASB 13.93(d)</w:t>
            </w:r>
          </w:p>
        </w:tc>
        <w:tc>
          <w:tcPr>
            <w:tcW w:w="4257" w:type="pct"/>
            <w:gridSpan w:val="10"/>
            <w:tcBorders>
              <w:top w:val="nil"/>
              <w:left w:val="single" w:sz="4" w:space="0" w:color="auto"/>
              <w:bottom w:val="nil"/>
              <w:right w:val="nil"/>
            </w:tcBorders>
          </w:tcPr>
          <w:p w14:paraId="324079C2" w14:textId="4E677B4F" w:rsidR="008D2D4B" w:rsidRPr="000F62B8" w:rsidRDefault="00C608A2" w:rsidP="0095733E">
            <w:pPr>
              <w:pStyle w:val="Heading1"/>
              <w:numPr>
                <w:ilvl w:val="0"/>
                <w:numId w:val="0"/>
              </w:numPr>
              <w:spacing w:before="0" w:after="80"/>
              <w:jc w:val="both"/>
              <w:rPr>
                <w:rFonts w:ascii="Calibri" w:hAnsi="Calibri" w:cs="Calibri"/>
                <w:b w:val="0"/>
                <w:bCs w:val="0"/>
                <w:caps w:val="0"/>
                <w:sz w:val="18"/>
                <w:szCs w:val="18"/>
              </w:rPr>
            </w:pPr>
            <w:bookmarkStart w:id="550" w:name="_Toc98763132"/>
            <w:r w:rsidRPr="000F62B8">
              <w:rPr>
                <w:rFonts w:ascii="Calibri" w:hAnsi="Calibri"/>
                <w:b w:val="0"/>
                <w:bCs w:val="0"/>
                <w:caps w:val="0"/>
                <w:sz w:val="18"/>
                <w:szCs w:val="18"/>
              </w:rPr>
              <w:t>Investment properties are initially recognised at cost.</w:t>
            </w:r>
            <w:r w:rsidR="00EE1D72" w:rsidRPr="000F62B8">
              <w:rPr>
                <w:rFonts w:cs="Calibri"/>
                <w:sz w:val="18"/>
                <w:szCs w:val="18"/>
              </w:rPr>
              <w:t xml:space="preserve"> </w:t>
            </w:r>
            <w:r w:rsidR="00EE1D72" w:rsidRPr="000F62B8">
              <w:rPr>
                <w:rFonts w:ascii="Calibri" w:hAnsi="Calibri" w:cs="Calibri"/>
                <w:b w:val="0"/>
                <w:bCs w:val="0"/>
                <w:caps w:val="0"/>
                <w:sz w:val="18"/>
                <w:szCs w:val="18"/>
              </w:rPr>
              <w:t>Subsequent to initial recognition, investment properties are measured at fair value</w:t>
            </w:r>
            <w:r w:rsidR="00DA5322" w:rsidRPr="000F62B8">
              <w:rPr>
                <w:rFonts w:ascii="Calibri" w:hAnsi="Calibri" w:cs="Calibri"/>
                <w:b w:val="0"/>
                <w:bCs w:val="0"/>
                <w:caps w:val="0"/>
                <w:sz w:val="18"/>
                <w:szCs w:val="18"/>
              </w:rPr>
              <w:t xml:space="preserve"> and are valued annually as at the end of the reporting period.</w:t>
            </w:r>
            <w:bookmarkEnd w:id="550"/>
            <w:r w:rsidR="00FA7C77">
              <w:rPr>
                <w:rFonts w:ascii="Calibri" w:hAnsi="Calibri" w:cs="Calibri"/>
                <w:b w:val="0"/>
                <w:bCs w:val="0"/>
                <w:caps w:val="0"/>
                <w:sz w:val="18"/>
                <w:szCs w:val="18"/>
              </w:rPr>
              <w:t xml:space="preserve"> </w:t>
            </w:r>
          </w:p>
          <w:p w14:paraId="490EBD4A" w14:textId="6F5716A7" w:rsidR="00C608A2" w:rsidRPr="000F62B8" w:rsidRDefault="008D2D4B" w:rsidP="0095733E">
            <w:pPr>
              <w:pStyle w:val="Heading1"/>
              <w:numPr>
                <w:ilvl w:val="0"/>
                <w:numId w:val="0"/>
              </w:numPr>
              <w:spacing w:before="0" w:after="80"/>
              <w:jc w:val="both"/>
              <w:rPr>
                <w:rFonts w:ascii="Calibri" w:hAnsi="Calibri" w:cs="Calibri"/>
                <w:b w:val="0"/>
                <w:bCs w:val="0"/>
                <w:caps w:val="0"/>
                <w:sz w:val="18"/>
                <w:szCs w:val="18"/>
              </w:rPr>
            </w:pPr>
            <w:bookmarkStart w:id="551" w:name="_Toc98763133"/>
            <w:r w:rsidRPr="000F62B8">
              <w:rPr>
                <w:rFonts w:ascii="Calibri" w:hAnsi="Calibri" w:cs="Calibri"/>
                <w:b w:val="0"/>
                <w:bCs w:val="0"/>
                <w:caps w:val="0"/>
                <w:sz w:val="18"/>
                <w:szCs w:val="18"/>
              </w:rPr>
              <w:t>Fair value is based on selling prices in an active property market adjusted, if necessary, to reflect the nature, location or condition of the specific investment property. If there is no active property market, alternative valuation methods are used, such as recent selling prices in less active markets, or discounted cash flow projections.</w:t>
            </w:r>
            <w:bookmarkEnd w:id="551"/>
          </w:p>
        </w:tc>
      </w:tr>
      <w:tr w:rsidR="008D2D4B" w:rsidRPr="00CF7E1B" w14:paraId="6FEB6F56" w14:textId="77777777" w:rsidTr="002A16D9">
        <w:trPr>
          <w:cantSplit/>
          <w:trHeight w:val="23"/>
        </w:trPr>
        <w:tc>
          <w:tcPr>
            <w:tcW w:w="743" w:type="pct"/>
            <w:tcBorders>
              <w:top w:val="nil"/>
              <w:left w:val="single" w:sz="4" w:space="0" w:color="auto"/>
              <w:bottom w:val="nil"/>
              <w:right w:val="single" w:sz="4" w:space="0" w:color="auto"/>
            </w:tcBorders>
          </w:tcPr>
          <w:p w14:paraId="549F25CB" w14:textId="77777777" w:rsidR="008D2D4B" w:rsidRPr="000F62B8" w:rsidRDefault="008D2D4B" w:rsidP="00342BC7">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tcPr>
          <w:p w14:paraId="7879B396" w14:textId="6B2DB203" w:rsidR="008D2D4B" w:rsidRPr="000F62B8" w:rsidRDefault="008D2D4B" w:rsidP="0095733E">
            <w:pPr>
              <w:pStyle w:val="Heading1"/>
              <w:numPr>
                <w:ilvl w:val="0"/>
                <w:numId w:val="0"/>
              </w:numPr>
              <w:spacing w:before="0" w:after="80"/>
              <w:jc w:val="both"/>
              <w:rPr>
                <w:rFonts w:ascii="Calibri" w:hAnsi="Calibri"/>
                <w:b w:val="0"/>
                <w:bCs w:val="0"/>
                <w:caps w:val="0"/>
                <w:sz w:val="18"/>
                <w:szCs w:val="18"/>
              </w:rPr>
            </w:pPr>
            <w:bookmarkStart w:id="552" w:name="_Toc98763134"/>
            <w:r w:rsidRPr="000F62B8">
              <w:rPr>
                <w:rFonts w:ascii="Calibri" w:hAnsi="Calibri" w:cs="Calibri"/>
                <w:b w:val="0"/>
                <w:bCs w:val="0"/>
                <w:caps w:val="0"/>
                <w:sz w:val="18"/>
                <w:szCs w:val="18"/>
              </w:rPr>
              <w:t xml:space="preserve">Changes in fair value are recorded in the Operating Statement (see Note </w:t>
            </w:r>
            <w:r w:rsidR="001B1A1D" w:rsidRPr="000F62B8">
              <w:rPr>
                <w:rFonts w:ascii="Calibri" w:hAnsi="Calibri" w:cs="Calibri"/>
                <w:b w:val="0"/>
                <w:bCs w:val="0"/>
                <w:caps w:val="0"/>
                <w:sz w:val="18"/>
                <w:szCs w:val="18"/>
              </w:rPr>
              <w:t xml:space="preserve">14 </w:t>
            </w:r>
            <w:r w:rsidRPr="00AB1649">
              <w:rPr>
                <w:rFonts w:ascii="Calibri" w:hAnsi="Calibri" w:cs="Calibri"/>
                <w:b w:val="0"/>
                <w:bCs w:val="0"/>
                <w:i/>
                <w:iCs/>
                <w:caps w:val="0"/>
                <w:sz w:val="18"/>
                <w:szCs w:val="18"/>
              </w:rPr>
              <w:t>Other Expenses</w:t>
            </w:r>
            <w:r w:rsidRPr="000F62B8">
              <w:rPr>
                <w:rFonts w:ascii="Calibri" w:hAnsi="Calibri" w:cs="Calibri"/>
                <w:b w:val="0"/>
                <w:bCs w:val="0"/>
                <w:caps w:val="0"/>
                <w:sz w:val="18"/>
                <w:szCs w:val="18"/>
              </w:rPr>
              <w:t xml:space="preserve"> or Note </w:t>
            </w:r>
            <w:r w:rsidR="001B1A1D" w:rsidRPr="000F62B8">
              <w:rPr>
                <w:rFonts w:ascii="Calibri" w:hAnsi="Calibri" w:cs="Calibri"/>
                <w:b w:val="0"/>
                <w:bCs w:val="0"/>
                <w:caps w:val="0"/>
                <w:sz w:val="18"/>
                <w:szCs w:val="18"/>
              </w:rPr>
              <w:t xml:space="preserve">8 </w:t>
            </w:r>
            <w:r w:rsidRPr="00AB1649">
              <w:rPr>
                <w:rFonts w:ascii="Calibri" w:hAnsi="Calibri" w:cs="Calibri"/>
                <w:b w:val="0"/>
                <w:bCs w:val="0"/>
                <w:i/>
                <w:iCs/>
                <w:caps w:val="0"/>
                <w:sz w:val="18"/>
                <w:szCs w:val="18"/>
              </w:rPr>
              <w:t>Gains from Disposals, Derecognition and Remeasurement of Assets</w:t>
            </w:r>
            <w:r w:rsidRPr="000F62B8">
              <w:rPr>
                <w:rFonts w:ascii="Calibri" w:hAnsi="Calibri" w:cs="Calibri"/>
                <w:b w:val="0"/>
                <w:bCs w:val="0"/>
                <w:caps w:val="0"/>
                <w:sz w:val="18"/>
                <w:szCs w:val="18"/>
              </w:rPr>
              <w:t>).</w:t>
            </w:r>
            <w:r w:rsidR="00FA7C77">
              <w:rPr>
                <w:rFonts w:ascii="Calibri" w:hAnsi="Calibri" w:cs="Calibri"/>
                <w:b w:val="0"/>
                <w:bCs w:val="0"/>
                <w:caps w:val="0"/>
                <w:sz w:val="18"/>
                <w:szCs w:val="18"/>
              </w:rPr>
              <w:t xml:space="preserve"> </w:t>
            </w:r>
            <w:r w:rsidRPr="000F62B8">
              <w:rPr>
                <w:rFonts w:ascii="Calibri" w:hAnsi="Calibri"/>
                <w:b w:val="0"/>
                <w:bCs w:val="0"/>
                <w:caps w:val="0"/>
                <w:sz w:val="18"/>
                <w:szCs w:val="18"/>
              </w:rPr>
              <w:t>Any costs incurred subsequent to initial acquisition are capitalised when</w:t>
            </w:r>
            <w:r w:rsidR="00D8142F" w:rsidRPr="000F62B8">
              <w:rPr>
                <w:rFonts w:ascii="Calibri" w:hAnsi="Calibri"/>
                <w:b w:val="0"/>
                <w:bCs w:val="0"/>
                <w:caps w:val="0"/>
                <w:sz w:val="18"/>
                <w:szCs w:val="18"/>
              </w:rPr>
              <w:t xml:space="preserve"> the</w:t>
            </w:r>
            <w:r w:rsidRPr="000F62B8">
              <w:rPr>
                <w:rFonts w:ascii="Calibri" w:hAnsi="Calibri"/>
                <w:b w:val="0"/>
                <w:bCs w:val="0"/>
                <w:caps w:val="0"/>
                <w:sz w:val="18"/>
                <w:szCs w:val="18"/>
              </w:rPr>
              <w:t xml:space="preserve"> </w:t>
            </w:r>
            <w:r w:rsidR="00D8142F" w:rsidRPr="000F62B8">
              <w:rPr>
                <w:rFonts w:ascii="Calibri" w:hAnsi="Calibri"/>
                <w:b w:val="0"/>
                <w:bCs w:val="0"/>
                <w:caps w:val="0"/>
                <w:sz w:val="18"/>
                <w:szCs w:val="18"/>
              </w:rPr>
              <w:t>expenditure increase the annual service potential or useful life of the asset beyond what was originally assessed.</w:t>
            </w:r>
            <w:r w:rsidR="00FA7C77">
              <w:rPr>
                <w:rFonts w:ascii="Calibri" w:hAnsi="Calibri"/>
                <w:b w:val="0"/>
                <w:bCs w:val="0"/>
                <w:caps w:val="0"/>
                <w:sz w:val="18"/>
                <w:szCs w:val="18"/>
              </w:rPr>
              <w:t xml:space="preserve"> </w:t>
            </w:r>
            <w:r w:rsidRPr="000F62B8">
              <w:rPr>
                <w:rFonts w:ascii="Calibri" w:hAnsi="Calibri"/>
                <w:b w:val="0"/>
                <w:bCs w:val="0"/>
                <w:caps w:val="0"/>
                <w:sz w:val="18"/>
                <w:szCs w:val="18"/>
              </w:rPr>
              <w:t>Where an investment property is acquired at no cost or for nominal consideration, its fair value is deemed to be its cost as at the date of acquisition.</w:t>
            </w:r>
            <w:r w:rsidRPr="000F62B8">
              <w:t xml:space="preserve"> </w:t>
            </w:r>
            <w:r w:rsidRPr="000F62B8">
              <w:rPr>
                <w:rFonts w:ascii="Calibri" w:hAnsi="Calibri" w:cs="Calibri"/>
                <w:b w:val="0"/>
                <w:bCs w:val="0"/>
                <w:caps w:val="0"/>
                <w:sz w:val="18"/>
                <w:szCs w:val="18"/>
              </w:rPr>
              <w:t>Investment properties are not depreciated or tested for impairment.</w:t>
            </w:r>
            <w:bookmarkEnd w:id="552"/>
            <w:r w:rsidR="00FA7C77">
              <w:rPr>
                <w:rFonts w:cs="Calibri"/>
                <w:sz w:val="18"/>
                <w:szCs w:val="18"/>
              </w:rPr>
              <w:t xml:space="preserve"> </w:t>
            </w:r>
          </w:p>
        </w:tc>
      </w:tr>
      <w:tr w:rsidR="00DE06A5" w:rsidRPr="00CF7E1B" w14:paraId="69F17961" w14:textId="77777777" w:rsidTr="002A16D9">
        <w:trPr>
          <w:cantSplit/>
          <w:trHeight w:val="23"/>
        </w:trPr>
        <w:tc>
          <w:tcPr>
            <w:tcW w:w="743" w:type="pct"/>
            <w:tcBorders>
              <w:top w:val="nil"/>
              <w:left w:val="single" w:sz="4" w:space="0" w:color="auto"/>
              <w:bottom w:val="nil"/>
              <w:right w:val="single" w:sz="4" w:space="0" w:color="auto"/>
            </w:tcBorders>
          </w:tcPr>
          <w:p w14:paraId="66C78B44" w14:textId="77777777" w:rsidR="00F756C2" w:rsidRPr="000F62B8" w:rsidRDefault="00F756C2" w:rsidP="00F756C2">
            <w:pPr>
              <w:rPr>
                <w:color w:val="7030A0"/>
                <w:sz w:val="14"/>
                <w:szCs w:val="14"/>
              </w:rPr>
            </w:pPr>
          </w:p>
          <w:p w14:paraId="661A42B7" w14:textId="05960196" w:rsidR="00F756C2" w:rsidRPr="000F62B8" w:rsidRDefault="00F756C2" w:rsidP="00F756C2">
            <w:pPr>
              <w:rPr>
                <w:color w:val="7030A0"/>
                <w:sz w:val="14"/>
                <w:szCs w:val="14"/>
              </w:rPr>
            </w:pPr>
            <w:r w:rsidRPr="000F62B8">
              <w:rPr>
                <w:color w:val="7030A0"/>
                <w:sz w:val="14"/>
                <w:szCs w:val="14"/>
              </w:rPr>
              <w:t>AASB 16.61</w:t>
            </w:r>
          </w:p>
          <w:p w14:paraId="187E4F3C" w14:textId="77777777" w:rsidR="00F756C2" w:rsidRPr="000F62B8" w:rsidRDefault="00F756C2" w:rsidP="00F756C2">
            <w:pPr>
              <w:rPr>
                <w:color w:val="7030A0"/>
                <w:sz w:val="14"/>
                <w:szCs w:val="14"/>
              </w:rPr>
            </w:pPr>
            <w:r w:rsidRPr="000F62B8">
              <w:rPr>
                <w:color w:val="7030A0"/>
                <w:sz w:val="14"/>
                <w:szCs w:val="14"/>
              </w:rPr>
              <w:t>AASB 16.62</w:t>
            </w:r>
          </w:p>
          <w:p w14:paraId="3CE8610E" w14:textId="77777777" w:rsidR="00DE06A5" w:rsidRPr="000F62B8" w:rsidRDefault="00DE06A5" w:rsidP="00342BC7">
            <w:pPr>
              <w:pStyle w:val="TableReference"/>
              <w:tabs>
                <w:tab w:val="left" w:pos="3306"/>
              </w:tabs>
              <w:spacing w:before="40"/>
              <w:rPr>
                <w:rFonts w:cs="Calibri"/>
                <w:color w:val="7030A0"/>
                <w:sz w:val="16"/>
                <w:szCs w:val="16"/>
              </w:rPr>
            </w:pPr>
          </w:p>
        </w:tc>
        <w:tc>
          <w:tcPr>
            <w:tcW w:w="4257" w:type="pct"/>
            <w:gridSpan w:val="10"/>
            <w:tcBorders>
              <w:top w:val="nil"/>
              <w:left w:val="single" w:sz="4" w:space="0" w:color="auto"/>
              <w:bottom w:val="nil"/>
              <w:right w:val="nil"/>
            </w:tcBorders>
          </w:tcPr>
          <w:p w14:paraId="39E038D8" w14:textId="7BD5ADA8" w:rsidR="00DE06A5" w:rsidRPr="000F62B8" w:rsidRDefault="00DE06A5" w:rsidP="0095733E">
            <w:pPr>
              <w:pStyle w:val="Heading1"/>
              <w:numPr>
                <w:ilvl w:val="0"/>
                <w:numId w:val="0"/>
              </w:numPr>
              <w:spacing w:before="0" w:after="80"/>
              <w:jc w:val="both"/>
              <w:rPr>
                <w:rFonts w:ascii="Calibri" w:hAnsi="Calibri"/>
                <w:b w:val="0"/>
                <w:bCs w:val="0"/>
                <w:caps w:val="0"/>
                <w:sz w:val="18"/>
                <w:szCs w:val="18"/>
              </w:rPr>
            </w:pPr>
            <w:bookmarkStart w:id="553" w:name="_Toc98763135"/>
            <w:r w:rsidRPr="000F62B8">
              <w:rPr>
                <w:rFonts w:ascii="Calibri" w:hAnsi="Calibri"/>
                <w:b w:val="0"/>
                <w:bCs w:val="0"/>
                <w:caps w:val="0"/>
                <w:sz w:val="18"/>
                <w:szCs w:val="18"/>
              </w:rPr>
              <w:t>As a lessor, ‘</w:t>
            </w:r>
            <w:r w:rsidR="00645E43" w:rsidRPr="000F62B8">
              <w:rPr>
                <w:rFonts w:ascii="Calibri" w:hAnsi="Calibri"/>
                <w:b w:val="0"/>
                <w:bCs w:val="0"/>
                <w:caps w:val="0"/>
                <w:sz w:val="18"/>
                <w:szCs w:val="18"/>
              </w:rPr>
              <w:t xml:space="preserve">Burley Griffin </w:t>
            </w:r>
            <w:r w:rsidRPr="000F62B8">
              <w:rPr>
                <w:rFonts w:ascii="Calibri" w:hAnsi="Calibri"/>
                <w:b w:val="0"/>
                <w:bCs w:val="0"/>
                <w:caps w:val="0"/>
                <w:sz w:val="18"/>
                <w:szCs w:val="18"/>
              </w:rPr>
              <w:t xml:space="preserve">Agency’ classifies </w:t>
            </w:r>
            <w:r w:rsidR="00E30279" w:rsidRPr="000F62B8">
              <w:rPr>
                <w:rFonts w:ascii="Calibri" w:hAnsi="Calibri"/>
                <w:b w:val="0"/>
                <w:bCs w:val="0"/>
                <w:caps w:val="0"/>
                <w:sz w:val="18"/>
                <w:szCs w:val="18"/>
              </w:rPr>
              <w:t>all</w:t>
            </w:r>
            <w:r w:rsidRPr="000F62B8">
              <w:rPr>
                <w:rFonts w:ascii="Calibri" w:hAnsi="Calibri"/>
                <w:b w:val="0"/>
                <w:bCs w:val="0"/>
                <w:caps w:val="0"/>
                <w:sz w:val="18"/>
                <w:szCs w:val="18"/>
              </w:rPr>
              <w:t xml:space="preserve"> investment propert</w:t>
            </w:r>
            <w:r w:rsidR="00E30279" w:rsidRPr="000F62B8">
              <w:rPr>
                <w:rFonts w:ascii="Calibri" w:hAnsi="Calibri"/>
                <w:b w:val="0"/>
                <w:bCs w:val="0"/>
                <w:caps w:val="0"/>
                <w:sz w:val="18"/>
                <w:szCs w:val="18"/>
              </w:rPr>
              <w:t>ies</w:t>
            </w:r>
            <w:r w:rsidRPr="000F62B8">
              <w:rPr>
                <w:rFonts w:ascii="Calibri" w:hAnsi="Calibri"/>
                <w:b w:val="0"/>
                <w:bCs w:val="0"/>
                <w:caps w:val="0"/>
                <w:sz w:val="18"/>
                <w:szCs w:val="18"/>
              </w:rPr>
              <w:t xml:space="preserve"> as operating leases.</w:t>
            </w:r>
            <w:r w:rsidR="00FA7C77">
              <w:rPr>
                <w:rFonts w:ascii="Calibri" w:hAnsi="Calibri"/>
                <w:b w:val="0"/>
                <w:bCs w:val="0"/>
                <w:caps w:val="0"/>
                <w:sz w:val="18"/>
                <w:szCs w:val="18"/>
              </w:rPr>
              <w:t xml:space="preserve"> </w:t>
            </w:r>
            <w:r w:rsidRPr="000F62B8">
              <w:rPr>
                <w:rFonts w:ascii="Calibri" w:hAnsi="Calibri"/>
                <w:b w:val="0"/>
                <w:bCs w:val="0"/>
                <w:caps w:val="0"/>
                <w:sz w:val="18"/>
                <w:szCs w:val="18"/>
              </w:rPr>
              <w:t>This is because these leases do not me</w:t>
            </w:r>
            <w:r w:rsidR="00C608A2" w:rsidRPr="000F62B8">
              <w:rPr>
                <w:rFonts w:ascii="Calibri" w:hAnsi="Calibri"/>
                <w:b w:val="0"/>
                <w:bCs w:val="0"/>
                <w:caps w:val="0"/>
                <w:sz w:val="18"/>
                <w:szCs w:val="18"/>
              </w:rPr>
              <w:t>e</w:t>
            </w:r>
            <w:r w:rsidRPr="000F62B8">
              <w:rPr>
                <w:rFonts w:ascii="Calibri" w:hAnsi="Calibri"/>
                <w:b w:val="0"/>
                <w:bCs w:val="0"/>
                <w:caps w:val="0"/>
                <w:sz w:val="18"/>
                <w:szCs w:val="18"/>
              </w:rPr>
              <w:t>t the definition of a finance lease.</w:t>
            </w:r>
            <w:r w:rsidR="00FA7C77">
              <w:rPr>
                <w:rFonts w:ascii="Calibri" w:hAnsi="Calibri"/>
                <w:b w:val="0"/>
                <w:bCs w:val="0"/>
                <w:caps w:val="0"/>
                <w:sz w:val="18"/>
                <w:szCs w:val="18"/>
              </w:rPr>
              <w:t xml:space="preserve"> </w:t>
            </w:r>
            <w:r w:rsidRPr="000F62B8">
              <w:rPr>
                <w:rFonts w:ascii="Calibri" w:hAnsi="Calibri"/>
                <w:b w:val="0"/>
                <w:bCs w:val="0"/>
                <w:caps w:val="0"/>
                <w:sz w:val="18"/>
                <w:szCs w:val="18"/>
              </w:rPr>
              <w:t>A lease is classified as a finance lease where substantially all the risks and rewards of ownership as transferred from ‘</w:t>
            </w:r>
            <w:r w:rsidR="00645E43" w:rsidRPr="000F62B8">
              <w:rPr>
                <w:rFonts w:ascii="Calibri" w:hAnsi="Calibri"/>
                <w:b w:val="0"/>
                <w:bCs w:val="0"/>
                <w:caps w:val="0"/>
                <w:sz w:val="18"/>
                <w:szCs w:val="18"/>
              </w:rPr>
              <w:t xml:space="preserve">Burley Griffin </w:t>
            </w:r>
            <w:r w:rsidRPr="000F62B8">
              <w:rPr>
                <w:rFonts w:ascii="Calibri" w:hAnsi="Calibri"/>
                <w:b w:val="0"/>
                <w:bCs w:val="0"/>
                <w:caps w:val="0"/>
                <w:sz w:val="18"/>
                <w:szCs w:val="18"/>
              </w:rPr>
              <w:t>Agency’ to the lessee.</w:t>
            </w:r>
            <w:bookmarkEnd w:id="553"/>
            <w:r w:rsidR="00FA7C77">
              <w:rPr>
                <w:rFonts w:ascii="Calibri" w:hAnsi="Calibri"/>
                <w:b w:val="0"/>
                <w:bCs w:val="0"/>
                <w:caps w:val="0"/>
                <w:sz w:val="18"/>
                <w:szCs w:val="18"/>
              </w:rPr>
              <w:t xml:space="preserve"> </w:t>
            </w:r>
            <w:r w:rsidRPr="000F62B8">
              <w:rPr>
                <w:rFonts w:ascii="Calibri" w:hAnsi="Calibri"/>
                <w:b w:val="0"/>
                <w:bCs w:val="0"/>
                <w:caps w:val="0"/>
                <w:sz w:val="18"/>
                <w:szCs w:val="18"/>
              </w:rPr>
              <w:t xml:space="preserve"> </w:t>
            </w:r>
          </w:p>
        </w:tc>
      </w:tr>
      <w:tr w:rsidR="00342BC7" w:rsidRPr="00CF7E1B" w14:paraId="10639E9C" w14:textId="77777777" w:rsidTr="002A16D9">
        <w:trPr>
          <w:cantSplit/>
          <w:trHeight w:val="23"/>
        </w:trPr>
        <w:tc>
          <w:tcPr>
            <w:tcW w:w="743" w:type="pct"/>
            <w:tcBorders>
              <w:top w:val="nil"/>
              <w:left w:val="single" w:sz="4" w:space="0" w:color="auto"/>
              <w:bottom w:val="nil"/>
              <w:right w:val="single" w:sz="4" w:space="0" w:color="auto"/>
            </w:tcBorders>
          </w:tcPr>
          <w:p w14:paraId="60F59C53" w14:textId="076EB905" w:rsidR="00342BC7" w:rsidRPr="000F62B8" w:rsidRDefault="00DB7306" w:rsidP="00342BC7">
            <w:pPr>
              <w:pStyle w:val="TableReference"/>
              <w:tabs>
                <w:tab w:val="left" w:pos="3306"/>
              </w:tabs>
              <w:spacing w:before="40"/>
              <w:rPr>
                <w:rFonts w:cs="Calibri"/>
                <w:color w:val="7030A0"/>
                <w:sz w:val="14"/>
              </w:rPr>
            </w:pPr>
            <w:r w:rsidRPr="000F62B8">
              <w:rPr>
                <w:color w:val="7030A0"/>
                <w:sz w:val="14"/>
              </w:rPr>
              <w:t>AASB 140.75(a) &amp; (e), AASB 13.15</w:t>
            </w:r>
          </w:p>
        </w:tc>
        <w:tc>
          <w:tcPr>
            <w:tcW w:w="4257" w:type="pct"/>
            <w:gridSpan w:val="10"/>
            <w:tcBorders>
              <w:top w:val="nil"/>
              <w:left w:val="single" w:sz="4" w:space="0" w:color="auto"/>
              <w:bottom w:val="nil"/>
              <w:right w:val="nil"/>
            </w:tcBorders>
          </w:tcPr>
          <w:p w14:paraId="497B0B0C" w14:textId="5C908AAB" w:rsidR="004B554F" w:rsidRPr="000F62B8" w:rsidRDefault="00E95D45" w:rsidP="0095733E">
            <w:pPr>
              <w:spacing w:after="80"/>
              <w:jc w:val="both"/>
              <w:rPr>
                <w:rFonts w:cs="Calibri"/>
                <w:sz w:val="18"/>
                <w:szCs w:val="18"/>
              </w:rPr>
            </w:pPr>
            <w:r w:rsidRPr="000F62B8">
              <w:rPr>
                <w:rFonts w:cs="Calibri"/>
                <w:sz w:val="18"/>
                <w:szCs w:val="18"/>
              </w:rPr>
              <w:t>As all investment properties are under an operating lease, the initial direct costs incurred upon initial recognition in negotiating and arranging these operating leases are added to the carrying amount of the underlying asset and recognised over the lease term on the same basis as rental income.</w:t>
            </w:r>
            <w:r w:rsidR="00FA7C77">
              <w:rPr>
                <w:rFonts w:cs="Calibri"/>
                <w:sz w:val="18"/>
                <w:szCs w:val="18"/>
              </w:rPr>
              <w:t xml:space="preserve">   </w:t>
            </w:r>
          </w:p>
        </w:tc>
      </w:tr>
      <w:tr w:rsidR="0095733E" w:rsidRPr="00BF30D3" w14:paraId="2F3696C1" w14:textId="77777777" w:rsidTr="002A16D9">
        <w:trPr>
          <w:cantSplit/>
          <w:trHeight w:val="23"/>
        </w:trPr>
        <w:tc>
          <w:tcPr>
            <w:tcW w:w="743" w:type="pct"/>
            <w:tcBorders>
              <w:top w:val="nil"/>
              <w:left w:val="single" w:sz="4" w:space="0" w:color="auto"/>
              <w:bottom w:val="nil"/>
              <w:right w:val="single" w:sz="4" w:space="0" w:color="auto"/>
            </w:tcBorders>
          </w:tcPr>
          <w:p w14:paraId="4E3F948A" w14:textId="77777777" w:rsidR="00EF02F9" w:rsidRPr="00BF30D3" w:rsidRDefault="00EF02F9" w:rsidP="009A0F2F">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tcPr>
          <w:p w14:paraId="78325DA7" w14:textId="77777777" w:rsidR="00EF02F9" w:rsidRPr="00BF30D3" w:rsidRDefault="00EF02F9" w:rsidP="009A0F2F">
            <w:pPr>
              <w:pStyle w:val="TableTitle"/>
              <w:jc w:val="left"/>
              <w:rPr>
                <w:rFonts w:cs="Calibri"/>
              </w:rPr>
            </w:pPr>
          </w:p>
        </w:tc>
        <w:tc>
          <w:tcPr>
            <w:tcW w:w="615" w:type="pct"/>
            <w:gridSpan w:val="2"/>
            <w:tcBorders>
              <w:top w:val="nil"/>
              <w:left w:val="nil"/>
              <w:bottom w:val="nil"/>
              <w:right w:val="nil"/>
            </w:tcBorders>
            <w:vAlign w:val="center"/>
          </w:tcPr>
          <w:p w14:paraId="3F3FC29C" w14:textId="77777777" w:rsidR="00EF02F9" w:rsidRPr="00BF30D3" w:rsidRDefault="00EF02F9" w:rsidP="009A0F2F">
            <w:pPr>
              <w:pStyle w:val="TableTitle"/>
              <w:tabs>
                <w:tab w:val="left" w:pos="3306"/>
              </w:tabs>
              <w:rPr>
                <w:rFonts w:cs="Calibri"/>
              </w:rPr>
            </w:pPr>
            <w:r w:rsidRPr="00BF30D3">
              <w:rPr>
                <w:rFonts w:cs="Calibri"/>
              </w:rPr>
              <w:t>Land</w:t>
            </w:r>
            <w:r w:rsidRPr="00BF30D3">
              <w:rPr>
                <w:rFonts w:cs="Calibri"/>
                <w:vertAlign w:val="superscript"/>
              </w:rPr>
              <w:t>a</w:t>
            </w:r>
          </w:p>
          <w:p w14:paraId="0C19A6BA" w14:textId="77777777" w:rsidR="00EF02F9" w:rsidRPr="00BF30D3" w:rsidRDefault="00EF02F9" w:rsidP="009A0F2F">
            <w:pPr>
              <w:pStyle w:val="TableTitle"/>
              <w:tabs>
                <w:tab w:val="left" w:pos="3306"/>
              </w:tabs>
              <w:rPr>
                <w:rFonts w:cs="Calibri"/>
              </w:rPr>
            </w:pPr>
            <w:r w:rsidRPr="00BF30D3">
              <w:rPr>
                <w:rFonts w:cs="Calibri"/>
              </w:rPr>
              <w:t>$’000</w:t>
            </w:r>
          </w:p>
        </w:tc>
        <w:tc>
          <w:tcPr>
            <w:tcW w:w="621" w:type="pct"/>
            <w:gridSpan w:val="6"/>
            <w:tcBorders>
              <w:top w:val="nil"/>
              <w:left w:val="nil"/>
              <w:bottom w:val="nil"/>
              <w:right w:val="nil"/>
            </w:tcBorders>
          </w:tcPr>
          <w:p w14:paraId="4F1DEF0F" w14:textId="77777777" w:rsidR="00EF02F9" w:rsidRPr="00BF30D3" w:rsidRDefault="00EF02F9" w:rsidP="009A0F2F">
            <w:pPr>
              <w:pStyle w:val="TableTitle"/>
              <w:tabs>
                <w:tab w:val="left" w:pos="3306"/>
              </w:tabs>
              <w:rPr>
                <w:rFonts w:cs="Calibri"/>
              </w:rPr>
            </w:pPr>
            <w:r w:rsidRPr="00BF30D3">
              <w:rPr>
                <w:rFonts w:cs="Calibri"/>
              </w:rPr>
              <w:t>Buildings</w:t>
            </w:r>
            <w:r w:rsidRPr="00BF30D3">
              <w:rPr>
                <w:rFonts w:cs="Calibri"/>
                <w:vertAlign w:val="superscript"/>
              </w:rPr>
              <w:t>a</w:t>
            </w:r>
            <w:r w:rsidRPr="00BF30D3">
              <w:rPr>
                <w:rFonts w:cs="Calibri"/>
              </w:rPr>
              <w:t xml:space="preserve"> $’000</w:t>
            </w:r>
          </w:p>
        </w:tc>
        <w:tc>
          <w:tcPr>
            <w:tcW w:w="465" w:type="pct"/>
            <w:tcBorders>
              <w:top w:val="nil"/>
              <w:left w:val="nil"/>
              <w:bottom w:val="nil"/>
              <w:right w:val="nil"/>
            </w:tcBorders>
            <w:vAlign w:val="center"/>
          </w:tcPr>
          <w:p w14:paraId="4A68E2D9" w14:textId="77777777" w:rsidR="00EF02F9" w:rsidRPr="00BF30D3" w:rsidRDefault="00EF02F9" w:rsidP="009A0F2F">
            <w:pPr>
              <w:pStyle w:val="TableTitle"/>
              <w:tabs>
                <w:tab w:val="left" w:pos="3306"/>
              </w:tabs>
              <w:ind w:left="-8092" w:right="7"/>
              <w:rPr>
                <w:rFonts w:cs="Calibri"/>
              </w:rPr>
            </w:pPr>
            <w:r w:rsidRPr="00BF30D3">
              <w:rPr>
                <w:rFonts w:cs="Calibri"/>
              </w:rPr>
              <w:t>Total</w:t>
            </w:r>
          </w:p>
          <w:p w14:paraId="34D374DA" w14:textId="77777777" w:rsidR="00EF02F9" w:rsidRPr="00BF30D3" w:rsidRDefault="00EF02F9" w:rsidP="009A0F2F">
            <w:pPr>
              <w:pStyle w:val="TableTitle"/>
              <w:tabs>
                <w:tab w:val="left" w:pos="3306"/>
              </w:tabs>
              <w:ind w:left="-8092" w:right="7"/>
              <w:rPr>
                <w:rFonts w:cs="Calibri"/>
              </w:rPr>
            </w:pPr>
            <w:r w:rsidRPr="00BF30D3">
              <w:rPr>
                <w:rFonts w:cs="Calibri"/>
              </w:rPr>
              <w:t>$’000</w:t>
            </w:r>
          </w:p>
        </w:tc>
      </w:tr>
      <w:tr w:rsidR="0095733E" w:rsidRPr="00BF30D3" w14:paraId="5F66B46F" w14:textId="77777777" w:rsidTr="002A16D9">
        <w:trPr>
          <w:cantSplit/>
          <w:trHeight w:val="23"/>
        </w:trPr>
        <w:tc>
          <w:tcPr>
            <w:tcW w:w="743" w:type="pct"/>
            <w:tcBorders>
              <w:top w:val="nil"/>
              <w:left w:val="single" w:sz="4" w:space="0" w:color="auto"/>
              <w:bottom w:val="nil"/>
              <w:right w:val="single" w:sz="4" w:space="0" w:color="auto"/>
            </w:tcBorders>
          </w:tcPr>
          <w:p w14:paraId="5C422F7F" w14:textId="77777777" w:rsidR="00EF02F9" w:rsidRPr="00BF30D3" w:rsidRDefault="00EF02F9" w:rsidP="009A0F2F">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tcPr>
          <w:p w14:paraId="7224FC9E" w14:textId="77777777" w:rsidR="00EF02F9" w:rsidRPr="00BF30D3" w:rsidRDefault="00EF02F9" w:rsidP="009A0F2F">
            <w:pPr>
              <w:pStyle w:val="TableTitle"/>
              <w:spacing w:after="60"/>
              <w:jc w:val="left"/>
              <w:rPr>
                <w:rFonts w:cs="Calibri"/>
              </w:rPr>
            </w:pPr>
            <w:r w:rsidRPr="00BF30D3">
              <w:rPr>
                <w:rFonts w:cs="Calibri"/>
              </w:rPr>
              <w:t>Reconciliation of Investment Properties 2021-22</w:t>
            </w:r>
          </w:p>
        </w:tc>
        <w:tc>
          <w:tcPr>
            <w:tcW w:w="615" w:type="pct"/>
            <w:gridSpan w:val="2"/>
            <w:tcBorders>
              <w:top w:val="nil"/>
              <w:left w:val="nil"/>
              <w:bottom w:val="nil"/>
              <w:right w:val="nil"/>
            </w:tcBorders>
            <w:vAlign w:val="center"/>
          </w:tcPr>
          <w:p w14:paraId="0FFC1F4E" w14:textId="77777777" w:rsidR="00EF02F9" w:rsidRPr="00BF30D3" w:rsidRDefault="00EF02F9" w:rsidP="009A0F2F">
            <w:pPr>
              <w:pStyle w:val="TableTitle"/>
              <w:tabs>
                <w:tab w:val="left" w:pos="3306"/>
              </w:tabs>
              <w:rPr>
                <w:rFonts w:cs="Calibri"/>
              </w:rPr>
            </w:pPr>
          </w:p>
        </w:tc>
        <w:tc>
          <w:tcPr>
            <w:tcW w:w="621" w:type="pct"/>
            <w:gridSpan w:val="6"/>
            <w:tcBorders>
              <w:top w:val="nil"/>
              <w:left w:val="nil"/>
              <w:bottom w:val="nil"/>
              <w:right w:val="nil"/>
            </w:tcBorders>
          </w:tcPr>
          <w:p w14:paraId="5649A802" w14:textId="77777777" w:rsidR="00EF02F9" w:rsidRPr="00BF30D3" w:rsidRDefault="00EF02F9" w:rsidP="009A0F2F">
            <w:pPr>
              <w:pStyle w:val="TableTitle"/>
              <w:tabs>
                <w:tab w:val="left" w:pos="3306"/>
              </w:tabs>
              <w:rPr>
                <w:rFonts w:cs="Calibri"/>
              </w:rPr>
            </w:pPr>
          </w:p>
        </w:tc>
        <w:tc>
          <w:tcPr>
            <w:tcW w:w="465" w:type="pct"/>
            <w:tcBorders>
              <w:top w:val="nil"/>
              <w:left w:val="nil"/>
              <w:bottom w:val="nil"/>
              <w:right w:val="nil"/>
            </w:tcBorders>
            <w:vAlign w:val="center"/>
          </w:tcPr>
          <w:p w14:paraId="62BF492A" w14:textId="77777777" w:rsidR="00EF02F9" w:rsidRPr="00BF30D3" w:rsidRDefault="00EF02F9" w:rsidP="009A0F2F">
            <w:pPr>
              <w:pStyle w:val="TableTitle"/>
              <w:tabs>
                <w:tab w:val="left" w:pos="3306"/>
              </w:tabs>
              <w:ind w:left="-8092" w:right="7"/>
              <w:rPr>
                <w:rFonts w:cs="Calibri"/>
              </w:rPr>
            </w:pPr>
          </w:p>
        </w:tc>
      </w:tr>
      <w:tr w:rsidR="0095733E" w:rsidRPr="00BF30D3" w14:paraId="49AB866F" w14:textId="77777777" w:rsidTr="002A16D9">
        <w:trPr>
          <w:cantSplit/>
          <w:trHeight w:val="23"/>
        </w:trPr>
        <w:tc>
          <w:tcPr>
            <w:tcW w:w="743" w:type="pct"/>
            <w:tcBorders>
              <w:top w:val="nil"/>
              <w:left w:val="single" w:sz="4" w:space="0" w:color="auto"/>
              <w:bottom w:val="nil"/>
              <w:right w:val="single" w:sz="4" w:space="0" w:color="auto"/>
            </w:tcBorders>
          </w:tcPr>
          <w:p w14:paraId="022500E9" w14:textId="77777777" w:rsidR="00EF02F9" w:rsidRPr="00BF30D3" w:rsidRDefault="00EF02F9" w:rsidP="009A0F2F">
            <w:pPr>
              <w:pStyle w:val="TableReference"/>
              <w:tabs>
                <w:tab w:val="left" w:pos="3306"/>
              </w:tabs>
              <w:spacing w:before="60"/>
              <w:rPr>
                <w:rFonts w:cs="Calibri"/>
                <w:color w:val="7030A0"/>
                <w:sz w:val="14"/>
              </w:rPr>
            </w:pPr>
          </w:p>
        </w:tc>
        <w:tc>
          <w:tcPr>
            <w:tcW w:w="2556" w:type="pct"/>
            <w:tcBorders>
              <w:top w:val="nil"/>
              <w:left w:val="single" w:sz="4" w:space="0" w:color="auto"/>
              <w:bottom w:val="nil"/>
              <w:right w:val="nil"/>
            </w:tcBorders>
            <w:vAlign w:val="bottom"/>
          </w:tcPr>
          <w:p w14:paraId="60A0A46A" w14:textId="77777777" w:rsidR="00EF02F9" w:rsidRPr="00BF30D3" w:rsidRDefault="00EF02F9" w:rsidP="009A0F2F">
            <w:pPr>
              <w:pStyle w:val="TableText"/>
              <w:rPr>
                <w:rFonts w:cs="Calibri"/>
                <w:b/>
                <w:bCs/>
              </w:rPr>
            </w:pPr>
            <w:r w:rsidRPr="00BF30D3">
              <w:rPr>
                <w:rFonts w:cs="Calibri"/>
                <w:b/>
                <w:bCs/>
              </w:rPr>
              <w:t>Carrying Amount at the Beginning of the Reporting Period</w:t>
            </w:r>
          </w:p>
        </w:tc>
        <w:tc>
          <w:tcPr>
            <w:tcW w:w="615" w:type="pct"/>
            <w:gridSpan w:val="2"/>
            <w:tcBorders>
              <w:top w:val="nil"/>
              <w:left w:val="nil"/>
              <w:bottom w:val="nil"/>
              <w:right w:val="nil"/>
            </w:tcBorders>
          </w:tcPr>
          <w:p w14:paraId="0DD05213" w14:textId="77777777" w:rsidR="00EF02F9" w:rsidRPr="00BF30D3" w:rsidRDefault="00EF02F9" w:rsidP="009A0F2F">
            <w:pPr>
              <w:pStyle w:val="TableText"/>
              <w:tabs>
                <w:tab w:val="left" w:pos="3306"/>
              </w:tabs>
              <w:jc w:val="right"/>
              <w:rPr>
                <w:rFonts w:cs="Calibri"/>
                <w:b/>
                <w:bCs/>
              </w:rPr>
            </w:pPr>
          </w:p>
        </w:tc>
        <w:tc>
          <w:tcPr>
            <w:tcW w:w="621" w:type="pct"/>
            <w:gridSpan w:val="6"/>
            <w:tcBorders>
              <w:top w:val="nil"/>
              <w:left w:val="nil"/>
              <w:bottom w:val="nil"/>
              <w:right w:val="nil"/>
            </w:tcBorders>
          </w:tcPr>
          <w:p w14:paraId="0BE96C09" w14:textId="77777777" w:rsidR="00EF02F9" w:rsidRPr="00BF30D3" w:rsidRDefault="00EF02F9" w:rsidP="009A0F2F">
            <w:pPr>
              <w:pStyle w:val="TableText"/>
              <w:tabs>
                <w:tab w:val="left" w:pos="3306"/>
              </w:tabs>
              <w:jc w:val="right"/>
              <w:rPr>
                <w:rFonts w:cs="Calibri"/>
                <w:b/>
                <w:bCs/>
              </w:rPr>
            </w:pPr>
          </w:p>
        </w:tc>
        <w:tc>
          <w:tcPr>
            <w:tcW w:w="465" w:type="pct"/>
            <w:tcBorders>
              <w:top w:val="nil"/>
              <w:left w:val="nil"/>
              <w:bottom w:val="nil"/>
              <w:right w:val="nil"/>
            </w:tcBorders>
            <w:vAlign w:val="bottom"/>
          </w:tcPr>
          <w:p w14:paraId="14E2538A" w14:textId="77777777" w:rsidR="00EF02F9" w:rsidRPr="00BF30D3" w:rsidRDefault="00EF02F9" w:rsidP="009A0F2F">
            <w:pPr>
              <w:pStyle w:val="TableText"/>
              <w:tabs>
                <w:tab w:val="left" w:pos="3306"/>
              </w:tabs>
              <w:ind w:left="-8092" w:right="7"/>
              <w:jc w:val="right"/>
              <w:rPr>
                <w:rFonts w:cs="Calibri"/>
                <w:b/>
                <w:bCs/>
              </w:rPr>
            </w:pPr>
          </w:p>
        </w:tc>
      </w:tr>
      <w:tr w:rsidR="0095733E" w:rsidRPr="00BF30D3" w14:paraId="14445B01" w14:textId="77777777" w:rsidTr="002A16D9">
        <w:trPr>
          <w:cantSplit/>
          <w:trHeight w:val="23"/>
        </w:trPr>
        <w:tc>
          <w:tcPr>
            <w:tcW w:w="743" w:type="pct"/>
            <w:tcBorders>
              <w:top w:val="nil"/>
              <w:left w:val="single" w:sz="4" w:space="0" w:color="auto"/>
              <w:bottom w:val="nil"/>
              <w:right w:val="single" w:sz="4" w:space="0" w:color="auto"/>
            </w:tcBorders>
            <w:vAlign w:val="center"/>
          </w:tcPr>
          <w:p w14:paraId="54513E18"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140.76(a)</w:t>
            </w:r>
          </w:p>
        </w:tc>
        <w:tc>
          <w:tcPr>
            <w:tcW w:w="2556" w:type="pct"/>
            <w:tcBorders>
              <w:top w:val="nil"/>
              <w:left w:val="single" w:sz="4" w:space="0" w:color="auto"/>
              <w:bottom w:val="nil"/>
              <w:right w:val="nil"/>
            </w:tcBorders>
            <w:vAlign w:val="bottom"/>
          </w:tcPr>
          <w:p w14:paraId="4BC7FC87" w14:textId="77777777" w:rsidR="00EF02F9" w:rsidRPr="00BF30D3" w:rsidRDefault="00EF02F9" w:rsidP="009A0F2F">
            <w:pPr>
              <w:pStyle w:val="TableText"/>
              <w:tabs>
                <w:tab w:val="left" w:pos="3306"/>
              </w:tabs>
              <w:rPr>
                <w:rFonts w:cs="Calibri"/>
              </w:rPr>
            </w:pPr>
            <w:r w:rsidRPr="00BF30D3">
              <w:rPr>
                <w:rFonts w:cs="Calibri"/>
              </w:rPr>
              <w:t xml:space="preserve">Additions </w:t>
            </w:r>
          </w:p>
        </w:tc>
        <w:tc>
          <w:tcPr>
            <w:tcW w:w="615" w:type="pct"/>
            <w:gridSpan w:val="2"/>
            <w:tcBorders>
              <w:top w:val="nil"/>
              <w:left w:val="nil"/>
              <w:bottom w:val="nil"/>
              <w:right w:val="nil"/>
            </w:tcBorders>
          </w:tcPr>
          <w:p w14:paraId="522FB0C4"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0A9D345C"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4BEE6924" w14:textId="77777777" w:rsidR="00EF02F9" w:rsidRPr="00BF30D3" w:rsidRDefault="00EF02F9" w:rsidP="009A0F2F">
            <w:pPr>
              <w:pStyle w:val="TableText"/>
              <w:tabs>
                <w:tab w:val="left" w:pos="3306"/>
              </w:tabs>
              <w:ind w:left="-8092" w:right="7"/>
              <w:jc w:val="right"/>
              <w:rPr>
                <w:rFonts w:cs="Calibri"/>
              </w:rPr>
            </w:pPr>
          </w:p>
        </w:tc>
      </w:tr>
      <w:tr w:rsidR="0095733E" w:rsidRPr="00BF30D3" w14:paraId="2E2167D1" w14:textId="77777777" w:rsidTr="002A16D9">
        <w:trPr>
          <w:cantSplit/>
          <w:trHeight w:val="23"/>
        </w:trPr>
        <w:tc>
          <w:tcPr>
            <w:tcW w:w="743" w:type="pct"/>
            <w:tcBorders>
              <w:top w:val="nil"/>
              <w:left w:val="single" w:sz="4" w:space="0" w:color="auto"/>
              <w:bottom w:val="nil"/>
              <w:right w:val="single" w:sz="4" w:space="0" w:color="auto"/>
            </w:tcBorders>
            <w:vAlign w:val="center"/>
          </w:tcPr>
          <w:p w14:paraId="1D63EF6F"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140.76(a)</w:t>
            </w:r>
          </w:p>
        </w:tc>
        <w:tc>
          <w:tcPr>
            <w:tcW w:w="2556" w:type="pct"/>
            <w:tcBorders>
              <w:top w:val="nil"/>
              <w:left w:val="single" w:sz="4" w:space="0" w:color="auto"/>
              <w:bottom w:val="nil"/>
              <w:right w:val="nil"/>
            </w:tcBorders>
            <w:vAlign w:val="bottom"/>
          </w:tcPr>
          <w:p w14:paraId="1DE54666" w14:textId="77777777" w:rsidR="00EF02F9" w:rsidRPr="00BF30D3" w:rsidRDefault="00EF02F9" w:rsidP="009A0F2F">
            <w:pPr>
              <w:pStyle w:val="TableText"/>
              <w:tabs>
                <w:tab w:val="left" w:pos="3306"/>
              </w:tabs>
              <w:rPr>
                <w:rFonts w:cs="Calibri"/>
              </w:rPr>
            </w:pPr>
            <w:r w:rsidRPr="00BF30D3">
              <w:rPr>
                <w:rFonts w:cs="Calibri"/>
              </w:rPr>
              <w:t>Subsequent Capitalised Expenditure</w:t>
            </w:r>
          </w:p>
        </w:tc>
        <w:tc>
          <w:tcPr>
            <w:tcW w:w="615" w:type="pct"/>
            <w:gridSpan w:val="2"/>
            <w:tcBorders>
              <w:top w:val="nil"/>
              <w:left w:val="nil"/>
              <w:bottom w:val="nil"/>
              <w:right w:val="nil"/>
            </w:tcBorders>
          </w:tcPr>
          <w:p w14:paraId="7FCA7F0F"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167951A5"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473DEFB2" w14:textId="77777777" w:rsidR="00EF02F9" w:rsidRPr="00BF30D3" w:rsidRDefault="00EF02F9" w:rsidP="009A0F2F">
            <w:pPr>
              <w:pStyle w:val="TableText"/>
              <w:tabs>
                <w:tab w:val="left" w:pos="3306"/>
              </w:tabs>
              <w:jc w:val="right"/>
              <w:rPr>
                <w:rFonts w:cs="Calibri"/>
              </w:rPr>
            </w:pPr>
          </w:p>
        </w:tc>
      </w:tr>
      <w:tr w:rsidR="0095733E" w:rsidRPr="00BF30D3" w14:paraId="664DF358" w14:textId="77777777" w:rsidTr="002A16D9">
        <w:trPr>
          <w:cantSplit/>
          <w:trHeight w:val="23"/>
        </w:trPr>
        <w:tc>
          <w:tcPr>
            <w:tcW w:w="743" w:type="pct"/>
            <w:tcBorders>
              <w:top w:val="nil"/>
              <w:left w:val="single" w:sz="4" w:space="0" w:color="auto"/>
              <w:bottom w:val="nil"/>
              <w:right w:val="single" w:sz="4" w:space="0" w:color="auto"/>
            </w:tcBorders>
            <w:vAlign w:val="center"/>
          </w:tcPr>
          <w:p w14:paraId="529882D5"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140.76(c)</w:t>
            </w:r>
          </w:p>
        </w:tc>
        <w:tc>
          <w:tcPr>
            <w:tcW w:w="2556" w:type="pct"/>
            <w:tcBorders>
              <w:top w:val="nil"/>
              <w:left w:val="single" w:sz="4" w:space="0" w:color="auto"/>
              <w:bottom w:val="nil"/>
              <w:right w:val="nil"/>
            </w:tcBorders>
            <w:vAlign w:val="bottom"/>
          </w:tcPr>
          <w:p w14:paraId="3FE01147" w14:textId="77777777" w:rsidR="00EF02F9" w:rsidRPr="00BF30D3" w:rsidRDefault="00EF02F9" w:rsidP="009A0F2F">
            <w:pPr>
              <w:pStyle w:val="TableText"/>
              <w:tabs>
                <w:tab w:val="left" w:pos="3306"/>
              </w:tabs>
              <w:rPr>
                <w:rFonts w:cs="Calibri"/>
              </w:rPr>
            </w:pPr>
            <w:r w:rsidRPr="00BF30D3">
              <w:rPr>
                <w:rFonts w:cs="Calibri"/>
              </w:rPr>
              <w:t>Disposals and Assets Classified as Held for Sale</w:t>
            </w:r>
          </w:p>
        </w:tc>
        <w:tc>
          <w:tcPr>
            <w:tcW w:w="615" w:type="pct"/>
            <w:gridSpan w:val="2"/>
            <w:tcBorders>
              <w:top w:val="nil"/>
              <w:left w:val="nil"/>
              <w:bottom w:val="nil"/>
              <w:right w:val="nil"/>
            </w:tcBorders>
          </w:tcPr>
          <w:p w14:paraId="120399DA"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2F31F77E"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2AF07890" w14:textId="77777777" w:rsidR="00EF02F9" w:rsidRPr="00BF30D3" w:rsidRDefault="00EF02F9" w:rsidP="009A0F2F">
            <w:pPr>
              <w:pStyle w:val="TableText"/>
              <w:tabs>
                <w:tab w:val="left" w:pos="3306"/>
              </w:tabs>
              <w:jc w:val="right"/>
              <w:rPr>
                <w:rFonts w:cs="Calibri"/>
              </w:rPr>
            </w:pPr>
          </w:p>
        </w:tc>
      </w:tr>
      <w:tr w:rsidR="0095733E" w:rsidRPr="00BF30D3" w14:paraId="15A5350D" w14:textId="77777777" w:rsidTr="002A16D9">
        <w:trPr>
          <w:cantSplit/>
          <w:trHeight w:val="23"/>
        </w:trPr>
        <w:tc>
          <w:tcPr>
            <w:tcW w:w="743" w:type="pct"/>
            <w:tcBorders>
              <w:top w:val="nil"/>
              <w:left w:val="single" w:sz="4" w:space="0" w:color="auto"/>
              <w:bottom w:val="nil"/>
              <w:right w:val="single" w:sz="4" w:space="0" w:color="auto"/>
            </w:tcBorders>
            <w:vAlign w:val="center"/>
          </w:tcPr>
          <w:p w14:paraId="577D584D"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140.76(d)</w:t>
            </w:r>
          </w:p>
        </w:tc>
        <w:tc>
          <w:tcPr>
            <w:tcW w:w="2556" w:type="pct"/>
            <w:tcBorders>
              <w:top w:val="nil"/>
              <w:left w:val="single" w:sz="4" w:space="0" w:color="auto"/>
              <w:bottom w:val="nil"/>
              <w:right w:val="nil"/>
            </w:tcBorders>
            <w:vAlign w:val="bottom"/>
          </w:tcPr>
          <w:p w14:paraId="7EB159EF" w14:textId="77777777" w:rsidR="00EF02F9" w:rsidRPr="00BF30D3" w:rsidRDefault="00EF02F9" w:rsidP="009A0F2F">
            <w:pPr>
              <w:pStyle w:val="TableText"/>
              <w:tabs>
                <w:tab w:val="left" w:pos="3306"/>
              </w:tabs>
              <w:rPr>
                <w:rFonts w:cs="Calibri"/>
              </w:rPr>
            </w:pPr>
            <w:r w:rsidRPr="00BF30D3">
              <w:rPr>
                <w:rFonts w:cs="Calibri"/>
              </w:rPr>
              <w:t xml:space="preserve">Net Gain/(Loss) on Revaluation </w:t>
            </w:r>
          </w:p>
        </w:tc>
        <w:tc>
          <w:tcPr>
            <w:tcW w:w="615" w:type="pct"/>
            <w:gridSpan w:val="2"/>
            <w:tcBorders>
              <w:top w:val="nil"/>
              <w:left w:val="nil"/>
              <w:bottom w:val="nil"/>
              <w:right w:val="nil"/>
            </w:tcBorders>
          </w:tcPr>
          <w:p w14:paraId="74D42F77"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0B2DDC00"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795D9189" w14:textId="77777777" w:rsidR="00EF02F9" w:rsidRPr="00BF30D3" w:rsidRDefault="00EF02F9" w:rsidP="009A0F2F">
            <w:pPr>
              <w:pStyle w:val="TableText"/>
              <w:tabs>
                <w:tab w:val="left" w:pos="3306"/>
              </w:tabs>
              <w:jc w:val="right"/>
              <w:rPr>
                <w:rFonts w:cs="Calibri"/>
              </w:rPr>
            </w:pPr>
          </w:p>
        </w:tc>
      </w:tr>
      <w:tr w:rsidR="0095733E" w:rsidRPr="00BF30D3" w14:paraId="7709E51E" w14:textId="77777777" w:rsidTr="002A16D9">
        <w:trPr>
          <w:cantSplit/>
          <w:trHeight w:val="23"/>
        </w:trPr>
        <w:tc>
          <w:tcPr>
            <w:tcW w:w="743" w:type="pct"/>
            <w:tcBorders>
              <w:top w:val="nil"/>
              <w:left w:val="single" w:sz="4" w:space="0" w:color="auto"/>
              <w:bottom w:val="nil"/>
              <w:right w:val="single" w:sz="4" w:space="0" w:color="auto"/>
            </w:tcBorders>
            <w:vAlign w:val="center"/>
          </w:tcPr>
          <w:p w14:paraId="7DF0E5FF"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140.76(f)</w:t>
            </w:r>
          </w:p>
        </w:tc>
        <w:tc>
          <w:tcPr>
            <w:tcW w:w="2556" w:type="pct"/>
            <w:tcBorders>
              <w:top w:val="nil"/>
              <w:left w:val="single" w:sz="4" w:space="0" w:color="auto"/>
              <w:bottom w:val="nil"/>
              <w:right w:val="nil"/>
            </w:tcBorders>
            <w:vAlign w:val="bottom"/>
          </w:tcPr>
          <w:p w14:paraId="1DB46345" w14:textId="77777777" w:rsidR="00EF02F9" w:rsidRPr="00BF30D3" w:rsidRDefault="00EF02F9" w:rsidP="009A0F2F">
            <w:pPr>
              <w:pStyle w:val="TableText"/>
              <w:tabs>
                <w:tab w:val="left" w:pos="3306"/>
              </w:tabs>
              <w:rPr>
                <w:rFonts w:cs="Calibri"/>
              </w:rPr>
            </w:pPr>
            <w:r w:rsidRPr="00BF30D3">
              <w:rPr>
                <w:rFonts w:cs="Calibri"/>
              </w:rPr>
              <w:t>Transfers to/from Inventories and Owner-Occupied Property</w:t>
            </w:r>
          </w:p>
        </w:tc>
        <w:tc>
          <w:tcPr>
            <w:tcW w:w="615" w:type="pct"/>
            <w:gridSpan w:val="2"/>
            <w:tcBorders>
              <w:top w:val="nil"/>
              <w:left w:val="nil"/>
              <w:bottom w:val="nil"/>
              <w:right w:val="nil"/>
            </w:tcBorders>
          </w:tcPr>
          <w:p w14:paraId="2C511CD1"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3ECB5418"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1965F237" w14:textId="77777777" w:rsidR="00EF02F9" w:rsidRPr="00BF30D3" w:rsidRDefault="00EF02F9" w:rsidP="009A0F2F">
            <w:pPr>
              <w:pStyle w:val="TableText"/>
              <w:tabs>
                <w:tab w:val="left" w:pos="3306"/>
              </w:tabs>
              <w:jc w:val="right"/>
              <w:rPr>
                <w:rFonts w:cs="Calibri"/>
              </w:rPr>
            </w:pPr>
          </w:p>
        </w:tc>
      </w:tr>
      <w:tr w:rsidR="0095733E" w:rsidRPr="00BF30D3" w14:paraId="19F731F8" w14:textId="77777777" w:rsidTr="002A16D9">
        <w:trPr>
          <w:cantSplit/>
          <w:trHeight w:val="23"/>
        </w:trPr>
        <w:tc>
          <w:tcPr>
            <w:tcW w:w="743" w:type="pct"/>
            <w:tcBorders>
              <w:top w:val="nil"/>
              <w:left w:val="single" w:sz="4" w:space="0" w:color="auto"/>
              <w:bottom w:val="nil"/>
              <w:right w:val="single" w:sz="4" w:space="0" w:color="auto"/>
            </w:tcBorders>
            <w:vAlign w:val="center"/>
          </w:tcPr>
          <w:p w14:paraId="51A7B87E"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556" w:type="pct"/>
            <w:tcBorders>
              <w:top w:val="nil"/>
              <w:left w:val="single" w:sz="4" w:space="0" w:color="auto"/>
              <w:bottom w:val="nil"/>
              <w:right w:val="nil"/>
            </w:tcBorders>
            <w:vAlign w:val="bottom"/>
          </w:tcPr>
          <w:p w14:paraId="2A5D98B6" w14:textId="77777777" w:rsidR="00EF02F9" w:rsidRPr="00BF30D3" w:rsidRDefault="00EF02F9" w:rsidP="009A0F2F">
            <w:pPr>
              <w:pStyle w:val="TableText"/>
              <w:tabs>
                <w:tab w:val="left" w:pos="3306"/>
              </w:tabs>
              <w:rPr>
                <w:rFonts w:cs="Calibri"/>
              </w:rPr>
            </w:pPr>
            <w:r w:rsidRPr="00BF30D3">
              <w:rPr>
                <w:rFonts w:cs="Calibri"/>
              </w:rPr>
              <w:t>Acquisition/(Disposal) through Administrative Restructuring</w:t>
            </w:r>
          </w:p>
        </w:tc>
        <w:tc>
          <w:tcPr>
            <w:tcW w:w="615" w:type="pct"/>
            <w:gridSpan w:val="2"/>
            <w:tcBorders>
              <w:top w:val="nil"/>
              <w:left w:val="nil"/>
              <w:bottom w:val="nil"/>
              <w:right w:val="nil"/>
            </w:tcBorders>
          </w:tcPr>
          <w:p w14:paraId="63B836E9"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2D1F7CB6"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2C001375" w14:textId="77777777" w:rsidR="00EF02F9" w:rsidRPr="00BF30D3" w:rsidRDefault="00EF02F9" w:rsidP="009A0F2F">
            <w:pPr>
              <w:pStyle w:val="TableText"/>
              <w:tabs>
                <w:tab w:val="left" w:pos="3306"/>
              </w:tabs>
              <w:jc w:val="right"/>
              <w:rPr>
                <w:rFonts w:cs="Calibri"/>
              </w:rPr>
            </w:pPr>
          </w:p>
        </w:tc>
      </w:tr>
      <w:tr w:rsidR="0095733E" w:rsidRPr="00BF30D3" w14:paraId="59FE81A6" w14:textId="77777777" w:rsidTr="002A16D9">
        <w:trPr>
          <w:cantSplit/>
          <w:trHeight w:val="23"/>
        </w:trPr>
        <w:tc>
          <w:tcPr>
            <w:tcW w:w="743" w:type="pct"/>
            <w:tcBorders>
              <w:top w:val="nil"/>
              <w:left w:val="single" w:sz="4" w:space="0" w:color="auto"/>
              <w:bottom w:val="nil"/>
              <w:right w:val="single" w:sz="4" w:space="0" w:color="auto"/>
            </w:tcBorders>
            <w:vAlign w:val="center"/>
          </w:tcPr>
          <w:p w14:paraId="3B44AEFE"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556" w:type="pct"/>
            <w:tcBorders>
              <w:top w:val="nil"/>
              <w:left w:val="single" w:sz="4" w:space="0" w:color="auto"/>
              <w:bottom w:val="nil"/>
              <w:right w:val="nil"/>
            </w:tcBorders>
            <w:vAlign w:val="bottom"/>
          </w:tcPr>
          <w:p w14:paraId="54FA0D14" w14:textId="77777777" w:rsidR="00EF02F9" w:rsidRPr="00BF30D3" w:rsidRDefault="00EF02F9" w:rsidP="009A0F2F">
            <w:pPr>
              <w:pStyle w:val="TableText"/>
              <w:tabs>
                <w:tab w:val="left" w:pos="3306"/>
              </w:tabs>
              <w:rPr>
                <w:rFonts w:cs="Calibri"/>
              </w:rPr>
            </w:pPr>
            <w:r w:rsidRPr="00BF30D3">
              <w:rPr>
                <w:rFonts w:cs="Calibri"/>
              </w:rPr>
              <w:t>Acquisition/(Disposal) from Transfers</w:t>
            </w:r>
          </w:p>
        </w:tc>
        <w:tc>
          <w:tcPr>
            <w:tcW w:w="615" w:type="pct"/>
            <w:gridSpan w:val="2"/>
            <w:tcBorders>
              <w:top w:val="nil"/>
              <w:left w:val="nil"/>
              <w:bottom w:val="nil"/>
              <w:right w:val="nil"/>
            </w:tcBorders>
          </w:tcPr>
          <w:p w14:paraId="17D4AB0F"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nil"/>
              <w:right w:val="nil"/>
            </w:tcBorders>
          </w:tcPr>
          <w:p w14:paraId="54B31C6A"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nil"/>
              <w:right w:val="nil"/>
            </w:tcBorders>
            <w:vAlign w:val="bottom"/>
          </w:tcPr>
          <w:p w14:paraId="7655F0A9" w14:textId="77777777" w:rsidR="00EF02F9" w:rsidRPr="00BF30D3" w:rsidRDefault="00EF02F9" w:rsidP="009A0F2F">
            <w:pPr>
              <w:pStyle w:val="TableText"/>
              <w:tabs>
                <w:tab w:val="left" w:pos="3306"/>
              </w:tabs>
              <w:jc w:val="right"/>
              <w:rPr>
                <w:rFonts w:cs="Calibri"/>
              </w:rPr>
            </w:pPr>
          </w:p>
        </w:tc>
      </w:tr>
      <w:tr w:rsidR="0095733E" w:rsidRPr="00BF30D3" w14:paraId="5361F127" w14:textId="77777777" w:rsidTr="002A16D9">
        <w:trPr>
          <w:cantSplit/>
          <w:trHeight w:val="23"/>
        </w:trPr>
        <w:tc>
          <w:tcPr>
            <w:tcW w:w="743" w:type="pct"/>
            <w:tcBorders>
              <w:top w:val="nil"/>
              <w:left w:val="single" w:sz="4" w:space="0" w:color="auto"/>
              <w:bottom w:val="nil"/>
              <w:right w:val="single" w:sz="4" w:space="0" w:color="auto"/>
            </w:tcBorders>
            <w:vAlign w:val="center"/>
          </w:tcPr>
          <w:p w14:paraId="13C099B2"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556" w:type="pct"/>
            <w:tcBorders>
              <w:top w:val="nil"/>
              <w:left w:val="single" w:sz="4" w:space="0" w:color="auto"/>
              <w:bottom w:val="nil"/>
              <w:right w:val="nil"/>
            </w:tcBorders>
            <w:vAlign w:val="bottom"/>
          </w:tcPr>
          <w:p w14:paraId="5ED4F3B7" w14:textId="77777777" w:rsidR="00EF02F9" w:rsidRPr="00BF30D3" w:rsidRDefault="00EF02F9" w:rsidP="009A0F2F">
            <w:pPr>
              <w:pStyle w:val="TableText"/>
              <w:tabs>
                <w:tab w:val="left" w:pos="3306"/>
              </w:tabs>
              <w:rPr>
                <w:rFonts w:cs="Calibri"/>
              </w:rPr>
            </w:pPr>
            <w:r w:rsidRPr="00BF30D3">
              <w:rPr>
                <w:rFonts w:cs="Calibri"/>
              </w:rPr>
              <w:t xml:space="preserve">Other Movements </w:t>
            </w:r>
          </w:p>
        </w:tc>
        <w:tc>
          <w:tcPr>
            <w:tcW w:w="615" w:type="pct"/>
            <w:gridSpan w:val="2"/>
            <w:tcBorders>
              <w:top w:val="nil"/>
              <w:left w:val="nil"/>
              <w:bottom w:val="single" w:sz="2" w:space="0" w:color="auto"/>
              <w:right w:val="nil"/>
            </w:tcBorders>
          </w:tcPr>
          <w:p w14:paraId="2A969A35" w14:textId="77777777" w:rsidR="00EF02F9" w:rsidRPr="00BF30D3" w:rsidRDefault="00EF02F9" w:rsidP="009A0F2F">
            <w:pPr>
              <w:pStyle w:val="TableText"/>
              <w:tabs>
                <w:tab w:val="left" w:pos="3306"/>
              </w:tabs>
              <w:jc w:val="right"/>
              <w:rPr>
                <w:rFonts w:cs="Calibri"/>
              </w:rPr>
            </w:pPr>
          </w:p>
        </w:tc>
        <w:tc>
          <w:tcPr>
            <w:tcW w:w="621" w:type="pct"/>
            <w:gridSpan w:val="6"/>
            <w:tcBorders>
              <w:top w:val="nil"/>
              <w:left w:val="nil"/>
              <w:bottom w:val="single" w:sz="2" w:space="0" w:color="auto"/>
              <w:right w:val="nil"/>
            </w:tcBorders>
          </w:tcPr>
          <w:p w14:paraId="6EA6BE37" w14:textId="77777777" w:rsidR="00EF02F9" w:rsidRPr="00BF30D3" w:rsidRDefault="00EF02F9" w:rsidP="009A0F2F">
            <w:pPr>
              <w:pStyle w:val="TableText"/>
              <w:tabs>
                <w:tab w:val="left" w:pos="3306"/>
              </w:tabs>
              <w:jc w:val="right"/>
              <w:rPr>
                <w:rFonts w:cs="Calibri"/>
              </w:rPr>
            </w:pPr>
          </w:p>
        </w:tc>
        <w:tc>
          <w:tcPr>
            <w:tcW w:w="465" w:type="pct"/>
            <w:tcBorders>
              <w:top w:val="nil"/>
              <w:left w:val="nil"/>
              <w:bottom w:val="single" w:sz="2" w:space="0" w:color="auto"/>
              <w:right w:val="nil"/>
            </w:tcBorders>
            <w:vAlign w:val="bottom"/>
          </w:tcPr>
          <w:p w14:paraId="0DDC3174" w14:textId="77777777" w:rsidR="00EF02F9" w:rsidRPr="00BF30D3" w:rsidRDefault="00EF02F9" w:rsidP="009A0F2F">
            <w:pPr>
              <w:pStyle w:val="TableText"/>
              <w:tabs>
                <w:tab w:val="left" w:pos="3306"/>
              </w:tabs>
              <w:jc w:val="right"/>
              <w:rPr>
                <w:rFonts w:cs="Calibri"/>
              </w:rPr>
            </w:pPr>
          </w:p>
        </w:tc>
      </w:tr>
      <w:tr w:rsidR="0095733E" w:rsidRPr="00BF30D3" w14:paraId="459E77D8" w14:textId="77777777" w:rsidTr="002A16D9">
        <w:trPr>
          <w:cantSplit/>
          <w:trHeight w:val="23"/>
        </w:trPr>
        <w:tc>
          <w:tcPr>
            <w:tcW w:w="743" w:type="pct"/>
            <w:tcBorders>
              <w:top w:val="nil"/>
              <w:left w:val="single" w:sz="4" w:space="0" w:color="auto"/>
              <w:bottom w:val="nil"/>
              <w:right w:val="single" w:sz="4" w:space="0" w:color="auto"/>
            </w:tcBorders>
          </w:tcPr>
          <w:p w14:paraId="6F6D3FFA" w14:textId="77777777" w:rsidR="00EF02F9" w:rsidRPr="00BF30D3" w:rsidRDefault="00EF02F9" w:rsidP="009A0F2F">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vAlign w:val="bottom"/>
          </w:tcPr>
          <w:p w14:paraId="4D3C5FB7" w14:textId="77777777" w:rsidR="00EF02F9" w:rsidRPr="00BF30D3" w:rsidRDefault="00EF02F9" w:rsidP="009A0F2F">
            <w:pPr>
              <w:pStyle w:val="TableText"/>
              <w:tabs>
                <w:tab w:val="left" w:pos="3306"/>
              </w:tabs>
              <w:rPr>
                <w:rFonts w:cs="Calibri"/>
                <w:b/>
                <w:bCs/>
              </w:rPr>
            </w:pPr>
            <w:r w:rsidRPr="00BF30D3">
              <w:rPr>
                <w:rFonts w:cs="Calibri"/>
                <w:b/>
                <w:bCs/>
              </w:rPr>
              <w:t>Carrying Amount at the End of the Reporting Period</w:t>
            </w:r>
          </w:p>
        </w:tc>
        <w:tc>
          <w:tcPr>
            <w:tcW w:w="615" w:type="pct"/>
            <w:gridSpan w:val="2"/>
            <w:tcBorders>
              <w:top w:val="single" w:sz="2" w:space="0" w:color="auto"/>
              <w:left w:val="nil"/>
              <w:bottom w:val="double" w:sz="4" w:space="0" w:color="auto"/>
              <w:right w:val="nil"/>
            </w:tcBorders>
          </w:tcPr>
          <w:p w14:paraId="2030E01A" w14:textId="77777777" w:rsidR="00EF02F9" w:rsidRPr="00BF30D3" w:rsidRDefault="00EF02F9" w:rsidP="009A0F2F">
            <w:pPr>
              <w:pStyle w:val="TableText"/>
              <w:tabs>
                <w:tab w:val="left" w:pos="3306"/>
              </w:tabs>
              <w:jc w:val="right"/>
              <w:rPr>
                <w:rFonts w:cs="Calibri"/>
                <w:b/>
                <w:bCs/>
              </w:rPr>
            </w:pPr>
          </w:p>
        </w:tc>
        <w:tc>
          <w:tcPr>
            <w:tcW w:w="621" w:type="pct"/>
            <w:gridSpan w:val="6"/>
            <w:tcBorders>
              <w:top w:val="single" w:sz="2" w:space="0" w:color="auto"/>
              <w:left w:val="nil"/>
              <w:bottom w:val="double" w:sz="4" w:space="0" w:color="auto"/>
              <w:right w:val="nil"/>
            </w:tcBorders>
          </w:tcPr>
          <w:p w14:paraId="0E11F926" w14:textId="77777777" w:rsidR="00EF02F9" w:rsidRPr="00BF30D3" w:rsidRDefault="00EF02F9" w:rsidP="009A0F2F">
            <w:pPr>
              <w:pStyle w:val="TableText"/>
              <w:tabs>
                <w:tab w:val="left" w:pos="3306"/>
              </w:tabs>
              <w:jc w:val="right"/>
              <w:rPr>
                <w:rFonts w:cs="Calibri"/>
                <w:b/>
                <w:bCs/>
              </w:rPr>
            </w:pPr>
          </w:p>
        </w:tc>
        <w:tc>
          <w:tcPr>
            <w:tcW w:w="465" w:type="pct"/>
            <w:tcBorders>
              <w:top w:val="single" w:sz="2" w:space="0" w:color="auto"/>
              <w:left w:val="nil"/>
              <w:bottom w:val="double" w:sz="4" w:space="0" w:color="auto"/>
              <w:right w:val="nil"/>
            </w:tcBorders>
            <w:vAlign w:val="bottom"/>
          </w:tcPr>
          <w:p w14:paraId="628FE704" w14:textId="77777777" w:rsidR="00EF02F9" w:rsidRPr="00BF30D3" w:rsidRDefault="00EF02F9" w:rsidP="009A0F2F">
            <w:pPr>
              <w:pStyle w:val="TableText"/>
              <w:tabs>
                <w:tab w:val="left" w:pos="3306"/>
              </w:tabs>
              <w:jc w:val="right"/>
              <w:rPr>
                <w:rFonts w:cs="Calibri"/>
                <w:b/>
                <w:bCs/>
              </w:rPr>
            </w:pPr>
          </w:p>
        </w:tc>
      </w:tr>
      <w:tr w:rsidR="00EF02F9" w:rsidRPr="00BF30D3" w14:paraId="5F1AC2B8" w14:textId="77777777" w:rsidTr="002A16D9">
        <w:trPr>
          <w:cantSplit/>
          <w:trHeight w:val="23"/>
        </w:trPr>
        <w:tc>
          <w:tcPr>
            <w:tcW w:w="743" w:type="pct"/>
            <w:tcBorders>
              <w:top w:val="nil"/>
              <w:left w:val="single" w:sz="4" w:space="0" w:color="auto"/>
              <w:bottom w:val="nil"/>
              <w:right w:val="single" w:sz="4" w:space="0" w:color="auto"/>
            </w:tcBorders>
          </w:tcPr>
          <w:p w14:paraId="6B6868D1" w14:textId="77777777" w:rsidR="00EF02F9" w:rsidRPr="00BF30D3" w:rsidRDefault="00EF02F9" w:rsidP="009A0F2F">
            <w:pPr>
              <w:pStyle w:val="TableReference"/>
              <w:tabs>
                <w:tab w:val="left" w:pos="3306"/>
              </w:tabs>
              <w:spacing w:before="240"/>
              <w:rPr>
                <w:rFonts w:cs="Calibri"/>
                <w:color w:val="7030A0"/>
                <w:sz w:val="14"/>
              </w:rPr>
            </w:pPr>
          </w:p>
        </w:tc>
        <w:tc>
          <w:tcPr>
            <w:tcW w:w="2556" w:type="pct"/>
            <w:tcBorders>
              <w:top w:val="nil"/>
              <w:left w:val="single" w:sz="4" w:space="0" w:color="auto"/>
              <w:bottom w:val="nil"/>
              <w:right w:val="nil"/>
            </w:tcBorders>
            <w:vAlign w:val="bottom"/>
          </w:tcPr>
          <w:p w14:paraId="1F8A017B" w14:textId="77777777" w:rsidR="00EF02F9" w:rsidRPr="00BF30D3" w:rsidRDefault="00EF02F9" w:rsidP="009A0F2F">
            <w:pPr>
              <w:pStyle w:val="TableTitle"/>
              <w:tabs>
                <w:tab w:val="left" w:pos="3306"/>
              </w:tabs>
              <w:spacing w:before="240" w:after="60"/>
              <w:jc w:val="left"/>
              <w:rPr>
                <w:rFonts w:cs="Calibri"/>
              </w:rPr>
            </w:pPr>
            <w:r w:rsidRPr="00BF30D3">
              <w:rPr>
                <w:rFonts w:cs="Calibri"/>
              </w:rPr>
              <w:t>Reconciliation of Investment Properties 2020-21</w:t>
            </w:r>
          </w:p>
        </w:tc>
        <w:tc>
          <w:tcPr>
            <w:tcW w:w="621" w:type="pct"/>
            <w:gridSpan w:val="3"/>
            <w:tcBorders>
              <w:top w:val="double" w:sz="4" w:space="0" w:color="auto"/>
              <w:left w:val="nil"/>
              <w:bottom w:val="nil"/>
              <w:right w:val="nil"/>
            </w:tcBorders>
          </w:tcPr>
          <w:p w14:paraId="0C67805D" w14:textId="77777777" w:rsidR="00EF02F9" w:rsidRPr="00BF30D3" w:rsidRDefault="00EF02F9" w:rsidP="009A0F2F">
            <w:pPr>
              <w:pStyle w:val="TableTitle"/>
              <w:tabs>
                <w:tab w:val="left" w:pos="3306"/>
              </w:tabs>
              <w:spacing w:before="240"/>
              <w:rPr>
                <w:rFonts w:cs="Calibri"/>
              </w:rPr>
            </w:pPr>
          </w:p>
        </w:tc>
        <w:tc>
          <w:tcPr>
            <w:tcW w:w="607" w:type="pct"/>
            <w:gridSpan w:val="4"/>
            <w:tcBorders>
              <w:top w:val="double" w:sz="4" w:space="0" w:color="auto"/>
              <w:left w:val="nil"/>
              <w:bottom w:val="nil"/>
              <w:right w:val="nil"/>
            </w:tcBorders>
          </w:tcPr>
          <w:p w14:paraId="79B4177E" w14:textId="77777777" w:rsidR="00EF02F9" w:rsidRPr="00BF30D3" w:rsidRDefault="00EF02F9" w:rsidP="009A0F2F">
            <w:pPr>
              <w:pStyle w:val="TableTitle"/>
              <w:tabs>
                <w:tab w:val="left" w:pos="3306"/>
              </w:tabs>
              <w:spacing w:before="240"/>
              <w:rPr>
                <w:rFonts w:cs="Calibri"/>
              </w:rPr>
            </w:pPr>
          </w:p>
        </w:tc>
        <w:tc>
          <w:tcPr>
            <w:tcW w:w="473" w:type="pct"/>
            <w:gridSpan w:val="2"/>
            <w:tcBorders>
              <w:top w:val="double" w:sz="4" w:space="0" w:color="auto"/>
              <w:left w:val="nil"/>
              <w:bottom w:val="nil"/>
              <w:right w:val="nil"/>
            </w:tcBorders>
            <w:vAlign w:val="bottom"/>
          </w:tcPr>
          <w:p w14:paraId="0CF64752" w14:textId="77777777" w:rsidR="00EF02F9" w:rsidRPr="00BF30D3" w:rsidRDefault="00EF02F9" w:rsidP="009A0F2F">
            <w:pPr>
              <w:pStyle w:val="TableTitle"/>
              <w:tabs>
                <w:tab w:val="left" w:pos="3306"/>
              </w:tabs>
              <w:spacing w:before="240"/>
              <w:rPr>
                <w:rFonts w:cs="Calibri"/>
              </w:rPr>
            </w:pPr>
          </w:p>
        </w:tc>
      </w:tr>
      <w:tr w:rsidR="00EF02F9" w:rsidRPr="00BF30D3" w14:paraId="5F7C4B74" w14:textId="77777777" w:rsidTr="002A16D9">
        <w:trPr>
          <w:cantSplit/>
          <w:trHeight w:val="23"/>
        </w:trPr>
        <w:tc>
          <w:tcPr>
            <w:tcW w:w="743" w:type="pct"/>
            <w:tcBorders>
              <w:top w:val="nil"/>
              <w:left w:val="single" w:sz="4" w:space="0" w:color="auto"/>
              <w:bottom w:val="nil"/>
              <w:right w:val="single" w:sz="4" w:space="0" w:color="auto"/>
            </w:tcBorders>
          </w:tcPr>
          <w:p w14:paraId="20ACF3F3" w14:textId="77777777" w:rsidR="00EF02F9" w:rsidRPr="00BF30D3" w:rsidRDefault="00EF02F9" w:rsidP="009A0F2F">
            <w:pPr>
              <w:pStyle w:val="TableReference"/>
              <w:tabs>
                <w:tab w:val="left" w:pos="3306"/>
              </w:tabs>
              <w:spacing w:before="60"/>
              <w:rPr>
                <w:rFonts w:cs="Calibri"/>
                <w:color w:val="7030A0"/>
                <w:sz w:val="14"/>
              </w:rPr>
            </w:pPr>
          </w:p>
        </w:tc>
        <w:tc>
          <w:tcPr>
            <w:tcW w:w="2556" w:type="pct"/>
            <w:tcBorders>
              <w:top w:val="nil"/>
              <w:left w:val="single" w:sz="4" w:space="0" w:color="auto"/>
              <w:bottom w:val="nil"/>
              <w:right w:val="nil"/>
            </w:tcBorders>
            <w:vAlign w:val="bottom"/>
          </w:tcPr>
          <w:p w14:paraId="2617625B" w14:textId="77777777" w:rsidR="00EF02F9" w:rsidRPr="00BF30D3" w:rsidRDefault="00EF02F9" w:rsidP="009A0F2F">
            <w:pPr>
              <w:pStyle w:val="TableText"/>
              <w:tabs>
                <w:tab w:val="left" w:pos="3306"/>
              </w:tabs>
              <w:rPr>
                <w:rFonts w:cs="Calibri"/>
                <w:b/>
                <w:bCs/>
              </w:rPr>
            </w:pPr>
            <w:r w:rsidRPr="00BF30D3">
              <w:rPr>
                <w:rFonts w:cs="Calibri"/>
                <w:b/>
                <w:bCs/>
              </w:rPr>
              <w:t>Carrying Amount at the Beginning of the Reporting Period</w:t>
            </w:r>
          </w:p>
        </w:tc>
        <w:tc>
          <w:tcPr>
            <w:tcW w:w="621" w:type="pct"/>
            <w:gridSpan w:val="3"/>
            <w:tcBorders>
              <w:top w:val="nil"/>
              <w:left w:val="nil"/>
              <w:bottom w:val="nil"/>
              <w:right w:val="nil"/>
            </w:tcBorders>
          </w:tcPr>
          <w:p w14:paraId="6A2515EC" w14:textId="77777777" w:rsidR="00EF02F9" w:rsidRPr="00BF30D3" w:rsidRDefault="00EF02F9" w:rsidP="009A0F2F">
            <w:pPr>
              <w:pStyle w:val="TableText"/>
              <w:tabs>
                <w:tab w:val="left" w:pos="3306"/>
              </w:tabs>
              <w:jc w:val="right"/>
              <w:rPr>
                <w:rFonts w:cs="Calibri"/>
                <w:b/>
                <w:bCs/>
              </w:rPr>
            </w:pPr>
          </w:p>
        </w:tc>
        <w:tc>
          <w:tcPr>
            <w:tcW w:w="607" w:type="pct"/>
            <w:gridSpan w:val="4"/>
            <w:tcBorders>
              <w:top w:val="nil"/>
              <w:left w:val="nil"/>
              <w:bottom w:val="nil"/>
              <w:right w:val="nil"/>
            </w:tcBorders>
          </w:tcPr>
          <w:p w14:paraId="2BC6E8E9" w14:textId="77777777" w:rsidR="00EF02F9" w:rsidRPr="00BF30D3" w:rsidRDefault="00EF02F9" w:rsidP="009A0F2F">
            <w:pPr>
              <w:pStyle w:val="TableText"/>
              <w:tabs>
                <w:tab w:val="left" w:pos="3306"/>
              </w:tabs>
              <w:jc w:val="right"/>
              <w:rPr>
                <w:rFonts w:cs="Calibri"/>
                <w:b/>
                <w:bCs/>
              </w:rPr>
            </w:pPr>
          </w:p>
        </w:tc>
        <w:tc>
          <w:tcPr>
            <w:tcW w:w="473" w:type="pct"/>
            <w:gridSpan w:val="2"/>
            <w:tcBorders>
              <w:top w:val="nil"/>
              <w:left w:val="nil"/>
              <w:bottom w:val="nil"/>
              <w:right w:val="nil"/>
            </w:tcBorders>
            <w:vAlign w:val="bottom"/>
          </w:tcPr>
          <w:p w14:paraId="08E1F4E3" w14:textId="77777777" w:rsidR="00EF02F9" w:rsidRPr="00BF30D3" w:rsidRDefault="00EF02F9" w:rsidP="009A0F2F">
            <w:pPr>
              <w:pStyle w:val="TableText"/>
              <w:tabs>
                <w:tab w:val="left" w:pos="3306"/>
              </w:tabs>
              <w:jc w:val="right"/>
              <w:rPr>
                <w:rFonts w:cs="Calibri"/>
                <w:b/>
                <w:bCs/>
              </w:rPr>
            </w:pPr>
          </w:p>
        </w:tc>
      </w:tr>
      <w:tr w:rsidR="00EF02F9" w:rsidRPr="00BF30D3" w14:paraId="140BB0F4" w14:textId="77777777" w:rsidTr="002A16D9">
        <w:trPr>
          <w:cantSplit/>
          <w:trHeight w:val="23"/>
        </w:trPr>
        <w:tc>
          <w:tcPr>
            <w:tcW w:w="743" w:type="pct"/>
            <w:tcBorders>
              <w:top w:val="nil"/>
              <w:left w:val="single" w:sz="4" w:space="0" w:color="auto"/>
              <w:bottom w:val="nil"/>
              <w:right w:val="single" w:sz="4" w:space="0" w:color="auto"/>
            </w:tcBorders>
            <w:vAlign w:val="center"/>
          </w:tcPr>
          <w:p w14:paraId="3E679AAD"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140.76(a)</w:t>
            </w:r>
          </w:p>
        </w:tc>
        <w:tc>
          <w:tcPr>
            <w:tcW w:w="2556" w:type="pct"/>
            <w:tcBorders>
              <w:top w:val="nil"/>
              <w:left w:val="single" w:sz="4" w:space="0" w:color="auto"/>
              <w:bottom w:val="nil"/>
              <w:right w:val="nil"/>
            </w:tcBorders>
            <w:vAlign w:val="bottom"/>
          </w:tcPr>
          <w:p w14:paraId="27A5AA27" w14:textId="77777777" w:rsidR="00EF02F9" w:rsidRPr="00BF30D3" w:rsidRDefault="00EF02F9" w:rsidP="009A0F2F">
            <w:pPr>
              <w:pStyle w:val="TableText"/>
              <w:tabs>
                <w:tab w:val="left" w:pos="3306"/>
              </w:tabs>
              <w:rPr>
                <w:rFonts w:cs="Calibri"/>
              </w:rPr>
            </w:pPr>
            <w:r w:rsidRPr="00BF30D3">
              <w:rPr>
                <w:rFonts w:cs="Calibri"/>
              </w:rPr>
              <w:t xml:space="preserve">Additions </w:t>
            </w:r>
          </w:p>
        </w:tc>
        <w:tc>
          <w:tcPr>
            <w:tcW w:w="621" w:type="pct"/>
            <w:gridSpan w:val="3"/>
            <w:tcBorders>
              <w:top w:val="nil"/>
              <w:left w:val="nil"/>
              <w:bottom w:val="nil"/>
              <w:right w:val="nil"/>
            </w:tcBorders>
          </w:tcPr>
          <w:p w14:paraId="197D62B4"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7A404045"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0DEE8FB4" w14:textId="77777777" w:rsidR="00EF02F9" w:rsidRPr="00BF30D3" w:rsidRDefault="00EF02F9" w:rsidP="009A0F2F">
            <w:pPr>
              <w:pStyle w:val="TableText"/>
              <w:tabs>
                <w:tab w:val="left" w:pos="3306"/>
              </w:tabs>
              <w:jc w:val="right"/>
              <w:rPr>
                <w:rFonts w:cs="Calibri"/>
              </w:rPr>
            </w:pPr>
          </w:p>
        </w:tc>
      </w:tr>
      <w:tr w:rsidR="00EF02F9" w:rsidRPr="00BF30D3" w14:paraId="27AE0804" w14:textId="77777777" w:rsidTr="002A16D9">
        <w:trPr>
          <w:cantSplit/>
          <w:trHeight w:val="23"/>
        </w:trPr>
        <w:tc>
          <w:tcPr>
            <w:tcW w:w="743" w:type="pct"/>
            <w:tcBorders>
              <w:top w:val="nil"/>
              <w:left w:val="single" w:sz="4" w:space="0" w:color="auto"/>
              <w:bottom w:val="nil"/>
              <w:right w:val="single" w:sz="4" w:space="0" w:color="auto"/>
            </w:tcBorders>
            <w:vAlign w:val="center"/>
          </w:tcPr>
          <w:p w14:paraId="1F903BD6"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140.76(a)</w:t>
            </w:r>
          </w:p>
        </w:tc>
        <w:tc>
          <w:tcPr>
            <w:tcW w:w="2556" w:type="pct"/>
            <w:tcBorders>
              <w:top w:val="nil"/>
              <w:left w:val="single" w:sz="4" w:space="0" w:color="auto"/>
              <w:bottom w:val="nil"/>
              <w:right w:val="nil"/>
            </w:tcBorders>
            <w:vAlign w:val="bottom"/>
          </w:tcPr>
          <w:p w14:paraId="7B54473F" w14:textId="77777777" w:rsidR="00EF02F9" w:rsidRPr="00BF30D3" w:rsidRDefault="00EF02F9" w:rsidP="009A0F2F">
            <w:pPr>
              <w:pStyle w:val="TableText"/>
              <w:tabs>
                <w:tab w:val="left" w:pos="3306"/>
              </w:tabs>
              <w:rPr>
                <w:rFonts w:cs="Calibri"/>
              </w:rPr>
            </w:pPr>
            <w:r w:rsidRPr="00BF30D3">
              <w:rPr>
                <w:rFonts w:cs="Calibri"/>
              </w:rPr>
              <w:t>Subsequent Capitalised Expenditure</w:t>
            </w:r>
          </w:p>
        </w:tc>
        <w:tc>
          <w:tcPr>
            <w:tcW w:w="621" w:type="pct"/>
            <w:gridSpan w:val="3"/>
            <w:tcBorders>
              <w:top w:val="nil"/>
              <w:left w:val="nil"/>
              <w:bottom w:val="nil"/>
              <w:right w:val="nil"/>
            </w:tcBorders>
          </w:tcPr>
          <w:p w14:paraId="6B3E392A"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4D23F512"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777D9445" w14:textId="77777777" w:rsidR="00EF02F9" w:rsidRPr="00BF30D3" w:rsidRDefault="00EF02F9" w:rsidP="009A0F2F">
            <w:pPr>
              <w:pStyle w:val="TableText"/>
              <w:tabs>
                <w:tab w:val="left" w:pos="3306"/>
              </w:tabs>
              <w:jc w:val="right"/>
              <w:rPr>
                <w:rFonts w:cs="Calibri"/>
              </w:rPr>
            </w:pPr>
          </w:p>
        </w:tc>
      </w:tr>
      <w:tr w:rsidR="00EF02F9" w:rsidRPr="00BF30D3" w14:paraId="29CC602E" w14:textId="77777777" w:rsidTr="002A16D9">
        <w:trPr>
          <w:cantSplit/>
          <w:trHeight w:val="23"/>
        </w:trPr>
        <w:tc>
          <w:tcPr>
            <w:tcW w:w="743" w:type="pct"/>
            <w:tcBorders>
              <w:top w:val="nil"/>
              <w:left w:val="single" w:sz="4" w:space="0" w:color="auto"/>
              <w:bottom w:val="nil"/>
              <w:right w:val="single" w:sz="4" w:space="0" w:color="auto"/>
            </w:tcBorders>
            <w:vAlign w:val="center"/>
          </w:tcPr>
          <w:p w14:paraId="5A763920"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140.76(c)</w:t>
            </w:r>
          </w:p>
        </w:tc>
        <w:tc>
          <w:tcPr>
            <w:tcW w:w="2556" w:type="pct"/>
            <w:tcBorders>
              <w:top w:val="nil"/>
              <w:left w:val="single" w:sz="4" w:space="0" w:color="auto"/>
              <w:bottom w:val="nil"/>
              <w:right w:val="nil"/>
            </w:tcBorders>
            <w:vAlign w:val="bottom"/>
          </w:tcPr>
          <w:p w14:paraId="047A58E5" w14:textId="77777777" w:rsidR="00EF02F9" w:rsidRPr="00BF30D3" w:rsidRDefault="00EF02F9" w:rsidP="009A0F2F">
            <w:pPr>
              <w:pStyle w:val="TableText"/>
              <w:tabs>
                <w:tab w:val="left" w:pos="3306"/>
              </w:tabs>
              <w:rPr>
                <w:rFonts w:cs="Calibri"/>
              </w:rPr>
            </w:pPr>
            <w:r w:rsidRPr="00BF30D3">
              <w:rPr>
                <w:rFonts w:cs="Calibri"/>
              </w:rPr>
              <w:t>Disposals and Assets Classified as Held for Sale</w:t>
            </w:r>
          </w:p>
        </w:tc>
        <w:tc>
          <w:tcPr>
            <w:tcW w:w="621" w:type="pct"/>
            <w:gridSpan w:val="3"/>
            <w:tcBorders>
              <w:top w:val="nil"/>
              <w:left w:val="nil"/>
              <w:bottom w:val="nil"/>
              <w:right w:val="nil"/>
            </w:tcBorders>
          </w:tcPr>
          <w:p w14:paraId="64B0FB9E"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74B1BF9A"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621063AA" w14:textId="77777777" w:rsidR="00EF02F9" w:rsidRPr="00BF30D3" w:rsidRDefault="00EF02F9" w:rsidP="009A0F2F">
            <w:pPr>
              <w:pStyle w:val="TableText"/>
              <w:tabs>
                <w:tab w:val="left" w:pos="3306"/>
              </w:tabs>
              <w:jc w:val="right"/>
              <w:rPr>
                <w:rFonts w:cs="Calibri"/>
              </w:rPr>
            </w:pPr>
          </w:p>
        </w:tc>
      </w:tr>
      <w:tr w:rsidR="00EF02F9" w:rsidRPr="00BF30D3" w14:paraId="6237CDAB" w14:textId="77777777" w:rsidTr="002A16D9">
        <w:trPr>
          <w:cantSplit/>
          <w:trHeight w:val="23"/>
        </w:trPr>
        <w:tc>
          <w:tcPr>
            <w:tcW w:w="743" w:type="pct"/>
            <w:tcBorders>
              <w:top w:val="nil"/>
              <w:left w:val="single" w:sz="4" w:space="0" w:color="auto"/>
              <w:bottom w:val="nil"/>
              <w:right w:val="single" w:sz="4" w:space="0" w:color="auto"/>
            </w:tcBorders>
            <w:vAlign w:val="center"/>
          </w:tcPr>
          <w:p w14:paraId="20927C03"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140.76(d)</w:t>
            </w:r>
          </w:p>
        </w:tc>
        <w:tc>
          <w:tcPr>
            <w:tcW w:w="2556" w:type="pct"/>
            <w:tcBorders>
              <w:top w:val="nil"/>
              <w:left w:val="single" w:sz="4" w:space="0" w:color="auto"/>
              <w:bottom w:val="nil"/>
              <w:right w:val="nil"/>
            </w:tcBorders>
            <w:vAlign w:val="bottom"/>
          </w:tcPr>
          <w:p w14:paraId="2EAC3484" w14:textId="77777777" w:rsidR="00EF02F9" w:rsidRPr="00BF30D3" w:rsidRDefault="00EF02F9" w:rsidP="009A0F2F">
            <w:pPr>
              <w:pStyle w:val="TableText"/>
              <w:tabs>
                <w:tab w:val="left" w:pos="3306"/>
              </w:tabs>
              <w:rPr>
                <w:rFonts w:cs="Calibri"/>
              </w:rPr>
            </w:pPr>
            <w:r w:rsidRPr="00BF30D3">
              <w:rPr>
                <w:rFonts w:cs="Calibri"/>
              </w:rPr>
              <w:t xml:space="preserve">Net Gain/(Loss) on Revaluation </w:t>
            </w:r>
          </w:p>
        </w:tc>
        <w:tc>
          <w:tcPr>
            <w:tcW w:w="621" w:type="pct"/>
            <w:gridSpan w:val="3"/>
            <w:tcBorders>
              <w:top w:val="nil"/>
              <w:left w:val="nil"/>
              <w:bottom w:val="nil"/>
              <w:right w:val="nil"/>
            </w:tcBorders>
          </w:tcPr>
          <w:p w14:paraId="1F6772FD" w14:textId="77777777" w:rsidR="00EF02F9" w:rsidRPr="00BF30D3" w:rsidRDefault="00EF02F9" w:rsidP="009A0F2F">
            <w:pPr>
              <w:pStyle w:val="TableText"/>
              <w:tabs>
                <w:tab w:val="left" w:pos="951"/>
              </w:tabs>
              <w:ind w:left="-642"/>
              <w:jc w:val="right"/>
              <w:rPr>
                <w:rFonts w:cs="Calibri"/>
              </w:rPr>
            </w:pPr>
          </w:p>
        </w:tc>
        <w:tc>
          <w:tcPr>
            <w:tcW w:w="607" w:type="pct"/>
            <w:gridSpan w:val="4"/>
            <w:tcBorders>
              <w:top w:val="nil"/>
              <w:left w:val="nil"/>
              <w:bottom w:val="nil"/>
              <w:right w:val="nil"/>
            </w:tcBorders>
          </w:tcPr>
          <w:p w14:paraId="5EB30EE1"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164EA5B5" w14:textId="77777777" w:rsidR="00EF02F9" w:rsidRPr="00BF30D3" w:rsidRDefault="00EF02F9" w:rsidP="009A0F2F">
            <w:pPr>
              <w:pStyle w:val="TableText"/>
              <w:tabs>
                <w:tab w:val="left" w:pos="3306"/>
              </w:tabs>
              <w:jc w:val="right"/>
              <w:rPr>
                <w:rFonts w:cs="Calibri"/>
              </w:rPr>
            </w:pPr>
          </w:p>
        </w:tc>
      </w:tr>
      <w:tr w:rsidR="00EF02F9" w:rsidRPr="00BF30D3" w14:paraId="7A22691E" w14:textId="77777777" w:rsidTr="002A16D9">
        <w:trPr>
          <w:cantSplit/>
          <w:trHeight w:val="23"/>
        </w:trPr>
        <w:tc>
          <w:tcPr>
            <w:tcW w:w="743" w:type="pct"/>
            <w:tcBorders>
              <w:top w:val="nil"/>
              <w:left w:val="single" w:sz="4" w:space="0" w:color="auto"/>
              <w:bottom w:val="nil"/>
              <w:right w:val="single" w:sz="4" w:space="0" w:color="auto"/>
            </w:tcBorders>
            <w:vAlign w:val="center"/>
          </w:tcPr>
          <w:p w14:paraId="11DA0CD0"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140.76(f)</w:t>
            </w:r>
          </w:p>
        </w:tc>
        <w:tc>
          <w:tcPr>
            <w:tcW w:w="2556" w:type="pct"/>
            <w:tcBorders>
              <w:top w:val="nil"/>
              <w:left w:val="single" w:sz="4" w:space="0" w:color="auto"/>
              <w:bottom w:val="nil"/>
              <w:right w:val="nil"/>
            </w:tcBorders>
            <w:vAlign w:val="bottom"/>
          </w:tcPr>
          <w:p w14:paraId="752A4C6B" w14:textId="77777777" w:rsidR="00EF02F9" w:rsidRPr="00BF30D3" w:rsidRDefault="00EF02F9" w:rsidP="009A0F2F">
            <w:pPr>
              <w:pStyle w:val="TableText"/>
              <w:tabs>
                <w:tab w:val="left" w:pos="3306"/>
              </w:tabs>
              <w:rPr>
                <w:rFonts w:cs="Calibri"/>
              </w:rPr>
            </w:pPr>
            <w:r w:rsidRPr="00BF30D3">
              <w:rPr>
                <w:rFonts w:cs="Calibri"/>
              </w:rPr>
              <w:t>Transfers to and from Inventories and Owner-Occupied Property</w:t>
            </w:r>
          </w:p>
        </w:tc>
        <w:tc>
          <w:tcPr>
            <w:tcW w:w="621" w:type="pct"/>
            <w:gridSpan w:val="3"/>
            <w:tcBorders>
              <w:top w:val="nil"/>
              <w:left w:val="nil"/>
              <w:bottom w:val="nil"/>
              <w:right w:val="nil"/>
            </w:tcBorders>
          </w:tcPr>
          <w:p w14:paraId="72C2A24C"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2FD94083"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3C8CA1A7" w14:textId="77777777" w:rsidR="00EF02F9" w:rsidRPr="00BF30D3" w:rsidRDefault="00EF02F9" w:rsidP="009A0F2F">
            <w:pPr>
              <w:pStyle w:val="TableText"/>
              <w:tabs>
                <w:tab w:val="left" w:pos="3306"/>
              </w:tabs>
              <w:jc w:val="right"/>
              <w:rPr>
                <w:rFonts w:cs="Calibri"/>
              </w:rPr>
            </w:pPr>
          </w:p>
        </w:tc>
      </w:tr>
      <w:tr w:rsidR="00EF02F9" w:rsidRPr="00BF30D3" w14:paraId="3DE2F940" w14:textId="77777777" w:rsidTr="002A16D9">
        <w:trPr>
          <w:cantSplit/>
          <w:trHeight w:val="23"/>
        </w:trPr>
        <w:tc>
          <w:tcPr>
            <w:tcW w:w="743" w:type="pct"/>
            <w:tcBorders>
              <w:top w:val="nil"/>
              <w:left w:val="single" w:sz="4" w:space="0" w:color="auto"/>
              <w:bottom w:val="nil"/>
              <w:right w:val="single" w:sz="4" w:space="0" w:color="auto"/>
            </w:tcBorders>
            <w:vAlign w:val="center"/>
          </w:tcPr>
          <w:p w14:paraId="1527A1DB"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556" w:type="pct"/>
            <w:tcBorders>
              <w:top w:val="nil"/>
              <w:left w:val="single" w:sz="4" w:space="0" w:color="auto"/>
              <w:bottom w:val="nil"/>
              <w:right w:val="nil"/>
            </w:tcBorders>
            <w:vAlign w:val="bottom"/>
          </w:tcPr>
          <w:p w14:paraId="2C790F13" w14:textId="77777777" w:rsidR="00EF02F9" w:rsidRPr="00BF30D3" w:rsidRDefault="00EF02F9" w:rsidP="009A0F2F">
            <w:pPr>
              <w:pStyle w:val="TableText"/>
              <w:tabs>
                <w:tab w:val="left" w:pos="3306"/>
              </w:tabs>
              <w:rPr>
                <w:rFonts w:cs="Calibri"/>
              </w:rPr>
            </w:pPr>
            <w:r w:rsidRPr="00BF30D3">
              <w:rPr>
                <w:rFonts w:cs="Calibri"/>
              </w:rPr>
              <w:t>Acquisition/(Disposal) through Administrative Restructuring</w:t>
            </w:r>
          </w:p>
        </w:tc>
        <w:tc>
          <w:tcPr>
            <w:tcW w:w="621" w:type="pct"/>
            <w:gridSpan w:val="3"/>
            <w:tcBorders>
              <w:top w:val="nil"/>
              <w:left w:val="nil"/>
              <w:bottom w:val="nil"/>
              <w:right w:val="nil"/>
            </w:tcBorders>
          </w:tcPr>
          <w:p w14:paraId="3B440E70"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3CEAC3EB"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156AD10F" w14:textId="77777777" w:rsidR="00EF02F9" w:rsidRPr="00BF30D3" w:rsidRDefault="00EF02F9" w:rsidP="009A0F2F">
            <w:pPr>
              <w:pStyle w:val="TableText"/>
              <w:tabs>
                <w:tab w:val="left" w:pos="3306"/>
              </w:tabs>
              <w:jc w:val="right"/>
              <w:rPr>
                <w:rFonts w:cs="Calibri"/>
              </w:rPr>
            </w:pPr>
          </w:p>
        </w:tc>
      </w:tr>
      <w:tr w:rsidR="00EF02F9" w:rsidRPr="00BF30D3" w14:paraId="40722A99" w14:textId="77777777" w:rsidTr="002A16D9">
        <w:trPr>
          <w:cantSplit/>
          <w:trHeight w:val="23"/>
        </w:trPr>
        <w:tc>
          <w:tcPr>
            <w:tcW w:w="743" w:type="pct"/>
            <w:tcBorders>
              <w:top w:val="nil"/>
              <w:left w:val="single" w:sz="4" w:space="0" w:color="auto"/>
              <w:bottom w:val="nil"/>
              <w:right w:val="single" w:sz="4" w:space="0" w:color="auto"/>
            </w:tcBorders>
            <w:vAlign w:val="center"/>
          </w:tcPr>
          <w:p w14:paraId="4780ED0F"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556" w:type="pct"/>
            <w:tcBorders>
              <w:top w:val="nil"/>
              <w:left w:val="single" w:sz="4" w:space="0" w:color="auto"/>
              <w:bottom w:val="nil"/>
              <w:right w:val="nil"/>
            </w:tcBorders>
            <w:vAlign w:val="bottom"/>
          </w:tcPr>
          <w:p w14:paraId="38132600" w14:textId="77777777" w:rsidR="00EF02F9" w:rsidRPr="00BF30D3" w:rsidRDefault="00EF02F9" w:rsidP="009A0F2F">
            <w:pPr>
              <w:pStyle w:val="TableText"/>
              <w:tabs>
                <w:tab w:val="left" w:pos="3306"/>
              </w:tabs>
              <w:rPr>
                <w:rFonts w:cs="Calibri"/>
              </w:rPr>
            </w:pPr>
            <w:r w:rsidRPr="00BF30D3">
              <w:rPr>
                <w:rFonts w:cs="Calibri"/>
              </w:rPr>
              <w:t>Acquisition/(Disposal) from Transfers</w:t>
            </w:r>
          </w:p>
        </w:tc>
        <w:tc>
          <w:tcPr>
            <w:tcW w:w="621" w:type="pct"/>
            <w:gridSpan w:val="3"/>
            <w:tcBorders>
              <w:top w:val="nil"/>
              <w:left w:val="nil"/>
              <w:bottom w:val="nil"/>
              <w:right w:val="nil"/>
            </w:tcBorders>
          </w:tcPr>
          <w:p w14:paraId="51A5A7C3"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nil"/>
              <w:right w:val="nil"/>
            </w:tcBorders>
          </w:tcPr>
          <w:p w14:paraId="5B21D4E8"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nil"/>
              <w:right w:val="nil"/>
            </w:tcBorders>
            <w:vAlign w:val="bottom"/>
          </w:tcPr>
          <w:p w14:paraId="3BF1A5CB" w14:textId="77777777" w:rsidR="00EF02F9" w:rsidRPr="00BF30D3" w:rsidRDefault="00EF02F9" w:rsidP="009A0F2F">
            <w:pPr>
              <w:pStyle w:val="TableText"/>
              <w:tabs>
                <w:tab w:val="left" w:pos="3306"/>
              </w:tabs>
              <w:jc w:val="right"/>
              <w:rPr>
                <w:rFonts w:cs="Calibri"/>
              </w:rPr>
            </w:pPr>
          </w:p>
        </w:tc>
      </w:tr>
      <w:tr w:rsidR="00EF02F9" w:rsidRPr="00BF30D3" w14:paraId="2BDCDE47" w14:textId="77777777" w:rsidTr="002A16D9">
        <w:trPr>
          <w:cantSplit/>
          <w:trHeight w:val="23"/>
        </w:trPr>
        <w:tc>
          <w:tcPr>
            <w:tcW w:w="743" w:type="pct"/>
            <w:tcBorders>
              <w:top w:val="nil"/>
              <w:left w:val="single" w:sz="4" w:space="0" w:color="auto"/>
              <w:bottom w:val="nil"/>
              <w:right w:val="single" w:sz="4" w:space="0" w:color="auto"/>
            </w:tcBorders>
            <w:vAlign w:val="center"/>
          </w:tcPr>
          <w:p w14:paraId="76D8FEDA" w14:textId="77777777" w:rsidR="00EF02F9" w:rsidRPr="00BF30D3" w:rsidRDefault="00EF02F9" w:rsidP="009A0F2F">
            <w:pPr>
              <w:pStyle w:val="TableReference"/>
              <w:tabs>
                <w:tab w:val="left" w:pos="3306"/>
              </w:tabs>
              <w:spacing w:before="40"/>
              <w:rPr>
                <w:rFonts w:cs="Calibri"/>
                <w:color w:val="7030A0"/>
                <w:sz w:val="14"/>
              </w:rPr>
            </w:pPr>
            <w:r w:rsidRPr="00BF30D3">
              <w:rPr>
                <w:rFonts w:cs="Calibri"/>
                <w:color w:val="7030A0"/>
                <w:sz w:val="14"/>
              </w:rPr>
              <w:t>AASB 140.76(g)</w:t>
            </w:r>
          </w:p>
        </w:tc>
        <w:tc>
          <w:tcPr>
            <w:tcW w:w="2556" w:type="pct"/>
            <w:tcBorders>
              <w:top w:val="nil"/>
              <w:left w:val="single" w:sz="4" w:space="0" w:color="auto"/>
              <w:bottom w:val="nil"/>
              <w:right w:val="nil"/>
            </w:tcBorders>
            <w:vAlign w:val="bottom"/>
          </w:tcPr>
          <w:p w14:paraId="7DB5F823" w14:textId="77777777" w:rsidR="00EF02F9" w:rsidRPr="00BF30D3" w:rsidRDefault="00EF02F9" w:rsidP="009A0F2F">
            <w:pPr>
              <w:pStyle w:val="TableText"/>
              <w:tabs>
                <w:tab w:val="left" w:pos="3306"/>
              </w:tabs>
              <w:rPr>
                <w:rFonts w:cs="Calibri"/>
              </w:rPr>
            </w:pPr>
            <w:r w:rsidRPr="00BF30D3">
              <w:rPr>
                <w:rFonts w:cs="Calibri"/>
              </w:rPr>
              <w:t xml:space="preserve">Other Movements </w:t>
            </w:r>
          </w:p>
        </w:tc>
        <w:tc>
          <w:tcPr>
            <w:tcW w:w="621" w:type="pct"/>
            <w:gridSpan w:val="3"/>
            <w:tcBorders>
              <w:top w:val="nil"/>
              <w:left w:val="nil"/>
              <w:bottom w:val="single" w:sz="2" w:space="0" w:color="auto"/>
              <w:right w:val="nil"/>
            </w:tcBorders>
          </w:tcPr>
          <w:p w14:paraId="48FD5C29" w14:textId="77777777" w:rsidR="00EF02F9" w:rsidRPr="00BF30D3" w:rsidRDefault="00EF02F9" w:rsidP="009A0F2F">
            <w:pPr>
              <w:pStyle w:val="TableText"/>
              <w:tabs>
                <w:tab w:val="left" w:pos="3306"/>
              </w:tabs>
              <w:jc w:val="right"/>
              <w:rPr>
                <w:rFonts w:cs="Calibri"/>
              </w:rPr>
            </w:pPr>
          </w:p>
        </w:tc>
        <w:tc>
          <w:tcPr>
            <w:tcW w:w="607" w:type="pct"/>
            <w:gridSpan w:val="4"/>
            <w:tcBorders>
              <w:top w:val="nil"/>
              <w:left w:val="nil"/>
              <w:bottom w:val="single" w:sz="2" w:space="0" w:color="auto"/>
              <w:right w:val="nil"/>
            </w:tcBorders>
          </w:tcPr>
          <w:p w14:paraId="3AC57E11" w14:textId="77777777" w:rsidR="00EF02F9" w:rsidRPr="00BF30D3" w:rsidRDefault="00EF02F9" w:rsidP="009A0F2F">
            <w:pPr>
              <w:pStyle w:val="TableText"/>
              <w:tabs>
                <w:tab w:val="left" w:pos="3306"/>
              </w:tabs>
              <w:jc w:val="right"/>
              <w:rPr>
                <w:rFonts w:cs="Calibri"/>
              </w:rPr>
            </w:pPr>
          </w:p>
        </w:tc>
        <w:tc>
          <w:tcPr>
            <w:tcW w:w="473" w:type="pct"/>
            <w:gridSpan w:val="2"/>
            <w:tcBorders>
              <w:top w:val="nil"/>
              <w:left w:val="nil"/>
              <w:bottom w:val="single" w:sz="2" w:space="0" w:color="auto"/>
              <w:right w:val="nil"/>
            </w:tcBorders>
            <w:vAlign w:val="bottom"/>
          </w:tcPr>
          <w:p w14:paraId="45821E9A" w14:textId="77777777" w:rsidR="00EF02F9" w:rsidRPr="00BF30D3" w:rsidRDefault="00EF02F9" w:rsidP="009A0F2F">
            <w:pPr>
              <w:pStyle w:val="TableText"/>
              <w:tabs>
                <w:tab w:val="left" w:pos="3306"/>
              </w:tabs>
              <w:jc w:val="right"/>
              <w:rPr>
                <w:rFonts w:cs="Calibri"/>
              </w:rPr>
            </w:pPr>
          </w:p>
        </w:tc>
      </w:tr>
      <w:tr w:rsidR="00EF02F9" w:rsidRPr="00BF30D3" w14:paraId="633FFC5E" w14:textId="77777777" w:rsidTr="002A16D9">
        <w:trPr>
          <w:cantSplit/>
          <w:trHeight w:val="23"/>
        </w:trPr>
        <w:tc>
          <w:tcPr>
            <w:tcW w:w="743" w:type="pct"/>
            <w:tcBorders>
              <w:top w:val="nil"/>
              <w:left w:val="single" w:sz="4" w:space="0" w:color="auto"/>
              <w:bottom w:val="nil"/>
              <w:right w:val="single" w:sz="4" w:space="0" w:color="auto"/>
            </w:tcBorders>
          </w:tcPr>
          <w:p w14:paraId="53480596" w14:textId="77777777" w:rsidR="00EF02F9" w:rsidRPr="00BF30D3" w:rsidRDefault="00EF02F9" w:rsidP="009A0F2F">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vAlign w:val="bottom"/>
          </w:tcPr>
          <w:p w14:paraId="0D0B2363" w14:textId="77777777" w:rsidR="00EF02F9" w:rsidRPr="00BF30D3" w:rsidRDefault="00EF02F9" w:rsidP="009A0F2F">
            <w:pPr>
              <w:pStyle w:val="TableText"/>
              <w:tabs>
                <w:tab w:val="left" w:pos="3306"/>
              </w:tabs>
              <w:rPr>
                <w:rFonts w:cs="Calibri"/>
                <w:b/>
                <w:bCs/>
              </w:rPr>
            </w:pPr>
            <w:r w:rsidRPr="00BF30D3">
              <w:rPr>
                <w:rFonts w:cs="Calibri"/>
                <w:b/>
                <w:bCs/>
              </w:rPr>
              <w:t>Carrying Amount at the End of the Reporting Period</w:t>
            </w:r>
          </w:p>
        </w:tc>
        <w:tc>
          <w:tcPr>
            <w:tcW w:w="621" w:type="pct"/>
            <w:gridSpan w:val="3"/>
            <w:tcBorders>
              <w:top w:val="single" w:sz="2" w:space="0" w:color="auto"/>
              <w:left w:val="nil"/>
              <w:bottom w:val="double" w:sz="4" w:space="0" w:color="auto"/>
              <w:right w:val="nil"/>
            </w:tcBorders>
          </w:tcPr>
          <w:p w14:paraId="7F5942E9" w14:textId="77777777" w:rsidR="00EF02F9" w:rsidRPr="00BF30D3" w:rsidRDefault="00EF02F9" w:rsidP="009A0F2F">
            <w:pPr>
              <w:pStyle w:val="TableText"/>
              <w:tabs>
                <w:tab w:val="left" w:pos="3306"/>
              </w:tabs>
              <w:jc w:val="right"/>
              <w:rPr>
                <w:rFonts w:cs="Calibri"/>
                <w:b/>
                <w:bCs/>
              </w:rPr>
            </w:pPr>
          </w:p>
        </w:tc>
        <w:tc>
          <w:tcPr>
            <w:tcW w:w="607" w:type="pct"/>
            <w:gridSpan w:val="4"/>
            <w:tcBorders>
              <w:top w:val="single" w:sz="2" w:space="0" w:color="auto"/>
              <w:left w:val="nil"/>
              <w:bottom w:val="double" w:sz="4" w:space="0" w:color="auto"/>
              <w:right w:val="nil"/>
            </w:tcBorders>
          </w:tcPr>
          <w:p w14:paraId="1E68DC75" w14:textId="77777777" w:rsidR="00EF02F9" w:rsidRPr="00BF30D3" w:rsidRDefault="00EF02F9" w:rsidP="009A0F2F">
            <w:pPr>
              <w:pStyle w:val="TableText"/>
              <w:tabs>
                <w:tab w:val="left" w:pos="3306"/>
              </w:tabs>
              <w:jc w:val="right"/>
              <w:rPr>
                <w:rFonts w:cs="Calibri"/>
                <w:b/>
                <w:bCs/>
              </w:rPr>
            </w:pPr>
          </w:p>
        </w:tc>
        <w:tc>
          <w:tcPr>
            <w:tcW w:w="473" w:type="pct"/>
            <w:gridSpan w:val="2"/>
            <w:tcBorders>
              <w:top w:val="single" w:sz="2" w:space="0" w:color="auto"/>
              <w:left w:val="nil"/>
              <w:bottom w:val="double" w:sz="4" w:space="0" w:color="auto"/>
              <w:right w:val="nil"/>
            </w:tcBorders>
            <w:vAlign w:val="bottom"/>
          </w:tcPr>
          <w:p w14:paraId="37DE3910" w14:textId="77777777" w:rsidR="00EF02F9" w:rsidRPr="00BF30D3" w:rsidRDefault="00EF02F9" w:rsidP="009A0F2F">
            <w:pPr>
              <w:pStyle w:val="TableText"/>
              <w:tabs>
                <w:tab w:val="left" w:pos="3306"/>
              </w:tabs>
              <w:jc w:val="right"/>
              <w:rPr>
                <w:rFonts w:cs="Calibri"/>
                <w:b/>
                <w:bCs/>
              </w:rPr>
            </w:pPr>
          </w:p>
        </w:tc>
      </w:tr>
      <w:tr w:rsidR="0095733E" w:rsidRPr="00BF30D3" w14:paraId="07F5EC78" w14:textId="77777777" w:rsidTr="002A16D9">
        <w:trPr>
          <w:cantSplit/>
          <w:trHeight w:val="23"/>
        </w:trPr>
        <w:tc>
          <w:tcPr>
            <w:tcW w:w="743" w:type="pct"/>
            <w:tcBorders>
              <w:top w:val="nil"/>
              <w:left w:val="single" w:sz="4" w:space="0" w:color="auto"/>
              <w:bottom w:val="nil"/>
              <w:right w:val="single" w:sz="4" w:space="0" w:color="auto"/>
            </w:tcBorders>
          </w:tcPr>
          <w:p w14:paraId="28C18F05" w14:textId="5EDFC433" w:rsidR="0095733E" w:rsidRPr="00BF30D3" w:rsidRDefault="0095733E" w:rsidP="0095733E">
            <w:pPr>
              <w:pStyle w:val="TableReference"/>
              <w:tabs>
                <w:tab w:val="left" w:pos="3306"/>
              </w:tabs>
              <w:spacing w:before="240" w:after="240"/>
              <w:rPr>
                <w:rFonts w:cs="Calibri"/>
                <w:color w:val="7030A0"/>
                <w:sz w:val="14"/>
              </w:rPr>
            </w:pPr>
            <w:r w:rsidRPr="00BF30D3">
              <w:rPr>
                <w:rFonts w:cs="Calibri"/>
                <w:b/>
                <w:color w:val="7030A0"/>
                <w:sz w:val="22"/>
                <w:szCs w:val="22"/>
              </w:rPr>
              <w:t>Reference</w:t>
            </w:r>
          </w:p>
        </w:tc>
        <w:tc>
          <w:tcPr>
            <w:tcW w:w="4257" w:type="pct"/>
            <w:gridSpan w:val="10"/>
            <w:tcBorders>
              <w:top w:val="nil"/>
              <w:left w:val="single" w:sz="4" w:space="0" w:color="auto"/>
              <w:bottom w:val="nil"/>
              <w:right w:val="nil"/>
            </w:tcBorders>
          </w:tcPr>
          <w:p w14:paraId="08E302FA" w14:textId="6E4C3B92" w:rsidR="0095733E" w:rsidRPr="00BF30D3" w:rsidRDefault="0095733E" w:rsidP="0095733E">
            <w:pPr>
              <w:pStyle w:val="TableText"/>
              <w:spacing w:before="240" w:after="240"/>
              <w:rPr>
                <w:rFonts w:cs="Calibri"/>
              </w:rPr>
            </w:pPr>
            <w:r w:rsidRPr="00BF30D3">
              <w:rPr>
                <w:rFonts w:ascii="Arial Bold" w:hAnsi="Arial Bold" w:cs="Arial"/>
                <w:b/>
                <w:caps/>
                <w:sz w:val="32"/>
                <w:szCs w:val="32"/>
              </w:rPr>
              <w:t>Note 20.</w:t>
            </w:r>
            <w:r w:rsidR="00FA7C77">
              <w:rPr>
                <w:rFonts w:ascii="Arial Bold" w:hAnsi="Arial Bold" w:cs="Arial"/>
                <w:b/>
                <w:caps/>
                <w:sz w:val="32"/>
                <w:szCs w:val="32"/>
              </w:rPr>
              <w:t xml:space="preserve"> </w:t>
            </w:r>
            <w:r w:rsidRPr="00BF30D3">
              <w:rPr>
                <w:rFonts w:ascii="Arial Bold" w:hAnsi="Arial Bold" w:cs="Arial"/>
                <w:b/>
                <w:caps/>
                <w:sz w:val="32"/>
                <w:szCs w:val="32"/>
              </w:rPr>
              <w:t xml:space="preserve"> Investment Properties </w:t>
            </w:r>
            <w:r w:rsidR="00F22D61">
              <w:rPr>
                <w:rFonts w:ascii="Arial Bold" w:hAnsi="Arial Bold" w:cs="Arial"/>
                <w:b/>
                <w:caps/>
                <w:sz w:val="32"/>
                <w:szCs w:val="32"/>
              </w:rPr>
              <w:t>–</w:t>
            </w:r>
            <w:r w:rsidRPr="00BF30D3">
              <w:rPr>
                <w:rFonts w:ascii="Arial Bold" w:hAnsi="Arial Bold" w:cs="Arial"/>
                <w:b/>
                <w:caps/>
                <w:sz w:val="32"/>
                <w:szCs w:val="32"/>
              </w:rPr>
              <w:t xml:space="preserve"> Continued</w:t>
            </w:r>
            <w:r w:rsidR="00F22D61">
              <w:rPr>
                <w:rFonts w:ascii="Arial Bold" w:hAnsi="Arial Bold" w:cs="Arial"/>
                <w:b/>
                <w:caps/>
                <w:sz w:val="32"/>
                <w:szCs w:val="32"/>
              </w:rPr>
              <w:t xml:space="preserve"> </w:t>
            </w:r>
          </w:p>
        </w:tc>
      </w:tr>
      <w:tr w:rsidR="0095733E" w:rsidRPr="00BF30D3" w14:paraId="3A78373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007D5B30" w14:textId="77777777" w:rsidR="0095733E" w:rsidRPr="00BF30D3" w:rsidRDefault="0095733E" w:rsidP="0095733E">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vAlign w:val="bottom"/>
          </w:tcPr>
          <w:p w14:paraId="641FFEA0" w14:textId="4F091CE1" w:rsidR="0095733E" w:rsidRPr="00BF30D3" w:rsidRDefault="0095733E" w:rsidP="0095733E">
            <w:pPr>
              <w:pStyle w:val="TableText"/>
              <w:tabs>
                <w:tab w:val="left" w:pos="3306"/>
              </w:tabs>
              <w:jc w:val="both"/>
              <w:rPr>
                <w:rFonts w:cs="Calibri"/>
              </w:rPr>
            </w:pPr>
            <w:r w:rsidRPr="00BF30D3">
              <w:rPr>
                <w:rFonts w:cs="Calibri"/>
              </w:rPr>
              <w:t>(a)The increase in investment properties of $</w:t>
            </w:r>
            <w:r w:rsidR="00436BDE">
              <w:rPr>
                <w:rFonts w:cs="Calibri"/>
              </w:rPr>
              <w:t>xxx</w:t>
            </w:r>
            <w:r w:rsidRPr="00BF30D3">
              <w:rPr>
                <w:rFonts w:cs="Calibri"/>
              </w:rPr>
              <w:t xml:space="preserve"> is due to additional investment properties being purchased, an increase in the value of existing investment properties due to revaluation and investment properties being transferred from other ACT Government agencies to ‘Burley Griffin Agency’.</w:t>
            </w:r>
          </w:p>
        </w:tc>
      </w:tr>
      <w:tr w:rsidR="00BF30D3" w:rsidRPr="00BF30D3" w14:paraId="6D3915BF"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4E4B797" w14:textId="690D34E8" w:rsidR="00471A47" w:rsidRPr="00BF30D3" w:rsidRDefault="00471A47" w:rsidP="00471A47">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vAlign w:val="bottom"/>
          </w:tcPr>
          <w:p w14:paraId="05642055" w14:textId="408286A5" w:rsidR="00471A47" w:rsidRPr="00BF30D3" w:rsidRDefault="00471A47" w:rsidP="00485049">
            <w:pPr>
              <w:pStyle w:val="TableText"/>
              <w:spacing w:before="0" w:after="120"/>
              <w:rPr>
                <w:rFonts w:cs="Calibri"/>
              </w:rPr>
            </w:pPr>
          </w:p>
        </w:tc>
      </w:tr>
      <w:tr w:rsidR="00BF30D3" w:rsidRPr="00BF30D3" w14:paraId="3E9B6C7E"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27232AAD" w14:textId="3AB38E7C" w:rsidR="00B13E7F" w:rsidRPr="00BF30D3" w:rsidRDefault="006C5DD9" w:rsidP="006C5DD9">
            <w:pPr>
              <w:pStyle w:val="TableReference"/>
              <w:tabs>
                <w:tab w:val="left" w:pos="3306"/>
              </w:tabs>
              <w:spacing w:before="40"/>
              <w:rPr>
                <w:rFonts w:cs="Calibri"/>
                <w:color w:val="7030A0"/>
                <w:sz w:val="14"/>
              </w:rPr>
            </w:pPr>
            <w:r w:rsidRPr="00BF30D3">
              <w:rPr>
                <w:rFonts w:cs="Calibri"/>
                <w:color w:val="7030A0"/>
                <w:sz w:val="14"/>
              </w:rPr>
              <w:t>AASB 13.93(c) &amp; (e) (iv)</w:t>
            </w:r>
          </w:p>
        </w:tc>
        <w:tc>
          <w:tcPr>
            <w:tcW w:w="4257" w:type="pct"/>
            <w:gridSpan w:val="10"/>
            <w:tcBorders>
              <w:top w:val="nil"/>
              <w:left w:val="single" w:sz="4" w:space="0" w:color="auto"/>
              <w:bottom w:val="nil"/>
              <w:right w:val="nil"/>
            </w:tcBorders>
          </w:tcPr>
          <w:p w14:paraId="0B28FDC0" w14:textId="131ACC3B" w:rsidR="00B13E7F" w:rsidRPr="00BF30D3" w:rsidRDefault="00B13E7F" w:rsidP="006C5DD9">
            <w:pPr>
              <w:pStyle w:val="TableText"/>
              <w:spacing w:before="0" w:after="120"/>
              <w:rPr>
                <w:rFonts w:cs="Calibri"/>
                <w:b/>
                <w:bCs/>
              </w:rPr>
            </w:pPr>
            <w:r w:rsidRPr="00BF30D3">
              <w:rPr>
                <w:rFonts w:cs="Calibri"/>
                <w:b/>
                <w:bCs/>
              </w:rPr>
              <w:t>Classification According to Fair Value Hierarchy at 30 June 2022</w:t>
            </w:r>
          </w:p>
        </w:tc>
      </w:tr>
      <w:tr w:rsidR="00BF30D3" w:rsidRPr="00BF30D3" w14:paraId="04AEEB2C"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49DEF46" w14:textId="77777777" w:rsidR="000F62B8" w:rsidRPr="00BF30D3" w:rsidRDefault="000F62B8" w:rsidP="00FA3D29">
            <w:pPr>
              <w:pStyle w:val="TableReference"/>
              <w:tabs>
                <w:tab w:val="left" w:pos="3306"/>
              </w:tabs>
              <w:spacing w:before="40"/>
              <w:jc w:val="right"/>
              <w:rPr>
                <w:rFonts w:cs="Calibri"/>
                <w:color w:val="7030A0"/>
                <w:sz w:val="14"/>
              </w:rPr>
            </w:pPr>
          </w:p>
        </w:tc>
        <w:tc>
          <w:tcPr>
            <w:tcW w:w="2556" w:type="pct"/>
            <w:tcBorders>
              <w:top w:val="nil"/>
              <w:left w:val="single" w:sz="4" w:space="0" w:color="auto"/>
              <w:bottom w:val="nil"/>
              <w:right w:val="nil"/>
            </w:tcBorders>
          </w:tcPr>
          <w:p w14:paraId="69F1398D" w14:textId="77777777" w:rsidR="000F62B8" w:rsidRPr="00BF30D3" w:rsidRDefault="000F62B8" w:rsidP="00B13E7F">
            <w:pPr>
              <w:pStyle w:val="TableText"/>
              <w:spacing w:before="0"/>
              <w:jc w:val="right"/>
              <w:rPr>
                <w:rFonts w:cs="Calibri"/>
              </w:rPr>
            </w:pPr>
          </w:p>
        </w:tc>
        <w:tc>
          <w:tcPr>
            <w:tcW w:w="878" w:type="pct"/>
            <w:gridSpan w:val="4"/>
            <w:tcBorders>
              <w:top w:val="nil"/>
              <w:left w:val="nil"/>
              <w:bottom w:val="nil"/>
              <w:right w:val="nil"/>
            </w:tcBorders>
          </w:tcPr>
          <w:p w14:paraId="52FDEF9D" w14:textId="19018DF7" w:rsidR="000F62B8" w:rsidRPr="00BF30D3" w:rsidRDefault="000F62B8" w:rsidP="00B13E7F">
            <w:pPr>
              <w:pStyle w:val="TableText"/>
              <w:spacing w:before="0"/>
              <w:jc w:val="right"/>
              <w:rPr>
                <w:rFonts w:cs="Calibri"/>
                <w:b/>
              </w:rPr>
            </w:pPr>
            <w:r w:rsidRPr="00BF30D3">
              <w:rPr>
                <w:rFonts w:cs="Calibri"/>
                <w:b/>
              </w:rPr>
              <w:t>Level 2</w:t>
            </w:r>
          </w:p>
        </w:tc>
        <w:tc>
          <w:tcPr>
            <w:tcW w:w="823" w:type="pct"/>
            <w:gridSpan w:val="5"/>
            <w:tcBorders>
              <w:top w:val="nil"/>
              <w:left w:val="nil"/>
              <w:bottom w:val="nil"/>
              <w:right w:val="nil"/>
            </w:tcBorders>
          </w:tcPr>
          <w:p w14:paraId="54D18382" w14:textId="2E905714" w:rsidR="000F62B8" w:rsidRPr="00BF30D3" w:rsidRDefault="000F62B8" w:rsidP="00B13E7F">
            <w:pPr>
              <w:pStyle w:val="TableText"/>
              <w:spacing w:before="0"/>
              <w:jc w:val="right"/>
              <w:rPr>
                <w:rFonts w:cs="Calibri"/>
                <w:b/>
              </w:rPr>
            </w:pPr>
            <w:r w:rsidRPr="00BF30D3">
              <w:rPr>
                <w:rFonts w:cs="Calibri"/>
                <w:b/>
              </w:rPr>
              <w:t>Total</w:t>
            </w:r>
          </w:p>
        </w:tc>
      </w:tr>
      <w:tr w:rsidR="00BF30D3" w:rsidRPr="00BF30D3" w14:paraId="192CBB4B"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211BD570" w14:textId="77777777" w:rsidR="000F62B8" w:rsidRPr="00BF30D3" w:rsidRDefault="000F62B8" w:rsidP="00471A47">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vAlign w:val="bottom"/>
          </w:tcPr>
          <w:p w14:paraId="43D7DD8A" w14:textId="77777777" w:rsidR="000F62B8" w:rsidRPr="00BF30D3" w:rsidRDefault="000F62B8" w:rsidP="00B13E7F">
            <w:pPr>
              <w:pStyle w:val="TableText"/>
              <w:spacing w:before="0"/>
              <w:rPr>
                <w:rFonts w:cs="Calibri"/>
              </w:rPr>
            </w:pPr>
          </w:p>
        </w:tc>
        <w:tc>
          <w:tcPr>
            <w:tcW w:w="878" w:type="pct"/>
            <w:gridSpan w:val="4"/>
            <w:tcBorders>
              <w:top w:val="nil"/>
              <w:left w:val="nil"/>
              <w:bottom w:val="nil"/>
              <w:right w:val="nil"/>
            </w:tcBorders>
            <w:vAlign w:val="bottom"/>
          </w:tcPr>
          <w:p w14:paraId="744F464D" w14:textId="79AC48C8" w:rsidR="000F62B8" w:rsidRPr="00BF30D3" w:rsidRDefault="000F62B8" w:rsidP="00B13E7F">
            <w:pPr>
              <w:pStyle w:val="TableText"/>
              <w:spacing w:before="0"/>
              <w:jc w:val="right"/>
              <w:rPr>
                <w:rFonts w:cs="Calibri"/>
              </w:rPr>
            </w:pPr>
            <w:r w:rsidRPr="00BF30D3">
              <w:rPr>
                <w:rFonts w:cs="Calibri"/>
                <w:b/>
              </w:rPr>
              <w:t>$’000</w:t>
            </w:r>
          </w:p>
        </w:tc>
        <w:tc>
          <w:tcPr>
            <w:tcW w:w="823" w:type="pct"/>
            <w:gridSpan w:val="5"/>
            <w:tcBorders>
              <w:top w:val="nil"/>
              <w:left w:val="nil"/>
              <w:bottom w:val="nil"/>
              <w:right w:val="nil"/>
            </w:tcBorders>
            <w:vAlign w:val="bottom"/>
          </w:tcPr>
          <w:p w14:paraId="28EFF8E9" w14:textId="1C486866" w:rsidR="000F62B8" w:rsidRPr="00BF30D3" w:rsidRDefault="000F62B8" w:rsidP="00B13E7F">
            <w:pPr>
              <w:pStyle w:val="TableText"/>
              <w:spacing w:before="0"/>
              <w:jc w:val="right"/>
              <w:rPr>
                <w:rFonts w:cs="Calibri"/>
              </w:rPr>
            </w:pPr>
            <w:r w:rsidRPr="00BF30D3">
              <w:rPr>
                <w:rFonts w:cs="Calibri"/>
                <w:b/>
              </w:rPr>
              <w:t>$’000</w:t>
            </w:r>
          </w:p>
        </w:tc>
      </w:tr>
      <w:tr w:rsidR="00BF30D3" w:rsidRPr="00BF30D3" w14:paraId="65D58C5B"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2B381BDC" w14:textId="77777777" w:rsidR="000F62B8" w:rsidRPr="00BF30D3" w:rsidRDefault="000F62B8" w:rsidP="00471A47">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vAlign w:val="bottom"/>
          </w:tcPr>
          <w:p w14:paraId="229198E5" w14:textId="302D9E77" w:rsidR="000F62B8" w:rsidRPr="00BF30D3" w:rsidRDefault="000F62B8" w:rsidP="00485049">
            <w:pPr>
              <w:pStyle w:val="TableText"/>
              <w:spacing w:before="0" w:after="120"/>
              <w:rPr>
                <w:rFonts w:cs="Calibri"/>
              </w:rPr>
            </w:pPr>
            <w:r w:rsidRPr="00BF30D3">
              <w:rPr>
                <w:rFonts w:cs="Calibri"/>
                <w:b/>
              </w:rPr>
              <w:t>Investment Properties at Fair Value</w:t>
            </w:r>
          </w:p>
        </w:tc>
        <w:tc>
          <w:tcPr>
            <w:tcW w:w="878" w:type="pct"/>
            <w:gridSpan w:val="4"/>
            <w:tcBorders>
              <w:top w:val="nil"/>
              <w:left w:val="nil"/>
              <w:bottom w:val="nil"/>
              <w:right w:val="nil"/>
            </w:tcBorders>
            <w:vAlign w:val="bottom"/>
          </w:tcPr>
          <w:p w14:paraId="03774E77" w14:textId="77777777" w:rsidR="000F62B8" w:rsidRPr="00BF30D3" w:rsidRDefault="000F62B8" w:rsidP="00485049">
            <w:pPr>
              <w:pStyle w:val="TableText"/>
              <w:spacing w:before="0" w:after="120"/>
              <w:rPr>
                <w:rFonts w:cs="Calibri"/>
              </w:rPr>
            </w:pPr>
          </w:p>
        </w:tc>
        <w:tc>
          <w:tcPr>
            <w:tcW w:w="823" w:type="pct"/>
            <w:gridSpan w:val="5"/>
            <w:tcBorders>
              <w:top w:val="nil"/>
              <w:left w:val="nil"/>
              <w:bottom w:val="nil"/>
              <w:right w:val="nil"/>
            </w:tcBorders>
            <w:vAlign w:val="bottom"/>
          </w:tcPr>
          <w:p w14:paraId="7ACEAD26" w14:textId="77777777" w:rsidR="000F62B8" w:rsidRPr="00BF30D3" w:rsidRDefault="000F62B8" w:rsidP="00485049">
            <w:pPr>
              <w:pStyle w:val="TableText"/>
              <w:spacing w:before="0" w:after="120"/>
              <w:rPr>
                <w:rFonts w:cs="Calibri"/>
              </w:rPr>
            </w:pPr>
          </w:p>
        </w:tc>
      </w:tr>
      <w:tr w:rsidR="00BF30D3" w:rsidRPr="00BF30D3" w14:paraId="659A78AD"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C3BE2A3" w14:textId="4751C5A9" w:rsidR="000F62B8" w:rsidRPr="00BF30D3" w:rsidRDefault="000F62B8" w:rsidP="00B13E7F">
            <w:pPr>
              <w:pStyle w:val="TableReference"/>
              <w:spacing w:after="40"/>
              <w:rPr>
                <w:rFonts w:cs="Calibri"/>
                <w:color w:val="7030A0"/>
                <w:sz w:val="14"/>
              </w:rPr>
            </w:pPr>
            <w:r w:rsidRPr="00BF30D3">
              <w:rPr>
                <w:rFonts w:cs="Calibri"/>
                <w:color w:val="7030A0"/>
                <w:sz w:val="14"/>
              </w:rPr>
              <w:t>AASB 13.93(a)(b)</w:t>
            </w:r>
          </w:p>
        </w:tc>
        <w:tc>
          <w:tcPr>
            <w:tcW w:w="2556" w:type="pct"/>
            <w:tcBorders>
              <w:top w:val="nil"/>
              <w:left w:val="single" w:sz="4" w:space="0" w:color="auto"/>
              <w:bottom w:val="nil"/>
              <w:right w:val="nil"/>
            </w:tcBorders>
            <w:vAlign w:val="center"/>
          </w:tcPr>
          <w:p w14:paraId="5072859E" w14:textId="3CD7426A" w:rsidR="000F62B8" w:rsidRPr="00BF30D3" w:rsidRDefault="000F62B8" w:rsidP="00B13E7F">
            <w:pPr>
              <w:pStyle w:val="TableText"/>
              <w:spacing w:before="0" w:after="40"/>
              <w:rPr>
                <w:rFonts w:cs="Calibri"/>
              </w:rPr>
            </w:pPr>
            <w:r w:rsidRPr="00BF30D3">
              <w:rPr>
                <w:rFonts w:cs="Calibri"/>
              </w:rPr>
              <w:t>Land</w:t>
            </w:r>
          </w:p>
        </w:tc>
        <w:tc>
          <w:tcPr>
            <w:tcW w:w="878" w:type="pct"/>
            <w:gridSpan w:val="4"/>
            <w:tcBorders>
              <w:top w:val="nil"/>
              <w:left w:val="nil"/>
              <w:bottom w:val="nil"/>
              <w:right w:val="nil"/>
            </w:tcBorders>
            <w:vAlign w:val="bottom"/>
          </w:tcPr>
          <w:p w14:paraId="56F8D161" w14:textId="77777777" w:rsidR="000F62B8" w:rsidRPr="00BF30D3" w:rsidRDefault="000F62B8" w:rsidP="00B13E7F">
            <w:pPr>
              <w:pStyle w:val="TableText"/>
              <w:spacing w:before="0" w:after="40"/>
              <w:rPr>
                <w:rFonts w:cs="Calibri"/>
              </w:rPr>
            </w:pPr>
          </w:p>
        </w:tc>
        <w:tc>
          <w:tcPr>
            <w:tcW w:w="823" w:type="pct"/>
            <w:gridSpan w:val="5"/>
            <w:tcBorders>
              <w:top w:val="nil"/>
              <w:left w:val="nil"/>
              <w:bottom w:val="nil"/>
              <w:right w:val="nil"/>
            </w:tcBorders>
            <w:vAlign w:val="bottom"/>
          </w:tcPr>
          <w:p w14:paraId="71690966" w14:textId="77777777" w:rsidR="000F62B8" w:rsidRPr="00BF30D3" w:rsidRDefault="000F62B8" w:rsidP="00B13E7F">
            <w:pPr>
              <w:pStyle w:val="TableText"/>
              <w:spacing w:before="0" w:after="40"/>
              <w:rPr>
                <w:rFonts w:cs="Calibri"/>
              </w:rPr>
            </w:pPr>
          </w:p>
        </w:tc>
      </w:tr>
      <w:tr w:rsidR="00BF30D3" w:rsidRPr="00BF30D3" w14:paraId="6AC99AB7"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317A7AF" w14:textId="0501DFC8" w:rsidR="000F62B8" w:rsidRPr="00BF30D3" w:rsidRDefault="000F62B8" w:rsidP="00B13E7F">
            <w:pPr>
              <w:pStyle w:val="TableReference"/>
              <w:tabs>
                <w:tab w:val="left" w:pos="3306"/>
              </w:tabs>
              <w:spacing w:after="40"/>
              <w:rPr>
                <w:rFonts w:cs="Calibri"/>
                <w:color w:val="7030A0"/>
                <w:sz w:val="14"/>
              </w:rPr>
            </w:pPr>
            <w:r w:rsidRPr="00BF30D3">
              <w:rPr>
                <w:rFonts w:cs="Calibri"/>
                <w:color w:val="7030A0"/>
                <w:sz w:val="14"/>
              </w:rPr>
              <w:t>AASB13.94</w:t>
            </w:r>
          </w:p>
        </w:tc>
        <w:tc>
          <w:tcPr>
            <w:tcW w:w="2556" w:type="pct"/>
            <w:tcBorders>
              <w:top w:val="nil"/>
              <w:left w:val="single" w:sz="4" w:space="0" w:color="auto"/>
              <w:bottom w:val="nil"/>
              <w:right w:val="nil"/>
            </w:tcBorders>
            <w:vAlign w:val="center"/>
          </w:tcPr>
          <w:p w14:paraId="1D88C529" w14:textId="3361C3AF" w:rsidR="000F62B8" w:rsidRPr="00BF30D3" w:rsidRDefault="000F62B8" w:rsidP="00B13E7F">
            <w:pPr>
              <w:pStyle w:val="TableText"/>
              <w:spacing w:before="0" w:after="40"/>
              <w:rPr>
                <w:rFonts w:cs="Calibri"/>
              </w:rPr>
            </w:pPr>
            <w:r w:rsidRPr="00BF30D3">
              <w:rPr>
                <w:rFonts w:cs="Calibri"/>
              </w:rPr>
              <w:t>Buildings</w:t>
            </w:r>
          </w:p>
        </w:tc>
        <w:tc>
          <w:tcPr>
            <w:tcW w:w="878" w:type="pct"/>
            <w:gridSpan w:val="4"/>
            <w:tcBorders>
              <w:top w:val="nil"/>
              <w:left w:val="nil"/>
              <w:bottom w:val="single" w:sz="2" w:space="0" w:color="auto"/>
              <w:right w:val="nil"/>
            </w:tcBorders>
            <w:vAlign w:val="bottom"/>
          </w:tcPr>
          <w:p w14:paraId="629D8A42" w14:textId="77777777" w:rsidR="000F62B8" w:rsidRPr="00BF30D3" w:rsidRDefault="000F62B8" w:rsidP="00B13E7F">
            <w:pPr>
              <w:pStyle w:val="TableText"/>
              <w:spacing w:before="0" w:after="40"/>
              <w:rPr>
                <w:rFonts w:cs="Calibri"/>
              </w:rPr>
            </w:pPr>
          </w:p>
        </w:tc>
        <w:tc>
          <w:tcPr>
            <w:tcW w:w="823" w:type="pct"/>
            <w:gridSpan w:val="5"/>
            <w:tcBorders>
              <w:top w:val="nil"/>
              <w:left w:val="nil"/>
              <w:bottom w:val="single" w:sz="2" w:space="0" w:color="auto"/>
              <w:right w:val="nil"/>
            </w:tcBorders>
            <w:vAlign w:val="bottom"/>
          </w:tcPr>
          <w:p w14:paraId="08602073" w14:textId="77777777" w:rsidR="000F62B8" w:rsidRPr="00BF30D3" w:rsidRDefault="000F62B8" w:rsidP="00B13E7F">
            <w:pPr>
              <w:pStyle w:val="TableText"/>
              <w:spacing w:before="0" w:after="40"/>
              <w:rPr>
                <w:rFonts w:cs="Calibri"/>
              </w:rPr>
            </w:pPr>
          </w:p>
        </w:tc>
      </w:tr>
      <w:tr w:rsidR="00BF30D3" w:rsidRPr="00BF30D3" w14:paraId="7734B9F6"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3C2F6F1D" w14:textId="77777777" w:rsidR="000F62B8" w:rsidRPr="00BF30D3" w:rsidRDefault="000F62B8" w:rsidP="00B13E7F">
            <w:pPr>
              <w:pStyle w:val="TableReference"/>
              <w:tabs>
                <w:tab w:val="left" w:pos="3306"/>
              </w:tabs>
              <w:spacing w:after="40"/>
              <w:rPr>
                <w:rFonts w:cs="Calibri"/>
                <w:color w:val="7030A0"/>
                <w:sz w:val="14"/>
              </w:rPr>
            </w:pPr>
          </w:p>
        </w:tc>
        <w:tc>
          <w:tcPr>
            <w:tcW w:w="2556" w:type="pct"/>
            <w:tcBorders>
              <w:top w:val="nil"/>
              <w:left w:val="single" w:sz="4" w:space="0" w:color="auto"/>
              <w:bottom w:val="nil"/>
              <w:right w:val="nil"/>
            </w:tcBorders>
            <w:vAlign w:val="center"/>
          </w:tcPr>
          <w:p w14:paraId="02C68275" w14:textId="77777777" w:rsidR="000F62B8" w:rsidRPr="00BF30D3" w:rsidRDefault="000F62B8" w:rsidP="00B13E7F">
            <w:pPr>
              <w:pStyle w:val="TableText"/>
              <w:spacing w:before="0" w:after="40"/>
              <w:rPr>
                <w:rFonts w:cs="Calibri"/>
              </w:rPr>
            </w:pPr>
          </w:p>
        </w:tc>
        <w:tc>
          <w:tcPr>
            <w:tcW w:w="878" w:type="pct"/>
            <w:gridSpan w:val="4"/>
            <w:tcBorders>
              <w:top w:val="single" w:sz="2" w:space="0" w:color="auto"/>
              <w:left w:val="nil"/>
              <w:bottom w:val="double" w:sz="4" w:space="0" w:color="auto"/>
              <w:right w:val="nil"/>
            </w:tcBorders>
            <w:vAlign w:val="bottom"/>
          </w:tcPr>
          <w:p w14:paraId="2A110384" w14:textId="77777777" w:rsidR="000F62B8" w:rsidRPr="00BF30D3" w:rsidRDefault="000F62B8" w:rsidP="00B13E7F">
            <w:pPr>
              <w:pStyle w:val="TableText"/>
              <w:spacing w:before="0" w:after="40"/>
              <w:rPr>
                <w:rFonts w:cs="Calibri"/>
              </w:rPr>
            </w:pPr>
          </w:p>
        </w:tc>
        <w:tc>
          <w:tcPr>
            <w:tcW w:w="823" w:type="pct"/>
            <w:gridSpan w:val="5"/>
            <w:tcBorders>
              <w:top w:val="single" w:sz="2" w:space="0" w:color="auto"/>
              <w:left w:val="nil"/>
              <w:bottom w:val="double" w:sz="4" w:space="0" w:color="auto"/>
              <w:right w:val="nil"/>
            </w:tcBorders>
            <w:vAlign w:val="bottom"/>
          </w:tcPr>
          <w:p w14:paraId="21027AFB" w14:textId="77777777" w:rsidR="000F62B8" w:rsidRPr="00BF30D3" w:rsidRDefault="000F62B8" w:rsidP="00B13E7F">
            <w:pPr>
              <w:pStyle w:val="TableText"/>
              <w:spacing w:before="0" w:after="40"/>
              <w:rPr>
                <w:rFonts w:cs="Calibri"/>
              </w:rPr>
            </w:pPr>
          </w:p>
        </w:tc>
      </w:tr>
      <w:tr w:rsidR="00F15CC8" w:rsidRPr="00980416" w14:paraId="2F2F48A7"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10B59C33" w14:textId="77777777" w:rsidR="00F15CC8" w:rsidRPr="00BF30D3" w:rsidRDefault="00F15CC8" w:rsidP="00471A47">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vAlign w:val="bottom"/>
          </w:tcPr>
          <w:p w14:paraId="223605BB" w14:textId="77777777" w:rsidR="00F15CC8" w:rsidRPr="00BF30D3" w:rsidRDefault="00F15CC8" w:rsidP="00485049">
            <w:pPr>
              <w:pStyle w:val="TableText"/>
              <w:spacing w:before="0" w:after="120"/>
              <w:rPr>
                <w:rFonts w:cs="Calibri"/>
              </w:rPr>
            </w:pPr>
          </w:p>
        </w:tc>
        <w:tc>
          <w:tcPr>
            <w:tcW w:w="878" w:type="pct"/>
            <w:gridSpan w:val="4"/>
            <w:tcBorders>
              <w:top w:val="double" w:sz="4" w:space="0" w:color="auto"/>
              <w:left w:val="nil"/>
              <w:bottom w:val="nil"/>
              <w:right w:val="nil"/>
            </w:tcBorders>
            <w:vAlign w:val="bottom"/>
          </w:tcPr>
          <w:p w14:paraId="7D44F224" w14:textId="77777777" w:rsidR="00F15CC8" w:rsidRPr="00BF30D3" w:rsidRDefault="00F15CC8" w:rsidP="00485049">
            <w:pPr>
              <w:pStyle w:val="TableText"/>
              <w:spacing w:before="0" w:after="120"/>
              <w:rPr>
                <w:rFonts w:cs="Calibri"/>
              </w:rPr>
            </w:pPr>
          </w:p>
        </w:tc>
        <w:tc>
          <w:tcPr>
            <w:tcW w:w="823" w:type="pct"/>
            <w:gridSpan w:val="5"/>
            <w:tcBorders>
              <w:top w:val="double" w:sz="4" w:space="0" w:color="auto"/>
              <w:left w:val="nil"/>
              <w:bottom w:val="nil"/>
              <w:right w:val="nil"/>
            </w:tcBorders>
            <w:vAlign w:val="bottom"/>
          </w:tcPr>
          <w:p w14:paraId="7B1D5413" w14:textId="77777777" w:rsidR="00F15CC8" w:rsidRPr="00BF30D3" w:rsidRDefault="00F15CC8" w:rsidP="00485049">
            <w:pPr>
              <w:pStyle w:val="TableText"/>
              <w:spacing w:before="0" w:after="120"/>
              <w:rPr>
                <w:rFonts w:cs="Calibri"/>
              </w:rPr>
            </w:pPr>
          </w:p>
        </w:tc>
      </w:tr>
      <w:tr w:rsidR="00BF30D3" w:rsidRPr="00BF30D3" w14:paraId="2A04D4B1"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49F7A629" w14:textId="77777777" w:rsidR="001B2A8C" w:rsidRPr="00BF30D3" w:rsidRDefault="001B2A8C" w:rsidP="00471A47">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tcPr>
          <w:p w14:paraId="23B9CD47" w14:textId="3E0B6525" w:rsidR="001B2A8C" w:rsidRPr="00BF30D3" w:rsidRDefault="001B2A8C" w:rsidP="006C5DD9">
            <w:pPr>
              <w:pStyle w:val="TableText"/>
              <w:spacing w:before="0" w:after="120"/>
              <w:rPr>
                <w:rFonts w:cs="Calibri"/>
              </w:rPr>
            </w:pPr>
            <w:r w:rsidRPr="00BF30D3">
              <w:rPr>
                <w:rFonts w:cs="Calibri"/>
                <w:b/>
                <w:bCs/>
              </w:rPr>
              <w:t>Classification According to Fair Value Hierarchy at 30 June 2021</w:t>
            </w:r>
          </w:p>
        </w:tc>
      </w:tr>
      <w:tr w:rsidR="00BF30D3" w:rsidRPr="00BF30D3" w14:paraId="2A0F2E33"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0D7557E2" w14:textId="77777777" w:rsidR="000F62B8" w:rsidRPr="00BF30D3" w:rsidRDefault="000F62B8" w:rsidP="00B13E7F">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vAlign w:val="bottom"/>
          </w:tcPr>
          <w:p w14:paraId="69B92EF9" w14:textId="77777777" w:rsidR="000F62B8" w:rsidRPr="00BF30D3" w:rsidRDefault="000F62B8" w:rsidP="00B13E7F">
            <w:pPr>
              <w:pStyle w:val="TableText"/>
              <w:spacing w:before="0"/>
              <w:rPr>
                <w:rFonts w:cs="Calibri"/>
              </w:rPr>
            </w:pPr>
          </w:p>
        </w:tc>
        <w:tc>
          <w:tcPr>
            <w:tcW w:w="878" w:type="pct"/>
            <w:gridSpan w:val="4"/>
            <w:tcBorders>
              <w:top w:val="nil"/>
              <w:left w:val="nil"/>
              <w:bottom w:val="nil"/>
              <w:right w:val="nil"/>
            </w:tcBorders>
          </w:tcPr>
          <w:p w14:paraId="7D5B0D93" w14:textId="44022269" w:rsidR="000F62B8" w:rsidRPr="00BF30D3" w:rsidRDefault="000F62B8" w:rsidP="00B13E7F">
            <w:pPr>
              <w:pStyle w:val="TableText"/>
              <w:spacing w:before="0"/>
              <w:jc w:val="right"/>
              <w:rPr>
                <w:rFonts w:cs="Calibri"/>
              </w:rPr>
            </w:pPr>
            <w:r w:rsidRPr="00BF30D3">
              <w:rPr>
                <w:rFonts w:cs="Calibri"/>
                <w:b/>
              </w:rPr>
              <w:t>Level 2</w:t>
            </w:r>
          </w:p>
        </w:tc>
        <w:tc>
          <w:tcPr>
            <w:tcW w:w="823" w:type="pct"/>
            <w:gridSpan w:val="5"/>
            <w:tcBorders>
              <w:top w:val="nil"/>
              <w:left w:val="nil"/>
              <w:bottom w:val="nil"/>
              <w:right w:val="nil"/>
            </w:tcBorders>
          </w:tcPr>
          <w:p w14:paraId="020C39B9" w14:textId="0B50D303" w:rsidR="000F62B8" w:rsidRPr="00BF30D3" w:rsidRDefault="000F62B8" w:rsidP="00B13E7F">
            <w:pPr>
              <w:pStyle w:val="TableText"/>
              <w:spacing w:before="0"/>
              <w:jc w:val="right"/>
              <w:rPr>
                <w:rFonts w:cs="Calibri"/>
              </w:rPr>
            </w:pPr>
            <w:r w:rsidRPr="00BF30D3">
              <w:rPr>
                <w:rFonts w:cs="Calibri"/>
                <w:b/>
              </w:rPr>
              <w:t>Total</w:t>
            </w:r>
          </w:p>
        </w:tc>
      </w:tr>
      <w:tr w:rsidR="00BF30D3" w:rsidRPr="00BF30D3" w14:paraId="74BA0EFF"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1FE11E4F" w14:textId="77777777" w:rsidR="000F62B8" w:rsidRPr="00BF30D3" w:rsidRDefault="000F62B8" w:rsidP="00B13E7F">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vAlign w:val="bottom"/>
          </w:tcPr>
          <w:p w14:paraId="1A546D68" w14:textId="77777777" w:rsidR="000F62B8" w:rsidRPr="00BF30D3" w:rsidRDefault="000F62B8" w:rsidP="00B13E7F">
            <w:pPr>
              <w:pStyle w:val="TableText"/>
              <w:spacing w:before="0"/>
              <w:rPr>
                <w:rFonts w:cs="Calibri"/>
              </w:rPr>
            </w:pPr>
          </w:p>
        </w:tc>
        <w:tc>
          <w:tcPr>
            <w:tcW w:w="878" w:type="pct"/>
            <w:gridSpan w:val="4"/>
            <w:tcBorders>
              <w:top w:val="nil"/>
              <w:left w:val="nil"/>
              <w:bottom w:val="nil"/>
              <w:right w:val="nil"/>
            </w:tcBorders>
          </w:tcPr>
          <w:p w14:paraId="7B578B3F" w14:textId="5FEC2CC6" w:rsidR="000F62B8" w:rsidRPr="00BF30D3" w:rsidRDefault="000F62B8" w:rsidP="00B13E7F">
            <w:pPr>
              <w:pStyle w:val="TableText"/>
              <w:spacing w:before="0"/>
              <w:jc w:val="right"/>
              <w:rPr>
                <w:rFonts w:cs="Calibri"/>
              </w:rPr>
            </w:pPr>
            <w:r w:rsidRPr="00BF30D3">
              <w:rPr>
                <w:rFonts w:cs="Calibri"/>
                <w:b/>
              </w:rPr>
              <w:t>$’000</w:t>
            </w:r>
          </w:p>
        </w:tc>
        <w:tc>
          <w:tcPr>
            <w:tcW w:w="823" w:type="pct"/>
            <w:gridSpan w:val="5"/>
            <w:tcBorders>
              <w:top w:val="nil"/>
              <w:left w:val="nil"/>
              <w:bottom w:val="nil"/>
              <w:right w:val="nil"/>
            </w:tcBorders>
          </w:tcPr>
          <w:p w14:paraId="7746DDDB" w14:textId="4D980DF5" w:rsidR="000F62B8" w:rsidRPr="00BF30D3" w:rsidRDefault="000F62B8" w:rsidP="00B13E7F">
            <w:pPr>
              <w:pStyle w:val="TableText"/>
              <w:spacing w:before="0"/>
              <w:jc w:val="right"/>
              <w:rPr>
                <w:rFonts w:cs="Calibri"/>
              </w:rPr>
            </w:pPr>
            <w:r w:rsidRPr="00BF30D3">
              <w:rPr>
                <w:rFonts w:cs="Calibri"/>
                <w:b/>
              </w:rPr>
              <w:t>$’000</w:t>
            </w:r>
          </w:p>
        </w:tc>
      </w:tr>
      <w:tr w:rsidR="00BF30D3" w:rsidRPr="00BF30D3" w14:paraId="3255E986"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FA5DADE" w14:textId="77777777" w:rsidR="000F62B8" w:rsidRPr="00BF30D3" w:rsidRDefault="000F62B8" w:rsidP="00B13E7F">
            <w:pPr>
              <w:pStyle w:val="TableReference"/>
              <w:tabs>
                <w:tab w:val="left" w:pos="3306"/>
              </w:tabs>
              <w:spacing w:before="40"/>
              <w:rPr>
                <w:rFonts w:cs="Calibri"/>
                <w:color w:val="7030A0"/>
                <w:sz w:val="14"/>
              </w:rPr>
            </w:pPr>
          </w:p>
        </w:tc>
        <w:tc>
          <w:tcPr>
            <w:tcW w:w="2556" w:type="pct"/>
            <w:tcBorders>
              <w:top w:val="nil"/>
              <w:left w:val="single" w:sz="4" w:space="0" w:color="auto"/>
              <w:bottom w:val="nil"/>
              <w:right w:val="nil"/>
            </w:tcBorders>
            <w:vAlign w:val="bottom"/>
          </w:tcPr>
          <w:p w14:paraId="18CA72E2" w14:textId="61250076" w:rsidR="000F62B8" w:rsidRPr="00BF30D3" w:rsidRDefault="000F62B8" w:rsidP="00B13E7F">
            <w:pPr>
              <w:pStyle w:val="TableText"/>
              <w:spacing w:before="0" w:after="120"/>
              <w:rPr>
                <w:rFonts w:cs="Calibri"/>
              </w:rPr>
            </w:pPr>
            <w:r w:rsidRPr="00BF30D3">
              <w:rPr>
                <w:rFonts w:cs="Calibri"/>
                <w:b/>
              </w:rPr>
              <w:t>Investment Properties at Fair Value</w:t>
            </w:r>
          </w:p>
        </w:tc>
        <w:tc>
          <w:tcPr>
            <w:tcW w:w="878" w:type="pct"/>
            <w:gridSpan w:val="4"/>
            <w:tcBorders>
              <w:top w:val="nil"/>
              <w:left w:val="nil"/>
              <w:bottom w:val="nil"/>
              <w:right w:val="nil"/>
            </w:tcBorders>
            <w:vAlign w:val="bottom"/>
          </w:tcPr>
          <w:p w14:paraId="60A2A393" w14:textId="77777777" w:rsidR="000F62B8" w:rsidRPr="00BF30D3" w:rsidRDefault="000F62B8" w:rsidP="00B13E7F">
            <w:pPr>
              <w:pStyle w:val="TableText"/>
              <w:spacing w:before="0" w:after="120"/>
              <w:rPr>
                <w:rFonts w:cs="Calibri"/>
              </w:rPr>
            </w:pPr>
          </w:p>
        </w:tc>
        <w:tc>
          <w:tcPr>
            <w:tcW w:w="823" w:type="pct"/>
            <w:gridSpan w:val="5"/>
            <w:tcBorders>
              <w:top w:val="nil"/>
              <w:left w:val="nil"/>
              <w:bottom w:val="nil"/>
              <w:right w:val="nil"/>
            </w:tcBorders>
            <w:vAlign w:val="bottom"/>
          </w:tcPr>
          <w:p w14:paraId="32FD1686" w14:textId="77777777" w:rsidR="000F62B8" w:rsidRPr="00BF30D3" w:rsidRDefault="000F62B8" w:rsidP="00B13E7F">
            <w:pPr>
              <w:pStyle w:val="TableText"/>
              <w:spacing w:before="0" w:after="120"/>
              <w:rPr>
                <w:rFonts w:cs="Calibri"/>
              </w:rPr>
            </w:pPr>
          </w:p>
        </w:tc>
      </w:tr>
      <w:tr w:rsidR="00BF30D3" w:rsidRPr="00BF30D3" w14:paraId="7F0501D2"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4C71D069" w14:textId="4FF03F91" w:rsidR="000F62B8" w:rsidRPr="00BF30D3" w:rsidRDefault="000F62B8" w:rsidP="00B13E7F">
            <w:pPr>
              <w:pStyle w:val="TableReference"/>
              <w:spacing w:after="40"/>
              <w:rPr>
                <w:rFonts w:cs="Calibri"/>
                <w:color w:val="7030A0"/>
                <w:sz w:val="14"/>
              </w:rPr>
            </w:pPr>
            <w:r w:rsidRPr="00BF30D3">
              <w:rPr>
                <w:rFonts w:cs="Calibri"/>
                <w:color w:val="7030A0"/>
                <w:sz w:val="14"/>
              </w:rPr>
              <w:t>AASB 13.93(a)(b)</w:t>
            </w:r>
          </w:p>
        </w:tc>
        <w:tc>
          <w:tcPr>
            <w:tcW w:w="2556" w:type="pct"/>
            <w:tcBorders>
              <w:top w:val="nil"/>
              <w:left w:val="single" w:sz="4" w:space="0" w:color="auto"/>
              <w:bottom w:val="nil"/>
              <w:right w:val="nil"/>
            </w:tcBorders>
            <w:vAlign w:val="center"/>
          </w:tcPr>
          <w:p w14:paraId="455528AE" w14:textId="3C8C4C2F" w:rsidR="000F62B8" w:rsidRPr="00BF30D3" w:rsidRDefault="000F62B8" w:rsidP="00B13E7F">
            <w:pPr>
              <w:pStyle w:val="TableText"/>
              <w:spacing w:before="0" w:after="40"/>
              <w:rPr>
                <w:rFonts w:cs="Calibri"/>
              </w:rPr>
            </w:pPr>
            <w:r w:rsidRPr="00BF30D3">
              <w:rPr>
                <w:rFonts w:cs="Calibri"/>
              </w:rPr>
              <w:t>Land</w:t>
            </w:r>
          </w:p>
        </w:tc>
        <w:tc>
          <w:tcPr>
            <w:tcW w:w="878" w:type="pct"/>
            <w:gridSpan w:val="4"/>
            <w:tcBorders>
              <w:top w:val="nil"/>
              <w:left w:val="nil"/>
              <w:bottom w:val="nil"/>
              <w:right w:val="nil"/>
            </w:tcBorders>
            <w:vAlign w:val="bottom"/>
          </w:tcPr>
          <w:p w14:paraId="67A54FCC" w14:textId="77777777" w:rsidR="000F62B8" w:rsidRPr="00BF30D3" w:rsidRDefault="000F62B8" w:rsidP="00B13E7F">
            <w:pPr>
              <w:pStyle w:val="TableText"/>
              <w:spacing w:before="0" w:after="40"/>
              <w:rPr>
                <w:rFonts w:cs="Calibri"/>
              </w:rPr>
            </w:pPr>
          </w:p>
        </w:tc>
        <w:tc>
          <w:tcPr>
            <w:tcW w:w="823" w:type="pct"/>
            <w:gridSpan w:val="5"/>
            <w:tcBorders>
              <w:top w:val="nil"/>
              <w:left w:val="nil"/>
              <w:bottom w:val="nil"/>
              <w:right w:val="nil"/>
            </w:tcBorders>
            <w:vAlign w:val="bottom"/>
          </w:tcPr>
          <w:p w14:paraId="4941DE96" w14:textId="77777777" w:rsidR="000F62B8" w:rsidRPr="00BF30D3" w:rsidRDefault="000F62B8" w:rsidP="00B13E7F">
            <w:pPr>
              <w:pStyle w:val="TableText"/>
              <w:spacing w:before="0" w:after="40"/>
              <w:rPr>
                <w:rFonts w:cs="Calibri"/>
              </w:rPr>
            </w:pPr>
          </w:p>
        </w:tc>
      </w:tr>
      <w:tr w:rsidR="00BF30D3" w:rsidRPr="00BF30D3" w14:paraId="7190CAD5"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DFF1D18" w14:textId="6D538D6C" w:rsidR="000F62B8" w:rsidRPr="00BF30D3" w:rsidRDefault="000F62B8" w:rsidP="00B13E7F">
            <w:pPr>
              <w:pStyle w:val="TableReference"/>
              <w:tabs>
                <w:tab w:val="left" w:pos="3306"/>
              </w:tabs>
              <w:spacing w:after="40"/>
              <w:rPr>
                <w:rFonts w:cs="Calibri"/>
                <w:color w:val="7030A0"/>
                <w:sz w:val="14"/>
              </w:rPr>
            </w:pPr>
            <w:r w:rsidRPr="00BF30D3">
              <w:rPr>
                <w:rFonts w:cs="Calibri"/>
                <w:color w:val="7030A0"/>
                <w:sz w:val="14"/>
              </w:rPr>
              <w:t>AASB13.94</w:t>
            </w:r>
          </w:p>
        </w:tc>
        <w:tc>
          <w:tcPr>
            <w:tcW w:w="2556" w:type="pct"/>
            <w:tcBorders>
              <w:top w:val="nil"/>
              <w:left w:val="single" w:sz="4" w:space="0" w:color="auto"/>
              <w:bottom w:val="nil"/>
              <w:right w:val="nil"/>
            </w:tcBorders>
            <w:vAlign w:val="center"/>
          </w:tcPr>
          <w:p w14:paraId="1F0BFE68" w14:textId="39656D15" w:rsidR="000F62B8" w:rsidRPr="00BF30D3" w:rsidRDefault="000F62B8" w:rsidP="00B13E7F">
            <w:pPr>
              <w:pStyle w:val="TableText"/>
              <w:spacing w:before="0" w:after="40"/>
              <w:rPr>
                <w:rFonts w:cs="Calibri"/>
              </w:rPr>
            </w:pPr>
            <w:r w:rsidRPr="00BF30D3">
              <w:rPr>
                <w:rFonts w:cs="Calibri"/>
              </w:rPr>
              <w:t>Buildings</w:t>
            </w:r>
          </w:p>
        </w:tc>
        <w:tc>
          <w:tcPr>
            <w:tcW w:w="878" w:type="pct"/>
            <w:gridSpan w:val="4"/>
            <w:tcBorders>
              <w:top w:val="nil"/>
              <w:left w:val="nil"/>
              <w:bottom w:val="single" w:sz="2" w:space="0" w:color="auto"/>
              <w:right w:val="nil"/>
            </w:tcBorders>
            <w:vAlign w:val="bottom"/>
          </w:tcPr>
          <w:p w14:paraId="681A5AFF" w14:textId="77777777" w:rsidR="000F62B8" w:rsidRPr="00BF30D3" w:rsidRDefault="000F62B8" w:rsidP="00B13E7F">
            <w:pPr>
              <w:pStyle w:val="TableText"/>
              <w:spacing w:before="0" w:after="40"/>
              <w:rPr>
                <w:rFonts w:cs="Calibri"/>
              </w:rPr>
            </w:pPr>
          </w:p>
        </w:tc>
        <w:tc>
          <w:tcPr>
            <w:tcW w:w="823" w:type="pct"/>
            <w:gridSpan w:val="5"/>
            <w:tcBorders>
              <w:top w:val="nil"/>
              <w:left w:val="nil"/>
              <w:bottom w:val="single" w:sz="2" w:space="0" w:color="auto"/>
              <w:right w:val="nil"/>
            </w:tcBorders>
            <w:vAlign w:val="bottom"/>
          </w:tcPr>
          <w:p w14:paraId="68932F77" w14:textId="77777777" w:rsidR="000F62B8" w:rsidRPr="00BF30D3" w:rsidRDefault="000F62B8" w:rsidP="00B13E7F">
            <w:pPr>
              <w:pStyle w:val="TableText"/>
              <w:spacing w:before="0" w:after="40"/>
              <w:rPr>
                <w:rFonts w:cs="Calibri"/>
              </w:rPr>
            </w:pPr>
          </w:p>
        </w:tc>
      </w:tr>
      <w:tr w:rsidR="00BF30D3" w:rsidRPr="00BF30D3" w14:paraId="4D22FC16"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AC24F14" w14:textId="77777777" w:rsidR="000F62B8" w:rsidRPr="00BF30D3" w:rsidRDefault="000F62B8" w:rsidP="001B2A8C">
            <w:pPr>
              <w:pStyle w:val="TableReference"/>
              <w:tabs>
                <w:tab w:val="left" w:pos="3306"/>
              </w:tabs>
              <w:rPr>
                <w:rFonts w:cs="Calibri"/>
                <w:color w:val="7030A0"/>
                <w:sz w:val="14"/>
              </w:rPr>
            </w:pPr>
          </w:p>
        </w:tc>
        <w:tc>
          <w:tcPr>
            <w:tcW w:w="2556" w:type="pct"/>
            <w:tcBorders>
              <w:top w:val="nil"/>
              <w:left w:val="single" w:sz="4" w:space="0" w:color="auto"/>
              <w:bottom w:val="nil"/>
              <w:right w:val="nil"/>
            </w:tcBorders>
            <w:vAlign w:val="bottom"/>
          </w:tcPr>
          <w:p w14:paraId="6B609C49" w14:textId="77777777" w:rsidR="000F62B8" w:rsidRPr="00BF30D3" w:rsidRDefault="000F62B8" w:rsidP="001B2A8C">
            <w:pPr>
              <w:pStyle w:val="TableText"/>
              <w:spacing w:before="0"/>
              <w:rPr>
                <w:rFonts w:cs="Calibri"/>
              </w:rPr>
            </w:pPr>
          </w:p>
        </w:tc>
        <w:tc>
          <w:tcPr>
            <w:tcW w:w="878" w:type="pct"/>
            <w:gridSpan w:val="4"/>
            <w:tcBorders>
              <w:top w:val="single" w:sz="2" w:space="0" w:color="auto"/>
              <w:left w:val="nil"/>
              <w:bottom w:val="double" w:sz="4" w:space="0" w:color="auto"/>
              <w:right w:val="nil"/>
            </w:tcBorders>
            <w:vAlign w:val="bottom"/>
          </w:tcPr>
          <w:p w14:paraId="06A0D59C" w14:textId="77777777" w:rsidR="000F62B8" w:rsidRPr="00BF30D3" w:rsidRDefault="000F62B8" w:rsidP="001B2A8C">
            <w:pPr>
              <w:pStyle w:val="TableText"/>
              <w:spacing w:before="0"/>
              <w:rPr>
                <w:rFonts w:cs="Calibri"/>
              </w:rPr>
            </w:pPr>
          </w:p>
        </w:tc>
        <w:tc>
          <w:tcPr>
            <w:tcW w:w="823" w:type="pct"/>
            <w:gridSpan w:val="5"/>
            <w:tcBorders>
              <w:top w:val="single" w:sz="2" w:space="0" w:color="auto"/>
              <w:left w:val="nil"/>
              <w:bottom w:val="double" w:sz="4" w:space="0" w:color="auto"/>
              <w:right w:val="nil"/>
            </w:tcBorders>
            <w:vAlign w:val="bottom"/>
          </w:tcPr>
          <w:p w14:paraId="2FAAF919" w14:textId="77777777" w:rsidR="000F62B8" w:rsidRPr="00BF30D3" w:rsidRDefault="000F62B8" w:rsidP="001B2A8C">
            <w:pPr>
              <w:pStyle w:val="TableText"/>
              <w:spacing w:before="0"/>
              <w:rPr>
                <w:rFonts w:cs="Calibri"/>
              </w:rPr>
            </w:pPr>
          </w:p>
        </w:tc>
      </w:tr>
      <w:tr w:rsidR="00F15CC8" w:rsidRPr="00BF30D3" w14:paraId="2C29870A"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1C95F198" w14:textId="77777777" w:rsidR="00F15CC8" w:rsidRPr="00BF30D3" w:rsidRDefault="00F15CC8" w:rsidP="00B13E7F">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vAlign w:val="bottom"/>
          </w:tcPr>
          <w:p w14:paraId="30A1042A" w14:textId="77777777" w:rsidR="00F15CC8" w:rsidRPr="00BF30D3" w:rsidRDefault="00F15CC8" w:rsidP="00B13E7F">
            <w:pPr>
              <w:pStyle w:val="TableText"/>
              <w:spacing w:before="0" w:after="120"/>
              <w:rPr>
                <w:rFonts w:cs="Calibri"/>
              </w:rPr>
            </w:pPr>
          </w:p>
        </w:tc>
      </w:tr>
      <w:tr w:rsidR="00F15CC8" w:rsidRPr="00980416" w14:paraId="7889621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22DC72F" w14:textId="77777777" w:rsidR="00F15CC8" w:rsidRPr="00BF30D3" w:rsidRDefault="00F15CC8" w:rsidP="00B13E7F">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vAlign w:val="bottom"/>
          </w:tcPr>
          <w:p w14:paraId="0DE07F89" w14:textId="34C842D8" w:rsidR="00F15CC8" w:rsidRPr="00BF30D3" w:rsidRDefault="00F15CC8" w:rsidP="00B13E7F">
            <w:pPr>
              <w:pStyle w:val="TableText"/>
              <w:spacing w:before="0" w:after="120"/>
              <w:rPr>
                <w:rFonts w:cs="Calibri"/>
              </w:rPr>
            </w:pPr>
            <w:r w:rsidRPr="00BF30D3">
              <w:rPr>
                <w:rFonts w:cs="Calibri"/>
                <w:b/>
                <w:bCs/>
              </w:rPr>
              <w:t>Transfers Between Categories</w:t>
            </w:r>
          </w:p>
        </w:tc>
      </w:tr>
      <w:tr w:rsidR="00BF30D3" w:rsidRPr="00BF30D3" w14:paraId="50DF635B"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3FC72A71" w14:textId="77777777" w:rsidR="00B13E7F" w:rsidRPr="00BF30D3" w:rsidRDefault="00B13E7F" w:rsidP="00B13E7F">
            <w:pPr>
              <w:pStyle w:val="TableReference"/>
              <w:rPr>
                <w:rFonts w:cs="Calibri"/>
                <w:color w:val="7030A0"/>
                <w:sz w:val="14"/>
              </w:rPr>
            </w:pPr>
          </w:p>
        </w:tc>
        <w:tc>
          <w:tcPr>
            <w:tcW w:w="4257" w:type="pct"/>
            <w:gridSpan w:val="10"/>
            <w:tcBorders>
              <w:top w:val="nil"/>
              <w:left w:val="single" w:sz="4" w:space="0" w:color="auto"/>
              <w:bottom w:val="nil"/>
              <w:right w:val="nil"/>
            </w:tcBorders>
          </w:tcPr>
          <w:p w14:paraId="56B3F589" w14:textId="608C960E" w:rsidR="00B13E7F" w:rsidRPr="00BF30D3" w:rsidRDefault="001B2A8C" w:rsidP="001B2A8C">
            <w:pPr>
              <w:rPr>
                <w:b/>
                <w:sz w:val="18"/>
                <w:szCs w:val="18"/>
              </w:rPr>
            </w:pPr>
            <w:r w:rsidRPr="00BF30D3">
              <w:rPr>
                <w:rFonts w:cs="Calibri"/>
                <w:sz w:val="18"/>
                <w:szCs w:val="18"/>
              </w:rPr>
              <w:t>There have been no transfers between Levels 1, 2 and 3 during the current and previous reporting period.</w:t>
            </w:r>
          </w:p>
        </w:tc>
      </w:tr>
      <w:tr w:rsidR="00BF30D3" w:rsidRPr="00BF30D3" w14:paraId="1C7D6863"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3389E107" w14:textId="77777777" w:rsidR="00B13E7F" w:rsidRPr="009E6A89" w:rsidRDefault="00B13E7F" w:rsidP="00B13E7F">
            <w:pPr>
              <w:pStyle w:val="TableReference"/>
              <w:rPr>
                <w:rFonts w:cs="Calibri"/>
                <w:color w:val="auto"/>
                <w:sz w:val="14"/>
              </w:rPr>
            </w:pPr>
          </w:p>
        </w:tc>
        <w:tc>
          <w:tcPr>
            <w:tcW w:w="4257" w:type="pct"/>
            <w:gridSpan w:val="10"/>
            <w:tcBorders>
              <w:top w:val="nil"/>
              <w:left w:val="single" w:sz="4" w:space="0" w:color="auto"/>
              <w:bottom w:val="nil"/>
              <w:right w:val="nil"/>
            </w:tcBorders>
            <w:vAlign w:val="bottom"/>
          </w:tcPr>
          <w:p w14:paraId="4B8A8782" w14:textId="77777777" w:rsidR="00B13E7F" w:rsidRPr="00BF30D3" w:rsidRDefault="00B13E7F" w:rsidP="00B13E7F">
            <w:pPr>
              <w:jc w:val="center"/>
              <w:rPr>
                <w:b/>
                <w:sz w:val="18"/>
                <w:szCs w:val="18"/>
              </w:rPr>
            </w:pPr>
          </w:p>
        </w:tc>
      </w:tr>
      <w:tr w:rsidR="000F62B8" w:rsidRPr="00EA2AC3" w14:paraId="378545BD"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4D246B30" w14:textId="77777777" w:rsidR="000F62B8" w:rsidRPr="00BF30D3" w:rsidRDefault="000F62B8" w:rsidP="000F62B8">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tcPr>
          <w:p w14:paraId="0930FDCD" w14:textId="77777777" w:rsidR="000F62B8" w:rsidRPr="00BF30D3" w:rsidRDefault="000F62B8" w:rsidP="000F62B8">
            <w:pPr>
              <w:pStyle w:val="TableText"/>
              <w:spacing w:before="0" w:after="40"/>
              <w:rPr>
                <w:rFonts w:cs="Calibri"/>
                <w:b/>
              </w:rPr>
            </w:pPr>
            <w:r w:rsidRPr="00BF30D3">
              <w:rPr>
                <w:rFonts w:cs="Calibri"/>
                <w:b/>
              </w:rPr>
              <w:t>Level 2 Valuation Inputs</w:t>
            </w:r>
          </w:p>
        </w:tc>
      </w:tr>
      <w:tr w:rsidR="000F62B8" w:rsidRPr="00EA2AC3" w14:paraId="60EB232F"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0ED13A35" w14:textId="77777777" w:rsidR="000F62B8" w:rsidRPr="00BF30D3" w:rsidRDefault="000F62B8" w:rsidP="000F62B8">
            <w:pPr>
              <w:pStyle w:val="TableReference"/>
              <w:tabs>
                <w:tab w:val="left" w:pos="3306"/>
              </w:tabs>
              <w:spacing w:before="40"/>
              <w:rPr>
                <w:rFonts w:cs="Calibri"/>
                <w:color w:val="7030A0"/>
                <w:sz w:val="14"/>
              </w:rPr>
            </w:pPr>
            <w:r w:rsidRPr="00BF30D3">
              <w:rPr>
                <w:rFonts w:cs="Calibri"/>
                <w:color w:val="7030A0"/>
                <w:sz w:val="14"/>
              </w:rPr>
              <w:t>AASB 13.91(a) &amp; 93(d)</w:t>
            </w:r>
          </w:p>
        </w:tc>
        <w:tc>
          <w:tcPr>
            <w:tcW w:w="4257" w:type="pct"/>
            <w:gridSpan w:val="10"/>
            <w:tcBorders>
              <w:top w:val="nil"/>
              <w:left w:val="single" w:sz="4" w:space="0" w:color="auto"/>
              <w:bottom w:val="nil"/>
              <w:right w:val="nil"/>
            </w:tcBorders>
          </w:tcPr>
          <w:p w14:paraId="0BB2AEDE" w14:textId="595AECF9" w:rsidR="000F62B8" w:rsidRPr="00BF30D3" w:rsidRDefault="000F62B8" w:rsidP="000F62B8">
            <w:pPr>
              <w:pStyle w:val="TableText"/>
              <w:spacing w:before="0" w:after="40"/>
              <w:jc w:val="both"/>
              <w:rPr>
                <w:rFonts w:cs="Calibri"/>
              </w:rPr>
            </w:pPr>
            <w:r w:rsidRPr="00BF30D3">
              <w:rPr>
                <w:rFonts w:cs="Calibri"/>
              </w:rPr>
              <w:t>Valuation Technique: The valuation technique used to value land and buildings is the market approach that reflects recent transaction prices for similar properties.</w:t>
            </w:r>
            <w:r w:rsidR="00FA7C77">
              <w:rPr>
                <w:rFonts w:cs="Calibri"/>
              </w:rPr>
              <w:t xml:space="preserve"> </w:t>
            </w:r>
          </w:p>
        </w:tc>
      </w:tr>
      <w:tr w:rsidR="000F62B8" w:rsidRPr="00EA2AC3" w14:paraId="19A864A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37B1A62E" w14:textId="77777777" w:rsidR="000F62B8" w:rsidRPr="00BF30D3" w:rsidRDefault="000F62B8" w:rsidP="000F62B8">
            <w:pPr>
              <w:pStyle w:val="TableReference"/>
              <w:tabs>
                <w:tab w:val="left" w:pos="3306"/>
              </w:tabs>
              <w:spacing w:before="40"/>
              <w:rPr>
                <w:rFonts w:cs="Calibri"/>
                <w:color w:val="7030A0"/>
                <w:sz w:val="14"/>
              </w:rPr>
            </w:pPr>
            <w:r w:rsidRPr="00BF30D3">
              <w:rPr>
                <w:rFonts w:cs="Calibri"/>
                <w:color w:val="7030A0"/>
                <w:sz w:val="14"/>
              </w:rPr>
              <w:t>AASB 13.91(a) &amp; 93(d)</w:t>
            </w:r>
          </w:p>
        </w:tc>
        <w:tc>
          <w:tcPr>
            <w:tcW w:w="4257" w:type="pct"/>
            <w:gridSpan w:val="10"/>
            <w:tcBorders>
              <w:top w:val="nil"/>
              <w:left w:val="single" w:sz="4" w:space="0" w:color="auto"/>
              <w:bottom w:val="nil"/>
              <w:right w:val="nil"/>
            </w:tcBorders>
          </w:tcPr>
          <w:p w14:paraId="3540FFF7" w14:textId="77777777" w:rsidR="000F62B8" w:rsidRPr="00BF30D3" w:rsidRDefault="000F62B8" w:rsidP="000F62B8">
            <w:pPr>
              <w:pStyle w:val="TableText"/>
              <w:spacing w:before="0" w:after="120"/>
              <w:jc w:val="both"/>
            </w:pPr>
            <w:r w:rsidRPr="00BF30D3">
              <w:rPr>
                <w:rFonts w:cs="Calibri"/>
              </w:rPr>
              <w:t>Inputs: Prices and other relevant information generated by market transactions involving comparable land and buildings were considered. Regard was taken of the Crown Lease terms and tenure, The Australian Capital Territory Plan and the National Capital Plan, where applicable as well as current zoning.</w:t>
            </w:r>
          </w:p>
        </w:tc>
      </w:tr>
      <w:tr w:rsidR="000F62B8" w:rsidRPr="00EA2AC3" w14:paraId="1F014818"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4C969CCB" w14:textId="77777777" w:rsidR="000F62B8" w:rsidRPr="00BF30D3" w:rsidRDefault="000F62B8" w:rsidP="000F62B8">
            <w:pPr>
              <w:pStyle w:val="TableReference"/>
              <w:tabs>
                <w:tab w:val="left" w:pos="3306"/>
              </w:tabs>
              <w:spacing w:before="40"/>
              <w:rPr>
                <w:rFonts w:cs="Calibri"/>
                <w:color w:val="7030A0"/>
                <w:sz w:val="14"/>
              </w:rPr>
            </w:pPr>
          </w:p>
        </w:tc>
        <w:tc>
          <w:tcPr>
            <w:tcW w:w="4257" w:type="pct"/>
            <w:gridSpan w:val="10"/>
            <w:tcBorders>
              <w:top w:val="nil"/>
              <w:left w:val="single" w:sz="4" w:space="0" w:color="auto"/>
              <w:bottom w:val="nil"/>
              <w:right w:val="nil"/>
            </w:tcBorders>
          </w:tcPr>
          <w:p w14:paraId="4909FB7A" w14:textId="4228E84C" w:rsidR="000F62B8" w:rsidRPr="00BF30D3" w:rsidRDefault="000F62B8" w:rsidP="000F62B8">
            <w:pPr>
              <w:pStyle w:val="TableText"/>
              <w:spacing w:before="0" w:after="40"/>
              <w:jc w:val="both"/>
              <w:rPr>
                <w:rFonts w:cs="Calibri"/>
                <w:b/>
                <w:bCs/>
              </w:rPr>
            </w:pPr>
            <w:r w:rsidRPr="00BF30D3">
              <w:rPr>
                <w:b/>
                <w:bCs/>
              </w:rPr>
              <w:t>Maturity Analysis</w:t>
            </w:r>
          </w:p>
        </w:tc>
      </w:tr>
      <w:tr w:rsidR="000F62B8" w:rsidRPr="00EA2AC3" w14:paraId="0D27A7FC"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4586F64" w14:textId="68FC7830" w:rsidR="000F62B8" w:rsidRPr="00BF30D3" w:rsidRDefault="000F62B8" w:rsidP="000F62B8">
            <w:pPr>
              <w:pStyle w:val="TableReference"/>
              <w:tabs>
                <w:tab w:val="left" w:pos="3306"/>
              </w:tabs>
              <w:spacing w:before="40"/>
              <w:rPr>
                <w:rFonts w:cs="Calibri"/>
                <w:color w:val="7030A0"/>
                <w:sz w:val="14"/>
              </w:rPr>
            </w:pPr>
            <w:r w:rsidRPr="00BF30D3">
              <w:rPr>
                <w:rFonts w:cs="Calibri"/>
                <w:color w:val="7030A0"/>
                <w:sz w:val="14"/>
              </w:rPr>
              <w:t>AASB 16.97</w:t>
            </w:r>
          </w:p>
        </w:tc>
        <w:tc>
          <w:tcPr>
            <w:tcW w:w="4257" w:type="pct"/>
            <w:gridSpan w:val="10"/>
            <w:tcBorders>
              <w:top w:val="nil"/>
              <w:left w:val="single" w:sz="4" w:space="0" w:color="auto"/>
              <w:bottom w:val="nil"/>
              <w:right w:val="nil"/>
            </w:tcBorders>
          </w:tcPr>
          <w:p w14:paraId="7FB63BF8" w14:textId="1B0D6548" w:rsidR="000F62B8" w:rsidRPr="00BF30D3" w:rsidRDefault="000F62B8" w:rsidP="000F62B8">
            <w:pPr>
              <w:pStyle w:val="TableText"/>
              <w:spacing w:before="0" w:after="120"/>
              <w:jc w:val="both"/>
              <w:rPr>
                <w:rFonts w:cs="Calibri"/>
              </w:rPr>
            </w:pPr>
            <w:r w:rsidRPr="00BF30D3">
              <w:t>Maturity analysis of the undiscounted lease payments to be received after reporting date for operating leases:</w:t>
            </w:r>
          </w:p>
        </w:tc>
      </w:tr>
      <w:tr w:rsidR="000F62B8" w:rsidRPr="00EA2AC3" w14:paraId="3AFBFD16"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3A74A17" w14:textId="77777777" w:rsidR="000F62B8" w:rsidRPr="00BF30D3" w:rsidRDefault="000F62B8" w:rsidP="000F62B8">
            <w:pPr>
              <w:pStyle w:val="TableReference"/>
              <w:tabs>
                <w:tab w:val="left" w:pos="3306"/>
              </w:tabs>
              <w:rPr>
                <w:rFonts w:cs="Calibri"/>
                <w:color w:val="7030A0"/>
                <w:sz w:val="14"/>
              </w:rPr>
            </w:pPr>
          </w:p>
        </w:tc>
        <w:tc>
          <w:tcPr>
            <w:tcW w:w="2568" w:type="pct"/>
            <w:gridSpan w:val="2"/>
            <w:tcBorders>
              <w:top w:val="nil"/>
              <w:left w:val="single" w:sz="4" w:space="0" w:color="auto"/>
              <w:bottom w:val="nil"/>
              <w:right w:val="nil"/>
            </w:tcBorders>
          </w:tcPr>
          <w:p w14:paraId="53D22640" w14:textId="77777777" w:rsidR="000F62B8" w:rsidRPr="00BF30D3" w:rsidRDefault="000F62B8" w:rsidP="000F62B8">
            <w:pPr>
              <w:pStyle w:val="TableText"/>
              <w:spacing w:before="0"/>
              <w:jc w:val="both"/>
              <w:rPr>
                <w:rFonts w:cstheme="minorHAnsi"/>
              </w:rPr>
            </w:pPr>
          </w:p>
        </w:tc>
        <w:tc>
          <w:tcPr>
            <w:tcW w:w="1067" w:type="pct"/>
            <w:gridSpan w:val="4"/>
            <w:tcBorders>
              <w:top w:val="nil"/>
              <w:left w:val="nil"/>
              <w:bottom w:val="nil"/>
              <w:right w:val="nil"/>
            </w:tcBorders>
            <w:vAlign w:val="center"/>
          </w:tcPr>
          <w:p w14:paraId="4012538B" w14:textId="22D0FA7F" w:rsidR="000F62B8" w:rsidRPr="00BF30D3" w:rsidRDefault="000F62B8" w:rsidP="000F62B8">
            <w:pPr>
              <w:pStyle w:val="TableTitle"/>
              <w:tabs>
                <w:tab w:val="left" w:pos="3306"/>
              </w:tabs>
              <w:rPr>
                <w:rFonts w:cs="Calibri"/>
              </w:rPr>
            </w:pPr>
            <w:r w:rsidRPr="00BF30D3">
              <w:rPr>
                <w:rFonts w:cs="Calibri"/>
              </w:rPr>
              <w:t>2022</w:t>
            </w:r>
          </w:p>
        </w:tc>
        <w:tc>
          <w:tcPr>
            <w:tcW w:w="622" w:type="pct"/>
            <w:gridSpan w:val="4"/>
            <w:tcBorders>
              <w:top w:val="nil"/>
              <w:left w:val="nil"/>
              <w:bottom w:val="nil"/>
              <w:right w:val="nil"/>
            </w:tcBorders>
            <w:vAlign w:val="center"/>
          </w:tcPr>
          <w:p w14:paraId="1A1BE3B9" w14:textId="2052C1B2" w:rsidR="000F62B8" w:rsidRPr="00BF30D3" w:rsidRDefault="000F62B8" w:rsidP="000F62B8">
            <w:pPr>
              <w:pStyle w:val="TableTitle"/>
              <w:tabs>
                <w:tab w:val="left" w:pos="3306"/>
              </w:tabs>
              <w:rPr>
                <w:rFonts w:cs="Calibri"/>
              </w:rPr>
            </w:pPr>
            <w:r w:rsidRPr="00BF30D3">
              <w:rPr>
                <w:rFonts w:cs="Calibri"/>
              </w:rPr>
              <w:t>2021</w:t>
            </w:r>
          </w:p>
        </w:tc>
      </w:tr>
      <w:tr w:rsidR="000F62B8" w:rsidRPr="00EA2AC3" w14:paraId="7BF8A297"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1D81F1E1" w14:textId="77777777" w:rsidR="000F62B8" w:rsidRPr="00BF30D3" w:rsidRDefault="000F62B8" w:rsidP="000F62B8">
            <w:pPr>
              <w:pStyle w:val="TableReference"/>
              <w:tabs>
                <w:tab w:val="left" w:pos="3306"/>
              </w:tabs>
              <w:rPr>
                <w:rFonts w:cs="Calibri"/>
                <w:color w:val="7030A0"/>
                <w:sz w:val="14"/>
              </w:rPr>
            </w:pPr>
          </w:p>
        </w:tc>
        <w:tc>
          <w:tcPr>
            <w:tcW w:w="2568" w:type="pct"/>
            <w:gridSpan w:val="2"/>
            <w:tcBorders>
              <w:top w:val="nil"/>
              <w:left w:val="single" w:sz="4" w:space="0" w:color="auto"/>
              <w:bottom w:val="nil"/>
              <w:right w:val="nil"/>
            </w:tcBorders>
          </w:tcPr>
          <w:p w14:paraId="1D29063A" w14:textId="77777777" w:rsidR="000F62B8" w:rsidRPr="00BF30D3" w:rsidRDefault="000F62B8" w:rsidP="000F62B8">
            <w:pPr>
              <w:pStyle w:val="TableText"/>
              <w:spacing w:before="0"/>
              <w:jc w:val="both"/>
              <w:rPr>
                <w:rFonts w:cstheme="minorHAnsi"/>
              </w:rPr>
            </w:pPr>
          </w:p>
        </w:tc>
        <w:tc>
          <w:tcPr>
            <w:tcW w:w="1067" w:type="pct"/>
            <w:gridSpan w:val="4"/>
            <w:tcBorders>
              <w:top w:val="nil"/>
              <w:left w:val="nil"/>
              <w:bottom w:val="nil"/>
              <w:right w:val="nil"/>
            </w:tcBorders>
          </w:tcPr>
          <w:p w14:paraId="49E0AF78" w14:textId="27CF5DF8" w:rsidR="000F62B8" w:rsidRPr="00BF30D3" w:rsidRDefault="000F62B8" w:rsidP="000F62B8">
            <w:pPr>
              <w:pStyle w:val="TableText"/>
              <w:spacing w:before="0"/>
              <w:jc w:val="right"/>
              <w:rPr>
                <w:rFonts w:cs="Calibri"/>
              </w:rPr>
            </w:pPr>
            <w:r w:rsidRPr="00BF30D3">
              <w:rPr>
                <w:b/>
              </w:rPr>
              <w:t>$’000</w:t>
            </w:r>
          </w:p>
        </w:tc>
        <w:tc>
          <w:tcPr>
            <w:tcW w:w="622" w:type="pct"/>
            <w:gridSpan w:val="4"/>
            <w:tcBorders>
              <w:top w:val="nil"/>
              <w:left w:val="nil"/>
              <w:bottom w:val="nil"/>
              <w:right w:val="nil"/>
            </w:tcBorders>
          </w:tcPr>
          <w:p w14:paraId="4BB8649C" w14:textId="05F5E313" w:rsidR="000F62B8" w:rsidRPr="00BF30D3" w:rsidRDefault="000F62B8" w:rsidP="000F62B8">
            <w:pPr>
              <w:pStyle w:val="TableText"/>
              <w:spacing w:before="0"/>
              <w:jc w:val="right"/>
              <w:rPr>
                <w:rFonts w:cs="Calibri"/>
              </w:rPr>
            </w:pPr>
            <w:r w:rsidRPr="00BF30D3">
              <w:rPr>
                <w:b/>
              </w:rPr>
              <w:t>$’000</w:t>
            </w:r>
          </w:p>
        </w:tc>
      </w:tr>
      <w:tr w:rsidR="000F62B8" w:rsidRPr="00EA2AC3" w14:paraId="42979669"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6E31BD3" w14:textId="77777777" w:rsidR="000F62B8" w:rsidRPr="00BF30D3" w:rsidRDefault="000F62B8" w:rsidP="000F62B8">
            <w:pPr>
              <w:pStyle w:val="TableReference"/>
              <w:tabs>
                <w:tab w:val="left" w:pos="3306"/>
              </w:tabs>
              <w:rPr>
                <w:rFonts w:cs="Calibri"/>
                <w:color w:val="7030A0"/>
                <w:sz w:val="14"/>
              </w:rPr>
            </w:pPr>
          </w:p>
        </w:tc>
        <w:tc>
          <w:tcPr>
            <w:tcW w:w="2568" w:type="pct"/>
            <w:gridSpan w:val="2"/>
            <w:tcBorders>
              <w:top w:val="nil"/>
              <w:left w:val="single" w:sz="4" w:space="0" w:color="auto"/>
              <w:bottom w:val="nil"/>
              <w:right w:val="nil"/>
            </w:tcBorders>
          </w:tcPr>
          <w:p w14:paraId="0C91734E" w14:textId="481F4DAF" w:rsidR="000F62B8" w:rsidRPr="00BF30D3" w:rsidRDefault="000F62B8" w:rsidP="000F62B8">
            <w:pPr>
              <w:pStyle w:val="TableText"/>
              <w:spacing w:before="0" w:after="40"/>
              <w:jc w:val="both"/>
              <w:rPr>
                <w:rFonts w:cs="Calibri"/>
              </w:rPr>
            </w:pPr>
            <w:r w:rsidRPr="00BF30D3">
              <w:rPr>
                <w:rFonts w:cstheme="minorHAnsi"/>
              </w:rPr>
              <w:t>&lt; 1 year</w:t>
            </w:r>
          </w:p>
        </w:tc>
        <w:tc>
          <w:tcPr>
            <w:tcW w:w="1067" w:type="pct"/>
            <w:gridSpan w:val="4"/>
            <w:tcBorders>
              <w:top w:val="nil"/>
              <w:left w:val="nil"/>
              <w:bottom w:val="nil"/>
              <w:right w:val="nil"/>
            </w:tcBorders>
          </w:tcPr>
          <w:p w14:paraId="43011E39"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01AF713B" w14:textId="246D34DB" w:rsidR="000F62B8" w:rsidRPr="00BF30D3" w:rsidRDefault="000F62B8" w:rsidP="000F62B8">
            <w:pPr>
              <w:pStyle w:val="TableText"/>
              <w:spacing w:before="0"/>
              <w:jc w:val="both"/>
              <w:rPr>
                <w:rFonts w:cs="Calibri"/>
              </w:rPr>
            </w:pPr>
          </w:p>
        </w:tc>
      </w:tr>
      <w:tr w:rsidR="000F62B8" w:rsidRPr="00EA2AC3" w14:paraId="79F93D4E" w14:textId="77777777" w:rsidTr="002A16D9">
        <w:tblPrEx>
          <w:jc w:val="right"/>
        </w:tblPrEx>
        <w:trPr>
          <w:cantSplit/>
          <w:trHeight w:val="186"/>
          <w:jc w:val="right"/>
        </w:trPr>
        <w:tc>
          <w:tcPr>
            <w:tcW w:w="743" w:type="pct"/>
            <w:tcBorders>
              <w:top w:val="nil"/>
              <w:left w:val="single" w:sz="4" w:space="0" w:color="auto"/>
              <w:bottom w:val="nil"/>
              <w:right w:val="single" w:sz="4" w:space="0" w:color="auto"/>
            </w:tcBorders>
          </w:tcPr>
          <w:p w14:paraId="61019E4D" w14:textId="77777777" w:rsidR="000F62B8" w:rsidRPr="00BF30D3" w:rsidRDefault="000F62B8" w:rsidP="000F62B8">
            <w:pPr>
              <w:pStyle w:val="TableReference"/>
              <w:tabs>
                <w:tab w:val="left" w:pos="3306"/>
              </w:tabs>
              <w:rPr>
                <w:rFonts w:cs="Calibri"/>
                <w:color w:val="7030A0"/>
                <w:sz w:val="14"/>
              </w:rPr>
            </w:pPr>
          </w:p>
        </w:tc>
        <w:tc>
          <w:tcPr>
            <w:tcW w:w="2568" w:type="pct"/>
            <w:gridSpan w:val="2"/>
            <w:tcBorders>
              <w:top w:val="nil"/>
              <w:left w:val="single" w:sz="4" w:space="0" w:color="auto"/>
              <w:bottom w:val="nil"/>
              <w:right w:val="nil"/>
            </w:tcBorders>
          </w:tcPr>
          <w:p w14:paraId="1622E431" w14:textId="5C0625ED" w:rsidR="000F62B8" w:rsidRPr="00BF30D3" w:rsidRDefault="000F62B8" w:rsidP="000F62B8">
            <w:pPr>
              <w:pStyle w:val="TableText"/>
              <w:spacing w:before="0" w:after="40"/>
              <w:jc w:val="both"/>
              <w:rPr>
                <w:rFonts w:cs="Calibri"/>
              </w:rPr>
            </w:pPr>
            <w:r w:rsidRPr="00BF30D3">
              <w:rPr>
                <w:rFonts w:cstheme="minorHAnsi"/>
              </w:rPr>
              <w:t>Between 1 – 2 years</w:t>
            </w:r>
          </w:p>
        </w:tc>
        <w:tc>
          <w:tcPr>
            <w:tcW w:w="1067" w:type="pct"/>
            <w:gridSpan w:val="4"/>
            <w:tcBorders>
              <w:top w:val="nil"/>
              <w:left w:val="nil"/>
              <w:bottom w:val="nil"/>
              <w:right w:val="nil"/>
            </w:tcBorders>
          </w:tcPr>
          <w:p w14:paraId="5398E02D"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2ADCF6EA" w14:textId="77777777" w:rsidR="000F62B8" w:rsidRPr="00BF30D3" w:rsidRDefault="000F62B8" w:rsidP="000F62B8">
            <w:pPr>
              <w:pStyle w:val="TableText"/>
              <w:spacing w:before="0"/>
              <w:jc w:val="both"/>
              <w:rPr>
                <w:rFonts w:cs="Calibri"/>
              </w:rPr>
            </w:pPr>
          </w:p>
        </w:tc>
      </w:tr>
      <w:tr w:rsidR="000F62B8" w:rsidRPr="00EA2AC3" w14:paraId="48102A83"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6E6E1F1" w14:textId="77777777" w:rsidR="000F62B8" w:rsidRPr="00BF30D3" w:rsidRDefault="000F62B8" w:rsidP="000F62B8">
            <w:pPr>
              <w:pStyle w:val="TableReference"/>
              <w:tabs>
                <w:tab w:val="left" w:pos="3306"/>
              </w:tabs>
              <w:rPr>
                <w:rFonts w:cs="Calibri"/>
                <w:color w:val="7030A0"/>
                <w:sz w:val="14"/>
              </w:rPr>
            </w:pPr>
          </w:p>
        </w:tc>
        <w:tc>
          <w:tcPr>
            <w:tcW w:w="2568" w:type="pct"/>
            <w:gridSpan w:val="2"/>
            <w:tcBorders>
              <w:top w:val="nil"/>
              <w:left w:val="single" w:sz="4" w:space="0" w:color="auto"/>
              <w:bottom w:val="nil"/>
              <w:right w:val="nil"/>
            </w:tcBorders>
          </w:tcPr>
          <w:p w14:paraId="7276C386" w14:textId="7BA5B9CC" w:rsidR="000F62B8" w:rsidRPr="00BF30D3" w:rsidRDefault="000F62B8" w:rsidP="000F62B8">
            <w:pPr>
              <w:pStyle w:val="TableText"/>
              <w:spacing w:before="0" w:after="40"/>
              <w:jc w:val="both"/>
              <w:rPr>
                <w:rFonts w:cs="Calibri"/>
              </w:rPr>
            </w:pPr>
            <w:r w:rsidRPr="00BF30D3">
              <w:rPr>
                <w:rFonts w:cstheme="minorHAnsi"/>
              </w:rPr>
              <w:t>Between 2 – 3 years</w:t>
            </w:r>
          </w:p>
        </w:tc>
        <w:tc>
          <w:tcPr>
            <w:tcW w:w="1067" w:type="pct"/>
            <w:gridSpan w:val="4"/>
            <w:tcBorders>
              <w:top w:val="nil"/>
              <w:left w:val="nil"/>
              <w:bottom w:val="nil"/>
              <w:right w:val="nil"/>
            </w:tcBorders>
          </w:tcPr>
          <w:p w14:paraId="5137D7E0"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6661914D" w14:textId="77777777" w:rsidR="000F62B8" w:rsidRPr="00BF30D3" w:rsidRDefault="000F62B8" w:rsidP="000F62B8">
            <w:pPr>
              <w:pStyle w:val="TableText"/>
              <w:spacing w:before="0"/>
              <w:jc w:val="both"/>
              <w:rPr>
                <w:rFonts w:cs="Calibri"/>
              </w:rPr>
            </w:pPr>
          </w:p>
        </w:tc>
      </w:tr>
      <w:tr w:rsidR="000F62B8" w:rsidRPr="00EA2AC3" w14:paraId="1861014F"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1EF7EA7B" w14:textId="77777777" w:rsidR="000F62B8" w:rsidRPr="00BF30D3" w:rsidRDefault="000F62B8" w:rsidP="000F62B8">
            <w:pPr>
              <w:pStyle w:val="TableReference"/>
              <w:tabs>
                <w:tab w:val="left" w:pos="3306"/>
              </w:tabs>
              <w:rPr>
                <w:rFonts w:cs="Calibri"/>
                <w:color w:val="7030A0"/>
                <w:sz w:val="14"/>
              </w:rPr>
            </w:pPr>
          </w:p>
        </w:tc>
        <w:tc>
          <w:tcPr>
            <w:tcW w:w="2568" w:type="pct"/>
            <w:gridSpan w:val="2"/>
            <w:tcBorders>
              <w:top w:val="nil"/>
              <w:left w:val="single" w:sz="4" w:space="0" w:color="auto"/>
              <w:bottom w:val="nil"/>
              <w:right w:val="nil"/>
            </w:tcBorders>
          </w:tcPr>
          <w:p w14:paraId="27EB218A" w14:textId="693E3C04" w:rsidR="000F62B8" w:rsidRPr="00BF30D3" w:rsidRDefault="000F62B8" w:rsidP="000F62B8">
            <w:pPr>
              <w:pStyle w:val="TableText"/>
              <w:spacing w:before="0" w:after="40"/>
              <w:jc w:val="both"/>
              <w:rPr>
                <w:rFonts w:cs="Calibri"/>
              </w:rPr>
            </w:pPr>
            <w:r w:rsidRPr="00BF30D3">
              <w:rPr>
                <w:rFonts w:cstheme="minorHAnsi"/>
              </w:rPr>
              <w:t>Between 3 – 4 years</w:t>
            </w:r>
          </w:p>
        </w:tc>
        <w:tc>
          <w:tcPr>
            <w:tcW w:w="1067" w:type="pct"/>
            <w:gridSpan w:val="4"/>
            <w:tcBorders>
              <w:top w:val="nil"/>
              <w:left w:val="nil"/>
              <w:bottom w:val="nil"/>
              <w:right w:val="nil"/>
            </w:tcBorders>
          </w:tcPr>
          <w:p w14:paraId="02726F19"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7B1CBBE4" w14:textId="77777777" w:rsidR="000F62B8" w:rsidRPr="00BF30D3" w:rsidRDefault="000F62B8" w:rsidP="000F62B8">
            <w:pPr>
              <w:pStyle w:val="TableText"/>
              <w:spacing w:before="0"/>
              <w:jc w:val="both"/>
              <w:rPr>
                <w:rFonts w:cs="Calibri"/>
              </w:rPr>
            </w:pPr>
          </w:p>
        </w:tc>
      </w:tr>
      <w:tr w:rsidR="000F62B8" w:rsidRPr="00EA2AC3" w14:paraId="508AA511"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25D3431" w14:textId="77777777" w:rsidR="000F62B8" w:rsidRPr="00BF30D3" w:rsidRDefault="000F62B8" w:rsidP="000F62B8">
            <w:pPr>
              <w:pStyle w:val="TableReference"/>
              <w:tabs>
                <w:tab w:val="left" w:pos="3306"/>
              </w:tabs>
              <w:rPr>
                <w:rFonts w:cs="Calibri"/>
                <w:color w:val="7030A0"/>
                <w:sz w:val="14"/>
              </w:rPr>
            </w:pPr>
          </w:p>
        </w:tc>
        <w:tc>
          <w:tcPr>
            <w:tcW w:w="2568" w:type="pct"/>
            <w:gridSpan w:val="2"/>
            <w:tcBorders>
              <w:top w:val="nil"/>
              <w:left w:val="single" w:sz="4" w:space="0" w:color="auto"/>
              <w:bottom w:val="nil"/>
              <w:right w:val="nil"/>
            </w:tcBorders>
          </w:tcPr>
          <w:p w14:paraId="7CA828AB" w14:textId="306A82C0" w:rsidR="000F62B8" w:rsidRPr="00BF30D3" w:rsidRDefault="000F62B8" w:rsidP="000F62B8">
            <w:pPr>
              <w:pStyle w:val="TableText"/>
              <w:spacing w:before="0" w:after="40"/>
              <w:jc w:val="both"/>
              <w:rPr>
                <w:rFonts w:cs="Calibri"/>
              </w:rPr>
            </w:pPr>
            <w:r w:rsidRPr="00BF30D3">
              <w:rPr>
                <w:rFonts w:cstheme="minorHAnsi"/>
              </w:rPr>
              <w:t>Between 4 – 5 years</w:t>
            </w:r>
          </w:p>
        </w:tc>
        <w:tc>
          <w:tcPr>
            <w:tcW w:w="1067" w:type="pct"/>
            <w:gridSpan w:val="4"/>
            <w:tcBorders>
              <w:top w:val="nil"/>
              <w:left w:val="nil"/>
              <w:bottom w:val="nil"/>
              <w:right w:val="nil"/>
            </w:tcBorders>
          </w:tcPr>
          <w:p w14:paraId="5A2D257A"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nil"/>
              <w:right w:val="nil"/>
            </w:tcBorders>
          </w:tcPr>
          <w:p w14:paraId="11038ED1" w14:textId="77777777" w:rsidR="000F62B8" w:rsidRPr="00BF30D3" w:rsidRDefault="000F62B8" w:rsidP="000F62B8">
            <w:pPr>
              <w:pStyle w:val="TableText"/>
              <w:spacing w:before="0"/>
              <w:jc w:val="both"/>
              <w:rPr>
                <w:rFonts w:cs="Calibri"/>
              </w:rPr>
            </w:pPr>
          </w:p>
        </w:tc>
      </w:tr>
      <w:tr w:rsidR="000F62B8" w:rsidRPr="00EA2AC3" w14:paraId="5B681637"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322E4FFD" w14:textId="77777777" w:rsidR="000F62B8" w:rsidRPr="00BF30D3" w:rsidRDefault="000F62B8" w:rsidP="000F62B8">
            <w:pPr>
              <w:pStyle w:val="TableReference"/>
              <w:tabs>
                <w:tab w:val="left" w:pos="3306"/>
              </w:tabs>
              <w:rPr>
                <w:rFonts w:cs="Calibri"/>
                <w:color w:val="7030A0"/>
                <w:sz w:val="14"/>
              </w:rPr>
            </w:pPr>
          </w:p>
        </w:tc>
        <w:tc>
          <w:tcPr>
            <w:tcW w:w="2568" w:type="pct"/>
            <w:gridSpan w:val="2"/>
            <w:tcBorders>
              <w:top w:val="nil"/>
              <w:left w:val="single" w:sz="4" w:space="0" w:color="auto"/>
              <w:bottom w:val="nil"/>
              <w:right w:val="nil"/>
            </w:tcBorders>
          </w:tcPr>
          <w:p w14:paraId="35BF684A" w14:textId="5A1823E0" w:rsidR="000F62B8" w:rsidRPr="00BF30D3" w:rsidRDefault="000F62B8" w:rsidP="000F62B8">
            <w:pPr>
              <w:pStyle w:val="TableText"/>
              <w:spacing w:before="0" w:after="40"/>
              <w:jc w:val="both"/>
              <w:rPr>
                <w:rFonts w:cs="Calibri"/>
              </w:rPr>
            </w:pPr>
            <w:r w:rsidRPr="00BF30D3">
              <w:rPr>
                <w:rFonts w:cstheme="minorHAnsi"/>
              </w:rPr>
              <w:t>Greater than 5 years</w:t>
            </w:r>
          </w:p>
        </w:tc>
        <w:tc>
          <w:tcPr>
            <w:tcW w:w="1067" w:type="pct"/>
            <w:gridSpan w:val="4"/>
            <w:tcBorders>
              <w:top w:val="nil"/>
              <w:left w:val="nil"/>
              <w:bottom w:val="single" w:sz="2" w:space="0" w:color="auto"/>
              <w:right w:val="nil"/>
            </w:tcBorders>
          </w:tcPr>
          <w:p w14:paraId="0B10AE63" w14:textId="77777777" w:rsidR="000F62B8" w:rsidRPr="00BF30D3" w:rsidRDefault="000F62B8" w:rsidP="000F62B8">
            <w:pPr>
              <w:pStyle w:val="TableText"/>
              <w:spacing w:before="0"/>
              <w:jc w:val="both"/>
              <w:rPr>
                <w:rFonts w:cs="Calibri"/>
              </w:rPr>
            </w:pPr>
          </w:p>
        </w:tc>
        <w:tc>
          <w:tcPr>
            <w:tcW w:w="622" w:type="pct"/>
            <w:gridSpan w:val="4"/>
            <w:tcBorders>
              <w:top w:val="nil"/>
              <w:left w:val="nil"/>
              <w:bottom w:val="single" w:sz="2" w:space="0" w:color="auto"/>
              <w:right w:val="nil"/>
            </w:tcBorders>
          </w:tcPr>
          <w:p w14:paraId="19FEB4BA" w14:textId="77777777" w:rsidR="000F62B8" w:rsidRPr="00BF30D3" w:rsidRDefault="000F62B8" w:rsidP="000F62B8">
            <w:pPr>
              <w:pStyle w:val="TableText"/>
              <w:spacing w:before="0"/>
              <w:jc w:val="both"/>
              <w:rPr>
                <w:rFonts w:cs="Calibri"/>
              </w:rPr>
            </w:pPr>
          </w:p>
        </w:tc>
      </w:tr>
      <w:tr w:rsidR="000F62B8" w:rsidRPr="00EA2AC3" w14:paraId="42F1BD6B"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99D824E" w14:textId="77777777" w:rsidR="000F62B8" w:rsidRPr="00BF30D3" w:rsidRDefault="000F62B8" w:rsidP="000F62B8">
            <w:pPr>
              <w:pStyle w:val="TableReference"/>
              <w:tabs>
                <w:tab w:val="left" w:pos="3306"/>
              </w:tabs>
              <w:rPr>
                <w:rFonts w:cs="Calibri"/>
                <w:color w:val="7030A0"/>
                <w:sz w:val="14"/>
              </w:rPr>
            </w:pPr>
          </w:p>
        </w:tc>
        <w:tc>
          <w:tcPr>
            <w:tcW w:w="2568" w:type="pct"/>
            <w:gridSpan w:val="2"/>
            <w:tcBorders>
              <w:top w:val="nil"/>
              <w:left w:val="single" w:sz="4" w:space="0" w:color="auto"/>
              <w:bottom w:val="nil"/>
              <w:right w:val="nil"/>
            </w:tcBorders>
          </w:tcPr>
          <w:p w14:paraId="5A9CDDA6" w14:textId="7174CA7A" w:rsidR="000F62B8" w:rsidRPr="00BF30D3" w:rsidRDefault="000F62B8" w:rsidP="000F62B8">
            <w:pPr>
              <w:pStyle w:val="TableText"/>
              <w:spacing w:before="0"/>
              <w:jc w:val="both"/>
              <w:rPr>
                <w:rFonts w:cs="Calibri"/>
              </w:rPr>
            </w:pPr>
            <w:r w:rsidRPr="00BF30D3">
              <w:rPr>
                <w:rFonts w:cstheme="minorHAnsi"/>
                <w:b/>
              </w:rPr>
              <w:t>Total</w:t>
            </w:r>
            <w:r w:rsidRPr="00BF30D3">
              <w:t xml:space="preserve"> </w:t>
            </w:r>
            <w:r w:rsidRPr="00BF30D3">
              <w:rPr>
                <w:b/>
                <w:bCs/>
              </w:rPr>
              <w:t>Undiscounted Operating Lease Payments Receivable</w:t>
            </w:r>
          </w:p>
        </w:tc>
        <w:tc>
          <w:tcPr>
            <w:tcW w:w="1067" w:type="pct"/>
            <w:gridSpan w:val="4"/>
            <w:tcBorders>
              <w:top w:val="single" w:sz="2" w:space="0" w:color="auto"/>
              <w:left w:val="nil"/>
              <w:bottom w:val="double" w:sz="4" w:space="0" w:color="auto"/>
              <w:right w:val="nil"/>
            </w:tcBorders>
          </w:tcPr>
          <w:p w14:paraId="4EF0180C" w14:textId="77777777" w:rsidR="000F62B8" w:rsidRPr="00BF30D3" w:rsidRDefault="000F62B8" w:rsidP="000F62B8">
            <w:pPr>
              <w:pStyle w:val="TableText"/>
              <w:spacing w:before="0"/>
              <w:jc w:val="both"/>
              <w:rPr>
                <w:rFonts w:cs="Calibri"/>
              </w:rPr>
            </w:pPr>
          </w:p>
        </w:tc>
        <w:tc>
          <w:tcPr>
            <w:tcW w:w="622" w:type="pct"/>
            <w:gridSpan w:val="4"/>
            <w:tcBorders>
              <w:top w:val="single" w:sz="2" w:space="0" w:color="auto"/>
              <w:left w:val="nil"/>
              <w:bottom w:val="double" w:sz="4" w:space="0" w:color="auto"/>
              <w:right w:val="nil"/>
            </w:tcBorders>
          </w:tcPr>
          <w:p w14:paraId="6BD77007" w14:textId="77777777" w:rsidR="000F62B8" w:rsidRPr="00BF30D3" w:rsidRDefault="000F62B8" w:rsidP="000F62B8">
            <w:pPr>
              <w:pStyle w:val="TableText"/>
              <w:spacing w:before="0"/>
              <w:jc w:val="both"/>
              <w:rPr>
                <w:rFonts w:cs="Calibri"/>
              </w:rPr>
            </w:pPr>
          </w:p>
        </w:tc>
      </w:tr>
      <w:tr w:rsidR="00EF02F9" w:rsidRPr="000F62B8" w14:paraId="42D7748A" w14:textId="77777777" w:rsidTr="002A16D9">
        <w:trPr>
          <w:cantSplit/>
          <w:trHeight w:val="23"/>
        </w:trPr>
        <w:tc>
          <w:tcPr>
            <w:tcW w:w="743" w:type="pct"/>
            <w:tcBorders>
              <w:top w:val="nil"/>
              <w:left w:val="single" w:sz="4" w:space="0" w:color="auto"/>
              <w:bottom w:val="nil"/>
              <w:right w:val="single" w:sz="4" w:space="0" w:color="auto"/>
            </w:tcBorders>
          </w:tcPr>
          <w:p w14:paraId="5DFA408B" w14:textId="77777777" w:rsidR="00EF02F9" w:rsidRPr="000F62B8" w:rsidRDefault="00EF02F9" w:rsidP="009A0F2F">
            <w:pPr>
              <w:pStyle w:val="TableReference"/>
              <w:tabs>
                <w:tab w:val="left" w:pos="3306"/>
              </w:tabs>
              <w:spacing w:before="40"/>
              <w:rPr>
                <w:rFonts w:cs="Calibri"/>
                <w:color w:val="7030A0"/>
                <w:sz w:val="16"/>
                <w:szCs w:val="16"/>
              </w:rPr>
            </w:pPr>
          </w:p>
        </w:tc>
        <w:tc>
          <w:tcPr>
            <w:tcW w:w="4257" w:type="pct"/>
            <w:gridSpan w:val="10"/>
            <w:tcBorders>
              <w:top w:val="nil"/>
              <w:left w:val="single" w:sz="4" w:space="0" w:color="auto"/>
              <w:bottom w:val="nil"/>
              <w:right w:val="nil"/>
            </w:tcBorders>
            <w:vAlign w:val="bottom"/>
          </w:tcPr>
          <w:p w14:paraId="648AFB4C" w14:textId="4BD3A575" w:rsidR="00EF02F9" w:rsidRPr="000F62B8" w:rsidRDefault="00EF02F9" w:rsidP="009A0F2F">
            <w:pPr>
              <w:pStyle w:val="CommentaryHeading"/>
              <w:tabs>
                <w:tab w:val="left" w:pos="3306"/>
              </w:tabs>
              <w:spacing w:before="0" w:after="0"/>
              <w:rPr>
                <w:rFonts w:cs="Calibri"/>
                <w:sz w:val="18"/>
              </w:rPr>
            </w:pPr>
          </w:p>
        </w:tc>
      </w:tr>
      <w:tr w:rsidR="00EF02F9" w:rsidRPr="000F62B8" w14:paraId="6F4BD508" w14:textId="77777777" w:rsidTr="002A16D9">
        <w:trPr>
          <w:cantSplit/>
          <w:trHeight w:val="23"/>
        </w:trPr>
        <w:tc>
          <w:tcPr>
            <w:tcW w:w="743" w:type="pct"/>
            <w:tcBorders>
              <w:top w:val="nil"/>
              <w:left w:val="single" w:sz="4" w:space="0" w:color="auto"/>
              <w:bottom w:val="nil"/>
              <w:right w:val="single" w:sz="4" w:space="0" w:color="auto"/>
            </w:tcBorders>
          </w:tcPr>
          <w:p w14:paraId="70758C18" w14:textId="77777777" w:rsidR="00EF02F9" w:rsidRPr="000F62B8" w:rsidRDefault="00EF02F9" w:rsidP="009A0F2F">
            <w:pPr>
              <w:pStyle w:val="TableReference"/>
              <w:tabs>
                <w:tab w:val="left" w:pos="3306"/>
              </w:tabs>
              <w:spacing w:before="40"/>
              <w:rPr>
                <w:rFonts w:cs="Calibri"/>
                <w:color w:val="7030A0"/>
                <w:sz w:val="16"/>
                <w:szCs w:val="16"/>
              </w:rPr>
            </w:pPr>
          </w:p>
        </w:tc>
        <w:tc>
          <w:tcPr>
            <w:tcW w:w="4257" w:type="pct"/>
            <w:gridSpan w:val="10"/>
            <w:tcBorders>
              <w:top w:val="nil"/>
              <w:left w:val="single" w:sz="4" w:space="0" w:color="auto"/>
              <w:bottom w:val="nil"/>
              <w:right w:val="nil"/>
            </w:tcBorders>
            <w:vAlign w:val="bottom"/>
          </w:tcPr>
          <w:p w14:paraId="688C7405" w14:textId="77777777" w:rsidR="00EF02F9" w:rsidRPr="000F62B8" w:rsidRDefault="00EF02F9" w:rsidP="009A0F2F">
            <w:pPr>
              <w:pStyle w:val="CommentaryHeading"/>
              <w:tabs>
                <w:tab w:val="left" w:pos="3306"/>
              </w:tabs>
              <w:spacing w:before="0" w:after="0"/>
              <w:rPr>
                <w:rFonts w:cs="Calibri"/>
                <w:sz w:val="18"/>
              </w:rPr>
            </w:pPr>
          </w:p>
        </w:tc>
      </w:tr>
      <w:tr w:rsidR="00EF02F9" w:rsidRPr="000F62B8" w14:paraId="403BDD46" w14:textId="77777777" w:rsidTr="002A16D9">
        <w:trPr>
          <w:cantSplit/>
          <w:trHeight w:val="23"/>
        </w:trPr>
        <w:tc>
          <w:tcPr>
            <w:tcW w:w="743" w:type="pct"/>
            <w:tcBorders>
              <w:top w:val="nil"/>
              <w:left w:val="single" w:sz="4" w:space="0" w:color="auto"/>
              <w:bottom w:val="nil"/>
              <w:right w:val="single" w:sz="4" w:space="0" w:color="auto"/>
            </w:tcBorders>
          </w:tcPr>
          <w:p w14:paraId="745D4A6D" w14:textId="77777777" w:rsidR="00EF02F9" w:rsidRPr="000F62B8" w:rsidRDefault="00EF02F9" w:rsidP="009A0F2F">
            <w:pPr>
              <w:pStyle w:val="TableReference"/>
              <w:tabs>
                <w:tab w:val="left" w:pos="3306"/>
              </w:tabs>
              <w:spacing w:before="40"/>
              <w:rPr>
                <w:rFonts w:cs="Calibri"/>
                <w:color w:val="7030A0"/>
                <w:sz w:val="16"/>
                <w:szCs w:val="16"/>
              </w:rPr>
            </w:pPr>
          </w:p>
        </w:tc>
        <w:tc>
          <w:tcPr>
            <w:tcW w:w="4257" w:type="pct"/>
            <w:gridSpan w:val="10"/>
            <w:tcBorders>
              <w:top w:val="nil"/>
              <w:left w:val="single" w:sz="4" w:space="0" w:color="auto"/>
              <w:bottom w:val="nil"/>
              <w:right w:val="nil"/>
            </w:tcBorders>
            <w:vAlign w:val="bottom"/>
          </w:tcPr>
          <w:p w14:paraId="39FD29DD" w14:textId="117F4D5A" w:rsidR="00EF02F9" w:rsidRPr="000F62B8" w:rsidRDefault="00EF02F9" w:rsidP="009A0F2F">
            <w:pPr>
              <w:pStyle w:val="CommentaryHeading"/>
              <w:tabs>
                <w:tab w:val="left" w:pos="3306"/>
              </w:tabs>
              <w:spacing w:before="0" w:after="0"/>
              <w:rPr>
                <w:rFonts w:cs="Calibri"/>
                <w:sz w:val="18"/>
              </w:rPr>
            </w:pPr>
            <w:r w:rsidRPr="000F62B8">
              <w:rPr>
                <w:rFonts w:cs="Calibri"/>
                <w:sz w:val="18"/>
              </w:rPr>
              <w:t>Income and Expense from Investment Properties</w:t>
            </w:r>
          </w:p>
        </w:tc>
      </w:tr>
      <w:tr w:rsidR="00EF02F9" w:rsidRPr="000F62B8" w14:paraId="66BE095D" w14:textId="77777777" w:rsidTr="002A16D9">
        <w:trPr>
          <w:cantSplit/>
          <w:trHeight w:val="23"/>
        </w:trPr>
        <w:tc>
          <w:tcPr>
            <w:tcW w:w="743" w:type="pct"/>
            <w:tcBorders>
              <w:top w:val="nil"/>
              <w:left w:val="single" w:sz="4" w:space="0" w:color="auto"/>
              <w:bottom w:val="nil"/>
              <w:right w:val="single" w:sz="4" w:space="0" w:color="auto"/>
            </w:tcBorders>
          </w:tcPr>
          <w:p w14:paraId="5E9EBB7B" w14:textId="77777777" w:rsidR="00EF02F9" w:rsidRPr="000F62B8" w:rsidRDefault="00EF02F9" w:rsidP="009A0F2F">
            <w:pPr>
              <w:pStyle w:val="TableReference"/>
              <w:tabs>
                <w:tab w:val="left" w:pos="3306"/>
              </w:tabs>
              <w:spacing w:before="40"/>
              <w:rPr>
                <w:rFonts w:cs="Calibri"/>
                <w:color w:val="7030A0"/>
                <w:sz w:val="14"/>
              </w:rPr>
            </w:pPr>
            <w:r w:rsidRPr="000F62B8">
              <w:rPr>
                <w:rFonts w:cs="Calibri"/>
                <w:color w:val="7030A0"/>
                <w:sz w:val="14"/>
              </w:rPr>
              <w:t>AASB 140.75(f)(i)</w:t>
            </w:r>
          </w:p>
        </w:tc>
        <w:tc>
          <w:tcPr>
            <w:tcW w:w="2568" w:type="pct"/>
            <w:gridSpan w:val="2"/>
            <w:tcBorders>
              <w:top w:val="nil"/>
              <w:left w:val="single" w:sz="4" w:space="0" w:color="auto"/>
              <w:bottom w:val="nil"/>
              <w:right w:val="nil"/>
            </w:tcBorders>
          </w:tcPr>
          <w:p w14:paraId="0A8B465D" w14:textId="77777777" w:rsidR="00EF02F9" w:rsidRPr="000F62B8" w:rsidRDefault="00EF02F9" w:rsidP="009A0F2F">
            <w:pPr>
              <w:pStyle w:val="TableText"/>
              <w:tabs>
                <w:tab w:val="left" w:pos="3306"/>
              </w:tabs>
              <w:rPr>
                <w:rFonts w:cs="Calibri"/>
              </w:rPr>
            </w:pPr>
            <w:r w:rsidRPr="000F62B8">
              <w:rPr>
                <w:rFonts w:cs="Calibri"/>
              </w:rPr>
              <w:t>Rental Income</w:t>
            </w:r>
          </w:p>
        </w:tc>
        <w:tc>
          <w:tcPr>
            <w:tcW w:w="1081" w:type="pct"/>
            <w:gridSpan w:val="5"/>
            <w:tcBorders>
              <w:top w:val="nil"/>
              <w:left w:val="nil"/>
              <w:bottom w:val="nil"/>
              <w:right w:val="nil"/>
            </w:tcBorders>
            <w:vAlign w:val="bottom"/>
          </w:tcPr>
          <w:p w14:paraId="1C1707BF" w14:textId="77777777" w:rsidR="00EF02F9" w:rsidRPr="000F62B8" w:rsidRDefault="00EF02F9" w:rsidP="009A0F2F">
            <w:pPr>
              <w:pStyle w:val="TableText"/>
              <w:tabs>
                <w:tab w:val="left" w:pos="3306"/>
              </w:tabs>
              <w:jc w:val="right"/>
              <w:rPr>
                <w:rFonts w:cs="Calibri"/>
              </w:rPr>
            </w:pPr>
          </w:p>
        </w:tc>
        <w:tc>
          <w:tcPr>
            <w:tcW w:w="608" w:type="pct"/>
            <w:gridSpan w:val="3"/>
            <w:tcBorders>
              <w:top w:val="nil"/>
              <w:left w:val="nil"/>
              <w:bottom w:val="nil"/>
              <w:right w:val="nil"/>
            </w:tcBorders>
            <w:vAlign w:val="bottom"/>
          </w:tcPr>
          <w:p w14:paraId="3A90F970" w14:textId="77777777" w:rsidR="00EF02F9" w:rsidRPr="000F62B8" w:rsidRDefault="00EF02F9" w:rsidP="009A0F2F">
            <w:pPr>
              <w:pStyle w:val="TableText"/>
              <w:tabs>
                <w:tab w:val="left" w:pos="3306"/>
              </w:tabs>
              <w:jc w:val="right"/>
              <w:rPr>
                <w:rFonts w:cs="Calibri"/>
              </w:rPr>
            </w:pPr>
          </w:p>
        </w:tc>
      </w:tr>
      <w:tr w:rsidR="00EF02F9" w:rsidRPr="000F62B8" w14:paraId="65E17BAA" w14:textId="77777777" w:rsidTr="002A16D9">
        <w:trPr>
          <w:cantSplit/>
          <w:trHeight w:val="23"/>
        </w:trPr>
        <w:tc>
          <w:tcPr>
            <w:tcW w:w="743" w:type="pct"/>
            <w:tcBorders>
              <w:top w:val="nil"/>
              <w:left w:val="single" w:sz="4" w:space="0" w:color="auto"/>
              <w:bottom w:val="nil"/>
              <w:right w:val="single" w:sz="4" w:space="0" w:color="auto"/>
            </w:tcBorders>
          </w:tcPr>
          <w:p w14:paraId="237A2029" w14:textId="77777777" w:rsidR="00EF02F9" w:rsidRPr="000F62B8" w:rsidRDefault="00EF02F9" w:rsidP="009A0F2F">
            <w:pPr>
              <w:pStyle w:val="TableReference"/>
              <w:tabs>
                <w:tab w:val="left" w:pos="3306"/>
              </w:tabs>
              <w:spacing w:before="40"/>
              <w:rPr>
                <w:rFonts w:cs="Calibri"/>
                <w:color w:val="7030A0"/>
                <w:sz w:val="14"/>
              </w:rPr>
            </w:pPr>
            <w:r w:rsidRPr="000F62B8">
              <w:rPr>
                <w:rFonts w:cs="Calibri"/>
                <w:color w:val="7030A0"/>
                <w:sz w:val="14"/>
              </w:rPr>
              <w:t>AASB 140.75(f)(ii)</w:t>
            </w:r>
          </w:p>
        </w:tc>
        <w:tc>
          <w:tcPr>
            <w:tcW w:w="2568" w:type="pct"/>
            <w:gridSpan w:val="2"/>
            <w:tcBorders>
              <w:top w:val="nil"/>
              <w:left w:val="single" w:sz="4" w:space="0" w:color="auto"/>
              <w:bottom w:val="nil"/>
              <w:right w:val="nil"/>
            </w:tcBorders>
          </w:tcPr>
          <w:p w14:paraId="1F308389" w14:textId="77777777" w:rsidR="00EF02F9" w:rsidRPr="000F62B8" w:rsidRDefault="00EF02F9" w:rsidP="009A0F2F">
            <w:pPr>
              <w:pStyle w:val="TableText"/>
              <w:tabs>
                <w:tab w:val="left" w:pos="3306"/>
              </w:tabs>
              <w:rPr>
                <w:rFonts w:cs="Calibri"/>
              </w:rPr>
            </w:pPr>
            <w:r w:rsidRPr="000F62B8">
              <w:rPr>
                <w:rFonts w:cs="Calibri"/>
              </w:rPr>
              <w:t>Less: Direct Operating Expenses of Investment Properties that Generated Investment Income</w:t>
            </w:r>
          </w:p>
        </w:tc>
        <w:tc>
          <w:tcPr>
            <w:tcW w:w="1081" w:type="pct"/>
            <w:gridSpan w:val="5"/>
            <w:tcBorders>
              <w:top w:val="nil"/>
              <w:left w:val="nil"/>
              <w:bottom w:val="nil"/>
              <w:right w:val="nil"/>
            </w:tcBorders>
          </w:tcPr>
          <w:p w14:paraId="2332F2EB" w14:textId="77777777" w:rsidR="00EF02F9" w:rsidRPr="000F62B8" w:rsidRDefault="00EF02F9" w:rsidP="009A0F2F">
            <w:pPr>
              <w:pStyle w:val="TableText"/>
              <w:tabs>
                <w:tab w:val="left" w:pos="3306"/>
              </w:tabs>
              <w:jc w:val="right"/>
              <w:rPr>
                <w:rFonts w:cs="Calibri"/>
              </w:rPr>
            </w:pPr>
          </w:p>
        </w:tc>
        <w:tc>
          <w:tcPr>
            <w:tcW w:w="608" w:type="pct"/>
            <w:gridSpan w:val="3"/>
            <w:tcBorders>
              <w:top w:val="nil"/>
              <w:left w:val="nil"/>
              <w:bottom w:val="nil"/>
              <w:right w:val="nil"/>
            </w:tcBorders>
          </w:tcPr>
          <w:p w14:paraId="749DD42B" w14:textId="77777777" w:rsidR="00EF02F9" w:rsidRPr="000F62B8" w:rsidRDefault="00EF02F9" w:rsidP="009A0F2F">
            <w:pPr>
              <w:pStyle w:val="TableText"/>
              <w:tabs>
                <w:tab w:val="left" w:pos="3306"/>
              </w:tabs>
              <w:jc w:val="right"/>
              <w:rPr>
                <w:rFonts w:cs="Calibri"/>
              </w:rPr>
            </w:pPr>
          </w:p>
        </w:tc>
      </w:tr>
      <w:tr w:rsidR="00EF02F9" w:rsidRPr="000F62B8" w14:paraId="7FD0376A" w14:textId="77777777" w:rsidTr="002A16D9">
        <w:trPr>
          <w:cantSplit/>
          <w:trHeight w:val="23"/>
        </w:trPr>
        <w:tc>
          <w:tcPr>
            <w:tcW w:w="743" w:type="pct"/>
            <w:tcBorders>
              <w:top w:val="nil"/>
              <w:left w:val="single" w:sz="4" w:space="0" w:color="auto"/>
              <w:bottom w:val="nil"/>
              <w:right w:val="single" w:sz="4" w:space="0" w:color="auto"/>
            </w:tcBorders>
          </w:tcPr>
          <w:p w14:paraId="16522751" w14:textId="77777777" w:rsidR="00EF02F9" w:rsidRPr="000F62B8" w:rsidRDefault="00EF02F9" w:rsidP="009A0F2F">
            <w:pPr>
              <w:pStyle w:val="TableReference"/>
              <w:tabs>
                <w:tab w:val="left" w:pos="3306"/>
              </w:tabs>
              <w:spacing w:before="60"/>
              <w:rPr>
                <w:rFonts w:cs="Calibri"/>
                <w:color w:val="7030A0"/>
                <w:sz w:val="14"/>
              </w:rPr>
            </w:pPr>
            <w:r w:rsidRPr="000F62B8">
              <w:rPr>
                <w:rFonts w:cs="Calibri"/>
                <w:color w:val="7030A0"/>
                <w:sz w:val="14"/>
              </w:rPr>
              <w:t>AASB 140.75(f)(iii)</w:t>
            </w:r>
          </w:p>
        </w:tc>
        <w:tc>
          <w:tcPr>
            <w:tcW w:w="2568" w:type="pct"/>
            <w:gridSpan w:val="2"/>
            <w:tcBorders>
              <w:top w:val="nil"/>
              <w:left w:val="single" w:sz="4" w:space="0" w:color="auto"/>
              <w:bottom w:val="nil"/>
              <w:right w:val="nil"/>
            </w:tcBorders>
          </w:tcPr>
          <w:p w14:paraId="68BAF9E2" w14:textId="77777777" w:rsidR="00EF02F9" w:rsidRPr="000F62B8" w:rsidRDefault="00EF02F9" w:rsidP="009A0F2F">
            <w:pPr>
              <w:pStyle w:val="TableText"/>
              <w:tabs>
                <w:tab w:val="left" w:pos="3306"/>
              </w:tabs>
              <w:rPr>
                <w:rFonts w:cs="Calibri"/>
              </w:rPr>
            </w:pPr>
            <w:r w:rsidRPr="000F62B8">
              <w:rPr>
                <w:rFonts w:cs="Calibri"/>
              </w:rPr>
              <w:t>Less: Direct Operating Expenses of Investment Properties that did not Generate Investment Income</w:t>
            </w:r>
          </w:p>
        </w:tc>
        <w:tc>
          <w:tcPr>
            <w:tcW w:w="1081" w:type="pct"/>
            <w:gridSpan w:val="5"/>
            <w:tcBorders>
              <w:top w:val="nil"/>
              <w:left w:val="nil"/>
              <w:bottom w:val="single" w:sz="4" w:space="0" w:color="auto"/>
              <w:right w:val="nil"/>
            </w:tcBorders>
          </w:tcPr>
          <w:p w14:paraId="68113A6D" w14:textId="77777777" w:rsidR="00EF02F9" w:rsidRPr="000F62B8" w:rsidRDefault="00EF02F9" w:rsidP="009A0F2F">
            <w:pPr>
              <w:pStyle w:val="TableText"/>
              <w:tabs>
                <w:tab w:val="left" w:pos="3306"/>
              </w:tabs>
              <w:jc w:val="right"/>
              <w:rPr>
                <w:rFonts w:cs="Calibri"/>
              </w:rPr>
            </w:pPr>
          </w:p>
        </w:tc>
        <w:tc>
          <w:tcPr>
            <w:tcW w:w="608" w:type="pct"/>
            <w:gridSpan w:val="3"/>
            <w:tcBorders>
              <w:top w:val="nil"/>
              <w:left w:val="nil"/>
              <w:bottom w:val="single" w:sz="4" w:space="0" w:color="auto"/>
              <w:right w:val="nil"/>
            </w:tcBorders>
          </w:tcPr>
          <w:p w14:paraId="77FB53F1" w14:textId="77777777" w:rsidR="00EF02F9" w:rsidRPr="000F62B8" w:rsidRDefault="00EF02F9" w:rsidP="009A0F2F">
            <w:pPr>
              <w:pStyle w:val="TableText"/>
              <w:tabs>
                <w:tab w:val="left" w:pos="3306"/>
              </w:tabs>
              <w:jc w:val="right"/>
              <w:rPr>
                <w:rFonts w:cs="Calibri"/>
              </w:rPr>
            </w:pPr>
          </w:p>
        </w:tc>
      </w:tr>
      <w:tr w:rsidR="00EF02F9" w:rsidRPr="000F62B8" w14:paraId="00F063CD" w14:textId="77777777" w:rsidTr="002A16D9">
        <w:trPr>
          <w:cantSplit/>
          <w:trHeight w:val="23"/>
        </w:trPr>
        <w:tc>
          <w:tcPr>
            <w:tcW w:w="743" w:type="pct"/>
            <w:tcBorders>
              <w:top w:val="nil"/>
              <w:left w:val="single" w:sz="4" w:space="0" w:color="auto"/>
              <w:bottom w:val="nil"/>
              <w:right w:val="single" w:sz="4" w:space="0" w:color="auto"/>
            </w:tcBorders>
          </w:tcPr>
          <w:p w14:paraId="71EAC8E1" w14:textId="77777777" w:rsidR="00EF02F9" w:rsidRPr="000F62B8" w:rsidRDefault="00EF02F9" w:rsidP="009A0F2F">
            <w:pPr>
              <w:pStyle w:val="TableReference"/>
              <w:tabs>
                <w:tab w:val="left" w:pos="3306"/>
              </w:tabs>
              <w:spacing w:before="40"/>
              <w:rPr>
                <w:rFonts w:cs="Calibri"/>
                <w:color w:val="7030A0"/>
                <w:sz w:val="14"/>
              </w:rPr>
            </w:pPr>
            <w:r w:rsidRPr="000F62B8">
              <w:rPr>
                <w:rFonts w:cs="Calibri"/>
                <w:color w:val="7030A0"/>
                <w:sz w:val="14"/>
              </w:rPr>
              <w:t xml:space="preserve"> </w:t>
            </w:r>
          </w:p>
        </w:tc>
        <w:tc>
          <w:tcPr>
            <w:tcW w:w="2568" w:type="pct"/>
            <w:gridSpan w:val="2"/>
            <w:tcBorders>
              <w:top w:val="nil"/>
              <w:left w:val="single" w:sz="4" w:space="0" w:color="auto"/>
              <w:bottom w:val="nil"/>
              <w:right w:val="nil"/>
            </w:tcBorders>
          </w:tcPr>
          <w:p w14:paraId="572944D1" w14:textId="77777777" w:rsidR="00EF02F9" w:rsidRPr="000F62B8" w:rsidRDefault="00EF02F9" w:rsidP="009A0F2F">
            <w:pPr>
              <w:pStyle w:val="TableText"/>
              <w:tabs>
                <w:tab w:val="left" w:pos="3306"/>
              </w:tabs>
              <w:rPr>
                <w:rFonts w:cs="Calibri"/>
                <w:b/>
                <w:bCs/>
              </w:rPr>
            </w:pPr>
            <w:r w:rsidRPr="000F62B8">
              <w:rPr>
                <w:rFonts w:cs="Calibri"/>
                <w:b/>
                <w:bCs/>
              </w:rPr>
              <w:t>Total Operating Profit from Investment Properties</w:t>
            </w:r>
          </w:p>
        </w:tc>
        <w:tc>
          <w:tcPr>
            <w:tcW w:w="1081" w:type="pct"/>
            <w:gridSpan w:val="5"/>
            <w:tcBorders>
              <w:top w:val="single" w:sz="4" w:space="0" w:color="auto"/>
              <w:left w:val="nil"/>
              <w:bottom w:val="double" w:sz="4" w:space="0" w:color="auto"/>
              <w:right w:val="nil"/>
            </w:tcBorders>
          </w:tcPr>
          <w:p w14:paraId="6541E11D" w14:textId="77777777" w:rsidR="00EF02F9" w:rsidRPr="000F62B8" w:rsidRDefault="00EF02F9" w:rsidP="009A0F2F">
            <w:pPr>
              <w:pStyle w:val="TableText"/>
              <w:tabs>
                <w:tab w:val="left" w:pos="3306"/>
              </w:tabs>
              <w:jc w:val="right"/>
              <w:rPr>
                <w:rFonts w:cs="Calibri"/>
                <w:b/>
                <w:bCs/>
              </w:rPr>
            </w:pPr>
          </w:p>
        </w:tc>
        <w:tc>
          <w:tcPr>
            <w:tcW w:w="608" w:type="pct"/>
            <w:gridSpan w:val="3"/>
            <w:tcBorders>
              <w:top w:val="single" w:sz="4" w:space="0" w:color="auto"/>
              <w:left w:val="nil"/>
              <w:bottom w:val="double" w:sz="4" w:space="0" w:color="auto"/>
              <w:right w:val="nil"/>
            </w:tcBorders>
          </w:tcPr>
          <w:p w14:paraId="2B65F18C" w14:textId="77777777" w:rsidR="00EF02F9" w:rsidRPr="000F62B8" w:rsidRDefault="00EF02F9" w:rsidP="009A0F2F">
            <w:pPr>
              <w:pStyle w:val="TableText"/>
              <w:tabs>
                <w:tab w:val="left" w:pos="3306"/>
              </w:tabs>
              <w:jc w:val="right"/>
              <w:rPr>
                <w:rFonts w:cs="Calibri"/>
                <w:b/>
                <w:bCs/>
              </w:rPr>
            </w:pPr>
          </w:p>
        </w:tc>
      </w:tr>
    </w:tbl>
    <w:p w14:paraId="37EA479D" w14:textId="77777777" w:rsidR="00C864E3" w:rsidRDefault="00C864E3">
      <w:r>
        <w:br w:type="page"/>
      </w:r>
    </w:p>
    <w:tbl>
      <w:tblPr>
        <w:tblW w:w="52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5898"/>
        <w:gridCol w:w="1248"/>
        <w:gridCol w:w="1786"/>
      </w:tblGrid>
      <w:tr w:rsidR="0095733E" w:rsidRPr="000F62B8" w14:paraId="632C98BC" w14:textId="77777777" w:rsidTr="002A16D9">
        <w:trPr>
          <w:cantSplit/>
          <w:trHeight w:val="23"/>
        </w:trPr>
        <w:tc>
          <w:tcPr>
            <w:tcW w:w="743" w:type="pct"/>
            <w:tcBorders>
              <w:top w:val="nil"/>
              <w:left w:val="single" w:sz="4" w:space="0" w:color="auto"/>
              <w:bottom w:val="nil"/>
              <w:right w:val="single" w:sz="4" w:space="0" w:color="auto"/>
            </w:tcBorders>
          </w:tcPr>
          <w:p w14:paraId="291C0796" w14:textId="34122A37" w:rsidR="0095733E" w:rsidRPr="000F62B8" w:rsidRDefault="0095733E" w:rsidP="0095733E">
            <w:pPr>
              <w:pStyle w:val="TableReference"/>
              <w:tabs>
                <w:tab w:val="left" w:pos="3306"/>
              </w:tabs>
              <w:spacing w:before="240" w:after="240"/>
              <w:rPr>
                <w:rFonts w:cs="Calibri"/>
                <w:color w:val="7030A0"/>
                <w:sz w:val="14"/>
              </w:rPr>
            </w:pPr>
            <w:r w:rsidRPr="00BF30D3">
              <w:rPr>
                <w:rFonts w:cs="Calibri"/>
                <w:b/>
                <w:color w:val="7030A0"/>
                <w:sz w:val="22"/>
                <w:szCs w:val="22"/>
              </w:rPr>
              <w:t>Reference</w:t>
            </w:r>
          </w:p>
        </w:tc>
        <w:tc>
          <w:tcPr>
            <w:tcW w:w="4257" w:type="pct"/>
            <w:gridSpan w:val="3"/>
            <w:tcBorders>
              <w:top w:val="nil"/>
              <w:left w:val="single" w:sz="4" w:space="0" w:color="auto"/>
              <w:bottom w:val="nil"/>
              <w:right w:val="nil"/>
            </w:tcBorders>
          </w:tcPr>
          <w:p w14:paraId="335BC8A1" w14:textId="41F1383D" w:rsidR="0095733E" w:rsidRPr="000F62B8" w:rsidRDefault="0095733E" w:rsidP="0095733E">
            <w:pPr>
              <w:pStyle w:val="TableText"/>
              <w:tabs>
                <w:tab w:val="left" w:pos="3306"/>
              </w:tabs>
              <w:spacing w:before="240" w:after="240"/>
              <w:rPr>
                <w:rFonts w:cs="Calibri"/>
              </w:rPr>
            </w:pPr>
            <w:r w:rsidRPr="00BF30D3">
              <w:rPr>
                <w:rFonts w:ascii="Arial Bold" w:hAnsi="Arial Bold" w:cs="Arial"/>
                <w:b/>
                <w:caps/>
                <w:sz w:val="32"/>
                <w:szCs w:val="32"/>
              </w:rPr>
              <w:t>Note 20.</w:t>
            </w:r>
            <w:r w:rsidR="00FA7C77">
              <w:rPr>
                <w:rFonts w:ascii="Arial Bold" w:hAnsi="Arial Bold" w:cs="Arial"/>
                <w:b/>
                <w:caps/>
                <w:sz w:val="32"/>
                <w:szCs w:val="32"/>
              </w:rPr>
              <w:t xml:space="preserve"> </w:t>
            </w:r>
            <w:r w:rsidRPr="00BF30D3">
              <w:rPr>
                <w:rFonts w:ascii="Arial Bold" w:hAnsi="Arial Bold" w:cs="Arial"/>
                <w:b/>
                <w:caps/>
                <w:sz w:val="32"/>
                <w:szCs w:val="32"/>
              </w:rPr>
              <w:t xml:space="preserve"> Investment Properties </w:t>
            </w:r>
            <w:r w:rsidR="00F22D61">
              <w:rPr>
                <w:rFonts w:ascii="Arial Bold" w:hAnsi="Arial Bold" w:cs="Arial"/>
                <w:b/>
                <w:caps/>
                <w:sz w:val="32"/>
                <w:szCs w:val="32"/>
              </w:rPr>
              <w:t>–</w:t>
            </w:r>
            <w:r w:rsidRPr="00BF30D3">
              <w:rPr>
                <w:rFonts w:ascii="Arial Bold" w:hAnsi="Arial Bold" w:cs="Arial"/>
                <w:b/>
                <w:caps/>
                <w:sz w:val="32"/>
                <w:szCs w:val="32"/>
              </w:rPr>
              <w:t xml:space="preserve"> Continued</w:t>
            </w:r>
            <w:r w:rsidR="00F22D61">
              <w:rPr>
                <w:rFonts w:ascii="Arial Bold" w:hAnsi="Arial Bold" w:cs="Arial"/>
                <w:b/>
                <w:caps/>
                <w:sz w:val="32"/>
                <w:szCs w:val="32"/>
              </w:rPr>
              <w:t xml:space="preserve"> </w:t>
            </w:r>
          </w:p>
        </w:tc>
      </w:tr>
      <w:tr w:rsidR="0095733E" w:rsidRPr="000F62B8" w14:paraId="605A32FD" w14:textId="77777777" w:rsidTr="002A16D9">
        <w:trPr>
          <w:cantSplit/>
          <w:trHeight w:val="23"/>
        </w:trPr>
        <w:tc>
          <w:tcPr>
            <w:tcW w:w="743" w:type="pct"/>
            <w:tcBorders>
              <w:top w:val="nil"/>
              <w:left w:val="single" w:sz="4" w:space="0" w:color="auto"/>
              <w:bottom w:val="nil"/>
              <w:right w:val="single" w:sz="4" w:space="0" w:color="auto"/>
            </w:tcBorders>
          </w:tcPr>
          <w:p w14:paraId="2F13E15B" w14:textId="77777777" w:rsidR="0095733E" w:rsidRPr="000F62B8" w:rsidRDefault="0095733E" w:rsidP="0095733E">
            <w:pPr>
              <w:pStyle w:val="TableReference"/>
              <w:tabs>
                <w:tab w:val="left" w:pos="3306"/>
              </w:tabs>
              <w:rPr>
                <w:rFonts w:cs="Calibri"/>
                <w:color w:val="7030A0"/>
                <w:sz w:val="14"/>
              </w:rPr>
            </w:pPr>
          </w:p>
        </w:tc>
        <w:tc>
          <w:tcPr>
            <w:tcW w:w="4257" w:type="pct"/>
            <w:gridSpan w:val="3"/>
            <w:tcBorders>
              <w:top w:val="nil"/>
              <w:left w:val="single" w:sz="4" w:space="0" w:color="auto"/>
              <w:bottom w:val="nil"/>
              <w:right w:val="nil"/>
            </w:tcBorders>
            <w:vAlign w:val="bottom"/>
          </w:tcPr>
          <w:p w14:paraId="28B91B54" w14:textId="77777777" w:rsidR="0095733E" w:rsidRPr="000F62B8" w:rsidRDefault="0095733E" w:rsidP="0095733E">
            <w:pPr>
              <w:pStyle w:val="TableText"/>
              <w:tabs>
                <w:tab w:val="left" w:pos="3306"/>
              </w:tabs>
              <w:spacing w:before="0"/>
              <w:rPr>
                <w:rFonts w:cs="Calibri"/>
              </w:rPr>
            </w:pPr>
          </w:p>
        </w:tc>
      </w:tr>
      <w:tr w:rsidR="0095733E" w:rsidRPr="000F62B8" w14:paraId="1540DEED" w14:textId="77777777" w:rsidTr="002A16D9">
        <w:trPr>
          <w:cantSplit/>
          <w:trHeight w:val="23"/>
        </w:trPr>
        <w:tc>
          <w:tcPr>
            <w:tcW w:w="743" w:type="pct"/>
            <w:tcBorders>
              <w:top w:val="nil"/>
              <w:left w:val="single" w:sz="4" w:space="0" w:color="auto"/>
              <w:bottom w:val="nil"/>
              <w:right w:val="single" w:sz="4" w:space="0" w:color="auto"/>
            </w:tcBorders>
          </w:tcPr>
          <w:p w14:paraId="7F630D11" w14:textId="77777777" w:rsidR="0095733E" w:rsidRPr="000F62B8" w:rsidRDefault="0095733E" w:rsidP="0095733E">
            <w:pPr>
              <w:pStyle w:val="TableReference"/>
              <w:tabs>
                <w:tab w:val="left" w:pos="3306"/>
              </w:tabs>
              <w:rPr>
                <w:rFonts w:cs="Calibri"/>
                <w:color w:val="7030A0"/>
                <w:sz w:val="14"/>
              </w:rPr>
            </w:pPr>
            <w:r w:rsidRPr="000F62B8">
              <w:rPr>
                <w:rFonts w:cs="Calibri"/>
                <w:color w:val="7030A0"/>
                <w:sz w:val="14"/>
              </w:rPr>
              <w:t>AASB 140.77</w:t>
            </w:r>
          </w:p>
        </w:tc>
        <w:tc>
          <w:tcPr>
            <w:tcW w:w="4257" w:type="pct"/>
            <w:gridSpan w:val="3"/>
            <w:tcBorders>
              <w:top w:val="nil"/>
              <w:left w:val="single" w:sz="4" w:space="0" w:color="auto"/>
              <w:bottom w:val="nil"/>
              <w:right w:val="nil"/>
            </w:tcBorders>
            <w:vAlign w:val="bottom"/>
          </w:tcPr>
          <w:p w14:paraId="15F93A5E" w14:textId="77777777" w:rsidR="0095733E" w:rsidRPr="000F62B8" w:rsidRDefault="0095733E" w:rsidP="0095733E">
            <w:pPr>
              <w:pStyle w:val="CommentaryHeading"/>
              <w:spacing w:before="0" w:after="0"/>
              <w:rPr>
                <w:rFonts w:cs="Calibri"/>
                <w:b w:val="0"/>
                <w:sz w:val="18"/>
              </w:rPr>
            </w:pPr>
            <w:r w:rsidRPr="000F62B8">
              <w:rPr>
                <w:rFonts w:cs="Calibri"/>
                <w:sz w:val="18"/>
              </w:rPr>
              <w:t>Reconciliation of the Revaluation Amount and the Carrying Amount of Buildings</w:t>
            </w:r>
          </w:p>
        </w:tc>
      </w:tr>
      <w:tr w:rsidR="0095733E" w:rsidRPr="000F62B8" w14:paraId="724AB1E7" w14:textId="77777777" w:rsidTr="002A16D9">
        <w:trPr>
          <w:cantSplit/>
          <w:trHeight w:val="23"/>
        </w:trPr>
        <w:tc>
          <w:tcPr>
            <w:tcW w:w="743" w:type="pct"/>
            <w:tcBorders>
              <w:top w:val="nil"/>
              <w:left w:val="single" w:sz="4" w:space="0" w:color="auto"/>
              <w:bottom w:val="nil"/>
              <w:right w:val="single" w:sz="4" w:space="0" w:color="auto"/>
            </w:tcBorders>
          </w:tcPr>
          <w:p w14:paraId="74B4D51B" w14:textId="77777777" w:rsidR="0095733E" w:rsidRPr="000F62B8" w:rsidRDefault="0095733E" w:rsidP="0095733E">
            <w:pPr>
              <w:pStyle w:val="TableReference"/>
              <w:tabs>
                <w:tab w:val="left" w:pos="3306"/>
              </w:tabs>
              <w:spacing w:before="40"/>
              <w:rPr>
                <w:rFonts w:cs="Calibri"/>
                <w:color w:val="7030A0"/>
                <w:sz w:val="14"/>
              </w:rPr>
            </w:pPr>
          </w:p>
        </w:tc>
        <w:tc>
          <w:tcPr>
            <w:tcW w:w="2811" w:type="pct"/>
            <w:tcBorders>
              <w:top w:val="nil"/>
              <w:left w:val="single" w:sz="4" w:space="0" w:color="auto"/>
              <w:bottom w:val="nil"/>
              <w:right w:val="nil"/>
            </w:tcBorders>
            <w:vAlign w:val="bottom"/>
          </w:tcPr>
          <w:p w14:paraId="586050B0" w14:textId="77777777" w:rsidR="0095733E" w:rsidRPr="000F62B8" w:rsidRDefault="0095733E" w:rsidP="0095733E">
            <w:pPr>
              <w:pStyle w:val="TableText"/>
              <w:tabs>
                <w:tab w:val="left" w:pos="3306"/>
              </w:tabs>
              <w:rPr>
                <w:rFonts w:cs="Calibri"/>
              </w:rPr>
            </w:pPr>
            <w:r w:rsidRPr="000F62B8">
              <w:rPr>
                <w:rFonts w:cs="Calibri"/>
              </w:rPr>
              <w:t>Independent Valuation Amount Obtained for the Buildings</w:t>
            </w:r>
          </w:p>
        </w:tc>
        <w:tc>
          <w:tcPr>
            <w:tcW w:w="595" w:type="pct"/>
            <w:tcBorders>
              <w:top w:val="nil"/>
              <w:left w:val="nil"/>
              <w:bottom w:val="nil"/>
              <w:right w:val="nil"/>
            </w:tcBorders>
          </w:tcPr>
          <w:p w14:paraId="02044EBA" w14:textId="77777777" w:rsidR="0095733E" w:rsidRPr="000F62B8" w:rsidRDefault="0095733E" w:rsidP="0095733E">
            <w:pPr>
              <w:pStyle w:val="TableText"/>
              <w:tabs>
                <w:tab w:val="left" w:pos="3306"/>
              </w:tabs>
              <w:jc w:val="right"/>
              <w:rPr>
                <w:rFonts w:cs="Calibri"/>
              </w:rPr>
            </w:pPr>
          </w:p>
        </w:tc>
        <w:tc>
          <w:tcPr>
            <w:tcW w:w="851" w:type="pct"/>
            <w:tcBorders>
              <w:top w:val="nil"/>
              <w:left w:val="nil"/>
              <w:bottom w:val="nil"/>
              <w:right w:val="nil"/>
            </w:tcBorders>
            <w:vAlign w:val="bottom"/>
          </w:tcPr>
          <w:p w14:paraId="7A4CE06D" w14:textId="77777777" w:rsidR="0095733E" w:rsidRPr="000F62B8" w:rsidRDefault="0095733E" w:rsidP="0095733E">
            <w:pPr>
              <w:pStyle w:val="TableText"/>
              <w:tabs>
                <w:tab w:val="left" w:pos="3306"/>
              </w:tabs>
              <w:jc w:val="right"/>
              <w:rPr>
                <w:rFonts w:cs="Calibri"/>
              </w:rPr>
            </w:pPr>
          </w:p>
        </w:tc>
      </w:tr>
      <w:tr w:rsidR="0095733E" w:rsidRPr="000F62B8" w14:paraId="69C7CF36" w14:textId="77777777" w:rsidTr="002A16D9">
        <w:trPr>
          <w:cantSplit/>
          <w:trHeight w:val="23"/>
        </w:trPr>
        <w:tc>
          <w:tcPr>
            <w:tcW w:w="743" w:type="pct"/>
            <w:tcBorders>
              <w:top w:val="nil"/>
              <w:left w:val="single" w:sz="4" w:space="0" w:color="auto"/>
              <w:bottom w:val="nil"/>
              <w:right w:val="single" w:sz="4" w:space="0" w:color="auto"/>
            </w:tcBorders>
          </w:tcPr>
          <w:p w14:paraId="3697E8E0" w14:textId="77777777" w:rsidR="0095733E" w:rsidRPr="000F62B8" w:rsidRDefault="0095733E" w:rsidP="0095733E">
            <w:pPr>
              <w:pStyle w:val="TableReference"/>
              <w:tabs>
                <w:tab w:val="left" w:pos="3306"/>
              </w:tabs>
              <w:spacing w:before="40"/>
              <w:rPr>
                <w:rFonts w:cs="Calibri"/>
                <w:color w:val="7030A0"/>
                <w:sz w:val="14"/>
              </w:rPr>
            </w:pPr>
          </w:p>
        </w:tc>
        <w:tc>
          <w:tcPr>
            <w:tcW w:w="2811" w:type="pct"/>
            <w:tcBorders>
              <w:top w:val="nil"/>
              <w:left w:val="single" w:sz="4" w:space="0" w:color="auto"/>
              <w:bottom w:val="nil"/>
              <w:right w:val="nil"/>
            </w:tcBorders>
            <w:vAlign w:val="bottom"/>
          </w:tcPr>
          <w:p w14:paraId="7CCD99E3" w14:textId="77777777" w:rsidR="0095733E" w:rsidRPr="000F62B8" w:rsidRDefault="0095733E" w:rsidP="0095733E">
            <w:pPr>
              <w:pStyle w:val="TableText"/>
              <w:tabs>
                <w:tab w:val="left" w:pos="3306"/>
              </w:tabs>
              <w:rPr>
                <w:rFonts w:cs="Calibri"/>
              </w:rPr>
            </w:pPr>
            <w:r w:rsidRPr="000F62B8">
              <w:rPr>
                <w:rFonts w:cs="Calibri"/>
              </w:rPr>
              <w:t>Less:</w:t>
            </w:r>
          </w:p>
        </w:tc>
        <w:tc>
          <w:tcPr>
            <w:tcW w:w="595" w:type="pct"/>
            <w:tcBorders>
              <w:top w:val="nil"/>
              <w:left w:val="nil"/>
              <w:bottom w:val="nil"/>
              <w:right w:val="nil"/>
            </w:tcBorders>
          </w:tcPr>
          <w:p w14:paraId="7695825D" w14:textId="77777777" w:rsidR="0095733E" w:rsidRPr="000F62B8" w:rsidRDefault="0095733E" w:rsidP="0095733E">
            <w:pPr>
              <w:pStyle w:val="TableText"/>
              <w:tabs>
                <w:tab w:val="left" w:pos="3306"/>
              </w:tabs>
              <w:jc w:val="right"/>
              <w:rPr>
                <w:rFonts w:cs="Calibri"/>
              </w:rPr>
            </w:pPr>
          </w:p>
        </w:tc>
        <w:tc>
          <w:tcPr>
            <w:tcW w:w="851" w:type="pct"/>
            <w:tcBorders>
              <w:top w:val="nil"/>
              <w:left w:val="nil"/>
              <w:bottom w:val="nil"/>
              <w:right w:val="nil"/>
            </w:tcBorders>
            <w:vAlign w:val="bottom"/>
          </w:tcPr>
          <w:p w14:paraId="60B70F03" w14:textId="77777777" w:rsidR="0095733E" w:rsidRPr="000F62B8" w:rsidRDefault="0095733E" w:rsidP="0095733E">
            <w:pPr>
              <w:pStyle w:val="TableText"/>
              <w:tabs>
                <w:tab w:val="left" w:pos="3306"/>
              </w:tabs>
              <w:jc w:val="right"/>
              <w:rPr>
                <w:rFonts w:cs="Calibri"/>
              </w:rPr>
            </w:pPr>
          </w:p>
        </w:tc>
      </w:tr>
      <w:tr w:rsidR="0095733E" w:rsidRPr="000F62B8" w14:paraId="0F7CBD55" w14:textId="77777777" w:rsidTr="002A16D9">
        <w:trPr>
          <w:cantSplit/>
          <w:trHeight w:val="23"/>
        </w:trPr>
        <w:tc>
          <w:tcPr>
            <w:tcW w:w="743" w:type="pct"/>
            <w:tcBorders>
              <w:top w:val="nil"/>
              <w:left w:val="single" w:sz="4" w:space="0" w:color="auto"/>
              <w:bottom w:val="nil"/>
              <w:right w:val="single" w:sz="4" w:space="0" w:color="auto"/>
            </w:tcBorders>
          </w:tcPr>
          <w:p w14:paraId="316544C0" w14:textId="77777777" w:rsidR="0095733E" w:rsidRPr="000F62B8" w:rsidRDefault="0095733E" w:rsidP="0095733E">
            <w:pPr>
              <w:pStyle w:val="TableReference"/>
              <w:tabs>
                <w:tab w:val="left" w:pos="3306"/>
              </w:tabs>
              <w:spacing w:before="40"/>
              <w:rPr>
                <w:rFonts w:cs="Calibri"/>
                <w:color w:val="7030A0"/>
                <w:sz w:val="14"/>
              </w:rPr>
            </w:pPr>
          </w:p>
        </w:tc>
        <w:tc>
          <w:tcPr>
            <w:tcW w:w="2811" w:type="pct"/>
            <w:tcBorders>
              <w:top w:val="nil"/>
              <w:left w:val="single" w:sz="4" w:space="0" w:color="auto"/>
              <w:bottom w:val="nil"/>
              <w:right w:val="nil"/>
            </w:tcBorders>
            <w:vAlign w:val="bottom"/>
          </w:tcPr>
          <w:p w14:paraId="150B5670" w14:textId="7DD3671F" w:rsidR="0095733E" w:rsidRPr="000F62B8" w:rsidRDefault="00FA7C77" w:rsidP="0095733E">
            <w:pPr>
              <w:pStyle w:val="TableText"/>
              <w:tabs>
                <w:tab w:val="left" w:pos="34"/>
              </w:tabs>
              <w:rPr>
                <w:rFonts w:cs="Calibri"/>
              </w:rPr>
            </w:pPr>
            <w:r>
              <w:rPr>
                <w:rFonts w:cs="Calibri"/>
              </w:rPr>
              <w:t xml:space="preserve">  </w:t>
            </w:r>
            <w:r w:rsidR="0095733E" w:rsidRPr="000F62B8">
              <w:rPr>
                <w:rFonts w:cs="Calibri"/>
              </w:rPr>
              <w:t xml:space="preserve"> - Furniture </w:t>
            </w:r>
          </w:p>
        </w:tc>
        <w:tc>
          <w:tcPr>
            <w:tcW w:w="595" w:type="pct"/>
            <w:tcBorders>
              <w:top w:val="nil"/>
              <w:left w:val="nil"/>
              <w:bottom w:val="nil"/>
              <w:right w:val="nil"/>
            </w:tcBorders>
          </w:tcPr>
          <w:p w14:paraId="6EFFD49C" w14:textId="77777777" w:rsidR="0095733E" w:rsidRPr="000F62B8" w:rsidRDefault="0095733E" w:rsidP="0095733E">
            <w:pPr>
              <w:pStyle w:val="TableText"/>
              <w:tabs>
                <w:tab w:val="left" w:pos="3306"/>
              </w:tabs>
              <w:jc w:val="right"/>
              <w:rPr>
                <w:rFonts w:cs="Calibri"/>
              </w:rPr>
            </w:pPr>
          </w:p>
        </w:tc>
        <w:tc>
          <w:tcPr>
            <w:tcW w:w="851" w:type="pct"/>
            <w:tcBorders>
              <w:top w:val="nil"/>
              <w:left w:val="nil"/>
              <w:bottom w:val="nil"/>
              <w:right w:val="nil"/>
            </w:tcBorders>
            <w:vAlign w:val="bottom"/>
          </w:tcPr>
          <w:p w14:paraId="678C6147" w14:textId="77777777" w:rsidR="0095733E" w:rsidRPr="000F62B8" w:rsidRDefault="0095733E" w:rsidP="0095733E">
            <w:pPr>
              <w:pStyle w:val="TableText"/>
              <w:tabs>
                <w:tab w:val="left" w:pos="3306"/>
              </w:tabs>
              <w:jc w:val="right"/>
              <w:rPr>
                <w:rFonts w:cs="Calibri"/>
              </w:rPr>
            </w:pPr>
          </w:p>
        </w:tc>
      </w:tr>
      <w:tr w:rsidR="0095733E" w:rsidRPr="000F62B8" w14:paraId="77611DAF" w14:textId="77777777" w:rsidTr="002A16D9">
        <w:trPr>
          <w:cantSplit/>
          <w:trHeight w:val="23"/>
        </w:trPr>
        <w:tc>
          <w:tcPr>
            <w:tcW w:w="743" w:type="pct"/>
            <w:tcBorders>
              <w:top w:val="nil"/>
              <w:left w:val="single" w:sz="4" w:space="0" w:color="auto"/>
              <w:bottom w:val="nil"/>
              <w:right w:val="single" w:sz="4" w:space="0" w:color="auto"/>
            </w:tcBorders>
          </w:tcPr>
          <w:p w14:paraId="3F7825DE" w14:textId="77777777" w:rsidR="0095733E" w:rsidRPr="000F62B8" w:rsidRDefault="0095733E" w:rsidP="0095733E">
            <w:pPr>
              <w:pStyle w:val="TableReference"/>
              <w:tabs>
                <w:tab w:val="left" w:pos="3306"/>
              </w:tabs>
              <w:spacing w:before="40"/>
              <w:rPr>
                <w:rFonts w:cs="Calibri"/>
                <w:color w:val="7030A0"/>
                <w:sz w:val="16"/>
                <w:szCs w:val="16"/>
              </w:rPr>
            </w:pPr>
          </w:p>
        </w:tc>
        <w:tc>
          <w:tcPr>
            <w:tcW w:w="2811" w:type="pct"/>
            <w:tcBorders>
              <w:top w:val="nil"/>
              <w:left w:val="single" w:sz="4" w:space="0" w:color="auto"/>
              <w:bottom w:val="nil"/>
              <w:right w:val="nil"/>
            </w:tcBorders>
            <w:vAlign w:val="bottom"/>
          </w:tcPr>
          <w:p w14:paraId="7F519421" w14:textId="190BDE03" w:rsidR="0095733E" w:rsidRPr="000F62B8" w:rsidRDefault="00FA7C77" w:rsidP="0095733E">
            <w:pPr>
              <w:pStyle w:val="TableText"/>
              <w:tabs>
                <w:tab w:val="left" w:pos="576"/>
              </w:tabs>
              <w:rPr>
                <w:rFonts w:cs="Calibri"/>
              </w:rPr>
            </w:pPr>
            <w:r>
              <w:rPr>
                <w:rFonts w:cs="Calibri"/>
              </w:rPr>
              <w:t xml:space="preserve">  </w:t>
            </w:r>
            <w:r w:rsidR="0095733E" w:rsidRPr="000F62B8">
              <w:rPr>
                <w:rFonts w:cs="Calibri"/>
              </w:rPr>
              <w:t xml:space="preserve"> - Equipment (Lift and Air-Conditioning Unit)</w:t>
            </w:r>
          </w:p>
        </w:tc>
        <w:tc>
          <w:tcPr>
            <w:tcW w:w="595" w:type="pct"/>
            <w:tcBorders>
              <w:top w:val="nil"/>
              <w:left w:val="nil"/>
              <w:bottom w:val="nil"/>
              <w:right w:val="nil"/>
            </w:tcBorders>
          </w:tcPr>
          <w:p w14:paraId="77ACB810" w14:textId="77777777" w:rsidR="0095733E" w:rsidRPr="000F62B8" w:rsidRDefault="0095733E" w:rsidP="0095733E">
            <w:pPr>
              <w:pStyle w:val="TableText"/>
              <w:tabs>
                <w:tab w:val="left" w:pos="3306"/>
              </w:tabs>
              <w:jc w:val="right"/>
              <w:rPr>
                <w:rFonts w:cs="Calibri"/>
              </w:rPr>
            </w:pPr>
          </w:p>
        </w:tc>
        <w:tc>
          <w:tcPr>
            <w:tcW w:w="851" w:type="pct"/>
            <w:tcBorders>
              <w:top w:val="nil"/>
              <w:left w:val="nil"/>
              <w:bottom w:val="nil"/>
              <w:right w:val="nil"/>
            </w:tcBorders>
            <w:vAlign w:val="bottom"/>
          </w:tcPr>
          <w:p w14:paraId="381E243E" w14:textId="77777777" w:rsidR="0095733E" w:rsidRPr="000F62B8" w:rsidRDefault="0095733E" w:rsidP="0095733E">
            <w:pPr>
              <w:pStyle w:val="TableText"/>
              <w:tabs>
                <w:tab w:val="left" w:pos="3306"/>
              </w:tabs>
              <w:jc w:val="right"/>
              <w:rPr>
                <w:rFonts w:cs="Calibri"/>
              </w:rPr>
            </w:pPr>
          </w:p>
        </w:tc>
      </w:tr>
      <w:tr w:rsidR="0095733E" w:rsidRPr="000F62B8" w14:paraId="0C5B04D2" w14:textId="77777777" w:rsidTr="002A16D9">
        <w:trPr>
          <w:cantSplit/>
          <w:trHeight w:val="23"/>
        </w:trPr>
        <w:tc>
          <w:tcPr>
            <w:tcW w:w="743" w:type="pct"/>
            <w:tcBorders>
              <w:top w:val="nil"/>
              <w:left w:val="single" w:sz="4" w:space="0" w:color="auto"/>
              <w:bottom w:val="nil"/>
              <w:right w:val="single" w:sz="4" w:space="0" w:color="auto"/>
            </w:tcBorders>
          </w:tcPr>
          <w:p w14:paraId="63BCC77F" w14:textId="77777777" w:rsidR="0095733E" w:rsidRPr="000F62B8" w:rsidRDefault="0095733E" w:rsidP="0095733E">
            <w:pPr>
              <w:pStyle w:val="TableReference"/>
              <w:tabs>
                <w:tab w:val="left" w:pos="3306"/>
              </w:tabs>
              <w:spacing w:before="40"/>
              <w:rPr>
                <w:rFonts w:cs="Calibri"/>
                <w:color w:val="7030A0"/>
                <w:sz w:val="16"/>
                <w:szCs w:val="16"/>
              </w:rPr>
            </w:pPr>
          </w:p>
        </w:tc>
        <w:tc>
          <w:tcPr>
            <w:tcW w:w="2811" w:type="pct"/>
            <w:tcBorders>
              <w:top w:val="nil"/>
              <w:left w:val="single" w:sz="4" w:space="0" w:color="auto"/>
              <w:bottom w:val="nil"/>
              <w:right w:val="nil"/>
            </w:tcBorders>
            <w:vAlign w:val="bottom"/>
          </w:tcPr>
          <w:p w14:paraId="5C3E35F7" w14:textId="202F28E3" w:rsidR="0095733E" w:rsidRPr="000F62B8" w:rsidRDefault="00FA7C77" w:rsidP="0095733E">
            <w:pPr>
              <w:pStyle w:val="TableText"/>
              <w:tabs>
                <w:tab w:val="left" w:pos="576"/>
              </w:tabs>
              <w:rPr>
                <w:rFonts w:cs="Calibri"/>
              </w:rPr>
            </w:pPr>
            <w:r>
              <w:rPr>
                <w:rFonts w:cs="Calibri"/>
              </w:rPr>
              <w:t xml:space="preserve">  </w:t>
            </w:r>
            <w:r w:rsidR="0095733E" w:rsidRPr="000F62B8">
              <w:rPr>
                <w:rFonts w:cs="Calibri"/>
              </w:rPr>
              <w:t xml:space="preserve"> - Fittings </w:t>
            </w:r>
          </w:p>
        </w:tc>
        <w:tc>
          <w:tcPr>
            <w:tcW w:w="595" w:type="pct"/>
            <w:tcBorders>
              <w:top w:val="nil"/>
              <w:left w:val="nil"/>
              <w:bottom w:val="single" w:sz="4" w:space="0" w:color="auto"/>
              <w:right w:val="nil"/>
            </w:tcBorders>
          </w:tcPr>
          <w:p w14:paraId="59A934F9" w14:textId="77777777" w:rsidR="0095733E" w:rsidRPr="000F62B8" w:rsidRDefault="0095733E" w:rsidP="0095733E">
            <w:pPr>
              <w:pStyle w:val="TableText"/>
              <w:tabs>
                <w:tab w:val="left" w:pos="3306"/>
              </w:tabs>
              <w:jc w:val="right"/>
              <w:rPr>
                <w:rFonts w:cs="Calibri"/>
              </w:rPr>
            </w:pPr>
          </w:p>
        </w:tc>
        <w:tc>
          <w:tcPr>
            <w:tcW w:w="851" w:type="pct"/>
            <w:tcBorders>
              <w:top w:val="nil"/>
              <w:left w:val="nil"/>
              <w:bottom w:val="single" w:sz="4" w:space="0" w:color="auto"/>
              <w:right w:val="nil"/>
            </w:tcBorders>
            <w:vAlign w:val="bottom"/>
          </w:tcPr>
          <w:p w14:paraId="4B62120B" w14:textId="77777777" w:rsidR="0095733E" w:rsidRPr="000F62B8" w:rsidRDefault="0095733E" w:rsidP="0095733E">
            <w:pPr>
              <w:pStyle w:val="TableText"/>
              <w:tabs>
                <w:tab w:val="left" w:pos="3306"/>
              </w:tabs>
              <w:jc w:val="right"/>
              <w:rPr>
                <w:rFonts w:cs="Calibri"/>
              </w:rPr>
            </w:pPr>
          </w:p>
        </w:tc>
      </w:tr>
      <w:tr w:rsidR="0095733E" w:rsidRPr="000F62B8" w14:paraId="3B8DB564" w14:textId="77777777" w:rsidTr="002A16D9">
        <w:trPr>
          <w:cantSplit/>
          <w:trHeight w:val="23"/>
        </w:trPr>
        <w:tc>
          <w:tcPr>
            <w:tcW w:w="743" w:type="pct"/>
            <w:tcBorders>
              <w:top w:val="nil"/>
              <w:left w:val="single" w:sz="4" w:space="0" w:color="auto"/>
              <w:bottom w:val="nil"/>
              <w:right w:val="single" w:sz="4" w:space="0" w:color="auto"/>
            </w:tcBorders>
          </w:tcPr>
          <w:p w14:paraId="1AD49115" w14:textId="77777777" w:rsidR="0095733E" w:rsidRPr="000F62B8" w:rsidRDefault="0095733E" w:rsidP="0095733E">
            <w:pPr>
              <w:pStyle w:val="TableReference"/>
              <w:tabs>
                <w:tab w:val="left" w:pos="3306"/>
              </w:tabs>
              <w:spacing w:before="40"/>
              <w:rPr>
                <w:rFonts w:cs="Calibri"/>
                <w:color w:val="7030A0"/>
                <w:sz w:val="16"/>
                <w:szCs w:val="16"/>
              </w:rPr>
            </w:pPr>
          </w:p>
        </w:tc>
        <w:tc>
          <w:tcPr>
            <w:tcW w:w="2811" w:type="pct"/>
            <w:tcBorders>
              <w:top w:val="nil"/>
              <w:left w:val="single" w:sz="4" w:space="0" w:color="auto"/>
              <w:bottom w:val="nil"/>
              <w:right w:val="nil"/>
            </w:tcBorders>
            <w:vAlign w:val="bottom"/>
          </w:tcPr>
          <w:p w14:paraId="67CE8D39" w14:textId="77777777" w:rsidR="0095733E" w:rsidRPr="000F62B8" w:rsidRDefault="0095733E" w:rsidP="0095733E">
            <w:pPr>
              <w:pStyle w:val="TableText"/>
              <w:tabs>
                <w:tab w:val="left" w:pos="3306"/>
              </w:tabs>
              <w:rPr>
                <w:rFonts w:cs="Calibri"/>
                <w:b/>
                <w:bCs/>
              </w:rPr>
            </w:pPr>
            <w:r w:rsidRPr="000F62B8">
              <w:rPr>
                <w:rFonts w:cs="Calibri"/>
                <w:b/>
                <w:bCs/>
              </w:rPr>
              <w:t>Total Adjusted Amount of Buildings at Fair Value</w:t>
            </w:r>
          </w:p>
        </w:tc>
        <w:tc>
          <w:tcPr>
            <w:tcW w:w="595" w:type="pct"/>
            <w:tcBorders>
              <w:top w:val="single" w:sz="4" w:space="0" w:color="auto"/>
              <w:left w:val="nil"/>
              <w:bottom w:val="double" w:sz="4" w:space="0" w:color="auto"/>
              <w:right w:val="nil"/>
            </w:tcBorders>
          </w:tcPr>
          <w:p w14:paraId="7A0C9F31" w14:textId="77777777" w:rsidR="0095733E" w:rsidRPr="000F62B8" w:rsidRDefault="0095733E" w:rsidP="0095733E">
            <w:pPr>
              <w:pStyle w:val="TableText"/>
              <w:tabs>
                <w:tab w:val="left" w:pos="3306"/>
              </w:tabs>
              <w:jc w:val="right"/>
              <w:rPr>
                <w:rFonts w:cs="Calibri"/>
                <w:b/>
                <w:bCs/>
              </w:rPr>
            </w:pPr>
          </w:p>
        </w:tc>
        <w:tc>
          <w:tcPr>
            <w:tcW w:w="851" w:type="pct"/>
            <w:tcBorders>
              <w:top w:val="single" w:sz="4" w:space="0" w:color="auto"/>
              <w:left w:val="nil"/>
              <w:bottom w:val="double" w:sz="4" w:space="0" w:color="auto"/>
              <w:right w:val="nil"/>
            </w:tcBorders>
            <w:vAlign w:val="bottom"/>
          </w:tcPr>
          <w:p w14:paraId="514412AF" w14:textId="77777777" w:rsidR="0095733E" w:rsidRPr="000F62B8" w:rsidRDefault="0095733E" w:rsidP="0095733E">
            <w:pPr>
              <w:pStyle w:val="TableText"/>
              <w:tabs>
                <w:tab w:val="left" w:pos="3306"/>
              </w:tabs>
              <w:jc w:val="right"/>
              <w:rPr>
                <w:rFonts w:cs="Calibri"/>
                <w:b/>
                <w:bCs/>
              </w:rPr>
            </w:pPr>
          </w:p>
        </w:tc>
      </w:tr>
      <w:tr w:rsidR="00F15CC8" w:rsidRPr="00EA2AC3" w14:paraId="129EFD1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03BC6D17" w14:textId="77777777" w:rsidR="00F15CC8" w:rsidRPr="00BF30D3" w:rsidRDefault="00F15CC8" w:rsidP="0095733E">
            <w:pPr>
              <w:pStyle w:val="TableReference"/>
              <w:tabs>
                <w:tab w:val="left" w:pos="3306"/>
              </w:tabs>
              <w:spacing w:before="40"/>
              <w:rPr>
                <w:rFonts w:cs="Calibri"/>
                <w:color w:val="7030A0"/>
                <w:sz w:val="14"/>
              </w:rPr>
            </w:pPr>
          </w:p>
        </w:tc>
        <w:tc>
          <w:tcPr>
            <w:tcW w:w="4257" w:type="pct"/>
            <w:gridSpan w:val="3"/>
            <w:tcBorders>
              <w:top w:val="nil"/>
              <w:left w:val="single" w:sz="4" w:space="0" w:color="auto"/>
              <w:bottom w:val="nil"/>
              <w:right w:val="nil"/>
            </w:tcBorders>
          </w:tcPr>
          <w:p w14:paraId="172F74C2" w14:textId="77777777" w:rsidR="00F15CC8" w:rsidRPr="00EA2AC3" w:rsidRDefault="00F15CC8" w:rsidP="0095733E">
            <w:pPr>
              <w:pStyle w:val="TableText"/>
              <w:spacing w:before="0" w:after="120"/>
              <w:jc w:val="both"/>
              <w:rPr>
                <w:rFonts w:cs="Calibri"/>
              </w:rPr>
            </w:pPr>
          </w:p>
        </w:tc>
      </w:tr>
      <w:tr w:rsidR="0095733E" w:rsidRPr="00EA2AC3" w14:paraId="000B015D"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40140E8" w14:textId="5CD258E8" w:rsidR="0095733E" w:rsidRPr="00BF30D3" w:rsidRDefault="0095733E" w:rsidP="00581C35">
            <w:pPr>
              <w:pStyle w:val="TableReference"/>
              <w:tabs>
                <w:tab w:val="left" w:pos="3306"/>
              </w:tabs>
              <w:spacing w:after="240"/>
              <w:rPr>
                <w:rFonts w:cs="Calibri"/>
                <w:color w:val="7030A0"/>
                <w:sz w:val="14"/>
              </w:rPr>
            </w:pPr>
          </w:p>
        </w:tc>
        <w:tc>
          <w:tcPr>
            <w:tcW w:w="4257" w:type="pct"/>
            <w:gridSpan w:val="3"/>
            <w:tcBorders>
              <w:top w:val="nil"/>
              <w:left w:val="single" w:sz="4" w:space="0" w:color="auto"/>
              <w:bottom w:val="nil"/>
              <w:right w:val="nil"/>
            </w:tcBorders>
            <w:shd w:val="clear" w:color="auto" w:fill="7030A0"/>
          </w:tcPr>
          <w:p w14:paraId="42EC5879" w14:textId="08AA115E" w:rsidR="0095733E" w:rsidRPr="0021515A" w:rsidRDefault="0095733E" w:rsidP="00581C35">
            <w:pPr>
              <w:pStyle w:val="TableText"/>
              <w:spacing w:before="0" w:after="240"/>
              <w:rPr>
                <w:rFonts w:cs="Calibri"/>
                <w:b/>
                <w:bCs/>
                <w:color w:val="FFFFFF" w:themeColor="background1"/>
              </w:rPr>
            </w:pPr>
            <w:bookmarkStart w:id="554" w:name="_Toc163106359"/>
            <w:r w:rsidRPr="0021515A">
              <w:rPr>
                <w:rFonts w:cs="Calibri"/>
                <w:b/>
                <w:bCs/>
                <w:color w:val="FFFFFF" w:themeColor="background1"/>
                <w:sz w:val="28"/>
                <w:szCs w:val="28"/>
              </w:rPr>
              <w:t>Commentary – Note 20: Investment Properties</w:t>
            </w:r>
            <w:bookmarkEnd w:id="554"/>
          </w:p>
        </w:tc>
      </w:tr>
      <w:tr w:rsidR="0095733E" w:rsidRPr="00EA2AC3" w14:paraId="0DBD98EB"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DEECC11" w14:textId="77777777" w:rsidR="0095733E" w:rsidRPr="00BF30D3" w:rsidRDefault="0095733E" w:rsidP="0095733E">
            <w:pPr>
              <w:pStyle w:val="TableReference"/>
              <w:tabs>
                <w:tab w:val="left" w:pos="3306"/>
              </w:tabs>
              <w:spacing w:before="40"/>
              <w:rPr>
                <w:rFonts w:cs="Calibri"/>
                <w:color w:val="7030A0"/>
                <w:sz w:val="14"/>
              </w:rPr>
            </w:pPr>
          </w:p>
        </w:tc>
        <w:tc>
          <w:tcPr>
            <w:tcW w:w="4257" w:type="pct"/>
            <w:gridSpan w:val="3"/>
            <w:tcBorders>
              <w:top w:val="nil"/>
              <w:left w:val="single" w:sz="4" w:space="0" w:color="auto"/>
              <w:bottom w:val="nil"/>
              <w:right w:val="nil"/>
            </w:tcBorders>
            <w:shd w:val="clear" w:color="auto" w:fill="7030A0"/>
          </w:tcPr>
          <w:p w14:paraId="75789683" w14:textId="77777777" w:rsidR="0095733E" w:rsidRPr="0021515A" w:rsidRDefault="0095733E" w:rsidP="0095733E">
            <w:pPr>
              <w:spacing w:after="40" w:line="259" w:lineRule="auto"/>
              <w:rPr>
                <w:rFonts w:eastAsia="Calibri"/>
                <w:color w:val="FFFFFF" w:themeColor="background1"/>
                <w:sz w:val="18"/>
                <w:szCs w:val="18"/>
              </w:rPr>
            </w:pPr>
            <w:r w:rsidRPr="0021515A">
              <w:rPr>
                <w:rFonts w:eastAsia="Calibri"/>
                <w:color w:val="FFFFFF" w:themeColor="background1"/>
                <w:sz w:val="18"/>
                <w:szCs w:val="18"/>
              </w:rPr>
              <w:t>Investment property can arise from either of the following:</w:t>
            </w:r>
          </w:p>
          <w:p w14:paraId="2E33281C" w14:textId="6FB9AD4D" w:rsidR="0095733E" w:rsidRPr="00581C35" w:rsidRDefault="0095733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581C35">
              <w:rPr>
                <w:rFonts w:cs="Calibri"/>
                <w:color w:val="FFFFFF" w:themeColor="background1"/>
                <w:sz w:val="18"/>
                <w:szCs w:val="18"/>
              </w:rPr>
              <w:t>owned assets – assets owned by the Agency and rented out under a head lease, or</w:t>
            </w:r>
          </w:p>
          <w:p w14:paraId="7D179BB6" w14:textId="7B969236" w:rsidR="0095733E" w:rsidRPr="0021515A" w:rsidRDefault="0095733E" w:rsidP="007122BC">
            <w:pPr>
              <w:pStyle w:val="CommentaryText"/>
              <w:keepNext/>
              <w:keepLines/>
              <w:numPr>
                <w:ilvl w:val="0"/>
                <w:numId w:val="53"/>
              </w:numPr>
              <w:tabs>
                <w:tab w:val="left" w:pos="3306"/>
              </w:tabs>
              <w:ind w:left="459" w:hanging="357"/>
              <w:rPr>
                <w:rFonts w:eastAsia="Calibri"/>
                <w:color w:val="FFFFFF" w:themeColor="background1"/>
                <w:sz w:val="18"/>
                <w:szCs w:val="18"/>
              </w:rPr>
            </w:pPr>
            <w:r w:rsidRPr="00581C35">
              <w:rPr>
                <w:rFonts w:cs="Calibri"/>
                <w:color w:val="FFFFFF" w:themeColor="background1"/>
                <w:sz w:val="18"/>
                <w:szCs w:val="18"/>
              </w:rPr>
              <w:t>right-of-use assets – assets which are leased by the Agency under a head lease and sub-leased via an operating sub-lease.</w:t>
            </w:r>
          </w:p>
        </w:tc>
      </w:tr>
      <w:tr w:rsidR="0095733E" w:rsidRPr="00EA2AC3" w14:paraId="5FC100E5"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A0DB83F" w14:textId="77777777" w:rsidR="0095733E" w:rsidRPr="00BF30D3" w:rsidRDefault="0095733E" w:rsidP="0095733E">
            <w:pPr>
              <w:pStyle w:val="TableReference"/>
              <w:tabs>
                <w:tab w:val="left" w:pos="3306"/>
              </w:tabs>
              <w:spacing w:before="40"/>
              <w:rPr>
                <w:rFonts w:cs="Calibri"/>
                <w:color w:val="7030A0"/>
                <w:sz w:val="14"/>
              </w:rPr>
            </w:pPr>
          </w:p>
        </w:tc>
        <w:tc>
          <w:tcPr>
            <w:tcW w:w="4257" w:type="pct"/>
            <w:gridSpan w:val="3"/>
            <w:tcBorders>
              <w:top w:val="nil"/>
              <w:left w:val="single" w:sz="4" w:space="0" w:color="auto"/>
              <w:bottom w:val="nil"/>
              <w:right w:val="nil"/>
            </w:tcBorders>
            <w:shd w:val="clear" w:color="auto" w:fill="7030A0"/>
          </w:tcPr>
          <w:p w14:paraId="5B6228B8" w14:textId="297CA9B9" w:rsidR="0095733E" w:rsidRPr="0021515A" w:rsidRDefault="0095733E" w:rsidP="0095733E">
            <w:pPr>
              <w:pStyle w:val="TableText"/>
              <w:spacing w:before="0" w:after="120"/>
              <w:rPr>
                <w:rFonts w:cs="Calibri"/>
                <w:color w:val="FFFFFF" w:themeColor="background1"/>
              </w:rPr>
            </w:pPr>
            <w:r w:rsidRPr="0021515A">
              <w:rPr>
                <w:rFonts w:eastAsia="Calibri"/>
                <w:color w:val="FFFFFF" w:themeColor="background1"/>
              </w:rPr>
              <w:t>These two types of investment property are separate classes of assets and therefore an Agency should specify whether the investment property is owned or arises from a right-of-use asset.</w:t>
            </w:r>
          </w:p>
        </w:tc>
      </w:tr>
      <w:tr w:rsidR="0095733E" w:rsidRPr="00EA2AC3" w14:paraId="7F316D80"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BC6DACB" w14:textId="77777777" w:rsidR="0095733E" w:rsidRPr="00BF30D3" w:rsidRDefault="0095733E" w:rsidP="0095733E">
            <w:pPr>
              <w:pStyle w:val="TableReference"/>
              <w:tabs>
                <w:tab w:val="left" w:pos="3306"/>
              </w:tabs>
              <w:spacing w:before="40"/>
              <w:rPr>
                <w:rFonts w:cs="Calibri"/>
                <w:color w:val="7030A0"/>
                <w:sz w:val="14"/>
              </w:rPr>
            </w:pPr>
          </w:p>
        </w:tc>
        <w:tc>
          <w:tcPr>
            <w:tcW w:w="4257" w:type="pct"/>
            <w:gridSpan w:val="3"/>
            <w:tcBorders>
              <w:top w:val="nil"/>
              <w:left w:val="single" w:sz="4" w:space="0" w:color="auto"/>
              <w:bottom w:val="nil"/>
              <w:right w:val="nil"/>
            </w:tcBorders>
            <w:shd w:val="clear" w:color="auto" w:fill="7030A0"/>
          </w:tcPr>
          <w:p w14:paraId="46C49914" w14:textId="3F5EA34A" w:rsidR="0095733E" w:rsidRPr="0021515A" w:rsidRDefault="0095733E" w:rsidP="0095733E">
            <w:pPr>
              <w:pStyle w:val="TableText"/>
              <w:spacing w:before="0" w:after="120"/>
              <w:rPr>
                <w:rFonts w:cs="Calibri"/>
                <w:color w:val="FFFFFF" w:themeColor="background1"/>
              </w:rPr>
            </w:pPr>
            <w:r w:rsidRPr="0021515A">
              <w:rPr>
                <w:rFonts w:eastAsia="Calibri"/>
                <w:color w:val="FFFFFF" w:themeColor="background1"/>
              </w:rPr>
              <w:t>If an Agency has both types of investment property, then the disclosures should be shown separately for both classes.</w:t>
            </w:r>
          </w:p>
        </w:tc>
      </w:tr>
      <w:tr w:rsidR="0095733E" w:rsidRPr="00EA2AC3" w14:paraId="4F028FD1"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03628D0" w14:textId="77777777" w:rsidR="0095733E" w:rsidRPr="00BF30D3" w:rsidRDefault="0095733E" w:rsidP="0095733E">
            <w:pPr>
              <w:pStyle w:val="TableReference"/>
              <w:tabs>
                <w:tab w:val="left" w:pos="3306"/>
              </w:tabs>
              <w:spacing w:before="40"/>
              <w:rPr>
                <w:rFonts w:cs="Calibri"/>
                <w:color w:val="7030A0"/>
                <w:sz w:val="14"/>
              </w:rPr>
            </w:pPr>
          </w:p>
        </w:tc>
        <w:tc>
          <w:tcPr>
            <w:tcW w:w="4257" w:type="pct"/>
            <w:gridSpan w:val="3"/>
            <w:tcBorders>
              <w:top w:val="nil"/>
              <w:left w:val="single" w:sz="4" w:space="0" w:color="auto"/>
              <w:bottom w:val="nil"/>
              <w:right w:val="nil"/>
            </w:tcBorders>
            <w:shd w:val="clear" w:color="auto" w:fill="7030A0"/>
          </w:tcPr>
          <w:p w14:paraId="48C880D0" w14:textId="559F5275" w:rsidR="0095733E" w:rsidRPr="00581C35" w:rsidRDefault="0095733E" w:rsidP="0095733E">
            <w:pPr>
              <w:pStyle w:val="TableText"/>
              <w:spacing w:before="0" w:after="120"/>
              <w:rPr>
                <w:rFonts w:cs="Calibri"/>
                <w:b/>
                <w:bCs/>
                <w:color w:val="FFFFFF" w:themeColor="background1"/>
                <w:sz w:val="20"/>
                <w:szCs w:val="20"/>
              </w:rPr>
            </w:pPr>
            <w:r w:rsidRPr="00581C35">
              <w:rPr>
                <w:rFonts w:cs="Calibri"/>
                <w:b/>
                <w:bCs/>
                <w:color w:val="FFFFFF" w:themeColor="background1"/>
                <w:sz w:val="20"/>
                <w:szCs w:val="20"/>
              </w:rPr>
              <w:t>Definition</w:t>
            </w:r>
          </w:p>
        </w:tc>
      </w:tr>
      <w:tr w:rsidR="0095733E" w:rsidRPr="00EA2AC3" w14:paraId="0A25BD0C"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66F9AE35" w14:textId="5B8F7B9B" w:rsidR="0095733E" w:rsidRPr="00BF30D3" w:rsidRDefault="0095733E" w:rsidP="0095733E">
            <w:pPr>
              <w:pStyle w:val="TableReference"/>
              <w:tabs>
                <w:tab w:val="left" w:pos="3306"/>
              </w:tabs>
              <w:spacing w:before="40"/>
              <w:rPr>
                <w:rFonts w:cs="Calibri"/>
                <w:color w:val="7030A0"/>
                <w:sz w:val="14"/>
              </w:rPr>
            </w:pPr>
            <w:r w:rsidRPr="00BF30D3">
              <w:rPr>
                <w:rFonts w:cs="Calibri"/>
                <w:color w:val="7030A0"/>
                <w:sz w:val="14"/>
              </w:rPr>
              <w:t>AASB 140.5</w:t>
            </w:r>
          </w:p>
        </w:tc>
        <w:tc>
          <w:tcPr>
            <w:tcW w:w="4257" w:type="pct"/>
            <w:gridSpan w:val="3"/>
            <w:tcBorders>
              <w:top w:val="nil"/>
              <w:left w:val="single" w:sz="4" w:space="0" w:color="auto"/>
              <w:bottom w:val="nil"/>
              <w:right w:val="nil"/>
            </w:tcBorders>
            <w:shd w:val="clear" w:color="auto" w:fill="7030A0"/>
          </w:tcPr>
          <w:p w14:paraId="532DFE3F" w14:textId="267F8A5C" w:rsidR="0095733E" w:rsidRPr="0021515A" w:rsidRDefault="0095733E" w:rsidP="0095733E">
            <w:pPr>
              <w:autoSpaceDE w:val="0"/>
              <w:autoSpaceDN w:val="0"/>
              <w:adjustRightInd w:val="0"/>
              <w:spacing w:after="40"/>
              <w:jc w:val="both"/>
              <w:rPr>
                <w:rFonts w:cs="Calibri"/>
                <w:color w:val="FFFFFF" w:themeColor="background1"/>
                <w:sz w:val="18"/>
                <w:szCs w:val="18"/>
              </w:rPr>
            </w:pPr>
            <w:r w:rsidRPr="0021515A">
              <w:rPr>
                <w:rFonts w:cs="Calibri"/>
                <w:color w:val="FFFFFF" w:themeColor="background1"/>
                <w:sz w:val="18"/>
                <w:szCs w:val="18"/>
              </w:rPr>
              <w:t>Investment property is property (land or a building – or part of a building – or both) held (by the owner or by the lessee as a right-of-use asset) to earn rentals or for capital appreciation or both, rather than for:</w:t>
            </w:r>
          </w:p>
          <w:p w14:paraId="28607984" w14:textId="020E1AC7" w:rsidR="0095733E" w:rsidRPr="0021515A" w:rsidRDefault="0095733E" w:rsidP="007122BC">
            <w:pPr>
              <w:pStyle w:val="Commentary-Bullet"/>
              <w:numPr>
                <w:ilvl w:val="0"/>
                <w:numId w:val="11"/>
              </w:numPr>
              <w:tabs>
                <w:tab w:val="clear" w:pos="720"/>
                <w:tab w:val="clear" w:pos="3306"/>
              </w:tabs>
              <w:autoSpaceDE w:val="0"/>
              <w:autoSpaceDN w:val="0"/>
              <w:adjustRightInd w:val="0"/>
              <w:spacing w:after="40"/>
              <w:ind w:left="604" w:hanging="284"/>
              <w:rPr>
                <w:rFonts w:cs="Calibri"/>
                <w:color w:val="FFFFFF" w:themeColor="background1"/>
                <w:sz w:val="18"/>
                <w:szCs w:val="18"/>
              </w:rPr>
            </w:pPr>
            <w:r w:rsidRPr="0021515A">
              <w:rPr>
                <w:rFonts w:cs="Calibri"/>
                <w:color w:val="FFFFFF" w:themeColor="background1"/>
                <w:sz w:val="18"/>
                <w:szCs w:val="18"/>
              </w:rPr>
              <w:t>use in the production or supply of goods or services or for administrative purposes; or</w:t>
            </w:r>
          </w:p>
          <w:p w14:paraId="139D0717" w14:textId="473AA5B2" w:rsidR="0095733E" w:rsidRPr="0021515A" w:rsidRDefault="0095733E" w:rsidP="007122BC">
            <w:pPr>
              <w:pStyle w:val="Commentary-Bullet"/>
              <w:numPr>
                <w:ilvl w:val="0"/>
                <w:numId w:val="11"/>
              </w:numPr>
              <w:tabs>
                <w:tab w:val="clear" w:pos="720"/>
                <w:tab w:val="clear" w:pos="3306"/>
              </w:tabs>
              <w:autoSpaceDE w:val="0"/>
              <w:autoSpaceDN w:val="0"/>
              <w:adjustRightInd w:val="0"/>
              <w:spacing w:after="40"/>
              <w:ind w:left="604" w:hanging="284"/>
              <w:rPr>
                <w:rFonts w:cs="Calibri"/>
                <w:color w:val="FFFFFF" w:themeColor="background1"/>
                <w:sz w:val="18"/>
                <w:szCs w:val="18"/>
              </w:rPr>
            </w:pPr>
            <w:r w:rsidRPr="0021515A">
              <w:rPr>
                <w:rFonts w:cs="Calibri"/>
                <w:color w:val="FFFFFF" w:themeColor="background1"/>
                <w:sz w:val="18"/>
                <w:szCs w:val="18"/>
              </w:rPr>
              <w:t>sale in the ordinary course of business.</w:t>
            </w:r>
          </w:p>
        </w:tc>
      </w:tr>
      <w:tr w:rsidR="0095733E" w:rsidRPr="00EA2AC3" w14:paraId="7AF1EE32"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52DE379B" w14:textId="648C5A08" w:rsidR="0095733E" w:rsidRPr="00BF30D3" w:rsidRDefault="0095733E" w:rsidP="0095733E">
            <w:pPr>
              <w:pStyle w:val="TableReference"/>
              <w:tabs>
                <w:tab w:val="left" w:pos="3306"/>
              </w:tabs>
              <w:spacing w:before="40"/>
              <w:rPr>
                <w:rFonts w:cs="Calibri"/>
                <w:color w:val="7030A0"/>
                <w:sz w:val="14"/>
              </w:rPr>
            </w:pPr>
            <w:r w:rsidRPr="00BF30D3">
              <w:rPr>
                <w:rFonts w:cs="Calibri"/>
                <w:color w:val="7030A0"/>
                <w:sz w:val="14"/>
              </w:rPr>
              <w:t>AASB 140.Aus 9.1</w:t>
            </w:r>
          </w:p>
        </w:tc>
        <w:tc>
          <w:tcPr>
            <w:tcW w:w="4257" w:type="pct"/>
            <w:gridSpan w:val="3"/>
            <w:tcBorders>
              <w:top w:val="nil"/>
              <w:left w:val="single" w:sz="4" w:space="0" w:color="auto"/>
              <w:bottom w:val="nil"/>
              <w:right w:val="nil"/>
            </w:tcBorders>
            <w:shd w:val="clear" w:color="auto" w:fill="7030A0"/>
          </w:tcPr>
          <w:p w14:paraId="4FC807CB" w14:textId="77777777" w:rsidR="0095733E" w:rsidRPr="0021515A" w:rsidRDefault="0095733E" w:rsidP="0095733E">
            <w:pPr>
              <w:autoSpaceDE w:val="0"/>
              <w:autoSpaceDN w:val="0"/>
              <w:adjustRightInd w:val="0"/>
              <w:spacing w:after="40"/>
              <w:jc w:val="both"/>
              <w:rPr>
                <w:rFonts w:cs="Calibri"/>
                <w:color w:val="FFFFFF" w:themeColor="background1"/>
                <w:sz w:val="18"/>
                <w:szCs w:val="18"/>
              </w:rPr>
            </w:pPr>
            <w:r w:rsidRPr="0021515A">
              <w:rPr>
                <w:rFonts w:cs="Calibri"/>
                <w:color w:val="FFFFFF" w:themeColor="background1"/>
                <w:sz w:val="18"/>
                <w:szCs w:val="18"/>
              </w:rPr>
              <w:t xml:space="preserve">However, for agencies, property may be held to meet service delivery objectives rather than to earn rental or for capital appreciation. In such situations, the property will not meet the definition of investment property and will be accounted for under AASB 116 </w:t>
            </w:r>
            <w:r w:rsidRPr="0021515A">
              <w:rPr>
                <w:rFonts w:cs="Calibri"/>
                <w:i/>
                <w:color w:val="FFFFFF" w:themeColor="background1"/>
                <w:sz w:val="18"/>
                <w:szCs w:val="18"/>
              </w:rPr>
              <w:t>Property, Plant and Equipment</w:t>
            </w:r>
            <w:r w:rsidRPr="0021515A">
              <w:rPr>
                <w:rFonts w:cs="Calibri"/>
                <w:color w:val="FFFFFF" w:themeColor="background1"/>
                <w:sz w:val="18"/>
                <w:szCs w:val="18"/>
              </w:rPr>
              <w:t>, for example:</w:t>
            </w:r>
          </w:p>
          <w:p w14:paraId="47DFE7AA" w14:textId="3C2F76F9" w:rsidR="0095733E" w:rsidRPr="0021515A" w:rsidRDefault="0095733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property held for strategic purposes; and</w:t>
            </w:r>
          </w:p>
          <w:p w14:paraId="320813F2" w14:textId="73C73454" w:rsidR="0095733E" w:rsidRPr="0021515A" w:rsidRDefault="0095733E"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21515A">
              <w:rPr>
                <w:rFonts w:cs="Calibri"/>
                <w:color w:val="FFFFFF" w:themeColor="background1"/>
                <w:sz w:val="18"/>
                <w:szCs w:val="18"/>
              </w:rPr>
              <w:t>property held to provide a social service, including those which generate cash inflows where the rental revenue is incidental to the purpose for holding the property.</w:t>
            </w:r>
          </w:p>
        </w:tc>
      </w:tr>
      <w:tr w:rsidR="0095733E" w:rsidRPr="00EA2AC3" w14:paraId="6602485A"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C55B38A" w14:textId="4713B88F" w:rsidR="0095733E" w:rsidRPr="00BF30D3" w:rsidRDefault="0095733E" w:rsidP="0095733E">
            <w:pPr>
              <w:pStyle w:val="TableReference"/>
              <w:tabs>
                <w:tab w:val="left" w:pos="3306"/>
              </w:tabs>
              <w:spacing w:before="40"/>
              <w:rPr>
                <w:rFonts w:cs="Calibri"/>
                <w:color w:val="7030A0"/>
                <w:sz w:val="14"/>
              </w:rPr>
            </w:pPr>
            <w:r w:rsidRPr="00BF30D3">
              <w:rPr>
                <w:rFonts w:cs="Calibri"/>
                <w:color w:val="7030A0"/>
                <w:sz w:val="14"/>
              </w:rPr>
              <w:t>AASB 140.76</w:t>
            </w:r>
          </w:p>
        </w:tc>
        <w:tc>
          <w:tcPr>
            <w:tcW w:w="4257" w:type="pct"/>
            <w:gridSpan w:val="3"/>
            <w:tcBorders>
              <w:top w:val="nil"/>
              <w:left w:val="single" w:sz="4" w:space="0" w:color="auto"/>
              <w:bottom w:val="nil"/>
              <w:right w:val="nil"/>
            </w:tcBorders>
            <w:shd w:val="clear" w:color="auto" w:fill="7030A0"/>
          </w:tcPr>
          <w:p w14:paraId="6F94D50F" w14:textId="77777777" w:rsidR="0095733E" w:rsidRPr="0021515A" w:rsidRDefault="0095733E" w:rsidP="0095733E">
            <w:pPr>
              <w:autoSpaceDE w:val="0"/>
              <w:autoSpaceDN w:val="0"/>
              <w:adjustRightInd w:val="0"/>
              <w:jc w:val="both"/>
              <w:rPr>
                <w:rFonts w:cs="Calibri"/>
                <w:color w:val="FFFFFF" w:themeColor="background1"/>
                <w:sz w:val="18"/>
                <w:szCs w:val="18"/>
              </w:rPr>
            </w:pPr>
            <w:r w:rsidRPr="0021515A">
              <w:rPr>
                <w:rFonts w:cs="Calibri"/>
                <w:color w:val="FFFFFF" w:themeColor="background1"/>
                <w:sz w:val="18"/>
                <w:szCs w:val="18"/>
              </w:rPr>
              <w:t xml:space="preserve">An agency that applies the fair value model in accordance with AASB 140 </w:t>
            </w:r>
            <w:r w:rsidRPr="0021515A">
              <w:rPr>
                <w:rFonts w:cs="Calibri"/>
                <w:i/>
                <w:color w:val="FFFFFF" w:themeColor="background1"/>
                <w:sz w:val="18"/>
                <w:szCs w:val="18"/>
              </w:rPr>
              <w:t>Investment Property</w:t>
            </w:r>
            <w:r w:rsidRPr="0021515A">
              <w:rPr>
                <w:rFonts w:cs="Calibri"/>
                <w:color w:val="FFFFFF" w:themeColor="background1"/>
                <w:sz w:val="18"/>
                <w:szCs w:val="18"/>
              </w:rPr>
              <w:t xml:space="preserve"> shall disclose a reconciliation between the carrying amounts of investment property at the beginning and end of the period, showing the following:</w:t>
            </w:r>
          </w:p>
          <w:p w14:paraId="3BBE8381" w14:textId="77777777" w:rsidR="0095733E" w:rsidRPr="0021515A" w:rsidRDefault="0095733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additions, disclosing separately those additions resulting from acquisitions and those resulting from subsequent expenditure recognised in the carrying amount of an asset;</w:t>
            </w:r>
          </w:p>
          <w:p w14:paraId="16C7CACD" w14:textId="77777777" w:rsidR="0095733E" w:rsidRPr="0021515A" w:rsidRDefault="0095733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additions resulting from acquisitions through business combinations;</w:t>
            </w:r>
          </w:p>
          <w:p w14:paraId="09BBD346" w14:textId="77777777" w:rsidR="0095733E" w:rsidRPr="0021515A" w:rsidRDefault="0095733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assets classified as held for sale or included in a disposal group and other disposals;</w:t>
            </w:r>
          </w:p>
          <w:p w14:paraId="05A4CBC5" w14:textId="77777777" w:rsidR="0095733E" w:rsidRPr="0021515A" w:rsidRDefault="0095733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net gains or losses from fair value adjustments;</w:t>
            </w:r>
          </w:p>
          <w:p w14:paraId="1E2A05E8" w14:textId="2A28A498" w:rsidR="0095733E" w:rsidRPr="0021515A" w:rsidRDefault="0095733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1515A">
              <w:rPr>
                <w:rFonts w:cs="Calibri"/>
                <w:color w:val="FFFFFF" w:themeColor="background1"/>
                <w:sz w:val="18"/>
                <w:szCs w:val="18"/>
              </w:rPr>
              <w:t>transfers to and from inventories and owner-occupied property; and</w:t>
            </w:r>
          </w:p>
          <w:p w14:paraId="7ED5AAB1" w14:textId="4D3157BE" w:rsidR="0095733E" w:rsidRPr="0021515A" w:rsidRDefault="0095733E"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21515A">
              <w:rPr>
                <w:rFonts w:cs="Calibri"/>
                <w:color w:val="FFFFFF" w:themeColor="background1"/>
                <w:sz w:val="18"/>
                <w:szCs w:val="18"/>
              </w:rPr>
              <w:t>other changes.</w:t>
            </w:r>
          </w:p>
        </w:tc>
      </w:tr>
      <w:tr w:rsidR="0095733E" w:rsidRPr="00EA2AC3" w14:paraId="3B3778AB"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EB05218" w14:textId="0C2E5CDA" w:rsidR="0095733E" w:rsidRPr="00BF30D3" w:rsidRDefault="0095733E" w:rsidP="0095733E">
            <w:pPr>
              <w:pStyle w:val="TableReference"/>
              <w:tabs>
                <w:tab w:val="left" w:pos="3306"/>
              </w:tabs>
              <w:spacing w:before="40"/>
              <w:rPr>
                <w:rFonts w:cs="Calibri"/>
                <w:color w:val="7030A0"/>
                <w:sz w:val="14"/>
              </w:rPr>
            </w:pPr>
            <w:r w:rsidRPr="00BF30D3">
              <w:rPr>
                <w:rFonts w:cs="Calibri"/>
                <w:color w:val="7030A0"/>
                <w:sz w:val="14"/>
              </w:rPr>
              <w:t>AASB 140.75(c)</w:t>
            </w:r>
          </w:p>
        </w:tc>
        <w:tc>
          <w:tcPr>
            <w:tcW w:w="4257" w:type="pct"/>
            <w:gridSpan w:val="3"/>
            <w:tcBorders>
              <w:top w:val="nil"/>
              <w:left w:val="single" w:sz="4" w:space="0" w:color="auto"/>
              <w:bottom w:val="nil"/>
              <w:right w:val="nil"/>
            </w:tcBorders>
            <w:shd w:val="clear" w:color="auto" w:fill="7030A0"/>
          </w:tcPr>
          <w:p w14:paraId="4D4A6CA9" w14:textId="44564A60" w:rsidR="0095733E" w:rsidRPr="0021515A" w:rsidRDefault="0095733E" w:rsidP="0095733E">
            <w:pPr>
              <w:pStyle w:val="TableText"/>
              <w:spacing w:before="0" w:after="120"/>
              <w:rPr>
                <w:rFonts w:cs="Calibri"/>
                <w:color w:val="FFFFFF" w:themeColor="background1"/>
              </w:rPr>
            </w:pPr>
            <w:r w:rsidRPr="0021515A">
              <w:rPr>
                <w:rFonts w:cs="Calibri"/>
                <w:color w:val="FFFFFF" w:themeColor="background1"/>
              </w:rPr>
              <w:t>Where it is difficult for an agency to determine whether a property should be classified as an investment property, the criteria it uses to distinguish investment property from owner-occupied property and from property held for sale in the ordinary course of business must be disclosed</w:t>
            </w:r>
          </w:p>
        </w:tc>
      </w:tr>
      <w:tr w:rsidR="0095733E" w:rsidRPr="00EA2AC3" w14:paraId="163E18EF"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0CDD4089" w14:textId="77777777" w:rsidR="0095733E" w:rsidRPr="00BF30D3" w:rsidRDefault="0095733E" w:rsidP="0095733E">
            <w:pPr>
              <w:pStyle w:val="TableReference"/>
              <w:tabs>
                <w:tab w:val="left" w:pos="3306"/>
              </w:tabs>
              <w:spacing w:before="40"/>
              <w:rPr>
                <w:rFonts w:cs="Calibri"/>
                <w:color w:val="7030A0"/>
                <w:sz w:val="14"/>
              </w:rPr>
            </w:pPr>
          </w:p>
        </w:tc>
        <w:tc>
          <w:tcPr>
            <w:tcW w:w="4257" w:type="pct"/>
            <w:gridSpan w:val="3"/>
            <w:tcBorders>
              <w:top w:val="nil"/>
              <w:left w:val="single" w:sz="4" w:space="0" w:color="auto"/>
              <w:bottom w:val="nil"/>
              <w:right w:val="nil"/>
            </w:tcBorders>
            <w:shd w:val="clear" w:color="auto" w:fill="7030A0"/>
          </w:tcPr>
          <w:p w14:paraId="1F0176FA" w14:textId="44A98B97" w:rsidR="0095733E" w:rsidRPr="00581C35" w:rsidRDefault="0095733E" w:rsidP="0095733E">
            <w:pPr>
              <w:pStyle w:val="TableText"/>
              <w:spacing w:before="0" w:after="120"/>
              <w:rPr>
                <w:rFonts w:cs="Calibri"/>
                <w:b/>
                <w:bCs/>
                <w:color w:val="FFFFFF" w:themeColor="background1"/>
                <w:sz w:val="20"/>
                <w:szCs w:val="20"/>
              </w:rPr>
            </w:pPr>
            <w:r w:rsidRPr="00581C35">
              <w:rPr>
                <w:rFonts w:cs="Calibri"/>
                <w:b/>
                <w:bCs/>
                <w:color w:val="FFFFFF" w:themeColor="background1"/>
                <w:sz w:val="20"/>
                <w:szCs w:val="20"/>
              </w:rPr>
              <w:t>Operating Lease Disclosures for Lessors</w:t>
            </w:r>
          </w:p>
        </w:tc>
      </w:tr>
      <w:tr w:rsidR="0095733E" w:rsidRPr="00EA2AC3" w14:paraId="173BE384"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1B6475D6" w14:textId="39ABA01E" w:rsidR="0095733E" w:rsidRPr="00BF30D3" w:rsidRDefault="0095733E" w:rsidP="0095733E">
            <w:pPr>
              <w:pStyle w:val="TableReference"/>
              <w:tabs>
                <w:tab w:val="left" w:pos="3306"/>
              </w:tabs>
              <w:spacing w:before="40"/>
              <w:rPr>
                <w:rFonts w:cs="Calibri"/>
                <w:color w:val="7030A0"/>
                <w:sz w:val="14"/>
              </w:rPr>
            </w:pPr>
            <w:r w:rsidRPr="00BF30D3">
              <w:rPr>
                <w:rFonts w:cs="Calibri"/>
                <w:color w:val="7030A0"/>
                <w:sz w:val="14"/>
              </w:rPr>
              <w:t>AASB 16.88</w:t>
            </w:r>
          </w:p>
        </w:tc>
        <w:tc>
          <w:tcPr>
            <w:tcW w:w="4257" w:type="pct"/>
            <w:gridSpan w:val="3"/>
            <w:tcBorders>
              <w:top w:val="nil"/>
              <w:left w:val="single" w:sz="4" w:space="0" w:color="auto"/>
              <w:bottom w:val="nil"/>
              <w:right w:val="nil"/>
            </w:tcBorders>
            <w:shd w:val="clear" w:color="auto" w:fill="7030A0"/>
          </w:tcPr>
          <w:p w14:paraId="780948D4" w14:textId="5ADE6FD2" w:rsidR="0095733E" w:rsidRPr="0021515A" w:rsidRDefault="0095733E" w:rsidP="0095733E">
            <w:pPr>
              <w:pStyle w:val="TableText"/>
              <w:spacing w:before="0" w:after="120"/>
              <w:rPr>
                <w:rFonts w:cs="Calibri"/>
                <w:color w:val="FFFFFF" w:themeColor="background1"/>
              </w:rPr>
            </w:pPr>
            <w:r w:rsidRPr="0021515A">
              <w:rPr>
                <w:rFonts w:cs="Calibri"/>
                <w:color w:val="FFFFFF" w:themeColor="background1"/>
              </w:rPr>
              <w:t>Lessors shall present assets subject to operating leases in the Balance Sheets according to the nature of the underlying asset.</w:t>
            </w:r>
            <w:r w:rsidR="00FA7C77">
              <w:rPr>
                <w:rFonts w:cs="Calibri"/>
                <w:color w:val="FFFFFF" w:themeColor="background1"/>
              </w:rPr>
              <w:t xml:space="preserve"> </w:t>
            </w:r>
            <w:r w:rsidRPr="0021515A">
              <w:rPr>
                <w:rFonts w:cs="Calibri"/>
                <w:color w:val="FFFFFF" w:themeColor="background1"/>
              </w:rPr>
              <w:t>In the case of ‘</w:t>
            </w:r>
            <w:r w:rsidRPr="0021515A">
              <w:rPr>
                <w:color w:val="FFFFFF" w:themeColor="background1"/>
              </w:rPr>
              <w:t>Burley Griffin</w:t>
            </w:r>
            <w:r w:rsidRPr="0021515A">
              <w:rPr>
                <w:rFonts w:cs="Calibri"/>
                <w:color w:val="FFFFFF" w:themeColor="background1"/>
              </w:rPr>
              <w:t xml:space="preserve"> Agency’ it is investment properties that are subject to an operating lease, however where, for example, an agency had property, plant and equipment under an operating lease, these assets should be disclosed in the property, plant and equipment note.</w:t>
            </w:r>
          </w:p>
        </w:tc>
      </w:tr>
      <w:tr w:rsidR="0095733E" w:rsidRPr="00EA2AC3" w14:paraId="60A702F5" w14:textId="77777777" w:rsidTr="002A16D9">
        <w:tblPrEx>
          <w:jc w:val="right"/>
        </w:tblPrEx>
        <w:trPr>
          <w:cantSplit/>
          <w:trHeight w:val="23"/>
          <w:jc w:val="right"/>
        </w:trPr>
        <w:tc>
          <w:tcPr>
            <w:tcW w:w="743" w:type="pct"/>
            <w:tcBorders>
              <w:top w:val="nil"/>
              <w:left w:val="single" w:sz="4" w:space="0" w:color="auto"/>
              <w:bottom w:val="nil"/>
              <w:right w:val="single" w:sz="4" w:space="0" w:color="auto"/>
            </w:tcBorders>
          </w:tcPr>
          <w:p w14:paraId="78229821" w14:textId="1426CBA0" w:rsidR="0095733E" w:rsidRPr="00BF30D3" w:rsidRDefault="0095733E" w:rsidP="0095733E">
            <w:pPr>
              <w:pStyle w:val="TableReference"/>
              <w:tabs>
                <w:tab w:val="left" w:pos="3306"/>
              </w:tabs>
              <w:spacing w:before="40"/>
              <w:rPr>
                <w:rFonts w:cs="Calibri"/>
                <w:color w:val="7030A0"/>
                <w:sz w:val="14"/>
              </w:rPr>
            </w:pPr>
            <w:r w:rsidRPr="00BF30D3">
              <w:rPr>
                <w:rFonts w:cs="Calibri"/>
                <w:color w:val="7030A0"/>
                <w:sz w:val="14"/>
              </w:rPr>
              <w:t>AASB 16.83</w:t>
            </w:r>
          </w:p>
        </w:tc>
        <w:tc>
          <w:tcPr>
            <w:tcW w:w="4257" w:type="pct"/>
            <w:gridSpan w:val="3"/>
            <w:tcBorders>
              <w:top w:val="nil"/>
              <w:left w:val="single" w:sz="4" w:space="0" w:color="auto"/>
              <w:bottom w:val="nil"/>
              <w:right w:val="nil"/>
            </w:tcBorders>
            <w:shd w:val="clear" w:color="auto" w:fill="7030A0"/>
          </w:tcPr>
          <w:p w14:paraId="62332F36" w14:textId="2D6B09AF" w:rsidR="0095733E" w:rsidRPr="0021515A" w:rsidRDefault="0095733E" w:rsidP="0095733E">
            <w:pPr>
              <w:pStyle w:val="TableText"/>
              <w:spacing w:before="0" w:after="120"/>
              <w:rPr>
                <w:rFonts w:cs="Calibri"/>
                <w:color w:val="FFFFFF" w:themeColor="background1"/>
              </w:rPr>
            </w:pPr>
            <w:r w:rsidRPr="0021515A">
              <w:rPr>
                <w:rFonts w:cs="Calibri"/>
                <w:color w:val="FFFFFF" w:themeColor="background1"/>
              </w:rPr>
              <w:t>Initial direct costs incurred by Lessors in negotiating and arranging an operating lease shall be added to the carrying amount of the leased asset and recognised as an expense over the lease term on the same basis as the lease income.</w:t>
            </w:r>
          </w:p>
        </w:tc>
      </w:tr>
    </w:tbl>
    <w:p w14:paraId="639FE09A" w14:textId="77777777" w:rsidR="00581C35" w:rsidRDefault="00581C35">
      <w:r>
        <w:br w:type="page"/>
      </w:r>
    </w:p>
    <w:tbl>
      <w:tblPr>
        <w:tblW w:w="104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899"/>
      </w:tblGrid>
      <w:tr w:rsidR="00581C35" w:rsidRPr="00CF7E1B" w14:paraId="62CB316F" w14:textId="77777777" w:rsidTr="002A16D9">
        <w:trPr>
          <w:cantSplit/>
          <w:trHeight w:val="23"/>
        </w:trPr>
        <w:tc>
          <w:tcPr>
            <w:tcW w:w="1560" w:type="dxa"/>
            <w:tcBorders>
              <w:top w:val="nil"/>
              <w:left w:val="single" w:sz="2" w:space="0" w:color="auto"/>
              <w:bottom w:val="nil"/>
              <w:right w:val="single" w:sz="2" w:space="0" w:color="auto"/>
            </w:tcBorders>
          </w:tcPr>
          <w:p w14:paraId="56D8688F" w14:textId="67C184DB" w:rsidR="00581C35" w:rsidRPr="005F0AAA" w:rsidRDefault="00581C35" w:rsidP="00DA5473">
            <w:pPr>
              <w:pStyle w:val="TableReference"/>
              <w:tabs>
                <w:tab w:val="left" w:pos="3306"/>
              </w:tabs>
              <w:rPr>
                <w:rFonts w:cs="Calibri"/>
                <w:color w:val="7030A0"/>
                <w:sz w:val="14"/>
              </w:rPr>
            </w:pPr>
            <w:r w:rsidRPr="005F0AAA">
              <w:rPr>
                <w:rFonts w:cs="Calibri"/>
                <w:b/>
                <w:color w:val="7030A0"/>
                <w:sz w:val="22"/>
                <w:szCs w:val="22"/>
              </w:rPr>
              <w:t>Reference</w:t>
            </w:r>
          </w:p>
        </w:tc>
        <w:tc>
          <w:tcPr>
            <w:tcW w:w="8899" w:type="dxa"/>
            <w:tcBorders>
              <w:top w:val="nil"/>
              <w:left w:val="single" w:sz="2" w:space="0" w:color="auto"/>
              <w:bottom w:val="nil"/>
              <w:right w:val="nil"/>
            </w:tcBorders>
            <w:shd w:val="clear" w:color="auto" w:fill="7030A0"/>
          </w:tcPr>
          <w:p w14:paraId="75B2AE07" w14:textId="189FDC15" w:rsidR="00581C35" w:rsidRPr="005F0AAA" w:rsidRDefault="00581C35" w:rsidP="00581C35">
            <w:pPr>
              <w:pStyle w:val="CommentaryText"/>
              <w:spacing w:after="0"/>
              <w:rPr>
                <w:rFonts w:cs="Calibri"/>
                <w:color w:val="FFFFFF" w:themeColor="background1"/>
                <w:sz w:val="18"/>
                <w:szCs w:val="18"/>
              </w:rPr>
            </w:pPr>
            <w:r w:rsidRPr="0021515A">
              <w:rPr>
                <w:rFonts w:cs="Calibri"/>
                <w:b/>
                <w:color w:val="FFFFFF" w:themeColor="background1"/>
                <w:sz w:val="28"/>
                <w:szCs w:val="28"/>
              </w:rPr>
              <w:t>Commentary – Note 20: Investment Properties – Continued</w:t>
            </w:r>
          </w:p>
        </w:tc>
      </w:tr>
      <w:tr w:rsidR="00581C35" w:rsidRPr="00CF7E1B" w14:paraId="0DDB627F" w14:textId="77777777" w:rsidTr="002A16D9">
        <w:trPr>
          <w:cantSplit/>
          <w:trHeight w:val="23"/>
        </w:trPr>
        <w:tc>
          <w:tcPr>
            <w:tcW w:w="1560" w:type="dxa"/>
            <w:tcBorders>
              <w:top w:val="nil"/>
              <w:left w:val="single" w:sz="2" w:space="0" w:color="auto"/>
              <w:bottom w:val="nil"/>
              <w:right w:val="single" w:sz="2" w:space="0" w:color="auto"/>
            </w:tcBorders>
          </w:tcPr>
          <w:p w14:paraId="283468EF" w14:textId="77777777"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7DAA6B18" w14:textId="5C356C16" w:rsidR="00581C35" w:rsidRPr="00581C35" w:rsidRDefault="00581C35" w:rsidP="00581C35">
            <w:pPr>
              <w:pStyle w:val="CommentaryHeading"/>
              <w:spacing w:after="0"/>
              <w:rPr>
                <w:rFonts w:cs="Calibri"/>
                <w:color w:val="FFFFFF" w:themeColor="background1"/>
                <w:szCs w:val="20"/>
              </w:rPr>
            </w:pPr>
            <w:r w:rsidRPr="00581C35">
              <w:rPr>
                <w:rFonts w:cs="Calibri"/>
                <w:color w:val="FFFFFF" w:themeColor="background1"/>
                <w:szCs w:val="20"/>
              </w:rPr>
              <w:t>Fair Value Hierarchy</w:t>
            </w:r>
          </w:p>
        </w:tc>
      </w:tr>
      <w:tr w:rsidR="00581C35" w:rsidRPr="00CF7E1B" w14:paraId="37AFC31C" w14:textId="77777777" w:rsidTr="002A16D9">
        <w:trPr>
          <w:cantSplit/>
          <w:trHeight w:val="465"/>
        </w:trPr>
        <w:tc>
          <w:tcPr>
            <w:tcW w:w="1560" w:type="dxa"/>
            <w:tcBorders>
              <w:top w:val="nil"/>
              <w:left w:val="single" w:sz="2" w:space="0" w:color="auto"/>
              <w:bottom w:val="nil"/>
              <w:right w:val="single" w:sz="2" w:space="0" w:color="auto"/>
            </w:tcBorders>
          </w:tcPr>
          <w:p w14:paraId="345E4F78" w14:textId="468CB0FB" w:rsidR="00581C35" w:rsidRPr="005F0AAA" w:rsidRDefault="00581C35" w:rsidP="00581C35">
            <w:pPr>
              <w:pStyle w:val="TableReference"/>
              <w:tabs>
                <w:tab w:val="left" w:pos="3306"/>
              </w:tabs>
              <w:rPr>
                <w:rFonts w:cs="Calibri"/>
                <w:color w:val="7030A0"/>
                <w:sz w:val="14"/>
              </w:rPr>
            </w:pPr>
          </w:p>
        </w:tc>
        <w:tc>
          <w:tcPr>
            <w:tcW w:w="8899" w:type="dxa"/>
            <w:tcBorders>
              <w:top w:val="nil"/>
              <w:left w:val="single" w:sz="2" w:space="0" w:color="auto"/>
              <w:bottom w:val="nil"/>
              <w:right w:val="nil"/>
            </w:tcBorders>
            <w:shd w:val="clear" w:color="auto" w:fill="7030A0"/>
          </w:tcPr>
          <w:p w14:paraId="211B8450" w14:textId="08806E0A" w:rsidR="00581C35" w:rsidRPr="00581C35" w:rsidRDefault="00581C35" w:rsidP="00581C35">
            <w:pPr>
              <w:pStyle w:val="CommentaryText"/>
              <w:tabs>
                <w:tab w:val="left" w:pos="3306"/>
              </w:tabs>
              <w:spacing w:after="0"/>
              <w:rPr>
                <w:rFonts w:cs="Calibri"/>
                <w:color w:val="FFFFFF" w:themeColor="background1"/>
                <w:sz w:val="18"/>
                <w:szCs w:val="18"/>
              </w:rPr>
            </w:pPr>
            <w:r w:rsidRPr="00581C35">
              <w:rPr>
                <w:rFonts w:cs="Calibri"/>
                <w:color w:val="FFFFFF" w:themeColor="background1"/>
                <w:sz w:val="18"/>
                <w:szCs w:val="18"/>
              </w:rPr>
              <w:t xml:space="preserve">A detailed discussion of the concepts, methodologies and disclosures relating to </w:t>
            </w:r>
            <w:r w:rsidRPr="00581C35">
              <w:rPr>
                <w:rFonts w:cs="Calibri"/>
                <w:iCs/>
                <w:color w:val="FFFFFF" w:themeColor="background1"/>
                <w:sz w:val="18"/>
                <w:szCs w:val="18"/>
              </w:rPr>
              <w:t>fair value hierarchy</w:t>
            </w:r>
            <w:r w:rsidRPr="00581C35">
              <w:rPr>
                <w:rFonts w:cs="Calibri"/>
                <w:color w:val="FFFFFF" w:themeColor="background1"/>
                <w:sz w:val="18"/>
                <w:szCs w:val="18"/>
              </w:rPr>
              <w:t xml:space="preserve"> is found in the Commentary to </w:t>
            </w:r>
            <w:r w:rsidRPr="00581C35">
              <w:rPr>
                <w:rFonts w:cs="Calibri"/>
                <w:iCs/>
                <w:color w:val="FFFFFF" w:themeColor="background1"/>
                <w:sz w:val="18"/>
                <w:szCs w:val="18"/>
              </w:rPr>
              <w:t xml:space="preserve">Note 19 </w:t>
            </w:r>
            <w:r w:rsidRPr="00581C35">
              <w:rPr>
                <w:rFonts w:cs="Calibri"/>
                <w:i/>
                <w:color w:val="FFFFFF" w:themeColor="background1"/>
                <w:sz w:val="18"/>
                <w:szCs w:val="18"/>
              </w:rPr>
              <w:t>Property, Plant and Equipment</w:t>
            </w:r>
            <w:r w:rsidRPr="00581C35">
              <w:rPr>
                <w:rFonts w:cs="Calibri"/>
                <w:color w:val="FFFFFF" w:themeColor="background1"/>
                <w:sz w:val="18"/>
                <w:szCs w:val="18"/>
              </w:rPr>
              <w:t>.</w:t>
            </w:r>
          </w:p>
        </w:tc>
      </w:tr>
      <w:tr w:rsidR="00581C35" w:rsidRPr="00CF7E1B" w14:paraId="7C851519" w14:textId="77777777" w:rsidTr="002A16D9">
        <w:trPr>
          <w:cantSplit/>
          <w:trHeight w:val="23"/>
        </w:trPr>
        <w:tc>
          <w:tcPr>
            <w:tcW w:w="1560" w:type="dxa"/>
            <w:tcBorders>
              <w:top w:val="nil"/>
              <w:left w:val="single" w:sz="2" w:space="0" w:color="auto"/>
              <w:bottom w:val="nil"/>
              <w:right w:val="single" w:sz="2" w:space="0" w:color="auto"/>
            </w:tcBorders>
          </w:tcPr>
          <w:p w14:paraId="6CDCDF0A" w14:textId="04C055B8" w:rsidR="00581C35" w:rsidRPr="005F0AAA" w:rsidRDefault="00581C35" w:rsidP="00581C35">
            <w:pPr>
              <w:pStyle w:val="TableReference"/>
              <w:tabs>
                <w:tab w:val="left" w:pos="3306"/>
              </w:tabs>
              <w:rPr>
                <w:rFonts w:cs="Calibri"/>
                <w:color w:val="7030A0"/>
                <w:sz w:val="14"/>
              </w:rPr>
            </w:pPr>
            <w:r w:rsidRPr="00BF30D3">
              <w:rPr>
                <w:rFonts w:cs="Calibri"/>
                <w:color w:val="7030A0"/>
                <w:sz w:val="14"/>
              </w:rPr>
              <w:t>AASB 16.84</w:t>
            </w:r>
          </w:p>
        </w:tc>
        <w:tc>
          <w:tcPr>
            <w:tcW w:w="8899" w:type="dxa"/>
            <w:tcBorders>
              <w:top w:val="nil"/>
              <w:left w:val="single" w:sz="2" w:space="0" w:color="auto"/>
              <w:bottom w:val="nil"/>
              <w:right w:val="nil"/>
            </w:tcBorders>
            <w:shd w:val="clear" w:color="auto" w:fill="7030A0"/>
          </w:tcPr>
          <w:p w14:paraId="7065629D" w14:textId="420A28F5" w:rsidR="00581C35" w:rsidRPr="00581C35" w:rsidRDefault="00581C35" w:rsidP="00581C35">
            <w:pPr>
              <w:pStyle w:val="CommentaryHeading"/>
              <w:spacing w:after="0"/>
              <w:jc w:val="both"/>
              <w:rPr>
                <w:rFonts w:cs="Calibri"/>
                <w:b w:val="0"/>
                <w:bCs w:val="0"/>
                <w:color w:val="FFFFFF" w:themeColor="background1"/>
                <w:sz w:val="18"/>
              </w:rPr>
            </w:pPr>
            <w:r w:rsidRPr="00581C35">
              <w:rPr>
                <w:rFonts w:cs="Calibri"/>
                <w:b w:val="0"/>
                <w:bCs w:val="0"/>
                <w:color w:val="FFFFFF" w:themeColor="background1"/>
                <w:sz w:val="18"/>
              </w:rPr>
              <w:t xml:space="preserve">The depreciation policy for depreciable assets under an operating lease must be consistent with the lessor’s normal depreciation policy for similar assets, and depreciation and amortisation calculated in accordance with AASB 116 </w:t>
            </w:r>
            <w:r w:rsidRPr="00581C35">
              <w:rPr>
                <w:rFonts w:cs="Calibri"/>
                <w:b w:val="0"/>
                <w:bCs w:val="0"/>
                <w:i/>
                <w:iCs/>
                <w:color w:val="FFFFFF" w:themeColor="background1"/>
                <w:sz w:val="18"/>
              </w:rPr>
              <w:t>Property, Plant and Equipment</w:t>
            </w:r>
            <w:r w:rsidRPr="00581C35">
              <w:rPr>
                <w:rFonts w:cs="Calibri"/>
                <w:b w:val="0"/>
                <w:bCs w:val="0"/>
                <w:color w:val="FFFFFF" w:themeColor="background1"/>
                <w:sz w:val="18"/>
              </w:rPr>
              <w:t xml:space="preserve"> and AASB 138 </w:t>
            </w:r>
            <w:r w:rsidRPr="00581C35">
              <w:rPr>
                <w:rFonts w:cs="Calibri"/>
                <w:b w:val="0"/>
                <w:bCs w:val="0"/>
                <w:i/>
                <w:color w:val="FFFFFF" w:themeColor="background1"/>
                <w:sz w:val="18"/>
              </w:rPr>
              <w:t>Intangible Assets</w:t>
            </w:r>
            <w:r w:rsidRPr="00581C35">
              <w:rPr>
                <w:rFonts w:cs="Calibri"/>
                <w:b w:val="0"/>
                <w:bCs w:val="0"/>
                <w:color w:val="FFFFFF" w:themeColor="background1"/>
                <w:sz w:val="18"/>
              </w:rPr>
              <w:t>.</w:t>
            </w:r>
          </w:p>
        </w:tc>
      </w:tr>
      <w:tr w:rsidR="00581C35" w:rsidRPr="00CF7E1B" w14:paraId="600412B4" w14:textId="77777777" w:rsidTr="002A16D9">
        <w:trPr>
          <w:cantSplit/>
          <w:trHeight w:val="23"/>
        </w:trPr>
        <w:tc>
          <w:tcPr>
            <w:tcW w:w="1560" w:type="dxa"/>
            <w:tcBorders>
              <w:top w:val="nil"/>
              <w:left w:val="single" w:sz="2" w:space="0" w:color="auto"/>
              <w:bottom w:val="nil"/>
              <w:right w:val="single" w:sz="2" w:space="0" w:color="auto"/>
            </w:tcBorders>
          </w:tcPr>
          <w:p w14:paraId="4F8B88B0" w14:textId="77777777" w:rsidR="00581C35" w:rsidRDefault="00581C35" w:rsidP="00581C35">
            <w:pPr>
              <w:pStyle w:val="TableReference"/>
              <w:tabs>
                <w:tab w:val="left" w:pos="3306"/>
              </w:tabs>
              <w:spacing w:before="60"/>
              <w:rPr>
                <w:rFonts w:cs="Calibri"/>
                <w:color w:val="7030A0"/>
                <w:sz w:val="14"/>
              </w:rPr>
            </w:pPr>
            <w:r w:rsidRPr="00BF30D3">
              <w:rPr>
                <w:rFonts w:cs="Calibri"/>
                <w:color w:val="7030A0"/>
                <w:sz w:val="14"/>
              </w:rPr>
              <w:t>AASB 16.90(b)</w:t>
            </w:r>
          </w:p>
          <w:p w14:paraId="188747DC" w14:textId="42B1A4F6" w:rsidR="00581C35" w:rsidRPr="005F0AAA" w:rsidRDefault="00581C35" w:rsidP="00581C35">
            <w:pPr>
              <w:pStyle w:val="TableReference"/>
              <w:tabs>
                <w:tab w:val="left" w:pos="3306"/>
              </w:tabs>
              <w:spacing w:before="60"/>
              <w:rPr>
                <w:rFonts w:cs="Calibri"/>
                <w:color w:val="7030A0"/>
                <w:sz w:val="14"/>
              </w:rPr>
            </w:pPr>
            <w:r>
              <w:rPr>
                <w:rFonts w:cs="Calibri"/>
                <w:color w:val="7030A0"/>
                <w:sz w:val="14"/>
              </w:rPr>
              <w:t>AASB 140.75(b)</w:t>
            </w:r>
          </w:p>
        </w:tc>
        <w:tc>
          <w:tcPr>
            <w:tcW w:w="8899" w:type="dxa"/>
            <w:tcBorders>
              <w:top w:val="nil"/>
              <w:left w:val="single" w:sz="2" w:space="0" w:color="auto"/>
              <w:bottom w:val="nil"/>
              <w:right w:val="nil"/>
            </w:tcBorders>
            <w:shd w:val="clear" w:color="auto" w:fill="7030A0"/>
          </w:tcPr>
          <w:p w14:paraId="18DC8C6E" w14:textId="1AD2291B" w:rsidR="00581C35" w:rsidRPr="00581C35" w:rsidRDefault="00581C35" w:rsidP="00581C35">
            <w:pPr>
              <w:pStyle w:val="CommentaryText"/>
              <w:tabs>
                <w:tab w:val="left" w:pos="3306"/>
              </w:tabs>
              <w:spacing w:before="120" w:after="0"/>
              <w:rPr>
                <w:rFonts w:cs="Calibri"/>
                <w:color w:val="FFFFFF" w:themeColor="background1"/>
                <w:sz w:val="18"/>
                <w:szCs w:val="18"/>
              </w:rPr>
            </w:pPr>
            <w:r w:rsidRPr="00581C35">
              <w:rPr>
                <w:rFonts w:cs="Calibri"/>
                <w:color w:val="FFFFFF" w:themeColor="background1"/>
                <w:sz w:val="18"/>
                <w:szCs w:val="18"/>
              </w:rPr>
              <w:t>For operating leases, lessors shall separately disclose income relating to variable lease payments that do not depend on an index or a rate.</w:t>
            </w:r>
          </w:p>
        </w:tc>
      </w:tr>
      <w:tr w:rsidR="00581C35" w:rsidRPr="00CF7E1B" w14:paraId="4C6B5875" w14:textId="77777777" w:rsidTr="002A16D9">
        <w:trPr>
          <w:cantSplit/>
          <w:trHeight w:hRule="exact" w:val="340"/>
        </w:trPr>
        <w:tc>
          <w:tcPr>
            <w:tcW w:w="1560" w:type="dxa"/>
            <w:tcBorders>
              <w:top w:val="nil"/>
              <w:left w:val="single" w:sz="2" w:space="0" w:color="auto"/>
              <w:bottom w:val="nil"/>
              <w:right w:val="single" w:sz="2" w:space="0" w:color="auto"/>
            </w:tcBorders>
          </w:tcPr>
          <w:p w14:paraId="174E6CD1" w14:textId="77777777"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36B15735" w14:textId="0B7FAC15" w:rsidR="00581C35" w:rsidRPr="00581C35" w:rsidRDefault="00581C35" w:rsidP="00581C35">
            <w:pPr>
              <w:pStyle w:val="CommentaryHeading"/>
              <w:spacing w:after="0"/>
              <w:jc w:val="both"/>
              <w:rPr>
                <w:rFonts w:cs="Calibri"/>
                <w:b w:val="0"/>
                <w:bCs w:val="0"/>
                <w:color w:val="FFFFFF" w:themeColor="background1"/>
                <w:sz w:val="18"/>
              </w:rPr>
            </w:pPr>
            <w:r w:rsidRPr="00581C35">
              <w:rPr>
                <w:rFonts w:cs="Calibri"/>
                <w:b w:val="0"/>
                <w:bCs w:val="0"/>
                <w:color w:val="FFFFFF" w:themeColor="background1"/>
                <w:sz w:val="18"/>
              </w:rPr>
              <w:t>Where agencies apply the fair value model, they shall disclose whether, and in what circumstances, property interests held under operating leases are classified and accounted for as investment property.</w:t>
            </w:r>
          </w:p>
        </w:tc>
      </w:tr>
      <w:tr w:rsidR="00581C35" w:rsidRPr="00CF7E1B" w14:paraId="7F5F883F" w14:textId="77777777" w:rsidTr="002A16D9">
        <w:trPr>
          <w:cantSplit/>
          <w:trHeight w:val="23"/>
        </w:trPr>
        <w:tc>
          <w:tcPr>
            <w:tcW w:w="1560" w:type="dxa"/>
            <w:tcBorders>
              <w:top w:val="nil"/>
              <w:left w:val="single" w:sz="2" w:space="0" w:color="auto"/>
              <w:bottom w:val="nil"/>
              <w:right w:val="single" w:sz="2" w:space="0" w:color="auto"/>
            </w:tcBorders>
          </w:tcPr>
          <w:p w14:paraId="4D2D4FED" w14:textId="0A9BB811"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12BD3323" w14:textId="49599996" w:rsidR="00581C35" w:rsidRPr="00581C35" w:rsidRDefault="00581C35" w:rsidP="00581C35">
            <w:pPr>
              <w:pStyle w:val="CommentaryText"/>
              <w:tabs>
                <w:tab w:val="left" w:pos="3306"/>
              </w:tabs>
              <w:rPr>
                <w:rFonts w:cs="Calibri"/>
                <w:color w:val="FFFFFF" w:themeColor="background1"/>
                <w:sz w:val="18"/>
                <w:szCs w:val="18"/>
              </w:rPr>
            </w:pPr>
            <w:r w:rsidRPr="00581C35">
              <w:rPr>
                <w:rFonts w:cs="Calibri"/>
                <w:color w:val="FFFFFF" w:themeColor="background1"/>
                <w:sz w:val="18"/>
                <w:szCs w:val="18"/>
              </w:rPr>
              <w:t>Fair Value Disclosures</w:t>
            </w:r>
          </w:p>
        </w:tc>
      </w:tr>
      <w:tr w:rsidR="00581C35" w:rsidRPr="00CF7E1B" w14:paraId="1AEE3433" w14:textId="77777777" w:rsidTr="002A16D9">
        <w:trPr>
          <w:cantSplit/>
          <w:trHeight w:val="23"/>
        </w:trPr>
        <w:tc>
          <w:tcPr>
            <w:tcW w:w="1560" w:type="dxa"/>
            <w:tcBorders>
              <w:top w:val="nil"/>
              <w:left w:val="single" w:sz="2" w:space="0" w:color="auto"/>
              <w:bottom w:val="nil"/>
              <w:right w:val="single" w:sz="2" w:space="0" w:color="auto"/>
            </w:tcBorders>
          </w:tcPr>
          <w:p w14:paraId="14EB65BC" w14:textId="77777777"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25AA8CF4" w14:textId="128F44FA" w:rsidR="00581C35" w:rsidRPr="00581C35" w:rsidRDefault="00581C35" w:rsidP="00581C35">
            <w:pPr>
              <w:pStyle w:val="CommentaryText"/>
              <w:tabs>
                <w:tab w:val="left" w:pos="3306"/>
              </w:tabs>
              <w:rPr>
                <w:rFonts w:cs="Calibri"/>
                <w:color w:val="FFFFFF" w:themeColor="background1"/>
                <w:szCs w:val="20"/>
              </w:rPr>
            </w:pPr>
            <w:r w:rsidRPr="00581C35">
              <w:rPr>
                <w:b/>
                <w:bCs/>
                <w:color w:val="FFFFFF" w:themeColor="background1"/>
                <w:szCs w:val="20"/>
              </w:rPr>
              <w:t>Adjustment for Revalued Investment Properties</w:t>
            </w:r>
          </w:p>
        </w:tc>
      </w:tr>
      <w:tr w:rsidR="00581C35" w:rsidRPr="00CF7E1B" w14:paraId="25CCF80D" w14:textId="77777777" w:rsidTr="002A16D9">
        <w:trPr>
          <w:cantSplit/>
          <w:trHeight w:val="23"/>
        </w:trPr>
        <w:tc>
          <w:tcPr>
            <w:tcW w:w="1560" w:type="dxa"/>
            <w:tcBorders>
              <w:top w:val="nil"/>
              <w:left w:val="single" w:sz="2" w:space="0" w:color="auto"/>
              <w:bottom w:val="nil"/>
              <w:right w:val="single" w:sz="2" w:space="0" w:color="auto"/>
            </w:tcBorders>
          </w:tcPr>
          <w:p w14:paraId="631DA942" w14:textId="3A46B5E2" w:rsidR="00581C35" w:rsidRPr="005F0AAA" w:rsidRDefault="00581C35" w:rsidP="00581C35">
            <w:pPr>
              <w:pStyle w:val="TableReference"/>
              <w:tabs>
                <w:tab w:val="left" w:pos="3306"/>
              </w:tabs>
              <w:spacing w:before="60"/>
              <w:rPr>
                <w:rFonts w:cs="Calibri"/>
                <w:color w:val="7030A0"/>
                <w:sz w:val="14"/>
              </w:rPr>
            </w:pPr>
            <w:r w:rsidRPr="00BF30D3">
              <w:rPr>
                <w:rFonts w:cs="Calibri"/>
                <w:color w:val="7030A0"/>
                <w:sz w:val="14"/>
              </w:rPr>
              <w:t>AASB 140.77</w:t>
            </w:r>
          </w:p>
        </w:tc>
        <w:tc>
          <w:tcPr>
            <w:tcW w:w="8899" w:type="dxa"/>
            <w:tcBorders>
              <w:top w:val="nil"/>
              <w:left w:val="single" w:sz="2" w:space="0" w:color="auto"/>
              <w:bottom w:val="nil"/>
              <w:right w:val="nil"/>
            </w:tcBorders>
            <w:shd w:val="clear" w:color="auto" w:fill="7030A0"/>
          </w:tcPr>
          <w:p w14:paraId="4354C0BF" w14:textId="77777777" w:rsidR="00581C35" w:rsidRPr="00581C35" w:rsidRDefault="00581C35" w:rsidP="00581C35">
            <w:pPr>
              <w:pStyle w:val="CommentaryText"/>
              <w:autoSpaceDE w:val="0"/>
              <w:autoSpaceDN w:val="0"/>
              <w:adjustRightInd w:val="0"/>
              <w:rPr>
                <w:color w:val="FFFFFF" w:themeColor="background1"/>
                <w:sz w:val="18"/>
                <w:szCs w:val="18"/>
              </w:rPr>
            </w:pPr>
            <w:r w:rsidRPr="00581C35">
              <w:rPr>
                <w:rFonts w:cs="Calibri"/>
                <w:color w:val="FFFFFF" w:themeColor="background1"/>
                <w:sz w:val="18"/>
                <w:szCs w:val="18"/>
              </w:rPr>
              <w:t xml:space="preserve">Where an investment property that is held at fair value, and as such needs to be revalued every year, it may be necessary to </w:t>
            </w:r>
            <w:r w:rsidRPr="00581C35">
              <w:rPr>
                <w:color w:val="FFFFFF" w:themeColor="background1"/>
                <w:sz w:val="18"/>
                <w:szCs w:val="18"/>
              </w:rPr>
              <w:t>significantly adjust the value of the investment property in order to avoid double counting of assets that are recognised as separate assets. For example where furniture/fitting or equipment like a lift/air-conditioning unit have been included in the value of the investment property but an agency has already taken up these assets separately as plant and equipment, then it will need to adjust the value of the investment property. However, these examples of double counting may be able to be avoided by agencies having discussions with their valuers to see whether these items can be excluded from the valuation. Also the fair value of investment property may need to be reduced because it excludes prepaid or accrued operating lease income, due to the agency recognising this as a separate liability or asset.</w:t>
            </w:r>
          </w:p>
          <w:p w14:paraId="03F33F38" w14:textId="257337CE" w:rsidR="00581C35" w:rsidRPr="00581C35" w:rsidRDefault="00581C35" w:rsidP="00581C35">
            <w:pPr>
              <w:pStyle w:val="CommentaryText"/>
              <w:tabs>
                <w:tab w:val="left" w:pos="3306"/>
              </w:tabs>
              <w:rPr>
                <w:b/>
                <w:bCs/>
                <w:color w:val="FFFFFF" w:themeColor="background1"/>
                <w:sz w:val="18"/>
                <w:szCs w:val="18"/>
              </w:rPr>
            </w:pPr>
            <w:r w:rsidRPr="00581C35">
              <w:rPr>
                <w:color w:val="FFFFFF" w:themeColor="background1"/>
                <w:sz w:val="18"/>
                <w:szCs w:val="18"/>
              </w:rPr>
              <w:t xml:space="preserve">Where the value of the investment property needs to be reduced, agencies shall disclose a reconciliation between the valuation obtained and the adjusted valuation included in the financial statements, showing separately the aggregate amount of any recognised lease obligations that have been added back, and any other significant adjustments. </w:t>
            </w:r>
          </w:p>
        </w:tc>
      </w:tr>
    </w:tbl>
    <w:tbl>
      <w:tblPr>
        <w:tblpPr w:leftFromText="180" w:rightFromText="180" w:vertAnchor="text" w:tblpX="-6" w:tblpY="1"/>
        <w:tblOverlap w:val="neve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4819"/>
        <w:gridCol w:w="1843"/>
        <w:gridCol w:w="2268"/>
      </w:tblGrid>
      <w:tr w:rsidR="009F2B4C" w:rsidRPr="00F80177" w14:paraId="6D4DDE0C" w14:textId="77777777" w:rsidTr="002A16D9">
        <w:trPr>
          <w:cantSplit/>
          <w:trHeight w:val="23"/>
        </w:trPr>
        <w:tc>
          <w:tcPr>
            <w:tcW w:w="1557" w:type="dxa"/>
            <w:tcBorders>
              <w:top w:val="nil"/>
              <w:left w:val="single" w:sz="2" w:space="0" w:color="auto"/>
              <w:bottom w:val="nil"/>
              <w:right w:val="single" w:sz="2" w:space="0" w:color="auto"/>
            </w:tcBorders>
          </w:tcPr>
          <w:p w14:paraId="7415DE60" w14:textId="50C48A93" w:rsidR="009F2B4C" w:rsidRPr="005F0AAA" w:rsidRDefault="009F2B4C" w:rsidP="00055FB5">
            <w:pPr>
              <w:pStyle w:val="TableReference"/>
              <w:tabs>
                <w:tab w:val="left" w:pos="3306"/>
              </w:tabs>
              <w:spacing w:before="240" w:after="240"/>
              <w:rPr>
                <w:rFonts w:cs="Calibri"/>
                <w:color w:val="7030A0"/>
                <w:sz w:val="22"/>
                <w:szCs w:val="22"/>
              </w:rPr>
            </w:pPr>
          </w:p>
        </w:tc>
        <w:tc>
          <w:tcPr>
            <w:tcW w:w="8930" w:type="dxa"/>
            <w:gridSpan w:val="3"/>
            <w:tcBorders>
              <w:top w:val="nil"/>
              <w:left w:val="single" w:sz="2" w:space="0" w:color="auto"/>
              <w:bottom w:val="nil"/>
              <w:right w:val="nil"/>
            </w:tcBorders>
            <w:vAlign w:val="bottom"/>
          </w:tcPr>
          <w:p w14:paraId="0600F1EE" w14:textId="2BF65CD3" w:rsidR="009F2B4C" w:rsidRPr="005F0AAA" w:rsidRDefault="009F2B4C" w:rsidP="00055FB5">
            <w:pPr>
              <w:pStyle w:val="Heading1"/>
              <w:numPr>
                <w:ilvl w:val="0"/>
                <w:numId w:val="0"/>
              </w:numPr>
              <w:rPr>
                <w:rFonts w:cs="Calibri"/>
                <w:sz w:val="20"/>
                <w:szCs w:val="20"/>
              </w:rPr>
            </w:pPr>
            <w:bookmarkStart w:id="555" w:name="_Toc49224100"/>
            <w:bookmarkStart w:id="556" w:name="_Ref50365599"/>
            <w:bookmarkStart w:id="557" w:name="_Toc50440375"/>
            <w:bookmarkStart w:id="558" w:name="_Ref50524135"/>
            <w:bookmarkStart w:id="559" w:name="_Toc400627346"/>
            <w:bookmarkStart w:id="560" w:name="intangibleAssets"/>
            <w:bookmarkStart w:id="561" w:name="_Toc98763136"/>
            <w:r w:rsidRPr="005F0AAA">
              <w:t xml:space="preserve">Note </w:t>
            </w:r>
            <w:r w:rsidR="00DE287B" w:rsidRPr="005F0AAA">
              <w:t>21</w:t>
            </w:r>
            <w:r w:rsidRPr="005F0AAA">
              <w:t>.</w:t>
            </w:r>
            <w:r w:rsidR="00FA7C77">
              <w:t xml:space="preserve"> </w:t>
            </w:r>
            <w:r w:rsidRPr="005F0AAA">
              <w:t xml:space="preserve"> I</w:t>
            </w:r>
            <w:bookmarkEnd w:id="555"/>
            <w:bookmarkEnd w:id="556"/>
            <w:bookmarkEnd w:id="557"/>
            <w:bookmarkEnd w:id="558"/>
            <w:r w:rsidRPr="005F0AAA">
              <w:t>ntangible Assets</w:t>
            </w:r>
            <w:bookmarkEnd w:id="559"/>
            <w:bookmarkEnd w:id="560"/>
            <w:bookmarkEnd w:id="561"/>
          </w:p>
        </w:tc>
      </w:tr>
      <w:tr w:rsidR="002C0D3B" w:rsidRPr="00F80177" w14:paraId="710A687F" w14:textId="77777777" w:rsidTr="002A16D9">
        <w:trPr>
          <w:cantSplit/>
          <w:trHeight w:val="23"/>
        </w:trPr>
        <w:tc>
          <w:tcPr>
            <w:tcW w:w="1557" w:type="dxa"/>
            <w:tcBorders>
              <w:top w:val="nil"/>
              <w:left w:val="single" w:sz="2" w:space="0" w:color="auto"/>
              <w:bottom w:val="nil"/>
              <w:right w:val="single" w:sz="2" w:space="0" w:color="auto"/>
            </w:tcBorders>
          </w:tcPr>
          <w:p w14:paraId="5DB9D28C" w14:textId="77777777" w:rsidR="002C0D3B" w:rsidRPr="005F0AAA" w:rsidRDefault="002C0D3B" w:rsidP="00055FB5">
            <w:pPr>
              <w:pStyle w:val="TableReference"/>
              <w:tabs>
                <w:tab w:val="left" w:pos="3306"/>
              </w:tabs>
              <w:rPr>
                <w:rFonts w:cs="Calibri"/>
                <w:b/>
                <w:color w:val="7030A0"/>
                <w:sz w:val="20"/>
                <w:szCs w:val="20"/>
              </w:rPr>
            </w:pPr>
          </w:p>
        </w:tc>
        <w:tc>
          <w:tcPr>
            <w:tcW w:w="8930" w:type="dxa"/>
            <w:gridSpan w:val="3"/>
            <w:tcBorders>
              <w:top w:val="nil"/>
              <w:left w:val="single" w:sz="2" w:space="0" w:color="auto"/>
              <w:bottom w:val="nil"/>
              <w:right w:val="nil"/>
            </w:tcBorders>
            <w:vAlign w:val="bottom"/>
          </w:tcPr>
          <w:p w14:paraId="3CCF1FF9" w14:textId="5EC9B362" w:rsidR="002C0D3B" w:rsidRPr="005F0AAA" w:rsidRDefault="00C7606A" w:rsidP="00055FB5">
            <w:pPr>
              <w:pStyle w:val="Heading1"/>
              <w:numPr>
                <w:ilvl w:val="0"/>
                <w:numId w:val="0"/>
              </w:numPr>
              <w:spacing w:before="0" w:after="0"/>
            </w:pPr>
            <w:bookmarkStart w:id="562" w:name="_Hlk87447431"/>
            <w:bookmarkStart w:id="563" w:name="_Toc98763137"/>
            <w:r w:rsidRPr="005F0AAA">
              <w:rPr>
                <w:rFonts w:ascii="Calibri" w:hAnsi="Calibri" w:cs="Calibri"/>
                <w:caps w:val="0"/>
                <w:sz w:val="18"/>
                <w:szCs w:val="18"/>
              </w:rPr>
              <w:t>Description</w:t>
            </w:r>
            <w:bookmarkEnd w:id="562"/>
            <w:r w:rsidRPr="005F0AAA">
              <w:rPr>
                <w:rFonts w:ascii="Calibri" w:hAnsi="Calibri" w:cs="Calibri"/>
                <w:caps w:val="0"/>
                <w:sz w:val="18"/>
                <w:szCs w:val="18"/>
              </w:rPr>
              <w:t xml:space="preserve"> and Material Accounting Policies Relating to Intangible Assets</w:t>
            </w:r>
            <w:bookmarkEnd w:id="563"/>
            <w:r w:rsidR="00FA7C77">
              <w:rPr>
                <w:rFonts w:ascii="Calibri" w:hAnsi="Calibri" w:cs="Calibri"/>
                <w:caps w:val="0"/>
                <w:sz w:val="18"/>
                <w:szCs w:val="18"/>
              </w:rPr>
              <w:t xml:space="preserve"> </w:t>
            </w:r>
          </w:p>
        </w:tc>
      </w:tr>
      <w:tr w:rsidR="009F2B4C" w:rsidRPr="00D55D0B" w14:paraId="04CE2F28" w14:textId="77777777" w:rsidTr="002A16D9">
        <w:trPr>
          <w:cantSplit/>
          <w:trHeight w:val="23"/>
        </w:trPr>
        <w:tc>
          <w:tcPr>
            <w:tcW w:w="1557" w:type="dxa"/>
            <w:tcBorders>
              <w:top w:val="nil"/>
              <w:left w:val="single" w:sz="2" w:space="0" w:color="auto"/>
              <w:bottom w:val="nil"/>
              <w:right w:val="single" w:sz="2" w:space="0" w:color="auto"/>
            </w:tcBorders>
          </w:tcPr>
          <w:p w14:paraId="5F4C611A" w14:textId="77777777" w:rsidR="009F2B4C" w:rsidRPr="005F0AAA" w:rsidRDefault="009F2B4C" w:rsidP="00055FB5">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10360E45" w14:textId="6C919560" w:rsidR="009F2B4C" w:rsidRPr="005F0AAA" w:rsidRDefault="009F2B4C" w:rsidP="00055FB5">
            <w:pPr>
              <w:pStyle w:val="TableText"/>
              <w:jc w:val="both"/>
            </w:pPr>
            <w:r w:rsidRPr="005F0AAA">
              <w:rPr>
                <w:rFonts w:cs="Calibri"/>
              </w:rPr>
              <w:t>The Agency has internally generated software and externally purchased software. The internally generated software consists of two large software systems, while the externally purchased software consists of 520 software licences.</w:t>
            </w:r>
            <w:r w:rsidR="00FA7C77">
              <w:rPr>
                <w:rFonts w:cs="Calibri"/>
              </w:rPr>
              <w:t xml:space="preserve"> </w:t>
            </w:r>
            <w:r w:rsidRPr="005F0AAA">
              <w:rPr>
                <w:rFonts w:cs="Calibri"/>
              </w:rPr>
              <w:t>Other Intangibles recognised below are all externally purchased.</w:t>
            </w:r>
          </w:p>
        </w:tc>
      </w:tr>
      <w:tr w:rsidR="00EF79AC" w:rsidRPr="00D55D0B" w14:paraId="5D078A84" w14:textId="77777777" w:rsidTr="002A16D9">
        <w:trPr>
          <w:cantSplit/>
          <w:trHeight w:val="23"/>
        </w:trPr>
        <w:tc>
          <w:tcPr>
            <w:tcW w:w="1557" w:type="dxa"/>
            <w:tcBorders>
              <w:top w:val="nil"/>
              <w:left w:val="single" w:sz="2" w:space="0" w:color="auto"/>
              <w:bottom w:val="nil"/>
              <w:right w:val="single" w:sz="2" w:space="0" w:color="auto"/>
            </w:tcBorders>
          </w:tcPr>
          <w:p w14:paraId="7CF793C5" w14:textId="77777777" w:rsidR="00EF79AC" w:rsidRPr="005F0AAA" w:rsidRDefault="00EF79AC" w:rsidP="00055FB5">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40ECF1DD" w14:textId="16F4BC2D" w:rsidR="00EF79AC" w:rsidRPr="005F0AAA" w:rsidRDefault="00EF79AC" w:rsidP="0077399A">
            <w:pPr>
              <w:pStyle w:val="TableText"/>
              <w:spacing w:before="60"/>
              <w:jc w:val="both"/>
              <w:rPr>
                <w:rFonts w:cs="Calibri"/>
                <w:i/>
                <w:iCs/>
              </w:rPr>
            </w:pPr>
            <w:r w:rsidRPr="005F0AAA">
              <w:rPr>
                <w:rFonts w:cs="Calibri"/>
                <w:i/>
                <w:iCs/>
              </w:rPr>
              <w:t xml:space="preserve">Recognition </w:t>
            </w:r>
          </w:p>
        </w:tc>
      </w:tr>
      <w:tr w:rsidR="002C0D3B" w:rsidRPr="00D55D0B" w14:paraId="6479A3C1" w14:textId="77777777" w:rsidTr="002A16D9">
        <w:trPr>
          <w:cantSplit/>
          <w:trHeight w:val="23"/>
        </w:trPr>
        <w:tc>
          <w:tcPr>
            <w:tcW w:w="1557" w:type="dxa"/>
            <w:tcBorders>
              <w:top w:val="nil"/>
              <w:left w:val="single" w:sz="2" w:space="0" w:color="auto"/>
              <w:bottom w:val="nil"/>
              <w:right w:val="single" w:sz="2" w:space="0" w:color="auto"/>
            </w:tcBorders>
          </w:tcPr>
          <w:p w14:paraId="59CD823B" w14:textId="4F962477" w:rsidR="002C0D3B" w:rsidRPr="005F0AAA" w:rsidRDefault="002C0D3B" w:rsidP="00055FB5">
            <w:pPr>
              <w:pStyle w:val="TableReference"/>
              <w:tabs>
                <w:tab w:val="left" w:pos="3306"/>
              </w:tabs>
              <w:spacing w:before="160"/>
              <w:rPr>
                <w:rFonts w:cs="Calibri"/>
                <w:color w:val="7030A0"/>
                <w:sz w:val="14"/>
              </w:rPr>
            </w:pPr>
            <w:r w:rsidRPr="005F0AAA">
              <w:rPr>
                <w:color w:val="7030A0"/>
                <w:sz w:val="14"/>
              </w:rPr>
              <w:t>AASB 138.21 &amp; 57, Model Financial Statements Guidelines: 1.6 Application – ACT Disclosure Policy</w:t>
            </w:r>
          </w:p>
        </w:tc>
        <w:tc>
          <w:tcPr>
            <w:tcW w:w="8930" w:type="dxa"/>
            <w:gridSpan w:val="3"/>
            <w:tcBorders>
              <w:top w:val="nil"/>
              <w:left w:val="single" w:sz="2" w:space="0" w:color="auto"/>
              <w:bottom w:val="nil"/>
              <w:right w:val="nil"/>
            </w:tcBorders>
            <w:vAlign w:val="bottom"/>
          </w:tcPr>
          <w:p w14:paraId="3C74BD54" w14:textId="77777777" w:rsidR="002C0D3B" w:rsidRPr="005F0AAA" w:rsidRDefault="002C0D3B" w:rsidP="00055FB5">
            <w:pPr>
              <w:spacing w:before="40" w:after="60"/>
              <w:jc w:val="both"/>
              <w:rPr>
                <w:sz w:val="18"/>
                <w:szCs w:val="18"/>
                <w:lang w:val="en-US"/>
              </w:rPr>
            </w:pPr>
            <w:r w:rsidRPr="005F0AAA">
              <w:rPr>
                <w:sz w:val="18"/>
                <w:szCs w:val="18"/>
                <w:lang w:val="en-US"/>
              </w:rPr>
              <w:t>The Agency’s intangible assets are comprised of internally generated and externally acquired software for internal use. Externally acquired software is recognised and</w:t>
            </w:r>
            <w:r w:rsidRPr="005F0AAA">
              <w:rPr>
                <w:sz w:val="18"/>
                <w:szCs w:val="18"/>
              </w:rPr>
              <w:t xml:space="preserve"> capitalised</w:t>
            </w:r>
            <w:r w:rsidRPr="005F0AAA">
              <w:rPr>
                <w:sz w:val="18"/>
                <w:szCs w:val="18"/>
                <w:lang w:val="en-US"/>
              </w:rPr>
              <w:t xml:space="preserve"> when:</w:t>
            </w:r>
          </w:p>
          <w:p w14:paraId="65901B7D" w14:textId="77777777" w:rsidR="002C0D3B" w:rsidRPr="005F0AAA" w:rsidRDefault="002C0D3B" w:rsidP="00055FB5">
            <w:pPr>
              <w:tabs>
                <w:tab w:val="left" w:pos="426"/>
              </w:tabs>
              <w:autoSpaceDE w:val="0"/>
              <w:autoSpaceDN w:val="0"/>
              <w:adjustRightInd w:val="0"/>
              <w:spacing w:after="60"/>
              <w:ind w:left="318" w:hanging="284"/>
              <w:jc w:val="both"/>
              <w:rPr>
                <w:rFonts w:cs="Calibri"/>
                <w:sz w:val="18"/>
                <w:szCs w:val="18"/>
                <w:lang w:val="en-US"/>
              </w:rPr>
            </w:pPr>
            <w:r w:rsidRPr="005F0AAA">
              <w:rPr>
                <w:rFonts w:cs="Calibri"/>
                <w:sz w:val="18"/>
                <w:szCs w:val="18"/>
                <w:lang w:val="en-US"/>
              </w:rPr>
              <w:t>(a) it is probable that the expected future economic benefits attributable to the software will flow to the Agency;</w:t>
            </w:r>
          </w:p>
          <w:p w14:paraId="647B7601" w14:textId="77777777" w:rsidR="002C0D3B" w:rsidRPr="005F0AAA" w:rsidRDefault="002C0D3B" w:rsidP="00055FB5">
            <w:pPr>
              <w:tabs>
                <w:tab w:val="left" w:pos="601"/>
              </w:tabs>
              <w:autoSpaceDE w:val="0"/>
              <w:autoSpaceDN w:val="0"/>
              <w:adjustRightInd w:val="0"/>
              <w:spacing w:after="60"/>
              <w:ind w:left="346" w:hanging="312"/>
              <w:jc w:val="both"/>
              <w:rPr>
                <w:rFonts w:cs="Calibri"/>
                <w:sz w:val="18"/>
                <w:szCs w:val="18"/>
                <w:lang w:val="en-US"/>
              </w:rPr>
            </w:pPr>
            <w:r w:rsidRPr="005F0AAA">
              <w:rPr>
                <w:rFonts w:cs="Calibri"/>
                <w:sz w:val="18"/>
                <w:szCs w:val="18"/>
                <w:lang w:val="en-US"/>
              </w:rPr>
              <w:t>(b) the cost of the software can be measured reliably; and</w:t>
            </w:r>
          </w:p>
          <w:p w14:paraId="3C09F144" w14:textId="4786851A" w:rsidR="002C0D3B" w:rsidRPr="005F0AAA" w:rsidRDefault="002C0D3B" w:rsidP="00055FB5">
            <w:pPr>
              <w:tabs>
                <w:tab w:val="left" w:pos="601"/>
                <w:tab w:val="left" w:pos="4920"/>
              </w:tabs>
              <w:autoSpaceDE w:val="0"/>
              <w:autoSpaceDN w:val="0"/>
              <w:adjustRightInd w:val="0"/>
              <w:spacing w:after="120"/>
              <w:ind w:left="346" w:hanging="312"/>
              <w:jc w:val="both"/>
              <w:rPr>
                <w:rFonts w:cs="Calibri"/>
                <w:sz w:val="18"/>
                <w:szCs w:val="18"/>
                <w:lang w:val="en-US"/>
              </w:rPr>
            </w:pPr>
            <w:r w:rsidRPr="005F0AAA">
              <w:rPr>
                <w:rFonts w:cs="Calibri"/>
                <w:sz w:val="18"/>
                <w:szCs w:val="18"/>
                <w:lang w:val="en-US"/>
              </w:rPr>
              <w:t>(c) the acquisition cost is equal to or exceeds $50,000.</w:t>
            </w:r>
            <w:r w:rsidRPr="005F0AAA">
              <w:rPr>
                <w:rFonts w:cs="Calibri"/>
                <w:sz w:val="18"/>
                <w:szCs w:val="18"/>
                <w:lang w:val="en-US"/>
              </w:rPr>
              <w:tab/>
            </w:r>
          </w:p>
        </w:tc>
      </w:tr>
      <w:tr w:rsidR="002C0D3B" w:rsidRPr="00D55D0B" w14:paraId="7B671C4C" w14:textId="77777777" w:rsidTr="002A16D9">
        <w:trPr>
          <w:cantSplit/>
          <w:trHeight w:val="23"/>
        </w:trPr>
        <w:tc>
          <w:tcPr>
            <w:tcW w:w="1557" w:type="dxa"/>
            <w:tcBorders>
              <w:top w:val="nil"/>
              <w:left w:val="single" w:sz="2" w:space="0" w:color="auto"/>
              <w:bottom w:val="nil"/>
              <w:right w:val="single" w:sz="2" w:space="0" w:color="auto"/>
            </w:tcBorders>
          </w:tcPr>
          <w:p w14:paraId="39566B16" w14:textId="6FC2F8AC" w:rsidR="002C0D3B" w:rsidRPr="005F0AAA" w:rsidRDefault="002C0D3B" w:rsidP="00055FB5">
            <w:pPr>
              <w:pStyle w:val="TableReference"/>
              <w:tabs>
                <w:tab w:val="left" w:pos="3306"/>
              </w:tabs>
              <w:spacing w:before="40"/>
              <w:rPr>
                <w:rFonts w:cs="Calibri"/>
                <w:color w:val="7030A0"/>
                <w:sz w:val="16"/>
                <w:szCs w:val="16"/>
              </w:rPr>
            </w:pPr>
            <w:r w:rsidRPr="005F0AAA">
              <w:rPr>
                <w:color w:val="7030A0"/>
              </w:rPr>
              <w:t>AASB 138.118(a) &amp; (b), Model Financial Statement Guidelines - 1.6 Application – ACT Disclosure Policy</w:t>
            </w:r>
          </w:p>
        </w:tc>
        <w:tc>
          <w:tcPr>
            <w:tcW w:w="8930" w:type="dxa"/>
            <w:gridSpan w:val="3"/>
            <w:tcBorders>
              <w:top w:val="nil"/>
              <w:left w:val="single" w:sz="2" w:space="0" w:color="auto"/>
              <w:bottom w:val="nil"/>
              <w:right w:val="nil"/>
            </w:tcBorders>
          </w:tcPr>
          <w:p w14:paraId="4356FE50" w14:textId="0EAD0A98" w:rsidR="002C0D3B" w:rsidRPr="005F0AAA" w:rsidRDefault="002C0D3B" w:rsidP="0077399A">
            <w:pPr>
              <w:pStyle w:val="TableText"/>
              <w:spacing w:before="0" w:after="60"/>
              <w:jc w:val="both"/>
              <w:rPr>
                <w:rFonts w:cs="Calibri"/>
                <w:sz w:val="20"/>
                <w:szCs w:val="20"/>
              </w:rPr>
            </w:pPr>
            <w:r w:rsidRPr="005F0AAA">
              <w:rPr>
                <w:lang w:val="en-US"/>
              </w:rPr>
              <w:t>Internally generated software is recognised when it meets the general recognition criteria outlined above and where it also meets the specific recognition criteria relating to intangible assets arising from the development phase of an internal project.</w:t>
            </w:r>
          </w:p>
        </w:tc>
      </w:tr>
      <w:tr w:rsidR="00EF79AC" w:rsidRPr="00D55D0B" w14:paraId="17379417" w14:textId="77777777" w:rsidTr="002A16D9">
        <w:trPr>
          <w:cantSplit/>
          <w:trHeight w:val="23"/>
        </w:trPr>
        <w:tc>
          <w:tcPr>
            <w:tcW w:w="1557" w:type="dxa"/>
            <w:tcBorders>
              <w:top w:val="nil"/>
              <w:left w:val="single" w:sz="2" w:space="0" w:color="auto"/>
              <w:bottom w:val="nil"/>
              <w:right w:val="single" w:sz="2" w:space="0" w:color="auto"/>
            </w:tcBorders>
          </w:tcPr>
          <w:p w14:paraId="3A5290E2" w14:textId="77777777" w:rsidR="00EF79AC" w:rsidRPr="005F0AAA" w:rsidRDefault="00EF79AC" w:rsidP="00055FB5">
            <w:pPr>
              <w:pStyle w:val="TableReference"/>
              <w:tabs>
                <w:tab w:val="left" w:pos="3306"/>
              </w:tabs>
              <w:spacing w:before="40"/>
              <w:rPr>
                <w:color w:val="7030A0"/>
              </w:rPr>
            </w:pPr>
          </w:p>
        </w:tc>
        <w:tc>
          <w:tcPr>
            <w:tcW w:w="8930" w:type="dxa"/>
            <w:gridSpan w:val="3"/>
            <w:tcBorders>
              <w:top w:val="nil"/>
              <w:left w:val="single" w:sz="2" w:space="0" w:color="auto"/>
              <w:bottom w:val="nil"/>
              <w:right w:val="nil"/>
            </w:tcBorders>
          </w:tcPr>
          <w:p w14:paraId="0C8CF8F5" w14:textId="45E3DB45" w:rsidR="00EF79AC" w:rsidRPr="005F0AAA" w:rsidRDefault="00EF79AC" w:rsidP="00055FB5">
            <w:pPr>
              <w:pStyle w:val="TableText"/>
              <w:spacing w:before="0"/>
              <w:jc w:val="both"/>
              <w:rPr>
                <w:lang w:val="en-US"/>
              </w:rPr>
            </w:pPr>
            <w:r w:rsidRPr="005F0AAA">
              <w:rPr>
                <w:rFonts w:cs="Calibri"/>
                <w:i/>
                <w:iCs/>
              </w:rPr>
              <w:t xml:space="preserve">Measurement </w:t>
            </w:r>
          </w:p>
        </w:tc>
      </w:tr>
      <w:tr w:rsidR="00EF79AC" w:rsidRPr="00D55D0B" w14:paraId="000B800B" w14:textId="77777777" w:rsidTr="002A16D9">
        <w:trPr>
          <w:cantSplit/>
          <w:trHeight w:val="23"/>
        </w:trPr>
        <w:tc>
          <w:tcPr>
            <w:tcW w:w="1557" w:type="dxa"/>
            <w:tcBorders>
              <w:top w:val="nil"/>
              <w:left w:val="single" w:sz="2" w:space="0" w:color="auto"/>
              <w:bottom w:val="nil"/>
              <w:right w:val="single" w:sz="2" w:space="0" w:color="auto"/>
            </w:tcBorders>
          </w:tcPr>
          <w:p w14:paraId="7EA17FA6" w14:textId="77777777" w:rsidR="00EF79AC" w:rsidRPr="005F0AAA" w:rsidRDefault="00EF79AC" w:rsidP="00055FB5">
            <w:pPr>
              <w:pStyle w:val="TableReference"/>
              <w:tabs>
                <w:tab w:val="left" w:pos="3306"/>
              </w:tabs>
              <w:spacing w:before="40"/>
              <w:rPr>
                <w:color w:val="7030A0"/>
              </w:rPr>
            </w:pPr>
          </w:p>
        </w:tc>
        <w:tc>
          <w:tcPr>
            <w:tcW w:w="8930" w:type="dxa"/>
            <w:gridSpan w:val="3"/>
            <w:tcBorders>
              <w:top w:val="nil"/>
              <w:left w:val="single" w:sz="2" w:space="0" w:color="auto"/>
              <w:bottom w:val="nil"/>
              <w:right w:val="nil"/>
            </w:tcBorders>
          </w:tcPr>
          <w:p w14:paraId="14AB05D5" w14:textId="0E5EDF6C" w:rsidR="00EF79AC" w:rsidRPr="005F0AAA" w:rsidRDefault="00EF79AC" w:rsidP="00055FB5">
            <w:pPr>
              <w:pStyle w:val="TableText"/>
              <w:spacing w:before="0"/>
              <w:jc w:val="both"/>
              <w:rPr>
                <w:lang w:val="en-US"/>
              </w:rPr>
            </w:pPr>
            <w:r w:rsidRPr="005F0AAA">
              <w:rPr>
                <w:rFonts w:cs="Calibri"/>
                <w:lang w:val="en-US"/>
              </w:rPr>
              <w:t>Intangible Assets are measured at cost.</w:t>
            </w:r>
          </w:p>
        </w:tc>
      </w:tr>
      <w:tr w:rsidR="00EF79AC" w:rsidRPr="00D55D0B" w14:paraId="436061D9" w14:textId="77777777" w:rsidTr="002A16D9">
        <w:trPr>
          <w:cantSplit/>
          <w:trHeight w:val="23"/>
        </w:trPr>
        <w:tc>
          <w:tcPr>
            <w:tcW w:w="1557" w:type="dxa"/>
            <w:tcBorders>
              <w:top w:val="nil"/>
              <w:left w:val="single" w:sz="2" w:space="0" w:color="auto"/>
              <w:bottom w:val="nil"/>
              <w:right w:val="single" w:sz="2" w:space="0" w:color="auto"/>
            </w:tcBorders>
          </w:tcPr>
          <w:p w14:paraId="2BB623F6" w14:textId="77777777" w:rsidR="00EF79AC" w:rsidRPr="005F0AAA" w:rsidRDefault="00EF79AC" w:rsidP="00055FB5">
            <w:pPr>
              <w:pStyle w:val="TableReference"/>
              <w:tabs>
                <w:tab w:val="left" w:pos="3306"/>
              </w:tabs>
              <w:spacing w:before="40"/>
              <w:rPr>
                <w:color w:val="7030A0"/>
              </w:rPr>
            </w:pPr>
          </w:p>
        </w:tc>
        <w:tc>
          <w:tcPr>
            <w:tcW w:w="8930" w:type="dxa"/>
            <w:gridSpan w:val="3"/>
            <w:tcBorders>
              <w:top w:val="nil"/>
              <w:left w:val="single" w:sz="2" w:space="0" w:color="auto"/>
              <w:bottom w:val="nil"/>
              <w:right w:val="nil"/>
            </w:tcBorders>
          </w:tcPr>
          <w:p w14:paraId="058E690A" w14:textId="515FC680" w:rsidR="00EF79AC" w:rsidRPr="005F0AAA" w:rsidRDefault="00EF79AC" w:rsidP="0077399A">
            <w:pPr>
              <w:pStyle w:val="TableText"/>
              <w:spacing w:before="60"/>
              <w:jc w:val="both"/>
              <w:rPr>
                <w:rFonts w:cs="Calibri"/>
                <w:i/>
                <w:iCs/>
                <w:lang w:val="en-US"/>
              </w:rPr>
            </w:pPr>
            <w:r w:rsidRPr="005F0AAA">
              <w:rPr>
                <w:rFonts w:cs="Calibri"/>
                <w:i/>
                <w:iCs/>
                <w:lang w:val="en-US"/>
              </w:rPr>
              <w:t xml:space="preserve">Amortisation </w:t>
            </w:r>
          </w:p>
        </w:tc>
      </w:tr>
      <w:tr w:rsidR="002C0D3B" w:rsidRPr="00D55D0B" w14:paraId="3DC4EF9E" w14:textId="77777777" w:rsidTr="002A16D9">
        <w:trPr>
          <w:cantSplit/>
          <w:trHeight w:val="23"/>
        </w:trPr>
        <w:tc>
          <w:tcPr>
            <w:tcW w:w="1557" w:type="dxa"/>
            <w:tcBorders>
              <w:top w:val="nil"/>
              <w:left w:val="single" w:sz="2" w:space="0" w:color="auto"/>
              <w:bottom w:val="nil"/>
              <w:right w:val="single" w:sz="2" w:space="0" w:color="auto"/>
            </w:tcBorders>
          </w:tcPr>
          <w:p w14:paraId="465493F8" w14:textId="77777777" w:rsidR="002C0D3B" w:rsidRPr="005F0AAA" w:rsidRDefault="002C0D3B" w:rsidP="00055FB5">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63CF681E" w14:textId="7436F19F" w:rsidR="002C0D3B" w:rsidRPr="005F0AAA" w:rsidRDefault="002C0D3B" w:rsidP="0077399A">
            <w:pPr>
              <w:autoSpaceDE w:val="0"/>
              <w:autoSpaceDN w:val="0"/>
              <w:adjustRightInd w:val="0"/>
              <w:spacing w:after="60"/>
              <w:jc w:val="both"/>
              <w:rPr>
                <w:rFonts w:cs="Calibri"/>
                <w:sz w:val="18"/>
                <w:szCs w:val="18"/>
                <w:lang w:val="en-US"/>
              </w:rPr>
            </w:pPr>
            <w:r w:rsidRPr="005F0AAA">
              <w:rPr>
                <w:rFonts w:cs="Calibri"/>
                <w:sz w:val="18"/>
                <w:szCs w:val="18"/>
                <w:lang w:val="en-US"/>
              </w:rPr>
              <w:t>Capitalised software</w:t>
            </w:r>
            <w:r w:rsidR="00B34C7F" w:rsidRPr="005F0AAA">
              <w:rPr>
                <w:rFonts w:cs="Calibri"/>
                <w:sz w:val="18"/>
                <w:szCs w:val="18"/>
                <w:lang w:val="en-US"/>
              </w:rPr>
              <w:t xml:space="preserve"> and other </w:t>
            </w:r>
            <w:r w:rsidR="00A4259B" w:rsidRPr="005F0AAA">
              <w:rPr>
                <w:rFonts w:cs="Calibri"/>
                <w:sz w:val="18"/>
                <w:szCs w:val="18"/>
                <w:lang w:val="en-US"/>
              </w:rPr>
              <w:t>intangibles</w:t>
            </w:r>
            <w:r w:rsidR="00B34C7F" w:rsidRPr="005F0AAA">
              <w:rPr>
                <w:rFonts w:cs="Calibri"/>
                <w:sz w:val="18"/>
                <w:szCs w:val="18"/>
                <w:lang w:val="en-US"/>
              </w:rPr>
              <w:t xml:space="preserve"> have </w:t>
            </w:r>
            <w:r w:rsidRPr="005F0AAA">
              <w:rPr>
                <w:rFonts w:cs="Calibri"/>
                <w:sz w:val="18"/>
                <w:szCs w:val="18"/>
                <w:lang w:val="en-US"/>
              </w:rPr>
              <w:t>a finite useful life.</w:t>
            </w:r>
            <w:r w:rsidR="00FA7C77">
              <w:rPr>
                <w:rFonts w:cs="Calibri"/>
                <w:sz w:val="18"/>
                <w:szCs w:val="18"/>
                <w:lang w:val="en-US"/>
              </w:rPr>
              <w:t xml:space="preserve"> </w:t>
            </w:r>
            <w:r w:rsidR="00B34C7F" w:rsidRPr="005F0AAA">
              <w:rPr>
                <w:sz w:val="18"/>
                <w:szCs w:val="18"/>
              </w:rPr>
              <w:t>Amortisation is applied to intangible assets</w:t>
            </w:r>
            <w:r w:rsidR="00B34C7F" w:rsidRPr="005F0AAA">
              <w:rPr>
                <w:rFonts w:cs="Calibri"/>
                <w:sz w:val="18"/>
                <w:szCs w:val="18"/>
                <w:lang w:val="en-US"/>
              </w:rPr>
              <w:t>.</w:t>
            </w:r>
            <w:r w:rsidR="00FA7C77">
              <w:rPr>
                <w:rFonts w:cs="Calibri"/>
                <w:sz w:val="18"/>
                <w:szCs w:val="18"/>
                <w:lang w:val="en-US"/>
              </w:rPr>
              <w:t xml:space="preserve"> </w:t>
            </w:r>
            <w:r w:rsidRPr="005F0AAA">
              <w:rPr>
                <w:rFonts w:cs="Calibri"/>
                <w:sz w:val="18"/>
                <w:szCs w:val="18"/>
                <w:lang w:val="en-US"/>
              </w:rPr>
              <w:t>Software is amortised on a straight-line basis over its useful life, over a period not exceeding 5 years.</w:t>
            </w:r>
            <w:r w:rsidR="00FA7C77">
              <w:rPr>
                <w:rFonts w:cs="Calibri"/>
                <w:sz w:val="18"/>
                <w:szCs w:val="18"/>
                <w:lang w:val="en-US"/>
              </w:rPr>
              <w:t xml:space="preserve"> </w:t>
            </w:r>
          </w:p>
          <w:p w14:paraId="35BD647D" w14:textId="624EED92" w:rsidR="002C0D3B" w:rsidRPr="005F0AAA" w:rsidRDefault="00EF79AC" w:rsidP="00055FB5">
            <w:pPr>
              <w:jc w:val="both"/>
              <w:rPr>
                <w:rFonts w:cs="Calibri"/>
                <w:sz w:val="18"/>
                <w:szCs w:val="18"/>
                <w:lang w:val="en-US"/>
              </w:rPr>
            </w:pPr>
            <w:r w:rsidRPr="005F0AAA">
              <w:rPr>
                <w:rFonts w:cs="Calibri"/>
                <w:i/>
                <w:iCs/>
                <w:sz w:val="18"/>
                <w:szCs w:val="18"/>
                <w:lang w:val="en-US"/>
              </w:rPr>
              <w:t xml:space="preserve">Impairment </w:t>
            </w:r>
          </w:p>
        </w:tc>
      </w:tr>
      <w:tr w:rsidR="00EF79AC" w:rsidRPr="00D55D0B" w14:paraId="7B9884E4" w14:textId="77777777" w:rsidTr="002A16D9">
        <w:trPr>
          <w:cantSplit/>
          <w:trHeight w:val="23"/>
        </w:trPr>
        <w:tc>
          <w:tcPr>
            <w:tcW w:w="1557" w:type="dxa"/>
            <w:tcBorders>
              <w:top w:val="nil"/>
              <w:left w:val="single" w:sz="2" w:space="0" w:color="auto"/>
              <w:bottom w:val="nil"/>
              <w:right w:val="single" w:sz="2" w:space="0" w:color="auto"/>
            </w:tcBorders>
          </w:tcPr>
          <w:p w14:paraId="2C50CD7D" w14:textId="334270F8" w:rsidR="00B01B31" w:rsidRPr="005F0AAA" w:rsidRDefault="00B01B31" w:rsidP="00055FB5">
            <w:pPr>
              <w:pStyle w:val="TableReference"/>
              <w:tabs>
                <w:tab w:val="left" w:pos="3306"/>
              </w:tabs>
              <w:spacing w:before="40"/>
              <w:rPr>
                <w:rFonts w:cs="Calibri"/>
                <w:color w:val="7030A0"/>
                <w:sz w:val="14"/>
              </w:rPr>
            </w:pPr>
            <w:r w:rsidRPr="005F0AAA">
              <w:rPr>
                <w:color w:val="7030A0"/>
                <w:sz w:val="14"/>
              </w:rPr>
              <w:t>AASB 136.9 &amp; 10</w:t>
            </w:r>
          </w:p>
          <w:p w14:paraId="2E2A63D3" w14:textId="54D28BFA" w:rsidR="00EF79AC" w:rsidRPr="005F0AAA" w:rsidRDefault="00EF79AC" w:rsidP="00055FB5">
            <w:pPr>
              <w:pStyle w:val="TableReference"/>
              <w:tabs>
                <w:tab w:val="left" w:pos="3306"/>
              </w:tabs>
              <w:spacing w:before="40"/>
              <w:rPr>
                <w:rFonts w:cs="Calibri"/>
                <w:color w:val="7030A0"/>
                <w:sz w:val="14"/>
              </w:rPr>
            </w:pPr>
            <w:r w:rsidRPr="005F0AAA">
              <w:rPr>
                <w:rFonts w:cs="Calibri"/>
                <w:color w:val="7030A0"/>
                <w:sz w:val="14"/>
              </w:rPr>
              <w:t>AASB 136</w:t>
            </w:r>
            <w:r w:rsidR="00766207" w:rsidRPr="005F0AAA">
              <w:rPr>
                <w:rFonts w:cs="Calibri"/>
                <w:color w:val="7030A0"/>
                <w:sz w:val="14"/>
              </w:rPr>
              <w:t>.10(a)</w:t>
            </w:r>
          </w:p>
        </w:tc>
        <w:tc>
          <w:tcPr>
            <w:tcW w:w="8930" w:type="dxa"/>
            <w:gridSpan w:val="3"/>
            <w:tcBorders>
              <w:top w:val="nil"/>
              <w:left w:val="single" w:sz="2" w:space="0" w:color="auto"/>
              <w:bottom w:val="nil"/>
              <w:right w:val="nil"/>
            </w:tcBorders>
            <w:vAlign w:val="bottom"/>
          </w:tcPr>
          <w:p w14:paraId="2B447064" w14:textId="0DB82CB0" w:rsidR="00EF79AC" w:rsidRPr="005F0AAA" w:rsidRDefault="00766207" w:rsidP="0077399A">
            <w:pPr>
              <w:autoSpaceDE w:val="0"/>
              <w:autoSpaceDN w:val="0"/>
              <w:adjustRightInd w:val="0"/>
              <w:spacing w:after="60"/>
              <w:jc w:val="both"/>
              <w:rPr>
                <w:rFonts w:cs="Calibri"/>
                <w:sz w:val="18"/>
                <w:szCs w:val="18"/>
                <w:lang w:val="en-US"/>
              </w:rPr>
            </w:pPr>
            <w:r w:rsidRPr="005F0AAA">
              <w:rPr>
                <w:rFonts w:cs="Calibri"/>
                <w:sz w:val="18"/>
                <w:szCs w:val="18"/>
              </w:rPr>
              <w:t>The Agency assesses, at each reporting date, whether there is any indication that an intangible asset may be impaired.</w:t>
            </w:r>
            <w:r w:rsidR="00FA7C77">
              <w:rPr>
                <w:rFonts w:cs="Calibri"/>
                <w:sz w:val="18"/>
                <w:szCs w:val="18"/>
              </w:rPr>
              <w:t xml:space="preserve"> </w:t>
            </w:r>
            <w:r w:rsidRPr="005F0AAA">
              <w:rPr>
                <w:rFonts w:cs="Calibri"/>
                <w:sz w:val="18"/>
                <w:szCs w:val="18"/>
              </w:rPr>
              <w:t xml:space="preserve"> Intangible assets are also reviewed for impairment whenever events or changes in circumstances indicate that the carrying amount may not be recoverable. </w:t>
            </w:r>
            <w:r w:rsidR="00EF79AC" w:rsidRPr="005F0AAA">
              <w:rPr>
                <w:rFonts w:cs="Calibri"/>
                <w:sz w:val="18"/>
                <w:szCs w:val="18"/>
              </w:rPr>
              <w:t xml:space="preserve">However, </w:t>
            </w:r>
            <w:r w:rsidR="00B01B31" w:rsidRPr="005F0AAA">
              <w:rPr>
                <w:rFonts w:cs="Calibri"/>
                <w:sz w:val="18"/>
                <w:szCs w:val="18"/>
              </w:rPr>
              <w:t>i</w:t>
            </w:r>
            <w:r w:rsidR="00EF79AC" w:rsidRPr="005F0AAA">
              <w:rPr>
                <w:rFonts w:cs="Calibri"/>
                <w:sz w:val="18"/>
                <w:szCs w:val="18"/>
              </w:rPr>
              <w:t>ntangible assets that are not yet available for use are tested annually for impairment regardless of whether there is an indication of impairment, or more frequently if events or circumstances indicate they might be impaired.</w:t>
            </w:r>
          </w:p>
        </w:tc>
      </w:tr>
      <w:tr w:rsidR="002C0D3B" w:rsidRPr="00D55D0B" w14:paraId="2EF6DAC2" w14:textId="77777777" w:rsidTr="002A16D9">
        <w:trPr>
          <w:cantSplit/>
          <w:trHeight w:val="23"/>
        </w:trPr>
        <w:tc>
          <w:tcPr>
            <w:tcW w:w="1557" w:type="dxa"/>
            <w:tcBorders>
              <w:top w:val="nil"/>
              <w:left w:val="single" w:sz="2" w:space="0" w:color="auto"/>
              <w:bottom w:val="nil"/>
              <w:right w:val="single" w:sz="2" w:space="0" w:color="auto"/>
            </w:tcBorders>
          </w:tcPr>
          <w:p w14:paraId="035A70DA" w14:textId="77777777" w:rsidR="002C0D3B" w:rsidRPr="005F0AAA" w:rsidRDefault="002C0D3B" w:rsidP="00055FB5">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3FA819E9" w14:textId="62EECC45" w:rsidR="002C0D3B" w:rsidRPr="005F0AAA" w:rsidRDefault="00D57CD4" w:rsidP="0077399A">
            <w:pPr>
              <w:spacing w:after="60"/>
              <w:jc w:val="both"/>
              <w:rPr>
                <w:sz w:val="18"/>
                <w:szCs w:val="18"/>
              </w:rPr>
            </w:pPr>
            <w:r w:rsidRPr="005F0AAA">
              <w:rPr>
                <w:sz w:val="18"/>
                <w:szCs w:val="18"/>
              </w:rPr>
              <w:t xml:space="preserve">Impairment losses for intangible assets are recognised in the Operating Statement (see Note 14 </w:t>
            </w:r>
            <w:r w:rsidRPr="005F0AAA">
              <w:rPr>
                <w:i/>
                <w:iCs/>
                <w:sz w:val="18"/>
                <w:szCs w:val="18"/>
              </w:rPr>
              <w:t>Other Expenses</w:t>
            </w:r>
            <w:r w:rsidRPr="005F0AAA">
              <w:rPr>
                <w:sz w:val="18"/>
                <w:szCs w:val="18"/>
              </w:rPr>
              <w:t xml:space="preserve">), as intangibles are carried at cost. The carrying amount of the intangible asset is reduced to its recoverable amount. </w:t>
            </w:r>
          </w:p>
        </w:tc>
      </w:tr>
      <w:tr w:rsidR="00CE3BAF" w:rsidRPr="00D55D0B" w14:paraId="7DC1DB83" w14:textId="77777777" w:rsidTr="002A16D9">
        <w:trPr>
          <w:cantSplit/>
          <w:trHeight w:val="23"/>
        </w:trPr>
        <w:tc>
          <w:tcPr>
            <w:tcW w:w="1557" w:type="dxa"/>
            <w:tcBorders>
              <w:top w:val="nil"/>
              <w:left w:val="single" w:sz="2" w:space="0" w:color="auto"/>
              <w:bottom w:val="nil"/>
              <w:right w:val="single" w:sz="2" w:space="0" w:color="auto"/>
            </w:tcBorders>
          </w:tcPr>
          <w:p w14:paraId="40FBFD0F" w14:textId="77777777" w:rsidR="00CE3BAF" w:rsidRPr="005F0AAA" w:rsidRDefault="00CE3BAF" w:rsidP="00CE3BAF">
            <w:pPr>
              <w:pStyle w:val="TableReference"/>
              <w:tabs>
                <w:tab w:val="left" w:pos="3306"/>
              </w:tabs>
              <w:spacing w:before="40"/>
              <w:rPr>
                <w:rFonts w:cs="Calibri"/>
                <w:color w:val="7030A0"/>
                <w:sz w:val="16"/>
                <w:szCs w:val="16"/>
              </w:rPr>
            </w:pPr>
          </w:p>
        </w:tc>
        <w:tc>
          <w:tcPr>
            <w:tcW w:w="8930" w:type="dxa"/>
            <w:gridSpan w:val="3"/>
            <w:tcBorders>
              <w:top w:val="nil"/>
              <w:left w:val="single" w:sz="2" w:space="0" w:color="auto"/>
              <w:bottom w:val="nil"/>
              <w:right w:val="nil"/>
            </w:tcBorders>
            <w:vAlign w:val="bottom"/>
          </w:tcPr>
          <w:p w14:paraId="1E27F3D4" w14:textId="30128BC7" w:rsidR="00CE3BAF" w:rsidRPr="005F0AAA" w:rsidRDefault="00BD41AB" w:rsidP="00BD41AB">
            <w:pPr>
              <w:spacing w:after="60"/>
              <w:jc w:val="both"/>
              <w:rPr>
                <w:sz w:val="18"/>
                <w:szCs w:val="18"/>
              </w:rPr>
            </w:pPr>
            <w:r w:rsidRPr="005F0AAA">
              <w:rPr>
                <w:sz w:val="18"/>
                <w:szCs w:val="18"/>
              </w:rPr>
              <w:t>A</w:t>
            </w:r>
            <w:r w:rsidR="00CE3BAF" w:rsidRPr="005F0AAA">
              <w:rPr>
                <w:sz w:val="18"/>
                <w:szCs w:val="18"/>
              </w:rPr>
              <w:t xml:space="preserve">mortisation for </w:t>
            </w:r>
            <w:r w:rsidRPr="005F0AAA">
              <w:rPr>
                <w:sz w:val="18"/>
                <w:szCs w:val="18"/>
              </w:rPr>
              <w:t xml:space="preserve">intangible </w:t>
            </w:r>
            <w:r w:rsidR="00CE3BAF" w:rsidRPr="005F0AAA">
              <w:rPr>
                <w:sz w:val="18"/>
                <w:szCs w:val="18"/>
              </w:rPr>
              <w:t>assets is determined as follows:</w:t>
            </w:r>
          </w:p>
        </w:tc>
      </w:tr>
      <w:tr w:rsidR="00F43EC4" w:rsidRPr="00D55D0B" w14:paraId="7D6483A9" w14:textId="77777777" w:rsidTr="002A16D9">
        <w:trPr>
          <w:cantSplit/>
          <w:trHeight w:val="23"/>
        </w:trPr>
        <w:tc>
          <w:tcPr>
            <w:tcW w:w="1557" w:type="dxa"/>
            <w:tcBorders>
              <w:top w:val="nil"/>
              <w:left w:val="single" w:sz="2" w:space="0" w:color="auto"/>
              <w:bottom w:val="nil"/>
              <w:right w:val="single" w:sz="2" w:space="0" w:color="auto"/>
            </w:tcBorders>
          </w:tcPr>
          <w:p w14:paraId="36E794E6" w14:textId="77777777" w:rsidR="00F43EC4" w:rsidRPr="005F0AAA" w:rsidRDefault="00F43EC4" w:rsidP="00CE3BAF">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25DCC670" w14:textId="63FF1EB5" w:rsidR="00F43EC4" w:rsidRPr="005F0AAA" w:rsidRDefault="00F43EC4" w:rsidP="00F43EC4">
            <w:pPr>
              <w:pStyle w:val="CommentaryText"/>
              <w:spacing w:after="0"/>
              <w:jc w:val="left"/>
              <w:rPr>
                <w:rFonts w:asciiTheme="minorHAnsi" w:hAnsiTheme="minorHAnsi" w:cstheme="minorHAnsi"/>
                <w:b/>
                <w:bCs/>
                <w:strike/>
                <w:sz w:val="18"/>
                <w:szCs w:val="18"/>
              </w:rPr>
            </w:pPr>
            <w:r w:rsidRPr="005F0AAA">
              <w:rPr>
                <w:rFonts w:asciiTheme="minorHAnsi" w:hAnsiTheme="minorHAnsi" w:cstheme="minorHAnsi"/>
                <w:b/>
                <w:bCs/>
                <w:sz w:val="18"/>
                <w:szCs w:val="18"/>
              </w:rPr>
              <w:t xml:space="preserve">Class of </w:t>
            </w:r>
            <w:r w:rsidR="00BD41AB" w:rsidRPr="005F0AAA">
              <w:rPr>
                <w:rFonts w:asciiTheme="minorHAnsi" w:hAnsiTheme="minorHAnsi" w:cstheme="minorHAnsi"/>
                <w:b/>
                <w:bCs/>
                <w:sz w:val="18"/>
                <w:szCs w:val="18"/>
              </w:rPr>
              <w:t xml:space="preserve">Intangible </w:t>
            </w:r>
            <w:r w:rsidRPr="005F0AAA">
              <w:rPr>
                <w:rFonts w:asciiTheme="minorHAnsi" w:hAnsiTheme="minorHAnsi" w:cstheme="minorHAnsi"/>
                <w:b/>
                <w:bCs/>
                <w:sz w:val="18"/>
                <w:szCs w:val="18"/>
              </w:rPr>
              <w:t>Asset</w:t>
            </w:r>
          </w:p>
        </w:tc>
        <w:tc>
          <w:tcPr>
            <w:tcW w:w="1843" w:type="dxa"/>
            <w:tcBorders>
              <w:top w:val="nil"/>
              <w:left w:val="nil"/>
              <w:bottom w:val="nil"/>
              <w:right w:val="nil"/>
            </w:tcBorders>
            <w:vAlign w:val="bottom"/>
          </w:tcPr>
          <w:p w14:paraId="21B56E83" w14:textId="440A5F11" w:rsidR="00F43EC4" w:rsidRPr="005F0AAA" w:rsidRDefault="00F43EC4" w:rsidP="00F43EC4">
            <w:pPr>
              <w:jc w:val="center"/>
              <w:rPr>
                <w:sz w:val="18"/>
                <w:szCs w:val="18"/>
              </w:rPr>
            </w:pPr>
            <w:r w:rsidRPr="005F0AAA">
              <w:rPr>
                <w:rFonts w:asciiTheme="minorHAnsi" w:hAnsiTheme="minorHAnsi" w:cstheme="minorHAnsi"/>
                <w:b/>
                <w:bCs/>
                <w:sz w:val="18"/>
                <w:szCs w:val="18"/>
              </w:rPr>
              <w:t>Amortisation</w:t>
            </w:r>
          </w:p>
        </w:tc>
        <w:tc>
          <w:tcPr>
            <w:tcW w:w="2268" w:type="dxa"/>
            <w:tcBorders>
              <w:top w:val="nil"/>
              <w:left w:val="nil"/>
              <w:bottom w:val="nil"/>
              <w:right w:val="nil"/>
            </w:tcBorders>
            <w:vAlign w:val="bottom"/>
          </w:tcPr>
          <w:p w14:paraId="6D47FA91" w14:textId="73A489B6" w:rsidR="00F43EC4" w:rsidRPr="005F0AAA" w:rsidRDefault="00F43EC4" w:rsidP="00F43EC4">
            <w:pPr>
              <w:jc w:val="center"/>
              <w:rPr>
                <w:b/>
                <w:bCs/>
                <w:sz w:val="18"/>
                <w:szCs w:val="18"/>
              </w:rPr>
            </w:pPr>
            <w:r w:rsidRPr="005F0AAA">
              <w:rPr>
                <w:rFonts w:asciiTheme="minorHAnsi" w:hAnsiTheme="minorHAnsi" w:cstheme="minorHAnsi"/>
                <w:b/>
                <w:bCs/>
                <w:sz w:val="18"/>
                <w:szCs w:val="18"/>
              </w:rPr>
              <w:t>Useful Life (Years)</w:t>
            </w:r>
          </w:p>
        </w:tc>
      </w:tr>
      <w:tr w:rsidR="00F43EC4" w:rsidRPr="00D55D0B" w14:paraId="1773C972" w14:textId="77777777" w:rsidTr="002A16D9">
        <w:trPr>
          <w:cantSplit/>
          <w:trHeight w:val="23"/>
        </w:trPr>
        <w:tc>
          <w:tcPr>
            <w:tcW w:w="1557" w:type="dxa"/>
            <w:tcBorders>
              <w:top w:val="nil"/>
              <w:left w:val="single" w:sz="2" w:space="0" w:color="auto"/>
              <w:bottom w:val="nil"/>
              <w:right w:val="single" w:sz="2" w:space="0" w:color="auto"/>
            </w:tcBorders>
          </w:tcPr>
          <w:p w14:paraId="64904E0B" w14:textId="77777777" w:rsidR="00F43EC4" w:rsidRPr="005F0AAA" w:rsidRDefault="00F43EC4" w:rsidP="00F43EC4">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0F0EE7D2" w14:textId="5FFDB087" w:rsidR="00F43EC4" w:rsidRPr="005F0AAA" w:rsidRDefault="00F43EC4" w:rsidP="00BD41AB">
            <w:pPr>
              <w:pStyle w:val="CommentaryText"/>
              <w:spacing w:after="0"/>
              <w:jc w:val="left"/>
              <w:rPr>
                <w:rFonts w:asciiTheme="minorHAnsi" w:hAnsiTheme="minorHAnsi" w:cstheme="minorHAnsi"/>
                <w:sz w:val="18"/>
                <w:szCs w:val="18"/>
              </w:rPr>
            </w:pPr>
            <w:r w:rsidRPr="005F0AAA">
              <w:rPr>
                <w:rFonts w:asciiTheme="minorHAnsi" w:hAnsiTheme="minorHAnsi" w:cstheme="minorHAnsi"/>
                <w:sz w:val="18"/>
                <w:szCs w:val="18"/>
              </w:rPr>
              <w:t xml:space="preserve">Externally Purchased </w:t>
            </w:r>
            <w:r w:rsidR="00BD6DAC" w:rsidRPr="005F0AAA">
              <w:rPr>
                <w:rFonts w:asciiTheme="minorHAnsi" w:hAnsiTheme="minorHAnsi" w:cstheme="minorHAnsi"/>
                <w:sz w:val="18"/>
                <w:szCs w:val="18"/>
              </w:rPr>
              <w:t>Software</w:t>
            </w:r>
            <w:r w:rsidRPr="005F0AAA">
              <w:rPr>
                <w:rFonts w:asciiTheme="minorHAnsi" w:hAnsiTheme="minorHAnsi" w:cstheme="minorHAnsi"/>
                <w:sz w:val="18"/>
                <w:szCs w:val="18"/>
              </w:rPr>
              <w:t xml:space="preserve"> </w:t>
            </w:r>
          </w:p>
        </w:tc>
        <w:tc>
          <w:tcPr>
            <w:tcW w:w="1843" w:type="dxa"/>
            <w:tcBorders>
              <w:top w:val="nil"/>
              <w:left w:val="nil"/>
              <w:bottom w:val="nil"/>
              <w:right w:val="nil"/>
            </w:tcBorders>
            <w:vAlign w:val="bottom"/>
          </w:tcPr>
          <w:p w14:paraId="49E02560" w14:textId="10B61AE6" w:rsidR="00F43EC4" w:rsidRPr="005F0AAA" w:rsidRDefault="00F43EC4" w:rsidP="00F43EC4">
            <w:pPr>
              <w:jc w:val="center"/>
              <w:rPr>
                <w:rFonts w:asciiTheme="minorHAnsi" w:hAnsiTheme="minorHAnsi" w:cstheme="minorHAnsi"/>
                <w:sz w:val="18"/>
                <w:szCs w:val="18"/>
              </w:rPr>
            </w:pPr>
            <w:r w:rsidRPr="005F0AAA">
              <w:rPr>
                <w:rFonts w:asciiTheme="minorHAnsi" w:hAnsiTheme="minorHAnsi" w:cstheme="minorHAnsi"/>
                <w:sz w:val="18"/>
                <w:szCs w:val="18"/>
              </w:rPr>
              <w:t>Straight Line</w:t>
            </w:r>
          </w:p>
        </w:tc>
        <w:tc>
          <w:tcPr>
            <w:tcW w:w="2268" w:type="dxa"/>
            <w:tcBorders>
              <w:top w:val="nil"/>
              <w:left w:val="nil"/>
              <w:bottom w:val="nil"/>
              <w:right w:val="nil"/>
            </w:tcBorders>
            <w:vAlign w:val="bottom"/>
          </w:tcPr>
          <w:p w14:paraId="3706B5A8" w14:textId="5D580FD3" w:rsidR="00F43EC4" w:rsidRPr="005F0AAA" w:rsidRDefault="00F43EC4" w:rsidP="00F43EC4">
            <w:pPr>
              <w:jc w:val="center"/>
              <w:rPr>
                <w:rFonts w:asciiTheme="minorHAnsi" w:hAnsiTheme="minorHAnsi" w:cstheme="minorHAnsi"/>
                <w:sz w:val="18"/>
                <w:szCs w:val="18"/>
              </w:rPr>
            </w:pPr>
            <w:r w:rsidRPr="005F0AAA">
              <w:rPr>
                <w:rFonts w:asciiTheme="minorHAnsi" w:hAnsiTheme="minorHAnsi" w:cstheme="minorHAnsi"/>
                <w:sz w:val="18"/>
                <w:szCs w:val="18"/>
              </w:rPr>
              <w:t>2-</w:t>
            </w:r>
            <w:r w:rsidR="00BD6DAC" w:rsidRPr="005F0AAA">
              <w:rPr>
                <w:rFonts w:asciiTheme="minorHAnsi" w:hAnsiTheme="minorHAnsi" w:cstheme="minorHAnsi"/>
                <w:sz w:val="18"/>
                <w:szCs w:val="18"/>
              </w:rPr>
              <w:t>10</w:t>
            </w:r>
          </w:p>
        </w:tc>
      </w:tr>
      <w:tr w:rsidR="00F43EC4" w:rsidRPr="00D55D0B" w14:paraId="17CAD67A" w14:textId="77777777" w:rsidTr="002A16D9">
        <w:trPr>
          <w:cantSplit/>
          <w:trHeight w:val="23"/>
        </w:trPr>
        <w:tc>
          <w:tcPr>
            <w:tcW w:w="1557" w:type="dxa"/>
            <w:tcBorders>
              <w:top w:val="nil"/>
              <w:left w:val="single" w:sz="2" w:space="0" w:color="auto"/>
              <w:bottom w:val="nil"/>
              <w:right w:val="single" w:sz="2" w:space="0" w:color="auto"/>
            </w:tcBorders>
          </w:tcPr>
          <w:p w14:paraId="78DF84BD" w14:textId="77777777" w:rsidR="00F43EC4" w:rsidRPr="005F0AAA" w:rsidRDefault="00F43EC4" w:rsidP="00F43EC4">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31F44B96" w14:textId="7EB9A473" w:rsidR="00F43EC4" w:rsidRPr="005F0AAA" w:rsidRDefault="00F43EC4" w:rsidP="00BD41AB">
            <w:pPr>
              <w:jc w:val="both"/>
              <w:rPr>
                <w:sz w:val="18"/>
                <w:szCs w:val="18"/>
              </w:rPr>
            </w:pPr>
            <w:r w:rsidRPr="005F0AAA">
              <w:rPr>
                <w:rFonts w:asciiTheme="minorHAnsi" w:hAnsiTheme="minorHAnsi" w:cstheme="minorHAnsi"/>
                <w:sz w:val="18"/>
                <w:szCs w:val="18"/>
              </w:rPr>
              <w:t xml:space="preserve">Internal Generated </w:t>
            </w:r>
            <w:r w:rsidR="00BD6DAC" w:rsidRPr="005F0AAA">
              <w:rPr>
                <w:rFonts w:asciiTheme="minorHAnsi" w:hAnsiTheme="minorHAnsi" w:cstheme="minorHAnsi"/>
                <w:sz w:val="18"/>
                <w:szCs w:val="18"/>
              </w:rPr>
              <w:t xml:space="preserve">Software </w:t>
            </w:r>
          </w:p>
        </w:tc>
        <w:tc>
          <w:tcPr>
            <w:tcW w:w="1843" w:type="dxa"/>
            <w:tcBorders>
              <w:top w:val="nil"/>
              <w:left w:val="nil"/>
              <w:bottom w:val="nil"/>
              <w:right w:val="nil"/>
            </w:tcBorders>
            <w:vAlign w:val="bottom"/>
          </w:tcPr>
          <w:p w14:paraId="040475F7" w14:textId="38496F20" w:rsidR="00F43EC4" w:rsidRPr="005F0AAA" w:rsidRDefault="00F43EC4" w:rsidP="00BD41AB">
            <w:pPr>
              <w:jc w:val="center"/>
              <w:rPr>
                <w:sz w:val="18"/>
                <w:szCs w:val="18"/>
              </w:rPr>
            </w:pPr>
            <w:r w:rsidRPr="005F0AAA">
              <w:rPr>
                <w:rFonts w:asciiTheme="minorHAnsi" w:hAnsiTheme="minorHAnsi" w:cstheme="minorHAnsi"/>
                <w:sz w:val="18"/>
                <w:szCs w:val="18"/>
              </w:rPr>
              <w:t>Straight Line</w:t>
            </w:r>
          </w:p>
        </w:tc>
        <w:tc>
          <w:tcPr>
            <w:tcW w:w="2268" w:type="dxa"/>
            <w:tcBorders>
              <w:top w:val="nil"/>
              <w:left w:val="nil"/>
              <w:bottom w:val="nil"/>
              <w:right w:val="nil"/>
            </w:tcBorders>
            <w:vAlign w:val="bottom"/>
          </w:tcPr>
          <w:p w14:paraId="3A2E283F" w14:textId="130EA9C9" w:rsidR="00F43EC4" w:rsidRPr="005F0AAA" w:rsidRDefault="00F43EC4" w:rsidP="00BD41AB">
            <w:pPr>
              <w:jc w:val="center"/>
              <w:rPr>
                <w:sz w:val="18"/>
                <w:szCs w:val="18"/>
              </w:rPr>
            </w:pPr>
            <w:r w:rsidRPr="005F0AAA">
              <w:rPr>
                <w:rFonts w:asciiTheme="minorHAnsi" w:hAnsiTheme="minorHAnsi" w:cstheme="minorHAnsi"/>
                <w:sz w:val="18"/>
                <w:szCs w:val="18"/>
              </w:rPr>
              <w:t>2-</w:t>
            </w:r>
            <w:r w:rsidR="00BD6DAC" w:rsidRPr="005F0AAA">
              <w:rPr>
                <w:rFonts w:asciiTheme="minorHAnsi" w:hAnsiTheme="minorHAnsi" w:cstheme="minorHAnsi"/>
                <w:sz w:val="18"/>
                <w:szCs w:val="18"/>
              </w:rPr>
              <w:t>10</w:t>
            </w:r>
          </w:p>
        </w:tc>
      </w:tr>
      <w:tr w:rsidR="00BD41AB" w:rsidRPr="00BD41AB" w14:paraId="035025E6" w14:textId="77777777" w:rsidTr="002A16D9">
        <w:trPr>
          <w:cantSplit/>
          <w:trHeight w:val="23"/>
        </w:trPr>
        <w:tc>
          <w:tcPr>
            <w:tcW w:w="1557" w:type="dxa"/>
            <w:tcBorders>
              <w:top w:val="nil"/>
              <w:left w:val="single" w:sz="2" w:space="0" w:color="auto"/>
              <w:bottom w:val="nil"/>
              <w:right w:val="single" w:sz="2" w:space="0" w:color="auto"/>
            </w:tcBorders>
          </w:tcPr>
          <w:p w14:paraId="47E819CA" w14:textId="77777777" w:rsidR="00BD41AB" w:rsidRPr="005F0AAA" w:rsidRDefault="00BD41AB" w:rsidP="00F43EC4">
            <w:pPr>
              <w:pStyle w:val="TableReference"/>
              <w:tabs>
                <w:tab w:val="left" w:pos="3306"/>
              </w:tabs>
              <w:spacing w:before="40"/>
              <w:rPr>
                <w:rFonts w:cs="Calibri"/>
                <w:color w:val="7030A0"/>
                <w:sz w:val="16"/>
                <w:szCs w:val="16"/>
              </w:rPr>
            </w:pPr>
          </w:p>
        </w:tc>
        <w:tc>
          <w:tcPr>
            <w:tcW w:w="4819" w:type="dxa"/>
            <w:tcBorders>
              <w:top w:val="nil"/>
              <w:left w:val="single" w:sz="2" w:space="0" w:color="auto"/>
              <w:bottom w:val="nil"/>
              <w:right w:val="nil"/>
            </w:tcBorders>
            <w:vAlign w:val="bottom"/>
          </w:tcPr>
          <w:p w14:paraId="2E323918" w14:textId="37CE6A60" w:rsidR="00BD41AB" w:rsidRPr="005F0AAA" w:rsidRDefault="00BD41AB" w:rsidP="00BD41AB">
            <w:pPr>
              <w:rPr>
                <w:sz w:val="18"/>
                <w:szCs w:val="18"/>
              </w:rPr>
            </w:pPr>
            <w:r w:rsidRPr="005F0AAA">
              <w:rPr>
                <w:sz w:val="18"/>
                <w:szCs w:val="18"/>
              </w:rPr>
              <w:t>Externally Purchased Other Intangibles</w:t>
            </w:r>
          </w:p>
        </w:tc>
        <w:tc>
          <w:tcPr>
            <w:tcW w:w="1843" w:type="dxa"/>
            <w:tcBorders>
              <w:top w:val="nil"/>
              <w:left w:val="nil"/>
              <w:bottom w:val="nil"/>
              <w:right w:val="nil"/>
            </w:tcBorders>
            <w:vAlign w:val="bottom"/>
          </w:tcPr>
          <w:p w14:paraId="57C517F9" w14:textId="6CDD3E84" w:rsidR="00BD41AB" w:rsidRPr="005F0AAA" w:rsidRDefault="00BD41AB" w:rsidP="00BD41AB">
            <w:pPr>
              <w:jc w:val="center"/>
              <w:rPr>
                <w:sz w:val="18"/>
                <w:szCs w:val="18"/>
              </w:rPr>
            </w:pPr>
            <w:r w:rsidRPr="005F0AAA">
              <w:rPr>
                <w:sz w:val="18"/>
                <w:szCs w:val="18"/>
              </w:rPr>
              <w:t>Straight Line</w:t>
            </w:r>
          </w:p>
        </w:tc>
        <w:tc>
          <w:tcPr>
            <w:tcW w:w="2268" w:type="dxa"/>
            <w:tcBorders>
              <w:top w:val="nil"/>
              <w:left w:val="nil"/>
              <w:bottom w:val="nil"/>
              <w:right w:val="nil"/>
            </w:tcBorders>
            <w:vAlign w:val="bottom"/>
          </w:tcPr>
          <w:p w14:paraId="3F358585" w14:textId="7EB42CA9" w:rsidR="00BD41AB" w:rsidRPr="005F0AAA" w:rsidRDefault="00BD41AB" w:rsidP="00BD41AB">
            <w:pPr>
              <w:jc w:val="center"/>
              <w:rPr>
                <w:sz w:val="18"/>
                <w:szCs w:val="18"/>
              </w:rPr>
            </w:pPr>
            <w:r w:rsidRPr="005F0AAA">
              <w:rPr>
                <w:sz w:val="18"/>
                <w:szCs w:val="18"/>
              </w:rPr>
              <w:t>3</w:t>
            </w:r>
          </w:p>
        </w:tc>
      </w:tr>
    </w:tbl>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4394"/>
        <w:gridCol w:w="1134"/>
        <w:gridCol w:w="1134"/>
        <w:gridCol w:w="1559"/>
        <w:gridCol w:w="678"/>
        <w:gridCol w:w="31"/>
      </w:tblGrid>
      <w:tr w:rsidR="00581C35" w:rsidRPr="00CF7E1B" w14:paraId="5E171441" w14:textId="77777777" w:rsidTr="002A16D9">
        <w:tc>
          <w:tcPr>
            <w:tcW w:w="1560" w:type="dxa"/>
            <w:tcBorders>
              <w:top w:val="nil"/>
              <w:left w:val="single" w:sz="2" w:space="0" w:color="auto"/>
              <w:bottom w:val="nil"/>
              <w:right w:val="single" w:sz="2" w:space="0" w:color="auto"/>
            </w:tcBorders>
          </w:tcPr>
          <w:p w14:paraId="51EE52F8" w14:textId="77777777" w:rsidR="00581C35" w:rsidRPr="005F0AAA" w:rsidRDefault="00581C35" w:rsidP="00DA5473">
            <w:pPr>
              <w:pStyle w:val="TableReference"/>
              <w:spacing w:before="240" w:after="240"/>
              <w:rPr>
                <w:rFonts w:cs="Calibri"/>
                <w:b/>
                <w:color w:val="7030A0"/>
                <w:sz w:val="22"/>
                <w:szCs w:val="22"/>
              </w:rPr>
            </w:pPr>
            <w:r w:rsidRPr="005F0AAA">
              <w:rPr>
                <w:color w:val="7030A0"/>
              </w:rPr>
              <w:br w:type="page"/>
            </w:r>
            <w:r w:rsidRPr="005F0AAA">
              <w:rPr>
                <w:rFonts w:cs="Calibri"/>
                <w:b/>
                <w:bCs/>
                <w:color w:val="7030A0"/>
              </w:rPr>
              <w:br w:type="page"/>
            </w:r>
            <w:r w:rsidRPr="005F0AAA">
              <w:rPr>
                <w:rFonts w:cs="Calibri"/>
                <w:b/>
                <w:color w:val="7030A0"/>
                <w:sz w:val="22"/>
                <w:szCs w:val="22"/>
              </w:rPr>
              <w:t>Reference</w:t>
            </w:r>
          </w:p>
        </w:tc>
        <w:tc>
          <w:tcPr>
            <w:tcW w:w="8930" w:type="dxa"/>
            <w:gridSpan w:val="6"/>
            <w:tcBorders>
              <w:top w:val="nil"/>
              <w:left w:val="single" w:sz="2" w:space="0" w:color="auto"/>
              <w:bottom w:val="nil"/>
              <w:right w:val="nil"/>
            </w:tcBorders>
          </w:tcPr>
          <w:p w14:paraId="3EF1D221" w14:textId="77777777" w:rsidR="00581C35" w:rsidRPr="005F0AAA" w:rsidRDefault="00581C35" w:rsidP="00DA5473">
            <w:pPr>
              <w:spacing w:before="240" w:after="240"/>
              <w:rPr>
                <w:rFonts w:ascii="Arial Bold" w:hAnsi="Arial Bold" w:cs="Arial"/>
                <w:b/>
                <w:caps/>
                <w:sz w:val="32"/>
                <w:szCs w:val="32"/>
              </w:rPr>
            </w:pPr>
            <w:r w:rsidRPr="005F0AAA">
              <w:rPr>
                <w:rFonts w:ascii="Arial Bold" w:hAnsi="Arial Bold" w:cs="Arial"/>
                <w:b/>
                <w:caps/>
                <w:sz w:val="32"/>
                <w:szCs w:val="32"/>
              </w:rPr>
              <w:t>Note 21.</w:t>
            </w:r>
            <w:r>
              <w:rPr>
                <w:rFonts w:ascii="Arial Bold" w:hAnsi="Arial Bold" w:cs="Arial"/>
                <w:b/>
                <w:caps/>
                <w:sz w:val="32"/>
                <w:szCs w:val="32"/>
              </w:rPr>
              <w:t xml:space="preserve"> </w:t>
            </w:r>
            <w:r w:rsidRPr="005F0AAA">
              <w:rPr>
                <w:rFonts w:ascii="Arial Bold" w:hAnsi="Arial Bold" w:cs="Arial"/>
                <w:b/>
                <w:caps/>
                <w:sz w:val="32"/>
                <w:szCs w:val="32"/>
              </w:rPr>
              <w:t xml:space="preserve"> Intangible Assets – Continued </w:t>
            </w:r>
          </w:p>
        </w:tc>
      </w:tr>
      <w:tr w:rsidR="000144FF" w:rsidRPr="00CF7E1B" w14:paraId="38132D0A" w14:textId="77777777" w:rsidTr="002A16D9">
        <w:tc>
          <w:tcPr>
            <w:tcW w:w="1560" w:type="dxa"/>
            <w:tcBorders>
              <w:top w:val="nil"/>
              <w:left w:val="single" w:sz="2" w:space="0" w:color="auto"/>
              <w:bottom w:val="nil"/>
              <w:right w:val="single" w:sz="2" w:space="0" w:color="auto"/>
            </w:tcBorders>
          </w:tcPr>
          <w:p w14:paraId="7F440A6C" w14:textId="77777777" w:rsidR="000144FF" w:rsidRPr="005F0AAA" w:rsidRDefault="000144FF" w:rsidP="005F0AAA">
            <w:pPr>
              <w:pStyle w:val="TableReference"/>
              <w:rPr>
                <w:rFonts w:cs="Calibri"/>
                <w:b/>
                <w:color w:val="7030A0"/>
                <w:sz w:val="14"/>
              </w:rPr>
            </w:pPr>
          </w:p>
        </w:tc>
        <w:tc>
          <w:tcPr>
            <w:tcW w:w="4394" w:type="dxa"/>
            <w:tcBorders>
              <w:top w:val="nil"/>
              <w:left w:val="single" w:sz="2" w:space="0" w:color="auto"/>
              <w:bottom w:val="nil"/>
              <w:right w:val="nil"/>
            </w:tcBorders>
          </w:tcPr>
          <w:p w14:paraId="7050DDCC" w14:textId="77777777" w:rsidR="000144FF" w:rsidRPr="00CF7E1B" w:rsidRDefault="000144FF" w:rsidP="005F0AAA">
            <w:pPr>
              <w:pStyle w:val="TableText"/>
              <w:spacing w:before="0"/>
              <w:rPr>
                <w:rFonts w:cs="Calibri"/>
              </w:rPr>
            </w:pPr>
          </w:p>
        </w:tc>
        <w:tc>
          <w:tcPr>
            <w:tcW w:w="1134" w:type="dxa"/>
            <w:tcBorders>
              <w:top w:val="nil"/>
              <w:left w:val="nil"/>
              <w:bottom w:val="nil"/>
              <w:right w:val="nil"/>
            </w:tcBorders>
          </w:tcPr>
          <w:p w14:paraId="35DAEDD9" w14:textId="6CC027CB" w:rsidR="000144FF" w:rsidRPr="00CF7E1B" w:rsidRDefault="000144FF" w:rsidP="005F0AAA">
            <w:pPr>
              <w:pStyle w:val="TableText"/>
              <w:spacing w:before="0"/>
              <w:rPr>
                <w:rFonts w:cs="Calibri"/>
                <w:b/>
                <w:bCs/>
              </w:rPr>
            </w:pPr>
          </w:p>
        </w:tc>
        <w:tc>
          <w:tcPr>
            <w:tcW w:w="1134" w:type="dxa"/>
            <w:tcBorders>
              <w:top w:val="nil"/>
              <w:left w:val="nil"/>
              <w:bottom w:val="nil"/>
              <w:right w:val="nil"/>
            </w:tcBorders>
          </w:tcPr>
          <w:p w14:paraId="2AE3641E" w14:textId="52644BE3" w:rsidR="000144FF" w:rsidRPr="00CF7E1B" w:rsidRDefault="000144FF" w:rsidP="005F0AAA">
            <w:pPr>
              <w:pStyle w:val="TableText"/>
              <w:spacing w:before="0"/>
              <w:rPr>
                <w:rFonts w:cs="Calibri"/>
                <w:b/>
                <w:bCs/>
              </w:rPr>
            </w:pPr>
          </w:p>
        </w:tc>
        <w:tc>
          <w:tcPr>
            <w:tcW w:w="1559" w:type="dxa"/>
            <w:tcBorders>
              <w:top w:val="nil"/>
              <w:left w:val="nil"/>
              <w:bottom w:val="nil"/>
              <w:right w:val="nil"/>
            </w:tcBorders>
          </w:tcPr>
          <w:p w14:paraId="708494E8" w14:textId="487BD9EE" w:rsidR="000144FF" w:rsidRPr="00CF7E1B" w:rsidRDefault="000144FF" w:rsidP="005F0AAA">
            <w:pPr>
              <w:pStyle w:val="TableText"/>
              <w:spacing w:before="0"/>
              <w:rPr>
                <w:rFonts w:cs="Calibri"/>
                <w:b/>
                <w:bCs/>
              </w:rPr>
            </w:pPr>
          </w:p>
        </w:tc>
        <w:tc>
          <w:tcPr>
            <w:tcW w:w="709" w:type="dxa"/>
            <w:gridSpan w:val="2"/>
            <w:tcBorders>
              <w:top w:val="nil"/>
              <w:left w:val="nil"/>
              <w:bottom w:val="nil"/>
              <w:right w:val="nil"/>
            </w:tcBorders>
          </w:tcPr>
          <w:p w14:paraId="29518976" w14:textId="3A0E0FAB" w:rsidR="000144FF" w:rsidRPr="00CF7E1B" w:rsidRDefault="000144FF" w:rsidP="005F0AAA">
            <w:pPr>
              <w:pStyle w:val="TableText"/>
              <w:spacing w:before="0"/>
              <w:rPr>
                <w:rFonts w:cs="Calibri"/>
                <w:b/>
              </w:rPr>
            </w:pPr>
          </w:p>
        </w:tc>
      </w:tr>
      <w:tr w:rsidR="005F0AAA" w:rsidRPr="00CF7E1B" w14:paraId="37CE9164" w14:textId="77777777" w:rsidTr="002A16D9">
        <w:tc>
          <w:tcPr>
            <w:tcW w:w="1560" w:type="dxa"/>
            <w:tcBorders>
              <w:top w:val="nil"/>
              <w:left w:val="single" w:sz="2" w:space="0" w:color="auto"/>
              <w:bottom w:val="nil"/>
              <w:right w:val="single" w:sz="2" w:space="0" w:color="auto"/>
            </w:tcBorders>
          </w:tcPr>
          <w:p w14:paraId="1C87C31C" w14:textId="77777777" w:rsidR="005F0AAA" w:rsidRPr="005F0AAA" w:rsidRDefault="005F0AAA" w:rsidP="005F0AAA">
            <w:pPr>
              <w:pStyle w:val="TableReference"/>
              <w:rPr>
                <w:rFonts w:cs="Calibri"/>
                <w:b/>
                <w:color w:val="7030A0"/>
                <w:sz w:val="14"/>
              </w:rPr>
            </w:pPr>
          </w:p>
        </w:tc>
        <w:tc>
          <w:tcPr>
            <w:tcW w:w="4394" w:type="dxa"/>
            <w:tcBorders>
              <w:top w:val="nil"/>
              <w:left w:val="single" w:sz="2" w:space="0" w:color="auto"/>
              <w:bottom w:val="nil"/>
              <w:right w:val="nil"/>
            </w:tcBorders>
          </w:tcPr>
          <w:p w14:paraId="1F54B814" w14:textId="77777777" w:rsidR="005F0AAA" w:rsidRPr="00CF7E1B" w:rsidRDefault="005F0AAA" w:rsidP="005F0AAA">
            <w:pPr>
              <w:pStyle w:val="TableText"/>
              <w:rPr>
                <w:rFonts w:cs="Calibri"/>
              </w:rPr>
            </w:pPr>
          </w:p>
        </w:tc>
        <w:tc>
          <w:tcPr>
            <w:tcW w:w="1134" w:type="dxa"/>
            <w:tcBorders>
              <w:top w:val="nil"/>
              <w:left w:val="nil"/>
              <w:bottom w:val="nil"/>
              <w:right w:val="nil"/>
            </w:tcBorders>
            <w:vAlign w:val="center"/>
          </w:tcPr>
          <w:p w14:paraId="78459585" w14:textId="77777777" w:rsidR="005F0AAA" w:rsidRPr="00CF7E1B" w:rsidRDefault="005F0AAA" w:rsidP="005F0AAA">
            <w:pPr>
              <w:pStyle w:val="TableText"/>
              <w:spacing w:before="0"/>
              <w:jc w:val="right"/>
              <w:rPr>
                <w:rFonts w:cs="Calibri"/>
                <w:b/>
                <w:bCs/>
              </w:rPr>
            </w:pPr>
            <w:r w:rsidRPr="00CF7E1B">
              <w:rPr>
                <w:rFonts w:cs="Calibri"/>
                <w:b/>
                <w:bCs/>
              </w:rPr>
              <w:t>Internally Generated</w:t>
            </w:r>
          </w:p>
          <w:p w14:paraId="1026A5DE" w14:textId="2086093A" w:rsidR="005F0AAA" w:rsidRPr="00CF7E1B" w:rsidRDefault="005F0AAA" w:rsidP="005F0AAA">
            <w:pPr>
              <w:pStyle w:val="TableText"/>
              <w:spacing w:before="0"/>
              <w:jc w:val="right"/>
              <w:rPr>
                <w:rFonts w:cs="Calibri"/>
                <w:b/>
                <w:bCs/>
              </w:rPr>
            </w:pPr>
            <w:r w:rsidRPr="00CF7E1B">
              <w:rPr>
                <w:rFonts w:cs="Calibri"/>
                <w:b/>
                <w:bCs/>
              </w:rPr>
              <w:t>Software</w:t>
            </w:r>
          </w:p>
        </w:tc>
        <w:tc>
          <w:tcPr>
            <w:tcW w:w="1134" w:type="dxa"/>
            <w:tcBorders>
              <w:top w:val="nil"/>
              <w:left w:val="nil"/>
              <w:bottom w:val="nil"/>
              <w:right w:val="nil"/>
            </w:tcBorders>
            <w:vAlign w:val="center"/>
          </w:tcPr>
          <w:p w14:paraId="35B5FDE1" w14:textId="511CBDED" w:rsidR="005F0AAA" w:rsidRPr="00CF7E1B" w:rsidRDefault="005F0AAA" w:rsidP="005F0AAA">
            <w:pPr>
              <w:pStyle w:val="TableText"/>
              <w:spacing w:before="0"/>
              <w:jc w:val="right"/>
              <w:rPr>
                <w:rFonts w:cs="Calibri"/>
                <w:b/>
                <w:bCs/>
              </w:rPr>
            </w:pPr>
            <w:r w:rsidRPr="00CF7E1B">
              <w:rPr>
                <w:rFonts w:cs="Calibri"/>
                <w:b/>
                <w:bCs/>
              </w:rPr>
              <w:t>Externally Purchased Software</w:t>
            </w:r>
          </w:p>
        </w:tc>
        <w:tc>
          <w:tcPr>
            <w:tcW w:w="1559" w:type="dxa"/>
            <w:tcBorders>
              <w:top w:val="nil"/>
              <w:left w:val="nil"/>
              <w:bottom w:val="nil"/>
              <w:right w:val="nil"/>
            </w:tcBorders>
            <w:vAlign w:val="center"/>
          </w:tcPr>
          <w:p w14:paraId="21D97E7A" w14:textId="56AF0E5B" w:rsidR="005F0AAA" w:rsidRPr="00CF7E1B" w:rsidRDefault="005F0AAA" w:rsidP="005F0AAA">
            <w:pPr>
              <w:pStyle w:val="TableText"/>
              <w:spacing w:before="0"/>
              <w:jc w:val="right"/>
              <w:rPr>
                <w:rFonts w:cs="Calibri"/>
                <w:b/>
                <w:bCs/>
              </w:rPr>
            </w:pPr>
            <w:r w:rsidRPr="00CF7E1B">
              <w:rPr>
                <w:rFonts w:cs="Calibri"/>
                <w:b/>
                <w:bCs/>
              </w:rPr>
              <w:t>Externally Purchased Other Intangibles</w:t>
            </w:r>
          </w:p>
        </w:tc>
        <w:tc>
          <w:tcPr>
            <w:tcW w:w="709" w:type="dxa"/>
            <w:gridSpan w:val="2"/>
            <w:tcBorders>
              <w:top w:val="nil"/>
              <w:left w:val="nil"/>
              <w:bottom w:val="nil"/>
              <w:right w:val="nil"/>
            </w:tcBorders>
            <w:vAlign w:val="bottom"/>
          </w:tcPr>
          <w:p w14:paraId="2FD5CAB7" w14:textId="14C68A0F" w:rsidR="005F0AAA" w:rsidRPr="00CF7E1B" w:rsidRDefault="005F0AAA" w:rsidP="005F0AAA">
            <w:pPr>
              <w:pStyle w:val="TableText"/>
              <w:spacing w:before="0"/>
              <w:jc w:val="right"/>
              <w:rPr>
                <w:rFonts w:cs="Calibri"/>
                <w:b/>
              </w:rPr>
            </w:pPr>
            <w:r w:rsidRPr="00CF7E1B">
              <w:rPr>
                <w:rFonts w:cs="Calibri"/>
                <w:b/>
              </w:rPr>
              <w:t>Total</w:t>
            </w:r>
          </w:p>
        </w:tc>
      </w:tr>
      <w:tr w:rsidR="005F0AAA" w:rsidRPr="00CF7E1B" w14:paraId="57972F9E" w14:textId="77777777" w:rsidTr="002A16D9">
        <w:tc>
          <w:tcPr>
            <w:tcW w:w="1560" w:type="dxa"/>
            <w:tcBorders>
              <w:top w:val="nil"/>
              <w:left w:val="single" w:sz="2" w:space="0" w:color="auto"/>
              <w:bottom w:val="nil"/>
              <w:right w:val="single" w:sz="2" w:space="0" w:color="auto"/>
            </w:tcBorders>
          </w:tcPr>
          <w:p w14:paraId="52B3A2D0" w14:textId="5673AFF9" w:rsidR="005F0AAA" w:rsidRPr="005F0AAA" w:rsidRDefault="005F0AAA" w:rsidP="005F0AAA">
            <w:pPr>
              <w:pStyle w:val="TableReference"/>
              <w:rPr>
                <w:rFonts w:cs="Calibri"/>
                <w:b/>
                <w:color w:val="7030A0"/>
                <w:sz w:val="14"/>
              </w:rPr>
            </w:pPr>
            <w:r w:rsidRPr="005F0AAA">
              <w:rPr>
                <w:rFonts w:cs="Calibri"/>
                <w:color w:val="7030A0"/>
                <w:sz w:val="14"/>
              </w:rPr>
              <w:t>ACT Accounting Policy</w:t>
            </w:r>
            <w:r w:rsidR="00FA7C77">
              <w:rPr>
                <w:rFonts w:cs="Calibri"/>
                <w:color w:val="7030A0"/>
                <w:sz w:val="14"/>
              </w:rPr>
              <w:t xml:space="preserve"> </w:t>
            </w:r>
            <w:r w:rsidRPr="005F0AAA">
              <w:rPr>
                <w:rFonts w:cs="Calibri"/>
                <w:color w:val="7030A0"/>
                <w:sz w:val="14"/>
              </w:rPr>
              <w:t>AASB 138.118</w:t>
            </w:r>
          </w:p>
        </w:tc>
        <w:tc>
          <w:tcPr>
            <w:tcW w:w="4394" w:type="dxa"/>
            <w:tcBorders>
              <w:top w:val="nil"/>
              <w:left w:val="single" w:sz="2" w:space="0" w:color="auto"/>
              <w:bottom w:val="nil"/>
              <w:right w:val="nil"/>
            </w:tcBorders>
          </w:tcPr>
          <w:p w14:paraId="5079D8A8" w14:textId="77777777" w:rsidR="005F0AAA" w:rsidRPr="00CF7E1B" w:rsidRDefault="005F0AAA" w:rsidP="005F0AAA">
            <w:pPr>
              <w:pStyle w:val="TableText"/>
              <w:rPr>
                <w:rFonts w:cs="Calibri"/>
              </w:rPr>
            </w:pPr>
          </w:p>
        </w:tc>
        <w:tc>
          <w:tcPr>
            <w:tcW w:w="1134" w:type="dxa"/>
            <w:tcBorders>
              <w:top w:val="nil"/>
              <w:left w:val="nil"/>
              <w:bottom w:val="nil"/>
              <w:right w:val="nil"/>
            </w:tcBorders>
            <w:vAlign w:val="center"/>
          </w:tcPr>
          <w:p w14:paraId="6D798FBA" w14:textId="77777777" w:rsidR="005F0AAA" w:rsidRPr="00CF7E1B" w:rsidRDefault="005F0AAA" w:rsidP="005F0AAA">
            <w:pPr>
              <w:pStyle w:val="TableText"/>
              <w:spacing w:before="0"/>
              <w:jc w:val="right"/>
              <w:rPr>
                <w:rFonts w:cs="Calibri"/>
                <w:b/>
              </w:rPr>
            </w:pPr>
            <w:r w:rsidRPr="00CF7E1B">
              <w:rPr>
                <w:rFonts w:cs="Calibri"/>
                <w:b/>
              </w:rPr>
              <w:t>$’000</w:t>
            </w:r>
          </w:p>
        </w:tc>
        <w:tc>
          <w:tcPr>
            <w:tcW w:w="1134" w:type="dxa"/>
            <w:tcBorders>
              <w:top w:val="nil"/>
              <w:left w:val="nil"/>
              <w:bottom w:val="nil"/>
              <w:right w:val="nil"/>
            </w:tcBorders>
            <w:vAlign w:val="center"/>
          </w:tcPr>
          <w:p w14:paraId="6B8BC595" w14:textId="77777777" w:rsidR="005F0AAA" w:rsidRPr="00CF7E1B" w:rsidRDefault="005F0AAA" w:rsidP="005F0AAA">
            <w:pPr>
              <w:pStyle w:val="TableText"/>
              <w:spacing w:before="0"/>
              <w:jc w:val="right"/>
              <w:rPr>
                <w:rFonts w:cs="Calibri"/>
                <w:b/>
              </w:rPr>
            </w:pPr>
            <w:r w:rsidRPr="00CF7E1B">
              <w:rPr>
                <w:rFonts w:cs="Calibri"/>
                <w:b/>
              </w:rPr>
              <w:t>$’000</w:t>
            </w:r>
          </w:p>
        </w:tc>
        <w:tc>
          <w:tcPr>
            <w:tcW w:w="1559" w:type="dxa"/>
            <w:tcBorders>
              <w:top w:val="nil"/>
              <w:left w:val="nil"/>
              <w:bottom w:val="nil"/>
              <w:right w:val="nil"/>
            </w:tcBorders>
            <w:vAlign w:val="center"/>
          </w:tcPr>
          <w:p w14:paraId="6C27DE6F" w14:textId="77777777" w:rsidR="005F0AAA" w:rsidRPr="00CF7E1B" w:rsidRDefault="005F0AAA" w:rsidP="005F0AAA">
            <w:pPr>
              <w:pStyle w:val="TableText"/>
              <w:spacing w:before="0"/>
              <w:jc w:val="right"/>
              <w:rPr>
                <w:rFonts w:cs="Calibri"/>
              </w:rPr>
            </w:pPr>
            <w:r w:rsidRPr="00CF7E1B">
              <w:rPr>
                <w:rFonts w:cs="Calibri"/>
                <w:b/>
              </w:rPr>
              <w:t>$’000</w:t>
            </w:r>
          </w:p>
        </w:tc>
        <w:tc>
          <w:tcPr>
            <w:tcW w:w="709" w:type="dxa"/>
            <w:gridSpan w:val="2"/>
            <w:tcBorders>
              <w:top w:val="nil"/>
              <w:left w:val="nil"/>
              <w:bottom w:val="nil"/>
              <w:right w:val="nil"/>
            </w:tcBorders>
            <w:vAlign w:val="center"/>
          </w:tcPr>
          <w:p w14:paraId="508D4B86" w14:textId="77777777" w:rsidR="005F0AAA" w:rsidRPr="00CF7E1B" w:rsidRDefault="005F0AAA" w:rsidP="005F0AAA">
            <w:pPr>
              <w:pStyle w:val="TableText"/>
              <w:spacing w:before="0"/>
              <w:jc w:val="right"/>
              <w:rPr>
                <w:rFonts w:cs="Calibri"/>
              </w:rPr>
            </w:pPr>
            <w:r w:rsidRPr="00CF7E1B">
              <w:rPr>
                <w:rFonts w:cs="Calibri"/>
                <w:b/>
              </w:rPr>
              <w:t>$’000</w:t>
            </w:r>
          </w:p>
        </w:tc>
      </w:tr>
      <w:tr w:rsidR="005F0AAA" w:rsidRPr="00CF7E1B" w14:paraId="6F90B940" w14:textId="77777777" w:rsidTr="002A16D9">
        <w:tc>
          <w:tcPr>
            <w:tcW w:w="1560" w:type="dxa"/>
            <w:tcBorders>
              <w:top w:val="nil"/>
              <w:left w:val="single" w:sz="2" w:space="0" w:color="auto"/>
              <w:bottom w:val="nil"/>
              <w:right w:val="single" w:sz="2" w:space="0" w:color="auto"/>
            </w:tcBorders>
          </w:tcPr>
          <w:p w14:paraId="3A2F01E5" w14:textId="54C78957" w:rsidR="005F0AAA" w:rsidRPr="005F0AAA" w:rsidRDefault="005F0AAA" w:rsidP="005F0AAA">
            <w:pPr>
              <w:pStyle w:val="TableReference"/>
              <w:spacing w:before="40"/>
              <w:rPr>
                <w:rFonts w:cs="Calibri"/>
                <w:b/>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38687A8B" w14:textId="1144EAC6" w:rsidR="005F0AAA" w:rsidRPr="005F0AAA" w:rsidRDefault="005F0AAA" w:rsidP="005F0AAA">
            <w:pPr>
              <w:pStyle w:val="TableText"/>
              <w:spacing w:after="120"/>
              <w:rPr>
                <w:rFonts w:cs="Calibri"/>
                <w:b/>
                <w:bCs/>
              </w:rPr>
            </w:pPr>
            <w:r w:rsidRPr="005F0AAA">
              <w:rPr>
                <w:rFonts w:cs="Calibri"/>
                <w:b/>
                <w:bCs/>
              </w:rPr>
              <w:t>Reconciliation of Intangible Assets 2021-22</w:t>
            </w:r>
          </w:p>
        </w:tc>
        <w:tc>
          <w:tcPr>
            <w:tcW w:w="1134" w:type="dxa"/>
            <w:tcBorders>
              <w:top w:val="nil"/>
              <w:left w:val="nil"/>
              <w:bottom w:val="nil"/>
              <w:right w:val="nil"/>
            </w:tcBorders>
            <w:vAlign w:val="center"/>
          </w:tcPr>
          <w:p w14:paraId="1B3203DC" w14:textId="77777777" w:rsidR="005F0AAA" w:rsidRPr="005F0AAA" w:rsidRDefault="005F0AAA" w:rsidP="005F0AAA">
            <w:pPr>
              <w:pStyle w:val="TableText"/>
              <w:jc w:val="right"/>
              <w:rPr>
                <w:rFonts w:cs="Calibri"/>
                <w:b/>
              </w:rPr>
            </w:pPr>
          </w:p>
        </w:tc>
        <w:tc>
          <w:tcPr>
            <w:tcW w:w="1134" w:type="dxa"/>
            <w:tcBorders>
              <w:top w:val="nil"/>
              <w:left w:val="nil"/>
              <w:bottom w:val="nil"/>
              <w:right w:val="nil"/>
            </w:tcBorders>
            <w:vAlign w:val="center"/>
          </w:tcPr>
          <w:p w14:paraId="68CACED5" w14:textId="77777777" w:rsidR="005F0AAA" w:rsidRPr="005F0AAA" w:rsidRDefault="005F0AAA" w:rsidP="005F0AAA">
            <w:pPr>
              <w:pStyle w:val="TableText"/>
              <w:jc w:val="right"/>
              <w:rPr>
                <w:rFonts w:cs="Calibri"/>
                <w:b/>
              </w:rPr>
            </w:pPr>
          </w:p>
        </w:tc>
        <w:tc>
          <w:tcPr>
            <w:tcW w:w="1559" w:type="dxa"/>
            <w:tcBorders>
              <w:top w:val="nil"/>
              <w:left w:val="nil"/>
              <w:bottom w:val="nil"/>
              <w:right w:val="nil"/>
            </w:tcBorders>
            <w:vAlign w:val="center"/>
          </w:tcPr>
          <w:p w14:paraId="476DBF42" w14:textId="77777777" w:rsidR="005F0AAA" w:rsidRPr="005F0AAA" w:rsidRDefault="005F0AAA" w:rsidP="005F0AAA">
            <w:pPr>
              <w:pStyle w:val="TableText"/>
              <w:jc w:val="right"/>
              <w:rPr>
                <w:rFonts w:cs="Calibri"/>
                <w:b/>
              </w:rPr>
            </w:pPr>
          </w:p>
        </w:tc>
        <w:tc>
          <w:tcPr>
            <w:tcW w:w="709" w:type="dxa"/>
            <w:gridSpan w:val="2"/>
            <w:tcBorders>
              <w:top w:val="nil"/>
              <w:left w:val="nil"/>
              <w:bottom w:val="nil"/>
              <w:right w:val="nil"/>
            </w:tcBorders>
            <w:vAlign w:val="center"/>
          </w:tcPr>
          <w:p w14:paraId="584F26CF" w14:textId="77777777" w:rsidR="005F0AAA" w:rsidRPr="005F0AAA" w:rsidRDefault="005F0AAA" w:rsidP="005F0AAA">
            <w:pPr>
              <w:pStyle w:val="TableText"/>
              <w:jc w:val="right"/>
              <w:rPr>
                <w:rFonts w:cs="Calibri"/>
                <w:b/>
              </w:rPr>
            </w:pPr>
          </w:p>
        </w:tc>
      </w:tr>
      <w:tr w:rsidR="005F0AAA" w:rsidRPr="00CF7E1B" w14:paraId="7599DE29" w14:textId="77777777" w:rsidTr="002A16D9">
        <w:tc>
          <w:tcPr>
            <w:tcW w:w="1560" w:type="dxa"/>
            <w:tcBorders>
              <w:top w:val="nil"/>
              <w:left w:val="single" w:sz="2" w:space="0" w:color="auto"/>
              <w:bottom w:val="nil"/>
              <w:right w:val="single" w:sz="2" w:space="0" w:color="auto"/>
            </w:tcBorders>
          </w:tcPr>
          <w:p w14:paraId="5E0A955E"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5711103D" w14:textId="7C4A4BE5" w:rsidR="005F0AAA" w:rsidRPr="005F0AAA" w:rsidRDefault="005F0AAA" w:rsidP="005F0AAA">
            <w:pPr>
              <w:pStyle w:val="TableText"/>
              <w:rPr>
                <w:rFonts w:cs="Calibri"/>
                <w:b/>
              </w:rPr>
            </w:pPr>
            <w:r w:rsidRPr="005F0AAA">
              <w:rPr>
                <w:rFonts w:cs="Calibri"/>
                <w:b/>
              </w:rPr>
              <w:t>Carrying Amount at the Beginning of the Reporting Period</w:t>
            </w:r>
          </w:p>
        </w:tc>
        <w:tc>
          <w:tcPr>
            <w:tcW w:w="1134" w:type="dxa"/>
            <w:tcBorders>
              <w:top w:val="nil"/>
              <w:left w:val="nil"/>
              <w:bottom w:val="nil"/>
              <w:right w:val="nil"/>
            </w:tcBorders>
          </w:tcPr>
          <w:p w14:paraId="44A8CCE0" w14:textId="2D57F685" w:rsidR="005F0AAA" w:rsidRPr="005F0AAA" w:rsidRDefault="005F0AAA" w:rsidP="005F0AAA">
            <w:pPr>
              <w:pStyle w:val="TableText"/>
              <w:jc w:val="right"/>
              <w:rPr>
                <w:rFonts w:cs="Calibri"/>
                <w:b/>
              </w:rPr>
            </w:pPr>
          </w:p>
        </w:tc>
        <w:tc>
          <w:tcPr>
            <w:tcW w:w="1134" w:type="dxa"/>
            <w:tcBorders>
              <w:top w:val="nil"/>
              <w:left w:val="nil"/>
              <w:bottom w:val="nil"/>
              <w:right w:val="nil"/>
            </w:tcBorders>
          </w:tcPr>
          <w:p w14:paraId="1AC8899D" w14:textId="730F4F09" w:rsidR="005F0AAA" w:rsidRPr="005F0AAA" w:rsidRDefault="005F0AAA" w:rsidP="005F0AAA">
            <w:pPr>
              <w:pStyle w:val="TableText"/>
              <w:jc w:val="right"/>
              <w:rPr>
                <w:rFonts w:cs="Calibri"/>
                <w:b/>
              </w:rPr>
            </w:pPr>
          </w:p>
        </w:tc>
        <w:tc>
          <w:tcPr>
            <w:tcW w:w="1559" w:type="dxa"/>
            <w:tcBorders>
              <w:top w:val="nil"/>
              <w:left w:val="nil"/>
              <w:bottom w:val="nil"/>
              <w:right w:val="nil"/>
            </w:tcBorders>
          </w:tcPr>
          <w:p w14:paraId="1A541684" w14:textId="1E35050C" w:rsidR="005F0AAA" w:rsidRPr="005F0AAA" w:rsidRDefault="005F0AAA" w:rsidP="005F0AAA">
            <w:pPr>
              <w:pStyle w:val="TableText"/>
              <w:jc w:val="right"/>
              <w:rPr>
                <w:rFonts w:cs="Calibri"/>
                <w:b/>
              </w:rPr>
            </w:pPr>
          </w:p>
        </w:tc>
        <w:tc>
          <w:tcPr>
            <w:tcW w:w="709" w:type="dxa"/>
            <w:gridSpan w:val="2"/>
            <w:tcBorders>
              <w:top w:val="nil"/>
              <w:left w:val="nil"/>
              <w:bottom w:val="nil"/>
              <w:right w:val="nil"/>
            </w:tcBorders>
          </w:tcPr>
          <w:p w14:paraId="26F08E8F" w14:textId="6E0A5A3F" w:rsidR="005F0AAA" w:rsidRPr="005F0AAA" w:rsidRDefault="005F0AAA" w:rsidP="005F0AAA">
            <w:pPr>
              <w:pStyle w:val="TableText"/>
              <w:jc w:val="right"/>
              <w:rPr>
                <w:rFonts w:cs="Calibri"/>
                <w:b/>
              </w:rPr>
            </w:pPr>
          </w:p>
        </w:tc>
      </w:tr>
      <w:tr w:rsidR="005F0AAA" w:rsidRPr="00CF7E1B" w14:paraId="79B5587F" w14:textId="77777777" w:rsidTr="002A16D9">
        <w:tc>
          <w:tcPr>
            <w:tcW w:w="1560" w:type="dxa"/>
            <w:tcBorders>
              <w:top w:val="nil"/>
              <w:left w:val="single" w:sz="2" w:space="0" w:color="auto"/>
              <w:bottom w:val="nil"/>
              <w:right w:val="single" w:sz="2" w:space="0" w:color="auto"/>
            </w:tcBorders>
          </w:tcPr>
          <w:p w14:paraId="2AECBF69"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138.118(e)(i)</w:t>
            </w:r>
          </w:p>
        </w:tc>
        <w:tc>
          <w:tcPr>
            <w:tcW w:w="4394" w:type="dxa"/>
            <w:tcBorders>
              <w:top w:val="nil"/>
              <w:left w:val="single" w:sz="2" w:space="0" w:color="auto"/>
              <w:bottom w:val="nil"/>
              <w:right w:val="nil"/>
            </w:tcBorders>
          </w:tcPr>
          <w:p w14:paraId="5777E401" w14:textId="4A49CAA0" w:rsidR="005F0AAA" w:rsidRPr="005F0AAA" w:rsidRDefault="005F0AAA" w:rsidP="005F0AAA">
            <w:pPr>
              <w:pStyle w:val="TableText"/>
              <w:rPr>
                <w:rFonts w:cs="Calibri"/>
              </w:rPr>
            </w:pPr>
            <w:r w:rsidRPr="005F0AAA">
              <w:rPr>
                <w:rFonts w:cs="Calibri"/>
              </w:rPr>
              <w:t>Additions</w:t>
            </w:r>
            <w:r w:rsidR="00FA7C77">
              <w:rPr>
                <w:rFonts w:cs="Calibri"/>
              </w:rPr>
              <w:t xml:space="preserve"> </w:t>
            </w:r>
          </w:p>
        </w:tc>
        <w:tc>
          <w:tcPr>
            <w:tcW w:w="1134" w:type="dxa"/>
            <w:tcBorders>
              <w:top w:val="nil"/>
              <w:left w:val="nil"/>
              <w:bottom w:val="nil"/>
              <w:right w:val="nil"/>
            </w:tcBorders>
          </w:tcPr>
          <w:p w14:paraId="2D72D16E" w14:textId="265D4DC6" w:rsidR="005F0AAA" w:rsidRPr="005F0AAA" w:rsidRDefault="005F0AAA" w:rsidP="005F0AAA">
            <w:pPr>
              <w:pStyle w:val="TableText"/>
              <w:jc w:val="right"/>
              <w:rPr>
                <w:rFonts w:cs="Calibri"/>
              </w:rPr>
            </w:pPr>
          </w:p>
        </w:tc>
        <w:tc>
          <w:tcPr>
            <w:tcW w:w="1134" w:type="dxa"/>
            <w:tcBorders>
              <w:top w:val="nil"/>
              <w:left w:val="nil"/>
              <w:bottom w:val="nil"/>
              <w:right w:val="nil"/>
            </w:tcBorders>
          </w:tcPr>
          <w:p w14:paraId="28D94559" w14:textId="0C940A56" w:rsidR="005F0AAA" w:rsidRPr="005F0AAA" w:rsidRDefault="005F0AAA" w:rsidP="005F0AAA">
            <w:pPr>
              <w:pStyle w:val="TableText"/>
              <w:jc w:val="right"/>
              <w:rPr>
                <w:rFonts w:cs="Calibri"/>
              </w:rPr>
            </w:pPr>
          </w:p>
        </w:tc>
        <w:tc>
          <w:tcPr>
            <w:tcW w:w="1559" w:type="dxa"/>
            <w:tcBorders>
              <w:top w:val="nil"/>
              <w:left w:val="nil"/>
              <w:bottom w:val="nil"/>
              <w:right w:val="nil"/>
            </w:tcBorders>
          </w:tcPr>
          <w:p w14:paraId="32463FC0" w14:textId="65E13AA7" w:rsidR="005F0AAA" w:rsidRPr="005F0AAA" w:rsidRDefault="005F0AAA" w:rsidP="005F0AAA">
            <w:pPr>
              <w:pStyle w:val="TableText"/>
              <w:jc w:val="right"/>
              <w:rPr>
                <w:rFonts w:cs="Calibri"/>
              </w:rPr>
            </w:pPr>
          </w:p>
        </w:tc>
        <w:tc>
          <w:tcPr>
            <w:tcW w:w="709" w:type="dxa"/>
            <w:gridSpan w:val="2"/>
            <w:tcBorders>
              <w:top w:val="nil"/>
              <w:left w:val="nil"/>
              <w:bottom w:val="nil"/>
              <w:right w:val="nil"/>
            </w:tcBorders>
          </w:tcPr>
          <w:p w14:paraId="4C08691D" w14:textId="229915AC" w:rsidR="005F0AAA" w:rsidRPr="005F0AAA" w:rsidRDefault="005F0AAA" w:rsidP="005F0AAA">
            <w:pPr>
              <w:pStyle w:val="TableText"/>
              <w:jc w:val="right"/>
              <w:rPr>
                <w:rFonts w:cs="Calibri"/>
              </w:rPr>
            </w:pPr>
          </w:p>
        </w:tc>
      </w:tr>
      <w:tr w:rsidR="005F0AAA" w:rsidRPr="00CF7E1B" w14:paraId="0A185D0A" w14:textId="77777777" w:rsidTr="002A16D9">
        <w:tc>
          <w:tcPr>
            <w:tcW w:w="1560" w:type="dxa"/>
            <w:tcBorders>
              <w:top w:val="nil"/>
              <w:left w:val="single" w:sz="2" w:space="0" w:color="auto"/>
              <w:bottom w:val="nil"/>
              <w:right w:val="single" w:sz="2" w:space="0" w:color="auto"/>
            </w:tcBorders>
          </w:tcPr>
          <w:p w14:paraId="3D10ED9C"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138.118(e)(iv)</w:t>
            </w:r>
          </w:p>
        </w:tc>
        <w:tc>
          <w:tcPr>
            <w:tcW w:w="4394" w:type="dxa"/>
            <w:tcBorders>
              <w:top w:val="nil"/>
              <w:left w:val="single" w:sz="2" w:space="0" w:color="auto"/>
              <w:bottom w:val="nil"/>
              <w:right w:val="nil"/>
            </w:tcBorders>
          </w:tcPr>
          <w:p w14:paraId="4D783BAF" w14:textId="3A6085F8" w:rsidR="005F0AAA" w:rsidRPr="005F0AAA" w:rsidRDefault="005F0AAA" w:rsidP="005F0AAA">
            <w:pPr>
              <w:pStyle w:val="TableText"/>
              <w:rPr>
                <w:rFonts w:cs="Calibri"/>
              </w:rPr>
            </w:pPr>
            <w:r w:rsidRPr="005F0AAA">
              <w:rPr>
                <w:rFonts w:cs="Calibri"/>
              </w:rPr>
              <w:t>Impairment Losses recognised in the Operating Result</w:t>
            </w:r>
          </w:p>
        </w:tc>
        <w:tc>
          <w:tcPr>
            <w:tcW w:w="1134" w:type="dxa"/>
            <w:tcBorders>
              <w:top w:val="nil"/>
              <w:left w:val="nil"/>
              <w:bottom w:val="nil"/>
              <w:right w:val="nil"/>
            </w:tcBorders>
          </w:tcPr>
          <w:p w14:paraId="18968364" w14:textId="6DCE0B9A" w:rsidR="005F0AAA" w:rsidRPr="005F0AAA" w:rsidRDefault="005F0AAA" w:rsidP="005F0AAA">
            <w:pPr>
              <w:pStyle w:val="TableText"/>
              <w:jc w:val="right"/>
              <w:rPr>
                <w:rFonts w:cs="Calibri"/>
              </w:rPr>
            </w:pPr>
          </w:p>
        </w:tc>
        <w:tc>
          <w:tcPr>
            <w:tcW w:w="1134" w:type="dxa"/>
            <w:tcBorders>
              <w:top w:val="nil"/>
              <w:left w:val="nil"/>
              <w:bottom w:val="nil"/>
              <w:right w:val="nil"/>
            </w:tcBorders>
          </w:tcPr>
          <w:p w14:paraId="613B4C7F" w14:textId="68BB202B" w:rsidR="005F0AAA" w:rsidRPr="005F0AAA" w:rsidRDefault="005F0AAA" w:rsidP="005F0AAA">
            <w:pPr>
              <w:pStyle w:val="TableText"/>
              <w:jc w:val="right"/>
              <w:rPr>
                <w:rFonts w:cs="Calibri"/>
              </w:rPr>
            </w:pPr>
          </w:p>
        </w:tc>
        <w:tc>
          <w:tcPr>
            <w:tcW w:w="1559" w:type="dxa"/>
            <w:tcBorders>
              <w:top w:val="nil"/>
              <w:left w:val="nil"/>
              <w:bottom w:val="nil"/>
              <w:right w:val="nil"/>
            </w:tcBorders>
          </w:tcPr>
          <w:p w14:paraId="3AF294AE" w14:textId="3C78289F" w:rsidR="005F0AAA" w:rsidRPr="005F0AAA" w:rsidRDefault="005F0AAA" w:rsidP="005F0AAA">
            <w:pPr>
              <w:pStyle w:val="TableText"/>
              <w:jc w:val="right"/>
              <w:rPr>
                <w:rFonts w:cs="Calibri"/>
              </w:rPr>
            </w:pPr>
          </w:p>
        </w:tc>
        <w:tc>
          <w:tcPr>
            <w:tcW w:w="709" w:type="dxa"/>
            <w:gridSpan w:val="2"/>
            <w:tcBorders>
              <w:top w:val="nil"/>
              <w:left w:val="nil"/>
              <w:bottom w:val="nil"/>
              <w:right w:val="nil"/>
            </w:tcBorders>
          </w:tcPr>
          <w:p w14:paraId="073EAA4F" w14:textId="647D782C" w:rsidR="005F0AAA" w:rsidRPr="005F0AAA" w:rsidRDefault="005F0AAA" w:rsidP="005F0AAA">
            <w:pPr>
              <w:pStyle w:val="TableText"/>
              <w:jc w:val="right"/>
              <w:rPr>
                <w:rFonts w:cs="Calibri"/>
              </w:rPr>
            </w:pPr>
          </w:p>
        </w:tc>
      </w:tr>
      <w:tr w:rsidR="005F0AAA" w:rsidRPr="00CF7E1B" w14:paraId="71B74BCB" w14:textId="77777777" w:rsidTr="002A16D9">
        <w:tc>
          <w:tcPr>
            <w:tcW w:w="1560" w:type="dxa"/>
            <w:tcBorders>
              <w:top w:val="nil"/>
              <w:left w:val="single" w:sz="2" w:space="0" w:color="auto"/>
              <w:bottom w:val="nil"/>
              <w:right w:val="single" w:sz="2" w:space="0" w:color="auto"/>
            </w:tcBorders>
          </w:tcPr>
          <w:p w14:paraId="63B5EEEB"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w:t>
            </w:r>
          </w:p>
        </w:tc>
        <w:tc>
          <w:tcPr>
            <w:tcW w:w="4394" w:type="dxa"/>
            <w:tcBorders>
              <w:top w:val="nil"/>
              <w:left w:val="single" w:sz="2" w:space="0" w:color="auto"/>
              <w:bottom w:val="nil"/>
              <w:right w:val="nil"/>
            </w:tcBorders>
          </w:tcPr>
          <w:p w14:paraId="559BA69B" w14:textId="58E43568" w:rsidR="005F0AAA" w:rsidRPr="005F0AAA" w:rsidRDefault="005F0AAA" w:rsidP="005F0AAA">
            <w:pPr>
              <w:pStyle w:val="TableText"/>
              <w:rPr>
                <w:rFonts w:cs="Calibri"/>
              </w:rPr>
            </w:pPr>
            <w:r w:rsidRPr="005F0AAA">
              <w:rPr>
                <w:rFonts w:cs="Calibri"/>
              </w:rPr>
              <w:t>Reversals of Impairment Losses recognised in the Operating Result</w:t>
            </w:r>
          </w:p>
        </w:tc>
        <w:tc>
          <w:tcPr>
            <w:tcW w:w="1134" w:type="dxa"/>
            <w:tcBorders>
              <w:top w:val="nil"/>
              <w:left w:val="nil"/>
              <w:bottom w:val="nil"/>
              <w:right w:val="nil"/>
            </w:tcBorders>
          </w:tcPr>
          <w:p w14:paraId="4F535E1A" w14:textId="62BD5739" w:rsidR="005F0AAA" w:rsidRPr="005F0AAA" w:rsidRDefault="005F0AAA" w:rsidP="005F0AAA">
            <w:pPr>
              <w:pStyle w:val="TableText"/>
              <w:jc w:val="right"/>
              <w:rPr>
                <w:rFonts w:cs="Calibri"/>
              </w:rPr>
            </w:pPr>
          </w:p>
        </w:tc>
        <w:tc>
          <w:tcPr>
            <w:tcW w:w="1134" w:type="dxa"/>
            <w:tcBorders>
              <w:top w:val="nil"/>
              <w:left w:val="nil"/>
              <w:bottom w:val="nil"/>
              <w:right w:val="nil"/>
            </w:tcBorders>
          </w:tcPr>
          <w:p w14:paraId="4C4DE476" w14:textId="7C4E4BC2" w:rsidR="005F0AAA" w:rsidRPr="005F0AAA" w:rsidRDefault="005F0AAA" w:rsidP="005F0AAA">
            <w:pPr>
              <w:pStyle w:val="TableText"/>
              <w:jc w:val="right"/>
              <w:rPr>
                <w:rFonts w:cs="Calibri"/>
              </w:rPr>
            </w:pPr>
          </w:p>
        </w:tc>
        <w:tc>
          <w:tcPr>
            <w:tcW w:w="1559" w:type="dxa"/>
            <w:tcBorders>
              <w:top w:val="nil"/>
              <w:left w:val="nil"/>
              <w:bottom w:val="nil"/>
              <w:right w:val="nil"/>
            </w:tcBorders>
          </w:tcPr>
          <w:p w14:paraId="6342549D" w14:textId="5A61FDB1" w:rsidR="005F0AAA" w:rsidRPr="005F0AAA" w:rsidRDefault="005F0AAA" w:rsidP="005F0AAA">
            <w:pPr>
              <w:pStyle w:val="TableText"/>
              <w:jc w:val="right"/>
              <w:rPr>
                <w:rFonts w:cs="Calibri"/>
              </w:rPr>
            </w:pPr>
          </w:p>
        </w:tc>
        <w:tc>
          <w:tcPr>
            <w:tcW w:w="709" w:type="dxa"/>
            <w:gridSpan w:val="2"/>
            <w:tcBorders>
              <w:top w:val="nil"/>
              <w:left w:val="nil"/>
              <w:bottom w:val="nil"/>
              <w:right w:val="nil"/>
            </w:tcBorders>
          </w:tcPr>
          <w:p w14:paraId="02B4EB66" w14:textId="14A00810" w:rsidR="005F0AAA" w:rsidRPr="005F0AAA" w:rsidRDefault="005F0AAA" w:rsidP="005F0AAA">
            <w:pPr>
              <w:pStyle w:val="TableText"/>
              <w:jc w:val="right"/>
              <w:rPr>
                <w:rFonts w:cs="Calibri"/>
              </w:rPr>
            </w:pPr>
          </w:p>
        </w:tc>
      </w:tr>
      <w:tr w:rsidR="005F0AAA" w:rsidRPr="00CF7E1B" w14:paraId="4C483710" w14:textId="77777777" w:rsidTr="002A16D9">
        <w:tc>
          <w:tcPr>
            <w:tcW w:w="1560" w:type="dxa"/>
            <w:tcBorders>
              <w:top w:val="nil"/>
              <w:left w:val="single" w:sz="2" w:space="0" w:color="auto"/>
              <w:bottom w:val="nil"/>
              <w:right w:val="single" w:sz="2" w:space="0" w:color="auto"/>
            </w:tcBorders>
          </w:tcPr>
          <w:p w14:paraId="1FE39D3E"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138.118(e)(vi)</w:t>
            </w:r>
          </w:p>
        </w:tc>
        <w:tc>
          <w:tcPr>
            <w:tcW w:w="4394" w:type="dxa"/>
            <w:tcBorders>
              <w:top w:val="nil"/>
              <w:left w:val="single" w:sz="2" w:space="0" w:color="auto"/>
              <w:bottom w:val="nil"/>
              <w:right w:val="nil"/>
            </w:tcBorders>
          </w:tcPr>
          <w:p w14:paraId="7A140CB1" w14:textId="77777777" w:rsidR="005F0AAA" w:rsidRPr="005F0AAA" w:rsidRDefault="005F0AAA" w:rsidP="005F0AAA">
            <w:pPr>
              <w:pStyle w:val="TableText"/>
              <w:rPr>
                <w:rFonts w:cs="Calibri"/>
              </w:rPr>
            </w:pPr>
            <w:r w:rsidRPr="005F0AAA">
              <w:rPr>
                <w:rFonts w:cs="Calibri"/>
              </w:rPr>
              <w:t>Amortisation</w:t>
            </w:r>
          </w:p>
        </w:tc>
        <w:tc>
          <w:tcPr>
            <w:tcW w:w="1134" w:type="dxa"/>
            <w:tcBorders>
              <w:top w:val="nil"/>
              <w:left w:val="nil"/>
              <w:bottom w:val="nil"/>
              <w:right w:val="nil"/>
            </w:tcBorders>
          </w:tcPr>
          <w:p w14:paraId="6E37D2D7" w14:textId="334B9143" w:rsidR="005F0AAA" w:rsidRPr="005F0AAA" w:rsidRDefault="005F0AAA" w:rsidP="005F0AAA">
            <w:pPr>
              <w:pStyle w:val="TableText"/>
              <w:jc w:val="right"/>
              <w:rPr>
                <w:rFonts w:cs="Calibri"/>
              </w:rPr>
            </w:pPr>
          </w:p>
        </w:tc>
        <w:tc>
          <w:tcPr>
            <w:tcW w:w="1134" w:type="dxa"/>
            <w:tcBorders>
              <w:top w:val="nil"/>
              <w:left w:val="nil"/>
              <w:bottom w:val="nil"/>
              <w:right w:val="nil"/>
            </w:tcBorders>
          </w:tcPr>
          <w:p w14:paraId="6EA07BB6" w14:textId="086F5CE6" w:rsidR="005F0AAA" w:rsidRPr="005F0AAA" w:rsidRDefault="005F0AAA" w:rsidP="005F0AAA">
            <w:pPr>
              <w:pStyle w:val="TableText"/>
              <w:jc w:val="right"/>
              <w:rPr>
                <w:rFonts w:cs="Calibri"/>
              </w:rPr>
            </w:pPr>
          </w:p>
        </w:tc>
        <w:tc>
          <w:tcPr>
            <w:tcW w:w="1559" w:type="dxa"/>
            <w:tcBorders>
              <w:top w:val="nil"/>
              <w:left w:val="nil"/>
              <w:bottom w:val="nil"/>
              <w:right w:val="nil"/>
            </w:tcBorders>
          </w:tcPr>
          <w:p w14:paraId="1DB6EDD4" w14:textId="58F6A045" w:rsidR="005F0AAA" w:rsidRPr="005F0AAA" w:rsidRDefault="005F0AAA" w:rsidP="005F0AAA">
            <w:pPr>
              <w:pStyle w:val="TableText"/>
              <w:jc w:val="right"/>
              <w:rPr>
                <w:rFonts w:cs="Calibri"/>
              </w:rPr>
            </w:pPr>
          </w:p>
        </w:tc>
        <w:tc>
          <w:tcPr>
            <w:tcW w:w="709" w:type="dxa"/>
            <w:gridSpan w:val="2"/>
            <w:tcBorders>
              <w:top w:val="nil"/>
              <w:left w:val="nil"/>
              <w:bottom w:val="nil"/>
              <w:right w:val="nil"/>
            </w:tcBorders>
          </w:tcPr>
          <w:p w14:paraId="0DCEA979" w14:textId="14C80864" w:rsidR="005F0AAA" w:rsidRPr="005F0AAA" w:rsidRDefault="005F0AAA" w:rsidP="005F0AAA">
            <w:pPr>
              <w:pStyle w:val="TableText"/>
              <w:jc w:val="right"/>
              <w:rPr>
                <w:rFonts w:cs="Calibri"/>
              </w:rPr>
            </w:pPr>
          </w:p>
        </w:tc>
      </w:tr>
      <w:tr w:rsidR="005F0AAA" w:rsidRPr="00CF7E1B" w14:paraId="35F0242D" w14:textId="77777777" w:rsidTr="002A16D9">
        <w:tc>
          <w:tcPr>
            <w:tcW w:w="1560" w:type="dxa"/>
            <w:tcBorders>
              <w:top w:val="nil"/>
              <w:left w:val="single" w:sz="2" w:space="0" w:color="auto"/>
              <w:bottom w:val="nil"/>
              <w:right w:val="single" w:sz="2" w:space="0" w:color="auto"/>
            </w:tcBorders>
          </w:tcPr>
          <w:p w14:paraId="09752BD2"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138.118(e)(viii)</w:t>
            </w:r>
          </w:p>
        </w:tc>
        <w:tc>
          <w:tcPr>
            <w:tcW w:w="4394" w:type="dxa"/>
            <w:tcBorders>
              <w:top w:val="nil"/>
              <w:left w:val="single" w:sz="2" w:space="0" w:color="auto"/>
              <w:bottom w:val="nil"/>
              <w:right w:val="nil"/>
            </w:tcBorders>
          </w:tcPr>
          <w:p w14:paraId="6F1EC3F2" w14:textId="77777777" w:rsidR="005F0AAA" w:rsidRPr="005F0AAA" w:rsidRDefault="005F0AAA" w:rsidP="005F0AAA">
            <w:pPr>
              <w:pStyle w:val="TableText"/>
              <w:rPr>
                <w:rFonts w:cs="Calibri"/>
              </w:rPr>
            </w:pPr>
            <w:r w:rsidRPr="005F0AAA">
              <w:rPr>
                <w:rFonts w:cs="Calibri"/>
              </w:rPr>
              <w:t>Other Changes</w:t>
            </w:r>
          </w:p>
        </w:tc>
        <w:tc>
          <w:tcPr>
            <w:tcW w:w="1134" w:type="dxa"/>
            <w:tcBorders>
              <w:top w:val="nil"/>
              <w:left w:val="nil"/>
              <w:bottom w:val="single" w:sz="4" w:space="0" w:color="auto"/>
              <w:right w:val="nil"/>
            </w:tcBorders>
          </w:tcPr>
          <w:p w14:paraId="0A4FFEA6" w14:textId="116E0CD2" w:rsidR="005F0AAA" w:rsidRPr="005F0AAA" w:rsidRDefault="005F0AAA" w:rsidP="005F0AAA">
            <w:pPr>
              <w:pStyle w:val="TableText"/>
              <w:jc w:val="right"/>
              <w:rPr>
                <w:rFonts w:cs="Calibri"/>
              </w:rPr>
            </w:pPr>
          </w:p>
        </w:tc>
        <w:tc>
          <w:tcPr>
            <w:tcW w:w="1134" w:type="dxa"/>
            <w:tcBorders>
              <w:top w:val="nil"/>
              <w:left w:val="nil"/>
              <w:bottom w:val="single" w:sz="4" w:space="0" w:color="auto"/>
              <w:right w:val="nil"/>
            </w:tcBorders>
          </w:tcPr>
          <w:p w14:paraId="39E8D0CA" w14:textId="42494F25" w:rsidR="005F0AAA" w:rsidRPr="005F0AAA" w:rsidRDefault="005F0AAA" w:rsidP="005F0AAA">
            <w:pPr>
              <w:pStyle w:val="TableText"/>
              <w:jc w:val="right"/>
              <w:rPr>
                <w:rFonts w:cs="Calibri"/>
              </w:rPr>
            </w:pPr>
          </w:p>
        </w:tc>
        <w:tc>
          <w:tcPr>
            <w:tcW w:w="1559" w:type="dxa"/>
            <w:tcBorders>
              <w:top w:val="nil"/>
              <w:left w:val="nil"/>
              <w:bottom w:val="single" w:sz="4" w:space="0" w:color="auto"/>
              <w:right w:val="nil"/>
            </w:tcBorders>
          </w:tcPr>
          <w:p w14:paraId="339EAED9" w14:textId="16793094" w:rsidR="005F0AAA" w:rsidRPr="005F0AAA" w:rsidRDefault="005F0AAA" w:rsidP="005F0AAA">
            <w:pPr>
              <w:pStyle w:val="TableText"/>
              <w:jc w:val="right"/>
              <w:rPr>
                <w:rFonts w:cs="Calibri"/>
              </w:rPr>
            </w:pPr>
          </w:p>
        </w:tc>
        <w:tc>
          <w:tcPr>
            <w:tcW w:w="709" w:type="dxa"/>
            <w:gridSpan w:val="2"/>
            <w:tcBorders>
              <w:top w:val="nil"/>
              <w:left w:val="nil"/>
              <w:bottom w:val="single" w:sz="4" w:space="0" w:color="auto"/>
              <w:right w:val="nil"/>
            </w:tcBorders>
          </w:tcPr>
          <w:p w14:paraId="69A69006" w14:textId="75108989" w:rsidR="005F0AAA" w:rsidRPr="005F0AAA" w:rsidRDefault="005F0AAA" w:rsidP="005F0AAA">
            <w:pPr>
              <w:pStyle w:val="TableText"/>
              <w:jc w:val="right"/>
              <w:rPr>
                <w:rFonts w:cs="Calibri"/>
              </w:rPr>
            </w:pPr>
          </w:p>
        </w:tc>
      </w:tr>
      <w:tr w:rsidR="005F0AAA" w:rsidRPr="00CF7E1B" w14:paraId="0A8BBD22" w14:textId="77777777" w:rsidTr="002A16D9">
        <w:tc>
          <w:tcPr>
            <w:tcW w:w="1560" w:type="dxa"/>
            <w:tcBorders>
              <w:top w:val="nil"/>
              <w:left w:val="single" w:sz="2" w:space="0" w:color="auto"/>
              <w:bottom w:val="nil"/>
              <w:right w:val="single" w:sz="2" w:space="0" w:color="auto"/>
            </w:tcBorders>
          </w:tcPr>
          <w:p w14:paraId="58A89EB3"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57DD1663" w14:textId="73FC2694" w:rsidR="005F0AAA" w:rsidRPr="005F0AAA" w:rsidRDefault="005F0AAA" w:rsidP="005F0AAA">
            <w:pPr>
              <w:pStyle w:val="TableText"/>
              <w:rPr>
                <w:rFonts w:cs="Calibri"/>
                <w:b/>
              </w:rPr>
            </w:pPr>
            <w:r w:rsidRPr="005F0AAA">
              <w:rPr>
                <w:rFonts w:cs="Calibri"/>
                <w:b/>
              </w:rPr>
              <w:t>Carrying Amount at the End of the Reporting Period</w:t>
            </w:r>
          </w:p>
        </w:tc>
        <w:tc>
          <w:tcPr>
            <w:tcW w:w="1134" w:type="dxa"/>
            <w:tcBorders>
              <w:top w:val="single" w:sz="4" w:space="0" w:color="auto"/>
              <w:left w:val="nil"/>
              <w:bottom w:val="double" w:sz="4" w:space="0" w:color="auto"/>
              <w:right w:val="nil"/>
            </w:tcBorders>
            <w:vAlign w:val="bottom"/>
          </w:tcPr>
          <w:p w14:paraId="57B0BA3E" w14:textId="1DDA621A" w:rsidR="005F0AAA" w:rsidRPr="005F0AAA" w:rsidRDefault="005F0AAA" w:rsidP="005F0AAA">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31E5B40A" w14:textId="1B0805FC" w:rsidR="005F0AAA" w:rsidRPr="005F0AAA" w:rsidRDefault="005F0AAA" w:rsidP="005F0AAA">
            <w:pPr>
              <w:pStyle w:val="TableText"/>
              <w:jc w:val="right"/>
              <w:rPr>
                <w:rFonts w:cs="Calibri"/>
                <w:b/>
                <w:bCs/>
              </w:rPr>
            </w:pPr>
          </w:p>
        </w:tc>
        <w:tc>
          <w:tcPr>
            <w:tcW w:w="1559" w:type="dxa"/>
            <w:tcBorders>
              <w:top w:val="single" w:sz="4" w:space="0" w:color="auto"/>
              <w:left w:val="nil"/>
              <w:bottom w:val="double" w:sz="4" w:space="0" w:color="auto"/>
              <w:right w:val="nil"/>
            </w:tcBorders>
            <w:vAlign w:val="bottom"/>
          </w:tcPr>
          <w:p w14:paraId="5438C377" w14:textId="6AD57C22" w:rsidR="005F0AAA" w:rsidRPr="005F0AAA" w:rsidRDefault="005F0AAA" w:rsidP="005F0AAA">
            <w:pPr>
              <w:pStyle w:val="TableText"/>
              <w:jc w:val="right"/>
              <w:rPr>
                <w:rFonts w:cs="Calibri"/>
                <w:b/>
                <w:bCs/>
              </w:rPr>
            </w:pPr>
          </w:p>
        </w:tc>
        <w:tc>
          <w:tcPr>
            <w:tcW w:w="709" w:type="dxa"/>
            <w:gridSpan w:val="2"/>
            <w:tcBorders>
              <w:top w:val="single" w:sz="4" w:space="0" w:color="auto"/>
              <w:left w:val="nil"/>
              <w:bottom w:val="double" w:sz="4" w:space="0" w:color="auto"/>
              <w:right w:val="nil"/>
            </w:tcBorders>
            <w:vAlign w:val="bottom"/>
          </w:tcPr>
          <w:p w14:paraId="20AF9249" w14:textId="45EE879D" w:rsidR="005F0AAA" w:rsidRPr="005F0AAA" w:rsidRDefault="005F0AAA" w:rsidP="005F0AAA">
            <w:pPr>
              <w:pStyle w:val="TableText"/>
              <w:jc w:val="right"/>
              <w:rPr>
                <w:rFonts w:cs="Calibri"/>
                <w:b/>
                <w:bCs/>
              </w:rPr>
            </w:pPr>
          </w:p>
        </w:tc>
      </w:tr>
      <w:tr w:rsidR="005F0AAA" w:rsidRPr="00CF7E1B" w14:paraId="513B66B8" w14:textId="77777777" w:rsidTr="002A16D9">
        <w:tc>
          <w:tcPr>
            <w:tcW w:w="1560" w:type="dxa"/>
            <w:tcBorders>
              <w:top w:val="nil"/>
              <w:left w:val="single" w:sz="2" w:space="0" w:color="auto"/>
              <w:bottom w:val="nil"/>
              <w:right w:val="single" w:sz="2" w:space="0" w:color="auto"/>
            </w:tcBorders>
          </w:tcPr>
          <w:p w14:paraId="70A9CED3" w14:textId="77777777" w:rsidR="005F0AAA" w:rsidRPr="005F0AAA" w:rsidRDefault="005F0AAA" w:rsidP="005F0AAA">
            <w:pPr>
              <w:pStyle w:val="TableReference"/>
              <w:spacing w:before="60"/>
              <w:rPr>
                <w:rFonts w:cs="Calibri"/>
                <w:color w:val="7030A0"/>
                <w:sz w:val="14"/>
              </w:rPr>
            </w:pPr>
          </w:p>
        </w:tc>
        <w:tc>
          <w:tcPr>
            <w:tcW w:w="4394" w:type="dxa"/>
            <w:tcBorders>
              <w:top w:val="nil"/>
              <w:left w:val="single" w:sz="2" w:space="0" w:color="auto"/>
              <w:bottom w:val="nil"/>
              <w:right w:val="nil"/>
            </w:tcBorders>
            <w:vAlign w:val="bottom"/>
          </w:tcPr>
          <w:p w14:paraId="3D706B90" w14:textId="49B2877A" w:rsidR="005F0AAA" w:rsidRPr="005F0AAA" w:rsidRDefault="005F0AAA" w:rsidP="005F0AAA">
            <w:pPr>
              <w:pStyle w:val="TableText"/>
              <w:rPr>
                <w:rFonts w:cs="Calibri"/>
                <w:b/>
              </w:rPr>
            </w:pPr>
            <w:r w:rsidRPr="005F0AAA">
              <w:rPr>
                <w:rFonts w:cs="Calibri"/>
              </w:rPr>
              <w:t>Carrying Amount at the End of the Reporting Period, represented by:</w:t>
            </w:r>
          </w:p>
        </w:tc>
        <w:tc>
          <w:tcPr>
            <w:tcW w:w="1134" w:type="dxa"/>
            <w:tcBorders>
              <w:top w:val="double" w:sz="4" w:space="0" w:color="auto"/>
              <w:left w:val="nil"/>
              <w:bottom w:val="nil"/>
              <w:right w:val="nil"/>
            </w:tcBorders>
            <w:vAlign w:val="bottom"/>
          </w:tcPr>
          <w:p w14:paraId="1CDB5758" w14:textId="77777777" w:rsidR="005F0AAA" w:rsidRPr="005F0AAA" w:rsidRDefault="005F0AAA" w:rsidP="005F0AAA">
            <w:pPr>
              <w:pStyle w:val="TableText"/>
              <w:jc w:val="right"/>
              <w:rPr>
                <w:rFonts w:cs="Calibri"/>
                <w:b/>
                <w:bCs/>
              </w:rPr>
            </w:pPr>
          </w:p>
        </w:tc>
        <w:tc>
          <w:tcPr>
            <w:tcW w:w="1134" w:type="dxa"/>
            <w:tcBorders>
              <w:top w:val="double" w:sz="4" w:space="0" w:color="auto"/>
              <w:left w:val="nil"/>
              <w:bottom w:val="nil"/>
              <w:right w:val="nil"/>
            </w:tcBorders>
            <w:vAlign w:val="bottom"/>
          </w:tcPr>
          <w:p w14:paraId="25B29141" w14:textId="77777777" w:rsidR="005F0AAA" w:rsidRPr="005F0AAA" w:rsidRDefault="005F0AAA" w:rsidP="005F0AAA">
            <w:pPr>
              <w:pStyle w:val="TableText"/>
              <w:jc w:val="right"/>
              <w:rPr>
                <w:rFonts w:cs="Calibri"/>
                <w:b/>
                <w:bCs/>
              </w:rPr>
            </w:pPr>
          </w:p>
        </w:tc>
        <w:tc>
          <w:tcPr>
            <w:tcW w:w="1559" w:type="dxa"/>
            <w:tcBorders>
              <w:top w:val="double" w:sz="4" w:space="0" w:color="auto"/>
              <w:left w:val="nil"/>
              <w:bottom w:val="nil"/>
              <w:right w:val="nil"/>
            </w:tcBorders>
            <w:vAlign w:val="bottom"/>
          </w:tcPr>
          <w:p w14:paraId="4E7B2CA0" w14:textId="77777777" w:rsidR="005F0AAA" w:rsidRPr="005F0AAA" w:rsidRDefault="005F0AAA" w:rsidP="005F0AAA">
            <w:pPr>
              <w:pStyle w:val="TableText"/>
              <w:jc w:val="right"/>
              <w:rPr>
                <w:rFonts w:cs="Calibri"/>
                <w:b/>
                <w:bCs/>
              </w:rPr>
            </w:pPr>
          </w:p>
        </w:tc>
        <w:tc>
          <w:tcPr>
            <w:tcW w:w="709" w:type="dxa"/>
            <w:gridSpan w:val="2"/>
            <w:tcBorders>
              <w:top w:val="double" w:sz="4" w:space="0" w:color="auto"/>
              <w:left w:val="nil"/>
              <w:bottom w:val="nil"/>
              <w:right w:val="nil"/>
            </w:tcBorders>
            <w:vAlign w:val="bottom"/>
          </w:tcPr>
          <w:p w14:paraId="666BD0F0" w14:textId="77777777" w:rsidR="005F0AAA" w:rsidRPr="005F0AAA" w:rsidRDefault="005F0AAA" w:rsidP="005F0AAA">
            <w:pPr>
              <w:pStyle w:val="TableText"/>
              <w:jc w:val="right"/>
              <w:rPr>
                <w:rFonts w:cs="Calibri"/>
                <w:b/>
                <w:bCs/>
              </w:rPr>
            </w:pPr>
          </w:p>
        </w:tc>
      </w:tr>
      <w:tr w:rsidR="005F0AAA" w:rsidRPr="00CF7E1B" w14:paraId="1D4600A4" w14:textId="77777777" w:rsidTr="002A16D9">
        <w:tc>
          <w:tcPr>
            <w:tcW w:w="1560" w:type="dxa"/>
            <w:tcBorders>
              <w:top w:val="nil"/>
              <w:left w:val="single" w:sz="2" w:space="0" w:color="auto"/>
              <w:bottom w:val="nil"/>
              <w:right w:val="single" w:sz="2" w:space="0" w:color="auto"/>
            </w:tcBorders>
          </w:tcPr>
          <w:p w14:paraId="3F70578A" w14:textId="3D78FA0E"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53DB12DD" w14:textId="3B4B524B" w:rsidR="005F0AAA" w:rsidRPr="005F0AAA" w:rsidRDefault="005F0AAA" w:rsidP="005F0AAA">
            <w:pPr>
              <w:pStyle w:val="TableText"/>
              <w:rPr>
                <w:rFonts w:cs="Calibri"/>
                <w:b/>
              </w:rPr>
            </w:pPr>
            <w:r w:rsidRPr="005F0AAA">
              <w:rPr>
                <w:rFonts w:cs="Calibri"/>
              </w:rPr>
              <w:t>Gross Book Value</w:t>
            </w:r>
          </w:p>
        </w:tc>
        <w:tc>
          <w:tcPr>
            <w:tcW w:w="1134" w:type="dxa"/>
            <w:tcBorders>
              <w:top w:val="nil"/>
              <w:left w:val="nil"/>
              <w:bottom w:val="nil"/>
              <w:right w:val="nil"/>
            </w:tcBorders>
            <w:vAlign w:val="bottom"/>
          </w:tcPr>
          <w:p w14:paraId="166F77F0" w14:textId="77777777" w:rsidR="005F0AAA" w:rsidRPr="005F0AAA" w:rsidRDefault="005F0AAA" w:rsidP="005F0AAA">
            <w:pPr>
              <w:pStyle w:val="TableText"/>
              <w:jc w:val="right"/>
              <w:rPr>
                <w:rFonts w:cs="Calibri"/>
                <w:b/>
                <w:bCs/>
              </w:rPr>
            </w:pPr>
          </w:p>
        </w:tc>
        <w:tc>
          <w:tcPr>
            <w:tcW w:w="1134" w:type="dxa"/>
            <w:tcBorders>
              <w:top w:val="nil"/>
              <w:left w:val="nil"/>
              <w:bottom w:val="nil"/>
              <w:right w:val="nil"/>
            </w:tcBorders>
            <w:vAlign w:val="bottom"/>
          </w:tcPr>
          <w:p w14:paraId="4D58E8E2" w14:textId="77777777" w:rsidR="005F0AAA" w:rsidRPr="005F0AAA" w:rsidRDefault="005F0AAA" w:rsidP="005F0AAA">
            <w:pPr>
              <w:pStyle w:val="TableText"/>
              <w:jc w:val="right"/>
              <w:rPr>
                <w:rFonts w:cs="Calibri"/>
                <w:b/>
                <w:bCs/>
              </w:rPr>
            </w:pPr>
          </w:p>
        </w:tc>
        <w:tc>
          <w:tcPr>
            <w:tcW w:w="1559" w:type="dxa"/>
            <w:tcBorders>
              <w:top w:val="nil"/>
              <w:left w:val="nil"/>
              <w:bottom w:val="nil"/>
              <w:right w:val="nil"/>
            </w:tcBorders>
            <w:vAlign w:val="bottom"/>
          </w:tcPr>
          <w:p w14:paraId="66EB16DE" w14:textId="77777777" w:rsidR="005F0AAA" w:rsidRPr="005F0AAA"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63D92AA6" w14:textId="77777777" w:rsidR="005F0AAA" w:rsidRPr="005F0AAA" w:rsidRDefault="005F0AAA" w:rsidP="005F0AAA">
            <w:pPr>
              <w:pStyle w:val="TableText"/>
              <w:jc w:val="right"/>
              <w:rPr>
                <w:rFonts w:cs="Calibri"/>
                <w:b/>
                <w:bCs/>
              </w:rPr>
            </w:pPr>
          </w:p>
        </w:tc>
      </w:tr>
      <w:tr w:rsidR="005F0AAA" w:rsidRPr="00CF7E1B" w14:paraId="2D34F0CB" w14:textId="77777777" w:rsidTr="002A16D9">
        <w:tc>
          <w:tcPr>
            <w:tcW w:w="1560" w:type="dxa"/>
            <w:tcBorders>
              <w:top w:val="nil"/>
              <w:left w:val="single" w:sz="2" w:space="0" w:color="auto"/>
              <w:bottom w:val="nil"/>
              <w:right w:val="single" w:sz="2" w:space="0" w:color="auto"/>
            </w:tcBorders>
          </w:tcPr>
          <w:p w14:paraId="54B9FC7F" w14:textId="651DC898"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7E186774" w14:textId="7101ECE7" w:rsidR="005F0AAA" w:rsidRPr="005F0AAA" w:rsidRDefault="005F0AAA" w:rsidP="005F0AAA">
            <w:pPr>
              <w:pStyle w:val="TableText"/>
              <w:rPr>
                <w:rFonts w:cs="Calibri"/>
                <w:b/>
              </w:rPr>
            </w:pPr>
            <w:r w:rsidRPr="005F0AAA">
              <w:rPr>
                <w:rFonts w:cs="Calibri"/>
              </w:rPr>
              <w:t>Accumulated Amortisation</w:t>
            </w:r>
            <w:r w:rsidR="00FA7C77">
              <w:rPr>
                <w:rFonts w:cs="Calibri"/>
              </w:rPr>
              <w:t xml:space="preserve"> </w:t>
            </w:r>
          </w:p>
        </w:tc>
        <w:tc>
          <w:tcPr>
            <w:tcW w:w="1134" w:type="dxa"/>
            <w:tcBorders>
              <w:top w:val="nil"/>
              <w:left w:val="nil"/>
              <w:bottom w:val="nil"/>
              <w:right w:val="nil"/>
            </w:tcBorders>
            <w:vAlign w:val="bottom"/>
          </w:tcPr>
          <w:p w14:paraId="0945CCBF" w14:textId="77777777" w:rsidR="005F0AAA" w:rsidRPr="005F0AAA" w:rsidRDefault="005F0AAA" w:rsidP="005F0AAA">
            <w:pPr>
              <w:pStyle w:val="TableText"/>
              <w:jc w:val="right"/>
              <w:rPr>
                <w:rFonts w:cs="Calibri"/>
                <w:b/>
                <w:bCs/>
              </w:rPr>
            </w:pPr>
          </w:p>
        </w:tc>
        <w:tc>
          <w:tcPr>
            <w:tcW w:w="1134" w:type="dxa"/>
            <w:tcBorders>
              <w:top w:val="nil"/>
              <w:left w:val="nil"/>
              <w:bottom w:val="nil"/>
              <w:right w:val="nil"/>
            </w:tcBorders>
            <w:vAlign w:val="bottom"/>
          </w:tcPr>
          <w:p w14:paraId="55CC7BC0" w14:textId="77777777" w:rsidR="005F0AAA" w:rsidRPr="005F0AAA" w:rsidRDefault="005F0AAA" w:rsidP="005F0AAA">
            <w:pPr>
              <w:pStyle w:val="TableText"/>
              <w:jc w:val="right"/>
              <w:rPr>
                <w:rFonts w:cs="Calibri"/>
                <w:b/>
                <w:bCs/>
              </w:rPr>
            </w:pPr>
          </w:p>
        </w:tc>
        <w:tc>
          <w:tcPr>
            <w:tcW w:w="1559" w:type="dxa"/>
            <w:tcBorders>
              <w:top w:val="nil"/>
              <w:left w:val="nil"/>
              <w:bottom w:val="nil"/>
              <w:right w:val="nil"/>
            </w:tcBorders>
            <w:vAlign w:val="bottom"/>
          </w:tcPr>
          <w:p w14:paraId="20B44FB7" w14:textId="77777777" w:rsidR="005F0AAA" w:rsidRPr="005F0AAA"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4062E696" w14:textId="77777777" w:rsidR="005F0AAA" w:rsidRPr="005F0AAA" w:rsidRDefault="005F0AAA" w:rsidP="005F0AAA">
            <w:pPr>
              <w:pStyle w:val="TableText"/>
              <w:jc w:val="right"/>
              <w:rPr>
                <w:rFonts w:cs="Calibri"/>
                <w:b/>
                <w:bCs/>
              </w:rPr>
            </w:pPr>
          </w:p>
        </w:tc>
      </w:tr>
      <w:tr w:rsidR="005F0AAA" w:rsidRPr="00CF7E1B" w14:paraId="5A5E093B" w14:textId="77777777" w:rsidTr="002A16D9">
        <w:tc>
          <w:tcPr>
            <w:tcW w:w="1560" w:type="dxa"/>
            <w:tcBorders>
              <w:top w:val="nil"/>
              <w:left w:val="single" w:sz="2" w:space="0" w:color="auto"/>
              <w:bottom w:val="nil"/>
              <w:right w:val="single" w:sz="2" w:space="0" w:color="auto"/>
            </w:tcBorders>
          </w:tcPr>
          <w:p w14:paraId="35A8D6F0" w14:textId="42A5636F"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294A74CE" w14:textId="44B8BE38" w:rsidR="005F0AAA" w:rsidRPr="005F0AAA" w:rsidRDefault="005F0AAA" w:rsidP="005F0AAA">
            <w:pPr>
              <w:pStyle w:val="TableText"/>
              <w:rPr>
                <w:rFonts w:cs="Calibri"/>
                <w:b/>
              </w:rPr>
            </w:pPr>
            <w:r w:rsidRPr="005F0AAA">
              <w:rPr>
                <w:rFonts w:cs="Calibri"/>
              </w:rPr>
              <w:t>Accumulated</w:t>
            </w:r>
            <w:r w:rsidR="00FA7C77">
              <w:rPr>
                <w:rFonts w:cs="Calibri"/>
              </w:rPr>
              <w:t xml:space="preserve"> </w:t>
            </w:r>
            <w:r w:rsidRPr="005F0AAA">
              <w:rPr>
                <w:rFonts w:cs="Calibri"/>
              </w:rPr>
              <w:t>Impairment losses</w:t>
            </w:r>
          </w:p>
        </w:tc>
        <w:tc>
          <w:tcPr>
            <w:tcW w:w="1134" w:type="dxa"/>
            <w:tcBorders>
              <w:top w:val="nil"/>
              <w:left w:val="nil"/>
              <w:bottom w:val="nil"/>
              <w:right w:val="nil"/>
            </w:tcBorders>
            <w:vAlign w:val="bottom"/>
          </w:tcPr>
          <w:p w14:paraId="286FBE7B" w14:textId="77777777" w:rsidR="005F0AAA" w:rsidRPr="005F0AAA" w:rsidRDefault="005F0AAA" w:rsidP="005F0AAA">
            <w:pPr>
              <w:pStyle w:val="TableText"/>
              <w:jc w:val="right"/>
              <w:rPr>
                <w:rFonts w:cs="Calibri"/>
                <w:b/>
                <w:bCs/>
              </w:rPr>
            </w:pPr>
          </w:p>
        </w:tc>
        <w:tc>
          <w:tcPr>
            <w:tcW w:w="1134" w:type="dxa"/>
            <w:tcBorders>
              <w:top w:val="nil"/>
              <w:left w:val="nil"/>
              <w:bottom w:val="nil"/>
              <w:right w:val="nil"/>
            </w:tcBorders>
            <w:vAlign w:val="bottom"/>
          </w:tcPr>
          <w:p w14:paraId="61EB3EA3" w14:textId="77777777" w:rsidR="005F0AAA" w:rsidRPr="005F0AAA" w:rsidRDefault="005F0AAA" w:rsidP="005F0AAA">
            <w:pPr>
              <w:pStyle w:val="TableText"/>
              <w:jc w:val="right"/>
              <w:rPr>
                <w:rFonts w:cs="Calibri"/>
                <w:b/>
                <w:bCs/>
              </w:rPr>
            </w:pPr>
          </w:p>
        </w:tc>
        <w:tc>
          <w:tcPr>
            <w:tcW w:w="1559" w:type="dxa"/>
            <w:tcBorders>
              <w:top w:val="nil"/>
              <w:left w:val="nil"/>
              <w:bottom w:val="nil"/>
              <w:right w:val="nil"/>
            </w:tcBorders>
            <w:vAlign w:val="bottom"/>
          </w:tcPr>
          <w:p w14:paraId="18CED7C5" w14:textId="77777777" w:rsidR="005F0AAA" w:rsidRPr="005F0AAA"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52387143" w14:textId="77777777" w:rsidR="005F0AAA" w:rsidRPr="005F0AAA" w:rsidRDefault="005F0AAA" w:rsidP="005F0AAA">
            <w:pPr>
              <w:pStyle w:val="TableText"/>
              <w:jc w:val="right"/>
              <w:rPr>
                <w:rFonts w:cs="Calibri"/>
                <w:b/>
                <w:bCs/>
              </w:rPr>
            </w:pPr>
          </w:p>
        </w:tc>
      </w:tr>
      <w:tr w:rsidR="005F0AAA" w:rsidRPr="00CF7E1B" w14:paraId="16FD1C2D" w14:textId="77777777" w:rsidTr="002A16D9">
        <w:tc>
          <w:tcPr>
            <w:tcW w:w="1560" w:type="dxa"/>
            <w:tcBorders>
              <w:top w:val="nil"/>
              <w:left w:val="single" w:sz="2" w:space="0" w:color="auto"/>
              <w:bottom w:val="nil"/>
              <w:right w:val="single" w:sz="2" w:space="0" w:color="auto"/>
            </w:tcBorders>
          </w:tcPr>
          <w:p w14:paraId="0C163182" w14:textId="77777777" w:rsidR="005F0AAA" w:rsidRPr="005F0AAA" w:rsidRDefault="005F0AAA" w:rsidP="005F0AAA">
            <w:pPr>
              <w:pStyle w:val="TableReference"/>
              <w:spacing w:before="60"/>
              <w:rPr>
                <w:rFonts w:cs="Calibri"/>
                <w:color w:val="7030A0"/>
                <w:sz w:val="14"/>
              </w:rPr>
            </w:pPr>
          </w:p>
        </w:tc>
        <w:tc>
          <w:tcPr>
            <w:tcW w:w="4394" w:type="dxa"/>
            <w:tcBorders>
              <w:top w:val="nil"/>
              <w:left w:val="single" w:sz="2" w:space="0" w:color="auto"/>
              <w:bottom w:val="nil"/>
              <w:right w:val="nil"/>
            </w:tcBorders>
          </w:tcPr>
          <w:p w14:paraId="4A75F9AE" w14:textId="77777777" w:rsidR="005F0AAA" w:rsidRPr="00CF7E1B" w:rsidRDefault="005F0AAA" w:rsidP="005F0AAA">
            <w:pPr>
              <w:pStyle w:val="TableText"/>
              <w:rPr>
                <w:rFonts w:cs="Calibri"/>
                <w:b/>
              </w:rPr>
            </w:pPr>
          </w:p>
        </w:tc>
        <w:tc>
          <w:tcPr>
            <w:tcW w:w="1134" w:type="dxa"/>
            <w:tcBorders>
              <w:top w:val="nil"/>
              <w:left w:val="nil"/>
              <w:bottom w:val="nil"/>
              <w:right w:val="nil"/>
            </w:tcBorders>
            <w:vAlign w:val="bottom"/>
          </w:tcPr>
          <w:p w14:paraId="2AF85D8E" w14:textId="77777777" w:rsidR="005F0AAA" w:rsidRPr="00CF7E1B" w:rsidRDefault="005F0AAA" w:rsidP="005F0AAA">
            <w:pPr>
              <w:pStyle w:val="TableText"/>
              <w:jc w:val="right"/>
              <w:rPr>
                <w:rFonts w:cs="Calibri"/>
                <w:b/>
                <w:bCs/>
              </w:rPr>
            </w:pPr>
          </w:p>
        </w:tc>
        <w:tc>
          <w:tcPr>
            <w:tcW w:w="1134" w:type="dxa"/>
            <w:tcBorders>
              <w:top w:val="nil"/>
              <w:left w:val="nil"/>
              <w:bottom w:val="nil"/>
              <w:right w:val="nil"/>
            </w:tcBorders>
            <w:vAlign w:val="bottom"/>
          </w:tcPr>
          <w:p w14:paraId="1529E628" w14:textId="77777777" w:rsidR="005F0AAA" w:rsidRPr="00CF7E1B" w:rsidRDefault="005F0AAA" w:rsidP="005F0AAA">
            <w:pPr>
              <w:pStyle w:val="TableText"/>
              <w:jc w:val="right"/>
              <w:rPr>
                <w:rFonts w:cs="Calibri"/>
                <w:b/>
                <w:bCs/>
              </w:rPr>
            </w:pPr>
          </w:p>
        </w:tc>
        <w:tc>
          <w:tcPr>
            <w:tcW w:w="1559" w:type="dxa"/>
            <w:tcBorders>
              <w:top w:val="nil"/>
              <w:left w:val="nil"/>
              <w:bottom w:val="nil"/>
              <w:right w:val="nil"/>
            </w:tcBorders>
            <w:vAlign w:val="bottom"/>
          </w:tcPr>
          <w:p w14:paraId="036F50A5" w14:textId="77777777" w:rsidR="005F0AAA" w:rsidRPr="00CF7E1B"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607581B0" w14:textId="77777777" w:rsidR="005F0AAA" w:rsidRPr="00CF7E1B" w:rsidRDefault="005F0AAA" w:rsidP="005F0AAA">
            <w:pPr>
              <w:pStyle w:val="TableText"/>
              <w:jc w:val="right"/>
              <w:rPr>
                <w:rFonts w:cs="Calibri"/>
                <w:b/>
                <w:bCs/>
              </w:rPr>
            </w:pPr>
          </w:p>
        </w:tc>
      </w:tr>
      <w:tr w:rsidR="00705931" w:rsidRPr="00CF7E1B" w14:paraId="77D6F881" w14:textId="77777777" w:rsidTr="002A16D9">
        <w:tc>
          <w:tcPr>
            <w:tcW w:w="1560" w:type="dxa"/>
            <w:tcBorders>
              <w:top w:val="nil"/>
              <w:left w:val="single" w:sz="2" w:space="0" w:color="auto"/>
              <w:bottom w:val="nil"/>
              <w:right w:val="single" w:sz="2" w:space="0" w:color="auto"/>
            </w:tcBorders>
          </w:tcPr>
          <w:p w14:paraId="6681E87E" w14:textId="77777777" w:rsidR="00705931" w:rsidRPr="005F0AAA" w:rsidRDefault="00705931" w:rsidP="00E22A2F">
            <w:pPr>
              <w:pStyle w:val="TableReference"/>
              <w:rPr>
                <w:rFonts w:cs="Calibri"/>
                <w:b/>
                <w:color w:val="7030A0"/>
                <w:sz w:val="14"/>
              </w:rPr>
            </w:pPr>
          </w:p>
        </w:tc>
        <w:tc>
          <w:tcPr>
            <w:tcW w:w="4394" w:type="dxa"/>
            <w:tcBorders>
              <w:top w:val="nil"/>
              <w:left w:val="single" w:sz="2" w:space="0" w:color="auto"/>
              <w:bottom w:val="nil"/>
              <w:right w:val="nil"/>
            </w:tcBorders>
          </w:tcPr>
          <w:p w14:paraId="20C11B84" w14:textId="77777777" w:rsidR="00705931" w:rsidRPr="00CF7E1B" w:rsidRDefault="00705931" w:rsidP="00E22A2F">
            <w:pPr>
              <w:pStyle w:val="TableText"/>
              <w:spacing w:before="0"/>
              <w:rPr>
                <w:rFonts w:cs="Calibri"/>
              </w:rPr>
            </w:pPr>
          </w:p>
        </w:tc>
        <w:tc>
          <w:tcPr>
            <w:tcW w:w="1134" w:type="dxa"/>
            <w:tcBorders>
              <w:top w:val="nil"/>
              <w:left w:val="nil"/>
              <w:bottom w:val="nil"/>
              <w:right w:val="nil"/>
            </w:tcBorders>
          </w:tcPr>
          <w:p w14:paraId="2B496674" w14:textId="77777777" w:rsidR="00705931" w:rsidRPr="00CF7E1B" w:rsidRDefault="00705931" w:rsidP="00E22A2F">
            <w:pPr>
              <w:pStyle w:val="TableText"/>
              <w:spacing w:before="0"/>
              <w:rPr>
                <w:rFonts w:cs="Calibri"/>
                <w:b/>
                <w:bCs/>
              </w:rPr>
            </w:pPr>
          </w:p>
        </w:tc>
        <w:tc>
          <w:tcPr>
            <w:tcW w:w="1134" w:type="dxa"/>
            <w:tcBorders>
              <w:top w:val="nil"/>
              <w:left w:val="nil"/>
              <w:bottom w:val="nil"/>
              <w:right w:val="nil"/>
            </w:tcBorders>
          </w:tcPr>
          <w:p w14:paraId="39EC3F44" w14:textId="77777777" w:rsidR="00705931" w:rsidRPr="00CF7E1B" w:rsidRDefault="00705931" w:rsidP="00E22A2F">
            <w:pPr>
              <w:pStyle w:val="TableText"/>
              <w:spacing w:before="0"/>
              <w:rPr>
                <w:rFonts w:cs="Calibri"/>
                <w:b/>
                <w:bCs/>
              </w:rPr>
            </w:pPr>
          </w:p>
        </w:tc>
        <w:tc>
          <w:tcPr>
            <w:tcW w:w="1559" w:type="dxa"/>
            <w:tcBorders>
              <w:top w:val="nil"/>
              <w:left w:val="nil"/>
              <w:bottom w:val="nil"/>
              <w:right w:val="nil"/>
            </w:tcBorders>
          </w:tcPr>
          <w:p w14:paraId="3743E65A" w14:textId="77777777" w:rsidR="00705931" w:rsidRPr="00CF7E1B" w:rsidRDefault="00705931" w:rsidP="00E22A2F">
            <w:pPr>
              <w:pStyle w:val="TableText"/>
              <w:spacing w:before="0"/>
              <w:rPr>
                <w:rFonts w:cs="Calibri"/>
                <w:b/>
                <w:bCs/>
              </w:rPr>
            </w:pPr>
          </w:p>
        </w:tc>
        <w:tc>
          <w:tcPr>
            <w:tcW w:w="709" w:type="dxa"/>
            <w:gridSpan w:val="2"/>
            <w:tcBorders>
              <w:top w:val="nil"/>
              <w:left w:val="nil"/>
              <w:bottom w:val="nil"/>
              <w:right w:val="nil"/>
            </w:tcBorders>
          </w:tcPr>
          <w:p w14:paraId="42E8CB95" w14:textId="77777777" w:rsidR="00705931" w:rsidRPr="00CF7E1B" w:rsidRDefault="00705931" w:rsidP="00E22A2F">
            <w:pPr>
              <w:pStyle w:val="TableText"/>
              <w:spacing w:before="0"/>
              <w:rPr>
                <w:rFonts w:cs="Calibri"/>
                <w:b/>
              </w:rPr>
            </w:pPr>
          </w:p>
        </w:tc>
      </w:tr>
      <w:tr w:rsidR="00705931" w:rsidRPr="00CF7E1B" w14:paraId="74B245B0" w14:textId="77777777" w:rsidTr="002A16D9">
        <w:tc>
          <w:tcPr>
            <w:tcW w:w="1560" w:type="dxa"/>
            <w:tcBorders>
              <w:top w:val="nil"/>
              <w:left w:val="single" w:sz="2" w:space="0" w:color="auto"/>
              <w:bottom w:val="nil"/>
              <w:right w:val="single" w:sz="2" w:space="0" w:color="auto"/>
            </w:tcBorders>
          </w:tcPr>
          <w:p w14:paraId="0D0863DA" w14:textId="77777777" w:rsidR="00705931" w:rsidRPr="005F0AAA" w:rsidRDefault="00705931" w:rsidP="00E22A2F">
            <w:pPr>
              <w:pStyle w:val="TableReference"/>
              <w:rPr>
                <w:rFonts w:cs="Calibri"/>
                <w:b/>
                <w:color w:val="7030A0"/>
                <w:sz w:val="14"/>
              </w:rPr>
            </w:pPr>
          </w:p>
        </w:tc>
        <w:tc>
          <w:tcPr>
            <w:tcW w:w="4394" w:type="dxa"/>
            <w:tcBorders>
              <w:top w:val="nil"/>
              <w:left w:val="single" w:sz="2" w:space="0" w:color="auto"/>
              <w:bottom w:val="nil"/>
              <w:right w:val="nil"/>
            </w:tcBorders>
          </w:tcPr>
          <w:p w14:paraId="15EB66C2" w14:textId="77777777" w:rsidR="00705931" w:rsidRPr="00CF7E1B" w:rsidRDefault="00705931" w:rsidP="00E22A2F">
            <w:pPr>
              <w:pStyle w:val="TableText"/>
              <w:rPr>
                <w:rFonts w:cs="Calibri"/>
              </w:rPr>
            </w:pPr>
          </w:p>
        </w:tc>
        <w:tc>
          <w:tcPr>
            <w:tcW w:w="1134" w:type="dxa"/>
            <w:tcBorders>
              <w:top w:val="nil"/>
              <w:left w:val="nil"/>
              <w:bottom w:val="nil"/>
              <w:right w:val="nil"/>
            </w:tcBorders>
            <w:vAlign w:val="center"/>
          </w:tcPr>
          <w:p w14:paraId="02D1DBAD" w14:textId="77777777" w:rsidR="00705931" w:rsidRPr="00CF7E1B" w:rsidRDefault="00705931" w:rsidP="00E22A2F">
            <w:pPr>
              <w:pStyle w:val="TableText"/>
              <w:spacing w:before="0"/>
              <w:jc w:val="right"/>
              <w:rPr>
                <w:rFonts w:cs="Calibri"/>
                <w:b/>
                <w:bCs/>
              </w:rPr>
            </w:pPr>
            <w:r w:rsidRPr="00CF7E1B">
              <w:rPr>
                <w:rFonts w:cs="Calibri"/>
                <w:b/>
                <w:bCs/>
              </w:rPr>
              <w:t>Internally Generated</w:t>
            </w:r>
          </w:p>
          <w:p w14:paraId="47E51BFE" w14:textId="77777777" w:rsidR="00705931" w:rsidRPr="00CF7E1B" w:rsidRDefault="00705931" w:rsidP="00E22A2F">
            <w:pPr>
              <w:pStyle w:val="TableText"/>
              <w:spacing w:before="0"/>
              <w:jc w:val="right"/>
              <w:rPr>
                <w:rFonts w:cs="Calibri"/>
                <w:b/>
                <w:bCs/>
              </w:rPr>
            </w:pPr>
            <w:r w:rsidRPr="00CF7E1B">
              <w:rPr>
                <w:rFonts w:cs="Calibri"/>
                <w:b/>
                <w:bCs/>
              </w:rPr>
              <w:t>Software</w:t>
            </w:r>
          </w:p>
        </w:tc>
        <w:tc>
          <w:tcPr>
            <w:tcW w:w="1134" w:type="dxa"/>
            <w:tcBorders>
              <w:top w:val="nil"/>
              <w:left w:val="nil"/>
              <w:bottom w:val="nil"/>
              <w:right w:val="nil"/>
            </w:tcBorders>
            <w:vAlign w:val="center"/>
          </w:tcPr>
          <w:p w14:paraId="3B6FB631" w14:textId="77777777" w:rsidR="00705931" w:rsidRPr="00CF7E1B" w:rsidRDefault="00705931" w:rsidP="00E22A2F">
            <w:pPr>
              <w:pStyle w:val="TableText"/>
              <w:spacing w:before="0"/>
              <w:jc w:val="right"/>
              <w:rPr>
                <w:rFonts w:cs="Calibri"/>
                <w:b/>
                <w:bCs/>
              </w:rPr>
            </w:pPr>
            <w:r w:rsidRPr="00CF7E1B">
              <w:rPr>
                <w:rFonts w:cs="Calibri"/>
                <w:b/>
                <w:bCs/>
              </w:rPr>
              <w:t>Externally Purchased Software</w:t>
            </w:r>
          </w:p>
        </w:tc>
        <w:tc>
          <w:tcPr>
            <w:tcW w:w="1559" w:type="dxa"/>
            <w:tcBorders>
              <w:top w:val="nil"/>
              <w:left w:val="nil"/>
              <w:bottom w:val="nil"/>
              <w:right w:val="nil"/>
            </w:tcBorders>
            <w:vAlign w:val="center"/>
          </w:tcPr>
          <w:p w14:paraId="47AD5B41" w14:textId="77777777" w:rsidR="00705931" w:rsidRPr="00CF7E1B" w:rsidRDefault="00705931" w:rsidP="00E22A2F">
            <w:pPr>
              <w:pStyle w:val="TableText"/>
              <w:spacing w:before="0"/>
              <w:jc w:val="right"/>
              <w:rPr>
                <w:rFonts w:cs="Calibri"/>
                <w:b/>
                <w:bCs/>
              </w:rPr>
            </w:pPr>
            <w:r w:rsidRPr="00CF7E1B">
              <w:rPr>
                <w:rFonts w:cs="Calibri"/>
                <w:b/>
                <w:bCs/>
              </w:rPr>
              <w:t>Externally Purchased Other Intangibles</w:t>
            </w:r>
          </w:p>
        </w:tc>
        <w:tc>
          <w:tcPr>
            <w:tcW w:w="709" w:type="dxa"/>
            <w:gridSpan w:val="2"/>
            <w:tcBorders>
              <w:top w:val="nil"/>
              <w:left w:val="nil"/>
              <w:bottom w:val="nil"/>
              <w:right w:val="nil"/>
            </w:tcBorders>
            <w:vAlign w:val="bottom"/>
          </w:tcPr>
          <w:p w14:paraId="6092A434" w14:textId="77777777" w:rsidR="00705931" w:rsidRPr="00CF7E1B" w:rsidRDefault="00705931" w:rsidP="00E22A2F">
            <w:pPr>
              <w:pStyle w:val="TableText"/>
              <w:spacing w:before="0"/>
              <w:jc w:val="right"/>
              <w:rPr>
                <w:rFonts w:cs="Calibri"/>
                <w:b/>
              </w:rPr>
            </w:pPr>
            <w:r w:rsidRPr="00CF7E1B">
              <w:rPr>
                <w:rFonts w:cs="Calibri"/>
                <w:b/>
              </w:rPr>
              <w:t>Total</w:t>
            </w:r>
          </w:p>
        </w:tc>
      </w:tr>
      <w:tr w:rsidR="00705931" w:rsidRPr="00CF7E1B" w14:paraId="452F8B38" w14:textId="77777777" w:rsidTr="002A16D9">
        <w:tc>
          <w:tcPr>
            <w:tcW w:w="1560" w:type="dxa"/>
            <w:tcBorders>
              <w:top w:val="nil"/>
              <w:left w:val="single" w:sz="2" w:space="0" w:color="auto"/>
              <w:bottom w:val="nil"/>
              <w:right w:val="single" w:sz="2" w:space="0" w:color="auto"/>
            </w:tcBorders>
          </w:tcPr>
          <w:p w14:paraId="7628793B" w14:textId="3602325D" w:rsidR="00705931" w:rsidRPr="005F0AAA" w:rsidRDefault="00705931" w:rsidP="00E22A2F">
            <w:pPr>
              <w:pStyle w:val="TableReference"/>
              <w:rPr>
                <w:rFonts w:cs="Calibri"/>
                <w:b/>
                <w:color w:val="7030A0"/>
                <w:sz w:val="14"/>
              </w:rPr>
            </w:pPr>
            <w:r w:rsidRPr="005F0AAA">
              <w:rPr>
                <w:rFonts w:cs="Calibri"/>
                <w:color w:val="7030A0"/>
                <w:sz w:val="14"/>
              </w:rPr>
              <w:t>ACT Accounting Policy</w:t>
            </w:r>
            <w:r w:rsidR="00FA7C77">
              <w:rPr>
                <w:rFonts w:cs="Calibri"/>
                <w:color w:val="7030A0"/>
                <w:sz w:val="14"/>
              </w:rPr>
              <w:t xml:space="preserve"> </w:t>
            </w:r>
            <w:r w:rsidRPr="005F0AAA">
              <w:rPr>
                <w:rFonts w:cs="Calibri"/>
                <w:color w:val="7030A0"/>
                <w:sz w:val="14"/>
              </w:rPr>
              <w:t>AASB 138.118</w:t>
            </w:r>
          </w:p>
        </w:tc>
        <w:tc>
          <w:tcPr>
            <w:tcW w:w="4394" w:type="dxa"/>
            <w:tcBorders>
              <w:top w:val="nil"/>
              <w:left w:val="single" w:sz="2" w:space="0" w:color="auto"/>
              <w:bottom w:val="nil"/>
              <w:right w:val="nil"/>
            </w:tcBorders>
          </w:tcPr>
          <w:p w14:paraId="09BFB5DD" w14:textId="77777777" w:rsidR="00705931" w:rsidRPr="00CF7E1B" w:rsidRDefault="00705931" w:rsidP="00E22A2F">
            <w:pPr>
              <w:pStyle w:val="TableText"/>
              <w:rPr>
                <w:rFonts w:cs="Calibri"/>
              </w:rPr>
            </w:pPr>
          </w:p>
        </w:tc>
        <w:tc>
          <w:tcPr>
            <w:tcW w:w="1134" w:type="dxa"/>
            <w:tcBorders>
              <w:top w:val="nil"/>
              <w:left w:val="nil"/>
              <w:bottom w:val="nil"/>
              <w:right w:val="nil"/>
            </w:tcBorders>
            <w:vAlign w:val="center"/>
          </w:tcPr>
          <w:p w14:paraId="1AB08247" w14:textId="77777777" w:rsidR="00705931" w:rsidRPr="00CF7E1B" w:rsidRDefault="00705931" w:rsidP="00E22A2F">
            <w:pPr>
              <w:pStyle w:val="TableText"/>
              <w:spacing w:before="0"/>
              <w:jc w:val="right"/>
              <w:rPr>
                <w:rFonts w:cs="Calibri"/>
                <w:b/>
              </w:rPr>
            </w:pPr>
            <w:r w:rsidRPr="00CF7E1B">
              <w:rPr>
                <w:rFonts w:cs="Calibri"/>
                <w:b/>
              </w:rPr>
              <w:t>$’000</w:t>
            </w:r>
          </w:p>
        </w:tc>
        <w:tc>
          <w:tcPr>
            <w:tcW w:w="1134" w:type="dxa"/>
            <w:tcBorders>
              <w:top w:val="nil"/>
              <w:left w:val="nil"/>
              <w:bottom w:val="nil"/>
              <w:right w:val="nil"/>
            </w:tcBorders>
            <w:vAlign w:val="center"/>
          </w:tcPr>
          <w:p w14:paraId="0082B0F8" w14:textId="77777777" w:rsidR="00705931" w:rsidRPr="00CF7E1B" w:rsidRDefault="00705931" w:rsidP="00E22A2F">
            <w:pPr>
              <w:pStyle w:val="TableText"/>
              <w:spacing w:before="0"/>
              <w:jc w:val="right"/>
              <w:rPr>
                <w:rFonts w:cs="Calibri"/>
                <w:b/>
              </w:rPr>
            </w:pPr>
            <w:r w:rsidRPr="00CF7E1B">
              <w:rPr>
                <w:rFonts w:cs="Calibri"/>
                <w:b/>
              </w:rPr>
              <w:t>$’000</w:t>
            </w:r>
          </w:p>
        </w:tc>
        <w:tc>
          <w:tcPr>
            <w:tcW w:w="1559" w:type="dxa"/>
            <w:tcBorders>
              <w:top w:val="nil"/>
              <w:left w:val="nil"/>
              <w:bottom w:val="nil"/>
              <w:right w:val="nil"/>
            </w:tcBorders>
            <w:vAlign w:val="center"/>
          </w:tcPr>
          <w:p w14:paraId="30CBBF09" w14:textId="77777777" w:rsidR="00705931" w:rsidRPr="00CF7E1B" w:rsidRDefault="00705931" w:rsidP="00E22A2F">
            <w:pPr>
              <w:pStyle w:val="TableText"/>
              <w:spacing w:before="0"/>
              <w:jc w:val="right"/>
              <w:rPr>
                <w:rFonts w:cs="Calibri"/>
              </w:rPr>
            </w:pPr>
            <w:r w:rsidRPr="00CF7E1B">
              <w:rPr>
                <w:rFonts w:cs="Calibri"/>
                <w:b/>
              </w:rPr>
              <w:t>$’000</w:t>
            </w:r>
          </w:p>
        </w:tc>
        <w:tc>
          <w:tcPr>
            <w:tcW w:w="709" w:type="dxa"/>
            <w:gridSpan w:val="2"/>
            <w:tcBorders>
              <w:top w:val="nil"/>
              <w:left w:val="nil"/>
              <w:bottom w:val="nil"/>
              <w:right w:val="nil"/>
            </w:tcBorders>
            <w:vAlign w:val="center"/>
          </w:tcPr>
          <w:p w14:paraId="136C84CE" w14:textId="77777777" w:rsidR="00705931" w:rsidRPr="00CF7E1B" w:rsidRDefault="00705931" w:rsidP="00E22A2F">
            <w:pPr>
              <w:pStyle w:val="TableText"/>
              <w:spacing w:before="0"/>
              <w:jc w:val="right"/>
              <w:rPr>
                <w:rFonts w:cs="Calibri"/>
              </w:rPr>
            </w:pPr>
            <w:r w:rsidRPr="00CF7E1B">
              <w:rPr>
                <w:rFonts w:cs="Calibri"/>
                <w:b/>
              </w:rPr>
              <w:t>$’000</w:t>
            </w:r>
          </w:p>
        </w:tc>
      </w:tr>
      <w:tr w:rsidR="005F0AAA" w:rsidRPr="00CF7E1B" w14:paraId="47B0535B" w14:textId="77777777" w:rsidTr="002A16D9">
        <w:tc>
          <w:tcPr>
            <w:tcW w:w="1560" w:type="dxa"/>
            <w:tcBorders>
              <w:top w:val="nil"/>
              <w:left w:val="single" w:sz="2" w:space="0" w:color="auto"/>
              <w:bottom w:val="nil"/>
              <w:right w:val="single" w:sz="2" w:space="0" w:color="auto"/>
            </w:tcBorders>
          </w:tcPr>
          <w:p w14:paraId="07F42B80" w14:textId="6D90FD3F" w:rsidR="005F0AAA" w:rsidRPr="005F0AAA" w:rsidRDefault="005F0AAA" w:rsidP="005F0AAA">
            <w:pPr>
              <w:pStyle w:val="TableReference"/>
              <w:rPr>
                <w:b/>
                <w:bCs/>
                <w:color w:val="7030A0"/>
              </w:rPr>
            </w:pPr>
            <w:r w:rsidRPr="005F0AAA">
              <w:rPr>
                <w:rFonts w:cs="Calibri"/>
                <w:b/>
                <w:bCs/>
                <w:color w:val="7030A0"/>
                <w:sz w:val="14"/>
              </w:rPr>
              <w:t>AASB 138.118(e)</w:t>
            </w:r>
          </w:p>
        </w:tc>
        <w:tc>
          <w:tcPr>
            <w:tcW w:w="8930" w:type="dxa"/>
            <w:gridSpan w:val="6"/>
            <w:tcBorders>
              <w:top w:val="nil"/>
              <w:left w:val="single" w:sz="2" w:space="0" w:color="auto"/>
              <w:bottom w:val="nil"/>
              <w:right w:val="nil"/>
            </w:tcBorders>
          </w:tcPr>
          <w:p w14:paraId="3D357AAF" w14:textId="77312553" w:rsidR="005F0AAA" w:rsidRPr="005F0AAA" w:rsidRDefault="005F0AAA" w:rsidP="005F0AAA">
            <w:pPr>
              <w:spacing w:after="60"/>
              <w:rPr>
                <w:rFonts w:ascii="Arial Bold" w:hAnsi="Arial Bold" w:cs="Arial"/>
                <w:b/>
                <w:bCs/>
                <w:caps/>
                <w:sz w:val="32"/>
                <w:szCs w:val="32"/>
              </w:rPr>
            </w:pPr>
            <w:r w:rsidRPr="005F0AAA">
              <w:rPr>
                <w:rFonts w:cs="Calibri"/>
                <w:b/>
                <w:bCs/>
                <w:sz w:val="18"/>
              </w:rPr>
              <w:t>Reconciliation of Intangible Assets 2020-21</w:t>
            </w:r>
          </w:p>
        </w:tc>
      </w:tr>
      <w:tr w:rsidR="005F0AAA" w:rsidRPr="00CF7E1B" w14:paraId="4D02F0AB" w14:textId="77777777" w:rsidTr="002A16D9">
        <w:tc>
          <w:tcPr>
            <w:tcW w:w="1560" w:type="dxa"/>
            <w:tcBorders>
              <w:top w:val="nil"/>
              <w:left w:val="single" w:sz="2" w:space="0" w:color="auto"/>
              <w:bottom w:val="nil"/>
              <w:right w:val="single" w:sz="2" w:space="0" w:color="auto"/>
            </w:tcBorders>
          </w:tcPr>
          <w:p w14:paraId="51A8E56B"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5776192E" w14:textId="4B157FE6" w:rsidR="005F0AAA" w:rsidRPr="005F0AAA" w:rsidRDefault="005F0AAA" w:rsidP="005F0AAA">
            <w:pPr>
              <w:pStyle w:val="TableText"/>
              <w:rPr>
                <w:rFonts w:cs="Calibri"/>
                <w:b/>
              </w:rPr>
            </w:pPr>
            <w:r w:rsidRPr="005F0AAA">
              <w:rPr>
                <w:rFonts w:cs="Calibri"/>
                <w:b/>
              </w:rPr>
              <w:t>Carrying Amount at the Beginning of the Reporting Period</w:t>
            </w:r>
          </w:p>
        </w:tc>
        <w:tc>
          <w:tcPr>
            <w:tcW w:w="1134" w:type="dxa"/>
            <w:tcBorders>
              <w:top w:val="nil"/>
              <w:left w:val="nil"/>
              <w:bottom w:val="nil"/>
              <w:right w:val="nil"/>
            </w:tcBorders>
          </w:tcPr>
          <w:p w14:paraId="68B0D559" w14:textId="24E58570" w:rsidR="005F0AAA" w:rsidRPr="00CF7E1B" w:rsidRDefault="005F0AAA" w:rsidP="005F0AAA">
            <w:pPr>
              <w:pStyle w:val="TableText"/>
              <w:jc w:val="right"/>
              <w:rPr>
                <w:rFonts w:cs="Calibri"/>
                <w:b/>
              </w:rPr>
            </w:pPr>
          </w:p>
        </w:tc>
        <w:tc>
          <w:tcPr>
            <w:tcW w:w="1134" w:type="dxa"/>
            <w:tcBorders>
              <w:top w:val="nil"/>
              <w:left w:val="nil"/>
              <w:bottom w:val="nil"/>
              <w:right w:val="nil"/>
            </w:tcBorders>
          </w:tcPr>
          <w:p w14:paraId="62F596CA" w14:textId="0E03050D" w:rsidR="005F0AAA" w:rsidRPr="00CF7E1B" w:rsidRDefault="005F0AAA" w:rsidP="005F0AAA">
            <w:pPr>
              <w:pStyle w:val="TableText"/>
              <w:jc w:val="right"/>
              <w:rPr>
                <w:rFonts w:cs="Calibri"/>
                <w:b/>
              </w:rPr>
            </w:pPr>
          </w:p>
        </w:tc>
        <w:tc>
          <w:tcPr>
            <w:tcW w:w="1559" w:type="dxa"/>
            <w:tcBorders>
              <w:top w:val="nil"/>
              <w:left w:val="nil"/>
              <w:bottom w:val="nil"/>
              <w:right w:val="nil"/>
            </w:tcBorders>
          </w:tcPr>
          <w:p w14:paraId="02A6ACF6" w14:textId="437581D8" w:rsidR="005F0AAA" w:rsidRPr="00CF7E1B" w:rsidRDefault="005F0AAA" w:rsidP="005F0AAA">
            <w:pPr>
              <w:pStyle w:val="TableText"/>
              <w:jc w:val="right"/>
              <w:rPr>
                <w:rFonts w:cs="Calibri"/>
                <w:b/>
              </w:rPr>
            </w:pPr>
          </w:p>
        </w:tc>
        <w:tc>
          <w:tcPr>
            <w:tcW w:w="709" w:type="dxa"/>
            <w:gridSpan w:val="2"/>
            <w:tcBorders>
              <w:top w:val="nil"/>
              <w:left w:val="nil"/>
              <w:bottom w:val="nil"/>
              <w:right w:val="nil"/>
            </w:tcBorders>
          </w:tcPr>
          <w:p w14:paraId="4F460A38" w14:textId="2B610124" w:rsidR="005F0AAA" w:rsidRPr="00CF7E1B" w:rsidRDefault="005F0AAA" w:rsidP="005F0AAA">
            <w:pPr>
              <w:pStyle w:val="TableText"/>
              <w:jc w:val="right"/>
              <w:rPr>
                <w:rFonts w:cs="Calibri"/>
                <w:b/>
              </w:rPr>
            </w:pPr>
          </w:p>
        </w:tc>
      </w:tr>
      <w:tr w:rsidR="005F0AAA" w:rsidRPr="00CF7E1B" w14:paraId="48361CC3" w14:textId="77777777" w:rsidTr="002A16D9">
        <w:tc>
          <w:tcPr>
            <w:tcW w:w="1560" w:type="dxa"/>
            <w:tcBorders>
              <w:top w:val="nil"/>
              <w:left w:val="single" w:sz="2" w:space="0" w:color="auto"/>
              <w:bottom w:val="nil"/>
              <w:right w:val="single" w:sz="2" w:space="0" w:color="auto"/>
            </w:tcBorders>
          </w:tcPr>
          <w:p w14:paraId="04D7B74D"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138.118(e)(i)</w:t>
            </w:r>
          </w:p>
        </w:tc>
        <w:tc>
          <w:tcPr>
            <w:tcW w:w="4394" w:type="dxa"/>
            <w:tcBorders>
              <w:top w:val="nil"/>
              <w:left w:val="single" w:sz="2" w:space="0" w:color="auto"/>
              <w:bottom w:val="nil"/>
              <w:right w:val="nil"/>
            </w:tcBorders>
          </w:tcPr>
          <w:p w14:paraId="629FBD04" w14:textId="3E81FF07" w:rsidR="005F0AAA" w:rsidRPr="005F0AAA" w:rsidRDefault="005F0AAA" w:rsidP="005F0AAA">
            <w:pPr>
              <w:pStyle w:val="TableText"/>
              <w:rPr>
                <w:rFonts w:cs="Calibri"/>
              </w:rPr>
            </w:pPr>
            <w:r w:rsidRPr="005F0AAA">
              <w:rPr>
                <w:rFonts w:cs="Calibri"/>
              </w:rPr>
              <w:t>Additions</w:t>
            </w:r>
            <w:r w:rsidR="00FA7C77">
              <w:rPr>
                <w:rFonts w:cs="Calibri"/>
              </w:rPr>
              <w:t xml:space="preserve"> </w:t>
            </w:r>
          </w:p>
        </w:tc>
        <w:tc>
          <w:tcPr>
            <w:tcW w:w="1134" w:type="dxa"/>
            <w:tcBorders>
              <w:top w:val="nil"/>
              <w:left w:val="nil"/>
              <w:bottom w:val="nil"/>
              <w:right w:val="nil"/>
            </w:tcBorders>
          </w:tcPr>
          <w:p w14:paraId="25233D90" w14:textId="45DFFC98" w:rsidR="005F0AAA" w:rsidRPr="00CF7E1B" w:rsidRDefault="005F0AAA" w:rsidP="005F0AAA">
            <w:pPr>
              <w:pStyle w:val="TableText"/>
              <w:jc w:val="right"/>
              <w:rPr>
                <w:rFonts w:cs="Calibri"/>
              </w:rPr>
            </w:pPr>
          </w:p>
        </w:tc>
        <w:tc>
          <w:tcPr>
            <w:tcW w:w="1134" w:type="dxa"/>
            <w:tcBorders>
              <w:top w:val="nil"/>
              <w:left w:val="nil"/>
              <w:bottom w:val="nil"/>
              <w:right w:val="nil"/>
            </w:tcBorders>
          </w:tcPr>
          <w:p w14:paraId="53FD817F" w14:textId="6974EE1F" w:rsidR="005F0AAA" w:rsidRPr="00CF7E1B" w:rsidRDefault="005F0AAA" w:rsidP="005F0AAA">
            <w:pPr>
              <w:pStyle w:val="TableText"/>
              <w:jc w:val="right"/>
              <w:rPr>
                <w:rFonts w:cs="Calibri"/>
              </w:rPr>
            </w:pPr>
          </w:p>
        </w:tc>
        <w:tc>
          <w:tcPr>
            <w:tcW w:w="1559" w:type="dxa"/>
            <w:tcBorders>
              <w:top w:val="nil"/>
              <w:left w:val="nil"/>
              <w:bottom w:val="nil"/>
              <w:right w:val="nil"/>
            </w:tcBorders>
          </w:tcPr>
          <w:p w14:paraId="3F5DCA37" w14:textId="7D4F6224" w:rsidR="005F0AAA" w:rsidRPr="00CF7E1B" w:rsidRDefault="005F0AAA" w:rsidP="005F0AAA">
            <w:pPr>
              <w:pStyle w:val="TableText"/>
              <w:jc w:val="right"/>
              <w:rPr>
                <w:rFonts w:cs="Calibri"/>
              </w:rPr>
            </w:pPr>
          </w:p>
        </w:tc>
        <w:tc>
          <w:tcPr>
            <w:tcW w:w="709" w:type="dxa"/>
            <w:gridSpan w:val="2"/>
            <w:tcBorders>
              <w:top w:val="nil"/>
              <w:left w:val="nil"/>
              <w:bottom w:val="nil"/>
              <w:right w:val="nil"/>
            </w:tcBorders>
          </w:tcPr>
          <w:p w14:paraId="0C237B19" w14:textId="143CD8A1" w:rsidR="005F0AAA" w:rsidRPr="00CF7E1B" w:rsidRDefault="005F0AAA" w:rsidP="005F0AAA">
            <w:pPr>
              <w:pStyle w:val="TableText"/>
              <w:jc w:val="right"/>
              <w:rPr>
                <w:rFonts w:cs="Calibri"/>
              </w:rPr>
            </w:pPr>
          </w:p>
        </w:tc>
      </w:tr>
      <w:tr w:rsidR="005F0AAA" w:rsidRPr="00CF7E1B" w14:paraId="6550D421" w14:textId="77777777" w:rsidTr="002A16D9">
        <w:tc>
          <w:tcPr>
            <w:tcW w:w="1560" w:type="dxa"/>
            <w:tcBorders>
              <w:top w:val="nil"/>
              <w:left w:val="single" w:sz="2" w:space="0" w:color="auto"/>
              <w:bottom w:val="nil"/>
              <w:right w:val="single" w:sz="2" w:space="0" w:color="auto"/>
            </w:tcBorders>
          </w:tcPr>
          <w:p w14:paraId="5EFA44E5"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138.118(e)(iv)</w:t>
            </w:r>
          </w:p>
        </w:tc>
        <w:tc>
          <w:tcPr>
            <w:tcW w:w="4394" w:type="dxa"/>
            <w:tcBorders>
              <w:top w:val="nil"/>
              <w:left w:val="single" w:sz="2" w:space="0" w:color="auto"/>
              <w:bottom w:val="nil"/>
              <w:right w:val="nil"/>
            </w:tcBorders>
          </w:tcPr>
          <w:p w14:paraId="42320026" w14:textId="300232B6" w:rsidR="005F0AAA" w:rsidRPr="005F0AAA" w:rsidRDefault="005F0AAA" w:rsidP="005F0AAA">
            <w:pPr>
              <w:pStyle w:val="TableText"/>
              <w:rPr>
                <w:rFonts w:cs="Calibri"/>
              </w:rPr>
            </w:pPr>
            <w:r w:rsidRPr="005F0AAA">
              <w:rPr>
                <w:rFonts w:cs="Calibri"/>
              </w:rPr>
              <w:t>Impairment Losses recognised in the Operating Result</w:t>
            </w:r>
          </w:p>
        </w:tc>
        <w:tc>
          <w:tcPr>
            <w:tcW w:w="1134" w:type="dxa"/>
            <w:tcBorders>
              <w:top w:val="nil"/>
              <w:left w:val="nil"/>
              <w:bottom w:val="nil"/>
              <w:right w:val="nil"/>
            </w:tcBorders>
          </w:tcPr>
          <w:p w14:paraId="133C8E6B" w14:textId="7EDCFFD2" w:rsidR="005F0AAA" w:rsidRPr="00CF7E1B" w:rsidRDefault="005F0AAA" w:rsidP="005F0AAA">
            <w:pPr>
              <w:pStyle w:val="TableText"/>
              <w:jc w:val="right"/>
              <w:rPr>
                <w:rFonts w:cs="Calibri"/>
              </w:rPr>
            </w:pPr>
          </w:p>
        </w:tc>
        <w:tc>
          <w:tcPr>
            <w:tcW w:w="1134" w:type="dxa"/>
            <w:tcBorders>
              <w:top w:val="nil"/>
              <w:left w:val="nil"/>
              <w:bottom w:val="nil"/>
              <w:right w:val="nil"/>
            </w:tcBorders>
          </w:tcPr>
          <w:p w14:paraId="153065D5" w14:textId="3146A963" w:rsidR="005F0AAA" w:rsidRPr="00CF7E1B" w:rsidRDefault="005F0AAA" w:rsidP="005F0AAA">
            <w:pPr>
              <w:pStyle w:val="TableText"/>
              <w:jc w:val="right"/>
              <w:rPr>
                <w:rFonts w:cs="Calibri"/>
              </w:rPr>
            </w:pPr>
          </w:p>
        </w:tc>
        <w:tc>
          <w:tcPr>
            <w:tcW w:w="1559" w:type="dxa"/>
            <w:tcBorders>
              <w:top w:val="nil"/>
              <w:left w:val="nil"/>
              <w:bottom w:val="nil"/>
              <w:right w:val="nil"/>
            </w:tcBorders>
          </w:tcPr>
          <w:p w14:paraId="7CBF5060" w14:textId="7E878D5A" w:rsidR="005F0AAA" w:rsidRPr="00CF7E1B" w:rsidRDefault="005F0AAA" w:rsidP="005F0AAA">
            <w:pPr>
              <w:pStyle w:val="TableText"/>
              <w:jc w:val="right"/>
              <w:rPr>
                <w:rFonts w:cs="Calibri"/>
              </w:rPr>
            </w:pPr>
          </w:p>
        </w:tc>
        <w:tc>
          <w:tcPr>
            <w:tcW w:w="709" w:type="dxa"/>
            <w:gridSpan w:val="2"/>
            <w:tcBorders>
              <w:top w:val="nil"/>
              <w:left w:val="nil"/>
              <w:bottom w:val="nil"/>
              <w:right w:val="nil"/>
            </w:tcBorders>
          </w:tcPr>
          <w:p w14:paraId="527B7553" w14:textId="3CEA2B2F" w:rsidR="005F0AAA" w:rsidRPr="00CF7E1B" w:rsidRDefault="005F0AAA" w:rsidP="005F0AAA">
            <w:pPr>
              <w:pStyle w:val="TableText"/>
              <w:jc w:val="right"/>
              <w:rPr>
                <w:rFonts w:cs="Calibri"/>
              </w:rPr>
            </w:pPr>
          </w:p>
        </w:tc>
      </w:tr>
      <w:tr w:rsidR="005F0AAA" w:rsidRPr="00CF7E1B" w14:paraId="11463F58" w14:textId="77777777" w:rsidTr="002A16D9">
        <w:tc>
          <w:tcPr>
            <w:tcW w:w="1560" w:type="dxa"/>
            <w:tcBorders>
              <w:top w:val="nil"/>
              <w:left w:val="single" w:sz="2" w:space="0" w:color="auto"/>
              <w:bottom w:val="nil"/>
              <w:right w:val="single" w:sz="2" w:space="0" w:color="auto"/>
            </w:tcBorders>
          </w:tcPr>
          <w:p w14:paraId="68E6F42A"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w:t>
            </w:r>
          </w:p>
        </w:tc>
        <w:tc>
          <w:tcPr>
            <w:tcW w:w="4394" w:type="dxa"/>
            <w:tcBorders>
              <w:top w:val="nil"/>
              <w:left w:val="single" w:sz="2" w:space="0" w:color="auto"/>
              <w:bottom w:val="nil"/>
              <w:right w:val="nil"/>
            </w:tcBorders>
          </w:tcPr>
          <w:p w14:paraId="7F31EAF6" w14:textId="184CDCA8" w:rsidR="005F0AAA" w:rsidRPr="005F0AAA" w:rsidRDefault="005F0AAA" w:rsidP="005F0AAA">
            <w:pPr>
              <w:pStyle w:val="TableText"/>
              <w:rPr>
                <w:rFonts w:cs="Calibri"/>
              </w:rPr>
            </w:pPr>
            <w:r w:rsidRPr="005F0AAA">
              <w:rPr>
                <w:rFonts w:cs="Calibri"/>
              </w:rPr>
              <w:t>Reversals of Impairment Losses recognised in the Operating Result</w:t>
            </w:r>
          </w:p>
        </w:tc>
        <w:tc>
          <w:tcPr>
            <w:tcW w:w="1134" w:type="dxa"/>
            <w:tcBorders>
              <w:top w:val="nil"/>
              <w:left w:val="nil"/>
              <w:bottom w:val="nil"/>
              <w:right w:val="nil"/>
            </w:tcBorders>
          </w:tcPr>
          <w:p w14:paraId="390FDB4D" w14:textId="13955137" w:rsidR="005F0AAA" w:rsidRPr="00CF7E1B" w:rsidRDefault="005F0AAA" w:rsidP="005F0AAA">
            <w:pPr>
              <w:pStyle w:val="TableText"/>
              <w:jc w:val="right"/>
              <w:rPr>
                <w:rFonts w:cs="Calibri"/>
              </w:rPr>
            </w:pPr>
          </w:p>
        </w:tc>
        <w:tc>
          <w:tcPr>
            <w:tcW w:w="1134" w:type="dxa"/>
            <w:tcBorders>
              <w:top w:val="nil"/>
              <w:left w:val="nil"/>
              <w:bottom w:val="nil"/>
              <w:right w:val="nil"/>
            </w:tcBorders>
          </w:tcPr>
          <w:p w14:paraId="305CDD3C" w14:textId="3B179AAA" w:rsidR="005F0AAA" w:rsidRPr="00CF7E1B" w:rsidRDefault="005F0AAA" w:rsidP="005F0AAA">
            <w:pPr>
              <w:pStyle w:val="TableText"/>
              <w:jc w:val="right"/>
              <w:rPr>
                <w:rFonts w:cs="Calibri"/>
              </w:rPr>
            </w:pPr>
          </w:p>
        </w:tc>
        <w:tc>
          <w:tcPr>
            <w:tcW w:w="1559" w:type="dxa"/>
            <w:tcBorders>
              <w:top w:val="nil"/>
              <w:left w:val="nil"/>
              <w:bottom w:val="nil"/>
              <w:right w:val="nil"/>
            </w:tcBorders>
          </w:tcPr>
          <w:p w14:paraId="75A00C7A" w14:textId="18742762" w:rsidR="005F0AAA" w:rsidRPr="00CF7E1B" w:rsidRDefault="005F0AAA" w:rsidP="005F0AAA">
            <w:pPr>
              <w:pStyle w:val="TableText"/>
              <w:jc w:val="right"/>
              <w:rPr>
                <w:rFonts w:cs="Calibri"/>
              </w:rPr>
            </w:pPr>
          </w:p>
        </w:tc>
        <w:tc>
          <w:tcPr>
            <w:tcW w:w="709" w:type="dxa"/>
            <w:gridSpan w:val="2"/>
            <w:tcBorders>
              <w:top w:val="nil"/>
              <w:left w:val="nil"/>
              <w:bottom w:val="nil"/>
              <w:right w:val="nil"/>
            </w:tcBorders>
          </w:tcPr>
          <w:p w14:paraId="180BA1AE" w14:textId="7F4F18B7" w:rsidR="005F0AAA" w:rsidRPr="00CF7E1B" w:rsidRDefault="005F0AAA" w:rsidP="005F0AAA">
            <w:pPr>
              <w:pStyle w:val="TableText"/>
              <w:jc w:val="right"/>
              <w:rPr>
                <w:rFonts w:cs="Calibri"/>
              </w:rPr>
            </w:pPr>
          </w:p>
        </w:tc>
      </w:tr>
      <w:tr w:rsidR="005F0AAA" w:rsidRPr="00CF7E1B" w14:paraId="7A09DD4D" w14:textId="77777777" w:rsidTr="002A16D9">
        <w:tc>
          <w:tcPr>
            <w:tcW w:w="1560" w:type="dxa"/>
            <w:tcBorders>
              <w:top w:val="nil"/>
              <w:left w:val="single" w:sz="2" w:space="0" w:color="auto"/>
              <w:bottom w:val="nil"/>
              <w:right w:val="single" w:sz="2" w:space="0" w:color="auto"/>
            </w:tcBorders>
          </w:tcPr>
          <w:p w14:paraId="4EF8D01C"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138.118(e)(vi)</w:t>
            </w:r>
          </w:p>
        </w:tc>
        <w:tc>
          <w:tcPr>
            <w:tcW w:w="4394" w:type="dxa"/>
            <w:tcBorders>
              <w:top w:val="nil"/>
              <w:left w:val="single" w:sz="2" w:space="0" w:color="auto"/>
              <w:bottom w:val="nil"/>
              <w:right w:val="nil"/>
            </w:tcBorders>
          </w:tcPr>
          <w:p w14:paraId="3A54A467" w14:textId="77777777" w:rsidR="005F0AAA" w:rsidRPr="005F0AAA" w:rsidRDefault="005F0AAA" w:rsidP="005F0AAA">
            <w:pPr>
              <w:pStyle w:val="TableText"/>
              <w:rPr>
                <w:rFonts w:cs="Calibri"/>
              </w:rPr>
            </w:pPr>
            <w:r w:rsidRPr="005F0AAA">
              <w:rPr>
                <w:rFonts w:cs="Calibri"/>
              </w:rPr>
              <w:t>Amortisation</w:t>
            </w:r>
          </w:p>
        </w:tc>
        <w:tc>
          <w:tcPr>
            <w:tcW w:w="1134" w:type="dxa"/>
            <w:tcBorders>
              <w:top w:val="nil"/>
              <w:left w:val="nil"/>
              <w:bottom w:val="nil"/>
              <w:right w:val="nil"/>
            </w:tcBorders>
          </w:tcPr>
          <w:p w14:paraId="5C33E247" w14:textId="073515CE" w:rsidR="005F0AAA" w:rsidRPr="00CF7E1B" w:rsidRDefault="005F0AAA" w:rsidP="005F0AAA">
            <w:pPr>
              <w:pStyle w:val="TableText"/>
              <w:jc w:val="right"/>
              <w:rPr>
                <w:rFonts w:cs="Calibri"/>
              </w:rPr>
            </w:pPr>
          </w:p>
        </w:tc>
        <w:tc>
          <w:tcPr>
            <w:tcW w:w="1134" w:type="dxa"/>
            <w:tcBorders>
              <w:top w:val="nil"/>
              <w:left w:val="nil"/>
              <w:bottom w:val="nil"/>
              <w:right w:val="nil"/>
            </w:tcBorders>
          </w:tcPr>
          <w:p w14:paraId="4D7C95FC" w14:textId="5EC6AF04" w:rsidR="005F0AAA" w:rsidRPr="00CF7E1B" w:rsidRDefault="005F0AAA" w:rsidP="005F0AAA">
            <w:pPr>
              <w:pStyle w:val="TableText"/>
              <w:jc w:val="right"/>
              <w:rPr>
                <w:rFonts w:cs="Calibri"/>
              </w:rPr>
            </w:pPr>
          </w:p>
        </w:tc>
        <w:tc>
          <w:tcPr>
            <w:tcW w:w="1559" w:type="dxa"/>
            <w:tcBorders>
              <w:top w:val="nil"/>
              <w:left w:val="nil"/>
              <w:bottom w:val="nil"/>
              <w:right w:val="nil"/>
            </w:tcBorders>
          </w:tcPr>
          <w:p w14:paraId="3F92B65E" w14:textId="1933440F" w:rsidR="005F0AAA" w:rsidRPr="00CF7E1B" w:rsidRDefault="005F0AAA" w:rsidP="005F0AAA">
            <w:pPr>
              <w:pStyle w:val="TableText"/>
              <w:jc w:val="right"/>
              <w:rPr>
                <w:rFonts w:cs="Calibri"/>
              </w:rPr>
            </w:pPr>
          </w:p>
        </w:tc>
        <w:tc>
          <w:tcPr>
            <w:tcW w:w="709" w:type="dxa"/>
            <w:gridSpan w:val="2"/>
            <w:tcBorders>
              <w:top w:val="nil"/>
              <w:left w:val="nil"/>
              <w:bottom w:val="nil"/>
              <w:right w:val="nil"/>
            </w:tcBorders>
          </w:tcPr>
          <w:p w14:paraId="7A6B1B79" w14:textId="62595C35" w:rsidR="005F0AAA" w:rsidRPr="00CF7E1B" w:rsidRDefault="005F0AAA" w:rsidP="005F0AAA">
            <w:pPr>
              <w:pStyle w:val="TableText"/>
              <w:jc w:val="right"/>
              <w:rPr>
                <w:rFonts w:cs="Calibri"/>
              </w:rPr>
            </w:pPr>
          </w:p>
        </w:tc>
      </w:tr>
      <w:tr w:rsidR="005F0AAA" w:rsidRPr="00CF7E1B" w14:paraId="1F025F5D" w14:textId="77777777" w:rsidTr="002A16D9">
        <w:tc>
          <w:tcPr>
            <w:tcW w:w="1560" w:type="dxa"/>
            <w:tcBorders>
              <w:top w:val="nil"/>
              <w:left w:val="single" w:sz="2" w:space="0" w:color="auto"/>
              <w:bottom w:val="nil"/>
              <w:right w:val="single" w:sz="2" w:space="0" w:color="auto"/>
            </w:tcBorders>
          </w:tcPr>
          <w:p w14:paraId="677BC5FC"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138.118(e)(viii)</w:t>
            </w:r>
          </w:p>
        </w:tc>
        <w:tc>
          <w:tcPr>
            <w:tcW w:w="4394" w:type="dxa"/>
            <w:tcBorders>
              <w:top w:val="nil"/>
              <w:left w:val="single" w:sz="2" w:space="0" w:color="auto"/>
              <w:bottom w:val="nil"/>
              <w:right w:val="nil"/>
            </w:tcBorders>
          </w:tcPr>
          <w:p w14:paraId="12674DDC" w14:textId="77777777" w:rsidR="005F0AAA" w:rsidRPr="005F0AAA" w:rsidRDefault="005F0AAA" w:rsidP="005F0AAA">
            <w:pPr>
              <w:pStyle w:val="TableText"/>
              <w:rPr>
                <w:rFonts w:cs="Calibri"/>
              </w:rPr>
            </w:pPr>
            <w:r w:rsidRPr="005F0AAA">
              <w:rPr>
                <w:rFonts w:cs="Calibri"/>
              </w:rPr>
              <w:t>Other Changes</w:t>
            </w:r>
          </w:p>
        </w:tc>
        <w:tc>
          <w:tcPr>
            <w:tcW w:w="1134" w:type="dxa"/>
            <w:tcBorders>
              <w:top w:val="nil"/>
              <w:left w:val="nil"/>
              <w:bottom w:val="single" w:sz="4" w:space="0" w:color="auto"/>
              <w:right w:val="nil"/>
            </w:tcBorders>
          </w:tcPr>
          <w:p w14:paraId="2022A752" w14:textId="2B14C463" w:rsidR="005F0AAA" w:rsidRPr="00CF7E1B" w:rsidRDefault="005F0AAA" w:rsidP="005F0AAA">
            <w:pPr>
              <w:pStyle w:val="TableText"/>
              <w:jc w:val="right"/>
              <w:rPr>
                <w:rFonts w:cs="Calibri"/>
              </w:rPr>
            </w:pPr>
          </w:p>
        </w:tc>
        <w:tc>
          <w:tcPr>
            <w:tcW w:w="1134" w:type="dxa"/>
            <w:tcBorders>
              <w:top w:val="nil"/>
              <w:left w:val="nil"/>
              <w:bottom w:val="single" w:sz="4" w:space="0" w:color="auto"/>
              <w:right w:val="nil"/>
            </w:tcBorders>
          </w:tcPr>
          <w:p w14:paraId="6C79C9AE" w14:textId="45A6CD0A" w:rsidR="005F0AAA" w:rsidRPr="00CF7E1B" w:rsidRDefault="005F0AAA" w:rsidP="005F0AAA">
            <w:pPr>
              <w:pStyle w:val="TableText"/>
              <w:jc w:val="right"/>
              <w:rPr>
                <w:rFonts w:cs="Calibri"/>
              </w:rPr>
            </w:pPr>
          </w:p>
        </w:tc>
        <w:tc>
          <w:tcPr>
            <w:tcW w:w="1559" w:type="dxa"/>
            <w:tcBorders>
              <w:top w:val="nil"/>
              <w:left w:val="nil"/>
              <w:bottom w:val="single" w:sz="4" w:space="0" w:color="auto"/>
              <w:right w:val="nil"/>
            </w:tcBorders>
          </w:tcPr>
          <w:p w14:paraId="173B10B3" w14:textId="78007C20" w:rsidR="005F0AAA" w:rsidRPr="00CF7E1B" w:rsidRDefault="005F0AAA" w:rsidP="005F0AAA">
            <w:pPr>
              <w:pStyle w:val="TableText"/>
              <w:jc w:val="right"/>
              <w:rPr>
                <w:rFonts w:cs="Calibri"/>
              </w:rPr>
            </w:pPr>
          </w:p>
        </w:tc>
        <w:tc>
          <w:tcPr>
            <w:tcW w:w="709" w:type="dxa"/>
            <w:gridSpan w:val="2"/>
            <w:tcBorders>
              <w:top w:val="nil"/>
              <w:left w:val="nil"/>
              <w:bottom w:val="single" w:sz="4" w:space="0" w:color="auto"/>
              <w:right w:val="nil"/>
            </w:tcBorders>
          </w:tcPr>
          <w:p w14:paraId="4FFC5980" w14:textId="1A924226" w:rsidR="005F0AAA" w:rsidRPr="00CF7E1B" w:rsidRDefault="005F0AAA" w:rsidP="005F0AAA">
            <w:pPr>
              <w:pStyle w:val="TableText"/>
              <w:jc w:val="right"/>
              <w:rPr>
                <w:rFonts w:cs="Calibri"/>
              </w:rPr>
            </w:pPr>
          </w:p>
        </w:tc>
      </w:tr>
      <w:tr w:rsidR="005F0AAA" w:rsidRPr="00CF7E1B" w14:paraId="2516EB78" w14:textId="77777777" w:rsidTr="002A16D9">
        <w:tc>
          <w:tcPr>
            <w:tcW w:w="1560" w:type="dxa"/>
            <w:tcBorders>
              <w:top w:val="nil"/>
              <w:left w:val="single" w:sz="2" w:space="0" w:color="auto"/>
              <w:bottom w:val="nil"/>
              <w:right w:val="single" w:sz="2" w:space="0" w:color="auto"/>
            </w:tcBorders>
          </w:tcPr>
          <w:p w14:paraId="391140C9" w14:textId="77777777" w:rsidR="005F0AAA" w:rsidRPr="005F0AAA" w:rsidRDefault="005F0AAA" w:rsidP="005F0AAA">
            <w:pPr>
              <w:pStyle w:val="TableReference"/>
              <w:spacing w:before="60"/>
              <w:rPr>
                <w:rFonts w:cs="Calibri"/>
                <w:color w:val="7030A0"/>
                <w:sz w:val="14"/>
              </w:rPr>
            </w:pPr>
            <w:r w:rsidRPr="005F0AAA">
              <w:rPr>
                <w:rFonts w:cs="Calibri"/>
                <w:color w:val="7030A0"/>
                <w:sz w:val="14"/>
              </w:rPr>
              <w:t>AASB 138.118(e)</w:t>
            </w:r>
          </w:p>
        </w:tc>
        <w:tc>
          <w:tcPr>
            <w:tcW w:w="4394" w:type="dxa"/>
            <w:tcBorders>
              <w:top w:val="nil"/>
              <w:left w:val="single" w:sz="2" w:space="0" w:color="auto"/>
              <w:bottom w:val="nil"/>
              <w:right w:val="nil"/>
            </w:tcBorders>
          </w:tcPr>
          <w:p w14:paraId="65EF3C3A" w14:textId="79191C4F" w:rsidR="005F0AAA" w:rsidRPr="005F0AAA" w:rsidRDefault="005F0AAA" w:rsidP="005F0AAA">
            <w:pPr>
              <w:pStyle w:val="TableText"/>
              <w:rPr>
                <w:rFonts w:cs="Calibri"/>
                <w:b/>
              </w:rPr>
            </w:pPr>
            <w:r w:rsidRPr="005F0AAA">
              <w:rPr>
                <w:rFonts w:cs="Calibri"/>
                <w:b/>
              </w:rPr>
              <w:t>Carrying Amount at the End of the Reporting Period</w:t>
            </w:r>
          </w:p>
        </w:tc>
        <w:tc>
          <w:tcPr>
            <w:tcW w:w="1134" w:type="dxa"/>
            <w:tcBorders>
              <w:top w:val="single" w:sz="4" w:space="0" w:color="auto"/>
              <w:left w:val="nil"/>
              <w:bottom w:val="double" w:sz="4" w:space="0" w:color="auto"/>
              <w:right w:val="nil"/>
            </w:tcBorders>
            <w:vAlign w:val="bottom"/>
          </w:tcPr>
          <w:p w14:paraId="25E67BC7" w14:textId="3284A91D" w:rsidR="005F0AAA" w:rsidRPr="00CF7E1B" w:rsidRDefault="005F0AAA" w:rsidP="005F0AAA">
            <w:pPr>
              <w:pStyle w:val="TableText"/>
              <w:jc w:val="right"/>
              <w:rPr>
                <w:rFonts w:cs="Calibri"/>
                <w:b/>
                <w:bCs/>
              </w:rPr>
            </w:pPr>
          </w:p>
        </w:tc>
        <w:tc>
          <w:tcPr>
            <w:tcW w:w="1134" w:type="dxa"/>
            <w:tcBorders>
              <w:top w:val="single" w:sz="4" w:space="0" w:color="auto"/>
              <w:left w:val="nil"/>
              <w:bottom w:val="double" w:sz="4" w:space="0" w:color="auto"/>
              <w:right w:val="nil"/>
            </w:tcBorders>
            <w:vAlign w:val="bottom"/>
          </w:tcPr>
          <w:p w14:paraId="16273AB1" w14:textId="2BB3F9D8" w:rsidR="005F0AAA" w:rsidRPr="00CF7E1B" w:rsidRDefault="005F0AAA" w:rsidP="005F0AAA">
            <w:pPr>
              <w:pStyle w:val="TableText"/>
              <w:jc w:val="right"/>
              <w:rPr>
                <w:rFonts w:cs="Calibri"/>
                <w:b/>
                <w:bCs/>
              </w:rPr>
            </w:pPr>
          </w:p>
        </w:tc>
        <w:tc>
          <w:tcPr>
            <w:tcW w:w="1559" w:type="dxa"/>
            <w:tcBorders>
              <w:top w:val="single" w:sz="4" w:space="0" w:color="auto"/>
              <w:left w:val="nil"/>
              <w:bottom w:val="double" w:sz="4" w:space="0" w:color="auto"/>
              <w:right w:val="nil"/>
            </w:tcBorders>
            <w:vAlign w:val="bottom"/>
          </w:tcPr>
          <w:p w14:paraId="7A035105" w14:textId="72225F6E" w:rsidR="005F0AAA" w:rsidRPr="00CF7E1B" w:rsidRDefault="005F0AAA" w:rsidP="005F0AAA">
            <w:pPr>
              <w:pStyle w:val="TableText"/>
              <w:jc w:val="right"/>
              <w:rPr>
                <w:rFonts w:cs="Calibri"/>
                <w:b/>
                <w:bCs/>
              </w:rPr>
            </w:pPr>
          </w:p>
        </w:tc>
        <w:tc>
          <w:tcPr>
            <w:tcW w:w="709" w:type="dxa"/>
            <w:gridSpan w:val="2"/>
            <w:tcBorders>
              <w:top w:val="single" w:sz="4" w:space="0" w:color="auto"/>
              <w:left w:val="nil"/>
              <w:bottom w:val="double" w:sz="4" w:space="0" w:color="auto"/>
              <w:right w:val="nil"/>
            </w:tcBorders>
            <w:vAlign w:val="bottom"/>
          </w:tcPr>
          <w:p w14:paraId="6C4819E9" w14:textId="56BED5F1" w:rsidR="005F0AAA" w:rsidRPr="00CF7E1B" w:rsidRDefault="005F0AAA" w:rsidP="005F0AAA">
            <w:pPr>
              <w:pStyle w:val="TableText"/>
              <w:jc w:val="right"/>
              <w:rPr>
                <w:rFonts w:cs="Calibri"/>
                <w:b/>
                <w:bCs/>
              </w:rPr>
            </w:pPr>
          </w:p>
        </w:tc>
      </w:tr>
      <w:tr w:rsidR="005F0AAA" w:rsidRPr="00CF7E1B" w14:paraId="19C38C5E" w14:textId="77777777" w:rsidTr="002A16D9">
        <w:tc>
          <w:tcPr>
            <w:tcW w:w="1560" w:type="dxa"/>
            <w:tcBorders>
              <w:top w:val="nil"/>
              <w:left w:val="single" w:sz="2" w:space="0" w:color="auto"/>
              <w:bottom w:val="nil"/>
              <w:right w:val="single" w:sz="2" w:space="0" w:color="auto"/>
            </w:tcBorders>
          </w:tcPr>
          <w:p w14:paraId="4F8E887D" w14:textId="77777777" w:rsidR="005F0AAA" w:rsidRPr="005F0AAA" w:rsidRDefault="005F0AAA" w:rsidP="005F0AAA">
            <w:pPr>
              <w:pStyle w:val="TableReference"/>
              <w:spacing w:before="60"/>
              <w:rPr>
                <w:rFonts w:cs="Calibri"/>
                <w:color w:val="7030A0"/>
                <w:sz w:val="14"/>
              </w:rPr>
            </w:pPr>
          </w:p>
        </w:tc>
        <w:tc>
          <w:tcPr>
            <w:tcW w:w="4394" w:type="dxa"/>
            <w:tcBorders>
              <w:top w:val="nil"/>
              <w:left w:val="single" w:sz="2" w:space="0" w:color="auto"/>
              <w:bottom w:val="nil"/>
              <w:right w:val="nil"/>
            </w:tcBorders>
            <w:vAlign w:val="bottom"/>
          </w:tcPr>
          <w:p w14:paraId="2A16F78E" w14:textId="295D9DF8" w:rsidR="005F0AAA" w:rsidRPr="005F0AAA" w:rsidRDefault="005F0AAA" w:rsidP="005F0AAA">
            <w:pPr>
              <w:pStyle w:val="TableText"/>
              <w:rPr>
                <w:rFonts w:cs="Calibri"/>
                <w:b/>
              </w:rPr>
            </w:pPr>
            <w:r w:rsidRPr="005F0AAA">
              <w:rPr>
                <w:rFonts w:cs="Calibri"/>
              </w:rPr>
              <w:t>Carrying Amount at the End of the Reporting Period, represented by:</w:t>
            </w:r>
          </w:p>
        </w:tc>
        <w:tc>
          <w:tcPr>
            <w:tcW w:w="1134" w:type="dxa"/>
            <w:tcBorders>
              <w:top w:val="double" w:sz="4" w:space="0" w:color="auto"/>
              <w:left w:val="nil"/>
              <w:bottom w:val="nil"/>
              <w:right w:val="nil"/>
            </w:tcBorders>
            <w:vAlign w:val="bottom"/>
          </w:tcPr>
          <w:p w14:paraId="4E23DBC0" w14:textId="77777777" w:rsidR="005F0AAA" w:rsidRPr="00CF7E1B" w:rsidRDefault="005F0AAA" w:rsidP="005F0AAA">
            <w:pPr>
              <w:pStyle w:val="TableText"/>
              <w:jc w:val="right"/>
              <w:rPr>
                <w:rFonts w:cs="Calibri"/>
                <w:b/>
                <w:bCs/>
              </w:rPr>
            </w:pPr>
          </w:p>
        </w:tc>
        <w:tc>
          <w:tcPr>
            <w:tcW w:w="1134" w:type="dxa"/>
            <w:tcBorders>
              <w:top w:val="double" w:sz="4" w:space="0" w:color="auto"/>
              <w:left w:val="nil"/>
              <w:bottom w:val="nil"/>
              <w:right w:val="nil"/>
            </w:tcBorders>
            <w:vAlign w:val="bottom"/>
          </w:tcPr>
          <w:p w14:paraId="50B2346F" w14:textId="77777777" w:rsidR="005F0AAA" w:rsidRPr="00CF7E1B" w:rsidRDefault="005F0AAA" w:rsidP="005F0AAA">
            <w:pPr>
              <w:pStyle w:val="TableText"/>
              <w:jc w:val="right"/>
              <w:rPr>
                <w:rFonts w:cs="Calibri"/>
                <w:b/>
                <w:bCs/>
              </w:rPr>
            </w:pPr>
          </w:p>
        </w:tc>
        <w:tc>
          <w:tcPr>
            <w:tcW w:w="1559" w:type="dxa"/>
            <w:tcBorders>
              <w:top w:val="double" w:sz="4" w:space="0" w:color="auto"/>
              <w:left w:val="nil"/>
              <w:bottom w:val="nil"/>
              <w:right w:val="nil"/>
            </w:tcBorders>
            <w:vAlign w:val="bottom"/>
          </w:tcPr>
          <w:p w14:paraId="5F925E70" w14:textId="77777777" w:rsidR="005F0AAA" w:rsidRPr="00CF7E1B" w:rsidRDefault="005F0AAA" w:rsidP="005F0AAA">
            <w:pPr>
              <w:pStyle w:val="TableText"/>
              <w:jc w:val="right"/>
              <w:rPr>
                <w:rFonts w:cs="Calibri"/>
                <w:b/>
                <w:bCs/>
              </w:rPr>
            </w:pPr>
          </w:p>
        </w:tc>
        <w:tc>
          <w:tcPr>
            <w:tcW w:w="709" w:type="dxa"/>
            <w:gridSpan w:val="2"/>
            <w:tcBorders>
              <w:top w:val="double" w:sz="4" w:space="0" w:color="auto"/>
              <w:left w:val="nil"/>
              <w:bottom w:val="nil"/>
              <w:right w:val="nil"/>
            </w:tcBorders>
            <w:vAlign w:val="bottom"/>
          </w:tcPr>
          <w:p w14:paraId="0D3DDFE8" w14:textId="77777777" w:rsidR="005F0AAA" w:rsidRPr="00CF7E1B" w:rsidRDefault="005F0AAA" w:rsidP="005F0AAA">
            <w:pPr>
              <w:pStyle w:val="TableText"/>
              <w:jc w:val="right"/>
              <w:rPr>
                <w:rFonts w:cs="Calibri"/>
                <w:b/>
                <w:bCs/>
              </w:rPr>
            </w:pPr>
          </w:p>
        </w:tc>
      </w:tr>
      <w:tr w:rsidR="005F0AAA" w:rsidRPr="00CF7E1B" w14:paraId="7B9E51BF" w14:textId="77777777" w:rsidTr="002A16D9">
        <w:tc>
          <w:tcPr>
            <w:tcW w:w="1560" w:type="dxa"/>
            <w:tcBorders>
              <w:top w:val="nil"/>
              <w:left w:val="single" w:sz="2" w:space="0" w:color="auto"/>
              <w:bottom w:val="nil"/>
              <w:right w:val="single" w:sz="2" w:space="0" w:color="auto"/>
            </w:tcBorders>
          </w:tcPr>
          <w:p w14:paraId="6959069C" w14:textId="771891A4"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175F8C2E" w14:textId="0781F748" w:rsidR="005F0AAA" w:rsidRPr="005F0AAA" w:rsidRDefault="005F0AAA" w:rsidP="005F0AAA">
            <w:pPr>
              <w:pStyle w:val="TableText"/>
              <w:rPr>
                <w:rFonts w:cs="Calibri"/>
                <w:b/>
              </w:rPr>
            </w:pPr>
            <w:r w:rsidRPr="005F0AAA">
              <w:rPr>
                <w:rFonts w:cs="Calibri"/>
              </w:rPr>
              <w:t>Gross Book Value</w:t>
            </w:r>
          </w:p>
        </w:tc>
        <w:tc>
          <w:tcPr>
            <w:tcW w:w="1134" w:type="dxa"/>
            <w:tcBorders>
              <w:top w:val="nil"/>
              <w:left w:val="nil"/>
              <w:bottom w:val="nil"/>
              <w:right w:val="nil"/>
            </w:tcBorders>
            <w:vAlign w:val="bottom"/>
          </w:tcPr>
          <w:p w14:paraId="47917DB4" w14:textId="77777777" w:rsidR="005F0AAA" w:rsidRPr="00CF7E1B" w:rsidRDefault="005F0AAA" w:rsidP="005F0AAA">
            <w:pPr>
              <w:pStyle w:val="TableText"/>
              <w:jc w:val="right"/>
              <w:rPr>
                <w:rFonts w:cs="Calibri"/>
                <w:b/>
                <w:bCs/>
              </w:rPr>
            </w:pPr>
          </w:p>
        </w:tc>
        <w:tc>
          <w:tcPr>
            <w:tcW w:w="1134" w:type="dxa"/>
            <w:tcBorders>
              <w:top w:val="nil"/>
              <w:left w:val="nil"/>
              <w:bottom w:val="nil"/>
              <w:right w:val="nil"/>
            </w:tcBorders>
            <w:vAlign w:val="bottom"/>
          </w:tcPr>
          <w:p w14:paraId="339036B0" w14:textId="77777777" w:rsidR="005F0AAA" w:rsidRPr="00CF7E1B" w:rsidRDefault="005F0AAA" w:rsidP="005F0AAA">
            <w:pPr>
              <w:pStyle w:val="TableText"/>
              <w:jc w:val="right"/>
              <w:rPr>
                <w:rFonts w:cs="Calibri"/>
                <w:b/>
                <w:bCs/>
              </w:rPr>
            </w:pPr>
          </w:p>
        </w:tc>
        <w:tc>
          <w:tcPr>
            <w:tcW w:w="1559" w:type="dxa"/>
            <w:tcBorders>
              <w:top w:val="nil"/>
              <w:left w:val="nil"/>
              <w:bottom w:val="nil"/>
              <w:right w:val="nil"/>
            </w:tcBorders>
            <w:vAlign w:val="bottom"/>
          </w:tcPr>
          <w:p w14:paraId="3E8EBEAD" w14:textId="77777777" w:rsidR="005F0AAA" w:rsidRPr="00CF7E1B"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0535CA4B" w14:textId="77777777" w:rsidR="005F0AAA" w:rsidRPr="00CF7E1B" w:rsidRDefault="005F0AAA" w:rsidP="005F0AAA">
            <w:pPr>
              <w:pStyle w:val="TableText"/>
              <w:jc w:val="right"/>
              <w:rPr>
                <w:rFonts w:cs="Calibri"/>
                <w:b/>
                <w:bCs/>
              </w:rPr>
            </w:pPr>
          </w:p>
        </w:tc>
      </w:tr>
      <w:tr w:rsidR="005F0AAA" w:rsidRPr="00CF7E1B" w14:paraId="2BB7406B" w14:textId="77777777" w:rsidTr="002A16D9">
        <w:tc>
          <w:tcPr>
            <w:tcW w:w="1560" w:type="dxa"/>
            <w:tcBorders>
              <w:top w:val="nil"/>
              <w:left w:val="single" w:sz="2" w:space="0" w:color="auto"/>
              <w:bottom w:val="nil"/>
              <w:right w:val="single" w:sz="2" w:space="0" w:color="auto"/>
            </w:tcBorders>
          </w:tcPr>
          <w:p w14:paraId="173C0005" w14:textId="04983791"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73D97DA1" w14:textId="4C0DD861" w:rsidR="005F0AAA" w:rsidRPr="005F0AAA" w:rsidRDefault="005F0AAA" w:rsidP="005F0AAA">
            <w:pPr>
              <w:pStyle w:val="TableText"/>
              <w:rPr>
                <w:rFonts w:cs="Calibri"/>
                <w:b/>
              </w:rPr>
            </w:pPr>
            <w:r w:rsidRPr="005F0AAA">
              <w:rPr>
                <w:rFonts w:cs="Calibri"/>
              </w:rPr>
              <w:t>Accumulated Amortisation</w:t>
            </w:r>
            <w:r w:rsidR="00FA7C77">
              <w:rPr>
                <w:rFonts w:cs="Calibri"/>
              </w:rPr>
              <w:t xml:space="preserve"> </w:t>
            </w:r>
          </w:p>
        </w:tc>
        <w:tc>
          <w:tcPr>
            <w:tcW w:w="1134" w:type="dxa"/>
            <w:tcBorders>
              <w:top w:val="nil"/>
              <w:left w:val="nil"/>
              <w:bottom w:val="nil"/>
              <w:right w:val="nil"/>
            </w:tcBorders>
            <w:vAlign w:val="bottom"/>
          </w:tcPr>
          <w:p w14:paraId="79B58411" w14:textId="77777777" w:rsidR="005F0AAA" w:rsidRPr="00CF7E1B" w:rsidRDefault="005F0AAA" w:rsidP="005F0AAA">
            <w:pPr>
              <w:pStyle w:val="TableText"/>
              <w:jc w:val="right"/>
              <w:rPr>
                <w:rFonts w:cs="Calibri"/>
                <w:b/>
                <w:bCs/>
              </w:rPr>
            </w:pPr>
          </w:p>
        </w:tc>
        <w:tc>
          <w:tcPr>
            <w:tcW w:w="1134" w:type="dxa"/>
            <w:tcBorders>
              <w:top w:val="nil"/>
              <w:left w:val="nil"/>
              <w:bottom w:val="nil"/>
              <w:right w:val="nil"/>
            </w:tcBorders>
            <w:vAlign w:val="bottom"/>
          </w:tcPr>
          <w:p w14:paraId="439886AC" w14:textId="77777777" w:rsidR="005F0AAA" w:rsidRPr="00CF7E1B" w:rsidRDefault="005F0AAA" w:rsidP="005F0AAA">
            <w:pPr>
              <w:pStyle w:val="TableText"/>
              <w:jc w:val="right"/>
              <w:rPr>
                <w:rFonts w:cs="Calibri"/>
                <w:b/>
                <w:bCs/>
              </w:rPr>
            </w:pPr>
          </w:p>
        </w:tc>
        <w:tc>
          <w:tcPr>
            <w:tcW w:w="1559" w:type="dxa"/>
            <w:tcBorders>
              <w:top w:val="nil"/>
              <w:left w:val="nil"/>
              <w:bottom w:val="nil"/>
              <w:right w:val="nil"/>
            </w:tcBorders>
            <w:vAlign w:val="bottom"/>
          </w:tcPr>
          <w:p w14:paraId="4D73501F" w14:textId="77777777" w:rsidR="005F0AAA" w:rsidRPr="00CF7E1B"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5BD594B8" w14:textId="77777777" w:rsidR="005F0AAA" w:rsidRPr="00CF7E1B" w:rsidRDefault="005F0AAA" w:rsidP="005F0AAA">
            <w:pPr>
              <w:pStyle w:val="TableText"/>
              <w:jc w:val="right"/>
              <w:rPr>
                <w:rFonts w:cs="Calibri"/>
                <w:b/>
                <w:bCs/>
              </w:rPr>
            </w:pPr>
          </w:p>
        </w:tc>
      </w:tr>
      <w:tr w:rsidR="005F0AAA" w:rsidRPr="00CF7E1B" w14:paraId="5F7844CA" w14:textId="77777777" w:rsidTr="002A16D9">
        <w:tc>
          <w:tcPr>
            <w:tcW w:w="1560" w:type="dxa"/>
            <w:tcBorders>
              <w:top w:val="nil"/>
              <w:left w:val="single" w:sz="2" w:space="0" w:color="auto"/>
              <w:bottom w:val="nil"/>
              <w:right w:val="single" w:sz="2" w:space="0" w:color="auto"/>
            </w:tcBorders>
          </w:tcPr>
          <w:p w14:paraId="2820EE21" w14:textId="5E987A3C" w:rsidR="005F0AAA" w:rsidRPr="005F0AAA" w:rsidRDefault="005F0AAA" w:rsidP="005F0AAA">
            <w:pPr>
              <w:pStyle w:val="TableReference"/>
              <w:spacing w:before="60"/>
              <w:rPr>
                <w:rFonts w:cs="Calibri"/>
                <w:color w:val="7030A0"/>
                <w:sz w:val="14"/>
              </w:rPr>
            </w:pPr>
            <w:r w:rsidRPr="005F0AAA">
              <w:rPr>
                <w:rFonts w:cs="Calibri"/>
                <w:color w:val="7030A0"/>
                <w:sz w:val="14"/>
              </w:rPr>
              <w:t>AASB 138.118(c)</w:t>
            </w:r>
          </w:p>
        </w:tc>
        <w:tc>
          <w:tcPr>
            <w:tcW w:w="4394" w:type="dxa"/>
            <w:tcBorders>
              <w:top w:val="nil"/>
              <w:left w:val="single" w:sz="2" w:space="0" w:color="auto"/>
              <w:bottom w:val="nil"/>
              <w:right w:val="nil"/>
            </w:tcBorders>
            <w:vAlign w:val="bottom"/>
          </w:tcPr>
          <w:p w14:paraId="125C3205" w14:textId="1C339E21" w:rsidR="005F0AAA" w:rsidRPr="005F0AAA" w:rsidRDefault="005F0AAA" w:rsidP="005F0AAA">
            <w:pPr>
              <w:pStyle w:val="TableText"/>
              <w:rPr>
                <w:rFonts w:cs="Calibri"/>
                <w:b/>
              </w:rPr>
            </w:pPr>
            <w:r w:rsidRPr="005F0AAA">
              <w:rPr>
                <w:rFonts w:cs="Calibri"/>
              </w:rPr>
              <w:t>Accumulated</w:t>
            </w:r>
            <w:r w:rsidR="00FA7C77">
              <w:rPr>
                <w:rFonts w:cs="Calibri"/>
              </w:rPr>
              <w:t xml:space="preserve"> </w:t>
            </w:r>
            <w:r w:rsidRPr="005F0AAA">
              <w:rPr>
                <w:rFonts w:cs="Calibri"/>
              </w:rPr>
              <w:t>Impairment losses</w:t>
            </w:r>
          </w:p>
        </w:tc>
        <w:tc>
          <w:tcPr>
            <w:tcW w:w="1134" w:type="dxa"/>
            <w:tcBorders>
              <w:top w:val="nil"/>
              <w:left w:val="nil"/>
              <w:bottom w:val="nil"/>
              <w:right w:val="nil"/>
            </w:tcBorders>
            <w:vAlign w:val="bottom"/>
          </w:tcPr>
          <w:p w14:paraId="75F7AEF9" w14:textId="77777777" w:rsidR="005F0AAA" w:rsidRPr="00CF7E1B" w:rsidRDefault="005F0AAA" w:rsidP="005F0AAA">
            <w:pPr>
              <w:pStyle w:val="TableText"/>
              <w:jc w:val="right"/>
              <w:rPr>
                <w:rFonts w:cs="Calibri"/>
                <w:b/>
                <w:bCs/>
              </w:rPr>
            </w:pPr>
          </w:p>
        </w:tc>
        <w:tc>
          <w:tcPr>
            <w:tcW w:w="1134" w:type="dxa"/>
            <w:tcBorders>
              <w:top w:val="nil"/>
              <w:left w:val="nil"/>
              <w:bottom w:val="nil"/>
              <w:right w:val="nil"/>
            </w:tcBorders>
            <w:vAlign w:val="bottom"/>
          </w:tcPr>
          <w:p w14:paraId="3A007966" w14:textId="77777777" w:rsidR="005F0AAA" w:rsidRPr="00CF7E1B" w:rsidRDefault="005F0AAA" w:rsidP="005F0AAA">
            <w:pPr>
              <w:pStyle w:val="TableText"/>
              <w:jc w:val="right"/>
              <w:rPr>
                <w:rFonts w:cs="Calibri"/>
                <w:b/>
                <w:bCs/>
              </w:rPr>
            </w:pPr>
          </w:p>
        </w:tc>
        <w:tc>
          <w:tcPr>
            <w:tcW w:w="1559" w:type="dxa"/>
            <w:tcBorders>
              <w:top w:val="nil"/>
              <w:left w:val="nil"/>
              <w:bottom w:val="nil"/>
              <w:right w:val="nil"/>
            </w:tcBorders>
            <w:vAlign w:val="bottom"/>
          </w:tcPr>
          <w:p w14:paraId="3F3E0A1B" w14:textId="77777777" w:rsidR="005F0AAA" w:rsidRPr="00CF7E1B"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4A1695A9" w14:textId="77777777" w:rsidR="005F0AAA" w:rsidRPr="00CF7E1B" w:rsidRDefault="005F0AAA" w:rsidP="005F0AAA">
            <w:pPr>
              <w:pStyle w:val="TableText"/>
              <w:jc w:val="right"/>
              <w:rPr>
                <w:rFonts w:cs="Calibri"/>
                <w:b/>
                <w:bCs/>
              </w:rPr>
            </w:pPr>
          </w:p>
        </w:tc>
      </w:tr>
      <w:tr w:rsidR="005F0AAA" w:rsidRPr="00CF7E1B" w14:paraId="615D8FD6" w14:textId="77777777" w:rsidTr="002A16D9">
        <w:tc>
          <w:tcPr>
            <w:tcW w:w="1560" w:type="dxa"/>
            <w:tcBorders>
              <w:top w:val="nil"/>
              <w:left w:val="single" w:sz="2" w:space="0" w:color="auto"/>
              <w:bottom w:val="nil"/>
              <w:right w:val="single" w:sz="2" w:space="0" w:color="auto"/>
            </w:tcBorders>
          </w:tcPr>
          <w:p w14:paraId="5FDA6FDB" w14:textId="77777777" w:rsidR="005F0AAA" w:rsidRPr="005F0AAA" w:rsidRDefault="005F0AAA" w:rsidP="005F0AAA">
            <w:pPr>
              <w:pStyle w:val="TableReference"/>
              <w:spacing w:before="60"/>
              <w:rPr>
                <w:rFonts w:cs="Calibri"/>
                <w:color w:val="7030A0"/>
                <w:sz w:val="14"/>
              </w:rPr>
            </w:pPr>
          </w:p>
        </w:tc>
        <w:tc>
          <w:tcPr>
            <w:tcW w:w="4394" w:type="dxa"/>
            <w:tcBorders>
              <w:top w:val="nil"/>
              <w:left w:val="single" w:sz="2" w:space="0" w:color="auto"/>
              <w:bottom w:val="nil"/>
              <w:right w:val="nil"/>
            </w:tcBorders>
          </w:tcPr>
          <w:p w14:paraId="5A01FEC5" w14:textId="77777777" w:rsidR="005F0AAA" w:rsidRPr="00CF7E1B" w:rsidRDefault="005F0AAA" w:rsidP="005F0AAA">
            <w:pPr>
              <w:pStyle w:val="TableText"/>
              <w:rPr>
                <w:rFonts w:cs="Calibri"/>
                <w:b/>
              </w:rPr>
            </w:pPr>
          </w:p>
        </w:tc>
        <w:tc>
          <w:tcPr>
            <w:tcW w:w="1134" w:type="dxa"/>
            <w:tcBorders>
              <w:top w:val="nil"/>
              <w:left w:val="nil"/>
              <w:bottom w:val="nil"/>
              <w:right w:val="nil"/>
            </w:tcBorders>
            <w:vAlign w:val="bottom"/>
          </w:tcPr>
          <w:p w14:paraId="1997C015" w14:textId="77777777" w:rsidR="005F0AAA" w:rsidRPr="00CF7E1B" w:rsidRDefault="005F0AAA" w:rsidP="005F0AAA">
            <w:pPr>
              <w:pStyle w:val="TableText"/>
              <w:jc w:val="right"/>
              <w:rPr>
                <w:rFonts w:cs="Calibri"/>
                <w:b/>
                <w:bCs/>
              </w:rPr>
            </w:pPr>
          </w:p>
        </w:tc>
        <w:tc>
          <w:tcPr>
            <w:tcW w:w="1134" w:type="dxa"/>
            <w:tcBorders>
              <w:top w:val="nil"/>
              <w:left w:val="nil"/>
              <w:bottom w:val="nil"/>
              <w:right w:val="nil"/>
            </w:tcBorders>
            <w:vAlign w:val="bottom"/>
          </w:tcPr>
          <w:p w14:paraId="6DB0AA69" w14:textId="77777777" w:rsidR="005F0AAA" w:rsidRPr="00CF7E1B" w:rsidRDefault="005F0AAA" w:rsidP="005F0AAA">
            <w:pPr>
              <w:pStyle w:val="TableText"/>
              <w:jc w:val="right"/>
              <w:rPr>
                <w:rFonts w:cs="Calibri"/>
                <w:b/>
                <w:bCs/>
              </w:rPr>
            </w:pPr>
          </w:p>
        </w:tc>
        <w:tc>
          <w:tcPr>
            <w:tcW w:w="1559" w:type="dxa"/>
            <w:tcBorders>
              <w:top w:val="nil"/>
              <w:left w:val="nil"/>
              <w:bottom w:val="nil"/>
              <w:right w:val="nil"/>
            </w:tcBorders>
            <w:vAlign w:val="bottom"/>
          </w:tcPr>
          <w:p w14:paraId="2D86749C" w14:textId="77777777" w:rsidR="005F0AAA" w:rsidRPr="00CF7E1B" w:rsidRDefault="005F0AAA" w:rsidP="005F0AAA">
            <w:pPr>
              <w:pStyle w:val="TableText"/>
              <w:jc w:val="right"/>
              <w:rPr>
                <w:rFonts w:cs="Calibri"/>
                <w:b/>
                <w:bCs/>
              </w:rPr>
            </w:pPr>
          </w:p>
        </w:tc>
        <w:tc>
          <w:tcPr>
            <w:tcW w:w="709" w:type="dxa"/>
            <w:gridSpan w:val="2"/>
            <w:tcBorders>
              <w:top w:val="nil"/>
              <w:left w:val="nil"/>
              <w:bottom w:val="nil"/>
              <w:right w:val="nil"/>
            </w:tcBorders>
            <w:vAlign w:val="bottom"/>
          </w:tcPr>
          <w:p w14:paraId="1A343EE5" w14:textId="77777777" w:rsidR="005F0AAA" w:rsidRPr="00CF7E1B" w:rsidRDefault="005F0AAA" w:rsidP="005F0AAA">
            <w:pPr>
              <w:pStyle w:val="TableText"/>
              <w:jc w:val="right"/>
              <w:rPr>
                <w:rFonts w:cs="Calibri"/>
                <w:b/>
                <w:bCs/>
              </w:rPr>
            </w:pPr>
          </w:p>
        </w:tc>
      </w:tr>
      <w:tr w:rsidR="005F0AAA" w:rsidRPr="00CF7E1B" w14:paraId="0C8EC181" w14:textId="77777777" w:rsidTr="002A16D9">
        <w:trPr>
          <w:gridAfter w:val="1"/>
          <w:wAfter w:w="31" w:type="dxa"/>
          <w:trHeight w:val="454"/>
        </w:trPr>
        <w:tc>
          <w:tcPr>
            <w:tcW w:w="1560" w:type="dxa"/>
            <w:tcBorders>
              <w:top w:val="nil"/>
              <w:left w:val="single" w:sz="2" w:space="0" w:color="auto"/>
              <w:bottom w:val="nil"/>
              <w:right w:val="single" w:sz="2" w:space="0" w:color="auto"/>
            </w:tcBorders>
          </w:tcPr>
          <w:p w14:paraId="008DF5BB" w14:textId="11E1B9CB" w:rsidR="005F0AAA" w:rsidRPr="005F0AAA" w:rsidRDefault="005F0AAA" w:rsidP="00581C35">
            <w:pPr>
              <w:pStyle w:val="TableReference"/>
              <w:tabs>
                <w:tab w:val="left" w:pos="3306"/>
              </w:tabs>
              <w:rPr>
                <w:rFonts w:cs="Calibri"/>
                <w:b/>
                <w:color w:val="7030A0"/>
                <w:sz w:val="22"/>
                <w:szCs w:val="22"/>
              </w:rPr>
            </w:pPr>
            <w:r w:rsidRPr="005F0AAA">
              <w:rPr>
                <w:rFonts w:cs="Calibri"/>
                <w:b/>
                <w:bCs/>
                <w:color w:val="7030A0"/>
              </w:rPr>
              <w:br w:type="page"/>
            </w:r>
          </w:p>
        </w:tc>
        <w:tc>
          <w:tcPr>
            <w:tcW w:w="8899" w:type="dxa"/>
            <w:gridSpan w:val="5"/>
            <w:tcBorders>
              <w:top w:val="nil"/>
              <w:left w:val="single" w:sz="2" w:space="0" w:color="auto"/>
              <w:bottom w:val="nil"/>
              <w:right w:val="nil"/>
            </w:tcBorders>
            <w:shd w:val="clear" w:color="auto" w:fill="7030A0"/>
          </w:tcPr>
          <w:p w14:paraId="6118B96F" w14:textId="1170E02A" w:rsidR="005F0AAA" w:rsidRPr="005F0AAA" w:rsidRDefault="005F0AAA" w:rsidP="00581C35">
            <w:pPr>
              <w:pStyle w:val="CommentaryTitle"/>
              <w:spacing w:before="0" w:after="240"/>
              <w:rPr>
                <w:rFonts w:cs="Calibri"/>
                <w:color w:val="FFFFFF" w:themeColor="background1"/>
                <w:sz w:val="28"/>
                <w:szCs w:val="28"/>
              </w:rPr>
            </w:pPr>
            <w:bookmarkStart w:id="564" w:name="_Toc163106362"/>
            <w:r w:rsidRPr="005F0AAA">
              <w:rPr>
                <w:rFonts w:cs="Calibri"/>
                <w:color w:val="FFFFFF" w:themeColor="background1"/>
                <w:sz w:val="28"/>
                <w:szCs w:val="28"/>
              </w:rPr>
              <w:t>Commentary – Note 21: Intangible Assets</w:t>
            </w:r>
            <w:bookmarkEnd w:id="564"/>
            <w:r w:rsidRPr="005F0AAA">
              <w:rPr>
                <w:rFonts w:cs="Calibri"/>
                <w:color w:val="FFFFFF" w:themeColor="background1"/>
                <w:sz w:val="28"/>
                <w:szCs w:val="28"/>
              </w:rPr>
              <w:t xml:space="preserve"> </w:t>
            </w:r>
          </w:p>
        </w:tc>
      </w:tr>
      <w:tr w:rsidR="005F0AAA" w:rsidRPr="00CF7E1B" w14:paraId="440F16E5" w14:textId="77777777" w:rsidTr="002A16D9">
        <w:trPr>
          <w:gridAfter w:val="1"/>
          <w:wAfter w:w="31" w:type="dxa"/>
          <w:trHeight w:val="23"/>
        </w:trPr>
        <w:tc>
          <w:tcPr>
            <w:tcW w:w="1560" w:type="dxa"/>
            <w:tcBorders>
              <w:top w:val="nil"/>
              <w:left w:val="single" w:sz="2" w:space="0" w:color="auto"/>
              <w:bottom w:val="nil"/>
              <w:right w:val="single" w:sz="2" w:space="0" w:color="auto"/>
            </w:tcBorders>
          </w:tcPr>
          <w:p w14:paraId="5BA21933" w14:textId="77777777" w:rsidR="005F0AAA" w:rsidRPr="005F0AAA" w:rsidRDefault="005F0AAA" w:rsidP="005F0AAA">
            <w:pPr>
              <w:pStyle w:val="TableReference"/>
              <w:tabs>
                <w:tab w:val="left" w:pos="3306"/>
              </w:tabs>
              <w:rPr>
                <w:rFonts w:cs="Calibri"/>
                <w:color w:val="7030A0"/>
                <w:sz w:val="14"/>
              </w:rPr>
            </w:pPr>
          </w:p>
        </w:tc>
        <w:tc>
          <w:tcPr>
            <w:tcW w:w="8899" w:type="dxa"/>
            <w:gridSpan w:val="5"/>
            <w:tcBorders>
              <w:top w:val="nil"/>
              <w:left w:val="single" w:sz="2" w:space="0" w:color="auto"/>
              <w:bottom w:val="nil"/>
              <w:right w:val="nil"/>
            </w:tcBorders>
            <w:shd w:val="clear" w:color="auto" w:fill="7030A0"/>
          </w:tcPr>
          <w:p w14:paraId="74ADA13A" w14:textId="77777777" w:rsidR="005F0AAA" w:rsidRPr="00581C35" w:rsidRDefault="005F0AAA" w:rsidP="005F0AAA">
            <w:pPr>
              <w:pStyle w:val="CommentaryHeading"/>
              <w:tabs>
                <w:tab w:val="left" w:pos="3306"/>
              </w:tabs>
              <w:spacing w:before="0" w:after="0"/>
              <w:rPr>
                <w:rFonts w:cs="Calibri"/>
                <w:color w:val="FFFFFF" w:themeColor="background1"/>
                <w:szCs w:val="20"/>
              </w:rPr>
            </w:pPr>
            <w:r w:rsidRPr="00581C35">
              <w:rPr>
                <w:rFonts w:cs="Calibri"/>
                <w:color w:val="FFFFFF" w:themeColor="background1"/>
                <w:szCs w:val="20"/>
              </w:rPr>
              <w:t>Reconciliations</w:t>
            </w:r>
          </w:p>
        </w:tc>
      </w:tr>
      <w:tr w:rsidR="005F0AAA" w:rsidRPr="00CF7E1B" w14:paraId="0BB8AA23" w14:textId="77777777" w:rsidTr="002A16D9">
        <w:trPr>
          <w:gridAfter w:val="1"/>
          <w:wAfter w:w="31" w:type="dxa"/>
          <w:trHeight w:val="23"/>
        </w:trPr>
        <w:tc>
          <w:tcPr>
            <w:tcW w:w="1560" w:type="dxa"/>
            <w:tcBorders>
              <w:top w:val="nil"/>
              <w:left w:val="single" w:sz="2" w:space="0" w:color="auto"/>
              <w:bottom w:val="nil"/>
              <w:right w:val="single" w:sz="2" w:space="0" w:color="auto"/>
            </w:tcBorders>
          </w:tcPr>
          <w:p w14:paraId="11EE2D87" w14:textId="77777777" w:rsidR="005F0AAA" w:rsidRPr="005F0AAA" w:rsidRDefault="005F0AAA" w:rsidP="005F0AAA">
            <w:pPr>
              <w:pStyle w:val="TableReference"/>
              <w:tabs>
                <w:tab w:val="left" w:pos="3306"/>
              </w:tabs>
              <w:spacing w:before="60"/>
              <w:rPr>
                <w:rFonts w:cs="Calibri"/>
                <w:color w:val="7030A0"/>
                <w:sz w:val="14"/>
              </w:rPr>
            </w:pPr>
            <w:r w:rsidRPr="005F0AAA">
              <w:rPr>
                <w:rFonts w:cs="Calibri"/>
                <w:color w:val="7030A0"/>
                <w:sz w:val="14"/>
              </w:rPr>
              <w:t xml:space="preserve">AASB 138.118(e) </w:t>
            </w:r>
          </w:p>
          <w:p w14:paraId="795561D1" w14:textId="77777777" w:rsidR="005F0AAA" w:rsidRPr="005F0AAA" w:rsidRDefault="005F0AAA" w:rsidP="005F0AAA">
            <w:pPr>
              <w:pStyle w:val="TableReference"/>
              <w:tabs>
                <w:tab w:val="left" w:pos="3306"/>
              </w:tabs>
              <w:rPr>
                <w:rFonts w:cs="Calibri"/>
                <w:color w:val="7030A0"/>
                <w:sz w:val="14"/>
              </w:rPr>
            </w:pPr>
          </w:p>
        </w:tc>
        <w:tc>
          <w:tcPr>
            <w:tcW w:w="8899" w:type="dxa"/>
            <w:gridSpan w:val="5"/>
            <w:tcBorders>
              <w:top w:val="nil"/>
              <w:left w:val="single" w:sz="2" w:space="0" w:color="auto"/>
              <w:bottom w:val="nil"/>
              <w:right w:val="nil"/>
            </w:tcBorders>
            <w:shd w:val="clear" w:color="auto" w:fill="7030A0"/>
          </w:tcPr>
          <w:p w14:paraId="5B967D98" w14:textId="33FB85D5" w:rsidR="005F0AAA" w:rsidRPr="005F0AAA" w:rsidRDefault="005F0AAA" w:rsidP="005F0AAA">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 xml:space="preserve">AASB 138 </w:t>
            </w:r>
            <w:r w:rsidRPr="005F0AAA">
              <w:rPr>
                <w:rFonts w:cs="Calibri"/>
                <w:i/>
                <w:color w:val="FFFFFF" w:themeColor="background1"/>
                <w:sz w:val="18"/>
                <w:szCs w:val="18"/>
              </w:rPr>
              <w:t>Intangible Assets</w:t>
            </w:r>
            <w:r w:rsidRPr="005F0AAA">
              <w:rPr>
                <w:rFonts w:cs="Calibri"/>
                <w:color w:val="FFFFFF" w:themeColor="background1"/>
                <w:sz w:val="18"/>
                <w:szCs w:val="18"/>
              </w:rPr>
              <w:t xml:space="preserve"> requires the disclosure of a reconciliation of the carrying amount of each class of Intangible Asset at the beginning and end of the reporting period.</w:t>
            </w:r>
            <w:r w:rsidR="00FA7C77">
              <w:rPr>
                <w:rFonts w:cs="Calibri"/>
                <w:color w:val="FFFFFF" w:themeColor="background1"/>
                <w:sz w:val="18"/>
                <w:szCs w:val="18"/>
              </w:rPr>
              <w:t xml:space="preserve"> </w:t>
            </w:r>
            <w:r w:rsidRPr="005F0AAA">
              <w:rPr>
                <w:rFonts w:cs="Calibri"/>
                <w:color w:val="FFFFFF" w:themeColor="background1"/>
                <w:sz w:val="18"/>
                <w:szCs w:val="18"/>
              </w:rPr>
              <w:t>The reconciliation must show details of movements as follows:</w:t>
            </w:r>
          </w:p>
          <w:p w14:paraId="375D1500" w14:textId="77777777" w:rsidR="005F0AAA" w:rsidRPr="005F0AAA" w:rsidRDefault="005F0AA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additions;</w:t>
            </w:r>
          </w:p>
          <w:p w14:paraId="08FB603E" w14:textId="77777777" w:rsidR="005F0AAA" w:rsidRPr="005F0AAA" w:rsidRDefault="005F0AA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assets classified as held for sale or included in a disposal group held for sale;</w:t>
            </w:r>
          </w:p>
          <w:p w14:paraId="2EA7E9B0" w14:textId="77777777" w:rsidR="005F0AAA" w:rsidRPr="005F0AAA" w:rsidRDefault="005F0AA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increases/decreases in other comprehensive income resulting from revaluations, impairment losses and impairment losses reversed;</w:t>
            </w:r>
          </w:p>
          <w:p w14:paraId="7ABCE37E" w14:textId="77777777" w:rsidR="005F0AAA" w:rsidRPr="005F0AAA" w:rsidRDefault="005F0AA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impairment losses, or impairment losses reversed, in profit and loss;</w:t>
            </w:r>
          </w:p>
          <w:p w14:paraId="3B7061D1" w14:textId="77777777" w:rsidR="005F0AAA" w:rsidRPr="005F0AAA" w:rsidRDefault="005F0AA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amortisation; and</w:t>
            </w:r>
          </w:p>
          <w:p w14:paraId="6165714E" w14:textId="77777777" w:rsidR="005F0AAA" w:rsidRPr="005F0AAA" w:rsidRDefault="005F0AAA"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5F0AAA">
              <w:rPr>
                <w:rFonts w:cs="Calibri"/>
                <w:color w:val="FFFFFF" w:themeColor="background1"/>
                <w:sz w:val="18"/>
                <w:szCs w:val="18"/>
              </w:rPr>
              <w:t>other changes.</w:t>
            </w:r>
          </w:p>
        </w:tc>
      </w:tr>
    </w:tbl>
    <w:p w14:paraId="5A1B4036" w14:textId="77777777" w:rsidR="00581C35" w:rsidRDefault="00581C35">
      <w:r>
        <w:br w:type="page"/>
      </w:r>
    </w:p>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899"/>
        <w:gridCol w:w="31"/>
      </w:tblGrid>
      <w:tr w:rsidR="00581C35" w:rsidRPr="00CF7E1B" w14:paraId="264B0101" w14:textId="77777777" w:rsidTr="002A16D9">
        <w:trPr>
          <w:gridAfter w:val="1"/>
          <w:wAfter w:w="31" w:type="dxa"/>
          <w:cantSplit/>
          <w:trHeight w:val="454"/>
        </w:trPr>
        <w:tc>
          <w:tcPr>
            <w:tcW w:w="1560" w:type="dxa"/>
            <w:tcBorders>
              <w:top w:val="nil"/>
              <w:left w:val="single" w:sz="2" w:space="0" w:color="auto"/>
              <w:bottom w:val="nil"/>
              <w:right w:val="single" w:sz="2" w:space="0" w:color="auto"/>
            </w:tcBorders>
          </w:tcPr>
          <w:p w14:paraId="56C9583C" w14:textId="6C81E008" w:rsidR="00581C35" w:rsidRPr="005F0AAA" w:rsidRDefault="00581C35" w:rsidP="00581C35">
            <w:pPr>
              <w:pStyle w:val="TableReference"/>
              <w:tabs>
                <w:tab w:val="left" w:pos="3306"/>
              </w:tabs>
              <w:rPr>
                <w:rFonts w:cs="Calibri"/>
                <w:b/>
                <w:color w:val="7030A0"/>
                <w:sz w:val="22"/>
                <w:szCs w:val="22"/>
              </w:rPr>
            </w:pPr>
            <w:r w:rsidRPr="005F0AAA">
              <w:rPr>
                <w:color w:val="7030A0"/>
              </w:rPr>
              <w:br w:type="page"/>
            </w:r>
            <w:r w:rsidRPr="005F0AAA">
              <w:rPr>
                <w:rFonts w:cs="Calibri"/>
                <w:b/>
                <w:bCs/>
                <w:color w:val="7030A0"/>
              </w:rPr>
              <w:br w:type="page"/>
            </w:r>
            <w:r w:rsidRPr="005F0AAA">
              <w:rPr>
                <w:rFonts w:cs="Calibri"/>
                <w:b/>
                <w:color w:val="7030A0"/>
                <w:sz w:val="22"/>
                <w:szCs w:val="22"/>
              </w:rPr>
              <w:t>Reference</w:t>
            </w:r>
          </w:p>
        </w:tc>
        <w:tc>
          <w:tcPr>
            <w:tcW w:w="8899" w:type="dxa"/>
            <w:tcBorders>
              <w:top w:val="nil"/>
              <w:left w:val="single" w:sz="2" w:space="0" w:color="auto"/>
              <w:bottom w:val="nil"/>
              <w:right w:val="nil"/>
            </w:tcBorders>
            <w:shd w:val="clear" w:color="auto" w:fill="7030A0"/>
          </w:tcPr>
          <w:p w14:paraId="054AEBF6" w14:textId="2E99DC0A" w:rsidR="00581C35" w:rsidRPr="005F0AAA" w:rsidRDefault="00581C35" w:rsidP="00581C35">
            <w:pPr>
              <w:pStyle w:val="CommentaryTitle"/>
              <w:spacing w:before="0" w:after="240"/>
              <w:rPr>
                <w:rFonts w:cs="Calibri"/>
                <w:color w:val="FFFFFF" w:themeColor="background1"/>
                <w:sz w:val="28"/>
                <w:szCs w:val="28"/>
              </w:rPr>
            </w:pPr>
            <w:r w:rsidRPr="005F0AAA">
              <w:rPr>
                <w:rFonts w:cs="Calibri"/>
                <w:color w:val="FFFFFF" w:themeColor="background1"/>
                <w:sz w:val="28"/>
                <w:szCs w:val="28"/>
              </w:rPr>
              <w:t xml:space="preserve">Commentary – Note 21: Intangible Assets </w:t>
            </w:r>
            <w:r>
              <w:rPr>
                <w:rFonts w:cs="Calibri"/>
                <w:color w:val="FFFFFF" w:themeColor="background1"/>
                <w:sz w:val="28"/>
                <w:szCs w:val="28"/>
              </w:rPr>
              <w:t xml:space="preserve">– Continued </w:t>
            </w:r>
          </w:p>
        </w:tc>
      </w:tr>
      <w:tr w:rsidR="00581C35" w:rsidRPr="00CF7E1B" w14:paraId="43D7AC9C" w14:textId="77777777" w:rsidTr="002A16D9">
        <w:trPr>
          <w:gridAfter w:val="1"/>
          <w:wAfter w:w="31" w:type="dxa"/>
          <w:cantSplit/>
          <w:trHeight w:val="23"/>
        </w:trPr>
        <w:tc>
          <w:tcPr>
            <w:tcW w:w="1560" w:type="dxa"/>
            <w:tcBorders>
              <w:top w:val="nil"/>
              <w:left w:val="single" w:sz="2" w:space="0" w:color="auto"/>
              <w:bottom w:val="nil"/>
              <w:right w:val="single" w:sz="2" w:space="0" w:color="auto"/>
            </w:tcBorders>
          </w:tcPr>
          <w:p w14:paraId="37EFADDE" w14:textId="2F2FDC18"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00EDF4DF" w14:textId="77777777" w:rsidR="00581C35" w:rsidRPr="00581C35" w:rsidRDefault="00581C35" w:rsidP="00581C35">
            <w:pPr>
              <w:pStyle w:val="CommentaryHeading"/>
              <w:spacing w:before="0" w:after="0"/>
              <w:rPr>
                <w:rFonts w:cs="Calibri"/>
                <w:color w:val="FFFFFF" w:themeColor="background1"/>
                <w:szCs w:val="20"/>
              </w:rPr>
            </w:pPr>
            <w:r w:rsidRPr="00581C35">
              <w:rPr>
                <w:rFonts w:cs="Calibri"/>
                <w:color w:val="FFFFFF" w:themeColor="background1"/>
                <w:szCs w:val="20"/>
              </w:rPr>
              <w:t>Material Intangible Assets</w:t>
            </w:r>
          </w:p>
        </w:tc>
      </w:tr>
      <w:tr w:rsidR="00581C35" w:rsidRPr="00CF7E1B" w14:paraId="2109010D" w14:textId="77777777" w:rsidTr="002A16D9">
        <w:trPr>
          <w:gridAfter w:val="1"/>
          <w:wAfter w:w="31" w:type="dxa"/>
          <w:cantSplit/>
          <w:trHeight w:val="465"/>
        </w:trPr>
        <w:tc>
          <w:tcPr>
            <w:tcW w:w="1560" w:type="dxa"/>
            <w:tcBorders>
              <w:top w:val="nil"/>
              <w:left w:val="single" w:sz="2" w:space="0" w:color="auto"/>
              <w:bottom w:val="nil"/>
              <w:right w:val="single" w:sz="2" w:space="0" w:color="auto"/>
            </w:tcBorders>
          </w:tcPr>
          <w:p w14:paraId="4405ACD9" w14:textId="77777777" w:rsidR="00581C35" w:rsidRPr="005F0AAA" w:rsidRDefault="00581C35" w:rsidP="00581C35">
            <w:pPr>
              <w:pStyle w:val="TableReference"/>
              <w:tabs>
                <w:tab w:val="left" w:pos="3306"/>
              </w:tabs>
              <w:rPr>
                <w:rFonts w:cs="Calibri"/>
                <w:color w:val="7030A0"/>
                <w:sz w:val="14"/>
              </w:rPr>
            </w:pPr>
            <w:r w:rsidRPr="005F0AAA">
              <w:rPr>
                <w:rFonts w:cs="Calibri"/>
                <w:color w:val="7030A0"/>
                <w:sz w:val="14"/>
              </w:rPr>
              <w:t>AASB 138.122(b)</w:t>
            </w:r>
          </w:p>
        </w:tc>
        <w:tc>
          <w:tcPr>
            <w:tcW w:w="8899" w:type="dxa"/>
            <w:tcBorders>
              <w:top w:val="nil"/>
              <w:left w:val="single" w:sz="2" w:space="0" w:color="auto"/>
              <w:bottom w:val="nil"/>
              <w:right w:val="nil"/>
            </w:tcBorders>
            <w:shd w:val="clear" w:color="auto" w:fill="7030A0"/>
          </w:tcPr>
          <w:p w14:paraId="28C4CD69" w14:textId="77777777" w:rsidR="00581C35" w:rsidRPr="005F0AAA" w:rsidRDefault="00581C35" w:rsidP="00581C35">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Where an agency has an individual intangible asset that is material to its financial statements, the agency shall disclose a description of that asset along with the carrying amount and remaining amortisation period.</w:t>
            </w:r>
          </w:p>
        </w:tc>
      </w:tr>
      <w:tr w:rsidR="00581C35" w:rsidRPr="00CF7E1B" w14:paraId="535120E2" w14:textId="77777777" w:rsidTr="002A16D9">
        <w:trPr>
          <w:gridAfter w:val="1"/>
          <w:wAfter w:w="31" w:type="dxa"/>
          <w:cantSplit/>
          <w:trHeight w:val="23"/>
        </w:trPr>
        <w:tc>
          <w:tcPr>
            <w:tcW w:w="1560" w:type="dxa"/>
            <w:tcBorders>
              <w:top w:val="nil"/>
              <w:left w:val="single" w:sz="2" w:space="0" w:color="auto"/>
              <w:bottom w:val="nil"/>
              <w:right w:val="single" w:sz="2" w:space="0" w:color="auto"/>
            </w:tcBorders>
          </w:tcPr>
          <w:p w14:paraId="717A0345" w14:textId="77777777" w:rsidR="00581C35" w:rsidRPr="005F0AAA" w:rsidRDefault="00581C35" w:rsidP="00581C35">
            <w:pPr>
              <w:pStyle w:val="TableReference"/>
              <w:tabs>
                <w:tab w:val="left" w:pos="3306"/>
              </w:tabs>
              <w:rPr>
                <w:rFonts w:cs="Calibri"/>
                <w:color w:val="7030A0"/>
                <w:sz w:val="14"/>
              </w:rPr>
            </w:pPr>
          </w:p>
        </w:tc>
        <w:tc>
          <w:tcPr>
            <w:tcW w:w="8899" w:type="dxa"/>
            <w:tcBorders>
              <w:top w:val="nil"/>
              <w:left w:val="single" w:sz="2" w:space="0" w:color="auto"/>
              <w:bottom w:val="nil"/>
              <w:right w:val="nil"/>
            </w:tcBorders>
            <w:shd w:val="clear" w:color="auto" w:fill="7030A0"/>
          </w:tcPr>
          <w:p w14:paraId="70DC6D11" w14:textId="77777777" w:rsidR="00581C35" w:rsidRPr="00581C35" w:rsidRDefault="00581C35" w:rsidP="00581C35">
            <w:pPr>
              <w:pStyle w:val="CommentaryHeading"/>
              <w:spacing w:after="0"/>
              <w:rPr>
                <w:rFonts w:cs="Calibri"/>
                <w:color w:val="FFFFFF" w:themeColor="background1"/>
                <w:szCs w:val="20"/>
              </w:rPr>
            </w:pPr>
            <w:r w:rsidRPr="00581C35">
              <w:rPr>
                <w:rFonts w:cs="Calibri"/>
                <w:color w:val="FFFFFF" w:themeColor="background1"/>
                <w:szCs w:val="20"/>
              </w:rPr>
              <w:t>Restricted Assets and Assets Pledged as Security</w:t>
            </w:r>
          </w:p>
        </w:tc>
      </w:tr>
      <w:tr w:rsidR="00581C35" w:rsidRPr="00CF7E1B" w14:paraId="5F4D5C38" w14:textId="77777777" w:rsidTr="002A16D9">
        <w:trPr>
          <w:gridAfter w:val="1"/>
          <w:wAfter w:w="31" w:type="dxa"/>
          <w:cantSplit/>
          <w:trHeight w:val="23"/>
        </w:trPr>
        <w:tc>
          <w:tcPr>
            <w:tcW w:w="1560" w:type="dxa"/>
            <w:tcBorders>
              <w:top w:val="nil"/>
              <w:left w:val="single" w:sz="2" w:space="0" w:color="auto"/>
              <w:bottom w:val="nil"/>
              <w:right w:val="single" w:sz="2" w:space="0" w:color="auto"/>
            </w:tcBorders>
          </w:tcPr>
          <w:p w14:paraId="6A6753BE" w14:textId="77777777" w:rsidR="00581C35" w:rsidRPr="005F0AAA" w:rsidRDefault="00581C35" w:rsidP="00581C35">
            <w:pPr>
              <w:pStyle w:val="TableReference"/>
              <w:tabs>
                <w:tab w:val="left" w:pos="3306"/>
              </w:tabs>
              <w:spacing w:before="60"/>
              <w:rPr>
                <w:rFonts w:cs="Calibri"/>
                <w:color w:val="7030A0"/>
                <w:sz w:val="14"/>
              </w:rPr>
            </w:pPr>
            <w:r w:rsidRPr="005F0AAA">
              <w:rPr>
                <w:rFonts w:cs="Calibri"/>
                <w:color w:val="7030A0"/>
                <w:sz w:val="14"/>
              </w:rPr>
              <w:t>AASB 138.122(d)</w:t>
            </w:r>
          </w:p>
        </w:tc>
        <w:tc>
          <w:tcPr>
            <w:tcW w:w="8899" w:type="dxa"/>
            <w:tcBorders>
              <w:top w:val="nil"/>
              <w:left w:val="single" w:sz="2" w:space="0" w:color="auto"/>
              <w:bottom w:val="nil"/>
              <w:right w:val="nil"/>
            </w:tcBorders>
            <w:shd w:val="clear" w:color="auto" w:fill="7030A0"/>
          </w:tcPr>
          <w:p w14:paraId="19049178" w14:textId="77777777" w:rsidR="00581C35" w:rsidRPr="005F0AAA" w:rsidRDefault="00581C35" w:rsidP="00581C35">
            <w:pPr>
              <w:pStyle w:val="CommentaryText"/>
              <w:tabs>
                <w:tab w:val="left" w:pos="3306"/>
              </w:tabs>
              <w:spacing w:after="0"/>
              <w:rPr>
                <w:rFonts w:cs="Calibri"/>
                <w:color w:val="FFFFFF" w:themeColor="background1"/>
                <w:sz w:val="18"/>
                <w:szCs w:val="18"/>
              </w:rPr>
            </w:pPr>
            <w:r w:rsidRPr="005F0AAA">
              <w:rPr>
                <w:rFonts w:cs="Calibri"/>
                <w:color w:val="FFFFFF" w:themeColor="background1"/>
                <w:sz w:val="18"/>
                <w:szCs w:val="18"/>
              </w:rPr>
              <w:t>Where an intangible asset is restricted or is pledged as security for a liability the existence and carrying amount must be separately disclosed.</w:t>
            </w:r>
          </w:p>
        </w:tc>
      </w:tr>
      <w:tr w:rsidR="00581C35" w:rsidRPr="00CF7E1B" w14:paraId="78B3264F" w14:textId="77777777" w:rsidTr="002A16D9">
        <w:trPr>
          <w:gridAfter w:val="1"/>
          <w:wAfter w:w="31" w:type="dxa"/>
          <w:cantSplit/>
          <w:trHeight w:hRule="exact" w:val="340"/>
        </w:trPr>
        <w:tc>
          <w:tcPr>
            <w:tcW w:w="1560" w:type="dxa"/>
            <w:tcBorders>
              <w:top w:val="nil"/>
              <w:left w:val="single" w:sz="2" w:space="0" w:color="auto"/>
              <w:bottom w:val="nil"/>
              <w:right w:val="single" w:sz="2" w:space="0" w:color="auto"/>
            </w:tcBorders>
          </w:tcPr>
          <w:p w14:paraId="57096621" w14:textId="77777777" w:rsidR="00581C35" w:rsidRPr="005F0AAA" w:rsidRDefault="00581C35" w:rsidP="00581C35">
            <w:pPr>
              <w:pStyle w:val="TableReference"/>
              <w:tabs>
                <w:tab w:val="left" w:pos="3306"/>
              </w:tabs>
              <w:spacing w:before="60"/>
              <w:rPr>
                <w:rFonts w:cs="Calibri"/>
                <w:color w:val="7030A0"/>
                <w:sz w:val="14"/>
              </w:rPr>
            </w:pPr>
          </w:p>
        </w:tc>
        <w:tc>
          <w:tcPr>
            <w:tcW w:w="8899" w:type="dxa"/>
            <w:tcBorders>
              <w:top w:val="nil"/>
              <w:left w:val="single" w:sz="2" w:space="0" w:color="auto"/>
              <w:bottom w:val="nil"/>
              <w:right w:val="nil"/>
            </w:tcBorders>
            <w:shd w:val="clear" w:color="auto" w:fill="7030A0"/>
          </w:tcPr>
          <w:p w14:paraId="1E9FEF7C" w14:textId="77777777" w:rsidR="00581C35" w:rsidRPr="00581C35" w:rsidRDefault="00581C35" w:rsidP="00581C35">
            <w:pPr>
              <w:pStyle w:val="CommentaryHeading"/>
              <w:spacing w:after="0"/>
              <w:rPr>
                <w:rFonts w:cs="Calibri"/>
                <w:color w:val="FFFFFF" w:themeColor="background1"/>
                <w:szCs w:val="20"/>
              </w:rPr>
            </w:pPr>
            <w:r w:rsidRPr="00581C35">
              <w:rPr>
                <w:rFonts w:cs="Calibri"/>
                <w:color w:val="FFFFFF" w:themeColor="background1"/>
                <w:szCs w:val="20"/>
              </w:rPr>
              <w:t>Voluntary Disclosure</w:t>
            </w:r>
          </w:p>
        </w:tc>
      </w:tr>
      <w:tr w:rsidR="00581C35" w:rsidRPr="00CF7E1B" w14:paraId="1E951B12" w14:textId="77777777" w:rsidTr="002A16D9">
        <w:trPr>
          <w:gridAfter w:val="1"/>
          <w:wAfter w:w="31" w:type="dxa"/>
          <w:cantSplit/>
          <w:trHeight w:val="23"/>
        </w:trPr>
        <w:tc>
          <w:tcPr>
            <w:tcW w:w="1560" w:type="dxa"/>
            <w:tcBorders>
              <w:top w:val="nil"/>
              <w:left w:val="single" w:sz="2" w:space="0" w:color="auto"/>
              <w:bottom w:val="nil"/>
              <w:right w:val="single" w:sz="2" w:space="0" w:color="auto"/>
            </w:tcBorders>
          </w:tcPr>
          <w:p w14:paraId="0BD1A2BB" w14:textId="77777777" w:rsidR="00581C35" w:rsidRPr="005F0AAA" w:rsidRDefault="00581C35" w:rsidP="00581C35">
            <w:pPr>
              <w:pStyle w:val="TableReference"/>
              <w:tabs>
                <w:tab w:val="left" w:pos="3306"/>
              </w:tabs>
              <w:spacing w:before="60"/>
              <w:rPr>
                <w:rFonts w:cs="Calibri"/>
                <w:color w:val="7030A0"/>
                <w:sz w:val="14"/>
              </w:rPr>
            </w:pPr>
            <w:r w:rsidRPr="005F0AAA">
              <w:rPr>
                <w:rFonts w:cs="Calibri"/>
                <w:color w:val="7030A0"/>
                <w:sz w:val="14"/>
              </w:rPr>
              <w:t>AASB 138.128</w:t>
            </w:r>
          </w:p>
        </w:tc>
        <w:tc>
          <w:tcPr>
            <w:tcW w:w="8899" w:type="dxa"/>
            <w:tcBorders>
              <w:top w:val="nil"/>
              <w:left w:val="single" w:sz="2" w:space="0" w:color="auto"/>
              <w:bottom w:val="nil"/>
              <w:right w:val="nil"/>
            </w:tcBorders>
            <w:shd w:val="clear" w:color="auto" w:fill="7030A0"/>
          </w:tcPr>
          <w:p w14:paraId="045CA77E" w14:textId="77777777" w:rsidR="00581C35" w:rsidRPr="005F0AAA" w:rsidRDefault="00581C35" w:rsidP="00581C35">
            <w:pPr>
              <w:pStyle w:val="CommentaryText"/>
              <w:tabs>
                <w:tab w:val="left" w:pos="3306"/>
              </w:tabs>
              <w:spacing w:after="40"/>
              <w:rPr>
                <w:rFonts w:cs="Calibri"/>
                <w:color w:val="FFFFFF" w:themeColor="background1"/>
                <w:sz w:val="18"/>
                <w:szCs w:val="18"/>
              </w:rPr>
            </w:pPr>
            <w:r w:rsidRPr="005F0AAA">
              <w:rPr>
                <w:rFonts w:cs="Calibri"/>
                <w:color w:val="FFFFFF" w:themeColor="background1"/>
                <w:sz w:val="18"/>
                <w:szCs w:val="18"/>
              </w:rPr>
              <w:t>AASB 138 recommends the following voluntary disclosures:</w:t>
            </w:r>
          </w:p>
          <w:p w14:paraId="71925228" w14:textId="77777777" w:rsidR="00581C35" w:rsidRPr="005F0AAA" w:rsidRDefault="00581C3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5F0AAA">
              <w:rPr>
                <w:rFonts w:cs="Calibri"/>
                <w:color w:val="FFFFFF" w:themeColor="background1"/>
                <w:sz w:val="18"/>
                <w:szCs w:val="18"/>
              </w:rPr>
              <w:t>a description of any fully amortised intangible asset that is still in use; and</w:t>
            </w:r>
          </w:p>
          <w:p w14:paraId="1566AA04" w14:textId="77777777" w:rsidR="00581C35" w:rsidRPr="005F0AAA" w:rsidRDefault="00581C35"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5F0AAA">
              <w:rPr>
                <w:rFonts w:cs="Calibri"/>
                <w:color w:val="FFFFFF" w:themeColor="background1"/>
                <w:sz w:val="18"/>
                <w:szCs w:val="18"/>
              </w:rPr>
              <w:t>a brief description of significant intangible assets controlled by the agency but not recognised as assets because they did not meet the recognition criteria.</w:t>
            </w:r>
          </w:p>
        </w:tc>
      </w:tr>
      <w:tr w:rsidR="00581C35" w:rsidRPr="00CF7E1B" w14:paraId="08D1A601" w14:textId="77777777" w:rsidTr="002A16D9">
        <w:trPr>
          <w:cantSplit/>
          <w:trHeight w:val="23"/>
        </w:trPr>
        <w:tc>
          <w:tcPr>
            <w:tcW w:w="1560" w:type="dxa"/>
            <w:tcBorders>
              <w:top w:val="nil"/>
              <w:left w:val="single" w:sz="2" w:space="0" w:color="auto"/>
              <w:bottom w:val="nil"/>
              <w:right w:val="single" w:sz="2" w:space="0" w:color="auto"/>
            </w:tcBorders>
          </w:tcPr>
          <w:p w14:paraId="6F353718" w14:textId="7C995BA0" w:rsidR="00581C35" w:rsidRPr="005F0AAA" w:rsidRDefault="00581C35" w:rsidP="00581C35">
            <w:pPr>
              <w:pStyle w:val="TableReference"/>
              <w:tabs>
                <w:tab w:val="left" w:pos="3306"/>
              </w:tabs>
              <w:spacing w:before="240"/>
              <w:rPr>
                <w:rFonts w:cs="Calibri"/>
                <w:b/>
                <w:color w:val="7030A0"/>
                <w:sz w:val="22"/>
                <w:szCs w:val="22"/>
              </w:rPr>
            </w:pPr>
            <w:bookmarkStart w:id="565" w:name="CapitalWorkProgress" w:colFirst="1" w:colLast="1"/>
            <w:r w:rsidRPr="005F0AAA">
              <w:rPr>
                <w:color w:val="7030A0"/>
              </w:rPr>
              <w:br w:type="page"/>
            </w:r>
          </w:p>
        </w:tc>
        <w:tc>
          <w:tcPr>
            <w:tcW w:w="8930" w:type="dxa"/>
            <w:gridSpan w:val="2"/>
            <w:tcBorders>
              <w:top w:val="nil"/>
              <w:left w:val="single" w:sz="2" w:space="0" w:color="auto"/>
              <w:bottom w:val="nil"/>
              <w:right w:val="nil"/>
            </w:tcBorders>
            <w:vAlign w:val="bottom"/>
          </w:tcPr>
          <w:p w14:paraId="678F8AED" w14:textId="58833636" w:rsidR="00581C35" w:rsidRPr="00AA6335" w:rsidRDefault="00581C35" w:rsidP="00581C35">
            <w:pPr>
              <w:pStyle w:val="Heading1"/>
              <w:numPr>
                <w:ilvl w:val="0"/>
                <w:numId w:val="0"/>
              </w:numPr>
              <w:rPr>
                <w:highlight w:val="yellow"/>
              </w:rPr>
            </w:pPr>
            <w:bookmarkStart w:id="566" w:name="_Toc48468564"/>
            <w:bookmarkStart w:id="567" w:name="_Toc49155672"/>
            <w:bookmarkStart w:id="568" w:name="_Toc49224106"/>
            <w:bookmarkStart w:id="569" w:name="_Ref50365606"/>
            <w:bookmarkStart w:id="570" w:name="_Toc50440376"/>
            <w:bookmarkStart w:id="571" w:name="_Ref50524147"/>
            <w:bookmarkStart w:id="572" w:name="_Toc400627347"/>
            <w:bookmarkStart w:id="573" w:name="_Toc98763138"/>
            <w:r w:rsidRPr="00B823E0">
              <w:t>Note 22.</w:t>
            </w:r>
            <w:r>
              <w:t xml:space="preserve"> </w:t>
            </w:r>
            <w:r w:rsidRPr="00B823E0">
              <w:t xml:space="preserve"> Capital Works in Progress</w:t>
            </w:r>
            <w:bookmarkEnd w:id="566"/>
            <w:bookmarkEnd w:id="567"/>
            <w:bookmarkEnd w:id="568"/>
            <w:bookmarkEnd w:id="569"/>
            <w:bookmarkEnd w:id="570"/>
            <w:bookmarkEnd w:id="571"/>
            <w:bookmarkEnd w:id="572"/>
            <w:bookmarkEnd w:id="573"/>
          </w:p>
        </w:tc>
      </w:tr>
      <w:tr w:rsidR="00581C35" w:rsidRPr="00CF7E1B" w14:paraId="607F17AF" w14:textId="77777777" w:rsidTr="002A16D9">
        <w:trPr>
          <w:cantSplit/>
          <w:trHeight w:val="23"/>
        </w:trPr>
        <w:tc>
          <w:tcPr>
            <w:tcW w:w="1560" w:type="dxa"/>
            <w:tcBorders>
              <w:top w:val="nil"/>
              <w:left w:val="single" w:sz="2" w:space="0" w:color="auto"/>
              <w:bottom w:val="nil"/>
              <w:right w:val="single" w:sz="2" w:space="0" w:color="auto"/>
            </w:tcBorders>
          </w:tcPr>
          <w:p w14:paraId="05FA5506" w14:textId="77777777" w:rsidR="00581C35" w:rsidRPr="005F0AAA" w:rsidRDefault="00581C35" w:rsidP="00581C35">
            <w:pPr>
              <w:pStyle w:val="TableReference"/>
              <w:tabs>
                <w:tab w:val="left" w:pos="3306"/>
              </w:tabs>
              <w:rPr>
                <w:rFonts w:cs="Calibri"/>
                <w:b/>
                <w:color w:val="7030A0"/>
                <w:sz w:val="20"/>
                <w:szCs w:val="20"/>
              </w:rPr>
            </w:pPr>
          </w:p>
        </w:tc>
        <w:tc>
          <w:tcPr>
            <w:tcW w:w="8930" w:type="dxa"/>
            <w:gridSpan w:val="2"/>
            <w:tcBorders>
              <w:top w:val="nil"/>
              <w:left w:val="single" w:sz="2" w:space="0" w:color="auto"/>
              <w:bottom w:val="nil"/>
              <w:right w:val="nil"/>
            </w:tcBorders>
            <w:vAlign w:val="bottom"/>
          </w:tcPr>
          <w:p w14:paraId="6F9C769B" w14:textId="1607CBB4" w:rsidR="00581C35" w:rsidRPr="00E95E3B" w:rsidRDefault="00581C35" w:rsidP="00581C35">
            <w:pPr>
              <w:pStyle w:val="Heading1"/>
              <w:numPr>
                <w:ilvl w:val="0"/>
                <w:numId w:val="0"/>
              </w:numPr>
              <w:spacing w:before="0" w:after="0"/>
            </w:pPr>
            <w:bookmarkStart w:id="574" w:name="_Toc98763139"/>
            <w:r w:rsidRPr="00E95E3B">
              <w:rPr>
                <w:rFonts w:ascii="Calibri" w:hAnsi="Calibri" w:cs="Calibri"/>
                <w:caps w:val="0"/>
                <w:sz w:val="18"/>
                <w:szCs w:val="18"/>
              </w:rPr>
              <w:t>Description and Material Accounting Policies Relating to Capital Works in Progress</w:t>
            </w:r>
            <w:bookmarkEnd w:id="574"/>
          </w:p>
        </w:tc>
      </w:tr>
      <w:bookmarkEnd w:id="565"/>
      <w:tr w:rsidR="00581C35" w:rsidRPr="00CF7E1B" w14:paraId="6C77625E" w14:textId="77777777" w:rsidTr="002A16D9">
        <w:trPr>
          <w:cantSplit/>
          <w:trHeight w:val="23"/>
        </w:trPr>
        <w:tc>
          <w:tcPr>
            <w:tcW w:w="1560" w:type="dxa"/>
            <w:tcBorders>
              <w:top w:val="nil"/>
              <w:left w:val="single" w:sz="2" w:space="0" w:color="auto"/>
              <w:bottom w:val="nil"/>
              <w:right w:val="single" w:sz="2" w:space="0" w:color="auto"/>
            </w:tcBorders>
          </w:tcPr>
          <w:p w14:paraId="6DDA2A29" w14:textId="77777777" w:rsidR="00581C35" w:rsidRPr="005F0AAA" w:rsidRDefault="00581C35" w:rsidP="00581C35">
            <w:pPr>
              <w:pStyle w:val="TableReference"/>
              <w:tabs>
                <w:tab w:val="left" w:pos="3306"/>
              </w:tabs>
              <w:spacing w:before="40"/>
              <w:rPr>
                <w:rFonts w:cs="Calibri"/>
                <w:color w:val="7030A0"/>
                <w:sz w:val="16"/>
                <w:szCs w:val="16"/>
              </w:rPr>
            </w:pPr>
          </w:p>
        </w:tc>
        <w:tc>
          <w:tcPr>
            <w:tcW w:w="8930" w:type="dxa"/>
            <w:gridSpan w:val="2"/>
            <w:tcBorders>
              <w:top w:val="nil"/>
              <w:left w:val="single" w:sz="2" w:space="0" w:color="auto"/>
              <w:bottom w:val="nil"/>
              <w:right w:val="nil"/>
            </w:tcBorders>
            <w:vAlign w:val="bottom"/>
          </w:tcPr>
          <w:p w14:paraId="659050C4" w14:textId="67030798" w:rsidR="00581C35" w:rsidRPr="00E95E3B" w:rsidRDefault="00581C35" w:rsidP="00581C35">
            <w:pPr>
              <w:pStyle w:val="TableText"/>
              <w:spacing w:before="0" w:after="120"/>
              <w:jc w:val="both"/>
              <w:rPr>
                <w:rFonts w:cs="Calibri"/>
              </w:rPr>
            </w:pPr>
            <w:r w:rsidRPr="00E95E3B">
              <w:rPr>
                <w:rFonts w:cs="Calibri"/>
              </w:rPr>
              <w:t>Capital works in progress include infrastructure assets, buildings, leasehold improvements and software under construction.</w:t>
            </w:r>
            <w:r>
              <w:rPr>
                <w:rFonts w:cs="Calibri"/>
              </w:rPr>
              <w:t xml:space="preserve"> </w:t>
            </w:r>
            <w:r w:rsidRPr="00E95E3B">
              <w:rPr>
                <w:rFonts w:cs="Calibri"/>
              </w:rPr>
              <w:t xml:space="preserve">Capital works in progress </w:t>
            </w:r>
            <w:r w:rsidRPr="00E95E3B">
              <w:t>are recognised at the time the construction activity occurs. These assets are measured at the cost of constructing the asset. The cost includes direct construction costs (eg direct materials and direct labour), and ‘directly attributable’ costs in bringing the asset to a location and condition ready for use, as well as the initial estimate of the costs of dismantling and removing the item and restoring the site on which it is located.</w:t>
            </w:r>
            <w:r>
              <w:t xml:space="preserve"> </w:t>
            </w:r>
            <w:r w:rsidRPr="00E95E3B">
              <w:t>Directly attributable costs included in capital works in progress by ‘Burley Griffin Agency’ are the cost of site preparation, initial delivery and handling costs of materials, installation and assembly costs, functional testing and professional fees.</w:t>
            </w:r>
          </w:p>
        </w:tc>
      </w:tr>
    </w:tbl>
    <w:p w14:paraId="72783BB8" w14:textId="77777777" w:rsidR="00B256A9" w:rsidRPr="00CF7E1B" w:rsidRDefault="00B256A9">
      <w:pPr>
        <w:rPr>
          <w:rFonts w:cs="Calibri"/>
        </w:rPr>
        <w:sectPr w:rsidR="00B256A9" w:rsidRPr="00CF7E1B" w:rsidSect="00986F4D">
          <w:footnotePr>
            <w:numRestart w:val="eachPage"/>
          </w:footnotePr>
          <w:pgSz w:w="11907" w:h="16840" w:code="9"/>
          <w:pgMar w:top="567" w:right="1276" w:bottom="567" w:left="680" w:header="425" w:footer="383" w:gutter="0"/>
          <w:cols w:space="720"/>
          <w:docGrid w:linePitch="326"/>
        </w:sect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6944"/>
        <w:gridCol w:w="1560"/>
        <w:gridCol w:w="106"/>
        <w:gridCol w:w="1455"/>
        <w:gridCol w:w="39"/>
        <w:gridCol w:w="1378"/>
        <w:gridCol w:w="1134"/>
        <w:gridCol w:w="62"/>
        <w:gridCol w:w="1213"/>
      </w:tblGrid>
      <w:tr w:rsidR="00827474" w:rsidRPr="00CF7E1B" w14:paraId="2801FAAD" w14:textId="77777777" w:rsidTr="00AE2F99">
        <w:trPr>
          <w:cantSplit/>
          <w:trHeight w:val="23"/>
        </w:trPr>
        <w:tc>
          <w:tcPr>
            <w:tcW w:w="1558" w:type="dxa"/>
            <w:tcBorders>
              <w:top w:val="nil"/>
              <w:left w:val="single" w:sz="2" w:space="0" w:color="auto"/>
              <w:bottom w:val="nil"/>
              <w:right w:val="single" w:sz="2" w:space="0" w:color="auto"/>
            </w:tcBorders>
            <w:vAlign w:val="bottom"/>
          </w:tcPr>
          <w:p w14:paraId="282E9120" w14:textId="77777777" w:rsidR="00F22565" w:rsidRPr="00E95E3B" w:rsidRDefault="00F80177" w:rsidP="00914FDD">
            <w:pPr>
              <w:pStyle w:val="Reference"/>
              <w:tabs>
                <w:tab w:val="left" w:pos="3306"/>
              </w:tabs>
              <w:spacing w:before="240" w:after="240"/>
              <w:rPr>
                <w:rFonts w:cs="Calibri"/>
                <w:color w:val="7030A0"/>
                <w:sz w:val="22"/>
                <w:szCs w:val="22"/>
              </w:rPr>
            </w:pPr>
            <w:r w:rsidRPr="00E95E3B">
              <w:rPr>
                <w:rFonts w:cs="Calibri"/>
                <w:color w:val="7030A0"/>
                <w:sz w:val="22"/>
                <w:szCs w:val="22"/>
              </w:rPr>
              <w:t>Reference</w:t>
            </w:r>
          </w:p>
        </w:tc>
        <w:tc>
          <w:tcPr>
            <w:tcW w:w="13891" w:type="dxa"/>
            <w:gridSpan w:val="9"/>
            <w:tcBorders>
              <w:top w:val="nil"/>
              <w:left w:val="single" w:sz="2" w:space="0" w:color="auto"/>
              <w:bottom w:val="nil"/>
              <w:right w:val="nil"/>
            </w:tcBorders>
            <w:vAlign w:val="bottom"/>
          </w:tcPr>
          <w:p w14:paraId="1D823A44" w14:textId="1C65B417" w:rsidR="00F22565" w:rsidRPr="00E95E3B" w:rsidRDefault="00914FDD" w:rsidP="00914FDD">
            <w:pPr>
              <w:spacing w:before="240" w:after="240"/>
              <w:rPr>
                <w:rFonts w:ascii="Arial Bold" w:hAnsi="Arial Bold" w:cs="Arial"/>
                <w:b/>
                <w:caps/>
                <w:sz w:val="32"/>
                <w:szCs w:val="32"/>
              </w:rPr>
            </w:pPr>
            <w:r w:rsidRPr="00E95E3B">
              <w:rPr>
                <w:rFonts w:ascii="Arial Bold" w:hAnsi="Arial Bold" w:cs="Arial"/>
                <w:b/>
                <w:caps/>
                <w:sz w:val="32"/>
                <w:szCs w:val="32"/>
              </w:rPr>
              <w:t xml:space="preserve">Note </w:t>
            </w:r>
            <w:r w:rsidR="00DE287B" w:rsidRPr="00E95E3B">
              <w:rPr>
                <w:rFonts w:ascii="Arial Bold" w:hAnsi="Arial Bold" w:cs="Arial"/>
                <w:b/>
                <w:caps/>
                <w:sz w:val="32"/>
                <w:szCs w:val="32"/>
              </w:rPr>
              <w:t>22</w:t>
            </w:r>
            <w:r w:rsidRPr="00E95E3B">
              <w:rPr>
                <w:rFonts w:ascii="Arial Bold" w:hAnsi="Arial Bold" w:cs="Arial"/>
                <w:b/>
                <w:caps/>
                <w:sz w:val="32"/>
                <w:szCs w:val="32"/>
              </w:rPr>
              <w:t>.</w:t>
            </w:r>
            <w:r w:rsidR="00FA7C77">
              <w:rPr>
                <w:rFonts w:ascii="Arial Bold" w:hAnsi="Arial Bold" w:cs="Arial"/>
                <w:b/>
                <w:caps/>
                <w:sz w:val="32"/>
                <w:szCs w:val="32"/>
              </w:rPr>
              <w:t xml:space="preserve"> </w:t>
            </w:r>
            <w:r w:rsidRPr="00E95E3B">
              <w:rPr>
                <w:rFonts w:ascii="Arial Bold" w:hAnsi="Arial Bold" w:cs="Arial"/>
                <w:b/>
                <w:caps/>
                <w:sz w:val="32"/>
                <w:szCs w:val="32"/>
              </w:rPr>
              <w:t xml:space="preserve"> Capital Works in Progress – Continued </w:t>
            </w:r>
          </w:p>
        </w:tc>
      </w:tr>
      <w:tr w:rsidR="00827474" w:rsidRPr="00CF7E1B" w14:paraId="29ECE6D6" w14:textId="77777777" w:rsidTr="00AE2F99">
        <w:trPr>
          <w:cantSplit/>
          <w:trHeight w:val="23"/>
        </w:trPr>
        <w:tc>
          <w:tcPr>
            <w:tcW w:w="1558" w:type="dxa"/>
            <w:tcBorders>
              <w:top w:val="nil"/>
              <w:left w:val="single" w:sz="2" w:space="0" w:color="auto"/>
              <w:bottom w:val="nil"/>
              <w:right w:val="single" w:sz="2" w:space="0" w:color="auto"/>
            </w:tcBorders>
          </w:tcPr>
          <w:p w14:paraId="4E702643" w14:textId="77777777" w:rsidR="00A67B77" w:rsidRPr="00E95E3B" w:rsidRDefault="00A67B77" w:rsidP="00C5789C">
            <w:pPr>
              <w:pStyle w:val="TableReference"/>
              <w:tabs>
                <w:tab w:val="left" w:pos="3306"/>
              </w:tabs>
              <w:spacing w:before="40"/>
              <w:rPr>
                <w:rFonts w:cs="Calibri"/>
                <w:color w:val="7030A0"/>
                <w:sz w:val="14"/>
              </w:rPr>
            </w:pPr>
          </w:p>
        </w:tc>
        <w:tc>
          <w:tcPr>
            <w:tcW w:w="6944" w:type="dxa"/>
            <w:tcBorders>
              <w:top w:val="nil"/>
              <w:left w:val="single" w:sz="2" w:space="0" w:color="auto"/>
              <w:bottom w:val="nil"/>
              <w:right w:val="nil"/>
            </w:tcBorders>
            <w:vAlign w:val="bottom"/>
          </w:tcPr>
          <w:p w14:paraId="3F78BDDE" w14:textId="77777777" w:rsidR="00A67B77" w:rsidRPr="00E95E3B" w:rsidRDefault="00A67B77" w:rsidP="00C5789C">
            <w:pPr>
              <w:pStyle w:val="TableTitle"/>
              <w:tabs>
                <w:tab w:val="left" w:pos="3306"/>
              </w:tabs>
              <w:rPr>
                <w:rFonts w:cs="Calibri"/>
              </w:rPr>
            </w:pPr>
          </w:p>
        </w:tc>
        <w:tc>
          <w:tcPr>
            <w:tcW w:w="1666" w:type="dxa"/>
            <w:gridSpan w:val="2"/>
            <w:tcBorders>
              <w:top w:val="nil"/>
              <w:left w:val="nil"/>
              <w:bottom w:val="nil"/>
              <w:right w:val="nil"/>
            </w:tcBorders>
            <w:vAlign w:val="bottom"/>
          </w:tcPr>
          <w:p w14:paraId="1618CC36" w14:textId="2F683B8F" w:rsidR="00A67B77" w:rsidRPr="00E95E3B" w:rsidRDefault="00A67B77" w:rsidP="00AB11CD">
            <w:pPr>
              <w:pStyle w:val="TableTitle"/>
              <w:tabs>
                <w:tab w:val="left" w:pos="3306"/>
              </w:tabs>
              <w:rPr>
                <w:rFonts w:cs="Calibri"/>
              </w:rPr>
            </w:pPr>
            <w:r w:rsidRPr="00E95E3B">
              <w:rPr>
                <w:rFonts w:cs="Calibri"/>
              </w:rPr>
              <w:t>Infrastructure Works in Progress</w:t>
            </w:r>
            <w:r w:rsidR="001E788B" w:rsidRPr="00E95E3B">
              <w:rPr>
                <w:rFonts w:cs="Calibri"/>
                <w:vertAlign w:val="superscript"/>
              </w:rPr>
              <w:t>a</w:t>
            </w:r>
          </w:p>
        </w:tc>
        <w:tc>
          <w:tcPr>
            <w:tcW w:w="1494" w:type="dxa"/>
            <w:gridSpan w:val="2"/>
            <w:tcBorders>
              <w:top w:val="nil"/>
              <w:left w:val="nil"/>
              <w:bottom w:val="nil"/>
              <w:right w:val="nil"/>
            </w:tcBorders>
            <w:vAlign w:val="bottom"/>
          </w:tcPr>
          <w:p w14:paraId="505EEFEF" w14:textId="34AAB24C" w:rsidR="00A67B77" w:rsidRPr="00E95E3B" w:rsidRDefault="00A67B77" w:rsidP="00AB11CD">
            <w:pPr>
              <w:pStyle w:val="TableTitle"/>
              <w:tabs>
                <w:tab w:val="left" w:pos="3306"/>
              </w:tabs>
              <w:rPr>
                <w:rFonts w:cs="Calibri"/>
              </w:rPr>
            </w:pPr>
            <w:r w:rsidRPr="00E95E3B">
              <w:rPr>
                <w:rFonts w:cs="Calibri"/>
              </w:rPr>
              <w:t>Building Works in Progress</w:t>
            </w:r>
            <w:r w:rsidR="001E788B" w:rsidRPr="00E95E3B">
              <w:rPr>
                <w:rFonts w:cs="Calibri"/>
                <w:vertAlign w:val="superscript"/>
              </w:rPr>
              <w:t>b</w:t>
            </w:r>
          </w:p>
        </w:tc>
        <w:tc>
          <w:tcPr>
            <w:tcW w:w="1378" w:type="dxa"/>
            <w:tcBorders>
              <w:top w:val="nil"/>
              <w:left w:val="nil"/>
              <w:bottom w:val="nil"/>
              <w:right w:val="nil"/>
            </w:tcBorders>
            <w:vAlign w:val="center"/>
          </w:tcPr>
          <w:p w14:paraId="65278621" w14:textId="77777777" w:rsidR="00A67B77" w:rsidRPr="00E95E3B" w:rsidRDefault="00A67B77" w:rsidP="00827474">
            <w:pPr>
              <w:pStyle w:val="TableTitle"/>
              <w:tabs>
                <w:tab w:val="left" w:pos="3306"/>
              </w:tabs>
              <w:rPr>
                <w:rFonts w:cs="Calibri"/>
              </w:rPr>
            </w:pPr>
            <w:r w:rsidRPr="00E95E3B">
              <w:rPr>
                <w:rFonts w:cs="Calibri"/>
              </w:rPr>
              <w:t>Leasehold Improvement Works in Progress</w:t>
            </w:r>
          </w:p>
        </w:tc>
        <w:tc>
          <w:tcPr>
            <w:tcW w:w="1196" w:type="dxa"/>
            <w:gridSpan w:val="2"/>
            <w:tcBorders>
              <w:top w:val="nil"/>
              <w:left w:val="nil"/>
              <w:bottom w:val="nil"/>
              <w:right w:val="nil"/>
            </w:tcBorders>
            <w:vAlign w:val="bottom"/>
          </w:tcPr>
          <w:p w14:paraId="385185D1" w14:textId="77777777" w:rsidR="00A67B77" w:rsidRPr="00E95E3B" w:rsidRDefault="00A67B77" w:rsidP="00AB11CD">
            <w:pPr>
              <w:pStyle w:val="TableTitle"/>
              <w:tabs>
                <w:tab w:val="left" w:pos="3306"/>
              </w:tabs>
              <w:rPr>
                <w:rFonts w:cs="Calibri"/>
              </w:rPr>
            </w:pPr>
            <w:r w:rsidRPr="00E95E3B">
              <w:rPr>
                <w:rFonts w:cs="Calibri"/>
              </w:rPr>
              <w:t>Software Works in Progress</w:t>
            </w:r>
          </w:p>
        </w:tc>
        <w:tc>
          <w:tcPr>
            <w:tcW w:w="1213" w:type="dxa"/>
            <w:tcBorders>
              <w:top w:val="nil"/>
              <w:left w:val="nil"/>
              <w:bottom w:val="nil"/>
              <w:right w:val="nil"/>
            </w:tcBorders>
            <w:vAlign w:val="bottom"/>
          </w:tcPr>
          <w:p w14:paraId="2A8776FF" w14:textId="77777777" w:rsidR="00A67B77" w:rsidRPr="00E95E3B" w:rsidRDefault="00A67B77" w:rsidP="00AB11CD">
            <w:pPr>
              <w:pStyle w:val="TableTitle"/>
              <w:tabs>
                <w:tab w:val="left" w:pos="3306"/>
              </w:tabs>
              <w:rPr>
                <w:rFonts w:cs="Calibri"/>
              </w:rPr>
            </w:pPr>
            <w:r w:rsidRPr="00E95E3B">
              <w:rPr>
                <w:rFonts w:cs="Calibri"/>
              </w:rPr>
              <w:t>Total</w:t>
            </w:r>
          </w:p>
        </w:tc>
      </w:tr>
      <w:tr w:rsidR="00827474" w:rsidRPr="00CF7E1B" w14:paraId="553AEDC5" w14:textId="77777777" w:rsidTr="00AE2F99">
        <w:trPr>
          <w:cantSplit/>
          <w:trHeight w:val="23"/>
        </w:trPr>
        <w:tc>
          <w:tcPr>
            <w:tcW w:w="1558" w:type="dxa"/>
            <w:tcBorders>
              <w:top w:val="nil"/>
              <w:left w:val="single" w:sz="2" w:space="0" w:color="auto"/>
              <w:bottom w:val="nil"/>
              <w:right w:val="single" w:sz="2" w:space="0" w:color="auto"/>
            </w:tcBorders>
          </w:tcPr>
          <w:p w14:paraId="00605D30" w14:textId="77777777" w:rsidR="00A67B77" w:rsidRPr="00E95E3B" w:rsidRDefault="00A67B77" w:rsidP="00C5789C">
            <w:pPr>
              <w:pStyle w:val="TableReference"/>
              <w:tabs>
                <w:tab w:val="left" w:pos="3306"/>
              </w:tabs>
              <w:spacing w:before="60"/>
              <w:rPr>
                <w:rFonts w:cs="Calibri"/>
                <w:color w:val="7030A0"/>
                <w:sz w:val="14"/>
              </w:rPr>
            </w:pPr>
          </w:p>
        </w:tc>
        <w:tc>
          <w:tcPr>
            <w:tcW w:w="6944" w:type="dxa"/>
            <w:tcBorders>
              <w:top w:val="nil"/>
              <w:left w:val="single" w:sz="2" w:space="0" w:color="auto"/>
              <w:bottom w:val="nil"/>
              <w:right w:val="nil"/>
            </w:tcBorders>
            <w:vAlign w:val="bottom"/>
          </w:tcPr>
          <w:p w14:paraId="0BE3ABD2" w14:textId="77777777" w:rsidR="00A67B77" w:rsidRPr="00E95E3B" w:rsidRDefault="00A67B77" w:rsidP="00C5789C">
            <w:pPr>
              <w:pStyle w:val="TableText"/>
              <w:tabs>
                <w:tab w:val="left" w:pos="3306"/>
              </w:tabs>
              <w:rPr>
                <w:rFonts w:cs="Calibri"/>
              </w:rPr>
            </w:pPr>
          </w:p>
        </w:tc>
        <w:tc>
          <w:tcPr>
            <w:tcW w:w="1666" w:type="dxa"/>
            <w:gridSpan w:val="2"/>
            <w:tcBorders>
              <w:top w:val="nil"/>
              <w:left w:val="nil"/>
              <w:bottom w:val="nil"/>
              <w:right w:val="nil"/>
            </w:tcBorders>
            <w:vAlign w:val="center"/>
          </w:tcPr>
          <w:p w14:paraId="38433F4E" w14:textId="77777777" w:rsidR="00A67B77" w:rsidRPr="00E95E3B" w:rsidRDefault="00A67B77" w:rsidP="00D55D0B">
            <w:pPr>
              <w:pStyle w:val="TableText"/>
              <w:tabs>
                <w:tab w:val="left" w:pos="3306"/>
              </w:tabs>
              <w:jc w:val="right"/>
              <w:rPr>
                <w:rFonts w:cs="Calibri"/>
                <w:b/>
              </w:rPr>
            </w:pPr>
            <w:r w:rsidRPr="00E95E3B">
              <w:rPr>
                <w:rFonts w:cs="Calibri"/>
                <w:b/>
              </w:rPr>
              <w:t>$’000</w:t>
            </w:r>
          </w:p>
        </w:tc>
        <w:tc>
          <w:tcPr>
            <w:tcW w:w="1494" w:type="dxa"/>
            <w:gridSpan w:val="2"/>
            <w:tcBorders>
              <w:top w:val="nil"/>
              <w:left w:val="nil"/>
              <w:bottom w:val="nil"/>
              <w:right w:val="nil"/>
            </w:tcBorders>
            <w:vAlign w:val="center"/>
          </w:tcPr>
          <w:p w14:paraId="06E0550B" w14:textId="77777777" w:rsidR="00A67B77" w:rsidRPr="00E95E3B" w:rsidRDefault="00A67B77" w:rsidP="00D55D0B">
            <w:pPr>
              <w:pStyle w:val="TableText"/>
              <w:tabs>
                <w:tab w:val="left" w:pos="3306"/>
              </w:tabs>
              <w:jc w:val="right"/>
              <w:rPr>
                <w:rFonts w:cs="Calibri"/>
                <w:b/>
              </w:rPr>
            </w:pPr>
            <w:r w:rsidRPr="00E95E3B">
              <w:rPr>
                <w:rFonts w:cs="Calibri"/>
                <w:b/>
              </w:rPr>
              <w:t>$’000</w:t>
            </w:r>
          </w:p>
        </w:tc>
        <w:tc>
          <w:tcPr>
            <w:tcW w:w="1378" w:type="dxa"/>
            <w:tcBorders>
              <w:top w:val="nil"/>
              <w:left w:val="nil"/>
              <w:bottom w:val="nil"/>
              <w:right w:val="nil"/>
            </w:tcBorders>
            <w:vAlign w:val="center"/>
          </w:tcPr>
          <w:p w14:paraId="672B36A6" w14:textId="77777777" w:rsidR="00A67B77" w:rsidRPr="00E95E3B" w:rsidRDefault="00A67B77" w:rsidP="00D55D0B">
            <w:pPr>
              <w:pStyle w:val="TableText"/>
              <w:tabs>
                <w:tab w:val="left" w:pos="3306"/>
              </w:tabs>
              <w:jc w:val="right"/>
              <w:rPr>
                <w:rFonts w:cs="Calibri"/>
                <w:b/>
              </w:rPr>
            </w:pPr>
            <w:r w:rsidRPr="00E95E3B">
              <w:rPr>
                <w:rFonts w:cs="Calibri"/>
                <w:b/>
              </w:rPr>
              <w:t>$’000</w:t>
            </w:r>
          </w:p>
        </w:tc>
        <w:tc>
          <w:tcPr>
            <w:tcW w:w="1196" w:type="dxa"/>
            <w:gridSpan w:val="2"/>
            <w:tcBorders>
              <w:top w:val="nil"/>
              <w:left w:val="nil"/>
              <w:bottom w:val="nil"/>
              <w:right w:val="nil"/>
            </w:tcBorders>
            <w:vAlign w:val="center"/>
          </w:tcPr>
          <w:p w14:paraId="7FDC6C39" w14:textId="77777777" w:rsidR="00A67B77" w:rsidRPr="00E95E3B" w:rsidRDefault="00A67B77" w:rsidP="00D55D0B">
            <w:pPr>
              <w:pStyle w:val="TableText"/>
              <w:tabs>
                <w:tab w:val="left" w:pos="3306"/>
              </w:tabs>
              <w:jc w:val="right"/>
              <w:rPr>
                <w:rFonts w:cs="Calibri"/>
                <w:b/>
              </w:rPr>
            </w:pPr>
            <w:r w:rsidRPr="00E95E3B">
              <w:rPr>
                <w:rFonts w:cs="Calibri"/>
                <w:b/>
              </w:rPr>
              <w:t>$’000</w:t>
            </w:r>
          </w:p>
        </w:tc>
        <w:tc>
          <w:tcPr>
            <w:tcW w:w="1213" w:type="dxa"/>
            <w:tcBorders>
              <w:top w:val="nil"/>
              <w:left w:val="nil"/>
              <w:bottom w:val="nil"/>
              <w:right w:val="nil"/>
            </w:tcBorders>
            <w:vAlign w:val="center"/>
          </w:tcPr>
          <w:p w14:paraId="4630B274" w14:textId="77777777" w:rsidR="00A67B77" w:rsidRPr="00E95E3B" w:rsidRDefault="00A67B77" w:rsidP="00D55D0B">
            <w:pPr>
              <w:pStyle w:val="TableText"/>
              <w:tabs>
                <w:tab w:val="left" w:pos="3306"/>
              </w:tabs>
              <w:jc w:val="right"/>
              <w:rPr>
                <w:rFonts w:cs="Calibri"/>
                <w:b/>
              </w:rPr>
            </w:pPr>
            <w:r w:rsidRPr="00E95E3B">
              <w:rPr>
                <w:rFonts w:cs="Calibri"/>
                <w:b/>
              </w:rPr>
              <w:t>$’000</w:t>
            </w:r>
          </w:p>
        </w:tc>
      </w:tr>
      <w:tr w:rsidR="002B4987" w:rsidRPr="00CF7E1B" w14:paraId="2F2C7DA0" w14:textId="77777777" w:rsidTr="00AE2F99">
        <w:trPr>
          <w:cantSplit/>
          <w:trHeight w:val="23"/>
        </w:trPr>
        <w:tc>
          <w:tcPr>
            <w:tcW w:w="1558" w:type="dxa"/>
            <w:tcBorders>
              <w:top w:val="nil"/>
              <w:left w:val="single" w:sz="2" w:space="0" w:color="auto"/>
              <w:bottom w:val="nil"/>
              <w:right w:val="single" w:sz="2" w:space="0" w:color="auto"/>
            </w:tcBorders>
          </w:tcPr>
          <w:p w14:paraId="686DB1D9" w14:textId="77777777" w:rsidR="002B4987" w:rsidRPr="00E95E3B" w:rsidRDefault="002B4987" w:rsidP="00C5789C">
            <w:pPr>
              <w:pStyle w:val="TableReference"/>
              <w:tabs>
                <w:tab w:val="left" w:pos="3306"/>
              </w:tabs>
              <w:spacing w:before="60"/>
              <w:rPr>
                <w:rFonts w:cs="Calibri"/>
                <w:color w:val="7030A0"/>
                <w:sz w:val="14"/>
              </w:rPr>
            </w:pPr>
          </w:p>
        </w:tc>
        <w:tc>
          <w:tcPr>
            <w:tcW w:w="6944" w:type="dxa"/>
            <w:tcBorders>
              <w:top w:val="nil"/>
              <w:left w:val="single" w:sz="2" w:space="0" w:color="auto"/>
              <w:bottom w:val="nil"/>
              <w:right w:val="nil"/>
            </w:tcBorders>
            <w:vAlign w:val="bottom"/>
          </w:tcPr>
          <w:p w14:paraId="534CC3B9" w14:textId="3A2FBC5B" w:rsidR="002B4987" w:rsidRPr="00E95E3B" w:rsidRDefault="002B4987" w:rsidP="00C5789C">
            <w:pPr>
              <w:pStyle w:val="TableText"/>
              <w:tabs>
                <w:tab w:val="left" w:pos="3306"/>
              </w:tabs>
              <w:rPr>
                <w:rFonts w:cs="Calibri"/>
              </w:rPr>
            </w:pPr>
            <w:bookmarkStart w:id="575" w:name="_Toc194918655"/>
            <w:r w:rsidRPr="00E95E3B">
              <w:rPr>
                <w:b/>
              </w:rPr>
              <w:t>Reconciliation of Capital Works in Progress</w:t>
            </w:r>
            <w:bookmarkEnd w:id="575"/>
            <w:r w:rsidRPr="00E95E3B">
              <w:rPr>
                <w:b/>
              </w:rPr>
              <w:t xml:space="preserve"> 2021-22</w:t>
            </w:r>
          </w:p>
        </w:tc>
        <w:tc>
          <w:tcPr>
            <w:tcW w:w="1666" w:type="dxa"/>
            <w:gridSpan w:val="2"/>
            <w:tcBorders>
              <w:top w:val="nil"/>
              <w:left w:val="nil"/>
              <w:bottom w:val="nil"/>
              <w:right w:val="nil"/>
            </w:tcBorders>
            <w:vAlign w:val="center"/>
          </w:tcPr>
          <w:p w14:paraId="42FD6DA5" w14:textId="77777777" w:rsidR="002B4987" w:rsidRPr="00E95E3B" w:rsidRDefault="002B4987" w:rsidP="00D55D0B">
            <w:pPr>
              <w:pStyle w:val="TableText"/>
              <w:tabs>
                <w:tab w:val="left" w:pos="3306"/>
              </w:tabs>
              <w:jc w:val="right"/>
              <w:rPr>
                <w:rFonts w:cs="Calibri"/>
                <w:b/>
              </w:rPr>
            </w:pPr>
          </w:p>
        </w:tc>
        <w:tc>
          <w:tcPr>
            <w:tcW w:w="1494" w:type="dxa"/>
            <w:gridSpan w:val="2"/>
            <w:tcBorders>
              <w:top w:val="nil"/>
              <w:left w:val="nil"/>
              <w:bottom w:val="nil"/>
              <w:right w:val="nil"/>
            </w:tcBorders>
            <w:vAlign w:val="center"/>
          </w:tcPr>
          <w:p w14:paraId="0F6419D4" w14:textId="77777777" w:rsidR="002B4987" w:rsidRPr="00E95E3B" w:rsidRDefault="002B4987" w:rsidP="00D55D0B">
            <w:pPr>
              <w:pStyle w:val="TableText"/>
              <w:tabs>
                <w:tab w:val="left" w:pos="3306"/>
              </w:tabs>
              <w:jc w:val="right"/>
              <w:rPr>
                <w:rFonts w:cs="Calibri"/>
                <w:b/>
              </w:rPr>
            </w:pPr>
          </w:p>
        </w:tc>
        <w:tc>
          <w:tcPr>
            <w:tcW w:w="1378" w:type="dxa"/>
            <w:tcBorders>
              <w:top w:val="nil"/>
              <w:left w:val="nil"/>
              <w:bottom w:val="nil"/>
              <w:right w:val="nil"/>
            </w:tcBorders>
            <w:vAlign w:val="center"/>
          </w:tcPr>
          <w:p w14:paraId="0E3F870D" w14:textId="77777777" w:rsidR="002B4987" w:rsidRPr="00E95E3B" w:rsidRDefault="002B4987" w:rsidP="00D55D0B">
            <w:pPr>
              <w:pStyle w:val="TableText"/>
              <w:tabs>
                <w:tab w:val="left" w:pos="3306"/>
              </w:tabs>
              <w:jc w:val="right"/>
              <w:rPr>
                <w:rFonts w:cs="Calibri"/>
                <w:b/>
              </w:rPr>
            </w:pPr>
          </w:p>
        </w:tc>
        <w:tc>
          <w:tcPr>
            <w:tcW w:w="1196" w:type="dxa"/>
            <w:gridSpan w:val="2"/>
            <w:tcBorders>
              <w:top w:val="nil"/>
              <w:left w:val="nil"/>
              <w:bottom w:val="nil"/>
              <w:right w:val="nil"/>
            </w:tcBorders>
            <w:vAlign w:val="center"/>
          </w:tcPr>
          <w:p w14:paraId="362CB791" w14:textId="77777777" w:rsidR="002B4987" w:rsidRPr="00E95E3B" w:rsidRDefault="002B4987" w:rsidP="00D55D0B">
            <w:pPr>
              <w:pStyle w:val="TableText"/>
              <w:tabs>
                <w:tab w:val="left" w:pos="3306"/>
              </w:tabs>
              <w:jc w:val="right"/>
              <w:rPr>
                <w:rFonts w:cs="Calibri"/>
                <w:b/>
              </w:rPr>
            </w:pPr>
          </w:p>
        </w:tc>
        <w:tc>
          <w:tcPr>
            <w:tcW w:w="1213" w:type="dxa"/>
            <w:tcBorders>
              <w:top w:val="nil"/>
              <w:left w:val="nil"/>
              <w:bottom w:val="nil"/>
              <w:right w:val="nil"/>
            </w:tcBorders>
            <w:vAlign w:val="center"/>
          </w:tcPr>
          <w:p w14:paraId="6C8B1834" w14:textId="77777777" w:rsidR="002B4987" w:rsidRPr="00E95E3B" w:rsidRDefault="002B4987" w:rsidP="00D55D0B">
            <w:pPr>
              <w:pStyle w:val="TableText"/>
              <w:tabs>
                <w:tab w:val="left" w:pos="3306"/>
              </w:tabs>
              <w:jc w:val="right"/>
              <w:rPr>
                <w:rFonts w:cs="Calibri"/>
                <w:b/>
              </w:rPr>
            </w:pPr>
          </w:p>
        </w:tc>
      </w:tr>
      <w:tr w:rsidR="00827474" w:rsidRPr="00CF7E1B" w14:paraId="05082392" w14:textId="77777777" w:rsidTr="00AE2F99">
        <w:trPr>
          <w:cantSplit/>
          <w:trHeight w:val="23"/>
        </w:trPr>
        <w:tc>
          <w:tcPr>
            <w:tcW w:w="1558" w:type="dxa"/>
            <w:tcBorders>
              <w:top w:val="nil"/>
              <w:left w:val="single" w:sz="2" w:space="0" w:color="auto"/>
              <w:bottom w:val="nil"/>
              <w:right w:val="single" w:sz="2" w:space="0" w:color="auto"/>
            </w:tcBorders>
          </w:tcPr>
          <w:p w14:paraId="50C09268" w14:textId="77777777" w:rsidR="00C5789C" w:rsidRPr="00E95E3B" w:rsidRDefault="00C5789C" w:rsidP="00C5789C">
            <w:pPr>
              <w:pStyle w:val="TableReference"/>
              <w:tabs>
                <w:tab w:val="left" w:pos="3306"/>
              </w:tabs>
              <w:spacing w:before="40"/>
              <w:rPr>
                <w:rFonts w:cs="Calibri"/>
                <w:color w:val="7030A0"/>
                <w:sz w:val="14"/>
              </w:rPr>
            </w:pPr>
            <w:r w:rsidRPr="00E95E3B">
              <w:rPr>
                <w:rFonts w:cs="Calibri"/>
                <w:color w:val="7030A0"/>
                <w:sz w:val="14"/>
              </w:rPr>
              <w:t>AASB 116</w:t>
            </w:r>
            <w:r w:rsidR="00D65811" w:rsidRPr="00E95E3B">
              <w:rPr>
                <w:rFonts w:cs="Calibri"/>
                <w:color w:val="7030A0"/>
                <w:sz w:val="14"/>
              </w:rPr>
              <w:t>.</w:t>
            </w:r>
            <w:r w:rsidRPr="00E95E3B">
              <w:rPr>
                <w:rFonts w:cs="Calibri"/>
                <w:color w:val="7030A0"/>
                <w:sz w:val="14"/>
              </w:rPr>
              <w:t>73</w:t>
            </w:r>
            <w:r w:rsidR="00D001B7" w:rsidRPr="00E95E3B">
              <w:rPr>
                <w:rFonts w:cs="Calibri"/>
                <w:color w:val="7030A0"/>
                <w:sz w:val="14"/>
              </w:rPr>
              <w:t>(</w:t>
            </w:r>
            <w:r w:rsidRPr="00E95E3B">
              <w:rPr>
                <w:rFonts w:cs="Calibri"/>
                <w:color w:val="7030A0"/>
                <w:sz w:val="14"/>
              </w:rPr>
              <w:t>e)</w:t>
            </w:r>
          </w:p>
          <w:p w14:paraId="06BD7295" w14:textId="77777777" w:rsidR="00A67B77" w:rsidRPr="00E95E3B" w:rsidRDefault="00C5789C" w:rsidP="00C5789C">
            <w:pPr>
              <w:pStyle w:val="TableReference"/>
              <w:tabs>
                <w:tab w:val="left" w:pos="3306"/>
              </w:tabs>
              <w:spacing w:before="60"/>
              <w:rPr>
                <w:rFonts w:cs="Calibri"/>
                <w:color w:val="7030A0"/>
                <w:sz w:val="14"/>
              </w:rPr>
            </w:pPr>
            <w:r w:rsidRPr="00E95E3B">
              <w:rPr>
                <w:rFonts w:cs="Calibri"/>
                <w:color w:val="7030A0"/>
                <w:sz w:val="14"/>
              </w:rPr>
              <w:t>AASB 138</w:t>
            </w:r>
            <w:r w:rsidR="00D65811" w:rsidRPr="00E95E3B">
              <w:rPr>
                <w:rFonts w:cs="Calibri"/>
                <w:color w:val="7030A0"/>
                <w:sz w:val="14"/>
              </w:rPr>
              <w:t>.</w:t>
            </w:r>
            <w:r w:rsidRPr="00E95E3B">
              <w:rPr>
                <w:rFonts w:cs="Calibri"/>
                <w:color w:val="7030A0"/>
                <w:sz w:val="14"/>
              </w:rPr>
              <w:t>118</w:t>
            </w:r>
            <w:r w:rsidR="00D001B7" w:rsidRPr="00E95E3B">
              <w:rPr>
                <w:rFonts w:cs="Calibri"/>
                <w:color w:val="7030A0"/>
                <w:sz w:val="14"/>
              </w:rPr>
              <w:t>(</w:t>
            </w:r>
            <w:r w:rsidRPr="00E95E3B">
              <w:rPr>
                <w:rFonts w:cs="Calibri"/>
                <w:color w:val="7030A0"/>
                <w:sz w:val="14"/>
              </w:rPr>
              <w:t>e)</w:t>
            </w:r>
          </w:p>
        </w:tc>
        <w:tc>
          <w:tcPr>
            <w:tcW w:w="6944" w:type="dxa"/>
            <w:tcBorders>
              <w:top w:val="nil"/>
              <w:left w:val="single" w:sz="2" w:space="0" w:color="auto"/>
              <w:bottom w:val="nil"/>
              <w:right w:val="nil"/>
            </w:tcBorders>
            <w:vAlign w:val="bottom"/>
          </w:tcPr>
          <w:p w14:paraId="2CE16697" w14:textId="5457C109" w:rsidR="00A67B77" w:rsidRPr="00E95E3B" w:rsidRDefault="00A67B77" w:rsidP="00D64D1D">
            <w:pPr>
              <w:pStyle w:val="TableText"/>
              <w:tabs>
                <w:tab w:val="left" w:pos="3306"/>
              </w:tabs>
              <w:rPr>
                <w:rFonts w:cs="Calibri"/>
                <w:b/>
              </w:rPr>
            </w:pPr>
            <w:r w:rsidRPr="00E95E3B">
              <w:rPr>
                <w:rFonts w:cs="Calibri"/>
                <w:b/>
              </w:rPr>
              <w:t>Carrying Amount</w:t>
            </w:r>
            <w:r w:rsidR="002B4987" w:rsidRPr="00E95E3B">
              <w:rPr>
                <w:rFonts w:cs="Calibri"/>
                <w:b/>
              </w:rPr>
              <w:t xml:space="preserve"> at the </w:t>
            </w:r>
            <w:r w:rsidRPr="00E95E3B">
              <w:rPr>
                <w:rFonts w:cs="Calibri"/>
                <w:b/>
              </w:rPr>
              <w:t xml:space="preserve">Beginning of </w:t>
            </w:r>
            <w:r w:rsidR="002B4987" w:rsidRPr="00E95E3B">
              <w:rPr>
                <w:rFonts w:cs="Calibri"/>
                <w:b/>
              </w:rPr>
              <w:t xml:space="preserve">the </w:t>
            </w:r>
            <w:r w:rsidRPr="00E95E3B">
              <w:rPr>
                <w:rFonts w:cs="Calibri"/>
                <w:b/>
              </w:rPr>
              <w:t>Reporting Period</w:t>
            </w:r>
          </w:p>
        </w:tc>
        <w:tc>
          <w:tcPr>
            <w:tcW w:w="1666" w:type="dxa"/>
            <w:gridSpan w:val="2"/>
            <w:tcBorders>
              <w:top w:val="nil"/>
              <w:left w:val="nil"/>
              <w:bottom w:val="nil"/>
              <w:right w:val="nil"/>
            </w:tcBorders>
            <w:vAlign w:val="bottom"/>
          </w:tcPr>
          <w:p w14:paraId="5E298BFD" w14:textId="4CAEEA71" w:rsidR="00A67B77" w:rsidRPr="00E95E3B" w:rsidRDefault="00A67B77" w:rsidP="00C5789C">
            <w:pPr>
              <w:pStyle w:val="TableText"/>
              <w:tabs>
                <w:tab w:val="left" w:pos="3306"/>
              </w:tabs>
              <w:jc w:val="right"/>
              <w:rPr>
                <w:rFonts w:cs="Calibri"/>
              </w:rPr>
            </w:pPr>
          </w:p>
        </w:tc>
        <w:tc>
          <w:tcPr>
            <w:tcW w:w="1494" w:type="dxa"/>
            <w:gridSpan w:val="2"/>
            <w:tcBorders>
              <w:top w:val="nil"/>
              <w:left w:val="nil"/>
              <w:bottom w:val="nil"/>
              <w:right w:val="nil"/>
            </w:tcBorders>
            <w:vAlign w:val="bottom"/>
          </w:tcPr>
          <w:p w14:paraId="7AEC60A4" w14:textId="30F1F0C8" w:rsidR="00A67B77" w:rsidRPr="00E95E3B" w:rsidRDefault="00A67B77" w:rsidP="00C5789C">
            <w:pPr>
              <w:pStyle w:val="TableText"/>
              <w:tabs>
                <w:tab w:val="left" w:pos="3306"/>
              </w:tabs>
              <w:jc w:val="right"/>
              <w:rPr>
                <w:rFonts w:cs="Calibri"/>
              </w:rPr>
            </w:pPr>
          </w:p>
        </w:tc>
        <w:tc>
          <w:tcPr>
            <w:tcW w:w="1378" w:type="dxa"/>
            <w:tcBorders>
              <w:top w:val="nil"/>
              <w:left w:val="nil"/>
              <w:bottom w:val="nil"/>
              <w:right w:val="nil"/>
            </w:tcBorders>
            <w:vAlign w:val="bottom"/>
          </w:tcPr>
          <w:p w14:paraId="59447DD2" w14:textId="67227BBD" w:rsidR="00A67B77" w:rsidRPr="00E95E3B" w:rsidRDefault="00A67B77" w:rsidP="00C5789C">
            <w:pPr>
              <w:pStyle w:val="TableText"/>
              <w:tabs>
                <w:tab w:val="left" w:pos="3306"/>
              </w:tabs>
              <w:jc w:val="right"/>
              <w:rPr>
                <w:rFonts w:cs="Calibri"/>
              </w:rPr>
            </w:pPr>
          </w:p>
        </w:tc>
        <w:tc>
          <w:tcPr>
            <w:tcW w:w="1196" w:type="dxa"/>
            <w:gridSpan w:val="2"/>
            <w:tcBorders>
              <w:top w:val="nil"/>
              <w:left w:val="nil"/>
              <w:bottom w:val="nil"/>
              <w:right w:val="nil"/>
            </w:tcBorders>
            <w:vAlign w:val="bottom"/>
          </w:tcPr>
          <w:p w14:paraId="339BC013" w14:textId="56005DFC" w:rsidR="00A67B77" w:rsidRPr="00E95E3B" w:rsidRDefault="00A67B77" w:rsidP="00C5789C">
            <w:pPr>
              <w:pStyle w:val="TableText"/>
              <w:tabs>
                <w:tab w:val="left" w:pos="3306"/>
              </w:tabs>
              <w:jc w:val="right"/>
              <w:rPr>
                <w:rFonts w:cs="Calibri"/>
              </w:rPr>
            </w:pPr>
          </w:p>
        </w:tc>
        <w:tc>
          <w:tcPr>
            <w:tcW w:w="1213" w:type="dxa"/>
            <w:tcBorders>
              <w:top w:val="nil"/>
              <w:left w:val="nil"/>
              <w:bottom w:val="nil"/>
              <w:right w:val="nil"/>
            </w:tcBorders>
            <w:vAlign w:val="bottom"/>
          </w:tcPr>
          <w:p w14:paraId="79246A1F" w14:textId="66333836" w:rsidR="00A67B77" w:rsidRPr="00E95E3B" w:rsidRDefault="00A67B77" w:rsidP="00C5789C">
            <w:pPr>
              <w:pStyle w:val="TableText"/>
              <w:tabs>
                <w:tab w:val="left" w:pos="3306"/>
              </w:tabs>
              <w:jc w:val="right"/>
              <w:rPr>
                <w:rFonts w:cs="Calibri"/>
              </w:rPr>
            </w:pPr>
          </w:p>
        </w:tc>
      </w:tr>
      <w:tr w:rsidR="00827474" w:rsidRPr="00CF7E1B" w14:paraId="7CB1E820" w14:textId="77777777" w:rsidTr="00AE2F99">
        <w:trPr>
          <w:cantSplit/>
          <w:trHeight w:val="23"/>
        </w:trPr>
        <w:tc>
          <w:tcPr>
            <w:tcW w:w="1558" w:type="dxa"/>
            <w:tcBorders>
              <w:top w:val="nil"/>
              <w:left w:val="single" w:sz="2" w:space="0" w:color="auto"/>
              <w:bottom w:val="nil"/>
              <w:right w:val="single" w:sz="2" w:space="0" w:color="auto"/>
            </w:tcBorders>
          </w:tcPr>
          <w:p w14:paraId="244958B4" w14:textId="77777777" w:rsidR="00C5789C" w:rsidRPr="00E95E3B" w:rsidRDefault="00C5789C" w:rsidP="00C5789C">
            <w:pPr>
              <w:pStyle w:val="TableReference"/>
              <w:tabs>
                <w:tab w:val="left" w:pos="3306"/>
              </w:tabs>
              <w:spacing w:before="40"/>
              <w:rPr>
                <w:rFonts w:cs="Calibri"/>
                <w:color w:val="7030A0"/>
                <w:sz w:val="14"/>
              </w:rPr>
            </w:pPr>
            <w:r w:rsidRPr="00E95E3B">
              <w:rPr>
                <w:rFonts w:cs="Calibri"/>
                <w:color w:val="7030A0"/>
                <w:sz w:val="14"/>
              </w:rPr>
              <w:t>AASB 116</w:t>
            </w:r>
            <w:r w:rsidR="00D65811" w:rsidRPr="00E95E3B">
              <w:rPr>
                <w:rFonts w:cs="Calibri"/>
                <w:color w:val="7030A0"/>
                <w:sz w:val="14"/>
              </w:rPr>
              <w:t>.</w:t>
            </w:r>
            <w:r w:rsidRPr="00E95E3B">
              <w:rPr>
                <w:rFonts w:cs="Calibri"/>
                <w:color w:val="7030A0"/>
                <w:sz w:val="14"/>
              </w:rPr>
              <w:t>73</w:t>
            </w:r>
            <w:r w:rsidR="00D001B7" w:rsidRPr="00E95E3B">
              <w:rPr>
                <w:rFonts w:cs="Calibri"/>
                <w:color w:val="7030A0"/>
                <w:sz w:val="14"/>
              </w:rPr>
              <w:t>(</w:t>
            </w:r>
            <w:r w:rsidRPr="00E95E3B">
              <w:rPr>
                <w:rFonts w:cs="Calibri"/>
                <w:color w:val="7030A0"/>
                <w:sz w:val="14"/>
              </w:rPr>
              <w:t>e)</w:t>
            </w:r>
            <w:r w:rsidR="00D001B7" w:rsidRPr="00E95E3B">
              <w:rPr>
                <w:rFonts w:cs="Calibri"/>
                <w:color w:val="7030A0"/>
                <w:sz w:val="14"/>
              </w:rPr>
              <w:t>(</w:t>
            </w:r>
            <w:r w:rsidRPr="00E95E3B">
              <w:rPr>
                <w:rFonts w:cs="Calibri"/>
                <w:color w:val="7030A0"/>
                <w:sz w:val="14"/>
              </w:rPr>
              <w:t>i)</w:t>
            </w:r>
          </w:p>
          <w:p w14:paraId="2CDCC1DD" w14:textId="77777777" w:rsidR="00A67B77" w:rsidRPr="00E95E3B" w:rsidRDefault="00C5789C" w:rsidP="00C5789C">
            <w:pPr>
              <w:pStyle w:val="TableReference"/>
              <w:tabs>
                <w:tab w:val="left" w:pos="3306"/>
              </w:tabs>
              <w:spacing w:before="40"/>
              <w:rPr>
                <w:rFonts w:cs="Calibri"/>
                <w:color w:val="7030A0"/>
                <w:sz w:val="14"/>
              </w:rPr>
            </w:pPr>
            <w:r w:rsidRPr="00E95E3B">
              <w:rPr>
                <w:rFonts w:cs="Calibri"/>
                <w:color w:val="7030A0"/>
                <w:sz w:val="14"/>
              </w:rPr>
              <w:t>AASB 138</w:t>
            </w:r>
            <w:r w:rsidR="00D65811" w:rsidRPr="00E95E3B">
              <w:rPr>
                <w:rFonts w:cs="Calibri"/>
                <w:color w:val="7030A0"/>
                <w:sz w:val="14"/>
              </w:rPr>
              <w:t>.</w:t>
            </w:r>
            <w:r w:rsidRPr="00E95E3B">
              <w:rPr>
                <w:rFonts w:cs="Calibri"/>
                <w:color w:val="7030A0"/>
                <w:sz w:val="14"/>
              </w:rPr>
              <w:t>118</w:t>
            </w:r>
            <w:r w:rsidR="00D001B7" w:rsidRPr="00E95E3B">
              <w:rPr>
                <w:rFonts w:cs="Calibri"/>
                <w:color w:val="7030A0"/>
                <w:sz w:val="14"/>
              </w:rPr>
              <w:t>(</w:t>
            </w:r>
            <w:r w:rsidRPr="00E95E3B">
              <w:rPr>
                <w:rFonts w:cs="Calibri"/>
                <w:color w:val="7030A0"/>
                <w:sz w:val="14"/>
              </w:rPr>
              <w:t>e)</w:t>
            </w:r>
            <w:r w:rsidR="00D001B7" w:rsidRPr="00E95E3B">
              <w:rPr>
                <w:rFonts w:cs="Calibri"/>
                <w:color w:val="7030A0"/>
                <w:sz w:val="14"/>
              </w:rPr>
              <w:t>(</w:t>
            </w:r>
            <w:r w:rsidRPr="00E95E3B">
              <w:rPr>
                <w:rFonts w:cs="Calibri"/>
                <w:color w:val="7030A0"/>
                <w:sz w:val="14"/>
              </w:rPr>
              <w:t>i)</w:t>
            </w:r>
          </w:p>
        </w:tc>
        <w:tc>
          <w:tcPr>
            <w:tcW w:w="6944" w:type="dxa"/>
            <w:tcBorders>
              <w:top w:val="nil"/>
              <w:left w:val="single" w:sz="2" w:space="0" w:color="auto"/>
              <w:bottom w:val="nil"/>
              <w:right w:val="nil"/>
            </w:tcBorders>
            <w:vAlign w:val="center"/>
          </w:tcPr>
          <w:p w14:paraId="2C061846" w14:textId="77777777" w:rsidR="00A67B77" w:rsidRPr="00E95E3B" w:rsidRDefault="00A67B77" w:rsidP="002B4987">
            <w:pPr>
              <w:pStyle w:val="TableText"/>
              <w:tabs>
                <w:tab w:val="left" w:pos="3306"/>
              </w:tabs>
              <w:rPr>
                <w:rFonts w:cs="Calibri"/>
              </w:rPr>
            </w:pPr>
            <w:r w:rsidRPr="00E95E3B">
              <w:rPr>
                <w:rFonts w:cs="Calibri"/>
              </w:rPr>
              <w:t>Additions</w:t>
            </w:r>
          </w:p>
        </w:tc>
        <w:tc>
          <w:tcPr>
            <w:tcW w:w="1666" w:type="dxa"/>
            <w:gridSpan w:val="2"/>
            <w:tcBorders>
              <w:top w:val="nil"/>
              <w:left w:val="nil"/>
              <w:bottom w:val="nil"/>
              <w:right w:val="nil"/>
            </w:tcBorders>
            <w:vAlign w:val="bottom"/>
          </w:tcPr>
          <w:p w14:paraId="00DDF8DF" w14:textId="0A4EA3C4" w:rsidR="00A67B77" w:rsidRPr="00E95E3B" w:rsidRDefault="00A67B77" w:rsidP="00C5789C">
            <w:pPr>
              <w:pStyle w:val="TableText"/>
              <w:tabs>
                <w:tab w:val="left" w:pos="3306"/>
              </w:tabs>
              <w:jc w:val="right"/>
              <w:rPr>
                <w:rFonts w:cs="Calibri"/>
              </w:rPr>
            </w:pPr>
          </w:p>
        </w:tc>
        <w:tc>
          <w:tcPr>
            <w:tcW w:w="1494" w:type="dxa"/>
            <w:gridSpan w:val="2"/>
            <w:tcBorders>
              <w:top w:val="nil"/>
              <w:left w:val="nil"/>
              <w:bottom w:val="nil"/>
              <w:right w:val="nil"/>
            </w:tcBorders>
            <w:vAlign w:val="bottom"/>
          </w:tcPr>
          <w:p w14:paraId="5EA12268" w14:textId="4CE863EF" w:rsidR="00A67B77" w:rsidRPr="00E95E3B" w:rsidRDefault="00A67B77" w:rsidP="00C5789C">
            <w:pPr>
              <w:pStyle w:val="TableText"/>
              <w:tabs>
                <w:tab w:val="left" w:pos="3306"/>
              </w:tabs>
              <w:jc w:val="right"/>
              <w:rPr>
                <w:rFonts w:cs="Calibri"/>
              </w:rPr>
            </w:pPr>
          </w:p>
        </w:tc>
        <w:tc>
          <w:tcPr>
            <w:tcW w:w="1378" w:type="dxa"/>
            <w:tcBorders>
              <w:top w:val="nil"/>
              <w:left w:val="nil"/>
              <w:bottom w:val="nil"/>
              <w:right w:val="nil"/>
            </w:tcBorders>
            <w:vAlign w:val="bottom"/>
          </w:tcPr>
          <w:p w14:paraId="66B1CDBE" w14:textId="6F87EEFD" w:rsidR="00A67B77" w:rsidRPr="00E95E3B" w:rsidRDefault="00A67B77" w:rsidP="00C5789C">
            <w:pPr>
              <w:pStyle w:val="TableText"/>
              <w:tabs>
                <w:tab w:val="left" w:pos="3306"/>
              </w:tabs>
              <w:jc w:val="right"/>
              <w:rPr>
                <w:rFonts w:cs="Calibri"/>
              </w:rPr>
            </w:pPr>
          </w:p>
        </w:tc>
        <w:tc>
          <w:tcPr>
            <w:tcW w:w="1196" w:type="dxa"/>
            <w:gridSpan w:val="2"/>
            <w:tcBorders>
              <w:top w:val="nil"/>
              <w:left w:val="nil"/>
              <w:bottom w:val="nil"/>
              <w:right w:val="nil"/>
            </w:tcBorders>
            <w:vAlign w:val="bottom"/>
          </w:tcPr>
          <w:p w14:paraId="4E2ECEC9" w14:textId="518B7EAF" w:rsidR="00A67B77" w:rsidRPr="00E95E3B" w:rsidRDefault="00A67B77" w:rsidP="00C5789C">
            <w:pPr>
              <w:pStyle w:val="TableText"/>
              <w:tabs>
                <w:tab w:val="left" w:pos="3306"/>
              </w:tabs>
              <w:jc w:val="right"/>
              <w:rPr>
                <w:rFonts w:cs="Calibri"/>
              </w:rPr>
            </w:pPr>
          </w:p>
        </w:tc>
        <w:tc>
          <w:tcPr>
            <w:tcW w:w="1213" w:type="dxa"/>
            <w:tcBorders>
              <w:top w:val="nil"/>
              <w:left w:val="nil"/>
              <w:bottom w:val="nil"/>
              <w:right w:val="nil"/>
            </w:tcBorders>
            <w:vAlign w:val="bottom"/>
          </w:tcPr>
          <w:p w14:paraId="74BFC9E9" w14:textId="6D64DD52" w:rsidR="00A67B77" w:rsidRPr="00E95E3B" w:rsidRDefault="00A67B77" w:rsidP="00C5789C">
            <w:pPr>
              <w:pStyle w:val="TableText"/>
              <w:tabs>
                <w:tab w:val="left" w:pos="3306"/>
              </w:tabs>
              <w:jc w:val="right"/>
              <w:rPr>
                <w:rFonts w:cs="Calibri"/>
              </w:rPr>
            </w:pPr>
          </w:p>
        </w:tc>
      </w:tr>
      <w:tr w:rsidR="00827474" w:rsidRPr="00CF7E1B" w14:paraId="60BB8D7B" w14:textId="77777777" w:rsidTr="00AE2F99">
        <w:trPr>
          <w:cantSplit/>
          <w:trHeight w:val="23"/>
        </w:trPr>
        <w:tc>
          <w:tcPr>
            <w:tcW w:w="1558" w:type="dxa"/>
            <w:tcBorders>
              <w:top w:val="nil"/>
              <w:left w:val="single" w:sz="2" w:space="0" w:color="auto"/>
              <w:bottom w:val="nil"/>
              <w:right w:val="single" w:sz="2" w:space="0" w:color="auto"/>
            </w:tcBorders>
          </w:tcPr>
          <w:p w14:paraId="502316D3" w14:textId="77777777" w:rsidR="00A67B77" w:rsidRPr="00E95E3B" w:rsidRDefault="00C5789C" w:rsidP="00C5789C">
            <w:pPr>
              <w:pStyle w:val="TableReference"/>
              <w:tabs>
                <w:tab w:val="left" w:pos="3306"/>
              </w:tabs>
              <w:spacing w:before="40"/>
              <w:rPr>
                <w:rFonts w:cs="Calibri"/>
                <w:color w:val="7030A0"/>
                <w:sz w:val="14"/>
              </w:rPr>
            </w:pPr>
            <w:r w:rsidRPr="00E95E3B">
              <w:rPr>
                <w:rFonts w:cs="Calibri"/>
                <w:color w:val="7030A0"/>
                <w:sz w:val="14"/>
              </w:rPr>
              <w:t>AASB 116</w:t>
            </w:r>
            <w:r w:rsidR="00D65811" w:rsidRPr="00E95E3B">
              <w:rPr>
                <w:rFonts w:cs="Calibri"/>
                <w:color w:val="7030A0"/>
                <w:sz w:val="14"/>
              </w:rPr>
              <w:t>.</w:t>
            </w:r>
            <w:r w:rsidRPr="00E95E3B">
              <w:rPr>
                <w:rFonts w:cs="Calibri"/>
                <w:color w:val="7030A0"/>
                <w:sz w:val="14"/>
              </w:rPr>
              <w:t>73</w:t>
            </w:r>
            <w:r w:rsidR="00D001B7" w:rsidRPr="00E95E3B">
              <w:rPr>
                <w:rFonts w:cs="Calibri"/>
                <w:color w:val="7030A0"/>
                <w:sz w:val="14"/>
              </w:rPr>
              <w:t>(</w:t>
            </w:r>
            <w:r w:rsidRPr="00E95E3B">
              <w:rPr>
                <w:rFonts w:cs="Calibri"/>
                <w:color w:val="7030A0"/>
                <w:sz w:val="14"/>
              </w:rPr>
              <w:t>e)</w:t>
            </w:r>
            <w:r w:rsidR="00D001B7" w:rsidRPr="00E95E3B">
              <w:rPr>
                <w:rFonts w:cs="Calibri"/>
                <w:color w:val="7030A0"/>
                <w:sz w:val="14"/>
              </w:rPr>
              <w:t>(</w:t>
            </w:r>
            <w:r w:rsidRPr="00E95E3B">
              <w:rPr>
                <w:rFonts w:cs="Calibri"/>
                <w:color w:val="7030A0"/>
                <w:sz w:val="14"/>
              </w:rPr>
              <w:t>ix)</w:t>
            </w:r>
          </w:p>
        </w:tc>
        <w:tc>
          <w:tcPr>
            <w:tcW w:w="6944" w:type="dxa"/>
            <w:tcBorders>
              <w:top w:val="nil"/>
              <w:left w:val="single" w:sz="2" w:space="0" w:color="auto"/>
              <w:bottom w:val="nil"/>
              <w:right w:val="nil"/>
            </w:tcBorders>
            <w:vAlign w:val="bottom"/>
          </w:tcPr>
          <w:p w14:paraId="6D2F7896" w14:textId="77777777" w:rsidR="00A67B77" w:rsidRPr="00E95E3B" w:rsidRDefault="00A67B77" w:rsidP="00C5789C">
            <w:pPr>
              <w:pStyle w:val="TableText"/>
              <w:tabs>
                <w:tab w:val="left" w:pos="3306"/>
              </w:tabs>
              <w:rPr>
                <w:rFonts w:cs="Calibri"/>
              </w:rPr>
            </w:pPr>
            <w:r w:rsidRPr="00E95E3B">
              <w:rPr>
                <w:rFonts w:cs="Calibri"/>
              </w:rPr>
              <w:t>Capital Works in Progre</w:t>
            </w:r>
            <w:r w:rsidR="00266DC5" w:rsidRPr="00E95E3B">
              <w:rPr>
                <w:rFonts w:cs="Calibri"/>
              </w:rPr>
              <w:t>ss Completed and Transferred</w:t>
            </w:r>
            <w:r w:rsidRPr="00E95E3B">
              <w:rPr>
                <w:rFonts w:cs="Calibri"/>
              </w:rPr>
              <w:t xml:space="preserve"> to Property, Plant and Equipment</w:t>
            </w:r>
          </w:p>
        </w:tc>
        <w:tc>
          <w:tcPr>
            <w:tcW w:w="1666" w:type="dxa"/>
            <w:gridSpan w:val="2"/>
            <w:tcBorders>
              <w:top w:val="nil"/>
              <w:left w:val="nil"/>
              <w:bottom w:val="nil"/>
              <w:right w:val="nil"/>
            </w:tcBorders>
            <w:vAlign w:val="bottom"/>
          </w:tcPr>
          <w:p w14:paraId="51320DD3" w14:textId="1D9BC8C5" w:rsidR="00A67B77" w:rsidRPr="00E95E3B" w:rsidRDefault="00A67B77" w:rsidP="00C5789C">
            <w:pPr>
              <w:pStyle w:val="TableText"/>
              <w:tabs>
                <w:tab w:val="left" w:pos="3306"/>
              </w:tabs>
              <w:jc w:val="right"/>
              <w:rPr>
                <w:rFonts w:cs="Calibri"/>
              </w:rPr>
            </w:pPr>
          </w:p>
        </w:tc>
        <w:tc>
          <w:tcPr>
            <w:tcW w:w="1494" w:type="dxa"/>
            <w:gridSpan w:val="2"/>
            <w:tcBorders>
              <w:top w:val="nil"/>
              <w:left w:val="nil"/>
              <w:bottom w:val="nil"/>
              <w:right w:val="nil"/>
            </w:tcBorders>
            <w:vAlign w:val="bottom"/>
          </w:tcPr>
          <w:p w14:paraId="084930E5" w14:textId="61693ED1" w:rsidR="00A67B77" w:rsidRPr="00E95E3B" w:rsidRDefault="00A67B77" w:rsidP="00C5789C">
            <w:pPr>
              <w:pStyle w:val="TableText"/>
              <w:tabs>
                <w:tab w:val="left" w:pos="3306"/>
              </w:tabs>
              <w:jc w:val="right"/>
              <w:rPr>
                <w:rFonts w:cs="Calibri"/>
              </w:rPr>
            </w:pPr>
          </w:p>
        </w:tc>
        <w:tc>
          <w:tcPr>
            <w:tcW w:w="1378" w:type="dxa"/>
            <w:tcBorders>
              <w:top w:val="nil"/>
              <w:left w:val="nil"/>
              <w:bottom w:val="nil"/>
              <w:right w:val="nil"/>
            </w:tcBorders>
            <w:vAlign w:val="bottom"/>
          </w:tcPr>
          <w:p w14:paraId="7AE5817A" w14:textId="0B79F99A" w:rsidR="00A67B77" w:rsidRPr="00E95E3B" w:rsidRDefault="00A67B77" w:rsidP="00C5789C">
            <w:pPr>
              <w:pStyle w:val="TableText"/>
              <w:tabs>
                <w:tab w:val="left" w:pos="3306"/>
              </w:tabs>
              <w:jc w:val="right"/>
              <w:rPr>
                <w:rFonts w:cs="Calibri"/>
              </w:rPr>
            </w:pPr>
          </w:p>
        </w:tc>
        <w:tc>
          <w:tcPr>
            <w:tcW w:w="1196" w:type="dxa"/>
            <w:gridSpan w:val="2"/>
            <w:tcBorders>
              <w:top w:val="nil"/>
              <w:left w:val="nil"/>
              <w:bottom w:val="nil"/>
              <w:right w:val="nil"/>
            </w:tcBorders>
            <w:vAlign w:val="bottom"/>
          </w:tcPr>
          <w:p w14:paraId="51A51FAD" w14:textId="7A759249" w:rsidR="00A67B77" w:rsidRPr="00E95E3B" w:rsidRDefault="00A67B77" w:rsidP="00C5789C">
            <w:pPr>
              <w:pStyle w:val="TableText"/>
              <w:tabs>
                <w:tab w:val="left" w:pos="3306"/>
              </w:tabs>
              <w:jc w:val="right"/>
              <w:rPr>
                <w:rFonts w:cs="Calibri"/>
              </w:rPr>
            </w:pPr>
          </w:p>
        </w:tc>
        <w:tc>
          <w:tcPr>
            <w:tcW w:w="1213" w:type="dxa"/>
            <w:tcBorders>
              <w:top w:val="nil"/>
              <w:left w:val="nil"/>
              <w:bottom w:val="nil"/>
              <w:right w:val="nil"/>
            </w:tcBorders>
            <w:vAlign w:val="bottom"/>
          </w:tcPr>
          <w:p w14:paraId="46BD2184" w14:textId="05ED44D0" w:rsidR="00A67B77" w:rsidRPr="00E95E3B" w:rsidRDefault="00A67B77" w:rsidP="00C5789C">
            <w:pPr>
              <w:pStyle w:val="TableText"/>
              <w:tabs>
                <w:tab w:val="left" w:pos="3306"/>
              </w:tabs>
              <w:jc w:val="right"/>
              <w:rPr>
                <w:rFonts w:cs="Calibri"/>
              </w:rPr>
            </w:pPr>
          </w:p>
        </w:tc>
      </w:tr>
      <w:tr w:rsidR="00827474" w:rsidRPr="00CF7E1B" w14:paraId="5FC48ECB" w14:textId="77777777" w:rsidTr="00AE2F99">
        <w:trPr>
          <w:cantSplit/>
          <w:trHeight w:val="252"/>
        </w:trPr>
        <w:tc>
          <w:tcPr>
            <w:tcW w:w="1558" w:type="dxa"/>
            <w:tcBorders>
              <w:top w:val="nil"/>
              <w:left w:val="single" w:sz="2" w:space="0" w:color="auto"/>
              <w:bottom w:val="nil"/>
              <w:right w:val="single" w:sz="2" w:space="0" w:color="auto"/>
            </w:tcBorders>
          </w:tcPr>
          <w:p w14:paraId="162FA14C" w14:textId="77777777" w:rsidR="00A67B77" w:rsidRPr="00E95E3B" w:rsidRDefault="00C5789C" w:rsidP="002B4987">
            <w:pPr>
              <w:pStyle w:val="TableReference"/>
              <w:tabs>
                <w:tab w:val="left" w:pos="3306"/>
              </w:tabs>
              <w:spacing w:before="40"/>
              <w:rPr>
                <w:rFonts w:cs="Calibri"/>
                <w:color w:val="7030A0"/>
                <w:sz w:val="14"/>
              </w:rPr>
            </w:pPr>
            <w:r w:rsidRPr="00E95E3B">
              <w:rPr>
                <w:rFonts w:cs="Calibri"/>
                <w:color w:val="7030A0"/>
                <w:sz w:val="14"/>
              </w:rPr>
              <w:t>AASB 138</w:t>
            </w:r>
            <w:r w:rsidR="00D65811" w:rsidRPr="00E95E3B">
              <w:rPr>
                <w:rFonts w:cs="Calibri"/>
                <w:color w:val="7030A0"/>
                <w:sz w:val="14"/>
              </w:rPr>
              <w:t>.</w:t>
            </w:r>
            <w:r w:rsidRPr="00E95E3B">
              <w:rPr>
                <w:rFonts w:cs="Calibri"/>
                <w:color w:val="7030A0"/>
                <w:sz w:val="14"/>
              </w:rPr>
              <w:t>118</w:t>
            </w:r>
            <w:r w:rsidR="00D001B7" w:rsidRPr="00E95E3B">
              <w:rPr>
                <w:rFonts w:cs="Calibri"/>
                <w:color w:val="7030A0"/>
                <w:sz w:val="14"/>
              </w:rPr>
              <w:t>(</w:t>
            </w:r>
            <w:r w:rsidRPr="00E95E3B">
              <w:rPr>
                <w:rFonts w:cs="Calibri"/>
                <w:color w:val="7030A0"/>
                <w:sz w:val="14"/>
              </w:rPr>
              <w:t>e)</w:t>
            </w:r>
            <w:r w:rsidR="00D001B7" w:rsidRPr="00E95E3B">
              <w:rPr>
                <w:rFonts w:cs="Calibri"/>
                <w:color w:val="7030A0"/>
                <w:sz w:val="14"/>
              </w:rPr>
              <w:t>(</w:t>
            </w:r>
            <w:r w:rsidRPr="00E95E3B">
              <w:rPr>
                <w:rFonts w:cs="Calibri"/>
                <w:color w:val="7030A0"/>
                <w:sz w:val="14"/>
              </w:rPr>
              <w:t>viii)</w:t>
            </w:r>
          </w:p>
        </w:tc>
        <w:tc>
          <w:tcPr>
            <w:tcW w:w="6944" w:type="dxa"/>
            <w:tcBorders>
              <w:top w:val="nil"/>
              <w:left w:val="single" w:sz="2" w:space="0" w:color="auto"/>
              <w:bottom w:val="nil"/>
              <w:right w:val="nil"/>
            </w:tcBorders>
          </w:tcPr>
          <w:p w14:paraId="3C4B8C85" w14:textId="77777777" w:rsidR="00A67B77" w:rsidRPr="00E95E3B" w:rsidRDefault="00A67B77" w:rsidP="002B4987">
            <w:pPr>
              <w:pStyle w:val="TableText"/>
              <w:tabs>
                <w:tab w:val="left" w:pos="3306"/>
              </w:tabs>
              <w:rPr>
                <w:rFonts w:cs="Calibri"/>
              </w:rPr>
            </w:pPr>
            <w:r w:rsidRPr="00E95E3B">
              <w:rPr>
                <w:rFonts w:cs="Calibri"/>
              </w:rPr>
              <w:t>Capital Works in Progre</w:t>
            </w:r>
            <w:r w:rsidR="00266DC5" w:rsidRPr="00E95E3B">
              <w:rPr>
                <w:rFonts w:cs="Calibri"/>
              </w:rPr>
              <w:t>ss Completed and Transferred</w:t>
            </w:r>
            <w:r w:rsidRPr="00E95E3B">
              <w:rPr>
                <w:rFonts w:cs="Calibri"/>
              </w:rPr>
              <w:t xml:space="preserve"> to Intangible Assets</w:t>
            </w:r>
          </w:p>
        </w:tc>
        <w:tc>
          <w:tcPr>
            <w:tcW w:w="1666" w:type="dxa"/>
            <w:gridSpan w:val="2"/>
            <w:tcBorders>
              <w:top w:val="nil"/>
              <w:left w:val="nil"/>
              <w:bottom w:val="single" w:sz="2" w:space="0" w:color="auto"/>
              <w:right w:val="nil"/>
            </w:tcBorders>
          </w:tcPr>
          <w:p w14:paraId="395A8EBA" w14:textId="06E5B3BD" w:rsidR="00A67B77" w:rsidRPr="00E95E3B" w:rsidRDefault="00A67B77" w:rsidP="002B4987">
            <w:pPr>
              <w:pStyle w:val="TableText"/>
              <w:tabs>
                <w:tab w:val="left" w:pos="3306"/>
              </w:tabs>
              <w:rPr>
                <w:rFonts w:cs="Calibri"/>
              </w:rPr>
            </w:pPr>
          </w:p>
        </w:tc>
        <w:tc>
          <w:tcPr>
            <w:tcW w:w="1494" w:type="dxa"/>
            <w:gridSpan w:val="2"/>
            <w:tcBorders>
              <w:top w:val="nil"/>
              <w:left w:val="nil"/>
              <w:bottom w:val="single" w:sz="2" w:space="0" w:color="auto"/>
              <w:right w:val="nil"/>
            </w:tcBorders>
          </w:tcPr>
          <w:p w14:paraId="62224930" w14:textId="5E5891FE" w:rsidR="00A67B77" w:rsidRPr="00E95E3B" w:rsidRDefault="00A67B77" w:rsidP="002B4987">
            <w:pPr>
              <w:pStyle w:val="TableText"/>
              <w:tabs>
                <w:tab w:val="left" w:pos="3306"/>
              </w:tabs>
              <w:rPr>
                <w:rFonts w:cs="Calibri"/>
              </w:rPr>
            </w:pPr>
          </w:p>
        </w:tc>
        <w:tc>
          <w:tcPr>
            <w:tcW w:w="1378" w:type="dxa"/>
            <w:tcBorders>
              <w:top w:val="nil"/>
              <w:left w:val="nil"/>
              <w:bottom w:val="single" w:sz="2" w:space="0" w:color="auto"/>
              <w:right w:val="nil"/>
            </w:tcBorders>
          </w:tcPr>
          <w:p w14:paraId="585EAB8D" w14:textId="362902AE" w:rsidR="00A67B77" w:rsidRPr="00E95E3B" w:rsidRDefault="00A67B77" w:rsidP="002B4987">
            <w:pPr>
              <w:pStyle w:val="TableText"/>
              <w:tabs>
                <w:tab w:val="left" w:pos="3306"/>
              </w:tabs>
              <w:rPr>
                <w:rFonts w:cs="Calibri"/>
              </w:rPr>
            </w:pPr>
          </w:p>
        </w:tc>
        <w:tc>
          <w:tcPr>
            <w:tcW w:w="1196" w:type="dxa"/>
            <w:gridSpan w:val="2"/>
            <w:tcBorders>
              <w:top w:val="nil"/>
              <w:left w:val="nil"/>
              <w:bottom w:val="single" w:sz="2" w:space="0" w:color="auto"/>
              <w:right w:val="nil"/>
            </w:tcBorders>
          </w:tcPr>
          <w:p w14:paraId="42E81664" w14:textId="3AFDD033" w:rsidR="00A67B77" w:rsidRPr="00E95E3B" w:rsidRDefault="00A67B77" w:rsidP="002B4987">
            <w:pPr>
              <w:pStyle w:val="TableText"/>
              <w:tabs>
                <w:tab w:val="left" w:pos="3306"/>
              </w:tabs>
              <w:rPr>
                <w:rFonts w:cs="Calibri"/>
              </w:rPr>
            </w:pPr>
          </w:p>
        </w:tc>
        <w:tc>
          <w:tcPr>
            <w:tcW w:w="1213" w:type="dxa"/>
            <w:tcBorders>
              <w:top w:val="nil"/>
              <w:left w:val="nil"/>
              <w:bottom w:val="single" w:sz="2" w:space="0" w:color="auto"/>
              <w:right w:val="nil"/>
            </w:tcBorders>
          </w:tcPr>
          <w:p w14:paraId="5CAFCFD2" w14:textId="7C71F62B" w:rsidR="00A67B77" w:rsidRPr="00E95E3B" w:rsidRDefault="00A67B77" w:rsidP="002B4987">
            <w:pPr>
              <w:pStyle w:val="TableText"/>
              <w:tabs>
                <w:tab w:val="left" w:pos="3306"/>
              </w:tabs>
              <w:rPr>
                <w:rFonts w:cs="Calibri"/>
              </w:rPr>
            </w:pPr>
          </w:p>
        </w:tc>
      </w:tr>
      <w:tr w:rsidR="00827474" w:rsidRPr="00CF7E1B" w14:paraId="1C0BF71F" w14:textId="77777777" w:rsidTr="00AE2F99">
        <w:trPr>
          <w:cantSplit/>
          <w:trHeight w:val="23"/>
        </w:trPr>
        <w:tc>
          <w:tcPr>
            <w:tcW w:w="1558" w:type="dxa"/>
            <w:tcBorders>
              <w:top w:val="nil"/>
              <w:left w:val="single" w:sz="2" w:space="0" w:color="auto"/>
              <w:bottom w:val="nil"/>
              <w:right w:val="single" w:sz="2" w:space="0" w:color="auto"/>
            </w:tcBorders>
          </w:tcPr>
          <w:p w14:paraId="12A6E3FB" w14:textId="77777777" w:rsidR="00310BED" w:rsidRPr="00E95E3B" w:rsidRDefault="00310BED" w:rsidP="00310BED">
            <w:pPr>
              <w:pStyle w:val="TableReference"/>
              <w:tabs>
                <w:tab w:val="left" w:pos="3306"/>
              </w:tabs>
              <w:spacing w:before="40"/>
              <w:rPr>
                <w:rFonts w:cs="Calibri"/>
                <w:color w:val="7030A0"/>
                <w:sz w:val="14"/>
              </w:rPr>
            </w:pPr>
            <w:r w:rsidRPr="00E95E3B">
              <w:rPr>
                <w:rFonts w:cs="Calibri"/>
                <w:color w:val="7030A0"/>
                <w:sz w:val="14"/>
              </w:rPr>
              <w:t>AASB 116</w:t>
            </w:r>
            <w:r w:rsidR="00D65811" w:rsidRPr="00E95E3B">
              <w:rPr>
                <w:rFonts w:cs="Calibri"/>
                <w:color w:val="7030A0"/>
                <w:sz w:val="14"/>
              </w:rPr>
              <w:t>.</w:t>
            </w:r>
            <w:r w:rsidRPr="00E95E3B">
              <w:rPr>
                <w:rFonts w:cs="Calibri"/>
                <w:color w:val="7030A0"/>
                <w:sz w:val="14"/>
              </w:rPr>
              <w:t>73</w:t>
            </w:r>
            <w:r w:rsidR="00D001B7" w:rsidRPr="00E95E3B">
              <w:rPr>
                <w:rFonts w:cs="Calibri"/>
                <w:color w:val="7030A0"/>
                <w:sz w:val="14"/>
              </w:rPr>
              <w:t>(</w:t>
            </w:r>
            <w:r w:rsidRPr="00E95E3B">
              <w:rPr>
                <w:rFonts w:cs="Calibri"/>
                <w:color w:val="7030A0"/>
                <w:sz w:val="14"/>
              </w:rPr>
              <w:t>e)</w:t>
            </w:r>
          </w:p>
          <w:p w14:paraId="2784CCAE" w14:textId="06D2D930" w:rsidR="00A67B77" w:rsidRPr="00E95E3B" w:rsidRDefault="00310BED" w:rsidP="00310BED">
            <w:pPr>
              <w:pStyle w:val="TableReference"/>
              <w:tabs>
                <w:tab w:val="left" w:pos="3306"/>
              </w:tabs>
              <w:spacing w:before="40"/>
              <w:rPr>
                <w:rFonts w:cs="Calibri"/>
                <w:color w:val="7030A0"/>
                <w:sz w:val="14"/>
              </w:rPr>
            </w:pPr>
            <w:r w:rsidRPr="00E95E3B">
              <w:rPr>
                <w:rFonts w:cs="Calibri"/>
                <w:color w:val="7030A0"/>
                <w:sz w:val="14"/>
              </w:rPr>
              <w:t>AASB 138</w:t>
            </w:r>
            <w:r w:rsidR="00D65811" w:rsidRPr="00E95E3B">
              <w:rPr>
                <w:rFonts w:cs="Calibri"/>
                <w:color w:val="7030A0"/>
                <w:sz w:val="14"/>
              </w:rPr>
              <w:t>.</w:t>
            </w:r>
            <w:r w:rsidRPr="00E95E3B">
              <w:rPr>
                <w:rFonts w:cs="Calibri"/>
                <w:color w:val="7030A0"/>
                <w:sz w:val="14"/>
              </w:rPr>
              <w:t>118</w:t>
            </w:r>
            <w:r w:rsidR="00D001B7" w:rsidRPr="00E95E3B">
              <w:rPr>
                <w:rFonts w:cs="Calibri"/>
                <w:color w:val="7030A0"/>
                <w:sz w:val="14"/>
              </w:rPr>
              <w:t>(</w:t>
            </w:r>
            <w:r w:rsidRPr="00E95E3B">
              <w:rPr>
                <w:rFonts w:cs="Calibri"/>
                <w:color w:val="7030A0"/>
                <w:sz w:val="14"/>
              </w:rPr>
              <w:t>e)</w:t>
            </w:r>
            <w:r w:rsidR="00FA7C77">
              <w:rPr>
                <w:rFonts w:cs="Calibri"/>
                <w:color w:val="7030A0"/>
                <w:sz w:val="14"/>
              </w:rPr>
              <w:t xml:space="preserve"> </w:t>
            </w:r>
            <w:r w:rsidR="001E788B" w:rsidRPr="00E95E3B">
              <w:rPr>
                <w:rFonts w:cs="Calibri"/>
                <w:color w:val="7030A0"/>
                <w:sz w:val="14"/>
              </w:rPr>
              <w:t xml:space="preserve"> AASB 116.74(b)</w:t>
            </w:r>
          </w:p>
        </w:tc>
        <w:tc>
          <w:tcPr>
            <w:tcW w:w="6944" w:type="dxa"/>
            <w:tcBorders>
              <w:top w:val="nil"/>
              <w:left w:val="single" w:sz="2" w:space="0" w:color="auto"/>
              <w:bottom w:val="nil"/>
              <w:right w:val="nil"/>
            </w:tcBorders>
          </w:tcPr>
          <w:p w14:paraId="2CAD0767" w14:textId="77777777" w:rsidR="00A67B77" w:rsidRPr="00E95E3B" w:rsidRDefault="00A67B77" w:rsidP="002B4987">
            <w:pPr>
              <w:pStyle w:val="TableText"/>
              <w:tabs>
                <w:tab w:val="left" w:pos="3306"/>
              </w:tabs>
              <w:rPr>
                <w:rFonts w:cs="Calibri"/>
                <w:b/>
                <w:bCs/>
              </w:rPr>
            </w:pPr>
            <w:r w:rsidRPr="00E95E3B">
              <w:rPr>
                <w:rFonts w:cs="Calibri"/>
                <w:b/>
                <w:bCs/>
              </w:rPr>
              <w:t>Carrying Amount</w:t>
            </w:r>
            <w:r w:rsidR="00D64D1D" w:rsidRPr="00E95E3B">
              <w:rPr>
                <w:rFonts w:cs="Calibri"/>
                <w:b/>
                <w:bCs/>
              </w:rPr>
              <w:t xml:space="preserve"> at the </w:t>
            </w:r>
            <w:r w:rsidRPr="00E95E3B">
              <w:rPr>
                <w:rFonts w:cs="Calibri"/>
                <w:b/>
                <w:bCs/>
              </w:rPr>
              <w:t xml:space="preserve">End of </w:t>
            </w:r>
            <w:r w:rsidR="00FD692D" w:rsidRPr="00E95E3B">
              <w:rPr>
                <w:rFonts w:cs="Calibri"/>
                <w:b/>
                <w:bCs/>
              </w:rPr>
              <w:t xml:space="preserve">the </w:t>
            </w:r>
            <w:r w:rsidRPr="00E95E3B">
              <w:rPr>
                <w:rFonts w:cs="Calibri"/>
                <w:b/>
                <w:bCs/>
              </w:rPr>
              <w:t>Reporting Period</w:t>
            </w:r>
          </w:p>
        </w:tc>
        <w:tc>
          <w:tcPr>
            <w:tcW w:w="1666" w:type="dxa"/>
            <w:gridSpan w:val="2"/>
            <w:tcBorders>
              <w:top w:val="single" w:sz="2" w:space="0" w:color="auto"/>
              <w:left w:val="nil"/>
              <w:bottom w:val="double" w:sz="4" w:space="0" w:color="auto"/>
              <w:right w:val="nil"/>
            </w:tcBorders>
            <w:vAlign w:val="bottom"/>
          </w:tcPr>
          <w:p w14:paraId="0501CC3E" w14:textId="762FFD1C" w:rsidR="00A67B77" w:rsidRPr="00E95E3B" w:rsidRDefault="00A67B77" w:rsidP="00C5789C">
            <w:pPr>
              <w:pStyle w:val="TableText"/>
              <w:tabs>
                <w:tab w:val="left" w:pos="3306"/>
              </w:tabs>
              <w:jc w:val="right"/>
              <w:rPr>
                <w:rFonts w:cs="Calibri"/>
                <w:b/>
                <w:bCs/>
              </w:rPr>
            </w:pPr>
          </w:p>
        </w:tc>
        <w:tc>
          <w:tcPr>
            <w:tcW w:w="1494" w:type="dxa"/>
            <w:gridSpan w:val="2"/>
            <w:tcBorders>
              <w:top w:val="single" w:sz="2" w:space="0" w:color="auto"/>
              <w:left w:val="nil"/>
              <w:bottom w:val="double" w:sz="4" w:space="0" w:color="auto"/>
              <w:right w:val="nil"/>
            </w:tcBorders>
            <w:vAlign w:val="bottom"/>
          </w:tcPr>
          <w:p w14:paraId="3105277D" w14:textId="2FB2B755" w:rsidR="00A67B77" w:rsidRPr="00E95E3B" w:rsidRDefault="00A67B77" w:rsidP="00C5789C">
            <w:pPr>
              <w:pStyle w:val="TableText"/>
              <w:tabs>
                <w:tab w:val="left" w:pos="3306"/>
              </w:tabs>
              <w:jc w:val="right"/>
              <w:rPr>
                <w:rFonts w:cs="Calibri"/>
                <w:b/>
                <w:bCs/>
              </w:rPr>
            </w:pPr>
          </w:p>
        </w:tc>
        <w:tc>
          <w:tcPr>
            <w:tcW w:w="1378" w:type="dxa"/>
            <w:tcBorders>
              <w:top w:val="single" w:sz="2" w:space="0" w:color="auto"/>
              <w:left w:val="nil"/>
              <w:bottom w:val="double" w:sz="4" w:space="0" w:color="auto"/>
              <w:right w:val="nil"/>
            </w:tcBorders>
            <w:vAlign w:val="bottom"/>
          </w:tcPr>
          <w:p w14:paraId="2DC8AC65" w14:textId="2B7E84A0" w:rsidR="00A67B77" w:rsidRPr="00E95E3B" w:rsidRDefault="00A67B77" w:rsidP="00C5789C">
            <w:pPr>
              <w:pStyle w:val="TableText"/>
              <w:tabs>
                <w:tab w:val="left" w:pos="3306"/>
              </w:tabs>
              <w:jc w:val="right"/>
              <w:rPr>
                <w:rFonts w:cs="Calibri"/>
                <w:b/>
                <w:bCs/>
              </w:rPr>
            </w:pPr>
          </w:p>
        </w:tc>
        <w:tc>
          <w:tcPr>
            <w:tcW w:w="1196" w:type="dxa"/>
            <w:gridSpan w:val="2"/>
            <w:tcBorders>
              <w:top w:val="single" w:sz="2" w:space="0" w:color="auto"/>
              <w:left w:val="nil"/>
              <w:bottom w:val="double" w:sz="4" w:space="0" w:color="auto"/>
              <w:right w:val="nil"/>
            </w:tcBorders>
            <w:vAlign w:val="bottom"/>
          </w:tcPr>
          <w:p w14:paraId="068A6B32" w14:textId="1D5D9DE1" w:rsidR="00A67B77" w:rsidRPr="00E95E3B" w:rsidRDefault="00A67B77" w:rsidP="00C5789C">
            <w:pPr>
              <w:pStyle w:val="TableText"/>
              <w:tabs>
                <w:tab w:val="left" w:pos="3306"/>
              </w:tabs>
              <w:jc w:val="right"/>
              <w:rPr>
                <w:rFonts w:cs="Calibri"/>
                <w:b/>
                <w:bCs/>
              </w:rPr>
            </w:pPr>
          </w:p>
        </w:tc>
        <w:tc>
          <w:tcPr>
            <w:tcW w:w="1213" w:type="dxa"/>
            <w:tcBorders>
              <w:top w:val="single" w:sz="2" w:space="0" w:color="auto"/>
              <w:left w:val="nil"/>
              <w:bottom w:val="double" w:sz="4" w:space="0" w:color="auto"/>
              <w:right w:val="nil"/>
            </w:tcBorders>
            <w:vAlign w:val="bottom"/>
          </w:tcPr>
          <w:p w14:paraId="073F221A" w14:textId="352D13CE" w:rsidR="00A67B77" w:rsidRPr="00E95E3B" w:rsidRDefault="00A67B77" w:rsidP="00C5789C">
            <w:pPr>
              <w:pStyle w:val="TableText"/>
              <w:tabs>
                <w:tab w:val="left" w:pos="3306"/>
              </w:tabs>
              <w:jc w:val="right"/>
              <w:rPr>
                <w:rFonts w:cs="Calibri"/>
                <w:b/>
                <w:bCs/>
              </w:rPr>
            </w:pPr>
          </w:p>
        </w:tc>
      </w:tr>
      <w:tr w:rsidR="001E788B" w:rsidRPr="00CF7E1B" w14:paraId="3966E591" w14:textId="77777777" w:rsidTr="00AE2F99">
        <w:trPr>
          <w:cantSplit/>
          <w:trHeight w:val="23"/>
        </w:trPr>
        <w:tc>
          <w:tcPr>
            <w:tcW w:w="1558" w:type="dxa"/>
            <w:tcBorders>
              <w:top w:val="nil"/>
              <w:left w:val="single" w:sz="2" w:space="0" w:color="auto"/>
              <w:bottom w:val="nil"/>
              <w:right w:val="single" w:sz="2" w:space="0" w:color="auto"/>
            </w:tcBorders>
            <w:vAlign w:val="bottom"/>
          </w:tcPr>
          <w:p w14:paraId="1214122B" w14:textId="77777777" w:rsidR="001E788B" w:rsidRPr="00E95E3B" w:rsidRDefault="001E788B" w:rsidP="001E788B">
            <w:pPr>
              <w:pStyle w:val="Reference"/>
              <w:tabs>
                <w:tab w:val="left" w:pos="3306"/>
              </w:tabs>
              <w:rPr>
                <w:rFonts w:cs="Calibri"/>
                <w:color w:val="7030A0"/>
                <w:sz w:val="14"/>
                <w:szCs w:val="14"/>
              </w:rPr>
            </w:pPr>
          </w:p>
        </w:tc>
        <w:tc>
          <w:tcPr>
            <w:tcW w:w="13891" w:type="dxa"/>
            <w:gridSpan w:val="9"/>
            <w:tcBorders>
              <w:top w:val="nil"/>
              <w:left w:val="single" w:sz="2" w:space="0" w:color="auto"/>
              <w:bottom w:val="nil"/>
              <w:right w:val="nil"/>
            </w:tcBorders>
          </w:tcPr>
          <w:p w14:paraId="2709AE0D" w14:textId="009E1DE3" w:rsidR="001E788B" w:rsidRPr="00E95E3B" w:rsidRDefault="001E788B" w:rsidP="001E788B">
            <w:pPr>
              <w:spacing w:before="120" w:after="120"/>
              <w:rPr>
                <w:rFonts w:cs="Calibri"/>
                <w:b/>
                <w:bCs/>
                <w:caps/>
                <w:sz w:val="18"/>
                <w:szCs w:val="18"/>
              </w:rPr>
            </w:pPr>
            <w:r w:rsidRPr="00E95E3B">
              <w:rPr>
                <w:rFonts w:cs="Calibri"/>
                <w:sz w:val="18"/>
                <w:szCs w:val="18"/>
              </w:rPr>
              <w:t>a) The increase in Infrastructure Works in Progress of $</w:t>
            </w:r>
            <w:r w:rsidR="00436BDE">
              <w:rPr>
                <w:rFonts w:cs="Calibri"/>
                <w:sz w:val="18"/>
                <w:szCs w:val="18"/>
              </w:rPr>
              <w:t>xxx</w:t>
            </w:r>
            <w:r w:rsidRPr="00E95E3B">
              <w:rPr>
                <w:rFonts w:cs="Calibri"/>
                <w:sz w:val="18"/>
                <w:szCs w:val="18"/>
              </w:rPr>
              <w:t xml:space="preserve"> is due to a number of large projects commencing in 2021 which were not completed at the end of the reporting period.</w:t>
            </w:r>
          </w:p>
        </w:tc>
      </w:tr>
      <w:tr w:rsidR="001E788B" w:rsidRPr="00CF7E1B" w14:paraId="69EC98BE" w14:textId="77777777" w:rsidTr="00AE2F99">
        <w:trPr>
          <w:cantSplit/>
          <w:trHeight w:val="23"/>
        </w:trPr>
        <w:tc>
          <w:tcPr>
            <w:tcW w:w="1558" w:type="dxa"/>
            <w:tcBorders>
              <w:top w:val="nil"/>
              <w:left w:val="single" w:sz="2" w:space="0" w:color="auto"/>
              <w:bottom w:val="nil"/>
              <w:right w:val="single" w:sz="2" w:space="0" w:color="auto"/>
            </w:tcBorders>
            <w:vAlign w:val="bottom"/>
          </w:tcPr>
          <w:p w14:paraId="3B845C9B" w14:textId="77777777" w:rsidR="001E788B" w:rsidRPr="00E95E3B" w:rsidRDefault="001E788B" w:rsidP="001E788B">
            <w:pPr>
              <w:pStyle w:val="Reference"/>
              <w:tabs>
                <w:tab w:val="left" w:pos="3306"/>
              </w:tabs>
              <w:rPr>
                <w:rFonts w:cs="Calibri"/>
                <w:color w:val="7030A0"/>
                <w:sz w:val="14"/>
                <w:szCs w:val="14"/>
              </w:rPr>
            </w:pPr>
          </w:p>
        </w:tc>
        <w:tc>
          <w:tcPr>
            <w:tcW w:w="13891" w:type="dxa"/>
            <w:gridSpan w:val="9"/>
            <w:tcBorders>
              <w:top w:val="nil"/>
              <w:left w:val="single" w:sz="2" w:space="0" w:color="auto"/>
              <w:bottom w:val="nil"/>
              <w:right w:val="nil"/>
            </w:tcBorders>
          </w:tcPr>
          <w:p w14:paraId="5FE1865D" w14:textId="129CC398" w:rsidR="001E788B" w:rsidRPr="00E95E3B" w:rsidRDefault="001E788B" w:rsidP="001E788B">
            <w:pPr>
              <w:spacing w:after="120"/>
              <w:rPr>
                <w:rFonts w:cs="Calibri"/>
                <w:b/>
                <w:bCs/>
                <w:caps/>
                <w:sz w:val="18"/>
                <w:szCs w:val="18"/>
              </w:rPr>
            </w:pPr>
            <w:r w:rsidRPr="00E95E3B">
              <w:rPr>
                <w:rFonts w:cs="Calibri"/>
                <w:sz w:val="18"/>
                <w:szCs w:val="18"/>
              </w:rPr>
              <w:t>b) The decrease in Building Works in Progress of $</w:t>
            </w:r>
            <w:r w:rsidR="00436BDE">
              <w:rPr>
                <w:rFonts w:cs="Calibri"/>
                <w:sz w:val="18"/>
                <w:szCs w:val="18"/>
              </w:rPr>
              <w:t>xxx</w:t>
            </w:r>
            <w:r w:rsidRPr="00E95E3B">
              <w:rPr>
                <w:rFonts w:cs="Calibri"/>
                <w:sz w:val="18"/>
                <w:szCs w:val="18"/>
              </w:rPr>
              <w:t xml:space="preserve"> is due to the completion of two buildings located in Fyshwick and Canberra City being completed and transferred out of Capital Works in Progress into Property, Plant and Equipment.</w:t>
            </w:r>
          </w:p>
        </w:tc>
      </w:tr>
      <w:tr w:rsidR="001E788B" w:rsidRPr="00CF7E1B" w14:paraId="6A469B86" w14:textId="77777777" w:rsidTr="00AE2F99">
        <w:trPr>
          <w:cantSplit/>
          <w:trHeight w:val="23"/>
        </w:trPr>
        <w:tc>
          <w:tcPr>
            <w:tcW w:w="1558" w:type="dxa"/>
            <w:tcBorders>
              <w:top w:val="nil"/>
              <w:left w:val="single" w:sz="2" w:space="0" w:color="auto"/>
              <w:bottom w:val="nil"/>
              <w:right w:val="single" w:sz="2" w:space="0" w:color="auto"/>
            </w:tcBorders>
            <w:vAlign w:val="bottom"/>
          </w:tcPr>
          <w:p w14:paraId="72FE786A" w14:textId="77777777" w:rsidR="001E788B" w:rsidRPr="00E95E3B" w:rsidRDefault="001E788B" w:rsidP="001E788B">
            <w:pPr>
              <w:pStyle w:val="Reference"/>
              <w:tabs>
                <w:tab w:val="left" w:pos="3306"/>
              </w:tabs>
              <w:rPr>
                <w:rFonts w:cs="Calibri"/>
                <w:color w:val="7030A0"/>
                <w:sz w:val="14"/>
                <w:szCs w:val="14"/>
              </w:rPr>
            </w:pPr>
          </w:p>
        </w:tc>
        <w:tc>
          <w:tcPr>
            <w:tcW w:w="13891" w:type="dxa"/>
            <w:gridSpan w:val="9"/>
            <w:tcBorders>
              <w:top w:val="nil"/>
              <w:left w:val="single" w:sz="2" w:space="0" w:color="auto"/>
              <w:bottom w:val="nil"/>
              <w:right w:val="nil"/>
            </w:tcBorders>
            <w:vAlign w:val="bottom"/>
          </w:tcPr>
          <w:p w14:paraId="275E5DF1" w14:textId="41EB28F1" w:rsidR="001E788B" w:rsidRPr="00E95E3B" w:rsidRDefault="001E788B" w:rsidP="001E788B">
            <w:pPr>
              <w:spacing w:before="240"/>
              <w:rPr>
                <w:rFonts w:cs="Calibri"/>
                <w:b/>
                <w:bCs/>
                <w:caps/>
                <w:sz w:val="18"/>
                <w:szCs w:val="18"/>
              </w:rPr>
            </w:pPr>
            <w:r w:rsidRPr="00E95E3B">
              <w:rPr>
                <w:b/>
                <w:sz w:val="18"/>
                <w:szCs w:val="18"/>
              </w:rPr>
              <w:t>Reconciliation of Capital Works in Progress 2020-21</w:t>
            </w:r>
          </w:p>
        </w:tc>
      </w:tr>
      <w:tr w:rsidR="00BB62BB" w:rsidRPr="00CF7E1B" w14:paraId="0DB59415" w14:textId="77777777" w:rsidTr="00AE2F99">
        <w:trPr>
          <w:cantSplit/>
          <w:trHeight w:val="23"/>
        </w:trPr>
        <w:tc>
          <w:tcPr>
            <w:tcW w:w="1558" w:type="dxa"/>
            <w:tcBorders>
              <w:top w:val="nil"/>
              <w:left w:val="single" w:sz="2" w:space="0" w:color="auto"/>
              <w:bottom w:val="nil"/>
              <w:right w:val="single" w:sz="2" w:space="0" w:color="auto"/>
            </w:tcBorders>
          </w:tcPr>
          <w:p w14:paraId="3B81B209" w14:textId="77777777" w:rsidR="00BB62BB" w:rsidRPr="00E95E3B" w:rsidRDefault="00BB62BB" w:rsidP="001E788B">
            <w:pPr>
              <w:pStyle w:val="TableReference"/>
              <w:tabs>
                <w:tab w:val="left" w:pos="3306"/>
              </w:tabs>
              <w:spacing w:before="40"/>
              <w:rPr>
                <w:rFonts w:cs="Calibri"/>
                <w:color w:val="7030A0"/>
                <w:sz w:val="14"/>
              </w:rPr>
            </w:pPr>
            <w:r w:rsidRPr="00E95E3B">
              <w:rPr>
                <w:rFonts w:cs="Calibri"/>
                <w:color w:val="7030A0"/>
                <w:sz w:val="14"/>
              </w:rPr>
              <w:t>AASB 116.73(e)</w:t>
            </w:r>
          </w:p>
          <w:p w14:paraId="7997CC3F" w14:textId="77777777" w:rsidR="00BB62BB" w:rsidRPr="00E95E3B" w:rsidRDefault="00BB62BB" w:rsidP="001E788B">
            <w:pPr>
              <w:pStyle w:val="TableReference"/>
              <w:tabs>
                <w:tab w:val="left" w:pos="3306"/>
              </w:tabs>
              <w:spacing w:before="60"/>
              <w:rPr>
                <w:rFonts w:cs="Calibri"/>
                <w:color w:val="7030A0"/>
                <w:sz w:val="14"/>
              </w:rPr>
            </w:pPr>
            <w:r w:rsidRPr="00E95E3B">
              <w:rPr>
                <w:rFonts w:cs="Calibri"/>
                <w:color w:val="7030A0"/>
                <w:sz w:val="14"/>
              </w:rPr>
              <w:t>AASB 138.118(e)</w:t>
            </w:r>
          </w:p>
        </w:tc>
        <w:tc>
          <w:tcPr>
            <w:tcW w:w="13891" w:type="dxa"/>
            <w:gridSpan w:val="9"/>
            <w:tcBorders>
              <w:top w:val="nil"/>
              <w:left w:val="single" w:sz="2" w:space="0" w:color="auto"/>
              <w:bottom w:val="nil"/>
              <w:right w:val="nil"/>
            </w:tcBorders>
            <w:vAlign w:val="bottom"/>
          </w:tcPr>
          <w:p w14:paraId="783E6BAC" w14:textId="2AD771E1" w:rsidR="00BB62BB" w:rsidRPr="00E95E3B" w:rsidRDefault="00BB62BB" w:rsidP="00BB62BB">
            <w:pPr>
              <w:pStyle w:val="TableText"/>
              <w:tabs>
                <w:tab w:val="left" w:pos="3306"/>
              </w:tabs>
              <w:rPr>
                <w:rFonts w:cs="Calibri"/>
              </w:rPr>
            </w:pPr>
            <w:r w:rsidRPr="00E95E3B">
              <w:rPr>
                <w:rFonts w:cs="Calibri"/>
                <w:b/>
              </w:rPr>
              <w:t>Carrying Amount at the Beginning of the Reporting Period</w:t>
            </w:r>
          </w:p>
        </w:tc>
      </w:tr>
      <w:tr w:rsidR="001E788B" w:rsidRPr="00CF7E1B" w14:paraId="61FEE7C3" w14:textId="77777777" w:rsidTr="00AE2F99">
        <w:trPr>
          <w:cantSplit/>
          <w:trHeight w:val="23"/>
        </w:trPr>
        <w:tc>
          <w:tcPr>
            <w:tcW w:w="1558" w:type="dxa"/>
            <w:tcBorders>
              <w:top w:val="nil"/>
              <w:left w:val="single" w:sz="2" w:space="0" w:color="auto"/>
              <w:bottom w:val="nil"/>
              <w:right w:val="single" w:sz="2" w:space="0" w:color="auto"/>
            </w:tcBorders>
          </w:tcPr>
          <w:p w14:paraId="09FEA101" w14:textId="77777777" w:rsidR="001E788B" w:rsidRPr="00E95E3B" w:rsidRDefault="001E788B" w:rsidP="001E788B">
            <w:pPr>
              <w:pStyle w:val="TableReference"/>
              <w:tabs>
                <w:tab w:val="left" w:pos="3306"/>
              </w:tabs>
              <w:spacing w:before="40"/>
              <w:rPr>
                <w:rFonts w:cs="Calibri"/>
                <w:color w:val="7030A0"/>
                <w:sz w:val="14"/>
              </w:rPr>
            </w:pPr>
            <w:r w:rsidRPr="00E95E3B">
              <w:rPr>
                <w:rFonts w:cs="Calibri"/>
                <w:color w:val="7030A0"/>
                <w:sz w:val="14"/>
              </w:rPr>
              <w:t>AASB 116.73(e)(i)</w:t>
            </w:r>
          </w:p>
          <w:p w14:paraId="08735FC2" w14:textId="77777777" w:rsidR="001E788B" w:rsidRPr="00E95E3B" w:rsidRDefault="001E788B" w:rsidP="001E788B">
            <w:pPr>
              <w:pStyle w:val="TableReference"/>
              <w:tabs>
                <w:tab w:val="left" w:pos="3306"/>
              </w:tabs>
              <w:spacing w:before="40"/>
              <w:rPr>
                <w:rFonts w:cs="Calibri"/>
                <w:color w:val="7030A0"/>
                <w:sz w:val="14"/>
              </w:rPr>
            </w:pPr>
            <w:r w:rsidRPr="00E95E3B">
              <w:rPr>
                <w:rFonts w:cs="Calibri"/>
                <w:color w:val="7030A0"/>
                <w:sz w:val="14"/>
              </w:rPr>
              <w:t>AASB 138.118(e)(i)</w:t>
            </w:r>
          </w:p>
        </w:tc>
        <w:tc>
          <w:tcPr>
            <w:tcW w:w="6944" w:type="dxa"/>
            <w:tcBorders>
              <w:top w:val="nil"/>
              <w:left w:val="single" w:sz="2" w:space="0" w:color="auto"/>
              <w:bottom w:val="nil"/>
              <w:right w:val="nil"/>
            </w:tcBorders>
            <w:vAlign w:val="center"/>
          </w:tcPr>
          <w:p w14:paraId="4D2D5863" w14:textId="77777777" w:rsidR="001E788B" w:rsidRPr="00E95E3B" w:rsidRDefault="001E788B" w:rsidP="001E788B">
            <w:pPr>
              <w:pStyle w:val="TableText"/>
              <w:tabs>
                <w:tab w:val="left" w:pos="3306"/>
              </w:tabs>
              <w:rPr>
                <w:rFonts w:cs="Calibri"/>
              </w:rPr>
            </w:pPr>
            <w:r w:rsidRPr="00E95E3B">
              <w:rPr>
                <w:rFonts w:cs="Calibri"/>
              </w:rPr>
              <w:t>Additions</w:t>
            </w:r>
          </w:p>
        </w:tc>
        <w:tc>
          <w:tcPr>
            <w:tcW w:w="1560" w:type="dxa"/>
            <w:tcBorders>
              <w:top w:val="nil"/>
              <w:left w:val="nil"/>
              <w:bottom w:val="nil"/>
              <w:right w:val="nil"/>
            </w:tcBorders>
            <w:vAlign w:val="bottom"/>
          </w:tcPr>
          <w:p w14:paraId="5FA4AFAB" w14:textId="3E8A9705" w:rsidR="001E788B" w:rsidRPr="00E95E3B" w:rsidRDefault="001E788B" w:rsidP="001E788B">
            <w:pPr>
              <w:pStyle w:val="TableText"/>
              <w:tabs>
                <w:tab w:val="left" w:pos="3306"/>
              </w:tabs>
              <w:jc w:val="right"/>
              <w:rPr>
                <w:rFonts w:cs="Calibri"/>
                <w:highlight w:val="cyan"/>
              </w:rPr>
            </w:pPr>
          </w:p>
        </w:tc>
        <w:tc>
          <w:tcPr>
            <w:tcW w:w="1561" w:type="dxa"/>
            <w:gridSpan w:val="2"/>
            <w:tcBorders>
              <w:top w:val="nil"/>
              <w:left w:val="nil"/>
              <w:bottom w:val="nil"/>
              <w:right w:val="nil"/>
            </w:tcBorders>
            <w:vAlign w:val="bottom"/>
          </w:tcPr>
          <w:p w14:paraId="4BF42DEE" w14:textId="76CA00B8" w:rsidR="001E788B" w:rsidRPr="00E95E3B" w:rsidRDefault="001E788B" w:rsidP="001E788B">
            <w:pPr>
              <w:pStyle w:val="TableText"/>
              <w:tabs>
                <w:tab w:val="left" w:pos="3306"/>
              </w:tabs>
              <w:jc w:val="right"/>
              <w:rPr>
                <w:rFonts w:cs="Calibri"/>
                <w:highlight w:val="cyan"/>
              </w:rPr>
            </w:pPr>
          </w:p>
        </w:tc>
        <w:tc>
          <w:tcPr>
            <w:tcW w:w="1417" w:type="dxa"/>
            <w:gridSpan w:val="2"/>
            <w:tcBorders>
              <w:top w:val="nil"/>
              <w:left w:val="nil"/>
              <w:bottom w:val="nil"/>
              <w:right w:val="nil"/>
            </w:tcBorders>
            <w:vAlign w:val="bottom"/>
          </w:tcPr>
          <w:p w14:paraId="7192D222" w14:textId="49C3C784" w:rsidR="001E788B" w:rsidRPr="00E95E3B" w:rsidRDefault="001E788B" w:rsidP="001E788B">
            <w:pPr>
              <w:pStyle w:val="TableText"/>
              <w:tabs>
                <w:tab w:val="left" w:pos="3306"/>
              </w:tabs>
              <w:jc w:val="right"/>
              <w:rPr>
                <w:rFonts w:cs="Calibri"/>
                <w:highlight w:val="cyan"/>
              </w:rPr>
            </w:pPr>
          </w:p>
        </w:tc>
        <w:tc>
          <w:tcPr>
            <w:tcW w:w="1134" w:type="dxa"/>
            <w:tcBorders>
              <w:top w:val="nil"/>
              <w:left w:val="nil"/>
              <w:bottom w:val="nil"/>
              <w:right w:val="nil"/>
            </w:tcBorders>
            <w:vAlign w:val="bottom"/>
          </w:tcPr>
          <w:p w14:paraId="289457EA" w14:textId="1EBCBDA3" w:rsidR="001E788B" w:rsidRPr="00E95E3B" w:rsidRDefault="001E788B" w:rsidP="001E788B">
            <w:pPr>
              <w:pStyle w:val="TableText"/>
              <w:tabs>
                <w:tab w:val="left" w:pos="3306"/>
              </w:tabs>
              <w:jc w:val="right"/>
              <w:rPr>
                <w:rFonts w:cs="Calibri"/>
                <w:highlight w:val="cyan"/>
              </w:rPr>
            </w:pPr>
          </w:p>
        </w:tc>
        <w:tc>
          <w:tcPr>
            <w:tcW w:w="1275" w:type="dxa"/>
            <w:gridSpan w:val="2"/>
            <w:tcBorders>
              <w:top w:val="nil"/>
              <w:left w:val="nil"/>
              <w:bottom w:val="nil"/>
              <w:right w:val="nil"/>
            </w:tcBorders>
            <w:vAlign w:val="bottom"/>
          </w:tcPr>
          <w:p w14:paraId="5DFD85B2" w14:textId="62818AF5" w:rsidR="001E788B" w:rsidRPr="00E95E3B" w:rsidRDefault="001E788B" w:rsidP="001E788B">
            <w:pPr>
              <w:pStyle w:val="TableText"/>
              <w:tabs>
                <w:tab w:val="left" w:pos="3306"/>
              </w:tabs>
              <w:jc w:val="right"/>
              <w:rPr>
                <w:rFonts w:cs="Calibri"/>
              </w:rPr>
            </w:pPr>
          </w:p>
        </w:tc>
      </w:tr>
      <w:tr w:rsidR="00BB62BB" w:rsidRPr="00CF7E1B" w14:paraId="46BCEEAF" w14:textId="77777777" w:rsidTr="00AE2F99">
        <w:trPr>
          <w:cantSplit/>
          <w:trHeight w:val="23"/>
        </w:trPr>
        <w:tc>
          <w:tcPr>
            <w:tcW w:w="1558" w:type="dxa"/>
            <w:tcBorders>
              <w:top w:val="nil"/>
              <w:left w:val="single" w:sz="2" w:space="0" w:color="auto"/>
              <w:bottom w:val="nil"/>
              <w:right w:val="single" w:sz="2" w:space="0" w:color="auto"/>
            </w:tcBorders>
          </w:tcPr>
          <w:p w14:paraId="0B0E057A" w14:textId="77777777" w:rsidR="00BB62BB" w:rsidRPr="00E95E3B" w:rsidRDefault="00BB62BB" w:rsidP="001E788B">
            <w:pPr>
              <w:pStyle w:val="TableReference"/>
              <w:tabs>
                <w:tab w:val="left" w:pos="3306"/>
              </w:tabs>
              <w:spacing w:before="40"/>
              <w:rPr>
                <w:rFonts w:cs="Calibri"/>
                <w:color w:val="7030A0"/>
                <w:sz w:val="14"/>
              </w:rPr>
            </w:pPr>
            <w:r w:rsidRPr="00E95E3B">
              <w:rPr>
                <w:rFonts w:cs="Calibri"/>
                <w:color w:val="7030A0"/>
                <w:sz w:val="14"/>
              </w:rPr>
              <w:t>AASB 116.73(e)(ix)</w:t>
            </w:r>
          </w:p>
        </w:tc>
        <w:tc>
          <w:tcPr>
            <w:tcW w:w="6944" w:type="dxa"/>
            <w:tcBorders>
              <w:top w:val="nil"/>
              <w:left w:val="single" w:sz="2" w:space="0" w:color="auto"/>
              <w:bottom w:val="nil"/>
              <w:right w:val="nil"/>
            </w:tcBorders>
          </w:tcPr>
          <w:p w14:paraId="4F87351F" w14:textId="4D34041D" w:rsidR="00BB62BB" w:rsidRPr="00E95E3B" w:rsidRDefault="00BB62BB" w:rsidP="001E788B">
            <w:pPr>
              <w:pStyle w:val="TableText"/>
              <w:tabs>
                <w:tab w:val="left" w:pos="3306"/>
              </w:tabs>
              <w:rPr>
                <w:rFonts w:cs="Calibri"/>
                <w:highlight w:val="cyan"/>
              </w:rPr>
            </w:pPr>
            <w:r w:rsidRPr="00E95E3B">
              <w:rPr>
                <w:rFonts w:cs="Calibri"/>
              </w:rPr>
              <w:t>Capital Works in Progress Completed and Transferred to Property, Plant and Equipment</w:t>
            </w:r>
          </w:p>
        </w:tc>
        <w:tc>
          <w:tcPr>
            <w:tcW w:w="1560" w:type="dxa"/>
            <w:tcBorders>
              <w:top w:val="nil"/>
              <w:left w:val="nil"/>
              <w:bottom w:val="nil"/>
              <w:right w:val="nil"/>
            </w:tcBorders>
            <w:vAlign w:val="bottom"/>
          </w:tcPr>
          <w:p w14:paraId="2D532D8C" w14:textId="77777777" w:rsidR="00BB62BB" w:rsidRPr="00E95E3B" w:rsidRDefault="00BB62BB" w:rsidP="001E788B">
            <w:pPr>
              <w:pStyle w:val="TableText"/>
              <w:tabs>
                <w:tab w:val="left" w:pos="3306"/>
              </w:tabs>
              <w:jc w:val="right"/>
              <w:rPr>
                <w:rFonts w:cs="Calibri"/>
                <w:highlight w:val="cyan"/>
              </w:rPr>
            </w:pPr>
          </w:p>
        </w:tc>
        <w:tc>
          <w:tcPr>
            <w:tcW w:w="1561" w:type="dxa"/>
            <w:gridSpan w:val="2"/>
            <w:tcBorders>
              <w:top w:val="nil"/>
              <w:left w:val="nil"/>
              <w:bottom w:val="nil"/>
              <w:right w:val="nil"/>
            </w:tcBorders>
            <w:vAlign w:val="bottom"/>
          </w:tcPr>
          <w:p w14:paraId="110DB517" w14:textId="48E5A762" w:rsidR="00BB62BB" w:rsidRPr="00E95E3B" w:rsidRDefault="00BB62BB" w:rsidP="001E788B">
            <w:pPr>
              <w:pStyle w:val="TableText"/>
              <w:tabs>
                <w:tab w:val="left" w:pos="3306"/>
              </w:tabs>
              <w:jc w:val="right"/>
              <w:rPr>
                <w:rFonts w:cs="Calibri"/>
                <w:highlight w:val="cyan"/>
              </w:rPr>
            </w:pPr>
          </w:p>
        </w:tc>
        <w:tc>
          <w:tcPr>
            <w:tcW w:w="1417" w:type="dxa"/>
            <w:gridSpan w:val="2"/>
            <w:tcBorders>
              <w:top w:val="nil"/>
              <w:left w:val="nil"/>
              <w:bottom w:val="nil"/>
              <w:right w:val="nil"/>
            </w:tcBorders>
            <w:vAlign w:val="bottom"/>
          </w:tcPr>
          <w:p w14:paraId="55E8EA21" w14:textId="43741595" w:rsidR="00BB62BB" w:rsidRPr="00E95E3B" w:rsidRDefault="00BB62BB" w:rsidP="001E788B">
            <w:pPr>
              <w:pStyle w:val="TableText"/>
              <w:tabs>
                <w:tab w:val="left" w:pos="3306"/>
              </w:tabs>
              <w:jc w:val="right"/>
              <w:rPr>
                <w:rFonts w:cs="Calibri"/>
                <w:highlight w:val="cyan"/>
              </w:rPr>
            </w:pPr>
          </w:p>
        </w:tc>
        <w:tc>
          <w:tcPr>
            <w:tcW w:w="1134" w:type="dxa"/>
            <w:tcBorders>
              <w:top w:val="nil"/>
              <w:left w:val="nil"/>
              <w:bottom w:val="nil"/>
              <w:right w:val="nil"/>
            </w:tcBorders>
            <w:vAlign w:val="bottom"/>
          </w:tcPr>
          <w:p w14:paraId="636AC55C" w14:textId="05B9C981" w:rsidR="00BB62BB" w:rsidRPr="00E95E3B" w:rsidRDefault="00BB62BB" w:rsidP="001E788B">
            <w:pPr>
              <w:pStyle w:val="TableText"/>
              <w:tabs>
                <w:tab w:val="left" w:pos="3306"/>
              </w:tabs>
              <w:jc w:val="right"/>
              <w:rPr>
                <w:rFonts w:cs="Calibri"/>
                <w:highlight w:val="cyan"/>
              </w:rPr>
            </w:pPr>
          </w:p>
        </w:tc>
        <w:tc>
          <w:tcPr>
            <w:tcW w:w="1275" w:type="dxa"/>
            <w:gridSpan w:val="2"/>
            <w:tcBorders>
              <w:top w:val="nil"/>
              <w:left w:val="nil"/>
              <w:bottom w:val="nil"/>
              <w:right w:val="nil"/>
            </w:tcBorders>
            <w:vAlign w:val="bottom"/>
          </w:tcPr>
          <w:p w14:paraId="12223E4E" w14:textId="65D05E2D" w:rsidR="00BB62BB" w:rsidRPr="00E95E3B" w:rsidRDefault="00BB62BB" w:rsidP="001E788B">
            <w:pPr>
              <w:pStyle w:val="TableText"/>
              <w:tabs>
                <w:tab w:val="left" w:pos="3306"/>
              </w:tabs>
              <w:jc w:val="right"/>
              <w:rPr>
                <w:rFonts w:cs="Calibri"/>
              </w:rPr>
            </w:pPr>
          </w:p>
        </w:tc>
      </w:tr>
      <w:tr w:rsidR="00BB62BB" w:rsidRPr="00CF7E1B" w14:paraId="7907A918" w14:textId="77777777" w:rsidTr="00AE2F99">
        <w:trPr>
          <w:cantSplit/>
          <w:trHeight w:val="178"/>
        </w:trPr>
        <w:tc>
          <w:tcPr>
            <w:tcW w:w="1558" w:type="dxa"/>
            <w:tcBorders>
              <w:top w:val="nil"/>
              <w:left w:val="single" w:sz="2" w:space="0" w:color="auto"/>
              <w:bottom w:val="nil"/>
              <w:right w:val="single" w:sz="2" w:space="0" w:color="auto"/>
            </w:tcBorders>
          </w:tcPr>
          <w:p w14:paraId="591D79D4" w14:textId="77777777" w:rsidR="00BB62BB" w:rsidRPr="00E95E3B" w:rsidRDefault="00BB62BB" w:rsidP="001E788B">
            <w:pPr>
              <w:pStyle w:val="TableReference"/>
              <w:tabs>
                <w:tab w:val="left" w:pos="3306"/>
              </w:tabs>
              <w:spacing w:before="40"/>
              <w:rPr>
                <w:rFonts w:cs="Calibri"/>
                <w:color w:val="7030A0"/>
                <w:sz w:val="14"/>
              </w:rPr>
            </w:pPr>
            <w:r w:rsidRPr="00E95E3B">
              <w:rPr>
                <w:rFonts w:cs="Calibri"/>
                <w:color w:val="7030A0"/>
                <w:sz w:val="14"/>
              </w:rPr>
              <w:t>AASB 138.118(e)(viii)</w:t>
            </w:r>
          </w:p>
        </w:tc>
        <w:tc>
          <w:tcPr>
            <w:tcW w:w="6944" w:type="dxa"/>
            <w:tcBorders>
              <w:top w:val="nil"/>
              <w:left w:val="single" w:sz="2" w:space="0" w:color="auto"/>
              <w:bottom w:val="nil"/>
              <w:right w:val="nil"/>
            </w:tcBorders>
          </w:tcPr>
          <w:p w14:paraId="1B58A9D8" w14:textId="34C69507" w:rsidR="00BB62BB" w:rsidRPr="00E95E3B" w:rsidRDefault="00BB62BB" w:rsidP="001E788B">
            <w:pPr>
              <w:pStyle w:val="TableText"/>
              <w:tabs>
                <w:tab w:val="left" w:pos="3306"/>
              </w:tabs>
              <w:rPr>
                <w:rFonts w:cs="Calibri"/>
                <w:highlight w:val="cyan"/>
              </w:rPr>
            </w:pPr>
            <w:r w:rsidRPr="00E95E3B">
              <w:rPr>
                <w:rFonts w:cs="Calibri"/>
              </w:rPr>
              <w:t>Capital Works in Progress Completed and Transferred to Intangible Assets</w:t>
            </w:r>
          </w:p>
        </w:tc>
        <w:tc>
          <w:tcPr>
            <w:tcW w:w="1560" w:type="dxa"/>
            <w:tcBorders>
              <w:top w:val="nil"/>
              <w:left w:val="nil"/>
              <w:bottom w:val="single" w:sz="2" w:space="0" w:color="auto"/>
              <w:right w:val="nil"/>
            </w:tcBorders>
          </w:tcPr>
          <w:p w14:paraId="461B3946" w14:textId="77777777" w:rsidR="00BB62BB" w:rsidRPr="00E95E3B" w:rsidRDefault="00BB62BB" w:rsidP="001E788B">
            <w:pPr>
              <w:pStyle w:val="TableText"/>
              <w:tabs>
                <w:tab w:val="left" w:pos="3306"/>
              </w:tabs>
              <w:rPr>
                <w:rFonts w:cs="Calibri"/>
                <w:highlight w:val="cyan"/>
              </w:rPr>
            </w:pPr>
          </w:p>
        </w:tc>
        <w:tc>
          <w:tcPr>
            <w:tcW w:w="1561" w:type="dxa"/>
            <w:gridSpan w:val="2"/>
            <w:tcBorders>
              <w:top w:val="nil"/>
              <w:left w:val="nil"/>
              <w:bottom w:val="single" w:sz="2" w:space="0" w:color="auto"/>
              <w:right w:val="nil"/>
            </w:tcBorders>
          </w:tcPr>
          <w:p w14:paraId="3378907F" w14:textId="2D3ADC1E" w:rsidR="00BB62BB" w:rsidRPr="00E95E3B" w:rsidRDefault="00BB62BB" w:rsidP="001E788B">
            <w:pPr>
              <w:pStyle w:val="TableText"/>
              <w:tabs>
                <w:tab w:val="left" w:pos="3306"/>
              </w:tabs>
              <w:rPr>
                <w:rFonts w:cs="Calibri"/>
                <w:highlight w:val="cyan"/>
              </w:rPr>
            </w:pPr>
          </w:p>
        </w:tc>
        <w:tc>
          <w:tcPr>
            <w:tcW w:w="1417" w:type="dxa"/>
            <w:gridSpan w:val="2"/>
            <w:tcBorders>
              <w:top w:val="nil"/>
              <w:left w:val="nil"/>
              <w:bottom w:val="single" w:sz="2" w:space="0" w:color="auto"/>
              <w:right w:val="nil"/>
            </w:tcBorders>
          </w:tcPr>
          <w:p w14:paraId="334C277D" w14:textId="4DAB0942" w:rsidR="00BB62BB" w:rsidRPr="00E95E3B" w:rsidRDefault="00BB62BB" w:rsidP="001E788B">
            <w:pPr>
              <w:pStyle w:val="TableText"/>
              <w:tabs>
                <w:tab w:val="left" w:pos="3306"/>
              </w:tabs>
              <w:rPr>
                <w:rFonts w:cs="Calibri"/>
                <w:highlight w:val="cyan"/>
              </w:rPr>
            </w:pPr>
          </w:p>
        </w:tc>
        <w:tc>
          <w:tcPr>
            <w:tcW w:w="1134" w:type="dxa"/>
            <w:tcBorders>
              <w:top w:val="nil"/>
              <w:left w:val="nil"/>
              <w:bottom w:val="single" w:sz="2" w:space="0" w:color="auto"/>
              <w:right w:val="nil"/>
            </w:tcBorders>
          </w:tcPr>
          <w:p w14:paraId="0B93A79A" w14:textId="3AEDBE51" w:rsidR="00BB62BB" w:rsidRPr="00E95E3B" w:rsidRDefault="00BB62BB" w:rsidP="001E788B">
            <w:pPr>
              <w:pStyle w:val="TableText"/>
              <w:tabs>
                <w:tab w:val="left" w:pos="3306"/>
              </w:tabs>
              <w:rPr>
                <w:rFonts w:cs="Calibri"/>
                <w:highlight w:val="cyan"/>
              </w:rPr>
            </w:pPr>
          </w:p>
        </w:tc>
        <w:tc>
          <w:tcPr>
            <w:tcW w:w="1275" w:type="dxa"/>
            <w:gridSpan w:val="2"/>
            <w:tcBorders>
              <w:top w:val="nil"/>
              <w:left w:val="nil"/>
              <w:bottom w:val="single" w:sz="2" w:space="0" w:color="auto"/>
              <w:right w:val="nil"/>
            </w:tcBorders>
          </w:tcPr>
          <w:p w14:paraId="3A917379" w14:textId="4F5CEC9A" w:rsidR="00BB62BB" w:rsidRPr="00E95E3B" w:rsidRDefault="00BB62BB" w:rsidP="001E788B">
            <w:pPr>
              <w:pStyle w:val="TableText"/>
              <w:tabs>
                <w:tab w:val="left" w:pos="3306"/>
              </w:tabs>
              <w:rPr>
                <w:rFonts w:cs="Calibri"/>
              </w:rPr>
            </w:pPr>
          </w:p>
        </w:tc>
      </w:tr>
      <w:tr w:rsidR="001E788B" w:rsidRPr="00CF7E1B" w14:paraId="4D63FC50" w14:textId="77777777" w:rsidTr="00AE2F99">
        <w:trPr>
          <w:cantSplit/>
          <w:trHeight w:val="347"/>
        </w:trPr>
        <w:tc>
          <w:tcPr>
            <w:tcW w:w="1558" w:type="dxa"/>
            <w:tcBorders>
              <w:top w:val="nil"/>
              <w:left w:val="single" w:sz="2" w:space="0" w:color="auto"/>
              <w:bottom w:val="nil"/>
              <w:right w:val="single" w:sz="2" w:space="0" w:color="auto"/>
            </w:tcBorders>
          </w:tcPr>
          <w:p w14:paraId="79465572" w14:textId="524254D5" w:rsidR="001E788B" w:rsidRPr="00E95E3B" w:rsidRDefault="001E788B" w:rsidP="001E788B">
            <w:pPr>
              <w:pStyle w:val="TableReference"/>
              <w:tabs>
                <w:tab w:val="left" w:pos="3306"/>
              </w:tabs>
              <w:rPr>
                <w:rFonts w:cs="Calibri"/>
                <w:color w:val="7030A0"/>
                <w:sz w:val="14"/>
              </w:rPr>
            </w:pPr>
            <w:r w:rsidRPr="00E95E3B">
              <w:rPr>
                <w:rFonts w:cs="Calibri"/>
                <w:color w:val="7030A0"/>
                <w:sz w:val="14"/>
              </w:rPr>
              <w:t>AASB 116.73(e)</w:t>
            </w:r>
            <w:r w:rsidR="00FA7C77">
              <w:rPr>
                <w:rFonts w:cs="Calibri"/>
                <w:color w:val="7030A0"/>
                <w:sz w:val="14"/>
              </w:rPr>
              <w:t xml:space="preserve"> </w:t>
            </w:r>
          </w:p>
          <w:p w14:paraId="35EEEA24" w14:textId="3B417FFC" w:rsidR="001E788B" w:rsidRPr="00E95E3B" w:rsidRDefault="001E788B" w:rsidP="001E788B">
            <w:pPr>
              <w:pStyle w:val="TableReference"/>
              <w:tabs>
                <w:tab w:val="left" w:pos="3306"/>
              </w:tabs>
              <w:rPr>
                <w:rFonts w:cs="Calibri"/>
                <w:color w:val="7030A0"/>
                <w:sz w:val="14"/>
              </w:rPr>
            </w:pPr>
            <w:r w:rsidRPr="00E95E3B">
              <w:rPr>
                <w:rFonts w:cs="Calibri"/>
                <w:color w:val="7030A0"/>
                <w:sz w:val="14"/>
              </w:rPr>
              <w:t>AASB 138.118(e)</w:t>
            </w:r>
            <w:r w:rsidR="00FA7C77">
              <w:rPr>
                <w:rFonts w:cs="Calibri"/>
                <w:color w:val="7030A0"/>
                <w:sz w:val="14"/>
              </w:rPr>
              <w:t xml:space="preserve">   </w:t>
            </w:r>
            <w:r w:rsidRPr="00E95E3B">
              <w:rPr>
                <w:rFonts w:cs="Calibri"/>
                <w:color w:val="7030A0"/>
                <w:sz w:val="14"/>
              </w:rPr>
              <w:t>AASB 116.74(b)</w:t>
            </w:r>
          </w:p>
        </w:tc>
        <w:tc>
          <w:tcPr>
            <w:tcW w:w="6944" w:type="dxa"/>
            <w:tcBorders>
              <w:top w:val="nil"/>
              <w:left w:val="single" w:sz="2" w:space="0" w:color="auto"/>
              <w:bottom w:val="nil"/>
              <w:right w:val="nil"/>
            </w:tcBorders>
          </w:tcPr>
          <w:p w14:paraId="29993AA0" w14:textId="77777777" w:rsidR="001E788B" w:rsidRPr="00E95E3B" w:rsidRDefault="001E788B" w:rsidP="001E788B">
            <w:pPr>
              <w:pStyle w:val="TableText"/>
              <w:tabs>
                <w:tab w:val="left" w:pos="3306"/>
              </w:tabs>
              <w:rPr>
                <w:rFonts w:cs="Calibri"/>
                <w:b/>
                <w:bCs/>
              </w:rPr>
            </w:pPr>
            <w:r w:rsidRPr="00E95E3B">
              <w:rPr>
                <w:rFonts w:cs="Calibri"/>
                <w:b/>
                <w:bCs/>
              </w:rPr>
              <w:t xml:space="preserve">Carrying Amount at the End of </w:t>
            </w:r>
            <w:r w:rsidRPr="00E95E3B">
              <w:rPr>
                <w:rFonts w:cs="Calibri"/>
                <w:b/>
              </w:rPr>
              <w:t>the</w:t>
            </w:r>
            <w:r w:rsidRPr="00E95E3B">
              <w:rPr>
                <w:rFonts w:cs="Calibri"/>
                <w:b/>
                <w:bCs/>
              </w:rPr>
              <w:t xml:space="preserve"> Reporting Period</w:t>
            </w:r>
          </w:p>
        </w:tc>
        <w:tc>
          <w:tcPr>
            <w:tcW w:w="1560" w:type="dxa"/>
            <w:tcBorders>
              <w:top w:val="single" w:sz="2" w:space="0" w:color="auto"/>
              <w:left w:val="nil"/>
              <w:bottom w:val="double" w:sz="4" w:space="0" w:color="auto"/>
              <w:right w:val="nil"/>
            </w:tcBorders>
          </w:tcPr>
          <w:p w14:paraId="766AD3E7" w14:textId="79DF77E7" w:rsidR="001E788B" w:rsidRPr="00E95E3B" w:rsidRDefault="001E788B" w:rsidP="001E788B">
            <w:pPr>
              <w:pStyle w:val="TableText"/>
              <w:tabs>
                <w:tab w:val="left" w:pos="3306"/>
              </w:tabs>
              <w:spacing w:before="0"/>
              <w:rPr>
                <w:rFonts w:cs="Calibri"/>
                <w:b/>
                <w:bCs/>
                <w:highlight w:val="cyan"/>
              </w:rPr>
            </w:pPr>
          </w:p>
        </w:tc>
        <w:tc>
          <w:tcPr>
            <w:tcW w:w="1561" w:type="dxa"/>
            <w:gridSpan w:val="2"/>
            <w:tcBorders>
              <w:top w:val="single" w:sz="2" w:space="0" w:color="auto"/>
              <w:left w:val="nil"/>
              <w:bottom w:val="double" w:sz="4" w:space="0" w:color="auto"/>
              <w:right w:val="nil"/>
            </w:tcBorders>
          </w:tcPr>
          <w:p w14:paraId="7B504591" w14:textId="0CFDA63F" w:rsidR="001E788B" w:rsidRPr="00E95E3B" w:rsidRDefault="001E788B" w:rsidP="001E788B">
            <w:pPr>
              <w:pStyle w:val="TableText"/>
              <w:tabs>
                <w:tab w:val="left" w:pos="3306"/>
              </w:tabs>
              <w:spacing w:before="0"/>
              <w:rPr>
                <w:rFonts w:cs="Calibri"/>
                <w:b/>
                <w:bCs/>
                <w:highlight w:val="cyan"/>
              </w:rPr>
            </w:pPr>
          </w:p>
        </w:tc>
        <w:tc>
          <w:tcPr>
            <w:tcW w:w="1417" w:type="dxa"/>
            <w:gridSpan w:val="2"/>
            <w:tcBorders>
              <w:top w:val="single" w:sz="2" w:space="0" w:color="auto"/>
              <w:left w:val="nil"/>
              <w:bottom w:val="double" w:sz="4" w:space="0" w:color="auto"/>
              <w:right w:val="nil"/>
            </w:tcBorders>
          </w:tcPr>
          <w:p w14:paraId="5189C73B" w14:textId="7740D378" w:rsidR="001E788B" w:rsidRPr="00E95E3B" w:rsidRDefault="001E788B" w:rsidP="001E788B">
            <w:pPr>
              <w:pStyle w:val="TableText"/>
              <w:tabs>
                <w:tab w:val="left" w:pos="3306"/>
              </w:tabs>
              <w:spacing w:before="0"/>
              <w:rPr>
                <w:rFonts w:cs="Calibri"/>
                <w:b/>
                <w:highlight w:val="cyan"/>
              </w:rPr>
            </w:pPr>
          </w:p>
        </w:tc>
        <w:tc>
          <w:tcPr>
            <w:tcW w:w="1134" w:type="dxa"/>
            <w:tcBorders>
              <w:top w:val="single" w:sz="2" w:space="0" w:color="auto"/>
              <w:left w:val="nil"/>
              <w:bottom w:val="double" w:sz="4" w:space="0" w:color="auto"/>
              <w:right w:val="nil"/>
            </w:tcBorders>
          </w:tcPr>
          <w:p w14:paraId="2DAD1081" w14:textId="5405A2BB" w:rsidR="001E788B" w:rsidRPr="00E95E3B" w:rsidRDefault="001E788B" w:rsidP="001E788B">
            <w:pPr>
              <w:pStyle w:val="TableText"/>
              <w:tabs>
                <w:tab w:val="left" w:pos="3306"/>
              </w:tabs>
              <w:spacing w:before="0"/>
              <w:rPr>
                <w:rFonts w:cs="Calibri"/>
                <w:b/>
                <w:highlight w:val="cyan"/>
              </w:rPr>
            </w:pPr>
          </w:p>
        </w:tc>
        <w:tc>
          <w:tcPr>
            <w:tcW w:w="1275" w:type="dxa"/>
            <w:gridSpan w:val="2"/>
            <w:tcBorders>
              <w:top w:val="single" w:sz="2" w:space="0" w:color="auto"/>
              <w:left w:val="nil"/>
              <w:bottom w:val="double" w:sz="4" w:space="0" w:color="auto"/>
              <w:right w:val="nil"/>
            </w:tcBorders>
          </w:tcPr>
          <w:p w14:paraId="635EF82F" w14:textId="5DF67C26" w:rsidR="001E788B" w:rsidRPr="00E95E3B" w:rsidRDefault="001E788B" w:rsidP="001E788B">
            <w:pPr>
              <w:pStyle w:val="TableText"/>
              <w:tabs>
                <w:tab w:val="left" w:pos="3306"/>
              </w:tabs>
              <w:spacing w:before="0"/>
              <w:rPr>
                <w:rFonts w:cs="Calibri"/>
                <w:b/>
              </w:rPr>
            </w:pPr>
          </w:p>
        </w:tc>
      </w:tr>
    </w:tbl>
    <w:p w14:paraId="0FD36FB8" w14:textId="77777777" w:rsidR="00D8083F" w:rsidRPr="00CF7E1B" w:rsidRDefault="00D8083F" w:rsidP="00D8083F">
      <w:pPr>
        <w:rPr>
          <w:rFonts w:cs="Calibri"/>
        </w:rPr>
      </w:pPr>
    </w:p>
    <w:p w14:paraId="3D71937A" w14:textId="77777777" w:rsidR="003C6059" w:rsidRPr="00CF7E1B" w:rsidRDefault="003C6059">
      <w:pPr>
        <w:rPr>
          <w:rFonts w:cs="Calibri"/>
        </w:rPr>
      </w:pPr>
    </w:p>
    <w:p w14:paraId="49337A8C" w14:textId="77777777" w:rsidR="003C6059" w:rsidRPr="00CF7E1B" w:rsidRDefault="003C6059" w:rsidP="00C5789C">
      <w:pPr>
        <w:pStyle w:val="CommentaryText"/>
        <w:tabs>
          <w:tab w:val="left" w:pos="3306"/>
        </w:tabs>
        <w:rPr>
          <w:rFonts w:cs="Calibri"/>
        </w:rPr>
        <w:sectPr w:rsidR="003C6059" w:rsidRPr="00CF7E1B" w:rsidSect="004514CD">
          <w:footnotePr>
            <w:numRestart w:val="eachPage"/>
          </w:footnotePr>
          <w:pgSz w:w="16840" w:h="11907" w:orient="landscape" w:code="9"/>
          <w:pgMar w:top="680" w:right="567" w:bottom="680" w:left="567" w:header="720" w:footer="720" w:gutter="0"/>
          <w:cols w:space="720"/>
        </w:sectPr>
      </w:pPr>
    </w:p>
    <w:tbl>
      <w:tblPr>
        <w:tblW w:w="4974"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950"/>
        <w:gridCol w:w="1559"/>
        <w:gridCol w:w="1417"/>
      </w:tblGrid>
      <w:tr w:rsidR="000D6708" w:rsidRPr="00811723" w14:paraId="45CC3E9B" w14:textId="77777777" w:rsidTr="00AE2F99">
        <w:trPr>
          <w:cantSplit/>
          <w:trHeight w:val="23"/>
        </w:trPr>
        <w:tc>
          <w:tcPr>
            <w:tcW w:w="1563" w:type="dxa"/>
            <w:tcBorders>
              <w:top w:val="nil"/>
              <w:left w:val="single" w:sz="2" w:space="0" w:color="auto"/>
              <w:bottom w:val="nil"/>
              <w:right w:val="single" w:sz="2" w:space="0" w:color="auto"/>
            </w:tcBorders>
            <w:shd w:val="clear" w:color="auto" w:fill="auto"/>
            <w:vAlign w:val="center"/>
          </w:tcPr>
          <w:p w14:paraId="52696C3A" w14:textId="3CA59C89" w:rsidR="000D6708" w:rsidRPr="006746FA" w:rsidRDefault="000D6708" w:rsidP="00C864E3">
            <w:pPr>
              <w:pStyle w:val="TableReference"/>
              <w:tabs>
                <w:tab w:val="left" w:pos="3306"/>
              </w:tabs>
              <w:spacing w:after="240"/>
              <w:rPr>
                <w:rFonts w:cs="Calibri"/>
                <w:color w:val="7030A0"/>
                <w:sz w:val="14"/>
              </w:rPr>
            </w:pPr>
            <w:bookmarkStart w:id="576" w:name="Payables" w:colFirst="1" w:colLast="1"/>
            <w:r w:rsidRPr="006746FA">
              <w:rPr>
                <w:rFonts w:cs="Calibri"/>
                <w:b/>
                <w:color w:val="7030A0"/>
                <w:sz w:val="22"/>
                <w:szCs w:val="22"/>
              </w:rPr>
              <w:t>Reference</w:t>
            </w:r>
          </w:p>
        </w:tc>
        <w:tc>
          <w:tcPr>
            <w:tcW w:w="8926" w:type="dxa"/>
            <w:gridSpan w:val="3"/>
            <w:tcBorders>
              <w:top w:val="nil"/>
              <w:left w:val="single" w:sz="2" w:space="0" w:color="auto"/>
              <w:bottom w:val="nil"/>
              <w:right w:val="nil"/>
            </w:tcBorders>
            <w:shd w:val="clear" w:color="auto" w:fill="7030A0"/>
            <w:vAlign w:val="bottom"/>
          </w:tcPr>
          <w:p w14:paraId="3169E03C" w14:textId="6A779839" w:rsidR="000D6708" w:rsidRPr="006746FA" w:rsidRDefault="000D6708" w:rsidP="00C864E3">
            <w:pPr>
              <w:pStyle w:val="CommentaryTitle"/>
              <w:spacing w:before="0" w:after="240"/>
              <w:rPr>
                <w:rFonts w:cs="Calibri"/>
                <w:color w:val="FFFFFF" w:themeColor="background1"/>
                <w:sz w:val="28"/>
                <w:szCs w:val="28"/>
              </w:rPr>
            </w:pPr>
            <w:r w:rsidRPr="006746FA">
              <w:rPr>
                <w:rFonts w:cs="Calibri"/>
                <w:color w:val="FFFFFF" w:themeColor="background1"/>
                <w:sz w:val="28"/>
                <w:szCs w:val="28"/>
              </w:rPr>
              <w:t>Commentary – Note 22: Capital Works in Progress</w:t>
            </w:r>
          </w:p>
        </w:tc>
      </w:tr>
      <w:tr w:rsidR="000D6708" w:rsidRPr="00B67199" w14:paraId="79936567"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463076FE" w14:textId="77777777" w:rsidR="000D6708" w:rsidRPr="006746FA" w:rsidRDefault="000D6708"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7030A0"/>
            <w:vAlign w:val="bottom"/>
          </w:tcPr>
          <w:p w14:paraId="4C51CF88" w14:textId="6F53F4A5" w:rsidR="000D6708" w:rsidRPr="006746FA" w:rsidRDefault="000D6708" w:rsidP="00F17F81">
            <w:pPr>
              <w:spacing w:after="120"/>
              <w:jc w:val="both"/>
              <w:rPr>
                <w:color w:val="FFFFFF" w:themeColor="background1"/>
                <w:sz w:val="18"/>
                <w:szCs w:val="18"/>
              </w:rPr>
            </w:pPr>
            <w:r w:rsidRPr="006746FA">
              <w:rPr>
                <w:color w:val="FFFFFF" w:themeColor="background1"/>
                <w:sz w:val="18"/>
                <w:szCs w:val="18"/>
              </w:rPr>
              <w:t>Certain costs may occur in connection with the construction or development of an asset that are not ‘directly attributable’ to the asset. These incidental costs are recognised as expenses when incurred. An example of a related cost that cannot be capitalised, is the cost of relocating staff into the new building at the completion of the project.</w:t>
            </w:r>
          </w:p>
        </w:tc>
      </w:tr>
      <w:tr w:rsidR="000D6708" w:rsidRPr="00B67199" w14:paraId="70B3CCA3"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478A8DDC" w14:textId="65DCFBD2" w:rsidR="000D6708" w:rsidRPr="006746FA" w:rsidRDefault="000D6708"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7030A0"/>
            <w:vAlign w:val="bottom"/>
          </w:tcPr>
          <w:p w14:paraId="29710AB0" w14:textId="76482C0F" w:rsidR="000D6708" w:rsidRPr="006746FA" w:rsidRDefault="000D6708" w:rsidP="00F17F81">
            <w:pPr>
              <w:jc w:val="both"/>
              <w:rPr>
                <w:rFonts w:cs="Calibri"/>
                <w:color w:val="FFFFFF" w:themeColor="background1"/>
                <w:sz w:val="18"/>
                <w:szCs w:val="18"/>
              </w:rPr>
            </w:pPr>
            <w:r w:rsidRPr="006746FA">
              <w:rPr>
                <w:color w:val="FFFFFF" w:themeColor="background1"/>
                <w:sz w:val="18"/>
                <w:szCs w:val="18"/>
              </w:rPr>
              <w:t xml:space="preserve">Once costs have been </w:t>
            </w:r>
            <w:r w:rsidR="00A4259B" w:rsidRPr="006746FA">
              <w:rPr>
                <w:color w:val="FFFFFF" w:themeColor="background1"/>
                <w:sz w:val="18"/>
                <w:szCs w:val="18"/>
              </w:rPr>
              <w:t>expensed,</w:t>
            </w:r>
            <w:r w:rsidRPr="006746FA">
              <w:rPr>
                <w:color w:val="FFFFFF" w:themeColor="background1"/>
                <w:sz w:val="18"/>
                <w:szCs w:val="18"/>
              </w:rPr>
              <w:t xml:space="preserve"> they cannot subsequently be capitalised in future years (except where an error has occurred in the initial treatment). Costs expensed early in a capital works project, because at that time it was not probable that the asset would eventuate, cannot subsequently be capitalised if the project proceeds and the asset is built.</w:t>
            </w:r>
          </w:p>
        </w:tc>
      </w:tr>
      <w:tr w:rsidR="00E95E3B" w:rsidRPr="00B67199" w14:paraId="692691C5"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555DCD7E" w14:textId="77777777" w:rsidR="00E95E3B" w:rsidRPr="006746FA" w:rsidRDefault="00E95E3B"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7030A0"/>
            <w:vAlign w:val="bottom"/>
          </w:tcPr>
          <w:p w14:paraId="0AA14D7E" w14:textId="77777777" w:rsidR="00E95E3B" w:rsidRPr="006746FA" w:rsidRDefault="00E95E3B" w:rsidP="00F17F81">
            <w:pPr>
              <w:jc w:val="both"/>
              <w:rPr>
                <w:color w:val="FFFFFF" w:themeColor="background1"/>
                <w:sz w:val="18"/>
                <w:szCs w:val="18"/>
              </w:rPr>
            </w:pPr>
          </w:p>
        </w:tc>
      </w:tr>
      <w:tr w:rsidR="00E95E3B" w:rsidRPr="00B67199" w14:paraId="79FC7A87"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4B3F428A" w14:textId="77777777" w:rsidR="00E95E3B" w:rsidRPr="006746FA" w:rsidRDefault="00E95E3B"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auto"/>
            <w:vAlign w:val="bottom"/>
          </w:tcPr>
          <w:p w14:paraId="54E8972D" w14:textId="21EE0849" w:rsidR="00E95E3B" w:rsidRPr="006746FA" w:rsidRDefault="00E95E3B" w:rsidP="00F12934">
            <w:pPr>
              <w:pStyle w:val="Heading1"/>
              <w:numPr>
                <w:ilvl w:val="0"/>
                <w:numId w:val="0"/>
              </w:numPr>
              <w:ind w:left="1134" w:hanging="1134"/>
              <w:rPr>
                <w:sz w:val="18"/>
                <w:szCs w:val="18"/>
              </w:rPr>
            </w:pPr>
            <w:bookmarkStart w:id="577" w:name="_Toc98763140"/>
            <w:r w:rsidRPr="006746FA">
              <w:t>Note 23.</w:t>
            </w:r>
            <w:r w:rsidR="00FA7C77">
              <w:t xml:space="preserve"> </w:t>
            </w:r>
            <w:r w:rsidRPr="006746FA">
              <w:t xml:space="preserve"> Other Assets</w:t>
            </w:r>
            <w:bookmarkEnd w:id="577"/>
          </w:p>
        </w:tc>
      </w:tr>
      <w:tr w:rsidR="00E95E3B" w:rsidRPr="00B67199" w14:paraId="40CDCEBA" w14:textId="77777777" w:rsidTr="00AE2F99">
        <w:trPr>
          <w:cantSplit/>
          <w:trHeight w:val="23"/>
        </w:trPr>
        <w:tc>
          <w:tcPr>
            <w:tcW w:w="1563" w:type="dxa"/>
            <w:tcBorders>
              <w:top w:val="nil"/>
              <w:left w:val="single" w:sz="2" w:space="0" w:color="auto"/>
              <w:bottom w:val="nil"/>
              <w:right w:val="single" w:sz="2" w:space="0" w:color="auto"/>
            </w:tcBorders>
            <w:shd w:val="clear" w:color="auto" w:fill="auto"/>
          </w:tcPr>
          <w:p w14:paraId="5CD2BC61" w14:textId="77777777" w:rsidR="00E95E3B" w:rsidRPr="006746FA" w:rsidRDefault="00E95E3B" w:rsidP="009A0F2F">
            <w:pPr>
              <w:pStyle w:val="TableReference"/>
              <w:tabs>
                <w:tab w:val="left" w:pos="3306"/>
              </w:tabs>
              <w:spacing w:before="40"/>
              <w:rPr>
                <w:rFonts w:cs="Calibri"/>
                <w:color w:val="7030A0"/>
                <w:sz w:val="14"/>
              </w:rPr>
            </w:pPr>
          </w:p>
        </w:tc>
        <w:tc>
          <w:tcPr>
            <w:tcW w:w="8926" w:type="dxa"/>
            <w:gridSpan w:val="3"/>
            <w:tcBorders>
              <w:top w:val="nil"/>
              <w:left w:val="single" w:sz="2" w:space="0" w:color="auto"/>
              <w:bottom w:val="nil"/>
              <w:right w:val="nil"/>
            </w:tcBorders>
            <w:shd w:val="clear" w:color="auto" w:fill="auto"/>
            <w:vAlign w:val="bottom"/>
          </w:tcPr>
          <w:p w14:paraId="1B91BB5E" w14:textId="77777777" w:rsidR="00E95E3B" w:rsidRPr="006746FA" w:rsidRDefault="00E95E3B" w:rsidP="00F17F81">
            <w:pPr>
              <w:jc w:val="both"/>
              <w:rPr>
                <w:sz w:val="18"/>
                <w:szCs w:val="18"/>
              </w:rPr>
            </w:pPr>
          </w:p>
        </w:tc>
      </w:tr>
      <w:tr w:rsidR="00E95E3B" w:rsidRPr="00B67199" w14:paraId="50884321" w14:textId="77777777" w:rsidTr="00AE2F99">
        <w:trPr>
          <w:cantSplit/>
          <w:trHeight w:val="132"/>
        </w:trPr>
        <w:tc>
          <w:tcPr>
            <w:tcW w:w="1563" w:type="dxa"/>
            <w:tcBorders>
              <w:top w:val="nil"/>
              <w:left w:val="single" w:sz="2" w:space="0" w:color="auto"/>
              <w:bottom w:val="nil"/>
              <w:right w:val="single" w:sz="2" w:space="0" w:color="auto"/>
            </w:tcBorders>
            <w:shd w:val="clear" w:color="auto" w:fill="auto"/>
          </w:tcPr>
          <w:p w14:paraId="54BC0E6C"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4D82304E" w14:textId="77777777" w:rsidR="00E95E3B" w:rsidRPr="006746FA" w:rsidRDefault="00E95E3B" w:rsidP="00E95E3B">
            <w:pPr>
              <w:pStyle w:val="TableText"/>
              <w:spacing w:before="0"/>
              <w:jc w:val="both"/>
              <w:rPr>
                <w:rFonts w:cs="Calibri"/>
              </w:rPr>
            </w:pPr>
          </w:p>
        </w:tc>
        <w:tc>
          <w:tcPr>
            <w:tcW w:w="1559" w:type="dxa"/>
            <w:tcBorders>
              <w:top w:val="nil"/>
              <w:left w:val="nil"/>
              <w:bottom w:val="nil"/>
              <w:right w:val="nil"/>
            </w:tcBorders>
          </w:tcPr>
          <w:p w14:paraId="16840FD5" w14:textId="063DC3CE" w:rsidR="00E95E3B" w:rsidRPr="006746FA" w:rsidRDefault="00E95E3B" w:rsidP="00E95E3B">
            <w:pPr>
              <w:pStyle w:val="TableText"/>
              <w:spacing w:before="0"/>
              <w:jc w:val="right"/>
              <w:rPr>
                <w:rFonts w:cs="Calibri"/>
                <w:b/>
                <w:bCs/>
              </w:rPr>
            </w:pPr>
            <w:r w:rsidRPr="006746FA">
              <w:rPr>
                <w:rFonts w:cs="Calibri"/>
                <w:b/>
                <w:bCs/>
              </w:rPr>
              <w:t>2022</w:t>
            </w:r>
          </w:p>
        </w:tc>
        <w:tc>
          <w:tcPr>
            <w:tcW w:w="1417" w:type="dxa"/>
            <w:tcBorders>
              <w:top w:val="nil"/>
              <w:left w:val="nil"/>
              <w:bottom w:val="nil"/>
              <w:right w:val="nil"/>
            </w:tcBorders>
          </w:tcPr>
          <w:p w14:paraId="10DB84F4" w14:textId="59AA4121" w:rsidR="00E95E3B" w:rsidRPr="006746FA" w:rsidRDefault="00E95E3B" w:rsidP="00E95E3B">
            <w:pPr>
              <w:pStyle w:val="TableText"/>
              <w:spacing w:before="0"/>
              <w:jc w:val="right"/>
              <w:rPr>
                <w:rFonts w:cs="Calibri"/>
                <w:b/>
                <w:bCs/>
              </w:rPr>
            </w:pPr>
            <w:r w:rsidRPr="006746FA">
              <w:rPr>
                <w:rFonts w:cs="Calibri"/>
                <w:b/>
                <w:bCs/>
              </w:rPr>
              <w:t>2021</w:t>
            </w:r>
            <w:r w:rsidRPr="0009580B">
              <w:rPr>
                <w:rFonts w:cs="Calibri"/>
                <w:b/>
                <w:bCs/>
              </w:rPr>
              <w:t xml:space="preserve"> </w:t>
            </w:r>
          </w:p>
        </w:tc>
      </w:tr>
      <w:tr w:rsidR="00E95E3B" w:rsidRPr="00B67199" w14:paraId="669DB030"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8026BB8"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4FEB4BD5" w14:textId="77777777" w:rsidR="00E95E3B" w:rsidRPr="006746FA" w:rsidRDefault="00E95E3B" w:rsidP="00E95E3B">
            <w:pPr>
              <w:pStyle w:val="TableText"/>
              <w:spacing w:before="0"/>
              <w:jc w:val="both"/>
              <w:rPr>
                <w:rFonts w:cs="Calibri"/>
              </w:rPr>
            </w:pPr>
          </w:p>
        </w:tc>
        <w:tc>
          <w:tcPr>
            <w:tcW w:w="1559" w:type="dxa"/>
            <w:tcBorders>
              <w:top w:val="nil"/>
              <w:left w:val="nil"/>
              <w:bottom w:val="nil"/>
              <w:right w:val="nil"/>
            </w:tcBorders>
          </w:tcPr>
          <w:p w14:paraId="10C909FE" w14:textId="0A8D5E73" w:rsidR="00E95E3B" w:rsidRPr="006746FA" w:rsidRDefault="00E95E3B" w:rsidP="00E95E3B">
            <w:pPr>
              <w:pStyle w:val="TableText"/>
              <w:spacing w:before="0"/>
              <w:jc w:val="right"/>
              <w:rPr>
                <w:rFonts w:cs="Calibri"/>
                <w:b/>
                <w:bCs/>
              </w:rPr>
            </w:pPr>
            <w:r w:rsidRPr="006746FA">
              <w:rPr>
                <w:rFonts w:cs="Calibri"/>
                <w:b/>
                <w:bCs/>
              </w:rPr>
              <w:t>$’000</w:t>
            </w:r>
          </w:p>
        </w:tc>
        <w:tc>
          <w:tcPr>
            <w:tcW w:w="1417" w:type="dxa"/>
            <w:tcBorders>
              <w:top w:val="nil"/>
              <w:left w:val="nil"/>
              <w:bottom w:val="nil"/>
              <w:right w:val="nil"/>
            </w:tcBorders>
          </w:tcPr>
          <w:p w14:paraId="17F9D644" w14:textId="0EC137CC" w:rsidR="00E95E3B" w:rsidRPr="006746FA" w:rsidRDefault="00E95E3B" w:rsidP="00E95E3B">
            <w:pPr>
              <w:pStyle w:val="TableText"/>
              <w:spacing w:before="0"/>
              <w:jc w:val="right"/>
              <w:rPr>
                <w:rFonts w:cs="Calibri"/>
                <w:b/>
                <w:bCs/>
              </w:rPr>
            </w:pPr>
            <w:r w:rsidRPr="006746FA">
              <w:rPr>
                <w:rFonts w:cs="Calibri"/>
                <w:b/>
                <w:bCs/>
              </w:rPr>
              <w:t>$’000</w:t>
            </w:r>
          </w:p>
        </w:tc>
      </w:tr>
      <w:tr w:rsidR="00E95E3B" w:rsidRPr="00B67199" w14:paraId="3C16328C"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50EF5773" w14:textId="611D2188" w:rsidR="00E95E3B" w:rsidRPr="006746FA" w:rsidRDefault="00E95E3B" w:rsidP="00E95E3B">
            <w:pPr>
              <w:pStyle w:val="TableText"/>
              <w:spacing w:before="0"/>
              <w:jc w:val="both"/>
              <w:rPr>
                <w:rFonts w:cs="Calibri"/>
                <w:color w:val="7030A0"/>
              </w:rPr>
            </w:pPr>
            <w:r w:rsidRPr="006746FA">
              <w:rPr>
                <w:rFonts w:cs="Calibri"/>
                <w:color w:val="7030A0"/>
                <w:sz w:val="14"/>
              </w:rPr>
              <w:t>ACT Disclosure Policy</w:t>
            </w:r>
          </w:p>
        </w:tc>
        <w:tc>
          <w:tcPr>
            <w:tcW w:w="5950" w:type="dxa"/>
            <w:tcBorders>
              <w:top w:val="nil"/>
              <w:left w:val="single" w:sz="2" w:space="0" w:color="auto"/>
              <w:bottom w:val="nil"/>
              <w:right w:val="nil"/>
            </w:tcBorders>
          </w:tcPr>
          <w:p w14:paraId="08FAC72C" w14:textId="6C98BB9A" w:rsidR="00E95E3B" w:rsidRPr="006746FA" w:rsidRDefault="00E95E3B" w:rsidP="00E95E3B">
            <w:pPr>
              <w:pStyle w:val="TableText"/>
              <w:spacing w:before="0"/>
              <w:jc w:val="both"/>
              <w:rPr>
                <w:rFonts w:cs="Calibri"/>
              </w:rPr>
            </w:pPr>
            <w:r w:rsidRPr="006746FA">
              <w:rPr>
                <w:rFonts w:cs="Calibri"/>
                <w:b/>
                <w:bCs/>
              </w:rPr>
              <w:t>Current Other Assets</w:t>
            </w:r>
          </w:p>
        </w:tc>
        <w:tc>
          <w:tcPr>
            <w:tcW w:w="1559" w:type="dxa"/>
            <w:tcBorders>
              <w:top w:val="nil"/>
              <w:left w:val="nil"/>
              <w:bottom w:val="nil"/>
              <w:right w:val="nil"/>
            </w:tcBorders>
          </w:tcPr>
          <w:p w14:paraId="17B7A825" w14:textId="77777777" w:rsidR="00E95E3B" w:rsidRPr="006746FA" w:rsidRDefault="00E95E3B" w:rsidP="00E95E3B">
            <w:pPr>
              <w:pStyle w:val="TableText"/>
              <w:spacing w:before="0"/>
              <w:jc w:val="both"/>
              <w:rPr>
                <w:rFonts w:cs="Calibri"/>
              </w:rPr>
            </w:pPr>
          </w:p>
        </w:tc>
        <w:tc>
          <w:tcPr>
            <w:tcW w:w="1417" w:type="dxa"/>
            <w:tcBorders>
              <w:top w:val="nil"/>
              <w:left w:val="nil"/>
              <w:bottom w:val="nil"/>
              <w:right w:val="nil"/>
            </w:tcBorders>
          </w:tcPr>
          <w:p w14:paraId="4A7D1833" w14:textId="6379C109" w:rsidR="00E95E3B" w:rsidRPr="006746FA" w:rsidRDefault="00E95E3B" w:rsidP="00E95E3B">
            <w:pPr>
              <w:pStyle w:val="TableText"/>
              <w:spacing w:before="0"/>
              <w:jc w:val="both"/>
              <w:rPr>
                <w:rFonts w:cs="Calibri"/>
              </w:rPr>
            </w:pPr>
          </w:p>
        </w:tc>
      </w:tr>
      <w:tr w:rsidR="00E95E3B" w:rsidRPr="00B67199" w14:paraId="57838A41"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6B53B0F3" w14:textId="3DED542B"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04B8413C" w14:textId="4E2942C2" w:rsidR="00E95E3B" w:rsidRPr="006746FA" w:rsidRDefault="00E95E3B" w:rsidP="00E95E3B">
            <w:pPr>
              <w:pStyle w:val="TableText"/>
              <w:spacing w:before="0"/>
              <w:jc w:val="both"/>
              <w:rPr>
                <w:rFonts w:cs="Calibri"/>
              </w:rPr>
            </w:pPr>
            <w:r w:rsidRPr="006746FA">
              <w:rPr>
                <w:rFonts w:cs="Calibri"/>
              </w:rPr>
              <w:t>Prepayments</w:t>
            </w:r>
          </w:p>
        </w:tc>
        <w:tc>
          <w:tcPr>
            <w:tcW w:w="1559" w:type="dxa"/>
            <w:tcBorders>
              <w:top w:val="nil"/>
              <w:left w:val="nil"/>
              <w:bottom w:val="nil"/>
              <w:right w:val="nil"/>
            </w:tcBorders>
          </w:tcPr>
          <w:p w14:paraId="2BAB3E17" w14:textId="77777777" w:rsidR="00E95E3B" w:rsidRPr="006746FA" w:rsidRDefault="00E95E3B" w:rsidP="00E95E3B">
            <w:pPr>
              <w:pStyle w:val="TableText"/>
              <w:spacing w:before="0"/>
              <w:jc w:val="both"/>
              <w:rPr>
                <w:rFonts w:cs="Calibri"/>
              </w:rPr>
            </w:pPr>
          </w:p>
        </w:tc>
        <w:tc>
          <w:tcPr>
            <w:tcW w:w="1417" w:type="dxa"/>
            <w:tcBorders>
              <w:top w:val="nil"/>
              <w:left w:val="nil"/>
              <w:bottom w:val="nil"/>
              <w:right w:val="nil"/>
            </w:tcBorders>
          </w:tcPr>
          <w:p w14:paraId="3A9DEC6B" w14:textId="21A252EA" w:rsidR="00E95E3B" w:rsidRPr="006746FA" w:rsidRDefault="00E95E3B" w:rsidP="00E95E3B">
            <w:pPr>
              <w:pStyle w:val="TableText"/>
              <w:spacing w:before="0"/>
              <w:jc w:val="both"/>
              <w:rPr>
                <w:rFonts w:cs="Calibri"/>
              </w:rPr>
            </w:pPr>
          </w:p>
        </w:tc>
      </w:tr>
      <w:tr w:rsidR="00E95E3B" w:rsidRPr="00B67199" w14:paraId="170B9BA0"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8922192" w14:textId="54C2C8B7"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091EA261" w14:textId="402E3663" w:rsidR="00E95E3B" w:rsidRPr="00B67199" w:rsidRDefault="00E95E3B" w:rsidP="00E95E3B">
            <w:pPr>
              <w:pStyle w:val="TableText"/>
              <w:spacing w:before="0"/>
              <w:jc w:val="both"/>
              <w:rPr>
                <w:rFonts w:cs="Calibri"/>
              </w:rPr>
            </w:pPr>
            <w:r w:rsidRPr="007C5459">
              <w:rPr>
                <w:rFonts w:cs="Calibri"/>
              </w:rPr>
              <w:t>Other</w:t>
            </w:r>
          </w:p>
        </w:tc>
        <w:tc>
          <w:tcPr>
            <w:tcW w:w="1559" w:type="dxa"/>
            <w:tcBorders>
              <w:top w:val="nil"/>
              <w:left w:val="nil"/>
              <w:bottom w:val="single" w:sz="2" w:space="0" w:color="auto"/>
              <w:right w:val="nil"/>
            </w:tcBorders>
          </w:tcPr>
          <w:p w14:paraId="77480986" w14:textId="77777777" w:rsidR="00E95E3B" w:rsidRPr="00B67199" w:rsidRDefault="00E95E3B" w:rsidP="00E95E3B">
            <w:pPr>
              <w:pStyle w:val="TableText"/>
              <w:spacing w:before="0"/>
              <w:jc w:val="both"/>
              <w:rPr>
                <w:rFonts w:cs="Calibri"/>
              </w:rPr>
            </w:pPr>
          </w:p>
        </w:tc>
        <w:tc>
          <w:tcPr>
            <w:tcW w:w="1417" w:type="dxa"/>
            <w:tcBorders>
              <w:top w:val="nil"/>
              <w:left w:val="nil"/>
              <w:bottom w:val="single" w:sz="2" w:space="0" w:color="auto"/>
              <w:right w:val="nil"/>
            </w:tcBorders>
          </w:tcPr>
          <w:p w14:paraId="6C5BC118" w14:textId="38AB8ECD" w:rsidR="00E95E3B" w:rsidRPr="00B67199" w:rsidRDefault="00E95E3B" w:rsidP="00E95E3B">
            <w:pPr>
              <w:pStyle w:val="TableText"/>
              <w:spacing w:before="0"/>
              <w:jc w:val="both"/>
              <w:rPr>
                <w:rFonts w:cs="Calibri"/>
              </w:rPr>
            </w:pPr>
          </w:p>
        </w:tc>
      </w:tr>
      <w:tr w:rsidR="00E95E3B" w:rsidRPr="00B67199" w14:paraId="37DE6F8C"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FF74282"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0BBF500B" w14:textId="28AE2F1C" w:rsidR="00E95E3B" w:rsidRPr="00B67199" w:rsidRDefault="00E95E3B" w:rsidP="00E95E3B">
            <w:pPr>
              <w:pStyle w:val="TableText"/>
              <w:spacing w:before="0"/>
              <w:jc w:val="both"/>
              <w:rPr>
                <w:rFonts w:cs="Calibri"/>
              </w:rPr>
            </w:pPr>
            <w:r w:rsidRPr="007C5459">
              <w:rPr>
                <w:rFonts w:cs="Calibri"/>
                <w:b/>
                <w:bCs/>
              </w:rPr>
              <w:t>Total Current Other Assets</w:t>
            </w:r>
          </w:p>
        </w:tc>
        <w:tc>
          <w:tcPr>
            <w:tcW w:w="1559" w:type="dxa"/>
            <w:tcBorders>
              <w:top w:val="single" w:sz="2" w:space="0" w:color="auto"/>
              <w:left w:val="nil"/>
              <w:bottom w:val="single" w:sz="2" w:space="0" w:color="auto"/>
              <w:right w:val="nil"/>
            </w:tcBorders>
          </w:tcPr>
          <w:p w14:paraId="456E6F2B"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single" w:sz="2" w:space="0" w:color="auto"/>
              <w:right w:val="nil"/>
            </w:tcBorders>
          </w:tcPr>
          <w:p w14:paraId="335DFDCD" w14:textId="61F99C8A" w:rsidR="00E95E3B" w:rsidRPr="00B67199" w:rsidRDefault="00E95E3B" w:rsidP="00E95E3B">
            <w:pPr>
              <w:pStyle w:val="TableText"/>
              <w:spacing w:before="0"/>
              <w:jc w:val="both"/>
              <w:rPr>
                <w:rFonts w:cs="Calibri"/>
              </w:rPr>
            </w:pPr>
          </w:p>
        </w:tc>
      </w:tr>
      <w:tr w:rsidR="00E95E3B" w:rsidRPr="00B67199" w14:paraId="640E7DDA"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3267205"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64F0F98A" w14:textId="77777777" w:rsidR="00E95E3B" w:rsidRPr="00B67199" w:rsidRDefault="00E95E3B" w:rsidP="00E95E3B">
            <w:pPr>
              <w:pStyle w:val="TableText"/>
              <w:spacing w:before="0"/>
              <w:jc w:val="both"/>
              <w:rPr>
                <w:rFonts w:cs="Calibri"/>
              </w:rPr>
            </w:pPr>
          </w:p>
        </w:tc>
        <w:tc>
          <w:tcPr>
            <w:tcW w:w="1559" w:type="dxa"/>
            <w:tcBorders>
              <w:top w:val="single" w:sz="2" w:space="0" w:color="auto"/>
              <w:left w:val="nil"/>
              <w:bottom w:val="nil"/>
              <w:right w:val="nil"/>
            </w:tcBorders>
          </w:tcPr>
          <w:p w14:paraId="0BA2072A"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nil"/>
              <w:right w:val="nil"/>
            </w:tcBorders>
          </w:tcPr>
          <w:p w14:paraId="6B6A3209" w14:textId="4109E1C1" w:rsidR="00E95E3B" w:rsidRPr="00B67199" w:rsidRDefault="00E95E3B" w:rsidP="00E95E3B">
            <w:pPr>
              <w:pStyle w:val="TableText"/>
              <w:spacing w:before="0"/>
              <w:jc w:val="both"/>
              <w:rPr>
                <w:rFonts w:cs="Calibri"/>
              </w:rPr>
            </w:pPr>
          </w:p>
        </w:tc>
      </w:tr>
      <w:tr w:rsidR="00E95E3B" w:rsidRPr="00B67199" w14:paraId="41F01614"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047507A1" w14:textId="359C46C8" w:rsidR="00E95E3B" w:rsidRPr="006746FA" w:rsidRDefault="00E95E3B" w:rsidP="00E95E3B">
            <w:pPr>
              <w:pStyle w:val="TableText"/>
              <w:spacing w:before="0"/>
              <w:jc w:val="both"/>
              <w:rPr>
                <w:rFonts w:cs="Calibri"/>
                <w:color w:val="7030A0"/>
              </w:rPr>
            </w:pPr>
            <w:r w:rsidRPr="006746FA">
              <w:rPr>
                <w:rFonts w:cs="Calibri"/>
                <w:color w:val="7030A0"/>
                <w:sz w:val="14"/>
              </w:rPr>
              <w:t>ACT Disclosure Policy</w:t>
            </w:r>
          </w:p>
        </w:tc>
        <w:tc>
          <w:tcPr>
            <w:tcW w:w="5950" w:type="dxa"/>
            <w:tcBorders>
              <w:top w:val="nil"/>
              <w:left w:val="single" w:sz="2" w:space="0" w:color="auto"/>
              <w:bottom w:val="nil"/>
              <w:right w:val="nil"/>
            </w:tcBorders>
          </w:tcPr>
          <w:p w14:paraId="18B24E8F" w14:textId="29D1BB97" w:rsidR="00E95E3B" w:rsidRPr="00B67199" w:rsidRDefault="00E95E3B" w:rsidP="00E95E3B">
            <w:pPr>
              <w:pStyle w:val="TableText"/>
              <w:spacing w:before="0"/>
              <w:jc w:val="both"/>
              <w:rPr>
                <w:rFonts w:cs="Calibri"/>
              </w:rPr>
            </w:pPr>
            <w:r w:rsidRPr="007C5459">
              <w:rPr>
                <w:rFonts w:cs="Calibri"/>
                <w:b/>
                <w:bCs/>
              </w:rPr>
              <w:t>Non-Current Other Assets</w:t>
            </w:r>
          </w:p>
        </w:tc>
        <w:tc>
          <w:tcPr>
            <w:tcW w:w="1559" w:type="dxa"/>
            <w:tcBorders>
              <w:top w:val="nil"/>
              <w:left w:val="nil"/>
              <w:bottom w:val="nil"/>
              <w:right w:val="nil"/>
            </w:tcBorders>
          </w:tcPr>
          <w:p w14:paraId="0B7C77BA" w14:textId="77777777" w:rsidR="00E95E3B" w:rsidRPr="00B67199" w:rsidRDefault="00E95E3B" w:rsidP="00E95E3B">
            <w:pPr>
              <w:pStyle w:val="TableText"/>
              <w:spacing w:before="0"/>
              <w:jc w:val="both"/>
              <w:rPr>
                <w:rFonts w:cs="Calibri"/>
              </w:rPr>
            </w:pPr>
          </w:p>
        </w:tc>
        <w:tc>
          <w:tcPr>
            <w:tcW w:w="1417" w:type="dxa"/>
            <w:tcBorders>
              <w:top w:val="nil"/>
              <w:left w:val="nil"/>
              <w:bottom w:val="nil"/>
              <w:right w:val="nil"/>
            </w:tcBorders>
          </w:tcPr>
          <w:p w14:paraId="1AFEF455" w14:textId="1CDDCFAE" w:rsidR="00E95E3B" w:rsidRPr="00B67199" w:rsidRDefault="00E95E3B" w:rsidP="00E95E3B">
            <w:pPr>
              <w:pStyle w:val="TableText"/>
              <w:spacing w:before="0"/>
              <w:jc w:val="both"/>
              <w:rPr>
                <w:rFonts w:cs="Calibri"/>
              </w:rPr>
            </w:pPr>
          </w:p>
        </w:tc>
      </w:tr>
      <w:tr w:rsidR="00E95E3B" w:rsidRPr="00B67199" w14:paraId="39943ACF"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358E0916" w14:textId="4F9AFF2D"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24FF6FEE" w14:textId="5ED40E86" w:rsidR="00E95E3B" w:rsidRPr="00B67199" w:rsidRDefault="00E95E3B" w:rsidP="00E95E3B">
            <w:pPr>
              <w:pStyle w:val="TableText"/>
              <w:spacing w:before="0"/>
              <w:jc w:val="both"/>
              <w:rPr>
                <w:rFonts w:cs="Calibri"/>
              </w:rPr>
            </w:pPr>
            <w:r w:rsidRPr="007C5459">
              <w:rPr>
                <w:rFonts w:cs="Calibri"/>
              </w:rPr>
              <w:t>Prepayments</w:t>
            </w:r>
          </w:p>
        </w:tc>
        <w:tc>
          <w:tcPr>
            <w:tcW w:w="1559" w:type="dxa"/>
            <w:tcBorders>
              <w:top w:val="nil"/>
              <w:left w:val="nil"/>
              <w:bottom w:val="nil"/>
              <w:right w:val="nil"/>
            </w:tcBorders>
          </w:tcPr>
          <w:p w14:paraId="7675B641" w14:textId="77777777" w:rsidR="00E95E3B" w:rsidRPr="00B67199" w:rsidRDefault="00E95E3B" w:rsidP="00E95E3B">
            <w:pPr>
              <w:pStyle w:val="TableText"/>
              <w:spacing w:before="0"/>
              <w:jc w:val="both"/>
              <w:rPr>
                <w:rFonts w:cs="Calibri"/>
              </w:rPr>
            </w:pPr>
          </w:p>
        </w:tc>
        <w:tc>
          <w:tcPr>
            <w:tcW w:w="1417" w:type="dxa"/>
            <w:tcBorders>
              <w:top w:val="nil"/>
              <w:left w:val="nil"/>
              <w:bottom w:val="nil"/>
              <w:right w:val="nil"/>
            </w:tcBorders>
          </w:tcPr>
          <w:p w14:paraId="328BD5C2" w14:textId="26CA2F87" w:rsidR="00E95E3B" w:rsidRPr="00B67199" w:rsidRDefault="00E95E3B" w:rsidP="00E95E3B">
            <w:pPr>
              <w:pStyle w:val="TableText"/>
              <w:spacing w:before="0"/>
              <w:jc w:val="both"/>
              <w:rPr>
                <w:rFonts w:cs="Calibri"/>
              </w:rPr>
            </w:pPr>
          </w:p>
        </w:tc>
      </w:tr>
      <w:tr w:rsidR="00E95E3B" w:rsidRPr="00B67199" w14:paraId="66D8E37A"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12F2392" w14:textId="083C545E"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28745EB3" w14:textId="40E8696B" w:rsidR="00E95E3B" w:rsidRPr="00B67199" w:rsidRDefault="00E95E3B" w:rsidP="00E95E3B">
            <w:pPr>
              <w:pStyle w:val="TableText"/>
              <w:spacing w:before="0"/>
              <w:jc w:val="both"/>
              <w:rPr>
                <w:rFonts w:cs="Calibri"/>
              </w:rPr>
            </w:pPr>
            <w:r w:rsidRPr="00CF7E1B">
              <w:rPr>
                <w:rFonts w:cs="Calibri"/>
              </w:rPr>
              <w:t>Rights to Receive Land and Buildings</w:t>
            </w:r>
          </w:p>
        </w:tc>
        <w:tc>
          <w:tcPr>
            <w:tcW w:w="1559" w:type="dxa"/>
            <w:tcBorders>
              <w:top w:val="nil"/>
              <w:left w:val="nil"/>
              <w:bottom w:val="nil"/>
              <w:right w:val="nil"/>
            </w:tcBorders>
          </w:tcPr>
          <w:p w14:paraId="1361B785" w14:textId="77777777" w:rsidR="00E95E3B" w:rsidRPr="00B67199" w:rsidRDefault="00E95E3B" w:rsidP="00E95E3B">
            <w:pPr>
              <w:pStyle w:val="TableText"/>
              <w:spacing w:before="0"/>
              <w:jc w:val="both"/>
              <w:rPr>
                <w:rFonts w:cs="Calibri"/>
              </w:rPr>
            </w:pPr>
          </w:p>
        </w:tc>
        <w:tc>
          <w:tcPr>
            <w:tcW w:w="1417" w:type="dxa"/>
            <w:tcBorders>
              <w:top w:val="nil"/>
              <w:left w:val="nil"/>
              <w:bottom w:val="nil"/>
              <w:right w:val="nil"/>
            </w:tcBorders>
          </w:tcPr>
          <w:p w14:paraId="06A0EE0C" w14:textId="35BCA5BD" w:rsidR="00E95E3B" w:rsidRPr="00B67199" w:rsidRDefault="00E95E3B" w:rsidP="00E95E3B">
            <w:pPr>
              <w:pStyle w:val="TableText"/>
              <w:spacing w:before="0"/>
              <w:jc w:val="both"/>
              <w:rPr>
                <w:rFonts w:cs="Calibri"/>
              </w:rPr>
            </w:pPr>
          </w:p>
        </w:tc>
      </w:tr>
      <w:tr w:rsidR="00E95E3B" w:rsidRPr="00B67199" w14:paraId="52F338AF"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71A8D987" w14:textId="0D7D46A9" w:rsidR="00E95E3B" w:rsidRPr="006746FA" w:rsidRDefault="00E95E3B" w:rsidP="00E95E3B">
            <w:pPr>
              <w:pStyle w:val="TableText"/>
              <w:spacing w:before="0"/>
              <w:jc w:val="both"/>
              <w:rPr>
                <w:rFonts w:cs="Calibri"/>
                <w:color w:val="7030A0"/>
              </w:rPr>
            </w:pPr>
            <w:r w:rsidRPr="006746FA">
              <w:rPr>
                <w:rFonts w:cs="Calibri"/>
                <w:color w:val="7030A0"/>
                <w:sz w:val="14"/>
              </w:rPr>
              <w:t>AASB 101.77</w:t>
            </w:r>
          </w:p>
        </w:tc>
        <w:tc>
          <w:tcPr>
            <w:tcW w:w="5950" w:type="dxa"/>
            <w:tcBorders>
              <w:top w:val="nil"/>
              <w:left w:val="single" w:sz="2" w:space="0" w:color="auto"/>
              <w:bottom w:val="nil"/>
              <w:right w:val="nil"/>
            </w:tcBorders>
          </w:tcPr>
          <w:p w14:paraId="75ADF485" w14:textId="1755833D" w:rsidR="00E95E3B" w:rsidRPr="00B67199" w:rsidRDefault="00E95E3B" w:rsidP="00E95E3B">
            <w:pPr>
              <w:pStyle w:val="TableText"/>
              <w:spacing w:before="0"/>
              <w:jc w:val="both"/>
              <w:rPr>
                <w:rFonts w:cs="Calibri"/>
              </w:rPr>
            </w:pPr>
            <w:r w:rsidRPr="007C5459">
              <w:rPr>
                <w:rFonts w:cs="Calibri"/>
              </w:rPr>
              <w:t>Other</w:t>
            </w:r>
          </w:p>
        </w:tc>
        <w:tc>
          <w:tcPr>
            <w:tcW w:w="1559" w:type="dxa"/>
            <w:tcBorders>
              <w:top w:val="nil"/>
              <w:left w:val="nil"/>
              <w:bottom w:val="single" w:sz="2" w:space="0" w:color="auto"/>
              <w:right w:val="nil"/>
            </w:tcBorders>
          </w:tcPr>
          <w:p w14:paraId="2D8A827C" w14:textId="77777777" w:rsidR="00E95E3B" w:rsidRPr="00B67199" w:rsidRDefault="00E95E3B" w:rsidP="00E95E3B">
            <w:pPr>
              <w:pStyle w:val="TableText"/>
              <w:spacing w:before="0"/>
              <w:jc w:val="both"/>
              <w:rPr>
                <w:rFonts w:cs="Calibri"/>
              </w:rPr>
            </w:pPr>
          </w:p>
        </w:tc>
        <w:tc>
          <w:tcPr>
            <w:tcW w:w="1417" w:type="dxa"/>
            <w:tcBorders>
              <w:top w:val="nil"/>
              <w:left w:val="nil"/>
              <w:bottom w:val="single" w:sz="2" w:space="0" w:color="auto"/>
              <w:right w:val="nil"/>
            </w:tcBorders>
          </w:tcPr>
          <w:p w14:paraId="299BA41A" w14:textId="52D5DDBF" w:rsidR="00E95E3B" w:rsidRPr="00B67199" w:rsidRDefault="00E95E3B" w:rsidP="00E95E3B">
            <w:pPr>
              <w:pStyle w:val="TableText"/>
              <w:spacing w:before="0"/>
              <w:jc w:val="both"/>
              <w:rPr>
                <w:rFonts w:cs="Calibri"/>
              </w:rPr>
            </w:pPr>
          </w:p>
        </w:tc>
      </w:tr>
      <w:tr w:rsidR="00E95E3B" w:rsidRPr="00B67199" w14:paraId="402FFF01"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CF62A02"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7AB66CC2" w14:textId="466B9CDE" w:rsidR="00E95E3B" w:rsidRPr="00B67199" w:rsidRDefault="00E95E3B" w:rsidP="00E95E3B">
            <w:pPr>
              <w:pStyle w:val="TableText"/>
              <w:spacing w:before="0"/>
              <w:jc w:val="both"/>
              <w:rPr>
                <w:rFonts w:cs="Calibri"/>
              </w:rPr>
            </w:pPr>
            <w:r w:rsidRPr="00CF7E1B">
              <w:rPr>
                <w:rFonts w:cs="Calibri"/>
                <w:b/>
                <w:bCs/>
              </w:rPr>
              <w:t>Total Non-Current Other Assets</w:t>
            </w:r>
          </w:p>
        </w:tc>
        <w:tc>
          <w:tcPr>
            <w:tcW w:w="1559" w:type="dxa"/>
            <w:tcBorders>
              <w:top w:val="single" w:sz="2" w:space="0" w:color="auto"/>
              <w:left w:val="nil"/>
              <w:bottom w:val="single" w:sz="2" w:space="0" w:color="auto"/>
              <w:right w:val="nil"/>
            </w:tcBorders>
          </w:tcPr>
          <w:p w14:paraId="43774D1B"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single" w:sz="2" w:space="0" w:color="auto"/>
              <w:right w:val="nil"/>
            </w:tcBorders>
          </w:tcPr>
          <w:p w14:paraId="57D2771A" w14:textId="1F52222F" w:rsidR="00E95E3B" w:rsidRPr="00B67199" w:rsidRDefault="00E95E3B" w:rsidP="00E95E3B">
            <w:pPr>
              <w:pStyle w:val="TableText"/>
              <w:spacing w:before="0"/>
              <w:jc w:val="both"/>
              <w:rPr>
                <w:rFonts w:cs="Calibri"/>
              </w:rPr>
            </w:pPr>
          </w:p>
        </w:tc>
      </w:tr>
      <w:tr w:rsidR="00E95E3B" w:rsidRPr="00B67199" w14:paraId="7413044D" w14:textId="77777777" w:rsidTr="00AE2F99">
        <w:trPr>
          <w:cantSplit/>
          <w:trHeight w:val="26"/>
        </w:trPr>
        <w:tc>
          <w:tcPr>
            <w:tcW w:w="1563" w:type="dxa"/>
            <w:tcBorders>
              <w:top w:val="nil"/>
              <w:left w:val="single" w:sz="2" w:space="0" w:color="auto"/>
              <w:bottom w:val="nil"/>
              <w:right w:val="single" w:sz="2" w:space="0" w:color="auto"/>
            </w:tcBorders>
            <w:shd w:val="clear" w:color="auto" w:fill="auto"/>
          </w:tcPr>
          <w:p w14:paraId="274608D7" w14:textId="77777777" w:rsidR="00E95E3B" w:rsidRPr="006746FA" w:rsidRDefault="00E95E3B" w:rsidP="00E95E3B">
            <w:pPr>
              <w:pStyle w:val="TableText"/>
              <w:spacing w:before="0"/>
              <w:jc w:val="both"/>
              <w:rPr>
                <w:rFonts w:cs="Calibri"/>
                <w:color w:val="7030A0"/>
              </w:rPr>
            </w:pPr>
          </w:p>
        </w:tc>
        <w:tc>
          <w:tcPr>
            <w:tcW w:w="5950" w:type="dxa"/>
            <w:tcBorders>
              <w:top w:val="nil"/>
              <w:left w:val="single" w:sz="2" w:space="0" w:color="auto"/>
              <w:bottom w:val="nil"/>
              <w:right w:val="nil"/>
            </w:tcBorders>
          </w:tcPr>
          <w:p w14:paraId="44CDE111" w14:textId="6DF1D0E3" w:rsidR="00E95E3B" w:rsidRPr="00B67199" w:rsidRDefault="00E95E3B" w:rsidP="00E95E3B">
            <w:pPr>
              <w:pStyle w:val="TableText"/>
              <w:spacing w:before="0"/>
              <w:jc w:val="both"/>
              <w:rPr>
                <w:rFonts w:cs="Calibri"/>
              </w:rPr>
            </w:pPr>
            <w:r w:rsidRPr="00CF7E1B">
              <w:rPr>
                <w:rFonts w:cs="Calibri"/>
                <w:b/>
                <w:bCs/>
              </w:rPr>
              <w:t>Total Other Assets</w:t>
            </w:r>
          </w:p>
        </w:tc>
        <w:tc>
          <w:tcPr>
            <w:tcW w:w="1559" w:type="dxa"/>
            <w:tcBorders>
              <w:top w:val="single" w:sz="2" w:space="0" w:color="auto"/>
              <w:left w:val="nil"/>
              <w:bottom w:val="double" w:sz="4" w:space="0" w:color="auto"/>
              <w:right w:val="nil"/>
            </w:tcBorders>
          </w:tcPr>
          <w:p w14:paraId="29403586" w14:textId="77777777" w:rsidR="00E95E3B" w:rsidRPr="00B67199" w:rsidRDefault="00E95E3B" w:rsidP="00E95E3B">
            <w:pPr>
              <w:pStyle w:val="TableText"/>
              <w:spacing w:before="0"/>
              <w:jc w:val="both"/>
              <w:rPr>
                <w:rFonts w:cs="Calibri"/>
              </w:rPr>
            </w:pPr>
          </w:p>
        </w:tc>
        <w:tc>
          <w:tcPr>
            <w:tcW w:w="1417" w:type="dxa"/>
            <w:tcBorders>
              <w:top w:val="single" w:sz="2" w:space="0" w:color="auto"/>
              <w:left w:val="nil"/>
              <w:bottom w:val="double" w:sz="4" w:space="0" w:color="auto"/>
              <w:right w:val="nil"/>
            </w:tcBorders>
          </w:tcPr>
          <w:p w14:paraId="0C56AC0C" w14:textId="3DC41AD4" w:rsidR="00E95E3B" w:rsidRPr="00B67199" w:rsidRDefault="00E95E3B" w:rsidP="00E95E3B">
            <w:pPr>
              <w:pStyle w:val="TableText"/>
              <w:spacing w:before="0"/>
              <w:jc w:val="both"/>
              <w:rPr>
                <w:rFonts w:cs="Calibri"/>
              </w:rPr>
            </w:pPr>
          </w:p>
        </w:tc>
      </w:tr>
    </w:tbl>
    <w:p w14:paraId="300DCFA4" w14:textId="17D41974" w:rsidR="000D6708" w:rsidRDefault="000D6708"/>
    <w:p w14:paraId="3EE14464" w14:textId="6E272AE2" w:rsidR="006746FA" w:rsidRDefault="006746FA">
      <w:r>
        <w:br w:type="page"/>
      </w:r>
    </w:p>
    <w:tbl>
      <w:tblPr>
        <w:tblW w:w="528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1702"/>
        <w:gridCol w:w="4240"/>
        <w:gridCol w:w="299"/>
        <w:gridCol w:w="1160"/>
        <w:gridCol w:w="256"/>
        <w:gridCol w:w="94"/>
        <w:gridCol w:w="51"/>
        <w:gridCol w:w="1113"/>
        <w:gridCol w:w="22"/>
        <w:gridCol w:w="49"/>
        <w:gridCol w:w="607"/>
      </w:tblGrid>
      <w:tr w:rsidR="008D14EE" w:rsidRPr="00737E3B" w14:paraId="53C097A6" w14:textId="77777777" w:rsidTr="00AE2F99">
        <w:tc>
          <w:tcPr>
            <w:tcW w:w="699" w:type="pct"/>
            <w:tcBorders>
              <w:top w:val="nil"/>
              <w:left w:val="single" w:sz="2" w:space="0" w:color="auto"/>
              <w:bottom w:val="nil"/>
              <w:right w:val="single" w:sz="2" w:space="0" w:color="auto"/>
            </w:tcBorders>
          </w:tcPr>
          <w:p w14:paraId="735475A8" w14:textId="5EFDEAD9" w:rsidR="008D14EE" w:rsidRPr="006A4165" w:rsidRDefault="00A50107" w:rsidP="00A50107">
            <w:pPr>
              <w:pStyle w:val="Reference"/>
              <w:tabs>
                <w:tab w:val="left" w:pos="3306"/>
              </w:tabs>
              <w:spacing w:before="240" w:after="240"/>
              <w:rPr>
                <w:rFonts w:cs="Calibri"/>
                <w:color w:val="7030A0"/>
                <w:sz w:val="14"/>
                <w:szCs w:val="14"/>
              </w:rPr>
            </w:pPr>
            <w:r w:rsidRPr="006A4165">
              <w:rPr>
                <w:rFonts w:cs="Calibri"/>
                <w:color w:val="7030A0"/>
                <w:sz w:val="22"/>
                <w:szCs w:val="22"/>
              </w:rPr>
              <w:t>Reference</w:t>
            </w:r>
          </w:p>
        </w:tc>
        <w:tc>
          <w:tcPr>
            <w:tcW w:w="4301" w:type="pct"/>
            <w:gridSpan w:val="11"/>
            <w:tcBorders>
              <w:top w:val="nil"/>
              <w:left w:val="single" w:sz="2" w:space="0" w:color="auto"/>
              <w:bottom w:val="nil"/>
              <w:right w:val="nil"/>
            </w:tcBorders>
          </w:tcPr>
          <w:p w14:paraId="0A32A3BF" w14:textId="7FEAB121" w:rsidR="008D14EE" w:rsidRPr="006746FA" w:rsidRDefault="008D14EE" w:rsidP="009A0F2F">
            <w:pPr>
              <w:pStyle w:val="Heading1"/>
              <w:numPr>
                <w:ilvl w:val="0"/>
                <w:numId w:val="0"/>
              </w:numPr>
              <w:ind w:left="34"/>
              <w:rPr>
                <w:rFonts w:asciiTheme="minorHAnsi" w:hAnsiTheme="minorHAnsi" w:cstheme="minorHAnsi"/>
                <w:sz w:val="36"/>
                <w:szCs w:val="36"/>
              </w:rPr>
            </w:pPr>
            <w:bookmarkStart w:id="578" w:name="_Toc98763141"/>
            <w:r w:rsidRPr="006746FA">
              <w:rPr>
                <w:rFonts w:asciiTheme="minorHAnsi" w:hAnsiTheme="minorHAnsi" w:cstheme="minorHAnsi"/>
                <w:sz w:val="36"/>
                <w:szCs w:val="36"/>
              </w:rPr>
              <w:t>lIABILITY Notes</w:t>
            </w:r>
            <w:bookmarkEnd w:id="578"/>
            <w:r w:rsidR="00FA7C77">
              <w:rPr>
                <w:rFonts w:asciiTheme="minorHAnsi" w:hAnsiTheme="minorHAnsi" w:cstheme="minorHAnsi"/>
                <w:sz w:val="36"/>
                <w:szCs w:val="36"/>
              </w:rPr>
              <w:t xml:space="preserve">                             </w:t>
            </w:r>
          </w:p>
        </w:tc>
      </w:tr>
      <w:tr w:rsidR="008D14EE" w:rsidRPr="00FD6C68" w14:paraId="40A53A3A" w14:textId="77777777" w:rsidTr="00AE2F99">
        <w:tc>
          <w:tcPr>
            <w:tcW w:w="699" w:type="pct"/>
            <w:tcBorders>
              <w:top w:val="nil"/>
              <w:left w:val="single" w:sz="2" w:space="0" w:color="auto"/>
              <w:bottom w:val="nil"/>
              <w:right w:val="single" w:sz="2" w:space="0" w:color="auto"/>
            </w:tcBorders>
          </w:tcPr>
          <w:p w14:paraId="1E869D2A" w14:textId="77777777" w:rsidR="008D14EE" w:rsidRPr="006A4165" w:rsidRDefault="008D14EE" w:rsidP="009A0F2F">
            <w:pPr>
              <w:pStyle w:val="Reference"/>
              <w:tabs>
                <w:tab w:val="left" w:pos="3306"/>
              </w:tabs>
              <w:rPr>
                <w:rFonts w:cs="Calibri"/>
                <w:color w:val="7030A0"/>
                <w:sz w:val="14"/>
                <w:szCs w:val="14"/>
              </w:rPr>
            </w:pPr>
          </w:p>
        </w:tc>
        <w:tc>
          <w:tcPr>
            <w:tcW w:w="4301" w:type="pct"/>
            <w:gridSpan w:val="11"/>
            <w:tcBorders>
              <w:top w:val="nil"/>
              <w:left w:val="single" w:sz="2" w:space="0" w:color="auto"/>
              <w:bottom w:val="nil"/>
              <w:right w:val="nil"/>
            </w:tcBorders>
          </w:tcPr>
          <w:p w14:paraId="2D481047" w14:textId="3588BA03" w:rsidR="008D14EE" w:rsidRPr="006746FA" w:rsidRDefault="008D14EE" w:rsidP="00A50107">
            <w:pPr>
              <w:pStyle w:val="Heading1"/>
              <w:numPr>
                <w:ilvl w:val="0"/>
                <w:numId w:val="0"/>
              </w:numPr>
              <w:spacing w:before="0" w:after="60"/>
              <w:rPr>
                <w:rFonts w:asciiTheme="minorHAnsi" w:hAnsiTheme="minorHAnsi" w:cstheme="minorHAnsi"/>
                <w:sz w:val="36"/>
                <w:szCs w:val="36"/>
              </w:rPr>
            </w:pPr>
            <w:bookmarkStart w:id="579" w:name="_Toc98763142"/>
            <w:r w:rsidRPr="006746FA">
              <w:rPr>
                <w:rFonts w:ascii="Calibri" w:hAnsi="Calibri" w:cs="Calibri"/>
                <w:caps w:val="0"/>
                <w:sz w:val="18"/>
                <w:szCs w:val="18"/>
              </w:rPr>
              <w:t>Material Accounting Policies – Liability</w:t>
            </w:r>
            <w:bookmarkEnd w:id="579"/>
            <w:r w:rsidRPr="006746FA">
              <w:rPr>
                <w:rFonts w:ascii="Calibri" w:hAnsi="Calibri" w:cs="Calibri"/>
                <w:caps w:val="0"/>
                <w:sz w:val="18"/>
                <w:szCs w:val="18"/>
              </w:rPr>
              <w:t xml:space="preserve"> </w:t>
            </w:r>
          </w:p>
        </w:tc>
      </w:tr>
      <w:tr w:rsidR="008D14EE" w14:paraId="7C5F2B3F" w14:textId="77777777" w:rsidTr="00AE2F99">
        <w:tc>
          <w:tcPr>
            <w:tcW w:w="699" w:type="pct"/>
            <w:tcBorders>
              <w:top w:val="nil"/>
              <w:left w:val="single" w:sz="2" w:space="0" w:color="auto"/>
              <w:bottom w:val="nil"/>
              <w:right w:val="single" w:sz="2" w:space="0" w:color="auto"/>
            </w:tcBorders>
          </w:tcPr>
          <w:p w14:paraId="1DB79305" w14:textId="148181D0" w:rsidR="008D14EE" w:rsidRPr="006A4165" w:rsidRDefault="008D14EE" w:rsidP="009A0F2F">
            <w:pPr>
              <w:pStyle w:val="Reference"/>
              <w:tabs>
                <w:tab w:val="left" w:pos="3306"/>
              </w:tabs>
              <w:rPr>
                <w:rFonts w:cs="Calibri"/>
                <w:color w:val="7030A0"/>
                <w:sz w:val="14"/>
                <w:szCs w:val="14"/>
              </w:rPr>
            </w:pPr>
          </w:p>
        </w:tc>
        <w:tc>
          <w:tcPr>
            <w:tcW w:w="4301" w:type="pct"/>
            <w:gridSpan w:val="11"/>
            <w:tcBorders>
              <w:top w:val="nil"/>
              <w:left w:val="single" w:sz="2" w:space="0" w:color="auto"/>
              <w:bottom w:val="nil"/>
              <w:right w:val="nil"/>
            </w:tcBorders>
          </w:tcPr>
          <w:p w14:paraId="268FF964" w14:textId="2A1E1818" w:rsidR="008D14EE" w:rsidRPr="006746FA" w:rsidRDefault="008D14EE" w:rsidP="008D14EE">
            <w:pPr>
              <w:rPr>
                <w:rFonts w:cs="Calibri"/>
                <w:b/>
                <w:bCs/>
                <w:sz w:val="18"/>
                <w:szCs w:val="18"/>
              </w:rPr>
            </w:pPr>
            <w:r w:rsidRPr="006746FA">
              <w:rPr>
                <w:rFonts w:cs="Calibri"/>
                <w:b/>
                <w:bCs/>
                <w:sz w:val="18"/>
                <w:szCs w:val="18"/>
              </w:rPr>
              <w:t xml:space="preserve">Liabilities – Current and Non-Current </w:t>
            </w:r>
          </w:p>
        </w:tc>
      </w:tr>
      <w:tr w:rsidR="008D14EE" w14:paraId="5D1C8A7D" w14:textId="77777777" w:rsidTr="00AE2F99">
        <w:trPr>
          <w:gridAfter w:val="2"/>
          <w:wAfter w:w="294" w:type="pct"/>
        </w:trPr>
        <w:tc>
          <w:tcPr>
            <w:tcW w:w="699" w:type="pct"/>
            <w:tcBorders>
              <w:top w:val="nil"/>
              <w:left w:val="single" w:sz="2" w:space="0" w:color="auto"/>
              <w:bottom w:val="nil"/>
              <w:right w:val="single" w:sz="2" w:space="0" w:color="auto"/>
            </w:tcBorders>
          </w:tcPr>
          <w:p w14:paraId="5FB70C65" w14:textId="32CE6441" w:rsidR="008D14EE" w:rsidRPr="006A4165" w:rsidRDefault="008D14EE" w:rsidP="008D14EE">
            <w:pPr>
              <w:pStyle w:val="Reference"/>
              <w:tabs>
                <w:tab w:val="left" w:pos="3306"/>
              </w:tabs>
              <w:rPr>
                <w:color w:val="7030A0"/>
                <w:sz w:val="18"/>
              </w:rPr>
            </w:pPr>
            <w:r w:rsidRPr="006A4165">
              <w:rPr>
                <w:b w:val="0"/>
                <w:bCs w:val="0"/>
                <w:color w:val="7030A0"/>
                <w:sz w:val="14"/>
                <w:szCs w:val="14"/>
              </w:rPr>
              <w:t>AASB 101.60 &amp; 69</w:t>
            </w:r>
          </w:p>
        </w:tc>
        <w:tc>
          <w:tcPr>
            <w:tcW w:w="4007" w:type="pct"/>
            <w:gridSpan w:val="9"/>
            <w:tcBorders>
              <w:top w:val="nil"/>
              <w:left w:val="single" w:sz="2" w:space="0" w:color="auto"/>
              <w:bottom w:val="nil"/>
              <w:right w:val="nil"/>
            </w:tcBorders>
          </w:tcPr>
          <w:p w14:paraId="0C636B6A" w14:textId="5AB10C6A" w:rsidR="008D14EE" w:rsidRPr="006746FA" w:rsidRDefault="008D14EE" w:rsidP="00BD1849">
            <w:pPr>
              <w:jc w:val="both"/>
              <w:rPr>
                <w:rFonts w:cs="Calibri"/>
                <w:b/>
                <w:bCs/>
                <w:sz w:val="18"/>
                <w:szCs w:val="18"/>
              </w:rPr>
            </w:pPr>
            <w:r w:rsidRPr="006746FA">
              <w:rPr>
                <w:sz w:val="18"/>
                <w:szCs w:val="18"/>
              </w:rPr>
              <w:t>Liabilities are classified as current when they are due to be settled within 12 months after the reporting date or the Agency does not have an unconditional right to defer settlement of the liability for at least 12 months after the reporting date.</w:t>
            </w:r>
            <w:r w:rsidR="00FA7C77">
              <w:rPr>
                <w:sz w:val="18"/>
                <w:szCs w:val="18"/>
              </w:rPr>
              <w:t xml:space="preserve"> </w:t>
            </w:r>
            <w:r w:rsidRPr="006746FA">
              <w:rPr>
                <w:sz w:val="18"/>
                <w:szCs w:val="18"/>
              </w:rPr>
              <w:t>Liabilities, which do not fall within the current classification, are classified as non-current.</w:t>
            </w:r>
          </w:p>
        </w:tc>
      </w:tr>
      <w:tr w:rsidR="000144FF" w:rsidRPr="00CF7E1B" w14:paraId="3013BEE2"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130FBD22" w14:textId="77777777" w:rsidR="000144FF" w:rsidRPr="006A4165" w:rsidRDefault="000144FF">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tcPr>
          <w:p w14:paraId="5DD784EF" w14:textId="1A505D7A" w:rsidR="000144FF" w:rsidRPr="006A4165" w:rsidRDefault="00B578B1" w:rsidP="00065B2B">
            <w:pPr>
              <w:pStyle w:val="Heading1"/>
              <w:numPr>
                <w:ilvl w:val="0"/>
                <w:numId w:val="0"/>
              </w:numPr>
            </w:pPr>
            <w:bookmarkStart w:id="580" w:name="_Toc48468579"/>
            <w:bookmarkStart w:id="581" w:name="_Toc49155685"/>
            <w:bookmarkStart w:id="582" w:name="_Toc49224115"/>
            <w:bookmarkStart w:id="583" w:name="_Ref50365632"/>
            <w:bookmarkStart w:id="584" w:name="_Toc50440379"/>
            <w:bookmarkStart w:id="585" w:name="_Ref50524166"/>
            <w:bookmarkStart w:id="586" w:name="_Toc400627349"/>
            <w:bookmarkStart w:id="587" w:name="_Toc98763143"/>
            <w:r w:rsidRPr="006A4165">
              <w:t xml:space="preserve">Note </w:t>
            </w:r>
            <w:r w:rsidR="00DE287B" w:rsidRPr="006A4165">
              <w:t>24</w:t>
            </w:r>
            <w:r w:rsidRPr="006A4165">
              <w:t>.</w:t>
            </w:r>
            <w:r w:rsidR="00FA7C77">
              <w:t xml:space="preserve"> </w:t>
            </w:r>
            <w:r w:rsidRPr="006A4165">
              <w:t xml:space="preserve"> </w:t>
            </w:r>
            <w:r w:rsidR="000144FF" w:rsidRPr="006A4165">
              <w:t>Payables</w:t>
            </w:r>
            <w:bookmarkEnd w:id="580"/>
            <w:bookmarkEnd w:id="581"/>
            <w:bookmarkEnd w:id="582"/>
            <w:bookmarkEnd w:id="583"/>
            <w:bookmarkEnd w:id="584"/>
            <w:bookmarkEnd w:id="585"/>
            <w:bookmarkEnd w:id="586"/>
            <w:r w:rsidR="002541C3" w:rsidRPr="006A4165">
              <w:t xml:space="preserve"> </w:t>
            </w:r>
            <w:r w:rsidR="002541C3" w:rsidRPr="006A4165">
              <w:rPr>
                <w:rFonts w:cs="Calibri"/>
              </w:rPr>
              <w:t>and Contract Liabilities</w:t>
            </w:r>
            <w:bookmarkEnd w:id="587"/>
          </w:p>
        </w:tc>
      </w:tr>
      <w:bookmarkEnd w:id="576"/>
      <w:tr w:rsidR="00C63A13" w:rsidRPr="00CF7E1B" w14:paraId="0F4C00DC" w14:textId="77777777" w:rsidTr="00AE2F99">
        <w:trPr>
          <w:gridAfter w:val="2"/>
          <w:wAfter w:w="294" w:type="pct"/>
          <w:trHeight w:val="226"/>
        </w:trPr>
        <w:tc>
          <w:tcPr>
            <w:tcW w:w="699" w:type="pct"/>
            <w:tcBorders>
              <w:top w:val="nil"/>
              <w:left w:val="single" w:sz="2" w:space="0" w:color="auto"/>
              <w:bottom w:val="nil"/>
              <w:right w:val="single" w:sz="2" w:space="0" w:color="auto"/>
            </w:tcBorders>
          </w:tcPr>
          <w:p w14:paraId="0B88AA14" w14:textId="77777777" w:rsidR="00C63A13" w:rsidRPr="006A4165" w:rsidRDefault="00C63A13">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tcPr>
          <w:p w14:paraId="14F17CC3" w14:textId="49844521" w:rsidR="00C63A13" w:rsidRPr="006A4165" w:rsidRDefault="00813C6E" w:rsidP="00C63A13">
            <w:pPr>
              <w:pStyle w:val="TableTitle"/>
              <w:tabs>
                <w:tab w:val="left" w:pos="3306"/>
              </w:tabs>
              <w:spacing w:before="120"/>
              <w:jc w:val="left"/>
            </w:pPr>
            <w:r w:rsidRPr="006A4165">
              <w:t xml:space="preserve">Description and </w:t>
            </w:r>
            <w:r w:rsidR="00C63A13" w:rsidRPr="006A4165">
              <w:t>Material Accounting Policies Relating to Payables</w:t>
            </w:r>
            <w:r w:rsidR="00B36BAC" w:rsidRPr="006A4165">
              <w:t xml:space="preserve"> and Contract Liabilities</w:t>
            </w:r>
          </w:p>
        </w:tc>
      </w:tr>
      <w:tr w:rsidR="00B36BAC" w:rsidRPr="00CF7E1B" w14:paraId="29BB2614" w14:textId="77777777" w:rsidTr="00AE2F99">
        <w:trPr>
          <w:gridAfter w:val="2"/>
          <w:wAfter w:w="294" w:type="pct"/>
          <w:trHeight w:val="226"/>
        </w:trPr>
        <w:tc>
          <w:tcPr>
            <w:tcW w:w="699" w:type="pct"/>
            <w:tcBorders>
              <w:top w:val="nil"/>
              <w:left w:val="single" w:sz="2" w:space="0" w:color="auto"/>
              <w:bottom w:val="nil"/>
              <w:right w:val="single" w:sz="2" w:space="0" w:color="auto"/>
            </w:tcBorders>
          </w:tcPr>
          <w:p w14:paraId="5475133E" w14:textId="77777777" w:rsidR="00B36BAC" w:rsidRPr="006A4165" w:rsidRDefault="00B36BAC">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tcPr>
          <w:p w14:paraId="2A701AA6" w14:textId="7A0FD380" w:rsidR="00B36BAC" w:rsidRPr="006A4165" w:rsidRDefault="00B36BAC" w:rsidP="00B36BAC">
            <w:pPr>
              <w:pStyle w:val="TableTitle"/>
              <w:tabs>
                <w:tab w:val="left" w:pos="3306"/>
              </w:tabs>
              <w:spacing w:before="120"/>
              <w:jc w:val="left"/>
              <w:rPr>
                <w:b w:val="0"/>
                <w:bCs w:val="0"/>
                <w:i/>
                <w:iCs/>
              </w:rPr>
            </w:pPr>
            <w:r w:rsidRPr="006A4165">
              <w:rPr>
                <w:b w:val="0"/>
                <w:bCs w:val="0"/>
                <w:i/>
                <w:iCs/>
              </w:rPr>
              <w:t>Payables</w:t>
            </w:r>
          </w:p>
        </w:tc>
      </w:tr>
      <w:tr w:rsidR="00813C6E" w:rsidRPr="00CF7E1B" w14:paraId="0EC5E8A8" w14:textId="77777777" w:rsidTr="00AE2F99">
        <w:trPr>
          <w:gridAfter w:val="2"/>
          <w:wAfter w:w="294" w:type="pct"/>
          <w:trHeight w:val="226"/>
        </w:trPr>
        <w:tc>
          <w:tcPr>
            <w:tcW w:w="699" w:type="pct"/>
            <w:tcBorders>
              <w:top w:val="nil"/>
              <w:left w:val="single" w:sz="2" w:space="0" w:color="auto"/>
              <w:bottom w:val="nil"/>
              <w:right w:val="single" w:sz="2" w:space="0" w:color="auto"/>
            </w:tcBorders>
          </w:tcPr>
          <w:p w14:paraId="68AC9DDC" w14:textId="77777777" w:rsidR="00813C6E" w:rsidRPr="006A4165" w:rsidRDefault="00813C6E">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tcPr>
          <w:p w14:paraId="4130F8CF" w14:textId="369BAA61" w:rsidR="00813C6E" w:rsidRPr="006A4165" w:rsidRDefault="00813C6E" w:rsidP="00813C6E">
            <w:pPr>
              <w:pStyle w:val="TableTitle"/>
              <w:tabs>
                <w:tab w:val="left" w:pos="3306"/>
              </w:tabs>
              <w:spacing w:after="120"/>
              <w:jc w:val="left"/>
              <w:rPr>
                <w:b w:val="0"/>
                <w:bCs w:val="0"/>
              </w:rPr>
            </w:pPr>
            <w:r w:rsidRPr="006A4165">
              <w:rPr>
                <w:b w:val="0"/>
                <w:bCs w:val="0"/>
              </w:rPr>
              <w:t>Payables include Trade Payables, Accrued Expenses and Other Payables.</w:t>
            </w:r>
            <w:r w:rsidR="00FA7C77">
              <w:rPr>
                <w:b w:val="0"/>
                <w:bCs w:val="0"/>
              </w:rPr>
              <w:t xml:space="preserve"> </w:t>
            </w:r>
          </w:p>
        </w:tc>
      </w:tr>
      <w:tr w:rsidR="00C63A13" w:rsidRPr="00CF7E1B" w14:paraId="5723961C" w14:textId="77777777" w:rsidTr="00AE2F99">
        <w:trPr>
          <w:gridAfter w:val="2"/>
          <w:wAfter w:w="294" w:type="pct"/>
          <w:trHeight w:val="226"/>
        </w:trPr>
        <w:tc>
          <w:tcPr>
            <w:tcW w:w="699" w:type="pct"/>
            <w:tcBorders>
              <w:top w:val="nil"/>
              <w:left w:val="single" w:sz="2" w:space="0" w:color="auto"/>
              <w:bottom w:val="nil"/>
              <w:right w:val="single" w:sz="2" w:space="0" w:color="auto"/>
            </w:tcBorders>
          </w:tcPr>
          <w:p w14:paraId="73AF9ECD" w14:textId="3CF4F897" w:rsidR="00C63A13" w:rsidRPr="006A4165" w:rsidRDefault="00C63A13">
            <w:pPr>
              <w:pStyle w:val="TableReference"/>
              <w:tabs>
                <w:tab w:val="left" w:pos="3306"/>
              </w:tabs>
              <w:spacing w:before="40"/>
              <w:rPr>
                <w:rFonts w:cs="Calibri"/>
                <w:color w:val="7030A0"/>
                <w:sz w:val="14"/>
              </w:rPr>
            </w:pPr>
            <w:r w:rsidRPr="006A4165">
              <w:rPr>
                <w:color w:val="7030A0"/>
                <w:sz w:val="14"/>
              </w:rPr>
              <w:t>AASB 7.21</w:t>
            </w:r>
          </w:p>
        </w:tc>
        <w:tc>
          <w:tcPr>
            <w:tcW w:w="4007" w:type="pct"/>
            <w:gridSpan w:val="9"/>
            <w:tcBorders>
              <w:top w:val="nil"/>
              <w:left w:val="single" w:sz="2" w:space="0" w:color="auto"/>
              <w:bottom w:val="nil"/>
              <w:right w:val="nil"/>
            </w:tcBorders>
          </w:tcPr>
          <w:p w14:paraId="681A8311" w14:textId="24C8E076" w:rsidR="00C63A13" w:rsidRPr="006A4165" w:rsidRDefault="00C63A13" w:rsidP="00C63A13">
            <w:pPr>
              <w:jc w:val="both"/>
              <w:rPr>
                <w:sz w:val="18"/>
                <w:szCs w:val="18"/>
              </w:rPr>
            </w:pPr>
            <w:r w:rsidRPr="006A4165">
              <w:rPr>
                <w:sz w:val="18"/>
                <w:szCs w:val="18"/>
              </w:rPr>
              <w:t>Payables are initially recognised at fair value based on the transaction cost and subsequent to initial recognition at amortised cost, with any adjustments to the carrying amount being recorded in the Operating Statement.</w:t>
            </w:r>
            <w:r w:rsidR="00FA7C77">
              <w:rPr>
                <w:sz w:val="18"/>
                <w:szCs w:val="18"/>
              </w:rPr>
              <w:t xml:space="preserve"> </w:t>
            </w:r>
            <w:r w:rsidRPr="006A4165">
              <w:rPr>
                <w:sz w:val="18"/>
                <w:szCs w:val="18"/>
              </w:rPr>
              <w:t xml:space="preserve">All amounts are </w:t>
            </w:r>
            <w:r w:rsidR="00574DE1" w:rsidRPr="006A4165">
              <w:rPr>
                <w:sz w:val="18"/>
                <w:szCs w:val="18"/>
              </w:rPr>
              <w:t xml:space="preserve">now </w:t>
            </w:r>
            <w:r w:rsidRPr="006A4165">
              <w:rPr>
                <w:sz w:val="18"/>
                <w:szCs w:val="18"/>
              </w:rPr>
              <w:t xml:space="preserve">normally settled within </w:t>
            </w:r>
            <w:r w:rsidRPr="00B823E0">
              <w:rPr>
                <w:color w:val="C45911" w:themeColor="accent2" w:themeShade="BF"/>
                <w:sz w:val="18"/>
                <w:szCs w:val="18"/>
              </w:rPr>
              <w:t>&lt;</w:t>
            </w:r>
            <w:r w:rsidR="00574DE1" w:rsidRPr="00B823E0">
              <w:rPr>
                <w:rFonts w:cs="Calibri"/>
                <w:color w:val="C45911" w:themeColor="accent2" w:themeShade="BF"/>
                <w:sz w:val="18"/>
                <w:szCs w:val="18"/>
              </w:rPr>
              <w:t>14</w:t>
            </w:r>
            <w:r w:rsidRPr="00B823E0">
              <w:rPr>
                <w:rFonts w:cs="Calibri"/>
                <w:color w:val="C45911" w:themeColor="accent2" w:themeShade="BF"/>
                <w:sz w:val="18"/>
                <w:szCs w:val="18"/>
              </w:rPr>
              <w:t> days&gt;</w:t>
            </w:r>
            <w:r w:rsidRPr="00B823E0">
              <w:rPr>
                <w:color w:val="C45911" w:themeColor="accent2" w:themeShade="BF"/>
                <w:sz w:val="18"/>
                <w:szCs w:val="18"/>
              </w:rPr>
              <w:t xml:space="preserve"> </w:t>
            </w:r>
            <w:r w:rsidRPr="006A4165">
              <w:rPr>
                <w:sz w:val="18"/>
                <w:szCs w:val="18"/>
              </w:rPr>
              <w:t>after the invoice date</w:t>
            </w:r>
            <w:r w:rsidR="00574DE1" w:rsidRPr="006A4165">
              <w:t xml:space="preserve"> </w:t>
            </w:r>
            <w:r w:rsidR="00574DE1" w:rsidRPr="006A4165">
              <w:rPr>
                <w:sz w:val="18"/>
                <w:szCs w:val="18"/>
              </w:rPr>
              <w:t>given the ACT Government accelerated the payments of invoices for local enterprises recognising the importance of cash flow to small and medium enterprises given the COVID-19 pandemic</w:t>
            </w:r>
            <w:r w:rsidRPr="006A4165">
              <w:rPr>
                <w:sz w:val="18"/>
                <w:szCs w:val="18"/>
              </w:rPr>
              <w:t>.</w:t>
            </w:r>
          </w:p>
          <w:p w14:paraId="336C2711" w14:textId="77777777" w:rsidR="00C63A13" w:rsidRPr="006A4165" w:rsidRDefault="00C63A13" w:rsidP="00C63A13">
            <w:pPr>
              <w:jc w:val="both"/>
              <w:rPr>
                <w:sz w:val="18"/>
                <w:szCs w:val="18"/>
              </w:rPr>
            </w:pPr>
          </w:p>
        </w:tc>
      </w:tr>
      <w:tr w:rsidR="00B36BAC" w:rsidRPr="00CF7E1B" w14:paraId="007516EA" w14:textId="77777777" w:rsidTr="00AE2F99">
        <w:trPr>
          <w:gridAfter w:val="2"/>
          <w:wAfter w:w="294" w:type="pct"/>
          <w:trHeight w:val="226"/>
        </w:trPr>
        <w:tc>
          <w:tcPr>
            <w:tcW w:w="699" w:type="pct"/>
            <w:tcBorders>
              <w:top w:val="nil"/>
              <w:left w:val="single" w:sz="2" w:space="0" w:color="auto"/>
              <w:bottom w:val="nil"/>
              <w:right w:val="single" w:sz="2" w:space="0" w:color="auto"/>
            </w:tcBorders>
          </w:tcPr>
          <w:p w14:paraId="15E133FD" w14:textId="77777777" w:rsidR="00B36BAC" w:rsidRPr="006A4165" w:rsidRDefault="00B36BAC">
            <w:pPr>
              <w:pStyle w:val="TableReference"/>
              <w:tabs>
                <w:tab w:val="left" w:pos="3306"/>
              </w:tabs>
              <w:spacing w:before="40"/>
              <w:rPr>
                <w:color w:val="7030A0"/>
                <w:sz w:val="14"/>
              </w:rPr>
            </w:pPr>
          </w:p>
        </w:tc>
        <w:tc>
          <w:tcPr>
            <w:tcW w:w="4007" w:type="pct"/>
            <w:gridSpan w:val="9"/>
            <w:tcBorders>
              <w:top w:val="nil"/>
              <w:left w:val="single" w:sz="2" w:space="0" w:color="auto"/>
              <w:bottom w:val="nil"/>
              <w:right w:val="nil"/>
            </w:tcBorders>
          </w:tcPr>
          <w:p w14:paraId="7B9439AA" w14:textId="46C702DD" w:rsidR="00B36BAC" w:rsidRPr="006A4165" w:rsidRDefault="00B36BAC" w:rsidP="00C63A13">
            <w:pPr>
              <w:jc w:val="both"/>
              <w:rPr>
                <w:i/>
                <w:iCs/>
                <w:sz w:val="18"/>
                <w:szCs w:val="18"/>
              </w:rPr>
            </w:pPr>
            <w:r w:rsidRPr="006A4165">
              <w:rPr>
                <w:rFonts w:cs="Arial"/>
                <w:i/>
                <w:iCs/>
                <w:sz w:val="18"/>
                <w:szCs w:val="18"/>
                <w:lang w:eastAsia="en-AU"/>
              </w:rPr>
              <w:t>Contract liabilities</w:t>
            </w:r>
          </w:p>
        </w:tc>
      </w:tr>
      <w:tr w:rsidR="00B36BAC" w:rsidRPr="00CF7E1B" w14:paraId="25E79901" w14:textId="77777777" w:rsidTr="00AE2F99">
        <w:trPr>
          <w:gridAfter w:val="2"/>
          <w:wAfter w:w="294" w:type="pct"/>
          <w:trHeight w:val="226"/>
        </w:trPr>
        <w:tc>
          <w:tcPr>
            <w:tcW w:w="699" w:type="pct"/>
            <w:tcBorders>
              <w:top w:val="nil"/>
              <w:left w:val="single" w:sz="2" w:space="0" w:color="auto"/>
              <w:bottom w:val="nil"/>
              <w:right w:val="single" w:sz="2" w:space="0" w:color="auto"/>
            </w:tcBorders>
          </w:tcPr>
          <w:p w14:paraId="75143AB3" w14:textId="77777777" w:rsidR="00DD11F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15.117</w:t>
            </w:r>
            <w:r w:rsidR="00DD11FC" w:rsidRPr="006A4165">
              <w:rPr>
                <w:rFonts w:cs="Calibri"/>
                <w:color w:val="7030A0"/>
                <w:sz w:val="14"/>
              </w:rPr>
              <w:t xml:space="preserve"> </w:t>
            </w:r>
          </w:p>
          <w:p w14:paraId="63174FC2" w14:textId="4CC322A0" w:rsidR="00B36BAC" w:rsidRPr="006A4165" w:rsidRDefault="00DD11FC" w:rsidP="00B36BAC">
            <w:pPr>
              <w:pStyle w:val="TableReference"/>
              <w:tabs>
                <w:tab w:val="left" w:pos="3306"/>
              </w:tabs>
              <w:spacing w:before="40"/>
              <w:rPr>
                <w:color w:val="7030A0"/>
                <w:sz w:val="14"/>
              </w:rPr>
            </w:pPr>
            <w:r w:rsidRPr="006A4165">
              <w:rPr>
                <w:rFonts w:cs="Calibri"/>
                <w:color w:val="7030A0"/>
                <w:sz w:val="14"/>
              </w:rPr>
              <w:t>AASB 15.116(c)</w:t>
            </w:r>
          </w:p>
        </w:tc>
        <w:tc>
          <w:tcPr>
            <w:tcW w:w="4007" w:type="pct"/>
            <w:gridSpan w:val="9"/>
            <w:tcBorders>
              <w:top w:val="nil"/>
              <w:left w:val="single" w:sz="2" w:space="0" w:color="auto"/>
              <w:bottom w:val="nil"/>
              <w:right w:val="nil"/>
            </w:tcBorders>
          </w:tcPr>
          <w:p w14:paraId="105B9ECB" w14:textId="48BBA523" w:rsidR="00B36BAC" w:rsidRPr="006A4165" w:rsidRDefault="00B36BAC" w:rsidP="00B36BAC">
            <w:pPr>
              <w:spacing w:after="120"/>
              <w:jc w:val="both"/>
              <w:rPr>
                <w:sz w:val="18"/>
                <w:szCs w:val="18"/>
              </w:rPr>
            </w:pPr>
            <w:r w:rsidRPr="006A4165">
              <w:rPr>
                <w:rFonts w:cs="Arial"/>
                <w:sz w:val="18"/>
                <w:szCs w:val="18"/>
                <w:lang w:eastAsia="en-AU"/>
              </w:rPr>
              <w:t>Contract liabilities relate to consideration received in advance from customers in respect of</w:t>
            </w:r>
            <w:r w:rsidRPr="006A4165">
              <w:rPr>
                <w:sz w:val="18"/>
                <w:szCs w:val="18"/>
              </w:rPr>
              <w:t xml:space="preserve"> Fare Revenue and Grants with Sufficiently Specific Performance Obligations</w:t>
            </w:r>
            <w:r w:rsidRPr="006A4165">
              <w:rPr>
                <w:rFonts w:cs="Arial"/>
                <w:sz w:val="18"/>
                <w:szCs w:val="18"/>
                <w:lang w:eastAsia="en-AU"/>
              </w:rPr>
              <w:t>.</w:t>
            </w:r>
            <w:r w:rsidR="00FA7C77">
              <w:rPr>
                <w:rFonts w:cs="Arial"/>
                <w:sz w:val="18"/>
                <w:szCs w:val="18"/>
                <w:lang w:eastAsia="en-AU"/>
              </w:rPr>
              <w:t xml:space="preserve"> </w:t>
            </w:r>
            <w:r w:rsidR="00DD11FC" w:rsidRPr="006A4165">
              <w:rPr>
                <w:rFonts w:cs="Arial"/>
                <w:sz w:val="18"/>
                <w:szCs w:val="18"/>
                <w:lang w:eastAsia="en-AU"/>
              </w:rPr>
              <w:t>When an amount of consideration is received from a customer prior to the Agency transferring a good or service to the customer, the balance of the consideration which has not been transferred is presented as a contract liability.</w:t>
            </w:r>
          </w:p>
        </w:tc>
      </w:tr>
      <w:tr w:rsidR="00B36BAC" w:rsidRPr="00CF7E1B" w14:paraId="105BC50D" w14:textId="77777777" w:rsidTr="00AE2F99">
        <w:trPr>
          <w:gridAfter w:val="2"/>
          <w:wAfter w:w="294" w:type="pct"/>
          <w:trHeight w:val="226"/>
        </w:trPr>
        <w:tc>
          <w:tcPr>
            <w:tcW w:w="699" w:type="pct"/>
            <w:tcBorders>
              <w:top w:val="nil"/>
              <w:left w:val="single" w:sz="2" w:space="0" w:color="auto"/>
              <w:bottom w:val="nil"/>
              <w:right w:val="single" w:sz="2" w:space="0" w:color="auto"/>
            </w:tcBorders>
          </w:tcPr>
          <w:p w14:paraId="73FF954F" w14:textId="77777777" w:rsidR="00B36BAC" w:rsidRPr="006A4165" w:rsidRDefault="00B36BAC" w:rsidP="00B36BAC">
            <w:pPr>
              <w:pStyle w:val="TableReference"/>
              <w:tabs>
                <w:tab w:val="left" w:pos="3306"/>
              </w:tabs>
              <w:spacing w:before="40"/>
              <w:rPr>
                <w:color w:val="7030A0"/>
                <w:sz w:val="14"/>
              </w:rPr>
            </w:pPr>
          </w:p>
        </w:tc>
        <w:tc>
          <w:tcPr>
            <w:tcW w:w="4007" w:type="pct"/>
            <w:gridSpan w:val="9"/>
            <w:tcBorders>
              <w:top w:val="nil"/>
              <w:left w:val="single" w:sz="2" w:space="0" w:color="auto"/>
              <w:bottom w:val="nil"/>
              <w:right w:val="nil"/>
            </w:tcBorders>
          </w:tcPr>
          <w:p w14:paraId="2F0FE89E" w14:textId="5BA4FA31" w:rsidR="00B36BAC" w:rsidRPr="006A4165" w:rsidRDefault="00B36BAC" w:rsidP="00B36BAC">
            <w:pPr>
              <w:spacing w:after="120"/>
              <w:jc w:val="both"/>
              <w:rPr>
                <w:sz w:val="18"/>
                <w:szCs w:val="18"/>
              </w:rPr>
            </w:pPr>
            <w:r w:rsidRPr="006A4165">
              <w:rPr>
                <w:rFonts w:cs="Arial"/>
                <w:sz w:val="18"/>
                <w:szCs w:val="18"/>
                <w:lang w:eastAsia="en-AU"/>
              </w:rPr>
              <w:t>Members of the public can pay cash upon entering a bus or can pay using a MyWay card.</w:t>
            </w:r>
            <w:r w:rsidR="00FA7C77">
              <w:rPr>
                <w:rFonts w:cs="Arial"/>
                <w:sz w:val="18"/>
                <w:szCs w:val="18"/>
                <w:lang w:eastAsia="en-AU"/>
              </w:rPr>
              <w:t xml:space="preserve"> </w:t>
            </w:r>
            <w:r w:rsidRPr="006A4165">
              <w:rPr>
                <w:rFonts w:cs="Arial"/>
                <w:sz w:val="18"/>
                <w:szCs w:val="18"/>
                <w:lang w:eastAsia="en-AU"/>
              </w:rPr>
              <w:t>In order to use a MyWay card, a customer must pre-pay their bus fare by loading money onto their MyWay card, and then upon entering a bus they scan their card which deducts the amount of the fare from the card. Therefore, when customers use a MyWay card, fare revenue is collected by ‘</w:t>
            </w:r>
            <w:r w:rsidR="00645E43" w:rsidRPr="006A4165">
              <w:rPr>
                <w:sz w:val="18"/>
                <w:szCs w:val="18"/>
              </w:rPr>
              <w:t>Burley Griffin</w:t>
            </w:r>
            <w:r w:rsidRPr="006A4165">
              <w:rPr>
                <w:rFonts w:cs="Arial"/>
                <w:sz w:val="18"/>
                <w:szCs w:val="18"/>
                <w:lang w:eastAsia="en-AU"/>
              </w:rPr>
              <w:t xml:space="preserve"> Agency’ before the bus services are provided.</w:t>
            </w:r>
            <w:r w:rsidR="00FA7C77">
              <w:rPr>
                <w:rFonts w:cs="Arial"/>
                <w:sz w:val="18"/>
                <w:szCs w:val="18"/>
                <w:lang w:eastAsia="en-AU"/>
              </w:rPr>
              <w:t xml:space="preserve"> </w:t>
            </w:r>
            <w:r w:rsidRPr="006A4165">
              <w:rPr>
                <w:rFonts w:cs="Arial"/>
                <w:sz w:val="18"/>
                <w:szCs w:val="18"/>
                <w:lang w:eastAsia="en-AU"/>
              </w:rPr>
              <w:t>As such, ‘</w:t>
            </w:r>
            <w:r w:rsidR="00645E43" w:rsidRPr="006A4165">
              <w:rPr>
                <w:sz w:val="18"/>
                <w:szCs w:val="18"/>
              </w:rPr>
              <w:t>Burley Griffin</w:t>
            </w:r>
            <w:r w:rsidRPr="006A4165">
              <w:rPr>
                <w:rFonts w:cs="Arial"/>
                <w:sz w:val="18"/>
                <w:szCs w:val="18"/>
                <w:lang w:eastAsia="en-AU"/>
              </w:rPr>
              <w:t xml:space="preserve"> Agency’ recognises the revenue paid upfront as a contract liability and it then recognises this as fare revenue once the customer scans their card.</w:t>
            </w:r>
          </w:p>
        </w:tc>
      </w:tr>
      <w:tr w:rsidR="00B36BAC" w:rsidRPr="00CF7E1B" w14:paraId="2823723F" w14:textId="77777777" w:rsidTr="00AE2F99">
        <w:trPr>
          <w:gridAfter w:val="2"/>
          <w:wAfter w:w="294" w:type="pct"/>
          <w:trHeight w:val="226"/>
        </w:trPr>
        <w:tc>
          <w:tcPr>
            <w:tcW w:w="699" w:type="pct"/>
            <w:tcBorders>
              <w:top w:val="nil"/>
              <w:left w:val="single" w:sz="2" w:space="0" w:color="auto"/>
              <w:bottom w:val="nil"/>
              <w:right w:val="single" w:sz="2" w:space="0" w:color="auto"/>
            </w:tcBorders>
          </w:tcPr>
          <w:p w14:paraId="10B940FD" w14:textId="77777777" w:rsidR="00B36BAC" w:rsidRPr="006A4165" w:rsidRDefault="00B36BAC" w:rsidP="00B36BAC">
            <w:pPr>
              <w:pStyle w:val="TableReference"/>
              <w:tabs>
                <w:tab w:val="left" w:pos="3306"/>
              </w:tabs>
              <w:spacing w:before="40"/>
              <w:rPr>
                <w:color w:val="7030A0"/>
                <w:sz w:val="14"/>
              </w:rPr>
            </w:pPr>
          </w:p>
        </w:tc>
        <w:tc>
          <w:tcPr>
            <w:tcW w:w="4007" w:type="pct"/>
            <w:gridSpan w:val="9"/>
            <w:tcBorders>
              <w:top w:val="nil"/>
              <w:left w:val="single" w:sz="2" w:space="0" w:color="auto"/>
              <w:bottom w:val="nil"/>
              <w:right w:val="nil"/>
            </w:tcBorders>
          </w:tcPr>
          <w:p w14:paraId="2DFEEEFF" w14:textId="5D59416A" w:rsidR="00B36BAC" w:rsidRPr="006A4165" w:rsidRDefault="00B36BAC" w:rsidP="00B36BAC">
            <w:pPr>
              <w:spacing w:after="120"/>
              <w:jc w:val="both"/>
              <w:rPr>
                <w:sz w:val="18"/>
                <w:szCs w:val="18"/>
              </w:rPr>
            </w:pPr>
            <w:r w:rsidRPr="006A4165">
              <w:rPr>
                <w:rFonts w:cs="Calibri"/>
                <w:sz w:val="18"/>
                <w:szCs w:val="18"/>
              </w:rPr>
              <w:t>‘</w:t>
            </w:r>
            <w:r w:rsidR="00645E43" w:rsidRPr="006A4165">
              <w:rPr>
                <w:sz w:val="18"/>
                <w:szCs w:val="18"/>
              </w:rPr>
              <w:t>Burley Griffin</w:t>
            </w:r>
            <w:r w:rsidRPr="006A4165">
              <w:rPr>
                <w:rFonts w:cs="Calibri"/>
                <w:sz w:val="18"/>
                <w:szCs w:val="18"/>
              </w:rPr>
              <w:t xml:space="preserve"> Agency’ receives grants that have sufficiently specific performance obligations for conducting ecological surveys for ‘Example Commonwealth Department’. The grant payments are normally received in advance and accordingly are recognised as a contract liability until the milestones in the ecological survey funding agreement are met at which time the relevant amount is moved to revenue.</w:t>
            </w:r>
          </w:p>
        </w:tc>
      </w:tr>
      <w:tr w:rsidR="00B36BAC" w:rsidRPr="00CF7E1B" w14:paraId="4A91C403"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019909B3" w14:textId="77777777" w:rsidR="00B36BAC" w:rsidRPr="006A4165" w:rsidRDefault="00B36BAC" w:rsidP="00B36BAC">
            <w:pPr>
              <w:pStyle w:val="TableReference"/>
              <w:tabs>
                <w:tab w:val="left" w:pos="3306"/>
              </w:tabs>
              <w:spacing w:before="40"/>
              <w:rPr>
                <w:rFonts w:cs="Calibri"/>
                <w:color w:val="7030A0"/>
                <w:sz w:val="16"/>
                <w:szCs w:val="16"/>
              </w:rPr>
            </w:pPr>
          </w:p>
        </w:tc>
        <w:tc>
          <w:tcPr>
            <w:tcW w:w="2798" w:type="pct"/>
            <w:gridSpan w:val="3"/>
            <w:tcBorders>
              <w:top w:val="nil"/>
              <w:left w:val="single" w:sz="2" w:space="0" w:color="auto"/>
              <w:bottom w:val="nil"/>
              <w:right w:val="nil"/>
            </w:tcBorders>
          </w:tcPr>
          <w:p w14:paraId="6715BE3D" w14:textId="77777777" w:rsidR="00B36BAC" w:rsidRPr="006A4165" w:rsidRDefault="00B36BAC" w:rsidP="00B36BAC">
            <w:pPr>
              <w:pStyle w:val="TableText"/>
              <w:tabs>
                <w:tab w:val="left" w:pos="3306"/>
              </w:tabs>
              <w:rPr>
                <w:rFonts w:cs="Calibri"/>
                <w:b/>
                <w:bCs/>
              </w:rPr>
            </w:pPr>
          </w:p>
        </w:tc>
        <w:tc>
          <w:tcPr>
            <w:tcW w:w="635" w:type="pct"/>
            <w:gridSpan w:val="2"/>
            <w:tcBorders>
              <w:top w:val="nil"/>
              <w:left w:val="nil"/>
              <w:bottom w:val="nil"/>
              <w:right w:val="nil"/>
            </w:tcBorders>
            <w:vAlign w:val="bottom"/>
          </w:tcPr>
          <w:p w14:paraId="14EAC500" w14:textId="77777777" w:rsidR="00BB62BB" w:rsidRDefault="00B36BAC" w:rsidP="00B36BAC">
            <w:pPr>
              <w:pStyle w:val="TableTitle"/>
              <w:tabs>
                <w:tab w:val="left" w:pos="3306"/>
              </w:tabs>
              <w:rPr>
                <w:rFonts w:cs="Calibri"/>
              </w:rPr>
            </w:pPr>
            <w:r w:rsidRPr="006A4165">
              <w:rPr>
                <w:rFonts w:cs="Calibri"/>
              </w:rPr>
              <w:t>2022</w:t>
            </w:r>
            <w:r w:rsidR="00FA7C77">
              <w:rPr>
                <w:rFonts w:cs="Calibri"/>
              </w:rPr>
              <w:t xml:space="preserve">     </w:t>
            </w:r>
          </w:p>
          <w:p w14:paraId="78BF66F9" w14:textId="1D710C1F" w:rsidR="00B36BAC" w:rsidRPr="006A4165" w:rsidRDefault="006746FA" w:rsidP="00B36BAC">
            <w:pPr>
              <w:pStyle w:val="TableTitle"/>
              <w:tabs>
                <w:tab w:val="left" w:pos="3306"/>
              </w:tabs>
              <w:rPr>
                <w:rFonts w:cs="Calibri"/>
              </w:rPr>
            </w:pPr>
            <w:r w:rsidRPr="006A4165">
              <w:rPr>
                <w:rFonts w:cs="Calibri"/>
              </w:rPr>
              <w:t xml:space="preserve"> </w:t>
            </w:r>
            <w:r w:rsidR="00B36BAC" w:rsidRPr="006A4165">
              <w:rPr>
                <w:rFonts w:cs="Calibri"/>
              </w:rPr>
              <w:t>$’000</w:t>
            </w:r>
          </w:p>
        </w:tc>
        <w:tc>
          <w:tcPr>
            <w:tcW w:w="574" w:type="pct"/>
            <w:gridSpan w:val="4"/>
            <w:tcBorders>
              <w:top w:val="nil"/>
              <w:left w:val="nil"/>
              <w:bottom w:val="nil"/>
              <w:right w:val="nil"/>
            </w:tcBorders>
            <w:vAlign w:val="bottom"/>
          </w:tcPr>
          <w:p w14:paraId="0D3EC08C" w14:textId="77777777" w:rsidR="00BB62BB" w:rsidRDefault="00B36BAC" w:rsidP="00B36BAC">
            <w:pPr>
              <w:pStyle w:val="TableTitle"/>
              <w:tabs>
                <w:tab w:val="left" w:pos="3306"/>
              </w:tabs>
              <w:rPr>
                <w:rFonts w:cs="Calibri"/>
              </w:rPr>
            </w:pPr>
            <w:r w:rsidRPr="006A4165">
              <w:rPr>
                <w:rFonts w:cs="Calibri"/>
              </w:rPr>
              <w:t>2021</w:t>
            </w:r>
            <w:r w:rsidR="00FA7C77">
              <w:rPr>
                <w:rFonts w:cs="Calibri"/>
              </w:rPr>
              <w:t xml:space="preserve">   </w:t>
            </w:r>
          </w:p>
          <w:p w14:paraId="2980BAFA" w14:textId="0D944C46" w:rsidR="00B36BAC" w:rsidRPr="006A4165" w:rsidRDefault="006746FA" w:rsidP="00B36BAC">
            <w:pPr>
              <w:pStyle w:val="TableTitle"/>
              <w:tabs>
                <w:tab w:val="left" w:pos="3306"/>
              </w:tabs>
              <w:rPr>
                <w:rFonts w:cs="Calibri"/>
              </w:rPr>
            </w:pPr>
            <w:r w:rsidRPr="006A4165">
              <w:rPr>
                <w:rFonts w:cs="Calibri"/>
              </w:rPr>
              <w:t xml:space="preserve"> </w:t>
            </w:r>
            <w:r w:rsidR="00B36BAC" w:rsidRPr="006A4165">
              <w:rPr>
                <w:rFonts w:cs="Calibri"/>
              </w:rPr>
              <w:t>$’000</w:t>
            </w:r>
          </w:p>
        </w:tc>
      </w:tr>
      <w:tr w:rsidR="00B36BAC" w:rsidRPr="00CF7E1B" w14:paraId="555C02BA"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551993F6" w14:textId="77777777" w:rsidR="00B36BAC" w:rsidRPr="006A4165" w:rsidRDefault="00B36BAC" w:rsidP="00B36BAC">
            <w:pPr>
              <w:pStyle w:val="TableReference"/>
              <w:tabs>
                <w:tab w:val="left" w:pos="3306"/>
              </w:tabs>
              <w:spacing w:before="40"/>
              <w:rPr>
                <w:rFonts w:cs="Calibri"/>
                <w:color w:val="7030A0"/>
                <w:sz w:val="16"/>
                <w:szCs w:val="16"/>
              </w:rPr>
            </w:pPr>
          </w:p>
        </w:tc>
        <w:tc>
          <w:tcPr>
            <w:tcW w:w="2798" w:type="pct"/>
            <w:gridSpan w:val="3"/>
            <w:tcBorders>
              <w:top w:val="nil"/>
              <w:left w:val="single" w:sz="2" w:space="0" w:color="auto"/>
              <w:bottom w:val="nil"/>
              <w:right w:val="nil"/>
            </w:tcBorders>
          </w:tcPr>
          <w:p w14:paraId="514E1B49" w14:textId="6A29085C" w:rsidR="00B36BAC" w:rsidRPr="006A4165" w:rsidRDefault="00B36BAC" w:rsidP="00B36BAC">
            <w:pPr>
              <w:pStyle w:val="TableText"/>
              <w:tabs>
                <w:tab w:val="left" w:pos="3306"/>
              </w:tabs>
              <w:rPr>
                <w:rFonts w:cs="Calibri"/>
                <w:b/>
                <w:bCs/>
              </w:rPr>
            </w:pPr>
            <w:bookmarkStart w:id="588" w:name="_Toc48468581"/>
            <w:bookmarkStart w:id="589" w:name="_Toc49155687"/>
            <w:bookmarkStart w:id="590" w:name="_Toc49224117"/>
            <w:r w:rsidRPr="006A4165">
              <w:rPr>
                <w:rFonts w:cs="Calibri"/>
                <w:b/>
                <w:bCs/>
              </w:rPr>
              <w:t>Current Payables</w:t>
            </w:r>
            <w:bookmarkEnd w:id="588"/>
            <w:bookmarkEnd w:id="589"/>
            <w:bookmarkEnd w:id="590"/>
            <w:r w:rsidRPr="006A4165">
              <w:t xml:space="preserve"> </w:t>
            </w:r>
            <w:r w:rsidRPr="006A4165">
              <w:rPr>
                <w:b/>
                <w:bCs/>
              </w:rPr>
              <w:t>and Contract Liabilities</w:t>
            </w:r>
          </w:p>
        </w:tc>
        <w:tc>
          <w:tcPr>
            <w:tcW w:w="635" w:type="pct"/>
            <w:gridSpan w:val="2"/>
            <w:tcBorders>
              <w:top w:val="nil"/>
              <w:left w:val="nil"/>
              <w:bottom w:val="nil"/>
              <w:right w:val="nil"/>
            </w:tcBorders>
            <w:vAlign w:val="bottom"/>
          </w:tcPr>
          <w:p w14:paraId="3C798DF8" w14:textId="77777777" w:rsidR="00B36BAC" w:rsidRPr="006A4165" w:rsidRDefault="00B36BAC" w:rsidP="00B36BAC">
            <w:pPr>
              <w:pStyle w:val="TableText"/>
              <w:tabs>
                <w:tab w:val="left" w:pos="3306"/>
              </w:tabs>
              <w:jc w:val="right"/>
              <w:rPr>
                <w:rFonts w:cs="Calibri"/>
              </w:rPr>
            </w:pPr>
          </w:p>
        </w:tc>
        <w:tc>
          <w:tcPr>
            <w:tcW w:w="574" w:type="pct"/>
            <w:gridSpan w:val="4"/>
            <w:tcBorders>
              <w:top w:val="nil"/>
              <w:left w:val="nil"/>
              <w:bottom w:val="nil"/>
              <w:right w:val="nil"/>
            </w:tcBorders>
            <w:vAlign w:val="bottom"/>
          </w:tcPr>
          <w:p w14:paraId="1E4843C1" w14:textId="77777777" w:rsidR="00B36BAC" w:rsidRPr="006A4165" w:rsidRDefault="00B36BAC" w:rsidP="00B36BAC">
            <w:pPr>
              <w:pStyle w:val="TableText"/>
              <w:tabs>
                <w:tab w:val="left" w:pos="3306"/>
              </w:tabs>
              <w:jc w:val="right"/>
              <w:rPr>
                <w:rFonts w:cs="Calibri"/>
              </w:rPr>
            </w:pPr>
          </w:p>
        </w:tc>
      </w:tr>
      <w:tr w:rsidR="00B36BAC" w:rsidRPr="00CF7E1B" w14:paraId="6A4A39CB" w14:textId="77777777" w:rsidTr="00AE2F99">
        <w:trPr>
          <w:gridAfter w:val="2"/>
          <w:wAfter w:w="294" w:type="pct"/>
          <w:trHeight w:val="23"/>
        </w:trPr>
        <w:tc>
          <w:tcPr>
            <w:tcW w:w="699" w:type="pct"/>
            <w:tcBorders>
              <w:top w:val="nil"/>
              <w:left w:val="single" w:sz="2" w:space="0" w:color="auto"/>
              <w:bottom w:val="nil"/>
              <w:right w:val="single" w:sz="2" w:space="0" w:color="auto"/>
            </w:tcBorders>
            <w:vAlign w:val="center"/>
          </w:tcPr>
          <w:p w14:paraId="45E17B94"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p w14:paraId="764EA6B8"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9.5.1.1 &amp; 5.3.1</w:t>
            </w:r>
          </w:p>
        </w:tc>
        <w:tc>
          <w:tcPr>
            <w:tcW w:w="2798" w:type="pct"/>
            <w:gridSpan w:val="3"/>
            <w:tcBorders>
              <w:top w:val="nil"/>
              <w:left w:val="single" w:sz="2" w:space="0" w:color="auto"/>
              <w:bottom w:val="nil"/>
              <w:right w:val="nil"/>
            </w:tcBorders>
            <w:vAlign w:val="center"/>
          </w:tcPr>
          <w:p w14:paraId="425EC566" w14:textId="77777777" w:rsidR="00B36BAC" w:rsidRPr="006A4165" w:rsidRDefault="00B36BAC" w:rsidP="006746FA">
            <w:pPr>
              <w:pStyle w:val="TableText"/>
              <w:tabs>
                <w:tab w:val="left" w:pos="3306"/>
              </w:tabs>
              <w:rPr>
                <w:rFonts w:cs="Calibri"/>
              </w:rPr>
            </w:pPr>
            <w:r w:rsidRPr="006A4165">
              <w:rPr>
                <w:rFonts w:cs="Calibri"/>
              </w:rPr>
              <w:t xml:space="preserve">Trade Payables </w:t>
            </w:r>
            <w:r w:rsidRPr="006A4165">
              <w:rPr>
                <w:rFonts w:cs="Calibri"/>
                <w:vertAlign w:val="superscript"/>
              </w:rPr>
              <w:t xml:space="preserve">a </w:t>
            </w:r>
          </w:p>
        </w:tc>
        <w:tc>
          <w:tcPr>
            <w:tcW w:w="635" w:type="pct"/>
            <w:gridSpan w:val="2"/>
            <w:tcBorders>
              <w:top w:val="nil"/>
              <w:left w:val="nil"/>
              <w:bottom w:val="nil"/>
              <w:right w:val="nil"/>
            </w:tcBorders>
            <w:vAlign w:val="bottom"/>
          </w:tcPr>
          <w:p w14:paraId="48C7AAE7" w14:textId="4EA7EBF4" w:rsidR="00B36BAC" w:rsidRPr="006A4165" w:rsidRDefault="00B36BAC" w:rsidP="00B36BAC">
            <w:pPr>
              <w:pStyle w:val="TableText"/>
              <w:tabs>
                <w:tab w:val="left" w:pos="3306"/>
              </w:tabs>
              <w:jc w:val="right"/>
              <w:rPr>
                <w:rFonts w:cs="Calibri"/>
              </w:rPr>
            </w:pPr>
          </w:p>
        </w:tc>
        <w:tc>
          <w:tcPr>
            <w:tcW w:w="574" w:type="pct"/>
            <w:gridSpan w:val="4"/>
            <w:tcBorders>
              <w:top w:val="nil"/>
              <w:left w:val="nil"/>
              <w:bottom w:val="nil"/>
              <w:right w:val="nil"/>
            </w:tcBorders>
            <w:vAlign w:val="bottom"/>
          </w:tcPr>
          <w:p w14:paraId="2EF43962" w14:textId="73CE5BE2" w:rsidR="00B36BAC" w:rsidRPr="006A4165" w:rsidRDefault="00B36BAC" w:rsidP="00B36BAC">
            <w:pPr>
              <w:pStyle w:val="TableText"/>
              <w:tabs>
                <w:tab w:val="left" w:pos="3306"/>
              </w:tabs>
              <w:jc w:val="right"/>
              <w:rPr>
                <w:rFonts w:cs="Calibri"/>
              </w:rPr>
            </w:pPr>
          </w:p>
        </w:tc>
      </w:tr>
      <w:tr w:rsidR="00B36BAC" w:rsidRPr="00CF7E1B" w14:paraId="62FC8B6B" w14:textId="77777777" w:rsidTr="00AE2F99">
        <w:trPr>
          <w:gridAfter w:val="2"/>
          <w:wAfter w:w="294" w:type="pct"/>
          <w:trHeight w:val="23"/>
        </w:trPr>
        <w:tc>
          <w:tcPr>
            <w:tcW w:w="699" w:type="pct"/>
            <w:tcBorders>
              <w:top w:val="nil"/>
              <w:left w:val="single" w:sz="2" w:space="0" w:color="auto"/>
              <w:bottom w:val="nil"/>
              <w:right w:val="single" w:sz="2" w:space="0" w:color="auto"/>
            </w:tcBorders>
            <w:vAlign w:val="center"/>
          </w:tcPr>
          <w:p w14:paraId="3C980EBE"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798" w:type="pct"/>
            <w:gridSpan w:val="3"/>
            <w:tcBorders>
              <w:top w:val="nil"/>
              <w:left w:val="single" w:sz="2" w:space="0" w:color="auto"/>
              <w:bottom w:val="nil"/>
              <w:right w:val="nil"/>
            </w:tcBorders>
          </w:tcPr>
          <w:p w14:paraId="307A5B60" w14:textId="77777777" w:rsidR="00B36BAC" w:rsidRPr="006A4165" w:rsidRDefault="00B36BAC" w:rsidP="00B36BAC">
            <w:pPr>
              <w:pStyle w:val="TableText"/>
              <w:tabs>
                <w:tab w:val="left" w:pos="3306"/>
              </w:tabs>
              <w:rPr>
                <w:rFonts w:cs="Calibri"/>
              </w:rPr>
            </w:pPr>
            <w:r w:rsidRPr="006A4165">
              <w:rPr>
                <w:rFonts w:cs="Calibri"/>
              </w:rPr>
              <w:t xml:space="preserve">Other Payables </w:t>
            </w:r>
            <w:r w:rsidRPr="006A4165">
              <w:rPr>
                <w:rFonts w:cs="Calibri"/>
                <w:vertAlign w:val="superscript"/>
              </w:rPr>
              <w:t xml:space="preserve">b </w:t>
            </w:r>
          </w:p>
        </w:tc>
        <w:tc>
          <w:tcPr>
            <w:tcW w:w="635" w:type="pct"/>
            <w:gridSpan w:val="2"/>
            <w:tcBorders>
              <w:top w:val="nil"/>
              <w:left w:val="nil"/>
              <w:bottom w:val="nil"/>
              <w:right w:val="nil"/>
            </w:tcBorders>
            <w:vAlign w:val="bottom"/>
          </w:tcPr>
          <w:p w14:paraId="61104F3C" w14:textId="6421E2F4" w:rsidR="00B36BAC" w:rsidRPr="006A4165" w:rsidRDefault="00B36BAC" w:rsidP="00B36BAC">
            <w:pPr>
              <w:pStyle w:val="TableText"/>
              <w:tabs>
                <w:tab w:val="left" w:pos="3306"/>
              </w:tabs>
              <w:jc w:val="right"/>
              <w:rPr>
                <w:rFonts w:cs="Calibri"/>
              </w:rPr>
            </w:pPr>
          </w:p>
        </w:tc>
        <w:tc>
          <w:tcPr>
            <w:tcW w:w="574" w:type="pct"/>
            <w:gridSpan w:val="4"/>
            <w:tcBorders>
              <w:top w:val="nil"/>
              <w:left w:val="nil"/>
              <w:bottom w:val="nil"/>
              <w:right w:val="nil"/>
            </w:tcBorders>
            <w:vAlign w:val="bottom"/>
          </w:tcPr>
          <w:p w14:paraId="49BC9713" w14:textId="1B13DD6A" w:rsidR="00B36BAC" w:rsidRPr="006A4165" w:rsidRDefault="00B36BAC" w:rsidP="00B36BAC">
            <w:pPr>
              <w:pStyle w:val="TableText"/>
              <w:tabs>
                <w:tab w:val="left" w:pos="3306"/>
              </w:tabs>
              <w:jc w:val="right"/>
              <w:rPr>
                <w:rFonts w:cs="Calibri"/>
              </w:rPr>
            </w:pPr>
          </w:p>
        </w:tc>
      </w:tr>
      <w:tr w:rsidR="00B36BAC" w:rsidRPr="00CF7E1B" w14:paraId="4A049BCE" w14:textId="77777777" w:rsidTr="00AE2F99">
        <w:trPr>
          <w:gridAfter w:val="2"/>
          <w:wAfter w:w="294" w:type="pct"/>
          <w:trHeight w:val="23"/>
        </w:trPr>
        <w:tc>
          <w:tcPr>
            <w:tcW w:w="699" w:type="pct"/>
            <w:tcBorders>
              <w:top w:val="nil"/>
              <w:left w:val="single" w:sz="2" w:space="0" w:color="auto"/>
              <w:bottom w:val="nil"/>
              <w:right w:val="single" w:sz="2" w:space="0" w:color="auto"/>
            </w:tcBorders>
            <w:vAlign w:val="center"/>
          </w:tcPr>
          <w:p w14:paraId="0D7D67B5"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798" w:type="pct"/>
            <w:gridSpan w:val="3"/>
            <w:tcBorders>
              <w:top w:val="nil"/>
              <w:left w:val="single" w:sz="2" w:space="0" w:color="auto"/>
              <w:bottom w:val="nil"/>
              <w:right w:val="nil"/>
            </w:tcBorders>
          </w:tcPr>
          <w:p w14:paraId="1F004A72" w14:textId="77777777" w:rsidR="00B36BAC" w:rsidRPr="006A4165" w:rsidRDefault="00B36BAC" w:rsidP="00B36BAC">
            <w:pPr>
              <w:pStyle w:val="TableText"/>
              <w:tabs>
                <w:tab w:val="left" w:pos="3306"/>
              </w:tabs>
              <w:rPr>
                <w:rFonts w:cs="Calibri"/>
              </w:rPr>
            </w:pPr>
            <w:r w:rsidRPr="006A4165">
              <w:rPr>
                <w:rFonts w:cs="Calibri"/>
              </w:rPr>
              <w:t xml:space="preserve">Accrued Expenses </w:t>
            </w:r>
            <w:r w:rsidRPr="006A4165">
              <w:rPr>
                <w:rFonts w:cs="Calibri"/>
                <w:vertAlign w:val="superscript"/>
              </w:rPr>
              <w:t>c</w:t>
            </w:r>
          </w:p>
        </w:tc>
        <w:tc>
          <w:tcPr>
            <w:tcW w:w="635" w:type="pct"/>
            <w:gridSpan w:val="2"/>
            <w:tcBorders>
              <w:top w:val="nil"/>
              <w:left w:val="nil"/>
              <w:bottom w:val="nil"/>
              <w:right w:val="nil"/>
            </w:tcBorders>
            <w:vAlign w:val="bottom"/>
          </w:tcPr>
          <w:p w14:paraId="6934BA06" w14:textId="14A498F1" w:rsidR="00B36BAC" w:rsidRPr="006A4165" w:rsidRDefault="00B36BAC" w:rsidP="00B36BAC">
            <w:pPr>
              <w:pStyle w:val="TableText"/>
              <w:tabs>
                <w:tab w:val="left" w:pos="3306"/>
              </w:tabs>
              <w:jc w:val="right"/>
              <w:rPr>
                <w:rFonts w:cs="Calibri"/>
              </w:rPr>
            </w:pPr>
          </w:p>
        </w:tc>
        <w:tc>
          <w:tcPr>
            <w:tcW w:w="574" w:type="pct"/>
            <w:gridSpan w:val="4"/>
            <w:tcBorders>
              <w:top w:val="nil"/>
              <w:left w:val="nil"/>
              <w:bottom w:val="nil"/>
              <w:right w:val="nil"/>
            </w:tcBorders>
            <w:vAlign w:val="bottom"/>
          </w:tcPr>
          <w:p w14:paraId="26D16461" w14:textId="030C945E" w:rsidR="00B36BAC" w:rsidRPr="006A4165" w:rsidRDefault="00B36BAC" w:rsidP="00B36BAC">
            <w:pPr>
              <w:pStyle w:val="TableText"/>
              <w:tabs>
                <w:tab w:val="left" w:pos="3306"/>
              </w:tabs>
              <w:jc w:val="right"/>
              <w:rPr>
                <w:rFonts w:cs="Calibri"/>
              </w:rPr>
            </w:pPr>
          </w:p>
        </w:tc>
      </w:tr>
      <w:tr w:rsidR="00B36BAC" w:rsidRPr="00CF7E1B" w14:paraId="16A4E502"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458E9CE5" w14:textId="1EDB75FB"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15.116(a)</w:t>
            </w:r>
          </w:p>
        </w:tc>
        <w:tc>
          <w:tcPr>
            <w:tcW w:w="2798" w:type="pct"/>
            <w:gridSpan w:val="3"/>
            <w:tcBorders>
              <w:top w:val="nil"/>
              <w:left w:val="single" w:sz="2" w:space="0" w:color="auto"/>
              <w:bottom w:val="nil"/>
              <w:right w:val="nil"/>
            </w:tcBorders>
            <w:vAlign w:val="bottom"/>
          </w:tcPr>
          <w:p w14:paraId="0B25CD85" w14:textId="7AA16BAC" w:rsidR="00B36BAC" w:rsidRPr="006A4165" w:rsidRDefault="00B36BAC" w:rsidP="00B36BAC">
            <w:pPr>
              <w:pStyle w:val="TableText"/>
              <w:tabs>
                <w:tab w:val="left" w:pos="3306"/>
              </w:tabs>
              <w:rPr>
                <w:rFonts w:cs="Calibri"/>
              </w:rPr>
            </w:pPr>
            <w:r w:rsidRPr="006A4165">
              <w:rPr>
                <w:rFonts w:eastAsia="Calibri" w:cs="Calibri"/>
              </w:rPr>
              <w:t>Amounts Received Related to Contracts with Customers for Fare Revenue where the Performance Obligations has not yet been Satisfied</w:t>
            </w:r>
            <w:r w:rsidRPr="006A4165">
              <w:rPr>
                <w:rFonts w:eastAsia="Calibri" w:cs="Calibri"/>
                <w:vertAlign w:val="superscript"/>
              </w:rPr>
              <w:t>d</w:t>
            </w:r>
          </w:p>
        </w:tc>
        <w:tc>
          <w:tcPr>
            <w:tcW w:w="635" w:type="pct"/>
            <w:gridSpan w:val="2"/>
            <w:tcBorders>
              <w:top w:val="nil"/>
              <w:left w:val="nil"/>
              <w:bottom w:val="nil"/>
              <w:right w:val="nil"/>
            </w:tcBorders>
            <w:vAlign w:val="bottom"/>
          </w:tcPr>
          <w:p w14:paraId="444A1001" w14:textId="77777777" w:rsidR="00B36BAC" w:rsidRPr="006A4165" w:rsidRDefault="00B36BAC" w:rsidP="00B36BAC">
            <w:pPr>
              <w:pStyle w:val="TableText"/>
              <w:tabs>
                <w:tab w:val="left" w:pos="3306"/>
              </w:tabs>
              <w:jc w:val="right"/>
              <w:rPr>
                <w:rFonts w:cs="Calibri"/>
              </w:rPr>
            </w:pPr>
          </w:p>
        </w:tc>
        <w:tc>
          <w:tcPr>
            <w:tcW w:w="574" w:type="pct"/>
            <w:gridSpan w:val="4"/>
            <w:tcBorders>
              <w:top w:val="nil"/>
              <w:left w:val="nil"/>
              <w:bottom w:val="nil"/>
              <w:right w:val="nil"/>
            </w:tcBorders>
            <w:vAlign w:val="bottom"/>
          </w:tcPr>
          <w:p w14:paraId="6854C20A" w14:textId="77777777" w:rsidR="00B36BAC" w:rsidRPr="006A4165" w:rsidRDefault="00B36BAC" w:rsidP="00B36BAC">
            <w:pPr>
              <w:pStyle w:val="TableText"/>
              <w:tabs>
                <w:tab w:val="left" w:pos="3306"/>
              </w:tabs>
              <w:jc w:val="right"/>
              <w:rPr>
                <w:rFonts w:cs="Calibri"/>
              </w:rPr>
            </w:pPr>
          </w:p>
        </w:tc>
      </w:tr>
      <w:tr w:rsidR="00B36BAC" w:rsidRPr="00CF7E1B" w14:paraId="63F66324"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0A27EB87" w14:textId="0033841A"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15.116(a)</w:t>
            </w:r>
          </w:p>
        </w:tc>
        <w:tc>
          <w:tcPr>
            <w:tcW w:w="2798" w:type="pct"/>
            <w:gridSpan w:val="3"/>
            <w:tcBorders>
              <w:top w:val="nil"/>
              <w:left w:val="single" w:sz="2" w:space="0" w:color="auto"/>
              <w:bottom w:val="nil"/>
              <w:right w:val="nil"/>
            </w:tcBorders>
            <w:vAlign w:val="bottom"/>
          </w:tcPr>
          <w:p w14:paraId="38834C05" w14:textId="535F9BC2" w:rsidR="00B36BAC" w:rsidRPr="006A4165" w:rsidRDefault="00B36BAC" w:rsidP="00B36BAC">
            <w:pPr>
              <w:pStyle w:val="TableText"/>
              <w:tabs>
                <w:tab w:val="left" w:pos="3306"/>
              </w:tabs>
              <w:rPr>
                <w:rFonts w:cs="Calibri"/>
              </w:rPr>
            </w:pPr>
            <w:r w:rsidRPr="006A4165">
              <w:rPr>
                <w:rFonts w:eastAsia="Calibri" w:cs="Calibri"/>
              </w:rPr>
              <w:t>Amounts Received Related to Contracts with Customers for Ecological Survey Grants where the Performance Obligations has not yet been Satisfied</w:t>
            </w:r>
          </w:p>
        </w:tc>
        <w:tc>
          <w:tcPr>
            <w:tcW w:w="635" w:type="pct"/>
            <w:gridSpan w:val="2"/>
            <w:tcBorders>
              <w:top w:val="nil"/>
              <w:left w:val="nil"/>
              <w:bottom w:val="single" w:sz="2" w:space="0" w:color="auto"/>
              <w:right w:val="nil"/>
            </w:tcBorders>
            <w:vAlign w:val="bottom"/>
          </w:tcPr>
          <w:p w14:paraId="20083B94" w14:textId="77777777" w:rsidR="00B36BAC" w:rsidRPr="006A4165" w:rsidRDefault="00B36BAC" w:rsidP="00B36BAC">
            <w:pPr>
              <w:pStyle w:val="TableText"/>
              <w:tabs>
                <w:tab w:val="left" w:pos="3306"/>
              </w:tabs>
              <w:jc w:val="right"/>
              <w:rPr>
                <w:rFonts w:cs="Calibri"/>
              </w:rPr>
            </w:pPr>
          </w:p>
        </w:tc>
        <w:tc>
          <w:tcPr>
            <w:tcW w:w="574" w:type="pct"/>
            <w:gridSpan w:val="4"/>
            <w:tcBorders>
              <w:top w:val="nil"/>
              <w:left w:val="nil"/>
              <w:bottom w:val="single" w:sz="2" w:space="0" w:color="auto"/>
              <w:right w:val="nil"/>
            </w:tcBorders>
            <w:vAlign w:val="bottom"/>
          </w:tcPr>
          <w:p w14:paraId="76E2557C" w14:textId="77777777" w:rsidR="00B36BAC" w:rsidRPr="006A4165" w:rsidRDefault="00B36BAC" w:rsidP="00B36BAC">
            <w:pPr>
              <w:pStyle w:val="TableText"/>
              <w:tabs>
                <w:tab w:val="left" w:pos="3306"/>
              </w:tabs>
              <w:jc w:val="right"/>
              <w:rPr>
                <w:rFonts w:cs="Calibri"/>
              </w:rPr>
            </w:pPr>
          </w:p>
        </w:tc>
      </w:tr>
      <w:tr w:rsidR="00B36BAC" w:rsidRPr="00CF7E1B" w14:paraId="6C5D0093"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2DD9FB03" w14:textId="77777777" w:rsidR="00B36BAC" w:rsidRPr="006A4165" w:rsidRDefault="00B36BAC" w:rsidP="00B36BAC">
            <w:pPr>
              <w:pStyle w:val="TableReference"/>
              <w:tabs>
                <w:tab w:val="left" w:pos="3306"/>
              </w:tabs>
              <w:spacing w:before="40"/>
              <w:rPr>
                <w:rFonts w:cs="Calibri"/>
                <w:color w:val="7030A0"/>
                <w:sz w:val="14"/>
              </w:rPr>
            </w:pPr>
          </w:p>
        </w:tc>
        <w:tc>
          <w:tcPr>
            <w:tcW w:w="2798" w:type="pct"/>
            <w:gridSpan w:val="3"/>
            <w:tcBorders>
              <w:top w:val="nil"/>
              <w:left w:val="single" w:sz="2" w:space="0" w:color="auto"/>
              <w:bottom w:val="nil"/>
              <w:right w:val="nil"/>
            </w:tcBorders>
          </w:tcPr>
          <w:p w14:paraId="1E7F7F61" w14:textId="2B279BB4" w:rsidR="00B36BAC" w:rsidRPr="006A4165" w:rsidRDefault="00B36BAC" w:rsidP="002D6B09">
            <w:pPr>
              <w:pStyle w:val="TableText"/>
              <w:tabs>
                <w:tab w:val="left" w:pos="3306"/>
              </w:tabs>
              <w:spacing w:before="120"/>
              <w:rPr>
                <w:rFonts w:cs="Calibri"/>
                <w:b/>
                <w:bCs/>
              </w:rPr>
            </w:pPr>
            <w:r w:rsidRPr="006A4165">
              <w:rPr>
                <w:rFonts w:cs="Calibri"/>
                <w:b/>
                <w:bCs/>
              </w:rPr>
              <w:t>Total Current Payables</w:t>
            </w:r>
            <w:r w:rsidRPr="006A4165">
              <w:rPr>
                <w:b/>
                <w:bCs/>
              </w:rPr>
              <w:t xml:space="preserve"> and Contract Liabilities</w:t>
            </w:r>
          </w:p>
        </w:tc>
        <w:tc>
          <w:tcPr>
            <w:tcW w:w="635" w:type="pct"/>
            <w:gridSpan w:val="2"/>
            <w:tcBorders>
              <w:top w:val="single" w:sz="2" w:space="0" w:color="auto"/>
              <w:left w:val="nil"/>
              <w:bottom w:val="single" w:sz="2" w:space="0" w:color="auto"/>
              <w:right w:val="nil"/>
            </w:tcBorders>
            <w:vAlign w:val="bottom"/>
          </w:tcPr>
          <w:p w14:paraId="1C466530" w14:textId="5D7F6BFE" w:rsidR="00B36BAC" w:rsidRPr="006A4165" w:rsidRDefault="00B36BAC" w:rsidP="00B36BAC">
            <w:pPr>
              <w:pStyle w:val="TableText"/>
              <w:tabs>
                <w:tab w:val="left" w:pos="3306"/>
              </w:tabs>
              <w:jc w:val="right"/>
              <w:rPr>
                <w:rFonts w:cs="Calibri"/>
                <w:b/>
                <w:bCs/>
              </w:rPr>
            </w:pPr>
          </w:p>
        </w:tc>
        <w:tc>
          <w:tcPr>
            <w:tcW w:w="574" w:type="pct"/>
            <w:gridSpan w:val="4"/>
            <w:tcBorders>
              <w:top w:val="single" w:sz="2" w:space="0" w:color="auto"/>
              <w:left w:val="nil"/>
              <w:bottom w:val="single" w:sz="2" w:space="0" w:color="auto"/>
              <w:right w:val="nil"/>
            </w:tcBorders>
            <w:vAlign w:val="bottom"/>
          </w:tcPr>
          <w:p w14:paraId="53A497B6" w14:textId="098C1146" w:rsidR="00B36BAC" w:rsidRPr="006A4165" w:rsidRDefault="00B36BAC" w:rsidP="00B36BAC">
            <w:pPr>
              <w:pStyle w:val="TableText"/>
              <w:tabs>
                <w:tab w:val="left" w:pos="3306"/>
              </w:tabs>
              <w:jc w:val="right"/>
              <w:rPr>
                <w:rFonts w:cs="Calibri"/>
                <w:b/>
                <w:bCs/>
              </w:rPr>
            </w:pPr>
          </w:p>
        </w:tc>
      </w:tr>
      <w:tr w:rsidR="00B36BAC" w:rsidRPr="00CF7E1B" w14:paraId="78842001"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46EBF0FA" w14:textId="77777777" w:rsidR="00B36BAC" w:rsidRPr="006A4165" w:rsidRDefault="00B36BAC" w:rsidP="00B36BAC">
            <w:pPr>
              <w:pStyle w:val="TableReference"/>
              <w:tabs>
                <w:tab w:val="left" w:pos="3306"/>
              </w:tabs>
              <w:spacing w:before="40"/>
              <w:rPr>
                <w:rFonts w:cs="Calibri"/>
                <w:color w:val="7030A0"/>
                <w:sz w:val="14"/>
              </w:rPr>
            </w:pPr>
          </w:p>
        </w:tc>
        <w:tc>
          <w:tcPr>
            <w:tcW w:w="2798" w:type="pct"/>
            <w:gridSpan w:val="3"/>
            <w:tcBorders>
              <w:top w:val="nil"/>
              <w:left w:val="single" w:sz="2" w:space="0" w:color="auto"/>
              <w:bottom w:val="nil"/>
              <w:right w:val="nil"/>
            </w:tcBorders>
          </w:tcPr>
          <w:p w14:paraId="64887E1C" w14:textId="77777777" w:rsidR="00B36BAC" w:rsidRPr="006A4165" w:rsidRDefault="00B36BAC" w:rsidP="00B36BAC">
            <w:pPr>
              <w:pStyle w:val="TableText"/>
              <w:tabs>
                <w:tab w:val="left" w:pos="3306"/>
              </w:tabs>
              <w:rPr>
                <w:rFonts w:cs="Calibri"/>
              </w:rPr>
            </w:pPr>
          </w:p>
        </w:tc>
        <w:tc>
          <w:tcPr>
            <w:tcW w:w="635" w:type="pct"/>
            <w:gridSpan w:val="2"/>
            <w:tcBorders>
              <w:top w:val="single" w:sz="2" w:space="0" w:color="auto"/>
              <w:left w:val="nil"/>
              <w:bottom w:val="nil"/>
              <w:right w:val="nil"/>
            </w:tcBorders>
            <w:vAlign w:val="bottom"/>
          </w:tcPr>
          <w:p w14:paraId="635AE976" w14:textId="77777777" w:rsidR="00B36BAC" w:rsidRPr="006A4165" w:rsidRDefault="00B36BAC" w:rsidP="00B36BAC">
            <w:pPr>
              <w:pStyle w:val="TableText"/>
              <w:tabs>
                <w:tab w:val="left" w:pos="3306"/>
              </w:tabs>
              <w:jc w:val="right"/>
              <w:rPr>
                <w:rFonts w:cs="Calibri"/>
              </w:rPr>
            </w:pPr>
          </w:p>
        </w:tc>
        <w:tc>
          <w:tcPr>
            <w:tcW w:w="574" w:type="pct"/>
            <w:gridSpan w:val="4"/>
            <w:tcBorders>
              <w:top w:val="single" w:sz="2" w:space="0" w:color="auto"/>
              <w:left w:val="nil"/>
              <w:bottom w:val="nil"/>
              <w:right w:val="nil"/>
            </w:tcBorders>
            <w:vAlign w:val="bottom"/>
          </w:tcPr>
          <w:p w14:paraId="31BB4649" w14:textId="77777777" w:rsidR="00B36BAC" w:rsidRPr="006A4165" w:rsidRDefault="00B36BAC" w:rsidP="00B36BAC">
            <w:pPr>
              <w:pStyle w:val="TableText"/>
              <w:tabs>
                <w:tab w:val="left" w:pos="3306"/>
              </w:tabs>
              <w:jc w:val="center"/>
              <w:rPr>
                <w:rFonts w:cs="Calibri"/>
              </w:rPr>
            </w:pPr>
          </w:p>
        </w:tc>
      </w:tr>
      <w:tr w:rsidR="00B36BAC" w:rsidRPr="00CF7E1B" w14:paraId="3B725B8C"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7FCCBD1F" w14:textId="77777777" w:rsidR="00B36BAC" w:rsidRPr="006A4165" w:rsidRDefault="00B36BAC" w:rsidP="00B36BAC">
            <w:pPr>
              <w:pStyle w:val="TableReference"/>
              <w:tabs>
                <w:tab w:val="left" w:pos="3306"/>
              </w:tabs>
              <w:spacing w:before="40"/>
              <w:rPr>
                <w:rFonts w:cs="Calibri"/>
                <w:color w:val="7030A0"/>
                <w:sz w:val="14"/>
              </w:rPr>
            </w:pPr>
          </w:p>
        </w:tc>
        <w:tc>
          <w:tcPr>
            <w:tcW w:w="2798" w:type="pct"/>
            <w:gridSpan w:val="3"/>
            <w:tcBorders>
              <w:top w:val="nil"/>
              <w:left w:val="single" w:sz="2" w:space="0" w:color="auto"/>
              <w:bottom w:val="nil"/>
              <w:right w:val="nil"/>
            </w:tcBorders>
          </w:tcPr>
          <w:p w14:paraId="6C804AB7" w14:textId="61B6939A" w:rsidR="00B36BAC" w:rsidRPr="006A4165" w:rsidRDefault="00B36BAC" w:rsidP="00B36BAC">
            <w:pPr>
              <w:pStyle w:val="TableText"/>
              <w:tabs>
                <w:tab w:val="left" w:pos="3306"/>
              </w:tabs>
              <w:rPr>
                <w:rFonts w:cs="Calibri"/>
                <w:b/>
                <w:bCs/>
              </w:rPr>
            </w:pPr>
            <w:bookmarkStart w:id="591" w:name="_Toc48468582"/>
            <w:bookmarkStart w:id="592" w:name="_Toc49155688"/>
            <w:bookmarkStart w:id="593" w:name="_Toc49224118"/>
            <w:r w:rsidRPr="006A4165">
              <w:rPr>
                <w:rFonts w:cs="Calibri"/>
                <w:b/>
                <w:bCs/>
              </w:rPr>
              <w:t>Non-Current Payables</w:t>
            </w:r>
            <w:bookmarkEnd w:id="591"/>
            <w:bookmarkEnd w:id="592"/>
            <w:bookmarkEnd w:id="593"/>
            <w:r w:rsidRPr="006A4165">
              <w:rPr>
                <w:b/>
                <w:bCs/>
              </w:rPr>
              <w:t xml:space="preserve"> and Contract Liabilities</w:t>
            </w:r>
          </w:p>
        </w:tc>
        <w:tc>
          <w:tcPr>
            <w:tcW w:w="635" w:type="pct"/>
            <w:gridSpan w:val="2"/>
            <w:tcBorders>
              <w:top w:val="nil"/>
              <w:left w:val="nil"/>
              <w:bottom w:val="nil"/>
              <w:right w:val="nil"/>
            </w:tcBorders>
            <w:vAlign w:val="bottom"/>
          </w:tcPr>
          <w:p w14:paraId="10BF4372" w14:textId="77777777" w:rsidR="00B36BAC" w:rsidRPr="006A4165" w:rsidRDefault="00B36BAC" w:rsidP="00B36BAC">
            <w:pPr>
              <w:pStyle w:val="TableText"/>
              <w:tabs>
                <w:tab w:val="left" w:pos="3306"/>
              </w:tabs>
              <w:jc w:val="right"/>
              <w:rPr>
                <w:rFonts w:cs="Calibri"/>
              </w:rPr>
            </w:pPr>
          </w:p>
        </w:tc>
        <w:tc>
          <w:tcPr>
            <w:tcW w:w="574" w:type="pct"/>
            <w:gridSpan w:val="4"/>
            <w:tcBorders>
              <w:top w:val="nil"/>
              <w:left w:val="nil"/>
              <w:bottom w:val="nil"/>
              <w:right w:val="nil"/>
            </w:tcBorders>
            <w:vAlign w:val="bottom"/>
          </w:tcPr>
          <w:p w14:paraId="148B34B9" w14:textId="77777777" w:rsidR="00B36BAC" w:rsidRPr="006A4165" w:rsidRDefault="00B36BAC" w:rsidP="00B36BAC">
            <w:pPr>
              <w:pStyle w:val="TableText"/>
              <w:tabs>
                <w:tab w:val="left" w:pos="3306"/>
              </w:tabs>
              <w:jc w:val="right"/>
              <w:rPr>
                <w:rFonts w:cs="Calibri"/>
              </w:rPr>
            </w:pPr>
          </w:p>
        </w:tc>
      </w:tr>
      <w:tr w:rsidR="00B36BAC" w:rsidRPr="00CF7E1B" w14:paraId="5F7D599F"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2D2EE87F"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p w14:paraId="7B9A136B"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9.5.1.1 &amp; 5.3.1</w:t>
            </w:r>
          </w:p>
        </w:tc>
        <w:tc>
          <w:tcPr>
            <w:tcW w:w="2798" w:type="pct"/>
            <w:gridSpan w:val="3"/>
            <w:tcBorders>
              <w:top w:val="nil"/>
              <w:left w:val="single" w:sz="2" w:space="0" w:color="auto"/>
              <w:bottom w:val="nil"/>
              <w:right w:val="nil"/>
            </w:tcBorders>
            <w:vAlign w:val="center"/>
          </w:tcPr>
          <w:p w14:paraId="60E7F46B" w14:textId="77777777" w:rsidR="00B36BAC" w:rsidRPr="006A4165" w:rsidRDefault="00B36BAC" w:rsidP="006746FA">
            <w:pPr>
              <w:pStyle w:val="TableText"/>
              <w:tabs>
                <w:tab w:val="left" w:pos="3306"/>
              </w:tabs>
              <w:rPr>
                <w:rFonts w:cs="Calibri"/>
              </w:rPr>
            </w:pPr>
            <w:r w:rsidRPr="006A4165">
              <w:rPr>
                <w:rFonts w:cs="Calibri"/>
              </w:rPr>
              <w:t xml:space="preserve">Trade Payables </w:t>
            </w:r>
            <w:r w:rsidRPr="006A4165">
              <w:rPr>
                <w:rFonts w:cs="Calibri"/>
                <w:vertAlign w:val="superscript"/>
              </w:rPr>
              <w:t>a</w:t>
            </w:r>
          </w:p>
        </w:tc>
        <w:tc>
          <w:tcPr>
            <w:tcW w:w="635" w:type="pct"/>
            <w:gridSpan w:val="2"/>
            <w:tcBorders>
              <w:top w:val="nil"/>
              <w:left w:val="nil"/>
              <w:bottom w:val="nil"/>
              <w:right w:val="nil"/>
            </w:tcBorders>
            <w:vAlign w:val="bottom"/>
          </w:tcPr>
          <w:p w14:paraId="3D989326" w14:textId="5AF75379" w:rsidR="00B36BAC" w:rsidRPr="006A4165" w:rsidRDefault="00B36BAC" w:rsidP="00B36BAC">
            <w:pPr>
              <w:pStyle w:val="TableText"/>
              <w:tabs>
                <w:tab w:val="left" w:pos="3306"/>
              </w:tabs>
              <w:jc w:val="right"/>
              <w:rPr>
                <w:rFonts w:cs="Calibri"/>
              </w:rPr>
            </w:pPr>
          </w:p>
        </w:tc>
        <w:tc>
          <w:tcPr>
            <w:tcW w:w="574" w:type="pct"/>
            <w:gridSpan w:val="4"/>
            <w:tcBorders>
              <w:top w:val="nil"/>
              <w:left w:val="nil"/>
              <w:bottom w:val="nil"/>
              <w:right w:val="nil"/>
            </w:tcBorders>
            <w:vAlign w:val="bottom"/>
          </w:tcPr>
          <w:p w14:paraId="2151F053" w14:textId="7C5EC6A3" w:rsidR="00B36BAC" w:rsidRPr="006A4165" w:rsidRDefault="00B36BAC" w:rsidP="00B36BAC">
            <w:pPr>
              <w:pStyle w:val="TableText"/>
              <w:tabs>
                <w:tab w:val="left" w:pos="3306"/>
              </w:tabs>
              <w:jc w:val="right"/>
              <w:rPr>
                <w:rFonts w:cs="Calibri"/>
              </w:rPr>
            </w:pPr>
          </w:p>
        </w:tc>
      </w:tr>
      <w:tr w:rsidR="00B36BAC" w:rsidRPr="00CF7E1B" w14:paraId="262F8593"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66E40ED0" w14:textId="77777777" w:rsidR="00B36BAC" w:rsidRPr="006A4165" w:rsidRDefault="00B36BAC" w:rsidP="00B36BAC">
            <w:pPr>
              <w:pStyle w:val="TableReference"/>
              <w:tabs>
                <w:tab w:val="left" w:pos="3306"/>
              </w:tabs>
              <w:spacing w:before="40"/>
              <w:rPr>
                <w:rFonts w:cs="Calibri"/>
                <w:color w:val="7030A0"/>
                <w:sz w:val="14"/>
              </w:rPr>
            </w:pPr>
            <w:r w:rsidRPr="006A4165">
              <w:rPr>
                <w:rFonts w:cs="Calibri"/>
                <w:color w:val="7030A0"/>
                <w:sz w:val="14"/>
              </w:rPr>
              <w:t>AASB 101.77</w:t>
            </w:r>
          </w:p>
        </w:tc>
        <w:tc>
          <w:tcPr>
            <w:tcW w:w="2798" w:type="pct"/>
            <w:gridSpan w:val="3"/>
            <w:tcBorders>
              <w:top w:val="nil"/>
              <w:left w:val="single" w:sz="2" w:space="0" w:color="auto"/>
              <w:bottom w:val="nil"/>
              <w:right w:val="nil"/>
            </w:tcBorders>
          </w:tcPr>
          <w:p w14:paraId="56192A89" w14:textId="77777777" w:rsidR="00B36BAC" w:rsidRPr="006A4165" w:rsidRDefault="00B36BAC" w:rsidP="00B36BAC">
            <w:pPr>
              <w:pStyle w:val="TableText"/>
              <w:tabs>
                <w:tab w:val="left" w:pos="3306"/>
              </w:tabs>
              <w:rPr>
                <w:rFonts w:cs="Calibri"/>
              </w:rPr>
            </w:pPr>
            <w:r w:rsidRPr="006A4165">
              <w:rPr>
                <w:rFonts w:cs="Calibri"/>
              </w:rPr>
              <w:t xml:space="preserve">Other Payables </w:t>
            </w:r>
            <w:r w:rsidRPr="006A4165">
              <w:rPr>
                <w:rFonts w:cs="Calibri"/>
                <w:vertAlign w:val="superscript"/>
              </w:rPr>
              <w:t>b</w:t>
            </w:r>
          </w:p>
        </w:tc>
        <w:tc>
          <w:tcPr>
            <w:tcW w:w="635" w:type="pct"/>
            <w:gridSpan w:val="2"/>
            <w:tcBorders>
              <w:top w:val="nil"/>
              <w:left w:val="nil"/>
              <w:bottom w:val="nil"/>
              <w:right w:val="nil"/>
            </w:tcBorders>
            <w:vAlign w:val="bottom"/>
          </w:tcPr>
          <w:p w14:paraId="1E81B5F8" w14:textId="03395A5A" w:rsidR="00B36BAC" w:rsidRPr="006A4165" w:rsidRDefault="00B36BAC" w:rsidP="00B36BAC">
            <w:pPr>
              <w:pStyle w:val="TableText"/>
              <w:tabs>
                <w:tab w:val="left" w:pos="3306"/>
              </w:tabs>
              <w:jc w:val="right"/>
              <w:rPr>
                <w:rFonts w:cs="Calibri"/>
              </w:rPr>
            </w:pPr>
          </w:p>
        </w:tc>
        <w:tc>
          <w:tcPr>
            <w:tcW w:w="574" w:type="pct"/>
            <w:gridSpan w:val="4"/>
            <w:tcBorders>
              <w:top w:val="nil"/>
              <w:left w:val="nil"/>
              <w:bottom w:val="nil"/>
              <w:right w:val="nil"/>
            </w:tcBorders>
            <w:vAlign w:val="bottom"/>
          </w:tcPr>
          <w:p w14:paraId="712EA9A8" w14:textId="5D4A3753" w:rsidR="00B36BAC" w:rsidRPr="006A4165" w:rsidRDefault="00B36BAC" w:rsidP="00B36BAC">
            <w:pPr>
              <w:pStyle w:val="TableText"/>
              <w:tabs>
                <w:tab w:val="left" w:pos="3306"/>
              </w:tabs>
              <w:jc w:val="right"/>
              <w:rPr>
                <w:rFonts w:cs="Calibri"/>
              </w:rPr>
            </w:pPr>
          </w:p>
        </w:tc>
      </w:tr>
      <w:tr w:rsidR="00B36BAC" w:rsidRPr="00CF7E1B" w14:paraId="01679DC0"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77A15F4A" w14:textId="77777777" w:rsidR="00B36BAC" w:rsidRPr="006A4165" w:rsidRDefault="00B36BAC" w:rsidP="00B36BAC">
            <w:pPr>
              <w:pStyle w:val="TableReference"/>
              <w:tabs>
                <w:tab w:val="left" w:pos="3306"/>
              </w:tabs>
              <w:spacing w:before="40"/>
              <w:rPr>
                <w:rFonts w:cs="Calibri"/>
                <w:color w:val="7030A0"/>
                <w:sz w:val="16"/>
                <w:szCs w:val="16"/>
              </w:rPr>
            </w:pPr>
          </w:p>
        </w:tc>
        <w:tc>
          <w:tcPr>
            <w:tcW w:w="2798" w:type="pct"/>
            <w:gridSpan w:val="3"/>
            <w:tcBorders>
              <w:top w:val="nil"/>
              <w:left w:val="single" w:sz="2" w:space="0" w:color="auto"/>
              <w:bottom w:val="nil"/>
              <w:right w:val="nil"/>
            </w:tcBorders>
          </w:tcPr>
          <w:p w14:paraId="04D19C30" w14:textId="7F1B92EE" w:rsidR="00B36BAC" w:rsidRPr="006A4165" w:rsidRDefault="00B36BAC" w:rsidP="00B36BAC">
            <w:pPr>
              <w:pStyle w:val="TableText"/>
              <w:tabs>
                <w:tab w:val="left" w:pos="3306"/>
              </w:tabs>
              <w:rPr>
                <w:rFonts w:cs="Calibri"/>
                <w:b/>
                <w:bCs/>
              </w:rPr>
            </w:pPr>
            <w:r w:rsidRPr="006A4165">
              <w:rPr>
                <w:rFonts w:eastAsia="Calibri" w:cs="Calibri"/>
              </w:rPr>
              <w:t>Amounts Received Related to Contracts with Customers for Ecological Survey Grants where the Performance Obligations has not yet been Satisfied</w:t>
            </w:r>
          </w:p>
        </w:tc>
        <w:tc>
          <w:tcPr>
            <w:tcW w:w="635" w:type="pct"/>
            <w:gridSpan w:val="2"/>
            <w:tcBorders>
              <w:top w:val="nil"/>
              <w:left w:val="nil"/>
              <w:bottom w:val="single" w:sz="2" w:space="0" w:color="auto"/>
              <w:right w:val="nil"/>
            </w:tcBorders>
            <w:vAlign w:val="bottom"/>
          </w:tcPr>
          <w:p w14:paraId="78618C1D" w14:textId="77777777" w:rsidR="00B36BAC" w:rsidRPr="006A4165" w:rsidRDefault="00B36BAC" w:rsidP="00B36BAC">
            <w:pPr>
              <w:pStyle w:val="TableText"/>
              <w:tabs>
                <w:tab w:val="left" w:pos="3306"/>
              </w:tabs>
              <w:jc w:val="right"/>
              <w:rPr>
                <w:rFonts w:cs="Calibri"/>
                <w:b/>
                <w:bCs/>
              </w:rPr>
            </w:pPr>
          </w:p>
        </w:tc>
        <w:tc>
          <w:tcPr>
            <w:tcW w:w="574" w:type="pct"/>
            <w:gridSpan w:val="4"/>
            <w:tcBorders>
              <w:top w:val="nil"/>
              <w:left w:val="nil"/>
              <w:bottom w:val="single" w:sz="2" w:space="0" w:color="auto"/>
              <w:right w:val="nil"/>
            </w:tcBorders>
            <w:vAlign w:val="bottom"/>
          </w:tcPr>
          <w:p w14:paraId="51493AF5" w14:textId="77777777" w:rsidR="00B36BAC" w:rsidRPr="006A4165" w:rsidRDefault="00B36BAC" w:rsidP="00B36BAC">
            <w:pPr>
              <w:pStyle w:val="TableText"/>
              <w:tabs>
                <w:tab w:val="left" w:pos="3306"/>
              </w:tabs>
              <w:jc w:val="right"/>
              <w:rPr>
                <w:rFonts w:cs="Calibri"/>
                <w:b/>
                <w:bCs/>
              </w:rPr>
            </w:pPr>
          </w:p>
        </w:tc>
      </w:tr>
      <w:tr w:rsidR="00B36BAC" w:rsidRPr="00CF7E1B" w14:paraId="0951EA1B"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08240F7A" w14:textId="77777777" w:rsidR="00B36BAC" w:rsidRPr="006A4165" w:rsidRDefault="00B36BAC" w:rsidP="00B36BAC">
            <w:pPr>
              <w:pStyle w:val="TableReference"/>
              <w:tabs>
                <w:tab w:val="left" w:pos="3306"/>
              </w:tabs>
              <w:spacing w:before="40"/>
              <w:rPr>
                <w:rFonts w:cs="Calibri"/>
                <w:color w:val="7030A0"/>
                <w:sz w:val="16"/>
                <w:szCs w:val="16"/>
              </w:rPr>
            </w:pPr>
          </w:p>
        </w:tc>
        <w:tc>
          <w:tcPr>
            <w:tcW w:w="2798" w:type="pct"/>
            <w:gridSpan w:val="3"/>
            <w:tcBorders>
              <w:top w:val="nil"/>
              <w:left w:val="single" w:sz="2" w:space="0" w:color="auto"/>
              <w:bottom w:val="nil"/>
              <w:right w:val="nil"/>
            </w:tcBorders>
          </w:tcPr>
          <w:p w14:paraId="6A728233" w14:textId="1EADC4BF" w:rsidR="00B36BAC" w:rsidRPr="006A4165" w:rsidRDefault="00B36BAC" w:rsidP="00B36BAC">
            <w:pPr>
              <w:pStyle w:val="TableText"/>
              <w:tabs>
                <w:tab w:val="left" w:pos="3306"/>
              </w:tabs>
              <w:rPr>
                <w:rFonts w:cs="Calibri"/>
                <w:b/>
                <w:bCs/>
              </w:rPr>
            </w:pPr>
            <w:r w:rsidRPr="006A4165">
              <w:rPr>
                <w:rFonts w:cs="Calibri"/>
                <w:b/>
                <w:bCs/>
              </w:rPr>
              <w:t>Total Non-Current Payables</w:t>
            </w:r>
            <w:r w:rsidRPr="006A4165">
              <w:rPr>
                <w:b/>
                <w:bCs/>
              </w:rPr>
              <w:t xml:space="preserve"> and Contract Liabilities</w:t>
            </w:r>
          </w:p>
        </w:tc>
        <w:tc>
          <w:tcPr>
            <w:tcW w:w="635" w:type="pct"/>
            <w:gridSpan w:val="2"/>
            <w:tcBorders>
              <w:top w:val="single" w:sz="2" w:space="0" w:color="auto"/>
              <w:left w:val="nil"/>
              <w:bottom w:val="single" w:sz="2" w:space="0" w:color="auto"/>
              <w:right w:val="nil"/>
            </w:tcBorders>
            <w:vAlign w:val="bottom"/>
          </w:tcPr>
          <w:p w14:paraId="45F9D849" w14:textId="59A12125" w:rsidR="00B36BAC" w:rsidRPr="006A4165" w:rsidRDefault="00B36BAC" w:rsidP="00B36BAC">
            <w:pPr>
              <w:pStyle w:val="TableText"/>
              <w:tabs>
                <w:tab w:val="left" w:pos="3306"/>
              </w:tabs>
              <w:jc w:val="right"/>
              <w:rPr>
                <w:rFonts w:cs="Calibri"/>
                <w:b/>
                <w:bCs/>
              </w:rPr>
            </w:pPr>
          </w:p>
        </w:tc>
        <w:tc>
          <w:tcPr>
            <w:tcW w:w="574" w:type="pct"/>
            <w:gridSpan w:val="4"/>
            <w:tcBorders>
              <w:top w:val="single" w:sz="2" w:space="0" w:color="auto"/>
              <w:left w:val="nil"/>
              <w:bottom w:val="single" w:sz="2" w:space="0" w:color="auto"/>
              <w:right w:val="nil"/>
            </w:tcBorders>
            <w:vAlign w:val="bottom"/>
          </w:tcPr>
          <w:p w14:paraId="1CEB48BB" w14:textId="4A4BD116" w:rsidR="00B36BAC" w:rsidRPr="006A4165" w:rsidRDefault="00B36BAC" w:rsidP="00B36BAC">
            <w:pPr>
              <w:pStyle w:val="TableText"/>
              <w:tabs>
                <w:tab w:val="left" w:pos="3306"/>
              </w:tabs>
              <w:jc w:val="right"/>
              <w:rPr>
                <w:rFonts w:cs="Calibri"/>
                <w:b/>
                <w:bCs/>
              </w:rPr>
            </w:pPr>
          </w:p>
        </w:tc>
      </w:tr>
      <w:tr w:rsidR="00B36BAC" w:rsidRPr="00CF7E1B" w14:paraId="10CE9E90" w14:textId="77777777" w:rsidTr="00AE2F99">
        <w:trPr>
          <w:gridAfter w:val="2"/>
          <w:wAfter w:w="294" w:type="pct"/>
          <w:trHeight w:val="23"/>
        </w:trPr>
        <w:tc>
          <w:tcPr>
            <w:tcW w:w="699" w:type="pct"/>
            <w:tcBorders>
              <w:top w:val="nil"/>
              <w:left w:val="single" w:sz="2" w:space="0" w:color="auto"/>
              <w:bottom w:val="nil"/>
              <w:right w:val="single" w:sz="2" w:space="0" w:color="auto"/>
            </w:tcBorders>
          </w:tcPr>
          <w:p w14:paraId="28EB6D6B" w14:textId="77777777" w:rsidR="00B36BAC" w:rsidRPr="006A4165" w:rsidRDefault="00B36BAC" w:rsidP="00B36BAC">
            <w:pPr>
              <w:pStyle w:val="TableReference"/>
              <w:tabs>
                <w:tab w:val="left" w:pos="3306"/>
              </w:tabs>
              <w:spacing w:before="40"/>
              <w:rPr>
                <w:rFonts w:cs="Calibri"/>
                <w:color w:val="7030A0"/>
                <w:sz w:val="16"/>
                <w:szCs w:val="16"/>
              </w:rPr>
            </w:pPr>
          </w:p>
        </w:tc>
        <w:tc>
          <w:tcPr>
            <w:tcW w:w="2798" w:type="pct"/>
            <w:gridSpan w:val="3"/>
            <w:tcBorders>
              <w:top w:val="nil"/>
              <w:left w:val="single" w:sz="2" w:space="0" w:color="auto"/>
              <w:bottom w:val="nil"/>
              <w:right w:val="nil"/>
            </w:tcBorders>
          </w:tcPr>
          <w:p w14:paraId="6AD16D19" w14:textId="562B4E15" w:rsidR="00B36BAC" w:rsidRPr="006A4165" w:rsidRDefault="00B36BAC" w:rsidP="00B36BAC">
            <w:pPr>
              <w:pStyle w:val="TableText"/>
              <w:tabs>
                <w:tab w:val="left" w:pos="3306"/>
              </w:tabs>
              <w:rPr>
                <w:rFonts w:cs="Calibri"/>
                <w:b/>
                <w:bCs/>
              </w:rPr>
            </w:pPr>
            <w:r w:rsidRPr="006A4165">
              <w:rPr>
                <w:rFonts w:cs="Calibri"/>
                <w:b/>
                <w:bCs/>
              </w:rPr>
              <w:t>Total Payables</w:t>
            </w:r>
            <w:r w:rsidRPr="006A4165">
              <w:rPr>
                <w:b/>
                <w:bCs/>
              </w:rPr>
              <w:t xml:space="preserve"> and Contract Liabilities</w:t>
            </w:r>
          </w:p>
        </w:tc>
        <w:tc>
          <w:tcPr>
            <w:tcW w:w="635" w:type="pct"/>
            <w:gridSpan w:val="2"/>
            <w:tcBorders>
              <w:top w:val="single" w:sz="2" w:space="0" w:color="auto"/>
              <w:left w:val="nil"/>
              <w:bottom w:val="double" w:sz="4" w:space="0" w:color="auto"/>
              <w:right w:val="nil"/>
            </w:tcBorders>
            <w:vAlign w:val="bottom"/>
          </w:tcPr>
          <w:p w14:paraId="7F534001" w14:textId="201A1087" w:rsidR="00B36BAC" w:rsidRPr="006A4165" w:rsidRDefault="00B36BAC" w:rsidP="00B36BAC">
            <w:pPr>
              <w:pStyle w:val="TableText"/>
              <w:tabs>
                <w:tab w:val="left" w:pos="3306"/>
              </w:tabs>
              <w:jc w:val="right"/>
              <w:rPr>
                <w:rFonts w:cs="Calibri"/>
                <w:b/>
                <w:bCs/>
              </w:rPr>
            </w:pPr>
          </w:p>
        </w:tc>
        <w:tc>
          <w:tcPr>
            <w:tcW w:w="574" w:type="pct"/>
            <w:gridSpan w:val="4"/>
            <w:tcBorders>
              <w:top w:val="single" w:sz="2" w:space="0" w:color="auto"/>
              <w:left w:val="nil"/>
              <w:bottom w:val="double" w:sz="4" w:space="0" w:color="auto"/>
              <w:right w:val="nil"/>
            </w:tcBorders>
            <w:vAlign w:val="bottom"/>
          </w:tcPr>
          <w:p w14:paraId="37CB642B" w14:textId="1581655B" w:rsidR="00B36BAC" w:rsidRPr="006A4165" w:rsidRDefault="00B36BAC" w:rsidP="00B36BAC">
            <w:pPr>
              <w:pStyle w:val="TableText"/>
              <w:tabs>
                <w:tab w:val="left" w:pos="3306"/>
              </w:tabs>
              <w:jc w:val="right"/>
              <w:rPr>
                <w:rFonts w:cs="Calibri"/>
                <w:b/>
                <w:bCs/>
              </w:rPr>
            </w:pPr>
          </w:p>
        </w:tc>
      </w:tr>
      <w:tr w:rsidR="00B36BAC" w:rsidRPr="00CF7E1B" w14:paraId="6578C678" w14:textId="77777777" w:rsidTr="00AE2F99">
        <w:trPr>
          <w:gridAfter w:val="2"/>
          <w:wAfter w:w="294" w:type="pct"/>
          <w:cantSplit/>
          <w:trHeight w:val="252"/>
        </w:trPr>
        <w:tc>
          <w:tcPr>
            <w:tcW w:w="699" w:type="pct"/>
            <w:tcBorders>
              <w:top w:val="nil"/>
              <w:left w:val="single" w:sz="2" w:space="0" w:color="auto"/>
              <w:bottom w:val="nil"/>
              <w:right w:val="single" w:sz="2" w:space="0" w:color="auto"/>
            </w:tcBorders>
          </w:tcPr>
          <w:p w14:paraId="61A5C517" w14:textId="3CD30762" w:rsidR="00B36BAC" w:rsidRPr="006A4165" w:rsidRDefault="006A4165" w:rsidP="006A4165">
            <w:pPr>
              <w:pStyle w:val="TableReference"/>
              <w:tabs>
                <w:tab w:val="left" w:pos="3306"/>
              </w:tabs>
              <w:spacing w:before="240" w:after="240"/>
              <w:rPr>
                <w:rFonts w:cs="Calibri"/>
                <w:b/>
                <w:bCs/>
                <w:color w:val="7030A0"/>
                <w:sz w:val="16"/>
                <w:szCs w:val="16"/>
              </w:rPr>
            </w:pPr>
            <w:r w:rsidRPr="006A4165">
              <w:rPr>
                <w:rFonts w:cs="Calibri"/>
                <w:b/>
                <w:bCs/>
                <w:color w:val="7030A0"/>
                <w:sz w:val="22"/>
                <w:szCs w:val="22"/>
              </w:rPr>
              <w:t>Reference</w:t>
            </w:r>
          </w:p>
        </w:tc>
        <w:tc>
          <w:tcPr>
            <w:tcW w:w="4007" w:type="pct"/>
            <w:gridSpan w:val="9"/>
            <w:tcBorders>
              <w:top w:val="nil"/>
              <w:left w:val="single" w:sz="2" w:space="0" w:color="auto"/>
              <w:bottom w:val="nil"/>
              <w:right w:val="nil"/>
            </w:tcBorders>
            <w:vAlign w:val="bottom"/>
          </w:tcPr>
          <w:p w14:paraId="2F86E7D6" w14:textId="76CCE750" w:rsidR="00B36BAC" w:rsidRPr="00C864E3" w:rsidRDefault="006A4165" w:rsidP="006A4165">
            <w:pPr>
              <w:pStyle w:val="TableText"/>
              <w:tabs>
                <w:tab w:val="left" w:pos="3306"/>
              </w:tabs>
              <w:spacing w:before="240" w:after="240"/>
              <w:rPr>
                <w:rFonts w:ascii="Arial" w:hAnsi="Arial"/>
                <w:b/>
                <w:bCs/>
                <w:caps/>
                <w:sz w:val="32"/>
                <w:szCs w:val="24"/>
              </w:rPr>
            </w:pPr>
            <w:r w:rsidRPr="006A4165">
              <w:rPr>
                <w:rFonts w:ascii="Arial" w:hAnsi="Arial"/>
                <w:b/>
                <w:bCs/>
                <w:caps/>
                <w:sz w:val="32"/>
                <w:szCs w:val="24"/>
              </w:rPr>
              <w:t>Note 24.</w:t>
            </w:r>
            <w:r w:rsidR="00FA7C77">
              <w:rPr>
                <w:rFonts w:ascii="Arial" w:hAnsi="Arial"/>
                <w:b/>
                <w:bCs/>
                <w:caps/>
                <w:sz w:val="32"/>
                <w:szCs w:val="24"/>
              </w:rPr>
              <w:t xml:space="preserve"> </w:t>
            </w:r>
            <w:r w:rsidRPr="006A4165">
              <w:rPr>
                <w:rFonts w:ascii="Arial" w:hAnsi="Arial"/>
                <w:b/>
                <w:bCs/>
                <w:caps/>
                <w:sz w:val="32"/>
                <w:szCs w:val="24"/>
              </w:rPr>
              <w:t xml:space="preserve"> Payables and Contract Liabilities</w:t>
            </w:r>
            <w:r>
              <w:rPr>
                <w:rFonts w:ascii="Arial" w:hAnsi="Arial"/>
                <w:b/>
                <w:bCs/>
                <w:caps/>
                <w:sz w:val="32"/>
                <w:szCs w:val="24"/>
              </w:rPr>
              <w:t xml:space="preserve"> </w:t>
            </w:r>
            <w:r w:rsidR="00C864E3">
              <w:rPr>
                <w:rFonts w:ascii="Arial" w:hAnsi="Arial"/>
                <w:b/>
                <w:bCs/>
                <w:caps/>
                <w:sz w:val="32"/>
                <w:szCs w:val="24"/>
              </w:rPr>
              <w:t>–</w:t>
            </w:r>
            <w:r>
              <w:rPr>
                <w:rFonts w:ascii="Arial" w:hAnsi="Arial"/>
                <w:b/>
                <w:bCs/>
                <w:caps/>
                <w:sz w:val="32"/>
                <w:szCs w:val="24"/>
              </w:rPr>
              <w:t xml:space="preserve"> </w:t>
            </w:r>
            <w:r w:rsidR="00C864E3">
              <w:rPr>
                <w:rFonts w:ascii="Arial" w:hAnsi="Arial"/>
                <w:b/>
                <w:bCs/>
                <w:caps/>
                <w:sz w:val="32"/>
                <w:szCs w:val="24"/>
              </w:rPr>
              <w:t xml:space="preserve"> </w:t>
            </w:r>
            <w:r>
              <w:rPr>
                <w:rFonts w:ascii="Arial" w:hAnsi="Arial"/>
                <w:b/>
                <w:bCs/>
                <w:caps/>
                <w:sz w:val="32"/>
                <w:szCs w:val="24"/>
              </w:rPr>
              <w:t>Continued</w:t>
            </w:r>
            <w:r w:rsidR="00C864E3">
              <w:rPr>
                <w:rFonts w:ascii="Arial" w:hAnsi="Arial"/>
                <w:b/>
                <w:bCs/>
                <w:caps/>
                <w:sz w:val="32"/>
                <w:szCs w:val="24"/>
              </w:rPr>
              <w:t xml:space="preserve"> </w:t>
            </w:r>
          </w:p>
        </w:tc>
      </w:tr>
      <w:tr w:rsidR="0023781D" w:rsidRPr="00CF7E1B" w14:paraId="0EDC2BD5" w14:textId="77777777" w:rsidTr="00AE2F99">
        <w:trPr>
          <w:gridAfter w:val="2"/>
          <w:wAfter w:w="294" w:type="pct"/>
          <w:cantSplit/>
          <w:trHeight w:val="252"/>
        </w:trPr>
        <w:tc>
          <w:tcPr>
            <w:tcW w:w="699" w:type="pct"/>
            <w:tcBorders>
              <w:top w:val="nil"/>
              <w:left w:val="single" w:sz="2" w:space="0" w:color="auto"/>
              <w:bottom w:val="nil"/>
              <w:right w:val="single" w:sz="2" w:space="0" w:color="auto"/>
            </w:tcBorders>
          </w:tcPr>
          <w:p w14:paraId="4BC076A1" w14:textId="77777777" w:rsidR="0023781D" w:rsidRPr="006A4165" w:rsidRDefault="0023781D" w:rsidP="00B36BAC">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vAlign w:val="bottom"/>
          </w:tcPr>
          <w:p w14:paraId="3193D196" w14:textId="1A51B186" w:rsidR="0023781D" w:rsidRPr="00DC4889" w:rsidRDefault="0023781D" w:rsidP="00B36BAC">
            <w:pPr>
              <w:pStyle w:val="TableText"/>
              <w:tabs>
                <w:tab w:val="left" w:pos="3306"/>
              </w:tabs>
              <w:rPr>
                <w:rFonts w:cs="Calibri"/>
              </w:rPr>
            </w:pPr>
            <w:r w:rsidRPr="00DC4889">
              <w:rPr>
                <w:rFonts w:cs="Calibri"/>
              </w:rPr>
              <w:t>a) The decrease in Trade Payables of $</w:t>
            </w:r>
            <w:r w:rsidR="006746FA" w:rsidRPr="00DC4889">
              <w:rPr>
                <w:rFonts w:cs="Calibri"/>
              </w:rPr>
              <w:t>xxx</w:t>
            </w:r>
            <w:r w:rsidRPr="00DC4889">
              <w:rPr>
                <w:rFonts w:cs="Calibri"/>
              </w:rPr>
              <w:t xml:space="preserve"> mainly relates to restructuring of the Maintenance Agency.</w:t>
            </w:r>
          </w:p>
        </w:tc>
      </w:tr>
      <w:tr w:rsidR="0023781D" w:rsidRPr="00CF7E1B" w14:paraId="18191664" w14:textId="77777777" w:rsidTr="00AE2F99">
        <w:trPr>
          <w:gridAfter w:val="2"/>
          <w:wAfter w:w="294" w:type="pct"/>
          <w:cantSplit/>
          <w:trHeight w:val="252"/>
        </w:trPr>
        <w:tc>
          <w:tcPr>
            <w:tcW w:w="699" w:type="pct"/>
            <w:tcBorders>
              <w:top w:val="nil"/>
              <w:left w:val="single" w:sz="2" w:space="0" w:color="auto"/>
              <w:bottom w:val="nil"/>
              <w:right w:val="single" w:sz="2" w:space="0" w:color="auto"/>
            </w:tcBorders>
          </w:tcPr>
          <w:p w14:paraId="5D682260" w14:textId="77777777" w:rsidR="0023781D" w:rsidRPr="006A4165" w:rsidRDefault="0023781D" w:rsidP="00B36BAC">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vAlign w:val="bottom"/>
          </w:tcPr>
          <w:p w14:paraId="7EFBAC97" w14:textId="2ED827BB" w:rsidR="0023781D" w:rsidRPr="00DC4889" w:rsidRDefault="0023781D" w:rsidP="00B36BAC">
            <w:pPr>
              <w:pStyle w:val="TableText"/>
              <w:tabs>
                <w:tab w:val="left" w:pos="3306"/>
              </w:tabs>
              <w:rPr>
                <w:rFonts w:cs="Calibri"/>
              </w:rPr>
            </w:pPr>
            <w:r w:rsidRPr="00DC4889">
              <w:rPr>
                <w:rFonts w:cs="Calibri"/>
              </w:rPr>
              <w:t>b) The increase in Other Payables of $</w:t>
            </w:r>
            <w:r w:rsidR="006746FA" w:rsidRPr="00DC4889">
              <w:rPr>
                <w:rFonts w:cs="Calibri"/>
              </w:rPr>
              <w:t>xxx</w:t>
            </w:r>
            <w:r w:rsidRPr="00DC4889">
              <w:rPr>
                <w:rFonts w:cs="Calibri"/>
              </w:rPr>
              <w:t xml:space="preserve"> is due to a large capital works invoice received late in the reporting period.</w:t>
            </w:r>
          </w:p>
        </w:tc>
      </w:tr>
      <w:tr w:rsidR="0023781D" w:rsidRPr="00CF7E1B" w14:paraId="43AFEC2C" w14:textId="77777777" w:rsidTr="00AE2F99">
        <w:trPr>
          <w:gridAfter w:val="2"/>
          <w:wAfter w:w="294" w:type="pct"/>
          <w:cantSplit/>
          <w:trHeight w:val="252"/>
        </w:trPr>
        <w:tc>
          <w:tcPr>
            <w:tcW w:w="699" w:type="pct"/>
            <w:tcBorders>
              <w:top w:val="nil"/>
              <w:left w:val="single" w:sz="2" w:space="0" w:color="auto"/>
              <w:bottom w:val="nil"/>
              <w:right w:val="single" w:sz="2" w:space="0" w:color="auto"/>
            </w:tcBorders>
          </w:tcPr>
          <w:p w14:paraId="69C24AD2" w14:textId="77777777" w:rsidR="0023781D" w:rsidRPr="006A4165" w:rsidRDefault="0023781D" w:rsidP="00B36BAC">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vAlign w:val="bottom"/>
          </w:tcPr>
          <w:p w14:paraId="5DBD5698" w14:textId="792FCF5A" w:rsidR="0023781D" w:rsidRPr="00DC4889" w:rsidRDefault="0023781D" w:rsidP="00B36BAC">
            <w:pPr>
              <w:pStyle w:val="TableText"/>
              <w:tabs>
                <w:tab w:val="left" w:pos="3306"/>
              </w:tabs>
              <w:rPr>
                <w:rFonts w:cs="Calibri"/>
              </w:rPr>
            </w:pPr>
            <w:r w:rsidRPr="00DC4889">
              <w:rPr>
                <w:rFonts w:cs="Calibri"/>
              </w:rPr>
              <w:t>c) The increase in Accrued Expenses of $</w:t>
            </w:r>
            <w:r w:rsidR="006746FA" w:rsidRPr="00DC4889">
              <w:rPr>
                <w:rFonts w:cs="Calibri"/>
              </w:rPr>
              <w:t>xxx</w:t>
            </w:r>
            <w:r w:rsidRPr="00DC4889">
              <w:rPr>
                <w:rFonts w:cs="Calibri"/>
              </w:rPr>
              <w:t xml:space="preserve"> is mainly due to increased capital works and legal expenses.</w:t>
            </w:r>
          </w:p>
        </w:tc>
      </w:tr>
      <w:tr w:rsidR="0023781D" w:rsidRPr="00CF7E1B" w14:paraId="0DFF4CEC" w14:textId="77777777" w:rsidTr="00AE2F99">
        <w:trPr>
          <w:gridAfter w:val="2"/>
          <w:wAfter w:w="294" w:type="pct"/>
          <w:cantSplit/>
          <w:trHeight w:val="252"/>
        </w:trPr>
        <w:tc>
          <w:tcPr>
            <w:tcW w:w="699" w:type="pct"/>
            <w:tcBorders>
              <w:top w:val="nil"/>
              <w:left w:val="single" w:sz="2" w:space="0" w:color="auto"/>
              <w:bottom w:val="nil"/>
              <w:right w:val="single" w:sz="2" w:space="0" w:color="auto"/>
            </w:tcBorders>
          </w:tcPr>
          <w:p w14:paraId="482BDBF5" w14:textId="77777777" w:rsidR="0023781D" w:rsidRPr="006A4165" w:rsidRDefault="0023781D" w:rsidP="0023781D">
            <w:pPr>
              <w:tabs>
                <w:tab w:val="left" w:pos="3306"/>
              </w:tabs>
              <w:spacing w:before="40"/>
              <w:rPr>
                <w:rFonts w:cs="Calibri"/>
                <w:color w:val="7030A0"/>
                <w:sz w:val="14"/>
                <w:szCs w:val="14"/>
              </w:rPr>
            </w:pPr>
            <w:r w:rsidRPr="006A4165">
              <w:rPr>
                <w:rFonts w:cs="Calibri"/>
                <w:color w:val="7030A0"/>
                <w:sz w:val="14"/>
                <w:szCs w:val="14"/>
              </w:rPr>
              <w:t>AASB 15.118</w:t>
            </w:r>
          </w:p>
          <w:p w14:paraId="7F788798" w14:textId="77777777" w:rsidR="0023781D" w:rsidRPr="006A4165" w:rsidRDefault="0023781D" w:rsidP="00B36BAC">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vAlign w:val="bottom"/>
          </w:tcPr>
          <w:p w14:paraId="4DF6BEB7" w14:textId="744EF2A6" w:rsidR="0023781D" w:rsidRPr="00DC4889" w:rsidRDefault="0023781D" w:rsidP="00B36BAC">
            <w:pPr>
              <w:pStyle w:val="TableText"/>
              <w:tabs>
                <w:tab w:val="left" w:pos="3306"/>
              </w:tabs>
              <w:rPr>
                <w:rFonts w:cs="Calibri"/>
              </w:rPr>
            </w:pPr>
            <w:r w:rsidRPr="00DC4889">
              <w:t xml:space="preserve">d) </w:t>
            </w:r>
            <w:r w:rsidRPr="00DC4889">
              <w:rPr>
                <w:rFonts w:cs="Calibri"/>
              </w:rPr>
              <w:t xml:space="preserve">The increase </w:t>
            </w:r>
            <w:r w:rsidRPr="00DC4889">
              <w:t xml:space="preserve">contract liability </w:t>
            </w:r>
            <w:r w:rsidRPr="00DC4889">
              <w:rPr>
                <w:rFonts w:cs="Calibri"/>
              </w:rPr>
              <w:t>of $</w:t>
            </w:r>
            <w:r w:rsidR="006746FA" w:rsidRPr="00DC4889">
              <w:rPr>
                <w:rFonts w:cs="Calibri"/>
              </w:rPr>
              <w:t>xxx</w:t>
            </w:r>
            <w:r w:rsidRPr="00DC4889">
              <w:rPr>
                <w:rFonts w:cs="Calibri"/>
              </w:rPr>
              <w:t xml:space="preserve"> is due to</w:t>
            </w:r>
            <w:r w:rsidRPr="00DC4889">
              <w:t xml:space="preserve"> lower bus </w:t>
            </w:r>
            <w:r w:rsidR="00A4259B" w:rsidRPr="00DC4889">
              <w:t>patronage</w:t>
            </w:r>
            <w:r w:rsidRPr="00DC4889">
              <w:t xml:space="preserve"> from the COVID-19 lockdown in Canberra during August, September and October 2021, resulting in MyWay cards having a higher balance on average than usual.</w:t>
            </w:r>
          </w:p>
        </w:tc>
      </w:tr>
      <w:tr w:rsidR="0023781D" w:rsidRPr="00CF7E1B" w14:paraId="454E7B68" w14:textId="77777777" w:rsidTr="00AE2F99">
        <w:trPr>
          <w:gridAfter w:val="2"/>
          <w:wAfter w:w="294" w:type="pct"/>
          <w:cantSplit/>
          <w:trHeight w:val="252"/>
        </w:trPr>
        <w:tc>
          <w:tcPr>
            <w:tcW w:w="699" w:type="pct"/>
            <w:tcBorders>
              <w:top w:val="nil"/>
              <w:left w:val="single" w:sz="2" w:space="0" w:color="auto"/>
              <w:bottom w:val="nil"/>
              <w:right w:val="single" w:sz="2" w:space="0" w:color="auto"/>
            </w:tcBorders>
          </w:tcPr>
          <w:p w14:paraId="1648FCF7" w14:textId="77777777" w:rsidR="0023781D" w:rsidRPr="006A4165" w:rsidRDefault="0023781D" w:rsidP="0023781D">
            <w:pPr>
              <w:tabs>
                <w:tab w:val="left" w:pos="3306"/>
              </w:tabs>
              <w:spacing w:before="40"/>
              <w:rPr>
                <w:rFonts w:cs="Calibri"/>
                <w:color w:val="7030A0"/>
                <w:sz w:val="14"/>
                <w:szCs w:val="14"/>
              </w:rPr>
            </w:pPr>
          </w:p>
        </w:tc>
        <w:tc>
          <w:tcPr>
            <w:tcW w:w="4007" w:type="pct"/>
            <w:gridSpan w:val="9"/>
            <w:tcBorders>
              <w:top w:val="nil"/>
              <w:left w:val="single" w:sz="2" w:space="0" w:color="auto"/>
              <w:bottom w:val="nil"/>
              <w:right w:val="nil"/>
            </w:tcBorders>
            <w:vAlign w:val="bottom"/>
          </w:tcPr>
          <w:p w14:paraId="091D54E5" w14:textId="77777777" w:rsidR="0023781D" w:rsidRPr="00DC4889" w:rsidRDefault="0023781D" w:rsidP="00B36BAC">
            <w:pPr>
              <w:pStyle w:val="TableText"/>
              <w:tabs>
                <w:tab w:val="left" w:pos="3306"/>
              </w:tabs>
              <w:rPr>
                <w:rFonts w:cs="Calibri"/>
              </w:rPr>
            </w:pPr>
          </w:p>
        </w:tc>
      </w:tr>
      <w:tr w:rsidR="00DC4889" w:rsidRPr="00CF7E1B" w14:paraId="7B0EEB40" w14:textId="77777777" w:rsidTr="00AE2F99">
        <w:trPr>
          <w:gridAfter w:val="2"/>
          <w:wAfter w:w="294" w:type="pct"/>
          <w:cantSplit/>
          <w:trHeight w:val="252"/>
        </w:trPr>
        <w:tc>
          <w:tcPr>
            <w:tcW w:w="699" w:type="pct"/>
            <w:tcBorders>
              <w:top w:val="nil"/>
              <w:left w:val="single" w:sz="2" w:space="0" w:color="auto"/>
              <w:bottom w:val="nil"/>
              <w:right w:val="single" w:sz="2" w:space="0" w:color="auto"/>
            </w:tcBorders>
          </w:tcPr>
          <w:p w14:paraId="153922C6" w14:textId="77777777" w:rsidR="00DC4889" w:rsidRPr="006A4165" w:rsidRDefault="00DC4889" w:rsidP="0023781D">
            <w:pPr>
              <w:tabs>
                <w:tab w:val="left" w:pos="3306"/>
              </w:tabs>
              <w:spacing w:before="40"/>
              <w:rPr>
                <w:rFonts w:cs="Calibri"/>
                <w:color w:val="7030A0"/>
                <w:sz w:val="14"/>
                <w:szCs w:val="14"/>
              </w:rPr>
            </w:pPr>
          </w:p>
        </w:tc>
        <w:tc>
          <w:tcPr>
            <w:tcW w:w="2664" w:type="pct"/>
            <w:gridSpan w:val="2"/>
            <w:tcBorders>
              <w:top w:val="nil"/>
              <w:left w:val="single" w:sz="2" w:space="0" w:color="auto"/>
              <w:bottom w:val="nil"/>
              <w:right w:val="nil"/>
            </w:tcBorders>
            <w:vAlign w:val="bottom"/>
          </w:tcPr>
          <w:p w14:paraId="69CDB1FD" w14:textId="77777777" w:rsidR="00DC4889" w:rsidRPr="00DC4889" w:rsidRDefault="00DC4889" w:rsidP="00B36BAC">
            <w:pPr>
              <w:pStyle w:val="TableText"/>
              <w:tabs>
                <w:tab w:val="left" w:pos="3306"/>
              </w:tabs>
              <w:rPr>
                <w:rFonts w:cs="Calibri"/>
              </w:rPr>
            </w:pPr>
          </w:p>
        </w:tc>
        <w:tc>
          <w:tcPr>
            <w:tcW w:w="769" w:type="pct"/>
            <w:gridSpan w:val="3"/>
            <w:tcBorders>
              <w:top w:val="nil"/>
              <w:left w:val="nil"/>
              <w:bottom w:val="nil"/>
              <w:right w:val="nil"/>
            </w:tcBorders>
          </w:tcPr>
          <w:p w14:paraId="133230E5" w14:textId="144F513B" w:rsidR="00DC4889" w:rsidRPr="00DC4889" w:rsidRDefault="00DC4889" w:rsidP="00DC4889">
            <w:pPr>
              <w:pStyle w:val="TableText"/>
              <w:tabs>
                <w:tab w:val="left" w:pos="3306"/>
              </w:tabs>
              <w:jc w:val="right"/>
              <w:rPr>
                <w:rFonts w:cs="Calibri"/>
                <w:b/>
                <w:bCs/>
              </w:rPr>
            </w:pPr>
            <w:r w:rsidRPr="00DC4889">
              <w:rPr>
                <w:rFonts w:cs="Calibri"/>
                <w:b/>
                <w:bCs/>
              </w:rPr>
              <w:t>2022</w:t>
            </w:r>
            <w:r w:rsidR="00FA7C77">
              <w:rPr>
                <w:rFonts w:cs="Calibri"/>
                <w:b/>
                <w:bCs/>
              </w:rPr>
              <w:t xml:space="preserve">      </w:t>
            </w:r>
          </w:p>
        </w:tc>
        <w:tc>
          <w:tcPr>
            <w:tcW w:w="574" w:type="pct"/>
            <w:gridSpan w:val="4"/>
            <w:tcBorders>
              <w:top w:val="nil"/>
              <w:left w:val="nil"/>
              <w:bottom w:val="nil"/>
              <w:right w:val="nil"/>
            </w:tcBorders>
          </w:tcPr>
          <w:p w14:paraId="4BF7C35F" w14:textId="42D20A93" w:rsidR="00DC4889" w:rsidRPr="00DC4889" w:rsidRDefault="00DC4889" w:rsidP="00DC4889">
            <w:pPr>
              <w:pStyle w:val="TableText"/>
              <w:tabs>
                <w:tab w:val="left" w:pos="3306"/>
              </w:tabs>
              <w:jc w:val="right"/>
              <w:rPr>
                <w:rFonts w:cs="Calibri"/>
                <w:b/>
                <w:bCs/>
              </w:rPr>
            </w:pPr>
            <w:r w:rsidRPr="00DC4889">
              <w:rPr>
                <w:rFonts w:cs="Calibri"/>
                <w:b/>
                <w:bCs/>
              </w:rPr>
              <w:t>2021</w:t>
            </w:r>
          </w:p>
        </w:tc>
      </w:tr>
      <w:tr w:rsidR="00DC4889" w:rsidRPr="00CF7E1B" w14:paraId="340BE03A" w14:textId="77777777" w:rsidTr="00AE2F99">
        <w:trPr>
          <w:gridAfter w:val="2"/>
          <w:wAfter w:w="294" w:type="pct"/>
          <w:cantSplit/>
          <w:trHeight w:val="252"/>
        </w:trPr>
        <w:tc>
          <w:tcPr>
            <w:tcW w:w="699" w:type="pct"/>
            <w:tcBorders>
              <w:top w:val="nil"/>
              <w:left w:val="single" w:sz="2" w:space="0" w:color="auto"/>
              <w:bottom w:val="nil"/>
              <w:right w:val="single" w:sz="2" w:space="0" w:color="auto"/>
            </w:tcBorders>
          </w:tcPr>
          <w:p w14:paraId="1D3A6014" w14:textId="77777777" w:rsidR="00DC4889" w:rsidRPr="006A4165" w:rsidRDefault="00DC4889" w:rsidP="0023781D">
            <w:pPr>
              <w:tabs>
                <w:tab w:val="left" w:pos="3306"/>
              </w:tabs>
              <w:spacing w:before="40"/>
              <w:rPr>
                <w:rFonts w:cs="Calibri"/>
                <w:color w:val="7030A0"/>
                <w:sz w:val="14"/>
                <w:szCs w:val="14"/>
              </w:rPr>
            </w:pPr>
          </w:p>
        </w:tc>
        <w:tc>
          <w:tcPr>
            <w:tcW w:w="2664" w:type="pct"/>
            <w:gridSpan w:val="2"/>
            <w:tcBorders>
              <w:top w:val="nil"/>
              <w:left w:val="single" w:sz="2" w:space="0" w:color="auto"/>
              <w:bottom w:val="nil"/>
              <w:right w:val="nil"/>
            </w:tcBorders>
            <w:vAlign w:val="bottom"/>
          </w:tcPr>
          <w:p w14:paraId="6384ACE4" w14:textId="77777777" w:rsidR="00DC4889" w:rsidRPr="00DC4889" w:rsidRDefault="00DC4889" w:rsidP="00B36BAC">
            <w:pPr>
              <w:pStyle w:val="TableText"/>
              <w:tabs>
                <w:tab w:val="left" w:pos="3306"/>
              </w:tabs>
              <w:rPr>
                <w:rFonts w:cs="Calibri"/>
              </w:rPr>
            </w:pPr>
          </w:p>
        </w:tc>
        <w:tc>
          <w:tcPr>
            <w:tcW w:w="769" w:type="pct"/>
            <w:gridSpan w:val="3"/>
            <w:tcBorders>
              <w:top w:val="nil"/>
              <w:left w:val="nil"/>
              <w:bottom w:val="nil"/>
              <w:right w:val="nil"/>
            </w:tcBorders>
          </w:tcPr>
          <w:p w14:paraId="73E9878F" w14:textId="22868FAF" w:rsidR="00DC4889" w:rsidRPr="00DC4889" w:rsidRDefault="00DC4889" w:rsidP="00DC4889">
            <w:pPr>
              <w:pStyle w:val="TableText"/>
              <w:tabs>
                <w:tab w:val="left" w:pos="3306"/>
              </w:tabs>
              <w:jc w:val="right"/>
              <w:rPr>
                <w:rFonts w:cs="Calibri"/>
                <w:b/>
                <w:bCs/>
              </w:rPr>
            </w:pPr>
            <w:r w:rsidRPr="00DC4889">
              <w:rPr>
                <w:rFonts w:cs="Calibri"/>
                <w:b/>
                <w:bCs/>
              </w:rPr>
              <w:t>$’000</w:t>
            </w:r>
          </w:p>
        </w:tc>
        <w:tc>
          <w:tcPr>
            <w:tcW w:w="574" w:type="pct"/>
            <w:gridSpan w:val="4"/>
            <w:tcBorders>
              <w:top w:val="nil"/>
              <w:left w:val="nil"/>
              <w:bottom w:val="nil"/>
              <w:right w:val="nil"/>
            </w:tcBorders>
          </w:tcPr>
          <w:p w14:paraId="610265E5" w14:textId="1BEE6C0F" w:rsidR="00DC4889" w:rsidRPr="00DC4889" w:rsidRDefault="00DC4889" w:rsidP="00DC4889">
            <w:pPr>
              <w:pStyle w:val="TableText"/>
              <w:tabs>
                <w:tab w:val="left" w:pos="3306"/>
              </w:tabs>
              <w:jc w:val="right"/>
              <w:rPr>
                <w:rFonts w:cs="Calibri"/>
                <w:b/>
                <w:bCs/>
              </w:rPr>
            </w:pPr>
            <w:r w:rsidRPr="00DC4889">
              <w:rPr>
                <w:rFonts w:cs="Calibri"/>
                <w:b/>
                <w:bCs/>
              </w:rPr>
              <w:t>$’000</w:t>
            </w:r>
          </w:p>
        </w:tc>
      </w:tr>
      <w:tr w:rsidR="001219A8" w:rsidRPr="00B36BAC" w14:paraId="4D53A200"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7F2238F3" w14:textId="77777777" w:rsidR="001219A8" w:rsidRPr="006A4165" w:rsidRDefault="001219A8" w:rsidP="009A0F2F">
            <w:pPr>
              <w:pStyle w:val="TableReference"/>
              <w:spacing w:before="40"/>
              <w:rPr>
                <w:rFonts w:cs="Calibri"/>
                <w:color w:val="7030A0"/>
                <w:sz w:val="14"/>
              </w:rPr>
            </w:pPr>
            <w:r w:rsidRPr="006A4165">
              <w:rPr>
                <w:rFonts w:cs="Calibri"/>
                <w:color w:val="7030A0"/>
                <w:sz w:val="14"/>
              </w:rPr>
              <w:t>AASB 15.116(b)</w:t>
            </w:r>
          </w:p>
          <w:p w14:paraId="5EEFCFD1" w14:textId="77777777" w:rsidR="001219A8" w:rsidRPr="006A4165" w:rsidRDefault="001219A8" w:rsidP="009A0F2F">
            <w:pPr>
              <w:pStyle w:val="TableReference"/>
              <w:spacing w:before="40"/>
              <w:rPr>
                <w:rFonts w:cs="Calibri"/>
                <w:color w:val="7030A0"/>
                <w:sz w:val="14"/>
              </w:rPr>
            </w:pPr>
          </w:p>
        </w:tc>
        <w:tc>
          <w:tcPr>
            <w:tcW w:w="2664" w:type="pct"/>
            <w:gridSpan w:val="2"/>
            <w:tcBorders>
              <w:top w:val="nil"/>
              <w:left w:val="single" w:sz="2" w:space="0" w:color="auto"/>
              <w:bottom w:val="nil"/>
              <w:right w:val="nil"/>
            </w:tcBorders>
            <w:shd w:val="clear" w:color="auto" w:fill="auto"/>
          </w:tcPr>
          <w:p w14:paraId="31046369" w14:textId="77777777" w:rsidR="001219A8" w:rsidRPr="00DC4889" w:rsidRDefault="001219A8" w:rsidP="009A0F2F">
            <w:pPr>
              <w:pStyle w:val="CommentaryHeading"/>
              <w:tabs>
                <w:tab w:val="left" w:pos="3306"/>
              </w:tabs>
              <w:spacing w:before="0" w:after="80"/>
              <w:rPr>
                <w:rFonts w:eastAsia="Calibri" w:cs="Calibri"/>
                <w:b w:val="0"/>
                <w:bCs w:val="0"/>
                <w:sz w:val="18"/>
              </w:rPr>
            </w:pPr>
            <w:r w:rsidRPr="00DC4889">
              <w:rPr>
                <w:rFonts w:eastAsia="Calibri" w:cs="Calibri"/>
                <w:b w:val="0"/>
                <w:bCs w:val="0"/>
                <w:sz w:val="18"/>
              </w:rPr>
              <w:t>Revenue Recognised that was Included in the Contract Liability Balance at the Beginning of the Reporting Period</w:t>
            </w:r>
          </w:p>
        </w:tc>
        <w:tc>
          <w:tcPr>
            <w:tcW w:w="769" w:type="pct"/>
            <w:gridSpan w:val="3"/>
            <w:tcBorders>
              <w:top w:val="nil"/>
              <w:left w:val="nil"/>
              <w:bottom w:val="nil"/>
              <w:right w:val="nil"/>
            </w:tcBorders>
            <w:shd w:val="clear" w:color="auto" w:fill="auto"/>
          </w:tcPr>
          <w:p w14:paraId="10668EDC" w14:textId="77777777" w:rsidR="001219A8" w:rsidRPr="00DC4889" w:rsidRDefault="001219A8" w:rsidP="009A0F2F">
            <w:pPr>
              <w:pStyle w:val="CommentaryHeading"/>
              <w:tabs>
                <w:tab w:val="left" w:pos="3306"/>
              </w:tabs>
              <w:spacing w:before="0" w:after="80"/>
              <w:rPr>
                <w:rFonts w:eastAsia="Calibri" w:cs="Calibri"/>
                <w:b w:val="0"/>
                <w:bCs w:val="0"/>
                <w:sz w:val="18"/>
              </w:rPr>
            </w:pPr>
          </w:p>
        </w:tc>
        <w:tc>
          <w:tcPr>
            <w:tcW w:w="574" w:type="pct"/>
            <w:gridSpan w:val="4"/>
            <w:tcBorders>
              <w:top w:val="nil"/>
              <w:left w:val="nil"/>
              <w:bottom w:val="nil"/>
              <w:right w:val="nil"/>
            </w:tcBorders>
            <w:shd w:val="clear" w:color="auto" w:fill="auto"/>
          </w:tcPr>
          <w:p w14:paraId="49834DFC" w14:textId="77777777" w:rsidR="001219A8" w:rsidRPr="00DC4889" w:rsidRDefault="001219A8" w:rsidP="009A0F2F">
            <w:pPr>
              <w:pStyle w:val="CommentaryHeading"/>
              <w:tabs>
                <w:tab w:val="left" w:pos="3306"/>
              </w:tabs>
              <w:spacing w:before="0" w:after="80"/>
              <w:rPr>
                <w:rFonts w:eastAsia="Calibri" w:cs="Calibri"/>
                <w:b w:val="0"/>
                <w:bCs w:val="0"/>
                <w:sz w:val="18"/>
              </w:rPr>
            </w:pPr>
          </w:p>
        </w:tc>
      </w:tr>
      <w:tr w:rsidR="001219A8" w:rsidRPr="00B36BAC" w14:paraId="06636529"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1C7AB198" w14:textId="13BFB42E" w:rsidR="001219A8" w:rsidRPr="006A4165" w:rsidRDefault="001219A8" w:rsidP="009A0F2F">
            <w:pPr>
              <w:pStyle w:val="TableReference"/>
              <w:spacing w:before="40"/>
              <w:rPr>
                <w:rFonts w:cs="Calibri"/>
                <w:color w:val="7030A0"/>
                <w:sz w:val="14"/>
              </w:rPr>
            </w:pPr>
            <w:r w:rsidRPr="006A4165">
              <w:rPr>
                <w:rFonts w:cs="Calibri"/>
                <w:color w:val="7030A0"/>
                <w:sz w:val="14"/>
              </w:rPr>
              <w:t>AASB 15.116(c)</w:t>
            </w:r>
          </w:p>
        </w:tc>
        <w:tc>
          <w:tcPr>
            <w:tcW w:w="2664" w:type="pct"/>
            <w:gridSpan w:val="2"/>
            <w:tcBorders>
              <w:top w:val="nil"/>
              <w:left w:val="single" w:sz="2" w:space="0" w:color="auto"/>
              <w:bottom w:val="nil"/>
              <w:right w:val="nil"/>
            </w:tcBorders>
            <w:shd w:val="clear" w:color="auto" w:fill="auto"/>
          </w:tcPr>
          <w:p w14:paraId="29FBD4A9" w14:textId="77777777" w:rsidR="001219A8" w:rsidRPr="00DC4889" w:rsidRDefault="001219A8" w:rsidP="009A0F2F">
            <w:pPr>
              <w:pStyle w:val="CommentaryHeading"/>
              <w:tabs>
                <w:tab w:val="left" w:pos="3306"/>
              </w:tabs>
              <w:spacing w:before="0" w:after="80"/>
              <w:rPr>
                <w:rFonts w:eastAsia="Calibri" w:cs="Calibri"/>
                <w:b w:val="0"/>
                <w:bCs w:val="0"/>
                <w:sz w:val="18"/>
              </w:rPr>
            </w:pPr>
            <w:r w:rsidRPr="00DC4889">
              <w:rPr>
                <w:rFonts w:eastAsia="Calibri" w:cs="Calibri"/>
                <w:b w:val="0"/>
                <w:bCs w:val="0"/>
                <w:sz w:val="18"/>
              </w:rPr>
              <w:t>Revenue Recognised from Performance Obligations Satisfied in Previous Periods</w:t>
            </w:r>
          </w:p>
        </w:tc>
        <w:tc>
          <w:tcPr>
            <w:tcW w:w="769" w:type="pct"/>
            <w:gridSpan w:val="3"/>
            <w:tcBorders>
              <w:top w:val="nil"/>
              <w:left w:val="nil"/>
              <w:bottom w:val="nil"/>
              <w:right w:val="nil"/>
            </w:tcBorders>
            <w:shd w:val="clear" w:color="auto" w:fill="auto"/>
          </w:tcPr>
          <w:p w14:paraId="3D1A12F7" w14:textId="77777777" w:rsidR="001219A8" w:rsidRPr="00DC4889" w:rsidRDefault="001219A8" w:rsidP="009A0F2F">
            <w:pPr>
              <w:pStyle w:val="CommentaryHeading"/>
              <w:tabs>
                <w:tab w:val="left" w:pos="3306"/>
              </w:tabs>
              <w:spacing w:before="0" w:after="80"/>
              <w:rPr>
                <w:rFonts w:eastAsia="Calibri" w:cs="Calibri"/>
                <w:b w:val="0"/>
                <w:bCs w:val="0"/>
                <w:sz w:val="18"/>
              </w:rPr>
            </w:pPr>
          </w:p>
        </w:tc>
        <w:tc>
          <w:tcPr>
            <w:tcW w:w="574" w:type="pct"/>
            <w:gridSpan w:val="4"/>
            <w:tcBorders>
              <w:top w:val="nil"/>
              <w:left w:val="nil"/>
              <w:bottom w:val="nil"/>
              <w:right w:val="nil"/>
            </w:tcBorders>
            <w:shd w:val="clear" w:color="auto" w:fill="auto"/>
          </w:tcPr>
          <w:p w14:paraId="2C5650B8" w14:textId="77777777" w:rsidR="001219A8" w:rsidRPr="00DC4889" w:rsidRDefault="001219A8" w:rsidP="009A0F2F">
            <w:pPr>
              <w:pStyle w:val="CommentaryHeading"/>
              <w:tabs>
                <w:tab w:val="left" w:pos="3306"/>
              </w:tabs>
              <w:spacing w:before="0" w:after="80"/>
              <w:rPr>
                <w:rFonts w:eastAsia="Calibri" w:cs="Calibri"/>
                <w:b w:val="0"/>
                <w:bCs w:val="0"/>
                <w:sz w:val="18"/>
              </w:rPr>
            </w:pPr>
          </w:p>
        </w:tc>
      </w:tr>
      <w:tr w:rsidR="001219A8" w:rsidRPr="00B36BAC" w14:paraId="40DC889E"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2E2C7FDB" w14:textId="77777777" w:rsidR="001219A8" w:rsidRPr="006A4165" w:rsidRDefault="001219A8" w:rsidP="009A0F2F">
            <w:pPr>
              <w:pStyle w:val="TableReference"/>
              <w:tabs>
                <w:tab w:val="left" w:pos="3306"/>
              </w:tabs>
              <w:spacing w:before="40"/>
              <w:rPr>
                <w:rFonts w:cs="Calibri"/>
                <w:color w:val="7030A0"/>
                <w:sz w:val="14"/>
              </w:rPr>
            </w:pPr>
            <w:r w:rsidRPr="006A4165">
              <w:rPr>
                <w:rFonts w:cs="Calibri"/>
                <w:color w:val="7030A0"/>
                <w:sz w:val="14"/>
              </w:rPr>
              <w:t>AASB 15.120(a)</w:t>
            </w:r>
          </w:p>
          <w:p w14:paraId="7C31C39B" w14:textId="77777777" w:rsidR="001219A8" w:rsidRPr="006A4165" w:rsidRDefault="001219A8" w:rsidP="009A0F2F">
            <w:pPr>
              <w:pStyle w:val="TableReference"/>
              <w:spacing w:before="40"/>
              <w:rPr>
                <w:rFonts w:cs="Calibri"/>
                <w:color w:val="7030A0"/>
                <w:sz w:val="14"/>
              </w:rPr>
            </w:pPr>
          </w:p>
        </w:tc>
        <w:tc>
          <w:tcPr>
            <w:tcW w:w="2664" w:type="pct"/>
            <w:gridSpan w:val="2"/>
            <w:tcBorders>
              <w:top w:val="nil"/>
              <w:left w:val="single" w:sz="2" w:space="0" w:color="auto"/>
              <w:bottom w:val="nil"/>
              <w:right w:val="nil"/>
            </w:tcBorders>
            <w:shd w:val="clear" w:color="auto" w:fill="auto"/>
          </w:tcPr>
          <w:p w14:paraId="1C2A035A" w14:textId="77777777" w:rsidR="001219A8" w:rsidRPr="00DC4889" w:rsidRDefault="001219A8" w:rsidP="009A0F2F">
            <w:pPr>
              <w:pStyle w:val="CommentaryHeading"/>
              <w:tabs>
                <w:tab w:val="left" w:pos="3306"/>
              </w:tabs>
              <w:spacing w:before="0" w:after="80"/>
              <w:rPr>
                <w:rFonts w:eastAsia="Calibri" w:cs="Calibri"/>
                <w:b w:val="0"/>
                <w:bCs w:val="0"/>
                <w:sz w:val="18"/>
              </w:rPr>
            </w:pPr>
            <w:r w:rsidRPr="00DC4889">
              <w:rPr>
                <w:rFonts w:eastAsia="Calibri" w:cs="Calibri"/>
                <w:b w:val="0"/>
                <w:bCs w:val="0"/>
                <w:sz w:val="18"/>
              </w:rPr>
              <w:t>Transaction Price Allocated to Unsatisfied (or Partially Unsatisfied) Performance Obligations</w:t>
            </w:r>
          </w:p>
        </w:tc>
        <w:tc>
          <w:tcPr>
            <w:tcW w:w="769" w:type="pct"/>
            <w:gridSpan w:val="3"/>
            <w:tcBorders>
              <w:top w:val="nil"/>
              <w:left w:val="nil"/>
              <w:bottom w:val="nil"/>
              <w:right w:val="nil"/>
            </w:tcBorders>
            <w:shd w:val="clear" w:color="auto" w:fill="auto"/>
          </w:tcPr>
          <w:p w14:paraId="12CF58DB" w14:textId="77777777" w:rsidR="001219A8" w:rsidRPr="00DC4889" w:rsidRDefault="001219A8" w:rsidP="009A0F2F">
            <w:pPr>
              <w:pStyle w:val="CommentaryHeading"/>
              <w:tabs>
                <w:tab w:val="left" w:pos="3306"/>
              </w:tabs>
              <w:spacing w:before="0" w:after="80"/>
              <w:rPr>
                <w:rFonts w:eastAsia="Calibri" w:cs="Calibri"/>
                <w:b w:val="0"/>
                <w:bCs w:val="0"/>
                <w:sz w:val="18"/>
              </w:rPr>
            </w:pPr>
          </w:p>
        </w:tc>
        <w:tc>
          <w:tcPr>
            <w:tcW w:w="574" w:type="pct"/>
            <w:gridSpan w:val="4"/>
            <w:tcBorders>
              <w:top w:val="nil"/>
              <w:left w:val="nil"/>
              <w:bottom w:val="nil"/>
              <w:right w:val="nil"/>
            </w:tcBorders>
            <w:shd w:val="clear" w:color="auto" w:fill="auto"/>
          </w:tcPr>
          <w:p w14:paraId="37909623" w14:textId="77777777" w:rsidR="001219A8" w:rsidRPr="00DC4889" w:rsidRDefault="001219A8" w:rsidP="009A0F2F">
            <w:pPr>
              <w:pStyle w:val="CommentaryHeading"/>
              <w:tabs>
                <w:tab w:val="left" w:pos="3306"/>
              </w:tabs>
              <w:spacing w:before="0" w:after="80"/>
              <w:rPr>
                <w:rFonts w:eastAsia="Calibri" w:cs="Calibri"/>
                <w:b w:val="0"/>
                <w:bCs w:val="0"/>
                <w:sz w:val="18"/>
              </w:rPr>
            </w:pPr>
          </w:p>
        </w:tc>
      </w:tr>
      <w:tr w:rsidR="0023781D" w:rsidRPr="00CF7E1B" w14:paraId="0313D015" w14:textId="77777777" w:rsidTr="00AE2F99">
        <w:trPr>
          <w:gridAfter w:val="2"/>
          <w:wAfter w:w="294" w:type="pct"/>
          <w:cantSplit/>
          <w:trHeight w:val="252"/>
        </w:trPr>
        <w:tc>
          <w:tcPr>
            <w:tcW w:w="699" w:type="pct"/>
            <w:tcBorders>
              <w:top w:val="nil"/>
              <w:left w:val="single" w:sz="2" w:space="0" w:color="auto"/>
              <w:bottom w:val="nil"/>
              <w:right w:val="single" w:sz="2" w:space="0" w:color="auto"/>
            </w:tcBorders>
          </w:tcPr>
          <w:p w14:paraId="393E5FA9" w14:textId="77777777" w:rsidR="0023781D" w:rsidRPr="006A4165" w:rsidRDefault="0023781D" w:rsidP="00B36BAC">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vAlign w:val="bottom"/>
          </w:tcPr>
          <w:p w14:paraId="28E8B927" w14:textId="77777777" w:rsidR="0023781D" w:rsidRPr="00DC4889" w:rsidRDefault="0023781D" w:rsidP="00B36BAC">
            <w:pPr>
              <w:pStyle w:val="TableText"/>
              <w:tabs>
                <w:tab w:val="left" w:pos="3306"/>
              </w:tabs>
              <w:rPr>
                <w:rFonts w:cs="Calibri"/>
              </w:rPr>
            </w:pPr>
          </w:p>
        </w:tc>
      </w:tr>
      <w:tr w:rsidR="008A0F4A" w:rsidRPr="00CF7E1B" w14:paraId="7EBBEEC1" w14:textId="77777777" w:rsidTr="00AE2F99">
        <w:trPr>
          <w:gridAfter w:val="2"/>
          <w:wAfter w:w="294" w:type="pct"/>
          <w:cantSplit/>
          <w:trHeight w:val="354"/>
        </w:trPr>
        <w:tc>
          <w:tcPr>
            <w:tcW w:w="699" w:type="pct"/>
            <w:tcBorders>
              <w:top w:val="nil"/>
              <w:left w:val="single" w:sz="2" w:space="0" w:color="auto"/>
              <w:bottom w:val="nil"/>
              <w:right w:val="single" w:sz="2" w:space="0" w:color="auto"/>
            </w:tcBorders>
          </w:tcPr>
          <w:p w14:paraId="440D0C1C" w14:textId="77777777" w:rsidR="008A0F4A" w:rsidRPr="006A4165" w:rsidRDefault="008A0F4A" w:rsidP="00B36BAC">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vAlign w:val="bottom"/>
          </w:tcPr>
          <w:p w14:paraId="43967965" w14:textId="04B5CB85" w:rsidR="008A0F4A" w:rsidRPr="00DC4889" w:rsidRDefault="0023781D" w:rsidP="00B36BAC">
            <w:pPr>
              <w:pStyle w:val="TableText"/>
              <w:tabs>
                <w:tab w:val="left" w:pos="3306"/>
              </w:tabs>
              <w:spacing w:before="0" w:after="120"/>
              <w:jc w:val="both"/>
              <w:rPr>
                <w:rFonts w:cs="Calibri"/>
              </w:rPr>
            </w:pPr>
            <w:r w:rsidRPr="00DC4889">
              <w:rPr>
                <w:rFonts w:cs="Calibri"/>
                <w:b/>
                <w:bCs/>
              </w:rPr>
              <w:t>Split of Payables and Contract Liabilities</w:t>
            </w:r>
          </w:p>
        </w:tc>
      </w:tr>
      <w:tr w:rsidR="008A0F4A" w:rsidRPr="00952428" w14:paraId="6E2C65A1"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5E57C3B8" w14:textId="77777777" w:rsidR="008A0F4A" w:rsidRPr="006A4165" w:rsidRDefault="008A0F4A" w:rsidP="009A0F2F">
            <w:pPr>
              <w:pStyle w:val="TableReference"/>
              <w:tabs>
                <w:tab w:val="left" w:pos="3306"/>
              </w:tabs>
              <w:spacing w:before="40"/>
              <w:rPr>
                <w:rFonts w:cs="Calibri"/>
                <w:color w:val="7030A0"/>
                <w:sz w:val="14"/>
              </w:rPr>
            </w:pPr>
            <w:r w:rsidRPr="006A4165">
              <w:rPr>
                <w:rFonts w:cs="Calibri"/>
                <w:color w:val="7030A0"/>
                <w:sz w:val="14"/>
              </w:rPr>
              <w:t>ACT Disclosure Policy</w:t>
            </w:r>
          </w:p>
        </w:tc>
        <w:tc>
          <w:tcPr>
            <w:tcW w:w="2664" w:type="pct"/>
            <w:gridSpan w:val="2"/>
            <w:tcBorders>
              <w:top w:val="nil"/>
              <w:left w:val="single" w:sz="2" w:space="0" w:color="auto"/>
              <w:bottom w:val="nil"/>
              <w:right w:val="nil"/>
            </w:tcBorders>
          </w:tcPr>
          <w:p w14:paraId="67FC4973" w14:textId="23F6C6DB" w:rsidR="008A0F4A" w:rsidRPr="00DC4889" w:rsidRDefault="008A0F4A" w:rsidP="0023781D">
            <w:pPr>
              <w:pStyle w:val="TableText"/>
              <w:tabs>
                <w:tab w:val="left" w:pos="3306"/>
              </w:tabs>
              <w:spacing w:before="0"/>
              <w:ind w:left="210" w:hanging="210"/>
              <w:rPr>
                <w:rFonts w:cs="Calibri"/>
              </w:rPr>
            </w:pPr>
            <w:r w:rsidRPr="00DC4889">
              <w:rPr>
                <w:rFonts w:cs="Calibri"/>
              </w:rPr>
              <w:t xml:space="preserve">Current </w:t>
            </w:r>
            <w:r w:rsidR="0023781D" w:rsidRPr="00DC4889">
              <w:rPr>
                <w:rFonts w:cs="Calibri"/>
              </w:rPr>
              <w:t>Payables</w:t>
            </w:r>
            <w:r w:rsidRPr="00DC4889">
              <w:rPr>
                <w:rFonts w:cs="Calibri"/>
              </w:rPr>
              <w:t xml:space="preserve"> </w:t>
            </w:r>
          </w:p>
        </w:tc>
        <w:tc>
          <w:tcPr>
            <w:tcW w:w="811" w:type="pct"/>
            <w:gridSpan w:val="4"/>
            <w:tcBorders>
              <w:top w:val="nil"/>
              <w:left w:val="nil"/>
              <w:bottom w:val="nil"/>
              <w:right w:val="nil"/>
            </w:tcBorders>
            <w:vAlign w:val="bottom"/>
          </w:tcPr>
          <w:p w14:paraId="549AB849" w14:textId="77777777" w:rsidR="008A0F4A" w:rsidRPr="00DC4889" w:rsidRDefault="008A0F4A" w:rsidP="009A0F2F">
            <w:pPr>
              <w:pStyle w:val="TableText"/>
              <w:tabs>
                <w:tab w:val="left" w:pos="3306"/>
              </w:tabs>
              <w:spacing w:before="0"/>
              <w:ind w:left="210" w:hanging="210"/>
              <w:jc w:val="both"/>
              <w:rPr>
                <w:rFonts w:cs="Calibri"/>
              </w:rPr>
            </w:pPr>
          </w:p>
        </w:tc>
        <w:tc>
          <w:tcPr>
            <w:tcW w:w="532" w:type="pct"/>
            <w:gridSpan w:val="3"/>
            <w:tcBorders>
              <w:top w:val="nil"/>
              <w:left w:val="nil"/>
              <w:bottom w:val="nil"/>
              <w:right w:val="nil"/>
            </w:tcBorders>
            <w:vAlign w:val="bottom"/>
          </w:tcPr>
          <w:p w14:paraId="4E9CBDDB" w14:textId="77777777" w:rsidR="008A0F4A" w:rsidRPr="00DC4889" w:rsidRDefault="008A0F4A" w:rsidP="009A0F2F">
            <w:pPr>
              <w:pStyle w:val="TableText"/>
              <w:tabs>
                <w:tab w:val="left" w:pos="3306"/>
              </w:tabs>
              <w:spacing w:before="0"/>
              <w:ind w:left="210" w:hanging="210"/>
              <w:jc w:val="both"/>
              <w:rPr>
                <w:rFonts w:cs="Calibri"/>
              </w:rPr>
            </w:pPr>
          </w:p>
        </w:tc>
      </w:tr>
      <w:tr w:rsidR="008A0F4A" w:rsidRPr="00952428" w14:paraId="39951BFE"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3843C0FB" w14:textId="77777777" w:rsidR="008A0F4A" w:rsidRPr="006A4165" w:rsidRDefault="008A0F4A" w:rsidP="009A0F2F">
            <w:pPr>
              <w:pStyle w:val="TableReference"/>
              <w:tabs>
                <w:tab w:val="left" w:pos="3306"/>
              </w:tabs>
              <w:spacing w:before="40"/>
              <w:rPr>
                <w:rFonts w:cs="Calibri"/>
                <w:color w:val="7030A0"/>
                <w:sz w:val="14"/>
              </w:rPr>
            </w:pPr>
            <w:r w:rsidRPr="006A4165">
              <w:rPr>
                <w:rFonts w:cs="Calibri"/>
                <w:color w:val="7030A0"/>
                <w:sz w:val="14"/>
              </w:rPr>
              <w:t>ACT Disclosure Policy</w:t>
            </w:r>
          </w:p>
        </w:tc>
        <w:tc>
          <w:tcPr>
            <w:tcW w:w="2664" w:type="pct"/>
            <w:gridSpan w:val="2"/>
            <w:tcBorders>
              <w:top w:val="nil"/>
              <w:left w:val="single" w:sz="2" w:space="0" w:color="auto"/>
              <w:bottom w:val="nil"/>
              <w:right w:val="nil"/>
            </w:tcBorders>
          </w:tcPr>
          <w:p w14:paraId="1A4F41D1" w14:textId="50C19F01" w:rsidR="008A0F4A" w:rsidRPr="00DC4889" w:rsidRDefault="008A0F4A" w:rsidP="0023781D">
            <w:pPr>
              <w:pStyle w:val="TableText"/>
              <w:tabs>
                <w:tab w:val="left" w:pos="3306"/>
              </w:tabs>
              <w:spacing w:before="0"/>
              <w:ind w:left="210" w:hanging="210"/>
              <w:rPr>
                <w:rFonts w:cs="Calibri"/>
              </w:rPr>
            </w:pPr>
            <w:r w:rsidRPr="00DC4889">
              <w:rPr>
                <w:rFonts w:cs="Calibri"/>
              </w:rPr>
              <w:t xml:space="preserve">Non-Current </w:t>
            </w:r>
            <w:r w:rsidR="0023781D" w:rsidRPr="00DC4889">
              <w:rPr>
                <w:rFonts w:cs="Calibri"/>
              </w:rPr>
              <w:t>Payables</w:t>
            </w:r>
          </w:p>
        </w:tc>
        <w:tc>
          <w:tcPr>
            <w:tcW w:w="811" w:type="pct"/>
            <w:gridSpan w:val="4"/>
            <w:tcBorders>
              <w:top w:val="nil"/>
              <w:left w:val="nil"/>
              <w:bottom w:val="nil"/>
              <w:right w:val="nil"/>
            </w:tcBorders>
            <w:vAlign w:val="bottom"/>
          </w:tcPr>
          <w:p w14:paraId="6D9CA03A" w14:textId="77777777" w:rsidR="008A0F4A" w:rsidRPr="00DC4889" w:rsidRDefault="008A0F4A" w:rsidP="009A0F2F">
            <w:pPr>
              <w:pStyle w:val="TableText"/>
              <w:tabs>
                <w:tab w:val="left" w:pos="3306"/>
              </w:tabs>
              <w:spacing w:before="0"/>
              <w:ind w:left="210" w:hanging="210"/>
              <w:jc w:val="both"/>
              <w:rPr>
                <w:rFonts w:cs="Calibri"/>
              </w:rPr>
            </w:pPr>
          </w:p>
        </w:tc>
        <w:tc>
          <w:tcPr>
            <w:tcW w:w="532" w:type="pct"/>
            <w:gridSpan w:val="3"/>
            <w:tcBorders>
              <w:top w:val="nil"/>
              <w:left w:val="nil"/>
              <w:bottom w:val="nil"/>
              <w:right w:val="nil"/>
            </w:tcBorders>
            <w:vAlign w:val="bottom"/>
          </w:tcPr>
          <w:p w14:paraId="2CBBBED7" w14:textId="77777777" w:rsidR="008A0F4A" w:rsidRPr="00DC4889" w:rsidRDefault="008A0F4A" w:rsidP="009A0F2F">
            <w:pPr>
              <w:pStyle w:val="TableText"/>
              <w:tabs>
                <w:tab w:val="left" w:pos="3306"/>
              </w:tabs>
              <w:spacing w:before="0"/>
              <w:ind w:left="210" w:hanging="210"/>
              <w:jc w:val="both"/>
              <w:rPr>
                <w:rFonts w:cs="Calibri"/>
              </w:rPr>
            </w:pPr>
          </w:p>
        </w:tc>
      </w:tr>
      <w:tr w:rsidR="008A0F4A" w:rsidRPr="00952428" w14:paraId="280CB4BC"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285FA99B" w14:textId="4E933153" w:rsidR="008A0F4A" w:rsidRPr="006A4165" w:rsidRDefault="008A0F4A" w:rsidP="009A0F2F">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tcPr>
          <w:p w14:paraId="78FA59F9" w14:textId="1184CFF9" w:rsidR="008A0F4A" w:rsidRPr="00DC4889" w:rsidRDefault="008A0F4A" w:rsidP="0023781D">
            <w:pPr>
              <w:pStyle w:val="TableText"/>
              <w:tabs>
                <w:tab w:val="left" w:pos="3306"/>
              </w:tabs>
              <w:spacing w:before="0"/>
              <w:ind w:left="210" w:hanging="210"/>
              <w:rPr>
                <w:rFonts w:cs="Calibri"/>
              </w:rPr>
            </w:pPr>
            <w:r w:rsidRPr="00DC4889">
              <w:rPr>
                <w:rFonts w:cs="Calibri"/>
                <w:b/>
                <w:bCs/>
              </w:rPr>
              <w:t xml:space="preserve">Total </w:t>
            </w:r>
            <w:r w:rsidR="0023781D" w:rsidRPr="00DC4889">
              <w:rPr>
                <w:rFonts w:cs="Calibri"/>
                <w:b/>
                <w:bCs/>
              </w:rPr>
              <w:t>Payables</w:t>
            </w:r>
          </w:p>
        </w:tc>
        <w:tc>
          <w:tcPr>
            <w:tcW w:w="811" w:type="pct"/>
            <w:gridSpan w:val="4"/>
            <w:tcBorders>
              <w:top w:val="nil"/>
              <w:left w:val="nil"/>
              <w:bottom w:val="nil"/>
              <w:right w:val="nil"/>
            </w:tcBorders>
            <w:vAlign w:val="bottom"/>
          </w:tcPr>
          <w:p w14:paraId="375AAE47" w14:textId="77777777" w:rsidR="008A0F4A" w:rsidRPr="00DC4889" w:rsidRDefault="008A0F4A" w:rsidP="009A0F2F">
            <w:pPr>
              <w:pStyle w:val="TableText"/>
              <w:tabs>
                <w:tab w:val="left" w:pos="3306"/>
              </w:tabs>
              <w:spacing w:before="0"/>
              <w:ind w:left="210" w:hanging="210"/>
              <w:jc w:val="both"/>
              <w:rPr>
                <w:rFonts w:cs="Calibri"/>
              </w:rPr>
            </w:pPr>
          </w:p>
        </w:tc>
        <w:tc>
          <w:tcPr>
            <w:tcW w:w="532" w:type="pct"/>
            <w:gridSpan w:val="3"/>
            <w:tcBorders>
              <w:top w:val="nil"/>
              <w:left w:val="nil"/>
              <w:bottom w:val="nil"/>
              <w:right w:val="nil"/>
            </w:tcBorders>
            <w:vAlign w:val="bottom"/>
          </w:tcPr>
          <w:p w14:paraId="2CDCA758" w14:textId="77777777" w:rsidR="008A0F4A" w:rsidRPr="00DC4889" w:rsidRDefault="008A0F4A" w:rsidP="009A0F2F">
            <w:pPr>
              <w:pStyle w:val="TableText"/>
              <w:tabs>
                <w:tab w:val="left" w:pos="3306"/>
              </w:tabs>
              <w:spacing w:before="0"/>
              <w:ind w:left="210" w:hanging="210"/>
              <w:jc w:val="both"/>
              <w:rPr>
                <w:rFonts w:cs="Calibri"/>
              </w:rPr>
            </w:pPr>
          </w:p>
        </w:tc>
      </w:tr>
      <w:tr w:rsidR="008A0F4A" w:rsidRPr="00952428" w14:paraId="713319BB"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0A7E5B01" w14:textId="77777777" w:rsidR="008A0F4A" w:rsidRPr="006A4165" w:rsidRDefault="008A0F4A" w:rsidP="009A0F2F">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tcPr>
          <w:p w14:paraId="2C75EC83" w14:textId="77777777" w:rsidR="008A0F4A" w:rsidRPr="00DC4889" w:rsidRDefault="008A0F4A" w:rsidP="0023781D">
            <w:pPr>
              <w:pStyle w:val="TableText"/>
              <w:tabs>
                <w:tab w:val="left" w:pos="3306"/>
              </w:tabs>
              <w:spacing w:before="0"/>
              <w:ind w:left="210" w:hanging="210"/>
              <w:rPr>
                <w:rFonts w:cs="Calibri"/>
              </w:rPr>
            </w:pPr>
          </w:p>
        </w:tc>
        <w:tc>
          <w:tcPr>
            <w:tcW w:w="811" w:type="pct"/>
            <w:gridSpan w:val="4"/>
            <w:tcBorders>
              <w:top w:val="nil"/>
              <w:left w:val="nil"/>
              <w:bottom w:val="nil"/>
              <w:right w:val="nil"/>
            </w:tcBorders>
            <w:vAlign w:val="bottom"/>
          </w:tcPr>
          <w:p w14:paraId="42FF2B71" w14:textId="77777777" w:rsidR="008A0F4A" w:rsidRPr="00DC4889" w:rsidRDefault="008A0F4A" w:rsidP="009A0F2F">
            <w:pPr>
              <w:pStyle w:val="TableText"/>
              <w:tabs>
                <w:tab w:val="left" w:pos="3306"/>
              </w:tabs>
              <w:spacing w:before="0"/>
              <w:ind w:left="210" w:hanging="210"/>
              <w:jc w:val="both"/>
              <w:rPr>
                <w:rFonts w:cs="Calibri"/>
              </w:rPr>
            </w:pPr>
          </w:p>
        </w:tc>
        <w:tc>
          <w:tcPr>
            <w:tcW w:w="532" w:type="pct"/>
            <w:gridSpan w:val="3"/>
            <w:tcBorders>
              <w:top w:val="nil"/>
              <w:left w:val="nil"/>
              <w:bottom w:val="nil"/>
              <w:right w:val="nil"/>
            </w:tcBorders>
            <w:vAlign w:val="bottom"/>
          </w:tcPr>
          <w:p w14:paraId="52325D53" w14:textId="77777777" w:rsidR="008A0F4A" w:rsidRPr="00DC4889" w:rsidRDefault="008A0F4A" w:rsidP="009A0F2F">
            <w:pPr>
              <w:pStyle w:val="TableText"/>
              <w:tabs>
                <w:tab w:val="left" w:pos="3306"/>
              </w:tabs>
              <w:spacing w:before="0"/>
              <w:ind w:left="210" w:hanging="210"/>
              <w:jc w:val="both"/>
              <w:rPr>
                <w:rFonts w:cs="Calibri"/>
              </w:rPr>
            </w:pPr>
          </w:p>
        </w:tc>
      </w:tr>
      <w:tr w:rsidR="008A0F4A" w:rsidRPr="00952428" w14:paraId="667D5970"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447FD0F4" w14:textId="77777777" w:rsidR="008A0F4A" w:rsidRPr="006A4165" w:rsidRDefault="008A0F4A" w:rsidP="009A0F2F">
            <w:pPr>
              <w:pStyle w:val="TableReference"/>
              <w:tabs>
                <w:tab w:val="left" w:pos="3306"/>
              </w:tabs>
              <w:spacing w:before="40"/>
              <w:rPr>
                <w:rFonts w:cs="Calibri"/>
                <w:color w:val="7030A0"/>
                <w:sz w:val="14"/>
              </w:rPr>
            </w:pPr>
            <w:r w:rsidRPr="006A4165">
              <w:rPr>
                <w:rFonts w:cs="Calibri"/>
                <w:color w:val="7030A0"/>
                <w:sz w:val="14"/>
              </w:rPr>
              <w:t>ACT Disclosure Policy</w:t>
            </w:r>
          </w:p>
        </w:tc>
        <w:tc>
          <w:tcPr>
            <w:tcW w:w="2664" w:type="pct"/>
            <w:gridSpan w:val="2"/>
            <w:tcBorders>
              <w:top w:val="nil"/>
              <w:left w:val="single" w:sz="2" w:space="0" w:color="auto"/>
              <w:bottom w:val="nil"/>
              <w:right w:val="nil"/>
            </w:tcBorders>
          </w:tcPr>
          <w:p w14:paraId="767FE951" w14:textId="4F5F050B" w:rsidR="008A0F4A" w:rsidRPr="00DC4889" w:rsidRDefault="008A0F4A" w:rsidP="0023781D">
            <w:pPr>
              <w:pStyle w:val="TableText"/>
              <w:tabs>
                <w:tab w:val="left" w:pos="3306"/>
              </w:tabs>
              <w:spacing w:before="0"/>
              <w:ind w:left="210" w:hanging="210"/>
              <w:rPr>
                <w:rFonts w:cs="Calibri"/>
              </w:rPr>
            </w:pPr>
            <w:r w:rsidRPr="00DC4889">
              <w:rPr>
                <w:rFonts w:cs="Calibri"/>
              </w:rPr>
              <w:t xml:space="preserve">Current Contract </w:t>
            </w:r>
            <w:r w:rsidR="0023781D" w:rsidRPr="00DC4889">
              <w:rPr>
                <w:rFonts w:cs="Calibri"/>
              </w:rPr>
              <w:t>Liabilities</w:t>
            </w:r>
          </w:p>
        </w:tc>
        <w:tc>
          <w:tcPr>
            <w:tcW w:w="811" w:type="pct"/>
            <w:gridSpan w:val="4"/>
            <w:tcBorders>
              <w:top w:val="nil"/>
              <w:left w:val="nil"/>
              <w:bottom w:val="nil"/>
              <w:right w:val="nil"/>
            </w:tcBorders>
            <w:vAlign w:val="bottom"/>
          </w:tcPr>
          <w:p w14:paraId="2426CFF9" w14:textId="77777777" w:rsidR="008A0F4A" w:rsidRPr="00DC4889" w:rsidRDefault="008A0F4A" w:rsidP="009A0F2F">
            <w:pPr>
              <w:pStyle w:val="TableText"/>
              <w:tabs>
                <w:tab w:val="left" w:pos="3306"/>
              </w:tabs>
              <w:spacing w:before="0"/>
              <w:ind w:left="210" w:hanging="210"/>
              <w:jc w:val="both"/>
              <w:rPr>
                <w:rFonts w:cs="Calibri"/>
              </w:rPr>
            </w:pPr>
          </w:p>
        </w:tc>
        <w:tc>
          <w:tcPr>
            <w:tcW w:w="532" w:type="pct"/>
            <w:gridSpan w:val="3"/>
            <w:tcBorders>
              <w:top w:val="nil"/>
              <w:left w:val="nil"/>
              <w:bottom w:val="nil"/>
              <w:right w:val="nil"/>
            </w:tcBorders>
            <w:vAlign w:val="bottom"/>
          </w:tcPr>
          <w:p w14:paraId="00054D91" w14:textId="77777777" w:rsidR="008A0F4A" w:rsidRPr="00DC4889" w:rsidRDefault="008A0F4A" w:rsidP="009A0F2F">
            <w:pPr>
              <w:pStyle w:val="TableText"/>
              <w:tabs>
                <w:tab w:val="left" w:pos="3306"/>
              </w:tabs>
              <w:spacing w:before="0"/>
              <w:ind w:left="210" w:hanging="210"/>
              <w:jc w:val="both"/>
              <w:rPr>
                <w:rFonts w:cs="Calibri"/>
              </w:rPr>
            </w:pPr>
          </w:p>
        </w:tc>
      </w:tr>
      <w:tr w:rsidR="008A0F4A" w:rsidRPr="00952428" w14:paraId="6A09A3A2" w14:textId="77777777" w:rsidTr="00AE2F99">
        <w:trPr>
          <w:gridAfter w:val="2"/>
          <w:wAfter w:w="294" w:type="pct"/>
          <w:cantSplit/>
          <w:trHeight w:val="80"/>
        </w:trPr>
        <w:tc>
          <w:tcPr>
            <w:tcW w:w="699" w:type="pct"/>
            <w:tcBorders>
              <w:top w:val="nil"/>
              <w:left w:val="single" w:sz="2" w:space="0" w:color="auto"/>
              <w:bottom w:val="nil"/>
              <w:right w:val="single" w:sz="2" w:space="0" w:color="auto"/>
            </w:tcBorders>
          </w:tcPr>
          <w:p w14:paraId="71DD0C81" w14:textId="77777777" w:rsidR="008A0F4A" w:rsidRPr="006A4165" w:rsidRDefault="008A0F4A" w:rsidP="009A0F2F">
            <w:pPr>
              <w:pStyle w:val="TableReference"/>
              <w:tabs>
                <w:tab w:val="left" w:pos="3306"/>
              </w:tabs>
              <w:spacing w:before="40"/>
              <w:rPr>
                <w:rFonts w:cs="Calibri"/>
                <w:color w:val="7030A0"/>
                <w:sz w:val="14"/>
              </w:rPr>
            </w:pPr>
            <w:r w:rsidRPr="006A4165">
              <w:rPr>
                <w:rFonts w:cs="Calibri"/>
                <w:color w:val="7030A0"/>
                <w:sz w:val="14"/>
              </w:rPr>
              <w:t>ACT Disclosure Policy</w:t>
            </w:r>
          </w:p>
        </w:tc>
        <w:tc>
          <w:tcPr>
            <w:tcW w:w="2664" w:type="pct"/>
            <w:gridSpan w:val="2"/>
            <w:tcBorders>
              <w:top w:val="nil"/>
              <w:left w:val="single" w:sz="2" w:space="0" w:color="auto"/>
              <w:bottom w:val="nil"/>
              <w:right w:val="nil"/>
            </w:tcBorders>
          </w:tcPr>
          <w:p w14:paraId="4835B15D" w14:textId="566540ED" w:rsidR="008A0F4A" w:rsidRPr="00DC4889" w:rsidRDefault="008A0F4A" w:rsidP="0023781D">
            <w:pPr>
              <w:pStyle w:val="TableText"/>
              <w:tabs>
                <w:tab w:val="left" w:pos="3306"/>
              </w:tabs>
              <w:spacing w:before="0"/>
              <w:ind w:left="210" w:hanging="210"/>
              <w:rPr>
                <w:rFonts w:cs="Calibri"/>
              </w:rPr>
            </w:pPr>
            <w:r w:rsidRPr="00DC4889">
              <w:rPr>
                <w:rFonts w:cs="Calibri"/>
              </w:rPr>
              <w:t xml:space="preserve">Non-Current Contract </w:t>
            </w:r>
            <w:r w:rsidR="0023781D" w:rsidRPr="00DC4889">
              <w:rPr>
                <w:rFonts w:cs="Calibri"/>
              </w:rPr>
              <w:t>Liabilities</w:t>
            </w:r>
          </w:p>
        </w:tc>
        <w:tc>
          <w:tcPr>
            <w:tcW w:w="811" w:type="pct"/>
            <w:gridSpan w:val="4"/>
            <w:tcBorders>
              <w:top w:val="nil"/>
              <w:left w:val="nil"/>
              <w:bottom w:val="single" w:sz="2" w:space="0" w:color="auto"/>
              <w:right w:val="nil"/>
            </w:tcBorders>
            <w:vAlign w:val="bottom"/>
          </w:tcPr>
          <w:p w14:paraId="4EE22A68" w14:textId="77777777" w:rsidR="008A0F4A" w:rsidRPr="00DC4889" w:rsidRDefault="008A0F4A" w:rsidP="009A0F2F">
            <w:pPr>
              <w:pStyle w:val="TableText"/>
              <w:tabs>
                <w:tab w:val="left" w:pos="3306"/>
              </w:tabs>
              <w:spacing w:before="0"/>
              <w:ind w:left="210" w:hanging="210"/>
              <w:jc w:val="both"/>
              <w:rPr>
                <w:rFonts w:cs="Calibri"/>
              </w:rPr>
            </w:pPr>
          </w:p>
        </w:tc>
        <w:tc>
          <w:tcPr>
            <w:tcW w:w="532" w:type="pct"/>
            <w:gridSpan w:val="3"/>
            <w:tcBorders>
              <w:top w:val="nil"/>
              <w:left w:val="nil"/>
              <w:bottom w:val="single" w:sz="2" w:space="0" w:color="auto"/>
              <w:right w:val="nil"/>
            </w:tcBorders>
            <w:vAlign w:val="bottom"/>
          </w:tcPr>
          <w:p w14:paraId="5581A7A7" w14:textId="77777777" w:rsidR="008A0F4A" w:rsidRPr="00DC4889" w:rsidRDefault="008A0F4A" w:rsidP="009A0F2F">
            <w:pPr>
              <w:pStyle w:val="TableText"/>
              <w:tabs>
                <w:tab w:val="left" w:pos="3306"/>
              </w:tabs>
              <w:spacing w:before="0"/>
              <w:ind w:left="210" w:hanging="210"/>
              <w:jc w:val="both"/>
              <w:rPr>
                <w:rFonts w:cs="Calibri"/>
              </w:rPr>
            </w:pPr>
          </w:p>
        </w:tc>
      </w:tr>
      <w:tr w:rsidR="008A0F4A" w:rsidRPr="00952428" w14:paraId="6FA77BF8"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0ED76242" w14:textId="7FD80C59" w:rsidR="008A0F4A" w:rsidRPr="006A4165" w:rsidRDefault="008A0F4A" w:rsidP="009A0F2F">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vAlign w:val="bottom"/>
          </w:tcPr>
          <w:p w14:paraId="77E140BC" w14:textId="6080CA15" w:rsidR="008A0F4A" w:rsidRPr="00DC4889" w:rsidRDefault="008A0F4A" w:rsidP="0023781D">
            <w:pPr>
              <w:pStyle w:val="TableText"/>
              <w:tabs>
                <w:tab w:val="left" w:pos="3306"/>
              </w:tabs>
              <w:spacing w:before="0"/>
              <w:ind w:left="210" w:hanging="210"/>
              <w:jc w:val="both"/>
              <w:rPr>
                <w:rFonts w:cs="Calibri"/>
              </w:rPr>
            </w:pPr>
            <w:r w:rsidRPr="00DC4889">
              <w:rPr>
                <w:rFonts w:cs="Calibri"/>
                <w:b/>
                <w:bCs/>
              </w:rPr>
              <w:t xml:space="preserve">Total Contract </w:t>
            </w:r>
            <w:r w:rsidR="0023781D" w:rsidRPr="00DC4889">
              <w:rPr>
                <w:rFonts w:cs="Calibri"/>
                <w:b/>
                <w:bCs/>
              </w:rPr>
              <w:t>Liabilities</w:t>
            </w:r>
          </w:p>
        </w:tc>
        <w:tc>
          <w:tcPr>
            <w:tcW w:w="811" w:type="pct"/>
            <w:gridSpan w:val="4"/>
            <w:tcBorders>
              <w:top w:val="single" w:sz="2" w:space="0" w:color="auto"/>
              <w:left w:val="nil"/>
              <w:bottom w:val="single" w:sz="2" w:space="0" w:color="auto"/>
              <w:right w:val="nil"/>
            </w:tcBorders>
            <w:vAlign w:val="bottom"/>
          </w:tcPr>
          <w:p w14:paraId="177D666F" w14:textId="77777777" w:rsidR="008A0F4A" w:rsidRPr="00DC4889" w:rsidRDefault="008A0F4A" w:rsidP="009A0F2F">
            <w:pPr>
              <w:pStyle w:val="TableText"/>
              <w:tabs>
                <w:tab w:val="left" w:pos="3306"/>
              </w:tabs>
              <w:spacing w:before="0"/>
              <w:ind w:left="210" w:hanging="210"/>
              <w:jc w:val="both"/>
              <w:rPr>
                <w:rFonts w:cs="Calibri"/>
              </w:rPr>
            </w:pPr>
          </w:p>
        </w:tc>
        <w:tc>
          <w:tcPr>
            <w:tcW w:w="532" w:type="pct"/>
            <w:gridSpan w:val="3"/>
            <w:tcBorders>
              <w:top w:val="single" w:sz="2" w:space="0" w:color="auto"/>
              <w:left w:val="nil"/>
              <w:bottom w:val="single" w:sz="2" w:space="0" w:color="auto"/>
              <w:right w:val="nil"/>
            </w:tcBorders>
            <w:vAlign w:val="bottom"/>
          </w:tcPr>
          <w:p w14:paraId="40CF66CC" w14:textId="77777777" w:rsidR="008A0F4A" w:rsidRPr="00DC4889" w:rsidRDefault="008A0F4A" w:rsidP="009A0F2F">
            <w:pPr>
              <w:pStyle w:val="TableText"/>
              <w:tabs>
                <w:tab w:val="left" w:pos="3306"/>
              </w:tabs>
              <w:spacing w:before="0"/>
              <w:ind w:left="210" w:hanging="210"/>
              <w:jc w:val="both"/>
              <w:rPr>
                <w:rFonts w:cs="Calibri"/>
              </w:rPr>
            </w:pPr>
          </w:p>
        </w:tc>
      </w:tr>
      <w:tr w:rsidR="00153DC2" w:rsidRPr="00952428" w14:paraId="79CDB2CB"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7119844F" w14:textId="77777777" w:rsidR="00153DC2" w:rsidRPr="006A4165" w:rsidRDefault="00153DC2" w:rsidP="009A0F2F">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vAlign w:val="bottom"/>
          </w:tcPr>
          <w:p w14:paraId="7AF5C0EF" w14:textId="77777777" w:rsidR="00153DC2" w:rsidRPr="00DC4889" w:rsidRDefault="00153DC2" w:rsidP="0023781D">
            <w:pPr>
              <w:pStyle w:val="TableText"/>
              <w:tabs>
                <w:tab w:val="left" w:pos="3306"/>
              </w:tabs>
              <w:spacing w:before="0"/>
              <w:ind w:left="210" w:hanging="210"/>
              <w:rPr>
                <w:rFonts w:cs="Calibri"/>
                <w:b/>
                <w:bCs/>
              </w:rPr>
            </w:pPr>
          </w:p>
        </w:tc>
        <w:tc>
          <w:tcPr>
            <w:tcW w:w="811" w:type="pct"/>
            <w:gridSpan w:val="4"/>
            <w:tcBorders>
              <w:top w:val="single" w:sz="2" w:space="0" w:color="auto"/>
              <w:left w:val="nil"/>
              <w:bottom w:val="single" w:sz="2" w:space="0" w:color="auto"/>
              <w:right w:val="nil"/>
            </w:tcBorders>
            <w:vAlign w:val="bottom"/>
          </w:tcPr>
          <w:p w14:paraId="40F782F1" w14:textId="77777777" w:rsidR="00153DC2" w:rsidRPr="00DC4889" w:rsidRDefault="00153DC2" w:rsidP="009A0F2F">
            <w:pPr>
              <w:pStyle w:val="TableText"/>
              <w:tabs>
                <w:tab w:val="left" w:pos="3306"/>
              </w:tabs>
              <w:spacing w:before="0"/>
              <w:ind w:left="210" w:hanging="210"/>
              <w:jc w:val="both"/>
              <w:rPr>
                <w:rFonts w:cs="Calibri"/>
              </w:rPr>
            </w:pPr>
          </w:p>
        </w:tc>
        <w:tc>
          <w:tcPr>
            <w:tcW w:w="532" w:type="pct"/>
            <w:gridSpan w:val="3"/>
            <w:tcBorders>
              <w:top w:val="single" w:sz="2" w:space="0" w:color="auto"/>
              <w:left w:val="nil"/>
              <w:bottom w:val="single" w:sz="2" w:space="0" w:color="auto"/>
              <w:right w:val="nil"/>
            </w:tcBorders>
            <w:vAlign w:val="bottom"/>
          </w:tcPr>
          <w:p w14:paraId="7267239A" w14:textId="77777777" w:rsidR="00153DC2" w:rsidRPr="00DC4889" w:rsidRDefault="00153DC2" w:rsidP="009A0F2F">
            <w:pPr>
              <w:pStyle w:val="TableText"/>
              <w:tabs>
                <w:tab w:val="left" w:pos="3306"/>
              </w:tabs>
              <w:spacing w:before="0"/>
              <w:ind w:left="210" w:hanging="210"/>
              <w:jc w:val="both"/>
              <w:rPr>
                <w:rFonts w:cs="Calibri"/>
              </w:rPr>
            </w:pPr>
          </w:p>
        </w:tc>
      </w:tr>
      <w:tr w:rsidR="008A0F4A" w:rsidRPr="00952428" w14:paraId="7535C4A5"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074BCD76" w14:textId="77777777" w:rsidR="008A0F4A" w:rsidRPr="006A4165" w:rsidRDefault="008A0F4A" w:rsidP="009A0F2F">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vAlign w:val="bottom"/>
          </w:tcPr>
          <w:p w14:paraId="0215DECB" w14:textId="58ABB6DD" w:rsidR="008A0F4A" w:rsidRPr="00DC4889" w:rsidRDefault="008A0F4A" w:rsidP="0023781D">
            <w:pPr>
              <w:pStyle w:val="TableText"/>
              <w:tabs>
                <w:tab w:val="left" w:pos="3306"/>
              </w:tabs>
              <w:spacing w:before="0"/>
              <w:ind w:left="210" w:hanging="210"/>
              <w:rPr>
                <w:rFonts w:cs="Calibri"/>
              </w:rPr>
            </w:pPr>
            <w:r w:rsidRPr="00DC4889">
              <w:rPr>
                <w:rFonts w:cs="Calibri"/>
                <w:b/>
                <w:bCs/>
              </w:rPr>
              <w:t xml:space="preserve">Total </w:t>
            </w:r>
            <w:r w:rsidR="0023781D" w:rsidRPr="00DC4889">
              <w:rPr>
                <w:rFonts w:cs="Calibri"/>
                <w:b/>
                <w:bCs/>
              </w:rPr>
              <w:t>Payables</w:t>
            </w:r>
            <w:r w:rsidRPr="00DC4889">
              <w:rPr>
                <w:rFonts w:cs="Calibri"/>
                <w:b/>
                <w:bCs/>
              </w:rPr>
              <w:t xml:space="preserve"> and Contract </w:t>
            </w:r>
            <w:r w:rsidR="0023781D" w:rsidRPr="00DC4889">
              <w:rPr>
                <w:rFonts w:cs="Calibri"/>
                <w:b/>
                <w:bCs/>
              </w:rPr>
              <w:t>Liabilities</w:t>
            </w:r>
          </w:p>
        </w:tc>
        <w:tc>
          <w:tcPr>
            <w:tcW w:w="811" w:type="pct"/>
            <w:gridSpan w:val="4"/>
            <w:tcBorders>
              <w:top w:val="single" w:sz="2" w:space="0" w:color="auto"/>
              <w:left w:val="nil"/>
              <w:bottom w:val="double" w:sz="4" w:space="0" w:color="auto"/>
              <w:right w:val="nil"/>
            </w:tcBorders>
            <w:vAlign w:val="bottom"/>
          </w:tcPr>
          <w:p w14:paraId="1C10CAB2" w14:textId="77777777" w:rsidR="008A0F4A" w:rsidRPr="00DC4889" w:rsidRDefault="008A0F4A" w:rsidP="009A0F2F">
            <w:pPr>
              <w:pStyle w:val="TableText"/>
              <w:tabs>
                <w:tab w:val="left" w:pos="3306"/>
              </w:tabs>
              <w:spacing w:before="0"/>
              <w:ind w:left="210" w:hanging="210"/>
              <w:jc w:val="both"/>
              <w:rPr>
                <w:rFonts w:cs="Calibri"/>
              </w:rPr>
            </w:pPr>
          </w:p>
        </w:tc>
        <w:tc>
          <w:tcPr>
            <w:tcW w:w="532" w:type="pct"/>
            <w:gridSpan w:val="3"/>
            <w:tcBorders>
              <w:top w:val="single" w:sz="2" w:space="0" w:color="auto"/>
              <w:left w:val="nil"/>
              <w:bottom w:val="double" w:sz="4" w:space="0" w:color="auto"/>
              <w:right w:val="nil"/>
            </w:tcBorders>
            <w:vAlign w:val="bottom"/>
          </w:tcPr>
          <w:p w14:paraId="4B3CC3F1" w14:textId="77777777" w:rsidR="008A0F4A" w:rsidRPr="00DC4889" w:rsidRDefault="008A0F4A" w:rsidP="009A0F2F">
            <w:pPr>
              <w:pStyle w:val="TableText"/>
              <w:tabs>
                <w:tab w:val="left" w:pos="3306"/>
              </w:tabs>
              <w:spacing w:before="0"/>
              <w:ind w:left="210" w:hanging="210"/>
              <w:jc w:val="both"/>
              <w:rPr>
                <w:rFonts w:cs="Calibri"/>
              </w:rPr>
            </w:pPr>
          </w:p>
        </w:tc>
      </w:tr>
      <w:tr w:rsidR="00C43BB3" w:rsidRPr="00CF7E1B" w14:paraId="10CE021A"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15925C47" w14:textId="77777777" w:rsidR="00C43BB3" w:rsidRPr="00DC4889" w:rsidRDefault="00C43BB3" w:rsidP="00DC4889">
            <w:pPr>
              <w:rPr>
                <w:rFonts w:cs="Calibri"/>
                <w:color w:val="7030A0"/>
                <w:sz w:val="14"/>
              </w:rPr>
            </w:pPr>
            <w:bookmarkStart w:id="594" w:name="_Hlk41614493"/>
          </w:p>
        </w:tc>
        <w:tc>
          <w:tcPr>
            <w:tcW w:w="2664" w:type="pct"/>
            <w:gridSpan w:val="2"/>
            <w:tcBorders>
              <w:top w:val="nil"/>
              <w:left w:val="single" w:sz="2" w:space="0" w:color="auto"/>
              <w:bottom w:val="nil"/>
              <w:right w:val="nil"/>
            </w:tcBorders>
          </w:tcPr>
          <w:p w14:paraId="2AEAC24C" w14:textId="77777777" w:rsidR="00C43BB3" w:rsidRPr="00DC4889" w:rsidRDefault="00C43BB3" w:rsidP="00B849F9">
            <w:pPr>
              <w:pStyle w:val="TableText"/>
              <w:tabs>
                <w:tab w:val="left" w:pos="3306"/>
              </w:tabs>
              <w:rPr>
                <w:rFonts w:cs="Calibri"/>
                <w:b/>
                <w:bCs/>
              </w:rPr>
            </w:pPr>
          </w:p>
        </w:tc>
        <w:tc>
          <w:tcPr>
            <w:tcW w:w="834" w:type="pct"/>
            <w:gridSpan w:val="5"/>
            <w:tcBorders>
              <w:top w:val="nil"/>
              <w:left w:val="nil"/>
              <w:bottom w:val="nil"/>
              <w:right w:val="nil"/>
            </w:tcBorders>
            <w:vAlign w:val="bottom"/>
          </w:tcPr>
          <w:p w14:paraId="4A396E78" w14:textId="5EFB5135" w:rsidR="00C43BB3" w:rsidRPr="00DC4889" w:rsidRDefault="00C43BB3" w:rsidP="00D55D0B">
            <w:pPr>
              <w:pStyle w:val="TableTitle"/>
              <w:tabs>
                <w:tab w:val="left" w:pos="3306"/>
              </w:tabs>
              <w:rPr>
                <w:rFonts w:cs="Calibri"/>
              </w:rPr>
            </w:pPr>
          </w:p>
        </w:tc>
        <w:tc>
          <w:tcPr>
            <w:tcW w:w="499" w:type="pct"/>
            <w:tcBorders>
              <w:top w:val="nil"/>
              <w:left w:val="nil"/>
              <w:bottom w:val="nil"/>
              <w:right w:val="nil"/>
            </w:tcBorders>
            <w:vAlign w:val="bottom"/>
          </w:tcPr>
          <w:p w14:paraId="4B838D3C" w14:textId="11B6BA6C" w:rsidR="00C43BB3" w:rsidRPr="00DC4889" w:rsidRDefault="00FA7C77" w:rsidP="00D55D0B">
            <w:pPr>
              <w:pStyle w:val="TableTitle"/>
              <w:tabs>
                <w:tab w:val="left" w:pos="3306"/>
              </w:tabs>
              <w:rPr>
                <w:rFonts w:cs="Calibri"/>
              </w:rPr>
            </w:pPr>
            <w:r>
              <w:rPr>
                <w:rFonts w:cs="Calibri"/>
              </w:rPr>
              <w:t xml:space="preserve">      </w:t>
            </w:r>
            <w:r w:rsidR="00DC4889" w:rsidRPr="00DC4889">
              <w:rPr>
                <w:rFonts w:cs="Calibri"/>
              </w:rPr>
              <w:t xml:space="preserve"> </w:t>
            </w:r>
          </w:p>
        </w:tc>
      </w:tr>
      <w:tr w:rsidR="000144FF" w:rsidRPr="00CF7E1B" w14:paraId="14A45C10"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4A3367FA" w14:textId="77777777" w:rsidR="000144FF" w:rsidRPr="00DC4889" w:rsidRDefault="000144FF">
            <w:pPr>
              <w:pStyle w:val="TableReference"/>
              <w:tabs>
                <w:tab w:val="left" w:pos="3306"/>
              </w:tabs>
              <w:spacing w:before="40"/>
              <w:rPr>
                <w:rFonts w:cs="Calibri"/>
                <w:color w:val="7030A0"/>
                <w:sz w:val="14"/>
              </w:rPr>
            </w:pPr>
            <w:r w:rsidRPr="00DC4889">
              <w:rPr>
                <w:rFonts w:cs="Calibri"/>
                <w:color w:val="7030A0"/>
                <w:sz w:val="14"/>
              </w:rPr>
              <w:t xml:space="preserve">ACT </w:t>
            </w:r>
            <w:r w:rsidR="00BD2FF8" w:rsidRPr="00DC4889">
              <w:rPr>
                <w:rFonts w:cs="Calibri"/>
                <w:color w:val="7030A0"/>
                <w:sz w:val="14"/>
              </w:rPr>
              <w:t>Disclosure</w:t>
            </w:r>
            <w:r w:rsidRPr="00DC4889">
              <w:rPr>
                <w:rFonts w:cs="Calibri"/>
                <w:color w:val="7030A0"/>
                <w:sz w:val="14"/>
              </w:rPr>
              <w:t xml:space="preserve"> Policy</w:t>
            </w:r>
          </w:p>
        </w:tc>
        <w:tc>
          <w:tcPr>
            <w:tcW w:w="2664" w:type="pct"/>
            <w:gridSpan w:val="2"/>
            <w:tcBorders>
              <w:top w:val="nil"/>
              <w:left w:val="single" w:sz="2" w:space="0" w:color="auto"/>
              <w:bottom w:val="nil"/>
              <w:right w:val="nil"/>
            </w:tcBorders>
          </w:tcPr>
          <w:p w14:paraId="3128B511" w14:textId="77777777" w:rsidR="000144FF" w:rsidRPr="00DC4889" w:rsidRDefault="000144FF">
            <w:pPr>
              <w:pStyle w:val="TableText"/>
              <w:tabs>
                <w:tab w:val="left" w:pos="3306"/>
              </w:tabs>
              <w:rPr>
                <w:rFonts w:cs="Calibri"/>
                <w:b/>
                <w:bCs/>
              </w:rPr>
            </w:pPr>
            <w:r w:rsidRPr="00DC4889">
              <w:rPr>
                <w:rFonts w:cs="Calibri"/>
                <w:b/>
                <w:bCs/>
              </w:rPr>
              <w:t>Payables are aged as follows:</w:t>
            </w:r>
          </w:p>
        </w:tc>
        <w:tc>
          <w:tcPr>
            <w:tcW w:w="834" w:type="pct"/>
            <w:gridSpan w:val="5"/>
            <w:tcBorders>
              <w:top w:val="nil"/>
              <w:left w:val="nil"/>
              <w:bottom w:val="nil"/>
              <w:right w:val="nil"/>
            </w:tcBorders>
            <w:vAlign w:val="bottom"/>
          </w:tcPr>
          <w:p w14:paraId="01B71F74" w14:textId="77777777" w:rsidR="000144FF" w:rsidRPr="00DC4889" w:rsidRDefault="000144FF">
            <w:pPr>
              <w:pStyle w:val="TableText"/>
              <w:tabs>
                <w:tab w:val="left" w:pos="3306"/>
              </w:tabs>
              <w:jc w:val="right"/>
              <w:rPr>
                <w:rFonts w:cs="Calibri"/>
              </w:rPr>
            </w:pPr>
          </w:p>
        </w:tc>
        <w:tc>
          <w:tcPr>
            <w:tcW w:w="499" w:type="pct"/>
            <w:tcBorders>
              <w:top w:val="nil"/>
              <w:left w:val="nil"/>
              <w:bottom w:val="nil"/>
              <w:right w:val="nil"/>
            </w:tcBorders>
            <w:vAlign w:val="bottom"/>
          </w:tcPr>
          <w:p w14:paraId="693E432F" w14:textId="77777777" w:rsidR="000144FF" w:rsidRPr="00DC4889" w:rsidRDefault="000144FF">
            <w:pPr>
              <w:pStyle w:val="TableText"/>
              <w:tabs>
                <w:tab w:val="left" w:pos="3306"/>
              </w:tabs>
              <w:jc w:val="right"/>
              <w:rPr>
                <w:rFonts w:cs="Calibri"/>
              </w:rPr>
            </w:pPr>
          </w:p>
        </w:tc>
      </w:tr>
      <w:bookmarkEnd w:id="594"/>
      <w:tr w:rsidR="00BD2FF8" w:rsidRPr="00CF7E1B" w14:paraId="006B7600"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006C9135" w14:textId="77777777" w:rsidR="00BD2FF8" w:rsidRPr="00DC4889" w:rsidRDefault="00BD2FF8" w:rsidP="00851F94">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tcPr>
          <w:p w14:paraId="600B44FD" w14:textId="77777777" w:rsidR="00BD2FF8" w:rsidRPr="00DC4889" w:rsidRDefault="00BD2FF8">
            <w:pPr>
              <w:pStyle w:val="TableText"/>
              <w:tabs>
                <w:tab w:val="left" w:pos="3306"/>
              </w:tabs>
              <w:rPr>
                <w:rFonts w:cs="Calibri"/>
              </w:rPr>
            </w:pPr>
            <w:r w:rsidRPr="00DC4889">
              <w:rPr>
                <w:rFonts w:cs="Calibri"/>
              </w:rPr>
              <w:t>Not Overdue</w:t>
            </w:r>
          </w:p>
        </w:tc>
        <w:tc>
          <w:tcPr>
            <w:tcW w:w="834" w:type="pct"/>
            <w:gridSpan w:val="5"/>
            <w:tcBorders>
              <w:top w:val="nil"/>
              <w:left w:val="nil"/>
              <w:bottom w:val="nil"/>
              <w:right w:val="nil"/>
            </w:tcBorders>
            <w:vAlign w:val="bottom"/>
          </w:tcPr>
          <w:p w14:paraId="2B629A98" w14:textId="3F0D3F52" w:rsidR="00BD2FF8" w:rsidRPr="00DC4889" w:rsidRDefault="00BD2FF8">
            <w:pPr>
              <w:pStyle w:val="TableText"/>
              <w:tabs>
                <w:tab w:val="left" w:pos="3306"/>
              </w:tabs>
              <w:jc w:val="right"/>
              <w:rPr>
                <w:rFonts w:cs="Calibri"/>
              </w:rPr>
            </w:pPr>
          </w:p>
        </w:tc>
        <w:tc>
          <w:tcPr>
            <w:tcW w:w="499" w:type="pct"/>
            <w:tcBorders>
              <w:top w:val="nil"/>
              <w:left w:val="nil"/>
              <w:bottom w:val="nil"/>
              <w:right w:val="nil"/>
            </w:tcBorders>
            <w:vAlign w:val="bottom"/>
          </w:tcPr>
          <w:p w14:paraId="00D181C1" w14:textId="22F8D4ED" w:rsidR="00BD2FF8" w:rsidRPr="00DC4889" w:rsidRDefault="00BD2FF8">
            <w:pPr>
              <w:pStyle w:val="TableText"/>
              <w:tabs>
                <w:tab w:val="left" w:pos="3306"/>
              </w:tabs>
              <w:jc w:val="right"/>
              <w:rPr>
                <w:rFonts w:cs="Calibri"/>
              </w:rPr>
            </w:pPr>
          </w:p>
        </w:tc>
      </w:tr>
      <w:tr w:rsidR="00BD2FF8" w:rsidRPr="00CF7E1B" w14:paraId="05CC80AC"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359A89E9" w14:textId="77777777" w:rsidR="00BD2FF8" w:rsidRPr="00DC4889" w:rsidRDefault="00BD2FF8" w:rsidP="00851F94">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tcPr>
          <w:p w14:paraId="04A97F8F" w14:textId="77777777" w:rsidR="00BD2FF8" w:rsidRPr="00DC4889" w:rsidRDefault="00BD2FF8">
            <w:pPr>
              <w:pStyle w:val="TableText"/>
              <w:tabs>
                <w:tab w:val="left" w:pos="3306"/>
              </w:tabs>
              <w:rPr>
                <w:rFonts w:cs="Calibri"/>
              </w:rPr>
            </w:pPr>
            <w:r w:rsidRPr="00DC4889">
              <w:rPr>
                <w:rFonts w:cs="Calibri"/>
              </w:rPr>
              <w:t>Overdue for Less than 30 Days</w:t>
            </w:r>
          </w:p>
        </w:tc>
        <w:tc>
          <w:tcPr>
            <w:tcW w:w="834" w:type="pct"/>
            <w:gridSpan w:val="5"/>
            <w:tcBorders>
              <w:top w:val="nil"/>
              <w:left w:val="nil"/>
              <w:bottom w:val="nil"/>
              <w:right w:val="nil"/>
            </w:tcBorders>
            <w:vAlign w:val="bottom"/>
          </w:tcPr>
          <w:p w14:paraId="758F35E3" w14:textId="77A188D2" w:rsidR="00BD2FF8" w:rsidRPr="00DC4889" w:rsidRDefault="00BD2FF8">
            <w:pPr>
              <w:pStyle w:val="TableText"/>
              <w:tabs>
                <w:tab w:val="left" w:pos="3306"/>
              </w:tabs>
              <w:jc w:val="right"/>
              <w:rPr>
                <w:rFonts w:cs="Calibri"/>
              </w:rPr>
            </w:pPr>
          </w:p>
        </w:tc>
        <w:tc>
          <w:tcPr>
            <w:tcW w:w="499" w:type="pct"/>
            <w:tcBorders>
              <w:top w:val="nil"/>
              <w:left w:val="nil"/>
              <w:bottom w:val="nil"/>
              <w:right w:val="nil"/>
            </w:tcBorders>
            <w:vAlign w:val="bottom"/>
          </w:tcPr>
          <w:p w14:paraId="1213345D" w14:textId="7A43019B" w:rsidR="00BD2FF8" w:rsidRPr="00DC4889" w:rsidRDefault="00BD2FF8">
            <w:pPr>
              <w:pStyle w:val="TableText"/>
              <w:tabs>
                <w:tab w:val="left" w:pos="3306"/>
              </w:tabs>
              <w:jc w:val="right"/>
              <w:rPr>
                <w:rFonts w:cs="Calibri"/>
              </w:rPr>
            </w:pPr>
          </w:p>
        </w:tc>
      </w:tr>
      <w:tr w:rsidR="00BD2FF8" w:rsidRPr="00CF7E1B" w14:paraId="7E6D6243"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1170F265" w14:textId="77777777" w:rsidR="00BD2FF8" w:rsidRPr="00DC4889" w:rsidRDefault="00BD2FF8" w:rsidP="00851F94">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tcPr>
          <w:p w14:paraId="350FD11A" w14:textId="77777777" w:rsidR="00BD2FF8" w:rsidRPr="00DC4889" w:rsidRDefault="00BD2FF8">
            <w:pPr>
              <w:pStyle w:val="TableText"/>
              <w:tabs>
                <w:tab w:val="left" w:pos="3306"/>
              </w:tabs>
              <w:rPr>
                <w:rFonts w:cs="Calibri"/>
              </w:rPr>
            </w:pPr>
            <w:r w:rsidRPr="00DC4889">
              <w:rPr>
                <w:rFonts w:cs="Calibri"/>
              </w:rPr>
              <w:t>Overdue for 30 to 60 Days</w:t>
            </w:r>
          </w:p>
        </w:tc>
        <w:tc>
          <w:tcPr>
            <w:tcW w:w="834" w:type="pct"/>
            <w:gridSpan w:val="5"/>
            <w:tcBorders>
              <w:top w:val="nil"/>
              <w:left w:val="nil"/>
              <w:bottom w:val="nil"/>
              <w:right w:val="nil"/>
            </w:tcBorders>
            <w:vAlign w:val="bottom"/>
          </w:tcPr>
          <w:p w14:paraId="3AD5A611" w14:textId="3C67071B" w:rsidR="00BD2FF8" w:rsidRPr="00DC4889" w:rsidRDefault="00BD2FF8">
            <w:pPr>
              <w:pStyle w:val="TableText"/>
              <w:tabs>
                <w:tab w:val="left" w:pos="3306"/>
              </w:tabs>
              <w:jc w:val="right"/>
              <w:rPr>
                <w:rFonts w:cs="Calibri"/>
              </w:rPr>
            </w:pPr>
          </w:p>
        </w:tc>
        <w:tc>
          <w:tcPr>
            <w:tcW w:w="499" w:type="pct"/>
            <w:tcBorders>
              <w:top w:val="nil"/>
              <w:left w:val="nil"/>
              <w:bottom w:val="nil"/>
              <w:right w:val="nil"/>
            </w:tcBorders>
            <w:vAlign w:val="bottom"/>
          </w:tcPr>
          <w:p w14:paraId="3150A8ED" w14:textId="0B0AE7B0" w:rsidR="00BD2FF8" w:rsidRPr="00DC4889" w:rsidRDefault="00BD2FF8">
            <w:pPr>
              <w:pStyle w:val="TableText"/>
              <w:tabs>
                <w:tab w:val="left" w:pos="3306"/>
              </w:tabs>
              <w:jc w:val="right"/>
              <w:rPr>
                <w:rFonts w:cs="Calibri"/>
              </w:rPr>
            </w:pPr>
          </w:p>
        </w:tc>
      </w:tr>
      <w:tr w:rsidR="00BD2FF8" w:rsidRPr="00CF7E1B" w14:paraId="20592172"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455FA032" w14:textId="77777777" w:rsidR="00BD2FF8" w:rsidRPr="00DC4889" w:rsidRDefault="00BD2FF8" w:rsidP="00851F94">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tcPr>
          <w:p w14:paraId="009181BF" w14:textId="77777777" w:rsidR="00BD2FF8" w:rsidRPr="00DC4889" w:rsidRDefault="00BD2FF8">
            <w:pPr>
              <w:pStyle w:val="TableText"/>
              <w:tabs>
                <w:tab w:val="left" w:pos="3306"/>
              </w:tabs>
              <w:rPr>
                <w:rFonts w:cs="Calibri"/>
              </w:rPr>
            </w:pPr>
            <w:r w:rsidRPr="00DC4889">
              <w:rPr>
                <w:rFonts w:cs="Calibri"/>
              </w:rPr>
              <w:t>Overdue for More than 60 Days</w:t>
            </w:r>
          </w:p>
        </w:tc>
        <w:tc>
          <w:tcPr>
            <w:tcW w:w="834" w:type="pct"/>
            <w:gridSpan w:val="5"/>
            <w:tcBorders>
              <w:top w:val="nil"/>
              <w:left w:val="nil"/>
              <w:bottom w:val="single" w:sz="2" w:space="0" w:color="auto"/>
              <w:right w:val="nil"/>
            </w:tcBorders>
            <w:vAlign w:val="bottom"/>
          </w:tcPr>
          <w:p w14:paraId="692B3F38" w14:textId="27848B6B" w:rsidR="00BD2FF8" w:rsidRPr="00DC4889" w:rsidRDefault="00BD2FF8">
            <w:pPr>
              <w:pStyle w:val="TableText"/>
              <w:tabs>
                <w:tab w:val="left" w:pos="3306"/>
              </w:tabs>
              <w:jc w:val="right"/>
              <w:rPr>
                <w:rFonts w:cs="Calibri"/>
              </w:rPr>
            </w:pPr>
          </w:p>
        </w:tc>
        <w:tc>
          <w:tcPr>
            <w:tcW w:w="499" w:type="pct"/>
            <w:tcBorders>
              <w:top w:val="nil"/>
              <w:left w:val="nil"/>
              <w:bottom w:val="single" w:sz="2" w:space="0" w:color="auto"/>
              <w:right w:val="nil"/>
            </w:tcBorders>
            <w:vAlign w:val="bottom"/>
          </w:tcPr>
          <w:p w14:paraId="3B254872" w14:textId="57886B2D" w:rsidR="00BD2FF8" w:rsidRPr="00DC4889" w:rsidRDefault="00BD2FF8">
            <w:pPr>
              <w:pStyle w:val="TableText"/>
              <w:tabs>
                <w:tab w:val="left" w:pos="3306"/>
              </w:tabs>
              <w:jc w:val="right"/>
              <w:rPr>
                <w:rFonts w:cs="Calibri"/>
              </w:rPr>
            </w:pPr>
          </w:p>
        </w:tc>
      </w:tr>
      <w:tr w:rsidR="00BD2FF8" w:rsidRPr="00CF7E1B" w14:paraId="026BC376"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1664D8B3" w14:textId="77777777" w:rsidR="00BD2FF8" w:rsidRPr="00DC4889" w:rsidRDefault="00BD2FF8" w:rsidP="00851F94">
            <w:pPr>
              <w:pStyle w:val="TableReference"/>
              <w:tabs>
                <w:tab w:val="left" w:pos="3306"/>
              </w:tabs>
              <w:spacing w:before="40"/>
              <w:rPr>
                <w:rFonts w:cs="Calibri"/>
                <w:color w:val="7030A0"/>
                <w:sz w:val="14"/>
              </w:rPr>
            </w:pPr>
          </w:p>
        </w:tc>
        <w:tc>
          <w:tcPr>
            <w:tcW w:w="2664" w:type="pct"/>
            <w:gridSpan w:val="2"/>
            <w:tcBorders>
              <w:top w:val="nil"/>
              <w:left w:val="single" w:sz="2" w:space="0" w:color="auto"/>
              <w:bottom w:val="nil"/>
              <w:right w:val="nil"/>
            </w:tcBorders>
          </w:tcPr>
          <w:p w14:paraId="35DA0D0A" w14:textId="77777777" w:rsidR="00BD2FF8" w:rsidRPr="00DC4889" w:rsidRDefault="00BD2FF8">
            <w:pPr>
              <w:pStyle w:val="TableText"/>
              <w:tabs>
                <w:tab w:val="left" w:pos="3306"/>
              </w:tabs>
              <w:rPr>
                <w:rFonts w:cs="Calibri"/>
                <w:b/>
                <w:bCs/>
              </w:rPr>
            </w:pPr>
            <w:r w:rsidRPr="00DC4889">
              <w:rPr>
                <w:rFonts w:cs="Calibri"/>
                <w:b/>
                <w:bCs/>
              </w:rPr>
              <w:t>Total Payables</w:t>
            </w:r>
          </w:p>
        </w:tc>
        <w:tc>
          <w:tcPr>
            <w:tcW w:w="834" w:type="pct"/>
            <w:gridSpan w:val="5"/>
            <w:tcBorders>
              <w:top w:val="single" w:sz="2" w:space="0" w:color="auto"/>
              <w:left w:val="nil"/>
              <w:bottom w:val="double" w:sz="4" w:space="0" w:color="auto"/>
              <w:right w:val="nil"/>
            </w:tcBorders>
            <w:vAlign w:val="bottom"/>
          </w:tcPr>
          <w:p w14:paraId="09331373" w14:textId="53E8400A" w:rsidR="00BD2FF8" w:rsidRPr="00DC4889" w:rsidRDefault="00BD2FF8">
            <w:pPr>
              <w:pStyle w:val="TableText"/>
              <w:tabs>
                <w:tab w:val="left" w:pos="3306"/>
              </w:tabs>
              <w:jc w:val="right"/>
              <w:rPr>
                <w:rFonts w:cs="Calibri"/>
                <w:b/>
                <w:bCs/>
              </w:rPr>
            </w:pPr>
          </w:p>
        </w:tc>
        <w:tc>
          <w:tcPr>
            <w:tcW w:w="499" w:type="pct"/>
            <w:tcBorders>
              <w:top w:val="single" w:sz="2" w:space="0" w:color="auto"/>
              <w:left w:val="nil"/>
              <w:bottom w:val="double" w:sz="4" w:space="0" w:color="auto"/>
              <w:right w:val="nil"/>
            </w:tcBorders>
            <w:vAlign w:val="bottom"/>
          </w:tcPr>
          <w:p w14:paraId="077DDBF4" w14:textId="22E55B32" w:rsidR="00BD2FF8" w:rsidRPr="00DC4889" w:rsidRDefault="00BD2FF8">
            <w:pPr>
              <w:pStyle w:val="TableText"/>
              <w:tabs>
                <w:tab w:val="left" w:pos="3306"/>
              </w:tabs>
              <w:jc w:val="right"/>
              <w:rPr>
                <w:rFonts w:cs="Calibri"/>
                <w:b/>
                <w:bCs/>
              </w:rPr>
            </w:pPr>
          </w:p>
        </w:tc>
      </w:tr>
      <w:tr w:rsidR="00380E33" w:rsidRPr="00CF7E1B" w14:paraId="57A467E2"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7B363299" w14:textId="77777777" w:rsidR="00380E33" w:rsidRPr="00DC4889" w:rsidRDefault="00380E33">
            <w:pPr>
              <w:pStyle w:val="TableReference"/>
              <w:tabs>
                <w:tab w:val="left" w:pos="3306"/>
              </w:tabs>
              <w:spacing w:before="40"/>
              <w:rPr>
                <w:rFonts w:cs="Calibri"/>
                <w:color w:val="7030A0"/>
                <w:sz w:val="14"/>
              </w:rPr>
            </w:pPr>
          </w:p>
        </w:tc>
        <w:tc>
          <w:tcPr>
            <w:tcW w:w="3997" w:type="pct"/>
            <w:gridSpan w:val="8"/>
            <w:tcBorders>
              <w:top w:val="nil"/>
              <w:left w:val="single" w:sz="2" w:space="0" w:color="auto"/>
              <w:bottom w:val="nil"/>
              <w:right w:val="nil"/>
            </w:tcBorders>
            <w:vAlign w:val="bottom"/>
          </w:tcPr>
          <w:p w14:paraId="69400248" w14:textId="77777777" w:rsidR="00380E33" w:rsidRPr="00DC4889" w:rsidRDefault="00380E33">
            <w:pPr>
              <w:pStyle w:val="TableText"/>
              <w:tabs>
                <w:tab w:val="left" w:pos="3306"/>
              </w:tabs>
              <w:jc w:val="right"/>
              <w:rPr>
                <w:rFonts w:cs="Calibri"/>
              </w:rPr>
            </w:pPr>
          </w:p>
        </w:tc>
      </w:tr>
      <w:tr w:rsidR="00413F41" w:rsidRPr="00CF7E1B" w14:paraId="78FBA4D5"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vAlign w:val="bottom"/>
          </w:tcPr>
          <w:p w14:paraId="437101B2" w14:textId="77777777" w:rsidR="00413F41" w:rsidRPr="00DC4889" w:rsidRDefault="00413F41">
            <w:pPr>
              <w:pStyle w:val="TableReference"/>
              <w:tabs>
                <w:tab w:val="left" w:pos="3306"/>
              </w:tabs>
              <w:rPr>
                <w:rFonts w:cs="Calibri"/>
                <w:color w:val="7030A0"/>
                <w:sz w:val="14"/>
              </w:rPr>
            </w:pPr>
          </w:p>
        </w:tc>
        <w:tc>
          <w:tcPr>
            <w:tcW w:w="3997" w:type="pct"/>
            <w:gridSpan w:val="8"/>
            <w:tcBorders>
              <w:top w:val="nil"/>
              <w:left w:val="single" w:sz="2" w:space="0" w:color="auto"/>
              <w:bottom w:val="nil"/>
              <w:right w:val="nil"/>
            </w:tcBorders>
            <w:vAlign w:val="bottom"/>
          </w:tcPr>
          <w:p w14:paraId="615AF1D0" w14:textId="495B7B83" w:rsidR="00413F41" w:rsidRPr="00DC4889" w:rsidRDefault="00413F41" w:rsidP="00811723">
            <w:pPr>
              <w:tabs>
                <w:tab w:val="left" w:pos="3306"/>
              </w:tabs>
              <w:jc w:val="both"/>
              <w:rPr>
                <w:rFonts w:cs="Calibri"/>
                <w:sz w:val="18"/>
                <w:szCs w:val="18"/>
              </w:rPr>
            </w:pPr>
            <w:r w:rsidRPr="00DC4889">
              <w:rPr>
                <w:rFonts w:cs="Calibri"/>
                <w:sz w:val="18"/>
              </w:rPr>
              <w:t>‘</w:t>
            </w:r>
            <w:r w:rsidR="00645E43" w:rsidRPr="00DC4889">
              <w:rPr>
                <w:sz w:val="18"/>
                <w:szCs w:val="18"/>
              </w:rPr>
              <w:t>Burley Griffin</w:t>
            </w:r>
            <w:r w:rsidRPr="00DC4889">
              <w:rPr>
                <w:rFonts w:cs="Calibri"/>
                <w:sz w:val="18"/>
              </w:rPr>
              <w:t xml:space="preserve"> Agency’ expects that </w:t>
            </w:r>
            <w:r w:rsidRPr="00B823E0">
              <w:rPr>
                <w:rFonts w:cs="Calibri"/>
                <w:color w:val="C45911" w:themeColor="accent2" w:themeShade="BF"/>
                <w:sz w:val="18"/>
              </w:rPr>
              <w:t>[x]</w:t>
            </w:r>
            <w:r w:rsidRPr="00DC4889">
              <w:rPr>
                <w:rFonts w:cs="Calibri"/>
                <w:sz w:val="18"/>
              </w:rPr>
              <w:t xml:space="preserve">% of the transaction price allocated to the unsatisfied performance will be recognised in 2022-23 with the remaining </w:t>
            </w:r>
            <w:r w:rsidRPr="00B823E0">
              <w:rPr>
                <w:rFonts w:cs="Calibri"/>
                <w:color w:val="C45911" w:themeColor="accent2" w:themeShade="BF"/>
                <w:sz w:val="18"/>
              </w:rPr>
              <w:t>[x</w:t>
            </w:r>
            <w:r w:rsidR="00B823E0" w:rsidRPr="00B823E0">
              <w:rPr>
                <w:rFonts w:cs="Calibri"/>
                <w:color w:val="C45911" w:themeColor="accent2" w:themeShade="BF"/>
                <w:sz w:val="18"/>
              </w:rPr>
              <w:t>]</w:t>
            </w:r>
            <w:r w:rsidRPr="00DC4889">
              <w:rPr>
                <w:rFonts w:cs="Calibri"/>
                <w:sz w:val="18"/>
              </w:rPr>
              <w:t>% to be recognised as revenue during</w:t>
            </w:r>
            <w:r w:rsidR="006A4165" w:rsidRPr="00DC4889">
              <w:rPr>
                <w:rFonts w:cs="Calibri"/>
                <w:sz w:val="18"/>
              </w:rPr>
              <w:t xml:space="preserve"> </w:t>
            </w:r>
            <w:r w:rsidRPr="00DC4889">
              <w:rPr>
                <w:rFonts w:cs="Calibri"/>
                <w:sz w:val="18"/>
              </w:rPr>
              <w:t>2023-24.</w:t>
            </w:r>
          </w:p>
        </w:tc>
      </w:tr>
      <w:tr w:rsidR="00413F41" w:rsidRPr="00CF7E1B" w14:paraId="3E92B066"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vAlign w:val="bottom"/>
          </w:tcPr>
          <w:p w14:paraId="27F37501" w14:textId="77777777" w:rsidR="00413F41" w:rsidRPr="00DC4889" w:rsidRDefault="00413F41">
            <w:pPr>
              <w:pStyle w:val="TableReference"/>
              <w:tabs>
                <w:tab w:val="left" w:pos="3306"/>
              </w:tabs>
              <w:rPr>
                <w:rFonts w:cs="Calibri"/>
                <w:color w:val="7030A0"/>
                <w:sz w:val="14"/>
              </w:rPr>
            </w:pPr>
          </w:p>
        </w:tc>
        <w:tc>
          <w:tcPr>
            <w:tcW w:w="3997" w:type="pct"/>
            <w:gridSpan w:val="8"/>
            <w:tcBorders>
              <w:top w:val="nil"/>
              <w:left w:val="single" w:sz="2" w:space="0" w:color="auto"/>
              <w:bottom w:val="nil"/>
              <w:right w:val="nil"/>
            </w:tcBorders>
            <w:vAlign w:val="bottom"/>
          </w:tcPr>
          <w:p w14:paraId="41DC616F" w14:textId="35B2C4CB" w:rsidR="00413F41" w:rsidRPr="00CF7E1B" w:rsidRDefault="00413F41">
            <w:pPr>
              <w:tabs>
                <w:tab w:val="left" w:pos="3306"/>
              </w:tabs>
              <w:rPr>
                <w:rFonts w:cs="Calibri"/>
                <w:sz w:val="18"/>
                <w:szCs w:val="18"/>
              </w:rPr>
            </w:pPr>
          </w:p>
        </w:tc>
      </w:tr>
      <w:tr w:rsidR="00DC4889" w:rsidRPr="00DC4889" w14:paraId="353DBC05"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vAlign w:val="bottom"/>
          </w:tcPr>
          <w:p w14:paraId="24A7AC2C" w14:textId="77777777" w:rsidR="000144FF" w:rsidRPr="00DC4889" w:rsidRDefault="000144FF">
            <w:pPr>
              <w:pStyle w:val="TableReference"/>
              <w:tabs>
                <w:tab w:val="left" w:pos="3306"/>
              </w:tabs>
              <w:rPr>
                <w:rFonts w:cs="Calibri"/>
                <w:color w:val="7030A0"/>
                <w:sz w:val="14"/>
              </w:rPr>
            </w:pPr>
          </w:p>
        </w:tc>
        <w:tc>
          <w:tcPr>
            <w:tcW w:w="3997" w:type="pct"/>
            <w:gridSpan w:val="8"/>
            <w:tcBorders>
              <w:top w:val="nil"/>
              <w:left w:val="single" w:sz="2" w:space="0" w:color="auto"/>
              <w:bottom w:val="nil"/>
              <w:right w:val="nil"/>
            </w:tcBorders>
            <w:shd w:val="clear" w:color="auto" w:fill="7030A0"/>
            <w:vAlign w:val="bottom"/>
          </w:tcPr>
          <w:p w14:paraId="4F84D073" w14:textId="220BE5F1" w:rsidR="000144FF" w:rsidRPr="00DC4889" w:rsidRDefault="000144FF" w:rsidP="00D520D0">
            <w:pPr>
              <w:pStyle w:val="CommentaryTitle"/>
              <w:spacing w:after="240"/>
              <w:rPr>
                <w:rFonts w:cs="Calibri"/>
                <w:color w:val="FFFFFF" w:themeColor="background1"/>
                <w:sz w:val="28"/>
                <w:szCs w:val="28"/>
              </w:rPr>
            </w:pPr>
            <w:bookmarkStart w:id="595" w:name="_Toc163106367"/>
            <w:r w:rsidRPr="00DC4889">
              <w:rPr>
                <w:rFonts w:cs="Calibri"/>
                <w:color w:val="FFFFFF" w:themeColor="background1"/>
                <w:sz w:val="28"/>
                <w:szCs w:val="28"/>
              </w:rPr>
              <w:t xml:space="preserve">Commentary – Note </w:t>
            </w:r>
            <w:r w:rsidR="00DE287B" w:rsidRPr="00DC4889">
              <w:rPr>
                <w:rFonts w:cs="Calibri"/>
                <w:color w:val="FFFFFF" w:themeColor="background1"/>
                <w:sz w:val="28"/>
                <w:szCs w:val="28"/>
              </w:rPr>
              <w:t>24</w:t>
            </w:r>
            <w:r w:rsidRPr="00DC4889">
              <w:rPr>
                <w:rFonts w:cs="Calibri"/>
                <w:color w:val="FFFFFF" w:themeColor="background1"/>
                <w:sz w:val="28"/>
                <w:szCs w:val="28"/>
              </w:rPr>
              <w:t>: Payables</w:t>
            </w:r>
            <w:bookmarkEnd w:id="595"/>
            <w:r w:rsidR="002541C3" w:rsidRPr="00DC4889">
              <w:rPr>
                <w:rFonts w:cs="Calibri"/>
                <w:color w:val="FFFFFF" w:themeColor="background1"/>
                <w:sz w:val="28"/>
                <w:szCs w:val="28"/>
              </w:rPr>
              <w:t xml:space="preserve"> and Contract Liabilities</w:t>
            </w:r>
          </w:p>
        </w:tc>
      </w:tr>
      <w:tr w:rsidR="00DC4889" w:rsidRPr="00DC4889" w14:paraId="4D209450"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1C62E968" w14:textId="77777777" w:rsidR="008E7245" w:rsidRPr="00DC4889" w:rsidRDefault="008E7245" w:rsidP="003E0E51">
            <w:pPr>
              <w:pStyle w:val="TableReference"/>
              <w:tabs>
                <w:tab w:val="left" w:pos="3306"/>
              </w:tabs>
              <w:spacing w:before="40"/>
              <w:rPr>
                <w:rFonts w:cs="Calibri"/>
                <w:color w:val="7030A0"/>
                <w:sz w:val="14"/>
              </w:rPr>
            </w:pPr>
            <w:r w:rsidRPr="00DC4889">
              <w:rPr>
                <w:rFonts w:cs="Calibri"/>
                <w:color w:val="7030A0"/>
                <w:sz w:val="14"/>
              </w:rPr>
              <w:t>ACT Disclosure Policy</w:t>
            </w:r>
          </w:p>
        </w:tc>
        <w:tc>
          <w:tcPr>
            <w:tcW w:w="3997" w:type="pct"/>
            <w:gridSpan w:val="8"/>
            <w:tcBorders>
              <w:top w:val="nil"/>
              <w:left w:val="single" w:sz="2" w:space="0" w:color="auto"/>
              <w:bottom w:val="nil"/>
              <w:right w:val="nil"/>
            </w:tcBorders>
            <w:shd w:val="clear" w:color="auto" w:fill="7030A0"/>
            <w:vAlign w:val="bottom"/>
          </w:tcPr>
          <w:p w14:paraId="19A0E93D" w14:textId="77777777" w:rsidR="008E7245" w:rsidRPr="00DC4889" w:rsidRDefault="008E7245" w:rsidP="00414DB4">
            <w:pPr>
              <w:pStyle w:val="CommentaryText"/>
              <w:rPr>
                <w:rFonts w:cs="Calibri"/>
                <w:color w:val="FFFFFF" w:themeColor="background1"/>
                <w:sz w:val="18"/>
                <w:szCs w:val="18"/>
              </w:rPr>
            </w:pPr>
            <w:r w:rsidRPr="00DC4889">
              <w:rPr>
                <w:rFonts w:cs="Calibri"/>
                <w:color w:val="FFFFFF" w:themeColor="background1"/>
                <w:sz w:val="18"/>
                <w:szCs w:val="18"/>
              </w:rPr>
              <w:t xml:space="preserve">An agency is not required to include disclosures associated with ageing of their payables where no payables are overdue. They can simply state that ‘No payables are </w:t>
            </w:r>
            <w:r w:rsidR="00414DB4" w:rsidRPr="00DC4889">
              <w:rPr>
                <w:rFonts w:cs="Calibri"/>
                <w:color w:val="FFFFFF" w:themeColor="background1"/>
                <w:sz w:val="18"/>
                <w:szCs w:val="18"/>
              </w:rPr>
              <w:t>overdue</w:t>
            </w:r>
            <w:r w:rsidRPr="00DC4889">
              <w:rPr>
                <w:rFonts w:cs="Calibri"/>
                <w:color w:val="FFFFFF" w:themeColor="background1"/>
                <w:sz w:val="18"/>
                <w:szCs w:val="18"/>
              </w:rPr>
              <w:t xml:space="preserve">.’ </w:t>
            </w:r>
          </w:p>
        </w:tc>
      </w:tr>
      <w:tr w:rsidR="00DC4889" w:rsidRPr="00DC4889" w14:paraId="29BB02EF"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vAlign w:val="bottom"/>
          </w:tcPr>
          <w:p w14:paraId="75E6A204" w14:textId="77777777" w:rsidR="008E7245" w:rsidRPr="00DC4889" w:rsidRDefault="008E7245">
            <w:pPr>
              <w:pStyle w:val="TableReference"/>
              <w:tabs>
                <w:tab w:val="left" w:pos="3306"/>
              </w:tabs>
              <w:rPr>
                <w:rFonts w:cs="Calibri"/>
                <w:color w:val="7030A0"/>
                <w:sz w:val="14"/>
              </w:rPr>
            </w:pPr>
          </w:p>
        </w:tc>
        <w:tc>
          <w:tcPr>
            <w:tcW w:w="3997" w:type="pct"/>
            <w:gridSpan w:val="8"/>
            <w:tcBorders>
              <w:top w:val="nil"/>
              <w:left w:val="single" w:sz="2" w:space="0" w:color="auto"/>
              <w:bottom w:val="nil"/>
              <w:right w:val="nil"/>
            </w:tcBorders>
            <w:shd w:val="clear" w:color="auto" w:fill="7030A0"/>
            <w:vAlign w:val="bottom"/>
          </w:tcPr>
          <w:p w14:paraId="2BE2754E" w14:textId="72469A8B" w:rsidR="008E7245" w:rsidRPr="00DC4889" w:rsidRDefault="008E7245" w:rsidP="00586F5B">
            <w:pPr>
              <w:pStyle w:val="CommentaryText"/>
              <w:rPr>
                <w:rFonts w:cs="Calibri"/>
                <w:color w:val="FFFFFF" w:themeColor="background1"/>
                <w:sz w:val="18"/>
                <w:szCs w:val="18"/>
              </w:rPr>
            </w:pPr>
            <w:r w:rsidRPr="00DC4889">
              <w:rPr>
                <w:rFonts w:cs="Calibri"/>
                <w:color w:val="FFFFFF" w:themeColor="background1"/>
                <w:sz w:val="18"/>
                <w:szCs w:val="18"/>
              </w:rPr>
              <w:t xml:space="preserve">The agency has a net Goods and Services Tax (GST) Receivable that is shown in Note </w:t>
            </w:r>
            <w:r w:rsidR="00DE287B" w:rsidRPr="00DC4889">
              <w:rPr>
                <w:rFonts w:cs="Calibri"/>
                <w:color w:val="FFFFFF" w:themeColor="background1"/>
                <w:sz w:val="18"/>
                <w:szCs w:val="18"/>
              </w:rPr>
              <w:t xml:space="preserve">16 </w:t>
            </w:r>
            <w:r w:rsidRPr="00DC4889">
              <w:rPr>
                <w:rFonts w:cs="Calibri"/>
                <w:i/>
                <w:color w:val="FFFFFF" w:themeColor="background1"/>
                <w:sz w:val="18"/>
                <w:szCs w:val="18"/>
              </w:rPr>
              <w:t>Receivables</w:t>
            </w:r>
            <w:r w:rsidR="00523CDC" w:rsidRPr="00DC4889">
              <w:rPr>
                <w:rFonts w:cs="Calibri"/>
                <w:i/>
                <w:color w:val="FFFFFF" w:themeColor="background1"/>
                <w:sz w:val="18"/>
                <w:szCs w:val="18"/>
              </w:rPr>
              <w:t xml:space="preserve"> and Contract Assets</w:t>
            </w:r>
            <w:r w:rsidRPr="00DC4889">
              <w:rPr>
                <w:rFonts w:cs="Calibri"/>
                <w:color w:val="FFFFFF" w:themeColor="background1"/>
                <w:sz w:val="18"/>
                <w:szCs w:val="18"/>
              </w:rPr>
              <w:t>.</w:t>
            </w:r>
            <w:r w:rsidR="00FA7C77">
              <w:rPr>
                <w:rFonts w:cs="Calibri"/>
                <w:color w:val="FFFFFF" w:themeColor="background1"/>
                <w:sz w:val="18"/>
                <w:szCs w:val="18"/>
              </w:rPr>
              <w:t xml:space="preserve"> </w:t>
            </w:r>
            <w:r w:rsidRPr="00DC4889">
              <w:rPr>
                <w:rFonts w:cs="Calibri"/>
                <w:color w:val="FFFFFF" w:themeColor="background1"/>
                <w:sz w:val="18"/>
                <w:szCs w:val="18"/>
              </w:rPr>
              <w:t>In most cases agencies will have a net GST Receivable.</w:t>
            </w:r>
            <w:r w:rsidR="00FA7C77">
              <w:rPr>
                <w:rFonts w:cs="Calibri"/>
                <w:color w:val="FFFFFF" w:themeColor="background1"/>
                <w:sz w:val="18"/>
                <w:szCs w:val="18"/>
              </w:rPr>
              <w:t xml:space="preserve"> </w:t>
            </w:r>
            <w:r w:rsidRPr="00DC4889">
              <w:rPr>
                <w:rFonts w:cs="Calibri"/>
                <w:color w:val="FFFFFF" w:themeColor="background1"/>
                <w:sz w:val="18"/>
                <w:szCs w:val="18"/>
              </w:rPr>
              <w:t>However, if a net GST Payable arises then this amount would be disclosed in this Payables</w:t>
            </w:r>
            <w:r w:rsidR="001A06B7" w:rsidRPr="00DC4889">
              <w:rPr>
                <w:rFonts w:cs="Calibri"/>
                <w:color w:val="FFFFFF" w:themeColor="background1"/>
                <w:sz w:val="18"/>
                <w:szCs w:val="18"/>
              </w:rPr>
              <w:t xml:space="preserve"> and Contract Liabilities</w:t>
            </w:r>
            <w:r w:rsidRPr="00DC4889">
              <w:rPr>
                <w:rFonts w:cs="Calibri"/>
                <w:color w:val="FFFFFF" w:themeColor="background1"/>
                <w:sz w:val="18"/>
                <w:szCs w:val="18"/>
              </w:rPr>
              <w:t xml:space="preserve"> note.</w:t>
            </w:r>
            <w:r w:rsidR="00FA7C77">
              <w:rPr>
                <w:rFonts w:cs="Calibri"/>
                <w:color w:val="FFFFFF" w:themeColor="background1"/>
                <w:sz w:val="18"/>
                <w:szCs w:val="18"/>
              </w:rPr>
              <w:t xml:space="preserve"> </w:t>
            </w:r>
            <w:r w:rsidRPr="00DC4889">
              <w:rPr>
                <w:rFonts w:cs="Calibri"/>
                <w:color w:val="FFFFFF" w:themeColor="background1"/>
                <w:sz w:val="18"/>
                <w:szCs w:val="18"/>
              </w:rPr>
              <w:t>For example, a net GST Payable will occur where an agency derives a significant amount of its income from sources other than C</w:t>
            </w:r>
            <w:r w:rsidR="008876A5" w:rsidRPr="00DC4889">
              <w:rPr>
                <w:rFonts w:cs="Calibri"/>
                <w:color w:val="FFFFFF" w:themeColor="background1"/>
                <w:sz w:val="18"/>
                <w:szCs w:val="18"/>
              </w:rPr>
              <w:t>ontrolled Recurrent Payment</w:t>
            </w:r>
            <w:r w:rsidR="00ED79DE" w:rsidRPr="00DC4889">
              <w:rPr>
                <w:rFonts w:cs="Calibri"/>
                <w:color w:val="FFFFFF" w:themeColor="background1"/>
                <w:sz w:val="18"/>
                <w:szCs w:val="18"/>
              </w:rPr>
              <w:t>s</w:t>
            </w:r>
            <w:r w:rsidRPr="00DC4889">
              <w:rPr>
                <w:rFonts w:cs="Calibri"/>
                <w:color w:val="FFFFFF" w:themeColor="background1"/>
                <w:sz w:val="18"/>
                <w:szCs w:val="18"/>
              </w:rPr>
              <w:t>.</w:t>
            </w:r>
          </w:p>
        </w:tc>
      </w:tr>
      <w:tr w:rsidR="00DC4889" w:rsidRPr="00DC4889" w14:paraId="2EDC252D" w14:textId="77777777" w:rsidTr="00AE2F99">
        <w:trPr>
          <w:gridAfter w:val="3"/>
          <w:wAfter w:w="304" w:type="pct"/>
          <w:cantSplit/>
        </w:trPr>
        <w:tc>
          <w:tcPr>
            <w:tcW w:w="699" w:type="pct"/>
            <w:tcBorders>
              <w:top w:val="nil"/>
              <w:left w:val="single" w:sz="2" w:space="0" w:color="auto"/>
              <w:bottom w:val="nil"/>
              <w:right w:val="single" w:sz="2" w:space="0" w:color="auto"/>
            </w:tcBorders>
          </w:tcPr>
          <w:p w14:paraId="066C5D40" w14:textId="77777777" w:rsidR="008E7245" w:rsidRPr="00DC4889" w:rsidRDefault="008E7245">
            <w:pPr>
              <w:pStyle w:val="TableReference"/>
              <w:spacing w:before="60"/>
              <w:rPr>
                <w:rFonts w:cs="Calibri"/>
                <w:color w:val="7030A0"/>
                <w:sz w:val="14"/>
              </w:rPr>
            </w:pPr>
            <w:r w:rsidRPr="00DC4889">
              <w:rPr>
                <w:rFonts w:cs="Calibri"/>
                <w:color w:val="7030A0"/>
                <w:sz w:val="14"/>
              </w:rPr>
              <w:t>Government Procurement Act Section 44 &amp; 45</w:t>
            </w:r>
          </w:p>
        </w:tc>
        <w:tc>
          <w:tcPr>
            <w:tcW w:w="3997" w:type="pct"/>
            <w:gridSpan w:val="8"/>
            <w:tcBorders>
              <w:top w:val="nil"/>
              <w:left w:val="single" w:sz="2" w:space="0" w:color="auto"/>
              <w:bottom w:val="nil"/>
              <w:right w:val="nil"/>
            </w:tcBorders>
            <w:shd w:val="clear" w:color="auto" w:fill="7030A0"/>
          </w:tcPr>
          <w:p w14:paraId="06420C3D" w14:textId="3E1F00B6" w:rsidR="008E7245" w:rsidRPr="00DC4889" w:rsidRDefault="008E7245" w:rsidP="00C43BB3">
            <w:pPr>
              <w:pStyle w:val="TableText"/>
              <w:spacing w:before="0" w:after="120"/>
              <w:jc w:val="both"/>
              <w:rPr>
                <w:rFonts w:cs="Calibri"/>
                <w:color w:val="FFFFFF" w:themeColor="background1"/>
              </w:rPr>
            </w:pPr>
            <w:r w:rsidRPr="00DC4889">
              <w:rPr>
                <w:rFonts w:cs="Calibri"/>
                <w:color w:val="FFFFFF" w:themeColor="background1"/>
              </w:rPr>
              <w:t xml:space="preserve">The </w:t>
            </w:r>
            <w:r w:rsidRPr="00DC4889">
              <w:rPr>
                <w:rFonts w:cs="Calibri"/>
                <w:i/>
                <w:iCs/>
                <w:color w:val="FFFFFF" w:themeColor="background1"/>
              </w:rPr>
              <w:t>Government Procurement Act 2001</w:t>
            </w:r>
            <w:r w:rsidRPr="00DC4889">
              <w:rPr>
                <w:rFonts w:cs="Calibri"/>
                <w:color w:val="FFFFFF" w:themeColor="background1"/>
              </w:rPr>
              <w:t xml:space="preserve"> requires interest to be paid where a commercial account is not paid in full by the 25th day of the month after the month in which the payment is due.</w:t>
            </w:r>
            <w:r w:rsidR="00FA7C77">
              <w:rPr>
                <w:rFonts w:cs="Calibri"/>
                <w:color w:val="FFFFFF" w:themeColor="background1"/>
              </w:rPr>
              <w:t xml:space="preserve"> </w:t>
            </w:r>
            <w:r w:rsidRPr="00DC4889">
              <w:rPr>
                <w:rFonts w:cs="Calibri"/>
                <w:color w:val="FFFFFF" w:themeColor="background1"/>
              </w:rPr>
              <w:t>Therefore agencies should ensure accounts are paid before interest becomes payable.</w:t>
            </w:r>
            <w:r w:rsidR="00FA7C77">
              <w:rPr>
                <w:rFonts w:cs="Calibri"/>
                <w:color w:val="FFFFFF" w:themeColor="background1"/>
              </w:rPr>
              <w:t xml:space="preserve"> </w:t>
            </w:r>
          </w:p>
        </w:tc>
      </w:tr>
      <w:tr w:rsidR="00DC4889" w:rsidRPr="00DC4889" w14:paraId="0077946E" w14:textId="77777777" w:rsidTr="00AE2F99">
        <w:trPr>
          <w:gridAfter w:val="3"/>
          <w:wAfter w:w="304" w:type="pct"/>
          <w:cantSplit/>
        </w:trPr>
        <w:tc>
          <w:tcPr>
            <w:tcW w:w="699" w:type="pct"/>
            <w:tcBorders>
              <w:top w:val="nil"/>
              <w:left w:val="single" w:sz="2" w:space="0" w:color="auto"/>
              <w:bottom w:val="nil"/>
              <w:right w:val="single" w:sz="2" w:space="0" w:color="auto"/>
            </w:tcBorders>
          </w:tcPr>
          <w:p w14:paraId="7248A899" w14:textId="77777777" w:rsidR="00413F41" w:rsidRPr="00DC4889" w:rsidRDefault="00413F41">
            <w:pPr>
              <w:pStyle w:val="TableReference"/>
              <w:spacing w:before="60"/>
              <w:rPr>
                <w:rFonts w:cs="Calibri"/>
                <w:color w:val="7030A0"/>
                <w:sz w:val="14"/>
              </w:rPr>
            </w:pPr>
          </w:p>
        </w:tc>
        <w:tc>
          <w:tcPr>
            <w:tcW w:w="3997" w:type="pct"/>
            <w:gridSpan w:val="8"/>
            <w:tcBorders>
              <w:top w:val="nil"/>
              <w:left w:val="single" w:sz="2" w:space="0" w:color="auto"/>
              <w:bottom w:val="nil"/>
              <w:right w:val="nil"/>
            </w:tcBorders>
            <w:shd w:val="clear" w:color="auto" w:fill="7030A0"/>
          </w:tcPr>
          <w:p w14:paraId="6878E1B4" w14:textId="2AC653A8" w:rsidR="00413F41" w:rsidRPr="00C864E3" w:rsidRDefault="00413F41" w:rsidP="00413F41">
            <w:pPr>
              <w:pStyle w:val="TableText"/>
              <w:spacing w:before="120" w:after="40"/>
              <w:jc w:val="both"/>
              <w:rPr>
                <w:rFonts w:cs="Calibri"/>
                <w:b/>
                <w:bCs/>
                <w:color w:val="FFFFFF" w:themeColor="background1"/>
                <w:sz w:val="20"/>
                <w:szCs w:val="20"/>
              </w:rPr>
            </w:pPr>
            <w:r w:rsidRPr="00C864E3">
              <w:rPr>
                <w:rFonts w:cs="Calibri"/>
                <w:b/>
                <w:bCs/>
                <w:color w:val="FFFFFF" w:themeColor="background1"/>
                <w:sz w:val="20"/>
                <w:szCs w:val="20"/>
              </w:rPr>
              <w:t>Contract Liabilities</w:t>
            </w:r>
          </w:p>
        </w:tc>
      </w:tr>
      <w:tr w:rsidR="00413F41" w:rsidRPr="00413F41" w14:paraId="31399AA6"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40CD8A5E" w14:textId="77777777" w:rsidR="00413F41" w:rsidRPr="00DC4889" w:rsidRDefault="00413F41" w:rsidP="009A0F2F">
            <w:pPr>
              <w:pStyle w:val="TableReference"/>
              <w:tabs>
                <w:tab w:val="left" w:pos="3306"/>
              </w:tabs>
              <w:spacing w:before="40"/>
              <w:rPr>
                <w:rFonts w:cs="Calibri"/>
                <w:color w:val="7030A0"/>
                <w:sz w:val="14"/>
              </w:rPr>
            </w:pPr>
            <w:r w:rsidRPr="00DC4889">
              <w:rPr>
                <w:rFonts w:cs="Calibri"/>
                <w:color w:val="7030A0"/>
                <w:sz w:val="14"/>
              </w:rPr>
              <w:t>AASB 15.105</w:t>
            </w:r>
          </w:p>
          <w:p w14:paraId="2841FF2F" w14:textId="77777777" w:rsidR="00413F41" w:rsidRPr="00DC4889" w:rsidRDefault="00413F41" w:rsidP="009A0F2F">
            <w:pPr>
              <w:pStyle w:val="TableReference"/>
              <w:tabs>
                <w:tab w:val="left" w:pos="3306"/>
              </w:tabs>
              <w:spacing w:before="40"/>
              <w:rPr>
                <w:rFonts w:cs="Calibri"/>
                <w:color w:val="7030A0"/>
                <w:sz w:val="14"/>
              </w:rPr>
            </w:pPr>
            <w:r w:rsidRPr="00DC4889">
              <w:rPr>
                <w:rFonts w:cs="Calibri"/>
                <w:color w:val="7030A0"/>
                <w:sz w:val="14"/>
              </w:rPr>
              <w:t xml:space="preserve">AASB 15 Appendix A </w:t>
            </w:r>
          </w:p>
          <w:p w14:paraId="06E7690C" w14:textId="77777777" w:rsidR="00413F41" w:rsidRPr="00DC4889" w:rsidRDefault="00413F41" w:rsidP="009A0F2F">
            <w:pPr>
              <w:pStyle w:val="TableReference"/>
              <w:tabs>
                <w:tab w:val="left" w:pos="3306"/>
              </w:tabs>
              <w:spacing w:before="40"/>
              <w:rPr>
                <w:rFonts w:cs="Calibri"/>
                <w:color w:val="7030A0"/>
                <w:sz w:val="16"/>
                <w:szCs w:val="16"/>
              </w:rPr>
            </w:pPr>
            <w:r w:rsidRPr="00DC4889">
              <w:rPr>
                <w:rFonts w:cs="Calibri"/>
                <w:color w:val="7030A0"/>
                <w:sz w:val="14"/>
              </w:rPr>
              <w:t>Defined terms</w:t>
            </w:r>
          </w:p>
        </w:tc>
        <w:tc>
          <w:tcPr>
            <w:tcW w:w="4007" w:type="pct"/>
            <w:gridSpan w:val="9"/>
            <w:tcBorders>
              <w:top w:val="nil"/>
              <w:left w:val="single" w:sz="2" w:space="0" w:color="auto"/>
              <w:bottom w:val="nil"/>
              <w:right w:val="nil"/>
            </w:tcBorders>
            <w:shd w:val="clear" w:color="auto" w:fill="7030A0"/>
          </w:tcPr>
          <w:p w14:paraId="76B5A2F5" w14:textId="39421172" w:rsidR="00413F41" w:rsidRPr="00DC4889" w:rsidRDefault="008876A5" w:rsidP="009A0F2F">
            <w:pPr>
              <w:pStyle w:val="CommentaryTitle"/>
              <w:spacing w:before="0" w:after="120"/>
              <w:rPr>
                <w:rFonts w:cs="Calibri"/>
                <w:color w:val="FFFFFF" w:themeColor="background1"/>
                <w:sz w:val="18"/>
                <w:szCs w:val="18"/>
              </w:rPr>
            </w:pPr>
            <w:r w:rsidRPr="00DC4889">
              <w:rPr>
                <w:rFonts w:cs="Calibri"/>
                <w:b w:val="0"/>
                <w:bCs w:val="0"/>
                <w:color w:val="FFFFFF" w:themeColor="background1"/>
                <w:sz w:val="18"/>
                <w:szCs w:val="18"/>
              </w:rPr>
              <w:t>A</w:t>
            </w:r>
            <w:r w:rsidR="00413F41" w:rsidRPr="00DC4889">
              <w:rPr>
                <w:rFonts w:cs="Calibri"/>
                <w:b w:val="0"/>
                <w:bCs w:val="0"/>
                <w:color w:val="FFFFFF" w:themeColor="background1"/>
                <w:sz w:val="18"/>
                <w:szCs w:val="18"/>
              </w:rPr>
              <w:t xml:space="preserve"> contract liability </w:t>
            </w:r>
            <w:r w:rsidRPr="00DC4889">
              <w:rPr>
                <w:rFonts w:cs="Calibri"/>
                <w:b w:val="0"/>
                <w:bCs w:val="0"/>
                <w:color w:val="FFFFFF" w:themeColor="background1"/>
                <w:sz w:val="18"/>
                <w:szCs w:val="18"/>
              </w:rPr>
              <w:t xml:space="preserve">is defined </w:t>
            </w:r>
            <w:r w:rsidR="00413F41" w:rsidRPr="00DC4889">
              <w:rPr>
                <w:rFonts w:cs="Calibri"/>
                <w:b w:val="0"/>
                <w:bCs w:val="0"/>
                <w:color w:val="FFFFFF" w:themeColor="background1"/>
                <w:sz w:val="18"/>
                <w:szCs w:val="18"/>
              </w:rPr>
              <w:t>as an agency’s obligation to transfer goods or services to a customer for which the agency has received consideration (or the amount of consideration is due) from the customer.</w:t>
            </w:r>
          </w:p>
        </w:tc>
      </w:tr>
      <w:tr w:rsidR="00761840" w:rsidRPr="00413F41" w14:paraId="20CC95B7"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5C6EC8FE" w14:textId="2CC3D6DE" w:rsidR="00761840" w:rsidRPr="00DC4889" w:rsidRDefault="00761840" w:rsidP="00C864E3">
            <w:pPr>
              <w:pStyle w:val="TableReference"/>
              <w:tabs>
                <w:tab w:val="left" w:pos="3306"/>
              </w:tabs>
              <w:spacing w:after="240"/>
              <w:rPr>
                <w:rFonts w:cs="Calibri"/>
                <w:color w:val="7030A0"/>
                <w:sz w:val="14"/>
              </w:rPr>
            </w:pPr>
            <w:r w:rsidRPr="006A4165">
              <w:rPr>
                <w:rFonts w:cs="Calibri"/>
                <w:b/>
                <w:bCs/>
                <w:color w:val="7030A0"/>
                <w:sz w:val="22"/>
                <w:szCs w:val="22"/>
              </w:rPr>
              <w:t>Reference</w:t>
            </w:r>
          </w:p>
        </w:tc>
        <w:tc>
          <w:tcPr>
            <w:tcW w:w="4007" w:type="pct"/>
            <w:gridSpan w:val="9"/>
            <w:tcBorders>
              <w:top w:val="nil"/>
              <w:left w:val="single" w:sz="2" w:space="0" w:color="auto"/>
              <w:bottom w:val="nil"/>
              <w:right w:val="nil"/>
            </w:tcBorders>
            <w:shd w:val="clear" w:color="auto" w:fill="7030A0"/>
          </w:tcPr>
          <w:p w14:paraId="212197E3" w14:textId="0E8BA3ED" w:rsidR="00761840" w:rsidRPr="00761840" w:rsidRDefault="00761840" w:rsidP="00C864E3">
            <w:pPr>
              <w:pageBreakBefore/>
              <w:spacing w:after="240"/>
              <w:jc w:val="both"/>
              <w:rPr>
                <w:rFonts w:cs="Calibri"/>
                <w:b/>
                <w:bCs/>
                <w:color w:val="FFFFFF" w:themeColor="background1"/>
                <w:sz w:val="18"/>
                <w:szCs w:val="18"/>
              </w:rPr>
            </w:pPr>
            <w:r w:rsidRPr="00761840">
              <w:rPr>
                <w:rFonts w:cs="Calibri"/>
                <w:b/>
                <w:bCs/>
                <w:color w:val="FFFFFF" w:themeColor="background1"/>
                <w:sz w:val="28"/>
                <w:szCs w:val="28"/>
              </w:rPr>
              <w:t>Commentary – Note 24: Payables and Contract Liabilities</w:t>
            </w:r>
            <w:r>
              <w:rPr>
                <w:rFonts w:cs="Calibri"/>
                <w:b/>
                <w:bCs/>
                <w:color w:val="FFFFFF" w:themeColor="background1"/>
                <w:sz w:val="28"/>
                <w:szCs w:val="28"/>
              </w:rPr>
              <w:t xml:space="preserve"> </w:t>
            </w:r>
            <w:r w:rsidR="00C864E3">
              <w:rPr>
                <w:rFonts w:cs="Calibri"/>
                <w:b/>
                <w:bCs/>
                <w:color w:val="FFFFFF" w:themeColor="background1"/>
                <w:sz w:val="28"/>
                <w:szCs w:val="28"/>
              </w:rPr>
              <w:t>–</w:t>
            </w:r>
            <w:r>
              <w:rPr>
                <w:rFonts w:cs="Calibri"/>
                <w:b/>
                <w:bCs/>
                <w:color w:val="FFFFFF" w:themeColor="background1"/>
                <w:sz w:val="28"/>
                <w:szCs w:val="28"/>
              </w:rPr>
              <w:t xml:space="preserve"> Continued</w:t>
            </w:r>
            <w:r w:rsidR="00C864E3">
              <w:rPr>
                <w:rFonts w:cs="Calibri"/>
                <w:b/>
                <w:bCs/>
                <w:color w:val="FFFFFF" w:themeColor="background1"/>
                <w:sz w:val="28"/>
                <w:szCs w:val="28"/>
              </w:rPr>
              <w:t xml:space="preserve"> </w:t>
            </w:r>
          </w:p>
        </w:tc>
      </w:tr>
      <w:tr w:rsidR="00413F41" w:rsidRPr="00413F41" w14:paraId="4998DC9B"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09EE9FB6" w14:textId="77777777" w:rsidR="00413F41" w:rsidRPr="00DC4889" w:rsidRDefault="00413F41" w:rsidP="009A0F2F">
            <w:pPr>
              <w:pStyle w:val="TableReference"/>
              <w:tabs>
                <w:tab w:val="left" w:pos="3306"/>
              </w:tabs>
              <w:spacing w:before="40"/>
              <w:rPr>
                <w:rFonts w:cs="Calibri"/>
                <w:color w:val="7030A0"/>
                <w:sz w:val="14"/>
              </w:rPr>
            </w:pPr>
            <w:r w:rsidRPr="00DC4889">
              <w:rPr>
                <w:rFonts w:cs="Calibri"/>
                <w:color w:val="7030A0"/>
                <w:sz w:val="14"/>
              </w:rPr>
              <w:t>AASB 15.105</w:t>
            </w:r>
          </w:p>
          <w:p w14:paraId="2271AE95" w14:textId="77777777" w:rsidR="00413F41" w:rsidRPr="00DC4889" w:rsidRDefault="00413F41" w:rsidP="009A0F2F">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shd w:val="clear" w:color="auto" w:fill="7030A0"/>
          </w:tcPr>
          <w:p w14:paraId="7E435D12" w14:textId="77777777" w:rsidR="00413F41" w:rsidRPr="00DC4889" w:rsidRDefault="00413F41" w:rsidP="008876A5">
            <w:pPr>
              <w:pageBreakBefore/>
              <w:spacing w:after="40"/>
              <w:jc w:val="both"/>
              <w:rPr>
                <w:rFonts w:cs="Calibri"/>
                <w:color w:val="FFFFFF" w:themeColor="background1"/>
                <w:sz w:val="18"/>
                <w:szCs w:val="18"/>
              </w:rPr>
            </w:pPr>
            <w:r w:rsidRPr="00DC4889">
              <w:rPr>
                <w:rFonts w:cs="Calibri"/>
                <w:color w:val="FFFFFF" w:themeColor="background1"/>
                <w:sz w:val="18"/>
                <w:szCs w:val="18"/>
              </w:rPr>
              <w:t>Common contract liability balances may include:</w:t>
            </w:r>
          </w:p>
          <w:p w14:paraId="79567EA9" w14:textId="77777777" w:rsidR="00413F41" w:rsidRPr="00DC4889" w:rsidRDefault="00413F41"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amounts received in advance of delivery of goods; and</w:t>
            </w:r>
          </w:p>
          <w:p w14:paraId="064614CE" w14:textId="77777777" w:rsidR="00413F41" w:rsidRPr="00DC4889" w:rsidRDefault="00413F41"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DC4889">
              <w:rPr>
                <w:rFonts w:cs="Calibri"/>
                <w:color w:val="FFFFFF" w:themeColor="background1"/>
                <w:sz w:val="18"/>
                <w:szCs w:val="18"/>
              </w:rPr>
              <w:t>amounts received in advance of provision of services.</w:t>
            </w:r>
          </w:p>
        </w:tc>
      </w:tr>
      <w:tr w:rsidR="00413F41" w:rsidRPr="00413F41" w14:paraId="26923C32" w14:textId="77777777" w:rsidTr="00AE2F99">
        <w:trPr>
          <w:gridAfter w:val="2"/>
          <w:wAfter w:w="294" w:type="pct"/>
          <w:cantSplit/>
          <w:trHeight w:val="248"/>
        </w:trPr>
        <w:tc>
          <w:tcPr>
            <w:tcW w:w="699" w:type="pct"/>
            <w:tcBorders>
              <w:top w:val="nil"/>
              <w:left w:val="single" w:sz="2" w:space="0" w:color="auto"/>
              <w:bottom w:val="nil"/>
              <w:right w:val="single" w:sz="2" w:space="0" w:color="auto"/>
            </w:tcBorders>
          </w:tcPr>
          <w:p w14:paraId="085401E0" w14:textId="77777777" w:rsidR="00413F41" w:rsidRPr="00DC4889" w:rsidRDefault="00413F41" w:rsidP="009A0F2F">
            <w:pPr>
              <w:pStyle w:val="TableReference"/>
              <w:tabs>
                <w:tab w:val="left" w:pos="3306"/>
              </w:tabs>
              <w:spacing w:before="40"/>
              <w:rPr>
                <w:rFonts w:cs="Calibri"/>
                <w:color w:val="7030A0"/>
                <w:sz w:val="16"/>
                <w:szCs w:val="16"/>
              </w:rPr>
            </w:pPr>
            <w:r w:rsidRPr="00DC4889">
              <w:rPr>
                <w:rFonts w:cs="Calibri"/>
                <w:color w:val="7030A0"/>
                <w:sz w:val="14"/>
              </w:rPr>
              <w:t>AASB 15.116(a)</w:t>
            </w:r>
          </w:p>
        </w:tc>
        <w:tc>
          <w:tcPr>
            <w:tcW w:w="4007" w:type="pct"/>
            <w:gridSpan w:val="9"/>
            <w:tcBorders>
              <w:top w:val="nil"/>
              <w:left w:val="single" w:sz="2" w:space="0" w:color="auto"/>
              <w:bottom w:val="nil"/>
              <w:right w:val="nil"/>
            </w:tcBorders>
            <w:shd w:val="clear" w:color="auto" w:fill="7030A0"/>
          </w:tcPr>
          <w:p w14:paraId="19D8A081" w14:textId="77777777" w:rsidR="00413F41" w:rsidRPr="00DC4889" w:rsidRDefault="00413F41" w:rsidP="009A0F2F">
            <w:pPr>
              <w:pStyle w:val="CommentaryTitle"/>
              <w:spacing w:before="0" w:after="120"/>
              <w:jc w:val="both"/>
              <w:rPr>
                <w:rFonts w:cs="Calibri"/>
                <w:b w:val="0"/>
                <w:bCs w:val="0"/>
                <w:color w:val="FFFFFF" w:themeColor="background1"/>
                <w:sz w:val="18"/>
                <w:szCs w:val="18"/>
              </w:rPr>
            </w:pPr>
            <w:r w:rsidRPr="00DC4889">
              <w:rPr>
                <w:rFonts w:cs="Calibri"/>
                <w:b w:val="0"/>
                <w:bCs w:val="0"/>
                <w:color w:val="FFFFFF" w:themeColor="background1"/>
                <w:sz w:val="18"/>
                <w:szCs w:val="18"/>
              </w:rPr>
              <w:t>Agencies must disclose contract liabilities separately from contract assets and contract receivables.</w:t>
            </w:r>
          </w:p>
        </w:tc>
      </w:tr>
      <w:tr w:rsidR="00413F41" w:rsidRPr="00413F41" w14:paraId="26C12F96"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792B1134" w14:textId="327F3FDB" w:rsidR="00413F41" w:rsidRPr="00DC4889" w:rsidRDefault="00413F41" w:rsidP="009A0F2F">
            <w:pPr>
              <w:pStyle w:val="TableReference"/>
              <w:tabs>
                <w:tab w:val="left" w:pos="3306"/>
              </w:tabs>
              <w:spacing w:before="40"/>
              <w:rPr>
                <w:rFonts w:cs="Calibri"/>
                <w:color w:val="7030A0"/>
                <w:sz w:val="14"/>
              </w:rPr>
            </w:pPr>
            <w:r w:rsidRPr="00DC4889">
              <w:rPr>
                <w:rFonts w:cs="Calibri"/>
                <w:color w:val="7030A0"/>
                <w:sz w:val="14"/>
              </w:rPr>
              <w:t xml:space="preserve">AASB 15.116(b) </w:t>
            </w:r>
          </w:p>
        </w:tc>
        <w:tc>
          <w:tcPr>
            <w:tcW w:w="4007" w:type="pct"/>
            <w:gridSpan w:val="9"/>
            <w:tcBorders>
              <w:top w:val="nil"/>
              <w:left w:val="single" w:sz="2" w:space="0" w:color="auto"/>
              <w:bottom w:val="nil"/>
              <w:right w:val="nil"/>
            </w:tcBorders>
            <w:shd w:val="clear" w:color="auto" w:fill="7030A0"/>
          </w:tcPr>
          <w:p w14:paraId="04400309" w14:textId="77777777" w:rsidR="00413F41" w:rsidRPr="00DC4889" w:rsidRDefault="00413F41" w:rsidP="009A0F2F">
            <w:pPr>
              <w:pStyle w:val="CommentaryTitle"/>
              <w:spacing w:before="0" w:after="120"/>
              <w:jc w:val="both"/>
              <w:rPr>
                <w:rFonts w:cs="Calibri"/>
                <w:b w:val="0"/>
                <w:bCs w:val="0"/>
                <w:color w:val="FFFFFF" w:themeColor="background1"/>
                <w:sz w:val="18"/>
                <w:szCs w:val="18"/>
              </w:rPr>
            </w:pPr>
            <w:r w:rsidRPr="00DC4889">
              <w:rPr>
                <w:rFonts w:cs="Calibri"/>
                <w:b w:val="0"/>
                <w:bCs w:val="0"/>
                <w:color w:val="FFFFFF" w:themeColor="background1"/>
                <w:sz w:val="18"/>
                <w:szCs w:val="18"/>
              </w:rPr>
              <w:t>Agencies should disclose the opening and closing balances of contract liabilities.</w:t>
            </w:r>
          </w:p>
        </w:tc>
      </w:tr>
      <w:tr w:rsidR="00413F41" w:rsidRPr="00413F41" w14:paraId="500942EF"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5C4B53A0" w14:textId="77777777" w:rsidR="00413F41" w:rsidRPr="00DC4889" w:rsidRDefault="00413F41" w:rsidP="009A0F2F">
            <w:pPr>
              <w:pStyle w:val="TableReference"/>
              <w:tabs>
                <w:tab w:val="left" w:pos="3306"/>
              </w:tabs>
              <w:spacing w:before="40"/>
              <w:rPr>
                <w:rFonts w:cs="Calibri"/>
                <w:color w:val="7030A0"/>
                <w:sz w:val="14"/>
              </w:rPr>
            </w:pPr>
            <w:r w:rsidRPr="00DC4889">
              <w:rPr>
                <w:rFonts w:cs="Calibri"/>
                <w:color w:val="7030A0"/>
                <w:sz w:val="14"/>
              </w:rPr>
              <w:t>AASB 15.116(b)</w:t>
            </w:r>
          </w:p>
          <w:p w14:paraId="50D3FB90" w14:textId="77777777" w:rsidR="00413F41" w:rsidRPr="00DC4889" w:rsidRDefault="00413F41" w:rsidP="009A0F2F">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shd w:val="clear" w:color="auto" w:fill="7030A0"/>
          </w:tcPr>
          <w:p w14:paraId="6F66A65D" w14:textId="77777777" w:rsidR="00413F41" w:rsidRPr="00DC4889" w:rsidRDefault="00413F41" w:rsidP="00835FC5">
            <w:pPr>
              <w:pStyle w:val="CommentaryTitle"/>
              <w:spacing w:before="0" w:after="120"/>
              <w:jc w:val="both"/>
              <w:rPr>
                <w:rFonts w:cs="Calibri"/>
                <w:b w:val="0"/>
                <w:bCs w:val="0"/>
                <w:color w:val="FFFFFF" w:themeColor="background1"/>
                <w:sz w:val="18"/>
                <w:szCs w:val="18"/>
              </w:rPr>
            </w:pPr>
            <w:r w:rsidRPr="00DC4889">
              <w:rPr>
                <w:rFonts w:cs="Calibri"/>
                <w:b w:val="0"/>
                <w:bCs w:val="0"/>
                <w:color w:val="FFFFFF" w:themeColor="background1"/>
                <w:sz w:val="18"/>
                <w:szCs w:val="18"/>
              </w:rPr>
              <w:t xml:space="preserve">Agencies must disclose revenue recognised in the reporting period that was included in the contract liability balance at the beginning of the year and revenue recognised from performance obligations satisfied in previous periods (for example due to a change in transaction price). </w:t>
            </w:r>
          </w:p>
        </w:tc>
      </w:tr>
      <w:tr w:rsidR="00413F41" w:rsidRPr="00413F41" w14:paraId="5EB48BCE"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0E599C20" w14:textId="77777777" w:rsidR="00413F41" w:rsidRPr="00DC4889" w:rsidRDefault="00413F41" w:rsidP="009A0F2F">
            <w:pPr>
              <w:pStyle w:val="TableReference"/>
              <w:tabs>
                <w:tab w:val="left" w:pos="3306"/>
              </w:tabs>
              <w:spacing w:before="40"/>
              <w:rPr>
                <w:rFonts w:cs="Calibri"/>
                <w:color w:val="7030A0"/>
                <w:sz w:val="14"/>
              </w:rPr>
            </w:pPr>
            <w:r w:rsidRPr="00DC4889">
              <w:rPr>
                <w:rFonts w:cs="Calibri"/>
                <w:color w:val="7030A0"/>
                <w:sz w:val="14"/>
              </w:rPr>
              <w:t>AASB 15.117</w:t>
            </w:r>
          </w:p>
          <w:p w14:paraId="41306123" w14:textId="7F6440FC" w:rsidR="00413F41" w:rsidRPr="00DC4889" w:rsidRDefault="00835FC5" w:rsidP="009A0F2F">
            <w:pPr>
              <w:pStyle w:val="TableReference"/>
              <w:tabs>
                <w:tab w:val="left" w:pos="3306"/>
              </w:tabs>
              <w:spacing w:before="40"/>
              <w:rPr>
                <w:rFonts w:cs="Calibri"/>
                <w:color w:val="7030A0"/>
                <w:sz w:val="14"/>
              </w:rPr>
            </w:pPr>
            <w:r w:rsidRPr="00DC4889">
              <w:rPr>
                <w:rFonts w:cs="Calibri"/>
                <w:color w:val="7030A0"/>
                <w:sz w:val="14"/>
              </w:rPr>
              <w:t>AASB 15.119(a)</w:t>
            </w:r>
          </w:p>
          <w:p w14:paraId="1EC72E2D" w14:textId="2E39EDCB" w:rsidR="00835FC5" w:rsidRPr="00DC4889" w:rsidRDefault="00835FC5" w:rsidP="009A0F2F">
            <w:pPr>
              <w:pStyle w:val="TableReference"/>
              <w:tabs>
                <w:tab w:val="left" w:pos="3306"/>
              </w:tabs>
              <w:spacing w:before="40"/>
              <w:rPr>
                <w:rFonts w:cs="Calibri"/>
                <w:color w:val="7030A0"/>
                <w:sz w:val="16"/>
                <w:szCs w:val="16"/>
              </w:rPr>
            </w:pPr>
            <w:r w:rsidRPr="00DC4889">
              <w:rPr>
                <w:rFonts w:cs="Calibri"/>
                <w:color w:val="7030A0"/>
                <w:sz w:val="14"/>
              </w:rPr>
              <w:t>AASB 15.119(b)</w:t>
            </w:r>
          </w:p>
        </w:tc>
        <w:tc>
          <w:tcPr>
            <w:tcW w:w="4007" w:type="pct"/>
            <w:gridSpan w:val="9"/>
            <w:tcBorders>
              <w:top w:val="nil"/>
              <w:left w:val="single" w:sz="2" w:space="0" w:color="auto"/>
              <w:bottom w:val="nil"/>
              <w:right w:val="nil"/>
            </w:tcBorders>
            <w:shd w:val="clear" w:color="auto" w:fill="7030A0"/>
          </w:tcPr>
          <w:p w14:paraId="5A4330D0" w14:textId="4AEFD138" w:rsidR="00413F41" w:rsidRPr="00DC4889" w:rsidRDefault="00413F41" w:rsidP="00811723">
            <w:pPr>
              <w:pStyle w:val="CommentaryTitle"/>
              <w:spacing w:before="0" w:after="120"/>
              <w:jc w:val="both"/>
              <w:rPr>
                <w:rFonts w:cs="Calibri"/>
                <w:color w:val="FFFFFF" w:themeColor="background1"/>
                <w:sz w:val="18"/>
                <w:szCs w:val="18"/>
              </w:rPr>
            </w:pPr>
            <w:r w:rsidRPr="00DC4889">
              <w:rPr>
                <w:rFonts w:cs="Calibri"/>
                <w:b w:val="0"/>
                <w:bCs w:val="0"/>
                <w:color w:val="FFFFFF" w:themeColor="background1"/>
                <w:sz w:val="18"/>
                <w:szCs w:val="18"/>
              </w:rPr>
              <w:t>Agencies shall explain how the timing of the satisfaction of performance obligations relates to the typical timing of payment and the effect that those factors have on the contract liability. Quantitative information may be used.</w:t>
            </w:r>
          </w:p>
        </w:tc>
      </w:tr>
      <w:tr w:rsidR="00413F41" w:rsidRPr="00413F41" w14:paraId="2CC78FDD" w14:textId="77777777" w:rsidTr="00AE2F99">
        <w:trPr>
          <w:gridAfter w:val="2"/>
          <w:wAfter w:w="294" w:type="pct"/>
          <w:cantSplit/>
          <w:trHeight w:val="23"/>
        </w:trPr>
        <w:tc>
          <w:tcPr>
            <w:tcW w:w="699" w:type="pct"/>
            <w:tcBorders>
              <w:top w:val="nil"/>
              <w:left w:val="single" w:sz="2" w:space="0" w:color="auto"/>
              <w:bottom w:val="nil"/>
              <w:right w:val="single" w:sz="2" w:space="0" w:color="auto"/>
            </w:tcBorders>
          </w:tcPr>
          <w:p w14:paraId="4F643B6C" w14:textId="441E053F" w:rsidR="00413F41" w:rsidRPr="00DC4889" w:rsidRDefault="00413F41" w:rsidP="009A0F2F">
            <w:pPr>
              <w:pStyle w:val="TableReference"/>
              <w:tabs>
                <w:tab w:val="left" w:pos="3306"/>
              </w:tabs>
              <w:spacing w:before="40"/>
              <w:rPr>
                <w:rFonts w:cs="Calibri"/>
                <w:color w:val="7030A0"/>
                <w:sz w:val="14"/>
              </w:rPr>
            </w:pPr>
            <w:r w:rsidRPr="00DC4889">
              <w:rPr>
                <w:rFonts w:cs="Calibri"/>
                <w:color w:val="7030A0"/>
                <w:sz w:val="14"/>
              </w:rPr>
              <w:t>AASB</w:t>
            </w:r>
            <w:r w:rsidR="00835FC5" w:rsidRPr="00DC4889">
              <w:rPr>
                <w:rFonts w:cs="Calibri"/>
                <w:color w:val="7030A0"/>
                <w:sz w:val="14"/>
              </w:rPr>
              <w:t xml:space="preserve"> </w:t>
            </w:r>
            <w:r w:rsidRPr="00DC4889">
              <w:rPr>
                <w:rFonts w:cs="Calibri"/>
                <w:color w:val="7030A0"/>
                <w:sz w:val="14"/>
              </w:rPr>
              <w:t>15.118</w:t>
            </w:r>
          </w:p>
          <w:p w14:paraId="5348730D" w14:textId="77777777" w:rsidR="00413F41" w:rsidRPr="00DC4889" w:rsidRDefault="00413F41" w:rsidP="009A0F2F">
            <w:pPr>
              <w:pStyle w:val="TableReference"/>
              <w:tabs>
                <w:tab w:val="left" w:pos="3306"/>
              </w:tabs>
              <w:spacing w:before="40"/>
              <w:rPr>
                <w:rFonts w:cs="Calibri"/>
                <w:color w:val="7030A0"/>
                <w:sz w:val="16"/>
                <w:szCs w:val="16"/>
              </w:rPr>
            </w:pPr>
          </w:p>
        </w:tc>
        <w:tc>
          <w:tcPr>
            <w:tcW w:w="4007" w:type="pct"/>
            <w:gridSpan w:val="9"/>
            <w:tcBorders>
              <w:top w:val="nil"/>
              <w:left w:val="single" w:sz="2" w:space="0" w:color="auto"/>
              <w:bottom w:val="nil"/>
              <w:right w:val="nil"/>
            </w:tcBorders>
            <w:shd w:val="clear" w:color="auto" w:fill="7030A0"/>
          </w:tcPr>
          <w:p w14:paraId="1D72AB3E" w14:textId="172BA660" w:rsidR="00413F41" w:rsidRPr="00DC4889" w:rsidRDefault="00413F41" w:rsidP="008876A5">
            <w:pPr>
              <w:pStyle w:val="CommentaryTitle"/>
              <w:spacing w:before="0" w:after="40"/>
              <w:jc w:val="both"/>
              <w:rPr>
                <w:rFonts w:cs="Calibri"/>
                <w:b w:val="0"/>
                <w:bCs w:val="0"/>
                <w:color w:val="FFFFFF" w:themeColor="background1"/>
                <w:sz w:val="18"/>
                <w:szCs w:val="18"/>
              </w:rPr>
            </w:pPr>
            <w:r w:rsidRPr="00DC4889">
              <w:rPr>
                <w:rFonts w:cs="Calibri"/>
                <w:b w:val="0"/>
                <w:bCs w:val="0"/>
                <w:color w:val="FFFFFF" w:themeColor="background1"/>
                <w:sz w:val="18"/>
                <w:szCs w:val="18"/>
              </w:rPr>
              <w:t>Agencies should explain significant changes in the balances of contact liabilities.</w:t>
            </w:r>
            <w:r w:rsidR="00FA7C77">
              <w:rPr>
                <w:rFonts w:cs="Calibri"/>
                <w:b w:val="0"/>
                <w:bCs w:val="0"/>
                <w:color w:val="FFFFFF" w:themeColor="background1"/>
                <w:sz w:val="18"/>
                <w:szCs w:val="18"/>
              </w:rPr>
              <w:t xml:space="preserve"> </w:t>
            </w:r>
            <w:r w:rsidRPr="00DC4889">
              <w:rPr>
                <w:rFonts w:cs="Calibri"/>
                <w:b w:val="0"/>
                <w:bCs w:val="0"/>
                <w:color w:val="FFFFFF" w:themeColor="background1"/>
                <w:sz w:val="18"/>
                <w:szCs w:val="18"/>
              </w:rPr>
              <w:t>Reasons for this change may include:</w:t>
            </w:r>
          </w:p>
          <w:p w14:paraId="5320241E" w14:textId="77777777" w:rsidR="00413F41" w:rsidRPr="00C864E3" w:rsidRDefault="00413F41"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business combinations;</w:t>
            </w:r>
          </w:p>
          <w:p w14:paraId="13166E64" w14:textId="77777777" w:rsidR="00413F41" w:rsidRPr="00C864E3" w:rsidRDefault="00413F41"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DC4889">
              <w:rPr>
                <w:rFonts w:cs="Calibri"/>
                <w:color w:val="FFFFFF" w:themeColor="background1"/>
                <w:sz w:val="18"/>
                <w:szCs w:val="18"/>
              </w:rPr>
              <w:t>cumulative catch-ups, such as those arising from a change in the measure of progress, a change in an estimate of the transaction price or a modification; and</w:t>
            </w:r>
          </w:p>
          <w:p w14:paraId="5E959D7C" w14:textId="77777777" w:rsidR="00413F41" w:rsidRPr="00DC4889" w:rsidRDefault="00413F41" w:rsidP="007122BC">
            <w:pPr>
              <w:pStyle w:val="CommentaryText"/>
              <w:keepNext/>
              <w:keepLines/>
              <w:numPr>
                <w:ilvl w:val="0"/>
                <w:numId w:val="53"/>
              </w:numPr>
              <w:tabs>
                <w:tab w:val="left" w:pos="3306"/>
              </w:tabs>
              <w:ind w:left="459" w:hanging="357"/>
              <w:rPr>
                <w:rFonts w:cs="Calibri"/>
                <w:b/>
                <w:bCs/>
                <w:color w:val="FFFFFF" w:themeColor="background1"/>
                <w:sz w:val="18"/>
                <w:szCs w:val="18"/>
              </w:rPr>
            </w:pPr>
            <w:r w:rsidRPr="00DC4889">
              <w:rPr>
                <w:rFonts w:cs="Calibri"/>
                <w:color w:val="FFFFFF" w:themeColor="background1"/>
                <w:sz w:val="18"/>
                <w:szCs w:val="18"/>
              </w:rPr>
              <w:t>a change in timeframe – for performance obligations to be satisfied.</w:t>
            </w:r>
          </w:p>
        </w:tc>
      </w:tr>
      <w:tr w:rsidR="00761840" w:rsidRPr="00761840" w14:paraId="672957CD" w14:textId="77777777" w:rsidTr="00AE2F99">
        <w:trPr>
          <w:gridAfter w:val="3"/>
          <w:wAfter w:w="304" w:type="pct"/>
          <w:cantSplit/>
          <w:trHeight w:val="397"/>
        </w:trPr>
        <w:tc>
          <w:tcPr>
            <w:tcW w:w="699" w:type="pct"/>
            <w:tcBorders>
              <w:top w:val="nil"/>
              <w:left w:val="single" w:sz="2" w:space="0" w:color="auto"/>
              <w:bottom w:val="nil"/>
              <w:right w:val="single" w:sz="2" w:space="0" w:color="auto"/>
            </w:tcBorders>
          </w:tcPr>
          <w:p w14:paraId="5AE1E825" w14:textId="546E1072" w:rsidR="008B2EE6" w:rsidRPr="006E293E" w:rsidRDefault="008B2EE6" w:rsidP="008B2EE6">
            <w:pPr>
              <w:spacing w:before="240"/>
              <w:rPr>
                <w:rFonts w:cs="Calibri"/>
                <w:b/>
                <w:bCs/>
                <w:color w:val="7030A0"/>
                <w:szCs w:val="22"/>
              </w:rPr>
            </w:pPr>
          </w:p>
        </w:tc>
        <w:tc>
          <w:tcPr>
            <w:tcW w:w="3997" w:type="pct"/>
            <w:gridSpan w:val="8"/>
            <w:tcBorders>
              <w:top w:val="nil"/>
              <w:left w:val="single" w:sz="2" w:space="0" w:color="auto"/>
              <w:bottom w:val="nil"/>
              <w:right w:val="nil"/>
            </w:tcBorders>
          </w:tcPr>
          <w:p w14:paraId="2793AB8F" w14:textId="41641BB3" w:rsidR="008B2EE6" w:rsidRPr="00761840" w:rsidRDefault="00883A9F" w:rsidP="0053252F">
            <w:pPr>
              <w:pStyle w:val="Heading1"/>
              <w:numPr>
                <w:ilvl w:val="0"/>
                <w:numId w:val="0"/>
              </w:numPr>
              <w:ind w:left="1134" w:hanging="1134"/>
            </w:pPr>
            <w:bookmarkStart w:id="596" w:name="_Toc98763144"/>
            <w:r w:rsidRPr="00761840">
              <w:t xml:space="preserve">Note </w:t>
            </w:r>
            <w:r w:rsidR="00DE287B" w:rsidRPr="00761840">
              <w:t>25</w:t>
            </w:r>
            <w:r w:rsidRPr="00761840">
              <w:t>.</w:t>
            </w:r>
            <w:r w:rsidR="00FA7C77">
              <w:t xml:space="preserve"> </w:t>
            </w:r>
            <w:r w:rsidR="008B2EE6" w:rsidRPr="00761840">
              <w:t xml:space="preserve"> </w:t>
            </w:r>
            <w:r w:rsidR="005B0181" w:rsidRPr="00761840">
              <w:t>Borrowings</w:t>
            </w:r>
            <w:bookmarkEnd w:id="596"/>
          </w:p>
        </w:tc>
      </w:tr>
      <w:tr w:rsidR="00761840" w:rsidRPr="00761840" w14:paraId="16E830B0" w14:textId="77777777" w:rsidTr="00AE2F99">
        <w:trPr>
          <w:gridAfter w:val="3"/>
          <w:wAfter w:w="304" w:type="pct"/>
          <w:cantSplit/>
          <w:trHeight w:val="150"/>
        </w:trPr>
        <w:tc>
          <w:tcPr>
            <w:tcW w:w="699" w:type="pct"/>
            <w:tcBorders>
              <w:top w:val="nil"/>
              <w:left w:val="single" w:sz="2" w:space="0" w:color="auto"/>
              <w:bottom w:val="nil"/>
              <w:right w:val="single" w:sz="2" w:space="0" w:color="auto"/>
            </w:tcBorders>
          </w:tcPr>
          <w:p w14:paraId="0F261D47" w14:textId="77777777" w:rsidR="00A37AEC" w:rsidRPr="006E293E" w:rsidRDefault="00A37AEC" w:rsidP="00A37AEC">
            <w:pPr>
              <w:rPr>
                <w:rFonts w:cs="Calibri"/>
                <w:b/>
                <w:bCs/>
                <w:color w:val="7030A0"/>
                <w:sz w:val="20"/>
                <w:szCs w:val="20"/>
              </w:rPr>
            </w:pPr>
          </w:p>
        </w:tc>
        <w:tc>
          <w:tcPr>
            <w:tcW w:w="3997" w:type="pct"/>
            <w:gridSpan w:val="8"/>
            <w:tcBorders>
              <w:top w:val="nil"/>
              <w:left w:val="single" w:sz="2" w:space="0" w:color="auto"/>
              <w:bottom w:val="nil"/>
              <w:right w:val="nil"/>
            </w:tcBorders>
          </w:tcPr>
          <w:p w14:paraId="443DEE35" w14:textId="33C01CB4" w:rsidR="00A37AEC" w:rsidRPr="00761840" w:rsidRDefault="00393E62" w:rsidP="00A37AEC">
            <w:pPr>
              <w:jc w:val="both"/>
              <w:rPr>
                <w:b/>
                <w:bCs/>
                <w:sz w:val="18"/>
                <w:szCs w:val="18"/>
              </w:rPr>
            </w:pPr>
            <w:r w:rsidRPr="00761840">
              <w:rPr>
                <w:b/>
                <w:bCs/>
                <w:sz w:val="18"/>
                <w:szCs w:val="18"/>
              </w:rPr>
              <w:t xml:space="preserve">Description and Material Accounting Policies Relating to </w:t>
            </w:r>
            <w:r w:rsidR="007001C1" w:rsidRPr="00761840">
              <w:rPr>
                <w:b/>
                <w:bCs/>
                <w:sz w:val="18"/>
                <w:szCs w:val="18"/>
              </w:rPr>
              <w:t>Borrowings</w:t>
            </w:r>
          </w:p>
        </w:tc>
      </w:tr>
      <w:tr w:rsidR="00761840" w:rsidRPr="00761840" w14:paraId="7D91FAEF"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4CE60C58" w14:textId="77777777" w:rsidR="00393E62" w:rsidRPr="006E293E" w:rsidRDefault="00393E62" w:rsidP="008B2EE6">
            <w:pPr>
              <w:rPr>
                <w:rFonts w:cs="Calibri"/>
                <w:color w:val="7030A0"/>
                <w:sz w:val="14"/>
                <w:szCs w:val="14"/>
              </w:rPr>
            </w:pPr>
          </w:p>
        </w:tc>
        <w:tc>
          <w:tcPr>
            <w:tcW w:w="3997" w:type="pct"/>
            <w:gridSpan w:val="8"/>
            <w:tcBorders>
              <w:top w:val="nil"/>
              <w:left w:val="single" w:sz="2" w:space="0" w:color="auto"/>
              <w:bottom w:val="nil"/>
              <w:right w:val="nil"/>
            </w:tcBorders>
          </w:tcPr>
          <w:p w14:paraId="30746D4D" w14:textId="2488B677" w:rsidR="00393E62" w:rsidRPr="00761840" w:rsidRDefault="00393E62" w:rsidP="00393E62">
            <w:pPr>
              <w:spacing w:before="120"/>
              <w:jc w:val="both"/>
              <w:rPr>
                <w:rFonts w:cs="Calibri"/>
                <w:i/>
                <w:iCs/>
                <w:sz w:val="18"/>
                <w:szCs w:val="18"/>
              </w:rPr>
            </w:pPr>
            <w:r w:rsidRPr="00761840">
              <w:rPr>
                <w:rFonts w:cs="Calibri"/>
                <w:i/>
                <w:iCs/>
                <w:sz w:val="18"/>
                <w:szCs w:val="18"/>
              </w:rPr>
              <w:t>ACT Government borrowings and Commonwealth Government borrowings</w:t>
            </w:r>
          </w:p>
        </w:tc>
      </w:tr>
      <w:tr w:rsidR="00761840" w:rsidRPr="00761840" w14:paraId="2BA37390"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4DC68A79" w14:textId="77777777" w:rsidR="00960275" w:rsidRPr="006E293E" w:rsidRDefault="00960275" w:rsidP="008B2EE6">
            <w:pPr>
              <w:rPr>
                <w:rFonts w:cs="Calibri"/>
                <w:strike/>
                <w:color w:val="7030A0"/>
                <w:sz w:val="14"/>
                <w:szCs w:val="14"/>
              </w:rPr>
            </w:pPr>
          </w:p>
        </w:tc>
        <w:tc>
          <w:tcPr>
            <w:tcW w:w="3997" w:type="pct"/>
            <w:gridSpan w:val="8"/>
            <w:tcBorders>
              <w:top w:val="nil"/>
              <w:left w:val="single" w:sz="2" w:space="0" w:color="auto"/>
              <w:bottom w:val="nil"/>
              <w:right w:val="nil"/>
            </w:tcBorders>
          </w:tcPr>
          <w:p w14:paraId="54BB2C68" w14:textId="1AEA806B" w:rsidR="00960275" w:rsidRPr="00761840" w:rsidRDefault="00960275" w:rsidP="00960275">
            <w:pPr>
              <w:spacing w:after="120"/>
              <w:jc w:val="both"/>
              <w:rPr>
                <w:rFonts w:cs="Calibri"/>
                <w:sz w:val="18"/>
                <w:szCs w:val="18"/>
              </w:rPr>
            </w:pPr>
            <w:r w:rsidRPr="00761840">
              <w:rPr>
                <w:rFonts w:cs="Calibri"/>
                <w:sz w:val="18"/>
                <w:szCs w:val="18"/>
              </w:rPr>
              <w:t xml:space="preserve">Interest-bearing borrowing liabilities comprise short and long-term debt </w:t>
            </w:r>
            <w:r w:rsidR="00A4259B" w:rsidRPr="00761840">
              <w:rPr>
                <w:rFonts w:cs="Calibri"/>
                <w:sz w:val="18"/>
                <w:szCs w:val="18"/>
              </w:rPr>
              <w:t>securities</w:t>
            </w:r>
            <w:r w:rsidRPr="00761840">
              <w:rPr>
                <w:rFonts w:cs="Calibri"/>
                <w:sz w:val="18"/>
                <w:szCs w:val="18"/>
              </w:rPr>
              <w:t xml:space="preserve"> issued by the Territory and Commonwealth Government loans assigned by the Commonwealth at the time of self-government.</w:t>
            </w:r>
          </w:p>
        </w:tc>
      </w:tr>
      <w:tr w:rsidR="00761840" w:rsidRPr="00761840" w14:paraId="73937F50"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50616796" w14:textId="77777777" w:rsidR="00393E62" w:rsidRPr="006E293E" w:rsidRDefault="00393E62" w:rsidP="00393E62">
            <w:pPr>
              <w:rPr>
                <w:color w:val="7030A0"/>
                <w:sz w:val="14"/>
                <w:szCs w:val="14"/>
              </w:rPr>
            </w:pPr>
            <w:r w:rsidRPr="006E293E">
              <w:rPr>
                <w:color w:val="7030A0"/>
                <w:sz w:val="14"/>
                <w:szCs w:val="14"/>
              </w:rPr>
              <w:t xml:space="preserve">AASB 7.21, </w:t>
            </w:r>
          </w:p>
          <w:p w14:paraId="2A028293" w14:textId="724B5DFB" w:rsidR="00393E62" w:rsidRPr="006E293E" w:rsidRDefault="00393E62" w:rsidP="00393E62">
            <w:pPr>
              <w:rPr>
                <w:rFonts w:cs="Calibri"/>
                <w:color w:val="7030A0"/>
                <w:sz w:val="14"/>
                <w:szCs w:val="14"/>
              </w:rPr>
            </w:pPr>
            <w:r w:rsidRPr="006E293E">
              <w:rPr>
                <w:color w:val="7030A0"/>
                <w:sz w:val="14"/>
                <w:szCs w:val="14"/>
              </w:rPr>
              <w:t>AASB 123.6(a)</w:t>
            </w:r>
          </w:p>
        </w:tc>
        <w:tc>
          <w:tcPr>
            <w:tcW w:w="3997" w:type="pct"/>
            <w:gridSpan w:val="8"/>
            <w:tcBorders>
              <w:top w:val="nil"/>
              <w:left w:val="single" w:sz="2" w:space="0" w:color="auto"/>
              <w:bottom w:val="nil"/>
              <w:right w:val="nil"/>
            </w:tcBorders>
          </w:tcPr>
          <w:p w14:paraId="3D57FD0C" w14:textId="50C25497" w:rsidR="00393E62" w:rsidRPr="00761840" w:rsidRDefault="00393E62" w:rsidP="00393E62">
            <w:pPr>
              <w:jc w:val="both"/>
              <w:rPr>
                <w:rFonts w:cs="Calibri"/>
                <w:sz w:val="18"/>
                <w:szCs w:val="18"/>
              </w:rPr>
            </w:pPr>
            <w:r w:rsidRPr="00761840">
              <w:rPr>
                <w:rFonts w:cs="Calibri"/>
                <w:sz w:val="18"/>
                <w:szCs w:val="18"/>
              </w:rPr>
              <w:t>Both ACT Government and Commonwealth Government Borrowings are financial liabilities and are measured at the fair value of the consideration received when initially recognised and at amortised cost subsequent to initial recognition, with any adjustments to the carrying amount being recorded in the Operating Statement.</w:t>
            </w:r>
            <w:r w:rsidR="00FA7C77">
              <w:rPr>
                <w:rFonts w:cs="Calibri"/>
                <w:sz w:val="18"/>
                <w:szCs w:val="18"/>
              </w:rPr>
              <w:t xml:space="preserve"> </w:t>
            </w:r>
            <w:r w:rsidRPr="00761840">
              <w:rPr>
                <w:rFonts w:cs="Calibri"/>
                <w:sz w:val="18"/>
                <w:szCs w:val="18"/>
              </w:rPr>
              <w:t>The associated interest expense is recognised in the reporting period in which it occurs</w:t>
            </w:r>
            <w:r w:rsidR="003D52C2" w:rsidRPr="00761840">
              <w:rPr>
                <w:rFonts w:cs="Calibri"/>
                <w:sz w:val="18"/>
                <w:szCs w:val="18"/>
              </w:rPr>
              <w:t>.</w:t>
            </w:r>
          </w:p>
        </w:tc>
      </w:tr>
      <w:tr w:rsidR="00761840" w:rsidRPr="00761840" w14:paraId="23BFAE30"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2F06BB81" w14:textId="058B62E5" w:rsidR="00393E62" w:rsidRPr="006E293E" w:rsidRDefault="00393E62" w:rsidP="00393E62">
            <w:pPr>
              <w:rPr>
                <w:rFonts w:cs="Calibri"/>
                <w:color w:val="7030A0"/>
                <w:sz w:val="14"/>
                <w:szCs w:val="14"/>
              </w:rPr>
            </w:pPr>
          </w:p>
        </w:tc>
        <w:tc>
          <w:tcPr>
            <w:tcW w:w="3997" w:type="pct"/>
            <w:gridSpan w:val="8"/>
            <w:tcBorders>
              <w:top w:val="nil"/>
              <w:left w:val="single" w:sz="2" w:space="0" w:color="auto"/>
              <w:bottom w:val="nil"/>
              <w:right w:val="nil"/>
            </w:tcBorders>
          </w:tcPr>
          <w:p w14:paraId="30540E91" w14:textId="08057DF8" w:rsidR="00393E62" w:rsidRPr="00761840" w:rsidRDefault="00393E62" w:rsidP="00393E62">
            <w:pPr>
              <w:spacing w:before="120"/>
              <w:jc w:val="both"/>
              <w:rPr>
                <w:rFonts w:cs="Calibri"/>
                <w:i/>
                <w:iCs/>
                <w:sz w:val="18"/>
                <w:szCs w:val="18"/>
              </w:rPr>
            </w:pPr>
            <w:r w:rsidRPr="00761840">
              <w:rPr>
                <w:rFonts w:cs="Calibri"/>
                <w:i/>
                <w:iCs/>
                <w:sz w:val="18"/>
                <w:szCs w:val="18"/>
              </w:rPr>
              <w:t>Service Concession Arrangement Liability</w:t>
            </w:r>
          </w:p>
        </w:tc>
      </w:tr>
      <w:tr w:rsidR="00761840" w:rsidRPr="00761840" w14:paraId="4655E298"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503A6CFF" w14:textId="77777777" w:rsidR="001A4985" w:rsidRPr="006E293E" w:rsidRDefault="001A4985" w:rsidP="00393E62">
            <w:pPr>
              <w:rPr>
                <w:color w:val="7030A0"/>
                <w:sz w:val="14"/>
                <w:szCs w:val="14"/>
              </w:rPr>
            </w:pPr>
          </w:p>
        </w:tc>
        <w:tc>
          <w:tcPr>
            <w:tcW w:w="3997" w:type="pct"/>
            <w:gridSpan w:val="8"/>
            <w:tcBorders>
              <w:top w:val="nil"/>
              <w:left w:val="single" w:sz="2" w:space="0" w:color="auto"/>
              <w:bottom w:val="nil"/>
              <w:right w:val="nil"/>
            </w:tcBorders>
          </w:tcPr>
          <w:p w14:paraId="6C7457B6" w14:textId="4DFF49FC" w:rsidR="001A4985" w:rsidRPr="00761840" w:rsidRDefault="001A4985" w:rsidP="00393E62">
            <w:pPr>
              <w:spacing w:after="120"/>
              <w:jc w:val="both"/>
              <w:rPr>
                <w:sz w:val="18"/>
                <w:szCs w:val="18"/>
              </w:rPr>
            </w:pPr>
            <w:r w:rsidRPr="00761840">
              <w:rPr>
                <w:sz w:val="18"/>
                <w:szCs w:val="18"/>
              </w:rPr>
              <w:t>In 2016 ‘</w:t>
            </w:r>
            <w:r w:rsidR="00420F3A" w:rsidRPr="00761840">
              <w:rPr>
                <w:sz w:val="18"/>
                <w:szCs w:val="18"/>
              </w:rPr>
              <w:t>Burley Griffin</w:t>
            </w:r>
            <w:r w:rsidRPr="00761840">
              <w:rPr>
                <w:sz w:val="18"/>
                <w:szCs w:val="18"/>
              </w:rPr>
              <w:t xml:space="preserve"> Agency’ entered in a service concession arrangement with ‘Example Metro’ to construct, deliver, maintain and operate light rail infrastructure assets, light rail plant and equipment, and light rail building assets over the term of the contract.</w:t>
            </w:r>
            <w:r w:rsidR="00FA7C77">
              <w:rPr>
                <w:sz w:val="18"/>
                <w:szCs w:val="18"/>
              </w:rPr>
              <w:t xml:space="preserve"> </w:t>
            </w:r>
            <w:r w:rsidRPr="00761840">
              <w:rPr>
                <w:sz w:val="18"/>
                <w:szCs w:val="18"/>
              </w:rPr>
              <w:t>As part of these arrangements ‘</w:t>
            </w:r>
            <w:r w:rsidR="00420F3A" w:rsidRPr="00761840">
              <w:rPr>
                <w:sz w:val="18"/>
                <w:szCs w:val="18"/>
              </w:rPr>
              <w:t>Burley Griffin</w:t>
            </w:r>
            <w:r w:rsidRPr="00761840">
              <w:rPr>
                <w:sz w:val="18"/>
                <w:szCs w:val="18"/>
              </w:rPr>
              <w:t xml:space="preserve"> Agency’ has taken up a service concession arrangement liability.</w:t>
            </w:r>
            <w:r w:rsidR="00FA7C77">
              <w:rPr>
                <w:sz w:val="18"/>
                <w:szCs w:val="18"/>
              </w:rPr>
              <w:t xml:space="preserve"> </w:t>
            </w:r>
            <w:r w:rsidRPr="00761840">
              <w:rPr>
                <w:sz w:val="18"/>
                <w:szCs w:val="18"/>
              </w:rPr>
              <w:t xml:space="preserve">For more information in relation to service concession arrangements refer to Note </w:t>
            </w:r>
            <w:r w:rsidR="00B823E0">
              <w:rPr>
                <w:sz w:val="18"/>
                <w:szCs w:val="18"/>
              </w:rPr>
              <w:t>39</w:t>
            </w:r>
            <w:r w:rsidRPr="00761840">
              <w:rPr>
                <w:sz w:val="18"/>
                <w:szCs w:val="18"/>
              </w:rPr>
              <w:t xml:space="preserve"> </w:t>
            </w:r>
            <w:r w:rsidRPr="00B823E0">
              <w:rPr>
                <w:i/>
                <w:iCs/>
                <w:sz w:val="18"/>
                <w:szCs w:val="18"/>
              </w:rPr>
              <w:t>Service Concession Arrangement</w:t>
            </w:r>
            <w:r w:rsidR="00AB1649">
              <w:rPr>
                <w:i/>
                <w:iCs/>
                <w:sz w:val="18"/>
                <w:szCs w:val="18"/>
              </w:rPr>
              <w:t>s</w:t>
            </w:r>
            <w:r w:rsidRPr="00761840">
              <w:rPr>
                <w:sz w:val="18"/>
                <w:szCs w:val="18"/>
              </w:rPr>
              <w:t>.</w:t>
            </w:r>
          </w:p>
        </w:tc>
      </w:tr>
      <w:tr w:rsidR="00761840" w:rsidRPr="00761840" w14:paraId="5CC066F4"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0253E2D0" w14:textId="32D6A85F" w:rsidR="00393E62" w:rsidRPr="006E293E" w:rsidRDefault="00393E62" w:rsidP="00393E62">
            <w:pPr>
              <w:rPr>
                <w:color w:val="7030A0"/>
                <w:sz w:val="14"/>
                <w:szCs w:val="14"/>
              </w:rPr>
            </w:pPr>
            <w:r w:rsidRPr="006E293E">
              <w:rPr>
                <w:color w:val="7030A0"/>
                <w:sz w:val="14"/>
                <w:szCs w:val="14"/>
              </w:rPr>
              <w:t>AASB 1059.11, 12 &amp; 15</w:t>
            </w:r>
          </w:p>
        </w:tc>
        <w:tc>
          <w:tcPr>
            <w:tcW w:w="3997" w:type="pct"/>
            <w:gridSpan w:val="8"/>
            <w:tcBorders>
              <w:top w:val="nil"/>
              <w:left w:val="single" w:sz="2" w:space="0" w:color="auto"/>
              <w:bottom w:val="nil"/>
              <w:right w:val="nil"/>
            </w:tcBorders>
          </w:tcPr>
          <w:p w14:paraId="6730F8A9" w14:textId="61205F63" w:rsidR="00393E62" w:rsidRPr="00761840" w:rsidRDefault="00393E62" w:rsidP="00393E62">
            <w:pPr>
              <w:spacing w:after="120"/>
              <w:jc w:val="both"/>
              <w:rPr>
                <w:rFonts w:cs="Calibri"/>
                <w:sz w:val="18"/>
                <w:szCs w:val="18"/>
              </w:rPr>
            </w:pPr>
            <w:r w:rsidRPr="00761840">
              <w:rPr>
                <w:sz w:val="18"/>
                <w:szCs w:val="18"/>
              </w:rPr>
              <w:t>A service concession liability is initially recognised as a financial liability where the grantor has a contractual obligation to make specified or determinable future payments to the operator for the construction, development, acquisition or upgrade of a service concession asset.</w:t>
            </w:r>
            <w:r w:rsidR="00FA7C77">
              <w:rPr>
                <w:sz w:val="18"/>
                <w:szCs w:val="18"/>
              </w:rPr>
              <w:t xml:space="preserve"> </w:t>
            </w:r>
            <w:r w:rsidRPr="00761840">
              <w:rPr>
                <w:sz w:val="18"/>
                <w:szCs w:val="18"/>
              </w:rPr>
              <w:t>The service concession financial liability is recognised at the same time as recognising or reclassifying a service concession asset.</w:t>
            </w:r>
            <w:r w:rsidR="00FA7C77">
              <w:rPr>
                <w:sz w:val="18"/>
                <w:szCs w:val="18"/>
              </w:rPr>
              <w:t xml:space="preserve"> </w:t>
            </w:r>
            <w:r w:rsidRPr="00761840">
              <w:rPr>
                <w:sz w:val="18"/>
                <w:szCs w:val="18"/>
              </w:rPr>
              <w:t>The service concession financial liability is initially measured at the same amount as the asset, adjusted for any other consideration exchanged between ‘</w:t>
            </w:r>
            <w:r w:rsidR="00420F3A" w:rsidRPr="00761840">
              <w:rPr>
                <w:sz w:val="18"/>
                <w:szCs w:val="18"/>
              </w:rPr>
              <w:t>Burley Griffin</w:t>
            </w:r>
            <w:r w:rsidRPr="00761840">
              <w:rPr>
                <w:sz w:val="18"/>
                <w:szCs w:val="18"/>
              </w:rPr>
              <w:t xml:space="preserve"> Agency’ and the operator.</w:t>
            </w:r>
          </w:p>
        </w:tc>
      </w:tr>
      <w:tr w:rsidR="00761840" w:rsidRPr="00761840" w14:paraId="47DFE05C"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48BE4648" w14:textId="40D61FB0" w:rsidR="00393E62" w:rsidRPr="006E293E" w:rsidRDefault="00393E62" w:rsidP="00393E62">
            <w:pPr>
              <w:rPr>
                <w:color w:val="7030A0"/>
                <w:sz w:val="14"/>
                <w:szCs w:val="14"/>
              </w:rPr>
            </w:pPr>
            <w:r w:rsidRPr="006E293E">
              <w:rPr>
                <w:color w:val="7030A0"/>
                <w:sz w:val="14"/>
                <w:szCs w:val="14"/>
              </w:rPr>
              <w:t>AASB 1059.B73 &amp; B74</w:t>
            </w:r>
          </w:p>
        </w:tc>
        <w:tc>
          <w:tcPr>
            <w:tcW w:w="3997" w:type="pct"/>
            <w:gridSpan w:val="8"/>
            <w:tcBorders>
              <w:top w:val="nil"/>
              <w:left w:val="single" w:sz="2" w:space="0" w:color="auto"/>
              <w:bottom w:val="nil"/>
              <w:right w:val="nil"/>
            </w:tcBorders>
          </w:tcPr>
          <w:p w14:paraId="469B1E22" w14:textId="51B429B2" w:rsidR="00393E62" w:rsidRPr="00761840" w:rsidRDefault="00393E62" w:rsidP="00393E62">
            <w:pPr>
              <w:spacing w:after="120"/>
              <w:jc w:val="both"/>
              <w:rPr>
                <w:sz w:val="18"/>
                <w:szCs w:val="18"/>
              </w:rPr>
            </w:pPr>
            <w:r w:rsidRPr="00761840">
              <w:rPr>
                <w:sz w:val="18"/>
                <w:szCs w:val="18"/>
              </w:rPr>
              <w:t>Where a service concession arrangement involves both payments to the operator and a grant of a right to the operator (Hybrid Arrangement), then ‘</w:t>
            </w:r>
            <w:r w:rsidR="00420F3A" w:rsidRPr="00761840">
              <w:rPr>
                <w:sz w:val="18"/>
                <w:szCs w:val="18"/>
              </w:rPr>
              <w:t>Burley Griffin</w:t>
            </w:r>
            <w:r w:rsidRPr="00761840">
              <w:rPr>
                <w:sz w:val="18"/>
                <w:szCs w:val="18"/>
              </w:rPr>
              <w:t xml:space="preserve"> Agency’ recognises both a financial liability and an unearned revenue liability.</w:t>
            </w:r>
            <w:r w:rsidR="00FA7C77">
              <w:rPr>
                <w:sz w:val="18"/>
                <w:szCs w:val="18"/>
              </w:rPr>
              <w:t xml:space="preserve"> </w:t>
            </w:r>
            <w:r w:rsidRPr="00761840">
              <w:rPr>
                <w:sz w:val="18"/>
                <w:szCs w:val="18"/>
              </w:rPr>
              <w:t>The financial liability part is measured first, with the remainder of the total liability (ie amount of the service concession asset) allocated to the unearned revenue liability.</w:t>
            </w:r>
            <w:r w:rsidR="00FA7C77">
              <w:rPr>
                <w:sz w:val="18"/>
                <w:szCs w:val="18"/>
              </w:rPr>
              <w:t xml:space="preserve"> </w:t>
            </w:r>
            <w:r w:rsidRPr="00761840">
              <w:rPr>
                <w:sz w:val="18"/>
                <w:szCs w:val="18"/>
              </w:rPr>
              <w:t>The financial liability portion is calculated by discounting future payments using the contractually specified interest rate or otherwise a prevailing market rate for a similar instrument with a similar credit rating.</w:t>
            </w:r>
          </w:p>
        </w:tc>
      </w:tr>
      <w:tr w:rsidR="00761840" w:rsidRPr="00761840" w14:paraId="183D1C1B"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352D7DFC" w14:textId="6CBFB971" w:rsidR="005D580D" w:rsidRPr="006E293E" w:rsidRDefault="005D580D" w:rsidP="00393E62">
            <w:pPr>
              <w:rPr>
                <w:color w:val="7030A0"/>
                <w:sz w:val="14"/>
                <w:szCs w:val="14"/>
              </w:rPr>
            </w:pPr>
            <w:r w:rsidRPr="006E293E">
              <w:rPr>
                <w:rFonts w:cs="Calibri"/>
                <w:color w:val="7030A0"/>
                <w:sz w:val="14"/>
                <w:szCs w:val="14"/>
              </w:rPr>
              <w:t>ACT Accounting Policy</w:t>
            </w:r>
          </w:p>
        </w:tc>
        <w:tc>
          <w:tcPr>
            <w:tcW w:w="3997" w:type="pct"/>
            <w:gridSpan w:val="8"/>
            <w:tcBorders>
              <w:top w:val="nil"/>
              <w:left w:val="single" w:sz="2" w:space="0" w:color="auto"/>
              <w:bottom w:val="nil"/>
              <w:right w:val="nil"/>
            </w:tcBorders>
          </w:tcPr>
          <w:p w14:paraId="2D4702A4" w14:textId="729AA074" w:rsidR="005D580D" w:rsidRPr="00761840" w:rsidRDefault="005D580D" w:rsidP="00393E62">
            <w:pPr>
              <w:spacing w:after="120"/>
              <w:jc w:val="both"/>
              <w:rPr>
                <w:sz w:val="18"/>
                <w:szCs w:val="18"/>
              </w:rPr>
            </w:pPr>
            <w:r w:rsidRPr="00761840">
              <w:rPr>
                <w:sz w:val="18"/>
                <w:szCs w:val="18"/>
              </w:rPr>
              <w:t xml:space="preserve">All </w:t>
            </w:r>
            <w:r w:rsidR="00640BD8" w:rsidRPr="00761840">
              <w:rPr>
                <w:sz w:val="18"/>
                <w:szCs w:val="18"/>
              </w:rPr>
              <w:t xml:space="preserve">borrowings </w:t>
            </w:r>
            <w:r w:rsidRPr="00761840">
              <w:rPr>
                <w:sz w:val="18"/>
                <w:szCs w:val="18"/>
              </w:rPr>
              <w:t>of ‘Burley Griffin Agency’ are unsecured.</w:t>
            </w:r>
          </w:p>
        </w:tc>
      </w:tr>
      <w:tr w:rsidR="00761840" w:rsidRPr="00761840" w14:paraId="396FA646"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62232A87" w14:textId="77777777" w:rsidR="00393E62" w:rsidRPr="006E293E" w:rsidRDefault="00393E62" w:rsidP="00393E62">
            <w:pPr>
              <w:rPr>
                <w:color w:val="7030A0"/>
                <w:sz w:val="14"/>
                <w:szCs w:val="14"/>
              </w:rPr>
            </w:pPr>
          </w:p>
        </w:tc>
        <w:tc>
          <w:tcPr>
            <w:tcW w:w="3997" w:type="pct"/>
            <w:gridSpan w:val="8"/>
            <w:tcBorders>
              <w:top w:val="nil"/>
              <w:left w:val="single" w:sz="2" w:space="0" w:color="auto"/>
              <w:bottom w:val="nil"/>
              <w:right w:val="nil"/>
            </w:tcBorders>
          </w:tcPr>
          <w:p w14:paraId="7A235B39" w14:textId="3EBCB1DC" w:rsidR="00393E62" w:rsidRPr="00761840" w:rsidRDefault="00393E62" w:rsidP="00393E62">
            <w:pPr>
              <w:jc w:val="both"/>
              <w:rPr>
                <w:sz w:val="18"/>
                <w:szCs w:val="18"/>
              </w:rPr>
            </w:pPr>
          </w:p>
        </w:tc>
      </w:tr>
      <w:tr w:rsidR="00761840" w:rsidRPr="00761840" w14:paraId="31CEF05C"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381A3EEC"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61ECA957" w14:textId="77777777" w:rsidR="00393E62" w:rsidRPr="00761840" w:rsidRDefault="00393E62" w:rsidP="00393E62">
            <w:pPr>
              <w:rPr>
                <w:rFonts w:cs="Calibri"/>
                <w:b/>
                <w:bCs/>
                <w:sz w:val="18"/>
                <w:szCs w:val="18"/>
              </w:rPr>
            </w:pPr>
          </w:p>
        </w:tc>
        <w:tc>
          <w:tcPr>
            <w:tcW w:w="654" w:type="pct"/>
            <w:gridSpan w:val="2"/>
            <w:tcBorders>
              <w:top w:val="nil"/>
              <w:left w:val="nil"/>
              <w:bottom w:val="nil"/>
              <w:right w:val="nil"/>
            </w:tcBorders>
            <w:vAlign w:val="bottom"/>
          </w:tcPr>
          <w:p w14:paraId="22676DC2" w14:textId="77777777" w:rsidR="00C87392" w:rsidRDefault="00393E62" w:rsidP="00393E62">
            <w:pPr>
              <w:jc w:val="right"/>
              <w:rPr>
                <w:rFonts w:cs="Calibri"/>
                <w:b/>
                <w:bCs/>
                <w:sz w:val="18"/>
                <w:szCs w:val="18"/>
              </w:rPr>
            </w:pPr>
            <w:r w:rsidRPr="00761840">
              <w:rPr>
                <w:rFonts w:cs="Calibri"/>
                <w:b/>
                <w:bCs/>
                <w:sz w:val="18"/>
                <w:szCs w:val="18"/>
              </w:rPr>
              <w:t>2022</w:t>
            </w:r>
            <w:r w:rsidR="00FA7C77">
              <w:rPr>
                <w:rFonts w:cs="Calibri"/>
                <w:b/>
                <w:bCs/>
                <w:sz w:val="18"/>
                <w:szCs w:val="18"/>
              </w:rPr>
              <w:t xml:space="preserve">      </w:t>
            </w:r>
          </w:p>
          <w:p w14:paraId="02143DD1" w14:textId="73CD3497" w:rsidR="00393E62" w:rsidRPr="00761840" w:rsidRDefault="00393E62" w:rsidP="00393E62">
            <w:pPr>
              <w:jc w:val="right"/>
              <w:rPr>
                <w:rFonts w:cs="Calibri"/>
                <w:b/>
                <w:bCs/>
                <w:sz w:val="18"/>
                <w:szCs w:val="18"/>
              </w:rPr>
            </w:pPr>
            <w:r w:rsidRPr="00761840">
              <w:rPr>
                <w:rFonts w:cs="Calibri"/>
                <w:b/>
                <w:bCs/>
                <w:sz w:val="18"/>
                <w:szCs w:val="18"/>
              </w:rPr>
              <w:t>$’000</w:t>
            </w:r>
          </w:p>
        </w:tc>
        <w:tc>
          <w:tcPr>
            <w:tcW w:w="679" w:type="pct"/>
            <w:gridSpan w:val="4"/>
            <w:tcBorders>
              <w:top w:val="nil"/>
              <w:left w:val="nil"/>
              <w:bottom w:val="nil"/>
              <w:right w:val="nil"/>
            </w:tcBorders>
            <w:vAlign w:val="bottom"/>
          </w:tcPr>
          <w:p w14:paraId="5D9430B9" w14:textId="326FB39B" w:rsidR="00393E62" w:rsidRPr="00761840" w:rsidRDefault="00393E62" w:rsidP="00393E62">
            <w:pPr>
              <w:jc w:val="right"/>
              <w:rPr>
                <w:rFonts w:cs="Calibri"/>
                <w:b/>
                <w:bCs/>
                <w:sz w:val="18"/>
                <w:szCs w:val="18"/>
              </w:rPr>
            </w:pPr>
            <w:r w:rsidRPr="00761840">
              <w:rPr>
                <w:rFonts w:cs="Calibri"/>
                <w:b/>
                <w:bCs/>
                <w:sz w:val="18"/>
                <w:szCs w:val="18"/>
              </w:rPr>
              <w:t>2021</w:t>
            </w:r>
          </w:p>
          <w:p w14:paraId="191E1316" w14:textId="77777777" w:rsidR="00393E62" w:rsidRPr="00761840" w:rsidRDefault="00393E62" w:rsidP="00393E62">
            <w:pPr>
              <w:jc w:val="right"/>
              <w:rPr>
                <w:rFonts w:cs="Calibri"/>
                <w:b/>
                <w:bCs/>
                <w:sz w:val="18"/>
                <w:szCs w:val="18"/>
              </w:rPr>
            </w:pPr>
            <w:r w:rsidRPr="00761840">
              <w:rPr>
                <w:rFonts w:cs="Calibri"/>
                <w:b/>
                <w:bCs/>
                <w:sz w:val="18"/>
                <w:szCs w:val="18"/>
              </w:rPr>
              <w:t>$’000</w:t>
            </w:r>
          </w:p>
        </w:tc>
      </w:tr>
      <w:tr w:rsidR="00761840" w:rsidRPr="00761840" w14:paraId="4BB85BA4"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0C559FE2" w14:textId="77777777" w:rsidR="00393E62" w:rsidRPr="006E293E" w:rsidRDefault="00393E62" w:rsidP="00393E62">
            <w:pPr>
              <w:rPr>
                <w:rFonts w:cs="Calibri"/>
                <w:color w:val="7030A0"/>
                <w:sz w:val="14"/>
                <w:szCs w:val="14"/>
              </w:rPr>
            </w:pPr>
            <w:r w:rsidRPr="006E293E">
              <w:rPr>
                <w:rFonts w:cs="Calibri"/>
                <w:color w:val="7030A0"/>
                <w:sz w:val="14"/>
                <w:szCs w:val="14"/>
              </w:rPr>
              <w:t>AASB101.77</w:t>
            </w:r>
          </w:p>
          <w:p w14:paraId="6AE7CA31" w14:textId="002E53E8" w:rsidR="00393E62" w:rsidRPr="006E293E" w:rsidRDefault="00393E62" w:rsidP="00393E62">
            <w:pPr>
              <w:rPr>
                <w:rFonts w:cs="Calibri"/>
                <w:color w:val="7030A0"/>
                <w:sz w:val="14"/>
                <w:szCs w:val="14"/>
              </w:rPr>
            </w:pPr>
            <w:r w:rsidRPr="006E293E">
              <w:rPr>
                <w:rFonts w:cs="Calibri"/>
                <w:color w:val="7030A0"/>
                <w:sz w:val="14"/>
                <w:szCs w:val="14"/>
              </w:rPr>
              <w:t>ACT Disclosure Policy</w:t>
            </w:r>
          </w:p>
        </w:tc>
        <w:tc>
          <w:tcPr>
            <w:tcW w:w="2664" w:type="pct"/>
            <w:gridSpan w:val="2"/>
            <w:tcBorders>
              <w:top w:val="nil"/>
              <w:left w:val="single" w:sz="2" w:space="0" w:color="auto"/>
              <w:bottom w:val="nil"/>
              <w:right w:val="nil"/>
            </w:tcBorders>
          </w:tcPr>
          <w:p w14:paraId="5944B2A9" w14:textId="335F8757" w:rsidR="00393E62" w:rsidRPr="00761840" w:rsidRDefault="00393E62" w:rsidP="00393E62">
            <w:pPr>
              <w:rPr>
                <w:rFonts w:cs="Calibri"/>
                <w:b/>
                <w:bCs/>
                <w:sz w:val="18"/>
                <w:szCs w:val="18"/>
              </w:rPr>
            </w:pPr>
            <w:r w:rsidRPr="00761840">
              <w:rPr>
                <w:rFonts w:cs="Calibri"/>
                <w:b/>
                <w:bCs/>
                <w:sz w:val="18"/>
                <w:szCs w:val="18"/>
              </w:rPr>
              <w:t xml:space="preserve">Current </w:t>
            </w:r>
            <w:bookmarkStart w:id="597" w:name="_Hlk90026792"/>
            <w:r w:rsidR="00D42F74" w:rsidRPr="00761840">
              <w:rPr>
                <w:rFonts w:cs="Calibri"/>
                <w:b/>
                <w:bCs/>
                <w:sz w:val="18"/>
                <w:szCs w:val="18"/>
              </w:rPr>
              <w:t>Borrowings</w:t>
            </w:r>
            <w:bookmarkEnd w:id="597"/>
          </w:p>
        </w:tc>
        <w:tc>
          <w:tcPr>
            <w:tcW w:w="654" w:type="pct"/>
            <w:gridSpan w:val="2"/>
            <w:tcBorders>
              <w:top w:val="nil"/>
              <w:left w:val="nil"/>
              <w:bottom w:val="nil"/>
              <w:right w:val="nil"/>
            </w:tcBorders>
            <w:vAlign w:val="bottom"/>
          </w:tcPr>
          <w:p w14:paraId="3B86D6C9" w14:textId="77777777" w:rsidR="00393E62" w:rsidRPr="00761840" w:rsidRDefault="00393E62" w:rsidP="00393E62">
            <w:pPr>
              <w:rPr>
                <w:rFonts w:cs="Calibri"/>
                <w:sz w:val="18"/>
                <w:szCs w:val="18"/>
              </w:rPr>
            </w:pPr>
          </w:p>
        </w:tc>
        <w:tc>
          <w:tcPr>
            <w:tcW w:w="679" w:type="pct"/>
            <w:gridSpan w:val="4"/>
            <w:tcBorders>
              <w:top w:val="nil"/>
              <w:left w:val="nil"/>
              <w:bottom w:val="nil"/>
              <w:right w:val="nil"/>
            </w:tcBorders>
            <w:vAlign w:val="bottom"/>
          </w:tcPr>
          <w:p w14:paraId="3EEAAB3F" w14:textId="77777777" w:rsidR="00393E62" w:rsidRPr="00761840" w:rsidRDefault="00393E62" w:rsidP="00393E62">
            <w:pPr>
              <w:rPr>
                <w:rFonts w:cs="Calibri"/>
                <w:sz w:val="18"/>
                <w:szCs w:val="18"/>
              </w:rPr>
            </w:pPr>
          </w:p>
        </w:tc>
      </w:tr>
      <w:tr w:rsidR="00761840" w:rsidRPr="00761840" w14:paraId="7FC99A2F"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160EFB2A"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57C62B7C" w14:textId="71B8D0DF" w:rsidR="00393E62" w:rsidRPr="00761840" w:rsidRDefault="00393E62" w:rsidP="00393E62">
            <w:pPr>
              <w:rPr>
                <w:rFonts w:cs="Calibri"/>
                <w:sz w:val="18"/>
                <w:szCs w:val="18"/>
              </w:rPr>
            </w:pPr>
            <w:r w:rsidRPr="00761840">
              <w:rPr>
                <w:rFonts w:cs="Calibri"/>
                <w:sz w:val="18"/>
                <w:szCs w:val="18"/>
              </w:rPr>
              <w:t>ACT Government Borrowings</w:t>
            </w:r>
            <w:r w:rsidR="00C8301F" w:rsidRPr="00761840">
              <w:rPr>
                <w:rFonts w:cs="Calibri"/>
                <w:sz w:val="18"/>
                <w:szCs w:val="18"/>
                <w:vertAlign w:val="superscript"/>
              </w:rPr>
              <w:t>a</w:t>
            </w:r>
          </w:p>
        </w:tc>
        <w:tc>
          <w:tcPr>
            <w:tcW w:w="654" w:type="pct"/>
            <w:gridSpan w:val="2"/>
            <w:tcBorders>
              <w:top w:val="nil"/>
              <w:left w:val="nil"/>
              <w:bottom w:val="nil"/>
              <w:right w:val="nil"/>
            </w:tcBorders>
            <w:vAlign w:val="bottom"/>
          </w:tcPr>
          <w:p w14:paraId="687F1AD9" w14:textId="77777777" w:rsidR="00393E62" w:rsidRPr="00761840" w:rsidRDefault="00393E62" w:rsidP="00393E62">
            <w:pPr>
              <w:rPr>
                <w:rFonts w:cs="Calibri"/>
                <w:sz w:val="18"/>
                <w:szCs w:val="18"/>
              </w:rPr>
            </w:pPr>
          </w:p>
        </w:tc>
        <w:tc>
          <w:tcPr>
            <w:tcW w:w="679" w:type="pct"/>
            <w:gridSpan w:val="4"/>
            <w:tcBorders>
              <w:top w:val="nil"/>
              <w:left w:val="nil"/>
              <w:bottom w:val="nil"/>
              <w:right w:val="nil"/>
            </w:tcBorders>
            <w:vAlign w:val="bottom"/>
          </w:tcPr>
          <w:p w14:paraId="6F35D8C3" w14:textId="77777777" w:rsidR="00393E62" w:rsidRPr="00761840" w:rsidRDefault="00393E62" w:rsidP="00393E62">
            <w:pPr>
              <w:rPr>
                <w:rFonts w:cs="Calibri"/>
                <w:sz w:val="18"/>
                <w:szCs w:val="18"/>
              </w:rPr>
            </w:pPr>
          </w:p>
        </w:tc>
      </w:tr>
      <w:tr w:rsidR="00761840" w:rsidRPr="00761840" w14:paraId="2B49BF4C"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044AC058"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42C1B02F" w14:textId="238E17E2" w:rsidR="00393E62" w:rsidRPr="00761840" w:rsidRDefault="00393E62" w:rsidP="00393E62">
            <w:pPr>
              <w:rPr>
                <w:rFonts w:cs="Calibri"/>
                <w:sz w:val="18"/>
                <w:szCs w:val="18"/>
              </w:rPr>
            </w:pPr>
            <w:r w:rsidRPr="00761840">
              <w:rPr>
                <w:rFonts w:cs="Calibri"/>
                <w:sz w:val="18"/>
                <w:szCs w:val="18"/>
              </w:rPr>
              <w:t>Commonwealth Borrowings</w:t>
            </w:r>
          </w:p>
        </w:tc>
        <w:tc>
          <w:tcPr>
            <w:tcW w:w="654" w:type="pct"/>
            <w:gridSpan w:val="2"/>
            <w:tcBorders>
              <w:top w:val="nil"/>
              <w:left w:val="nil"/>
              <w:bottom w:val="nil"/>
              <w:right w:val="nil"/>
            </w:tcBorders>
            <w:vAlign w:val="bottom"/>
          </w:tcPr>
          <w:p w14:paraId="1B90C81A" w14:textId="77777777" w:rsidR="00393E62" w:rsidRPr="00761840" w:rsidRDefault="00393E62" w:rsidP="00393E62">
            <w:pPr>
              <w:rPr>
                <w:rFonts w:cs="Calibri"/>
                <w:sz w:val="18"/>
                <w:szCs w:val="18"/>
              </w:rPr>
            </w:pPr>
          </w:p>
        </w:tc>
        <w:tc>
          <w:tcPr>
            <w:tcW w:w="679" w:type="pct"/>
            <w:gridSpan w:val="4"/>
            <w:tcBorders>
              <w:top w:val="nil"/>
              <w:left w:val="nil"/>
              <w:bottom w:val="nil"/>
              <w:right w:val="nil"/>
            </w:tcBorders>
            <w:vAlign w:val="bottom"/>
          </w:tcPr>
          <w:p w14:paraId="1C595CCC" w14:textId="77777777" w:rsidR="00393E62" w:rsidRPr="00761840" w:rsidRDefault="00393E62" w:rsidP="00393E62">
            <w:pPr>
              <w:rPr>
                <w:rFonts w:cs="Calibri"/>
                <w:sz w:val="18"/>
                <w:szCs w:val="18"/>
              </w:rPr>
            </w:pPr>
          </w:p>
        </w:tc>
      </w:tr>
      <w:tr w:rsidR="00761840" w:rsidRPr="00761840" w14:paraId="5A8F74E0" w14:textId="77777777" w:rsidTr="00AE2F99">
        <w:trPr>
          <w:gridAfter w:val="3"/>
          <w:wAfter w:w="304" w:type="pct"/>
          <w:cantSplit/>
          <w:trHeight w:val="23"/>
        </w:trPr>
        <w:tc>
          <w:tcPr>
            <w:tcW w:w="699" w:type="pct"/>
            <w:tcBorders>
              <w:top w:val="nil"/>
              <w:left w:val="single" w:sz="2" w:space="0" w:color="auto"/>
              <w:bottom w:val="nil"/>
              <w:right w:val="single" w:sz="2" w:space="0" w:color="auto"/>
            </w:tcBorders>
          </w:tcPr>
          <w:p w14:paraId="6B4FFBC3"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767A4A38" w14:textId="428F2EB2" w:rsidR="00393E62" w:rsidRPr="00761840" w:rsidRDefault="00393E62" w:rsidP="00393E62">
            <w:pPr>
              <w:rPr>
                <w:rFonts w:cs="Calibri"/>
                <w:b/>
                <w:bCs/>
                <w:sz w:val="18"/>
                <w:szCs w:val="18"/>
              </w:rPr>
            </w:pPr>
            <w:r w:rsidRPr="00761840">
              <w:rPr>
                <w:rFonts w:cs="Calibri"/>
                <w:sz w:val="18"/>
                <w:szCs w:val="18"/>
              </w:rPr>
              <w:t>Service Concession Arrangement Financial Liability</w:t>
            </w:r>
          </w:p>
        </w:tc>
        <w:tc>
          <w:tcPr>
            <w:tcW w:w="654" w:type="pct"/>
            <w:gridSpan w:val="2"/>
            <w:tcBorders>
              <w:top w:val="nil"/>
              <w:left w:val="nil"/>
              <w:bottom w:val="single" w:sz="2" w:space="0" w:color="auto"/>
              <w:right w:val="nil"/>
            </w:tcBorders>
            <w:vAlign w:val="bottom"/>
          </w:tcPr>
          <w:p w14:paraId="4C7E3337" w14:textId="77777777" w:rsidR="00393E62" w:rsidRPr="00761840" w:rsidRDefault="00393E62" w:rsidP="00393E62">
            <w:pPr>
              <w:rPr>
                <w:rFonts w:cs="Calibri"/>
                <w:sz w:val="18"/>
                <w:szCs w:val="18"/>
              </w:rPr>
            </w:pPr>
          </w:p>
        </w:tc>
        <w:tc>
          <w:tcPr>
            <w:tcW w:w="679" w:type="pct"/>
            <w:gridSpan w:val="4"/>
            <w:tcBorders>
              <w:top w:val="nil"/>
              <w:left w:val="nil"/>
              <w:bottom w:val="single" w:sz="2" w:space="0" w:color="auto"/>
              <w:right w:val="nil"/>
            </w:tcBorders>
            <w:vAlign w:val="bottom"/>
          </w:tcPr>
          <w:p w14:paraId="207F9BF9" w14:textId="77777777" w:rsidR="00393E62" w:rsidRPr="00761840" w:rsidRDefault="00393E62" w:rsidP="00393E62">
            <w:pPr>
              <w:rPr>
                <w:rFonts w:cs="Calibri"/>
                <w:sz w:val="18"/>
                <w:szCs w:val="18"/>
              </w:rPr>
            </w:pPr>
          </w:p>
        </w:tc>
      </w:tr>
      <w:tr w:rsidR="00761840" w:rsidRPr="00761840" w14:paraId="6AB4F72C" w14:textId="77777777" w:rsidTr="0004564D">
        <w:trPr>
          <w:gridAfter w:val="3"/>
          <w:wAfter w:w="304" w:type="pct"/>
          <w:cantSplit/>
          <w:trHeight w:val="23"/>
        </w:trPr>
        <w:tc>
          <w:tcPr>
            <w:tcW w:w="699" w:type="pct"/>
            <w:tcBorders>
              <w:top w:val="nil"/>
              <w:left w:val="single" w:sz="2" w:space="0" w:color="auto"/>
              <w:bottom w:val="nil"/>
              <w:right w:val="single" w:sz="2" w:space="0" w:color="auto"/>
            </w:tcBorders>
          </w:tcPr>
          <w:p w14:paraId="48789D10"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562E4BB9" w14:textId="47EBBC6D" w:rsidR="00393E62" w:rsidRPr="00761840" w:rsidRDefault="00393E62" w:rsidP="00393E62">
            <w:pPr>
              <w:rPr>
                <w:rFonts w:cs="Calibri"/>
                <w:b/>
                <w:bCs/>
                <w:sz w:val="18"/>
                <w:szCs w:val="18"/>
              </w:rPr>
            </w:pPr>
            <w:r w:rsidRPr="00761840">
              <w:rPr>
                <w:rFonts w:cs="Calibri"/>
                <w:b/>
                <w:bCs/>
                <w:sz w:val="18"/>
                <w:szCs w:val="18"/>
              </w:rPr>
              <w:t xml:space="preserve">Total Current </w:t>
            </w:r>
            <w:r w:rsidR="00D42F74" w:rsidRPr="00761840">
              <w:rPr>
                <w:rFonts w:cs="Calibri"/>
                <w:b/>
                <w:bCs/>
                <w:sz w:val="18"/>
                <w:szCs w:val="18"/>
              </w:rPr>
              <w:t>Borrowings</w:t>
            </w:r>
          </w:p>
        </w:tc>
        <w:tc>
          <w:tcPr>
            <w:tcW w:w="654" w:type="pct"/>
            <w:gridSpan w:val="2"/>
            <w:tcBorders>
              <w:top w:val="single" w:sz="2" w:space="0" w:color="auto"/>
              <w:left w:val="nil"/>
              <w:bottom w:val="single" w:sz="2" w:space="0" w:color="auto"/>
              <w:right w:val="nil"/>
            </w:tcBorders>
            <w:vAlign w:val="bottom"/>
          </w:tcPr>
          <w:p w14:paraId="491BDB0A" w14:textId="77777777" w:rsidR="00393E62" w:rsidRPr="00761840" w:rsidRDefault="00393E62" w:rsidP="00393E62">
            <w:pPr>
              <w:rPr>
                <w:rFonts w:cs="Calibri"/>
                <w:sz w:val="18"/>
                <w:szCs w:val="18"/>
              </w:rPr>
            </w:pPr>
          </w:p>
        </w:tc>
        <w:tc>
          <w:tcPr>
            <w:tcW w:w="679" w:type="pct"/>
            <w:gridSpan w:val="4"/>
            <w:tcBorders>
              <w:top w:val="single" w:sz="2" w:space="0" w:color="auto"/>
              <w:left w:val="nil"/>
              <w:bottom w:val="single" w:sz="2" w:space="0" w:color="auto"/>
              <w:right w:val="nil"/>
            </w:tcBorders>
            <w:vAlign w:val="bottom"/>
          </w:tcPr>
          <w:p w14:paraId="4CAED883" w14:textId="77777777" w:rsidR="00393E62" w:rsidRPr="00761840" w:rsidRDefault="00393E62" w:rsidP="00393E62">
            <w:pPr>
              <w:rPr>
                <w:rFonts w:cs="Calibri"/>
                <w:sz w:val="18"/>
                <w:szCs w:val="18"/>
              </w:rPr>
            </w:pPr>
          </w:p>
        </w:tc>
      </w:tr>
      <w:tr w:rsidR="00413D72" w:rsidRPr="00761840" w14:paraId="71C7A6A1" w14:textId="77777777" w:rsidTr="0004564D">
        <w:trPr>
          <w:gridAfter w:val="3"/>
          <w:wAfter w:w="304" w:type="pct"/>
          <w:trHeight w:val="397"/>
        </w:trPr>
        <w:tc>
          <w:tcPr>
            <w:tcW w:w="699" w:type="pct"/>
            <w:tcBorders>
              <w:top w:val="nil"/>
              <w:left w:val="single" w:sz="2" w:space="0" w:color="auto"/>
              <w:bottom w:val="nil"/>
              <w:right w:val="single" w:sz="2" w:space="0" w:color="auto"/>
            </w:tcBorders>
          </w:tcPr>
          <w:p w14:paraId="025B919B" w14:textId="77777777" w:rsidR="00413D72" w:rsidRPr="006E293E" w:rsidRDefault="00413D72" w:rsidP="00DA5473">
            <w:pPr>
              <w:spacing w:before="240"/>
              <w:rPr>
                <w:rFonts w:cs="Calibri"/>
                <w:b/>
                <w:bCs/>
                <w:color w:val="7030A0"/>
                <w:szCs w:val="22"/>
              </w:rPr>
            </w:pPr>
            <w:r w:rsidRPr="006E293E">
              <w:rPr>
                <w:rFonts w:cs="Calibri"/>
                <w:b/>
                <w:bCs/>
                <w:color w:val="7030A0"/>
                <w:szCs w:val="22"/>
              </w:rPr>
              <w:t>Reference</w:t>
            </w:r>
          </w:p>
        </w:tc>
        <w:tc>
          <w:tcPr>
            <w:tcW w:w="3997" w:type="pct"/>
            <w:gridSpan w:val="8"/>
            <w:tcBorders>
              <w:top w:val="nil"/>
              <w:left w:val="single" w:sz="2" w:space="0" w:color="auto"/>
              <w:bottom w:val="nil"/>
              <w:right w:val="nil"/>
            </w:tcBorders>
          </w:tcPr>
          <w:p w14:paraId="0DEDAB0C" w14:textId="26711FBF" w:rsidR="00413D72" w:rsidRPr="00761840" w:rsidRDefault="00413D72" w:rsidP="00DA5473">
            <w:pPr>
              <w:pStyle w:val="Heading1"/>
              <w:numPr>
                <w:ilvl w:val="0"/>
                <w:numId w:val="0"/>
              </w:numPr>
              <w:ind w:left="1134" w:hanging="1134"/>
            </w:pPr>
            <w:bookmarkStart w:id="598" w:name="_Toc98763145"/>
            <w:r w:rsidRPr="00761840">
              <w:t>Note 25.</w:t>
            </w:r>
            <w:r>
              <w:t xml:space="preserve"> </w:t>
            </w:r>
            <w:r w:rsidRPr="00761840">
              <w:t xml:space="preserve"> Borrowings</w:t>
            </w:r>
            <w:r>
              <w:t xml:space="preserve"> – Continued</w:t>
            </w:r>
            <w:bookmarkEnd w:id="598"/>
            <w:r>
              <w:t xml:space="preserve"> </w:t>
            </w:r>
          </w:p>
        </w:tc>
      </w:tr>
      <w:tr w:rsidR="00C87392" w:rsidRPr="00761840" w14:paraId="6D98D761" w14:textId="77777777" w:rsidTr="0004564D">
        <w:trPr>
          <w:gridAfter w:val="3"/>
          <w:wAfter w:w="304" w:type="pct"/>
          <w:trHeight w:val="23"/>
        </w:trPr>
        <w:tc>
          <w:tcPr>
            <w:tcW w:w="699" w:type="pct"/>
            <w:tcBorders>
              <w:top w:val="nil"/>
              <w:left w:val="single" w:sz="2" w:space="0" w:color="auto"/>
              <w:bottom w:val="nil"/>
              <w:right w:val="single" w:sz="2" w:space="0" w:color="auto"/>
            </w:tcBorders>
          </w:tcPr>
          <w:p w14:paraId="7492758B" w14:textId="77777777" w:rsidR="00C87392" w:rsidRPr="006E293E" w:rsidRDefault="00C87392" w:rsidP="00DA5473">
            <w:pPr>
              <w:rPr>
                <w:rFonts w:cs="Calibri"/>
                <w:color w:val="7030A0"/>
                <w:sz w:val="14"/>
                <w:szCs w:val="14"/>
              </w:rPr>
            </w:pPr>
          </w:p>
        </w:tc>
        <w:tc>
          <w:tcPr>
            <w:tcW w:w="2664" w:type="pct"/>
            <w:gridSpan w:val="2"/>
            <w:tcBorders>
              <w:top w:val="nil"/>
              <w:left w:val="single" w:sz="2" w:space="0" w:color="auto"/>
              <w:bottom w:val="nil"/>
              <w:right w:val="nil"/>
            </w:tcBorders>
          </w:tcPr>
          <w:p w14:paraId="31B44D75" w14:textId="77777777" w:rsidR="00C87392" w:rsidRPr="00761840" w:rsidRDefault="00C87392" w:rsidP="00DA5473">
            <w:pPr>
              <w:rPr>
                <w:rFonts w:cs="Calibri"/>
                <w:b/>
                <w:bCs/>
                <w:sz w:val="18"/>
                <w:szCs w:val="18"/>
              </w:rPr>
            </w:pPr>
          </w:p>
        </w:tc>
        <w:tc>
          <w:tcPr>
            <w:tcW w:w="654" w:type="pct"/>
            <w:gridSpan w:val="2"/>
            <w:tcBorders>
              <w:top w:val="nil"/>
              <w:left w:val="nil"/>
              <w:bottom w:val="nil"/>
              <w:right w:val="nil"/>
            </w:tcBorders>
            <w:vAlign w:val="bottom"/>
          </w:tcPr>
          <w:p w14:paraId="6D0C53FF" w14:textId="77777777" w:rsidR="00C87392" w:rsidRDefault="00C87392" w:rsidP="00DA5473">
            <w:pPr>
              <w:jc w:val="right"/>
              <w:rPr>
                <w:rFonts w:cs="Calibri"/>
                <w:b/>
                <w:bCs/>
                <w:sz w:val="18"/>
                <w:szCs w:val="18"/>
              </w:rPr>
            </w:pPr>
            <w:r w:rsidRPr="00761840">
              <w:rPr>
                <w:rFonts w:cs="Calibri"/>
                <w:b/>
                <w:bCs/>
                <w:sz w:val="18"/>
                <w:szCs w:val="18"/>
              </w:rPr>
              <w:t>2022</w:t>
            </w:r>
            <w:r>
              <w:rPr>
                <w:rFonts w:cs="Calibri"/>
                <w:b/>
                <w:bCs/>
                <w:sz w:val="18"/>
                <w:szCs w:val="18"/>
              </w:rPr>
              <w:t xml:space="preserve">      </w:t>
            </w:r>
          </w:p>
          <w:p w14:paraId="0CFF5D51" w14:textId="77777777" w:rsidR="00C87392" w:rsidRPr="00761840" w:rsidRDefault="00C87392" w:rsidP="00DA5473">
            <w:pPr>
              <w:jc w:val="right"/>
              <w:rPr>
                <w:rFonts w:cs="Calibri"/>
                <w:b/>
                <w:bCs/>
                <w:sz w:val="18"/>
                <w:szCs w:val="18"/>
              </w:rPr>
            </w:pPr>
            <w:r w:rsidRPr="00761840">
              <w:rPr>
                <w:rFonts w:cs="Calibri"/>
                <w:b/>
                <w:bCs/>
                <w:sz w:val="18"/>
                <w:szCs w:val="18"/>
              </w:rPr>
              <w:t>$’000</w:t>
            </w:r>
          </w:p>
        </w:tc>
        <w:tc>
          <w:tcPr>
            <w:tcW w:w="679" w:type="pct"/>
            <w:gridSpan w:val="4"/>
            <w:tcBorders>
              <w:top w:val="nil"/>
              <w:left w:val="nil"/>
              <w:bottom w:val="nil"/>
              <w:right w:val="nil"/>
            </w:tcBorders>
            <w:vAlign w:val="bottom"/>
          </w:tcPr>
          <w:p w14:paraId="3BABB3AF" w14:textId="77777777" w:rsidR="00C87392" w:rsidRPr="00761840" w:rsidRDefault="00C87392" w:rsidP="00DA5473">
            <w:pPr>
              <w:jc w:val="right"/>
              <w:rPr>
                <w:rFonts w:cs="Calibri"/>
                <w:b/>
                <w:bCs/>
                <w:sz w:val="18"/>
                <w:szCs w:val="18"/>
              </w:rPr>
            </w:pPr>
            <w:r w:rsidRPr="00761840">
              <w:rPr>
                <w:rFonts w:cs="Calibri"/>
                <w:b/>
                <w:bCs/>
                <w:sz w:val="18"/>
                <w:szCs w:val="18"/>
              </w:rPr>
              <w:t>2021</w:t>
            </w:r>
          </w:p>
          <w:p w14:paraId="45191073" w14:textId="77777777" w:rsidR="00C87392" w:rsidRPr="00761840" w:rsidRDefault="00C87392" w:rsidP="00DA5473">
            <w:pPr>
              <w:jc w:val="right"/>
              <w:rPr>
                <w:rFonts w:cs="Calibri"/>
                <w:b/>
                <w:bCs/>
                <w:sz w:val="18"/>
                <w:szCs w:val="18"/>
              </w:rPr>
            </w:pPr>
            <w:r w:rsidRPr="00761840">
              <w:rPr>
                <w:rFonts w:cs="Calibri"/>
                <w:b/>
                <w:bCs/>
                <w:sz w:val="18"/>
                <w:szCs w:val="18"/>
              </w:rPr>
              <w:t>$’000</w:t>
            </w:r>
          </w:p>
        </w:tc>
      </w:tr>
      <w:tr w:rsidR="00761840" w:rsidRPr="00761840" w14:paraId="2689B65B" w14:textId="77777777" w:rsidTr="0004564D">
        <w:trPr>
          <w:gridAfter w:val="3"/>
          <w:wAfter w:w="304" w:type="pct"/>
          <w:trHeight w:val="23"/>
        </w:trPr>
        <w:tc>
          <w:tcPr>
            <w:tcW w:w="699" w:type="pct"/>
            <w:tcBorders>
              <w:top w:val="nil"/>
              <w:left w:val="single" w:sz="2" w:space="0" w:color="auto"/>
              <w:bottom w:val="nil"/>
              <w:right w:val="single" w:sz="2" w:space="0" w:color="auto"/>
            </w:tcBorders>
          </w:tcPr>
          <w:p w14:paraId="783DB532" w14:textId="77777777" w:rsidR="00393E62" w:rsidRPr="006E293E" w:rsidRDefault="00393E62" w:rsidP="00393E62">
            <w:pPr>
              <w:rPr>
                <w:rFonts w:cs="Calibri"/>
                <w:color w:val="7030A0"/>
                <w:sz w:val="14"/>
                <w:szCs w:val="14"/>
              </w:rPr>
            </w:pPr>
            <w:r w:rsidRPr="006E293E">
              <w:rPr>
                <w:rFonts w:cs="Calibri"/>
                <w:color w:val="7030A0"/>
                <w:sz w:val="14"/>
                <w:szCs w:val="14"/>
              </w:rPr>
              <w:t>AASB101.77</w:t>
            </w:r>
          </w:p>
          <w:p w14:paraId="74AD937C" w14:textId="509344B5" w:rsidR="00393E62" w:rsidRPr="006E293E" w:rsidRDefault="00393E62" w:rsidP="00393E62">
            <w:pPr>
              <w:rPr>
                <w:rFonts w:cs="Calibri"/>
                <w:strike/>
                <w:color w:val="7030A0"/>
                <w:sz w:val="14"/>
                <w:szCs w:val="14"/>
              </w:rPr>
            </w:pPr>
          </w:p>
        </w:tc>
        <w:tc>
          <w:tcPr>
            <w:tcW w:w="2664" w:type="pct"/>
            <w:gridSpan w:val="2"/>
            <w:tcBorders>
              <w:top w:val="nil"/>
              <w:left w:val="single" w:sz="2" w:space="0" w:color="auto"/>
              <w:bottom w:val="nil"/>
              <w:right w:val="nil"/>
            </w:tcBorders>
          </w:tcPr>
          <w:p w14:paraId="41FFF1C2" w14:textId="330E0828" w:rsidR="00393E62" w:rsidRPr="00761840" w:rsidRDefault="00393E62" w:rsidP="00393E62">
            <w:pPr>
              <w:rPr>
                <w:rFonts w:cs="Calibri"/>
                <w:b/>
                <w:bCs/>
                <w:sz w:val="18"/>
                <w:szCs w:val="18"/>
              </w:rPr>
            </w:pPr>
            <w:r w:rsidRPr="00761840">
              <w:rPr>
                <w:rFonts w:cs="Calibri"/>
                <w:b/>
                <w:bCs/>
                <w:sz w:val="18"/>
                <w:szCs w:val="18"/>
              </w:rPr>
              <w:t xml:space="preserve">Non-Current </w:t>
            </w:r>
            <w:r w:rsidR="00D42F74" w:rsidRPr="00761840">
              <w:rPr>
                <w:rFonts w:cs="Calibri"/>
                <w:b/>
                <w:bCs/>
                <w:sz w:val="18"/>
                <w:szCs w:val="18"/>
              </w:rPr>
              <w:t>Borrowings</w:t>
            </w:r>
          </w:p>
        </w:tc>
        <w:tc>
          <w:tcPr>
            <w:tcW w:w="654" w:type="pct"/>
            <w:gridSpan w:val="2"/>
            <w:tcBorders>
              <w:top w:val="nil"/>
              <w:left w:val="nil"/>
              <w:bottom w:val="nil"/>
              <w:right w:val="nil"/>
            </w:tcBorders>
            <w:vAlign w:val="bottom"/>
          </w:tcPr>
          <w:p w14:paraId="12EA871B" w14:textId="77777777" w:rsidR="00393E62" w:rsidRPr="00761840" w:rsidRDefault="00393E62" w:rsidP="00393E62">
            <w:pPr>
              <w:rPr>
                <w:rFonts w:cs="Calibri"/>
                <w:sz w:val="18"/>
                <w:szCs w:val="18"/>
              </w:rPr>
            </w:pPr>
          </w:p>
        </w:tc>
        <w:tc>
          <w:tcPr>
            <w:tcW w:w="679" w:type="pct"/>
            <w:gridSpan w:val="4"/>
            <w:tcBorders>
              <w:top w:val="nil"/>
              <w:left w:val="nil"/>
              <w:bottom w:val="nil"/>
              <w:right w:val="nil"/>
            </w:tcBorders>
            <w:vAlign w:val="bottom"/>
          </w:tcPr>
          <w:p w14:paraId="4A4DD24D" w14:textId="77777777" w:rsidR="00393E62" w:rsidRPr="00761840" w:rsidRDefault="00393E62" w:rsidP="00393E62">
            <w:pPr>
              <w:rPr>
                <w:rFonts w:cs="Calibri"/>
                <w:sz w:val="18"/>
                <w:szCs w:val="18"/>
              </w:rPr>
            </w:pPr>
          </w:p>
        </w:tc>
      </w:tr>
      <w:tr w:rsidR="00761840" w:rsidRPr="00761840" w14:paraId="68EEBE4C" w14:textId="77777777" w:rsidTr="0004564D">
        <w:trPr>
          <w:gridAfter w:val="3"/>
          <w:wAfter w:w="304" w:type="pct"/>
          <w:trHeight w:val="23"/>
        </w:trPr>
        <w:tc>
          <w:tcPr>
            <w:tcW w:w="699" w:type="pct"/>
            <w:tcBorders>
              <w:top w:val="nil"/>
              <w:left w:val="single" w:sz="2" w:space="0" w:color="auto"/>
              <w:bottom w:val="nil"/>
              <w:right w:val="single" w:sz="2" w:space="0" w:color="auto"/>
            </w:tcBorders>
          </w:tcPr>
          <w:p w14:paraId="0B5926C7"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763144EE" w14:textId="6DC4AC6A" w:rsidR="00393E62" w:rsidRPr="00761840" w:rsidRDefault="00393E62" w:rsidP="00393E62">
            <w:pPr>
              <w:rPr>
                <w:rFonts w:cs="Calibri"/>
                <w:sz w:val="18"/>
                <w:szCs w:val="18"/>
              </w:rPr>
            </w:pPr>
            <w:r w:rsidRPr="00761840">
              <w:rPr>
                <w:rFonts w:cs="Calibri"/>
                <w:sz w:val="18"/>
                <w:szCs w:val="18"/>
              </w:rPr>
              <w:t>ACT Government Borrowings</w:t>
            </w:r>
            <w:r w:rsidR="00C8301F" w:rsidRPr="00761840">
              <w:rPr>
                <w:rFonts w:cs="Calibri"/>
                <w:sz w:val="18"/>
                <w:szCs w:val="18"/>
                <w:vertAlign w:val="superscript"/>
              </w:rPr>
              <w:t>a</w:t>
            </w:r>
          </w:p>
        </w:tc>
        <w:tc>
          <w:tcPr>
            <w:tcW w:w="654" w:type="pct"/>
            <w:gridSpan w:val="2"/>
            <w:tcBorders>
              <w:top w:val="nil"/>
              <w:left w:val="nil"/>
              <w:bottom w:val="nil"/>
              <w:right w:val="nil"/>
            </w:tcBorders>
            <w:vAlign w:val="bottom"/>
          </w:tcPr>
          <w:p w14:paraId="5B2E57D8" w14:textId="77777777" w:rsidR="00393E62" w:rsidRPr="00761840" w:rsidRDefault="00393E62" w:rsidP="00393E62">
            <w:pPr>
              <w:rPr>
                <w:rFonts w:cs="Calibri"/>
                <w:sz w:val="18"/>
                <w:szCs w:val="18"/>
              </w:rPr>
            </w:pPr>
          </w:p>
        </w:tc>
        <w:tc>
          <w:tcPr>
            <w:tcW w:w="679" w:type="pct"/>
            <w:gridSpan w:val="4"/>
            <w:tcBorders>
              <w:top w:val="nil"/>
              <w:left w:val="nil"/>
              <w:bottom w:val="nil"/>
              <w:right w:val="nil"/>
            </w:tcBorders>
            <w:vAlign w:val="bottom"/>
          </w:tcPr>
          <w:p w14:paraId="1BECDD33" w14:textId="77777777" w:rsidR="00393E62" w:rsidRPr="00761840" w:rsidRDefault="00393E62" w:rsidP="00393E62">
            <w:pPr>
              <w:rPr>
                <w:rFonts w:cs="Calibri"/>
                <w:sz w:val="18"/>
                <w:szCs w:val="18"/>
              </w:rPr>
            </w:pPr>
          </w:p>
        </w:tc>
      </w:tr>
      <w:tr w:rsidR="00761840" w:rsidRPr="00761840" w14:paraId="0AD751D7" w14:textId="77777777" w:rsidTr="0004564D">
        <w:trPr>
          <w:gridAfter w:val="3"/>
          <w:wAfter w:w="304" w:type="pct"/>
          <w:trHeight w:val="23"/>
        </w:trPr>
        <w:tc>
          <w:tcPr>
            <w:tcW w:w="699" w:type="pct"/>
            <w:tcBorders>
              <w:top w:val="nil"/>
              <w:left w:val="single" w:sz="2" w:space="0" w:color="auto"/>
              <w:bottom w:val="nil"/>
              <w:right w:val="single" w:sz="2" w:space="0" w:color="auto"/>
            </w:tcBorders>
          </w:tcPr>
          <w:p w14:paraId="4EF21081"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376FF1AA" w14:textId="65E124E9" w:rsidR="00393E62" w:rsidRPr="00761840" w:rsidRDefault="00393E62" w:rsidP="00393E62">
            <w:pPr>
              <w:rPr>
                <w:rFonts w:cs="Calibri"/>
                <w:sz w:val="18"/>
                <w:szCs w:val="18"/>
              </w:rPr>
            </w:pPr>
            <w:r w:rsidRPr="00761840">
              <w:rPr>
                <w:rFonts w:cs="Calibri"/>
                <w:sz w:val="18"/>
                <w:szCs w:val="18"/>
              </w:rPr>
              <w:t>Commonwealth Borrowings</w:t>
            </w:r>
          </w:p>
        </w:tc>
        <w:tc>
          <w:tcPr>
            <w:tcW w:w="654" w:type="pct"/>
            <w:gridSpan w:val="2"/>
            <w:tcBorders>
              <w:top w:val="nil"/>
              <w:left w:val="nil"/>
              <w:bottom w:val="nil"/>
              <w:right w:val="nil"/>
            </w:tcBorders>
            <w:vAlign w:val="bottom"/>
          </w:tcPr>
          <w:p w14:paraId="5C96E790" w14:textId="77777777" w:rsidR="00393E62" w:rsidRPr="00761840" w:rsidRDefault="00393E62" w:rsidP="00393E62">
            <w:pPr>
              <w:rPr>
                <w:rFonts w:cs="Calibri"/>
                <w:sz w:val="18"/>
                <w:szCs w:val="18"/>
              </w:rPr>
            </w:pPr>
          </w:p>
        </w:tc>
        <w:tc>
          <w:tcPr>
            <w:tcW w:w="679" w:type="pct"/>
            <w:gridSpan w:val="4"/>
            <w:tcBorders>
              <w:top w:val="nil"/>
              <w:left w:val="nil"/>
              <w:bottom w:val="nil"/>
              <w:right w:val="nil"/>
            </w:tcBorders>
            <w:vAlign w:val="bottom"/>
          </w:tcPr>
          <w:p w14:paraId="243E733B" w14:textId="77777777" w:rsidR="00393E62" w:rsidRPr="00761840" w:rsidRDefault="00393E62" w:rsidP="00393E62">
            <w:pPr>
              <w:rPr>
                <w:rFonts w:cs="Calibri"/>
                <w:sz w:val="18"/>
                <w:szCs w:val="18"/>
              </w:rPr>
            </w:pPr>
          </w:p>
        </w:tc>
      </w:tr>
      <w:tr w:rsidR="00761840" w:rsidRPr="00761840" w14:paraId="3CD4A903" w14:textId="77777777" w:rsidTr="0004564D">
        <w:trPr>
          <w:gridAfter w:val="3"/>
          <w:wAfter w:w="304" w:type="pct"/>
          <w:trHeight w:val="23"/>
        </w:trPr>
        <w:tc>
          <w:tcPr>
            <w:tcW w:w="699" w:type="pct"/>
            <w:tcBorders>
              <w:top w:val="nil"/>
              <w:left w:val="single" w:sz="2" w:space="0" w:color="auto"/>
              <w:bottom w:val="nil"/>
              <w:right w:val="single" w:sz="2" w:space="0" w:color="auto"/>
            </w:tcBorders>
          </w:tcPr>
          <w:p w14:paraId="1F5C84D5"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3B60A151" w14:textId="3C23C982" w:rsidR="00393E62" w:rsidRPr="00761840" w:rsidRDefault="00393E62" w:rsidP="00393E62">
            <w:pPr>
              <w:rPr>
                <w:rFonts w:cs="Calibri"/>
                <w:sz w:val="18"/>
                <w:szCs w:val="18"/>
              </w:rPr>
            </w:pPr>
            <w:r w:rsidRPr="00761840">
              <w:rPr>
                <w:rFonts w:cs="Calibri"/>
                <w:sz w:val="18"/>
                <w:szCs w:val="18"/>
              </w:rPr>
              <w:t>Service Concession Arrangement Financial Liability</w:t>
            </w:r>
          </w:p>
        </w:tc>
        <w:tc>
          <w:tcPr>
            <w:tcW w:w="654" w:type="pct"/>
            <w:gridSpan w:val="2"/>
            <w:tcBorders>
              <w:top w:val="nil"/>
              <w:left w:val="nil"/>
              <w:bottom w:val="single" w:sz="2" w:space="0" w:color="auto"/>
              <w:right w:val="nil"/>
            </w:tcBorders>
            <w:vAlign w:val="bottom"/>
          </w:tcPr>
          <w:p w14:paraId="05197446" w14:textId="77777777" w:rsidR="00393E62" w:rsidRPr="00761840" w:rsidRDefault="00393E62" w:rsidP="00393E62">
            <w:pPr>
              <w:rPr>
                <w:rFonts w:cs="Calibri"/>
                <w:sz w:val="18"/>
                <w:szCs w:val="18"/>
              </w:rPr>
            </w:pPr>
          </w:p>
        </w:tc>
        <w:tc>
          <w:tcPr>
            <w:tcW w:w="679" w:type="pct"/>
            <w:gridSpan w:val="4"/>
            <w:tcBorders>
              <w:top w:val="nil"/>
              <w:left w:val="nil"/>
              <w:bottom w:val="single" w:sz="2" w:space="0" w:color="auto"/>
              <w:right w:val="nil"/>
            </w:tcBorders>
            <w:vAlign w:val="bottom"/>
          </w:tcPr>
          <w:p w14:paraId="3C8E5EB9" w14:textId="77777777" w:rsidR="00393E62" w:rsidRPr="00761840" w:rsidRDefault="00393E62" w:rsidP="00393E62">
            <w:pPr>
              <w:rPr>
                <w:rFonts w:cs="Calibri"/>
                <w:sz w:val="18"/>
                <w:szCs w:val="18"/>
              </w:rPr>
            </w:pPr>
          </w:p>
        </w:tc>
      </w:tr>
      <w:tr w:rsidR="00761840" w:rsidRPr="00761840" w14:paraId="104E0AB7" w14:textId="77777777" w:rsidTr="0004564D">
        <w:trPr>
          <w:gridAfter w:val="3"/>
          <w:wAfter w:w="304" w:type="pct"/>
          <w:trHeight w:val="23"/>
        </w:trPr>
        <w:tc>
          <w:tcPr>
            <w:tcW w:w="699" w:type="pct"/>
            <w:tcBorders>
              <w:top w:val="nil"/>
              <w:left w:val="single" w:sz="2" w:space="0" w:color="auto"/>
              <w:bottom w:val="nil"/>
              <w:right w:val="single" w:sz="2" w:space="0" w:color="auto"/>
            </w:tcBorders>
          </w:tcPr>
          <w:p w14:paraId="58F29F17"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6ECE163C" w14:textId="293815B8" w:rsidR="00393E62" w:rsidRPr="00761840" w:rsidRDefault="00393E62" w:rsidP="00393E62">
            <w:pPr>
              <w:rPr>
                <w:rFonts w:cs="Calibri"/>
                <w:b/>
                <w:bCs/>
                <w:sz w:val="18"/>
                <w:szCs w:val="18"/>
              </w:rPr>
            </w:pPr>
            <w:r w:rsidRPr="00761840">
              <w:rPr>
                <w:rFonts w:cs="Calibri"/>
                <w:b/>
                <w:bCs/>
                <w:sz w:val="18"/>
                <w:szCs w:val="18"/>
              </w:rPr>
              <w:t xml:space="preserve">Total Non-Current </w:t>
            </w:r>
            <w:r w:rsidR="00D42F74" w:rsidRPr="00761840">
              <w:rPr>
                <w:rFonts w:cs="Calibri"/>
                <w:b/>
                <w:bCs/>
                <w:sz w:val="18"/>
                <w:szCs w:val="18"/>
              </w:rPr>
              <w:t>Borrowings</w:t>
            </w:r>
          </w:p>
        </w:tc>
        <w:tc>
          <w:tcPr>
            <w:tcW w:w="654" w:type="pct"/>
            <w:gridSpan w:val="2"/>
            <w:tcBorders>
              <w:top w:val="single" w:sz="2" w:space="0" w:color="auto"/>
              <w:left w:val="nil"/>
              <w:bottom w:val="single" w:sz="2" w:space="0" w:color="auto"/>
              <w:right w:val="nil"/>
            </w:tcBorders>
            <w:vAlign w:val="bottom"/>
          </w:tcPr>
          <w:p w14:paraId="7337F6AD" w14:textId="77777777" w:rsidR="00393E62" w:rsidRPr="00761840" w:rsidRDefault="00393E62" w:rsidP="00393E62">
            <w:pPr>
              <w:rPr>
                <w:rFonts w:cs="Calibri"/>
                <w:sz w:val="18"/>
                <w:szCs w:val="18"/>
              </w:rPr>
            </w:pPr>
          </w:p>
        </w:tc>
        <w:tc>
          <w:tcPr>
            <w:tcW w:w="679" w:type="pct"/>
            <w:gridSpan w:val="4"/>
            <w:tcBorders>
              <w:top w:val="single" w:sz="2" w:space="0" w:color="auto"/>
              <w:left w:val="nil"/>
              <w:bottom w:val="single" w:sz="2" w:space="0" w:color="auto"/>
              <w:right w:val="nil"/>
            </w:tcBorders>
            <w:vAlign w:val="bottom"/>
          </w:tcPr>
          <w:p w14:paraId="44FF46DB" w14:textId="77777777" w:rsidR="00393E62" w:rsidRPr="00761840" w:rsidRDefault="00393E62" w:rsidP="00393E62">
            <w:pPr>
              <w:rPr>
                <w:rFonts w:cs="Calibri"/>
                <w:sz w:val="18"/>
                <w:szCs w:val="18"/>
              </w:rPr>
            </w:pPr>
          </w:p>
        </w:tc>
      </w:tr>
      <w:tr w:rsidR="00761840" w:rsidRPr="00761840" w14:paraId="7CF61D3F" w14:textId="77777777" w:rsidTr="0004564D">
        <w:trPr>
          <w:gridAfter w:val="3"/>
          <w:wAfter w:w="304" w:type="pct"/>
          <w:trHeight w:val="23"/>
        </w:trPr>
        <w:tc>
          <w:tcPr>
            <w:tcW w:w="699" w:type="pct"/>
            <w:tcBorders>
              <w:top w:val="nil"/>
              <w:left w:val="single" w:sz="2" w:space="0" w:color="auto"/>
              <w:bottom w:val="nil"/>
              <w:right w:val="single" w:sz="2" w:space="0" w:color="auto"/>
            </w:tcBorders>
          </w:tcPr>
          <w:p w14:paraId="18B15AC6"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66F42CFA" w14:textId="2DC60CBF" w:rsidR="00393E62" w:rsidRPr="00761840" w:rsidRDefault="00393E62" w:rsidP="00393E62">
            <w:pPr>
              <w:rPr>
                <w:rFonts w:cs="Calibri"/>
                <w:b/>
                <w:bCs/>
                <w:sz w:val="18"/>
                <w:szCs w:val="18"/>
              </w:rPr>
            </w:pPr>
            <w:r w:rsidRPr="00761840">
              <w:rPr>
                <w:rFonts w:cs="Calibri"/>
                <w:b/>
                <w:bCs/>
                <w:sz w:val="18"/>
                <w:szCs w:val="18"/>
              </w:rPr>
              <w:t xml:space="preserve">Total </w:t>
            </w:r>
            <w:r w:rsidR="00D42F74" w:rsidRPr="00761840">
              <w:rPr>
                <w:rFonts w:cs="Calibri"/>
                <w:b/>
                <w:bCs/>
                <w:sz w:val="18"/>
                <w:szCs w:val="18"/>
              </w:rPr>
              <w:t>Borrowings</w:t>
            </w:r>
          </w:p>
        </w:tc>
        <w:tc>
          <w:tcPr>
            <w:tcW w:w="654" w:type="pct"/>
            <w:gridSpan w:val="2"/>
            <w:tcBorders>
              <w:top w:val="single" w:sz="2" w:space="0" w:color="auto"/>
              <w:left w:val="nil"/>
              <w:bottom w:val="double" w:sz="4" w:space="0" w:color="auto"/>
              <w:right w:val="nil"/>
            </w:tcBorders>
            <w:vAlign w:val="bottom"/>
          </w:tcPr>
          <w:p w14:paraId="406E64DD" w14:textId="77777777" w:rsidR="00393E62" w:rsidRPr="00761840" w:rsidRDefault="00393E62" w:rsidP="00393E62">
            <w:pPr>
              <w:rPr>
                <w:rFonts w:cs="Calibri"/>
                <w:sz w:val="18"/>
                <w:szCs w:val="18"/>
              </w:rPr>
            </w:pPr>
          </w:p>
        </w:tc>
        <w:tc>
          <w:tcPr>
            <w:tcW w:w="679" w:type="pct"/>
            <w:gridSpan w:val="4"/>
            <w:tcBorders>
              <w:top w:val="single" w:sz="2" w:space="0" w:color="auto"/>
              <w:left w:val="nil"/>
              <w:bottom w:val="double" w:sz="4" w:space="0" w:color="auto"/>
              <w:right w:val="nil"/>
            </w:tcBorders>
            <w:vAlign w:val="bottom"/>
          </w:tcPr>
          <w:p w14:paraId="6620374B" w14:textId="77777777" w:rsidR="00393E62" w:rsidRPr="00761840" w:rsidRDefault="00393E62" w:rsidP="00393E62">
            <w:pPr>
              <w:rPr>
                <w:rFonts w:cs="Calibri"/>
                <w:sz w:val="18"/>
                <w:szCs w:val="18"/>
              </w:rPr>
            </w:pPr>
          </w:p>
        </w:tc>
      </w:tr>
      <w:tr w:rsidR="00761840" w:rsidRPr="00761840" w14:paraId="457F5BB4" w14:textId="77777777" w:rsidTr="0004564D">
        <w:trPr>
          <w:gridAfter w:val="3"/>
          <w:wAfter w:w="304" w:type="pct"/>
          <w:trHeight w:val="23"/>
        </w:trPr>
        <w:tc>
          <w:tcPr>
            <w:tcW w:w="699" w:type="pct"/>
            <w:tcBorders>
              <w:top w:val="nil"/>
              <w:left w:val="single" w:sz="2" w:space="0" w:color="auto"/>
              <w:bottom w:val="nil"/>
              <w:right w:val="single" w:sz="2" w:space="0" w:color="auto"/>
            </w:tcBorders>
          </w:tcPr>
          <w:p w14:paraId="46C3F99A" w14:textId="77777777" w:rsidR="00393E62" w:rsidRPr="006E293E" w:rsidRDefault="00393E62" w:rsidP="00393E62">
            <w:pPr>
              <w:rPr>
                <w:rFonts w:cs="Calibri"/>
                <w:color w:val="7030A0"/>
                <w:sz w:val="14"/>
                <w:szCs w:val="14"/>
              </w:rPr>
            </w:pPr>
          </w:p>
        </w:tc>
        <w:tc>
          <w:tcPr>
            <w:tcW w:w="2664" w:type="pct"/>
            <w:gridSpan w:val="2"/>
            <w:tcBorders>
              <w:top w:val="nil"/>
              <w:left w:val="single" w:sz="2" w:space="0" w:color="auto"/>
              <w:bottom w:val="nil"/>
              <w:right w:val="nil"/>
            </w:tcBorders>
          </w:tcPr>
          <w:p w14:paraId="674B725E" w14:textId="77777777" w:rsidR="00393E62" w:rsidRPr="00761840" w:rsidRDefault="00393E62" w:rsidP="00393E62">
            <w:pPr>
              <w:rPr>
                <w:rFonts w:cs="Calibri"/>
                <w:b/>
                <w:bCs/>
                <w:sz w:val="18"/>
                <w:szCs w:val="18"/>
              </w:rPr>
            </w:pPr>
          </w:p>
        </w:tc>
        <w:tc>
          <w:tcPr>
            <w:tcW w:w="654" w:type="pct"/>
            <w:gridSpan w:val="2"/>
            <w:tcBorders>
              <w:top w:val="double" w:sz="4" w:space="0" w:color="auto"/>
              <w:left w:val="nil"/>
              <w:bottom w:val="nil"/>
              <w:right w:val="nil"/>
            </w:tcBorders>
            <w:vAlign w:val="bottom"/>
          </w:tcPr>
          <w:p w14:paraId="546F6FCA" w14:textId="77777777" w:rsidR="00393E62" w:rsidRPr="00761840" w:rsidRDefault="00393E62" w:rsidP="00393E62">
            <w:pPr>
              <w:rPr>
                <w:rFonts w:cs="Calibri"/>
                <w:sz w:val="18"/>
                <w:szCs w:val="18"/>
              </w:rPr>
            </w:pPr>
          </w:p>
        </w:tc>
        <w:tc>
          <w:tcPr>
            <w:tcW w:w="679" w:type="pct"/>
            <w:gridSpan w:val="4"/>
            <w:tcBorders>
              <w:top w:val="double" w:sz="4" w:space="0" w:color="auto"/>
              <w:left w:val="nil"/>
              <w:bottom w:val="nil"/>
              <w:right w:val="nil"/>
            </w:tcBorders>
            <w:vAlign w:val="bottom"/>
          </w:tcPr>
          <w:p w14:paraId="52208AF3" w14:textId="77777777" w:rsidR="00393E62" w:rsidRPr="00761840" w:rsidRDefault="00393E62" w:rsidP="00393E62">
            <w:pPr>
              <w:rPr>
                <w:rFonts w:cs="Calibri"/>
                <w:sz w:val="18"/>
                <w:szCs w:val="18"/>
              </w:rPr>
            </w:pPr>
          </w:p>
        </w:tc>
      </w:tr>
      <w:tr w:rsidR="00761840" w:rsidRPr="00761840" w14:paraId="3471E92E" w14:textId="77777777" w:rsidTr="0004564D">
        <w:trPr>
          <w:gridAfter w:val="3"/>
          <w:wAfter w:w="304" w:type="pct"/>
          <w:trHeight w:val="23"/>
        </w:trPr>
        <w:tc>
          <w:tcPr>
            <w:tcW w:w="699" w:type="pct"/>
            <w:tcBorders>
              <w:top w:val="nil"/>
              <w:left w:val="single" w:sz="2" w:space="0" w:color="auto"/>
              <w:bottom w:val="nil"/>
              <w:right w:val="single" w:sz="2" w:space="0" w:color="auto"/>
            </w:tcBorders>
          </w:tcPr>
          <w:p w14:paraId="4A381CA2" w14:textId="77777777" w:rsidR="00393E62" w:rsidRPr="006E293E" w:rsidRDefault="00393E62" w:rsidP="00393E62">
            <w:pPr>
              <w:rPr>
                <w:rFonts w:cs="Calibri"/>
                <w:color w:val="7030A0"/>
                <w:sz w:val="18"/>
                <w:szCs w:val="18"/>
              </w:rPr>
            </w:pPr>
          </w:p>
        </w:tc>
        <w:tc>
          <w:tcPr>
            <w:tcW w:w="3997" w:type="pct"/>
            <w:gridSpan w:val="8"/>
            <w:tcBorders>
              <w:top w:val="nil"/>
              <w:left w:val="single" w:sz="2" w:space="0" w:color="auto"/>
              <w:bottom w:val="nil"/>
              <w:right w:val="nil"/>
            </w:tcBorders>
          </w:tcPr>
          <w:p w14:paraId="40DB344B" w14:textId="5A7F26BC" w:rsidR="00393E62" w:rsidRPr="00761840" w:rsidRDefault="00393E62" w:rsidP="007122BC">
            <w:pPr>
              <w:pStyle w:val="ListParagraph"/>
              <w:numPr>
                <w:ilvl w:val="0"/>
                <w:numId w:val="54"/>
              </w:numPr>
              <w:ind w:left="363"/>
              <w:jc w:val="both"/>
              <w:rPr>
                <w:rFonts w:cs="Calibri"/>
                <w:sz w:val="18"/>
                <w:szCs w:val="18"/>
              </w:rPr>
            </w:pPr>
            <w:r w:rsidRPr="00761840">
              <w:rPr>
                <w:rFonts w:cs="Calibri"/>
                <w:sz w:val="18"/>
                <w:szCs w:val="18"/>
              </w:rPr>
              <w:t>The overall decrease in ACT Government borrowings of $</w:t>
            </w:r>
            <w:r w:rsidR="006E293E" w:rsidRPr="00761840">
              <w:rPr>
                <w:rFonts w:cs="Calibri"/>
                <w:sz w:val="18"/>
                <w:szCs w:val="18"/>
              </w:rPr>
              <w:t>xxx</w:t>
            </w:r>
            <w:r w:rsidRPr="00761840">
              <w:rPr>
                <w:rFonts w:cs="Calibri"/>
                <w:sz w:val="18"/>
                <w:szCs w:val="18"/>
              </w:rPr>
              <w:t xml:space="preserve"> is due to a planned reduction in borrowings throughout 2021-22.</w:t>
            </w:r>
          </w:p>
        </w:tc>
      </w:tr>
      <w:tr w:rsidR="00BB62BB" w:rsidRPr="008D5344" w14:paraId="3B7E99E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94" w:type="pct"/>
          <w:trHeight w:val="20"/>
        </w:trPr>
        <w:tc>
          <w:tcPr>
            <w:tcW w:w="699" w:type="pct"/>
            <w:tcBorders>
              <w:top w:val="nil"/>
              <w:left w:val="single" w:sz="2" w:space="0" w:color="auto"/>
              <w:bottom w:val="nil"/>
              <w:right w:val="single" w:sz="2" w:space="0" w:color="auto"/>
            </w:tcBorders>
          </w:tcPr>
          <w:p w14:paraId="72D0F647" w14:textId="77777777" w:rsidR="00BB62BB" w:rsidRPr="006E293E" w:rsidRDefault="00BB62BB" w:rsidP="0068466F">
            <w:pPr>
              <w:tabs>
                <w:tab w:val="left" w:pos="3306"/>
              </w:tabs>
              <w:spacing w:before="40"/>
              <w:rPr>
                <w:rFonts w:cs="Calibri"/>
                <w:color w:val="7030A0"/>
                <w:sz w:val="14"/>
                <w:szCs w:val="14"/>
              </w:rPr>
            </w:pPr>
          </w:p>
        </w:tc>
        <w:tc>
          <w:tcPr>
            <w:tcW w:w="4007" w:type="pct"/>
            <w:gridSpan w:val="9"/>
            <w:tcBorders>
              <w:top w:val="nil"/>
              <w:left w:val="single" w:sz="2" w:space="0" w:color="auto"/>
              <w:bottom w:val="nil"/>
            </w:tcBorders>
            <w:vAlign w:val="bottom"/>
          </w:tcPr>
          <w:p w14:paraId="4DD9E6F8" w14:textId="77777777" w:rsidR="00BB62BB" w:rsidRPr="00761840" w:rsidRDefault="00BB62BB" w:rsidP="0068466F">
            <w:pPr>
              <w:tabs>
                <w:tab w:val="left" w:pos="3306"/>
              </w:tabs>
              <w:spacing w:before="40"/>
              <w:jc w:val="right"/>
              <w:rPr>
                <w:rFonts w:cs="Calibri"/>
                <w:sz w:val="18"/>
                <w:szCs w:val="18"/>
              </w:rPr>
            </w:pPr>
          </w:p>
        </w:tc>
      </w:tr>
      <w:tr w:rsidR="00E464CB" w:rsidRPr="00E464CB" w14:paraId="0BF47C66" w14:textId="77777777" w:rsidTr="0004564D">
        <w:trPr>
          <w:gridAfter w:val="2"/>
          <w:wAfter w:w="294" w:type="pct"/>
          <w:trHeight w:val="236"/>
        </w:trPr>
        <w:tc>
          <w:tcPr>
            <w:tcW w:w="699" w:type="pct"/>
            <w:tcBorders>
              <w:top w:val="nil"/>
              <w:left w:val="single" w:sz="2" w:space="0" w:color="auto"/>
              <w:bottom w:val="nil"/>
              <w:right w:val="single" w:sz="2" w:space="0" w:color="auto"/>
            </w:tcBorders>
          </w:tcPr>
          <w:p w14:paraId="0BCC51A4" w14:textId="77777777" w:rsidR="00E464CB" w:rsidRPr="006E293E" w:rsidRDefault="00E464CB" w:rsidP="008D5344">
            <w:pPr>
              <w:tabs>
                <w:tab w:val="left" w:pos="3306"/>
              </w:tabs>
              <w:rPr>
                <w:rFonts w:cs="Calibri"/>
                <w:color w:val="7030A0"/>
                <w:sz w:val="14"/>
                <w:szCs w:val="14"/>
              </w:rPr>
            </w:pPr>
          </w:p>
        </w:tc>
        <w:tc>
          <w:tcPr>
            <w:tcW w:w="4007" w:type="pct"/>
            <w:gridSpan w:val="9"/>
            <w:tcBorders>
              <w:top w:val="nil"/>
              <w:left w:val="single" w:sz="2" w:space="0" w:color="auto"/>
              <w:bottom w:val="nil"/>
              <w:right w:val="nil"/>
            </w:tcBorders>
            <w:vAlign w:val="bottom"/>
          </w:tcPr>
          <w:p w14:paraId="3864BEB2" w14:textId="08F4FE87" w:rsidR="00E464CB" w:rsidRPr="00761840" w:rsidRDefault="00E464CB" w:rsidP="008D5344">
            <w:pPr>
              <w:keepNext/>
              <w:tabs>
                <w:tab w:val="left" w:pos="3306"/>
              </w:tabs>
              <w:rPr>
                <w:rFonts w:cs="Calibri"/>
                <w:b/>
                <w:bCs/>
                <w:sz w:val="18"/>
                <w:szCs w:val="18"/>
              </w:rPr>
            </w:pPr>
            <w:r w:rsidRPr="00761840">
              <w:rPr>
                <w:rFonts w:cs="Calibri"/>
                <w:b/>
                <w:bCs/>
                <w:sz w:val="18"/>
                <w:szCs w:val="18"/>
              </w:rPr>
              <w:t>Credit Facilities</w:t>
            </w:r>
            <w:r w:rsidR="001A6B8B" w:rsidRPr="00761840">
              <w:rPr>
                <w:rFonts w:cs="Calibri"/>
                <w:b/>
                <w:bCs/>
                <w:sz w:val="18"/>
                <w:szCs w:val="18"/>
              </w:rPr>
              <w:t xml:space="preserve"> </w:t>
            </w:r>
          </w:p>
        </w:tc>
      </w:tr>
      <w:tr w:rsidR="00E464CB" w:rsidRPr="00E464CB" w14:paraId="1F0E0AAF" w14:textId="77777777" w:rsidTr="0004564D">
        <w:trPr>
          <w:gridAfter w:val="2"/>
          <w:wAfter w:w="294" w:type="pct"/>
          <w:trHeight w:val="23"/>
        </w:trPr>
        <w:tc>
          <w:tcPr>
            <w:tcW w:w="699" w:type="pct"/>
            <w:tcBorders>
              <w:top w:val="nil"/>
              <w:left w:val="single" w:sz="2" w:space="0" w:color="auto"/>
              <w:bottom w:val="nil"/>
              <w:right w:val="single" w:sz="2" w:space="0" w:color="auto"/>
            </w:tcBorders>
          </w:tcPr>
          <w:p w14:paraId="3D54FE57" w14:textId="77777777" w:rsidR="00E464CB" w:rsidRPr="006E293E" w:rsidRDefault="00E464CB" w:rsidP="00E464CB">
            <w:pPr>
              <w:tabs>
                <w:tab w:val="left" w:pos="3306"/>
              </w:tabs>
              <w:spacing w:before="40"/>
              <w:rPr>
                <w:rFonts w:cs="Calibri"/>
                <w:color w:val="7030A0"/>
                <w:sz w:val="14"/>
                <w:szCs w:val="14"/>
              </w:rPr>
            </w:pPr>
            <w:r w:rsidRPr="006E293E">
              <w:rPr>
                <w:rFonts w:cs="Calibri"/>
                <w:color w:val="7030A0"/>
                <w:sz w:val="14"/>
                <w:szCs w:val="14"/>
              </w:rPr>
              <w:t>ACT Disclosure Policy</w:t>
            </w:r>
          </w:p>
        </w:tc>
        <w:tc>
          <w:tcPr>
            <w:tcW w:w="4007" w:type="pct"/>
            <w:gridSpan w:val="9"/>
            <w:tcBorders>
              <w:top w:val="nil"/>
              <w:left w:val="single" w:sz="2" w:space="0" w:color="auto"/>
              <w:bottom w:val="nil"/>
              <w:right w:val="nil"/>
            </w:tcBorders>
            <w:vAlign w:val="bottom"/>
          </w:tcPr>
          <w:p w14:paraId="00AE2CAC" w14:textId="77777777" w:rsidR="00E464CB" w:rsidRPr="00761840" w:rsidRDefault="00E464CB" w:rsidP="00E464CB">
            <w:pPr>
              <w:spacing w:after="160" w:line="259" w:lineRule="auto"/>
              <w:jc w:val="both"/>
              <w:rPr>
                <w:rFonts w:eastAsia="Calibri" w:cs="Calibri"/>
                <w:sz w:val="18"/>
                <w:szCs w:val="18"/>
                <w:lang w:eastAsia="en-AU"/>
              </w:rPr>
            </w:pPr>
            <w:r w:rsidRPr="00761840">
              <w:rPr>
                <w:rFonts w:eastAsia="Calibri" w:cs="Calibri"/>
                <w:sz w:val="18"/>
                <w:szCs w:val="18"/>
                <w:lang w:eastAsia="en-AU"/>
              </w:rPr>
              <w:t>There are no formal credit facilities in place for the Agency with the Territory's appointed transactional bank. </w:t>
            </w:r>
          </w:p>
          <w:p w14:paraId="34F46687" w14:textId="716BE0ED" w:rsidR="00E464CB" w:rsidRPr="00761840" w:rsidRDefault="00E464CB" w:rsidP="00E464CB">
            <w:pPr>
              <w:spacing w:after="120" w:line="259" w:lineRule="auto"/>
              <w:jc w:val="both"/>
              <w:rPr>
                <w:rFonts w:eastAsia="Calibri" w:cs="Calibri"/>
                <w:sz w:val="18"/>
                <w:szCs w:val="18"/>
                <w:lang w:eastAsia="en-AU"/>
              </w:rPr>
            </w:pPr>
            <w:r w:rsidRPr="00761840">
              <w:rPr>
                <w:rFonts w:eastAsia="Calibri" w:cs="Calibri"/>
                <w:sz w:val="18"/>
                <w:szCs w:val="18"/>
                <w:lang w:eastAsia="en-AU"/>
              </w:rPr>
              <w:t>If the Agency’s account</w:t>
            </w:r>
            <w:r w:rsidR="00A92E53" w:rsidRPr="00761840">
              <w:rPr>
                <w:rFonts w:eastAsia="Calibri" w:cs="Calibri"/>
                <w:sz w:val="18"/>
                <w:szCs w:val="18"/>
                <w:lang w:eastAsia="en-AU"/>
              </w:rPr>
              <w:t>s</w:t>
            </w:r>
            <w:r w:rsidRPr="00761840">
              <w:rPr>
                <w:rFonts w:eastAsia="Calibri" w:cs="Calibri"/>
                <w:sz w:val="18"/>
                <w:szCs w:val="18"/>
                <w:lang w:eastAsia="en-AU"/>
              </w:rPr>
              <w:t xml:space="preserve"> go into overdraft throughout the year, the Agency is not charged interest</w:t>
            </w:r>
            <w:r w:rsidR="00A92E53" w:rsidRPr="00761840">
              <w:rPr>
                <w:rFonts w:eastAsia="Calibri" w:cs="Calibri"/>
                <w:sz w:val="18"/>
                <w:szCs w:val="18"/>
                <w:lang w:eastAsia="en-AU"/>
              </w:rPr>
              <w:t xml:space="preserve"> as its bank accounts are set-off accounts as part of the Whole-of-Government Banking arrangements</w:t>
            </w:r>
            <w:r w:rsidRPr="00761840">
              <w:rPr>
                <w:rFonts w:eastAsia="Calibri" w:cs="Calibri"/>
                <w:sz w:val="18"/>
                <w:szCs w:val="18"/>
                <w:lang w:eastAsia="en-AU"/>
              </w:rPr>
              <w:t>. However, the overdraft position is required to be rectified as soon as possible.</w:t>
            </w:r>
            <w:r w:rsidR="00FA7C77">
              <w:rPr>
                <w:rFonts w:eastAsia="Calibri" w:cs="Calibri"/>
                <w:sz w:val="18"/>
                <w:szCs w:val="18"/>
                <w:lang w:eastAsia="en-AU"/>
              </w:rPr>
              <w:t xml:space="preserve"> </w:t>
            </w:r>
            <w:r w:rsidRPr="00761840">
              <w:rPr>
                <w:rFonts w:eastAsia="Calibri" w:cs="Calibri"/>
                <w:sz w:val="18"/>
                <w:szCs w:val="18"/>
              </w:rPr>
              <w:t xml:space="preserve">The Agency went into overdraft for a short period of time in November </w:t>
            </w:r>
            <w:r w:rsidR="00B849FB" w:rsidRPr="00761840">
              <w:rPr>
                <w:rFonts w:eastAsia="Calibri" w:cs="Calibri"/>
                <w:sz w:val="18"/>
                <w:szCs w:val="18"/>
              </w:rPr>
              <w:t>2021</w:t>
            </w:r>
            <w:r w:rsidRPr="00761840">
              <w:rPr>
                <w:rFonts w:eastAsia="Calibri" w:cs="Calibri"/>
                <w:sz w:val="18"/>
                <w:szCs w:val="18"/>
              </w:rPr>
              <w:t>, and rectified the situation immediately.</w:t>
            </w:r>
          </w:p>
        </w:tc>
      </w:tr>
      <w:tr w:rsidR="00071F65" w:rsidRPr="00E464CB" w14:paraId="4AE9C6C6"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gridAfter w:val="2"/>
          <w:wAfter w:w="294" w:type="pct"/>
          <w:trHeight w:val="283"/>
        </w:trPr>
        <w:tc>
          <w:tcPr>
            <w:tcW w:w="699" w:type="pct"/>
            <w:tcBorders>
              <w:left w:val="single" w:sz="2" w:space="0" w:color="auto"/>
              <w:right w:val="single" w:sz="2" w:space="0" w:color="auto"/>
            </w:tcBorders>
          </w:tcPr>
          <w:p w14:paraId="78BC9F0B" w14:textId="250D29F3" w:rsidR="00071F65" w:rsidRPr="00B849FB" w:rsidRDefault="006E293E" w:rsidP="00761840">
            <w:pPr>
              <w:tabs>
                <w:tab w:val="left" w:pos="3306"/>
              </w:tabs>
              <w:spacing w:before="240" w:after="240"/>
              <w:rPr>
                <w:rFonts w:cs="Calibri"/>
                <w:sz w:val="14"/>
                <w:szCs w:val="14"/>
              </w:rPr>
            </w:pPr>
            <w:r w:rsidRPr="006E293E">
              <w:rPr>
                <w:rFonts w:cs="Calibri"/>
                <w:b/>
                <w:bCs/>
                <w:color w:val="7030A0"/>
                <w:szCs w:val="22"/>
              </w:rPr>
              <w:t>Reference</w:t>
            </w:r>
          </w:p>
        </w:tc>
        <w:tc>
          <w:tcPr>
            <w:tcW w:w="4007" w:type="pct"/>
            <w:gridSpan w:val="9"/>
            <w:tcBorders>
              <w:left w:val="single" w:sz="2" w:space="0" w:color="auto"/>
            </w:tcBorders>
            <w:shd w:val="clear" w:color="auto" w:fill="7030A0"/>
          </w:tcPr>
          <w:p w14:paraId="772E6BC8" w14:textId="147051D9" w:rsidR="00071F65" w:rsidRPr="006E293E" w:rsidRDefault="00071F65" w:rsidP="00071F65">
            <w:pPr>
              <w:pageBreakBefore/>
              <w:spacing w:before="120" w:after="240"/>
              <w:rPr>
                <w:rFonts w:cs="Calibri"/>
                <w:b/>
                <w:bCs/>
                <w:color w:val="FFFFFF" w:themeColor="background1"/>
                <w:sz w:val="28"/>
                <w:szCs w:val="28"/>
              </w:rPr>
            </w:pPr>
            <w:r w:rsidRPr="006E293E">
              <w:rPr>
                <w:rFonts w:cs="Calibri"/>
                <w:b/>
                <w:bCs/>
                <w:color w:val="FFFFFF" w:themeColor="background1"/>
                <w:sz w:val="28"/>
                <w:szCs w:val="28"/>
              </w:rPr>
              <w:t xml:space="preserve">Commentary </w:t>
            </w:r>
            <w:r w:rsidRPr="006E293E">
              <w:rPr>
                <w:rFonts w:cs="Calibri"/>
                <w:b/>
                <w:bCs/>
                <w:color w:val="FFFFFF" w:themeColor="background1"/>
                <w:sz w:val="28"/>
                <w:szCs w:val="28"/>
              </w:rPr>
              <w:sym w:font="Symbol" w:char="F02D"/>
            </w:r>
            <w:r w:rsidRPr="006E293E">
              <w:rPr>
                <w:rFonts w:cs="Calibri"/>
                <w:b/>
                <w:bCs/>
                <w:color w:val="FFFFFF" w:themeColor="background1"/>
                <w:sz w:val="28"/>
                <w:szCs w:val="28"/>
              </w:rPr>
              <w:t xml:space="preserve"> Note </w:t>
            </w:r>
            <w:r w:rsidR="00DE287B" w:rsidRPr="006E293E">
              <w:rPr>
                <w:rFonts w:cs="Calibri"/>
                <w:b/>
                <w:bCs/>
                <w:color w:val="FFFFFF" w:themeColor="background1"/>
                <w:sz w:val="28"/>
                <w:szCs w:val="28"/>
              </w:rPr>
              <w:t>25</w:t>
            </w:r>
            <w:r w:rsidRPr="006E293E">
              <w:rPr>
                <w:rFonts w:cs="Calibri"/>
                <w:b/>
                <w:bCs/>
                <w:color w:val="FFFFFF" w:themeColor="background1"/>
                <w:sz w:val="28"/>
                <w:szCs w:val="28"/>
              </w:rPr>
              <w:t xml:space="preserve">: </w:t>
            </w:r>
            <w:r w:rsidR="005B0181" w:rsidRPr="006E293E">
              <w:rPr>
                <w:rFonts w:cs="Calibri"/>
                <w:b/>
                <w:bCs/>
                <w:color w:val="FFFFFF" w:themeColor="background1"/>
                <w:sz w:val="28"/>
                <w:szCs w:val="28"/>
              </w:rPr>
              <w:t>Borrowings</w:t>
            </w:r>
          </w:p>
        </w:tc>
      </w:tr>
      <w:tr w:rsidR="001C4985" w:rsidRPr="00E464CB" w14:paraId="22FB73F7" w14:textId="77777777" w:rsidTr="0004564D">
        <w:trPr>
          <w:gridAfter w:val="2"/>
          <w:wAfter w:w="294" w:type="pct"/>
          <w:trHeight w:val="23"/>
        </w:trPr>
        <w:tc>
          <w:tcPr>
            <w:tcW w:w="699" w:type="pct"/>
            <w:tcBorders>
              <w:top w:val="nil"/>
              <w:left w:val="single" w:sz="2" w:space="0" w:color="auto"/>
              <w:bottom w:val="nil"/>
              <w:right w:val="single" w:sz="2" w:space="0" w:color="auto"/>
            </w:tcBorders>
          </w:tcPr>
          <w:p w14:paraId="6342EFE4" w14:textId="77777777" w:rsidR="001C4985" w:rsidRPr="00B849FB" w:rsidRDefault="001C4985" w:rsidP="001C4985">
            <w:pPr>
              <w:tabs>
                <w:tab w:val="left" w:pos="3306"/>
              </w:tabs>
              <w:spacing w:before="60"/>
              <w:rPr>
                <w:rFonts w:cs="Calibri"/>
                <w:sz w:val="14"/>
                <w:szCs w:val="14"/>
              </w:rPr>
            </w:pPr>
          </w:p>
        </w:tc>
        <w:tc>
          <w:tcPr>
            <w:tcW w:w="4007" w:type="pct"/>
            <w:gridSpan w:val="9"/>
            <w:tcBorders>
              <w:top w:val="nil"/>
              <w:left w:val="single" w:sz="2" w:space="0" w:color="auto"/>
              <w:bottom w:val="nil"/>
              <w:right w:val="nil"/>
            </w:tcBorders>
            <w:shd w:val="clear" w:color="auto" w:fill="7030A0"/>
          </w:tcPr>
          <w:p w14:paraId="19F9E60E" w14:textId="77FD6744" w:rsidR="001C4985" w:rsidRPr="00413D72" w:rsidRDefault="001C4985" w:rsidP="001C4985">
            <w:pPr>
              <w:tabs>
                <w:tab w:val="left" w:pos="3306"/>
              </w:tabs>
              <w:spacing w:line="259" w:lineRule="auto"/>
              <w:jc w:val="both"/>
              <w:rPr>
                <w:rFonts w:eastAsia="Calibri" w:cs="Calibri"/>
                <w:b/>
                <w:bCs/>
                <w:color w:val="FFFFFF" w:themeColor="background1"/>
                <w:sz w:val="20"/>
                <w:szCs w:val="20"/>
              </w:rPr>
            </w:pPr>
            <w:r w:rsidRPr="00413D72">
              <w:rPr>
                <w:b/>
                <w:bCs/>
                <w:color w:val="FFFFFF" w:themeColor="background1"/>
                <w:sz w:val="20"/>
                <w:szCs w:val="20"/>
              </w:rPr>
              <w:t xml:space="preserve">Credit Facilities </w:t>
            </w:r>
          </w:p>
        </w:tc>
      </w:tr>
      <w:tr w:rsidR="001C4985" w:rsidRPr="00E464CB" w14:paraId="68D0958D" w14:textId="77777777" w:rsidTr="0004564D">
        <w:trPr>
          <w:gridAfter w:val="2"/>
          <w:wAfter w:w="294" w:type="pct"/>
          <w:trHeight w:val="23"/>
        </w:trPr>
        <w:tc>
          <w:tcPr>
            <w:tcW w:w="699" w:type="pct"/>
            <w:tcBorders>
              <w:top w:val="nil"/>
              <w:left w:val="single" w:sz="2" w:space="0" w:color="auto"/>
              <w:bottom w:val="nil"/>
              <w:right w:val="single" w:sz="2" w:space="0" w:color="auto"/>
            </w:tcBorders>
          </w:tcPr>
          <w:p w14:paraId="04CD5D3B" w14:textId="77777777" w:rsidR="001C4985" w:rsidRPr="00B849FB" w:rsidRDefault="001C4985" w:rsidP="001C4985">
            <w:pPr>
              <w:tabs>
                <w:tab w:val="left" w:pos="3306"/>
              </w:tabs>
              <w:spacing w:before="60"/>
              <w:rPr>
                <w:rFonts w:cs="Calibri"/>
                <w:sz w:val="14"/>
                <w:szCs w:val="14"/>
              </w:rPr>
            </w:pPr>
          </w:p>
        </w:tc>
        <w:tc>
          <w:tcPr>
            <w:tcW w:w="4007" w:type="pct"/>
            <w:gridSpan w:val="9"/>
            <w:tcBorders>
              <w:top w:val="nil"/>
              <w:left w:val="single" w:sz="2" w:space="0" w:color="auto"/>
              <w:bottom w:val="nil"/>
              <w:right w:val="nil"/>
            </w:tcBorders>
            <w:shd w:val="clear" w:color="auto" w:fill="7030A0"/>
          </w:tcPr>
          <w:p w14:paraId="557E4958" w14:textId="38CBF3AE" w:rsidR="001C4985" w:rsidRPr="006E293E" w:rsidRDefault="001C4985" w:rsidP="001C4985">
            <w:pPr>
              <w:tabs>
                <w:tab w:val="left" w:pos="3306"/>
              </w:tabs>
              <w:spacing w:after="120" w:line="259" w:lineRule="auto"/>
              <w:jc w:val="both"/>
              <w:rPr>
                <w:rFonts w:eastAsia="Calibri" w:cs="Calibri"/>
                <w:color w:val="FFFFFF" w:themeColor="background1"/>
                <w:sz w:val="18"/>
                <w:szCs w:val="18"/>
              </w:rPr>
            </w:pPr>
            <w:r w:rsidRPr="006E293E">
              <w:rPr>
                <w:color w:val="FFFFFF" w:themeColor="background1"/>
                <w:sz w:val="18"/>
                <w:szCs w:val="18"/>
              </w:rPr>
              <w:t xml:space="preserve">Agencies can have either set-off or non set-off bank accounts through the </w:t>
            </w:r>
            <w:r w:rsidR="00A4259B" w:rsidRPr="006E293E">
              <w:rPr>
                <w:color w:val="FFFFFF" w:themeColor="background1"/>
                <w:sz w:val="18"/>
                <w:szCs w:val="18"/>
              </w:rPr>
              <w:t>Territory</w:t>
            </w:r>
            <w:r w:rsidRPr="006E293E">
              <w:rPr>
                <w:color w:val="FFFFFF" w:themeColor="background1"/>
                <w:sz w:val="18"/>
                <w:szCs w:val="18"/>
              </w:rPr>
              <w:t xml:space="preserve"> Banking Account with </w:t>
            </w:r>
            <w:r w:rsidR="00A4259B" w:rsidRPr="006E293E">
              <w:rPr>
                <w:color w:val="FFFFFF" w:themeColor="background1"/>
                <w:sz w:val="18"/>
                <w:szCs w:val="18"/>
              </w:rPr>
              <w:t>Westpac</w:t>
            </w:r>
            <w:r w:rsidRPr="006E293E">
              <w:rPr>
                <w:color w:val="FFFFFF" w:themeColor="background1"/>
                <w:sz w:val="18"/>
                <w:szCs w:val="18"/>
              </w:rPr>
              <w:t xml:space="preserve"> as part of the Whole-of-Government Banking Arrangement.</w:t>
            </w:r>
            <w:r w:rsidR="00FA7C77">
              <w:rPr>
                <w:color w:val="FFFFFF" w:themeColor="background1"/>
                <w:sz w:val="18"/>
                <w:szCs w:val="18"/>
              </w:rPr>
              <w:t xml:space="preserve"> </w:t>
            </w:r>
            <w:r w:rsidRPr="006E293E">
              <w:rPr>
                <w:color w:val="FFFFFF" w:themeColor="background1"/>
                <w:sz w:val="18"/>
                <w:szCs w:val="18"/>
              </w:rPr>
              <w:t xml:space="preserve">Agencies that have set-off bank accounts will not be charged interest </w:t>
            </w:r>
            <w:r w:rsidR="00AB7088" w:rsidRPr="006E293E">
              <w:rPr>
                <w:color w:val="FFFFFF" w:themeColor="background1"/>
                <w:sz w:val="18"/>
                <w:szCs w:val="18"/>
              </w:rPr>
              <w:t>where the bank account is overdrawn at any stage throughout the financial year.</w:t>
            </w:r>
            <w:r w:rsidRPr="006E293E">
              <w:rPr>
                <w:color w:val="FFFFFF" w:themeColor="background1"/>
                <w:sz w:val="18"/>
                <w:szCs w:val="18"/>
              </w:rPr>
              <w:t xml:space="preserve"> However, agencies that have </w:t>
            </w:r>
            <w:r w:rsidR="00AB7088" w:rsidRPr="006E293E">
              <w:rPr>
                <w:color w:val="FFFFFF" w:themeColor="background1"/>
                <w:sz w:val="18"/>
                <w:szCs w:val="18"/>
              </w:rPr>
              <w:t xml:space="preserve">non </w:t>
            </w:r>
            <w:r w:rsidRPr="006E293E">
              <w:rPr>
                <w:color w:val="FFFFFF" w:themeColor="background1"/>
                <w:sz w:val="18"/>
                <w:szCs w:val="18"/>
              </w:rPr>
              <w:t xml:space="preserve">set-off bank accounts will </w:t>
            </w:r>
            <w:r w:rsidR="00AB7088" w:rsidRPr="006E293E">
              <w:rPr>
                <w:color w:val="FFFFFF" w:themeColor="background1"/>
                <w:sz w:val="18"/>
                <w:szCs w:val="18"/>
              </w:rPr>
              <w:t>be charged interest where the bank account is overdrawn.</w:t>
            </w:r>
            <w:r w:rsidR="00FA7C77">
              <w:rPr>
                <w:color w:val="FFFFFF" w:themeColor="background1"/>
                <w:sz w:val="18"/>
                <w:szCs w:val="18"/>
              </w:rPr>
              <w:t xml:space="preserve"> </w:t>
            </w:r>
            <w:r w:rsidR="00AB7088" w:rsidRPr="006E293E">
              <w:rPr>
                <w:color w:val="FFFFFF" w:themeColor="background1"/>
                <w:sz w:val="18"/>
                <w:szCs w:val="18"/>
              </w:rPr>
              <w:t xml:space="preserve">Interest paid on overdrawn non set-off bank accounts </w:t>
            </w:r>
            <w:r w:rsidRPr="006E293E">
              <w:rPr>
                <w:color w:val="FFFFFF" w:themeColor="background1"/>
                <w:sz w:val="18"/>
                <w:szCs w:val="18"/>
              </w:rPr>
              <w:t xml:space="preserve">should be recorded as interest </w:t>
            </w:r>
            <w:r w:rsidR="001E1DD5" w:rsidRPr="006E293E">
              <w:rPr>
                <w:color w:val="FFFFFF" w:themeColor="background1"/>
                <w:sz w:val="18"/>
                <w:szCs w:val="18"/>
              </w:rPr>
              <w:t>expense</w:t>
            </w:r>
            <w:r w:rsidRPr="006E293E">
              <w:rPr>
                <w:color w:val="FFFFFF" w:themeColor="background1"/>
                <w:sz w:val="18"/>
                <w:szCs w:val="18"/>
              </w:rPr>
              <w:t xml:space="preserve"> in Note </w:t>
            </w:r>
            <w:r w:rsidR="001E1DD5" w:rsidRPr="006E293E">
              <w:rPr>
                <w:color w:val="FFFFFF" w:themeColor="background1"/>
                <w:sz w:val="18"/>
                <w:szCs w:val="18"/>
              </w:rPr>
              <w:t>13</w:t>
            </w:r>
            <w:r w:rsidRPr="006E293E">
              <w:rPr>
                <w:color w:val="FFFFFF" w:themeColor="background1"/>
                <w:sz w:val="18"/>
                <w:szCs w:val="18"/>
              </w:rPr>
              <w:t xml:space="preserve"> </w:t>
            </w:r>
            <w:r w:rsidR="001E1DD5" w:rsidRPr="006E293E">
              <w:rPr>
                <w:i/>
                <w:iCs/>
                <w:color w:val="FFFFFF" w:themeColor="background1"/>
                <w:sz w:val="18"/>
                <w:szCs w:val="18"/>
              </w:rPr>
              <w:t>Borrowing Costs</w:t>
            </w:r>
            <w:r w:rsidRPr="006E293E">
              <w:rPr>
                <w:color w:val="FFFFFF" w:themeColor="background1"/>
                <w:sz w:val="18"/>
                <w:szCs w:val="18"/>
              </w:rPr>
              <w:t>.</w:t>
            </w:r>
            <w:r w:rsidR="00FA7C77">
              <w:rPr>
                <w:color w:val="FFFFFF" w:themeColor="background1"/>
                <w:sz w:val="18"/>
                <w:szCs w:val="18"/>
              </w:rPr>
              <w:t xml:space="preserve"> </w:t>
            </w:r>
          </w:p>
        </w:tc>
      </w:tr>
      <w:tr w:rsidR="001C4985" w:rsidRPr="00E464CB" w14:paraId="7726D457" w14:textId="77777777" w:rsidTr="0004564D">
        <w:trPr>
          <w:gridAfter w:val="2"/>
          <w:wAfter w:w="294" w:type="pct"/>
          <w:trHeight w:val="23"/>
        </w:trPr>
        <w:tc>
          <w:tcPr>
            <w:tcW w:w="699" w:type="pct"/>
            <w:tcBorders>
              <w:top w:val="nil"/>
              <w:left w:val="single" w:sz="2" w:space="0" w:color="auto"/>
              <w:bottom w:val="nil"/>
              <w:right w:val="single" w:sz="2" w:space="0" w:color="auto"/>
            </w:tcBorders>
          </w:tcPr>
          <w:p w14:paraId="04A38D75" w14:textId="77777777" w:rsidR="001C4985" w:rsidRPr="00B849FB" w:rsidRDefault="001C4985" w:rsidP="001C4985">
            <w:pPr>
              <w:tabs>
                <w:tab w:val="left" w:pos="3306"/>
              </w:tabs>
              <w:spacing w:before="60"/>
              <w:rPr>
                <w:rFonts w:cs="Calibri"/>
                <w:sz w:val="14"/>
                <w:szCs w:val="14"/>
              </w:rPr>
            </w:pPr>
            <w:r w:rsidRPr="00B849FB">
              <w:rPr>
                <w:rFonts w:cs="Calibri"/>
                <w:sz w:val="14"/>
                <w:szCs w:val="14"/>
              </w:rPr>
              <w:t>FMA Sec 34B(2)</w:t>
            </w:r>
          </w:p>
        </w:tc>
        <w:tc>
          <w:tcPr>
            <w:tcW w:w="4007" w:type="pct"/>
            <w:gridSpan w:val="9"/>
            <w:tcBorders>
              <w:top w:val="nil"/>
              <w:left w:val="single" w:sz="2" w:space="0" w:color="auto"/>
              <w:bottom w:val="nil"/>
              <w:right w:val="nil"/>
            </w:tcBorders>
            <w:shd w:val="clear" w:color="auto" w:fill="7030A0"/>
            <w:vAlign w:val="bottom"/>
          </w:tcPr>
          <w:p w14:paraId="09896651" w14:textId="333DB2AF" w:rsidR="001C4985" w:rsidRPr="006E293E" w:rsidRDefault="001C4985" w:rsidP="001C4985">
            <w:pPr>
              <w:tabs>
                <w:tab w:val="left" w:pos="3306"/>
              </w:tabs>
              <w:spacing w:after="120" w:line="259" w:lineRule="auto"/>
              <w:jc w:val="both"/>
              <w:rPr>
                <w:rFonts w:eastAsia="Calibri" w:cs="Calibri"/>
                <w:color w:val="FFFFFF" w:themeColor="background1"/>
                <w:sz w:val="18"/>
                <w:szCs w:val="18"/>
              </w:rPr>
            </w:pPr>
            <w:r w:rsidRPr="006E293E">
              <w:rPr>
                <w:rFonts w:eastAsia="Calibri" w:cs="Calibri"/>
                <w:color w:val="FFFFFF" w:themeColor="background1"/>
                <w:sz w:val="18"/>
                <w:szCs w:val="18"/>
              </w:rPr>
              <w:t>It is important to note that Directors-General of agencies manage the balance of the Controlled bank account.</w:t>
            </w:r>
            <w:r w:rsidR="00FA7C77">
              <w:rPr>
                <w:rFonts w:eastAsia="Calibri" w:cs="Calibri"/>
                <w:color w:val="FFFFFF" w:themeColor="background1"/>
                <w:sz w:val="18"/>
                <w:szCs w:val="18"/>
              </w:rPr>
              <w:t xml:space="preserve"> </w:t>
            </w:r>
            <w:r w:rsidRPr="006E293E">
              <w:rPr>
                <w:rFonts w:eastAsia="Calibri" w:cs="Calibri"/>
                <w:color w:val="FFFFFF" w:themeColor="background1"/>
                <w:sz w:val="18"/>
                <w:szCs w:val="18"/>
              </w:rPr>
              <w:t>If at the end of the year the closing balance is negative, the Director-General of that agency will be required to implement a debt reduction strategy, as soon as possible.</w:t>
            </w:r>
          </w:p>
        </w:tc>
      </w:tr>
      <w:tr w:rsidR="001C4985" w:rsidRPr="00E464CB" w14:paraId="6BE5A52D" w14:textId="77777777" w:rsidTr="0004564D">
        <w:trPr>
          <w:gridAfter w:val="2"/>
          <w:wAfter w:w="294" w:type="pct"/>
          <w:trHeight w:val="23"/>
        </w:trPr>
        <w:tc>
          <w:tcPr>
            <w:tcW w:w="699" w:type="pct"/>
            <w:tcBorders>
              <w:top w:val="nil"/>
              <w:left w:val="single" w:sz="2" w:space="0" w:color="auto"/>
              <w:bottom w:val="nil"/>
              <w:right w:val="single" w:sz="2" w:space="0" w:color="auto"/>
            </w:tcBorders>
          </w:tcPr>
          <w:p w14:paraId="7422E338" w14:textId="77777777" w:rsidR="001C4985" w:rsidRPr="00E464CB" w:rsidRDefault="001C4985" w:rsidP="001C4985">
            <w:pPr>
              <w:tabs>
                <w:tab w:val="left" w:pos="3306"/>
              </w:tabs>
              <w:rPr>
                <w:rFonts w:cs="Calibri"/>
                <w:sz w:val="16"/>
              </w:rPr>
            </w:pPr>
          </w:p>
        </w:tc>
        <w:tc>
          <w:tcPr>
            <w:tcW w:w="4007" w:type="pct"/>
            <w:gridSpan w:val="9"/>
            <w:tcBorders>
              <w:top w:val="nil"/>
              <w:left w:val="single" w:sz="2" w:space="0" w:color="auto"/>
              <w:bottom w:val="nil"/>
              <w:right w:val="nil"/>
            </w:tcBorders>
            <w:shd w:val="clear" w:color="auto" w:fill="7030A0"/>
          </w:tcPr>
          <w:p w14:paraId="7973D600" w14:textId="5BA50C8D" w:rsidR="001C4985" w:rsidRPr="006E293E" w:rsidRDefault="001C4985" w:rsidP="001C4985">
            <w:pPr>
              <w:tabs>
                <w:tab w:val="left" w:pos="3306"/>
              </w:tabs>
              <w:spacing w:after="120" w:line="259" w:lineRule="auto"/>
              <w:jc w:val="both"/>
              <w:rPr>
                <w:rFonts w:eastAsia="Calibri" w:cs="Calibri"/>
                <w:color w:val="FFFFFF" w:themeColor="background1"/>
                <w:sz w:val="18"/>
                <w:szCs w:val="18"/>
              </w:rPr>
            </w:pPr>
            <w:r w:rsidRPr="006E293E">
              <w:rPr>
                <w:rFonts w:eastAsia="Calibri" w:cs="Calibri"/>
                <w:color w:val="FFFFFF" w:themeColor="background1"/>
                <w:sz w:val="18"/>
                <w:szCs w:val="18"/>
              </w:rPr>
              <w:t>Some agencies have received interest-free loans from the Environment, Planning and Sustainable Development Directorate under the Carbon Neutral Government Fund.</w:t>
            </w:r>
            <w:r w:rsidR="00FA7C77">
              <w:rPr>
                <w:rFonts w:eastAsia="Calibri" w:cs="Calibri"/>
                <w:color w:val="FFFFFF" w:themeColor="background1"/>
                <w:sz w:val="18"/>
                <w:szCs w:val="18"/>
              </w:rPr>
              <w:t xml:space="preserve"> </w:t>
            </w:r>
            <w:r w:rsidRPr="006E293E">
              <w:rPr>
                <w:rFonts w:eastAsia="Calibri" w:cs="Calibri"/>
                <w:color w:val="FFFFFF" w:themeColor="background1"/>
                <w:sz w:val="18"/>
                <w:szCs w:val="18"/>
              </w:rPr>
              <w:t>These loans can be disclosed under a separate Note ‘Interest</w:t>
            </w:r>
            <w:r w:rsidRPr="006E293E">
              <w:rPr>
                <w:rFonts w:eastAsia="Calibri" w:cs="Calibri"/>
                <w:color w:val="FFFFFF" w:themeColor="background1"/>
                <w:sz w:val="18"/>
                <w:szCs w:val="18"/>
              </w:rPr>
              <w:noBreakHyphen/>
              <w:t>Free Borrowings’.</w:t>
            </w:r>
          </w:p>
        </w:tc>
      </w:tr>
      <w:tr w:rsidR="001C49B2" w:rsidRPr="001950C9" w14:paraId="6577D6DD"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2" w:type="pct"/>
          <w:trHeight w:val="23"/>
        </w:trPr>
        <w:tc>
          <w:tcPr>
            <w:tcW w:w="699" w:type="pct"/>
            <w:tcBorders>
              <w:left w:val="single" w:sz="2" w:space="0" w:color="auto"/>
              <w:right w:val="single" w:sz="2" w:space="0" w:color="auto"/>
            </w:tcBorders>
            <w:vAlign w:val="bottom"/>
          </w:tcPr>
          <w:p w14:paraId="0BBEC466" w14:textId="057E2C17" w:rsidR="001C49B2" w:rsidRPr="00D85C31" w:rsidRDefault="001C49B2" w:rsidP="001C49B2">
            <w:pPr>
              <w:pStyle w:val="TableReference"/>
              <w:tabs>
                <w:tab w:val="left" w:pos="3306"/>
              </w:tabs>
              <w:spacing w:before="240" w:after="240"/>
              <w:rPr>
                <w:rFonts w:cs="Calibri"/>
                <w:b/>
                <w:color w:val="7030A0"/>
                <w:sz w:val="22"/>
                <w:szCs w:val="22"/>
              </w:rPr>
            </w:pPr>
            <w:bookmarkStart w:id="599" w:name="EmplBenefits" w:colFirst="1" w:colLast="1"/>
          </w:p>
        </w:tc>
        <w:tc>
          <w:tcPr>
            <w:tcW w:w="4029" w:type="pct"/>
            <w:gridSpan w:val="10"/>
            <w:tcBorders>
              <w:left w:val="single" w:sz="2" w:space="0" w:color="auto"/>
            </w:tcBorders>
            <w:shd w:val="clear" w:color="auto" w:fill="auto"/>
            <w:vAlign w:val="bottom"/>
          </w:tcPr>
          <w:p w14:paraId="30812511" w14:textId="162A829B" w:rsidR="001C49B2" w:rsidRPr="00D85C31" w:rsidRDefault="001C49B2" w:rsidP="0053252F">
            <w:pPr>
              <w:pStyle w:val="Heading1"/>
              <w:numPr>
                <w:ilvl w:val="0"/>
                <w:numId w:val="0"/>
              </w:numPr>
              <w:ind w:left="1134" w:hanging="1134"/>
            </w:pPr>
            <w:bookmarkStart w:id="600" w:name="_Toc98763146"/>
            <w:r w:rsidRPr="00D85C31">
              <w:t xml:space="preserve">Note </w:t>
            </w:r>
            <w:r w:rsidR="00CD0D08" w:rsidRPr="00D85C31">
              <w:t>26</w:t>
            </w:r>
            <w:r w:rsidRPr="00D85C31">
              <w:t xml:space="preserve"> Lease L</w:t>
            </w:r>
            <w:r w:rsidR="00387DE9" w:rsidRPr="00D85C31">
              <w:t>iabilities</w:t>
            </w:r>
            <w:bookmarkEnd w:id="600"/>
            <w:r w:rsidR="00387DE9" w:rsidRPr="00D85C31">
              <w:t xml:space="preserve"> </w:t>
            </w:r>
          </w:p>
        </w:tc>
      </w:tr>
      <w:tr w:rsidR="00AC0960" w:rsidRPr="00381D99" w14:paraId="69EA4B08"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2" w:type="pct"/>
          <w:trHeight w:val="23"/>
        </w:trPr>
        <w:tc>
          <w:tcPr>
            <w:tcW w:w="699" w:type="pct"/>
            <w:tcBorders>
              <w:left w:val="single" w:sz="2" w:space="0" w:color="auto"/>
              <w:right w:val="single" w:sz="2" w:space="0" w:color="auto"/>
            </w:tcBorders>
          </w:tcPr>
          <w:p w14:paraId="0422B48F" w14:textId="77777777" w:rsidR="00AA6914" w:rsidRPr="00D85C31" w:rsidRDefault="00AA6914" w:rsidP="00AA6914">
            <w:pPr>
              <w:spacing w:line="259" w:lineRule="auto"/>
              <w:rPr>
                <w:rFonts w:eastAsia="Calibri" w:cs="Calibri"/>
                <w:color w:val="7030A0"/>
                <w:sz w:val="14"/>
                <w:szCs w:val="14"/>
              </w:rPr>
            </w:pPr>
            <w:r w:rsidRPr="00D85C31">
              <w:rPr>
                <w:rFonts w:eastAsia="Calibri" w:cs="Calibri"/>
                <w:color w:val="7030A0"/>
                <w:sz w:val="14"/>
                <w:szCs w:val="14"/>
              </w:rPr>
              <w:t>AASB 16.59</w:t>
            </w:r>
          </w:p>
          <w:p w14:paraId="6BDCBEB9" w14:textId="77777777" w:rsidR="00AC0960" w:rsidRPr="00D85C31" w:rsidRDefault="00AC0960" w:rsidP="00413B75">
            <w:pPr>
              <w:spacing w:line="259" w:lineRule="auto"/>
              <w:rPr>
                <w:rFonts w:eastAsia="Calibri" w:cs="Calibri"/>
                <w:color w:val="7030A0"/>
                <w:sz w:val="14"/>
                <w:szCs w:val="14"/>
              </w:rPr>
            </w:pPr>
          </w:p>
        </w:tc>
        <w:tc>
          <w:tcPr>
            <w:tcW w:w="4029" w:type="pct"/>
            <w:gridSpan w:val="10"/>
            <w:tcBorders>
              <w:left w:val="single" w:sz="2" w:space="0" w:color="auto"/>
            </w:tcBorders>
            <w:shd w:val="clear" w:color="auto" w:fill="auto"/>
            <w:vAlign w:val="bottom"/>
          </w:tcPr>
          <w:p w14:paraId="0E8D9DC5" w14:textId="616D70C5" w:rsidR="00AC0960" w:rsidRPr="00D85C31" w:rsidRDefault="009836FA" w:rsidP="001C49B2">
            <w:pPr>
              <w:spacing w:after="120" w:line="259" w:lineRule="auto"/>
              <w:jc w:val="both"/>
              <w:rPr>
                <w:rFonts w:eastAsia="Calibri" w:cs="Calibri"/>
                <w:strike/>
                <w:sz w:val="18"/>
                <w:szCs w:val="18"/>
              </w:rPr>
            </w:pPr>
            <w:r w:rsidRPr="00D85C31">
              <w:rPr>
                <w:rFonts w:eastAsia="Calibri" w:cs="Calibri"/>
                <w:b/>
                <w:sz w:val="18"/>
                <w:szCs w:val="18"/>
              </w:rPr>
              <w:t>Agency as a Lessee</w:t>
            </w:r>
          </w:p>
        </w:tc>
      </w:tr>
      <w:tr w:rsidR="00AC0960" w:rsidRPr="00381D99" w14:paraId="2548F9CE"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2" w:type="pct"/>
          <w:trHeight w:val="23"/>
        </w:trPr>
        <w:tc>
          <w:tcPr>
            <w:tcW w:w="699" w:type="pct"/>
            <w:tcBorders>
              <w:left w:val="single" w:sz="2" w:space="0" w:color="auto"/>
              <w:right w:val="single" w:sz="2" w:space="0" w:color="auto"/>
            </w:tcBorders>
          </w:tcPr>
          <w:p w14:paraId="5A914C0A" w14:textId="77777777" w:rsidR="00AC0960" w:rsidRPr="00D85C31" w:rsidRDefault="00AC0960" w:rsidP="00413B75">
            <w:pPr>
              <w:spacing w:line="259" w:lineRule="auto"/>
              <w:rPr>
                <w:rFonts w:eastAsia="Calibri" w:cs="Calibri"/>
                <w:color w:val="7030A0"/>
                <w:sz w:val="14"/>
                <w:szCs w:val="14"/>
              </w:rPr>
            </w:pPr>
          </w:p>
        </w:tc>
        <w:tc>
          <w:tcPr>
            <w:tcW w:w="4029" w:type="pct"/>
            <w:gridSpan w:val="10"/>
            <w:tcBorders>
              <w:left w:val="single" w:sz="2" w:space="0" w:color="auto"/>
            </w:tcBorders>
            <w:shd w:val="clear" w:color="auto" w:fill="auto"/>
            <w:vAlign w:val="bottom"/>
          </w:tcPr>
          <w:p w14:paraId="131EF27A" w14:textId="0CF0D9E7" w:rsidR="00AC0960" w:rsidRPr="00D85C31" w:rsidRDefault="009836FA" w:rsidP="001C49B2">
            <w:pPr>
              <w:spacing w:after="120" w:line="259" w:lineRule="auto"/>
              <w:jc w:val="both"/>
              <w:rPr>
                <w:rFonts w:eastAsia="Calibri" w:cs="Calibri"/>
                <w:strike/>
                <w:sz w:val="18"/>
                <w:szCs w:val="18"/>
              </w:rPr>
            </w:pPr>
            <w:r w:rsidRPr="00D85C31">
              <w:rPr>
                <w:rFonts w:eastAsia="Calibri" w:cs="Calibri"/>
                <w:sz w:val="18"/>
                <w:szCs w:val="18"/>
              </w:rPr>
              <w:t xml:space="preserve">The Agency has leases over a range of assets including </w:t>
            </w:r>
            <w:r w:rsidR="000406A2" w:rsidRPr="00D85C31">
              <w:rPr>
                <w:rFonts w:eastAsia="Calibri" w:cs="Calibri"/>
                <w:sz w:val="18"/>
                <w:szCs w:val="18"/>
              </w:rPr>
              <w:t>buildings, motor vehicles,</w:t>
            </w:r>
            <w:r w:rsidR="000406A2" w:rsidRPr="00D85C31">
              <w:rPr>
                <w:bCs/>
                <w:sz w:val="18"/>
                <w:szCs w:val="18"/>
              </w:rPr>
              <w:t xml:space="preserve"> ICT equipment, specialised plant and equipment,</w:t>
            </w:r>
            <w:r w:rsidR="000406A2" w:rsidRPr="00D85C31">
              <w:rPr>
                <w:rFonts w:eastAsia="Calibri" w:cs="Calibri"/>
                <w:iCs/>
                <w:sz w:val="18"/>
                <w:szCs w:val="18"/>
              </w:rPr>
              <w:t xml:space="preserve"> concessionary land and public private partnership assets.</w:t>
            </w:r>
            <w:r w:rsidR="00FA7C77">
              <w:rPr>
                <w:rFonts w:eastAsia="Calibri" w:cs="Calibri"/>
                <w:iCs/>
                <w:sz w:val="18"/>
                <w:szCs w:val="18"/>
              </w:rPr>
              <w:t xml:space="preserve"> </w:t>
            </w:r>
            <w:r w:rsidR="000406A2" w:rsidRPr="00D85C31">
              <w:rPr>
                <w:rFonts w:eastAsia="Calibri" w:cs="Calibri"/>
                <w:iCs/>
                <w:sz w:val="18"/>
                <w:szCs w:val="18"/>
              </w:rPr>
              <w:t>There are a number of leasing arrangement</w:t>
            </w:r>
            <w:r w:rsidR="006B1A5D" w:rsidRPr="00D85C31">
              <w:rPr>
                <w:rFonts w:eastAsia="Calibri" w:cs="Calibri"/>
                <w:iCs/>
                <w:sz w:val="18"/>
                <w:szCs w:val="18"/>
              </w:rPr>
              <w:t>s</w:t>
            </w:r>
            <w:r w:rsidR="000406A2" w:rsidRPr="00D85C31">
              <w:rPr>
                <w:rFonts w:eastAsia="Calibri" w:cs="Calibri"/>
                <w:iCs/>
                <w:sz w:val="18"/>
                <w:szCs w:val="18"/>
              </w:rPr>
              <w:t xml:space="preserve"> that have resulted in the recognition of a lease liability while other leasing arrangements </w:t>
            </w:r>
            <w:r w:rsidR="006B1A5D" w:rsidRPr="00D85C31">
              <w:rPr>
                <w:rFonts w:eastAsia="Calibri" w:cs="Calibri"/>
                <w:iCs/>
                <w:sz w:val="18"/>
                <w:szCs w:val="18"/>
              </w:rPr>
              <w:t>have not resulted in a liability being recognised.</w:t>
            </w:r>
            <w:r w:rsidR="00FA7C77">
              <w:rPr>
                <w:rFonts w:eastAsia="Calibri" w:cs="Calibri"/>
                <w:sz w:val="18"/>
                <w:szCs w:val="18"/>
              </w:rPr>
              <w:t xml:space="preserve"> </w:t>
            </w:r>
            <w:r w:rsidR="006B1A5D" w:rsidRPr="00D85C31">
              <w:rPr>
                <w:rFonts w:eastAsia="Calibri" w:cs="Calibri"/>
                <w:sz w:val="18"/>
                <w:szCs w:val="18"/>
              </w:rPr>
              <w:t xml:space="preserve">The below table provides information relating to the leases in place and </w:t>
            </w:r>
            <w:r w:rsidR="00761840" w:rsidRPr="00D85C31">
              <w:rPr>
                <w:rFonts w:eastAsia="Calibri" w:cs="Calibri"/>
                <w:sz w:val="18"/>
                <w:szCs w:val="18"/>
              </w:rPr>
              <w:t xml:space="preserve">a </w:t>
            </w:r>
            <w:r w:rsidR="00021C57" w:rsidRPr="00D85C31">
              <w:rPr>
                <w:rFonts w:eastAsia="Calibri" w:cs="Calibri"/>
                <w:sz w:val="18"/>
                <w:szCs w:val="18"/>
              </w:rPr>
              <w:t>split between those that have</w:t>
            </w:r>
            <w:r w:rsidR="006B1A5D" w:rsidRPr="00D85C31">
              <w:rPr>
                <w:rFonts w:eastAsia="Calibri" w:cs="Calibri"/>
                <w:sz w:val="18"/>
                <w:szCs w:val="18"/>
              </w:rPr>
              <w:t xml:space="preserve"> been taken up as a lease </w:t>
            </w:r>
            <w:r w:rsidR="00021C57" w:rsidRPr="00D85C31">
              <w:rPr>
                <w:rFonts w:eastAsia="Calibri" w:cs="Calibri"/>
                <w:sz w:val="18"/>
                <w:szCs w:val="18"/>
              </w:rPr>
              <w:t>liability and those that have not.</w:t>
            </w:r>
            <w:r w:rsidR="006B1A5D" w:rsidRPr="0009580B">
              <w:rPr>
                <w:rFonts w:eastAsia="Calibri" w:cs="Calibri"/>
                <w:sz w:val="18"/>
                <w:szCs w:val="18"/>
              </w:rPr>
              <w:t xml:space="preserve"> </w:t>
            </w:r>
          </w:p>
        </w:tc>
      </w:tr>
      <w:tr w:rsidR="00AA6914" w:rsidRPr="00381D99" w14:paraId="7C7AADF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2" w:type="pct"/>
          <w:trHeight w:val="23"/>
        </w:trPr>
        <w:tc>
          <w:tcPr>
            <w:tcW w:w="699" w:type="pct"/>
            <w:tcBorders>
              <w:left w:val="single" w:sz="2" w:space="0" w:color="auto"/>
              <w:right w:val="single" w:sz="2" w:space="0" w:color="auto"/>
            </w:tcBorders>
          </w:tcPr>
          <w:p w14:paraId="5F3BD322" w14:textId="77777777" w:rsidR="00AA6914" w:rsidRPr="00D85C31" w:rsidRDefault="00AA6914" w:rsidP="00413B75">
            <w:pPr>
              <w:pStyle w:val="TableReference"/>
              <w:tabs>
                <w:tab w:val="left" w:pos="3306"/>
              </w:tabs>
              <w:rPr>
                <w:rFonts w:cs="Calibri"/>
                <w:color w:val="7030A0"/>
                <w:sz w:val="14"/>
              </w:rPr>
            </w:pPr>
          </w:p>
        </w:tc>
        <w:tc>
          <w:tcPr>
            <w:tcW w:w="4029" w:type="pct"/>
            <w:gridSpan w:val="10"/>
            <w:tcBorders>
              <w:left w:val="single" w:sz="2" w:space="0" w:color="auto"/>
            </w:tcBorders>
            <w:shd w:val="clear" w:color="auto" w:fill="auto"/>
            <w:vAlign w:val="bottom"/>
          </w:tcPr>
          <w:p w14:paraId="151FB54B" w14:textId="5AC2A2F7" w:rsidR="00AA6914" w:rsidRPr="00D85C31" w:rsidRDefault="00957DFF" w:rsidP="00413B75">
            <w:pPr>
              <w:spacing w:after="120" w:line="259" w:lineRule="auto"/>
              <w:jc w:val="both"/>
              <w:rPr>
                <w:rFonts w:eastAsia="Calibri" w:cs="Calibri"/>
                <w:b/>
                <w:bCs/>
                <w:sz w:val="18"/>
                <w:szCs w:val="18"/>
              </w:rPr>
            </w:pPr>
            <w:r w:rsidRPr="00D85C31">
              <w:rPr>
                <w:rFonts w:eastAsia="Calibri" w:cs="Calibri"/>
                <w:b/>
                <w:bCs/>
                <w:sz w:val="18"/>
                <w:szCs w:val="18"/>
              </w:rPr>
              <w:t>Leases that have resulted in ‘</w:t>
            </w:r>
            <w:r w:rsidR="00420F3A" w:rsidRPr="00D85C31">
              <w:rPr>
                <w:b/>
                <w:bCs/>
                <w:sz w:val="18"/>
                <w:szCs w:val="18"/>
              </w:rPr>
              <w:t>Burley Griffin</w:t>
            </w:r>
            <w:r w:rsidRPr="00D85C31">
              <w:rPr>
                <w:rFonts w:eastAsia="Calibri" w:cs="Calibri"/>
                <w:b/>
                <w:bCs/>
                <w:sz w:val="18"/>
                <w:szCs w:val="18"/>
              </w:rPr>
              <w:t xml:space="preserve"> Agency’ recognising a lease liability are as follows</w:t>
            </w:r>
            <w:r w:rsidR="00021C57" w:rsidRPr="00D85C31">
              <w:rPr>
                <w:rFonts w:eastAsia="Calibri" w:cs="Calibri"/>
                <w:b/>
                <w:bCs/>
                <w:sz w:val="18"/>
                <w:szCs w:val="18"/>
              </w:rPr>
              <w:t xml:space="preserve">: </w:t>
            </w:r>
          </w:p>
        </w:tc>
      </w:tr>
      <w:tr w:rsidR="00021C57" w:rsidRPr="00381D99" w14:paraId="713959E5"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2" w:type="pct"/>
          <w:trHeight w:val="23"/>
        </w:trPr>
        <w:tc>
          <w:tcPr>
            <w:tcW w:w="699" w:type="pct"/>
            <w:tcBorders>
              <w:left w:val="single" w:sz="2" w:space="0" w:color="auto"/>
              <w:right w:val="single" w:sz="2" w:space="0" w:color="auto"/>
            </w:tcBorders>
          </w:tcPr>
          <w:p w14:paraId="4EA68629" w14:textId="77777777" w:rsidR="00021C57" w:rsidRPr="00D85C31" w:rsidRDefault="00021C57" w:rsidP="00413B75">
            <w:pPr>
              <w:pStyle w:val="TableReference"/>
              <w:tabs>
                <w:tab w:val="left" w:pos="3306"/>
              </w:tabs>
              <w:rPr>
                <w:rFonts w:cs="Calibri"/>
                <w:color w:val="7030A0"/>
                <w:sz w:val="14"/>
              </w:rPr>
            </w:pPr>
          </w:p>
        </w:tc>
        <w:tc>
          <w:tcPr>
            <w:tcW w:w="4029" w:type="pct"/>
            <w:gridSpan w:val="10"/>
            <w:tcBorders>
              <w:left w:val="single" w:sz="2" w:space="0" w:color="auto"/>
            </w:tcBorders>
            <w:shd w:val="clear" w:color="auto" w:fill="auto"/>
            <w:vAlign w:val="bottom"/>
          </w:tcPr>
          <w:p w14:paraId="6575BF50" w14:textId="26895F6B" w:rsidR="00021C57" w:rsidRPr="00D85C31" w:rsidRDefault="00021C57" w:rsidP="00413B75">
            <w:pPr>
              <w:spacing w:after="120" w:line="259" w:lineRule="auto"/>
              <w:jc w:val="both"/>
              <w:rPr>
                <w:rFonts w:eastAsia="Calibri" w:cs="Calibri"/>
                <w:i/>
                <w:sz w:val="18"/>
                <w:szCs w:val="18"/>
              </w:rPr>
            </w:pPr>
            <w:r w:rsidRPr="00D85C31">
              <w:rPr>
                <w:rFonts w:eastAsia="Calibri" w:cs="Calibri"/>
                <w:i/>
                <w:sz w:val="18"/>
                <w:szCs w:val="18"/>
              </w:rPr>
              <w:t>Terms and Conditions of Leases</w:t>
            </w:r>
          </w:p>
        </w:tc>
      </w:tr>
      <w:tr w:rsidR="00021C57" w:rsidRPr="00381D99" w14:paraId="24271137"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72" w:type="pct"/>
          <w:trHeight w:val="23"/>
        </w:trPr>
        <w:tc>
          <w:tcPr>
            <w:tcW w:w="699" w:type="pct"/>
            <w:tcBorders>
              <w:left w:val="single" w:sz="2" w:space="0" w:color="auto"/>
              <w:right w:val="single" w:sz="2" w:space="0" w:color="auto"/>
            </w:tcBorders>
          </w:tcPr>
          <w:p w14:paraId="3C2BB216" w14:textId="77777777" w:rsidR="00021C57" w:rsidRPr="00D85C31" w:rsidRDefault="00021C57" w:rsidP="00413B75">
            <w:pPr>
              <w:pStyle w:val="TableReference"/>
              <w:tabs>
                <w:tab w:val="left" w:pos="3306"/>
              </w:tabs>
              <w:rPr>
                <w:rFonts w:cs="Calibri"/>
                <w:color w:val="7030A0"/>
                <w:sz w:val="14"/>
              </w:rPr>
            </w:pPr>
          </w:p>
        </w:tc>
        <w:tc>
          <w:tcPr>
            <w:tcW w:w="763" w:type="pct"/>
            <w:tcBorders>
              <w:left w:val="single" w:sz="2" w:space="0" w:color="auto"/>
            </w:tcBorders>
            <w:shd w:val="clear" w:color="auto" w:fill="auto"/>
          </w:tcPr>
          <w:p w14:paraId="4366BA0A" w14:textId="18E317F7" w:rsidR="00021C57" w:rsidRPr="00D85C31" w:rsidRDefault="00021C57" w:rsidP="00021C57">
            <w:pPr>
              <w:spacing w:after="120" w:line="259" w:lineRule="auto"/>
              <w:rPr>
                <w:rFonts w:eastAsia="Calibri" w:cs="Calibri"/>
                <w:sz w:val="18"/>
                <w:szCs w:val="18"/>
              </w:rPr>
            </w:pPr>
            <w:r w:rsidRPr="00D85C31">
              <w:rPr>
                <w:rFonts w:eastAsia="Calibri" w:cs="Calibri"/>
                <w:iCs/>
                <w:sz w:val="18"/>
                <w:szCs w:val="18"/>
              </w:rPr>
              <w:t>Motor vehicles</w:t>
            </w:r>
          </w:p>
        </w:tc>
        <w:tc>
          <w:tcPr>
            <w:tcW w:w="3266" w:type="pct"/>
            <w:gridSpan w:val="9"/>
            <w:shd w:val="clear" w:color="auto" w:fill="auto"/>
            <w:vAlign w:val="bottom"/>
          </w:tcPr>
          <w:p w14:paraId="735BCF27" w14:textId="629EB6FB" w:rsidR="00021C57" w:rsidRPr="00D85C31" w:rsidRDefault="00021C57" w:rsidP="00957DFF">
            <w:pPr>
              <w:spacing w:after="240" w:line="259" w:lineRule="auto"/>
              <w:jc w:val="both"/>
              <w:rPr>
                <w:rFonts w:eastAsia="Calibri" w:cs="Calibri"/>
                <w:sz w:val="18"/>
                <w:szCs w:val="18"/>
              </w:rPr>
            </w:pPr>
            <w:r w:rsidRPr="00D85C31">
              <w:rPr>
                <w:rFonts w:cs="Calibri"/>
                <w:sz w:val="18"/>
                <w:szCs w:val="18"/>
              </w:rPr>
              <w:t>The Agency holds 145 motor vehicle leases</w:t>
            </w:r>
            <w:r w:rsidR="007F0023" w:rsidRPr="00D85C31">
              <w:rPr>
                <w:rFonts w:cs="Calibri"/>
                <w:sz w:val="18"/>
                <w:szCs w:val="18"/>
              </w:rPr>
              <w:t xml:space="preserve"> (140 in 2021)</w:t>
            </w:r>
            <w:r w:rsidRPr="00D85C31">
              <w:rPr>
                <w:rFonts w:cs="Calibri"/>
                <w:sz w:val="18"/>
                <w:szCs w:val="18"/>
              </w:rPr>
              <w:t xml:space="preserve">. The terms vary from </w:t>
            </w:r>
            <w:r w:rsidR="00B823E0">
              <w:rPr>
                <w:rFonts w:cs="Calibri"/>
                <w:sz w:val="18"/>
                <w:szCs w:val="18"/>
              </w:rPr>
              <w:t>two</w:t>
            </w:r>
            <w:r w:rsidRPr="00D85C31">
              <w:rPr>
                <w:rFonts w:cs="Calibri"/>
                <w:sz w:val="18"/>
                <w:szCs w:val="18"/>
              </w:rPr>
              <w:t xml:space="preserve"> years to </w:t>
            </w:r>
            <w:r w:rsidR="00B823E0">
              <w:rPr>
                <w:rFonts w:cs="Calibri"/>
                <w:sz w:val="18"/>
                <w:szCs w:val="18"/>
              </w:rPr>
              <w:t>three</w:t>
            </w:r>
            <w:r w:rsidRPr="00D85C31">
              <w:rPr>
                <w:rFonts w:cs="Calibri"/>
                <w:sz w:val="18"/>
                <w:szCs w:val="18"/>
              </w:rPr>
              <w:t xml:space="preserve"> years.</w:t>
            </w:r>
            <w:r w:rsidR="00FA7C77">
              <w:rPr>
                <w:rFonts w:cs="Calibri"/>
                <w:sz w:val="18"/>
                <w:szCs w:val="18"/>
              </w:rPr>
              <w:t xml:space="preserve"> </w:t>
            </w:r>
            <w:r w:rsidRPr="00D85C31">
              <w:rPr>
                <w:rFonts w:cs="Calibri"/>
                <w:sz w:val="18"/>
                <w:szCs w:val="18"/>
              </w:rPr>
              <w:t>These leases allow for extensions, but have no terms of renewal or purchase options, nor escalation clauses.</w:t>
            </w:r>
          </w:p>
        </w:tc>
      </w:tr>
    </w:tbl>
    <w:p w14:paraId="3DEBEF5B" w14:textId="77777777" w:rsidR="00C87392" w:rsidRDefault="00C87392">
      <w:r>
        <w:br w:type="page"/>
      </w:r>
    </w:p>
    <w:tbl>
      <w:tblPr>
        <w:tblW w:w="5000" w:type="pct"/>
        <w:tblInd w:w="-6" w:type="dxa"/>
        <w:tblLook w:val="00A0" w:firstRow="1" w:lastRow="0" w:firstColumn="1" w:lastColumn="0" w:noHBand="0" w:noVBand="0"/>
      </w:tblPr>
      <w:tblGrid>
        <w:gridCol w:w="1556"/>
        <w:gridCol w:w="1702"/>
        <w:gridCol w:w="7286"/>
      </w:tblGrid>
      <w:tr w:rsidR="00C87392" w:rsidRPr="00381D99" w14:paraId="74013753" w14:textId="77777777" w:rsidTr="0004564D">
        <w:trPr>
          <w:cantSplit/>
          <w:trHeight w:val="23"/>
        </w:trPr>
        <w:tc>
          <w:tcPr>
            <w:tcW w:w="738" w:type="pct"/>
            <w:tcBorders>
              <w:left w:val="single" w:sz="2" w:space="0" w:color="auto"/>
              <w:right w:val="single" w:sz="2" w:space="0" w:color="auto"/>
            </w:tcBorders>
            <w:vAlign w:val="bottom"/>
          </w:tcPr>
          <w:p w14:paraId="05EA7E96" w14:textId="6DB46DFA" w:rsidR="00C87392" w:rsidRPr="00D85C31" w:rsidRDefault="00C87392" w:rsidP="00DA5473">
            <w:pPr>
              <w:pStyle w:val="TableReference"/>
              <w:tabs>
                <w:tab w:val="left" w:pos="3306"/>
              </w:tabs>
              <w:spacing w:before="240" w:after="240"/>
              <w:rPr>
                <w:rFonts w:cs="Calibri"/>
                <w:color w:val="7030A0"/>
                <w:sz w:val="22"/>
                <w:szCs w:val="22"/>
              </w:rPr>
            </w:pPr>
            <w:r w:rsidRPr="00D85C31">
              <w:rPr>
                <w:rFonts w:cs="Calibri"/>
                <w:b/>
                <w:color w:val="7030A0"/>
                <w:sz w:val="22"/>
                <w:szCs w:val="22"/>
              </w:rPr>
              <w:t>Reference</w:t>
            </w:r>
          </w:p>
        </w:tc>
        <w:tc>
          <w:tcPr>
            <w:tcW w:w="4262" w:type="pct"/>
            <w:gridSpan w:val="2"/>
            <w:tcBorders>
              <w:left w:val="single" w:sz="2" w:space="0" w:color="auto"/>
            </w:tcBorders>
            <w:shd w:val="clear" w:color="auto" w:fill="auto"/>
            <w:vAlign w:val="bottom"/>
          </w:tcPr>
          <w:p w14:paraId="1006E80F" w14:textId="77777777" w:rsidR="00C87392" w:rsidRPr="00D85C31" w:rsidRDefault="00C87392" w:rsidP="00DA5473">
            <w:pPr>
              <w:autoSpaceDE w:val="0"/>
              <w:autoSpaceDN w:val="0"/>
              <w:adjustRightInd w:val="0"/>
              <w:spacing w:before="240" w:after="240"/>
              <w:rPr>
                <w:bCs/>
                <w:sz w:val="18"/>
                <w:szCs w:val="18"/>
              </w:rPr>
            </w:pPr>
            <w:r w:rsidRPr="00D85C31">
              <w:rPr>
                <w:rFonts w:ascii="Arial" w:hAnsi="Arial"/>
                <w:b/>
                <w:bCs/>
                <w:caps/>
                <w:sz w:val="32"/>
                <w:szCs w:val="24"/>
              </w:rPr>
              <w:t xml:space="preserve">Note 26 Lease Liabilities </w:t>
            </w:r>
            <w:r>
              <w:rPr>
                <w:rFonts w:ascii="Arial" w:hAnsi="Arial"/>
                <w:b/>
                <w:bCs/>
                <w:caps/>
                <w:sz w:val="32"/>
                <w:szCs w:val="24"/>
              </w:rPr>
              <w:t>–</w:t>
            </w:r>
            <w:r w:rsidRPr="00D85C31">
              <w:rPr>
                <w:rFonts w:ascii="Arial" w:hAnsi="Arial"/>
                <w:b/>
                <w:bCs/>
                <w:caps/>
                <w:sz w:val="32"/>
                <w:szCs w:val="24"/>
              </w:rPr>
              <w:t xml:space="preserve"> Continued</w:t>
            </w:r>
            <w:r>
              <w:rPr>
                <w:rFonts w:ascii="Arial" w:hAnsi="Arial"/>
                <w:b/>
                <w:bCs/>
                <w:caps/>
                <w:sz w:val="32"/>
                <w:szCs w:val="24"/>
              </w:rPr>
              <w:t xml:space="preserve"> </w:t>
            </w:r>
          </w:p>
        </w:tc>
      </w:tr>
      <w:tr w:rsidR="00021C57" w:rsidRPr="00381D99" w14:paraId="651C4298" w14:textId="77777777" w:rsidTr="0004564D">
        <w:trPr>
          <w:cantSplit/>
          <w:trHeight w:val="23"/>
        </w:trPr>
        <w:tc>
          <w:tcPr>
            <w:tcW w:w="738" w:type="pct"/>
            <w:tcBorders>
              <w:left w:val="single" w:sz="2" w:space="0" w:color="auto"/>
              <w:right w:val="single" w:sz="2" w:space="0" w:color="auto"/>
            </w:tcBorders>
          </w:tcPr>
          <w:p w14:paraId="76DD9FB0" w14:textId="77777777" w:rsidR="00021C57" w:rsidRPr="00D85C31" w:rsidRDefault="00021C57" w:rsidP="001B6489">
            <w:pPr>
              <w:pStyle w:val="TableReference"/>
              <w:tabs>
                <w:tab w:val="left" w:pos="3306"/>
              </w:tabs>
              <w:rPr>
                <w:rFonts w:cs="Calibri"/>
                <w:color w:val="7030A0"/>
                <w:sz w:val="14"/>
              </w:rPr>
            </w:pPr>
          </w:p>
        </w:tc>
        <w:tc>
          <w:tcPr>
            <w:tcW w:w="807" w:type="pct"/>
            <w:tcBorders>
              <w:left w:val="single" w:sz="2" w:space="0" w:color="auto"/>
            </w:tcBorders>
            <w:shd w:val="clear" w:color="auto" w:fill="auto"/>
          </w:tcPr>
          <w:p w14:paraId="2F442850" w14:textId="7AF66A1A" w:rsidR="00021C57" w:rsidRPr="00D85C31" w:rsidRDefault="001B6489" w:rsidP="001B6489">
            <w:pPr>
              <w:spacing w:after="120" w:line="259" w:lineRule="auto"/>
              <w:rPr>
                <w:rFonts w:eastAsia="Calibri" w:cs="Calibri"/>
                <w:sz w:val="18"/>
                <w:szCs w:val="18"/>
              </w:rPr>
            </w:pPr>
            <w:r w:rsidRPr="00D85C31">
              <w:rPr>
                <w:bCs/>
                <w:sz w:val="18"/>
                <w:szCs w:val="18"/>
              </w:rPr>
              <w:t>Specialised plant and equipment</w:t>
            </w:r>
          </w:p>
        </w:tc>
        <w:tc>
          <w:tcPr>
            <w:tcW w:w="3455" w:type="pct"/>
            <w:shd w:val="clear" w:color="auto" w:fill="auto"/>
          </w:tcPr>
          <w:p w14:paraId="156B1CCC" w14:textId="3BD6D76B" w:rsidR="00021C57" w:rsidRPr="00D85C31" w:rsidRDefault="00021C57" w:rsidP="00957DFF">
            <w:pPr>
              <w:autoSpaceDE w:val="0"/>
              <w:autoSpaceDN w:val="0"/>
              <w:adjustRightInd w:val="0"/>
              <w:spacing w:after="120"/>
              <w:rPr>
                <w:bCs/>
                <w:sz w:val="18"/>
                <w:szCs w:val="18"/>
              </w:rPr>
            </w:pPr>
            <w:r w:rsidRPr="00D85C31">
              <w:rPr>
                <w:bCs/>
                <w:sz w:val="18"/>
                <w:szCs w:val="18"/>
              </w:rPr>
              <w:t>Leases for specialised plant and equipment have lease terms which vary from 3 – 10 years and there is generally no extension or renewal options.</w:t>
            </w:r>
          </w:p>
          <w:p w14:paraId="64CB44D3" w14:textId="738819F3" w:rsidR="00021C57" w:rsidRPr="00D85C31" w:rsidRDefault="00021C57" w:rsidP="006F5B3D">
            <w:pPr>
              <w:autoSpaceDE w:val="0"/>
              <w:autoSpaceDN w:val="0"/>
              <w:adjustRightInd w:val="0"/>
              <w:spacing w:after="240"/>
              <w:jc w:val="both"/>
              <w:rPr>
                <w:bCs/>
                <w:sz w:val="18"/>
                <w:szCs w:val="18"/>
              </w:rPr>
            </w:pPr>
            <w:r w:rsidRPr="00D85C31">
              <w:rPr>
                <w:bCs/>
                <w:sz w:val="18"/>
                <w:szCs w:val="18"/>
              </w:rPr>
              <w:t>Where the lease contains a purchase option, the purchase price is included in the lease liability where the Agency believes it is reasonably certain that the purchase option will be exercised.</w:t>
            </w:r>
          </w:p>
        </w:tc>
      </w:tr>
      <w:tr w:rsidR="00021C57" w:rsidRPr="00381D99" w14:paraId="1B6383E6" w14:textId="77777777" w:rsidTr="0004564D">
        <w:trPr>
          <w:cantSplit/>
          <w:trHeight w:val="23"/>
        </w:trPr>
        <w:tc>
          <w:tcPr>
            <w:tcW w:w="738" w:type="pct"/>
            <w:tcBorders>
              <w:left w:val="single" w:sz="2" w:space="0" w:color="auto"/>
              <w:right w:val="single" w:sz="2" w:space="0" w:color="auto"/>
            </w:tcBorders>
          </w:tcPr>
          <w:p w14:paraId="1CFF1A59" w14:textId="77777777" w:rsidR="00021C57" w:rsidRPr="00D85C31" w:rsidRDefault="00021C57" w:rsidP="00413B75">
            <w:pPr>
              <w:pStyle w:val="TableReference"/>
              <w:tabs>
                <w:tab w:val="left" w:pos="3306"/>
              </w:tabs>
              <w:rPr>
                <w:rFonts w:cs="Calibri"/>
                <w:color w:val="7030A0"/>
                <w:sz w:val="14"/>
              </w:rPr>
            </w:pPr>
          </w:p>
        </w:tc>
        <w:tc>
          <w:tcPr>
            <w:tcW w:w="807" w:type="pct"/>
            <w:tcBorders>
              <w:left w:val="single" w:sz="2" w:space="0" w:color="auto"/>
            </w:tcBorders>
            <w:shd w:val="clear" w:color="auto" w:fill="auto"/>
          </w:tcPr>
          <w:p w14:paraId="01A28BEC" w14:textId="782DC932" w:rsidR="00021C57" w:rsidRPr="00D85C31" w:rsidRDefault="001B6489" w:rsidP="001B6489">
            <w:pPr>
              <w:spacing w:after="120" w:line="259" w:lineRule="auto"/>
              <w:rPr>
                <w:rFonts w:eastAsia="Calibri" w:cs="Calibri"/>
                <w:sz w:val="18"/>
                <w:szCs w:val="18"/>
              </w:rPr>
            </w:pPr>
            <w:r w:rsidRPr="00D85C31">
              <w:rPr>
                <w:sz w:val="18"/>
                <w:szCs w:val="18"/>
              </w:rPr>
              <w:t>Public Private Partnership (</w:t>
            </w:r>
            <w:r w:rsidRPr="00D85C31">
              <w:rPr>
                <w:rFonts w:eastAsia="Calibri" w:cs="Calibri"/>
                <w:iCs/>
                <w:sz w:val="18"/>
                <w:szCs w:val="18"/>
              </w:rPr>
              <w:t>PPP)</w:t>
            </w:r>
          </w:p>
        </w:tc>
        <w:tc>
          <w:tcPr>
            <w:tcW w:w="3455" w:type="pct"/>
            <w:shd w:val="clear" w:color="auto" w:fill="auto"/>
            <w:vAlign w:val="bottom"/>
          </w:tcPr>
          <w:p w14:paraId="53DE8A11" w14:textId="5392AC46" w:rsidR="00021C57" w:rsidRPr="00D85C31" w:rsidRDefault="001B6489" w:rsidP="00957DFF">
            <w:pPr>
              <w:spacing w:after="240" w:line="259" w:lineRule="auto"/>
              <w:jc w:val="both"/>
              <w:rPr>
                <w:rFonts w:eastAsia="Calibri" w:cs="Calibri"/>
                <w:sz w:val="18"/>
                <w:szCs w:val="18"/>
              </w:rPr>
            </w:pPr>
            <w:r w:rsidRPr="00D85C31">
              <w:rPr>
                <w:sz w:val="18"/>
                <w:szCs w:val="18"/>
              </w:rPr>
              <w:t>‘</w:t>
            </w:r>
            <w:r w:rsidR="00420F3A" w:rsidRPr="00D85C31">
              <w:rPr>
                <w:sz w:val="18"/>
                <w:szCs w:val="18"/>
              </w:rPr>
              <w:t>Burley Griffin</w:t>
            </w:r>
            <w:r w:rsidRPr="00D85C31">
              <w:rPr>
                <w:sz w:val="18"/>
                <w:szCs w:val="18"/>
              </w:rPr>
              <w:t xml:space="preserve"> Agency’ has entered into a PPP agreement with ‘Example Private Sector Entity’ for the design, construction and financing of a new court building as well as the subsequent provision of facilities management and support services. ‘</w:t>
            </w:r>
            <w:r w:rsidR="00420F3A" w:rsidRPr="00D85C31">
              <w:rPr>
                <w:sz w:val="18"/>
                <w:szCs w:val="18"/>
              </w:rPr>
              <w:t>Burley Griffin</w:t>
            </w:r>
            <w:r w:rsidRPr="00D85C31">
              <w:rPr>
                <w:sz w:val="18"/>
                <w:szCs w:val="18"/>
              </w:rPr>
              <w:t xml:space="preserve"> Agency’ determined that this arrangement was not a Service Concession Arrangement under AASB 1059 but instead the arrangement fell within the requirements of the leasing standard </w:t>
            </w:r>
            <w:r w:rsidR="007C739F" w:rsidRPr="00D85C31">
              <w:rPr>
                <w:sz w:val="18"/>
                <w:szCs w:val="18"/>
              </w:rPr>
              <w:t>(</w:t>
            </w:r>
            <w:r w:rsidRPr="00D85C31">
              <w:rPr>
                <w:sz w:val="18"/>
                <w:szCs w:val="18"/>
              </w:rPr>
              <w:t>AASB 16</w:t>
            </w:r>
            <w:r w:rsidR="007C739F" w:rsidRPr="00D85C31">
              <w:rPr>
                <w:sz w:val="18"/>
                <w:szCs w:val="18"/>
              </w:rPr>
              <w:t>)</w:t>
            </w:r>
            <w:r w:rsidRPr="00D85C31">
              <w:rPr>
                <w:sz w:val="18"/>
                <w:szCs w:val="18"/>
              </w:rPr>
              <w:t>.</w:t>
            </w:r>
            <w:r w:rsidR="00FA7C77">
              <w:rPr>
                <w:sz w:val="18"/>
                <w:szCs w:val="18"/>
              </w:rPr>
              <w:t xml:space="preserve"> </w:t>
            </w:r>
            <w:r w:rsidRPr="00D85C31">
              <w:rPr>
                <w:sz w:val="18"/>
                <w:szCs w:val="18"/>
              </w:rPr>
              <w:t>The design and construction of the new court building was completed in June 2020, and as such, ‘</w:t>
            </w:r>
            <w:r w:rsidR="00420F3A" w:rsidRPr="00D85C31">
              <w:rPr>
                <w:sz w:val="18"/>
                <w:szCs w:val="18"/>
              </w:rPr>
              <w:t>Burley Griffin</w:t>
            </w:r>
            <w:r w:rsidRPr="00D85C31">
              <w:rPr>
                <w:sz w:val="18"/>
                <w:szCs w:val="18"/>
              </w:rPr>
              <w:t xml:space="preserve"> Agency’ recognised a lease liability and a corresponding lease asset at this date.</w:t>
            </w:r>
            <w:r w:rsidR="00FA7C77">
              <w:rPr>
                <w:sz w:val="18"/>
                <w:szCs w:val="18"/>
              </w:rPr>
              <w:t xml:space="preserve"> </w:t>
            </w:r>
            <w:r w:rsidRPr="00D85C31">
              <w:rPr>
                <w:sz w:val="18"/>
                <w:szCs w:val="18"/>
              </w:rPr>
              <w:t xml:space="preserve">The lease term is </w:t>
            </w:r>
            <w:r w:rsidR="003E5956" w:rsidRPr="00D85C31">
              <w:rPr>
                <w:sz w:val="18"/>
                <w:szCs w:val="18"/>
              </w:rPr>
              <w:t>2</w:t>
            </w:r>
            <w:r w:rsidRPr="00D85C31">
              <w:rPr>
                <w:sz w:val="18"/>
                <w:szCs w:val="18"/>
              </w:rPr>
              <w:t>5 years and will therefore expire in June 20</w:t>
            </w:r>
            <w:r w:rsidR="003E5956" w:rsidRPr="00D85C31">
              <w:rPr>
                <w:sz w:val="18"/>
                <w:szCs w:val="18"/>
              </w:rPr>
              <w:t>4</w:t>
            </w:r>
            <w:r w:rsidRPr="00D85C31">
              <w:rPr>
                <w:sz w:val="18"/>
                <w:szCs w:val="18"/>
              </w:rPr>
              <w:t>5.</w:t>
            </w:r>
          </w:p>
        </w:tc>
      </w:tr>
      <w:tr w:rsidR="007C739F" w:rsidRPr="00381D99" w14:paraId="0C45B540" w14:textId="77777777" w:rsidTr="0004564D">
        <w:trPr>
          <w:cantSplit/>
          <w:trHeight w:val="23"/>
        </w:trPr>
        <w:tc>
          <w:tcPr>
            <w:tcW w:w="738" w:type="pct"/>
            <w:tcBorders>
              <w:left w:val="single" w:sz="2" w:space="0" w:color="auto"/>
              <w:right w:val="single" w:sz="2" w:space="0" w:color="auto"/>
            </w:tcBorders>
          </w:tcPr>
          <w:p w14:paraId="3B3AD4D8" w14:textId="77777777" w:rsidR="007C739F" w:rsidRPr="00D85C31" w:rsidRDefault="007C739F" w:rsidP="00413B75">
            <w:pPr>
              <w:pStyle w:val="TableReference"/>
              <w:tabs>
                <w:tab w:val="left" w:pos="3306"/>
              </w:tabs>
              <w:rPr>
                <w:rFonts w:cs="Calibri"/>
                <w:color w:val="7030A0"/>
                <w:sz w:val="14"/>
              </w:rPr>
            </w:pPr>
          </w:p>
        </w:tc>
        <w:tc>
          <w:tcPr>
            <w:tcW w:w="807" w:type="pct"/>
            <w:tcBorders>
              <w:left w:val="single" w:sz="2" w:space="0" w:color="auto"/>
            </w:tcBorders>
            <w:shd w:val="clear" w:color="auto" w:fill="auto"/>
          </w:tcPr>
          <w:p w14:paraId="5B043CC2" w14:textId="2CFD368B" w:rsidR="007C739F" w:rsidRPr="00D85C31" w:rsidRDefault="007C739F" w:rsidP="001B6489">
            <w:pPr>
              <w:spacing w:after="120" w:line="259" w:lineRule="auto"/>
              <w:rPr>
                <w:sz w:val="18"/>
                <w:szCs w:val="18"/>
              </w:rPr>
            </w:pPr>
            <w:r w:rsidRPr="00D85C31">
              <w:rPr>
                <w:rFonts w:eastAsia="Calibri" w:cs="Calibri"/>
                <w:iCs/>
                <w:sz w:val="18"/>
                <w:szCs w:val="18"/>
              </w:rPr>
              <w:t>Building leases – Specialised Depot Building</w:t>
            </w:r>
          </w:p>
        </w:tc>
        <w:tc>
          <w:tcPr>
            <w:tcW w:w="3455" w:type="pct"/>
            <w:shd w:val="clear" w:color="auto" w:fill="auto"/>
          </w:tcPr>
          <w:p w14:paraId="343B9A1F" w14:textId="2763EFED" w:rsidR="007C739F" w:rsidRPr="00D85C31" w:rsidRDefault="007C739F" w:rsidP="006F5B3D">
            <w:pPr>
              <w:autoSpaceDE w:val="0"/>
              <w:autoSpaceDN w:val="0"/>
              <w:adjustRightInd w:val="0"/>
              <w:spacing w:after="120"/>
              <w:jc w:val="both"/>
              <w:rPr>
                <w:bCs/>
                <w:sz w:val="18"/>
                <w:szCs w:val="18"/>
              </w:rPr>
            </w:pPr>
            <w:r w:rsidRPr="00D85C31">
              <w:rPr>
                <w:bCs/>
                <w:sz w:val="18"/>
                <w:szCs w:val="18"/>
              </w:rPr>
              <w:t xml:space="preserve">The Agency has </w:t>
            </w:r>
            <w:r w:rsidR="0000431D" w:rsidRPr="00D85C31">
              <w:rPr>
                <w:bCs/>
                <w:sz w:val="18"/>
                <w:szCs w:val="18"/>
              </w:rPr>
              <w:t xml:space="preserve">one </w:t>
            </w:r>
            <w:r w:rsidRPr="00D85C31">
              <w:rPr>
                <w:bCs/>
                <w:sz w:val="18"/>
                <w:szCs w:val="18"/>
              </w:rPr>
              <w:t xml:space="preserve">lease for </w:t>
            </w:r>
            <w:r w:rsidR="0000431D" w:rsidRPr="00D85C31">
              <w:rPr>
                <w:bCs/>
                <w:sz w:val="18"/>
                <w:szCs w:val="18"/>
              </w:rPr>
              <w:t xml:space="preserve">a specialised depot building which </w:t>
            </w:r>
            <w:r w:rsidRPr="00D85C31">
              <w:rPr>
                <w:bCs/>
                <w:sz w:val="18"/>
                <w:szCs w:val="18"/>
              </w:rPr>
              <w:t>expire</w:t>
            </w:r>
            <w:r w:rsidR="0000431D" w:rsidRPr="00D85C31">
              <w:rPr>
                <w:bCs/>
                <w:sz w:val="18"/>
                <w:szCs w:val="18"/>
              </w:rPr>
              <w:t>s</w:t>
            </w:r>
            <w:r w:rsidRPr="00D85C31">
              <w:rPr>
                <w:bCs/>
                <w:sz w:val="18"/>
                <w:szCs w:val="18"/>
              </w:rPr>
              <w:t xml:space="preserve"> in six years. The lease ha</w:t>
            </w:r>
            <w:r w:rsidR="0000431D" w:rsidRPr="00D85C31">
              <w:rPr>
                <w:bCs/>
                <w:sz w:val="18"/>
                <w:szCs w:val="18"/>
              </w:rPr>
              <w:t>s</w:t>
            </w:r>
            <w:r w:rsidRPr="00D85C31">
              <w:rPr>
                <w:bCs/>
                <w:sz w:val="18"/>
                <w:szCs w:val="18"/>
              </w:rPr>
              <w:t xml:space="preserve"> varying terms, escalation clauses and renewal rights in order to provide flexibility to the Agency and the extension options are exercisable only by the Agency.</w:t>
            </w:r>
            <w:r w:rsidR="00FA7C77">
              <w:rPr>
                <w:bCs/>
                <w:sz w:val="18"/>
                <w:szCs w:val="18"/>
              </w:rPr>
              <w:t xml:space="preserve"> </w:t>
            </w:r>
            <w:r w:rsidRPr="00D85C31">
              <w:rPr>
                <w:bCs/>
                <w:sz w:val="18"/>
                <w:szCs w:val="18"/>
              </w:rPr>
              <w:t>The lease agreement give</w:t>
            </w:r>
            <w:r w:rsidR="0000431D" w:rsidRPr="00D85C31">
              <w:rPr>
                <w:bCs/>
                <w:sz w:val="18"/>
                <w:szCs w:val="18"/>
              </w:rPr>
              <w:t>s</w:t>
            </w:r>
            <w:r w:rsidRPr="00D85C31">
              <w:rPr>
                <w:bCs/>
                <w:sz w:val="18"/>
                <w:szCs w:val="18"/>
              </w:rPr>
              <w:t xml:space="preserve"> the Agency the right to renew the lease for up to </w:t>
            </w:r>
            <w:r w:rsidR="0000431D" w:rsidRPr="00D85C31">
              <w:rPr>
                <w:bCs/>
                <w:sz w:val="18"/>
                <w:szCs w:val="18"/>
              </w:rPr>
              <w:t>twice</w:t>
            </w:r>
            <w:r w:rsidRPr="00D85C31">
              <w:rPr>
                <w:bCs/>
                <w:sz w:val="18"/>
                <w:szCs w:val="18"/>
              </w:rPr>
              <w:t xml:space="preserve"> the initial term.</w:t>
            </w:r>
          </w:p>
          <w:p w14:paraId="6D945A2C" w14:textId="2CF655D4" w:rsidR="007C739F" w:rsidRPr="00D85C31" w:rsidRDefault="007C739F" w:rsidP="003E5956">
            <w:pPr>
              <w:autoSpaceDE w:val="0"/>
              <w:autoSpaceDN w:val="0"/>
              <w:adjustRightInd w:val="0"/>
              <w:spacing w:after="120"/>
              <w:jc w:val="both"/>
              <w:rPr>
                <w:bCs/>
                <w:sz w:val="18"/>
                <w:szCs w:val="18"/>
              </w:rPr>
            </w:pPr>
            <w:r w:rsidRPr="00D85C31">
              <w:rPr>
                <w:bCs/>
                <w:sz w:val="18"/>
                <w:szCs w:val="18"/>
              </w:rPr>
              <w:t xml:space="preserve">There are no conditions in the lease agreements requiring the Agency to restore the site which the leased building </w:t>
            </w:r>
            <w:r w:rsidR="003E5956" w:rsidRPr="00D85C31">
              <w:rPr>
                <w:bCs/>
                <w:sz w:val="18"/>
                <w:szCs w:val="18"/>
              </w:rPr>
              <w:t>is</w:t>
            </w:r>
            <w:r w:rsidRPr="00D85C31">
              <w:rPr>
                <w:bCs/>
                <w:sz w:val="18"/>
                <w:szCs w:val="18"/>
              </w:rPr>
              <w:t xml:space="preserve"> situated.</w:t>
            </w:r>
            <w:r w:rsidR="00FA7C77">
              <w:rPr>
                <w:bCs/>
                <w:sz w:val="18"/>
                <w:szCs w:val="18"/>
              </w:rPr>
              <w:t xml:space="preserve"> </w:t>
            </w:r>
          </w:p>
          <w:p w14:paraId="4C9BB398" w14:textId="1E346D05" w:rsidR="007C739F" w:rsidRPr="00D85C31" w:rsidRDefault="007C739F" w:rsidP="003E5956">
            <w:pPr>
              <w:spacing w:after="240" w:line="259" w:lineRule="auto"/>
              <w:jc w:val="both"/>
              <w:rPr>
                <w:sz w:val="18"/>
                <w:szCs w:val="18"/>
              </w:rPr>
            </w:pPr>
            <w:r w:rsidRPr="00D85C31">
              <w:rPr>
                <w:bCs/>
                <w:sz w:val="18"/>
                <w:szCs w:val="18"/>
              </w:rPr>
              <w:t xml:space="preserve">The </w:t>
            </w:r>
            <w:r w:rsidR="0000431D" w:rsidRPr="00D85C31">
              <w:rPr>
                <w:bCs/>
                <w:sz w:val="18"/>
                <w:szCs w:val="18"/>
              </w:rPr>
              <w:t>depot</w:t>
            </w:r>
            <w:r w:rsidRPr="00D85C31">
              <w:rPr>
                <w:bCs/>
                <w:sz w:val="18"/>
                <w:szCs w:val="18"/>
              </w:rPr>
              <w:t xml:space="preserve"> lease contain</w:t>
            </w:r>
            <w:r w:rsidR="0000431D" w:rsidRPr="00D85C31">
              <w:rPr>
                <w:bCs/>
                <w:sz w:val="18"/>
                <w:szCs w:val="18"/>
              </w:rPr>
              <w:t>s</w:t>
            </w:r>
            <w:r w:rsidRPr="00D85C31">
              <w:rPr>
                <w:bCs/>
                <w:sz w:val="18"/>
                <w:szCs w:val="18"/>
              </w:rPr>
              <w:t xml:space="preserve"> an annual pricing mechanism based on CPI movements at each anniversary of the lease inception.</w:t>
            </w:r>
          </w:p>
        </w:tc>
      </w:tr>
      <w:tr w:rsidR="00957DFF" w:rsidRPr="00381D99" w14:paraId="7E571FD4" w14:textId="77777777" w:rsidTr="0004564D">
        <w:trPr>
          <w:cantSplit/>
          <w:trHeight w:val="23"/>
        </w:trPr>
        <w:tc>
          <w:tcPr>
            <w:tcW w:w="738" w:type="pct"/>
            <w:tcBorders>
              <w:left w:val="single" w:sz="2" w:space="0" w:color="auto"/>
              <w:right w:val="single" w:sz="2" w:space="0" w:color="auto"/>
            </w:tcBorders>
          </w:tcPr>
          <w:p w14:paraId="63E579FE" w14:textId="77777777" w:rsidR="00957DFF" w:rsidRPr="00D85C31" w:rsidRDefault="00957DFF" w:rsidP="00B41C76">
            <w:pPr>
              <w:pStyle w:val="TableReference"/>
              <w:tabs>
                <w:tab w:val="left" w:pos="3306"/>
              </w:tabs>
              <w:rPr>
                <w:rFonts w:cs="Calibri"/>
                <w:color w:val="7030A0"/>
                <w:sz w:val="14"/>
              </w:rPr>
            </w:pPr>
            <w:r w:rsidRPr="00D85C31">
              <w:rPr>
                <w:rFonts w:cs="Calibri"/>
                <w:color w:val="7030A0"/>
                <w:sz w:val="14"/>
              </w:rPr>
              <w:t>AASB 16.Aus59.1</w:t>
            </w:r>
          </w:p>
        </w:tc>
        <w:tc>
          <w:tcPr>
            <w:tcW w:w="807" w:type="pct"/>
            <w:tcBorders>
              <w:left w:val="single" w:sz="2" w:space="0" w:color="auto"/>
            </w:tcBorders>
            <w:shd w:val="clear" w:color="auto" w:fill="auto"/>
          </w:tcPr>
          <w:p w14:paraId="758601FD" w14:textId="77777777" w:rsidR="00957DFF" w:rsidRPr="00D85C31" w:rsidRDefault="00957DFF" w:rsidP="00B41C76">
            <w:pPr>
              <w:spacing w:after="120" w:line="259" w:lineRule="auto"/>
              <w:rPr>
                <w:rFonts w:eastAsia="Calibri" w:cs="Calibri"/>
                <w:sz w:val="18"/>
                <w:szCs w:val="18"/>
              </w:rPr>
            </w:pPr>
            <w:r w:rsidRPr="00D85C31">
              <w:rPr>
                <w:rFonts w:eastAsia="Calibri" w:cs="Calibri"/>
                <w:iCs/>
                <w:sz w:val="18"/>
                <w:szCs w:val="18"/>
              </w:rPr>
              <w:t>Concessionary land leases (also referred to as peppercorn leases)</w:t>
            </w:r>
          </w:p>
        </w:tc>
        <w:tc>
          <w:tcPr>
            <w:tcW w:w="3455" w:type="pct"/>
            <w:shd w:val="clear" w:color="auto" w:fill="auto"/>
            <w:vAlign w:val="bottom"/>
          </w:tcPr>
          <w:p w14:paraId="3107410B" w14:textId="60711A9D" w:rsidR="00957DFF" w:rsidRPr="00D85C31" w:rsidRDefault="00957DFF" w:rsidP="00957DFF">
            <w:pPr>
              <w:spacing w:after="180" w:line="259" w:lineRule="auto"/>
              <w:jc w:val="both"/>
              <w:rPr>
                <w:rFonts w:eastAsia="Calibri" w:cs="Calibri"/>
                <w:sz w:val="18"/>
                <w:szCs w:val="18"/>
              </w:rPr>
            </w:pPr>
            <w:r w:rsidRPr="00D85C31">
              <w:rPr>
                <w:bCs/>
                <w:sz w:val="18"/>
                <w:szCs w:val="18"/>
              </w:rPr>
              <w:t>The Agency has a 30 year concessionary lease from ‘ABC Agency’ for use of land.</w:t>
            </w:r>
            <w:r w:rsidR="00FA7C77">
              <w:rPr>
                <w:bCs/>
                <w:sz w:val="18"/>
                <w:szCs w:val="18"/>
              </w:rPr>
              <w:t xml:space="preserve"> </w:t>
            </w:r>
            <w:r w:rsidRPr="00D85C31">
              <w:rPr>
                <w:bCs/>
                <w:sz w:val="18"/>
                <w:szCs w:val="18"/>
              </w:rPr>
              <w:t>The lease</w:t>
            </w:r>
            <w:r w:rsidR="00FA7C77">
              <w:rPr>
                <w:bCs/>
                <w:sz w:val="18"/>
                <w:szCs w:val="18"/>
              </w:rPr>
              <w:t xml:space="preserve"> </w:t>
            </w:r>
            <w:r w:rsidRPr="00D85C31">
              <w:rPr>
                <w:bCs/>
                <w:sz w:val="18"/>
                <w:szCs w:val="18"/>
              </w:rPr>
              <w:t>expires in 2044, with a rental of $</w:t>
            </w:r>
            <w:r w:rsidR="003E5956" w:rsidRPr="00D85C31">
              <w:rPr>
                <w:bCs/>
                <w:sz w:val="18"/>
                <w:szCs w:val="18"/>
              </w:rPr>
              <w:t>xxx</w:t>
            </w:r>
            <w:r w:rsidRPr="00D85C31">
              <w:rPr>
                <w:bCs/>
                <w:sz w:val="18"/>
                <w:szCs w:val="18"/>
              </w:rPr>
              <w:t xml:space="preserve"> per year which is well below market value.</w:t>
            </w:r>
            <w:r w:rsidR="00FA7C77">
              <w:rPr>
                <w:bCs/>
                <w:sz w:val="18"/>
                <w:szCs w:val="18"/>
              </w:rPr>
              <w:t xml:space="preserve"> </w:t>
            </w:r>
            <w:r w:rsidRPr="00D85C31">
              <w:rPr>
                <w:bCs/>
                <w:sz w:val="18"/>
                <w:szCs w:val="18"/>
              </w:rPr>
              <w:t>‘</w:t>
            </w:r>
            <w:r w:rsidR="00420F3A" w:rsidRPr="00D85C31">
              <w:rPr>
                <w:sz w:val="18"/>
                <w:szCs w:val="18"/>
              </w:rPr>
              <w:t>Burley Griffin</w:t>
            </w:r>
            <w:r w:rsidRPr="00D85C31">
              <w:rPr>
                <w:bCs/>
                <w:sz w:val="18"/>
                <w:szCs w:val="18"/>
              </w:rPr>
              <w:t xml:space="preserve"> Agency’ is dependent on the use of the land to further its objectives of conducting ecological studies and using the results to provide policy advice to Government.</w:t>
            </w:r>
            <w:r w:rsidR="00FA7C77">
              <w:rPr>
                <w:bCs/>
                <w:sz w:val="18"/>
                <w:szCs w:val="18"/>
              </w:rPr>
              <w:t xml:space="preserve"> </w:t>
            </w:r>
            <w:r w:rsidRPr="00D85C31">
              <w:rPr>
                <w:bCs/>
                <w:sz w:val="18"/>
                <w:szCs w:val="18"/>
              </w:rPr>
              <w:t>The land is restricted to provision of community services in accordance with the objectives of the Agency to local residents.</w:t>
            </w:r>
          </w:p>
        </w:tc>
      </w:tr>
      <w:tr w:rsidR="001B6489" w:rsidRPr="00381D99" w14:paraId="7BFD853D" w14:textId="77777777" w:rsidTr="0004564D">
        <w:trPr>
          <w:cantSplit/>
          <w:trHeight w:val="23"/>
        </w:trPr>
        <w:tc>
          <w:tcPr>
            <w:tcW w:w="738" w:type="pct"/>
            <w:tcBorders>
              <w:left w:val="single" w:sz="2" w:space="0" w:color="auto"/>
              <w:right w:val="single" w:sz="2" w:space="0" w:color="auto"/>
            </w:tcBorders>
          </w:tcPr>
          <w:p w14:paraId="02BDA2F6" w14:textId="77777777" w:rsidR="001B6489" w:rsidRPr="00D85C31" w:rsidRDefault="001B6489" w:rsidP="00413B75">
            <w:pPr>
              <w:pStyle w:val="TableReference"/>
              <w:tabs>
                <w:tab w:val="left" w:pos="3306"/>
              </w:tabs>
              <w:rPr>
                <w:rFonts w:cs="Calibri"/>
                <w:color w:val="7030A0"/>
                <w:sz w:val="14"/>
              </w:rPr>
            </w:pPr>
          </w:p>
        </w:tc>
        <w:tc>
          <w:tcPr>
            <w:tcW w:w="4262" w:type="pct"/>
            <w:gridSpan w:val="2"/>
            <w:tcBorders>
              <w:left w:val="single" w:sz="2" w:space="0" w:color="auto"/>
            </w:tcBorders>
            <w:shd w:val="clear" w:color="auto" w:fill="auto"/>
            <w:vAlign w:val="bottom"/>
          </w:tcPr>
          <w:p w14:paraId="5F207A37" w14:textId="0767A019" w:rsidR="001B6489" w:rsidRPr="00D85C31" w:rsidRDefault="001B6489" w:rsidP="00D62D65">
            <w:pPr>
              <w:spacing w:before="120" w:after="120" w:line="259" w:lineRule="auto"/>
              <w:jc w:val="both"/>
              <w:rPr>
                <w:rFonts w:eastAsia="Calibri" w:cs="Calibri"/>
                <w:b/>
                <w:bCs/>
                <w:sz w:val="18"/>
                <w:szCs w:val="18"/>
              </w:rPr>
            </w:pPr>
            <w:r w:rsidRPr="00D85C31">
              <w:rPr>
                <w:rFonts w:eastAsia="Calibri" w:cs="Calibri"/>
                <w:b/>
                <w:bCs/>
                <w:sz w:val="18"/>
                <w:szCs w:val="18"/>
              </w:rPr>
              <w:t xml:space="preserve">Leases that have not resulted in </w:t>
            </w:r>
            <w:r w:rsidR="00957DFF" w:rsidRPr="00D85C31">
              <w:rPr>
                <w:rFonts w:eastAsia="Calibri" w:cs="Calibri"/>
                <w:b/>
                <w:bCs/>
                <w:sz w:val="18"/>
                <w:szCs w:val="18"/>
              </w:rPr>
              <w:t>‘</w:t>
            </w:r>
            <w:r w:rsidR="00420F3A" w:rsidRPr="00D85C31">
              <w:rPr>
                <w:b/>
                <w:bCs/>
                <w:sz w:val="18"/>
                <w:szCs w:val="18"/>
              </w:rPr>
              <w:t>Burley Griffin</w:t>
            </w:r>
            <w:r w:rsidR="00957DFF" w:rsidRPr="00D85C31">
              <w:rPr>
                <w:rFonts w:eastAsia="Calibri" w:cs="Calibri"/>
                <w:b/>
                <w:bCs/>
                <w:sz w:val="18"/>
                <w:szCs w:val="18"/>
              </w:rPr>
              <w:t xml:space="preserve"> Agency’</w:t>
            </w:r>
            <w:r w:rsidRPr="00D85C31">
              <w:rPr>
                <w:rFonts w:eastAsia="Calibri" w:cs="Calibri"/>
                <w:b/>
                <w:bCs/>
                <w:sz w:val="18"/>
                <w:szCs w:val="18"/>
              </w:rPr>
              <w:t xml:space="preserve"> recogni</w:t>
            </w:r>
            <w:r w:rsidR="00957DFF" w:rsidRPr="00D85C31">
              <w:rPr>
                <w:rFonts w:eastAsia="Calibri" w:cs="Calibri"/>
                <w:b/>
                <w:bCs/>
                <w:sz w:val="18"/>
                <w:szCs w:val="18"/>
              </w:rPr>
              <w:t>sing</w:t>
            </w:r>
            <w:r w:rsidRPr="00D85C31">
              <w:rPr>
                <w:rFonts w:eastAsia="Calibri" w:cs="Calibri"/>
                <w:b/>
                <w:bCs/>
                <w:sz w:val="18"/>
                <w:szCs w:val="18"/>
              </w:rPr>
              <w:t xml:space="preserve"> a lease liability are as follows:</w:t>
            </w:r>
          </w:p>
        </w:tc>
      </w:tr>
      <w:tr w:rsidR="001B6489" w:rsidRPr="00381D99" w14:paraId="2401B9F6" w14:textId="77777777" w:rsidTr="0004564D">
        <w:trPr>
          <w:cantSplit/>
          <w:trHeight w:val="23"/>
        </w:trPr>
        <w:tc>
          <w:tcPr>
            <w:tcW w:w="738" w:type="pct"/>
            <w:tcBorders>
              <w:left w:val="single" w:sz="2" w:space="0" w:color="auto"/>
              <w:right w:val="single" w:sz="2" w:space="0" w:color="auto"/>
            </w:tcBorders>
          </w:tcPr>
          <w:p w14:paraId="5D75517C" w14:textId="77777777" w:rsidR="001B6489" w:rsidRPr="00D85C31" w:rsidRDefault="001B6489" w:rsidP="00413B75">
            <w:pPr>
              <w:pStyle w:val="TableReference"/>
              <w:tabs>
                <w:tab w:val="left" w:pos="3306"/>
              </w:tabs>
              <w:rPr>
                <w:rFonts w:cs="Calibri"/>
                <w:color w:val="7030A0"/>
                <w:sz w:val="14"/>
              </w:rPr>
            </w:pPr>
          </w:p>
        </w:tc>
        <w:tc>
          <w:tcPr>
            <w:tcW w:w="4262" w:type="pct"/>
            <w:gridSpan w:val="2"/>
            <w:tcBorders>
              <w:left w:val="single" w:sz="2" w:space="0" w:color="auto"/>
            </w:tcBorders>
            <w:shd w:val="clear" w:color="auto" w:fill="auto"/>
            <w:vAlign w:val="bottom"/>
          </w:tcPr>
          <w:p w14:paraId="11131462" w14:textId="3257D98B" w:rsidR="001B6489" w:rsidRPr="00D85C31" w:rsidRDefault="001B6489" w:rsidP="00413B75">
            <w:pPr>
              <w:spacing w:after="120" w:line="259" w:lineRule="auto"/>
              <w:jc w:val="both"/>
              <w:rPr>
                <w:rFonts w:eastAsia="Calibri" w:cs="Calibri"/>
                <w:i/>
                <w:sz w:val="18"/>
                <w:szCs w:val="18"/>
              </w:rPr>
            </w:pPr>
            <w:r w:rsidRPr="00D85C31">
              <w:rPr>
                <w:rFonts w:eastAsia="Calibri" w:cs="Calibri"/>
                <w:i/>
                <w:sz w:val="18"/>
                <w:szCs w:val="18"/>
              </w:rPr>
              <w:t>Terms and Conditions of Leases</w:t>
            </w:r>
          </w:p>
        </w:tc>
      </w:tr>
      <w:tr w:rsidR="00021C57" w:rsidRPr="00381D99" w14:paraId="28AAC598" w14:textId="77777777" w:rsidTr="0004564D">
        <w:trPr>
          <w:cantSplit/>
          <w:trHeight w:val="23"/>
        </w:trPr>
        <w:tc>
          <w:tcPr>
            <w:tcW w:w="738" w:type="pct"/>
            <w:tcBorders>
              <w:left w:val="single" w:sz="2" w:space="0" w:color="auto"/>
              <w:right w:val="single" w:sz="2" w:space="0" w:color="auto"/>
            </w:tcBorders>
          </w:tcPr>
          <w:p w14:paraId="3DD5FCFB" w14:textId="0587F640" w:rsidR="00021C57" w:rsidRPr="00D85C31" w:rsidRDefault="00CB3539" w:rsidP="00413B75">
            <w:pPr>
              <w:pStyle w:val="TableReference"/>
              <w:tabs>
                <w:tab w:val="left" w:pos="3306"/>
              </w:tabs>
              <w:rPr>
                <w:rFonts w:cs="Calibri"/>
                <w:color w:val="7030A0"/>
                <w:sz w:val="14"/>
              </w:rPr>
            </w:pPr>
            <w:r w:rsidRPr="00D85C31">
              <w:rPr>
                <w:rFonts w:cs="Calibri"/>
                <w:color w:val="7030A0"/>
                <w:sz w:val="14"/>
              </w:rPr>
              <w:t>ACT Accounting Policy</w:t>
            </w:r>
          </w:p>
        </w:tc>
        <w:tc>
          <w:tcPr>
            <w:tcW w:w="807" w:type="pct"/>
            <w:tcBorders>
              <w:left w:val="single" w:sz="2" w:space="0" w:color="auto"/>
            </w:tcBorders>
            <w:shd w:val="clear" w:color="auto" w:fill="auto"/>
          </w:tcPr>
          <w:p w14:paraId="55571168" w14:textId="3905DD14" w:rsidR="00021C57" w:rsidRPr="00D85C31" w:rsidRDefault="001B6489" w:rsidP="001B6489">
            <w:pPr>
              <w:spacing w:after="120" w:line="259" w:lineRule="auto"/>
              <w:rPr>
                <w:rFonts w:eastAsia="Calibri" w:cs="Calibri"/>
                <w:sz w:val="18"/>
                <w:szCs w:val="18"/>
              </w:rPr>
            </w:pPr>
            <w:r w:rsidRPr="00D85C31">
              <w:rPr>
                <w:rFonts w:eastAsia="Calibri" w:cs="Calibri"/>
                <w:iCs/>
                <w:sz w:val="18"/>
                <w:szCs w:val="18"/>
              </w:rPr>
              <w:t xml:space="preserve">Building leases – office </w:t>
            </w:r>
            <w:r w:rsidR="0064130A" w:rsidRPr="00D85C31">
              <w:rPr>
                <w:rFonts w:eastAsia="Calibri" w:cs="Calibri"/>
                <w:iCs/>
                <w:sz w:val="18"/>
                <w:szCs w:val="18"/>
              </w:rPr>
              <w:t>accommodation</w:t>
            </w:r>
          </w:p>
        </w:tc>
        <w:tc>
          <w:tcPr>
            <w:tcW w:w="3455" w:type="pct"/>
            <w:shd w:val="clear" w:color="auto" w:fill="auto"/>
            <w:vAlign w:val="bottom"/>
          </w:tcPr>
          <w:p w14:paraId="46C1ABCC" w14:textId="7D11E821" w:rsidR="00CB3539" w:rsidRPr="00D85C31" w:rsidRDefault="00CB3539" w:rsidP="00CB3539">
            <w:pPr>
              <w:autoSpaceDE w:val="0"/>
              <w:autoSpaceDN w:val="0"/>
              <w:adjustRightInd w:val="0"/>
              <w:spacing w:after="120"/>
              <w:jc w:val="both"/>
              <w:rPr>
                <w:bCs/>
                <w:sz w:val="18"/>
                <w:szCs w:val="18"/>
              </w:rPr>
            </w:pPr>
            <w:r w:rsidRPr="00D85C31">
              <w:rPr>
                <w:bCs/>
                <w:sz w:val="18"/>
                <w:szCs w:val="18"/>
              </w:rPr>
              <w:t xml:space="preserve">The Agency has </w:t>
            </w:r>
            <w:r w:rsidR="00A0353E" w:rsidRPr="00D85C31">
              <w:rPr>
                <w:bCs/>
                <w:sz w:val="18"/>
                <w:szCs w:val="18"/>
              </w:rPr>
              <w:t xml:space="preserve">a </w:t>
            </w:r>
            <w:r w:rsidRPr="00D85C31">
              <w:rPr>
                <w:bCs/>
                <w:sz w:val="18"/>
                <w:szCs w:val="18"/>
              </w:rPr>
              <w:t>Memorand</w:t>
            </w:r>
            <w:r w:rsidR="00A0353E" w:rsidRPr="00D85C31">
              <w:rPr>
                <w:bCs/>
                <w:sz w:val="18"/>
                <w:szCs w:val="18"/>
              </w:rPr>
              <w:t>um</w:t>
            </w:r>
            <w:r w:rsidRPr="00D85C31">
              <w:rPr>
                <w:bCs/>
                <w:sz w:val="18"/>
                <w:szCs w:val="18"/>
              </w:rPr>
              <w:t xml:space="preserve"> of Understanding (MoU)</w:t>
            </w:r>
            <w:r w:rsidR="002F1060" w:rsidRPr="00D85C31">
              <w:rPr>
                <w:bCs/>
                <w:sz w:val="18"/>
                <w:szCs w:val="18"/>
              </w:rPr>
              <w:t xml:space="preserve"> </w:t>
            </w:r>
            <w:r w:rsidRPr="00D85C31">
              <w:rPr>
                <w:bCs/>
                <w:sz w:val="18"/>
                <w:szCs w:val="18"/>
              </w:rPr>
              <w:t xml:space="preserve">for </w:t>
            </w:r>
            <w:r w:rsidR="00D62D65" w:rsidRPr="00D85C31">
              <w:rPr>
                <w:bCs/>
                <w:sz w:val="18"/>
                <w:szCs w:val="18"/>
              </w:rPr>
              <w:t xml:space="preserve">each of </w:t>
            </w:r>
            <w:r w:rsidR="00A0353E" w:rsidRPr="00D85C31">
              <w:rPr>
                <w:bCs/>
                <w:sz w:val="18"/>
                <w:szCs w:val="18"/>
              </w:rPr>
              <w:t xml:space="preserve">two </w:t>
            </w:r>
            <w:r w:rsidRPr="00D85C31">
              <w:rPr>
                <w:bCs/>
                <w:sz w:val="18"/>
                <w:szCs w:val="18"/>
              </w:rPr>
              <w:t>office buildings with the ACT Property Group</w:t>
            </w:r>
            <w:r w:rsidR="002F1060" w:rsidRPr="00D85C31">
              <w:rPr>
                <w:bCs/>
                <w:sz w:val="18"/>
                <w:szCs w:val="18"/>
              </w:rPr>
              <w:t xml:space="preserve"> (ACTPG)</w:t>
            </w:r>
            <w:r w:rsidRPr="00D85C31">
              <w:rPr>
                <w:bCs/>
                <w:sz w:val="18"/>
                <w:szCs w:val="18"/>
              </w:rPr>
              <w:t>.</w:t>
            </w:r>
            <w:r w:rsidR="00FA7C77">
              <w:rPr>
                <w:bCs/>
                <w:sz w:val="18"/>
                <w:szCs w:val="18"/>
              </w:rPr>
              <w:t xml:space="preserve"> </w:t>
            </w:r>
            <w:r w:rsidR="00A0353E" w:rsidRPr="00D85C31">
              <w:rPr>
                <w:bCs/>
                <w:sz w:val="18"/>
                <w:szCs w:val="18"/>
              </w:rPr>
              <w:t xml:space="preserve">A </w:t>
            </w:r>
            <w:r w:rsidRPr="00D85C31">
              <w:rPr>
                <w:bCs/>
                <w:sz w:val="18"/>
                <w:szCs w:val="18"/>
              </w:rPr>
              <w:t>lease asset and lease liabilit</w:t>
            </w:r>
            <w:r w:rsidR="00A0353E" w:rsidRPr="00D85C31">
              <w:rPr>
                <w:bCs/>
                <w:sz w:val="18"/>
                <w:szCs w:val="18"/>
              </w:rPr>
              <w:t>y</w:t>
            </w:r>
            <w:r w:rsidRPr="00D85C31">
              <w:rPr>
                <w:bCs/>
                <w:sz w:val="18"/>
                <w:szCs w:val="18"/>
              </w:rPr>
              <w:t xml:space="preserve"> </w:t>
            </w:r>
            <w:r w:rsidR="002F1060" w:rsidRPr="00D85C31">
              <w:rPr>
                <w:bCs/>
                <w:sz w:val="18"/>
                <w:szCs w:val="18"/>
              </w:rPr>
              <w:t>have been recognised by ACTPG for</w:t>
            </w:r>
            <w:r w:rsidRPr="00D85C31">
              <w:rPr>
                <w:bCs/>
                <w:sz w:val="18"/>
                <w:szCs w:val="18"/>
              </w:rPr>
              <w:t xml:space="preserve"> </w:t>
            </w:r>
            <w:r w:rsidR="00A0353E" w:rsidRPr="00D85C31">
              <w:rPr>
                <w:bCs/>
                <w:sz w:val="18"/>
                <w:szCs w:val="18"/>
              </w:rPr>
              <w:t xml:space="preserve">these office </w:t>
            </w:r>
            <w:r w:rsidRPr="00D85C31">
              <w:rPr>
                <w:bCs/>
                <w:sz w:val="18"/>
                <w:szCs w:val="18"/>
              </w:rPr>
              <w:t xml:space="preserve">buildings </w:t>
            </w:r>
            <w:r w:rsidR="002F1060" w:rsidRPr="00D85C31">
              <w:rPr>
                <w:bCs/>
                <w:sz w:val="18"/>
                <w:szCs w:val="18"/>
              </w:rPr>
              <w:t xml:space="preserve">in accordance with ACT Government Office Accommodation Accounting Policy, and as </w:t>
            </w:r>
            <w:r w:rsidRPr="00D85C31">
              <w:rPr>
                <w:bCs/>
                <w:sz w:val="18"/>
                <w:szCs w:val="18"/>
              </w:rPr>
              <w:t>such, ‘</w:t>
            </w:r>
            <w:r w:rsidR="00420F3A" w:rsidRPr="00D85C31">
              <w:rPr>
                <w:sz w:val="18"/>
                <w:szCs w:val="18"/>
              </w:rPr>
              <w:t>Burley Griffin</w:t>
            </w:r>
            <w:r w:rsidRPr="00D85C31">
              <w:rPr>
                <w:bCs/>
                <w:sz w:val="18"/>
                <w:szCs w:val="18"/>
              </w:rPr>
              <w:t xml:space="preserve"> Agency’ has not recognised a lease liability for these buildings.</w:t>
            </w:r>
          </w:p>
          <w:p w14:paraId="0843B606" w14:textId="6D0E06B6" w:rsidR="00021C57" w:rsidRPr="00D85C31" w:rsidRDefault="00CB3539" w:rsidP="00B86B1E">
            <w:pPr>
              <w:autoSpaceDE w:val="0"/>
              <w:autoSpaceDN w:val="0"/>
              <w:adjustRightInd w:val="0"/>
              <w:spacing w:after="240"/>
              <w:jc w:val="both"/>
              <w:rPr>
                <w:bCs/>
                <w:sz w:val="18"/>
                <w:szCs w:val="18"/>
              </w:rPr>
            </w:pPr>
            <w:r w:rsidRPr="00D85C31">
              <w:rPr>
                <w:bCs/>
                <w:sz w:val="18"/>
                <w:szCs w:val="18"/>
              </w:rPr>
              <w:t>One of the MOUs expires in three years and the second one expires in five years.</w:t>
            </w:r>
            <w:r w:rsidR="00FA7C77">
              <w:rPr>
                <w:bCs/>
                <w:sz w:val="18"/>
                <w:szCs w:val="18"/>
              </w:rPr>
              <w:t xml:space="preserve"> </w:t>
            </w:r>
            <w:r w:rsidRPr="00D85C31">
              <w:rPr>
                <w:bCs/>
                <w:sz w:val="18"/>
                <w:szCs w:val="18"/>
              </w:rPr>
              <w:t>There are no conditions in the MOU</w:t>
            </w:r>
            <w:r w:rsidR="003E5956" w:rsidRPr="00D85C31">
              <w:rPr>
                <w:bCs/>
                <w:sz w:val="18"/>
                <w:szCs w:val="18"/>
              </w:rPr>
              <w:t>s</w:t>
            </w:r>
            <w:r w:rsidRPr="00D85C31">
              <w:rPr>
                <w:bCs/>
                <w:sz w:val="18"/>
                <w:szCs w:val="18"/>
              </w:rPr>
              <w:t xml:space="preserve"> requiring the Agency to restore the leased buildings to the physical state they were in prior to the commencement of the MOU</w:t>
            </w:r>
            <w:r w:rsidR="003E5956" w:rsidRPr="00D85C31">
              <w:rPr>
                <w:bCs/>
                <w:sz w:val="18"/>
                <w:szCs w:val="18"/>
              </w:rPr>
              <w:t>s</w:t>
            </w:r>
            <w:r w:rsidRPr="00D85C31">
              <w:rPr>
                <w:bCs/>
                <w:sz w:val="18"/>
                <w:szCs w:val="18"/>
              </w:rPr>
              <w:t>.</w:t>
            </w:r>
            <w:r w:rsidR="00FA7C77">
              <w:rPr>
                <w:bCs/>
                <w:sz w:val="18"/>
                <w:szCs w:val="18"/>
              </w:rPr>
              <w:t xml:space="preserve"> </w:t>
            </w:r>
            <w:r w:rsidRPr="00D85C31">
              <w:rPr>
                <w:bCs/>
                <w:sz w:val="18"/>
                <w:szCs w:val="18"/>
              </w:rPr>
              <w:t xml:space="preserve">The </w:t>
            </w:r>
            <w:r w:rsidR="002F1060" w:rsidRPr="00D85C31">
              <w:rPr>
                <w:bCs/>
                <w:sz w:val="18"/>
                <w:szCs w:val="18"/>
              </w:rPr>
              <w:t>MOU</w:t>
            </w:r>
            <w:r w:rsidR="003E5956" w:rsidRPr="00D85C31">
              <w:rPr>
                <w:bCs/>
                <w:sz w:val="18"/>
                <w:szCs w:val="18"/>
              </w:rPr>
              <w:t>s</w:t>
            </w:r>
            <w:r w:rsidR="002F1060" w:rsidRPr="00D85C31">
              <w:rPr>
                <w:bCs/>
                <w:sz w:val="18"/>
                <w:szCs w:val="18"/>
              </w:rPr>
              <w:t xml:space="preserve"> </w:t>
            </w:r>
            <w:r w:rsidRPr="00D85C31">
              <w:rPr>
                <w:bCs/>
                <w:sz w:val="18"/>
                <w:szCs w:val="18"/>
              </w:rPr>
              <w:t>contain an annual pricing mechanism based on CPI movements at each anniversary of the inception</w:t>
            </w:r>
            <w:r w:rsidR="002F1060" w:rsidRPr="00D85C31">
              <w:rPr>
                <w:bCs/>
                <w:sz w:val="18"/>
                <w:szCs w:val="18"/>
              </w:rPr>
              <w:t xml:space="preserve"> of the MOU</w:t>
            </w:r>
            <w:r w:rsidR="003E5956" w:rsidRPr="00D85C31">
              <w:rPr>
                <w:bCs/>
                <w:sz w:val="18"/>
                <w:szCs w:val="18"/>
              </w:rPr>
              <w:t>s</w:t>
            </w:r>
            <w:r w:rsidRPr="00D85C31">
              <w:rPr>
                <w:bCs/>
                <w:sz w:val="18"/>
                <w:szCs w:val="18"/>
              </w:rPr>
              <w:t>.</w:t>
            </w:r>
          </w:p>
        </w:tc>
      </w:tr>
      <w:tr w:rsidR="00D62D65" w:rsidRPr="00381D99" w14:paraId="4A0E1510" w14:textId="77777777" w:rsidTr="0004564D">
        <w:trPr>
          <w:cantSplit/>
          <w:trHeight w:val="23"/>
        </w:trPr>
        <w:tc>
          <w:tcPr>
            <w:tcW w:w="738" w:type="pct"/>
            <w:tcBorders>
              <w:left w:val="single" w:sz="2" w:space="0" w:color="auto"/>
              <w:right w:val="single" w:sz="2" w:space="0" w:color="auto"/>
            </w:tcBorders>
          </w:tcPr>
          <w:p w14:paraId="0642C805" w14:textId="77777777" w:rsidR="00D62D65" w:rsidRPr="00D85C31" w:rsidRDefault="00D62D65" w:rsidP="00D62D65">
            <w:pPr>
              <w:pStyle w:val="TableReference"/>
              <w:tabs>
                <w:tab w:val="left" w:pos="3306"/>
              </w:tabs>
              <w:rPr>
                <w:rFonts w:cs="Calibri"/>
                <w:color w:val="7030A0"/>
                <w:sz w:val="14"/>
              </w:rPr>
            </w:pPr>
          </w:p>
        </w:tc>
        <w:tc>
          <w:tcPr>
            <w:tcW w:w="807" w:type="pct"/>
            <w:tcBorders>
              <w:left w:val="single" w:sz="2" w:space="0" w:color="auto"/>
            </w:tcBorders>
            <w:shd w:val="clear" w:color="auto" w:fill="auto"/>
          </w:tcPr>
          <w:p w14:paraId="4B00281B" w14:textId="143D633D" w:rsidR="00D62D65" w:rsidRPr="00021C57" w:rsidRDefault="00D62D65" w:rsidP="00D62D65">
            <w:pPr>
              <w:spacing w:after="120" w:line="259" w:lineRule="auto"/>
              <w:rPr>
                <w:rFonts w:eastAsia="Calibri" w:cs="Calibri"/>
                <w:color w:val="FF0000"/>
                <w:sz w:val="18"/>
                <w:szCs w:val="18"/>
              </w:rPr>
            </w:pPr>
            <w:r w:rsidRPr="00635724">
              <w:rPr>
                <w:bCs/>
                <w:sz w:val="18"/>
                <w:szCs w:val="18"/>
              </w:rPr>
              <w:t>IT equipment</w:t>
            </w:r>
          </w:p>
        </w:tc>
        <w:tc>
          <w:tcPr>
            <w:tcW w:w="3455" w:type="pct"/>
            <w:shd w:val="clear" w:color="auto" w:fill="auto"/>
            <w:vAlign w:val="bottom"/>
          </w:tcPr>
          <w:p w14:paraId="1A4A0AB0" w14:textId="5360205D" w:rsidR="00D62D65" w:rsidRPr="00D85C31" w:rsidRDefault="00D62D65" w:rsidP="00D62D65">
            <w:pPr>
              <w:autoSpaceDE w:val="0"/>
              <w:autoSpaceDN w:val="0"/>
              <w:adjustRightInd w:val="0"/>
              <w:spacing w:after="120"/>
              <w:jc w:val="both"/>
              <w:rPr>
                <w:bCs/>
                <w:sz w:val="18"/>
                <w:szCs w:val="18"/>
              </w:rPr>
            </w:pPr>
            <w:r w:rsidRPr="00D85C31">
              <w:rPr>
                <w:bCs/>
                <w:sz w:val="18"/>
                <w:szCs w:val="18"/>
              </w:rPr>
              <w:t>The Agency has numerous leases for IT equipment.</w:t>
            </w:r>
            <w:r w:rsidR="00FA7C77">
              <w:rPr>
                <w:bCs/>
                <w:sz w:val="18"/>
                <w:szCs w:val="18"/>
              </w:rPr>
              <w:t xml:space="preserve"> </w:t>
            </w:r>
            <w:r w:rsidRPr="00D85C31">
              <w:rPr>
                <w:bCs/>
                <w:sz w:val="18"/>
                <w:szCs w:val="18"/>
              </w:rPr>
              <w:t>‘</w:t>
            </w:r>
            <w:r w:rsidRPr="00D85C31">
              <w:rPr>
                <w:sz w:val="18"/>
                <w:szCs w:val="18"/>
              </w:rPr>
              <w:t>Burley Griffin</w:t>
            </w:r>
            <w:r w:rsidRPr="00D85C31">
              <w:rPr>
                <w:bCs/>
                <w:sz w:val="18"/>
                <w:szCs w:val="18"/>
              </w:rPr>
              <w:t xml:space="preserve"> Agency’ has determined that these leased assets are low value and as such has used the exemption for leases of low value assets.</w:t>
            </w:r>
            <w:r w:rsidR="00FA7C77">
              <w:rPr>
                <w:bCs/>
                <w:sz w:val="18"/>
                <w:szCs w:val="18"/>
              </w:rPr>
              <w:t xml:space="preserve"> </w:t>
            </w:r>
            <w:r w:rsidRPr="00D85C31">
              <w:rPr>
                <w:bCs/>
                <w:sz w:val="18"/>
                <w:szCs w:val="18"/>
              </w:rPr>
              <w:t>Therefore ‘</w:t>
            </w:r>
            <w:r w:rsidRPr="00D85C31">
              <w:rPr>
                <w:sz w:val="18"/>
                <w:szCs w:val="18"/>
              </w:rPr>
              <w:t>Burley Griffin</w:t>
            </w:r>
            <w:r w:rsidRPr="00D85C31">
              <w:rPr>
                <w:bCs/>
                <w:sz w:val="18"/>
                <w:szCs w:val="18"/>
              </w:rPr>
              <w:t xml:space="preserve"> Agency’ does not take up a lease liability for these leases but instead accounts for the cost of these leases as an expense through the Operating Statement as incurred.</w:t>
            </w:r>
          </w:p>
          <w:p w14:paraId="600F67CD" w14:textId="4013EE31" w:rsidR="00D62D65" w:rsidRPr="00D85C31" w:rsidRDefault="00D62D65" w:rsidP="00D62D65">
            <w:pPr>
              <w:autoSpaceDE w:val="0"/>
              <w:autoSpaceDN w:val="0"/>
              <w:adjustRightInd w:val="0"/>
              <w:spacing w:after="120"/>
              <w:jc w:val="both"/>
              <w:rPr>
                <w:bCs/>
                <w:sz w:val="18"/>
                <w:szCs w:val="18"/>
              </w:rPr>
            </w:pPr>
            <w:r w:rsidRPr="00D85C31">
              <w:rPr>
                <w:bCs/>
                <w:sz w:val="18"/>
                <w:szCs w:val="18"/>
              </w:rPr>
              <w:t>Where the lease contains a purchase option, the purchase price is included in the lease liability where the Agency believes it is reasonably certain that the purchase option will be exercised.</w:t>
            </w:r>
          </w:p>
        </w:tc>
      </w:tr>
      <w:tr w:rsidR="00D62D65" w:rsidRPr="00381D99" w14:paraId="38A09404" w14:textId="77777777" w:rsidTr="0004564D">
        <w:trPr>
          <w:cantSplit/>
          <w:trHeight w:val="23"/>
        </w:trPr>
        <w:tc>
          <w:tcPr>
            <w:tcW w:w="738" w:type="pct"/>
            <w:tcBorders>
              <w:left w:val="single" w:sz="2" w:space="0" w:color="auto"/>
              <w:right w:val="single" w:sz="2" w:space="0" w:color="auto"/>
            </w:tcBorders>
          </w:tcPr>
          <w:p w14:paraId="01DF3130" w14:textId="77777777" w:rsidR="00D62D65" w:rsidRPr="00D85C31" w:rsidRDefault="00D62D65" w:rsidP="00D62D65">
            <w:pPr>
              <w:pStyle w:val="TableReference"/>
              <w:tabs>
                <w:tab w:val="left" w:pos="3306"/>
              </w:tabs>
              <w:spacing w:before="240"/>
              <w:rPr>
                <w:rFonts w:cs="Calibri"/>
                <w:color w:val="7030A0"/>
                <w:sz w:val="14"/>
              </w:rPr>
            </w:pPr>
            <w:r w:rsidRPr="00D85C31">
              <w:rPr>
                <w:rFonts w:cs="Calibri"/>
                <w:color w:val="7030A0"/>
                <w:sz w:val="14"/>
              </w:rPr>
              <w:t>AASB16.59bii</w:t>
            </w:r>
          </w:p>
        </w:tc>
        <w:tc>
          <w:tcPr>
            <w:tcW w:w="4262" w:type="pct"/>
            <w:gridSpan w:val="2"/>
            <w:tcBorders>
              <w:left w:val="single" w:sz="2" w:space="0" w:color="auto"/>
            </w:tcBorders>
            <w:shd w:val="clear" w:color="auto" w:fill="auto"/>
          </w:tcPr>
          <w:p w14:paraId="6A6EA446" w14:textId="61CFD724" w:rsidR="00D62D65" w:rsidRPr="00D85C31" w:rsidRDefault="00D62D65" w:rsidP="00D62D65">
            <w:pPr>
              <w:spacing w:before="120" w:line="259" w:lineRule="auto"/>
              <w:jc w:val="both"/>
              <w:rPr>
                <w:rFonts w:eastAsia="Calibri" w:cs="Calibri"/>
                <w:b/>
                <w:bCs/>
                <w:iCs/>
                <w:sz w:val="18"/>
                <w:szCs w:val="18"/>
              </w:rPr>
            </w:pPr>
            <w:r w:rsidRPr="00D85C31">
              <w:rPr>
                <w:rFonts w:eastAsia="Calibri" w:cs="Calibri"/>
                <w:b/>
                <w:bCs/>
                <w:iCs/>
                <w:sz w:val="18"/>
                <w:szCs w:val="18"/>
              </w:rPr>
              <w:t>Extension Options</w:t>
            </w:r>
          </w:p>
          <w:p w14:paraId="31A10738" w14:textId="77777777" w:rsidR="00D62D65" w:rsidRPr="00D85C31" w:rsidRDefault="00D62D65" w:rsidP="00D62D65">
            <w:pPr>
              <w:spacing w:after="120" w:line="259" w:lineRule="auto"/>
              <w:jc w:val="both"/>
              <w:rPr>
                <w:rFonts w:eastAsia="Calibri" w:cs="Calibri"/>
                <w:sz w:val="18"/>
                <w:szCs w:val="18"/>
              </w:rPr>
            </w:pPr>
            <w:r w:rsidRPr="00D85C31">
              <w:rPr>
                <w:rFonts w:eastAsia="Calibri" w:cs="Calibri"/>
                <w:sz w:val="18"/>
                <w:szCs w:val="18"/>
              </w:rPr>
              <w:t>Where a lease contains extension options, at commencement date and at each subsequent reporting date, the Agency assesses where it is reasonably certain that the extension options will be exercised.</w:t>
            </w:r>
          </w:p>
          <w:p w14:paraId="2C64F891" w14:textId="77777777" w:rsidR="00D62D65" w:rsidRPr="00D85C31" w:rsidRDefault="00D62D65" w:rsidP="00D62D65">
            <w:pPr>
              <w:spacing w:after="120" w:line="259" w:lineRule="auto"/>
              <w:jc w:val="both"/>
              <w:rPr>
                <w:b/>
                <w:strike/>
                <w:sz w:val="20"/>
                <w:szCs w:val="20"/>
              </w:rPr>
            </w:pPr>
            <w:r w:rsidRPr="00D85C31">
              <w:rPr>
                <w:rFonts w:eastAsia="Calibri" w:cs="Calibri"/>
                <w:sz w:val="18"/>
                <w:szCs w:val="18"/>
              </w:rPr>
              <w:t>There are $xxx in potential future lease payments which are not included in lease liabilities as the Agency has assessed that the exercise of the option is not reasonably certain</w:t>
            </w:r>
          </w:p>
        </w:tc>
      </w:tr>
    </w:tbl>
    <w:p w14:paraId="2156CFC6" w14:textId="77777777" w:rsidR="00C87392" w:rsidRDefault="00C87392">
      <w:r>
        <w:br w:type="page"/>
      </w:r>
    </w:p>
    <w:tbl>
      <w:tblPr>
        <w:tblW w:w="5000" w:type="pct"/>
        <w:tblInd w:w="-6" w:type="dxa"/>
        <w:tblLook w:val="00A0" w:firstRow="1" w:lastRow="0" w:firstColumn="1" w:lastColumn="0" w:noHBand="0" w:noVBand="0"/>
      </w:tblPr>
      <w:tblGrid>
        <w:gridCol w:w="1552"/>
        <w:gridCol w:w="8992"/>
      </w:tblGrid>
      <w:tr w:rsidR="00C87392" w:rsidRPr="00381D99" w14:paraId="0884DD8F" w14:textId="77777777" w:rsidTr="0004564D">
        <w:trPr>
          <w:cantSplit/>
          <w:trHeight w:val="23"/>
        </w:trPr>
        <w:tc>
          <w:tcPr>
            <w:tcW w:w="736" w:type="pct"/>
            <w:tcBorders>
              <w:left w:val="single" w:sz="2" w:space="0" w:color="auto"/>
              <w:right w:val="single" w:sz="2" w:space="0" w:color="auto"/>
            </w:tcBorders>
            <w:vAlign w:val="bottom"/>
          </w:tcPr>
          <w:p w14:paraId="147DFF95" w14:textId="77777777" w:rsidR="00C87392" w:rsidRPr="00D85C31" w:rsidRDefault="00C87392" w:rsidP="00DA5473">
            <w:pPr>
              <w:pStyle w:val="TableReference"/>
              <w:tabs>
                <w:tab w:val="left" w:pos="3306"/>
              </w:tabs>
              <w:spacing w:before="240" w:after="240"/>
              <w:rPr>
                <w:rFonts w:cs="Calibri"/>
                <w:color w:val="7030A0"/>
                <w:sz w:val="22"/>
                <w:szCs w:val="22"/>
              </w:rPr>
            </w:pPr>
            <w:r w:rsidRPr="00D85C31">
              <w:rPr>
                <w:rFonts w:cs="Calibri"/>
                <w:b/>
                <w:color w:val="7030A0"/>
                <w:sz w:val="22"/>
                <w:szCs w:val="22"/>
              </w:rPr>
              <w:t>Reference</w:t>
            </w:r>
          </w:p>
        </w:tc>
        <w:tc>
          <w:tcPr>
            <w:tcW w:w="4264" w:type="pct"/>
            <w:tcBorders>
              <w:left w:val="single" w:sz="2" w:space="0" w:color="auto"/>
            </w:tcBorders>
            <w:shd w:val="clear" w:color="auto" w:fill="auto"/>
            <w:vAlign w:val="bottom"/>
          </w:tcPr>
          <w:p w14:paraId="40C2B41F" w14:textId="77777777" w:rsidR="00C87392" w:rsidRPr="00F66DF2" w:rsidRDefault="00C87392" w:rsidP="00DA5473">
            <w:pPr>
              <w:pStyle w:val="Appxhead3"/>
              <w:spacing w:before="240" w:after="240"/>
              <w:jc w:val="both"/>
              <w:rPr>
                <w:rFonts w:asciiTheme="minorHAnsi" w:hAnsiTheme="minorHAnsi" w:cstheme="minorHAnsi"/>
                <w:b w:val="0"/>
                <w:smallCaps w:val="0"/>
                <w:sz w:val="18"/>
                <w:szCs w:val="18"/>
              </w:rPr>
            </w:pPr>
            <w:r w:rsidRPr="00F66DF2">
              <w:rPr>
                <w:sz w:val="32"/>
                <w:szCs w:val="32"/>
              </w:rPr>
              <w:t>NOTE 26</w:t>
            </w:r>
            <w:r w:rsidRPr="00F66DF2">
              <w:rPr>
                <w:b w:val="0"/>
                <w:sz w:val="32"/>
                <w:szCs w:val="32"/>
              </w:rPr>
              <w:t xml:space="preserve"> </w:t>
            </w:r>
            <w:r w:rsidRPr="00F66DF2">
              <w:rPr>
                <w:sz w:val="32"/>
                <w:szCs w:val="32"/>
              </w:rPr>
              <w:t xml:space="preserve">LEASE LIABILITIES </w:t>
            </w:r>
            <w:r>
              <w:rPr>
                <w:sz w:val="32"/>
                <w:szCs w:val="32"/>
              </w:rPr>
              <w:t>–</w:t>
            </w:r>
            <w:r w:rsidRPr="00F66DF2">
              <w:rPr>
                <w:sz w:val="32"/>
                <w:szCs w:val="32"/>
              </w:rPr>
              <w:t xml:space="preserve"> </w:t>
            </w:r>
            <w:r w:rsidRPr="00413D72">
              <w:rPr>
                <w:rFonts w:cs="Times New Roman"/>
                <w:bCs/>
                <w:caps/>
                <w:smallCaps w:val="0"/>
                <w:sz w:val="32"/>
                <w:szCs w:val="24"/>
              </w:rPr>
              <w:t xml:space="preserve">Continued </w:t>
            </w:r>
          </w:p>
        </w:tc>
      </w:tr>
      <w:tr w:rsidR="00D62D65" w:rsidRPr="00381D99" w14:paraId="48F07C6F" w14:textId="77777777" w:rsidTr="0004564D">
        <w:trPr>
          <w:cantSplit/>
          <w:trHeight w:val="23"/>
        </w:trPr>
        <w:tc>
          <w:tcPr>
            <w:tcW w:w="736" w:type="pct"/>
            <w:tcBorders>
              <w:left w:val="single" w:sz="2" w:space="0" w:color="auto"/>
              <w:right w:val="single" w:sz="2" w:space="0" w:color="auto"/>
            </w:tcBorders>
          </w:tcPr>
          <w:p w14:paraId="230B2026" w14:textId="2110ECBD" w:rsidR="00D62D65" w:rsidRPr="00D85C31" w:rsidRDefault="00D62D65" w:rsidP="00D62D65">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7CDD180C" w14:textId="6D93032F" w:rsidR="00D62D65" w:rsidRPr="00D85C31" w:rsidRDefault="00D62D65" w:rsidP="00D62D65">
            <w:pPr>
              <w:spacing w:before="120" w:line="259" w:lineRule="auto"/>
              <w:jc w:val="both"/>
              <w:rPr>
                <w:rFonts w:eastAsia="Calibri" w:cs="Calibri"/>
                <w:b/>
                <w:bCs/>
                <w:iCs/>
                <w:sz w:val="18"/>
                <w:szCs w:val="18"/>
              </w:rPr>
            </w:pPr>
            <w:r w:rsidRPr="00D85C31">
              <w:rPr>
                <w:b/>
                <w:bCs/>
                <w:sz w:val="18"/>
                <w:szCs w:val="18"/>
              </w:rPr>
              <w:t>Material Accounting Policies Relating to Lease Liabilities</w:t>
            </w:r>
          </w:p>
        </w:tc>
      </w:tr>
      <w:tr w:rsidR="00D62D65" w:rsidRPr="00381D99" w14:paraId="24E20854" w14:textId="77777777" w:rsidTr="0004564D">
        <w:trPr>
          <w:cantSplit/>
          <w:trHeight w:val="23"/>
        </w:trPr>
        <w:tc>
          <w:tcPr>
            <w:tcW w:w="736" w:type="pct"/>
            <w:tcBorders>
              <w:left w:val="single" w:sz="2" w:space="0" w:color="auto"/>
              <w:right w:val="single" w:sz="2" w:space="0" w:color="auto"/>
            </w:tcBorders>
          </w:tcPr>
          <w:p w14:paraId="4DB01E6B" w14:textId="77777777" w:rsidR="00D62D65" w:rsidRPr="00D85C31" w:rsidRDefault="00D62D65" w:rsidP="00D62D65">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788BC3C3" w14:textId="3D477FDB" w:rsidR="00D62D65" w:rsidRPr="00D85C31" w:rsidRDefault="00D62D65" w:rsidP="00D62D65">
            <w:pPr>
              <w:spacing w:after="120" w:line="259" w:lineRule="auto"/>
              <w:jc w:val="both"/>
              <w:rPr>
                <w:rFonts w:asciiTheme="minorHAnsi" w:hAnsiTheme="minorHAnsi" w:cstheme="minorHAnsi"/>
                <w:sz w:val="18"/>
                <w:szCs w:val="18"/>
              </w:rPr>
            </w:pPr>
            <w:r w:rsidRPr="00D85C31">
              <w:rPr>
                <w:rFonts w:asciiTheme="minorHAnsi" w:hAnsiTheme="minorHAnsi" w:cstheme="minorHAnsi"/>
                <w:sz w:val="18"/>
                <w:szCs w:val="18"/>
              </w:rPr>
              <w:t>At the lease commencement date, the Agency recognises a right-of-use asset and associated lease liability for the lease term.</w:t>
            </w:r>
            <w:r w:rsidR="00FA7C77">
              <w:rPr>
                <w:rFonts w:asciiTheme="minorHAnsi" w:hAnsiTheme="minorHAnsi" w:cstheme="minorHAnsi"/>
                <w:sz w:val="18"/>
                <w:szCs w:val="18"/>
              </w:rPr>
              <w:t xml:space="preserve"> </w:t>
            </w:r>
          </w:p>
        </w:tc>
      </w:tr>
      <w:tr w:rsidR="00D62D65" w:rsidRPr="00381D99" w14:paraId="081BEEE2" w14:textId="77777777" w:rsidTr="0004564D">
        <w:trPr>
          <w:cantSplit/>
          <w:trHeight w:val="23"/>
        </w:trPr>
        <w:tc>
          <w:tcPr>
            <w:tcW w:w="736" w:type="pct"/>
            <w:tcBorders>
              <w:left w:val="single" w:sz="2" w:space="0" w:color="auto"/>
              <w:right w:val="single" w:sz="2" w:space="0" w:color="auto"/>
            </w:tcBorders>
          </w:tcPr>
          <w:p w14:paraId="5B215D8B" w14:textId="77777777" w:rsidR="00D62D65" w:rsidRPr="00D85C31" w:rsidRDefault="00D62D65" w:rsidP="00D62D65">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2A0E77F0" w14:textId="687F5649" w:rsidR="00D62D65" w:rsidRPr="00D85C31" w:rsidRDefault="00D62D65" w:rsidP="00D62D65">
            <w:pPr>
              <w:spacing w:after="120" w:line="259" w:lineRule="auto"/>
              <w:jc w:val="both"/>
              <w:rPr>
                <w:rFonts w:asciiTheme="minorHAnsi" w:hAnsiTheme="minorHAnsi" w:cstheme="minorHAnsi"/>
                <w:sz w:val="18"/>
                <w:szCs w:val="18"/>
              </w:rPr>
            </w:pPr>
            <w:r w:rsidRPr="00D85C31">
              <w:rPr>
                <w:rFonts w:asciiTheme="minorHAnsi" w:hAnsiTheme="minorHAnsi" w:cstheme="minorHAnsi"/>
                <w:sz w:val="18"/>
                <w:szCs w:val="18"/>
              </w:rPr>
              <w:t>The lease liability is initially measured at the present value of the remaining lease payments at the commencement of the lease.</w:t>
            </w:r>
            <w:r w:rsidR="00FA7C77">
              <w:rPr>
                <w:rFonts w:asciiTheme="minorHAnsi" w:hAnsiTheme="minorHAnsi" w:cstheme="minorHAnsi"/>
                <w:sz w:val="18"/>
                <w:szCs w:val="18"/>
              </w:rPr>
              <w:t xml:space="preserve"> </w:t>
            </w:r>
          </w:p>
        </w:tc>
      </w:tr>
      <w:tr w:rsidR="00D62D65" w:rsidRPr="00381D99" w14:paraId="00A770B7" w14:textId="77777777" w:rsidTr="0004564D">
        <w:trPr>
          <w:cantSplit/>
          <w:trHeight w:val="154"/>
        </w:trPr>
        <w:tc>
          <w:tcPr>
            <w:tcW w:w="736" w:type="pct"/>
            <w:tcBorders>
              <w:left w:val="single" w:sz="2" w:space="0" w:color="auto"/>
              <w:right w:val="single" w:sz="2" w:space="0" w:color="auto"/>
            </w:tcBorders>
          </w:tcPr>
          <w:p w14:paraId="6A0ED422" w14:textId="77777777" w:rsidR="00D62D65" w:rsidRPr="00D85C31" w:rsidRDefault="00D62D65" w:rsidP="00D62D65">
            <w:pPr>
              <w:pStyle w:val="TableReference"/>
              <w:tabs>
                <w:tab w:val="left" w:pos="3306"/>
              </w:tabs>
              <w:rPr>
                <w:rFonts w:cs="Calibri"/>
                <w:color w:val="7030A0"/>
                <w:sz w:val="14"/>
              </w:rPr>
            </w:pPr>
          </w:p>
        </w:tc>
        <w:tc>
          <w:tcPr>
            <w:tcW w:w="4264" w:type="pct"/>
            <w:tcBorders>
              <w:left w:val="single" w:sz="2" w:space="0" w:color="auto"/>
            </w:tcBorders>
            <w:shd w:val="clear" w:color="auto" w:fill="auto"/>
          </w:tcPr>
          <w:p w14:paraId="55ED0360" w14:textId="5F77D7E0" w:rsidR="00D62D65" w:rsidRPr="00D85C31" w:rsidRDefault="00D62D65" w:rsidP="00D62D65">
            <w:pPr>
              <w:spacing w:after="40" w:line="259" w:lineRule="auto"/>
              <w:jc w:val="both"/>
              <w:rPr>
                <w:rFonts w:asciiTheme="minorHAnsi" w:hAnsiTheme="minorHAnsi" w:cstheme="minorHAnsi"/>
                <w:sz w:val="18"/>
                <w:szCs w:val="18"/>
              </w:rPr>
            </w:pPr>
            <w:r w:rsidRPr="00D85C31">
              <w:rPr>
                <w:rFonts w:asciiTheme="minorHAnsi" w:hAnsiTheme="minorHAnsi" w:cstheme="minorHAnsi"/>
                <w:sz w:val="18"/>
                <w:szCs w:val="18"/>
              </w:rPr>
              <w:t>Lease liabilities include the net present value of the following lease payments:</w:t>
            </w:r>
          </w:p>
        </w:tc>
      </w:tr>
      <w:tr w:rsidR="00D62D65" w:rsidRPr="00381D99" w14:paraId="51B1C50D" w14:textId="77777777" w:rsidTr="0004564D">
        <w:trPr>
          <w:cantSplit/>
          <w:trHeight w:val="23"/>
        </w:trPr>
        <w:tc>
          <w:tcPr>
            <w:tcW w:w="736" w:type="pct"/>
            <w:tcBorders>
              <w:left w:val="single" w:sz="2" w:space="0" w:color="auto"/>
              <w:right w:val="single" w:sz="2" w:space="0" w:color="auto"/>
            </w:tcBorders>
          </w:tcPr>
          <w:p w14:paraId="3123E0A9" w14:textId="77777777" w:rsidR="00D62D65" w:rsidRPr="00D85C31" w:rsidRDefault="00D62D65" w:rsidP="00D62D65">
            <w:pPr>
              <w:pStyle w:val="TableReference"/>
              <w:tabs>
                <w:tab w:val="left" w:pos="3306"/>
              </w:tabs>
              <w:rPr>
                <w:rFonts w:cs="Calibri"/>
                <w:color w:val="7030A0"/>
                <w:sz w:val="14"/>
              </w:rPr>
            </w:pPr>
          </w:p>
        </w:tc>
        <w:tc>
          <w:tcPr>
            <w:tcW w:w="4264" w:type="pct"/>
            <w:tcBorders>
              <w:left w:val="single" w:sz="2" w:space="0" w:color="auto"/>
            </w:tcBorders>
            <w:shd w:val="clear" w:color="auto" w:fill="auto"/>
          </w:tcPr>
          <w:p w14:paraId="486E7CAD" w14:textId="69C64D97" w:rsidR="00D62D65" w:rsidRPr="00D85C31" w:rsidRDefault="00D62D65" w:rsidP="007122BC">
            <w:pPr>
              <w:pStyle w:val="Appxhead3"/>
              <w:numPr>
                <w:ilvl w:val="0"/>
                <w:numId w:val="50"/>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fixed payments (including in-substance fixed payments), less any lease incentive receivables;</w:t>
            </w:r>
          </w:p>
        </w:tc>
      </w:tr>
      <w:tr w:rsidR="00D62D65" w:rsidRPr="00381D99" w14:paraId="1D3EDAD3" w14:textId="77777777" w:rsidTr="0004564D">
        <w:trPr>
          <w:cantSplit/>
          <w:trHeight w:val="23"/>
        </w:trPr>
        <w:tc>
          <w:tcPr>
            <w:tcW w:w="736" w:type="pct"/>
            <w:tcBorders>
              <w:left w:val="single" w:sz="2" w:space="0" w:color="auto"/>
              <w:right w:val="single" w:sz="2" w:space="0" w:color="auto"/>
            </w:tcBorders>
          </w:tcPr>
          <w:p w14:paraId="5E57B5F0" w14:textId="77777777" w:rsidR="00D62D65" w:rsidRPr="00D85C31" w:rsidRDefault="00D62D65" w:rsidP="00D62D65">
            <w:pPr>
              <w:pStyle w:val="TableReference"/>
              <w:tabs>
                <w:tab w:val="left" w:pos="3306"/>
              </w:tabs>
              <w:rPr>
                <w:rFonts w:cs="Calibri"/>
                <w:color w:val="7030A0"/>
                <w:sz w:val="14"/>
              </w:rPr>
            </w:pPr>
          </w:p>
        </w:tc>
        <w:tc>
          <w:tcPr>
            <w:tcW w:w="4264" w:type="pct"/>
            <w:tcBorders>
              <w:left w:val="single" w:sz="2" w:space="0" w:color="auto"/>
            </w:tcBorders>
            <w:shd w:val="clear" w:color="auto" w:fill="auto"/>
          </w:tcPr>
          <w:p w14:paraId="65EBAC53" w14:textId="2D4CB7C8" w:rsidR="00D62D65" w:rsidRPr="00D85C31" w:rsidRDefault="00D62D65" w:rsidP="007122BC">
            <w:pPr>
              <w:pStyle w:val="Appxhead3"/>
              <w:numPr>
                <w:ilvl w:val="0"/>
                <w:numId w:val="50"/>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variable lease payments that are based on an index or a rate, initially measured using the index or rate as at the commencement date;</w:t>
            </w:r>
          </w:p>
        </w:tc>
      </w:tr>
      <w:tr w:rsidR="00D62D65" w:rsidRPr="00381D99" w14:paraId="2BE30B8C" w14:textId="77777777" w:rsidTr="0004564D">
        <w:trPr>
          <w:cantSplit/>
          <w:trHeight w:val="23"/>
        </w:trPr>
        <w:tc>
          <w:tcPr>
            <w:tcW w:w="736" w:type="pct"/>
            <w:tcBorders>
              <w:left w:val="single" w:sz="2" w:space="0" w:color="auto"/>
              <w:right w:val="single" w:sz="2" w:space="0" w:color="auto"/>
            </w:tcBorders>
          </w:tcPr>
          <w:p w14:paraId="7B93C4B0" w14:textId="77777777" w:rsidR="00D62D65" w:rsidRPr="00D85C31" w:rsidRDefault="00D62D65" w:rsidP="00D62D65">
            <w:pPr>
              <w:pStyle w:val="TableReference"/>
              <w:tabs>
                <w:tab w:val="left" w:pos="3306"/>
              </w:tabs>
              <w:rPr>
                <w:rFonts w:cs="Calibri"/>
                <w:color w:val="7030A0"/>
                <w:sz w:val="14"/>
              </w:rPr>
            </w:pPr>
          </w:p>
        </w:tc>
        <w:tc>
          <w:tcPr>
            <w:tcW w:w="4264" w:type="pct"/>
            <w:tcBorders>
              <w:left w:val="single" w:sz="2" w:space="0" w:color="auto"/>
            </w:tcBorders>
            <w:shd w:val="clear" w:color="auto" w:fill="auto"/>
          </w:tcPr>
          <w:p w14:paraId="6EED97BC" w14:textId="67241C62" w:rsidR="00D62D65" w:rsidRPr="00D85C31" w:rsidRDefault="00D62D65" w:rsidP="007122BC">
            <w:pPr>
              <w:pStyle w:val="Appxhead3"/>
              <w:numPr>
                <w:ilvl w:val="0"/>
                <w:numId w:val="50"/>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amounts expected to be payable by the lessee under residual value guarantees;</w:t>
            </w:r>
          </w:p>
        </w:tc>
      </w:tr>
      <w:tr w:rsidR="00D62D65" w:rsidRPr="00381D99" w14:paraId="7B44C331" w14:textId="77777777" w:rsidTr="0004564D">
        <w:trPr>
          <w:cantSplit/>
          <w:trHeight w:val="23"/>
        </w:trPr>
        <w:tc>
          <w:tcPr>
            <w:tcW w:w="736" w:type="pct"/>
            <w:tcBorders>
              <w:left w:val="single" w:sz="2" w:space="0" w:color="auto"/>
              <w:right w:val="single" w:sz="2" w:space="0" w:color="auto"/>
            </w:tcBorders>
          </w:tcPr>
          <w:p w14:paraId="3E377703" w14:textId="77777777" w:rsidR="00D62D65" w:rsidRPr="00D85C31" w:rsidRDefault="00D62D65" w:rsidP="00D62D65">
            <w:pPr>
              <w:pStyle w:val="TableReference"/>
              <w:tabs>
                <w:tab w:val="left" w:pos="3306"/>
              </w:tabs>
              <w:rPr>
                <w:rFonts w:cs="Calibri"/>
                <w:color w:val="7030A0"/>
                <w:sz w:val="14"/>
              </w:rPr>
            </w:pPr>
          </w:p>
        </w:tc>
        <w:tc>
          <w:tcPr>
            <w:tcW w:w="4264" w:type="pct"/>
            <w:tcBorders>
              <w:left w:val="single" w:sz="2" w:space="0" w:color="auto"/>
            </w:tcBorders>
            <w:shd w:val="clear" w:color="auto" w:fill="auto"/>
          </w:tcPr>
          <w:p w14:paraId="70DD77AB" w14:textId="45BA03A9" w:rsidR="00D62D65" w:rsidRPr="00D85C31" w:rsidRDefault="00D62D65" w:rsidP="007122BC">
            <w:pPr>
              <w:pStyle w:val="Appxhead3"/>
              <w:numPr>
                <w:ilvl w:val="0"/>
                <w:numId w:val="50"/>
              </w:numPr>
              <w:spacing w:before="0" w:after="40"/>
              <w:ind w:left="604"/>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exercise price of a purchase option if the lessee is reasonably certain to exercise that option</w:t>
            </w:r>
            <w:r w:rsidR="0065642D" w:rsidRPr="00D85C31">
              <w:rPr>
                <w:rFonts w:asciiTheme="minorHAnsi" w:hAnsiTheme="minorHAnsi" w:cstheme="minorHAnsi"/>
                <w:b w:val="0"/>
                <w:smallCaps w:val="0"/>
                <w:sz w:val="18"/>
                <w:szCs w:val="18"/>
              </w:rPr>
              <w:t>;</w:t>
            </w:r>
            <w:r w:rsidRPr="00D85C31">
              <w:rPr>
                <w:rFonts w:asciiTheme="minorHAnsi" w:hAnsiTheme="minorHAnsi" w:cstheme="minorHAnsi"/>
                <w:b w:val="0"/>
                <w:smallCaps w:val="0"/>
                <w:sz w:val="18"/>
                <w:szCs w:val="18"/>
              </w:rPr>
              <w:t xml:space="preserve"> and</w:t>
            </w:r>
          </w:p>
        </w:tc>
      </w:tr>
      <w:tr w:rsidR="00D62D65" w:rsidRPr="00381D99" w14:paraId="1AF9AFFA" w14:textId="77777777" w:rsidTr="0004564D">
        <w:trPr>
          <w:cantSplit/>
          <w:trHeight w:val="23"/>
        </w:trPr>
        <w:tc>
          <w:tcPr>
            <w:tcW w:w="736" w:type="pct"/>
            <w:tcBorders>
              <w:left w:val="single" w:sz="2" w:space="0" w:color="auto"/>
              <w:right w:val="single" w:sz="2" w:space="0" w:color="auto"/>
            </w:tcBorders>
          </w:tcPr>
          <w:p w14:paraId="3AAB2816" w14:textId="77777777" w:rsidR="00D62D65" w:rsidRPr="00D85C31" w:rsidRDefault="00D62D65" w:rsidP="00D62D65">
            <w:pPr>
              <w:pStyle w:val="TableReference"/>
              <w:tabs>
                <w:tab w:val="left" w:pos="3306"/>
              </w:tabs>
              <w:rPr>
                <w:rFonts w:cs="Calibri"/>
                <w:color w:val="7030A0"/>
                <w:sz w:val="14"/>
              </w:rPr>
            </w:pPr>
          </w:p>
        </w:tc>
        <w:tc>
          <w:tcPr>
            <w:tcW w:w="4264" w:type="pct"/>
            <w:tcBorders>
              <w:left w:val="single" w:sz="2" w:space="0" w:color="auto"/>
            </w:tcBorders>
            <w:shd w:val="clear" w:color="auto" w:fill="auto"/>
          </w:tcPr>
          <w:p w14:paraId="532DB15A" w14:textId="7C3E4CDC" w:rsidR="00D62D65" w:rsidRPr="00D85C31" w:rsidRDefault="00D62D65" w:rsidP="007122BC">
            <w:pPr>
              <w:pStyle w:val="Appxhead3"/>
              <w:numPr>
                <w:ilvl w:val="0"/>
                <w:numId w:val="50"/>
              </w:numPr>
              <w:spacing w:before="0" w:after="120"/>
              <w:ind w:left="601" w:hanging="357"/>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payments of penalties for terminating the lease, if the lease term reflects the lessee exercising that termination option.</w:t>
            </w:r>
          </w:p>
        </w:tc>
      </w:tr>
      <w:tr w:rsidR="00D62D65" w:rsidRPr="00381D99" w14:paraId="31A0119E" w14:textId="77777777" w:rsidTr="0004564D">
        <w:trPr>
          <w:cantSplit/>
          <w:trHeight w:val="23"/>
        </w:trPr>
        <w:tc>
          <w:tcPr>
            <w:tcW w:w="736" w:type="pct"/>
            <w:tcBorders>
              <w:left w:val="single" w:sz="2" w:space="0" w:color="auto"/>
              <w:right w:val="single" w:sz="2" w:space="0" w:color="auto"/>
            </w:tcBorders>
          </w:tcPr>
          <w:p w14:paraId="52B281DA" w14:textId="77777777" w:rsidR="00D62D65" w:rsidRPr="00D85C31" w:rsidRDefault="00D62D65" w:rsidP="00D62D65">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252C5AB1" w14:textId="36B45ABF" w:rsidR="00D62D65" w:rsidRPr="00D85C31" w:rsidRDefault="00D62D65" w:rsidP="00D62D65">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Subsequent to initial recognition, the lease liability is measured at amortised cost using the effective interest rate method.</w:t>
            </w:r>
            <w:r w:rsidR="00FA7C77">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The lease liability is remeasured whether there is a lease modification, change in estimate of the lease term or index upon which the lease payments are based (e.g. CPI) or a change in the Agency’s assessment of lease term.</w:t>
            </w:r>
          </w:p>
        </w:tc>
      </w:tr>
      <w:tr w:rsidR="00D62D65" w:rsidRPr="00381D99" w14:paraId="5DFF7E33" w14:textId="77777777" w:rsidTr="0004564D">
        <w:trPr>
          <w:cantSplit/>
          <w:trHeight w:val="23"/>
        </w:trPr>
        <w:tc>
          <w:tcPr>
            <w:tcW w:w="736" w:type="pct"/>
            <w:tcBorders>
              <w:left w:val="single" w:sz="2" w:space="0" w:color="auto"/>
              <w:right w:val="single" w:sz="2" w:space="0" w:color="auto"/>
            </w:tcBorders>
          </w:tcPr>
          <w:p w14:paraId="764E32A0" w14:textId="77777777" w:rsidR="00D62D65" w:rsidRPr="00D85C31" w:rsidRDefault="00D62D65" w:rsidP="00D62D65">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30F9109F" w14:textId="763D3456" w:rsidR="00D62D65" w:rsidRPr="00D85C31" w:rsidRDefault="00D62D65" w:rsidP="00D62D65">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Lease payments to be made under reasonably certain extension options are also included in the measurement of the liability.</w:t>
            </w:r>
          </w:p>
        </w:tc>
      </w:tr>
      <w:tr w:rsidR="00D62D65" w:rsidRPr="00381D99" w14:paraId="3F5B8D3B" w14:textId="77777777" w:rsidTr="0004564D">
        <w:trPr>
          <w:cantSplit/>
          <w:trHeight w:val="23"/>
        </w:trPr>
        <w:tc>
          <w:tcPr>
            <w:tcW w:w="736" w:type="pct"/>
            <w:tcBorders>
              <w:left w:val="single" w:sz="2" w:space="0" w:color="auto"/>
              <w:right w:val="single" w:sz="2" w:space="0" w:color="auto"/>
            </w:tcBorders>
          </w:tcPr>
          <w:p w14:paraId="0E1A5ABD" w14:textId="02DE954B" w:rsidR="00D62D65" w:rsidRPr="00D85C31" w:rsidRDefault="00D62D65" w:rsidP="00D62D65">
            <w:pPr>
              <w:pStyle w:val="TableReference"/>
              <w:tabs>
                <w:tab w:val="left" w:pos="3306"/>
              </w:tabs>
              <w:spacing w:before="240"/>
              <w:rPr>
                <w:rFonts w:cs="Calibri"/>
                <w:color w:val="7030A0"/>
                <w:sz w:val="14"/>
              </w:rPr>
            </w:pPr>
            <w:r w:rsidRPr="00D85C31">
              <w:rPr>
                <w:rFonts w:cs="Calibri"/>
                <w:color w:val="7030A0"/>
                <w:sz w:val="14"/>
              </w:rPr>
              <w:t>ACT Accounting Policy</w:t>
            </w:r>
          </w:p>
        </w:tc>
        <w:tc>
          <w:tcPr>
            <w:tcW w:w="4264" w:type="pct"/>
            <w:tcBorders>
              <w:left w:val="single" w:sz="2" w:space="0" w:color="auto"/>
            </w:tcBorders>
            <w:shd w:val="clear" w:color="auto" w:fill="auto"/>
          </w:tcPr>
          <w:p w14:paraId="2417C7DF" w14:textId="5E26C466" w:rsidR="00D62D65" w:rsidRPr="00D85C31" w:rsidRDefault="00D62D65" w:rsidP="00D62D65">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lease payments are discounted using the interest rate implicit in the lease.</w:t>
            </w:r>
            <w:r w:rsidR="00FA7C77">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If that rate cannot be readily determined</w:t>
            </w:r>
            <w:r w:rsidR="0065642D" w:rsidRPr="00D85C31">
              <w:rPr>
                <w:rFonts w:asciiTheme="minorHAnsi" w:hAnsiTheme="minorHAnsi" w:cstheme="minorHAnsi"/>
                <w:b w:val="0"/>
                <w:smallCaps w:val="0"/>
                <w:sz w:val="18"/>
                <w:szCs w:val="18"/>
              </w:rPr>
              <w:t>,</w:t>
            </w:r>
            <w:r w:rsidRPr="00D85C31">
              <w:rPr>
                <w:rFonts w:asciiTheme="minorHAnsi" w:hAnsiTheme="minorHAnsi" w:cstheme="minorHAnsi"/>
                <w:b w:val="0"/>
                <w:smallCaps w:val="0"/>
                <w:sz w:val="18"/>
                <w:szCs w:val="18"/>
              </w:rPr>
              <w:t xml:space="preserve"> a rate that</w:t>
            </w:r>
            <w:r w:rsidRPr="00D85C31">
              <w:rPr>
                <w:rStyle w:val="Hyperlink"/>
                <w:rFonts w:asciiTheme="minorHAnsi" w:hAnsiTheme="minorHAnsi" w:cstheme="minorHAnsi"/>
                <w:b w:val="0"/>
                <w:smallCaps w:val="0"/>
                <w:color w:val="auto"/>
                <w:sz w:val="18"/>
                <w:szCs w:val="18"/>
                <w:u w:val="none"/>
              </w:rPr>
              <w:t xml:space="preserve"> reflects the lessee’s incremental borrowing rate is used, which is in line with ACT Government Accounting Policy.</w:t>
            </w:r>
          </w:p>
        </w:tc>
      </w:tr>
      <w:tr w:rsidR="00D62D65" w:rsidRPr="00381D99" w14:paraId="013A81F3" w14:textId="77777777" w:rsidTr="0004564D">
        <w:trPr>
          <w:cantSplit/>
          <w:trHeight w:val="23"/>
        </w:trPr>
        <w:tc>
          <w:tcPr>
            <w:tcW w:w="736" w:type="pct"/>
            <w:tcBorders>
              <w:left w:val="single" w:sz="2" w:space="0" w:color="auto"/>
              <w:right w:val="single" w:sz="2" w:space="0" w:color="auto"/>
            </w:tcBorders>
          </w:tcPr>
          <w:p w14:paraId="0F5456BC" w14:textId="77777777" w:rsidR="00D62D65" w:rsidRPr="00D85C31" w:rsidRDefault="00D62D65" w:rsidP="00D62D65">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31902079" w14:textId="62555849" w:rsidR="00D62D65" w:rsidRPr="00D85C31" w:rsidRDefault="00D62D65" w:rsidP="00D62D65">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At inception of a contract, the Agency assesses whether a lease exists, that is, does the contract convey the right to control the use of an identified asset for a period of time in exchange for consideration.</w:t>
            </w:r>
          </w:p>
        </w:tc>
      </w:tr>
      <w:tr w:rsidR="00D62D65" w:rsidRPr="00381D99" w14:paraId="26E5A2A5" w14:textId="77777777" w:rsidTr="0004564D">
        <w:trPr>
          <w:cantSplit/>
          <w:trHeight w:val="23"/>
        </w:trPr>
        <w:tc>
          <w:tcPr>
            <w:tcW w:w="736" w:type="pct"/>
            <w:tcBorders>
              <w:left w:val="single" w:sz="2" w:space="0" w:color="auto"/>
              <w:right w:val="single" w:sz="2" w:space="0" w:color="auto"/>
            </w:tcBorders>
          </w:tcPr>
          <w:p w14:paraId="426A23BB" w14:textId="77777777" w:rsidR="00D62D65" w:rsidRPr="00D85C31" w:rsidRDefault="00D62D65" w:rsidP="00D62D65">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5BF5AF54" w14:textId="77777777" w:rsidR="00D62D65" w:rsidRPr="00D85C31" w:rsidRDefault="00D62D65" w:rsidP="00D62D65">
            <w:pPr>
              <w:spacing w:after="120"/>
              <w:jc w:val="both"/>
              <w:rPr>
                <w:rFonts w:asciiTheme="minorHAnsi" w:hAnsiTheme="minorHAnsi" w:cstheme="minorHAnsi"/>
                <w:sz w:val="18"/>
                <w:szCs w:val="18"/>
              </w:rPr>
            </w:pPr>
            <w:r w:rsidRPr="00D85C31">
              <w:rPr>
                <w:rFonts w:asciiTheme="minorHAnsi" w:hAnsiTheme="minorHAnsi" w:cstheme="minorHAnsi"/>
                <w:sz w:val="18"/>
                <w:szCs w:val="18"/>
              </w:rPr>
              <w:t>This involves an assessment of whether:</w:t>
            </w:r>
          </w:p>
          <w:p w14:paraId="7B5420CC" w14:textId="6D0F6D64" w:rsidR="00D62D65" w:rsidRPr="00D85C31" w:rsidRDefault="00D62D65" w:rsidP="007122BC">
            <w:pPr>
              <w:pStyle w:val="ListParagraph"/>
              <w:numPr>
                <w:ilvl w:val="0"/>
                <w:numId w:val="56"/>
              </w:numPr>
              <w:spacing w:after="120"/>
              <w:contextualSpacing w:val="0"/>
              <w:jc w:val="both"/>
              <w:rPr>
                <w:rFonts w:asciiTheme="minorHAnsi" w:hAnsiTheme="minorHAnsi" w:cstheme="minorHAnsi"/>
                <w:sz w:val="18"/>
                <w:szCs w:val="18"/>
              </w:rPr>
            </w:pPr>
            <w:r w:rsidRPr="00D85C31">
              <w:rPr>
                <w:rFonts w:asciiTheme="minorHAnsi" w:hAnsiTheme="minorHAnsi" w:cstheme="minorHAnsi"/>
                <w:sz w:val="18"/>
                <w:szCs w:val="18"/>
              </w:rPr>
              <w:t>the contract involves the use of an identified asset – this may be explicitly or implicitly identified within the agreement.</w:t>
            </w:r>
            <w:r w:rsidR="00FA7C77">
              <w:rPr>
                <w:rFonts w:asciiTheme="minorHAnsi" w:hAnsiTheme="minorHAnsi" w:cstheme="minorHAnsi"/>
                <w:sz w:val="18"/>
                <w:szCs w:val="18"/>
              </w:rPr>
              <w:t xml:space="preserve"> </w:t>
            </w:r>
            <w:r w:rsidRPr="00D85C31">
              <w:rPr>
                <w:rFonts w:asciiTheme="minorHAnsi" w:hAnsiTheme="minorHAnsi" w:cstheme="minorHAnsi"/>
                <w:sz w:val="18"/>
                <w:szCs w:val="18"/>
              </w:rPr>
              <w:t>If the supplier has a substantive substitution right then there is no identified asset;</w:t>
            </w:r>
          </w:p>
          <w:p w14:paraId="657B38E7" w14:textId="799B63EF" w:rsidR="00D62D65" w:rsidRPr="00D85C31" w:rsidRDefault="00D62D65" w:rsidP="007122BC">
            <w:pPr>
              <w:pStyle w:val="ListParagraph"/>
              <w:numPr>
                <w:ilvl w:val="0"/>
                <w:numId w:val="56"/>
              </w:numPr>
              <w:spacing w:after="120"/>
              <w:contextualSpacing w:val="0"/>
              <w:jc w:val="both"/>
              <w:rPr>
                <w:rFonts w:asciiTheme="minorHAnsi" w:hAnsiTheme="minorHAnsi" w:cstheme="minorHAnsi"/>
                <w:sz w:val="18"/>
                <w:szCs w:val="18"/>
              </w:rPr>
            </w:pPr>
            <w:r w:rsidRPr="00D85C31">
              <w:rPr>
                <w:rFonts w:asciiTheme="minorHAnsi" w:hAnsiTheme="minorHAnsi" w:cstheme="minorHAnsi"/>
                <w:sz w:val="18"/>
                <w:szCs w:val="18"/>
              </w:rPr>
              <w:t>the Agency has the right to obtain substantially all of the economic benefits from the use of the asset throughout the period of use;</w:t>
            </w:r>
          </w:p>
          <w:p w14:paraId="7CE98D7B" w14:textId="4342ED6E" w:rsidR="00D62D65" w:rsidRPr="00D85C31" w:rsidRDefault="00D62D65" w:rsidP="007122BC">
            <w:pPr>
              <w:pStyle w:val="ListParagraph"/>
              <w:numPr>
                <w:ilvl w:val="0"/>
                <w:numId w:val="56"/>
              </w:numPr>
              <w:spacing w:after="120"/>
              <w:contextualSpacing w:val="0"/>
              <w:jc w:val="both"/>
              <w:rPr>
                <w:rFonts w:asciiTheme="minorHAnsi" w:hAnsiTheme="minorHAnsi" w:cstheme="minorHAnsi"/>
                <w:sz w:val="18"/>
                <w:szCs w:val="18"/>
              </w:rPr>
            </w:pPr>
            <w:r w:rsidRPr="00D85C31">
              <w:rPr>
                <w:rFonts w:asciiTheme="minorHAnsi" w:hAnsiTheme="minorHAnsi" w:cstheme="minorHAnsi"/>
                <w:sz w:val="18"/>
                <w:szCs w:val="18"/>
              </w:rPr>
              <w:t>the Agency has the right to direct the use of the asset i.e. decision making rights in relation to changing how and for what purpose the asset is used.</w:t>
            </w:r>
          </w:p>
        </w:tc>
      </w:tr>
      <w:tr w:rsidR="00D62D65" w:rsidRPr="00381D99" w14:paraId="733E6E17" w14:textId="77777777" w:rsidTr="0004564D">
        <w:trPr>
          <w:cantSplit/>
          <w:trHeight w:val="23"/>
        </w:trPr>
        <w:tc>
          <w:tcPr>
            <w:tcW w:w="736" w:type="pct"/>
            <w:tcBorders>
              <w:left w:val="single" w:sz="2" w:space="0" w:color="auto"/>
              <w:right w:val="single" w:sz="2" w:space="0" w:color="auto"/>
            </w:tcBorders>
          </w:tcPr>
          <w:p w14:paraId="0DDB7A1F" w14:textId="77777777" w:rsidR="00D62D65" w:rsidRPr="00D85C31" w:rsidRDefault="00D62D65" w:rsidP="00D62D65">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37E8A63E" w14:textId="6EE286D9" w:rsidR="00D62D65" w:rsidRPr="00D85C31" w:rsidRDefault="00D62D65" w:rsidP="00D62D65">
            <w:pPr>
              <w:pStyle w:val="Appxhead3"/>
              <w:spacing w:before="0" w:after="120"/>
              <w:jc w:val="both"/>
              <w:rPr>
                <w:rFonts w:asciiTheme="minorHAnsi" w:hAnsiTheme="minorHAnsi" w:cstheme="minorHAnsi"/>
                <w:b w:val="0"/>
                <w:smallCaps w:val="0"/>
                <w:sz w:val="18"/>
                <w:szCs w:val="18"/>
              </w:rPr>
            </w:pPr>
            <w:r w:rsidRPr="00D85C31">
              <w:rPr>
                <w:rFonts w:asciiTheme="minorHAnsi" w:hAnsiTheme="minorHAnsi" w:cstheme="minorHAnsi"/>
                <w:b w:val="0"/>
                <w:smallCaps w:val="0"/>
                <w:sz w:val="18"/>
                <w:szCs w:val="18"/>
              </w:rPr>
              <w:t>The Agency has elected not to separate non-lease components from lease components for leases, except for specialised plant and equipment contracts which contain both a lease component and non-lease component. The non-lease component is material and relates to maintenance services for the specialised plant and equipment.</w:t>
            </w:r>
            <w:r w:rsidR="00FA7C77">
              <w:rPr>
                <w:rFonts w:asciiTheme="minorHAnsi" w:hAnsiTheme="minorHAnsi" w:cstheme="minorHAnsi"/>
                <w:b w:val="0"/>
                <w:smallCaps w:val="0"/>
                <w:sz w:val="18"/>
                <w:szCs w:val="18"/>
              </w:rPr>
              <w:t xml:space="preserve"> </w:t>
            </w:r>
            <w:r w:rsidRPr="00D85C31">
              <w:rPr>
                <w:rFonts w:asciiTheme="minorHAnsi" w:hAnsiTheme="minorHAnsi" w:cstheme="minorHAnsi"/>
                <w:b w:val="0"/>
                <w:smallCaps w:val="0"/>
                <w:sz w:val="18"/>
                <w:szCs w:val="18"/>
              </w:rPr>
              <w:t xml:space="preserve">The Agency allocates the contractual payments to each component on the basis of their stand-alone prices. </w:t>
            </w:r>
          </w:p>
        </w:tc>
      </w:tr>
      <w:tr w:rsidR="0065642D" w:rsidRPr="00381D99" w14:paraId="44F990E7" w14:textId="77777777" w:rsidTr="0004564D">
        <w:trPr>
          <w:cantSplit/>
          <w:trHeight w:val="23"/>
        </w:trPr>
        <w:tc>
          <w:tcPr>
            <w:tcW w:w="736" w:type="pct"/>
            <w:tcBorders>
              <w:left w:val="single" w:sz="2" w:space="0" w:color="auto"/>
              <w:right w:val="single" w:sz="2" w:space="0" w:color="auto"/>
            </w:tcBorders>
          </w:tcPr>
          <w:p w14:paraId="726B90BC" w14:textId="77777777" w:rsidR="0065642D" w:rsidRPr="00D85C31" w:rsidRDefault="0065642D" w:rsidP="0065642D">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239C79CE" w14:textId="6D7EC7EF" w:rsidR="0065642D" w:rsidRPr="00F66DF2" w:rsidRDefault="0065642D" w:rsidP="0065642D">
            <w:pPr>
              <w:pStyle w:val="Appxhead3"/>
              <w:spacing w:before="0" w:after="120"/>
              <w:jc w:val="both"/>
              <w:rPr>
                <w:rFonts w:asciiTheme="minorHAnsi" w:hAnsiTheme="minorHAnsi" w:cstheme="minorHAnsi"/>
                <w:b w:val="0"/>
                <w:smallCaps w:val="0"/>
                <w:sz w:val="18"/>
                <w:szCs w:val="18"/>
              </w:rPr>
            </w:pPr>
            <w:r w:rsidRPr="00F66DF2">
              <w:rPr>
                <w:rFonts w:asciiTheme="minorHAnsi" w:hAnsiTheme="minorHAnsi" w:cstheme="minorHAnsi"/>
                <w:b w:val="0"/>
                <w:smallCaps w:val="0"/>
                <w:sz w:val="18"/>
                <w:szCs w:val="18"/>
              </w:rPr>
              <w:t>Where the non-lease components have been separated, they are recognised as an expense as incurred in the operating statement.</w:t>
            </w:r>
          </w:p>
        </w:tc>
      </w:tr>
      <w:tr w:rsidR="0065642D" w:rsidRPr="00381D99" w14:paraId="5E5E301E" w14:textId="77777777" w:rsidTr="0004564D">
        <w:trPr>
          <w:cantSplit/>
          <w:trHeight w:val="23"/>
        </w:trPr>
        <w:tc>
          <w:tcPr>
            <w:tcW w:w="736" w:type="pct"/>
            <w:tcBorders>
              <w:left w:val="single" w:sz="2" w:space="0" w:color="auto"/>
              <w:right w:val="single" w:sz="2" w:space="0" w:color="auto"/>
            </w:tcBorders>
          </w:tcPr>
          <w:p w14:paraId="232B4AEA" w14:textId="77777777" w:rsidR="0065642D" w:rsidRPr="00D85C31" w:rsidRDefault="0065642D" w:rsidP="0065642D">
            <w:pPr>
              <w:pStyle w:val="TableReference"/>
              <w:tabs>
                <w:tab w:val="left" w:pos="3306"/>
              </w:tabs>
              <w:rPr>
                <w:rFonts w:cs="Calibri"/>
                <w:color w:val="7030A0"/>
                <w:sz w:val="14"/>
              </w:rPr>
            </w:pPr>
          </w:p>
        </w:tc>
        <w:tc>
          <w:tcPr>
            <w:tcW w:w="4264" w:type="pct"/>
            <w:tcBorders>
              <w:left w:val="single" w:sz="2" w:space="0" w:color="auto"/>
            </w:tcBorders>
            <w:shd w:val="clear" w:color="auto" w:fill="auto"/>
          </w:tcPr>
          <w:p w14:paraId="4EE5BBB0" w14:textId="0AB65330" w:rsidR="0065642D" w:rsidRPr="00F66DF2" w:rsidRDefault="0065642D" w:rsidP="0065642D">
            <w:pPr>
              <w:spacing w:before="120"/>
              <w:jc w:val="both"/>
              <w:rPr>
                <w:rFonts w:asciiTheme="minorHAnsi" w:hAnsiTheme="minorHAnsi" w:cstheme="minorHAnsi"/>
                <w:b/>
                <w:bCs/>
                <w:sz w:val="18"/>
                <w:szCs w:val="18"/>
              </w:rPr>
            </w:pPr>
            <w:r w:rsidRPr="00F66DF2">
              <w:rPr>
                <w:rFonts w:asciiTheme="minorHAnsi" w:hAnsiTheme="minorHAnsi" w:cstheme="minorHAnsi"/>
                <w:b/>
                <w:bCs/>
                <w:sz w:val="18"/>
                <w:szCs w:val="18"/>
              </w:rPr>
              <w:t>Exceptions to Lease Accounting</w:t>
            </w:r>
          </w:p>
        </w:tc>
      </w:tr>
      <w:tr w:rsidR="0065642D" w:rsidRPr="00381D99" w14:paraId="23583ECE" w14:textId="77777777" w:rsidTr="0004564D">
        <w:trPr>
          <w:cantSplit/>
          <w:trHeight w:val="23"/>
        </w:trPr>
        <w:tc>
          <w:tcPr>
            <w:tcW w:w="736" w:type="pct"/>
            <w:tcBorders>
              <w:left w:val="single" w:sz="2" w:space="0" w:color="auto"/>
              <w:right w:val="single" w:sz="2" w:space="0" w:color="auto"/>
            </w:tcBorders>
          </w:tcPr>
          <w:p w14:paraId="3681395D" w14:textId="77777777" w:rsidR="0065642D" w:rsidRPr="00D85C31" w:rsidRDefault="0065642D" w:rsidP="0065642D">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1682648D" w14:textId="490F966E" w:rsidR="0065642D" w:rsidRPr="00F66DF2" w:rsidRDefault="0065642D" w:rsidP="0065642D">
            <w:pPr>
              <w:spacing w:after="120"/>
              <w:jc w:val="both"/>
              <w:rPr>
                <w:rFonts w:asciiTheme="minorHAnsi" w:hAnsiTheme="minorHAnsi" w:cstheme="minorHAnsi"/>
                <w:sz w:val="18"/>
                <w:szCs w:val="18"/>
              </w:rPr>
            </w:pPr>
            <w:r w:rsidRPr="00F66DF2">
              <w:rPr>
                <w:rFonts w:asciiTheme="minorHAnsi" w:hAnsiTheme="minorHAnsi" w:cstheme="minorHAnsi"/>
                <w:sz w:val="18"/>
                <w:szCs w:val="18"/>
              </w:rPr>
              <w:t>The Agency has elected to apply the exceptions to lease accounting for both short-term leases (i.e. leases with a term of less than or equal to 12 months) and leases of low-value assets.</w:t>
            </w:r>
          </w:p>
        </w:tc>
      </w:tr>
      <w:tr w:rsidR="0065642D" w:rsidRPr="00381D99" w14:paraId="3F39F3A7" w14:textId="77777777" w:rsidTr="0004564D">
        <w:trPr>
          <w:cantSplit/>
          <w:trHeight w:val="23"/>
        </w:trPr>
        <w:tc>
          <w:tcPr>
            <w:tcW w:w="736" w:type="pct"/>
            <w:tcBorders>
              <w:left w:val="single" w:sz="2" w:space="0" w:color="auto"/>
              <w:right w:val="single" w:sz="2" w:space="0" w:color="auto"/>
            </w:tcBorders>
          </w:tcPr>
          <w:p w14:paraId="7C00E2A7" w14:textId="77777777" w:rsidR="0065642D" w:rsidRPr="00D85C31" w:rsidRDefault="0065642D" w:rsidP="0065642D">
            <w:pPr>
              <w:pStyle w:val="TableReference"/>
              <w:tabs>
                <w:tab w:val="left" w:pos="3306"/>
              </w:tabs>
              <w:spacing w:before="240"/>
              <w:rPr>
                <w:rFonts w:cs="Calibri"/>
                <w:color w:val="7030A0"/>
                <w:sz w:val="14"/>
              </w:rPr>
            </w:pPr>
          </w:p>
        </w:tc>
        <w:tc>
          <w:tcPr>
            <w:tcW w:w="4264" w:type="pct"/>
            <w:tcBorders>
              <w:left w:val="single" w:sz="2" w:space="0" w:color="auto"/>
            </w:tcBorders>
            <w:shd w:val="clear" w:color="auto" w:fill="auto"/>
          </w:tcPr>
          <w:p w14:paraId="49042631" w14:textId="3FED7046" w:rsidR="0065642D" w:rsidRPr="00F66DF2" w:rsidRDefault="0065642D" w:rsidP="0065642D">
            <w:pPr>
              <w:spacing w:after="120"/>
              <w:jc w:val="both"/>
              <w:rPr>
                <w:rFonts w:asciiTheme="minorHAnsi" w:hAnsiTheme="minorHAnsi" w:cstheme="minorHAnsi"/>
                <w:sz w:val="18"/>
                <w:szCs w:val="18"/>
              </w:rPr>
            </w:pPr>
            <w:r w:rsidRPr="00F66DF2">
              <w:rPr>
                <w:rFonts w:asciiTheme="minorHAnsi" w:hAnsiTheme="minorHAnsi" w:cstheme="minorHAnsi"/>
                <w:sz w:val="18"/>
                <w:szCs w:val="18"/>
              </w:rPr>
              <w:t>The Agency recognises the payments associated with these leases as an expense on a straight-line basis over the lease term.</w:t>
            </w:r>
          </w:p>
        </w:tc>
      </w:tr>
      <w:tr w:rsidR="0065642D" w:rsidRPr="00381D99" w14:paraId="5E047042" w14:textId="77777777" w:rsidTr="0004564D">
        <w:trPr>
          <w:cantSplit/>
          <w:trHeight w:val="23"/>
        </w:trPr>
        <w:tc>
          <w:tcPr>
            <w:tcW w:w="736" w:type="pct"/>
            <w:tcBorders>
              <w:left w:val="single" w:sz="2" w:space="0" w:color="auto"/>
              <w:right w:val="single" w:sz="2" w:space="0" w:color="auto"/>
            </w:tcBorders>
          </w:tcPr>
          <w:p w14:paraId="1D96D1E0" w14:textId="77777777" w:rsidR="0065642D" w:rsidRPr="00D85C31" w:rsidRDefault="0065642D" w:rsidP="0065642D">
            <w:pPr>
              <w:spacing w:line="259" w:lineRule="auto"/>
              <w:rPr>
                <w:rFonts w:eastAsia="Calibri" w:cs="Calibri"/>
                <w:color w:val="7030A0"/>
                <w:sz w:val="14"/>
                <w:szCs w:val="14"/>
              </w:rPr>
            </w:pPr>
          </w:p>
        </w:tc>
        <w:tc>
          <w:tcPr>
            <w:tcW w:w="4264" w:type="pct"/>
            <w:tcBorders>
              <w:left w:val="single" w:sz="2" w:space="0" w:color="auto"/>
            </w:tcBorders>
            <w:shd w:val="clear" w:color="auto" w:fill="auto"/>
            <w:vAlign w:val="bottom"/>
          </w:tcPr>
          <w:p w14:paraId="3DFE40B0" w14:textId="7EFA01CF" w:rsidR="0065642D" w:rsidRPr="00F66DF2" w:rsidRDefault="0065642D" w:rsidP="0065642D">
            <w:pPr>
              <w:spacing w:after="120" w:line="259" w:lineRule="auto"/>
              <w:jc w:val="both"/>
              <w:rPr>
                <w:rFonts w:eastAsia="Calibri" w:cs="Calibri"/>
                <w:strike/>
                <w:sz w:val="18"/>
                <w:szCs w:val="18"/>
              </w:rPr>
            </w:pPr>
            <w:r w:rsidRPr="00F66DF2">
              <w:rPr>
                <w:sz w:val="18"/>
                <w:szCs w:val="18"/>
              </w:rPr>
              <w:t>The Agency has elected not to assess whether rent concessions occurring as a direct consequence of the COVID-19 pandemic are lease modification in accordance with AASB 16.</w:t>
            </w:r>
            <w:r w:rsidR="00FA7C77">
              <w:rPr>
                <w:sz w:val="18"/>
                <w:szCs w:val="18"/>
              </w:rPr>
              <w:t xml:space="preserve"> </w:t>
            </w:r>
            <w:r w:rsidRPr="00F66DF2">
              <w:rPr>
                <w:sz w:val="18"/>
                <w:szCs w:val="18"/>
              </w:rPr>
              <w:t>This election has been applied given the revised consideration for all the leases is less than before the change, as well as this reduction effects only payments originally due on or before 30 June 2021, and there was no substantive change to other terms and conditions of the lease.</w:t>
            </w:r>
          </w:p>
        </w:tc>
      </w:tr>
    </w:tbl>
    <w:p w14:paraId="33E07261" w14:textId="77777777" w:rsidR="00C87392" w:rsidRDefault="00C87392">
      <w:r>
        <w:br w:type="page"/>
      </w:r>
    </w:p>
    <w:tbl>
      <w:tblPr>
        <w:tblW w:w="5000" w:type="pct"/>
        <w:tblInd w:w="-6" w:type="dxa"/>
        <w:tblLook w:val="00A0" w:firstRow="1" w:lastRow="0" w:firstColumn="1" w:lastColumn="0" w:noHBand="0" w:noVBand="0"/>
      </w:tblPr>
      <w:tblGrid>
        <w:gridCol w:w="1549"/>
        <w:gridCol w:w="6523"/>
        <w:gridCol w:w="1280"/>
        <w:gridCol w:w="1137"/>
        <w:gridCol w:w="55"/>
      </w:tblGrid>
      <w:tr w:rsidR="00C87392" w:rsidRPr="00381D99" w14:paraId="4443D5F1" w14:textId="77777777" w:rsidTr="0004564D">
        <w:trPr>
          <w:cantSplit/>
          <w:trHeight w:val="23"/>
        </w:trPr>
        <w:tc>
          <w:tcPr>
            <w:tcW w:w="735" w:type="pct"/>
            <w:tcBorders>
              <w:left w:val="single" w:sz="2" w:space="0" w:color="auto"/>
              <w:right w:val="single" w:sz="2" w:space="0" w:color="auto"/>
            </w:tcBorders>
            <w:vAlign w:val="bottom"/>
          </w:tcPr>
          <w:p w14:paraId="1D211A90" w14:textId="77777777" w:rsidR="00C87392" w:rsidRPr="00D85C31" w:rsidRDefault="00C87392" w:rsidP="00DA5473">
            <w:pPr>
              <w:pStyle w:val="TableReference"/>
              <w:tabs>
                <w:tab w:val="left" w:pos="3306"/>
              </w:tabs>
              <w:spacing w:before="240" w:after="240"/>
              <w:rPr>
                <w:rFonts w:cs="Calibri"/>
                <w:color w:val="7030A0"/>
                <w:sz w:val="22"/>
                <w:szCs w:val="22"/>
              </w:rPr>
            </w:pPr>
            <w:r w:rsidRPr="00D85C31">
              <w:rPr>
                <w:rFonts w:cs="Calibri"/>
                <w:b/>
                <w:color w:val="7030A0"/>
                <w:sz w:val="22"/>
                <w:szCs w:val="22"/>
              </w:rPr>
              <w:t>Reference</w:t>
            </w:r>
          </w:p>
        </w:tc>
        <w:tc>
          <w:tcPr>
            <w:tcW w:w="4265" w:type="pct"/>
            <w:gridSpan w:val="4"/>
            <w:tcBorders>
              <w:left w:val="single" w:sz="2" w:space="0" w:color="auto"/>
            </w:tcBorders>
            <w:shd w:val="clear" w:color="auto" w:fill="auto"/>
            <w:vAlign w:val="bottom"/>
          </w:tcPr>
          <w:p w14:paraId="1A04C69B" w14:textId="77777777" w:rsidR="00C87392" w:rsidRPr="00F66DF2" w:rsidRDefault="00C87392" w:rsidP="00DA5473">
            <w:pPr>
              <w:pStyle w:val="Appxhead3"/>
              <w:spacing w:before="240" w:after="240"/>
              <w:jc w:val="both"/>
              <w:rPr>
                <w:rFonts w:asciiTheme="minorHAnsi" w:hAnsiTheme="minorHAnsi" w:cstheme="minorHAnsi"/>
                <w:b w:val="0"/>
                <w:smallCaps w:val="0"/>
                <w:sz w:val="18"/>
                <w:szCs w:val="18"/>
              </w:rPr>
            </w:pPr>
            <w:r w:rsidRPr="00F66DF2">
              <w:rPr>
                <w:sz w:val="32"/>
                <w:szCs w:val="32"/>
              </w:rPr>
              <w:t>NOTE 26</w:t>
            </w:r>
            <w:r w:rsidRPr="00F66DF2">
              <w:rPr>
                <w:b w:val="0"/>
                <w:sz w:val="32"/>
                <w:szCs w:val="32"/>
              </w:rPr>
              <w:t xml:space="preserve"> </w:t>
            </w:r>
            <w:r w:rsidRPr="00F66DF2">
              <w:rPr>
                <w:sz w:val="32"/>
                <w:szCs w:val="32"/>
              </w:rPr>
              <w:t xml:space="preserve">LEASE LIABILITIES </w:t>
            </w:r>
            <w:r>
              <w:rPr>
                <w:sz w:val="32"/>
                <w:szCs w:val="32"/>
              </w:rPr>
              <w:t>–</w:t>
            </w:r>
            <w:r w:rsidRPr="00F66DF2">
              <w:rPr>
                <w:sz w:val="32"/>
                <w:szCs w:val="32"/>
              </w:rPr>
              <w:t xml:space="preserve"> </w:t>
            </w:r>
            <w:r w:rsidRPr="00413D72">
              <w:rPr>
                <w:rFonts w:cs="Times New Roman"/>
                <w:bCs/>
                <w:caps/>
                <w:smallCaps w:val="0"/>
                <w:sz w:val="32"/>
                <w:szCs w:val="24"/>
              </w:rPr>
              <w:t xml:space="preserve">Continued </w:t>
            </w:r>
          </w:p>
        </w:tc>
      </w:tr>
      <w:tr w:rsidR="0065642D" w:rsidRPr="00381D99" w14:paraId="30E35FFA"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74FB62A8" w14:textId="6C3477AF"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478B52D3" w14:textId="6F3493AD" w:rsidR="0065642D" w:rsidRPr="00F66DF2" w:rsidRDefault="0065642D" w:rsidP="0065642D">
            <w:pPr>
              <w:pStyle w:val="CommentaryText"/>
              <w:spacing w:after="0"/>
              <w:rPr>
                <w:rFonts w:cs="Calibri"/>
                <w:b/>
                <w:bCs/>
                <w:sz w:val="18"/>
                <w:szCs w:val="18"/>
              </w:rPr>
            </w:pPr>
          </w:p>
        </w:tc>
        <w:tc>
          <w:tcPr>
            <w:tcW w:w="607" w:type="pct"/>
            <w:shd w:val="clear" w:color="auto" w:fill="auto"/>
          </w:tcPr>
          <w:p w14:paraId="46F53A19" w14:textId="13237B04" w:rsidR="0065642D" w:rsidRPr="00F66DF2" w:rsidRDefault="0065642D" w:rsidP="0065642D">
            <w:pPr>
              <w:pStyle w:val="CommentaryText"/>
              <w:spacing w:after="0"/>
              <w:jc w:val="right"/>
              <w:rPr>
                <w:rFonts w:cs="Calibri"/>
                <w:b/>
                <w:bCs/>
                <w:sz w:val="18"/>
                <w:szCs w:val="18"/>
              </w:rPr>
            </w:pPr>
            <w:r w:rsidRPr="00F66DF2">
              <w:rPr>
                <w:rFonts w:cs="Calibri"/>
                <w:b/>
                <w:bCs/>
                <w:sz w:val="18"/>
                <w:szCs w:val="18"/>
              </w:rPr>
              <w:t>2022</w:t>
            </w:r>
            <w:r w:rsidR="00FA7C77">
              <w:rPr>
                <w:rFonts w:cs="Calibri"/>
                <w:b/>
                <w:bCs/>
                <w:sz w:val="18"/>
                <w:szCs w:val="18"/>
              </w:rPr>
              <w:t xml:space="preserve">        </w:t>
            </w:r>
            <w:r w:rsidRPr="00F66DF2">
              <w:rPr>
                <w:rFonts w:cs="Calibri"/>
                <w:b/>
                <w:bCs/>
                <w:sz w:val="18"/>
                <w:szCs w:val="18"/>
              </w:rPr>
              <w:t xml:space="preserve"> $’000</w:t>
            </w:r>
          </w:p>
        </w:tc>
        <w:tc>
          <w:tcPr>
            <w:tcW w:w="539" w:type="pct"/>
            <w:shd w:val="clear" w:color="auto" w:fill="auto"/>
          </w:tcPr>
          <w:p w14:paraId="07B73FF0" w14:textId="77777777" w:rsidR="0065642D" w:rsidRPr="00F66DF2" w:rsidRDefault="0065642D" w:rsidP="0065642D">
            <w:pPr>
              <w:jc w:val="right"/>
              <w:rPr>
                <w:rFonts w:cs="Calibri"/>
                <w:b/>
                <w:bCs/>
                <w:sz w:val="18"/>
                <w:szCs w:val="18"/>
              </w:rPr>
            </w:pPr>
            <w:r w:rsidRPr="00F66DF2">
              <w:rPr>
                <w:rFonts w:cs="Calibri"/>
                <w:b/>
                <w:bCs/>
                <w:sz w:val="18"/>
                <w:szCs w:val="18"/>
              </w:rPr>
              <w:t>2021</w:t>
            </w:r>
          </w:p>
          <w:p w14:paraId="6B04C416" w14:textId="1C1C8A72" w:rsidR="0065642D" w:rsidRPr="00F66DF2" w:rsidRDefault="0065642D" w:rsidP="0065642D">
            <w:pPr>
              <w:pStyle w:val="CommentaryText"/>
              <w:spacing w:after="0"/>
              <w:jc w:val="right"/>
              <w:rPr>
                <w:rFonts w:cs="Calibri"/>
                <w:b/>
                <w:bCs/>
                <w:sz w:val="18"/>
                <w:szCs w:val="18"/>
              </w:rPr>
            </w:pPr>
            <w:r w:rsidRPr="00F66DF2">
              <w:rPr>
                <w:rFonts w:cs="Calibri"/>
                <w:b/>
                <w:bCs/>
                <w:sz w:val="18"/>
                <w:szCs w:val="18"/>
              </w:rPr>
              <w:t>$’000</w:t>
            </w:r>
          </w:p>
        </w:tc>
      </w:tr>
      <w:tr w:rsidR="0065642D" w:rsidRPr="00381D99" w14:paraId="0D8D21E3"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40498FC9"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611DFBBE" w14:textId="77777777" w:rsidR="0065642D" w:rsidRPr="00F66DF2" w:rsidRDefault="0065642D" w:rsidP="0065642D">
            <w:pPr>
              <w:pStyle w:val="CommentaryText"/>
              <w:spacing w:after="0"/>
              <w:rPr>
                <w:rFonts w:cs="Calibri"/>
                <w:b/>
                <w:bCs/>
                <w:sz w:val="18"/>
                <w:szCs w:val="18"/>
              </w:rPr>
            </w:pPr>
          </w:p>
        </w:tc>
        <w:tc>
          <w:tcPr>
            <w:tcW w:w="607" w:type="pct"/>
            <w:shd w:val="clear" w:color="auto" w:fill="auto"/>
          </w:tcPr>
          <w:p w14:paraId="564F8D2D"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44E7D96E" w14:textId="77777777" w:rsidR="0065642D" w:rsidRPr="00F66DF2" w:rsidRDefault="0065642D" w:rsidP="0065642D">
            <w:pPr>
              <w:pStyle w:val="CommentaryText"/>
              <w:spacing w:after="0"/>
              <w:rPr>
                <w:rFonts w:cs="Calibri"/>
                <w:b/>
                <w:bCs/>
                <w:sz w:val="18"/>
                <w:szCs w:val="18"/>
              </w:rPr>
            </w:pPr>
          </w:p>
        </w:tc>
      </w:tr>
      <w:tr w:rsidR="0065642D" w:rsidRPr="00381D99" w14:paraId="52A30C1C"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122B8C44" w14:textId="6F864890" w:rsidR="0065642D" w:rsidRPr="00D85C31" w:rsidRDefault="0065642D" w:rsidP="0065642D">
            <w:pPr>
              <w:pStyle w:val="TableReference"/>
              <w:rPr>
                <w:rFonts w:cs="Calibri"/>
                <w:color w:val="7030A0"/>
                <w:sz w:val="14"/>
              </w:rPr>
            </w:pPr>
            <w:r w:rsidRPr="00D85C31">
              <w:rPr>
                <w:rFonts w:cs="Calibri"/>
                <w:color w:val="7030A0"/>
                <w:sz w:val="14"/>
              </w:rPr>
              <w:t>AASB 16.47(b)</w:t>
            </w:r>
          </w:p>
        </w:tc>
        <w:tc>
          <w:tcPr>
            <w:tcW w:w="3093" w:type="pct"/>
            <w:tcBorders>
              <w:left w:val="single" w:sz="2" w:space="0" w:color="auto"/>
            </w:tcBorders>
            <w:shd w:val="clear" w:color="auto" w:fill="auto"/>
          </w:tcPr>
          <w:p w14:paraId="2BB0C5F3" w14:textId="4F1252A0" w:rsidR="0065642D" w:rsidRPr="00F66DF2" w:rsidRDefault="0065642D" w:rsidP="0065642D">
            <w:pPr>
              <w:pStyle w:val="CommentaryText"/>
              <w:spacing w:after="0"/>
              <w:rPr>
                <w:rFonts w:cs="Calibri"/>
                <w:b/>
                <w:bCs/>
                <w:sz w:val="18"/>
                <w:szCs w:val="18"/>
              </w:rPr>
            </w:pPr>
            <w:r w:rsidRPr="00F66DF2">
              <w:rPr>
                <w:rFonts w:cs="Calibri"/>
                <w:b/>
                <w:bCs/>
                <w:sz w:val="18"/>
                <w:szCs w:val="18"/>
              </w:rPr>
              <w:t>Current Lease Liabilities</w:t>
            </w:r>
          </w:p>
        </w:tc>
        <w:tc>
          <w:tcPr>
            <w:tcW w:w="607" w:type="pct"/>
            <w:shd w:val="clear" w:color="auto" w:fill="auto"/>
          </w:tcPr>
          <w:p w14:paraId="37A6CC6D"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14FD4093" w14:textId="77777777" w:rsidR="0065642D" w:rsidRPr="00F66DF2" w:rsidRDefault="0065642D" w:rsidP="0065642D">
            <w:pPr>
              <w:pStyle w:val="CommentaryText"/>
              <w:spacing w:after="0"/>
              <w:rPr>
                <w:rFonts w:cs="Calibri"/>
                <w:b/>
                <w:bCs/>
                <w:sz w:val="18"/>
                <w:szCs w:val="18"/>
              </w:rPr>
            </w:pPr>
          </w:p>
        </w:tc>
      </w:tr>
      <w:tr w:rsidR="0065642D" w:rsidRPr="00381D99" w14:paraId="5FD5D4FA" w14:textId="77777777" w:rsidTr="0004564D">
        <w:tblPrEx>
          <w:shd w:val="clear" w:color="auto" w:fill="CCFFCC"/>
        </w:tblPrEx>
        <w:trPr>
          <w:gridAfter w:val="1"/>
          <w:wAfter w:w="26" w:type="pct"/>
          <w:cantSplit/>
          <w:trHeight w:val="63"/>
        </w:trPr>
        <w:tc>
          <w:tcPr>
            <w:tcW w:w="735" w:type="pct"/>
            <w:tcBorders>
              <w:left w:val="single" w:sz="2" w:space="0" w:color="auto"/>
              <w:right w:val="single" w:sz="2" w:space="0" w:color="auto"/>
            </w:tcBorders>
          </w:tcPr>
          <w:p w14:paraId="5E32972F"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55DEDB30" w14:textId="2B09DCB1" w:rsidR="0065642D" w:rsidRPr="00F66DF2" w:rsidRDefault="0065642D" w:rsidP="0065642D">
            <w:pPr>
              <w:pStyle w:val="CommentaryText"/>
              <w:spacing w:after="0"/>
              <w:rPr>
                <w:rFonts w:eastAsia="Calibri" w:cs="Calibri"/>
                <w:iCs/>
                <w:sz w:val="18"/>
                <w:szCs w:val="18"/>
              </w:rPr>
            </w:pPr>
            <w:r w:rsidRPr="00F66DF2">
              <w:rPr>
                <w:rFonts w:eastAsia="Calibri" w:cs="Calibri"/>
                <w:iCs/>
                <w:sz w:val="18"/>
                <w:szCs w:val="18"/>
              </w:rPr>
              <w:t>Motor Vehicles</w:t>
            </w:r>
          </w:p>
        </w:tc>
        <w:tc>
          <w:tcPr>
            <w:tcW w:w="607" w:type="pct"/>
            <w:shd w:val="clear" w:color="auto" w:fill="auto"/>
          </w:tcPr>
          <w:p w14:paraId="618B969A"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431D8DCD" w14:textId="77777777" w:rsidR="0065642D" w:rsidRPr="00F66DF2" w:rsidRDefault="0065642D" w:rsidP="0065642D">
            <w:pPr>
              <w:pStyle w:val="CommentaryText"/>
              <w:spacing w:after="0"/>
              <w:rPr>
                <w:rFonts w:cs="Calibri"/>
                <w:b/>
                <w:bCs/>
                <w:sz w:val="18"/>
                <w:szCs w:val="18"/>
              </w:rPr>
            </w:pPr>
          </w:p>
        </w:tc>
      </w:tr>
      <w:tr w:rsidR="0065642D" w:rsidRPr="00381D99" w14:paraId="1270EE55" w14:textId="77777777" w:rsidTr="0004564D">
        <w:tblPrEx>
          <w:shd w:val="clear" w:color="auto" w:fill="CCFFCC"/>
        </w:tblPrEx>
        <w:trPr>
          <w:gridAfter w:val="1"/>
          <w:wAfter w:w="26" w:type="pct"/>
          <w:cantSplit/>
          <w:trHeight w:val="122"/>
        </w:trPr>
        <w:tc>
          <w:tcPr>
            <w:tcW w:w="735" w:type="pct"/>
            <w:tcBorders>
              <w:left w:val="single" w:sz="2" w:space="0" w:color="auto"/>
              <w:right w:val="single" w:sz="2" w:space="0" w:color="auto"/>
            </w:tcBorders>
          </w:tcPr>
          <w:p w14:paraId="19185C33"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5695CC65" w14:textId="494D0DA4" w:rsidR="0065642D" w:rsidRPr="00F66DF2" w:rsidRDefault="0065642D" w:rsidP="0065642D">
            <w:pPr>
              <w:pStyle w:val="CommentaryText"/>
              <w:spacing w:after="0"/>
              <w:rPr>
                <w:bCs/>
                <w:sz w:val="18"/>
                <w:szCs w:val="18"/>
              </w:rPr>
            </w:pPr>
            <w:r w:rsidRPr="00F66DF2">
              <w:rPr>
                <w:bCs/>
                <w:sz w:val="18"/>
                <w:szCs w:val="18"/>
              </w:rPr>
              <w:t>Specialised plant and equipment leases</w:t>
            </w:r>
          </w:p>
        </w:tc>
        <w:tc>
          <w:tcPr>
            <w:tcW w:w="607" w:type="pct"/>
            <w:shd w:val="clear" w:color="auto" w:fill="auto"/>
          </w:tcPr>
          <w:p w14:paraId="4BCF1D8D"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63AD8269" w14:textId="77777777" w:rsidR="0065642D" w:rsidRPr="00F66DF2" w:rsidRDefault="0065642D" w:rsidP="0065642D">
            <w:pPr>
              <w:pStyle w:val="CommentaryText"/>
              <w:spacing w:after="0"/>
              <w:rPr>
                <w:rFonts w:cs="Calibri"/>
                <w:b/>
                <w:bCs/>
                <w:sz w:val="18"/>
                <w:szCs w:val="18"/>
              </w:rPr>
            </w:pPr>
          </w:p>
        </w:tc>
      </w:tr>
      <w:tr w:rsidR="0065642D" w:rsidRPr="00381D99" w14:paraId="0EE809B3" w14:textId="77777777" w:rsidTr="0004564D">
        <w:tblPrEx>
          <w:shd w:val="clear" w:color="auto" w:fill="CCFFCC"/>
        </w:tblPrEx>
        <w:trPr>
          <w:gridAfter w:val="1"/>
          <w:wAfter w:w="26" w:type="pct"/>
          <w:cantSplit/>
          <w:trHeight w:val="140"/>
        </w:trPr>
        <w:tc>
          <w:tcPr>
            <w:tcW w:w="735" w:type="pct"/>
            <w:tcBorders>
              <w:left w:val="single" w:sz="2" w:space="0" w:color="auto"/>
              <w:right w:val="single" w:sz="2" w:space="0" w:color="auto"/>
            </w:tcBorders>
          </w:tcPr>
          <w:p w14:paraId="5C6CBA69"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523847D4" w14:textId="192DE190" w:rsidR="0065642D" w:rsidRPr="00F66DF2" w:rsidRDefault="0065642D" w:rsidP="0065642D">
            <w:pPr>
              <w:pStyle w:val="CommentaryText"/>
              <w:spacing w:after="0"/>
              <w:jc w:val="left"/>
              <w:rPr>
                <w:rFonts w:cs="Calibri"/>
                <w:b/>
                <w:bCs/>
                <w:sz w:val="18"/>
                <w:szCs w:val="18"/>
              </w:rPr>
            </w:pPr>
            <w:r w:rsidRPr="00F66DF2">
              <w:rPr>
                <w:rFonts w:eastAsia="Calibri" w:cs="Calibri"/>
                <w:iCs/>
                <w:sz w:val="18"/>
                <w:szCs w:val="18"/>
              </w:rPr>
              <w:t>Concessionary land leases</w:t>
            </w:r>
          </w:p>
        </w:tc>
        <w:tc>
          <w:tcPr>
            <w:tcW w:w="607" w:type="pct"/>
            <w:shd w:val="clear" w:color="auto" w:fill="auto"/>
          </w:tcPr>
          <w:p w14:paraId="54286941" w14:textId="77777777" w:rsidR="0065642D" w:rsidRPr="00F66DF2" w:rsidRDefault="0065642D" w:rsidP="0065642D">
            <w:pPr>
              <w:pStyle w:val="CommentaryText"/>
              <w:spacing w:after="0"/>
              <w:jc w:val="left"/>
              <w:rPr>
                <w:rFonts w:cs="Calibri"/>
                <w:b/>
                <w:bCs/>
                <w:sz w:val="18"/>
                <w:szCs w:val="18"/>
              </w:rPr>
            </w:pPr>
          </w:p>
        </w:tc>
        <w:tc>
          <w:tcPr>
            <w:tcW w:w="539" w:type="pct"/>
            <w:shd w:val="clear" w:color="auto" w:fill="auto"/>
          </w:tcPr>
          <w:p w14:paraId="2D5AC944" w14:textId="77777777" w:rsidR="0065642D" w:rsidRPr="00F66DF2" w:rsidRDefault="0065642D" w:rsidP="0065642D">
            <w:pPr>
              <w:pStyle w:val="CommentaryText"/>
              <w:spacing w:after="0"/>
              <w:jc w:val="left"/>
              <w:rPr>
                <w:rFonts w:cs="Calibri"/>
                <w:b/>
                <w:bCs/>
                <w:sz w:val="18"/>
                <w:szCs w:val="18"/>
              </w:rPr>
            </w:pPr>
          </w:p>
        </w:tc>
      </w:tr>
      <w:tr w:rsidR="0065642D" w:rsidRPr="00381D99" w14:paraId="2E8D5329" w14:textId="77777777" w:rsidTr="0004564D">
        <w:tblPrEx>
          <w:shd w:val="clear" w:color="auto" w:fill="CCFFCC"/>
        </w:tblPrEx>
        <w:trPr>
          <w:gridAfter w:val="1"/>
          <w:wAfter w:w="26" w:type="pct"/>
          <w:cantSplit/>
          <w:trHeight w:val="140"/>
        </w:trPr>
        <w:tc>
          <w:tcPr>
            <w:tcW w:w="735" w:type="pct"/>
            <w:tcBorders>
              <w:left w:val="single" w:sz="2" w:space="0" w:color="auto"/>
              <w:right w:val="single" w:sz="2" w:space="0" w:color="auto"/>
            </w:tcBorders>
          </w:tcPr>
          <w:p w14:paraId="0D52EED3"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41A0D098" w14:textId="7EBC0955" w:rsidR="0065642D" w:rsidRPr="00F66DF2" w:rsidRDefault="0065642D" w:rsidP="0065642D">
            <w:pPr>
              <w:pStyle w:val="CommentaryText"/>
              <w:spacing w:after="0"/>
              <w:jc w:val="left"/>
              <w:rPr>
                <w:rFonts w:eastAsia="Calibri" w:cs="Calibri"/>
                <w:iCs/>
                <w:sz w:val="18"/>
                <w:szCs w:val="18"/>
              </w:rPr>
            </w:pPr>
            <w:r w:rsidRPr="00F66DF2">
              <w:rPr>
                <w:rFonts w:eastAsia="Calibri" w:cs="Calibri"/>
                <w:iCs/>
                <w:sz w:val="18"/>
                <w:szCs w:val="18"/>
              </w:rPr>
              <w:t>Building leases – Specialised Depot Building</w:t>
            </w:r>
          </w:p>
        </w:tc>
        <w:tc>
          <w:tcPr>
            <w:tcW w:w="607" w:type="pct"/>
            <w:shd w:val="clear" w:color="auto" w:fill="auto"/>
          </w:tcPr>
          <w:p w14:paraId="516F3D0C" w14:textId="77777777" w:rsidR="0065642D" w:rsidRPr="00F66DF2" w:rsidRDefault="0065642D" w:rsidP="0065642D">
            <w:pPr>
              <w:pStyle w:val="CommentaryText"/>
              <w:spacing w:after="0"/>
              <w:jc w:val="left"/>
              <w:rPr>
                <w:rFonts w:cs="Calibri"/>
                <w:b/>
                <w:bCs/>
                <w:sz w:val="18"/>
                <w:szCs w:val="18"/>
              </w:rPr>
            </w:pPr>
          </w:p>
        </w:tc>
        <w:tc>
          <w:tcPr>
            <w:tcW w:w="539" w:type="pct"/>
            <w:shd w:val="clear" w:color="auto" w:fill="auto"/>
          </w:tcPr>
          <w:p w14:paraId="3385C96E" w14:textId="77777777" w:rsidR="0065642D" w:rsidRPr="00F66DF2" w:rsidRDefault="0065642D" w:rsidP="0065642D">
            <w:pPr>
              <w:pStyle w:val="CommentaryText"/>
              <w:spacing w:after="0"/>
              <w:jc w:val="left"/>
              <w:rPr>
                <w:rFonts w:cs="Calibri"/>
                <w:b/>
                <w:bCs/>
                <w:sz w:val="18"/>
                <w:szCs w:val="18"/>
              </w:rPr>
            </w:pPr>
          </w:p>
        </w:tc>
      </w:tr>
      <w:tr w:rsidR="0065642D" w:rsidRPr="00381D99" w14:paraId="5F666F2F" w14:textId="77777777" w:rsidTr="0004564D">
        <w:tblPrEx>
          <w:shd w:val="clear" w:color="auto" w:fill="CCFFCC"/>
        </w:tblPrEx>
        <w:trPr>
          <w:gridAfter w:val="1"/>
          <w:wAfter w:w="26" w:type="pct"/>
          <w:cantSplit/>
          <w:trHeight w:val="260"/>
        </w:trPr>
        <w:tc>
          <w:tcPr>
            <w:tcW w:w="735" w:type="pct"/>
            <w:tcBorders>
              <w:left w:val="single" w:sz="2" w:space="0" w:color="auto"/>
              <w:right w:val="single" w:sz="2" w:space="0" w:color="auto"/>
            </w:tcBorders>
          </w:tcPr>
          <w:p w14:paraId="116E57C0"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51292B4E" w14:textId="7AC80D19" w:rsidR="0065642D" w:rsidRPr="00F66DF2" w:rsidRDefault="0065642D" w:rsidP="0065642D">
            <w:pPr>
              <w:pStyle w:val="CommentaryText"/>
              <w:spacing w:after="0"/>
              <w:rPr>
                <w:rFonts w:cs="Calibri"/>
                <w:b/>
                <w:bCs/>
                <w:sz w:val="18"/>
                <w:szCs w:val="18"/>
              </w:rPr>
            </w:pPr>
            <w:r w:rsidRPr="00F66DF2">
              <w:rPr>
                <w:sz w:val="18"/>
                <w:szCs w:val="18"/>
              </w:rPr>
              <w:t>Public private partnership (PPP) lease liabilities</w:t>
            </w:r>
          </w:p>
        </w:tc>
        <w:tc>
          <w:tcPr>
            <w:tcW w:w="607" w:type="pct"/>
            <w:tcBorders>
              <w:bottom w:val="single" w:sz="2" w:space="0" w:color="auto"/>
            </w:tcBorders>
            <w:shd w:val="clear" w:color="auto" w:fill="auto"/>
          </w:tcPr>
          <w:p w14:paraId="336F1EE9" w14:textId="77777777" w:rsidR="0065642D" w:rsidRPr="00F66DF2" w:rsidRDefault="0065642D" w:rsidP="0065642D">
            <w:pPr>
              <w:pStyle w:val="CommentaryText"/>
              <w:spacing w:after="0"/>
              <w:rPr>
                <w:rFonts w:cs="Calibri"/>
                <w:b/>
                <w:bCs/>
                <w:sz w:val="18"/>
                <w:szCs w:val="18"/>
              </w:rPr>
            </w:pPr>
          </w:p>
        </w:tc>
        <w:tc>
          <w:tcPr>
            <w:tcW w:w="539" w:type="pct"/>
            <w:tcBorders>
              <w:bottom w:val="single" w:sz="2" w:space="0" w:color="auto"/>
            </w:tcBorders>
            <w:shd w:val="clear" w:color="auto" w:fill="auto"/>
          </w:tcPr>
          <w:p w14:paraId="4901A6BD" w14:textId="77777777" w:rsidR="0065642D" w:rsidRPr="00F66DF2" w:rsidRDefault="0065642D" w:rsidP="0065642D">
            <w:pPr>
              <w:pStyle w:val="CommentaryText"/>
              <w:spacing w:after="0"/>
              <w:rPr>
                <w:rFonts w:cs="Calibri"/>
                <w:b/>
                <w:bCs/>
                <w:sz w:val="18"/>
                <w:szCs w:val="18"/>
              </w:rPr>
            </w:pPr>
          </w:p>
        </w:tc>
      </w:tr>
      <w:tr w:rsidR="0065642D" w:rsidRPr="00381D99" w14:paraId="081A2360"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1D5AB983"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3C8BA0C5" w14:textId="7C622534" w:rsidR="0065642D" w:rsidRPr="00F66DF2" w:rsidRDefault="0065642D" w:rsidP="0065642D">
            <w:pPr>
              <w:pStyle w:val="CommentaryText"/>
              <w:spacing w:after="0"/>
              <w:rPr>
                <w:rFonts w:cs="Calibri"/>
                <w:b/>
                <w:bCs/>
                <w:sz w:val="18"/>
                <w:szCs w:val="18"/>
              </w:rPr>
            </w:pPr>
            <w:r w:rsidRPr="00F66DF2">
              <w:rPr>
                <w:rFonts w:cs="Calibri"/>
                <w:b/>
                <w:bCs/>
                <w:sz w:val="18"/>
                <w:szCs w:val="18"/>
              </w:rPr>
              <w:t>Total Current Lease Liabilities</w:t>
            </w:r>
          </w:p>
        </w:tc>
        <w:tc>
          <w:tcPr>
            <w:tcW w:w="607" w:type="pct"/>
            <w:tcBorders>
              <w:top w:val="single" w:sz="2" w:space="0" w:color="auto"/>
              <w:bottom w:val="single" w:sz="2" w:space="0" w:color="auto"/>
            </w:tcBorders>
            <w:shd w:val="clear" w:color="auto" w:fill="auto"/>
          </w:tcPr>
          <w:p w14:paraId="53A378A9" w14:textId="77777777" w:rsidR="0065642D" w:rsidRPr="00F66DF2" w:rsidRDefault="0065642D" w:rsidP="0065642D">
            <w:pPr>
              <w:pStyle w:val="CommentaryText"/>
              <w:spacing w:after="0"/>
              <w:rPr>
                <w:rFonts w:cs="Calibri"/>
                <w:b/>
                <w:bCs/>
                <w:sz w:val="18"/>
                <w:szCs w:val="18"/>
              </w:rPr>
            </w:pPr>
          </w:p>
        </w:tc>
        <w:tc>
          <w:tcPr>
            <w:tcW w:w="539" w:type="pct"/>
            <w:tcBorders>
              <w:top w:val="single" w:sz="2" w:space="0" w:color="auto"/>
              <w:bottom w:val="single" w:sz="2" w:space="0" w:color="auto"/>
            </w:tcBorders>
            <w:shd w:val="clear" w:color="auto" w:fill="auto"/>
          </w:tcPr>
          <w:p w14:paraId="4158D618" w14:textId="77777777" w:rsidR="0065642D" w:rsidRPr="00F66DF2" w:rsidRDefault="0065642D" w:rsidP="0065642D">
            <w:pPr>
              <w:pStyle w:val="CommentaryText"/>
              <w:spacing w:after="0"/>
              <w:rPr>
                <w:rFonts w:cs="Calibri"/>
                <w:b/>
                <w:bCs/>
                <w:sz w:val="18"/>
                <w:szCs w:val="18"/>
              </w:rPr>
            </w:pPr>
          </w:p>
        </w:tc>
      </w:tr>
      <w:tr w:rsidR="0065642D" w:rsidRPr="00381D99" w14:paraId="7737596C"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5F0574F7"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6F6509BC" w14:textId="77777777" w:rsidR="0065642D" w:rsidRPr="00F66DF2" w:rsidRDefault="0065642D" w:rsidP="0065642D">
            <w:pPr>
              <w:pStyle w:val="CommentaryText"/>
              <w:spacing w:after="0"/>
              <w:rPr>
                <w:rFonts w:cs="Calibri"/>
                <w:b/>
                <w:bCs/>
                <w:sz w:val="18"/>
                <w:szCs w:val="18"/>
              </w:rPr>
            </w:pPr>
          </w:p>
        </w:tc>
        <w:tc>
          <w:tcPr>
            <w:tcW w:w="607" w:type="pct"/>
            <w:tcBorders>
              <w:top w:val="single" w:sz="2" w:space="0" w:color="auto"/>
            </w:tcBorders>
            <w:shd w:val="clear" w:color="auto" w:fill="auto"/>
          </w:tcPr>
          <w:p w14:paraId="1233619E" w14:textId="77777777" w:rsidR="0065642D" w:rsidRPr="00F66DF2" w:rsidRDefault="0065642D" w:rsidP="0065642D">
            <w:pPr>
              <w:pStyle w:val="CommentaryText"/>
              <w:spacing w:after="0"/>
              <w:rPr>
                <w:rFonts w:cs="Calibri"/>
                <w:b/>
                <w:bCs/>
                <w:sz w:val="18"/>
                <w:szCs w:val="18"/>
              </w:rPr>
            </w:pPr>
          </w:p>
        </w:tc>
        <w:tc>
          <w:tcPr>
            <w:tcW w:w="539" w:type="pct"/>
            <w:tcBorders>
              <w:top w:val="single" w:sz="2" w:space="0" w:color="auto"/>
            </w:tcBorders>
            <w:shd w:val="clear" w:color="auto" w:fill="auto"/>
          </w:tcPr>
          <w:p w14:paraId="5834A8AA" w14:textId="77777777" w:rsidR="0065642D" w:rsidRPr="00F66DF2" w:rsidRDefault="0065642D" w:rsidP="0065642D">
            <w:pPr>
              <w:pStyle w:val="CommentaryText"/>
              <w:spacing w:after="0"/>
              <w:rPr>
                <w:rFonts w:cs="Calibri"/>
                <w:b/>
                <w:bCs/>
                <w:sz w:val="18"/>
                <w:szCs w:val="18"/>
              </w:rPr>
            </w:pPr>
          </w:p>
        </w:tc>
      </w:tr>
      <w:tr w:rsidR="0065642D" w:rsidRPr="00381D99" w14:paraId="4D94D991"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216E7202" w14:textId="02EE94E9" w:rsidR="0065642D" w:rsidRPr="00D85C31" w:rsidRDefault="0065642D" w:rsidP="0065642D">
            <w:pPr>
              <w:pStyle w:val="TableReference"/>
              <w:rPr>
                <w:rFonts w:cs="Calibri"/>
                <w:color w:val="7030A0"/>
                <w:sz w:val="14"/>
              </w:rPr>
            </w:pPr>
            <w:r w:rsidRPr="00D85C31">
              <w:rPr>
                <w:rFonts w:cs="Calibri"/>
                <w:color w:val="7030A0"/>
                <w:sz w:val="14"/>
              </w:rPr>
              <w:t>AASB 16.47(b)</w:t>
            </w:r>
          </w:p>
        </w:tc>
        <w:tc>
          <w:tcPr>
            <w:tcW w:w="3093" w:type="pct"/>
            <w:tcBorders>
              <w:left w:val="single" w:sz="2" w:space="0" w:color="auto"/>
            </w:tcBorders>
            <w:shd w:val="clear" w:color="auto" w:fill="auto"/>
          </w:tcPr>
          <w:p w14:paraId="25186E40" w14:textId="6380861C" w:rsidR="0065642D" w:rsidRPr="00F66DF2" w:rsidRDefault="0065642D" w:rsidP="0065642D">
            <w:pPr>
              <w:pStyle w:val="CommentaryText"/>
              <w:spacing w:after="0"/>
              <w:rPr>
                <w:rFonts w:cs="Calibri"/>
                <w:b/>
                <w:bCs/>
                <w:sz w:val="18"/>
                <w:szCs w:val="18"/>
              </w:rPr>
            </w:pPr>
            <w:r w:rsidRPr="00F66DF2">
              <w:rPr>
                <w:rFonts w:cs="Calibri"/>
                <w:b/>
                <w:bCs/>
                <w:sz w:val="18"/>
                <w:szCs w:val="18"/>
              </w:rPr>
              <w:t>Non-Current Lease Liabilities</w:t>
            </w:r>
          </w:p>
        </w:tc>
        <w:tc>
          <w:tcPr>
            <w:tcW w:w="607" w:type="pct"/>
            <w:shd w:val="clear" w:color="auto" w:fill="auto"/>
          </w:tcPr>
          <w:p w14:paraId="354A5794"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000EA9CD" w14:textId="77777777" w:rsidR="0065642D" w:rsidRPr="00F66DF2" w:rsidRDefault="0065642D" w:rsidP="0065642D">
            <w:pPr>
              <w:pStyle w:val="CommentaryText"/>
              <w:spacing w:after="0"/>
              <w:rPr>
                <w:rFonts w:cs="Calibri"/>
                <w:b/>
                <w:bCs/>
                <w:sz w:val="18"/>
                <w:szCs w:val="18"/>
              </w:rPr>
            </w:pPr>
          </w:p>
        </w:tc>
      </w:tr>
      <w:tr w:rsidR="0065642D" w:rsidRPr="00381D99" w14:paraId="2468026B" w14:textId="77777777" w:rsidTr="0004564D">
        <w:tblPrEx>
          <w:shd w:val="clear" w:color="auto" w:fill="CCFFCC"/>
        </w:tblPrEx>
        <w:trPr>
          <w:gridAfter w:val="1"/>
          <w:wAfter w:w="26" w:type="pct"/>
          <w:cantSplit/>
          <w:trHeight w:val="151"/>
        </w:trPr>
        <w:tc>
          <w:tcPr>
            <w:tcW w:w="735" w:type="pct"/>
            <w:tcBorders>
              <w:left w:val="single" w:sz="2" w:space="0" w:color="auto"/>
              <w:right w:val="single" w:sz="2" w:space="0" w:color="auto"/>
            </w:tcBorders>
          </w:tcPr>
          <w:p w14:paraId="5C0B4EE5"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38DE8D78" w14:textId="025D45B5" w:rsidR="0065642D" w:rsidRPr="00F66DF2" w:rsidRDefault="0065642D" w:rsidP="0065642D">
            <w:pPr>
              <w:pStyle w:val="CommentaryText"/>
              <w:spacing w:after="0"/>
              <w:rPr>
                <w:rFonts w:cs="Calibri"/>
                <w:b/>
                <w:bCs/>
                <w:sz w:val="18"/>
                <w:szCs w:val="18"/>
              </w:rPr>
            </w:pPr>
            <w:r w:rsidRPr="00F66DF2">
              <w:rPr>
                <w:rFonts w:eastAsia="Calibri" w:cs="Calibri"/>
                <w:iCs/>
                <w:sz w:val="18"/>
                <w:szCs w:val="18"/>
              </w:rPr>
              <w:t>Motor Vehicles</w:t>
            </w:r>
          </w:p>
        </w:tc>
        <w:tc>
          <w:tcPr>
            <w:tcW w:w="607" w:type="pct"/>
            <w:shd w:val="clear" w:color="auto" w:fill="auto"/>
          </w:tcPr>
          <w:p w14:paraId="4CE60C1C"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306B6E02" w14:textId="77777777" w:rsidR="0065642D" w:rsidRPr="00F66DF2" w:rsidRDefault="0065642D" w:rsidP="0065642D">
            <w:pPr>
              <w:pStyle w:val="CommentaryText"/>
              <w:spacing w:after="0"/>
              <w:rPr>
                <w:rFonts w:cs="Calibri"/>
                <w:b/>
                <w:bCs/>
                <w:sz w:val="18"/>
                <w:szCs w:val="18"/>
              </w:rPr>
            </w:pPr>
          </w:p>
        </w:tc>
      </w:tr>
      <w:tr w:rsidR="0065642D" w:rsidRPr="00381D99" w14:paraId="1A041C5B" w14:textId="77777777" w:rsidTr="0004564D">
        <w:tblPrEx>
          <w:shd w:val="clear" w:color="auto" w:fill="CCFFCC"/>
        </w:tblPrEx>
        <w:trPr>
          <w:gridAfter w:val="1"/>
          <w:wAfter w:w="26" w:type="pct"/>
          <w:cantSplit/>
          <w:trHeight w:val="151"/>
        </w:trPr>
        <w:tc>
          <w:tcPr>
            <w:tcW w:w="735" w:type="pct"/>
            <w:tcBorders>
              <w:left w:val="single" w:sz="2" w:space="0" w:color="auto"/>
              <w:right w:val="single" w:sz="2" w:space="0" w:color="auto"/>
            </w:tcBorders>
          </w:tcPr>
          <w:p w14:paraId="140DBE08"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6E3FFF43" w14:textId="59466742" w:rsidR="0065642D" w:rsidRPr="00F66DF2" w:rsidRDefault="0065642D" w:rsidP="0065642D">
            <w:pPr>
              <w:pStyle w:val="CommentaryText"/>
              <w:spacing w:after="0"/>
              <w:rPr>
                <w:rFonts w:eastAsia="Calibri" w:cs="Calibri"/>
                <w:iCs/>
                <w:sz w:val="18"/>
                <w:szCs w:val="18"/>
              </w:rPr>
            </w:pPr>
            <w:r w:rsidRPr="00F66DF2">
              <w:rPr>
                <w:bCs/>
                <w:sz w:val="18"/>
                <w:szCs w:val="18"/>
              </w:rPr>
              <w:t>Specialised plant and equipment leases</w:t>
            </w:r>
          </w:p>
        </w:tc>
        <w:tc>
          <w:tcPr>
            <w:tcW w:w="607" w:type="pct"/>
            <w:shd w:val="clear" w:color="auto" w:fill="auto"/>
          </w:tcPr>
          <w:p w14:paraId="28309CAF"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6BF7BC6A" w14:textId="77777777" w:rsidR="0065642D" w:rsidRPr="00F66DF2" w:rsidRDefault="0065642D" w:rsidP="0065642D">
            <w:pPr>
              <w:pStyle w:val="CommentaryText"/>
              <w:spacing w:after="0"/>
              <w:rPr>
                <w:rFonts w:cs="Calibri"/>
                <w:b/>
                <w:bCs/>
                <w:sz w:val="18"/>
                <w:szCs w:val="18"/>
              </w:rPr>
            </w:pPr>
          </w:p>
        </w:tc>
      </w:tr>
      <w:tr w:rsidR="0065642D" w:rsidRPr="00381D99" w14:paraId="2E06F89A" w14:textId="77777777" w:rsidTr="0004564D">
        <w:tblPrEx>
          <w:shd w:val="clear" w:color="auto" w:fill="CCFFCC"/>
        </w:tblPrEx>
        <w:trPr>
          <w:gridAfter w:val="1"/>
          <w:wAfter w:w="26" w:type="pct"/>
          <w:cantSplit/>
          <w:trHeight w:val="144"/>
        </w:trPr>
        <w:tc>
          <w:tcPr>
            <w:tcW w:w="735" w:type="pct"/>
            <w:tcBorders>
              <w:left w:val="single" w:sz="2" w:space="0" w:color="auto"/>
              <w:right w:val="single" w:sz="2" w:space="0" w:color="auto"/>
            </w:tcBorders>
          </w:tcPr>
          <w:p w14:paraId="53B1B6C0"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63BCC9CD" w14:textId="5762653B" w:rsidR="0065642D" w:rsidRPr="00F66DF2" w:rsidRDefault="0065642D" w:rsidP="0065642D">
            <w:pPr>
              <w:pStyle w:val="CommentaryText"/>
              <w:spacing w:after="0"/>
              <w:rPr>
                <w:rFonts w:cs="Calibri"/>
                <w:b/>
                <w:bCs/>
                <w:sz w:val="18"/>
                <w:szCs w:val="18"/>
              </w:rPr>
            </w:pPr>
            <w:r w:rsidRPr="00F66DF2">
              <w:rPr>
                <w:rFonts w:eastAsia="Calibri" w:cs="Calibri"/>
                <w:iCs/>
                <w:sz w:val="18"/>
                <w:szCs w:val="18"/>
              </w:rPr>
              <w:t>Concessionary land leases</w:t>
            </w:r>
          </w:p>
        </w:tc>
        <w:tc>
          <w:tcPr>
            <w:tcW w:w="607" w:type="pct"/>
            <w:shd w:val="clear" w:color="auto" w:fill="auto"/>
          </w:tcPr>
          <w:p w14:paraId="5C96A672"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1A7C4F9D" w14:textId="77777777" w:rsidR="0065642D" w:rsidRPr="00F66DF2" w:rsidRDefault="0065642D" w:rsidP="0065642D">
            <w:pPr>
              <w:pStyle w:val="CommentaryText"/>
              <w:spacing w:after="0"/>
              <w:rPr>
                <w:rFonts w:cs="Calibri"/>
                <w:b/>
                <w:bCs/>
                <w:sz w:val="18"/>
                <w:szCs w:val="18"/>
              </w:rPr>
            </w:pPr>
          </w:p>
        </w:tc>
      </w:tr>
      <w:tr w:rsidR="0065642D" w:rsidRPr="00381D99" w14:paraId="4320564A" w14:textId="77777777" w:rsidTr="0004564D">
        <w:tblPrEx>
          <w:shd w:val="clear" w:color="auto" w:fill="CCFFCC"/>
        </w:tblPrEx>
        <w:trPr>
          <w:gridAfter w:val="1"/>
          <w:wAfter w:w="26" w:type="pct"/>
          <w:cantSplit/>
          <w:trHeight w:val="144"/>
        </w:trPr>
        <w:tc>
          <w:tcPr>
            <w:tcW w:w="735" w:type="pct"/>
            <w:tcBorders>
              <w:left w:val="single" w:sz="2" w:space="0" w:color="auto"/>
              <w:right w:val="single" w:sz="2" w:space="0" w:color="auto"/>
            </w:tcBorders>
          </w:tcPr>
          <w:p w14:paraId="12F036B7"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246FD470" w14:textId="4A9B3949" w:rsidR="0065642D" w:rsidRPr="00F66DF2" w:rsidRDefault="0065642D" w:rsidP="0065642D">
            <w:pPr>
              <w:pStyle w:val="CommentaryText"/>
              <w:spacing w:after="0"/>
              <w:rPr>
                <w:rFonts w:eastAsia="Calibri" w:cs="Calibri"/>
                <w:iCs/>
                <w:sz w:val="18"/>
                <w:szCs w:val="18"/>
              </w:rPr>
            </w:pPr>
            <w:r w:rsidRPr="00F66DF2">
              <w:rPr>
                <w:rFonts w:eastAsia="Calibri" w:cs="Calibri"/>
                <w:iCs/>
                <w:sz w:val="18"/>
                <w:szCs w:val="18"/>
              </w:rPr>
              <w:t>Building leases – Specialised Depot Building</w:t>
            </w:r>
          </w:p>
        </w:tc>
        <w:tc>
          <w:tcPr>
            <w:tcW w:w="607" w:type="pct"/>
            <w:shd w:val="clear" w:color="auto" w:fill="auto"/>
          </w:tcPr>
          <w:p w14:paraId="71358AE0"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2E1DAA70" w14:textId="77777777" w:rsidR="0065642D" w:rsidRPr="00F66DF2" w:rsidRDefault="0065642D" w:rsidP="0065642D">
            <w:pPr>
              <w:pStyle w:val="CommentaryText"/>
              <w:spacing w:after="0"/>
              <w:rPr>
                <w:rFonts w:cs="Calibri"/>
                <w:b/>
                <w:bCs/>
                <w:sz w:val="18"/>
                <w:szCs w:val="18"/>
              </w:rPr>
            </w:pPr>
          </w:p>
        </w:tc>
      </w:tr>
      <w:tr w:rsidR="0065642D" w:rsidRPr="00381D99" w14:paraId="385EC47A" w14:textId="77777777" w:rsidTr="0004564D">
        <w:tblPrEx>
          <w:shd w:val="clear" w:color="auto" w:fill="CCFFCC"/>
        </w:tblPrEx>
        <w:trPr>
          <w:gridAfter w:val="1"/>
          <w:wAfter w:w="26" w:type="pct"/>
          <w:cantSplit/>
          <w:trHeight w:val="189"/>
        </w:trPr>
        <w:tc>
          <w:tcPr>
            <w:tcW w:w="735" w:type="pct"/>
            <w:tcBorders>
              <w:left w:val="single" w:sz="2" w:space="0" w:color="auto"/>
              <w:right w:val="single" w:sz="2" w:space="0" w:color="auto"/>
            </w:tcBorders>
          </w:tcPr>
          <w:p w14:paraId="439B88B9"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40D90191" w14:textId="74D261D2" w:rsidR="0065642D" w:rsidRPr="00F66DF2" w:rsidRDefault="0065642D" w:rsidP="0065642D">
            <w:pPr>
              <w:pStyle w:val="CommentaryText"/>
              <w:spacing w:after="0"/>
              <w:rPr>
                <w:rFonts w:cs="Calibri"/>
                <w:b/>
                <w:bCs/>
                <w:sz w:val="18"/>
                <w:szCs w:val="18"/>
              </w:rPr>
            </w:pPr>
            <w:r w:rsidRPr="00F66DF2">
              <w:rPr>
                <w:sz w:val="18"/>
                <w:szCs w:val="18"/>
              </w:rPr>
              <w:t>Public private partnership (PPP) lease liabilities</w:t>
            </w:r>
          </w:p>
        </w:tc>
        <w:tc>
          <w:tcPr>
            <w:tcW w:w="607" w:type="pct"/>
            <w:tcBorders>
              <w:bottom w:val="single" w:sz="2" w:space="0" w:color="auto"/>
            </w:tcBorders>
            <w:shd w:val="clear" w:color="auto" w:fill="auto"/>
          </w:tcPr>
          <w:p w14:paraId="601DE1C7" w14:textId="77777777" w:rsidR="0065642D" w:rsidRPr="00F66DF2" w:rsidRDefault="0065642D" w:rsidP="0065642D">
            <w:pPr>
              <w:pStyle w:val="CommentaryText"/>
              <w:spacing w:after="0"/>
              <w:rPr>
                <w:rFonts w:cs="Calibri"/>
                <w:b/>
                <w:bCs/>
                <w:sz w:val="18"/>
                <w:szCs w:val="18"/>
              </w:rPr>
            </w:pPr>
          </w:p>
        </w:tc>
        <w:tc>
          <w:tcPr>
            <w:tcW w:w="539" w:type="pct"/>
            <w:tcBorders>
              <w:bottom w:val="single" w:sz="2" w:space="0" w:color="auto"/>
            </w:tcBorders>
            <w:shd w:val="clear" w:color="auto" w:fill="auto"/>
          </w:tcPr>
          <w:p w14:paraId="756B81C8" w14:textId="77777777" w:rsidR="0065642D" w:rsidRPr="00F66DF2" w:rsidRDefault="0065642D" w:rsidP="0065642D">
            <w:pPr>
              <w:pStyle w:val="CommentaryText"/>
              <w:spacing w:after="0"/>
              <w:rPr>
                <w:rFonts w:cs="Calibri"/>
                <w:b/>
                <w:bCs/>
                <w:sz w:val="18"/>
                <w:szCs w:val="18"/>
              </w:rPr>
            </w:pPr>
          </w:p>
        </w:tc>
      </w:tr>
      <w:tr w:rsidR="0065642D" w:rsidRPr="00381D99" w14:paraId="372FFA15" w14:textId="77777777" w:rsidTr="0004564D">
        <w:tblPrEx>
          <w:shd w:val="clear" w:color="auto" w:fill="CCFFCC"/>
        </w:tblPrEx>
        <w:trPr>
          <w:gridAfter w:val="1"/>
          <w:wAfter w:w="26" w:type="pct"/>
          <w:cantSplit/>
          <w:trHeight w:val="245"/>
        </w:trPr>
        <w:tc>
          <w:tcPr>
            <w:tcW w:w="735" w:type="pct"/>
            <w:tcBorders>
              <w:left w:val="single" w:sz="2" w:space="0" w:color="auto"/>
              <w:right w:val="single" w:sz="2" w:space="0" w:color="auto"/>
            </w:tcBorders>
          </w:tcPr>
          <w:p w14:paraId="15F05EB0"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416D3F1C" w14:textId="4EA5DB00" w:rsidR="0065642D" w:rsidRPr="00F66DF2" w:rsidRDefault="0065642D" w:rsidP="0065642D">
            <w:pPr>
              <w:pStyle w:val="CommentaryText"/>
              <w:spacing w:after="0"/>
              <w:rPr>
                <w:rFonts w:cs="Calibri"/>
                <w:b/>
                <w:bCs/>
                <w:sz w:val="18"/>
                <w:szCs w:val="18"/>
              </w:rPr>
            </w:pPr>
            <w:r w:rsidRPr="00F66DF2">
              <w:rPr>
                <w:rFonts w:cs="Calibri"/>
                <w:b/>
                <w:bCs/>
                <w:sz w:val="18"/>
                <w:szCs w:val="18"/>
              </w:rPr>
              <w:t>Total Non-Current Lease Liabilities</w:t>
            </w:r>
          </w:p>
        </w:tc>
        <w:tc>
          <w:tcPr>
            <w:tcW w:w="607" w:type="pct"/>
            <w:tcBorders>
              <w:top w:val="single" w:sz="2" w:space="0" w:color="auto"/>
              <w:bottom w:val="single" w:sz="2" w:space="0" w:color="auto"/>
            </w:tcBorders>
            <w:shd w:val="clear" w:color="auto" w:fill="auto"/>
          </w:tcPr>
          <w:p w14:paraId="171ADF5B" w14:textId="77777777" w:rsidR="0065642D" w:rsidRPr="00F66DF2" w:rsidRDefault="0065642D" w:rsidP="0065642D">
            <w:pPr>
              <w:pStyle w:val="CommentaryText"/>
              <w:spacing w:after="0"/>
              <w:rPr>
                <w:rFonts w:cs="Calibri"/>
                <w:b/>
                <w:bCs/>
                <w:sz w:val="18"/>
                <w:szCs w:val="18"/>
              </w:rPr>
            </w:pPr>
          </w:p>
        </w:tc>
        <w:tc>
          <w:tcPr>
            <w:tcW w:w="539" w:type="pct"/>
            <w:tcBorders>
              <w:top w:val="single" w:sz="2" w:space="0" w:color="auto"/>
              <w:bottom w:val="single" w:sz="2" w:space="0" w:color="auto"/>
            </w:tcBorders>
            <w:shd w:val="clear" w:color="auto" w:fill="auto"/>
          </w:tcPr>
          <w:p w14:paraId="7CF752CA" w14:textId="77777777" w:rsidR="0065642D" w:rsidRPr="00F66DF2" w:rsidRDefault="0065642D" w:rsidP="0065642D">
            <w:pPr>
              <w:pStyle w:val="CommentaryText"/>
              <w:spacing w:after="0"/>
              <w:rPr>
                <w:rFonts w:cs="Calibri"/>
                <w:b/>
                <w:bCs/>
                <w:sz w:val="18"/>
                <w:szCs w:val="18"/>
              </w:rPr>
            </w:pPr>
          </w:p>
        </w:tc>
      </w:tr>
      <w:tr w:rsidR="0065642D" w:rsidRPr="00381D99" w14:paraId="11D18B9F"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2C1956E9"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6327F213" w14:textId="0073A9DF" w:rsidR="0065642D" w:rsidRPr="00F66DF2" w:rsidRDefault="0065642D" w:rsidP="0065642D">
            <w:pPr>
              <w:pStyle w:val="CommentaryText"/>
              <w:spacing w:after="0"/>
              <w:rPr>
                <w:rFonts w:cs="Calibri"/>
                <w:b/>
                <w:bCs/>
                <w:sz w:val="18"/>
                <w:szCs w:val="18"/>
              </w:rPr>
            </w:pPr>
            <w:r w:rsidRPr="00F66DF2">
              <w:rPr>
                <w:rFonts w:cs="Calibri"/>
                <w:b/>
                <w:bCs/>
                <w:sz w:val="18"/>
                <w:szCs w:val="18"/>
              </w:rPr>
              <w:t>Total Lease Liabilities</w:t>
            </w:r>
          </w:p>
        </w:tc>
        <w:tc>
          <w:tcPr>
            <w:tcW w:w="607" w:type="pct"/>
            <w:tcBorders>
              <w:top w:val="single" w:sz="2" w:space="0" w:color="auto"/>
              <w:bottom w:val="double" w:sz="4" w:space="0" w:color="auto"/>
            </w:tcBorders>
            <w:shd w:val="clear" w:color="auto" w:fill="auto"/>
          </w:tcPr>
          <w:p w14:paraId="0E7E9D0B" w14:textId="77777777" w:rsidR="0065642D" w:rsidRPr="00F66DF2" w:rsidRDefault="0065642D" w:rsidP="0065642D">
            <w:pPr>
              <w:pStyle w:val="CommentaryText"/>
              <w:spacing w:after="0"/>
              <w:rPr>
                <w:rFonts w:cs="Calibri"/>
                <w:b/>
                <w:bCs/>
                <w:sz w:val="18"/>
                <w:szCs w:val="18"/>
              </w:rPr>
            </w:pPr>
          </w:p>
        </w:tc>
        <w:tc>
          <w:tcPr>
            <w:tcW w:w="539" w:type="pct"/>
            <w:tcBorders>
              <w:top w:val="single" w:sz="2" w:space="0" w:color="auto"/>
              <w:bottom w:val="double" w:sz="4" w:space="0" w:color="auto"/>
            </w:tcBorders>
            <w:shd w:val="clear" w:color="auto" w:fill="auto"/>
          </w:tcPr>
          <w:p w14:paraId="2A5B762E" w14:textId="77777777" w:rsidR="0065642D" w:rsidRPr="00F66DF2" w:rsidRDefault="0065642D" w:rsidP="0065642D">
            <w:pPr>
              <w:pStyle w:val="CommentaryText"/>
              <w:spacing w:after="0"/>
              <w:rPr>
                <w:rFonts w:cs="Calibri"/>
                <w:b/>
                <w:bCs/>
                <w:sz w:val="18"/>
                <w:szCs w:val="18"/>
              </w:rPr>
            </w:pPr>
          </w:p>
        </w:tc>
      </w:tr>
      <w:tr w:rsidR="0065642D" w:rsidRPr="00381D99" w14:paraId="0F651418"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2CFEF0D4"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4B69B980" w14:textId="77777777" w:rsidR="0065642D" w:rsidRPr="00F66DF2" w:rsidRDefault="0065642D" w:rsidP="0065642D">
            <w:pPr>
              <w:pStyle w:val="CommentaryText"/>
              <w:spacing w:after="0"/>
              <w:rPr>
                <w:rFonts w:cs="Calibri"/>
                <w:b/>
                <w:bCs/>
                <w:sz w:val="18"/>
                <w:szCs w:val="18"/>
              </w:rPr>
            </w:pPr>
          </w:p>
        </w:tc>
        <w:tc>
          <w:tcPr>
            <w:tcW w:w="607" w:type="pct"/>
            <w:tcBorders>
              <w:top w:val="double" w:sz="4" w:space="0" w:color="auto"/>
            </w:tcBorders>
            <w:shd w:val="clear" w:color="auto" w:fill="auto"/>
          </w:tcPr>
          <w:p w14:paraId="31FE3E17" w14:textId="77777777" w:rsidR="0065642D" w:rsidRPr="00F66DF2" w:rsidRDefault="0065642D" w:rsidP="0065642D">
            <w:pPr>
              <w:pStyle w:val="CommentaryText"/>
              <w:spacing w:after="0"/>
              <w:rPr>
                <w:rFonts w:cs="Calibri"/>
                <w:b/>
                <w:bCs/>
                <w:sz w:val="18"/>
                <w:szCs w:val="18"/>
              </w:rPr>
            </w:pPr>
          </w:p>
        </w:tc>
        <w:tc>
          <w:tcPr>
            <w:tcW w:w="539" w:type="pct"/>
            <w:tcBorders>
              <w:top w:val="double" w:sz="4" w:space="0" w:color="auto"/>
            </w:tcBorders>
            <w:shd w:val="clear" w:color="auto" w:fill="auto"/>
          </w:tcPr>
          <w:p w14:paraId="01A0C2FD" w14:textId="77777777" w:rsidR="0065642D" w:rsidRPr="00F66DF2" w:rsidRDefault="0065642D" w:rsidP="0065642D">
            <w:pPr>
              <w:pStyle w:val="CommentaryText"/>
              <w:spacing w:after="0"/>
              <w:rPr>
                <w:rFonts w:cs="Calibri"/>
                <w:b/>
                <w:bCs/>
                <w:sz w:val="18"/>
                <w:szCs w:val="18"/>
              </w:rPr>
            </w:pPr>
          </w:p>
        </w:tc>
      </w:tr>
      <w:tr w:rsidR="0065642D" w:rsidRPr="00381D99" w14:paraId="2C55BE09"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100D04AC"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5E79045D" w14:textId="3378959B" w:rsidR="0065642D" w:rsidRPr="00F66DF2" w:rsidRDefault="0065642D" w:rsidP="0065642D">
            <w:pPr>
              <w:pStyle w:val="CommentaryText"/>
              <w:spacing w:after="0"/>
              <w:rPr>
                <w:rFonts w:cs="Calibri"/>
                <w:b/>
                <w:bCs/>
                <w:sz w:val="18"/>
                <w:szCs w:val="18"/>
              </w:rPr>
            </w:pPr>
            <w:r w:rsidRPr="00F66DF2">
              <w:rPr>
                <w:rFonts w:cs="Calibri"/>
                <w:b/>
                <w:bCs/>
                <w:sz w:val="18"/>
                <w:szCs w:val="18"/>
              </w:rPr>
              <w:t>Reconciliation of Lease Liabilities</w:t>
            </w:r>
          </w:p>
        </w:tc>
        <w:tc>
          <w:tcPr>
            <w:tcW w:w="607" w:type="pct"/>
            <w:shd w:val="clear" w:color="auto" w:fill="auto"/>
          </w:tcPr>
          <w:p w14:paraId="63A9415E"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6F3DAE54" w14:textId="77777777" w:rsidR="0065642D" w:rsidRPr="00F66DF2" w:rsidRDefault="0065642D" w:rsidP="0065642D">
            <w:pPr>
              <w:pStyle w:val="CommentaryText"/>
              <w:spacing w:after="0"/>
              <w:rPr>
                <w:rFonts w:cs="Calibri"/>
                <w:b/>
                <w:bCs/>
                <w:sz w:val="18"/>
                <w:szCs w:val="18"/>
              </w:rPr>
            </w:pPr>
          </w:p>
        </w:tc>
      </w:tr>
      <w:tr w:rsidR="0065642D" w:rsidRPr="00381D99" w14:paraId="284C5445" w14:textId="77777777" w:rsidTr="0004564D">
        <w:tblPrEx>
          <w:shd w:val="clear" w:color="auto" w:fill="CCFFCC"/>
        </w:tblPrEx>
        <w:trPr>
          <w:gridAfter w:val="1"/>
          <w:wAfter w:w="26" w:type="pct"/>
          <w:cantSplit/>
          <w:trHeight w:val="275"/>
        </w:trPr>
        <w:tc>
          <w:tcPr>
            <w:tcW w:w="735" w:type="pct"/>
            <w:tcBorders>
              <w:left w:val="single" w:sz="2" w:space="0" w:color="auto"/>
              <w:right w:val="single" w:sz="2" w:space="0" w:color="auto"/>
            </w:tcBorders>
          </w:tcPr>
          <w:p w14:paraId="57E1EA40"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10E4738B" w14:textId="113CCBCE" w:rsidR="0065642D" w:rsidRPr="00F66DF2" w:rsidRDefault="0065642D" w:rsidP="0065642D">
            <w:pPr>
              <w:pStyle w:val="CommentaryText"/>
              <w:spacing w:after="0"/>
              <w:rPr>
                <w:rFonts w:cs="Calibri"/>
                <w:sz w:val="18"/>
                <w:szCs w:val="18"/>
              </w:rPr>
            </w:pPr>
            <w:r w:rsidRPr="00F66DF2">
              <w:rPr>
                <w:rFonts w:cs="Calibri"/>
                <w:sz w:val="18"/>
                <w:szCs w:val="18"/>
              </w:rPr>
              <w:t>Opening Balance of Lease Liabilities</w:t>
            </w:r>
          </w:p>
        </w:tc>
        <w:tc>
          <w:tcPr>
            <w:tcW w:w="607" w:type="pct"/>
            <w:shd w:val="clear" w:color="auto" w:fill="auto"/>
          </w:tcPr>
          <w:p w14:paraId="27314A41"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28FA6047" w14:textId="77777777" w:rsidR="0065642D" w:rsidRPr="00F66DF2" w:rsidRDefault="0065642D" w:rsidP="0065642D">
            <w:pPr>
              <w:pStyle w:val="CommentaryText"/>
              <w:spacing w:after="0"/>
              <w:rPr>
                <w:rFonts w:cs="Calibri"/>
                <w:b/>
                <w:bCs/>
                <w:sz w:val="18"/>
                <w:szCs w:val="18"/>
              </w:rPr>
            </w:pPr>
          </w:p>
        </w:tc>
      </w:tr>
      <w:tr w:rsidR="0065642D" w:rsidRPr="00381D99" w14:paraId="6CFB61EA" w14:textId="77777777" w:rsidTr="0004564D">
        <w:tblPrEx>
          <w:shd w:val="clear" w:color="auto" w:fill="CCFFCC"/>
        </w:tblPrEx>
        <w:trPr>
          <w:gridAfter w:val="1"/>
          <w:wAfter w:w="26" w:type="pct"/>
          <w:cantSplit/>
          <w:trHeight w:val="252"/>
        </w:trPr>
        <w:tc>
          <w:tcPr>
            <w:tcW w:w="735" w:type="pct"/>
            <w:tcBorders>
              <w:left w:val="single" w:sz="2" w:space="0" w:color="auto"/>
              <w:right w:val="single" w:sz="2" w:space="0" w:color="auto"/>
            </w:tcBorders>
          </w:tcPr>
          <w:p w14:paraId="480030EF"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4A62151E" w14:textId="3D87FF34" w:rsidR="0065642D" w:rsidRPr="00F66DF2" w:rsidRDefault="0065642D" w:rsidP="0065642D">
            <w:pPr>
              <w:pStyle w:val="CommentaryText"/>
              <w:spacing w:after="0"/>
              <w:rPr>
                <w:rFonts w:cs="Calibri"/>
                <w:sz w:val="18"/>
                <w:szCs w:val="18"/>
              </w:rPr>
            </w:pPr>
            <w:r w:rsidRPr="00F66DF2">
              <w:rPr>
                <w:rFonts w:cs="Calibri"/>
                <w:sz w:val="18"/>
              </w:rPr>
              <w:t>Add: Additional Lease Liabilities taken up in the Current Reporting Period</w:t>
            </w:r>
          </w:p>
        </w:tc>
        <w:tc>
          <w:tcPr>
            <w:tcW w:w="607" w:type="pct"/>
            <w:shd w:val="clear" w:color="auto" w:fill="auto"/>
          </w:tcPr>
          <w:p w14:paraId="2FD10700"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01066272" w14:textId="77777777" w:rsidR="0065642D" w:rsidRPr="00F66DF2" w:rsidRDefault="0065642D" w:rsidP="0065642D">
            <w:pPr>
              <w:pStyle w:val="CommentaryText"/>
              <w:spacing w:after="0"/>
              <w:rPr>
                <w:rFonts w:cs="Calibri"/>
                <w:b/>
                <w:bCs/>
                <w:sz w:val="18"/>
                <w:szCs w:val="18"/>
              </w:rPr>
            </w:pPr>
          </w:p>
        </w:tc>
      </w:tr>
      <w:tr w:rsidR="0065642D" w:rsidRPr="00381D99" w14:paraId="4843B79B" w14:textId="77777777" w:rsidTr="0004564D">
        <w:tblPrEx>
          <w:shd w:val="clear" w:color="auto" w:fill="CCFFCC"/>
        </w:tblPrEx>
        <w:trPr>
          <w:gridAfter w:val="1"/>
          <w:wAfter w:w="26" w:type="pct"/>
          <w:cantSplit/>
          <w:trHeight w:val="241"/>
        </w:trPr>
        <w:tc>
          <w:tcPr>
            <w:tcW w:w="735" w:type="pct"/>
            <w:tcBorders>
              <w:left w:val="single" w:sz="2" w:space="0" w:color="auto"/>
              <w:right w:val="single" w:sz="2" w:space="0" w:color="auto"/>
            </w:tcBorders>
          </w:tcPr>
          <w:p w14:paraId="39BE830A" w14:textId="007F9BB2" w:rsidR="0065642D" w:rsidRPr="00D85C31" w:rsidRDefault="0065642D" w:rsidP="0065642D">
            <w:pPr>
              <w:pStyle w:val="TableReference"/>
              <w:rPr>
                <w:rFonts w:cs="Calibri"/>
                <w:color w:val="7030A0"/>
                <w:sz w:val="14"/>
              </w:rPr>
            </w:pPr>
            <w:r w:rsidRPr="00D85C31">
              <w:rPr>
                <w:color w:val="7030A0"/>
                <w:sz w:val="14"/>
              </w:rPr>
              <w:t>AASB 16.53(g)</w:t>
            </w:r>
          </w:p>
        </w:tc>
        <w:tc>
          <w:tcPr>
            <w:tcW w:w="3093" w:type="pct"/>
            <w:tcBorders>
              <w:left w:val="single" w:sz="2" w:space="0" w:color="auto"/>
            </w:tcBorders>
            <w:shd w:val="clear" w:color="auto" w:fill="auto"/>
          </w:tcPr>
          <w:p w14:paraId="5CB5F6FD" w14:textId="19F1EFF2" w:rsidR="0065642D" w:rsidRPr="00F66DF2" w:rsidRDefault="0065642D" w:rsidP="0065642D">
            <w:pPr>
              <w:pStyle w:val="CommentaryText"/>
              <w:spacing w:after="0"/>
              <w:rPr>
                <w:rFonts w:cs="Calibri"/>
                <w:sz w:val="18"/>
                <w:szCs w:val="18"/>
              </w:rPr>
            </w:pPr>
            <w:r w:rsidRPr="00F66DF2">
              <w:rPr>
                <w:rFonts w:cs="Calibri"/>
                <w:sz w:val="18"/>
              </w:rPr>
              <w:t>Less: Payments to Reduce the Principal of the Liability</w:t>
            </w:r>
          </w:p>
        </w:tc>
        <w:tc>
          <w:tcPr>
            <w:tcW w:w="607" w:type="pct"/>
            <w:shd w:val="clear" w:color="auto" w:fill="auto"/>
          </w:tcPr>
          <w:p w14:paraId="4BD13861" w14:textId="77777777" w:rsidR="0065642D" w:rsidRPr="00F66DF2" w:rsidRDefault="0065642D" w:rsidP="0065642D">
            <w:pPr>
              <w:pStyle w:val="CommentaryText"/>
              <w:spacing w:after="0"/>
              <w:rPr>
                <w:rFonts w:cs="Calibri"/>
                <w:b/>
                <w:bCs/>
                <w:sz w:val="18"/>
                <w:szCs w:val="18"/>
              </w:rPr>
            </w:pPr>
          </w:p>
        </w:tc>
        <w:tc>
          <w:tcPr>
            <w:tcW w:w="539" w:type="pct"/>
            <w:shd w:val="clear" w:color="auto" w:fill="auto"/>
          </w:tcPr>
          <w:p w14:paraId="346CAD5E" w14:textId="77777777" w:rsidR="0065642D" w:rsidRPr="00F66DF2" w:rsidRDefault="0065642D" w:rsidP="0065642D">
            <w:pPr>
              <w:pStyle w:val="CommentaryText"/>
              <w:spacing w:after="0"/>
              <w:rPr>
                <w:rFonts w:cs="Calibri"/>
                <w:b/>
                <w:bCs/>
                <w:sz w:val="18"/>
                <w:szCs w:val="18"/>
              </w:rPr>
            </w:pPr>
          </w:p>
        </w:tc>
      </w:tr>
      <w:tr w:rsidR="0065642D" w:rsidRPr="00381D99" w14:paraId="3C82B2EA" w14:textId="77777777" w:rsidTr="0004564D">
        <w:tblPrEx>
          <w:shd w:val="clear" w:color="auto" w:fill="CCFFCC"/>
        </w:tblPrEx>
        <w:trPr>
          <w:gridAfter w:val="1"/>
          <w:wAfter w:w="26" w:type="pct"/>
          <w:cantSplit/>
          <w:trHeight w:val="218"/>
        </w:trPr>
        <w:tc>
          <w:tcPr>
            <w:tcW w:w="735" w:type="pct"/>
            <w:tcBorders>
              <w:left w:val="single" w:sz="2" w:space="0" w:color="auto"/>
              <w:right w:val="single" w:sz="2" w:space="0" w:color="auto"/>
            </w:tcBorders>
          </w:tcPr>
          <w:p w14:paraId="64593FDA" w14:textId="5029EB9B" w:rsidR="0065642D" w:rsidRPr="00D85C31" w:rsidRDefault="0065642D" w:rsidP="0065642D">
            <w:pPr>
              <w:pStyle w:val="TableReference"/>
              <w:rPr>
                <w:rFonts w:cs="Calibri"/>
                <w:color w:val="7030A0"/>
                <w:sz w:val="14"/>
              </w:rPr>
            </w:pPr>
            <w:r w:rsidRPr="00D85C31">
              <w:rPr>
                <w:color w:val="7030A0"/>
                <w:sz w:val="14"/>
              </w:rPr>
              <w:t>AASB 16.53(b)</w:t>
            </w:r>
          </w:p>
        </w:tc>
        <w:tc>
          <w:tcPr>
            <w:tcW w:w="3093" w:type="pct"/>
            <w:tcBorders>
              <w:left w:val="single" w:sz="2" w:space="0" w:color="auto"/>
            </w:tcBorders>
            <w:shd w:val="clear" w:color="auto" w:fill="auto"/>
          </w:tcPr>
          <w:p w14:paraId="4EF3882E" w14:textId="63EC7FC4" w:rsidR="0065642D" w:rsidRPr="00F66DF2" w:rsidRDefault="0065642D" w:rsidP="0065642D">
            <w:pPr>
              <w:pStyle w:val="CommentaryText"/>
              <w:spacing w:after="0"/>
              <w:rPr>
                <w:rFonts w:cs="Calibri"/>
                <w:sz w:val="18"/>
                <w:szCs w:val="18"/>
              </w:rPr>
            </w:pPr>
            <w:r w:rsidRPr="00F66DF2">
              <w:rPr>
                <w:rFonts w:cs="Calibri"/>
                <w:sz w:val="18"/>
              </w:rPr>
              <w:t xml:space="preserve">Less: Interest Expense </w:t>
            </w:r>
          </w:p>
        </w:tc>
        <w:tc>
          <w:tcPr>
            <w:tcW w:w="607" w:type="pct"/>
            <w:tcBorders>
              <w:bottom w:val="single" w:sz="2" w:space="0" w:color="auto"/>
            </w:tcBorders>
            <w:shd w:val="clear" w:color="auto" w:fill="auto"/>
          </w:tcPr>
          <w:p w14:paraId="6FBC1B75" w14:textId="77777777" w:rsidR="0065642D" w:rsidRPr="00F66DF2" w:rsidRDefault="0065642D" w:rsidP="0065642D">
            <w:pPr>
              <w:pStyle w:val="CommentaryText"/>
              <w:spacing w:after="0"/>
              <w:rPr>
                <w:rFonts w:cs="Calibri"/>
                <w:b/>
                <w:bCs/>
                <w:sz w:val="18"/>
                <w:szCs w:val="18"/>
              </w:rPr>
            </w:pPr>
          </w:p>
        </w:tc>
        <w:tc>
          <w:tcPr>
            <w:tcW w:w="539" w:type="pct"/>
            <w:tcBorders>
              <w:bottom w:val="single" w:sz="2" w:space="0" w:color="auto"/>
            </w:tcBorders>
            <w:shd w:val="clear" w:color="auto" w:fill="auto"/>
          </w:tcPr>
          <w:p w14:paraId="1E76540A" w14:textId="77777777" w:rsidR="0065642D" w:rsidRPr="00F66DF2" w:rsidRDefault="0065642D" w:rsidP="0065642D">
            <w:pPr>
              <w:pStyle w:val="CommentaryText"/>
              <w:spacing w:after="0"/>
              <w:rPr>
                <w:rFonts w:cs="Calibri"/>
                <w:b/>
                <w:bCs/>
                <w:sz w:val="18"/>
                <w:szCs w:val="18"/>
              </w:rPr>
            </w:pPr>
          </w:p>
        </w:tc>
      </w:tr>
      <w:tr w:rsidR="0065642D" w:rsidRPr="00381D99" w14:paraId="26CA1D24" w14:textId="77777777" w:rsidTr="0004564D">
        <w:tblPrEx>
          <w:shd w:val="clear" w:color="auto" w:fill="CCFFCC"/>
        </w:tblPrEx>
        <w:trPr>
          <w:gridAfter w:val="1"/>
          <w:wAfter w:w="26" w:type="pct"/>
          <w:cantSplit/>
          <w:trHeight w:val="129"/>
        </w:trPr>
        <w:tc>
          <w:tcPr>
            <w:tcW w:w="735" w:type="pct"/>
            <w:tcBorders>
              <w:left w:val="single" w:sz="2" w:space="0" w:color="auto"/>
              <w:right w:val="single" w:sz="2" w:space="0" w:color="auto"/>
            </w:tcBorders>
          </w:tcPr>
          <w:p w14:paraId="5AD947A8"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5C9ECC06" w14:textId="6244A1E5" w:rsidR="0065642D" w:rsidRPr="00F66DF2" w:rsidRDefault="0065642D" w:rsidP="0065642D">
            <w:pPr>
              <w:pStyle w:val="CommentaryText"/>
              <w:spacing w:after="0"/>
              <w:rPr>
                <w:rFonts w:cs="Calibri"/>
                <w:b/>
                <w:bCs/>
                <w:sz w:val="18"/>
                <w:szCs w:val="18"/>
              </w:rPr>
            </w:pPr>
            <w:r w:rsidRPr="00F66DF2">
              <w:rPr>
                <w:rFonts w:cs="Calibri"/>
                <w:b/>
                <w:bCs/>
                <w:sz w:val="18"/>
              </w:rPr>
              <w:t xml:space="preserve">Closing Balance of </w:t>
            </w:r>
            <w:r w:rsidRPr="00F66DF2">
              <w:rPr>
                <w:rFonts w:cs="Calibri"/>
                <w:b/>
                <w:bCs/>
                <w:sz w:val="18"/>
                <w:szCs w:val="18"/>
              </w:rPr>
              <w:t>Lease Liabilities</w:t>
            </w:r>
          </w:p>
        </w:tc>
        <w:tc>
          <w:tcPr>
            <w:tcW w:w="607" w:type="pct"/>
            <w:tcBorders>
              <w:top w:val="single" w:sz="2" w:space="0" w:color="auto"/>
              <w:bottom w:val="double" w:sz="4" w:space="0" w:color="auto"/>
            </w:tcBorders>
            <w:shd w:val="clear" w:color="auto" w:fill="auto"/>
          </w:tcPr>
          <w:p w14:paraId="5305F3C5" w14:textId="77777777" w:rsidR="0065642D" w:rsidRPr="00F66DF2" w:rsidRDefault="0065642D" w:rsidP="0065642D">
            <w:pPr>
              <w:pStyle w:val="CommentaryText"/>
              <w:spacing w:after="0"/>
              <w:rPr>
                <w:rFonts w:cs="Calibri"/>
                <w:b/>
                <w:bCs/>
                <w:sz w:val="18"/>
                <w:szCs w:val="18"/>
              </w:rPr>
            </w:pPr>
          </w:p>
        </w:tc>
        <w:tc>
          <w:tcPr>
            <w:tcW w:w="539" w:type="pct"/>
            <w:tcBorders>
              <w:top w:val="single" w:sz="2" w:space="0" w:color="auto"/>
              <w:bottom w:val="double" w:sz="4" w:space="0" w:color="auto"/>
            </w:tcBorders>
            <w:shd w:val="clear" w:color="auto" w:fill="auto"/>
          </w:tcPr>
          <w:p w14:paraId="2665B47E" w14:textId="77777777" w:rsidR="0065642D" w:rsidRPr="00F66DF2" w:rsidRDefault="0065642D" w:rsidP="0065642D">
            <w:pPr>
              <w:pStyle w:val="CommentaryText"/>
              <w:spacing w:after="0"/>
              <w:rPr>
                <w:rFonts w:cs="Calibri"/>
                <w:b/>
                <w:bCs/>
                <w:sz w:val="18"/>
                <w:szCs w:val="18"/>
              </w:rPr>
            </w:pPr>
          </w:p>
        </w:tc>
      </w:tr>
      <w:tr w:rsidR="0065642D" w:rsidRPr="00381D99" w14:paraId="6DA1B830"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4EB9169E" w14:textId="77777777" w:rsidR="0065642D" w:rsidRPr="00D85C31" w:rsidRDefault="0065642D" w:rsidP="0065642D">
            <w:pPr>
              <w:pStyle w:val="TableReference"/>
              <w:rPr>
                <w:rFonts w:cs="Calibri"/>
                <w:color w:val="7030A0"/>
                <w:sz w:val="14"/>
              </w:rPr>
            </w:pPr>
          </w:p>
        </w:tc>
        <w:tc>
          <w:tcPr>
            <w:tcW w:w="3093" w:type="pct"/>
            <w:tcBorders>
              <w:left w:val="single" w:sz="2" w:space="0" w:color="auto"/>
            </w:tcBorders>
            <w:shd w:val="clear" w:color="auto" w:fill="auto"/>
          </w:tcPr>
          <w:p w14:paraId="2DA59AD1" w14:textId="77777777" w:rsidR="0065642D" w:rsidRPr="00F66DF2" w:rsidRDefault="0065642D" w:rsidP="0065642D">
            <w:pPr>
              <w:pStyle w:val="CommentaryText"/>
              <w:spacing w:after="0"/>
              <w:rPr>
                <w:rFonts w:cs="Calibri"/>
                <w:b/>
                <w:bCs/>
                <w:sz w:val="18"/>
                <w:szCs w:val="18"/>
              </w:rPr>
            </w:pPr>
          </w:p>
        </w:tc>
        <w:tc>
          <w:tcPr>
            <w:tcW w:w="607" w:type="pct"/>
            <w:tcBorders>
              <w:top w:val="double" w:sz="4" w:space="0" w:color="auto"/>
            </w:tcBorders>
            <w:shd w:val="clear" w:color="auto" w:fill="auto"/>
          </w:tcPr>
          <w:p w14:paraId="45312196" w14:textId="77777777" w:rsidR="0065642D" w:rsidRPr="00F66DF2" w:rsidRDefault="0065642D" w:rsidP="0065642D">
            <w:pPr>
              <w:pStyle w:val="CommentaryText"/>
              <w:spacing w:after="0"/>
              <w:rPr>
                <w:rFonts w:cs="Calibri"/>
                <w:b/>
                <w:bCs/>
                <w:sz w:val="18"/>
                <w:szCs w:val="18"/>
              </w:rPr>
            </w:pPr>
          </w:p>
        </w:tc>
        <w:tc>
          <w:tcPr>
            <w:tcW w:w="539" w:type="pct"/>
            <w:tcBorders>
              <w:top w:val="double" w:sz="4" w:space="0" w:color="auto"/>
            </w:tcBorders>
            <w:shd w:val="clear" w:color="auto" w:fill="auto"/>
          </w:tcPr>
          <w:p w14:paraId="08E25348" w14:textId="77777777" w:rsidR="0065642D" w:rsidRPr="00F66DF2" w:rsidRDefault="0065642D" w:rsidP="0065642D">
            <w:pPr>
              <w:pStyle w:val="CommentaryText"/>
              <w:spacing w:after="0"/>
              <w:rPr>
                <w:rFonts w:cs="Calibri"/>
                <w:b/>
                <w:bCs/>
                <w:sz w:val="18"/>
                <w:szCs w:val="18"/>
              </w:rPr>
            </w:pPr>
          </w:p>
        </w:tc>
      </w:tr>
      <w:tr w:rsidR="0065642D" w:rsidRPr="00381D99" w14:paraId="35A699B4"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24C074C4" w14:textId="58CC8DDD" w:rsidR="0065642D" w:rsidRPr="00D85C31" w:rsidRDefault="0065642D" w:rsidP="0065642D">
            <w:pPr>
              <w:pStyle w:val="TableReference"/>
              <w:rPr>
                <w:rFonts w:cs="Calibri"/>
                <w:color w:val="7030A0"/>
                <w:sz w:val="14"/>
              </w:rPr>
            </w:pPr>
            <w:r w:rsidRPr="00D85C31">
              <w:rPr>
                <w:rFonts w:cs="Calibri"/>
                <w:color w:val="7030A0"/>
                <w:sz w:val="14"/>
              </w:rPr>
              <w:t>AASB 16.53(g)</w:t>
            </w:r>
          </w:p>
        </w:tc>
        <w:tc>
          <w:tcPr>
            <w:tcW w:w="4239" w:type="pct"/>
            <w:gridSpan w:val="3"/>
            <w:tcBorders>
              <w:left w:val="single" w:sz="2" w:space="0" w:color="auto"/>
            </w:tcBorders>
            <w:shd w:val="clear" w:color="auto" w:fill="auto"/>
          </w:tcPr>
          <w:p w14:paraId="064C3C01" w14:textId="2BBD10FE" w:rsidR="0065642D" w:rsidRPr="00F66DF2" w:rsidRDefault="0065642D" w:rsidP="0065642D">
            <w:pPr>
              <w:pStyle w:val="CommentaryText"/>
              <w:spacing w:after="0"/>
              <w:jc w:val="left"/>
              <w:rPr>
                <w:rFonts w:cstheme="minorHAnsi"/>
                <w:b/>
                <w:sz w:val="18"/>
                <w:szCs w:val="18"/>
              </w:rPr>
            </w:pPr>
            <w:r w:rsidRPr="00F66DF2">
              <w:rPr>
                <w:rFonts w:cs="Calibri"/>
                <w:sz w:val="18"/>
                <w:szCs w:val="18"/>
              </w:rPr>
              <w:t>‘</w:t>
            </w:r>
            <w:r w:rsidRPr="00F66DF2">
              <w:rPr>
                <w:sz w:val="18"/>
                <w:szCs w:val="18"/>
              </w:rPr>
              <w:t>Burley Griffin</w:t>
            </w:r>
            <w:r w:rsidRPr="00F66DF2">
              <w:rPr>
                <w:rFonts w:cs="Calibri"/>
                <w:sz w:val="18"/>
                <w:szCs w:val="18"/>
              </w:rPr>
              <w:t xml:space="preserve"> Agency’ had total cash outflows relating to leases of $</w:t>
            </w:r>
            <w:r w:rsidR="00D85C31" w:rsidRPr="00F66DF2">
              <w:rPr>
                <w:rFonts w:cs="Calibri"/>
                <w:sz w:val="18"/>
                <w:szCs w:val="18"/>
              </w:rPr>
              <w:t>xxx</w:t>
            </w:r>
            <w:r w:rsidRPr="00F66DF2">
              <w:rPr>
                <w:rFonts w:cs="Calibri"/>
                <w:sz w:val="18"/>
                <w:szCs w:val="18"/>
              </w:rPr>
              <w:t xml:space="preserve"> in 2021-22 ($</w:t>
            </w:r>
            <w:r w:rsidR="00D85C31" w:rsidRPr="00F66DF2">
              <w:rPr>
                <w:rFonts w:cs="Calibri"/>
                <w:sz w:val="18"/>
                <w:szCs w:val="18"/>
              </w:rPr>
              <w:t>xxx</w:t>
            </w:r>
            <w:r w:rsidRPr="00F66DF2">
              <w:rPr>
                <w:rFonts w:cs="Calibri"/>
                <w:sz w:val="18"/>
                <w:szCs w:val="18"/>
              </w:rPr>
              <w:t xml:space="preserve"> in 2020-21).</w:t>
            </w:r>
          </w:p>
        </w:tc>
      </w:tr>
      <w:tr w:rsidR="00A76A80" w:rsidRPr="00381D99" w14:paraId="50609456" w14:textId="77777777" w:rsidTr="0004564D">
        <w:tblPrEx>
          <w:shd w:val="clear" w:color="auto" w:fill="CCFFCC"/>
        </w:tblPrEx>
        <w:trPr>
          <w:gridAfter w:val="1"/>
          <w:wAfter w:w="26" w:type="pct"/>
          <w:cantSplit/>
          <w:trHeight w:val="300"/>
        </w:trPr>
        <w:tc>
          <w:tcPr>
            <w:tcW w:w="735" w:type="pct"/>
            <w:tcBorders>
              <w:left w:val="single" w:sz="2" w:space="0" w:color="auto"/>
              <w:right w:val="single" w:sz="2" w:space="0" w:color="auto"/>
            </w:tcBorders>
          </w:tcPr>
          <w:p w14:paraId="2A1A6268" w14:textId="6FFDD0D8" w:rsidR="00A76A80" w:rsidRPr="00D85C31" w:rsidRDefault="00A76A80" w:rsidP="008F6921">
            <w:pPr>
              <w:pStyle w:val="TableReference"/>
              <w:spacing w:before="120" w:after="240"/>
              <w:rPr>
                <w:rFonts w:cs="Calibri"/>
                <w:color w:val="7030A0"/>
                <w:sz w:val="22"/>
                <w:szCs w:val="22"/>
              </w:rPr>
            </w:pPr>
            <w:r w:rsidRPr="00D85C31">
              <w:rPr>
                <w:rFonts w:cs="Calibri"/>
                <w:b/>
                <w:bCs/>
                <w:color w:val="7030A0"/>
                <w:sz w:val="22"/>
                <w:szCs w:val="22"/>
              </w:rPr>
              <w:t xml:space="preserve">Reference </w:t>
            </w:r>
          </w:p>
        </w:tc>
        <w:tc>
          <w:tcPr>
            <w:tcW w:w="4239" w:type="pct"/>
            <w:gridSpan w:val="3"/>
            <w:tcBorders>
              <w:left w:val="single" w:sz="2" w:space="0" w:color="auto"/>
            </w:tcBorders>
            <w:shd w:val="clear" w:color="auto" w:fill="7030A0"/>
          </w:tcPr>
          <w:p w14:paraId="513DF158" w14:textId="47596410" w:rsidR="00A76A80" w:rsidRPr="00F66DF2" w:rsidRDefault="00A76A80" w:rsidP="008F6921">
            <w:pPr>
              <w:pStyle w:val="CommentaryText"/>
              <w:spacing w:before="120" w:after="240"/>
              <w:rPr>
                <w:rFonts w:cs="Calibri"/>
                <w:color w:val="FFFFFF" w:themeColor="background1"/>
                <w:sz w:val="28"/>
                <w:szCs w:val="28"/>
              </w:rPr>
            </w:pPr>
            <w:r w:rsidRPr="00F66DF2">
              <w:rPr>
                <w:rFonts w:cs="Calibri"/>
                <w:b/>
                <w:bCs/>
                <w:color w:val="FFFFFF" w:themeColor="background1"/>
                <w:sz w:val="28"/>
                <w:szCs w:val="28"/>
              </w:rPr>
              <w:t xml:space="preserve">Commentary </w:t>
            </w:r>
            <w:r w:rsidRPr="00F66DF2">
              <w:rPr>
                <w:rFonts w:cs="Calibri"/>
                <w:b/>
                <w:bCs/>
                <w:color w:val="FFFFFF" w:themeColor="background1"/>
                <w:sz w:val="28"/>
                <w:szCs w:val="28"/>
              </w:rPr>
              <w:sym w:font="Symbol" w:char="F02D"/>
            </w:r>
            <w:r w:rsidRPr="00F66DF2">
              <w:rPr>
                <w:rFonts w:cs="Calibri"/>
                <w:b/>
                <w:bCs/>
                <w:color w:val="FFFFFF" w:themeColor="background1"/>
                <w:sz w:val="28"/>
                <w:szCs w:val="28"/>
              </w:rPr>
              <w:t xml:space="preserve"> Note </w:t>
            </w:r>
            <w:r w:rsidR="001101E3" w:rsidRPr="00F66DF2">
              <w:rPr>
                <w:rFonts w:cs="Calibri"/>
                <w:b/>
                <w:bCs/>
                <w:color w:val="FFFFFF" w:themeColor="background1"/>
                <w:sz w:val="28"/>
                <w:szCs w:val="28"/>
              </w:rPr>
              <w:t>26</w:t>
            </w:r>
            <w:r w:rsidRPr="00F66DF2">
              <w:rPr>
                <w:rFonts w:cs="Calibri"/>
                <w:b/>
                <w:bCs/>
                <w:color w:val="FFFFFF" w:themeColor="background1"/>
                <w:sz w:val="28"/>
                <w:szCs w:val="28"/>
              </w:rPr>
              <w:t xml:space="preserve">: Lease Liabilities </w:t>
            </w:r>
          </w:p>
        </w:tc>
      </w:tr>
      <w:tr w:rsidR="006F5B3D" w:rsidRPr="00381D99" w14:paraId="66D4DBA1" w14:textId="77777777" w:rsidTr="0004564D">
        <w:trPr>
          <w:gridAfter w:val="1"/>
          <w:wAfter w:w="26" w:type="pct"/>
          <w:cantSplit/>
          <w:trHeight w:val="23"/>
        </w:trPr>
        <w:tc>
          <w:tcPr>
            <w:tcW w:w="735" w:type="pct"/>
            <w:tcBorders>
              <w:left w:val="single" w:sz="2" w:space="0" w:color="auto"/>
              <w:right w:val="single" w:sz="2" w:space="0" w:color="auto"/>
            </w:tcBorders>
            <w:vAlign w:val="bottom"/>
          </w:tcPr>
          <w:p w14:paraId="12AD2D85" w14:textId="77777777" w:rsidR="006F5B3D" w:rsidRPr="00D85C31" w:rsidRDefault="006F5B3D" w:rsidP="00413B75">
            <w:pPr>
              <w:rPr>
                <w:rFonts w:cs="Calibri"/>
                <w:b/>
                <w:color w:val="7030A0"/>
                <w:sz w:val="20"/>
                <w:szCs w:val="20"/>
              </w:rPr>
            </w:pPr>
          </w:p>
        </w:tc>
        <w:tc>
          <w:tcPr>
            <w:tcW w:w="4239" w:type="pct"/>
            <w:gridSpan w:val="3"/>
            <w:tcBorders>
              <w:left w:val="single" w:sz="2" w:space="0" w:color="auto"/>
            </w:tcBorders>
            <w:shd w:val="clear" w:color="auto" w:fill="7030A0"/>
            <w:vAlign w:val="bottom"/>
          </w:tcPr>
          <w:p w14:paraId="18B80642" w14:textId="64FAB683" w:rsidR="006F5B3D" w:rsidRPr="00F66DF2" w:rsidRDefault="006F5B3D" w:rsidP="00E44817">
            <w:pPr>
              <w:spacing w:after="120"/>
              <w:jc w:val="both"/>
              <w:rPr>
                <w:bCs/>
                <w:color w:val="FFFFFF" w:themeColor="background1"/>
                <w:sz w:val="18"/>
                <w:szCs w:val="18"/>
              </w:rPr>
            </w:pPr>
            <w:r w:rsidRPr="00F66DF2">
              <w:rPr>
                <w:bCs/>
                <w:color w:val="FFFFFF" w:themeColor="background1"/>
                <w:sz w:val="18"/>
                <w:szCs w:val="18"/>
              </w:rPr>
              <w:t xml:space="preserve">The AASB 16 </w:t>
            </w:r>
            <w:r w:rsidRPr="00F66DF2">
              <w:rPr>
                <w:bCs/>
                <w:i/>
                <w:iCs/>
                <w:color w:val="FFFFFF" w:themeColor="background1"/>
                <w:sz w:val="18"/>
                <w:szCs w:val="18"/>
              </w:rPr>
              <w:t>Leases</w:t>
            </w:r>
            <w:r w:rsidRPr="00F66DF2">
              <w:rPr>
                <w:bCs/>
                <w:color w:val="FFFFFF" w:themeColor="background1"/>
                <w:sz w:val="18"/>
                <w:szCs w:val="18"/>
              </w:rPr>
              <w:t xml:space="preserve"> disclosure objective is to ensure that users of the financial statements can assess the effect that leases have on the financial statements.</w:t>
            </w:r>
            <w:r w:rsidR="00FA7C77">
              <w:rPr>
                <w:bCs/>
                <w:color w:val="FFFFFF" w:themeColor="background1"/>
                <w:sz w:val="18"/>
                <w:szCs w:val="18"/>
              </w:rPr>
              <w:t xml:space="preserve"> </w:t>
            </w:r>
            <w:r w:rsidRPr="00F66DF2">
              <w:rPr>
                <w:bCs/>
                <w:color w:val="FFFFFF" w:themeColor="background1"/>
                <w:sz w:val="18"/>
                <w:szCs w:val="18"/>
              </w:rPr>
              <w:t>AASB 16 contains both quantitative and qualitative disclosures.</w:t>
            </w:r>
          </w:p>
        </w:tc>
      </w:tr>
      <w:tr w:rsidR="006F5B3D" w:rsidRPr="00381D99" w14:paraId="2A47ADF5" w14:textId="77777777" w:rsidTr="0004564D">
        <w:trPr>
          <w:gridAfter w:val="1"/>
          <w:wAfter w:w="26" w:type="pct"/>
          <w:cantSplit/>
          <w:trHeight w:val="23"/>
        </w:trPr>
        <w:tc>
          <w:tcPr>
            <w:tcW w:w="735" w:type="pct"/>
            <w:tcBorders>
              <w:left w:val="single" w:sz="2" w:space="0" w:color="auto"/>
              <w:right w:val="single" w:sz="2" w:space="0" w:color="auto"/>
            </w:tcBorders>
            <w:vAlign w:val="bottom"/>
          </w:tcPr>
          <w:p w14:paraId="58FE58C9" w14:textId="77777777" w:rsidR="006F5B3D" w:rsidRPr="00D85C31" w:rsidRDefault="006F5B3D" w:rsidP="00413B75">
            <w:pPr>
              <w:rPr>
                <w:rFonts w:cs="Calibri"/>
                <w:b/>
                <w:color w:val="7030A0"/>
                <w:sz w:val="20"/>
                <w:szCs w:val="20"/>
              </w:rPr>
            </w:pPr>
          </w:p>
        </w:tc>
        <w:tc>
          <w:tcPr>
            <w:tcW w:w="4239" w:type="pct"/>
            <w:gridSpan w:val="3"/>
            <w:tcBorders>
              <w:left w:val="single" w:sz="2" w:space="0" w:color="auto"/>
            </w:tcBorders>
            <w:shd w:val="clear" w:color="auto" w:fill="7030A0"/>
            <w:vAlign w:val="bottom"/>
          </w:tcPr>
          <w:p w14:paraId="30A0F79A" w14:textId="2546AC7B" w:rsidR="006F5B3D" w:rsidRPr="00F66DF2" w:rsidRDefault="006F5B3D" w:rsidP="00E44817">
            <w:pPr>
              <w:spacing w:after="120"/>
              <w:jc w:val="both"/>
              <w:rPr>
                <w:bCs/>
                <w:color w:val="FFFFFF" w:themeColor="background1"/>
                <w:sz w:val="18"/>
                <w:szCs w:val="18"/>
              </w:rPr>
            </w:pPr>
            <w:r w:rsidRPr="00F66DF2">
              <w:rPr>
                <w:bCs/>
                <w:color w:val="FFFFFF" w:themeColor="background1"/>
                <w:sz w:val="18"/>
                <w:szCs w:val="18"/>
              </w:rPr>
              <w:t>The disclosure objective should be used by Agencies to assess whether the overall quality and extent of the lease disclosures are sufficient rather than just mechanically following the lease</w:t>
            </w:r>
            <w:r w:rsidR="00A33D67" w:rsidRPr="00F66DF2">
              <w:rPr>
                <w:bCs/>
                <w:color w:val="FFFFFF" w:themeColor="background1"/>
                <w:sz w:val="18"/>
                <w:szCs w:val="18"/>
              </w:rPr>
              <w:t xml:space="preserve"> disclosures</w:t>
            </w:r>
            <w:r w:rsidRPr="00F66DF2">
              <w:rPr>
                <w:bCs/>
                <w:color w:val="FFFFFF" w:themeColor="background1"/>
                <w:sz w:val="18"/>
                <w:szCs w:val="18"/>
              </w:rPr>
              <w:t xml:space="preserve"> in the Model Financial Statements.</w:t>
            </w:r>
          </w:p>
        </w:tc>
      </w:tr>
      <w:tr w:rsidR="006F5B3D" w:rsidRPr="00381D99" w14:paraId="010D3146" w14:textId="77777777" w:rsidTr="0004564D">
        <w:trPr>
          <w:gridAfter w:val="1"/>
          <w:wAfter w:w="26" w:type="pct"/>
          <w:cantSplit/>
          <w:trHeight w:val="23"/>
        </w:trPr>
        <w:tc>
          <w:tcPr>
            <w:tcW w:w="735" w:type="pct"/>
            <w:tcBorders>
              <w:left w:val="single" w:sz="2" w:space="0" w:color="auto"/>
              <w:right w:val="single" w:sz="2" w:space="0" w:color="auto"/>
            </w:tcBorders>
          </w:tcPr>
          <w:p w14:paraId="6B0642DC" w14:textId="77777777" w:rsidR="006F5B3D" w:rsidRDefault="00E44817" w:rsidP="006F5B3D">
            <w:pPr>
              <w:rPr>
                <w:bCs/>
                <w:color w:val="7030A0"/>
                <w:sz w:val="14"/>
                <w:szCs w:val="14"/>
              </w:rPr>
            </w:pPr>
            <w:r w:rsidRPr="00D85C31">
              <w:rPr>
                <w:bCs/>
                <w:color w:val="7030A0"/>
                <w:sz w:val="14"/>
                <w:szCs w:val="14"/>
              </w:rPr>
              <w:t>AASB 16.52</w:t>
            </w:r>
          </w:p>
          <w:p w14:paraId="2F86BC1C" w14:textId="43E793DC" w:rsidR="00761F25" w:rsidRPr="00D85C31" w:rsidRDefault="00761F25" w:rsidP="006F5B3D">
            <w:pPr>
              <w:rPr>
                <w:rFonts w:cs="Calibri"/>
                <w:b/>
                <w:color w:val="7030A0"/>
                <w:sz w:val="14"/>
                <w:szCs w:val="14"/>
              </w:rPr>
            </w:pPr>
          </w:p>
        </w:tc>
        <w:tc>
          <w:tcPr>
            <w:tcW w:w="4239" w:type="pct"/>
            <w:gridSpan w:val="3"/>
            <w:tcBorders>
              <w:left w:val="single" w:sz="2" w:space="0" w:color="auto"/>
            </w:tcBorders>
            <w:shd w:val="clear" w:color="auto" w:fill="7030A0"/>
            <w:vAlign w:val="bottom"/>
          </w:tcPr>
          <w:p w14:paraId="5EEB3997" w14:textId="3132C281" w:rsidR="006F5B3D" w:rsidRPr="00F66DF2" w:rsidRDefault="00A33D67" w:rsidP="00E44817">
            <w:pPr>
              <w:spacing w:after="120"/>
              <w:jc w:val="both"/>
              <w:rPr>
                <w:bCs/>
                <w:color w:val="FFFFFF" w:themeColor="background1"/>
                <w:sz w:val="18"/>
                <w:szCs w:val="18"/>
              </w:rPr>
            </w:pPr>
            <w:r w:rsidRPr="00F66DF2">
              <w:rPr>
                <w:bCs/>
                <w:color w:val="FFFFFF" w:themeColor="background1"/>
                <w:sz w:val="18"/>
                <w:szCs w:val="18"/>
              </w:rPr>
              <w:t>L</w:t>
            </w:r>
            <w:r w:rsidR="006F5B3D" w:rsidRPr="00F66DF2">
              <w:rPr>
                <w:bCs/>
                <w:color w:val="FFFFFF" w:themeColor="background1"/>
                <w:sz w:val="18"/>
                <w:szCs w:val="18"/>
              </w:rPr>
              <w:t xml:space="preserve">essees </w:t>
            </w:r>
            <w:r w:rsidRPr="00F66DF2">
              <w:rPr>
                <w:bCs/>
                <w:color w:val="FFFFFF" w:themeColor="background1"/>
                <w:sz w:val="18"/>
                <w:szCs w:val="18"/>
              </w:rPr>
              <w:t xml:space="preserve">are required </w:t>
            </w:r>
            <w:r w:rsidR="006F5B3D" w:rsidRPr="00F66DF2">
              <w:rPr>
                <w:bCs/>
                <w:color w:val="FFFFFF" w:themeColor="background1"/>
                <w:sz w:val="18"/>
                <w:szCs w:val="18"/>
              </w:rPr>
              <w:t>to disclose information</w:t>
            </w:r>
            <w:r w:rsidR="00186AE7" w:rsidRPr="00F66DF2">
              <w:rPr>
                <w:bCs/>
                <w:color w:val="FFFFFF" w:themeColor="background1"/>
                <w:sz w:val="18"/>
                <w:szCs w:val="18"/>
              </w:rPr>
              <w:t xml:space="preserve"> about their leases for which they are a lessee</w:t>
            </w:r>
            <w:r w:rsidR="006F5B3D" w:rsidRPr="00F66DF2">
              <w:rPr>
                <w:bCs/>
                <w:color w:val="FFFFFF" w:themeColor="background1"/>
                <w:sz w:val="18"/>
                <w:szCs w:val="18"/>
              </w:rPr>
              <w:t xml:space="preserve"> in a single note, separately in the financial statements or cross referenced throughout the notes. ACT Accounting Policy requires presentation in a single note. </w:t>
            </w:r>
          </w:p>
        </w:tc>
      </w:tr>
      <w:tr w:rsidR="006F5B3D" w:rsidRPr="00381D99" w14:paraId="2F496F4F" w14:textId="77777777" w:rsidTr="0004564D">
        <w:trPr>
          <w:gridAfter w:val="1"/>
          <w:wAfter w:w="26" w:type="pct"/>
          <w:cantSplit/>
          <w:trHeight w:val="23"/>
        </w:trPr>
        <w:tc>
          <w:tcPr>
            <w:tcW w:w="735" w:type="pct"/>
            <w:tcBorders>
              <w:left w:val="single" w:sz="2" w:space="0" w:color="auto"/>
              <w:right w:val="single" w:sz="2" w:space="0" w:color="auto"/>
            </w:tcBorders>
            <w:vAlign w:val="bottom"/>
          </w:tcPr>
          <w:p w14:paraId="4A601847" w14:textId="5A972BE8" w:rsidR="006F5B3D" w:rsidRPr="00D85C31" w:rsidRDefault="00761F25" w:rsidP="00413B75">
            <w:pPr>
              <w:rPr>
                <w:rFonts w:cs="Calibri"/>
                <w:b/>
                <w:color w:val="7030A0"/>
                <w:sz w:val="20"/>
                <w:szCs w:val="20"/>
              </w:rPr>
            </w:pPr>
            <w:r w:rsidRPr="00D85C31">
              <w:rPr>
                <w:bCs/>
                <w:color w:val="7030A0"/>
                <w:sz w:val="14"/>
                <w:szCs w:val="14"/>
              </w:rPr>
              <w:t>AASB 16.</w:t>
            </w:r>
            <w:r>
              <w:rPr>
                <w:bCs/>
                <w:color w:val="7030A0"/>
                <w:sz w:val="14"/>
                <w:szCs w:val="14"/>
              </w:rPr>
              <w:t>B9</w:t>
            </w:r>
          </w:p>
        </w:tc>
        <w:tc>
          <w:tcPr>
            <w:tcW w:w="4239" w:type="pct"/>
            <w:gridSpan w:val="3"/>
            <w:tcBorders>
              <w:left w:val="single" w:sz="2" w:space="0" w:color="auto"/>
            </w:tcBorders>
            <w:shd w:val="clear" w:color="auto" w:fill="7030A0"/>
            <w:vAlign w:val="bottom"/>
          </w:tcPr>
          <w:p w14:paraId="63903B8D" w14:textId="418E9B49" w:rsidR="006F5B3D" w:rsidRPr="00F66DF2" w:rsidRDefault="006F5B3D" w:rsidP="00C87392">
            <w:pPr>
              <w:spacing w:after="120"/>
              <w:jc w:val="both"/>
              <w:rPr>
                <w:bCs/>
                <w:color w:val="FFFFFF" w:themeColor="background1"/>
                <w:sz w:val="18"/>
                <w:szCs w:val="18"/>
              </w:rPr>
            </w:pPr>
            <w:r w:rsidRPr="00F66DF2">
              <w:rPr>
                <w:bCs/>
                <w:color w:val="FFFFFF" w:themeColor="background1"/>
                <w:sz w:val="18"/>
                <w:szCs w:val="18"/>
              </w:rPr>
              <w:t xml:space="preserve">For lessors, information relating to investment properties under leases </w:t>
            </w:r>
            <w:r w:rsidR="00186AE7" w:rsidRPr="00F66DF2">
              <w:rPr>
                <w:bCs/>
                <w:color w:val="FFFFFF" w:themeColor="background1"/>
                <w:sz w:val="18"/>
                <w:szCs w:val="18"/>
              </w:rPr>
              <w:t xml:space="preserve">should be </w:t>
            </w:r>
            <w:r w:rsidRPr="00F66DF2">
              <w:rPr>
                <w:bCs/>
                <w:color w:val="FFFFFF" w:themeColor="background1"/>
                <w:sz w:val="18"/>
                <w:szCs w:val="18"/>
              </w:rPr>
              <w:t>included in the investment property note.</w:t>
            </w:r>
          </w:p>
        </w:tc>
      </w:tr>
    </w:tbl>
    <w:p w14:paraId="74D5A512" w14:textId="77777777" w:rsidR="00F22D61" w:rsidRDefault="00F22D61">
      <w:r>
        <w:br w:type="page"/>
      </w:r>
    </w:p>
    <w:tbl>
      <w:tblPr>
        <w:tblW w:w="4977" w:type="pct"/>
        <w:tblInd w:w="-6" w:type="dxa"/>
        <w:shd w:val="clear" w:color="auto" w:fill="CCFFCC"/>
        <w:tblLook w:val="00A0" w:firstRow="1" w:lastRow="0" w:firstColumn="1" w:lastColumn="0" w:noHBand="0" w:noVBand="0"/>
      </w:tblPr>
      <w:tblGrid>
        <w:gridCol w:w="1560"/>
        <w:gridCol w:w="8929"/>
        <w:gridCol w:w="6"/>
      </w:tblGrid>
      <w:tr w:rsidR="00F22D61" w:rsidRPr="00381D99" w14:paraId="3D48CC9E" w14:textId="77777777" w:rsidTr="0004564D">
        <w:trPr>
          <w:gridAfter w:val="1"/>
          <w:wAfter w:w="3" w:type="pct"/>
          <w:cantSplit/>
          <w:trHeight w:val="300"/>
        </w:trPr>
        <w:tc>
          <w:tcPr>
            <w:tcW w:w="743" w:type="pct"/>
            <w:tcBorders>
              <w:left w:val="single" w:sz="2" w:space="0" w:color="auto"/>
              <w:right w:val="single" w:sz="2" w:space="0" w:color="auto"/>
            </w:tcBorders>
          </w:tcPr>
          <w:p w14:paraId="7C0F98B5" w14:textId="2CDEA7BC" w:rsidR="00F22D61" w:rsidRPr="00D85C31" w:rsidRDefault="00F22D61" w:rsidP="00F22D61">
            <w:pPr>
              <w:pStyle w:val="TableReference"/>
              <w:spacing w:after="240"/>
              <w:rPr>
                <w:rFonts w:cs="Calibri"/>
                <w:color w:val="7030A0"/>
                <w:sz w:val="22"/>
                <w:szCs w:val="22"/>
              </w:rPr>
            </w:pPr>
            <w:r w:rsidRPr="00D85C31">
              <w:rPr>
                <w:rFonts w:cs="Calibri"/>
                <w:b/>
                <w:bCs/>
                <w:color w:val="7030A0"/>
                <w:sz w:val="22"/>
                <w:szCs w:val="22"/>
              </w:rPr>
              <w:t xml:space="preserve">Reference </w:t>
            </w:r>
          </w:p>
        </w:tc>
        <w:tc>
          <w:tcPr>
            <w:tcW w:w="4254" w:type="pct"/>
            <w:tcBorders>
              <w:left w:val="single" w:sz="2" w:space="0" w:color="auto"/>
            </w:tcBorders>
            <w:shd w:val="clear" w:color="auto" w:fill="7030A0"/>
          </w:tcPr>
          <w:p w14:paraId="7D624047" w14:textId="0BF9B2D2" w:rsidR="00F22D61" w:rsidRPr="00F66DF2" w:rsidRDefault="00F22D61" w:rsidP="00F22D61">
            <w:pPr>
              <w:pStyle w:val="CommentaryText"/>
              <w:spacing w:after="240"/>
              <w:rPr>
                <w:rFonts w:cs="Calibri"/>
                <w:color w:val="FFFFFF" w:themeColor="background1"/>
                <w:sz w:val="28"/>
                <w:szCs w:val="28"/>
              </w:rPr>
            </w:pPr>
            <w:r w:rsidRPr="00F66DF2">
              <w:rPr>
                <w:rFonts w:cs="Calibri"/>
                <w:b/>
                <w:bCs/>
                <w:color w:val="FFFFFF" w:themeColor="background1"/>
                <w:sz w:val="28"/>
                <w:szCs w:val="28"/>
              </w:rPr>
              <w:t xml:space="preserve">Commentary </w:t>
            </w:r>
            <w:r w:rsidRPr="00F66DF2">
              <w:rPr>
                <w:rFonts w:cs="Calibri"/>
                <w:b/>
                <w:bCs/>
                <w:color w:val="FFFFFF" w:themeColor="background1"/>
                <w:sz w:val="28"/>
                <w:szCs w:val="28"/>
              </w:rPr>
              <w:sym w:font="Symbol" w:char="F02D"/>
            </w:r>
            <w:r w:rsidRPr="00F66DF2">
              <w:rPr>
                <w:rFonts w:cs="Calibri"/>
                <w:b/>
                <w:bCs/>
                <w:color w:val="FFFFFF" w:themeColor="background1"/>
                <w:sz w:val="28"/>
                <w:szCs w:val="28"/>
              </w:rPr>
              <w:t xml:space="preserve"> Note 26: Lease Liabilities</w:t>
            </w:r>
            <w:r>
              <w:rPr>
                <w:rFonts w:cs="Calibri"/>
                <w:b/>
                <w:bCs/>
                <w:color w:val="FFFFFF" w:themeColor="background1"/>
                <w:sz w:val="28"/>
                <w:szCs w:val="28"/>
              </w:rPr>
              <w:t xml:space="preserve"> – Continued </w:t>
            </w:r>
          </w:p>
        </w:tc>
      </w:tr>
      <w:tr w:rsidR="001C49B2" w:rsidRPr="00381D99" w14:paraId="26D8E950" w14:textId="77777777" w:rsidTr="0004564D">
        <w:tblPrEx>
          <w:shd w:val="clear" w:color="auto" w:fill="auto"/>
        </w:tblPrEx>
        <w:trPr>
          <w:gridAfter w:val="1"/>
          <w:wAfter w:w="3" w:type="pct"/>
          <w:cantSplit/>
          <w:trHeight w:val="23"/>
        </w:trPr>
        <w:tc>
          <w:tcPr>
            <w:tcW w:w="743" w:type="pct"/>
            <w:tcBorders>
              <w:left w:val="single" w:sz="2" w:space="0" w:color="auto"/>
              <w:right w:val="single" w:sz="2" w:space="0" w:color="auto"/>
            </w:tcBorders>
            <w:vAlign w:val="bottom"/>
          </w:tcPr>
          <w:p w14:paraId="4AFA3EB4" w14:textId="317B207B" w:rsidR="001C49B2" w:rsidRPr="00761F25" w:rsidRDefault="00761F25" w:rsidP="00413B75">
            <w:pPr>
              <w:pStyle w:val="TableReference"/>
              <w:tabs>
                <w:tab w:val="left" w:pos="3306"/>
              </w:tabs>
              <w:spacing w:after="240"/>
              <w:rPr>
                <w:rFonts w:cs="Calibri"/>
                <w:bCs/>
                <w:color w:val="7030A0"/>
                <w:sz w:val="14"/>
              </w:rPr>
            </w:pPr>
            <w:r w:rsidRPr="00761F25">
              <w:rPr>
                <w:rFonts w:cs="Calibri"/>
                <w:bCs/>
                <w:color w:val="7030A0"/>
                <w:sz w:val="14"/>
              </w:rPr>
              <w:t>AASB 16.B24</w:t>
            </w:r>
          </w:p>
        </w:tc>
        <w:tc>
          <w:tcPr>
            <w:tcW w:w="4254" w:type="pct"/>
            <w:tcBorders>
              <w:left w:val="single" w:sz="2" w:space="0" w:color="auto"/>
            </w:tcBorders>
            <w:shd w:val="clear" w:color="auto" w:fill="7030A0"/>
            <w:vAlign w:val="bottom"/>
          </w:tcPr>
          <w:p w14:paraId="7D4451E2" w14:textId="0ECB6A98" w:rsidR="001C49B2" w:rsidRPr="00413D72" w:rsidRDefault="00A76A80" w:rsidP="00C87392">
            <w:pPr>
              <w:jc w:val="both"/>
              <w:rPr>
                <w:rFonts w:cstheme="minorHAnsi"/>
                <w:b/>
                <w:bCs/>
                <w:iCs/>
                <w:color w:val="FFFFFF" w:themeColor="background1"/>
                <w:sz w:val="20"/>
                <w:szCs w:val="20"/>
              </w:rPr>
            </w:pPr>
            <w:r w:rsidRPr="00413D72">
              <w:rPr>
                <w:rFonts w:cstheme="minorHAnsi"/>
                <w:b/>
                <w:bCs/>
                <w:iCs/>
                <w:color w:val="FFFFFF" w:themeColor="background1"/>
                <w:sz w:val="20"/>
                <w:szCs w:val="20"/>
              </w:rPr>
              <w:t>Identification of a L</w:t>
            </w:r>
            <w:r w:rsidR="001C49B2" w:rsidRPr="00413D72">
              <w:rPr>
                <w:rFonts w:cstheme="minorHAnsi"/>
                <w:b/>
                <w:bCs/>
                <w:iCs/>
                <w:color w:val="FFFFFF" w:themeColor="background1"/>
                <w:sz w:val="20"/>
                <w:szCs w:val="20"/>
              </w:rPr>
              <w:t>ease</w:t>
            </w:r>
          </w:p>
          <w:p w14:paraId="41064AC8" w14:textId="63F542FD" w:rsidR="001C49B2" w:rsidRPr="00F66DF2" w:rsidRDefault="001C49B2" w:rsidP="00C87392">
            <w:pPr>
              <w:spacing w:after="40"/>
              <w:jc w:val="both"/>
              <w:rPr>
                <w:rFonts w:cstheme="minorHAnsi"/>
                <w:color w:val="FFFFFF" w:themeColor="background1"/>
                <w:sz w:val="18"/>
                <w:szCs w:val="18"/>
              </w:rPr>
            </w:pPr>
            <w:r w:rsidRPr="00F66DF2">
              <w:rPr>
                <w:rFonts w:cstheme="minorHAnsi"/>
                <w:color w:val="FFFFFF" w:themeColor="background1"/>
                <w:sz w:val="18"/>
                <w:szCs w:val="18"/>
              </w:rPr>
              <w:t xml:space="preserve">To assess whether a contract conveys the right to control the use of an identified asset, </w:t>
            </w:r>
            <w:r w:rsidR="00186AE7" w:rsidRPr="00F66DF2">
              <w:rPr>
                <w:rFonts w:cstheme="minorHAnsi"/>
                <w:color w:val="FFFFFF" w:themeColor="background1"/>
                <w:sz w:val="18"/>
                <w:szCs w:val="18"/>
              </w:rPr>
              <w:t>a</w:t>
            </w:r>
            <w:r w:rsidRPr="00F66DF2">
              <w:rPr>
                <w:rFonts w:cstheme="minorHAnsi"/>
                <w:color w:val="FFFFFF" w:themeColor="background1"/>
                <w:sz w:val="18"/>
                <w:szCs w:val="18"/>
              </w:rPr>
              <w:t>gencies should assess whether they have:</w:t>
            </w:r>
          </w:p>
          <w:p w14:paraId="296FA1EA" w14:textId="72A36A77" w:rsidR="001C49B2" w:rsidRPr="00413D72" w:rsidRDefault="001C49B2" w:rsidP="007122BC">
            <w:pPr>
              <w:pStyle w:val="CommentaryText"/>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right to obtain substantially all of the economic benefits from use of the identified asset (e.g. by having exclusive use of the asset through the lease period)</w:t>
            </w:r>
            <w:r w:rsidR="00E44817" w:rsidRPr="00413D72">
              <w:rPr>
                <w:rFonts w:cs="Calibri"/>
                <w:color w:val="FFFFFF" w:themeColor="background1"/>
                <w:sz w:val="18"/>
                <w:szCs w:val="18"/>
              </w:rPr>
              <w:t>;</w:t>
            </w:r>
            <w:r w:rsidRPr="00413D72">
              <w:rPr>
                <w:rFonts w:cs="Calibri"/>
                <w:color w:val="FFFFFF" w:themeColor="background1"/>
                <w:sz w:val="18"/>
                <w:szCs w:val="18"/>
              </w:rPr>
              <w:t xml:space="preserve"> and</w:t>
            </w:r>
          </w:p>
          <w:p w14:paraId="3AA35DE2" w14:textId="77777777" w:rsidR="001C49B2" w:rsidRPr="00413D72" w:rsidRDefault="001C49B2" w:rsidP="007122BC">
            <w:pPr>
              <w:pStyle w:val="CommentaryText"/>
              <w:numPr>
                <w:ilvl w:val="0"/>
                <w:numId w:val="53"/>
              </w:numPr>
              <w:tabs>
                <w:tab w:val="left" w:pos="3306"/>
              </w:tabs>
              <w:ind w:left="459" w:hanging="357"/>
              <w:rPr>
                <w:rFonts w:cs="Calibri"/>
                <w:color w:val="FFFFFF" w:themeColor="background1"/>
                <w:sz w:val="18"/>
                <w:szCs w:val="18"/>
              </w:rPr>
            </w:pPr>
            <w:r w:rsidRPr="00413D72">
              <w:rPr>
                <w:rFonts w:cs="Calibri"/>
                <w:color w:val="FFFFFF" w:themeColor="background1"/>
                <w:sz w:val="18"/>
                <w:szCs w:val="18"/>
              </w:rPr>
              <w:t>the right to direct the use of the identified asset.</w:t>
            </w:r>
          </w:p>
          <w:p w14:paraId="711E47CB" w14:textId="0208FF61" w:rsidR="001C49B2" w:rsidRPr="00F66DF2" w:rsidRDefault="001C49B2" w:rsidP="00C87392">
            <w:pPr>
              <w:spacing w:after="120"/>
              <w:jc w:val="both"/>
              <w:rPr>
                <w:rFonts w:cstheme="minorHAnsi"/>
                <w:color w:val="FFFFFF" w:themeColor="background1"/>
                <w:sz w:val="18"/>
                <w:szCs w:val="18"/>
              </w:rPr>
            </w:pPr>
            <w:r w:rsidRPr="00F66DF2">
              <w:rPr>
                <w:rFonts w:cstheme="minorHAnsi"/>
                <w:color w:val="FFFFFF" w:themeColor="background1"/>
                <w:sz w:val="18"/>
                <w:szCs w:val="18"/>
              </w:rPr>
              <w:t>In considering whether the relevant asset is an identified asset, Agencies should consider whether the asset is explicitly identified (e.g. by serial number, building floor and address) or implicitly identified (e.g. through the asset being specialised and / or customised). If the lessor has a substantive substitution right (i.e. can swap the asset and there is economic incentive to do so) then there is no identified asset.</w:t>
            </w:r>
            <w:r w:rsidR="00A76A80" w:rsidRPr="00F66DF2">
              <w:rPr>
                <w:rFonts w:cstheme="minorHAnsi"/>
                <w:color w:val="FFFFFF" w:themeColor="background1"/>
                <w:sz w:val="18"/>
                <w:szCs w:val="18"/>
              </w:rPr>
              <w:t xml:space="preserve"> In accordance with ACT Accounting Policy, this substantive substitution right is relevant to properties leased through ACT Property Group. </w:t>
            </w:r>
          </w:p>
          <w:p w14:paraId="0C9481DC" w14:textId="108FF752" w:rsidR="001C49B2" w:rsidRPr="00F66DF2" w:rsidRDefault="001C49B2" w:rsidP="00C87392">
            <w:pPr>
              <w:spacing w:after="40"/>
              <w:jc w:val="both"/>
              <w:rPr>
                <w:rFonts w:cstheme="minorHAnsi"/>
                <w:color w:val="FFFFFF" w:themeColor="background1"/>
                <w:sz w:val="18"/>
                <w:szCs w:val="18"/>
              </w:rPr>
            </w:pPr>
            <w:r w:rsidRPr="00F66DF2">
              <w:rPr>
                <w:rFonts w:cstheme="minorHAnsi"/>
                <w:color w:val="FFFFFF" w:themeColor="background1"/>
                <w:sz w:val="18"/>
                <w:szCs w:val="18"/>
              </w:rPr>
              <w:t>A lessee has the right to direct the use of the asset only</w:t>
            </w:r>
            <w:r w:rsidR="00186AE7" w:rsidRPr="00F66DF2">
              <w:rPr>
                <w:rFonts w:cstheme="minorHAnsi"/>
                <w:color w:val="FFFFFF" w:themeColor="background1"/>
                <w:sz w:val="18"/>
                <w:szCs w:val="18"/>
              </w:rPr>
              <w:t>,</w:t>
            </w:r>
            <w:r w:rsidRPr="00F66DF2">
              <w:rPr>
                <w:rFonts w:cstheme="minorHAnsi"/>
                <w:color w:val="FFFFFF" w:themeColor="background1"/>
                <w:sz w:val="18"/>
                <w:szCs w:val="18"/>
              </w:rPr>
              <w:t xml:space="preserve"> if either:</w:t>
            </w:r>
          </w:p>
          <w:p w14:paraId="38469237" w14:textId="72D5FC81" w:rsidR="001C49B2" w:rsidRPr="00413D72" w:rsidRDefault="001C49B2" w:rsidP="007122BC">
            <w:pPr>
              <w:pStyle w:val="CommentaryText"/>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they have the right to direct how and for what purpose the asset is used throughout the period of use</w:t>
            </w:r>
            <w:r w:rsidR="00186AE7" w:rsidRPr="00413D72">
              <w:rPr>
                <w:rFonts w:cs="Calibri"/>
                <w:color w:val="FFFFFF" w:themeColor="background1"/>
                <w:sz w:val="18"/>
                <w:szCs w:val="18"/>
              </w:rPr>
              <w:t>;</w:t>
            </w:r>
            <w:r w:rsidRPr="00413D72">
              <w:rPr>
                <w:rFonts w:cs="Calibri"/>
                <w:color w:val="FFFFFF" w:themeColor="background1"/>
                <w:sz w:val="18"/>
                <w:szCs w:val="18"/>
              </w:rPr>
              <w:t xml:space="preserve"> or</w:t>
            </w:r>
          </w:p>
          <w:p w14:paraId="066411CA" w14:textId="05CE044B" w:rsidR="001C49B2" w:rsidRPr="00413D72" w:rsidRDefault="001C49B2" w:rsidP="007122BC">
            <w:pPr>
              <w:pStyle w:val="CommentaryText"/>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relevant decisions about how and for what purpose the asset is used are predetermined and:</w:t>
            </w:r>
          </w:p>
          <w:p w14:paraId="480B22A3" w14:textId="791CC4B5" w:rsidR="001C49B2" w:rsidRPr="00F66DF2" w:rsidRDefault="001C49B2" w:rsidP="007122BC">
            <w:pPr>
              <w:pStyle w:val="ListParagraph"/>
              <w:numPr>
                <w:ilvl w:val="1"/>
                <w:numId w:val="67"/>
              </w:numPr>
              <w:spacing w:after="40"/>
              <w:ind w:left="750" w:hanging="357"/>
              <w:contextualSpacing w:val="0"/>
              <w:jc w:val="both"/>
              <w:rPr>
                <w:rFonts w:cstheme="minorHAnsi"/>
                <w:color w:val="FFFFFF" w:themeColor="background1"/>
                <w:sz w:val="18"/>
                <w:szCs w:val="18"/>
              </w:rPr>
            </w:pPr>
            <w:r w:rsidRPr="00F66DF2">
              <w:rPr>
                <w:rFonts w:cstheme="minorHAnsi"/>
                <w:color w:val="FFFFFF" w:themeColor="background1"/>
                <w:sz w:val="18"/>
                <w:szCs w:val="18"/>
              </w:rPr>
              <w:t>they have the right to operate the asset (or to direct others to operate the asset in a manner that it determines) throughout the period of use, without the supplier having the right to change those operating instructions, or</w:t>
            </w:r>
          </w:p>
          <w:p w14:paraId="6E3CA027" w14:textId="1ECC16B0" w:rsidR="001C49B2" w:rsidRPr="00F66DF2" w:rsidRDefault="001C49B2" w:rsidP="007122BC">
            <w:pPr>
              <w:pStyle w:val="ListParagraph"/>
              <w:numPr>
                <w:ilvl w:val="1"/>
                <w:numId w:val="67"/>
              </w:numPr>
              <w:spacing w:after="120"/>
              <w:ind w:left="750"/>
              <w:jc w:val="both"/>
              <w:rPr>
                <w:bCs/>
                <w:color w:val="FFFFFF" w:themeColor="background1"/>
                <w:sz w:val="18"/>
                <w:szCs w:val="18"/>
              </w:rPr>
            </w:pPr>
            <w:r w:rsidRPr="00F66DF2">
              <w:rPr>
                <w:rFonts w:cstheme="minorHAnsi"/>
                <w:color w:val="FFFFFF" w:themeColor="background1"/>
                <w:sz w:val="18"/>
                <w:szCs w:val="18"/>
              </w:rPr>
              <w:t>they designed the asset (or specific aspects of the asset) in a way that predetermines how and for what purpose the asset will be used throughout the period of use.</w:t>
            </w:r>
          </w:p>
        </w:tc>
      </w:tr>
      <w:tr w:rsidR="00B8189F" w:rsidRPr="00381D99" w14:paraId="231FB3B5" w14:textId="77777777" w:rsidTr="0004564D">
        <w:tblPrEx>
          <w:shd w:val="clear" w:color="auto" w:fill="auto"/>
        </w:tblPrEx>
        <w:trPr>
          <w:cantSplit/>
          <w:trHeight w:val="23"/>
        </w:trPr>
        <w:tc>
          <w:tcPr>
            <w:tcW w:w="743" w:type="pct"/>
            <w:tcBorders>
              <w:left w:val="single" w:sz="2" w:space="0" w:color="auto"/>
              <w:right w:val="single" w:sz="2" w:space="0" w:color="auto"/>
            </w:tcBorders>
            <w:vAlign w:val="bottom"/>
          </w:tcPr>
          <w:p w14:paraId="79F38D9D" w14:textId="433445C2" w:rsidR="00B8189F" w:rsidRPr="00D85C31" w:rsidRDefault="00B8189F" w:rsidP="00B8189F">
            <w:pPr>
              <w:pStyle w:val="TableReference"/>
              <w:tabs>
                <w:tab w:val="left" w:pos="3306"/>
              </w:tabs>
              <w:rPr>
                <w:rFonts w:cs="Calibri"/>
                <w:b/>
                <w:color w:val="7030A0"/>
                <w:sz w:val="20"/>
                <w:szCs w:val="20"/>
              </w:rPr>
            </w:pPr>
          </w:p>
        </w:tc>
        <w:tc>
          <w:tcPr>
            <w:tcW w:w="4257" w:type="pct"/>
            <w:gridSpan w:val="2"/>
            <w:tcBorders>
              <w:left w:val="single" w:sz="2" w:space="0" w:color="auto"/>
            </w:tcBorders>
            <w:shd w:val="clear" w:color="auto" w:fill="7030A0"/>
            <w:vAlign w:val="bottom"/>
          </w:tcPr>
          <w:p w14:paraId="0F8CAEEF" w14:textId="033B4816" w:rsidR="00B8189F" w:rsidRPr="00413D72" w:rsidRDefault="00B8189F" w:rsidP="00E44817">
            <w:pPr>
              <w:jc w:val="both"/>
              <w:rPr>
                <w:rFonts w:cstheme="minorHAnsi"/>
                <w:b/>
                <w:bCs/>
                <w:iCs/>
                <w:color w:val="FFFFFF" w:themeColor="background1"/>
                <w:sz w:val="20"/>
                <w:szCs w:val="20"/>
              </w:rPr>
            </w:pPr>
            <w:r w:rsidRPr="00413D72">
              <w:rPr>
                <w:rFonts w:cstheme="minorHAnsi"/>
                <w:b/>
                <w:bCs/>
                <w:color w:val="FFFFFF" w:themeColor="background1"/>
                <w:sz w:val="20"/>
                <w:szCs w:val="20"/>
              </w:rPr>
              <w:t>Variable Lease Payments Disclosures</w:t>
            </w:r>
          </w:p>
        </w:tc>
      </w:tr>
      <w:tr w:rsidR="001C49B2" w:rsidRPr="00381D99" w14:paraId="4B7B32AA" w14:textId="77777777" w:rsidTr="0004564D">
        <w:trPr>
          <w:cantSplit/>
          <w:trHeight w:val="300"/>
        </w:trPr>
        <w:tc>
          <w:tcPr>
            <w:tcW w:w="743" w:type="pct"/>
            <w:tcBorders>
              <w:left w:val="single" w:sz="2" w:space="0" w:color="auto"/>
              <w:right w:val="single" w:sz="2" w:space="0" w:color="auto"/>
            </w:tcBorders>
          </w:tcPr>
          <w:p w14:paraId="4F28CF7F" w14:textId="216C9E58" w:rsidR="001C49B2" w:rsidRPr="00C6446C" w:rsidRDefault="00C6446C" w:rsidP="00413B75">
            <w:pPr>
              <w:pStyle w:val="TableReference"/>
              <w:rPr>
                <w:rFonts w:cs="Calibri"/>
                <w:color w:val="7030A0"/>
                <w:sz w:val="14"/>
              </w:rPr>
            </w:pPr>
            <w:r w:rsidRPr="00C6446C">
              <w:rPr>
                <w:rFonts w:cs="Calibri"/>
                <w:color w:val="7030A0"/>
                <w:sz w:val="14"/>
              </w:rPr>
              <w:t>AASB 16.B49</w:t>
            </w:r>
          </w:p>
        </w:tc>
        <w:tc>
          <w:tcPr>
            <w:tcW w:w="4257" w:type="pct"/>
            <w:gridSpan w:val="2"/>
            <w:tcBorders>
              <w:left w:val="single" w:sz="2" w:space="0" w:color="auto"/>
            </w:tcBorders>
            <w:shd w:val="clear" w:color="auto" w:fill="7030A0"/>
          </w:tcPr>
          <w:p w14:paraId="6BAD204A" w14:textId="77777777" w:rsidR="001C49B2" w:rsidRPr="00F66DF2" w:rsidRDefault="001C49B2" w:rsidP="00E44817">
            <w:pPr>
              <w:spacing w:after="40"/>
              <w:jc w:val="both"/>
              <w:rPr>
                <w:rFonts w:cstheme="minorHAnsi"/>
                <w:color w:val="FFFFFF" w:themeColor="background1"/>
                <w:sz w:val="18"/>
                <w:szCs w:val="18"/>
              </w:rPr>
            </w:pPr>
            <w:r w:rsidRPr="00F66DF2">
              <w:rPr>
                <w:rFonts w:cstheme="minorHAnsi"/>
                <w:color w:val="FFFFFF" w:themeColor="background1"/>
                <w:sz w:val="18"/>
                <w:szCs w:val="18"/>
              </w:rPr>
              <w:t>Where the Agency leases have variable lease payments, additional information should be considered to satisfy the disclosure objective, for example:</w:t>
            </w:r>
          </w:p>
          <w:p w14:paraId="6BBC98F6" w14:textId="1A91733B" w:rsidR="001C49B2" w:rsidRPr="00413D72" w:rsidRDefault="001C49B2"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Agency’s reasons for using variable lease payments and the prevalence of those payments</w:t>
            </w:r>
            <w:r w:rsidR="00A76A80" w:rsidRPr="00413D72">
              <w:rPr>
                <w:rFonts w:cs="Calibri"/>
                <w:color w:val="FFFFFF" w:themeColor="background1"/>
                <w:sz w:val="18"/>
                <w:szCs w:val="18"/>
              </w:rPr>
              <w:t>;</w:t>
            </w:r>
          </w:p>
          <w:p w14:paraId="3D450CBA" w14:textId="6A9F0AAD" w:rsidR="001C49B2" w:rsidRPr="00413D72" w:rsidRDefault="001C49B2"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relative magnitude of variable lease payments to fixed payments</w:t>
            </w:r>
            <w:r w:rsidR="00A76A80" w:rsidRPr="00413D72">
              <w:rPr>
                <w:rFonts w:cs="Calibri"/>
                <w:color w:val="FFFFFF" w:themeColor="background1"/>
                <w:sz w:val="18"/>
                <w:szCs w:val="18"/>
              </w:rPr>
              <w:t>;</w:t>
            </w:r>
          </w:p>
          <w:p w14:paraId="1D06230C" w14:textId="3A391CB8" w:rsidR="001C49B2" w:rsidRPr="00413D72" w:rsidRDefault="001C49B2"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key variables upon which variable lease payments depend and how payments are expected to vary in response to changes in those key variables</w:t>
            </w:r>
            <w:r w:rsidR="00A76A80" w:rsidRPr="00413D72">
              <w:rPr>
                <w:rFonts w:cs="Calibri"/>
                <w:color w:val="FFFFFF" w:themeColor="background1"/>
                <w:sz w:val="18"/>
                <w:szCs w:val="18"/>
              </w:rPr>
              <w:t>;</w:t>
            </w:r>
            <w:r w:rsidRPr="00413D72">
              <w:rPr>
                <w:rFonts w:cs="Calibri"/>
                <w:color w:val="FFFFFF" w:themeColor="background1"/>
                <w:sz w:val="18"/>
                <w:szCs w:val="18"/>
              </w:rPr>
              <w:t xml:space="preserve"> and</w:t>
            </w:r>
          </w:p>
          <w:p w14:paraId="7EB04605" w14:textId="16D75744" w:rsidR="000471A4" w:rsidRPr="00F66DF2" w:rsidRDefault="001C49B2" w:rsidP="007122BC">
            <w:pPr>
              <w:pStyle w:val="CommentaryText"/>
              <w:keepNext/>
              <w:keepLines/>
              <w:numPr>
                <w:ilvl w:val="0"/>
                <w:numId w:val="53"/>
              </w:numPr>
              <w:tabs>
                <w:tab w:val="left" w:pos="3306"/>
              </w:tabs>
              <w:ind w:left="459" w:hanging="357"/>
              <w:rPr>
                <w:rFonts w:cstheme="minorHAnsi"/>
                <w:color w:val="FFFFFF" w:themeColor="background1"/>
                <w:sz w:val="18"/>
                <w:szCs w:val="18"/>
              </w:rPr>
            </w:pPr>
            <w:r w:rsidRPr="00413D72">
              <w:rPr>
                <w:rFonts w:cs="Calibri"/>
                <w:color w:val="FFFFFF" w:themeColor="background1"/>
                <w:sz w:val="18"/>
                <w:szCs w:val="18"/>
              </w:rPr>
              <w:t>other operational and financial effects of variable lease payments.</w:t>
            </w:r>
          </w:p>
        </w:tc>
      </w:tr>
      <w:tr w:rsidR="00B8189F" w:rsidRPr="00381D99" w14:paraId="6AD66326" w14:textId="77777777" w:rsidTr="0004564D">
        <w:trPr>
          <w:cantSplit/>
          <w:trHeight w:val="300"/>
        </w:trPr>
        <w:tc>
          <w:tcPr>
            <w:tcW w:w="743" w:type="pct"/>
            <w:tcBorders>
              <w:left w:val="single" w:sz="2" w:space="0" w:color="auto"/>
              <w:right w:val="single" w:sz="2" w:space="0" w:color="auto"/>
            </w:tcBorders>
          </w:tcPr>
          <w:p w14:paraId="0CD1DA47" w14:textId="77777777" w:rsidR="00BD1DCB" w:rsidRDefault="00BD1DCB" w:rsidP="00413B75">
            <w:pPr>
              <w:pStyle w:val="TableReference"/>
              <w:rPr>
                <w:rFonts w:cs="Calibri"/>
                <w:color w:val="7030A0"/>
                <w:sz w:val="14"/>
              </w:rPr>
            </w:pPr>
          </w:p>
          <w:p w14:paraId="0C6BC22D" w14:textId="77777777" w:rsidR="00BD1DCB" w:rsidRDefault="00BD1DCB" w:rsidP="00413B75">
            <w:pPr>
              <w:pStyle w:val="TableReference"/>
              <w:rPr>
                <w:rFonts w:cs="Calibri"/>
                <w:color w:val="7030A0"/>
                <w:sz w:val="14"/>
              </w:rPr>
            </w:pPr>
          </w:p>
          <w:p w14:paraId="2B2C4387" w14:textId="69AF7D6E" w:rsidR="00B8189F" w:rsidRPr="00C6446C" w:rsidRDefault="00C6446C" w:rsidP="00413B75">
            <w:pPr>
              <w:pStyle w:val="TableReference"/>
              <w:rPr>
                <w:rFonts w:cs="Calibri"/>
                <w:color w:val="7030A0"/>
                <w:sz w:val="14"/>
              </w:rPr>
            </w:pPr>
            <w:r w:rsidRPr="00C6446C">
              <w:rPr>
                <w:rFonts w:cs="Calibri"/>
                <w:color w:val="7030A0"/>
                <w:sz w:val="14"/>
              </w:rPr>
              <w:t>AASB 16.B51</w:t>
            </w:r>
          </w:p>
        </w:tc>
        <w:tc>
          <w:tcPr>
            <w:tcW w:w="4257" w:type="pct"/>
            <w:gridSpan w:val="2"/>
            <w:tcBorders>
              <w:left w:val="single" w:sz="2" w:space="0" w:color="auto"/>
            </w:tcBorders>
            <w:shd w:val="clear" w:color="auto" w:fill="7030A0"/>
          </w:tcPr>
          <w:p w14:paraId="45E1675D" w14:textId="4BEA95A0" w:rsidR="00BD1DCB" w:rsidRPr="00BD1DCB" w:rsidRDefault="00BD1DCB" w:rsidP="00B8189F">
            <w:pPr>
              <w:spacing w:after="40"/>
              <w:jc w:val="both"/>
              <w:rPr>
                <w:rFonts w:cstheme="minorHAnsi"/>
                <w:b/>
                <w:bCs/>
                <w:color w:val="FFFFFF" w:themeColor="background1"/>
                <w:sz w:val="20"/>
                <w:szCs w:val="20"/>
              </w:rPr>
            </w:pPr>
            <w:r w:rsidRPr="00BD1DCB">
              <w:rPr>
                <w:rFonts w:cstheme="minorHAnsi"/>
                <w:b/>
                <w:bCs/>
                <w:color w:val="FFFFFF" w:themeColor="background1"/>
                <w:sz w:val="20"/>
                <w:szCs w:val="20"/>
              </w:rPr>
              <w:t>Residual Value Guarantee Disclosures</w:t>
            </w:r>
          </w:p>
          <w:p w14:paraId="2E56D231" w14:textId="28F47962" w:rsidR="00B8189F" w:rsidRPr="00F66DF2" w:rsidRDefault="00B8189F" w:rsidP="00B8189F">
            <w:pPr>
              <w:spacing w:after="40"/>
              <w:jc w:val="both"/>
              <w:rPr>
                <w:rFonts w:cstheme="minorHAnsi"/>
                <w:color w:val="FFFFFF" w:themeColor="background1"/>
                <w:sz w:val="18"/>
                <w:szCs w:val="18"/>
              </w:rPr>
            </w:pPr>
            <w:r w:rsidRPr="00F66DF2">
              <w:rPr>
                <w:rFonts w:cstheme="minorHAnsi"/>
                <w:color w:val="FFFFFF" w:themeColor="background1"/>
                <w:sz w:val="18"/>
                <w:szCs w:val="18"/>
              </w:rPr>
              <w:t>Where the Agency has leases with residual value guarantees then consider additional information to satisfy the disclosure, for example:</w:t>
            </w:r>
          </w:p>
          <w:p w14:paraId="53CA8049" w14:textId="419AACBC" w:rsidR="00B8189F" w:rsidRPr="00413D72" w:rsidRDefault="00B8189F"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reasons for providing residual value guarantees and the prevalence of those guarantees;</w:t>
            </w:r>
          </w:p>
          <w:p w14:paraId="1AA84C3C" w14:textId="7EFF4D82" w:rsidR="00B8189F" w:rsidRPr="00413D72" w:rsidRDefault="00B8189F"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magnitude of the exposure to residual value risk;</w:t>
            </w:r>
          </w:p>
          <w:p w14:paraId="458159DC" w14:textId="0C9FC1E6" w:rsidR="00B8189F" w:rsidRPr="00413D72" w:rsidRDefault="00B8189F"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nature of underlying assets for which those guarantees are provided; and</w:t>
            </w:r>
          </w:p>
          <w:p w14:paraId="5C274D89" w14:textId="10679A0A" w:rsidR="00B8189F" w:rsidRPr="00413D72" w:rsidRDefault="00B8189F"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413D72">
              <w:rPr>
                <w:rFonts w:cs="Calibri"/>
                <w:color w:val="FFFFFF" w:themeColor="background1"/>
                <w:sz w:val="18"/>
                <w:szCs w:val="18"/>
              </w:rPr>
              <w:t>other operational and financial effects of those guarantees.</w:t>
            </w:r>
          </w:p>
        </w:tc>
      </w:tr>
      <w:tr w:rsidR="00B8189F" w:rsidRPr="00381D99" w14:paraId="6E59F09E" w14:textId="77777777" w:rsidTr="0004564D">
        <w:trPr>
          <w:cantSplit/>
          <w:trHeight w:val="300"/>
        </w:trPr>
        <w:tc>
          <w:tcPr>
            <w:tcW w:w="743" w:type="pct"/>
            <w:tcBorders>
              <w:left w:val="single" w:sz="2" w:space="0" w:color="auto"/>
              <w:right w:val="single" w:sz="2" w:space="0" w:color="auto"/>
            </w:tcBorders>
          </w:tcPr>
          <w:p w14:paraId="12821C1C" w14:textId="1C01F0C1" w:rsidR="00B8189F" w:rsidRPr="00C6446C" w:rsidRDefault="00C6446C" w:rsidP="000A7367">
            <w:pPr>
              <w:pStyle w:val="TableReference"/>
              <w:rPr>
                <w:rFonts w:cs="Calibri"/>
                <w:color w:val="7030A0"/>
                <w:sz w:val="14"/>
              </w:rPr>
            </w:pPr>
            <w:r w:rsidRPr="00C6446C">
              <w:rPr>
                <w:rFonts w:cs="Calibri"/>
                <w:color w:val="7030A0"/>
                <w:sz w:val="14"/>
              </w:rPr>
              <w:t>AASB 16.46A</w:t>
            </w:r>
          </w:p>
        </w:tc>
        <w:tc>
          <w:tcPr>
            <w:tcW w:w="4257" w:type="pct"/>
            <w:gridSpan w:val="2"/>
            <w:tcBorders>
              <w:left w:val="single" w:sz="2" w:space="0" w:color="auto"/>
            </w:tcBorders>
            <w:shd w:val="clear" w:color="auto" w:fill="7030A0"/>
          </w:tcPr>
          <w:p w14:paraId="247D19F7" w14:textId="130B2C95" w:rsidR="00B8189F" w:rsidRPr="00413D72" w:rsidRDefault="00B8189F" w:rsidP="003D52C2">
            <w:pPr>
              <w:jc w:val="both"/>
              <w:rPr>
                <w:b/>
                <w:bCs/>
                <w:color w:val="FFFFFF" w:themeColor="background1"/>
                <w:sz w:val="20"/>
                <w:szCs w:val="20"/>
              </w:rPr>
            </w:pPr>
            <w:r w:rsidRPr="00413D72">
              <w:rPr>
                <w:b/>
                <w:bCs/>
                <w:color w:val="FFFFFF" w:themeColor="background1"/>
                <w:sz w:val="20"/>
                <w:szCs w:val="20"/>
              </w:rPr>
              <w:t>COVID-19 and Lease Modification</w:t>
            </w:r>
          </w:p>
        </w:tc>
      </w:tr>
      <w:tr w:rsidR="000A7367" w:rsidRPr="00381D99" w14:paraId="66E01BF4" w14:textId="77777777" w:rsidTr="0004564D">
        <w:trPr>
          <w:cantSplit/>
          <w:trHeight w:val="300"/>
        </w:trPr>
        <w:tc>
          <w:tcPr>
            <w:tcW w:w="743" w:type="pct"/>
            <w:tcBorders>
              <w:left w:val="single" w:sz="2" w:space="0" w:color="auto"/>
              <w:right w:val="single" w:sz="2" w:space="0" w:color="auto"/>
            </w:tcBorders>
          </w:tcPr>
          <w:p w14:paraId="1B1D65D3" w14:textId="4E7DC794" w:rsidR="000A7367" w:rsidRPr="00635724" w:rsidRDefault="000A7367" w:rsidP="000A7367">
            <w:pPr>
              <w:pStyle w:val="TableReference"/>
              <w:rPr>
                <w:rFonts w:cs="Calibri"/>
                <w:b/>
                <w:bCs/>
                <w:color w:val="auto"/>
                <w:sz w:val="20"/>
                <w:szCs w:val="20"/>
              </w:rPr>
            </w:pPr>
          </w:p>
        </w:tc>
        <w:tc>
          <w:tcPr>
            <w:tcW w:w="4257" w:type="pct"/>
            <w:gridSpan w:val="2"/>
            <w:tcBorders>
              <w:left w:val="single" w:sz="2" w:space="0" w:color="auto"/>
            </w:tcBorders>
            <w:shd w:val="clear" w:color="auto" w:fill="7030A0"/>
          </w:tcPr>
          <w:p w14:paraId="58B8E17C" w14:textId="2772E4EE" w:rsidR="000A7367" w:rsidRPr="00F66DF2" w:rsidRDefault="000A7367" w:rsidP="00756BF7">
            <w:pPr>
              <w:spacing w:after="40"/>
              <w:jc w:val="both"/>
              <w:rPr>
                <w:color w:val="FFFFFF" w:themeColor="background1"/>
                <w:sz w:val="18"/>
                <w:szCs w:val="18"/>
              </w:rPr>
            </w:pPr>
            <w:r w:rsidRPr="00F66DF2">
              <w:rPr>
                <w:color w:val="FFFFFF" w:themeColor="background1"/>
                <w:sz w:val="18"/>
                <w:szCs w:val="18"/>
              </w:rPr>
              <w:t xml:space="preserve">As a practical expedient, a lessee may elect not to assess whether a rent concession occurring as a direct consequence of the </w:t>
            </w:r>
            <w:r w:rsidR="00C6446C">
              <w:rPr>
                <w:color w:val="FFFFFF" w:themeColor="background1"/>
                <w:sz w:val="18"/>
                <w:szCs w:val="18"/>
              </w:rPr>
              <w:t>COVID</w:t>
            </w:r>
            <w:r w:rsidRPr="00F66DF2">
              <w:rPr>
                <w:color w:val="FFFFFF" w:themeColor="background1"/>
                <w:sz w:val="18"/>
                <w:szCs w:val="18"/>
              </w:rPr>
              <w:t>-19 pandemic is a lease modification only where:</w:t>
            </w:r>
          </w:p>
          <w:p w14:paraId="47AF3BFF" w14:textId="77777777" w:rsidR="000A7367" w:rsidRPr="00413D72" w:rsidRDefault="000A7367"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the change in lease payments results in revised consideration for the lease that is substantially the same as, or less than, the consideration for the lease immediately preceding the change;</w:t>
            </w:r>
          </w:p>
          <w:p w14:paraId="289D7955" w14:textId="16D03449" w:rsidR="000A7367" w:rsidRPr="00413D72" w:rsidRDefault="000A7367"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any reduction in lease payments affects only payments originally due on or before 30 June 2021 (for example, a rent concession would meet this condition if it results in reduced lease payments on or before 30 June 2021 and increased lease payments that extend beyond 30 June 202</w:t>
            </w:r>
            <w:r w:rsidR="00D5227F" w:rsidRPr="00413D72">
              <w:rPr>
                <w:rFonts w:cs="Calibri"/>
                <w:color w:val="FFFFFF" w:themeColor="background1"/>
                <w:sz w:val="18"/>
                <w:szCs w:val="18"/>
              </w:rPr>
              <w:t>2</w:t>
            </w:r>
            <w:r w:rsidRPr="00413D72">
              <w:rPr>
                <w:rFonts w:cs="Calibri"/>
                <w:color w:val="FFFFFF" w:themeColor="background1"/>
                <w:sz w:val="18"/>
                <w:szCs w:val="18"/>
              </w:rPr>
              <w:t>); and</w:t>
            </w:r>
          </w:p>
          <w:p w14:paraId="51D80261" w14:textId="4A0C8443" w:rsidR="000A7367" w:rsidRPr="00F66DF2" w:rsidRDefault="000A7367" w:rsidP="007122BC">
            <w:pPr>
              <w:pStyle w:val="CommentaryText"/>
              <w:keepNext/>
              <w:keepLines/>
              <w:numPr>
                <w:ilvl w:val="0"/>
                <w:numId w:val="53"/>
              </w:numPr>
              <w:tabs>
                <w:tab w:val="left" w:pos="3306"/>
              </w:tabs>
              <w:ind w:left="459" w:hanging="357"/>
              <w:rPr>
                <w:rFonts w:cstheme="minorHAnsi"/>
                <w:color w:val="FFFFFF" w:themeColor="background1"/>
                <w:sz w:val="18"/>
                <w:szCs w:val="18"/>
              </w:rPr>
            </w:pPr>
            <w:r w:rsidRPr="00413D72">
              <w:rPr>
                <w:rFonts w:cs="Calibri"/>
                <w:color w:val="FFFFFF" w:themeColor="background1"/>
                <w:sz w:val="18"/>
                <w:szCs w:val="18"/>
              </w:rPr>
              <w:t>there is no substantive change to other terms and conditions of the lease.</w:t>
            </w:r>
          </w:p>
        </w:tc>
      </w:tr>
      <w:tr w:rsidR="000A7367" w:rsidRPr="00381D99" w14:paraId="7C6F8C42" w14:textId="77777777" w:rsidTr="0004564D">
        <w:trPr>
          <w:cantSplit/>
          <w:trHeight w:val="300"/>
        </w:trPr>
        <w:tc>
          <w:tcPr>
            <w:tcW w:w="743" w:type="pct"/>
            <w:tcBorders>
              <w:left w:val="single" w:sz="2" w:space="0" w:color="auto"/>
              <w:right w:val="single" w:sz="2" w:space="0" w:color="auto"/>
            </w:tcBorders>
          </w:tcPr>
          <w:p w14:paraId="0F4DA6C7" w14:textId="77777777" w:rsidR="000A7367" w:rsidRPr="00635724" w:rsidRDefault="000A7367" w:rsidP="008F6921">
            <w:pPr>
              <w:pStyle w:val="TableReference"/>
              <w:spacing w:before="120" w:after="240"/>
              <w:rPr>
                <w:rFonts w:cs="Calibri"/>
                <w:b/>
                <w:bCs/>
                <w:color w:val="auto"/>
                <w:sz w:val="20"/>
                <w:szCs w:val="20"/>
              </w:rPr>
            </w:pPr>
          </w:p>
        </w:tc>
        <w:tc>
          <w:tcPr>
            <w:tcW w:w="4257" w:type="pct"/>
            <w:gridSpan w:val="2"/>
            <w:tcBorders>
              <w:left w:val="single" w:sz="2" w:space="0" w:color="auto"/>
            </w:tcBorders>
            <w:shd w:val="clear" w:color="auto" w:fill="7030A0"/>
          </w:tcPr>
          <w:p w14:paraId="6D6168E2" w14:textId="15D7686B" w:rsidR="000A7367" w:rsidRPr="00F66DF2" w:rsidRDefault="000A7367" w:rsidP="00756BF7">
            <w:pPr>
              <w:spacing w:after="40"/>
              <w:jc w:val="both"/>
              <w:rPr>
                <w:color w:val="FFFFFF" w:themeColor="background1"/>
                <w:sz w:val="18"/>
                <w:szCs w:val="18"/>
              </w:rPr>
            </w:pPr>
            <w:r w:rsidRPr="00F66DF2">
              <w:rPr>
                <w:color w:val="FFFFFF" w:themeColor="background1"/>
                <w:sz w:val="18"/>
                <w:szCs w:val="18"/>
              </w:rPr>
              <w:t xml:space="preserve">Where this practical </w:t>
            </w:r>
            <w:r w:rsidR="00A4259B" w:rsidRPr="00F66DF2">
              <w:rPr>
                <w:color w:val="FFFFFF" w:themeColor="background1"/>
                <w:sz w:val="18"/>
                <w:szCs w:val="18"/>
              </w:rPr>
              <w:t>expedient</w:t>
            </w:r>
            <w:r w:rsidRPr="00F66DF2">
              <w:rPr>
                <w:color w:val="FFFFFF" w:themeColor="background1"/>
                <w:sz w:val="18"/>
                <w:szCs w:val="18"/>
              </w:rPr>
              <w:t xml:space="preserve"> is applied, the lessee shall disclose: </w:t>
            </w:r>
          </w:p>
          <w:p w14:paraId="4D01A508" w14:textId="00A8617F" w:rsidR="000A7367" w:rsidRPr="00413D72" w:rsidRDefault="000A7367"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413D72">
              <w:rPr>
                <w:rFonts w:cs="Calibri"/>
                <w:color w:val="FFFFFF" w:themeColor="background1"/>
                <w:sz w:val="18"/>
                <w:szCs w:val="18"/>
              </w:rPr>
              <w:t xml:space="preserve">that it has applied the practical expedient to all rent concessions that meet the conditions outlined above or, if not applied to all such rent concessions, information about the nature of the contracts to which it has applied the practical </w:t>
            </w:r>
            <w:r w:rsidR="00A4259B" w:rsidRPr="00413D72">
              <w:rPr>
                <w:rFonts w:cs="Calibri"/>
                <w:color w:val="FFFFFF" w:themeColor="background1"/>
                <w:sz w:val="18"/>
                <w:szCs w:val="18"/>
              </w:rPr>
              <w:t>expedient; and</w:t>
            </w:r>
          </w:p>
          <w:p w14:paraId="3103DE2F" w14:textId="4ED4EB76" w:rsidR="000A7367" w:rsidRPr="00F66DF2" w:rsidRDefault="000A7367" w:rsidP="007122BC">
            <w:pPr>
              <w:pStyle w:val="CommentaryText"/>
              <w:keepNext/>
              <w:keepLines/>
              <w:numPr>
                <w:ilvl w:val="0"/>
                <w:numId w:val="53"/>
              </w:numPr>
              <w:tabs>
                <w:tab w:val="left" w:pos="3306"/>
              </w:tabs>
              <w:ind w:left="459" w:hanging="357"/>
              <w:rPr>
                <w:color w:val="FFFFFF" w:themeColor="background1"/>
                <w:sz w:val="18"/>
                <w:szCs w:val="18"/>
              </w:rPr>
            </w:pPr>
            <w:r w:rsidRPr="00413D72">
              <w:rPr>
                <w:rFonts w:cs="Calibri"/>
                <w:color w:val="FFFFFF" w:themeColor="background1"/>
                <w:sz w:val="18"/>
                <w:szCs w:val="18"/>
              </w:rPr>
              <w:t>the amount recognised in profit or loss for the reporting period to reflect changes in lease payments that arise from rent concessions to which the lessee has applied the practical expedient.</w:t>
            </w:r>
          </w:p>
        </w:tc>
      </w:tr>
    </w:tbl>
    <w:p w14:paraId="480ADF2E" w14:textId="769C0F00" w:rsidR="00A76A80" w:rsidRDefault="00A76A80">
      <w:r>
        <w:br w:type="page"/>
      </w:r>
    </w:p>
    <w:tbl>
      <w:tblPr>
        <w:tblW w:w="10521"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8930"/>
        <w:gridCol w:w="28"/>
      </w:tblGrid>
      <w:tr w:rsidR="000144FF" w:rsidRPr="00CF7E1B" w14:paraId="2BF3869F" w14:textId="77777777" w:rsidTr="0004564D">
        <w:trPr>
          <w:gridAfter w:val="1"/>
          <w:wAfter w:w="28" w:type="dxa"/>
          <w:cantSplit/>
          <w:trHeight w:val="23"/>
        </w:trPr>
        <w:tc>
          <w:tcPr>
            <w:tcW w:w="1563" w:type="dxa"/>
            <w:tcBorders>
              <w:top w:val="nil"/>
              <w:left w:val="single" w:sz="2" w:space="0" w:color="auto"/>
              <w:bottom w:val="nil"/>
              <w:right w:val="single" w:sz="2" w:space="0" w:color="auto"/>
            </w:tcBorders>
          </w:tcPr>
          <w:p w14:paraId="128D77CB" w14:textId="32B4A088" w:rsidR="000144FF" w:rsidRPr="002D20CA" w:rsidRDefault="008D5344" w:rsidP="0082104D">
            <w:pPr>
              <w:pStyle w:val="TableReference"/>
              <w:tabs>
                <w:tab w:val="left" w:pos="3306"/>
              </w:tabs>
              <w:spacing w:before="240" w:after="240"/>
              <w:rPr>
                <w:rFonts w:cs="Calibri"/>
                <w:b/>
                <w:color w:val="7030A0"/>
                <w:sz w:val="22"/>
                <w:szCs w:val="22"/>
              </w:rPr>
            </w:pPr>
            <w:r w:rsidRPr="002D20CA">
              <w:rPr>
                <w:color w:val="7030A0"/>
              </w:rPr>
              <w:br w:type="page"/>
            </w:r>
            <w:r w:rsidR="0082104D" w:rsidRPr="002D20CA">
              <w:rPr>
                <w:color w:val="7030A0"/>
              </w:rPr>
              <w:br w:type="page"/>
            </w:r>
            <w:r w:rsidR="003E693E" w:rsidRPr="002D20CA">
              <w:rPr>
                <w:rFonts w:cs="Calibri"/>
                <w:b/>
                <w:color w:val="7030A0"/>
                <w:sz w:val="22"/>
                <w:szCs w:val="22"/>
              </w:rPr>
              <w:t>Reference</w:t>
            </w:r>
          </w:p>
        </w:tc>
        <w:tc>
          <w:tcPr>
            <w:tcW w:w="8930" w:type="dxa"/>
            <w:tcBorders>
              <w:top w:val="nil"/>
              <w:left w:val="single" w:sz="2" w:space="0" w:color="auto"/>
              <w:bottom w:val="nil"/>
              <w:right w:val="nil"/>
            </w:tcBorders>
            <w:vAlign w:val="bottom"/>
          </w:tcPr>
          <w:p w14:paraId="58395EB7" w14:textId="75EC8567" w:rsidR="000144FF" w:rsidRPr="002D20CA" w:rsidRDefault="00B578B1" w:rsidP="0082104D">
            <w:pPr>
              <w:pStyle w:val="Heading1"/>
              <w:numPr>
                <w:ilvl w:val="0"/>
                <w:numId w:val="0"/>
              </w:numPr>
            </w:pPr>
            <w:bookmarkStart w:id="601" w:name="_Toc400627351"/>
            <w:bookmarkStart w:id="602" w:name="_Toc98763147"/>
            <w:r w:rsidRPr="002D20CA">
              <w:t>Note</w:t>
            </w:r>
            <w:r w:rsidR="007C4612" w:rsidRPr="002D20CA">
              <w:t xml:space="preserve"> </w:t>
            </w:r>
            <w:r w:rsidR="001101E3" w:rsidRPr="002D20CA">
              <w:t>27</w:t>
            </w:r>
            <w:r w:rsidR="007C4612" w:rsidRPr="002D20CA">
              <w:t>.</w:t>
            </w:r>
            <w:r w:rsidR="00FA7C77">
              <w:t xml:space="preserve"> </w:t>
            </w:r>
            <w:r w:rsidRPr="002D20CA">
              <w:t xml:space="preserve"> </w:t>
            </w:r>
            <w:r w:rsidR="000144FF" w:rsidRPr="002D20CA">
              <w:t>Employee Benefits</w:t>
            </w:r>
            <w:bookmarkEnd w:id="601"/>
            <w:bookmarkEnd w:id="602"/>
          </w:p>
        </w:tc>
      </w:tr>
      <w:tr w:rsidR="003A4053" w:rsidRPr="00CF7E1B" w14:paraId="047C3A52" w14:textId="77777777" w:rsidTr="0004564D">
        <w:trPr>
          <w:cantSplit/>
          <w:trHeight w:val="23"/>
        </w:trPr>
        <w:tc>
          <w:tcPr>
            <w:tcW w:w="1563" w:type="dxa"/>
            <w:tcBorders>
              <w:top w:val="nil"/>
              <w:left w:val="single" w:sz="2" w:space="0" w:color="auto"/>
              <w:bottom w:val="nil"/>
              <w:right w:val="single" w:sz="2" w:space="0" w:color="auto"/>
            </w:tcBorders>
          </w:tcPr>
          <w:p w14:paraId="044975D6" w14:textId="77777777" w:rsidR="003A4053" w:rsidRPr="002D20CA" w:rsidRDefault="003A4053" w:rsidP="005F2842">
            <w:pPr>
              <w:pStyle w:val="TableReference"/>
              <w:tabs>
                <w:tab w:val="left" w:pos="3306"/>
              </w:tabs>
              <w:spacing w:before="40"/>
              <w:rPr>
                <w:rFonts w:cs="Calibri"/>
                <w:color w:val="7030A0"/>
                <w:sz w:val="16"/>
                <w:szCs w:val="16"/>
              </w:rPr>
            </w:pPr>
          </w:p>
        </w:tc>
        <w:tc>
          <w:tcPr>
            <w:tcW w:w="8958" w:type="dxa"/>
            <w:gridSpan w:val="2"/>
            <w:tcBorders>
              <w:top w:val="nil"/>
              <w:left w:val="single" w:sz="2" w:space="0" w:color="auto"/>
              <w:bottom w:val="nil"/>
              <w:right w:val="nil"/>
            </w:tcBorders>
            <w:vAlign w:val="bottom"/>
          </w:tcPr>
          <w:p w14:paraId="113A4BD7" w14:textId="74F304A7" w:rsidR="003A4053" w:rsidRPr="002D20CA" w:rsidRDefault="00D40D59" w:rsidP="005F2842">
            <w:pPr>
              <w:pStyle w:val="TableText"/>
              <w:tabs>
                <w:tab w:val="left" w:pos="3306"/>
              </w:tabs>
              <w:rPr>
                <w:rFonts w:cs="Calibri"/>
              </w:rPr>
            </w:pPr>
            <w:r w:rsidRPr="002D20CA">
              <w:rPr>
                <w:rFonts w:cs="Calibri"/>
                <w:b/>
                <w:bCs/>
              </w:rPr>
              <w:t xml:space="preserve">Description and </w:t>
            </w:r>
            <w:r w:rsidR="003A4053" w:rsidRPr="002D20CA">
              <w:rPr>
                <w:rFonts w:cs="Calibri"/>
                <w:b/>
                <w:bCs/>
              </w:rPr>
              <w:t>Material Accounting Policies Relating to Employee Benefits Liabilities</w:t>
            </w:r>
          </w:p>
        </w:tc>
      </w:tr>
      <w:tr w:rsidR="003A4053" w:rsidRPr="00CF7E1B" w14:paraId="37474318" w14:textId="77777777" w:rsidTr="0004564D">
        <w:trPr>
          <w:cantSplit/>
          <w:trHeight w:val="23"/>
        </w:trPr>
        <w:tc>
          <w:tcPr>
            <w:tcW w:w="1563" w:type="dxa"/>
            <w:vMerge w:val="restart"/>
            <w:tcBorders>
              <w:top w:val="nil"/>
              <w:left w:val="single" w:sz="2" w:space="0" w:color="auto"/>
              <w:right w:val="single" w:sz="2" w:space="0" w:color="auto"/>
            </w:tcBorders>
          </w:tcPr>
          <w:p w14:paraId="2CD60CA5" w14:textId="77777777" w:rsidR="003A4053" w:rsidRPr="002D20CA" w:rsidRDefault="003A4053" w:rsidP="005F2842">
            <w:pPr>
              <w:pStyle w:val="TableReference"/>
              <w:tabs>
                <w:tab w:val="left" w:pos="3306"/>
              </w:tabs>
              <w:spacing w:before="120"/>
              <w:rPr>
                <w:rFonts w:cs="Calibri"/>
                <w:color w:val="7030A0"/>
                <w:sz w:val="16"/>
                <w:szCs w:val="16"/>
              </w:rPr>
            </w:pPr>
            <w:r w:rsidRPr="002D20CA">
              <w:rPr>
                <w:color w:val="7030A0"/>
                <w:sz w:val="14"/>
              </w:rPr>
              <w:t>Model Financial Statements Guidelines - 1. 6 Application – ACT Disclosure Policy</w:t>
            </w:r>
          </w:p>
        </w:tc>
        <w:tc>
          <w:tcPr>
            <w:tcW w:w="8958" w:type="dxa"/>
            <w:gridSpan w:val="2"/>
            <w:tcBorders>
              <w:top w:val="nil"/>
              <w:left w:val="single" w:sz="2" w:space="0" w:color="auto"/>
              <w:bottom w:val="nil"/>
              <w:right w:val="nil"/>
            </w:tcBorders>
            <w:vAlign w:val="bottom"/>
          </w:tcPr>
          <w:p w14:paraId="2AAFD9E7" w14:textId="77777777" w:rsidR="003A4053" w:rsidRPr="002D20CA" w:rsidRDefault="003A4053" w:rsidP="005F2842">
            <w:pPr>
              <w:pStyle w:val="Appxhead3"/>
              <w:jc w:val="both"/>
              <w:rPr>
                <w:rFonts w:ascii="Calibri" w:hAnsi="Calibri" w:cs="Calibri"/>
                <w:b w:val="0"/>
                <w:i/>
                <w:iCs/>
                <w:smallCaps w:val="0"/>
                <w:sz w:val="18"/>
                <w:szCs w:val="18"/>
              </w:rPr>
            </w:pPr>
            <w:r w:rsidRPr="002D20CA">
              <w:rPr>
                <w:rFonts w:ascii="Calibri" w:hAnsi="Calibri" w:cs="Calibri"/>
                <w:b w:val="0"/>
                <w:i/>
                <w:iCs/>
                <w:smallCaps w:val="0"/>
                <w:sz w:val="18"/>
                <w:szCs w:val="18"/>
              </w:rPr>
              <w:t>Accrued Wages and Salaries</w:t>
            </w:r>
          </w:p>
        </w:tc>
      </w:tr>
      <w:tr w:rsidR="003A4053" w:rsidRPr="00CF7E1B" w14:paraId="50FAE13B" w14:textId="77777777" w:rsidTr="0004564D">
        <w:trPr>
          <w:cantSplit/>
          <w:trHeight w:val="23"/>
        </w:trPr>
        <w:tc>
          <w:tcPr>
            <w:tcW w:w="1563" w:type="dxa"/>
            <w:vMerge/>
            <w:tcBorders>
              <w:left w:val="single" w:sz="2" w:space="0" w:color="auto"/>
              <w:bottom w:val="nil"/>
              <w:right w:val="single" w:sz="2" w:space="0" w:color="auto"/>
            </w:tcBorders>
          </w:tcPr>
          <w:p w14:paraId="43E5B0D5" w14:textId="77777777" w:rsidR="003A4053" w:rsidRPr="002D20CA" w:rsidRDefault="003A4053" w:rsidP="005F2842">
            <w:pPr>
              <w:pStyle w:val="TableReference"/>
              <w:tabs>
                <w:tab w:val="left" w:pos="3306"/>
              </w:tabs>
              <w:spacing w:before="40"/>
              <w:rPr>
                <w:rFonts w:cs="Calibri"/>
                <w:color w:val="7030A0"/>
                <w:sz w:val="14"/>
              </w:rPr>
            </w:pPr>
          </w:p>
        </w:tc>
        <w:tc>
          <w:tcPr>
            <w:tcW w:w="8958" w:type="dxa"/>
            <w:gridSpan w:val="2"/>
            <w:tcBorders>
              <w:top w:val="nil"/>
              <w:left w:val="single" w:sz="2" w:space="0" w:color="auto"/>
              <w:bottom w:val="nil"/>
              <w:right w:val="nil"/>
            </w:tcBorders>
          </w:tcPr>
          <w:p w14:paraId="5DBDAF4C" w14:textId="1B2F0431" w:rsidR="003A4053" w:rsidRPr="002D20CA" w:rsidRDefault="003A4053" w:rsidP="005F2842">
            <w:pPr>
              <w:rPr>
                <w:sz w:val="18"/>
                <w:szCs w:val="18"/>
              </w:rPr>
            </w:pPr>
            <w:r w:rsidRPr="002D20CA">
              <w:rPr>
                <w:rFonts w:cs="Calibri"/>
                <w:sz w:val="18"/>
                <w:szCs w:val="18"/>
              </w:rPr>
              <w:t>Accrued wages and salaries are measured at the amount that remains unpaid to employees at the end of the reporting period.</w:t>
            </w:r>
            <w:r w:rsidR="00FA7C77">
              <w:rPr>
                <w:rFonts w:cs="Calibri"/>
                <w:sz w:val="18"/>
                <w:szCs w:val="18"/>
              </w:rPr>
              <w:t xml:space="preserve"> </w:t>
            </w:r>
          </w:p>
        </w:tc>
      </w:tr>
      <w:tr w:rsidR="003A4053" w:rsidRPr="00CF7E1B" w14:paraId="737C5343" w14:textId="77777777" w:rsidTr="0004564D">
        <w:trPr>
          <w:cantSplit/>
          <w:trHeight w:val="23"/>
        </w:trPr>
        <w:tc>
          <w:tcPr>
            <w:tcW w:w="1563" w:type="dxa"/>
            <w:tcBorders>
              <w:top w:val="nil"/>
              <w:left w:val="single" w:sz="2" w:space="0" w:color="auto"/>
              <w:bottom w:val="nil"/>
              <w:right w:val="single" w:sz="2" w:space="0" w:color="auto"/>
            </w:tcBorders>
          </w:tcPr>
          <w:p w14:paraId="439F807B" w14:textId="77777777" w:rsidR="003A4053" w:rsidRPr="002D20CA" w:rsidRDefault="003A4053" w:rsidP="005F2842">
            <w:pPr>
              <w:pStyle w:val="TableReference"/>
              <w:tabs>
                <w:tab w:val="left" w:pos="3306"/>
              </w:tabs>
              <w:spacing w:before="40"/>
              <w:rPr>
                <w:rFonts w:cs="Calibri"/>
                <w:color w:val="7030A0"/>
                <w:sz w:val="14"/>
              </w:rPr>
            </w:pPr>
          </w:p>
        </w:tc>
        <w:tc>
          <w:tcPr>
            <w:tcW w:w="8958" w:type="dxa"/>
            <w:gridSpan w:val="2"/>
            <w:tcBorders>
              <w:top w:val="nil"/>
              <w:left w:val="single" w:sz="2" w:space="0" w:color="auto"/>
              <w:bottom w:val="nil"/>
              <w:right w:val="nil"/>
            </w:tcBorders>
            <w:vAlign w:val="bottom"/>
          </w:tcPr>
          <w:p w14:paraId="5910C5AD" w14:textId="77777777" w:rsidR="003A4053" w:rsidRPr="002D20CA" w:rsidRDefault="003A4053" w:rsidP="005F2842">
            <w:pPr>
              <w:pStyle w:val="Appxhead3"/>
              <w:jc w:val="both"/>
              <w:rPr>
                <w:rFonts w:ascii="Calibri" w:hAnsi="Calibri" w:cs="Calibri"/>
                <w:b w:val="0"/>
                <w:i/>
                <w:iCs/>
                <w:smallCaps w:val="0"/>
                <w:sz w:val="18"/>
                <w:szCs w:val="18"/>
              </w:rPr>
            </w:pPr>
            <w:r w:rsidRPr="002D20CA">
              <w:rPr>
                <w:rFonts w:ascii="Calibri" w:hAnsi="Calibri" w:cs="Calibri"/>
                <w:b w:val="0"/>
                <w:i/>
                <w:iCs/>
                <w:smallCaps w:val="0"/>
                <w:sz w:val="18"/>
                <w:szCs w:val="18"/>
              </w:rPr>
              <w:t>Annual and Long Service Leave</w:t>
            </w:r>
          </w:p>
        </w:tc>
      </w:tr>
      <w:tr w:rsidR="003A4053" w:rsidRPr="00CF7E1B" w14:paraId="4A19E02A" w14:textId="77777777" w:rsidTr="0004564D">
        <w:trPr>
          <w:cantSplit/>
          <w:trHeight w:val="23"/>
        </w:trPr>
        <w:tc>
          <w:tcPr>
            <w:tcW w:w="1563" w:type="dxa"/>
            <w:tcBorders>
              <w:top w:val="nil"/>
              <w:left w:val="single" w:sz="2" w:space="0" w:color="auto"/>
              <w:bottom w:val="nil"/>
              <w:right w:val="single" w:sz="2" w:space="0" w:color="auto"/>
            </w:tcBorders>
          </w:tcPr>
          <w:p w14:paraId="0393343E" w14:textId="77777777" w:rsidR="003A4053" w:rsidRPr="002D20CA" w:rsidRDefault="003A4053" w:rsidP="00765C5E">
            <w:pPr>
              <w:pStyle w:val="TableReference"/>
              <w:tabs>
                <w:tab w:val="left" w:pos="3306"/>
              </w:tabs>
              <w:spacing w:before="40"/>
              <w:rPr>
                <w:color w:val="7030A0"/>
                <w:sz w:val="14"/>
              </w:rPr>
            </w:pPr>
            <w:r w:rsidRPr="002D20CA">
              <w:rPr>
                <w:color w:val="7030A0"/>
                <w:sz w:val="14"/>
              </w:rPr>
              <w:t xml:space="preserve">Model Financial Statements Guidelines - 1.6 Application – ACT Disclosure Policy </w:t>
            </w:r>
          </w:p>
          <w:p w14:paraId="7906EEE6" w14:textId="77777777" w:rsidR="003A4053" w:rsidRPr="002D20CA" w:rsidRDefault="003A4053" w:rsidP="00765C5E">
            <w:pPr>
              <w:pStyle w:val="TableReference"/>
              <w:tabs>
                <w:tab w:val="left" w:pos="3306"/>
              </w:tabs>
              <w:spacing w:before="40"/>
              <w:rPr>
                <w:color w:val="7030A0"/>
                <w:sz w:val="14"/>
              </w:rPr>
            </w:pPr>
          </w:p>
          <w:p w14:paraId="1A07EA2A" w14:textId="4D399F64" w:rsidR="003A4053" w:rsidRPr="002D20CA" w:rsidRDefault="003A4053" w:rsidP="00765C5E">
            <w:pPr>
              <w:pStyle w:val="TableReference"/>
              <w:tabs>
                <w:tab w:val="left" w:pos="3306"/>
              </w:tabs>
              <w:rPr>
                <w:rFonts w:cs="Calibri"/>
                <w:color w:val="7030A0"/>
                <w:sz w:val="14"/>
              </w:rPr>
            </w:pPr>
          </w:p>
        </w:tc>
        <w:tc>
          <w:tcPr>
            <w:tcW w:w="8958" w:type="dxa"/>
            <w:gridSpan w:val="2"/>
            <w:tcBorders>
              <w:top w:val="nil"/>
              <w:left w:val="single" w:sz="2" w:space="0" w:color="auto"/>
              <w:bottom w:val="nil"/>
              <w:right w:val="nil"/>
            </w:tcBorders>
          </w:tcPr>
          <w:p w14:paraId="7A131BAE" w14:textId="751BF5BF" w:rsidR="003A4053" w:rsidRPr="002D20CA" w:rsidRDefault="003A4053" w:rsidP="00765C5E">
            <w:pPr>
              <w:spacing w:after="120"/>
              <w:jc w:val="both"/>
              <w:rPr>
                <w:rFonts w:cs="Calibri"/>
                <w:sz w:val="18"/>
                <w:szCs w:val="18"/>
              </w:rPr>
            </w:pPr>
            <w:r w:rsidRPr="002D20CA">
              <w:rPr>
                <w:rFonts w:cs="Calibri"/>
                <w:sz w:val="18"/>
                <w:szCs w:val="18"/>
              </w:rPr>
              <w:t>Annual and long service leave</w:t>
            </w:r>
            <w:r w:rsidR="001960AF" w:rsidRPr="002D20CA">
              <w:rPr>
                <w:rFonts w:cs="Calibri"/>
                <w:sz w:val="18"/>
                <w:szCs w:val="18"/>
              </w:rPr>
              <w:t>,</w:t>
            </w:r>
            <w:r w:rsidRPr="002D20CA">
              <w:rPr>
                <w:rFonts w:cs="Calibri"/>
                <w:sz w:val="18"/>
                <w:szCs w:val="18"/>
              </w:rPr>
              <w:t xml:space="preserve"> including applicable on-costs</w:t>
            </w:r>
            <w:r w:rsidR="001960AF" w:rsidRPr="002D20CA">
              <w:rPr>
                <w:rFonts w:cs="Calibri"/>
                <w:sz w:val="18"/>
                <w:szCs w:val="18"/>
              </w:rPr>
              <w:t>,</w:t>
            </w:r>
            <w:r w:rsidRPr="002D20CA">
              <w:rPr>
                <w:rFonts w:cs="Calibri"/>
                <w:sz w:val="18"/>
                <w:szCs w:val="18"/>
              </w:rPr>
              <w:t xml:space="preserve"> that are not expected to be wholly settled before twelve months after the end of the reporting period when the employees render the related service</w:t>
            </w:r>
            <w:r w:rsidR="001960AF" w:rsidRPr="002D20CA">
              <w:rPr>
                <w:rFonts w:cs="Calibri"/>
                <w:sz w:val="18"/>
                <w:szCs w:val="18"/>
              </w:rPr>
              <w:t>,</w:t>
            </w:r>
            <w:r w:rsidRPr="002D20CA">
              <w:rPr>
                <w:rFonts w:cs="Calibri"/>
                <w:sz w:val="18"/>
                <w:szCs w:val="18"/>
              </w:rPr>
              <w:t xml:space="preserve"> are measured at the present value</w:t>
            </w:r>
            <w:r w:rsidR="001960AF" w:rsidRPr="002D20CA">
              <w:rPr>
                <w:rFonts w:cs="Calibri"/>
                <w:sz w:val="18"/>
                <w:szCs w:val="18"/>
              </w:rPr>
              <w:t>.</w:t>
            </w:r>
            <w:r w:rsidR="00FA7C77">
              <w:rPr>
                <w:rFonts w:cs="Calibri"/>
                <w:sz w:val="18"/>
                <w:szCs w:val="18"/>
              </w:rPr>
              <w:t xml:space="preserve"> </w:t>
            </w:r>
            <w:r w:rsidR="001960AF" w:rsidRPr="002D20CA">
              <w:rPr>
                <w:rFonts w:cs="Calibri"/>
                <w:sz w:val="18"/>
                <w:szCs w:val="18"/>
              </w:rPr>
              <w:t xml:space="preserve">The present value is determined based on the </w:t>
            </w:r>
            <w:r w:rsidRPr="002D20CA">
              <w:rPr>
                <w:rFonts w:cs="Calibri"/>
                <w:sz w:val="18"/>
                <w:szCs w:val="18"/>
              </w:rPr>
              <w:t xml:space="preserve">estimated future payments to be made in respect of services provided by employees up to the end of the reporting period. Consideration is given to the future wage and salary levels, experience of employee departures and periods of service. At the end of each reporting period, the present value of future annual leave and long service leave payments is estimated using market yields on Commonwealth Government bonds with terms to maturity that match, as closely as possible, the estimated future cash flows. </w:t>
            </w:r>
          </w:p>
        </w:tc>
      </w:tr>
      <w:tr w:rsidR="00765C5E" w:rsidRPr="00CF7E1B" w14:paraId="7257C2DF" w14:textId="77777777" w:rsidTr="0004564D">
        <w:trPr>
          <w:cantSplit/>
          <w:trHeight w:val="23"/>
        </w:trPr>
        <w:tc>
          <w:tcPr>
            <w:tcW w:w="1563" w:type="dxa"/>
            <w:tcBorders>
              <w:top w:val="nil"/>
              <w:left w:val="single" w:sz="2" w:space="0" w:color="auto"/>
              <w:bottom w:val="nil"/>
              <w:right w:val="single" w:sz="2" w:space="0" w:color="auto"/>
            </w:tcBorders>
          </w:tcPr>
          <w:p w14:paraId="052FB3A9" w14:textId="77777777" w:rsidR="00765C5E" w:rsidRPr="002D20CA" w:rsidRDefault="00765C5E" w:rsidP="005F2842">
            <w:pPr>
              <w:pStyle w:val="TableReference"/>
              <w:tabs>
                <w:tab w:val="left" w:pos="3306"/>
              </w:tabs>
              <w:spacing w:before="40"/>
              <w:rPr>
                <w:color w:val="7030A0"/>
                <w:sz w:val="14"/>
              </w:rPr>
            </w:pPr>
          </w:p>
        </w:tc>
        <w:tc>
          <w:tcPr>
            <w:tcW w:w="8958" w:type="dxa"/>
            <w:gridSpan w:val="2"/>
            <w:tcBorders>
              <w:top w:val="nil"/>
              <w:left w:val="single" w:sz="2" w:space="0" w:color="auto"/>
              <w:bottom w:val="nil"/>
              <w:right w:val="nil"/>
            </w:tcBorders>
            <w:vAlign w:val="bottom"/>
          </w:tcPr>
          <w:p w14:paraId="04C27F36" w14:textId="0729A432" w:rsidR="00765C5E" w:rsidRPr="002D20CA" w:rsidRDefault="00765C5E" w:rsidP="00765C5E">
            <w:pPr>
              <w:spacing w:after="60"/>
              <w:jc w:val="both"/>
              <w:rPr>
                <w:rFonts w:cs="Calibri"/>
                <w:sz w:val="18"/>
                <w:szCs w:val="18"/>
              </w:rPr>
            </w:pPr>
            <w:r w:rsidRPr="002D20CA">
              <w:rPr>
                <w:rFonts w:cs="Calibri"/>
                <w:sz w:val="18"/>
                <w:szCs w:val="18"/>
              </w:rPr>
              <w:t>Annual leave liabilities have been estimated on the assumption they will be wholly settled within three years.</w:t>
            </w:r>
            <w:r w:rsidR="00FA7C77">
              <w:rPr>
                <w:rFonts w:cs="Calibri"/>
                <w:sz w:val="18"/>
                <w:szCs w:val="18"/>
              </w:rPr>
              <w:t xml:space="preserve"> </w:t>
            </w:r>
            <w:r w:rsidRPr="002D20CA">
              <w:rPr>
                <w:rFonts w:cs="Calibri"/>
                <w:sz w:val="18"/>
                <w:szCs w:val="18"/>
              </w:rPr>
              <w:t>This financial year the rate used to estimate the present value of future:</w:t>
            </w:r>
          </w:p>
          <w:p w14:paraId="3496E793" w14:textId="507FE00E" w:rsidR="00765C5E" w:rsidRPr="002D20CA" w:rsidRDefault="00765C5E" w:rsidP="007122BC">
            <w:pPr>
              <w:numPr>
                <w:ilvl w:val="0"/>
                <w:numId w:val="41"/>
              </w:numPr>
              <w:spacing w:after="60"/>
              <w:ind w:left="604" w:hanging="284"/>
              <w:jc w:val="both"/>
              <w:rPr>
                <w:rFonts w:cs="Calibri"/>
                <w:sz w:val="18"/>
                <w:szCs w:val="18"/>
              </w:rPr>
            </w:pPr>
            <w:r w:rsidRPr="002D20CA">
              <w:rPr>
                <w:rFonts w:cs="Calibri"/>
                <w:sz w:val="18"/>
                <w:szCs w:val="18"/>
              </w:rPr>
              <w:t>annual leave payments is XX% (100.2% in the previous financial year); and</w:t>
            </w:r>
          </w:p>
          <w:p w14:paraId="120C063B" w14:textId="69D9FFB7" w:rsidR="00765C5E" w:rsidRPr="002D20CA" w:rsidRDefault="00765C5E" w:rsidP="007122BC">
            <w:pPr>
              <w:numPr>
                <w:ilvl w:val="0"/>
                <w:numId w:val="41"/>
              </w:numPr>
              <w:spacing w:after="120"/>
              <w:ind w:left="602" w:hanging="284"/>
              <w:jc w:val="both"/>
              <w:rPr>
                <w:rFonts w:cs="Calibri"/>
                <w:sz w:val="18"/>
                <w:szCs w:val="18"/>
              </w:rPr>
            </w:pPr>
            <w:r w:rsidRPr="002D20CA">
              <w:rPr>
                <w:rFonts w:cs="Calibri"/>
                <w:sz w:val="18"/>
                <w:szCs w:val="18"/>
              </w:rPr>
              <w:t>payments for long service leave is XX% (108.7% in the previous financial year).</w:t>
            </w:r>
          </w:p>
        </w:tc>
      </w:tr>
      <w:tr w:rsidR="00765C5E" w:rsidRPr="00CF7E1B" w14:paraId="265D918D" w14:textId="77777777" w:rsidTr="0004564D">
        <w:trPr>
          <w:cantSplit/>
          <w:trHeight w:val="23"/>
        </w:trPr>
        <w:tc>
          <w:tcPr>
            <w:tcW w:w="1563" w:type="dxa"/>
            <w:tcBorders>
              <w:top w:val="nil"/>
              <w:left w:val="single" w:sz="2" w:space="0" w:color="auto"/>
              <w:bottom w:val="nil"/>
              <w:right w:val="single" w:sz="2" w:space="0" w:color="auto"/>
            </w:tcBorders>
          </w:tcPr>
          <w:p w14:paraId="55A4B1C5" w14:textId="36A4962C" w:rsidR="00765C5E" w:rsidRPr="002D20CA" w:rsidRDefault="00765C5E" w:rsidP="005F2842">
            <w:pPr>
              <w:pStyle w:val="TableReference"/>
              <w:tabs>
                <w:tab w:val="left" w:pos="3306"/>
              </w:tabs>
              <w:spacing w:before="40"/>
              <w:rPr>
                <w:color w:val="7030A0"/>
                <w:sz w:val="14"/>
              </w:rPr>
            </w:pPr>
            <w:r w:rsidRPr="002D20CA">
              <w:rPr>
                <w:color w:val="7030A0"/>
                <w:sz w:val="14"/>
              </w:rPr>
              <w:t>AASB 119.60, 66 &amp; 156</w:t>
            </w:r>
          </w:p>
        </w:tc>
        <w:tc>
          <w:tcPr>
            <w:tcW w:w="8958" w:type="dxa"/>
            <w:gridSpan w:val="2"/>
            <w:tcBorders>
              <w:top w:val="nil"/>
              <w:left w:val="single" w:sz="2" w:space="0" w:color="auto"/>
              <w:bottom w:val="nil"/>
              <w:right w:val="nil"/>
            </w:tcBorders>
            <w:vAlign w:val="bottom"/>
          </w:tcPr>
          <w:p w14:paraId="2A44A43D" w14:textId="4BC0C51B" w:rsidR="00765C5E" w:rsidRPr="002D20CA" w:rsidRDefault="00765C5E" w:rsidP="005F2842">
            <w:pPr>
              <w:spacing w:after="120"/>
              <w:jc w:val="both"/>
              <w:rPr>
                <w:rFonts w:cs="Calibri"/>
                <w:sz w:val="18"/>
                <w:szCs w:val="18"/>
              </w:rPr>
            </w:pPr>
            <w:r w:rsidRPr="002D20CA">
              <w:rPr>
                <w:rFonts w:cs="Calibri"/>
                <w:sz w:val="18"/>
                <w:szCs w:val="18"/>
              </w:rPr>
              <w:t>The long service leave liability is estimated with reference to the minimum period of qualifying service. For employees with less than the required minimum period of 7 years of qualifying service, the probability that employees will reach the required minimum period has been taken into account in estimating the provision for long service leave and applicable on-costs.</w:t>
            </w:r>
          </w:p>
        </w:tc>
      </w:tr>
      <w:tr w:rsidR="00765C5E" w:rsidRPr="00CF7E1B" w14:paraId="3959A88A" w14:textId="77777777" w:rsidTr="0004564D">
        <w:trPr>
          <w:cantSplit/>
          <w:trHeight w:val="23"/>
        </w:trPr>
        <w:tc>
          <w:tcPr>
            <w:tcW w:w="1563" w:type="dxa"/>
            <w:tcBorders>
              <w:top w:val="nil"/>
              <w:left w:val="single" w:sz="2" w:space="0" w:color="auto"/>
              <w:bottom w:val="nil"/>
              <w:right w:val="single" w:sz="2" w:space="0" w:color="auto"/>
            </w:tcBorders>
          </w:tcPr>
          <w:p w14:paraId="6E05B415" w14:textId="77777777" w:rsidR="00765C5E" w:rsidRPr="002D20CA" w:rsidRDefault="00765C5E" w:rsidP="005F2842">
            <w:pPr>
              <w:pStyle w:val="TableReference"/>
              <w:tabs>
                <w:tab w:val="left" w:pos="3306"/>
              </w:tabs>
              <w:spacing w:before="40"/>
              <w:rPr>
                <w:color w:val="7030A0"/>
                <w:sz w:val="14"/>
              </w:rPr>
            </w:pPr>
          </w:p>
        </w:tc>
        <w:tc>
          <w:tcPr>
            <w:tcW w:w="8958" w:type="dxa"/>
            <w:gridSpan w:val="2"/>
            <w:tcBorders>
              <w:top w:val="nil"/>
              <w:left w:val="single" w:sz="2" w:space="0" w:color="auto"/>
              <w:bottom w:val="nil"/>
              <w:right w:val="nil"/>
            </w:tcBorders>
            <w:vAlign w:val="bottom"/>
          </w:tcPr>
          <w:p w14:paraId="6BDA8628" w14:textId="00F6D549" w:rsidR="00765C5E" w:rsidRPr="002D20CA" w:rsidRDefault="00765C5E" w:rsidP="005F2842">
            <w:pPr>
              <w:spacing w:after="120"/>
              <w:jc w:val="both"/>
              <w:rPr>
                <w:rFonts w:cs="Calibri"/>
                <w:sz w:val="18"/>
                <w:szCs w:val="18"/>
              </w:rPr>
            </w:pPr>
            <w:r w:rsidRPr="002D20CA">
              <w:rPr>
                <w:rFonts w:cs="Calibri"/>
                <w:sz w:val="18"/>
                <w:szCs w:val="18"/>
              </w:rPr>
              <w:t>On-costs only become payable if the employee takes annual and long service leave while in-service. The probability that employees will take annual and long service leave while in service has been taken into account in estimating the liability for on-costs.</w:t>
            </w:r>
          </w:p>
        </w:tc>
      </w:tr>
      <w:tr w:rsidR="00D40D59" w:rsidRPr="00CF7E1B" w14:paraId="7E1FDC0F" w14:textId="77777777" w:rsidTr="0004564D">
        <w:trPr>
          <w:cantSplit/>
          <w:trHeight w:val="23"/>
        </w:trPr>
        <w:tc>
          <w:tcPr>
            <w:tcW w:w="1563" w:type="dxa"/>
            <w:tcBorders>
              <w:top w:val="nil"/>
              <w:left w:val="single" w:sz="2" w:space="0" w:color="auto"/>
              <w:bottom w:val="nil"/>
              <w:right w:val="single" w:sz="2" w:space="0" w:color="auto"/>
            </w:tcBorders>
          </w:tcPr>
          <w:p w14:paraId="62696CF3" w14:textId="77777777" w:rsidR="00D40D59" w:rsidRPr="002D20CA" w:rsidRDefault="00D40D59" w:rsidP="005F2842">
            <w:pPr>
              <w:pStyle w:val="TableReference"/>
              <w:tabs>
                <w:tab w:val="left" w:pos="3306"/>
              </w:tabs>
              <w:spacing w:before="40"/>
              <w:rPr>
                <w:color w:val="7030A0"/>
                <w:sz w:val="14"/>
              </w:rPr>
            </w:pPr>
          </w:p>
        </w:tc>
        <w:tc>
          <w:tcPr>
            <w:tcW w:w="8958" w:type="dxa"/>
            <w:gridSpan w:val="2"/>
            <w:tcBorders>
              <w:top w:val="nil"/>
              <w:left w:val="single" w:sz="2" w:space="0" w:color="auto"/>
              <w:bottom w:val="nil"/>
              <w:right w:val="nil"/>
            </w:tcBorders>
            <w:vAlign w:val="bottom"/>
          </w:tcPr>
          <w:p w14:paraId="01859E8B" w14:textId="63D1D0E4" w:rsidR="00D40D59" w:rsidRPr="002D20CA" w:rsidRDefault="00D40D59" w:rsidP="005F2842">
            <w:pPr>
              <w:spacing w:after="120"/>
              <w:jc w:val="both"/>
              <w:rPr>
                <w:rFonts w:cs="Calibri"/>
                <w:sz w:val="18"/>
                <w:szCs w:val="18"/>
              </w:rPr>
            </w:pPr>
            <w:r w:rsidRPr="002D20CA">
              <w:rPr>
                <w:rFonts w:cs="Calibri"/>
                <w:sz w:val="18"/>
                <w:szCs w:val="18"/>
              </w:rPr>
              <w:t>Significant judgements have been applied in estimating the annual and long service leave liabilities</w:t>
            </w:r>
            <w:r w:rsidR="001B7D59" w:rsidRPr="002D20CA">
              <w:rPr>
                <w:rFonts w:cs="Calibri"/>
                <w:sz w:val="18"/>
                <w:szCs w:val="18"/>
              </w:rPr>
              <w:t>, given that ‘</w:t>
            </w:r>
            <w:r w:rsidR="00420F3A" w:rsidRPr="002D20CA">
              <w:rPr>
                <w:sz w:val="18"/>
                <w:szCs w:val="18"/>
              </w:rPr>
              <w:t>Burley Griffin</w:t>
            </w:r>
            <w:r w:rsidR="001B7D59" w:rsidRPr="002D20CA">
              <w:rPr>
                <w:rFonts w:cs="Calibri"/>
                <w:sz w:val="18"/>
                <w:szCs w:val="18"/>
              </w:rPr>
              <w:t xml:space="preserve"> Agency’ use</w:t>
            </w:r>
            <w:r w:rsidR="00CA0CD4" w:rsidRPr="002D20CA">
              <w:rPr>
                <w:rFonts w:cs="Calibri"/>
                <w:sz w:val="18"/>
                <w:szCs w:val="18"/>
              </w:rPr>
              <w:t>s</w:t>
            </w:r>
            <w:r w:rsidR="001B7D59" w:rsidRPr="002D20CA">
              <w:rPr>
                <w:rFonts w:cs="Calibri"/>
                <w:sz w:val="18"/>
                <w:szCs w:val="18"/>
              </w:rPr>
              <w:t xml:space="preserve"> </w:t>
            </w:r>
            <w:r w:rsidR="0038219B" w:rsidRPr="002D20CA">
              <w:rPr>
                <w:rFonts w:cs="Calibri"/>
                <w:sz w:val="18"/>
                <w:szCs w:val="18"/>
              </w:rPr>
              <w:t xml:space="preserve">the Whole-of-Government </w:t>
            </w:r>
            <w:r w:rsidR="001B7D59" w:rsidRPr="002D20CA">
              <w:rPr>
                <w:rFonts w:cs="Calibri"/>
                <w:sz w:val="18"/>
                <w:szCs w:val="18"/>
              </w:rPr>
              <w:t>present value, probability and on-cost factor</w:t>
            </w:r>
            <w:r w:rsidR="0038219B" w:rsidRPr="002D20CA">
              <w:rPr>
                <w:rFonts w:cs="Calibri"/>
                <w:sz w:val="18"/>
                <w:szCs w:val="18"/>
              </w:rPr>
              <w:t>s</w:t>
            </w:r>
            <w:r w:rsidR="001B7D59" w:rsidRPr="002D20CA">
              <w:rPr>
                <w:rFonts w:cs="Calibri"/>
                <w:sz w:val="18"/>
                <w:szCs w:val="18"/>
              </w:rPr>
              <w:t>.</w:t>
            </w:r>
            <w:r w:rsidR="00FA7C77">
              <w:rPr>
                <w:rFonts w:cs="Calibri"/>
                <w:sz w:val="18"/>
                <w:szCs w:val="18"/>
              </w:rPr>
              <w:t xml:space="preserve"> </w:t>
            </w:r>
            <w:r w:rsidR="00015D54" w:rsidRPr="002D20CA">
              <w:rPr>
                <w:rFonts w:cs="Calibri"/>
                <w:sz w:val="18"/>
                <w:szCs w:val="18"/>
              </w:rPr>
              <w:t>T</w:t>
            </w:r>
            <w:r w:rsidR="0038219B" w:rsidRPr="002D20CA">
              <w:rPr>
                <w:rFonts w:cs="Calibri"/>
                <w:sz w:val="18"/>
                <w:szCs w:val="18"/>
              </w:rPr>
              <w:t xml:space="preserve">hese factors </w:t>
            </w:r>
            <w:r w:rsidR="00613B21" w:rsidRPr="002D20CA">
              <w:rPr>
                <w:rFonts w:cs="Calibri"/>
                <w:sz w:val="18"/>
                <w:szCs w:val="18"/>
              </w:rPr>
              <w:t>are</w:t>
            </w:r>
            <w:r w:rsidR="0038219B" w:rsidRPr="002D20CA">
              <w:rPr>
                <w:rFonts w:cs="Calibri"/>
                <w:sz w:val="18"/>
                <w:szCs w:val="18"/>
              </w:rPr>
              <w:t xml:space="preserve"> issued by ACT Treasury </w:t>
            </w:r>
            <w:r w:rsidR="00015D54" w:rsidRPr="002D20CA">
              <w:rPr>
                <w:rFonts w:cs="Calibri"/>
                <w:sz w:val="18"/>
                <w:szCs w:val="18"/>
              </w:rPr>
              <w:t>and appl</w:t>
            </w:r>
            <w:r w:rsidR="00F2254C" w:rsidRPr="002D20CA">
              <w:rPr>
                <w:rFonts w:cs="Calibri"/>
                <w:sz w:val="18"/>
                <w:szCs w:val="18"/>
              </w:rPr>
              <w:t>y</w:t>
            </w:r>
            <w:r w:rsidR="00015D54" w:rsidRPr="002D20CA">
              <w:rPr>
                <w:rFonts w:cs="Calibri"/>
                <w:sz w:val="18"/>
                <w:szCs w:val="18"/>
              </w:rPr>
              <w:t xml:space="preserve"> </w:t>
            </w:r>
            <w:r w:rsidR="0038219B" w:rsidRPr="002D20CA">
              <w:rPr>
                <w:rFonts w:cs="Calibri"/>
                <w:sz w:val="18"/>
                <w:szCs w:val="18"/>
              </w:rPr>
              <w:t xml:space="preserve">to all ACT Government Agencies. </w:t>
            </w:r>
            <w:r w:rsidR="00613B21" w:rsidRPr="002D20CA">
              <w:rPr>
                <w:rFonts w:cs="Calibri"/>
                <w:sz w:val="18"/>
                <w:szCs w:val="18"/>
              </w:rPr>
              <w:t>ACT Treasury organises a</w:t>
            </w:r>
            <w:r w:rsidR="00015D54" w:rsidRPr="002D20CA">
              <w:rPr>
                <w:rFonts w:cs="Calibri"/>
                <w:sz w:val="18"/>
                <w:szCs w:val="18"/>
              </w:rPr>
              <w:t xml:space="preserve">n actuarial review </w:t>
            </w:r>
            <w:r w:rsidR="00613B21" w:rsidRPr="002D20CA">
              <w:rPr>
                <w:rFonts w:cs="Calibri"/>
                <w:sz w:val="18"/>
                <w:szCs w:val="18"/>
              </w:rPr>
              <w:t>to be</w:t>
            </w:r>
            <w:r w:rsidR="00015D54" w:rsidRPr="002D20CA">
              <w:rPr>
                <w:rFonts w:cs="Calibri"/>
                <w:sz w:val="18"/>
                <w:szCs w:val="18"/>
              </w:rPr>
              <w:t xml:space="preserve"> undertaken every </w:t>
            </w:r>
            <w:r w:rsidR="00C31C18" w:rsidRPr="002D20CA">
              <w:rPr>
                <w:rFonts w:cs="Calibri"/>
                <w:sz w:val="18"/>
                <w:szCs w:val="18"/>
              </w:rPr>
              <w:t>three</w:t>
            </w:r>
            <w:r w:rsidR="00015D54" w:rsidRPr="002D20CA">
              <w:rPr>
                <w:rFonts w:cs="Calibri"/>
                <w:sz w:val="18"/>
                <w:szCs w:val="18"/>
              </w:rPr>
              <w:t xml:space="preserve"> by the A</w:t>
            </w:r>
            <w:r w:rsidR="00C31C18" w:rsidRPr="002D20CA">
              <w:rPr>
                <w:rFonts w:cs="Calibri"/>
                <w:sz w:val="18"/>
                <w:szCs w:val="18"/>
              </w:rPr>
              <w:t xml:space="preserve">ustralian </w:t>
            </w:r>
            <w:r w:rsidR="00015D54" w:rsidRPr="002D20CA">
              <w:rPr>
                <w:rFonts w:cs="Calibri"/>
                <w:sz w:val="18"/>
                <w:szCs w:val="18"/>
              </w:rPr>
              <w:t>G</w:t>
            </w:r>
            <w:r w:rsidR="00C31C18" w:rsidRPr="002D20CA">
              <w:rPr>
                <w:rFonts w:cs="Calibri"/>
                <w:sz w:val="18"/>
                <w:szCs w:val="18"/>
              </w:rPr>
              <w:t xml:space="preserve">overnment </w:t>
            </w:r>
            <w:r w:rsidR="00015D54" w:rsidRPr="002D20CA">
              <w:rPr>
                <w:rFonts w:cs="Calibri"/>
                <w:sz w:val="18"/>
                <w:szCs w:val="18"/>
              </w:rPr>
              <w:t>A</w:t>
            </w:r>
            <w:r w:rsidR="00C31C18" w:rsidRPr="002D20CA">
              <w:rPr>
                <w:rFonts w:cs="Calibri"/>
                <w:sz w:val="18"/>
                <w:szCs w:val="18"/>
              </w:rPr>
              <w:t>ctuary</w:t>
            </w:r>
            <w:r w:rsidR="00015D54" w:rsidRPr="002D20CA">
              <w:rPr>
                <w:rFonts w:cs="Calibri"/>
                <w:sz w:val="18"/>
                <w:szCs w:val="18"/>
              </w:rPr>
              <w:t xml:space="preserve"> to e</w:t>
            </w:r>
            <w:r w:rsidR="0038219B" w:rsidRPr="002D20CA">
              <w:rPr>
                <w:rFonts w:cs="Calibri"/>
                <w:sz w:val="18"/>
                <w:szCs w:val="18"/>
              </w:rPr>
              <w:t>stimat</w:t>
            </w:r>
            <w:r w:rsidR="00015D54" w:rsidRPr="002D20CA">
              <w:rPr>
                <w:rFonts w:cs="Calibri"/>
                <w:sz w:val="18"/>
                <w:szCs w:val="18"/>
              </w:rPr>
              <w:t>e</w:t>
            </w:r>
            <w:r w:rsidR="0038219B" w:rsidRPr="002D20CA">
              <w:rPr>
                <w:rFonts w:cs="Calibri"/>
                <w:sz w:val="18"/>
                <w:szCs w:val="18"/>
              </w:rPr>
              <w:t xml:space="preserve"> </w:t>
            </w:r>
            <w:r w:rsidR="00015D54" w:rsidRPr="002D20CA">
              <w:rPr>
                <w:rFonts w:cs="Calibri"/>
                <w:sz w:val="18"/>
                <w:szCs w:val="18"/>
              </w:rPr>
              <w:t xml:space="preserve">each of </w:t>
            </w:r>
            <w:r w:rsidR="0038219B" w:rsidRPr="002D20CA">
              <w:rPr>
                <w:rFonts w:cs="Calibri"/>
                <w:sz w:val="18"/>
                <w:szCs w:val="18"/>
              </w:rPr>
              <w:t>these factors</w:t>
            </w:r>
            <w:r w:rsidR="00015D54" w:rsidRPr="002D20CA">
              <w:rPr>
                <w:rFonts w:cs="Calibri"/>
                <w:sz w:val="18"/>
                <w:szCs w:val="18"/>
              </w:rPr>
              <w:t>.</w:t>
            </w:r>
            <w:r w:rsidR="00FA7C77">
              <w:rPr>
                <w:rFonts w:cs="Calibri"/>
                <w:sz w:val="18"/>
                <w:szCs w:val="18"/>
              </w:rPr>
              <w:t xml:space="preserve"> </w:t>
            </w:r>
            <w:r w:rsidR="0038219B" w:rsidRPr="002D20CA">
              <w:rPr>
                <w:rFonts w:cs="Calibri"/>
                <w:sz w:val="18"/>
                <w:szCs w:val="18"/>
              </w:rPr>
              <w:t xml:space="preserve">The latest assessment </w:t>
            </w:r>
            <w:r w:rsidR="00015D54" w:rsidRPr="002D20CA">
              <w:rPr>
                <w:rFonts w:cs="Calibri"/>
                <w:sz w:val="18"/>
                <w:szCs w:val="18"/>
              </w:rPr>
              <w:t>w</w:t>
            </w:r>
            <w:r w:rsidR="0038219B" w:rsidRPr="002D20CA">
              <w:rPr>
                <w:rFonts w:cs="Calibri"/>
                <w:sz w:val="18"/>
                <w:szCs w:val="18"/>
              </w:rPr>
              <w:t xml:space="preserve">as undertaken </w:t>
            </w:r>
            <w:r w:rsidR="00015D54" w:rsidRPr="002D20CA">
              <w:rPr>
                <w:rFonts w:cs="Calibri"/>
                <w:sz w:val="18"/>
                <w:szCs w:val="18"/>
              </w:rPr>
              <w:t>in December 2021, with the next review expected to be undertaken by early 2025</w:t>
            </w:r>
            <w:r w:rsidR="00D85C31" w:rsidRPr="002D20CA">
              <w:rPr>
                <w:rFonts w:cs="Calibri"/>
                <w:sz w:val="18"/>
                <w:szCs w:val="18"/>
              </w:rPr>
              <w:t>.</w:t>
            </w:r>
          </w:p>
        </w:tc>
      </w:tr>
      <w:tr w:rsidR="003A4053" w:rsidRPr="00CF7E1B" w14:paraId="22447B7B" w14:textId="77777777" w:rsidTr="0004564D">
        <w:trPr>
          <w:cantSplit/>
          <w:trHeight w:val="23"/>
        </w:trPr>
        <w:tc>
          <w:tcPr>
            <w:tcW w:w="1563" w:type="dxa"/>
            <w:tcBorders>
              <w:top w:val="nil"/>
              <w:left w:val="single" w:sz="2" w:space="0" w:color="auto"/>
              <w:bottom w:val="nil"/>
              <w:right w:val="single" w:sz="2" w:space="0" w:color="auto"/>
            </w:tcBorders>
          </w:tcPr>
          <w:p w14:paraId="5DB99222" w14:textId="77777777" w:rsidR="003A4053" w:rsidRPr="002D20CA" w:rsidRDefault="003A4053" w:rsidP="005F2842">
            <w:pPr>
              <w:pStyle w:val="TableReference"/>
              <w:tabs>
                <w:tab w:val="left" w:pos="3306"/>
              </w:tabs>
              <w:spacing w:before="40"/>
              <w:rPr>
                <w:rFonts w:cs="Calibri"/>
                <w:color w:val="7030A0"/>
                <w:sz w:val="14"/>
              </w:rPr>
            </w:pPr>
            <w:r w:rsidRPr="002D20CA">
              <w:rPr>
                <w:color w:val="7030A0"/>
                <w:sz w:val="14"/>
              </w:rPr>
              <w:t>AASB 101.69</w:t>
            </w:r>
          </w:p>
        </w:tc>
        <w:tc>
          <w:tcPr>
            <w:tcW w:w="8958" w:type="dxa"/>
            <w:gridSpan w:val="2"/>
            <w:tcBorders>
              <w:top w:val="nil"/>
              <w:left w:val="single" w:sz="2" w:space="0" w:color="auto"/>
              <w:bottom w:val="nil"/>
              <w:right w:val="nil"/>
            </w:tcBorders>
            <w:vAlign w:val="bottom"/>
          </w:tcPr>
          <w:p w14:paraId="33280B41" w14:textId="77777777" w:rsidR="003A4053" w:rsidRPr="002D20CA" w:rsidRDefault="003A4053" w:rsidP="003A4053">
            <w:pPr>
              <w:spacing w:after="120"/>
              <w:jc w:val="both"/>
              <w:rPr>
                <w:rFonts w:cs="Calibri"/>
                <w:sz w:val="18"/>
                <w:szCs w:val="18"/>
              </w:rPr>
            </w:pPr>
            <w:r w:rsidRPr="002D20CA">
              <w:rPr>
                <w:rFonts w:cs="Calibri"/>
                <w:sz w:val="18"/>
                <w:szCs w:val="18"/>
              </w:rPr>
              <w:t>Annual leave and long service leave liabilities are classified as current liabilities in the Balance Sheet where there are no unconditional rights to defer the settlement of the liability for at least 12 months. Conditional long service leave liabilities are classified as non-current because the agency has an unconditional right to defer the settlement of the liability until the employee has completed the requisite years of service.</w:t>
            </w:r>
          </w:p>
        </w:tc>
      </w:tr>
      <w:tr w:rsidR="003A4053" w:rsidRPr="00CF7E1B" w14:paraId="655A02DE" w14:textId="77777777" w:rsidTr="0004564D">
        <w:trPr>
          <w:cantSplit/>
          <w:trHeight w:val="23"/>
        </w:trPr>
        <w:tc>
          <w:tcPr>
            <w:tcW w:w="1563" w:type="dxa"/>
            <w:tcBorders>
              <w:top w:val="nil"/>
              <w:left w:val="single" w:sz="2" w:space="0" w:color="auto"/>
              <w:bottom w:val="nil"/>
              <w:right w:val="single" w:sz="2" w:space="0" w:color="auto"/>
            </w:tcBorders>
          </w:tcPr>
          <w:p w14:paraId="3841E05F" w14:textId="77777777" w:rsidR="003A4053" w:rsidRPr="002D20CA" w:rsidRDefault="003A4053" w:rsidP="005F2842">
            <w:pPr>
              <w:pStyle w:val="TableReference"/>
              <w:tabs>
                <w:tab w:val="left" w:pos="3306"/>
              </w:tabs>
              <w:spacing w:before="40"/>
              <w:rPr>
                <w:color w:val="7030A0"/>
                <w:sz w:val="14"/>
              </w:rPr>
            </w:pPr>
          </w:p>
        </w:tc>
        <w:tc>
          <w:tcPr>
            <w:tcW w:w="8958" w:type="dxa"/>
            <w:gridSpan w:val="2"/>
            <w:tcBorders>
              <w:top w:val="nil"/>
              <w:left w:val="single" w:sz="2" w:space="0" w:color="auto"/>
              <w:bottom w:val="nil"/>
              <w:right w:val="nil"/>
            </w:tcBorders>
          </w:tcPr>
          <w:p w14:paraId="52496950" w14:textId="07C2ECC0" w:rsidR="003A4053" w:rsidRPr="002D20CA" w:rsidRDefault="003A4053" w:rsidP="005F2842">
            <w:pPr>
              <w:spacing w:after="60"/>
              <w:jc w:val="both"/>
              <w:rPr>
                <w:rFonts w:cs="Calibri"/>
                <w:sz w:val="18"/>
                <w:szCs w:val="18"/>
              </w:rPr>
            </w:pPr>
            <w:r w:rsidRPr="002D20CA">
              <w:rPr>
                <w:rFonts w:cs="Calibri"/>
                <w:i/>
                <w:iCs/>
                <w:sz w:val="18"/>
                <w:szCs w:val="18"/>
              </w:rPr>
              <w:t>Superannuation Liability</w:t>
            </w:r>
          </w:p>
        </w:tc>
      </w:tr>
      <w:tr w:rsidR="003A4053" w:rsidRPr="00CF7E1B" w14:paraId="43D9C1F8" w14:textId="77777777" w:rsidTr="0004564D">
        <w:trPr>
          <w:cantSplit/>
          <w:trHeight w:val="23"/>
        </w:trPr>
        <w:tc>
          <w:tcPr>
            <w:tcW w:w="1563" w:type="dxa"/>
            <w:tcBorders>
              <w:top w:val="nil"/>
              <w:left w:val="single" w:sz="2" w:space="0" w:color="auto"/>
              <w:bottom w:val="nil"/>
              <w:right w:val="single" w:sz="2" w:space="0" w:color="auto"/>
            </w:tcBorders>
          </w:tcPr>
          <w:p w14:paraId="492CF290" w14:textId="77777777" w:rsidR="003A4053" w:rsidRPr="002D20CA" w:rsidRDefault="003A4053" w:rsidP="005F2842">
            <w:pPr>
              <w:pStyle w:val="TableReference"/>
              <w:tabs>
                <w:tab w:val="left" w:pos="3306"/>
              </w:tabs>
              <w:spacing w:before="40"/>
              <w:rPr>
                <w:color w:val="7030A0"/>
                <w:sz w:val="14"/>
              </w:rPr>
            </w:pPr>
          </w:p>
        </w:tc>
        <w:tc>
          <w:tcPr>
            <w:tcW w:w="8958" w:type="dxa"/>
            <w:gridSpan w:val="2"/>
            <w:tcBorders>
              <w:top w:val="nil"/>
              <w:left w:val="single" w:sz="2" w:space="0" w:color="auto"/>
              <w:bottom w:val="nil"/>
              <w:right w:val="nil"/>
            </w:tcBorders>
            <w:vAlign w:val="bottom"/>
          </w:tcPr>
          <w:p w14:paraId="5C625813" w14:textId="6C27D567" w:rsidR="003A4053" w:rsidRPr="002D20CA" w:rsidRDefault="00A31F93" w:rsidP="005F2842">
            <w:pPr>
              <w:spacing w:after="120"/>
              <w:jc w:val="both"/>
              <w:rPr>
                <w:rFonts w:cs="Calibri"/>
                <w:sz w:val="18"/>
                <w:szCs w:val="18"/>
              </w:rPr>
            </w:pPr>
            <w:r w:rsidRPr="002D20CA">
              <w:rPr>
                <w:rFonts w:cs="Calibri"/>
                <w:sz w:val="18"/>
                <w:szCs w:val="18"/>
              </w:rPr>
              <w:t xml:space="preserve">The employer </w:t>
            </w:r>
            <w:r w:rsidR="003A4053" w:rsidRPr="002D20CA">
              <w:rPr>
                <w:rFonts w:cs="Calibri"/>
                <w:sz w:val="18"/>
                <w:szCs w:val="18"/>
              </w:rPr>
              <w:t xml:space="preserve">superannuation benefits </w:t>
            </w:r>
            <w:r w:rsidRPr="002D20CA">
              <w:rPr>
                <w:rFonts w:cs="Calibri"/>
                <w:sz w:val="18"/>
                <w:szCs w:val="18"/>
              </w:rPr>
              <w:t xml:space="preserve">payable to </w:t>
            </w:r>
            <w:r w:rsidR="00F2254C" w:rsidRPr="002D20CA">
              <w:rPr>
                <w:rFonts w:cs="Calibri"/>
                <w:sz w:val="18"/>
                <w:szCs w:val="18"/>
              </w:rPr>
              <w:t>‘</w:t>
            </w:r>
            <w:r w:rsidR="00F2254C" w:rsidRPr="002D20CA">
              <w:rPr>
                <w:rFonts w:asciiTheme="minorHAnsi" w:hAnsiTheme="minorHAnsi" w:cstheme="minorHAnsi"/>
                <w:sz w:val="18"/>
                <w:szCs w:val="18"/>
              </w:rPr>
              <w:t xml:space="preserve">Burley Griffin </w:t>
            </w:r>
            <w:r w:rsidR="00F2254C" w:rsidRPr="002D20CA">
              <w:rPr>
                <w:rFonts w:cs="Calibri"/>
                <w:sz w:val="18"/>
                <w:szCs w:val="18"/>
              </w:rPr>
              <w:t>Agency’ employees</w:t>
            </w:r>
            <w:r w:rsidRPr="002D20CA">
              <w:rPr>
                <w:rFonts w:cs="Calibri"/>
                <w:sz w:val="18"/>
                <w:szCs w:val="18"/>
              </w:rPr>
              <w:t>,</w:t>
            </w:r>
            <w:r w:rsidR="00F2254C" w:rsidRPr="002D20CA">
              <w:rPr>
                <w:rFonts w:cs="Calibri"/>
                <w:sz w:val="18"/>
                <w:szCs w:val="18"/>
              </w:rPr>
              <w:t xml:space="preserve"> who are members of the defined benefit CSS or PSS S</w:t>
            </w:r>
            <w:r w:rsidRPr="002D20CA">
              <w:rPr>
                <w:rFonts w:cs="Calibri"/>
                <w:sz w:val="18"/>
                <w:szCs w:val="18"/>
              </w:rPr>
              <w:t>c</w:t>
            </w:r>
            <w:r w:rsidR="00F2254C" w:rsidRPr="002D20CA">
              <w:rPr>
                <w:rFonts w:cs="Calibri"/>
                <w:sz w:val="18"/>
                <w:szCs w:val="18"/>
              </w:rPr>
              <w:t>heme</w:t>
            </w:r>
            <w:r w:rsidRPr="002D20CA">
              <w:rPr>
                <w:rFonts w:cs="Calibri"/>
                <w:sz w:val="18"/>
                <w:szCs w:val="18"/>
              </w:rPr>
              <w:t>s,</w:t>
            </w:r>
            <w:r w:rsidR="00F2254C" w:rsidRPr="002D20CA">
              <w:rPr>
                <w:rFonts w:cs="Calibri"/>
                <w:sz w:val="18"/>
                <w:szCs w:val="18"/>
              </w:rPr>
              <w:t xml:space="preserve"> </w:t>
            </w:r>
            <w:r w:rsidR="003A4053" w:rsidRPr="002D20CA">
              <w:rPr>
                <w:rFonts w:cs="Calibri"/>
                <w:sz w:val="18"/>
                <w:szCs w:val="18"/>
              </w:rPr>
              <w:t>are recognised in the financial statements of the Superannuation Provision Account.</w:t>
            </w:r>
            <w:r w:rsidR="00FA7C77">
              <w:rPr>
                <w:sz w:val="18"/>
                <w:szCs w:val="18"/>
              </w:rPr>
              <w:t xml:space="preserve"> </w:t>
            </w:r>
            <w:r w:rsidR="003A4053" w:rsidRPr="002D20CA">
              <w:rPr>
                <w:sz w:val="18"/>
                <w:szCs w:val="18"/>
              </w:rPr>
              <w:t xml:space="preserve"> </w:t>
            </w:r>
          </w:p>
        </w:tc>
      </w:tr>
      <w:tr w:rsidR="003A4053" w:rsidRPr="00CF7E1B" w14:paraId="3135F39D" w14:textId="77777777" w:rsidTr="0004564D">
        <w:trPr>
          <w:cantSplit/>
          <w:trHeight w:val="23"/>
        </w:trPr>
        <w:tc>
          <w:tcPr>
            <w:tcW w:w="1563" w:type="dxa"/>
            <w:tcBorders>
              <w:top w:val="nil"/>
              <w:left w:val="single" w:sz="2" w:space="0" w:color="auto"/>
              <w:bottom w:val="nil"/>
              <w:right w:val="single" w:sz="2" w:space="0" w:color="auto"/>
            </w:tcBorders>
          </w:tcPr>
          <w:p w14:paraId="1AB84205" w14:textId="77777777" w:rsidR="003A4053" w:rsidRPr="002D20CA" w:rsidRDefault="003A4053" w:rsidP="005F2842">
            <w:pPr>
              <w:pStyle w:val="TableReference"/>
              <w:tabs>
                <w:tab w:val="left" w:pos="3306"/>
              </w:tabs>
              <w:spacing w:before="40"/>
              <w:rPr>
                <w:rFonts w:cs="Calibri"/>
                <w:color w:val="7030A0"/>
                <w:sz w:val="16"/>
                <w:szCs w:val="16"/>
              </w:rPr>
            </w:pPr>
          </w:p>
        </w:tc>
        <w:tc>
          <w:tcPr>
            <w:tcW w:w="8958" w:type="dxa"/>
            <w:gridSpan w:val="2"/>
            <w:tcBorders>
              <w:top w:val="nil"/>
              <w:left w:val="single" w:sz="2" w:space="0" w:color="auto"/>
              <w:bottom w:val="nil"/>
              <w:right w:val="nil"/>
            </w:tcBorders>
          </w:tcPr>
          <w:p w14:paraId="29C9790F" w14:textId="49B62D9F" w:rsidR="003A4053" w:rsidRPr="002D20CA" w:rsidRDefault="003A4053" w:rsidP="003A4053">
            <w:pPr>
              <w:pStyle w:val="TableTitle"/>
              <w:tabs>
                <w:tab w:val="left" w:pos="3306"/>
              </w:tabs>
              <w:spacing w:before="120"/>
              <w:jc w:val="left"/>
            </w:pPr>
            <w:r w:rsidRPr="002D20CA">
              <w:t xml:space="preserve">COVID-19 </w:t>
            </w:r>
            <w:r w:rsidR="00F777FA" w:rsidRPr="002D20CA">
              <w:t>Impact</w:t>
            </w:r>
          </w:p>
        </w:tc>
      </w:tr>
      <w:tr w:rsidR="003A4053" w:rsidRPr="00CF7E1B" w14:paraId="3043CAF0" w14:textId="77777777" w:rsidTr="0004564D">
        <w:trPr>
          <w:cantSplit/>
          <w:trHeight w:val="23"/>
        </w:trPr>
        <w:tc>
          <w:tcPr>
            <w:tcW w:w="1563" w:type="dxa"/>
            <w:tcBorders>
              <w:top w:val="nil"/>
              <w:left w:val="single" w:sz="2" w:space="0" w:color="auto"/>
              <w:bottom w:val="nil"/>
              <w:right w:val="single" w:sz="2" w:space="0" w:color="auto"/>
            </w:tcBorders>
          </w:tcPr>
          <w:p w14:paraId="7DCFAC97" w14:textId="77777777" w:rsidR="003A4053" w:rsidRPr="002D20CA" w:rsidRDefault="003A4053" w:rsidP="005F2842">
            <w:pPr>
              <w:pStyle w:val="TableReference"/>
              <w:tabs>
                <w:tab w:val="left" w:pos="3306"/>
              </w:tabs>
              <w:spacing w:before="40"/>
              <w:rPr>
                <w:rFonts w:cs="Calibri"/>
                <w:color w:val="7030A0"/>
                <w:sz w:val="16"/>
                <w:szCs w:val="16"/>
              </w:rPr>
            </w:pPr>
          </w:p>
        </w:tc>
        <w:tc>
          <w:tcPr>
            <w:tcW w:w="8958" w:type="dxa"/>
            <w:gridSpan w:val="2"/>
            <w:tcBorders>
              <w:top w:val="nil"/>
              <w:left w:val="single" w:sz="2" w:space="0" w:color="auto"/>
              <w:bottom w:val="nil"/>
              <w:right w:val="nil"/>
            </w:tcBorders>
            <w:vAlign w:val="bottom"/>
          </w:tcPr>
          <w:p w14:paraId="231D25E7" w14:textId="698EC2A0" w:rsidR="003A4053" w:rsidRPr="002D20CA" w:rsidRDefault="003A4053" w:rsidP="00765C5E">
            <w:pPr>
              <w:pStyle w:val="TableText"/>
              <w:tabs>
                <w:tab w:val="left" w:pos="3306"/>
              </w:tabs>
              <w:jc w:val="both"/>
              <w:rPr>
                <w:rFonts w:cs="Calibri"/>
              </w:rPr>
            </w:pPr>
            <w:r w:rsidRPr="002D20CA">
              <w:t>As part of the ACT Government’s response to the COVID-19 pandemic a ‘Jobs for Canberrans’ program was established to provide secure work opportunities for Canberrans who have relied on casual work and are not eligible for the Australian Government’s wage subsidy scheme.</w:t>
            </w:r>
            <w:r w:rsidR="00FA7C77">
              <w:t xml:space="preserve"> </w:t>
            </w:r>
            <w:r w:rsidRPr="002D20CA">
              <w:t>This program has had a material impact on employee expenses with an additional 27 staff being employed throughout 2021</w:t>
            </w:r>
            <w:r w:rsidRPr="002D20CA">
              <w:noBreakHyphen/>
              <w:t>22 under this program at a cost of $</w:t>
            </w:r>
            <w:r w:rsidR="00F2254C" w:rsidRPr="002D20CA">
              <w:t>xxx</w:t>
            </w:r>
            <w:r w:rsidRPr="002D20CA">
              <w:t>.</w:t>
            </w:r>
          </w:p>
        </w:tc>
      </w:tr>
    </w:tbl>
    <w:p w14:paraId="6AC375E0" w14:textId="678DF98D" w:rsidR="003A4053" w:rsidRDefault="003A4053"/>
    <w:p w14:paraId="4CAB74A2" w14:textId="68A63F98" w:rsidR="003A4053" w:rsidRDefault="003A4053"/>
    <w:p w14:paraId="4CE294C4" w14:textId="6F71E856" w:rsidR="003A4053" w:rsidRDefault="003A4053"/>
    <w:p w14:paraId="7FEB2333" w14:textId="7AB25462" w:rsidR="00D876C9" w:rsidRDefault="00D876C9"/>
    <w:p w14:paraId="265C335B" w14:textId="3A2AF85C" w:rsidR="00D876C9" w:rsidRDefault="00D876C9"/>
    <w:p w14:paraId="1D86B425" w14:textId="77777777" w:rsidR="00D876C9" w:rsidRDefault="00D876C9"/>
    <w:p w14:paraId="50B48D45" w14:textId="399C651C" w:rsidR="003A4053" w:rsidRDefault="003A4053"/>
    <w:p w14:paraId="3FDFC33B" w14:textId="06518308" w:rsidR="003A4053" w:rsidRDefault="003A4053"/>
    <w:p w14:paraId="001C8029" w14:textId="606D457D" w:rsidR="003A4053" w:rsidRDefault="003A4053"/>
    <w:p w14:paraId="5B0FA6C6" w14:textId="77777777" w:rsidR="003A4053" w:rsidRDefault="003A4053"/>
    <w:bookmarkEnd w:id="599"/>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6095"/>
        <w:gridCol w:w="283"/>
        <w:gridCol w:w="1276"/>
        <w:gridCol w:w="1276"/>
      </w:tblGrid>
      <w:tr w:rsidR="002D20CA" w:rsidRPr="00CF7E1B" w14:paraId="48D65603" w14:textId="77777777" w:rsidTr="0004564D">
        <w:trPr>
          <w:cantSplit/>
          <w:trHeight w:val="23"/>
        </w:trPr>
        <w:tc>
          <w:tcPr>
            <w:tcW w:w="1560" w:type="dxa"/>
            <w:tcBorders>
              <w:top w:val="nil"/>
              <w:left w:val="single" w:sz="2" w:space="0" w:color="auto"/>
              <w:bottom w:val="nil"/>
              <w:right w:val="single" w:sz="2" w:space="0" w:color="auto"/>
            </w:tcBorders>
          </w:tcPr>
          <w:p w14:paraId="38804A11" w14:textId="4CCA221F" w:rsidR="002D20CA" w:rsidRPr="002D20CA" w:rsidRDefault="002D20CA" w:rsidP="002D20CA">
            <w:pPr>
              <w:pStyle w:val="TableReference"/>
              <w:tabs>
                <w:tab w:val="left" w:pos="3306"/>
              </w:tabs>
              <w:spacing w:before="240" w:after="240"/>
              <w:rPr>
                <w:rFonts w:cs="Calibri"/>
                <w:strike/>
                <w:color w:val="7030A0"/>
                <w:sz w:val="16"/>
                <w:szCs w:val="16"/>
              </w:rPr>
            </w:pPr>
            <w:r w:rsidRPr="002D20CA">
              <w:rPr>
                <w:color w:val="7030A0"/>
              </w:rPr>
              <w:br w:type="page"/>
            </w:r>
            <w:r w:rsidRPr="002D20CA">
              <w:rPr>
                <w:color w:val="7030A0"/>
              </w:rPr>
              <w:br w:type="page"/>
            </w:r>
            <w:r w:rsidRPr="002D20CA">
              <w:rPr>
                <w:rFonts w:cs="Calibri"/>
                <w:b/>
                <w:color w:val="7030A0"/>
                <w:sz w:val="22"/>
                <w:szCs w:val="22"/>
              </w:rPr>
              <w:t>Reference</w:t>
            </w:r>
          </w:p>
        </w:tc>
        <w:tc>
          <w:tcPr>
            <w:tcW w:w="8930" w:type="dxa"/>
            <w:gridSpan w:val="4"/>
            <w:tcBorders>
              <w:top w:val="nil"/>
              <w:left w:val="single" w:sz="2" w:space="0" w:color="auto"/>
              <w:bottom w:val="nil"/>
              <w:right w:val="nil"/>
            </w:tcBorders>
          </w:tcPr>
          <w:p w14:paraId="1EA8B28C" w14:textId="01B65E24" w:rsidR="002D20CA" w:rsidRPr="002D20CA" w:rsidRDefault="002D20CA" w:rsidP="002D20CA">
            <w:pPr>
              <w:pStyle w:val="Heading1"/>
              <w:numPr>
                <w:ilvl w:val="0"/>
                <w:numId w:val="0"/>
              </w:numPr>
              <w:rPr>
                <w:rFonts w:cs="Calibri"/>
              </w:rPr>
            </w:pPr>
            <w:bookmarkStart w:id="603" w:name="_Toc98763148"/>
            <w:r w:rsidRPr="002D20CA">
              <w:t>Note 27.</w:t>
            </w:r>
            <w:r w:rsidR="00FA7C77">
              <w:t xml:space="preserve"> </w:t>
            </w:r>
            <w:r w:rsidRPr="002D20CA">
              <w:t xml:space="preserve"> Employee Benefits </w:t>
            </w:r>
            <w:r w:rsidR="00C87392">
              <w:t>–</w:t>
            </w:r>
            <w:r w:rsidRPr="002D20CA">
              <w:t xml:space="preserve"> Continued</w:t>
            </w:r>
            <w:bookmarkEnd w:id="603"/>
            <w:r w:rsidR="00C87392">
              <w:t xml:space="preserve"> </w:t>
            </w:r>
          </w:p>
        </w:tc>
      </w:tr>
      <w:tr w:rsidR="002D20CA" w:rsidRPr="00CF7E1B" w14:paraId="7AF558CC" w14:textId="77777777" w:rsidTr="0004564D">
        <w:trPr>
          <w:cantSplit/>
          <w:trHeight w:val="23"/>
        </w:trPr>
        <w:tc>
          <w:tcPr>
            <w:tcW w:w="1560" w:type="dxa"/>
            <w:tcBorders>
              <w:top w:val="nil"/>
              <w:left w:val="single" w:sz="2" w:space="0" w:color="auto"/>
              <w:bottom w:val="nil"/>
              <w:right w:val="single" w:sz="2" w:space="0" w:color="auto"/>
            </w:tcBorders>
          </w:tcPr>
          <w:p w14:paraId="59FC2F52" w14:textId="77777777" w:rsidR="002D20CA" w:rsidRPr="002D20CA" w:rsidRDefault="002D20CA" w:rsidP="002D20CA">
            <w:pPr>
              <w:pStyle w:val="TableReference"/>
              <w:tabs>
                <w:tab w:val="left" w:pos="3306"/>
              </w:tabs>
              <w:spacing w:before="40"/>
              <w:rPr>
                <w:rFonts w:cs="Calibri"/>
                <w:strike/>
                <w:color w:val="7030A0"/>
                <w:sz w:val="16"/>
                <w:szCs w:val="16"/>
              </w:rPr>
            </w:pPr>
          </w:p>
        </w:tc>
        <w:tc>
          <w:tcPr>
            <w:tcW w:w="6095" w:type="dxa"/>
            <w:tcBorders>
              <w:top w:val="nil"/>
              <w:left w:val="single" w:sz="2" w:space="0" w:color="auto"/>
              <w:bottom w:val="nil"/>
              <w:right w:val="nil"/>
            </w:tcBorders>
            <w:vAlign w:val="bottom"/>
          </w:tcPr>
          <w:p w14:paraId="3AB03821" w14:textId="77777777" w:rsidR="002D20CA" w:rsidRPr="002D20CA" w:rsidRDefault="002D20CA" w:rsidP="002D20CA">
            <w:pPr>
              <w:pStyle w:val="TableTitle"/>
              <w:tabs>
                <w:tab w:val="left" w:pos="3306"/>
              </w:tabs>
              <w:rPr>
                <w:rFonts w:cs="Calibri"/>
                <w:strike/>
              </w:rPr>
            </w:pPr>
          </w:p>
        </w:tc>
        <w:tc>
          <w:tcPr>
            <w:tcW w:w="1559" w:type="dxa"/>
            <w:gridSpan w:val="2"/>
            <w:tcBorders>
              <w:top w:val="nil"/>
              <w:left w:val="nil"/>
              <w:bottom w:val="nil"/>
              <w:right w:val="nil"/>
            </w:tcBorders>
          </w:tcPr>
          <w:p w14:paraId="742DAE3B" w14:textId="77777777" w:rsidR="002D20CA" w:rsidRPr="002D20CA" w:rsidRDefault="002D20CA" w:rsidP="002D20CA">
            <w:pPr>
              <w:pStyle w:val="TableTitle"/>
              <w:tabs>
                <w:tab w:val="left" w:pos="3306"/>
              </w:tabs>
              <w:rPr>
                <w:rFonts w:cs="Calibri"/>
              </w:rPr>
            </w:pPr>
            <w:r w:rsidRPr="002D20CA">
              <w:rPr>
                <w:rFonts w:cs="Calibri"/>
              </w:rPr>
              <w:t>2022</w:t>
            </w:r>
          </w:p>
          <w:p w14:paraId="15660D94" w14:textId="17821535" w:rsidR="002D20CA" w:rsidRPr="002D20CA" w:rsidRDefault="002D20CA" w:rsidP="002D20CA">
            <w:pPr>
              <w:pStyle w:val="TableTitle"/>
              <w:tabs>
                <w:tab w:val="left" w:pos="3306"/>
              </w:tabs>
              <w:rPr>
                <w:rFonts w:cs="Calibri"/>
              </w:rPr>
            </w:pPr>
            <w:r w:rsidRPr="002D20CA">
              <w:rPr>
                <w:rFonts w:cs="Calibri"/>
              </w:rPr>
              <w:t>$’000</w:t>
            </w:r>
          </w:p>
        </w:tc>
        <w:tc>
          <w:tcPr>
            <w:tcW w:w="1276" w:type="dxa"/>
            <w:tcBorders>
              <w:top w:val="nil"/>
              <w:left w:val="nil"/>
              <w:bottom w:val="nil"/>
              <w:right w:val="nil"/>
            </w:tcBorders>
          </w:tcPr>
          <w:p w14:paraId="4D3B0FA7" w14:textId="77777777" w:rsidR="002D20CA" w:rsidRPr="0009580B" w:rsidRDefault="002D20CA" w:rsidP="002D20CA">
            <w:pPr>
              <w:pStyle w:val="TableTitle"/>
              <w:tabs>
                <w:tab w:val="left" w:pos="3306"/>
              </w:tabs>
              <w:rPr>
                <w:rFonts w:cs="Calibri"/>
              </w:rPr>
            </w:pPr>
            <w:r w:rsidRPr="002D20CA">
              <w:rPr>
                <w:rFonts w:cs="Calibri"/>
              </w:rPr>
              <w:t>2021</w:t>
            </w:r>
          </w:p>
          <w:p w14:paraId="0723941A" w14:textId="6DD4578D" w:rsidR="002D20CA" w:rsidRPr="002D20CA" w:rsidRDefault="002D20CA" w:rsidP="002D20CA">
            <w:pPr>
              <w:pStyle w:val="TableTitle"/>
              <w:tabs>
                <w:tab w:val="left" w:pos="3306"/>
              </w:tabs>
              <w:rPr>
                <w:rFonts w:cs="Calibri"/>
              </w:rPr>
            </w:pPr>
            <w:r w:rsidRPr="002D20CA">
              <w:rPr>
                <w:rFonts w:cs="Calibri"/>
              </w:rPr>
              <w:t>$’000</w:t>
            </w:r>
          </w:p>
        </w:tc>
      </w:tr>
      <w:tr w:rsidR="002D20CA" w:rsidRPr="00CF7E1B" w14:paraId="50BCD606" w14:textId="77777777" w:rsidTr="0004564D">
        <w:trPr>
          <w:cantSplit/>
          <w:trHeight w:val="23"/>
        </w:trPr>
        <w:tc>
          <w:tcPr>
            <w:tcW w:w="1560" w:type="dxa"/>
            <w:tcBorders>
              <w:top w:val="nil"/>
              <w:left w:val="single" w:sz="2" w:space="0" w:color="auto"/>
              <w:bottom w:val="nil"/>
              <w:right w:val="single" w:sz="2" w:space="0" w:color="auto"/>
            </w:tcBorders>
          </w:tcPr>
          <w:p w14:paraId="61AE90EC" w14:textId="77777777" w:rsidR="002D20CA" w:rsidRPr="002D20CA" w:rsidRDefault="002D20CA" w:rsidP="002D20CA">
            <w:pPr>
              <w:pStyle w:val="TableReference"/>
              <w:tabs>
                <w:tab w:val="left" w:pos="3306"/>
              </w:tabs>
              <w:spacing w:before="40"/>
              <w:rPr>
                <w:rFonts w:cs="Calibri"/>
                <w:color w:val="7030A0"/>
                <w:sz w:val="14"/>
              </w:rPr>
            </w:pPr>
            <w:r w:rsidRPr="002D20CA">
              <w:rPr>
                <w:rFonts w:cs="Calibri"/>
                <w:color w:val="7030A0"/>
                <w:sz w:val="14"/>
              </w:rPr>
              <w:t>ACT Accounting Policy</w:t>
            </w:r>
          </w:p>
        </w:tc>
        <w:tc>
          <w:tcPr>
            <w:tcW w:w="6095" w:type="dxa"/>
            <w:tcBorders>
              <w:top w:val="nil"/>
              <w:left w:val="single" w:sz="2" w:space="0" w:color="auto"/>
              <w:bottom w:val="nil"/>
              <w:right w:val="nil"/>
            </w:tcBorders>
            <w:vAlign w:val="bottom"/>
          </w:tcPr>
          <w:p w14:paraId="00FA93CA" w14:textId="77777777" w:rsidR="002D20CA" w:rsidRPr="002D20CA" w:rsidRDefault="002D20CA" w:rsidP="002D20CA">
            <w:pPr>
              <w:pStyle w:val="TableText"/>
              <w:tabs>
                <w:tab w:val="left" w:pos="3306"/>
              </w:tabs>
              <w:rPr>
                <w:rFonts w:cs="Calibri"/>
                <w:b/>
                <w:bCs/>
              </w:rPr>
            </w:pPr>
            <w:r w:rsidRPr="002D20CA">
              <w:rPr>
                <w:rFonts w:cs="Calibri"/>
                <w:b/>
                <w:bCs/>
              </w:rPr>
              <w:t>Current Employee Benefits</w:t>
            </w:r>
          </w:p>
        </w:tc>
        <w:tc>
          <w:tcPr>
            <w:tcW w:w="1559" w:type="dxa"/>
            <w:gridSpan w:val="2"/>
            <w:tcBorders>
              <w:top w:val="nil"/>
              <w:left w:val="nil"/>
              <w:bottom w:val="nil"/>
              <w:right w:val="nil"/>
            </w:tcBorders>
            <w:vAlign w:val="bottom"/>
          </w:tcPr>
          <w:p w14:paraId="28046EFF" w14:textId="77777777"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4D22F278" w14:textId="77777777" w:rsidR="002D20CA" w:rsidRPr="002D20CA" w:rsidRDefault="002D20CA" w:rsidP="002D20CA">
            <w:pPr>
              <w:pStyle w:val="TableText"/>
              <w:tabs>
                <w:tab w:val="left" w:pos="3306"/>
              </w:tabs>
              <w:jc w:val="right"/>
              <w:rPr>
                <w:rFonts w:cs="Calibri"/>
              </w:rPr>
            </w:pPr>
          </w:p>
        </w:tc>
      </w:tr>
      <w:tr w:rsidR="002D20CA" w:rsidRPr="00CF7E1B" w14:paraId="3B2A3481" w14:textId="77777777" w:rsidTr="0004564D">
        <w:trPr>
          <w:cantSplit/>
          <w:trHeight w:val="23"/>
        </w:trPr>
        <w:tc>
          <w:tcPr>
            <w:tcW w:w="1560" w:type="dxa"/>
            <w:tcBorders>
              <w:top w:val="nil"/>
              <w:left w:val="single" w:sz="2" w:space="0" w:color="auto"/>
              <w:bottom w:val="nil"/>
              <w:right w:val="single" w:sz="2" w:space="0" w:color="auto"/>
            </w:tcBorders>
          </w:tcPr>
          <w:p w14:paraId="776B800A"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721BF3FE" w14:textId="77777777" w:rsidR="002D20CA" w:rsidRPr="002D20CA" w:rsidRDefault="002D20CA" w:rsidP="002D20CA">
            <w:pPr>
              <w:pStyle w:val="TableText"/>
              <w:tabs>
                <w:tab w:val="left" w:pos="3306"/>
              </w:tabs>
              <w:rPr>
                <w:rFonts w:cs="Calibri"/>
              </w:rPr>
            </w:pPr>
            <w:r w:rsidRPr="002D20CA">
              <w:rPr>
                <w:rFonts w:cs="Calibri"/>
              </w:rPr>
              <w:t>Annual Leave</w:t>
            </w:r>
          </w:p>
        </w:tc>
        <w:tc>
          <w:tcPr>
            <w:tcW w:w="1559" w:type="dxa"/>
            <w:gridSpan w:val="2"/>
            <w:tcBorders>
              <w:top w:val="nil"/>
              <w:left w:val="nil"/>
              <w:bottom w:val="nil"/>
              <w:right w:val="nil"/>
            </w:tcBorders>
            <w:vAlign w:val="bottom"/>
          </w:tcPr>
          <w:p w14:paraId="356C5AEC" w14:textId="08665085"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18E8EF1F" w14:textId="68BF27CA" w:rsidR="002D20CA" w:rsidRPr="002D20CA" w:rsidRDefault="002D20CA" w:rsidP="002D20CA">
            <w:pPr>
              <w:pStyle w:val="TableText"/>
              <w:tabs>
                <w:tab w:val="left" w:pos="3306"/>
              </w:tabs>
              <w:jc w:val="right"/>
              <w:rPr>
                <w:rFonts w:cs="Calibri"/>
              </w:rPr>
            </w:pPr>
          </w:p>
        </w:tc>
      </w:tr>
      <w:tr w:rsidR="002D20CA" w:rsidRPr="00CF7E1B" w14:paraId="69B7D307" w14:textId="77777777" w:rsidTr="0004564D">
        <w:trPr>
          <w:cantSplit/>
          <w:trHeight w:val="23"/>
        </w:trPr>
        <w:tc>
          <w:tcPr>
            <w:tcW w:w="1560" w:type="dxa"/>
            <w:tcBorders>
              <w:top w:val="nil"/>
              <w:left w:val="single" w:sz="2" w:space="0" w:color="auto"/>
              <w:bottom w:val="nil"/>
              <w:right w:val="single" w:sz="2" w:space="0" w:color="auto"/>
            </w:tcBorders>
          </w:tcPr>
          <w:p w14:paraId="5D2D1433"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256CD27A" w14:textId="4696A53C" w:rsidR="002D20CA" w:rsidRPr="002D20CA" w:rsidRDefault="002D20CA" w:rsidP="002D20CA">
            <w:pPr>
              <w:pStyle w:val="TableText"/>
              <w:tabs>
                <w:tab w:val="left" w:pos="3306"/>
              </w:tabs>
              <w:rPr>
                <w:rFonts w:cs="Calibri"/>
              </w:rPr>
            </w:pPr>
            <w:r w:rsidRPr="002D20CA">
              <w:rPr>
                <w:rFonts w:cs="Calibri"/>
              </w:rPr>
              <w:t>Long Service Leave</w:t>
            </w:r>
            <w:r w:rsidRPr="002D20CA">
              <w:rPr>
                <w:rFonts w:cs="Calibri"/>
                <w:vertAlign w:val="superscript"/>
              </w:rPr>
              <w:t>a</w:t>
            </w:r>
          </w:p>
        </w:tc>
        <w:tc>
          <w:tcPr>
            <w:tcW w:w="1559" w:type="dxa"/>
            <w:gridSpan w:val="2"/>
            <w:tcBorders>
              <w:top w:val="nil"/>
              <w:left w:val="nil"/>
              <w:bottom w:val="nil"/>
              <w:right w:val="nil"/>
            </w:tcBorders>
            <w:vAlign w:val="bottom"/>
          </w:tcPr>
          <w:p w14:paraId="5AD36604" w14:textId="1F92A772"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7AFD7D2B" w14:textId="582BB384" w:rsidR="002D20CA" w:rsidRPr="002D20CA" w:rsidRDefault="002D20CA" w:rsidP="002D20CA">
            <w:pPr>
              <w:pStyle w:val="TableText"/>
              <w:tabs>
                <w:tab w:val="left" w:pos="3306"/>
              </w:tabs>
              <w:jc w:val="right"/>
              <w:rPr>
                <w:rFonts w:cs="Calibri"/>
              </w:rPr>
            </w:pPr>
          </w:p>
        </w:tc>
      </w:tr>
      <w:tr w:rsidR="002D20CA" w:rsidRPr="00CF7E1B" w14:paraId="2CC42772" w14:textId="77777777" w:rsidTr="0004564D">
        <w:trPr>
          <w:cantSplit/>
          <w:trHeight w:val="23"/>
        </w:trPr>
        <w:tc>
          <w:tcPr>
            <w:tcW w:w="1560" w:type="dxa"/>
            <w:tcBorders>
              <w:top w:val="nil"/>
              <w:left w:val="single" w:sz="2" w:space="0" w:color="auto"/>
              <w:bottom w:val="nil"/>
              <w:right w:val="single" w:sz="2" w:space="0" w:color="auto"/>
            </w:tcBorders>
          </w:tcPr>
          <w:p w14:paraId="4C27AFD9"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2991FEC9" w14:textId="77777777" w:rsidR="002D20CA" w:rsidRPr="002D20CA" w:rsidRDefault="002D20CA" w:rsidP="002D20CA">
            <w:pPr>
              <w:pStyle w:val="TableText"/>
              <w:tabs>
                <w:tab w:val="left" w:pos="3306"/>
              </w:tabs>
              <w:rPr>
                <w:rFonts w:cs="Calibri"/>
              </w:rPr>
            </w:pPr>
            <w:r w:rsidRPr="002D20CA">
              <w:rPr>
                <w:rFonts w:cs="Calibri"/>
              </w:rPr>
              <w:t>Accrued Salaries</w:t>
            </w:r>
          </w:p>
        </w:tc>
        <w:tc>
          <w:tcPr>
            <w:tcW w:w="1559" w:type="dxa"/>
            <w:gridSpan w:val="2"/>
            <w:tcBorders>
              <w:top w:val="nil"/>
              <w:left w:val="nil"/>
              <w:bottom w:val="nil"/>
              <w:right w:val="nil"/>
            </w:tcBorders>
            <w:vAlign w:val="bottom"/>
          </w:tcPr>
          <w:p w14:paraId="60E82E86" w14:textId="0C1A813B"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464DABC9" w14:textId="582E87BF" w:rsidR="002D20CA" w:rsidRPr="002D20CA" w:rsidRDefault="002D20CA" w:rsidP="002D20CA">
            <w:pPr>
              <w:pStyle w:val="TableText"/>
              <w:tabs>
                <w:tab w:val="left" w:pos="3306"/>
              </w:tabs>
              <w:jc w:val="right"/>
              <w:rPr>
                <w:rFonts w:cs="Calibri"/>
              </w:rPr>
            </w:pPr>
          </w:p>
        </w:tc>
      </w:tr>
      <w:tr w:rsidR="002D20CA" w:rsidRPr="00CF7E1B" w14:paraId="255341FB" w14:textId="77777777" w:rsidTr="0004564D">
        <w:trPr>
          <w:cantSplit/>
          <w:trHeight w:val="23"/>
        </w:trPr>
        <w:tc>
          <w:tcPr>
            <w:tcW w:w="1560" w:type="dxa"/>
            <w:tcBorders>
              <w:top w:val="nil"/>
              <w:left w:val="single" w:sz="2" w:space="0" w:color="auto"/>
              <w:bottom w:val="nil"/>
              <w:right w:val="single" w:sz="2" w:space="0" w:color="auto"/>
            </w:tcBorders>
          </w:tcPr>
          <w:p w14:paraId="7C2A09B1"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73C2BDDD" w14:textId="6CBE21EA" w:rsidR="002D20CA" w:rsidRPr="002D20CA" w:rsidRDefault="002D20CA" w:rsidP="002D20CA">
            <w:pPr>
              <w:pStyle w:val="TableText"/>
              <w:tabs>
                <w:tab w:val="left" w:pos="3306"/>
              </w:tabs>
              <w:rPr>
                <w:rFonts w:cs="Calibri"/>
              </w:rPr>
            </w:pPr>
            <w:r w:rsidRPr="002D20CA">
              <w:rPr>
                <w:rFonts w:cs="Calibri"/>
              </w:rPr>
              <w:t>Termination Benefits due to Restructure</w:t>
            </w:r>
            <w:r w:rsidRPr="002D20CA">
              <w:rPr>
                <w:rFonts w:cs="Calibri"/>
                <w:vertAlign w:val="superscript"/>
              </w:rPr>
              <w:t>b</w:t>
            </w:r>
          </w:p>
        </w:tc>
        <w:tc>
          <w:tcPr>
            <w:tcW w:w="1559" w:type="dxa"/>
            <w:gridSpan w:val="2"/>
            <w:tcBorders>
              <w:top w:val="nil"/>
              <w:left w:val="nil"/>
              <w:bottom w:val="nil"/>
              <w:right w:val="nil"/>
            </w:tcBorders>
            <w:vAlign w:val="bottom"/>
          </w:tcPr>
          <w:p w14:paraId="10FABD27" w14:textId="788AA4C9"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7E372A00" w14:textId="6FDC7BEA" w:rsidR="002D20CA" w:rsidRPr="002D20CA" w:rsidRDefault="002D20CA" w:rsidP="002D20CA">
            <w:pPr>
              <w:pStyle w:val="TableText"/>
              <w:tabs>
                <w:tab w:val="left" w:pos="3306"/>
              </w:tabs>
              <w:jc w:val="right"/>
              <w:rPr>
                <w:rFonts w:cs="Calibri"/>
              </w:rPr>
            </w:pPr>
          </w:p>
        </w:tc>
      </w:tr>
      <w:tr w:rsidR="002D20CA" w:rsidRPr="00CF7E1B" w14:paraId="6A33A66C" w14:textId="77777777" w:rsidTr="0004564D">
        <w:trPr>
          <w:cantSplit/>
          <w:trHeight w:val="23"/>
        </w:trPr>
        <w:tc>
          <w:tcPr>
            <w:tcW w:w="1560" w:type="dxa"/>
            <w:tcBorders>
              <w:top w:val="nil"/>
              <w:left w:val="single" w:sz="2" w:space="0" w:color="auto"/>
              <w:bottom w:val="nil"/>
              <w:right w:val="single" w:sz="2" w:space="0" w:color="auto"/>
            </w:tcBorders>
          </w:tcPr>
          <w:p w14:paraId="0616F6F4"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3A0CAE08" w14:textId="77777777" w:rsidR="002D20CA" w:rsidRPr="002D20CA" w:rsidRDefault="002D20CA" w:rsidP="002D20CA">
            <w:pPr>
              <w:pStyle w:val="TableText"/>
              <w:tabs>
                <w:tab w:val="left" w:pos="3306"/>
              </w:tabs>
              <w:rPr>
                <w:rFonts w:cs="Calibri"/>
              </w:rPr>
            </w:pPr>
            <w:r w:rsidRPr="002D20CA">
              <w:rPr>
                <w:rFonts w:cs="Calibri"/>
              </w:rPr>
              <w:t>Other Benefits</w:t>
            </w:r>
          </w:p>
        </w:tc>
        <w:tc>
          <w:tcPr>
            <w:tcW w:w="1559" w:type="dxa"/>
            <w:gridSpan w:val="2"/>
            <w:tcBorders>
              <w:top w:val="nil"/>
              <w:left w:val="nil"/>
              <w:bottom w:val="single" w:sz="2" w:space="0" w:color="auto"/>
              <w:right w:val="nil"/>
            </w:tcBorders>
            <w:vAlign w:val="bottom"/>
          </w:tcPr>
          <w:p w14:paraId="137D3603" w14:textId="384ED13C" w:rsidR="002D20CA" w:rsidRPr="002D20CA" w:rsidRDefault="002D20CA" w:rsidP="002D20CA">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458DC10B" w14:textId="79E098B2" w:rsidR="002D20CA" w:rsidRPr="002D20CA" w:rsidRDefault="002D20CA" w:rsidP="002D20CA">
            <w:pPr>
              <w:pStyle w:val="TableText"/>
              <w:tabs>
                <w:tab w:val="left" w:pos="3306"/>
              </w:tabs>
              <w:jc w:val="right"/>
              <w:rPr>
                <w:rFonts w:cs="Calibri"/>
              </w:rPr>
            </w:pPr>
          </w:p>
        </w:tc>
      </w:tr>
      <w:tr w:rsidR="002D20CA" w:rsidRPr="00CF7E1B" w14:paraId="38E6C326" w14:textId="77777777" w:rsidTr="0004564D">
        <w:trPr>
          <w:cantSplit/>
          <w:trHeight w:val="23"/>
        </w:trPr>
        <w:tc>
          <w:tcPr>
            <w:tcW w:w="1560" w:type="dxa"/>
            <w:tcBorders>
              <w:top w:val="nil"/>
              <w:left w:val="single" w:sz="2" w:space="0" w:color="auto"/>
              <w:bottom w:val="nil"/>
              <w:right w:val="single" w:sz="2" w:space="0" w:color="auto"/>
            </w:tcBorders>
          </w:tcPr>
          <w:p w14:paraId="5A847EDC"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2803A0E7" w14:textId="77777777" w:rsidR="002D20CA" w:rsidRPr="002D20CA" w:rsidRDefault="002D20CA" w:rsidP="002D20CA">
            <w:pPr>
              <w:pStyle w:val="TableText"/>
              <w:tabs>
                <w:tab w:val="left" w:pos="3306"/>
              </w:tabs>
              <w:rPr>
                <w:rFonts w:cs="Calibri"/>
                <w:b/>
                <w:bCs/>
              </w:rPr>
            </w:pPr>
            <w:r w:rsidRPr="002D20CA">
              <w:rPr>
                <w:rFonts w:cs="Calibri"/>
                <w:b/>
                <w:bCs/>
              </w:rPr>
              <w:t xml:space="preserve">Total Current Employee Benefits </w:t>
            </w:r>
          </w:p>
        </w:tc>
        <w:tc>
          <w:tcPr>
            <w:tcW w:w="1559" w:type="dxa"/>
            <w:gridSpan w:val="2"/>
            <w:tcBorders>
              <w:top w:val="single" w:sz="2" w:space="0" w:color="auto"/>
              <w:left w:val="nil"/>
              <w:bottom w:val="single" w:sz="2" w:space="0" w:color="auto"/>
              <w:right w:val="nil"/>
            </w:tcBorders>
            <w:vAlign w:val="bottom"/>
          </w:tcPr>
          <w:p w14:paraId="2E4095BC" w14:textId="0652A5B3" w:rsidR="002D20CA" w:rsidRPr="002D20CA" w:rsidRDefault="002D20CA" w:rsidP="002D20CA">
            <w:pPr>
              <w:pStyle w:val="TableText"/>
              <w:tabs>
                <w:tab w:val="left" w:pos="3306"/>
              </w:tabs>
              <w:jc w:val="right"/>
              <w:rPr>
                <w:rFonts w:cs="Calibri"/>
                <w:b/>
                <w:bCs/>
              </w:rPr>
            </w:pPr>
          </w:p>
        </w:tc>
        <w:tc>
          <w:tcPr>
            <w:tcW w:w="1276" w:type="dxa"/>
            <w:tcBorders>
              <w:top w:val="single" w:sz="2" w:space="0" w:color="auto"/>
              <w:left w:val="nil"/>
              <w:bottom w:val="single" w:sz="2" w:space="0" w:color="auto"/>
              <w:right w:val="nil"/>
            </w:tcBorders>
            <w:vAlign w:val="bottom"/>
          </w:tcPr>
          <w:p w14:paraId="7EBD22A3" w14:textId="42BDCC47" w:rsidR="002D20CA" w:rsidRPr="002D20CA" w:rsidRDefault="002D20CA" w:rsidP="002D20CA">
            <w:pPr>
              <w:pStyle w:val="TableText"/>
              <w:tabs>
                <w:tab w:val="left" w:pos="3306"/>
              </w:tabs>
              <w:jc w:val="right"/>
              <w:rPr>
                <w:rFonts w:cs="Calibri"/>
                <w:b/>
                <w:bCs/>
              </w:rPr>
            </w:pPr>
          </w:p>
        </w:tc>
      </w:tr>
      <w:tr w:rsidR="002D20CA" w:rsidRPr="00CF7E1B" w14:paraId="29ABF023" w14:textId="77777777" w:rsidTr="0004564D">
        <w:trPr>
          <w:cantSplit/>
          <w:trHeight w:val="23"/>
        </w:trPr>
        <w:tc>
          <w:tcPr>
            <w:tcW w:w="1560" w:type="dxa"/>
            <w:tcBorders>
              <w:top w:val="nil"/>
              <w:left w:val="single" w:sz="2" w:space="0" w:color="auto"/>
              <w:bottom w:val="nil"/>
              <w:right w:val="single" w:sz="2" w:space="0" w:color="auto"/>
            </w:tcBorders>
          </w:tcPr>
          <w:p w14:paraId="07D94D11"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366E4ADC" w14:textId="77777777" w:rsidR="002D20CA" w:rsidRPr="002D20CA" w:rsidRDefault="002D20CA" w:rsidP="002D20CA">
            <w:pPr>
              <w:pStyle w:val="TableText"/>
              <w:tabs>
                <w:tab w:val="left" w:pos="3306"/>
              </w:tabs>
              <w:rPr>
                <w:rFonts w:cs="Calibri"/>
              </w:rPr>
            </w:pPr>
          </w:p>
        </w:tc>
        <w:tc>
          <w:tcPr>
            <w:tcW w:w="1559" w:type="dxa"/>
            <w:gridSpan w:val="2"/>
            <w:tcBorders>
              <w:top w:val="single" w:sz="2" w:space="0" w:color="auto"/>
              <w:left w:val="nil"/>
              <w:bottom w:val="nil"/>
              <w:right w:val="nil"/>
            </w:tcBorders>
            <w:vAlign w:val="bottom"/>
          </w:tcPr>
          <w:p w14:paraId="403AB0EA" w14:textId="77777777" w:rsidR="002D20CA" w:rsidRPr="002D20CA" w:rsidRDefault="002D20CA" w:rsidP="002D20CA">
            <w:pPr>
              <w:pStyle w:val="TableText"/>
              <w:tabs>
                <w:tab w:val="left" w:pos="3306"/>
              </w:tabs>
              <w:jc w:val="right"/>
              <w:rPr>
                <w:rFonts w:cs="Calibri"/>
              </w:rPr>
            </w:pPr>
          </w:p>
        </w:tc>
        <w:tc>
          <w:tcPr>
            <w:tcW w:w="1276" w:type="dxa"/>
            <w:tcBorders>
              <w:top w:val="single" w:sz="2" w:space="0" w:color="auto"/>
              <w:left w:val="nil"/>
              <w:bottom w:val="nil"/>
              <w:right w:val="nil"/>
            </w:tcBorders>
            <w:vAlign w:val="bottom"/>
          </w:tcPr>
          <w:p w14:paraId="26A1D66E" w14:textId="77777777" w:rsidR="002D20CA" w:rsidRPr="002D20CA" w:rsidRDefault="002D20CA" w:rsidP="002D20CA">
            <w:pPr>
              <w:pStyle w:val="TableText"/>
              <w:tabs>
                <w:tab w:val="left" w:pos="3306"/>
              </w:tabs>
              <w:jc w:val="right"/>
              <w:rPr>
                <w:rFonts w:cs="Calibri"/>
              </w:rPr>
            </w:pPr>
          </w:p>
        </w:tc>
      </w:tr>
      <w:tr w:rsidR="002D20CA" w:rsidRPr="00CF7E1B" w14:paraId="34666E53" w14:textId="77777777" w:rsidTr="0004564D">
        <w:trPr>
          <w:cantSplit/>
          <w:trHeight w:val="23"/>
        </w:trPr>
        <w:tc>
          <w:tcPr>
            <w:tcW w:w="1560" w:type="dxa"/>
            <w:tcBorders>
              <w:top w:val="nil"/>
              <w:left w:val="single" w:sz="2" w:space="0" w:color="auto"/>
              <w:bottom w:val="nil"/>
              <w:right w:val="single" w:sz="2" w:space="0" w:color="auto"/>
            </w:tcBorders>
          </w:tcPr>
          <w:p w14:paraId="44282EB4" w14:textId="77777777" w:rsidR="002D20CA" w:rsidRPr="002D20CA" w:rsidRDefault="002D20CA" w:rsidP="002D20CA">
            <w:pPr>
              <w:pStyle w:val="TableReference"/>
              <w:tabs>
                <w:tab w:val="left" w:pos="3306"/>
              </w:tabs>
              <w:spacing w:before="40"/>
              <w:rPr>
                <w:rFonts w:cs="Calibri"/>
                <w:color w:val="7030A0"/>
                <w:sz w:val="14"/>
              </w:rPr>
            </w:pPr>
            <w:r w:rsidRPr="002D20CA">
              <w:rPr>
                <w:rFonts w:cs="Calibri"/>
                <w:color w:val="7030A0"/>
                <w:sz w:val="14"/>
              </w:rPr>
              <w:t>ACT Accounting Policy</w:t>
            </w:r>
          </w:p>
        </w:tc>
        <w:tc>
          <w:tcPr>
            <w:tcW w:w="6095" w:type="dxa"/>
            <w:tcBorders>
              <w:top w:val="nil"/>
              <w:left w:val="single" w:sz="2" w:space="0" w:color="auto"/>
              <w:bottom w:val="nil"/>
              <w:right w:val="nil"/>
            </w:tcBorders>
            <w:vAlign w:val="bottom"/>
          </w:tcPr>
          <w:p w14:paraId="54948DE0" w14:textId="77777777" w:rsidR="002D20CA" w:rsidRPr="002D20CA" w:rsidRDefault="002D20CA" w:rsidP="002D20CA">
            <w:pPr>
              <w:pStyle w:val="TableText"/>
              <w:tabs>
                <w:tab w:val="left" w:pos="3306"/>
              </w:tabs>
              <w:rPr>
                <w:rFonts w:cs="Calibri"/>
                <w:b/>
                <w:bCs/>
              </w:rPr>
            </w:pPr>
            <w:r w:rsidRPr="002D20CA">
              <w:rPr>
                <w:rFonts w:cs="Calibri"/>
                <w:b/>
                <w:bCs/>
              </w:rPr>
              <w:t>Non-Current Employee Benefits</w:t>
            </w:r>
          </w:p>
        </w:tc>
        <w:tc>
          <w:tcPr>
            <w:tcW w:w="1559" w:type="dxa"/>
            <w:gridSpan w:val="2"/>
            <w:tcBorders>
              <w:top w:val="nil"/>
              <w:left w:val="nil"/>
              <w:bottom w:val="nil"/>
              <w:right w:val="nil"/>
            </w:tcBorders>
            <w:vAlign w:val="bottom"/>
          </w:tcPr>
          <w:p w14:paraId="6213A616" w14:textId="77777777"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26D7806C" w14:textId="77777777" w:rsidR="002D20CA" w:rsidRPr="002D20CA" w:rsidRDefault="002D20CA" w:rsidP="002D20CA">
            <w:pPr>
              <w:pStyle w:val="TableText"/>
              <w:tabs>
                <w:tab w:val="left" w:pos="3306"/>
              </w:tabs>
              <w:jc w:val="right"/>
              <w:rPr>
                <w:rFonts w:cs="Calibri"/>
              </w:rPr>
            </w:pPr>
          </w:p>
        </w:tc>
      </w:tr>
      <w:tr w:rsidR="002D20CA" w:rsidRPr="00CF7E1B" w14:paraId="344181FF" w14:textId="77777777" w:rsidTr="0004564D">
        <w:trPr>
          <w:cantSplit/>
          <w:trHeight w:val="23"/>
        </w:trPr>
        <w:tc>
          <w:tcPr>
            <w:tcW w:w="1560" w:type="dxa"/>
            <w:tcBorders>
              <w:top w:val="nil"/>
              <w:left w:val="single" w:sz="2" w:space="0" w:color="auto"/>
              <w:bottom w:val="nil"/>
              <w:right w:val="single" w:sz="2" w:space="0" w:color="auto"/>
            </w:tcBorders>
          </w:tcPr>
          <w:p w14:paraId="58A33DBE"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098488D4" w14:textId="5527F8B4" w:rsidR="002D20CA" w:rsidRPr="002D20CA" w:rsidRDefault="002D20CA" w:rsidP="002D20CA">
            <w:pPr>
              <w:pStyle w:val="TableText"/>
              <w:tabs>
                <w:tab w:val="left" w:pos="3306"/>
              </w:tabs>
              <w:rPr>
                <w:rFonts w:cs="Calibri"/>
              </w:rPr>
            </w:pPr>
            <w:r w:rsidRPr="002D20CA">
              <w:rPr>
                <w:rFonts w:cs="Calibri"/>
              </w:rPr>
              <w:t>Long Service Leave</w:t>
            </w:r>
            <w:r w:rsidRPr="002D20CA">
              <w:rPr>
                <w:rFonts w:cs="Calibri"/>
                <w:vertAlign w:val="superscript"/>
              </w:rPr>
              <w:t>a</w:t>
            </w:r>
          </w:p>
        </w:tc>
        <w:tc>
          <w:tcPr>
            <w:tcW w:w="1559" w:type="dxa"/>
            <w:gridSpan w:val="2"/>
            <w:tcBorders>
              <w:top w:val="nil"/>
              <w:left w:val="nil"/>
              <w:bottom w:val="nil"/>
              <w:right w:val="nil"/>
            </w:tcBorders>
            <w:vAlign w:val="bottom"/>
          </w:tcPr>
          <w:p w14:paraId="3C81E896" w14:textId="6C425F77"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5EC4857A" w14:textId="2BAB78B4" w:rsidR="002D20CA" w:rsidRPr="002D20CA" w:rsidRDefault="002D20CA" w:rsidP="002D20CA">
            <w:pPr>
              <w:pStyle w:val="TableText"/>
              <w:tabs>
                <w:tab w:val="left" w:pos="3306"/>
              </w:tabs>
              <w:jc w:val="right"/>
              <w:rPr>
                <w:rFonts w:cs="Calibri"/>
              </w:rPr>
            </w:pPr>
          </w:p>
        </w:tc>
      </w:tr>
      <w:tr w:rsidR="002D20CA" w:rsidRPr="00CF7E1B" w14:paraId="7C7B6D6F" w14:textId="77777777" w:rsidTr="0004564D">
        <w:trPr>
          <w:cantSplit/>
          <w:trHeight w:val="23"/>
        </w:trPr>
        <w:tc>
          <w:tcPr>
            <w:tcW w:w="1560" w:type="dxa"/>
            <w:tcBorders>
              <w:top w:val="nil"/>
              <w:left w:val="single" w:sz="2" w:space="0" w:color="auto"/>
              <w:bottom w:val="nil"/>
              <w:right w:val="single" w:sz="2" w:space="0" w:color="auto"/>
            </w:tcBorders>
          </w:tcPr>
          <w:p w14:paraId="5024E3F6"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324A236B" w14:textId="77777777" w:rsidR="002D20CA" w:rsidRPr="002D20CA" w:rsidRDefault="002D20CA" w:rsidP="002D20CA">
            <w:pPr>
              <w:pStyle w:val="TableText"/>
              <w:tabs>
                <w:tab w:val="left" w:pos="3306"/>
              </w:tabs>
              <w:rPr>
                <w:rFonts w:cs="Calibri"/>
              </w:rPr>
            </w:pPr>
            <w:r w:rsidRPr="002D20CA">
              <w:rPr>
                <w:rFonts w:cs="Calibri"/>
              </w:rPr>
              <w:t>Other Benefits</w:t>
            </w:r>
          </w:p>
        </w:tc>
        <w:tc>
          <w:tcPr>
            <w:tcW w:w="1559" w:type="dxa"/>
            <w:gridSpan w:val="2"/>
            <w:tcBorders>
              <w:top w:val="nil"/>
              <w:left w:val="nil"/>
              <w:bottom w:val="single" w:sz="2" w:space="0" w:color="auto"/>
              <w:right w:val="nil"/>
            </w:tcBorders>
            <w:vAlign w:val="bottom"/>
          </w:tcPr>
          <w:p w14:paraId="613D8B8C" w14:textId="65FB5C70" w:rsidR="002D20CA" w:rsidRPr="002D20CA" w:rsidRDefault="002D20CA" w:rsidP="002D20CA">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111F653C" w14:textId="49553C69" w:rsidR="002D20CA" w:rsidRPr="002D20CA" w:rsidRDefault="002D20CA" w:rsidP="002D20CA">
            <w:pPr>
              <w:pStyle w:val="TableText"/>
              <w:tabs>
                <w:tab w:val="left" w:pos="3306"/>
              </w:tabs>
              <w:jc w:val="right"/>
              <w:rPr>
                <w:rFonts w:cs="Calibri"/>
              </w:rPr>
            </w:pPr>
          </w:p>
        </w:tc>
      </w:tr>
      <w:tr w:rsidR="002D20CA" w:rsidRPr="00CF7E1B" w14:paraId="70269912" w14:textId="77777777" w:rsidTr="0004564D">
        <w:trPr>
          <w:cantSplit/>
          <w:trHeight w:val="23"/>
        </w:trPr>
        <w:tc>
          <w:tcPr>
            <w:tcW w:w="1560" w:type="dxa"/>
            <w:tcBorders>
              <w:top w:val="nil"/>
              <w:left w:val="single" w:sz="2" w:space="0" w:color="auto"/>
              <w:bottom w:val="nil"/>
              <w:right w:val="single" w:sz="2" w:space="0" w:color="auto"/>
            </w:tcBorders>
          </w:tcPr>
          <w:p w14:paraId="262235D5"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0978059F" w14:textId="77777777" w:rsidR="002D20CA" w:rsidRPr="002D20CA" w:rsidRDefault="002D20CA" w:rsidP="002D20CA">
            <w:pPr>
              <w:pStyle w:val="TableText"/>
              <w:tabs>
                <w:tab w:val="left" w:pos="3306"/>
              </w:tabs>
              <w:rPr>
                <w:rFonts w:cs="Calibri"/>
                <w:b/>
                <w:bCs/>
              </w:rPr>
            </w:pPr>
            <w:r w:rsidRPr="002D20CA">
              <w:rPr>
                <w:rFonts w:cs="Calibri"/>
                <w:b/>
                <w:bCs/>
              </w:rPr>
              <w:t>Total Non-Current Employee Benefits</w:t>
            </w:r>
          </w:p>
        </w:tc>
        <w:tc>
          <w:tcPr>
            <w:tcW w:w="1559" w:type="dxa"/>
            <w:gridSpan w:val="2"/>
            <w:tcBorders>
              <w:top w:val="single" w:sz="2" w:space="0" w:color="auto"/>
              <w:left w:val="nil"/>
              <w:bottom w:val="single" w:sz="2" w:space="0" w:color="auto"/>
              <w:right w:val="nil"/>
            </w:tcBorders>
            <w:vAlign w:val="bottom"/>
          </w:tcPr>
          <w:p w14:paraId="5C7C650C" w14:textId="2634EBD3" w:rsidR="002D20CA" w:rsidRPr="002D20CA" w:rsidRDefault="002D20CA" w:rsidP="002D20CA">
            <w:pPr>
              <w:pStyle w:val="TableText"/>
              <w:tabs>
                <w:tab w:val="left" w:pos="3306"/>
              </w:tabs>
              <w:jc w:val="right"/>
              <w:rPr>
                <w:rFonts w:cs="Calibri"/>
                <w:b/>
                <w:bCs/>
              </w:rPr>
            </w:pPr>
          </w:p>
        </w:tc>
        <w:tc>
          <w:tcPr>
            <w:tcW w:w="1276" w:type="dxa"/>
            <w:tcBorders>
              <w:top w:val="single" w:sz="2" w:space="0" w:color="auto"/>
              <w:left w:val="nil"/>
              <w:bottom w:val="single" w:sz="2" w:space="0" w:color="auto"/>
              <w:right w:val="nil"/>
            </w:tcBorders>
            <w:vAlign w:val="bottom"/>
          </w:tcPr>
          <w:p w14:paraId="2B3D77B8" w14:textId="77161BC9" w:rsidR="002D20CA" w:rsidRPr="002D20CA" w:rsidRDefault="002D20CA" w:rsidP="002D20CA">
            <w:pPr>
              <w:pStyle w:val="TableText"/>
              <w:tabs>
                <w:tab w:val="left" w:pos="3306"/>
              </w:tabs>
              <w:jc w:val="right"/>
              <w:rPr>
                <w:rFonts w:cs="Calibri"/>
                <w:b/>
                <w:bCs/>
              </w:rPr>
            </w:pPr>
          </w:p>
        </w:tc>
      </w:tr>
      <w:tr w:rsidR="002D20CA" w:rsidRPr="00CF7E1B" w14:paraId="68FDA864" w14:textId="77777777" w:rsidTr="0004564D">
        <w:trPr>
          <w:cantSplit/>
          <w:trHeight w:val="23"/>
        </w:trPr>
        <w:tc>
          <w:tcPr>
            <w:tcW w:w="1560" w:type="dxa"/>
            <w:tcBorders>
              <w:top w:val="nil"/>
              <w:left w:val="single" w:sz="2" w:space="0" w:color="auto"/>
              <w:bottom w:val="nil"/>
              <w:right w:val="single" w:sz="2" w:space="0" w:color="auto"/>
            </w:tcBorders>
          </w:tcPr>
          <w:p w14:paraId="3C21E55E" w14:textId="77777777" w:rsidR="002D20CA" w:rsidRPr="002D20CA" w:rsidRDefault="002D20CA" w:rsidP="002D20CA">
            <w:pPr>
              <w:pStyle w:val="TableReference"/>
              <w:tabs>
                <w:tab w:val="left" w:pos="3306"/>
              </w:tabs>
              <w:spacing w:before="40"/>
              <w:rPr>
                <w:rFonts w:cs="Calibri"/>
                <w:color w:val="7030A0"/>
                <w:sz w:val="14"/>
              </w:rPr>
            </w:pPr>
            <w:r w:rsidRPr="002D20CA">
              <w:rPr>
                <w:rFonts w:cs="Calibri"/>
                <w:color w:val="7030A0"/>
                <w:sz w:val="14"/>
              </w:rPr>
              <w:t xml:space="preserve"> </w:t>
            </w:r>
          </w:p>
        </w:tc>
        <w:tc>
          <w:tcPr>
            <w:tcW w:w="6095" w:type="dxa"/>
            <w:tcBorders>
              <w:top w:val="nil"/>
              <w:left w:val="single" w:sz="2" w:space="0" w:color="auto"/>
              <w:bottom w:val="nil"/>
              <w:right w:val="nil"/>
            </w:tcBorders>
            <w:vAlign w:val="bottom"/>
          </w:tcPr>
          <w:p w14:paraId="7B691B11" w14:textId="77777777" w:rsidR="002D20CA" w:rsidRPr="002D20CA" w:rsidRDefault="002D20CA" w:rsidP="002D20CA">
            <w:pPr>
              <w:pStyle w:val="TableText"/>
              <w:tabs>
                <w:tab w:val="left" w:pos="3306"/>
              </w:tabs>
              <w:rPr>
                <w:rFonts w:cs="Calibri"/>
                <w:b/>
                <w:bCs/>
              </w:rPr>
            </w:pPr>
            <w:r w:rsidRPr="002D20CA">
              <w:rPr>
                <w:rFonts w:cs="Calibri"/>
                <w:b/>
                <w:bCs/>
              </w:rPr>
              <w:t>Total Employee Benefits</w:t>
            </w:r>
          </w:p>
        </w:tc>
        <w:tc>
          <w:tcPr>
            <w:tcW w:w="1559" w:type="dxa"/>
            <w:gridSpan w:val="2"/>
            <w:tcBorders>
              <w:top w:val="single" w:sz="2" w:space="0" w:color="auto"/>
              <w:left w:val="nil"/>
              <w:bottom w:val="double" w:sz="4" w:space="0" w:color="auto"/>
              <w:right w:val="nil"/>
            </w:tcBorders>
            <w:vAlign w:val="bottom"/>
          </w:tcPr>
          <w:p w14:paraId="0A4045CD" w14:textId="7A004FFE" w:rsidR="002D20CA" w:rsidRPr="002D20CA" w:rsidRDefault="002D20CA" w:rsidP="002D20CA">
            <w:pPr>
              <w:pStyle w:val="TableText"/>
              <w:tabs>
                <w:tab w:val="left" w:pos="3306"/>
              </w:tabs>
              <w:jc w:val="right"/>
              <w:rPr>
                <w:rFonts w:cs="Calibri"/>
                <w:b/>
                <w:bCs/>
              </w:rPr>
            </w:pPr>
          </w:p>
        </w:tc>
        <w:tc>
          <w:tcPr>
            <w:tcW w:w="1276" w:type="dxa"/>
            <w:tcBorders>
              <w:top w:val="single" w:sz="2" w:space="0" w:color="auto"/>
              <w:left w:val="nil"/>
              <w:bottom w:val="double" w:sz="4" w:space="0" w:color="auto"/>
              <w:right w:val="nil"/>
            </w:tcBorders>
            <w:vAlign w:val="bottom"/>
          </w:tcPr>
          <w:p w14:paraId="5EC28F3B" w14:textId="5747D697" w:rsidR="002D20CA" w:rsidRPr="002D20CA" w:rsidRDefault="002D20CA" w:rsidP="002D20CA">
            <w:pPr>
              <w:pStyle w:val="TableText"/>
              <w:tabs>
                <w:tab w:val="left" w:pos="3306"/>
              </w:tabs>
              <w:jc w:val="right"/>
              <w:rPr>
                <w:rFonts w:cs="Calibri"/>
                <w:b/>
                <w:bCs/>
              </w:rPr>
            </w:pPr>
          </w:p>
        </w:tc>
      </w:tr>
      <w:tr w:rsidR="002D20CA" w:rsidRPr="00CF7E1B" w14:paraId="505CD1D0" w14:textId="77777777" w:rsidTr="0004564D">
        <w:trPr>
          <w:cantSplit/>
          <w:trHeight w:val="23"/>
        </w:trPr>
        <w:tc>
          <w:tcPr>
            <w:tcW w:w="1560" w:type="dxa"/>
            <w:tcBorders>
              <w:top w:val="nil"/>
              <w:left w:val="single" w:sz="2" w:space="0" w:color="auto"/>
              <w:bottom w:val="nil"/>
              <w:right w:val="single" w:sz="2" w:space="0" w:color="auto"/>
            </w:tcBorders>
          </w:tcPr>
          <w:p w14:paraId="6631FBFD"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269CF5D3" w14:textId="77777777" w:rsidR="002D20CA" w:rsidRPr="002D20CA" w:rsidRDefault="002D20CA" w:rsidP="002D20CA">
            <w:pPr>
              <w:pStyle w:val="TableText"/>
              <w:tabs>
                <w:tab w:val="left" w:pos="3306"/>
              </w:tabs>
              <w:rPr>
                <w:rFonts w:cs="Calibri"/>
                <w:b/>
                <w:bCs/>
              </w:rPr>
            </w:pPr>
          </w:p>
        </w:tc>
        <w:tc>
          <w:tcPr>
            <w:tcW w:w="1559" w:type="dxa"/>
            <w:gridSpan w:val="2"/>
            <w:tcBorders>
              <w:top w:val="double" w:sz="4" w:space="0" w:color="auto"/>
              <w:left w:val="nil"/>
              <w:bottom w:val="nil"/>
              <w:right w:val="nil"/>
            </w:tcBorders>
            <w:vAlign w:val="bottom"/>
          </w:tcPr>
          <w:p w14:paraId="6E8F5C1E" w14:textId="77777777" w:rsidR="002D20CA" w:rsidRPr="002D20CA" w:rsidRDefault="002D20CA" w:rsidP="002D20CA">
            <w:pPr>
              <w:pStyle w:val="TableText"/>
              <w:tabs>
                <w:tab w:val="left" w:pos="3306"/>
              </w:tabs>
              <w:jc w:val="right"/>
              <w:rPr>
                <w:rFonts w:cs="Calibri"/>
                <w:b/>
                <w:bCs/>
              </w:rPr>
            </w:pPr>
          </w:p>
        </w:tc>
        <w:tc>
          <w:tcPr>
            <w:tcW w:w="1276" w:type="dxa"/>
            <w:tcBorders>
              <w:top w:val="double" w:sz="4" w:space="0" w:color="auto"/>
              <w:left w:val="nil"/>
              <w:bottom w:val="nil"/>
              <w:right w:val="nil"/>
            </w:tcBorders>
            <w:vAlign w:val="bottom"/>
          </w:tcPr>
          <w:p w14:paraId="0CCDDB25" w14:textId="77777777" w:rsidR="002D20CA" w:rsidRPr="002D20CA" w:rsidRDefault="002D20CA" w:rsidP="002D20CA">
            <w:pPr>
              <w:pStyle w:val="TableText"/>
              <w:tabs>
                <w:tab w:val="left" w:pos="3306"/>
              </w:tabs>
              <w:jc w:val="right"/>
              <w:rPr>
                <w:rFonts w:cs="Calibri"/>
                <w:b/>
                <w:bCs/>
              </w:rPr>
            </w:pPr>
          </w:p>
        </w:tc>
      </w:tr>
      <w:tr w:rsidR="002D20CA" w:rsidRPr="00CF7E1B" w14:paraId="3FFEC2B3" w14:textId="77777777" w:rsidTr="0004564D">
        <w:trPr>
          <w:cantSplit/>
          <w:trHeight w:val="23"/>
        </w:trPr>
        <w:tc>
          <w:tcPr>
            <w:tcW w:w="1560" w:type="dxa"/>
            <w:tcBorders>
              <w:top w:val="nil"/>
              <w:left w:val="single" w:sz="2" w:space="0" w:color="auto"/>
              <w:bottom w:val="nil"/>
              <w:right w:val="single" w:sz="2" w:space="0" w:color="auto"/>
            </w:tcBorders>
          </w:tcPr>
          <w:p w14:paraId="13E9FB52"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125B3BB4" w14:textId="77777777" w:rsidR="002D20CA" w:rsidRPr="002D20CA" w:rsidRDefault="002D20CA" w:rsidP="002D20CA">
            <w:pPr>
              <w:pStyle w:val="TableText"/>
              <w:tabs>
                <w:tab w:val="left" w:pos="3306"/>
              </w:tabs>
              <w:rPr>
                <w:rFonts w:cs="Calibri"/>
                <w:bCs/>
              </w:rPr>
            </w:pPr>
            <w:r w:rsidRPr="002D20CA">
              <w:rPr>
                <w:rFonts w:cs="Calibri"/>
                <w:b/>
                <w:bCs/>
              </w:rPr>
              <w:t>Estimate of when Leave is Payable</w:t>
            </w:r>
          </w:p>
        </w:tc>
        <w:tc>
          <w:tcPr>
            <w:tcW w:w="1559" w:type="dxa"/>
            <w:gridSpan w:val="2"/>
            <w:tcBorders>
              <w:top w:val="nil"/>
              <w:left w:val="nil"/>
              <w:bottom w:val="nil"/>
              <w:right w:val="nil"/>
            </w:tcBorders>
            <w:vAlign w:val="bottom"/>
          </w:tcPr>
          <w:p w14:paraId="510E23BC" w14:textId="77777777" w:rsidR="002D20CA" w:rsidRPr="002D20CA" w:rsidRDefault="002D20CA" w:rsidP="002D20CA">
            <w:pPr>
              <w:pStyle w:val="TableText"/>
              <w:tabs>
                <w:tab w:val="left" w:pos="3306"/>
              </w:tabs>
              <w:jc w:val="right"/>
              <w:rPr>
                <w:rFonts w:cs="Calibri"/>
                <w:b/>
                <w:bCs/>
              </w:rPr>
            </w:pPr>
          </w:p>
        </w:tc>
        <w:tc>
          <w:tcPr>
            <w:tcW w:w="1276" w:type="dxa"/>
            <w:tcBorders>
              <w:top w:val="nil"/>
              <w:left w:val="nil"/>
              <w:bottom w:val="nil"/>
              <w:right w:val="nil"/>
            </w:tcBorders>
            <w:vAlign w:val="bottom"/>
          </w:tcPr>
          <w:p w14:paraId="267DB7BE" w14:textId="77777777" w:rsidR="002D20CA" w:rsidRPr="002D20CA" w:rsidRDefault="002D20CA" w:rsidP="002D20CA">
            <w:pPr>
              <w:pStyle w:val="TableText"/>
              <w:tabs>
                <w:tab w:val="left" w:pos="3306"/>
              </w:tabs>
              <w:jc w:val="right"/>
              <w:rPr>
                <w:rFonts w:cs="Calibri"/>
                <w:b/>
                <w:bCs/>
              </w:rPr>
            </w:pPr>
          </w:p>
        </w:tc>
      </w:tr>
      <w:tr w:rsidR="002D20CA" w:rsidRPr="00CF7E1B" w14:paraId="2122C56A" w14:textId="77777777" w:rsidTr="0004564D">
        <w:trPr>
          <w:cantSplit/>
          <w:trHeight w:val="23"/>
        </w:trPr>
        <w:tc>
          <w:tcPr>
            <w:tcW w:w="1560" w:type="dxa"/>
            <w:tcBorders>
              <w:top w:val="nil"/>
              <w:left w:val="single" w:sz="2" w:space="0" w:color="auto"/>
              <w:bottom w:val="nil"/>
              <w:right w:val="single" w:sz="2" w:space="0" w:color="auto"/>
            </w:tcBorders>
          </w:tcPr>
          <w:p w14:paraId="2B801C3A" w14:textId="77777777" w:rsidR="002D20CA" w:rsidRPr="002D20CA" w:rsidRDefault="002D20CA" w:rsidP="002D20CA">
            <w:pPr>
              <w:pStyle w:val="TableReference"/>
              <w:tabs>
                <w:tab w:val="left" w:pos="3306"/>
              </w:tabs>
              <w:spacing w:before="40"/>
              <w:rPr>
                <w:rFonts w:cs="Calibri"/>
                <w:color w:val="7030A0"/>
                <w:sz w:val="14"/>
              </w:rPr>
            </w:pPr>
            <w:r w:rsidRPr="002D20CA">
              <w:rPr>
                <w:rFonts w:cs="Calibri"/>
                <w:color w:val="7030A0"/>
                <w:sz w:val="14"/>
              </w:rPr>
              <w:t>AASB 101.61(a)</w:t>
            </w:r>
          </w:p>
        </w:tc>
        <w:tc>
          <w:tcPr>
            <w:tcW w:w="6095" w:type="dxa"/>
            <w:tcBorders>
              <w:top w:val="nil"/>
              <w:left w:val="single" w:sz="2" w:space="0" w:color="auto"/>
              <w:bottom w:val="nil"/>
              <w:right w:val="nil"/>
            </w:tcBorders>
            <w:vAlign w:val="bottom"/>
          </w:tcPr>
          <w:p w14:paraId="6CC7B6AF" w14:textId="77777777" w:rsidR="002D20CA" w:rsidRPr="002D20CA" w:rsidRDefault="002D20CA" w:rsidP="002D20CA">
            <w:pPr>
              <w:pStyle w:val="TableText"/>
              <w:tabs>
                <w:tab w:val="left" w:pos="3306"/>
              </w:tabs>
              <w:rPr>
                <w:rFonts w:cs="Calibri"/>
                <w:b/>
                <w:bCs/>
              </w:rPr>
            </w:pPr>
            <w:r w:rsidRPr="002D20CA">
              <w:rPr>
                <w:rFonts w:cs="Calibri"/>
                <w:b/>
                <w:bCs/>
              </w:rPr>
              <w:t>Estimated Amount Payable within 12 Months</w:t>
            </w:r>
          </w:p>
        </w:tc>
        <w:tc>
          <w:tcPr>
            <w:tcW w:w="1559" w:type="dxa"/>
            <w:gridSpan w:val="2"/>
            <w:tcBorders>
              <w:top w:val="nil"/>
              <w:left w:val="nil"/>
              <w:bottom w:val="nil"/>
              <w:right w:val="nil"/>
            </w:tcBorders>
            <w:vAlign w:val="bottom"/>
          </w:tcPr>
          <w:p w14:paraId="44B83AB4" w14:textId="77777777" w:rsidR="002D20CA" w:rsidRPr="002D20CA" w:rsidRDefault="002D20CA" w:rsidP="002D20CA">
            <w:pPr>
              <w:pStyle w:val="TableText"/>
              <w:tabs>
                <w:tab w:val="left" w:pos="3306"/>
              </w:tabs>
              <w:jc w:val="right"/>
              <w:rPr>
                <w:rFonts w:cs="Calibri"/>
                <w:b/>
                <w:bCs/>
              </w:rPr>
            </w:pPr>
          </w:p>
        </w:tc>
        <w:tc>
          <w:tcPr>
            <w:tcW w:w="1276" w:type="dxa"/>
            <w:tcBorders>
              <w:top w:val="nil"/>
              <w:left w:val="nil"/>
              <w:bottom w:val="nil"/>
              <w:right w:val="nil"/>
            </w:tcBorders>
            <w:vAlign w:val="bottom"/>
          </w:tcPr>
          <w:p w14:paraId="6AB0F137" w14:textId="77777777" w:rsidR="002D20CA" w:rsidRPr="002D20CA" w:rsidRDefault="002D20CA" w:rsidP="002D20CA">
            <w:pPr>
              <w:pStyle w:val="TableText"/>
              <w:tabs>
                <w:tab w:val="left" w:pos="3306"/>
              </w:tabs>
              <w:jc w:val="right"/>
              <w:rPr>
                <w:rFonts w:cs="Calibri"/>
                <w:b/>
                <w:bCs/>
              </w:rPr>
            </w:pPr>
          </w:p>
        </w:tc>
      </w:tr>
      <w:tr w:rsidR="002D20CA" w:rsidRPr="00CF7E1B" w14:paraId="59F873B8" w14:textId="77777777" w:rsidTr="0004564D">
        <w:trPr>
          <w:cantSplit/>
          <w:trHeight w:val="23"/>
        </w:trPr>
        <w:tc>
          <w:tcPr>
            <w:tcW w:w="1560" w:type="dxa"/>
            <w:tcBorders>
              <w:top w:val="nil"/>
              <w:left w:val="single" w:sz="2" w:space="0" w:color="auto"/>
              <w:bottom w:val="nil"/>
              <w:right w:val="single" w:sz="2" w:space="0" w:color="auto"/>
            </w:tcBorders>
          </w:tcPr>
          <w:p w14:paraId="4DFC45B4"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620AEE31" w14:textId="77777777" w:rsidR="002D20CA" w:rsidRPr="002D20CA" w:rsidRDefault="002D20CA" w:rsidP="002D20CA">
            <w:pPr>
              <w:pStyle w:val="TableText"/>
              <w:tabs>
                <w:tab w:val="left" w:pos="3306"/>
              </w:tabs>
              <w:rPr>
                <w:rFonts w:cs="Calibri"/>
              </w:rPr>
            </w:pPr>
            <w:r w:rsidRPr="002D20CA">
              <w:rPr>
                <w:rFonts w:cs="Calibri"/>
              </w:rPr>
              <w:t>Annual Leave</w:t>
            </w:r>
          </w:p>
        </w:tc>
        <w:tc>
          <w:tcPr>
            <w:tcW w:w="1559" w:type="dxa"/>
            <w:gridSpan w:val="2"/>
            <w:tcBorders>
              <w:top w:val="nil"/>
              <w:left w:val="nil"/>
              <w:bottom w:val="nil"/>
              <w:right w:val="nil"/>
            </w:tcBorders>
            <w:vAlign w:val="bottom"/>
          </w:tcPr>
          <w:p w14:paraId="5860CBE7" w14:textId="08351EB5"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147B51A9" w14:textId="7909CE1D" w:rsidR="002D20CA" w:rsidRPr="002D20CA" w:rsidRDefault="002D20CA" w:rsidP="002D20CA">
            <w:pPr>
              <w:pStyle w:val="TableText"/>
              <w:tabs>
                <w:tab w:val="left" w:pos="3306"/>
              </w:tabs>
              <w:jc w:val="right"/>
              <w:rPr>
                <w:rFonts w:cs="Calibri"/>
              </w:rPr>
            </w:pPr>
          </w:p>
        </w:tc>
      </w:tr>
      <w:tr w:rsidR="002D20CA" w:rsidRPr="00CF7E1B" w14:paraId="6D3C78A3" w14:textId="77777777" w:rsidTr="0004564D">
        <w:trPr>
          <w:cantSplit/>
          <w:trHeight w:val="23"/>
        </w:trPr>
        <w:tc>
          <w:tcPr>
            <w:tcW w:w="1560" w:type="dxa"/>
            <w:tcBorders>
              <w:top w:val="nil"/>
              <w:left w:val="single" w:sz="2" w:space="0" w:color="auto"/>
              <w:bottom w:val="nil"/>
              <w:right w:val="single" w:sz="2" w:space="0" w:color="auto"/>
            </w:tcBorders>
          </w:tcPr>
          <w:p w14:paraId="2B7C43F2"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5947562E" w14:textId="77777777" w:rsidR="002D20CA" w:rsidRPr="002D20CA" w:rsidRDefault="002D20CA" w:rsidP="002D20CA">
            <w:pPr>
              <w:pStyle w:val="TableText"/>
              <w:tabs>
                <w:tab w:val="left" w:pos="3306"/>
              </w:tabs>
              <w:rPr>
                <w:rFonts w:cs="Calibri"/>
              </w:rPr>
            </w:pPr>
            <w:r w:rsidRPr="002D20CA">
              <w:rPr>
                <w:rFonts w:cs="Calibri"/>
              </w:rPr>
              <w:t>Long Service Leave</w:t>
            </w:r>
          </w:p>
        </w:tc>
        <w:tc>
          <w:tcPr>
            <w:tcW w:w="1559" w:type="dxa"/>
            <w:gridSpan w:val="2"/>
            <w:tcBorders>
              <w:top w:val="nil"/>
              <w:left w:val="nil"/>
              <w:bottom w:val="nil"/>
              <w:right w:val="nil"/>
            </w:tcBorders>
            <w:vAlign w:val="bottom"/>
          </w:tcPr>
          <w:p w14:paraId="20C2168D" w14:textId="6C412389"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50E7F205" w14:textId="78E7B614" w:rsidR="002D20CA" w:rsidRPr="002D20CA" w:rsidRDefault="002D20CA" w:rsidP="002D20CA">
            <w:pPr>
              <w:pStyle w:val="TableText"/>
              <w:tabs>
                <w:tab w:val="left" w:pos="3306"/>
              </w:tabs>
              <w:jc w:val="right"/>
              <w:rPr>
                <w:rFonts w:cs="Calibri"/>
              </w:rPr>
            </w:pPr>
          </w:p>
        </w:tc>
      </w:tr>
      <w:tr w:rsidR="002D20CA" w:rsidRPr="00CF7E1B" w14:paraId="03DADC3D" w14:textId="77777777" w:rsidTr="0004564D">
        <w:trPr>
          <w:cantSplit/>
          <w:trHeight w:val="23"/>
        </w:trPr>
        <w:tc>
          <w:tcPr>
            <w:tcW w:w="1560" w:type="dxa"/>
            <w:tcBorders>
              <w:top w:val="nil"/>
              <w:left w:val="single" w:sz="2" w:space="0" w:color="auto"/>
              <w:bottom w:val="nil"/>
              <w:right w:val="single" w:sz="2" w:space="0" w:color="auto"/>
            </w:tcBorders>
          </w:tcPr>
          <w:p w14:paraId="43ED08B7"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777425ED" w14:textId="77777777" w:rsidR="002D20CA" w:rsidRPr="002D20CA" w:rsidRDefault="002D20CA" w:rsidP="002D20CA">
            <w:pPr>
              <w:pStyle w:val="TableText"/>
              <w:tabs>
                <w:tab w:val="left" w:pos="3306"/>
              </w:tabs>
              <w:rPr>
                <w:rFonts w:cs="Calibri"/>
              </w:rPr>
            </w:pPr>
            <w:r w:rsidRPr="002D20CA">
              <w:rPr>
                <w:rFonts w:cs="Calibri"/>
              </w:rPr>
              <w:t>Accrued Salaries</w:t>
            </w:r>
          </w:p>
        </w:tc>
        <w:tc>
          <w:tcPr>
            <w:tcW w:w="1559" w:type="dxa"/>
            <w:gridSpan w:val="2"/>
            <w:tcBorders>
              <w:top w:val="nil"/>
              <w:left w:val="nil"/>
              <w:bottom w:val="nil"/>
              <w:right w:val="nil"/>
            </w:tcBorders>
            <w:vAlign w:val="bottom"/>
          </w:tcPr>
          <w:p w14:paraId="3DDFDFF2" w14:textId="2085C950"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509F21A7" w14:textId="19FD2BCB" w:rsidR="002D20CA" w:rsidRPr="002D20CA" w:rsidRDefault="002D20CA" w:rsidP="002D20CA">
            <w:pPr>
              <w:pStyle w:val="TableText"/>
              <w:tabs>
                <w:tab w:val="left" w:pos="3306"/>
              </w:tabs>
              <w:jc w:val="right"/>
              <w:rPr>
                <w:rFonts w:cs="Calibri"/>
              </w:rPr>
            </w:pPr>
          </w:p>
        </w:tc>
      </w:tr>
      <w:tr w:rsidR="002D20CA" w:rsidRPr="00CF7E1B" w14:paraId="6B3AECD1" w14:textId="77777777" w:rsidTr="0004564D">
        <w:trPr>
          <w:cantSplit/>
          <w:trHeight w:val="23"/>
        </w:trPr>
        <w:tc>
          <w:tcPr>
            <w:tcW w:w="1560" w:type="dxa"/>
            <w:tcBorders>
              <w:top w:val="nil"/>
              <w:left w:val="single" w:sz="2" w:space="0" w:color="auto"/>
              <w:bottom w:val="nil"/>
              <w:right w:val="single" w:sz="2" w:space="0" w:color="auto"/>
            </w:tcBorders>
          </w:tcPr>
          <w:p w14:paraId="7E3FB818"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6D8669CD" w14:textId="77777777" w:rsidR="002D20CA" w:rsidRPr="002D20CA" w:rsidRDefault="002D20CA" w:rsidP="002D20CA">
            <w:pPr>
              <w:pStyle w:val="TableText"/>
              <w:tabs>
                <w:tab w:val="left" w:pos="3306"/>
              </w:tabs>
              <w:rPr>
                <w:rFonts w:cs="Calibri"/>
              </w:rPr>
            </w:pPr>
            <w:r w:rsidRPr="002D20CA">
              <w:rPr>
                <w:rFonts w:cs="Calibri"/>
              </w:rPr>
              <w:t>Termination Benefits due to Restructure</w:t>
            </w:r>
          </w:p>
        </w:tc>
        <w:tc>
          <w:tcPr>
            <w:tcW w:w="1559" w:type="dxa"/>
            <w:gridSpan w:val="2"/>
            <w:tcBorders>
              <w:top w:val="nil"/>
              <w:left w:val="nil"/>
              <w:bottom w:val="nil"/>
              <w:right w:val="nil"/>
            </w:tcBorders>
            <w:vAlign w:val="bottom"/>
          </w:tcPr>
          <w:p w14:paraId="5895CBB1" w14:textId="66833472"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05B426A3" w14:textId="4788CF3D" w:rsidR="002D20CA" w:rsidRPr="002D20CA" w:rsidRDefault="002D20CA" w:rsidP="002D20CA">
            <w:pPr>
              <w:pStyle w:val="TableText"/>
              <w:tabs>
                <w:tab w:val="left" w:pos="3306"/>
              </w:tabs>
              <w:jc w:val="right"/>
              <w:rPr>
                <w:rFonts w:cs="Calibri"/>
              </w:rPr>
            </w:pPr>
          </w:p>
        </w:tc>
      </w:tr>
      <w:tr w:rsidR="002D20CA" w:rsidRPr="00CF7E1B" w14:paraId="08D2B26A" w14:textId="77777777" w:rsidTr="0004564D">
        <w:trPr>
          <w:cantSplit/>
          <w:trHeight w:val="23"/>
        </w:trPr>
        <w:tc>
          <w:tcPr>
            <w:tcW w:w="1560" w:type="dxa"/>
            <w:tcBorders>
              <w:top w:val="nil"/>
              <w:left w:val="single" w:sz="2" w:space="0" w:color="auto"/>
              <w:bottom w:val="nil"/>
              <w:right w:val="single" w:sz="2" w:space="0" w:color="auto"/>
            </w:tcBorders>
          </w:tcPr>
          <w:p w14:paraId="4E9BF135"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4F814BA7" w14:textId="77777777" w:rsidR="002D20CA" w:rsidRPr="002D20CA" w:rsidRDefault="002D20CA" w:rsidP="002D20CA">
            <w:pPr>
              <w:pStyle w:val="TableText"/>
              <w:tabs>
                <w:tab w:val="left" w:pos="3306"/>
              </w:tabs>
              <w:rPr>
                <w:rFonts w:cs="Calibri"/>
              </w:rPr>
            </w:pPr>
            <w:r w:rsidRPr="002D20CA">
              <w:rPr>
                <w:rFonts w:cs="Calibri"/>
              </w:rPr>
              <w:t>Other Benefits</w:t>
            </w:r>
          </w:p>
        </w:tc>
        <w:tc>
          <w:tcPr>
            <w:tcW w:w="1559" w:type="dxa"/>
            <w:gridSpan w:val="2"/>
            <w:tcBorders>
              <w:top w:val="nil"/>
              <w:left w:val="nil"/>
              <w:bottom w:val="single" w:sz="4" w:space="0" w:color="auto"/>
              <w:right w:val="nil"/>
            </w:tcBorders>
            <w:vAlign w:val="bottom"/>
          </w:tcPr>
          <w:p w14:paraId="2E4037DC" w14:textId="0DAA0CD9" w:rsidR="002D20CA" w:rsidRPr="002D20CA" w:rsidRDefault="002D20CA" w:rsidP="002D20CA">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70ABC5DD" w14:textId="527FD8B9" w:rsidR="002D20CA" w:rsidRPr="002D20CA" w:rsidRDefault="002D20CA" w:rsidP="002D20CA">
            <w:pPr>
              <w:pStyle w:val="TableText"/>
              <w:tabs>
                <w:tab w:val="left" w:pos="3306"/>
              </w:tabs>
              <w:jc w:val="right"/>
              <w:rPr>
                <w:rFonts w:cs="Calibri"/>
              </w:rPr>
            </w:pPr>
          </w:p>
        </w:tc>
      </w:tr>
      <w:tr w:rsidR="002D20CA" w:rsidRPr="00CF7E1B" w14:paraId="5A16F7C3" w14:textId="77777777" w:rsidTr="0004564D">
        <w:trPr>
          <w:cantSplit/>
          <w:trHeight w:val="23"/>
        </w:trPr>
        <w:tc>
          <w:tcPr>
            <w:tcW w:w="1560" w:type="dxa"/>
            <w:tcBorders>
              <w:top w:val="nil"/>
              <w:left w:val="single" w:sz="2" w:space="0" w:color="auto"/>
              <w:bottom w:val="nil"/>
              <w:right w:val="single" w:sz="2" w:space="0" w:color="auto"/>
            </w:tcBorders>
          </w:tcPr>
          <w:p w14:paraId="16133B31"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7AD2807E" w14:textId="77777777" w:rsidR="002D20CA" w:rsidRPr="002D20CA" w:rsidRDefault="002D20CA" w:rsidP="002D20CA">
            <w:pPr>
              <w:pStyle w:val="TableText"/>
              <w:tabs>
                <w:tab w:val="left" w:pos="3306"/>
              </w:tabs>
              <w:rPr>
                <w:rFonts w:cs="Calibri"/>
                <w:b/>
                <w:bCs/>
              </w:rPr>
            </w:pPr>
            <w:r w:rsidRPr="002D20CA">
              <w:rPr>
                <w:rFonts w:cs="Calibri"/>
                <w:b/>
                <w:bCs/>
              </w:rPr>
              <w:t>Total Employee Benefits Payable within 12 Months</w:t>
            </w:r>
          </w:p>
        </w:tc>
        <w:tc>
          <w:tcPr>
            <w:tcW w:w="1559" w:type="dxa"/>
            <w:gridSpan w:val="2"/>
            <w:tcBorders>
              <w:top w:val="single" w:sz="4" w:space="0" w:color="auto"/>
              <w:left w:val="nil"/>
              <w:bottom w:val="single" w:sz="4" w:space="0" w:color="auto"/>
              <w:right w:val="nil"/>
            </w:tcBorders>
            <w:vAlign w:val="bottom"/>
          </w:tcPr>
          <w:p w14:paraId="78985CBA" w14:textId="6B0D02AB" w:rsidR="002D20CA" w:rsidRPr="002D20CA" w:rsidRDefault="002D20CA" w:rsidP="002D20CA">
            <w:pPr>
              <w:pStyle w:val="TableText"/>
              <w:tabs>
                <w:tab w:val="left" w:pos="3306"/>
              </w:tabs>
              <w:jc w:val="right"/>
              <w:rPr>
                <w:rFonts w:cs="Calibri"/>
                <w:b/>
                <w:bCs/>
              </w:rPr>
            </w:pPr>
          </w:p>
        </w:tc>
        <w:tc>
          <w:tcPr>
            <w:tcW w:w="1276" w:type="dxa"/>
            <w:tcBorders>
              <w:top w:val="single" w:sz="4" w:space="0" w:color="auto"/>
              <w:left w:val="nil"/>
              <w:bottom w:val="single" w:sz="4" w:space="0" w:color="auto"/>
              <w:right w:val="nil"/>
            </w:tcBorders>
            <w:vAlign w:val="bottom"/>
          </w:tcPr>
          <w:p w14:paraId="082A4EA0" w14:textId="4FBB99ED" w:rsidR="002D20CA" w:rsidRPr="002D20CA" w:rsidRDefault="002D20CA" w:rsidP="002D20CA">
            <w:pPr>
              <w:pStyle w:val="TableText"/>
              <w:tabs>
                <w:tab w:val="left" w:pos="3306"/>
              </w:tabs>
              <w:jc w:val="right"/>
              <w:rPr>
                <w:rFonts w:cs="Calibri"/>
                <w:b/>
                <w:bCs/>
              </w:rPr>
            </w:pPr>
          </w:p>
        </w:tc>
      </w:tr>
      <w:tr w:rsidR="002D20CA" w:rsidRPr="00CF7E1B" w14:paraId="08DE175C" w14:textId="77777777" w:rsidTr="0004564D">
        <w:trPr>
          <w:cantSplit/>
          <w:trHeight w:val="23"/>
        </w:trPr>
        <w:tc>
          <w:tcPr>
            <w:tcW w:w="1560" w:type="dxa"/>
            <w:tcBorders>
              <w:top w:val="nil"/>
              <w:left w:val="single" w:sz="2" w:space="0" w:color="auto"/>
              <w:bottom w:val="nil"/>
              <w:right w:val="single" w:sz="2" w:space="0" w:color="auto"/>
            </w:tcBorders>
          </w:tcPr>
          <w:p w14:paraId="3E2BD10D"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31FFB810" w14:textId="77777777" w:rsidR="002D20CA" w:rsidRPr="002D20CA" w:rsidRDefault="002D20CA" w:rsidP="002D20CA">
            <w:pPr>
              <w:pStyle w:val="TableText"/>
              <w:tabs>
                <w:tab w:val="left" w:pos="3306"/>
              </w:tabs>
              <w:rPr>
                <w:rFonts w:cs="Calibri"/>
                <w:b/>
                <w:bCs/>
              </w:rPr>
            </w:pPr>
          </w:p>
        </w:tc>
        <w:tc>
          <w:tcPr>
            <w:tcW w:w="1559" w:type="dxa"/>
            <w:gridSpan w:val="2"/>
            <w:tcBorders>
              <w:top w:val="single" w:sz="4" w:space="0" w:color="auto"/>
              <w:left w:val="nil"/>
              <w:bottom w:val="nil"/>
              <w:right w:val="nil"/>
            </w:tcBorders>
            <w:vAlign w:val="bottom"/>
          </w:tcPr>
          <w:p w14:paraId="3A451D92" w14:textId="77777777" w:rsidR="002D20CA" w:rsidRPr="002D20CA" w:rsidRDefault="002D20CA" w:rsidP="002D20CA">
            <w:pPr>
              <w:pStyle w:val="TableText"/>
              <w:tabs>
                <w:tab w:val="left" w:pos="3306"/>
              </w:tabs>
              <w:jc w:val="right"/>
              <w:rPr>
                <w:rFonts w:cs="Calibri"/>
                <w:b/>
                <w:bCs/>
              </w:rPr>
            </w:pPr>
          </w:p>
        </w:tc>
        <w:tc>
          <w:tcPr>
            <w:tcW w:w="1276" w:type="dxa"/>
            <w:tcBorders>
              <w:top w:val="single" w:sz="4" w:space="0" w:color="auto"/>
              <w:left w:val="nil"/>
              <w:bottom w:val="nil"/>
              <w:right w:val="nil"/>
            </w:tcBorders>
            <w:vAlign w:val="bottom"/>
          </w:tcPr>
          <w:p w14:paraId="088C4920" w14:textId="77777777" w:rsidR="002D20CA" w:rsidRPr="002D20CA" w:rsidRDefault="002D20CA" w:rsidP="002D20CA">
            <w:pPr>
              <w:pStyle w:val="TableText"/>
              <w:tabs>
                <w:tab w:val="left" w:pos="3306"/>
              </w:tabs>
              <w:jc w:val="right"/>
              <w:rPr>
                <w:rFonts w:cs="Calibri"/>
                <w:b/>
                <w:bCs/>
              </w:rPr>
            </w:pPr>
          </w:p>
        </w:tc>
      </w:tr>
      <w:tr w:rsidR="002D20CA" w:rsidRPr="00CF7E1B" w14:paraId="3040E3E7" w14:textId="77777777" w:rsidTr="0004564D">
        <w:trPr>
          <w:cantSplit/>
          <w:trHeight w:val="23"/>
        </w:trPr>
        <w:tc>
          <w:tcPr>
            <w:tcW w:w="1560" w:type="dxa"/>
            <w:tcBorders>
              <w:top w:val="nil"/>
              <w:left w:val="single" w:sz="2" w:space="0" w:color="auto"/>
              <w:bottom w:val="nil"/>
              <w:right w:val="single" w:sz="2" w:space="0" w:color="auto"/>
            </w:tcBorders>
          </w:tcPr>
          <w:p w14:paraId="4B32E9E1" w14:textId="77777777" w:rsidR="002D20CA" w:rsidRPr="002D20CA" w:rsidRDefault="002D20CA" w:rsidP="002D20CA">
            <w:pPr>
              <w:pStyle w:val="TableReference"/>
              <w:tabs>
                <w:tab w:val="left" w:pos="3306"/>
              </w:tabs>
              <w:spacing w:before="40"/>
              <w:rPr>
                <w:rFonts w:cs="Calibri"/>
                <w:color w:val="7030A0"/>
                <w:sz w:val="14"/>
              </w:rPr>
            </w:pPr>
            <w:r w:rsidRPr="002D20CA">
              <w:rPr>
                <w:rFonts w:cs="Calibri"/>
                <w:color w:val="7030A0"/>
                <w:sz w:val="14"/>
              </w:rPr>
              <w:t>AASB 101.61(b)</w:t>
            </w:r>
          </w:p>
        </w:tc>
        <w:tc>
          <w:tcPr>
            <w:tcW w:w="6095" w:type="dxa"/>
            <w:tcBorders>
              <w:top w:val="nil"/>
              <w:left w:val="single" w:sz="2" w:space="0" w:color="auto"/>
              <w:bottom w:val="nil"/>
              <w:right w:val="nil"/>
            </w:tcBorders>
            <w:vAlign w:val="bottom"/>
          </w:tcPr>
          <w:p w14:paraId="7B43452F" w14:textId="77777777" w:rsidR="002D20CA" w:rsidRPr="002D20CA" w:rsidRDefault="002D20CA" w:rsidP="002D20CA">
            <w:pPr>
              <w:pStyle w:val="TableText"/>
              <w:tabs>
                <w:tab w:val="left" w:pos="3306"/>
              </w:tabs>
              <w:rPr>
                <w:rFonts w:cs="Calibri"/>
                <w:b/>
                <w:bCs/>
              </w:rPr>
            </w:pPr>
            <w:r w:rsidRPr="002D20CA">
              <w:rPr>
                <w:rFonts w:cs="Calibri"/>
                <w:b/>
                <w:bCs/>
              </w:rPr>
              <w:t>Estimated Amount Payable after 12 Months</w:t>
            </w:r>
          </w:p>
        </w:tc>
        <w:tc>
          <w:tcPr>
            <w:tcW w:w="1559" w:type="dxa"/>
            <w:gridSpan w:val="2"/>
            <w:tcBorders>
              <w:top w:val="nil"/>
              <w:left w:val="nil"/>
              <w:bottom w:val="nil"/>
              <w:right w:val="nil"/>
            </w:tcBorders>
            <w:vAlign w:val="bottom"/>
          </w:tcPr>
          <w:p w14:paraId="5EC22438" w14:textId="77777777" w:rsidR="002D20CA" w:rsidRPr="002D20CA" w:rsidRDefault="002D20CA" w:rsidP="002D20CA">
            <w:pPr>
              <w:pStyle w:val="TableText"/>
              <w:tabs>
                <w:tab w:val="left" w:pos="3306"/>
              </w:tabs>
              <w:jc w:val="right"/>
              <w:rPr>
                <w:rFonts w:cs="Calibri"/>
                <w:b/>
                <w:bCs/>
              </w:rPr>
            </w:pPr>
          </w:p>
        </w:tc>
        <w:tc>
          <w:tcPr>
            <w:tcW w:w="1276" w:type="dxa"/>
            <w:tcBorders>
              <w:top w:val="nil"/>
              <w:left w:val="nil"/>
              <w:bottom w:val="nil"/>
              <w:right w:val="nil"/>
            </w:tcBorders>
            <w:vAlign w:val="bottom"/>
          </w:tcPr>
          <w:p w14:paraId="58F453D4" w14:textId="77777777" w:rsidR="002D20CA" w:rsidRPr="002D20CA" w:rsidRDefault="002D20CA" w:rsidP="002D20CA">
            <w:pPr>
              <w:pStyle w:val="TableText"/>
              <w:tabs>
                <w:tab w:val="left" w:pos="3306"/>
              </w:tabs>
              <w:jc w:val="right"/>
              <w:rPr>
                <w:rFonts w:cs="Calibri"/>
                <w:b/>
                <w:bCs/>
              </w:rPr>
            </w:pPr>
          </w:p>
        </w:tc>
      </w:tr>
      <w:tr w:rsidR="002D20CA" w:rsidRPr="00CF7E1B" w14:paraId="18A8C23C" w14:textId="77777777" w:rsidTr="0004564D">
        <w:trPr>
          <w:cantSplit/>
          <w:trHeight w:val="23"/>
        </w:trPr>
        <w:tc>
          <w:tcPr>
            <w:tcW w:w="1560" w:type="dxa"/>
            <w:tcBorders>
              <w:top w:val="nil"/>
              <w:left w:val="single" w:sz="2" w:space="0" w:color="auto"/>
              <w:bottom w:val="nil"/>
              <w:right w:val="single" w:sz="2" w:space="0" w:color="auto"/>
            </w:tcBorders>
          </w:tcPr>
          <w:p w14:paraId="4473E05F"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2C7372FB" w14:textId="77777777" w:rsidR="002D20CA" w:rsidRPr="002D20CA" w:rsidRDefault="002D20CA" w:rsidP="002D20CA">
            <w:pPr>
              <w:pStyle w:val="TableText"/>
              <w:tabs>
                <w:tab w:val="left" w:pos="3306"/>
              </w:tabs>
              <w:rPr>
                <w:rFonts w:cs="Calibri"/>
              </w:rPr>
            </w:pPr>
            <w:r w:rsidRPr="002D20CA">
              <w:rPr>
                <w:rFonts w:cs="Calibri"/>
              </w:rPr>
              <w:t>Long Service Leave</w:t>
            </w:r>
          </w:p>
        </w:tc>
        <w:tc>
          <w:tcPr>
            <w:tcW w:w="1559" w:type="dxa"/>
            <w:gridSpan w:val="2"/>
            <w:tcBorders>
              <w:top w:val="nil"/>
              <w:left w:val="nil"/>
              <w:bottom w:val="nil"/>
              <w:right w:val="nil"/>
            </w:tcBorders>
            <w:vAlign w:val="bottom"/>
          </w:tcPr>
          <w:p w14:paraId="640ED22F" w14:textId="592D5859"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27A24E76" w14:textId="6D2C57B3" w:rsidR="002D20CA" w:rsidRPr="002D20CA" w:rsidRDefault="002D20CA" w:rsidP="002D20CA">
            <w:pPr>
              <w:pStyle w:val="TableText"/>
              <w:tabs>
                <w:tab w:val="left" w:pos="3306"/>
              </w:tabs>
              <w:jc w:val="right"/>
              <w:rPr>
                <w:rFonts w:cs="Calibri"/>
              </w:rPr>
            </w:pPr>
          </w:p>
        </w:tc>
      </w:tr>
      <w:tr w:rsidR="002D20CA" w:rsidRPr="00CF7E1B" w14:paraId="1179BE20" w14:textId="77777777" w:rsidTr="0004564D">
        <w:trPr>
          <w:cantSplit/>
          <w:trHeight w:val="23"/>
        </w:trPr>
        <w:tc>
          <w:tcPr>
            <w:tcW w:w="1560" w:type="dxa"/>
            <w:tcBorders>
              <w:top w:val="nil"/>
              <w:left w:val="single" w:sz="2" w:space="0" w:color="auto"/>
              <w:bottom w:val="nil"/>
              <w:right w:val="single" w:sz="2" w:space="0" w:color="auto"/>
            </w:tcBorders>
          </w:tcPr>
          <w:p w14:paraId="1D304892"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605CDB89" w14:textId="77777777" w:rsidR="002D20CA" w:rsidRPr="002D20CA" w:rsidRDefault="002D20CA" w:rsidP="002D20CA">
            <w:pPr>
              <w:pStyle w:val="TableText"/>
              <w:tabs>
                <w:tab w:val="left" w:pos="3306"/>
              </w:tabs>
              <w:rPr>
                <w:rFonts w:cs="Calibri"/>
              </w:rPr>
            </w:pPr>
            <w:r w:rsidRPr="002D20CA">
              <w:rPr>
                <w:rFonts w:cs="Calibri"/>
              </w:rPr>
              <w:t>Annual Leave</w:t>
            </w:r>
          </w:p>
        </w:tc>
        <w:tc>
          <w:tcPr>
            <w:tcW w:w="1559" w:type="dxa"/>
            <w:gridSpan w:val="2"/>
            <w:tcBorders>
              <w:top w:val="nil"/>
              <w:left w:val="nil"/>
              <w:bottom w:val="nil"/>
              <w:right w:val="nil"/>
            </w:tcBorders>
            <w:vAlign w:val="bottom"/>
          </w:tcPr>
          <w:p w14:paraId="655EF015" w14:textId="0198C000" w:rsidR="002D20CA" w:rsidRPr="002D20CA" w:rsidRDefault="002D20CA" w:rsidP="002D20CA">
            <w:pPr>
              <w:pStyle w:val="TableText"/>
              <w:tabs>
                <w:tab w:val="left" w:pos="3306"/>
              </w:tabs>
              <w:jc w:val="right"/>
              <w:rPr>
                <w:rFonts w:cs="Calibri"/>
              </w:rPr>
            </w:pPr>
          </w:p>
        </w:tc>
        <w:tc>
          <w:tcPr>
            <w:tcW w:w="1276" w:type="dxa"/>
            <w:tcBorders>
              <w:top w:val="nil"/>
              <w:left w:val="nil"/>
              <w:bottom w:val="nil"/>
              <w:right w:val="nil"/>
            </w:tcBorders>
            <w:vAlign w:val="bottom"/>
          </w:tcPr>
          <w:p w14:paraId="062D4341" w14:textId="3BA344F2" w:rsidR="002D20CA" w:rsidRPr="002D20CA" w:rsidRDefault="002D20CA" w:rsidP="002D20CA">
            <w:pPr>
              <w:pStyle w:val="TableText"/>
              <w:tabs>
                <w:tab w:val="left" w:pos="3306"/>
              </w:tabs>
              <w:jc w:val="right"/>
              <w:rPr>
                <w:rFonts w:cs="Calibri"/>
              </w:rPr>
            </w:pPr>
          </w:p>
        </w:tc>
      </w:tr>
      <w:tr w:rsidR="002D20CA" w:rsidRPr="00CF7E1B" w14:paraId="338C53BE" w14:textId="77777777" w:rsidTr="0004564D">
        <w:trPr>
          <w:cantSplit/>
          <w:trHeight w:val="23"/>
        </w:trPr>
        <w:tc>
          <w:tcPr>
            <w:tcW w:w="1560" w:type="dxa"/>
            <w:tcBorders>
              <w:top w:val="nil"/>
              <w:left w:val="single" w:sz="2" w:space="0" w:color="auto"/>
              <w:bottom w:val="nil"/>
              <w:right w:val="single" w:sz="2" w:space="0" w:color="auto"/>
            </w:tcBorders>
          </w:tcPr>
          <w:p w14:paraId="067F9D3B"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68BF9E79" w14:textId="77777777" w:rsidR="002D20CA" w:rsidRPr="002D20CA" w:rsidRDefault="002D20CA" w:rsidP="002D20CA">
            <w:pPr>
              <w:pStyle w:val="TableText"/>
              <w:tabs>
                <w:tab w:val="left" w:pos="3306"/>
              </w:tabs>
              <w:rPr>
                <w:rFonts w:cs="Calibri"/>
              </w:rPr>
            </w:pPr>
            <w:r w:rsidRPr="002D20CA">
              <w:rPr>
                <w:rFonts w:cs="Calibri"/>
              </w:rPr>
              <w:t>Other Benefits</w:t>
            </w:r>
          </w:p>
        </w:tc>
        <w:tc>
          <w:tcPr>
            <w:tcW w:w="1559" w:type="dxa"/>
            <w:gridSpan w:val="2"/>
            <w:tcBorders>
              <w:top w:val="nil"/>
              <w:left w:val="nil"/>
              <w:bottom w:val="single" w:sz="4" w:space="0" w:color="auto"/>
              <w:right w:val="nil"/>
            </w:tcBorders>
            <w:vAlign w:val="bottom"/>
          </w:tcPr>
          <w:p w14:paraId="1A2F7116" w14:textId="167BB253" w:rsidR="002D20CA" w:rsidRPr="002D20CA" w:rsidRDefault="002D20CA" w:rsidP="002D20CA">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29120667" w14:textId="5C0A696F" w:rsidR="002D20CA" w:rsidRPr="002D20CA" w:rsidRDefault="002D20CA" w:rsidP="002D20CA">
            <w:pPr>
              <w:pStyle w:val="TableText"/>
              <w:tabs>
                <w:tab w:val="left" w:pos="3306"/>
              </w:tabs>
              <w:jc w:val="right"/>
              <w:rPr>
                <w:rFonts w:cs="Calibri"/>
              </w:rPr>
            </w:pPr>
          </w:p>
        </w:tc>
      </w:tr>
      <w:tr w:rsidR="002D20CA" w:rsidRPr="00CF7E1B" w14:paraId="017EF375" w14:textId="77777777" w:rsidTr="0004564D">
        <w:trPr>
          <w:cantSplit/>
          <w:trHeight w:val="23"/>
        </w:trPr>
        <w:tc>
          <w:tcPr>
            <w:tcW w:w="1560" w:type="dxa"/>
            <w:tcBorders>
              <w:top w:val="nil"/>
              <w:left w:val="single" w:sz="2" w:space="0" w:color="auto"/>
              <w:bottom w:val="nil"/>
              <w:right w:val="single" w:sz="2" w:space="0" w:color="auto"/>
            </w:tcBorders>
          </w:tcPr>
          <w:p w14:paraId="29756DF3"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1907D986" w14:textId="77777777" w:rsidR="002D20CA" w:rsidRPr="002D20CA" w:rsidRDefault="002D20CA" w:rsidP="002D20CA">
            <w:pPr>
              <w:pStyle w:val="TableText"/>
              <w:tabs>
                <w:tab w:val="left" w:pos="3306"/>
              </w:tabs>
              <w:rPr>
                <w:rFonts w:cs="Calibri"/>
                <w:b/>
                <w:bCs/>
              </w:rPr>
            </w:pPr>
            <w:r w:rsidRPr="002D20CA">
              <w:rPr>
                <w:rFonts w:cs="Calibri"/>
                <w:b/>
                <w:bCs/>
              </w:rPr>
              <w:t>Total Employee Benefits Payable after 12 Months</w:t>
            </w:r>
          </w:p>
        </w:tc>
        <w:tc>
          <w:tcPr>
            <w:tcW w:w="1559" w:type="dxa"/>
            <w:gridSpan w:val="2"/>
            <w:tcBorders>
              <w:top w:val="single" w:sz="4" w:space="0" w:color="auto"/>
              <w:left w:val="nil"/>
              <w:bottom w:val="single" w:sz="4" w:space="0" w:color="auto"/>
              <w:right w:val="nil"/>
            </w:tcBorders>
            <w:vAlign w:val="bottom"/>
          </w:tcPr>
          <w:p w14:paraId="5D309FC7" w14:textId="79EC9E06" w:rsidR="002D20CA" w:rsidRPr="002D20CA" w:rsidRDefault="002D20CA" w:rsidP="002D20CA">
            <w:pPr>
              <w:pStyle w:val="TableText"/>
              <w:tabs>
                <w:tab w:val="left" w:pos="3306"/>
              </w:tabs>
              <w:jc w:val="right"/>
              <w:rPr>
                <w:rFonts w:cs="Calibri"/>
                <w:b/>
                <w:bCs/>
              </w:rPr>
            </w:pPr>
          </w:p>
        </w:tc>
        <w:tc>
          <w:tcPr>
            <w:tcW w:w="1276" w:type="dxa"/>
            <w:tcBorders>
              <w:top w:val="single" w:sz="4" w:space="0" w:color="auto"/>
              <w:left w:val="nil"/>
              <w:bottom w:val="single" w:sz="4" w:space="0" w:color="auto"/>
              <w:right w:val="nil"/>
            </w:tcBorders>
            <w:vAlign w:val="bottom"/>
          </w:tcPr>
          <w:p w14:paraId="2D6E74AE" w14:textId="2274E7C8" w:rsidR="002D20CA" w:rsidRPr="002D20CA" w:rsidRDefault="002D20CA" w:rsidP="002D20CA">
            <w:pPr>
              <w:pStyle w:val="TableText"/>
              <w:tabs>
                <w:tab w:val="left" w:pos="3306"/>
              </w:tabs>
              <w:jc w:val="right"/>
              <w:rPr>
                <w:rFonts w:cs="Calibri"/>
                <w:b/>
                <w:bCs/>
              </w:rPr>
            </w:pPr>
          </w:p>
        </w:tc>
      </w:tr>
      <w:tr w:rsidR="002D20CA" w:rsidRPr="00CF7E1B" w14:paraId="2CE210A5" w14:textId="77777777" w:rsidTr="0004564D">
        <w:trPr>
          <w:cantSplit/>
          <w:trHeight w:val="23"/>
        </w:trPr>
        <w:tc>
          <w:tcPr>
            <w:tcW w:w="1560" w:type="dxa"/>
            <w:tcBorders>
              <w:top w:val="nil"/>
              <w:left w:val="single" w:sz="2" w:space="0" w:color="auto"/>
              <w:bottom w:val="nil"/>
              <w:right w:val="single" w:sz="2" w:space="0" w:color="auto"/>
            </w:tcBorders>
          </w:tcPr>
          <w:p w14:paraId="59BB04BB" w14:textId="77777777" w:rsidR="002D20CA" w:rsidRPr="002D20CA" w:rsidRDefault="002D20CA" w:rsidP="002D20CA">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76B154AB" w14:textId="77777777" w:rsidR="002D20CA" w:rsidRPr="002D20CA" w:rsidRDefault="002D20CA" w:rsidP="002D20CA">
            <w:pPr>
              <w:pStyle w:val="TableText"/>
              <w:tabs>
                <w:tab w:val="left" w:pos="3306"/>
              </w:tabs>
              <w:rPr>
                <w:rFonts w:cs="Calibri"/>
                <w:b/>
                <w:bCs/>
              </w:rPr>
            </w:pPr>
            <w:r w:rsidRPr="002D20CA">
              <w:rPr>
                <w:rFonts w:cs="Calibri"/>
                <w:b/>
                <w:bCs/>
              </w:rPr>
              <w:t>Total Employee Benefits</w:t>
            </w:r>
          </w:p>
        </w:tc>
        <w:tc>
          <w:tcPr>
            <w:tcW w:w="1559" w:type="dxa"/>
            <w:gridSpan w:val="2"/>
            <w:tcBorders>
              <w:top w:val="single" w:sz="4" w:space="0" w:color="auto"/>
              <w:left w:val="nil"/>
              <w:bottom w:val="double" w:sz="4" w:space="0" w:color="auto"/>
              <w:right w:val="nil"/>
            </w:tcBorders>
            <w:vAlign w:val="bottom"/>
          </w:tcPr>
          <w:p w14:paraId="0C0A230E" w14:textId="49D75EA9" w:rsidR="002D20CA" w:rsidRPr="002D20CA" w:rsidRDefault="002D20CA" w:rsidP="002D20CA">
            <w:pPr>
              <w:pStyle w:val="TableText"/>
              <w:tabs>
                <w:tab w:val="left" w:pos="3306"/>
              </w:tabs>
              <w:jc w:val="right"/>
              <w:rPr>
                <w:rFonts w:cs="Calibri"/>
                <w:b/>
                <w:bCs/>
              </w:rPr>
            </w:pPr>
          </w:p>
        </w:tc>
        <w:tc>
          <w:tcPr>
            <w:tcW w:w="1276" w:type="dxa"/>
            <w:tcBorders>
              <w:top w:val="single" w:sz="4" w:space="0" w:color="auto"/>
              <w:left w:val="nil"/>
              <w:bottom w:val="double" w:sz="4" w:space="0" w:color="auto"/>
              <w:right w:val="nil"/>
            </w:tcBorders>
            <w:vAlign w:val="bottom"/>
          </w:tcPr>
          <w:p w14:paraId="7BEF782B" w14:textId="05773921" w:rsidR="002D20CA" w:rsidRPr="002D20CA" w:rsidRDefault="002D20CA" w:rsidP="002D20CA">
            <w:pPr>
              <w:pStyle w:val="TableText"/>
              <w:tabs>
                <w:tab w:val="left" w:pos="3306"/>
              </w:tabs>
              <w:jc w:val="right"/>
              <w:rPr>
                <w:rFonts w:cs="Calibri"/>
                <w:b/>
                <w:bCs/>
              </w:rPr>
            </w:pPr>
          </w:p>
        </w:tc>
      </w:tr>
      <w:tr w:rsidR="002D20CA" w:rsidRPr="00CF7E1B" w14:paraId="53DA9B1A" w14:textId="77777777" w:rsidTr="0004564D">
        <w:trPr>
          <w:cantSplit/>
          <w:trHeight w:val="23"/>
        </w:trPr>
        <w:tc>
          <w:tcPr>
            <w:tcW w:w="1560" w:type="dxa"/>
            <w:tcBorders>
              <w:top w:val="nil"/>
              <w:left w:val="single" w:sz="2" w:space="0" w:color="auto"/>
              <w:bottom w:val="nil"/>
              <w:right w:val="single" w:sz="2" w:space="0" w:color="auto"/>
            </w:tcBorders>
          </w:tcPr>
          <w:p w14:paraId="77A549B4" w14:textId="77777777" w:rsidR="002D20CA" w:rsidRPr="002D20CA" w:rsidRDefault="002D20CA" w:rsidP="002D20CA">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right w:val="nil"/>
            </w:tcBorders>
            <w:vAlign w:val="bottom"/>
          </w:tcPr>
          <w:p w14:paraId="1B096E56" w14:textId="77777777" w:rsidR="002D20CA" w:rsidRPr="002D20CA" w:rsidRDefault="002D20CA" w:rsidP="002D20CA">
            <w:pPr>
              <w:pStyle w:val="TableText"/>
              <w:tabs>
                <w:tab w:val="left" w:pos="3306"/>
              </w:tabs>
              <w:jc w:val="both"/>
              <w:rPr>
                <w:rFonts w:cs="Calibri"/>
              </w:rPr>
            </w:pPr>
          </w:p>
        </w:tc>
      </w:tr>
      <w:tr w:rsidR="002D20CA" w:rsidRPr="00CF7E1B" w14:paraId="4C45E220" w14:textId="77777777" w:rsidTr="0004564D">
        <w:trPr>
          <w:cantSplit/>
          <w:trHeight w:val="23"/>
        </w:trPr>
        <w:tc>
          <w:tcPr>
            <w:tcW w:w="1560" w:type="dxa"/>
            <w:tcBorders>
              <w:top w:val="nil"/>
              <w:left w:val="single" w:sz="2" w:space="0" w:color="auto"/>
              <w:bottom w:val="nil"/>
              <w:right w:val="single" w:sz="2" w:space="0" w:color="auto"/>
            </w:tcBorders>
          </w:tcPr>
          <w:p w14:paraId="047D27B0" w14:textId="77777777" w:rsidR="002D20CA" w:rsidRPr="002D20CA" w:rsidRDefault="002D20CA" w:rsidP="002D20CA">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right w:val="nil"/>
            </w:tcBorders>
            <w:vAlign w:val="bottom"/>
          </w:tcPr>
          <w:p w14:paraId="50684C59" w14:textId="069BAABC" w:rsidR="002D20CA" w:rsidRPr="002D20CA" w:rsidRDefault="002D20CA" w:rsidP="002D20CA">
            <w:pPr>
              <w:pStyle w:val="TableText"/>
              <w:tabs>
                <w:tab w:val="left" w:pos="3306"/>
              </w:tabs>
              <w:spacing w:after="120"/>
              <w:jc w:val="both"/>
              <w:rPr>
                <w:rFonts w:cs="Calibri"/>
              </w:rPr>
            </w:pPr>
            <w:r w:rsidRPr="002D20CA">
              <w:rPr>
                <w:rFonts w:cs="Calibri"/>
              </w:rPr>
              <w:t>As at 30 June 2022 the Agency employed 947 full time equivalent (FTE) staff.</w:t>
            </w:r>
            <w:r w:rsidR="00FA7C77">
              <w:rPr>
                <w:rFonts w:cs="Calibri"/>
              </w:rPr>
              <w:t xml:space="preserve"> </w:t>
            </w:r>
            <w:r w:rsidRPr="002D20CA">
              <w:rPr>
                <w:rFonts w:cs="Calibri"/>
              </w:rPr>
              <w:t>There were 927 FTE staff at 30 June 2021.</w:t>
            </w:r>
          </w:p>
        </w:tc>
      </w:tr>
      <w:tr w:rsidR="002D20CA" w:rsidRPr="00CF7E1B" w14:paraId="79A863DE" w14:textId="77777777" w:rsidTr="0004564D">
        <w:trPr>
          <w:cantSplit/>
          <w:trHeight w:val="404"/>
        </w:trPr>
        <w:tc>
          <w:tcPr>
            <w:tcW w:w="1560" w:type="dxa"/>
            <w:tcBorders>
              <w:top w:val="nil"/>
              <w:left w:val="single" w:sz="2" w:space="0" w:color="auto"/>
              <w:bottom w:val="nil"/>
              <w:right w:val="single" w:sz="2" w:space="0" w:color="auto"/>
            </w:tcBorders>
          </w:tcPr>
          <w:p w14:paraId="3000BFC4" w14:textId="77777777" w:rsidR="002D20CA" w:rsidRPr="002D20CA" w:rsidRDefault="002D20CA" w:rsidP="002D20CA">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right w:val="nil"/>
            </w:tcBorders>
            <w:vAlign w:val="center"/>
          </w:tcPr>
          <w:p w14:paraId="27C98963" w14:textId="7A3758DC" w:rsidR="002D20CA" w:rsidRPr="002D20CA" w:rsidRDefault="002D20CA" w:rsidP="002D20CA">
            <w:pPr>
              <w:pStyle w:val="TableText"/>
              <w:tabs>
                <w:tab w:val="left" w:pos="3306"/>
              </w:tabs>
              <w:spacing w:before="0" w:after="120"/>
              <w:ind w:left="176" w:hanging="176"/>
              <w:jc w:val="both"/>
              <w:rPr>
                <w:rFonts w:cs="Calibri"/>
                <w:highlight w:val="cyan"/>
              </w:rPr>
            </w:pPr>
            <w:r w:rsidRPr="002D20CA">
              <w:rPr>
                <w:rFonts w:cs="Calibri"/>
              </w:rPr>
              <w:t>a) The increase in Long Service Leave liability of $xxx is due to the present value percentage changing from 108.7% to [XX%*].</w:t>
            </w:r>
            <w:r w:rsidR="00FA7C77">
              <w:rPr>
                <w:rFonts w:cs="Calibri"/>
              </w:rPr>
              <w:t xml:space="preserve"> </w:t>
            </w:r>
            <w:r w:rsidRPr="002D20CA">
              <w:rPr>
                <w:rFonts w:cs="Calibri"/>
              </w:rPr>
              <w:t>*Percentage to be provided in early July each year.</w:t>
            </w:r>
          </w:p>
        </w:tc>
      </w:tr>
      <w:tr w:rsidR="002D20CA" w:rsidRPr="00CF7E1B" w14:paraId="5623A5CC" w14:textId="77777777" w:rsidTr="0004564D">
        <w:trPr>
          <w:cantSplit/>
          <w:trHeight w:val="23"/>
        </w:trPr>
        <w:tc>
          <w:tcPr>
            <w:tcW w:w="1560" w:type="dxa"/>
            <w:tcBorders>
              <w:top w:val="nil"/>
              <w:left w:val="single" w:sz="2" w:space="0" w:color="auto"/>
              <w:bottom w:val="nil"/>
              <w:right w:val="single" w:sz="2" w:space="0" w:color="auto"/>
            </w:tcBorders>
          </w:tcPr>
          <w:p w14:paraId="4C0C31BC" w14:textId="77777777" w:rsidR="002D20CA" w:rsidRPr="002D20CA" w:rsidRDefault="002D20CA" w:rsidP="002D20CA">
            <w:pPr>
              <w:pStyle w:val="TableReference"/>
              <w:tabs>
                <w:tab w:val="left" w:pos="3306"/>
              </w:tabs>
              <w:spacing w:before="40"/>
              <w:rPr>
                <w:rFonts w:cs="Calibri"/>
                <w:color w:val="7030A0"/>
                <w:sz w:val="16"/>
                <w:szCs w:val="16"/>
              </w:rPr>
            </w:pPr>
          </w:p>
        </w:tc>
        <w:tc>
          <w:tcPr>
            <w:tcW w:w="8930" w:type="dxa"/>
            <w:gridSpan w:val="4"/>
            <w:tcBorders>
              <w:top w:val="nil"/>
              <w:left w:val="single" w:sz="2" w:space="0" w:color="auto"/>
              <w:bottom w:val="nil"/>
              <w:right w:val="nil"/>
            </w:tcBorders>
            <w:vAlign w:val="bottom"/>
          </w:tcPr>
          <w:p w14:paraId="0ADCDD54" w14:textId="47B8C518" w:rsidR="002D20CA" w:rsidRPr="002D20CA" w:rsidRDefault="002D20CA" w:rsidP="002D20CA">
            <w:pPr>
              <w:pStyle w:val="TableText"/>
              <w:tabs>
                <w:tab w:val="left" w:pos="3306"/>
              </w:tabs>
              <w:spacing w:before="0" w:after="120"/>
              <w:ind w:left="176" w:hanging="176"/>
              <w:jc w:val="both"/>
              <w:rPr>
                <w:rFonts w:cs="Calibri"/>
                <w:b/>
                <w:bCs/>
              </w:rPr>
            </w:pPr>
            <w:r w:rsidRPr="002D20CA">
              <w:rPr>
                <w:rFonts w:cs="Calibri"/>
              </w:rPr>
              <w:t>b) The increase in the provision for termination benefits of $xxx relates to the restructuring of a maintenance division, which will affect 60 employees.</w:t>
            </w:r>
            <w:r w:rsidR="00FA7C77">
              <w:rPr>
                <w:rFonts w:cs="Calibri"/>
              </w:rPr>
              <w:t xml:space="preserve"> </w:t>
            </w:r>
            <w:r w:rsidRPr="002D20CA">
              <w:rPr>
                <w:rFonts w:cs="Calibri"/>
              </w:rPr>
              <w:t xml:space="preserve">See Note 28 </w:t>
            </w:r>
            <w:r w:rsidRPr="002D20CA">
              <w:rPr>
                <w:rFonts w:cs="Calibri"/>
                <w:i/>
              </w:rPr>
              <w:t>Other Provisions</w:t>
            </w:r>
            <w:r w:rsidRPr="002D20CA">
              <w:rPr>
                <w:rFonts w:cs="Calibri"/>
              </w:rPr>
              <w:t>.</w:t>
            </w:r>
          </w:p>
        </w:tc>
      </w:tr>
      <w:tr w:rsidR="000144FF" w:rsidRPr="00CF7E1B" w14:paraId="1F280B8B" w14:textId="77777777" w:rsidTr="0004564D">
        <w:trPr>
          <w:cantSplit/>
          <w:trHeight w:val="454"/>
        </w:trPr>
        <w:tc>
          <w:tcPr>
            <w:tcW w:w="1560" w:type="dxa"/>
            <w:tcBorders>
              <w:top w:val="nil"/>
              <w:left w:val="single" w:sz="2" w:space="0" w:color="auto"/>
              <w:bottom w:val="nil"/>
              <w:right w:val="single" w:sz="2" w:space="0" w:color="auto"/>
            </w:tcBorders>
          </w:tcPr>
          <w:p w14:paraId="1AE22D75" w14:textId="5DD33798" w:rsidR="000144FF" w:rsidRPr="002D20CA" w:rsidRDefault="000144FF" w:rsidP="00316550">
            <w:pPr>
              <w:pStyle w:val="TableReference"/>
              <w:tabs>
                <w:tab w:val="left" w:pos="3306"/>
              </w:tabs>
              <w:spacing w:before="240" w:after="240"/>
              <w:rPr>
                <w:rFonts w:cs="Calibri"/>
                <w:b/>
                <w:color w:val="7030A0"/>
                <w:sz w:val="22"/>
                <w:szCs w:val="22"/>
              </w:rPr>
            </w:pPr>
          </w:p>
        </w:tc>
        <w:tc>
          <w:tcPr>
            <w:tcW w:w="8930" w:type="dxa"/>
            <w:gridSpan w:val="4"/>
            <w:tcBorders>
              <w:top w:val="nil"/>
              <w:left w:val="single" w:sz="2" w:space="0" w:color="auto"/>
              <w:bottom w:val="nil"/>
              <w:right w:val="nil"/>
            </w:tcBorders>
            <w:shd w:val="clear" w:color="auto" w:fill="7030A0"/>
            <w:vAlign w:val="bottom"/>
          </w:tcPr>
          <w:p w14:paraId="71F6ABC1" w14:textId="04A46BDD" w:rsidR="000144FF" w:rsidRPr="002D20CA" w:rsidRDefault="000144FF" w:rsidP="0082104D">
            <w:pPr>
              <w:pStyle w:val="CommentaryTitle"/>
              <w:spacing w:after="240"/>
              <w:rPr>
                <w:rFonts w:cs="Calibri"/>
                <w:color w:val="FFFFFF" w:themeColor="background1"/>
                <w:sz w:val="28"/>
                <w:szCs w:val="28"/>
              </w:rPr>
            </w:pPr>
            <w:bookmarkStart w:id="604" w:name="_Toc163106372"/>
            <w:r w:rsidRPr="002D20CA">
              <w:rPr>
                <w:rFonts w:cs="Calibri"/>
                <w:color w:val="FFFFFF" w:themeColor="background1"/>
                <w:sz w:val="28"/>
                <w:szCs w:val="28"/>
              </w:rPr>
              <w:t xml:space="preserve">Commentary - Note </w:t>
            </w:r>
            <w:r w:rsidR="001101E3" w:rsidRPr="002D20CA">
              <w:rPr>
                <w:rFonts w:cs="Calibri"/>
                <w:color w:val="FFFFFF" w:themeColor="background1"/>
                <w:sz w:val="28"/>
                <w:szCs w:val="28"/>
              </w:rPr>
              <w:t>27</w:t>
            </w:r>
            <w:r w:rsidRPr="002D20CA">
              <w:rPr>
                <w:rFonts w:cs="Calibri"/>
                <w:color w:val="FFFFFF" w:themeColor="background1"/>
                <w:sz w:val="28"/>
                <w:szCs w:val="28"/>
              </w:rPr>
              <w:t>: Employee Benefits</w:t>
            </w:r>
            <w:bookmarkEnd w:id="604"/>
          </w:p>
        </w:tc>
      </w:tr>
      <w:tr w:rsidR="000144FF" w:rsidRPr="00CF7E1B" w14:paraId="41018092" w14:textId="77777777" w:rsidTr="0004564D">
        <w:trPr>
          <w:cantSplit/>
          <w:trHeight w:val="23"/>
        </w:trPr>
        <w:tc>
          <w:tcPr>
            <w:tcW w:w="1560" w:type="dxa"/>
            <w:tcBorders>
              <w:top w:val="nil"/>
              <w:left w:val="single" w:sz="2" w:space="0" w:color="auto"/>
              <w:bottom w:val="nil"/>
              <w:right w:val="single" w:sz="2" w:space="0" w:color="auto"/>
            </w:tcBorders>
          </w:tcPr>
          <w:p w14:paraId="5E4F93DC" w14:textId="2C5D6DE0" w:rsidR="000144FF" w:rsidRPr="002D20CA" w:rsidRDefault="008C1BDC">
            <w:pPr>
              <w:pStyle w:val="TableReference"/>
              <w:tabs>
                <w:tab w:val="left" w:pos="3306"/>
              </w:tabs>
              <w:spacing w:before="40"/>
              <w:rPr>
                <w:rFonts w:cs="Calibri"/>
                <w:color w:val="7030A0"/>
                <w:sz w:val="14"/>
              </w:rPr>
            </w:pPr>
            <w:r w:rsidRPr="002D20CA">
              <w:rPr>
                <w:rFonts w:cs="Calibri"/>
                <w:color w:val="7030A0"/>
                <w:sz w:val="14"/>
              </w:rPr>
              <w:t>AASB 137.5(b)</w:t>
            </w:r>
          </w:p>
        </w:tc>
        <w:tc>
          <w:tcPr>
            <w:tcW w:w="8930" w:type="dxa"/>
            <w:gridSpan w:val="4"/>
            <w:tcBorders>
              <w:top w:val="nil"/>
              <w:left w:val="single" w:sz="2" w:space="0" w:color="auto"/>
              <w:bottom w:val="nil"/>
              <w:right w:val="nil"/>
            </w:tcBorders>
            <w:shd w:val="clear" w:color="auto" w:fill="7030A0"/>
            <w:vAlign w:val="bottom"/>
          </w:tcPr>
          <w:p w14:paraId="2DE839E3" w14:textId="77777777" w:rsidR="000144FF" w:rsidRPr="002D20CA" w:rsidRDefault="000144FF" w:rsidP="006F7D34">
            <w:pPr>
              <w:pStyle w:val="CommentaryText"/>
              <w:rPr>
                <w:rFonts w:cs="Calibri"/>
                <w:color w:val="FFFFFF" w:themeColor="background1"/>
                <w:sz w:val="18"/>
                <w:szCs w:val="18"/>
              </w:rPr>
            </w:pPr>
            <w:r w:rsidRPr="002D20CA">
              <w:rPr>
                <w:rFonts w:cs="Calibri"/>
                <w:color w:val="FFFFFF" w:themeColor="background1"/>
                <w:sz w:val="18"/>
                <w:szCs w:val="18"/>
              </w:rPr>
              <w:t xml:space="preserve">AASB 137 </w:t>
            </w:r>
            <w:r w:rsidRPr="002D20CA">
              <w:rPr>
                <w:rFonts w:cs="Calibri"/>
                <w:i/>
                <w:iCs/>
                <w:color w:val="FFFFFF" w:themeColor="background1"/>
                <w:sz w:val="18"/>
                <w:szCs w:val="18"/>
              </w:rPr>
              <w:t>Provisions, Contingent Assets and Contingent Liabilities</w:t>
            </w:r>
            <w:r w:rsidRPr="002D20CA">
              <w:rPr>
                <w:rFonts w:cs="Calibri"/>
                <w:color w:val="FFFFFF" w:themeColor="background1"/>
                <w:sz w:val="18"/>
                <w:szCs w:val="18"/>
              </w:rPr>
              <w:t xml:space="preserve"> does not apply to employee benefit provisions and therefore the disclosure requirements in that standard do not have to be applied to employee benefits.</w:t>
            </w:r>
          </w:p>
        </w:tc>
      </w:tr>
      <w:tr w:rsidR="000144FF" w:rsidRPr="00CF7E1B" w14:paraId="4D387473" w14:textId="77777777" w:rsidTr="0004564D">
        <w:trPr>
          <w:cantSplit/>
          <w:trHeight w:val="23"/>
        </w:trPr>
        <w:tc>
          <w:tcPr>
            <w:tcW w:w="1560" w:type="dxa"/>
            <w:tcBorders>
              <w:top w:val="nil"/>
              <w:left w:val="single" w:sz="2" w:space="0" w:color="auto"/>
              <w:bottom w:val="nil"/>
              <w:right w:val="single" w:sz="2" w:space="0" w:color="auto"/>
            </w:tcBorders>
          </w:tcPr>
          <w:p w14:paraId="3C928100" w14:textId="77777777" w:rsidR="000144FF" w:rsidRPr="002D20CA" w:rsidRDefault="000144FF">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right w:val="nil"/>
            </w:tcBorders>
            <w:shd w:val="clear" w:color="auto" w:fill="7030A0"/>
            <w:vAlign w:val="bottom"/>
          </w:tcPr>
          <w:p w14:paraId="5B6BAF7F" w14:textId="77777777" w:rsidR="000144FF" w:rsidRPr="00C87392" w:rsidRDefault="000144FF">
            <w:pPr>
              <w:pStyle w:val="TableText"/>
              <w:autoSpaceDE w:val="0"/>
              <w:autoSpaceDN w:val="0"/>
              <w:adjustRightInd w:val="0"/>
              <w:spacing w:before="0" w:after="120"/>
              <w:jc w:val="both"/>
              <w:rPr>
                <w:rFonts w:cs="Calibri"/>
                <w:b/>
                <w:bCs/>
                <w:color w:val="FFFFFF" w:themeColor="background1"/>
                <w:sz w:val="20"/>
                <w:szCs w:val="20"/>
              </w:rPr>
            </w:pPr>
            <w:r w:rsidRPr="00C87392">
              <w:rPr>
                <w:rFonts w:cs="Calibri"/>
                <w:b/>
                <w:bCs/>
                <w:color w:val="FFFFFF" w:themeColor="background1"/>
                <w:sz w:val="20"/>
                <w:szCs w:val="20"/>
              </w:rPr>
              <w:t>Annual Leave and Long Service Leave Liabilities</w:t>
            </w:r>
          </w:p>
        </w:tc>
      </w:tr>
      <w:tr w:rsidR="000144FF" w:rsidRPr="00CF7E1B" w14:paraId="3E2A8033" w14:textId="77777777" w:rsidTr="0004564D">
        <w:trPr>
          <w:cantSplit/>
          <w:trHeight w:val="23"/>
        </w:trPr>
        <w:tc>
          <w:tcPr>
            <w:tcW w:w="1560" w:type="dxa"/>
            <w:tcBorders>
              <w:top w:val="nil"/>
              <w:left w:val="single" w:sz="2" w:space="0" w:color="auto"/>
              <w:bottom w:val="nil"/>
              <w:right w:val="single" w:sz="2" w:space="0" w:color="auto"/>
            </w:tcBorders>
          </w:tcPr>
          <w:p w14:paraId="09D84D67" w14:textId="77777777" w:rsidR="000144FF" w:rsidRPr="002D20CA" w:rsidRDefault="000144FF">
            <w:pPr>
              <w:pStyle w:val="TableReference"/>
              <w:tabs>
                <w:tab w:val="left" w:pos="3306"/>
              </w:tabs>
              <w:spacing w:before="40"/>
              <w:rPr>
                <w:rFonts w:cs="Calibri"/>
                <w:color w:val="7030A0"/>
                <w:sz w:val="14"/>
              </w:rPr>
            </w:pPr>
          </w:p>
          <w:p w14:paraId="4A1E11EE" w14:textId="77777777" w:rsidR="000144FF" w:rsidRPr="002D20CA" w:rsidRDefault="000144FF">
            <w:pPr>
              <w:pStyle w:val="TableReference"/>
              <w:tabs>
                <w:tab w:val="left" w:pos="3306"/>
              </w:tabs>
              <w:rPr>
                <w:rFonts w:cs="Calibri"/>
                <w:color w:val="7030A0"/>
                <w:sz w:val="14"/>
              </w:rPr>
            </w:pPr>
          </w:p>
          <w:p w14:paraId="40568137" w14:textId="77777777" w:rsidR="000144FF" w:rsidRPr="002D20CA" w:rsidRDefault="000144FF">
            <w:pPr>
              <w:pStyle w:val="TableReference"/>
              <w:tabs>
                <w:tab w:val="left" w:pos="3306"/>
              </w:tabs>
              <w:rPr>
                <w:rFonts w:cs="Calibri"/>
                <w:color w:val="7030A0"/>
                <w:sz w:val="14"/>
              </w:rPr>
            </w:pPr>
            <w:r w:rsidRPr="002D20CA">
              <w:rPr>
                <w:rFonts w:cs="Calibri"/>
                <w:color w:val="7030A0"/>
                <w:sz w:val="14"/>
              </w:rPr>
              <w:t>AASB 101</w:t>
            </w:r>
            <w:r w:rsidR="00D65811" w:rsidRPr="002D20CA">
              <w:rPr>
                <w:rFonts w:cs="Calibri"/>
                <w:color w:val="7030A0"/>
                <w:sz w:val="14"/>
              </w:rPr>
              <w:t>.</w:t>
            </w:r>
            <w:r w:rsidR="000F7B5F" w:rsidRPr="002D20CA">
              <w:rPr>
                <w:rFonts w:cs="Calibri"/>
                <w:color w:val="7030A0"/>
                <w:sz w:val="14"/>
              </w:rPr>
              <w:t>69</w:t>
            </w:r>
          </w:p>
        </w:tc>
        <w:tc>
          <w:tcPr>
            <w:tcW w:w="8930" w:type="dxa"/>
            <w:gridSpan w:val="4"/>
            <w:tcBorders>
              <w:top w:val="nil"/>
              <w:left w:val="single" w:sz="2" w:space="0" w:color="auto"/>
              <w:bottom w:val="nil"/>
              <w:right w:val="nil"/>
            </w:tcBorders>
            <w:shd w:val="clear" w:color="auto" w:fill="7030A0"/>
            <w:vAlign w:val="bottom"/>
          </w:tcPr>
          <w:p w14:paraId="51A8041B" w14:textId="77777777" w:rsidR="000144FF" w:rsidRPr="00C87392" w:rsidRDefault="000144FF" w:rsidP="006F7D34">
            <w:pPr>
              <w:pStyle w:val="TableText"/>
              <w:autoSpaceDE w:val="0"/>
              <w:autoSpaceDN w:val="0"/>
              <w:adjustRightInd w:val="0"/>
              <w:spacing w:before="0" w:after="120"/>
              <w:jc w:val="both"/>
              <w:rPr>
                <w:rFonts w:cs="Calibri"/>
                <w:b/>
                <w:bCs/>
                <w:color w:val="FFFFFF" w:themeColor="background1"/>
                <w:sz w:val="20"/>
                <w:szCs w:val="20"/>
              </w:rPr>
            </w:pPr>
            <w:r w:rsidRPr="00C87392">
              <w:rPr>
                <w:rFonts w:cs="Calibri"/>
                <w:b/>
                <w:bCs/>
                <w:color w:val="FFFFFF" w:themeColor="background1"/>
                <w:sz w:val="20"/>
                <w:szCs w:val="20"/>
              </w:rPr>
              <w:t xml:space="preserve">Classification </w:t>
            </w:r>
          </w:p>
          <w:p w14:paraId="35B25394" w14:textId="32CAB628" w:rsidR="000144FF" w:rsidRPr="002D20CA" w:rsidRDefault="005333B2" w:rsidP="005333B2">
            <w:pPr>
              <w:pStyle w:val="TableText"/>
              <w:autoSpaceDE w:val="0"/>
              <w:autoSpaceDN w:val="0"/>
              <w:adjustRightInd w:val="0"/>
              <w:spacing w:before="0" w:after="40"/>
              <w:jc w:val="both"/>
              <w:rPr>
                <w:rFonts w:cs="Calibri"/>
                <w:color w:val="FFFFFF" w:themeColor="background1"/>
              </w:rPr>
            </w:pPr>
            <w:r w:rsidRPr="002D20CA">
              <w:rPr>
                <w:rFonts w:cs="Calibri"/>
                <w:color w:val="FFFFFF" w:themeColor="background1"/>
              </w:rPr>
              <w:t>A</w:t>
            </w:r>
            <w:r w:rsidR="000144FF" w:rsidRPr="002D20CA">
              <w:rPr>
                <w:rFonts w:cs="Calibri"/>
                <w:color w:val="FFFFFF" w:themeColor="background1"/>
              </w:rPr>
              <w:t xml:space="preserve"> liability </w:t>
            </w:r>
            <w:r w:rsidRPr="002D20CA">
              <w:rPr>
                <w:rFonts w:cs="Calibri"/>
                <w:color w:val="FFFFFF" w:themeColor="background1"/>
              </w:rPr>
              <w:t xml:space="preserve">is required to </w:t>
            </w:r>
            <w:r w:rsidR="000144FF" w:rsidRPr="002D20CA">
              <w:rPr>
                <w:rFonts w:cs="Calibri"/>
                <w:color w:val="FFFFFF" w:themeColor="background1"/>
              </w:rPr>
              <w:t>be classified as current when it satisfies any of the following criteria:</w:t>
            </w:r>
          </w:p>
          <w:p w14:paraId="153D3174" w14:textId="14BF0DE1" w:rsidR="000144FF" w:rsidRDefault="000144FF"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 xml:space="preserve">it is expected to be settled in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00063247" w:rsidRPr="002D20CA">
              <w:rPr>
                <w:rFonts w:cs="Calibri"/>
                <w:color w:val="FFFFFF" w:themeColor="background1"/>
                <w:sz w:val="18"/>
                <w:szCs w:val="18"/>
              </w:rPr>
              <w:t xml:space="preserve">’s </w:t>
            </w:r>
            <w:r w:rsidRPr="002D20CA">
              <w:rPr>
                <w:rFonts w:cs="Calibri"/>
                <w:color w:val="FFFFFF" w:themeColor="background1"/>
                <w:sz w:val="18"/>
                <w:szCs w:val="18"/>
              </w:rPr>
              <w:t>normal operating cycle;</w:t>
            </w:r>
          </w:p>
          <w:p w14:paraId="679EFD10" w14:textId="0EE7E03C" w:rsidR="000144FF" w:rsidRDefault="000144FF"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it is held primarily for the purpose of being traded;</w:t>
            </w:r>
          </w:p>
          <w:p w14:paraId="595F4B6B" w14:textId="242F0312" w:rsidR="000144FF" w:rsidRDefault="000144FF"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it is</w:t>
            </w:r>
            <w:r w:rsidR="00214D40" w:rsidRPr="002D20CA">
              <w:rPr>
                <w:rFonts w:cs="Calibri"/>
                <w:color w:val="FFFFFF" w:themeColor="background1"/>
                <w:sz w:val="18"/>
                <w:szCs w:val="18"/>
              </w:rPr>
              <w:t xml:space="preserve"> due to be settled within 12</w:t>
            </w:r>
            <w:r w:rsidRPr="002D20CA">
              <w:rPr>
                <w:rFonts w:cs="Calibri"/>
                <w:color w:val="FFFFFF" w:themeColor="background1"/>
                <w:sz w:val="18"/>
                <w:szCs w:val="18"/>
              </w:rPr>
              <w:t xml:space="preserve"> months after the reporting date; or</w:t>
            </w:r>
          </w:p>
          <w:p w14:paraId="74460B40" w14:textId="4D13C4C4" w:rsidR="000144FF" w:rsidRPr="002D20CA" w:rsidRDefault="000144FF"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 xml:space="preserve">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00063247" w:rsidRPr="002D20CA">
              <w:rPr>
                <w:rFonts w:cs="Calibri"/>
                <w:color w:val="FFFFFF" w:themeColor="background1"/>
                <w:sz w:val="18"/>
                <w:szCs w:val="18"/>
              </w:rPr>
              <w:t xml:space="preserve"> </w:t>
            </w:r>
            <w:r w:rsidRPr="002D20CA">
              <w:rPr>
                <w:rFonts w:cs="Calibri"/>
                <w:color w:val="FFFFFF" w:themeColor="background1"/>
                <w:sz w:val="18"/>
                <w:szCs w:val="18"/>
              </w:rPr>
              <w:t>does not have an unconditional right to defer settlement of t</w:t>
            </w:r>
            <w:r w:rsidR="00214D40" w:rsidRPr="002D20CA">
              <w:rPr>
                <w:rFonts w:cs="Calibri"/>
                <w:color w:val="FFFFFF" w:themeColor="background1"/>
                <w:sz w:val="18"/>
                <w:szCs w:val="18"/>
              </w:rPr>
              <w:t>he liability for at least 12</w:t>
            </w:r>
            <w:r w:rsidRPr="002D20CA">
              <w:rPr>
                <w:rFonts w:cs="Calibri"/>
                <w:color w:val="FFFFFF" w:themeColor="background1"/>
                <w:sz w:val="18"/>
                <w:szCs w:val="18"/>
              </w:rPr>
              <w:t xml:space="preserve"> months after the reporting date.</w:t>
            </w:r>
          </w:p>
        </w:tc>
      </w:tr>
      <w:tr w:rsidR="000B28EF" w:rsidRPr="00CF7E1B" w14:paraId="69BEE74B" w14:textId="77777777" w:rsidTr="0004564D">
        <w:trPr>
          <w:cantSplit/>
          <w:trHeight w:val="23"/>
        </w:trPr>
        <w:tc>
          <w:tcPr>
            <w:tcW w:w="1560" w:type="dxa"/>
            <w:tcBorders>
              <w:top w:val="nil"/>
              <w:left w:val="single" w:sz="2" w:space="0" w:color="auto"/>
              <w:bottom w:val="nil"/>
              <w:right w:val="single" w:sz="2" w:space="0" w:color="auto"/>
            </w:tcBorders>
          </w:tcPr>
          <w:p w14:paraId="58B5A841" w14:textId="77777777" w:rsidR="000B28EF" w:rsidRPr="002D20CA" w:rsidRDefault="000B28EF">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right w:val="nil"/>
            </w:tcBorders>
            <w:shd w:val="clear" w:color="auto" w:fill="7030A0"/>
            <w:vAlign w:val="bottom"/>
          </w:tcPr>
          <w:p w14:paraId="4C04A871" w14:textId="0F06A426" w:rsidR="000B28EF" w:rsidRPr="002D20CA" w:rsidRDefault="000B28EF" w:rsidP="000B28EF">
            <w:pPr>
              <w:autoSpaceDE w:val="0"/>
              <w:autoSpaceDN w:val="0"/>
              <w:adjustRightInd w:val="0"/>
              <w:spacing w:after="120"/>
              <w:jc w:val="both"/>
              <w:rPr>
                <w:rFonts w:cs="Calibri"/>
                <w:color w:val="FFFFFF" w:themeColor="background1"/>
                <w:sz w:val="18"/>
                <w:szCs w:val="18"/>
              </w:rPr>
            </w:pPr>
            <w:r w:rsidRPr="002D20CA">
              <w:rPr>
                <w:rFonts w:cs="Calibri"/>
                <w:color w:val="FFFFFF" w:themeColor="background1"/>
                <w:sz w:val="18"/>
                <w:szCs w:val="18"/>
              </w:rPr>
              <w:t>All other liabilities shall be classified as non-current.</w:t>
            </w:r>
          </w:p>
        </w:tc>
      </w:tr>
      <w:tr w:rsidR="00C87392" w:rsidRPr="00CF7E1B" w14:paraId="52170D98" w14:textId="77777777" w:rsidTr="0004564D">
        <w:trPr>
          <w:cantSplit/>
          <w:trHeight w:val="454"/>
        </w:trPr>
        <w:tc>
          <w:tcPr>
            <w:tcW w:w="1560" w:type="dxa"/>
            <w:tcBorders>
              <w:top w:val="nil"/>
              <w:left w:val="single" w:sz="2" w:space="0" w:color="auto"/>
              <w:bottom w:val="nil"/>
              <w:right w:val="single" w:sz="2" w:space="0" w:color="auto"/>
            </w:tcBorders>
          </w:tcPr>
          <w:p w14:paraId="279CBCDB" w14:textId="77777777" w:rsidR="00C87392" w:rsidRPr="002D20CA" w:rsidRDefault="00C87392" w:rsidP="009F35AC">
            <w:pPr>
              <w:pStyle w:val="TableReference"/>
              <w:tabs>
                <w:tab w:val="left" w:pos="3306"/>
              </w:tabs>
              <w:spacing w:after="240"/>
              <w:rPr>
                <w:rFonts w:cs="Calibri"/>
                <w:b/>
                <w:color w:val="7030A0"/>
                <w:sz w:val="22"/>
                <w:szCs w:val="22"/>
              </w:rPr>
            </w:pPr>
            <w:r w:rsidRPr="002D20CA">
              <w:rPr>
                <w:rFonts w:cs="Calibri"/>
                <w:b/>
                <w:color w:val="7030A0"/>
                <w:sz w:val="22"/>
                <w:szCs w:val="22"/>
              </w:rPr>
              <w:t>Reference</w:t>
            </w:r>
          </w:p>
        </w:tc>
        <w:tc>
          <w:tcPr>
            <w:tcW w:w="8930" w:type="dxa"/>
            <w:gridSpan w:val="4"/>
            <w:tcBorders>
              <w:top w:val="nil"/>
              <w:left w:val="single" w:sz="2" w:space="0" w:color="auto"/>
              <w:bottom w:val="nil"/>
              <w:right w:val="nil"/>
            </w:tcBorders>
            <w:shd w:val="clear" w:color="auto" w:fill="7030A0"/>
            <w:vAlign w:val="bottom"/>
          </w:tcPr>
          <w:p w14:paraId="4305D707" w14:textId="12C48380" w:rsidR="00C87392" w:rsidRPr="002D20CA" w:rsidRDefault="00C87392" w:rsidP="009F35AC">
            <w:pPr>
              <w:pStyle w:val="CommentaryTitle"/>
              <w:spacing w:before="0" w:after="240"/>
              <w:rPr>
                <w:rFonts w:cs="Calibri"/>
                <w:color w:val="FFFFFF" w:themeColor="background1"/>
                <w:sz w:val="28"/>
                <w:szCs w:val="28"/>
              </w:rPr>
            </w:pPr>
            <w:r w:rsidRPr="002D20CA">
              <w:rPr>
                <w:rFonts w:cs="Calibri"/>
                <w:color w:val="FFFFFF" w:themeColor="background1"/>
                <w:sz w:val="28"/>
                <w:szCs w:val="28"/>
              </w:rPr>
              <w:t>Commentary - Note 27: Employee Benefits</w:t>
            </w:r>
            <w:r>
              <w:rPr>
                <w:rFonts w:cs="Calibri"/>
                <w:color w:val="FFFFFF" w:themeColor="background1"/>
                <w:sz w:val="28"/>
                <w:szCs w:val="28"/>
              </w:rPr>
              <w:t xml:space="preserve"> – Continued </w:t>
            </w:r>
          </w:p>
        </w:tc>
      </w:tr>
      <w:tr w:rsidR="000B28EF" w:rsidRPr="00CF7E1B" w14:paraId="742B7D2E" w14:textId="77777777" w:rsidTr="0004564D">
        <w:trPr>
          <w:cantSplit/>
          <w:trHeight w:val="23"/>
        </w:trPr>
        <w:tc>
          <w:tcPr>
            <w:tcW w:w="1560" w:type="dxa"/>
            <w:tcBorders>
              <w:top w:val="nil"/>
              <w:left w:val="single" w:sz="2" w:space="0" w:color="auto"/>
              <w:bottom w:val="nil"/>
              <w:right w:val="single" w:sz="2" w:space="0" w:color="auto"/>
            </w:tcBorders>
          </w:tcPr>
          <w:p w14:paraId="5B978869" w14:textId="77777777" w:rsidR="000B28EF" w:rsidRPr="002D20CA" w:rsidRDefault="000B28EF">
            <w:pPr>
              <w:pStyle w:val="TableReference"/>
              <w:tabs>
                <w:tab w:val="left" w:pos="3306"/>
              </w:tabs>
              <w:spacing w:before="40"/>
              <w:rPr>
                <w:rFonts w:cs="Calibri"/>
                <w:color w:val="7030A0"/>
                <w:sz w:val="14"/>
              </w:rPr>
            </w:pPr>
          </w:p>
        </w:tc>
        <w:tc>
          <w:tcPr>
            <w:tcW w:w="8930" w:type="dxa"/>
            <w:gridSpan w:val="4"/>
            <w:tcBorders>
              <w:top w:val="nil"/>
              <w:left w:val="single" w:sz="2" w:space="0" w:color="auto"/>
              <w:bottom w:val="nil"/>
              <w:right w:val="nil"/>
            </w:tcBorders>
            <w:shd w:val="clear" w:color="auto" w:fill="7030A0"/>
            <w:vAlign w:val="bottom"/>
          </w:tcPr>
          <w:p w14:paraId="5F58FE95" w14:textId="5A55BB43" w:rsidR="000B28EF" w:rsidRPr="002D20CA" w:rsidRDefault="000B28EF" w:rsidP="006F7D34">
            <w:pPr>
              <w:pStyle w:val="TableText"/>
              <w:autoSpaceDE w:val="0"/>
              <w:autoSpaceDN w:val="0"/>
              <w:adjustRightInd w:val="0"/>
              <w:spacing w:before="0" w:after="120"/>
              <w:jc w:val="both"/>
              <w:rPr>
                <w:rFonts w:cs="Calibri"/>
                <w:b/>
                <w:bCs/>
                <w:color w:val="FFFFFF" w:themeColor="background1"/>
              </w:rPr>
            </w:pPr>
            <w:r w:rsidRPr="002D20CA">
              <w:rPr>
                <w:rFonts w:cs="Calibri"/>
                <w:color w:val="FFFFFF" w:themeColor="background1"/>
              </w:rPr>
              <w:t>The effect of the last bullet point above is that all annual leave and unconditional long service leave is to be classified as current.</w:t>
            </w:r>
            <w:r w:rsidR="00FA7C77">
              <w:rPr>
                <w:rFonts w:cs="Calibri"/>
                <w:color w:val="FFFFFF" w:themeColor="background1"/>
              </w:rPr>
              <w:t xml:space="preserve"> </w:t>
            </w:r>
            <w:r w:rsidRPr="002D20CA">
              <w:rPr>
                <w:rFonts w:cs="Calibri"/>
                <w:color w:val="FFFFFF" w:themeColor="background1"/>
              </w:rPr>
              <w:t>An agency does not have an unconditional right to defer the payment of annual leave or unconditional long service leave.</w:t>
            </w:r>
            <w:r w:rsidR="00FA7C77">
              <w:rPr>
                <w:rFonts w:cs="Calibri"/>
                <w:color w:val="FFFFFF" w:themeColor="background1"/>
              </w:rPr>
              <w:t xml:space="preserve"> </w:t>
            </w:r>
            <w:r w:rsidRPr="002D20CA">
              <w:rPr>
                <w:rFonts w:cs="Calibri"/>
                <w:color w:val="FFFFFF" w:themeColor="background1"/>
              </w:rPr>
              <w:t>For example, the meeting of these obligations could not be deferred if the employee were to resign.</w:t>
            </w:r>
            <w:r w:rsidR="00FA7C77">
              <w:rPr>
                <w:rFonts w:cs="Calibri"/>
                <w:color w:val="FFFFFF" w:themeColor="background1"/>
              </w:rPr>
              <w:t xml:space="preserve"> </w:t>
            </w:r>
            <w:r w:rsidRPr="002D20CA">
              <w:rPr>
                <w:rFonts w:cs="Calibri"/>
                <w:color w:val="FFFFFF" w:themeColor="background1"/>
              </w:rPr>
              <w:t>This leave is required to be classified as current when the employee is entitled to the leave rather than when the leave is expected to be taken.</w:t>
            </w:r>
          </w:p>
        </w:tc>
      </w:tr>
      <w:tr w:rsidR="000144FF" w:rsidRPr="00CF7E1B" w14:paraId="4D2C9393" w14:textId="77777777" w:rsidTr="0004564D">
        <w:trPr>
          <w:cantSplit/>
          <w:trHeight w:val="23"/>
        </w:trPr>
        <w:tc>
          <w:tcPr>
            <w:tcW w:w="1560" w:type="dxa"/>
            <w:tcBorders>
              <w:top w:val="nil"/>
              <w:left w:val="single" w:sz="2" w:space="0" w:color="auto"/>
              <w:bottom w:val="nil"/>
              <w:right w:val="single" w:sz="2" w:space="0" w:color="auto"/>
            </w:tcBorders>
            <w:vAlign w:val="bottom"/>
          </w:tcPr>
          <w:p w14:paraId="7F84F85E" w14:textId="77777777" w:rsidR="000144FF" w:rsidRPr="002D20CA" w:rsidRDefault="000144FF">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shd w:val="clear" w:color="auto" w:fill="7030A0"/>
            <w:vAlign w:val="bottom"/>
          </w:tcPr>
          <w:p w14:paraId="2B39382B" w14:textId="43FD9549" w:rsidR="000144FF" w:rsidRPr="002D20CA" w:rsidRDefault="000B28EF" w:rsidP="000B28EF">
            <w:pPr>
              <w:tabs>
                <w:tab w:val="left" w:pos="3306"/>
              </w:tabs>
              <w:rPr>
                <w:rFonts w:cs="Calibri"/>
                <w:b/>
                <w:bCs/>
                <w:color w:val="FFFFFF" w:themeColor="background1"/>
                <w:sz w:val="18"/>
                <w:szCs w:val="18"/>
              </w:rPr>
            </w:pPr>
            <w:r w:rsidRPr="002D20CA">
              <w:rPr>
                <w:rFonts w:cs="Calibri"/>
                <w:color w:val="FFFFFF" w:themeColor="background1"/>
                <w:sz w:val="18"/>
                <w:szCs w:val="18"/>
              </w:rPr>
              <w:t>Conditional long service leave is classified as a non-current liability as an agency has an unconditional right to defer settlement of the liability for at least 12 months.</w:t>
            </w:r>
            <w:r w:rsidR="00FA7C77">
              <w:rPr>
                <w:rFonts w:cs="Calibri"/>
                <w:color w:val="FFFFFF" w:themeColor="background1"/>
                <w:sz w:val="18"/>
                <w:szCs w:val="18"/>
              </w:rPr>
              <w:t xml:space="preserve"> </w:t>
            </w:r>
            <w:r w:rsidRPr="002D20CA">
              <w:rPr>
                <w:rFonts w:cs="Calibri"/>
                <w:color w:val="FFFFFF" w:themeColor="background1"/>
                <w:sz w:val="18"/>
                <w:szCs w:val="18"/>
              </w:rPr>
              <w:t>Agencies should refer to the requirements of their workplace agreements to determine whether leave is conditional or unconditional.</w:t>
            </w:r>
            <w:r w:rsidR="00FA7C77">
              <w:rPr>
                <w:rFonts w:cs="Calibri"/>
                <w:color w:val="FFFFFF" w:themeColor="background1"/>
                <w:sz w:val="18"/>
                <w:szCs w:val="18"/>
              </w:rPr>
              <w:t xml:space="preserve"> </w:t>
            </w:r>
            <w:r w:rsidRPr="002D20CA">
              <w:rPr>
                <w:rFonts w:cs="Calibri"/>
                <w:color w:val="FFFFFF" w:themeColor="background1"/>
                <w:sz w:val="18"/>
                <w:szCs w:val="18"/>
              </w:rPr>
              <w:t>For example, for most agencies, employees with a service period of between 1 and 6 years would have conditional long service leave which is to be classified as non-current.</w:t>
            </w:r>
          </w:p>
        </w:tc>
      </w:tr>
      <w:tr w:rsidR="00BB287C" w:rsidRPr="00CF7E1B" w14:paraId="3ED031EB" w14:textId="77777777" w:rsidTr="0004564D">
        <w:trPr>
          <w:cantSplit/>
          <w:trHeight w:val="23"/>
        </w:trPr>
        <w:tc>
          <w:tcPr>
            <w:tcW w:w="1560" w:type="dxa"/>
            <w:tcBorders>
              <w:top w:val="nil"/>
              <w:left w:val="single" w:sz="2" w:space="0" w:color="auto"/>
              <w:bottom w:val="nil"/>
              <w:right w:val="single" w:sz="2" w:space="0" w:color="auto"/>
            </w:tcBorders>
            <w:vAlign w:val="bottom"/>
          </w:tcPr>
          <w:p w14:paraId="422652F5" w14:textId="77777777" w:rsidR="00277E8C" w:rsidRPr="002D20CA" w:rsidRDefault="00277E8C">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shd w:val="clear" w:color="auto" w:fill="7030A0"/>
            <w:vAlign w:val="bottom"/>
          </w:tcPr>
          <w:p w14:paraId="534951B3" w14:textId="77777777" w:rsidR="00BB287C" w:rsidRPr="00C87392" w:rsidRDefault="00BB287C" w:rsidP="000B28EF">
            <w:pPr>
              <w:pStyle w:val="TableText"/>
              <w:autoSpaceDE w:val="0"/>
              <w:autoSpaceDN w:val="0"/>
              <w:adjustRightInd w:val="0"/>
              <w:spacing w:before="120"/>
              <w:jc w:val="both"/>
              <w:rPr>
                <w:rFonts w:cs="Calibri"/>
                <w:b/>
                <w:bCs/>
                <w:color w:val="FFFFFF" w:themeColor="background1"/>
                <w:sz w:val="20"/>
                <w:szCs w:val="20"/>
              </w:rPr>
            </w:pPr>
            <w:r w:rsidRPr="00C87392">
              <w:rPr>
                <w:rFonts w:cs="Calibri"/>
                <w:b/>
                <w:bCs/>
                <w:color w:val="FFFFFF" w:themeColor="background1"/>
                <w:sz w:val="20"/>
                <w:szCs w:val="20"/>
              </w:rPr>
              <w:t>Termination Benefits</w:t>
            </w:r>
          </w:p>
        </w:tc>
      </w:tr>
      <w:tr w:rsidR="00BB287C" w:rsidRPr="00CF7E1B" w14:paraId="1084EC20" w14:textId="77777777" w:rsidTr="0004564D">
        <w:trPr>
          <w:cantSplit/>
          <w:trHeight w:val="23"/>
        </w:trPr>
        <w:tc>
          <w:tcPr>
            <w:tcW w:w="1560" w:type="dxa"/>
            <w:tcBorders>
              <w:top w:val="nil"/>
              <w:left w:val="single" w:sz="2" w:space="0" w:color="auto"/>
              <w:bottom w:val="nil"/>
              <w:right w:val="single" w:sz="2" w:space="0" w:color="auto"/>
            </w:tcBorders>
            <w:vAlign w:val="bottom"/>
          </w:tcPr>
          <w:p w14:paraId="5417E1CE" w14:textId="77777777" w:rsidR="00277E8C" w:rsidRPr="002D20CA" w:rsidRDefault="00277E8C" w:rsidP="00277E8C">
            <w:pPr>
              <w:pStyle w:val="TableReference"/>
              <w:tabs>
                <w:tab w:val="left" w:pos="3306"/>
              </w:tabs>
              <w:rPr>
                <w:rFonts w:cs="Calibri"/>
                <w:color w:val="7030A0"/>
                <w:sz w:val="14"/>
              </w:rPr>
            </w:pPr>
            <w:r w:rsidRPr="002D20CA">
              <w:rPr>
                <w:rFonts w:cs="Calibri"/>
                <w:color w:val="7030A0"/>
                <w:sz w:val="14"/>
              </w:rPr>
              <w:t>AASB 119.159</w:t>
            </w:r>
          </w:p>
          <w:p w14:paraId="333E8915" w14:textId="77777777" w:rsidR="00277E8C" w:rsidRPr="002D20CA" w:rsidRDefault="00277E8C" w:rsidP="00277E8C">
            <w:pPr>
              <w:pStyle w:val="TableReference"/>
              <w:tabs>
                <w:tab w:val="left" w:pos="3306"/>
              </w:tabs>
              <w:rPr>
                <w:rFonts w:cs="Calibri"/>
                <w:color w:val="7030A0"/>
                <w:sz w:val="14"/>
              </w:rPr>
            </w:pPr>
            <w:r w:rsidRPr="002D20CA">
              <w:rPr>
                <w:rFonts w:cs="Calibri"/>
                <w:color w:val="7030A0"/>
                <w:sz w:val="14"/>
              </w:rPr>
              <w:t>AASB 119.162&amp;163</w:t>
            </w:r>
          </w:p>
          <w:p w14:paraId="011DBE07" w14:textId="77777777" w:rsidR="00E51068" w:rsidRPr="002D20CA" w:rsidRDefault="00E51068">
            <w:pPr>
              <w:pStyle w:val="TableReference"/>
              <w:tabs>
                <w:tab w:val="left" w:pos="3306"/>
              </w:tabs>
              <w:rPr>
                <w:rFonts w:cs="Calibri"/>
                <w:color w:val="7030A0"/>
                <w:sz w:val="14"/>
              </w:rPr>
            </w:pPr>
          </w:p>
          <w:p w14:paraId="6D0FCC63" w14:textId="77777777" w:rsidR="00E51068" w:rsidRPr="002D20CA" w:rsidRDefault="00E51068">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shd w:val="clear" w:color="auto" w:fill="7030A0"/>
            <w:vAlign w:val="bottom"/>
          </w:tcPr>
          <w:p w14:paraId="1220D480" w14:textId="418ABAED" w:rsidR="00BB287C" w:rsidRPr="002D20CA" w:rsidRDefault="005333B2" w:rsidP="000D4A57">
            <w:pPr>
              <w:pStyle w:val="CommentaryText"/>
              <w:rPr>
                <w:rFonts w:cs="Calibri"/>
                <w:b/>
                <w:bCs/>
                <w:color w:val="FFFFFF" w:themeColor="background1"/>
                <w:sz w:val="18"/>
                <w:szCs w:val="18"/>
              </w:rPr>
            </w:pPr>
            <w:r w:rsidRPr="002D20CA">
              <w:rPr>
                <w:rFonts w:cs="Calibri"/>
                <w:color w:val="FFFFFF" w:themeColor="background1"/>
                <w:sz w:val="18"/>
                <w:szCs w:val="18"/>
              </w:rPr>
              <w:t>A</w:t>
            </w:r>
            <w:r w:rsidR="00BB287C" w:rsidRPr="002D20CA">
              <w:rPr>
                <w:rFonts w:cs="Calibri"/>
                <w:color w:val="FFFFFF" w:themeColor="background1"/>
                <w:sz w:val="18"/>
                <w:szCs w:val="18"/>
              </w:rPr>
              <w:t xml:space="preserve"> termination benefit only aris</w:t>
            </w:r>
            <w:r w:rsidR="00A22E73" w:rsidRPr="002D20CA">
              <w:rPr>
                <w:rFonts w:cs="Calibri"/>
                <w:color w:val="FFFFFF" w:themeColor="background1"/>
                <w:sz w:val="18"/>
                <w:szCs w:val="18"/>
              </w:rPr>
              <w:t xml:space="preserve">es if it is provided in direct </w:t>
            </w:r>
            <w:r w:rsidR="00BB287C" w:rsidRPr="002D20CA">
              <w:rPr>
                <w:rFonts w:cs="Calibri"/>
                <w:color w:val="FFFFFF" w:themeColor="background1"/>
                <w:sz w:val="18"/>
                <w:szCs w:val="18"/>
              </w:rPr>
              <w:t>exchange for the termination of employment; not on any other exchange (e.g. benefits cannot include provisions for future services by an employee). A benefit that is in any way dependent upon providing services in the future is not a termination benefit.</w:t>
            </w:r>
            <w:r w:rsidR="00FA7C77">
              <w:rPr>
                <w:rFonts w:cs="Calibri"/>
                <w:color w:val="FFFFFF" w:themeColor="background1"/>
                <w:sz w:val="18"/>
                <w:szCs w:val="18"/>
              </w:rPr>
              <w:t xml:space="preserve"> </w:t>
            </w:r>
          </w:p>
        </w:tc>
      </w:tr>
      <w:tr w:rsidR="000144FF" w:rsidRPr="00CF7E1B" w14:paraId="63302A53" w14:textId="77777777" w:rsidTr="0004564D">
        <w:trPr>
          <w:cantSplit/>
          <w:trHeight w:val="23"/>
        </w:trPr>
        <w:tc>
          <w:tcPr>
            <w:tcW w:w="1560" w:type="dxa"/>
            <w:tcBorders>
              <w:top w:val="nil"/>
              <w:left w:val="single" w:sz="2" w:space="0" w:color="auto"/>
              <w:bottom w:val="nil"/>
              <w:right w:val="single" w:sz="2" w:space="0" w:color="auto"/>
            </w:tcBorders>
          </w:tcPr>
          <w:p w14:paraId="6120A20E" w14:textId="0B08A820" w:rsidR="000144FF" w:rsidRPr="000627F8" w:rsidRDefault="000144FF" w:rsidP="00B578B1">
            <w:pPr>
              <w:pStyle w:val="TableReference"/>
              <w:tabs>
                <w:tab w:val="left" w:pos="3306"/>
              </w:tabs>
              <w:spacing w:before="240" w:after="240"/>
              <w:rPr>
                <w:rFonts w:cs="Calibri"/>
                <w:b/>
                <w:color w:val="7030A0"/>
                <w:sz w:val="22"/>
                <w:szCs w:val="22"/>
              </w:rPr>
            </w:pPr>
            <w:bookmarkStart w:id="605" w:name="ProvisionsOther" w:colFirst="1" w:colLast="1"/>
          </w:p>
        </w:tc>
        <w:tc>
          <w:tcPr>
            <w:tcW w:w="8930" w:type="dxa"/>
            <w:gridSpan w:val="4"/>
            <w:tcBorders>
              <w:top w:val="nil"/>
              <w:left w:val="single" w:sz="2" w:space="0" w:color="auto"/>
              <w:bottom w:val="nil"/>
              <w:right w:val="nil"/>
            </w:tcBorders>
            <w:vAlign w:val="bottom"/>
          </w:tcPr>
          <w:p w14:paraId="3BF5E3C7" w14:textId="51641522" w:rsidR="000144FF" w:rsidRPr="00CF7E1B" w:rsidRDefault="00B578B1" w:rsidP="0082104D">
            <w:pPr>
              <w:pStyle w:val="Heading1"/>
              <w:numPr>
                <w:ilvl w:val="0"/>
                <w:numId w:val="0"/>
              </w:numPr>
            </w:pPr>
            <w:bookmarkStart w:id="606" w:name="_Toc400627352"/>
            <w:bookmarkStart w:id="607" w:name="_Toc98763149"/>
            <w:r w:rsidRPr="002D20CA">
              <w:t xml:space="preserve">Note </w:t>
            </w:r>
            <w:r w:rsidR="001101E3" w:rsidRPr="002D20CA">
              <w:t>28</w:t>
            </w:r>
            <w:r w:rsidR="005B11AC" w:rsidRPr="002D20CA">
              <w:t>.</w:t>
            </w:r>
            <w:r w:rsidR="00FA7C77">
              <w:t xml:space="preserve"> </w:t>
            </w:r>
            <w:r w:rsidRPr="002D20CA">
              <w:t xml:space="preserve"> </w:t>
            </w:r>
            <w:r w:rsidR="000144FF" w:rsidRPr="002D20CA">
              <w:t>Other Provisions</w:t>
            </w:r>
            <w:bookmarkEnd w:id="606"/>
            <w:bookmarkEnd w:id="607"/>
          </w:p>
        </w:tc>
      </w:tr>
      <w:bookmarkEnd w:id="605"/>
      <w:tr w:rsidR="00D876C9" w:rsidRPr="00CF7E1B" w14:paraId="5B06469A" w14:textId="77777777" w:rsidTr="0004564D">
        <w:trPr>
          <w:cantSplit/>
          <w:trHeight w:val="23"/>
        </w:trPr>
        <w:tc>
          <w:tcPr>
            <w:tcW w:w="1560" w:type="dxa"/>
            <w:tcBorders>
              <w:top w:val="nil"/>
              <w:left w:val="single" w:sz="2" w:space="0" w:color="auto"/>
              <w:bottom w:val="nil"/>
              <w:right w:val="single" w:sz="2" w:space="0" w:color="auto"/>
            </w:tcBorders>
          </w:tcPr>
          <w:p w14:paraId="76633DD4" w14:textId="77777777" w:rsidR="00D876C9" w:rsidRPr="000627F8" w:rsidRDefault="00D876C9" w:rsidP="00D07C54">
            <w:pPr>
              <w:pStyle w:val="TableReference"/>
              <w:tabs>
                <w:tab w:val="left" w:pos="3306"/>
              </w:tabs>
              <w:rPr>
                <w:rFonts w:cs="Calibri"/>
                <w:b/>
                <w:color w:val="7030A0"/>
                <w:sz w:val="20"/>
                <w:szCs w:val="20"/>
              </w:rPr>
            </w:pPr>
          </w:p>
        </w:tc>
        <w:tc>
          <w:tcPr>
            <w:tcW w:w="8930" w:type="dxa"/>
            <w:gridSpan w:val="4"/>
            <w:tcBorders>
              <w:top w:val="nil"/>
              <w:left w:val="single" w:sz="2" w:space="0" w:color="auto"/>
              <w:bottom w:val="nil"/>
              <w:right w:val="nil"/>
            </w:tcBorders>
            <w:vAlign w:val="bottom"/>
          </w:tcPr>
          <w:p w14:paraId="5847F170" w14:textId="7A6CA70B" w:rsidR="00D876C9" w:rsidRPr="000627F8" w:rsidRDefault="002B469F" w:rsidP="00B40471">
            <w:pPr>
              <w:pStyle w:val="CommentaryHeading"/>
              <w:tabs>
                <w:tab w:val="left" w:pos="3306"/>
              </w:tabs>
              <w:spacing w:before="0" w:after="0"/>
              <w:rPr>
                <w:i/>
                <w:iCs/>
                <w:sz w:val="18"/>
              </w:rPr>
            </w:pPr>
            <w:r w:rsidRPr="000627F8">
              <w:rPr>
                <w:rFonts w:cs="Calibri"/>
                <w:sz w:val="18"/>
              </w:rPr>
              <w:t>Description and Material Accounting Policies Relating to Other Provisions</w:t>
            </w:r>
          </w:p>
        </w:tc>
      </w:tr>
      <w:tr w:rsidR="00915267" w:rsidRPr="00CF7E1B" w14:paraId="79CCE4F8" w14:textId="77777777" w:rsidTr="0004564D">
        <w:trPr>
          <w:cantSplit/>
          <w:trHeight w:val="23"/>
        </w:trPr>
        <w:tc>
          <w:tcPr>
            <w:tcW w:w="1560" w:type="dxa"/>
            <w:tcBorders>
              <w:top w:val="nil"/>
              <w:left w:val="single" w:sz="2" w:space="0" w:color="auto"/>
              <w:bottom w:val="nil"/>
              <w:right w:val="single" w:sz="2" w:space="0" w:color="auto"/>
            </w:tcBorders>
          </w:tcPr>
          <w:p w14:paraId="30CC8410" w14:textId="77777777" w:rsidR="00915267" w:rsidRPr="000627F8" w:rsidRDefault="00915267" w:rsidP="00D07C54">
            <w:pPr>
              <w:pStyle w:val="TableReference"/>
              <w:tabs>
                <w:tab w:val="left" w:pos="3306"/>
              </w:tabs>
              <w:rPr>
                <w:rFonts w:cs="Calibri"/>
                <w:b/>
                <w:color w:val="7030A0"/>
                <w:sz w:val="20"/>
                <w:szCs w:val="20"/>
              </w:rPr>
            </w:pPr>
          </w:p>
        </w:tc>
        <w:tc>
          <w:tcPr>
            <w:tcW w:w="8930" w:type="dxa"/>
            <w:gridSpan w:val="4"/>
            <w:tcBorders>
              <w:top w:val="nil"/>
              <w:left w:val="single" w:sz="2" w:space="0" w:color="auto"/>
              <w:bottom w:val="nil"/>
              <w:right w:val="nil"/>
            </w:tcBorders>
            <w:vAlign w:val="bottom"/>
          </w:tcPr>
          <w:p w14:paraId="30F31DD9" w14:textId="5620578A" w:rsidR="00915267" w:rsidRPr="000627F8" w:rsidRDefault="005333B2" w:rsidP="00C6573A">
            <w:pPr>
              <w:pStyle w:val="CommentaryHeading"/>
              <w:tabs>
                <w:tab w:val="left" w:pos="3306"/>
              </w:tabs>
              <w:spacing w:before="0" w:after="0"/>
              <w:jc w:val="both"/>
              <w:rPr>
                <w:rFonts w:cs="Calibri"/>
                <w:sz w:val="18"/>
              </w:rPr>
            </w:pPr>
            <w:r w:rsidRPr="000627F8">
              <w:rPr>
                <w:rFonts w:cs="Calibri"/>
                <w:b w:val="0"/>
                <w:bCs w:val="0"/>
                <w:sz w:val="18"/>
              </w:rPr>
              <w:t>P</w:t>
            </w:r>
            <w:r w:rsidR="00915267" w:rsidRPr="000627F8">
              <w:rPr>
                <w:rFonts w:cs="Calibri"/>
                <w:b w:val="0"/>
                <w:bCs w:val="0"/>
                <w:sz w:val="18"/>
              </w:rPr>
              <w:t>rovisions are recognised when ‘</w:t>
            </w:r>
            <w:r w:rsidR="00BB42C1" w:rsidRPr="000627F8">
              <w:rPr>
                <w:b w:val="0"/>
                <w:bCs w:val="0"/>
                <w:sz w:val="18"/>
              </w:rPr>
              <w:t>Burley Griffin</w:t>
            </w:r>
            <w:r w:rsidR="00BB42C1" w:rsidRPr="000627F8">
              <w:rPr>
                <w:bCs w:val="0"/>
                <w:sz w:val="18"/>
              </w:rPr>
              <w:t xml:space="preserve"> </w:t>
            </w:r>
            <w:r w:rsidR="00915267" w:rsidRPr="000627F8">
              <w:rPr>
                <w:rFonts w:cs="Calibri"/>
                <w:b w:val="0"/>
                <w:bCs w:val="0"/>
                <w:sz w:val="18"/>
              </w:rPr>
              <w:t>Agency’ has a present legal or constructive obligation</w:t>
            </w:r>
            <w:r w:rsidR="00E61A4A" w:rsidRPr="000627F8">
              <w:rPr>
                <w:rFonts w:cs="Calibri"/>
                <w:b w:val="0"/>
                <w:bCs w:val="0"/>
                <w:sz w:val="18"/>
              </w:rPr>
              <w:t>,</w:t>
            </w:r>
            <w:r w:rsidR="00915267" w:rsidRPr="000627F8">
              <w:rPr>
                <w:rFonts w:cs="Calibri"/>
                <w:b w:val="0"/>
                <w:bCs w:val="0"/>
                <w:sz w:val="18"/>
              </w:rPr>
              <w:t xml:space="preserve"> it is probable that an outflow of resources will be required to settle the obligation and a reliable estimate can be made of the amount of the obligation.</w:t>
            </w:r>
          </w:p>
        </w:tc>
      </w:tr>
      <w:tr w:rsidR="00D07C54" w:rsidRPr="00CF7E1B" w14:paraId="1279A5CD" w14:textId="77777777" w:rsidTr="0004564D">
        <w:trPr>
          <w:cantSplit/>
          <w:trHeight w:val="23"/>
        </w:trPr>
        <w:tc>
          <w:tcPr>
            <w:tcW w:w="1560" w:type="dxa"/>
            <w:tcBorders>
              <w:top w:val="nil"/>
              <w:left w:val="single" w:sz="2" w:space="0" w:color="auto"/>
              <w:bottom w:val="nil"/>
              <w:right w:val="single" w:sz="2" w:space="0" w:color="auto"/>
            </w:tcBorders>
          </w:tcPr>
          <w:p w14:paraId="7AEC12B1" w14:textId="77777777" w:rsidR="00D07C54" w:rsidRPr="000627F8" w:rsidRDefault="00D07C54" w:rsidP="00D07C54">
            <w:pPr>
              <w:pStyle w:val="TableReference"/>
              <w:tabs>
                <w:tab w:val="left" w:pos="3306"/>
              </w:tabs>
              <w:rPr>
                <w:rFonts w:cs="Calibri"/>
                <w:b/>
                <w:color w:val="7030A0"/>
                <w:sz w:val="20"/>
                <w:szCs w:val="20"/>
              </w:rPr>
            </w:pPr>
          </w:p>
        </w:tc>
        <w:tc>
          <w:tcPr>
            <w:tcW w:w="8930" w:type="dxa"/>
            <w:gridSpan w:val="4"/>
            <w:tcBorders>
              <w:top w:val="nil"/>
              <w:left w:val="single" w:sz="2" w:space="0" w:color="auto"/>
              <w:bottom w:val="nil"/>
              <w:right w:val="nil"/>
            </w:tcBorders>
            <w:vAlign w:val="bottom"/>
          </w:tcPr>
          <w:p w14:paraId="4D961A3E" w14:textId="22A41DA8" w:rsidR="00D07C54" w:rsidRPr="000627F8" w:rsidRDefault="00D07C54" w:rsidP="00D07C54">
            <w:pPr>
              <w:pStyle w:val="CommentaryHeading"/>
              <w:tabs>
                <w:tab w:val="left" w:pos="3306"/>
              </w:tabs>
              <w:spacing w:after="0"/>
              <w:rPr>
                <w:rFonts w:cs="Calibri"/>
                <w:b w:val="0"/>
                <w:bCs w:val="0"/>
                <w:i/>
                <w:iCs/>
                <w:sz w:val="18"/>
              </w:rPr>
            </w:pPr>
            <w:r w:rsidRPr="000627F8">
              <w:rPr>
                <w:rFonts w:cs="Calibri"/>
                <w:b w:val="0"/>
                <w:bCs w:val="0"/>
                <w:i/>
                <w:iCs/>
                <w:sz w:val="18"/>
              </w:rPr>
              <w:t>Provision for Restructuring</w:t>
            </w:r>
          </w:p>
        </w:tc>
      </w:tr>
      <w:tr w:rsidR="00D876C9" w:rsidRPr="00D876C9" w14:paraId="5B08869C" w14:textId="77777777" w:rsidTr="0004564D">
        <w:trPr>
          <w:cantSplit/>
          <w:trHeight w:val="23"/>
        </w:trPr>
        <w:tc>
          <w:tcPr>
            <w:tcW w:w="1560" w:type="dxa"/>
            <w:tcBorders>
              <w:top w:val="nil"/>
              <w:left w:val="single" w:sz="2" w:space="0" w:color="auto"/>
              <w:bottom w:val="nil"/>
              <w:right w:val="single" w:sz="2" w:space="0" w:color="auto"/>
            </w:tcBorders>
          </w:tcPr>
          <w:p w14:paraId="24D969CE" w14:textId="77777777" w:rsidR="00D07C54" w:rsidRPr="000627F8" w:rsidRDefault="00D07C54" w:rsidP="00D07C54">
            <w:pPr>
              <w:pStyle w:val="TableReference"/>
              <w:tabs>
                <w:tab w:val="left" w:pos="3306"/>
              </w:tabs>
              <w:spacing w:before="40"/>
              <w:rPr>
                <w:rFonts w:cs="Calibri"/>
                <w:color w:val="7030A0"/>
                <w:sz w:val="14"/>
              </w:rPr>
            </w:pPr>
            <w:r w:rsidRPr="000627F8">
              <w:rPr>
                <w:rFonts w:cs="Calibri"/>
                <w:color w:val="7030A0"/>
                <w:sz w:val="14"/>
              </w:rPr>
              <w:t xml:space="preserve">AASB 137.85(a) &amp;(b) </w:t>
            </w:r>
          </w:p>
          <w:p w14:paraId="6560AABB" w14:textId="77777777" w:rsidR="00D876C9" w:rsidRPr="000627F8" w:rsidRDefault="00D876C9" w:rsidP="00D876C9">
            <w:pPr>
              <w:pStyle w:val="TableReference"/>
              <w:tabs>
                <w:tab w:val="left" w:pos="3306"/>
              </w:tabs>
              <w:spacing w:before="240" w:after="240"/>
              <w:rPr>
                <w:rFonts w:cs="Calibri"/>
                <w:b/>
                <w:color w:val="7030A0"/>
                <w:sz w:val="20"/>
                <w:szCs w:val="20"/>
              </w:rPr>
            </w:pPr>
          </w:p>
        </w:tc>
        <w:tc>
          <w:tcPr>
            <w:tcW w:w="8930" w:type="dxa"/>
            <w:gridSpan w:val="4"/>
            <w:tcBorders>
              <w:top w:val="nil"/>
              <w:left w:val="single" w:sz="2" w:space="0" w:color="auto"/>
              <w:bottom w:val="nil"/>
              <w:right w:val="nil"/>
            </w:tcBorders>
            <w:vAlign w:val="bottom"/>
          </w:tcPr>
          <w:p w14:paraId="4882BFE5" w14:textId="3109F0EA" w:rsidR="00D876C9" w:rsidRPr="000627F8" w:rsidRDefault="00D876C9" w:rsidP="00C6573A">
            <w:pPr>
              <w:pStyle w:val="Heading1"/>
              <w:numPr>
                <w:ilvl w:val="0"/>
                <w:numId w:val="0"/>
              </w:numPr>
              <w:spacing w:before="0" w:after="120"/>
              <w:jc w:val="both"/>
              <w:rPr>
                <w:rFonts w:ascii="Calibri" w:hAnsi="Calibri" w:cs="Calibri"/>
                <w:b w:val="0"/>
                <w:bCs w:val="0"/>
                <w:caps w:val="0"/>
                <w:sz w:val="18"/>
                <w:szCs w:val="18"/>
              </w:rPr>
            </w:pPr>
            <w:bookmarkStart w:id="608" w:name="_Toc98763150"/>
            <w:r w:rsidRPr="000627F8">
              <w:rPr>
                <w:rFonts w:ascii="Calibri" w:hAnsi="Calibri" w:cs="Calibri"/>
                <w:b w:val="0"/>
                <w:bCs w:val="0"/>
                <w:caps w:val="0"/>
                <w:sz w:val="18"/>
                <w:szCs w:val="18"/>
              </w:rPr>
              <w:t>In May 2020, the Agency announced publicly that it would be undertaking a restructuring of a maintenance division that would result in the closure of the division and in 60 employees being made redundant.</w:t>
            </w:r>
            <w:r w:rsidR="00FA7C77">
              <w:rPr>
                <w:rFonts w:ascii="Calibri" w:hAnsi="Calibri" w:cs="Calibri"/>
                <w:b w:val="0"/>
                <w:bCs w:val="0"/>
                <w:caps w:val="0"/>
                <w:sz w:val="18"/>
                <w:szCs w:val="18"/>
              </w:rPr>
              <w:t xml:space="preserve"> </w:t>
            </w:r>
            <w:r w:rsidRPr="000627F8">
              <w:rPr>
                <w:rFonts w:ascii="Calibri" w:hAnsi="Calibri" w:cs="Calibri"/>
                <w:b w:val="0"/>
                <w:bCs w:val="0"/>
                <w:caps w:val="0"/>
                <w:sz w:val="18"/>
                <w:szCs w:val="18"/>
              </w:rPr>
              <w:t>A detailed formal restructuring plan has been prepared that outlines the timeframe of the restructure along with the cost, division concerned (and its location) and the number of redundant staff.</w:t>
            </w:r>
            <w:r w:rsidR="00FA7C77">
              <w:rPr>
                <w:rFonts w:ascii="Calibri" w:hAnsi="Calibri" w:cs="Calibri"/>
                <w:b w:val="0"/>
                <w:bCs w:val="0"/>
                <w:caps w:val="0"/>
                <w:sz w:val="18"/>
                <w:szCs w:val="18"/>
              </w:rPr>
              <w:t xml:space="preserve"> </w:t>
            </w:r>
            <w:r w:rsidRPr="000627F8">
              <w:rPr>
                <w:rFonts w:ascii="Calibri" w:hAnsi="Calibri" w:cs="Calibri"/>
                <w:b w:val="0"/>
                <w:bCs w:val="0"/>
                <w:caps w:val="0"/>
                <w:sz w:val="18"/>
                <w:szCs w:val="18"/>
              </w:rPr>
              <w:t>Restructuring is expected to be completed towards the end of the next reporting period.</w:t>
            </w:r>
            <w:bookmarkEnd w:id="608"/>
          </w:p>
        </w:tc>
      </w:tr>
      <w:tr w:rsidR="006B71F3" w:rsidRPr="00CF7E1B" w14:paraId="11D07A9C" w14:textId="77777777" w:rsidTr="0004564D">
        <w:trPr>
          <w:cantSplit/>
          <w:trHeight w:val="23"/>
        </w:trPr>
        <w:tc>
          <w:tcPr>
            <w:tcW w:w="1560" w:type="dxa"/>
            <w:tcBorders>
              <w:top w:val="nil"/>
              <w:left w:val="single" w:sz="2" w:space="0" w:color="auto"/>
              <w:bottom w:val="nil"/>
              <w:right w:val="single" w:sz="2" w:space="0" w:color="auto"/>
            </w:tcBorders>
          </w:tcPr>
          <w:p w14:paraId="0C0DEBE7" w14:textId="6DDDFE29" w:rsidR="006B71F3" w:rsidRPr="000627F8" w:rsidRDefault="006C5B9B" w:rsidP="00D07C54">
            <w:pPr>
              <w:pStyle w:val="TableReference"/>
              <w:tabs>
                <w:tab w:val="left" w:pos="3306"/>
              </w:tabs>
              <w:rPr>
                <w:rFonts w:cs="Calibri"/>
                <w:b/>
                <w:color w:val="7030A0"/>
                <w:sz w:val="14"/>
              </w:rPr>
            </w:pPr>
            <w:r w:rsidRPr="000627F8">
              <w:rPr>
                <w:color w:val="7030A0"/>
                <w:sz w:val="14"/>
              </w:rPr>
              <w:t>AASB 137.72</w:t>
            </w:r>
          </w:p>
        </w:tc>
        <w:tc>
          <w:tcPr>
            <w:tcW w:w="8930" w:type="dxa"/>
            <w:gridSpan w:val="4"/>
            <w:tcBorders>
              <w:top w:val="nil"/>
              <w:left w:val="single" w:sz="2" w:space="0" w:color="auto"/>
              <w:bottom w:val="nil"/>
              <w:right w:val="nil"/>
            </w:tcBorders>
            <w:vAlign w:val="bottom"/>
          </w:tcPr>
          <w:p w14:paraId="0D1FA382" w14:textId="7AF65A8D" w:rsidR="006B71F3" w:rsidRPr="000627F8" w:rsidRDefault="006B71F3" w:rsidP="00A53F02">
            <w:pPr>
              <w:pStyle w:val="Heading1"/>
              <w:numPr>
                <w:ilvl w:val="0"/>
                <w:numId w:val="0"/>
              </w:numPr>
              <w:spacing w:before="0" w:after="0"/>
              <w:jc w:val="both"/>
              <w:rPr>
                <w:rFonts w:ascii="Calibri" w:hAnsi="Calibri" w:cs="Calibri"/>
                <w:b w:val="0"/>
                <w:bCs w:val="0"/>
                <w:caps w:val="0"/>
                <w:sz w:val="18"/>
                <w:szCs w:val="18"/>
              </w:rPr>
            </w:pPr>
            <w:bookmarkStart w:id="609" w:name="_Toc98763151"/>
            <w:r w:rsidRPr="000627F8">
              <w:rPr>
                <w:rFonts w:ascii="Calibri" w:hAnsi="Calibri" w:cs="Calibri"/>
                <w:b w:val="0"/>
                <w:bCs w:val="0"/>
                <w:caps w:val="0"/>
                <w:sz w:val="18"/>
                <w:szCs w:val="18"/>
              </w:rPr>
              <w:t xml:space="preserve">The provision for restructuring is recognised </w:t>
            </w:r>
            <w:r w:rsidR="006C5B9B" w:rsidRPr="000627F8">
              <w:rPr>
                <w:rFonts w:ascii="Calibri" w:hAnsi="Calibri" w:cs="Calibri"/>
                <w:b w:val="0"/>
                <w:bCs w:val="0"/>
                <w:caps w:val="0"/>
                <w:sz w:val="18"/>
                <w:szCs w:val="18"/>
              </w:rPr>
              <w:t>at the point in time when a formal detailed plan has been completed and ‘</w:t>
            </w:r>
            <w:r w:rsidR="00BB42C1" w:rsidRPr="000627F8">
              <w:rPr>
                <w:rFonts w:ascii="Calibri" w:hAnsi="Calibri" w:cs="Calibri"/>
                <w:b w:val="0"/>
                <w:bCs w:val="0"/>
                <w:caps w:val="0"/>
                <w:sz w:val="18"/>
                <w:szCs w:val="18"/>
              </w:rPr>
              <w:t xml:space="preserve">Burley Griffin </w:t>
            </w:r>
            <w:r w:rsidR="006C5B9B" w:rsidRPr="000627F8">
              <w:rPr>
                <w:rFonts w:ascii="Calibri" w:hAnsi="Calibri" w:cs="Calibri"/>
                <w:b w:val="0"/>
                <w:bCs w:val="0"/>
                <w:caps w:val="0"/>
                <w:sz w:val="18"/>
                <w:szCs w:val="18"/>
              </w:rPr>
              <w:t>Agency’ has raised a valid expectation</w:t>
            </w:r>
            <w:r w:rsidR="009315F6" w:rsidRPr="000627F8">
              <w:rPr>
                <w:rFonts w:ascii="Calibri" w:hAnsi="Calibri" w:cs="Calibri"/>
                <w:b w:val="0"/>
                <w:bCs w:val="0"/>
                <w:caps w:val="0"/>
                <w:sz w:val="18"/>
                <w:szCs w:val="18"/>
              </w:rPr>
              <w:t>,</w:t>
            </w:r>
            <w:r w:rsidR="006C5B9B" w:rsidRPr="000627F8">
              <w:rPr>
                <w:rFonts w:ascii="Calibri" w:hAnsi="Calibri" w:cs="Calibri"/>
                <w:b w:val="0"/>
                <w:bCs w:val="0"/>
                <w:caps w:val="0"/>
                <w:sz w:val="18"/>
                <w:szCs w:val="18"/>
              </w:rPr>
              <w:t xml:space="preserve"> </w:t>
            </w:r>
            <w:r w:rsidR="009315F6" w:rsidRPr="000627F8">
              <w:rPr>
                <w:rFonts w:ascii="Calibri" w:hAnsi="Calibri" w:cs="Calibri"/>
                <w:b w:val="0"/>
                <w:bCs w:val="0"/>
                <w:caps w:val="0"/>
                <w:sz w:val="18"/>
                <w:szCs w:val="18"/>
              </w:rPr>
              <w:t>in those affected, that the restructuring will occur</w:t>
            </w:r>
            <w:r w:rsidR="006C5B9B" w:rsidRPr="000627F8">
              <w:rPr>
                <w:rFonts w:ascii="Calibri" w:hAnsi="Calibri" w:cs="Calibri"/>
                <w:b w:val="0"/>
                <w:bCs w:val="0"/>
                <w:caps w:val="0"/>
                <w:sz w:val="18"/>
                <w:szCs w:val="18"/>
              </w:rPr>
              <w:t>.</w:t>
            </w:r>
            <w:r w:rsidR="00FA7C77">
              <w:rPr>
                <w:rFonts w:ascii="Calibri" w:hAnsi="Calibri" w:cs="Calibri"/>
                <w:b w:val="0"/>
                <w:bCs w:val="0"/>
                <w:caps w:val="0"/>
                <w:sz w:val="18"/>
                <w:szCs w:val="18"/>
              </w:rPr>
              <w:t xml:space="preserve"> </w:t>
            </w:r>
            <w:r w:rsidR="006C5B9B" w:rsidRPr="000627F8">
              <w:rPr>
                <w:rFonts w:ascii="Calibri" w:hAnsi="Calibri" w:cs="Calibri"/>
                <w:b w:val="0"/>
                <w:bCs w:val="0"/>
                <w:caps w:val="0"/>
                <w:sz w:val="18"/>
                <w:szCs w:val="18"/>
              </w:rPr>
              <w:t>A valid expectation is usually raised when the agency announces the main features of the plan to those affected or where it starts to implement the plan.</w:t>
            </w:r>
            <w:bookmarkEnd w:id="609"/>
          </w:p>
        </w:tc>
      </w:tr>
      <w:tr w:rsidR="00D07C54" w:rsidRPr="00CF7E1B" w14:paraId="1A307026" w14:textId="77777777" w:rsidTr="0004564D">
        <w:trPr>
          <w:cantSplit/>
          <w:trHeight w:val="23"/>
        </w:trPr>
        <w:tc>
          <w:tcPr>
            <w:tcW w:w="1560" w:type="dxa"/>
            <w:tcBorders>
              <w:top w:val="nil"/>
              <w:left w:val="single" w:sz="2" w:space="0" w:color="auto"/>
              <w:bottom w:val="nil"/>
              <w:right w:val="single" w:sz="2" w:space="0" w:color="auto"/>
            </w:tcBorders>
          </w:tcPr>
          <w:p w14:paraId="7DD89D54" w14:textId="77777777" w:rsidR="00D07C54" w:rsidRPr="000627F8" w:rsidRDefault="00D07C54" w:rsidP="00D07C54">
            <w:pPr>
              <w:pStyle w:val="TableReference"/>
              <w:tabs>
                <w:tab w:val="left" w:pos="3306"/>
              </w:tabs>
              <w:rPr>
                <w:rFonts w:cs="Calibri"/>
                <w:b/>
                <w:color w:val="7030A0"/>
                <w:sz w:val="20"/>
                <w:szCs w:val="20"/>
              </w:rPr>
            </w:pPr>
          </w:p>
        </w:tc>
        <w:tc>
          <w:tcPr>
            <w:tcW w:w="8930" w:type="dxa"/>
            <w:gridSpan w:val="4"/>
            <w:tcBorders>
              <w:top w:val="nil"/>
              <w:left w:val="single" w:sz="2" w:space="0" w:color="auto"/>
              <w:bottom w:val="nil"/>
              <w:right w:val="nil"/>
            </w:tcBorders>
            <w:vAlign w:val="bottom"/>
          </w:tcPr>
          <w:p w14:paraId="7A188843" w14:textId="2E6A32E8" w:rsidR="00D07C54" w:rsidRPr="000627F8" w:rsidRDefault="00D07C54" w:rsidP="006C5B9B">
            <w:pPr>
              <w:pStyle w:val="Heading1"/>
              <w:numPr>
                <w:ilvl w:val="0"/>
                <w:numId w:val="0"/>
              </w:numPr>
              <w:spacing w:before="180" w:after="0"/>
              <w:rPr>
                <w:rFonts w:ascii="Calibri" w:hAnsi="Calibri" w:cs="Calibri"/>
                <w:b w:val="0"/>
                <w:bCs w:val="0"/>
                <w:i/>
                <w:iCs/>
                <w:caps w:val="0"/>
                <w:sz w:val="18"/>
                <w:szCs w:val="18"/>
              </w:rPr>
            </w:pPr>
            <w:bookmarkStart w:id="610" w:name="_Toc98763152"/>
            <w:r w:rsidRPr="000627F8">
              <w:rPr>
                <w:rFonts w:ascii="Calibri" w:hAnsi="Calibri" w:cs="Calibri"/>
                <w:b w:val="0"/>
                <w:bCs w:val="0"/>
                <w:i/>
                <w:iCs/>
                <w:caps w:val="0"/>
                <w:sz w:val="18"/>
                <w:szCs w:val="18"/>
              </w:rPr>
              <w:t>Provision for Restoration of Contaminated Site</w:t>
            </w:r>
            <w:bookmarkEnd w:id="610"/>
          </w:p>
        </w:tc>
      </w:tr>
      <w:tr w:rsidR="00D07C54" w:rsidRPr="00CF7E1B" w14:paraId="4D6D4672" w14:textId="77777777" w:rsidTr="0004564D">
        <w:trPr>
          <w:cantSplit/>
          <w:trHeight w:val="23"/>
        </w:trPr>
        <w:tc>
          <w:tcPr>
            <w:tcW w:w="1560" w:type="dxa"/>
            <w:tcBorders>
              <w:top w:val="nil"/>
              <w:left w:val="single" w:sz="2" w:space="0" w:color="auto"/>
              <w:bottom w:val="nil"/>
              <w:right w:val="single" w:sz="2" w:space="0" w:color="auto"/>
            </w:tcBorders>
          </w:tcPr>
          <w:p w14:paraId="636A564D" w14:textId="6B0628CF" w:rsidR="00D07C54" w:rsidRPr="000627F8" w:rsidRDefault="00D07C54" w:rsidP="00D07C54">
            <w:pPr>
              <w:pStyle w:val="TableReference"/>
              <w:tabs>
                <w:tab w:val="left" w:pos="3306"/>
              </w:tabs>
              <w:spacing w:before="60"/>
              <w:rPr>
                <w:rFonts w:cs="Calibri"/>
                <w:color w:val="7030A0"/>
                <w:sz w:val="14"/>
              </w:rPr>
            </w:pPr>
            <w:r w:rsidRPr="000627F8">
              <w:rPr>
                <w:rFonts w:cs="Calibri"/>
                <w:color w:val="7030A0"/>
                <w:sz w:val="14"/>
              </w:rPr>
              <w:t>AASB 137.85(a) &amp;(b)</w:t>
            </w:r>
          </w:p>
        </w:tc>
        <w:tc>
          <w:tcPr>
            <w:tcW w:w="8930" w:type="dxa"/>
            <w:gridSpan w:val="4"/>
            <w:tcBorders>
              <w:top w:val="nil"/>
              <w:left w:val="single" w:sz="2" w:space="0" w:color="auto"/>
              <w:bottom w:val="nil"/>
              <w:right w:val="nil"/>
            </w:tcBorders>
          </w:tcPr>
          <w:p w14:paraId="017DAD48" w14:textId="689BDAE3" w:rsidR="00D07C54" w:rsidRPr="000627F8" w:rsidRDefault="00D07C54" w:rsidP="00D07C54">
            <w:pPr>
              <w:pStyle w:val="TableText"/>
              <w:spacing w:before="0" w:after="120"/>
              <w:jc w:val="both"/>
              <w:rPr>
                <w:rFonts w:cs="Calibri"/>
              </w:rPr>
            </w:pPr>
            <w:r w:rsidRPr="000627F8">
              <w:rPr>
                <w:rFonts w:cs="Calibri"/>
              </w:rPr>
              <w:t>In November 2019, it was discovered that waste had leaked from containers and contaminated the area in which they were buried and also contaminated nearby farmland.</w:t>
            </w:r>
            <w:r w:rsidR="00FA7C77">
              <w:rPr>
                <w:rFonts w:cs="Calibri"/>
              </w:rPr>
              <w:t xml:space="preserve"> </w:t>
            </w:r>
            <w:r w:rsidRPr="000627F8">
              <w:rPr>
                <w:rFonts w:cs="Calibri"/>
              </w:rPr>
              <w:t xml:space="preserve">The Agency has undertaken to clean up the contaminated area where the waste was buried and has therefore taken up a provision for the restoration of this contaminated site as the </w:t>
            </w:r>
            <w:r w:rsidR="00C958E9" w:rsidRPr="000627F8">
              <w:rPr>
                <w:rFonts w:cs="Calibri"/>
              </w:rPr>
              <w:t>clean-up</w:t>
            </w:r>
            <w:r w:rsidRPr="000627F8">
              <w:rPr>
                <w:rFonts w:cs="Calibri"/>
              </w:rPr>
              <w:t xml:space="preserve"> of this site is expected to be performed over the next two years.</w:t>
            </w:r>
            <w:r w:rsidR="00FA7C77">
              <w:rPr>
                <w:rFonts w:cs="Calibri"/>
              </w:rPr>
              <w:t xml:space="preserve"> </w:t>
            </w:r>
          </w:p>
        </w:tc>
      </w:tr>
      <w:tr w:rsidR="00B706E2" w:rsidRPr="00CF7E1B" w14:paraId="400FB067" w14:textId="77777777" w:rsidTr="0004564D">
        <w:trPr>
          <w:cantSplit/>
          <w:trHeight w:val="23"/>
        </w:trPr>
        <w:tc>
          <w:tcPr>
            <w:tcW w:w="1560" w:type="dxa"/>
            <w:tcBorders>
              <w:top w:val="nil"/>
              <w:left w:val="single" w:sz="2" w:space="0" w:color="auto"/>
              <w:bottom w:val="nil"/>
              <w:right w:val="single" w:sz="2" w:space="0" w:color="auto"/>
            </w:tcBorders>
          </w:tcPr>
          <w:p w14:paraId="75787356" w14:textId="77777777" w:rsidR="00B706E2" w:rsidRPr="000627F8" w:rsidRDefault="00B706E2" w:rsidP="00D07C54">
            <w:pPr>
              <w:pStyle w:val="TableReference"/>
              <w:tabs>
                <w:tab w:val="left" w:pos="3306"/>
              </w:tabs>
              <w:spacing w:before="60"/>
              <w:rPr>
                <w:rFonts w:cs="Calibri"/>
                <w:color w:val="7030A0"/>
                <w:sz w:val="14"/>
              </w:rPr>
            </w:pPr>
          </w:p>
        </w:tc>
        <w:tc>
          <w:tcPr>
            <w:tcW w:w="8930" w:type="dxa"/>
            <w:gridSpan w:val="4"/>
            <w:tcBorders>
              <w:top w:val="nil"/>
              <w:left w:val="single" w:sz="2" w:space="0" w:color="auto"/>
              <w:bottom w:val="nil"/>
              <w:right w:val="nil"/>
            </w:tcBorders>
          </w:tcPr>
          <w:p w14:paraId="28EDA640" w14:textId="4A269DB4" w:rsidR="00B706E2" w:rsidRPr="000627F8" w:rsidRDefault="00B706E2" w:rsidP="00D07C54">
            <w:pPr>
              <w:pStyle w:val="TableText"/>
              <w:spacing w:before="0" w:after="120"/>
              <w:jc w:val="both"/>
              <w:rPr>
                <w:rFonts w:cs="Calibri"/>
              </w:rPr>
            </w:pPr>
            <w:r w:rsidRPr="000627F8">
              <w:rPr>
                <w:rFonts w:cs="Calibri"/>
              </w:rPr>
              <w:t>This provision has been measured based on the Agency’s best estimate of the cost to remediate the site.</w:t>
            </w:r>
            <w:r w:rsidR="00FA7C77">
              <w:rPr>
                <w:rFonts w:cs="Calibri"/>
              </w:rPr>
              <w:t xml:space="preserve"> </w:t>
            </w:r>
            <w:r w:rsidRPr="000627F8">
              <w:rPr>
                <w:rFonts w:cs="Calibri"/>
              </w:rPr>
              <w:t xml:space="preserve">Given that this will take place over </w:t>
            </w:r>
            <w:r w:rsidR="007477A1" w:rsidRPr="000627F8">
              <w:rPr>
                <w:rFonts w:cs="Calibri"/>
              </w:rPr>
              <w:t xml:space="preserve">a </w:t>
            </w:r>
            <w:r w:rsidRPr="000627F8">
              <w:rPr>
                <w:rFonts w:cs="Calibri"/>
              </w:rPr>
              <w:t>two year</w:t>
            </w:r>
            <w:r w:rsidR="007477A1" w:rsidRPr="000627F8">
              <w:rPr>
                <w:rFonts w:cs="Calibri"/>
              </w:rPr>
              <w:t xml:space="preserve"> period, </w:t>
            </w:r>
            <w:r w:rsidRPr="000627F8">
              <w:rPr>
                <w:rFonts w:cs="Calibri"/>
              </w:rPr>
              <w:t>the present value of this cost estimate has been used as the initial value of the provision.</w:t>
            </w:r>
          </w:p>
        </w:tc>
      </w:tr>
      <w:tr w:rsidR="00D07C54" w:rsidRPr="00CF7E1B" w14:paraId="5B760B35" w14:textId="77777777" w:rsidTr="0004564D">
        <w:trPr>
          <w:cantSplit/>
          <w:trHeight w:val="23"/>
        </w:trPr>
        <w:tc>
          <w:tcPr>
            <w:tcW w:w="1560" w:type="dxa"/>
            <w:tcBorders>
              <w:top w:val="nil"/>
              <w:left w:val="single" w:sz="2" w:space="0" w:color="auto"/>
              <w:bottom w:val="nil"/>
              <w:right w:val="single" w:sz="2" w:space="0" w:color="auto"/>
            </w:tcBorders>
          </w:tcPr>
          <w:p w14:paraId="1133B1EC" w14:textId="5453B428" w:rsidR="00D07C54" w:rsidRPr="000627F8" w:rsidRDefault="00D07C54" w:rsidP="004B0C16">
            <w:pPr>
              <w:pStyle w:val="TableReference"/>
              <w:tabs>
                <w:tab w:val="left" w:pos="3306"/>
              </w:tabs>
              <w:spacing w:before="40"/>
              <w:rPr>
                <w:rFonts w:cs="Calibri"/>
                <w:b/>
                <w:color w:val="7030A0"/>
                <w:sz w:val="20"/>
                <w:szCs w:val="20"/>
              </w:rPr>
            </w:pPr>
            <w:r w:rsidRPr="000627F8">
              <w:rPr>
                <w:rFonts w:cs="Calibri"/>
                <w:color w:val="7030A0"/>
                <w:sz w:val="14"/>
              </w:rPr>
              <w:t>AASB 137.88</w:t>
            </w:r>
          </w:p>
        </w:tc>
        <w:tc>
          <w:tcPr>
            <w:tcW w:w="8930" w:type="dxa"/>
            <w:gridSpan w:val="4"/>
            <w:tcBorders>
              <w:top w:val="nil"/>
              <w:left w:val="single" w:sz="2" w:space="0" w:color="auto"/>
              <w:bottom w:val="nil"/>
              <w:right w:val="nil"/>
            </w:tcBorders>
            <w:vAlign w:val="bottom"/>
          </w:tcPr>
          <w:p w14:paraId="073D731E" w14:textId="432965DC" w:rsidR="00D07C54" w:rsidRPr="000627F8" w:rsidRDefault="00D07C54" w:rsidP="00D07C54">
            <w:pPr>
              <w:pStyle w:val="Heading1"/>
              <w:numPr>
                <w:ilvl w:val="0"/>
                <w:numId w:val="0"/>
              </w:numPr>
              <w:spacing w:before="0" w:after="0"/>
            </w:pPr>
            <w:bookmarkStart w:id="611" w:name="_Toc98763153"/>
            <w:r w:rsidRPr="000627F8">
              <w:rPr>
                <w:rFonts w:ascii="Calibri" w:hAnsi="Calibri" w:cs="Calibri"/>
                <w:b w:val="0"/>
                <w:bCs w:val="0"/>
                <w:caps w:val="0"/>
                <w:sz w:val="18"/>
                <w:szCs w:val="18"/>
              </w:rPr>
              <w:t>There are currently court proceedings under way to determine the Agency’s liability in relation to the farmland (see Note </w:t>
            </w:r>
            <w:r w:rsidR="001101E3" w:rsidRPr="000627F8">
              <w:rPr>
                <w:rFonts w:ascii="Calibri" w:hAnsi="Calibri" w:cs="Calibri"/>
                <w:b w:val="0"/>
                <w:bCs w:val="0"/>
                <w:caps w:val="0"/>
                <w:sz w:val="18"/>
                <w:szCs w:val="18"/>
              </w:rPr>
              <w:t>33</w:t>
            </w:r>
            <w:r w:rsidRPr="000627F8">
              <w:rPr>
                <w:rFonts w:ascii="Calibri" w:hAnsi="Calibri" w:cs="Calibri"/>
                <w:b w:val="0"/>
                <w:bCs w:val="0"/>
                <w:caps w:val="0"/>
                <w:sz w:val="18"/>
                <w:szCs w:val="18"/>
              </w:rPr>
              <w:t xml:space="preserve"> </w:t>
            </w:r>
            <w:r w:rsidRPr="00D5227F">
              <w:rPr>
                <w:rFonts w:ascii="Calibri" w:hAnsi="Calibri" w:cs="Calibri"/>
                <w:b w:val="0"/>
                <w:bCs w:val="0"/>
                <w:i/>
                <w:iCs/>
                <w:caps w:val="0"/>
                <w:sz w:val="18"/>
                <w:szCs w:val="18"/>
              </w:rPr>
              <w:t>Contingent Liabilities and Contingent Assets</w:t>
            </w:r>
            <w:r w:rsidRPr="000627F8">
              <w:rPr>
                <w:rFonts w:ascii="Calibri" w:hAnsi="Calibri" w:cs="Calibri"/>
                <w:b w:val="0"/>
                <w:bCs w:val="0"/>
                <w:caps w:val="0"/>
                <w:sz w:val="18"/>
                <w:szCs w:val="18"/>
              </w:rPr>
              <w:t>).</w:t>
            </w:r>
            <w:bookmarkEnd w:id="611"/>
          </w:p>
        </w:tc>
      </w:tr>
      <w:tr w:rsidR="002B469F" w:rsidRPr="00CF7E1B" w14:paraId="610C929F" w14:textId="77777777" w:rsidTr="0004564D">
        <w:trPr>
          <w:cantSplit/>
          <w:trHeight w:val="23"/>
        </w:trPr>
        <w:tc>
          <w:tcPr>
            <w:tcW w:w="1560" w:type="dxa"/>
            <w:tcBorders>
              <w:top w:val="nil"/>
              <w:left w:val="single" w:sz="2" w:space="0" w:color="auto"/>
              <w:bottom w:val="nil"/>
              <w:right w:val="single" w:sz="2" w:space="0" w:color="auto"/>
            </w:tcBorders>
          </w:tcPr>
          <w:p w14:paraId="219DD5D2" w14:textId="77777777" w:rsidR="002B469F" w:rsidRPr="000627F8" w:rsidRDefault="002B469F" w:rsidP="002B469F">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tcPr>
          <w:p w14:paraId="3F209BFA" w14:textId="44BF3C7C" w:rsidR="002B469F" w:rsidRPr="00F66DF2" w:rsidRDefault="002B469F" w:rsidP="002B469F">
            <w:pPr>
              <w:pStyle w:val="Heading1"/>
              <w:numPr>
                <w:ilvl w:val="0"/>
                <w:numId w:val="0"/>
              </w:numPr>
              <w:spacing w:before="180" w:after="0"/>
              <w:rPr>
                <w:rFonts w:ascii="Calibri" w:hAnsi="Calibri" w:cs="Calibri"/>
                <w:b w:val="0"/>
                <w:bCs w:val="0"/>
                <w:i/>
                <w:iCs/>
                <w:caps w:val="0"/>
                <w:color w:val="2E74B5" w:themeColor="accent1" w:themeShade="BF"/>
                <w:sz w:val="18"/>
                <w:szCs w:val="18"/>
              </w:rPr>
            </w:pPr>
            <w:bookmarkStart w:id="612" w:name="_Toc98763154"/>
            <w:r w:rsidRPr="00F66DF2">
              <w:rPr>
                <w:rFonts w:ascii="Calibri" w:hAnsi="Calibri" w:cs="Calibri"/>
                <w:b w:val="0"/>
                <w:bCs w:val="0"/>
                <w:i/>
                <w:iCs/>
                <w:caps w:val="0"/>
                <w:color w:val="2E74B5" w:themeColor="accent1" w:themeShade="BF"/>
                <w:sz w:val="18"/>
                <w:szCs w:val="18"/>
              </w:rPr>
              <w:t>Provision for Dividend [This disclosure is primarily for Territory Authorities]</w:t>
            </w:r>
            <w:bookmarkEnd w:id="612"/>
          </w:p>
        </w:tc>
      </w:tr>
      <w:tr w:rsidR="002B469F" w:rsidRPr="00CF7E1B" w14:paraId="01DE129E" w14:textId="77777777" w:rsidTr="0004564D">
        <w:trPr>
          <w:cantSplit/>
          <w:trHeight w:val="23"/>
        </w:trPr>
        <w:tc>
          <w:tcPr>
            <w:tcW w:w="1560" w:type="dxa"/>
            <w:tcBorders>
              <w:top w:val="nil"/>
              <w:left w:val="single" w:sz="2" w:space="0" w:color="auto"/>
              <w:bottom w:val="nil"/>
              <w:right w:val="single" w:sz="2" w:space="0" w:color="auto"/>
            </w:tcBorders>
          </w:tcPr>
          <w:p w14:paraId="17276CD7" w14:textId="77804838" w:rsidR="002B469F" w:rsidRPr="000627F8" w:rsidRDefault="002B469F" w:rsidP="002B469F">
            <w:pPr>
              <w:pStyle w:val="TableReference"/>
              <w:tabs>
                <w:tab w:val="left" w:pos="3306"/>
              </w:tabs>
              <w:rPr>
                <w:rFonts w:cs="Calibri"/>
                <w:color w:val="7030A0"/>
                <w:sz w:val="14"/>
              </w:rPr>
            </w:pPr>
            <w:r w:rsidRPr="000627F8">
              <w:rPr>
                <w:rFonts w:cs="Calibri"/>
                <w:color w:val="7030A0"/>
                <w:sz w:val="14"/>
              </w:rPr>
              <w:t>AASB 137.85</w:t>
            </w:r>
          </w:p>
        </w:tc>
        <w:tc>
          <w:tcPr>
            <w:tcW w:w="8930" w:type="dxa"/>
            <w:gridSpan w:val="4"/>
            <w:tcBorders>
              <w:top w:val="nil"/>
              <w:left w:val="single" w:sz="2" w:space="0" w:color="auto"/>
              <w:bottom w:val="nil"/>
              <w:right w:val="nil"/>
            </w:tcBorders>
          </w:tcPr>
          <w:p w14:paraId="5E872688" w14:textId="2E4BEE5F" w:rsidR="002B469F" w:rsidRPr="00F66DF2" w:rsidRDefault="002B469F" w:rsidP="002B469F">
            <w:pPr>
              <w:pStyle w:val="Heading1"/>
              <w:numPr>
                <w:ilvl w:val="0"/>
                <w:numId w:val="0"/>
              </w:numPr>
              <w:spacing w:before="0" w:after="0"/>
              <w:rPr>
                <w:rFonts w:ascii="Calibri" w:hAnsi="Calibri" w:cs="Calibri"/>
                <w:b w:val="0"/>
                <w:bCs w:val="0"/>
                <w:caps w:val="0"/>
                <w:color w:val="2E74B5" w:themeColor="accent1" w:themeShade="BF"/>
                <w:sz w:val="18"/>
                <w:szCs w:val="18"/>
              </w:rPr>
            </w:pPr>
            <w:bookmarkStart w:id="613" w:name="_Toc98763155"/>
            <w:r w:rsidRPr="00F66DF2">
              <w:rPr>
                <w:rFonts w:ascii="Calibri" w:hAnsi="Calibri" w:cs="Calibri"/>
                <w:b w:val="0"/>
                <w:bCs w:val="0"/>
                <w:caps w:val="0"/>
                <w:color w:val="2E74B5" w:themeColor="accent1" w:themeShade="BF"/>
                <w:sz w:val="18"/>
                <w:szCs w:val="18"/>
              </w:rPr>
              <w:t>The Agency has proposed a final dividend of $</w:t>
            </w:r>
            <w:r w:rsidR="00F66DF2" w:rsidRPr="00F66DF2">
              <w:rPr>
                <w:rFonts w:ascii="Calibri" w:hAnsi="Calibri" w:cs="Calibri"/>
                <w:b w:val="0"/>
                <w:bCs w:val="0"/>
                <w:caps w:val="0"/>
                <w:color w:val="2E74B5" w:themeColor="accent1" w:themeShade="BF"/>
                <w:sz w:val="18"/>
                <w:szCs w:val="18"/>
              </w:rPr>
              <w:t>xxx</w:t>
            </w:r>
            <w:r w:rsidRPr="00F66DF2">
              <w:rPr>
                <w:rFonts w:ascii="Calibri" w:hAnsi="Calibri" w:cs="Calibri"/>
                <w:b w:val="0"/>
                <w:bCs w:val="0"/>
                <w:caps w:val="0"/>
                <w:color w:val="2E74B5" w:themeColor="accent1" w:themeShade="BF"/>
                <w:sz w:val="18"/>
                <w:szCs w:val="18"/>
              </w:rPr>
              <w:t xml:space="preserve"> and this amount was appropriately authorised to be paid before the end of the reporting period. The amount will be paid to the ACT Government in July 20</w:t>
            </w:r>
            <w:r w:rsidR="007477A1" w:rsidRPr="00F66DF2">
              <w:rPr>
                <w:rFonts w:ascii="Calibri" w:hAnsi="Calibri" w:cs="Calibri"/>
                <w:b w:val="0"/>
                <w:bCs w:val="0"/>
                <w:caps w:val="0"/>
                <w:color w:val="2E74B5" w:themeColor="accent1" w:themeShade="BF"/>
                <w:sz w:val="18"/>
                <w:szCs w:val="18"/>
              </w:rPr>
              <w:t>22</w:t>
            </w:r>
            <w:r w:rsidRPr="00F66DF2">
              <w:rPr>
                <w:rFonts w:ascii="Calibri" w:hAnsi="Calibri" w:cs="Calibri"/>
                <w:b w:val="0"/>
                <w:bCs w:val="0"/>
                <w:caps w:val="0"/>
                <w:color w:val="2E74B5" w:themeColor="accent1" w:themeShade="BF"/>
                <w:sz w:val="18"/>
                <w:szCs w:val="18"/>
              </w:rPr>
              <w:t>.</w:t>
            </w:r>
            <w:bookmarkEnd w:id="613"/>
          </w:p>
        </w:tc>
      </w:tr>
      <w:tr w:rsidR="002B469F" w:rsidRPr="00CF7E1B" w14:paraId="01D9E0D0" w14:textId="77777777" w:rsidTr="0004564D">
        <w:trPr>
          <w:cantSplit/>
          <w:trHeight w:val="23"/>
        </w:trPr>
        <w:tc>
          <w:tcPr>
            <w:tcW w:w="1560" w:type="dxa"/>
            <w:tcBorders>
              <w:top w:val="nil"/>
              <w:left w:val="single" w:sz="2" w:space="0" w:color="auto"/>
              <w:bottom w:val="nil"/>
              <w:right w:val="single" w:sz="2" w:space="0" w:color="auto"/>
            </w:tcBorders>
          </w:tcPr>
          <w:p w14:paraId="2DE08F1E" w14:textId="77777777" w:rsidR="002B469F" w:rsidRPr="000627F8" w:rsidRDefault="002B469F" w:rsidP="002B469F">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1ADF4154" w14:textId="58C4655E" w:rsidR="002B469F" w:rsidRPr="000627F8" w:rsidRDefault="002B469F" w:rsidP="002B469F">
            <w:pPr>
              <w:pStyle w:val="Heading1"/>
              <w:numPr>
                <w:ilvl w:val="0"/>
                <w:numId w:val="0"/>
              </w:numPr>
              <w:spacing w:before="180" w:after="0"/>
              <w:rPr>
                <w:rFonts w:ascii="Calibri" w:hAnsi="Calibri" w:cs="Calibri"/>
                <w:b w:val="0"/>
                <w:bCs w:val="0"/>
                <w:i/>
                <w:iCs/>
                <w:caps w:val="0"/>
                <w:sz w:val="18"/>
                <w:szCs w:val="18"/>
              </w:rPr>
            </w:pPr>
            <w:bookmarkStart w:id="614" w:name="_Toc98763156"/>
            <w:r w:rsidRPr="000627F8">
              <w:rPr>
                <w:rFonts w:ascii="Calibri" w:hAnsi="Calibri" w:cs="Calibri"/>
                <w:b w:val="0"/>
                <w:bCs w:val="0"/>
                <w:i/>
                <w:iCs/>
                <w:caps w:val="0"/>
                <w:sz w:val="18"/>
                <w:szCs w:val="18"/>
              </w:rPr>
              <w:t>Provision for Make Good</w:t>
            </w:r>
            <w:bookmarkEnd w:id="614"/>
          </w:p>
        </w:tc>
      </w:tr>
      <w:tr w:rsidR="002B469F" w:rsidRPr="00CF7E1B" w14:paraId="3121B8E9" w14:textId="77777777" w:rsidTr="0004564D">
        <w:trPr>
          <w:cantSplit/>
          <w:trHeight w:val="23"/>
        </w:trPr>
        <w:tc>
          <w:tcPr>
            <w:tcW w:w="1560" w:type="dxa"/>
            <w:tcBorders>
              <w:top w:val="nil"/>
              <w:left w:val="single" w:sz="2" w:space="0" w:color="auto"/>
              <w:bottom w:val="nil"/>
              <w:right w:val="single" w:sz="2" w:space="0" w:color="auto"/>
            </w:tcBorders>
          </w:tcPr>
          <w:p w14:paraId="646EBFCA" w14:textId="77777777" w:rsidR="002B469F" w:rsidRPr="000627F8" w:rsidRDefault="002B469F" w:rsidP="002B469F">
            <w:pPr>
              <w:pStyle w:val="TableReference"/>
              <w:tabs>
                <w:tab w:val="left" w:pos="3306"/>
              </w:tabs>
              <w:spacing w:before="180"/>
              <w:rPr>
                <w:rFonts w:cs="Calibri"/>
                <w:color w:val="7030A0"/>
                <w:sz w:val="14"/>
              </w:rPr>
            </w:pPr>
            <w:r w:rsidRPr="000627F8">
              <w:rPr>
                <w:rFonts w:cs="Calibri"/>
                <w:color w:val="7030A0"/>
                <w:sz w:val="14"/>
              </w:rPr>
              <w:t xml:space="preserve">AASB 137.85(a) &amp;(b) </w:t>
            </w:r>
          </w:p>
          <w:p w14:paraId="0DD12F70" w14:textId="77777777" w:rsidR="002B469F" w:rsidRPr="000627F8" w:rsidRDefault="002B469F" w:rsidP="002B469F">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2D159C81" w14:textId="4CF6829A" w:rsidR="002B469F" w:rsidRPr="000627F8" w:rsidRDefault="002B469F" w:rsidP="002B469F">
            <w:pPr>
              <w:pStyle w:val="TableText"/>
              <w:spacing w:before="0" w:after="120"/>
              <w:jc w:val="both"/>
              <w:rPr>
                <w:rFonts w:cs="Calibri"/>
              </w:rPr>
            </w:pPr>
            <w:r w:rsidRPr="000627F8">
              <w:rPr>
                <w:rFonts w:cs="Calibri"/>
              </w:rPr>
              <w:t>On 1 July 2016 the Agency entered into a lease agreement for some office space in Civic.</w:t>
            </w:r>
            <w:r w:rsidR="00FA7C77">
              <w:rPr>
                <w:rFonts w:cs="Calibri"/>
              </w:rPr>
              <w:t xml:space="preserve"> </w:t>
            </w:r>
            <w:r w:rsidRPr="000627F8">
              <w:rPr>
                <w:rFonts w:cs="Calibri"/>
              </w:rPr>
              <w:t>There are clauses within the lease agreement which require the Agency, upon cessation of the tenancy, to return the office space to the condition it was in before it was leased (this is referred to as ‘make good’).</w:t>
            </w:r>
            <w:r w:rsidR="00FA7C77">
              <w:rPr>
                <w:rFonts w:cs="Calibri"/>
              </w:rPr>
              <w:t xml:space="preserve"> </w:t>
            </w:r>
            <w:r w:rsidRPr="000627F8">
              <w:rPr>
                <w:rFonts w:cs="Calibri"/>
              </w:rPr>
              <w:t>The tenancy runs for 10 years.</w:t>
            </w:r>
            <w:r w:rsidR="00FA7C77">
              <w:rPr>
                <w:rFonts w:cs="Calibri"/>
              </w:rPr>
              <w:t xml:space="preserve"> </w:t>
            </w:r>
          </w:p>
        </w:tc>
      </w:tr>
      <w:tr w:rsidR="00DC79C2" w:rsidRPr="00CF7E1B" w14:paraId="6ED7604E" w14:textId="77777777" w:rsidTr="0004564D">
        <w:trPr>
          <w:cantSplit/>
          <w:trHeight w:val="23"/>
        </w:trPr>
        <w:tc>
          <w:tcPr>
            <w:tcW w:w="1560" w:type="dxa"/>
            <w:tcBorders>
              <w:top w:val="nil"/>
              <w:left w:val="single" w:sz="2" w:space="0" w:color="auto"/>
              <w:bottom w:val="nil"/>
              <w:right w:val="single" w:sz="2" w:space="0" w:color="auto"/>
            </w:tcBorders>
          </w:tcPr>
          <w:p w14:paraId="3105B3C2" w14:textId="77777777" w:rsidR="00DC79C2" w:rsidRPr="000627F8" w:rsidRDefault="00DC79C2" w:rsidP="002B469F">
            <w:pPr>
              <w:pStyle w:val="TableReference"/>
              <w:tabs>
                <w:tab w:val="left" w:pos="3306"/>
              </w:tabs>
              <w:spacing w:before="180"/>
              <w:rPr>
                <w:rFonts w:cs="Calibri"/>
                <w:color w:val="7030A0"/>
                <w:sz w:val="14"/>
              </w:rPr>
            </w:pPr>
          </w:p>
        </w:tc>
        <w:tc>
          <w:tcPr>
            <w:tcW w:w="8930" w:type="dxa"/>
            <w:gridSpan w:val="4"/>
            <w:tcBorders>
              <w:top w:val="nil"/>
              <w:left w:val="single" w:sz="2" w:space="0" w:color="auto"/>
              <w:bottom w:val="nil"/>
              <w:right w:val="nil"/>
            </w:tcBorders>
            <w:vAlign w:val="bottom"/>
          </w:tcPr>
          <w:p w14:paraId="42CDDE56" w14:textId="1D1F7A58" w:rsidR="00DC79C2" w:rsidRPr="000627F8" w:rsidRDefault="00DC79C2" w:rsidP="002B469F">
            <w:pPr>
              <w:pStyle w:val="TableText"/>
              <w:spacing w:before="0" w:after="120"/>
              <w:jc w:val="both"/>
              <w:rPr>
                <w:rFonts w:cs="Calibri"/>
              </w:rPr>
            </w:pPr>
            <w:r w:rsidRPr="000627F8">
              <w:rPr>
                <w:rFonts w:cs="Calibri"/>
              </w:rPr>
              <w:t xml:space="preserve">The Provision for Make Good is measured at </w:t>
            </w:r>
            <w:r w:rsidRPr="000627F8">
              <w:t>the present value of the estimated expenditure required to remove the leasehold improvements.</w:t>
            </w:r>
            <w:r w:rsidR="00FA7C77">
              <w:t xml:space="preserve"> </w:t>
            </w:r>
            <w:r w:rsidRPr="000627F8">
              <w:t xml:space="preserve">This is calculated </w:t>
            </w:r>
            <w:r w:rsidRPr="000627F8">
              <w:rPr>
                <w:rFonts w:cs="Calibri"/>
              </w:rPr>
              <w:t>by discounting it nominal value using a rate that reflects a current market assessment of the risk specific to the liability.</w:t>
            </w:r>
            <w:r w:rsidR="00FA7C77">
              <w:rPr>
                <w:rFonts w:cs="Calibri"/>
              </w:rPr>
              <w:t xml:space="preserve"> </w:t>
            </w:r>
            <w:r w:rsidRPr="000627F8">
              <w:rPr>
                <w:rFonts w:cs="Calibri"/>
              </w:rPr>
              <w:t xml:space="preserve">This </w:t>
            </w:r>
            <w:r w:rsidRPr="000627F8">
              <w:t>initial estimate of the restoration costs has been capitalised into the cost of the building.</w:t>
            </w:r>
          </w:p>
        </w:tc>
      </w:tr>
      <w:tr w:rsidR="009F35AC" w:rsidRPr="00CF7E1B" w14:paraId="13954423" w14:textId="77777777" w:rsidTr="0004564D">
        <w:trPr>
          <w:cantSplit/>
          <w:trHeight w:val="23"/>
        </w:trPr>
        <w:tc>
          <w:tcPr>
            <w:tcW w:w="1560" w:type="dxa"/>
            <w:tcBorders>
              <w:top w:val="nil"/>
              <w:left w:val="single" w:sz="2" w:space="0" w:color="auto"/>
              <w:bottom w:val="nil"/>
              <w:right w:val="single" w:sz="2" w:space="0" w:color="auto"/>
            </w:tcBorders>
          </w:tcPr>
          <w:p w14:paraId="0D65EEAE" w14:textId="68EBA2FB" w:rsidR="009F35AC" w:rsidRPr="000627F8" w:rsidRDefault="009F35AC" w:rsidP="00DA5473">
            <w:pPr>
              <w:pStyle w:val="TableReference"/>
              <w:tabs>
                <w:tab w:val="left" w:pos="3306"/>
              </w:tabs>
              <w:spacing w:before="240" w:after="240"/>
              <w:rPr>
                <w:rFonts w:cs="Calibri"/>
                <w:b/>
                <w:color w:val="7030A0"/>
                <w:sz w:val="22"/>
                <w:szCs w:val="22"/>
              </w:rPr>
            </w:pPr>
            <w:r w:rsidRPr="002D20CA">
              <w:rPr>
                <w:rFonts w:cs="Calibri"/>
                <w:b/>
                <w:color w:val="7030A0"/>
                <w:sz w:val="22"/>
                <w:szCs w:val="22"/>
              </w:rPr>
              <w:t>Reference</w:t>
            </w:r>
          </w:p>
        </w:tc>
        <w:tc>
          <w:tcPr>
            <w:tcW w:w="8930" w:type="dxa"/>
            <w:gridSpan w:val="4"/>
            <w:tcBorders>
              <w:top w:val="nil"/>
              <w:left w:val="single" w:sz="2" w:space="0" w:color="auto"/>
              <w:bottom w:val="nil"/>
              <w:right w:val="nil"/>
            </w:tcBorders>
            <w:vAlign w:val="bottom"/>
          </w:tcPr>
          <w:p w14:paraId="1A824B73" w14:textId="21242A58" w:rsidR="009F35AC" w:rsidRPr="00CF7E1B" w:rsidRDefault="009F35AC" w:rsidP="00DA5473">
            <w:pPr>
              <w:pStyle w:val="Heading1"/>
              <w:numPr>
                <w:ilvl w:val="0"/>
                <w:numId w:val="0"/>
              </w:numPr>
            </w:pPr>
            <w:bookmarkStart w:id="615" w:name="_Toc98763157"/>
            <w:r w:rsidRPr="002D20CA">
              <w:t>Note 28.</w:t>
            </w:r>
            <w:r>
              <w:t xml:space="preserve"> </w:t>
            </w:r>
            <w:r w:rsidRPr="002D20CA">
              <w:t xml:space="preserve"> Other Provisions</w:t>
            </w:r>
            <w:r>
              <w:t xml:space="preserve"> – Continued</w:t>
            </w:r>
            <w:bookmarkEnd w:id="615"/>
            <w:r>
              <w:t xml:space="preserve"> </w:t>
            </w:r>
          </w:p>
        </w:tc>
      </w:tr>
      <w:tr w:rsidR="002B469F" w:rsidRPr="00CF7E1B" w14:paraId="633A0831" w14:textId="77777777" w:rsidTr="0004564D">
        <w:trPr>
          <w:cantSplit/>
          <w:trHeight w:val="23"/>
        </w:trPr>
        <w:tc>
          <w:tcPr>
            <w:tcW w:w="1560" w:type="dxa"/>
            <w:tcBorders>
              <w:top w:val="nil"/>
              <w:left w:val="single" w:sz="2" w:space="0" w:color="auto"/>
              <w:bottom w:val="nil"/>
              <w:right w:val="single" w:sz="2" w:space="0" w:color="auto"/>
            </w:tcBorders>
          </w:tcPr>
          <w:p w14:paraId="5009B500" w14:textId="77777777" w:rsidR="002B469F" w:rsidRPr="000627F8" w:rsidRDefault="002B469F" w:rsidP="002B469F">
            <w:pPr>
              <w:pStyle w:val="TableReference"/>
              <w:tabs>
                <w:tab w:val="left" w:pos="3306"/>
              </w:tabs>
              <w:spacing w:before="180"/>
              <w:rPr>
                <w:rFonts w:cs="Calibri"/>
                <w:color w:val="7030A0"/>
                <w:sz w:val="14"/>
              </w:rPr>
            </w:pPr>
          </w:p>
        </w:tc>
        <w:tc>
          <w:tcPr>
            <w:tcW w:w="8930" w:type="dxa"/>
            <w:gridSpan w:val="4"/>
            <w:tcBorders>
              <w:top w:val="nil"/>
              <w:left w:val="single" w:sz="2" w:space="0" w:color="auto"/>
              <w:bottom w:val="nil"/>
              <w:right w:val="nil"/>
            </w:tcBorders>
            <w:vAlign w:val="bottom"/>
          </w:tcPr>
          <w:p w14:paraId="1F7193A6" w14:textId="29C7288C" w:rsidR="002B469F" w:rsidRPr="000627F8" w:rsidRDefault="002B469F" w:rsidP="00DC79C2">
            <w:pPr>
              <w:pStyle w:val="TableText"/>
              <w:spacing w:before="0" w:after="180"/>
              <w:jc w:val="both"/>
              <w:rPr>
                <w:rFonts w:cs="Calibri"/>
              </w:rPr>
            </w:pPr>
            <w:r w:rsidRPr="000627F8">
              <w:rPr>
                <w:rFonts w:cs="Calibri"/>
              </w:rPr>
              <w:t xml:space="preserve">On 1 July 2016 the Agency also </w:t>
            </w:r>
            <w:r w:rsidR="00DC79C2" w:rsidRPr="000627F8">
              <w:rPr>
                <w:rFonts w:cs="Calibri"/>
              </w:rPr>
              <w:t xml:space="preserve">constructed </w:t>
            </w:r>
            <w:r w:rsidRPr="000627F8">
              <w:rPr>
                <w:rFonts w:cs="Calibri"/>
              </w:rPr>
              <w:t>$xx</w:t>
            </w:r>
            <w:r w:rsidR="007477A1" w:rsidRPr="000627F8">
              <w:rPr>
                <w:rFonts w:cs="Calibri"/>
              </w:rPr>
              <w:t>x</w:t>
            </w:r>
            <w:r w:rsidRPr="000627F8">
              <w:rPr>
                <w:rFonts w:cs="Calibri"/>
              </w:rPr>
              <w:t xml:space="preserve"> of leasehold improvements in the building.</w:t>
            </w:r>
            <w:r w:rsidR="00FA7C77">
              <w:rPr>
                <w:rFonts w:cs="Calibri"/>
              </w:rPr>
              <w:t xml:space="preserve"> </w:t>
            </w:r>
            <w:r w:rsidRPr="000627F8">
              <w:rPr>
                <w:rFonts w:cs="Calibri"/>
              </w:rPr>
              <w:t>On that date the estimated costs to make good those improvements were $xx</w:t>
            </w:r>
            <w:r w:rsidR="007477A1" w:rsidRPr="000627F8">
              <w:rPr>
                <w:rFonts w:cs="Calibri"/>
              </w:rPr>
              <w:t>x</w:t>
            </w:r>
            <w:r w:rsidRPr="000627F8">
              <w:rPr>
                <w:rFonts w:cs="Calibri"/>
              </w:rPr>
              <w:t>.</w:t>
            </w:r>
            <w:r w:rsidR="00FA7C77">
              <w:rPr>
                <w:rFonts w:cs="Calibri"/>
              </w:rPr>
              <w:t xml:space="preserve"> </w:t>
            </w:r>
            <w:r w:rsidRPr="000627F8">
              <w:rPr>
                <w:rFonts w:cs="Calibri"/>
              </w:rPr>
              <w:t>At 30 June 2026 (the end of the 10 years tenancy) the approximate cost would be $xx</w:t>
            </w:r>
            <w:r w:rsidR="00C2195D" w:rsidRPr="000627F8">
              <w:rPr>
                <w:rFonts w:cs="Calibri"/>
              </w:rPr>
              <w:t>x</w:t>
            </w:r>
            <w:r w:rsidRPr="000627F8">
              <w:rPr>
                <w:rFonts w:cs="Calibri"/>
              </w:rPr>
              <w:t xml:space="preserve"> to meet the make good obligation.</w:t>
            </w:r>
            <w:r w:rsidR="00FA7C77">
              <w:rPr>
                <w:rFonts w:cs="Calibri"/>
              </w:rPr>
              <w:t xml:space="preserve"> </w:t>
            </w:r>
            <w:r w:rsidRPr="000627F8">
              <w:rPr>
                <w:rFonts w:cs="Calibri"/>
              </w:rPr>
              <w:t>The present value of $xx</w:t>
            </w:r>
            <w:r w:rsidR="00C2195D" w:rsidRPr="000627F8">
              <w:rPr>
                <w:rFonts w:cs="Calibri"/>
              </w:rPr>
              <w:t>x</w:t>
            </w:r>
            <w:r w:rsidRPr="000627F8">
              <w:rPr>
                <w:rFonts w:cs="Calibri"/>
              </w:rPr>
              <w:t>, using the 10 year Government bond rate as at 1 July 2016 (</w:t>
            </w:r>
            <w:r w:rsidR="007F5193" w:rsidRPr="000627F8">
              <w:rPr>
                <w:rFonts w:cs="Calibri"/>
              </w:rPr>
              <w:t>XX</w:t>
            </w:r>
            <w:r w:rsidRPr="000627F8">
              <w:rPr>
                <w:rFonts w:cs="Calibri"/>
              </w:rPr>
              <w:t>%), is approximately $xx</w:t>
            </w:r>
            <w:r w:rsidR="00F66DF2" w:rsidRPr="000627F8">
              <w:rPr>
                <w:rFonts w:cs="Calibri"/>
              </w:rPr>
              <w:t>x</w:t>
            </w:r>
            <w:r w:rsidRPr="000627F8">
              <w:rPr>
                <w:rFonts w:cs="Calibri"/>
              </w:rPr>
              <w:t>.</w:t>
            </w:r>
            <w:r w:rsidR="00FA7C77">
              <w:rPr>
                <w:rFonts w:cs="Calibri"/>
              </w:rPr>
              <w:t xml:space="preserve">  </w:t>
            </w:r>
          </w:p>
        </w:tc>
      </w:tr>
      <w:tr w:rsidR="002B469F" w:rsidRPr="00CF7E1B" w14:paraId="009B65D1" w14:textId="77777777" w:rsidTr="0004564D">
        <w:trPr>
          <w:cantSplit/>
          <w:trHeight w:val="23"/>
        </w:trPr>
        <w:tc>
          <w:tcPr>
            <w:tcW w:w="1560" w:type="dxa"/>
            <w:tcBorders>
              <w:top w:val="nil"/>
              <w:left w:val="single" w:sz="2" w:space="0" w:color="auto"/>
              <w:bottom w:val="nil"/>
              <w:right w:val="single" w:sz="2" w:space="0" w:color="auto"/>
            </w:tcBorders>
          </w:tcPr>
          <w:p w14:paraId="49D4949C" w14:textId="77777777" w:rsidR="002B469F" w:rsidRPr="000627F8" w:rsidRDefault="002B469F" w:rsidP="002B469F">
            <w:pPr>
              <w:pStyle w:val="TableReference"/>
              <w:tabs>
                <w:tab w:val="left" w:pos="3306"/>
              </w:tabs>
              <w:spacing w:before="40"/>
              <w:rPr>
                <w:rFonts w:cs="Calibri"/>
                <w:color w:val="7030A0"/>
                <w:sz w:val="16"/>
                <w:szCs w:val="16"/>
              </w:rPr>
            </w:pPr>
          </w:p>
        </w:tc>
        <w:tc>
          <w:tcPr>
            <w:tcW w:w="6378" w:type="dxa"/>
            <w:gridSpan w:val="2"/>
            <w:tcBorders>
              <w:top w:val="nil"/>
              <w:left w:val="single" w:sz="2" w:space="0" w:color="auto"/>
              <w:bottom w:val="nil"/>
              <w:right w:val="nil"/>
            </w:tcBorders>
            <w:vAlign w:val="bottom"/>
          </w:tcPr>
          <w:p w14:paraId="7B55F212" w14:textId="77777777" w:rsidR="002B469F" w:rsidRPr="000627F8" w:rsidRDefault="002B469F" w:rsidP="002B469F">
            <w:pPr>
              <w:pStyle w:val="TableText"/>
              <w:tabs>
                <w:tab w:val="left" w:pos="3306"/>
              </w:tabs>
              <w:rPr>
                <w:rFonts w:cs="Calibri"/>
                <w:b/>
                <w:bCs/>
              </w:rPr>
            </w:pPr>
          </w:p>
        </w:tc>
        <w:tc>
          <w:tcPr>
            <w:tcW w:w="1276" w:type="dxa"/>
            <w:tcBorders>
              <w:top w:val="nil"/>
              <w:left w:val="nil"/>
              <w:bottom w:val="nil"/>
              <w:right w:val="nil"/>
            </w:tcBorders>
            <w:vAlign w:val="bottom"/>
          </w:tcPr>
          <w:p w14:paraId="2B348EBB" w14:textId="4DB5ABC1" w:rsidR="002B469F" w:rsidRPr="000627F8" w:rsidRDefault="002B469F" w:rsidP="002B469F">
            <w:pPr>
              <w:pStyle w:val="TableTitle"/>
              <w:tabs>
                <w:tab w:val="left" w:pos="3306"/>
              </w:tabs>
              <w:rPr>
                <w:rFonts w:cs="Calibri"/>
              </w:rPr>
            </w:pPr>
            <w:r w:rsidRPr="000627F8">
              <w:rPr>
                <w:rFonts w:cs="Calibri"/>
              </w:rPr>
              <w:t>2022</w:t>
            </w:r>
          </w:p>
          <w:p w14:paraId="1A546EE2" w14:textId="77777777" w:rsidR="002B469F" w:rsidRPr="000627F8" w:rsidRDefault="002B469F" w:rsidP="002B469F">
            <w:pPr>
              <w:pStyle w:val="TableTitle"/>
              <w:tabs>
                <w:tab w:val="left" w:pos="3306"/>
              </w:tabs>
              <w:rPr>
                <w:rFonts w:cs="Calibri"/>
              </w:rPr>
            </w:pPr>
            <w:r w:rsidRPr="000627F8">
              <w:rPr>
                <w:rFonts w:cs="Calibri"/>
              </w:rPr>
              <w:t>$’000</w:t>
            </w:r>
          </w:p>
        </w:tc>
        <w:tc>
          <w:tcPr>
            <w:tcW w:w="1276" w:type="dxa"/>
            <w:tcBorders>
              <w:top w:val="nil"/>
              <w:left w:val="nil"/>
              <w:bottom w:val="nil"/>
              <w:right w:val="nil"/>
            </w:tcBorders>
            <w:vAlign w:val="bottom"/>
          </w:tcPr>
          <w:p w14:paraId="342E8A80" w14:textId="05F61525" w:rsidR="002B469F" w:rsidRPr="000627F8" w:rsidRDefault="002B469F" w:rsidP="002B469F">
            <w:pPr>
              <w:pStyle w:val="TableTitle"/>
              <w:tabs>
                <w:tab w:val="left" w:pos="3306"/>
              </w:tabs>
              <w:rPr>
                <w:rFonts w:cs="Calibri"/>
              </w:rPr>
            </w:pPr>
            <w:r w:rsidRPr="000627F8">
              <w:rPr>
                <w:rFonts w:cs="Calibri"/>
              </w:rPr>
              <w:t>2021</w:t>
            </w:r>
          </w:p>
          <w:p w14:paraId="78842564" w14:textId="77777777" w:rsidR="002B469F" w:rsidRPr="000627F8" w:rsidRDefault="002B469F" w:rsidP="002B469F">
            <w:pPr>
              <w:pStyle w:val="TableTitle"/>
              <w:tabs>
                <w:tab w:val="left" w:pos="3306"/>
              </w:tabs>
              <w:rPr>
                <w:rFonts w:cs="Calibri"/>
              </w:rPr>
            </w:pPr>
            <w:r w:rsidRPr="000627F8">
              <w:rPr>
                <w:rFonts w:cs="Calibri"/>
              </w:rPr>
              <w:t>$’000</w:t>
            </w:r>
          </w:p>
        </w:tc>
      </w:tr>
      <w:tr w:rsidR="002B469F" w:rsidRPr="00CF7E1B" w14:paraId="531099D1" w14:textId="77777777" w:rsidTr="0004564D">
        <w:trPr>
          <w:cantSplit/>
          <w:trHeight w:val="23"/>
        </w:trPr>
        <w:tc>
          <w:tcPr>
            <w:tcW w:w="1560" w:type="dxa"/>
            <w:tcBorders>
              <w:top w:val="nil"/>
              <w:left w:val="single" w:sz="2" w:space="0" w:color="auto"/>
              <w:bottom w:val="nil"/>
              <w:right w:val="single" w:sz="2" w:space="0" w:color="auto"/>
            </w:tcBorders>
          </w:tcPr>
          <w:p w14:paraId="649DB966" w14:textId="4C95D714" w:rsidR="002B469F" w:rsidRPr="000627F8" w:rsidRDefault="002B469F" w:rsidP="002B469F">
            <w:pPr>
              <w:pStyle w:val="TableReference"/>
              <w:tabs>
                <w:tab w:val="left" w:pos="3306"/>
              </w:tabs>
              <w:spacing w:before="60"/>
              <w:rPr>
                <w:rFonts w:cs="Calibri"/>
                <w:strike/>
                <w:color w:val="7030A0"/>
                <w:sz w:val="14"/>
              </w:rPr>
            </w:pPr>
          </w:p>
        </w:tc>
        <w:tc>
          <w:tcPr>
            <w:tcW w:w="6378" w:type="dxa"/>
            <w:gridSpan w:val="2"/>
            <w:tcBorders>
              <w:top w:val="nil"/>
              <w:left w:val="single" w:sz="2" w:space="0" w:color="auto"/>
              <w:bottom w:val="nil"/>
              <w:right w:val="nil"/>
            </w:tcBorders>
            <w:vAlign w:val="bottom"/>
          </w:tcPr>
          <w:p w14:paraId="11DE59EC" w14:textId="77777777" w:rsidR="002B469F" w:rsidRPr="000627F8" w:rsidRDefault="002B469F" w:rsidP="002B469F">
            <w:pPr>
              <w:pStyle w:val="TableText"/>
              <w:tabs>
                <w:tab w:val="left" w:pos="3306"/>
              </w:tabs>
              <w:rPr>
                <w:rFonts w:cs="Calibri"/>
                <w:b/>
                <w:bCs/>
              </w:rPr>
            </w:pPr>
            <w:r w:rsidRPr="000627F8">
              <w:rPr>
                <w:rFonts w:cs="Calibri"/>
                <w:b/>
                <w:bCs/>
              </w:rPr>
              <w:t>Current Other Provisions</w:t>
            </w:r>
          </w:p>
        </w:tc>
        <w:tc>
          <w:tcPr>
            <w:tcW w:w="1276" w:type="dxa"/>
            <w:tcBorders>
              <w:top w:val="nil"/>
              <w:left w:val="nil"/>
              <w:bottom w:val="nil"/>
              <w:right w:val="nil"/>
            </w:tcBorders>
            <w:vAlign w:val="bottom"/>
          </w:tcPr>
          <w:p w14:paraId="1A2C65D7" w14:textId="77777777" w:rsidR="002B469F" w:rsidRPr="000627F8" w:rsidRDefault="002B469F" w:rsidP="002B469F">
            <w:pPr>
              <w:pStyle w:val="TableText"/>
              <w:tabs>
                <w:tab w:val="left" w:pos="3306"/>
              </w:tabs>
              <w:jc w:val="right"/>
              <w:rPr>
                <w:rFonts w:cs="Calibri"/>
              </w:rPr>
            </w:pPr>
          </w:p>
        </w:tc>
        <w:tc>
          <w:tcPr>
            <w:tcW w:w="1276" w:type="dxa"/>
            <w:tcBorders>
              <w:top w:val="nil"/>
              <w:left w:val="nil"/>
              <w:bottom w:val="nil"/>
              <w:right w:val="nil"/>
            </w:tcBorders>
            <w:vAlign w:val="bottom"/>
          </w:tcPr>
          <w:p w14:paraId="344B97F0" w14:textId="77777777" w:rsidR="002B469F" w:rsidRPr="000627F8" w:rsidRDefault="002B469F" w:rsidP="002B469F">
            <w:pPr>
              <w:pStyle w:val="TableText"/>
              <w:tabs>
                <w:tab w:val="left" w:pos="3306"/>
              </w:tabs>
              <w:jc w:val="right"/>
              <w:rPr>
                <w:rFonts w:cs="Calibri"/>
              </w:rPr>
            </w:pPr>
          </w:p>
        </w:tc>
      </w:tr>
      <w:tr w:rsidR="002B469F" w:rsidRPr="00CF7E1B" w14:paraId="7CD0D937" w14:textId="77777777" w:rsidTr="0004564D">
        <w:trPr>
          <w:cantSplit/>
          <w:trHeight w:val="23"/>
        </w:trPr>
        <w:tc>
          <w:tcPr>
            <w:tcW w:w="1560" w:type="dxa"/>
            <w:tcBorders>
              <w:top w:val="nil"/>
              <w:left w:val="single" w:sz="2" w:space="0" w:color="auto"/>
              <w:bottom w:val="nil"/>
              <w:right w:val="single" w:sz="2" w:space="0" w:color="auto"/>
            </w:tcBorders>
          </w:tcPr>
          <w:p w14:paraId="3EE9D9A4" w14:textId="15D83898" w:rsidR="002B469F" w:rsidRPr="000627F8" w:rsidRDefault="002B469F" w:rsidP="002B469F">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6378" w:type="dxa"/>
            <w:gridSpan w:val="2"/>
            <w:tcBorders>
              <w:top w:val="nil"/>
              <w:left w:val="single" w:sz="2" w:space="0" w:color="auto"/>
              <w:bottom w:val="nil"/>
              <w:right w:val="nil"/>
            </w:tcBorders>
            <w:vAlign w:val="bottom"/>
          </w:tcPr>
          <w:p w14:paraId="2C4F45F1" w14:textId="77777777" w:rsidR="002B469F" w:rsidRPr="000627F8" w:rsidRDefault="002B469F" w:rsidP="002B469F">
            <w:pPr>
              <w:pStyle w:val="TableText"/>
              <w:tabs>
                <w:tab w:val="left" w:pos="3306"/>
              </w:tabs>
              <w:rPr>
                <w:rFonts w:cs="Calibri"/>
              </w:rPr>
            </w:pPr>
            <w:r w:rsidRPr="000627F8">
              <w:rPr>
                <w:rFonts w:cs="Calibri"/>
              </w:rPr>
              <w:t>Provision for Restoration of Contaminated Site</w:t>
            </w:r>
          </w:p>
        </w:tc>
        <w:tc>
          <w:tcPr>
            <w:tcW w:w="1276" w:type="dxa"/>
            <w:tcBorders>
              <w:top w:val="nil"/>
              <w:left w:val="nil"/>
              <w:bottom w:val="nil"/>
              <w:right w:val="nil"/>
            </w:tcBorders>
            <w:vAlign w:val="bottom"/>
          </w:tcPr>
          <w:p w14:paraId="783AEE76" w14:textId="67E185BE" w:rsidR="002B469F" w:rsidRPr="000627F8" w:rsidRDefault="002B469F" w:rsidP="002B469F">
            <w:pPr>
              <w:pStyle w:val="TableText"/>
              <w:tabs>
                <w:tab w:val="left" w:pos="3306"/>
              </w:tabs>
              <w:jc w:val="right"/>
              <w:rPr>
                <w:rFonts w:cs="Calibri"/>
              </w:rPr>
            </w:pPr>
          </w:p>
        </w:tc>
        <w:tc>
          <w:tcPr>
            <w:tcW w:w="1276" w:type="dxa"/>
            <w:tcBorders>
              <w:top w:val="nil"/>
              <w:left w:val="nil"/>
              <w:bottom w:val="nil"/>
              <w:right w:val="nil"/>
            </w:tcBorders>
            <w:vAlign w:val="bottom"/>
          </w:tcPr>
          <w:p w14:paraId="07DB22C0" w14:textId="0AF4AEC6" w:rsidR="002B469F" w:rsidRPr="000627F8" w:rsidRDefault="002B469F" w:rsidP="002B469F">
            <w:pPr>
              <w:pStyle w:val="TableText"/>
              <w:tabs>
                <w:tab w:val="left" w:pos="3306"/>
              </w:tabs>
              <w:jc w:val="right"/>
              <w:rPr>
                <w:rFonts w:cs="Calibri"/>
              </w:rPr>
            </w:pPr>
          </w:p>
        </w:tc>
      </w:tr>
      <w:tr w:rsidR="002B469F" w:rsidRPr="00CF7E1B" w14:paraId="260E0C83" w14:textId="77777777" w:rsidTr="0004564D">
        <w:trPr>
          <w:cantSplit/>
          <w:trHeight w:val="23"/>
        </w:trPr>
        <w:tc>
          <w:tcPr>
            <w:tcW w:w="1560" w:type="dxa"/>
            <w:tcBorders>
              <w:top w:val="nil"/>
              <w:left w:val="single" w:sz="2" w:space="0" w:color="auto"/>
              <w:bottom w:val="nil"/>
              <w:right w:val="single" w:sz="2" w:space="0" w:color="auto"/>
            </w:tcBorders>
          </w:tcPr>
          <w:p w14:paraId="732A1F65" w14:textId="1154400D" w:rsidR="002B469F" w:rsidRPr="000627F8" w:rsidRDefault="002B469F" w:rsidP="002B469F">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6378" w:type="dxa"/>
            <w:gridSpan w:val="2"/>
            <w:tcBorders>
              <w:top w:val="nil"/>
              <w:left w:val="single" w:sz="2" w:space="0" w:color="auto"/>
              <w:bottom w:val="nil"/>
              <w:right w:val="nil"/>
            </w:tcBorders>
            <w:vAlign w:val="bottom"/>
          </w:tcPr>
          <w:p w14:paraId="32034ED1" w14:textId="77777777" w:rsidR="002B469F" w:rsidRPr="000627F8" w:rsidRDefault="002B469F" w:rsidP="002B469F">
            <w:pPr>
              <w:pStyle w:val="TableText"/>
              <w:tabs>
                <w:tab w:val="left" w:pos="3306"/>
              </w:tabs>
              <w:rPr>
                <w:rFonts w:cs="Calibri"/>
              </w:rPr>
            </w:pPr>
            <w:r w:rsidRPr="000627F8">
              <w:rPr>
                <w:rFonts w:cs="Calibri"/>
              </w:rPr>
              <w:t>Provision for Restructuring</w:t>
            </w:r>
          </w:p>
        </w:tc>
        <w:tc>
          <w:tcPr>
            <w:tcW w:w="1276" w:type="dxa"/>
            <w:tcBorders>
              <w:top w:val="nil"/>
              <w:left w:val="nil"/>
              <w:bottom w:val="nil"/>
              <w:right w:val="nil"/>
            </w:tcBorders>
            <w:vAlign w:val="bottom"/>
          </w:tcPr>
          <w:p w14:paraId="43F37BC5" w14:textId="6A5C3061" w:rsidR="002B469F" w:rsidRPr="000627F8" w:rsidRDefault="002B469F" w:rsidP="002B469F">
            <w:pPr>
              <w:pStyle w:val="TableText"/>
              <w:tabs>
                <w:tab w:val="left" w:pos="3306"/>
              </w:tabs>
              <w:jc w:val="right"/>
              <w:rPr>
                <w:rFonts w:cs="Calibri"/>
              </w:rPr>
            </w:pPr>
          </w:p>
        </w:tc>
        <w:tc>
          <w:tcPr>
            <w:tcW w:w="1276" w:type="dxa"/>
            <w:tcBorders>
              <w:top w:val="nil"/>
              <w:left w:val="nil"/>
              <w:bottom w:val="nil"/>
              <w:right w:val="nil"/>
            </w:tcBorders>
            <w:vAlign w:val="bottom"/>
          </w:tcPr>
          <w:p w14:paraId="6EE01838" w14:textId="51D4C37B" w:rsidR="002B469F" w:rsidRPr="000627F8" w:rsidRDefault="002B469F" w:rsidP="002B469F">
            <w:pPr>
              <w:pStyle w:val="TableText"/>
              <w:tabs>
                <w:tab w:val="left" w:pos="3306"/>
              </w:tabs>
              <w:jc w:val="right"/>
              <w:rPr>
                <w:rFonts w:cs="Calibri"/>
              </w:rPr>
            </w:pPr>
          </w:p>
        </w:tc>
      </w:tr>
      <w:tr w:rsidR="002B469F" w:rsidRPr="00CF7E1B" w14:paraId="2FC4359B" w14:textId="77777777" w:rsidTr="0004564D">
        <w:trPr>
          <w:cantSplit/>
          <w:trHeight w:val="23"/>
        </w:trPr>
        <w:tc>
          <w:tcPr>
            <w:tcW w:w="1560" w:type="dxa"/>
            <w:tcBorders>
              <w:top w:val="nil"/>
              <w:left w:val="single" w:sz="2" w:space="0" w:color="auto"/>
              <w:bottom w:val="nil"/>
              <w:right w:val="single" w:sz="2" w:space="0" w:color="auto"/>
            </w:tcBorders>
          </w:tcPr>
          <w:p w14:paraId="3D49C315" w14:textId="6829E898" w:rsidR="002B469F" w:rsidRPr="000627F8" w:rsidRDefault="002B469F" w:rsidP="002B469F">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6378" w:type="dxa"/>
            <w:gridSpan w:val="2"/>
            <w:tcBorders>
              <w:top w:val="nil"/>
              <w:left w:val="single" w:sz="2" w:space="0" w:color="auto"/>
              <w:bottom w:val="nil"/>
              <w:right w:val="nil"/>
            </w:tcBorders>
            <w:vAlign w:val="bottom"/>
          </w:tcPr>
          <w:p w14:paraId="51CDC263" w14:textId="0DD1D0BF" w:rsidR="002B469F" w:rsidRPr="00CF7E1B" w:rsidRDefault="002B469F" w:rsidP="002B469F">
            <w:pPr>
              <w:pStyle w:val="TableText"/>
              <w:tabs>
                <w:tab w:val="left" w:pos="3306"/>
              </w:tabs>
              <w:rPr>
                <w:rFonts w:cs="Calibri"/>
              </w:rPr>
            </w:pPr>
            <w:r w:rsidRPr="000627F8">
              <w:rPr>
                <w:rFonts w:cs="Calibri"/>
                <w:color w:val="2E74B5" w:themeColor="accent1" w:themeShade="BF"/>
              </w:rPr>
              <w:t xml:space="preserve">Provision for Dividend </w:t>
            </w:r>
            <w:r w:rsidRPr="000627F8">
              <w:rPr>
                <w:color w:val="2E74B5" w:themeColor="accent1" w:themeShade="BF"/>
              </w:rPr>
              <w:t>[This line item is primarily for Territory Authorities]</w:t>
            </w:r>
          </w:p>
        </w:tc>
        <w:tc>
          <w:tcPr>
            <w:tcW w:w="1276" w:type="dxa"/>
            <w:tcBorders>
              <w:top w:val="nil"/>
              <w:left w:val="nil"/>
              <w:bottom w:val="single" w:sz="2" w:space="0" w:color="auto"/>
              <w:right w:val="nil"/>
            </w:tcBorders>
            <w:vAlign w:val="bottom"/>
          </w:tcPr>
          <w:p w14:paraId="5DA72DEC" w14:textId="77777777" w:rsidR="002B469F" w:rsidRPr="00CF7E1B" w:rsidRDefault="002B469F" w:rsidP="002B469F">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7199AE64" w14:textId="77777777" w:rsidR="002B469F" w:rsidRPr="00CF7E1B" w:rsidRDefault="002B469F" w:rsidP="002B469F">
            <w:pPr>
              <w:pStyle w:val="TableText"/>
              <w:tabs>
                <w:tab w:val="left" w:pos="3306"/>
              </w:tabs>
              <w:jc w:val="right"/>
              <w:rPr>
                <w:rFonts w:cs="Calibri"/>
              </w:rPr>
            </w:pPr>
          </w:p>
        </w:tc>
      </w:tr>
      <w:tr w:rsidR="002B469F" w:rsidRPr="00CF7E1B" w14:paraId="69B2FBE0" w14:textId="77777777" w:rsidTr="0004564D">
        <w:trPr>
          <w:cantSplit/>
          <w:trHeight w:val="23"/>
        </w:trPr>
        <w:tc>
          <w:tcPr>
            <w:tcW w:w="1560" w:type="dxa"/>
            <w:tcBorders>
              <w:top w:val="nil"/>
              <w:left w:val="single" w:sz="2" w:space="0" w:color="auto"/>
              <w:bottom w:val="nil"/>
              <w:right w:val="single" w:sz="2" w:space="0" w:color="auto"/>
            </w:tcBorders>
          </w:tcPr>
          <w:p w14:paraId="0402D449" w14:textId="77777777" w:rsidR="002B469F" w:rsidRPr="000627F8" w:rsidRDefault="002B469F" w:rsidP="002B469F">
            <w:pPr>
              <w:pStyle w:val="TableReference"/>
              <w:tabs>
                <w:tab w:val="left" w:pos="3306"/>
              </w:tabs>
              <w:spacing w:before="40"/>
              <w:rPr>
                <w:rFonts w:cs="Calibri"/>
                <w:color w:val="7030A0"/>
                <w:sz w:val="16"/>
                <w:szCs w:val="16"/>
              </w:rPr>
            </w:pPr>
          </w:p>
        </w:tc>
        <w:tc>
          <w:tcPr>
            <w:tcW w:w="6378" w:type="dxa"/>
            <w:gridSpan w:val="2"/>
            <w:tcBorders>
              <w:top w:val="nil"/>
              <w:left w:val="single" w:sz="2" w:space="0" w:color="auto"/>
              <w:bottom w:val="nil"/>
              <w:right w:val="nil"/>
            </w:tcBorders>
            <w:vAlign w:val="bottom"/>
          </w:tcPr>
          <w:p w14:paraId="7B96AE10" w14:textId="77777777" w:rsidR="002B469F" w:rsidRPr="00CF7E1B" w:rsidRDefault="002B469F" w:rsidP="002B469F">
            <w:pPr>
              <w:pStyle w:val="TableText"/>
              <w:tabs>
                <w:tab w:val="left" w:pos="3306"/>
              </w:tabs>
              <w:rPr>
                <w:rFonts w:cs="Calibri"/>
                <w:b/>
                <w:bCs/>
              </w:rPr>
            </w:pPr>
            <w:r w:rsidRPr="00CF7E1B">
              <w:rPr>
                <w:rFonts w:cs="Calibri"/>
                <w:b/>
                <w:bCs/>
              </w:rPr>
              <w:t>Total Current Other Provisions</w:t>
            </w:r>
          </w:p>
        </w:tc>
        <w:tc>
          <w:tcPr>
            <w:tcW w:w="1276" w:type="dxa"/>
            <w:tcBorders>
              <w:top w:val="single" w:sz="2" w:space="0" w:color="auto"/>
              <w:left w:val="nil"/>
              <w:bottom w:val="single" w:sz="2" w:space="0" w:color="auto"/>
              <w:right w:val="nil"/>
            </w:tcBorders>
            <w:vAlign w:val="bottom"/>
          </w:tcPr>
          <w:p w14:paraId="5EA088D5" w14:textId="6A4C4C7B" w:rsidR="002B469F" w:rsidRPr="00CF7E1B" w:rsidRDefault="002B469F" w:rsidP="002B469F">
            <w:pPr>
              <w:pStyle w:val="TableText"/>
              <w:tabs>
                <w:tab w:val="left" w:pos="3306"/>
              </w:tabs>
              <w:jc w:val="right"/>
              <w:rPr>
                <w:rFonts w:cs="Calibri"/>
                <w:b/>
                <w:bCs/>
              </w:rPr>
            </w:pPr>
          </w:p>
        </w:tc>
        <w:tc>
          <w:tcPr>
            <w:tcW w:w="1276" w:type="dxa"/>
            <w:tcBorders>
              <w:top w:val="single" w:sz="2" w:space="0" w:color="auto"/>
              <w:left w:val="nil"/>
              <w:bottom w:val="single" w:sz="2" w:space="0" w:color="auto"/>
              <w:right w:val="nil"/>
            </w:tcBorders>
            <w:vAlign w:val="bottom"/>
          </w:tcPr>
          <w:p w14:paraId="4FAE384F" w14:textId="6DB8EC40" w:rsidR="002B469F" w:rsidRPr="00CF7E1B" w:rsidRDefault="002B469F" w:rsidP="002B469F">
            <w:pPr>
              <w:pStyle w:val="TableText"/>
              <w:tabs>
                <w:tab w:val="left" w:pos="3306"/>
              </w:tabs>
              <w:jc w:val="right"/>
              <w:rPr>
                <w:rFonts w:cs="Calibri"/>
                <w:b/>
                <w:bCs/>
              </w:rPr>
            </w:pPr>
          </w:p>
        </w:tc>
      </w:tr>
      <w:tr w:rsidR="002B469F" w:rsidRPr="00CF7E1B" w14:paraId="3EAA0993" w14:textId="77777777" w:rsidTr="0004564D">
        <w:trPr>
          <w:cantSplit/>
          <w:trHeight w:val="23"/>
        </w:trPr>
        <w:tc>
          <w:tcPr>
            <w:tcW w:w="1560" w:type="dxa"/>
            <w:tcBorders>
              <w:top w:val="nil"/>
              <w:left w:val="single" w:sz="2" w:space="0" w:color="auto"/>
              <w:bottom w:val="nil"/>
              <w:right w:val="single" w:sz="2" w:space="0" w:color="auto"/>
            </w:tcBorders>
          </w:tcPr>
          <w:p w14:paraId="12759DAA" w14:textId="77777777" w:rsidR="002B469F" w:rsidRPr="000627F8" w:rsidRDefault="002B469F" w:rsidP="002B469F">
            <w:pPr>
              <w:pStyle w:val="TableReference"/>
              <w:tabs>
                <w:tab w:val="left" w:pos="3306"/>
              </w:tabs>
              <w:spacing w:before="40"/>
              <w:rPr>
                <w:rFonts w:cs="Calibri"/>
                <w:color w:val="7030A0"/>
                <w:sz w:val="16"/>
                <w:szCs w:val="16"/>
              </w:rPr>
            </w:pPr>
          </w:p>
        </w:tc>
        <w:tc>
          <w:tcPr>
            <w:tcW w:w="6378" w:type="dxa"/>
            <w:gridSpan w:val="2"/>
            <w:tcBorders>
              <w:top w:val="nil"/>
              <w:left w:val="single" w:sz="2" w:space="0" w:color="auto"/>
              <w:bottom w:val="nil"/>
              <w:right w:val="nil"/>
            </w:tcBorders>
            <w:vAlign w:val="bottom"/>
          </w:tcPr>
          <w:p w14:paraId="452E3BB4" w14:textId="77777777" w:rsidR="002B469F" w:rsidRPr="00CF7E1B" w:rsidRDefault="002B469F" w:rsidP="002B469F">
            <w:pPr>
              <w:pStyle w:val="TableText"/>
              <w:tabs>
                <w:tab w:val="left" w:pos="3306"/>
              </w:tabs>
              <w:rPr>
                <w:rFonts w:cs="Calibri"/>
              </w:rPr>
            </w:pPr>
          </w:p>
        </w:tc>
        <w:tc>
          <w:tcPr>
            <w:tcW w:w="1276" w:type="dxa"/>
            <w:tcBorders>
              <w:top w:val="single" w:sz="2" w:space="0" w:color="auto"/>
              <w:left w:val="nil"/>
              <w:bottom w:val="nil"/>
              <w:right w:val="nil"/>
            </w:tcBorders>
            <w:vAlign w:val="bottom"/>
          </w:tcPr>
          <w:p w14:paraId="19B54408" w14:textId="77777777" w:rsidR="002B469F" w:rsidRPr="00CF7E1B" w:rsidRDefault="002B469F" w:rsidP="002B469F">
            <w:pPr>
              <w:pStyle w:val="TableText"/>
              <w:tabs>
                <w:tab w:val="left" w:pos="3306"/>
              </w:tabs>
              <w:jc w:val="right"/>
              <w:rPr>
                <w:rFonts w:cs="Calibri"/>
              </w:rPr>
            </w:pPr>
          </w:p>
        </w:tc>
        <w:tc>
          <w:tcPr>
            <w:tcW w:w="1276" w:type="dxa"/>
            <w:tcBorders>
              <w:top w:val="single" w:sz="2" w:space="0" w:color="auto"/>
              <w:left w:val="nil"/>
              <w:bottom w:val="nil"/>
              <w:right w:val="nil"/>
            </w:tcBorders>
            <w:vAlign w:val="bottom"/>
          </w:tcPr>
          <w:p w14:paraId="59FFA000" w14:textId="77777777" w:rsidR="002B469F" w:rsidRPr="00CF7E1B" w:rsidRDefault="002B469F" w:rsidP="002B469F">
            <w:pPr>
              <w:pStyle w:val="TableText"/>
              <w:tabs>
                <w:tab w:val="left" w:pos="3306"/>
              </w:tabs>
              <w:jc w:val="right"/>
              <w:rPr>
                <w:rFonts w:cs="Calibri"/>
              </w:rPr>
            </w:pPr>
          </w:p>
        </w:tc>
      </w:tr>
      <w:tr w:rsidR="002B469F" w:rsidRPr="00CF7E1B" w14:paraId="7F370766" w14:textId="77777777" w:rsidTr="0004564D">
        <w:trPr>
          <w:cantSplit/>
          <w:trHeight w:val="23"/>
        </w:trPr>
        <w:tc>
          <w:tcPr>
            <w:tcW w:w="1560" w:type="dxa"/>
            <w:tcBorders>
              <w:top w:val="nil"/>
              <w:left w:val="single" w:sz="2" w:space="0" w:color="auto"/>
              <w:bottom w:val="nil"/>
              <w:right w:val="single" w:sz="2" w:space="0" w:color="auto"/>
            </w:tcBorders>
          </w:tcPr>
          <w:p w14:paraId="1C3E239F" w14:textId="2B68F24C" w:rsidR="002B469F" w:rsidRPr="000627F8" w:rsidRDefault="002B469F" w:rsidP="002B469F">
            <w:pPr>
              <w:pStyle w:val="TableReference"/>
              <w:tabs>
                <w:tab w:val="left" w:pos="3306"/>
              </w:tabs>
              <w:spacing w:before="60"/>
              <w:rPr>
                <w:rFonts w:cs="Calibri"/>
                <w:strike/>
                <w:color w:val="7030A0"/>
                <w:sz w:val="14"/>
              </w:rPr>
            </w:pPr>
          </w:p>
        </w:tc>
        <w:tc>
          <w:tcPr>
            <w:tcW w:w="6378" w:type="dxa"/>
            <w:gridSpan w:val="2"/>
            <w:tcBorders>
              <w:top w:val="nil"/>
              <w:left w:val="single" w:sz="2" w:space="0" w:color="auto"/>
              <w:bottom w:val="nil"/>
              <w:right w:val="nil"/>
            </w:tcBorders>
            <w:vAlign w:val="bottom"/>
          </w:tcPr>
          <w:p w14:paraId="16E94EB9" w14:textId="77777777" w:rsidR="002B469F" w:rsidRPr="00CF7E1B" w:rsidRDefault="002B469F" w:rsidP="002B469F">
            <w:pPr>
              <w:pStyle w:val="TableText"/>
              <w:tabs>
                <w:tab w:val="left" w:pos="3306"/>
              </w:tabs>
              <w:rPr>
                <w:rFonts w:cs="Calibri"/>
                <w:b/>
                <w:bCs/>
              </w:rPr>
            </w:pPr>
            <w:r w:rsidRPr="00CF7E1B">
              <w:rPr>
                <w:rFonts w:cs="Calibri"/>
                <w:b/>
                <w:bCs/>
              </w:rPr>
              <w:t>Non-Current Other Provisions</w:t>
            </w:r>
          </w:p>
        </w:tc>
        <w:tc>
          <w:tcPr>
            <w:tcW w:w="1276" w:type="dxa"/>
            <w:tcBorders>
              <w:top w:val="nil"/>
              <w:left w:val="nil"/>
              <w:bottom w:val="nil"/>
              <w:right w:val="nil"/>
            </w:tcBorders>
            <w:vAlign w:val="bottom"/>
          </w:tcPr>
          <w:p w14:paraId="0F7DDF62" w14:textId="77777777" w:rsidR="002B469F" w:rsidRPr="00CF7E1B" w:rsidRDefault="002B469F" w:rsidP="002B469F">
            <w:pPr>
              <w:pStyle w:val="TableText"/>
              <w:tabs>
                <w:tab w:val="left" w:pos="3306"/>
              </w:tabs>
              <w:jc w:val="right"/>
              <w:rPr>
                <w:rFonts w:cs="Calibri"/>
              </w:rPr>
            </w:pPr>
          </w:p>
        </w:tc>
        <w:tc>
          <w:tcPr>
            <w:tcW w:w="1276" w:type="dxa"/>
            <w:tcBorders>
              <w:top w:val="nil"/>
              <w:left w:val="nil"/>
              <w:bottom w:val="nil"/>
              <w:right w:val="nil"/>
            </w:tcBorders>
            <w:vAlign w:val="bottom"/>
          </w:tcPr>
          <w:p w14:paraId="6AEF73B6" w14:textId="77777777" w:rsidR="002B469F" w:rsidRPr="00CF7E1B" w:rsidRDefault="002B469F" w:rsidP="002B469F">
            <w:pPr>
              <w:pStyle w:val="TableText"/>
              <w:tabs>
                <w:tab w:val="left" w:pos="3306"/>
              </w:tabs>
              <w:jc w:val="right"/>
              <w:rPr>
                <w:rFonts w:cs="Calibri"/>
              </w:rPr>
            </w:pPr>
          </w:p>
        </w:tc>
      </w:tr>
      <w:tr w:rsidR="002B469F" w:rsidRPr="00CF7E1B" w14:paraId="0ADB9668" w14:textId="77777777" w:rsidTr="0004564D">
        <w:trPr>
          <w:cantSplit/>
          <w:trHeight w:val="23"/>
        </w:trPr>
        <w:tc>
          <w:tcPr>
            <w:tcW w:w="1560" w:type="dxa"/>
            <w:tcBorders>
              <w:top w:val="nil"/>
              <w:left w:val="single" w:sz="2" w:space="0" w:color="auto"/>
              <w:bottom w:val="nil"/>
              <w:right w:val="single" w:sz="2" w:space="0" w:color="auto"/>
            </w:tcBorders>
          </w:tcPr>
          <w:p w14:paraId="7D23BEAD" w14:textId="24699916" w:rsidR="002B469F" w:rsidRPr="000627F8" w:rsidRDefault="002B469F" w:rsidP="002B469F">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6378" w:type="dxa"/>
            <w:gridSpan w:val="2"/>
            <w:tcBorders>
              <w:top w:val="nil"/>
              <w:left w:val="single" w:sz="2" w:space="0" w:color="auto"/>
              <w:bottom w:val="nil"/>
              <w:right w:val="nil"/>
            </w:tcBorders>
            <w:vAlign w:val="bottom"/>
          </w:tcPr>
          <w:p w14:paraId="5F56DEF8" w14:textId="77777777" w:rsidR="002B469F" w:rsidRPr="00CF7E1B" w:rsidRDefault="002B469F" w:rsidP="002B469F">
            <w:pPr>
              <w:pStyle w:val="TableText"/>
              <w:tabs>
                <w:tab w:val="left" w:pos="3306"/>
              </w:tabs>
              <w:rPr>
                <w:rFonts w:cs="Calibri"/>
              </w:rPr>
            </w:pPr>
            <w:r w:rsidRPr="00CF7E1B">
              <w:rPr>
                <w:rFonts w:cs="Calibri"/>
              </w:rPr>
              <w:t>Provision for Restoration of Contaminated Site</w:t>
            </w:r>
          </w:p>
        </w:tc>
        <w:tc>
          <w:tcPr>
            <w:tcW w:w="1276" w:type="dxa"/>
            <w:tcBorders>
              <w:top w:val="nil"/>
              <w:left w:val="nil"/>
              <w:bottom w:val="nil"/>
              <w:right w:val="nil"/>
            </w:tcBorders>
            <w:vAlign w:val="bottom"/>
          </w:tcPr>
          <w:p w14:paraId="22B4AE22" w14:textId="1D5BFEDD" w:rsidR="002B469F" w:rsidRPr="00CF7E1B" w:rsidRDefault="002B469F" w:rsidP="002B469F">
            <w:pPr>
              <w:pStyle w:val="TableText"/>
              <w:tabs>
                <w:tab w:val="left" w:pos="3306"/>
              </w:tabs>
              <w:jc w:val="right"/>
              <w:rPr>
                <w:rFonts w:cs="Calibri"/>
              </w:rPr>
            </w:pPr>
          </w:p>
        </w:tc>
        <w:tc>
          <w:tcPr>
            <w:tcW w:w="1276" w:type="dxa"/>
            <w:tcBorders>
              <w:top w:val="nil"/>
              <w:left w:val="nil"/>
              <w:bottom w:val="nil"/>
              <w:right w:val="nil"/>
            </w:tcBorders>
            <w:vAlign w:val="bottom"/>
          </w:tcPr>
          <w:p w14:paraId="08890042" w14:textId="0C1F06FE" w:rsidR="002B469F" w:rsidRPr="00CF7E1B" w:rsidRDefault="002B469F" w:rsidP="002B469F">
            <w:pPr>
              <w:pStyle w:val="TableText"/>
              <w:tabs>
                <w:tab w:val="left" w:pos="3306"/>
              </w:tabs>
              <w:jc w:val="right"/>
              <w:rPr>
                <w:rFonts w:cs="Calibri"/>
              </w:rPr>
            </w:pPr>
          </w:p>
        </w:tc>
      </w:tr>
      <w:tr w:rsidR="002B469F" w:rsidRPr="00CF7E1B" w14:paraId="1D20B2B5" w14:textId="77777777" w:rsidTr="0004564D">
        <w:trPr>
          <w:cantSplit/>
          <w:trHeight w:val="23"/>
        </w:trPr>
        <w:tc>
          <w:tcPr>
            <w:tcW w:w="1560" w:type="dxa"/>
            <w:tcBorders>
              <w:top w:val="nil"/>
              <w:left w:val="single" w:sz="2" w:space="0" w:color="auto"/>
              <w:bottom w:val="nil"/>
              <w:right w:val="single" w:sz="2" w:space="0" w:color="auto"/>
            </w:tcBorders>
          </w:tcPr>
          <w:p w14:paraId="2525D0A0" w14:textId="020AF82D" w:rsidR="002B469F" w:rsidRPr="000627F8" w:rsidRDefault="002B469F" w:rsidP="002B469F">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6378" w:type="dxa"/>
            <w:gridSpan w:val="2"/>
            <w:tcBorders>
              <w:top w:val="nil"/>
              <w:left w:val="single" w:sz="2" w:space="0" w:color="auto"/>
              <w:bottom w:val="nil"/>
              <w:right w:val="nil"/>
            </w:tcBorders>
            <w:vAlign w:val="bottom"/>
          </w:tcPr>
          <w:p w14:paraId="36C1507C" w14:textId="77777777" w:rsidR="002B469F" w:rsidRPr="00CF7E1B" w:rsidRDefault="002B469F" w:rsidP="002B469F">
            <w:pPr>
              <w:pStyle w:val="TableText"/>
              <w:tabs>
                <w:tab w:val="left" w:pos="3306"/>
              </w:tabs>
              <w:rPr>
                <w:rFonts w:cs="Calibri"/>
              </w:rPr>
            </w:pPr>
            <w:r w:rsidRPr="00CF7E1B">
              <w:rPr>
                <w:rFonts w:cs="Calibri"/>
              </w:rPr>
              <w:t>Provision for Restructuring</w:t>
            </w:r>
          </w:p>
        </w:tc>
        <w:tc>
          <w:tcPr>
            <w:tcW w:w="1276" w:type="dxa"/>
            <w:tcBorders>
              <w:top w:val="nil"/>
              <w:left w:val="nil"/>
              <w:bottom w:val="nil"/>
              <w:right w:val="nil"/>
            </w:tcBorders>
            <w:vAlign w:val="bottom"/>
          </w:tcPr>
          <w:p w14:paraId="31396E07" w14:textId="44E27F7D" w:rsidR="002B469F" w:rsidRPr="00CF7E1B" w:rsidRDefault="002B469F" w:rsidP="002B469F">
            <w:pPr>
              <w:pStyle w:val="TableText"/>
              <w:tabs>
                <w:tab w:val="left" w:pos="3306"/>
              </w:tabs>
              <w:jc w:val="right"/>
              <w:rPr>
                <w:rFonts w:cs="Calibri"/>
              </w:rPr>
            </w:pPr>
          </w:p>
        </w:tc>
        <w:tc>
          <w:tcPr>
            <w:tcW w:w="1276" w:type="dxa"/>
            <w:tcBorders>
              <w:top w:val="nil"/>
              <w:left w:val="nil"/>
              <w:bottom w:val="nil"/>
              <w:right w:val="nil"/>
            </w:tcBorders>
            <w:vAlign w:val="bottom"/>
          </w:tcPr>
          <w:p w14:paraId="033ED93D" w14:textId="6D4D2DCA" w:rsidR="002B469F" w:rsidRPr="00CF7E1B" w:rsidRDefault="002B469F" w:rsidP="002B469F">
            <w:pPr>
              <w:pStyle w:val="TableText"/>
              <w:tabs>
                <w:tab w:val="left" w:pos="3306"/>
              </w:tabs>
              <w:jc w:val="right"/>
              <w:rPr>
                <w:rFonts w:cs="Calibri"/>
              </w:rPr>
            </w:pPr>
          </w:p>
        </w:tc>
      </w:tr>
      <w:tr w:rsidR="002B469F" w:rsidRPr="00CF7E1B" w14:paraId="6A0CD5A7" w14:textId="77777777" w:rsidTr="0004564D">
        <w:trPr>
          <w:cantSplit/>
          <w:trHeight w:val="23"/>
        </w:trPr>
        <w:tc>
          <w:tcPr>
            <w:tcW w:w="1560" w:type="dxa"/>
            <w:tcBorders>
              <w:top w:val="nil"/>
              <w:left w:val="single" w:sz="2" w:space="0" w:color="auto"/>
              <w:bottom w:val="nil"/>
              <w:right w:val="single" w:sz="2" w:space="0" w:color="auto"/>
            </w:tcBorders>
          </w:tcPr>
          <w:p w14:paraId="0A74906B" w14:textId="7CD4D8FF" w:rsidR="002B469F" w:rsidRPr="000627F8" w:rsidRDefault="002B469F" w:rsidP="002B469F">
            <w:pPr>
              <w:pStyle w:val="TableReference"/>
              <w:tabs>
                <w:tab w:val="left" w:pos="3306"/>
              </w:tabs>
              <w:spacing w:before="60"/>
              <w:rPr>
                <w:rFonts w:cs="Calibri"/>
                <w:color w:val="7030A0"/>
                <w:sz w:val="16"/>
                <w:szCs w:val="16"/>
              </w:rPr>
            </w:pPr>
            <w:r w:rsidRPr="000627F8">
              <w:rPr>
                <w:rFonts w:cs="Calibri"/>
                <w:color w:val="7030A0"/>
                <w:sz w:val="14"/>
              </w:rPr>
              <w:t>AASB 101.77</w:t>
            </w:r>
          </w:p>
        </w:tc>
        <w:tc>
          <w:tcPr>
            <w:tcW w:w="6378" w:type="dxa"/>
            <w:gridSpan w:val="2"/>
            <w:tcBorders>
              <w:top w:val="nil"/>
              <w:left w:val="single" w:sz="2" w:space="0" w:color="auto"/>
              <w:bottom w:val="nil"/>
              <w:right w:val="nil"/>
            </w:tcBorders>
            <w:vAlign w:val="bottom"/>
          </w:tcPr>
          <w:p w14:paraId="34D50801" w14:textId="77777777" w:rsidR="002B469F" w:rsidRPr="00CF7E1B" w:rsidRDefault="002B469F" w:rsidP="002B469F">
            <w:pPr>
              <w:pStyle w:val="TableText"/>
              <w:tabs>
                <w:tab w:val="left" w:pos="3306"/>
              </w:tabs>
              <w:rPr>
                <w:rFonts w:cs="Calibri"/>
              </w:rPr>
            </w:pPr>
            <w:r w:rsidRPr="00CF7E1B">
              <w:rPr>
                <w:rFonts w:cs="Calibri"/>
              </w:rPr>
              <w:t>Provision for Make Good</w:t>
            </w:r>
          </w:p>
        </w:tc>
        <w:tc>
          <w:tcPr>
            <w:tcW w:w="1276" w:type="dxa"/>
            <w:tcBorders>
              <w:top w:val="nil"/>
              <w:left w:val="nil"/>
              <w:bottom w:val="single" w:sz="2" w:space="0" w:color="auto"/>
              <w:right w:val="nil"/>
            </w:tcBorders>
            <w:vAlign w:val="bottom"/>
          </w:tcPr>
          <w:p w14:paraId="6BA0CB81" w14:textId="369C2606" w:rsidR="002B469F" w:rsidRPr="00CF7E1B" w:rsidRDefault="002B469F" w:rsidP="002B469F">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12ABF619" w14:textId="4041C7D6" w:rsidR="002B469F" w:rsidRPr="00CF7E1B" w:rsidRDefault="002B469F" w:rsidP="002B469F">
            <w:pPr>
              <w:pStyle w:val="TableText"/>
              <w:tabs>
                <w:tab w:val="left" w:pos="3306"/>
              </w:tabs>
              <w:jc w:val="right"/>
              <w:rPr>
                <w:rFonts w:cs="Calibri"/>
              </w:rPr>
            </w:pPr>
          </w:p>
        </w:tc>
      </w:tr>
      <w:tr w:rsidR="002B469F" w:rsidRPr="00CF7E1B" w14:paraId="3FBDD308" w14:textId="77777777" w:rsidTr="0004564D">
        <w:trPr>
          <w:cantSplit/>
          <w:trHeight w:val="23"/>
        </w:trPr>
        <w:tc>
          <w:tcPr>
            <w:tcW w:w="1560" w:type="dxa"/>
            <w:tcBorders>
              <w:top w:val="nil"/>
              <w:left w:val="single" w:sz="2" w:space="0" w:color="auto"/>
              <w:bottom w:val="nil"/>
              <w:right w:val="single" w:sz="2" w:space="0" w:color="auto"/>
            </w:tcBorders>
          </w:tcPr>
          <w:p w14:paraId="096D46D5" w14:textId="77777777" w:rsidR="002B469F" w:rsidRPr="000627F8" w:rsidRDefault="002B469F" w:rsidP="002B469F">
            <w:pPr>
              <w:pStyle w:val="TableReference"/>
              <w:tabs>
                <w:tab w:val="left" w:pos="3306"/>
              </w:tabs>
              <w:spacing w:before="40"/>
              <w:rPr>
                <w:rFonts w:cs="Calibri"/>
                <w:color w:val="7030A0"/>
                <w:sz w:val="16"/>
                <w:szCs w:val="16"/>
              </w:rPr>
            </w:pPr>
          </w:p>
        </w:tc>
        <w:tc>
          <w:tcPr>
            <w:tcW w:w="6378" w:type="dxa"/>
            <w:gridSpan w:val="2"/>
            <w:tcBorders>
              <w:top w:val="nil"/>
              <w:left w:val="single" w:sz="2" w:space="0" w:color="auto"/>
              <w:bottom w:val="nil"/>
              <w:right w:val="nil"/>
            </w:tcBorders>
            <w:vAlign w:val="bottom"/>
          </w:tcPr>
          <w:p w14:paraId="404300B7" w14:textId="77777777" w:rsidR="002B469F" w:rsidRPr="00CF7E1B" w:rsidRDefault="002B469F" w:rsidP="002B469F">
            <w:pPr>
              <w:pStyle w:val="TableText"/>
              <w:tabs>
                <w:tab w:val="left" w:pos="3306"/>
              </w:tabs>
              <w:rPr>
                <w:rFonts w:cs="Calibri"/>
                <w:b/>
                <w:bCs/>
              </w:rPr>
            </w:pPr>
            <w:r w:rsidRPr="00CF7E1B">
              <w:rPr>
                <w:rFonts w:cs="Calibri"/>
                <w:b/>
                <w:bCs/>
              </w:rPr>
              <w:t>Total Non-Current Other Provisions</w:t>
            </w:r>
          </w:p>
        </w:tc>
        <w:tc>
          <w:tcPr>
            <w:tcW w:w="1276" w:type="dxa"/>
            <w:tcBorders>
              <w:top w:val="single" w:sz="2" w:space="0" w:color="auto"/>
              <w:left w:val="nil"/>
              <w:bottom w:val="single" w:sz="2" w:space="0" w:color="auto"/>
              <w:right w:val="nil"/>
            </w:tcBorders>
            <w:vAlign w:val="bottom"/>
          </w:tcPr>
          <w:p w14:paraId="657F542E" w14:textId="7A28FF06" w:rsidR="002B469F" w:rsidRPr="00CF7E1B" w:rsidRDefault="002B469F" w:rsidP="002B469F">
            <w:pPr>
              <w:pStyle w:val="TableText"/>
              <w:tabs>
                <w:tab w:val="left" w:pos="3306"/>
              </w:tabs>
              <w:jc w:val="right"/>
              <w:rPr>
                <w:rFonts w:cs="Calibri"/>
                <w:b/>
                <w:bCs/>
              </w:rPr>
            </w:pPr>
          </w:p>
        </w:tc>
        <w:tc>
          <w:tcPr>
            <w:tcW w:w="1276" w:type="dxa"/>
            <w:tcBorders>
              <w:top w:val="single" w:sz="2" w:space="0" w:color="auto"/>
              <w:left w:val="nil"/>
              <w:bottom w:val="single" w:sz="2" w:space="0" w:color="auto"/>
              <w:right w:val="nil"/>
            </w:tcBorders>
            <w:vAlign w:val="bottom"/>
          </w:tcPr>
          <w:p w14:paraId="60CD5189" w14:textId="1F6B8062" w:rsidR="002B469F" w:rsidRPr="00CF7E1B" w:rsidRDefault="002B469F" w:rsidP="002B469F">
            <w:pPr>
              <w:pStyle w:val="TableText"/>
              <w:tabs>
                <w:tab w:val="left" w:pos="3306"/>
              </w:tabs>
              <w:jc w:val="right"/>
              <w:rPr>
                <w:rFonts w:cs="Calibri"/>
                <w:b/>
                <w:bCs/>
              </w:rPr>
            </w:pPr>
          </w:p>
        </w:tc>
      </w:tr>
      <w:tr w:rsidR="002B469F" w:rsidRPr="00CF7E1B" w14:paraId="6610A02F" w14:textId="77777777" w:rsidTr="0004564D">
        <w:trPr>
          <w:cantSplit/>
          <w:trHeight w:val="23"/>
        </w:trPr>
        <w:tc>
          <w:tcPr>
            <w:tcW w:w="1560" w:type="dxa"/>
            <w:tcBorders>
              <w:top w:val="nil"/>
              <w:left w:val="single" w:sz="2" w:space="0" w:color="auto"/>
              <w:bottom w:val="nil"/>
              <w:right w:val="single" w:sz="2" w:space="0" w:color="auto"/>
            </w:tcBorders>
          </w:tcPr>
          <w:p w14:paraId="220F3E98" w14:textId="77777777" w:rsidR="002B469F" w:rsidRPr="000627F8" w:rsidRDefault="002B469F" w:rsidP="002B469F">
            <w:pPr>
              <w:pStyle w:val="TableReference"/>
              <w:tabs>
                <w:tab w:val="left" w:pos="3306"/>
              </w:tabs>
              <w:spacing w:before="40"/>
              <w:rPr>
                <w:rFonts w:cs="Calibri"/>
                <w:color w:val="7030A0"/>
                <w:sz w:val="16"/>
                <w:szCs w:val="16"/>
              </w:rPr>
            </w:pPr>
          </w:p>
        </w:tc>
        <w:tc>
          <w:tcPr>
            <w:tcW w:w="6378" w:type="dxa"/>
            <w:gridSpan w:val="2"/>
            <w:tcBorders>
              <w:top w:val="nil"/>
              <w:left w:val="single" w:sz="2" w:space="0" w:color="auto"/>
              <w:bottom w:val="nil"/>
              <w:right w:val="nil"/>
            </w:tcBorders>
            <w:vAlign w:val="bottom"/>
          </w:tcPr>
          <w:p w14:paraId="3DE11EAB" w14:textId="77777777" w:rsidR="002B469F" w:rsidRPr="00CF7E1B" w:rsidRDefault="002B469F" w:rsidP="002B469F">
            <w:pPr>
              <w:pStyle w:val="TableText"/>
              <w:tabs>
                <w:tab w:val="left" w:pos="3306"/>
              </w:tabs>
              <w:rPr>
                <w:rFonts w:cs="Calibri"/>
                <w:b/>
                <w:bCs/>
              </w:rPr>
            </w:pPr>
            <w:r w:rsidRPr="00CF7E1B">
              <w:rPr>
                <w:rFonts w:cs="Calibri"/>
                <w:b/>
                <w:bCs/>
              </w:rPr>
              <w:t xml:space="preserve">Total Other Provisions </w:t>
            </w:r>
          </w:p>
        </w:tc>
        <w:tc>
          <w:tcPr>
            <w:tcW w:w="1276" w:type="dxa"/>
            <w:tcBorders>
              <w:top w:val="single" w:sz="2" w:space="0" w:color="auto"/>
              <w:left w:val="nil"/>
              <w:bottom w:val="double" w:sz="4" w:space="0" w:color="auto"/>
              <w:right w:val="nil"/>
            </w:tcBorders>
            <w:vAlign w:val="bottom"/>
          </w:tcPr>
          <w:p w14:paraId="00624A9C" w14:textId="6C18E4DE" w:rsidR="002B469F" w:rsidRPr="00CF7E1B" w:rsidRDefault="002B469F" w:rsidP="002B469F">
            <w:pPr>
              <w:pStyle w:val="TableText"/>
              <w:tabs>
                <w:tab w:val="left" w:pos="3306"/>
              </w:tabs>
              <w:jc w:val="right"/>
              <w:rPr>
                <w:rFonts w:cs="Calibri"/>
                <w:b/>
                <w:bCs/>
              </w:rPr>
            </w:pPr>
          </w:p>
        </w:tc>
        <w:tc>
          <w:tcPr>
            <w:tcW w:w="1276" w:type="dxa"/>
            <w:tcBorders>
              <w:top w:val="single" w:sz="2" w:space="0" w:color="auto"/>
              <w:left w:val="nil"/>
              <w:bottom w:val="double" w:sz="4" w:space="0" w:color="auto"/>
              <w:right w:val="nil"/>
            </w:tcBorders>
            <w:vAlign w:val="bottom"/>
          </w:tcPr>
          <w:p w14:paraId="55D4F6E5" w14:textId="11CC77B4" w:rsidR="002B469F" w:rsidRPr="00CF7E1B" w:rsidRDefault="002B469F" w:rsidP="002B469F">
            <w:pPr>
              <w:pStyle w:val="TableText"/>
              <w:tabs>
                <w:tab w:val="left" w:pos="3306"/>
              </w:tabs>
              <w:jc w:val="right"/>
              <w:rPr>
                <w:rFonts w:cs="Calibri"/>
                <w:b/>
                <w:bCs/>
              </w:rPr>
            </w:pPr>
          </w:p>
        </w:tc>
      </w:tr>
    </w:tbl>
    <w:p w14:paraId="09BC1C48" w14:textId="77777777" w:rsidR="00E63454" w:rsidRDefault="00E63454">
      <w:pPr>
        <w:rPr>
          <w:rFonts w:cs="Calibri"/>
          <w:b/>
          <w:bCs/>
        </w:rPr>
        <w:sectPr w:rsidR="00E63454" w:rsidSect="008E65BF">
          <w:footnotePr>
            <w:numRestart w:val="eachPage"/>
          </w:footnotePr>
          <w:pgSz w:w="11907" w:h="16840" w:code="9"/>
          <w:pgMar w:top="567" w:right="680" w:bottom="567" w:left="680" w:header="720" w:footer="313" w:gutter="0"/>
          <w:cols w:space="720"/>
          <w:docGrid w:linePitch="326"/>
        </w:sectPr>
      </w:pPr>
    </w:p>
    <w:p w14:paraId="6C252ABE" w14:textId="4FCE4818" w:rsidR="006F7D34" w:rsidRDefault="006F7D34">
      <w:pPr>
        <w:rPr>
          <w:rFonts w:cs="Calibri"/>
          <w:b/>
          <w:bCs/>
        </w:rPr>
      </w:pPr>
    </w:p>
    <w:tbl>
      <w:tblPr>
        <w:tblStyle w:val="TableGrid"/>
        <w:tblW w:w="15309" w:type="dxa"/>
        <w:tblInd w:w="137" w:type="dxa"/>
        <w:tblBorders>
          <w:top w:val="none" w:sz="0" w:space="0" w:color="auto"/>
          <w:bottom w:val="none" w:sz="0" w:space="0" w:color="auto"/>
          <w:insideH w:val="none" w:sz="0" w:space="0" w:color="auto"/>
        </w:tblBorders>
        <w:tblLook w:val="04A0" w:firstRow="1" w:lastRow="0" w:firstColumn="1" w:lastColumn="0" w:noHBand="0" w:noVBand="1"/>
      </w:tblPr>
      <w:tblGrid>
        <w:gridCol w:w="1559"/>
        <w:gridCol w:w="4820"/>
        <w:gridCol w:w="2268"/>
        <w:gridCol w:w="2268"/>
        <w:gridCol w:w="2126"/>
        <w:gridCol w:w="2268"/>
      </w:tblGrid>
      <w:tr w:rsidR="00C53155" w14:paraId="1E0D4347" w14:textId="77777777" w:rsidTr="0004564D">
        <w:tc>
          <w:tcPr>
            <w:tcW w:w="1559" w:type="dxa"/>
            <w:tcBorders>
              <w:left w:val="single" w:sz="4" w:space="0" w:color="auto"/>
              <w:right w:val="single" w:sz="4" w:space="0" w:color="auto"/>
            </w:tcBorders>
          </w:tcPr>
          <w:p w14:paraId="57325187" w14:textId="59663CB4" w:rsidR="00C53155" w:rsidRPr="000627F8" w:rsidRDefault="00C53155" w:rsidP="00C53155">
            <w:pPr>
              <w:spacing w:before="240" w:after="240"/>
              <w:rPr>
                <w:rFonts w:cs="Calibri"/>
                <w:b/>
                <w:bCs/>
                <w:color w:val="7030A0"/>
              </w:rPr>
            </w:pPr>
            <w:r w:rsidRPr="000627F8">
              <w:rPr>
                <w:rFonts w:cs="Calibri"/>
                <w:b/>
                <w:color w:val="7030A0"/>
                <w:szCs w:val="22"/>
              </w:rPr>
              <w:t>Reference</w:t>
            </w:r>
          </w:p>
        </w:tc>
        <w:tc>
          <w:tcPr>
            <w:tcW w:w="13750" w:type="dxa"/>
            <w:gridSpan w:val="5"/>
            <w:tcBorders>
              <w:left w:val="single" w:sz="4" w:space="0" w:color="auto"/>
              <w:right w:val="nil"/>
            </w:tcBorders>
          </w:tcPr>
          <w:p w14:paraId="630DA8B0" w14:textId="25102768" w:rsidR="00C53155" w:rsidRPr="000627F8" w:rsidRDefault="00C53155" w:rsidP="00C53155">
            <w:pPr>
              <w:spacing w:before="240" w:after="240"/>
              <w:rPr>
                <w:rFonts w:cs="Calibri"/>
                <w:b/>
                <w:bCs/>
              </w:rPr>
            </w:pPr>
            <w:r w:rsidRPr="000627F8">
              <w:rPr>
                <w:rFonts w:ascii="Arial Bold" w:hAnsi="Arial Bold" w:cs="Arial"/>
                <w:b/>
                <w:caps/>
                <w:sz w:val="32"/>
                <w:szCs w:val="32"/>
              </w:rPr>
              <w:t>Note 28.</w:t>
            </w:r>
            <w:r w:rsidR="00FA7C77">
              <w:rPr>
                <w:rFonts w:ascii="Arial Bold" w:hAnsi="Arial Bold" w:cs="Arial"/>
                <w:b/>
                <w:caps/>
                <w:sz w:val="32"/>
                <w:szCs w:val="32"/>
              </w:rPr>
              <w:t xml:space="preserve"> </w:t>
            </w:r>
            <w:r w:rsidRPr="000627F8">
              <w:rPr>
                <w:rFonts w:ascii="Arial Bold" w:hAnsi="Arial Bold" w:cs="Arial"/>
                <w:b/>
                <w:caps/>
                <w:sz w:val="32"/>
                <w:szCs w:val="32"/>
              </w:rPr>
              <w:t xml:space="preserve"> Other Provisions – Continued</w:t>
            </w:r>
          </w:p>
        </w:tc>
      </w:tr>
      <w:tr w:rsidR="00C53155" w14:paraId="44A8B575" w14:textId="77777777" w:rsidTr="0004564D">
        <w:tc>
          <w:tcPr>
            <w:tcW w:w="1559" w:type="dxa"/>
            <w:tcBorders>
              <w:left w:val="single" w:sz="4" w:space="0" w:color="auto"/>
              <w:right w:val="single" w:sz="4" w:space="0" w:color="auto"/>
            </w:tcBorders>
          </w:tcPr>
          <w:p w14:paraId="13741462" w14:textId="77777777" w:rsidR="00C53155" w:rsidRPr="000627F8" w:rsidRDefault="00C53155">
            <w:pPr>
              <w:rPr>
                <w:rFonts w:cs="Calibri"/>
                <w:b/>
                <w:bCs/>
                <w:color w:val="7030A0"/>
              </w:rPr>
            </w:pPr>
          </w:p>
        </w:tc>
        <w:tc>
          <w:tcPr>
            <w:tcW w:w="13750" w:type="dxa"/>
            <w:gridSpan w:val="5"/>
            <w:tcBorders>
              <w:left w:val="single" w:sz="4" w:space="0" w:color="auto"/>
              <w:right w:val="nil"/>
            </w:tcBorders>
          </w:tcPr>
          <w:p w14:paraId="29EB5856" w14:textId="2C3C33A0" w:rsidR="00C53155" w:rsidRPr="000627F8" w:rsidRDefault="00C53155">
            <w:pPr>
              <w:rPr>
                <w:rFonts w:cs="Calibri"/>
                <w:b/>
                <w:bCs/>
              </w:rPr>
            </w:pPr>
            <w:r w:rsidRPr="000627F8">
              <w:rPr>
                <w:b/>
                <w:sz w:val="18"/>
                <w:szCs w:val="18"/>
              </w:rPr>
              <w:t>Reconciliation of Other Provisions – 2021-22</w:t>
            </w:r>
          </w:p>
        </w:tc>
      </w:tr>
      <w:tr w:rsidR="00EB1058" w14:paraId="0BD16A06" w14:textId="77777777" w:rsidTr="0004564D">
        <w:tc>
          <w:tcPr>
            <w:tcW w:w="1559" w:type="dxa"/>
            <w:tcBorders>
              <w:left w:val="single" w:sz="4" w:space="0" w:color="auto"/>
              <w:right w:val="single" w:sz="4" w:space="0" w:color="auto"/>
            </w:tcBorders>
          </w:tcPr>
          <w:p w14:paraId="0E5D88EC" w14:textId="77777777" w:rsidR="00EB1058" w:rsidRPr="000627F8" w:rsidRDefault="00EB1058" w:rsidP="00E63454">
            <w:pPr>
              <w:rPr>
                <w:rFonts w:cs="Calibri"/>
                <w:b/>
                <w:bCs/>
                <w:color w:val="7030A0"/>
              </w:rPr>
            </w:pPr>
          </w:p>
        </w:tc>
        <w:tc>
          <w:tcPr>
            <w:tcW w:w="4820" w:type="dxa"/>
            <w:tcBorders>
              <w:left w:val="single" w:sz="4" w:space="0" w:color="auto"/>
              <w:right w:val="nil"/>
            </w:tcBorders>
          </w:tcPr>
          <w:p w14:paraId="355A905D" w14:textId="77777777" w:rsidR="00EB1058" w:rsidRPr="000627F8" w:rsidRDefault="00EB1058" w:rsidP="00E63454">
            <w:pPr>
              <w:rPr>
                <w:rFonts w:cs="Calibri"/>
                <w:b/>
                <w:bCs/>
              </w:rPr>
            </w:pPr>
          </w:p>
        </w:tc>
        <w:tc>
          <w:tcPr>
            <w:tcW w:w="8930" w:type="dxa"/>
            <w:gridSpan w:val="4"/>
            <w:tcBorders>
              <w:left w:val="nil"/>
              <w:bottom w:val="single" w:sz="4" w:space="0" w:color="auto"/>
              <w:right w:val="nil"/>
            </w:tcBorders>
            <w:vAlign w:val="center"/>
          </w:tcPr>
          <w:p w14:paraId="67DFB28B" w14:textId="270A6748" w:rsidR="00EB1058" w:rsidRPr="000627F8" w:rsidRDefault="00EB1058" w:rsidP="00EB1058">
            <w:pPr>
              <w:jc w:val="center"/>
              <w:rPr>
                <w:rFonts w:asciiTheme="minorHAnsi" w:hAnsiTheme="minorHAnsi" w:cstheme="minorHAnsi"/>
                <w:b/>
                <w:bCs/>
                <w:sz w:val="18"/>
                <w:szCs w:val="18"/>
              </w:rPr>
            </w:pPr>
            <w:r w:rsidRPr="000627F8">
              <w:rPr>
                <w:rFonts w:asciiTheme="minorHAnsi" w:hAnsiTheme="minorHAnsi" w:cstheme="minorHAnsi"/>
                <w:b/>
                <w:bCs/>
                <w:sz w:val="18"/>
                <w:szCs w:val="18"/>
              </w:rPr>
              <w:t>Provision for:</w:t>
            </w:r>
          </w:p>
        </w:tc>
      </w:tr>
      <w:tr w:rsidR="00E63454" w14:paraId="446F2116" w14:textId="77777777" w:rsidTr="0004564D">
        <w:tc>
          <w:tcPr>
            <w:tcW w:w="1559" w:type="dxa"/>
            <w:tcBorders>
              <w:left w:val="single" w:sz="4" w:space="0" w:color="auto"/>
              <w:right w:val="single" w:sz="4" w:space="0" w:color="auto"/>
            </w:tcBorders>
          </w:tcPr>
          <w:p w14:paraId="2AB84171" w14:textId="77777777" w:rsidR="00E63454" w:rsidRPr="000627F8" w:rsidRDefault="00E63454" w:rsidP="00E63454">
            <w:pPr>
              <w:rPr>
                <w:rFonts w:cs="Calibri"/>
                <w:b/>
                <w:bCs/>
                <w:color w:val="7030A0"/>
              </w:rPr>
            </w:pPr>
          </w:p>
        </w:tc>
        <w:tc>
          <w:tcPr>
            <w:tcW w:w="4820" w:type="dxa"/>
            <w:tcBorders>
              <w:left w:val="single" w:sz="4" w:space="0" w:color="auto"/>
              <w:right w:val="nil"/>
            </w:tcBorders>
          </w:tcPr>
          <w:p w14:paraId="79B35481" w14:textId="77777777" w:rsidR="00E63454" w:rsidRPr="000627F8" w:rsidRDefault="00E63454" w:rsidP="00E63454">
            <w:pPr>
              <w:rPr>
                <w:rFonts w:cs="Calibri"/>
                <w:b/>
                <w:bCs/>
              </w:rPr>
            </w:pPr>
          </w:p>
        </w:tc>
        <w:tc>
          <w:tcPr>
            <w:tcW w:w="2268" w:type="dxa"/>
            <w:tcBorders>
              <w:top w:val="single" w:sz="4" w:space="0" w:color="auto"/>
              <w:left w:val="nil"/>
              <w:right w:val="nil"/>
            </w:tcBorders>
            <w:vAlign w:val="bottom"/>
          </w:tcPr>
          <w:p w14:paraId="6FBDCB80" w14:textId="68D9D4FF" w:rsidR="00E63454" w:rsidRPr="000627F8" w:rsidRDefault="00E63454" w:rsidP="00E63454">
            <w:pPr>
              <w:jc w:val="right"/>
              <w:rPr>
                <w:rFonts w:cs="Calibri"/>
                <w:b/>
                <w:bCs/>
              </w:rPr>
            </w:pPr>
            <w:r w:rsidRPr="000627F8">
              <w:rPr>
                <w:rFonts w:asciiTheme="minorHAnsi" w:hAnsiTheme="minorHAnsi" w:cstheme="minorHAnsi"/>
                <w:b/>
                <w:bCs/>
                <w:sz w:val="18"/>
                <w:szCs w:val="18"/>
              </w:rPr>
              <w:t>Restructuring</w:t>
            </w:r>
          </w:p>
        </w:tc>
        <w:tc>
          <w:tcPr>
            <w:tcW w:w="2268" w:type="dxa"/>
            <w:tcBorders>
              <w:top w:val="single" w:sz="4" w:space="0" w:color="auto"/>
              <w:left w:val="nil"/>
              <w:right w:val="nil"/>
            </w:tcBorders>
            <w:vAlign w:val="bottom"/>
          </w:tcPr>
          <w:p w14:paraId="5F34EA67" w14:textId="78F2C792" w:rsidR="00E63454" w:rsidRPr="000627F8" w:rsidRDefault="00E63454" w:rsidP="00E63454">
            <w:pPr>
              <w:jc w:val="right"/>
              <w:rPr>
                <w:rFonts w:cs="Calibri"/>
                <w:b/>
                <w:bCs/>
              </w:rPr>
            </w:pPr>
            <w:r w:rsidRPr="000627F8">
              <w:rPr>
                <w:rFonts w:asciiTheme="minorHAnsi" w:hAnsiTheme="minorHAnsi" w:cstheme="minorHAnsi"/>
                <w:b/>
                <w:bCs/>
                <w:sz w:val="18"/>
                <w:szCs w:val="18"/>
              </w:rPr>
              <w:t>Restoration of Contaminated Site</w:t>
            </w:r>
          </w:p>
        </w:tc>
        <w:tc>
          <w:tcPr>
            <w:tcW w:w="2126" w:type="dxa"/>
            <w:tcBorders>
              <w:top w:val="single" w:sz="4" w:space="0" w:color="auto"/>
              <w:left w:val="nil"/>
              <w:right w:val="nil"/>
            </w:tcBorders>
            <w:vAlign w:val="bottom"/>
          </w:tcPr>
          <w:p w14:paraId="0C1169D5" w14:textId="14DF2DF8" w:rsidR="00E63454" w:rsidRPr="000627F8" w:rsidRDefault="00E63454" w:rsidP="00E63454">
            <w:pPr>
              <w:jc w:val="right"/>
              <w:rPr>
                <w:rFonts w:cs="Calibri"/>
                <w:b/>
                <w:bCs/>
              </w:rPr>
            </w:pPr>
            <w:r w:rsidRPr="000627F8">
              <w:rPr>
                <w:rFonts w:asciiTheme="minorHAnsi" w:hAnsiTheme="minorHAnsi" w:cstheme="minorHAnsi"/>
                <w:b/>
                <w:bCs/>
                <w:sz w:val="18"/>
                <w:szCs w:val="18"/>
              </w:rPr>
              <w:t>Make Good</w:t>
            </w:r>
          </w:p>
        </w:tc>
        <w:tc>
          <w:tcPr>
            <w:tcW w:w="2268" w:type="dxa"/>
            <w:tcBorders>
              <w:top w:val="single" w:sz="4" w:space="0" w:color="auto"/>
              <w:left w:val="nil"/>
              <w:right w:val="nil"/>
            </w:tcBorders>
            <w:vAlign w:val="bottom"/>
          </w:tcPr>
          <w:p w14:paraId="1315BFE3" w14:textId="50F3355F" w:rsidR="00E63454" w:rsidRPr="000627F8" w:rsidRDefault="00E63454" w:rsidP="00E63454">
            <w:pPr>
              <w:jc w:val="right"/>
              <w:rPr>
                <w:rFonts w:cs="Calibri"/>
                <w:b/>
                <w:bCs/>
              </w:rPr>
            </w:pPr>
            <w:r w:rsidRPr="000627F8">
              <w:rPr>
                <w:rFonts w:asciiTheme="minorHAnsi" w:hAnsiTheme="minorHAnsi" w:cstheme="minorHAnsi"/>
                <w:b/>
                <w:bCs/>
                <w:sz w:val="18"/>
                <w:szCs w:val="18"/>
              </w:rPr>
              <w:t>Dividends</w:t>
            </w:r>
          </w:p>
        </w:tc>
      </w:tr>
      <w:tr w:rsidR="00E63454" w14:paraId="6383FD3D" w14:textId="77777777" w:rsidTr="0004564D">
        <w:tc>
          <w:tcPr>
            <w:tcW w:w="1559" w:type="dxa"/>
            <w:tcBorders>
              <w:left w:val="single" w:sz="4" w:space="0" w:color="auto"/>
              <w:right w:val="single" w:sz="4" w:space="0" w:color="auto"/>
            </w:tcBorders>
          </w:tcPr>
          <w:p w14:paraId="7655169D" w14:textId="77777777" w:rsidR="00E63454" w:rsidRPr="000627F8" w:rsidRDefault="00E63454" w:rsidP="00E63454">
            <w:pPr>
              <w:rPr>
                <w:rFonts w:cs="Calibri"/>
                <w:b/>
                <w:bCs/>
                <w:color w:val="7030A0"/>
              </w:rPr>
            </w:pPr>
          </w:p>
        </w:tc>
        <w:tc>
          <w:tcPr>
            <w:tcW w:w="4820" w:type="dxa"/>
            <w:tcBorders>
              <w:left w:val="single" w:sz="4" w:space="0" w:color="auto"/>
              <w:right w:val="nil"/>
            </w:tcBorders>
          </w:tcPr>
          <w:p w14:paraId="39518C22" w14:textId="77777777" w:rsidR="00E63454" w:rsidRPr="000627F8" w:rsidRDefault="00E63454" w:rsidP="00E63454">
            <w:pPr>
              <w:rPr>
                <w:rFonts w:cs="Calibri"/>
                <w:b/>
                <w:bCs/>
              </w:rPr>
            </w:pPr>
          </w:p>
        </w:tc>
        <w:tc>
          <w:tcPr>
            <w:tcW w:w="2268" w:type="dxa"/>
            <w:tcBorders>
              <w:left w:val="nil"/>
              <w:right w:val="nil"/>
            </w:tcBorders>
            <w:vAlign w:val="bottom"/>
          </w:tcPr>
          <w:p w14:paraId="0879BB03" w14:textId="357F7DEC" w:rsidR="00E63454" w:rsidRPr="000627F8" w:rsidRDefault="00E63454" w:rsidP="00E63454">
            <w:pPr>
              <w:jc w:val="right"/>
              <w:rPr>
                <w:rFonts w:cs="Calibri"/>
                <w:b/>
                <w:bCs/>
                <w:sz w:val="18"/>
                <w:szCs w:val="18"/>
              </w:rPr>
            </w:pPr>
            <w:r w:rsidRPr="000627F8">
              <w:rPr>
                <w:rFonts w:cs="Calibri"/>
                <w:b/>
                <w:bCs/>
                <w:sz w:val="18"/>
                <w:szCs w:val="18"/>
              </w:rPr>
              <w:t>$’000</w:t>
            </w:r>
          </w:p>
        </w:tc>
        <w:tc>
          <w:tcPr>
            <w:tcW w:w="2268" w:type="dxa"/>
            <w:tcBorders>
              <w:left w:val="nil"/>
              <w:right w:val="nil"/>
            </w:tcBorders>
            <w:vAlign w:val="bottom"/>
          </w:tcPr>
          <w:p w14:paraId="41082095" w14:textId="6FAA93D1" w:rsidR="00E63454" w:rsidRPr="000627F8" w:rsidRDefault="00E63454" w:rsidP="00E63454">
            <w:pPr>
              <w:jc w:val="right"/>
              <w:rPr>
                <w:rFonts w:cs="Calibri"/>
                <w:b/>
                <w:bCs/>
              </w:rPr>
            </w:pPr>
            <w:r w:rsidRPr="000627F8">
              <w:rPr>
                <w:rFonts w:cs="Calibri"/>
                <w:b/>
                <w:bCs/>
                <w:sz w:val="18"/>
                <w:szCs w:val="18"/>
              </w:rPr>
              <w:t>$’000</w:t>
            </w:r>
          </w:p>
        </w:tc>
        <w:tc>
          <w:tcPr>
            <w:tcW w:w="2126" w:type="dxa"/>
            <w:tcBorders>
              <w:left w:val="nil"/>
              <w:right w:val="nil"/>
            </w:tcBorders>
            <w:vAlign w:val="bottom"/>
          </w:tcPr>
          <w:p w14:paraId="6FD6BA56" w14:textId="7DF5A7D1" w:rsidR="00E63454" w:rsidRPr="000627F8" w:rsidRDefault="00E63454" w:rsidP="00E63454">
            <w:pPr>
              <w:jc w:val="right"/>
              <w:rPr>
                <w:rFonts w:cs="Calibri"/>
                <w:b/>
                <w:bCs/>
              </w:rPr>
            </w:pPr>
            <w:r w:rsidRPr="000627F8">
              <w:rPr>
                <w:rFonts w:cs="Calibri"/>
                <w:b/>
                <w:bCs/>
                <w:sz w:val="18"/>
                <w:szCs w:val="18"/>
              </w:rPr>
              <w:t>$’000</w:t>
            </w:r>
          </w:p>
        </w:tc>
        <w:tc>
          <w:tcPr>
            <w:tcW w:w="2268" w:type="dxa"/>
            <w:tcBorders>
              <w:left w:val="nil"/>
              <w:right w:val="nil"/>
            </w:tcBorders>
            <w:vAlign w:val="bottom"/>
          </w:tcPr>
          <w:p w14:paraId="1BB756A7" w14:textId="5433F689" w:rsidR="00E63454" w:rsidRPr="000627F8" w:rsidRDefault="00E63454" w:rsidP="00E63454">
            <w:pPr>
              <w:jc w:val="right"/>
              <w:rPr>
                <w:rFonts w:cs="Calibri"/>
                <w:b/>
                <w:bCs/>
              </w:rPr>
            </w:pPr>
            <w:r w:rsidRPr="000627F8">
              <w:rPr>
                <w:rFonts w:cs="Calibri"/>
                <w:b/>
                <w:bCs/>
                <w:sz w:val="18"/>
                <w:szCs w:val="18"/>
              </w:rPr>
              <w:t>$’000</w:t>
            </w:r>
          </w:p>
        </w:tc>
      </w:tr>
      <w:tr w:rsidR="00E63454" w14:paraId="2D00E237" w14:textId="77777777" w:rsidTr="0004564D">
        <w:tc>
          <w:tcPr>
            <w:tcW w:w="1559" w:type="dxa"/>
            <w:tcBorders>
              <w:left w:val="single" w:sz="4" w:space="0" w:color="auto"/>
              <w:right w:val="single" w:sz="4" w:space="0" w:color="auto"/>
            </w:tcBorders>
          </w:tcPr>
          <w:p w14:paraId="5996EC51" w14:textId="604AF38D" w:rsidR="00E63454" w:rsidRPr="000627F8" w:rsidRDefault="00E63454" w:rsidP="00E63454">
            <w:pPr>
              <w:rPr>
                <w:rFonts w:cs="Calibri"/>
                <w:b/>
                <w:bCs/>
                <w:color w:val="7030A0"/>
              </w:rPr>
            </w:pPr>
            <w:r w:rsidRPr="000627F8">
              <w:rPr>
                <w:rFonts w:cs="Calibri"/>
                <w:color w:val="7030A0"/>
                <w:sz w:val="14"/>
                <w:szCs w:val="14"/>
              </w:rPr>
              <w:t>AASB 137.84 (a)</w:t>
            </w:r>
          </w:p>
        </w:tc>
        <w:tc>
          <w:tcPr>
            <w:tcW w:w="4820" w:type="dxa"/>
            <w:tcBorders>
              <w:left w:val="single" w:sz="4" w:space="0" w:color="auto"/>
              <w:right w:val="nil"/>
            </w:tcBorders>
          </w:tcPr>
          <w:p w14:paraId="0DF4D37E" w14:textId="7EFEA102" w:rsidR="00E63454" w:rsidRPr="000627F8" w:rsidRDefault="00E63454" w:rsidP="00E63454">
            <w:pPr>
              <w:rPr>
                <w:rFonts w:cs="Calibri"/>
                <w:b/>
                <w:bCs/>
              </w:rPr>
            </w:pPr>
            <w:r w:rsidRPr="000627F8">
              <w:rPr>
                <w:rFonts w:asciiTheme="minorHAnsi" w:hAnsiTheme="minorHAnsi" w:cstheme="minorHAnsi"/>
                <w:sz w:val="18"/>
                <w:szCs w:val="18"/>
              </w:rPr>
              <w:t>Provision at the Beginning of the Reporting Period</w:t>
            </w:r>
          </w:p>
        </w:tc>
        <w:tc>
          <w:tcPr>
            <w:tcW w:w="2268" w:type="dxa"/>
            <w:tcBorders>
              <w:left w:val="nil"/>
              <w:right w:val="nil"/>
            </w:tcBorders>
          </w:tcPr>
          <w:p w14:paraId="04624A1D" w14:textId="77777777" w:rsidR="00E63454" w:rsidRPr="000627F8" w:rsidRDefault="00E63454" w:rsidP="00E63454">
            <w:pPr>
              <w:rPr>
                <w:rFonts w:cs="Calibri"/>
                <w:b/>
                <w:bCs/>
              </w:rPr>
            </w:pPr>
          </w:p>
        </w:tc>
        <w:tc>
          <w:tcPr>
            <w:tcW w:w="2268" w:type="dxa"/>
            <w:tcBorders>
              <w:left w:val="nil"/>
              <w:right w:val="nil"/>
            </w:tcBorders>
          </w:tcPr>
          <w:p w14:paraId="49C1FCFF" w14:textId="77777777" w:rsidR="00E63454" w:rsidRPr="000627F8" w:rsidRDefault="00E63454" w:rsidP="00E63454">
            <w:pPr>
              <w:rPr>
                <w:rFonts w:cs="Calibri"/>
                <w:b/>
                <w:bCs/>
              </w:rPr>
            </w:pPr>
          </w:p>
        </w:tc>
        <w:tc>
          <w:tcPr>
            <w:tcW w:w="2126" w:type="dxa"/>
            <w:tcBorders>
              <w:left w:val="nil"/>
              <w:right w:val="nil"/>
            </w:tcBorders>
          </w:tcPr>
          <w:p w14:paraId="3213A0E6" w14:textId="77777777" w:rsidR="00E63454" w:rsidRPr="000627F8" w:rsidRDefault="00E63454" w:rsidP="00E63454">
            <w:pPr>
              <w:rPr>
                <w:rFonts w:cs="Calibri"/>
                <w:b/>
                <w:bCs/>
              </w:rPr>
            </w:pPr>
          </w:p>
        </w:tc>
        <w:tc>
          <w:tcPr>
            <w:tcW w:w="2268" w:type="dxa"/>
            <w:tcBorders>
              <w:left w:val="nil"/>
              <w:right w:val="nil"/>
            </w:tcBorders>
          </w:tcPr>
          <w:p w14:paraId="36105E5D" w14:textId="77777777" w:rsidR="00E63454" w:rsidRPr="000627F8" w:rsidRDefault="00E63454" w:rsidP="00E63454">
            <w:pPr>
              <w:rPr>
                <w:rFonts w:cs="Calibri"/>
                <w:b/>
                <w:bCs/>
              </w:rPr>
            </w:pPr>
          </w:p>
        </w:tc>
      </w:tr>
      <w:tr w:rsidR="00E63454" w14:paraId="49004C4C" w14:textId="77777777" w:rsidTr="0004564D">
        <w:tc>
          <w:tcPr>
            <w:tcW w:w="1559" w:type="dxa"/>
            <w:tcBorders>
              <w:left w:val="single" w:sz="4" w:space="0" w:color="auto"/>
              <w:right w:val="single" w:sz="4" w:space="0" w:color="auto"/>
            </w:tcBorders>
          </w:tcPr>
          <w:p w14:paraId="15F315F3" w14:textId="5671AA04" w:rsidR="00E63454" w:rsidRPr="000627F8" w:rsidRDefault="00E63454" w:rsidP="00E63454">
            <w:pPr>
              <w:rPr>
                <w:rFonts w:cs="Calibri"/>
                <w:b/>
                <w:bCs/>
                <w:color w:val="7030A0"/>
              </w:rPr>
            </w:pPr>
            <w:r w:rsidRPr="000627F8">
              <w:rPr>
                <w:rFonts w:cs="Calibri"/>
                <w:color w:val="7030A0"/>
                <w:sz w:val="14"/>
                <w:szCs w:val="14"/>
              </w:rPr>
              <w:t>AASB 137.84 (b)</w:t>
            </w:r>
          </w:p>
        </w:tc>
        <w:tc>
          <w:tcPr>
            <w:tcW w:w="4820" w:type="dxa"/>
            <w:tcBorders>
              <w:left w:val="single" w:sz="4" w:space="0" w:color="auto"/>
              <w:right w:val="nil"/>
            </w:tcBorders>
          </w:tcPr>
          <w:p w14:paraId="299DC712" w14:textId="47CF37A6" w:rsidR="00E63454" w:rsidRPr="000627F8" w:rsidRDefault="00E63454" w:rsidP="00E63454">
            <w:pPr>
              <w:rPr>
                <w:rFonts w:cs="Calibri"/>
                <w:b/>
                <w:bCs/>
              </w:rPr>
            </w:pPr>
            <w:r w:rsidRPr="000627F8">
              <w:rPr>
                <w:rFonts w:asciiTheme="minorHAnsi" w:hAnsiTheme="minorHAnsi" w:cstheme="minorHAnsi"/>
                <w:sz w:val="18"/>
                <w:szCs w:val="18"/>
              </w:rPr>
              <w:t>Additional Provision Recognised</w:t>
            </w:r>
          </w:p>
        </w:tc>
        <w:tc>
          <w:tcPr>
            <w:tcW w:w="2268" w:type="dxa"/>
            <w:tcBorders>
              <w:left w:val="nil"/>
              <w:right w:val="nil"/>
            </w:tcBorders>
          </w:tcPr>
          <w:p w14:paraId="24EAD56F" w14:textId="77777777" w:rsidR="00E63454" w:rsidRPr="000627F8" w:rsidRDefault="00E63454" w:rsidP="00E63454">
            <w:pPr>
              <w:rPr>
                <w:rFonts w:cs="Calibri"/>
                <w:b/>
                <w:bCs/>
              </w:rPr>
            </w:pPr>
          </w:p>
        </w:tc>
        <w:tc>
          <w:tcPr>
            <w:tcW w:w="2268" w:type="dxa"/>
            <w:tcBorders>
              <w:left w:val="nil"/>
              <w:right w:val="nil"/>
            </w:tcBorders>
          </w:tcPr>
          <w:p w14:paraId="600AB945" w14:textId="77777777" w:rsidR="00E63454" w:rsidRPr="000627F8" w:rsidRDefault="00E63454" w:rsidP="00E63454">
            <w:pPr>
              <w:rPr>
                <w:rFonts w:cs="Calibri"/>
                <w:b/>
                <w:bCs/>
              </w:rPr>
            </w:pPr>
          </w:p>
        </w:tc>
        <w:tc>
          <w:tcPr>
            <w:tcW w:w="2126" w:type="dxa"/>
            <w:tcBorders>
              <w:left w:val="nil"/>
              <w:right w:val="nil"/>
            </w:tcBorders>
          </w:tcPr>
          <w:p w14:paraId="167283E1" w14:textId="77777777" w:rsidR="00E63454" w:rsidRPr="000627F8" w:rsidRDefault="00E63454" w:rsidP="00E63454">
            <w:pPr>
              <w:rPr>
                <w:rFonts w:cs="Calibri"/>
                <w:b/>
                <w:bCs/>
              </w:rPr>
            </w:pPr>
          </w:p>
        </w:tc>
        <w:tc>
          <w:tcPr>
            <w:tcW w:w="2268" w:type="dxa"/>
            <w:tcBorders>
              <w:left w:val="nil"/>
              <w:right w:val="nil"/>
            </w:tcBorders>
          </w:tcPr>
          <w:p w14:paraId="423A1339" w14:textId="77777777" w:rsidR="00E63454" w:rsidRPr="000627F8" w:rsidRDefault="00E63454" w:rsidP="00E63454">
            <w:pPr>
              <w:rPr>
                <w:rFonts w:cs="Calibri"/>
                <w:b/>
                <w:bCs/>
              </w:rPr>
            </w:pPr>
          </w:p>
        </w:tc>
      </w:tr>
      <w:tr w:rsidR="00E63454" w14:paraId="7D2C9EE1" w14:textId="77777777" w:rsidTr="0004564D">
        <w:tc>
          <w:tcPr>
            <w:tcW w:w="1559" w:type="dxa"/>
            <w:tcBorders>
              <w:left w:val="single" w:sz="4" w:space="0" w:color="auto"/>
              <w:right w:val="single" w:sz="4" w:space="0" w:color="auto"/>
            </w:tcBorders>
          </w:tcPr>
          <w:p w14:paraId="2B7BCA3D" w14:textId="2845958C" w:rsidR="00E63454" w:rsidRPr="000627F8" w:rsidRDefault="00E63454" w:rsidP="00E63454">
            <w:pPr>
              <w:rPr>
                <w:rFonts w:cs="Calibri"/>
                <w:b/>
                <w:bCs/>
                <w:color w:val="7030A0"/>
              </w:rPr>
            </w:pPr>
            <w:r w:rsidRPr="000627F8">
              <w:rPr>
                <w:rFonts w:cs="Calibri"/>
                <w:color w:val="7030A0"/>
                <w:sz w:val="14"/>
                <w:szCs w:val="14"/>
              </w:rPr>
              <w:t>ASB 137.84(c)</w:t>
            </w:r>
          </w:p>
        </w:tc>
        <w:tc>
          <w:tcPr>
            <w:tcW w:w="4820" w:type="dxa"/>
            <w:tcBorders>
              <w:left w:val="single" w:sz="4" w:space="0" w:color="auto"/>
              <w:right w:val="nil"/>
            </w:tcBorders>
          </w:tcPr>
          <w:p w14:paraId="470A5CB4" w14:textId="4DC72705" w:rsidR="00E63454" w:rsidRPr="000627F8" w:rsidRDefault="00E63454" w:rsidP="00E63454">
            <w:pPr>
              <w:rPr>
                <w:rFonts w:cs="Calibri"/>
                <w:b/>
                <w:bCs/>
              </w:rPr>
            </w:pPr>
            <w:r w:rsidRPr="000627F8">
              <w:rPr>
                <w:rFonts w:asciiTheme="minorHAnsi" w:hAnsiTheme="minorHAnsi" w:cstheme="minorHAnsi"/>
                <w:sz w:val="18"/>
                <w:szCs w:val="18"/>
              </w:rPr>
              <w:t>Reduction in Provision as a Result of Payments</w:t>
            </w:r>
          </w:p>
        </w:tc>
        <w:tc>
          <w:tcPr>
            <w:tcW w:w="2268" w:type="dxa"/>
            <w:tcBorders>
              <w:left w:val="nil"/>
              <w:right w:val="nil"/>
            </w:tcBorders>
          </w:tcPr>
          <w:p w14:paraId="7393375C" w14:textId="77777777" w:rsidR="00E63454" w:rsidRPr="000627F8" w:rsidRDefault="00E63454" w:rsidP="00E63454">
            <w:pPr>
              <w:rPr>
                <w:rFonts w:cs="Calibri"/>
                <w:b/>
                <w:bCs/>
              </w:rPr>
            </w:pPr>
          </w:p>
        </w:tc>
        <w:tc>
          <w:tcPr>
            <w:tcW w:w="2268" w:type="dxa"/>
            <w:tcBorders>
              <w:left w:val="nil"/>
              <w:right w:val="nil"/>
            </w:tcBorders>
          </w:tcPr>
          <w:p w14:paraId="71BFB9AF" w14:textId="77777777" w:rsidR="00E63454" w:rsidRPr="000627F8" w:rsidRDefault="00E63454" w:rsidP="00E63454">
            <w:pPr>
              <w:rPr>
                <w:rFonts w:cs="Calibri"/>
                <w:b/>
                <w:bCs/>
              </w:rPr>
            </w:pPr>
          </w:p>
        </w:tc>
        <w:tc>
          <w:tcPr>
            <w:tcW w:w="2126" w:type="dxa"/>
            <w:tcBorders>
              <w:left w:val="nil"/>
              <w:right w:val="nil"/>
            </w:tcBorders>
          </w:tcPr>
          <w:p w14:paraId="634352C0" w14:textId="77777777" w:rsidR="00E63454" w:rsidRPr="000627F8" w:rsidRDefault="00E63454" w:rsidP="00E63454">
            <w:pPr>
              <w:rPr>
                <w:rFonts w:cs="Calibri"/>
                <w:b/>
                <w:bCs/>
              </w:rPr>
            </w:pPr>
          </w:p>
        </w:tc>
        <w:tc>
          <w:tcPr>
            <w:tcW w:w="2268" w:type="dxa"/>
            <w:tcBorders>
              <w:left w:val="nil"/>
              <w:right w:val="nil"/>
            </w:tcBorders>
          </w:tcPr>
          <w:p w14:paraId="28CA8A69" w14:textId="77777777" w:rsidR="00E63454" w:rsidRPr="000627F8" w:rsidRDefault="00E63454" w:rsidP="00E63454">
            <w:pPr>
              <w:rPr>
                <w:rFonts w:cs="Calibri"/>
                <w:b/>
                <w:bCs/>
              </w:rPr>
            </w:pPr>
          </w:p>
        </w:tc>
      </w:tr>
      <w:tr w:rsidR="00E63454" w14:paraId="544502BE" w14:textId="77777777" w:rsidTr="0004564D">
        <w:tc>
          <w:tcPr>
            <w:tcW w:w="1559" w:type="dxa"/>
            <w:tcBorders>
              <w:left w:val="single" w:sz="4" w:space="0" w:color="auto"/>
              <w:right w:val="single" w:sz="4" w:space="0" w:color="auto"/>
            </w:tcBorders>
          </w:tcPr>
          <w:p w14:paraId="33D81B8B" w14:textId="3104074F" w:rsidR="00E63454" w:rsidRPr="000627F8" w:rsidRDefault="00E63454" w:rsidP="00E63454">
            <w:pPr>
              <w:rPr>
                <w:rFonts w:cs="Calibri"/>
                <w:b/>
                <w:bCs/>
                <w:color w:val="7030A0"/>
              </w:rPr>
            </w:pPr>
            <w:r w:rsidRPr="000627F8">
              <w:rPr>
                <w:rFonts w:cs="Calibri"/>
                <w:color w:val="7030A0"/>
                <w:sz w:val="14"/>
                <w:szCs w:val="14"/>
              </w:rPr>
              <w:t>ASB 137.84(c)</w:t>
            </w:r>
          </w:p>
        </w:tc>
        <w:tc>
          <w:tcPr>
            <w:tcW w:w="4820" w:type="dxa"/>
            <w:tcBorders>
              <w:left w:val="single" w:sz="4" w:space="0" w:color="auto"/>
              <w:right w:val="nil"/>
            </w:tcBorders>
          </w:tcPr>
          <w:p w14:paraId="04A57C71" w14:textId="29CB1FA2" w:rsidR="00E63454" w:rsidRPr="000627F8" w:rsidRDefault="00E63454" w:rsidP="00E63454">
            <w:pPr>
              <w:rPr>
                <w:rFonts w:cs="Calibri"/>
                <w:b/>
                <w:bCs/>
              </w:rPr>
            </w:pPr>
            <w:r w:rsidRPr="000627F8">
              <w:rPr>
                <w:rFonts w:asciiTheme="minorHAnsi" w:hAnsiTheme="minorHAnsi" w:cstheme="minorHAnsi"/>
                <w:sz w:val="18"/>
                <w:szCs w:val="18"/>
              </w:rPr>
              <w:t>Reduction in Provision due to a Change in Accounting Estimate</w:t>
            </w:r>
          </w:p>
        </w:tc>
        <w:tc>
          <w:tcPr>
            <w:tcW w:w="2268" w:type="dxa"/>
            <w:tcBorders>
              <w:left w:val="nil"/>
              <w:right w:val="nil"/>
            </w:tcBorders>
          </w:tcPr>
          <w:p w14:paraId="5BA39F77" w14:textId="77777777" w:rsidR="00E63454" w:rsidRPr="000627F8" w:rsidRDefault="00E63454" w:rsidP="00E63454">
            <w:pPr>
              <w:rPr>
                <w:rFonts w:cs="Calibri"/>
                <w:b/>
                <w:bCs/>
              </w:rPr>
            </w:pPr>
          </w:p>
        </w:tc>
        <w:tc>
          <w:tcPr>
            <w:tcW w:w="2268" w:type="dxa"/>
            <w:tcBorders>
              <w:left w:val="nil"/>
              <w:right w:val="nil"/>
            </w:tcBorders>
          </w:tcPr>
          <w:p w14:paraId="2F297CB6" w14:textId="77777777" w:rsidR="00E63454" w:rsidRPr="000627F8" w:rsidRDefault="00E63454" w:rsidP="00E63454">
            <w:pPr>
              <w:rPr>
                <w:rFonts w:cs="Calibri"/>
                <w:b/>
                <w:bCs/>
              </w:rPr>
            </w:pPr>
          </w:p>
        </w:tc>
        <w:tc>
          <w:tcPr>
            <w:tcW w:w="2126" w:type="dxa"/>
            <w:tcBorders>
              <w:left w:val="nil"/>
              <w:right w:val="nil"/>
            </w:tcBorders>
          </w:tcPr>
          <w:p w14:paraId="65A21BD8" w14:textId="77777777" w:rsidR="00E63454" w:rsidRPr="000627F8" w:rsidRDefault="00E63454" w:rsidP="00E63454">
            <w:pPr>
              <w:rPr>
                <w:rFonts w:cs="Calibri"/>
                <w:b/>
                <w:bCs/>
              </w:rPr>
            </w:pPr>
          </w:p>
        </w:tc>
        <w:tc>
          <w:tcPr>
            <w:tcW w:w="2268" w:type="dxa"/>
            <w:tcBorders>
              <w:left w:val="nil"/>
              <w:right w:val="nil"/>
            </w:tcBorders>
          </w:tcPr>
          <w:p w14:paraId="1713237C" w14:textId="77777777" w:rsidR="00E63454" w:rsidRPr="000627F8" w:rsidRDefault="00E63454" w:rsidP="00E63454">
            <w:pPr>
              <w:rPr>
                <w:rFonts w:cs="Calibri"/>
                <w:b/>
                <w:bCs/>
              </w:rPr>
            </w:pPr>
          </w:p>
        </w:tc>
      </w:tr>
      <w:tr w:rsidR="00E63454" w14:paraId="63158917" w14:textId="77777777" w:rsidTr="0004564D">
        <w:tc>
          <w:tcPr>
            <w:tcW w:w="1559" w:type="dxa"/>
            <w:tcBorders>
              <w:left w:val="single" w:sz="4" w:space="0" w:color="auto"/>
              <w:right w:val="single" w:sz="4" w:space="0" w:color="auto"/>
            </w:tcBorders>
          </w:tcPr>
          <w:p w14:paraId="768723CA" w14:textId="2DD6B750" w:rsidR="00E63454" w:rsidRPr="000627F8" w:rsidRDefault="00E63454" w:rsidP="00E63454">
            <w:pPr>
              <w:rPr>
                <w:rFonts w:cs="Calibri"/>
                <w:b/>
                <w:bCs/>
                <w:color w:val="7030A0"/>
              </w:rPr>
            </w:pPr>
            <w:r w:rsidRPr="000627F8">
              <w:rPr>
                <w:rFonts w:cs="Calibri"/>
                <w:color w:val="7030A0"/>
                <w:sz w:val="14"/>
                <w:szCs w:val="14"/>
              </w:rPr>
              <w:t>AASB 137.84(d)</w:t>
            </w:r>
          </w:p>
        </w:tc>
        <w:tc>
          <w:tcPr>
            <w:tcW w:w="4820" w:type="dxa"/>
            <w:tcBorders>
              <w:left w:val="single" w:sz="4" w:space="0" w:color="auto"/>
              <w:right w:val="nil"/>
            </w:tcBorders>
          </w:tcPr>
          <w:p w14:paraId="3974E462" w14:textId="12ADD7BE" w:rsidR="00E63454" w:rsidRPr="000627F8" w:rsidRDefault="00E63454" w:rsidP="00E63454">
            <w:pPr>
              <w:rPr>
                <w:rFonts w:cs="Calibri"/>
                <w:b/>
                <w:bCs/>
              </w:rPr>
            </w:pPr>
            <w:r w:rsidRPr="000627F8">
              <w:rPr>
                <w:rFonts w:cstheme="minorHAnsi"/>
                <w:sz w:val="18"/>
                <w:szCs w:val="18"/>
              </w:rPr>
              <w:t>Provision reversed during the Year</w:t>
            </w:r>
          </w:p>
        </w:tc>
        <w:tc>
          <w:tcPr>
            <w:tcW w:w="2268" w:type="dxa"/>
            <w:tcBorders>
              <w:left w:val="nil"/>
              <w:right w:val="nil"/>
            </w:tcBorders>
          </w:tcPr>
          <w:p w14:paraId="546A61EF" w14:textId="77777777" w:rsidR="00E63454" w:rsidRPr="000627F8" w:rsidRDefault="00E63454" w:rsidP="00E63454">
            <w:pPr>
              <w:rPr>
                <w:rFonts w:cs="Calibri"/>
                <w:b/>
                <w:bCs/>
              </w:rPr>
            </w:pPr>
          </w:p>
        </w:tc>
        <w:tc>
          <w:tcPr>
            <w:tcW w:w="2268" w:type="dxa"/>
            <w:tcBorders>
              <w:left w:val="nil"/>
              <w:right w:val="nil"/>
            </w:tcBorders>
          </w:tcPr>
          <w:p w14:paraId="103C01F7" w14:textId="77777777" w:rsidR="00E63454" w:rsidRPr="000627F8" w:rsidRDefault="00E63454" w:rsidP="00E63454">
            <w:pPr>
              <w:rPr>
                <w:rFonts w:cs="Calibri"/>
                <w:b/>
                <w:bCs/>
              </w:rPr>
            </w:pPr>
          </w:p>
        </w:tc>
        <w:tc>
          <w:tcPr>
            <w:tcW w:w="2126" w:type="dxa"/>
            <w:tcBorders>
              <w:left w:val="nil"/>
              <w:right w:val="nil"/>
            </w:tcBorders>
          </w:tcPr>
          <w:p w14:paraId="69242909" w14:textId="77777777" w:rsidR="00E63454" w:rsidRPr="000627F8" w:rsidRDefault="00E63454" w:rsidP="00E63454">
            <w:pPr>
              <w:rPr>
                <w:rFonts w:cs="Calibri"/>
                <w:b/>
                <w:bCs/>
              </w:rPr>
            </w:pPr>
          </w:p>
        </w:tc>
        <w:tc>
          <w:tcPr>
            <w:tcW w:w="2268" w:type="dxa"/>
            <w:tcBorders>
              <w:left w:val="nil"/>
              <w:right w:val="nil"/>
            </w:tcBorders>
          </w:tcPr>
          <w:p w14:paraId="2B4722FA" w14:textId="77777777" w:rsidR="00E63454" w:rsidRPr="000627F8" w:rsidRDefault="00E63454" w:rsidP="00E63454">
            <w:pPr>
              <w:rPr>
                <w:rFonts w:cs="Calibri"/>
                <w:b/>
                <w:bCs/>
              </w:rPr>
            </w:pPr>
          </w:p>
        </w:tc>
      </w:tr>
      <w:tr w:rsidR="00E63454" w14:paraId="37E52F04" w14:textId="77777777" w:rsidTr="0004564D">
        <w:tc>
          <w:tcPr>
            <w:tcW w:w="1559" w:type="dxa"/>
            <w:tcBorders>
              <w:left w:val="single" w:sz="4" w:space="0" w:color="auto"/>
              <w:right w:val="single" w:sz="4" w:space="0" w:color="auto"/>
            </w:tcBorders>
          </w:tcPr>
          <w:p w14:paraId="4C392101" w14:textId="68B33D85" w:rsidR="00E63454" w:rsidRPr="000627F8" w:rsidRDefault="00E63454" w:rsidP="00E63454">
            <w:pPr>
              <w:rPr>
                <w:rFonts w:cs="Calibri"/>
                <w:b/>
                <w:bCs/>
                <w:color w:val="7030A0"/>
              </w:rPr>
            </w:pPr>
            <w:r w:rsidRPr="000627F8">
              <w:rPr>
                <w:rFonts w:cs="Calibri"/>
                <w:color w:val="7030A0"/>
                <w:sz w:val="14"/>
                <w:szCs w:val="14"/>
              </w:rPr>
              <w:t>AASB 137.84(e)</w:t>
            </w:r>
          </w:p>
        </w:tc>
        <w:tc>
          <w:tcPr>
            <w:tcW w:w="4820" w:type="dxa"/>
            <w:tcBorders>
              <w:left w:val="single" w:sz="4" w:space="0" w:color="auto"/>
              <w:right w:val="nil"/>
            </w:tcBorders>
          </w:tcPr>
          <w:p w14:paraId="46B4018C" w14:textId="485F4AA5" w:rsidR="00E63454" w:rsidRPr="000627F8" w:rsidRDefault="00E63454" w:rsidP="00E63454">
            <w:pPr>
              <w:rPr>
                <w:rFonts w:cs="Calibri"/>
                <w:b/>
                <w:bCs/>
              </w:rPr>
            </w:pPr>
            <w:r w:rsidRPr="000627F8">
              <w:rPr>
                <w:rFonts w:asciiTheme="minorHAnsi" w:hAnsiTheme="minorHAnsi" w:cstheme="minorHAnsi"/>
                <w:sz w:val="18"/>
                <w:szCs w:val="18"/>
              </w:rPr>
              <w:t>Unwinding of discount or change in discount rate</w:t>
            </w:r>
          </w:p>
        </w:tc>
        <w:tc>
          <w:tcPr>
            <w:tcW w:w="2268" w:type="dxa"/>
            <w:tcBorders>
              <w:left w:val="nil"/>
              <w:bottom w:val="single" w:sz="4" w:space="0" w:color="auto"/>
              <w:right w:val="nil"/>
            </w:tcBorders>
          </w:tcPr>
          <w:p w14:paraId="02AC3E11" w14:textId="77777777" w:rsidR="00E63454" w:rsidRPr="000627F8" w:rsidRDefault="00E63454" w:rsidP="00E63454">
            <w:pPr>
              <w:rPr>
                <w:rFonts w:cs="Calibri"/>
                <w:b/>
                <w:bCs/>
              </w:rPr>
            </w:pPr>
          </w:p>
        </w:tc>
        <w:tc>
          <w:tcPr>
            <w:tcW w:w="2268" w:type="dxa"/>
            <w:tcBorders>
              <w:left w:val="nil"/>
              <w:bottom w:val="single" w:sz="4" w:space="0" w:color="auto"/>
              <w:right w:val="nil"/>
            </w:tcBorders>
          </w:tcPr>
          <w:p w14:paraId="24D5BC5D" w14:textId="77777777" w:rsidR="00E63454" w:rsidRPr="000627F8" w:rsidRDefault="00E63454" w:rsidP="00E63454">
            <w:pPr>
              <w:rPr>
                <w:rFonts w:cs="Calibri"/>
                <w:b/>
                <w:bCs/>
              </w:rPr>
            </w:pPr>
          </w:p>
        </w:tc>
        <w:tc>
          <w:tcPr>
            <w:tcW w:w="2126" w:type="dxa"/>
            <w:tcBorders>
              <w:left w:val="nil"/>
              <w:bottom w:val="single" w:sz="4" w:space="0" w:color="auto"/>
              <w:right w:val="nil"/>
            </w:tcBorders>
          </w:tcPr>
          <w:p w14:paraId="36A7F961" w14:textId="77777777" w:rsidR="00E63454" w:rsidRPr="000627F8" w:rsidRDefault="00E63454" w:rsidP="00E63454">
            <w:pPr>
              <w:rPr>
                <w:rFonts w:cs="Calibri"/>
                <w:b/>
                <w:bCs/>
              </w:rPr>
            </w:pPr>
          </w:p>
        </w:tc>
        <w:tc>
          <w:tcPr>
            <w:tcW w:w="2268" w:type="dxa"/>
            <w:tcBorders>
              <w:left w:val="nil"/>
              <w:bottom w:val="single" w:sz="4" w:space="0" w:color="auto"/>
              <w:right w:val="nil"/>
            </w:tcBorders>
          </w:tcPr>
          <w:p w14:paraId="6516D48E" w14:textId="77777777" w:rsidR="00E63454" w:rsidRPr="000627F8" w:rsidRDefault="00E63454" w:rsidP="00E63454">
            <w:pPr>
              <w:rPr>
                <w:rFonts w:cs="Calibri"/>
                <w:b/>
                <w:bCs/>
              </w:rPr>
            </w:pPr>
          </w:p>
        </w:tc>
      </w:tr>
      <w:tr w:rsidR="00E63454" w14:paraId="60402FDF" w14:textId="77777777" w:rsidTr="0004564D">
        <w:tc>
          <w:tcPr>
            <w:tcW w:w="1559" w:type="dxa"/>
            <w:tcBorders>
              <w:left w:val="single" w:sz="4" w:space="0" w:color="auto"/>
              <w:right w:val="single" w:sz="4" w:space="0" w:color="auto"/>
            </w:tcBorders>
          </w:tcPr>
          <w:p w14:paraId="072AAA29" w14:textId="77777777" w:rsidR="00E63454" w:rsidRPr="000627F8" w:rsidRDefault="00E63454" w:rsidP="00E63454">
            <w:pPr>
              <w:rPr>
                <w:rFonts w:cs="Calibri"/>
                <w:color w:val="7030A0"/>
                <w:sz w:val="14"/>
                <w:szCs w:val="14"/>
              </w:rPr>
            </w:pPr>
            <w:r w:rsidRPr="000627F8">
              <w:rPr>
                <w:rFonts w:cs="Calibri"/>
                <w:color w:val="7030A0"/>
                <w:sz w:val="14"/>
                <w:szCs w:val="14"/>
              </w:rPr>
              <w:t>AASB 137.84 (a)</w:t>
            </w:r>
          </w:p>
          <w:p w14:paraId="6E4987B7" w14:textId="3F324916" w:rsidR="00EB1058" w:rsidRPr="000627F8" w:rsidRDefault="00EB1058" w:rsidP="00E63454">
            <w:pPr>
              <w:rPr>
                <w:rFonts w:cs="Calibri"/>
                <w:b/>
                <w:bCs/>
                <w:color w:val="7030A0"/>
              </w:rPr>
            </w:pPr>
          </w:p>
        </w:tc>
        <w:tc>
          <w:tcPr>
            <w:tcW w:w="4820" w:type="dxa"/>
            <w:tcBorders>
              <w:left w:val="single" w:sz="4" w:space="0" w:color="auto"/>
              <w:right w:val="nil"/>
            </w:tcBorders>
          </w:tcPr>
          <w:p w14:paraId="15E85A77" w14:textId="3D6F8E2D" w:rsidR="00E63454" w:rsidRPr="000627F8" w:rsidRDefault="00E63454" w:rsidP="00E63454">
            <w:pPr>
              <w:rPr>
                <w:rFonts w:cs="Calibri"/>
                <w:b/>
                <w:bCs/>
              </w:rPr>
            </w:pPr>
            <w:r w:rsidRPr="000627F8">
              <w:rPr>
                <w:b/>
                <w:bCs/>
                <w:sz w:val="18"/>
                <w:szCs w:val="18"/>
              </w:rPr>
              <w:t>Provision at the End of the Reporting Period</w:t>
            </w:r>
          </w:p>
        </w:tc>
        <w:tc>
          <w:tcPr>
            <w:tcW w:w="2268" w:type="dxa"/>
            <w:tcBorders>
              <w:top w:val="single" w:sz="4" w:space="0" w:color="auto"/>
              <w:left w:val="nil"/>
              <w:bottom w:val="double" w:sz="4" w:space="0" w:color="auto"/>
              <w:right w:val="nil"/>
            </w:tcBorders>
          </w:tcPr>
          <w:p w14:paraId="0DE338C3" w14:textId="77777777" w:rsidR="00E63454" w:rsidRPr="000627F8" w:rsidRDefault="00E63454" w:rsidP="00E63454">
            <w:pPr>
              <w:rPr>
                <w:rFonts w:cs="Calibri"/>
                <w:b/>
                <w:bCs/>
              </w:rPr>
            </w:pPr>
          </w:p>
        </w:tc>
        <w:tc>
          <w:tcPr>
            <w:tcW w:w="2268" w:type="dxa"/>
            <w:tcBorders>
              <w:top w:val="single" w:sz="4" w:space="0" w:color="auto"/>
              <w:left w:val="nil"/>
              <w:bottom w:val="double" w:sz="4" w:space="0" w:color="auto"/>
              <w:right w:val="nil"/>
            </w:tcBorders>
          </w:tcPr>
          <w:p w14:paraId="610546C9" w14:textId="77777777" w:rsidR="00E63454" w:rsidRPr="000627F8" w:rsidRDefault="00E63454" w:rsidP="00E63454">
            <w:pPr>
              <w:rPr>
                <w:rFonts w:cs="Calibri"/>
                <w:b/>
                <w:bCs/>
              </w:rPr>
            </w:pPr>
          </w:p>
        </w:tc>
        <w:tc>
          <w:tcPr>
            <w:tcW w:w="2126" w:type="dxa"/>
            <w:tcBorders>
              <w:top w:val="single" w:sz="4" w:space="0" w:color="auto"/>
              <w:left w:val="nil"/>
              <w:bottom w:val="double" w:sz="4" w:space="0" w:color="auto"/>
              <w:right w:val="nil"/>
            </w:tcBorders>
          </w:tcPr>
          <w:p w14:paraId="227984D5" w14:textId="77777777" w:rsidR="00E63454" w:rsidRPr="000627F8" w:rsidRDefault="00E63454" w:rsidP="00E63454">
            <w:pPr>
              <w:rPr>
                <w:rFonts w:cs="Calibri"/>
                <w:b/>
                <w:bCs/>
              </w:rPr>
            </w:pPr>
          </w:p>
        </w:tc>
        <w:tc>
          <w:tcPr>
            <w:tcW w:w="2268" w:type="dxa"/>
            <w:tcBorders>
              <w:top w:val="single" w:sz="4" w:space="0" w:color="auto"/>
              <w:left w:val="nil"/>
              <w:bottom w:val="double" w:sz="4" w:space="0" w:color="auto"/>
              <w:right w:val="nil"/>
            </w:tcBorders>
          </w:tcPr>
          <w:p w14:paraId="2AE9A3DD" w14:textId="77777777" w:rsidR="00E63454" w:rsidRPr="000627F8" w:rsidRDefault="00E63454" w:rsidP="00E63454">
            <w:pPr>
              <w:rPr>
                <w:rFonts w:cs="Calibri"/>
                <w:b/>
                <w:bCs/>
              </w:rPr>
            </w:pPr>
          </w:p>
        </w:tc>
      </w:tr>
    </w:tbl>
    <w:p w14:paraId="071C3ECA" w14:textId="61A1787D" w:rsidR="00E63454" w:rsidRDefault="00E63454">
      <w:pPr>
        <w:rPr>
          <w:rFonts w:cs="Calibri"/>
          <w:b/>
          <w:bCs/>
        </w:rPr>
      </w:pPr>
    </w:p>
    <w:p w14:paraId="0A983A97" w14:textId="0D0C6AE8" w:rsidR="00E63454" w:rsidRDefault="00E63454">
      <w:pPr>
        <w:rPr>
          <w:rFonts w:cs="Calibri"/>
          <w:b/>
          <w:bCs/>
        </w:rPr>
      </w:pPr>
    </w:p>
    <w:p w14:paraId="56CCC1FA" w14:textId="083A88B6" w:rsidR="00E63454" w:rsidRDefault="00E63454">
      <w:pPr>
        <w:rPr>
          <w:rFonts w:cs="Calibri"/>
          <w:b/>
          <w:bCs/>
        </w:rPr>
      </w:pPr>
    </w:p>
    <w:p w14:paraId="489B6F61" w14:textId="0E0CBE19" w:rsidR="00E63454" w:rsidRDefault="00E63454">
      <w:pPr>
        <w:rPr>
          <w:rFonts w:cs="Calibri"/>
          <w:b/>
          <w:bCs/>
        </w:rPr>
      </w:pPr>
    </w:p>
    <w:p w14:paraId="19E5811A" w14:textId="149688E2" w:rsidR="00E63454" w:rsidRDefault="00E63454">
      <w:pPr>
        <w:rPr>
          <w:rFonts w:cs="Calibri"/>
          <w:b/>
          <w:bCs/>
        </w:rPr>
      </w:pPr>
    </w:p>
    <w:p w14:paraId="6E0DEFAF" w14:textId="27B10583" w:rsidR="00E63454" w:rsidRDefault="00E63454">
      <w:pPr>
        <w:rPr>
          <w:rFonts w:cs="Calibri"/>
          <w:b/>
          <w:bCs/>
        </w:rPr>
      </w:pPr>
    </w:p>
    <w:p w14:paraId="4D2D2CA9" w14:textId="59172077" w:rsidR="00E63454" w:rsidRDefault="00E63454">
      <w:pPr>
        <w:rPr>
          <w:rFonts w:cs="Calibri"/>
          <w:b/>
          <w:bCs/>
        </w:rPr>
      </w:pPr>
    </w:p>
    <w:p w14:paraId="67456399" w14:textId="6C0AD3C6" w:rsidR="00E63454" w:rsidRDefault="00E63454">
      <w:pPr>
        <w:rPr>
          <w:rFonts w:cs="Calibri"/>
          <w:b/>
          <w:bCs/>
        </w:rPr>
      </w:pPr>
    </w:p>
    <w:p w14:paraId="766B420C" w14:textId="0BD1AE97" w:rsidR="00E63454" w:rsidRDefault="00E63454">
      <w:pPr>
        <w:rPr>
          <w:rFonts w:cs="Calibri"/>
          <w:b/>
          <w:bCs/>
        </w:rPr>
      </w:pPr>
    </w:p>
    <w:p w14:paraId="06237D73" w14:textId="1A9046CC" w:rsidR="00E63454" w:rsidRDefault="00E63454">
      <w:pPr>
        <w:rPr>
          <w:rFonts w:cs="Calibri"/>
          <w:b/>
          <w:bCs/>
        </w:rPr>
      </w:pPr>
    </w:p>
    <w:p w14:paraId="2BF8C56B" w14:textId="01BA7463" w:rsidR="00E63454" w:rsidRDefault="00E63454">
      <w:pPr>
        <w:rPr>
          <w:rFonts w:cs="Calibri"/>
          <w:b/>
          <w:bCs/>
        </w:rPr>
      </w:pPr>
    </w:p>
    <w:p w14:paraId="690FBD9F" w14:textId="1BEA7DCB" w:rsidR="00E63454" w:rsidRDefault="00E63454">
      <w:pPr>
        <w:rPr>
          <w:rFonts w:cs="Calibri"/>
          <w:b/>
          <w:bCs/>
        </w:rPr>
      </w:pPr>
    </w:p>
    <w:p w14:paraId="0DE896FC" w14:textId="2EF50AE7" w:rsidR="00E63454" w:rsidRDefault="00E63454">
      <w:pPr>
        <w:rPr>
          <w:rFonts w:cs="Calibri"/>
          <w:b/>
          <w:bCs/>
        </w:rPr>
      </w:pPr>
    </w:p>
    <w:p w14:paraId="09B01318" w14:textId="42D924A9" w:rsidR="00E63454" w:rsidRDefault="00E63454">
      <w:pPr>
        <w:rPr>
          <w:rFonts w:cs="Calibri"/>
          <w:b/>
          <w:bCs/>
        </w:rPr>
      </w:pPr>
    </w:p>
    <w:p w14:paraId="1F602FED" w14:textId="481B6A58" w:rsidR="00E63454" w:rsidRDefault="00E63454">
      <w:pPr>
        <w:rPr>
          <w:rFonts w:cs="Calibri"/>
          <w:b/>
          <w:bCs/>
        </w:rPr>
      </w:pPr>
    </w:p>
    <w:p w14:paraId="62865E71" w14:textId="77777777" w:rsidR="00E63454" w:rsidRDefault="00E63454">
      <w:pPr>
        <w:rPr>
          <w:rFonts w:cs="Calibri"/>
          <w:b/>
          <w:bCs/>
        </w:rPr>
        <w:sectPr w:rsidR="00E63454" w:rsidSect="00E63454">
          <w:footnotePr>
            <w:numRestart w:val="eachPage"/>
          </w:footnotePr>
          <w:pgSz w:w="16840" w:h="11907" w:orient="landscape" w:code="9"/>
          <w:pgMar w:top="680" w:right="567" w:bottom="680" w:left="567" w:header="720" w:footer="313" w:gutter="0"/>
          <w:cols w:space="720"/>
          <w:docGrid w:linePitch="326"/>
        </w:sectPr>
      </w:pPr>
    </w:p>
    <w:tbl>
      <w:tblPr>
        <w:tblW w:w="10490" w:type="dxa"/>
        <w:tblInd w:w="-3" w:type="dxa"/>
        <w:shd w:val="clear" w:color="auto" w:fill="CCFFCC"/>
        <w:tblLayout w:type="fixed"/>
        <w:tblLook w:val="00A0" w:firstRow="1" w:lastRow="0" w:firstColumn="1" w:lastColumn="0" w:noHBand="0" w:noVBand="0"/>
      </w:tblPr>
      <w:tblGrid>
        <w:gridCol w:w="1560"/>
        <w:gridCol w:w="8930"/>
      </w:tblGrid>
      <w:tr w:rsidR="000144FF" w:rsidRPr="00CF7E1B" w14:paraId="51DD7123" w14:textId="77777777" w:rsidTr="0004564D">
        <w:trPr>
          <w:trHeight w:val="397"/>
        </w:trPr>
        <w:tc>
          <w:tcPr>
            <w:tcW w:w="1560" w:type="dxa"/>
            <w:tcBorders>
              <w:left w:val="single" w:sz="2" w:space="0" w:color="auto"/>
              <w:right w:val="single" w:sz="2" w:space="0" w:color="auto"/>
            </w:tcBorders>
          </w:tcPr>
          <w:p w14:paraId="0358BBC2" w14:textId="0A8BBD44" w:rsidR="000144FF" w:rsidRPr="000627F8" w:rsidRDefault="000627F8" w:rsidP="00BB2E31">
            <w:pPr>
              <w:pStyle w:val="TableReference"/>
              <w:tabs>
                <w:tab w:val="left" w:pos="3306"/>
              </w:tabs>
              <w:spacing w:after="240"/>
              <w:rPr>
                <w:rFonts w:cs="Calibri"/>
                <w:color w:val="7030A0"/>
                <w:sz w:val="22"/>
                <w:szCs w:val="22"/>
              </w:rPr>
            </w:pPr>
            <w:r w:rsidRPr="000627F8">
              <w:rPr>
                <w:rFonts w:cs="Calibri"/>
                <w:b/>
                <w:color w:val="7030A0"/>
                <w:sz w:val="22"/>
                <w:szCs w:val="22"/>
              </w:rPr>
              <w:t>Reference</w:t>
            </w:r>
          </w:p>
        </w:tc>
        <w:tc>
          <w:tcPr>
            <w:tcW w:w="8930" w:type="dxa"/>
            <w:tcBorders>
              <w:left w:val="single" w:sz="2" w:space="0" w:color="auto"/>
            </w:tcBorders>
            <w:shd w:val="clear" w:color="auto" w:fill="7030A0"/>
          </w:tcPr>
          <w:p w14:paraId="7E27A477" w14:textId="3077FA2F" w:rsidR="000144FF" w:rsidRPr="002D20CA" w:rsidRDefault="000144FF" w:rsidP="00BB2E31">
            <w:pPr>
              <w:pStyle w:val="CommentaryTitle"/>
              <w:pageBreakBefore w:val="0"/>
              <w:tabs>
                <w:tab w:val="left" w:pos="3306"/>
              </w:tabs>
              <w:spacing w:before="0" w:after="240"/>
              <w:rPr>
                <w:rFonts w:cs="Calibri"/>
                <w:color w:val="FFFFFF" w:themeColor="background1"/>
                <w:sz w:val="28"/>
                <w:szCs w:val="28"/>
              </w:rPr>
            </w:pPr>
            <w:bookmarkStart w:id="616" w:name="_Toc163106374"/>
            <w:r w:rsidRPr="002D20CA">
              <w:rPr>
                <w:rFonts w:cs="Calibri"/>
                <w:color w:val="FFFFFF" w:themeColor="background1"/>
                <w:sz w:val="28"/>
                <w:szCs w:val="28"/>
              </w:rPr>
              <w:t xml:space="preserve">Commentary </w:t>
            </w:r>
            <w:r w:rsidRPr="002D20CA">
              <w:rPr>
                <w:rFonts w:cs="Calibri"/>
                <w:color w:val="FFFFFF" w:themeColor="background1"/>
                <w:sz w:val="28"/>
                <w:szCs w:val="28"/>
              </w:rPr>
              <w:sym w:font="Symbol" w:char="F02D"/>
            </w:r>
            <w:r w:rsidRPr="002D20CA">
              <w:rPr>
                <w:rFonts w:cs="Calibri"/>
                <w:color w:val="FFFFFF" w:themeColor="background1"/>
                <w:sz w:val="28"/>
                <w:szCs w:val="28"/>
              </w:rPr>
              <w:t xml:space="preserve"> Note </w:t>
            </w:r>
            <w:r w:rsidR="001101E3" w:rsidRPr="002D20CA">
              <w:rPr>
                <w:rFonts w:cs="Calibri"/>
                <w:color w:val="FFFFFF" w:themeColor="background1"/>
                <w:sz w:val="28"/>
                <w:szCs w:val="28"/>
              </w:rPr>
              <w:t>28</w:t>
            </w:r>
            <w:r w:rsidRPr="002D20CA">
              <w:rPr>
                <w:rFonts w:cs="Calibri"/>
                <w:color w:val="FFFFFF" w:themeColor="background1"/>
                <w:sz w:val="28"/>
                <w:szCs w:val="28"/>
              </w:rPr>
              <w:t>: Other Provisions</w:t>
            </w:r>
            <w:bookmarkEnd w:id="616"/>
          </w:p>
        </w:tc>
      </w:tr>
      <w:tr w:rsidR="000144FF" w:rsidRPr="00CF7E1B" w14:paraId="5BFDC157" w14:textId="77777777" w:rsidTr="0004564D">
        <w:trPr>
          <w:trHeight w:val="283"/>
        </w:trPr>
        <w:tc>
          <w:tcPr>
            <w:tcW w:w="1560" w:type="dxa"/>
            <w:tcBorders>
              <w:left w:val="single" w:sz="2" w:space="0" w:color="auto"/>
              <w:right w:val="single" w:sz="2" w:space="0" w:color="auto"/>
            </w:tcBorders>
          </w:tcPr>
          <w:p w14:paraId="4F193D3C"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85</w:t>
            </w:r>
          </w:p>
          <w:p w14:paraId="164F092E" w14:textId="77777777" w:rsidR="000144FF" w:rsidRPr="000627F8" w:rsidRDefault="000144FF">
            <w:pPr>
              <w:pStyle w:val="TableReference"/>
              <w:tabs>
                <w:tab w:val="left" w:pos="3306"/>
              </w:tabs>
              <w:rPr>
                <w:rFonts w:cs="Calibri"/>
                <w:color w:val="7030A0"/>
                <w:sz w:val="14"/>
              </w:rPr>
            </w:pPr>
          </w:p>
          <w:p w14:paraId="711FF024" w14:textId="77777777" w:rsidR="000144FF" w:rsidRPr="000627F8" w:rsidRDefault="000144FF">
            <w:pPr>
              <w:pStyle w:val="TableReference"/>
              <w:tabs>
                <w:tab w:val="left" w:pos="3306"/>
              </w:tabs>
              <w:rPr>
                <w:rFonts w:cs="Calibri"/>
                <w:color w:val="7030A0"/>
                <w:sz w:val="14"/>
              </w:rPr>
            </w:pPr>
          </w:p>
          <w:p w14:paraId="714C8B63" w14:textId="77777777" w:rsidR="000144FF" w:rsidRPr="000627F8" w:rsidRDefault="000144FF">
            <w:pPr>
              <w:pStyle w:val="TableReference"/>
              <w:tabs>
                <w:tab w:val="left" w:pos="3306"/>
              </w:tabs>
              <w:rPr>
                <w:rFonts w:cs="Calibri"/>
                <w:color w:val="7030A0"/>
                <w:sz w:val="14"/>
              </w:rPr>
            </w:pPr>
          </w:p>
          <w:p w14:paraId="208C4DFA" w14:textId="77777777" w:rsidR="000144FF" w:rsidRPr="000627F8" w:rsidRDefault="000144FF">
            <w:pPr>
              <w:pStyle w:val="TableReference"/>
              <w:tabs>
                <w:tab w:val="left" w:pos="3306"/>
              </w:tabs>
              <w:rPr>
                <w:rFonts w:cs="Calibri"/>
                <w:color w:val="7030A0"/>
                <w:sz w:val="14"/>
              </w:rPr>
            </w:pPr>
          </w:p>
          <w:p w14:paraId="5DB71546" w14:textId="77777777" w:rsidR="000144FF" w:rsidRPr="000627F8" w:rsidRDefault="000144FF">
            <w:pPr>
              <w:pStyle w:val="TableReference"/>
              <w:tabs>
                <w:tab w:val="left" w:pos="3306"/>
              </w:tabs>
              <w:rPr>
                <w:rFonts w:cs="Calibri"/>
                <w:color w:val="7030A0"/>
                <w:sz w:val="14"/>
              </w:rPr>
            </w:pPr>
          </w:p>
          <w:p w14:paraId="53B81378" w14:textId="02EA8EDB" w:rsidR="000144FF" w:rsidRPr="000627F8" w:rsidRDefault="000144FF">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57CFB1CB" w14:textId="77777777" w:rsidR="000144FF" w:rsidRPr="002D20CA" w:rsidRDefault="000144FF" w:rsidP="00351FC3">
            <w:pPr>
              <w:pStyle w:val="CommentaryText"/>
              <w:tabs>
                <w:tab w:val="left" w:pos="3306"/>
              </w:tabs>
              <w:spacing w:after="40"/>
              <w:rPr>
                <w:rFonts w:cs="Calibri"/>
                <w:color w:val="FFFFFF" w:themeColor="background1"/>
                <w:sz w:val="18"/>
                <w:szCs w:val="18"/>
              </w:rPr>
            </w:pPr>
            <w:r w:rsidRPr="002D20CA">
              <w:rPr>
                <w:rFonts w:cs="Calibri"/>
                <w:color w:val="FFFFFF" w:themeColor="background1"/>
                <w:sz w:val="18"/>
                <w:szCs w:val="18"/>
              </w:rPr>
              <w:t>For each class of provision the following must be disclosed:</w:t>
            </w:r>
          </w:p>
          <w:p w14:paraId="55E4925C" w14:textId="77777777" w:rsidR="000144FF" w:rsidRPr="002D20CA" w:rsidRDefault="000144FF"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 brief description of the nature of the obligation and the expected timing of any resulting outflow of economic benefits;</w:t>
            </w:r>
          </w:p>
          <w:p w14:paraId="3CCFB68D" w14:textId="49225D53" w:rsidR="000144FF" w:rsidRPr="002D20CA" w:rsidRDefault="000144FF"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an indication of the uncertainties about the amount or timing of those outflows.</w:t>
            </w:r>
            <w:r w:rsidR="00FA7C77">
              <w:rPr>
                <w:rFonts w:cs="Calibri"/>
                <w:color w:val="FFFFFF" w:themeColor="background1"/>
                <w:sz w:val="18"/>
                <w:szCs w:val="18"/>
              </w:rPr>
              <w:t xml:space="preserve"> </w:t>
            </w:r>
            <w:r w:rsidRPr="002D20CA">
              <w:rPr>
                <w:rFonts w:cs="Calibri"/>
                <w:color w:val="FFFFFF" w:themeColor="background1"/>
                <w:sz w:val="18"/>
                <w:szCs w:val="18"/>
              </w:rPr>
              <w:t xml:space="preserve">Where necessary to provide adequate information, </w:t>
            </w:r>
            <w:r w:rsidR="00B96D8D" w:rsidRPr="002D20CA">
              <w:rPr>
                <w:rFonts w:cs="Calibri"/>
                <w:color w:val="FFFFFF" w:themeColor="background1"/>
                <w:sz w:val="18"/>
                <w:szCs w:val="18"/>
              </w:rPr>
              <w:t xml:space="preserve">an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00063247" w:rsidRPr="002D20CA">
              <w:rPr>
                <w:rFonts w:cs="Calibri"/>
                <w:color w:val="FFFFFF" w:themeColor="background1"/>
                <w:sz w:val="18"/>
                <w:szCs w:val="18"/>
              </w:rPr>
              <w:t xml:space="preserve"> </w:t>
            </w:r>
            <w:r w:rsidRPr="002D20CA">
              <w:rPr>
                <w:rFonts w:cs="Calibri"/>
                <w:color w:val="FFFFFF" w:themeColor="background1"/>
                <w:sz w:val="18"/>
                <w:szCs w:val="18"/>
              </w:rPr>
              <w:t>shall disclose the major assumptions made concerning future events;</w:t>
            </w:r>
            <w:r w:rsidR="00514D82" w:rsidRPr="002D20CA">
              <w:rPr>
                <w:rFonts w:cs="Calibri"/>
                <w:color w:val="FFFFFF" w:themeColor="background1"/>
                <w:sz w:val="18"/>
                <w:szCs w:val="18"/>
              </w:rPr>
              <w:t xml:space="preserve"> and</w:t>
            </w:r>
          </w:p>
          <w:p w14:paraId="0D21927F" w14:textId="5788CE5E" w:rsidR="000A26E7" w:rsidRPr="002D20CA" w:rsidRDefault="000144FF"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 xml:space="preserve">the amount of any related estimated reimbursement, stating the amount of any asset recognised for </w:t>
            </w:r>
            <w:r w:rsidR="00514D82" w:rsidRPr="002D20CA">
              <w:rPr>
                <w:rFonts w:cs="Calibri"/>
                <w:color w:val="FFFFFF" w:themeColor="background1"/>
                <w:sz w:val="18"/>
                <w:szCs w:val="18"/>
              </w:rPr>
              <w:t>that expected reimbursement.</w:t>
            </w:r>
          </w:p>
        </w:tc>
      </w:tr>
      <w:tr w:rsidR="00AC7522" w:rsidRPr="00CF7E1B" w14:paraId="79CE87FA" w14:textId="77777777" w:rsidTr="0004564D">
        <w:trPr>
          <w:trHeight w:val="283"/>
        </w:trPr>
        <w:tc>
          <w:tcPr>
            <w:tcW w:w="1560" w:type="dxa"/>
            <w:tcBorders>
              <w:left w:val="single" w:sz="2" w:space="0" w:color="auto"/>
              <w:right w:val="single" w:sz="2" w:space="0" w:color="auto"/>
            </w:tcBorders>
          </w:tcPr>
          <w:p w14:paraId="55C56F4C" w14:textId="7B771C9B" w:rsidR="00AC7522" w:rsidRPr="000627F8" w:rsidRDefault="00AC7522">
            <w:pPr>
              <w:pStyle w:val="TableReference"/>
              <w:tabs>
                <w:tab w:val="left" w:pos="3306"/>
              </w:tabs>
              <w:spacing w:before="60"/>
              <w:rPr>
                <w:rFonts w:cs="Calibri"/>
                <w:color w:val="7030A0"/>
                <w:sz w:val="14"/>
              </w:rPr>
            </w:pPr>
            <w:r w:rsidRPr="000627F8">
              <w:rPr>
                <w:rFonts w:cs="Calibri"/>
                <w:color w:val="7030A0"/>
                <w:sz w:val="14"/>
              </w:rPr>
              <w:t>AASB 137.84</w:t>
            </w:r>
          </w:p>
        </w:tc>
        <w:tc>
          <w:tcPr>
            <w:tcW w:w="8930" w:type="dxa"/>
            <w:tcBorders>
              <w:left w:val="single" w:sz="2" w:space="0" w:color="auto"/>
            </w:tcBorders>
            <w:shd w:val="clear" w:color="auto" w:fill="7030A0"/>
          </w:tcPr>
          <w:p w14:paraId="5B7621DC" w14:textId="77777777" w:rsidR="00AC7522" w:rsidRPr="002D20CA" w:rsidRDefault="00AC7522" w:rsidP="00351FC3">
            <w:pPr>
              <w:pStyle w:val="Commentary-Bullet"/>
              <w:numPr>
                <w:ilvl w:val="0"/>
                <w:numId w:val="0"/>
              </w:numPr>
              <w:spacing w:after="40"/>
              <w:rPr>
                <w:rFonts w:cs="Calibri"/>
                <w:color w:val="FFFFFF" w:themeColor="background1"/>
                <w:sz w:val="18"/>
                <w:szCs w:val="18"/>
              </w:rPr>
            </w:pPr>
            <w:r w:rsidRPr="002D20CA">
              <w:rPr>
                <w:rFonts w:cs="Calibri"/>
                <w:color w:val="FFFFFF" w:themeColor="background1"/>
                <w:sz w:val="18"/>
                <w:szCs w:val="18"/>
              </w:rPr>
              <w:t>Movements during the reporting period for each class of provision must be disclosed for the current year only (i.e. comparative information is not required) showing separately:</w:t>
            </w:r>
          </w:p>
          <w:p w14:paraId="5DFDD474" w14:textId="77777777" w:rsidR="00AC7522" w:rsidRPr="002D20CA" w:rsidRDefault="00AC7522"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the carrying amount at the beginning and end of the reporting period;</w:t>
            </w:r>
          </w:p>
          <w:p w14:paraId="6DCC56AE" w14:textId="77777777" w:rsidR="00AC7522" w:rsidRPr="002D20CA" w:rsidRDefault="00AC7522"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additional provisions made in the period (including increases to existing provisions);</w:t>
            </w:r>
          </w:p>
          <w:p w14:paraId="53264AAB" w14:textId="77777777" w:rsidR="00AC7522" w:rsidRPr="002D20CA" w:rsidRDefault="00AC7522"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amounts incurred or charged against the provision during the reporting period;</w:t>
            </w:r>
          </w:p>
          <w:p w14:paraId="7F0B6CE4" w14:textId="192D78A8" w:rsidR="00AC7522" w:rsidRPr="002D20CA" w:rsidRDefault="00AC7522"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2D20CA">
              <w:rPr>
                <w:rFonts w:cs="Calibri"/>
                <w:color w:val="FFFFFF" w:themeColor="background1"/>
                <w:sz w:val="18"/>
                <w:szCs w:val="18"/>
              </w:rPr>
              <w:t>unused amounts reversed during the reporting period; and</w:t>
            </w:r>
          </w:p>
          <w:p w14:paraId="124B9CE4" w14:textId="745D60CF" w:rsidR="00AC7522" w:rsidRPr="002D20CA" w:rsidRDefault="00AC7522"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2D20CA">
              <w:rPr>
                <w:rFonts w:cs="Calibri"/>
                <w:color w:val="FFFFFF" w:themeColor="background1"/>
                <w:sz w:val="18"/>
                <w:szCs w:val="18"/>
              </w:rPr>
              <w:t>increases during the period in the discounted amount arising from the passage of time and the effect of any changes in the discount rate.</w:t>
            </w:r>
          </w:p>
        </w:tc>
      </w:tr>
      <w:tr w:rsidR="00AC7522" w:rsidRPr="00CF7E1B" w14:paraId="6FF1269B" w14:textId="77777777" w:rsidTr="0004564D">
        <w:trPr>
          <w:trHeight w:val="283"/>
        </w:trPr>
        <w:tc>
          <w:tcPr>
            <w:tcW w:w="1560" w:type="dxa"/>
            <w:tcBorders>
              <w:left w:val="single" w:sz="2" w:space="0" w:color="auto"/>
              <w:right w:val="single" w:sz="2" w:space="0" w:color="auto"/>
            </w:tcBorders>
          </w:tcPr>
          <w:p w14:paraId="009DCD8E" w14:textId="77777777" w:rsidR="00AC7522" w:rsidRPr="000627F8" w:rsidRDefault="00AC7522">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0E36D9E" w14:textId="72C70689" w:rsidR="00AC7522" w:rsidRPr="002D20CA" w:rsidRDefault="00AC7522">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The above movements must be separately shown for each provision reconciliation where there are material amounts to be disclosed.</w:t>
            </w:r>
          </w:p>
        </w:tc>
      </w:tr>
      <w:tr w:rsidR="000144FF" w:rsidRPr="00CF7E1B" w14:paraId="64EDE41B" w14:textId="77777777" w:rsidTr="0004564D">
        <w:trPr>
          <w:trHeight w:val="937"/>
        </w:trPr>
        <w:tc>
          <w:tcPr>
            <w:tcW w:w="1560" w:type="dxa"/>
            <w:tcBorders>
              <w:left w:val="single" w:sz="2" w:space="0" w:color="auto"/>
              <w:right w:val="single" w:sz="2" w:space="0" w:color="auto"/>
            </w:tcBorders>
          </w:tcPr>
          <w:p w14:paraId="30EF1114"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92</w:t>
            </w:r>
          </w:p>
        </w:tc>
        <w:tc>
          <w:tcPr>
            <w:tcW w:w="8930" w:type="dxa"/>
            <w:tcBorders>
              <w:left w:val="single" w:sz="2" w:space="0" w:color="auto"/>
            </w:tcBorders>
            <w:shd w:val="clear" w:color="auto" w:fill="7030A0"/>
          </w:tcPr>
          <w:p w14:paraId="5E6F0A60" w14:textId="64888D2A" w:rsidR="000144FF" w:rsidRPr="002D20CA" w:rsidRDefault="000144FF">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 xml:space="preserve">In extremely rare cases, where disclosure of information regarding provisions, contingent liabilities or contingent assets is expected to seriously prejudice the position of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in a dispute with other parties,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need not disclose the information.</w:t>
            </w:r>
            <w:r w:rsidR="00FA7C77">
              <w:rPr>
                <w:rFonts w:cs="Calibri"/>
                <w:color w:val="FFFFFF" w:themeColor="background1"/>
                <w:sz w:val="18"/>
                <w:szCs w:val="18"/>
              </w:rPr>
              <w:t xml:space="preserve"> </w:t>
            </w:r>
            <w:r w:rsidRPr="002D20CA">
              <w:rPr>
                <w:rFonts w:cs="Calibri"/>
                <w:color w:val="FFFFFF" w:themeColor="background1"/>
                <w:sz w:val="18"/>
                <w:szCs w:val="18"/>
              </w:rPr>
              <w:t xml:space="preserve">However,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must provide information regarding the general nature of the dispute, together with the reason for non-disclosure.</w:t>
            </w:r>
          </w:p>
        </w:tc>
      </w:tr>
      <w:tr w:rsidR="000144FF" w:rsidRPr="00CF7E1B" w14:paraId="68DAB2E3" w14:textId="77777777" w:rsidTr="0004564D">
        <w:trPr>
          <w:trHeight w:hRule="exact" w:val="237"/>
        </w:trPr>
        <w:tc>
          <w:tcPr>
            <w:tcW w:w="1560" w:type="dxa"/>
            <w:tcBorders>
              <w:left w:val="single" w:sz="2" w:space="0" w:color="auto"/>
              <w:right w:val="single" w:sz="2" w:space="0" w:color="auto"/>
            </w:tcBorders>
            <w:vAlign w:val="bottom"/>
          </w:tcPr>
          <w:p w14:paraId="72EB8362" w14:textId="77777777" w:rsidR="000144FF" w:rsidRPr="000627F8" w:rsidRDefault="000144FF" w:rsidP="002E4C57">
            <w:pPr>
              <w:pStyle w:val="TableReference"/>
              <w:tabs>
                <w:tab w:val="left" w:pos="3306"/>
              </w:tabs>
              <w:rPr>
                <w:rFonts w:cs="Calibri"/>
                <w:color w:val="7030A0"/>
                <w:sz w:val="16"/>
                <w:szCs w:val="16"/>
              </w:rPr>
            </w:pPr>
          </w:p>
        </w:tc>
        <w:tc>
          <w:tcPr>
            <w:tcW w:w="8930" w:type="dxa"/>
            <w:tcBorders>
              <w:left w:val="single" w:sz="2" w:space="0" w:color="auto"/>
            </w:tcBorders>
            <w:shd w:val="clear" w:color="auto" w:fill="7030A0"/>
            <w:vAlign w:val="bottom"/>
          </w:tcPr>
          <w:p w14:paraId="501C4D9F" w14:textId="77777777" w:rsidR="000144FF" w:rsidRPr="00BB2E31" w:rsidRDefault="006D0B2B" w:rsidP="002E4C57">
            <w:pPr>
              <w:pStyle w:val="CommentaryHeading"/>
              <w:spacing w:before="0" w:after="120"/>
              <w:rPr>
                <w:rFonts w:cs="Calibri"/>
                <w:color w:val="FFFFFF" w:themeColor="background1"/>
                <w:szCs w:val="20"/>
              </w:rPr>
            </w:pPr>
            <w:r w:rsidRPr="00BB2E31">
              <w:rPr>
                <w:rFonts w:cs="Calibri"/>
                <w:color w:val="FFFFFF" w:themeColor="background1"/>
                <w:szCs w:val="20"/>
              </w:rPr>
              <w:t>Onerous Contracts</w:t>
            </w:r>
          </w:p>
        </w:tc>
      </w:tr>
      <w:tr w:rsidR="000144FF" w:rsidRPr="00CF7E1B" w14:paraId="032840F2" w14:textId="77777777" w:rsidTr="0004564D">
        <w:trPr>
          <w:trHeight w:val="283"/>
        </w:trPr>
        <w:tc>
          <w:tcPr>
            <w:tcW w:w="1560" w:type="dxa"/>
            <w:tcBorders>
              <w:left w:val="single" w:sz="2" w:space="0" w:color="auto"/>
              <w:right w:val="single" w:sz="2" w:space="0" w:color="auto"/>
            </w:tcBorders>
          </w:tcPr>
          <w:p w14:paraId="290D9E69" w14:textId="77777777" w:rsidR="000144FF" w:rsidRPr="000627F8" w:rsidRDefault="000144FF" w:rsidP="002E4C57">
            <w:pPr>
              <w:pStyle w:val="TableReference"/>
              <w:tabs>
                <w:tab w:val="left" w:pos="3306"/>
              </w:tabs>
              <w:spacing w:before="24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66 &amp; 68</w:t>
            </w:r>
          </w:p>
        </w:tc>
        <w:tc>
          <w:tcPr>
            <w:tcW w:w="8930" w:type="dxa"/>
            <w:tcBorders>
              <w:left w:val="single" w:sz="2" w:space="0" w:color="auto"/>
            </w:tcBorders>
            <w:shd w:val="clear" w:color="auto" w:fill="7030A0"/>
          </w:tcPr>
          <w:p w14:paraId="5A6C2DDC" w14:textId="3D3F9AD2" w:rsidR="000144FF" w:rsidRPr="002D20CA" w:rsidRDefault="000144FF" w:rsidP="00635724">
            <w:pPr>
              <w:spacing w:after="120"/>
              <w:jc w:val="both"/>
              <w:rPr>
                <w:color w:val="FFFFFF" w:themeColor="background1"/>
                <w:sz w:val="18"/>
                <w:szCs w:val="18"/>
              </w:rPr>
            </w:pPr>
            <w:r w:rsidRPr="002D20CA">
              <w:rPr>
                <w:rFonts w:cs="Calibri"/>
                <w:color w:val="FFFFFF" w:themeColor="background1"/>
                <w:sz w:val="18"/>
                <w:szCs w:val="18"/>
              </w:rPr>
              <w:t>An onerous contract is a contract in which the unavoidable costs of meeting the obligation under the contract exceed the economic benefits expected to be received under it.</w:t>
            </w:r>
            <w:r w:rsidR="00FA7C77">
              <w:rPr>
                <w:rFonts w:cs="Calibri"/>
                <w:color w:val="FFFFFF" w:themeColor="background1"/>
                <w:sz w:val="18"/>
                <w:szCs w:val="18"/>
              </w:rPr>
              <w:t xml:space="preserve"> </w:t>
            </w:r>
            <w:r w:rsidRPr="002D20CA">
              <w:rPr>
                <w:rFonts w:cs="Calibri"/>
                <w:color w:val="FFFFFF" w:themeColor="background1"/>
                <w:sz w:val="18"/>
                <w:szCs w:val="18"/>
              </w:rPr>
              <w:t>The present obligation under an onerous contract shall be recognised and measured as a provision</w:t>
            </w:r>
            <w:r w:rsidR="00635724" w:rsidRPr="002D20CA">
              <w:rPr>
                <w:rFonts w:cs="Calibri"/>
                <w:color w:val="FFFFFF" w:themeColor="background1"/>
                <w:sz w:val="18"/>
                <w:szCs w:val="18"/>
              </w:rPr>
              <w:t xml:space="preserve">. </w:t>
            </w:r>
            <w:r w:rsidR="00ED10FE" w:rsidRPr="002D20CA">
              <w:rPr>
                <w:color w:val="FFFFFF" w:themeColor="background1"/>
                <w:sz w:val="18"/>
                <w:szCs w:val="18"/>
              </w:rPr>
              <w:t>Where the impact of COVID-19 results in increased costs to meet, or reduced benefits from, an executory contract, management need to assess whether the contract has become onerous and a provision needs to be recognised.</w:t>
            </w:r>
          </w:p>
        </w:tc>
      </w:tr>
      <w:tr w:rsidR="000144FF" w:rsidRPr="00CF7E1B" w14:paraId="7A543C6D" w14:textId="77777777" w:rsidTr="0004564D">
        <w:trPr>
          <w:trHeight w:hRule="exact" w:val="256"/>
        </w:trPr>
        <w:tc>
          <w:tcPr>
            <w:tcW w:w="1560" w:type="dxa"/>
            <w:tcBorders>
              <w:left w:val="single" w:sz="2" w:space="0" w:color="auto"/>
              <w:right w:val="single" w:sz="2" w:space="0" w:color="auto"/>
            </w:tcBorders>
          </w:tcPr>
          <w:p w14:paraId="3A50263B" w14:textId="77777777" w:rsidR="000144FF" w:rsidRPr="000627F8" w:rsidRDefault="000144F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FD7869F" w14:textId="77777777" w:rsidR="000144FF" w:rsidRPr="00BB2E31" w:rsidRDefault="000144FF" w:rsidP="00C7130F">
            <w:pPr>
              <w:pStyle w:val="CommentaryHeading"/>
              <w:spacing w:before="0" w:after="40"/>
              <w:jc w:val="both"/>
              <w:rPr>
                <w:rFonts w:cs="Calibri"/>
                <w:color w:val="FFFFFF" w:themeColor="background1"/>
                <w:szCs w:val="20"/>
              </w:rPr>
            </w:pPr>
            <w:r w:rsidRPr="00BB2E31">
              <w:rPr>
                <w:rFonts w:cs="Calibri"/>
                <w:color w:val="FFFFFF" w:themeColor="background1"/>
                <w:szCs w:val="20"/>
              </w:rPr>
              <w:t>Restructuring and Sale of an Operation</w:t>
            </w:r>
          </w:p>
        </w:tc>
      </w:tr>
      <w:tr w:rsidR="000144FF" w:rsidRPr="00CF7E1B" w14:paraId="7D54C0FF" w14:textId="77777777" w:rsidTr="0004564D">
        <w:trPr>
          <w:trHeight w:val="590"/>
        </w:trPr>
        <w:tc>
          <w:tcPr>
            <w:tcW w:w="1560" w:type="dxa"/>
            <w:tcBorders>
              <w:left w:val="single" w:sz="2" w:space="0" w:color="auto"/>
              <w:right w:val="single" w:sz="2" w:space="0" w:color="auto"/>
            </w:tcBorders>
          </w:tcPr>
          <w:p w14:paraId="0C9F2A6C" w14:textId="77777777" w:rsidR="000144FF" w:rsidRPr="000627F8" w:rsidRDefault="000144FF">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78</w:t>
            </w:r>
          </w:p>
        </w:tc>
        <w:tc>
          <w:tcPr>
            <w:tcW w:w="8930" w:type="dxa"/>
            <w:tcBorders>
              <w:left w:val="single" w:sz="2" w:space="0" w:color="auto"/>
            </w:tcBorders>
            <w:shd w:val="clear" w:color="auto" w:fill="7030A0"/>
          </w:tcPr>
          <w:p w14:paraId="512B186C" w14:textId="77777777" w:rsidR="000144FF" w:rsidRPr="002D20CA" w:rsidRDefault="000144FF" w:rsidP="00C7130F">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 xml:space="preserve">Where </w:t>
            </w:r>
            <w:r w:rsidR="00B96D8D" w:rsidRPr="002D20CA">
              <w:rPr>
                <w:rFonts w:cs="Calibri"/>
                <w:color w:val="FFFFFF" w:themeColor="background1"/>
                <w:sz w:val="18"/>
                <w:szCs w:val="18"/>
              </w:rPr>
              <w:t xml:space="preserve">an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is restructuring its operations and as part of the restructuring is selling that operation, no obligation arises for the sale until there is a binding sale agreement as well as a constructive obligation.</w:t>
            </w:r>
          </w:p>
        </w:tc>
      </w:tr>
      <w:tr w:rsidR="00461D2E" w:rsidRPr="00CF7E1B" w14:paraId="030B68A5" w14:textId="77777777" w:rsidTr="0004564D">
        <w:trPr>
          <w:trHeight w:val="254"/>
        </w:trPr>
        <w:tc>
          <w:tcPr>
            <w:tcW w:w="1560" w:type="dxa"/>
            <w:tcBorders>
              <w:left w:val="single" w:sz="2" w:space="0" w:color="auto"/>
              <w:right w:val="single" w:sz="2" w:space="0" w:color="auto"/>
            </w:tcBorders>
          </w:tcPr>
          <w:p w14:paraId="377CE7B4" w14:textId="77777777" w:rsidR="00461D2E" w:rsidRPr="000627F8" w:rsidRDefault="00461D2E">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DD1C1FA" w14:textId="77777777" w:rsidR="00461D2E" w:rsidRPr="00BB2E31" w:rsidRDefault="00461D2E" w:rsidP="00E75B85">
            <w:pPr>
              <w:pStyle w:val="CommentaryText"/>
              <w:tabs>
                <w:tab w:val="left" w:pos="3306"/>
              </w:tabs>
              <w:spacing w:after="0"/>
              <w:rPr>
                <w:rFonts w:cs="Calibri"/>
                <w:b/>
                <w:color w:val="FFFFFF" w:themeColor="background1"/>
                <w:szCs w:val="20"/>
              </w:rPr>
            </w:pPr>
            <w:r w:rsidRPr="00BB2E31">
              <w:rPr>
                <w:rFonts w:cs="Calibri"/>
                <w:b/>
                <w:color w:val="FFFFFF" w:themeColor="background1"/>
                <w:szCs w:val="20"/>
              </w:rPr>
              <w:t>Recognition of Liabilities</w:t>
            </w:r>
          </w:p>
        </w:tc>
      </w:tr>
      <w:tr w:rsidR="00461D2E" w:rsidRPr="00CF7E1B" w14:paraId="44648152" w14:textId="77777777" w:rsidTr="0004564D">
        <w:trPr>
          <w:trHeight w:val="23"/>
        </w:trPr>
        <w:tc>
          <w:tcPr>
            <w:tcW w:w="1560" w:type="dxa"/>
            <w:tcBorders>
              <w:left w:val="single" w:sz="2" w:space="0" w:color="auto"/>
              <w:right w:val="single" w:sz="2" w:space="0" w:color="auto"/>
            </w:tcBorders>
          </w:tcPr>
          <w:p w14:paraId="67BA26BB" w14:textId="77777777" w:rsidR="00461D2E" w:rsidRPr="000627F8" w:rsidRDefault="00461D2E">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Aus 26.1</w:t>
            </w:r>
          </w:p>
        </w:tc>
        <w:tc>
          <w:tcPr>
            <w:tcW w:w="8930" w:type="dxa"/>
            <w:tcBorders>
              <w:left w:val="single" w:sz="2" w:space="0" w:color="auto"/>
            </w:tcBorders>
            <w:shd w:val="clear" w:color="auto" w:fill="7030A0"/>
          </w:tcPr>
          <w:p w14:paraId="6B6CB4E4" w14:textId="3D9814A6" w:rsidR="00461D2E" w:rsidRPr="002D20CA" w:rsidRDefault="00461D2E" w:rsidP="00E75B85">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The intention to make payments to other parties, whether advised in the form of a government budget policy, election promise or statement of intent, does not of itself create a present obligation which is binding.</w:t>
            </w:r>
            <w:r w:rsidR="00FA7C77">
              <w:rPr>
                <w:rFonts w:cs="Calibri"/>
                <w:color w:val="FFFFFF" w:themeColor="background1"/>
                <w:sz w:val="18"/>
                <w:szCs w:val="18"/>
              </w:rPr>
              <w:t xml:space="preserve"> </w:t>
            </w:r>
            <w:r w:rsidRPr="002D20CA">
              <w:rPr>
                <w:rFonts w:cs="Calibri"/>
                <w:color w:val="FFFFFF" w:themeColor="background1"/>
                <w:sz w:val="18"/>
                <w:szCs w:val="18"/>
              </w:rPr>
              <w:t xml:space="preserve">A liability would be recognised only when the </w:t>
            </w:r>
            <w:r w:rsidR="00FD1E41" w:rsidRPr="002D20CA">
              <w:rPr>
                <w:rFonts w:cs="Calibri"/>
                <w:color w:val="FFFFFF" w:themeColor="background1"/>
                <w:sz w:val="18"/>
                <w:szCs w:val="18"/>
              </w:rPr>
              <w:t>a</w:t>
            </w:r>
            <w:r w:rsidR="00B96D8D" w:rsidRPr="002D20CA">
              <w:rPr>
                <w:rFonts w:cs="Calibri"/>
                <w:color w:val="FFFFFF" w:themeColor="background1"/>
                <w:sz w:val="18"/>
                <w:szCs w:val="18"/>
              </w:rPr>
              <w:t>gency</w:t>
            </w:r>
            <w:r w:rsidRPr="002D20CA">
              <w:rPr>
                <w:rFonts w:cs="Calibri"/>
                <w:color w:val="FFFFFF" w:themeColor="background1"/>
                <w:sz w:val="18"/>
                <w:szCs w:val="18"/>
              </w:rPr>
              <w:t xml:space="preserve"> is committed in the sense that it has little or no discretion to avoid the sacrifice of future economic benefits.</w:t>
            </w:r>
            <w:r w:rsidR="00FA7C77">
              <w:rPr>
                <w:rFonts w:cs="Calibri"/>
                <w:color w:val="FFFFFF" w:themeColor="background1"/>
                <w:sz w:val="18"/>
                <w:szCs w:val="18"/>
              </w:rPr>
              <w:t xml:space="preserve"> </w:t>
            </w:r>
            <w:r w:rsidRPr="002D20CA">
              <w:rPr>
                <w:rFonts w:cs="Calibri"/>
                <w:color w:val="FFFFFF" w:themeColor="background1"/>
                <w:sz w:val="18"/>
                <w:szCs w:val="18"/>
              </w:rPr>
              <w:t>For example, a government does not have a present obligation to sacrifice future economic benefits for social welfare payments that might arise in future reporting periods.</w:t>
            </w:r>
            <w:r w:rsidR="00FA7C77">
              <w:rPr>
                <w:rFonts w:cs="Calibri"/>
                <w:color w:val="FFFFFF" w:themeColor="background1"/>
                <w:sz w:val="18"/>
                <w:szCs w:val="18"/>
              </w:rPr>
              <w:t xml:space="preserve"> </w:t>
            </w:r>
            <w:r w:rsidRPr="002D20CA">
              <w:rPr>
                <w:rFonts w:cs="Calibri"/>
                <w:color w:val="FFFFFF" w:themeColor="background1"/>
                <w:sz w:val="18"/>
                <w:szCs w:val="18"/>
              </w:rPr>
              <w:t>A present obligation for social welfare payments arises only when entitlement conditions are satisfied for payment during a particular payment period.</w:t>
            </w:r>
            <w:r w:rsidR="00FA7C77">
              <w:rPr>
                <w:rFonts w:cs="Calibri"/>
                <w:color w:val="FFFFFF" w:themeColor="background1"/>
                <w:sz w:val="18"/>
                <w:szCs w:val="18"/>
              </w:rPr>
              <w:t xml:space="preserve"> </w:t>
            </w:r>
            <w:r w:rsidRPr="002D20CA">
              <w:rPr>
                <w:rFonts w:cs="Calibri"/>
                <w:color w:val="FFFFFF" w:themeColor="background1"/>
                <w:sz w:val="18"/>
                <w:szCs w:val="18"/>
              </w:rPr>
              <w:t>Similarly, a government does not have a present obligation to sacrifice future economic benefits under multi-year public policy agreements until the grantee meets conditions such as grant eligibility criteria, or has provided the services or facilities required under the grant agreement.</w:t>
            </w:r>
            <w:r w:rsidR="00FA7C77">
              <w:rPr>
                <w:rFonts w:cs="Calibri"/>
                <w:color w:val="FFFFFF" w:themeColor="background1"/>
                <w:sz w:val="18"/>
                <w:szCs w:val="18"/>
              </w:rPr>
              <w:t xml:space="preserve"> </w:t>
            </w:r>
            <w:r w:rsidRPr="002D20CA">
              <w:rPr>
                <w:rFonts w:cs="Calibri"/>
                <w:color w:val="FFFFFF" w:themeColor="background1"/>
                <w:sz w:val="18"/>
                <w:szCs w:val="18"/>
              </w:rPr>
              <w:t>In such cases, only amounts outstanding in relation to current or previous periods satisfy the definition of liabilities.</w:t>
            </w:r>
          </w:p>
        </w:tc>
      </w:tr>
      <w:tr w:rsidR="00B47BD1" w:rsidRPr="00CF7E1B" w14:paraId="23ECF1A7" w14:textId="77777777" w:rsidTr="0004564D">
        <w:trPr>
          <w:trHeight w:val="1561"/>
        </w:trPr>
        <w:tc>
          <w:tcPr>
            <w:tcW w:w="1560" w:type="dxa"/>
            <w:tcBorders>
              <w:left w:val="single" w:sz="2" w:space="0" w:color="auto"/>
              <w:right w:val="single" w:sz="2" w:space="0" w:color="auto"/>
            </w:tcBorders>
          </w:tcPr>
          <w:p w14:paraId="5EC1EF3E" w14:textId="77777777" w:rsidR="00B47BD1" w:rsidRPr="000627F8" w:rsidRDefault="00B47BD1">
            <w:pPr>
              <w:pStyle w:val="TableReference"/>
              <w:tabs>
                <w:tab w:val="left" w:pos="3306"/>
              </w:tabs>
              <w:spacing w:before="60"/>
              <w:rPr>
                <w:rFonts w:cs="Calibri"/>
                <w:color w:val="7030A0"/>
                <w:sz w:val="14"/>
              </w:rPr>
            </w:pPr>
            <w:r w:rsidRPr="000627F8">
              <w:rPr>
                <w:rFonts w:cs="Calibri"/>
                <w:color w:val="7030A0"/>
                <w:sz w:val="14"/>
              </w:rPr>
              <w:t>AASB 137</w:t>
            </w:r>
            <w:r w:rsidR="00D65811" w:rsidRPr="000627F8">
              <w:rPr>
                <w:rFonts w:cs="Calibri"/>
                <w:color w:val="7030A0"/>
                <w:sz w:val="14"/>
              </w:rPr>
              <w:t>.</w:t>
            </w:r>
            <w:r w:rsidRPr="000627F8">
              <w:rPr>
                <w:rFonts w:cs="Calibri"/>
                <w:color w:val="7030A0"/>
                <w:sz w:val="14"/>
              </w:rPr>
              <w:t>Aus 26.2</w:t>
            </w:r>
          </w:p>
        </w:tc>
        <w:tc>
          <w:tcPr>
            <w:tcW w:w="8930" w:type="dxa"/>
            <w:tcBorders>
              <w:left w:val="single" w:sz="2" w:space="0" w:color="auto"/>
            </w:tcBorders>
            <w:shd w:val="clear" w:color="auto" w:fill="7030A0"/>
          </w:tcPr>
          <w:p w14:paraId="5104102A" w14:textId="2C10B6FB" w:rsidR="00B47BD1" w:rsidRPr="002D20CA" w:rsidRDefault="000D673B" w:rsidP="00514D82">
            <w:pPr>
              <w:pStyle w:val="CommentaryText"/>
              <w:tabs>
                <w:tab w:val="left" w:pos="3306"/>
              </w:tabs>
              <w:rPr>
                <w:rFonts w:cs="Calibri"/>
                <w:color w:val="FFFFFF" w:themeColor="background1"/>
                <w:sz w:val="18"/>
                <w:szCs w:val="18"/>
              </w:rPr>
            </w:pPr>
            <w:r w:rsidRPr="002D20CA">
              <w:rPr>
                <w:rFonts w:cs="Calibri"/>
                <w:color w:val="FFFFFF" w:themeColor="background1"/>
                <w:sz w:val="18"/>
                <w:szCs w:val="18"/>
              </w:rPr>
              <w:t>S</w:t>
            </w:r>
            <w:r w:rsidR="00B47BD1" w:rsidRPr="002D20CA">
              <w:rPr>
                <w:rFonts w:cs="Calibri"/>
                <w:color w:val="FFFFFF" w:themeColor="background1"/>
                <w:sz w:val="18"/>
                <w:szCs w:val="18"/>
              </w:rPr>
              <w:t>uch transactions or events may give rise to legal, social, political or economic consequences which leave little, if any, discretion to avoid a sacrifice of future economic benefits.</w:t>
            </w:r>
            <w:r w:rsidR="00FA7C77">
              <w:rPr>
                <w:rFonts w:cs="Calibri"/>
                <w:color w:val="FFFFFF" w:themeColor="background1"/>
                <w:sz w:val="18"/>
                <w:szCs w:val="18"/>
              </w:rPr>
              <w:t xml:space="preserve"> </w:t>
            </w:r>
            <w:r w:rsidR="00B47BD1" w:rsidRPr="002D20CA">
              <w:rPr>
                <w:rFonts w:cs="Calibri"/>
                <w:color w:val="FFFFFF" w:themeColor="background1"/>
                <w:sz w:val="18"/>
                <w:szCs w:val="18"/>
              </w:rPr>
              <w:t>In such circumstances, the definition of a liability is satisfied.</w:t>
            </w:r>
            <w:r w:rsidR="00FA7C77">
              <w:rPr>
                <w:rFonts w:cs="Calibri"/>
                <w:color w:val="FFFFFF" w:themeColor="background1"/>
                <w:sz w:val="18"/>
                <w:szCs w:val="18"/>
              </w:rPr>
              <w:t xml:space="preserve"> </w:t>
            </w:r>
            <w:r w:rsidR="00B47BD1" w:rsidRPr="002D20CA">
              <w:rPr>
                <w:rFonts w:cs="Calibri"/>
                <w:color w:val="FFFFFF" w:themeColor="background1"/>
                <w:sz w:val="18"/>
                <w:szCs w:val="18"/>
              </w:rPr>
              <w:t>An example of such an event is the occurrence of a disaster, where a government has a clear and formal policy to provide financial aid to victims of such disasters.</w:t>
            </w:r>
            <w:r w:rsidR="00FA7C77">
              <w:rPr>
                <w:rFonts w:cs="Calibri"/>
                <w:color w:val="FFFFFF" w:themeColor="background1"/>
                <w:sz w:val="18"/>
                <w:szCs w:val="18"/>
              </w:rPr>
              <w:t xml:space="preserve"> </w:t>
            </w:r>
            <w:r w:rsidR="00B47BD1" w:rsidRPr="002D20CA">
              <w:rPr>
                <w:rFonts w:cs="Calibri"/>
                <w:color w:val="FFFFFF" w:themeColor="background1"/>
                <w:sz w:val="18"/>
                <w:szCs w:val="18"/>
              </w:rPr>
              <w:t>In this circumstance, the government has little discretion to avoid the sacrifice of future economic benefits.</w:t>
            </w:r>
            <w:r w:rsidR="00FA7C77">
              <w:rPr>
                <w:rFonts w:cs="Calibri"/>
                <w:color w:val="FFFFFF" w:themeColor="background1"/>
                <w:sz w:val="18"/>
                <w:szCs w:val="18"/>
              </w:rPr>
              <w:t xml:space="preserve"> </w:t>
            </w:r>
            <w:r w:rsidR="00B47BD1" w:rsidRPr="002D20CA">
              <w:rPr>
                <w:rFonts w:cs="Calibri"/>
                <w:color w:val="FFFFFF" w:themeColor="background1"/>
                <w:sz w:val="18"/>
                <w:szCs w:val="18"/>
              </w:rPr>
              <w:t>However, the liability is recognised only when the amount of financial aid to be provided can be measured reliably.</w:t>
            </w:r>
          </w:p>
        </w:tc>
      </w:tr>
    </w:tbl>
    <w:p w14:paraId="5F4C4B0E" w14:textId="2C83C161" w:rsidR="000627F8" w:rsidRDefault="000627F8">
      <w:r>
        <w:br w:type="page"/>
      </w:r>
    </w:p>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676"/>
        <w:gridCol w:w="1824"/>
        <w:gridCol w:w="1430"/>
      </w:tblGrid>
      <w:tr w:rsidR="00B47BD1" w:rsidRPr="00CF7E1B" w14:paraId="221EC423" w14:textId="77777777" w:rsidTr="0004564D">
        <w:trPr>
          <w:cantSplit/>
          <w:trHeight w:val="119"/>
        </w:trPr>
        <w:tc>
          <w:tcPr>
            <w:tcW w:w="1560" w:type="dxa"/>
            <w:tcBorders>
              <w:top w:val="nil"/>
              <w:left w:val="single" w:sz="2" w:space="0" w:color="auto"/>
              <w:bottom w:val="nil"/>
              <w:right w:val="single" w:sz="2" w:space="0" w:color="auto"/>
            </w:tcBorders>
          </w:tcPr>
          <w:p w14:paraId="05D46B89" w14:textId="77777777" w:rsidR="00B47BD1" w:rsidRPr="002D20CA" w:rsidRDefault="00B44DA7" w:rsidP="00514D82">
            <w:pPr>
              <w:pStyle w:val="TableReference"/>
              <w:tabs>
                <w:tab w:val="left" w:pos="3306"/>
              </w:tabs>
              <w:spacing w:before="240" w:after="240"/>
              <w:rPr>
                <w:rFonts w:cs="Calibri"/>
                <w:b/>
                <w:color w:val="7030A0"/>
                <w:sz w:val="22"/>
                <w:szCs w:val="22"/>
              </w:rPr>
            </w:pPr>
            <w:bookmarkStart w:id="617" w:name="LiabilitiesOther" w:colFirst="1" w:colLast="1"/>
            <w:r w:rsidRPr="002D20CA">
              <w:rPr>
                <w:rFonts w:cs="Calibri"/>
                <w:b/>
                <w:color w:val="7030A0"/>
                <w:sz w:val="22"/>
                <w:szCs w:val="22"/>
              </w:rPr>
              <w:t>Reference</w:t>
            </w:r>
          </w:p>
        </w:tc>
        <w:tc>
          <w:tcPr>
            <w:tcW w:w="8930" w:type="dxa"/>
            <w:gridSpan w:val="3"/>
            <w:tcBorders>
              <w:top w:val="nil"/>
              <w:left w:val="single" w:sz="2" w:space="0" w:color="auto"/>
              <w:bottom w:val="nil"/>
              <w:right w:val="nil"/>
            </w:tcBorders>
            <w:vAlign w:val="bottom"/>
          </w:tcPr>
          <w:p w14:paraId="412E23C3" w14:textId="31C0CD6A" w:rsidR="00B47BD1" w:rsidRPr="002D20CA" w:rsidRDefault="00B578B1" w:rsidP="00514D82">
            <w:pPr>
              <w:pStyle w:val="Heading1"/>
              <w:numPr>
                <w:ilvl w:val="0"/>
                <w:numId w:val="0"/>
              </w:numPr>
            </w:pPr>
            <w:bookmarkStart w:id="618" w:name="_Toc400627353"/>
            <w:bookmarkStart w:id="619" w:name="_Toc98763158"/>
            <w:r w:rsidRPr="002D20CA">
              <w:t xml:space="preserve">Note </w:t>
            </w:r>
            <w:r w:rsidR="001101E3" w:rsidRPr="002D20CA">
              <w:t>29</w:t>
            </w:r>
            <w:r w:rsidR="00B47BD1" w:rsidRPr="002D20CA">
              <w:t>.</w:t>
            </w:r>
            <w:r w:rsidR="00FA7C77">
              <w:t xml:space="preserve"> </w:t>
            </w:r>
            <w:r w:rsidRPr="002D20CA">
              <w:t xml:space="preserve"> </w:t>
            </w:r>
            <w:r w:rsidR="00B47BD1" w:rsidRPr="002D20CA">
              <w:t>Other Liabilities</w:t>
            </w:r>
            <w:bookmarkEnd w:id="618"/>
            <w:bookmarkEnd w:id="619"/>
            <w:r w:rsidR="00E00DEC" w:rsidRPr="002D20CA">
              <w:t xml:space="preserve"> </w:t>
            </w:r>
          </w:p>
        </w:tc>
      </w:tr>
      <w:tr w:rsidR="009058D2" w:rsidRPr="00CF7E1B" w14:paraId="4A925CF4" w14:textId="77777777" w:rsidTr="0004564D">
        <w:trPr>
          <w:cantSplit/>
          <w:trHeight w:val="119"/>
        </w:trPr>
        <w:tc>
          <w:tcPr>
            <w:tcW w:w="1560" w:type="dxa"/>
            <w:tcBorders>
              <w:top w:val="nil"/>
              <w:left w:val="single" w:sz="2" w:space="0" w:color="auto"/>
              <w:bottom w:val="nil"/>
              <w:right w:val="single" w:sz="2" w:space="0" w:color="auto"/>
            </w:tcBorders>
          </w:tcPr>
          <w:p w14:paraId="4BF5202B" w14:textId="77777777" w:rsidR="009058D2" w:rsidRPr="002D20CA" w:rsidRDefault="009058D2" w:rsidP="009058D2">
            <w:pPr>
              <w:pStyle w:val="TableReference"/>
              <w:tabs>
                <w:tab w:val="left" w:pos="3306"/>
              </w:tabs>
              <w:rPr>
                <w:rFonts w:cs="Calibri"/>
                <w:b/>
                <w:color w:val="7030A0"/>
                <w:sz w:val="20"/>
                <w:szCs w:val="20"/>
              </w:rPr>
            </w:pPr>
          </w:p>
        </w:tc>
        <w:tc>
          <w:tcPr>
            <w:tcW w:w="8930" w:type="dxa"/>
            <w:gridSpan w:val="3"/>
            <w:tcBorders>
              <w:top w:val="nil"/>
              <w:left w:val="single" w:sz="2" w:space="0" w:color="auto"/>
              <w:bottom w:val="nil"/>
              <w:right w:val="nil"/>
            </w:tcBorders>
            <w:vAlign w:val="bottom"/>
          </w:tcPr>
          <w:p w14:paraId="15DFECF6" w14:textId="499A6AEA" w:rsidR="009058D2" w:rsidRPr="002D20CA" w:rsidRDefault="00E364D6" w:rsidP="009058D2">
            <w:pPr>
              <w:pStyle w:val="Heading1"/>
              <w:numPr>
                <w:ilvl w:val="0"/>
                <w:numId w:val="0"/>
              </w:numPr>
              <w:spacing w:before="0" w:after="0"/>
              <w:rPr>
                <w:rFonts w:ascii="Calibri" w:hAnsi="Calibri" w:cs="Calibri"/>
                <w:iCs/>
                <w:caps w:val="0"/>
                <w:sz w:val="18"/>
                <w:szCs w:val="18"/>
              </w:rPr>
            </w:pPr>
            <w:bookmarkStart w:id="620" w:name="_Toc98763159"/>
            <w:r w:rsidRPr="002D20CA">
              <w:rPr>
                <w:rFonts w:ascii="Calibri" w:hAnsi="Calibri" w:cs="Calibri"/>
                <w:iCs/>
                <w:caps w:val="0"/>
                <w:sz w:val="18"/>
                <w:szCs w:val="18"/>
              </w:rPr>
              <w:t xml:space="preserve">Description and </w:t>
            </w:r>
            <w:r w:rsidR="009058D2" w:rsidRPr="002D20CA">
              <w:rPr>
                <w:rFonts w:ascii="Calibri" w:hAnsi="Calibri" w:cs="Calibri"/>
                <w:iCs/>
                <w:caps w:val="0"/>
                <w:sz w:val="18"/>
                <w:szCs w:val="18"/>
              </w:rPr>
              <w:t>Material Accounting Policies Relating to Other Liabilities</w:t>
            </w:r>
            <w:bookmarkEnd w:id="620"/>
          </w:p>
        </w:tc>
      </w:tr>
      <w:tr w:rsidR="009058D2" w:rsidRPr="00CF7E1B" w14:paraId="49F3A8C0" w14:textId="77777777" w:rsidTr="0004564D">
        <w:trPr>
          <w:cantSplit/>
          <w:trHeight w:val="119"/>
        </w:trPr>
        <w:tc>
          <w:tcPr>
            <w:tcW w:w="1560" w:type="dxa"/>
            <w:tcBorders>
              <w:top w:val="nil"/>
              <w:left w:val="single" w:sz="2" w:space="0" w:color="auto"/>
              <w:bottom w:val="nil"/>
              <w:right w:val="single" w:sz="2" w:space="0" w:color="auto"/>
            </w:tcBorders>
          </w:tcPr>
          <w:p w14:paraId="0DDE94C1" w14:textId="77777777" w:rsidR="009058D2" w:rsidRPr="002D20CA" w:rsidRDefault="009058D2" w:rsidP="009058D2">
            <w:pPr>
              <w:pStyle w:val="TableReference"/>
              <w:tabs>
                <w:tab w:val="left" w:pos="3306"/>
              </w:tabs>
              <w:rPr>
                <w:rFonts w:cs="Calibri"/>
                <w:b/>
                <w:color w:val="7030A0"/>
                <w:sz w:val="20"/>
                <w:szCs w:val="20"/>
              </w:rPr>
            </w:pPr>
          </w:p>
        </w:tc>
        <w:tc>
          <w:tcPr>
            <w:tcW w:w="8930" w:type="dxa"/>
            <w:gridSpan w:val="3"/>
            <w:tcBorders>
              <w:top w:val="nil"/>
              <w:left w:val="single" w:sz="2" w:space="0" w:color="auto"/>
              <w:bottom w:val="nil"/>
              <w:right w:val="nil"/>
            </w:tcBorders>
            <w:vAlign w:val="bottom"/>
          </w:tcPr>
          <w:p w14:paraId="2EFD640A" w14:textId="78DB4BE0" w:rsidR="009058D2" w:rsidRPr="002D20CA" w:rsidRDefault="009058D2" w:rsidP="009058D2">
            <w:pPr>
              <w:pStyle w:val="Appxhead3"/>
              <w:spacing w:before="0" w:after="0"/>
              <w:rPr>
                <w:rFonts w:ascii="Calibri" w:hAnsi="Calibri" w:cs="Calibri"/>
                <w:b w:val="0"/>
                <w:i/>
                <w:smallCaps w:val="0"/>
                <w:sz w:val="18"/>
                <w:szCs w:val="18"/>
              </w:rPr>
            </w:pPr>
            <w:r w:rsidRPr="002D20CA">
              <w:rPr>
                <w:rFonts w:ascii="Calibri" w:hAnsi="Calibri" w:cs="Calibri"/>
                <w:b w:val="0"/>
                <w:i/>
                <w:smallCaps w:val="0"/>
                <w:sz w:val="18"/>
                <w:szCs w:val="18"/>
              </w:rPr>
              <w:t>Revenue Received in Advance</w:t>
            </w:r>
          </w:p>
        </w:tc>
      </w:tr>
      <w:tr w:rsidR="009058D2" w:rsidRPr="00CF7E1B" w14:paraId="546EA32D" w14:textId="77777777" w:rsidTr="0004564D">
        <w:trPr>
          <w:cantSplit/>
          <w:trHeight w:val="119"/>
        </w:trPr>
        <w:tc>
          <w:tcPr>
            <w:tcW w:w="1560" w:type="dxa"/>
            <w:tcBorders>
              <w:top w:val="nil"/>
              <w:left w:val="single" w:sz="2" w:space="0" w:color="auto"/>
              <w:bottom w:val="nil"/>
              <w:right w:val="single" w:sz="2" w:space="0" w:color="auto"/>
            </w:tcBorders>
          </w:tcPr>
          <w:p w14:paraId="5B7B28F0" w14:textId="31D98337" w:rsidR="009058D2" w:rsidRPr="002D20CA" w:rsidRDefault="009058D2" w:rsidP="009058D2">
            <w:pPr>
              <w:pStyle w:val="TableReference"/>
              <w:tabs>
                <w:tab w:val="left" w:pos="3306"/>
              </w:tabs>
              <w:rPr>
                <w:rFonts w:cs="Calibri"/>
                <w:b/>
                <w:color w:val="7030A0"/>
                <w:sz w:val="14"/>
              </w:rPr>
            </w:pPr>
            <w:r w:rsidRPr="002D20CA">
              <w:rPr>
                <w:snapToGrid w:val="0"/>
                <w:color w:val="7030A0"/>
                <w:sz w:val="14"/>
              </w:rPr>
              <w:t>AASB 101.77 &amp; 78</w:t>
            </w:r>
          </w:p>
        </w:tc>
        <w:tc>
          <w:tcPr>
            <w:tcW w:w="8930" w:type="dxa"/>
            <w:gridSpan w:val="3"/>
            <w:tcBorders>
              <w:top w:val="nil"/>
              <w:left w:val="single" w:sz="2" w:space="0" w:color="auto"/>
              <w:bottom w:val="nil"/>
              <w:right w:val="nil"/>
            </w:tcBorders>
            <w:vAlign w:val="bottom"/>
          </w:tcPr>
          <w:p w14:paraId="1EDE6252" w14:textId="1391047B" w:rsidR="009058D2" w:rsidRPr="002D20CA" w:rsidRDefault="009058D2" w:rsidP="00B45353">
            <w:pPr>
              <w:jc w:val="both"/>
              <w:rPr>
                <w:rFonts w:cs="Calibri"/>
                <w:iCs/>
                <w:sz w:val="18"/>
                <w:szCs w:val="18"/>
              </w:rPr>
            </w:pPr>
            <w:r w:rsidRPr="002D20CA">
              <w:rPr>
                <w:rFonts w:cs="Calibri"/>
                <w:iCs/>
                <w:sz w:val="18"/>
                <w:szCs w:val="18"/>
              </w:rPr>
              <w:t>Revenue received in advance is recognised as a liability if there is a present obligation to return the funds received, otherwise all are recorded as revenue.</w:t>
            </w:r>
            <w:r w:rsidR="00FA7C77">
              <w:t xml:space="preserve"> </w:t>
            </w:r>
            <w:r w:rsidR="00BE43E5" w:rsidRPr="002D20CA">
              <w:rPr>
                <w:sz w:val="18"/>
                <w:szCs w:val="18"/>
              </w:rPr>
              <w:t>Revenue received in advance arises from transactions that are not contracts with customers.</w:t>
            </w:r>
          </w:p>
        </w:tc>
      </w:tr>
      <w:tr w:rsidR="00B45353" w:rsidRPr="00CF7E1B" w14:paraId="6533514F" w14:textId="77777777" w:rsidTr="0004564D">
        <w:trPr>
          <w:cantSplit/>
          <w:trHeight w:val="119"/>
        </w:trPr>
        <w:tc>
          <w:tcPr>
            <w:tcW w:w="1560" w:type="dxa"/>
            <w:tcBorders>
              <w:top w:val="nil"/>
              <w:left w:val="single" w:sz="2" w:space="0" w:color="auto"/>
              <w:bottom w:val="nil"/>
              <w:right w:val="single" w:sz="2" w:space="0" w:color="auto"/>
            </w:tcBorders>
          </w:tcPr>
          <w:p w14:paraId="10ED27F9" w14:textId="77777777" w:rsidR="00B45353" w:rsidRPr="002D20CA" w:rsidRDefault="00B45353"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752345A2" w14:textId="6DF51B83" w:rsidR="00B45353" w:rsidRPr="002D20CA" w:rsidRDefault="00B45353" w:rsidP="00B45353">
            <w:pPr>
              <w:spacing w:before="120"/>
              <w:rPr>
                <w:rFonts w:cs="Calibri"/>
                <w:iCs/>
                <w:sz w:val="18"/>
                <w:szCs w:val="18"/>
              </w:rPr>
            </w:pPr>
            <w:r w:rsidRPr="002D20CA">
              <w:rPr>
                <w:rFonts w:cs="Calibri"/>
                <w:i/>
                <w:sz w:val="18"/>
                <w:szCs w:val="18"/>
              </w:rPr>
              <w:t>Rent Received in Advance</w:t>
            </w:r>
          </w:p>
        </w:tc>
      </w:tr>
      <w:tr w:rsidR="00B45353" w:rsidRPr="00CF7E1B" w14:paraId="503F5180" w14:textId="77777777" w:rsidTr="0004564D">
        <w:trPr>
          <w:cantSplit/>
          <w:trHeight w:val="119"/>
        </w:trPr>
        <w:tc>
          <w:tcPr>
            <w:tcW w:w="1560" w:type="dxa"/>
            <w:tcBorders>
              <w:top w:val="nil"/>
              <w:left w:val="single" w:sz="2" w:space="0" w:color="auto"/>
              <w:bottom w:val="nil"/>
              <w:right w:val="single" w:sz="2" w:space="0" w:color="auto"/>
            </w:tcBorders>
          </w:tcPr>
          <w:p w14:paraId="494EBC5A" w14:textId="77777777" w:rsidR="00B45353" w:rsidRPr="002D20CA" w:rsidRDefault="00B45353"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6C9CA3A8" w14:textId="7E8EC56F" w:rsidR="00B45353" w:rsidRPr="002D20CA" w:rsidRDefault="00493022" w:rsidP="00C6573A">
            <w:pPr>
              <w:jc w:val="both"/>
              <w:rPr>
                <w:rFonts w:cs="Calibri"/>
                <w:iCs/>
                <w:sz w:val="18"/>
                <w:szCs w:val="18"/>
              </w:rPr>
            </w:pPr>
            <w:r w:rsidRPr="002D20CA">
              <w:rPr>
                <w:sz w:val="18"/>
                <w:szCs w:val="18"/>
              </w:rPr>
              <w:t>‘</w:t>
            </w:r>
            <w:r w:rsidR="00BB42C1" w:rsidRPr="002D20CA">
              <w:rPr>
                <w:sz w:val="18"/>
                <w:szCs w:val="18"/>
              </w:rPr>
              <w:t>Burley Griffin</w:t>
            </w:r>
            <w:r w:rsidR="00BB42C1" w:rsidRPr="002D20CA">
              <w:rPr>
                <w:bCs/>
                <w:sz w:val="18"/>
                <w:szCs w:val="18"/>
              </w:rPr>
              <w:t xml:space="preserve"> </w:t>
            </w:r>
            <w:r w:rsidRPr="002D20CA">
              <w:rPr>
                <w:sz w:val="18"/>
                <w:szCs w:val="18"/>
              </w:rPr>
              <w:t>Agency’ charges rent on its commercial investment property buildings monthly in advance.</w:t>
            </w:r>
            <w:r w:rsidR="00FA7C77">
              <w:rPr>
                <w:sz w:val="18"/>
                <w:szCs w:val="18"/>
              </w:rPr>
              <w:t xml:space="preserve"> </w:t>
            </w:r>
            <w:r w:rsidRPr="002D20CA">
              <w:rPr>
                <w:sz w:val="18"/>
                <w:szCs w:val="18"/>
              </w:rPr>
              <w:t>Before the end of the financial year ‘</w:t>
            </w:r>
            <w:r w:rsidR="00BB42C1" w:rsidRPr="002D20CA">
              <w:rPr>
                <w:sz w:val="18"/>
                <w:szCs w:val="18"/>
              </w:rPr>
              <w:t>Burley Griffin</w:t>
            </w:r>
            <w:r w:rsidRPr="002D20CA">
              <w:rPr>
                <w:sz w:val="18"/>
                <w:szCs w:val="18"/>
              </w:rPr>
              <w:t xml:space="preserve"> Agency’ had received the rent for its commercial properties for July 2022 and as such has recognised this r</w:t>
            </w:r>
            <w:r w:rsidR="00B45353" w:rsidRPr="002D20CA">
              <w:rPr>
                <w:sz w:val="18"/>
                <w:szCs w:val="18"/>
              </w:rPr>
              <w:t xml:space="preserve">ent </w:t>
            </w:r>
            <w:r w:rsidRPr="002D20CA">
              <w:rPr>
                <w:sz w:val="18"/>
                <w:szCs w:val="18"/>
              </w:rPr>
              <w:t>as a liability at 30 June 2022.</w:t>
            </w:r>
            <w:r w:rsidR="00B45353" w:rsidRPr="002D20CA">
              <w:rPr>
                <w:rFonts w:cs="Calibri"/>
                <w:iCs/>
                <w:sz w:val="18"/>
                <w:szCs w:val="18"/>
              </w:rPr>
              <w:t xml:space="preserve"> </w:t>
            </w:r>
          </w:p>
        </w:tc>
      </w:tr>
      <w:tr w:rsidR="00063921" w:rsidRPr="00CF7E1B" w14:paraId="52D6B317" w14:textId="77777777" w:rsidTr="0004564D">
        <w:trPr>
          <w:cantSplit/>
          <w:trHeight w:val="119"/>
        </w:trPr>
        <w:tc>
          <w:tcPr>
            <w:tcW w:w="1560" w:type="dxa"/>
            <w:tcBorders>
              <w:top w:val="nil"/>
              <w:left w:val="single" w:sz="2" w:space="0" w:color="auto"/>
              <w:bottom w:val="nil"/>
              <w:right w:val="single" w:sz="2" w:space="0" w:color="auto"/>
            </w:tcBorders>
          </w:tcPr>
          <w:p w14:paraId="2B6195FF" w14:textId="77777777" w:rsidR="00063921" w:rsidRPr="002D20CA" w:rsidRDefault="00063921"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59C417ED" w14:textId="32A646A9" w:rsidR="00063921" w:rsidRPr="002D20CA" w:rsidRDefault="00063921" w:rsidP="00E364D6">
            <w:pPr>
              <w:spacing w:before="120"/>
              <w:jc w:val="both"/>
              <w:rPr>
                <w:rFonts w:cs="Calibri"/>
                <w:i/>
                <w:sz w:val="18"/>
                <w:szCs w:val="18"/>
              </w:rPr>
            </w:pPr>
            <w:r w:rsidRPr="002D20CA">
              <w:rPr>
                <w:rFonts w:cs="Calibri"/>
                <w:i/>
                <w:sz w:val="18"/>
                <w:szCs w:val="18"/>
              </w:rPr>
              <w:t>Service Concession Unearned Revenue Liability</w:t>
            </w:r>
          </w:p>
        </w:tc>
      </w:tr>
      <w:tr w:rsidR="009A3E96" w:rsidRPr="00CF7E1B" w14:paraId="57E5D6AE" w14:textId="77777777" w:rsidTr="0004564D">
        <w:trPr>
          <w:cantSplit/>
          <w:trHeight w:val="119"/>
        </w:trPr>
        <w:tc>
          <w:tcPr>
            <w:tcW w:w="1560" w:type="dxa"/>
            <w:tcBorders>
              <w:top w:val="nil"/>
              <w:left w:val="single" w:sz="2" w:space="0" w:color="auto"/>
              <w:bottom w:val="nil"/>
              <w:right w:val="single" w:sz="2" w:space="0" w:color="auto"/>
            </w:tcBorders>
          </w:tcPr>
          <w:p w14:paraId="20CB311F" w14:textId="77777777" w:rsidR="009A3E96" w:rsidRPr="002D20CA" w:rsidRDefault="009A3E96" w:rsidP="009058D2">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2E28377F" w14:textId="6A8FA4B8" w:rsidR="009A3E96" w:rsidRPr="002D20CA" w:rsidRDefault="009A3E96" w:rsidP="00E364D6">
            <w:pPr>
              <w:spacing w:after="120"/>
              <w:jc w:val="both"/>
              <w:rPr>
                <w:rFonts w:cs="Calibri"/>
                <w:i/>
                <w:sz w:val="18"/>
                <w:szCs w:val="18"/>
              </w:rPr>
            </w:pPr>
            <w:r w:rsidRPr="002D20CA">
              <w:rPr>
                <w:sz w:val="18"/>
                <w:szCs w:val="18"/>
              </w:rPr>
              <w:t xml:space="preserve">As part of the arrangements </w:t>
            </w:r>
            <w:r w:rsidR="009B4B7E">
              <w:rPr>
                <w:sz w:val="18"/>
                <w:szCs w:val="18"/>
              </w:rPr>
              <w:t xml:space="preserve">with ‘Example Metro’, </w:t>
            </w:r>
            <w:r w:rsidRPr="002D20CA">
              <w:rPr>
                <w:sz w:val="18"/>
                <w:szCs w:val="18"/>
              </w:rPr>
              <w:t>‘</w:t>
            </w:r>
            <w:r w:rsidR="00BB42C1" w:rsidRPr="002D20CA">
              <w:rPr>
                <w:sz w:val="18"/>
                <w:szCs w:val="18"/>
              </w:rPr>
              <w:t>Burley Griffin</w:t>
            </w:r>
            <w:r w:rsidRPr="002D20CA">
              <w:rPr>
                <w:sz w:val="18"/>
                <w:szCs w:val="18"/>
              </w:rPr>
              <w:t xml:space="preserve"> Agency’ has taken up a service concession arrangement </w:t>
            </w:r>
            <w:r w:rsidR="00E364D6" w:rsidRPr="002D20CA">
              <w:rPr>
                <w:rFonts w:cs="Calibri"/>
                <w:iCs/>
                <w:sz w:val="18"/>
                <w:szCs w:val="18"/>
              </w:rPr>
              <w:t>Unearned Revenue</w:t>
            </w:r>
            <w:r w:rsidR="00E364D6" w:rsidRPr="002D20CA">
              <w:rPr>
                <w:rFonts w:cs="Calibri"/>
                <w:i/>
                <w:sz w:val="18"/>
                <w:szCs w:val="18"/>
              </w:rPr>
              <w:t xml:space="preserve"> </w:t>
            </w:r>
            <w:r w:rsidRPr="002D20CA">
              <w:rPr>
                <w:sz w:val="18"/>
                <w:szCs w:val="18"/>
              </w:rPr>
              <w:t>liability.</w:t>
            </w:r>
            <w:r w:rsidR="00FA7C77">
              <w:rPr>
                <w:sz w:val="18"/>
                <w:szCs w:val="18"/>
              </w:rPr>
              <w:t xml:space="preserve"> </w:t>
            </w:r>
            <w:r w:rsidRPr="002D20CA">
              <w:rPr>
                <w:sz w:val="18"/>
                <w:szCs w:val="18"/>
              </w:rPr>
              <w:t xml:space="preserve">For more information in relation to service concession arrangements refer to Note </w:t>
            </w:r>
            <w:r w:rsidR="009B4B7E">
              <w:rPr>
                <w:sz w:val="18"/>
                <w:szCs w:val="18"/>
              </w:rPr>
              <w:t>39</w:t>
            </w:r>
            <w:r w:rsidRPr="002D20CA">
              <w:rPr>
                <w:sz w:val="18"/>
                <w:szCs w:val="18"/>
              </w:rPr>
              <w:t xml:space="preserve"> </w:t>
            </w:r>
            <w:r w:rsidRPr="009B4B7E">
              <w:rPr>
                <w:i/>
                <w:iCs/>
                <w:sz w:val="18"/>
                <w:szCs w:val="18"/>
              </w:rPr>
              <w:t>Service Concession Arrangement</w:t>
            </w:r>
            <w:r w:rsidR="00D70F08">
              <w:rPr>
                <w:i/>
                <w:iCs/>
                <w:sz w:val="18"/>
                <w:szCs w:val="18"/>
              </w:rPr>
              <w:t>s</w:t>
            </w:r>
            <w:r w:rsidRPr="002D20CA">
              <w:rPr>
                <w:sz w:val="18"/>
                <w:szCs w:val="18"/>
              </w:rPr>
              <w:t>.</w:t>
            </w:r>
          </w:p>
        </w:tc>
      </w:tr>
      <w:bookmarkEnd w:id="617"/>
      <w:tr w:rsidR="00736294" w:rsidRPr="00CF7E1B" w14:paraId="3CFE21D3" w14:textId="77777777" w:rsidTr="0004564D">
        <w:trPr>
          <w:cantSplit/>
          <w:trHeight w:val="119"/>
        </w:trPr>
        <w:tc>
          <w:tcPr>
            <w:tcW w:w="1560" w:type="dxa"/>
            <w:tcBorders>
              <w:top w:val="nil"/>
              <w:left w:val="single" w:sz="2" w:space="0" w:color="auto"/>
              <w:bottom w:val="nil"/>
              <w:right w:val="single" w:sz="2" w:space="0" w:color="auto"/>
            </w:tcBorders>
          </w:tcPr>
          <w:p w14:paraId="314F9138" w14:textId="77777777" w:rsidR="00736294" w:rsidRPr="002D20CA" w:rsidRDefault="00736294" w:rsidP="00736294">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tcPr>
          <w:p w14:paraId="5482E7A9" w14:textId="6AB78BA5" w:rsidR="00736294" w:rsidRPr="002D20CA" w:rsidRDefault="00736294" w:rsidP="00736294">
            <w:pPr>
              <w:spacing w:before="120"/>
              <w:jc w:val="both"/>
              <w:rPr>
                <w:rFonts w:cs="Calibri"/>
                <w:i/>
                <w:sz w:val="18"/>
                <w:szCs w:val="18"/>
              </w:rPr>
            </w:pPr>
            <w:r w:rsidRPr="002D20CA">
              <w:rPr>
                <w:rFonts w:cs="Calibri"/>
                <w:i/>
                <w:sz w:val="18"/>
                <w:szCs w:val="18"/>
              </w:rPr>
              <w:t>Liabilities Arising from Assets being Constructed or Acquired which will be Controlled by the Agency</w:t>
            </w:r>
          </w:p>
        </w:tc>
      </w:tr>
      <w:tr w:rsidR="00736294" w:rsidRPr="00CF7E1B" w14:paraId="2551A439" w14:textId="77777777" w:rsidTr="0004564D">
        <w:trPr>
          <w:cantSplit/>
          <w:trHeight w:val="119"/>
        </w:trPr>
        <w:tc>
          <w:tcPr>
            <w:tcW w:w="1560" w:type="dxa"/>
            <w:tcBorders>
              <w:top w:val="nil"/>
              <w:left w:val="single" w:sz="2" w:space="0" w:color="auto"/>
              <w:bottom w:val="nil"/>
              <w:right w:val="single" w:sz="2" w:space="0" w:color="auto"/>
            </w:tcBorders>
          </w:tcPr>
          <w:p w14:paraId="52FF15FF" w14:textId="77777777" w:rsidR="00736294" w:rsidRPr="002D20CA" w:rsidRDefault="00736294" w:rsidP="00736294">
            <w:pPr>
              <w:tabs>
                <w:tab w:val="left" w:pos="3306"/>
              </w:tabs>
              <w:spacing w:before="40"/>
              <w:rPr>
                <w:rFonts w:cs="Calibri"/>
                <w:color w:val="7030A0"/>
                <w:sz w:val="14"/>
                <w:szCs w:val="14"/>
              </w:rPr>
            </w:pPr>
            <w:r w:rsidRPr="002D20CA">
              <w:rPr>
                <w:rFonts w:cs="Calibri"/>
                <w:color w:val="7030A0"/>
                <w:sz w:val="14"/>
                <w:szCs w:val="14"/>
              </w:rPr>
              <w:t>AASB 1058.32</w:t>
            </w:r>
          </w:p>
          <w:p w14:paraId="1EFBB78C" w14:textId="77777777" w:rsidR="00736294" w:rsidRPr="002D20CA" w:rsidRDefault="00736294" w:rsidP="00736294">
            <w:pPr>
              <w:tabs>
                <w:tab w:val="left" w:pos="3306"/>
              </w:tabs>
              <w:spacing w:before="40"/>
              <w:rPr>
                <w:rFonts w:cs="Calibri"/>
                <w:color w:val="7030A0"/>
                <w:sz w:val="14"/>
                <w:szCs w:val="14"/>
              </w:rPr>
            </w:pPr>
            <w:r w:rsidRPr="002D20CA">
              <w:rPr>
                <w:rFonts w:cs="Calibri"/>
                <w:color w:val="7030A0"/>
                <w:sz w:val="14"/>
                <w:szCs w:val="14"/>
              </w:rPr>
              <w:t>AASB 1058.35</w:t>
            </w:r>
          </w:p>
          <w:p w14:paraId="3F145474" w14:textId="77777777" w:rsidR="00736294" w:rsidRPr="002D20CA" w:rsidRDefault="00736294" w:rsidP="00736294">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tcPr>
          <w:p w14:paraId="09F8B558" w14:textId="1F83A5D8" w:rsidR="00736294" w:rsidRPr="002D20CA" w:rsidRDefault="00751795" w:rsidP="000627F8">
            <w:pPr>
              <w:spacing w:after="120"/>
              <w:jc w:val="both"/>
              <w:rPr>
                <w:sz w:val="18"/>
                <w:szCs w:val="18"/>
              </w:rPr>
            </w:pPr>
            <w:r w:rsidRPr="002D20CA">
              <w:rPr>
                <w:rFonts w:cs="Calibri"/>
                <w:iCs/>
                <w:sz w:val="18"/>
                <w:szCs w:val="18"/>
              </w:rPr>
              <w:t>L</w:t>
            </w:r>
            <w:r w:rsidR="00736294" w:rsidRPr="002D20CA">
              <w:rPr>
                <w:rFonts w:cs="Calibri"/>
                <w:iCs/>
                <w:sz w:val="18"/>
                <w:szCs w:val="18"/>
              </w:rPr>
              <w:t>iabilities relat</w:t>
            </w:r>
            <w:r w:rsidRPr="002D20CA">
              <w:rPr>
                <w:rFonts w:cs="Calibri"/>
                <w:iCs/>
                <w:sz w:val="18"/>
                <w:szCs w:val="18"/>
              </w:rPr>
              <w:t xml:space="preserve">ing </w:t>
            </w:r>
            <w:r w:rsidR="00736294" w:rsidRPr="002D20CA">
              <w:rPr>
                <w:rFonts w:cs="Calibri"/>
                <w:iCs/>
                <w:sz w:val="18"/>
                <w:szCs w:val="18"/>
              </w:rPr>
              <w:t>to funds received in advance</w:t>
            </w:r>
            <w:r w:rsidR="00736294" w:rsidRPr="002D20CA">
              <w:rPr>
                <w:sz w:val="18"/>
                <w:szCs w:val="18"/>
              </w:rPr>
              <w:t xml:space="preserve"> from the Commonwealth Government </w:t>
            </w:r>
            <w:r w:rsidR="00736294" w:rsidRPr="002D20CA">
              <w:rPr>
                <w:rFonts w:cs="Calibri"/>
                <w:iCs/>
                <w:sz w:val="18"/>
                <w:szCs w:val="18"/>
              </w:rPr>
              <w:t>for the construction of ABC highway which will be controlled by the Agency when complete.</w:t>
            </w:r>
            <w:r w:rsidR="00FA7C77">
              <w:rPr>
                <w:rFonts w:cs="Calibri"/>
                <w:iCs/>
                <w:sz w:val="18"/>
                <w:szCs w:val="18"/>
              </w:rPr>
              <w:t xml:space="preserve"> </w:t>
            </w:r>
            <w:r w:rsidR="00736294" w:rsidRPr="002D20CA">
              <w:rPr>
                <w:rFonts w:cs="Calibri"/>
                <w:iCs/>
                <w:sz w:val="18"/>
                <w:szCs w:val="18"/>
              </w:rPr>
              <w:t xml:space="preserve">The liability </w:t>
            </w:r>
            <w:r w:rsidR="002B0071" w:rsidRPr="002D20CA">
              <w:rPr>
                <w:rFonts w:cs="Calibri"/>
                <w:iCs/>
                <w:sz w:val="18"/>
                <w:szCs w:val="18"/>
              </w:rPr>
              <w:t>is</w:t>
            </w:r>
            <w:r w:rsidR="00736294" w:rsidRPr="002D20CA">
              <w:rPr>
                <w:rFonts w:cs="Calibri"/>
                <w:iCs/>
                <w:sz w:val="18"/>
                <w:szCs w:val="18"/>
              </w:rPr>
              <w:t xml:space="preserve"> reduc</w:t>
            </w:r>
            <w:r w:rsidR="002B0071" w:rsidRPr="002D20CA">
              <w:rPr>
                <w:rFonts w:cs="Calibri"/>
                <w:iCs/>
                <w:sz w:val="18"/>
                <w:szCs w:val="18"/>
              </w:rPr>
              <w:t>ing</w:t>
            </w:r>
            <w:r w:rsidR="00736294" w:rsidRPr="002D20CA">
              <w:rPr>
                <w:rFonts w:cs="Calibri"/>
                <w:iCs/>
                <w:sz w:val="18"/>
                <w:szCs w:val="18"/>
              </w:rPr>
              <w:t xml:space="preserve"> as revenue is recognised on a costs incurred basis over the course of construction in accordance with the satisfaction of the performance obligation which is over time as the Agency receives the benefit as the work is performed.</w:t>
            </w:r>
          </w:p>
        </w:tc>
      </w:tr>
      <w:tr w:rsidR="00736294" w:rsidRPr="00CF7E1B" w14:paraId="3839B740" w14:textId="77777777" w:rsidTr="0004564D">
        <w:trPr>
          <w:cantSplit/>
          <w:trHeight w:val="119"/>
        </w:trPr>
        <w:tc>
          <w:tcPr>
            <w:tcW w:w="1560" w:type="dxa"/>
            <w:tcBorders>
              <w:top w:val="nil"/>
              <w:left w:val="single" w:sz="2" w:space="0" w:color="auto"/>
              <w:bottom w:val="nil"/>
              <w:right w:val="single" w:sz="2" w:space="0" w:color="auto"/>
            </w:tcBorders>
          </w:tcPr>
          <w:p w14:paraId="4C7144DF" w14:textId="77777777" w:rsidR="00736294" w:rsidRPr="002D20CA" w:rsidRDefault="00736294" w:rsidP="00736294">
            <w:pPr>
              <w:pStyle w:val="TableReference"/>
              <w:tabs>
                <w:tab w:val="left" w:pos="3306"/>
              </w:tabs>
              <w:rPr>
                <w:snapToGrid w:val="0"/>
                <w:color w:val="7030A0"/>
                <w:sz w:val="14"/>
              </w:rPr>
            </w:pPr>
          </w:p>
        </w:tc>
        <w:tc>
          <w:tcPr>
            <w:tcW w:w="8930" w:type="dxa"/>
            <w:gridSpan w:val="3"/>
            <w:tcBorders>
              <w:top w:val="nil"/>
              <w:left w:val="single" w:sz="2" w:space="0" w:color="auto"/>
              <w:bottom w:val="nil"/>
              <w:right w:val="nil"/>
            </w:tcBorders>
            <w:vAlign w:val="bottom"/>
          </w:tcPr>
          <w:p w14:paraId="306BF243" w14:textId="77777777" w:rsidR="00736294" w:rsidRPr="002D20CA" w:rsidRDefault="00736294" w:rsidP="00736294">
            <w:pPr>
              <w:spacing w:after="120"/>
              <w:jc w:val="both"/>
              <w:rPr>
                <w:sz w:val="18"/>
                <w:szCs w:val="18"/>
              </w:rPr>
            </w:pPr>
          </w:p>
        </w:tc>
      </w:tr>
      <w:tr w:rsidR="00736294" w:rsidRPr="00CF7E1B" w14:paraId="1771D843" w14:textId="77777777" w:rsidTr="0004564D">
        <w:trPr>
          <w:cantSplit/>
          <w:trHeight w:val="290"/>
        </w:trPr>
        <w:tc>
          <w:tcPr>
            <w:tcW w:w="1560" w:type="dxa"/>
            <w:tcBorders>
              <w:top w:val="nil"/>
              <w:left w:val="single" w:sz="2" w:space="0" w:color="auto"/>
              <w:bottom w:val="nil"/>
              <w:right w:val="single" w:sz="2" w:space="0" w:color="auto"/>
            </w:tcBorders>
          </w:tcPr>
          <w:p w14:paraId="11573375" w14:textId="77777777" w:rsidR="00736294" w:rsidRPr="002D20CA" w:rsidRDefault="00736294" w:rsidP="00736294">
            <w:pPr>
              <w:pStyle w:val="TableReference"/>
              <w:tabs>
                <w:tab w:val="left" w:pos="3306"/>
              </w:tabs>
              <w:spacing w:before="40"/>
              <w:rPr>
                <w:rFonts w:cs="Calibri"/>
                <w:color w:val="7030A0"/>
                <w:sz w:val="16"/>
                <w:szCs w:val="16"/>
              </w:rPr>
            </w:pPr>
          </w:p>
        </w:tc>
        <w:tc>
          <w:tcPr>
            <w:tcW w:w="5676" w:type="dxa"/>
            <w:tcBorders>
              <w:top w:val="nil"/>
              <w:left w:val="single" w:sz="2" w:space="0" w:color="auto"/>
              <w:bottom w:val="nil"/>
              <w:right w:val="nil"/>
            </w:tcBorders>
            <w:vAlign w:val="bottom"/>
          </w:tcPr>
          <w:p w14:paraId="595DC095" w14:textId="77777777" w:rsidR="00736294" w:rsidRPr="002D20CA" w:rsidRDefault="00736294" w:rsidP="00736294">
            <w:pPr>
              <w:pStyle w:val="TableTitle"/>
              <w:tabs>
                <w:tab w:val="left" w:pos="3306"/>
              </w:tabs>
              <w:rPr>
                <w:rFonts w:cs="Calibri"/>
              </w:rPr>
            </w:pPr>
          </w:p>
        </w:tc>
        <w:tc>
          <w:tcPr>
            <w:tcW w:w="1824" w:type="dxa"/>
            <w:tcBorders>
              <w:top w:val="nil"/>
              <w:left w:val="nil"/>
              <w:bottom w:val="nil"/>
              <w:right w:val="nil"/>
            </w:tcBorders>
            <w:vAlign w:val="bottom"/>
          </w:tcPr>
          <w:p w14:paraId="7CB1ECFE" w14:textId="16D521DA" w:rsidR="00736294" w:rsidRPr="002D20CA" w:rsidRDefault="00736294" w:rsidP="00736294">
            <w:pPr>
              <w:pStyle w:val="TableTitle"/>
              <w:tabs>
                <w:tab w:val="left" w:pos="3306"/>
              </w:tabs>
              <w:rPr>
                <w:rFonts w:cs="Calibri"/>
              </w:rPr>
            </w:pPr>
            <w:r w:rsidRPr="002D20CA">
              <w:rPr>
                <w:rFonts w:cs="Calibri"/>
              </w:rPr>
              <w:t>2022</w:t>
            </w:r>
          </w:p>
          <w:p w14:paraId="50DDB672" w14:textId="77777777" w:rsidR="00736294" w:rsidRPr="002D20CA" w:rsidRDefault="00736294" w:rsidP="00736294">
            <w:pPr>
              <w:pStyle w:val="TableTitle"/>
              <w:tabs>
                <w:tab w:val="left" w:pos="3306"/>
              </w:tabs>
              <w:rPr>
                <w:rFonts w:cs="Calibri"/>
              </w:rPr>
            </w:pPr>
            <w:r w:rsidRPr="002D20CA">
              <w:rPr>
                <w:rFonts w:cs="Calibri"/>
              </w:rPr>
              <w:t>$’000</w:t>
            </w:r>
          </w:p>
        </w:tc>
        <w:tc>
          <w:tcPr>
            <w:tcW w:w="1430" w:type="dxa"/>
            <w:tcBorders>
              <w:top w:val="nil"/>
              <w:left w:val="nil"/>
              <w:bottom w:val="nil"/>
              <w:right w:val="nil"/>
            </w:tcBorders>
            <w:vAlign w:val="bottom"/>
          </w:tcPr>
          <w:p w14:paraId="64AD1C16" w14:textId="0230EE26" w:rsidR="00736294" w:rsidRPr="002D20CA" w:rsidRDefault="00736294" w:rsidP="00736294">
            <w:pPr>
              <w:pStyle w:val="TableTitle"/>
              <w:tabs>
                <w:tab w:val="left" w:pos="3306"/>
              </w:tabs>
              <w:rPr>
                <w:rFonts w:cs="Calibri"/>
              </w:rPr>
            </w:pPr>
            <w:r w:rsidRPr="002D20CA">
              <w:rPr>
                <w:rFonts w:cs="Calibri"/>
              </w:rPr>
              <w:t>2021</w:t>
            </w:r>
          </w:p>
          <w:p w14:paraId="601B6EAD" w14:textId="77777777" w:rsidR="00736294" w:rsidRPr="002D20CA" w:rsidRDefault="00736294" w:rsidP="00736294">
            <w:pPr>
              <w:pStyle w:val="TableTitle"/>
              <w:tabs>
                <w:tab w:val="left" w:pos="3306"/>
              </w:tabs>
              <w:rPr>
                <w:rFonts w:cs="Calibri"/>
              </w:rPr>
            </w:pPr>
            <w:r w:rsidRPr="002D20CA">
              <w:rPr>
                <w:rFonts w:cs="Calibri"/>
              </w:rPr>
              <w:t>$’000</w:t>
            </w:r>
          </w:p>
        </w:tc>
      </w:tr>
      <w:tr w:rsidR="00736294" w:rsidRPr="00CF7E1B" w14:paraId="1AD91184" w14:textId="77777777" w:rsidTr="0004564D">
        <w:trPr>
          <w:cantSplit/>
          <w:trHeight w:val="23"/>
        </w:trPr>
        <w:tc>
          <w:tcPr>
            <w:tcW w:w="1560" w:type="dxa"/>
            <w:tcBorders>
              <w:top w:val="nil"/>
              <w:left w:val="single" w:sz="2" w:space="0" w:color="auto"/>
              <w:bottom w:val="nil"/>
              <w:right w:val="single" w:sz="2" w:space="0" w:color="auto"/>
            </w:tcBorders>
          </w:tcPr>
          <w:p w14:paraId="05824E05" w14:textId="77777777"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ACT Disclosure Policy</w:t>
            </w:r>
          </w:p>
        </w:tc>
        <w:tc>
          <w:tcPr>
            <w:tcW w:w="5676" w:type="dxa"/>
            <w:tcBorders>
              <w:top w:val="nil"/>
              <w:left w:val="single" w:sz="2" w:space="0" w:color="auto"/>
              <w:bottom w:val="nil"/>
              <w:right w:val="nil"/>
            </w:tcBorders>
            <w:vAlign w:val="bottom"/>
          </w:tcPr>
          <w:p w14:paraId="72F7DAD3" w14:textId="77777777" w:rsidR="00736294" w:rsidRPr="002D20CA" w:rsidRDefault="00736294" w:rsidP="00736294">
            <w:pPr>
              <w:pStyle w:val="TableText"/>
              <w:tabs>
                <w:tab w:val="left" w:pos="3306"/>
              </w:tabs>
              <w:rPr>
                <w:rFonts w:cs="Calibri"/>
                <w:b/>
                <w:bCs/>
              </w:rPr>
            </w:pPr>
            <w:r w:rsidRPr="002D20CA">
              <w:rPr>
                <w:rFonts w:cs="Calibri"/>
                <w:b/>
                <w:bCs/>
              </w:rPr>
              <w:t>Current Other Liabilities</w:t>
            </w:r>
          </w:p>
        </w:tc>
        <w:tc>
          <w:tcPr>
            <w:tcW w:w="1824" w:type="dxa"/>
            <w:tcBorders>
              <w:top w:val="nil"/>
              <w:left w:val="nil"/>
              <w:bottom w:val="nil"/>
              <w:right w:val="nil"/>
            </w:tcBorders>
            <w:vAlign w:val="bottom"/>
          </w:tcPr>
          <w:p w14:paraId="2992B5A8" w14:textId="77777777"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7C4FC22C" w14:textId="77777777" w:rsidR="00736294" w:rsidRPr="002D20CA" w:rsidRDefault="00736294" w:rsidP="00736294">
            <w:pPr>
              <w:pStyle w:val="TableText"/>
              <w:tabs>
                <w:tab w:val="left" w:pos="3306"/>
              </w:tabs>
              <w:jc w:val="right"/>
              <w:rPr>
                <w:rFonts w:cs="Calibri"/>
              </w:rPr>
            </w:pPr>
          </w:p>
        </w:tc>
      </w:tr>
      <w:tr w:rsidR="00736294" w:rsidRPr="00CF7E1B" w14:paraId="2FF66006" w14:textId="77777777" w:rsidTr="0004564D">
        <w:trPr>
          <w:cantSplit/>
          <w:trHeight w:val="23"/>
        </w:trPr>
        <w:tc>
          <w:tcPr>
            <w:tcW w:w="1560" w:type="dxa"/>
            <w:tcBorders>
              <w:top w:val="nil"/>
              <w:left w:val="single" w:sz="2" w:space="0" w:color="auto"/>
              <w:bottom w:val="nil"/>
              <w:right w:val="single" w:sz="2" w:space="0" w:color="auto"/>
            </w:tcBorders>
          </w:tcPr>
          <w:p w14:paraId="1481AE6D"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4E0D4B49" w14:textId="77777777" w:rsidR="00736294" w:rsidRPr="002D20CA" w:rsidRDefault="00736294" w:rsidP="00736294">
            <w:pPr>
              <w:pStyle w:val="TableText"/>
              <w:tabs>
                <w:tab w:val="left" w:pos="3306"/>
              </w:tabs>
              <w:rPr>
                <w:rFonts w:cs="Calibri"/>
              </w:rPr>
            </w:pPr>
            <w:r w:rsidRPr="002D20CA">
              <w:rPr>
                <w:rFonts w:cs="Calibri"/>
              </w:rPr>
              <w:t xml:space="preserve">Revenue Received in Advance </w:t>
            </w:r>
          </w:p>
        </w:tc>
        <w:tc>
          <w:tcPr>
            <w:tcW w:w="1824" w:type="dxa"/>
            <w:tcBorders>
              <w:top w:val="nil"/>
              <w:left w:val="nil"/>
              <w:bottom w:val="nil"/>
              <w:right w:val="nil"/>
            </w:tcBorders>
            <w:vAlign w:val="bottom"/>
          </w:tcPr>
          <w:p w14:paraId="6F0E187E" w14:textId="719A2304" w:rsidR="00736294" w:rsidRPr="002D20CA" w:rsidRDefault="00736294" w:rsidP="00736294">
            <w:pPr>
              <w:pStyle w:val="TableText"/>
              <w:tabs>
                <w:tab w:val="left" w:pos="3306"/>
              </w:tabs>
              <w:jc w:val="right"/>
              <w:rPr>
                <w:rFonts w:cs="Calibri"/>
                <w:strike/>
              </w:rPr>
            </w:pPr>
          </w:p>
        </w:tc>
        <w:tc>
          <w:tcPr>
            <w:tcW w:w="1430" w:type="dxa"/>
            <w:tcBorders>
              <w:top w:val="nil"/>
              <w:left w:val="nil"/>
              <w:bottom w:val="nil"/>
              <w:right w:val="nil"/>
            </w:tcBorders>
            <w:vAlign w:val="bottom"/>
          </w:tcPr>
          <w:p w14:paraId="0ACE85F9" w14:textId="00986653" w:rsidR="00736294" w:rsidRPr="002D20CA" w:rsidRDefault="00736294" w:rsidP="00736294">
            <w:pPr>
              <w:pStyle w:val="TableText"/>
              <w:tabs>
                <w:tab w:val="left" w:pos="3306"/>
              </w:tabs>
              <w:jc w:val="right"/>
              <w:rPr>
                <w:rFonts w:cs="Calibri"/>
              </w:rPr>
            </w:pPr>
          </w:p>
        </w:tc>
      </w:tr>
      <w:tr w:rsidR="00736294" w:rsidRPr="00CF7E1B" w14:paraId="6F58C86B" w14:textId="77777777" w:rsidTr="0004564D">
        <w:trPr>
          <w:cantSplit/>
          <w:trHeight w:val="23"/>
        </w:trPr>
        <w:tc>
          <w:tcPr>
            <w:tcW w:w="1560" w:type="dxa"/>
            <w:tcBorders>
              <w:top w:val="nil"/>
              <w:left w:val="single" w:sz="2" w:space="0" w:color="auto"/>
              <w:bottom w:val="nil"/>
              <w:right w:val="single" w:sz="2" w:space="0" w:color="auto"/>
            </w:tcBorders>
          </w:tcPr>
          <w:p w14:paraId="19CE935C"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24F7E759" w14:textId="77777777" w:rsidR="00736294" w:rsidRPr="002D20CA" w:rsidRDefault="00736294" w:rsidP="00736294">
            <w:pPr>
              <w:pStyle w:val="TableText"/>
              <w:tabs>
                <w:tab w:val="left" w:pos="3306"/>
              </w:tabs>
              <w:rPr>
                <w:rFonts w:cs="Calibri"/>
              </w:rPr>
            </w:pPr>
            <w:r w:rsidRPr="002D20CA">
              <w:rPr>
                <w:rFonts w:cs="Calibri"/>
              </w:rPr>
              <w:t xml:space="preserve">Rent Received in Advance </w:t>
            </w:r>
          </w:p>
        </w:tc>
        <w:tc>
          <w:tcPr>
            <w:tcW w:w="1824" w:type="dxa"/>
            <w:tcBorders>
              <w:top w:val="nil"/>
              <w:left w:val="nil"/>
              <w:bottom w:val="nil"/>
              <w:right w:val="nil"/>
            </w:tcBorders>
            <w:vAlign w:val="bottom"/>
          </w:tcPr>
          <w:p w14:paraId="5572FA47" w14:textId="0B05C439" w:rsidR="00736294" w:rsidRPr="002D20CA" w:rsidRDefault="00736294" w:rsidP="00736294">
            <w:pPr>
              <w:pStyle w:val="TableText"/>
              <w:tabs>
                <w:tab w:val="left" w:pos="3306"/>
              </w:tabs>
              <w:jc w:val="right"/>
              <w:rPr>
                <w:rFonts w:cs="Calibri"/>
                <w:strike/>
              </w:rPr>
            </w:pPr>
          </w:p>
        </w:tc>
        <w:tc>
          <w:tcPr>
            <w:tcW w:w="1430" w:type="dxa"/>
            <w:tcBorders>
              <w:top w:val="nil"/>
              <w:left w:val="nil"/>
              <w:bottom w:val="nil"/>
              <w:right w:val="nil"/>
            </w:tcBorders>
            <w:vAlign w:val="bottom"/>
          </w:tcPr>
          <w:p w14:paraId="36F8516E" w14:textId="413E3861" w:rsidR="00736294" w:rsidRPr="002D20CA" w:rsidRDefault="00736294" w:rsidP="00736294">
            <w:pPr>
              <w:pStyle w:val="TableText"/>
              <w:tabs>
                <w:tab w:val="left" w:pos="3306"/>
              </w:tabs>
              <w:jc w:val="right"/>
              <w:rPr>
                <w:rFonts w:cs="Calibri"/>
              </w:rPr>
            </w:pPr>
          </w:p>
        </w:tc>
      </w:tr>
      <w:tr w:rsidR="00736294" w:rsidRPr="00CF7E1B" w14:paraId="4F2EC30D" w14:textId="77777777" w:rsidTr="0004564D">
        <w:trPr>
          <w:cantSplit/>
          <w:trHeight w:val="23"/>
        </w:trPr>
        <w:tc>
          <w:tcPr>
            <w:tcW w:w="1560" w:type="dxa"/>
            <w:tcBorders>
              <w:top w:val="nil"/>
              <w:left w:val="single" w:sz="2" w:space="0" w:color="auto"/>
              <w:bottom w:val="nil"/>
              <w:right w:val="single" w:sz="2" w:space="0" w:color="auto"/>
            </w:tcBorders>
          </w:tcPr>
          <w:p w14:paraId="3C0D9A72"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70EADEB4" w14:textId="57C9BF28" w:rsidR="00736294" w:rsidRPr="002D20CA" w:rsidRDefault="00736294" w:rsidP="00736294">
            <w:pPr>
              <w:pStyle w:val="TableText"/>
              <w:tabs>
                <w:tab w:val="left" w:pos="3306"/>
              </w:tabs>
              <w:rPr>
                <w:rFonts w:cs="Calibri"/>
              </w:rPr>
            </w:pPr>
            <w:r w:rsidRPr="002D20CA">
              <w:rPr>
                <w:rFonts w:cs="Calibri"/>
              </w:rPr>
              <w:t>Liabilities under Transfers to Acquire or Construct Non-Financial Assets to be Controlled by the Agency</w:t>
            </w:r>
          </w:p>
        </w:tc>
        <w:tc>
          <w:tcPr>
            <w:tcW w:w="1824" w:type="dxa"/>
            <w:tcBorders>
              <w:top w:val="nil"/>
              <w:left w:val="nil"/>
              <w:bottom w:val="nil"/>
              <w:right w:val="nil"/>
            </w:tcBorders>
            <w:vAlign w:val="bottom"/>
          </w:tcPr>
          <w:p w14:paraId="7D6E90AE" w14:textId="77457028"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15B155A1" w14:textId="77777777" w:rsidR="00736294" w:rsidRPr="002D20CA" w:rsidRDefault="00736294" w:rsidP="00736294">
            <w:pPr>
              <w:pStyle w:val="TableText"/>
              <w:tabs>
                <w:tab w:val="left" w:pos="3306"/>
              </w:tabs>
              <w:jc w:val="right"/>
              <w:rPr>
                <w:rFonts w:cs="Calibri"/>
              </w:rPr>
            </w:pPr>
          </w:p>
        </w:tc>
      </w:tr>
      <w:tr w:rsidR="00736294" w:rsidRPr="00CF7E1B" w14:paraId="31B5BAD6" w14:textId="77777777" w:rsidTr="0004564D">
        <w:trPr>
          <w:cantSplit/>
          <w:trHeight w:val="23"/>
        </w:trPr>
        <w:tc>
          <w:tcPr>
            <w:tcW w:w="1560" w:type="dxa"/>
            <w:tcBorders>
              <w:top w:val="nil"/>
              <w:left w:val="single" w:sz="2" w:space="0" w:color="auto"/>
              <w:bottom w:val="nil"/>
              <w:right w:val="single" w:sz="2" w:space="0" w:color="auto"/>
            </w:tcBorders>
          </w:tcPr>
          <w:p w14:paraId="71935C30" w14:textId="77777777" w:rsidR="00736294" w:rsidRPr="002D20CA" w:rsidRDefault="00736294" w:rsidP="00736294">
            <w:pPr>
              <w:pStyle w:val="TableReference"/>
              <w:tabs>
                <w:tab w:val="left" w:pos="3306"/>
              </w:tabs>
              <w:spacing w:before="60"/>
              <w:rPr>
                <w:rFonts w:cs="Calibri"/>
                <w:color w:val="7030A0"/>
                <w:sz w:val="14"/>
              </w:rPr>
            </w:pPr>
          </w:p>
        </w:tc>
        <w:tc>
          <w:tcPr>
            <w:tcW w:w="5676" w:type="dxa"/>
            <w:tcBorders>
              <w:top w:val="nil"/>
              <w:left w:val="single" w:sz="2" w:space="0" w:color="auto"/>
              <w:bottom w:val="nil"/>
              <w:right w:val="nil"/>
            </w:tcBorders>
            <w:vAlign w:val="bottom"/>
          </w:tcPr>
          <w:p w14:paraId="3D44866A" w14:textId="7CD2F742" w:rsidR="00736294" w:rsidRPr="002D20CA" w:rsidRDefault="00736294" w:rsidP="00736294">
            <w:pPr>
              <w:pStyle w:val="TableText"/>
              <w:tabs>
                <w:tab w:val="left" w:pos="3306"/>
              </w:tabs>
              <w:rPr>
                <w:rFonts w:cs="Calibri"/>
              </w:rPr>
            </w:pPr>
            <w:r w:rsidRPr="002D20CA">
              <w:rPr>
                <w:rFonts w:cs="Calibri"/>
              </w:rPr>
              <w:t>Grant of a Right to the Operator Liability</w:t>
            </w:r>
          </w:p>
        </w:tc>
        <w:tc>
          <w:tcPr>
            <w:tcW w:w="1824" w:type="dxa"/>
            <w:tcBorders>
              <w:top w:val="nil"/>
              <w:left w:val="nil"/>
              <w:bottom w:val="nil"/>
              <w:right w:val="nil"/>
            </w:tcBorders>
            <w:vAlign w:val="bottom"/>
          </w:tcPr>
          <w:p w14:paraId="08E5566B" w14:textId="77777777" w:rsidR="00736294" w:rsidRPr="002D20CA" w:rsidRDefault="00736294" w:rsidP="00736294">
            <w:pPr>
              <w:pStyle w:val="TableText"/>
              <w:tabs>
                <w:tab w:val="left" w:pos="3306"/>
              </w:tabs>
              <w:jc w:val="right"/>
              <w:rPr>
                <w:rFonts w:cs="Calibri"/>
              </w:rPr>
            </w:pPr>
          </w:p>
        </w:tc>
        <w:tc>
          <w:tcPr>
            <w:tcW w:w="1430" w:type="dxa"/>
            <w:tcBorders>
              <w:top w:val="nil"/>
              <w:left w:val="nil"/>
              <w:bottom w:val="nil"/>
              <w:right w:val="nil"/>
            </w:tcBorders>
            <w:vAlign w:val="bottom"/>
          </w:tcPr>
          <w:p w14:paraId="61310C67" w14:textId="77777777" w:rsidR="00736294" w:rsidRPr="002D20CA" w:rsidRDefault="00736294" w:rsidP="00736294">
            <w:pPr>
              <w:pStyle w:val="TableText"/>
              <w:tabs>
                <w:tab w:val="left" w:pos="3306"/>
              </w:tabs>
              <w:jc w:val="right"/>
              <w:rPr>
                <w:rFonts w:cs="Calibri"/>
              </w:rPr>
            </w:pPr>
          </w:p>
        </w:tc>
      </w:tr>
      <w:tr w:rsidR="00736294" w:rsidRPr="00CF7E1B" w14:paraId="5A7A0415" w14:textId="77777777" w:rsidTr="0004564D">
        <w:trPr>
          <w:cantSplit/>
          <w:trHeight w:val="23"/>
        </w:trPr>
        <w:tc>
          <w:tcPr>
            <w:tcW w:w="1560" w:type="dxa"/>
            <w:tcBorders>
              <w:top w:val="nil"/>
              <w:left w:val="single" w:sz="2" w:space="0" w:color="auto"/>
              <w:bottom w:val="nil"/>
              <w:right w:val="single" w:sz="2" w:space="0" w:color="auto"/>
            </w:tcBorders>
          </w:tcPr>
          <w:p w14:paraId="4FFDA117"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5019C140" w14:textId="77777777" w:rsidR="00736294" w:rsidRPr="002D20CA" w:rsidRDefault="00736294" w:rsidP="00736294">
            <w:pPr>
              <w:pStyle w:val="TableText"/>
              <w:tabs>
                <w:tab w:val="left" w:pos="3306"/>
              </w:tabs>
              <w:rPr>
                <w:rFonts w:cs="Calibri"/>
              </w:rPr>
            </w:pPr>
            <w:r w:rsidRPr="002D20CA">
              <w:rPr>
                <w:rFonts w:cs="Calibri"/>
              </w:rPr>
              <w:t>Other</w:t>
            </w:r>
          </w:p>
        </w:tc>
        <w:tc>
          <w:tcPr>
            <w:tcW w:w="1824" w:type="dxa"/>
            <w:tcBorders>
              <w:top w:val="nil"/>
              <w:left w:val="nil"/>
              <w:bottom w:val="single" w:sz="2" w:space="0" w:color="auto"/>
              <w:right w:val="nil"/>
            </w:tcBorders>
            <w:vAlign w:val="bottom"/>
          </w:tcPr>
          <w:p w14:paraId="0717A28C" w14:textId="3B4BBBCE" w:rsidR="00736294" w:rsidRPr="002D20CA" w:rsidRDefault="00736294" w:rsidP="00736294">
            <w:pPr>
              <w:pStyle w:val="TableText"/>
              <w:tabs>
                <w:tab w:val="left" w:pos="3306"/>
              </w:tabs>
              <w:jc w:val="right"/>
              <w:rPr>
                <w:rFonts w:cs="Calibri"/>
              </w:rPr>
            </w:pPr>
          </w:p>
        </w:tc>
        <w:tc>
          <w:tcPr>
            <w:tcW w:w="1430" w:type="dxa"/>
            <w:tcBorders>
              <w:top w:val="nil"/>
              <w:left w:val="nil"/>
              <w:bottom w:val="single" w:sz="2" w:space="0" w:color="auto"/>
              <w:right w:val="nil"/>
            </w:tcBorders>
            <w:vAlign w:val="bottom"/>
          </w:tcPr>
          <w:p w14:paraId="30C396B9" w14:textId="3DECAA3D" w:rsidR="00736294" w:rsidRPr="002D20CA" w:rsidRDefault="00736294" w:rsidP="00736294">
            <w:pPr>
              <w:pStyle w:val="TableText"/>
              <w:tabs>
                <w:tab w:val="left" w:pos="3306"/>
              </w:tabs>
              <w:jc w:val="right"/>
              <w:rPr>
                <w:rFonts w:cs="Calibri"/>
              </w:rPr>
            </w:pPr>
          </w:p>
        </w:tc>
      </w:tr>
      <w:tr w:rsidR="00736294" w:rsidRPr="00CF7E1B" w14:paraId="79F2362B" w14:textId="77777777" w:rsidTr="0004564D">
        <w:trPr>
          <w:cantSplit/>
          <w:trHeight w:val="23"/>
        </w:trPr>
        <w:tc>
          <w:tcPr>
            <w:tcW w:w="1560" w:type="dxa"/>
            <w:tcBorders>
              <w:top w:val="nil"/>
              <w:left w:val="single" w:sz="2" w:space="0" w:color="auto"/>
              <w:bottom w:val="nil"/>
              <w:right w:val="single" w:sz="2" w:space="0" w:color="auto"/>
            </w:tcBorders>
          </w:tcPr>
          <w:p w14:paraId="15FB8168"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6CA03C35" w14:textId="77777777" w:rsidR="00736294" w:rsidRPr="002D20CA" w:rsidRDefault="00736294" w:rsidP="00751795">
            <w:pPr>
              <w:pStyle w:val="TableText"/>
              <w:tabs>
                <w:tab w:val="left" w:pos="3306"/>
              </w:tabs>
              <w:spacing w:after="120"/>
              <w:rPr>
                <w:rFonts w:cs="Calibri"/>
                <w:b/>
                <w:bCs/>
              </w:rPr>
            </w:pPr>
            <w:r w:rsidRPr="002D20CA">
              <w:rPr>
                <w:rFonts w:cs="Calibri"/>
                <w:b/>
                <w:bCs/>
              </w:rPr>
              <w:t>Total Current Other Liabilities</w:t>
            </w:r>
          </w:p>
        </w:tc>
        <w:tc>
          <w:tcPr>
            <w:tcW w:w="1824" w:type="dxa"/>
            <w:tcBorders>
              <w:top w:val="single" w:sz="2" w:space="0" w:color="auto"/>
              <w:left w:val="nil"/>
              <w:bottom w:val="single" w:sz="2" w:space="0" w:color="auto"/>
              <w:right w:val="nil"/>
            </w:tcBorders>
            <w:vAlign w:val="bottom"/>
          </w:tcPr>
          <w:p w14:paraId="5A32BDC1" w14:textId="71A722FE" w:rsidR="00736294" w:rsidRPr="002D20CA" w:rsidRDefault="00736294" w:rsidP="00736294">
            <w:pPr>
              <w:pStyle w:val="TableText"/>
              <w:tabs>
                <w:tab w:val="left" w:pos="3306"/>
              </w:tabs>
              <w:jc w:val="right"/>
              <w:rPr>
                <w:rFonts w:cs="Calibri"/>
                <w:b/>
                <w:bCs/>
              </w:rPr>
            </w:pPr>
          </w:p>
        </w:tc>
        <w:tc>
          <w:tcPr>
            <w:tcW w:w="1430" w:type="dxa"/>
            <w:tcBorders>
              <w:top w:val="single" w:sz="2" w:space="0" w:color="auto"/>
              <w:left w:val="nil"/>
              <w:bottom w:val="single" w:sz="2" w:space="0" w:color="auto"/>
              <w:right w:val="nil"/>
            </w:tcBorders>
            <w:vAlign w:val="bottom"/>
          </w:tcPr>
          <w:p w14:paraId="67A682BB" w14:textId="637098EA" w:rsidR="00736294" w:rsidRPr="002D20CA" w:rsidRDefault="00736294" w:rsidP="00736294">
            <w:pPr>
              <w:pStyle w:val="TableText"/>
              <w:tabs>
                <w:tab w:val="left" w:pos="3306"/>
              </w:tabs>
              <w:jc w:val="right"/>
              <w:rPr>
                <w:rFonts w:cs="Calibri"/>
                <w:b/>
                <w:bCs/>
              </w:rPr>
            </w:pPr>
          </w:p>
        </w:tc>
      </w:tr>
      <w:tr w:rsidR="00736294" w:rsidRPr="00CF7E1B" w14:paraId="0AB0970F" w14:textId="77777777" w:rsidTr="0004564D">
        <w:trPr>
          <w:cantSplit/>
          <w:trHeight w:val="23"/>
        </w:trPr>
        <w:tc>
          <w:tcPr>
            <w:tcW w:w="1560" w:type="dxa"/>
            <w:tcBorders>
              <w:top w:val="nil"/>
              <w:left w:val="single" w:sz="2" w:space="0" w:color="auto"/>
              <w:bottom w:val="nil"/>
              <w:right w:val="single" w:sz="2" w:space="0" w:color="auto"/>
            </w:tcBorders>
          </w:tcPr>
          <w:p w14:paraId="5C150196" w14:textId="77777777"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ACT Disclosure Policy</w:t>
            </w:r>
          </w:p>
        </w:tc>
        <w:tc>
          <w:tcPr>
            <w:tcW w:w="5676" w:type="dxa"/>
            <w:tcBorders>
              <w:top w:val="nil"/>
              <w:left w:val="single" w:sz="2" w:space="0" w:color="auto"/>
              <w:bottom w:val="nil"/>
              <w:right w:val="nil"/>
            </w:tcBorders>
            <w:vAlign w:val="bottom"/>
          </w:tcPr>
          <w:p w14:paraId="2CEABBF9" w14:textId="77777777" w:rsidR="00736294" w:rsidRPr="002D20CA" w:rsidRDefault="00736294" w:rsidP="00736294">
            <w:pPr>
              <w:pStyle w:val="TableText"/>
              <w:tabs>
                <w:tab w:val="left" w:pos="3306"/>
              </w:tabs>
              <w:rPr>
                <w:rFonts w:cs="Calibri"/>
                <w:b/>
                <w:bCs/>
              </w:rPr>
            </w:pPr>
            <w:r w:rsidRPr="002D20CA">
              <w:rPr>
                <w:rFonts w:cs="Calibri"/>
                <w:b/>
                <w:bCs/>
              </w:rPr>
              <w:t>Non-Current Other Liabilities</w:t>
            </w:r>
          </w:p>
        </w:tc>
        <w:tc>
          <w:tcPr>
            <w:tcW w:w="1824" w:type="dxa"/>
            <w:tcBorders>
              <w:top w:val="single" w:sz="2" w:space="0" w:color="auto"/>
              <w:left w:val="nil"/>
              <w:bottom w:val="nil"/>
              <w:right w:val="nil"/>
            </w:tcBorders>
            <w:vAlign w:val="bottom"/>
          </w:tcPr>
          <w:p w14:paraId="443A0930" w14:textId="77777777" w:rsidR="00736294" w:rsidRPr="002D20CA" w:rsidRDefault="00736294" w:rsidP="00736294">
            <w:pPr>
              <w:pStyle w:val="TableText"/>
              <w:tabs>
                <w:tab w:val="left" w:pos="3306"/>
              </w:tabs>
              <w:jc w:val="right"/>
              <w:rPr>
                <w:rFonts w:cs="Calibri"/>
              </w:rPr>
            </w:pPr>
          </w:p>
        </w:tc>
        <w:tc>
          <w:tcPr>
            <w:tcW w:w="1430" w:type="dxa"/>
            <w:tcBorders>
              <w:top w:val="single" w:sz="2" w:space="0" w:color="auto"/>
              <w:left w:val="nil"/>
              <w:bottom w:val="nil"/>
              <w:right w:val="nil"/>
            </w:tcBorders>
            <w:vAlign w:val="bottom"/>
          </w:tcPr>
          <w:p w14:paraId="017F4617" w14:textId="77777777" w:rsidR="00736294" w:rsidRPr="002D20CA" w:rsidRDefault="00736294" w:rsidP="00736294">
            <w:pPr>
              <w:pStyle w:val="TableText"/>
              <w:tabs>
                <w:tab w:val="left" w:pos="3306"/>
              </w:tabs>
              <w:jc w:val="right"/>
              <w:rPr>
                <w:rFonts w:cs="Calibri"/>
              </w:rPr>
            </w:pPr>
          </w:p>
        </w:tc>
      </w:tr>
      <w:tr w:rsidR="00736294" w:rsidRPr="00CF7E1B" w14:paraId="629A9142" w14:textId="77777777" w:rsidTr="0004564D">
        <w:trPr>
          <w:cantSplit/>
          <w:trHeight w:val="23"/>
        </w:trPr>
        <w:tc>
          <w:tcPr>
            <w:tcW w:w="1560" w:type="dxa"/>
            <w:tcBorders>
              <w:top w:val="nil"/>
              <w:left w:val="single" w:sz="2" w:space="0" w:color="auto"/>
              <w:bottom w:val="nil"/>
              <w:right w:val="single" w:sz="2" w:space="0" w:color="auto"/>
            </w:tcBorders>
          </w:tcPr>
          <w:p w14:paraId="339FBE7E" w14:textId="77777777" w:rsidR="00736294" w:rsidRPr="002D20CA" w:rsidRDefault="00736294" w:rsidP="00736294">
            <w:pPr>
              <w:pStyle w:val="TableReference"/>
              <w:tabs>
                <w:tab w:val="left" w:pos="3306"/>
              </w:tabs>
              <w:spacing w:before="60"/>
              <w:rPr>
                <w:rFonts w:cs="Calibri"/>
                <w:color w:val="7030A0"/>
                <w:sz w:val="14"/>
              </w:rPr>
            </w:pPr>
            <w:r w:rsidRPr="002D20CA">
              <w:rPr>
                <w:rFonts w:cs="Calibri"/>
                <w:color w:val="7030A0"/>
                <w:sz w:val="14"/>
              </w:rPr>
              <w:t>AASB 101.77</w:t>
            </w:r>
          </w:p>
        </w:tc>
        <w:tc>
          <w:tcPr>
            <w:tcW w:w="5676" w:type="dxa"/>
            <w:tcBorders>
              <w:top w:val="nil"/>
              <w:left w:val="single" w:sz="2" w:space="0" w:color="auto"/>
              <w:bottom w:val="nil"/>
              <w:right w:val="nil"/>
            </w:tcBorders>
            <w:vAlign w:val="bottom"/>
          </w:tcPr>
          <w:p w14:paraId="125BB4EA" w14:textId="34EAB399" w:rsidR="00736294" w:rsidRPr="002D20CA" w:rsidRDefault="00736294" w:rsidP="00736294">
            <w:pPr>
              <w:pStyle w:val="TableText"/>
              <w:tabs>
                <w:tab w:val="left" w:pos="3306"/>
              </w:tabs>
              <w:rPr>
                <w:rFonts w:cs="Calibri"/>
              </w:rPr>
            </w:pPr>
            <w:r w:rsidRPr="002D20CA">
              <w:rPr>
                <w:rFonts w:cs="Calibri"/>
              </w:rPr>
              <w:t>Revenue Received in Advance</w:t>
            </w:r>
            <w:r w:rsidR="00FA7C77">
              <w:rPr>
                <w:rFonts w:cs="Calibri"/>
              </w:rPr>
              <w:t xml:space="preserve"> </w:t>
            </w:r>
            <w:r w:rsidRPr="002D20CA">
              <w:rPr>
                <w:rFonts w:cs="Calibri"/>
              </w:rPr>
              <w:t xml:space="preserve"> </w:t>
            </w:r>
          </w:p>
        </w:tc>
        <w:tc>
          <w:tcPr>
            <w:tcW w:w="1824" w:type="dxa"/>
            <w:tcBorders>
              <w:top w:val="nil"/>
              <w:left w:val="nil"/>
              <w:bottom w:val="nil"/>
              <w:right w:val="nil"/>
            </w:tcBorders>
            <w:vAlign w:val="bottom"/>
          </w:tcPr>
          <w:p w14:paraId="63383BA0" w14:textId="103CF20A" w:rsidR="00736294" w:rsidRPr="002D20CA" w:rsidRDefault="00736294" w:rsidP="00736294">
            <w:pPr>
              <w:pStyle w:val="TableText"/>
              <w:tabs>
                <w:tab w:val="left" w:pos="3306"/>
              </w:tabs>
              <w:jc w:val="right"/>
              <w:rPr>
                <w:rFonts w:cs="Calibri"/>
                <w:strike/>
              </w:rPr>
            </w:pPr>
          </w:p>
        </w:tc>
        <w:tc>
          <w:tcPr>
            <w:tcW w:w="1430" w:type="dxa"/>
            <w:tcBorders>
              <w:top w:val="nil"/>
              <w:left w:val="nil"/>
              <w:bottom w:val="nil"/>
              <w:right w:val="nil"/>
            </w:tcBorders>
            <w:vAlign w:val="bottom"/>
          </w:tcPr>
          <w:p w14:paraId="7F545DAC" w14:textId="33F6703F" w:rsidR="00736294" w:rsidRPr="002D20CA" w:rsidRDefault="00736294" w:rsidP="00736294">
            <w:pPr>
              <w:pStyle w:val="TableText"/>
              <w:tabs>
                <w:tab w:val="left" w:pos="3306"/>
              </w:tabs>
              <w:jc w:val="right"/>
              <w:rPr>
                <w:rFonts w:cs="Calibri"/>
              </w:rPr>
            </w:pPr>
          </w:p>
        </w:tc>
      </w:tr>
      <w:tr w:rsidR="00736294" w:rsidRPr="00CF7E1B" w14:paraId="628B3ED2" w14:textId="77777777" w:rsidTr="0004564D">
        <w:trPr>
          <w:cantSplit/>
          <w:trHeight w:val="23"/>
        </w:trPr>
        <w:tc>
          <w:tcPr>
            <w:tcW w:w="1560" w:type="dxa"/>
            <w:tcBorders>
              <w:top w:val="nil"/>
              <w:left w:val="single" w:sz="2" w:space="0" w:color="auto"/>
              <w:bottom w:val="nil"/>
              <w:right w:val="single" w:sz="2" w:space="0" w:color="auto"/>
            </w:tcBorders>
          </w:tcPr>
          <w:p w14:paraId="4FC9B029" w14:textId="77777777" w:rsidR="00736294" w:rsidRPr="002D20CA" w:rsidRDefault="00736294" w:rsidP="00736294">
            <w:pPr>
              <w:pStyle w:val="TableReference"/>
              <w:tabs>
                <w:tab w:val="left" w:pos="3306"/>
              </w:tabs>
              <w:spacing w:before="60"/>
              <w:rPr>
                <w:rFonts w:cs="Calibri"/>
                <w:color w:val="7030A0"/>
                <w:sz w:val="14"/>
              </w:rPr>
            </w:pPr>
          </w:p>
        </w:tc>
        <w:tc>
          <w:tcPr>
            <w:tcW w:w="5676" w:type="dxa"/>
            <w:tcBorders>
              <w:top w:val="nil"/>
              <w:left w:val="single" w:sz="2" w:space="0" w:color="auto"/>
              <w:bottom w:val="nil"/>
              <w:right w:val="nil"/>
            </w:tcBorders>
            <w:vAlign w:val="bottom"/>
          </w:tcPr>
          <w:p w14:paraId="0777F82E" w14:textId="36A2C8EC" w:rsidR="00736294" w:rsidRPr="002D20CA" w:rsidRDefault="00736294" w:rsidP="00736294">
            <w:pPr>
              <w:pStyle w:val="TableText"/>
              <w:tabs>
                <w:tab w:val="left" w:pos="3306"/>
              </w:tabs>
              <w:rPr>
                <w:rFonts w:cs="Calibri"/>
              </w:rPr>
            </w:pPr>
            <w:r w:rsidRPr="002D20CA">
              <w:rPr>
                <w:rFonts w:cs="Calibri"/>
              </w:rPr>
              <w:t>Grant of a Right to the Operator Liability</w:t>
            </w:r>
          </w:p>
        </w:tc>
        <w:tc>
          <w:tcPr>
            <w:tcW w:w="1824" w:type="dxa"/>
            <w:tcBorders>
              <w:top w:val="nil"/>
              <w:left w:val="nil"/>
              <w:bottom w:val="single" w:sz="2" w:space="0" w:color="auto"/>
              <w:right w:val="nil"/>
            </w:tcBorders>
            <w:vAlign w:val="bottom"/>
          </w:tcPr>
          <w:p w14:paraId="2078A3AD" w14:textId="77777777" w:rsidR="00736294" w:rsidRPr="002D20CA" w:rsidRDefault="00736294" w:rsidP="00736294">
            <w:pPr>
              <w:pStyle w:val="TableText"/>
              <w:tabs>
                <w:tab w:val="left" w:pos="3306"/>
              </w:tabs>
              <w:jc w:val="right"/>
              <w:rPr>
                <w:rFonts w:cs="Calibri"/>
                <w:strike/>
              </w:rPr>
            </w:pPr>
          </w:p>
        </w:tc>
        <w:tc>
          <w:tcPr>
            <w:tcW w:w="1430" w:type="dxa"/>
            <w:tcBorders>
              <w:top w:val="nil"/>
              <w:left w:val="nil"/>
              <w:bottom w:val="single" w:sz="2" w:space="0" w:color="auto"/>
              <w:right w:val="nil"/>
            </w:tcBorders>
            <w:vAlign w:val="bottom"/>
          </w:tcPr>
          <w:p w14:paraId="4F2BE8B5" w14:textId="77777777" w:rsidR="00736294" w:rsidRPr="002D20CA" w:rsidRDefault="00736294" w:rsidP="00736294">
            <w:pPr>
              <w:pStyle w:val="TableText"/>
              <w:tabs>
                <w:tab w:val="left" w:pos="3306"/>
              </w:tabs>
              <w:jc w:val="right"/>
              <w:rPr>
                <w:rFonts w:cs="Calibri"/>
              </w:rPr>
            </w:pPr>
          </w:p>
        </w:tc>
      </w:tr>
      <w:tr w:rsidR="00736294" w:rsidRPr="00CF7E1B" w14:paraId="71FBB7FA" w14:textId="77777777" w:rsidTr="0004564D">
        <w:trPr>
          <w:cantSplit/>
          <w:trHeight w:val="23"/>
        </w:trPr>
        <w:tc>
          <w:tcPr>
            <w:tcW w:w="1560" w:type="dxa"/>
            <w:tcBorders>
              <w:top w:val="nil"/>
              <w:left w:val="single" w:sz="2" w:space="0" w:color="auto"/>
              <w:bottom w:val="nil"/>
              <w:right w:val="single" w:sz="2" w:space="0" w:color="auto"/>
            </w:tcBorders>
          </w:tcPr>
          <w:p w14:paraId="5EC381E4"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0D5AFDC5" w14:textId="77777777" w:rsidR="00736294" w:rsidRPr="002D20CA" w:rsidRDefault="00736294" w:rsidP="00736294">
            <w:pPr>
              <w:pStyle w:val="TableText"/>
              <w:tabs>
                <w:tab w:val="left" w:pos="3306"/>
              </w:tabs>
              <w:rPr>
                <w:rFonts w:cs="Calibri"/>
                <w:b/>
                <w:bCs/>
              </w:rPr>
            </w:pPr>
            <w:r w:rsidRPr="002D20CA">
              <w:rPr>
                <w:rFonts w:cs="Calibri"/>
                <w:b/>
                <w:bCs/>
              </w:rPr>
              <w:t>Total Non-Current Other Liabilities</w:t>
            </w:r>
          </w:p>
        </w:tc>
        <w:tc>
          <w:tcPr>
            <w:tcW w:w="1824" w:type="dxa"/>
            <w:tcBorders>
              <w:top w:val="single" w:sz="2" w:space="0" w:color="auto"/>
              <w:left w:val="nil"/>
              <w:bottom w:val="single" w:sz="2" w:space="0" w:color="auto"/>
              <w:right w:val="nil"/>
            </w:tcBorders>
            <w:vAlign w:val="bottom"/>
          </w:tcPr>
          <w:p w14:paraId="76C61E4B" w14:textId="55AEBF98" w:rsidR="00736294" w:rsidRPr="002D20CA" w:rsidRDefault="00736294" w:rsidP="00736294">
            <w:pPr>
              <w:pStyle w:val="TableText"/>
              <w:tabs>
                <w:tab w:val="left" w:pos="3306"/>
              </w:tabs>
              <w:jc w:val="right"/>
              <w:rPr>
                <w:rFonts w:cs="Calibri"/>
                <w:b/>
                <w:bCs/>
                <w:strike/>
              </w:rPr>
            </w:pPr>
          </w:p>
        </w:tc>
        <w:tc>
          <w:tcPr>
            <w:tcW w:w="1430" w:type="dxa"/>
            <w:tcBorders>
              <w:top w:val="single" w:sz="2" w:space="0" w:color="auto"/>
              <w:left w:val="nil"/>
              <w:bottom w:val="single" w:sz="2" w:space="0" w:color="auto"/>
              <w:right w:val="nil"/>
            </w:tcBorders>
            <w:vAlign w:val="bottom"/>
          </w:tcPr>
          <w:p w14:paraId="29851823" w14:textId="0D1E123F" w:rsidR="00736294" w:rsidRPr="002D20CA" w:rsidRDefault="00736294" w:rsidP="00736294">
            <w:pPr>
              <w:pStyle w:val="TableText"/>
              <w:tabs>
                <w:tab w:val="left" w:pos="3306"/>
              </w:tabs>
              <w:jc w:val="right"/>
              <w:rPr>
                <w:rFonts w:cs="Calibri"/>
                <w:b/>
                <w:bCs/>
              </w:rPr>
            </w:pPr>
          </w:p>
        </w:tc>
      </w:tr>
      <w:tr w:rsidR="00736294" w:rsidRPr="00CF7E1B" w14:paraId="62BB378F" w14:textId="77777777" w:rsidTr="0004564D">
        <w:trPr>
          <w:cantSplit/>
          <w:trHeight w:val="23"/>
        </w:trPr>
        <w:tc>
          <w:tcPr>
            <w:tcW w:w="1560" w:type="dxa"/>
            <w:tcBorders>
              <w:top w:val="nil"/>
              <w:left w:val="single" w:sz="2" w:space="0" w:color="auto"/>
              <w:bottom w:val="nil"/>
              <w:right w:val="single" w:sz="2" w:space="0" w:color="auto"/>
            </w:tcBorders>
          </w:tcPr>
          <w:p w14:paraId="60CDD3AD"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533E7661" w14:textId="77777777" w:rsidR="00736294" w:rsidRPr="002D20CA" w:rsidRDefault="00736294" w:rsidP="00736294">
            <w:pPr>
              <w:pStyle w:val="TableText"/>
              <w:tabs>
                <w:tab w:val="left" w:pos="3306"/>
              </w:tabs>
              <w:rPr>
                <w:rFonts w:cs="Calibri"/>
                <w:b/>
                <w:bCs/>
              </w:rPr>
            </w:pPr>
            <w:r w:rsidRPr="002D20CA">
              <w:rPr>
                <w:rFonts w:cs="Calibri"/>
                <w:b/>
                <w:bCs/>
              </w:rPr>
              <w:t>Total Other Liabilities</w:t>
            </w:r>
          </w:p>
        </w:tc>
        <w:tc>
          <w:tcPr>
            <w:tcW w:w="1824" w:type="dxa"/>
            <w:tcBorders>
              <w:top w:val="single" w:sz="2" w:space="0" w:color="auto"/>
              <w:left w:val="nil"/>
              <w:bottom w:val="double" w:sz="4" w:space="0" w:color="auto"/>
              <w:right w:val="nil"/>
            </w:tcBorders>
            <w:vAlign w:val="bottom"/>
          </w:tcPr>
          <w:p w14:paraId="1E503B9C" w14:textId="0E5C3FC0" w:rsidR="00736294" w:rsidRPr="002D20CA" w:rsidRDefault="00736294" w:rsidP="00736294">
            <w:pPr>
              <w:pStyle w:val="TableText"/>
              <w:tabs>
                <w:tab w:val="left" w:pos="3306"/>
              </w:tabs>
              <w:jc w:val="right"/>
              <w:rPr>
                <w:rFonts w:cs="Calibri"/>
                <w:b/>
                <w:bCs/>
              </w:rPr>
            </w:pPr>
          </w:p>
        </w:tc>
        <w:tc>
          <w:tcPr>
            <w:tcW w:w="1430" w:type="dxa"/>
            <w:tcBorders>
              <w:top w:val="single" w:sz="2" w:space="0" w:color="auto"/>
              <w:left w:val="nil"/>
              <w:bottom w:val="double" w:sz="4" w:space="0" w:color="auto"/>
              <w:right w:val="nil"/>
            </w:tcBorders>
            <w:vAlign w:val="bottom"/>
          </w:tcPr>
          <w:p w14:paraId="070B9762" w14:textId="2BF919B7" w:rsidR="00736294" w:rsidRPr="002D20CA" w:rsidRDefault="00736294" w:rsidP="00736294">
            <w:pPr>
              <w:pStyle w:val="TableText"/>
              <w:tabs>
                <w:tab w:val="left" w:pos="3306"/>
              </w:tabs>
              <w:jc w:val="right"/>
              <w:rPr>
                <w:rFonts w:cs="Calibri"/>
                <w:b/>
                <w:bCs/>
              </w:rPr>
            </w:pPr>
          </w:p>
        </w:tc>
      </w:tr>
      <w:tr w:rsidR="00736294" w:rsidRPr="00CF7E1B" w14:paraId="0657E7B2" w14:textId="77777777" w:rsidTr="0004564D">
        <w:trPr>
          <w:cantSplit/>
          <w:trHeight w:val="23"/>
        </w:trPr>
        <w:tc>
          <w:tcPr>
            <w:tcW w:w="1560" w:type="dxa"/>
            <w:tcBorders>
              <w:top w:val="nil"/>
              <w:left w:val="single" w:sz="2" w:space="0" w:color="auto"/>
              <w:bottom w:val="nil"/>
              <w:right w:val="single" w:sz="2" w:space="0" w:color="auto"/>
            </w:tcBorders>
          </w:tcPr>
          <w:p w14:paraId="24E127B3" w14:textId="77777777" w:rsidR="00736294" w:rsidRPr="002D20CA" w:rsidRDefault="00736294" w:rsidP="00736294">
            <w:pPr>
              <w:pStyle w:val="TableReference"/>
              <w:tabs>
                <w:tab w:val="left" w:pos="3306"/>
              </w:tabs>
              <w:spacing w:before="40"/>
              <w:rPr>
                <w:rFonts w:cs="Calibri"/>
                <w:color w:val="7030A0"/>
                <w:sz w:val="14"/>
              </w:rPr>
            </w:pPr>
          </w:p>
        </w:tc>
        <w:tc>
          <w:tcPr>
            <w:tcW w:w="5676" w:type="dxa"/>
            <w:tcBorders>
              <w:top w:val="nil"/>
              <w:left w:val="single" w:sz="2" w:space="0" w:color="auto"/>
              <w:bottom w:val="nil"/>
              <w:right w:val="nil"/>
            </w:tcBorders>
            <w:vAlign w:val="bottom"/>
          </w:tcPr>
          <w:p w14:paraId="6CBCB625" w14:textId="77777777" w:rsidR="00736294" w:rsidRPr="002D20CA" w:rsidRDefault="00736294" w:rsidP="00736294">
            <w:pPr>
              <w:pStyle w:val="TableText"/>
              <w:tabs>
                <w:tab w:val="left" w:pos="3306"/>
              </w:tabs>
              <w:rPr>
                <w:rFonts w:cs="Calibri"/>
                <w:b/>
                <w:bCs/>
              </w:rPr>
            </w:pPr>
          </w:p>
        </w:tc>
        <w:tc>
          <w:tcPr>
            <w:tcW w:w="1824" w:type="dxa"/>
            <w:tcBorders>
              <w:top w:val="double" w:sz="4" w:space="0" w:color="auto"/>
              <w:left w:val="nil"/>
              <w:bottom w:val="nil"/>
              <w:right w:val="nil"/>
            </w:tcBorders>
            <w:vAlign w:val="bottom"/>
          </w:tcPr>
          <w:p w14:paraId="1EA4AB85" w14:textId="77777777" w:rsidR="00736294" w:rsidRPr="002D20CA" w:rsidRDefault="00736294" w:rsidP="00736294">
            <w:pPr>
              <w:pStyle w:val="TableText"/>
              <w:tabs>
                <w:tab w:val="left" w:pos="3306"/>
              </w:tabs>
              <w:jc w:val="right"/>
              <w:rPr>
                <w:rFonts w:cs="Calibri"/>
                <w:b/>
                <w:bCs/>
              </w:rPr>
            </w:pPr>
          </w:p>
        </w:tc>
        <w:tc>
          <w:tcPr>
            <w:tcW w:w="1430" w:type="dxa"/>
            <w:tcBorders>
              <w:top w:val="double" w:sz="4" w:space="0" w:color="auto"/>
              <w:left w:val="nil"/>
              <w:bottom w:val="nil"/>
              <w:right w:val="nil"/>
            </w:tcBorders>
            <w:vAlign w:val="bottom"/>
          </w:tcPr>
          <w:p w14:paraId="2E54CD62" w14:textId="77777777" w:rsidR="00736294" w:rsidRPr="002D20CA" w:rsidRDefault="00736294" w:rsidP="00736294">
            <w:pPr>
              <w:pStyle w:val="TableText"/>
              <w:tabs>
                <w:tab w:val="left" w:pos="3306"/>
              </w:tabs>
              <w:jc w:val="right"/>
              <w:rPr>
                <w:rFonts w:cs="Calibri"/>
                <w:b/>
                <w:bCs/>
              </w:rPr>
            </w:pPr>
          </w:p>
        </w:tc>
      </w:tr>
      <w:tr w:rsidR="00736294" w:rsidRPr="00CF7E1B" w14:paraId="6E7C1757" w14:textId="77777777" w:rsidTr="0004564D">
        <w:trPr>
          <w:cantSplit/>
          <w:trHeight w:val="23"/>
        </w:trPr>
        <w:tc>
          <w:tcPr>
            <w:tcW w:w="1560" w:type="dxa"/>
            <w:tcBorders>
              <w:top w:val="nil"/>
              <w:left w:val="single" w:sz="2" w:space="0" w:color="auto"/>
              <w:bottom w:val="nil"/>
              <w:right w:val="single" w:sz="2" w:space="0" w:color="auto"/>
            </w:tcBorders>
          </w:tcPr>
          <w:p w14:paraId="1A63A382" w14:textId="77777777" w:rsidR="00736294" w:rsidRPr="002D20CA" w:rsidRDefault="00736294" w:rsidP="00736294">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4B85FE5D" w14:textId="348AB832" w:rsidR="00736294" w:rsidRPr="002D20CA" w:rsidRDefault="00C958E9" w:rsidP="00736294">
            <w:pPr>
              <w:pStyle w:val="TableText"/>
              <w:tabs>
                <w:tab w:val="left" w:pos="3306"/>
              </w:tabs>
              <w:spacing w:after="60"/>
              <w:rPr>
                <w:rFonts w:cs="Calibri"/>
                <w:b/>
                <w:bCs/>
              </w:rPr>
            </w:pPr>
            <w:r w:rsidRPr="002D20CA">
              <w:rPr>
                <w:rFonts w:cs="Calibri"/>
                <w:b/>
                <w:bCs/>
              </w:rPr>
              <w:t>Reconciliation</w:t>
            </w:r>
            <w:r w:rsidR="00736294" w:rsidRPr="002D20CA">
              <w:rPr>
                <w:rFonts w:cs="Calibri"/>
                <w:b/>
                <w:bCs/>
              </w:rPr>
              <w:t xml:space="preserve"> of Unearned Capital Grants arising from the transfer to acquire or construct non-financial assets to be controlled by ‘</w:t>
            </w:r>
            <w:r w:rsidR="00BB42C1" w:rsidRPr="002D20CA">
              <w:rPr>
                <w:b/>
                <w:bCs/>
              </w:rPr>
              <w:t>Burley Griffin</w:t>
            </w:r>
            <w:r w:rsidR="00736294" w:rsidRPr="002D20CA">
              <w:rPr>
                <w:rFonts w:cs="Calibri"/>
                <w:b/>
                <w:bCs/>
              </w:rPr>
              <w:t xml:space="preserve"> Agency’</w:t>
            </w:r>
          </w:p>
        </w:tc>
      </w:tr>
      <w:tr w:rsidR="00736294" w:rsidRPr="00CF7E1B" w14:paraId="147DF5BA" w14:textId="77777777" w:rsidTr="0004564D">
        <w:trPr>
          <w:cantSplit/>
          <w:trHeight w:val="23"/>
        </w:trPr>
        <w:tc>
          <w:tcPr>
            <w:tcW w:w="1560" w:type="dxa"/>
            <w:tcBorders>
              <w:top w:val="nil"/>
              <w:left w:val="single" w:sz="2" w:space="0" w:color="auto"/>
              <w:bottom w:val="nil"/>
              <w:right w:val="single" w:sz="2" w:space="0" w:color="auto"/>
            </w:tcBorders>
          </w:tcPr>
          <w:p w14:paraId="185C9C4A" w14:textId="29C096EC"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33E474F0" w14:textId="1CDC0253" w:rsidR="00736294" w:rsidRPr="002D20CA" w:rsidRDefault="00736294" w:rsidP="00736294">
            <w:pPr>
              <w:pStyle w:val="TableText"/>
              <w:tabs>
                <w:tab w:val="left" w:pos="3306"/>
              </w:tabs>
              <w:rPr>
                <w:rFonts w:cs="Calibri"/>
                <w:b/>
                <w:bCs/>
              </w:rPr>
            </w:pPr>
            <w:r w:rsidRPr="002D20CA">
              <w:t>Unearned grants to Acquire or Construct Assets at the beginning of the Financial Year</w:t>
            </w:r>
          </w:p>
        </w:tc>
        <w:tc>
          <w:tcPr>
            <w:tcW w:w="1824" w:type="dxa"/>
            <w:tcBorders>
              <w:top w:val="nil"/>
              <w:left w:val="nil"/>
              <w:bottom w:val="nil"/>
              <w:right w:val="nil"/>
            </w:tcBorders>
            <w:vAlign w:val="bottom"/>
          </w:tcPr>
          <w:p w14:paraId="5E66E70D"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nil"/>
              <w:right w:val="nil"/>
            </w:tcBorders>
            <w:vAlign w:val="bottom"/>
          </w:tcPr>
          <w:p w14:paraId="2CBAC756" w14:textId="77777777" w:rsidR="00736294" w:rsidRPr="002D20CA" w:rsidRDefault="00736294" w:rsidP="00736294">
            <w:pPr>
              <w:pStyle w:val="TableText"/>
              <w:tabs>
                <w:tab w:val="left" w:pos="3306"/>
              </w:tabs>
              <w:jc w:val="right"/>
              <w:rPr>
                <w:rFonts w:cs="Calibri"/>
                <w:b/>
                <w:bCs/>
              </w:rPr>
            </w:pPr>
          </w:p>
        </w:tc>
      </w:tr>
      <w:tr w:rsidR="00736294" w:rsidRPr="00CF7E1B" w14:paraId="1D80E0B6" w14:textId="77777777" w:rsidTr="0004564D">
        <w:trPr>
          <w:cantSplit/>
          <w:trHeight w:val="23"/>
        </w:trPr>
        <w:tc>
          <w:tcPr>
            <w:tcW w:w="1560" w:type="dxa"/>
            <w:tcBorders>
              <w:top w:val="nil"/>
              <w:left w:val="single" w:sz="2" w:space="0" w:color="auto"/>
              <w:bottom w:val="nil"/>
              <w:right w:val="single" w:sz="2" w:space="0" w:color="auto"/>
            </w:tcBorders>
          </w:tcPr>
          <w:p w14:paraId="6716FD46" w14:textId="56F7941E"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77FF5672" w14:textId="71DB98BD" w:rsidR="00736294" w:rsidRPr="002D20CA" w:rsidRDefault="00736294" w:rsidP="00736294">
            <w:pPr>
              <w:pStyle w:val="TableText"/>
              <w:tabs>
                <w:tab w:val="left" w:pos="3306"/>
              </w:tabs>
              <w:rPr>
                <w:rFonts w:cs="Calibri"/>
                <w:b/>
                <w:bCs/>
              </w:rPr>
            </w:pPr>
            <w:r w:rsidRPr="002D20CA">
              <w:t xml:space="preserve">Add: Grant receipts received during the financial year </w:t>
            </w:r>
            <w:r w:rsidR="002B0071" w:rsidRPr="002D20CA">
              <w:t>for capital works</w:t>
            </w:r>
          </w:p>
        </w:tc>
        <w:tc>
          <w:tcPr>
            <w:tcW w:w="1824" w:type="dxa"/>
            <w:tcBorders>
              <w:top w:val="nil"/>
              <w:left w:val="nil"/>
              <w:bottom w:val="nil"/>
              <w:right w:val="nil"/>
            </w:tcBorders>
            <w:vAlign w:val="bottom"/>
          </w:tcPr>
          <w:p w14:paraId="19A44276"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nil"/>
              <w:right w:val="nil"/>
            </w:tcBorders>
            <w:vAlign w:val="bottom"/>
          </w:tcPr>
          <w:p w14:paraId="4D9663D6" w14:textId="77777777" w:rsidR="00736294" w:rsidRPr="002D20CA" w:rsidRDefault="00736294" w:rsidP="00736294">
            <w:pPr>
              <w:pStyle w:val="TableText"/>
              <w:tabs>
                <w:tab w:val="left" w:pos="3306"/>
              </w:tabs>
              <w:jc w:val="right"/>
              <w:rPr>
                <w:rFonts w:cs="Calibri"/>
                <w:b/>
                <w:bCs/>
              </w:rPr>
            </w:pPr>
          </w:p>
        </w:tc>
      </w:tr>
      <w:tr w:rsidR="00736294" w:rsidRPr="00CF7E1B" w14:paraId="343CEF13" w14:textId="77777777" w:rsidTr="0004564D">
        <w:trPr>
          <w:cantSplit/>
          <w:trHeight w:val="23"/>
        </w:trPr>
        <w:tc>
          <w:tcPr>
            <w:tcW w:w="1560" w:type="dxa"/>
            <w:tcBorders>
              <w:top w:val="nil"/>
              <w:left w:val="single" w:sz="2" w:space="0" w:color="auto"/>
              <w:bottom w:val="nil"/>
              <w:right w:val="single" w:sz="2" w:space="0" w:color="auto"/>
            </w:tcBorders>
          </w:tcPr>
          <w:p w14:paraId="2799C911" w14:textId="72FA1F6F"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51C35F2D" w14:textId="1479B80E" w:rsidR="00736294" w:rsidRPr="002D20CA" w:rsidRDefault="00736294" w:rsidP="00736294">
            <w:pPr>
              <w:pStyle w:val="TableText"/>
              <w:tabs>
                <w:tab w:val="left" w:pos="3306"/>
              </w:tabs>
              <w:rPr>
                <w:rFonts w:cs="Calibri"/>
                <w:b/>
                <w:bCs/>
              </w:rPr>
            </w:pPr>
            <w:r w:rsidRPr="002D20CA">
              <w:t>Less: Recognition of grant income for capital works completed during the financial year</w:t>
            </w:r>
          </w:p>
        </w:tc>
        <w:tc>
          <w:tcPr>
            <w:tcW w:w="1824" w:type="dxa"/>
            <w:tcBorders>
              <w:top w:val="nil"/>
              <w:left w:val="nil"/>
              <w:bottom w:val="single" w:sz="4" w:space="0" w:color="auto"/>
              <w:right w:val="nil"/>
            </w:tcBorders>
            <w:vAlign w:val="bottom"/>
          </w:tcPr>
          <w:p w14:paraId="4F273590" w14:textId="77777777" w:rsidR="00736294" w:rsidRPr="002D20CA" w:rsidRDefault="00736294" w:rsidP="00736294">
            <w:pPr>
              <w:pStyle w:val="TableText"/>
              <w:tabs>
                <w:tab w:val="left" w:pos="3306"/>
              </w:tabs>
              <w:jc w:val="right"/>
              <w:rPr>
                <w:rFonts w:cs="Calibri"/>
                <w:b/>
                <w:bCs/>
              </w:rPr>
            </w:pPr>
          </w:p>
        </w:tc>
        <w:tc>
          <w:tcPr>
            <w:tcW w:w="1430" w:type="dxa"/>
            <w:tcBorders>
              <w:top w:val="nil"/>
              <w:left w:val="nil"/>
              <w:bottom w:val="single" w:sz="4" w:space="0" w:color="auto"/>
              <w:right w:val="nil"/>
            </w:tcBorders>
            <w:vAlign w:val="bottom"/>
          </w:tcPr>
          <w:p w14:paraId="2E3EA497" w14:textId="77777777" w:rsidR="00736294" w:rsidRPr="002D20CA" w:rsidRDefault="00736294" w:rsidP="00736294">
            <w:pPr>
              <w:pStyle w:val="TableText"/>
              <w:tabs>
                <w:tab w:val="left" w:pos="3306"/>
              </w:tabs>
              <w:jc w:val="right"/>
              <w:rPr>
                <w:rFonts w:cs="Calibri"/>
                <w:b/>
                <w:bCs/>
              </w:rPr>
            </w:pPr>
          </w:p>
        </w:tc>
      </w:tr>
      <w:tr w:rsidR="00736294" w:rsidRPr="00CF7E1B" w14:paraId="4C815EB0" w14:textId="77777777" w:rsidTr="0004564D">
        <w:trPr>
          <w:cantSplit/>
          <w:trHeight w:val="23"/>
        </w:trPr>
        <w:tc>
          <w:tcPr>
            <w:tcW w:w="1560" w:type="dxa"/>
            <w:tcBorders>
              <w:top w:val="nil"/>
              <w:left w:val="single" w:sz="2" w:space="0" w:color="auto"/>
              <w:bottom w:val="nil"/>
              <w:right w:val="single" w:sz="2" w:space="0" w:color="auto"/>
            </w:tcBorders>
          </w:tcPr>
          <w:p w14:paraId="2EB6751F" w14:textId="0094CBAE" w:rsidR="00736294" w:rsidRPr="002D20CA" w:rsidRDefault="00736294" w:rsidP="00736294">
            <w:pPr>
              <w:pStyle w:val="TableReference"/>
              <w:tabs>
                <w:tab w:val="left" w:pos="3306"/>
              </w:tabs>
              <w:spacing w:before="40"/>
              <w:rPr>
                <w:rFonts w:cs="Calibri"/>
                <w:color w:val="7030A0"/>
                <w:sz w:val="14"/>
              </w:rPr>
            </w:pPr>
            <w:r w:rsidRPr="002D20CA">
              <w:rPr>
                <w:rFonts w:cs="Calibri"/>
                <w:color w:val="7030A0"/>
                <w:sz w:val="14"/>
              </w:rPr>
              <w:t>AASB 1058.31</w:t>
            </w:r>
          </w:p>
        </w:tc>
        <w:tc>
          <w:tcPr>
            <w:tcW w:w="5676" w:type="dxa"/>
            <w:tcBorders>
              <w:top w:val="nil"/>
              <w:left w:val="single" w:sz="2" w:space="0" w:color="auto"/>
              <w:bottom w:val="nil"/>
              <w:right w:val="nil"/>
            </w:tcBorders>
            <w:vAlign w:val="bottom"/>
          </w:tcPr>
          <w:p w14:paraId="28B7EF52" w14:textId="48C92763" w:rsidR="00736294" w:rsidRPr="002D20CA" w:rsidRDefault="00736294" w:rsidP="00736294">
            <w:pPr>
              <w:pStyle w:val="TableText"/>
              <w:tabs>
                <w:tab w:val="left" w:pos="3306"/>
              </w:tabs>
              <w:rPr>
                <w:rFonts w:cs="Calibri"/>
                <w:b/>
                <w:bCs/>
              </w:rPr>
            </w:pPr>
            <w:r w:rsidRPr="002D20CA">
              <w:rPr>
                <w:b/>
                <w:bCs/>
              </w:rPr>
              <w:t>Total unearned grants to Acquire or Construct Assets at the end of the Financial Year</w:t>
            </w:r>
          </w:p>
        </w:tc>
        <w:tc>
          <w:tcPr>
            <w:tcW w:w="1824" w:type="dxa"/>
            <w:tcBorders>
              <w:top w:val="single" w:sz="4" w:space="0" w:color="auto"/>
              <w:left w:val="nil"/>
              <w:bottom w:val="double" w:sz="4" w:space="0" w:color="auto"/>
              <w:right w:val="nil"/>
            </w:tcBorders>
            <w:vAlign w:val="bottom"/>
          </w:tcPr>
          <w:p w14:paraId="3364D416" w14:textId="77777777" w:rsidR="00736294" w:rsidRPr="002D20CA" w:rsidRDefault="00736294" w:rsidP="00736294">
            <w:pPr>
              <w:pStyle w:val="TableText"/>
              <w:tabs>
                <w:tab w:val="left" w:pos="3306"/>
              </w:tabs>
              <w:jc w:val="right"/>
              <w:rPr>
                <w:rFonts w:cs="Calibri"/>
                <w:b/>
                <w:bCs/>
              </w:rPr>
            </w:pPr>
          </w:p>
        </w:tc>
        <w:tc>
          <w:tcPr>
            <w:tcW w:w="1430" w:type="dxa"/>
            <w:tcBorders>
              <w:top w:val="single" w:sz="4" w:space="0" w:color="auto"/>
              <w:left w:val="nil"/>
              <w:bottom w:val="double" w:sz="4" w:space="0" w:color="auto"/>
              <w:right w:val="nil"/>
            </w:tcBorders>
            <w:vAlign w:val="bottom"/>
          </w:tcPr>
          <w:p w14:paraId="3E292BC8" w14:textId="77777777" w:rsidR="00736294" w:rsidRPr="002D20CA" w:rsidRDefault="00736294" w:rsidP="00736294">
            <w:pPr>
              <w:pStyle w:val="TableText"/>
              <w:tabs>
                <w:tab w:val="left" w:pos="3306"/>
              </w:tabs>
              <w:jc w:val="right"/>
              <w:rPr>
                <w:rFonts w:cs="Calibri"/>
                <w:b/>
                <w:bCs/>
              </w:rPr>
            </w:pPr>
          </w:p>
        </w:tc>
      </w:tr>
    </w:tbl>
    <w:p w14:paraId="434F4230" w14:textId="77777777" w:rsidR="000144FF" w:rsidRPr="00C032B3" w:rsidRDefault="000144FF">
      <w:pPr>
        <w:rPr>
          <w:rFonts w:cs="Calibri"/>
          <w:sz w:val="16"/>
        </w:rPr>
      </w:pPr>
      <w:r w:rsidRPr="00C032B3">
        <w:rPr>
          <w:rFonts w:cs="Calibri"/>
          <w:sz w:val="16"/>
        </w:rPr>
        <w:br w:type="page"/>
      </w:r>
    </w:p>
    <w:p w14:paraId="1109F99E" w14:textId="77777777" w:rsidR="002C6F4A" w:rsidRPr="00CF7E1B" w:rsidRDefault="002C6F4A" w:rsidP="002C6F4A">
      <w:pPr>
        <w:jc w:val="center"/>
        <w:rPr>
          <w:rFonts w:cs="Calibri"/>
        </w:rPr>
        <w:sectPr w:rsidR="002C6F4A" w:rsidRPr="00CF7E1B" w:rsidSect="008E65BF">
          <w:footnotePr>
            <w:numRestart w:val="eachPage"/>
          </w:footnotePr>
          <w:pgSz w:w="11907" w:h="16840" w:code="9"/>
          <w:pgMar w:top="567" w:right="680" w:bottom="567" w:left="680" w:header="720" w:footer="313" w:gutter="0"/>
          <w:cols w:space="720"/>
          <w:docGrid w:linePitch="326"/>
        </w:sectPr>
      </w:pPr>
    </w:p>
    <w:tbl>
      <w:tblPr>
        <w:tblW w:w="10638" w:type="dxa"/>
        <w:tblInd w:w="-3" w:type="dxa"/>
        <w:tblLayout w:type="fixed"/>
        <w:tblLook w:val="00A0" w:firstRow="1" w:lastRow="0" w:firstColumn="1" w:lastColumn="0" w:noHBand="0" w:noVBand="0"/>
      </w:tblPr>
      <w:tblGrid>
        <w:gridCol w:w="1560"/>
        <w:gridCol w:w="3118"/>
        <w:gridCol w:w="1985"/>
        <w:gridCol w:w="2126"/>
        <w:gridCol w:w="1701"/>
        <w:gridCol w:w="148"/>
      </w:tblGrid>
      <w:tr w:rsidR="00C441BB" w:rsidRPr="00C441BB" w14:paraId="114B9666" w14:textId="77777777" w:rsidTr="0004564D">
        <w:trPr>
          <w:gridAfter w:val="1"/>
          <w:wAfter w:w="148" w:type="dxa"/>
          <w:trHeight w:val="431"/>
        </w:trPr>
        <w:tc>
          <w:tcPr>
            <w:tcW w:w="1560" w:type="dxa"/>
            <w:tcBorders>
              <w:left w:val="single" w:sz="2" w:space="0" w:color="auto"/>
              <w:right w:val="single" w:sz="2" w:space="0" w:color="auto"/>
            </w:tcBorders>
          </w:tcPr>
          <w:p w14:paraId="64D2A713" w14:textId="77777777" w:rsidR="00516149" w:rsidRPr="003329B4" w:rsidRDefault="00877D2B" w:rsidP="00F700E5">
            <w:pPr>
              <w:spacing w:before="240"/>
              <w:rPr>
                <w:rFonts w:cs="Calibri"/>
                <w:b/>
                <w:color w:val="7030A0"/>
                <w:szCs w:val="22"/>
              </w:rPr>
            </w:pPr>
            <w:bookmarkStart w:id="621" w:name="RestructAAO" w:colFirst="1" w:colLast="1"/>
            <w:r w:rsidRPr="003329B4">
              <w:rPr>
                <w:rFonts w:cs="Calibri"/>
                <w:b/>
                <w:color w:val="7030A0"/>
                <w:szCs w:val="22"/>
              </w:rPr>
              <w:t>Reference</w:t>
            </w:r>
          </w:p>
        </w:tc>
        <w:tc>
          <w:tcPr>
            <w:tcW w:w="8930" w:type="dxa"/>
            <w:gridSpan w:val="4"/>
            <w:tcBorders>
              <w:left w:val="single" w:sz="2" w:space="0" w:color="auto"/>
            </w:tcBorders>
          </w:tcPr>
          <w:p w14:paraId="00608143" w14:textId="2228A40B" w:rsidR="00516149" w:rsidRPr="00C441BB" w:rsidRDefault="00F700E5" w:rsidP="00514D82">
            <w:pPr>
              <w:pStyle w:val="Heading1"/>
              <w:numPr>
                <w:ilvl w:val="0"/>
                <w:numId w:val="0"/>
              </w:numPr>
            </w:pPr>
            <w:bookmarkStart w:id="622" w:name="_Toc400627356"/>
            <w:bookmarkStart w:id="623" w:name="_Toc98763160"/>
            <w:r w:rsidRPr="00C441BB">
              <w:t>Note</w:t>
            </w:r>
            <w:r w:rsidR="0098345C" w:rsidRPr="00C441BB">
              <w:t xml:space="preserve"> </w:t>
            </w:r>
            <w:r w:rsidR="003334D4" w:rsidRPr="00C441BB">
              <w:t>30</w:t>
            </w:r>
            <w:r w:rsidR="0098345C" w:rsidRPr="00C441BB">
              <w:t>.</w:t>
            </w:r>
            <w:r w:rsidR="00FA7C77">
              <w:t xml:space="preserve"> </w:t>
            </w:r>
            <w:r w:rsidR="0098345C" w:rsidRPr="00C441BB">
              <w:t>R</w:t>
            </w:r>
            <w:r w:rsidR="00B11FCA" w:rsidRPr="00C441BB">
              <w:t>estructure</w:t>
            </w:r>
            <w:r w:rsidR="0098345C" w:rsidRPr="00C441BB">
              <w:t xml:space="preserve"> </w:t>
            </w:r>
            <w:r w:rsidR="00B11FCA" w:rsidRPr="00C441BB">
              <w:t xml:space="preserve">of </w:t>
            </w:r>
            <w:r w:rsidR="0098345C" w:rsidRPr="00C441BB">
              <w:t>A</w:t>
            </w:r>
            <w:r w:rsidR="00B11FCA" w:rsidRPr="00C441BB">
              <w:t>dministrative</w:t>
            </w:r>
            <w:r w:rsidR="0098345C" w:rsidRPr="00C441BB">
              <w:t xml:space="preserve"> A</w:t>
            </w:r>
            <w:r w:rsidR="00B11FCA" w:rsidRPr="00C441BB">
              <w:t>rrangements</w:t>
            </w:r>
            <w:r w:rsidR="00B77CBD" w:rsidRPr="00C441BB">
              <w:t xml:space="preserve"> </w:t>
            </w:r>
            <w:r w:rsidR="00DB02DF" w:rsidRPr="00C441BB">
              <w:t>[</w:t>
            </w:r>
            <w:r w:rsidR="004E43B2" w:rsidRPr="00C441BB">
              <w:t>Directorate</w:t>
            </w:r>
            <w:r w:rsidR="00234822" w:rsidRPr="00C441BB">
              <w:t>s Only]</w:t>
            </w:r>
            <w:bookmarkEnd w:id="622"/>
            <w:bookmarkEnd w:id="623"/>
          </w:p>
        </w:tc>
      </w:tr>
      <w:bookmarkEnd w:id="621"/>
      <w:tr w:rsidR="00C441BB" w:rsidRPr="00C441BB" w14:paraId="636E3CF0" w14:textId="77777777" w:rsidTr="0004564D">
        <w:trPr>
          <w:gridAfter w:val="1"/>
          <w:wAfter w:w="148" w:type="dxa"/>
        </w:trPr>
        <w:tc>
          <w:tcPr>
            <w:tcW w:w="1560" w:type="dxa"/>
            <w:tcBorders>
              <w:left w:val="single" w:sz="2" w:space="0" w:color="auto"/>
              <w:right w:val="single" w:sz="2" w:space="0" w:color="auto"/>
            </w:tcBorders>
            <w:vAlign w:val="center"/>
          </w:tcPr>
          <w:p w14:paraId="1BD57D3B" w14:textId="77777777" w:rsidR="00516149" w:rsidRPr="003329B4" w:rsidRDefault="00C2563B" w:rsidP="00B44DA7">
            <w:pPr>
              <w:spacing w:before="240"/>
              <w:rPr>
                <w:rFonts w:cs="Calibri"/>
                <w:color w:val="7030A0"/>
                <w:sz w:val="14"/>
                <w:szCs w:val="14"/>
              </w:rPr>
            </w:pPr>
            <w:r w:rsidRPr="003329B4">
              <w:rPr>
                <w:rFonts w:cs="Calibri"/>
                <w:color w:val="7030A0"/>
                <w:sz w:val="14"/>
                <w:szCs w:val="14"/>
              </w:rPr>
              <w:t>AASB 1004</w:t>
            </w:r>
            <w:r w:rsidR="00D65811" w:rsidRPr="003329B4">
              <w:rPr>
                <w:rFonts w:cs="Calibri"/>
                <w:color w:val="7030A0"/>
                <w:sz w:val="14"/>
                <w:szCs w:val="14"/>
              </w:rPr>
              <w:t>.</w:t>
            </w:r>
            <w:r w:rsidRPr="003329B4">
              <w:rPr>
                <w:rFonts w:cs="Calibri"/>
                <w:color w:val="7030A0"/>
                <w:sz w:val="14"/>
                <w:szCs w:val="14"/>
              </w:rPr>
              <w:t>57</w:t>
            </w:r>
          </w:p>
        </w:tc>
        <w:tc>
          <w:tcPr>
            <w:tcW w:w="8930" w:type="dxa"/>
            <w:gridSpan w:val="4"/>
            <w:tcBorders>
              <w:left w:val="single" w:sz="2" w:space="0" w:color="auto"/>
            </w:tcBorders>
            <w:vAlign w:val="center"/>
          </w:tcPr>
          <w:p w14:paraId="68320ECA" w14:textId="3861B3CA" w:rsidR="00516149" w:rsidRPr="00C441BB" w:rsidRDefault="005C7646" w:rsidP="00732C8E">
            <w:pPr>
              <w:pStyle w:val="TableText"/>
              <w:spacing w:before="0"/>
              <w:rPr>
                <w:rFonts w:cs="Calibri"/>
                <w:b/>
              </w:rPr>
            </w:pPr>
            <w:bookmarkStart w:id="624" w:name="_Hlk90633313"/>
            <w:r w:rsidRPr="00C441BB">
              <w:rPr>
                <w:rFonts w:cs="Calibri"/>
                <w:b/>
              </w:rPr>
              <w:t>Restructures of Administrative Arrangements</w:t>
            </w:r>
            <w:r w:rsidR="006376DE" w:rsidRPr="00C441BB">
              <w:rPr>
                <w:rFonts w:cs="Calibri"/>
                <w:b/>
              </w:rPr>
              <w:t xml:space="preserve"> </w:t>
            </w:r>
            <w:bookmarkEnd w:id="624"/>
            <w:r w:rsidR="00B45353" w:rsidRPr="00C441BB">
              <w:rPr>
                <w:rFonts w:cs="Calibri"/>
                <w:b/>
              </w:rPr>
              <w:t>2021-22</w:t>
            </w:r>
          </w:p>
        </w:tc>
      </w:tr>
      <w:tr w:rsidR="00C441BB" w:rsidRPr="00C441BB" w14:paraId="6B0E5850" w14:textId="77777777" w:rsidTr="0004564D">
        <w:trPr>
          <w:gridAfter w:val="1"/>
          <w:wAfter w:w="148" w:type="dxa"/>
          <w:trHeight w:val="1972"/>
        </w:trPr>
        <w:tc>
          <w:tcPr>
            <w:tcW w:w="1560" w:type="dxa"/>
            <w:tcBorders>
              <w:left w:val="single" w:sz="2" w:space="0" w:color="auto"/>
              <w:right w:val="single" w:sz="2" w:space="0" w:color="auto"/>
            </w:tcBorders>
          </w:tcPr>
          <w:p w14:paraId="1724B010" w14:textId="77777777" w:rsidR="00516149" w:rsidRPr="003329B4" w:rsidRDefault="00516149" w:rsidP="00B44DA7">
            <w:pPr>
              <w:pStyle w:val="TableReference"/>
              <w:tabs>
                <w:tab w:val="left" w:pos="3306"/>
              </w:tabs>
              <w:spacing w:before="240"/>
              <w:rPr>
                <w:rFonts w:cs="Calibri"/>
                <w:color w:val="7030A0"/>
                <w:sz w:val="14"/>
              </w:rPr>
            </w:pPr>
          </w:p>
        </w:tc>
        <w:tc>
          <w:tcPr>
            <w:tcW w:w="8930" w:type="dxa"/>
            <w:gridSpan w:val="4"/>
            <w:tcBorders>
              <w:left w:val="single" w:sz="2" w:space="0" w:color="auto"/>
            </w:tcBorders>
          </w:tcPr>
          <w:p w14:paraId="3E981299" w14:textId="7A35D411" w:rsidR="00516149" w:rsidRPr="00C441BB" w:rsidRDefault="00C2563B" w:rsidP="000627F8">
            <w:pPr>
              <w:pStyle w:val="TableText"/>
              <w:tabs>
                <w:tab w:val="left" w:pos="3306"/>
              </w:tabs>
              <w:spacing w:before="0" w:after="60"/>
              <w:jc w:val="both"/>
              <w:rPr>
                <w:rFonts w:cs="Calibri"/>
                <w:bCs/>
              </w:rPr>
            </w:pPr>
            <w:r w:rsidRPr="00C441BB">
              <w:rPr>
                <w:rFonts w:cs="Calibri"/>
              </w:rPr>
              <w:t xml:space="preserve">On 7 January </w:t>
            </w:r>
            <w:r w:rsidR="00D167F7" w:rsidRPr="00C441BB">
              <w:rPr>
                <w:rFonts w:cs="Calibri"/>
              </w:rPr>
              <w:t>2022</w:t>
            </w:r>
            <w:r w:rsidR="00BB1A8A" w:rsidRPr="00C441BB">
              <w:rPr>
                <w:rFonts w:cs="Calibri"/>
              </w:rPr>
              <w:t>,</w:t>
            </w:r>
            <w:r w:rsidRPr="00C441BB">
              <w:rPr>
                <w:rFonts w:cs="Calibri"/>
              </w:rPr>
              <w:t xml:space="preserve"> a restructuring of administrative arrangements occurred between ‘</w:t>
            </w:r>
            <w:bookmarkStart w:id="625" w:name="_Hlk89158679"/>
            <w:r w:rsidR="00BB42C1" w:rsidRPr="00C441BB">
              <w:t>Burley Griffin</w:t>
            </w:r>
            <w:bookmarkEnd w:id="625"/>
            <w:r w:rsidRPr="00C441BB">
              <w:rPr>
                <w:rFonts w:cs="Calibri"/>
              </w:rPr>
              <w:t xml:space="preserve"> </w:t>
            </w:r>
            <w:r w:rsidR="00B96D8D" w:rsidRPr="00C441BB">
              <w:rPr>
                <w:rFonts w:cs="Calibri"/>
              </w:rPr>
              <w:t>Agency</w:t>
            </w:r>
            <w:r w:rsidRPr="00C441BB">
              <w:rPr>
                <w:rFonts w:cs="Calibri"/>
              </w:rPr>
              <w:t xml:space="preserve">’ and ABC </w:t>
            </w:r>
            <w:r w:rsidR="004E43B2" w:rsidRPr="00C441BB">
              <w:rPr>
                <w:rFonts w:cs="Calibri"/>
              </w:rPr>
              <w:t>Directorate</w:t>
            </w:r>
            <w:r w:rsidRPr="00C441BB">
              <w:rPr>
                <w:rFonts w:cs="Calibri"/>
              </w:rPr>
              <w:t xml:space="preserve"> involving a Heritage and Environment division.</w:t>
            </w:r>
            <w:r w:rsidR="00FA7C77">
              <w:rPr>
                <w:rFonts w:cs="Calibri"/>
              </w:rPr>
              <w:t xml:space="preserve"> </w:t>
            </w:r>
            <w:r w:rsidR="0090687E" w:rsidRPr="00C441BB">
              <w:rPr>
                <w:rFonts w:cs="Calibri"/>
              </w:rPr>
              <w:t xml:space="preserve">The Heritage and Environment division is a separate output </w:t>
            </w:r>
            <w:r w:rsidR="00BF3BC0" w:rsidRPr="00C441BB">
              <w:rPr>
                <w:rFonts w:cs="Calibri"/>
              </w:rPr>
              <w:t xml:space="preserve">which has been incorporated into </w:t>
            </w:r>
            <w:r w:rsidR="00BF3BC0" w:rsidRPr="00C441BB">
              <w:rPr>
                <w:rFonts w:asciiTheme="minorHAnsi" w:hAnsiTheme="minorHAnsi" w:cstheme="minorHAnsi"/>
              </w:rPr>
              <w:t>Output Class 3 – Environment and Heritage within ‘</w:t>
            </w:r>
            <w:r w:rsidR="00BB42C1" w:rsidRPr="00C441BB">
              <w:t>Burley Griffin</w:t>
            </w:r>
            <w:r w:rsidR="00BF3BC0" w:rsidRPr="00C441BB">
              <w:rPr>
                <w:rFonts w:asciiTheme="minorHAnsi" w:hAnsiTheme="minorHAnsi" w:cstheme="minorHAnsi"/>
              </w:rPr>
              <w:t xml:space="preserve"> Agency’</w:t>
            </w:r>
            <w:r w:rsidR="00BF3BC0" w:rsidRPr="00C441BB">
              <w:rPr>
                <w:rFonts w:cs="Calibri"/>
              </w:rPr>
              <w:t>.</w:t>
            </w:r>
            <w:r w:rsidR="00FA7C77">
              <w:rPr>
                <w:rFonts w:cs="Calibri"/>
              </w:rPr>
              <w:t xml:space="preserve"> </w:t>
            </w:r>
            <w:r w:rsidR="0090687E" w:rsidRPr="00C441BB">
              <w:rPr>
                <w:rFonts w:cs="Calibri"/>
              </w:rPr>
              <w:t xml:space="preserve"> </w:t>
            </w:r>
            <w:r w:rsidRPr="00C441BB">
              <w:rPr>
                <w:rFonts w:cs="Calibri"/>
              </w:rPr>
              <w:t>The heritage function is responsible for the development of heritage policy as well as the maintenance of a number of large heritage assets.</w:t>
            </w:r>
            <w:r w:rsidR="00FA7C77">
              <w:rPr>
                <w:rFonts w:cs="Calibri"/>
              </w:rPr>
              <w:t xml:space="preserve"> </w:t>
            </w:r>
            <w:r w:rsidRPr="00C441BB">
              <w:rPr>
                <w:rFonts w:cs="Calibri"/>
              </w:rPr>
              <w:t xml:space="preserve">The 180 employees and the </w:t>
            </w:r>
            <w:r w:rsidR="00944372" w:rsidRPr="00C441BB">
              <w:rPr>
                <w:rFonts w:cs="Calibri"/>
              </w:rPr>
              <w:t xml:space="preserve">large </w:t>
            </w:r>
            <w:r w:rsidRPr="00C441BB">
              <w:rPr>
                <w:rFonts w:cs="Calibri"/>
              </w:rPr>
              <w:t>heritage assets attached to this function were transferred to ‘</w:t>
            </w:r>
            <w:r w:rsidR="00BB42C1" w:rsidRPr="00C441BB">
              <w:t>Burley Griffin</w:t>
            </w:r>
            <w:r w:rsidR="00BB42C1" w:rsidRPr="00C441BB">
              <w:rPr>
                <w:bCs/>
              </w:rPr>
              <w:t xml:space="preserve"> </w:t>
            </w:r>
            <w:r w:rsidR="00B96D8D" w:rsidRPr="00C441BB">
              <w:rPr>
                <w:rFonts w:cs="Calibri"/>
              </w:rPr>
              <w:t>Agency</w:t>
            </w:r>
            <w:r w:rsidRPr="00C441BB">
              <w:rPr>
                <w:rFonts w:cs="Calibri"/>
              </w:rPr>
              <w:t>’ as part of this restructuring of administrative arrangements.</w:t>
            </w:r>
            <w:r w:rsidR="00FA7C77">
              <w:rPr>
                <w:rFonts w:cs="Calibri"/>
              </w:rPr>
              <w:t xml:space="preserve"> </w:t>
            </w:r>
            <w:r w:rsidRPr="00C441BB">
              <w:rPr>
                <w:rFonts w:cs="Calibri"/>
              </w:rPr>
              <w:t>The environment function is responsible for the development of policy frameworks and providing advice on the management and protection of the environment.</w:t>
            </w:r>
            <w:r w:rsidR="00FA7C77">
              <w:rPr>
                <w:rFonts w:cs="Calibri"/>
              </w:rPr>
              <w:t xml:space="preserve"> </w:t>
            </w:r>
            <w:r w:rsidRPr="00C441BB">
              <w:rPr>
                <w:rFonts w:cs="Calibri"/>
              </w:rPr>
              <w:t>It also administers a small grants program for organisations operating in an environmentally friendly manner.</w:t>
            </w:r>
            <w:r w:rsidR="00FA7C77">
              <w:rPr>
                <w:rFonts w:cs="Calibri"/>
              </w:rPr>
              <w:t xml:space="preserve"> </w:t>
            </w:r>
            <w:r w:rsidRPr="00C441BB">
              <w:rPr>
                <w:rFonts w:cs="Calibri"/>
              </w:rPr>
              <w:t xml:space="preserve">The transfer of this function involved 90 staff </w:t>
            </w:r>
            <w:r w:rsidR="008A57CF" w:rsidRPr="00C441BB">
              <w:rPr>
                <w:rFonts w:cs="Calibri"/>
              </w:rPr>
              <w:t xml:space="preserve">moving </w:t>
            </w:r>
            <w:r w:rsidRPr="00C441BB">
              <w:rPr>
                <w:rFonts w:cs="Calibri"/>
              </w:rPr>
              <w:t>to ‘</w:t>
            </w:r>
            <w:r w:rsidR="00BB42C1" w:rsidRPr="00C441BB">
              <w:t>Burley Griffin</w:t>
            </w:r>
            <w:r w:rsidR="00BB42C1" w:rsidRPr="00C441BB">
              <w:rPr>
                <w:bCs/>
              </w:rPr>
              <w:t xml:space="preserve"> </w:t>
            </w:r>
            <w:r w:rsidR="00B96D8D" w:rsidRPr="00C441BB">
              <w:rPr>
                <w:rFonts w:cs="Calibri"/>
              </w:rPr>
              <w:t>Agency</w:t>
            </w:r>
            <w:r w:rsidRPr="00C441BB">
              <w:rPr>
                <w:rFonts w:cs="Calibri"/>
              </w:rPr>
              <w:t>’.</w:t>
            </w:r>
          </w:p>
        </w:tc>
      </w:tr>
      <w:tr w:rsidR="00C441BB" w:rsidRPr="00C441BB" w14:paraId="44C32C64" w14:textId="77777777" w:rsidTr="0004564D">
        <w:trPr>
          <w:gridAfter w:val="1"/>
          <w:wAfter w:w="148" w:type="dxa"/>
          <w:trHeight w:val="255"/>
        </w:trPr>
        <w:tc>
          <w:tcPr>
            <w:tcW w:w="1560" w:type="dxa"/>
            <w:tcBorders>
              <w:left w:val="single" w:sz="2" w:space="0" w:color="auto"/>
              <w:right w:val="single" w:sz="2" w:space="0" w:color="auto"/>
            </w:tcBorders>
            <w:vAlign w:val="center"/>
          </w:tcPr>
          <w:p w14:paraId="0BA175C1" w14:textId="77777777" w:rsidR="00516149" w:rsidRPr="003329B4" w:rsidRDefault="00516149" w:rsidP="002C6F4A">
            <w:pPr>
              <w:rPr>
                <w:rFonts w:cs="Calibri"/>
                <w:color w:val="7030A0"/>
                <w:sz w:val="14"/>
                <w:szCs w:val="14"/>
              </w:rPr>
            </w:pPr>
          </w:p>
        </w:tc>
        <w:tc>
          <w:tcPr>
            <w:tcW w:w="8930" w:type="dxa"/>
            <w:gridSpan w:val="4"/>
            <w:tcBorders>
              <w:left w:val="single" w:sz="2" w:space="0" w:color="auto"/>
            </w:tcBorders>
            <w:vAlign w:val="center"/>
          </w:tcPr>
          <w:p w14:paraId="4C2F119A" w14:textId="77777777" w:rsidR="00516149" w:rsidRPr="00C441BB" w:rsidRDefault="000F7396" w:rsidP="009D37DE">
            <w:pPr>
              <w:spacing w:before="60"/>
              <w:jc w:val="both"/>
              <w:rPr>
                <w:rFonts w:cs="Calibri"/>
                <w:sz w:val="18"/>
                <w:szCs w:val="18"/>
              </w:rPr>
            </w:pPr>
            <w:r w:rsidRPr="00C441BB">
              <w:rPr>
                <w:rFonts w:cs="Calibri"/>
                <w:b/>
                <w:bCs/>
                <w:sz w:val="18"/>
                <w:szCs w:val="18"/>
              </w:rPr>
              <w:t>Income and Expenses</w:t>
            </w:r>
          </w:p>
        </w:tc>
      </w:tr>
      <w:tr w:rsidR="00C441BB" w:rsidRPr="00C441BB" w14:paraId="21A2692E" w14:textId="77777777" w:rsidTr="0004564D">
        <w:trPr>
          <w:gridAfter w:val="1"/>
          <w:wAfter w:w="148" w:type="dxa"/>
          <w:trHeight w:val="831"/>
        </w:trPr>
        <w:tc>
          <w:tcPr>
            <w:tcW w:w="1560" w:type="dxa"/>
            <w:tcBorders>
              <w:left w:val="single" w:sz="2" w:space="0" w:color="auto"/>
              <w:right w:val="single" w:sz="2" w:space="0" w:color="auto"/>
            </w:tcBorders>
          </w:tcPr>
          <w:p w14:paraId="0E8AE44E" w14:textId="77777777" w:rsidR="00516149" w:rsidRPr="003329B4" w:rsidRDefault="00516149" w:rsidP="002C6F4A">
            <w:pPr>
              <w:rPr>
                <w:rFonts w:cs="Calibri"/>
                <w:color w:val="7030A0"/>
                <w:sz w:val="14"/>
                <w:szCs w:val="14"/>
              </w:rPr>
            </w:pPr>
          </w:p>
        </w:tc>
        <w:tc>
          <w:tcPr>
            <w:tcW w:w="8930" w:type="dxa"/>
            <w:gridSpan w:val="4"/>
            <w:tcBorders>
              <w:left w:val="single" w:sz="2" w:space="0" w:color="auto"/>
            </w:tcBorders>
          </w:tcPr>
          <w:p w14:paraId="01652E00" w14:textId="65B1FA32" w:rsidR="00516149" w:rsidRPr="00C441BB" w:rsidRDefault="000F7396" w:rsidP="00DA5B5A">
            <w:pPr>
              <w:spacing w:before="60" w:after="60"/>
              <w:jc w:val="both"/>
              <w:rPr>
                <w:rFonts w:cs="Calibri"/>
                <w:sz w:val="18"/>
                <w:szCs w:val="18"/>
              </w:rPr>
            </w:pPr>
            <w:r w:rsidRPr="00C441BB">
              <w:rPr>
                <w:rFonts w:cs="Calibri"/>
                <w:sz w:val="18"/>
                <w:szCs w:val="18"/>
              </w:rPr>
              <w:t>The following table shows the income and expense</w:t>
            </w:r>
            <w:r w:rsidR="00BB1A8A" w:rsidRPr="00C441BB">
              <w:rPr>
                <w:rFonts w:cs="Calibri"/>
                <w:sz w:val="18"/>
                <w:szCs w:val="18"/>
              </w:rPr>
              <w:t>s</w:t>
            </w:r>
            <w:r w:rsidRPr="00C441BB">
              <w:rPr>
                <w:rFonts w:cs="Calibri"/>
                <w:sz w:val="18"/>
                <w:szCs w:val="18"/>
              </w:rPr>
              <w:t xml:space="preserve"> associated with the Heritage and Environment division recognised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Pr="00C441BB">
              <w:rPr>
                <w:rFonts w:cs="Calibri"/>
                <w:sz w:val="18"/>
                <w:szCs w:val="18"/>
              </w:rPr>
              <w:t>’ for the year ended 30 June</w:t>
            </w:r>
            <w:r w:rsidR="008F739F" w:rsidRPr="00C441BB">
              <w:rPr>
                <w:rFonts w:cs="Calibri"/>
                <w:sz w:val="18"/>
                <w:szCs w:val="18"/>
              </w:rPr>
              <w:t xml:space="preserve"> </w:t>
            </w:r>
            <w:r w:rsidR="008A57CF" w:rsidRPr="00C441BB">
              <w:rPr>
                <w:rFonts w:cs="Calibri"/>
                <w:sz w:val="18"/>
                <w:szCs w:val="18"/>
              </w:rPr>
              <w:t>2022</w:t>
            </w:r>
            <w:r w:rsidRPr="00C441BB">
              <w:rPr>
                <w:rFonts w:cs="Calibri"/>
                <w:sz w:val="18"/>
                <w:szCs w:val="18"/>
              </w:rPr>
              <w:t>.</w:t>
            </w:r>
            <w:r w:rsidR="00FA7C77">
              <w:rPr>
                <w:rFonts w:cs="Calibri"/>
                <w:sz w:val="18"/>
                <w:szCs w:val="18"/>
              </w:rPr>
              <w:t xml:space="preserve"> </w:t>
            </w:r>
            <w:r w:rsidRPr="00C441BB">
              <w:rPr>
                <w:rFonts w:cs="Calibri"/>
                <w:sz w:val="18"/>
                <w:szCs w:val="18"/>
              </w:rPr>
              <w:t>It also shows the income and expense</w:t>
            </w:r>
            <w:r w:rsidR="001D5872" w:rsidRPr="00C441BB">
              <w:rPr>
                <w:rFonts w:cs="Calibri"/>
                <w:sz w:val="18"/>
                <w:szCs w:val="18"/>
              </w:rPr>
              <w:t>s</w:t>
            </w:r>
            <w:r w:rsidRPr="00C441BB">
              <w:rPr>
                <w:rFonts w:cs="Calibri"/>
                <w:sz w:val="18"/>
                <w:szCs w:val="18"/>
              </w:rPr>
              <w:t xml:space="preserve"> relating to when the division</w:t>
            </w:r>
            <w:r w:rsidR="007F56D7" w:rsidRPr="00C441BB">
              <w:rPr>
                <w:rFonts w:cs="Calibri"/>
                <w:sz w:val="18"/>
                <w:szCs w:val="18"/>
              </w:rPr>
              <w:t xml:space="preserve"> belonged to ABC </w:t>
            </w:r>
            <w:r w:rsidR="004E43B2" w:rsidRPr="00C441BB">
              <w:rPr>
                <w:rFonts w:cs="Calibri"/>
                <w:sz w:val="18"/>
                <w:szCs w:val="18"/>
              </w:rPr>
              <w:t>Directorate</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These income and expense figures were supplied by ABC </w:t>
            </w:r>
            <w:r w:rsidR="004E43B2" w:rsidRPr="00C441BB">
              <w:rPr>
                <w:rFonts w:cs="Calibri"/>
                <w:sz w:val="18"/>
                <w:szCs w:val="18"/>
              </w:rPr>
              <w:t>Directorate</w:t>
            </w:r>
            <w:r w:rsidR="007F56D7" w:rsidRPr="00C441BB">
              <w:rPr>
                <w:rFonts w:cs="Calibri"/>
                <w:sz w:val="18"/>
                <w:szCs w:val="18"/>
              </w:rPr>
              <w:t xml:space="preserve"> and as such have been relied upon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007F56D7" w:rsidRPr="00C441BB">
              <w:rPr>
                <w:rFonts w:cs="Calibri"/>
                <w:sz w:val="18"/>
                <w:szCs w:val="18"/>
              </w:rPr>
              <w:t xml:space="preserve">’. Finally, the table shows </w:t>
            </w:r>
            <w:r w:rsidRPr="00C441BB">
              <w:rPr>
                <w:rFonts w:cs="Calibri"/>
                <w:sz w:val="18"/>
                <w:szCs w:val="18"/>
              </w:rPr>
              <w:t>the total income and expenses of the division for the whole financial year.</w:t>
            </w:r>
            <w:r w:rsidR="00FA7C77">
              <w:rPr>
                <w:rFonts w:cs="Calibri"/>
                <w:sz w:val="18"/>
                <w:szCs w:val="18"/>
              </w:rPr>
              <w:t xml:space="preserve"> </w:t>
            </w:r>
          </w:p>
        </w:tc>
      </w:tr>
      <w:tr w:rsidR="00C441BB" w:rsidRPr="00C441BB" w14:paraId="3EA1F219" w14:textId="77777777" w:rsidTr="0004564D">
        <w:trPr>
          <w:gridAfter w:val="1"/>
          <w:wAfter w:w="148" w:type="dxa"/>
          <w:trHeight w:val="1272"/>
        </w:trPr>
        <w:tc>
          <w:tcPr>
            <w:tcW w:w="1560" w:type="dxa"/>
            <w:tcBorders>
              <w:left w:val="single" w:sz="2" w:space="0" w:color="auto"/>
              <w:right w:val="single" w:sz="2" w:space="0" w:color="auto"/>
            </w:tcBorders>
            <w:vAlign w:val="bottom"/>
          </w:tcPr>
          <w:p w14:paraId="4F55F1D9" w14:textId="77777777" w:rsidR="002D20CA" w:rsidRPr="003329B4" w:rsidRDefault="002D20CA" w:rsidP="009D37DE">
            <w:pPr>
              <w:jc w:val="right"/>
              <w:rPr>
                <w:rFonts w:cs="Calibri"/>
                <w:color w:val="7030A0"/>
                <w:sz w:val="14"/>
                <w:szCs w:val="14"/>
              </w:rPr>
            </w:pPr>
          </w:p>
        </w:tc>
        <w:tc>
          <w:tcPr>
            <w:tcW w:w="3118" w:type="dxa"/>
            <w:tcBorders>
              <w:left w:val="single" w:sz="2" w:space="0" w:color="auto"/>
            </w:tcBorders>
            <w:shd w:val="clear" w:color="auto" w:fill="auto"/>
            <w:vAlign w:val="bottom"/>
          </w:tcPr>
          <w:p w14:paraId="2F2BE8D3" w14:textId="77777777" w:rsidR="002D20CA" w:rsidRPr="00C441BB" w:rsidRDefault="002D20CA" w:rsidP="009D37DE">
            <w:pPr>
              <w:pStyle w:val="TableText"/>
              <w:tabs>
                <w:tab w:val="left" w:pos="3306"/>
              </w:tabs>
              <w:jc w:val="right"/>
              <w:rPr>
                <w:rFonts w:cs="Calibri"/>
                <w:b/>
                <w:bCs/>
              </w:rPr>
            </w:pPr>
          </w:p>
        </w:tc>
        <w:tc>
          <w:tcPr>
            <w:tcW w:w="1985" w:type="dxa"/>
            <w:shd w:val="clear" w:color="auto" w:fill="auto"/>
            <w:vAlign w:val="bottom"/>
          </w:tcPr>
          <w:p w14:paraId="52E81E69" w14:textId="77777777" w:rsidR="002D20CA" w:rsidRPr="00C441BB" w:rsidRDefault="002D20CA" w:rsidP="009D37DE">
            <w:pPr>
              <w:pStyle w:val="TableText"/>
              <w:tabs>
                <w:tab w:val="left" w:pos="3306"/>
              </w:tabs>
              <w:jc w:val="right"/>
              <w:rPr>
                <w:rFonts w:cs="Calibri"/>
                <w:b/>
                <w:bCs/>
              </w:rPr>
            </w:pPr>
            <w:r w:rsidRPr="00C441BB">
              <w:rPr>
                <w:rFonts w:cs="Calibri"/>
                <w:b/>
                <w:bCs/>
              </w:rPr>
              <w:t xml:space="preserve">Amounts Relating to when the Function was held by ABC Directorate </w:t>
            </w:r>
          </w:p>
          <w:p w14:paraId="17DBB175" w14:textId="77777777" w:rsidR="002D20CA" w:rsidRPr="00C441BB" w:rsidRDefault="002D20CA" w:rsidP="009D37DE">
            <w:pPr>
              <w:pStyle w:val="TableText"/>
              <w:tabs>
                <w:tab w:val="left" w:pos="3306"/>
              </w:tabs>
              <w:spacing w:before="0"/>
              <w:jc w:val="right"/>
              <w:rPr>
                <w:rFonts w:cs="Calibri"/>
                <w:b/>
                <w:bCs/>
              </w:rPr>
            </w:pPr>
            <w:r w:rsidRPr="00C441BB">
              <w:rPr>
                <w:rFonts w:cs="Calibri"/>
                <w:b/>
                <w:bCs/>
              </w:rPr>
              <w:t>July 2021 to Jan 2022</w:t>
            </w:r>
          </w:p>
          <w:p w14:paraId="428FBC12" w14:textId="62338F32" w:rsidR="002D20CA" w:rsidRPr="00C441BB" w:rsidRDefault="002D20CA" w:rsidP="00BF3BC0">
            <w:pPr>
              <w:pStyle w:val="TableText"/>
              <w:tabs>
                <w:tab w:val="left" w:pos="3306"/>
              </w:tabs>
              <w:jc w:val="right"/>
              <w:rPr>
                <w:rFonts w:cs="Calibri"/>
                <w:b/>
                <w:bCs/>
              </w:rPr>
            </w:pPr>
            <w:r w:rsidRPr="00C441BB">
              <w:rPr>
                <w:rFonts w:cs="Calibri"/>
                <w:b/>
                <w:bCs/>
              </w:rPr>
              <w:t>$’000</w:t>
            </w:r>
          </w:p>
        </w:tc>
        <w:tc>
          <w:tcPr>
            <w:tcW w:w="2126" w:type="dxa"/>
            <w:shd w:val="clear" w:color="auto" w:fill="auto"/>
            <w:vAlign w:val="bottom"/>
          </w:tcPr>
          <w:p w14:paraId="06E44F1D" w14:textId="77777777" w:rsidR="002D20CA" w:rsidRPr="00C441BB" w:rsidRDefault="002D20CA" w:rsidP="009D37DE">
            <w:pPr>
              <w:pStyle w:val="TableText"/>
              <w:tabs>
                <w:tab w:val="left" w:pos="3306"/>
              </w:tabs>
              <w:jc w:val="right"/>
              <w:rPr>
                <w:rFonts w:cs="Calibri"/>
                <w:b/>
                <w:bCs/>
              </w:rPr>
            </w:pPr>
            <w:r w:rsidRPr="00C441BB">
              <w:rPr>
                <w:rFonts w:cs="Calibri"/>
                <w:b/>
                <w:bCs/>
              </w:rPr>
              <w:t>Amounts Relating to when the Function was held by ‘</w:t>
            </w:r>
            <w:r w:rsidRPr="00C441BB">
              <w:rPr>
                <w:b/>
                <w:bCs/>
              </w:rPr>
              <w:t>Burley Griffin</w:t>
            </w:r>
            <w:r w:rsidRPr="00C441BB">
              <w:rPr>
                <w:rFonts w:cs="Calibri"/>
                <w:b/>
                <w:bCs/>
              </w:rPr>
              <w:t xml:space="preserve"> Agency’</w:t>
            </w:r>
          </w:p>
          <w:p w14:paraId="23D53328" w14:textId="77777777" w:rsidR="002D20CA" w:rsidRPr="00C441BB" w:rsidRDefault="002D20CA" w:rsidP="009D37DE">
            <w:pPr>
              <w:pStyle w:val="TableText"/>
              <w:tabs>
                <w:tab w:val="left" w:pos="3306"/>
              </w:tabs>
              <w:spacing w:before="0"/>
              <w:jc w:val="right"/>
              <w:rPr>
                <w:rFonts w:cs="Calibri"/>
                <w:b/>
                <w:bCs/>
              </w:rPr>
            </w:pPr>
            <w:r w:rsidRPr="00C441BB">
              <w:rPr>
                <w:rFonts w:cs="Calibri"/>
                <w:b/>
                <w:bCs/>
              </w:rPr>
              <w:t>Jan 2022 to June 2022</w:t>
            </w:r>
          </w:p>
          <w:p w14:paraId="1F2EDB14" w14:textId="4518381C" w:rsidR="002D20CA" w:rsidRPr="00C441BB" w:rsidRDefault="002D20CA" w:rsidP="00BF3BC0">
            <w:pPr>
              <w:pStyle w:val="TableText"/>
              <w:tabs>
                <w:tab w:val="left" w:pos="3306"/>
              </w:tabs>
              <w:jc w:val="right"/>
              <w:rPr>
                <w:rFonts w:cs="Calibri"/>
                <w:b/>
                <w:bCs/>
              </w:rPr>
            </w:pPr>
            <w:r w:rsidRPr="00C441BB">
              <w:rPr>
                <w:rFonts w:cs="Calibri"/>
                <w:b/>
                <w:bCs/>
              </w:rPr>
              <w:t>$’000</w:t>
            </w:r>
          </w:p>
        </w:tc>
        <w:tc>
          <w:tcPr>
            <w:tcW w:w="1701" w:type="dxa"/>
            <w:vAlign w:val="bottom"/>
          </w:tcPr>
          <w:p w14:paraId="073F5065" w14:textId="77777777" w:rsidR="002D20CA" w:rsidRPr="00C441BB" w:rsidRDefault="002D20CA" w:rsidP="009D37DE">
            <w:pPr>
              <w:pStyle w:val="TableText"/>
              <w:tabs>
                <w:tab w:val="left" w:pos="3306"/>
              </w:tabs>
              <w:jc w:val="right"/>
              <w:rPr>
                <w:rFonts w:cs="Calibri"/>
                <w:b/>
                <w:bCs/>
              </w:rPr>
            </w:pPr>
            <w:r w:rsidRPr="00C441BB">
              <w:rPr>
                <w:rFonts w:cs="Calibri"/>
                <w:b/>
                <w:bCs/>
              </w:rPr>
              <w:t>Total</w:t>
            </w:r>
          </w:p>
          <w:p w14:paraId="5C201BED" w14:textId="77777777" w:rsidR="002D20CA" w:rsidRPr="00C441BB" w:rsidRDefault="002D20CA" w:rsidP="009D37DE">
            <w:pPr>
              <w:pStyle w:val="TableText"/>
              <w:tabs>
                <w:tab w:val="left" w:pos="3306"/>
              </w:tabs>
              <w:jc w:val="right"/>
              <w:rPr>
                <w:rFonts w:cs="Calibri"/>
                <w:b/>
                <w:bCs/>
              </w:rPr>
            </w:pPr>
            <w:r w:rsidRPr="00C441BB">
              <w:rPr>
                <w:rFonts w:cs="Calibri"/>
                <w:b/>
                <w:bCs/>
              </w:rPr>
              <w:t>2022</w:t>
            </w:r>
          </w:p>
          <w:p w14:paraId="0245653C" w14:textId="56DC3E78" w:rsidR="002D20CA" w:rsidRPr="00C441BB" w:rsidRDefault="002D20CA" w:rsidP="00BF3BC0">
            <w:pPr>
              <w:pStyle w:val="TableText"/>
              <w:tabs>
                <w:tab w:val="left" w:pos="3306"/>
              </w:tabs>
              <w:jc w:val="right"/>
              <w:rPr>
                <w:rFonts w:cs="Calibri"/>
                <w:b/>
                <w:bCs/>
              </w:rPr>
            </w:pPr>
            <w:r w:rsidRPr="00C441BB">
              <w:rPr>
                <w:rFonts w:cs="Calibri"/>
                <w:b/>
                <w:bCs/>
              </w:rPr>
              <w:t>$’000</w:t>
            </w:r>
          </w:p>
        </w:tc>
      </w:tr>
      <w:tr w:rsidR="00C441BB" w:rsidRPr="00C441BB" w14:paraId="5DD74CF8" w14:textId="77777777" w:rsidTr="0004564D">
        <w:trPr>
          <w:gridAfter w:val="1"/>
          <w:wAfter w:w="148" w:type="dxa"/>
        </w:trPr>
        <w:tc>
          <w:tcPr>
            <w:tcW w:w="1560" w:type="dxa"/>
            <w:tcBorders>
              <w:left w:val="single" w:sz="2" w:space="0" w:color="auto"/>
              <w:right w:val="single" w:sz="2" w:space="0" w:color="auto"/>
            </w:tcBorders>
          </w:tcPr>
          <w:p w14:paraId="7D7E71C4"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vAlign w:val="bottom"/>
          </w:tcPr>
          <w:p w14:paraId="76DF71B9" w14:textId="5AF6160C" w:rsidR="0012172E" w:rsidRPr="00C441BB" w:rsidRDefault="0012172E" w:rsidP="00BF3BC0">
            <w:pPr>
              <w:pStyle w:val="TableText"/>
              <w:tabs>
                <w:tab w:val="left" w:pos="3306"/>
              </w:tabs>
              <w:rPr>
                <w:rFonts w:cs="Calibri"/>
                <w:b/>
                <w:bCs/>
                <w:strike/>
              </w:rPr>
            </w:pPr>
            <w:r w:rsidRPr="00C441BB">
              <w:rPr>
                <w:rFonts w:cs="Calibri"/>
                <w:b/>
                <w:bCs/>
              </w:rPr>
              <w:t xml:space="preserve">Income </w:t>
            </w:r>
          </w:p>
        </w:tc>
        <w:tc>
          <w:tcPr>
            <w:tcW w:w="1985" w:type="dxa"/>
            <w:shd w:val="clear" w:color="auto" w:fill="auto"/>
            <w:vAlign w:val="bottom"/>
          </w:tcPr>
          <w:p w14:paraId="751ABA6B" w14:textId="77777777" w:rsidR="0012172E" w:rsidRPr="00C441BB" w:rsidRDefault="0012172E" w:rsidP="00BF3BC0">
            <w:pPr>
              <w:pStyle w:val="TableText"/>
              <w:tabs>
                <w:tab w:val="left" w:pos="3306"/>
              </w:tabs>
              <w:jc w:val="right"/>
              <w:rPr>
                <w:rFonts w:cs="Calibri"/>
                <w:b/>
                <w:bCs/>
              </w:rPr>
            </w:pPr>
          </w:p>
        </w:tc>
        <w:tc>
          <w:tcPr>
            <w:tcW w:w="2126" w:type="dxa"/>
            <w:shd w:val="clear" w:color="auto" w:fill="auto"/>
            <w:vAlign w:val="bottom"/>
          </w:tcPr>
          <w:p w14:paraId="1D6E9096" w14:textId="77777777" w:rsidR="0012172E" w:rsidRPr="00C441BB" w:rsidRDefault="0012172E" w:rsidP="00BF3BC0">
            <w:pPr>
              <w:pStyle w:val="TableText"/>
              <w:tabs>
                <w:tab w:val="left" w:pos="3306"/>
              </w:tabs>
              <w:jc w:val="right"/>
              <w:rPr>
                <w:rFonts w:cs="Calibri"/>
                <w:b/>
                <w:bCs/>
              </w:rPr>
            </w:pPr>
          </w:p>
        </w:tc>
        <w:tc>
          <w:tcPr>
            <w:tcW w:w="1701" w:type="dxa"/>
          </w:tcPr>
          <w:p w14:paraId="42D9701E" w14:textId="77777777" w:rsidR="0012172E" w:rsidRPr="00C441BB" w:rsidRDefault="0012172E" w:rsidP="00BF3BC0">
            <w:pPr>
              <w:pStyle w:val="TableText"/>
              <w:tabs>
                <w:tab w:val="left" w:pos="3306"/>
              </w:tabs>
              <w:jc w:val="right"/>
              <w:rPr>
                <w:rFonts w:cs="Calibri"/>
                <w:b/>
                <w:bCs/>
              </w:rPr>
            </w:pPr>
          </w:p>
        </w:tc>
      </w:tr>
      <w:tr w:rsidR="00C441BB" w:rsidRPr="00C441BB" w14:paraId="72551457" w14:textId="77777777" w:rsidTr="0004564D">
        <w:trPr>
          <w:gridAfter w:val="1"/>
          <w:wAfter w:w="148" w:type="dxa"/>
        </w:trPr>
        <w:tc>
          <w:tcPr>
            <w:tcW w:w="1560" w:type="dxa"/>
            <w:tcBorders>
              <w:left w:val="single" w:sz="2" w:space="0" w:color="auto"/>
              <w:right w:val="single" w:sz="2" w:space="0" w:color="auto"/>
            </w:tcBorders>
          </w:tcPr>
          <w:p w14:paraId="27B0A87A"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vAlign w:val="bottom"/>
          </w:tcPr>
          <w:p w14:paraId="3F3C16C1" w14:textId="67F8D6E8" w:rsidR="0012172E" w:rsidRPr="00C441BB" w:rsidRDefault="0012172E" w:rsidP="00BF3BC0">
            <w:pPr>
              <w:pStyle w:val="TableText"/>
              <w:tabs>
                <w:tab w:val="left" w:pos="3306"/>
              </w:tabs>
              <w:rPr>
                <w:rFonts w:cs="Calibri"/>
                <w:bCs/>
                <w:strike/>
              </w:rPr>
            </w:pPr>
            <w:r w:rsidRPr="00C441BB">
              <w:rPr>
                <w:rFonts w:cs="Calibri"/>
                <w:bCs/>
              </w:rPr>
              <w:t>Controlled Recurrent Payments</w:t>
            </w:r>
          </w:p>
        </w:tc>
        <w:tc>
          <w:tcPr>
            <w:tcW w:w="1985" w:type="dxa"/>
            <w:tcBorders>
              <w:bottom w:val="single" w:sz="2" w:space="0" w:color="auto"/>
            </w:tcBorders>
            <w:shd w:val="clear" w:color="auto" w:fill="auto"/>
            <w:vAlign w:val="bottom"/>
          </w:tcPr>
          <w:p w14:paraId="7F41BA0F" w14:textId="2435C996" w:rsidR="0012172E" w:rsidRPr="00C441BB" w:rsidRDefault="0012172E" w:rsidP="00BF3BC0">
            <w:pPr>
              <w:pStyle w:val="TableText"/>
              <w:tabs>
                <w:tab w:val="left" w:pos="3306"/>
              </w:tabs>
              <w:jc w:val="right"/>
              <w:rPr>
                <w:rFonts w:cs="Calibri"/>
                <w:bCs/>
              </w:rPr>
            </w:pPr>
          </w:p>
        </w:tc>
        <w:tc>
          <w:tcPr>
            <w:tcW w:w="2126" w:type="dxa"/>
            <w:tcBorders>
              <w:bottom w:val="single" w:sz="2" w:space="0" w:color="auto"/>
            </w:tcBorders>
            <w:shd w:val="clear" w:color="auto" w:fill="auto"/>
            <w:vAlign w:val="bottom"/>
          </w:tcPr>
          <w:p w14:paraId="178BCA63" w14:textId="02B9927F" w:rsidR="0012172E" w:rsidRPr="00C441BB" w:rsidRDefault="0012172E" w:rsidP="00BF3BC0">
            <w:pPr>
              <w:pStyle w:val="TableText"/>
              <w:tabs>
                <w:tab w:val="left" w:pos="3306"/>
              </w:tabs>
              <w:jc w:val="right"/>
              <w:rPr>
                <w:rFonts w:cs="Calibri"/>
                <w:bCs/>
              </w:rPr>
            </w:pPr>
          </w:p>
        </w:tc>
        <w:tc>
          <w:tcPr>
            <w:tcW w:w="1701" w:type="dxa"/>
            <w:tcBorders>
              <w:bottom w:val="single" w:sz="2" w:space="0" w:color="auto"/>
            </w:tcBorders>
          </w:tcPr>
          <w:p w14:paraId="17E66CB9" w14:textId="77777777" w:rsidR="0012172E" w:rsidRPr="00C441BB" w:rsidRDefault="0012172E" w:rsidP="00BF3BC0">
            <w:pPr>
              <w:pStyle w:val="TableText"/>
              <w:tabs>
                <w:tab w:val="left" w:pos="3306"/>
              </w:tabs>
              <w:jc w:val="right"/>
              <w:rPr>
                <w:rFonts w:cs="Calibri"/>
                <w:bCs/>
              </w:rPr>
            </w:pPr>
          </w:p>
        </w:tc>
      </w:tr>
      <w:tr w:rsidR="00C441BB" w:rsidRPr="00C441BB" w14:paraId="337AA56E" w14:textId="77777777" w:rsidTr="0004564D">
        <w:trPr>
          <w:gridAfter w:val="1"/>
          <w:wAfter w:w="148" w:type="dxa"/>
        </w:trPr>
        <w:tc>
          <w:tcPr>
            <w:tcW w:w="1560" w:type="dxa"/>
            <w:tcBorders>
              <w:left w:val="single" w:sz="2" w:space="0" w:color="auto"/>
              <w:right w:val="single" w:sz="2" w:space="0" w:color="auto"/>
            </w:tcBorders>
          </w:tcPr>
          <w:p w14:paraId="44FA3BFA"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vAlign w:val="bottom"/>
          </w:tcPr>
          <w:p w14:paraId="4EDBAEBA" w14:textId="1FE5C92E" w:rsidR="0012172E" w:rsidRPr="00C441BB" w:rsidRDefault="0012172E" w:rsidP="00BF3BC0">
            <w:pPr>
              <w:pStyle w:val="TableText"/>
              <w:tabs>
                <w:tab w:val="left" w:pos="3306"/>
              </w:tabs>
              <w:rPr>
                <w:rFonts w:cs="Calibri"/>
                <w:b/>
                <w:bCs/>
              </w:rPr>
            </w:pPr>
            <w:r w:rsidRPr="00C441BB">
              <w:rPr>
                <w:rFonts w:cs="Calibri"/>
                <w:b/>
                <w:bCs/>
              </w:rPr>
              <w:t xml:space="preserve">Total Income </w:t>
            </w:r>
          </w:p>
        </w:tc>
        <w:tc>
          <w:tcPr>
            <w:tcW w:w="1985" w:type="dxa"/>
            <w:tcBorders>
              <w:top w:val="single" w:sz="2" w:space="0" w:color="auto"/>
              <w:bottom w:val="double" w:sz="4" w:space="0" w:color="auto"/>
            </w:tcBorders>
            <w:shd w:val="clear" w:color="auto" w:fill="auto"/>
            <w:vAlign w:val="bottom"/>
          </w:tcPr>
          <w:p w14:paraId="5CCAE54B" w14:textId="7C42D2B5" w:rsidR="0012172E" w:rsidRPr="00C441BB" w:rsidRDefault="0012172E" w:rsidP="00BF3BC0">
            <w:pPr>
              <w:pStyle w:val="TableText"/>
              <w:tabs>
                <w:tab w:val="left" w:pos="3306"/>
              </w:tabs>
              <w:jc w:val="right"/>
              <w:rPr>
                <w:rFonts w:cs="Calibri"/>
                <w:b/>
                <w:bCs/>
              </w:rPr>
            </w:pPr>
          </w:p>
        </w:tc>
        <w:tc>
          <w:tcPr>
            <w:tcW w:w="2126" w:type="dxa"/>
            <w:tcBorders>
              <w:top w:val="single" w:sz="2" w:space="0" w:color="auto"/>
              <w:bottom w:val="double" w:sz="4" w:space="0" w:color="auto"/>
            </w:tcBorders>
            <w:shd w:val="clear" w:color="auto" w:fill="auto"/>
            <w:vAlign w:val="bottom"/>
          </w:tcPr>
          <w:p w14:paraId="6ECB5246" w14:textId="4CA8A15A" w:rsidR="0012172E" w:rsidRPr="00C441BB" w:rsidRDefault="0012172E" w:rsidP="00BF3BC0">
            <w:pPr>
              <w:pStyle w:val="TableText"/>
              <w:tabs>
                <w:tab w:val="left" w:pos="3306"/>
              </w:tabs>
              <w:jc w:val="right"/>
              <w:rPr>
                <w:rFonts w:cs="Calibri"/>
                <w:b/>
                <w:bCs/>
              </w:rPr>
            </w:pPr>
          </w:p>
        </w:tc>
        <w:tc>
          <w:tcPr>
            <w:tcW w:w="1701" w:type="dxa"/>
            <w:tcBorders>
              <w:top w:val="single" w:sz="2" w:space="0" w:color="auto"/>
              <w:bottom w:val="double" w:sz="4" w:space="0" w:color="auto"/>
            </w:tcBorders>
          </w:tcPr>
          <w:p w14:paraId="704E1EAE" w14:textId="77777777" w:rsidR="0012172E" w:rsidRPr="00C441BB" w:rsidRDefault="0012172E" w:rsidP="00BF3BC0">
            <w:pPr>
              <w:pStyle w:val="TableText"/>
              <w:tabs>
                <w:tab w:val="left" w:pos="3306"/>
              </w:tabs>
              <w:jc w:val="right"/>
              <w:rPr>
                <w:rFonts w:cs="Calibri"/>
                <w:b/>
                <w:bCs/>
              </w:rPr>
            </w:pPr>
          </w:p>
        </w:tc>
      </w:tr>
      <w:tr w:rsidR="00C441BB" w:rsidRPr="00C441BB" w14:paraId="00503B83" w14:textId="77777777" w:rsidTr="0004564D">
        <w:trPr>
          <w:gridAfter w:val="1"/>
          <w:wAfter w:w="148" w:type="dxa"/>
        </w:trPr>
        <w:tc>
          <w:tcPr>
            <w:tcW w:w="1560" w:type="dxa"/>
            <w:tcBorders>
              <w:left w:val="single" w:sz="2" w:space="0" w:color="auto"/>
              <w:right w:val="single" w:sz="2" w:space="0" w:color="auto"/>
            </w:tcBorders>
          </w:tcPr>
          <w:p w14:paraId="03292F5A"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vAlign w:val="bottom"/>
          </w:tcPr>
          <w:p w14:paraId="5E0A409F" w14:textId="77777777" w:rsidR="0012172E" w:rsidRPr="00C441BB" w:rsidRDefault="0012172E" w:rsidP="00BF3BC0">
            <w:pPr>
              <w:pStyle w:val="TableText"/>
              <w:tabs>
                <w:tab w:val="left" w:pos="3306"/>
              </w:tabs>
              <w:rPr>
                <w:rFonts w:cs="Calibri"/>
                <w:b/>
                <w:bCs/>
              </w:rPr>
            </w:pPr>
            <w:r w:rsidRPr="00C441BB">
              <w:rPr>
                <w:rFonts w:cs="Calibri"/>
                <w:b/>
                <w:bCs/>
              </w:rPr>
              <w:t>Expenses</w:t>
            </w:r>
          </w:p>
        </w:tc>
        <w:tc>
          <w:tcPr>
            <w:tcW w:w="1985" w:type="dxa"/>
            <w:tcBorders>
              <w:top w:val="double" w:sz="4" w:space="0" w:color="auto"/>
            </w:tcBorders>
            <w:shd w:val="clear" w:color="auto" w:fill="auto"/>
            <w:vAlign w:val="bottom"/>
          </w:tcPr>
          <w:p w14:paraId="4A5E050E" w14:textId="77777777" w:rsidR="0012172E" w:rsidRPr="00C441BB" w:rsidRDefault="0012172E" w:rsidP="00BF3BC0">
            <w:pPr>
              <w:pStyle w:val="TableText"/>
              <w:tabs>
                <w:tab w:val="left" w:pos="3306"/>
              </w:tabs>
              <w:jc w:val="right"/>
              <w:rPr>
                <w:rFonts w:cs="Calibri"/>
                <w:b/>
                <w:bCs/>
              </w:rPr>
            </w:pPr>
          </w:p>
        </w:tc>
        <w:tc>
          <w:tcPr>
            <w:tcW w:w="2126" w:type="dxa"/>
            <w:tcBorders>
              <w:top w:val="double" w:sz="4" w:space="0" w:color="auto"/>
            </w:tcBorders>
            <w:shd w:val="clear" w:color="auto" w:fill="auto"/>
            <w:vAlign w:val="bottom"/>
          </w:tcPr>
          <w:p w14:paraId="13F4CD25" w14:textId="77777777" w:rsidR="0012172E" w:rsidRPr="00C441BB" w:rsidRDefault="0012172E" w:rsidP="00BF3BC0">
            <w:pPr>
              <w:pStyle w:val="TableText"/>
              <w:tabs>
                <w:tab w:val="left" w:pos="3306"/>
              </w:tabs>
              <w:jc w:val="right"/>
              <w:rPr>
                <w:rFonts w:cs="Calibri"/>
                <w:b/>
                <w:bCs/>
              </w:rPr>
            </w:pPr>
          </w:p>
        </w:tc>
        <w:tc>
          <w:tcPr>
            <w:tcW w:w="1701" w:type="dxa"/>
            <w:tcBorders>
              <w:top w:val="double" w:sz="4" w:space="0" w:color="auto"/>
            </w:tcBorders>
          </w:tcPr>
          <w:p w14:paraId="0017EF35" w14:textId="77777777" w:rsidR="0012172E" w:rsidRPr="00C441BB" w:rsidRDefault="0012172E" w:rsidP="00BF3BC0">
            <w:pPr>
              <w:pStyle w:val="TableText"/>
              <w:tabs>
                <w:tab w:val="left" w:pos="3306"/>
              </w:tabs>
              <w:jc w:val="right"/>
              <w:rPr>
                <w:rFonts w:cs="Calibri"/>
                <w:b/>
                <w:bCs/>
              </w:rPr>
            </w:pPr>
          </w:p>
        </w:tc>
      </w:tr>
      <w:tr w:rsidR="00C441BB" w:rsidRPr="00C441BB" w14:paraId="7E8D8489" w14:textId="77777777" w:rsidTr="0004564D">
        <w:trPr>
          <w:gridAfter w:val="1"/>
          <w:wAfter w:w="148" w:type="dxa"/>
          <w:trHeight w:val="199"/>
        </w:trPr>
        <w:tc>
          <w:tcPr>
            <w:tcW w:w="1560" w:type="dxa"/>
            <w:tcBorders>
              <w:left w:val="single" w:sz="2" w:space="0" w:color="auto"/>
              <w:right w:val="single" w:sz="2" w:space="0" w:color="auto"/>
            </w:tcBorders>
          </w:tcPr>
          <w:p w14:paraId="2107C02C"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tcPr>
          <w:p w14:paraId="41641893" w14:textId="77777777" w:rsidR="0012172E" w:rsidRPr="00C441BB" w:rsidRDefault="0012172E" w:rsidP="00BF3BC0">
            <w:pPr>
              <w:pStyle w:val="TableText"/>
              <w:tabs>
                <w:tab w:val="left" w:pos="3306"/>
              </w:tabs>
              <w:rPr>
                <w:rFonts w:cs="Calibri"/>
                <w:bCs/>
              </w:rPr>
            </w:pPr>
            <w:r w:rsidRPr="00C441BB">
              <w:rPr>
                <w:rFonts w:cs="Calibri"/>
                <w:bCs/>
              </w:rPr>
              <w:t>Employee Expenses</w:t>
            </w:r>
          </w:p>
        </w:tc>
        <w:tc>
          <w:tcPr>
            <w:tcW w:w="1985" w:type="dxa"/>
            <w:shd w:val="clear" w:color="auto" w:fill="auto"/>
          </w:tcPr>
          <w:p w14:paraId="380F974B" w14:textId="1A64D2EB" w:rsidR="0012172E" w:rsidRPr="00C441BB" w:rsidRDefault="0012172E" w:rsidP="00BF3BC0">
            <w:pPr>
              <w:pStyle w:val="TableText"/>
              <w:tabs>
                <w:tab w:val="left" w:pos="3306"/>
              </w:tabs>
              <w:rPr>
                <w:rFonts w:cs="Calibri"/>
                <w:bCs/>
              </w:rPr>
            </w:pPr>
          </w:p>
        </w:tc>
        <w:tc>
          <w:tcPr>
            <w:tcW w:w="2126" w:type="dxa"/>
            <w:shd w:val="clear" w:color="auto" w:fill="auto"/>
          </w:tcPr>
          <w:p w14:paraId="492BF48F" w14:textId="7FA93BB7" w:rsidR="0012172E" w:rsidRPr="00C441BB" w:rsidRDefault="0012172E" w:rsidP="00BF3BC0">
            <w:pPr>
              <w:pStyle w:val="TableText"/>
              <w:tabs>
                <w:tab w:val="left" w:pos="3306"/>
              </w:tabs>
              <w:rPr>
                <w:rFonts w:cs="Calibri"/>
                <w:bCs/>
              </w:rPr>
            </w:pPr>
          </w:p>
        </w:tc>
        <w:tc>
          <w:tcPr>
            <w:tcW w:w="1701" w:type="dxa"/>
          </w:tcPr>
          <w:p w14:paraId="11E4CB1C" w14:textId="77777777" w:rsidR="0012172E" w:rsidRPr="00C441BB" w:rsidRDefault="0012172E" w:rsidP="00BF3BC0">
            <w:pPr>
              <w:pStyle w:val="TableText"/>
              <w:tabs>
                <w:tab w:val="left" w:pos="3306"/>
              </w:tabs>
              <w:rPr>
                <w:rFonts w:cs="Calibri"/>
                <w:bCs/>
              </w:rPr>
            </w:pPr>
          </w:p>
        </w:tc>
      </w:tr>
      <w:tr w:rsidR="00C441BB" w:rsidRPr="00C441BB" w14:paraId="05310AF6" w14:textId="77777777" w:rsidTr="0004564D">
        <w:trPr>
          <w:gridAfter w:val="1"/>
          <w:wAfter w:w="148" w:type="dxa"/>
        </w:trPr>
        <w:tc>
          <w:tcPr>
            <w:tcW w:w="1560" w:type="dxa"/>
            <w:tcBorders>
              <w:left w:val="single" w:sz="2" w:space="0" w:color="auto"/>
              <w:right w:val="single" w:sz="2" w:space="0" w:color="auto"/>
            </w:tcBorders>
          </w:tcPr>
          <w:p w14:paraId="16227CB9"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vAlign w:val="bottom"/>
          </w:tcPr>
          <w:p w14:paraId="44178FE9" w14:textId="77777777" w:rsidR="0012172E" w:rsidRPr="00C441BB" w:rsidRDefault="0012172E" w:rsidP="00BF3BC0">
            <w:pPr>
              <w:pStyle w:val="TableText"/>
              <w:tabs>
                <w:tab w:val="left" w:pos="3306"/>
              </w:tabs>
              <w:rPr>
                <w:rFonts w:cs="Calibri"/>
                <w:bCs/>
              </w:rPr>
            </w:pPr>
            <w:r w:rsidRPr="00C441BB">
              <w:rPr>
                <w:rFonts w:cs="Calibri"/>
                <w:bCs/>
              </w:rPr>
              <w:t>Superannuation Expenses</w:t>
            </w:r>
          </w:p>
        </w:tc>
        <w:tc>
          <w:tcPr>
            <w:tcW w:w="1985" w:type="dxa"/>
            <w:shd w:val="clear" w:color="auto" w:fill="auto"/>
            <w:vAlign w:val="bottom"/>
          </w:tcPr>
          <w:p w14:paraId="56F8BB27" w14:textId="45AF6A13" w:rsidR="0012172E" w:rsidRPr="00C441BB" w:rsidRDefault="0012172E" w:rsidP="00BF3BC0">
            <w:pPr>
              <w:pStyle w:val="TableText"/>
              <w:tabs>
                <w:tab w:val="left" w:pos="3306"/>
              </w:tabs>
              <w:jc w:val="right"/>
              <w:rPr>
                <w:rFonts w:cs="Calibri"/>
                <w:bCs/>
              </w:rPr>
            </w:pPr>
          </w:p>
        </w:tc>
        <w:tc>
          <w:tcPr>
            <w:tcW w:w="2126" w:type="dxa"/>
            <w:shd w:val="clear" w:color="auto" w:fill="auto"/>
            <w:vAlign w:val="bottom"/>
          </w:tcPr>
          <w:p w14:paraId="1F30BB62" w14:textId="719D96CF" w:rsidR="0012172E" w:rsidRPr="00C441BB" w:rsidRDefault="0012172E" w:rsidP="00BF3BC0">
            <w:pPr>
              <w:pStyle w:val="TableText"/>
              <w:tabs>
                <w:tab w:val="left" w:pos="3306"/>
              </w:tabs>
              <w:jc w:val="right"/>
              <w:rPr>
                <w:rFonts w:cs="Calibri"/>
                <w:bCs/>
              </w:rPr>
            </w:pPr>
          </w:p>
        </w:tc>
        <w:tc>
          <w:tcPr>
            <w:tcW w:w="1701" w:type="dxa"/>
          </w:tcPr>
          <w:p w14:paraId="5E6FFE79" w14:textId="77777777" w:rsidR="0012172E" w:rsidRPr="00C441BB" w:rsidRDefault="0012172E" w:rsidP="00BF3BC0">
            <w:pPr>
              <w:pStyle w:val="TableText"/>
              <w:tabs>
                <w:tab w:val="left" w:pos="3306"/>
              </w:tabs>
              <w:jc w:val="right"/>
              <w:rPr>
                <w:rFonts w:cs="Calibri"/>
                <w:bCs/>
              </w:rPr>
            </w:pPr>
          </w:p>
        </w:tc>
      </w:tr>
      <w:tr w:rsidR="00C441BB" w:rsidRPr="00C441BB" w14:paraId="4AEA8F63" w14:textId="77777777" w:rsidTr="0004564D">
        <w:trPr>
          <w:gridAfter w:val="1"/>
          <w:wAfter w:w="148" w:type="dxa"/>
        </w:trPr>
        <w:tc>
          <w:tcPr>
            <w:tcW w:w="1560" w:type="dxa"/>
            <w:tcBorders>
              <w:left w:val="single" w:sz="2" w:space="0" w:color="auto"/>
              <w:right w:val="single" w:sz="2" w:space="0" w:color="auto"/>
            </w:tcBorders>
          </w:tcPr>
          <w:p w14:paraId="457E3803"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vAlign w:val="bottom"/>
          </w:tcPr>
          <w:p w14:paraId="1637B138" w14:textId="77777777" w:rsidR="0012172E" w:rsidRPr="00C441BB" w:rsidRDefault="0012172E" w:rsidP="00BF3BC0">
            <w:pPr>
              <w:pStyle w:val="TableText"/>
              <w:tabs>
                <w:tab w:val="left" w:pos="3306"/>
              </w:tabs>
              <w:rPr>
                <w:rFonts w:cs="Calibri"/>
                <w:bCs/>
              </w:rPr>
            </w:pPr>
            <w:r w:rsidRPr="00C441BB">
              <w:rPr>
                <w:rFonts w:cs="Calibri"/>
                <w:bCs/>
              </w:rPr>
              <w:t>Supplies and Services</w:t>
            </w:r>
          </w:p>
        </w:tc>
        <w:tc>
          <w:tcPr>
            <w:tcW w:w="1985" w:type="dxa"/>
            <w:shd w:val="clear" w:color="auto" w:fill="auto"/>
            <w:vAlign w:val="bottom"/>
          </w:tcPr>
          <w:p w14:paraId="71967AEC" w14:textId="06ACC9F9" w:rsidR="0012172E" w:rsidRPr="00C441BB" w:rsidRDefault="0012172E" w:rsidP="00BF3BC0">
            <w:pPr>
              <w:pStyle w:val="TableText"/>
              <w:tabs>
                <w:tab w:val="left" w:pos="3306"/>
              </w:tabs>
              <w:jc w:val="right"/>
              <w:rPr>
                <w:rFonts w:cs="Calibri"/>
                <w:bCs/>
              </w:rPr>
            </w:pPr>
          </w:p>
        </w:tc>
        <w:tc>
          <w:tcPr>
            <w:tcW w:w="2126" w:type="dxa"/>
            <w:shd w:val="clear" w:color="auto" w:fill="auto"/>
            <w:vAlign w:val="bottom"/>
          </w:tcPr>
          <w:p w14:paraId="34F697D0" w14:textId="1489D493" w:rsidR="0012172E" w:rsidRPr="00C441BB" w:rsidRDefault="0012172E" w:rsidP="00BF3BC0">
            <w:pPr>
              <w:pStyle w:val="TableText"/>
              <w:tabs>
                <w:tab w:val="left" w:pos="3306"/>
              </w:tabs>
              <w:jc w:val="right"/>
              <w:rPr>
                <w:rFonts w:cs="Calibri"/>
                <w:bCs/>
              </w:rPr>
            </w:pPr>
          </w:p>
        </w:tc>
        <w:tc>
          <w:tcPr>
            <w:tcW w:w="1701" w:type="dxa"/>
          </w:tcPr>
          <w:p w14:paraId="697E4E9A" w14:textId="77777777" w:rsidR="0012172E" w:rsidRPr="00C441BB" w:rsidRDefault="0012172E" w:rsidP="00BF3BC0">
            <w:pPr>
              <w:pStyle w:val="TableText"/>
              <w:tabs>
                <w:tab w:val="left" w:pos="3306"/>
              </w:tabs>
              <w:jc w:val="right"/>
              <w:rPr>
                <w:rFonts w:cs="Calibri"/>
                <w:bCs/>
              </w:rPr>
            </w:pPr>
          </w:p>
        </w:tc>
      </w:tr>
      <w:tr w:rsidR="00C441BB" w:rsidRPr="00C441BB" w14:paraId="42488C62" w14:textId="77777777" w:rsidTr="0004564D">
        <w:trPr>
          <w:gridAfter w:val="1"/>
          <w:wAfter w:w="148" w:type="dxa"/>
        </w:trPr>
        <w:tc>
          <w:tcPr>
            <w:tcW w:w="1560" w:type="dxa"/>
            <w:tcBorders>
              <w:left w:val="single" w:sz="2" w:space="0" w:color="auto"/>
              <w:right w:val="single" w:sz="2" w:space="0" w:color="auto"/>
            </w:tcBorders>
          </w:tcPr>
          <w:p w14:paraId="238BB3E4"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vAlign w:val="bottom"/>
          </w:tcPr>
          <w:p w14:paraId="4180ED06" w14:textId="77777777" w:rsidR="0012172E" w:rsidRPr="00C441BB" w:rsidRDefault="0012172E" w:rsidP="00BF3BC0">
            <w:pPr>
              <w:pStyle w:val="TableText"/>
              <w:tabs>
                <w:tab w:val="left" w:pos="3306"/>
              </w:tabs>
              <w:rPr>
                <w:rFonts w:cs="Calibri"/>
                <w:bCs/>
              </w:rPr>
            </w:pPr>
            <w:r w:rsidRPr="00C441BB">
              <w:rPr>
                <w:rFonts w:cs="Calibri"/>
                <w:bCs/>
              </w:rPr>
              <w:t>Depreciation and Amortisation</w:t>
            </w:r>
          </w:p>
        </w:tc>
        <w:tc>
          <w:tcPr>
            <w:tcW w:w="1985" w:type="dxa"/>
            <w:shd w:val="clear" w:color="auto" w:fill="auto"/>
            <w:vAlign w:val="bottom"/>
          </w:tcPr>
          <w:p w14:paraId="0A11C5B1" w14:textId="343E1C01" w:rsidR="0012172E" w:rsidRPr="00C441BB" w:rsidRDefault="0012172E" w:rsidP="00BF3BC0">
            <w:pPr>
              <w:pStyle w:val="TableText"/>
              <w:tabs>
                <w:tab w:val="left" w:pos="3306"/>
              </w:tabs>
              <w:jc w:val="right"/>
              <w:rPr>
                <w:rFonts w:cs="Calibri"/>
                <w:bCs/>
              </w:rPr>
            </w:pPr>
          </w:p>
        </w:tc>
        <w:tc>
          <w:tcPr>
            <w:tcW w:w="2126" w:type="dxa"/>
            <w:shd w:val="clear" w:color="auto" w:fill="auto"/>
            <w:vAlign w:val="bottom"/>
          </w:tcPr>
          <w:p w14:paraId="66D9C7DA" w14:textId="2BF6C05B" w:rsidR="0012172E" w:rsidRPr="00C441BB" w:rsidRDefault="0012172E" w:rsidP="00BF3BC0">
            <w:pPr>
              <w:pStyle w:val="TableText"/>
              <w:tabs>
                <w:tab w:val="left" w:pos="3306"/>
              </w:tabs>
              <w:jc w:val="right"/>
              <w:rPr>
                <w:rFonts w:cs="Calibri"/>
                <w:bCs/>
              </w:rPr>
            </w:pPr>
          </w:p>
        </w:tc>
        <w:tc>
          <w:tcPr>
            <w:tcW w:w="1701" w:type="dxa"/>
          </w:tcPr>
          <w:p w14:paraId="13ED7343" w14:textId="77777777" w:rsidR="0012172E" w:rsidRPr="00C441BB" w:rsidRDefault="0012172E" w:rsidP="00BF3BC0">
            <w:pPr>
              <w:pStyle w:val="TableText"/>
              <w:tabs>
                <w:tab w:val="left" w:pos="3306"/>
              </w:tabs>
              <w:jc w:val="right"/>
              <w:rPr>
                <w:rFonts w:cs="Calibri"/>
                <w:bCs/>
              </w:rPr>
            </w:pPr>
          </w:p>
        </w:tc>
      </w:tr>
      <w:tr w:rsidR="00C441BB" w:rsidRPr="00C441BB" w14:paraId="42233176" w14:textId="77777777" w:rsidTr="0004564D">
        <w:trPr>
          <w:gridAfter w:val="1"/>
          <w:wAfter w:w="148" w:type="dxa"/>
        </w:trPr>
        <w:tc>
          <w:tcPr>
            <w:tcW w:w="1560" w:type="dxa"/>
            <w:tcBorders>
              <w:left w:val="single" w:sz="2" w:space="0" w:color="auto"/>
              <w:right w:val="single" w:sz="2" w:space="0" w:color="auto"/>
            </w:tcBorders>
          </w:tcPr>
          <w:p w14:paraId="743E7193"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vAlign w:val="bottom"/>
          </w:tcPr>
          <w:p w14:paraId="1A981CC6" w14:textId="77777777" w:rsidR="0012172E" w:rsidRPr="00C441BB" w:rsidRDefault="0012172E" w:rsidP="00BF3BC0">
            <w:pPr>
              <w:pStyle w:val="TableText"/>
              <w:tabs>
                <w:tab w:val="left" w:pos="3306"/>
              </w:tabs>
              <w:rPr>
                <w:rFonts w:cs="Calibri"/>
                <w:bCs/>
              </w:rPr>
            </w:pPr>
            <w:r w:rsidRPr="00C441BB">
              <w:rPr>
                <w:rFonts w:cs="Calibri"/>
                <w:bCs/>
              </w:rPr>
              <w:t>Grants and Purchased Services</w:t>
            </w:r>
          </w:p>
        </w:tc>
        <w:tc>
          <w:tcPr>
            <w:tcW w:w="1985" w:type="dxa"/>
            <w:tcBorders>
              <w:bottom w:val="single" w:sz="2" w:space="0" w:color="auto"/>
            </w:tcBorders>
            <w:shd w:val="clear" w:color="auto" w:fill="auto"/>
            <w:vAlign w:val="bottom"/>
          </w:tcPr>
          <w:p w14:paraId="5894A1E2" w14:textId="4CAC9314" w:rsidR="0012172E" w:rsidRPr="00C441BB" w:rsidRDefault="0012172E" w:rsidP="00BF3BC0">
            <w:pPr>
              <w:pStyle w:val="TableText"/>
              <w:tabs>
                <w:tab w:val="left" w:pos="3306"/>
              </w:tabs>
              <w:jc w:val="right"/>
              <w:rPr>
                <w:rFonts w:cs="Calibri"/>
                <w:bCs/>
              </w:rPr>
            </w:pPr>
          </w:p>
        </w:tc>
        <w:tc>
          <w:tcPr>
            <w:tcW w:w="2126" w:type="dxa"/>
            <w:tcBorders>
              <w:bottom w:val="single" w:sz="2" w:space="0" w:color="auto"/>
            </w:tcBorders>
            <w:shd w:val="clear" w:color="auto" w:fill="auto"/>
            <w:vAlign w:val="bottom"/>
          </w:tcPr>
          <w:p w14:paraId="59133FA7" w14:textId="20829576" w:rsidR="0012172E" w:rsidRPr="00C441BB" w:rsidRDefault="0012172E" w:rsidP="00BF3BC0">
            <w:pPr>
              <w:pStyle w:val="TableText"/>
              <w:tabs>
                <w:tab w:val="left" w:pos="3306"/>
              </w:tabs>
              <w:jc w:val="right"/>
              <w:rPr>
                <w:rFonts w:cs="Calibri"/>
                <w:bCs/>
              </w:rPr>
            </w:pPr>
          </w:p>
        </w:tc>
        <w:tc>
          <w:tcPr>
            <w:tcW w:w="1701" w:type="dxa"/>
            <w:tcBorders>
              <w:bottom w:val="single" w:sz="2" w:space="0" w:color="auto"/>
            </w:tcBorders>
          </w:tcPr>
          <w:p w14:paraId="12EA1691" w14:textId="77777777" w:rsidR="0012172E" w:rsidRPr="00C441BB" w:rsidRDefault="0012172E" w:rsidP="00BF3BC0">
            <w:pPr>
              <w:pStyle w:val="TableText"/>
              <w:tabs>
                <w:tab w:val="left" w:pos="3306"/>
              </w:tabs>
              <w:jc w:val="right"/>
              <w:rPr>
                <w:rFonts w:cs="Calibri"/>
                <w:bCs/>
              </w:rPr>
            </w:pPr>
          </w:p>
        </w:tc>
      </w:tr>
      <w:tr w:rsidR="00C441BB" w:rsidRPr="00C441BB" w14:paraId="48BE2EF8" w14:textId="77777777" w:rsidTr="0004564D">
        <w:trPr>
          <w:gridAfter w:val="1"/>
          <w:wAfter w:w="148" w:type="dxa"/>
        </w:trPr>
        <w:tc>
          <w:tcPr>
            <w:tcW w:w="1560" w:type="dxa"/>
            <w:tcBorders>
              <w:left w:val="single" w:sz="2" w:space="0" w:color="auto"/>
              <w:right w:val="single" w:sz="2" w:space="0" w:color="auto"/>
            </w:tcBorders>
          </w:tcPr>
          <w:p w14:paraId="5B2D594D" w14:textId="77777777" w:rsidR="0012172E" w:rsidRPr="003329B4" w:rsidRDefault="0012172E" w:rsidP="00BF3BC0">
            <w:pPr>
              <w:rPr>
                <w:rFonts w:cs="Calibri"/>
                <w:color w:val="7030A0"/>
                <w:sz w:val="14"/>
                <w:szCs w:val="14"/>
              </w:rPr>
            </w:pPr>
          </w:p>
        </w:tc>
        <w:tc>
          <w:tcPr>
            <w:tcW w:w="3118" w:type="dxa"/>
            <w:tcBorders>
              <w:left w:val="single" w:sz="2" w:space="0" w:color="auto"/>
            </w:tcBorders>
            <w:shd w:val="clear" w:color="auto" w:fill="auto"/>
            <w:vAlign w:val="bottom"/>
          </w:tcPr>
          <w:p w14:paraId="75C7CC37" w14:textId="77777777" w:rsidR="0012172E" w:rsidRPr="00C441BB" w:rsidRDefault="0012172E" w:rsidP="00BF3BC0">
            <w:pPr>
              <w:pStyle w:val="TableText"/>
              <w:tabs>
                <w:tab w:val="left" w:pos="3306"/>
              </w:tabs>
              <w:rPr>
                <w:rFonts w:cs="Calibri"/>
                <w:b/>
                <w:bCs/>
              </w:rPr>
            </w:pPr>
            <w:r w:rsidRPr="00C441BB">
              <w:rPr>
                <w:rFonts w:cs="Calibri"/>
                <w:b/>
                <w:bCs/>
              </w:rPr>
              <w:t>Total Expenses</w:t>
            </w:r>
          </w:p>
        </w:tc>
        <w:tc>
          <w:tcPr>
            <w:tcW w:w="1985" w:type="dxa"/>
            <w:tcBorders>
              <w:top w:val="single" w:sz="2" w:space="0" w:color="auto"/>
              <w:bottom w:val="double" w:sz="4" w:space="0" w:color="auto"/>
            </w:tcBorders>
            <w:shd w:val="clear" w:color="auto" w:fill="auto"/>
            <w:vAlign w:val="bottom"/>
          </w:tcPr>
          <w:p w14:paraId="0CF253BE" w14:textId="324A56E7" w:rsidR="0012172E" w:rsidRPr="00C441BB" w:rsidRDefault="0012172E" w:rsidP="00BF3BC0">
            <w:pPr>
              <w:pStyle w:val="TableText"/>
              <w:tabs>
                <w:tab w:val="left" w:pos="3306"/>
              </w:tabs>
              <w:jc w:val="right"/>
              <w:rPr>
                <w:rFonts w:cs="Calibri"/>
                <w:b/>
                <w:bCs/>
              </w:rPr>
            </w:pPr>
          </w:p>
        </w:tc>
        <w:tc>
          <w:tcPr>
            <w:tcW w:w="2126" w:type="dxa"/>
            <w:tcBorders>
              <w:top w:val="single" w:sz="2" w:space="0" w:color="auto"/>
              <w:bottom w:val="double" w:sz="4" w:space="0" w:color="auto"/>
            </w:tcBorders>
            <w:shd w:val="clear" w:color="auto" w:fill="auto"/>
            <w:vAlign w:val="bottom"/>
          </w:tcPr>
          <w:p w14:paraId="478359F1" w14:textId="12AA8203" w:rsidR="0012172E" w:rsidRPr="00C441BB" w:rsidRDefault="0012172E" w:rsidP="00BF3BC0">
            <w:pPr>
              <w:pStyle w:val="TableText"/>
              <w:tabs>
                <w:tab w:val="left" w:pos="3306"/>
              </w:tabs>
              <w:jc w:val="right"/>
              <w:rPr>
                <w:rFonts w:cs="Calibri"/>
                <w:b/>
                <w:bCs/>
              </w:rPr>
            </w:pPr>
          </w:p>
        </w:tc>
        <w:tc>
          <w:tcPr>
            <w:tcW w:w="1701" w:type="dxa"/>
            <w:tcBorders>
              <w:top w:val="single" w:sz="2" w:space="0" w:color="auto"/>
              <w:bottom w:val="double" w:sz="4" w:space="0" w:color="auto"/>
            </w:tcBorders>
          </w:tcPr>
          <w:p w14:paraId="29AF9D4E" w14:textId="77777777" w:rsidR="0012172E" w:rsidRPr="00C441BB" w:rsidRDefault="0012172E" w:rsidP="00BF3BC0">
            <w:pPr>
              <w:pStyle w:val="TableText"/>
              <w:tabs>
                <w:tab w:val="left" w:pos="3306"/>
              </w:tabs>
              <w:jc w:val="right"/>
              <w:rPr>
                <w:rFonts w:cs="Calibri"/>
                <w:b/>
                <w:bCs/>
              </w:rPr>
            </w:pPr>
          </w:p>
        </w:tc>
      </w:tr>
      <w:tr w:rsidR="00C441BB" w:rsidRPr="00C441BB" w14:paraId="169CBC76" w14:textId="77777777" w:rsidTr="0004564D">
        <w:trPr>
          <w:gridAfter w:val="1"/>
          <w:wAfter w:w="148" w:type="dxa"/>
          <w:trHeight w:hRule="exact" w:val="297"/>
        </w:trPr>
        <w:tc>
          <w:tcPr>
            <w:tcW w:w="1560" w:type="dxa"/>
            <w:tcBorders>
              <w:left w:val="single" w:sz="2" w:space="0" w:color="auto"/>
              <w:right w:val="single" w:sz="2" w:space="0" w:color="auto"/>
            </w:tcBorders>
          </w:tcPr>
          <w:p w14:paraId="431CCE8A" w14:textId="77777777" w:rsidR="00BF3BC0" w:rsidRPr="003329B4" w:rsidRDefault="00BF3BC0" w:rsidP="00BF3BC0">
            <w:pPr>
              <w:rPr>
                <w:color w:val="7030A0"/>
                <w:sz w:val="14"/>
                <w:szCs w:val="14"/>
              </w:rPr>
            </w:pPr>
          </w:p>
        </w:tc>
        <w:tc>
          <w:tcPr>
            <w:tcW w:w="8930" w:type="dxa"/>
            <w:gridSpan w:val="4"/>
            <w:tcBorders>
              <w:left w:val="single" w:sz="2" w:space="0" w:color="auto"/>
            </w:tcBorders>
            <w:shd w:val="clear" w:color="auto" w:fill="auto"/>
            <w:vAlign w:val="bottom"/>
          </w:tcPr>
          <w:p w14:paraId="432C53EE" w14:textId="77777777" w:rsidR="00BF3BC0" w:rsidRPr="00C441BB" w:rsidRDefault="00BF3BC0" w:rsidP="00BF3BC0">
            <w:pPr>
              <w:pStyle w:val="TableText"/>
              <w:tabs>
                <w:tab w:val="left" w:pos="3306"/>
              </w:tabs>
              <w:jc w:val="right"/>
              <w:rPr>
                <w:rFonts w:cs="Calibri"/>
                <w:b/>
                <w:bCs/>
              </w:rPr>
            </w:pPr>
          </w:p>
        </w:tc>
      </w:tr>
      <w:tr w:rsidR="00C441BB" w:rsidRPr="00C441BB" w14:paraId="6CCB7A89" w14:textId="77777777" w:rsidTr="0004564D">
        <w:trPr>
          <w:gridAfter w:val="1"/>
          <w:wAfter w:w="148" w:type="dxa"/>
        </w:trPr>
        <w:tc>
          <w:tcPr>
            <w:tcW w:w="1560" w:type="dxa"/>
            <w:tcBorders>
              <w:left w:val="single" w:sz="2" w:space="0" w:color="auto"/>
              <w:right w:val="single" w:sz="2" w:space="0" w:color="auto"/>
            </w:tcBorders>
            <w:vAlign w:val="center"/>
          </w:tcPr>
          <w:p w14:paraId="15F6BD08" w14:textId="77777777" w:rsidR="00BF3BC0" w:rsidRPr="003329B4" w:rsidRDefault="00BF3BC0" w:rsidP="00BF3BC0">
            <w:pPr>
              <w:rPr>
                <w:rFonts w:cs="Calibri"/>
                <w:color w:val="7030A0"/>
                <w:sz w:val="14"/>
                <w:szCs w:val="14"/>
              </w:rPr>
            </w:pPr>
          </w:p>
        </w:tc>
        <w:tc>
          <w:tcPr>
            <w:tcW w:w="8930" w:type="dxa"/>
            <w:gridSpan w:val="4"/>
            <w:tcBorders>
              <w:left w:val="single" w:sz="2" w:space="0" w:color="auto"/>
            </w:tcBorders>
          </w:tcPr>
          <w:p w14:paraId="35BE9E4B" w14:textId="77777777" w:rsidR="00BF3BC0" w:rsidRPr="00C441BB" w:rsidRDefault="00BF3BC0" w:rsidP="00BF3BC0">
            <w:pPr>
              <w:pStyle w:val="TableText"/>
              <w:spacing w:before="0" w:after="120"/>
              <w:rPr>
                <w:rFonts w:cs="Calibri"/>
              </w:rPr>
            </w:pPr>
            <w:r w:rsidRPr="00C441BB">
              <w:rPr>
                <w:rFonts w:cs="Calibri"/>
              </w:rPr>
              <w:t>Details of the Assets and Liabilities transferred are presented below.</w:t>
            </w:r>
          </w:p>
        </w:tc>
      </w:tr>
      <w:tr w:rsidR="00C441BB" w:rsidRPr="00C441BB" w14:paraId="20DF3623" w14:textId="77777777" w:rsidTr="0004564D">
        <w:trPr>
          <w:gridAfter w:val="1"/>
          <w:wAfter w:w="148" w:type="dxa"/>
          <w:trHeight w:hRule="exact" w:val="256"/>
        </w:trPr>
        <w:tc>
          <w:tcPr>
            <w:tcW w:w="1560" w:type="dxa"/>
            <w:tcBorders>
              <w:left w:val="single" w:sz="2" w:space="0" w:color="auto"/>
              <w:right w:val="single" w:sz="2" w:space="0" w:color="auto"/>
            </w:tcBorders>
            <w:vAlign w:val="center"/>
          </w:tcPr>
          <w:p w14:paraId="5528CB0F" w14:textId="77777777" w:rsidR="00BF3BC0" w:rsidRPr="003329B4" w:rsidRDefault="00BF3BC0" w:rsidP="00BF3BC0">
            <w:pPr>
              <w:rPr>
                <w:color w:val="7030A0"/>
                <w:sz w:val="14"/>
                <w:szCs w:val="14"/>
              </w:rPr>
            </w:pPr>
          </w:p>
        </w:tc>
        <w:tc>
          <w:tcPr>
            <w:tcW w:w="8930" w:type="dxa"/>
            <w:gridSpan w:val="4"/>
            <w:tcBorders>
              <w:left w:val="single" w:sz="2" w:space="0" w:color="auto"/>
            </w:tcBorders>
          </w:tcPr>
          <w:p w14:paraId="1902F0DE" w14:textId="77777777" w:rsidR="00BF3BC0" w:rsidRPr="00C441BB" w:rsidRDefault="00BF3BC0" w:rsidP="00BF3BC0">
            <w:pPr>
              <w:pStyle w:val="TableText"/>
              <w:rPr>
                <w:rFonts w:cs="Calibri"/>
                <w:b/>
              </w:rPr>
            </w:pPr>
          </w:p>
        </w:tc>
      </w:tr>
      <w:tr w:rsidR="00BF3BC0" w:rsidRPr="00CF7E1B" w14:paraId="4D009A24" w14:textId="77777777" w:rsidTr="0004564D">
        <w:trPr>
          <w:trHeight w:val="281"/>
        </w:trPr>
        <w:tc>
          <w:tcPr>
            <w:tcW w:w="1560" w:type="dxa"/>
            <w:tcBorders>
              <w:left w:val="single" w:sz="2" w:space="0" w:color="auto"/>
              <w:right w:val="single" w:sz="2" w:space="0" w:color="auto"/>
            </w:tcBorders>
            <w:vAlign w:val="center"/>
          </w:tcPr>
          <w:p w14:paraId="2E2CAD1D" w14:textId="77777777" w:rsidR="00BF3BC0" w:rsidRPr="003329B4" w:rsidRDefault="00BF3BC0" w:rsidP="00BF3BC0">
            <w:pPr>
              <w:rPr>
                <w:rFonts w:cs="Calibri"/>
                <w:color w:val="7030A0"/>
                <w:sz w:val="14"/>
                <w:szCs w:val="14"/>
              </w:rPr>
            </w:pPr>
            <w:r w:rsidRPr="003329B4">
              <w:rPr>
                <w:rFonts w:cs="Calibri"/>
                <w:color w:val="7030A0"/>
                <w:sz w:val="14"/>
                <w:szCs w:val="14"/>
              </w:rPr>
              <w:t>AASB 1004.57</w:t>
            </w:r>
          </w:p>
        </w:tc>
        <w:tc>
          <w:tcPr>
            <w:tcW w:w="9078" w:type="dxa"/>
            <w:gridSpan w:val="5"/>
            <w:tcBorders>
              <w:left w:val="single" w:sz="2" w:space="0" w:color="auto"/>
            </w:tcBorders>
            <w:vAlign w:val="center"/>
          </w:tcPr>
          <w:p w14:paraId="02FA078F" w14:textId="558C5421" w:rsidR="00BF3BC0" w:rsidRPr="00C441BB" w:rsidRDefault="00BF3BC0" w:rsidP="00BF3BC0">
            <w:pPr>
              <w:pStyle w:val="TableText"/>
              <w:spacing w:before="0"/>
              <w:rPr>
                <w:rFonts w:cs="Calibri"/>
                <w:b/>
              </w:rPr>
            </w:pPr>
            <w:r w:rsidRPr="00C441BB">
              <w:rPr>
                <w:rFonts w:cs="Calibri"/>
                <w:b/>
              </w:rPr>
              <w:t>Restructures of Administrative Arrangements 2020-21</w:t>
            </w:r>
          </w:p>
        </w:tc>
      </w:tr>
      <w:tr w:rsidR="00BF3BC0" w:rsidRPr="00CF7E1B" w14:paraId="2C84A529" w14:textId="77777777" w:rsidTr="0004564D">
        <w:trPr>
          <w:trHeight w:val="1134"/>
        </w:trPr>
        <w:tc>
          <w:tcPr>
            <w:tcW w:w="1560" w:type="dxa"/>
            <w:tcBorders>
              <w:left w:val="single" w:sz="2" w:space="0" w:color="auto"/>
              <w:right w:val="single" w:sz="2" w:space="0" w:color="auto"/>
            </w:tcBorders>
          </w:tcPr>
          <w:p w14:paraId="2B2642D4" w14:textId="77777777" w:rsidR="00BF3BC0" w:rsidRPr="003329B4" w:rsidRDefault="00BF3BC0" w:rsidP="00BF3BC0">
            <w:pPr>
              <w:pStyle w:val="TableReference"/>
              <w:tabs>
                <w:tab w:val="left" w:pos="3306"/>
              </w:tabs>
              <w:spacing w:before="60"/>
              <w:rPr>
                <w:rFonts w:cs="Calibri"/>
                <w:color w:val="7030A0"/>
                <w:sz w:val="14"/>
              </w:rPr>
            </w:pPr>
          </w:p>
        </w:tc>
        <w:tc>
          <w:tcPr>
            <w:tcW w:w="9078" w:type="dxa"/>
            <w:gridSpan w:val="5"/>
            <w:tcBorders>
              <w:left w:val="single" w:sz="2" w:space="0" w:color="auto"/>
            </w:tcBorders>
          </w:tcPr>
          <w:p w14:paraId="7672C88C" w14:textId="59AE8652" w:rsidR="00BF3BC0" w:rsidRPr="00C441BB" w:rsidRDefault="00BF3BC0" w:rsidP="009D37DE">
            <w:pPr>
              <w:pStyle w:val="TableText"/>
              <w:tabs>
                <w:tab w:val="left" w:pos="3306"/>
              </w:tabs>
              <w:spacing w:before="0" w:after="120"/>
              <w:jc w:val="both"/>
              <w:rPr>
                <w:rFonts w:cs="Calibri"/>
                <w:bCs/>
              </w:rPr>
            </w:pPr>
            <w:r w:rsidRPr="00C441BB">
              <w:rPr>
                <w:rFonts w:cs="Calibri"/>
              </w:rPr>
              <w:t>On 1 June 2021, a restructuring of administrative arrangements occurred between ‘</w:t>
            </w:r>
            <w:r w:rsidR="00BB42C1" w:rsidRPr="00C441BB">
              <w:t>Burley Griffin</w:t>
            </w:r>
            <w:r w:rsidRPr="00C441BB">
              <w:rPr>
                <w:rFonts w:cs="Calibri"/>
              </w:rPr>
              <w:t xml:space="preserve"> Agency’ and XYZ Directorate involving a Heritage division.</w:t>
            </w:r>
            <w:r w:rsidR="00FA7C77">
              <w:rPr>
                <w:rFonts w:cs="Calibri"/>
              </w:rPr>
              <w:t xml:space="preserve"> </w:t>
            </w:r>
            <w:r w:rsidRPr="00C441BB">
              <w:rPr>
                <w:rFonts w:cs="Calibri"/>
              </w:rPr>
              <w:t>The XYZ heritage function is responsible for the management and maintenance of a number of large heritage assets, which are used for educational purposes for ACT Government schools.</w:t>
            </w:r>
            <w:r w:rsidR="00FA7C77">
              <w:rPr>
                <w:rFonts w:cs="Calibri"/>
              </w:rPr>
              <w:t xml:space="preserve"> </w:t>
            </w:r>
            <w:r w:rsidRPr="00C441BB">
              <w:rPr>
                <w:rFonts w:cs="Calibri"/>
              </w:rPr>
              <w:t xml:space="preserve">There were </w:t>
            </w:r>
            <w:r w:rsidR="00DE1E5D">
              <w:rPr>
                <w:rFonts w:cs="Calibri"/>
              </w:rPr>
              <w:t>five</w:t>
            </w:r>
            <w:r w:rsidRPr="00C441BB">
              <w:rPr>
                <w:rFonts w:cs="Calibri"/>
              </w:rPr>
              <w:t xml:space="preserve"> employees and the heritage assets attached to this function were transferred to ‘</w:t>
            </w:r>
            <w:r w:rsidR="00BB42C1" w:rsidRPr="00C441BB">
              <w:t>Burley Griffin</w:t>
            </w:r>
            <w:r w:rsidR="00BB42C1" w:rsidRPr="00C441BB">
              <w:rPr>
                <w:bCs/>
              </w:rPr>
              <w:t xml:space="preserve"> </w:t>
            </w:r>
            <w:r w:rsidRPr="00C441BB">
              <w:rPr>
                <w:rFonts w:cs="Calibri"/>
              </w:rPr>
              <w:t>Agency’ as part of this restructuring of administrative arrangements.</w:t>
            </w:r>
          </w:p>
        </w:tc>
      </w:tr>
    </w:tbl>
    <w:p w14:paraId="77C0EAEF" w14:textId="77777777" w:rsidR="00EB52FE" w:rsidRDefault="00EB52FE">
      <w:pPr>
        <w:rPr>
          <w:rFonts w:cs="Calibri"/>
        </w:rPr>
      </w:pPr>
      <w:r w:rsidRPr="00CF7E1B">
        <w:rPr>
          <w:rFonts w:cs="Calibri"/>
        </w:rPr>
        <w:br w:type="page"/>
      </w:r>
    </w:p>
    <w:tbl>
      <w:tblPr>
        <w:tblW w:w="10490" w:type="dxa"/>
        <w:tblInd w:w="-3" w:type="dxa"/>
        <w:tblLook w:val="00A0" w:firstRow="1" w:lastRow="0" w:firstColumn="1" w:lastColumn="0" w:noHBand="0" w:noVBand="0"/>
      </w:tblPr>
      <w:tblGrid>
        <w:gridCol w:w="1560"/>
        <w:gridCol w:w="2655"/>
        <w:gridCol w:w="2306"/>
        <w:gridCol w:w="142"/>
        <w:gridCol w:w="1701"/>
        <w:gridCol w:w="567"/>
        <w:gridCol w:w="66"/>
        <w:gridCol w:w="1493"/>
      </w:tblGrid>
      <w:tr w:rsidR="00EB52FE" w:rsidRPr="00CF7E1B" w14:paraId="2F23A759" w14:textId="77777777" w:rsidTr="0004564D">
        <w:trPr>
          <w:trHeight w:val="498"/>
        </w:trPr>
        <w:tc>
          <w:tcPr>
            <w:tcW w:w="1560" w:type="dxa"/>
            <w:tcBorders>
              <w:left w:val="single" w:sz="2" w:space="0" w:color="auto"/>
              <w:right w:val="single" w:sz="2" w:space="0" w:color="auto"/>
            </w:tcBorders>
          </w:tcPr>
          <w:p w14:paraId="44F81AA1" w14:textId="77777777" w:rsidR="00EB52FE" w:rsidRPr="00732C8E" w:rsidRDefault="00877D2B" w:rsidP="00514D82">
            <w:pPr>
              <w:spacing w:before="240" w:after="240"/>
              <w:rPr>
                <w:rFonts w:cs="Calibri"/>
                <w:szCs w:val="22"/>
              </w:rPr>
            </w:pPr>
            <w:r w:rsidRPr="003329B4">
              <w:rPr>
                <w:rFonts w:cs="Calibri"/>
                <w:b/>
                <w:color w:val="7030A0"/>
                <w:szCs w:val="22"/>
              </w:rPr>
              <w:t>Reference</w:t>
            </w:r>
          </w:p>
        </w:tc>
        <w:tc>
          <w:tcPr>
            <w:tcW w:w="8930" w:type="dxa"/>
            <w:gridSpan w:val="7"/>
            <w:tcBorders>
              <w:left w:val="single" w:sz="2" w:space="0" w:color="auto"/>
            </w:tcBorders>
          </w:tcPr>
          <w:p w14:paraId="7D227D08" w14:textId="7CCF1D76" w:rsidR="00EB52FE" w:rsidRPr="00C441BB" w:rsidRDefault="00514D82" w:rsidP="00514D82">
            <w:pPr>
              <w:spacing w:before="240" w:after="240"/>
              <w:rPr>
                <w:rFonts w:ascii="Arial Bold" w:hAnsi="Arial Bold" w:cs="Arial"/>
                <w:b/>
                <w:caps/>
                <w:sz w:val="32"/>
                <w:szCs w:val="32"/>
              </w:rPr>
            </w:pPr>
            <w:r w:rsidRPr="00C441BB">
              <w:rPr>
                <w:rFonts w:ascii="Arial Bold" w:hAnsi="Arial Bold" w:cs="Arial"/>
                <w:b/>
                <w:caps/>
                <w:sz w:val="32"/>
                <w:szCs w:val="32"/>
              </w:rPr>
              <w:t xml:space="preserve">Note </w:t>
            </w:r>
            <w:r w:rsidR="003334D4" w:rsidRPr="00C441BB">
              <w:rPr>
                <w:rFonts w:ascii="Arial Bold" w:hAnsi="Arial Bold" w:cs="Arial"/>
                <w:b/>
                <w:caps/>
                <w:sz w:val="32"/>
                <w:szCs w:val="32"/>
              </w:rPr>
              <w:t>30</w:t>
            </w:r>
            <w:r w:rsidRPr="00C441BB">
              <w:rPr>
                <w:rFonts w:ascii="Arial Bold" w:hAnsi="Arial Bold" w:cs="Arial"/>
                <w:b/>
                <w:caps/>
                <w:sz w:val="32"/>
                <w:szCs w:val="32"/>
              </w:rPr>
              <w:t>.</w:t>
            </w:r>
            <w:r w:rsidR="00FA7C77">
              <w:rPr>
                <w:rFonts w:ascii="Arial Bold" w:hAnsi="Arial Bold" w:cs="Arial"/>
                <w:b/>
                <w:caps/>
                <w:sz w:val="32"/>
                <w:szCs w:val="32"/>
              </w:rPr>
              <w:t xml:space="preserve"> </w:t>
            </w:r>
            <w:r w:rsidRPr="00C441BB">
              <w:rPr>
                <w:rFonts w:ascii="Arial Bold" w:hAnsi="Arial Bold" w:cs="Arial"/>
                <w:b/>
                <w:caps/>
                <w:sz w:val="32"/>
                <w:szCs w:val="32"/>
              </w:rPr>
              <w:t xml:space="preserve">Restructure of Administrative Arrangements </w:t>
            </w:r>
            <w:r w:rsidR="00DB02DF" w:rsidRPr="00C441BB">
              <w:rPr>
                <w:rFonts w:ascii="Arial Bold" w:hAnsi="Arial Bold" w:cs="Arial"/>
                <w:b/>
                <w:caps/>
                <w:sz w:val="32"/>
                <w:szCs w:val="32"/>
              </w:rPr>
              <w:t>[</w:t>
            </w:r>
            <w:r w:rsidRPr="00C441BB">
              <w:rPr>
                <w:rFonts w:ascii="Arial Bold" w:hAnsi="Arial Bold" w:cs="Arial"/>
                <w:b/>
                <w:caps/>
                <w:sz w:val="32"/>
                <w:szCs w:val="32"/>
              </w:rPr>
              <w:t xml:space="preserve">Directorates Only] </w:t>
            </w:r>
            <w:r w:rsidR="00BB2E31">
              <w:rPr>
                <w:rFonts w:ascii="Arial Bold" w:hAnsi="Arial Bold" w:cs="Arial"/>
                <w:b/>
                <w:caps/>
                <w:sz w:val="32"/>
                <w:szCs w:val="32"/>
              </w:rPr>
              <w:t>–</w:t>
            </w:r>
            <w:r w:rsidRPr="00C441BB">
              <w:rPr>
                <w:rFonts w:ascii="Arial Bold" w:hAnsi="Arial Bold" w:cs="Arial"/>
                <w:b/>
                <w:caps/>
                <w:sz w:val="32"/>
                <w:szCs w:val="32"/>
              </w:rPr>
              <w:t xml:space="preserve"> Continued</w:t>
            </w:r>
            <w:r w:rsidR="00BB2E31">
              <w:rPr>
                <w:rFonts w:ascii="Arial Bold" w:hAnsi="Arial Bold" w:cs="Arial"/>
                <w:b/>
                <w:caps/>
                <w:sz w:val="32"/>
                <w:szCs w:val="32"/>
              </w:rPr>
              <w:t xml:space="preserve"> </w:t>
            </w:r>
          </w:p>
        </w:tc>
      </w:tr>
      <w:tr w:rsidR="006376DE" w:rsidRPr="00CF7E1B" w14:paraId="6BE69073" w14:textId="77777777" w:rsidTr="0004564D">
        <w:trPr>
          <w:trHeight w:val="255"/>
        </w:trPr>
        <w:tc>
          <w:tcPr>
            <w:tcW w:w="1560" w:type="dxa"/>
            <w:tcBorders>
              <w:left w:val="single" w:sz="2" w:space="0" w:color="auto"/>
              <w:right w:val="single" w:sz="2" w:space="0" w:color="auto"/>
            </w:tcBorders>
            <w:vAlign w:val="center"/>
          </w:tcPr>
          <w:p w14:paraId="05D7DC86" w14:textId="77777777" w:rsidR="006376DE" w:rsidRPr="00877D2B" w:rsidRDefault="006376DE" w:rsidP="00B11FCA">
            <w:pPr>
              <w:rPr>
                <w:rFonts w:cs="Calibri"/>
                <w:sz w:val="16"/>
              </w:rPr>
            </w:pPr>
          </w:p>
        </w:tc>
        <w:tc>
          <w:tcPr>
            <w:tcW w:w="8930" w:type="dxa"/>
            <w:gridSpan w:val="7"/>
            <w:tcBorders>
              <w:left w:val="single" w:sz="2" w:space="0" w:color="auto"/>
            </w:tcBorders>
            <w:vAlign w:val="center"/>
          </w:tcPr>
          <w:p w14:paraId="4533B654" w14:textId="77777777" w:rsidR="006376DE" w:rsidRPr="00C441BB" w:rsidRDefault="006376DE" w:rsidP="00BF3BC0">
            <w:pPr>
              <w:spacing w:before="120" w:after="120"/>
              <w:jc w:val="both"/>
              <w:rPr>
                <w:rFonts w:cs="Calibri"/>
                <w:sz w:val="18"/>
                <w:szCs w:val="18"/>
              </w:rPr>
            </w:pPr>
            <w:r w:rsidRPr="00C441BB">
              <w:rPr>
                <w:rFonts w:cs="Calibri"/>
                <w:b/>
                <w:bCs/>
                <w:sz w:val="18"/>
                <w:szCs w:val="18"/>
              </w:rPr>
              <w:t>Income and Expenses</w:t>
            </w:r>
          </w:p>
        </w:tc>
      </w:tr>
      <w:tr w:rsidR="006376DE" w:rsidRPr="00CF7E1B" w14:paraId="0644A0CD" w14:textId="77777777" w:rsidTr="0004564D">
        <w:trPr>
          <w:trHeight w:val="1022"/>
        </w:trPr>
        <w:tc>
          <w:tcPr>
            <w:tcW w:w="1560" w:type="dxa"/>
            <w:tcBorders>
              <w:left w:val="single" w:sz="2" w:space="0" w:color="auto"/>
              <w:right w:val="single" w:sz="2" w:space="0" w:color="auto"/>
            </w:tcBorders>
          </w:tcPr>
          <w:p w14:paraId="0740871D" w14:textId="77777777" w:rsidR="006376DE" w:rsidRPr="00877D2B" w:rsidRDefault="006376DE" w:rsidP="00B11FCA">
            <w:pPr>
              <w:rPr>
                <w:rFonts w:cs="Calibri"/>
                <w:sz w:val="16"/>
              </w:rPr>
            </w:pPr>
          </w:p>
        </w:tc>
        <w:tc>
          <w:tcPr>
            <w:tcW w:w="8930" w:type="dxa"/>
            <w:gridSpan w:val="7"/>
            <w:tcBorders>
              <w:left w:val="single" w:sz="2" w:space="0" w:color="auto"/>
            </w:tcBorders>
          </w:tcPr>
          <w:p w14:paraId="518C1669" w14:textId="36673B1F" w:rsidR="006376DE" w:rsidRPr="00C441BB" w:rsidRDefault="006376DE" w:rsidP="00DA5B5A">
            <w:pPr>
              <w:jc w:val="both"/>
              <w:rPr>
                <w:rFonts w:cs="Calibri"/>
                <w:sz w:val="18"/>
                <w:szCs w:val="18"/>
              </w:rPr>
            </w:pPr>
            <w:r w:rsidRPr="00C441BB">
              <w:rPr>
                <w:rFonts w:cs="Calibri"/>
                <w:sz w:val="18"/>
                <w:szCs w:val="18"/>
              </w:rPr>
              <w:t>The following table shows the income and expense items associated with the Heritage division recognised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Pr="00C441BB">
              <w:rPr>
                <w:rFonts w:cs="Calibri"/>
                <w:sz w:val="18"/>
                <w:szCs w:val="18"/>
              </w:rPr>
              <w:t>’ for the year ended 30 June</w:t>
            </w:r>
            <w:r w:rsidR="00241082" w:rsidRPr="00C441BB">
              <w:rPr>
                <w:rFonts w:cs="Calibri"/>
                <w:sz w:val="18"/>
                <w:szCs w:val="18"/>
              </w:rPr>
              <w:t xml:space="preserve"> </w:t>
            </w:r>
            <w:r w:rsidR="005E3DFA" w:rsidRPr="00C441BB">
              <w:rPr>
                <w:rFonts w:cs="Calibri"/>
                <w:sz w:val="18"/>
                <w:szCs w:val="18"/>
              </w:rPr>
              <w:t>2021</w:t>
            </w:r>
            <w:r w:rsidRPr="00C441BB">
              <w:rPr>
                <w:rFonts w:cs="Calibri"/>
                <w:sz w:val="18"/>
                <w:szCs w:val="18"/>
              </w:rPr>
              <w:t>.</w:t>
            </w:r>
            <w:r w:rsidR="00FA7C77">
              <w:rPr>
                <w:rFonts w:cs="Calibri"/>
                <w:sz w:val="18"/>
                <w:szCs w:val="18"/>
              </w:rPr>
              <w:t xml:space="preserve"> </w:t>
            </w:r>
            <w:r w:rsidRPr="00C441BB">
              <w:rPr>
                <w:rFonts w:cs="Calibri"/>
                <w:sz w:val="18"/>
                <w:szCs w:val="18"/>
              </w:rPr>
              <w:t xml:space="preserve">It also shows the income and expenses relating to when the division belonged to </w:t>
            </w:r>
            <w:r w:rsidR="00246DEB" w:rsidRPr="00C441BB">
              <w:rPr>
                <w:rFonts w:cs="Calibri"/>
                <w:sz w:val="18"/>
                <w:szCs w:val="18"/>
              </w:rPr>
              <w:t>XYZ</w:t>
            </w:r>
            <w:r w:rsidR="007F56D7" w:rsidRPr="00C441BB">
              <w:rPr>
                <w:rFonts w:cs="Calibri"/>
                <w:sz w:val="18"/>
                <w:szCs w:val="18"/>
              </w:rPr>
              <w:t xml:space="preserve"> </w:t>
            </w:r>
            <w:r w:rsidR="004E43B2" w:rsidRPr="00C441BB">
              <w:rPr>
                <w:rFonts w:cs="Calibri"/>
                <w:sz w:val="18"/>
                <w:szCs w:val="18"/>
              </w:rPr>
              <w:t>Directorate</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These income and expense figures were supplied by </w:t>
            </w:r>
            <w:r w:rsidR="00F32A6E" w:rsidRPr="00C441BB">
              <w:rPr>
                <w:rFonts w:cs="Calibri"/>
                <w:sz w:val="18"/>
                <w:szCs w:val="18"/>
              </w:rPr>
              <w:t>XYZ</w:t>
            </w:r>
            <w:r w:rsidR="007F56D7" w:rsidRPr="00C441BB">
              <w:rPr>
                <w:rFonts w:cs="Calibri"/>
                <w:sz w:val="18"/>
                <w:szCs w:val="18"/>
              </w:rPr>
              <w:t xml:space="preserve"> </w:t>
            </w:r>
            <w:r w:rsidR="004E43B2" w:rsidRPr="00C441BB">
              <w:rPr>
                <w:rFonts w:cs="Calibri"/>
                <w:sz w:val="18"/>
                <w:szCs w:val="18"/>
              </w:rPr>
              <w:t>Directorate</w:t>
            </w:r>
            <w:r w:rsidR="007F56D7" w:rsidRPr="00C441BB">
              <w:rPr>
                <w:rFonts w:cs="Calibri"/>
                <w:sz w:val="18"/>
                <w:szCs w:val="18"/>
              </w:rPr>
              <w:t xml:space="preserve"> and as such have been relied upon by ‘</w:t>
            </w:r>
            <w:r w:rsidR="00BB42C1" w:rsidRPr="00C441BB">
              <w:rPr>
                <w:sz w:val="18"/>
                <w:szCs w:val="18"/>
              </w:rPr>
              <w:t>Burley Griffin</w:t>
            </w:r>
            <w:r w:rsidR="00BB42C1" w:rsidRPr="00C441BB">
              <w:rPr>
                <w:bCs/>
                <w:sz w:val="18"/>
                <w:szCs w:val="18"/>
              </w:rPr>
              <w:t xml:space="preserve"> </w:t>
            </w:r>
            <w:r w:rsidR="00B96D8D" w:rsidRPr="00C441BB">
              <w:rPr>
                <w:rFonts w:cs="Calibri"/>
                <w:sz w:val="18"/>
                <w:szCs w:val="18"/>
              </w:rPr>
              <w:t>Agency</w:t>
            </w:r>
            <w:r w:rsidR="007F56D7" w:rsidRPr="00C441BB">
              <w:rPr>
                <w:rFonts w:cs="Calibri"/>
                <w:sz w:val="18"/>
                <w:szCs w:val="18"/>
              </w:rPr>
              <w:t>’.</w:t>
            </w:r>
            <w:r w:rsidR="00FA7C77">
              <w:rPr>
                <w:rFonts w:cs="Calibri"/>
                <w:sz w:val="18"/>
                <w:szCs w:val="18"/>
              </w:rPr>
              <w:t xml:space="preserve"> </w:t>
            </w:r>
            <w:r w:rsidR="007F56D7" w:rsidRPr="00C441BB">
              <w:rPr>
                <w:rFonts w:cs="Calibri"/>
                <w:sz w:val="18"/>
                <w:szCs w:val="18"/>
              </w:rPr>
              <w:t xml:space="preserve"> Finally, the table shows</w:t>
            </w:r>
            <w:r w:rsidRPr="00C441BB">
              <w:rPr>
                <w:rFonts w:cs="Calibri"/>
                <w:sz w:val="18"/>
                <w:szCs w:val="18"/>
              </w:rPr>
              <w:t xml:space="preserve"> the total income and expenses of the division for the whole financial year.</w:t>
            </w:r>
            <w:r w:rsidR="00FA7C77">
              <w:rPr>
                <w:rFonts w:cs="Calibri"/>
                <w:sz w:val="18"/>
                <w:szCs w:val="18"/>
              </w:rPr>
              <w:t xml:space="preserve"> </w:t>
            </w:r>
          </w:p>
        </w:tc>
      </w:tr>
      <w:tr w:rsidR="00BB62BB" w:rsidRPr="00CF7E1B" w14:paraId="698A9644" w14:textId="77777777" w:rsidTr="0004564D">
        <w:trPr>
          <w:trHeight w:val="1225"/>
        </w:trPr>
        <w:tc>
          <w:tcPr>
            <w:tcW w:w="1560" w:type="dxa"/>
            <w:tcBorders>
              <w:left w:val="single" w:sz="2" w:space="0" w:color="auto"/>
              <w:bottom w:val="nil"/>
              <w:right w:val="single" w:sz="2" w:space="0" w:color="auto"/>
            </w:tcBorders>
            <w:vAlign w:val="bottom"/>
          </w:tcPr>
          <w:p w14:paraId="11D9861B" w14:textId="77777777" w:rsidR="00BB62BB" w:rsidRPr="00877D2B" w:rsidRDefault="00BB62BB" w:rsidP="009D37DE">
            <w:pPr>
              <w:rPr>
                <w:rFonts w:cs="Calibri"/>
                <w:sz w:val="16"/>
              </w:rPr>
            </w:pPr>
          </w:p>
        </w:tc>
        <w:tc>
          <w:tcPr>
            <w:tcW w:w="2655" w:type="dxa"/>
            <w:tcBorders>
              <w:left w:val="single" w:sz="2" w:space="0" w:color="auto"/>
            </w:tcBorders>
            <w:shd w:val="clear" w:color="auto" w:fill="auto"/>
            <w:vAlign w:val="bottom"/>
          </w:tcPr>
          <w:p w14:paraId="60FA8509" w14:textId="77777777" w:rsidR="00BB62BB" w:rsidRPr="00C441BB" w:rsidRDefault="00BB62BB" w:rsidP="00301C2A">
            <w:pPr>
              <w:pStyle w:val="TableText"/>
              <w:tabs>
                <w:tab w:val="left" w:pos="3306"/>
              </w:tabs>
              <w:rPr>
                <w:rFonts w:cs="Calibri"/>
                <w:b/>
                <w:bCs/>
              </w:rPr>
            </w:pPr>
          </w:p>
        </w:tc>
        <w:tc>
          <w:tcPr>
            <w:tcW w:w="2448" w:type="dxa"/>
            <w:gridSpan w:val="2"/>
            <w:shd w:val="clear" w:color="auto" w:fill="auto"/>
            <w:vAlign w:val="bottom"/>
          </w:tcPr>
          <w:p w14:paraId="1FB7A018" w14:textId="5B449D3B" w:rsidR="00BB62BB" w:rsidRPr="00C441BB" w:rsidRDefault="00BB62BB" w:rsidP="00207BB9">
            <w:pPr>
              <w:jc w:val="right"/>
              <w:rPr>
                <w:rFonts w:cs="Calibri"/>
                <w:b/>
                <w:bCs/>
                <w:sz w:val="18"/>
                <w:szCs w:val="18"/>
              </w:rPr>
            </w:pPr>
            <w:r w:rsidRPr="00C441BB">
              <w:rPr>
                <w:rFonts w:cs="Calibri"/>
                <w:b/>
                <w:bCs/>
                <w:sz w:val="18"/>
                <w:szCs w:val="18"/>
              </w:rPr>
              <w:t xml:space="preserve">Amounts Relating to </w:t>
            </w:r>
          </w:p>
          <w:p w14:paraId="63899E7B" w14:textId="77777777" w:rsidR="00BB62BB" w:rsidRPr="00C441BB" w:rsidRDefault="00BB62BB" w:rsidP="00207BB9">
            <w:pPr>
              <w:jc w:val="right"/>
              <w:rPr>
                <w:rFonts w:cs="Calibri"/>
                <w:b/>
                <w:bCs/>
                <w:sz w:val="18"/>
                <w:szCs w:val="18"/>
              </w:rPr>
            </w:pPr>
            <w:r w:rsidRPr="00C441BB">
              <w:rPr>
                <w:rFonts w:cs="Calibri"/>
                <w:b/>
                <w:bCs/>
                <w:sz w:val="18"/>
                <w:szCs w:val="18"/>
              </w:rPr>
              <w:t>when the Function was held by the XYZ Directorate July 2020 to May 2021</w:t>
            </w:r>
          </w:p>
          <w:p w14:paraId="05CE9233" w14:textId="3191B977" w:rsidR="00BB62BB" w:rsidRPr="00C441BB" w:rsidRDefault="00BB62BB" w:rsidP="00301C2A">
            <w:pPr>
              <w:pStyle w:val="TableText"/>
              <w:tabs>
                <w:tab w:val="left" w:pos="3306"/>
              </w:tabs>
              <w:jc w:val="right"/>
              <w:rPr>
                <w:rFonts w:cs="Calibri"/>
                <w:b/>
                <w:bCs/>
              </w:rPr>
            </w:pPr>
            <w:r w:rsidRPr="00C441BB">
              <w:rPr>
                <w:rFonts w:cs="Calibri"/>
                <w:b/>
                <w:bCs/>
              </w:rPr>
              <w:t>$’000</w:t>
            </w:r>
          </w:p>
        </w:tc>
        <w:tc>
          <w:tcPr>
            <w:tcW w:w="2268" w:type="dxa"/>
            <w:gridSpan w:val="2"/>
            <w:shd w:val="clear" w:color="auto" w:fill="auto"/>
            <w:vAlign w:val="bottom"/>
          </w:tcPr>
          <w:p w14:paraId="517BA52E" w14:textId="77777777" w:rsidR="00BB62BB" w:rsidRPr="00C441BB" w:rsidRDefault="00BB62BB" w:rsidP="00207BB9">
            <w:pPr>
              <w:pStyle w:val="TableText"/>
              <w:tabs>
                <w:tab w:val="left" w:pos="3306"/>
              </w:tabs>
              <w:jc w:val="right"/>
              <w:rPr>
                <w:rFonts w:cs="Calibri"/>
                <w:b/>
                <w:bCs/>
              </w:rPr>
            </w:pPr>
            <w:r w:rsidRPr="00C441BB">
              <w:rPr>
                <w:rFonts w:cs="Calibri"/>
                <w:b/>
                <w:bCs/>
              </w:rPr>
              <w:t>Amounts Relating to when the Function was held by ‘</w:t>
            </w:r>
            <w:r w:rsidRPr="00C441BB">
              <w:rPr>
                <w:b/>
                <w:bCs/>
              </w:rPr>
              <w:t xml:space="preserve">Burley Griffin </w:t>
            </w:r>
            <w:r w:rsidRPr="00C441BB">
              <w:rPr>
                <w:rFonts w:cs="Calibri"/>
                <w:b/>
                <w:bCs/>
              </w:rPr>
              <w:t>Agency’ June 2021 to June2021</w:t>
            </w:r>
          </w:p>
          <w:p w14:paraId="60CB5F87" w14:textId="0F7CB985" w:rsidR="00BB62BB" w:rsidRPr="00C441BB" w:rsidRDefault="00BB62BB" w:rsidP="00301C2A">
            <w:pPr>
              <w:pStyle w:val="TableText"/>
              <w:tabs>
                <w:tab w:val="left" w:pos="3306"/>
              </w:tabs>
              <w:jc w:val="right"/>
              <w:rPr>
                <w:rFonts w:cs="Calibri"/>
                <w:b/>
                <w:bCs/>
              </w:rPr>
            </w:pPr>
            <w:r w:rsidRPr="00C441BB">
              <w:rPr>
                <w:rFonts w:cs="Calibri"/>
                <w:b/>
                <w:bCs/>
              </w:rPr>
              <w:t>$’000</w:t>
            </w:r>
          </w:p>
        </w:tc>
        <w:tc>
          <w:tcPr>
            <w:tcW w:w="1559" w:type="dxa"/>
            <w:gridSpan w:val="2"/>
            <w:tcBorders>
              <w:bottom w:val="nil"/>
            </w:tcBorders>
            <w:shd w:val="clear" w:color="auto" w:fill="auto"/>
            <w:vAlign w:val="bottom"/>
          </w:tcPr>
          <w:p w14:paraId="73CE437F" w14:textId="77777777" w:rsidR="00BB62BB" w:rsidRPr="00C441BB" w:rsidRDefault="00BB62BB" w:rsidP="00B83922">
            <w:pPr>
              <w:pStyle w:val="TableText"/>
              <w:tabs>
                <w:tab w:val="left" w:pos="3306"/>
              </w:tabs>
              <w:jc w:val="right"/>
              <w:rPr>
                <w:rFonts w:cs="Calibri"/>
                <w:b/>
                <w:bCs/>
              </w:rPr>
            </w:pPr>
            <w:r w:rsidRPr="00C441BB">
              <w:rPr>
                <w:rFonts w:cs="Calibri"/>
                <w:b/>
                <w:bCs/>
              </w:rPr>
              <w:t>Total</w:t>
            </w:r>
          </w:p>
          <w:p w14:paraId="4B005E97" w14:textId="77777777" w:rsidR="00BB62BB" w:rsidRPr="00C441BB" w:rsidRDefault="00BB62BB" w:rsidP="00B83922">
            <w:pPr>
              <w:pStyle w:val="TableText"/>
              <w:tabs>
                <w:tab w:val="left" w:pos="3306"/>
              </w:tabs>
              <w:jc w:val="right"/>
              <w:rPr>
                <w:rFonts w:cs="Calibri"/>
                <w:b/>
                <w:bCs/>
              </w:rPr>
            </w:pPr>
            <w:r w:rsidRPr="00C441BB">
              <w:rPr>
                <w:rFonts w:cs="Calibri"/>
                <w:b/>
                <w:bCs/>
              </w:rPr>
              <w:t>2021</w:t>
            </w:r>
          </w:p>
          <w:p w14:paraId="751CB64D" w14:textId="68399FA5" w:rsidR="00BB62BB" w:rsidRPr="00C441BB" w:rsidRDefault="00BB62BB" w:rsidP="00301C2A">
            <w:pPr>
              <w:pStyle w:val="TableText"/>
              <w:tabs>
                <w:tab w:val="left" w:pos="3306"/>
              </w:tabs>
              <w:jc w:val="right"/>
              <w:rPr>
                <w:rFonts w:cs="Calibri"/>
                <w:b/>
                <w:bCs/>
              </w:rPr>
            </w:pPr>
            <w:r w:rsidRPr="00C441BB">
              <w:rPr>
                <w:rFonts w:cs="Calibri"/>
                <w:b/>
                <w:bCs/>
              </w:rPr>
              <w:t>$’000</w:t>
            </w:r>
          </w:p>
        </w:tc>
      </w:tr>
      <w:tr w:rsidR="0009715B" w:rsidRPr="00CF7E1B" w14:paraId="206BB233" w14:textId="77777777" w:rsidTr="0004564D">
        <w:tc>
          <w:tcPr>
            <w:tcW w:w="1560" w:type="dxa"/>
            <w:tcBorders>
              <w:left w:val="single" w:sz="2" w:space="0" w:color="auto"/>
              <w:right w:val="single" w:sz="2" w:space="0" w:color="auto"/>
            </w:tcBorders>
          </w:tcPr>
          <w:p w14:paraId="3348E684"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0EC014F9" w14:textId="7C818576" w:rsidR="006376DE" w:rsidRPr="00C441BB" w:rsidRDefault="00836128" w:rsidP="00301C2A">
            <w:pPr>
              <w:pStyle w:val="TableText"/>
              <w:tabs>
                <w:tab w:val="left" w:pos="3306"/>
              </w:tabs>
              <w:rPr>
                <w:rFonts w:cs="Calibri"/>
                <w:b/>
                <w:bCs/>
              </w:rPr>
            </w:pPr>
            <w:r w:rsidRPr="00C441BB">
              <w:rPr>
                <w:rFonts w:cs="Calibri"/>
                <w:b/>
                <w:bCs/>
              </w:rPr>
              <w:t>Income</w:t>
            </w:r>
          </w:p>
        </w:tc>
        <w:tc>
          <w:tcPr>
            <w:tcW w:w="2448" w:type="dxa"/>
            <w:gridSpan w:val="2"/>
            <w:shd w:val="clear" w:color="auto" w:fill="auto"/>
            <w:vAlign w:val="bottom"/>
          </w:tcPr>
          <w:p w14:paraId="79F13EB7" w14:textId="77777777" w:rsidR="006376DE" w:rsidRPr="00C441BB" w:rsidRDefault="006376DE" w:rsidP="00301C2A">
            <w:pPr>
              <w:pStyle w:val="TableText"/>
              <w:tabs>
                <w:tab w:val="left" w:pos="3306"/>
              </w:tabs>
              <w:jc w:val="right"/>
              <w:rPr>
                <w:rFonts w:cs="Calibri"/>
                <w:b/>
                <w:bCs/>
              </w:rPr>
            </w:pPr>
          </w:p>
        </w:tc>
        <w:tc>
          <w:tcPr>
            <w:tcW w:w="2268" w:type="dxa"/>
            <w:gridSpan w:val="2"/>
            <w:shd w:val="clear" w:color="auto" w:fill="auto"/>
            <w:vAlign w:val="bottom"/>
          </w:tcPr>
          <w:p w14:paraId="36FFDD67" w14:textId="77777777" w:rsidR="006376DE" w:rsidRPr="00C441BB" w:rsidRDefault="006376DE" w:rsidP="00301C2A">
            <w:pPr>
              <w:pStyle w:val="TableText"/>
              <w:tabs>
                <w:tab w:val="left" w:pos="3306"/>
              </w:tabs>
              <w:jc w:val="right"/>
              <w:rPr>
                <w:rFonts w:cs="Calibri"/>
                <w:b/>
                <w:bCs/>
              </w:rPr>
            </w:pPr>
          </w:p>
        </w:tc>
        <w:tc>
          <w:tcPr>
            <w:tcW w:w="1559" w:type="dxa"/>
            <w:gridSpan w:val="2"/>
            <w:shd w:val="clear" w:color="auto" w:fill="auto"/>
            <w:vAlign w:val="bottom"/>
          </w:tcPr>
          <w:p w14:paraId="10DD9A0E" w14:textId="77777777" w:rsidR="006376DE" w:rsidRPr="00C441BB" w:rsidRDefault="006376DE" w:rsidP="00301C2A">
            <w:pPr>
              <w:pStyle w:val="TableText"/>
              <w:tabs>
                <w:tab w:val="left" w:pos="3306"/>
              </w:tabs>
              <w:jc w:val="right"/>
              <w:rPr>
                <w:rFonts w:cs="Calibri"/>
                <w:b/>
                <w:bCs/>
              </w:rPr>
            </w:pPr>
          </w:p>
        </w:tc>
      </w:tr>
      <w:tr w:rsidR="0009715B" w:rsidRPr="00CF7E1B" w14:paraId="791A671C" w14:textId="77777777" w:rsidTr="0004564D">
        <w:tc>
          <w:tcPr>
            <w:tcW w:w="1560" w:type="dxa"/>
            <w:tcBorders>
              <w:left w:val="single" w:sz="2" w:space="0" w:color="auto"/>
              <w:right w:val="single" w:sz="2" w:space="0" w:color="auto"/>
            </w:tcBorders>
          </w:tcPr>
          <w:p w14:paraId="397ACAE8"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36C70059" w14:textId="77777777" w:rsidR="006376DE" w:rsidRPr="00C441BB" w:rsidRDefault="005E413E" w:rsidP="00CA46FE">
            <w:pPr>
              <w:pStyle w:val="TableText"/>
              <w:tabs>
                <w:tab w:val="left" w:pos="3306"/>
              </w:tabs>
              <w:rPr>
                <w:rFonts w:cs="Calibri"/>
                <w:bCs/>
                <w:strike/>
              </w:rPr>
            </w:pPr>
            <w:r w:rsidRPr="00C441BB">
              <w:rPr>
                <w:rFonts w:cs="Calibri"/>
                <w:bCs/>
              </w:rPr>
              <w:t xml:space="preserve">Controlled </w:t>
            </w:r>
            <w:r w:rsidR="00CA46FE" w:rsidRPr="00C441BB">
              <w:rPr>
                <w:rFonts w:cs="Calibri"/>
                <w:bCs/>
              </w:rPr>
              <w:t>R</w:t>
            </w:r>
            <w:r w:rsidRPr="00C441BB">
              <w:rPr>
                <w:rFonts w:cs="Calibri"/>
                <w:bCs/>
              </w:rPr>
              <w:t>ecurrent Payments</w:t>
            </w:r>
          </w:p>
        </w:tc>
        <w:tc>
          <w:tcPr>
            <w:tcW w:w="2448" w:type="dxa"/>
            <w:gridSpan w:val="2"/>
            <w:shd w:val="clear" w:color="auto" w:fill="auto"/>
            <w:vAlign w:val="bottom"/>
          </w:tcPr>
          <w:p w14:paraId="0B65168D" w14:textId="2720FC47" w:rsidR="006376DE" w:rsidRPr="00C441BB" w:rsidRDefault="006376DE" w:rsidP="00301C2A">
            <w:pPr>
              <w:pStyle w:val="TableText"/>
              <w:tabs>
                <w:tab w:val="left" w:pos="3306"/>
              </w:tabs>
              <w:jc w:val="right"/>
              <w:rPr>
                <w:rFonts w:cs="Calibri"/>
                <w:bCs/>
              </w:rPr>
            </w:pPr>
          </w:p>
        </w:tc>
        <w:tc>
          <w:tcPr>
            <w:tcW w:w="2268" w:type="dxa"/>
            <w:gridSpan w:val="2"/>
            <w:shd w:val="clear" w:color="auto" w:fill="auto"/>
            <w:vAlign w:val="bottom"/>
          </w:tcPr>
          <w:p w14:paraId="401EC5E3" w14:textId="0B390FD4"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779A64D0" w14:textId="68F49D07" w:rsidR="006376DE" w:rsidRPr="00C441BB" w:rsidRDefault="006376DE" w:rsidP="00301C2A">
            <w:pPr>
              <w:pStyle w:val="TableText"/>
              <w:tabs>
                <w:tab w:val="left" w:pos="3306"/>
              </w:tabs>
              <w:jc w:val="right"/>
              <w:rPr>
                <w:rFonts w:cs="Calibri"/>
                <w:bCs/>
              </w:rPr>
            </w:pPr>
          </w:p>
        </w:tc>
      </w:tr>
      <w:tr w:rsidR="0009715B" w:rsidRPr="00CF7E1B" w14:paraId="2AF05CD3" w14:textId="77777777" w:rsidTr="0004564D">
        <w:tc>
          <w:tcPr>
            <w:tcW w:w="1560" w:type="dxa"/>
            <w:tcBorders>
              <w:left w:val="single" w:sz="2" w:space="0" w:color="auto"/>
              <w:right w:val="single" w:sz="2" w:space="0" w:color="auto"/>
            </w:tcBorders>
          </w:tcPr>
          <w:p w14:paraId="03F4AC01"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5C774535" w14:textId="7FB47109" w:rsidR="006376DE" w:rsidRPr="00C441BB" w:rsidRDefault="006376DE" w:rsidP="00301C2A">
            <w:pPr>
              <w:pStyle w:val="TableText"/>
              <w:tabs>
                <w:tab w:val="left" w:pos="3306"/>
              </w:tabs>
              <w:rPr>
                <w:rFonts w:cs="Calibri"/>
                <w:b/>
                <w:bCs/>
              </w:rPr>
            </w:pPr>
            <w:r w:rsidRPr="00C441BB">
              <w:rPr>
                <w:rFonts w:cs="Calibri"/>
                <w:b/>
                <w:bCs/>
              </w:rPr>
              <w:t xml:space="preserve">Total </w:t>
            </w:r>
            <w:r w:rsidR="00836128" w:rsidRPr="00C441BB">
              <w:rPr>
                <w:rFonts w:cs="Calibri"/>
                <w:b/>
                <w:bCs/>
              </w:rPr>
              <w:t>Income</w:t>
            </w:r>
          </w:p>
        </w:tc>
        <w:tc>
          <w:tcPr>
            <w:tcW w:w="2448" w:type="dxa"/>
            <w:gridSpan w:val="2"/>
            <w:tcBorders>
              <w:top w:val="single" w:sz="4" w:space="0" w:color="auto"/>
              <w:bottom w:val="double" w:sz="4" w:space="0" w:color="auto"/>
            </w:tcBorders>
            <w:shd w:val="clear" w:color="auto" w:fill="auto"/>
            <w:vAlign w:val="bottom"/>
          </w:tcPr>
          <w:p w14:paraId="66A6DE7B" w14:textId="356C727B" w:rsidR="006376DE" w:rsidRPr="00C441BB" w:rsidRDefault="006376DE" w:rsidP="00301C2A">
            <w:pPr>
              <w:pStyle w:val="TableText"/>
              <w:tabs>
                <w:tab w:val="left" w:pos="3306"/>
              </w:tabs>
              <w:jc w:val="right"/>
              <w:rPr>
                <w:rFonts w:cs="Calibri"/>
                <w:b/>
                <w:bCs/>
              </w:rPr>
            </w:pPr>
          </w:p>
        </w:tc>
        <w:tc>
          <w:tcPr>
            <w:tcW w:w="2268" w:type="dxa"/>
            <w:gridSpan w:val="2"/>
            <w:tcBorders>
              <w:top w:val="single" w:sz="4" w:space="0" w:color="auto"/>
              <w:bottom w:val="double" w:sz="4" w:space="0" w:color="auto"/>
            </w:tcBorders>
            <w:shd w:val="clear" w:color="auto" w:fill="auto"/>
            <w:vAlign w:val="bottom"/>
          </w:tcPr>
          <w:p w14:paraId="2AB1F63E" w14:textId="03282051" w:rsidR="006376DE" w:rsidRPr="00C441BB" w:rsidRDefault="006376DE" w:rsidP="00301C2A">
            <w:pPr>
              <w:pStyle w:val="TableText"/>
              <w:tabs>
                <w:tab w:val="left" w:pos="3306"/>
              </w:tabs>
              <w:jc w:val="right"/>
              <w:rPr>
                <w:rFonts w:cs="Calibri"/>
                <w:b/>
                <w:bCs/>
              </w:rPr>
            </w:pPr>
          </w:p>
        </w:tc>
        <w:tc>
          <w:tcPr>
            <w:tcW w:w="1559" w:type="dxa"/>
            <w:gridSpan w:val="2"/>
            <w:tcBorders>
              <w:top w:val="single" w:sz="4" w:space="0" w:color="auto"/>
              <w:bottom w:val="double" w:sz="4" w:space="0" w:color="auto"/>
            </w:tcBorders>
            <w:shd w:val="clear" w:color="auto" w:fill="auto"/>
            <w:vAlign w:val="bottom"/>
          </w:tcPr>
          <w:p w14:paraId="08406F09" w14:textId="377AF57A" w:rsidR="006376DE" w:rsidRPr="00C441BB" w:rsidRDefault="006376DE" w:rsidP="00301C2A">
            <w:pPr>
              <w:pStyle w:val="TableText"/>
              <w:tabs>
                <w:tab w:val="left" w:pos="3306"/>
              </w:tabs>
              <w:jc w:val="right"/>
              <w:rPr>
                <w:rFonts w:cs="Calibri"/>
                <w:b/>
                <w:bCs/>
              </w:rPr>
            </w:pPr>
          </w:p>
        </w:tc>
      </w:tr>
      <w:tr w:rsidR="0009715B" w:rsidRPr="00CF7E1B" w14:paraId="5D294BDF" w14:textId="77777777" w:rsidTr="0004564D">
        <w:trPr>
          <w:trHeight w:hRule="exact" w:val="113"/>
        </w:trPr>
        <w:tc>
          <w:tcPr>
            <w:tcW w:w="1560" w:type="dxa"/>
            <w:tcBorders>
              <w:left w:val="single" w:sz="2" w:space="0" w:color="auto"/>
              <w:right w:val="single" w:sz="2" w:space="0" w:color="auto"/>
            </w:tcBorders>
          </w:tcPr>
          <w:p w14:paraId="6225D91A"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61069B1A" w14:textId="77777777" w:rsidR="006376DE" w:rsidRPr="00C441BB" w:rsidRDefault="006376DE" w:rsidP="00301C2A">
            <w:pPr>
              <w:pStyle w:val="TableText"/>
              <w:tabs>
                <w:tab w:val="left" w:pos="3306"/>
              </w:tabs>
              <w:rPr>
                <w:rFonts w:cs="Calibri"/>
                <w:b/>
                <w:bCs/>
              </w:rPr>
            </w:pPr>
          </w:p>
        </w:tc>
        <w:tc>
          <w:tcPr>
            <w:tcW w:w="2448" w:type="dxa"/>
            <w:gridSpan w:val="2"/>
            <w:tcBorders>
              <w:top w:val="double" w:sz="4" w:space="0" w:color="auto"/>
            </w:tcBorders>
            <w:shd w:val="clear" w:color="auto" w:fill="auto"/>
            <w:vAlign w:val="bottom"/>
          </w:tcPr>
          <w:p w14:paraId="55791A6C" w14:textId="77777777" w:rsidR="006376DE" w:rsidRPr="00C441BB" w:rsidRDefault="006376DE" w:rsidP="00301C2A">
            <w:pPr>
              <w:pStyle w:val="TableText"/>
              <w:tabs>
                <w:tab w:val="left" w:pos="3306"/>
              </w:tabs>
              <w:jc w:val="right"/>
              <w:rPr>
                <w:rFonts w:cs="Calibri"/>
                <w:b/>
                <w:bCs/>
              </w:rPr>
            </w:pPr>
          </w:p>
        </w:tc>
        <w:tc>
          <w:tcPr>
            <w:tcW w:w="2268" w:type="dxa"/>
            <w:gridSpan w:val="2"/>
            <w:tcBorders>
              <w:top w:val="double" w:sz="4" w:space="0" w:color="auto"/>
            </w:tcBorders>
            <w:shd w:val="clear" w:color="auto" w:fill="auto"/>
            <w:vAlign w:val="bottom"/>
          </w:tcPr>
          <w:p w14:paraId="21F7833E" w14:textId="77777777" w:rsidR="006376DE" w:rsidRPr="00C441BB" w:rsidRDefault="006376DE" w:rsidP="00301C2A">
            <w:pPr>
              <w:pStyle w:val="TableText"/>
              <w:tabs>
                <w:tab w:val="left" w:pos="3306"/>
              </w:tabs>
              <w:jc w:val="right"/>
              <w:rPr>
                <w:rFonts w:cs="Calibri"/>
                <w:b/>
                <w:bCs/>
              </w:rPr>
            </w:pPr>
          </w:p>
        </w:tc>
        <w:tc>
          <w:tcPr>
            <w:tcW w:w="1559" w:type="dxa"/>
            <w:gridSpan w:val="2"/>
            <w:tcBorders>
              <w:top w:val="double" w:sz="4" w:space="0" w:color="auto"/>
            </w:tcBorders>
            <w:shd w:val="clear" w:color="auto" w:fill="auto"/>
            <w:vAlign w:val="bottom"/>
          </w:tcPr>
          <w:p w14:paraId="2F72AB7B" w14:textId="77777777" w:rsidR="006376DE" w:rsidRPr="00C441BB" w:rsidRDefault="006376DE" w:rsidP="00301C2A">
            <w:pPr>
              <w:pStyle w:val="TableText"/>
              <w:tabs>
                <w:tab w:val="left" w:pos="3306"/>
              </w:tabs>
              <w:jc w:val="right"/>
              <w:rPr>
                <w:rFonts w:cs="Calibri"/>
                <w:b/>
                <w:bCs/>
              </w:rPr>
            </w:pPr>
          </w:p>
        </w:tc>
      </w:tr>
      <w:tr w:rsidR="0009715B" w:rsidRPr="00CF7E1B" w14:paraId="7EF67539" w14:textId="77777777" w:rsidTr="0004564D">
        <w:tc>
          <w:tcPr>
            <w:tcW w:w="1560" w:type="dxa"/>
            <w:tcBorders>
              <w:left w:val="single" w:sz="2" w:space="0" w:color="auto"/>
              <w:right w:val="single" w:sz="2" w:space="0" w:color="auto"/>
            </w:tcBorders>
          </w:tcPr>
          <w:p w14:paraId="1450A113"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440216D" w14:textId="77777777" w:rsidR="006376DE" w:rsidRPr="00C441BB" w:rsidRDefault="006376DE" w:rsidP="00301C2A">
            <w:pPr>
              <w:pStyle w:val="TableText"/>
              <w:tabs>
                <w:tab w:val="left" w:pos="3306"/>
              </w:tabs>
              <w:rPr>
                <w:rFonts w:cs="Calibri"/>
                <w:b/>
                <w:bCs/>
              </w:rPr>
            </w:pPr>
            <w:r w:rsidRPr="00C441BB">
              <w:rPr>
                <w:rFonts w:cs="Calibri"/>
                <w:b/>
                <w:bCs/>
              </w:rPr>
              <w:t>Expenses</w:t>
            </w:r>
          </w:p>
        </w:tc>
        <w:tc>
          <w:tcPr>
            <w:tcW w:w="2448" w:type="dxa"/>
            <w:gridSpan w:val="2"/>
            <w:shd w:val="clear" w:color="auto" w:fill="auto"/>
            <w:vAlign w:val="bottom"/>
          </w:tcPr>
          <w:p w14:paraId="5B4F5665" w14:textId="77777777" w:rsidR="006376DE" w:rsidRPr="00C441BB" w:rsidRDefault="006376DE" w:rsidP="00301C2A">
            <w:pPr>
              <w:pStyle w:val="TableText"/>
              <w:tabs>
                <w:tab w:val="left" w:pos="3306"/>
              </w:tabs>
              <w:jc w:val="right"/>
              <w:rPr>
                <w:rFonts w:cs="Calibri"/>
                <w:b/>
                <w:bCs/>
              </w:rPr>
            </w:pPr>
          </w:p>
        </w:tc>
        <w:tc>
          <w:tcPr>
            <w:tcW w:w="2268" w:type="dxa"/>
            <w:gridSpan w:val="2"/>
            <w:shd w:val="clear" w:color="auto" w:fill="auto"/>
            <w:vAlign w:val="bottom"/>
          </w:tcPr>
          <w:p w14:paraId="0DB24E04" w14:textId="77777777" w:rsidR="006376DE" w:rsidRPr="00C441BB" w:rsidRDefault="006376DE" w:rsidP="00301C2A">
            <w:pPr>
              <w:pStyle w:val="TableText"/>
              <w:tabs>
                <w:tab w:val="left" w:pos="3306"/>
              </w:tabs>
              <w:jc w:val="right"/>
              <w:rPr>
                <w:rFonts w:cs="Calibri"/>
                <w:b/>
                <w:bCs/>
              </w:rPr>
            </w:pPr>
          </w:p>
        </w:tc>
        <w:tc>
          <w:tcPr>
            <w:tcW w:w="1559" w:type="dxa"/>
            <w:gridSpan w:val="2"/>
            <w:shd w:val="clear" w:color="auto" w:fill="auto"/>
            <w:vAlign w:val="bottom"/>
          </w:tcPr>
          <w:p w14:paraId="0C67A375" w14:textId="77777777" w:rsidR="006376DE" w:rsidRPr="00C441BB" w:rsidRDefault="006376DE" w:rsidP="00301C2A">
            <w:pPr>
              <w:pStyle w:val="TableText"/>
              <w:tabs>
                <w:tab w:val="left" w:pos="3306"/>
              </w:tabs>
              <w:jc w:val="right"/>
              <w:rPr>
                <w:rFonts w:cs="Calibri"/>
                <w:b/>
                <w:bCs/>
              </w:rPr>
            </w:pPr>
          </w:p>
        </w:tc>
      </w:tr>
      <w:tr w:rsidR="0009715B" w:rsidRPr="00CF7E1B" w14:paraId="6F9678EF" w14:textId="77777777" w:rsidTr="0004564D">
        <w:tc>
          <w:tcPr>
            <w:tcW w:w="1560" w:type="dxa"/>
            <w:tcBorders>
              <w:left w:val="single" w:sz="2" w:space="0" w:color="auto"/>
              <w:right w:val="single" w:sz="2" w:space="0" w:color="auto"/>
            </w:tcBorders>
          </w:tcPr>
          <w:p w14:paraId="4DF954B0"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132CA5D" w14:textId="77777777" w:rsidR="006376DE" w:rsidRPr="00C441BB" w:rsidRDefault="006376DE" w:rsidP="00301C2A">
            <w:pPr>
              <w:pStyle w:val="TableText"/>
              <w:tabs>
                <w:tab w:val="left" w:pos="3306"/>
              </w:tabs>
              <w:rPr>
                <w:rFonts w:cs="Calibri"/>
                <w:bCs/>
              </w:rPr>
            </w:pPr>
            <w:r w:rsidRPr="00C441BB">
              <w:rPr>
                <w:rFonts w:cs="Calibri"/>
                <w:bCs/>
              </w:rPr>
              <w:t>Employee Expenses</w:t>
            </w:r>
          </w:p>
        </w:tc>
        <w:tc>
          <w:tcPr>
            <w:tcW w:w="2448" w:type="dxa"/>
            <w:gridSpan w:val="2"/>
            <w:shd w:val="clear" w:color="auto" w:fill="auto"/>
            <w:vAlign w:val="bottom"/>
          </w:tcPr>
          <w:p w14:paraId="448A373D" w14:textId="33710272" w:rsidR="006376DE" w:rsidRPr="00C441BB" w:rsidRDefault="006376DE" w:rsidP="00301C2A">
            <w:pPr>
              <w:pStyle w:val="TableText"/>
              <w:tabs>
                <w:tab w:val="left" w:pos="3306"/>
              </w:tabs>
              <w:jc w:val="right"/>
              <w:rPr>
                <w:rFonts w:cs="Calibri"/>
                <w:bCs/>
              </w:rPr>
            </w:pPr>
          </w:p>
        </w:tc>
        <w:tc>
          <w:tcPr>
            <w:tcW w:w="2268" w:type="dxa"/>
            <w:gridSpan w:val="2"/>
            <w:shd w:val="clear" w:color="auto" w:fill="auto"/>
            <w:vAlign w:val="bottom"/>
          </w:tcPr>
          <w:p w14:paraId="0575F6E8" w14:textId="2AE522B3"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198DCA4C" w14:textId="1C70B53A" w:rsidR="006376DE" w:rsidRPr="00C441BB" w:rsidRDefault="006376DE" w:rsidP="00301C2A">
            <w:pPr>
              <w:pStyle w:val="TableText"/>
              <w:tabs>
                <w:tab w:val="left" w:pos="3306"/>
              </w:tabs>
              <w:jc w:val="right"/>
              <w:rPr>
                <w:rFonts w:cs="Calibri"/>
                <w:bCs/>
              </w:rPr>
            </w:pPr>
          </w:p>
        </w:tc>
      </w:tr>
      <w:tr w:rsidR="0009715B" w:rsidRPr="00CF7E1B" w14:paraId="3FBDF554" w14:textId="77777777" w:rsidTr="0004564D">
        <w:tc>
          <w:tcPr>
            <w:tcW w:w="1560" w:type="dxa"/>
            <w:tcBorders>
              <w:left w:val="single" w:sz="2" w:space="0" w:color="auto"/>
              <w:right w:val="single" w:sz="2" w:space="0" w:color="auto"/>
            </w:tcBorders>
          </w:tcPr>
          <w:p w14:paraId="7AAA52EB"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33C095D" w14:textId="77777777" w:rsidR="006376DE" w:rsidRPr="00C441BB" w:rsidRDefault="006376DE" w:rsidP="00301C2A">
            <w:pPr>
              <w:pStyle w:val="TableText"/>
              <w:tabs>
                <w:tab w:val="left" w:pos="3306"/>
              </w:tabs>
              <w:rPr>
                <w:rFonts w:cs="Calibri"/>
                <w:bCs/>
              </w:rPr>
            </w:pPr>
            <w:r w:rsidRPr="00C441BB">
              <w:rPr>
                <w:rFonts w:cs="Calibri"/>
                <w:bCs/>
              </w:rPr>
              <w:t>Superannuation Expenses</w:t>
            </w:r>
          </w:p>
        </w:tc>
        <w:tc>
          <w:tcPr>
            <w:tcW w:w="2448" w:type="dxa"/>
            <w:gridSpan w:val="2"/>
            <w:shd w:val="clear" w:color="auto" w:fill="auto"/>
            <w:vAlign w:val="bottom"/>
          </w:tcPr>
          <w:p w14:paraId="614028B3" w14:textId="732351F8" w:rsidR="006376DE" w:rsidRPr="00C441BB" w:rsidRDefault="006376DE" w:rsidP="00301C2A">
            <w:pPr>
              <w:pStyle w:val="TableText"/>
              <w:tabs>
                <w:tab w:val="left" w:pos="3306"/>
              </w:tabs>
              <w:jc w:val="right"/>
              <w:rPr>
                <w:rFonts w:cs="Calibri"/>
                <w:bCs/>
              </w:rPr>
            </w:pPr>
          </w:p>
        </w:tc>
        <w:tc>
          <w:tcPr>
            <w:tcW w:w="2268" w:type="dxa"/>
            <w:gridSpan w:val="2"/>
            <w:shd w:val="clear" w:color="auto" w:fill="auto"/>
            <w:vAlign w:val="bottom"/>
          </w:tcPr>
          <w:p w14:paraId="756634DD" w14:textId="370C6FA1"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6D06FA51" w14:textId="1177ABF4" w:rsidR="006376DE" w:rsidRPr="00C441BB" w:rsidRDefault="006376DE" w:rsidP="00301C2A">
            <w:pPr>
              <w:pStyle w:val="TableText"/>
              <w:tabs>
                <w:tab w:val="left" w:pos="3306"/>
              </w:tabs>
              <w:jc w:val="right"/>
              <w:rPr>
                <w:rFonts w:cs="Calibri"/>
                <w:bCs/>
              </w:rPr>
            </w:pPr>
          </w:p>
        </w:tc>
      </w:tr>
      <w:tr w:rsidR="0009715B" w:rsidRPr="00CF7E1B" w14:paraId="0843B7AB" w14:textId="77777777" w:rsidTr="0004564D">
        <w:tc>
          <w:tcPr>
            <w:tcW w:w="1560" w:type="dxa"/>
            <w:tcBorders>
              <w:left w:val="single" w:sz="2" w:space="0" w:color="auto"/>
              <w:right w:val="single" w:sz="2" w:space="0" w:color="auto"/>
            </w:tcBorders>
          </w:tcPr>
          <w:p w14:paraId="757973C0"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4F5A7D97" w14:textId="77777777" w:rsidR="006376DE" w:rsidRPr="00C441BB" w:rsidRDefault="006376DE" w:rsidP="00301C2A">
            <w:pPr>
              <w:pStyle w:val="TableText"/>
              <w:tabs>
                <w:tab w:val="left" w:pos="3306"/>
              </w:tabs>
              <w:rPr>
                <w:rFonts w:cs="Calibri"/>
                <w:bCs/>
              </w:rPr>
            </w:pPr>
            <w:r w:rsidRPr="00C441BB">
              <w:rPr>
                <w:rFonts w:cs="Calibri"/>
                <w:bCs/>
              </w:rPr>
              <w:t>Supplies and Services</w:t>
            </w:r>
          </w:p>
        </w:tc>
        <w:tc>
          <w:tcPr>
            <w:tcW w:w="2448" w:type="dxa"/>
            <w:gridSpan w:val="2"/>
            <w:shd w:val="clear" w:color="auto" w:fill="auto"/>
            <w:vAlign w:val="bottom"/>
          </w:tcPr>
          <w:p w14:paraId="5D90F8F9" w14:textId="22FECAD0" w:rsidR="006376DE" w:rsidRPr="00C441BB" w:rsidRDefault="006376DE" w:rsidP="00301C2A">
            <w:pPr>
              <w:pStyle w:val="TableText"/>
              <w:tabs>
                <w:tab w:val="left" w:pos="3306"/>
              </w:tabs>
              <w:jc w:val="right"/>
              <w:rPr>
                <w:rFonts w:cs="Calibri"/>
                <w:bCs/>
              </w:rPr>
            </w:pPr>
          </w:p>
        </w:tc>
        <w:tc>
          <w:tcPr>
            <w:tcW w:w="2268" w:type="dxa"/>
            <w:gridSpan w:val="2"/>
            <w:shd w:val="clear" w:color="auto" w:fill="auto"/>
            <w:vAlign w:val="bottom"/>
          </w:tcPr>
          <w:p w14:paraId="1DAC509C" w14:textId="575CED0C"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769D3694" w14:textId="2D0C992C" w:rsidR="006376DE" w:rsidRPr="00C441BB" w:rsidRDefault="006376DE" w:rsidP="00301C2A">
            <w:pPr>
              <w:pStyle w:val="TableText"/>
              <w:tabs>
                <w:tab w:val="left" w:pos="3306"/>
              </w:tabs>
              <w:jc w:val="right"/>
              <w:rPr>
                <w:rFonts w:cs="Calibri"/>
                <w:bCs/>
              </w:rPr>
            </w:pPr>
          </w:p>
        </w:tc>
      </w:tr>
      <w:tr w:rsidR="0009715B" w:rsidRPr="00CF7E1B" w14:paraId="5D0C099B" w14:textId="77777777" w:rsidTr="0004564D">
        <w:tc>
          <w:tcPr>
            <w:tcW w:w="1560" w:type="dxa"/>
            <w:tcBorders>
              <w:left w:val="single" w:sz="2" w:space="0" w:color="auto"/>
              <w:right w:val="single" w:sz="2" w:space="0" w:color="auto"/>
            </w:tcBorders>
          </w:tcPr>
          <w:p w14:paraId="28E9BDD1"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2A23B239" w14:textId="77777777" w:rsidR="006376DE" w:rsidRPr="00C441BB" w:rsidRDefault="006376DE" w:rsidP="00301C2A">
            <w:pPr>
              <w:pStyle w:val="TableText"/>
              <w:tabs>
                <w:tab w:val="left" w:pos="3306"/>
              </w:tabs>
              <w:rPr>
                <w:rFonts w:cs="Calibri"/>
                <w:bCs/>
              </w:rPr>
            </w:pPr>
            <w:r w:rsidRPr="00C441BB">
              <w:rPr>
                <w:rFonts w:cs="Calibri"/>
                <w:bCs/>
              </w:rPr>
              <w:t>Depreciation and Amortisation</w:t>
            </w:r>
          </w:p>
        </w:tc>
        <w:tc>
          <w:tcPr>
            <w:tcW w:w="2448" w:type="dxa"/>
            <w:gridSpan w:val="2"/>
            <w:shd w:val="clear" w:color="auto" w:fill="auto"/>
            <w:vAlign w:val="bottom"/>
          </w:tcPr>
          <w:p w14:paraId="3679107F" w14:textId="04C45F07" w:rsidR="006376DE" w:rsidRPr="00C441BB" w:rsidRDefault="006376DE" w:rsidP="00301C2A">
            <w:pPr>
              <w:pStyle w:val="TableText"/>
              <w:tabs>
                <w:tab w:val="left" w:pos="3306"/>
              </w:tabs>
              <w:jc w:val="right"/>
              <w:rPr>
                <w:rFonts w:cs="Calibri"/>
                <w:bCs/>
              </w:rPr>
            </w:pPr>
          </w:p>
        </w:tc>
        <w:tc>
          <w:tcPr>
            <w:tcW w:w="2268" w:type="dxa"/>
            <w:gridSpan w:val="2"/>
            <w:shd w:val="clear" w:color="auto" w:fill="auto"/>
            <w:vAlign w:val="bottom"/>
          </w:tcPr>
          <w:p w14:paraId="5D7A9F2B" w14:textId="4DB06FF8"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443915F4" w14:textId="23B76528" w:rsidR="006376DE" w:rsidRPr="00C441BB" w:rsidRDefault="006376DE" w:rsidP="00301C2A">
            <w:pPr>
              <w:pStyle w:val="TableText"/>
              <w:tabs>
                <w:tab w:val="left" w:pos="3306"/>
              </w:tabs>
              <w:jc w:val="right"/>
              <w:rPr>
                <w:rFonts w:cs="Calibri"/>
                <w:bCs/>
              </w:rPr>
            </w:pPr>
          </w:p>
        </w:tc>
      </w:tr>
      <w:tr w:rsidR="0009715B" w:rsidRPr="00CF7E1B" w14:paraId="6F7D9D3B" w14:textId="77777777" w:rsidTr="0004564D">
        <w:tc>
          <w:tcPr>
            <w:tcW w:w="1560" w:type="dxa"/>
            <w:tcBorders>
              <w:left w:val="single" w:sz="2" w:space="0" w:color="auto"/>
              <w:right w:val="single" w:sz="2" w:space="0" w:color="auto"/>
            </w:tcBorders>
          </w:tcPr>
          <w:p w14:paraId="31D96297"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7BA8082E" w14:textId="77777777" w:rsidR="006376DE" w:rsidRPr="00C441BB" w:rsidRDefault="006376DE" w:rsidP="00301C2A">
            <w:pPr>
              <w:pStyle w:val="TableText"/>
              <w:tabs>
                <w:tab w:val="left" w:pos="3306"/>
              </w:tabs>
              <w:rPr>
                <w:rFonts w:cs="Calibri"/>
                <w:bCs/>
              </w:rPr>
            </w:pPr>
            <w:r w:rsidRPr="00C441BB">
              <w:rPr>
                <w:rFonts w:cs="Calibri"/>
                <w:bCs/>
              </w:rPr>
              <w:t>Grants and Purchased Services</w:t>
            </w:r>
          </w:p>
        </w:tc>
        <w:tc>
          <w:tcPr>
            <w:tcW w:w="2448" w:type="dxa"/>
            <w:gridSpan w:val="2"/>
            <w:shd w:val="clear" w:color="auto" w:fill="auto"/>
            <w:vAlign w:val="bottom"/>
          </w:tcPr>
          <w:p w14:paraId="784EB7EE" w14:textId="111C7C3F" w:rsidR="006376DE" w:rsidRPr="00C441BB" w:rsidRDefault="006376DE" w:rsidP="00301C2A">
            <w:pPr>
              <w:pStyle w:val="TableText"/>
              <w:tabs>
                <w:tab w:val="left" w:pos="3306"/>
              </w:tabs>
              <w:jc w:val="right"/>
              <w:rPr>
                <w:rFonts w:cs="Calibri"/>
                <w:bCs/>
              </w:rPr>
            </w:pPr>
          </w:p>
        </w:tc>
        <w:tc>
          <w:tcPr>
            <w:tcW w:w="2268" w:type="dxa"/>
            <w:gridSpan w:val="2"/>
            <w:shd w:val="clear" w:color="auto" w:fill="auto"/>
            <w:vAlign w:val="bottom"/>
          </w:tcPr>
          <w:p w14:paraId="7EF322F6" w14:textId="1530EDB9" w:rsidR="006376DE" w:rsidRPr="00C441BB" w:rsidRDefault="006376DE" w:rsidP="00301C2A">
            <w:pPr>
              <w:pStyle w:val="TableText"/>
              <w:tabs>
                <w:tab w:val="left" w:pos="3306"/>
              </w:tabs>
              <w:jc w:val="right"/>
              <w:rPr>
                <w:rFonts w:cs="Calibri"/>
                <w:bCs/>
              </w:rPr>
            </w:pPr>
          </w:p>
        </w:tc>
        <w:tc>
          <w:tcPr>
            <w:tcW w:w="1559" w:type="dxa"/>
            <w:gridSpan w:val="2"/>
            <w:shd w:val="clear" w:color="auto" w:fill="auto"/>
            <w:vAlign w:val="bottom"/>
          </w:tcPr>
          <w:p w14:paraId="50914129" w14:textId="7C7E5287" w:rsidR="006376DE" w:rsidRPr="00C441BB" w:rsidRDefault="006376DE" w:rsidP="00301C2A">
            <w:pPr>
              <w:pStyle w:val="TableText"/>
              <w:tabs>
                <w:tab w:val="left" w:pos="3306"/>
              </w:tabs>
              <w:jc w:val="right"/>
              <w:rPr>
                <w:rFonts w:cs="Calibri"/>
                <w:bCs/>
              </w:rPr>
            </w:pPr>
          </w:p>
        </w:tc>
      </w:tr>
      <w:tr w:rsidR="0009715B" w:rsidRPr="00CF7E1B" w14:paraId="012CAF70" w14:textId="77777777" w:rsidTr="0004564D">
        <w:trPr>
          <w:trHeight w:hRule="exact" w:val="113"/>
        </w:trPr>
        <w:tc>
          <w:tcPr>
            <w:tcW w:w="1560" w:type="dxa"/>
            <w:tcBorders>
              <w:left w:val="single" w:sz="2" w:space="0" w:color="auto"/>
              <w:right w:val="single" w:sz="2" w:space="0" w:color="auto"/>
            </w:tcBorders>
          </w:tcPr>
          <w:p w14:paraId="4105CA62"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1631E573" w14:textId="77777777" w:rsidR="006376DE" w:rsidRPr="00C441BB" w:rsidRDefault="006376DE" w:rsidP="00301C2A">
            <w:pPr>
              <w:pStyle w:val="TableText"/>
              <w:tabs>
                <w:tab w:val="left" w:pos="3306"/>
              </w:tabs>
              <w:spacing w:before="0"/>
              <w:rPr>
                <w:rFonts w:cs="Calibri"/>
                <w:b/>
                <w:bCs/>
                <w:sz w:val="12"/>
                <w:szCs w:val="12"/>
              </w:rPr>
            </w:pPr>
          </w:p>
        </w:tc>
        <w:tc>
          <w:tcPr>
            <w:tcW w:w="2448" w:type="dxa"/>
            <w:gridSpan w:val="2"/>
            <w:tcBorders>
              <w:bottom w:val="single" w:sz="4" w:space="0" w:color="auto"/>
            </w:tcBorders>
            <w:shd w:val="clear" w:color="auto" w:fill="auto"/>
            <w:vAlign w:val="bottom"/>
          </w:tcPr>
          <w:p w14:paraId="133C2A12" w14:textId="77777777" w:rsidR="006376DE" w:rsidRPr="00C441BB" w:rsidRDefault="006376DE" w:rsidP="00301C2A">
            <w:pPr>
              <w:pStyle w:val="TableText"/>
              <w:tabs>
                <w:tab w:val="left" w:pos="3306"/>
              </w:tabs>
              <w:spacing w:before="0"/>
              <w:jc w:val="right"/>
              <w:rPr>
                <w:rFonts w:cs="Calibri"/>
                <w:b/>
                <w:bCs/>
                <w:sz w:val="12"/>
                <w:szCs w:val="12"/>
              </w:rPr>
            </w:pPr>
          </w:p>
        </w:tc>
        <w:tc>
          <w:tcPr>
            <w:tcW w:w="2268" w:type="dxa"/>
            <w:gridSpan w:val="2"/>
            <w:tcBorders>
              <w:bottom w:val="single" w:sz="4" w:space="0" w:color="auto"/>
            </w:tcBorders>
            <w:shd w:val="clear" w:color="auto" w:fill="auto"/>
            <w:vAlign w:val="bottom"/>
          </w:tcPr>
          <w:p w14:paraId="0626BE59" w14:textId="77777777" w:rsidR="006376DE" w:rsidRPr="00C441BB" w:rsidRDefault="006376DE" w:rsidP="00301C2A">
            <w:pPr>
              <w:pStyle w:val="TableText"/>
              <w:tabs>
                <w:tab w:val="left" w:pos="3306"/>
              </w:tabs>
              <w:spacing w:before="0"/>
              <w:jc w:val="right"/>
              <w:rPr>
                <w:rFonts w:cs="Calibri"/>
                <w:b/>
                <w:bCs/>
                <w:sz w:val="12"/>
                <w:szCs w:val="12"/>
              </w:rPr>
            </w:pPr>
          </w:p>
        </w:tc>
        <w:tc>
          <w:tcPr>
            <w:tcW w:w="1559" w:type="dxa"/>
            <w:gridSpan w:val="2"/>
            <w:tcBorders>
              <w:bottom w:val="single" w:sz="4" w:space="0" w:color="auto"/>
            </w:tcBorders>
            <w:shd w:val="clear" w:color="auto" w:fill="auto"/>
            <w:vAlign w:val="bottom"/>
          </w:tcPr>
          <w:p w14:paraId="17610C97" w14:textId="77777777" w:rsidR="006376DE" w:rsidRPr="00C441BB" w:rsidRDefault="006376DE" w:rsidP="00301C2A">
            <w:pPr>
              <w:pStyle w:val="TableText"/>
              <w:tabs>
                <w:tab w:val="left" w:pos="3306"/>
              </w:tabs>
              <w:spacing w:before="0"/>
              <w:jc w:val="right"/>
              <w:rPr>
                <w:rFonts w:cs="Calibri"/>
                <w:b/>
                <w:bCs/>
                <w:sz w:val="12"/>
                <w:szCs w:val="12"/>
              </w:rPr>
            </w:pPr>
          </w:p>
        </w:tc>
      </w:tr>
      <w:tr w:rsidR="0009715B" w:rsidRPr="00CF7E1B" w14:paraId="2EC9F0B1" w14:textId="77777777" w:rsidTr="0004564D">
        <w:tc>
          <w:tcPr>
            <w:tcW w:w="1560" w:type="dxa"/>
            <w:tcBorders>
              <w:left w:val="single" w:sz="2" w:space="0" w:color="auto"/>
              <w:right w:val="single" w:sz="2" w:space="0" w:color="auto"/>
            </w:tcBorders>
          </w:tcPr>
          <w:p w14:paraId="2A53001B" w14:textId="77777777" w:rsidR="006376DE" w:rsidRPr="00877D2B" w:rsidRDefault="006376DE" w:rsidP="00B11FCA">
            <w:pPr>
              <w:rPr>
                <w:rFonts w:cs="Calibri"/>
                <w:sz w:val="16"/>
              </w:rPr>
            </w:pPr>
          </w:p>
        </w:tc>
        <w:tc>
          <w:tcPr>
            <w:tcW w:w="2655" w:type="dxa"/>
            <w:tcBorders>
              <w:left w:val="single" w:sz="2" w:space="0" w:color="auto"/>
            </w:tcBorders>
            <w:shd w:val="clear" w:color="auto" w:fill="auto"/>
            <w:vAlign w:val="bottom"/>
          </w:tcPr>
          <w:p w14:paraId="4D37C9ED" w14:textId="77777777" w:rsidR="006376DE" w:rsidRPr="00C441BB" w:rsidRDefault="006376DE" w:rsidP="00301C2A">
            <w:pPr>
              <w:pStyle w:val="TableText"/>
              <w:tabs>
                <w:tab w:val="left" w:pos="3306"/>
              </w:tabs>
              <w:rPr>
                <w:rFonts w:cs="Calibri"/>
                <w:b/>
                <w:bCs/>
              </w:rPr>
            </w:pPr>
            <w:r w:rsidRPr="00C441BB">
              <w:rPr>
                <w:rFonts w:cs="Calibri"/>
                <w:b/>
                <w:bCs/>
              </w:rPr>
              <w:t>Total Expenses</w:t>
            </w:r>
          </w:p>
        </w:tc>
        <w:tc>
          <w:tcPr>
            <w:tcW w:w="2448" w:type="dxa"/>
            <w:gridSpan w:val="2"/>
            <w:tcBorders>
              <w:top w:val="single" w:sz="4" w:space="0" w:color="auto"/>
              <w:bottom w:val="double" w:sz="4" w:space="0" w:color="auto"/>
            </w:tcBorders>
            <w:shd w:val="clear" w:color="auto" w:fill="auto"/>
            <w:vAlign w:val="bottom"/>
          </w:tcPr>
          <w:p w14:paraId="704A5E53" w14:textId="37DA1678" w:rsidR="006376DE" w:rsidRPr="00C441BB" w:rsidRDefault="006376DE" w:rsidP="00301C2A">
            <w:pPr>
              <w:pStyle w:val="TableText"/>
              <w:tabs>
                <w:tab w:val="left" w:pos="3306"/>
              </w:tabs>
              <w:jc w:val="right"/>
              <w:rPr>
                <w:rFonts w:cs="Calibri"/>
                <w:b/>
                <w:bCs/>
              </w:rPr>
            </w:pPr>
          </w:p>
        </w:tc>
        <w:tc>
          <w:tcPr>
            <w:tcW w:w="2268" w:type="dxa"/>
            <w:gridSpan w:val="2"/>
            <w:tcBorders>
              <w:top w:val="single" w:sz="4" w:space="0" w:color="auto"/>
              <w:bottom w:val="double" w:sz="4" w:space="0" w:color="auto"/>
            </w:tcBorders>
            <w:shd w:val="clear" w:color="auto" w:fill="auto"/>
            <w:vAlign w:val="bottom"/>
          </w:tcPr>
          <w:p w14:paraId="70119AC6" w14:textId="35D4980E" w:rsidR="006376DE" w:rsidRPr="00C441BB" w:rsidRDefault="006376DE" w:rsidP="00301C2A">
            <w:pPr>
              <w:pStyle w:val="TableText"/>
              <w:tabs>
                <w:tab w:val="left" w:pos="3306"/>
              </w:tabs>
              <w:jc w:val="right"/>
              <w:rPr>
                <w:rFonts w:cs="Calibri"/>
                <w:b/>
                <w:bCs/>
              </w:rPr>
            </w:pPr>
          </w:p>
        </w:tc>
        <w:tc>
          <w:tcPr>
            <w:tcW w:w="1559" w:type="dxa"/>
            <w:gridSpan w:val="2"/>
            <w:tcBorders>
              <w:top w:val="single" w:sz="4" w:space="0" w:color="auto"/>
              <w:bottom w:val="double" w:sz="4" w:space="0" w:color="auto"/>
            </w:tcBorders>
            <w:shd w:val="clear" w:color="auto" w:fill="auto"/>
            <w:vAlign w:val="bottom"/>
          </w:tcPr>
          <w:p w14:paraId="6E6B8B3F" w14:textId="0CD72C8B" w:rsidR="006376DE" w:rsidRPr="00C441BB" w:rsidRDefault="006376DE" w:rsidP="00301C2A">
            <w:pPr>
              <w:pStyle w:val="TableText"/>
              <w:tabs>
                <w:tab w:val="left" w:pos="3306"/>
              </w:tabs>
              <w:jc w:val="right"/>
              <w:rPr>
                <w:rFonts w:cs="Calibri"/>
                <w:b/>
                <w:bCs/>
              </w:rPr>
            </w:pPr>
          </w:p>
        </w:tc>
      </w:tr>
      <w:tr w:rsidR="006376DE" w:rsidRPr="00CF7E1B" w14:paraId="034ECF91" w14:textId="77777777" w:rsidTr="0004564D">
        <w:tc>
          <w:tcPr>
            <w:tcW w:w="1560" w:type="dxa"/>
            <w:tcBorders>
              <w:left w:val="single" w:sz="2" w:space="0" w:color="auto"/>
              <w:right w:val="single" w:sz="2" w:space="0" w:color="auto"/>
            </w:tcBorders>
          </w:tcPr>
          <w:p w14:paraId="14237312" w14:textId="77777777" w:rsidR="006376DE" w:rsidRPr="00877D2B" w:rsidRDefault="006376DE" w:rsidP="002C6F4A">
            <w:pPr>
              <w:rPr>
                <w:rFonts w:cs="Calibri"/>
                <w:sz w:val="16"/>
              </w:rPr>
            </w:pPr>
          </w:p>
        </w:tc>
        <w:tc>
          <w:tcPr>
            <w:tcW w:w="8930" w:type="dxa"/>
            <w:gridSpan w:val="7"/>
            <w:tcBorders>
              <w:left w:val="single" w:sz="2" w:space="0" w:color="auto"/>
            </w:tcBorders>
            <w:vAlign w:val="bottom"/>
          </w:tcPr>
          <w:p w14:paraId="2F0238EE" w14:textId="77777777" w:rsidR="006376DE" w:rsidRPr="00C441BB" w:rsidRDefault="006376DE" w:rsidP="00301C2A">
            <w:pPr>
              <w:pStyle w:val="TableText"/>
              <w:tabs>
                <w:tab w:val="left" w:pos="3306"/>
              </w:tabs>
              <w:rPr>
                <w:rFonts w:cs="Calibri"/>
                <w:b/>
                <w:bCs/>
              </w:rPr>
            </w:pPr>
          </w:p>
        </w:tc>
      </w:tr>
      <w:tr w:rsidR="00E40F69" w:rsidRPr="00CF7E1B" w14:paraId="019D85A3" w14:textId="77777777" w:rsidTr="0004564D">
        <w:tc>
          <w:tcPr>
            <w:tcW w:w="1560" w:type="dxa"/>
            <w:tcBorders>
              <w:left w:val="single" w:sz="2" w:space="0" w:color="auto"/>
              <w:right w:val="single" w:sz="2" w:space="0" w:color="auto"/>
            </w:tcBorders>
          </w:tcPr>
          <w:p w14:paraId="017D9DA2" w14:textId="77777777" w:rsidR="00E40F69" w:rsidRPr="00877D2B" w:rsidRDefault="00E40F69" w:rsidP="002C6F4A">
            <w:pPr>
              <w:rPr>
                <w:rFonts w:cs="Calibri"/>
                <w:sz w:val="16"/>
              </w:rPr>
            </w:pPr>
          </w:p>
        </w:tc>
        <w:tc>
          <w:tcPr>
            <w:tcW w:w="8930" w:type="dxa"/>
            <w:gridSpan w:val="7"/>
            <w:tcBorders>
              <w:left w:val="single" w:sz="2" w:space="0" w:color="auto"/>
            </w:tcBorders>
            <w:vAlign w:val="bottom"/>
          </w:tcPr>
          <w:p w14:paraId="4B150CEC" w14:textId="77777777" w:rsidR="00E40F69" w:rsidRPr="00C441BB" w:rsidRDefault="00E40F69" w:rsidP="00301C2A">
            <w:pPr>
              <w:pStyle w:val="TableText"/>
              <w:tabs>
                <w:tab w:val="left" w:pos="3306"/>
              </w:tabs>
              <w:spacing w:before="0" w:after="120"/>
              <w:rPr>
                <w:rFonts w:cs="Calibri"/>
                <w:b/>
                <w:bCs/>
              </w:rPr>
            </w:pPr>
            <w:r w:rsidRPr="00C441BB">
              <w:rPr>
                <w:rFonts w:cs="Calibri"/>
                <w:b/>
                <w:bCs/>
              </w:rPr>
              <w:t>Assets and Liabilities</w:t>
            </w:r>
          </w:p>
        </w:tc>
      </w:tr>
      <w:tr w:rsidR="00E40F69" w:rsidRPr="00CF7E1B" w14:paraId="354B791F" w14:textId="77777777" w:rsidTr="0004564D">
        <w:trPr>
          <w:trHeight w:val="450"/>
        </w:trPr>
        <w:tc>
          <w:tcPr>
            <w:tcW w:w="1560" w:type="dxa"/>
            <w:tcBorders>
              <w:left w:val="single" w:sz="2" w:space="0" w:color="auto"/>
              <w:right w:val="single" w:sz="2" w:space="0" w:color="auto"/>
            </w:tcBorders>
          </w:tcPr>
          <w:p w14:paraId="131C5EA9" w14:textId="77777777" w:rsidR="00E40F69" w:rsidRPr="00877D2B" w:rsidRDefault="00E40F69" w:rsidP="002C6F4A">
            <w:pPr>
              <w:rPr>
                <w:rFonts w:cs="Calibri"/>
                <w:sz w:val="16"/>
              </w:rPr>
            </w:pPr>
          </w:p>
        </w:tc>
        <w:tc>
          <w:tcPr>
            <w:tcW w:w="8930" w:type="dxa"/>
            <w:gridSpan w:val="7"/>
            <w:tcBorders>
              <w:left w:val="single" w:sz="2" w:space="0" w:color="auto"/>
            </w:tcBorders>
            <w:vAlign w:val="bottom"/>
          </w:tcPr>
          <w:p w14:paraId="426845D3" w14:textId="77777777" w:rsidR="00E40F69" w:rsidRPr="00C441BB" w:rsidRDefault="00E40F69" w:rsidP="00301C2A">
            <w:pPr>
              <w:pStyle w:val="TableText"/>
              <w:tabs>
                <w:tab w:val="left" w:pos="3306"/>
              </w:tabs>
              <w:spacing w:before="0" w:after="120"/>
              <w:jc w:val="both"/>
              <w:rPr>
                <w:rFonts w:cs="Calibri"/>
                <w:bCs/>
              </w:rPr>
            </w:pPr>
            <w:r w:rsidRPr="00C441BB">
              <w:rPr>
                <w:rFonts w:cs="Calibri"/>
                <w:bCs/>
              </w:rPr>
              <w:t>The assets and liabilities transferred as part of the restructuring of administrative arrangements at the date</w:t>
            </w:r>
            <w:r w:rsidR="00246DEB" w:rsidRPr="00C441BB">
              <w:rPr>
                <w:rFonts w:cs="Calibri"/>
                <w:bCs/>
              </w:rPr>
              <w:t>s</w:t>
            </w:r>
            <w:r w:rsidRPr="00C441BB">
              <w:rPr>
                <w:rFonts w:cs="Calibri"/>
                <w:bCs/>
              </w:rPr>
              <w:t xml:space="preserve"> of transfer </w:t>
            </w:r>
            <w:r w:rsidR="009B0564" w:rsidRPr="00C441BB">
              <w:rPr>
                <w:rFonts w:cs="Calibri"/>
                <w:bCs/>
              </w:rPr>
              <w:t>were</w:t>
            </w:r>
            <w:r w:rsidRPr="00C441BB">
              <w:rPr>
                <w:rFonts w:cs="Calibri"/>
                <w:bCs/>
              </w:rPr>
              <w:t xml:space="preserve"> as follows:</w:t>
            </w:r>
          </w:p>
        </w:tc>
      </w:tr>
      <w:tr w:rsidR="0009715B" w:rsidRPr="00CF7E1B" w14:paraId="62399F1F" w14:textId="77777777" w:rsidTr="0004564D">
        <w:trPr>
          <w:trHeight w:hRule="exact" w:val="515"/>
        </w:trPr>
        <w:tc>
          <w:tcPr>
            <w:tcW w:w="1560" w:type="dxa"/>
            <w:tcBorders>
              <w:left w:val="single" w:sz="2" w:space="0" w:color="auto"/>
              <w:right w:val="single" w:sz="2" w:space="0" w:color="auto"/>
            </w:tcBorders>
            <w:vAlign w:val="center"/>
          </w:tcPr>
          <w:p w14:paraId="2B7264BE" w14:textId="77777777" w:rsidR="001551A2" w:rsidRPr="00877D2B" w:rsidRDefault="001551A2" w:rsidP="00301C2A">
            <w:pPr>
              <w:jc w:val="center"/>
              <w:rPr>
                <w:rFonts w:cs="Calibri"/>
                <w:sz w:val="16"/>
              </w:rPr>
            </w:pPr>
          </w:p>
        </w:tc>
        <w:tc>
          <w:tcPr>
            <w:tcW w:w="4961" w:type="dxa"/>
            <w:gridSpan w:val="2"/>
            <w:tcBorders>
              <w:left w:val="single" w:sz="2" w:space="0" w:color="auto"/>
            </w:tcBorders>
            <w:shd w:val="clear" w:color="auto" w:fill="auto"/>
            <w:vAlign w:val="center"/>
          </w:tcPr>
          <w:p w14:paraId="5E8F95A1" w14:textId="77777777" w:rsidR="001551A2" w:rsidRPr="00301C2A" w:rsidRDefault="001551A2" w:rsidP="005E3DFA">
            <w:pPr>
              <w:pStyle w:val="TableText"/>
              <w:tabs>
                <w:tab w:val="left" w:pos="3306"/>
              </w:tabs>
              <w:jc w:val="center"/>
              <w:rPr>
                <w:rFonts w:cs="Calibri"/>
                <w:b/>
                <w:bCs/>
              </w:rPr>
            </w:pPr>
          </w:p>
        </w:tc>
        <w:tc>
          <w:tcPr>
            <w:tcW w:w="1843" w:type="dxa"/>
            <w:gridSpan w:val="2"/>
            <w:shd w:val="clear" w:color="auto" w:fill="auto"/>
          </w:tcPr>
          <w:p w14:paraId="456C1BB4" w14:textId="77777777" w:rsidR="001551A2" w:rsidRPr="00C441BB" w:rsidRDefault="001551A2" w:rsidP="005E3DFA">
            <w:pPr>
              <w:pStyle w:val="TableText"/>
              <w:tabs>
                <w:tab w:val="left" w:pos="1659"/>
              </w:tabs>
              <w:ind w:left="-278" w:right="-387"/>
              <w:jc w:val="center"/>
              <w:rPr>
                <w:rFonts w:cs="Calibri"/>
                <w:b/>
                <w:bCs/>
              </w:rPr>
            </w:pPr>
            <w:r w:rsidRPr="00C441BB">
              <w:rPr>
                <w:rFonts w:cs="Calibri"/>
                <w:b/>
                <w:bCs/>
              </w:rPr>
              <w:t>Transferred Amounts</w:t>
            </w:r>
          </w:p>
          <w:p w14:paraId="5F6F968A" w14:textId="635925E9" w:rsidR="001551A2" w:rsidRPr="00C441BB" w:rsidRDefault="005E3DFA" w:rsidP="005E3DFA">
            <w:pPr>
              <w:pStyle w:val="TableText"/>
              <w:tabs>
                <w:tab w:val="left" w:pos="3306"/>
              </w:tabs>
              <w:jc w:val="right"/>
              <w:rPr>
                <w:rFonts w:cs="Calibri"/>
                <w:b/>
                <w:bCs/>
              </w:rPr>
            </w:pPr>
            <w:r w:rsidRPr="00C441BB">
              <w:rPr>
                <w:rFonts w:cs="Calibri"/>
                <w:b/>
                <w:bCs/>
              </w:rPr>
              <w:t>2021-22</w:t>
            </w:r>
          </w:p>
        </w:tc>
        <w:tc>
          <w:tcPr>
            <w:tcW w:w="2126" w:type="dxa"/>
            <w:gridSpan w:val="3"/>
            <w:shd w:val="clear" w:color="auto" w:fill="auto"/>
          </w:tcPr>
          <w:p w14:paraId="2D5CF542" w14:textId="47907AF0" w:rsidR="001551A2" w:rsidRPr="00C441BB" w:rsidRDefault="001551A2" w:rsidP="00C441BB">
            <w:pPr>
              <w:pStyle w:val="TableText"/>
              <w:tabs>
                <w:tab w:val="left" w:pos="1659"/>
              </w:tabs>
              <w:jc w:val="right"/>
              <w:rPr>
                <w:rFonts w:cs="Calibri"/>
                <w:b/>
                <w:bCs/>
                <w:strike/>
              </w:rPr>
            </w:pPr>
            <w:r w:rsidRPr="00C441BB">
              <w:rPr>
                <w:rFonts w:cs="Calibri"/>
                <w:b/>
                <w:bCs/>
              </w:rPr>
              <w:t>Transferred Amounts</w:t>
            </w:r>
            <w:r w:rsidR="00D23D0B" w:rsidRPr="00C441BB">
              <w:rPr>
                <w:rFonts w:cs="Calibri"/>
                <w:b/>
                <w:bCs/>
              </w:rPr>
              <w:t xml:space="preserve"> </w:t>
            </w:r>
            <w:r w:rsidR="005E3DFA" w:rsidRPr="00C441BB">
              <w:rPr>
                <w:rFonts w:cs="Calibri"/>
                <w:b/>
                <w:bCs/>
              </w:rPr>
              <w:t>2020-21</w:t>
            </w:r>
          </w:p>
        </w:tc>
      </w:tr>
      <w:tr w:rsidR="0009715B" w:rsidRPr="00CF7E1B" w14:paraId="57088B11" w14:textId="77777777" w:rsidTr="0004564D">
        <w:trPr>
          <w:trHeight w:hRule="exact" w:val="227"/>
        </w:trPr>
        <w:tc>
          <w:tcPr>
            <w:tcW w:w="1560" w:type="dxa"/>
            <w:tcBorders>
              <w:left w:val="single" w:sz="2" w:space="0" w:color="auto"/>
              <w:right w:val="single" w:sz="2" w:space="0" w:color="auto"/>
            </w:tcBorders>
          </w:tcPr>
          <w:p w14:paraId="579A404D" w14:textId="77777777" w:rsidR="001551A2" w:rsidRPr="00877D2B" w:rsidRDefault="001551A2" w:rsidP="002C6F4A">
            <w:pPr>
              <w:rPr>
                <w:rFonts w:cs="Calibri"/>
                <w:sz w:val="16"/>
              </w:rPr>
            </w:pPr>
          </w:p>
        </w:tc>
        <w:tc>
          <w:tcPr>
            <w:tcW w:w="4961" w:type="dxa"/>
            <w:gridSpan w:val="2"/>
            <w:tcBorders>
              <w:left w:val="single" w:sz="2" w:space="0" w:color="auto"/>
            </w:tcBorders>
            <w:shd w:val="clear" w:color="auto" w:fill="auto"/>
            <w:vAlign w:val="bottom"/>
          </w:tcPr>
          <w:p w14:paraId="53A1B438" w14:textId="77777777" w:rsidR="001551A2" w:rsidRPr="00301C2A" w:rsidRDefault="001551A2" w:rsidP="00301C2A">
            <w:pPr>
              <w:pStyle w:val="TableText"/>
              <w:tabs>
                <w:tab w:val="left" w:pos="3306"/>
              </w:tabs>
              <w:jc w:val="right"/>
              <w:rPr>
                <w:rFonts w:cs="Calibri"/>
                <w:b/>
                <w:bCs/>
              </w:rPr>
            </w:pPr>
          </w:p>
        </w:tc>
        <w:tc>
          <w:tcPr>
            <w:tcW w:w="1843" w:type="dxa"/>
            <w:gridSpan w:val="2"/>
            <w:shd w:val="clear" w:color="auto" w:fill="auto"/>
            <w:vAlign w:val="center"/>
          </w:tcPr>
          <w:p w14:paraId="7D8BB7E9" w14:textId="77777777" w:rsidR="001551A2" w:rsidRPr="00C441BB" w:rsidRDefault="003C1381" w:rsidP="00301C2A">
            <w:pPr>
              <w:pStyle w:val="TableText"/>
              <w:jc w:val="right"/>
              <w:rPr>
                <w:rFonts w:cs="Calibri"/>
                <w:b/>
                <w:bCs/>
              </w:rPr>
            </w:pPr>
            <w:r w:rsidRPr="00C441BB">
              <w:rPr>
                <w:rFonts w:cs="Calibri"/>
                <w:b/>
                <w:bCs/>
              </w:rPr>
              <w:t>$’000</w:t>
            </w:r>
          </w:p>
        </w:tc>
        <w:tc>
          <w:tcPr>
            <w:tcW w:w="2126" w:type="dxa"/>
            <w:gridSpan w:val="3"/>
            <w:shd w:val="clear" w:color="auto" w:fill="auto"/>
            <w:vAlign w:val="center"/>
          </w:tcPr>
          <w:p w14:paraId="741B513D" w14:textId="77777777" w:rsidR="001551A2" w:rsidRPr="00C441BB" w:rsidRDefault="003C1381" w:rsidP="00301C2A">
            <w:pPr>
              <w:pStyle w:val="TableText"/>
              <w:jc w:val="right"/>
              <w:rPr>
                <w:rFonts w:cs="Calibri"/>
                <w:b/>
                <w:bCs/>
              </w:rPr>
            </w:pPr>
            <w:r w:rsidRPr="00C441BB">
              <w:rPr>
                <w:rFonts w:cs="Calibri"/>
                <w:b/>
                <w:bCs/>
              </w:rPr>
              <w:t>$’000</w:t>
            </w:r>
          </w:p>
        </w:tc>
      </w:tr>
      <w:tr w:rsidR="0009715B" w:rsidRPr="00CF7E1B" w14:paraId="46E08B1D" w14:textId="77777777" w:rsidTr="0004564D">
        <w:trPr>
          <w:trHeight w:hRule="exact" w:val="227"/>
        </w:trPr>
        <w:tc>
          <w:tcPr>
            <w:tcW w:w="1560" w:type="dxa"/>
            <w:tcBorders>
              <w:left w:val="single" w:sz="2" w:space="0" w:color="auto"/>
              <w:right w:val="single" w:sz="2" w:space="0" w:color="auto"/>
            </w:tcBorders>
          </w:tcPr>
          <w:p w14:paraId="7DCBF964" w14:textId="77777777" w:rsidR="001551A2" w:rsidRPr="00877D2B" w:rsidRDefault="001551A2" w:rsidP="002C6F4A">
            <w:pPr>
              <w:rPr>
                <w:rFonts w:cs="Calibri"/>
                <w:sz w:val="16"/>
              </w:rPr>
            </w:pPr>
          </w:p>
        </w:tc>
        <w:tc>
          <w:tcPr>
            <w:tcW w:w="4961" w:type="dxa"/>
            <w:gridSpan w:val="2"/>
            <w:tcBorders>
              <w:left w:val="single" w:sz="2" w:space="0" w:color="auto"/>
            </w:tcBorders>
            <w:shd w:val="clear" w:color="auto" w:fill="auto"/>
            <w:vAlign w:val="bottom"/>
          </w:tcPr>
          <w:p w14:paraId="152B78F4" w14:textId="77777777" w:rsidR="001551A2" w:rsidRPr="00301C2A" w:rsidRDefault="001551A2" w:rsidP="00301C2A">
            <w:pPr>
              <w:pStyle w:val="TableText"/>
              <w:tabs>
                <w:tab w:val="left" w:pos="3306"/>
              </w:tabs>
              <w:rPr>
                <w:rFonts w:cs="Calibri"/>
                <w:b/>
                <w:bCs/>
              </w:rPr>
            </w:pPr>
            <w:r w:rsidRPr="00301C2A">
              <w:rPr>
                <w:rFonts w:cs="Calibri"/>
                <w:b/>
                <w:szCs w:val="16"/>
              </w:rPr>
              <w:t>Assets</w:t>
            </w:r>
          </w:p>
        </w:tc>
        <w:tc>
          <w:tcPr>
            <w:tcW w:w="1843" w:type="dxa"/>
            <w:gridSpan w:val="2"/>
            <w:shd w:val="clear" w:color="auto" w:fill="auto"/>
            <w:vAlign w:val="bottom"/>
          </w:tcPr>
          <w:p w14:paraId="3FCBD36D" w14:textId="77777777" w:rsidR="001551A2" w:rsidRPr="00301C2A" w:rsidRDefault="001551A2" w:rsidP="00301C2A">
            <w:pPr>
              <w:pStyle w:val="TableText"/>
              <w:jc w:val="right"/>
              <w:rPr>
                <w:rFonts w:cs="Calibri"/>
                <w:b/>
                <w:bCs/>
              </w:rPr>
            </w:pPr>
          </w:p>
        </w:tc>
        <w:tc>
          <w:tcPr>
            <w:tcW w:w="2126" w:type="dxa"/>
            <w:gridSpan w:val="3"/>
            <w:shd w:val="clear" w:color="auto" w:fill="auto"/>
            <w:vAlign w:val="bottom"/>
          </w:tcPr>
          <w:p w14:paraId="097ACB93" w14:textId="77777777" w:rsidR="001551A2" w:rsidRPr="00C441BB" w:rsidRDefault="001551A2" w:rsidP="00301C2A">
            <w:pPr>
              <w:pStyle w:val="TableText"/>
              <w:jc w:val="right"/>
              <w:rPr>
                <w:rFonts w:cs="Calibri"/>
                <w:b/>
                <w:bCs/>
              </w:rPr>
            </w:pPr>
          </w:p>
        </w:tc>
      </w:tr>
      <w:tr w:rsidR="0009715B" w:rsidRPr="00CF7E1B" w14:paraId="587C22C9" w14:textId="77777777" w:rsidTr="0004564D">
        <w:trPr>
          <w:trHeight w:hRule="exact" w:val="227"/>
        </w:trPr>
        <w:tc>
          <w:tcPr>
            <w:tcW w:w="1560" w:type="dxa"/>
            <w:tcBorders>
              <w:left w:val="single" w:sz="2" w:space="0" w:color="auto"/>
              <w:right w:val="single" w:sz="2" w:space="0" w:color="auto"/>
            </w:tcBorders>
          </w:tcPr>
          <w:p w14:paraId="2F45A0AB" w14:textId="77777777" w:rsidR="001551A2" w:rsidRPr="00877D2B" w:rsidRDefault="001551A2" w:rsidP="002C6F4A">
            <w:pPr>
              <w:rPr>
                <w:rFonts w:cs="Calibri"/>
                <w:sz w:val="16"/>
              </w:rPr>
            </w:pPr>
          </w:p>
        </w:tc>
        <w:tc>
          <w:tcPr>
            <w:tcW w:w="4961" w:type="dxa"/>
            <w:gridSpan w:val="2"/>
            <w:tcBorders>
              <w:left w:val="single" w:sz="2" w:space="0" w:color="auto"/>
            </w:tcBorders>
            <w:shd w:val="clear" w:color="auto" w:fill="auto"/>
            <w:vAlign w:val="bottom"/>
          </w:tcPr>
          <w:p w14:paraId="1D317E64" w14:textId="77777777" w:rsidR="001551A2" w:rsidRPr="00301C2A" w:rsidRDefault="001551A2" w:rsidP="00301C2A">
            <w:pPr>
              <w:pStyle w:val="TableText"/>
              <w:tabs>
                <w:tab w:val="left" w:pos="3306"/>
              </w:tabs>
              <w:rPr>
                <w:rFonts w:cs="Calibri"/>
                <w:b/>
                <w:bCs/>
              </w:rPr>
            </w:pPr>
            <w:r w:rsidRPr="00301C2A">
              <w:rPr>
                <w:rFonts w:cs="Calibri"/>
                <w:szCs w:val="16"/>
              </w:rPr>
              <w:t>Cash and Cash Equivalents</w:t>
            </w:r>
          </w:p>
        </w:tc>
        <w:tc>
          <w:tcPr>
            <w:tcW w:w="1843" w:type="dxa"/>
            <w:gridSpan w:val="2"/>
            <w:shd w:val="clear" w:color="auto" w:fill="auto"/>
            <w:vAlign w:val="bottom"/>
          </w:tcPr>
          <w:p w14:paraId="0ECA73A2" w14:textId="164AC9A6" w:rsidR="001551A2" w:rsidRPr="00301C2A" w:rsidRDefault="001551A2" w:rsidP="00301C2A">
            <w:pPr>
              <w:pStyle w:val="TableText"/>
              <w:jc w:val="right"/>
              <w:rPr>
                <w:rFonts w:cs="Calibri"/>
                <w:bCs/>
              </w:rPr>
            </w:pPr>
          </w:p>
        </w:tc>
        <w:tc>
          <w:tcPr>
            <w:tcW w:w="2126" w:type="dxa"/>
            <w:gridSpan w:val="3"/>
            <w:shd w:val="clear" w:color="auto" w:fill="auto"/>
            <w:vAlign w:val="bottom"/>
          </w:tcPr>
          <w:p w14:paraId="07C2D543" w14:textId="00C164F5" w:rsidR="001551A2" w:rsidRPr="00C441BB" w:rsidRDefault="001551A2" w:rsidP="00301C2A">
            <w:pPr>
              <w:pStyle w:val="TableText"/>
              <w:jc w:val="right"/>
              <w:rPr>
                <w:rFonts w:cs="Calibri"/>
                <w:bCs/>
              </w:rPr>
            </w:pPr>
          </w:p>
        </w:tc>
      </w:tr>
      <w:tr w:rsidR="0009715B" w:rsidRPr="00CF7E1B" w14:paraId="6F1FD288" w14:textId="77777777" w:rsidTr="0004564D">
        <w:trPr>
          <w:trHeight w:hRule="exact" w:val="227"/>
        </w:trPr>
        <w:tc>
          <w:tcPr>
            <w:tcW w:w="1560" w:type="dxa"/>
            <w:tcBorders>
              <w:left w:val="single" w:sz="2" w:space="0" w:color="auto"/>
              <w:right w:val="single" w:sz="2" w:space="0" w:color="auto"/>
            </w:tcBorders>
          </w:tcPr>
          <w:p w14:paraId="2D4F62BF" w14:textId="77777777" w:rsidR="001551A2" w:rsidRPr="00877D2B" w:rsidRDefault="001551A2" w:rsidP="002C6F4A">
            <w:pPr>
              <w:rPr>
                <w:rFonts w:cs="Calibri"/>
                <w:sz w:val="16"/>
              </w:rPr>
            </w:pPr>
          </w:p>
        </w:tc>
        <w:tc>
          <w:tcPr>
            <w:tcW w:w="4961" w:type="dxa"/>
            <w:gridSpan w:val="2"/>
            <w:tcBorders>
              <w:left w:val="single" w:sz="2" w:space="0" w:color="auto"/>
            </w:tcBorders>
            <w:shd w:val="clear" w:color="auto" w:fill="auto"/>
            <w:vAlign w:val="bottom"/>
          </w:tcPr>
          <w:p w14:paraId="598BF82D" w14:textId="77777777" w:rsidR="001551A2" w:rsidRPr="00301C2A" w:rsidRDefault="001551A2" w:rsidP="00301C2A">
            <w:pPr>
              <w:pStyle w:val="TableText"/>
              <w:tabs>
                <w:tab w:val="left" w:pos="3306"/>
              </w:tabs>
              <w:rPr>
                <w:rFonts w:cs="Calibri"/>
                <w:b/>
                <w:bCs/>
              </w:rPr>
            </w:pPr>
            <w:r w:rsidRPr="00301C2A">
              <w:rPr>
                <w:rFonts w:cs="Calibri"/>
                <w:szCs w:val="16"/>
              </w:rPr>
              <w:t>Receivables</w:t>
            </w:r>
          </w:p>
        </w:tc>
        <w:tc>
          <w:tcPr>
            <w:tcW w:w="1843" w:type="dxa"/>
            <w:gridSpan w:val="2"/>
            <w:shd w:val="clear" w:color="auto" w:fill="auto"/>
            <w:vAlign w:val="bottom"/>
          </w:tcPr>
          <w:p w14:paraId="69BCB86D" w14:textId="38E597A9" w:rsidR="001551A2" w:rsidRPr="00301C2A" w:rsidRDefault="001551A2" w:rsidP="00301C2A">
            <w:pPr>
              <w:pStyle w:val="TableText"/>
              <w:jc w:val="right"/>
              <w:rPr>
                <w:rFonts w:cs="Calibri"/>
                <w:bCs/>
              </w:rPr>
            </w:pPr>
          </w:p>
        </w:tc>
        <w:tc>
          <w:tcPr>
            <w:tcW w:w="2126" w:type="dxa"/>
            <w:gridSpan w:val="3"/>
            <w:shd w:val="clear" w:color="auto" w:fill="auto"/>
            <w:vAlign w:val="bottom"/>
          </w:tcPr>
          <w:p w14:paraId="07FC24E3" w14:textId="4E269316" w:rsidR="001551A2" w:rsidRPr="00C441BB" w:rsidRDefault="001551A2" w:rsidP="00301C2A">
            <w:pPr>
              <w:pStyle w:val="TableText"/>
              <w:jc w:val="right"/>
              <w:rPr>
                <w:rFonts w:cs="Calibri"/>
                <w:bCs/>
              </w:rPr>
            </w:pPr>
          </w:p>
        </w:tc>
      </w:tr>
      <w:tr w:rsidR="0009715B" w:rsidRPr="00CF7E1B" w14:paraId="501E5F4A" w14:textId="77777777" w:rsidTr="0004564D">
        <w:trPr>
          <w:trHeight w:hRule="exact" w:val="227"/>
        </w:trPr>
        <w:tc>
          <w:tcPr>
            <w:tcW w:w="1560" w:type="dxa"/>
            <w:tcBorders>
              <w:left w:val="single" w:sz="2" w:space="0" w:color="auto"/>
              <w:right w:val="single" w:sz="2" w:space="0" w:color="auto"/>
            </w:tcBorders>
          </w:tcPr>
          <w:p w14:paraId="32DCA2D8" w14:textId="77777777" w:rsidR="001551A2" w:rsidRPr="00877D2B" w:rsidRDefault="001551A2" w:rsidP="002C6F4A">
            <w:pPr>
              <w:rPr>
                <w:rFonts w:cs="Calibri"/>
                <w:sz w:val="16"/>
              </w:rPr>
            </w:pPr>
          </w:p>
        </w:tc>
        <w:tc>
          <w:tcPr>
            <w:tcW w:w="4961" w:type="dxa"/>
            <w:gridSpan w:val="2"/>
            <w:tcBorders>
              <w:left w:val="single" w:sz="2" w:space="0" w:color="auto"/>
            </w:tcBorders>
            <w:shd w:val="clear" w:color="auto" w:fill="auto"/>
            <w:vAlign w:val="bottom"/>
          </w:tcPr>
          <w:p w14:paraId="556000A0" w14:textId="77777777" w:rsidR="001551A2" w:rsidRPr="00301C2A" w:rsidRDefault="001551A2" w:rsidP="00301C2A">
            <w:pPr>
              <w:pStyle w:val="TableText"/>
              <w:tabs>
                <w:tab w:val="left" w:pos="3306"/>
              </w:tabs>
              <w:rPr>
                <w:rFonts w:cs="Calibri"/>
                <w:b/>
                <w:bCs/>
              </w:rPr>
            </w:pPr>
            <w:r w:rsidRPr="00301C2A">
              <w:rPr>
                <w:rFonts w:cs="Calibri"/>
                <w:szCs w:val="16"/>
              </w:rPr>
              <w:t>Land</w:t>
            </w:r>
          </w:p>
        </w:tc>
        <w:tc>
          <w:tcPr>
            <w:tcW w:w="1843" w:type="dxa"/>
            <w:gridSpan w:val="2"/>
            <w:shd w:val="clear" w:color="auto" w:fill="auto"/>
            <w:vAlign w:val="bottom"/>
          </w:tcPr>
          <w:p w14:paraId="5F04D0E4" w14:textId="75B1B660" w:rsidR="001551A2" w:rsidRPr="00301C2A" w:rsidRDefault="001551A2" w:rsidP="00301C2A">
            <w:pPr>
              <w:pStyle w:val="TableText"/>
              <w:jc w:val="right"/>
              <w:rPr>
                <w:rFonts w:cs="Calibri"/>
                <w:bCs/>
              </w:rPr>
            </w:pPr>
          </w:p>
        </w:tc>
        <w:tc>
          <w:tcPr>
            <w:tcW w:w="2126" w:type="dxa"/>
            <w:gridSpan w:val="3"/>
            <w:shd w:val="clear" w:color="auto" w:fill="auto"/>
            <w:vAlign w:val="bottom"/>
          </w:tcPr>
          <w:p w14:paraId="56CEA1B4" w14:textId="5AF7F653" w:rsidR="001551A2" w:rsidRPr="00C441BB" w:rsidRDefault="001551A2" w:rsidP="00301C2A">
            <w:pPr>
              <w:pStyle w:val="TableText"/>
              <w:jc w:val="right"/>
              <w:rPr>
                <w:rFonts w:cs="Calibri"/>
                <w:bCs/>
              </w:rPr>
            </w:pPr>
          </w:p>
        </w:tc>
      </w:tr>
      <w:tr w:rsidR="0009715B" w:rsidRPr="00CF7E1B" w14:paraId="04D9802A" w14:textId="77777777" w:rsidTr="0004564D">
        <w:trPr>
          <w:trHeight w:hRule="exact" w:val="298"/>
        </w:trPr>
        <w:tc>
          <w:tcPr>
            <w:tcW w:w="1560" w:type="dxa"/>
            <w:tcBorders>
              <w:left w:val="single" w:sz="2" w:space="0" w:color="auto"/>
              <w:right w:val="single" w:sz="2" w:space="0" w:color="auto"/>
            </w:tcBorders>
          </w:tcPr>
          <w:p w14:paraId="75EAAD0D" w14:textId="77777777" w:rsidR="001551A2" w:rsidRPr="00877D2B" w:rsidRDefault="001551A2" w:rsidP="002C6F4A">
            <w:pPr>
              <w:rPr>
                <w:rFonts w:cs="Calibri"/>
                <w:sz w:val="16"/>
              </w:rPr>
            </w:pPr>
          </w:p>
        </w:tc>
        <w:tc>
          <w:tcPr>
            <w:tcW w:w="4961" w:type="dxa"/>
            <w:gridSpan w:val="2"/>
            <w:tcBorders>
              <w:left w:val="single" w:sz="2" w:space="0" w:color="auto"/>
            </w:tcBorders>
            <w:shd w:val="clear" w:color="auto" w:fill="auto"/>
            <w:vAlign w:val="bottom"/>
          </w:tcPr>
          <w:p w14:paraId="46FDBCCA" w14:textId="77777777" w:rsidR="001551A2" w:rsidRPr="00301C2A" w:rsidRDefault="001551A2" w:rsidP="00301C2A">
            <w:pPr>
              <w:pStyle w:val="TableText"/>
              <w:tabs>
                <w:tab w:val="left" w:pos="3306"/>
              </w:tabs>
              <w:rPr>
                <w:rFonts w:cs="Calibri"/>
                <w:b/>
                <w:bCs/>
              </w:rPr>
            </w:pPr>
            <w:r w:rsidRPr="00301C2A">
              <w:rPr>
                <w:rFonts w:cs="Calibri"/>
                <w:bCs/>
              </w:rPr>
              <w:t>Community and Heritage Assets</w:t>
            </w:r>
          </w:p>
        </w:tc>
        <w:tc>
          <w:tcPr>
            <w:tcW w:w="1843" w:type="dxa"/>
            <w:gridSpan w:val="2"/>
            <w:tcBorders>
              <w:bottom w:val="single" w:sz="2" w:space="0" w:color="auto"/>
            </w:tcBorders>
            <w:shd w:val="clear" w:color="auto" w:fill="auto"/>
            <w:vAlign w:val="bottom"/>
          </w:tcPr>
          <w:p w14:paraId="0F406EF9" w14:textId="54E401B1" w:rsidR="001551A2" w:rsidRPr="00301C2A" w:rsidRDefault="001551A2" w:rsidP="00301C2A">
            <w:pPr>
              <w:pStyle w:val="TableText"/>
              <w:jc w:val="right"/>
              <w:rPr>
                <w:rFonts w:cs="Calibri"/>
                <w:bCs/>
              </w:rPr>
            </w:pPr>
          </w:p>
        </w:tc>
        <w:tc>
          <w:tcPr>
            <w:tcW w:w="2126" w:type="dxa"/>
            <w:gridSpan w:val="3"/>
            <w:tcBorders>
              <w:bottom w:val="single" w:sz="2" w:space="0" w:color="auto"/>
            </w:tcBorders>
            <w:shd w:val="clear" w:color="auto" w:fill="auto"/>
            <w:vAlign w:val="bottom"/>
          </w:tcPr>
          <w:p w14:paraId="35EDF4EA" w14:textId="457FDA3C" w:rsidR="001551A2" w:rsidRPr="00C441BB" w:rsidRDefault="001551A2" w:rsidP="00301C2A">
            <w:pPr>
              <w:pStyle w:val="TableText"/>
              <w:jc w:val="right"/>
              <w:rPr>
                <w:rFonts w:cs="Calibri"/>
                <w:bCs/>
              </w:rPr>
            </w:pPr>
          </w:p>
        </w:tc>
      </w:tr>
      <w:tr w:rsidR="0009715B" w:rsidRPr="00CF7E1B" w14:paraId="462DE46F" w14:textId="77777777" w:rsidTr="0004564D">
        <w:tc>
          <w:tcPr>
            <w:tcW w:w="1560" w:type="dxa"/>
            <w:tcBorders>
              <w:left w:val="single" w:sz="2" w:space="0" w:color="auto"/>
              <w:right w:val="single" w:sz="2" w:space="0" w:color="auto"/>
            </w:tcBorders>
          </w:tcPr>
          <w:p w14:paraId="6ED7C187" w14:textId="77777777" w:rsidR="001551A2" w:rsidRPr="00877D2B" w:rsidRDefault="001551A2" w:rsidP="002C6F4A">
            <w:pPr>
              <w:rPr>
                <w:rFonts w:cs="Calibri"/>
                <w:sz w:val="16"/>
              </w:rPr>
            </w:pPr>
          </w:p>
        </w:tc>
        <w:tc>
          <w:tcPr>
            <w:tcW w:w="4961" w:type="dxa"/>
            <w:gridSpan w:val="2"/>
            <w:tcBorders>
              <w:left w:val="single" w:sz="2" w:space="0" w:color="auto"/>
            </w:tcBorders>
            <w:shd w:val="clear" w:color="auto" w:fill="auto"/>
            <w:vAlign w:val="bottom"/>
          </w:tcPr>
          <w:p w14:paraId="662845A9" w14:textId="77777777" w:rsidR="001551A2" w:rsidRPr="00301C2A" w:rsidRDefault="003C1381" w:rsidP="00301C2A">
            <w:pPr>
              <w:pStyle w:val="TableText"/>
              <w:tabs>
                <w:tab w:val="left" w:pos="3306"/>
              </w:tabs>
              <w:rPr>
                <w:rFonts w:cs="Calibri"/>
                <w:b/>
                <w:bCs/>
              </w:rPr>
            </w:pPr>
            <w:r w:rsidRPr="00301C2A">
              <w:rPr>
                <w:rFonts w:cs="Calibri"/>
                <w:b/>
                <w:szCs w:val="16"/>
              </w:rPr>
              <w:t>Total</w:t>
            </w:r>
            <w:r w:rsidR="001551A2" w:rsidRPr="00301C2A">
              <w:rPr>
                <w:rFonts w:cs="Calibri"/>
                <w:b/>
                <w:szCs w:val="16"/>
              </w:rPr>
              <w:t xml:space="preserve"> Assets</w:t>
            </w:r>
            <w:r w:rsidRPr="00301C2A">
              <w:rPr>
                <w:rFonts w:cs="Calibri"/>
                <w:b/>
                <w:szCs w:val="16"/>
              </w:rPr>
              <w:t xml:space="preserve"> Transferred</w:t>
            </w:r>
          </w:p>
        </w:tc>
        <w:tc>
          <w:tcPr>
            <w:tcW w:w="1843" w:type="dxa"/>
            <w:gridSpan w:val="2"/>
            <w:tcBorders>
              <w:top w:val="single" w:sz="2" w:space="0" w:color="auto"/>
            </w:tcBorders>
            <w:shd w:val="clear" w:color="auto" w:fill="auto"/>
            <w:vAlign w:val="bottom"/>
          </w:tcPr>
          <w:p w14:paraId="32055AB5" w14:textId="3DA794A9" w:rsidR="001551A2" w:rsidRPr="00301C2A" w:rsidRDefault="001551A2" w:rsidP="00301C2A">
            <w:pPr>
              <w:pStyle w:val="TableText"/>
              <w:jc w:val="right"/>
              <w:rPr>
                <w:rFonts w:cs="Calibri"/>
                <w:b/>
                <w:bCs/>
              </w:rPr>
            </w:pPr>
          </w:p>
        </w:tc>
        <w:tc>
          <w:tcPr>
            <w:tcW w:w="2126" w:type="dxa"/>
            <w:gridSpan w:val="3"/>
            <w:tcBorders>
              <w:top w:val="single" w:sz="2" w:space="0" w:color="auto"/>
            </w:tcBorders>
            <w:shd w:val="clear" w:color="auto" w:fill="auto"/>
            <w:vAlign w:val="bottom"/>
          </w:tcPr>
          <w:p w14:paraId="1275A454" w14:textId="5DE88E4A" w:rsidR="001551A2" w:rsidRPr="00C441BB" w:rsidRDefault="001551A2" w:rsidP="00301C2A">
            <w:pPr>
              <w:pStyle w:val="TableText"/>
              <w:jc w:val="right"/>
              <w:rPr>
                <w:rFonts w:cs="Calibri"/>
                <w:b/>
                <w:bCs/>
              </w:rPr>
            </w:pPr>
          </w:p>
        </w:tc>
      </w:tr>
      <w:tr w:rsidR="0009715B" w:rsidRPr="00CF7E1B" w14:paraId="28E016F3" w14:textId="77777777" w:rsidTr="0004564D">
        <w:trPr>
          <w:trHeight w:hRule="exact" w:val="225"/>
        </w:trPr>
        <w:tc>
          <w:tcPr>
            <w:tcW w:w="1560" w:type="dxa"/>
            <w:tcBorders>
              <w:left w:val="single" w:sz="2" w:space="0" w:color="auto"/>
              <w:right w:val="single" w:sz="2" w:space="0" w:color="auto"/>
            </w:tcBorders>
          </w:tcPr>
          <w:p w14:paraId="69A15FD2" w14:textId="77777777" w:rsidR="001551A2" w:rsidRPr="00877D2B" w:rsidRDefault="001551A2" w:rsidP="002C6F4A">
            <w:pPr>
              <w:rPr>
                <w:rFonts w:cs="Calibri"/>
                <w:sz w:val="16"/>
              </w:rPr>
            </w:pPr>
          </w:p>
        </w:tc>
        <w:tc>
          <w:tcPr>
            <w:tcW w:w="7437" w:type="dxa"/>
            <w:gridSpan w:val="6"/>
            <w:tcBorders>
              <w:left w:val="single" w:sz="2" w:space="0" w:color="auto"/>
            </w:tcBorders>
            <w:shd w:val="clear" w:color="auto" w:fill="auto"/>
            <w:vAlign w:val="bottom"/>
          </w:tcPr>
          <w:p w14:paraId="6EE5F1E6" w14:textId="77777777" w:rsidR="001551A2" w:rsidRPr="00C441BB" w:rsidRDefault="001551A2" w:rsidP="00301C2A">
            <w:pPr>
              <w:pStyle w:val="TableText"/>
              <w:tabs>
                <w:tab w:val="left" w:pos="3306"/>
              </w:tabs>
              <w:rPr>
                <w:rFonts w:cs="Calibri"/>
                <w:bCs/>
              </w:rPr>
            </w:pPr>
          </w:p>
        </w:tc>
        <w:tc>
          <w:tcPr>
            <w:tcW w:w="1493" w:type="dxa"/>
            <w:shd w:val="clear" w:color="auto" w:fill="auto"/>
            <w:vAlign w:val="bottom"/>
          </w:tcPr>
          <w:p w14:paraId="067DF301" w14:textId="77777777" w:rsidR="001551A2" w:rsidRPr="00C441BB" w:rsidRDefault="001551A2" w:rsidP="00301C2A">
            <w:pPr>
              <w:pStyle w:val="TableText"/>
              <w:tabs>
                <w:tab w:val="left" w:pos="3306"/>
              </w:tabs>
              <w:jc w:val="right"/>
              <w:rPr>
                <w:rFonts w:cs="Calibri"/>
                <w:b/>
                <w:bCs/>
              </w:rPr>
            </w:pPr>
          </w:p>
        </w:tc>
      </w:tr>
      <w:tr w:rsidR="0009715B" w:rsidRPr="00CF7E1B" w14:paraId="615FC065" w14:textId="77777777" w:rsidTr="0004564D">
        <w:trPr>
          <w:trHeight w:val="301"/>
        </w:trPr>
        <w:tc>
          <w:tcPr>
            <w:tcW w:w="1560" w:type="dxa"/>
            <w:tcBorders>
              <w:left w:val="single" w:sz="2" w:space="0" w:color="auto"/>
              <w:right w:val="single" w:sz="2" w:space="0" w:color="auto"/>
            </w:tcBorders>
          </w:tcPr>
          <w:p w14:paraId="37DD3AD9" w14:textId="77777777" w:rsidR="001551A2" w:rsidRPr="00877D2B" w:rsidRDefault="001551A2" w:rsidP="002C6F4A">
            <w:pPr>
              <w:rPr>
                <w:rFonts w:cs="Calibri"/>
                <w:sz w:val="16"/>
              </w:rPr>
            </w:pPr>
          </w:p>
        </w:tc>
        <w:tc>
          <w:tcPr>
            <w:tcW w:w="4961" w:type="dxa"/>
            <w:gridSpan w:val="2"/>
            <w:tcBorders>
              <w:left w:val="single" w:sz="2" w:space="0" w:color="auto"/>
            </w:tcBorders>
            <w:vAlign w:val="bottom"/>
          </w:tcPr>
          <w:p w14:paraId="3D27771E" w14:textId="77777777" w:rsidR="001551A2" w:rsidRPr="00301C2A" w:rsidRDefault="001551A2" w:rsidP="00301C2A">
            <w:pPr>
              <w:pStyle w:val="TableText"/>
              <w:tabs>
                <w:tab w:val="left" w:pos="3306"/>
              </w:tabs>
              <w:rPr>
                <w:rFonts w:cs="Calibri"/>
                <w:bCs/>
              </w:rPr>
            </w:pPr>
            <w:r w:rsidRPr="00301C2A">
              <w:rPr>
                <w:rFonts w:cs="Calibri"/>
                <w:b/>
                <w:szCs w:val="16"/>
              </w:rPr>
              <w:t>Liabilities</w:t>
            </w:r>
          </w:p>
        </w:tc>
        <w:tc>
          <w:tcPr>
            <w:tcW w:w="1843" w:type="dxa"/>
            <w:gridSpan w:val="2"/>
            <w:shd w:val="clear" w:color="auto" w:fill="auto"/>
            <w:vAlign w:val="bottom"/>
          </w:tcPr>
          <w:p w14:paraId="2E117D09" w14:textId="77777777" w:rsidR="001551A2" w:rsidRPr="00301C2A" w:rsidRDefault="001551A2" w:rsidP="00301C2A">
            <w:pPr>
              <w:pStyle w:val="TableText"/>
              <w:ind w:left="-51" w:firstLine="51"/>
              <w:jc w:val="right"/>
              <w:rPr>
                <w:rFonts w:cs="Calibri"/>
                <w:b/>
                <w:bCs/>
              </w:rPr>
            </w:pPr>
          </w:p>
        </w:tc>
        <w:tc>
          <w:tcPr>
            <w:tcW w:w="2126" w:type="dxa"/>
            <w:gridSpan w:val="3"/>
            <w:shd w:val="clear" w:color="auto" w:fill="auto"/>
            <w:vAlign w:val="bottom"/>
          </w:tcPr>
          <w:p w14:paraId="6FF69284" w14:textId="77777777" w:rsidR="001551A2" w:rsidRPr="00C441BB" w:rsidRDefault="001551A2" w:rsidP="00301C2A">
            <w:pPr>
              <w:pStyle w:val="TableText"/>
              <w:ind w:left="-51" w:firstLine="51"/>
              <w:jc w:val="right"/>
              <w:rPr>
                <w:rFonts w:cs="Calibri"/>
                <w:b/>
                <w:bCs/>
              </w:rPr>
            </w:pPr>
          </w:p>
        </w:tc>
      </w:tr>
      <w:tr w:rsidR="0009715B" w:rsidRPr="00CF7E1B" w14:paraId="672CA1F2" w14:textId="77777777" w:rsidTr="0004564D">
        <w:trPr>
          <w:trHeight w:val="270"/>
        </w:trPr>
        <w:tc>
          <w:tcPr>
            <w:tcW w:w="1560" w:type="dxa"/>
            <w:tcBorders>
              <w:left w:val="single" w:sz="2" w:space="0" w:color="auto"/>
              <w:right w:val="single" w:sz="2" w:space="0" w:color="auto"/>
            </w:tcBorders>
          </w:tcPr>
          <w:p w14:paraId="3164D901" w14:textId="77777777" w:rsidR="001551A2" w:rsidRPr="00877D2B" w:rsidRDefault="001551A2" w:rsidP="002C6F4A">
            <w:pPr>
              <w:rPr>
                <w:rFonts w:cs="Calibri"/>
                <w:sz w:val="16"/>
              </w:rPr>
            </w:pPr>
          </w:p>
        </w:tc>
        <w:tc>
          <w:tcPr>
            <w:tcW w:w="4961" w:type="dxa"/>
            <w:gridSpan w:val="2"/>
            <w:tcBorders>
              <w:left w:val="single" w:sz="2" w:space="0" w:color="auto"/>
            </w:tcBorders>
            <w:vAlign w:val="bottom"/>
          </w:tcPr>
          <w:p w14:paraId="04E5CDF0" w14:textId="77777777" w:rsidR="001551A2" w:rsidRPr="00301C2A" w:rsidRDefault="001551A2" w:rsidP="00301C2A">
            <w:pPr>
              <w:pStyle w:val="TableText"/>
              <w:tabs>
                <w:tab w:val="left" w:pos="3306"/>
              </w:tabs>
              <w:rPr>
                <w:rFonts w:cs="Calibri"/>
                <w:b/>
                <w:bCs/>
              </w:rPr>
            </w:pPr>
            <w:r w:rsidRPr="00301C2A">
              <w:rPr>
                <w:rFonts w:cs="Calibri"/>
                <w:szCs w:val="16"/>
              </w:rPr>
              <w:t>Payables</w:t>
            </w:r>
          </w:p>
        </w:tc>
        <w:tc>
          <w:tcPr>
            <w:tcW w:w="1843" w:type="dxa"/>
            <w:gridSpan w:val="2"/>
            <w:shd w:val="clear" w:color="auto" w:fill="auto"/>
            <w:vAlign w:val="bottom"/>
          </w:tcPr>
          <w:p w14:paraId="7F1A2A1B" w14:textId="2D03D8CB" w:rsidR="001551A2" w:rsidRPr="00301C2A" w:rsidRDefault="001551A2" w:rsidP="00301C2A">
            <w:pPr>
              <w:pStyle w:val="TableText"/>
              <w:ind w:left="-51" w:firstLine="51"/>
              <w:jc w:val="right"/>
              <w:rPr>
                <w:rFonts w:cs="Calibri"/>
                <w:bCs/>
              </w:rPr>
            </w:pPr>
          </w:p>
        </w:tc>
        <w:tc>
          <w:tcPr>
            <w:tcW w:w="2126" w:type="dxa"/>
            <w:gridSpan w:val="3"/>
            <w:shd w:val="clear" w:color="auto" w:fill="auto"/>
            <w:vAlign w:val="bottom"/>
          </w:tcPr>
          <w:p w14:paraId="29CE374F" w14:textId="60FEE0D3" w:rsidR="001551A2" w:rsidRPr="00C441BB" w:rsidRDefault="001551A2" w:rsidP="00301C2A">
            <w:pPr>
              <w:pStyle w:val="TableText"/>
              <w:ind w:left="-51" w:firstLine="51"/>
              <w:jc w:val="right"/>
              <w:rPr>
                <w:rFonts w:cs="Calibri"/>
                <w:bCs/>
              </w:rPr>
            </w:pPr>
          </w:p>
        </w:tc>
      </w:tr>
      <w:tr w:rsidR="0009715B" w:rsidRPr="00CF7E1B" w14:paraId="1E5AA7D1" w14:textId="77777777" w:rsidTr="0004564D">
        <w:trPr>
          <w:trHeight w:val="270"/>
        </w:trPr>
        <w:tc>
          <w:tcPr>
            <w:tcW w:w="1560" w:type="dxa"/>
            <w:tcBorders>
              <w:left w:val="single" w:sz="2" w:space="0" w:color="auto"/>
              <w:right w:val="single" w:sz="2" w:space="0" w:color="auto"/>
            </w:tcBorders>
          </w:tcPr>
          <w:p w14:paraId="364DAF5C" w14:textId="77777777" w:rsidR="001551A2" w:rsidRPr="00877D2B" w:rsidRDefault="001551A2" w:rsidP="002C6F4A">
            <w:pPr>
              <w:rPr>
                <w:rFonts w:cs="Calibri"/>
                <w:sz w:val="16"/>
              </w:rPr>
            </w:pPr>
          </w:p>
        </w:tc>
        <w:tc>
          <w:tcPr>
            <w:tcW w:w="4961" w:type="dxa"/>
            <w:gridSpan w:val="2"/>
            <w:tcBorders>
              <w:left w:val="single" w:sz="2" w:space="0" w:color="auto"/>
            </w:tcBorders>
            <w:vAlign w:val="bottom"/>
          </w:tcPr>
          <w:p w14:paraId="5D4D2C38" w14:textId="77777777" w:rsidR="001551A2" w:rsidRPr="00301C2A" w:rsidRDefault="001551A2" w:rsidP="00301C2A">
            <w:pPr>
              <w:pStyle w:val="TableText"/>
              <w:tabs>
                <w:tab w:val="left" w:pos="3306"/>
              </w:tabs>
              <w:rPr>
                <w:rFonts w:cs="Calibri"/>
                <w:b/>
                <w:bCs/>
              </w:rPr>
            </w:pPr>
            <w:r w:rsidRPr="00301C2A">
              <w:rPr>
                <w:rFonts w:cs="Calibri"/>
                <w:szCs w:val="16"/>
              </w:rPr>
              <w:t>Employee Benefits</w:t>
            </w:r>
          </w:p>
        </w:tc>
        <w:tc>
          <w:tcPr>
            <w:tcW w:w="1843" w:type="dxa"/>
            <w:gridSpan w:val="2"/>
            <w:tcBorders>
              <w:bottom w:val="single" w:sz="2" w:space="0" w:color="auto"/>
            </w:tcBorders>
            <w:shd w:val="clear" w:color="auto" w:fill="auto"/>
            <w:vAlign w:val="bottom"/>
          </w:tcPr>
          <w:p w14:paraId="74A64B57" w14:textId="39CA355E" w:rsidR="001551A2" w:rsidRPr="00301C2A" w:rsidRDefault="001551A2" w:rsidP="00301C2A">
            <w:pPr>
              <w:pStyle w:val="TableText"/>
              <w:ind w:left="-51" w:firstLine="51"/>
              <w:jc w:val="right"/>
              <w:rPr>
                <w:rFonts w:cs="Calibri"/>
                <w:bCs/>
              </w:rPr>
            </w:pPr>
          </w:p>
        </w:tc>
        <w:tc>
          <w:tcPr>
            <w:tcW w:w="2126" w:type="dxa"/>
            <w:gridSpan w:val="3"/>
            <w:tcBorders>
              <w:bottom w:val="single" w:sz="2" w:space="0" w:color="auto"/>
            </w:tcBorders>
            <w:shd w:val="clear" w:color="auto" w:fill="auto"/>
            <w:vAlign w:val="bottom"/>
          </w:tcPr>
          <w:p w14:paraId="2AA53122" w14:textId="07A0AAEF" w:rsidR="001551A2" w:rsidRPr="00C441BB" w:rsidRDefault="001551A2" w:rsidP="00301C2A">
            <w:pPr>
              <w:pStyle w:val="TableText"/>
              <w:ind w:left="-51" w:firstLine="51"/>
              <w:jc w:val="right"/>
              <w:rPr>
                <w:rFonts w:cs="Calibri"/>
                <w:bCs/>
              </w:rPr>
            </w:pPr>
          </w:p>
        </w:tc>
      </w:tr>
      <w:tr w:rsidR="0009715B" w:rsidRPr="00CF7E1B" w14:paraId="4373668F" w14:textId="77777777" w:rsidTr="0004564D">
        <w:trPr>
          <w:trHeight w:val="270"/>
        </w:trPr>
        <w:tc>
          <w:tcPr>
            <w:tcW w:w="1560" w:type="dxa"/>
            <w:tcBorders>
              <w:left w:val="single" w:sz="2" w:space="0" w:color="auto"/>
              <w:right w:val="single" w:sz="2" w:space="0" w:color="auto"/>
            </w:tcBorders>
          </w:tcPr>
          <w:p w14:paraId="16E4B4D3" w14:textId="77777777" w:rsidR="001551A2" w:rsidRPr="00877D2B" w:rsidRDefault="001551A2" w:rsidP="002C6F4A">
            <w:pPr>
              <w:rPr>
                <w:rFonts w:cs="Calibri"/>
                <w:sz w:val="16"/>
              </w:rPr>
            </w:pPr>
          </w:p>
        </w:tc>
        <w:tc>
          <w:tcPr>
            <w:tcW w:w="4961" w:type="dxa"/>
            <w:gridSpan w:val="2"/>
            <w:tcBorders>
              <w:left w:val="single" w:sz="2" w:space="0" w:color="auto"/>
            </w:tcBorders>
            <w:vAlign w:val="bottom"/>
          </w:tcPr>
          <w:p w14:paraId="5EF9C975" w14:textId="77777777" w:rsidR="001551A2" w:rsidRPr="00301C2A" w:rsidRDefault="003C1381" w:rsidP="00301C2A">
            <w:pPr>
              <w:pStyle w:val="TableText"/>
              <w:tabs>
                <w:tab w:val="left" w:pos="3306"/>
              </w:tabs>
              <w:rPr>
                <w:rFonts w:cs="Calibri"/>
                <w:b/>
                <w:bCs/>
              </w:rPr>
            </w:pPr>
            <w:r w:rsidRPr="00301C2A">
              <w:rPr>
                <w:rFonts w:cs="Calibri"/>
                <w:b/>
                <w:bCs/>
              </w:rPr>
              <w:t>Total</w:t>
            </w:r>
            <w:r w:rsidR="001551A2" w:rsidRPr="00301C2A">
              <w:rPr>
                <w:rFonts w:cs="Calibri"/>
                <w:b/>
                <w:bCs/>
              </w:rPr>
              <w:t xml:space="preserve"> Liabilities </w:t>
            </w:r>
            <w:r w:rsidRPr="00301C2A">
              <w:rPr>
                <w:rFonts w:cs="Calibri"/>
                <w:b/>
                <w:bCs/>
              </w:rPr>
              <w:t>Transferred</w:t>
            </w:r>
          </w:p>
        </w:tc>
        <w:tc>
          <w:tcPr>
            <w:tcW w:w="1843" w:type="dxa"/>
            <w:gridSpan w:val="2"/>
            <w:tcBorders>
              <w:top w:val="single" w:sz="2" w:space="0" w:color="auto"/>
              <w:bottom w:val="single" w:sz="2" w:space="0" w:color="auto"/>
            </w:tcBorders>
            <w:shd w:val="clear" w:color="auto" w:fill="auto"/>
            <w:vAlign w:val="bottom"/>
          </w:tcPr>
          <w:p w14:paraId="2FB2804C" w14:textId="25D61D0B" w:rsidR="001551A2" w:rsidRPr="00301C2A" w:rsidRDefault="001551A2" w:rsidP="00301C2A">
            <w:pPr>
              <w:pStyle w:val="TableText"/>
              <w:jc w:val="right"/>
              <w:rPr>
                <w:rFonts w:cs="Calibri"/>
                <w:b/>
                <w:bCs/>
                <w:spacing w:val="-3"/>
              </w:rPr>
            </w:pPr>
          </w:p>
        </w:tc>
        <w:tc>
          <w:tcPr>
            <w:tcW w:w="2126" w:type="dxa"/>
            <w:gridSpan w:val="3"/>
            <w:tcBorders>
              <w:top w:val="single" w:sz="2" w:space="0" w:color="auto"/>
              <w:bottom w:val="single" w:sz="2" w:space="0" w:color="auto"/>
            </w:tcBorders>
            <w:shd w:val="clear" w:color="auto" w:fill="auto"/>
            <w:vAlign w:val="bottom"/>
          </w:tcPr>
          <w:p w14:paraId="6DF0A193" w14:textId="1D6E26E0" w:rsidR="001551A2" w:rsidRPr="00C441BB" w:rsidRDefault="001551A2" w:rsidP="00301C2A">
            <w:pPr>
              <w:pStyle w:val="FootnoteText"/>
              <w:tabs>
                <w:tab w:val="left" w:pos="3306"/>
              </w:tabs>
              <w:ind w:left="-51" w:firstLine="51"/>
              <w:jc w:val="right"/>
              <w:rPr>
                <w:rFonts w:cs="Calibri"/>
                <w:b/>
                <w:bCs/>
                <w:color w:val="auto"/>
                <w:sz w:val="18"/>
                <w:szCs w:val="18"/>
              </w:rPr>
            </w:pPr>
          </w:p>
        </w:tc>
      </w:tr>
      <w:tr w:rsidR="0009715B" w:rsidRPr="00164947" w14:paraId="1734FCE7" w14:textId="77777777" w:rsidTr="0004564D">
        <w:trPr>
          <w:trHeight w:val="270"/>
        </w:trPr>
        <w:tc>
          <w:tcPr>
            <w:tcW w:w="1560" w:type="dxa"/>
            <w:tcBorders>
              <w:left w:val="single" w:sz="2" w:space="0" w:color="auto"/>
              <w:right w:val="single" w:sz="2" w:space="0" w:color="auto"/>
            </w:tcBorders>
            <w:vAlign w:val="center"/>
          </w:tcPr>
          <w:p w14:paraId="4BAB7342" w14:textId="77777777" w:rsidR="00C64B1A" w:rsidRPr="00877D2B" w:rsidRDefault="00C64B1A" w:rsidP="00301C2A">
            <w:pPr>
              <w:jc w:val="right"/>
              <w:rPr>
                <w:rFonts w:cs="Calibri"/>
                <w:sz w:val="16"/>
              </w:rPr>
            </w:pPr>
          </w:p>
        </w:tc>
        <w:tc>
          <w:tcPr>
            <w:tcW w:w="4961" w:type="dxa"/>
            <w:gridSpan w:val="2"/>
            <w:tcBorders>
              <w:left w:val="single" w:sz="2" w:space="0" w:color="auto"/>
            </w:tcBorders>
            <w:vAlign w:val="center"/>
          </w:tcPr>
          <w:p w14:paraId="0B718545" w14:textId="77777777" w:rsidR="00C64B1A" w:rsidRPr="00164947" w:rsidRDefault="003C1381" w:rsidP="00301C2A">
            <w:pPr>
              <w:pStyle w:val="FootnoteText"/>
              <w:tabs>
                <w:tab w:val="left" w:pos="3306"/>
              </w:tabs>
              <w:rPr>
                <w:rFonts w:cs="Calibri"/>
                <w:b/>
                <w:bCs/>
                <w:color w:val="auto"/>
                <w:sz w:val="18"/>
                <w:szCs w:val="18"/>
              </w:rPr>
            </w:pPr>
            <w:r w:rsidRPr="00164947">
              <w:rPr>
                <w:rFonts w:cs="Calibri"/>
                <w:b/>
                <w:bCs/>
                <w:color w:val="auto"/>
                <w:sz w:val="18"/>
                <w:szCs w:val="18"/>
              </w:rPr>
              <w:t>Total</w:t>
            </w:r>
            <w:r w:rsidR="00C64B1A" w:rsidRPr="00164947">
              <w:rPr>
                <w:rFonts w:cs="Calibri"/>
                <w:b/>
                <w:bCs/>
                <w:color w:val="auto"/>
                <w:sz w:val="18"/>
                <w:szCs w:val="18"/>
              </w:rPr>
              <w:t xml:space="preserve"> Net Assets </w:t>
            </w:r>
            <w:r w:rsidRPr="00164947">
              <w:rPr>
                <w:rFonts w:cs="Calibri"/>
                <w:b/>
                <w:bCs/>
                <w:color w:val="auto"/>
                <w:sz w:val="18"/>
                <w:szCs w:val="18"/>
              </w:rPr>
              <w:t>Transferred</w:t>
            </w:r>
          </w:p>
        </w:tc>
        <w:tc>
          <w:tcPr>
            <w:tcW w:w="1843" w:type="dxa"/>
            <w:gridSpan w:val="2"/>
            <w:tcBorders>
              <w:top w:val="single" w:sz="2" w:space="0" w:color="auto"/>
              <w:bottom w:val="double" w:sz="4" w:space="0" w:color="auto"/>
            </w:tcBorders>
            <w:shd w:val="clear" w:color="auto" w:fill="auto"/>
            <w:vAlign w:val="center"/>
          </w:tcPr>
          <w:p w14:paraId="1D1256D3" w14:textId="7EE28D2A" w:rsidR="00C64B1A" w:rsidRPr="00164947" w:rsidRDefault="00C64B1A" w:rsidP="00301C2A">
            <w:pPr>
              <w:pStyle w:val="FootnoteText"/>
              <w:tabs>
                <w:tab w:val="left" w:pos="3306"/>
              </w:tabs>
              <w:ind w:left="-51" w:firstLine="51"/>
              <w:jc w:val="right"/>
              <w:rPr>
                <w:rFonts w:cs="Calibri"/>
                <w:b/>
                <w:bCs/>
                <w:color w:val="auto"/>
                <w:sz w:val="18"/>
                <w:szCs w:val="18"/>
              </w:rPr>
            </w:pPr>
          </w:p>
        </w:tc>
        <w:tc>
          <w:tcPr>
            <w:tcW w:w="2126" w:type="dxa"/>
            <w:gridSpan w:val="3"/>
            <w:tcBorders>
              <w:top w:val="single" w:sz="2" w:space="0" w:color="auto"/>
              <w:bottom w:val="double" w:sz="4" w:space="0" w:color="auto"/>
            </w:tcBorders>
            <w:shd w:val="clear" w:color="auto" w:fill="auto"/>
            <w:vAlign w:val="center"/>
          </w:tcPr>
          <w:p w14:paraId="63999D50" w14:textId="2224F548" w:rsidR="00C64B1A" w:rsidRPr="00C441BB" w:rsidRDefault="00C64B1A" w:rsidP="00301C2A">
            <w:pPr>
              <w:pStyle w:val="FootnoteText"/>
              <w:tabs>
                <w:tab w:val="left" w:pos="3306"/>
              </w:tabs>
              <w:ind w:left="-51" w:firstLine="51"/>
              <w:jc w:val="right"/>
              <w:rPr>
                <w:rFonts w:cs="Calibri"/>
                <w:b/>
                <w:bCs/>
                <w:color w:val="auto"/>
                <w:sz w:val="18"/>
                <w:szCs w:val="18"/>
              </w:rPr>
            </w:pPr>
          </w:p>
        </w:tc>
      </w:tr>
      <w:tr w:rsidR="00FF61FB" w:rsidRPr="00164947" w14:paraId="30257C2D" w14:textId="77777777" w:rsidTr="0004564D">
        <w:trPr>
          <w:trHeight w:val="270"/>
        </w:trPr>
        <w:tc>
          <w:tcPr>
            <w:tcW w:w="1560" w:type="dxa"/>
            <w:tcBorders>
              <w:left w:val="single" w:sz="2" w:space="0" w:color="auto"/>
              <w:right w:val="single" w:sz="2" w:space="0" w:color="auto"/>
            </w:tcBorders>
            <w:vAlign w:val="center"/>
          </w:tcPr>
          <w:p w14:paraId="39C4020F" w14:textId="77777777" w:rsidR="00FF61FB" w:rsidRPr="00877D2B" w:rsidRDefault="00FF61FB" w:rsidP="00301C2A">
            <w:pPr>
              <w:jc w:val="right"/>
              <w:rPr>
                <w:rFonts w:cs="Calibri"/>
                <w:sz w:val="16"/>
              </w:rPr>
            </w:pPr>
          </w:p>
        </w:tc>
        <w:tc>
          <w:tcPr>
            <w:tcW w:w="4961" w:type="dxa"/>
            <w:gridSpan w:val="2"/>
            <w:tcBorders>
              <w:left w:val="single" w:sz="2" w:space="0" w:color="auto"/>
            </w:tcBorders>
            <w:vAlign w:val="center"/>
          </w:tcPr>
          <w:p w14:paraId="2F8FBBB0" w14:textId="77777777" w:rsidR="00FF61FB" w:rsidRPr="00164947" w:rsidRDefault="00FF61FB" w:rsidP="00301C2A">
            <w:pPr>
              <w:pStyle w:val="FootnoteText"/>
              <w:tabs>
                <w:tab w:val="left" w:pos="3306"/>
              </w:tabs>
              <w:rPr>
                <w:rFonts w:cs="Calibri"/>
                <w:b/>
                <w:bCs/>
                <w:color w:val="auto"/>
                <w:sz w:val="18"/>
                <w:szCs w:val="18"/>
              </w:rPr>
            </w:pPr>
          </w:p>
        </w:tc>
        <w:tc>
          <w:tcPr>
            <w:tcW w:w="1843" w:type="dxa"/>
            <w:gridSpan w:val="2"/>
            <w:tcBorders>
              <w:top w:val="double" w:sz="4" w:space="0" w:color="auto"/>
            </w:tcBorders>
            <w:shd w:val="clear" w:color="auto" w:fill="auto"/>
            <w:vAlign w:val="center"/>
          </w:tcPr>
          <w:p w14:paraId="3820184B" w14:textId="77777777" w:rsidR="00FF61FB" w:rsidRPr="00164947" w:rsidRDefault="00FF61FB" w:rsidP="00301C2A">
            <w:pPr>
              <w:pStyle w:val="FootnoteText"/>
              <w:tabs>
                <w:tab w:val="left" w:pos="3306"/>
              </w:tabs>
              <w:ind w:left="-51" w:firstLine="51"/>
              <w:jc w:val="right"/>
              <w:rPr>
                <w:rFonts w:cs="Calibri"/>
                <w:b/>
                <w:bCs/>
                <w:color w:val="auto"/>
                <w:sz w:val="18"/>
                <w:szCs w:val="18"/>
              </w:rPr>
            </w:pPr>
          </w:p>
        </w:tc>
        <w:tc>
          <w:tcPr>
            <w:tcW w:w="2126" w:type="dxa"/>
            <w:gridSpan w:val="3"/>
            <w:tcBorders>
              <w:top w:val="double" w:sz="4" w:space="0" w:color="auto"/>
            </w:tcBorders>
            <w:shd w:val="clear" w:color="auto" w:fill="auto"/>
            <w:vAlign w:val="center"/>
          </w:tcPr>
          <w:p w14:paraId="4250C86B" w14:textId="77777777" w:rsidR="00FF61FB" w:rsidRPr="00164947" w:rsidRDefault="00FF61FB" w:rsidP="00301C2A">
            <w:pPr>
              <w:pStyle w:val="FootnoteText"/>
              <w:tabs>
                <w:tab w:val="left" w:pos="3306"/>
              </w:tabs>
              <w:ind w:left="-51" w:firstLine="51"/>
              <w:jc w:val="right"/>
              <w:rPr>
                <w:rFonts w:cs="Calibri"/>
                <w:b/>
                <w:bCs/>
                <w:color w:val="auto"/>
                <w:sz w:val="18"/>
                <w:szCs w:val="18"/>
              </w:rPr>
            </w:pPr>
          </w:p>
        </w:tc>
      </w:tr>
    </w:tbl>
    <w:p w14:paraId="66D6E08A" w14:textId="77777777" w:rsidR="009602E4" w:rsidRDefault="009602E4">
      <w:pPr>
        <w:rPr>
          <w:rFonts w:cs="Calibri"/>
        </w:rPr>
      </w:pPr>
      <w:r w:rsidRPr="00CF7E1B">
        <w:rPr>
          <w:rFonts w:cs="Calibri"/>
        </w:rPr>
        <w:br w:type="page"/>
      </w:r>
    </w:p>
    <w:tbl>
      <w:tblPr>
        <w:tblW w:w="10490" w:type="dxa"/>
        <w:tblInd w:w="-3" w:type="dxa"/>
        <w:tblLook w:val="00A0" w:firstRow="1" w:lastRow="0" w:firstColumn="1" w:lastColumn="0" w:noHBand="0" w:noVBand="0"/>
      </w:tblPr>
      <w:tblGrid>
        <w:gridCol w:w="1560"/>
        <w:gridCol w:w="8930"/>
      </w:tblGrid>
      <w:tr w:rsidR="001551A2" w:rsidRPr="00CF7E1B" w14:paraId="765606CD" w14:textId="77777777" w:rsidTr="0004564D">
        <w:trPr>
          <w:trHeight w:val="476"/>
        </w:trPr>
        <w:tc>
          <w:tcPr>
            <w:tcW w:w="1560" w:type="dxa"/>
            <w:tcBorders>
              <w:left w:val="single" w:sz="2" w:space="0" w:color="auto"/>
              <w:right w:val="single" w:sz="2" w:space="0" w:color="auto"/>
            </w:tcBorders>
          </w:tcPr>
          <w:p w14:paraId="74E45194" w14:textId="77777777" w:rsidR="001551A2" w:rsidRPr="00C441BB" w:rsidRDefault="00877D2B" w:rsidP="00BB2E31">
            <w:pPr>
              <w:spacing w:after="240"/>
              <w:rPr>
                <w:rFonts w:cs="Calibri"/>
                <w:color w:val="7030A0"/>
                <w:szCs w:val="22"/>
              </w:rPr>
            </w:pPr>
            <w:r w:rsidRPr="00C441BB">
              <w:rPr>
                <w:rFonts w:cs="Calibri"/>
                <w:b/>
                <w:color w:val="7030A0"/>
                <w:szCs w:val="22"/>
              </w:rPr>
              <w:t>Reference</w:t>
            </w:r>
          </w:p>
        </w:tc>
        <w:tc>
          <w:tcPr>
            <w:tcW w:w="8930" w:type="dxa"/>
            <w:tcBorders>
              <w:left w:val="single" w:sz="2" w:space="0" w:color="auto"/>
            </w:tcBorders>
            <w:shd w:val="clear" w:color="auto" w:fill="7030A0"/>
          </w:tcPr>
          <w:p w14:paraId="761A9F16" w14:textId="426B073A" w:rsidR="001551A2" w:rsidRPr="00C441BB" w:rsidRDefault="001551A2" w:rsidP="00BB2E31">
            <w:pPr>
              <w:pStyle w:val="CommentaryHeading"/>
              <w:spacing w:before="0" w:after="240"/>
              <w:rPr>
                <w:rFonts w:cs="Calibri"/>
                <w:color w:val="FFFFFF" w:themeColor="background1"/>
                <w:sz w:val="28"/>
                <w:szCs w:val="28"/>
              </w:rPr>
            </w:pPr>
            <w:r w:rsidRPr="00C441BB">
              <w:rPr>
                <w:rFonts w:cs="Calibri"/>
                <w:color w:val="FFFFFF" w:themeColor="background1"/>
                <w:sz w:val="28"/>
                <w:szCs w:val="28"/>
              </w:rPr>
              <w:t xml:space="preserve">Commentary – Note </w:t>
            </w:r>
            <w:r w:rsidR="003334D4" w:rsidRPr="00C441BB">
              <w:rPr>
                <w:rFonts w:cs="Calibri"/>
                <w:color w:val="FFFFFF" w:themeColor="background1"/>
                <w:sz w:val="28"/>
                <w:szCs w:val="28"/>
              </w:rPr>
              <w:t>30</w:t>
            </w:r>
            <w:r w:rsidRPr="00C441BB">
              <w:rPr>
                <w:rFonts w:cs="Calibri"/>
                <w:color w:val="FFFFFF" w:themeColor="background1"/>
                <w:sz w:val="28"/>
                <w:szCs w:val="28"/>
              </w:rPr>
              <w:t>: Restructure of Administrative Arrangements</w:t>
            </w:r>
            <w:r w:rsidR="00234822" w:rsidRPr="00C441BB">
              <w:rPr>
                <w:rFonts w:cs="Calibri"/>
                <w:color w:val="FFFFFF" w:themeColor="background1"/>
                <w:sz w:val="28"/>
                <w:szCs w:val="28"/>
              </w:rPr>
              <w:t xml:space="preserve"> [</w:t>
            </w:r>
            <w:r w:rsidR="004E43B2" w:rsidRPr="00C441BB">
              <w:rPr>
                <w:rFonts w:cs="Calibri"/>
                <w:color w:val="FFFFFF" w:themeColor="background1"/>
                <w:sz w:val="28"/>
                <w:szCs w:val="28"/>
              </w:rPr>
              <w:t>Directorate</w:t>
            </w:r>
            <w:r w:rsidR="00234822" w:rsidRPr="00C441BB">
              <w:rPr>
                <w:rFonts w:cs="Calibri"/>
                <w:color w:val="FFFFFF" w:themeColor="background1"/>
                <w:sz w:val="28"/>
                <w:szCs w:val="28"/>
              </w:rPr>
              <w:t>s Only]</w:t>
            </w:r>
          </w:p>
        </w:tc>
      </w:tr>
      <w:tr w:rsidR="001551A2" w:rsidRPr="00CF7E1B" w14:paraId="59802D1A" w14:textId="77777777" w:rsidTr="0004564D">
        <w:trPr>
          <w:trHeight w:val="1168"/>
        </w:trPr>
        <w:tc>
          <w:tcPr>
            <w:tcW w:w="1560" w:type="dxa"/>
            <w:tcBorders>
              <w:left w:val="single" w:sz="2" w:space="0" w:color="auto"/>
              <w:right w:val="single" w:sz="2" w:space="0" w:color="auto"/>
            </w:tcBorders>
          </w:tcPr>
          <w:p w14:paraId="17285549" w14:textId="77777777" w:rsidR="001551A2" w:rsidRPr="00C441BB" w:rsidRDefault="001551A2" w:rsidP="00301C2A">
            <w:pPr>
              <w:pStyle w:val="TableReference"/>
              <w:tabs>
                <w:tab w:val="left" w:pos="3306"/>
              </w:tabs>
              <w:spacing w:before="60"/>
              <w:rPr>
                <w:rFonts w:cs="Calibri"/>
                <w:color w:val="7030A0"/>
                <w:sz w:val="14"/>
              </w:rPr>
            </w:pPr>
            <w:r w:rsidRPr="00C441BB">
              <w:rPr>
                <w:rFonts w:cs="Calibri"/>
                <w:color w:val="7030A0"/>
                <w:sz w:val="14"/>
              </w:rPr>
              <w:t>AASB 1004</w:t>
            </w:r>
            <w:r w:rsidR="00D65811" w:rsidRPr="00C441BB">
              <w:rPr>
                <w:rFonts w:cs="Calibri"/>
                <w:color w:val="7030A0"/>
                <w:sz w:val="14"/>
              </w:rPr>
              <w:t>.</w:t>
            </w:r>
            <w:r w:rsidRPr="00C441BB">
              <w:rPr>
                <w:rFonts w:cs="Calibri"/>
                <w:color w:val="7030A0"/>
                <w:sz w:val="14"/>
              </w:rPr>
              <w:t>BC29</w:t>
            </w:r>
          </w:p>
        </w:tc>
        <w:tc>
          <w:tcPr>
            <w:tcW w:w="8930" w:type="dxa"/>
            <w:tcBorders>
              <w:left w:val="single" w:sz="2" w:space="0" w:color="auto"/>
            </w:tcBorders>
            <w:shd w:val="clear" w:color="auto" w:fill="7030A0"/>
          </w:tcPr>
          <w:p w14:paraId="015CA059" w14:textId="5502C25E" w:rsidR="001551A2" w:rsidRPr="00C441BB" w:rsidRDefault="001551A2" w:rsidP="00AC7522">
            <w:pPr>
              <w:autoSpaceDE w:val="0"/>
              <w:autoSpaceDN w:val="0"/>
              <w:adjustRightInd w:val="0"/>
              <w:spacing w:after="120"/>
              <w:jc w:val="both"/>
              <w:rPr>
                <w:rFonts w:cs="Calibri"/>
                <w:color w:val="FFFFFF" w:themeColor="background1"/>
                <w:sz w:val="18"/>
                <w:szCs w:val="18"/>
              </w:rPr>
            </w:pPr>
            <w:r w:rsidRPr="00C441BB">
              <w:rPr>
                <w:rFonts w:cs="Calibri"/>
                <w:color w:val="FFFFFF" w:themeColor="background1"/>
                <w:sz w:val="18"/>
                <w:szCs w:val="18"/>
              </w:rPr>
              <w:t xml:space="preserve">The basis of conclusion in AASB 1004 </w:t>
            </w:r>
            <w:r w:rsidR="00AC3EE6" w:rsidRPr="00C441BB">
              <w:rPr>
                <w:rFonts w:cs="Calibri"/>
                <w:i/>
                <w:color w:val="FFFFFF" w:themeColor="background1"/>
                <w:sz w:val="18"/>
                <w:szCs w:val="18"/>
              </w:rPr>
              <w:t xml:space="preserve">Contributions </w:t>
            </w:r>
            <w:r w:rsidRPr="00C441BB">
              <w:rPr>
                <w:rFonts w:cs="Calibri"/>
                <w:color w:val="FFFFFF" w:themeColor="background1"/>
                <w:sz w:val="18"/>
                <w:szCs w:val="18"/>
              </w:rPr>
              <w:t xml:space="preserve">states that the scope of the requirements relating to restructures of </w:t>
            </w:r>
            <w:r w:rsidR="003E4C5B" w:rsidRPr="00C441BB">
              <w:rPr>
                <w:rFonts w:cs="Calibri"/>
                <w:color w:val="FFFFFF" w:themeColor="background1"/>
                <w:sz w:val="18"/>
                <w:szCs w:val="18"/>
              </w:rPr>
              <w:t>A</w:t>
            </w:r>
            <w:r w:rsidRPr="00C441BB">
              <w:rPr>
                <w:rFonts w:cs="Calibri"/>
                <w:color w:val="FFFFFF" w:themeColor="background1"/>
                <w:sz w:val="18"/>
                <w:szCs w:val="18"/>
              </w:rPr>
              <w:t xml:space="preserve">dministrative </w:t>
            </w:r>
            <w:r w:rsidR="003E4C5B" w:rsidRPr="00C441BB">
              <w:rPr>
                <w:rFonts w:cs="Calibri"/>
                <w:color w:val="FFFFFF" w:themeColor="background1"/>
                <w:sz w:val="18"/>
                <w:szCs w:val="18"/>
              </w:rPr>
              <w:t>A</w:t>
            </w:r>
            <w:r w:rsidRPr="00C441BB">
              <w:rPr>
                <w:rFonts w:cs="Calibri"/>
                <w:color w:val="FFFFFF" w:themeColor="background1"/>
                <w:sz w:val="18"/>
                <w:szCs w:val="18"/>
              </w:rPr>
              <w:t>rrangement</w:t>
            </w:r>
            <w:r w:rsidR="00FD4B5D" w:rsidRPr="00C441BB">
              <w:rPr>
                <w:rFonts w:cs="Calibri"/>
                <w:color w:val="FFFFFF" w:themeColor="background1"/>
                <w:sz w:val="18"/>
                <w:szCs w:val="18"/>
              </w:rPr>
              <w:t>s</w:t>
            </w:r>
            <w:r w:rsidR="003E4C5B" w:rsidRPr="00C441BB">
              <w:rPr>
                <w:rFonts w:cs="Calibri"/>
                <w:color w:val="FFFFFF" w:themeColor="background1"/>
                <w:sz w:val="18"/>
                <w:szCs w:val="18"/>
              </w:rPr>
              <w:t xml:space="preserve"> </w:t>
            </w:r>
            <w:r w:rsidR="00EC750B" w:rsidRPr="00C441BB">
              <w:rPr>
                <w:rFonts w:cs="Calibri"/>
                <w:color w:val="FFFFFF" w:themeColor="background1"/>
                <w:sz w:val="18"/>
                <w:szCs w:val="18"/>
              </w:rPr>
              <w:t>(AAs)</w:t>
            </w:r>
            <w:r w:rsidRPr="00C441BB">
              <w:rPr>
                <w:rFonts w:cs="Calibri"/>
                <w:color w:val="FFFFFF" w:themeColor="background1"/>
                <w:sz w:val="18"/>
                <w:szCs w:val="18"/>
              </w:rPr>
              <w:t xml:space="preserve"> is limited to the transfer of a business (as defined in AASB 3</w:t>
            </w:r>
            <w:r w:rsidR="00582C5C" w:rsidRPr="00C441BB">
              <w:rPr>
                <w:rFonts w:cs="Calibri"/>
                <w:color w:val="FFFFFF" w:themeColor="background1"/>
                <w:sz w:val="18"/>
                <w:szCs w:val="18"/>
              </w:rPr>
              <w:t xml:space="preserve"> </w:t>
            </w:r>
            <w:r w:rsidR="00582C5C" w:rsidRPr="00C441BB">
              <w:rPr>
                <w:rFonts w:cs="Calibri"/>
                <w:i/>
                <w:color w:val="FFFFFF" w:themeColor="background1"/>
                <w:sz w:val="18"/>
                <w:szCs w:val="18"/>
              </w:rPr>
              <w:t>Business Combinations</w:t>
            </w:r>
            <w:r w:rsidRPr="00C441BB">
              <w:rPr>
                <w:rFonts w:cs="Calibri"/>
                <w:color w:val="FFFFFF" w:themeColor="background1"/>
                <w:sz w:val="18"/>
                <w:szCs w:val="18"/>
              </w:rPr>
              <w:t>). As such</w:t>
            </w:r>
            <w:r w:rsidR="001A6CDA" w:rsidRPr="00C441BB">
              <w:rPr>
                <w:rFonts w:cs="Calibri"/>
                <w:color w:val="FFFFFF" w:themeColor="background1"/>
                <w:sz w:val="18"/>
                <w:szCs w:val="18"/>
              </w:rPr>
              <w:t>,</w:t>
            </w:r>
            <w:r w:rsidRPr="00C441BB">
              <w:rPr>
                <w:rFonts w:cs="Calibri"/>
                <w:color w:val="FFFFFF" w:themeColor="background1"/>
                <w:sz w:val="18"/>
                <w:szCs w:val="18"/>
              </w:rPr>
              <w:t xml:space="preserve"> the requirements do not apply where, for example, an individual asset or a group of assets that are not a business are transferred.</w:t>
            </w:r>
            <w:r w:rsidR="00FA7C77">
              <w:rPr>
                <w:rFonts w:cs="Calibri"/>
                <w:color w:val="FFFFFF" w:themeColor="background1"/>
                <w:sz w:val="18"/>
                <w:szCs w:val="18"/>
              </w:rPr>
              <w:t xml:space="preserve"> </w:t>
            </w:r>
            <w:r w:rsidRPr="00C441BB">
              <w:rPr>
                <w:rFonts w:cs="Calibri"/>
                <w:color w:val="FFFFFF" w:themeColor="background1"/>
                <w:sz w:val="18"/>
                <w:szCs w:val="18"/>
              </w:rPr>
              <w:t>Therefore</w:t>
            </w:r>
            <w:r w:rsidR="001A6CDA" w:rsidRPr="00C441BB">
              <w:rPr>
                <w:rFonts w:cs="Calibri"/>
                <w:color w:val="FFFFFF" w:themeColor="background1"/>
                <w:sz w:val="18"/>
                <w:szCs w:val="18"/>
              </w:rPr>
              <w:t>,</w:t>
            </w:r>
            <w:r w:rsidRPr="00C441BB">
              <w:rPr>
                <w:rFonts w:cs="Calibri"/>
                <w:color w:val="FFFFFF" w:themeColor="background1"/>
                <w:sz w:val="18"/>
                <w:szCs w:val="18"/>
              </w:rPr>
              <w:t xml:space="preserve"> the example disclosures in this note do not have to be applied in the situation where an individual asset or a group of assets that are not a business are transferred as part of a</w:t>
            </w:r>
            <w:r w:rsidR="00EC750B" w:rsidRPr="00C441BB">
              <w:rPr>
                <w:rFonts w:cs="Calibri"/>
                <w:color w:val="FFFFFF" w:themeColor="background1"/>
                <w:sz w:val="18"/>
                <w:szCs w:val="18"/>
              </w:rPr>
              <w:t>n</w:t>
            </w:r>
            <w:r w:rsidRPr="00C441BB">
              <w:rPr>
                <w:rFonts w:cs="Calibri"/>
                <w:color w:val="FFFFFF" w:themeColor="background1"/>
                <w:sz w:val="18"/>
                <w:szCs w:val="18"/>
              </w:rPr>
              <w:t xml:space="preserve"> </w:t>
            </w:r>
            <w:r w:rsidR="00EC750B" w:rsidRPr="00C441BB">
              <w:rPr>
                <w:rFonts w:cs="Calibri"/>
                <w:color w:val="FFFFFF" w:themeColor="background1"/>
                <w:sz w:val="18"/>
                <w:szCs w:val="18"/>
              </w:rPr>
              <w:t>AA</w:t>
            </w:r>
            <w:r w:rsidRPr="00C441BB">
              <w:rPr>
                <w:rFonts w:cs="Calibri"/>
                <w:color w:val="FFFFFF" w:themeColor="background1"/>
                <w:sz w:val="18"/>
                <w:szCs w:val="18"/>
              </w:rPr>
              <w:t>.</w:t>
            </w:r>
            <w:r w:rsidR="00FA7C77">
              <w:rPr>
                <w:rFonts w:cs="Calibri"/>
                <w:color w:val="FFFFFF" w:themeColor="background1"/>
                <w:sz w:val="18"/>
                <w:szCs w:val="18"/>
              </w:rPr>
              <w:t xml:space="preserve"> </w:t>
            </w:r>
            <w:r w:rsidRPr="00C441BB">
              <w:rPr>
                <w:rFonts w:cs="Calibri"/>
                <w:color w:val="FFFFFF" w:themeColor="background1"/>
                <w:sz w:val="18"/>
                <w:szCs w:val="18"/>
              </w:rPr>
              <w:t xml:space="preserve"> </w:t>
            </w:r>
          </w:p>
        </w:tc>
      </w:tr>
      <w:tr w:rsidR="001551A2" w:rsidRPr="00CF7E1B" w14:paraId="181D484A" w14:textId="77777777" w:rsidTr="0004564D">
        <w:trPr>
          <w:trHeight w:val="521"/>
        </w:trPr>
        <w:tc>
          <w:tcPr>
            <w:tcW w:w="1560" w:type="dxa"/>
            <w:tcBorders>
              <w:left w:val="single" w:sz="2" w:space="0" w:color="auto"/>
              <w:right w:val="single" w:sz="2" w:space="0" w:color="auto"/>
            </w:tcBorders>
          </w:tcPr>
          <w:p w14:paraId="159F9424" w14:textId="53D75CDA" w:rsidR="001551A2" w:rsidRPr="00C441BB" w:rsidRDefault="001551A2" w:rsidP="00AC7522">
            <w:pPr>
              <w:pStyle w:val="TableReference"/>
              <w:tabs>
                <w:tab w:val="left" w:pos="3306"/>
              </w:tabs>
              <w:spacing w:before="60"/>
              <w:rPr>
                <w:rFonts w:cs="Calibri"/>
                <w:color w:val="7030A0"/>
                <w:sz w:val="14"/>
              </w:rPr>
            </w:pPr>
            <w:r w:rsidRPr="00C441BB">
              <w:rPr>
                <w:rFonts w:cs="Calibri"/>
                <w:color w:val="7030A0"/>
                <w:sz w:val="14"/>
              </w:rPr>
              <w:t>AASB 3 Appendix A Defined Terms</w:t>
            </w:r>
          </w:p>
        </w:tc>
        <w:tc>
          <w:tcPr>
            <w:tcW w:w="8930" w:type="dxa"/>
            <w:tcBorders>
              <w:left w:val="single" w:sz="2" w:space="0" w:color="auto"/>
            </w:tcBorders>
            <w:shd w:val="clear" w:color="auto" w:fill="7030A0"/>
          </w:tcPr>
          <w:p w14:paraId="0F5056C4" w14:textId="6B8DAA70" w:rsidR="001551A2" w:rsidRPr="00C441BB" w:rsidRDefault="001551A2" w:rsidP="00FF61FB">
            <w:pPr>
              <w:pStyle w:val="Default"/>
              <w:spacing w:after="60"/>
              <w:jc w:val="both"/>
              <w:rPr>
                <w:rFonts w:ascii="Calibri" w:hAnsi="Calibri" w:cs="Calibri"/>
                <w:bCs/>
                <w:color w:val="FFFFFF" w:themeColor="background1"/>
                <w:sz w:val="18"/>
                <w:szCs w:val="18"/>
                <w:lang w:eastAsia="en-US"/>
              </w:rPr>
            </w:pPr>
            <w:r w:rsidRPr="00C441BB">
              <w:rPr>
                <w:rFonts w:ascii="Calibri" w:hAnsi="Calibri" w:cs="Calibri"/>
                <w:bCs/>
                <w:color w:val="FFFFFF" w:themeColor="background1"/>
                <w:sz w:val="18"/>
                <w:szCs w:val="18"/>
                <w:lang w:eastAsia="en-US"/>
              </w:rPr>
              <w:t xml:space="preserve">AASB 3 defines a business as an integrated set of activities and assets </w:t>
            </w:r>
            <w:r w:rsidR="00CD3019" w:rsidRPr="00C441BB">
              <w:rPr>
                <w:rFonts w:ascii="Calibri" w:hAnsi="Calibri" w:cs="Calibri"/>
                <w:bCs/>
                <w:color w:val="FFFFFF" w:themeColor="background1"/>
                <w:sz w:val="18"/>
                <w:szCs w:val="18"/>
                <w:lang w:eastAsia="en-US"/>
              </w:rPr>
              <w:t xml:space="preserve">that is capable of being </w:t>
            </w:r>
            <w:r w:rsidRPr="00C441BB">
              <w:rPr>
                <w:rFonts w:ascii="Calibri" w:hAnsi="Calibri" w:cs="Calibri"/>
                <w:bCs/>
                <w:color w:val="FFFFFF" w:themeColor="background1"/>
                <w:sz w:val="18"/>
                <w:szCs w:val="18"/>
                <w:lang w:eastAsia="en-US"/>
              </w:rPr>
              <w:t xml:space="preserve">conducted and managed for the purpose of providing: </w:t>
            </w:r>
          </w:p>
        </w:tc>
      </w:tr>
      <w:tr w:rsidR="00AC7522" w:rsidRPr="00CF7E1B" w14:paraId="6865361B" w14:textId="77777777" w:rsidTr="0004564D">
        <w:trPr>
          <w:trHeight w:val="425"/>
        </w:trPr>
        <w:tc>
          <w:tcPr>
            <w:tcW w:w="1560" w:type="dxa"/>
            <w:tcBorders>
              <w:left w:val="single" w:sz="2" w:space="0" w:color="auto"/>
              <w:right w:val="single" w:sz="2" w:space="0" w:color="auto"/>
            </w:tcBorders>
          </w:tcPr>
          <w:p w14:paraId="40A595F0" w14:textId="77777777" w:rsidR="00AC7522" w:rsidRPr="00C441BB"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10CE005F" w14:textId="49F0F11C" w:rsidR="00C96ECF" w:rsidRPr="00C441BB" w:rsidRDefault="00AC7522" w:rsidP="007122BC">
            <w:pPr>
              <w:pStyle w:val="DefinePoint"/>
              <w:numPr>
                <w:ilvl w:val="0"/>
                <w:numId w:val="68"/>
              </w:numPr>
              <w:spacing w:after="40"/>
              <w:ind w:left="452"/>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a return in the form of dividends; or</w:t>
            </w:r>
          </w:p>
          <w:p w14:paraId="2B75FC85" w14:textId="085CEC19" w:rsidR="00AC7522" w:rsidRPr="00C441BB" w:rsidRDefault="00AC7522" w:rsidP="007122BC">
            <w:pPr>
              <w:pStyle w:val="DefinePoint"/>
              <w:numPr>
                <w:ilvl w:val="0"/>
                <w:numId w:val="68"/>
              </w:numPr>
              <w:ind w:left="452" w:hanging="357"/>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lower costs or other economic benefits directly to investors or other owners, members or participants.</w:t>
            </w:r>
          </w:p>
        </w:tc>
      </w:tr>
      <w:tr w:rsidR="00AC7522" w:rsidRPr="00CF7E1B" w14:paraId="6D80BBCF" w14:textId="77777777" w:rsidTr="0004564D">
        <w:trPr>
          <w:trHeight w:val="992"/>
        </w:trPr>
        <w:tc>
          <w:tcPr>
            <w:tcW w:w="1560" w:type="dxa"/>
            <w:tcBorders>
              <w:left w:val="single" w:sz="2" w:space="0" w:color="auto"/>
              <w:right w:val="single" w:sz="2" w:space="0" w:color="auto"/>
            </w:tcBorders>
          </w:tcPr>
          <w:p w14:paraId="1B876899" w14:textId="5FF51D7E" w:rsidR="00AC7522" w:rsidRPr="00C441BB" w:rsidRDefault="00AC7522" w:rsidP="00301C2A">
            <w:pPr>
              <w:pStyle w:val="TableReference"/>
              <w:tabs>
                <w:tab w:val="left" w:pos="3306"/>
              </w:tabs>
              <w:spacing w:before="60"/>
              <w:rPr>
                <w:rFonts w:cs="Calibri"/>
                <w:color w:val="7030A0"/>
                <w:sz w:val="14"/>
              </w:rPr>
            </w:pPr>
            <w:r w:rsidRPr="00C441BB">
              <w:rPr>
                <w:rFonts w:cs="Calibri"/>
                <w:color w:val="7030A0"/>
                <w:sz w:val="14"/>
              </w:rPr>
              <w:t>ACT Disclosure Policy</w:t>
            </w:r>
          </w:p>
        </w:tc>
        <w:tc>
          <w:tcPr>
            <w:tcW w:w="8930" w:type="dxa"/>
            <w:tcBorders>
              <w:left w:val="single" w:sz="2" w:space="0" w:color="auto"/>
            </w:tcBorders>
            <w:shd w:val="clear" w:color="auto" w:fill="7030A0"/>
          </w:tcPr>
          <w:p w14:paraId="34C465C3" w14:textId="2B26E2E8" w:rsidR="00AC7522" w:rsidRPr="00C441BB" w:rsidRDefault="00AC7522" w:rsidP="00301C2A">
            <w:pPr>
              <w:pStyle w:val="Default"/>
              <w:spacing w:after="120"/>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As AAs involve a transfer of an integrated set of activities mainly for the purpose of reducing overall costs or providing other economic benefits to the Community (members or participants) and because AAs are a discrete function transferred between agencies, it is considered that all AAs of this nature will satisfy the definition of a business under AASB 3.</w:t>
            </w:r>
            <w:r w:rsidR="00FA7C77">
              <w:rPr>
                <w:rFonts w:ascii="Calibri" w:hAnsi="Calibri" w:cs="Calibri"/>
                <w:color w:val="FFFFFF" w:themeColor="background1"/>
                <w:sz w:val="18"/>
                <w:szCs w:val="18"/>
                <w:lang w:eastAsia="en-US"/>
              </w:rPr>
              <w:t xml:space="preserve">  </w:t>
            </w:r>
          </w:p>
        </w:tc>
      </w:tr>
      <w:tr w:rsidR="006A0B78" w:rsidRPr="00CF7E1B" w14:paraId="6E008DC4" w14:textId="77777777" w:rsidTr="0004564D">
        <w:trPr>
          <w:trHeight w:val="992"/>
        </w:trPr>
        <w:tc>
          <w:tcPr>
            <w:tcW w:w="1560" w:type="dxa"/>
            <w:tcBorders>
              <w:left w:val="single" w:sz="2" w:space="0" w:color="auto"/>
              <w:right w:val="single" w:sz="2" w:space="0" w:color="auto"/>
            </w:tcBorders>
          </w:tcPr>
          <w:p w14:paraId="1F99CFEC" w14:textId="77777777" w:rsidR="006A0B78" w:rsidRPr="00C441BB" w:rsidRDefault="006A0B78"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6FFEDFA" w14:textId="77777777" w:rsidR="006A0B78" w:rsidRPr="00C441BB" w:rsidRDefault="006A0B78" w:rsidP="00DD1056">
            <w:pPr>
              <w:pStyle w:val="Default"/>
              <w:spacing w:after="60"/>
              <w:jc w:val="both"/>
              <w:rPr>
                <w:rFonts w:ascii="Calibri" w:hAnsi="Calibri" w:cs="Calibri"/>
                <w:color w:val="FFFFFF" w:themeColor="background1"/>
                <w:sz w:val="18"/>
                <w:szCs w:val="18"/>
                <w:lang w:eastAsia="en-US"/>
              </w:rPr>
            </w:pPr>
            <w:r w:rsidRPr="00C441BB">
              <w:rPr>
                <w:rFonts w:ascii="Calibri" w:hAnsi="Calibri" w:cs="Calibri"/>
                <w:color w:val="FFFFFF" w:themeColor="background1"/>
                <w:sz w:val="18"/>
                <w:szCs w:val="18"/>
                <w:lang w:eastAsia="en-US"/>
              </w:rPr>
              <w:t xml:space="preserve">Examples of restructures of administrative arrangements are as follows: </w:t>
            </w:r>
          </w:p>
          <w:p w14:paraId="30F2C976" w14:textId="2B546EBB" w:rsidR="000565D7" w:rsidRPr="00C441BB" w:rsidRDefault="00765C5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a</w:t>
            </w:r>
            <w:r w:rsidR="000565D7" w:rsidRPr="00C441BB">
              <w:rPr>
                <w:rFonts w:cs="Calibri"/>
                <w:color w:val="FFFFFF" w:themeColor="background1"/>
                <w:sz w:val="18"/>
                <w:szCs w:val="18"/>
              </w:rPr>
              <w:t xml:space="preserve"> new agency is created and assets and liabilities are transferred to this new agency from one or more government controlled agencies; </w:t>
            </w:r>
          </w:p>
          <w:p w14:paraId="1D07E910" w14:textId="76058574" w:rsidR="000565D7" w:rsidRPr="00C441BB" w:rsidRDefault="00765C5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t</w:t>
            </w:r>
            <w:r w:rsidR="000565D7" w:rsidRPr="00C441BB">
              <w:rPr>
                <w:rFonts w:cs="Calibri"/>
                <w:color w:val="FFFFFF" w:themeColor="background1"/>
                <w:sz w:val="18"/>
                <w:szCs w:val="18"/>
              </w:rPr>
              <w:t xml:space="preserve">wo or more agencies are merged together; </w:t>
            </w:r>
          </w:p>
          <w:p w14:paraId="6E0FAC14" w14:textId="6E617DB8" w:rsidR="00DD1056" w:rsidRPr="00C441BB" w:rsidRDefault="00765C5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d</w:t>
            </w:r>
            <w:r w:rsidR="00DD1056" w:rsidRPr="00C441BB">
              <w:rPr>
                <w:rFonts w:cs="Calibri"/>
                <w:color w:val="FFFFFF" w:themeColor="background1"/>
                <w:sz w:val="18"/>
                <w:szCs w:val="18"/>
              </w:rPr>
              <w:t>ividing a single agency into two or more new agencies;</w:t>
            </w:r>
          </w:p>
          <w:p w14:paraId="1D3253D3" w14:textId="628F6B6B" w:rsidR="006A0B78" w:rsidRPr="00C441BB" w:rsidRDefault="00765C5E"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C441BB">
              <w:rPr>
                <w:rFonts w:cs="Calibri"/>
                <w:color w:val="FFFFFF" w:themeColor="background1"/>
                <w:sz w:val="18"/>
                <w:szCs w:val="18"/>
              </w:rPr>
              <w:t>c</w:t>
            </w:r>
            <w:r w:rsidR="000565D7" w:rsidRPr="00C441BB">
              <w:rPr>
                <w:rFonts w:cs="Calibri"/>
                <w:color w:val="FFFFFF" w:themeColor="background1"/>
                <w:sz w:val="18"/>
                <w:szCs w:val="18"/>
              </w:rPr>
              <w:t xml:space="preserve">essation </w:t>
            </w:r>
            <w:r w:rsidR="006A0B78" w:rsidRPr="00C441BB">
              <w:rPr>
                <w:rFonts w:cs="Calibri"/>
                <w:color w:val="FFFFFF" w:themeColor="background1"/>
                <w:sz w:val="18"/>
                <w:szCs w:val="18"/>
              </w:rPr>
              <w:t xml:space="preserve">of an agency </w:t>
            </w:r>
            <w:r w:rsidR="000565D7" w:rsidRPr="00C441BB">
              <w:rPr>
                <w:rFonts w:cs="Calibri"/>
                <w:color w:val="FFFFFF" w:themeColor="background1"/>
                <w:sz w:val="18"/>
                <w:szCs w:val="18"/>
              </w:rPr>
              <w:t xml:space="preserve">and the </w:t>
            </w:r>
            <w:r w:rsidR="006A0B78" w:rsidRPr="00C441BB">
              <w:rPr>
                <w:rFonts w:cs="Calibri"/>
                <w:color w:val="FFFFFF" w:themeColor="background1"/>
                <w:sz w:val="18"/>
                <w:szCs w:val="18"/>
              </w:rPr>
              <w:t xml:space="preserve">net assets are transferred to another government controlled agency; </w:t>
            </w:r>
            <w:r w:rsidR="00DD1056" w:rsidRPr="00C441BB">
              <w:rPr>
                <w:rFonts w:cs="Calibri"/>
                <w:color w:val="FFFFFF" w:themeColor="background1"/>
                <w:sz w:val="18"/>
                <w:szCs w:val="18"/>
              </w:rPr>
              <w:t>and</w:t>
            </w:r>
          </w:p>
          <w:p w14:paraId="6ACA4D33" w14:textId="578FD781" w:rsidR="006A0B78" w:rsidRPr="00C441BB" w:rsidRDefault="00765C5E"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C441BB">
              <w:rPr>
                <w:rFonts w:cs="Calibri"/>
                <w:color w:val="FFFFFF" w:themeColor="background1"/>
                <w:sz w:val="18"/>
                <w:szCs w:val="18"/>
              </w:rPr>
              <w:t>t</w:t>
            </w:r>
            <w:r w:rsidR="00DD1056" w:rsidRPr="00C441BB">
              <w:rPr>
                <w:rFonts w:cs="Calibri"/>
                <w:color w:val="FFFFFF" w:themeColor="background1"/>
                <w:sz w:val="18"/>
                <w:szCs w:val="18"/>
              </w:rPr>
              <w:t>ransfer of function.</w:t>
            </w:r>
          </w:p>
        </w:tc>
      </w:tr>
      <w:tr w:rsidR="001551A2" w:rsidRPr="00CF7E1B" w14:paraId="119217E3" w14:textId="77777777" w:rsidTr="0004564D">
        <w:trPr>
          <w:trHeight w:hRule="exact" w:val="230"/>
        </w:trPr>
        <w:tc>
          <w:tcPr>
            <w:tcW w:w="1560" w:type="dxa"/>
            <w:tcBorders>
              <w:left w:val="single" w:sz="2" w:space="0" w:color="auto"/>
              <w:right w:val="single" w:sz="2" w:space="0" w:color="auto"/>
            </w:tcBorders>
          </w:tcPr>
          <w:p w14:paraId="721AF56C" w14:textId="77777777" w:rsidR="001551A2" w:rsidRPr="00C441BB" w:rsidRDefault="001551A2" w:rsidP="002C6F4A">
            <w:pPr>
              <w:rPr>
                <w:rFonts w:cs="Calibri"/>
                <w:color w:val="7030A0"/>
                <w:sz w:val="14"/>
                <w:szCs w:val="14"/>
              </w:rPr>
            </w:pPr>
          </w:p>
        </w:tc>
        <w:tc>
          <w:tcPr>
            <w:tcW w:w="8930" w:type="dxa"/>
            <w:tcBorders>
              <w:left w:val="single" w:sz="2" w:space="0" w:color="auto"/>
            </w:tcBorders>
            <w:shd w:val="clear" w:color="auto" w:fill="7030A0"/>
          </w:tcPr>
          <w:p w14:paraId="0F4628A6" w14:textId="77777777" w:rsidR="001551A2" w:rsidRPr="00BB2E31" w:rsidRDefault="001551A2" w:rsidP="00F65D19">
            <w:pPr>
              <w:pStyle w:val="CommentaryText"/>
              <w:tabs>
                <w:tab w:val="left" w:pos="3306"/>
              </w:tabs>
              <w:spacing w:after="40"/>
              <w:rPr>
                <w:rFonts w:cs="Calibri"/>
                <w:b/>
                <w:color w:val="FFFFFF" w:themeColor="background1"/>
                <w:szCs w:val="20"/>
              </w:rPr>
            </w:pPr>
            <w:r w:rsidRPr="00BB2E31">
              <w:rPr>
                <w:rFonts w:cs="Calibri"/>
                <w:b/>
                <w:color w:val="FFFFFF" w:themeColor="background1"/>
                <w:szCs w:val="20"/>
              </w:rPr>
              <w:t xml:space="preserve">Accounting Treatment of Transferred Assets and Liabilities </w:t>
            </w:r>
          </w:p>
        </w:tc>
      </w:tr>
      <w:tr w:rsidR="001551A2" w:rsidRPr="00CF7E1B" w14:paraId="6E13BBF6" w14:textId="77777777" w:rsidTr="0004564D">
        <w:trPr>
          <w:trHeight w:val="689"/>
        </w:trPr>
        <w:tc>
          <w:tcPr>
            <w:tcW w:w="1560" w:type="dxa"/>
            <w:tcBorders>
              <w:left w:val="single" w:sz="2" w:space="0" w:color="auto"/>
              <w:right w:val="single" w:sz="2" w:space="0" w:color="auto"/>
            </w:tcBorders>
          </w:tcPr>
          <w:p w14:paraId="2CAB200E" w14:textId="77777777" w:rsidR="001551A2" w:rsidRPr="00C441BB" w:rsidRDefault="001551A2" w:rsidP="00301C2A">
            <w:pPr>
              <w:pStyle w:val="TableReference"/>
              <w:tabs>
                <w:tab w:val="left" w:pos="3306"/>
              </w:tabs>
              <w:spacing w:before="60"/>
              <w:rPr>
                <w:rFonts w:cs="Calibri"/>
                <w:color w:val="7030A0"/>
                <w:sz w:val="14"/>
              </w:rPr>
            </w:pPr>
            <w:r w:rsidRPr="00C441BB">
              <w:rPr>
                <w:rFonts w:cs="Calibri"/>
                <w:color w:val="7030A0"/>
                <w:sz w:val="14"/>
              </w:rPr>
              <w:t>AASB 1004</w:t>
            </w:r>
            <w:r w:rsidR="00D65811" w:rsidRPr="00C441BB">
              <w:rPr>
                <w:rFonts w:cs="Calibri"/>
                <w:color w:val="7030A0"/>
                <w:sz w:val="14"/>
              </w:rPr>
              <w:t>.</w:t>
            </w:r>
            <w:r w:rsidRPr="00C441BB">
              <w:rPr>
                <w:rFonts w:cs="Calibri"/>
                <w:color w:val="7030A0"/>
                <w:sz w:val="14"/>
              </w:rPr>
              <w:t>54-56</w:t>
            </w:r>
          </w:p>
        </w:tc>
        <w:tc>
          <w:tcPr>
            <w:tcW w:w="8930" w:type="dxa"/>
            <w:tcBorders>
              <w:left w:val="single" w:sz="2" w:space="0" w:color="auto"/>
            </w:tcBorders>
            <w:shd w:val="clear" w:color="auto" w:fill="7030A0"/>
          </w:tcPr>
          <w:p w14:paraId="3BF98297" w14:textId="53552A29" w:rsidR="001551A2" w:rsidRPr="00C441BB" w:rsidRDefault="001551A2" w:rsidP="00301C2A">
            <w:pPr>
              <w:pStyle w:val="CommentaryText"/>
              <w:tabs>
                <w:tab w:val="left" w:pos="3306"/>
              </w:tabs>
              <w:rPr>
                <w:rFonts w:cs="Calibri"/>
                <w:color w:val="FFFFFF" w:themeColor="background1"/>
                <w:sz w:val="18"/>
                <w:szCs w:val="18"/>
              </w:rPr>
            </w:pPr>
            <w:r w:rsidRPr="00C441BB">
              <w:rPr>
                <w:rFonts w:cs="Calibri"/>
                <w:color w:val="FFFFFF" w:themeColor="background1"/>
                <w:sz w:val="18"/>
                <w:szCs w:val="18"/>
              </w:rPr>
              <w:t>AASB 1004 states that assets and/or liabilities transferred as part of a</w:t>
            </w:r>
            <w:r w:rsidR="00EC750B" w:rsidRPr="00C441BB">
              <w:rPr>
                <w:rFonts w:cs="Calibri"/>
                <w:color w:val="FFFFFF" w:themeColor="background1"/>
                <w:sz w:val="18"/>
                <w:szCs w:val="18"/>
              </w:rPr>
              <w:t>n AA</w:t>
            </w:r>
            <w:r w:rsidRPr="00C441BB">
              <w:rPr>
                <w:rFonts w:cs="Calibri"/>
                <w:color w:val="FFFFFF" w:themeColor="background1"/>
                <w:sz w:val="18"/>
                <w:szCs w:val="18"/>
              </w:rPr>
              <w:t xml:space="preserve"> should be treated as a contribution by owners or a distribution to owners.</w:t>
            </w:r>
            <w:r w:rsidR="00FA7C77">
              <w:rPr>
                <w:rFonts w:cs="Calibri"/>
                <w:color w:val="FFFFFF" w:themeColor="background1"/>
                <w:sz w:val="18"/>
                <w:szCs w:val="18"/>
              </w:rPr>
              <w:t xml:space="preserve"> </w:t>
            </w:r>
            <w:r w:rsidRPr="00C441BB">
              <w:rPr>
                <w:rFonts w:cs="Calibri"/>
                <w:color w:val="FFFFFF" w:themeColor="background1"/>
                <w:sz w:val="18"/>
                <w:szCs w:val="18"/>
              </w:rPr>
              <w:t>As such</w:t>
            </w:r>
            <w:r w:rsidR="001A6CDA" w:rsidRPr="00C441BB">
              <w:rPr>
                <w:rFonts w:cs="Calibri"/>
                <w:color w:val="FFFFFF" w:themeColor="background1"/>
                <w:sz w:val="18"/>
                <w:szCs w:val="18"/>
              </w:rPr>
              <w:t>,</w:t>
            </w:r>
            <w:r w:rsidRPr="00C441BB">
              <w:rPr>
                <w:rFonts w:cs="Calibri"/>
                <w:color w:val="FFFFFF" w:themeColor="background1"/>
                <w:sz w:val="18"/>
                <w:szCs w:val="18"/>
              </w:rPr>
              <w:t xml:space="preserve"> transfer</w:t>
            </w:r>
            <w:r w:rsidR="005D62D3" w:rsidRPr="00C441BB">
              <w:rPr>
                <w:rFonts w:cs="Calibri"/>
                <w:color w:val="FFFFFF" w:themeColor="background1"/>
                <w:sz w:val="18"/>
                <w:szCs w:val="18"/>
              </w:rPr>
              <w:t>s</w:t>
            </w:r>
            <w:r w:rsidRPr="00C441BB">
              <w:rPr>
                <w:rFonts w:cs="Calibri"/>
                <w:color w:val="FFFFFF" w:themeColor="background1"/>
                <w:sz w:val="18"/>
                <w:szCs w:val="18"/>
              </w:rPr>
              <w:t xml:space="preserve"> should be recognised directly in equity.</w:t>
            </w:r>
            <w:r w:rsidR="00FA7C77">
              <w:rPr>
                <w:rFonts w:cs="Calibri"/>
                <w:color w:val="FFFFFF" w:themeColor="background1"/>
                <w:sz w:val="18"/>
                <w:szCs w:val="18"/>
              </w:rPr>
              <w:t xml:space="preserve"> </w:t>
            </w:r>
          </w:p>
        </w:tc>
      </w:tr>
      <w:tr w:rsidR="001551A2" w:rsidRPr="00CF7E1B" w14:paraId="5087F3FB" w14:textId="77777777" w:rsidTr="0004564D">
        <w:trPr>
          <w:trHeight w:hRule="exact" w:val="300"/>
        </w:trPr>
        <w:tc>
          <w:tcPr>
            <w:tcW w:w="1560" w:type="dxa"/>
            <w:tcBorders>
              <w:left w:val="single" w:sz="2" w:space="0" w:color="auto"/>
              <w:right w:val="single" w:sz="2" w:space="0" w:color="auto"/>
            </w:tcBorders>
          </w:tcPr>
          <w:p w14:paraId="7C9676B3" w14:textId="77777777" w:rsidR="001551A2" w:rsidRPr="00C441BB" w:rsidRDefault="001551A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3549FEC" w14:textId="77777777" w:rsidR="001551A2" w:rsidRPr="00BB2E31" w:rsidRDefault="001551A2" w:rsidP="00F65D19">
            <w:pPr>
              <w:pStyle w:val="CommentaryText"/>
              <w:tabs>
                <w:tab w:val="left" w:pos="3306"/>
              </w:tabs>
              <w:spacing w:after="40"/>
              <w:rPr>
                <w:rFonts w:cs="Calibri"/>
                <w:b/>
                <w:color w:val="FFFFFF" w:themeColor="background1"/>
                <w:szCs w:val="20"/>
              </w:rPr>
            </w:pPr>
            <w:r w:rsidRPr="00BB2E31">
              <w:rPr>
                <w:rFonts w:cs="Calibri"/>
                <w:b/>
                <w:color w:val="FFFFFF" w:themeColor="background1"/>
                <w:szCs w:val="20"/>
              </w:rPr>
              <w:t>Disclosure of Transferred Income and Expenses</w:t>
            </w:r>
          </w:p>
        </w:tc>
      </w:tr>
      <w:tr w:rsidR="001551A2" w:rsidRPr="00CF7E1B" w14:paraId="6D8566A0" w14:textId="77777777" w:rsidTr="0004564D">
        <w:trPr>
          <w:trHeight w:val="998"/>
        </w:trPr>
        <w:tc>
          <w:tcPr>
            <w:tcW w:w="1560" w:type="dxa"/>
            <w:tcBorders>
              <w:left w:val="single" w:sz="2" w:space="0" w:color="auto"/>
              <w:right w:val="single" w:sz="2" w:space="0" w:color="auto"/>
            </w:tcBorders>
          </w:tcPr>
          <w:p w14:paraId="0AA7B675" w14:textId="77777777" w:rsidR="001551A2" w:rsidRPr="00C441BB" w:rsidRDefault="001551A2" w:rsidP="00301C2A">
            <w:pPr>
              <w:pStyle w:val="TableReference"/>
              <w:tabs>
                <w:tab w:val="left" w:pos="3306"/>
              </w:tabs>
              <w:spacing w:before="60"/>
              <w:rPr>
                <w:rFonts w:cs="Calibri"/>
                <w:color w:val="7030A0"/>
                <w:sz w:val="14"/>
              </w:rPr>
            </w:pPr>
            <w:r w:rsidRPr="00C441BB">
              <w:rPr>
                <w:rFonts w:cs="Calibri"/>
                <w:color w:val="7030A0"/>
                <w:sz w:val="14"/>
              </w:rPr>
              <w:t>AASB 1004</w:t>
            </w:r>
            <w:r w:rsidR="00D65811" w:rsidRPr="00C441BB">
              <w:rPr>
                <w:rFonts w:cs="Calibri"/>
                <w:color w:val="7030A0"/>
                <w:sz w:val="14"/>
              </w:rPr>
              <w:t>.</w:t>
            </w:r>
            <w:r w:rsidRPr="00C441BB">
              <w:rPr>
                <w:rFonts w:cs="Calibri"/>
                <w:color w:val="7030A0"/>
                <w:sz w:val="14"/>
              </w:rPr>
              <w:t>57</w:t>
            </w:r>
          </w:p>
        </w:tc>
        <w:tc>
          <w:tcPr>
            <w:tcW w:w="8930" w:type="dxa"/>
            <w:tcBorders>
              <w:left w:val="single" w:sz="2" w:space="0" w:color="auto"/>
            </w:tcBorders>
            <w:shd w:val="clear" w:color="auto" w:fill="7030A0"/>
          </w:tcPr>
          <w:p w14:paraId="5F0F6AE9" w14:textId="77777777" w:rsidR="001551A2" w:rsidRPr="00C441BB" w:rsidRDefault="001551A2" w:rsidP="00AC7522">
            <w:pPr>
              <w:pStyle w:val="CommentaryText"/>
              <w:tabs>
                <w:tab w:val="left" w:pos="3306"/>
              </w:tabs>
              <w:spacing w:after="0"/>
              <w:rPr>
                <w:rFonts w:cs="Calibri"/>
                <w:color w:val="FFFFFF" w:themeColor="background1"/>
                <w:sz w:val="18"/>
                <w:szCs w:val="18"/>
              </w:rPr>
            </w:pPr>
            <w:r w:rsidRPr="00C441BB">
              <w:rPr>
                <w:rFonts w:cs="Calibri"/>
                <w:color w:val="FFFFFF" w:themeColor="background1"/>
                <w:sz w:val="18"/>
                <w:szCs w:val="18"/>
              </w:rPr>
              <w:t>AASB 1004 states that when activities are transferred as a consequence of a</w:t>
            </w:r>
            <w:r w:rsidR="00EC750B" w:rsidRPr="00C441BB">
              <w:rPr>
                <w:rFonts w:cs="Calibri"/>
                <w:color w:val="FFFFFF" w:themeColor="background1"/>
                <w:sz w:val="18"/>
                <w:szCs w:val="18"/>
              </w:rPr>
              <w:t>n</w:t>
            </w:r>
            <w:r w:rsidRPr="00C441BB">
              <w:rPr>
                <w:rFonts w:cs="Calibri"/>
                <w:color w:val="FFFFFF" w:themeColor="background1"/>
                <w:sz w:val="18"/>
                <w:szCs w:val="18"/>
              </w:rPr>
              <w:t xml:space="preserve"> </w:t>
            </w:r>
            <w:r w:rsidR="00FD4B5D" w:rsidRPr="00C441BB">
              <w:rPr>
                <w:rFonts w:cs="Calibri"/>
                <w:color w:val="FFFFFF" w:themeColor="background1"/>
                <w:sz w:val="18"/>
                <w:szCs w:val="18"/>
              </w:rPr>
              <w:t>AA</w:t>
            </w:r>
            <w:r w:rsidRPr="00C441BB">
              <w:rPr>
                <w:rFonts w:cs="Calibri"/>
                <w:color w:val="FFFFFF" w:themeColor="background1"/>
                <w:sz w:val="18"/>
                <w:szCs w:val="18"/>
              </w:rPr>
              <w:t xml:space="preserve">, </w:t>
            </w:r>
            <w:r w:rsidR="00EC750B" w:rsidRPr="00C441BB">
              <w:rPr>
                <w:rFonts w:cs="Calibri"/>
                <w:color w:val="FFFFFF" w:themeColor="background1"/>
                <w:sz w:val="18"/>
                <w:szCs w:val="18"/>
              </w:rPr>
              <w:t xml:space="preserve">the transferee </w:t>
            </w:r>
            <w:r w:rsidR="00D65811" w:rsidRPr="00C441BB">
              <w:rPr>
                <w:rFonts w:cs="Calibri"/>
                <w:color w:val="FFFFFF" w:themeColor="background1"/>
                <w:sz w:val="18"/>
                <w:szCs w:val="18"/>
              </w:rPr>
              <w:t>agency</w:t>
            </w:r>
            <w:r w:rsidRPr="00C441BB">
              <w:rPr>
                <w:rFonts w:cs="Calibri"/>
                <w:color w:val="FFFFFF" w:themeColor="background1"/>
                <w:sz w:val="18"/>
                <w:szCs w:val="18"/>
              </w:rPr>
              <w:t xml:space="preserve"> shall disclose the expenses and income attributable to the transferred activities for the reporting period, showing separa</w:t>
            </w:r>
            <w:r w:rsidR="001A6CDA" w:rsidRPr="00C441BB">
              <w:rPr>
                <w:rFonts w:cs="Calibri"/>
                <w:color w:val="FFFFFF" w:themeColor="background1"/>
                <w:sz w:val="18"/>
                <w:szCs w:val="18"/>
              </w:rPr>
              <w:t>tely those expenses and</w:t>
            </w:r>
            <w:r w:rsidRPr="00C441BB">
              <w:rPr>
                <w:rFonts w:cs="Calibri"/>
                <w:color w:val="FFFFFF" w:themeColor="background1"/>
                <w:sz w:val="18"/>
                <w:szCs w:val="18"/>
              </w:rPr>
              <w:t xml:space="preserve"> income recognised by the transferor during the reporting period. If disclosure of this information would be impracticable, that fact shall be disclosed, together with an explanation of why this is the case.</w:t>
            </w:r>
          </w:p>
        </w:tc>
      </w:tr>
      <w:tr w:rsidR="00AC7522" w:rsidRPr="00CF7E1B" w14:paraId="3084AAFB" w14:textId="77777777" w:rsidTr="0004564D">
        <w:tc>
          <w:tcPr>
            <w:tcW w:w="1560" w:type="dxa"/>
            <w:tcBorders>
              <w:left w:val="single" w:sz="2" w:space="0" w:color="auto"/>
              <w:right w:val="single" w:sz="2" w:space="0" w:color="auto"/>
            </w:tcBorders>
          </w:tcPr>
          <w:p w14:paraId="18DA05A3" w14:textId="77777777" w:rsidR="00AC7522" w:rsidRPr="00C441BB"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7F1700BF" w14:textId="40359A3D" w:rsidR="00AC7522" w:rsidRPr="00BB2E31" w:rsidRDefault="00AC7522" w:rsidP="00AC7522">
            <w:pPr>
              <w:pStyle w:val="TableText"/>
              <w:tabs>
                <w:tab w:val="left" w:pos="3306"/>
              </w:tabs>
              <w:spacing w:before="120"/>
              <w:jc w:val="both"/>
              <w:rPr>
                <w:rFonts w:cs="Calibri"/>
                <w:color w:val="FFFFFF" w:themeColor="background1"/>
                <w:sz w:val="20"/>
                <w:szCs w:val="20"/>
              </w:rPr>
            </w:pPr>
            <w:r w:rsidRPr="00BB2E31">
              <w:rPr>
                <w:rFonts w:cs="Calibri"/>
                <w:b/>
                <w:color w:val="FFFFFF" w:themeColor="background1"/>
                <w:sz w:val="20"/>
                <w:szCs w:val="20"/>
              </w:rPr>
              <w:t>Disclosure of Comparative Information</w:t>
            </w:r>
          </w:p>
        </w:tc>
      </w:tr>
      <w:tr w:rsidR="00AC7522" w:rsidRPr="00CF7E1B" w14:paraId="35EBE06E" w14:textId="77777777" w:rsidTr="0004564D">
        <w:tc>
          <w:tcPr>
            <w:tcW w:w="1560" w:type="dxa"/>
            <w:tcBorders>
              <w:left w:val="single" w:sz="2" w:space="0" w:color="auto"/>
              <w:right w:val="single" w:sz="2" w:space="0" w:color="auto"/>
            </w:tcBorders>
          </w:tcPr>
          <w:p w14:paraId="1774C171" w14:textId="77777777" w:rsidR="00AC7522" w:rsidRPr="00C441BB" w:rsidRDefault="00AC7522" w:rsidP="00AC7522">
            <w:pPr>
              <w:pStyle w:val="TableReference"/>
              <w:tabs>
                <w:tab w:val="left" w:pos="3306"/>
              </w:tabs>
              <w:spacing w:before="60"/>
              <w:rPr>
                <w:rFonts w:cs="Calibri"/>
                <w:color w:val="7030A0"/>
                <w:sz w:val="14"/>
              </w:rPr>
            </w:pPr>
            <w:r w:rsidRPr="00C441BB">
              <w:rPr>
                <w:rFonts w:cs="Calibri"/>
                <w:color w:val="7030A0"/>
                <w:sz w:val="14"/>
              </w:rPr>
              <w:t>AASB 101.38</w:t>
            </w:r>
          </w:p>
          <w:p w14:paraId="418309A3" w14:textId="77777777" w:rsidR="00AC7522" w:rsidRPr="00C441BB" w:rsidRDefault="00AC7522" w:rsidP="00AC7522">
            <w:pPr>
              <w:pStyle w:val="TableReference"/>
              <w:tabs>
                <w:tab w:val="left" w:pos="3306"/>
              </w:tabs>
              <w:spacing w:before="60"/>
              <w:rPr>
                <w:rFonts w:cs="Calibri"/>
                <w:color w:val="7030A0"/>
                <w:sz w:val="14"/>
              </w:rPr>
            </w:pPr>
            <w:r w:rsidRPr="00C441BB">
              <w:rPr>
                <w:rFonts w:cs="Calibri"/>
                <w:color w:val="7030A0"/>
                <w:sz w:val="14"/>
              </w:rPr>
              <w:t>AASB 1004.57</w:t>
            </w:r>
          </w:p>
          <w:p w14:paraId="12F9A3B5" w14:textId="77777777" w:rsidR="00AC7522" w:rsidRPr="00C441BB" w:rsidRDefault="00AC7522"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0E0A22F6" w14:textId="6580EB07" w:rsidR="00AC7522" w:rsidRPr="00C441BB" w:rsidRDefault="00F65D19" w:rsidP="00301C2A">
            <w:pPr>
              <w:pStyle w:val="TableText"/>
              <w:tabs>
                <w:tab w:val="left" w:pos="3306"/>
              </w:tabs>
              <w:spacing w:before="0" w:after="120"/>
              <w:jc w:val="both"/>
              <w:rPr>
                <w:rFonts w:cs="Calibri"/>
                <w:color w:val="FFFFFF" w:themeColor="background1"/>
              </w:rPr>
            </w:pPr>
            <w:r w:rsidRPr="00C441BB">
              <w:rPr>
                <w:rFonts w:cs="Calibri"/>
                <w:color w:val="FFFFFF" w:themeColor="background1"/>
              </w:rPr>
              <w:t>C</w:t>
            </w:r>
            <w:r w:rsidR="00AC7522" w:rsidRPr="00C441BB">
              <w:rPr>
                <w:rFonts w:cs="Calibri"/>
                <w:color w:val="FFFFFF" w:themeColor="background1"/>
              </w:rPr>
              <w:t xml:space="preserve">omparative information </w:t>
            </w:r>
            <w:r w:rsidRPr="00C441BB">
              <w:rPr>
                <w:rFonts w:cs="Calibri"/>
                <w:color w:val="FFFFFF" w:themeColor="background1"/>
              </w:rPr>
              <w:t xml:space="preserve">is required to </w:t>
            </w:r>
            <w:r w:rsidR="00AC7522" w:rsidRPr="00C441BB">
              <w:rPr>
                <w:rFonts w:cs="Calibri"/>
                <w:color w:val="FFFFFF" w:themeColor="background1"/>
              </w:rPr>
              <w:t>be disclosed in respect of the prior reporting period for all amounts included in the financial statements, except where another Australian Accounting Standard permits or requires otherwise.</w:t>
            </w:r>
            <w:r w:rsidR="00FA7C77">
              <w:rPr>
                <w:rFonts w:cs="Calibri"/>
                <w:color w:val="FFFFFF" w:themeColor="background1"/>
              </w:rPr>
              <w:t xml:space="preserve"> </w:t>
            </w:r>
            <w:r w:rsidR="00AC7522" w:rsidRPr="00C441BB">
              <w:rPr>
                <w:rFonts w:cs="Calibri"/>
                <w:color w:val="FFFFFF" w:themeColor="background1"/>
              </w:rPr>
              <w:t>AASB 1004 does not specifically address the need for comparative figures for an AA; however, as stated above, the disclosure of income and expenses relating to an AA is not required where it is impractical to provide this information</w:t>
            </w:r>
            <w:r w:rsidR="00DB75E7" w:rsidRPr="00C441BB">
              <w:rPr>
                <w:rFonts w:cs="Calibri"/>
                <w:color w:val="FFFFFF" w:themeColor="background1"/>
              </w:rPr>
              <w:t>.</w:t>
            </w:r>
          </w:p>
        </w:tc>
      </w:tr>
      <w:tr w:rsidR="00AC7522" w:rsidRPr="00CF7E1B" w14:paraId="7F7FED0E" w14:textId="77777777" w:rsidTr="0004564D">
        <w:tc>
          <w:tcPr>
            <w:tcW w:w="1560" w:type="dxa"/>
            <w:tcBorders>
              <w:left w:val="single" w:sz="2" w:space="0" w:color="auto"/>
              <w:right w:val="single" w:sz="2" w:space="0" w:color="auto"/>
            </w:tcBorders>
          </w:tcPr>
          <w:p w14:paraId="16FF32C4" w14:textId="3D3A0597" w:rsidR="00AC7522" w:rsidRPr="00C441BB" w:rsidRDefault="00AC7522" w:rsidP="00301C2A">
            <w:pPr>
              <w:pStyle w:val="TableReference"/>
              <w:tabs>
                <w:tab w:val="left" w:pos="3306"/>
              </w:tabs>
              <w:spacing w:before="60"/>
              <w:rPr>
                <w:rFonts w:cs="Calibri"/>
                <w:color w:val="7030A0"/>
                <w:sz w:val="14"/>
              </w:rPr>
            </w:pPr>
            <w:r w:rsidRPr="00C441BB">
              <w:rPr>
                <w:rFonts w:cs="Calibri"/>
                <w:color w:val="7030A0"/>
                <w:sz w:val="14"/>
              </w:rPr>
              <w:t>AASB 101.7 &amp; 43</w:t>
            </w:r>
          </w:p>
        </w:tc>
        <w:tc>
          <w:tcPr>
            <w:tcW w:w="8930" w:type="dxa"/>
            <w:tcBorders>
              <w:left w:val="single" w:sz="2" w:space="0" w:color="auto"/>
            </w:tcBorders>
            <w:shd w:val="clear" w:color="auto" w:fill="7030A0"/>
            <w:vAlign w:val="bottom"/>
          </w:tcPr>
          <w:p w14:paraId="574B516F" w14:textId="57CFC453" w:rsidR="00AC7522" w:rsidRPr="00C441BB" w:rsidRDefault="00AC7522" w:rsidP="00301C2A">
            <w:pPr>
              <w:pStyle w:val="TableText"/>
              <w:tabs>
                <w:tab w:val="left" w:pos="3306"/>
              </w:tabs>
              <w:spacing w:before="0" w:after="120"/>
              <w:jc w:val="both"/>
              <w:rPr>
                <w:rFonts w:cs="Calibri"/>
                <w:color w:val="FFFFFF" w:themeColor="background1"/>
              </w:rPr>
            </w:pPr>
            <w:r w:rsidRPr="00C441BB">
              <w:rPr>
                <w:rFonts w:cs="Calibri"/>
                <w:color w:val="FFFFFF" w:themeColor="background1"/>
              </w:rPr>
              <w:t>Further, in some circumstances, it may be impracticable to reclassify comparative information for a particular prior period to achieve comparability with the current period.</w:t>
            </w:r>
            <w:r w:rsidR="00FA7C77">
              <w:rPr>
                <w:rFonts w:cs="Calibri"/>
                <w:color w:val="FFFFFF" w:themeColor="background1"/>
              </w:rPr>
              <w:t xml:space="preserve"> </w:t>
            </w:r>
            <w:r w:rsidRPr="00C441BB">
              <w:rPr>
                <w:rFonts w:cs="Calibri"/>
                <w:color w:val="FFFFFF" w:themeColor="background1"/>
              </w:rPr>
              <w:t>AASB 101 states that a requirement is impracticable when the directorate cannot apply it after making every reasonable effort to do so.</w:t>
            </w:r>
            <w:r w:rsidR="00FA7C77">
              <w:rPr>
                <w:rFonts w:cs="Calibri"/>
                <w:color w:val="FFFFFF" w:themeColor="background1"/>
              </w:rPr>
              <w:t xml:space="preserve"> </w:t>
            </w:r>
            <w:r w:rsidRPr="00C441BB">
              <w:rPr>
                <w:rFonts w:cs="Calibri"/>
                <w:color w:val="FFFFFF" w:themeColor="background1"/>
              </w:rPr>
              <w:t>It is likely that agencies will be able to provide income and expense figures for the comparative year where an entire output class is transferred as part of an AA.</w:t>
            </w:r>
            <w:r w:rsidR="00FA7C77">
              <w:rPr>
                <w:rFonts w:cs="Calibri"/>
                <w:color w:val="FFFFFF" w:themeColor="background1"/>
              </w:rPr>
              <w:t xml:space="preserve"> </w:t>
            </w:r>
            <w:r w:rsidRPr="00C441BB">
              <w:rPr>
                <w:rFonts w:cs="Calibri"/>
                <w:color w:val="FFFFFF" w:themeColor="background1"/>
              </w:rPr>
              <w:t>However, it is unlikely that comparative figures can be provided where only part of an output class is transferred as part of an AA (note that a reasonable effort must be made).</w:t>
            </w:r>
            <w:r w:rsidR="00FA7C77">
              <w:rPr>
                <w:rFonts w:cs="Calibri"/>
                <w:color w:val="FFFFFF" w:themeColor="background1"/>
              </w:rPr>
              <w:t xml:space="preserve"> </w:t>
            </w:r>
            <w:r w:rsidRPr="00C441BB">
              <w:rPr>
                <w:rFonts w:cs="Calibri"/>
                <w:color w:val="FFFFFF" w:themeColor="background1"/>
              </w:rPr>
              <w:t xml:space="preserve"> </w:t>
            </w:r>
          </w:p>
        </w:tc>
      </w:tr>
      <w:tr w:rsidR="000848D8" w:rsidRPr="00CF7E1B" w14:paraId="3884335B" w14:textId="77777777" w:rsidTr="0004564D">
        <w:tc>
          <w:tcPr>
            <w:tcW w:w="1560" w:type="dxa"/>
            <w:tcBorders>
              <w:left w:val="single" w:sz="2" w:space="0" w:color="auto"/>
              <w:right w:val="single" w:sz="2" w:space="0" w:color="auto"/>
            </w:tcBorders>
          </w:tcPr>
          <w:p w14:paraId="56B54E21" w14:textId="77777777" w:rsidR="000848D8" w:rsidRPr="00C441BB" w:rsidRDefault="000848D8" w:rsidP="00301C2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vAlign w:val="bottom"/>
          </w:tcPr>
          <w:p w14:paraId="04833490" w14:textId="49FB5DAE" w:rsidR="000848D8" w:rsidRPr="00C441BB" w:rsidRDefault="000848D8" w:rsidP="00301C2A">
            <w:pPr>
              <w:pStyle w:val="TableText"/>
              <w:tabs>
                <w:tab w:val="left" w:pos="3306"/>
              </w:tabs>
              <w:spacing w:before="0" w:after="120"/>
              <w:jc w:val="both"/>
              <w:rPr>
                <w:rFonts w:cs="Calibri"/>
                <w:color w:val="FFFFFF" w:themeColor="background1"/>
              </w:rPr>
            </w:pPr>
            <w:r w:rsidRPr="00C441BB">
              <w:rPr>
                <w:rFonts w:cs="Calibri"/>
                <w:color w:val="FFFFFF" w:themeColor="background1"/>
              </w:rPr>
              <w:t>The example provided in the Model for 2022 involved the transfer of a Heritage and Environment division between ‘</w:t>
            </w:r>
            <w:r w:rsidRPr="00C441BB">
              <w:rPr>
                <w:color w:val="FFFFFF" w:themeColor="background1"/>
              </w:rPr>
              <w:t>Burley Griffin</w:t>
            </w:r>
            <w:r w:rsidRPr="00C441BB">
              <w:rPr>
                <w:rFonts w:cs="Calibri"/>
                <w:color w:val="FFFFFF" w:themeColor="background1"/>
              </w:rPr>
              <w:t xml:space="preserve"> Agency’ and ABC Directorate.</w:t>
            </w:r>
            <w:r w:rsidR="00FA7C77">
              <w:rPr>
                <w:rFonts w:cs="Calibri"/>
                <w:color w:val="FFFFFF" w:themeColor="background1"/>
              </w:rPr>
              <w:t xml:space="preserve"> </w:t>
            </w:r>
            <w:r w:rsidRPr="00C441BB">
              <w:rPr>
                <w:rFonts w:cs="Calibri"/>
                <w:color w:val="FFFFFF" w:themeColor="background1"/>
              </w:rPr>
              <w:t>Given this is the transfer of a separate output, rather than an Output Class, comparatives have not been disclosed.</w:t>
            </w:r>
          </w:p>
        </w:tc>
      </w:tr>
    </w:tbl>
    <w:p w14:paraId="2FBC99E0" w14:textId="77777777" w:rsidR="00516149" w:rsidRPr="00CF7E1B" w:rsidRDefault="00516149" w:rsidP="002C6F4A">
      <w:pPr>
        <w:rPr>
          <w:rFonts w:cs="Calibri"/>
        </w:rPr>
        <w:sectPr w:rsidR="00516149" w:rsidRPr="00CF7E1B" w:rsidSect="004514CD">
          <w:footnotePr>
            <w:numRestart w:val="eachPage"/>
          </w:footnotePr>
          <w:pgSz w:w="11907" w:h="16840" w:code="9"/>
          <w:pgMar w:top="567" w:right="680" w:bottom="567" w:left="680" w:header="720" w:footer="720" w:gutter="0"/>
          <w:cols w:space="720"/>
        </w:sectPr>
      </w:pPr>
    </w:p>
    <w:tbl>
      <w:tblPr>
        <w:tblW w:w="1049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2301"/>
        <w:gridCol w:w="890"/>
        <w:gridCol w:w="1028"/>
        <w:gridCol w:w="243"/>
        <w:gridCol w:w="1032"/>
        <w:gridCol w:w="1133"/>
        <w:gridCol w:w="1133"/>
        <w:gridCol w:w="1170"/>
      </w:tblGrid>
      <w:tr w:rsidR="00E75710" w:rsidRPr="00CF7E1B" w14:paraId="715FB40B" w14:textId="77777777" w:rsidTr="0004564D">
        <w:trPr>
          <w:cantSplit/>
          <w:trHeight w:val="119"/>
        </w:trPr>
        <w:tc>
          <w:tcPr>
            <w:tcW w:w="1563" w:type="dxa"/>
            <w:tcBorders>
              <w:top w:val="nil"/>
              <w:left w:val="single" w:sz="2" w:space="0" w:color="auto"/>
              <w:bottom w:val="nil"/>
              <w:right w:val="single" w:sz="2" w:space="0" w:color="auto"/>
            </w:tcBorders>
          </w:tcPr>
          <w:p w14:paraId="3967E2FF" w14:textId="77777777" w:rsidR="00E75710" w:rsidRPr="00470415" w:rsidRDefault="007E1584" w:rsidP="006E51FA">
            <w:pPr>
              <w:pStyle w:val="Reference"/>
              <w:spacing w:before="240" w:after="240"/>
              <w:rPr>
                <w:rFonts w:cs="Calibri"/>
                <w:color w:val="7030A0"/>
                <w:sz w:val="22"/>
                <w:szCs w:val="22"/>
              </w:rPr>
            </w:pPr>
            <w:bookmarkStart w:id="626" w:name="FinanInstrument" w:colFirst="1" w:colLast="1"/>
            <w:r w:rsidRPr="00470415">
              <w:rPr>
                <w:rFonts w:cs="Calibri"/>
                <w:color w:val="7030A0"/>
                <w:sz w:val="22"/>
                <w:szCs w:val="22"/>
              </w:rPr>
              <w:t>Reference</w:t>
            </w:r>
          </w:p>
        </w:tc>
        <w:tc>
          <w:tcPr>
            <w:tcW w:w="8930" w:type="dxa"/>
            <w:gridSpan w:val="8"/>
            <w:tcBorders>
              <w:top w:val="nil"/>
              <w:left w:val="single" w:sz="2" w:space="0" w:color="auto"/>
              <w:bottom w:val="nil"/>
              <w:right w:val="nil"/>
            </w:tcBorders>
            <w:vAlign w:val="bottom"/>
          </w:tcPr>
          <w:p w14:paraId="617C1C8A" w14:textId="4EA4C887" w:rsidR="00E75710" w:rsidRPr="00470415" w:rsidRDefault="00F700E5" w:rsidP="00392B65">
            <w:pPr>
              <w:pStyle w:val="Heading1"/>
              <w:numPr>
                <w:ilvl w:val="0"/>
                <w:numId w:val="0"/>
              </w:numPr>
            </w:pPr>
            <w:bookmarkStart w:id="627" w:name="_Toc400627357"/>
            <w:bookmarkStart w:id="628" w:name="_Toc98763161"/>
            <w:r w:rsidRPr="00470415">
              <w:t>Note</w:t>
            </w:r>
            <w:r w:rsidR="007E1584" w:rsidRPr="00470415">
              <w:t xml:space="preserve"> </w:t>
            </w:r>
            <w:r w:rsidR="003334D4" w:rsidRPr="00470415">
              <w:t>31</w:t>
            </w:r>
            <w:r w:rsidR="007E1584" w:rsidRPr="00470415">
              <w:t>.</w:t>
            </w:r>
            <w:r w:rsidR="00FA7C77">
              <w:t xml:space="preserve"> </w:t>
            </w:r>
            <w:r w:rsidRPr="00470415">
              <w:t xml:space="preserve"> </w:t>
            </w:r>
            <w:r w:rsidR="007E1584" w:rsidRPr="00470415">
              <w:t>Financial Instruments</w:t>
            </w:r>
            <w:bookmarkEnd w:id="627"/>
            <w:bookmarkEnd w:id="628"/>
          </w:p>
        </w:tc>
      </w:tr>
      <w:tr w:rsidR="00BE6754" w:rsidRPr="00CF7E1B" w14:paraId="4CF3E136" w14:textId="77777777" w:rsidTr="0004564D">
        <w:trPr>
          <w:cantSplit/>
          <w:trHeight w:val="119"/>
        </w:trPr>
        <w:tc>
          <w:tcPr>
            <w:tcW w:w="1563" w:type="dxa"/>
            <w:tcBorders>
              <w:top w:val="nil"/>
              <w:left w:val="single" w:sz="2" w:space="0" w:color="auto"/>
              <w:bottom w:val="nil"/>
              <w:right w:val="single" w:sz="2" w:space="0" w:color="auto"/>
            </w:tcBorders>
            <w:vAlign w:val="bottom"/>
          </w:tcPr>
          <w:p w14:paraId="41C90C13" w14:textId="77777777" w:rsidR="00BE6754" w:rsidRPr="00470415" w:rsidRDefault="00BE6754" w:rsidP="00BE6754">
            <w:pPr>
              <w:pStyle w:val="Reference"/>
              <w:rPr>
                <w:rFonts w:cs="Calibri"/>
                <w:color w:val="7030A0"/>
                <w:sz w:val="22"/>
                <w:szCs w:val="22"/>
              </w:rPr>
            </w:pPr>
          </w:p>
        </w:tc>
        <w:tc>
          <w:tcPr>
            <w:tcW w:w="8930" w:type="dxa"/>
            <w:gridSpan w:val="8"/>
            <w:tcBorders>
              <w:top w:val="nil"/>
              <w:left w:val="single" w:sz="2" w:space="0" w:color="auto"/>
              <w:bottom w:val="nil"/>
              <w:right w:val="nil"/>
            </w:tcBorders>
            <w:vAlign w:val="bottom"/>
          </w:tcPr>
          <w:p w14:paraId="58E10E71" w14:textId="7F8883A2" w:rsidR="00BE6754" w:rsidRPr="00470415" w:rsidRDefault="00BE6754" w:rsidP="00BE6754">
            <w:pPr>
              <w:rPr>
                <w:b/>
                <w:bCs/>
                <w:sz w:val="18"/>
                <w:szCs w:val="18"/>
              </w:rPr>
            </w:pPr>
            <w:r w:rsidRPr="00470415">
              <w:rPr>
                <w:b/>
                <w:bCs/>
                <w:sz w:val="18"/>
                <w:szCs w:val="18"/>
              </w:rPr>
              <w:t>Material Accounting Policies Relating to Financial Instruments</w:t>
            </w:r>
          </w:p>
        </w:tc>
      </w:tr>
      <w:bookmarkEnd w:id="626"/>
      <w:tr w:rsidR="007F2C2B" w:rsidRPr="00CF7E1B" w14:paraId="5730779C" w14:textId="77777777" w:rsidTr="0004564D">
        <w:trPr>
          <w:cantSplit/>
          <w:trHeight w:val="722"/>
        </w:trPr>
        <w:tc>
          <w:tcPr>
            <w:tcW w:w="1563" w:type="dxa"/>
            <w:tcBorders>
              <w:top w:val="nil"/>
              <w:left w:val="single" w:sz="2" w:space="0" w:color="auto"/>
              <w:bottom w:val="nil"/>
              <w:right w:val="single" w:sz="2" w:space="0" w:color="auto"/>
            </w:tcBorders>
            <w:vAlign w:val="bottom"/>
          </w:tcPr>
          <w:p w14:paraId="7F8B08FF" w14:textId="77777777" w:rsidR="007F2C2B" w:rsidRPr="00470415" w:rsidRDefault="007F2C2B" w:rsidP="00B66BEB">
            <w:pPr>
              <w:pStyle w:val="Reference"/>
              <w:rPr>
                <w:rFonts w:cs="Calibri"/>
                <w:color w:val="7030A0"/>
                <w:sz w:val="16"/>
                <w:szCs w:val="16"/>
              </w:rPr>
            </w:pPr>
          </w:p>
        </w:tc>
        <w:tc>
          <w:tcPr>
            <w:tcW w:w="8930" w:type="dxa"/>
            <w:gridSpan w:val="8"/>
            <w:tcBorders>
              <w:top w:val="nil"/>
              <w:left w:val="single" w:sz="2" w:space="0" w:color="auto"/>
              <w:bottom w:val="nil"/>
              <w:right w:val="nil"/>
            </w:tcBorders>
            <w:vAlign w:val="bottom"/>
          </w:tcPr>
          <w:p w14:paraId="13E51A59" w14:textId="50550A95" w:rsidR="007F2C2B" w:rsidRPr="00470415" w:rsidRDefault="007F2C2B" w:rsidP="00BE6754">
            <w:pPr>
              <w:spacing w:after="120"/>
              <w:jc w:val="both"/>
              <w:rPr>
                <w:rFonts w:cs="Calibri"/>
                <w:sz w:val="18"/>
                <w:szCs w:val="18"/>
              </w:rPr>
            </w:pPr>
            <w:r w:rsidRPr="00470415">
              <w:rPr>
                <w:rFonts w:cs="Calibri"/>
                <w:sz w:val="18"/>
                <w:szCs w:val="18"/>
              </w:rPr>
              <w:t xml:space="preserve">Details of the </w:t>
            </w:r>
            <w:r w:rsidR="0006055F" w:rsidRPr="00470415">
              <w:rPr>
                <w:rFonts w:cs="Calibri"/>
                <w:sz w:val="18"/>
                <w:szCs w:val="18"/>
              </w:rPr>
              <w:t xml:space="preserve">material accounting </w:t>
            </w:r>
            <w:r w:rsidRPr="00470415">
              <w:rPr>
                <w:rFonts w:cs="Calibri"/>
                <w:sz w:val="18"/>
                <w:szCs w:val="18"/>
              </w:rPr>
              <w:t>policies and methods adopted, including the criteria for recognition, the basis of measurement, and the basis on which income and expenses are recognised, with respect to each class of financial asset and financial liability are disclosed in the note to which they relate.</w:t>
            </w:r>
            <w:r w:rsidR="00FA7C77">
              <w:rPr>
                <w:rFonts w:cs="Calibri"/>
                <w:sz w:val="18"/>
                <w:szCs w:val="18"/>
              </w:rPr>
              <w:t xml:space="preserve"> </w:t>
            </w:r>
            <w:r w:rsidR="00BE6754" w:rsidRPr="00470415">
              <w:rPr>
                <w:rFonts w:cs="Calibri"/>
                <w:sz w:val="18"/>
                <w:szCs w:val="18"/>
              </w:rPr>
              <w:t>In addition to these policies, the following are also accounting policies relating to financial assets</w:t>
            </w:r>
            <w:r w:rsidR="0058636C" w:rsidRPr="00470415">
              <w:rPr>
                <w:rFonts w:cs="Calibri"/>
                <w:sz w:val="18"/>
                <w:szCs w:val="18"/>
              </w:rPr>
              <w:t xml:space="preserve"> and liabilities</w:t>
            </w:r>
            <w:r w:rsidR="00BE6754" w:rsidRPr="00470415">
              <w:rPr>
                <w:rFonts w:cs="Calibri"/>
                <w:sz w:val="18"/>
                <w:szCs w:val="18"/>
              </w:rPr>
              <w:t xml:space="preserve">. </w:t>
            </w:r>
          </w:p>
        </w:tc>
      </w:tr>
      <w:tr w:rsidR="0006055F" w:rsidRPr="004914DB" w14:paraId="0E50CFE2" w14:textId="77777777" w:rsidTr="0004564D">
        <w:trPr>
          <w:cantSplit/>
          <w:trHeight w:val="299"/>
        </w:trPr>
        <w:tc>
          <w:tcPr>
            <w:tcW w:w="1563" w:type="dxa"/>
            <w:tcBorders>
              <w:top w:val="nil"/>
              <w:left w:val="single" w:sz="2" w:space="0" w:color="auto"/>
              <w:bottom w:val="nil"/>
              <w:right w:val="single" w:sz="2" w:space="0" w:color="auto"/>
            </w:tcBorders>
            <w:vAlign w:val="bottom"/>
          </w:tcPr>
          <w:p w14:paraId="1FB46DE0" w14:textId="77777777" w:rsidR="0006055F" w:rsidRPr="00470415" w:rsidRDefault="0006055F" w:rsidP="009A0F2F">
            <w:pPr>
              <w:pStyle w:val="Reference"/>
              <w:rPr>
                <w:rFonts w:cs="Calibri"/>
                <w:b w:val="0"/>
                <w:bCs w:val="0"/>
                <w:color w:val="7030A0"/>
                <w:sz w:val="14"/>
                <w:szCs w:val="14"/>
              </w:rPr>
            </w:pPr>
            <w:r w:rsidRPr="00470415">
              <w:rPr>
                <w:rFonts w:cs="Calibri"/>
                <w:b w:val="0"/>
                <w:bCs w:val="0"/>
                <w:color w:val="7030A0"/>
                <w:sz w:val="14"/>
                <w:szCs w:val="14"/>
              </w:rPr>
              <w:t>AASB 9.4.1.1</w:t>
            </w:r>
          </w:p>
        </w:tc>
        <w:tc>
          <w:tcPr>
            <w:tcW w:w="8930" w:type="dxa"/>
            <w:gridSpan w:val="8"/>
            <w:tcBorders>
              <w:top w:val="nil"/>
              <w:left w:val="single" w:sz="2" w:space="0" w:color="auto"/>
              <w:bottom w:val="nil"/>
              <w:right w:val="nil"/>
            </w:tcBorders>
            <w:vAlign w:val="bottom"/>
          </w:tcPr>
          <w:p w14:paraId="67E7E950" w14:textId="6F4E69F0" w:rsidR="0006055F" w:rsidRPr="00470415" w:rsidRDefault="0006055F" w:rsidP="00BE6754">
            <w:pPr>
              <w:spacing w:after="40"/>
              <w:jc w:val="both"/>
              <w:rPr>
                <w:rFonts w:cs="Calibri"/>
                <w:sz w:val="18"/>
                <w:szCs w:val="18"/>
              </w:rPr>
            </w:pPr>
            <w:r w:rsidRPr="00470415">
              <w:rPr>
                <w:rFonts w:cs="Calibri"/>
                <w:sz w:val="18"/>
                <w:szCs w:val="18"/>
              </w:rPr>
              <w:t>Financial assets as subsequently measured at amortised cost, fair value through other comprehensive income or fair value through profit or loss on the basis of both:</w:t>
            </w:r>
          </w:p>
          <w:p w14:paraId="46EE9215" w14:textId="77777777" w:rsidR="0006055F" w:rsidRPr="00470415" w:rsidRDefault="0006055F" w:rsidP="007122BC">
            <w:pPr>
              <w:pStyle w:val="ListParagraph"/>
              <w:numPr>
                <w:ilvl w:val="0"/>
                <w:numId w:val="49"/>
              </w:numPr>
              <w:spacing w:after="40"/>
              <w:contextualSpacing w:val="0"/>
              <w:jc w:val="both"/>
              <w:rPr>
                <w:rFonts w:cs="Calibri"/>
                <w:sz w:val="18"/>
                <w:szCs w:val="18"/>
              </w:rPr>
            </w:pPr>
            <w:r w:rsidRPr="00470415">
              <w:rPr>
                <w:rFonts w:cs="Calibri"/>
                <w:sz w:val="18"/>
                <w:szCs w:val="18"/>
              </w:rPr>
              <w:t>the business model for managing the financial assets; and</w:t>
            </w:r>
          </w:p>
          <w:p w14:paraId="4966F84F" w14:textId="77777777" w:rsidR="0006055F" w:rsidRPr="00470415" w:rsidRDefault="0006055F" w:rsidP="007122BC">
            <w:pPr>
              <w:pStyle w:val="ListParagraph"/>
              <w:numPr>
                <w:ilvl w:val="0"/>
                <w:numId w:val="49"/>
              </w:numPr>
              <w:spacing w:after="120"/>
              <w:ind w:left="714" w:hanging="357"/>
              <w:contextualSpacing w:val="0"/>
              <w:jc w:val="both"/>
              <w:rPr>
                <w:rFonts w:cs="Calibri"/>
                <w:sz w:val="18"/>
                <w:szCs w:val="18"/>
              </w:rPr>
            </w:pPr>
            <w:r w:rsidRPr="00470415">
              <w:rPr>
                <w:rFonts w:cs="Calibri"/>
                <w:sz w:val="18"/>
                <w:szCs w:val="18"/>
              </w:rPr>
              <w:t>the contractual cash flow characteristics of the financial assets.</w:t>
            </w:r>
          </w:p>
        </w:tc>
      </w:tr>
      <w:tr w:rsidR="0006055F" w:rsidRPr="007F2C2B" w14:paraId="3F61AA2B" w14:textId="77777777" w:rsidTr="0004564D">
        <w:trPr>
          <w:cantSplit/>
          <w:trHeight w:val="299"/>
        </w:trPr>
        <w:tc>
          <w:tcPr>
            <w:tcW w:w="1563" w:type="dxa"/>
            <w:tcBorders>
              <w:top w:val="nil"/>
              <w:left w:val="single" w:sz="2" w:space="0" w:color="auto"/>
              <w:bottom w:val="nil"/>
              <w:right w:val="single" w:sz="2" w:space="0" w:color="auto"/>
            </w:tcBorders>
            <w:vAlign w:val="bottom"/>
          </w:tcPr>
          <w:p w14:paraId="4D43DB21" w14:textId="77777777" w:rsidR="0006055F" w:rsidRPr="00470415" w:rsidRDefault="0006055F" w:rsidP="009A0F2F">
            <w:pPr>
              <w:pStyle w:val="Reference"/>
              <w:rPr>
                <w:rFonts w:cs="Calibri"/>
                <w:color w:val="7030A0"/>
                <w:sz w:val="16"/>
                <w:szCs w:val="16"/>
              </w:rPr>
            </w:pPr>
          </w:p>
        </w:tc>
        <w:tc>
          <w:tcPr>
            <w:tcW w:w="8930" w:type="dxa"/>
            <w:gridSpan w:val="8"/>
            <w:tcBorders>
              <w:top w:val="nil"/>
              <w:left w:val="single" w:sz="2" w:space="0" w:color="auto"/>
              <w:bottom w:val="nil"/>
              <w:right w:val="nil"/>
            </w:tcBorders>
            <w:vAlign w:val="bottom"/>
          </w:tcPr>
          <w:p w14:paraId="3F3A6C83" w14:textId="5D0D2136" w:rsidR="0006055F" w:rsidRPr="00470415" w:rsidRDefault="0006055F" w:rsidP="009A0F2F">
            <w:pPr>
              <w:jc w:val="both"/>
              <w:rPr>
                <w:rFonts w:cs="Calibri"/>
                <w:sz w:val="18"/>
                <w:szCs w:val="18"/>
              </w:rPr>
            </w:pPr>
            <w:r w:rsidRPr="00470415">
              <w:rPr>
                <w:rFonts w:cs="Calibri"/>
                <w:sz w:val="18"/>
                <w:szCs w:val="18"/>
              </w:rPr>
              <w:t>The following are the classification of ‘Burley Griffin Agency’s’ financial assets under AASB 9:</w:t>
            </w:r>
          </w:p>
        </w:tc>
      </w:tr>
      <w:tr w:rsidR="0006055F" w:rsidRPr="00B24233" w14:paraId="5888070C" w14:textId="77777777" w:rsidTr="0004564D">
        <w:trPr>
          <w:cantSplit/>
          <w:trHeight w:val="23"/>
        </w:trPr>
        <w:tc>
          <w:tcPr>
            <w:tcW w:w="1563" w:type="dxa"/>
            <w:tcBorders>
              <w:top w:val="nil"/>
              <w:left w:val="single" w:sz="2" w:space="0" w:color="auto"/>
              <w:bottom w:val="nil"/>
              <w:right w:val="single" w:sz="2" w:space="0" w:color="auto"/>
            </w:tcBorders>
            <w:vAlign w:val="bottom"/>
          </w:tcPr>
          <w:p w14:paraId="20C9FF87"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vAlign w:val="bottom"/>
          </w:tcPr>
          <w:p w14:paraId="005C9199" w14:textId="77777777" w:rsidR="0006055F" w:rsidRPr="00470415" w:rsidRDefault="0006055F" w:rsidP="009A0F2F">
            <w:pPr>
              <w:pStyle w:val="Heading1"/>
              <w:numPr>
                <w:ilvl w:val="0"/>
                <w:numId w:val="0"/>
              </w:numPr>
              <w:spacing w:before="120" w:after="120"/>
              <w:rPr>
                <w:rFonts w:ascii="Calibri" w:hAnsi="Calibri"/>
                <w:caps w:val="0"/>
                <w:sz w:val="18"/>
                <w:szCs w:val="18"/>
              </w:rPr>
            </w:pPr>
            <w:bookmarkStart w:id="629" w:name="_Toc98763162"/>
            <w:r w:rsidRPr="00470415">
              <w:rPr>
                <w:rFonts w:ascii="Calibri" w:hAnsi="Calibri"/>
                <w:caps w:val="0"/>
                <w:sz w:val="18"/>
                <w:szCs w:val="18"/>
              </w:rPr>
              <w:t>Items</w:t>
            </w:r>
            <w:bookmarkEnd w:id="629"/>
          </w:p>
        </w:tc>
        <w:tc>
          <w:tcPr>
            <w:tcW w:w="2161" w:type="dxa"/>
            <w:gridSpan w:val="3"/>
            <w:tcBorders>
              <w:top w:val="nil"/>
              <w:left w:val="nil"/>
              <w:bottom w:val="nil"/>
              <w:right w:val="nil"/>
            </w:tcBorders>
            <w:vAlign w:val="bottom"/>
          </w:tcPr>
          <w:p w14:paraId="7A4A4CDB" w14:textId="77777777" w:rsidR="0006055F" w:rsidRPr="00470415" w:rsidRDefault="0006055F" w:rsidP="009A0F2F">
            <w:pPr>
              <w:pStyle w:val="Heading1"/>
              <w:numPr>
                <w:ilvl w:val="0"/>
                <w:numId w:val="0"/>
              </w:numPr>
              <w:spacing w:before="120" w:after="0"/>
              <w:jc w:val="center"/>
              <w:rPr>
                <w:rFonts w:ascii="Calibri" w:hAnsi="Calibri"/>
                <w:caps w:val="0"/>
                <w:sz w:val="18"/>
                <w:szCs w:val="18"/>
              </w:rPr>
            </w:pPr>
            <w:bookmarkStart w:id="630" w:name="_Toc98763163"/>
            <w:r w:rsidRPr="00470415">
              <w:rPr>
                <w:rFonts w:ascii="Calibri" w:hAnsi="Calibri"/>
                <w:caps w:val="0"/>
                <w:sz w:val="18"/>
                <w:szCs w:val="18"/>
              </w:rPr>
              <w:t>Business Model</w:t>
            </w:r>
            <w:bookmarkEnd w:id="630"/>
          </w:p>
          <w:p w14:paraId="0F736932" w14:textId="77777777" w:rsidR="0006055F" w:rsidRPr="00470415" w:rsidRDefault="0006055F" w:rsidP="009A0F2F">
            <w:pPr>
              <w:pStyle w:val="Heading1"/>
              <w:numPr>
                <w:ilvl w:val="0"/>
                <w:numId w:val="0"/>
              </w:numPr>
              <w:spacing w:before="0" w:after="120"/>
              <w:jc w:val="center"/>
              <w:rPr>
                <w:rFonts w:ascii="Calibri" w:hAnsi="Calibri"/>
                <w:caps w:val="0"/>
                <w:sz w:val="18"/>
                <w:szCs w:val="18"/>
              </w:rPr>
            </w:pPr>
            <w:bookmarkStart w:id="631" w:name="_Toc98763164"/>
            <w:r w:rsidRPr="00470415">
              <w:rPr>
                <w:rFonts w:ascii="Calibri" w:hAnsi="Calibri"/>
                <w:caps w:val="0"/>
                <w:sz w:val="18"/>
                <w:szCs w:val="18"/>
              </w:rPr>
              <w:t>Held to collect principal and interest/sell</w:t>
            </w:r>
            <w:bookmarkEnd w:id="631"/>
          </w:p>
        </w:tc>
        <w:tc>
          <w:tcPr>
            <w:tcW w:w="2165" w:type="dxa"/>
            <w:gridSpan w:val="2"/>
            <w:tcBorders>
              <w:top w:val="nil"/>
              <w:left w:val="nil"/>
              <w:bottom w:val="nil"/>
              <w:right w:val="nil"/>
            </w:tcBorders>
            <w:vAlign w:val="bottom"/>
          </w:tcPr>
          <w:p w14:paraId="599759C9" w14:textId="77777777" w:rsidR="0006055F" w:rsidRPr="00470415" w:rsidRDefault="0006055F" w:rsidP="009A0F2F">
            <w:pPr>
              <w:pStyle w:val="Heading1"/>
              <w:numPr>
                <w:ilvl w:val="0"/>
                <w:numId w:val="0"/>
              </w:numPr>
              <w:spacing w:before="120" w:after="120"/>
              <w:jc w:val="center"/>
              <w:rPr>
                <w:rFonts w:ascii="Calibri" w:hAnsi="Calibri"/>
                <w:caps w:val="0"/>
                <w:sz w:val="18"/>
                <w:szCs w:val="18"/>
              </w:rPr>
            </w:pPr>
            <w:bookmarkStart w:id="632" w:name="_Toc98763165"/>
            <w:r w:rsidRPr="00470415">
              <w:rPr>
                <w:rFonts w:ascii="Calibri" w:hAnsi="Calibri"/>
                <w:caps w:val="0"/>
                <w:sz w:val="18"/>
                <w:szCs w:val="18"/>
              </w:rPr>
              <w:t>Solely for payment of Principal and Interest SPPI Test (basic lending characteristics)</w:t>
            </w:r>
            <w:bookmarkEnd w:id="632"/>
          </w:p>
        </w:tc>
        <w:tc>
          <w:tcPr>
            <w:tcW w:w="2303" w:type="dxa"/>
            <w:gridSpan w:val="2"/>
            <w:tcBorders>
              <w:top w:val="nil"/>
              <w:left w:val="nil"/>
              <w:bottom w:val="nil"/>
              <w:right w:val="nil"/>
            </w:tcBorders>
            <w:vAlign w:val="bottom"/>
          </w:tcPr>
          <w:p w14:paraId="1E5C5DD2" w14:textId="77777777" w:rsidR="0006055F" w:rsidRPr="00470415" w:rsidRDefault="0006055F" w:rsidP="009A0F2F">
            <w:pPr>
              <w:pStyle w:val="Heading1"/>
              <w:numPr>
                <w:ilvl w:val="0"/>
                <w:numId w:val="0"/>
              </w:numPr>
              <w:spacing w:before="120" w:after="120"/>
              <w:jc w:val="center"/>
              <w:rPr>
                <w:rFonts w:ascii="Calibri" w:hAnsi="Calibri"/>
                <w:caps w:val="0"/>
                <w:sz w:val="18"/>
                <w:szCs w:val="18"/>
              </w:rPr>
            </w:pPr>
            <w:bookmarkStart w:id="633" w:name="_Toc98763166"/>
            <w:r w:rsidRPr="00470415">
              <w:rPr>
                <w:rFonts w:ascii="Calibri" w:hAnsi="Calibri"/>
                <w:caps w:val="0"/>
                <w:sz w:val="18"/>
                <w:szCs w:val="18"/>
              </w:rPr>
              <w:t>Classification</w:t>
            </w:r>
            <w:bookmarkEnd w:id="633"/>
          </w:p>
        </w:tc>
      </w:tr>
      <w:tr w:rsidR="0006055F" w:rsidRPr="00B24233" w14:paraId="74E0A546" w14:textId="77777777" w:rsidTr="0004564D">
        <w:trPr>
          <w:cantSplit/>
          <w:trHeight w:val="23"/>
        </w:trPr>
        <w:tc>
          <w:tcPr>
            <w:tcW w:w="1563" w:type="dxa"/>
            <w:tcBorders>
              <w:top w:val="nil"/>
              <w:left w:val="single" w:sz="2" w:space="0" w:color="auto"/>
              <w:bottom w:val="nil"/>
              <w:right w:val="single" w:sz="2" w:space="0" w:color="auto"/>
            </w:tcBorders>
            <w:vAlign w:val="bottom"/>
          </w:tcPr>
          <w:p w14:paraId="75833551"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45A15C16" w14:textId="77777777" w:rsidR="0006055F" w:rsidRPr="00470415" w:rsidRDefault="0006055F" w:rsidP="0058636C">
            <w:pPr>
              <w:spacing w:after="40"/>
              <w:rPr>
                <w:sz w:val="18"/>
                <w:szCs w:val="18"/>
              </w:rPr>
            </w:pPr>
            <w:r w:rsidRPr="00470415">
              <w:rPr>
                <w:sz w:val="18"/>
                <w:szCs w:val="18"/>
              </w:rPr>
              <w:t>Cash and Cash Equivalents</w:t>
            </w:r>
          </w:p>
        </w:tc>
        <w:tc>
          <w:tcPr>
            <w:tcW w:w="2161" w:type="dxa"/>
            <w:gridSpan w:val="3"/>
            <w:tcBorders>
              <w:top w:val="nil"/>
              <w:left w:val="nil"/>
              <w:bottom w:val="nil"/>
              <w:right w:val="nil"/>
            </w:tcBorders>
          </w:tcPr>
          <w:p w14:paraId="5A5694FA"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2"/>
            <w:tcBorders>
              <w:top w:val="nil"/>
              <w:left w:val="nil"/>
              <w:bottom w:val="nil"/>
              <w:right w:val="nil"/>
            </w:tcBorders>
          </w:tcPr>
          <w:p w14:paraId="469E249E" w14:textId="77777777" w:rsidR="0006055F" w:rsidRPr="00470415" w:rsidRDefault="0006055F" w:rsidP="0058636C">
            <w:pPr>
              <w:spacing w:after="40"/>
              <w:jc w:val="center"/>
              <w:rPr>
                <w:sz w:val="18"/>
                <w:szCs w:val="18"/>
              </w:rPr>
            </w:pPr>
            <w:r w:rsidRPr="00470415">
              <w:rPr>
                <w:sz w:val="18"/>
                <w:szCs w:val="18"/>
              </w:rPr>
              <w:t>Yes</w:t>
            </w:r>
          </w:p>
        </w:tc>
        <w:tc>
          <w:tcPr>
            <w:tcW w:w="2303" w:type="dxa"/>
            <w:gridSpan w:val="2"/>
            <w:tcBorders>
              <w:top w:val="nil"/>
              <w:left w:val="nil"/>
              <w:bottom w:val="nil"/>
              <w:right w:val="nil"/>
            </w:tcBorders>
          </w:tcPr>
          <w:p w14:paraId="3BEFAD85"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2A916505" w14:textId="77777777" w:rsidTr="0004564D">
        <w:trPr>
          <w:cantSplit/>
          <w:trHeight w:val="23"/>
        </w:trPr>
        <w:tc>
          <w:tcPr>
            <w:tcW w:w="1563" w:type="dxa"/>
            <w:tcBorders>
              <w:top w:val="nil"/>
              <w:left w:val="single" w:sz="2" w:space="0" w:color="auto"/>
              <w:bottom w:val="nil"/>
              <w:right w:val="single" w:sz="2" w:space="0" w:color="auto"/>
            </w:tcBorders>
            <w:vAlign w:val="bottom"/>
          </w:tcPr>
          <w:p w14:paraId="69316617"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27265D58" w14:textId="6F057B39" w:rsidR="0006055F" w:rsidRPr="00470415" w:rsidRDefault="00523CDC" w:rsidP="0058636C">
            <w:pPr>
              <w:spacing w:after="40"/>
              <w:rPr>
                <w:sz w:val="18"/>
                <w:szCs w:val="18"/>
              </w:rPr>
            </w:pPr>
            <w:r w:rsidRPr="00470415">
              <w:rPr>
                <w:sz w:val="18"/>
                <w:szCs w:val="18"/>
              </w:rPr>
              <w:t xml:space="preserve">Accounts </w:t>
            </w:r>
            <w:r w:rsidR="0006055F" w:rsidRPr="00470415">
              <w:rPr>
                <w:sz w:val="18"/>
                <w:szCs w:val="18"/>
              </w:rPr>
              <w:t>Receivables</w:t>
            </w:r>
          </w:p>
        </w:tc>
        <w:tc>
          <w:tcPr>
            <w:tcW w:w="2161" w:type="dxa"/>
            <w:gridSpan w:val="3"/>
            <w:tcBorders>
              <w:top w:val="nil"/>
              <w:left w:val="nil"/>
              <w:bottom w:val="nil"/>
              <w:right w:val="nil"/>
            </w:tcBorders>
          </w:tcPr>
          <w:p w14:paraId="05D7BC68"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2"/>
            <w:tcBorders>
              <w:top w:val="nil"/>
              <w:left w:val="nil"/>
              <w:bottom w:val="nil"/>
              <w:right w:val="nil"/>
            </w:tcBorders>
          </w:tcPr>
          <w:p w14:paraId="4063A78A" w14:textId="77777777" w:rsidR="0006055F" w:rsidRPr="00470415" w:rsidRDefault="0006055F" w:rsidP="0058636C">
            <w:pPr>
              <w:spacing w:after="40"/>
              <w:jc w:val="center"/>
              <w:rPr>
                <w:sz w:val="18"/>
                <w:szCs w:val="18"/>
              </w:rPr>
            </w:pPr>
            <w:r w:rsidRPr="00470415">
              <w:rPr>
                <w:sz w:val="18"/>
                <w:szCs w:val="18"/>
              </w:rPr>
              <w:t>Yes</w:t>
            </w:r>
          </w:p>
        </w:tc>
        <w:tc>
          <w:tcPr>
            <w:tcW w:w="2303" w:type="dxa"/>
            <w:gridSpan w:val="2"/>
            <w:tcBorders>
              <w:top w:val="nil"/>
              <w:left w:val="nil"/>
              <w:bottom w:val="nil"/>
              <w:right w:val="nil"/>
            </w:tcBorders>
          </w:tcPr>
          <w:p w14:paraId="4A1F3718"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0D18599B" w14:textId="77777777" w:rsidTr="0004564D">
        <w:trPr>
          <w:cantSplit/>
          <w:trHeight w:val="23"/>
        </w:trPr>
        <w:tc>
          <w:tcPr>
            <w:tcW w:w="1563" w:type="dxa"/>
            <w:tcBorders>
              <w:top w:val="nil"/>
              <w:left w:val="single" w:sz="2" w:space="0" w:color="auto"/>
              <w:bottom w:val="nil"/>
              <w:right w:val="single" w:sz="2" w:space="0" w:color="auto"/>
            </w:tcBorders>
            <w:vAlign w:val="bottom"/>
          </w:tcPr>
          <w:p w14:paraId="26DD275E"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0D3BFD9E" w14:textId="77777777" w:rsidR="0006055F" w:rsidRPr="00470415" w:rsidRDefault="0006055F" w:rsidP="0058636C">
            <w:pPr>
              <w:spacing w:after="40"/>
              <w:rPr>
                <w:sz w:val="18"/>
                <w:szCs w:val="18"/>
              </w:rPr>
            </w:pPr>
            <w:r w:rsidRPr="00470415">
              <w:rPr>
                <w:sz w:val="18"/>
                <w:szCs w:val="18"/>
              </w:rPr>
              <w:t>Accrued Revenue</w:t>
            </w:r>
          </w:p>
        </w:tc>
        <w:tc>
          <w:tcPr>
            <w:tcW w:w="2161" w:type="dxa"/>
            <w:gridSpan w:val="3"/>
            <w:tcBorders>
              <w:top w:val="nil"/>
              <w:left w:val="nil"/>
              <w:bottom w:val="nil"/>
              <w:right w:val="nil"/>
            </w:tcBorders>
          </w:tcPr>
          <w:p w14:paraId="517D6047"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2"/>
            <w:tcBorders>
              <w:top w:val="nil"/>
              <w:left w:val="nil"/>
              <w:bottom w:val="nil"/>
              <w:right w:val="nil"/>
            </w:tcBorders>
          </w:tcPr>
          <w:p w14:paraId="51E36161" w14:textId="77777777" w:rsidR="0006055F" w:rsidRPr="00470415" w:rsidRDefault="0006055F" w:rsidP="0058636C">
            <w:pPr>
              <w:spacing w:after="40"/>
              <w:jc w:val="center"/>
              <w:rPr>
                <w:sz w:val="18"/>
                <w:szCs w:val="18"/>
              </w:rPr>
            </w:pPr>
            <w:r w:rsidRPr="00470415">
              <w:rPr>
                <w:sz w:val="18"/>
                <w:szCs w:val="18"/>
              </w:rPr>
              <w:t>Yes</w:t>
            </w:r>
          </w:p>
        </w:tc>
        <w:tc>
          <w:tcPr>
            <w:tcW w:w="2303" w:type="dxa"/>
            <w:gridSpan w:val="2"/>
            <w:tcBorders>
              <w:top w:val="nil"/>
              <w:left w:val="nil"/>
              <w:bottom w:val="nil"/>
              <w:right w:val="nil"/>
            </w:tcBorders>
          </w:tcPr>
          <w:p w14:paraId="1B1B9B0F" w14:textId="77777777" w:rsidR="0006055F" w:rsidRPr="00470415" w:rsidRDefault="0006055F" w:rsidP="0058636C">
            <w:pPr>
              <w:spacing w:after="40"/>
              <w:jc w:val="center"/>
              <w:rPr>
                <w:sz w:val="18"/>
                <w:szCs w:val="18"/>
              </w:rPr>
            </w:pPr>
            <w:r w:rsidRPr="00470415">
              <w:rPr>
                <w:sz w:val="18"/>
                <w:szCs w:val="18"/>
              </w:rPr>
              <w:t>Amortised cost</w:t>
            </w:r>
          </w:p>
        </w:tc>
      </w:tr>
      <w:tr w:rsidR="0006055F" w:rsidRPr="00B24233" w14:paraId="2412F34B" w14:textId="77777777" w:rsidTr="0004564D">
        <w:trPr>
          <w:cantSplit/>
          <w:trHeight w:val="23"/>
        </w:trPr>
        <w:tc>
          <w:tcPr>
            <w:tcW w:w="1563" w:type="dxa"/>
            <w:tcBorders>
              <w:top w:val="nil"/>
              <w:left w:val="single" w:sz="2" w:space="0" w:color="auto"/>
              <w:bottom w:val="nil"/>
              <w:right w:val="single" w:sz="2" w:space="0" w:color="auto"/>
            </w:tcBorders>
            <w:vAlign w:val="bottom"/>
          </w:tcPr>
          <w:p w14:paraId="7A3249E6" w14:textId="77777777" w:rsidR="0006055F" w:rsidRPr="00470415" w:rsidRDefault="0006055F" w:rsidP="009A0F2F">
            <w:pPr>
              <w:pStyle w:val="Reference"/>
              <w:rPr>
                <w:rFonts w:cs="Calibri"/>
                <w:color w:val="7030A0"/>
                <w:sz w:val="16"/>
                <w:szCs w:val="16"/>
              </w:rPr>
            </w:pPr>
          </w:p>
        </w:tc>
        <w:tc>
          <w:tcPr>
            <w:tcW w:w="2301" w:type="dxa"/>
            <w:tcBorders>
              <w:top w:val="nil"/>
              <w:left w:val="single" w:sz="2" w:space="0" w:color="auto"/>
              <w:bottom w:val="nil"/>
              <w:right w:val="nil"/>
            </w:tcBorders>
          </w:tcPr>
          <w:p w14:paraId="7649FE67" w14:textId="77777777" w:rsidR="0006055F" w:rsidRPr="00470415" w:rsidRDefault="0006055F" w:rsidP="0058636C">
            <w:pPr>
              <w:spacing w:after="40"/>
              <w:rPr>
                <w:sz w:val="18"/>
                <w:szCs w:val="18"/>
              </w:rPr>
            </w:pPr>
            <w:r w:rsidRPr="00470415">
              <w:rPr>
                <w:sz w:val="18"/>
                <w:szCs w:val="18"/>
              </w:rPr>
              <w:t>Loans Receivable</w:t>
            </w:r>
          </w:p>
        </w:tc>
        <w:tc>
          <w:tcPr>
            <w:tcW w:w="2161" w:type="dxa"/>
            <w:gridSpan w:val="3"/>
            <w:tcBorders>
              <w:top w:val="nil"/>
              <w:left w:val="nil"/>
              <w:bottom w:val="nil"/>
              <w:right w:val="nil"/>
            </w:tcBorders>
          </w:tcPr>
          <w:p w14:paraId="0FB1AD62" w14:textId="77777777" w:rsidR="0006055F" w:rsidRPr="00470415" w:rsidRDefault="0006055F" w:rsidP="0058636C">
            <w:pPr>
              <w:spacing w:after="40"/>
              <w:jc w:val="center"/>
              <w:rPr>
                <w:sz w:val="18"/>
                <w:szCs w:val="18"/>
              </w:rPr>
            </w:pPr>
            <w:r w:rsidRPr="00470415">
              <w:rPr>
                <w:sz w:val="18"/>
                <w:szCs w:val="18"/>
              </w:rPr>
              <w:t>Held to collect</w:t>
            </w:r>
          </w:p>
        </w:tc>
        <w:tc>
          <w:tcPr>
            <w:tcW w:w="2165" w:type="dxa"/>
            <w:gridSpan w:val="2"/>
            <w:tcBorders>
              <w:top w:val="nil"/>
              <w:left w:val="nil"/>
              <w:bottom w:val="nil"/>
              <w:right w:val="nil"/>
            </w:tcBorders>
          </w:tcPr>
          <w:p w14:paraId="2E5534BC" w14:textId="77777777" w:rsidR="0006055F" w:rsidRPr="00470415" w:rsidRDefault="0006055F" w:rsidP="0058636C">
            <w:pPr>
              <w:spacing w:after="40"/>
              <w:jc w:val="center"/>
              <w:rPr>
                <w:sz w:val="18"/>
                <w:szCs w:val="18"/>
              </w:rPr>
            </w:pPr>
            <w:r w:rsidRPr="00470415">
              <w:rPr>
                <w:sz w:val="18"/>
                <w:szCs w:val="18"/>
              </w:rPr>
              <w:t>Yes</w:t>
            </w:r>
          </w:p>
        </w:tc>
        <w:tc>
          <w:tcPr>
            <w:tcW w:w="2303" w:type="dxa"/>
            <w:gridSpan w:val="2"/>
            <w:tcBorders>
              <w:top w:val="nil"/>
              <w:left w:val="nil"/>
              <w:bottom w:val="nil"/>
              <w:right w:val="nil"/>
            </w:tcBorders>
          </w:tcPr>
          <w:p w14:paraId="15D4E99D" w14:textId="77777777" w:rsidR="0006055F" w:rsidRPr="00470415" w:rsidRDefault="0006055F" w:rsidP="0058636C">
            <w:pPr>
              <w:spacing w:after="40"/>
              <w:jc w:val="center"/>
              <w:rPr>
                <w:sz w:val="18"/>
                <w:szCs w:val="18"/>
              </w:rPr>
            </w:pPr>
            <w:r w:rsidRPr="00470415">
              <w:rPr>
                <w:sz w:val="18"/>
                <w:szCs w:val="18"/>
              </w:rPr>
              <w:t>Amortised cost</w:t>
            </w:r>
          </w:p>
        </w:tc>
      </w:tr>
      <w:tr w:rsidR="00523CDC" w:rsidRPr="00B24233" w14:paraId="0A6AFB60" w14:textId="77777777" w:rsidTr="0004564D">
        <w:trPr>
          <w:cantSplit/>
          <w:trHeight w:val="23"/>
        </w:trPr>
        <w:tc>
          <w:tcPr>
            <w:tcW w:w="1563" w:type="dxa"/>
            <w:tcBorders>
              <w:top w:val="nil"/>
              <w:left w:val="single" w:sz="2" w:space="0" w:color="auto"/>
              <w:bottom w:val="nil"/>
              <w:right w:val="single" w:sz="2" w:space="0" w:color="auto"/>
            </w:tcBorders>
            <w:vAlign w:val="bottom"/>
          </w:tcPr>
          <w:p w14:paraId="640F9867" w14:textId="77777777" w:rsidR="00523CDC" w:rsidRPr="00470415" w:rsidRDefault="00523CDC" w:rsidP="00523CDC">
            <w:pPr>
              <w:pStyle w:val="Reference"/>
              <w:rPr>
                <w:rFonts w:cs="Calibri"/>
                <w:color w:val="7030A0"/>
                <w:sz w:val="16"/>
                <w:szCs w:val="16"/>
              </w:rPr>
            </w:pPr>
          </w:p>
        </w:tc>
        <w:tc>
          <w:tcPr>
            <w:tcW w:w="2301" w:type="dxa"/>
            <w:tcBorders>
              <w:top w:val="nil"/>
              <w:left w:val="single" w:sz="2" w:space="0" w:color="auto"/>
              <w:bottom w:val="nil"/>
              <w:right w:val="nil"/>
            </w:tcBorders>
          </w:tcPr>
          <w:p w14:paraId="45569CD5" w14:textId="06B89626" w:rsidR="00523CDC" w:rsidRPr="00470415" w:rsidRDefault="00523CDC" w:rsidP="00523CDC">
            <w:pPr>
              <w:spacing w:after="40"/>
              <w:rPr>
                <w:sz w:val="18"/>
                <w:szCs w:val="18"/>
              </w:rPr>
            </w:pPr>
            <w:r w:rsidRPr="00470415">
              <w:rPr>
                <w:sz w:val="18"/>
                <w:szCs w:val="18"/>
              </w:rPr>
              <w:t>Contract Assets</w:t>
            </w:r>
          </w:p>
        </w:tc>
        <w:tc>
          <w:tcPr>
            <w:tcW w:w="2161" w:type="dxa"/>
            <w:gridSpan w:val="3"/>
            <w:tcBorders>
              <w:top w:val="nil"/>
              <w:left w:val="nil"/>
              <w:bottom w:val="nil"/>
              <w:right w:val="nil"/>
            </w:tcBorders>
          </w:tcPr>
          <w:p w14:paraId="26CB630F" w14:textId="2AEFBCE0" w:rsidR="00523CDC" w:rsidRPr="00470415" w:rsidRDefault="00523CDC" w:rsidP="00523CDC">
            <w:pPr>
              <w:spacing w:after="40"/>
              <w:jc w:val="center"/>
              <w:rPr>
                <w:sz w:val="18"/>
                <w:szCs w:val="18"/>
              </w:rPr>
            </w:pPr>
            <w:r w:rsidRPr="00470415">
              <w:rPr>
                <w:sz w:val="18"/>
                <w:szCs w:val="18"/>
              </w:rPr>
              <w:t>Held to collect</w:t>
            </w:r>
          </w:p>
        </w:tc>
        <w:tc>
          <w:tcPr>
            <w:tcW w:w="2165" w:type="dxa"/>
            <w:gridSpan w:val="2"/>
            <w:tcBorders>
              <w:top w:val="nil"/>
              <w:left w:val="nil"/>
              <w:bottom w:val="nil"/>
              <w:right w:val="nil"/>
            </w:tcBorders>
          </w:tcPr>
          <w:p w14:paraId="63A3FB75" w14:textId="4A2D98B8" w:rsidR="00523CDC" w:rsidRPr="00470415" w:rsidRDefault="00523CDC" w:rsidP="00523CDC">
            <w:pPr>
              <w:spacing w:after="40"/>
              <w:jc w:val="center"/>
              <w:rPr>
                <w:sz w:val="18"/>
                <w:szCs w:val="18"/>
              </w:rPr>
            </w:pPr>
            <w:r w:rsidRPr="00470415">
              <w:rPr>
                <w:sz w:val="18"/>
                <w:szCs w:val="18"/>
              </w:rPr>
              <w:t>Yes</w:t>
            </w:r>
          </w:p>
        </w:tc>
        <w:tc>
          <w:tcPr>
            <w:tcW w:w="2303" w:type="dxa"/>
            <w:gridSpan w:val="2"/>
            <w:tcBorders>
              <w:top w:val="nil"/>
              <w:left w:val="nil"/>
              <w:bottom w:val="nil"/>
              <w:right w:val="nil"/>
            </w:tcBorders>
          </w:tcPr>
          <w:p w14:paraId="24F29C82" w14:textId="52489F4A" w:rsidR="00523CDC" w:rsidRPr="00470415" w:rsidRDefault="00523CDC" w:rsidP="00523CDC">
            <w:pPr>
              <w:spacing w:after="40"/>
              <w:jc w:val="center"/>
              <w:rPr>
                <w:sz w:val="18"/>
                <w:szCs w:val="18"/>
              </w:rPr>
            </w:pPr>
            <w:r w:rsidRPr="00470415">
              <w:rPr>
                <w:sz w:val="18"/>
                <w:szCs w:val="18"/>
              </w:rPr>
              <w:t>Amortised cost</w:t>
            </w:r>
          </w:p>
        </w:tc>
      </w:tr>
      <w:tr w:rsidR="00523CDC" w:rsidRPr="00B24233" w14:paraId="77BA74F6" w14:textId="77777777" w:rsidTr="0004564D">
        <w:trPr>
          <w:cantSplit/>
          <w:trHeight w:val="23"/>
        </w:trPr>
        <w:tc>
          <w:tcPr>
            <w:tcW w:w="1563" w:type="dxa"/>
            <w:tcBorders>
              <w:top w:val="nil"/>
              <w:left w:val="single" w:sz="2" w:space="0" w:color="auto"/>
              <w:bottom w:val="nil"/>
              <w:right w:val="single" w:sz="2" w:space="0" w:color="auto"/>
            </w:tcBorders>
            <w:vAlign w:val="bottom"/>
          </w:tcPr>
          <w:p w14:paraId="060C5420" w14:textId="77777777" w:rsidR="00523CDC" w:rsidRPr="00470415" w:rsidRDefault="00523CDC" w:rsidP="00523CDC">
            <w:pPr>
              <w:pStyle w:val="Reference"/>
              <w:rPr>
                <w:rFonts w:cs="Calibri"/>
                <w:color w:val="7030A0"/>
                <w:sz w:val="16"/>
                <w:szCs w:val="16"/>
              </w:rPr>
            </w:pPr>
          </w:p>
        </w:tc>
        <w:tc>
          <w:tcPr>
            <w:tcW w:w="2301" w:type="dxa"/>
            <w:tcBorders>
              <w:top w:val="nil"/>
              <w:left w:val="single" w:sz="2" w:space="0" w:color="auto"/>
              <w:bottom w:val="nil"/>
              <w:right w:val="nil"/>
            </w:tcBorders>
          </w:tcPr>
          <w:p w14:paraId="2203F4DE" w14:textId="77777777" w:rsidR="00523CDC" w:rsidRPr="00470415" w:rsidRDefault="00523CDC" w:rsidP="00523CDC">
            <w:pPr>
              <w:spacing w:after="120"/>
              <w:rPr>
                <w:sz w:val="18"/>
                <w:szCs w:val="18"/>
              </w:rPr>
            </w:pPr>
            <w:r w:rsidRPr="00470415">
              <w:rPr>
                <w:sz w:val="18"/>
                <w:szCs w:val="18"/>
              </w:rPr>
              <w:t>Investments with the TBA</w:t>
            </w:r>
          </w:p>
        </w:tc>
        <w:tc>
          <w:tcPr>
            <w:tcW w:w="2161" w:type="dxa"/>
            <w:gridSpan w:val="3"/>
            <w:tcBorders>
              <w:top w:val="nil"/>
              <w:left w:val="nil"/>
              <w:bottom w:val="nil"/>
              <w:right w:val="nil"/>
            </w:tcBorders>
          </w:tcPr>
          <w:p w14:paraId="0CD5A6B1" w14:textId="77777777" w:rsidR="00523CDC" w:rsidRPr="00470415" w:rsidRDefault="00523CDC" w:rsidP="00523CDC">
            <w:pPr>
              <w:spacing w:after="40"/>
              <w:jc w:val="center"/>
              <w:rPr>
                <w:sz w:val="18"/>
                <w:szCs w:val="18"/>
              </w:rPr>
            </w:pPr>
            <w:r w:rsidRPr="00470415">
              <w:rPr>
                <w:sz w:val="18"/>
                <w:szCs w:val="18"/>
              </w:rPr>
              <w:t>Held to collect /&amp; sell</w:t>
            </w:r>
          </w:p>
        </w:tc>
        <w:tc>
          <w:tcPr>
            <w:tcW w:w="2165" w:type="dxa"/>
            <w:gridSpan w:val="2"/>
            <w:tcBorders>
              <w:top w:val="nil"/>
              <w:left w:val="nil"/>
              <w:bottom w:val="nil"/>
              <w:right w:val="nil"/>
            </w:tcBorders>
          </w:tcPr>
          <w:p w14:paraId="7B68970F" w14:textId="77777777" w:rsidR="00523CDC" w:rsidRPr="00470415" w:rsidRDefault="00523CDC" w:rsidP="00523CDC">
            <w:pPr>
              <w:spacing w:after="40"/>
              <w:jc w:val="center"/>
              <w:rPr>
                <w:sz w:val="18"/>
                <w:szCs w:val="18"/>
              </w:rPr>
            </w:pPr>
            <w:r w:rsidRPr="00470415">
              <w:rPr>
                <w:sz w:val="18"/>
                <w:szCs w:val="18"/>
              </w:rPr>
              <w:t>No</w:t>
            </w:r>
          </w:p>
        </w:tc>
        <w:tc>
          <w:tcPr>
            <w:tcW w:w="2303" w:type="dxa"/>
            <w:gridSpan w:val="2"/>
            <w:tcBorders>
              <w:top w:val="nil"/>
              <w:left w:val="nil"/>
              <w:bottom w:val="nil"/>
              <w:right w:val="nil"/>
            </w:tcBorders>
          </w:tcPr>
          <w:p w14:paraId="76781494" w14:textId="77777777" w:rsidR="00523CDC" w:rsidRPr="00470415" w:rsidRDefault="00523CDC" w:rsidP="00523CDC">
            <w:pPr>
              <w:spacing w:after="40"/>
              <w:jc w:val="center"/>
              <w:rPr>
                <w:sz w:val="18"/>
                <w:szCs w:val="18"/>
              </w:rPr>
            </w:pPr>
            <w:r w:rsidRPr="00470415">
              <w:rPr>
                <w:sz w:val="18"/>
                <w:szCs w:val="18"/>
              </w:rPr>
              <w:t>FVTPL</w:t>
            </w:r>
          </w:p>
        </w:tc>
      </w:tr>
      <w:tr w:rsidR="00523CDC" w:rsidRPr="00CF7E1B" w14:paraId="57790751" w14:textId="77777777" w:rsidTr="0004564D">
        <w:trPr>
          <w:cantSplit/>
          <w:trHeight w:val="23"/>
        </w:trPr>
        <w:tc>
          <w:tcPr>
            <w:tcW w:w="1563" w:type="dxa"/>
            <w:tcBorders>
              <w:top w:val="nil"/>
              <w:left w:val="single" w:sz="2" w:space="0" w:color="auto"/>
              <w:bottom w:val="nil"/>
              <w:right w:val="single" w:sz="2" w:space="0" w:color="auto"/>
            </w:tcBorders>
          </w:tcPr>
          <w:p w14:paraId="472603AB" w14:textId="77777777" w:rsidR="00523CDC" w:rsidRPr="00470415" w:rsidRDefault="00523CDC" w:rsidP="00523CDC">
            <w:pPr>
              <w:pStyle w:val="Reference"/>
              <w:rPr>
                <w:rFonts w:cs="Calibri"/>
                <w:color w:val="7030A0"/>
                <w:sz w:val="16"/>
                <w:szCs w:val="16"/>
              </w:rPr>
            </w:pPr>
            <w:r w:rsidRPr="00470415">
              <w:rPr>
                <w:b w:val="0"/>
                <w:bCs w:val="0"/>
                <w:color w:val="7030A0"/>
                <w:sz w:val="14"/>
                <w:szCs w:val="14"/>
              </w:rPr>
              <w:t>AASB 9.4.2.1</w:t>
            </w:r>
          </w:p>
        </w:tc>
        <w:tc>
          <w:tcPr>
            <w:tcW w:w="8930" w:type="dxa"/>
            <w:gridSpan w:val="8"/>
            <w:tcBorders>
              <w:top w:val="nil"/>
              <w:left w:val="single" w:sz="2" w:space="0" w:color="auto"/>
              <w:bottom w:val="nil"/>
              <w:right w:val="nil"/>
            </w:tcBorders>
            <w:vAlign w:val="bottom"/>
          </w:tcPr>
          <w:p w14:paraId="18678C2B" w14:textId="77777777" w:rsidR="00523CDC" w:rsidRPr="00470415" w:rsidRDefault="00523CDC" w:rsidP="00523CDC">
            <w:pPr>
              <w:rPr>
                <w:rFonts w:cs="Calibri"/>
              </w:rPr>
            </w:pPr>
            <w:r w:rsidRPr="00470415">
              <w:rPr>
                <w:sz w:val="18"/>
                <w:szCs w:val="18"/>
              </w:rPr>
              <w:t>Financial liabilities are measured at amortised cost.</w:t>
            </w:r>
          </w:p>
        </w:tc>
      </w:tr>
      <w:tr w:rsidR="00523CDC" w:rsidRPr="00CF7E1B" w14:paraId="77E97947" w14:textId="77777777" w:rsidTr="0004564D">
        <w:trPr>
          <w:cantSplit/>
          <w:trHeight w:val="23"/>
        </w:trPr>
        <w:tc>
          <w:tcPr>
            <w:tcW w:w="1563" w:type="dxa"/>
            <w:tcBorders>
              <w:top w:val="nil"/>
              <w:left w:val="single" w:sz="2" w:space="0" w:color="auto"/>
              <w:bottom w:val="nil"/>
              <w:right w:val="single" w:sz="2" w:space="0" w:color="auto"/>
            </w:tcBorders>
          </w:tcPr>
          <w:p w14:paraId="00857753" w14:textId="02AEE3E2" w:rsidR="00523CDC" w:rsidRPr="00470415" w:rsidRDefault="00523CDC" w:rsidP="00523CDC">
            <w:pPr>
              <w:pStyle w:val="Reference"/>
              <w:rPr>
                <w:rFonts w:cs="Calibri"/>
                <w:b w:val="0"/>
                <w:bCs w:val="0"/>
                <w:color w:val="7030A0"/>
                <w:sz w:val="16"/>
                <w:szCs w:val="16"/>
              </w:rPr>
            </w:pPr>
          </w:p>
        </w:tc>
        <w:tc>
          <w:tcPr>
            <w:tcW w:w="8930" w:type="dxa"/>
            <w:gridSpan w:val="8"/>
            <w:tcBorders>
              <w:top w:val="nil"/>
              <w:left w:val="single" w:sz="2" w:space="0" w:color="auto"/>
              <w:bottom w:val="nil"/>
              <w:right w:val="nil"/>
            </w:tcBorders>
          </w:tcPr>
          <w:p w14:paraId="26D942EE" w14:textId="228B92FB" w:rsidR="00523CDC" w:rsidRPr="00470415" w:rsidRDefault="00523CDC" w:rsidP="00523CDC">
            <w:pPr>
              <w:pStyle w:val="TableText"/>
              <w:spacing w:before="120"/>
              <w:jc w:val="both"/>
              <w:rPr>
                <w:rFonts w:cs="Calibri"/>
                <w:szCs w:val="16"/>
              </w:rPr>
            </w:pPr>
            <w:bookmarkStart w:id="634" w:name="_Toc48468665"/>
            <w:bookmarkStart w:id="635" w:name="_Toc49155765"/>
            <w:bookmarkStart w:id="636" w:name="_Toc49224182"/>
            <w:r w:rsidRPr="00470415">
              <w:rPr>
                <w:rFonts w:cs="Calibri"/>
                <w:b/>
                <w:szCs w:val="20"/>
              </w:rPr>
              <w:t>Interest Rate Risk</w:t>
            </w:r>
            <w:bookmarkEnd w:id="634"/>
            <w:bookmarkEnd w:id="635"/>
            <w:bookmarkEnd w:id="636"/>
          </w:p>
        </w:tc>
      </w:tr>
      <w:tr w:rsidR="00523CDC" w:rsidRPr="00CF7E1B" w14:paraId="4AF73FFC" w14:textId="77777777" w:rsidTr="0004564D">
        <w:trPr>
          <w:cantSplit/>
          <w:trHeight w:val="23"/>
        </w:trPr>
        <w:tc>
          <w:tcPr>
            <w:tcW w:w="1563" w:type="dxa"/>
            <w:tcBorders>
              <w:top w:val="nil"/>
              <w:left w:val="single" w:sz="2" w:space="0" w:color="auto"/>
              <w:bottom w:val="nil"/>
              <w:right w:val="single" w:sz="2" w:space="0" w:color="auto"/>
            </w:tcBorders>
          </w:tcPr>
          <w:p w14:paraId="50317DBA" w14:textId="68845650"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 Appendix A</w:t>
            </w:r>
          </w:p>
        </w:tc>
        <w:tc>
          <w:tcPr>
            <w:tcW w:w="8930" w:type="dxa"/>
            <w:gridSpan w:val="8"/>
            <w:tcBorders>
              <w:top w:val="nil"/>
              <w:left w:val="single" w:sz="2" w:space="0" w:color="auto"/>
              <w:bottom w:val="nil"/>
              <w:right w:val="nil"/>
            </w:tcBorders>
          </w:tcPr>
          <w:p w14:paraId="15B1397D" w14:textId="1762558F" w:rsidR="00523CDC" w:rsidRPr="00470415" w:rsidRDefault="00523CDC" w:rsidP="00523CDC">
            <w:pPr>
              <w:pStyle w:val="TableText"/>
              <w:spacing w:before="0" w:after="120"/>
              <w:jc w:val="both"/>
              <w:rPr>
                <w:rFonts w:cs="Calibri"/>
              </w:rPr>
            </w:pPr>
            <w:r w:rsidRPr="00470415">
              <w:rPr>
                <w:rFonts w:cs="Calibri"/>
              </w:rPr>
              <w:t>Interest rate risk is the risk that the fair value or future cash flows of a financial instrument will fluctuate because of changes in market interest rates.</w:t>
            </w:r>
          </w:p>
        </w:tc>
      </w:tr>
      <w:tr w:rsidR="00523CDC" w:rsidRPr="00CF7E1B" w14:paraId="3F892A46" w14:textId="77777777" w:rsidTr="0004564D">
        <w:trPr>
          <w:cantSplit/>
          <w:trHeight w:val="23"/>
        </w:trPr>
        <w:tc>
          <w:tcPr>
            <w:tcW w:w="1563" w:type="dxa"/>
            <w:tcBorders>
              <w:top w:val="nil"/>
              <w:left w:val="single" w:sz="2" w:space="0" w:color="auto"/>
              <w:bottom w:val="nil"/>
              <w:right w:val="single" w:sz="2" w:space="0" w:color="auto"/>
            </w:tcBorders>
          </w:tcPr>
          <w:p w14:paraId="5D7D5ACA"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7.33(a)</w:t>
            </w:r>
          </w:p>
          <w:p w14:paraId="15EFD4DD" w14:textId="77777777" w:rsidR="00523CDC" w:rsidRPr="00470415" w:rsidRDefault="00523CDC" w:rsidP="00523CDC">
            <w:pPr>
              <w:pStyle w:val="Reference"/>
              <w:rPr>
                <w:rFonts w:cs="Calibri"/>
                <w:b w:val="0"/>
                <w:bCs w:val="0"/>
                <w:color w:val="7030A0"/>
                <w:sz w:val="14"/>
                <w:szCs w:val="14"/>
              </w:rPr>
            </w:pPr>
          </w:p>
        </w:tc>
        <w:tc>
          <w:tcPr>
            <w:tcW w:w="8930" w:type="dxa"/>
            <w:gridSpan w:val="8"/>
            <w:tcBorders>
              <w:top w:val="nil"/>
              <w:left w:val="single" w:sz="2" w:space="0" w:color="auto"/>
              <w:bottom w:val="nil"/>
              <w:right w:val="nil"/>
            </w:tcBorders>
          </w:tcPr>
          <w:p w14:paraId="2CC5E905" w14:textId="15C28DE7" w:rsidR="00523CDC" w:rsidRPr="00470415" w:rsidRDefault="00523CDC" w:rsidP="00523CDC">
            <w:pPr>
              <w:pStyle w:val="TableText"/>
              <w:spacing w:before="0" w:after="120"/>
              <w:jc w:val="both"/>
              <w:rPr>
                <w:rFonts w:cs="Calibri"/>
              </w:rPr>
            </w:pPr>
            <w:r w:rsidRPr="00470415">
              <w:rPr>
                <w:rFonts w:cs="Calibri"/>
              </w:rPr>
              <w:t>A greater proportion of financial assets are held in floating interest rate arrangements, compared to financial liabilities that are subject to floating interest rates.</w:t>
            </w:r>
            <w:r w:rsidR="00FA7C77">
              <w:rPr>
                <w:rFonts w:cs="Calibri"/>
              </w:rPr>
              <w:t xml:space="preserve"> </w:t>
            </w:r>
            <w:r w:rsidRPr="00470415">
              <w:rPr>
                <w:rFonts w:cs="Calibri"/>
              </w:rPr>
              <w:t>This means that the Agency is not significantly exposed to movements in interest payable; however, it is exposed to movements in interest receivable.</w:t>
            </w:r>
            <w:r w:rsidR="00FA7C77">
              <w:rPr>
                <w:rFonts w:cs="Calibri"/>
              </w:rPr>
              <w:t xml:space="preserve"> </w:t>
            </w:r>
            <w:r w:rsidRPr="00470415">
              <w:rPr>
                <w:rFonts w:cs="Calibri"/>
              </w:rPr>
              <w:t>Interest rates have been stable during the year ended 30 June 2022 and, as such, have resulted in no increase in the amount of interest received.</w:t>
            </w:r>
          </w:p>
        </w:tc>
      </w:tr>
      <w:tr w:rsidR="00523CDC" w:rsidRPr="00CF7E1B" w14:paraId="14DC6B67" w14:textId="77777777" w:rsidTr="0004564D">
        <w:trPr>
          <w:cantSplit/>
          <w:trHeight w:val="23"/>
        </w:trPr>
        <w:tc>
          <w:tcPr>
            <w:tcW w:w="1563" w:type="dxa"/>
            <w:tcBorders>
              <w:top w:val="nil"/>
              <w:left w:val="single" w:sz="2" w:space="0" w:color="auto"/>
              <w:bottom w:val="nil"/>
              <w:right w:val="single" w:sz="2" w:space="0" w:color="auto"/>
            </w:tcBorders>
          </w:tcPr>
          <w:p w14:paraId="2BF74EB0" w14:textId="0A690CD5" w:rsidR="00523CDC" w:rsidRPr="00470415" w:rsidRDefault="00523CDC" w:rsidP="00523CDC">
            <w:pPr>
              <w:pStyle w:val="Reference"/>
              <w:spacing w:before="60"/>
              <w:rPr>
                <w:rFonts w:cs="Calibri"/>
                <w:b w:val="0"/>
                <w:bCs w:val="0"/>
                <w:color w:val="7030A0"/>
                <w:sz w:val="14"/>
                <w:szCs w:val="14"/>
              </w:rPr>
            </w:pPr>
            <w:r w:rsidRPr="00470415">
              <w:rPr>
                <w:rFonts w:cs="Calibri"/>
                <w:b w:val="0"/>
                <w:bCs w:val="0"/>
                <w:color w:val="7030A0"/>
                <w:sz w:val="14"/>
                <w:szCs w:val="14"/>
              </w:rPr>
              <w:t>AASB 7.33(b) &amp;(c)</w:t>
            </w:r>
          </w:p>
        </w:tc>
        <w:tc>
          <w:tcPr>
            <w:tcW w:w="8930" w:type="dxa"/>
            <w:gridSpan w:val="8"/>
            <w:tcBorders>
              <w:top w:val="nil"/>
              <w:left w:val="single" w:sz="2" w:space="0" w:color="auto"/>
              <w:bottom w:val="nil"/>
              <w:right w:val="nil"/>
            </w:tcBorders>
          </w:tcPr>
          <w:p w14:paraId="499283F0" w14:textId="06046B14" w:rsidR="00523CDC" w:rsidRPr="00470415" w:rsidRDefault="00523CDC" w:rsidP="00523CDC">
            <w:pPr>
              <w:pStyle w:val="TableText"/>
              <w:spacing w:before="0" w:after="120"/>
              <w:jc w:val="both"/>
              <w:rPr>
                <w:rFonts w:cs="Calibri"/>
              </w:rPr>
            </w:pPr>
            <w:r w:rsidRPr="00470415">
              <w:rPr>
                <w:rFonts w:cs="Calibri"/>
                <w:szCs w:val="16"/>
              </w:rPr>
              <w:t>Interest rate risk for financial assets is managed by ‘</w:t>
            </w:r>
            <w:r w:rsidRPr="00470415">
              <w:t>Burley Griffin</w:t>
            </w:r>
            <w:r w:rsidRPr="00470415">
              <w:rPr>
                <w:bCs/>
              </w:rPr>
              <w:t xml:space="preserve"> </w:t>
            </w:r>
            <w:r w:rsidRPr="00470415">
              <w:rPr>
                <w:rFonts w:cs="Calibri"/>
                <w:szCs w:val="16"/>
              </w:rPr>
              <w:t>Agency’ by trying to hold only floating interest rate investments that are low risk.</w:t>
            </w:r>
            <w:r w:rsidR="00FA7C77">
              <w:rPr>
                <w:rFonts w:cs="Calibri"/>
                <w:szCs w:val="16"/>
              </w:rPr>
              <w:t xml:space="preserve"> </w:t>
            </w:r>
            <w:r w:rsidRPr="00470415">
              <w:rPr>
                <w:rFonts w:cs="Calibri"/>
                <w:szCs w:val="16"/>
              </w:rPr>
              <w:t xml:space="preserve">Interest rate risk for financial liabilities is managed by the Agency </w:t>
            </w:r>
            <w:r w:rsidRPr="00470415">
              <w:t>mainly by having fixed rate or non-interest-bearing financial liabilities with relatively even maturity profiles, which limits the exposure to of the Agency to movements in interest rates.</w:t>
            </w:r>
            <w:r w:rsidR="00FA7C77">
              <w:t xml:space="preserve"> </w:t>
            </w:r>
            <w:r w:rsidRPr="00470415">
              <w:rPr>
                <w:rFonts w:cs="Calibri"/>
                <w:lang w:eastAsia="en-AU"/>
              </w:rPr>
              <w:t>There have been no changes in risk exposure or processes for managing risk since last financial reporting period.</w:t>
            </w:r>
          </w:p>
        </w:tc>
      </w:tr>
      <w:tr w:rsidR="00523CDC" w:rsidRPr="00CF7E1B" w14:paraId="70E9BD63" w14:textId="77777777" w:rsidTr="0004564D">
        <w:trPr>
          <w:cantSplit/>
          <w:trHeight w:val="20"/>
        </w:trPr>
        <w:tc>
          <w:tcPr>
            <w:tcW w:w="1563" w:type="dxa"/>
            <w:tcBorders>
              <w:top w:val="nil"/>
              <w:left w:val="single" w:sz="2" w:space="0" w:color="auto"/>
              <w:bottom w:val="nil"/>
              <w:right w:val="single" w:sz="2" w:space="0" w:color="auto"/>
            </w:tcBorders>
            <w:vAlign w:val="bottom"/>
          </w:tcPr>
          <w:p w14:paraId="52DE8A4F" w14:textId="77777777" w:rsidR="00523CDC" w:rsidRPr="00470415" w:rsidRDefault="00523CDC" w:rsidP="00523CDC">
            <w:pPr>
              <w:pStyle w:val="Reference"/>
              <w:rPr>
                <w:rFonts w:cs="Calibri"/>
                <w:color w:val="7030A0"/>
                <w:sz w:val="14"/>
                <w:szCs w:val="14"/>
              </w:rPr>
            </w:pPr>
          </w:p>
        </w:tc>
        <w:tc>
          <w:tcPr>
            <w:tcW w:w="8930" w:type="dxa"/>
            <w:gridSpan w:val="8"/>
            <w:tcBorders>
              <w:top w:val="nil"/>
              <w:left w:val="single" w:sz="2" w:space="0" w:color="auto"/>
              <w:bottom w:val="nil"/>
              <w:right w:val="nil"/>
            </w:tcBorders>
            <w:vAlign w:val="bottom"/>
          </w:tcPr>
          <w:p w14:paraId="3E6CD9BB" w14:textId="77777777" w:rsidR="00523CDC" w:rsidRPr="00470415" w:rsidRDefault="00523CDC" w:rsidP="00523CDC">
            <w:pPr>
              <w:tabs>
                <w:tab w:val="left" w:pos="3306"/>
              </w:tabs>
              <w:spacing w:after="120"/>
              <w:rPr>
                <w:rFonts w:cs="Calibri"/>
                <w:i/>
                <w:sz w:val="18"/>
                <w:szCs w:val="18"/>
              </w:rPr>
            </w:pPr>
            <w:r w:rsidRPr="00470415">
              <w:rPr>
                <w:rFonts w:cs="Calibri"/>
                <w:i/>
                <w:sz w:val="18"/>
                <w:szCs w:val="18"/>
              </w:rPr>
              <w:t>Sensitivity Analysis</w:t>
            </w:r>
          </w:p>
        </w:tc>
      </w:tr>
      <w:tr w:rsidR="00523CDC" w:rsidRPr="00CF7E1B" w14:paraId="62755AA8" w14:textId="77777777" w:rsidTr="0004564D">
        <w:trPr>
          <w:cantSplit/>
          <w:trHeight w:val="20"/>
        </w:trPr>
        <w:tc>
          <w:tcPr>
            <w:tcW w:w="1563" w:type="dxa"/>
            <w:tcBorders>
              <w:top w:val="nil"/>
              <w:left w:val="single" w:sz="2" w:space="0" w:color="auto"/>
              <w:bottom w:val="nil"/>
              <w:right w:val="single" w:sz="2" w:space="0" w:color="auto"/>
            </w:tcBorders>
            <w:vAlign w:val="bottom"/>
          </w:tcPr>
          <w:p w14:paraId="521372BA" w14:textId="77777777" w:rsidR="00523CDC" w:rsidRPr="00470415" w:rsidRDefault="00523CDC" w:rsidP="00523CDC">
            <w:pPr>
              <w:pStyle w:val="Reference"/>
              <w:rPr>
                <w:rFonts w:cs="Calibri"/>
                <w:color w:val="7030A0"/>
                <w:sz w:val="14"/>
                <w:szCs w:val="14"/>
              </w:rPr>
            </w:pPr>
          </w:p>
        </w:tc>
        <w:tc>
          <w:tcPr>
            <w:tcW w:w="8930" w:type="dxa"/>
            <w:gridSpan w:val="8"/>
            <w:tcBorders>
              <w:top w:val="nil"/>
              <w:left w:val="single" w:sz="2" w:space="0" w:color="auto"/>
              <w:bottom w:val="nil"/>
              <w:right w:val="nil"/>
            </w:tcBorders>
            <w:vAlign w:val="bottom"/>
          </w:tcPr>
          <w:p w14:paraId="4F253BD6" w14:textId="18A87634" w:rsidR="00523CDC" w:rsidRPr="00470415" w:rsidRDefault="00523CDC" w:rsidP="00523CDC">
            <w:pPr>
              <w:pStyle w:val="TableText"/>
              <w:spacing w:before="0" w:after="120"/>
              <w:jc w:val="both"/>
              <w:rPr>
                <w:rFonts w:cs="Calibri"/>
              </w:rPr>
            </w:pPr>
            <w:r w:rsidRPr="00470415">
              <w:rPr>
                <w:rFonts w:cs="Calibri"/>
              </w:rPr>
              <w:t>A sensitivity analysis has not been undertaken for the interest rate risk of the Agency as it has been determined that the possible impact on income and expenses or total equity from fluctuations in interest rates is immaterial.</w:t>
            </w:r>
            <w:r w:rsidR="00FA7C77">
              <w:rPr>
                <w:rFonts w:cs="Calibri"/>
              </w:rPr>
              <w:t xml:space="preserve"> </w:t>
            </w:r>
          </w:p>
        </w:tc>
      </w:tr>
      <w:tr w:rsidR="00523CDC" w:rsidRPr="00CF7E1B" w14:paraId="14D567CD" w14:textId="77777777" w:rsidTr="0004564D">
        <w:trPr>
          <w:cantSplit/>
          <w:trHeight w:val="23"/>
        </w:trPr>
        <w:tc>
          <w:tcPr>
            <w:tcW w:w="1563" w:type="dxa"/>
            <w:tcBorders>
              <w:top w:val="nil"/>
              <w:left w:val="single" w:sz="2" w:space="0" w:color="auto"/>
              <w:bottom w:val="nil"/>
              <w:right w:val="single" w:sz="2" w:space="0" w:color="auto"/>
            </w:tcBorders>
            <w:vAlign w:val="center"/>
          </w:tcPr>
          <w:p w14:paraId="6DEA687C" w14:textId="6838BFDC" w:rsidR="00523CDC" w:rsidRPr="00470415" w:rsidRDefault="00523CDC" w:rsidP="00523CDC">
            <w:pPr>
              <w:pStyle w:val="Reference"/>
              <w:rPr>
                <w:rFonts w:cs="Calibri"/>
                <w:b w:val="0"/>
                <w:bCs w:val="0"/>
                <w:color w:val="7030A0"/>
                <w:sz w:val="14"/>
                <w:szCs w:val="14"/>
              </w:rPr>
            </w:pPr>
          </w:p>
        </w:tc>
        <w:tc>
          <w:tcPr>
            <w:tcW w:w="8930" w:type="dxa"/>
            <w:gridSpan w:val="8"/>
            <w:tcBorders>
              <w:top w:val="nil"/>
              <w:left w:val="single" w:sz="2" w:space="0" w:color="auto"/>
              <w:bottom w:val="nil"/>
              <w:right w:val="nil"/>
            </w:tcBorders>
          </w:tcPr>
          <w:p w14:paraId="54B73E14" w14:textId="45BAD6E7" w:rsidR="00523CDC" w:rsidRPr="00470415" w:rsidRDefault="00523CDC" w:rsidP="00523CDC">
            <w:pPr>
              <w:pStyle w:val="TableText"/>
              <w:spacing w:before="0" w:after="120"/>
              <w:jc w:val="both"/>
              <w:rPr>
                <w:rFonts w:cs="Calibri"/>
              </w:rPr>
            </w:pPr>
            <w:bookmarkStart w:id="637" w:name="_Toc48468686"/>
            <w:bookmarkStart w:id="638" w:name="_Toc49155785"/>
            <w:bookmarkStart w:id="639" w:name="_Toc49224202"/>
            <w:r w:rsidRPr="00470415">
              <w:rPr>
                <w:rFonts w:cs="Calibri"/>
                <w:b/>
                <w:szCs w:val="20"/>
              </w:rPr>
              <w:t>Credit Risk</w:t>
            </w:r>
            <w:bookmarkEnd w:id="637"/>
            <w:bookmarkEnd w:id="638"/>
            <w:bookmarkEnd w:id="639"/>
          </w:p>
        </w:tc>
      </w:tr>
      <w:tr w:rsidR="00523CDC" w:rsidRPr="00CF7E1B" w14:paraId="2C7A5341" w14:textId="77777777" w:rsidTr="0004564D">
        <w:trPr>
          <w:cantSplit/>
          <w:trHeight w:val="23"/>
        </w:trPr>
        <w:tc>
          <w:tcPr>
            <w:tcW w:w="1563" w:type="dxa"/>
            <w:tcBorders>
              <w:top w:val="nil"/>
              <w:left w:val="single" w:sz="2" w:space="0" w:color="auto"/>
              <w:bottom w:val="nil"/>
              <w:right w:val="single" w:sz="2" w:space="0" w:color="auto"/>
            </w:tcBorders>
          </w:tcPr>
          <w:p w14:paraId="46F7FD00" w14:textId="642555F4"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 Appendix A</w:t>
            </w:r>
          </w:p>
          <w:p w14:paraId="777FFBD0" w14:textId="5BC245AE"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7.33(a)&amp;34(c)</w:t>
            </w:r>
          </w:p>
          <w:p w14:paraId="03EC584C"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7.36(a)</w:t>
            </w:r>
          </w:p>
          <w:p w14:paraId="1D04074C" w14:textId="7907EA93"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7.35K</w:t>
            </w:r>
          </w:p>
          <w:p w14:paraId="5BCE7787" w14:textId="77777777" w:rsidR="00523CDC" w:rsidRPr="00470415" w:rsidRDefault="00523CDC" w:rsidP="00523CDC">
            <w:pPr>
              <w:pStyle w:val="Reference"/>
              <w:rPr>
                <w:rFonts w:cs="Calibri"/>
                <w:b w:val="0"/>
                <w:bCs w:val="0"/>
                <w:color w:val="7030A0"/>
                <w:sz w:val="14"/>
                <w:szCs w:val="14"/>
              </w:rPr>
            </w:pPr>
          </w:p>
        </w:tc>
        <w:tc>
          <w:tcPr>
            <w:tcW w:w="8930" w:type="dxa"/>
            <w:gridSpan w:val="8"/>
            <w:tcBorders>
              <w:top w:val="nil"/>
              <w:left w:val="single" w:sz="2" w:space="0" w:color="auto"/>
              <w:bottom w:val="nil"/>
              <w:right w:val="nil"/>
            </w:tcBorders>
          </w:tcPr>
          <w:p w14:paraId="1ACC58E0" w14:textId="26B3F9FC" w:rsidR="00523CDC" w:rsidRPr="00470415" w:rsidRDefault="00523CDC" w:rsidP="00523CDC">
            <w:pPr>
              <w:pStyle w:val="TableText"/>
              <w:spacing w:before="0" w:after="120"/>
              <w:jc w:val="both"/>
              <w:rPr>
                <w:rFonts w:cs="Calibri"/>
              </w:rPr>
            </w:pPr>
            <w:r w:rsidRPr="00470415">
              <w:rPr>
                <w:rFonts w:cs="Calibri"/>
              </w:rPr>
              <w:t>Credit risk is the risk that one party to a financial instrument will fail to discharge an obligation and cause the other party to incur a financial loss.</w:t>
            </w:r>
            <w:r w:rsidR="00FA7C77">
              <w:rPr>
                <w:rFonts w:cs="Calibri"/>
              </w:rPr>
              <w:t xml:space="preserve"> </w:t>
            </w:r>
            <w:r w:rsidRPr="00470415">
              <w:rPr>
                <w:rFonts w:cs="Calibri"/>
              </w:rPr>
              <w:t>The Agency’s credit risk is limited to the amount of the financial assets it holds net of any provision for impairment, and the amount of a guarantee provided to ‘Example Borrower’ (for further details see Note</w:t>
            </w:r>
            <w:r w:rsidR="00470415">
              <w:rPr>
                <w:rFonts w:cs="Calibri"/>
              </w:rPr>
              <w:t> </w:t>
            </w:r>
            <w:r w:rsidRPr="00470415">
              <w:rPr>
                <w:rFonts w:cs="Calibri"/>
              </w:rPr>
              <w:t xml:space="preserve">33 </w:t>
            </w:r>
            <w:r w:rsidRPr="00470415">
              <w:rPr>
                <w:rFonts w:cs="Calibri"/>
                <w:i/>
              </w:rPr>
              <w:t>Contingent Liabilities and Contingent Assets</w:t>
            </w:r>
            <w:r w:rsidRPr="00470415">
              <w:rPr>
                <w:rFonts w:cs="Calibri"/>
              </w:rPr>
              <w:t>).</w:t>
            </w:r>
            <w:r w:rsidR="00FA7C77">
              <w:rPr>
                <w:rFonts w:cs="Calibri"/>
              </w:rPr>
              <w:t xml:space="preserve"> </w:t>
            </w:r>
            <w:r w:rsidRPr="00470415">
              <w:rPr>
                <w:rFonts w:cs="Calibri"/>
              </w:rPr>
              <w:t>Further, i</w:t>
            </w:r>
            <w:r w:rsidRPr="00470415">
              <w:rPr>
                <w:rFonts w:asciiTheme="minorHAnsi" w:hAnsiTheme="minorHAnsi" w:cstheme="minorHAnsi"/>
              </w:rPr>
              <w:t>nter-agency receivables between ACT Government agencies are generally expected to have low credit risks.</w:t>
            </w:r>
            <w:r w:rsidR="00FA7C77">
              <w:rPr>
                <w:rFonts w:asciiTheme="minorHAnsi" w:hAnsiTheme="minorHAnsi" w:cstheme="minorHAnsi"/>
              </w:rPr>
              <w:t xml:space="preserve"> </w:t>
            </w:r>
            <w:r w:rsidRPr="00470415">
              <w:rPr>
                <w:rFonts w:cs="Calibri"/>
              </w:rPr>
              <w:t>The Agency expects to collect all financial assets that are not past due or impaired.</w:t>
            </w:r>
          </w:p>
        </w:tc>
      </w:tr>
      <w:tr w:rsidR="00523CDC" w:rsidRPr="00CF7E1B" w14:paraId="59AB012C" w14:textId="77777777" w:rsidTr="0004564D">
        <w:trPr>
          <w:cantSplit/>
          <w:trHeight w:val="23"/>
        </w:trPr>
        <w:tc>
          <w:tcPr>
            <w:tcW w:w="1563" w:type="dxa"/>
            <w:tcBorders>
              <w:top w:val="nil"/>
              <w:left w:val="single" w:sz="2" w:space="0" w:color="auto"/>
              <w:bottom w:val="nil"/>
              <w:right w:val="single" w:sz="2" w:space="0" w:color="auto"/>
            </w:tcBorders>
          </w:tcPr>
          <w:p w14:paraId="157479B0" w14:textId="77777777"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7.35K</w:t>
            </w:r>
          </w:p>
          <w:p w14:paraId="376B5EAF" w14:textId="77777777" w:rsidR="00523CDC" w:rsidRPr="00470415" w:rsidRDefault="00523CDC" w:rsidP="00523CDC">
            <w:pPr>
              <w:pStyle w:val="Reference"/>
              <w:rPr>
                <w:rFonts w:cs="Calibri"/>
                <w:b w:val="0"/>
                <w:bCs w:val="0"/>
                <w:color w:val="7030A0"/>
                <w:sz w:val="14"/>
                <w:szCs w:val="14"/>
              </w:rPr>
            </w:pPr>
            <w:r w:rsidRPr="00470415">
              <w:rPr>
                <w:rFonts w:cs="Calibri"/>
                <w:b w:val="0"/>
                <w:bCs w:val="0"/>
                <w:color w:val="7030A0"/>
                <w:sz w:val="14"/>
                <w:szCs w:val="14"/>
              </w:rPr>
              <w:t>AASB 7.35F</w:t>
            </w:r>
          </w:p>
          <w:p w14:paraId="68F512E9" w14:textId="77777777" w:rsidR="00523CDC" w:rsidRPr="00470415" w:rsidRDefault="00523CDC" w:rsidP="00523CDC">
            <w:pPr>
              <w:pStyle w:val="Reference"/>
              <w:rPr>
                <w:rFonts w:cs="Calibri"/>
                <w:b w:val="0"/>
                <w:bCs w:val="0"/>
                <w:color w:val="7030A0"/>
                <w:sz w:val="14"/>
                <w:szCs w:val="14"/>
              </w:rPr>
            </w:pPr>
          </w:p>
        </w:tc>
        <w:tc>
          <w:tcPr>
            <w:tcW w:w="8930" w:type="dxa"/>
            <w:gridSpan w:val="8"/>
            <w:tcBorders>
              <w:top w:val="nil"/>
              <w:left w:val="single" w:sz="2" w:space="0" w:color="auto"/>
              <w:bottom w:val="nil"/>
              <w:right w:val="nil"/>
            </w:tcBorders>
          </w:tcPr>
          <w:p w14:paraId="1CE35E72" w14:textId="0563DA82" w:rsidR="00523CDC" w:rsidRPr="00470415" w:rsidRDefault="00523CDC" w:rsidP="00523CDC">
            <w:pPr>
              <w:pStyle w:val="TableText"/>
              <w:spacing w:before="0" w:after="120"/>
              <w:jc w:val="both"/>
              <w:rPr>
                <w:rFonts w:cs="Calibri"/>
              </w:rPr>
            </w:pPr>
            <w:r w:rsidRPr="00470415">
              <w:rPr>
                <w:rFonts w:cs="Calibri"/>
              </w:rPr>
              <w:t>Credit risk for loans receivable is managed by ensuring that these loans are secured by a mortgage over the land and buildings the loans were given for, as some individuals receiving these loans have poor credit history.</w:t>
            </w:r>
            <w:r w:rsidR="00FA7C77">
              <w:rPr>
                <w:rFonts w:cs="Calibri"/>
              </w:rPr>
              <w:t xml:space="preserve"> </w:t>
            </w:r>
            <w:r w:rsidRPr="00470415">
              <w:rPr>
                <w:rFonts w:cs="Calibri"/>
              </w:rPr>
              <w:t xml:space="preserve">There is no other collateral held as security for financial assets. </w:t>
            </w:r>
          </w:p>
        </w:tc>
      </w:tr>
      <w:tr w:rsidR="00523CDC" w:rsidRPr="00CF7E1B" w14:paraId="5BF068E5" w14:textId="77777777" w:rsidTr="0004564D">
        <w:trPr>
          <w:cantSplit/>
          <w:trHeight w:val="23"/>
        </w:trPr>
        <w:tc>
          <w:tcPr>
            <w:tcW w:w="1563" w:type="dxa"/>
            <w:tcBorders>
              <w:top w:val="nil"/>
              <w:left w:val="single" w:sz="2" w:space="0" w:color="auto"/>
              <w:bottom w:val="nil"/>
              <w:right w:val="single" w:sz="2" w:space="0" w:color="auto"/>
            </w:tcBorders>
          </w:tcPr>
          <w:p w14:paraId="5DA0F312" w14:textId="77777777"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7.33(b)&amp;(c)</w:t>
            </w:r>
          </w:p>
          <w:p w14:paraId="5639823D" w14:textId="77777777" w:rsidR="00523CDC" w:rsidRPr="00470415" w:rsidRDefault="00523CDC" w:rsidP="00523CDC">
            <w:pPr>
              <w:pStyle w:val="Reference"/>
              <w:spacing w:before="40"/>
              <w:rPr>
                <w:rFonts w:cs="Calibri"/>
                <w:b w:val="0"/>
                <w:bCs w:val="0"/>
                <w:color w:val="7030A0"/>
                <w:sz w:val="14"/>
                <w:szCs w:val="14"/>
              </w:rPr>
            </w:pPr>
          </w:p>
        </w:tc>
        <w:tc>
          <w:tcPr>
            <w:tcW w:w="8930" w:type="dxa"/>
            <w:gridSpan w:val="8"/>
            <w:tcBorders>
              <w:top w:val="nil"/>
              <w:left w:val="single" w:sz="2" w:space="0" w:color="auto"/>
              <w:bottom w:val="nil"/>
              <w:right w:val="nil"/>
            </w:tcBorders>
          </w:tcPr>
          <w:p w14:paraId="77463872" w14:textId="55A2EF75" w:rsidR="00523CDC" w:rsidRPr="00470415" w:rsidRDefault="00523CDC" w:rsidP="00523CDC">
            <w:pPr>
              <w:pStyle w:val="TableText"/>
              <w:spacing w:before="0" w:after="120"/>
              <w:jc w:val="both"/>
              <w:rPr>
                <w:rFonts w:cs="Calibri"/>
              </w:rPr>
            </w:pPr>
            <w:r w:rsidRPr="00470415">
              <w:rPr>
                <w:rFonts w:cs="Calibri"/>
              </w:rPr>
              <w:t>The Agency also manages the credit risk for receivables</w:t>
            </w:r>
            <w:r w:rsidR="00461FCA" w:rsidRPr="00470415">
              <w:rPr>
                <w:rFonts w:cs="Calibri"/>
              </w:rPr>
              <w:t>,</w:t>
            </w:r>
            <w:r w:rsidRPr="00470415">
              <w:rPr>
                <w:rFonts w:cs="Calibri"/>
              </w:rPr>
              <w:t xml:space="preserve"> loan receiv</w:t>
            </w:r>
            <w:r w:rsidR="00393369" w:rsidRPr="00470415">
              <w:rPr>
                <w:rFonts w:cs="Calibri"/>
              </w:rPr>
              <w:t>a</w:t>
            </w:r>
            <w:r w:rsidRPr="00470415">
              <w:rPr>
                <w:rFonts w:cs="Calibri"/>
              </w:rPr>
              <w:t xml:space="preserve">bles </w:t>
            </w:r>
            <w:r w:rsidR="00461FCA" w:rsidRPr="00470415">
              <w:rPr>
                <w:rFonts w:cs="Calibri"/>
              </w:rPr>
              <w:t xml:space="preserve">and contract assets </w:t>
            </w:r>
            <w:r w:rsidRPr="00470415">
              <w:rPr>
                <w:rFonts w:cs="Calibri"/>
              </w:rPr>
              <w:t>by undertaking an assessment of the credit worthiness of debtors as well as an analysis of the concentration of credit risk to ensure that it is not too high.</w:t>
            </w:r>
            <w:r w:rsidR="00FA7C77">
              <w:rPr>
                <w:rFonts w:cs="Calibri"/>
              </w:rPr>
              <w:t xml:space="preserve"> </w:t>
            </w:r>
            <w:r w:rsidRPr="00470415">
              <w:rPr>
                <w:rFonts w:cs="Calibri"/>
              </w:rPr>
              <w:t>No concentration of credit risk was identified in this analysis.</w:t>
            </w:r>
          </w:p>
        </w:tc>
      </w:tr>
      <w:tr w:rsidR="00523CDC" w:rsidRPr="00CF7E1B" w14:paraId="63D32736" w14:textId="77777777" w:rsidTr="0004564D">
        <w:trPr>
          <w:cantSplit/>
          <w:trHeight w:val="23"/>
        </w:trPr>
        <w:tc>
          <w:tcPr>
            <w:tcW w:w="1563" w:type="dxa"/>
            <w:tcBorders>
              <w:top w:val="nil"/>
              <w:left w:val="single" w:sz="2" w:space="0" w:color="auto"/>
              <w:bottom w:val="nil"/>
              <w:right w:val="single" w:sz="2" w:space="0" w:color="auto"/>
            </w:tcBorders>
          </w:tcPr>
          <w:p w14:paraId="00B30611" w14:textId="729A2F84" w:rsidR="00523CDC" w:rsidRPr="00470415" w:rsidRDefault="00523CDC" w:rsidP="00523CDC">
            <w:pPr>
              <w:pStyle w:val="Reference"/>
              <w:spacing w:before="40"/>
              <w:rPr>
                <w:rFonts w:cs="Calibri"/>
                <w:b w:val="0"/>
                <w:bCs w:val="0"/>
                <w:color w:val="7030A0"/>
                <w:sz w:val="14"/>
                <w:szCs w:val="14"/>
              </w:rPr>
            </w:pPr>
            <w:r w:rsidRPr="00470415">
              <w:rPr>
                <w:rFonts w:cs="Calibri"/>
                <w:b w:val="0"/>
                <w:bCs w:val="0"/>
                <w:color w:val="7030A0"/>
                <w:sz w:val="14"/>
                <w:szCs w:val="14"/>
              </w:rPr>
              <w:t>AASB 7.35F(a)</w:t>
            </w:r>
          </w:p>
        </w:tc>
        <w:tc>
          <w:tcPr>
            <w:tcW w:w="8930" w:type="dxa"/>
            <w:gridSpan w:val="8"/>
            <w:tcBorders>
              <w:top w:val="nil"/>
              <w:left w:val="single" w:sz="2" w:space="0" w:color="auto"/>
              <w:bottom w:val="nil"/>
              <w:right w:val="nil"/>
            </w:tcBorders>
          </w:tcPr>
          <w:p w14:paraId="6EFC659D" w14:textId="74F0F0F7" w:rsidR="00523CDC" w:rsidRPr="00470415" w:rsidRDefault="00523CDC" w:rsidP="00523CDC">
            <w:pPr>
              <w:pStyle w:val="TableText"/>
              <w:spacing w:before="0" w:after="120"/>
              <w:jc w:val="both"/>
              <w:rPr>
                <w:rFonts w:cs="Calibri"/>
              </w:rPr>
            </w:pPr>
            <w:r w:rsidRPr="00470415">
              <w:rPr>
                <w:rFonts w:cs="Calibri"/>
                <w:lang w:eastAsia="en-AU"/>
              </w:rPr>
              <w:t>There have been no significant changes in credit risk exposure since last reporting period.</w:t>
            </w:r>
          </w:p>
        </w:tc>
      </w:tr>
      <w:tr w:rsidR="00BE01D4" w:rsidRPr="00CF7E1B" w14:paraId="5EF9EA67" w14:textId="77777777" w:rsidTr="0004564D">
        <w:trPr>
          <w:cantSplit/>
          <w:trHeight w:val="23"/>
        </w:trPr>
        <w:tc>
          <w:tcPr>
            <w:tcW w:w="1563" w:type="dxa"/>
            <w:tcBorders>
              <w:top w:val="nil"/>
              <w:left w:val="single" w:sz="2" w:space="0" w:color="auto"/>
              <w:bottom w:val="nil"/>
              <w:right w:val="single" w:sz="2" w:space="0" w:color="auto"/>
            </w:tcBorders>
            <w:vAlign w:val="center"/>
          </w:tcPr>
          <w:p w14:paraId="3133771C" w14:textId="5911E4BF" w:rsidR="00BE01D4" w:rsidRPr="00470415" w:rsidRDefault="00BE01D4" w:rsidP="00BE01D4">
            <w:pPr>
              <w:pStyle w:val="Reference"/>
              <w:spacing w:before="240" w:after="240"/>
              <w:rPr>
                <w:rFonts w:cs="Calibri"/>
                <w:b w:val="0"/>
                <w:bCs w:val="0"/>
                <w:color w:val="7030A0"/>
                <w:sz w:val="14"/>
                <w:szCs w:val="14"/>
              </w:rPr>
            </w:pPr>
            <w:r w:rsidRPr="00470415">
              <w:rPr>
                <w:rFonts w:cs="Calibri"/>
                <w:color w:val="7030A0"/>
              </w:rPr>
              <w:br w:type="page"/>
            </w:r>
            <w:r w:rsidRPr="00470415">
              <w:rPr>
                <w:rFonts w:cs="Calibri"/>
                <w:color w:val="7030A0"/>
                <w:sz w:val="22"/>
                <w:szCs w:val="22"/>
              </w:rPr>
              <w:t>Reference</w:t>
            </w:r>
          </w:p>
        </w:tc>
        <w:tc>
          <w:tcPr>
            <w:tcW w:w="8930" w:type="dxa"/>
            <w:gridSpan w:val="8"/>
            <w:tcBorders>
              <w:top w:val="nil"/>
              <w:left w:val="single" w:sz="2" w:space="0" w:color="auto"/>
              <w:bottom w:val="nil"/>
              <w:right w:val="nil"/>
            </w:tcBorders>
            <w:vAlign w:val="bottom"/>
          </w:tcPr>
          <w:p w14:paraId="1E6D3794" w14:textId="53BF1839" w:rsidR="00BE01D4" w:rsidRPr="00470415" w:rsidRDefault="00BE01D4" w:rsidP="00BE01D4">
            <w:pPr>
              <w:pStyle w:val="TableText"/>
              <w:spacing w:before="240" w:after="240"/>
              <w:jc w:val="both"/>
              <w:rPr>
                <w:rFonts w:cs="Calibri"/>
              </w:rPr>
            </w:pPr>
            <w:r w:rsidRPr="00470415">
              <w:rPr>
                <w:rFonts w:ascii="Arial" w:hAnsi="Arial" w:cs="Arial"/>
                <w:b/>
                <w:sz w:val="32"/>
                <w:szCs w:val="32"/>
              </w:rPr>
              <w:t>NOTE 31.</w:t>
            </w:r>
            <w:r w:rsidR="00FA7C77">
              <w:rPr>
                <w:rFonts w:ascii="Arial" w:hAnsi="Arial" w:cs="Arial"/>
                <w:b/>
                <w:sz w:val="32"/>
                <w:szCs w:val="32"/>
              </w:rPr>
              <w:t xml:space="preserve"> </w:t>
            </w:r>
            <w:r w:rsidRPr="00470415">
              <w:rPr>
                <w:rFonts w:ascii="Arial" w:hAnsi="Arial" w:cs="Arial"/>
                <w:b/>
                <w:sz w:val="32"/>
                <w:szCs w:val="32"/>
              </w:rPr>
              <w:t xml:space="preserve"> FINANCIAL INSTRUMENTS – CONTINUED </w:t>
            </w:r>
          </w:p>
        </w:tc>
      </w:tr>
      <w:tr w:rsidR="00BE01D4" w:rsidRPr="00CF7E1B" w14:paraId="00672299" w14:textId="77777777" w:rsidTr="0004564D">
        <w:trPr>
          <w:cantSplit/>
          <w:trHeight w:val="23"/>
        </w:trPr>
        <w:tc>
          <w:tcPr>
            <w:tcW w:w="1563" w:type="dxa"/>
            <w:tcBorders>
              <w:top w:val="nil"/>
              <w:left w:val="single" w:sz="2" w:space="0" w:color="auto"/>
              <w:bottom w:val="nil"/>
              <w:right w:val="single" w:sz="2" w:space="0" w:color="auto"/>
            </w:tcBorders>
          </w:tcPr>
          <w:p w14:paraId="7FD449F9" w14:textId="2052EC6A" w:rsidR="00BE01D4" w:rsidRPr="00470415" w:rsidRDefault="00BE01D4" w:rsidP="00BE01D4">
            <w:pPr>
              <w:pStyle w:val="Reference"/>
              <w:rPr>
                <w:rFonts w:cs="Calibri"/>
                <w:b w:val="0"/>
                <w:bCs w:val="0"/>
                <w:color w:val="7030A0"/>
                <w:sz w:val="14"/>
                <w:szCs w:val="14"/>
              </w:rPr>
            </w:pPr>
          </w:p>
        </w:tc>
        <w:tc>
          <w:tcPr>
            <w:tcW w:w="8930" w:type="dxa"/>
            <w:gridSpan w:val="8"/>
            <w:tcBorders>
              <w:top w:val="nil"/>
              <w:left w:val="single" w:sz="2" w:space="0" w:color="auto"/>
              <w:bottom w:val="nil"/>
              <w:right w:val="nil"/>
            </w:tcBorders>
          </w:tcPr>
          <w:p w14:paraId="0E26C52E" w14:textId="72F7D964" w:rsidR="00BE01D4" w:rsidRPr="00470415" w:rsidRDefault="00BE01D4" w:rsidP="00BE01D4">
            <w:pPr>
              <w:pStyle w:val="TableText"/>
              <w:spacing w:before="0" w:after="120"/>
              <w:jc w:val="both"/>
              <w:rPr>
                <w:rFonts w:cs="Calibri"/>
              </w:rPr>
            </w:pPr>
            <w:r w:rsidRPr="00470415">
              <w:rPr>
                <w:rFonts w:cs="Calibri"/>
              </w:rPr>
              <w:t>Accounts and loans receivables as well as contract assets are always measured at lifetime expected credit losses (the simplified approach).</w:t>
            </w:r>
          </w:p>
        </w:tc>
      </w:tr>
      <w:tr w:rsidR="00BE01D4" w:rsidRPr="00CF7E1B" w14:paraId="07FBE3B1" w14:textId="77777777" w:rsidTr="0004564D">
        <w:trPr>
          <w:cantSplit/>
          <w:trHeight w:val="20"/>
        </w:trPr>
        <w:tc>
          <w:tcPr>
            <w:tcW w:w="1563" w:type="dxa"/>
            <w:tcBorders>
              <w:top w:val="nil"/>
              <w:left w:val="single" w:sz="2" w:space="0" w:color="auto"/>
              <w:bottom w:val="nil"/>
              <w:right w:val="single" w:sz="2" w:space="0" w:color="auto"/>
            </w:tcBorders>
            <w:vAlign w:val="center"/>
          </w:tcPr>
          <w:p w14:paraId="3878024F" w14:textId="77777777" w:rsidR="00BE01D4" w:rsidRPr="00470415" w:rsidRDefault="00BE01D4" w:rsidP="00BE01D4">
            <w:pPr>
              <w:pStyle w:val="Reference"/>
              <w:rPr>
                <w:rFonts w:cs="Calibri"/>
                <w:color w:val="7030A0"/>
                <w:sz w:val="14"/>
                <w:szCs w:val="14"/>
              </w:rPr>
            </w:pPr>
            <w:r w:rsidRPr="00470415">
              <w:rPr>
                <w:rFonts w:cs="Calibri"/>
                <w:b w:val="0"/>
                <w:bCs w:val="0"/>
                <w:color w:val="7030A0"/>
                <w:sz w:val="14"/>
                <w:szCs w:val="14"/>
              </w:rPr>
              <w:t>AASB 7 Appendix A</w:t>
            </w:r>
          </w:p>
        </w:tc>
        <w:tc>
          <w:tcPr>
            <w:tcW w:w="8930" w:type="dxa"/>
            <w:gridSpan w:val="8"/>
            <w:tcBorders>
              <w:top w:val="nil"/>
              <w:left w:val="single" w:sz="2" w:space="0" w:color="auto"/>
              <w:bottom w:val="nil"/>
              <w:right w:val="nil"/>
            </w:tcBorders>
            <w:vAlign w:val="bottom"/>
          </w:tcPr>
          <w:p w14:paraId="6EFD56E8" w14:textId="77777777" w:rsidR="00BE01D4" w:rsidRPr="00470415" w:rsidRDefault="00BE01D4" w:rsidP="00BE01D4">
            <w:pPr>
              <w:spacing w:after="40"/>
              <w:rPr>
                <w:rFonts w:cs="Calibri"/>
                <w:b/>
                <w:sz w:val="18"/>
                <w:szCs w:val="20"/>
              </w:rPr>
            </w:pPr>
            <w:r w:rsidRPr="00470415">
              <w:rPr>
                <w:rFonts w:cs="Calibri"/>
                <w:b/>
                <w:sz w:val="18"/>
                <w:szCs w:val="20"/>
              </w:rPr>
              <w:t>Liquidity Risk</w:t>
            </w:r>
          </w:p>
        </w:tc>
      </w:tr>
      <w:tr w:rsidR="00BE01D4" w:rsidRPr="00CF7E1B" w14:paraId="13587547" w14:textId="77777777" w:rsidTr="0004564D">
        <w:trPr>
          <w:cantSplit/>
          <w:trHeight w:val="23"/>
        </w:trPr>
        <w:tc>
          <w:tcPr>
            <w:tcW w:w="1563" w:type="dxa"/>
            <w:tcBorders>
              <w:top w:val="nil"/>
              <w:left w:val="single" w:sz="2" w:space="0" w:color="auto"/>
              <w:bottom w:val="nil"/>
              <w:right w:val="single" w:sz="2" w:space="0" w:color="auto"/>
            </w:tcBorders>
          </w:tcPr>
          <w:p w14:paraId="655AB5DF" w14:textId="77777777" w:rsidR="00BE01D4" w:rsidRPr="00470415" w:rsidRDefault="00BE01D4" w:rsidP="00BE01D4">
            <w:pPr>
              <w:pStyle w:val="Reference"/>
              <w:spacing w:before="60"/>
              <w:rPr>
                <w:rFonts w:cs="Calibri"/>
                <w:b w:val="0"/>
                <w:bCs w:val="0"/>
                <w:color w:val="7030A0"/>
                <w:sz w:val="14"/>
                <w:szCs w:val="14"/>
              </w:rPr>
            </w:pPr>
            <w:r w:rsidRPr="00470415">
              <w:rPr>
                <w:rFonts w:cs="Calibri"/>
                <w:b w:val="0"/>
                <w:bCs w:val="0"/>
                <w:color w:val="7030A0"/>
                <w:sz w:val="14"/>
                <w:szCs w:val="14"/>
              </w:rPr>
              <w:t>AASB 7.33 &amp; 39(b)</w:t>
            </w:r>
          </w:p>
        </w:tc>
        <w:tc>
          <w:tcPr>
            <w:tcW w:w="8930" w:type="dxa"/>
            <w:gridSpan w:val="8"/>
            <w:tcBorders>
              <w:top w:val="nil"/>
              <w:left w:val="single" w:sz="2" w:space="0" w:color="auto"/>
              <w:bottom w:val="nil"/>
              <w:right w:val="nil"/>
            </w:tcBorders>
            <w:vAlign w:val="bottom"/>
          </w:tcPr>
          <w:p w14:paraId="64000B2B" w14:textId="2C6F9C95" w:rsidR="00BE01D4" w:rsidRPr="00470415" w:rsidRDefault="00BE01D4" w:rsidP="00BE01D4">
            <w:pPr>
              <w:pStyle w:val="TableText"/>
              <w:spacing w:before="0" w:after="120"/>
              <w:jc w:val="both"/>
              <w:rPr>
                <w:rFonts w:cs="Calibri"/>
              </w:rPr>
            </w:pPr>
            <w:r w:rsidRPr="00470415">
              <w:rPr>
                <w:rFonts w:cs="Calibri"/>
              </w:rPr>
              <w:t>Liquidity risk is the risk that the Agency will encounter difficulties in meeting obligations associated with financial liabilities that are settled by delivering cash or another financial asset.</w:t>
            </w:r>
            <w:r w:rsidR="00FA7C77">
              <w:rPr>
                <w:rFonts w:cs="Calibri"/>
              </w:rPr>
              <w:t xml:space="preserve"> </w:t>
            </w:r>
            <w:r w:rsidRPr="00470415">
              <w:rPr>
                <w:rFonts w:cs="Calibri"/>
              </w:rPr>
              <w:t>To limit its exposure to liquidity risk, the Agency ensures that it does not have a large portion of its financial liabilities maturing in any one reporting period and that, at any particular point in time, it has a sufficient amount of current financial assets to meet its current financial liabilities.</w:t>
            </w:r>
            <w:r w:rsidR="00FA7C77">
              <w:rPr>
                <w:rFonts w:cs="Calibri"/>
              </w:rPr>
              <w:t xml:space="preserve"> </w:t>
            </w:r>
            <w:r w:rsidRPr="00470415">
              <w:rPr>
                <w:rFonts w:cs="Calibri"/>
              </w:rPr>
              <w:t>Also, the Agency is able to draw down additional Controlled Recurrent Payments in the next reporting period to cover its financial liabilities when they fall due.</w:t>
            </w:r>
            <w:r w:rsidR="00FA7C77">
              <w:rPr>
                <w:rFonts w:cs="Calibri"/>
              </w:rPr>
              <w:t xml:space="preserve"> </w:t>
            </w:r>
            <w:r w:rsidRPr="00470415">
              <w:rPr>
                <w:rFonts w:cs="Calibri"/>
              </w:rPr>
              <w:t>This ensures the Agency has enough liquidity to meet its emerging financial liabilities.</w:t>
            </w:r>
            <w:r w:rsidR="00FA7C77">
              <w:rPr>
                <w:rFonts w:cs="Calibri"/>
              </w:rPr>
              <w:t xml:space="preserve"> </w:t>
            </w:r>
            <w:r w:rsidRPr="00470415">
              <w:rPr>
                <w:rFonts w:cs="Calibri"/>
              </w:rPr>
              <w:t xml:space="preserve">See the maturity analysis below for further details of when financial liabilities mature. </w:t>
            </w:r>
          </w:p>
          <w:p w14:paraId="70B964AF" w14:textId="77777777" w:rsidR="00BE01D4" w:rsidRPr="00470415" w:rsidRDefault="00BE01D4" w:rsidP="00BE01D4">
            <w:pPr>
              <w:pStyle w:val="TableText"/>
              <w:spacing w:before="0" w:after="120"/>
              <w:jc w:val="both"/>
              <w:rPr>
                <w:rFonts w:cs="Calibri"/>
              </w:rPr>
            </w:pPr>
            <w:r w:rsidRPr="00470415">
              <w:rPr>
                <w:rFonts w:cs="Calibri"/>
              </w:rPr>
              <w:t xml:space="preserve">The Agency’s exposure to liquidity risk and the management of this risk has not changed since the previous reporting period. </w:t>
            </w:r>
          </w:p>
        </w:tc>
      </w:tr>
      <w:tr w:rsidR="00BE01D4" w:rsidRPr="00CF7E1B" w14:paraId="14E14EB1" w14:textId="77777777" w:rsidTr="0004564D">
        <w:trPr>
          <w:cantSplit/>
          <w:trHeight w:val="23"/>
        </w:trPr>
        <w:tc>
          <w:tcPr>
            <w:tcW w:w="1563" w:type="dxa"/>
            <w:tcBorders>
              <w:top w:val="nil"/>
              <w:left w:val="single" w:sz="2" w:space="0" w:color="auto"/>
              <w:bottom w:val="nil"/>
              <w:right w:val="single" w:sz="2" w:space="0" w:color="auto"/>
            </w:tcBorders>
            <w:vAlign w:val="center"/>
          </w:tcPr>
          <w:p w14:paraId="078C1E2D" w14:textId="1049CC21" w:rsidR="00BE01D4" w:rsidRPr="00470415" w:rsidRDefault="00BE01D4" w:rsidP="00BE01D4">
            <w:pPr>
              <w:pStyle w:val="Reference"/>
              <w:rPr>
                <w:rFonts w:cs="Calibri"/>
                <w:color w:val="7030A0"/>
                <w:sz w:val="14"/>
                <w:szCs w:val="14"/>
              </w:rPr>
            </w:pPr>
            <w:r w:rsidRPr="00470415">
              <w:rPr>
                <w:rFonts w:cs="Calibri"/>
                <w:b w:val="0"/>
                <w:bCs w:val="0"/>
                <w:color w:val="7030A0"/>
                <w:sz w:val="14"/>
                <w:szCs w:val="14"/>
              </w:rPr>
              <w:t>AASB 7 Appendix A</w:t>
            </w:r>
          </w:p>
        </w:tc>
        <w:tc>
          <w:tcPr>
            <w:tcW w:w="8930" w:type="dxa"/>
            <w:gridSpan w:val="8"/>
            <w:tcBorders>
              <w:top w:val="nil"/>
              <w:left w:val="single" w:sz="2" w:space="0" w:color="auto"/>
              <w:bottom w:val="nil"/>
              <w:right w:val="nil"/>
            </w:tcBorders>
            <w:vAlign w:val="bottom"/>
          </w:tcPr>
          <w:p w14:paraId="256E55E1" w14:textId="77777777" w:rsidR="00BE01D4" w:rsidRPr="00470415" w:rsidRDefault="00BE01D4" w:rsidP="00BE01D4">
            <w:pPr>
              <w:spacing w:after="120"/>
              <w:rPr>
                <w:rFonts w:cs="Calibri"/>
                <w:b/>
                <w:sz w:val="20"/>
                <w:szCs w:val="20"/>
              </w:rPr>
            </w:pPr>
            <w:r w:rsidRPr="00470415">
              <w:rPr>
                <w:rFonts w:cs="Calibri"/>
                <w:b/>
                <w:sz w:val="18"/>
                <w:szCs w:val="20"/>
              </w:rPr>
              <w:t>Price Risk</w:t>
            </w:r>
          </w:p>
        </w:tc>
      </w:tr>
      <w:tr w:rsidR="00BE01D4" w:rsidRPr="00CF7E1B" w14:paraId="6269243B" w14:textId="77777777" w:rsidTr="0004564D">
        <w:trPr>
          <w:cantSplit/>
          <w:trHeight w:val="23"/>
        </w:trPr>
        <w:tc>
          <w:tcPr>
            <w:tcW w:w="1563" w:type="dxa"/>
            <w:tcBorders>
              <w:top w:val="nil"/>
              <w:left w:val="single" w:sz="2" w:space="0" w:color="auto"/>
              <w:bottom w:val="nil"/>
              <w:right w:val="single" w:sz="2" w:space="0" w:color="auto"/>
            </w:tcBorders>
          </w:tcPr>
          <w:p w14:paraId="22948763" w14:textId="77777777" w:rsidR="00BE01D4" w:rsidRPr="00470415" w:rsidRDefault="00BE01D4" w:rsidP="00BE01D4">
            <w:pPr>
              <w:pStyle w:val="Reference"/>
              <w:spacing w:before="60"/>
              <w:rPr>
                <w:rFonts w:cs="Calibri"/>
                <w:b w:val="0"/>
                <w:bCs w:val="0"/>
                <w:color w:val="7030A0"/>
                <w:sz w:val="14"/>
                <w:szCs w:val="14"/>
              </w:rPr>
            </w:pPr>
            <w:r w:rsidRPr="00470415">
              <w:rPr>
                <w:rFonts w:cs="Calibri"/>
                <w:b w:val="0"/>
                <w:bCs w:val="0"/>
                <w:color w:val="7030A0"/>
                <w:sz w:val="14"/>
                <w:szCs w:val="14"/>
              </w:rPr>
              <w:t>AASB 7.33</w:t>
            </w:r>
          </w:p>
        </w:tc>
        <w:tc>
          <w:tcPr>
            <w:tcW w:w="8930" w:type="dxa"/>
            <w:gridSpan w:val="8"/>
            <w:tcBorders>
              <w:top w:val="nil"/>
              <w:left w:val="single" w:sz="2" w:space="0" w:color="auto"/>
              <w:bottom w:val="nil"/>
              <w:right w:val="nil"/>
            </w:tcBorders>
            <w:vAlign w:val="bottom"/>
          </w:tcPr>
          <w:p w14:paraId="2E789141" w14:textId="3A94119C" w:rsidR="00BE01D4" w:rsidRPr="00470415" w:rsidRDefault="00BE01D4" w:rsidP="00BE01D4">
            <w:pPr>
              <w:pStyle w:val="TableText"/>
              <w:spacing w:before="0" w:after="120"/>
              <w:jc w:val="both"/>
              <w:rPr>
                <w:rFonts w:cs="Calibri"/>
                <w:strike/>
              </w:rPr>
            </w:pPr>
            <w:r w:rsidRPr="00470415">
              <w:rPr>
                <w:rFonts w:cs="Calibri"/>
              </w:rPr>
              <w:t>Price risk is the risk that the fair value or future cash flows of a financial instrument will fluctuate because of changes in market prices. The only price risk which the Agency is exposed to results from its investment with the Territory Banking Account.</w:t>
            </w:r>
            <w:r w:rsidR="00FA7C77">
              <w:rPr>
                <w:rFonts w:cs="Calibri"/>
              </w:rPr>
              <w:t xml:space="preserve"> </w:t>
            </w:r>
            <w:r w:rsidRPr="00470415">
              <w:rPr>
                <w:rFonts w:cs="Calibri"/>
              </w:rPr>
              <w:t>Agency investors have ‘Investment Unit Holdings’ with the Territory Banking Account that fluctuates in value.</w:t>
            </w:r>
            <w:r w:rsidR="00FA7C77">
              <w:rPr>
                <w:rFonts w:cs="Calibri"/>
              </w:rPr>
              <w:t xml:space="preserve"> </w:t>
            </w:r>
            <w:r w:rsidRPr="00470415">
              <w:rPr>
                <w:rFonts w:cs="Calibri"/>
              </w:rPr>
              <w:t>The price fluctuations in the units of the investment are caused by movements in the underlying investment portfolio.</w:t>
            </w:r>
          </w:p>
        </w:tc>
      </w:tr>
      <w:tr w:rsidR="00BE01D4" w:rsidRPr="00CF7E1B" w14:paraId="1DF87970" w14:textId="77777777" w:rsidTr="0004564D">
        <w:trPr>
          <w:cantSplit/>
          <w:trHeight w:val="23"/>
        </w:trPr>
        <w:tc>
          <w:tcPr>
            <w:tcW w:w="1563" w:type="dxa"/>
            <w:tcBorders>
              <w:top w:val="nil"/>
              <w:left w:val="single" w:sz="2" w:space="0" w:color="auto"/>
              <w:bottom w:val="nil"/>
              <w:right w:val="single" w:sz="2" w:space="0" w:color="auto"/>
            </w:tcBorders>
          </w:tcPr>
          <w:p w14:paraId="2ADB4A2E" w14:textId="77777777" w:rsidR="00BE01D4" w:rsidRPr="00470415" w:rsidRDefault="00BE01D4" w:rsidP="00BE01D4">
            <w:pPr>
              <w:pStyle w:val="Reference"/>
              <w:spacing w:before="60"/>
              <w:rPr>
                <w:rFonts w:cs="Calibri"/>
                <w:b w:val="0"/>
                <w:bCs w:val="0"/>
                <w:color w:val="7030A0"/>
                <w:sz w:val="14"/>
                <w:szCs w:val="14"/>
              </w:rPr>
            </w:pPr>
          </w:p>
        </w:tc>
        <w:tc>
          <w:tcPr>
            <w:tcW w:w="8930" w:type="dxa"/>
            <w:gridSpan w:val="8"/>
            <w:tcBorders>
              <w:top w:val="nil"/>
              <w:left w:val="single" w:sz="2" w:space="0" w:color="auto"/>
              <w:bottom w:val="nil"/>
              <w:right w:val="nil"/>
            </w:tcBorders>
            <w:vAlign w:val="bottom"/>
          </w:tcPr>
          <w:p w14:paraId="39B98A39" w14:textId="53ECF582" w:rsidR="00BE01D4" w:rsidRPr="00470415" w:rsidRDefault="00BE01D4" w:rsidP="00BE01D4">
            <w:pPr>
              <w:spacing w:after="120"/>
              <w:jc w:val="both"/>
              <w:rPr>
                <w:rFonts w:cs="Calibri"/>
                <w:sz w:val="18"/>
                <w:szCs w:val="18"/>
              </w:rPr>
            </w:pPr>
            <w:r w:rsidRPr="00470415">
              <w:rPr>
                <w:rFonts w:cs="Calibri"/>
                <w:sz w:val="18"/>
                <w:szCs w:val="18"/>
              </w:rPr>
              <w:t>The underlying investment portfolio exposures include the financial risks associated with cash, money market securities, fixed rate bonds (domestic and international) and equities (domestic and international)</w:t>
            </w:r>
            <w:r w:rsidRPr="00470415">
              <w:rPr>
                <w:rFonts w:cs="Calibri"/>
              </w:rPr>
              <w:t xml:space="preserve"> </w:t>
            </w:r>
            <w:r w:rsidRPr="00470415">
              <w:rPr>
                <w:rFonts w:cs="Calibri"/>
                <w:sz w:val="18"/>
                <w:szCs w:val="18"/>
              </w:rPr>
              <w:t>private equity, property and infrastructure. Investment exposures are maintained in line with a strategic asset allocation structured to achieve the Agency’s long-term investment objective within acceptable risk tolerances.</w:t>
            </w:r>
            <w:r w:rsidR="00FA7C77">
              <w:rPr>
                <w:rFonts w:cs="Calibri"/>
                <w:sz w:val="18"/>
                <w:szCs w:val="18"/>
              </w:rPr>
              <w:t xml:space="preserve"> </w:t>
            </w:r>
            <w:r w:rsidRPr="00470415">
              <w:rPr>
                <w:rFonts w:cs="Calibri"/>
                <w:sz w:val="18"/>
                <w:szCs w:val="18"/>
              </w:rPr>
              <w:t>Under the investment structure, investments are diversified by geography, sector and financial instrument type to manage the risks associated with changing financial and economic conditions.</w:t>
            </w:r>
            <w:r w:rsidR="00FA7C77">
              <w:rPr>
                <w:rFonts w:cs="Calibri"/>
                <w:sz w:val="18"/>
                <w:szCs w:val="18"/>
              </w:rPr>
              <w:t xml:space="preserve"> </w:t>
            </w:r>
            <w:r w:rsidRPr="00470415">
              <w:rPr>
                <w:rFonts w:cs="Calibri"/>
                <w:sz w:val="18"/>
                <w:szCs w:val="18"/>
              </w:rPr>
              <w:t>More detail can be found in the financial statements of the Territory Banking Account.</w:t>
            </w:r>
          </w:p>
        </w:tc>
      </w:tr>
      <w:tr w:rsidR="00BE01D4" w:rsidRPr="00CF7E1B" w14:paraId="2E80ECA6" w14:textId="77777777" w:rsidTr="0004564D">
        <w:trPr>
          <w:cantSplit/>
          <w:trHeight w:val="23"/>
        </w:trPr>
        <w:tc>
          <w:tcPr>
            <w:tcW w:w="1563" w:type="dxa"/>
            <w:tcBorders>
              <w:top w:val="nil"/>
              <w:left w:val="single" w:sz="2" w:space="0" w:color="auto"/>
              <w:bottom w:val="nil"/>
              <w:right w:val="single" w:sz="2" w:space="0" w:color="auto"/>
            </w:tcBorders>
          </w:tcPr>
          <w:p w14:paraId="06B5AD12" w14:textId="77777777" w:rsidR="00BE01D4" w:rsidRPr="00470415" w:rsidRDefault="00BE01D4" w:rsidP="00BE01D4">
            <w:pPr>
              <w:pStyle w:val="Reference"/>
              <w:spacing w:before="60"/>
              <w:rPr>
                <w:rFonts w:cs="Calibri"/>
                <w:b w:val="0"/>
                <w:bCs w:val="0"/>
                <w:color w:val="7030A0"/>
                <w:sz w:val="14"/>
                <w:szCs w:val="14"/>
              </w:rPr>
            </w:pPr>
          </w:p>
        </w:tc>
        <w:tc>
          <w:tcPr>
            <w:tcW w:w="8930" w:type="dxa"/>
            <w:gridSpan w:val="8"/>
            <w:tcBorders>
              <w:top w:val="nil"/>
              <w:left w:val="single" w:sz="2" w:space="0" w:color="auto"/>
              <w:bottom w:val="nil"/>
              <w:right w:val="nil"/>
            </w:tcBorders>
            <w:vAlign w:val="bottom"/>
          </w:tcPr>
          <w:p w14:paraId="02BD2D56" w14:textId="7F91EEFF" w:rsidR="00BE01D4" w:rsidRPr="00470415" w:rsidRDefault="00BE01D4" w:rsidP="00BE01D4">
            <w:pPr>
              <w:pStyle w:val="TableText"/>
              <w:spacing w:before="0" w:after="120"/>
              <w:jc w:val="both"/>
              <w:rPr>
                <w:rFonts w:cs="Calibri"/>
                <w:lang w:eastAsia="en-AU"/>
              </w:rPr>
            </w:pPr>
            <w:r w:rsidRPr="00470415">
              <w:rPr>
                <w:rFonts w:cs="Calibri"/>
                <w:lang w:eastAsia="en-AU"/>
              </w:rPr>
              <w:t>The Agency’s exposure to price risk and the management of this risk has not changed since last reporting period.</w:t>
            </w:r>
          </w:p>
        </w:tc>
      </w:tr>
      <w:tr w:rsidR="00BE01D4" w:rsidRPr="00CF7E1B" w14:paraId="4AB2CDD7" w14:textId="77777777" w:rsidTr="0004564D">
        <w:trPr>
          <w:cantSplit/>
          <w:trHeight w:val="23"/>
        </w:trPr>
        <w:tc>
          <w:tcPr>
            <w:tcW w:w="1563" w:type="dxa"/>
            <w:tcBorders>
              <w:top w:val="nil"/>
              <w:left w:val="single" w:sz="2" w:space="0" w:color="auto"/>
              <w:bottom w:val="nil"/>
              <w:right w:val="single" w:sz="2" w:space="0" w:color="auto"/>
            </w:tcBorders>
          </w:tcPr>
          <w:p w14:paraId="7222FADE" w14:textId="77777777" w:rsidR="00BE01D4" w:rsidRPr="00470415" w:rsidRDefault="00BE01D4" w:rsidP="00BE01D4">
            <w:pPr>
              <w:pStyle w:val="Reference"/>
              <w:spacing w:before="60"/>
              <w:rPr>
                <w:rFonts w:cs="Calibri"/>
                <w:b w:val="0"/>
                <w:bCs w:val="0"/>
                <w:color w:val="7030A0"/>
                <w:sz w:val="14"/>
                <w:szCs w:val="14"/>
              </w:rPr>
            </w:pPr>
          </w:p>
        </w:tc>
        <w:tc>
          <w:tcPr>
            <w:tcW w:w="8930" w:type="dxa"/>
            <w:gridSpan w:val="8"/>
            <w:tcBorders>
              <w:top w:val="nil"/>
              <w:left w:val="single" w:sz="2" w:space="0" w:color="auto"/>
              <w:bottom w:val="nil"/>
              <w:right w:val="nil"/>
            </w:tcBorders>
            <w:vAlign w:val="bottom"/>
          </w:tcPr>
          <w:p w14:paraId="42FEF967" w14:textId="2BEE5518" w:rsidR="00BE01D4" w:rsidRPr="00470415" w:rsidRDefault="00BE01D4" w:rsidP="00BE01D4">
            <w:pPr>
              <w:pStyle w:val="TableText"/>
              <w:spacing w:before="120"/>
              <w:jc w:val="both"/>
              <w:rPr>
                <w:rFonts w:cs="Calibri"/>
              </w:rPr>
            </w:pPr>
            <w:r w:rsidRPr="00470415">
              <w:rPr>
                <w:rFonts w:cs="Calibri"/>
                <w:i/>
              </w:rPr>
              <w:t>Sensitivity Analysis</w:t>
            </w:r>
          </w:p>
        </w:tc>
      </w:tr>
      <w:tr w:rsidR="00BE01D4" w:rsidRPr="00CF7E1B" w14:paraId="0F0FA8F6" w14:textId="77777777" w:rsidTr="0004564D">
        <w:trPr>
          <w:cantSplit/>
          <w:trHeight w:val="23"/>
        </w:trPr>
        <w:tc>
          <w:tcPr>
            <w:tcW w:w="1563" w:type="dxa"/>
            <w:tcBorders>
              <w:top w:val="nil"/>
              <w:left w:val="single" w:sz="2" w:space="0" w:color="auto"/>
              <w:bottom w:val="nil"/>
              <w:right w:val="single" w:sz="2" w:space="0" w:color="auto"/>
            </w:tcBorders>
          </w:tcPr>
          <w:p w14:paraId="31E7653C" w14:textId="77777777" w:rsidR="00BE01D4" w:rsidRPr="00470415" w:rsidRDefault="00BE01D4" w:rsidP="00BE01D4">
            <w:pPr>
              <w:pStyle w:val="Reference"/>
              <w:spacing w:before="60"/>
              <w:rPr>
                <w:rFonts w:cs="Calibri"/>
                <w:b w:val="0"/>
                <w:bCs w:val="0"/>
                <w:color w:val="7030A0"/>
                <w:sz w:val="14"/>
                <w:szCs w:val="14"/>
              </w:rPr>
            </w:pPr>
          </w:p>
        </w:tc>
        <w:tc>
          <w:tcPr>
            <w:tcW w:w="8930" w:type="dxa"/>
            <w:gridSpan w:val="8"/>
            <w:tcBorders>
              <w:top w:val="nil"/>
              <w:left w:val="single" w:sz="2" w:space="0" w:color="auto"/>
              <w:bottom w:val="nil"/>
              <w:right w:val="nil"/>
            </w:tcBorders>
            <w:vAlign w:val="bottom"/>
          </w:tcPr>
          <w:p w14:paraId="15238771" w14:textId="5DA5AC6B" w:rsidR="00BE01D4" w:rsidRPr="00470415" w:rsidRDefault="00BE01D4" w:rsidP="00BE01D4">
            <w:pPr>
              <w:pStyle w:val="TableText"/>
              <w:spacing w:before="0" w:after="120"/>
              <w:jc w:val="both"/>
              <w:rPr>
                <w:rFonts w:cs="Calibri"/>
              </w:rPr>
            </w:pPr>
            <w:r w:rsidRPr="00470415">
              <w:rPr>
                <w:rFonts w:cs="Calibri"/>
              </w:rPr>
              <w:t>A sensitivity analysis has not been undertaken for the price risk of the Agency as it has been determined that the possible impact on profit and loss or total equity from fluctuations in price is immaterial.</w:t>
            </w:r>
          </w:p>
        </w:tc>
      </w:tr>
      <w:tr w:rsidR="00BE01D4" w:rsidRPr="00CF7E1B" w14:paraId="04B4EF41" w14:textId="77777777" w:rsidTr="0004564D">
        <w:trPr>
          <w:cantSplit/>
          <w:trHeight w:val="23"/>
        </w:trPr>
        <w:tc>
          <w:tcPr>
            <w:tcW w:w="1563" w:type="dxa"/>
            <w:tcBorders>
              <w:top w:val="nil"/>
              <w:left w:val="single" w:sz="2" w:space="0" w:color="auto"/>
              <w:bottom w:val="nil"/>
              <w:right w:val="single" w:sz="2" w:space="0" w:color="auto"/>
            </w:tcBorders>
            <w:vAlign w:val="bottom"/>
          </w:tcPr>
          <w:p w14:paraId="5928FCAD" w14:textId="5CC4D053" w:rsidR="00BE01D4" w:rsidRPr="00470415" w:rsidRDefault="00BE01D4" w:rsidP="00BE01D4">
            <w:pPr>
              <w:pStyle w:val="Reference"/>
              <w:rPr>
                <w:rFonts w:cs="Calibri"/>
                <w:color w:val="7030A0"/>
                <w:sz w:val="14"/>
                <w:szCs w:val="14"/>
              </w:rPr>
            </w:pPr>
          </w:p>
        </w:tc>
        <w:tc>
          <w:tcPr>
            <w:tcW w:w="8930" w:type="dxa"/>
            <w:gridSpan w:val="8"/>
            <w:tcBorders>
              <w:top w:val="nil"/>
              <w:left w:val="single" w:sz="2" w:space="0" w:color="auto"/>
              <w:bottom w:val="nil"/>
              <w:right w:val="nil"/>
            </w:tcBorders>
            <w:vAlign w:val="bottom"/>
          </w:tcPr>
          <w:p w14:paraId="14726C64" w14:textId="77777777" w:rsidR="00BE01D4" w:rsidRPr="00470415" w:rsidRDefault="00BE01D4" w:rsidP="00BE01D4">
            <w:pPr>
              <w:spacing w:before="120"/>
              <w:jc w:val="both"/>
              <w:rPr>
                <w:rFonts w:cs="Calibri"/>
                <w:b/>
                <w:sz w:val="18"/>
                <w:szCs w:val="20"/>
              </w:rPr>
            </w:pPr>
            <w:bookmarkStart w:id="640" w:name="_Toc48468691"/>
            <w:bookmarkStart w:id="641" w:name="_Toc49155788"/>
            <w:bookmarkStart w:id="642" w:name="_Toc49224205"/>
            <w:r w:rsidRPr="00470415">
              <w:rPr>
                <w:rFonts w:cs="Calibri"/>
                <w:b/>
                <w:sz w:val="18"/>
                <w:szCs w:val="20"/>
              </w:rPr>
              <w:t>Fair Value of Financial Assets and Liabilities</w:t>
            </w:r>
            <w:bookmarkEnd w:id="640"/>
            <w:bookmarkEnd w:id="641"/>
            <w:bookmarkEnd w:id="642"/>
            <w:r w:rsidRPr="00470415">
              <w:rPr>
                <w:rFonts w:cs="Calibri"/>
                <w:b/>
                <w:sz w:val="18"/>
                <w:szCs w:val="20"/>
              </w:rPr>
              <w:t xml:space="preserve"> </w:t>
            </w:r>
          </w:p>
        </w:tc>
      </w:tr>
      <w:tr w:rsidR="00BE01D4" w:rsidRPr="00CF7E1B" w14:paraId="606F2FF3" w14:textId="77777777" w:rsidTr="0004564D">
        <w:trPr>
          <w:cantSplit/>
          <w:trHeight w:val="23"/>
        </w:trPr>
        <w:tc>
          <w:tcPr>
            <w:tcW w:w="1563" w:type="dxa"/>
            <w:tcBorders>
              <w:top w:val="nil"/>
              <w:left w:val="single" w:sz="2" w:space="0" w:color="auto"/>
              <w:bottom w:val="nil"/>
              <w:right w:val="single" w:sz="2" w:space="0" w:color="auto"/>
            </w:tcBorders>
          </w:tcPr>
          <w:p w14:paraId="2C4B498F" w14:textId="38ABBA6B" w:rsidR="00BE01D4" w:rsidRPr="00470415" w:rsidRDefault="00BE01D4" w:rsidP="00BE01D4">
            <w:pPr>
              <w:pStyle w:val="Reference"/>
              <w:rPr>
                <w:rFonts w:cs="Calibri"/>
                <w:b w:val="0"/>
                <w:bCs w:val="0"/>
                <w:color w:val="7030A0"/>
                <w:sz w:val="14"/>
                <w:szCs w:val="14"/>
              </w:rPr>
            </w:pPr>
            <w:r w:rsidRPr="00470415">
              <w:rPr>
                <w:rFonts w:cs="Calibri"/>
                <w:b w:val="0"/>
                <w:bCs w:val="0"/>
                <w:color w:val="7030A0"/>
                <w:sz w:val="14"/>
                <w:szCs w:val="14"/>
              </w:rPr>
              <w:t>AASB 7.29(a)</w:t>
            </w:r>
          </w:p>
        </w:tc>
        <w:tc>
          <w:tcPr>
            <w:tcW w:w="8930" w:type="dxa"/>
            <w:gridSpan w:val="8"/>
            <w:tcBorders>
              <w:top w:val="nil"/>
              <w:left w:val="single" w:sz="2" w:space="0" w:color="auto"/>
              <w:bottom w:val="nil"/>
              <w:right w:val="nil"/>
            </w:tcBorders>
            <w:vAlign w:val="bottom"/>
          </w:tcPr>
          <w:p w14:paraId="5F51CE96" w14:textId="64FD48F7" w:rsidR="00BE01D4" w:rsidRPr="00470415" w:rsidRDefault="00BE01D4" w:rsidP="00BE01D4">
            <w:pPr>
              <w:spacing w:after="120"/>
              <w:jc w:val="both"/>
              <w:rPr>
                <w:rFonts w:cs="Calibri"/>
                <w:strike/>
                <w:sz w:val="18"/>
                <w:szCs w:val="20"/>
              </w:rPr>
            </w:pPr>
            <w:r w:rsidRPr="00470415">
              <w:rPr>
                <w:rFonts w:cs="Calibri"/>
                <w:sz w:val="18"/>
                <w:szCs w:val="18"/>
              </w:rPr>
              <w:t>The carrying amount of financial assets and financial liabilities of ‘</w:t>
            </w:r>
            <w:r w:rsidRPr="00470415">
              <w:rPr>
                <w:sz w:val="18"/>
                <w:szCs w:val="18"/>
              </w:rPr>
              <w:t>Burley Griffin</w:t>
            </w:r>
            <w:r w:rsidRPr="00470415">
              <w:rPr>
                <w:rFonts w:cs="Calibri"/>
                <w:sz w:val="18"/>
                <w:szCs w:val="18"/>
              </w:rPr>
              <w:t xml:space="preserve"> Agency’ approximate their fair value with the exception of Investments with the Territory Banking Account.</w:t>
            </w:r>
            <w:r w:rsidR="00FA7C77">
              <w:rPr>
                <w:rFonts w:cs="Calibri"/>
                <w:sz w:val="18"/>
                <w:szCs w:val="18"/>
              </w:rPr>
              <w:t xml:space="preserve"> </w:t>
            </w:r>
            <w:r w:rsidRPr="00470415">
              <w:rPr>
                <w:rFonts w:cs="Calibri"/>
                <w:sz w:val="18"/>
                <w:szCs w:val="18"/>
              </w:rPr>
              <w:t>The below table shows the difference between the carrying amount and fair value of these investments:</w:t>
            </w:r>
            <w:r w:rsidRPr="0009580B">
              <w:rPr>
                <w:rFonts w:cs="Calibri"/>
                <w:sz w:val="18"/>
                <w:szCs w:val="20"/>
              </w:rPr>
              <w:t xml:space="preserve"> </w:t>
            </w:r>
          </w:p>
        </w:tc>
      </w:tr>
      <w:tr w:rsidR="00BE01D4" w:rsidRPr="00CF7E1B" w14:paraId="6F4BED5E" w14:textId="77777777" w:rsidTr="0004564D">
        <w:trPr>
          <w:cantSplit/>
          <w:trHeight w:val="492"/>
        </w:trPr>
        <w:tc>
          <w:tcPr>
            <w:tcW w:w="1563" w:type="dxa"/>
            <w:tcBorders>
              <w:top w:val="nil"/>
              <w:left w:val="single" w:sz="2" w:space="0" w:color="auto"/>
              <w:bottom w:val="nil"/>
              <w:right w:val="single" w:sz="2" w:space="0" w:color="auto"/>
            </w:tcBorders>
          </w:tcPr>
          <w:p w14:paraId="248F66DA" w14:textId="77777777" w:rsidR="00BE01D4" w:rsidRPr="00470415" w:rsidRDefault="00BE01D4"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2C69906A" w14:textId="77777777" w:rsidR="00BE01D4" w:rsidRPr="00470415" w:rsidRDefault="00BE01D4" w:rsidP="00BE01D4">
            <w:pPr>
              <w:pStyle w:val="TableText"/>
              <w:tabs>
                <w:tab w:val="left" w:pos="3306"/>
              </w:tabs>
              <w:rPr>
                <w:rFonts w:cs="Calibri"/>
              </w:rPr>
            </w:pPr>
          </w:p>
        </w:tc>
        <w:tc>
          <w:tcPr>
            <w:tcW w:w="1028" w:type="dxa"/>
            <w:tcBorders>
              <w:top w:val="nil"/>
              <w:left w:val="nil"/>
              <w:bottom w:val="nil"/>
              <w:right w:val="nil"/>
            </w:tcBorders>
          </w:tcPr>
          <w:p w14:paraId="68D5F677" w14:textId="77777777" w:rsidR="00BE01D4" w:rsidRPr="00470415" w:rsidRDefault="00BE01D4" w:rsidP="00BE01D4">
            <w:pPr>
              <w:pStyle w:val="TableTitle"/>
              <w:tabs>
                <w:tab w:val="left" w:pos="3306"/>
              </w:tabs>
              <w:jc w:val="center"/>
              <w:rPr>
                <w:rFonts w:cs="Calibri"/>
              </w:rPr>
            </w:pPr>
            <w:r w:rsidRPr="00470415">
              <w:rPr>
                <w:rFonts w:cs="Calibri"/>
              </w:rPr>
              <w:t>Note No.</w:t>
            </w:r>
          </w:p>
        </w:tc>
        <w:tc>
          <w:tcPr>
            <w:tcW w:w="1275" w:type="dxa"/>
            <w:gridSpan w:val="2"/>
            <w:tcBorders>
              <w:top w:val="nil"/>
              <w:left w:val="nil"/>
              <w:bottom w:val="nil"/>
              <w:right w:val="nil"/>
            </w:tcBorders>
          </w:tcPr>
          <w:p w14:paraId="735D29C4" w14:textId="77777777" w:rsidR="00BE01D4" w:rsidRPr="00470415" w:rsidRDefault="00BE01D4" w:rsidP="00BE01D4">
            <w:pPr>
              <w:pStyle w:val="TableTitle"/>
              <w:tabs>
                <w:tab w:val="left" w:pos="3306"/>
              </w:tabs>
              <w:rPr>
                <w:rFonts w:cs="Calibri"/>
              </w:rPr>
            </w:pPr>
            <w:r w:rsidRPr="00470415">
              <w:rPr>
                <w:rFonts w:cs="Calibri"/>
              </w:rPr>
              <w:t xml:space="preserve">Carrying Amount </w:t>
            </w:r>
          </w:p>
          <w:p w14:paraId="58182BAE" w14:textId="2EE6AD2F" w:rsidR="00BE01D4" w:rsidRPr="00470415" w:rsidRDefault="00BE01D4" w:rsidP="00BE01D4">
            <w:pPr>
              <w:pStyle w:val="TableTitle"/>
              <w:tabs>
                <w:tab w:val="left" w:pos="3306"/>
              </w:tabs>
              <w:rPr>
                <w:rFonts w:cs="Calibri"/>
              </w:rPr>
            </w:pPr>
            <w:r w:rsidRPr="00470415">
              <w:rPr>
                <w:rFonts w:cs="Calibri"/>
              </w:rPr>
              <w:t>2022</w:t>
            </w:r>
          </w:p>
          <w:p w14:paraId="32508635" w14:textId="77777777" w:rsidR="00BE01D4" w:rsidRPr="00470415" w:rsidRDefault="00BE01D4" w:rsidP="00BE01D4">
            <w:pPr>
              <w:pStyle w:val="TableTitle"/>
              <w:tabs>
                <w:tab w:val="left" w:pos="3306"/>
              </w:tabs>
              <w:rPr>
                <w:rFonts w:cs="Calibri"/>
              </w:rPr>
            </w:pPr>
            <w:r w:rsidRPr="00470415">
              <w:rPr>
                <w:rFonts w:cs="Calibri"/>
              </w:rPr>
              <w:t xml:space="preserve">$’000 </w:t>
            </w:r>
          </w:p>
        </w:tc>
        <w:tc>
          <w:tcPr>
            <w:tcW w:w="1133" w:type="dxa"/>
            <w:tcBorders>
              <w:top w:val="nil"/>
              <w:left w:val="nil"/>
              <w:bottom w:val="nil"/>
              <w:right w:val="nil"/>
            </w:tcBorders>
            <w:vAlign w:val="bottom"/>
          </w:tcPr>
          <w:p w14:paraId="56396A7B" w14:textId="77777777" w:rsidR="00BE01D4" w:rsidRPr="00470415" w:rsidRDefault="00BE01D4" w:rsidP="00BE01D4">
            <w:pPr>
              <w:pStyle w:val="TableTitle"/>
              <w:tabs>
                <w:tab w:val="left" w:pos="3306"/>
              </w:tabs>
              <w:rPr>
                <w:rFonts w:cs="Calibri"/>
              </w:rPr>
            </w:pPr>
            <w:r w:rsidRPr="00470415">
              <w:rPr>
                <w:rFonts w:cs="Calibri"/>
              </w:rPr>
              <w:t>Fair Value</w:t>
            </w:r>
          </w:p>
          <w:p w14:paraId="73B6D89B" w14:textId="6E274BB1" w:rsidR="00BE01D4" w:rsidRPr="00470415" w:rsidRDefault="00BE01D4" w:rsidP="00BE01D4">
            <w:pPr>
              <w:pStyle w:val="TableTitle"/>
              <w:rPr>
                <w:rFonts w:cs="Calibri"/>
              </w:rPr>
            </w:pPr>
            <w:r w:rsidRPr="00470415">
              <w:rPr>
                <w:rFonts w:cs="Calibri"/>
              </w:rPr>
              <w:t>2022</w:t>
            </w:r>
          </w:p>
          <w:p w14:paraId="48A0B00A" w14:textId="77777777" w:rsidR="00BE01D4" w:rsidRPr="00470415" w:rsidRDefault="00BE01D4" w:rsidP="00BE01D4">
            <w:pPr>
              <w:pStyle w:val="TableTitle"/>
              <w:rPr>
                <w:rFonts w:cs="Calibri"/>
              </w:rPr>
            </w:pPr>
            <w:r w:rsidRPr="00470415">
              <w:rPr>
                <w:rFonts w:cs="Calibri"/>
              </w:rPr>
              <w:t>$’000</w:t>
            </w:r>
          </w:p>
        </w:tc>
        <w:tc>
          <w:tcPr>
            <w:tcW w:w="1133" w:type="dxa"/>
            <w:tcBorders>
              <w:top w:val="nil"/>
              <w:left w:val="nil"/>
              <w:bottom w:val="nil"/>
              <w:right w:val="nil"/>
            </w:tcBorders>
            <w:vAlign w:val="bottom"/>
          </w:tcPr>
          <w:p w14:paraId="578E41AE" w14:textId="77777777" w:rsidR="00BE01D4" w:rsidRPr="00470415" w:rsidRDefault="00BE01D4" w:rsidP="00BE01D4">
            <w:pPr>
              <w:pStyle w:val="TableTitle"/>
              <w:tabs>
                <w:tab w:val="left" w:pos="3306"/>
              </w:tabs>
              <w:rPr>
                <w:rFonts w:cs="Calibri"/>
              </w:rPr>
            </w:pPr>
            <w:bookmarkStart w:id="643" w:name="_Toc48468692"/>
            <w:bookmarkStart w:id="644" w:name="_Toc49155789"/>
            <w:bookmarkStart w:id="645" w:name="_Toc49224206"/>
            <w:r w:rsidRPr="00470415">
              <w:rPr>
                <w:rFonts w:cs="Calibri"/>
              </w:rPr>
              <w:t>Carrying Amount</w:t>
            </w:r>
          </w:p>
          <w:bookmarkEnd w:id="643"/>
          <w:bookmarkEnd w:id="644"/>
          <w:bookmarkEnd w:id="645"/>
          <w:p w14:paraId="077A8615" w14:textId="009C9A8D" w:rsidR="00BE01D4" w:rsidRPr="00470415" w:rsidRDefault="00BE01D4" w:rsidP="00BE01D4">
            <w:pPr>
              <w:pStyle w:val="TableTitle"/>
              <w:tabs>
                <w:tab w:val="left" w:pos="3306"/>
              </w:tabs>
              <w:rPr>
                <w:rFonts w:cs="Calibri"/>
              </w:rPr>
            </w:pPr>
            <w:r w:rsidRPr="00470415">
              <w:rPr>
                <w:rFonts w:cs="Calibri"/>
              </w:rPr>
              <w:t>2021</w:t>
            </w:r>
          </w:p>
          <w:p w14:paraId="02768D41" w14:textId="77777777" w:rsidR="00BE01D4" w:rsidRPr="00470415" w:rsidRDefault="00BE01D4" w:rsidP="00BE01D4">
            <w:pPr>
              <w:pStyle w:val="TableTitle"/>
              <w:tabs>
                <w:tab w:val="left" w:pos="3306"/>
              </w:tabs>
              <w:rPr>
                <w:rFonts w:cs="Calibri"/>
              </w:rPr>
            </w:pPr>
            <w:r w:rsidRPr="00470415">
              <w:rPr>
                <w:rFonts w:cs="Calibri"/>
              </w:rPr>
              <w:t>$’000</w:t>
            </w:r>
          </w:p>
        </w:tc>
        <w:tc>
          <w:tcPr>
            <w:tcW w:w="1170" w:type="dxa"/>
            <w:tcBorders>
              <w:top w:val="nil"/>
              <w:left w:val="nil"/>
              <w:bottom w:val="nil"/>
              <w:right w:val="nil"/>
            </w:tcBorders>
            <w:vAlign w:val="bottom"/>
          </w:tcPr>
          <w:p w14:paraId="19159DE1" w14:textId="77777777" w:rsidR="00BE01D4" w:rsidRPr="00470415" w:rsidRDefault="00BE01D4" w:rsidP="00BE01D4">
            <w:pPr>
              <w:pStyle w:val="TableTitle"/>
              <w:tabs>
                <w:tab w:val="left" w:pos="3306"/>
              </w:tabs>
              <w:ind w:right="39"/>
              <w:rPr>
                <w:rFonts w:cs="Calibri"/>
              </w:rPr>
            </w:pPr>
            <w:r w:rsidRPr="00470415">
              <w:rPr>
                <w:rFonts w:cs="Calibri"/>
              </w:rPr>
              <w:t>Fair Value</w:t>
            </w:r>
          </w:p>
          <w:p w14:paraId="6D567B1B" w14:textId="3863D02E" w:rsidR="00BE01D4" w:rsidRPr="00470415" w:rsidRDefault="00BE01D4" w:rsidP="00BE01D4">
            <w:pPr>
              <w:pStyle w:val="TableTitle"/>
              <w:tabs>
                <w:tab w:val="left" w:pos="3306"/>
              </w:tabs>
              <w:ind w:right="39"/>
              <w:rPr>
                <w:rFonts w:cs="Calibri"/>
              </w:rPr>
            </w:pPr>
            <w:r w:rsidRPr="00470415">
              <w:rPr>
                <w:rFonts w:cs="Calibri"/>
              </w:rPr>
              <w:t>2021</w:t>
            </w:r>
          </w:p>
          <w:p w14:paraId="29BDBEC2" w14:textId="77777777" w:rsidR="00BE01D4" w:rsidRPr="00470415" w:rsidRDefault="00BE01D4" w:rsidP="00BE01D4">
            <w:pPr>
              <w:pStyle w:val="TableTitle"/>
              <w:tabs>
                <w:tab w:val="left" w:pos="3306"/>
              </w:tabs>
              <w:ind w:right="39"/>
              <w:rPr>
                <w:rFonts w:cs="Calibri"/>
              </w:rPr>
            </w:pPr>
            <w:r w:rsidRPr="00470415">
              <w:rPr>
                <w:rFonts w:cs="Calibri"/>
              </w:rPr>
              <w:t>$’000</w:t>
            </w:r>
          </w:p>
        </w:tc>
      </w:tr>
      <w:tr w:rsidR="00BE01D4" w:rsidRPr="00CF7E1B" w14:paraId="04E93F39" w14:textId="77777777" w:rsidTr="0004564D">
        <w:trPr>
          <w:cantSplit/>
          <w:trHeight w:val="23"/>
        </w:trPr>
        <w:tc>
          <w:tcPr>
            <w:tcW w:w="1563" w:type="dxa"/>
            <w:tcBorders>
              <w:top w:val="nil"/>
              <w:left w:val="single" w:sz="2" w:space="0" w:color="auto"/>
              <w:bottom w:val="nil"/>
              <w:right w:val="single" w:sz="2" w:space="0" w:color="auto"/>
            </w:tcBorders>
          </w:tcPr>
          <w:p w14:paraId="4EDE27A2" w14:textId="77777777" w:rsidR="00BE01D4" w:rsidRPr="00470415" w:rsidRDefault="00BE01D4" w:rsidP="00BE01D4">
            <w:pPr>
              <w:pStyle w:val="TableReference"/>
              <w:tabs>
                <w:tab w:val="left" w:pos="3306"/>
              </w:tabs>
              <w:spacing w:before="60"/>
              <w:rPr>
                <w:rFonts w:cs="Calibri"/>
                <w:color w:val="7030A0"/>
                <w:sz w:val="14"/>
              </w:rPr>
            </w:pPr>
            <w:r w:rsidRPr="00470415">
              <w:rPr>
                <w:rFonts w:cs="Calibri"/>
                <w:color w:val="7030A0"/>
                <w:sz w:val="14"/>
              </w:rPr>
              <w:t>AASB 7.25</w:t>
            </w:r>
          </w:p>
        </w:tc>
        <w:tc>
          <w:tcPr>
            <w:tcW w:w="3191" w:type="dxa"/>
            <w:gridSpan w:val="2"/>
            <w:tcBorders>
              <w:top w:val="nil"/>
              <w:left w:val="single" w:sz="2" w:space="0" w:color="auto"/>
              <w:bottom w:val="nil"/>
              <w:right w:val="nil"/>
            </w:tcBorders>
            <w:vAlign w:val="bottom"/>
          </w:tcPr>
          <w:p w14:paraId="3BA34EB0" w14:textId="77777777" w:rsidR="00BE01D4" w:rsidRPr="00470415" w:rsidRDefault="00BE01D4" w:rsidP="00BE01D4">
            <w:pPr>
              <w:pStyle w:val="TableText"/>
              <w:tabs>
                <w:tab w:val="left" w:pos="3306"/>
              </w:tabs>
              <w:rPr>
                <w:rFonts w:cs="Calibri"/>
                <w:b/>
                <w:bCs/>
              </w:rPr>
            </w:pPr>
            <w:bookmarkStart w:id="646" w:name="_Toc48468694"/>
            <w:bookmarkStart w:id="647" w:name="_Toc49155791"/>
            <w:bookmarkStart w:id="648" w:name="_Toc49224208"/>
            <w:r w:rsidRPr="00470415">
              <w:rPr>
                <w:rFonts w:cs="Calibri"/>
                <w:b/>
                <w:bCs/>
              </w:rPr>
              <w:t>Financial Assets</w:t>
            </w:r>
            <w:bookmarkEnd w:id="646"/>
            <w:bookmarkEnd w:id="647"/>
            <w:bookmarkEnd w:id="648"/>
          </w:p>
        </w:tc>
        <w:tc>
          <w:tcPr>
            <w:tcW w:w="1028" w:type="dxa"/>
            <w:tcBorders>
              <w:top w:val="nil"/>
              <w:left w:val="nil"/>
              <w:bottom w:val="nil"/>
              <w:right w:val="nil"/>
            </w:tcBorders>
          </w:tcPr>
          <w:p w14:paraId="030E91CE" w14:textId="77777777" w:rsidR="00BE01D4" w:rsidRPr="00470415" w:rsidRDefault="00BE01D4" w:rsidP="00BE01D4">
            <w:pPr>
              <w:pStyle w:val="TableText"/>
              <w:tabs>
                <w:tab w:val="left" w:pos="3306"/>
              </w:tabs>
              <w:jc w:val="center"/>
              <w:rPr>
                <w:rFonts w:cs="Calibri"/>
              </w:rPr>
            </w:pPr>
          </w:p>
        </w:tc>
        <w:tc>
          <w:tcPr>
            <w:tcW w:w="1275" w:type="dxa"/>
            <w:gridSpan w:val="2"/>
            <w:tcBorders>
              <w:top w:val="nil"/>
              <w:left w:val="nil"/>
              <w:bottom w:val="nil"/>
              <w:right w:val="nil"/>
            </w:tcBorders>
          </w:tcPr>
          <w:p w14:paraId="60FC3379" w14:textId="77777777" w:rsidR="00BE01D4" w:rsidRPr="00470415" w:rsidRDefault="00BE01D4" w:rsidP="00BE01D4">
            <w:pPr>
              <w:pStyle w:val="TableText"/>
              <w:tabs>
                <w:tab w:val="left" w:pos="3306"/>
              </w:tabs>
              <w:jc w:val="right"/>
              <w:rPr>
                <w:rFonts w:cs="Calibri"/>
              </w:rPr>
            </w:pPr>
          </w:p>
        </w:tc>
        <w:tc>
          <w:tcPr>
            <w:tcW w:w="1133" w:type="dxa"/>
            <w:tcBorders>
              <w:top w:val="nil"/>
              <w:left w:val="nil"/>
              <w:bottom w:val="nil"/>
              <w:right w:val="nil"/>
            </w:tcBorders>
          </w:tcPr>
          <w:p w14:paraId="464F862C" w14:textId="77777777" w:rsidR="00BE01D4" w:rsidRPr="00470415" w:rsidRDefault="00BE01D4" w:rsidP="00BE01D4">
            <w:pPr>
              <w:pStyle w:val="TableText"/>
              <w:tabs>
                <w:tab w:val="left" w:pos="3306"/>
              </w:tabs>
              <w:jc w:val="right"/>
              <w:rPr>
                <w:rFonts w:cs="Calibri"/>
              </w:rPr>
            </w:pPr>
          </w:p>
        </w:tc>
        <w:tc>
          <w:tcPr>
            <w:tcW w:w="1133" w:type="dxa"/>
            <w:tcBorders>
              <w:top w:val="nil"/>
              <w:left w:val="nil"/>
              <w:bottom w:val="nil"/>
              <w:right w:val="nil"/>
            </w:tcBorders>
            <w:vAlign w:val="bottom"/>
          </w:tcPr>
          <w:p w14:paraId="73DB0EF6" w14:textId="77777777" w:rsidR="00BE01D4" w:rsidRPr="00470415" w:rsidRDefault="00BE01D4" w:rsidP="00BE01D4">
            <w:pPr>
              <w:pStyle w:val="TableText"/>
              <w:tabs>
                <w:tab w:val="left" w:pos="3306"/>
              </w:tabs>
              <w:jc w:val="right"/>
              <w:rPr>
                <w:rFonts w:cs="Calibri"/>
              </w:rPr>
            </w:pPr>
          </w:p>
        </w:tc>
        <w:tc>
          <w:tcPr>
            <w:tcW w:w="1170" w:type="dxa"/>
            <w:tcBorders>
              <w:top w:val="nil"/>
              <w:left w:val="nil"/>
              <w:bottom w:val="nil"/>
              <w:right w:val="nil"/>
            </w:tcBorders>
            <w:vAlign w:val="bottom"/>
          </w:tcPr>
          <w:p w14:paraId="35D9F06C" w14:textId="77777777" w:rsidR="00BE01D4" w:rsidRPr="00470415" w:rsidRDefault="00BE01D4" w:rsidP="00BE01D4">
            <w:pPr>
              <w:pStyle w:val="TableText"/>
              <w:tabs>
                <w:tab w:val="left" w:pos="3306"/>
              </w:tabs>
              <w:jc w:val="right"/>
              <w:rPr>
                <w:rFonts w:cs="Calibri"/>
              </w:rPr>
            </w:pPr>
          </w:p>
        </w:tc>
      </w:tr>
      <w:tr w:rsidR="00BE01D4" w:rsidRPr="00CF7E1B" w14:paraId="321E9E94" w14:textId="77777777" w:rsidTr="0004564D">
        <w:trPr>
          <w:cantSplit/>
          <w:trHeight w:val="23"/>
        </w:trPr>
        <w:tc>
          <w:tcPr>
            <w:tcW w:w="1563" w:type="dxa"/>
            <w:tcBorders>
              <w:top w:val="nil"/>
              <w:left w:val="single" w:sz="2" w:space="0" w:color="auto"/>
              <w:bottom w:val="nil"/>
              <w:right w:val="single" w:sz="2" w:space="0" w:color="auto"/>
            </w:tcBorders>
          </w:tcPr>
          <w:p w14:paraId="032B14F9" w14:textId="77777777" w:rsidR="00BE01D4" w:rsidRPr="00470415" w:rsidRDefault="00BE01D4" w:rsidP="00BE01D4">
            <w:pPr>
              <w:pStyle w:val="CommentaryReference"/>
              <w:rPr>
                <w:rFonts w:cs="Calibri"/>
                <w:color w:val="7030A0"/>
                <w:szCs w:val="14"/>
              </w:rPr>
            </w:pPr>
          </w:p>
        </w:tc>
        <w:tc>
          <w:tcPr>
            <w:tcW w:w="3191" w:type="dxa"/>
            <w:gridSpan w:val="2"/>
            <w:tcBorders>
              <w:top w:val="nil"/>
              <w:left w:val="single" w:sz="2" w:space="0" w:color="auto"/>
              <w:bottom w:val="nil"/>
              <w:right w:val="nil"/>
            </w:tcBorders>
            <w:vAlign w:val="bottom"/>
          </w:tcPr>
          <w:p w14:paraId="26D04ED4" w14:textId="77777777" w:rsidR="00BE01D4" w:rsidRPr="00470415" w:rsidRDefault="00BE01D4" w:rsidP="00BE01D4">
            <w:pPr>
              <w:pStyle w:val="CommentaryReference"/>
              <w:rPr>
                <w:rFonts w:cs="Calibri"/>
              </w:rPr>
            </w:pPr>
          </w:p>
        </w:tc>
        <w:tc>
          <w:tcPr>
            <w:tcW w:w="1028" w:type="dxa"/>
            <w:tcBorders>
              <w:top w:val="nil"/>
              <w:left w:val="nil"/>
              <w:bottom w:val="nil"/>
              <w:right w:val="nil"/>
            </w:tcBorders>
          </w:tcPr>
          <w:p w14:paraId="206CE19A" w14:textId="77777777" w:rsidR="00BE01D4" w:rsidRPr="00470415" w:rsidRDefault="00BE01D4" w:rsidP="00BE01D4">
            <w:pPr>
              <w:pStyle w:val="CommentaryReference"/>
              <w:jc w:val="center"/>
              <w:rPr>
                <w:rFonts w:cs="Calibri"/>
              </w:rPr>
            </w:pPr>
          </w:p>
        </w:tc>
        <w:tc>
          <w:tcPr>
            <w:tcW w:w="1275" w:type="dxa"/>
            <w:gridSpan w:val="2"/>
            <w:tcBorders>
              <w:top w:val="nil"/>
              <w:left w:val="nil"/>
              <w:bottom w:val="nil"/>
              <w:right w:val="nil"/>
            </w:tcBorders>
          </w:tcPr>
          <w:p w14:paraId="0C179F79" w14:textId="77777777" w:rsidR="00BE01D4" w:rsidRPr="00470415" w:rsidRDefault="00BE01D4" w:rsidP="00BE01D4">
            <w:pPr>
              <w:pStyle w:val="CommentaryReference"/>
              <w:rPr>
                <w:rFonts w:cs="Calibri"/>
              </w:rPr>
            </w:pPr>
          </w:p>
        </w:tc>
        <w:tc>
          <w:tcPr>
            <w:tcW w:w="1133" w:type="dxa"/>
            <w:tcBorders>
              <w:top w:val="nil"/>
              <w:left w:val="nil"/>
              <w:bottom w:val="nil"/>
              <w:right w:val="nil"/>
            </w:tcBorders>
          </w:tcPr>
          <w:p w14:paraId="014DA639" w14:textId="77777777" w:rsidR="00BE01D4" w:rsidRPr="00470415" w:rsidRDefault="00BE01D4" w:rsidP="00BE01D4">
            <w:pPr>
              <w:pStyle w:val="CommentaryReference"/>
              <w:rPr>
                <w:rFonts w:cs="Calibri"/>
              </w:rPr>
            </w:pPr>
          </w:p>
        </w:tc>
        <w:tc>
          <w:tcPr>
            <w:tcW w:w="1133" w:type="dxa"/>
            <w:tcBorders>
              <w:top w:val="nil"/>
              <w:left w:val="nil"/>
              <w:bottom w:val="nil"/>
              <w:right w:val="nil"/>
            </w:tcBorders>
            <w:vAlign w:val="bottom"/>
          </w:tcPr>
          <w:p w14:paraId="1AEE9434" w14:textId="77777777" w:rsidR="00BE01D4" w:rsidRPr="00470415" w:rsidRDefault="00BE01D4" w:rsidP="00BE01D4">
            <w:pPr>
              <w:pStyle w:val="CommentaryReference"/>
              <w:rPr>
                <w:rFonts w:cs="Calibri"/>
              </w:rPr>
            </w:pPr>
          </w:p>
        </w:tc>
        <w:tc>
          <w:tcPr>
            <w:tcW w:w="1170" w:type="dxa"/>
            <w:tcBorders>
              <w:top w:val="nil"/>
              <w:left w:val="nil"/>
              <w:bottom w:val="nil"/>
              <w:right w:val="nil"/>
            </w:tcBorders>
            <w:vAlign w:val="bottom"/>
          </w:tcPr>
          <w:p w14:paraId="4DB84AE9" w14:textId="77777777" w:rsidR="00BE01D4" w:rsidRPr="00470415" w:rsidRDefault="00BE01D4" w:rsidP="00BE01D4">
            <w:pPr>
              <w:pStyle w:val="CommentaryReference"/>
              <w:rPr>
                <w:rFonts w:cs="Calibri"/>
              </w:rPr>
            </w:pPr>
          </w:p>
        </w:tc>
      </w:tr>
      <w:tr w:rsidR="00BE01D4" w:rsidRPr="00CF7E1B" w14:paraId="0C265070" w14:textId="77777777" w:rsidTr="0004564D">
        <w:trPr>
          <w:cantSplit/>
          <w:trHeight w:val="23"/>
        </w:trPr>
        <w:tc>
          <w:tcPr>
            <w:tcW w:w="1563" w:type="dxa"/>
            <w:tcBorders>
              <w:top w:val="nil"/>
              <w:left w:val="single" w:sz="2" w:space="0" w:color="auto"/>
              <w:bottom w:val="nil"/>
              <w:right w:val="single" w:sz="2" w:space="0" w:color="auto"/>
            </w:tcBorders>
          </w:tcPr>
          <w:p w14:paraId="6A654E3B" w14:textId="77777777" w:rsidR="00BE01D4" w:rsidRPr="00470415" w:rsidRDefault="00BE01D4" w:rsidP="00BE01D4">
            <w:pPr>
              <w:pStyle w:val="TableReference"/>
              <w:tabs>
                <w:tab w:val="left" w:pos="3306"/>
              </w:tabs>
              <w:spacing w:before="60"/>
              <w:rPr>
                <w:rFonts w:cs="Calibri"/>
                <w:color w:val="7030A0"/>
                <w:sz w:val="14"/>
              </w:rPr>
            </w:pPr>
            <w:r w:rsidRPr="00470415">
              <w:rPr>
                <w:rFonts w:cs="Calibri"/>
                <w:color w:val="7030A0"/>
                <w:sz w:val="14"/>
              </w:rPr>
              <w:t>AASB 7.25</w:t>
            </w:r>
          </w:p>
        </w:tc>
        <w:tc>
          <w:tcPr>
            <w:tcW w:w="3191" w:type="dxa"/>
            <w:gridSpan w:val="2"/>
            <w:tcBorders>
              <w:top w:val="nil"/>
              <w:left w:val="single" w:sz="2" w:space="0" w:color="auto"/>
              <w:bottom w:val="nil"/>
              <w:right w:val="nil"/>
            </w:tcBorders>
            <w:vAlign w:val="bottom"/>
          </w:tcPr>
          <w:p w14:paraId="4B771FB3" w14:textId="450F38A3" w:rsidR="00BE01D4" w:rsidRPr="00470415" w:rsidRDefault="00BE01D4" w:rsidP="00BE01D4">
            <w:pPr>
              <w:pStyle w:val="TableText"/>
              <w:tabs>
                <w:tab w:val="left" w:pos="3306"/>
              </w:tabs>
              <w:rPr>
                <w:rFonts w:cs="Calibri"/>
              </w:rPr>
            </w:pPr>
            <w:r w:rsidRPr="00470415">
              <w:rPr>
                <w:rFonts w:cs="Calibri"/>
              </w:rPr>
              <w:t xml:space="preserve">Investments </w:t>
            </w:r>
          </w:p>
        </w:tc>
        <w:tc>
          <w:tcPr>
            <w:tcW w:w="1028" w:type="dxa"/>
            <w:tcBorders>
              <w:top w:val="nil"/>
              <w:left w:val="nil"/>
              <w:bottom w:val="nil"/>
              <w:right w:val="nil"/>
            </w:tcBorders>
          </w:tcPr>
          <w:p w14:paraId="3407EFF1" w14:textId="28AD57CA" w:rsidR="00BE01D4" w:rsidRPr="00470415" w:rsidRDefault="00BE01D4" w:rsidP="00BE01D4">
            <w:pPr>
              <w:pStyle w:val="TableText"/>
              <w:tabs>
                <w:tab w:val="left" w:pos="3306"/>
              </w:tabs>
              <w:jc w:val="center"/>
              <w:rPr>
                <w:rFonts w:cs="Calibri"/>
                <w:strike/>
              </w:rPr>
            </w:pPr>
            <w:r w:rsidRPr="00470415">
              <w:rPr>
                <w:rFonts w:cs="Calibri"/>
              </w:rPr>
              <w:t>15</w:t>
            </w:r>
          </w:p>
        </w:tc>
        <w:tc>
          <w:tcPr>
            <w:tcW w:w="1275" w:type="dxa"/>
            <w:gridSpan w:val="2"/>
            <w:tcBorders>
              <w:top w:val="nil"/>
              <w:left w:val="nil"/>
              <w:bottom w:val="single" w:sz="2" w:space="0" w:color="auto"/>
              <w:right w:val="nil"/>
            </w:tcBorders>
            <w:vAlign w:val="bottom"/>
          </w:tcPr>
          <w:p w14:paraId="2F8CC931" w14:textId="700D3D15" w:rsidR="00BE01D4" w:rsidRPr="00470415" w:rsidRDefault="00BE01D4" w:rsidP="00BE01D4">
            <w:pPr>
              <w:pStyle w:val="TableText"/>
              <w:tabs>
                <w:tab w:val="left" w:pos="3306"/>
              </w:tabs>
              <w:jc w:val="right"/>
              <w:rPr>
                <w:rFonts w:cs="Calibri"/>
                <w:strike/>
              </w:rPr>
            </w:pPr>
          </w:p>
        </w:tc>
        <w:tc>
          <w:tcPr>
            <w:tcW w:w="1133" w:type="dxa"/>
            <w:tcBorders>
              <w:top w:val="nil"/>
              <w:left w:val="nil"/>
              <w:bottom w:val="single" w:sz="2" w:space="0" w:color="auto"/>
              <w:right w:val="nil"/>
            </w:tcBorders>
            <w:vAlign w:val="bottom"/>
          </w:tcPr>
          <w:p w14:paraId="470F3212" w14:textId="4C7999C7" w:rsidR="00BE01D4" w:rsidRPr="00470415" w:rsidRDefault="00BE01D4" w:rsidP="00BE01D4">
            <w:pPr>
              <w:pStyle w:val="TableText"/>
              <w:tabs>
                <w:tab w:val="left" w:pos="3306"/>
              </w:tabs>
              <w:jc w:val="right"/>
              <w:rPr>
                <w:rFonts w:cs="Calibri"/>
                <w:strike/>
              </w:rPr>
            </w:pPr>
          </w:p>
        </w:tc>
        <w:tc>
          <w:tcPr>
            <w:tcW w:w="1133" w:type="dxa"/>
            <w:tcBorders>
              <w:top w:val="nil"/>
              <w:left w:val="nil"/>
              <w:bottom w:val="single" w:sz="2" w:space="0" w:color="auto"/>
              <w:right w:val="nil"/>
            </w:tcBorders>
            <w:vAlign w:val="bottom"/>
          </w:tcPr>
          <w:p w14:paraId="2D00AB24" w14:textId="3EB8A408" w:rsidR="00BE01D4" w:rsidRPr="00470415" w:rsidRDefault="00BE01D4" w:rsidP="00BE01D4">
            <w:pPr>
              <w:pStyle w:val="TableText"/>
              <w:tabs>
                <w:tab w:val="left" w:pos="3306"/>
              </w:tabs>
              <w:jc w:val="right"/>
              <w:rPr>
                <w:rFonts w:cs="Calibri"/>
                <w:strike/>
              </w:rPr>
            </w:pPr>
          </w:p>
        </w:tc>
        <w:tc>
          <w:tcPr>
            <w:tcW w:w="1170" w:type="dxa"/>
            <w:tcBorders>
              <w:top w:val="nil"/>
              <w:left w:val="nil"/>
              <w:bottom w:val="single" w:sz="2" w:space="0" w:color="auto"/>
              <w:right w:val="nil"/>
            </w:tcBorders>
            <w:vAlign w:val="bottom"/>
          </w:tcPr>
          <w:p w14:paraId="0DB24C50" w14:textId="3BA4DCD5" w:rsidR="00BE01D4" w:rsidRPr="00470415" w:rsidRDefault="00BE01D4" w:rsidP="00BE01D4">
            <w:pPr>
              <w:pStyle w:val="TableText"/>
              <w:tabs>
                <w:tab w:val="left" w:pos="3306"/>
              </w:tabs>
              <w:jc w:val="right"/>
              <w:rPr>
                <w:rFonts w:cs="Calibri"/>
                <w:strike/>
              </w:rPr>
            </w:pPr>
          </w:p>
        </w:tc>
      </w:tr>
      <w:tr w:rsidR="00BE01D4" w:rsidRPr="00CF7E1B" w14:paraId="5607A486" w14:textId="77777777" w:rsidTr="0004564D">
        <w:trPr>
          <w:cantSplit/>
          <w:trHeight w:val="23"/>
        </w:trPr>
        <w:tc>
          <w:tcPr>
            <w:tcW w:w="1563" w:type="dxa"/>
            <w:tcBorders>
              <w:top w:val="nil"/>
              <w:left w:val="single" w:sz="2" w:space="0" w:color="auto"/>
              <w:bottom w:val="nil"/>
              <w:right w:val="single" w:sz="2" w:space="0" w:color="auto"/>
            </w:tcBorders>
          </w:tcPr>
          <w:p w14:paraId="55CFAEA2" w14:textId="77777777" w:rsidR="00BE01D4" w:rsidRPr="00470415" w:rsidRDefault="00BE01D4" w:rsidP="00BE01D4">
            <w:pPr>
              <w:pStyle w:val="TableReference"/>
              <w:tabs>
                <w:tab w:val="left" w:pos="3306"/>
              </w:tabs>
              <w:spacing w:before="40"/>
              <w:rPr>
                <w:rFonts w:cs="Calibri"/>
                <w:color w:val="7030A0"/>
                <w:sz w:val="14"/>
              </w:rPr>
            </w:pPr>
          </w:p>
        </w:tc>
        <w:tc>
          <w:tcPr>
            <w:tcW w:w="3191" w:type="dxa"/>
            <w:gridSpan w:val="2"/>
            <w:tcBorders>
              <w:top w:val="nil"/>
              <w:left w:val="single" w:sz="2" w:space="0" w:color="auto"/>
              <w:bottom w:val="nil"/>
              <w:right w:val="nil"/>
            </w:tcBorders>
            <w:vAlign w:val="bottom"/>
          </w:tcPr>
          <w:p w14:paraId="1B6B629B" w14:textId="77777777" w:rsidR="00BE01D4" w:rsidRPr="00470415" w:rsidRDefault="00BE01D4" w:rsidP="00BE01D4">
            <w:pPr>
              <w:pStyle w:val="TableText"/>
              <w:tabs>
                <w:tab w:val="left" w:pos="3306"/>
              </w:tabs>
              <w:rPr>
                <w:rFonts w:cs="Calibri"/>
                <w:b/>
                <w:bCs/>
              </w:rPr>
            </w:pPr>
            <w:r w:rsidRPr="00470415">
              <w:rPr>
                <w:rFonts w:cs="Calibri"/>
                <w:b/>
                <w:bCs/>
              </w:rPr>
              <w:t>Total Financial Assets</w:t>
            </w:r>
          </w:p>
        </w:tc>
        <w:tc>
          <w:tcPr>
            <w:tcW w:w="1028" w:type="dxa"/>
            <w:tcBorders>
              <w:top w:val="nil"/>
              <w:left w:val="nil"/>
              <w:bottom w:val="nil"/>
              <w:right w:val="nil"/>
            </w:tcBorders>
          </w:tcPr>
          <w:p w14:paraId="01B2A16A" w14:textId="77777777" w:rsidR="00BE01D4" w:rsidRPr="00470415" w:rsidRDefault="00BE01D4" w:rsidP="00BE01D4">
            <w:pPr>
              <w:pStyle w:val="TableText"/>
              <w:tabs>
                <w:tab w:val="left" w:pos="3306"/>
              </w:tabs>
              <w:jc w:val="center"/>
              <w:rPr>
                <w:rFonts w:cs="Calibri"/>
                <w:b/>
                <w:bCs/>
              </w:rPr>
            </w:pPr>
          </w:p>
        </w:tc>
        <w:tc>
          <w:tcPr>
            <w:tcW w:w="1275" w:type="dxa"/>
            <w:gridSpan w:val="2"/>
            <w:tcBorders>
              <w:top w:val="single" w:sz="2" w:space="0" w:color="auto"/>
              <w:left w:val="nil"/>
              <w:bottom w:val="double" w:sz="4" w:space="0" w:color="auto"/>
              <w:right w:val="nil"/>
            </w:tcBorders>
          </w:tcPr>
          <w:p w14:paraId="3CE70F76" w14:textId="26248BB1" w:rsidR="00BE01D4" w:rsidRPr="00470415" w:rsidRDefault="00BE01D4" w:rsidP="00BE01D4">
            <w:pPr>
              <w:pStyle w:val="TableText"/>
              <w:tabs>
                <w:tab w:val="left" w:pos="3306"/>
              </w:tabs>
              <w:jc w:val="right"/>
              <w:rPr>
                <w:rFonts w:cs="Calibri"/>
                <w:b/>
                <w:bCs/>
                <w:strike/>
              </w:rPr>
            </w:pPr>
          </w:p>
        </w:tc>
        <w:tc>
          <w:tcPr>
            <w:tcW w:w="1133" w:type="dxa"/>
            <w:tcBorders>
              <w:top w:val="single" w:sz="2" w:space="0" w:color="auto"/>
              <w:left w:val="nil"/>
              <w:bottom w:val="double" w:sz="4" w:space="0" w:color="auto"/>
              <w:right w:val="nil"/>
            </w:tcBorders>
          </w:tcPr>
          <w:p w14:paraId="0749054E" w14:textId="3E1AD32F" w:rsidR="00BE01D4" w:rsidRPr="00470415" w:rsidRDefault="00BE01D4" w:rsidP="00BE01D4">
            <w:pPr>
              <w:pStyle w:val="TableText"/>
              <w:tabs>
                <w:tab w:val="left" w:pos="3306"/>
              </w:tabs>
              <w:jc w:val="right"/>
              <w:rPr>
                <w:rFonts w:cs="Calibri"/>
                <w:b/>
                <w:bCs/>
                <w:strike/>
              </w:rPr>
            </w:pPr>
          </w:p>
        </w:tc>
        <w:tc>
          <w:tcPr>
            <w:tcW w:w="1133" w:type="dxa"/>
            <w:tcBorders>
              <w:top w:val="single" w:sz="2" w:space="0" w:color="auto"/>
              <w:left w:val="nil"/>
              <w:bottom w:val="double" w:sz="4" w:space="0" w:color="auto"/>
              <w:right w:val="nil"/>
            </w:tcBorders>
            <w:vAlign w:val="bottom"/>
          </w:tcPr>
          <w:p w14:paraId="175D26E1" w14:textId="5A565C2B" w:rsidR="00BE01D4" w:rsidRPr="00470415" w:rsidRDefault="00BE01D4" w:rsidP="00BE01D4">
            <w:pPr>
              <w:pStyle w:val="TableText"/>
              <w:tabs>
                <w:tab w:val="left" w:pos="3306"/>
              </w:tabs>
              <w:jc w:val="right"/>
              <w:rPr>
                <w:rFonts w:cs="Calibri"/>
                <w:b/>
                <w:bCs/>
              </w:rPr>
            </w:pPr>
          </w:p>
        </w:tc>
        <w:tc>
          <w:tcPr>
            <w:tcW w:w="1170" w:type="dxa"/>
            <w:tcBorders>
              <w:top w:val="single" w:sz="2" w:space="0" w:color="auto"/>
              <w:left w:val="nil"/>
              <w:bottom w:val="double" w:sz="4" w:space="0" w:color="auto"/>
              <w:right w:val="nil"/>
            </w:tcBorders>
            <w:vAlign w:val="bottom"/>
          </w:tcPr>
          <w:p w14:paraId="6BA93949" w14:textId="77001C9B" w:rsidR="00BE01D4" w:rsidRPr="00470415" w:rsidRDefault="00BE01D4" w:rsidP="00BE01D4">
            <w:pPr>
              <w:pStyle w:val="TableText"/>
              <w:tabs>
                <w:tab w:val="left" w:pos="3306"/>
              </w:tabs>
              <w:jc w:val="right"/>
              <w:rPr>
                <w:rFonts w:cs="Calibri"/>
                <w:b/>
                <w:bCs/>
              </w:rPr>
            </w:pPr>
          </w:p>
        </w:tc>
      </w:tr>
    </w:tbl>
    <w:p w14:paraId="40098FC1" w14:textId="77777777" w:rsidR="00416D13" w:rsidRDefault="00416D13">
      <w:r>
        <w:rPr>
          <w:b/>
          <w:bCs/>
        </w:rPr>
        <w:br w:type="page"/>
      </w:r>
    </w:p>
    <w:tbl>
      <w:tblP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5813"/>
        <w:gridCol w:w="1560"/>
        <w:gridCol w:w="1559"/>
      </w:tblGrid>
      <w:tr w:rsidR="00470415" w:rsidRPr="00470415" w14:paraId="25F3DAC9" w14:textId="77777777" w:rsidTr="0004564D">
        <w:trPr>
          <w:cantSplit/>
          <w:trHeight w:val="23"/>
        </w:trPr>
        <w:tc>
          <w:tcPr>
            <w:tcW w:w="1555" w:type="dxa"/>
            <w:tcBorders>
              <w:top w:val="nil"/>
              <w:left w:val="single" w:sz="2" w:space="0" w:color="auto"/>
              <w:bottom w:val="nil"/>
              <w:right w:val="single" w:sz="2" w:space="0" w:color="auto"/>
            </w:tcBorders>
          </w:tcPr>
          <w:p w14:paraId="02BBBF73" w14:textId="73FCB06F" w:rsidR="00E336DC" w:rsidRPr="00470415" w:rsidRDefault="00E336DC" w:rsidP="006E51FA">
            <w:pPr>
              <w:pStyle w:val="Reference"/>
              <w:spacing w:before="240" w:after="240"/>
              <w:rPr>
                <w:rFonts w:cs="Calibri"/>
                <w:color w:val="7030A0"/>
                <w:sz w:val="22"/>
                <w:szCs w:val="22"/>
              </w:rPr>
            </w:pPr>
            <w:r w:rsidRPr="00470415">
              <w:rPr>
                <w:rFonts w:cs="Calibri"/>
                <w:b w:val="0"/>
                <w:bCs w:val="0"/>
                <w:color w:val="7030A0"/>
              </w:rPr>
              <w:br w:type="page"/>
            </w:r>
            <w:r w:rsidR="007E1584" w:rsidRPr="00470415">
              <w:rPr>
                <w:rFonts w:cs="Calibri"/>
                <w:color w:val="7030A0"/>
                <w:sz w:val="22"/>
                <w:szCs w:val="22"/>
              </w:rPr>
              <w:t>Reference</w:t>
            </w:r>
          </w:p>
        </w:tc>
        <w:tc>
          <w:tcPr>
            <w:tcW w:w="8932" w:type="dxa"/>
            <w:gridSpan w:val="3"/>
            <w:tcBorders>
              <w:top w:val="nil"/>
              <w:left w:val="single" w:sz="2" w:space="0" w:color="auto"/>
              <w:bottom w:val="nil"/>
              <w:right w:val="nil"/>
            </w:tcBorders>
            <w:vAlign w:val="bottom"/>
          </w:tcPr>
          <w:p w14:paraId="77AC3ED8" w14:textId="65D3EF89" w:rsidR="00E336DC" w:rsidRPr="00470415" w:rsidRDefault="00B37875" w:rsidP="00B37875">
            <w:pPr>
              <w:spacing w:before="240" w:after="240"/>
              <w:rPr>
                <w:b/>
              </w:rPr>
            </w:pPr>
            <w:r w:rsidRPr="00470415">
              <w:rPr>
                <w:rFonts w:ascii="Arial" w:hAnsi="Arial" w:cs="Arial"/>
                <w:b/>
                <w:sz w:val="32"/>
                <w:szCs w:val="32"/>
              </w:rPr>
              <w:t xml:space="preserve">NOTE </w:t>
            </w:r>
            <w:r w:rsidR="003334D4" w:rsidRPr="00470415">
              <w:rPr>
                <w:rFonts w:ascii="Arial" w:hAnsi="Arial" w:cs="Arial"/>
                <w:b/>
                <w:sz w:val="32"/>
                <w:szCs w:val="32"/>
              </w:rPr>
              <w:t>31</w:t>
            </w:r>
            <w:r w:rsidRPr="00470415">
              <w:rPr>
                <w:rFonts w:ascii="Arial" w:hAnsi="Arial" w:cs="Arial"/>
                <w:b/>
                <w:sz w:val="32"/>
                <w:szCs w:val="32"/>
              </w:rPr>
              <w:t>.</w:t>
            </w:r>
            <w:r w:rsidR="00FA7C77">
              <w:rPr>
                <w:rFonts w:ascii="Arial" w:hAnsi="Arial" w:cs="Arial"/>
                <w:b/>
                <w:sz w:val="32"/>
                <w:szCs w:val="32"/>
              </w:rPr>
              <w:t xml:space="preserve"> </w:t>
            </w:r>
            <w:r w:rsidRPr="00470415">
              <w:rPr>
                <w:rFonts w:ascii="Arial" w:hAnsi="Arial" w:cs="Arial"/>
                <w:b/>
                <w:sz w:val="32"/>
                <w:szCs w:val="32"/>
              </w:rPr>
              <w:t xml:space="preserve"> FINANCIAL INSTRUMENTS – CONTINUED</w:t>
            </w:r>
          </w:p>
        </w:tc>
      </w:tr>
      <w:tr w:rsidR="00470415" w:rsidRPr="00470415" w14:paraId="3372B4A1"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171D143C" w14:textId="77777777" w:rsidR="00B44DA7" w:rsidRPr="00470415" w:rsidRDefault="00B44DA7" w:rsidP="00B44DA7">
            <w:pPr>
              <w:pStyle w:val="TableReference"/>
              <w:tabs>
                <w:tab w:val="left" w:pos="3306"/>
              </w:tabs>
              <w:spacing w:before="240"/>
              <w:rPr>
                <w:rFonts w:cs="Calibri"/>
                <w:color w:val="7030A0"/>
                <w:sz w:val="14"/>
              </w:rPr>
            </w:pPr>
          </w:p>
        </w:tc>
        <w:tc>
          <w:tcPr>
            <w:tcW w:w="8932" w:type="dxa"/>
            <w:gridSpan w:val="3"/>
            <w:tcBorders>
              <w:top w:val="nil"/>
              <w:left w:val="single" w:sz="2" w:space="0" w:color="auto"/>
              <w:bottom w:val="nil"/>
              <w:right w:val="nil"/>
            </w:tcBorders>
            <w:vAlign w:val="bottom"/>
          </w:tcPr>
          <w:p w14:paraId="519DF2A6" w14:textId="77777777" w:rsidR="00B44DA7" w:rsidRPr="00470415" w:rsidRDefault="00B44DA7" w:rsidP="00BB2E31">
            <w:pPr>
              <w:pStyle w:val="TableTitle"/>
              <w:tabs>
                <w:tab w:val="left" w:pos="3306"/>
              </w:tabs>
              <w:jc w:val="left"/>
              <w:rPr>
                <w:rFonts w:cs="Calibri"/>
              </w:rPr>
            </w:pPr>
            <w:r w:rsidRPr="00470415">
              <w:rPr>
                <w:rFonts w:cs="Calibri"/>
              </w:rPr>
              <w:t>Fair Value Hierarchy</w:t>
            </w:r>
            <w:r w:rsidR="00506EA7" w:rsidRPr="00470415">
              <w:rPr>
                <w:rFonts w:cs="Calibri"/>
              </w:rPr>
              <w:t xml:space="preserve"> </w:t>
            </w:r>
          </w:p>
        </w:tc>
      </w:tr>
      <w:tr w:rsidR="00470415" w:rsidRPr="00470415" w14:paraId="02504917" w14:textId="77777777" w:rsidTr="0004564D">
        <w:tblPrEx>
          <w:jc w:val="right"/>
        </w:tblPrEx>
        <w:trPr>
          <w:cantSplit/>
          <w:trHeight w:val="796"/>
          <w:jc w:val="right"/>
        </w:trPr>
        <w:tc>
          <w:tcPr>
            <w:tcW w:w="1555" w:type="dxa"/>
            <w:tcBorders>
              <w:top w:val="nil"/>
              <w:left w:val="single" w:sz="2" w:space="0" w:color="auto"/>
              <w:bottom w:val="nil"/>
              <w:right w:val="single" w:sz="2" w:space="0" w:color="auto"/>
            </w:tcBorders>
          </w:tcPr>
          <w:p w14:paraId="5324BEDF" w14:textId="77777777" w:rsidR="00682C7B" w:rsidRPr="00470415" w:rsidRDefault="00682C7B" w:rsidP="00E95202">
            <w:pPr>
              <w:pStyle w:val="TableReference"/>
              <w:tabs>
                <w:tab w:val="left" w:pos="3306"/>
              </w:tabs>
              <w:spacing w:before="40"/>
              <w:rPr>
                <w:rFonts w:cs="Calibri"/>
                <w:color w:val="7030A0"/>
                <w:sz w:val="14"/>
              </w:rPr>
            </w:pPr>
            <w:r w:rsidRPr="00470415">
              <w:rPr>
                <w:rFonts w:cs="Calibri"/>
                <w:color w:val="7030A0"/>
                <w:sz w:val="14"/>
              </w:rPr>
              <w:t>AASB 7.29(a)</w:t>
            </w:r>
          </w:p>
        </w:tc>
        <w:tc>
          <w:tcPr>
            <w:tcW w:w="8932" w:type="dxa"/>
            <w:gridSpan w:val="3"/>
            <w:tcBorders>
              <w:top w:val="nil"/>
              <w:left w:val="single" w:sz="2" w:space="0" w:color="auto"/>
              <w:bottom w:val="nil"/>
              <w:right w:val="nil"/>
            </w:tcBorders>
          </w:tcPr>
          <w:p w14:paraId="43BB44EE" w14:textId="55B2F08C" w:rsidR="00E87D49" w:rsidRPr="00470415" w:rsidRDefault="00E87D49" w:rsidP="00C6573A">
            <w:pPr>
              <w:pStyle w:val="TableTitle"/>
              <w:tabs>
                <w:tab w:val="left" w:pos="3306"/>
              </w:tabs>
              <w:jc w:val="both"/>
              <w:rPr>
                <w:rFonts w:cs="Calibri"/>
              </w:rPr>
            </w:pPr>
            <w:r w:rsidRPr="00470415">
              <w:rPr>
                <w:rFonts w:cs="Calibri"/>
                <w:b w:val="0"/>
                <w:bCs w:val="0"/>
              </w:rPr>
              <w:t xml:space="preserve">The carrying amount of financial assets measured at fair value are summarised in the table below. </w:t>
            </w:r>
            <w:r w:rsidRPr="00470415">
              <w:rPr>
                <w:rFonts w:cs="Calibri"/>
                <w:b w:val="0"/>
              </w:rPr>
              <w:t>All other financial assets and liabilities are measured, subsequent to initial recognition, at amortised cost and as such are not included in the table below.</w:t>
            </w:r>
          </w:p>
        </w:tc>
      </w:tr>
      <w:tr w:rsidR="00470415" w:rsidRPr="00470415" w14:paraId="73F7C186"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5D1096AD" w14:textId="77777777" w:rsidR="00485049" w:rsidRPr="00470415" w:rsidRDefault="00485049" w:rsidP="002C6306">
            <w:pPr>
              <w:pStyle w:val="TableReference"/>
              <w:tabs>
                <w:tab w:val="left" w:pos="3306"/>
              </w:tabs>
              <w:spacing w:before="40"/>
              <w:rPr>
                <w:rFonts w:cs="Calibri"/>
                <w:color w:val="7030A0"/>
                <w:sz w:val="14"/>
              </w:rPr>
            </w:pPr>
          </w:p>
        </w:tc>
        <w:tc>
          <w:tcPr>
            <w:tcW w:w="8932" w:type="dxa"/>
            <w:gridSpan w:val="3"/>
            <w:tcBorders>
              <w:top w:val="nil"/>
              <w:left w:val="single" w:sz="2" w:space="0" w:color="auto"/>
              <w:bottom w:val="nil"/>
              <w:right w:val="nil"/>
            </w:tcBorders>
            <w:vAlign w:val="bottom"/>
          </w:tcPr>
          <w:p w14:paraId="607141D7" w14:textId="77777777" w:rsidR="00485049" w:rsidRPr="00470415" w:rsidRDefault="00485049" w:rsidP="002C6306">
            <w:pPr>
              <w:pStyle w:val="TableTitle"/>
              <w:tabs>
                <w:tab w:val="left" w:pos="3306"/>
              </w:tabs>
              <w:rPr>
                <w:rFonts w:cs="Calibri"/>
              </w:rPr>
            </w:pPr>
          </w:p>
        </w:tc>
      </w:tr>
      <w:tr w:rsidR="00470415" w:rsidRPr="00470415" w14:paraId="448B0E90"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02C82B84" w14:textId="77777777" w:rsidR="00BE01D4" w:rsidRPr="00470415" w:rsidRDefault="00BE01D4" w:rsidP="002C6306">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543A27EA" w14:textId="0392DE57" w:rsidR="00BE01D4" w:rsidRPr="00470415" w:rsidRDefault="00BE01D4" w:rsidP="00DA5B5A">
            <w:pPr>
              <w:pStyle w:val="TableTitle"/>
              <w:tabs>
                <w:tab w:val="left" w:pos="3306"/>
              </w:tabs>
              <w:jc w:val="left"/>
              <w:rPr>
                <w:rFonts w:cs="Calibri"/>
              </w:rPr>
            </w:pPr>
          </w:p>
        </w:tc>
        <w:tc>
          <w:tcPr>
            <w:tcW w:w="3119" w:type="dxa"/>
            <w:gridSpan w:val="2"/>
            <w:tcBorders>
              <w:top w:val="nil"/>
              <w:left w:val="nil"/>
              <w:bottom w:val="single" w:sz="4" w:space="0" w:color="auto"/>
              <w:right w:val="nil"/>
            </w:tcBorders>
            <w:vAlign w:val="bottom"/>
          </w:tcPr>
          <w:p w14:paraId="561A285B" w14:textId="4149AFD7" w:rsidR="00BE01D4" w:rsidRPr="00470415" w:rsidRDefault="00BE01D4" w:rsidP="00D55D0B">
            <w:pPr>
              <w:pStyle w:val="TableTitle"/>
              <w:tabs>
                <w:tab w:val="left" w:pos="3306"/>
              </w:tabs>
              <w:jc w:val="center"/>
              <w:rPr>
                <w:rFonts w:cs="Calibri"/>
              </w:rPr>
            </w:pPr>
            <w:r w:rsidRPr="00470415">
              <w:rPr>
                <w:rFonts w:cs="Calibri"/>
              </w:rPr>
              <w:t>Classification According to the Fair Value Hierarchy</w:t>
            </w:r>
          </w:p>
        </w:tc>
      </w:tr>
      <w:tr w:rsidR="00470415" w:rsidRPr="00470415" w14:paraId="6F9A4C26"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25BA8C8C" w14:textId="77777777" w:rsidR="00BE01D4" w:rsidRPr="00470415" w:rsidRDefault="00BE01D4" w:rsidP="002C6306">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00AE8F5C" w14:textId="77777777" w:rsidR="00BE01D4" w:rsidRPr="00470415" w:rsidRDefault="00BE01D4" w:rsidP="002C6306">
            <w:pPr>
              <w:pStyle w:val="TableTitle"/>
              <w:tabs>
                <w:tab w:val="left" w:pos="3306"/>
              </w:tabs>
              <w:rPr>
                <w:rFonts w:cs="Calibri"/>
              </w:rPr>
            </w:pPr>
          </w:p>
        </w:tc>
        <w:tc>
          <w:tcPr>
            <w:tcW w:w="1560" w:type="dxa"/>
            <w:tcBorders>
              <w:top w:val="single" w:sz="4" w:space="0" w:color="auto"/>
              <w:left w:val="nil"/>
              <w:bottom w:val="nil"/>
              <w:right w:val="nil"/>
            </w:tcBorders>
            <w:vAlign w:val="bottom"/>
          </w:tcPr>
          <w:p w14:paraId="1F842855" w14:textId="77777777" w:rsidR="00BE01D4" w:rsidRPr="00470415" w:rsidRDefault="00BE01D4" w:rsidP="002C6306">
            <w:pPr>
              <w:pStyle w:val="TableTitle"/>
              <w:tabs>
                <w:tab w:val="left" w:pos="3306"/>
              </w:tabs>
              <w:rPr>
                <w:rFonts w:cs="Calibri"/>
              </w:rPr>
            </w:pPr>
            <w:r w:rsidRPr="00470415">
              <w:rPr>
                <w:rFonts w:cs="Calibri"/>
              </w:rPr>
              <w:t>Level 2</w:t>
            </w:r>
          </w:p>
          <w:p w14:paraId="2C0C02D9" w14:textId="77777777" w:rsidR="00BE01D4" w:rsidRPr="00470415" w:rsidRDefault="00BE01D4" w:rsidP="002C6306">
            <w:pPr>
              <w:pStyle w:val="TableTitle"/>
              <w:tabs>
                <w:tab w:val="left" w:pos="3306"/>
              </w:tabs>
              <w:rPr>
                <w:rFonts w:cs="Calibri"/>
              </w:rPr>
            </w:pPr>
            <w:r w:rsidRPr="00470415">
              <w:rPr>
                <w:rFonts w:cs="Calibri"/>
              </w:rPr>
              <w:t>$’000</w:t>
            </w:r>
          </w:p>
        </w:tc>
        <w:tc>
          <w:tcPr>
            <w:tcW w:w="1559" w:type="dxa"/>
            <w:tcBorders>
              <w:top w:val="single" w:sz="4" w:space="0" w:color="auto"/>
              <w:left w:val="nil"/>
              <w:bottom w:val="nil"/>
              <w:right w:val="nil"/>
            </w:tcBorders>
            <w:vAlign w:val="bottom"/>
          </w:tcPr>
          <w:p w14:paraId="512D09C4" w14:textId="77777777" w:rsidR="00BE01D4" w:rsidRPr="00470415" w:rsidRDefault="00BE01D4" w:rsidP="002C6306">
            <w:pPr>
              <w:pStyle w:val="TableTitle"/>
              <w:tabs>
                <w:tab w:val="left" w:pos="3306"/>
              </w:tabs>
              <w:rPr>
                <w:rFonts w:cs="Calibri"/>
              </w:rPr>
            </w:pPr>
            <w:r w:rsidRPr="00470415">
              <w:rPr>
                <w:rFonts w:cs="Calibri"/>
              </w:rPr>
              <w:t>Total</w:t>
            </w:r>
          </w:p>
          <w:p w14:paraId="47DC75A6" w14:textId="77777777" w:rsidR="00BE01D4" w:rsidRPr="00470415" w:rsidRDefault="00BE01D4" w:rsidP="002C6306">
            <w:pPr>
              <w:pStyle w:val="TableTitle"/>
              <w:tabs>
                <w:tab w:val="left" w:pos="3306"/>
              </w:tabs>
              <w:rPr>
                <w:rFonts w:cs="Calibri"/>
              </w:rPr>
            </w:pPr>
            <w:r w:rsidRPr="00470415">
              <w:rPr>
                <w:rFonts w:cs="Calibri"/>
              </w:rPr>
              <w:t>$’000</w:t>
            </w:r>
          </w:p>
        </w:tc>
      </w:tr>
      <w:tr w:rsidR="00470415" w:rsidRPr="00470415" w14:paraId="5EA05C62"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78616B29" w14:textId="77777777" w:rsidR="00BE01D4" w:rsidRPr="00470415" w:rsidRDefault="00BE01D4" w:rsidP="002C6306">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4C590033" w14:textId="7FB653AF" w:rsidR="00BE01D4" w:rsidRPr="00470415" w:rsidRDefault="00BE01D4" w:rsidP="00DB02DF">
            <w:pPr>
              <w:pStyle w:val="TableTitle"/>
              <w:tabs>
                <w:tab w:val="left" w:pos="3306"/>
              </w:tabs>
              <w:jc w:val="left"/>
              <w:rPr>
                <w:rFonts w:cs="Calibri"/>
              </w:rPr>
            </w:pPr>
            <w:r w:rsidRPr="00470415">
              <w:rPr>
                <w:rFonts w:cs="Calibri"/>
              </w:rPr>
              <w:t>2022</w:t>
            </w:r>
          </w:p>
        </w:tc>
        <w:tc>
          <w:tcPr>
            <w:tcW w:w="1560" w:type="dxa"/>
            <w:tcBorders>
              <w:top w:val="nil"/>
              <w:left w:val="nil"/>
              <w:bottom w:val="nil"/>
              <w:right w:val="nil"/>
            </w:tcBorders>
            <w:vAlign w:val="bottom"/>
          </w:tcPr>
          <w:p w14:paraId="251B9710" w14:textId="77777777" w:rsidR="00BE01D4" w:rsidRPr="00470415" w:rsidRDefault="00BE01D4" w:rsidP="002C6306">
            <w:pPr>
              <w:pStyle w:val="TableTitle"/>
              <w:tabs>
                <w:tab w:val="left" w:pos="3306"/>
              </w:tabs>
              <w:rPr>
                <w:rFonts w:cs="Calibri"/>
              </w:rPr>
            </w:pPr>
          </w:p>
        </w:tc>
        <w:tc>
          <w:tcPr>
            <w:tcW w:w="1559" w:type="dxa"/>
            <w:tcBorders>
              <w:top w:val="nil"/>
              <w:left w:val="nil"/>
              <w:bottom w:val="nil"/>
              <w:right w:val="nil"/>
            </w:tcBorders>
            <w:vAlign w:val="bottom"/>
          </w:tcPr>
          <w:p w14:paraId="57E7471F" w14:textId="77777777" w:rsidR="00BE01D4" w:rsidRPr="00470415" w:rsidRDefault="00BE01D4" w:rsidP="002C6306">
            <w:pPr>
              <w:pStyle w:val="TableTitle"/>
              <w:tabs>
                <w:tab w:val="left" w:pos="3306"/>
              </w:tabs>
              <w:rPr>
                <w:rFonts w:cs="Calibri"/>
              </w:rPr>
            </w:pPr>
          </w:p>
        </w:tc>
      </w:tr>
      <w:tr w:rsidR="00470415" w:rsidRPr="00470415" w14:paraId="70A40AE4"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0D684EC2" w14:textId="77777777" w:rsidR="00BE01D4" w:rsidRPr="00470415" w:rsidRDefault="00BE01D4" w:rsidP="003973ED">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75A2332D" w14:textId="77777777" w:rsidR="00BE01D4" w:rsidRPr="00470415" w:rsidRDefault="00BE01D4" w:rsidP="002C6306">
            <w:pPr>
              <w:pStyle w:val="TableText"/>
              <w:tabs>
                <w:tab w:val="left" w:pos="3306"/>
              </w:tabs>
              <w:rPr>
                <w:rFonts w:cs="Calibri"/>
                <w:b/>
              </w:rPr>
            </w:pPr>
            <w:r w:rsidRPr="00470415">
              <w:rPr>
                <w:rFonts w:cs="Calibri"/>
                <w:b/>
              </w:rPr>
              <w:t>Financial Assets</w:t>
            </w:r>
          </w:p>
        </w:tc>
        <w:tc>
          <w:tcPr>
            <w:tcW w:w="1560" w:type="dxa"/>
            <w:tcBorders>
              <w:top w:val="nil"/>
              <w:left w:val="nil"/>
              <w:bottom w:val="nil"/>
              <w:right w:val="nil"/>
            </w:tcBorders>
            <w:vAlign w:val="bottom"/>
          </w:tcPr>
          <w:p w14:paraId="090FDD90" w14:textId="77777777" w:rsidR="00BE01D4" w:rsidRPr="00470415" w:rsidRDefault="00BE01D4" w:rsidP="002C6306">
            <w:pPr>
              <w:pStyle w:val="TableText"/>
              <w:tabs>
                <w:tab w:val="left" w:pos="3306"/>
              </w:tabs>
              <w:jc w:val="right"/>
              <w:rPr>
                <w:rFonts w:cs="Calibri"/>
              </w:rPr>
            </w:pPr>
          </w:p>
        </w:tc>
        <w:tc>
          <w:tcPr>
            <w:tcW w:w="1559" w:type="dxa"/>
            <w:tcBorders>
              <w:top w:val="nil"/>
              <w:left w:val="nil"/>
              <w:bottom w:val="nil"/>
              <w:right w:val="nil"/>
            </w:tcBorders>
            <w:vAlign w:val="bottom"/>
          </w:tcPr>
          <w:p w14:paraId="4231194A" w14:textId="77777777" w:rsidR="00BE01D4" w:rsidRPr="00470415" w:rsidRDefault="00BE01D4" w:rsidP="002C6306">
            <w:pPr>
              <w:pStyle w:val="TableText"/>
              <w:tabs>
                <w:tab w:val="left" w:pos="3306"/>
              </w:tabs>
              <w:jc w:val="right"/>
              <w:rPr>
                <w:rFonts w:cs="Calibri"/>
              </w:rPr>
            </w:pPr>
          </w:p>
        </w:tc>
      </w:tr>
      <w:tr w:rsidR="00470415" w:rsidRPr="00470415" w14:paraId="2B27A5A1"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6042B2F4" w14:textId="77777777" w:rsidR="00BE01D4" w:rsidRPr="00470415" w:rsidRDefault="00BE01D4" w:rsidP="002C6306">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79D82AA8" w14:textId="77777777" w:rsidR="00BE01D4" w:rsidRPr="00470415" w:rsidRDefault="00BE01D4" w:rsidP="002C6306">
            <w:pPr>
              <w:pStyle w:val="TableText"/>
              <w:tabs>
                <w:tab w:val="left" w:pos="3306"/>
              </w:tabs>
              <w:rPr>
                <w:rFonts w:cs="Calibri"/>
                <w:i/>
                <w:iCs/>
              </w:rPr>
            </w:pPr>
            <w:r w:rsidRPr="00470415">
              <w:rPr>
                <w:rFonts w:cs="Calibri"/>
                <w:i/>
                <w:iCs/>
              </w:rPr>
              <w:t xml:space="preserve">Financial Assets at Fair Value through the Profit and Loss </w:t>
            </w:r>
          </w:p>
        </w:tc>
        <w:tc>
          <w:tcPr>
            <w:tcW w:w="1560" w:type="dxa"/>
            <w:tcBorders>
              <w:top w:val="nil"/>
              <w:left w:val="nil"/>
              <w:bottom w:val="nil"/>
              <w:right w:val="nil"/>
            </w:tcBorders>
            <w:vAlign w:val="bottom"/>
          </w:tcPr>
          <w:p w14:paraId="37CAE03C" w14:textId="77777777" w:rsidR="00BE01D4" w:rsidRPr="00470415" w:rsidRDefault="00BE01D4" w:rsidP="002C6306">
            <w:pPr>
              <w:pStyle w:val="TableText"/>
              <w:tabs>
                <w:tab w:val="left" w:pos="3306"/>
              </w:tabs>
              <w:jc w:val="right"/>
              <w:rPr>
                <w:rFonts w:cs="Calibri"/>
              </w:rPr>
            </w:pPr>
          </w:p>
        </w:tc>
        <w:tc>
          <w:tcPr>
            <w:tcW w:w="1559" w:type="dxa"/>
            <w:tcBorders>
              <w:top w:val="nil"/>
              <w:left w:val="nil"/>
              <w:bottom w:val="nil"/>
              <w:right w:val="nil"/>
            </w:tcBorders>
            <w:vAlign w:val="bottom"/>
          </w:tcPr>
          <w:p w14:paraId="65633CFD" w14:textId="77777777" w:rsidR="00BE01D4" w:rsidRPr="00470415" w:rsidRDefault="00BE01D4" w:rsidP="002C6306">
            <w:pPr>
              <w:pStyle w:val="TableText"/>
              <w:tabs>
                <w:tab w:val="left" w:pos="3306"/>
              </w:tabs>
              <w:jc w:val="right"/>
              <w:rPr>
                <w:rFonts w:cs="Calibri"/>
              </w:rPr>
            </w:pPr>
          </w:p>
        </w:tc>
      </w:tr>
      <w:tr w:rsidR="00470415" w:rsidRPr="00470415" w14:paraId="576C75B3"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2B09E4A9" w14:textId="77777777" w:rsidR="00BE01D4" w:rsidRPr="00470415" w:rsidRDefault="00BE01D4" w:rsidP="002C6306">
            <w:pPr>
              <w:pStyle w:val="TableReference"/>
              <w:tabs>
                <w:tab w:val="left" w:pos="3306"/>
              </w:tabs>
              <w:spacing w:before="40"/>
              <w:rPr>
                <w:rFonts w:cs="Calibri"/>
                <w:color w:val="7030A0"/>
                <w:sz w:val="14"/>
              </w:rPr>
            </w:pPr>
            <w:r w:rsidRPr="00470415">
              <w:rPr>
                <w:rFonts w:cs="Calibri"/>
                <w:color w:val="7030A0"/>
                <w:sz w:val="14"/>
              </w:rPr>
              <w:t>AASB 13.93(a)&amp;(b)</w:t>
            </w:r>
          </w:p>
        </w:tc>
        <w:tc>
          <w:tcPr>
            <w:tcW w:w="5813" w:type="dxa"/>
            <w:tcBorders>
              <w:top w:val="nil"/>
              <w:left w:val="single" w:sz="2" w:space="0" w:color="auto"/>
              <w:bottom w:val="nil"/>
              <w:right w:val="nil"/>
            </w:tcBorders>
          </w:tcPr>
          <w:p w14:paraId="3595F2B3" w14:textId="49DCBBA6" w:rsidR="00BE01D4" w:rsidRPr="00470415" w:rsidRDefault="00BE01D4" w:rsidP="00416D13">
            <w:pPr>
              <w:pStyle w:val="TableText"/>
              <w:tabs>
                <w:tab w:val="left" w:pos="3306"/>
              </w:tabs>
              <w:rPr>
                <w:rFonts w:cs="Calibri"/>
              </w:rPr>
            </w:pPr>
            <w:r w:rsidRPr="00470415">
              <w:rPr>
                <w:rFonts w:cs="Calibri"/>
              </w:rPr>
              <w:t>Investments with the Territory Banking Account</w:t>
            </w:r>
          </w:p>
        </w:tc>
        <w:tc>
          <w:tcPr>
            <w:tcW w:w="1560" w:type="dxa"/>
            <w:tcBorders>
              <w:top w:val="nil"/>
              <w:left w:val="nil"/>
              <w:bottom w:val="single" w:sz="4" w:space="0" w:color="auto"/>
              <w:right w:val="nil"/>
            </w:tcBorders>
          </w:tcPr>
          <w:p w14:paraId="2DEC9232" w14:textId="29BEE46E" w:rsidR="00BE01D4" w:rsidRPr="00470415" w:rsidRDefault="00BE01D4" w:rsidP="007B6FC6">
            <w:pPr>
              <w:pStyle w:val="TableText"/>
              <w:tabs>
                <w:tab w:val="left" w:pos="3306"/>
              </w:tabs>
              <w:jc w:val="right"/>
              <w:rPr>
                <w:rFonts w:cs="Calibri"/>
                <w:strike/>
              </w:rPr>
            </w:pPr>
          </w:p>
        </w:tc>
        <w:tc>
          <w:tcPr>
            <w:tcW w:w="1559" w:type="dxa"/>
            <w:tcBorders>
              <w:top w:val="nil"/>
              <w:left w:val="nil"/>
              <w:bottom w:val="single" w:sz="4" w:space="0" w:color="auto"/>
              <w:right w:val="nil"/>
            </w:tcBorders>
          </w:tcPr>
          <w:p w14:paraId="19E73F1A" w14:textId="603343DA" w:rsidR="00BE01D4" w:rsidRPr="00470415" w:rsidRDefault="00BE01D4" w:rsidP="002C6306">
            <w:pPr>
              <w:pStyle w:val="TableText"/>
              <w:tabs>
                <w:tab w:val="left" w:pos="3306"/>
              </w:tabs>
              <w:jc w:val="right"/>
              <w:rPr>
                <w:rFonts w:cs="Calibri"/>
                <w:strike/>
              </w:rPr>
            </w:pPr>
          </w:p>
        </w:tc>
      </w:tr>
      <w:tr w:rsidR="00470415" w:rsidRPr="00470415" w14:paraId="228D8541"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4C26844F" w14:textId="77777777" w:rsidR="00BE01D4" w:rsidRPr="00470415" w:rsidRDefault="00BE01D4" w:rsidP="00D1374B">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7CAEA6B5" w14:textId="2406339D" w:rsidR="00BE01D4" w:rsidRPr="00DE1E5D" w:rsidRDefault="00BE01D4" w:rsidP="00D1374B">
            <w:pPr>
              <w:pStyle w:val="TableText"/>
              <w:tabs>
                <w:tab w:val="left" w:pos="3306"/>
              </w:tabs>
              <w:rPr>
                <w:rFonts w:cs="Calibri"/>
                <w:b/>
                <w:bCs/>
              </w:rPr>
            </w:pPr>
            <w:r w:rsidRPr="00DE1E5D">
              <w:rPr>
                <w:rFonts w:cs="Calibri"/>
                <w:b/>
                <w:bCs/>
              </w:rPr>
              <w:t>Total</w:t>
            </w:r>
          </w:p>
        </w:tc>
        <w:tc>
          <w:tcPr>
            <w:tcW w:w="1560" w:type="dxa"/>
            <w:tcBorders>
              <w:top w:val="single" w:sz="4" w:space="0" w:color="auto"/>
              <w:left w:val="nil"/>
              <w:bottom w:val="single" w:sz="4" w:space="0" w:color="auto"/>
              <w:right w:val="nil"/>
            </w:tcBorders>
            <w:vAlign w:val="bottom"/>
          </w:tcPr>
          <w:p w14:paraId="1D5D9E22" w14:textId="2801C64C" w:rsidR="00BE01D4" w:rsidRPr="00470415" w:rsidRDefault="00BE01D4" w:rsidP="00D1374B">
            <w:pPr>
              <w:pStyle w:val="TableText"/>
              <w:tabs>
                <w:tab w:val="left" w:pos="3306"/>
              </w:tabs>
              <w:jc w:val="right"/>
              <w:rPr>
                <w:rFonts w:cs="Calibri"/>
                <w:strike/>
              </w:rPr>
            </w:pPr>
          </w:p>
        </w:tc>
        <w:tc>
          <w:tcPr>
            <w:tcW w:w="1559" w:type="dxa"/>
            <w:tcBorders>
              <w:top w:val="single" w:sz="4" w:space="0" w:color="auto"/>
              <w:left w:val="nil"/>
              <w:bottom w:val="single" w:sz="4" w:space="0" w:color="auto"/>
              <w:right w:val="nil"/>
            </w:tcBorders>
            <w:vAlign w:val="bottom"/>
          </w:tcPr>
          <w:p w14:paraId="23DAF8F5" w14:textId="43ABCA60" w:rsidR="00BE01D4" w:rsidRPr="00470415" w:rsidRDefault="00BE01D4" w:rsidP="00D1374B">
            <w:pPr>
              <w:pStyle w:val="TableText"/>
              <w:tabs>
                <w:tab w:val="left" w:pos="3306"/>
              </w:tabs>
              <w:jc w:val="right"/>
              <w:rPr>
                <w:rFonts w:cs="Calibri"/>
                <w:strike/>
              </w:rPr>
            </w:pPr>
          </w:p>
        </w:tc>
      </w:tr>
      <w:tr w:rsidR="00470415" w:rsidRPr="00470415" w14:paraId="5A497781"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2A3DD592" w14:textId="77777777" w:rsidR="00D1374B" w:rsidRPr="00470415" w:rsidRDefault="00D1374B" w:rsidP="00D1374B">
            <w:pPr>
              <w:pStyle w:val="TableReference"/>
              <w:tabs>
                <w:tab w:val="left" w:pos="3306"/>
              </w:tabs>
              <w:spacing w:before="40"/>
              <w:rPr>
                <w:rFonts w:cs="Calibri"/>
                <w:color w:val="7030A0"/>
                <w:sz w:val="14"/>
              </w:rPr>
            </w:pPr>
          </w:p>
        </w:tc>
        <w:tc>
          <w:tcPr>
            <w:tcW w:w="8932" w:type="dxa"/>
            <w:gridSpan w:val="3"/>
            <w:tcBorders>
              <w:top w:val="nil"/>
              <w:left w:val="single" w:sz="2" w:space="0" w:color="auto"/>
              <w:bottom w:val="nil"/>
              <w:right w:val="nil"/>
            </w:tcBorders>
            <w:vAlign w:val="bottom"/>
          </w:tcPr>
          <w:p w14:paraId="21371C68" w14:textId="77777777" w:rsidR="00D1374B" w:rsidRPr="00470415" w:rsidRDefault="00D1374B" w:rsidP="00D1374B">
            <w:pPr>
              <w:pStyle w:val="TableText"/>
              <w:tabs>
                <w:tab w:val="left" w:pos="3306"/>
              </w:tabs>
              <w:jc w:val="right"/>
              <w:rPr>
                <w:rFonts w:cs="Calibri"/>
              </w:rPr>
            </w:pPr>
          </w:p>
        </w:tc>
      </w:tr>
      <w:tr w:rsidR="00470415" w:rsidRPr="00470415" w14:paraId="2493D4A7"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4F7A72C5" w14:textId="77777777" w:rsidR="00D1374B" w:rsidRPr="00470415" w:rsidRDefault="00D1374B" w:rsidP="00D1374B">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2791C06A" w14:textId="0CA2D703" w:rsidR="00D1374B" w:rsidRPr="00470415" w:rsidRDefault="00D1374B" w:rsidP="00D1374B">
            <w:pPr>
              <w:pStyle w:val="TableTitle"/>
              <w:tabs>
                <w:tab w:val="left" w:pos="3306"/>
              </w:tabs>
              <w:jc w:val="left"/>
              <w:rPr>
                <w:rFonts w:cs="Calibri"/>
              </w:rPr>
            </w:pPr>
            <w:r w:rsidRPr="00470415">
              <w:rPr>
                <w:rFonts w:cs="Calibri"/>
              </w:rPr>
              <w:t>2021</w:t>
            </w:r>
          </w:p>
        </w:tc>
        <w:tc>
          <w:tcPr>
            <w:tcW w:w="3119" w:type="dxa"/>
            <w:gridSpan w:val="2"/>
            <w:tcBorders>
              <w:top w:val="nil"/>
              <w:left w:val="nil"/>
              <w:bottom w:val="nil"/>
              <w:right w:val="nil"/>
            </w:tcBorders>
            <w:vAlign w:val="bottom"/>
          </w:tcPr>
          <w:p w14:paraId="1D8F7BFA" w14:textId="77777777" w:rsidR="00D1374B" w:rsidRPr="00470415" w:rsidRDefault="00D1374B" w:rsidP="00D1374B">
            <w:pPr>
              <w:pStyle w:val="TableTitle"/>
              <w:tabs>
                <w:tab w:val="left" w:pos="3306"/>
              </w:tabs>
              <w:jc w:val="center"/>
              <w:rPr>
                <w:rFonts w:cs="Calibri"/>
                <w:strike/>
              </w:rPr>
            </w:pPr>
          </w:p>
        </w:tc>
      </w:tr>
      <w:tr w:rsidR="00BE01D4" w:rsidRPr="007E1584" w14:paraId="0C99FD4D"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5651D24C" w14:textId="77777777" w:rsidR="00BE01D4" w:rsidRPr="00470415" w:rsidRDefault="00BE01D4" w:rsidP="00D1374B">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1BFDA054" w14:textId="77777777" w:rsidR="00BE01D4" w:rsidRPr="00470415" w:rsidRDefault="00BE01D4" w:rsidP="00D1374B">
            <w:pPr>
              <w:pStyle w:val="TableText"/>
              <w:tabs>
                <w:tab w:val="left" w:pos="3306"/>
              </w:tabs>
              <w:rPr>
                <w:rFonts w:cs="Calibri"/>
                <w:b/>
              </w:rPr>
            </w:pPr>
            <w:r w:rsidRPr="00470415">
              <w:rPr>
                <w:rFonts w:cs="Calibri"/>
                <w:b/>
              </w:rPr>
              <w:t>Financial Assets</w:t>
            </w:r>
          </w:p>
        </w:tc>
        <w:tc>
          <w:tcPr>
            <w:tcW w:w="1560" w:type="dxa"/>
            <w:tcBorders>
              <w:top w:val="nil"/>
              <w:left w:val="nil"/>
              <w:bottom w:val="nil"/>
              <w:right w:val="nil"/>
            </w:tcBorders>
            <w:vAlign w:val="bottom"/>
          </w:tcPr>
          <w:p w14:paraId="4E0220DE" w14:textId="77777777" w:rsidR="00BE01D4" w:rsidRPr="00470415" w:rsidRDefault="00BE01D4" w:rsidP="00D1374B">
            <w:pPr>
              <w:pStyle w:val="TableText"/>
              <w:tabs>
                <w:tab w:val="left" w:pos="3306"/>
              </w:tabs>
              <w:jc w:val="right"/>
              <w:rPr>
                <w:rFonts w:cs="Calibri"/>
              </w:rPr>
            </w:pPr>
          </w:p>
        </w:tc>
        <w:tc>
          <w:tcPr>
            <w:tcW w:w="1559" w:type="dxa"/>
            <w:tcBorders>
              <w:top w:val="nil"/>
              <w:left w:val="nil"/>
              <w:bottom w:val="nil"/>
              <w:right w:val="nil"/>
            </w:tcBorders>
            <w:vAlign w:val="bottom"/>
          </w:tcPr>
          <w:p w14:paraId="42B3BC3D" w14:textId="77777777" w:rsidR="00BE01D4" w:rsidRPr="00470415" w:rsidRDefault="00BE01D4" w:rsidP="00D1374B">
            <w:pPr>
              <w:pStyle w:val="TableText"/>
              <w:tabs>
                <w:tab w:val="left" w:pos="3306"/>
              </w:tabs>
              <w:jc w:val="right"/>
              <w:rPr>
                <w:rFonts w:cs="Calibri"/>
              </w:rPr>
            </w:pPr>
          </w:p>
        </w:tc>
      </w:tr>
      <w:tr w:rsidR="00BE01D4" w:rsidRPr="007E1584" w14:paraId="27599973"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0A9735F6" w14:textId="77777777" w:rsidR="00BE01D4" w:rsidRPr="00470415" w:rsidRDefault="00BE01D4" w:rsidP="00D1374B">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65FDE0AD" w14:textId="77777777" w:rsidR="00BE01D4" w:rsidRPr="00470415" w:rsidRDefault="00BE01D4" w:rsidP="00D1374B">
            <w:pPr>
              <w:pStyle w:val="TableText"/>
              <w:tabs>
                <w:tab w:val="left" w:pos="3306"/>
              </w:tabs>
              <w:rPr>
                <w:rFonts w:cs="Calibri"/>
                <w:i/>
                <w:iCs/>
              </w:rPr>
            </w:pPr>
            <w:r w:rsidRPr="00470415">
              <w:rPr>
                <w:rFonts w:cs="Calibri"/>
                <w:i/>
                <w:iCs/>
              </w:rPr>
              <w:t xml:space="preserve">Financial Assets at Fair Value through the Profit and Loss </w:t>
            </w:r>
          </w:p>
        </w:tc>
        <w:tc>
          <w:tcPr>
            <w:tcW w:w="1560" w:type="dxa"/>
            <w:tcBorders>
              <w:top w:val="nil"/>
              <w:left w:val="nil"/>
              <w:bottom w:val="nil"/>
              <w:right w:val="nil"/>
            </w:tcBorders>
            <w:vAlign w:val="bottom"/>
          </w:tcPr>
          <w:p w14:paraId="60A8ADD1" w14:textId="77777777" w:rsidR="00BE01D4" w:rsidRPr="00470415" w:rsidRDefault="00BE01D4" w:rsidP="00D1374B">
            <w:pPr>
              <w:pStyle w:val="TableText"/>
              <w:tabs>
                <w:tab w:val="left" w:pos="3306"/>
              </w:tabs>
              <w:jc w:val="right"/>
              <w:rPr>
                <w:rFonts w:cs="Calibri"/>
              </w:rPr>
            </w:pPr>
          </w:p>
        </w:tc>
        <w:tc>
          <w:tcPr>
            <w:tcW w:w="1559" w:type="dxa"/>
            <w:tcBorders>
              <w:top w:val="nil"/>
              <w:left w:val="nil"/>
              <w:bottom w:val="nil"/>
              <w:right w:val="nil"/>
            </w:tcBorders>
            <w:vAlign w:val="bottom"/>
          </w:tcPr>
          <w:p w14:paraId="42211CF8" w14:textId="77777777" w:rsidR="00BE01D4" w:rsidRPr="00470415" w:rsidRDefault="00BE01D4" w:rsidP="00D1374B">
            <w:pPr>
              <w:pStyle w:val="TableText"/>
              <w:tabs>
                <w:tab w:val="left" w:pos="3306"/>
              </w:tabs>
              <w:rPr>
                <w:rFonts w:cs="Calibri"/>
              </w:rPr>
            </w:pPr>
          </w:p>
        </w:tc>
      </w:tr>
      <w:tr w:rsidR="00BE01D4" w:rsidRPr="007E1584" w14:paraId="3CD10616"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3360A4EC" w14:textId="145E2DB7" w:rsidR="00BE01D4" w:rsidRPr="00470415" w:rsidRDefault="00BE01D4" w:rsidP="00D1374B">
            <w:pPr>
              <w:pStyle w:val="TableReference"/>
              <w:tabs>
                <w:tab w:val="left" w:pos="3306"/>
              </w:tabs>
              <w:spacing w:before="40"/>
              <w:rPr>
                <w:rFonts w:cs="Calibri"/>
                <w:color w:val="7030A0"/>
                <w:sz w:val="14"/>
              </w:rPr>
            </w:pPr>
            <w:r w:rsidRPr="00470415">
              <w:rPr>
                <w:rFonts w:cs="Calibri"/>
                <w:color w:val="7030A0"/>
                <w:sz w:val="14"/>
              </w:rPr>
              <w:t>AASB 13.93(a)&amp;(b)</w:t>
            </w:r>
          </w:p>
        </w:tc>
        <w:tc>
          <w:tcPr>
            <w:tcW w:w="5813" w:type="dxa"/>
            <w:tcBorders>
              <w:top w:val="nil"/>
              <w:left w:val="single" w:sz="2" w:space="0" w:color="auto"/>
              <w:bottom w:val="nil"/>
              <w:right w:val="nil"/>
            </w:tcBorders>
            <w:vAlign w:val="bottom"/>
          </w:tcPr>
          <w:p w14:paraId="1DA3CAE7" w14:textId="2EBFC787" w:rsidR="00BE01D4" w:rsidRPr="00470415" w:rsidRDefault="00BE01D4" w:rsidP="00D1374B">
            <w:pPr>
              <w:pStyle w:val="TableText"/>
              <w:tabs>
                <w:tab w:val="left" w:pos="3306"/>
              </w:tabs>
              <w:rPr>
                <w:rFonts w:cs="Calibri"/>
              </w:rPr>
            </w:pPr>
            <w:r w:rsidRPr="00470415">
              <w:rPr>
                <w:rFonts w:cs="Calibri"/>
              </w:rPr>
              <w:t>Investments with the Territory Banking Account</w:t>
            </w:r>
          </w:p>
        </w:tc>
        <w:tc>
          <w:tcPr>
            <w:tcW w:w="1560" w:type="dxa"/>
            <w:tcBorders>
              <w:top w:val="nil"/>
              <w:left w:val="nil"/>
              <w:bottom w:val="single" w:sz="4" w:space="0" w:color="auto"/>
              <w:right w:val="nil"/>
            </w:tcBorders>
          </w:tcPr>
          <w:p w14:paraId="69EE3146" w14:textId="48C155C3" w:rsidR="00BE01D4" w:rsidRPr="00470415" w:rsidRDefault="00BE01D4" w:rsidP="00D1374B">
            <w:pPr>
              <w:pStyle w:val="TableText"/>
              <w:tabs>
                <w:tab w:val="left" w:pos="3306"/>
              </w:tabs>
              <w:jc w:val="right"/>
              <w:rPr>
                <w:rFonts w:cs="Calibri"/>
                <w:strike/>
              </w:rPr>
            </w:pPr>
          </w:p>
        </w:tc>
        <w:tc>
          <w:tcPr>
            <w:tcW w:w="1559" w:type="dxa"/>
            <w:tcBorders>
              <w:top w:val="nil"/>
              <w:left w:val="nil"/>
              <w:bottom w:val="single" w:sz="4" w:space="0" w:color="auto"/>
              <w:right w:val="nil"/>
            </w:tcBorders>
          </w:tcPr>
          <w:p w14:paraId="71E53BA5" w14:textId="77777777" w:rsidR="00BE01D4" w:rsidRPr="00470415" w:rsidRDefault="00BE01D4" w:rsidP="00D1374B">
            <w:pPr>
              <w:pStyle w:val="TableText"/>
              <w:tabs>
                <w:tab w:val="left" w:pos="3306"/>
              </w:tabs>
              <w:jc w:val="right"/>
              <w:rPr>
                <w:rFonts w:cs="Calibri"/>
              </w:rPr>
            </w:pPr>
          </w:p>
        </w:tc>
      </w:tr>
      <w:tr w:rsidR="00BE01D4" w:rsidRPr="007E1584" w14:paraId="2D7192C6" w14:textId="77777777" w:rsidTr="0004564D">
        <w:tblPrEx>
          <w:jc w:val="right"/>
        </w:tblPrEx>
        <w:trPr>
          <w:cantSplit/>
          <w:trHeight w:val="23"/>
          <w:jc w:val="right"/>
        </w:trPr>
        <w:tc>
          <w:tcPr>
            <w:tcW w:w="1555" w:type="dxa"/>
            <w:tcBorders>
              <w:top w:val="nil"/>
              <w:left w:val="single" w:sz="2" w:space="0" w:color="auto"/>
              <w:bottom w:val="nil"/>
              <w:right w:val="single" w:sz="2" w:space="0" w:color="auto"/>
            </w:tcBorders>
          </w:tcPr>
          <w:p w14:paraId="548FD386" w14:textId="77777777" w:rsidR="00BE01D4" w:rsidRPr="00470415" w:rsidRDefault="00BE01D4" w:rsidP="00D1374B">
            <w:pPr>
              <w:pStyle w:val="TableReference"/>
              <w:tabs>
                <w:tab w:val="left" w:pos="3306"/>
              </w:tabs>
              <w:spacing w:before="40"/>
              <w:rPr>
                <w:rFonts w:cs="Calibri"/>
                <w:color w:val="7030A0"/>
                <w:sz w:val="14"/>
              </w:rPr>
            </w:pPr>
          </w:p>
        </w:tc>
        <w:tc>
          <w:tcPr>
            <w:tcW w:w="5813" w:type="dxa"/>
            <w:tcBorders>
              <w:top w:val="nil"/>
              <w:left w:val="single" w:sz="2" w:space="0" w:color="auto"/>
              <w:bottom w:val="nil"/>
              <w:right w:val="nil"/>
            </w:tcBorders>
            <w:vAlign w:val="bottom"/>
          </w:tcPr>
          <w:p w14:paraId="2CB2A7A8" w14:textId="10276426" w:rsidR="00BE01D4" w:rsidRPr="00DE1E5D" w:rsidRDefault="00BE01D4" w:rsidP="00D1374B">
            <w:pPr>
              <w:pStyle w:val="TableText"/>
              <w:tabs>
                <w:tab w:val="left" w:pos="3306"/>
              </w:tabs>
              <w:rPr>
                <w:rFonts w:cs="Calibri"/>
                <w:b/>
                <w:bCs/>
              </w:rPr>
            </w:pPr>
            <w:r w:rsidRPr="00DE1E5D">
              <w:rPr>
                <w:rFonts w:cs="Calibri"/>
                <w:b/>
                <w:bCs/>
              </w:rPr>
              <w:t>Total</w:t>
            </w:r>
          </w:p>
        </w:tc>
        <w:tc>
          <w:tcPr>
            <w:tcW w:w="1560" w:type="dxa"/>
            <w:tcBorders>
              <w:top w:val="single" w:sz="4" w:space="0" w:color="auto"/>
              <w:left w:val="nil"/>
              <w:bottom w:val="single" w:sz="4" w:space="0" w:color="auto"/>
              <w:right w:val="nil"/>
            </w:tcBorders>
            <w:vAlign w:val="bottom"/>
          </w:tcPr>
          <w:p w14:paraId="2FACB523" w14:textId="3D400481" w:rsidR="00BE01D4" w:rsidRPr="00470415" w:rsidRDefault="00BE01D4" w:rsidP="00D1374B">
            <w:pPr>
              <w:pStyle w:val="TableText"/>
              <w:tabs>
                <w:tab w:val="left" w:pos="3306"/>
              </w:tabs>
              <w:jc w:val="right"/>
              <w:rPr>
                <w:rFonts w:cs="Calibri"/>
                <w:strike/>
              </w:rPr>
            </w:pPr>
          </w:p>
        </w:tc>
        <w:tc>
          <w:tcPr>
            <w:tcW w:w="1559" w:type="dxa"/>
            <w:tcBorders>
              <w:top w:val="single" w:sz="4" w:space="0" w:color="auto"/>
              <w:left w:val="nil"/>
              <w:bottom w:val="single" w:sz="4" w:space="0" w:color="auto"/>
              <w:right w:val="nil"/>
            </w:tcBorders>
            <w:vAlign w:val="bottom"/>
          </w:tcPr>
          <w:p w14:paraId="0FADDCB4" w14:textId="39BA5AF4" w:rsidR="00BE01D4" w:rsidRPr="00470415" w:rsidRDefault="00BE01D4" w:rsidP="00D1374B">
            <w:pPr>
              <w:pStyle w:val="TableText"/>
              <w:tabs>
                <w:tab w:val="left" w:pos="3306"/>
              </w:tabs>
              <w:jc w:val="right"/>
              <w:rPr>
                <w:rFonts w:cs="Calibri"/>
              </w:rPr>
            </w:pPr>
          </w:p>
        </w:tc>
      </w:tr>
    </w:tbl>
    <w:p w14:paraId="62558A39" w14:textId="77777777" w:rsidR="00914619" w:rsidRPr="007E1584" w:rsidRDefault="00914619">
      <w:pPr>
        <w:rPr>
          <w:rFonts w:cs="Calibri"/>
          <w:b/>
          <w:bCs/>
        </w:rPr>
      </w:pPr>
    </w:p>
    <w:p w14:paraId="06A4A14D" w14:textId="77777777" w:rsidR="00914619" w:rsidRPr="00CF7E1B" w:rsidRDefault="00914619">
      <w:pPr>
        <w:rPr>
          <w:rFonts w:cs="Calibri"/>
          <w:b/>
          <w:bCs/>
        </w:rPr>
        <w:sectPr w:rsidR="00914619" w:rsidRPr="00CF7E1B" w:rsidSect="004514CD">
          <w:footnotePr>
            <w:numRestart w:val="eachPage"/>
          </w:footnotePr>
          <w:pgSz w:w="11907" w:h="16840" w:code="9"/>
          <w:pgMar w:top="567" w:right="680" w:bottom="567" w:left="680" w:header="720" w:footer="720" w:gutter="0"/>
          <w:cols w:space="720"/>
        </w:sectPr>
      </w:pPr>
    </w:p>
    <w:tbl>
      <w:tblPr>
        <w:tblW w:w="1542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2"/>
        <w:gridCol w:w="4021"/>
        <w:gridCol w:w="709"/>
        <w:gridCol w:w="992"/>
        <w:gridCol w:w="1134"/>
        <w:gridCol w:w="1172"/>
        <w:gridCol w:w="1663"/>
        <w:gridCol w:w="1418"/>
        <w:gridCol w:w="1417"/>
        <w:gridCol w:w="1246"/>
      </w:tblGrid>
      <w:tr w:rsidR="000144FF" w:rsidRPr="00CF7E1B" w14:paraId="349A918B" w14:textId="77777777" w:rsidTr="0004564D">
        <w:trPr>
          <w:cantSplit/>
          <w:trHeight w:val="23"/>
        </w:trPr>
        <w:tc>
          <w:tcPr>
            <w:tcW w:w="1652" w:type="dxa"/>
            <w:tcBorders>
              <w:top w:val="nil"/>
              <w:left w:val="single" w:sz="2" w:space="0" w:color="auto"/>
              <w:bottom w:val="nil"/>
              <w:right w:val="single" w:sz="2" w:space="0" w:color="auto"/>
            </w:tcBorders>
          </w:tcPr>
          <w:p w14:paraId="6AFD37C3" w14:textId="77777777" w:rsidR="000144FF" w:rsidRPr="00470415" w:rsidRDefault="007E1584" w:rsidP="00B37875">
            <w:pPr>
              <w:pStyle w:val="TableReference"/>
              <w:tabs>
                <w:tab w:val="left" w:pos="3306"/>
              </w:tabs>
              <w:spacing w:before="240" w:after="240"/>
              <w:rPr>
                <w:rFonts w:cs="Calibri"/>
                <w:b/>
                <w:color w:val="7030A0"/>
                <w:sz w:val="22"/>
                <w:szCs w:val="22"/>
              </w:rPr>
            </w:pPr>
            <w:bookmarkStart w:id="649" w:name="_Hlk90370910"/>
            <w:r w:rsidRPr="00470415">
              <w:rPr>
                <w:rFonts w:cs="Calibri"/>
                <w:b/>
                <w:color w:val="7030A0"/>
                <w:sz w:val="22"/>
                <w:szCs w:val="22"/>
              </w:rPr>
              <w:t>Reference</w:t>
            </w:r>
          </w:p>
        </w:tc>
        <w:tc>
          <w:tcPr>
            <w:tcW w:w="13772" w:type="dxa"/>
            <w:gridSpan w:val="9"/>
            <w:tcBorders>
              <w:top w:val="nil"/>
              <w:left w:val="single" w:sz="2" w:space="0" w:color="auto"/>
              <w:bottom w:val="nil"/>
              <w:right w:val="nil"/>
            </w:tcBorders>
            <w:vAlign w:val="bottom"/>
          </w:tcPr>
          <w:p w14:paraId="0F5114E0" w14:textId="27D74716" w:rsidR="000144FF" w:rsidRPr="00470415" w:rsidRDefault="00B37875" w:rsidP="00B37875">
            <w:pPr>
              <w:spacing w:before="240" w:after="240"/>
              <w:rPr>
                <w:b/>
              </w:rPr>
            </w:pPr>
            <w:r w:rsidRPr="00470415">
              <w:rPr>
                <w:rFonts w:ascii="Arial" w:hAnsi="Arial" w:cs="Arial"/>
                <w:b/>
                <w:sz w:val="32"/>
                <w:szCs w:val="32"/>
              </w:rPr>
              <w:t xml:space="preserve">NOTE </w:t>
            </w:r>
            <w:r w:rsidR="003334D4" w:rsidRPr="00470415">
              <w:rPr>
                <w:rFonts w:ascii="Arial" w:hAnsi="Arial" w:cs="Arial"/>
                <w:b/>
                <w:sz w:val="32"/>
                <w:szCs w:val="32"/>
              </w:rPr>
              <w:t>31</w:t>
            </w:r>
            <w:r w:rsidRPr="00470415">
              <w:rPr>
                <w:rFonts w:ascii="Arial" w:hAnsi="Arial" w:cs="Arial"/>
                <w:b/>
                <w:sz w:val="32"/>
                <w:szCs w:val="32"/>
              </w:rPr>
              <w:t>.</w:t>
            </w:r>
            <w:r w:rsidR="00FA7C77">
              <w:rPr>
                <w:rFonts w:ascii="Arial" w:hAnsi="Arial" w:cs="Arial"/>
                <w:b/>
                <w:sz w:val="32"/>
                <w:szCs w:val="32"/>
              </w:rPr>
              <w:t xml:space="preserve"> </w:t>
            </w:r>
            <w:r w:rsidRPr="00470415">
              <w:rPr>
                <w:rFonts w:ascii="Arial" w:hAnsi="Arial" w:cs="Arial"/>
                <w:b/>
                <w:sz w:val="32"/>
                <w:szCs w:val="32"/>
              </w:rPr>
              <w:t xml:space="preserve"> FINANCIAL INSTRUMENTS – CONTINUED</w:t>
            </w:r>
          </w:p>
        </w:tc>
      </w:tr>
      <w:tr w:rsidR="000144FF" w:rsidRPr="00CF7E1B" w14:paraId="38AF557B" w14:textId="77777777" w:rsidTr="0004564D">
        <w:trPr>
          <w:cantSplit/>
          <w:trHeight w:val="23"/>
        </w:trPr>
        <w:tc>
          <w:tcPr>
            <w:tcW w:w="1652" w:type="dxa"/>
            <w:tcBorders>
              <w:top w:val="nil"/>
              <w:left w:val="single" w:sz="2" w:space="0" w:color="auto"/>
              <w:bottom w:val="nil"/>
              <w:right w:val="single" w:sz="2" w:space="0" w:color="auto"/>
            </w:tcBorders>
          </w:tcPr>
          <w:p w14:paraId="28CE55DE" w14:textId="1F0FBE49" w:rsidR="00A0144A" w:rsidRPr="00470415" w:rsidRDefault="002629C0">
            <w:pPr>
              <w:pStyle w:val="TableReference"/>
              <w:tabs>
                <w:tab w:val="left" w:pos="3306"/>
              </w:tabs>
              <w:spacing w:before="40"/>
              <w:rPr>
                <w:rFonts w:cs="Calibri"/>
                <w:color w:val="7030A0"/>
                <w:sz w:val="14"/>
              </w:rPr>
            </w:pPr>
            <w:r w:rsidRPr="00470415">
              <w:rPr>
                <w:rFonts w:cs="Calibri"/>
                <w:color w:val="7030A0"/>
                <w:sz w:val="14"/>
              </w:rPr>
              <w:t>AASB 7.</w:t>
            </w:r>
            <w:r w:rsidR="00AE4817" w:rsidRPr="00470415">
              <w:rPr>
                <w:rFonts w:cs="Calibri"/>
                <w:color w:val="7030A0"/>
                <w:sz w:val="14"/>
              </w:rPr>
              <w:t xml:space="preserve">39(a) </w:t>
            </w:r>
          </w:p>
          <w:p w14:paraId="0EC0ED5C" w14:textId="77777777" w:rsidR="00A0144A" w:rsidRPr="00470415" w:rsidRDefault="00AE4817">
            <w:pPr>
              <w:pStyle w:val="TableReference"/>
              <w:tabs>
                <w:tab w:val="left" w:pos="3306"/>
              </w:tabs>
              <w:spacing w:before="40"/>
              <w:rPr>
                <w:rFonts w:cs="Calibri"/>
                <w:color w:val="7030A0"/>
                <w:sz w:val="14"/>
              </w:rPr>
            </w:pPr>
            <w:r w:rsidRPr="00470415">
              <w:rPr>
                <w:rFonts w:cs="Calibri"/>
                <w:color w:val="7030A0"/>
                <w:sz w:val="14"/>
              </w:rPr>
              <w:t xml:space="preserve">ACT </w:t>
            </w:r>
            <w:r w:rsidR="00AA6CC1" w:rsidRPr="00470415">
              <w:rPr>
                <w:rFonts w:cs="Calibri"/>
                <w:color w:val="7030A0"/>
                <w:sz w:val="14"/>
              </w:rPr>
              <w:t>Disclosure</w:t>
            </w:r>
            <w:r w:rsidRPr="00470415">
              <w:rPr>
                <w:rFonts w:cs="Calibri"/>
                <w:color w:val="7030A0"/>
                <w:sz w:val="14"/>
              </w:rPr>
              <w:t xml:space="preserve"> Policy</w:t>
            </w:r>
          </w:p>
        </w:tc>
        <w:tc>
          <w:tcPr>
            <w:tcW w:w="13772" w:type="dxa"/>
            <w:gridSpan w:val="9"/>
            <w:tcBorders>
              <w:top w:val="nil"/>
              <w:left w:val="single" w:sz="2" w:space="0" w:color="auto"/>
              <w:bottom w:val="nil"/>
              <w:right w:val="nil"/>
            </w:tcBorders>
            <w:vAlign w:val="bottom"/>
          </w:tcPr>
          <w:p w14:paraId="1A5E8F62" w14:textId="02061A94" w:rsidR="000144FF" w:rsidRPr="00470415" w:rsidRDefault="000144FF" w:rsidP="00B37875">
            <w:pPr>
              <w:pStyle w:val="TableText"/>
              <w:spacing w:before="0" w:after="120"/>
              <w:jc w:val="both"/>
              <w:rPr>
                <w:rFonts w:cs="Calibri"/>
              </w:rPr>
            </w:pPr>
            <w:r w:rsidRPr="00470415">
              <w:rPr>
                <w:rFonts w:cs="Calibri"/>
              </w:rPr>
              <w:t>The following table set</w:t>
            </w:r>
            <w:r w:rsidR="00DE1E5D">
              <w:rPr>
                <w:rFonts w:cs="Calibri"/>
              </w:rPr>
              <w:t>s</w:t>
            </w:r>
            <w:r w:rsidRPr="00470415">
              <w:rPr>
                <w:rFonts w:cs="Calibri"/>
              </w:rPr>
              <w:t xml:space="preserve"> out the </w:t>
            </w:r>
            <w:r w:rsidR="00B96D8D" w:rsidRPr="00470415">
              <w:rPr>
                <w:rFonts w:cs="Calibri"/>
              </w:rPr>
              <w:t>Agency</w:t>
            </w:r>
            <w:r w:rsidRPr="00470415">
              <w:rPr>
                <w:rFonts w:cs="Calibri"/>
              </w:rPr>
              <w:t xml:space="preserve">’s </w:t>
            </w:r>
            <w:r w:rsidR="005956AD" w:rsidRPr="00470415">
              <w:rPr>
                <w:rFonts w:cs="Calibri"/>
              </w:rPr>
              <w:t xml:space="preserve">maturity analysis </w:t>
            </w:r>
            <w:r w:rsidR="00AE4817" w:rsidRPr="00470415">
              <w:rPr>
                <w:rFonts w:cs="Calibri"/>
              </w:rPr>
              <w:t xml:space="preserve">for financial liabilities as well as the </w:t>
            </w:r>
            <w:r w:rsidRPr="00470415">
              <w:rPr>
                <w:rFonts w:cs="Calibri"/>
              </w:rPr>
              <w:t>exposure to interest rates, including the weighted average interest rates by maturity period as at 30 June</w:t>
            </w:r>
            <w:r w:rsidR="00663F03" w:rsidRPr="00470415">
              <w:rPr>
                <w:rFonts w:cs="Calibri"/>
              </w:rPr>
              <w:t xml:space="preserve"> </w:t>
            </w:r>
            <w:r w:rsidR="005E3DFA" w:rsidRPr="00470415">
              <w:rPr>
                <w:rFonts w:cs="Calibri"/>
              </w:rPr>
              <w:t>2022</w:t>
            </w:r>
            <w:r w:rsidRPr="00470415">
              <w:rPr>
                <w:rFonts w:cs="Calibri"/>
              </w:rPr>
              <w:t>.</w:t>
            </w:r>
            <w:r w:rsidR="00A0144A" w:rsidRPr="00470415">
              <w:rPr>
                <w:rFonts w:cs="Calibri"/>
              </w:rPr>
              <w:t xml:space="preserve"> </w:t>
            </w:r>
            <w:r w:rsidR="000031C3" w:rsidRPr="00470415">
              <w:rPr>
                <w:rFonts w:cs="Calibri"/>
              </w:rPr>
              <w:t>Except for</w:t>
            </w:r>
            <w:r w:rsidR="00496D98" w:rsidRPr="00470415">
              <w:rPr>
                <w:rFonts w:cs="Calibri"/>
              </w:rPr>
              <w:t xml:space="preserve"> </w:t>
            </w:r>
            <w:r w:rsidR="000031C3" w:rsidRPr="00470415">
              <w:rPr>
                <w:rFonts w:cs="Calibri"/>
              </w:rPr>
              <w:t xml:space="preserve">non-current payables, </w:t>
            </w:r>
            <w:r w:rsidR="00A0144A" w:rsidRPr="00470415">
              <w:rPr>
                <w:rFonts w:cs="Calibri"/>
              </w:rPr>
              <w:t xml:space="preserve">financial </w:t>
            </w:r>
            <w:r w:rsidR="00810B4A" w:rsidRPr="00470415">
              <w:rPr>
                <w:rFonts w:cs="Calibri"/>
              </w:rPr>
              <w:t>l</w:t>
            </w:r>
            <w:r w:rsidR="00A0144A" w:rsidRPr="00470415">
              <w:rPr>
                <w:rFonts w:cs="Calibri"/>
              </w:rPr>
              <w:t>iabilities</w:t>
            </w:r>
            <w:r w:rsidR="004B3E25" w:rsidRPr="00470415">
              <w:rPr>
                <w:rFonts w:cs="Calibri"/>
              </w:rPr>
              <w:t>,</w:t>
            </w:r>
            <w:r w:rsidR="00A0144A" w:rsidRPr="00470415">
              <w:rPr>
                <w:rFonts w:cs="Calibri"/>
              </w:rPr>
              <w:t xml:space="preserve"> which have a floating interest rate or are non-interest bearing </w:t>
            </w:r>
            <w:r w:rsidR="00EB7E33" w:rsidRPr="00470415">
              <w:rPr>
                <w:rFonts w:cs="Calibri"/>
              </w:rPr>
              <w:t>wi</w:t>
            </w:r>
            <w:r w:rsidR="00A0144A" w:rsidRPr="00470415">
              <w:rPr>
                <w:rFonts w:cs="Calibri"/>
              </w:rPr>
              <w:t>ll mature in 1 year or less.</w:t>
            </w:r>
            <w:r w:rsidR="00FA7C77">
              <w:rPr>
                <w:rFonts w:cs="Calibri"/>
              </w:rPr>
              <w:t xml:space="preserve"> </w:t>
            </w:r>
            <w:r w:rsidR="00737BEB" w:rsidRPr="00470415">
              <w:rPr>
                <w:rFonts w:cs="Calibri"/>
              </w:rPr>
              <w:t>All amounts appearing in the following maturity analysis are shown on an undiscounted cash flow basis.</w:t>
            </w:r>
          </w:p>
        </w:tc>
      </w:tr>
      <w:tr w:rsidR="000144FF" w:rsidRPr="00CF7E1B" w14:paraId="34F3085F" w14:textId="77777777" w:rsidTr="0004564D">
        <w:trPr>
          <w:cantSplit/>
          <w:trHeight w:val="23"/>
        </w:trPr>
        <w:tc>
          <w:tcPr>
            <w:tcW w:w="1652" w:type="dxa"/>
            <w:tcBorders>
              <w:top w:val="nil"/>
              <w:left w:val="single" w:sz="2" w:space="0" w:color="auto"/>
              <w:bottom w:val="nil"/>
              <w:right w:val="single" w:sz="2" w:space="0" w:color="auto"/>
            </w:tcBorders>
          </w:tcPr>
          <w:p w14:paraId="396F0FF9" w14:textId="77777777" w:rsidR="000144FF" w:rsidRPr="00470415" w:rsidRDefault="000144FF">
            <w:pPr>
              <w:pStyle w:val="TableReference"/>
              <w:tabs>
                <w:tab w:val="left" w:pos="3306"/>
              </w:tabs>
              <w:spacing w:before="40"/>
              <w:rPr>
                <w:rFonts w:cs="Calibri"/>
                <w:color w:val="7030A0"/>
                <w:sz w:val="14"/>
              </w:rPr>
            </w:pPr>
          </w:p>
        </w:tc>
        <w:tc>
          <w:tcPr>
            <w:tcW w:w="13772" w:type="dxa"/>
            <w:gridSpan w:val="9"/>
            <w:tcBorders>
              <w:top w:val="nil"/>
              <w:left w:val="single" w:sz="2" w:space="0" w:color="auto"/>
              <w:bottom w:val="nil"/>
              <w:right w:val="nil"/>
            </w:tcBorders>
            <w:vAlign w:val="bottom"/>
          </w:tcPr>
          <w:p w14:paraId="74C49773" w14:textId="4FDE05FB" w:rsidR="000144FF" w:rsidRPr="00470415" w:rsidRDefault="007624E9">
            <w:pPr>
              <w:pStyle w:val="TableReference"/>
              <w:rPr>
                <w:rFonts w:cs="Calibri"/>
                <w:b/>
                <w:bCs/>
                <w:color w:val="auto"/>
                <w:sz w:val="18"/>
                <w:szCs w:val="18"/>
              </w:rPr>
            </w:pPr>
            <w:r w:rsidRPr="00470415">
              <w:rPr>
                <w:rFonts w:cs="Calibri"/>
                <w:b/>
                <w:bCs/>
                <w:color w:val="auto"/>
                <w:sz w:val="18"/>
                <w:szCs w:val="18"/>
              </w:rPr>
              <w:t>2022</w:t>
            </w:r>
          </w:p>
        </w:tc>
      </w:tr>
      <w:tr w:rsidR="005956AD" w:rsidRPr="00CF7E1B" w14:paraId="7C1E2266" w14:textId="77777777" w:rsidTr="0004564D">
        <w:trPr>
          <w:cantSplit/>
          <w:trHeight w:val="23"/>
        </w:trPr>
        <w:tc>
          <w:tcPr>
            <w:tcW w:w="1652" w:type="dxa"/>
            <w:tcBorders>
              <w:top w:val="nil"/>
              <w:left w:val="single" w:sz="2" w:space="0" w:color="auto"/>
              <w:bottom w:val="nil"/>
              <w:right w:val="single" w:sz="2" w:space="0" w:color="auto"/>
            </w:tcBorders>
          </w:tcPr>
          <w:p w14:paraId="6A94E612" w14:textId="77777777" w:rsidR="005956AD" w:rsidRPr="00470415" w:rsidRDefault="005956AD">
            <w:pPr>
              <w:pStyle w:val="TableReference"/>
              <w:tabs>
                <w:tab w:val="left" w:pos="3306"/>
              </w:tabs>
              <w:spacing w:before="40"/>
              <w:rPr>
                <w:rFonts w:cs="Calibri"/>
                <w:color w:val="7030A0"/>
                <w:sz w:val="14"/>
              </w:rPr>
            </w:pPr>
          </w:p>
        </w:tc>
        <w:tc>
          <w:tcPr>
            <w:tcW w:w="5722" w:type="dxa"/>
            <w:gridSpan w:val="3"/>
            <w:tcBorders>
              <w:top w:val="nil"/>
              <w:left w:val="single" w:sz="2" w:space="0" w:color="auto"/>
              <w:bottom w:val="nil"/>
              <w:right w:val="nil"/>
            </w:tcBorders>
            <w:vAlign w:val="bottom"/>
          </w:tcPr>
          <w:p w14:paraId="6D4B3E44" w14:textId="77777777" w:rsidR="005956AD" w:rsidRPr="00470415" w:rsidRDefault="005956AD" w:rsidP="00920DE4">
            <w:pPr>
              <w:pStyle w:val="TableTitle"/>
              <w:tabs>
                <w:tab w:val="left" w:pos="3306"/>
              </w:tabs>
              <w:ind w:right="999"/>
              <w:rPr>
                <w:rFonts w:cs="Calibri"/>
              </w:rPr>
            </w:pPr>
          </w:p>
        </w:tc>
        <w:tc>
          <w:tcPr>
            <w:tcW w:w="1134" w:type="dxa"/>
            <w:tcBorders>
              <w:top w:val="nil"/>
              <w:left w:val="nil"/>
              <w:bottom w:val="nil"/>
              <w:right w:val="nil"/>
            </w:tcBorders>
            <w:vAlign w:val="bottom"/>
          </w:tcPr>
          <w:p w14:paraId="7AA0AEF6" w14:textId="77777777" w:rsidR="005956AD" w:rsidRPr="00470415" w:rsidRDefault="005956AD" w:rsidP="005956AD">
            <w:pPr>
              <w:pStyle w:val="TableTitle"/>
              <w:tabs>
                <w:tab w:val="left" w:pos="3306"/>
              </w:tabs>
              <w:rPr>
                <w:rFonts w:cs="Calibri"/>
              </w:rPr>
            </w:pPr>
          </w:p>
        </w:tc>
        <w:tc>
          <w:tcPr>
            <w:tcW w:w="4253" w:type="dxa"/>
            <w:gridSpan w:val="3"/>
            <w:tcBorders>
              <w:top w:val="nil"/>
              <w:left w:val="nil"/>
              <w:bottom w:val="single" w:sz="2" w:space="0" w:color="auto"/>
              <w:right w:val="nil"/>
            </w:tcBorders>
            <w:vAlign w:val="bottom"/>
          </w:tcPr>
          <w:p w14:paraId="016501BE" w14:textId="77777777" w:rsidR="005956AD" w:rsidRPr="00470415" w:rsidRDefault="005956AD">
            <w:pPr>
              <w:pStyle w:val="TableTitle"/>
              <w:tabs>
                <w:tab w:val="left" w:pos="3306"/>
              </w:tabs>
              <w:jc w:val="center"/>
              <w:rPr>
                <w:rFonts w:cs="Calibri"/>
              </w:rPr>
            </w:pPr>
            <w:r w:rsidRPr="00470415">
              <w:rPr>
                <w:rFonts w:cs="Calibri"/>
              </w:rPr>
              <w:t>Fixed Interest Maturing In:</w:t>
            </w:r>
          </w:p>
        </w:tc>
        <w:tc>
          <w:tcPr>
            <w:tcW w:w="2663" w:type="dxa"/>
            <w:gridSpan w:val="2"/>
            <w:tcBorders>
              <w:top w:val="nil"/>
              <w:left w:val="nil"/>
              <w:bottom w:val="nil"/>
              <w:right w:val="nil"/>
            </w:tcBorders>
            <w:vAlign w:val="bottom"/>
          </w:tcPr>
          <w:p w14:paraId="1B007891" w14:textId="77777777" w:rsidR="005956AD" w:rsidRPr="00470415" w:rsidRDefault="005956AD">
            <w:pPr>
              <w:pStyle w:val="TableTitle"/>
              <w:tabs>
                <w:tab w:val="left" w:pos="3306"/>
              </w:tabs>
              <w:rPr>
                <w:rFonts w:cs="Calibri"/>
              </w:rPr>
            </w:pPr>
          </w:p>
        </w:tc>
      </w:tr>
      <w:tr w:rsidR="00B876DB" w:rsidRPr="00CF7E1B" w14:paraId="5460BDC1" w14:textId="77777777" w:rsidTr="0004564D">
        <w:trPr>
          <w:cantSplit/>
          <w:trHeight w:val="20"/>
        </w:trPr>
        <w:tc>
          <w:tcPr>
            <w:tcW w:w="1652" w:type="dxa"/>
            <w:tcBorders>
              <w:top w:val="nil"/>
              <w:left w:val="single" w:sz="2" w:space="0" w:color="auto"/>
              <w:bottom w:val="nil"/>
              <w:right w:val="single" w:sz="2" w:space="0" w:color="auto"/>
            </w:tcBorders>
          </w:tcPr>
          <w:p w14:paraId="2B1A9296" w14:textId="77777777" w:rsidR="00B876DB" w:rsidRPr="00470415" w:rsidRDefault="00B876DB">
            <w:pPr>
              <w:pStyle w:val="TableReference"/>
              <w:tabs>
                <w:tab w:val="left" w:pos="3306"/>
              </w:tabs>
              <w:spacing w:before="40"/>
              <w:rPr>
                <w:rFonts w:cs="Calibri"/>
                <w:color w:val="7030A0"/>
                <w:sz w:val="14"/>
              </w:rPr>
            </w:pPr>
            <w:r w:rsidRPr="00470415">
              <w:rPr>
                <w:rFonts w:cs="Calibri"/>
                <w:color w:val="7030A0"/>
                <w:sz w:val="14"/>
              </w:rPr>
              <w:t>AASB 7.B11</w:t>
            </w:r>
          </w:p>
        </w:tc>
        <w:tc>
          <w:tcPr>
            <w:tcW w:w="4021" w:type="dxa"/>
            <w:tcBorders>
              <w:top w:val="nil"/>
              <w:left w:val="single" w:sz="2" w:space="0" w:color="auto"/>
              <w:bottom w:val="nil"/>
              <w:right w:val="nil"/>
            </w:tcBorders>
            <w:vAlign w:val="bottom"/>
          </w:tcPr>
          <w:p w14:paraId="35765989" w14:textId="77777777" w:rsidR="00B876DB" w:rsidRPr="00470415" w:rsidRDefault="00B876DB">
            <w:pPr>
              <w:pStyle w:val="TableTitle"/>
              <w:tabs>
                <w:tab w:val="left" w:pos="3306"/>
              </w:tabs>
              <w:rPr>
                <w:rFonts w:cs="Calibri"/>
                <w:b w:val="0"/>
                <w:bCs w:val="0"/>
              </w:rPr>
            </w:pPr>
          </w:p>
        </w:tc>
        <w:tc>
          <w:tcPr>
            <w:tcW w:w="709" w:type="dxa"/>
            <w:tcBorders>
              <w:top w:val="nil"/>
              <w:left w:val="nil"/>
              <w:bottom w:val="nil"/>
              <w:right w:val="nil"/>
            </w:tcBorders>
            <w:vAlign w:val="bottom"/>
          </w:tcPr>
          <w:p w14:paraId="1855BCD5" w14:textId="77777777" w:rsidR="00B876DB" w:rsidRPr="00470415" w:rsidRDefault="00B876DB" w:rsidP="002F567C">
            <w:pPr>
              <w:pStyle w:val="TableTitle"/>
              <w:tabs>
                <w:tab w:val="left" w:pos="3306"/>
              </w:tabs>
              <w:rPr>
                <w:rFonts w:cs="Calibri"/>
              </w:rPr>
            </w:pPr>
            <w:r w:rsidRPr="00470415">
              <w:rPr>
                <w:rFonts w:cs="Calibri"/>
              </w:rPr>
              <w:t>Note</w:t>
            </w:r>
          </w:p>
        </w:tc>
        <w:tc>
          <w:tcPr>
            <w:tcW w:w="992" w:type="dxa"/>
            <w:tcBorders>
              <w:top w:val="nil"/>
              <w:left w:val="nil"/>
              <w:bottom w:val="nil"/>
              <w:right w:val="nil"/>
            </w:tcBorders>
            <w:vAlign w:val="bottom"/>
          </w:tcPr>
          <w:p w14:paraId="2C39E59C" w14:textId="1126EC4E" w:rsidR="00B876DB" w:rsidRPr="00470415" w:rsidRDefault="00F873A4" w:rsidP="002F567C">
            <w:pPr>
              <w:pStyle w:val="TableTitle"/>
              <w:tabs>
                <w:tab w:val="left" w:pos="3306"/>
              </w:tabs>
              <w:jc w:val="center"/>
              <w:rPr>
                <w:rFonts w:cs="Calibri"/>
              </w:rPr>
            </w:pPr>
            <w:r w:rsidRPr="00470415">
              <w:rPr>
                <w:rFonts w:cs="Calibri"/>
              </w:rPr>
              <w:t>Weighted Average Int</w:t>
            </w:r>
            <w:r w:rsidR="00920DE4" w:rsidRPr="00470415">
              <w:rPr>
                <w:rFonts w:cs="Calibri"/>
              </w:rPr>
              <w:t>erest</w:t>
            </w:r>
            <w:r w:rsidRPr="00470415">
              <w:rPr>
                <w:rFonts w:cs="Calibri"/>
              </w:rPr>
              <w:t xml:space="preserve"> Rate</w:t>
            </w:r>
          </w:p>
        </w:tc>
        <w:tc>
          <w:tcPr>
            <w:tcW w:w="1134" w:type="dxa"/>
            <w:tcBorders>
              <w:top w:val="nil"/>
              <w:left w:val="nil"/>
              <w:bottom w:val="nil"/>
              <w:right w:val="nil"/>
            </w:tcBorders>
            <w:vAlign w:val="bottom"/>
          </w:tcPr>
          <w:p w14:paraId="442A6E49" w14:textId="77777777" w:rsidR="00B876DB" w:rsidRPr="00470415" w:rsidRDefault="00B876DB" w:rsidP="00DB02DF">
            <w:pPr>
              <w:pStyle w:val="TableTitle"/>
              <w:tabs>
                <w:tab w:val="left" w:pos="3306"/>
              </w:tabs>
              <w:rPr>
                <w:rFonts w:cs="Calibri"/>
              </w:rPr>
            </w:pPr>
            <w:bookmarkStart w:id="650" w:name="_Toc48468666"/>
            <w:bookmarkStart w:id="651" w:name="_Toc49155766"/>
            <w:bookmarkStart w:id="652" w:name="_Toc49224183"/>
            <w:r w:rsidRPr="00470415">
              <w:rPr>
                <w:rFonts w:cs="Calibri"/>
              </w:rPr>
              <w:t>Floating Interest Rate</w:t>
            </w:r>
            <w:bookmarkEnd w:id="650"/>
            <w:bookmarkEnd w:id="651"/>
            <w:bookmarkEnd w:id="652"/>
          </w:p>
        </w:tc>
        <w:tc>
          <w:tcPr>
            <w:tcW w:w="1172" w:type="dxa"/>
            <w:tcBorders>
              <w:top w:val="single" w:sz="2" w:space="0" w:color="auto"/>
              <w:left w:val="nil"/>
              <w:bottom w:val="nil"/>
              <w:right w:val="nil"/>
            </w:tcBorders>
            <w:vAlign w:val="bottom"/>
          </w:tcPr>
          <w:p w14:paraId="2AD5AD7A" w14:textId="77777777" w:rsidR="00B876DB" w:rsidRPr="00470415" w:rsidRDefault="00B876DB" w:rsidP="00DB02DF">
            <w:pPr>
              <w:pStyle w:val="TableTitle"/>
              <w:tabs>
                <w:tab w:val="left" w:pos="3306"/>
              </w:tabs>
              <w:rPr>
                <w:rFonts w:cs="Calibri"/>
              </w:rPr>
            </w:pPr>
            <w:r w:rsidRPr="00470415">
              <w:rPr>
                <w:rFonts w:cs="Calibri"/>
              </w:rPr>
              <w:t>1 Year or Less</w:t>
            </w:r>
          </w:p>
        </w:tc>
        <w:tc>
          <w:tcPr>
            <w:tcW w:w="1663" w:type="dxa"/>
            <w:tcBorders>
              <w:top w:val="single" w:sz="2" w:space="0" w:color="auto"/>
              <w:left w:val="nil"/>
              <w:bottom w:val="nil"/>
              <w:right w:val="nil"/>
            </w:tcBorders>
            <w:vAlign w:val="bottom"/>
          </w:tcPr>
          <w:p w14:paraId="626CFBAF" w14:textId="77777777" w:rsidR="00B876DB" w:rsidRPr="00470415" w:rsidRDefault="00B876DB" w:rsidP="00DB02DF">
            <w:pPr>
              <w:pStyle w:val="TableTitle"/>
              <w:tabs>
                <w:tab w:val="left" w:pos="3306"/>
              </w:tabs>
              <w:rPr>
                <w:rFonts w:cs="Calibri"/>
              </w:rPr>
            </w:pPr>
            <w:r w:rsidRPr="00470415">
              <w:rPr>
                <w:rFonts w:cs="Calibri"/>
              </w:rPr>
              <w:t>Over 1 Year to 5 Years</w:t>
            </w:r>
          </w:p>
        </w:tc>
        <w:tc>
          <w:tcPr>
            <w:tcW w:w="1418" w:type="dxa"/>
            <w:tcBorders>
              <w:top w:val="single" w:sz="2" w:space="0" w:color="auto"/>
              <w:left w:val="nil"/>
              <w:bottom w:val="nil"/>
              <w:right w:val="nil"/>
            </w:tcBorders>
            <w:vAlign w:val="bottom"/>
          </w:tcPr>
          <w:p w14:paraId="0A0044AA" w14:textId="77777777" w:rsidR="00B876DB" w:rsidRPr="00470415" w:rsidRDefault="00B876DB" w:rsidP="00DB02DF">
            <w:pPr>
              <w:pStyle w:val="TableTitle"/>
              <w:tabs>
                <w:tab w:val="left" w:pos="3306"/>
              </w:tabs>
              <w:rPr>
                <w:rFonts w:cs="Calibri"/>
              </w:rPr>
            </w:pPr>
            <w:r w:rsidRPr="00470415">
              <w:rPr>
                <w:rFonts w:cs="Calibri"/>
              </w:rPr>
              <w:t>Over 5 Years</w:t>
            </w:r>
          </w:p>
        </w:tc>
        <w:tc>
          <w:tcPr>
            <w:tcW w:w="1417" w:type="dxa"/>
            <w:tcBorders>
              <w:top w:val="nil"/>
              <w:left w:val="nil"/>
              <w:bottom w:val="nil"/>
              <w:right w:val="nil"/>
            </w:tcBorders>
            <w:vAlign w:val="bottom"/>
          </w:tcPr>
          <w:p w14:paraId="4756EA4D" w14:textId="77777777" w:rsidR="00B876DB" w:rsidRPr="00470415" w:rsidRDefault="00B876DB" w:rsidP="00DB02DF">
            <w:pPr>
              <w:pStyle w:val="TableTitle"/>
              <w:tabs>
                <w:tab w:val="left" w:pos="3306"/>
              </w:tabs>
              <w:rPr>
                <w:rFonts w:cs="Calibri"/>
              </w:rPr>
            </w:pPr>
            <w:r w:rsidRPr="00470415">
              <w:rPr>
                <w:rFonts w:cs="Calibri"/>
              </w:rPr>
              <w:t>Non-Interest Bearing</w:t>
            </w:r>
          </w:p>
        </w:tc>
        <w:tc>
          <w:tcPr>
            <w:tcW w:w="1246" w:type="dxa"/>
            <w:tcBorders>
              <w:top w:val="nil"/>
              <w:left w:val="nil"/>
              <w:bottom w:val="nil"/>
              <w:right w:val="nil"/>
            </w:tcBorders>
            <w:vAlign w:val="bottom"/>
          </w:tcPr>
          <w:p w14:paraId="6C675CD1" w14:textId="77777777" w:rsidR="00B876DB" w:rsidRPr="00470415" w:rsidRDefault="00B876DB" w:rsidP="002F567C">
            <w:pPr>
              <w:pStyle w:val="TableTitle"/>
              <w:tabs>
                <w:tab w:val="left" w:pos="3306"/>
              </w:tabs>
              <w:rPr>
                <w:rFonts w:cs="Calibri"/>
              </w:rPr>
            </w:pPr>
            <w:r w:rsidRPr="00470415">
              <w:rPr>
                <w:rFonts w:cs="Calibri"/>
              </w:rPr>
              <w:t>Total</w:t>
            </w:r>
          </w:p>
        </w:tc>
      </w:tr>
      <w:tr w:rsidR="00B876DB" w:rsidRPr="00CF7E1B" w14:paraId="2AB58CB3" w14:textId="77777777" w:rsidTr="0004564D">
        <w:trPr>
          <w:cantSplit/>
          <w:trHeight w:val="20"/>
        </w:trPr>
        <w:tc>
          <w:tcPr>
            <w:tcW w:w="1652" w:type="dxa"/>
            <w:tcBorders>
              <w:top w:val="nil"/>
              <w:left w:val="single" w:sz="2" w:space="0" w:color="auto"/>
              <w:bottom w:val="nil"/>
              <w:right w:val="single" w:sz="2" w:space="0" w:color="auto"/>
            </w:tcBorders>
          </w:tcPr>
          <w:p w14:paraId="1E5C6A76"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5A6CE012" w14:textId="77777777" w:rsidR="00B876DB" w:rsidRPr="00470415" w:rsidRDefault="00B876DB">
            <w:pPr>
              <w:pStyle w:val="TableText"/>
              <w:tabs>
                <w:tab w:val="left" w:pos="3306"/>
              </w:tabs>
              <w:rPr>
                <w:rFonts w:cs="Calibri"/>
                <w:b/>
                <w:bCs/>
              </w:rPr>
            </w:pPr>
          </w:p>
        </w:tc>
        <w:tc>
          <w:tcPr>
            <w:tcW w:w="709" w:type="dxa"/>
            <w:tcBorders>
              <w:top w:val="nil"/>
              <w:left w:val="nil"/>
              <w:bottom w:val="nil"/>
              <w:right w:val="nil"/>
            </w:tcBorders>
            <w:vAlign w:val="bottom"/>
          </w:tcPr>
          <w:p w14:paraId="1DDCFD04" w14:textId="77777777" w:rsidR="00B876DB" w:rsidRPr="00470415" w:rsidRDefault="009770A4" w:rsidP="002F567C">
            <w:pPr>
              <w:pStyle w:val="TableText"/>
              <w:tabs>
                <w:tab w:val="left" w:pos="3306"/>
              </w:tabs>
              <w:jc w:val="right"/>
              <w:rPr>
                <w:rFonts w:cs="Calibri"/>
                <w:b/>
              </w:rPr>
            </w:pPr>
            <w:r w:rsidRPr="00470415">
              <w:rPr>
                <w:rFonts w:cs="Calibri"/>
                <w:b/>
              </w:rPr>
              <w:t>No.</w:t>
            </w:r>
          </w:p>
        </w:tc>
        <w:tc>
          <w:tcPr>
            <w:tcW w:w="992" w:type="dxa"/>
            <w:tcBorders>
              <w:top w:val="nil"/>
              <w:left w:val="nil"/>
              <w:bottom w:val="nil"/>
              <w:right w:val="nil"/>
            </w:tcBorders>
            <w:vAlign w:val="bottom"/>
          </w:tcPr>
          <w:p w14:paraId="41E33A33" w14:textId="7534CE1A" w:rsidR="00B876DB" w:rsidRPr="00470415" w:rsidRDefault="00E63323" w:rsidP="00E63323">
            <w:pPr>
              <w:pStyle w:val="TableText"/>
              <w:tabs>
                <w:tab w:val="left" w:pos="3306"/>
              </w:tabs>
              <w:jc w:val="center"/>
              <w:rPr>
                <w:rFonts w:cs="Calibri"/>
              </w:rPr>
            </w:pPr>
            <w:r w:rsidRPr="00470415">
              <w:rPr>
                <w:rFonts w:cs="Calibri"/>
              </w:rPr>
              <w:t>%</w:t>
            </w:r>
          </w:p>
        </w:tc>
        <w:tc>
          <w:tcPr>
            <w:tcW w:w="1134" w:type="dxa"/>
            <w:tcBorders>
              <w:top w:val="nil"/>
              <w:left w:val="nil"/>
              <w:bottom w:val="nil"/>
              <w:right w:val="nil"/>
            </w:tcBorders>
            <w:vAlign w:val="bottom"/>
          </w:tcPr>
          <w:p w14:paraId="453C95C3" w14:textId="77777777" w:rsidR="00B876DB" w:rsidRPr="00470415" w:rsidRDefault="00B876DB" w:rsidP="002F567C">
            <w:pPr>
              <w:pStyle w:val="TableText"/>
              <w:tabs>
                <w:tab w:val="left" w:pos="3306"/>
              </w:tabs>
              <w:jc w:val="right"/>
              <w:rPr>
                <w:rFonts w:cs="Calibri"/>
                <w:b/>
              </w:rPr>
            </w:pPr>
            <w:r w:rsidRPr="00470415">
              <w:rPr>
                <w:rFonts w:cs="Calibri"/>
                <w:b/>
              </w:rPr>
              <w:t>$’000</w:t>
            </w:r>
          </w:p>
        </w:tc>
        <w:tc>
          <w:tcPr>
            <w:tcW w:w="1172" w:type="dxa"/>
            <w:tcBorders>
              <w:top w:val="nil"/>
              <w:left w:val="nil"/>
              <w:bottom w:val="nil"/>
              <w:right w:val="nil"/>
            </w:tcBorders>
          </w:tcPr>
          <w:p w14:paraId="404A2E82" w14:textId="77777777" w:rsidR="00B876DB" w:rsidRPr="00470415" w:rsidRDefault="00B876DB" w:rsidP="002F567C">
            <w:pPr>
              <w:pStyle w:val="TableText"/>
              <w:tabs>
                <w:tab w:val="left" w:pos="3306"/>
              </w:tabs>
              <w:jc w:val="right"/>
              <w:rPr>
                <w:rFonts w:cs="Calibri"/>
                <w:b/>
              </w:rPr>
            </w:pPr>
            <w:r w:rsidRPr="00470415">
              <w:rPr>
                <w:rFonts w:cs="Calibri"/>
                <w:b/>
              </w:rPr>
              <w:t>$’000</w:t>
            </w:r>
          </w:p>
        </w:tc>
        <w:tc>
          <w:tcPr>
            <w:tcW w:w="1663" w:type="dxa"/>
            <w:tcBorders>
              <w:top w:val="nil"/>
              <w:left w:val="nil"/>
              <w:bottom w:val="nil"/>
              <w:right w:val="nil"/>
            </w:tcBorders>
            <w:vAlign w:val="bottom"/>
          </w:tcPr>
          <w:p w14:paraId="78E714CE" w14:textId="77777777" w:rsidR="00B876DB" w:rsidRPr="00470415" w:rsidRDefault="00B876DB" w:rsidP="002F567C">
            <w:pPr>
              <w:pStyle w:val="TableText"/>
              <w:tabs>
                <w:tab w:val="left" w:pos="3306"/>
              </w:tabs>
              <w:jc w:val="right"/>
              <w:rPr>
                <w:rFonts w:cs="Calibri"/>
                <w:b/>
              </w:rPr>
            </w:pPr>
            <w:bookmarkStart w:id="653" w:name="_Toc48468668"/>
            <w:bookmarkStart w:id="654" w:name="_Toc49155768"/>
            <w:bookmarkStart w:id="655" w:name="_Toc49224185"/>
            <w:r w:rsidRPr="00470415">
              <w:rPr>
                <w:rFonts w:cs="Calibri"/>
                <w:b/>
              </w:rPr>
              <w:t>$’000</w:t>
            </w:r>
            <w:bookmarkEnd w:id="653"/>
            <w:bookmarkEnd w:id="654"/>
            <w:bookmarkEnd w:id="655"/>
          </w:p>
        </w:tc>
        <w:tc>
          <w:tcPr>
            <w:tcW w:w="1418" w:type="dxa"/>
            <w:tcBorders>
              <w:top w:val="nil"/>
              <w:left w:val="nil"/>
              <w:bottom w:val="nil"/>
              <w:right w:val="nil"/>
            </w:tcBorders>
            <w:vAlign w:val="bottom"/>
          </w:tcPr>
          <w:p w14:paraId="54160C09" w14:textId="77777777" w:rsidR="00B876DB" w:rsidRPr="00470415" w:rsidRDefault="00B876DB" w:rsidP="002F567C">
            <w:pPr>
              <w:pStyle w:val="TableText"/>
              <w:tabs>
                <w:tab w:val="left" w:pos="3306"/>
              </w:tabs>
              <w:jc w:val="right"/>
              <w:rPr>
                <w:rFonts w:cs="Calibri"/>
                <w:b/>
              </w:rPr>
            </w:pPr>
            <w:bookmarkStart w:id="656" w:name="_Toc48468669"/>
            <w:bookmarkStart w:id="657" w:name="_Toc49155769"/>
            <w:bookmarkStart w:id="658" w:name="_Toc49224186"/>
            <w:r w:rsidRPr="00470415">
              <w:rPr>
                <w:rFonts w:cs="Calibri"/>
                <w:b/>
              </w:rPr>
              <w:t>$’000</w:t>
            </w:r>
            <w:bookmarkEnd w:id="656"/>
            <w:bookmarkEnd w:id="657"/>
            <w:bookmarkEnd w:id="658"/>
          </w:p>
        </w:tc>
        <w:tc>
          <w:tcPr>
            <w:tcW w:w="1417" w:type="dxa"/>
            <w:tcBorders>
              <w:top w:val="nil"/>
              <w:left w:val="nil"/>
              <w:bottom w:val="nil"/>
              <w:right w:val="nil"/>
            </w:tcBorders>
            <w:vAlign w:val="bottom"/>
          </w:tcPr>
          <w:p w14:paraId="6CD89001" w14:textId="77777777" w:rsidR="00B876DB" w:rsidRPr="00470415" w:rsidRDefault="00B876DB" w:rsidP="002F567C">
            <w:pPr>
              <w:pStyle w:val="TableText"/>
              <w:tabs>
                <w:tab w:val="left" w:pos="3306"/>
              </w:tabs>
              <w:jc w:val="right"/>
              <w:rPr>
                <w:rFonts w:cs="Calibri"/>
                <w:b/>
              </w:rPr>
            </w:pPr>
            <w:bookmarkStart w:id="659" w:name="_Toc48468670"/>
            <w:bookmarkStart w:id="660" w:name="_Toc49155770"/>
            <w:bookmarkStart w:id="661" w:name="_Toc49224187"/>
            <w:r w:rsidRPr="00470415">
              <w:rPr>
                <w:rFonts w:cs="Calibri"/>
                <w:b/>
              </w:rPr>
              <w:t>$’000</w:t>
            </w:r>
            <w:bookmarkEnd w:id="659"/>
            <w:bookmarkEnd w:id="660"/>
            <w:bookmarkEnd w:id="661"/>
          </w:p>
        </w:tc>
        <w:tc>
          <w:tcPr>
            <w:tcW w:w="1246" w:type="dxa"/>
            <w:tcBorders>
              <w:top w:val="nil"/>
              <w:left w:val="nil"/>
              <w:bottom w:val="nil"/>
              <w:right w:val="nil"/>
            </w:tcBorders>
            <w:vAlign w:val="bottom"/>
          </w:tcPr>
          <w:p w14:paraId="4B19754B" w14:textId="77777777" w:rsidR="00B876DB" w:rsidRPr="00470415" w:rsidRDefault="00B876DB" w:rsidP="002F567C">
            <w:pPr>
              <w:pStyle w:val="TableText"/>
              <w:tabs>
                <w:tab w:val="left" w:pos="3306"/>
              </w:tabs>
              <w:jc w:val="right"/>
              <w:rPr>
                <w:rFonts w:cs="Calibri"/>
                <w:b/>
              </w:rPr>
            </w:pPr>
            <w:bookmarkStart w:id="662" w:name="_Toc48468671"/>
            <w:bookmarkStart w:id="663" w:name="_Toc49155771"/>
            <w:bookmarkStart w:id="664" w:name="_Toc49224188"/>
            <w:r w:rsidRPr="00470415">
              <w:rPr>
                <w:rFonts w:cs="Calibri"/>
                <w:b/>
              </w:rPr>
              <w:t>$’000</w:t>
            </w:r>
            <w:bookmarkEnd w:id="662"/>
            <w:bookmarkEnd w:id="663"/>
            <w:bookmarkEnd w:id="664"/>
          </w:p>
        </w:tc>
      </w:tr>
      <w:tr w:rsidR="00B876DB" w:rsidRPr="00CF7E1B" w14:paraId="12BAE38F" w14:textId="77777777" w:rsidTr="0004564D">
        <w:trPr>
          <w:cantSplit/>
          <w:trHeight w:val="20"/>
        </w:trPr>
        <w:tc>
          <w:tcPr>
            <w:tcW w:w="1652" w:type="dxa"/>
            <w:tcBorders>
              <w:top w:val="nil"/>
              <w:left w:val="single" w:sz="2" w:space="0" w:color="auto"/>
              <w:bottom w:val="nil"/>
              <w:right w:val="single" w:sz="2" w:space="0" w:color="auto"/>
            </w:tcBorders>
          </w:tcPr>
          <w:p w14:paraId="41AC7525"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1016E3BC" w14:textId="77777777" w:rsidR="00B876DB" w:rsidRPr="00470415" w:rsidRDefault="00B876DB">
            <w:pPr>
              <w:pStyle w:val="TableText"/>
              <w:tabs>
                <w:tab w:val="left" w:pos="3306"/>
              </w:tabs>
              <w:rPr>
                <w:rFonts w:cs="Calibri"/>
                <w:b/>
                <w:bCs/>
              </w:rPr>
            </w:pPr>
            <w:bookmarkStart w:id="665" w:name="_Toc48468673"/>
            <w:bookmarkStart w:id="666" w:name="_Toc49155773"/>
            <w:bookmarkStart w:id="667" w:name="_Toc49224190"/>
            <w:r w:rsidRPr="00470415">
              <w:rPr>
                <w:rFonts w:cs="Calibri"/>
                <w:b/>
                <w:bCs/>
              </w:rPr>
              <w:t>Financial Liabilities</w:t>
            </w:r>
            <w:bookmarkEnd w:id="665"/>
            <w:bookmarkEnd w:id="666"/>
            <w:bookmarkEnd w:id="667"/>
          </w:p>
        </w:tc>
        <w:tc>
          <w:tcPr>
            <w:tcW w:w="709" w:type="dxa"/>
            <w:tcBorders>
              <w:top w:val="nil"/>
              <w:left w:val="nil"/>
              <w:bottom w:val="nil"/>
              <w:right w:val="nil"/>
            </w:tcBorders>
            <w:vAlign w:val="bottom"/>
          </w:tcPr>
          <w:p w14:paraId="592B6E39" w14:textId="77777777" w:rsidR="00B876DB" w:rsidRPr="00470415" w:rsidRDefault="00B876DB">
            <w:pPr>
              <w:pStyle w:val="TableText"/>
              <w:tabs>
                <w:tab w:val="left" w:pos="3306"/>
              </w:tabs>
              <w:jc w:val="center"/>
              <w:rPr>
                <w:rFonts w:cs="Calibri"/>
                <w:strike/>
              </w:rPr>
            </w:pPr>
          </w:p>
        </w:tc>
        <w:tc>
          <w:tcPr>
            <w:tcW w:w="992" w:type="dxa"/>
            <w:tcBorders>
              <w:top w:val="nil"/>
              <w:left w:val="nil"/>
              <w:bottom w:val="nil"/>
              <w:right w:val="nil"/>
            </w:tcBorders>
            <w:vAlign w:val="bottom"/>
          </w:tcPr>
          <w:p w14:paraId="7230731F" w14:textId="77777777"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47BD541D" w14:textId="77777777" w:rsidR="00B876DB" w:rsidRPr="00470415" w:rsidRDefault="00B876DB">
            <w:pPr>
              <w:pStyle w:val="TableText"/>
              <w:tabs>
                <w:tab w:val="left" w:pos="3306"/>
              </w:tabs>
              <w:jc w:val="right"/>
              <w:rPr>
                <w:rFonts w:cs="Calibri"/>
              </w:rPr>
            </w:pPr>
          </w:p>
        </w:tc>
        <w:tc>
          <w:tcPr>
            <w:tcW w:w="1172" w:type="dxa"/>
            <w:tcBorders>
              <w:top w:val="nil"/>
              <w:left w:val="nil"/>
              <w:bottom w:val="nil"/>
              <w:right w:val="nil"/>
            </w:tcBorders>
          </w:tcPr>
          <w:p w14:paraId="4550AD15" w14:textId="77777777" w:rsidR="00B876DB" w:rsidRPr="00470415" w:rsidRDefault="00B876DB">
            <w:pPr>
              <w:pStyle w:val="TableText"/>
              <w:tabs>
                <w:tab w:val="left" w:pos="3306"/>
              </w:tabs>
              <w:jc w:val="right"/>
              <w:rPr>
                <w:rFonts w:cs="Calibri"/>
              </w:rPr>
            </w:pPr>
          </w:p>
        </w:tc>
        <w:tc>
          <w:tcPr>
            <w:tcW w:w="1663" w:type="dxa"/>
            <w:tcBorders>
              <w:top w:val="nil"/>
              <w:left w:val="nil"/>
              <w:bottom w:val="nil"/>
              <w:right w:val="nil"/>
            </w:tcBorders>
            <w:vAlign w:val="bottom"/>
          </w:tcPr>
          <w:p w14:paraId="430CE295" w14:textId="77777777" w:rsidR="00B876DB" w:rsidRPr="00470415" w:rsidRDefault="00B876DB">
            <w:pPr>
              <w:pStyle w:val="TableText"/>
              <w:tabs>
                <w:tab w:val="left" w:pos="3306"/>
              </w:tabs>
              <w:jc w:val="right"/>
              <w:rPr>
                <w:rFonts w:cs="Calibri"/>
              </w:rPr>
            </w:pPr>
          </w:p>
        </w:tc>
        <w:tc>
          <w:tcPr>
            <w:tcW w:w="1418" w:type="dxa"/>
            <w:tcBorders>
              <w:top w:val="nil"/>
              <w:left w:val="nil"/>
              <w:bottom w:val="nil"/>
              <w:right w:val="nil"/>
            </w:tcBorders>
            <w:vAlign w:val="bottom"/>
          </w:tcPr>
          <w:p w14:paraId="605D53CE" w14:textId="77777777" w:rsidR="00B876DB" w:rsidRPr="00470415" w:rsidRDefault="00B876DB">
            <w:pPr>
              <w:pStyle w:val="TableText"/>
              <w:tabs>
                <w:tab w:val="left" w:pos="3306"/>
              </w:tabs>
              <w:jc w:val="right"/>
              <w:rPr>
                <w:rFonts w:cs="Calibri"/>
              </w:rPr>
            </w:pPr>
          </w:p>
        </w:tc>
        <w:tc>
          <w:tcPr>
            <w:tcW w:w="1417" w:type="dxa"/>
            <w:tcBorders>
              <w:top w:val="nil"/>
              <w:left w:val="nil"/>
              <w:bottom w:val="nil"/>
              <w:right w:val="nil"/>
            </w:tcBorders>
            <w:vAlign w:val="bottom"/>
          </w:tcPr>
          <w:p w14:paraId="7764F254" w14:textId="77777777" w:rsidR="00B876DB" w:rsidRPr="00470415" w:rsidRDefault="00B876DB">
            <w:pPr>
              <w:pStyle w:val="TableText"/>
              <w:tabs>
                <w:tab w:val="left" w:pos="3306"/>
              </w:tabs>
              <w:jc w:val="right"/>
              <w:rPr>
                <w:rFonts w:cs="Calibri"/>
              </w:rPr>
            </w:pPr>
          </w:p>
        </w:tc>
        <w:tc>
          <w:tcPr>
            <w:tcW w:w="1246" w:type="dxa"/>
            <w:tcBorders>
              <w:top w:val="nil"/>
              <w:left w:val="nil"/>
              <w:bottom w:val="nil"/>
              <w:right w:val="nil"/>
            </w:tcBorders>
            <w:vAlign w:val="bottom"/>
          </w:tcPr>
          <w:p w14:paraId="76B18150" w14:textId="77777777" w:rsidR="00B876DB" w:rsidRPr="00470415" w:rsidRDefault="00B876DB">
            <w:pPr>
              <w:pStyle w:val="TableText"/>
              <w:tabs>
                <w:tab w:val="left" w:pos="3306"/>
              </w:tabs>
              <w:jc w:val="right"/>
              <w:rPr>
                <w:rFonts w:cs="Calibri"/>
              </w:rPr>
            </w:pPr>
          </w:p>
        </w:tc>
      </w:tr>
      <w:tr w:rsidR="00B876DB" w:rsidRPr="00CF7E1B" w14:paraId="62D8E7AD" w14:textId="77777777" w:rsidTr="0004564D">
        <w:trPr>
          <w:cantSplit/>
          <w:trHeight w:val="20"/>
        </w:trPr>
        <w:tc>
          <w:tcPr>
            <w:tcW w:w="1652" w:type="dxa"/>
            <w:tcBorders>
              <w:top w:val="nil"/>
              <w:left w:val="single" w:sz="2" w:space="0" w:color="auto"/>
              <w:bottom w:val="nil"/>
              <w:right w:val="single" w:sz="2" w:space="0" w:color="auto"/>
            </w:tcBorders>
          </w:tcPr>
          <w:p w14:paraId="26B8A46A"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14884A95" w14:textId="77777777" w:rsidR="00B876DB" w:rsidRPr="00470415" w:rsidRDefault="00B876DB">
            <w:pPr>
              <w:pStyle w:val="TableText"/>
              <w:tabs>
                <w:tab w:val="left" w:pos="3306"/>
              </w:tabs>
              <w:rPr>
                <w:rFonts w:cs="Calibri"/>
              </w:rPr>
            </w:pPr>
            <w:r w:rsidRPr="00470415">
              <w:rPr>
                <w:rFonts w:cs="Calibri"/>
              </w:rPr>
              <w:t>Payables</w:t>
            </w:r>
          </w:p>
        </w:tc>
        <w:tc>
          <w:tcPr>
            <w:tcW w:w="709" w:type="dxa"/>
            <w:tcBorders>
              <w:top w:val="nil"/>
              <w:left w:val="nil"/>
              <w:bottom w:val="nil"/>
              <w:right w:val="nil"/>
            </w:tcBorders>
            <w:vAlign w:val="bottom"/>
          </w:tcPr>
          <w:p w14:paraId="4BA1E1F6" w14:textId="251641A9" w:rsidR="00B876DB" w:rsidRPr="00470415" w:rsidRDefault="003334D4" w:rsidP="006E1C8E">
            <w:pPr>
              <w:pStyle w:val="TableText"/>
              <w:tabs>
                <w:tab w:val="left" w:pos="3306"/>
              </w:tabs>
              <w:jc w:val="center"/>
              <w:rPr>
                <w:rFonts w:cs="Calibri"/>
                <w:strike/>
              </w:rPr>
            </w:pPr>
            <w:r w:rsidRPr="00470415">
              <w:rPr>
                <w:rFonts w:cs="Calibri"/>
              </w:rPr>
              <w:t>24</w:t>
            </w:r>
          </w:p>
        </w:tc>
        <w:tc>
          <w:tcPr>
            <w:tcW w:w="992" w:type="dxa"/>
            <w:tcBorders>
              <w:top w:val="nil"/>
              <w:left w:val="nil"/>
              <w:bottom w:val="nil"/>
              <w:right w:val="nil"/>
            </w:tcBorders>
            <w:vAlign w:val="bottom"/>
          </w:tcPr>
          <w:p w14:paraId="1C667E2D" w14:textId="77777777"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230335BA" w14:textId="45641E3F" w:rsidR="00B876DB" w:rsidRPr="00470415" w:rsidRDefault="00B876DB">
            <w:pPr>
              <w:pStyle w:val="TableText"/>
              <w:tabs>
                <w:tab w:val="left" w:pos="3306"/>
              </w:tabs>
              <w:jc w:val="right"/>
              <w:rPr>
                <w:rFonts w:cs="Calibri"/>
              </w:rPr>
            </w:pPr>
          </w:p>
        </w:tc>
        <w:tc>
          <w:tcPr>
            <w:tcW w:w="1172" w:type="dxa"/>
            <w:tcBorders>
              <w:top w:val="nil"/>
              <w:left w:val="nil"/>
              <w:bottom w:val="nil"/>
              <w:right w:val="nil"/>
            </w:tcBorders>
          </w:tcPr>
          <w:p w14:paraId="4D30EEF2" w14:textId="340F2DFD" w:rsidR="00B876DB" w:rsidRPr="00470415" w:rsidRDefault="00B876DB">
            <w:pPr>
              <w:pStyle w:val="TableText"/>
              <w:tabs>
                <w:tab w:val="left" w:pos="3306"/>
              </w:tabs>
              <w:jc w:val="right"/>
              <w:rPr>
                <w:rFonts w:cs="Calibri"/>
              </w:rPr>
            </w:pPr>
          </w:p>
        </w:tc>
        <w:tc>
          <w:tcPr>
            <w:tcW w:w="1663" w:type="dxa"/>
            <w:tcBorders>
              <w:top w:val="nil"/>
              <w:left w:val="nil"/>
              <w:bottom w:val="nil"/>
              <w:right w:val="nil"/>
            </w:tcBorders>
            <w:vAlign w:val="bottom"/>
          </w:tcPr>
          <w:p w14:paraId="694B939A" w14:textId="7167BECA" w:rsidR="00B876DB" w:rsidRPr="00470415" w:rsidRDefault="00B876DB">
            <w:pPr>
              <w:pStyle w:val="TableText"/>
              <w:tabs>
                <w:tab w:val="left" w:pos="3306"/>
              </w:tabs>
              <w:jc w:val="right"/>
              <w:rPr>
                <w:rFonts w:cs="Calibri"/>
              </w:rPr>
            </w:pPr>
          </w:p>
        </w:tc>
        <w:tc>
          <w:tcPr>
            <w:tcW w:w="1418" w:type="dxa"/>
            <w:tcBorders>
              <w:top w:val="nil"/>
              <w:left w:val="nil"/>
              <w:bottom w:val="nil"/>
              <w:right w:val="nil"/>
            </w:tcBorders>
            <w:vAlign w:val="bottom"/>
          </w:tcPr>
          <w:p w14:paraId="136A650C" w14:textId="2A3C9689" w:rsidR="00B876DB" w:rsidRPr="00470415" w:rsidRDefault="00B876DB">
            <w:pPr>
              <w:pStyle w:val="TableText"/>
              <w:tabs>
                <w:tab w:val="left" w:pos="3306"/>
              </w:tabs>
              <w:jc w:val="right"/>
              <w:rPr>
                <w:rFonts w:cs="Calibri"/>
              </w:rPr>
            </w:pPr>
          </w:p>
        </w:tc>
        <w:tc>
          <w:tcPr>
            <w:tcW w:w="1417" w:type="dxa"/>
            <w:tcBorders>
              <w:top w:val="nil"/>
              <w:left w:val="nil"/>
              <w:bottom w:val="nil"/>
              <w:right w:val="nil"/>
            </w:tcBorders>
            <w:vAlign w:val="bottom"/>
          </w:tcPr>
          <w:p w14:paraId="73B338A0" w14:textId="1C209D3B" w:rsidR="00B876DB" w:rsidRPr="00470415" w:rsidRDefault="00B876DB">
            <w:pPr>
              <w:pStyle w:val="TableText"/>
              <w:tabs>
                <w:tab w:val="left" w:pos="3306"/>
              </w:tabs>
              <w:jc w:val="right"/>
              <w:rPr>
                <w:rFonts w:cs="Calibri"/>
              </w:rPr>
            </w:pPr>
          </w:p>
        </w:tc>
        <w:tc>
          <w:tcPr>
            <w:tcW w:w="1246" w:type="dxa"/>
            <w:tcBorders>
              <w:top w:val="nil"/>
              <w:left w:val="nil"/>
              <w:bottom w:val="nil"/>
              <w:right w:val="nil"/>
            </w:tcBorders>
            <w:vAlign w:val="bottom"/>
          </w:tcPr>
          <w:p w14:paraId="3D9045F7" w14:textId="3230FB2C" w:rsidR="00B876DB" w:rsidRPr="00470415" w:rsidRDefault="00B876DB">
            <w:pPr>
              <w:pStyle w:val="TableText"/>
              <w:tabs>
                <w:tab w:val="left" w:pos="3306"/>
              </w:tabs>
              <w:jc w:val="right"/>
              <w:rPr>
                <w:rFonts w:cs="Calibri"/>
              </w:rPr>
            </w:pPr>
          </w:p>
        </w:tc>
      </w:tr>
      <w:tr w:rsidR="00D12083" w:rsidRPr="00CF7E1B" w14:paraId="0E320C11" w14:textId="77777777" w:rsidTr="0004564D">
        <w:trPr>
          <w:cantSplit/>
          <w:trHeight w:val="20"/>
        </w:trPr>
        <w:tc>
          <w:tcPr>
            <w:tcW w:w="1652" w:type="dxa"/>
            <w:tcBorders>
              <w:top w:val="nil"/>
              <w:left w:val="single" w:sz="2" w:space="0" w:color="auto"/>
              <w:bottom w:val="nil"/>
              <w:right w:val="single" w:sz="2" w:space="0" w:color="auto"/>
            </w:tcBorders>
          </w:tcPr>
          <w:p w14:paraId="00A0258F" w14:textId="77777777" w:rsidR="00D12083" w:rsidRPr="00470415" w:rsidRDefault="00D12083">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1ACD9F2A" w14:textId="7315ED0D" w:rsidR="00D12083" w:rsidRPr="00470415" w:rsidRDefault="00D12083">
            <w:pPr>
              <w:pStyle w:val="TableText"/>
              <w:tabs>
                <w:tab w:val="left" w:pos="3306"/>
              </w:tabs>
              <w:rPr>
                <w:rFonts w:cs="Calibri"/>
              </w:rPr>
            </w:pPr>
            <w:r w:rsidRPr="00470415">
              <w:rPr>
                <w:rFonts w:cs="Calibri"/>
              </w:rPr>
              <w:t>Contract Liabilities</w:t>
            </w:r>
          </w:p>
        </w:tc>
        <w:tc>
          <w:tcPr>
            <w:tcW w:w="709" w:type="dxa"/>
            <w:tcBorders>
              <w:top w:val="nil"/>
              <w:left w:val="nil"/>
              <w:bottom w:val="nil"/>
              <w:right w:val="nil"/>
            </w:tcBorders>
            <w:vAlign w:val="bottom"/>
          </w:tcPr>
          <w:p w14:paraId="5D5FDB49" w14:textId="45362AE9" w:rsidR="00D12083" w:rsidRPr="00470415" w:rsidRDefault="003334D4" w:rsidP="006E1C8E">
            <w:pPr>
              <w:pStyle w:val="TableText"/>
              <w:tabs>
                <w:tab w:val="left" w:pos="3306"/>
              </w:tabs>
              <w:jc w:val="center"/>
              <w:rPr>
                <w:rFonts w:cs="Calibri"/>
              </w:rPr>
            </w:pPr>
            <w:r w:rsidRPr="00470415">
              <w:rPr>
                <w:rFonts w:cs="Calibri"/>
              </w:rPr>
              <w:t>24</w:t>
            </w:r>
          </w:p>
        </w:tc>
        <w:tc>
          <w:tcPr>
            <w:tcW w:w="992" w:type="dxa"/>
            <w:tcBorders>
              <w:top w:val="nil"/>
              <w:left w:val="nil"/>
              <w:bottom w:val="nil"/>
              <w:right w:val="nil"/>
            </w:tcBorders>
            <w:vAlign w:val="bottom"/>
          </w:tcPr>
          <w:p w14:paraId="416C5A5F" w14:textId="77777777" w:rsidR="00D12083" w:rsidRPr="00470415" w:rsidRDefault="00D12083">
            <w:pPr>
              <w:pStyle w:val="TableText"/>
              <w:tabs>
                <w:tab w:val="left" w:pos="3306"/>
              </w:tabs>
              <w:jc w:val="center"/>
              <w:rPr>
                <w:rFonts w:cs="Calibri"/>
                <w:strike/>
              </w:rPr>
            </w:pPr>
          </w:p>
        </w:tc>
        <w:tc>
          <w:tcPr>
            <w:tcW w:w="1134" w:type="dxa"/>
            <w:tcBorders>
              <w:top w:val="nil"/>
              <w:left w:val="nil"/>
              <w:bottom w:val="nil"/>
              <w:right w:val="nil"/>
            </w:tcBorders>
            <w:vAlign w:val="bottom"/>
          </w:tcPr>
          <w:p w14:paraId="74D3BE62" w14:textId="77777777" w:rsidR="00D12083" w:rsidRPr="00470415" w:rsidRDefault="00D12083">
            <w:pPr>
              <w:pStyle w:val="TableText"/>
              <w:tabs>
                <w:tab w:val="left" w:pos="3306"/>
              </w:tabs>
              <w:jc w:val="right"/>
              <w:rPr>
                <w:rFonts w:cs="Calibri"/>
              </w:rPr>
            </w:pPr>
          </w:p>
        </w:tc>
        <w:tc>
          <w:tcPr>
            <w:tcW w:w="1172" w:type="dxa"/>
            <w:tcBorders>
              <w:top w:val="nil"/>
              <w:left w:val="nil"/>
              <w:bottom w:val="nil"/>
              <w:right w:val="nil"/>
            </w:tcBorders>
          </w:tcPr>
          <w:p w14:paraId="7A3BA790" w14:textId="77777777" w:rsidR="00D12083" w:rsidRPr="00470415" w:rsidRDefault="00D12083">
            <w:pPr>
              <w:pStyle w:val="TableText"/>
              <w:tabs>
                <w:tab w:val="left" w:pos="3306"/>
              </w:tabs>
              <w:jc w:val="right"/>
              <w:rPr>
                <w:rFonts w:cs="Calibri"/>
              </w:rPr>
            </w:pPr>
          </w:p>
        </w:tc>
        <w:tc>
          <w:tcPr>
            <w:tcW w:w="1663" w:type="dxa"/>
            <w:tcBorders>
              <w:top w:val="nil"/>
              <w:left w:val="nil"/>
              <w:bottom w:val="nil"/>
              <w:right w:val="nil"/>
            </w:tcBorders>
            <w:vAlign w:val="bottom"/>
          </w:tcPr>
          <w:p w14:paraId="5D984A27" w14:textId="77777777" w:rsidR="00D12083" w:rsidRPr="00470415" w:rsidRDefault="00D12083">
            <w:pPr>
              <w:pStyle w:val="TableText"/>
              <w:tabs>
                <w:tab w:val="left" w:pos="3306"/>
              </w:tabs>
              <w:jc w:val="right"/>
              <w:rPr>
                <w:rFonts w:cs="Calibri"/>
              </w:rPr>
            </w:pPr>
          </w:p>
        </w:tc>
        <w:tc>
          <w:tcPr>
            <w:tcW w:w="1418" w:type="dxa"/>
            <w:tcBorders>
              <w:top w:val="nil"/>
              <w:left w:val="nil"/>
              <w:bottom w:val="nil"/>
              <w:right w:val="nil"/>
            </w:tcBorders>
            <w:vAlign w:val="bottom"/>
          </w:tcPr>
          <w:p w14:paraId="3661AA56" w14:textId="77777777" w:rsidR="00D12083" w:rsidRPr="00470415" w:rsidRDefault="00D12083">
            <w:pPr>
              <w:pStyle w:val="TableText"/>
              <w:tabs>
                <w:tab w:val="left" w:pos="3306"/>
              </w:tabs>
              <w:jc w:val="right"/>
              <w:rPr>
                <w:rFonts w:cs="Calibri"/>
              </w:rPr>
            </w:pPr>
          </w:p>
        </w:tc>
        <w:tc>
          <w:tcPr>
            <w:tcW w:w="1417" w:type="dxa"/>
            <w:tcBorders>
              <w:top w:val="nil"/>
              <w:left w:val="nil"/>
              <w:bottom w:val="nil"/>
              <w:right w:val="nil"/>
            </w:tcBorders>
            <w:vAlign w:val="bottom"/>
          </w:tcPr>
          <w:p w14:paraId="5BD07BDC" w14:textId="77777777" w:rsidR="00D12083" w:rsidRPr="00470415" w:rsidRDefault="00D12083">
            <w:pPr>
              <w:pStyle w:val="TableText"/>
              <w:tabs>
                <w:tab w:val="left" w:pos="3306"/>
              </w:tabs>
              <w:jc w:val="right"/>
              <w:rPr>
                <w:rFonts w:cs="Calibri"/>
              </w:rPr>
            </w:pPr>
          </w:p>
        </w:tc>
        <w:tc>
          <w:tcPr>
            <w:tcW w:w="1246" w:type="dxa"/>
            <w:tcBorders>
              <w:top w:val="nil"/>
              <w:left w:val="nil"/>
              <w:bottom w:val="nil"/>
              <w:right w:val="nil"/>
            </w:tcBorders>
            <w:vAlign w:val="bottom"/>
          </w:tcPr>
          <w:p w14:paraId="682C7FDC" w14:textId="77777777" w:rsidR="00D12083" w:rsidRPr="00470415" w:rsidRDefault="00D12083">
            <w:pPr>
              <w:pStyle w:val="TableText"/>
              <w:tabs>
                <w:tab w:val="left" w:pos="3306"/>
              </w:tabs>
              <w:jc w:val="right"/>
              <w:rPr>
                <w:rFonts w:cs="Calibri"/>
              </w:rPr>
            </w:pPr>
          </w:p>
        </w:tc>
      </w:tr>
      <w:tr w:rsidR="00B876DB" w:rsidRPr="00CF7E1B" w14:paraId="018A8B02" w14:textId="77777777" w:rsidTr="0004564D">
        <w:trPr>
          <w:cantSplit/>
          <w:trHeight w:val="20"/>
        </w:trPr>
        <w:tc>
          <w:tcPr>
            <w:tcW w:w="1652" w:type="dxa"/>
            <w:tcBorders>
              <w:top w:val="nil"/>
              <w:left w:val="single" w:sz="2" w:space="0" w:color="auto"/>
              <w:bottom w:val="nil"/>
              <w:right w:val="single" w:sz="2" w:space="0" w:color="auto"/>
            </w:tcBorders>
          </w:tcPr>
          <w:p w14:paraId="363CB49C"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51E99991" w14:textId="77777777" w:rsidR="00B876DB" w:rsidRPr="00470415" w:rsidRDefault="00B876DB">
            <w:pPr>
              <w:pStyle w:val="TableText"/>
              <w:tabs>
                <w:tab w:val="left" w:pos="3306"/>
              </w:tabs>
              <w:rPr>
                <w:rFonts w:cs="Calibri"/>
              </w:rPr>
            </w:pPr>
            <w:r w:rsidRPr="00470415">
              <w:rPr>
                <w:rFonts w:cs="Calibri"/>
              </w:rPr>
              <w:t>ACT Government Borrowings</w:t>
            </w:r>
          </w:p>
        </w:tc>
        <w:tc>
          <w:tcPr>
            <w:tcW w:w="709" w:type="dxa"/>
            <w:tcBorders>
              <w:top w:val="nil"/>
              <w:left w:val="nil"/>
              <w:bottom w:val="nil"/>
              <w:right w:val="nil"/>
            </w:tcBorders>
            <w:vAlign w:val="bottom"/>
          </w:tcPr>
          <w:p w14:paraId="09B521CD" w14:textId="29D102BE" w:rsidR="00B876DB" w:rsidRPr="00470415" w:rsidRDefault="003334D4">
            <w:pPr>
              <w:pStyle w:val="TableText"/>
              <w:tabs>
                <w:tab w:val="left" w:pos="3306"/>
              </w:tabs>
              <w:jc w:val="center"/>
              <w:rPr>
                <w:rFonts w:cs="Calibri"/>
                <w:strike/>
              </w:rPr>
            </w:pPr>
            <w:r w:rsidRPr="00470415">
              <w:rPr>
                <w:rFonts w:cs="Calibri"/>
              </w:rPr>
              <w:t>25</w:t>
            </w:r>
          </w:p>
        </w:tc>
        <w:tc>
          <w:tcPr>
            <w:tcW w:w="992" w:type="dxa"/>
            <w:tcBorders>
              <w:top w:val="nil"/>
              <w:left w:val="nil"/>
              <w:bottom w:val="nil"/>
              <w:right w:val="nil"/>
            </w:tcBorders>
            <w:vAlign w:val="bottom"/>
          </w:tcPr>
          <w:p w14:paraId="04DE6BF3" w14:textId="3511B5F4" w:rsidR="00B876DB" w:rsidRPr="00470415" w:rsidRDefault="00B876DB">
            <w:pPr>
              <w:pStyle w:val="TableText"/>
              <w:tabs>
                <w:tab w:val="left" w:pos="3306"/>
              </w:tabs>
              <w:jc w:val="center"/>
              <w:rPr>
                <w:rFonts w:cs="Calibri"/>
                <w:strike/>
              </w:rPr>
            </w:pPr>
          </w:p>
        </w:tc>
        <w:tc>
          <w:tcPr>
            <w:tcW w:w="1134" w:type="dxa"/>
            <w:tcBorders>
              <w:top w:val="nil"/>
              <w:left w:val="nil"/>
              <w:bottom w:val="nil"/>
              <w:right w:val="nil"/>
            </w:tcBorders>
            <w:vAlign w:val="bottom"/>
          </w:tcPr>
          <w:p w14:paraId="63DFFEC6" w14:textId="5754DA15" w:rsidR="00B876DB" w:rsidRPr="00470415" w:rsidRDefault="00B876DB">
            <w:pPr>
              <w:pStyle w:val="TableText"/>
              <w:tabs>
                <w:tab w:val="left" w:pos="3306"/>
              </w:tabs>
              <w:jc w:val="right"/>
              <w:rPr>
                <w:rFonts w:cs="Calibri"/>
              </w:rPr>
            </w:pPr>
          </w:p>
        </w:tc>
        <w:tc>
          <w:tcPr>
            <w:tcW w:w="1172" w:type="dxa"/>
            <w:tcBorders>
              <w:top w:val="nil"/>
              <w:left w:val="nil"/>
              <w:bottom w:val="nil"/>
              <w:right w:val="nil"/>
            </w:tcBorders>
            <w:vAlign w:val="bottom"/>
          </w:tcPr>
          <w:p w14:paraId="233DE64C" w14:textId="12A4CCE3" w:rsidR="00B876DB" w:rsidRPr="00470415" w:rsidRDefault="00B876DB">
            <w:pPr>
              <w:pStyle w:val="TableText"/>
              <w:tabs>
                <w:tab w:val="left" w:pos="3306"/>
              </w:tabs>
              <w:jc w:val="right"/>
              <w:rPr>
                <w:rFonts w:cs="Calibri"/>
              </w:rPr>
            </w:pPr>
          </w:p>
        </w:tc>
        <w:tc>
          <w:tcPr>
            <w:tcW w:w="1663" w:type="dxa"/>
            <w:tcBorders>
              <w:top w:val="nil"/>
              <w:left w:val="nil"/>
              <w:bottom w:val="nil"/>
              <w:right w:val="nil"/>
            </w:tcBorders>
            <w:vAlign w:val="bottom"/>
          </w:tcPr>
          <w:p w14:paraId="18B8A876" w14:textId="0B31DAD5" w:rsidR="00B876DB" w:rsidRPr="00470415" w:rsidRDefault="00B876DB">
            <w:pPr>
              <w:pStyle w:val="TableText"/>
              <w:tabs>
                <w:tab w:val="left" w:pos="3306"/>
              </w:tabs>
              <w:jc w:val="right"/>
              <w:rPr>
                <w:rFonts w:cs="Calibri"/>
              </w:rPr>
            </w:pPr>
          </w:p>
        </w:tc>
        <w:tc>
          <w:tcPr>
            <w:tcW w:w="1418" w:type="dxa"/>
            <w:tcBorders>
              <w:top w:val="nil"/>
              <w:left w:val="nil"/>
              <w:bottom w:val="nil"/>
              <w:right w:val="nil"/>
            </w:tcBorders>
            <w:vAlign w:val="bottom"/>
          </w:tcPr>
          <w:p w14:paraId="7F2368D7" w14:textId="5BCE0F67" w:rsidR="00B876DB" w:rsidRPr="00470415" w:rsidRDefault="00B876DB">
            <w:pPr>
              <w:pStyle w:val="TableText"/>
              <w:tabs>
                <w:tab w:val="left" w:pos="3306"/>
              </w:tabs>
              <w:jc w:val="right"/>
              <w:rPr>
                <w:rFonts w:cs="Calibri"/>
              </w:rPr>
            </w:pPr>
          </w:p>
        </w:tc>
        <w:tc>
          <w:tcPr>
            <w:tcW w:w="1417" w:type="dxa"/>
            <w:tcBorders>
              <w:top w:val="nil"/>
              <w:left w:val="nil"/>
              <w:bottom w:val="nil"/>
              <w:right w:val="nil"/>
            </w:tcBorders>
            <w:vAlign w:val="bottom"/>
          </w:tcPr>
          <w:p w14:paraId="0C7A063B" w14:textId="0B692571" w:rsidR="00B876DB" w:rsidRPr="00470415" w:rsidRDefault="00B876DB">
            <w:pPr>
              <w:pStyle w:val="TableText"/>
              <w:tabs>
                <w:tab w:val="left" w:pos="3306"/>
              </w:tabs>
              <w:jc w:val="right"/>
              <w:rPr>
                <w:rFonts w:cs="Calibri"/>
              </w:rPr>
            </w:pPr>
          </w:p>
        </w:tc>
        <w:tc>
          <w:tcPr>
            <w:tcW w:w="1246" w:type="dxa"/>
            <w:tcBorders>
              <w:top w:val="nil"/>
              <w:left w:val="nil"/>
              <w:bottom w:val="nil"/>
              <w:right w:val="nil"/>
            </w:tcBorders>
            <w:vAlign w:val="bottom"/>
          </w:tcPr>
          <w:p w14:paraId="404DBE4E" w14:textId="2CE940D6" w:rsidR="00B876DB" w:rsidRPr="00470415" w:rsidRDefault="00B876DB">
            <w:pPr>
              <w:pStyle w:val="TableText"/>
              <w:tabs>
                <w:tab w:val="left" w:pos="3306"/>
              </w:tabs>
              <w:jc w:val="right"/>
              <w:rPr>
                <w:rFonts w:cs="Calibri"/>
              </w:rPr>
            </w:pPr>
          </w:p>
        </w:tc>
      </w:tr>
      <w:tr w:rsidR="00B876DB" w:rsidRPr="00CF7E1B" w14:paraId="5285B1B8" w14:textId="77777777" w:rsidTr="0004564D">
        <w:trPr>
          <w:cantSplit/>
          <w:trHeight w:val="20"/>
        </w:trPr>
        <w:tc>
          <w:tcPr>
            <w:tcW w:w="1652" w:type="dxa"/>
            <w:tcBorders>
              <w:top w:val="nil"/>
              <w:left w:val="single" w:sz="2" w:space="0" w:color="auto"/>
              <w:bottom w:val="nil"/>
              <w:right w:val="single" w:sz="2" w:space="0" w:color="auto"/>
            </w:tcBorders>
          </w:tcPr>
          <w:p w14:paraId="3B0388F2" w14:textId="77777777" w:rsidR="00B876DB" w:rsidRPr="00470415" w:rsidRDefault="00B876DB">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vAlign w:val="bottom"/>
          </w:tcPr>
          <w:p w14:paraId="2C0AA1F4" w14:textId="0C8FF33D" w:rsidR="00B876DB" w:rsidRPr="00470415" w:rsidRDefault="00B876DB">
            <w:pPr>
              <w:pStyle w:val="TableText"/>
              <w:tabs>
                <w:tab w:val="left" w:pos="3306"/>
              </w:tabs>
              <w:rPr>
                <w:rFonts w:cs="Calibri"/>
              </w:rPr>
            </w:pPr>
            <w:r w:rsidRPr="00470415">
              <w:rPr>
                <w:rFonts w:cs="Calibri"/>
              </w:rPr>
              <w:t>Commonwealth</w:t>
            </w:r>
            <w:r w:rsidR="00496D98" w:rsidRPr="00470415">
              <w:rPr>
                <w:rFonts w:cs="Calibri"/>
              </w:rPr>
              <w:t xml:space="preserve"> Borrowings</w:t>
            </w:r>
          </w:p>
        </w:tc>
        <w:tc>
          <w:tcPr>
            <w:tcW w:w="709" w:type="dxa"/>
            <w:tcBorders>
              <w:top w:val="nil"/>
              <w:left w:val="nil"/>
              <w:bottom w:val="nil"/>
              <w:right w:val="nil"/>
            </w:tcBorders>
            <w:vAlign w:val="bottom"/>
          </w:tcPr>
          <w:p w14:paraId="2EF3DE31" w14:textId="3C75B185" w:rsidR="00B876DB" w:rsidRPr="00470415" w:rsidRDefault="003334D4">
            <w:pPr>
              <w:pStyle w:val="TableText"/>
              <w:tabs>
                <w:tab w:val="left" w:pos="3306"/>
              </w:tabs>
              <w:jc w:val="center"/>
              <w:rPr>
                <w:rFonts w:cs="Calibri"/>
                <w:strike/>
              </w:rPr>
            </w:pPr>
            <w:r w:rsidRPr="00470415">
              <w:rPr>
                <w:rFonts w:cs="Calibri"/>
              </w:rPr>
              <w:t>25</w:t>
            </w:r>
          </w:p>
        </w:tc>
        <w:tc>
          <w:tcPr>
            <w:tcW w:w="992" w:type="dxa"/>
            <w:tcBorders>
              <w:top w:val="nil"/>
              <w:left w:val="nil"/>
              <w:bottom w:val="nil"/>
              <w:right w:val="nil"/>
            </w:tcBorders>
            <w:vAlign w:val="bottom"/>
          </w:tcPr>
          <w:p w14:paraId="5C9FBB64" w14:textId="037E1202" w:rsidR="00B876DB" w:rsidRPr="00470415" w:rsidRDefault="00B876DB" w:rsidP="003D6BD3">
            <w:pPr>
              <w:pStyle w:val="TableText"/>
              <w:tabs>
                <w:tab w:val="left" w:pos="3306"/>
              </w:tabs>
              <w:jc w:val="center"/>
              <w:rPr>
                <w:rFonts w:cs="Calibri"/>
                <w:strike/>
              </w:rPr>
            </w:pPr>
          </w:p>
        </w:tc>
        <w:tc>
          <w:tcPr>
            <w:tcW w:w="1134" w:type="dxa"/>
            <w:tcBorders>
              <w:top w:val="nil"/>
              <w:left w:val="nil"/>
              <w:bottom w:val="nil"/>
              <w:right w:val="nil"/>
            </w:tcBorders>
            <w:vAlign w:val="bottom"/>
          </w:tcPr>
          <w:p w14:paraId="76E4D101" w14:textId="377667A6" w:rsidR="00B876DB" w:rsidRPr="00470415" w:rsidRDefault="00B876DB">
            <w:pPr>
              <w:pStyle w:val="TableText"/>
              <w:tabs>
                <w:tab w:val="left" w:pos="3306"/>
              </w:tabs>
              <w:jc w:val="right"/>
              <w:rPr>
                <w:rFonts w:cs="Calibri"/>
              </w:rPr>
            </w:pPr>
          </w:p>
        </w:tc>
        <w:tc>
          <w:tcPr>
            <w:tcW w:w="1172" w:type="dxa"/>
            <w:tcBorders>
              <w:top w:val="nil"/>
              <w:left w:val="nil"/>
              <w:bottom w:val="nil"/>
              <w:right w:val="nil"/>
            </w:tcBorders>
            <w:vAlign w:val="bottom"/>
          </w:tcPr>
          <w:p w14:paraId="4332FFDC" w14:textId="605EFF56" w:rsidR="00B876DB" w:rsidRPr="00470415" w:rsidRDefault="00B876DB">
            <w:pPr>
              <w:pStyle w:val="TableText"/>
              <w:tabs>
                <w:tab w:val="left" w:pos="3306"/>
              </w:tabs>
              <w:jc w:val="right"/>
              <w:rPr>
                <w:rFonts w:cs="Calibri"/>
              </w:rPr>
            </w:pPr>
          </w:p>
        </w:tc>
        <w:tc>
          <w:tcPr>
            <w:tcW w:w="1663" w:type="dxa"/>
            <w:tcBorders>
              <w:top w:val="nil"/>
              <w:left w:val="nil"/>
              <w:bottom w:val="nil"/>
              <w:right w:val="nil"/>
            </w:tcBorders>
            <w:vAlign w:val="bottom"/>
          </w:tcPr>
          <w:p w14:paraId="168E755D" w14:textId="3C032995" w:rsidR="00B876DB" w:rsidRPr="00470415" w:rsidRDefault="00B876DB">
            <w:pPr>
              <w:pStyle w:val="TableText"/>
              <w:tabs>
                <w:tab w:val="left" w:pos="3306"/>
              </w:tabs>
              <w:jc w:val="right"/>
              <w:rPr>
                <w:rFonts w:cs="Calibri"/>
              </w:rPr>
            </w:pPr>
          </w:p>
        </w:tc>
        <w:tc>
          <w:tcPr>
            <w:tcW w:w="1418" w:type="dxa"/>
            <w:tcBorders>
              <w:top w:val="nil"/>
              <w:left w:val="nil"/>
              <w:bottom w:val="nil"/>
              <w:right w:val="nil"/>
            </w:tcBorders>
            <w:vAlign w:val="bottom"/>
          </w:tcPr>
          <w:p w14:paraId="72392D79" w14:textId="5A7E5802" w:rsidR="00B876DB" w:rsidRPr="00470415" w:rsidRDefault="00B876DB">
            <w:pPr>
              <w:pStyle w:val="TableText"/>
              <w:tabs>
                <w:tab w:val="left" w:pos="3306"/>
              </w:tabs>
              <w:jc w:val="right"/>
              <w:rPr>
                <w:rFonts w:cs="Calibri"/>
              </w:rPr>
            </w:pPr>
          </w:p>
        </w:tc>
        <w:tc>
          <w:tcPr>
            <w:tcW w:w="1417" w:type="dxa"/>
            <w:tcBorders>
              <w:top w:val="nil"/>
              <w:left w:val="nil"/>
              <w:bottom w:val="nil"/>
              <w:right w:val="nil"/>
            </w:tcBorders>
            <w:vAlign w:val="bottom"/>
          </w:tcPr>
          <w:p w14:paraId="1692801C" w14:textId="3044CD22" w:rsidR="00B876DB" w:rsidRPr="00470415" w:rsidRDefault="00B876DB">
            <w:pPr>
              <w:pStyle w:val="TableText"/>
              <w:tabs>
                <w:tab w:val="left" w:pos="3306"/>
              </w:tabs>
              <w:jc w:val="right"/>
              <w:rPr>
                <w:rFonts w:cs="Calibri"/>
              </w:rPr>
            </w:pPr>
          </w:p>
        </w:tc>
        <w:tc>
          <w:tcPr>
            <w:tcW w:w="1246" w:type="dxa"/>
            <w:tcBorders>
              <w:top w:val="nil"/>
              <w:left w:val="nil"/>
              <w:bottom w:val="nil"/>
              <w:right w:val="nil"/>
            </w:tcBorders>
            <w:vAlign w:val="bottom"/>
          </w:tcPr>
          <w:p w14:paraId="0D495D1C" w14:textId="6D3F4B9E" w:rsidR="00B876DB" w:rsidRPr="00470415" w:rsidRDefault="00B876DB">
            <w:pPr>
              <w:pStyle w:val="TableText"/>
              <w:tabs>
                <w:tab w:val="left" w:pos="3306"/>
              </w:tabs>
              <w:jc w:val="right"/>
              <w:rPr>
                <w:rFonts w:cs="Calibri"/>
              </w:rPr>
            </w:pPr>
          </w:p>
        </w:tc>
      </w:tr>
      <w:tr w:rsidR="005701A3" w:rsidRPr="00CF7E1B" w14:paraId="4C541E3E" w14:textId="77777777" w:rsidTr="0004564D">
        <w:trPr>
          <w:cantSplit/>
          <w:trHeight w:val="20"/>
        </w:trPr>
        <w:tc>
          <w:tcPr>
            <w:tcW w:w="1652" w:type="dxa"/>
            <w:tcBorders>
              <w:top w:val="nil"/>
              <w:left w:val="single" w:sz="2" w:space="0" w:color="auto"/>
              <w:bottom w:val="nil"/>
              <w:right w:val="single" w:sz="2" w:space="0" w:color="auto"/>
            </w:tcBorders>
          </w:tcPr>
          <w:p w14:paraId="31769508" w14:textId="77777777" w:rsidR="005701A3" w:rsidRPr="00470415" w:rsidRDefault="005701A3">
            <w:pPr>
              <w:pStyle w:val="TableReference"/>
              <w:tabs>
                <w:tab w:val="left" w:pos="3306"/>
              </w:tabs>
              <w:spacing w:before="60"/>
              <w:rPr>
                <w:rFonts w:cs="Calibri"/>
                <w:color w:val="7030A0"/>
                <w:sz w:val="14"/>
              </w:rPr>
            </w:pPr>
          </w:p>
        </w:tc>
        <w:tc>
          <w:tcPr>
            <w:tcW w:w="4021" w:type="dxa"/>
            <w:tcBorders>
              <w:top w:val="nil"/>
              <w:left w:val="single" w:sz="2" w:space="0" w:color="auto"/>
              <w:bottom w:val="nil"/>
              <w:right w:val="nil"/>
            </w:tcBorders>
          </w:tcPr>
          <w:p w14:paraId="2D4021C2" w14:textId="15D82240" w:rsidR="005701A3" w:rsidRPr="00470415" w:rsidRDefault="005701A3" w:rsidP="00DB02DF">
            <w:pPr>
              <w:pStyle w:val="TableText"/>
              <w:tabs>
                <w:tab w:val="left" w:pos="3306"/>
              </w:tabs>
              <w:rPr>
                <w:rFonts w:cs="Calibri"/>
              </w:rPr>
            </w:pPr>
            <w:r w:rsidRPr="00470415">
              <w:rPr>
                <w:rFonts w:cs="Calibri"/>
              </w:rPr>
              <w:t>Service Concession Arrangement Financial Liability</w:t>
            </w:r>
          </w:p>
        </w:tc>
        <w:tc>
          <w:tcPr>
            <w:tcW w:w="709" w:type="dxa"/>
            <w:tcBorders>
              <w:top w:val="nil"/>
              <w:left w:val="nil"/>
              <w:bottom w:val="nil"/>
              <w:right w:val="nil"/>
            </w:tcBorders>
          </w:tcPr>
          <w:p w14:paraId="105BDEC1" w14:textId="3C7EAB33" w:rsidR="005701A3" w:rsidRPr="00470415" w:rsidRDefault="00876887" w:rsidP="00DB02DF">
            <w:pPr>
              <w:pStyle w:val="TableText"/>
              <w:tabs>
                <w:tab w:val="left" w:pos="3306"/>
              </w:tabs>
              <w:jc w:val="center"/>
              <w:rPr>
                <w:rFonts w:cs="Calibri"/>
              </w:rPr>
            </w:pPr>
            <w:r w:rsidRPr="00470415">
              <w:rPr>
                <w:rFonts w:cs="Calibri"/>
              </w:rPr>
              <w:t>39</w:t>
            </w:r>
          </w:p>
        </w:tc>
        <w:tc>
          <w:tcPr>
            <w:tcW w:w="992" w:type="dxa"/>
            <w:tcBorders>
              <w:top w:val="nil"/>
              <w:left w:val="nil"/>
              <w:bottom w:val="nil"/>
              <w:right w:val="nil"/>
            </w:tcBorders>
            <w:vAlign w:val="bottom"/>
          </w:tcPr>
          <w:p w14:paraId="2F7D4C55" w14:textId="77777777" w:rsidR="005701A3" w:rsidRPr="00470415" w:rsidRDefault="005701A3">
            <w:pPr>
              <w:pStyle w:val="TableText"/>
              <w:tabs>
                <w:tab w:val="left" w:pos="3306"/>
              </w:tabs>
              <w:jc w:val="center"/>
              <w:rPr>
                <w:rFonts w:cs="Calibri"/>
                <w:strike/>
              </w:rPr>
            </w:pPr>
          </w:p>
        </w:tc>
        <w:tc>
          <w:tcPr>
            <w:tcW w:w="1134" w:type="dxa"/>
            <w:tcBorders>
              <w:top w:val="nil"/>
              <w:left w:val="nil"/>
              <w:bottom w:val="nil"/>
              <w:right w:val="nil"/>
            </w:tcBorders>
            <w:vAlign w:val="bottom"/>
          </w:tcPr>
          <w:p w14:paraId="74E637E3" w14:textId="77777777" w:rsidR="005701A3" w:rsidRPr="00470415" w:rsidRDefault="005701A3">
            <w:pPr>
              <w:pStyle w:val="TableText"/>
              <w:tabs>
                <w:tab w:val="left" w:pos="3306"/>
              </w:tabs>
              <w:jc w:val="right"/>
              <w:rPr>
                <w:rFonts w:cs="Calibri"/>
              </w:rPr>
            </w:pPr>
          </w:p>
        </w:tc>
        <w:tc>
          <w:tcPr>
            <w:tcW w:w="1172" w:type="dxa"/>
            <w:tcBorders>
              <w:top w:val="nil"/>
              <w:left w:val="nil"/>
              <w:bottom w:val="nil"/>
              <w:right w:val="nil"/>
            </w:tcBorders>
          </w:tcPr>
          <w:p w14:paraId="3EFAE598" w14:textId="77777777" w:rsidR="005701A3" w:rsidRPr="00470415" w:rsidRDefault="005701A3">
            <w:pPr>
              <w:pStyle w:val="TableText"/>
              <w:tabs>
                <w:tab w:val="left" w:pos="3306"/>
              </w:tabs>
              <w:jc w:val="right"/>
              <w:rPr>
                <w:rFonts w:cs="Calibri"/>
              </w:rPr>
            </w:pPr>
          </w:p>
        </w:tc>
        <w:tc>
          <w:tcPr>
            <w:tcW w:w="1663" w:type="dxa"/>
            <w:tcBorders>
              <w:top w:val="nil"/>
              <w:left w:val="nil"/>
              <w:bottom w:val="nil"/>
              <w:right w:val="nil"/>
            </w:tcBorders>
            <w:vAlign w:val="bottom"/>
          </w:tcPr>
          <w:p w14:paraId="3A46C1E0" w14:textId="77777777" w:rsidR="005701A3" w:rsidRPr="00470415" w:rsidRDefault="005701A3">
            <w:pPr>
              <w:pStyle w:val="TableText"/>
              <w:tabs>
                <w:tab w:val="left" w:pos="3306"/>
              </w:tabs>
              <w:jc w:val="right"/>
              <w:rPr>
                <w:rFonts w:cs="Calibri"/>
              </w:rPr>
            </w:pPr>
          </w:p>
        </w:tc>
        <w:tc>
          <w:tcPr>
            <w:tcW w:w="1418" w:type="dxa"/>
            <w:tcBorders>
              <w:top w:val="nil"/>
              <w:left w:val="nil"/>
              <w:bottom w:val="nil"/>
              <w:right w:val="nil"/>
            </w:tcBorders>
            <w:vAlign w:val="bottom"/>
          </w:tcPr>
          <w:p w14:paraId="4788770E" w14:textId="77777777" w:rsidR="005701A3" w:rsidRPr="00470415" w:rsidRDefault="005701A3">
            <w:pPr>
              <w:pStyle w:val="TableText"/>
              <w:tabs>
                <w:tab w:val="left" w:pos="3306"/>
              </w:tabs>
              <w:jc w:val="right"/>
              <w:rPr>
                <w:rFonts w:cs="Calibri"/>
              </w:rPr>
            </w:pPr>
          </w:p>
        </w:tc>
        <w:tc>
          <w:tcPr>
            <w:tcW w:w="1417" w:type="dxa"/>
            <w:tcBorders>
              <w:top w:val="nil"/>
              <w:left w:val="nil"/>
              <w:bottom w:val="nil"/>
              <w:right w:val="nil"/>
            </w:tcBorders>
            <w:vAlign w:val="bottom"/>
          </w:tcPr>
          <w:p w14:paraId="594C3544" w14:textId="77777777" w:rsidR="005701A3" w:rsidRPr="00470415" w:rsidRDefault="005701A3">
            <w:pPr>
              <w:pStyle w:val="TableText"/>
              <w:tabs>
                <w:tab w:val="left" w:pos="3306"/>
              </w:tabs>
              <w:jc w:val="right"/>
              <w:rPr>
                <w:rFonts w:cs="Calibri"/>
              </w:rPr>
            </w:pPr>
          </w:p>
        </w:tc>
        <w:tc>
          <w:tcPr>
            <w:tcW w:w="1246" w:type="dxa"/>
            <w:tcBorders>
              <w:top w:val="nil"/>
              <w:left w:val="nil"/>
              <w:bottom w:val="nil"/>
              <w:right w:val="nil"/>
            </w:tcBorders>
            <w:vAlign w:val="bottom"/>
          </w:tcPr>
          <w:p w14:paraId="5BA46218" w14:textId="77777777" w:rsidR="005701A3" w:rsidRPr="00470415" w:rsidRDefault="005701A3">
            <w:pPr>
              <w:pStyle w:val="TableText"/>
              <w:tabs>
                <w:tab w:val="left" w:pos="3306"/>
              </w:tabs>
              <w:jc w:val="right"/>
              <w:rPr>
                <w:rFonts w:cs="Calibri"/>
              </w:rPr>
            </w:pPr>
          </w:p>
        </w:tc>
      </w:tr>
      <w:tr w:rsidR="00B876DB" w:rsidRPr="00CF7E1B" w14:paraId="3B390FEA" w14:textId="77777777" w:rsidTr="0004564D">
        <w:trPr>
          <w:cantSplit/>
          <w:trHeight w:val="20"/>
        </w:trPr>
        <w:tc>
          <w:tcPr>
            <w:tcW w:w="1652" w:type="dxa"/>
            <w:tcBorders>
              <w:top w:val="nil"/>
              <w:left w:val="single" w:sz="2" w:space="0" w:color="auto"/>
              <w:bottom w:val="nil"/>
              <w:right w:val="single" w:sz="2" w:space="0" w:color="auto"/>
            </w:tcBorders>
          </w:tcPr>
          <w:p w14:paraId="2534B3AD" w14:textId="6314E288" w:rsidR="00E63323" w:rsidRPr="00470415" w:rsidRDefault="003F7173">
            <w:pPr>
              <w:pStyle w:val="TableReference"/>
              <w:tabs>
                <w:tab w:val="left" w:pos="3306"/>
              </w:tabs>
              <w:spacing w:before="60"/>
              <w:rPr>
                <w:rFonts w:cs="Calibri"/>
                <w:color w:val="7030A0"/>
                <w:sz w:val="14"/>
              </w:rPr>
            </w:pPr>
            <w:r w:rsidRPr="00470415">
              <w:rPr>
                <w:rFonts w:cs="Calibri"/>
                <w:color w:val="7030A0"/>
                <w:sz w:val="14"/>
              </w:rPr>
              <w:t>AASB 16.58</w:t>
            </w:r>
          </w:p>
          <w:p w14:paraId="09DF7922" w14:textId="0645273A" w:rsidR="00B876DB" w:rsidRPr="00470415" w:rsidRDefault="00B876DB" w:rsidP="00E63323">
            <w:pPr>
              <w:pStyle w:val="TableReference"/>
              <w:tabs>
                <w:tab w:val="left" w:pos="3306"/>
              </w:tabs>
              <w:rPr>
                <w:rFonts w:cs="Calibri"/>
                <w:strike/>
                <w:color w:val="7030A0"/>
                <w:sz w:val="14"/>
              </w:rPr>
            </w:pPr>
          </w:p>
        </w:tc>
        <w:tc>
          <w:tcPr>
            <w:tcW w:w="4021" w:type="dxa"/>
            <w:tcBorders>
              <w:top w:val="nil"/>
              <w:left w:val="single" w:sz="2" w:space="0" w:color="auto"/>
              <w:bottom w:val="nil"/>
              <w:right w:val="nil"/>
            </w:tcBorders>
          </w:tcPr>
          <w:p w14:paraId="5D36D26F" w14:textId="2252F6A8" w:rsidR="00B876DB" w:rsidRPr="00470415" w:rsidRDefault="00B876DB">
            <w:pPr>
              <w:pStyle w:val="TableText"/>
              <w:tabs>
                <w:tab w:val="left" w:pos="3306"/>
              </w:tabs>
              <w:rPr>
                <w:rFonts w:cs="Calibri"/>
              </w:rPr>
            </w:pPr>
            <w:r w:rsidRPr="00470415">
              <w:rPr>
                <w:rFonts w:cs="Calibri"/>
              </w:rPr>
              <w:t>Lease</w:t>
            </w:r>
            <w:r w:rsidR="003F7173" w:rsidRPr="00470415">
              <w:rPr>
                <w:rFonts w:cs="Calibri"/>
              </w:rPr>
              <w:t xml:space="preserve"> </w:t>
            </w:r>
            <w:r w:rsidR="007D0986" w:rsidRPr="00470415">
              <w:rPr>
                <w:rFonts w:cs="Calibri"/>
              </w:rPr>
              <w:t xml:space="preserve">Liabilities </w:t>
            </w:r>
          </w:p>
        </w:tc>
        <w:tc>
          <w:tcPr>
            <w:tcW w:w="709" w:type="dxa"/>
            <w:tcBorders>
              <w:top w:val="nil"/>
              <w:left w:val="nil"/>
              <w:bottom w:val="nil"/>
              <w:right w:val="nil"/>
            </w:tcBorders>
          </w:tcPr>
          <w:p w14:paraId="1B33D84C" w14:textId="1289ECA1" w:rsidR="00B876DB" w:rsidRPr="00470415" w:rsidRDefault="003334D4" w:rsidP="002D3527">
            <w:pPr>
              <w:pStyle w:val="TableText"/>
              <w:tabs>
                <w:tab w:val="left" w:pos="3306"/>
              </w:tabs>
              <w:jc w:val="center"/>
              <w:rPr>
                <w:rFonts w:cs="Calibri"/>
                <w:strike/>
              </w:rPr>
            </w:pPr>
            <w:r w:rsidRPr="00470415">
              <w:rPr>
                <w:rFonts w:cs="Calibri"/>
              </w:rPr>
              <w:t>26</w:t>
            </w:r>
          </w:p>
        </w:tc>
        <w:tc>
          <w:tcPr>
            <w:tcW w:w="992" w:type="dxa"/>
            <w:tcBorders>
              <w:top w:val="nil"/>
              <w:left w:val="nil"/>
              <w:bottom w:val="nil"/>
              <w:right w:val="nil"/>
            </w:tcBorders>
          </w:tcPr>
          <w:p w14:paraId="2EFDABA2" w14:textId="1C3EDCA0" w:rsidR="00B876DB" w:rsidRPr="00470415" w:rsidRDefault="00B876DB" w:rsidP="002D3527">
            <w:pPr>
              <w:pStyle w:val="TableText"/>
              <w:tabs>
                <w:tab w:val="left" w:pos="3306"/>
              </w:tabs>
              <w:jc w:val="center"/>
              <w:rPr>
                <w:rFonts w:cs="Calibri"/>
                <w:strike/>
              </w:rPr>
            </w:pPr>
          </w:p>
        </w:tc>
        <w:tc>
          <w:tcPr>
            <w:tcW w:w="1134" w:type="dxa"/>
            <w:tcBorders>
              <w:top w:val="nil"/>
              <w:left w:val="nil"/>
              <w:bottom w:val="single" w:sz="2" w:space="0" w:color="auto"/>
              <w:right w:val="nil"/>
            </w:tcBorders>
            <w:vAlign w:val="bottom"/>
          </w:tcPr>
          <w:p w14:paraId="54AE3F64" w14:textId="541061EB" w:rsidR="00B876DB" w:rsidRPr="00470415" w:rsidRDefault="00B876DB">
            <w:pPr>
              <w:pStyle w:val="TableText"/>
              <w:tabs>
                <w:tab w:val="left" w:pos="3306"/>
              </w:tabs>
              <w:jc w:val="right"/>
              <w:rPr>
                <w:rFonts w:cs="Calibri"/>
              </w:rPr>
            </w:pPr>
          </w:p>
        </w:tc>
        <w:tc>
          <w:tcPr>
            <w:tcW w:w="1172" w:type="dxa"/>
            <w:tcBorders>
              <w:top w:val="nil"/>
              <w:left w:val="nil"/>
              <w:bottom w:val="single" w:sz="2" w:space="0" w:color="auto"/>
              <w:right w:val="nil"/>
            </w:tcBorders>
          </w:tcPr>
          <w:p w14:paraId="3BC2BB7E" w14:textId="284E0486" w:rsidR="00B876DB" w:rsidRPr="00470415" w:rsidRDefault="00B876DB">
            <w:pPr>
              <w:pStyle w:val="TableText"/>
              <w:tabs>
                <w:tab w:val="left" w:pos="3306"/>
              </w:tabs>
              <w:jc w:val="right"/>
              <w:rPr>
                <w:rFonts w:cs="Calibri"/>
              </w:rPr>
            </w:pPr>
          </w:p>
        </w:tc>
        <w:tc>
          <w:tcPr>
            <w:tcW w:w="1663" w:type="dxa"/>
            <w:tcBorders>
              <w:top w:val="nil"/>
              <w:left w:val="nil"/>
              <w:bottom w:val="single" w:sz="2" w:space="0" w:color="auto"/>
              <w:right w:val="nil"/>
            </w:tcBorders>
            <w:vAlign w:val="bottom"/>
          </w:tcPr>
          <w:p w14:paraId="389F9449" w14:textId="6E6809D4" w:rsidR="00B876DB" w:rsidRPr="00470415" w:rsidRDefault="00B876DB">
            <w:pPr>
              <w:pStyle w:val="TableText"/>
              <w:tabs>
                <w:tab w:val="left" w:pos="3306"/>
              </w:tabs>
              <w:jc w:val="right"/>
              <w:rPr>
                <w:rFonts w:cs="Calibri"/>
              </w:rPr>
            </w:pPr>
          </w:p>
        </w:tc>
        <w:tc>
          <w:tcPr>
            <w:tcW w:w="1418" w:type="dxa"/>
            <w:tcBorders>
              <w:top w:val="nil"/>
              <w:left w:val="nil"/>
              <w:bottom w:val="single" w:sz="2" w:space="0" w:color="auto"/>
              <w:right w:val="nil"/>
            </w:tcBorders>
            <w:vAlign w:val="bottom"/>
          </w:tcPr>
          <w:p w14:paraId="5D08813F" w14:textId="0F5942E5" w:rsidR="00B876DB" w:rsidRPr="00470415" w:rsidRDefault="00B876DB">
            <w:pPr>
              <w:pStyle w:val="TableText"/>
              <w:tabs>
                <w:tab w:val="left" w:pos="3306"/>
              </w:tabs>
              <w:jc w:val="right"/>
              <w:rPr>
                <w:rFonts w:cs="Calibri"/>
              </w:rPr>
            </w:pPr>
          </w:p>
        </w:tc>
        <w:tc>
          <w:tcPr>
            <w:tcW w:w="1417" w:type="dxa"/>
            <w:tcBorders>
              <w:top w:val="nil"/>
              <w:left w:val="nil"/>
              <w:bottom w:val="single" w:sz="2" w:space="0" w:color="auto"/>
              <w:right w:val="nil"/>
            </w:tcBorders>
            <w:vAlign w:val="bottom"/>
          </w:tcPr>
          <w:p w14:paraId="2A5327BA" w14:textId="3F82934A" w:rsidR="00B876DB" w:rsidRPr="00470415" w:rsidRDefault="00B876DB">
            <w:pPr>
              <w:pStyle w:val="TableText"/>
              <w:tabs>
                <w:tab w:val="left" w:pos="3306"/>
              </w:tabs>
              <w:jc w:val="right"/>
              <w:rPr>
                <w:rFonts w:cs="Calibri"/>
              </w:rPr>
            </w:pPr>
          </w:p>
        </w:tc>
        <w:tc>
          <w:tcPr>
            <w:tcW w:w="1246" w:type="dxa"/>
            <w:tcBorders>
              <w:top w:val="nil"/>
              <w:left w:val="nil"/>
              <w:bottom w:val="single" w:sz="2" w:space="0" w:color="auto"/>
              <w:right w:val="nil"/>
            </w:tcBorders>
            <w:vAlign w:val="bottom"/>
          </w:tcPr>
          <w:p w14:paraId="5327DC3E" w14:textId="72FBC35C" w:rsidR="00B876DB" w:rsidRPr="00470415" w:rsidRDefault="00B876DB">
            <w:pPr>
              <w:pStyle w:val="TableText"/>
              <w:tabs>
                <w:tab w:val="left" w:pos="3306"/>
              </w:tabs>
              <w:jc w:val="right"/>
              <w:rPr>
                <w:rFonts w:cs="Calibri"/>
              </w:rPr>
            </w:pPr>
          </w:p>
        </w:tc>
      </w:tr>
      <w:tr w:rsidR="00B876DB" w:rsidRPr="00CF7E1B" w14:paraId="7B63DFE3" w14:textId="77777777" w:rsidTr="0004564D">
        <w:trPr>
          <w:cantSplit/>
          <w:trHeight w:val="20"/>
        </w:trPr>
        <w:tc>
          <w:tcPr>
            <w:tcW w:w="1652" w:type="dxa"/>
            <w:tcBorders>
              <w:top w:val="nil"/>
              <w:left w:val="single" w:sz="2" w:space="0" w:color="auto"/>
              <w:bottom w:val="nil"/>
              <w:right w:val="single" w:sz="2" w:space="0" w:color="auto"/>
            </w:tcBorders>
          </w:tcPr>
          <w:p w14:paraId="1724523C" w14:textId="77777777" w:rsidR="00B876DB" w:rsidRPr="00470415" w:rsidRDefault="00B876DB">
            <w:pPr>
              <w:pStyle w:val="TableReference"/>
              <w:tabs>
                <w:tab w:val="left" w:pos="3306"/>
              </w:tabs>
              <w:spacing w:before="40"/>
              <w:rPr>
                <w:rFonts w:cs="Calibri"/>
                <w:color w:val="7030A0"/>
                <w:sz w:val="14"/>
              </w:rPr>
            </w:pPr>
          </w:p>
        </w:tc>
        <w:tc>
          <w:tcPr>
            <w:tcW w:w="4021" w:type="dxa"/>
            <w:tcBorders>
              <w:top w:val="nil"/>
              <w:left w:val="single" w:sz="2" w:space="0" w:color="auto"/>
              <w:bottom w:val="nil"/>
              <w:right w:val="nil"/>
            </w:tcBorders>
            <w:vAlign w:val="bottom"/>
          </w:tcPr>
          <w:p w14:paraId="6773938C" w14:textId="77777777" w:rsidR="00B876DB" w:rsidRPr="00470415" w:rsidRDefault="00B876DB">
            <w:pPr>
              <w:pStyle w:val="TableText"/>
              <w:tabs>
                <w:tab w:val="left" w:pos="3306"/>
              </w:tabs>
              <w:rPr>
                <w:rFonts w:cs="Calibri"/>
                <w:b/>
                <w:bCs/>
              </w:rPr>
            </w:pPr>
            <w:r w:rsidRPr="00470415">
              <w:rPr>
                <w:rFonts w:cs="Calibri"/>
                <w:b/>
                <w:bCs/>
              </w:rPr>
              <w:t>Total Financial Liabilities</w:t>
            </w:r>
          </w:p>
        </w:tc>
        <w:tc>
          <w:tcPr>
            <w:tcW w:w="709" w:type="dxa"/>
            <w:tcBorders>
              <w:top w:val="nil"/>
              <w:left w:val="nil"/>
              <w:bottom w:val="nil"/>
              <w:right w:val="nil"/>
            </w:tcBorders>
            <w:vAlign w:val="bottom"/>
          </w:tcPr>
          <w:p w14:paraId="57F05433" w14:textId="77777777" w:rsidR="00B876DB" w:rsidRPr="00470415" w:rsidRDefault="00B876DB">
            <w:pPr>
              <w:pStyle w:val="TableText"/>
              <w:tabs>
                <w:tab w:val="left" w:pos="3306"/>
              </w:tabs>
              <w:jc w:val="center"/>
              <w:rPr>
                <w:rFonts w:cs="Calibri"/>
              </w:rPr>
            </w:pPr>
          </w:p>
        </w:tc>
        <w:tc>
          <w:tcPr>
            <w:tcW w:w="992" w:type="dxa"/>
            <w:tcBorders>
              <w:top w:val="nil"/>
              <w:left w:val="nil"/>
              <w:bottom w:val="nil"/>
              <w:right w:val="nil"/>
            </w:tcBorders>
            <w:vAlign w:val="bottom"/>
          </w:tcPr>
          <w:p w14:paraId="39DB0969" w14:textId="77777777" w:rsidR="00B876DB" w:rsidRPr="00470415" w:rsidRDefault="00B876DB">
            <w:pPr>
              <w:pStyle w:val="TableText"/>
              <w:tabs>
                <w:tab w:val="left" w:pos="3306"/>
              </w:tabs>
              <w:jc w:val="center"/>
              <w:rPr>
                <w:rFonts w:cs="Calibri"/>
              </w:rPr>
            </w:pPr>
          </w:p>
        </w:tc>
        <w:tc>
          <w:tcPr>
            <w:tcW w:w="1134" w:type="dxa"/>
            <w:tcBorders>
              <w:top w:val="single" w:sz="2" w:space="0" w:color="auto"/>
              <w:left w:val="nil"/>
              <w:bottom w:val="double" w:sz="4" w:space="0" w:color="auto"/>
              <w:right w:val="nil"/>
            </w:tcBorders>
            <w:vAlign w:val="bottom"/>
          </w:tcPr>
          <w:p w14:paraId="2304D5AA" w14:textId="03EBB601" w:rsidR="00B876DB" w:rsidRPr="00470415" w:rsidRDefault="00B876DB">
            <w:pPr>
              <w:pStyle w:val="TableText"/>
              <w:tabs>
                <w:tab w:val="left" w:pos="3306"/>
              </w:tabs>
              <w:jc w:val="right"/>
              <w:rPr>
                <w:rFonts w:cs="Calibri"/>
                <w:b/>
                <w:bCs/>
              </w:rPr>
            </w:pPr>
          </w:p>
        </w:tc>
        <w:tc>
          <w:tcPr>
            <w:tcW w:w="1172" w:type="dxa"/>
            <w:tcBorders>
              <w:top w:val="single" w:sz="2" w:space="0" w:color="auto"/>
              <w:left w:val="nil"/>
              <w:bottom w:val="double" w:sz="4" w:space="0" w:color="auto"/>
              <w:right w:val="nil"/>
            </w:tcBorders>
            <w:vAlign w:val="bottom"/>
          </w:tcPr>
          <w:p w14:paraId="0B85B068" w14:textId="3114BEE2" w:rsidR="00B876DB" w:rsidRPr="00470415" w:rsidRDefault="00B876DB">
            <w:pPr>
              <w:pStyle w:val="TableText"/>
              <w:tabs>
                <w:tab w:val="left" w:pos="3306"/>
              </w:tabs>
              <w:jc w:val="right"/>
              <w:rPr>
                <w:rFonts w:cs="Calibri"/>
                <w:b/>
                <w:bCs/>
              </w:rPr>
            </w:pPr>
          </w:p>
        </w:tc>
        <w:tc>
          <w:tcPr>
            <w:tcW w:w="1663" w:type="dxa"/>
            <w:tcBorders>
              <w:top w:val="single" w:sz="2" w:space="0" w:color="auto"/>
              <w:left w:val="nil"/>
              <w:bottom w:val="double" w:sz="4" w:space="0" w:color="auto"/>
              <w:right w:val="nil"/>
            </w:tcBorders>
            <w:vAlign w:val="bottom"/>
          </w:tcPr>
          <w:p w14:paraId="22CD2A80" w14:textId="2F718554" w:rsidR="00B876DB" w:rsidRPr="00470415" w:rsidRDefault="00B876DB">
            <w:pPr>
              <w:pStyle w:val="TableText"/>
              <w:tabs>
                <w:tab w:val="left" w:pos="3306"/>
              </w:tabs>
              <w:jc w:val="right"/>
              <w:rPr>
                <w:rFonts w:cs="Calibri"/>
                <w:b/>
                <w:bCs/>
              </w:rPr>
            </w:pPr>
          </w:p>
        </w:tc>
        <w:tc>
          <w:tcPr>
            <w:tcW w:w="1418" w:type="dxa"/>
            <w:tcBorders>
              <w:top w:val="single" w:sz="2" w:space="0" w:color="auto"/>
              <w:left w:val="nil"/>
              <w:bottom w:val="double" w:sz="4" w:space="0" w:color="auto"/>
              <w:right w:val="nil"/>
            </w:tcBorders>
            <w:vAlign w:val="bottom"/>
          </w:tcPr>
          <w:p w14:paraId="33E42420" w14:textId="1CB38E94" w:rsidR="00B876DB" w:rsidRPr="00470415" w:rsidRDefault="00B876DB">
            <w:pPr>
              <w:pStyle w:val="TableText"/>
              <w:tabs>
                <w:tab w:val="left" w:pos="3306"/>
              </w:tabs>
              <w:jc w:val="right"/>
              <w:rPr>
                <w:rFonts w:cs="Calibri"/>
                <w:b/>
                <w:bCs/>
              </w:rPr>
            </w:pPr>
          </w:p>
        </w:tc>
        <w:tc>
          <w:tcPr>
            <w:tcW w:w="1417" w:type="dxa"/>
            <w:tcBorders>
              <w:top w:val="single" w:sz="2" w:space="0" w:color="auto"/>
              <w:left w:val="nil"/>
              <w:bottom w:val="double" w:sz="4" w:space="0" w:color="auto"/>
              <w:right w:val="nil"/>
            </w:tcBorders>
            <w:vAlign w:val="bottom"/>
          </w:tcPr>
          <w:p w14:paraId="524ABF3C" w14:textId="1775C92D" w:rsidR="00B876DB" w:rsidRPr="00470415" w:rsidRDefault="00B876DB">
            <w:pPr>
              <w:pStyle w:val="TableText"/>
              <w:tabs>
                <w:tab w:val="left" w:pos="3306"/>
              </w:tabs>
              <w:jc w:val="right"/>
              <w:rPr>
                <w:rFonts w:cs="Calibri"/>
                <w:b/>
                <w:bCs/>
              </w:rPr>
            </w:pPr>
          </w:p>
        </w:tc>
        <w:tc>
          <w:tcPr>
            <w:tcW w:w="1246" w:type="dxa"/>
            <w:tcBorders>
              <w:top w:val="single" w:sz="2" w:space="0" w:color="auto"/>
              <w:left w:val="nil"/>
              <w:bottom w:val="double" w:sz="4" w:space="0" w:color="auto"/>
              <w:right w:val="nil"/>
            </w:tcBorders>
            <w:vAlign w:val="bottom"/>
          </w:tcPr>
          <w:p w14:paraId="189731F2" w14:textId="13895B07" w:rsidR="00B876DB" w:rsidRPr="00470415" w:rsidRDefault="00B876DB">
            <w:pPr>
              <w:pStyle w:val="TableText"/>
              <w:tabs>
                <w:tab w:val="left" w:pos="3306"/>
              </w:tabs>
              <w:jc w:val="right"/>
              <w:rPr>
                <w:rFonts w:cs="Calibri"/>
                <w:b/>
                <w:bCs/>
              </w:rPr>
            </w:pPr>
          </w:p>
        </w:tc>
      </w:tr>
      <w:bookmarkEnd w:id="649"/>
    </w:tbl>
    <w:p w14:paraId="05B8632A" w14:textId="77777777" w:rsidR="000144FF" w:rsidRPr="00DB5C0E" w:rsidRDefault="000144FF">
      <w:pPr>
        <w:rPr>
          <w:rFonts w:cs="Calibri"/>
          <w:szCs w:val="22"/>
        </w:rPr>
        <w:sectPr w:rsidR="000144FF" w:rsidRPr="00DB5C0E" w:rsidSect="004514CD">
          <w:footnotePr>
            <w:numRestart w:val="eachPage"/>
          </w:footnotePr>
          <w:pgSz w:w="16840" w:h="11907" w:orient="landscape" w:code="9"/>
          <w:pgMar w:top="680" w:right="567" w:bottom="680" w:left="567" w:header="720" w:footer="720" w:gutter="0"/>
          <w:cols w:space="720"/>
        </w:sectPr>
      </w:pPr>
    </w:p>
    <w:p w14:paraId="0DC0FD88" w14:textId="0193C6E0" w:rsidR="00810B4A" w:rsidRDefault="00810B4A">
      <w:pPr>
        <w:rPr>
          <w:rFonts w:cs="Calibri"/>
          <w:szCs w:val="24"/>
        </w:rPr>
      </w:pPr>
      <w:r>
        <w:rPr>
          <w:rFonts w:cs="Calibri"/>
          <w:szCs w:val="24"/>
        </w:rPr>
        <w:br w:type="page"/>
      </w:r>
    </w:p>
    <w:tbl>
      <w:tblPr>
        <w:tblW w:w="1566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3909"/>
        <w:gridCol w:w="627"/>
        <w:gridCol w:w="961"/>
        <w:gridCol w:w="1484"/>
        <w:gridCol w:w="6"/>
        <w:gridCol w:w="1476"/>
        <w:gridCol w:w="1539"/>
        <w:gridCol w:w="1368"/>
        <w:gridCol w:w="6"/>
        <w:gridCol w:w="1419"/>
        <w:gridCol w:w="1250"/>
        <w:gridCol w:w="61"/>
      </w:tblGrid>
      <w:tr w:rsidR="00470415" w:rsidRPr="00470415" w14:paraId="466DD7AB"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64930F8E" w14:textId="77777777" w:rsidR="000144FF" w:rsidRPr="00470415" w:rsidRDefault="007E1584" w:rsidP="004E2AC4">
            <w:pPr>
              <w:pStyle w:val="TableReference"/>
              <w:tabs>
                <w:tab w:val="left" w:pos="3306"/>
              </w:tabs>
              <w:spacing w:before="240" w:after="240"/>
              <w:rPr>
                <w:rFonts w:cs="Calibri"/>
                <w:b/>
                <w:color w:val="7030A0"/>
                <w:sz w:val="22"/>
                <w:szCs w:val="22"/>
              </w:rPr>
            </w:pPr>
            <w:bookmarkStart w:id="668" w:name="_Hlk90370656"/>
            <w:r w:rsidRPr="00470415">
              <w:rPr>
                <w:rFonts w:cs="Calibri"/>
                <w:b/>
                <w:color w:val="7030A0"/>
                <w:sz w:val="22"/>
                <w:szCs w:val="22"/>
              </w:rPr>
              <w:t>Reference</w:t>
            </w:r>
          </w:p>
        </w:tc>
        <w:tc>
          <w:tcPr>
            <w:tcW w:w="14045" w:type="dxa"/>
            <w:gridSpan w:val="11"/>
            <w:tcBorders>
              <w:top w:val="nil"/>
              <w:left w:val="single" w:sz="2" w:space="0" w:color="auto"/>
              <w:bottom w:val="nil"/>
              <w:right w:val="nil"/>
            </w:tcBorders>
            <w:vAlign w:val="bottom"/>
          </w:tcPr>
          <w:p w14:paraId="78C8B251" w14:textId="68FBE9CD" w:rsidR="000144FF" w:rsidRPr="00470415" w:rsidRDefault="004E2AC4" w:rsidP="004E2AC4">
            <w:pPr>
              <w:spacing w:before="240" w:after="240"/>
              <w:rPr>
                <w:b/>
              </w:rPr>
            </w:pPr>
            <w:r w:rsidRPr="00470415">
              <w:rPr>
                <w:rFonts w:ascii="Arial" w:hAnsi="Arial" w:cs="Arial"/>
                <w:b/>
                <w:sz w:val="32"/>
                <w:szCs w:val="32"/>
              </w:rPr>
              <w:t xml:space="preserve">NOTE </w:t>
            </w:r>
            <w:r w:rsidR="003D49A5" w:rsidRPr="00470415">
              <w:rPr>
                <w:rFonts w:ascii="Arial" w:hAnsi="Arial" w:cs="Arial"/>
                <w:b/>
                <w:sz w:val="32"/>
                <w:szCs w:val="32"/>
              </w:rPr>
              <w:t>31</w:t>
            </w:r>
            <w:r w:rsidRPr="00470415">
              <w:rPr>
                <w:rFonts w:ascii="Arial" w:hAnsi="Arial" w:cs="Arial"/>
                <w:b/>
                <w:sz w:val="32"/>
                <w:szCs w:val="32"/>
              </w:rPr>
              <w:t>.</w:t>
            </w:r>
            <w:r w:rsidR="00FA7C77">
              <w:rPr>
                <w:rFonts w:ascii="Arial" w:hAnsi="Arial" w:cs="Arial"/>
                <w:b/>
                <w:sz w:val="32"/>
                <w:szCs w:val="32"/>
              </w:rPr>
              <w:t xml:space="preserve"> </w:t>
            </w:r>
            <w:r w:rsidRPr="00470415">
              <w:rPr>
                <w:rFonts w:ascii="Arial" w:hAnsi="Arial" w:cs="Arial"/>
                <w:b/>
                <w:sz w:val="32"/>
                <w:szCs w:val="32"/>
              </w:rPr>
              <w:t xml:space="preserve"> FINANCIAL INSTRUMENTS – CONTINUED</w:t>
            </w:r>
          </w:p>
        </w:tc>
      </w:tr>
      <w:tr w:rsidR="00470415" w:rsidRPr="00470415" w14:paraId="65D201DC"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1247CB5A" w14:textId="36362963" w:rsidR="002629C0" w:rsidRPr="00470415" w:rsidRDefault="002629C0" w:rsidP="002629C0">
            <w:pPr>
              <w:pStyle w:val="TableReference"/>
              <w:tabs>
                <w:tab w:val="left" w:pos="3306"/>
              </w:tabs>
              <w:spacing w:before="40"/>
              <w:rPr>
                <w:rFonts w:cs="Calibri"/>
                <w:color w:val="7030A0"/>
                <w:sz w:val="14"/>
              </w:rPr>
            </w:pPr>
            <w:r w:rsidRPr="00470415">
              <w:rPr>
                <w:rFonts w:cs="Calibri"/>
                <w:color w:val="7030A0"/>
                <w:sz w:val="14"/>
              </w:rPr>
              <w:t>AASB 7.34(a)</w:t>
            </w:r>
            <w:r w:rsidR="00FA7C77">
              <w:rPr>
                <w:rFonts w:cs="Calibri"/>
                <w:color w:val="7030A0"/>
                <w:sz w:val="14"/>
              </w:rPr>
              <w:t xml:space="preserve"> </w:t>
            </w:r>
          </w:p>
          <w:p w14:paraId="7A90B0A1" w14:textId="77777777" w:rsidR="002629C0" w:rsidRPr="00470415" w:rsidRDefault="002629C0" w:rsidP="002629C0">
            <w:pPr>
              <w:pStyle w:val="TableReference"/>
              <w:tabs>
                <w:tab w:val="left" w:pos="3306"/>
              </w:tabs>
              <w:spacing w:before="80"/>
              <w:rPr>
                <w:rFonts w:cs="Calibri"/>
                <w:color w:val="7030A0"/>
                <w:sz w:val="14"/>
              </w:rPr>
            </w:pPr>
            <w:r w:rsidRPr="00470415">
              <w:rPr>
                <w:rFonts w:cs="Calibri"/>
                <w:color w:val="7030A0"/>
                <w:sz w:val="14"/>
              </w:rPr>
              <w:t xml:space="preserve">AASB 7.39(a) </w:t>
            </w:r>
          </w:p>
          <w:p w14:paraId="7BD82A80" w14:textId="28FC8540" w:rsidR="000144FF" w:rsidRPr="00470415" w:rsidRDefault="00AE4817" w:rsidP="002629C0">
            <w:pPr>
              <w:pStyle w:val="TableReference"/>
              <w:tabs>
                <w:tab w:val="left" w:pos="3306"/>
              </w:tabs>
              <w:spacing w:before="80"/>
              <w:rPr>
                <w:rFonts w:cs="Calibri"/>
                <w:color w:val="7030A0"/>
                <w:sz w:val="14"/>
              </w:rPr>
            </w:pPr>
            <w:r w:rsidRPr="00470415">
              <w:rPr>
                <w:rFonts w:cs="Calibri"/>
                <w:color w:val="7030A0"/>
                <w:sz w:val="14"/>
              </w:rPr>
              <w:t xml:space="preserve">ACT </w:t>
            </w:r>
            <w:r w:rsidR="00AA6CC1" w:rsidRPr="00470415">
              <w:rPr>
                <w:rFonts w:cs="Calibri"/>
                <w:color w:val="7030A0"/>
                <w:sz w:val="14"/>
              </w:rPr>
              <w:t>Disclosure</w:t>
            </w:r>
            <w:r w:rsidRPr="00470415">
              <w:rPr>
                <w:rFonts w:cs="Calibri"/>
                <w:color w:val="7030A0"/>
                <w:sz w:val="14"/>
              </w:rPr>
              <w:t xml:space="preserve"> Policy</w:t>
            </w:r>
          </w:p>
        </w:tc>
        <w:tc>
          <w:tcPr>
            <w:tcW w:w="14045" w:type="dxa"/>
            <w:gridSpan w:val="11"/>
            <w:tcBorders>
              <w:top w:val="nil"/>
              <w:left w:val="single" w:sz="2" w:space="0" w:color="auto"/>
              <w:bottom w:val="nil"/>
              <w:right w:val="nil"/>
            </w:tcBorders>
            <w:vAlign w:val="bottom"/>
          </w:tcPr>
          <w:p w14:paraId="2EE36CCF" w14:textId="32B4E362" w:rsidR="000144FF" w:rsidRPr="00470415" w:rsidRDefault="000144FF" w:rsidP="00DA5B5A">
            <w:pPr>
              <w:pStyle w:val="TableText"/>
              <w:spacing w:before="0" w:after="120"/>
              <w:jc w:val="both"/>
              <w:rPr>
                <w:rFonts w:cs="Calibri"/>
              </w:rPr>
            </w:pPr>
            <w:r w:rsidRPr="00470415">
              <w:rPr>
                <w:rFonts w:cs="Calibri"/>
              </w:rPr>
              <w:t xml:space="preserve">The following table sets out the </w:t>
            </w:r>
            <w:r w:rsidR="00B96D8D" w:rsidRPr="00470415">
              <w:rPr>
                <w:rFonts w:cs="Calibri"/>
              </w:rPr>
              <w:t>Agency</w:t>
            </w:r>
            <w:r w:rsidRPr="00470415">
              <w:rPr>
                <w:rFonts w:cs="Calibri"/>
              </w:rPr>
              <w:t xml:space="preserve">’s </w:t>
            </w:r>
            <w:r w:rsidR="00AE4817" w:rsidRPr="00470415">
              <w:rPr>
                <w:rFonts w:cs="Calibri"/>
              </w:rPr>
              <w:t xml:space="preserve">maturity analysis for financial liabilities as well as the </w:t>
            </w:r>
            <w:r w:rsidRPr="00470415">
              <w:rPr>
                <w:rFonts w:cs="Calibri"/>
              </w:rPr>
              <w:t>exposure to interest rates, including the weighted average interest rates by maturity period as at 30 June</w:t>
            </w:r>
            <w:r w:rsidR="00615F4A" w:rsidRPr="00470415">
              <w:rPr>
                <w:rFonts w:cs="Calibri"/>
              </w:rPr>
              <w:t xml:space="preserve"> </w:t>
            </w:r>
            <w:r w:rsidR="005E3DFA" w:rsidRPr="00470415">
              <w:rPr>
                <w:rFonts w:cs="Calibri"/>
              </w:rPr>
              <w:t>2021</w:t>
            </w:r>
            <w:r w:rsidRPr="00470415">
              <w:rPr>
                <w:rFonts w:cs="Calibri"/>
              </w:rPr>
              <w:t>.</w:t>
            </w:r>
            <w:r w:rsidR="00A0144A" w:rsidRPr="00470415">
              <w:rPr>
                <w:rFonts w:cs="Calibri"/>
              </w:rPr>
              <w:t xml:space="preserve"> </w:t>
            </w:r>
            <w:r w:rsidR="0048448D" w:rsidRPr="00470415">
              <w:rPr>
                <w:rFonts w:cs="Calibri"/>
              </w:rPr>
              <w:t xml:space="preserve">Except for non-current payables, </w:t>
            </w:r>
            <w:r w:rsidR="00A0144A" w:rsidRPr="00470415">
              <w:rPr>
                <w:rFonts w:cs="Calibri"/>
              </w:rPr>
              <w:t>financial liabilities</w:t>
            </w:r>
            <w:r w:rsidR="001604D1" w:rsidRPr="00470415">
              <w:rPr>
                <w:rFonts w:cs="Calibri"/>
              </w:rPr>
              <w:t>,</w:t>
            </w:r>
            <w:r w:rsidR="00A0144A" w:rsidRPr="00470415">
              <w:rPr>
                <w:rFonts w:cs="Calibri"/>
              </w:rPr>
              <w:t xml:space="preserve"> which have a floating interest rate or are non-interest bearing </w:t>
            </w:r>
            <w:r w:rsidR="00EB7E33" w:rsidRPr="00470415">
              <w:rPr>
                <w:rFonts w:cs="Calibri"/>
              </w:rPr>
              <w:t>wi</w:t>
            </w:r>
            <w:r w:rsidR="00A0144A" w:rsidRPr="00470415">
              <w:rPr>
                <w:rFonts w:cs="Calibri"/>
              </w:rPr>
              <w:t>ll mature in 1 year or less.</w:t>
            </w:r>
            <w:r w:rsidR="00FA7C77">
              <w:rPr>
                <w:rFonts w:cs="Calibri"/>
              </w:rPr>
              <w:t xml:space="preserve"> </w:t>
            </w:r>
            <w:r w:rsidR="00D97209" w:rsidRPr="00470415">
              <w:rPr>
                <w:rFonts w:cs="Calibri"/>
              </w:rPr>
              <w:t>All amounts appearing in the following maturity analysis are shown on an undiscounted cash flow basis.</w:t>
            </w:r>
          </w:p>
        </w:tc>
      </w:tr>
      <w:tr w:rsidR="00470415" w:rsidRPr="00470415" w14:paraId="657C4EAA"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449E4BC2" w14:textId="77777777" w:rsidR="000144FF" w:rsidRPr="00470415" w:rsidRDefault="000144FF">
            <w:pPr>
              <w:pStyle w:val="TableReference"/>
              <w:tabs>
                <w:tab w:val="left" w:pos="3306"/>
              </w:tabs>
              <w:spacing w:before="40"/>
              <w:rPr>
                <w:rFonts w:cs="Calibri"/>
                <w:color w:val="7030A0"/>
                <w:sz w:val="14"/>
              </w:rPr>
            </w:pPr>
          </w:p>
        </w:tc>
        <w:tc>
          <w:tcPr>
            <w:tcW w:w="14045" w:type="dxa"/>
            <w:gridSpan w:val="11"/>
            <w:tcBorders>
              <w:top w:val="nil"/>
              <w:left w:val="single" w:sz="2" w:space="0" w:color="auto"/>
              <w:bottom w:val="nil"/>
              <w:right w:val="nil"/>
            </w:tcBorders>
            <w:vAlign w:val="bottom"/>
          </w:tcPr>
          <w:p w14:paraId="07CD2E77" w14:textId="348708FD" w:rsidR="000144FF" w:rsidRPr="00470415" w:rsidRDefault="005E3DFA">
            <w:pPr>
              <w:pStyle w:val="CommentaryReference"/>
              <w:rPr>
                <w:rFonts w:cs="Calibri"/>
                <w:b/>
                <w:sz w:val="18"/>
                <w:szCs w:val="18"/>
              </w:rPr>
            </w:pPr>
            <w:r w:rsidRPr="00470415">
              <w:rPr>
                <w:rFonts w:cs="Calibri"/>
                <w:b/>
                <w:bCs/>
                <w:sz w:val="18"/>
                <w:szCs w:val="18"/>
              </w:rPr>
              <w:t>2021</w:t>
            </w:r>
          </w:p>
        </w:tc>
      </w:tr>
      <w:tr w:rsidR="00470415" w:rsidRPr="00470415" w14:paraId="2C027FA1" w14:textId="77777777" w:rsidTr="0004564D">
        <w:trPr>
          <w:gridAfter w:val="1"/>
          <w:wAfter w:w="61" w:type="dxa"/>
          <w:cantSplit/>
          <w:trHeight w:val="23"/>
        </w:trPr>
        <w:tc>
          <w:tcPr>
            <w:tcW w:w="1563" w:type="dxa"/>
            <w:tcBorders>
              <w:top w:val="nil"/>
              <w:left w:val="single" w:sz="2" w:space="0" w:color="auto"/>
              <w:bottom w:val="nil"/>
              <w:right w:val="single" w:sz="2" w:space="0" w:color="auto"/>
            </w:tcBorders>
          </w:tcPr>
          <w:p w14:paraId="017FCD3D" w14:textId="77777777" w:rsidR="00810B4A" w:rsidRPr="00470415" w:rsidRDefault="00810B4A">
            <w:pPr>
              <w:pStyle w:val="TableReference"/>
              <w:tabs>
                <w:tab w:val="left" w:pos="3306"/>
              </w:tabs>
              <w:spacing w:before="40"/>
              <w:rPr>
                <w:rFonts w:cs="Calibri"/>
                <w:color w:val="7030A0"/>
                <w:sz w:val="14"/>
              </w:rPr>
            </w:pPr>
          </w:p>
        </w:tc>
        <w:tc>
          <w:tcPr>
            <w:tcW w:w="14045" w:type="dxa"/>
            <w:gridSpan w:val="11"/>
            <w:tcBorders>
              <w:top w:val="nil"/>
              <w:left w:val="single" w:sz="2" w:space="0" w:color="auto"/>
              <w:bottom w:val="nil"/>
              <w:right w:val="nil"/>
            </w:tcBorders>
            <w:vAlign w:val="bottom"/>
          </w:tcPr>
          <w:p w14:paraId="1EF1597B" w14:textId="77777777" w:rsidR="00810B4A" w:rsidRPr="00470415" w:rsidRDefault="00810B4A">
            <w:pPr>
              <w:pStyle w:val="CommentaryReference"/>
              <w:rPr>
                <w:rFonts w:cs="Calibri"/>
                <w:b/>
                <w:bCs/>
                <w:sz w:val="18"/>
                <w:szCs w:val="18"/>
              </w:rPr>
            </w:pPr>
          </w:p>
        </w:tc>
      </w:tr>
      <w:tr w:rsidR="00470415" w:rsidRPr="00470415" w14:paraId="3D176D6D" w14:textId="77777777" w:rsidTr="0004564D">
        <w:trPr>
          <w:gridAfter w:val="1"/>
          <w:wAfter w:w="61" w:type="dxa"/>
          <w:cantSplit/>
          <w:trHeight w:val="204"/>
        </w:trPr>
        <w:tc>
          <w:tcPr>
            <w:tcW w:w="1563" w:type="dxa"/>
            <w:tcBorders>
              <w:top w:val="nil"/>
              <w:left w:val="single" w:sz="2" w:space="0" w:color="auto"/>
              <w:bottom w:val="nil"/>
              <w:right w:val="single" w:sz="2" w:space="0" w:color="auto"/>
            </w:tcBorders>
          </w:tcPr>
          <w:p w14:paraId="6CE2BBE0" w14:textId="77777777" w:rsidR="000144FF" w:rsidRPr="00470415" w:rsidRDefault="000144FF">
            <w:pPr>
              <w:pStyle w:val="TableReference"/>
              <w:tabs>
                <w:tab w:val="left" w:pos="3306"/>
              </w:tabs>
              <w:spacing w:before="40"/>
              <w:rPr>
                <w:rFonts w:cs="Calibri"/>
                <w:color w:val="7030A0"/>
                <w:sz w:val="14"/>
              </w:rPr>
            </w:pPr>
          </w:p>
        </w:tc>
        <w:tc>
          <w:tcPr>
            <w:tcW w:w="6987" w:type="dxa"/>
            <w:gridSpan w:val="5"/>
            <w:tcBorders>
              <w:top w:val="nil"/>
              <w:left w:val="single" w:sz="2" w:space="0" w:color="auto"/>
              <w:bottom w:val="nil"/>
              <w:right w:val="nil"/>
            </w:tcBorders>
            <w:vAlign w:val="bottom"/>
          </w:tcPr>
          <w:p w14:paraId="514E84B3" w14:textId="77777777" w:rsidR="000144FF" w:rsidRPr="004E2AC4" w:rsidRDefault="000144FF">
            <w:pPr>
              <w:pStyle w:val="TableTitle"/>
              <w:tabs>
                <w:tab w:val="left" w:pos="3306"/>
              </w:tabs>
              <w:rPr>
                <w:rFonts w:cs="Calibri"/>
                <w:b w:val="0"/>
                <w:bCs w:val="0"/>
              </w:rPr>
            </w:pPr>
          </w:p>
        </w:tc>
        <w:tc>
          <w:tcPr>
            <w:tcW w:w="4389" w:type="dxa"/>
            <w:gridSpan w:val="4"/>
            <w:tcBorders>
              <w:top w:val="nil"/>
              <w:left w:val="nil"/>
              <w:bottom w:val="single" w:sz="4" w:space="0" w:color="auto"/>
              <w:right w:val="nil"/>
            </w:tcBorders>
            <w:vAlign w:val="bottom"/>
          </w:tcPr>
          <w:p w14:paraId="4C459879" w14:textId="77777777" w:rsidR="000144FF" w:rsidRPr="00470415" w:rsidRDefault="000144FF" w:rsidP="000B294B">
            <w:pPr>
              <w:pStyle w:val="TableTitle"/>
              <w:ind w:left="504"/>
              <w:jc w:val="center"/>
              <w:rPr>
                <w:rFonts w:cs="Calibri"/>
              </w:rPr>
            </w:pPr>
            <w:r w:rsidRPr="00470415">
              <w:rPr>
                <w:rFonts w:cs="Calibri"/>
              </w:rPr>
              <w:t>Fixed Interest Maturing In:</w:t>
            </w:r>
          </w:p>
        </w:tc>
        <w:tc>
          <w:tcPr>
            <w:tcW w:w="2669" w:type="dxa"/>
            <w:gridSpan w:val="2"/>
            <w:tcBorders>
              <w:top w:val="nil"/>
              <w:left w:val="nil"/>
              <w:bottom w:val="nil"/>
              <w:right w:val="nil"/>
            </w:tcBorders>
            <w:vAlign w:val="bottom"/>
          </w:tcPr>
          <w:p w14:paraId="24F744CF" w14:textId="77777777" w:rsidR="000144FF" w:rsidRPr="00470415" w:rsidRDefault="000144FF">
            <w:pPr>
              <w:pStyle w:val="TableTitle"/>
              <w:tabs>
                <w:tab w:val="left" w:pos="3306"/>
              </w:tabs>
              <w:rPr>
                <w:rFonts w:cs="Calibri"/>
                <w:b w:val="0"/>
                <w:bCs w:val="0"/>
              </w:rPr>
            </w:pPr>
          </w:p>
        </w:tc>
      </w:tr>
      <w:tr w:rsidR="005A6741" w:rsidRPr="00CF7E1B" w14:paraId="7EBFE021"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46CDB93A" w14:textId="77777777" w:rsidR="005A6741" w:rsidRPr="00470415" w:rsidRDefault="005A6741">
            <w:pPr>
              <w:pStyle w:val="TableReference"/>
              <w:tabs>
                <w:tab w:val="left" w:pos="3306"/>
              </w:tabs>
              <w:spacing w:before="40"/>
              <w:rPr>
                <w:rFonts w:cs="Calibri"/>
                <w:color w:val="7030A0"/>
                <w:sz w:val="14"/>
              </w:rPr>
            </w:pPr>
            <w:r w:rsidRPr="00470415">
              <w:rPr>
                <w:rFonts w:cs="Calibri"/>
                <w:color w:val="7030A0"/>
                <w:sz w:val="14"/>
              </w:rPr>
              <w:t>AASB 7.B11</w:t>
            </w:r>
          </w:p>
        </w:tc>
        <w:tc>
          <w:tcPr>
            <w:tcW w:w="3909" w:type="dxa"/>
            <w:tcBorders>
              <w:top w:val="nil"/>
              <w:left w:val="single" w:sz="2" w:space="0" w:color="auto"/>
              <w:bottom w:val="nil"/>
              <w:right w:val="nil"/>
            </w:tcBorders>
            <w:vAlign w:val="bottom"/>
          </w:tcPr>
          <w:p w14:paraId="5D47BC9C" w14:textId="77777777" w:rsidR="005A6741" w:rsidRPr="00470415" w:rsidRDefault="005A6741" w:rsidP="000D7B08">
            <w:pPr>
              <w:pStyle w:val="TableTitle"/>
              <w:tabs>
                <w:tab w:val="left" w:pos="3306"/>
              </w:tabs>
              <w:jc w:val="left"/>
              <w:rPr>
                <w:rFonts w:cs="Calibri"/>
                <w:b w:val="0"/>
                <w:bCs w:val="0"/>
              </w:rPr>
            </w:pPr>
          </w:p>
        </w:tc>
        <w:tc>
          <w:tcPr>
            <w:tcW w:w="627" w:type="dxa"/>
            <w:tcBorders>
              <w:top w:val="nil"/>
              <w:left w:val="nil"/>
              <w:bottom w:val="nil"/>
              <w:right w:val="nil"/>
            </w:tcBorders>
            <w:vAlign w:val="bottom"/>
          </w:tcPr>
          <w:p w14:paraId="241BA502" w14:textId="77777777" w:rsidR="005A6741" w:rsidRPr="00470415" w:rsidRDefault="005A6741">
            <w:pPr>
              <w:pStyle w:val="TableTitle"/>
              <w:tabs>
                <w:tab w:val="left" w:pos="3306"/>
              </w:tabs>
              <w:jc w:val="center"/>
              <w:rPr>
                <w:rFonts w:cs="Calibri"/>
              </w:rPr>
            </w:pPr>
            <w:r w:rsidRPr="00470415">
              <w:rPr>
                <w:rFonts w:cs="Calibri"/>
              </w:rPr>
              <w:t>Note</w:t>
            </w:r>
          </w:p>
        </w:tc>
        <w:tc>
          <w:tcPr>
            <w:tcW w:w="961" w:type="dxa"/>
            <w:tcBorders>
              <w:top w:val="nil"/>
              <w:left w:val="nil"/>
              <w:bottom w:val="nil"/>
              <w:right w:val="nil"/>
            </w:tcBorders>
          </w:tcPr>
          <w:p w14:paraId="53960CA0" w14:textId="77777777" w:rsidR="005A6741" w:rsidRPr="00470415" w:rsidRDefault="005A6741" w:rsidP="002F567C">
            <w:pPr>
              <w:pStyle w:val="TableTitle"/>
              <w:tabs>
                <w:tab w:val="left" w:pos="3306"/>
              </w:tabs>
              <w:jc w:val="center"/>
              <w:rPr>
                <w:rFonts w:cs="Calibri"/>
              </w:rPr>
            </w:pPr>
            <w:r w:rsidRPr="00470415">
              <w:rPr>
                <w:rFonts w:cs="Calibri"/>
              </w:rPr>
              <w:t>Weighted Average Interest Rate</w:t>
            </w:r>
          </w:p>
        </w:tc>
        <w:tc>
          <w:tcPr>
            <w:tcW w:w="1484" w:type="dxa"/>
            <w:tcBorders>
              <w:top w:val="nil"/>
              <w:left w:val="nil"/>
              <w:bottom w:val="nil"/>
              <w:right w:val="nil"/>
            </w:tcBorders>
            <w:vAlign w:val="bottom"/>
          </w:tcPr>
          <w:p w14:paraId="3E6F3A3B" w14:textId="77777777" w:rsidR="005A6741" w:rsidRPr="00470415" w:rsidRDefault="005A6741" w:rsidP="00DB02DF">
            <w:pPr>
              <w:pStyle w:val="TableTitle"/>
              <w:tabs>
                <w:tab w:val="left" w:pos="3306"/>
              </w:tabs>
              <w:rPr>
                <w:rFonts w:cs="Calibri"/>
              </w:rPr>
            </w:pPr>
            <w:r w:rsidRPr="00470415">
              <w:rPr>
                <w:rFonts w:cs="Calibri"/>
              </w:rPr>
              <w:t>Floating Interest Rate</w:t>
            </w:r>
          </w:p>
        </w:tc>
        <w:tc>
          <w:tcPr>
            <w:tcW w:w="1482" w:type="dxa"/>
            <w:gridSpan w:val="2"/>
            <w:tcBorders>
              <w:top w:val="single" w:sz="2" w:space="0" w:color="auto"/>
              <w:left w:val="nil"/>
              <w:bottom w:val="nil"/>
              <w:right w:val="nil"/>
            </w:tcBorders>
            <w:vAlign w:val="bottom"/>
          </w:tcPr>
          <w:p w14:paraId="4C19B6AF" w14:textId="77777777" w:rsidR="005A6741" w:rsidRPr="00470415" w:rsidRDefault="005A6741" w:rsidP="00DB02DF">
            <w:pPr>
              <w:pStyle w:val="TableTitle"/>
              <w:tabs>
                <w:tab w:val="left" w:pos="3306"/>
              </w:tabs>
              <w:rPr>
                <w:rFonts w:cs="Calibri"/>
              </w:rPr>
            </w:pPr>
            <w:r w:rsidRPr="00470415">
              <w:rPr>
                <w:rFonts w:cs="Calibri"/>
              </w:rPr>
              <w:t>1 Year or Less</w:t>
            </w:r>
          </w:p>
        </w:tc>
        <w:tc>
          <w:tcPr>
            <w:tcW w:w="1539" w:type="dxa"/>
            <w:tcBorders>
              <w:top w:val="single" w:sz="2" w:space="0" w:color="auto"/>
              <w:left w:val="nil"/>
              <w:bottom w:val="nil"/>
              <w:right w:val="nil"/>
            </w:tcBorders>
            <w:vAlign w:val="bottom"/>
          </w:tcPr>
          <w:p w14:paraId="11823BD5" w14:textId="77777777" w:rsidR="005A6741" w:rsidRPr="00470415" w:rsidRDefault="005A6741" w:rsidP="00DB02DF">
            <w:pPr>
              <w:pStyle w:val="TableTitle"/>
              <w:tabs>
                <w:tab w:val="left" w:pos="3306"/>
              </w:tabs>
              <w:rPr>
                <w:rFonts w:cs="Calibri"/>
              </w:rPr>
            </w:pPr>
            <w:r w:rsidRPr="00470415">
              <w:rPr>
                <w:rFonts w:cs="Calibri"/>
              </w:rPr>
              <w:t>Over 1 Year to 5 Years</w:t>
            </w:r>
          </w:p>
        </w:tc>
        <w:tc>
          <w:tcPr>
            <w:tcW w:w="1368" w:type="dxa"/>
            <w:tcBorders>
              <w:top w:val="single" w:sz="2" w:space="0" w:color="auto"/>
              <w:left w:val="nil"/>
              <w:bottom w:val="nil"/>
              <w:right w:val="nil"/>
            </w:tcBorders>
            <w:vAlign w:val="bottom"/>
          </w:tcPr>
          <w:p w14:paraId="4C3E0F34" w14:textId="77777777" w:rsidR="005A6741" w:rsidRPr="00470415" w:rsidRDefault="005A6741" w:rsidP="00DB02DF">
            <w:pPr>
              <w:pStyle w:val="TableTitle"/>
              <w:tabs>
                <w:tab w:val="left" w:pos="3306"/>
              </w:tabs>
              <w:rPr>
                <w:rFonts w:cs="Calibri"/>
              </w:rPr>
            </w:pPr>
            <w:r w:rsidRPr="00470415">
              <w:rPr>
                <w:rFonts w:cs="Calibri"/>
              </w:rPr>
              <w:t>Over 5 Years</w:t>
            </w:r>
          </w:p>
        </w:tc>
        <w:tc>
          <w:tcPr>
            <w:tcW w:w="1425" w:type="dxa"/>
            <w:gridSpan w:val="2"/>
            <w:tcBorders>
              <w:top w:val="nil"/>
              <w:left w:val="nil"/>
              <w:bottom w:val="nil"/>
              <w:right w:val="nil"/>
            </w:tcBorders>
            <w:vAlign w:val="bottom"/>
          </w:tcPr>
          <w:p w14:paraId="03DA19E8" w14:textId="77777777" w:rsidR="005A6741" w:rsidRPr="00470415" w:rsidRDefault="005A6741" w:rsidP="00DB02DF">
            <w:pPr>
              <w:pStyle w:val="TableTitle"/>
              <w:tabs>
                <w:tab w:val="left" w:pos="3306"/>
              </w:tabs>
              <w:rPr>
                <w:rFonts w:cs="Calibri"/>
              </w:rPr>
            </w:pPr>
            <w:r w:rsidRPr="00470415">
              <w:rPr>
                <w:rFonts w:cs="Calibri"/>
              </w:rPr>
              <w:t>Non-Interest Bearing</w:t>
            </w:r>
          </w:p>
        </w:tc>
        <w:tc>
          <w:tcPr>
            <w:tcW w:w="1311" w:type="dxa"/>
            <w:gridSpan w:val="2"/>
            <w:tcBorders>
              <w:top w:val="nil"/>
              <w:left w:val="nil"/>
              <w:bottom w:val="nil"/>
              <w:right w:val="nil"/>
            </w:tcBorders>
            <w:vAlign w:val="bottom"/>
          </w:tcPr>
          <w:p w14:paraId="61208EDA" w14:textId="77777777" w:rsidR="005A6741" w:rsidRPr="00470415" w:rsidRDefault="005A6741">
            <w:pPr>
              <w:pStyle w:val="TableTitle"/>
              <w:tabs>
                <w:tab w:val="left" w:pos="3306"/>
              </w:tabs>
              <w:rPr>
                <w:rFonts w:cs="Calibri"/>
                <w:b w:val="0"/>
                <w:bCs w:val="0"/>
              </w:rPr>
            </w:pPr>
          </w:p>
          <w:p w14:paraId="39153C87" w14:textId="77777777" w:rsidR="005A6741" w:rsidRPr="00470415" w:rsidRDefault="005A6741">
            <w:pPr>
              <w:pStyle w:val="TableTitle"/>
              <w:tabs>
                <w:tab w:val="left" w:pos="3306"/>
              </w:tabs>
              <w:rPr>
                <w:rFonts w:cs="Calibri"/>
              </w:rPr>
            </w:pPr>
            <w:r w:rsidRPr="00470415">
              <w:rPr>
                <w:rFonts w:cs="Calibri"/>
              </w:rPr>
              <w:t>Total</w:t>
            </w:r>
          </w:p>
        </w:tc>
      </w:tr>
      <w:tr w:rsidR="005A6741" w:rsidRPr="00CF7E1B" w14:paraId="59554CD7"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22065112"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6760D569" w14:textId="77777777" w:rsidR="005A6741" w:rsidRPr="00470415" w:rsidRDefault="005A6741">
            <w:pPr>
              <w:pStyle w:val="TableTitle"/>
              <w:tabs>
                <w:tab w:val="left" w:pos="3306"/>
              </w:tabs>
              <w:rPr>
                <w:rFonts w:cs="Calibri"/>
                <w:b w:val="0"/>
                <w:bCs w:val="0"/>
              </w:rPr>
            </w:pPr>
          </w:p>
        </w:tc>
        <w:tc>
          <w:tcPr>
            <w:tcW w:w="627" w:type="dxa"/>
            <w:tcBorders>
              <w:top w:val="nil"/>
              <w:left w:val="nil"/>
              <w:bottom w:val="nil"/>
              <w:right w:val="nil"/>
            </w:tcBorders>
            <w:vAlign w:val="bottom"/>
          </w:tcPr>
          <w:p w14:paraId="08E80DFD" w14:textId="77777777" w:rsidR="005A6741" w:rsidRPr="00470415" w:rsidRDefault="009770A4">
            <w:pPr>
              <w:pStyle w:val="TableTitle"/>
              <w:tabs>
                <w:tab w:val="left" w:pos="3306"/>
              </w:tabs>
              <w:jc w:val="center"/>
              <w:rPr>
                <w:rFonts w:cs="Calibri"/>
                <w:bCs w:val="0"/>
              </w:rPr>
            </w:pPr>
            <w:r w:rsidRPr="00470415">
              <w:rPr>
                <w:rFonts w:cs="Calibri"/>
                <w:bCs w:val="0"/>
              </w:rPr>
              <w:t>No.</w:t>
            </w:r>
          </w:p>
        </w:tc>
        <w:tc>
          <w:tcPr>
            <w:tcW w:w="961" w:type="dxa"/>
            <w:tcBorders>
              <w:top w:val="nil"/>
              <w:left w:val="nil"/>
              <w:bottom w:val="nil"/>
              <w:right w:val="nil"/>
            </w:tcBorders>
          </w:tcPr>
          <w:p w14:paraId="496D6B84" w14:textId="223BBB65" w:rsidR="005A6741" w:rsidRPr="00470415" w:rsidRDefault="00372554" w:rsidP="00372554">
            <w:pPr>
              <w:pStyle w:val="TableTitle"/>
              <w:tabs>
                <w:tab w:val="left" w:pos="3306"/>
              </w:tabs>
              <w:jc w:val="center"/>
              <w:rPr>
                <w:rFonts w:cs="Calibri"/>
              </w:rPr>
            </w:pPr>
            <w:r w:rsidRPr="00470415">
              <w:rPr>
                <w:rFonts w:cs="Calibri"/>
              </w:rPr>
              <w:t>%</w:t>
            </w:r>
          </w:p>
        </w:tc>
        <w:tc>
          <w:tcPr>
            <w:tcW w:w="1484" w:type="dxa"/>
            <w:tcBorders>
              <w:top w:val="nil"/>
              <w:left w:val="nil"/>
              <w:bottom w:val="nil"/>
              <w:right w:val="nil"/>
            </w:tcBorders>
            <w:vAlign w:val="bottom"/>
          </w:tcPr>
          <w:p w14:paraId="05C2812C" w14:textId="77777777" w:rsidR="005A6741" w:rsidRPr="00470415" w:rsidRDefault="005A6741">
            <w:pPr>
              <w:pStyle w:val="TableTitle"/>
              <w:tabs>
                <w:tab w:val="left" w:pos="3306"/>
              </w:tabs>
              <w:rPr>
                <w:rFonts w:cs="Calibri"/>
              </w:rPr>
            </w:pPr>
            <w:bookmarkStart w:id="669" w:name="_Toc48468677"/>
            <w:bookmarkStart w:id="670" w:name="_Toc49155776"/>
            <w:bookmarkStart w:id="671" w:name="_Toc49224193"/>
            <w:r w:rsidRPr="00470415">
              <w:rPr>
                <w:rFonts w:cs="Calibri"/>
              </w:rPr>
              <w:t>$’000</w:t>
            </w:r>
            <w:bookmarkEnd w:id="669"/>
            <w:bookmarkEnd w:id="670"/>
            <w:bookmarkEnd w:id="671"/>
          </w:p>
        </w:tc>
        <w:tc>
          <w:tcPr>
            <w:tcW w:w="1482" w:type="dxa"/>
            <w:gridSpan w:val="2"/>
            <w:tcBorders>
              <w:top w:val="nil"/>
              <w:left w:val="nil"/>
              <w:bottom w:val="nil"/>
              <w:right w:val="nil"/>
            </w:tcBorders>
          </w:tcPr>
          <w:p w14:paraId="11E21CC6" w14:textId="77777777" w:rsidR="005A6741" w:rsidRPr="00470415" w:rsidRDefault="005A6741">
            <w:pPr>
              <w:pStyle w:val="TableTitle"/>
              <w:tabs>
                <w:tab w:val="left" w:pos="3306"/>
              </w:tabs>
              <w:rPr>
                <w:rFonts w:cs="Calibri"/>
              </w:rPr>
            </w:pPr>
            <w:r w:rsidRPr="00470415">
              <w:rPr>
                <w:rFonts w:cs="Calibri"/>
              </w:rPr>
              <w:t>$’000</w:t>
            </w:r>
          </w:p>
        </w:tc>
        <w:tc>
          <w:tcPr>
            <w:tcW w:w="1539" w:type="dxa"/>
            <w:tcBorders>
              <w:top w:val="nil"/>
              <w:left w:val="nil"/>
              <w:bottom w:val="nil"/>
              <w:right w:val="nil"/>
            </w:tcBorders>
            <w:vAlign w:val="bottom"/>
          </w:tcPr>
          <w:p w14:paraId="2A769CB7" w14:textId="77777777" w:rsidR="005A6741" w:rsidRPr="00470415" w:rsidRDefault="005A6741">
            <w:pPr>
              <w:pStyle w:val="TableTitle"/>
              <w:tabs>
                <w:tab w:val="left" w:pos="3306"/>
              </w:tabs>
              <w:rPr>
                <w:rFonts w:cs="Calibri"/>
              </w:rPr>
            </w:pPr>
            <w:bookmarkStart w:id="672" w:name="_Toc48468679"/>
            <w:bookmarkStart w:id="673" w:name="_Toc49155778"/>
            <w:bookmarkStart w:id="674" w:name="_Toc49224195"/>
            <w:r w:rsidRPr="00470415">
              <w:rPr>
                <w:rFonts w:cs="Calibri"/>
              </w:rPr>
              <w:t>$’000</w:t>
            </w:r>
            <w:bookmarkEnd w:id="672"/>
            <w:bookmarkEnd w:id="673"/>
            <w:bookmarkEnd w:id="674"/>
          </w:p>
        </w:tc>
        <w:tc>
          <w:tcPr>
            <w:tcW w:w="1368" w:type="dxa"/>
            <w:tcBorders>
              <w:top w:val="nil"/>
              <w:left w:val="nil"/>
              <w:bottom w:val="nil"/>
              <w:right w:val="nil"/>
            </w:tcBorders>
            <w:vAlign w:val="bottom"/>
          </w:tcPr>
          <w:p w14:paraId="2366E895" w14:textId="77777777" w:rsidR="005A6741" w:rsidRPr="00470415" w:rsidRDefault="005A6741">
            <w:pPr>
              <w:pStyle w:val="TableTitle"/>
              <w:tabs>
                <w:tab w:val="left" w:pos="3306"/>
              </w:tabs>
              <w:rPr>
                <w:rFonts w:cs="Calibri"/>
              </w:rPr>
            </w:pPr>
            <w:bookmarkStart w:id="675" w:name="_Toc48468680"/>
            <w:bookmarkStart w:id="676" w:name="_Toc49155779"/>
            <w:bookmarkStart w:id="677" w:name="_Toc49224196"/>
            <w:r w:rsidRPr="00470415">
              <w:rPr>
                <w:rFonts w:cs="Calibri"/>
              </w:rPr>
              <w:t>$’000</w:t>
            </w:r>
            <w:bookmarkEnd w:id="675"/>
            <w:bookmarkEnd w:id="676"/>
            <w:bookmarkEnd w:id="677"/>
          </w:p>
        </w:tc>
        <w:tc>
          <w:tcPr>
            <w:tcW w:w="1425" w:type="dxa"/>
            <w:gridSpan w:val="2"/>
            <w:tcBorders>
              <w:top w:val="nil"/>
              <w:left w:val="nil"/>
              <w:bottom w:val="nil"/>
              <w:right w:val="nil"/>
            </w:tcBorders>
            <w:vAlign w:val="bottom"/>
          </w:tcPr>
          <w:p w14:paraId="3DF55646" w14:textId="77777777" w:rsidR="005A6741" w:rsidRPr="00470415" w:rsidRDefault="005A6741">
            <w:pPr>
              <w:pStyle w:val="TableTitle"/>
              <w:tabs>
                <w:tab w:val="left" w:pos="3306"/>
              </w:tabs>
              <w:rPr>
                <w:rFonts w:cs="Calibri"/>
              </w:rPr>
            </w:pPr>
            <w:bookmarkStart w:id="678" w:name="_Toc48468681"/>
            <w:bookmarkStart w:id="679" w:name="_Toc49155780"/>
            <w:bookmarkStart w:id="680" w:name="_Toc49224197"/>
            <w:r w:rsidRPr="00470415">
              <w:rPr>
                <w:rFonts w:cs="Calibri"/>
              </w:rPr>
              <w:t>$’000</w:t>
            </w:r>
            <w:bookmarkEnd w:id="678"/>
            <w:bookmarkEnd w:id="679"/>
            <w:bookmarkEnd w:id="680"/>
          </w:p>
        </w:tc>
        <w:tc>
          <w:tcPr>
            <w:tcW w:w="1311" w:type="dxa"/>
            <w:gridSpan w:val="2"/>
            <w:tcBorders>
              <w:top w:val="nil"/>
              <w:left w:val="nil"/>
              <w:bottom w:val="nil"/>
              <w:right w:val="nil"/>
            </w:tcBorders>
            <w:vAlign w:val="bottom"/>
          </w:tcPr>
          <w:p w14:paraId="07FB9379" w14:textId="77777777" w:rsidR="005A6741" w:rsidRPr="00470415" w:rsidRDefault="005A6741">
            <w:pPr>
              <w:pStyle w:val="TableTitle"/>
              <w:tabs>
                <w:tab w:val="left" w:pos="3306"/>
              </w:tabs>
              <w:rPr>
                <w:rFonts w:cs="Calibri"/>
              </w:rPr>
            </w:pPr>
            <w:bookmarkStart w:id="681" w:name="_Toc48468682"/>
            <w:bookmarkStart w:id="682" w:name="_Toc49155781"/>
            <w:bookmarkStart w:id="683" w:name="_Toc49224198"/>
            <w:r w:rsidRPr="00470415">
              <w:rPr>
                <w:rFonts w:cs="Calibri"/>
              </w:rPr>
              <w:t>$’000</w:t>
            </w:r>
            <w:bookmarkEnd w:id="681"/>
            <w:bookmarkEnd w:id="682"/>
            <w:bookmarkEnd w:id="683"/>
          </w:p>
        </w:tc>
      </w:tr>
      <w:tr w:rsidR="005A6741" w:rsidRPr="00CF7E1B" w14:paraId="3B45DEA5"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70B1BCEA"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6DA95DCF" w14:textId="77777777" w:rsidR="005A6741" w:rsidRPr="00470415" w:rsidRDefault="005A6741">
            <w:pPr>
              <w:pStyle w:val="TableTitle"/>
              <w:tabs>
                <w:tab w:val="left" w:pos="3306"/>
              </w:tabs>
              <w:spacing w:before="40"/>
              <w:jc w:val="left"/>
              <w:rPr>
                <w:rFonts w:cs="Calibri"/>
              </w:rPr>
            </w:pPr>
            <w:bookmarkStart w:id="684" w:name="_Toc48468684"/>
            <w:bookmarkStart w:id="685" w:name="_Toc49155783"/>
            <w:bookmarkStart w:id="686" w:name="_Toc49224200"/>
            <w:r w:rsidRPr="00470415">
              <w:rPr>
                <w:rFonts w:cs="Calibri"/>
              </w:rPr>
              <w:t>Financial Liabilities</w:t>
            </w:r>
            <w:bookmarkEnd w:id="684"/>
            <w:bookmarkEnd w:id="685"/>
            <w:bookmarkEnd w:id="686"/>
          </w:p>
        </w:tc>
        <w:tc>
          <w:tcPr>
            <w:tcW w:w="627" w:type="dxa"/>
            <w:tcBorders>
              <w:top w:val="nil"/>
              <w:left w:val="nil"/>
              <w:bottom w:val="nil"/>
              <w:right w:val="nil"/>
            </w:tcBorders>
            <w:vAlign w:val="bottom"/>
          </w:tcPr>
          <w:p w14:paraId="1580B155" w14:textId="77777777" w:rsidR="005A6741" w:rsidRPr="00470415" w:rsidRDefault="005A6741">
            <w:pPr>
              <w:pStyle w:val="TableTitle"/>
              <w:tabs>
                <w:tab w:val="left" w:pos="3306"/>
              </w:tabs>
              <w:jc w:val="center"/>
              <w:rPr>
                <w:rFonts w:cs="Calibri"/>
                <w:b w:val="0"/>
                <w:bCs w:val="0"/>
                <w:strike/>
              </w:rPr>
            </w:pPr>
          </w:p>
        </w:tc>
        <w:tc>
          <w:tcPr>
            <w:tcW w:w="961" w:type="dxa"/>
            <w:tcBorders>
              <w:top w:val="nil"/>
              <w:left w:val="nil"/>
              <w:bottom w:val="nil"/>
              <w:right w:val="nil"/>
            </w:tcBorders>
          </w:tcPr>
          <w:p w14:paraId="051FC959" w14:textId="77777777" w:rsidR="005A6741" w:rsidRPr="00470415" w:rsidRDefault="005A6741">
            <w:pPr>
              <w:pStyle w:val="TableTitle"/>
              <w:tabs>
                <w:tab w:val="left" w:pos="3306"/>
              </w:tabs>
              <w:rPr>
                <w:rFonts w:cs="Calibri"/>
                <w:b w:val="0"/>
                <w:bCs w:val="0"/>
              </w:rPr>
            </w:pPr>
          </w:p>
        </w:tc>
        <w:tc>
          <w:tcPr>
            <w:tcW w:w="1484" w:type="dxa"/>
            <w:tcBorders>
              <w:top w:val="nil"/>
              <w:left w:val="nil"/>
              <w:bottom w:val="nil"/>
              <w:right w:val="nil"/>
            </w:tcBorders>
            <w:vAlign w:val="bottom"/>
          </w:tcPr>
          <w:p w14:paraId="2F7C090A" w14:textId="77777777" w:rsidR="005A6741" w:rsidRPr="00470415" w:rsidRDefault="005A6741">
            <w:pPr>
              <w:pStyle w:val="TableTitle"/>
              <w:tabs>
                <w:tab w:val="left" w:pos="3306"/>
              </w:tabs>
              <w:rPr>
                <w:rFonts w:cs="Calibri"/>
                <w:b w:val="0"/>
                <w:bCs w:val="0"/>
              </w:rPr>
            </w:pPr>
          </w:p>
        </w:tc>
        <w:tc>
          <w:tcPr>
            <w:tcW w:w="1482" w:type="dxa"/>
            <w:gridSpan w:val="2"/>
            <w:tcBorders>
              <w:top w:val="nil"/>
              <w:left w:val="nil"/>
              <w:bottom w:val="nil"/>
              <w:right w:val="nil"/>
            </w:tcBorders>
          </w:tcPr>
          <w:p w14:paraId="447396D4" w14:textId="77777777" w:rsidR="005A6741" w:rsidRPr="00470415" w:rsidRDefault="005A6741">
            <w:pPr>
              <w:pStyle w:val="TableTitle"/>
              <w:tabs>
                <w:tab w:val="left" w:pos="3306"/>
              </w:tabs>
              <w:rPr>
                <w:rFonts w:cs="Calibri"/>
                <w:b w:val="0"/>
                <w:bCs w:val="0"/>
              </w:rPr>
            </w:pPr>
          </w:p>
        </w:tc>
        <w:tc>
          <w:tcPr>
            <w:tcW w:w="1539" w:type="dxa"/>
            <w:tcBorders>
              <w:top w:val="nil"/>
              <w:left w:val="nil"/>
              <w:bottom w:val="nil"/>
              <w:right w:val="nil"/>
            </w:tcBorders>
            <w:vAlign w:val="bottom"/>
          </w:tcPr>
          <w:p w14:paraId="216E26D3" w14:textId="77777777" w:rsidR="005A6741" w:rsidRPr="00470415" w:rsidRDefault="005A6741">
            <w:pPr>
              <w:pStyle w:val="TableTitle"/>
              <w:tabs>
                <w:tab w:val="left" w:pos="3306"/>
              </w:tabs>
              <w:rPr>
                <w:rFonts w:cs="Calibri"/>
                <w:b w:val="0"/>
                <w:bCs w:val="0"/>
              </w:rPr>
            </w:pPr>
          </w:p>
        </w:tc>
        <w:tc>
          <w:tcPr>
            <w:tcW w:w="1368" w:type="dxa"/>
            <w:tcBorders>
              <w:top w:val="nil"/>
              <w:left w:val="nil"/>
              <w:bottom w:val="nil"/>
              <w:right w:val="nil"/>
            </w:tcBorders>
            <w:vAlign w:val="bottom"/>
          </w:tcPr>
          <w:p w14:paraId="19D41E08" w14:textId="77777777" w:rsidR="005A6741" w:rsidRPr="00470415" w:rsidRDefault="005A6741">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7990E747" w14:textId="77777777" w:rsidR="005A6741" w:rsidRPr="00470415" w:rsidRDefault="005A6741">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47058ED8" w14:textId="77777777" w:rsidR="005A6741" w:rsidRPr="00470415" w:rsidRDefault="005A6741">
            <w:pPr>
              <w:pStyle w:val="TableTitle"/>
              <w:tabs>
                <w:tab w:val="left" w:pos="3306"/>
              </w:tabs>
              <w:rPr>
                <w:rFonts w:cs="Calibri"/>
                <w:b w:val="0"/>
                <w:bCs w:val="0"/>
              </w:rPr>
            </w:pPr>
          </w:p>
        </w:tc>
      </w:tr>
      <w:tr w:rsidR="005A6741" w:rsidRPr="00CF7E1B" w14:paraId="513332FF"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027B222F"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48DB0811" w14:textId="77777777" w:rsidR="005A6741" w:rsidRPr="00470415" w:rsidRDefault="005A6741">
            <w:pPr>
              <w:pStyle w:val="TableTitle"/>
              <w:tabs>
                <w:tab w:val="left" w:pos="3306"/>
              </w:tabs>
              <w:spacing w:before="40"/>
              <w:jc w:val="left"/>
              <w:rPr>
                <w:rFonts w:cs="Calibri"/>
                <w:b w:val="0"/>
                <w:bCs w:val="0"/>
              </w:rPr>
            </w:pPr>
            <w:r w:rsidRPr="00470415">
              <w:rPr>
                <w:rFonts w:cs="Calibri"/>
                <w:b w:val="0"/>
                <w:bCs w:val="0"/>
              </w:rPr>
              <w:t>Payables</w:t>
            </w:r>
          </w:p>
        </w:tc>
        <w:tc>
          <w:tcPr>
            <w:tcW w:w="627" w:type="dxa"/>
            <w:tcBorders>
              <w:top w:val="nil"/>
              <w:left w:val="nil"/>
              <w:bottom w:val="nil"/>
              <w:right w:val="nil"/>
            </w:tcBorders>
            <w:vAlign w:val="bottom"/>
          </w:tcPr>
          <w:p w14:paraId="15D1475A" w14:textId="4255A923" w:rsidR="005A6741" w:rsidRPr="00470415" w:rsidRDefault="00F06360" w:rsidP="006E1C8E">
            <w:pPr>
              <w:pStyle w:val="TableTitle"/>
              <w:tabs>
                <w:tab w:val="left" w:pos="3306"/>
              </w:tabs>
              <w:jc w:val="center"/>
              <w:rPr>
                <w:rFonts w:cs="Calibri"/>
                <w:b w:val="0"/>
                <w:bCs w:val="0"/>
                <w:strike/>
              </w:rPr>
            </w:pPr>
            <w:r w:rsidRPr="00470415">
              <w:rPr>
                <w:rFonts w:cs="Calibri"/>
                <w:b w:val="0"/>
                <w:bCs w:val="0"/>
              </w:rPr>
              <w:t>24</w:t>
            </w:r>
          </w:p>
        </w:tc>
        <w:tc>
          <w:tcPr>
            <w:tcW w:w="961" w:type="dxa"/>
            <w:tcBorders>
              <w:top w:val="nil"/>
              <w:left w:val="nil"/>
              <w:bottom w:val="nil"/>
              <w:right w:val="nil"/>
            </w:tcBorders>
          </w:tcPr>
          <w:p w14:paraId="18AB03A4" w14:textId="77777777" w:rsidR="005A6741" w:rsidRPr="00470415" w:rsidRDefault="005A6741">
            <w:pPr>
              <w:pStyle w:val="TableTitle"/>
              <w:tabs>
                <w:tab w:val="left" w:pos="3306"/>
              </w:tabs>
              <w:rPr>
                <w:rFonts w:cs="Calibri"/>
                <w:b w:val="0"/>
                <w:bCs w:val="0"/>
              </w:rPr>
            </w:pPr>
          </w:p>
        </w:tc>
        <w:tc>
          <w:tcPr>
            <w:tcW w:w="1484" w:type="dxa"/>
            <w:tcBorders>
              <w:top w:val="nil"/>
              <w:left w:val="nil"/>
              <w:bottom w:val="nil"/>
              <w:right w:val="nil"/>
            </w:tcBorders>
            <w:vAlign w:val="bottom"/>
          </w:tcPr>
          <w:p w14:paraId="73B76A0A" w14:textId="42F71D9B" w:rsidR="005A6741" w:rsidRPr="00470415" w:rsidRDefault="005A6741">
            <w:pPr>
              <w:pStyle w:val="TableTitle"/>
              <w:tabs>
                <w:tab w:val="left" w:pos="3306"/>
              </w:tabs>
              <w:rPr>
                <w:rFonts w:cs="Calibri"/>
                <w:b w:val="0"/>
                <w:bCs w:val="0"/>
              </w:rPr>
            </w:pPr>
          </w:p>
        </w:tc>
        <w:tc>
          <w:tcPr>
            <w:tcW w:w="1482" w:type="dxa"/>
            <w:gridSpan w:val="2"/>
            <w:tcBorders>
              <w:top w:val="nil"/>
              <w:left w:val="nil"/>
              <w:bottom w:val="nil"/>
              <w:right w:val="nil"/>
            </w:tcBorders>
          </w:tcPr>
          <w:p w14:paraId="5E6BFC10" w14:textId="3DC4D39E" w:rsidR="005A6741" w:rsidRPr="00470415" w:rsidRDefault="005A6741">
            <w:pPr>
              <w:pStyle w:val="TableTitle"/>
              <w:tabs>
                <w:tab w:val="left" w:pos="3306"/>
              </w:tabs>
              <w:rPr>
                <w:rFonts w:cs="Calibri"/>
                <w:b w:val="0"/>
                <w:bCs w:val="0"/>
              </w:rPr>
            </w:pPr>
          </w:p>
        </w:tc>
        <w:tc>
          <w:tcPr>
            <w:tcW w:w="1539" w:type="dxa"/>
            <w:tcBorders>
              <w:top w:val="nil"/>
              <w:left w:val="nil"/>
              <w:bottom w:val="nil"/>
              <w:right w:val="nil"/>
            </w:tcBorders>
            <w:vAlign w:val="bottom"/>
          </w:tcPr>
          <w:p w14:paraId="6FB1EA85" w14:textId="70EC8C07" w:rsidR="005A6741" w:rsidRPr="00470415" w:rsidRDefault="005A6741">
            <w:pPr>
              <w:pStyle w:val="TableTitle"/>
              <w:tabs>
                <w:tab w:val="left" w:pos="3306"/>
              </w:tabs>
              <w:rPr>
                <w:rFonts w:cs="Calibri"/>
                <w:b w:val="0"/>
                <w:bCs w:val="0"/>
              </w:rPr>
            </w:pPr>
          </w:p>
        </w:tc>
        <w:tc>
          <w:tcPr>
            <w:tcW w:w="1368" w:type="dxa"/>
            <w:tcBorders>
              <w:top w:val="nil"/>
              <w:left w:val="nil"/>
              <w:bottom w:val="nil"/>
              <w:right w:val="nil"/>
            </w:tcBorders>
            <w:vAlign w:val="bottom"/>
          </w:tcPr>
          <w:p w14:paraId="177EE20F" w14:textId="08A30467" w:rsidR="005A6741" w:rsidRPr="00470415" w:rsidRDefault="005A6741">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79B32918" w14:textId="563D4C40" w:rsidR="005A6741" w:rsidRPr="00470415" w:rsidRDefault="005A6741">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693C8124" w14:textId="781B9C04" w:rsidR="005A6741" w:rsidRPr="00470415" w:rsidRDefault="005A6741">
            <w:pPr>
              <w:pStyle w:val="TableTitle"/>
              <w:tabs>
                <w:tab w:val="left" w:pos="3306"/>
              </w:tabs>
              <w:rPr>
                <w:rFonts w:cs="Calibri"/>
                <w:b w:val="0"/>
                <w:bCs w:val="0"/>
              </w:rPr>
            </w:pPr>
          </w:p>
        </w:tc>
      </w:tr>
      <w:tr w:rsidR="00D12083" w:rsidRPr="00CF7E1B" w14:paraId="07FC2F57"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28ACC108" w14:textId="77777777" w:rsidR="00D12083" w:rsidRPr="00470415" w:rsidRDefault="00D12083">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06761179" w14:textId="0690E2EF" w:rsidR="00D12083" w:rsidRPr="00470415" w:rsidRDefault="00D12083">
            <w:pPr>
              <w:pStyle w:val="TableTitle"/>
              <w:tabs>
                <w:tab w:val="left" w:pos="3306"/>
              </w:tabs>
              <w:spacing w:before="40"/>
              <w:jc w:val="left"/>
              <w:rPr>
                <w:rFonts w:cs="Calibri"/>
                <w:b w:val="0"/>
                <w:bCs w:val="0"/>
              </w:rPr>
            </w:pPr>
            <w:r w:rsidRPr="00470415">
              <w:rPr>
                <w:rFonts w:cs="Calibri"/>
                <w:b w:val="0"/>
                <w:bCs w:val="0"/>
              </w:rPr>
              <w:t>Contract Liabilities</w:t>
            </w:r>
          </w:p>
        </w:tc>
        <w:tc>
          <w:tcPr>
            <w:tcW w:w="627" w:type="dxa"/>
            <w:tcBorders>
              <w:top w:val="nil"/>
              <w:left w:val="nil"/>
              <w:bottom w:val="nil"/>
              <w:right w:val="nil"/>
            </w:tcBorders>
            <w:vAlign w:val="bottom"/>
          </w:tcPr>
          <w:p w14:paraId="7A88FFF5" w14:textId="610BBE91" w:rsidR="00D12083" w:rsidRPr="00470415" w:rsidRDefault="00F06360" w:rsidP="006E1C8E">
            <w:pPr>
              <w:pStyle w:val="TableTitle"/>
              <w:tabs>
                <w:tab w:val="left" w:pos="3306"/>
              </w:tabs>
              <w:jc w:val="center"/>
              <w:rPr>
                <w:rFonts w:cs="Calibri"/>
                <w:b w:val="0"/>
                <w:bCs w:val="0"/>
              </w:rPr>
            </w:pPr>
            <w:r w:rsidRPr="00470415">
              <w:rPr>
                <w:rFonts w:cs="Calibri"/>
                <w:b w:val="0"/>
                <w:bCs w:val="0"/>
              </w:rPr>
              <w:t>24</w:t>
            </w:r>
          </w:p>
        </w:tc>
        <w:tc>
          <w:tcPr>
            <w:tcW w:w="961" w:type="dxa"/>
            <w:tcBorders>
              <w:top w:val="nil"/>
              <w:left w:val="nil"/>
              <w:bottom w:val="nil"/>
              <w:right w:val="nil"/>
            </w:tcBorders>
          </w:tcPr>
          <w:p w14:paraId="74D05243" w14:textId="77777777" w:rsidR="00D12083" w:rsidRPr="00470415" w:rsidRDefault="00D12083">
            <w:pPr>
              <w:pStyle w:val="TableTitle"/>
              <w:tabs>
                <w:tab w:val="left" w:pos="3306"/>
              </w:tabs>
              <w:rPr>
                <w:rFonts w:cs="Calibri"/>
                <w:b w:val="0"/>
                <w:bCs w:val="0"/>
              </w:rPr>
            </w:pPr>
          </w:p>
        </w:tc>
        <w:tc>
          <w:tcPr>
            <w:tcW w:w="1484" w:type="dxa"/>
            <w:tcBorders>
              <w:top w:val="nil"/>
              <w:left w:val="nil"/>
              <w:bottom w:val="nil"/>
              <w:right w:val="nil"/>
            </w:tcBorders>
            <w:vAlign w:val="bottom"/>
          </w:tcPr>
          <w:p w14:paraId="76F0C2B5" w14:textId="77777777" w:rsidR="00D12083" w:rsidRPr="00470415" w:rsidRDefault="00D12083">
            <w:pPr>
              <w:pStyle w:val="TableTitle"/>
              <w:tabs>
                <w:tab w:val="left" w:pos="3306"/>
              </w:tabs>
              <w:rPr>
                <w:rFonts w:cs="Calibri"/>
                <w:b w:val="0"/>
                <w:bCs w:val="0"/>
              </w:rPr>
            </w:pPr>
          </w:p>
        </w:tc>
        <w:tc>
          <w:tcPr>
            <w:tcW w:w="1482" w:type="dxa"/>
            <w:gridSpan w:val="2"/>
            <w:tcBorders>
              <w:top w:val="nil"/>
              <w:left w:val="nil"/>
              <w:bottom w:val="nil"/>
              <w:right w:val="nil"/>
            </w:tcBorders>
          </w:tcPr>
          <w:p w14:paraId="0D6A8907" w14:textId="77777777" w:rsidR="00D12083" w:rsidRPr="00470415" w:rsidRDefault="00D12083">
            <w:pPr>
              <w:pStyle w:val="TableTitle"/>
              <w:tabs>
                <w:tab w:val="left" w:pos="3306"/>
              </w:tabs>
              <w:rPr>
                <w:rFonts w:cs="Calibri"/>
                <w:b w:val="0"/>
                <w:bCs w:val="0"/>
              </w:rPr>
            </w:pPr>
          </w:p>
        </w:tc>
        <w:tc>
          <w:tcPr>
            <w:tcW w:w="1539" w:type="dxa"/>
            <w:tcBorders>
              <w:top w:val="nil"/>
              <w:left w:val="nil"/>
              <w:bottom w:val="nil"/>
              <w:right w:val="nil"/>
            </w:tcBorders>
            <w:vAlign w:val="bottom"/>
          </w:tcPr>
          <w:p w14:paraId="4B177AFA" w14:textId="77777777" w:rsidR="00D12083" w:rsidRPr="00470415" w:rsidRDefault="00D12083">
            <w:pPr>
              <w:pStyle w:val="TableTitle"/>
              <w:tabs>
                <w:tab w:val="left" w:pos="3306"/>
              </w:tabs>
              <w:rPr>
                <w:rFonts w:cs="Calibri"/>
                <w:b w:val="0"/>
                <w:bCs w:val="0"/>
              </w:rPr>
            </w:pPr>
          </w:p>
        </w:tc>
        <w:tc>
          <w:tcPr>
            <w:tcW w:w="1368" w:type="dxa"/>
            <w:tcBorders>
              <w:top w:val="nil"/>
              <w:left w:val="nil"/>
              <w:bottom w:val="nil"/>
              <w:right w:val="nil"/>
            </w:tcBorders>
            <w:vAlign w:val="bottom"/>
          </w:tcPr>
          <w:p w14:paraId="5ED5B3D1" w14:textId="77777777" w:rsidR="00D12083" w:rsidRPr="00470415" w:rsidRDefault="00D12083">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47604173" w14:textId="77777777" w:rsidR="00D12083" w:rsidRPr="00470415" w:rsidRDefault="00D12083">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52BBC187" w14:textId="77777777" w:rsidR="00D12083" w:rsidRPr="00470415" w:rsidRDefault="00D12083">
            <w:pPr>
              <w:pStyle w:val="TableTitle"/>
              <w:tabs>
                <w:tab w:val="left" w:pos="3306"/>
              </w:tabs>
              <w:rPr>
                <w:rFonts w:cs="Calibri"/>
                <w:b w:val="0"/>
                <w:bCs w:val="0"/>
              </w:rPr>
            </w:pPr>
          </w:p>
        </w:tc>
      </w:tr>
      <w:tr w:rsidR="005A6741" w:rsidRPr="00CF7E1B" w14:paraId="329558FF"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34383036"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6A9E5DB5" w14:textId="77777777" w:rsidR="005A6741" w:rsidRPr="00470415" w:rsidRDefault="005A6741">
            <w:pPr>
              <w:pStyle w:val="TableTitle"/>
              <w:tabs>
                <w:tab w:val="left" w:pos="3306"/>
              </w:tabs>
              <w:spacing w:before="40"/>
              <w:jc w:val="left"/>
              <w:rPr>
                <w:rFonts w:cs="Calibri"/>
                <w:b w:val="0"/>
                <w:bCs w:val="0"/>
              </w:rPr>
            </w:pPr>
            <w:r w:rsidRPr="00470415">
              <w:rPr>
                <w:rFonts w:cs="Calibri"/>
                <w:b w:val="0"/>
                <w:bCs w:val="0"/>
              </w:rPr>
              <w:t>ACT Government Borrowings</w:t>
            </w:r>
          </w:p>
        </w:tc>
        <w:tc>
          <w:tcPr>
            <w:tcW w:w="627" w:type="dxa"/>
            <w:tcBorders>
              <w:top w:val="nil"/>
              <w:left w:val="nil"/>
              <w:bottom w:val="nil"/>
              <w:right w:val="nil"/>
            </w:tcBorders>
            <w:vAlign w:val="bottom"/>
          </w:tcPr>
          <w:p w14:paraId="587DDDA4" w14:textId="0A73C073" w:rsidR="005A6741" w:rsidRPr="00470415" w:rsidRDefault="00F06360">
            <w:pPr>
              <w:pStyle w:val="TableTitle"/>
              <w:tabs>
                <w:tab w:val="left" w:pos="3306"/>
              </w:tabs>
              <w:jc w:val="center"/>
              <w:rPr>
                <w:rFonts w:cs="Calibri"/>
                <w:b w:val="0"/>
                <w:bCs w:val="0"/>
                <w:strike/>
              </w:rPr>
            </w:pPr>
            <w:r w:rsidRPr="00470415">
              <w:rPr>
                <w:rFonts w:cs="Calibri"/>
                <w:b w:val="0"/>
                <w:bCs w:val="0"/>
              </w:rPr>
              <w:t>25</w:t>
            </w:r>
          </w:p>
        </w:tc>
        <w:tc>
          <w:tcPr>
            <w:tcW w:w="961" w:type="dxa"/>
            <w:tcBorders>
              <w:top w:val="nil"/>
              <w:left w:val="nil"/>
              <w:bottom w:val="nil"/>
              <w:right w:val="nil"/>
            </w:tcBorders>
          </w:tcPr>
          <w:p w14:paraId="6FACC434" w14:textId="7C50E956" w:rsidR="005A6741" w:rsidRPr="00470415" w:rsidRDefault="005A6741">
            <w:pPr>
              <w:pStyle w:val="TableTitle"/>
              <w:tabs>
                <w:tab w:val="left" w:pos="3306"/>
              </w:tabs>
              <w:rPr>
                <w:rFonts w:cs="Calibri"/>
                <w:b w:val="0"/>
                <w:bCs w:val="0"/>
                <w:strike/>
              </w:rPr>
            </w:pPr>
          </w:p>
        </w:tc>
        <w:tc>
          <w:tcPr>
            <w:tcW w:w="1484" w:type="dxa"/>
            <w:tcBorders>
              <w:top w:val="nil"/>
              <w:left w:val="nil"/>
              <w:bottom w:val="nil"/>
              <w:right w:val="nil"/>
            </w:tcBorders>
            <w:vAlign w:val="bottom"/>
          </w:tcPr>
          <w:p w14:paraId="51EFE0BF" w14:textId="5BD454CE" w:rsidR="005A6741" w:rsidRPr="00470415" w:rsidRDefault="005A6741">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7A8DE1EA" w14:textId="7D69B867" w:rsidR="005A6741" w:rsidRPr="00470415" w:rsidRDefault="005A6741">
            <w:pPr>
              <w:pStyle w:val="TableTitle"/>
              <w:tabs>
                <w:tab w:val="left" w:pos="3306"/>
              </w:tabs>
              <w:rPr>
                <w:rFonts w:cs="Calibri"/>
                <w:b w:val="0"/>
                <w:bCs w:val="0"/>
              </w:rPr>
            </w:pPr>
          </w:p>
        </w:tc>
        <w:tc>
          <w:tcPr>
            <w:tcW w:w="1539" w:type="dxa"/>
            <w:tcBorders>
              <w:top w:val="nil"/>
              <w:left w:val="nil"/>
              <w:bottom w:val="nil"/>
              <w:right w:val="nil"/>
            </w:tcBorders>
            <w:vAlign w:val="bottom"/>
          </w:tcPr>
          <w:p w14:paraId="3020C8BE" w14:textId="71FC76E2" w:rsidR="005A6741" w:rsidRPr="00470415" w:rsidRDefault="005A6741">
            <w:pPr>
              <w:pStyle w:val="TableTitle"/>
              <w:tabs>
                <w:tab w:val="left" w:pos="3306"/>
              </w:tabs>
              <w:rPr>
                <w:rFonts w:cs="Calibri"/>
                <w:b w:val="0"/>
                <w:bCs w:val="0"/>
              </w:rPr>
            </w:pPr>
          </w:p>
        </w:tc>
        <w:tc>
          <w:tcPr>
            <w:tcW w:w="1368" w:type="dxa"/>
            <w:tcBorders>
              <w:top w:val="nil"/>
              <w:left w:val="nil"/>
              <w:bottom w:val="nil"/>
              <w:right w:val="nil"/>
            </w:tcBorders>
            <w:vAlign w:val="bottom"/>
          </w:tcPr>
          <w:p w14:paraId="74C1E8E0" w14:textId="4DC74DB2" w:rsidR="005A6741" w:rsidRPr="00470415" w:rsidRDefault="005A6741">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4E0FE0FF" w14:textId="03F449FE" w:rsidR="005A6741" w:rsidRPr="00470415" w:rsidRDefault="005A6741">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523767C9" w14:textId="1E60D5BC" w:rsidR="005A6741" w:rsidRPr="00470415" w:rsidRDefault="005A6741">
            <w:pPr>
              <w:pStyle w:val="TableTitle"/>
              <w:tabs>
                <w:tab w:val="left" w:pos="3306"/>
              </w:tabs>
              <w:rPr>
                <w:rFonts w:cs="Calibri"/>
                <w:b w:val="0"/>
                <w:bCs w:val="0"/>
              </w:rPr>
            </w:pPr>
          </w:p>
        </w:tc>
      </w:tr>
      <w:tr w:rsidR="005A6741" w:rsidRPr="00CF7E1B" w14:paraId="1002D76D"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2683F359" w14:textId="77777777" w:rsidR="005A6741" w:rsidRPr="00470415" w:rsidRDefault="005A6741">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2F1B6677" w14:textId="77777777" w:rsidR="005A6741" w:rsidRPr="00470415" w:rsidRDefault="005A6741">
            <w:pPr>
              <w:pStyle w:val="TableTitle"/>
              <w:tabs>
                <w:tab w:val="left" w:pos="3306"/>
              </w:tabs>
              <w:spacing w:before="40"/>
              <w:jc w:val="left"/>
              <w:rPr>
                <w:rFonts w:cs="Calibri"/>
                <w:b w:val="0"/>
                <w:bCs w:val="0"/>
              </w:rPr>
            </w:pPr>
            <w:r w:rsidRPr="00470415">
              <w:rPr>
                <w:rFonts w:cs="Calibri"/>
                <w:b w:val="0"/>
                <w:bCs w:val="0"/>
              </w:rPr>
              <w:t>Commonwealth Borrowings</w:t>
            </w:r>
          </w:p>
        </w:tc>
        <w:tc>
          <w:tcPr>
            <w:tcW w:w="627" w:type="dxa"/>
            <w:tcBorders>
              <w:top w:val="nil"/>
              <w:left w:val="nil"/>
              <w:bottom w:val="nil"/>
              <w:right w:val="nil"/>
            </w:tcBorders>
            <w:vAlign w:val="bottom"/>
          </w:tcPr>
          <w:p w14:paraId="4936A17F" w14:textId="52DB0236" w:rsidR="005A6741" w:rsidRPr="00470415" w:rsidRDefault="00F06360">
            <w:pPr>
              <w:pStyle w:val="TableTitle"/>
              <w:tabs>
                <w:tab w:val="left" w:pos="3306"/>
              </w:tabs>
              <w:jc w:val="center"/>
              <w:rPr>
                <w:rFonts w:cs="Calibri"/>
                <w:b w:val="0"/>
                <w:bCs w:val="0"/>
                <w:strike/>
              </w:rPr>
            </w:pPr>
            <w:r w:rsidRPr="00470415">
              <w:rPr>
                <w:rFonts w:cs="Calibri"/>
                <w:b w:val="0"/>
                <w:bCs w:val="0"/>
              </w:rPr>
              <w:t>25</w:t>
            </w:r>
          </w:p>
        </w:tc>
        <w:tc>
          <w:tcPr>
            <w:tcW w:w="961" w:type="dxa"/>
            <w:tcBorders>
              <w:top w:val="nil"/>
              <w:left w:val="nil"/>
              <w:bottom w:val="nil"/>
              <w:right w:val="nil"/>
            </w:tcBorders>
          </w:tcPr>
          <w:p w14:paraId="4FDE5CCD" w14:textId="4714897E" w:rsidR="005A6741" w:rsidRPr="00470415" w:rsidRDefault="005A6741">
            <w:pPr>
              <w:pStyle w:val="TableTitle"/>
              <w:tabs>
                <w:tab w:val="left" w:pos="3306"/>
              </w:tabs>
              <w:rPr>
                <w:rFonts w:cs="Calibri"/>
                <w:b w:val="0"/>
                <w:bCs w:val="0"/>
                <w:strike/>
              </w:rPr>
            </w:pPr>
          </w:p>
        </w:tc>
        <w:tc>
          <w:tcPr>
            <w:tcW w:w="1484" w:type="dxa"/>
            <w:tcBorders>
              <w:top w:val="nil"/>
              <w:left w:val="nil"/>
              <w:bottom w:val="nil"/>
              <w:right w:val="nil"/>
            </w:tcBorders>
            <w:vAlign w:val="bottom"/>
          </w:tcPr>
          <w:p w14:paraId="209B123F" w14:textId="749D3544" w:rsidR="005A6741" w:rsidRPr="00470415" w:rsidRDefault="005A6741">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7817B255" w14:textId="7C08B1E2" w:rsidR="005A6741" w:rsidRPr="00470415" w:rsidRDefault="005A6741">
            <w:pPr>
              <w:pStyle w:val="TableTitle"/>
              <w:tabs>
                <w:tab w:val="left" w:pos="3306"/>
              </w:tabs>
              <w:rPr>
                <w:rFonts w:cs="Calibri"/>
                <w:b w:val="0"/>
                <w:bCs w:val="0"/>
              </w:rPr>
            </w:pPr>
          </w:p>
        </w:tc>
        <w:tc>
          <w:tcPr>
            <w:tcW w:w="1539" w:type="dxa"/>
            <w:tcBorders>
              <w:top w:val="nil"/>
              <w:left w:val="nil"/>
              <w:bottom w:val="nil"/>
              <w:right w:val="nil"/>
            </w:tcBorders>
            <w:vAlign w:val="bottom"/>
          </w:tcPr>
          <w:p w14:paraId="4021509A" w14:textId="3EB9E165" w:rsidR="005A6741" w:rsidRPr="00470415" w:rsidRDefault="005A6741">
            <w:pPr>
              <w:pStyle w:val="TableTitle"/>
              <w:tabs>
                <w:tab w:val="left" w:pos="3306"/>
              </w:tabs>
              <w:rPr>
                <w:rFonts w:cs="Calibri"/>
                <w:b w:val="0"/>
                <w:bCs w:val="0"/>
              </w:rPr>
            </w:pPr>
          </w:p>
        </w:tc>
        <w:tc>
          <w:tcPr>
            <w:tcW w:w="1368" w:type="dxa"/>
            <w:tcBorders>
              <w:top w:val="nil"/>
              <w:left w:val="nil"/>
              <w:bottom w:val="nil"/>
              <w:right w:val="nil"/>
            </w:tcBorders>
            <w:vAlign w:val="bottom"/>
          </w:tcPr>
          <w:p w14:paraId="591E092C" w14:textId="2811676F" w:rsidR="005A6741" w:rsidRPr="00470415" w:rsidRDefault="005A6741">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7052C608" w14:textId="036DD858" w:rsidR="005A6741" w:rsidRPr="00470415" w:rsidRDefault="005A6741">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32841412" w14:textId="7BC659BE" w:rsidR="005A6741" w:rsidRPr="00470415" w:rsidRDefault="005A6741">
            <w:pPr>
              <w:pStyle w:val="TableTitle"/>
              <w:tabs>
                <w:tab w:val="left" w:pos="3306"/>
              </w:tabs>
              <w:rPr>
                <w:rFonts w:cs="Calibri"/>
                <w:b w:val="0"/>
                <w:bCs w:val="0"/>
              </w:rPr>
            </w:pPr>
          </w:p>
        </w:tc>
      </w:tr>
      <w:tr w:rsidR="00464854" w:rsidRPr="00CF7E1B" w14:paraId="0E9FFA6A"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1552183C" w14:textId="77777777" w:rsidR="00464854" w:rsidRPr="00470415" w:rsidRDefault="00464854">
            <w:pPr>
              <w:pStyle w:val="TableReference"/>
              <w:tabs>
                <w:tab w:val="left" w:pos="3306"/>
              </w:tabs>
              <w:spacing w:before="40"/>
              <w:rPr>
                <w:rFonts w:cs="Calibri"/>
                <w:color w:val="7030A0"/>
                <w:sz w:val="14"/>
              </w:rPr>
            </w:pPr>
          </w:p>
        </w:tc>
        <w:tc>
          <w:tcPr>
            <w:tcW w:w="3909" w:type="dxa"/>
            <w:tcBorders>
              <w:top w:val="nil"/>
              <w:left w:val="single" w:sz="2" w:space="0" w:color="auto"/>
              <w:bottom w:val="nil"/>
              <w:right w:val="nil"/>
            </w:tcBorders>
            <w:vAlign w:val="bottom"/>
          </w:tcPr>
          <w:p w14:paraId="0978763D" w14:textId="1688E421" w:rsidR="00464854" w:rsidRPr="00470415" w:rsidRDefault="00464854">
            <w:pPr>
              <w:pStyle w:val="TableTitle"/>
              <w:tabs>
                <w:tab w:val="left" w:pos="3306"/>
              </w:tabs>
              <w:spacing w:before="40"/>
              <w:jc w:val="left"/>
              <w:rPr>
                <w:rFonts w:cs="Calibri"/>
                <w:b w:val="0"/>
                <w:bCs w:val="0"/>
              </w:rPr>
            </w:pPr>
            <w:r w:rsidRPr="00470415">
              <w:rPr>
                <w:rFonts w:cs="Calibri"/>
                <w:b w:val="0"/>
                <w:bCs w:val="0"/>
              </w:rPr>
              <w:t>Service Concession Arrangement Financial Liability</w:t>
            </w:r>
          </w:p>
        </w:tc>
        <w:tc>
          <w:tcPr>
            <w:tcW w:w="627" w:type="dxa"/>
            <w:tcBorders>
              <w:top w:val="nil"/>
              <w:left w:val="nil"/>
              <w:bottom w:val="nil"/>
              <w:right w:val="nil"/>
            </w:tcBorders>
            <w:vAlign w:val="bottom"/>
          </w:tcPr>
          <w:p w14:paraId="6D5CBDBA" w14:textId="4BEE2228" w:rsidR="00464854" w:rsidRPr="00470415" w:rsidRDefault="00876887">
            <w:pPr>
              <w:pStyle w:val="TableTitle"/>
              <w:tabs>
                <w:tab w:val="left" w:pos="3306"/>
              </w:tabs>
              <w:jc w:val="center"/>
              <w:rPr>
                <w:rFonts w:cs="Calibri"/>
                <w:b w:val="0"/>
                <w:bCs w:val="0"/>
                <w:strike/>
              </w:rPr>
            </w:pPr>
            <w:r w:rsidRPr="00470415">
              <w:rPr>
                <w:rFonts w:cs="Calibri"/>
                <w:b w:val="0"/>
                <w:bCs w:val="0"/>
              </w:rPr>
              <w:t>39</w:t>
            </w:r>
          </w:p>
        </w:tc>
        <w:tc>
          <w:tcPr>
            <w:tcW w:w="961" w:type="dxa"/>
            <w:tcBorders>
              <w:top w:val="nil"/>
              <w:left w:val="nil"/>
              <w:bottom w:val="nil"/>
              <w:right w:val="nil"/>
            </w:tcBorders>
          </w:tcPr>
          <w:p w14:paraId="19E771EC" w14:textId="77777777" w:rsidR="00464854" w:rsidRPr="00470415" w:rsidRDefault="00464854">
            <w:pPr>
              <w:pStyle w:val="TableTitle"/>
              <w:tabs>
                <w:tab w:val="left" w:pos="3306"/>
              </w:tabs>
              <w:rPr>
                <w:rFonts w:cs="Calibri"/>
                <w:b w:val="0"/>
                <w:bCs w:val="0"/>
                <w:strike/>
              </w:rPr>
            </w:pPr>
          </w:p>
        </w:tc>
        <w:tc>
          <w:tcPr>
            <w:tcW w:w="1484" w:type="dxa"/>
            <w:tcBorders>
              <w:top w:val="nil"/>
              <w:left w:val="nil"/>
              <w:bottom w:val="nil"/>
              <w:right w:val="nil"/>
            </w:tcBorders>
            <w:vAlign w:val="bottom"/>
          </w:tcPr>
          <w:p w14:paraId="5F0A2D32" w14:textId="77777777" w:rsidR="00464854" w:rsidRPr="00470415" w:rsidRDefault="00464854">
            <w:pPr>
              <w:pStyle w:val="TableTitle"/>
              <w:tabs>
                <w:tab w:val="left" w:pos="3306"/>
              </w:tabs>
              <w:rPr>
                <w:rFonts w:cs="Calibri"/>
                <w:b w:val="0"/>
                <w:bCs w:val="0"/>
              </w:rPr>
            </w:pPr>
          </w:p>
        </w:tc>
        <w:tc>
          <w:tcPr>
            <w:tcW w:w="1482" w:type="dxa"/>
            <w:gridSpan w:val="2"/>
            <w:tcBorders>
              <w:top w:val="nil"/>
              <w:left w:val="nil"/>
              <w:bottom w:val="nil"/>
              <w:right w:val="nil"/>
            </w:tcBorders>
            <w:vAlign w:val="bottom"/>
          </w:tcPr>
          <w:p w14:paraId="2474B56D" w14:textId="77777777" w:rsidR="00464854" w:rsidRPr="00470415" w:rsidRDefault="00464854">
            <w:pPr>
              <w:pStyle w:val="TableTitle"/>
              <w:tabs>
                <w:tab w:val="left" w:pos="3306"/>
              </w:tabs>
              <w:rPr>
                <w:rFonts w:cs="Calibri"/>
                <w:b w:val="0"/>
                <w:bCs w:val="0"/>
              </w:rPr>
            </w:pPr>
          </w:p>
        </w:tc>
        <w:tc>
          <w:tcPr>
            <w:tcW w:w="1539" w:type="dxa"/>
            <w:tcBorders>
              <w:top w:val="nil"/>
              <w:left w:val="nil"/>
              <w:bottom w:val="nil"/>
              <w:right w:val="nil"/>
            </w:tcBorders>
            <w:vAlign w:val="bottom"/>
          </w:tcPr>
          <w:p w14:paraId="2C60DD68" w14:textId="77777777" w:rsidR="00464854" w:rsidRPr="00470415" w:rsidRDefault="00464854">
            <w:pPr>
              <w:pStyle w:val="TableTitle"/>
              <w:tabs>
                <w:tab w:val="left" w:pos="3306"/>
              </w:tabs>
              <w:rPr>
                <w:rFonts w:cs="Calibri"/>
                <w:b w:val="0"/>
                <w:bCs w:val="0"/>
              </w:rPr>
            </w:pPr>
          </w:p>
        </w:tc>
        <w:tc>
          <w:tcPr>
            <w:tcW w:w="1368" w:type="dxa"/>
            <w:tcBorders>
              <w:top w:val="nil"/>
              <w:left w:val="nil"/>
              <w:bottom w:val="nil"/>
              <w:right w:val="nil"/>
            </w:tcBorders>
            <w:vAlign w:val="bottom"/>
          </w:tcPr>
          <w:p w14:paraId="1B1AAB36" w14:textId="77777777" w:rsidR="00464854" w:rsidRPr="00470415" w:rsidRDefault="00464854">
            <w:pPr>
              <w:pStyle w:val="TableTitle"/>
              <w:tabs>
                <w:tab w:val="left" w:pos="3306"/>
              </w:tabs>
              <w:rPr>
                <w:rFonts w:cs="Calibri"/>
                <w:b w:val="0"/>
                <w:bCs w:val="0"/>
              </w:rPr>
            </w:pPr>
          </w:p>
        </w:tc>
        <w:tc>
          <w:tcPr>
            <w:tcW w:w="1425" w:type="dxa"/>
            <w:gridSpan w:val="2"/>
            <w:tcBorders>
              <w:top w:val="nil"/>
              <w:left w:val="nil"/>
              <w:bottom w:val="nil"/>
              <w:right w:val="nil"/>
            </w:tcBorders>
            <w:vAlign w:val="bottom"/>
          </w:tcPr>
          <w:p w14:paraId="6926F495" w14:textId="77777777" w:rsidR="00464854" w:rsidRPr="00470415" w:rsidRDefault="00464854">
            <w:pPr>
              <w:pStyle w:val="TableTitle"/>
              <w:tabs>
                <w:tab w:val="left" w:pos="3306"/>
              </w:tabs>
              <w:rPr>
                <w:rFonts w:cs="Calibri"/>
                <w:b w:val="0"/>
                <w:bCs w:val="0"/>
              </w:rPr>
            </w:pPr>
          </w:p>
        </w:tc>
        <w:tc>
          <w:tcPr>
            <w:tcW w:w="1311" w:type="dxa"/>
            <w:gridSpan w:val="2"/>
            <w:tcBorders>
              <w:top w:val="nil"/>
              <w:left w:val="nil"/>
              <w:bottom w:val="nil"/>
              <w:right w:val="nil"/>
            </w:tcBorders>
            <w:vAlign w:val="bottom"/>
          </w:tcPr>
          <w:p w14:paraId="1681DA4A" w14:textId="77777777" w:rsidR="00464854" w:rsidRPr="00470415" w:rsidRDefault="00464854">
            <w:pPr>
              <w:pStyle w:val="TableTitle"/>
              <w:tabs>
                <w:tab w:val="left" w:pos="3306"/>
              </w:tabs>
              <w:rPr>
                <w:rFonts w:cs="Calibri"/>
                <w:b w:val="0"/>
                <w:bCs w:val="0"/>
              </w:rPr>
            </w:pPr>
          </w:p>
        </w:tc>
      </w:tr>
      <w:tr w:rsidR="005A6741" w:rsidRPr="00CF7E1B" w14:paraId="019F4324"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504C6DDE" w14:textId="749D1DA5" w:rsidR="005A6741" w:rsidRPr="00470415" w:rsidRDefault="002629C0" w:rsidP="002629C0">
            <w:pPr>
              <w:pStyle w:val="TableReference"/>
              <w:tabs>
                <w:tab w:val="left" w:pos="3306"/>
              </w:tabs>
              <w:rPr>
                <w:rFonts w:cs="Calibri"/>
                <w:color w:val="7030A0"/>
                <w:sz w:val="14"/>
              </w:rPr>
            </w:pPr>
            <w:r w:rsidRPr="00470415">
              <w:rPr>
                <w:rFonts w:cs="Calibri"/>
                <w:color w:val="7030A0"/>
                <w:sz w:val="14"/>
              </w:rPr>
              <w:t>AASB 16.58</w:t>
            </w:r>
          </w:p>
        </w:tc>
        <w:tc>
          <w:tcPr>
            <w:tcW w:w="3909" w:type="dxa"/>
            <w:tcBorders>
              <w:top w:val="nil"/>
              <w:left w:val="single" w:sz="2" w:space="0" w:color="auto"/>
              <w:bottom w:val="nil"/>
              <w:right w:val="nil"/>
            </w:tcBorders>
          </w:tcPr>
          <w:p w14:paraId="1F1FBC49" w14:textId="77777777" w:rsidR="005A6741" w:rsidRPr="00470415" w:rsidRDefault="005A6741" w:rsidP="002629C0">
            <w:pPr>
              <w:pStyle w:val="TableTitle"/>
              <w:tabs>
                <w:tab w:val="left" w:pos="3306"/>
              </w:tabs>
              <w:jc w:val="left"/>
              <w:rPr>
                <w:rFonts w:cs="Calibri"/>
                <w:b w:val="0"/>
                <w:bCs w:val="0"/>
              </w:rPr>
            </w:pPr>
            <w:r w:rsidRPr="00470415">
              <w:rPr>
                <w:rFonts w:cs="Calibri"/>
                <w:b w:val="0"/>
                <w:bCs w:val="0"/>
              </w:rPr>
              <w:t>Finance Leases</w:t>
            </w:r>
          </w:p>
        </w:tc>
        <w:tc>
          <w:tcPr>
            <w:tcW w:w="627" w:type="dxa"/>
            <w:tcBorders>
              <w:top w:val="nil"/>
              <w:left w:val="nil"/>
              <w:bottom w:val="nil"/>
              <w:right w:val="nil"/>
            </w:tcBorders>
          </w:tcPr>
          <w:p w14:paraId="1F86FFCF" w14:textId="59E62D02" w:rsidR="005A6741" w:rsidRPr="00470415" w:rsidRDefault="00F06360" w:rsidP="00810B4A">
            <w:pPr>
              <w:pStyle w:val="TableTitle"/>
              <w:tabs>
                <w:tab w:val="left" w:pos="3306"/>
              </w:tabs>
              <w:jc w:val="center"/>
              <w:rPr>
                <w:rFonts w:cs="Calibri"/>
                <w:b w:val="0"/>
                <w:bCs w:val="0"/>
                <w:strike/>
              </w:rPr>
            </w:pPr>
            <w:r w:rsidRPr="00470415">
              <w:rPr>
                <w:rFonts w:cs="Calibri"/>
                <w:b w:val="0"/>
                <w:bCs w:val="0"/>
              </w:rPr>
              <w:t>26</w:t>
            </w:r>
          </w:p>
        </w:tc>
        <w:tc>
          <w:tcPr>
            <w:tcW w:w="961" w:type="dxa"/>
            <w:tcBorders>
              <w:top w:val="nil"/>
              <w:left w:val="nil"/>
              <w:bottom w:val="nil"/>
              <w:right w:val="nil"/>
            </w:tcBorders>
          </w:tcPr>
          <w:p w14:paraId="19106006" w14:textId="5C9A82B8" w:rsidR="005A6741" w:rsidRPr="00470415" w:rsidRDefault="005A6741" w:rsidP="002629C0">
            <w:pPr>
              <w:pStyle w:val="TableTitle"/>
              <w:tabs>
                <w:tab w:val="left" w:pos="3306"/>
              </w:tabs>
              <w:jc w:val="left"/>
              <w:rPr>
                <w:rFonts w:cs="Calibri"/>
                <w:b w:val="0"/>
                <w:bCs w:val="0"/>
                <w:strike/>
              </w:rPr>
            </w:pPr>
          </w:p>
        </w:tc>
        <w:tc>
          <w:tcPr>
            <w:tcW w:w="1484" w:type="dxa"/>
            <w:tcBorders>
              <w:top w:val="nil"/>
              <w:left w:val="nil"/>
              <w:bottom w:val="single" w:sz="2" w:space="0" w:color="auto"/>
              <w:right w:val="nil"/>
            </w:tcBorders>
          </w:tcPr>
          <w:p w14:paraId="24408605" w14:textId="69AD22ED" w:rsidR="005A6741" w:rsidRPr="00470415" w:rsidRDefault="005A6741" w:rsidP="002629C0">
            <w:pPr>
              <w:pStyle w:val="TableTitle"/>
              <w:tabs>
                <w:tab w:val="left" w:pos="3306"/>
              </w:tabs>
              <w:jc w:val="left"/>
              <w:rPr>
                <w:rFonts w:cs="Calibri"/>
                <w:b w:val="0"/>
                <w:bCs w:val="0"/>
              </w:rPr>
            </w:pPr>
          </w:p>
        </w:tc>
        <w:tc>
          <w:tcPr>
            <w:tcW w:w="1482" w:type="dxa"/>
            <w:gridSpan w:val="2"/>
            <w:tcBorders>
              <w:top w:val="nil"/>
              <w:left w:val="nil"/>
              <w:bottom w:val="single" w:sz="2" w:space="0" w:color="auto"/>
              <w:right w:val="nil"/>
            </w:tcBorders>
          </w:tcPr>
          <w:p w14:paraId="5A623E5D" w14:textId="3FFD0B73" w:rsidR="005A6741" w:rsidRPr="00470415" w:rsidRDefault="005A6741" w:rsidP="002629C0">
            <w:pPr>
              <w:pStyle w:val="TableTitle"/>
              <w:tabs>
                <w:tab w:val="left" w:pos="3306"/>
              </w:tabs>
              <w:jc w:val="left"/>
              <w:rPr>
                <w:rFonts w:cs="Calibri"/>
                <w:b w:val="0"/>
                <w:bCs w:val="0"/>
              </w:rPr>
            </w:pPr>
          </w:p>
        </w:tc>
        <w:tc>
          <w:tcPr>
            <w:tcW w:w="1539" w:type="dxa"/>
            <w:tcBorders>
              <w:top w:val="nil"/>
              <w:left w:val="nil"/>
              <w:bottom w:val="single" w:sz="2" w:space="0" w:color="auto"/>
              <w:right w:val="nil"/>
            </w:tcBorders>
          </w:tcPr>
          <w:p w14:paraId="05FF59BE" w14:textId="17F57E5A" w:rsidR="005A6741" w:rsidRPr="00470415" w:rsidRDefault="005A6741" w:rsidP="002629C0">
            <w:pPr>
              <w:pStyle w:val="TableTitle"/>
              <w:tabs>
                <w:tab w:val="left" w:pos="3306"/>
              </w:tabs>
              <w:jc w:val="left"/>
              <w:rPr>
                <w:rFonts w:cs="Calibri"/>
                <w:b w:val="0"/>
                <w:bCs w:val="0"/>
              </w:rPr>
            </w:pPr>
          </w:p>
        </w:tc>
        <w:tc>
          <w:tcPr>
            <w:tcW w:w="1368" w:type="dxa"/>
            <w:tcBorders>
              <w:top w:val="nil"/>
              <w:left w:val="nil"/>
              <w:bottom w:val="single" w:sz="2" w:space="0" w:color="auto"/>
              <w:right w:val="nil"/>
            </w:tcBorders>
          </w:tcPr>
          <w:p w14:paraId="30228D57" w14:textId="184E8949" w:rsidR="005A6741" w:rsidRPr="00470415" w:rsidRDefault="005A6741" w:rsidP="002629C0">
            <w:pPr>
              <w:pStyle w:val="TableTitle"/>
              <w:tabs>
                <w:tab w:val="left" w:pos="3306"/>
              </w:tabs>
              <w:jc w:val="left"/>
              <w:rPr>
                <w:rFonts w:cs="Calibri"/>
                <w:b w:val="0"/>
                <w:bCs w:val="0"/>
              </w:rPr>
            </w:pPr>
          </w:p>
        </w:tc>
        <w:tc>
          <w:tcPr>
            <w:tcW w:w="1425" w:type="dxa"/>
            <w:gridSpan w:val="2"/>
            <w:tcBorders>
              <w:top w:val="nil"/>
              <w:left w:val="nil"/>
              <w:bottom w:val="single" w:sz="2" w:space="0" w:color="auto"/>
              <w:right w:val="nil"/>
            </w:tcBorders>
          </w:tcPr>
          <w:p w14:paraId="389508BD" w14:textId="082F43F3" w:rsidR="005A6741" w:rsidRPr="00470415" w:rsidRDefault="005A6741" w:rsidP="002629C0">
            <w:pPr>
              <w:pStyle w:val="TableTitle"/>
              <w:tabs>
                <w:tab w:val="left" w:pos="3306"/>
              </w:tabs>
              <w:jc w:val="left"/>
              <w:rPr>
                <w:rFonts w:cs="Calibri"/>
                <w:b w:val="0"/>
                <w:bCs w:val="0"/>
              </w:rPr>
            </w:pPr>
          </w:p>
        </w:tc>
        <w:tc>
          <w:tcPr>
            <w:tcW w:w="1311" w:type="dxa"/>
            <w:gridSpan w:val="2"/>
            <w:tcBorders>
              <w:top w:val="nil"/>
              <w:left w:val="nil"/>
              <w:bottom w:val="single" w:sz="2" w:space="0" w:color="auto"/>
              <w:right w:val="nil"/>
            </w:tcBorders>
          </w:tcPr>
          <w:p w14:paraId="487D1519" w14:textId="46035060" w:rsidR="005A6741" w:rsidRPr="00470415" w:rsidRDefault="005A6741" w:rsidP="002629C0">
            <w:pPr>
              <w:pStyle w:val="TableTitle"/>
              <w:tabs>
                <w:tab w:val="left" w:pos="3306"/>
              </w:tabs>
              <w:jc w:val="left"/>
              <w:rPr>
                <w:rFonts w:cs="Calibri"/>
                <w:b w:val="0"/>
                <w:bCs w:val="0"/>
              </w:rPr>
            </w:pPr>
          </w:p>
        </w:tc>
      </w:tr>
      <w:tr w:rsidR="005A6741" w:rsidRPr="00CF7E1B" w14:paraId="1543DF4C" w14:textId="77777777" w:rsidTr="0004564D">
        <w:tblPrEx>
          <w:tblLook w:val="0000" w:firstRow="0" w:lastRow="0" w:firstColumn="0" w:lastColumn="0" w:noHBand="0" w:noVBand="0"/>
        </w:tblPrEx>
        <w:trPr>
          <w:cantSplit/>
          <w:trHeight w:val="23"/>
        </w:trPr>
        <w:tc>
          <w:tcPr>
            <w:tcW w:w="1563" w:type="dxa"/>
            <w:tcBorders>
              <w:top w:val="nil"/>
              <w:left w:val="single" w:sz="2" w:space="0" w:color="auto"/>
              <w:bottom w:val="nil"/>
              <w:right w:val="single" w:sz="2" w:space="0" w:color="auto"/>
            </w:tcBorders>
          </w:tcPr>
          <w:p w14:paraId="55DF7480" w14:textId="77777777" w:rsidR="005A6741" w:rsidRPr="00464854" w:rsidRDefault="005A6741">
            <w:pPr>
              <w:pStyle w:val="TableReference"/>
              <w:tabs>
                <w:tab w:val="left" w:pos="3306"/>
              </w:tabs>
              <w:spacing w:before="40"/>
              <w:rPr>
                <w:rFonts w:cs="Calibri"/>
                <w:color w:val="auto"/>
                <w:sz w:val="14"/>
              </w:rPr>
            </w:pPr>
          </w:p>
        </w:tc>
        <w:tc>
          <w:tcPr>
            <w:tcW w:w="3909" w:type="dxa"/>
            <w:tcBorders>
              <w:top w:val="nil"/>
              <w:left w:val="single" w:sz="2" w:space="0" w:color="auto"/>
              <w:bottom w:val="nil"/>
              <w:right w:val="nil"/>
            </w:tcBorders>
            <w:vAlign w:val="bottom"/>
          </w:tcPr>
          <w:p w14:paraId="788523B8" w14:textId="77777777" w:rsidR="005A6741" w:rsidRPr="00470415" w:rsidRDefault="005A6741">
            <w:pPr>
              <w:pStyle w:val="TableTitle"/>
              <w:tabs>
                <w:tab w:val="left" w:pos="3306"/>
              </w:tabs>
              <w:spacing w:before="40"/>
              <w:jc w:val="left"/>
              <w:rPr>
                <w:rFonts w:cs="Calibri"/>
              </w:rPr>
            </w:pPr>
            <w:r w:rsidRPr="00470415">
              <w:rPr>
                <w:rFonts w:cs="Calibri"/>
              </w:rPr>
              <w:t xml:space="preserve">Total Financial Liabilities </w:t>
            </w:r>
          </w:p>
        </w:tc>
        <w:tc>
          <w:tcPr>
            <w:tcW w:w="627" w:type="dxa"/>
            <w:tcBorders>
              <w:top w:val="nil"/>
              <w:left w:val="nil"/>
              <w:bottom w:val="nil"/>
              <w:right w:val="nil"/>
            </w:tcBorders>
            <w:vAlign w:val="bottom"/>
          </w:tcPr>
          <w:p w14:paraId="26B8519E" w14:textId="77777777" w:rsidR="005A6741" w:rsidRPr="00470415" w:rsidRDefault="005A6741">
            <w:pPr>
              <w:pStyle w:val="TableTitle"/>
              <w:tabs>
                <w:tab w:val="left" w:pos="3306"/>
              </w:tabs>
              <w:rPr>
                <w:rFonts w:cs="Calibri"/>
                <w:b w:val="0"/>
                <w:bCs w:val="0"/>
              </w:rPr>
            </w:pPr>
          </w:p>
        </w:tc>
        <w:tc>
          <w:tcPr>
            <w:tcW w:w="961" w:type="dxa"/>
            <w:tcBorders>
              <w:top w:val="nil"/>
              <w:left w:val="nil"/>
              <w:bottom w:val="nil"/>
              <w:right w:val="nil"/>
            </w:tcBorders>
          </w:tcPr>
          <w:p w14:paraId="081FD2F9" w14:textId="77777777" w:rsidR="005A6741" w:rsidRPr="00470415" w:rsidRDefault="005A6741">
            <w:pPr>
              <w:pStyle w:val="TableTitle"/>
              <w:tabs>
                <w:tab w:val="left" w:pos="3306"/>
              </w:tabs>
              <w:rPr>
                <w:rFonts w:cs="Calibri"/>
              </w:rPr>
            </w:pPr>
          </w:p>
        </w:tc>
        <w:tc>
          <w:tcPr>
            <w:tcW w:w="1484" w:type="dxa"/>
            <w:tcBorders>
              <w:top w:val="single" w:sz="2" w:space="0" w:color="auto"/>
              <w:left w:val="nil"/>
              <w:bottom w:val="double" w:sz="4" w:space="0" w:color="auto"/>
              <w:right w:val="nil"/>
            </w:tcBorders>
            <w:vAlign w:val="bottom"/>
          </w:tcPr>
          <w:p w14:paraId="47ED5341" w14:textId="111188EC" w:rsidR="005A6741" w:rsidRPr="00470415" w:rsidRDefault="005A6741">
            <w:pPr>
              <w:pStyle w:val="TableTitle"/>
              <w:tabs>
                <w:tab w:val="left" w:pos="3306"/>
              </w:tabs>
              <w:rPr>
                <w:rFonts w:cs="Calibri"/>
              </w:rPr>
            </w:pPr>
          </w:p>
        </w:tc>
        <w:tc>
          <w:tcPr>
            <w:tcW w:w="1482" w:type="dxa"/>
            <w:gridSpan w:val="2"/>
            <w:tcBorders>
              <w:top w:val="single" w:sz="2" w:space="0" w:color="auto"/>
              <w:left w:val="nil"/>
              <w:bottom w:val="double" w:sz="4" w:space="0" w:color="auto"/>
              <w:right w:val="nil"/>
            </w:tcBorders>
            <w:vAlign w:val="bottom"/>
          </w:tcPr>
          <w:p w14:paraId="769FB250" w14:textId="736BFE8E" w:rsidR="005A6741" w:rsidRPr="00470415" w:rsidRDefault="005A6741">
            <w:pPr>
              <w:pStyle w:val="TableTitle"/>
              <w:tabs>
                <w:tab w:val="left" w:pos="3306"/>
              </w:tabs>
              <w:rPr>
                <w:rFonts w:cs="Calibri"/>
              </w:rPr>
            </w:pPr>
          </w:p>
        </w:tc>
        <w:tc>
          <w:tcPr>
            <w:tcW w:w="1539" w:type="dxa"/>
            <w:tcBorders>
              <w:top w:val="single" w:sz="2" w:space="0" w:color="auto"/>
              <w:left w:val="nil"/>
              <w:bottom w:val="double" w:sz="4" w:space="0" w:color="auto"/>
              <w:right w:val="nil"/>
            </w:tcBorders>
            <w:vAlign w:val="bottom"/>
          </w:tcPr>
          <w:p w14:paraId="67888EC3" w14:textId="2EAE652B" w:rsidR="005A6741" w:rsidRPr="00470415" w:rsidRDefault="005A6741">
            <w:pPr>
              <w:pStyle w:val="TableTitle"/>
              <w:tabs>
                <w:tab w:val="left" w:pos="3306"/>
              </w:tabs>
              <w:rPr>
                <w:rFonts w:cs="Calibri"/>
              </w:rPr>
            </w:pPr>
          </w:p>
        </w:tc>
        <w:tc>
          <w:tcPr>
            <w:tcW w:w="1368" w:type="dxa"/>
            <w:tcBorders>
              <w:top w:val="single" w:sz="2" w:space="0" w:color="auto"/>
              <w:left w:val="nil"/>
              <w:bottom w:val="double" w:sz="4" w:space="0" w:color="auto"/>
              <w:right w:val="nil"/>
            </w:tcBorders>
            <w:vAlign w:val="bottom"/>
          </w:tcPr>
          <w:p w14:paraId="7CD9B7A9" w14:textId="7AD3E969" w:rsidR="005A6741" w:rsidRPr="00470415" w:rsidRDefault="005A6741">
            <w:pPr>
              <w:pStyle w:val="TableTitle"/>
              <w:tabs>
                <w:tab w:val="left" w:pos="3306"/>
              </w:tabs>
              <w:rPr>
                <w:rFonts w:cs="Calibri"/>
              </w:rPr>
            </w:pPr>
          </w:p>
        </w:tc>
        <w:tc>
          <w:tcPr>
            <w:tcW w:w="1425" w:type="dxa"/>
            <w:gridSpan w:val="2"/>
            <w:tcBorders>
              <w:top w:val="single" w:sz="2" w:space="0" w:color="auto"/>
              <w:left w:val="nil"/>
              <w:bottom w:val="double" w:sz="4" w:space="0" w:color="auto"/>
              <w:right w:val="nil"/>
            </w:tcBorders>
            <w:vAlign w:val="bottom"/>
          </w:tcPr>
          <w:p w14:paraId="4767D304" w14:textId="555D640B" w:rsidR="005A6741" w:rsidRPr="00470415" w:rsidRDefault="005A6741">
            <w:pPr>
              <w:pStyle w:val="TableTitle"/>
              <w:tabs>
                <w:tab w:val="left" w:pos="3306"/>
              </w:tabs>
              <w:rPr>
                <w:rFonts w:cs="Calibri"/>
              </w:rPr>
            </w:pPr>
          </w:p>
        </w:tc>
        <w:tc>
          <w:tcPr>
            <w:tcW w:w="1311" w:type="dxa"/>
            <w:gridSpan w:val="2"/>
            <w:tcBorders>
              <w:top w:val="single" w:sz="2" w:space="0" w:color="auto"/>
              <w:left w:val="nil"/>
              <w:bottom w:val="double" w:sz="4" w:space="0" w:color="auto"/>
              <w:right w:val="nil"/>
            </w:tcBorders>
            <w:vAlign w:val="bottom"/>
          </w:tcPr>
          <w:p w14:paraId="75172DC5" w14:textId="3221CA5F" w:rsidR="005A6741" w:rsidRPr="00470415" w:rsidRDefault="005A6741">
            <w:pPr>
              <w:pStyle w:val="TableTitle"/>
              <w:tabs>
                <w:tab w:val="left" w:pos="3306"/>
              </w:tabs>
              <w:rPr>
                <w:rFonts w:cs="Calibri"/>
              </w:rPr>
            </w:pPr>
          </w:p>
        </w:tc>
      </w:tr>
      <w:bookmarkEnd w:id="668"/>
    </w:tbl>
    <w:p w14:paraId="6E2A1B43" w14:textId="77777777" w:rsidR="000144FF" w:rsidRPr="00CF7E1B" w:rsidRDefault="000144FF">
      <w:pPr>
        <w:rPr>
          <w:rFonts w:cs="Calibri"/>
        </w:rPr>
        <w:sectPr w:rsidR="000144FF" w:rsidRPr="00CF7E1B" w:rsidSect="004514CD">
          <w:footnotePr>
            <w:numRestart w:val="eachPage"/>
          </w:footnotePr>
          <w:type w:val="continuous"/>
          <w:pgSz w:w="16840" w:h="11907" w:orient="landscape" w:code="9"/>
          <w:pgMar w:top="680" w:right="567" w:bottom="680" w:left="567" w:header="720" w:footer="720" w:gutter="0"/>
          <w:cols w:space="720"/>
        </w:sectPr>
      </w:pPr>
    </w:p>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5790"/>
        <w:gridCol w:w="1722"/>
        <w:gridCol w:w="1418"/>
      </w:tblGrid>
      <w:tr w:rsidR="007B56BE" w:rsidRPr="00CF7E1B" w14:paraId="58C252C3" w14:textId="77777777" w:rsidTr="0004564D">
        <w:trPr>
          <w:trHeight w:val="23"/>
        </w:trPr>
        <w:tc>
          <w:tcPr>
            <w:tcW w:w="1560" w:type="dxa"/>
            <w:tcBorders>
              <w:top w:val="nil"/>
              <w:left w:val="single" w:sz="2" w:space="0" w:color="auto"/>
              <w:bottom w:val="nil"/>
              <w:right w:val="single" w:sz="2" w:space="0" w:color="auto"/>
            </w:tcBorders>
          </w:tcPr>
          <w:p w14:paraId="1431C6E7" w14:textId="77777777" w:rsidR="007B56BE" w:rsidRPr="00E03D2C" w:rsidRDefault="007E1584" w:rsidP="004E2AC4">
            <w:pPr>
              <w:pStyle w:val="TableReference"/>
              <w:tabs>
                <w:tab w:val="left" w:pos="3306"/>
              </w:tabs>
              <w:spacing w:before="240" w:after="240"/>
              <w:rPr>
                <w:rFonts w:cs="Calibri"/>
                <w:b/>
                <w:color w:val="7030A0"/>
                <w:sz w:val="22"/>
                <w:szCs w:val="22"/>
              </w:rPr>
            </w:pPr>
            <w:r w:rsidRPr="00E03D2C">
              <w:rPr>
                <w:rFonts w:cs="Calibri"/>
                <w:b/>
                <w:color w:val="7030A0"/>
                <w:sz w:val="22"/>
                <w:szCs w:val="22"/>
              </w:rPr>
              <w:t>Reference</w:t>
            </w:r>
          </w:p>
        </w:tc>
        <w:tc>
          <w:tcPr>
            <w:tcW w:w="8930" w:type="dxa"/>
            <w:gridSpan w:val="3"/>
            <w:tcBorders>
              <w:top w:val="nil"/>
              <w:left w:val="single" w:sz="2" w:space="0" w:color="auto"/>
              <w:bottom w:val="nil"/>
              <w:right w:val="nil"/>
            </w:tcBorders>
            <w:vAlign w:val="bottom"/>
          </w:tcPr>
          <w:p w14:paraId="54A85499" w14:textId="54EDED79" w:rsidR="007B56BE" w:rsidRPr="00470415" w:rsidRDefault="004E2AC4" w:rsidP="004E2AC4">
            <w:pPr>
              <w:spacing w:before="240" w:after="240"/>
              <w:rPr>
                <w:b/>
              </w:rPr>
            </w:pPr>
            <w:r w:rsidRPr="00470415">
              <w:rPr>
                <w:rFonts w:ascii="Arial" w:hAnsi="Arial" w:cs="Arial"/>
                <w:b/>
                <w:sz w:val="32"/>
                <w:szCs w:val="32"/>
              </w:rPr>
              <w:t xml:space="preserve">NOTE </w:t>
            </w:r>
            <w:r w:rsidR="00594D6E" w:rsidRPr="00470415">
              <w:rPr>
                <w:rFonts w:ascii="Arial" w:hAnsi="Arial" w:cs="Arial"/>
                <w:b/>
                <w:sz w:val="32"/>
                <w:szCs w:val="32"/>
              </w:rPr>
              <w:t>31</w:t>
            </w:r>
            <w:r w:rsidRPr="00470415">
              <w:rPr>
                <w:rFonts w:ascii="Arial" w:hAnsi="Arial" w:cs="Arial"/>
                <w:b/>
                <w:sz w:val="32"/>
                <w:szCs w:val="32"/>
              </w:rPr>
              <w:t>.</w:t>
            </w:r>
            <w:r w:rsidR="00FA7C77">
              <w:rPr>
                <w:rFonts w:ascii="Arial" w:hAnsi="Arial" w:cs="Arial"/>
                <w:b/>
                <w:sz w:val="32"/>
                <w:szCs w:val="32"/>
              </w:rPr>
              <w:t xml:space="preserve"> </w:t>
            </w:r>
            <w:r w:rsidRPr="00470415">
              <w:rPr>
                <w:rFonts w:ascii="Arial" w:hAnsi="Arial" w:cs="Arial"/>
                <w:b/>
                <w:sz w:val="32"/>
                <w:szCs w:val="32"/>
              </w:rPr>
              <w:t xml:space="preserve"> FINANCIAL INSTRUMENTS – CONTINUED</w:t>
            </w:r>
          </w:p>
        </w:tc>
      </w:tr>
      <w:tr w:rsidR="007B56BE" w:rsidRPr="00CF7E1B" w14:paraId="5526E3BA" w14:textId="77777777" w:rsidTr="0004564D">
        <w:trPr>
          <w:trHeight w:val="23"/>
        </w:trPr>
        <w:tc>
          <w:tcPr>
            <w:tcW w:w="1560" w:type="dxa"/>
            <w:tcBorders>
              <w:top w:val="nil"/>
              <w:left w:val="single" w:sz="2" w:space="0" w:color="auto"/>
              <w:bottom w:val="nil"/>
              <w:right w:val="single" w:sz="2" w:space="0" w:color="auto"/>
            </w:tcBorders>
          </w:tcPr>
          <w:p w14:paraId="31EDF33C" w14:textId="77777777" w:rsidR="007B56BE" w:rsidRPr="00E03D2C" w:rsidRDefault="007B56BE"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109909F5" w14:textId="77777777" w:rsidR="007B56BE" w:rsidRPr="00470415" w:rsidRDefault="007B56BE" w:rsidP="009542FF">
            <w:pPr>
              <w:pStyle w:val="TableTitle"/>
              <w:tabs>
                <w:tab w:val="left" w:pos="3306"/>
              </w:tabs>
              <w:rPr>
                <w:rFonts w:cs="Calibri"/>
              </w:rPr>
            </w:pPr>
          </w:p>
        </w:tc>
        <w:tc>
          <w:tcPr>
            <w:tcW w:w="1722" w:type="dxa"/>
            <w:tcBorders>
              <w:top w:val="nil"/>
              <w:left w:val="nil"/>
              <w:bottom w:val="nil"/>
              <w:right w:val="nil"/>
            </w:tcBorders>
            <w:vAlign w:val="bottom"/>
          </w:tcPr>
          <w:p w14:paraId="5A1FC894" w14:textId="15DC837E" w:rsidR="007B56BE" w:rsidRPr="00470415" w:rsidRDefault="007624E9" w:rsidP="002F567C">
            <w:pPr>
              <w:pStyle w:val="TableTitle"/>
              <w:tabs>
                <w:tab w:val="left" w:pos="3306"/>
              </w:tabs>
              <w:rPr>
                <w:rFonts w:cs="Calibri"/>
              </w:rPr>
            </w:pPr>
            <w:r w:rsidRPr="00470415">
              <w:rPr>
                <w:rFonts w:cs="Calibri"/>
              </w:rPr>
              <w:t>2022</w:t>
            </w:r>
          </w:p>
          <w:p w14:paraId="105EC809" w14:textId="77777777" w:rsidR="007B56BE" w:rsidRPr="00470415" w:rsidRDefault="007B56BE" w:rsidP="002F567C">
            <w:pPr>
              <w:pStyle w:val="TableTitle"/>
              <w:tabs>
                <w:tab w:val="left" w:pos="3306"/>
              </w:tabs>
              <w:rPr>
                <w:rFonts w:cs="Calibri"/>
              </w:rPr>
            </w:pPr>
            <w:r w:rsidRPr="00470415">
              <w:rPr>
                <w:rFonts w:cs="Calibri"/>
              </w:rPr>
              <w:t>$’000</w:t>
            </w:r>
          </w:p>
        </w:tc>
        <w:tc>
          <w:tcPr>
            <w:tcW w:w="1418" w:type="dxa"/>
            <w:tcBorders>
              <w:top w:val="nil"/>
              <w:left w:val="nil"/>
              <w:bottom w:val="nil"/>
              <w:right w:val="nil"/>
            </w:tcBorders>
            <w:vAlign w:val="bottom"/>
          </w:tcPr>
          <w:p w14:paraId="675AB0EB" w14:textId="77777777" w:rsidR="00BB2E31" w:rsidRDefault="005E3DFA" w:rsidP="002F567C">
            <w:pPr>
              <w:pStyle w:val="TableTitle"/>
              <w:tabs>
                <w:tab w:val="left" w:pos="3306"/>
              </w:tabs>
              <w:rPr>
                <w:rFonts w:cs="Calibri"/>
              </w:rPr>
            </w:pPr>
            <w:r w:rsidRPr="00470415">
              <w:rPr>
                <w:rFonts w:cs="Calibri"/>
              </w:rPr>
              <w:t>2021</w:t>
            </w:r>
            <w:r w:rsidR="00FA7C77">
              <w:rPr>
                <w:rFonts w:cs="Calibri"/>
              </w:rPr>
              <w:t xml:space="preserve">     </w:t>
            </w:r>
          </w:p>
          <w:p w14:paraId="1121B4EF" w14:textId="37AF9E5A" w:rsidR="007B56BE" w:rsidRPr="00470415" w:rsidRDefault="00810B4A" w:rsidP="002F567C">
            <w:pPr>
              <w:pStyle w:val="TableTitle"/>
              <w:tabs>
                <w:tab w:val="left" w:pos="3306"/>
              </w:tabs>
              <w:rPr>
                <w:rFonts w:cs="Calibri"/>
              </w:rPr>
            </w:pPr>
            <w:r w:rsidRPr="00470415">
              <w:rPr>
                <w:rFonts w:cs="Calibri"/>
              </w:rPr>
              <w:t xml:space="preserve"> </w:t>
            </w:r>
            <w:r w:rsidR="007B56BE" w:rsidRPr="00470415">
              <w:rPr>
                <w:rFonts w:cs="Calibri"/>
              </w:rPr>
              <w:t>$’000</w:t>
            </w:r>
          </w:p>
        </w:tc>
      </w:tr>
      <w:tr w:rsidR="007B56BE" w:rsidRPr="00CF7E1B" w14:paraId="75F47EDD" w14:textId="77777777" w:rsidTr="0004564D">
        <w:trPr>
          <w:trHeight w:val="23"/>
        </w:trPr>
        <w:tc>
          <w:tcPr>
            <w:tcW w:w="1560" w:type="dxa"/>
            <w:tcBorders>
              <w:top w:val="nil"/>
              <w:left w:val="single" w:sz="2" w:space="0" w:color="auto"/>
              <w:bottom w:val="nil"/>
              <w:right w:val="single" w:sz="2" w:space="0" w:color="auto"/>
            </w:tcBorders>
          </w:tcPr>
          <w:p w14:paraId="4FFB4B88" w14:textId="77777777" w:rsidR="007B56BE" w:rsidRPr="00E03D2C" w:rsidRDefault="007B56BE" w:rsidP="009542FF">
            <w:pPr>
              <w:pStyle w:val="TableReference"/>
              <w:tabs>
                <w:tab w:val="left" w:pos="3306"/>
              </w:tabs>
              <w:spacing w:before="60"/>
              <w:rPr>
                <w:rFonts w:cs="Calibri"/>
                <w:color w:val="7030A0"/>
                <w:sz w:val="14"/>
              </w:rPr>
            </w:pPr>
          </w:p>
        </w:tc>
        <w:tc>
          <w:tcPr>
            <w:tcW w:w="5790" w:type="dxa"/>
            <w:tcBorders>
              <w:top w:val="nil"/>
              <w:left w:val="single" w:sz="2" w:space="0" w:color="auto"/>
              <w:bottom w:val="nil"/>
              <w:right w:val="nil"/>
            </w:tcBorders>
            <w:vAlign w:val="bottom"/>
          </w:tcPr>
          <w:p w14:paraId="768D8EFF" w14:textId="77777777" w:rsidR="007B56BE" w:rsidRPr="00470415" w:rsidRDefault="00E56EEC" w:rsidP="002C6003">
            <w:pPr>
              <w:pStyle w:val="TableText"/>
              <w:tabs>
                <w:tab w:val="left" w:pos="3306"/>
              </w:tabs>
              <w:spacing w:before="0" w:after="120"/>
              <w:rPr>
                <w:rFonts w:cs="Calibri"/>
                <w:b/>
              </w:rPr>
            </w:pPr>
            <w:r w:rsidRPr="00470415">
              <w:rPr>
                <w:rFonts w:cs="Calibri"/>
                <w:b/>
              </w:rPr>
              <w:t>Carrying A</w:t>
            </w:r>
            <w:r w:rsidR="007B56BE" w:rsidRPr="00470415">
              <w:rPr>
                <w:rFonts w:cs="Calibri"/>
                <w:b/>
              </w:rPr>
              <w:t>mount of</w:t>
            </w:r>
            <w:r w:rsidRPr="00470415">
              <w:rPr>
                <w:rFonts w:cs="Calibri"/>
                <w:b/>
              </w:rPr>
              <w:t xml:space="preserve"> Each C</w:t>
            </w:r>
            <w:r w:rsidR="00F95FBA" w:rsidRPr="00470415">
              <w:rPr>
                <w:rFonts w:cs="Calibri"/>
                <w:b/>
              </w:rPr>
              <w:t xml:space="preserve">ategory </w:t>
            </w:r>
            <w:r w:rsidRPr="00470415">
              <w:rPr>
                <w:rFonts w:cs="Calibri"/>
                <w:b/>
              </w:rPr>
              <w:t>of</w:t>
            </w:r>
            <w:r w:rsidR="007B56BE" w:rsidRPr="00470415">
              <w:rPr>
                <w:rFonts w:cs="Calibri"/>
                <w:b/>
              </w:rPr>
              <w:t xml:space="preserve"> Financial Asset and Financial Liabilit</w:t>
            </w:r>
            <w:r w:rsidRPr="00470415">
              <w:rPr>
                <w:rFonts w:cs="Calibri"/>
                <w:b/>
              </w:rPr>
              <w:t>y</w:t>
            </w:r>
            <w:r w:rsidR="000D529F" w:rsidRPr="00470415">
              <w:rPr>
                <w:rFonts w:cs="Calibri"/>
                <w:b/>
              </w:rPr>
              <w:t xml:space="preserve"> </w:t>
            </w:r>
          </w:p>
        </w:tc>
        <w:tc>
          <w:tcPr>
            <w:tcW w:w="1722" w:type="dxa"/>
            <w:tcBorders>
              <w:top w:val="nil"/>
              <w:left w:val="nil"/>
              <w:bottom w:val="nil"/>
              <w:right w:val="nil"/>
            </w:tcBorders>
            <w:vAlign w:val="bottom"/>
          </w:tcPr>
          <w:p w14:paraId="2FB3D0BD"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05B9F21" w14:textId="77777777" w:rsidR="007B56BE" w:rsidRPr="00470415" w:rsidRDefault="007B56BE" w:rsidP="009542FF">
            <w:pPr>
              <w:pStyle w:val="TableText"/>
              <w:tabs>
                <w:tab w:val="left" w:pos="3306"/>
              </w:tabs>
              <w:jc w:val="right"/>
              <w:rPr>
                <w:rFonts w:cs="Calibri"/>
              </w:rPr>
            </w:pPr>
          </w:p>
        </w:tc>
      </w:tr>
      <w:tr w:rsidR="007B56BE" w:rsidRPr="00CF7E1B" w14:paraId="57F68466" w14:textId="77777777" w:rsidTr="0004564D">
        <w:trPr>
          <w:trHeight w:val="23"/>
        </w:trPr>
        <w:tc>
          <w:tcPr>
            <w:tcW w:w="1560" w:type="dxa"/>
            <w:tcBorders>
              <w:top w:val="nil"/>
              <w:left w:val="single" w:sz="2" w:space="0" w:color="auto"/>
              <w:bottom w:val="nil"/>
              <w:right w:val="single" w:sz="2" w:space="0" w:color="auto"/>
            </w:tcBorders>
          </w:tcPr>
          <w:p w14:paraId="3FB3E83C" w14:textId="77777777" w:rsidR="007B56BE" w:rsidRPr="00E03D2C" w:rsidRDefault="007B56BE" w:rsidP="009542FF">
            <w:pPr>
              <w:pStyle w:val="TableReference"/>
              <w:tabs>
                <w:tab w:val="left" w:pos="3306"/>
              </w:tabs>
              <w:spacing w:before="60"/>
              <w:rPr>
                <w:rFonts w:cs="Calibri"/>
                <w:color w:val="7030A0"/>
                <w:sz w:val="14"/>
              </w:rPr>
            </w:pPr>
          </w:p>
        </w:tc>
        <w:tc>
          <w:tcPr>
            <w:tcW w:w="5790" w:type="dxa"/>
            <w:tcBorders>
              <w:top w:val="nil"/>
              <w:left w:val="single" w:sz="2" w:space="0" w:color="auto"/>
              <w:bottom w:val="nil"/>
              <w:right w:val="nil"/>
            </w:tcBorders>
            <w:vAlign w:val="bottom"/>
          </w:tcPr>
          <w:p w14:paraId="73E11AB0" w14:textId="77777777" w:rsidR="007B56BE" w:rsidRPr="00470415" w:rsidRDefault="007B56BE" w:rsidP="009542FF">
            <w:pPr>
              <w:pStyle w:val="TableText"/>
              <w:tabs>
                <w:tab w:val="left" w:pos="3306"/>
              </w:tabs>
              <w:rPr>
                <w:rFonts w:cs="Calibri"/>
                <w:b/>
              </w:rPr>
            </w:pPr>
            <w:r w:rsidRPr="00470415">
              <w:rPr>
                <w:rFonts w:cs="Calibri"/>
                <w:b/>
              </w:rPr>
              <w:t>Financial Assets</w:t>
            </w:r>
          </w:p>
        </w:tc>
        <w:tc>
          <w:tcPr>
            <w:tcW w:w="1722" w:type="dxa"/>
            <w:tcBorders>
              <w:top w:val="nil"/>
              <w:left w:val="nil"/>
              <w:bottom w:val="nil"/>
              <w:right w:val="nil"/>
            </w:tcBorders>
            <w:vAlign w:val="bottom"/>
          </w:tcPr>
          <w:p w14:paraId="1DC9CA6D"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1676E12" w14:textId="77777777" w:rsidR="007B56BE" w:rsidRPr="00470415" w:rsidRDefault="007B56BE" w:rsidP="009542FF">
            <w:pPr>
              <w:pStyle w:val="TableText"/>
              <w:tabs>
                <w:tab w:val="left" w:pos="3306"/>
              </w:tabs>
              <w:jc w:val="right"/>
              <w:rPr>
                <w:rFonts w:cs="Calibri"/>
              </w:rPr>
            </w:pPr>
          </w:p>
        </w:tc>
      </w:tr>
      <w:tr w:rsidR="007B56BE" w:rsidRPr="00CF7E1B" w14:paraId="3608F36E" w14:textId="77777777" w:rsidTr="0004564D">
        <w:trPr>
          <w:trHeight w:val="23"/>
        </w:trPr>
        <w:tc>
          <w:tcPr>
            <w:tcW w:w="1560" w:type="dxa"/>
            <w:tcBorders>
              <w:top w:val="nil"/>
              <w:left w:val="single" w:sz="2" w:space="0" w:color="auto"/>
              <w:bottom w:val="nil"/>
              <w:right w:val="single" w:sz="2" w:space="0" w:color="auto"/>
            </w:tcBorders>
          </w:tcPr>
          <w:p w14:paraId="2742316C" w14:textId="77777777" w:rsidR="007B56BE" w:rsidRPr="00E03D2C" w:rsidRDefault="007B56BE" w:rsidP="009542FF">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r w:rsidR="00D001B7" w:rsidRPr="00E03D2C">
              <w:rPr>
                <w:rFonts w:cs="Calibri"/>
                <w:color w:val="7030A0"/>
                <w:sz w:val="14"/>
              </w:rPr>
              <w:t>(</w:t>
            </w:r>
            <w:r w:rsidRPr="00E03D2C">
              <w:rPr>
                <w:rFonts w:cs="Calibri"/>
                <w:color w:val="7030A0"/>
                <w:sz w:val="14"/>
              </w:rPr>
              <w:t>a)</w:t>
            </w:r>
          </w:p>
        </w:tc>
        <w:tc>
          <w:tcPr>
            <w:tcW w:w="5790" w:type="dxa"/>
            <w:tcBorders>
              <w:top w:val="nil"/>
              <w:left w:val="single" w:sz="2" w:space="0" w:color="auto"/>
              <w:bottom w:val="nil"/>
              <w:right w:val="nil"/>
            </w:tcBorders>
            <w:vAlign w:val="bottom"/>
          </w:tcPr>
          <w:p w14:paraId="316EB315" w14:textId="0C7FC7DE" w:rsidR="007B56BE" w:rsidRPr="00470415" w:rsidRDefault="007B56BE" w:rsidP="002B6D05">
            <w:pPr>
              <w:pStyle w:val="TableText"/>
              <w:tabs>
                <w:tab w:val="left" w:pos="3306"/>
              </w:tabs>
              <w:rPr>
                <w:rFonts w:cs="Calibri"/>
              </w:rPr>
            </w:pPr>
            <w:r w:rsidRPr="00470415">
              <w:rPr>
                <w:rFonts w:cs="Calibri"/>
              </w:rPr>
              <w:t xml:space="preserve">Financial Assets </w:t>
            </w:r>
            <w:r w:rsidR="002B6D05" w:rsidRPr="00470415">
              <w:rPr>
                <w:rFonts w:cs="Calibri"/>
              </w:rPr>
              <w:t>M</w:t>
            </w:r>
            <w:r w:rsidR="000D37BB" w:rsidRPr="00470415">
              <w:rPr>
                <w:rFonts w:cs="Calibri"/>
              </w:rPr>
              <w:t>easured at</w:t>
            </w:r>
            <w:r w:rsidRPr="00470415">
              <w:rPr>
                <w:rFonts w:cs="Calibri"/>
              </w:rPr>
              <w:t xml:space="preserve"> Fair Value through the Profit and Loss</w:t>
            </w:r>
            <w:r w:rsidR="002626C5" w:rsidRPr="00470415">
              <w:rPr>
                <w:rFonts w:cs="Calibri"/>
              </w:rPr>
              <w:t xml:space="preserve"> </w:t>
            </w:r>
            <w:r w:rsidR="002626C5" w:rsidRPr="00470415">
              <w:rPr>
                <w:rFonts w:cs="Calibri"/>
              </w:rPr>
              <w:sym w:font="Symbol" w:char="F02D"/>
            </w:r>
            <w:r w:rsidR="00FA7C77">
              <w:rPr>
                <w:rFonts w:cs="Calibri"/>
              </w:rPr>
              <w:t xml:space="preserve"> </w:t>
            </w:r>
            <w:r w:rsidR="002626C5" w:rsidRPr="00470415">
              <w:rPr>
                <w:rFonts w:cs="Calibri"/>
              </w:rPr>
              <w:t>Designated upon Initial Recognition</w:t>
            </w:r>
          </w:p>
        </w:tc>
        <w:tc>
          <w:tcPr>
            <w:tcW w:w="1722" w:type="dxa"/>
            <w:tcBorders>
              <w:top w:val="nil"/>
              <w:left w:val="nil"/>
              <w:bottom w:val="nil"/>
              <w:right w:val="nil"/>
            </w:tcBorders>
            <w:vAlign w:val="bottom"/>
          </w:tcPr>
          <w:p w14:paraId="7ED904F7" w14:textId="77777777" w:rsidR="007B56BE" w:rsidRPr="00470415" w:rsidRDefault="007B56BE"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6A07DDA" w14:textId="77777777" w:rsidR="007B56BE" w:rsidRPr="00470415" w:rsidRDefault="007B56BE" w:rsidP="009542FF">
            <w:pPr>
              <w:pStyle w:val="TableText"/>
              <w:tabs>
                <w:tab w:val="left" w:pos="3306"/>
              </w:tabs>
              <w:jc w:val="right"/>
              <w:rPr>
                <w:rFonts w:cs="Calibri"/>
              </w:rPr>
            </w:pPr>
          </w:p>
        </w:tc>
      </w:tr>
      <w:tr w:rsidR="00B70538" w:rsidRPr="00CF7E1B" w14:paraId="4B087FF8" w14:textId="77777777" w:rsidTr="0004564D">
        <w:trPr>
          <w:trHeight w:val="23"/>
        </w:trPr>
        <w:tc>
          <w:tcPr>
            <w:tcW w:w="1560" w:type="dxa"/>
            <w:tcBorders>
              <w:top w:val="nil"/>
              <w:left w:val="single" w:sz="2" w:space="0" w:color="auto"/>
              <w:bottom w:val="nil"/>
              <w:right w:val="single" w:sz="2" w:space="0" w:color="auto"/>
            </w:tcBorders>
          </w:tcPr>
          <w:p w14:paraId="289CA23F" w14:textId="77777777" w:rsidR="00B70538" w:rsidRPr="00E03D2C" w:rsidRDefault="008907E8" w:rsidP="00490815">
            <w:pPr>
              <w:pStyle w:val="TableReference"/>
              <w:tabs>
                <w:tab w:val="left" w:pos="3306"/>
              </w:tabs>
              <w:spacing w:before="60"/>
              <w:rPr>
                <w:rFonts w:cs="Calibri"/>
                <w:strike/>
                <w:color w:val="7030A0"/>
                <w:sz w:val="14"/>
              </w:rPr>
            </w:pPr>
            <w:r w:rsidRPr="00E03D2C">
              <w:rPr>
                <w:rFonts w:cs="Calibri"/>
                <w:color w:val="7030A0"/>
                <w:sz w:val="14"/>
              </w:rPr>
              <w:t>AASB7.8(f)</w:t>
            </w:r>
          </w:p>
        </w:tc>
        <w:tc>
          <w:tcPr>
            <w:tcW w:w="5790" w:type="dxa"/>
            <w:tcBorders>
              <w:top w:val="nil"/>
              <w:left w:val="single" w:sz="2" w:space="0" w:color="auto"/>
              <w:bottom w:val="nil"/>
              <w:right w:val="nil"/>
            </w:tcBorders>
            <w:vAlign w:val="bottom"/>
          </w:tcPr>
          <w:p w14:paraId="1C091D9C" w14:textId="77777777" w:rsidR="00B70538" w:rsidRPr="00470415" w:rsidRDefault="00222AEE" w:rsidP="002B6D05">
            <w:pPr>
              <w:pStyle w:val="TableText"/>
              <w:tabs>
                <w:tab w:val="left" w:pos="3306"/>
              </w:tabs>
              <w:rPr>
                <w:rFonts w:cs="Calibri"/>
              </w:rPr>
            </w:pPr>
            <w:r w:rsidRPr="00470415">
              <w:rPr>
                <w:rFonts w:cs="Calibri"/>
              </w:rPr>
              <w:t>Financial</w:t>
            </w:r>
            <w:r w:rsidR="000D37BB" w:rsidRPr="00470415">
              <w:rPr>
                <w:rFonts w:cs="Calibri"/>
              </w:rPr>
              <w:t xml:space="preserve"> Assets </w:t>
            </w:r>
            <w:r w:rsidR="002B6D05" w:rsidRPr="00470415">
              <w:rPr>
                <w:rFonts w:cs="Calibri"/>
              </w:rPr>
              <w:t>M</w:t>
            </w:r>
            <w:r w:rsidR="009770A4" w:rsidRPr="00470415">
              <w:rPr>
                <w:rFonts w:cs="Calibri"/>
              </w:rPr>
              <w:t>easured at Amortised Cost</w:t>
            </w:r>
          </w:p>
        </w:tc>
        <w:tc>
          <w:tcPr>
            <w:tcW w:w="1722" w:type="dxa"/>
            <w:tcBorders>
              <w:top w:val="nil"/>
              <w:left w:val="nil"/>
              <w:bottom w:val="nil"/>
              <w:right w:val="nil"/>
            </w:tcBorders>
            <w:vAlign w:val="bottom"/>
          </w:tcPr>
          <w:p w14:paraId="24C1B188" w14:textId="47ACC42D" w:rsidR="00B70538" w:rsidRPr="00470415" w:rsidRDefault="00B70538" w:rsidP="00490815">
            <w:pPr>
              <w:pStyle w:val="TableText"/>
              <w:tabs>
                <w:tab w:val="left" w:pos="3306"/>
              </w:tabs>
              <w:jc w:val="right"/>
              <w:rPr>
                <w:rFonts w:cs="Calibri"/>
                <w:strike/>
              </w:rPr>
            </w:pPr>
          </w:p>
        </w:tc>
        <w:tc>
          <w:tcPr>
            <w:tcW w:w="1418" w:type="dxa"/>
            <w:tcBorders>
              <w:top w:val="nil"/>
              <w:left w:val="nil"/>
              <w:bottom w:val="nil"/>
              <w:right w:val="nil"/>
            </w:tcBorders>
            <w:vAlign w:val="bottom"/>
          </w:tcPr>
          <w:p w14:paraId="35C4694D" w14:textId="376563A7" w:rsidR="00B70538" w:rsidRPr="00470415" w:rsidRDefault="00B70538" w:rsidP="00E91368">
            <w:pPr>
              <w:pStyle w:val="TableText"/>
              <w:tabs>
                <w:tab w:val="left" w:pos="3306"/>
              </w:tabs>
              <w:jc w:val="right"/>
              <w:rPr>
                <w:rFonts w:cs="Calibri"/>
              </w:rPr>
            </w:pPr>
          </w:p>
        </w:tc>
      </w:tr>
      <w:tr w:rsidR="00B70538" w:rsidRPr="00CF7E1B" w14:paraId="06F886B0" w14:textId="77777777" w:rsidTr="0004564D">
        <w:trPr>
          <w:trHeight w:val="233"/>
        </w:trPr>
        <w:tc>
          <w:tcPr>
            <w:tcW w:w="1560" w:type="dxa"/>
            <w:tcBorders>
              <w:top w:val="nil"/>
              <w:left w:val="single" w:sz="2" w:space="0" w:color="auto"/>
              <w:bottom w:val="nil"/>
              <w:right w:val="single" w:sz="2" w:space="0" w:color="auto"/>
            </w:tcBorders>
          </w:tcPr>
          <w:p w14:paraId="2022347F" w14:textId="77777777" w:rsidR="00B70538" w:rsidRPr="00E03D2C" w:rsidRDefault="00B70538" w:rsidP="009542FF">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5B44B916" w14:textId="77777777" w:rsidR="00B70538" w:rsidRPr="00470415" w:rsidRDefault="00B70538" w:rsidP="009542FF">
            <w:pPr>
              <w:pStyle w:val="TableText"/>
              <w:tabs>
                <w:tab w:val="left" w:pos="3306"/>
              </w:tabs>
              <w:spacing w:before="0"/>
              <w:rPr>
                <w:rFonts w:cs="Calibri"/>
                <w:b/>
                <w:bCs/>
              </w:rPr>
            </w:pPr>
          </w:p>
        </w:tc>
        <w:tc>
          <w:tcPr>
            <w:tcW w:w="1722" w:type="dxa"/>
            <w:tcBorders>
              <w:top w:val="nil"/>
              <w:left w:val="nil"/>
              <w:bottom w:val="nil"/>
              <w:right w:val="nil"/>
            </w:tcBorders>
            <w:vAlign w:val="bottom"/>
          </w:tcPr>
          <w:p w14:paraId="767D6FBC" w14:textId="77777777" w:rsidR="00B70538" w:rsidRPr="00470415" w:rsidRDefault="00B70538" w:rsidP="009542FF">
            <w:pPr>
              <w:pStyle w:val="TableText"/>
              <w:tabs>
                <w:tab w:val="left" w:pos="3306"/>
              </w:tabs>
              <w:spacing w:before="0"/>
              <w:jc w:val="center"/>
              <w:rPr>
                <w:rFonts w:cs="Calibri"/>
                <w:b/>
                <w:bCs/>
              </w:rPr>
            </w:pPr>
          </w:p>
        </w:tc>
        <w:tc>
          <w:tcPr>
            <w:tcW w:w="1418" w:type="dxa"/>
            <w:tcBorders>
              <w:top w:val="nil"/>
              <w:left w:val="nil"/>
              <w:bottom w:val="nil"/>
              <w:right w:val="nil"/>
            </w:tcBorders>
            <w:vAlign w:val="bottom"/>
          </w:tcPr>
          <w:p w14:paraId="45346AF8" w14:textId="77777777" w:rsidR="00B70538" w:rsidRPr="00470415" w:rsidRDefault="00B70538" w:rsidP="009542FF">
            <w:pPr>
              <w:pStyle w:val="TableText"/>
              <w:tabs>
                <w:tab w:val="left" w:pos="3306"/>
              </w:tabs>
              <w:spacing w:before="0"/>
              <w:jc w:val="center"/>
              <w:rPr>
                <w:rFonts w:cs="Calibri"/>
                <w:b/>
                <w:bCs/>
              </w:rPr>
            </w:pPr>
          </w:p>
        </w:tc>
      </w:tr>
      <w:tr w:rsidR="00B70538" w:rsidRPr="00CF7E1B" w14:paraId="5F3C1454" w14:textId="77777777" w:rsidTr="0004564D">
        <w:trPr>
          <w:trHeight w:val="23"/>
        </w:trPr>
        <w:tc>
          <w:tcPr>
            <w:tcW w:w="1560" w:type="dxa"/>
            <w:tcBorders>
              <w:top w:val="nil"/>
              <w:left w:val="single" w:sz="2" w:space="0" w:color="auto"/>
              <w:bottom w:val="nil"/>
              <w:right w:val="single" w:sz="2" w:space="0" w:color="auto"/>
            </w:tcBorders>
          </w:tcPr>
          <w:p w14:paraId="0753B235"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30E84B6F" w14:textId="77777777" w:rsidR="00B70538" w:rsidRPr="00470415" w:rsidRDefault="00B70538" w:rsidP="009542FF">
            <w:pPr>
              <w:pStyle w:val="TableText"/>
              <w:tabs>
                <w:tab w:val="left" w:pos="3306"/>
              </w:tabs>
              <w:rPr>
                <w:rFonts w:cs="Calibri"/>
                <w:b/>
              </w:rPr>
            </w:pPr>
            <w:r w:rsidRPr="00470415">
              <w:rPr>
                <w:rFonts w:cs="Calibri"/>
                <w:b/>
              </w:rPr>
              <w:t>Financial Liabilities</w:t>
            </w:r>
          </w:p>
        </w:tc>
        <w:tc>
          <w:tcPr>
            <w:tcW w:w="1722" w:type="dxa"/>
            <w:tcBorders>
              <w:top w:val="nil"/>
              <w:left w:val="nil"/>
              <w:bottom w:val="nil"/>
              <w:right w:val="nil"/>
            </w:tcBorders>
            <w:vAlign w:val="bottom"/>
          </w:tcPr>
          <w:p w14:paraId="5AA2B34B"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EC53983" w14:textId="77777777" w:rsidR="00B70538" w:rsidRPr="00470415" w:rsidRDefault="00B70538" w:rsidP="009542FF">
            <w:pPr>
              <w:pStyle w:val="TableText"/>
              <w:tabs>
                <w:tab w:val="left" w:pos="3306"/>
              </w:tabs>
              <w:jc w:val="right"/>
              <w:rPr>
                <w:rFonts w:cs="Calibri"/>
              </w:rPr>
            </w:pPr>
          </w:p>
        </w:tc>
      </w:tr>
      <w:tr w:rsidR="00B70538" w:rsidRPr="00CF7E1B" w14:paraId="069D90EE" w14:textId="77777777" w:rsidTr="0004564D">
        <w:trPr>
          <w:trHeight w:val="23"/>
        </w:trPr>
        <w:tc>
          <w:tcPr>
            <w:tcW w:w="1560" w:type="dxa"/>
            <w:tcBorders>
              <w:top w:val="nil"/>
              <w:left w:val="single" w:sz="2" w:space="0" w:color="auto"/>
              <w:bottom w:val="nil"/>
              <w:right w:val="single" w:sz="2" w:space="0" w:color="auto"/>
            </w:tcBorders>
          </w:tcPr>
          <w:p w14:paraId="1EE4CE22" w14:textId="77777777" w:rsidR="00B70538" w:rsidRPr="00E03D2C" w:rsidRDefault="00B70538" w:rsidP="00490815">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r w:rsidR="00490815" w:rsidRPr="00E03D2C">
              <w:rPr>
                <w:rFonts w:cs="Calibri"/>
                <w:color w:val="7030A0"/>
                <w:sz w:val="14"/>
              </w:rPr>
              <w:t xml:space="preserve"> </w:t>
            </w:r>
            <w:r w:rsidR="008907E8" w:rsidRPr="00E03D2C">
              <w:rPr>
                <w:rFonts w:cs="Calibri"/>
                <w:color w:val="7030A0"/>
                <w:sz w:val="14"/>
              </w:rPr>
              <w:t>(g)</w:t>
            </w:r>
          </w:p>
        </w:tc>
        <w:tc>
          <w:tcPr>
            <w:tcW w:w="5790" w:type="dxa"/>
            <w:tcBorders>
              <w:top w:val="nil"/>
              <w:left w:val="single" w:sz="2" w:space="0" w:color="auto"/>
              <w:bottom w:val="nil"/>
              <w:right w:val="nil"/>
            </w:tcBorders>
            <w:vAlign w:val="bottom"/>
          </w:tcPr>
          <w:p w14:paraId="4AC4AC3E" w14:textId="77777777" w:rsidR="00B70538" w:rsidRPr="00470415" w:rsidRDefault="00B70538" w:rsidP="009542FF">
            <w:pPr>
              <w:pStyle w:val="TableText"/>
              <w:tabs>
                <w:tab w:val="left" w:pos="3306"/>
              </w:tabs>
              <w:rPr>
                <w:rFonts w:cs="Calibri"/>
              </w:rPr>
            </w:pPr>
            <w:r w:rsidRPr="00470415">
              <w:rPr>
                <w:rFonts w:cs="Calibri"/>
              </w:rPr>
              <w:t xml:space="preserve">Financial Liabilities </w:t>
            </w:r>
            <w:r w:rsidR="00D52567" w:rsidRPr="00470415">
              <w:rPr>
                <w:rFonts w:cs="Calibri"/>
              </w:rPr>
              <w:t>M</w:t>
            </w:r>
            <w:r w:rsidRPr="00470415">
              <w:rPr>
                <w:rFonts w:cs="Calibri"/>
              </w:rPr>
              <w:t>easured at Amortised Cost</w:t>
            </w:r>
          </w:p>
        </w:tc>
        <w:tc>
          <w:tcPr>
            <w:tcW w:w="1722" w:type="dxa"/>
            <w:tcBorders>
              <w:top w:val="nil"/>
              <w:left w:val="nil"/>
              <w:bottom w:val="nil"/>
              <w:right w:val="nil"/>
            </w:tcBorders>
            <w:vAlign w:val="bottom"/>
          </w:tcPr>
          <w:p w14:paraId="7610A1B5" w14:textId="68AC042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77189F20" w14:textId="49EEC944" w:rsidR="00B70538" w:rsidRPr="00470415" w:rsidRDefault="00B70538" w:rsidP="009542FF">
            <w:pPr>
              <w:pStyle w:val="TableText"/>
              <w:tabs>
                <w:tab w:val="left" w:pos="3306"/>
              </w:tabs>
              <w:jc w:val="right"/>
              <w:rPr>
                <w:rFonts w:cs="Calibri"/>
              </w:rPr>
            </w:pPr>
          </w:p>
        </w:tc>
      </w:tr>
      <w:tr w:rsidR="00B70538" w:rsidRPr="00CF7E1B" w14:paraId="0C050807" w14:textId="77777777" w:rsidTr="0004564D">
        <w:trPr>
          <w:trHeight w:val="302"/>
        </w:trPr>
        <w:tc>
          <w:tcPr>
            <w:tcW w:w="1560" w:type="dxa"/>
            <w:tcBorders>
              <w:top w:val="nil"/>
              <w:left w:val="single" w:sz="2" w:space="0" w:color="auto"/>
              <w:bottom w:val="nil"/>
              <w:right w:val="single" w:sz="2" w:space="0" w:color="auto"/>
            </w:tcBorders>
          </w:tcPr>
          <w:p w14:paraId="65CDA924" w14:textId="77777777" w:rsidR="00B70538" w:rsidRPr="00E03D2C" w:rsidRDefault="00B70538" w:rsidP="009542FF">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1DDEAA23" w14:textId="77777777" w:rsidR="00B70538" w:rsidRPr="00470415" w:rsidRDefault="00B70538" w:rsidP="009542FF">
            <w:pPr>
              <w:pStyle w:val="TableText"/>
              <w:tabs>
                <w:tab w:val="left" w:pos="3306"/>
              </w:tabs>
              <w:spacing w:before="0"/>
              <w:rPr>
                <w:rFonts w:cs="Calibri"/>
              </w:rPr>
            </w:pPr>
          </w:p>
        </w:tc>
        <w:tc>
          <w:tcPr>
            <w:tcW w:w="1722" w:type="dxa"/>
            <w:tcBorders>
              <w:top w:val="nil"/>
              <w:left w:val="nil"/>
              <w:bottom w:val="nil"/>
              <w:right w:val="nil"/>
            </w:tcBorders>
            <w:vAlign w:val="bottom"/>
          </w:tcPr>
          <w:p w14:paraId="0231D550" w14:textId="77777777" w:rsidR="00B70538" w:rsidRPr="00470415" w:rsidRDefault="00B70538" w:rsidP="009542FF">
            <w:pPr>
              <w:pStyle w:val="TableText"/>
              <w:tabs>
                <w:tab w:val="left" w:pos="3306"/>
              </w:tabs>
              <w:spacing w:before="0"/>
              <w:jc w:val="right"/>
              <w:rPr>
                <w:rFonts w:cs="Calibri"/>
              </w:rPr>
            </w:pPr>
          </w:p>
        </w:tc>
        <w:tc>
          <w:tcPr>
            <w:tcW w:w="1418" w:type="dxa"/>
            <w:tcBorders>
              <w:top w:val="nil"/>
              <w:left w:val="nil"/>
              <w:bottom w:val="nil"/>
              <w:right w:val="nil"/>
            </w:tcBorders>
            <w:vAlign w:val="bottom"/>
          </w:tcPr>
          <w:p w14:paraId="4CD1144F" w14:textId="77777777" w:rsidR="00B70538" w:rsidRPr="00470415" w:rsidRDefault="00B70538" w:rsidP="009542FF">
            <w:pPr>
              <w:pStyle w:val="TableText"/>
              <w:tabs>
                <w:tab w:val="left" w:pos="3306"/>
              </w:tabs>
              <w:spacing w:before="0"/>
              <w:jc w:val="right"/>
              <w:rPr>
                <w:rFonts w:cs="Calibri"/>
              </w:rPr>
            </w:pPr>
          </w:p>
        </w:tc>
      </w:tr>
      <w:tr w:rsidR="00C05069" w:rsidRPr="00CF7E1B" w14:paraId="0F024374" w14:textId="77777777" w:rsidTr="0004564D">
        <w:trPr>
          <w:trHeight w:val="23"/>
        </w:trPr>
        <w:tc>
          <w:tcPr>
            <w:tcW w:w="1560" w:type="dxa"/>
            <w:tcBorders>
              <w:top w:val="nil"/>
              <w:left w:val="single" w:sz="2" w:space="0" w:color="auto"/>
              <w:bottom w:val="nil"/>
              <w:right w:val="single" w:sz="2" w:space="0" w:color="auto"/>
            </w:tcBorders>
          </w:tcPr>
          <w:p w14:paraId="3811992F" w14:textId="77777777" w:rsidR="00C05069" w:rsidRPr="00E03D2C" w:rsidRDefault="00C05069"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162E7319" w14:textId="70090F4F" w:rsidR="00C05069" w:rsidRPr="00470415" w:rsidRDefault="007139BC" w:rsidP="00382D79">
            <w:pPr>
              <w:pStyle w:val="TableText"/>
              <w:tabs>
                <w:tab w:val="left" w:pos="3306"/>
              </w:tabs>
              <w:spacing w:before="0" w:after="120"/>
              <w:jc w:val="both"/>
              <w:rPr>
                <w:rFonts w:cs="Calibri"/>
              </w:rPr>
            </w:pPr>
            <w:r w:rsidRPr="00470415">
              <w:rPr>
                <w:rFonts w:cs="Calibri"/>
              </w:rPr>
              <w:t>T</w:t>
            </w:r>
            <w:r w:rsidR="00E86599" w:rsidRPr="00470415">
              <w:rPr>
                <w:rFonts w:cs="Calibri"/>
              </w:rPr>
              <w:t xml:space="preserve">he </w:t>
            </w:r>
            <w:r w:rsidR="00B96D8D" w:rsidRPr="00470415">
              <w:rPr>
                <w:rFonts w:cs="Calibri"/>
              </w:rPr>
              <w:t>Agency</w:t>
            </w:r>
            <w:r w:rsidR="00C05069" w:rsidRPr="00470415">
              <w:rPr>
                <w:rFonts w:cs="Calibri"/>
              </w:rPr>
              <w:t xml:space="preserve"> does not have any financial liabilities in the </w:t>
            </w:r>
            <w:r w:rsidR="001138CE" w:rsidRPr="00470415">
              <w:rPr>
                <w:rFonts w:cs="Calibri"/>
              </w:rPr>
              <w:t>‘</w:t>
            </w:r>
            <w:r w:rsidR="009E568D" w:rsidRPr="00470415">
              <w:rPr>
                <w:rFonts w:cs="Calibri"/>
              </w:rPr>
              <w:t>Financial Liabilities at Fai</w:t>
            </w:r>
            <w:r w:rsidR="001138CE" w:rsidRPr="00470415">
              <w:rPr>
                <w:rFonts w:cs="Calibri"/>
              </w:rPr>
              <w:t>r Value through Profit and Loss’</w:t>
            </w:r>
            <w:r w:rsidR="00875EF9" w:rsidRPr="00470415">
              <w:rPr>
                <w:rFonts w:cs="Calibri"/>
              </w:rPr>
              <w:t xml:space="preserve"> category</w:t>
            </w:r>
            <w:r w:rsidR="009E568D" w:rsidRPr="00470415">
              <w:rPr>
                <w:rFonts w:cs="Calibri"/>
              </w:rPr>
              <w:t xml:space="preserve"> and</w:t>
            </w:r>
            <w:r w:rsidR="001138CE" w:rsidRPr="00470415">
              <w:rPr>
                <w:rFonts w:cs="Calibri"/>
              </w:rPr>
              <w:t>,</w:t>
            </w:r>
            <w:r w:rsidR="009E568D" w:rsidRPr="00470415">
              <w:rPr>
                <w:rFonts w:cs="Calibri"/>
              </w:rPr>
              <w:t xml:space="preserve"> as such</w:t>
            </w:r>
            <w:r w:rsidR="001138CE" w:rsidRPr="00470415">
              <w:rPr>
                <w:rFonts w:cs="Calibri"/>
              </w:rPr>
              <w:t>,</w:t>
            </w:r>
            <w:r w:rsidR="009E568D" w:rsidRPr="00470415">
              <w:rPr>
                <w:rFonts w:cs="Calibri"/>
              </w:rPr>
              <w:t xml:space="preserve"> this category is not included above.</w:t>
            </w:r>
            <w:r w:rsidR="00FA7C77">
              <w:rPr>
                <w:rFonts w:cs="Calibri"/>
              </w:rPr>
              <w:t xml:space="preserve"> </w:t>
            </w:r>
          </w:p>
        </w:tc>
      </w:tr>
      <w:tr w:rsidR="009E568D" w:rsidRPr="00CF7E1B" w14:paraId="36666E29" w14:textId="77777777" w:rsidTr="0004564D">
        <w:trPr>
          <w:trHeight w:val="23"/>
        </w:trPr>
        <w:tc>
          <w:tcPr>
            <w:tcW w:w="1560" w:type="dxa"/>
            <w:tcBorders>
              <w:top w:val="nil"/>
              <w:left w:val="single" w:sz="2" w:space="0" w:color="auto"/>
              <w:bottom w:val="nil"/>
              <w:right w:val="single" w:sz="2" w:space="0" w:color="auto"/>
            </w:tcBorders>
          </w:tcPr>
          <w:p w14:paraId="64E2638C" w14:textId="77777777" w:rsidR="009E568D" w:rsidRPr="00E03D2C" w:rsidRDefault="009E568D"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5C11EAB8" w14:textId="77777777" w:rsidR="009E568D" w:rsidRPr="00470415" w:rsidRDefault="009E568D" w:rsidP="009542FF">
            <w:pPr>
              <w:pStyle w:val="TableText"/>
              <w:tabs>
                <w:tab w:val="left" w:pos="3306"/>
              </w:tabs>
              <w:jc w:val="right"/>
              <w:rPr>
                <w:rFonts w:cs="Calibri"/>
              </w:rPr>
            </w:pPr>
          </w:p>
        </w:tc>
      </w:tr>
      <w:tr w:rsidR="009E568D" w:rsidRPr="00CF7E1B" w14:paraId="43CCEB99" w14:textId="77777777" w:rsidTr="0004564D">
        <w:trPr>
          <w:trHeight w:val="23"/>
        </w:trPr>
        <w:tc>
          <w:tcPr>
            <w:tcW w:w="1560" w:type="dxa"/>
            <w:tcBorders>
              <w:top w:val="nil"/>
              <w:left w:val="single" w:sz="2" w:space="0" w:color="auto"/>
              <w:bottom w:val="nil"/>
              <w:right w:val="single" w:sz="2" w:space="0" w:color="auto"/>
            </w:tcBorders>
          </w:tcPr>
          <w:p w14:paraId="129CE228" w14:textId="77777777" w:rsidR="009E568D" w:rsidRPr="00E03D2C" w:rsidRDefault="009E568D" w:rsidP="009542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279CC20B" w14:textId="77777777" w:rsidR="009E568D" w:rsidRPr="00470415" w:rsidRDefault="009E568D" w:rsidP="00382D79">
            <w:pPr>
              <w:pStyle w:val="TableText"/>
              <w:tabs>
                <w:tab w:val="left" w:pos="3306"/>
              </w:tabs>
              <w:spacing w:before="0" w:after="120"/>
              <w:rPr>
                <w:rFonts w:cs="Calibri"/>
              </w:rPr>
            </w:pPr>
            <w:r w:rsidRPr="00470415">
              <w:rPr>
                <w:rFonts w:cs="Calibri"/>
                <w:b/>
                <w:bCs/>
              </w:rPr>
              <w:t>Gains</w:t>
            </w:r>
            <w:r w:rsidR="003A69E5" w:rsidRPr="00470415">
              <w:rPr>
                <w:rFonts w:cs="Calibri"/>
                <w:b/>
                <w:bCs/>
              </w:rPr>
              <w:t>/</w:t>
            </w:r>
            <w:r w:rsidRPr="00470415">
              <w:rPr>
                <w:rFonts w:cs="Calibri"/>
                <w:b/>
                <w:bCs/>
              </w:rPr>
              <w:t xml:space="preserve"> </w:t>
            </w:r>
            <w:r w:rsidR="003A69E5" w:rsidRPr="00470415">
              <w:rPr>
                <w:rFonts w:cs="Calibri"/>
                <w:b/>
                <w:bCs/>
              </w:rPr>
              <w:t xml:space="preserve">(Losses) </w:t>
            </w:r>
            <w:r w:rsidRPr="00470415">
              <w:rPr>
                <w:rFonts w:cs="Calibri"/>
                <w:b/>
                <w:bCs/>
              </w:rPr>
              <w:t>on</w:t>
            </w:r>
            <w:r w:rsidR="00E56EEC" w:rsidRPr="00470415">
              <w:rPr>
                <w:rFonts w:cs="Calibri"/>
                <w:b/>
                <w:bCs/>
              </w:rPr>
              <w:t xml:space="preserve"> Each Ca</w:t>
            </w:r>
            <w:r w:rsidR="00F95FBA" w:rsidRPr="00470415">
              <w:rPr>
                <w:rFonts w:cs="Calibri"/>
                <w:b/>
                <w:bCs/>
              </w:rPr>
              <w:t>tegory</w:t>
            </w:r>
            <w:r w:rsidR="00E56EEC" w:rsidRPr="00470415">
              <w:rPr>
                <w:rFonts w:cs="Calibri"/>
                <w:b/>
                <w:bCs/>
              </w:rPr>
              <w:t xml:space="preserve"> of</w:t>
            </w:r>
            <w:r w:rsidRPr="00470415">
              <w:rPr>
                <w:rFonts w:cs="Calibri"/>
                <w:b/>
                <w:bCs/>
              </w:rPr>
              <w:t xml:space="preserve"> </w:t>
            </w:r>
            <w:r w:rsidRPr="00470415">
              <w:rPr>
                <w:rFonts w:cs="Calibri"/>
                <w:b/>
              </w:rPr>
              <w:t>Financial Asset and Financial Liabilit</w:t>
            </w:r>
            <w:r w:rsidR="00E56EEC" w:rsidRPr="00470415">
              <w:rPr>
                <w:rFonts w:cs="Calibri"/>
                <w:b/>
              </w:rPr>
              <w:t>y</w:t>
            </w:r>
          </w:p>
        </w:tc>
      </w:tr>
      <w:tr w:rsidR="00B70538" w:rsidRPr="00CF7E1B" w14:paraId="1326BFE7" w14:textId="77777777" w:rsidTr="0004564D">
        <w:trPr>
          <w:trHeight w:val="23"/>
        </w:trPr>
        <w:tc>
          <w:tcPr>
            <w:tcW w:w="1560" w:type="dxa"/>
            <w:tcBorders>
              <w:top w:val="nil"/>
              <w:left w:val="single" w:sz="2" w:space="0" w:color="auto"/>
              <w:bottom w:val="nil"/>
              <w:right w:val="single" w:sz="2" w:space="0" w:color="auto"/>
            </w:tcBorders>
          </w:tcPr>
          <w:p w14:paraId="277730FD"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229F1CAC" w14:textId="77777777" w:rsidR="00B70538" w:rsidRPr="00470415" w:rsidRDefault="00B70538" w:rsidP="009542FF">
            <w:pPr>
              <w:pStyle w:val="TableText"/>
              <w:tabs>
                <w:tab w:val="left" w:pos="3306"/>
              </w:tabs>
              <w:rPr>
                <w:rFonts w:cs="Calibri"/>
                <w:b/>
              </w:rPr>
            </w:pPr>
            <w:r w:rsidRPr="00470415">
              <w:rPr>
                <w:rFonts w:cs="Calibri"/>
                <w:b/>
              </w:rPr>
              <w:t xml:space="preserve">Gains </w:t>
            </w:r>
            <w:r w:rsidR="003A69E5" w:rsidRPr="00470415">
              <w:rPr>
                <w:rFonts w:cs="Calibri"/>
                <w:b/>
              </w:rPr>
              <w:t xml:space="preserve">/(Losses) </w:t>
            </w:r>
            <w:r w:rsidRPr="00470415">
              <w:rPr>
                <w:rFonts w:cs="Calibri"/>
                <w:b/>
              </w:rPr>
              <w:t xml:space="preserve">on Financial Assets </w:t>
            </w:r>
          </w:p>
        </w:tc>
        <w:tc>
          <w:tcPr>
            <w:tcW w:w="1722" w:type="dxa"/>
            <w:tcBorders>
              <w:top w:val="nil"/>
              <w:left w:val="nil"/>
              <w:bottom w:val="nil"/>
              <w:right w:val="nil"/>
            </w:tcBorders>
            <w:vAlign w:val="bottom"/>
          </w:tcPr>
          <w:p w14:paraId="4D1BC641"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3D91884D" w14:textId="77777777" w:rsidR="00B70538" w:rsidRPr="00470415" w:rsidRDefault="00B70538" w:rsidP="009542FF">
            <w:pPr>
              <w:pStyle w:val="TableText"/>
              <w:tabs>
                <w:tab w:val="left" w:pos="3306"/>
              </w:tabs>
              <w:jc w:val="right"/>
              <w:rPr>
                <w:rFonts w:cs="Calibri"/>
              </w:rPr>
            </w:pPr>
          </w:p>
        </w:tc>
      </w:tr>
      <w:tr w:rsidR="00B70538" w:rsidRPr="00CF7E1B" w14:paraId="75CFD671" w14:textId="77777777" w:rsidTr="0004564D">
        <w:trPr>
          <w:trHeight w:val="23"/>
        </w:trPr>
        <w:tc>
          <w:tcPr>
            <w:tcW w:w="1560" w:type="dxa"/>
            <w:tcBorders>
              <w:top w:val="nil"/>
              <w:left w:val="single" w:sz="2" w:space="0" w:color="auto"/>
              <w:bottom w:val="nil"/>
              <w:right w:val="single" w:sz="2" w:space="0" w:color="auto"/>
            </w:tcBorders>
          </w:tcPr>
          <w:p w14:paraId="509CB0CC"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20(a)(i)</w:t>
            </w:r>
          </w:p>
        </w:tc>
        <w:tc>
          <w:tcPr>
            <w:tcW w:w="5790" w:type="dxa"/>
            <w:tcBorders>
              <w:top w:val="nil"/>
              <w:left w:val="single" w:sz="2" w:space="0" w:color="auto"/>
              <w:bottom w:val="nil"/>
              <w:right w:val="nil"/>
            </w:tcBorders>
            <w:vAlign w:val="bottom"/>
          </w:tcPr>
          <w:p w14:paraId="26375E93" w14:textId="77777777" w:rsidR="00B70538" w:rsidRPr="00470415" w:rsidRDefault="00B70538" w:rsidP="009542FF">
            <w:pPr>
              <w:pStyle w:val="TableText"/>
              <w:tabs>
                <w:tab w:val="left" w:pos="3306"/>
              </w:tabs>
              <w:rPr>
                <w:rFonts w:cs="Calibri"/>
              </w:rPr>
            </w:pPr>
            <w:r w:rsidRPr="00470415">
              <w:rPr>
                <w:rFonts w:cs="Calibri"/>
              </w:rPr>
              <w:t>Financial Assets at Fair Value through the Profit and Loss</w:t>
            </w:r>
          </w:p>
        </w:tc>
        <w:tc>
          <w:tcPr>
            <w:tcW w:w="1722" w:type="dxa"/>
            <w:tcBorders>
              <w:top w:val="nil"/>
              <w:left w:val="nil"/>
              <w:bottom w:val="nil"/>
              <w:right w:val="nil"/>
            </w:tcBorders>
            <w:vAlign w:val="bottom"/>
          </w:tcPr>
          <w:p w14:paraId="3533E66C"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231B9FD8" w14:textId="77777777" w:rsidR="00B70538" w:rsidRPr="00470415" w:rsidRDefault="00B70538" w:rsidP="009542FF">
            <w:pPr>
              <w:pStyle w:val="TableText"/>
              <w:tabs>
                <w:tab w:val="left" w:pos="3306"/>
              </w:tabs>
              <w:jc w:val="right"/>
              <w:rPr>
                <w:rFonts w:cs="Calibri"/>
              </w:rPr>
            </w:pPr>
          </w:p>
        </w:tc>
      </w:tr>
      <w:tr w:rsidR="00B70538" w:rsidRPr="00CF7E1B" w14:paraId="6C3D6B51" w14:textId="77777777" w:rsidTr="0004564D">
        <w:trPr>
          <w:trHeight w:val="23"/>
        </w:trPr>
        <w:tc>
          <w:tcPr>
            <w:tcW w:w="1560" w:type="dxa"/>
            <w:tcBorders>
              <w:top w:val="nil"/>
              <w:left w:val="single" w:sz="2" w:space="0" w:color="auto"/>
              <w:bottom w:val="nil"/>
              <w:right w:val="single" w:sz="2" w:space="0" w:color="auto"/>
            </w:tcBorders>
          </w:tcPr>
          <w:p w14:paraId="41629700"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20(a)(i)</w:t>
            </w:r>
          </w:p>
        </w:tc>
        <w:tc>
          <w:tcPr>
            <w:tcW w:w="5790" w:type="dxa"/>
            <w:tcBorders>
              <w:top w:val="nil"/>
              <w:left w:val="single" w:sz="2" w:space="0" w:color="auto"/>
              <w:bottom w:val="nil"/>
              <w:right w:val="nil"/>
            </w:tcBorders>
            <w:vAlign w:val="bottom"/>
          </w:tcPr>
          <w:p w14:paraId="7E47AED7" w14:textId="77777777" w:rsidR="00B70538" w:rsidRPr="00470415" w:rsidRDefault="00B70538" w:rsidP="000A5097">
            <w:pPr>
              <w:pStyle w:val="TableText"/>
              <w:tabs>
                <w:tab w:val="left" w:pos="633"/>
                <w:tab w:val="left" w:pos="3306"/>
              </w:tabs>
              <w:rPr>
                <w:rFonts w:cs="Calibri"/>
              </w:rPr>
            </w:pPr>
            <w:r w:rsidRPr="00470415">
              <w:rPr>
                <w:rFonts w:cs="Calibri"/>
              </w:rPr>
              <w:t>Designated upon Initial Recognition</w:t>
            </w:r>
          </w:p>
        </w:tc>
        <w:tc>
          <w:tcPr>
            <w:tcW w:w="1722" w:type="dxa"/>
            <w:tcBorders>
              <w:top w:val="nil"/>
              <w:left w:val="nil"/>
              <w:bottom w:val="nil"/>
              <w:right w:val="nil"/>
            </w:tcBorders>
            <w:vAlign w:val="bottom"/>
          </w:tcPr>
          <w:p w14:paraId="1F0B7820" w14:textId="624C80A1"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160C2D95" w14:textId="2A282CD4" w:rsidR="00B70538" w:rsidRPr="00470415" w:rsidRDefault="00B70538" w:rsidP="009542FF">
            <w:pPr>
              <w:pStyle w:val="TableText"/>
              <w:tabs>
                <w:tab w:val="left" w:pos="3306"/>
              </w:tabs>
              <w:jc w:val="right"/>
              <w:rPr>
                <w:rFonts w:cs="Calibri"/>
              </w:rPr>
            </w:pPr>
          </w:p>
        </w:tc>
      </w:tr>
      <w:tr w:rsidR="00B70538" w:rsidRPr="00CF7E1B" w14:paraId="1DE5E854" w14:textId="77777777" w:rsidTr="0004564D">
        <w:trPr>
          <w:trHeight w:val="207"/>
        </w:trPr>
        <w:tc>
          <w:tcPr>
            <w:tcW w:w="1560" w:type="dxa"/>
            <w:tcBorders>
              <w:top w:val="nil"/>
              <w:left w:val="single" w:sz="2" w:space="0" w:color="auto"/>
              <w:bottom w:val="nil"/>
              <w:right w:val="single" w:sz="2" w:space="0" w:color="auto"/>
            </w:tcBorders>
          </w:tcPr>
          <w:p w14:paraId="0B4AF97E" w14:textId="77777777" w:rsidR="00B70538" w:rsidRPr="00E03D2C" w:rsidRDefault="00B70538" w:rsidP="00127864">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5651FC03" w14:textId="77777777" w:rsidR="00B70538" w:rsidRPr="00470415" w:rsidRDefault="00B70538" w:rsidP="00127864">
            <w:pPr>
              <w:pStyle w:val="TableText"/>
              <w:tabs>
                <w:tab w:val="left" w:pos="3306"/>
              </w:tabs>
              <w:spacing w:before="0"/>
              <w:rPr>
                <w:rFonts w:cs="Calibri"/>
                <w:b/>
                <w:bCs/>
              </w:rPr>
            </w:pPr>
          </w:p>
        </w:tc>
        <w:tc>
          <w:tcPr>
            <w:tcW w:w="1722" w:type="dxa"/>
            <w:tcBorders>
              <w:top w:val="nil"/>
              <w:left w:val="nil"/>
              <w:bottom w:val="nil"/>
              <w:right w:val="nil"/>
            </w:tcBorders>
            <w:vAlign w:val="bottom"/>
          </w:tcPr>
          <w:p w14:paraId="223DE37F" w14:textId="77777777" w:rsidR="00B70538" w:rsidRPr="00470415" w:rsidRDefault="00B70538" w:rsidP="00127864">
            <w:pPr>
              <w:pStyle w:val="TableText"/>
              <w:tabs>
                <w:tab w:val="left" w:pos="3306"/>
              </w:tabs>
              <w:spacing w:before="0"/>
              <w:jc w:val="right"/>
              <w:rPr>
                <w:rFonts w:cs="Calibri"/>
              </w:rPr>
            </w:pPr>
          </w:p>
        </w:tc>
        <w:tc>
          <w:tcPr>
            <w:tcW w:w="1418" w:type="dxa"/>
            <w:tcBorders>
              <w:top w:val="nil"/>
              <w:left w:val="nil"/>
              <w:bottom w:val="nil"/>
              <w:right w:val="nil"/>
            </w:tcBorders>
            <w:vAlign w:val="bottom"/>
          </w:tcPr>
          <w:p w14:paraId="3B4D41E6" w14:textId="77777777" w:rsidR="00B70538" w:rsidRPr="00470415" w:rsidRDefault="00B70538" w:rsidP="00127864">
            <w:pPr>
              <w:pStyle w:val="TableText"/>
              <w:tabs>
                <w:tab w:val="left" w:pos="3306"/>
              </w:tabs>
              <w:spacing w:before="0"/>
              <w:jc w:val="right"/>
              <w:rPr>
                <w:rFonts w:cs="Calibri"/>
              </w:rPr>
            </w:pPr>
          </w:p>
        </w:tc>
      </w:tr>
      <w:tr w:rsidR="00B70538" w:rsidRPr="00CF7E1B" w14:paraId="2B96C017" w14:textId="77777777" w:rsidTr="0004564D">
        <w:trPr>
          <w:trHeight w:val="23"/>
        </w:trPr>
        <w:tc>
          <w:tcPr>
            <w:tcW w:w="1560" w:type="dxa"/>
            <w:tcBorders>
              <w:top w:val="nil"/>
              <w:left w:val="single" w:sz="2" w:space="0" w:color="auto"/>
              <w:bottom w:val="nil"/>
              <w:right w:val="single" w:sz="2" w:space="0" w:color="auto"/>
            </w:tcBorders>
          </w:tcPr>
          <w:p w14:paraId="180E94D7" w14:textId="77777777" w:rsidR="00B70538" w:rsidRPr="00E03D2C" w:rsidRDefault="00B70538" w:rsidP="009542FF">
            <w:pPr>
              <w:pStyle w:val="TableReference"/>
              <w:tabs>
                <w:tab w:val="left" w:pos="3306"/>
              </w:tabs>
              <w:spacing w:before="40"/>
              <w:rPr>
                <w:rFonts w:cs="Calibri"/>
                <w:color w:val="7030A0"/>
                <w:sz w:val="14"/>
              </w:rPr>
            </w:pPr>
          </w:p>
        </w:tc>
        <w:tc>
          <w:tcPr>
            <w:tcW w:w="5790" w:type="dxa"/>
            <w:tcBorders>
              <w:top w:val="nil"/>
              <w:left w:val="single" w:sz="2" w:space="0" w:color="auto"/>
              <w:bottom w:val="nil"/>
              <w:right w:val="nil"/>
            </w:tcBorders>
            <w:vAlign w:val="bottom"/>
          </w:tcPr>
          <w:p w14:paraId="0270CA09" w14:textId="77777777" w:rsidR="00B70538" w:rsidRPr="00470415" w:rsidRDefault="00B70538" w:rsidP="003A69E5">
            <w:pPr>
              <w:pStyle w:val="TableText"/>
              <w:tabs>
                <w:tab w:val="left" w:pos="3306"/>
              </w:tabs>
              <w:rPr>
                <w:rFonts w:cs="Calibri"/>
                <w:b/>
              </w:rPr>
            </w:pPr>
            <w:r w:rsidRPr="00470415">
              <w:rPr>
                <w:rFonts w:cs="Calibri"/>
                <w:b/>
              </w:rPr>
              <w:t>Gains</w:t>
            </w:r>
            <w:r w:rsidR="003A69E5" w:rsidRPr="00470415">
              <w:rPr>
                <w:rFonts w:cs="Calibri"/>
                <w:b/>
              </w:rPr>
              <w:t>/(Losses)</w:t>
            </w:r>
            <w:r w:rsidRPr="00470415">
              <w:rPr>
                <w:rFonts w:cs="Calibri"/>
                <w:b/>
              </w:rPr>
              <w:t xml:space="preserve"> on Financial Liabilities</w:t>
            </w:r>
          </w:p>
        </w:tc>
        <w:tc>
          <w:tcPr>
            <w:tcW w:w="1722" w:type="dxa"/>
            <w:tcBorders>
              <w:top w:val="nil"/>
              <w:left w:val="nil"/>
              <w:bottom w:val="nil"/>
              <w:right w:val="nil"/>
            </w:tcBorders>
            <w:vAlign w:val="bottom"/>
          </w:tcPr>
          <w:p w14:paraId="3C036B26" w14:textId="77777777" w:rsidR="00B70538" w:rsidRPr="00470415" w:rsidRDefault="00B70538" w:rsidP="009542FF">
            <w:pPr>
              <w:pStyle w:val="TableText"/>
              <w:tabs>
                <w:tab w:val="left" w:pos="3306"/>
              </w:tabs>
              <w:jc w:val="right"/>
              <w:rPr>
                <w:rFonts w:cs="Calibri"/>
              </w:rPr>
            </w:pPr>
          </w:p>
        </w:tc>
        <w:tc>
          <w:tcPr>
            <w:tcW w:w="1418" w:type="dxa"/>
            <w:tcBorders>
              <w:top w:val="nil"/>
              <w:left w:val="nil"/>
              <w:bottom w:val="nil"/>
              <w:right w:val="nil"/>
            </w:tcBorders>
            <w:vAlign w:val="bottom"/>
          </w:tcPr>
          <w:p w14:paraId="6A326D44" w14:textId="77777777" w:rsidR="00B70538" w:rsidRPr="00470415" w:rsidRDefault="00B70538" w:rsidP="009542FF">
            <w:pPr>
              <w:pStyle w:val="TableText"/>
              <w:tabs>
                <w:tab w:val="left" w:pos="3306"/>
              </w:tabs>
              <w:jc w:val="right"/>
              <w:rPr>
                <w:rFonts w:cs="Calibri"/>
              </w:rPr>
            </w:pPr>
          </w:p>
        </w:tc>
      </w:tr>
      <w:tr w:rsidR="00B70538" w:rsidRPr="00CF7E1B" w14:paraId="0B97040C" w14:textId="77777777" w:rsidTr="0004564D">
        <w:trPr>
          <w:trHeight w:val="23"/>
        </w:trPr>
        <w:tc>
          <w:tcPr>
            <w:tcW w:w="1560" w:type="dxa"/>
            <w:tcBorders>
              <w:top w:val="nil"/>
              <w:left w:val="single" w:sz="2" w:space="0" w:color="auto"/>
              <w:bottom w:val="nil"/>
              <w:right w:val="single" w:sz="2" w:space="0" w:color="auto"/>
            </w:tcBorders>
          </w:tcPr>
          <w:p w14:paraId="51540BE5" w14:textId="77777777" w:rsidR="00B70538" w:rsidRPr="00E03D2C" w:rsidRDefault="00B70538" w:rsidP="009542FF">
            <w:pPr>
              <w:pStyle w:val="TableReference"/>
              <w:tabs>
                <w:tab w:val="left" w:pos="3306"/>
              </w:tabs>
              <w:spacing w:before="4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20(a)(v)</w:t>
            </w:r>
          </w:p>
        </w:tc>
        <w:tc>
          <w:tcPr>
            <w:tcW w:w="5790" w:type="dxa"/>
            <w:tcBorders>
              <w:top w:val="nil"/>
              <w:left w:val="single" w:sz="2" w:space="0" w:color="auto"/>
              <w:bottom w:val="nil"/>
              <w:right w:val="nil"/>
            </w:tcBorders>
            <w:vAlign w:val="bottom"/>
          </w:tcPr>
          <w:p w14:paraId="20592C5B" w14:textId="77777777" w:rsidR="00B70538" w:rsidRPr="00470415" w:rsidRDefault="001138CE" w:rsidP="009542FF">
            <w:pPr>
              <w:pStyle w:val="TableText"/>
              <w:tabs>
                <w:tab w:val="left" w:pos="3306"/>
              </w:tabs>
              <w:rPr>
                <w:rFonts w:cs="Calibri"/>
              </w:rPr>
            </w:pPr>
            <w:r w:rsidRPr="00470415">
              <w:rPr>
                <w:rFonts w:cs="Calibri"/>
              </w:rPr>
              <w:t>Financial Liabilities M</w:t>
            </w:r>
            <w:r w:rsidR="00B70538" w:rsidRPr="00470415">
              <w:rPr>
                <w:rFonts w:cs="Calibri"/>
              </w:rPr>
              <w:t>easured at Amortised Cost</w:t>
            </w:r>
          </w:p>
        </w:tc>
        <w:tc>
          <w:tcPr>
            <w:tcW w:w="1722" w:type="dxa"/>
            <w:tcBorders>
              <w:top w:val="nil"/>
              <w:left w:val="nil"/>
              <w:bottom w:val="nil"/>
              <w:right w:val="nil"/>
            </w:tcBorders>
            <w:vAlign w:val="bottom"/>
          </w:tcPr>
          <w:p w14:paraId="18076292" w14:textId="56A875FE" w:rsidR="00B70538" w:rsidRPr="00470415" w:rsidRDefault="00B70538" w:rsidP="009542FF">
            <w:pPr>
              <w:pStyle w:val="TableText"/>
              <w:tabs>
                <w:tab w:val="left" w:pos="3306"/>
              </w:tabs>
              <w:jc w:val="right"/>
              <w:rPr>
                <w:rFonts w:cs="Calibri"/>
                <w:strike/>
              </w:rPr>
            </w:pPr>
          </w:p>
        </w:tc>
        <w:tc>
          <w:tcPr>
            <w:tcW w:w="1418" w:type="dxa"/>
            <w:tcBorders>
              <w:top w:val="nil"/>
              <w:left w:val="nil"/>
              <w:bottom w:val="nil"/>
              <w:right w:val="nil"/>
            </w:tcBorders>
            <w:vAlign w:val="bottom"/>
          </w:tcPr>
          <w:p w14:paraId="6E5D47C3" w14:textId="43315576" w:rsidR="00B70538" w:rsidRPr="00470415" w:rsidRDefault="00B70538" w:rsidP="009542FF">
            <w:pPr>
              <w:pStyle w:val="TableText"/>
              <w:tabs>
                <w:tab w:val="left" w:pos="3306"/>
              </w:tabs>
              <w:jc w:val="right"/>
              <w:rPr>
                <w:rFonts w:cs="Calibri"/>
                <w:strike/>
              </w:rPr>
            </w:pPr>
          </w:p>
        </w:tc>
      </w:tr>
      <w:tr w:rsidR="00B70538" w:rsidRPr="00CF7E1B" w14:paraId="103D9E8F" w14:textId="77777777" w:rsidTr="0004564D">
        <w:trPr>
          <w:trHeight w:val="162"/>
        </w:trPr>
        <w:tc>
          <w:tcPr>
            <w:tcW w:w="1560" w:type="dxa"/>
            <w:tcBorders>
              <w:top w:val="nil"/>
              <w:left w:val="single" w:sz="2" w:space="0" w:color="auto"/>
              <w:bottom w:val="nil"/>
              <w:right w:val="single" w:sz="2" w:space="0" w:color="auto"/>
            </w:tcBorders>
          </w:tcPr>
          <w:p w14:paraId="3B82EBBE" w14:textId="77777777" w:rsidR="00B70538" w:rsidRPr="00E03D2C" w:rsidRDefault="00B70538" w:rsidP="00127864">
            <w:pPr>
              <w:pStyle w:val="TableReference"/>
              <w:tabs>
                <w:tab w:val="left" w:pos="3306"/>
              </w:tabs>
              <w:rPr>
                <w:rFonts w:cs="Calibri"/>
                <w:color w:val="7030A0"/>
                <w:sz w:val="14"/>
              </w:rPr>
            </w:pPr>
          </w:p>
        </w:tc>
        <w:tc>
          <w:tcPr>
            <w:tcW w:w="5790" w:type="dxa"/>
            <w:tcBorders>
              <w:top w:val="nil"/>
              <w:left w:val="single" w:sz="2" w:space="0" w:color="auto"/>
              <w:bottom w:val="nil"/>
              <w:right w:val="nil"/>
            </w:tcBorders>
            <w:vAlign w:val="bottom"/>
          </w:tcPr>
          <w:p w14:paraId="289AB862" w14:textId="77777777" w:rsidR="00B70538" w:rsidRPr="00470415" w:rsidRDefault="00B70538" w:rsidP="00127864">
            <w:pPr>
              <w:pStyle w:val="TableText"/>
              <w:tabs>
                <w:tab w:val="left" w:pos="3306"/>
              </w:tabs>
              <w:spacing w:before="0"/>
              <w:rPr>
                <w:rFonts w:cs="Calibri"/>
                <w:sz w:val="20"/>
                <w:szCs w:val="20"/>
              </w:rPr>
            </w:pPr>
          </w:p>
        </w:tc>
        <w:tc>
          <w:tcPr>
            <w:tcW w:w="1722" w:type="dxa"/>
            <w:tcBorders>
              <w:top w:val="nil"/>
              <w:left w:val="nil"/>
              <w:bottom w:val="nil"/>
              <w:right w:val="nil"/>
            </w:tcBorders>
            <w:vAlign w:val="bottom"/>
          </w:tcPr>
          <w:p w14:paraId="52A051B4" w14:textId="77777777" w:rsidR="00B70538" w:rsidRPr="00470415" w:rsidRDefault="00B70538" w:rsidP="00127864">
            <w:pPr>
              <w:pStyle w:val="TableText"/>
              <w:tabs>
                <w:tab w:val="left" w:pos="3306"/>
              </w:tabs>
              <w:spacing w:before="0"/>
              <w:jc w:val="right"/>
              <w:rPr>
                <w:rFonts w:cs="Calibri"/>
                <w:sz w:val="20"/>
                <w:szCs w:val="20"/>
              </w:rPr>
            </w:pPr>
          </w:p>
        </w:tc>
        <w:tc>
          <w:tcPr>
            <w:tcW w:w="1418" w:type="dxa"/>
            <w:tcBorders>
              <w:top w:val="nil"/>
              <w:left w:val="nil"/>
              <w:bottom w:val="nil"/>
              <w:right w:val="nil"/>
            </w:tcBorders>
            <w:vAlign w:val="bottom"/>
          </w:tcPr>
          <w:p w14:paraId="6B6B58E1" w14:textId="77777777" w:rsidR="00B70538" w:rsidRPr="00470415" w:rsidRDefault="00B70538" w:rsidP="00127864">
            <w:pPr>
              <w:pStyle w:val="TableText"/>
              <w:tabs>
                <w:tab w:val="left" w:pos="3306"/>
              </w:tabs>
              <w:spacing w:before="0"/>
              <w:jc w:val="right"/>
              <w:rPr>
                <w:rFonts w:cs="Calibri"/>
                <w:sz w:val="20"/>
                <w:szCs w:val="20"/>
              </w:rPr>
            </w:pPr>
          </w:p>
        </w:tc>
      </w:tr>
      <w:tr w:rsidR="00B70538" w:rsidRPr="00CF7E1B" w14:paraId="1996AE2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483"/>
          <w:tblHeader/>
        </w:trPr>
        <w:tc>
          <w:tcPr>
            <w:tcW w:w="1560" w:type="dxa"/>
            <w:tcBorders>
              <w:left w:val="single" w:sz="2" w:space="0" w:color="auto"/>
              <w:right w:val="single" w:sz="2" w:space="0" w:color="auto"/>
            </w:tcBorders>
          </w:tcPr>
          <w:p w14:paraId="26F8A04E" w14:textId="77777777" w:rsidR="00B70538" w:rsidRPr="00E03D2C" w:rsidRDefault="00B70538" w:rsidP="00BB2E31">
            <w:pPr>
              <w:pStyle w:val="TableReference"/>
              <w:tabs>
                <w:tab w:val="left" w:pos="3306"/>
              </w:tabs>
              <w:rPr>
                <w:rFonts w:cs="Calibri"/>
                <w:color w:val="7030A0"/>
                <w:sz w:val="14"/>
              </w:rPr>
            </w:pPr>
            <w:r w:rsidRPr="00E03D2C">
              <w:rPr>
                <w:rFonts w:cs="Calibri"/>
                <w:color w:val="7030A0"/>
                <w:sz w:val="14"/>
              </w:rPr>
              <w:br w:type="page"/>
            </w:r>
          </w:p>
        </w:tc>
        <w:tc>
          <w:tcPr>
            <w:tcW w:w="8930" w:type="dxa"/>
            <w:gridSpan w:val="3"/>
            <w:tcBorders>
              <w:left w:val="single" w:sz="2" w:space="0" w:color="auto"/>
            </w:tcBorders>
            <w:shd w:val="clear" w:color="auto" w:fill="7030A0"/>
          </w:tcPr>
          <w:p w14:paraId="2B2A8756" w14:textId="72A00BE2" w:rsidR="00B70538" w:rsidRPr="00E03D2C" w:rsidRDefault="00B70538" w:rsidP="00BB2E31">
            <w:pPr>
              <w:pStyle w:val="CommentaryTitle"/>
              <w:pageBreakBefore w:val="0"/>
              <w:tabs>
                <w:tab w:val="left" w:pos="3306"/>
              </w:tabs>
              <w:spacing w:before="0" w:after="240"/>
              <w:rPr>
                <w:rFonts w:cs="Calibri"/>
                <w:color w:val="FFFFFF" w:themeColor="background1"/>
                <w:sz w:val="28"/>
                <w:szCs w:val="28"/>
              </w:rPr>
            </w:pPr>
            <w:bookmarkStart w:id="687" w:name="_Toc50440389"/>
            <w:bookmarkStart w:id="688" w:name="_Toc163106379"/>
            <w:r w:rsidRPr="00E03D2C">
              <w:rPr>
                <w:rFonts w:cs="Calibri"/>
                <w:color w:val="FFFFFF" w:themeColor="background1"/>
                <w:sz w:val="28"/>
                <w:szCs w:val="28"/>
              </w:rPr>
              <w:t xml:space="preserve">Commentary </w:t>
            </w:r>
            <w:r w:rsidRPr="00E03D2C">
              <w:rPr>
                <w:rFonts w:cs="Calibri"/>
                <w:color w:val="FFFFFF" w:themeColor="background1"/>
                <w:sz w:val="28"/>
                <w:szCs w:val="28"/>
              </w:rPr>
              <w:sym w:font="Symbol" w:char="F02D"/>
            </w:r>
            <w:r w:rsidR="00074BF9" w:rsidRPr="00E03D2C">
              <w:rPr>
                <w:rFonts w:cs="Calibri"/>
                <w:color w:val="FFFFFF" w:themeColor="background1"/>
                <w:sz w:val="28"/>
                <w:szCs w:val="28"/>
              </w:rPr>
              <w:t xml:space="preserve"> Note </w:t>
            </w:r>
            <w:r w:rsidR="00594D6E" w:rsidRPr="00E03D2C">
              <w:rPr>
                <w:rFonts w:cs="Calibri"/>
                <w:color w:val="FFFFFF" w:themeColor="background1"/>
                <w:sz w:val="28"/>
                <w:szCs w:val="28"/>
              </w:rPr>
              <w:t>31</w:t>
            </w:r>
            <w:r w:rsidRPr="00E03D2C">
              <w:rPr>
                <w:rFonts w:cs="Calibri"/>
                <w:color w:val="FFFFFF" w:themeColor="background1"/>
                <w:sz w:val="28"/>
                <w:szCs w:val="28"/>
              </w:rPr>
              <w:t>: Financial Instruments</w:t>
            </w:r>
            <w:bookmarkEnd w:id="687"/>
            <w:bookmarkEnd w:id="688"/>
          </w:p>
        </w:tc>
      </w:tr>
      <w:tr w:rsidR="00E76015" w:rsidRPr="00CF7E1B" w14:paraId="3C53B0F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317"/>
        </w:trPr>
        <w:tc>
          <w:tcPr>
            <w:tcW w:w="1560" w:type="dxa"/>
            <w:tcBorders>
              <w:left w:val="single" w:sz="2" w:space="0" w:color="auto"/>
              <w:right w:val="single" w:sz="2" w:space="0" w:color="auto"/>
            </w:tcBorders>
          </w:tcPr>
          <w:p w14:paraId="09AB4B3A"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7.42D</w:t>
            </w:r>
          </w:p>
          <w:p w14:paraId="60BD6B4E"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5DCA7E14" w14:textId="1EA94750" w:rsidR="00E76015" w:rsidRPr="00E03D2C" w:rsidRDefault="00E76015" w:rsidP="006E51FA">
            <w:pPr>
              <w:pStyle w:val="CommentaryHeading"/>
              <w:tabs>
                <w:tab w:val="left" w:pos="3306"/>
              </w:tabs>
              <w:spacing w:before="0" w:after="180"/>
              <w:jc w:val="both"/>
              <w:rPr>
                <w:rFonts w:cs="Calibri"/>
                <w:b w:val="0"/>
                <w:bCs w:val="0"/>
                <w:color w:val="FFFFFF" w:themeColor="background1"/>
                <w:sz w:val="18"/>
              </w:rPr>
            </w:pPr>
            <w:r w:rsidRPr="00E03D2C">
              <w:rPr>
                <w:b w:val="0"/>
                <w:bCs w:val="0"/>
                <w:color w:val="FFFFFF" w:themeColor="background1"/>
                <w:sz w:val="18"/>
              </w:rPr>
              <w:t>The note included in the Model represents the minimum disclosures by way of example only. Each agency needs to consider their specific financial instruments and modify the disclosures accordingly.</w:t>
            </w:r>
          </w:p>
        </w:tc>
      </w:tr>
      <w:tr w:rsidR="00E76015" w:rsidRPr="00CF7E1B" w14:paraId="129A25DB"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60"/>
        </w:trPr>
        <w:tc>
          <w:tcPr>
            <w:tcW w:w="1560" w:type="dxa"/>
            <w:tcBorders>
              <w:left w:val="single" w:sz="2" w:space="0" w:color="auto"/>
              <w:right w:val="single" w:sz="2" w:space="0" w:color="auto"/>
            </w:tcBorders>
          </w:tcPr>
          <w:p w14:paraId="44A40C0C"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646F0831" w14:textId="77777777" w:rsidR="00E76015" w:rsidRPr="00BB2E31" w:rsidRDefault="00E76015" w:rsidP="00E76015">
            <w:pPr>
              <w:pStyle w:val="CommentaryHeading"/>
              <w:tabs>
                <w:tab w:val="left" w:pos="3306"/>
              </w:tabs>
              <w:spacing w:before="0"/>
              <w:rPr>
                <w:rFonts w:cs="Calibri"/>
                <w:color w:val="FFFFFF" w:themeColor="background1"/>
                <w:szCs w:val="20"/>
              </w:rPr>
            </w:pPr>
            <w:r w:rsidRPr="00BB2E31">
              <w:rPr>
                <w:rFonts w:cs="Calibri"/>
                <w:color w:val="FFFFFF" w:themeColor="background1"/>
                <w:szCs w:val="20"/>
              </w:rPr>
              <w:t>Definitions</w:t>
            </w:r>
          </w:p>
        </w:tc>
      </w:tr>
      <w:tr w:rsidR="00E76015" w:rsidRPr="00CF7E1B" w14:paraId="02FAECD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3EAB052C"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41F22ED1" w14:textId="77777777"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asset’ means any asset that is:</w:t>
            </w:r>
          </w:p>
        </w:tc>
      </w:tr>
      <w:tr w:rsidR="00E76015" w:rsidRPr="00CF7E1B" w14:paraId="53600363"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F5D5ABB" w14:textId="77777777" w:rsidR="00E76015" w:rsidRPr="00E03D2C" w:rsidRDefault="00E76015" w:rsidP="00E76015">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6B6EBB95" w14:textId="77777777" w:rsidR="00E76015" w:rsidRPr="00E03D2C" w:rsidRDefault="00E7601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cash;</w:t>
            </w:r>
          </w:p>
          <w:p w14:paraId="121F3972" w14:textId="77777777" w:rsidR="00E76015" w:rsidRPr="00E03D2C" w:rsidRDefault="00E7601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a contractual right to receive cash or another financial asset from another entity;</w:t>
            </w:r>
          </w:p>
          <w:p w14:paraId="52EB76B2" w14:textId="77777777" w:rsidR="00E76015" w:rsidRPr="00E03D2C" w:rsidRDefault="00E7601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a contractual right to exchange financial assets or financial liabilities with another entity under conditions that are potentially favourable to the entity; or</w:t>
            </w:r>
          </w:p>
          <w:p w14:paraId="2E3571EB" w14:textId="77777777" w:rsidR="00E76015" w:rsidRPr="00E03D2C" w:rsidRDefault="00E76015"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an equity instrument of another entity.</w:t>
            </w:r>
          </w:p>
        </w:tc>
      </w:tr>
      <w:tr w:rsidR="00E76015" w:rsidRPr="00CF7E1B" w14:paraId="23397F5E"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0AC784B0" w14:textId="5BC8CA18"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03CB243A" w14:textId="08480160"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instrument’ means any contract that gives rise to a financial asset of one entity and a financial liability or equity instrument of another entity.</w:t>
            </w:r>
          </w:p>
        </w:tc>
      </w:tr>
      <w:tr w:rsidR="00E76015" w:rsidRPr="00CF7E1B" w14:paraId="5D0D1F8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1C94E367" w14:textId="5EBCB3BB"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132.AG15</w:t>
            </w:r>
          </w:p>
        </w:tc>
        <w:tc>
          <w:tcPr>
            <w:tcW w:w="8930" w:type="dxa"/>
            <w:gridSpan w:val="3"/>
            <w:tcBorders>
              <w:left w:val="single" w:sz="2" w:space="0" w:color="auto"/>
            </w:tcBorders>
            <w:shd w:val="clear" w:color="auto" w:fill="7030A0"/>
          </w:tcPr>
          <w:p w14:paraId="16E4A7FC" w14:textId="72257919"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Examples of financial instruments include primary instruments, such as receivables, payables and equity securities, and derivative financial instruments, such as financial options, futures and forwards, interest rate swaps and currency swaps.</w:t>
            </w:r>
          </w:p>
        </w:tc>
      </w:tr>
      <w:tr w:rsidR="00E76015" w:rsidRPr="00CF7E1B" w14:paraId="6599271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FD7F8C3"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4B6F32D8" w14:textId="77777777"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‘Financial liability’ means any liability that is a contractual obligation:</w:t>
            </w:r>
          </w:p>
          <w:p w14:paraId="03FE78CA" w14:textId="77777777" w:rsidR="00E76015" w:rsidRPr="00E03D2C" w:rsidRDefault="00E7601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to deliver cash or another financial asset to another entity; or</w:t>
            </w:r>
          </w:p>
          <w:p w14:paraId="546C9B93" w14:textId="77777777" w:rsidR="00E76015" w:rsidRPr="00E03D2C" w:rsidRDefault="00E76015"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to exchange financial assets or financial liabilities with another entity under conditions that are potentially unfavourable to the entity.</w:t>
            </w:r>
          </w:p>
        </w:tc>
      </w:tr>
      <w:tr w:rsidR="00E76015" w:rsidRPr="00CF7E1B" w14:paraId="18976414"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3F7DDBF9" w14:textId="77777777" w:rsidR="00E76015" w:rsidRPr="00E03D2C" w:rsidRDefault="00E76015" w:rsidP="00E76015">
            <w:pPr>
              <w:pStyle w:val="TableReference"/>
              <w:tabs>
                <w:tab w:val="left" w:pos="3306"/>
              </w:tabs>
              <w:spacing w:before="60"/>
              <w:rPr>
                <w:rFonts w:cs="Calibri"/>
                <w:color w:val="7030A0"/>
                <w:sz w:val="14"/>
              </w:rPr>
            </w:pPr>
            <w:r w:rsidRPr="00E03D2C">
              <w:rPr>
                <w:rFonts w:cs="Calibri"/>
                <w:color w:val="7030A0"/>
                <w:sz w:val="14"/>
              </w:rPr>
              <w:t>AASB 132.11</w:t>
            </w:r>
          </w:p>
        </w:tc>
        <w:tc>
          <w:tcPr>
            <w:tcW w:w="8930" w:type="dxa"/>
            <w:gridSpan w:val="3"/>
            <w:tcBorders>
              <w:left w:val="single" w:sz="2" w:space="0" w:color="auto"/>
            </w:tcBorders>
            <w:shd w:val="clear" w:color="auto" w:fill="7030A0"/>
          </w:tcPr>
          <w:p w14:paraId="5A6CBCE4" w14:textId="77777777" w:rsidR="00E76015" w:rsidRPr="00E03D2C" w:rsidRDefault="00E76015" w:rsidP="00E7601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‘Equity Instrument’ means any contract that evidences a residual interest in the assets of an entity after deducting all its liabilities.</w:t>
            </w:r>
          </w:p>
        </w:tc>
      </w:tr>
      <w:tr w:rsidR="00810B4A" w:rsidRPr="00574DE1" w14:paraId="4C0141E1"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0C9F34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132.13</w:t>
            </w:r>
          </w:p>
          <w:p w14:paraId="3E86C77B" w14:textId="77777777" w:rsidR="00810B4A" w:rsidRPr="00E03D2C" w:rsidRDefault="00810B4A" w:rsidP="009A0F2F">
            <w:pPr>
              <w:pStyle w:val="TableReference"/>
              <w:tabs>
                <w:tab w:val="left" w:pos="3306"/>
              </w:tabs>
              <w:spacing w:before="60"/>
              <w:rPr>
                <w:rFonts w:cs="Calibri"/>
                <w:color w:val="7030A0"/>
                <w:sz w:val="14"/>
              </w:rPr>
            </w:pPr>
          </w:p>
          <w:p w14:paraId="539F879C" w14:textId="77777777" w:rsidR="00810B4A" w:rsidRPr="00E03D2C" w:rsidRDefault="00810B4A" w:rsidP="009A0F2F">
            <w:pPr>
              <w:pStyle w:val="TableReference"/>
              <w:tabs>
                <w:tab w:val="left" w:pos="3306"/>
              </w:tabs>
              <w:spacing w:before="60"/>
              <w:rPr>
                <w:rFonts w:cs="Calibri"/>
                <w:color w:val="7030A0"/>
                <w:sz w:val="14"/>
              </w:rPr>
            </w:pPr>
          </w:p>
          <w:p w14:paraId="2A2241EA" w14:textId="77777777" w:rsidR="00810B4A" w:rsidRPr="00E03D2C" w:rsidRDefault="00810B4A" w:rsidP="009A0F2F">
            <w:pPr>
              <w:pStyle w:val="TableReference"/>
              <w:tabs>
                <w:tab w:val="left" w:pos="3306"/>
              </w:tabs>
              <w:spacing w:before="60"/>
              <w:rPr>
                <w:rFonts w:cs="Calibri"/>
                <w:color w:val="7030A0"/>
                <w:sz w:val="14"/>
              </w:rPr>
            </w:pPr>
          </w:p>
          <w:p w14:paraId="7F478A77" w14:textId="77777777" w:rsidR="00810B4A" w:rsidRPr="00E03D2C" w:rsidRDefault="00810B4A" w:rsidP="009A0F2F">
            <w:pPr>
              <w:pStyle w:val="TableReference"/>
              <w:tabs>
                <w:tab w:val="left" w:pos="3306"/>
              </w:tabs>
              <w:spacing w:before="60"/>
              <w:rPr>
                <w:rFonts w:cs="Calibri"/>
                <w:color w:val="7030A0"/>
                <w:sz w:val="14"/>
              </w:rPr>
            </w:pPr>
          </w:p>
          <w:p w14:paraId="7697FCF9"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132.AG12</w:t>
            </w:r>
          </w:p>
        </w:tc>
        <w:tc>
          <w:tcPr>
            <w:tcW w:w="8930" w:type="dxa"/>
            <w:gridSpan w:val="3"/>
            <w:tcBorders>
              <w:left w:val="single" w:sz="2" w:space="0" w:color="auto"/>
            </w:tcBorders>
            <w:shd w:val="clear" w:color="auto" w:fill="7030A0"/>
          </w:tcPr>
          <w:p w14:paraId="3FD0E580" w14:textId="76F0254A" w:rsidR="00810B4A" w:rsidRPr="00E03D2C" w:rsidRDefault="00810B4A" w:rsidP="009A0F2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The terms ‘contract’ and ‘contractual’ refer to an agreement between two or more parties that has clear economic consequences that the parties have little, if any, discretion to avoid, usually because the agreement is enforceable at law.</w:t>
            </w:r>
            <w:r w:rsidR="00FA7C77">
              <w:rPr>
                <w:rFonts w:cs="Calibri"/>
                <w:color w:val="FFFFFF" w:themeColor="background1"/>
                <w:sz w:val="18"/>
                <w:szCs w:val="18"/>
              </w:rPr>
              <w:t xml:space="preserve"> </w:t>
            </w:r>
            <w:r w:rsidRPr="00E03D2C">
              <w:rPr>
                <w:rFonts w:cs="Calibri"/>
                <w:color w:val="FFFFFF" w:themeColor="background1"/>
                <w:sz w:val="18"/>
                <w:szCs w:val="18"/>
              </w:rPr>
              <w:t>Contracts, and thus financial instruments, may take a variety of forms and need not be in writing. In taking up accruals for financial instruments, only those that have a contractual basis should be recognised. Also, in government, certain rights to receive or pay cash may not be contractual and therefore in these situations, the requirements above will not apply. For example, the rights or obligations may have their source in legislation such as in the case of taxation receivables, GST receivables or levy receivables.</w:t>
            </w:r>
          </w:p>
        </w:tc>
      </w:tr>
      <w:tr w:rsidR="00074BF9" w:rsidRPr="00CF7E1B" w14:paraId="3CEBF2E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374"/>
        </w:trPr>
        <w:tc>
          <w:tcPr>
            <w:tcW w:w="1560" w:type="dxa"/>
            <w:tcBorders>
              <w:left w:val="single" w:sz="2" w:space="0" w:color="auto"/>
              <w:right w:val="single" w:sz="2" w:space="0" w:color="auto"/>
            </w:tcBorders>
          </w:tcPr>
          <w:p w14:paraId="730343D1" w14:textId="77777777" w:rsidR="00074BF9" w:rsidRPr="00E03D2C" w:rsidRDefault="004B3E25" w:rsidP="00BB2E31">
            <w:pPr>
              <w:pStyle w:val="TableReference"/>
              <w:tabs>
                <w:tab w:val="left" w:pos="3306"/>
              </w:tabs>
              <w:spacing w:after="240"/>
              <w:rPr>
                <w:rFonts w:cs="Calibri"/>
                <w:b/>
                <w:color w:val="7030A0"/>
                <w:sz w:val="22"/>
                <w:szCs w:val="22"/>
              </w:rPr>
            </w:pPr>
            <w:r w:rsidRPr="00E03D2C">
              <w:rPr>
                <w:rFonts w:cs="Calibri"/>
                <w:color w:val="7030A0"/>
                <w:sz w:val="22"/>
                <w:szCs w:val="22"/>
              </w:rPr>
              <w:br w:type="page"/>
            </w:r>
            <w:r w:rsidR="007E1584" w:rsidRPr="00E03D2C">
              <w:rPr>
                <w:rFonts w:cs="Calibri"/>
                <w:b/>
                <w:color w:val="7030A0"/>
                <w:sz w:val="22"/>
                <w:szCs w:val="22"/>
              </w:rPr>
              <w:t>Reference</w:t>
            </w:r>
          </w:p>
        </w:tc>
        <w:tc>
          <w:tcPr>
            <w:tcW w:w="8930" w:type="dxa"/>
            <w:gridSpan w:val="3"/>
            <w:tcBorders>
              <w:left w:val="single" w:sz="2" w:space="0" w:color="auto"/>
            </w:tcBorders>
            <w:shd w:val="clear" w:color="auto" w:fill="7030A0"/>
          </w:tcPr>
          <w:p w14:paraId="5F4D8B75" w14:textId="22C3CC59" w:rsidR="00074BF9" w:rsidRPr="00E03D2C" w:rsidRDefault="00074BF9" w:rsidP="00BB2E31">
            <w:pPr>
              <w:pStyle w:val="CommentaryText"/>
              <w:tabs>
                <w:tab w:val="left" w:pos="3306"/>
              </w:tabs>
              <w:spacing w:after="240"/>
              <w:rPr>
                <w:rFonts w:cs="Calibri"/>
                <w:b/>
                <w:color w:val="FFFFFF" w:themeColor="background1"/>
                <w:sz w:val="28"/>
                <w:szCs w:val="28"/>
              </w:rPr>
            </w:pPr>
            <w:r w:rsidRPr="00E03D2C">
              <w:rPr>
                <w:rFonts w:cs="Calibri"/>
                <w:b/>
                <w:color w:val="FFFFFF" w:themeColor="background1"/>
                <w:sz w:val="28"/>
                <w:szCs w:val="28"/>
              </w:rPr>
              <w:t xml:space="preserve">Commentary </w:t>
            </w:r>
            <w:r w:rsidR="006B38C1" w:rsidRPr="00E03D2C">
              <w:rPr>
                <w:rFonts w:cs="Calibri"/>
                <w:b/>
                <w:color w:val="FFFFFF" w:themeColor="background1"/>
                <w:sz w:val="28"/>
                <w:szCs w:val="28"/>
              </w:rPr>
              <w:t xml:space="preserve">– </w:t>
            </w:r>
            <w:r w:rsidRPr="00E03D2C">
              <w:rPr>
                <w:rFonts w:cs="Calibri"/>
                <w:b/>
                <w:color w:val="FFFFFF" w:themeColor="background1"/>
                <w:sz w:val="28"/>
                <w:szCs w:val="28"/>
              </w:rPr>
              <w:t xml:space="preserve">Note </w:t>
            </w:r>
            <w:r w:rsidR="0007497D" w:rsidRPr="00E03D2C">
              <w:rPr>
                <w:rFonts w:cs="Calibri"/>
                <w:b/>
                <w:color w:val="FFFFFF" w:themeColor="background1"/>
                <w:sz w:val="28"/>
                <w:szCs w:val="28"/>
              </w:rPr>
              <w:t>31</w:t>
            </w:r>
            <w:r w:rsidRPr="00E03D2C">
              <w:rPr>
                <w:rFonts w:cs="Calibri"/>
                <w:b/>
                <w:color w:val="FFFFFF" w:themeColor="background1"/>
                <w:sz w:val="28"/>
                <w:szCs w:val="28"/>
              </w:rPr>
              <w:t xml:space="preserve">: Financial Instruments </w:t>
            </w:r>
            <w:r w:rsidR="006B38C1" w:rsidRPr="00E03D2C">
              <w:rPr>
                <w:rFonts w:cs="Calibri"/>
                <w:b/>
                <w:color w:val="FFFFFF" w:themeColor="background1"/>
                <w:sz w:val="28"/>
                <w:szCs w:val="28"/>
              </w:rPr>
              <w:t>–</w:t>
            </w:r>
            <w:r w:rsidR="00E82A6C" w:rsidRPr="00E03D2C">
              <w:rPr>
                <w:rFonts w:cs="Calibri"/>
                <w:b/>
                <w:color w:val="FFFFFF" w:themeColor="background1"/>
                <w:sz w:val="28"/>
                <w:szCs w:val="28"/>
              </w:rPr>
              <w:t xml:space="preserve"> Continued</w:t>
            </w:r>
            <w:r w:rsidR="006B38C1" w:rsidRPr="00E03D2C">
              <w:rPr>
                <w:rFonts w:cs="Calibri"/>
                <w:b/>
                <w:color w:val="FFFFFF" w:themeColor="background1"/>
                <w:sz w:val="28"/>
                <w:szCs w:val="28"/>
              </w:rPr>
              <w:t xml:space="preserve"> </w:t>
            </w:r>
          </w:p>
        </w:tc>
      </w:tr>
      <w:tr w:rsidR="00B70538" w:rsidRPr="00CF7E1B" w14:paraId="490C9B28"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hRule="exact" w:val="306"/>
        </w:trPr>
        <w:tc>
          <w:tcPr>
            <w:tcW w:w="1560" w:type="dxa"/>
            <w:tcBorders>
              <w:left w:val="single" w:sz="2" w:space="0" w:color="auto"/>
              <w:right w:val="single" w:sz="2" w:space="0" w:color="auto"/>
            </w:tcBorders>
          </w:tcPr>
          <w:p w14:paraId="1B9509B5" w14:textId="77777777" w:rsidR="00B70538" w:rsidRPr="00E03D2C" w:rsidRDefault="00B70538">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3FA21BAD" w14:textId="77777777" w:rsidR="00B70538" w:rsidRPr="00BB2E31" w:rsidRDefault="00B70538" w:rsidP="002D3527">
            <w:pPr>
              <w:pStyle w:val="CommentaryHeading"/>
              <w:tabs>
                <w:tab w:val="left" w:pos="3306"/>
              </w:tabs>
              <w:spacing w:before="0" w:after="40"/>
              <w:rPr>
                <w:rFonts w:cs="Calibri"/>
                <w:color w:val="FFFFFF" w:themeColor="background1"/>
                <w:szCs w:val="20"/>
              </w:rPr>
            </w:pPr>
            <w:r w:rsidRPr="00BB2E31">
              <w:rPr>
                <w:rFonts w:cs="Calibri"/>
                <w:color w:val="FFFFFF" w:themeColor="background1"/>
                <w:szCs w:val="20"/>
              </w:rPr>
              <w:t>Disclosures</w:t>
            </w:r>
            <w:r w:rsidR="00F836DA" w:rsidRPr="00BB2E31">
              <w:rPr>
                <w:rFonts w:cs="Calibri"/>
                <w:color w:val="FFFFFF" w:themeColor="background1"/>
                <w:szCs w:val="20"/>
              </w:rPr>
              <w:t xml:space="preserve"> – Quantitative and Qualitative</w:t>
            </w:r>
          </w:p>
        </w:tc>
      </w:tr>
      <w:tr w:rsidR="00B70538" w:rsidRPr="00CF7E1B" w14:paraId="293086D7"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275"/>
        </w:trPr>
        <w:tc>
          <w:tcPr>
            <w:tcW w:w="1560" w:type="dxa"/>
            <w:tcBorders>
              <w:left w:val="single" w:sz="2" w:space="0" w:color="auto"/>
              <w:right w:val="single" w:sz="2" w:space="0" w:color="auto"/>
            </w:tcBorders>
          </w:tcPr>
          <w:p w14:paraId="03A9292C"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 xml:space="preserve">ACT </w:t>
            </w:r>
            <w:r w:rsidR="00AA6CC1" w:rsidRPr="00E03D2C">
              <w:rPr>
                <w:rFonts w:cs="Calibri"/>
                <w:color w:val="7030A0"/>
                <w:sz w:val="14"/>
              </w:rPr>
              <w:t>Disclosure</w:t>
            </w:r>
            <w:r w:rsidRPr="00E03D2C">
              <w:rPr>
                <w:rFonts w:cs="Calibri"/>
                <w:color w:val="7030A0"/>
                <w:sz w:val="14"/>
              </w:rPr>
              <w:t xml:space="preserve"> Policy</w:t>
            </w:r>
          </w:p>
        </w:tc>
        <w:tc>
          <w:tcPr>
            <w:tcW w:w="8930" w:type="dxa"/>
            <w:gridSpan w:val="3"/>
            <w:tcBorders>
              <w:left w:val="single" w:sz="2" w:space="0" w:color="auto"/>
            </w:tcBorders>
            <w:shd w:val="clear" w:color="auto" w:fill="7030A0"/>
          </w:tcPr>
          <w:p w14:paraId="0B9D3615" w14:textId="407B652D" w:rsidR="00B70538" w:rsidRPr="00E03D2C" w:rsidRDefault="00B70538" w:rsidP="00D50EA5">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ACT </w:t>
            </w:r>
            <w:r w:rsidR="00EB0FF3" w:rsidRPr="00E03D2C">
              <w:rPr>
                <w:rFonts w:cs="Calibri"/>
                <w:color w:val="FFFFFF" w:themeColor="background1"/>
                <w:sz w:val="18"/>
                <w:szCs w:val="18"/>
              </w:rPr>
              <w:t>Disclosure</w:t>
            </w:r>
            <w:r w:rsidRPr="00E03D2C">
              <w:rPr>
                <w:rFonts w:cs="Calibri"/>
                <w:color w:val="FFFFFF" w:themeColor="background1"/>
                <w:sz w:val="18"/>
                <w:szCs w:val="18"/>
              </w:rPr>
              <w:t xml:space="preserve"> Policy requires disclosure of the terms, conditions, timing, accounting policies and certainty of future cash flow for each class of financial asset, financial liability and equity instrument, so that the significance of financial instruments can be determined. Most of these disclosures have not been included in the financial instruments note, instead they have been included in other notes within the Model</w:t>
            </w:r>
            <w:r w:rsidR="00FD4B5D" w:rsidRPr="00E03D2C">
              <w:rPr>
                <w:rFonts w:cs="Calibri"/>
                <w:color w:val="FFFFFF" w:themeColor="background1"/>
                <w:sz w:val="18"/>
                <w:szCs w:val="18"/>
              </w:rPr>
              <w:t>s</w:t>
            </w:r>
            <w:r w:rsidRPr="00E03D2C">
              <w:rPr>
                <w:rFonts w:cs="Calibri"/>
                <w:color w:val="FFFFFF" w:themeColor="background1"/>
                <w:sz w:val="18"/>
                <w:szCs w:val="18"/>
              </w:rPr>
              <w:t xml:space="preserve">. Where an instrument is individually </w:t>
            </w:r>
            <w:r w:rsidR="00DE1E5D">
              <w:rPr>
                <w:rFonts w:cs="Calibri"/>
                <w:color w:val="FFFFFF" w:themeColor="background1"/>
                <w:sz w:val="18"/>
                <w:szCs w:val="18"/>
              </w:rPr>
              <w:t>material</w:t>
            </w:r>
            <w:r w:rsidRPr="00E03D2C">
              <w:rPr>
                <w:rFonts w:cs="Calibri"/>
                <w:color w:val="FFFFFF" w:themeColor="background1"/>
                <w:sz w:val="18"/>
                <w:szCs w:val="18"/>
              </w:rPr>
              <w:t>, its terms and conditions should be disclosed.</w:t>
            </w:r>
          </w:p>
        </w:tc>
      </w:tr>
      <w:tr w:rsidR="00B70538" w:rsidRPr="00CF7E1B" w14:paraId="0232673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45B1BD52"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25, 31, 32, 33, 34, 36 &amp; 39</w:t>
            </w:r>
          </w:p>
          <w:p w14:paraId="020E2B3C" w14:textId="77777777" w:rsidR="00B70538" w:rsidRPr="00E03D2C" w:rsidRDefault="00B70538" w:rsidP="00E9520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39FEE20A" w14:textId="4C91C2E9" w:rsidR="00B70538" w:rsidRPr="00E03D2C" w:rsidRDefault="00B70538" w:rsidP="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AASB 7 </w:t>
            </w:r>
            <w:r w:rsidR="009578C9" w:rsidRPr="00E03D2C">
              <w:rPr>
                <w:rFonts w:cs="Calibri"/>
                <w:i/>
                <w:color w:val="FFFFFF" w:themeColor="background1"/>
                <w:sz w:val="18"/>
                <w:szCs w:val="18"/>
              </w:rPr>
              <w:t xml:space="preserve">Financial Instruments: Disclosures </w:t>
            </w:r>
            <w:r w:rsidRPr="00E03D2C">
              <w:rPr>
                <w:rFonts w:cs="Calibri"/>
                <w:color w:val="FFFFFF" w:themeColor="background1"/>
                <w:sz w:val="18"/>
                <w:szCs w:val="18"/>
              </w:rPr>
              <w:t>requires disclosur</w:t>
            </w:r>
            <w:r w:rsidR="003C01D8" w:rsidRPr="00E03D2C">
              <w:rPr>
                <w:rFonts w:cs="Calibri"/>
                <w:color w:val="FFFFFF" w:themeColor="background1"/>
                <w:sz w:val="18"/>
                <w:szCs w:val="18"/>
              </w:rPr>
              <w:t xml:space="preserve">e of information about </w:t>
            </w:r>
            <w:r w:rsidR="00B96D8D"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’s exposure to credit risk, market risk (which includes interest rate risk, currency risk and price risk), </w:t>
            </w:r>
            <w:r w:rsidR="00AE7553" w:rsidRPr="00E03D2C">
              <w:rPr>
                <w:rFonts w:cs="Calibri"/>
                <w:color w:val="FFFFFF" w:themeColor="background1"/>
                <w:sz w:val="18"/>
                <w:szCs w:val="18"/>
              </w:rPr>
              <w:t xml:space="preserve">foreign currency risk, </w:t>
            </w:r>
            <w:r w:rsidRPr="00E03D2C">
              <w:rPr>
                <w:rFonts w:cs="Calibri"/>
                <w:color w:val="FFFFFF" w:themeColor="background1"/>
                <w:sz w:val="18"/>
                <w:szCs w:val="18"/>
              </w:rPr>
              <w:t>liquidity risk and also fair value for each class of financial asset and financial liability. The fair value for each class of financial asset and financial liability should be disclosed in such a way that they can be compared with the corresponding carrying amount in the Balance Sheet.</w:t>
            </w:r>
            <w:r w:rsidR="00341DD1" w:rsidRPr="00E03D2C">
              <w:rPr>
                <w:rFonts w:cs="Calibri"/>
                <w:color w:val="FFFFFF" w:themeColor="background1"/>
                <w:sz w:val="18"/>
                <w:szCs w:val="18"/>
              </w:rPr>
              <w:t xml:space="preserve"> The only risk applying to investment</w:t>
            </w:r>
            <w:r w:rsidR="0013084B" w:rsidRPr="00E03D2C">
              <w:rPr>
                <w:rFonts w:cs="Calibri"/>
                <w:color w:val="FFFFFF" w:themeColor="background1"/>
                <w:sz w:val="18"/>
                <w:szCs w:val="18"/>
              </w:rPr>
              <w:t>s</w:t>
            </w:r>
            <w:r w:rsidR="00341DD1" w:rsidRPr="00E03D2C">
              <w:rPr>
                <w:rFonts w:cs="Calibri"/>
                <w:color w:val="FFFFFF" w:themeColor="background1"/>
                <w:sz w:val="18"/>
                <w:szCs w:val="18"/>
              </w:rPr>
              <w:t xml:space="preserve"> with the Territory Banking Account is price risk.</w:t>
            </w:r>
            <w:r w:rsidR="00FA7C77">
              <w:rPr>
                <w:rFonts w:cs="Calibri"/>
                <w:color w:val="FFFFFF" w:themeColor="background1"/>
                <w:sz w:val="18"/>
                <w:szCs w:val="18"/>
              </w:rPr>
              <w:t xml:space="preserve"> </w:t>
            </w:r>
            <w:r w:rsidR="00341DD1" w:rsidRPr="00E03D2C">
              <w:rPr>
                <w:rFonts w:cs="Calibri"/>
                <w:color w:val="FFFFFF" w:themeColor="background1"/>
                <w:sz w:val="18"/>
                <w:szCs w:val="18"/>
              </w:rPr>
              <w:t>Interest rate risk and credit risk are not applicable.</w:t>
            </w:r>
          </w:p>
        </w:tc>
      </w:tr>
      <w:tr w:rsidR="00E95202" w:rsidRPr="00CF7E1B" w14:paraId="2F6A0D31"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53CA7068" w14:textId="77777777" w:rsidR="00E95202" w:rsidRPr="00E03D2C" w:rsidRDefault="00E95202" w:rsidP="00E95202">
            <w:pPr>
              <w:pStyle w:val="TableReference"/>
              <w:tabs>
                <w:tab w:val="left" w:pos="3306"/>
              </w:tabs>
              <w:spacing w:before="60"/>
              <w:rPr>
                <w:rFonts w:cs="Calibri"/>
                <w:color w:val="7030A0"/>
                <w:sz w:val="14"/>
              </w:rPr>
            </w:pPr>
            <w:r w:rsidRPr="00E03D2C">
              <w:rPr>
                <w:rFonts w:cs="Calibri"/>
                <w:color w:val="7030A0"/>
                <w:sz w:val="14"/>
              </w:rPr>
              <w:t>AASB 7. 32A</w:t>
            </w:r>
          </w:p>
          <w:p w14:paraId="52128AD4" w14:textId="77777777" w:rsidR="00E95202" w:rsidRPr="00E03D2C" w:rsidRDefault="00E9520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2C64BB16" w14:textId="77E0E48B"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Providing qualitative disclosures in the context of quantitative disclosures enables users to link related disclosures and hence form an overall view of the nature and extent of risks arising from financial instruments.</w:t>
            </w:r>
          </w:p>
        </w:tc>
      </w:tr>
      <w:tr w:rsidR="00E95202" w:rsidRPr="00CF7E1B" w14:paraId="267C00B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4609CD6E" w14:textId="3BD9A9B3" w:rsidR="00E95202" w:rsidRPr="00E03D2C" w:rsidRDefault="00E95202" w:rsidP="00E95202">
            <w:pPr>
              <w:pStyle w:val="TableReference"/>
              <w:tabs>
                <w:tab w:val="left" w:pos="3306"/>
              </w:tabs>
              <w:spacing w:before="60"/>
              <w:rPr>
                <w:rFonts w:cs="Calibri"/>
                <w:color w:val="7030A0"/>
                <w:sz w:val="14"/>
              </w:rPr>
            </w:pPr>
            <w:r w:rsidRPr="00E03D2C">
              <w:rPr>
                <w:rFonts w:cs="Calibri"/>
                <w:color w:val="7030A0"/>
                <w:sz w:val="14"/>
              </w:rPr>
              <w:t>AASB 7.36</w:t>
            </w:r>
          </w:p>
          <w:p w14:paraId="65179EA1" w14:textId="77777777" w:rsidR="00E95202" w:rsidRPr="00E03D2C" w:rsidRDefault="00E9520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562D64AC" w14:textId="42B336B1"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Where an agency holds collateral or other credit enhancements, it will need to disclose the extent to which those arrangements financially mitigate the credit risk by class of instrument (whether or not the carrying amount reflects the maximum exposure to credit risk). Disclosure of amounts that best represent an agency’s maximum exposure to credit risk from its financial instruments will not be required for those instruments whose carrying amount reflects this. Agencies will not need to disclose the carrying amounts of financial assets for which the terms have been renegotiated, which would otherwise be past due or impaired. For those financial assets that is either past due but not impaired, or which have been individually impaired, agencies need not separately disclose details about any associated collateral or other credit enhancements held by the agency. </w:t>
            </w:r>
          </w:p>
        </w:tc>
      </w:tr>
      <w:tr w:rsidR="00E95202" w:rsidRPr="00CF7E1B" w14:paraId="6DF3513A"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5C3D652C" w14:textId="77777777" w:rsidR="00E95202" w:rsidRPr="00E03D2C" w:rsidRDefault="00E95202" w:rsidP="00E95202">
            <w:pPr>
              <w:pStyle w:val="TableReference"/>
              <w:tabs>
                <w:tab w:val="left" w:pos="3306"/>
              </w:tabs>
              <w:rPr>
                <w:rFonts w:cs="Calibri"/>
                <w:color w:val="7030A0"/>
                <w:sz w:val="14"/>
              </w:rPr>
            </w:pPr>
            <w:r w:rsidRPr="00E03D2C">
              <w:rPr>
                <w:rFonts w:cs="Calibri"/>
                <w:color w:val="7030A0"/>
                <w:sz w:val="14"/>
              </w:rPr>
              <w:t>AASB 7.29(a)</w:t>
            </w:r>
          </w:p>
          <w:p w14:paraId="3A5F23CC" w14:textId="77777777" w:rsidR="00E95202" w:rsidRPr="00E03D2C" w:rsidRDefault="00E95202" w:rsidP="00E95202">
            <w:pPr>
              <w:pStyle w:val="TableReference"/>
              <w:tabs>
                <w:tab w:val="left" w:pos="3306"/>
              </w:tabs>
              <w:rPr>
                <w:rFonts w:cs="Calibri"/>
                <w:color w:val="7030A0"/>
                <w:sz w:val="14"/>
              </w:rPr>
            </w:pPr>
            <w:r w:rsidRPr="00E03D2C">
              <w:rPr>
                <w:rFonts w:cs="Calibri"/>
                <w:color w:val="7030A0"/>
                <w:sz w:val="14"/>
              </w:rPr>
              <w:t>ACT Disclosure Policy</w:t>
            </w:r>
          </w:p>
          <w:p w14:paraId="4BA2A12D" w14:textId="77777777" w:rsidR="00E95202" w:rsidRPr="00E03D2C" w:rsidRDefault="00E95202">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390E2021" w14:textId="46F9B28B" w:rsidR="00E95202" w:rsidRPr="00E03D2C" w:rsidRDefault="00E95202">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Where the carrying amount of financial instruments such as short-term trade receivables and payables is a reasonable approximation of their fair value, AASB 7 states that no disclosure of the fair value is required. However, ACT Disclosure Policy requires these amounts be disclosed in an agency’s financial statements for ease of comparability.</w:t>
            </w:r>
          </w:p>
        </w:tc>
      </w:tr>
      <w:tr w:rsidR="00B70538" w:rsidRPr="00CF7E1B" w14:paraId="0737BAB7"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2AD4FD6" w14:textId="77777777" w:rsidR="00B70538" w:rsidRPr="00E03D2C" w:rsidRDefault="00B70538" w:rsidP="009542FF">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14(a) &amp;</w:t>
            </w:r>
            <w:r w:rsidR="00BA15CC" w:rsidRPr="00E03D2C">
              <w:rPr>
                <w:rFonts w:cs="Calibri"/>
                <w:color w:val="7030A0"/>
                <w:sz w:val="14"/>
              </w:rPr>
              <w:t xml:space="preserve"> </w:t>
            </w:r>
            <w:r w:rsidR="00D001B7" w:rsidRPr="00E03D2C">
              <w:rPr>
                <w:rFonts w:cs="Calibri"/>
                <w:color w:val="7030A0"/>
                <w:sz w:val="14"/>
              </w:rPr>
              <w:t>(</w:t>
            </w:r>
            <w:r w:rsidRPr="00E03D2C">
              <w:rPr>
                <w:rFonts w:cs="Calibri"/>
                <w:color w:val="7030A0"/>
                <w:sz w:val="14"/>
              </w:rPr>
              <w:t>b)</w:t>
            </w:r>
          </w:p>
        </w:tc>
        <w:tc>
          <w:tcPr>
            <w:tcW w:w="8930" w:type="dxa"/>
            <w:gridSpan w:val="3"/>
            <w:tcBorders>
              <w:left w:val="single" w:sz="2" w:space="0" w:color="auto"/>
            </w:tcBorders>
            <w:shd w:val="clear" w:color="auto" w:fill="7030A0"/>
          </w:tcPr>
          <w:p w14:paraId="2DDCB5D0" w14:textId="77777777" w:rsidR="00B70538" w:rsidRPr="00E03D2C" w:rsidRDefault="00B96D8D" w:rsidP="002F0454">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Pr="00E03D2C">
              <w:rPr>
                <w:rFonts w:cs="Calibri"/>
                <w:color w:val="FFFFFF" w:themeColor="background1"/>
                <w:sz w:val="18"/>
                <w:szCs w:val="18"/>
              </w:rPr>
              <w:t>gency</w:t>
            </w:r>
            <w:r w:rsidR="00B70538" w:rsidRPr="00E03D2C">
              <w:rPr>
                <w:rFonts w:cs="Calibri"/>
                <w:color w:val="FFFFFF" w:themeColor="background1"/>
                <w:sz w:val="18"/>
                <w:szCs w:val="18"/>
              </w:rPr>
              <w:t xml:space="preserve"> shall disclose the carrying amount of financial assets pledged as collateral for liabilities and contingent liabilities, and any material terms and conditions relating to assets pledged as collateral.</w:t>
            </w:r>
          </w:p>
        </w:tc>
      </w:tr>
      <w:tr w:rsidR="00B70538" w:rsidRPr="00CF7E1B" w14:paraId="66763511"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1560" w:type="dxa"/>
            <w:tcBorders>
              <w:left w:val="single" w:sz="2" w:space="0" w:color="auto"/>
              <w:right w:val="single" w:sz="2" w:space="0" w:color="auto"/>
            </w:tcBorders>
          </w:tcPr>
          <w:p w14:paraId="0002C345" w14:textId="73C28F6C" w:rsidR="00B70538" w:rsidRPr="00E03D2C" w:rsidRDefault="0037254A" w:rsidP="00204902">
            <w:pPr>
              <w:pStyle w:val="TableReference"/>
              <w:tabs>
                <w:tab w:val="left" w:pos="3306"/>
              </w:tabs>
              <w:spacing w:before="60"/>
              <w:rPr>
                <w:rFonts w:cs="Calibri"/>
                <w:color w:val="7030A0"/>
                <w:sz w:val="14"/>
              </w:rPr>
            </w:pPr>
            <w:r w:rsidRPr="00E03D2C">
              <w:rPr>
                <w:rFonts w:cs="Calibri"/>
                <w:color w:val="7030A0"/>
                <w:sz w:val="14"/>
              </w:rPr>
              <w:t>AASB 7</w:t>
            </w:r>
            <w:r w:rsidR="00CB4F78" w:rsidRPr="00E03D2C">
              <w:rPr>
                <w:rFonts w:cs="Calibri"/>
                <w:color w:val="7030A0"/>
                <w:sz w:val="14"/>
              </w:rPr>
              <w:t>.</w:t>
            </w:r>
            <w:r w:rsidRPr="00E03D2C">
              <w:rPr>
                <w:rFonts w:cs="Calibri"/>
                <w:color w:val="7030A0"/>
                <w:sz w:val="14"/>
              </w:rPr>
              <w:t xml:space="preserve">42A, 42B </w:t>
            </w:r>
            <w:r w:rsidR="00204902" w:rsidRPr="00E03D2C">
              <w:rPr>
                <w:rFonts w:cs="Calibri"/>
                <w:color w:val="7030A0"/>
                <w:sz w:val="14"/>
              </w:rPr>
              <w:t>&amp;</w:t>
            </w:r>
            <w:r w:rsidRPr="00E03D2C">
              <w:rPr>
                <w:rFonts w:cs="Calibri"/>
                <w:color w:val="7030A0"/>
                <w:sz w:val="14"/>
              </w:rPr>
              <w:t xml:space="preserve"> 42C</w:t>
            </w:r>
          </w:p>
        </w:tc>
        <w:tc>
          <w:tcPr>
            <w:tcW w:w="8930" w:type="dxa"/>
            <w:gridSpan w:val="3"/>
            <w:tcBorders>
              <w:left w:val="single" w:sz="2" w:space="0" w:color="auto"/>
            </w:tcBorders>
            <w:shd w:val="clear" w:color="auto" w:fill="7030A0"/>
          </w:tcPr>
          <w:p w14:paraId="0509D7CE" w14:textId="77777777" w:rsidR="00B70538" w:rsidRPr="00E03D2C" w:rsidRDefault="00BA0A76" w:rsidP="002D3527">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There are additional disclosures for transfers of financial assets where an asset is not derecognised in its entirety or the asset is derecognised in its entirety but the transferor retains some continuing involvement. An agency transfers a financial asset when it:</w:t>
            </w:r>
          </w:p>
          <w:p w14:paraId="65A8B3FB" w14:textId="77777777" w:rsidR="00BA0A76" w:rsidRPr="00E03D2C" w:rsidRDefault="00BA0A76"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transfers contractual rights to receive cash flows from the asset; or</w:t>
            </w:r>
          </w:p>
          <w:p w14:paraId="140D8A10" w14:textId="77777777" w:rsidR="00BA0A76" w:rsidRPr="00E03D2C" w:rsidRDefault="00BA0A76"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retains contractual rights to cash flows </w:t>
            </w:r>
            <w:r w:rsidR="004A02E4" w:rsidRPr="00E03D2C">
              <w:rPr>
                <w:rFonts w:cs="Calibri"/>
                <w:color w:val="FFFFFF" w:themeColor="background1"/>
                <w:sz w:val="18"/>
                <w:szCs w:val="18"/>
              </w:rPr>
              <w:t>from an asset but assumes a contractual obligation to pay those cash flows to one or more recipients.</w:t>
            </w:r>
          </w:p>
        </w:tc>
      </w:tr>
      <w:tr w:rsidR="00810B4A" w:rsidRPr="00CF7E1B" w14:paraId="35F2DD6C"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1560" w:type="dxa"/>
            <w:tcBorders>
              <w:left w:val="single" w:sz="2" w:space="0" w:color="auto"/>
              <w:right w:val="single" w:sz="2" w:space="0" w:color="auto"/>
            </w:tcBorders>
          </w:tcPr>
          <w:p w14:paraId="1D32DB8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7.39</w:t>
            </w:r>
          </w:p>
          <w:p w14:paraId="431C9E1D" w14:textId="77777777" w:rsidR="00810B4A" w:rsidRPr="00E03D2C" w:rsidRDefault="00810B4A" w:rsidP="009A0F2F">
            <w:pPr>
              <w:pStyle w:val="TableReference"/>
              <w:tabs>
                <w:tab w:val="left" w:pos="3306"/>
              </w:tabs>
              <w:spacing w:before="60"/>
              <w:rPr>
                <w:rFonts w:cs="Calibri"/>
                <w:color w:val="7030A0"/>
                <w:sz w:val="14"/>
              </w:rPr>
            </w:pPr>
          </w:p>
          <w:p w14:paraId="3BEA90BB"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7.B11E</w:t>
            </w:r>
          </w:p>
          <w:p w14:paraId="30BF39BD" w14:textId="77777777" w:rsidR="00810B4A" w:rsidRPr="00E03D2C" w:rsidRDefault="00810B4A" w:rsidP="009A0F2F">
            <w:pPr>
              <w:pStyle w:val="TableReference"/>
              <w:tabs>
                <w:tab w:val="left" w:pos="3306"/>
              </w:tabs>
              <w:spacing w:before="60"/>
              <w:rPr>
                <w:rFonts w:cs="Calibri"/>
                <w:color w:val="7030A0"/>
                <w:sz w:val="14"/>
              </w:rPr>
            </w:pPr>
          </w:p>
          <w:p w14:paraId="3316DF67"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ACT Disclosure Policy</w:t>
            </w:r>
          </w:p>
        </w:tc>
        <w:tc>
          <w:tcPr>
            <w:tcW w:w="8930" w:type="dxa"/>
            <w:gridSpan w:val="3"/>
            <w:tcBorders>
              <w:left w:val="single" w:sz="2" w:space="0" w:color="auto"/>
            </w:tcBorders>
            <w:shd w:val="clear" w:color="auto" w:fill="7030A0"/>
          </w:tcPr>
          <w:p w14:paraId="0F8540CC" w14:textId="77777777" w:rsidR="00810B4A" w:rsidRPr="00BB2E31" w:rsidRDefault="00810B4A" w:rsidP="00810B4A">
            <w:pPr>
              <w:pStyle w:val="CommentaryText"/>
              <w:tabs>
                <w:tab w:val="left" w:pos="3306"/>
              </w:tabs>
              <w:spacing w:after="40"/>
              <w:rPr>
                <w:rFonts w:cs="Calibri"/>
                <w:b/>
                <w:bCs/>
                <w:color w:val="FFFFFF" w:themeColor="background1"/>
                <w:szCs w:val="20"/>
              </w:rPr>
            </w:pPr>
            <w:r w:rsidRPr="00BB2E31">
              <w:rPr>
                <w:rFonts w:cs="Calibri"/>
                <w:b/>
                <w:bCs/>
                <w:color w:val="FFFFFF" w:themeColor="background1"/>
                <w:szCs w:val="20"/>
              </w:rPr>
              <w:t xml:space="preserve">Maturity Analysis </w:t>
            </w:r>
          </w:p>
          <w:p w14:paraId="06138570" w14:textId="4DC24A5D" w:rsidR="00810B4A" w:rsidRPr="00E03D2C" w:rsidRDefault="00810B4A" w:rsidP="00810B4A">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AASB 7 requires undiscounted amounts to be included in the maturity analysis.</w:t>
            </w:r>
            <w:r w:rsidR="00FA7C77">
              <w:rPr>
                <w:rFonts w:cs="Calibri"/>
                <w:color w:val="FFFFFF" w:themeColor="background1"/>
                <w:sz w:val="18"/>
                <w:szCs w:val="18"/>
              </w:rPr>
              <w:t xml:space="preserve"> </w:t>
            </w:r>
            <w:r w:rsidRPr="00E03D2C">
              <w:rPr>
                <w:rFonts w:cs="Calibri"/>
                <w:color w:val="FFFFFF" w:themeColor="background1"/>
                <w:sz w:val="18"/>
                <w:szCs w:val="18"/>
              </w:rPr>
              <w:t>This means that in a number of cases the amount included in the Balance Sheet for a financial asset or financial liability will be different to the amount included in the maturity analysis.</w:t>
            </w:r>
            <w:r w:rsidR="00FA7C77">
              <w:rPr>
                <w:rFonts w:cs="Calibri"/>
                <w:color w:val="FFFFFF" w:themeColor="background1"/>
                <w:sz w:val="18"/>
                <w:szCs w:val="18"/>
              </w:rPr>
              <w:t xml:space="preserve"> </w:t>
            </w:r>
            <w:r w:rsidRPr="00E03D2C">
              <w:rPr>
                <w:rFonts w:cs="Calibri"/>
                <w:color w:val="FFFFFF" w:themeColor="background1"/>
                <w:sz w:val="18"/>
                <w:szCs w:val="18"/>
              </w:rPr>
              <w:t>Note that for agencies that have ACT Government borrowings and Commonwealth Government borrowings, the amortised cost for these items approximates their costs and as such there will be no difference between the amount in the Balance Sheet and the amount in the maturity analysis.</w:t>
            </w:r>
          </w:p>
        </w:tc>
      </w:tr>
      <w:tr w:rsidR="00810B4A" w:rsidRPr="00CF7E1B" w14:paraId="370EF218"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1560" w:type="dxa"/>
            <w:tcBorders>
              <w:left w:val="single" w:sz="2" w:space="0" w:color="auto"/>
              <w:right w:val="single" w:sz="2" w:space="0" w:color="auto"/>
            </w:tcBorders>
          </w:tcPr>
          <w:p w14:paraId="412559DE" w14:textId="77777777" w:rsidR="00810B4A" w:rsidRPr="00E03D2C" w:rsidRDefault="00810B4A" w:rsidP="009A0F2F">
            <w:pPr>
              <w:pStyle w:val="TableReference"/>
              <w:tabs>
                <w:tab w:val="left" w:pos="3306"/>
              </w:tabs>
              <w:spacing w:before="60"/>
              <w:rPr>
                <w:rFonts w:cs="Calibri"/>
                <w:color w:val="7030A0"/>
                <w:sz w:val="14"/>
              </w:rPr>
            </w:pPr>
            <w:r w:rsidRPr="00E03D2C">
              <w:rPr>
                <w:rFonts w:cs="Calibri"/>
                <w:color w:val="7030A0"/>
                <w:sz w:val="14"/>
              </w:rPr>
              <w:t>AASB 7.B11</w:t>
            </w:r>
          </w:p>
          <w:p w14:paraId="50F56720" w14:textId="77777777" w:rsidR="00810B4A" w:rsidRPr="00E03D2C" w:rsidRDefault="00810B4A" w:rsidP="009A0F2F">
            <w:pPr>
              <w:pStyle w:val="TableReference"/>
              <w:tabs>
                <w:tab w:val="left" w:pos="3306"/>
              </w:tabs>
              <w:spacing w:before="60"/>
              <w:rPr>
                <w:rFonts w:cs="Calibri"/>
                <w:color w:val="7030A0"/>
                <w:sz w:val="14"/>
              </w:rPr>
            </w:pPr>
          </w:p>
          <w:p w14:paraId="7182096B" w14:textId="77777777" w:rsidR="00810B4A" w:rsidRPr="00E03D2C" w:rsidRDefault="00810B4A" w:rsidP="009A0F2F">
            <w:pPr>
              <w:pStyle w:val="TableReference"/>
              <w:tabs>
                <w:tab w:val="left" w:pos="3306"/>
              </w:tabs>
              <w:spacing w:before="60"/>
              <w:rPr>
                <w:rFonts w:cs="Calibri"/>
                <w:color w:val="7030A0"/>
                <w:sz w:val="14"/>
              </w:rPr>
            </w:pPr>
          </w:p>
          <w:p w14:paraId="24B04310" w14:textId="77777777" w:rsidR="00810B4A" w:rsidRPr="00E03D2C" w:rsidRDefault="00810B4A" w:rsidP="009A0F2F">
            <w:pPr>
              <w:pStyle w:val="TableReference"/>
              <w:tabs>
                <w:tab w:val="left" w:pos="3306"/>
              </w:tabs>
              <w:spacing w:before="60"/>
              <w:rPr>
                <w:rFonts w:cs="Calibri"/>
                <w:color w:val="7030A0"/>
                <w:sz w:val="14"/>
              </w:rPr>
            </w:pPr>
          </w:p>
          <w:p w14:paraId="19097396" w14:textId="77777777" w:rsidR="00810B4A" w:rsidRPr="00E03D2C" w:rsidRDefault="00810B4A" w:rsidP="009A0F2F">
            <w:pPr>
              <w:pStyle w:val="TableReference"/>
              <w:tabs>
                <w:tab w:val="left" w:pos="3306"/>
              </w:tabs>
              <w:spacing w:before="60"/>
              <w:rPr>
                <w:rFonts w:cs="Calibri"/>
                <w:color w:val="7030A0"/>
                <w:sz w:val="14"/>
              </w:rPr>
            </w:pPr>
          </w:p>
          <w:p w14:paraId="1AA412DE" w14:textId="77777777" w:rsidR="00810B4A" w:rsidRPr="00E03D2C" w:rsidRDefault="00810B4A" w:rsidP="009A0F2F">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23748C2B" w14:textId="2211E8BB" w:rsidR="00810B4A" w:rsidRPr="00E03D2C" w:rsidRDefault="00810B4A" w:rsidP="009A0F2F">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AASB 7 provides an example of the time bands to include in the maturity analysis required by the standard.</w:t>
            </w:r>
            <w:r w:rsidR="00FA7C77">
              <w:rPr>
                <w:rFonts w:cs="Calibri"/>
                <w:color w:val="FFFFFF" w:themeColor="background1"/>
                <w:sz w:val="18"/>
                <w:szCs w:val="18"/>
              </w:rPr>
              <w:t xml:space="preserve"> </w:t>
            </w:r>
            <w:r w:rsidRPr="00E03D2C">
              <w:rPr>
                <w:rFonts w:cs="Calibri"/>
                <w:color w:val="FFFFFF" w:themeColor="background1"/>
                <w:sz w:val="18"/>
                <w:szCs w:val="18"/>
              </w:rPr>
              <w:t>These time bands are as follows:</w:t>
            </w:r>
          </w:p>
          <w:p w14:paraId="493205F8" w14:textId="77777777" w:rsidR="00810B4A" w:rsidRPr="00E03D2C" w:rsidRDefault="00810B4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not later than one month;</w:t>
            </w:r>
          </w:p>
          <w:p w14:paraId="1F1BC55A" w14:textId="77777777" w:rsidR="00810B4A" w:rsidRPr="00E03D2C" w:rsidRDefault="00810B4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later than one month and not later than three months;</w:t>
            </w:r>
          </w:p>
          <w:p w14:paraId="076EC166" w14:textId="77777777" w:rsidR="00810B4A" w:rsidRPr="00E03D2C" w:rsidRDefault="00810B4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later than three months and not later than one year; and</w:t>
            </w:r>
          </w:p>
          <w:p w14:paraId="3EFE2645" w14:textId="77777777" w:rsidR="00810B4A" w:rsidRPr="00E03D2C" w:rsidRDefault="00810B4A"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later than one year and not later than five years.</w:t>
            </w:r>
          </w:p>
        </w:tc>
      </w:tr>
      <w:tr w:rsidR="00810B4A" w:rsidRPr="00CF7E1B" w14:paraId="5312127D"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119"/>
        </w:trPr>
        <w:tc>
          <w:tcPr>
            <w:tcW w:w="1560" w:type="dxa"/>
            <w:tcBorders>
              <w:left w:val="single" w:sz="2" w:space="0" w:color="auto"/>
              <w:right w:val="single" w:sz="2" w:space="0" w:color="auto"/>
            </w:tcBorders>
          </w:tcPr>
          <w:p w14:paraId="536A5211" w14:textId="77777777" w:rsidR="00810B4A" w:rsidRPr="00E03D2C" w:rsidRDefault="00810B4A" w:rsidP="00810B4A">
            <w:pPr>
              <w:pStyle w:val="TableReference"/>
              <w:tabs>
                <w:tab w:val="left" w:pos="3306"/>
              </w:tabs>
              <w:spacing w:before="60"/>
              <w:rPr>
                <w:rFonts w:cs="Calibri"/>
                <w:color w:val="7030A0"/>
                <w:sz w:val="14"/>
              </w:rPr>
            </w:pPr>
            <w:r w:rsidRPr="00E03D2C">
              <w:rPr>
                <w:rFonts w:cs="Calibri"/>
                <w:color w:val="7030A0"/>
                <w:sz w:val="14"/>
              </w:rPr>
              <w:t>ACT Disclosure Policy</w:t>
            </w:r>
          </w:p>
        </w:tc>
        <w:tc>
          <w:tcPr>
            <w:tcW w:w="8930" w:type="dxa"/>
            <w:gridSpan w:val="3"/>
            <w:tcBorders>
              <w:left w:val="single" w:sz="2" w:space="0" w:color="auto"/>
            </w:tcBorders>
            <w:shd w:val="clear" w:color="auto" w:fill="7030A0"/>
          </w:tcPr>
          <w:p w14:paraId="30DB3DBA" w14:textId="164198F9" w:rsidR="00810B4A" w:rsidRPr="00E03D2C" w:rsidRDefault="00810B4A" w:rsidP="009A0F2F">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It is considered that these are not the most appropriate time bands for ACT Government agencies as the public sector is not as focused on the short-term liquidity of its financial assets and liabilities.</w:t>
            </w:r>
            <w:r w:rsidR="00FA7C77">
              <w:rPr>
                <w:rFonts w:cs="Calibri"/>
                <w:color w:val="FFFFFF" w:themeColor="background1"/>
                <w:sz w:val="18"/>
                <w:szCs w:val="18"/>
              </w:rPr>
              <w:t xml:space="preserve"> </w:t>
            </w:r>
            <w:r w:rsidRPr="00E03D2C">
              <w:rPr>
                <w:rFonts w:cs="Calibri"/>
                <w:color w:val="FFFFFF" w:themeColor="background1"/>
                <w:sz w:val="18"/>
                <w:szCs w:val="18"/>
              </w:rPr>
              <w:t>As such, ACT Disclosure Policy requires agencies to use three time bands which are as follows:</w:t>
            </w:r>
          </w:p>
          <w:p w14:paraId="65DBE375" w14:textId="77777777" w:rsidR="00810B4A" w:rsidRPr="00E03D2C" w:rsidRDefault="00810B4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one year or less;</w:t>
            </w:r>
          </w:p>
          <w:p w14:paraId="3FB1E602" w14:textId="77777777" w:rsidR="00810B4A" w:rsidRPr="00E03D2C" w:rsidRDefault="00810B4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over one year to five years; and</w:t>
            </w:r>
          </w:p>
          <w:p w14:paraId="26D1A0C9" w14:textId="77777777" w:rsidR="00810B4A" w:rsidRPr="00E03D2C" w:rsidRDefault="00810B4A"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over five years.</w:t>
            </w:r>
          </w:p>
        </w:tc>
      </w:tr>
    </w:tbl>
    <w:p w14:paraId="56F52450" w14:textId="053F574D" w:rsidR="006B38C1" w:rsidRDefault="006B38C1">
      <w:pPr>
        <w:rPr>
          <w:rFonts w:cs="Calibri"/>
          <w:sz w:val="20"/>
          <w:szCs w:val="20"/>
        </w:rPr>
      </w:pPr>
    </w:p>
    <w:p w14:paraId="6A04E230" w14:textId="77777777" w:rsidR="006B38C1" w:rsidRDefault="006B38C1">
      <w:pPr>
        <w:rPr>
          <w:rFonts w:cs="Calibri"/>
          <w:sz w:val="20"/>
          <w:szCs w:val="20"/>
        </w:rPr>
      </w:pPr>
      <w:r>
        <w:rPr>
          <w:rFonts w:cs="Calibri"/>
          <w:sz w:val="20"/>
          <w:szCs w:val="20"/>
        </w:rPr>
        <w:br w:type="page"/>
      </w:r>
    </w:p>
    <w:tbl>
      <w:tblPr>
        <w:tblW w:w="10490" w:type="dxa"/>
        <w:tblInd w:w="-3" w:type="dxa"/>
        <w:shd w:val="clear" w:color="auto" w:fill="CCFFCC"/>
        <w:tblLayout w:type="fixed"/>
        <w:tblLook w:val="00A0" w:firstRow="1" w:lastRow="0" w:firstColumn="1" w:lastColumn="0" w:noHBand="0" w:noVBand="0"/>
      </w:tblPr>
      <w:tblGrid>
        <w:gridCol w:w="1560"/>
        <w:gridCol w:w="8930"/>
      </w:tblGrid>
      <w:tr w:rsidR="00D176CD" w:rsidRPr="00CF7E1B" w14:paraId="110592CB" w14:textId="77777777" w:rsidTr="0004564D">
        <w:trPr>
          <w:trHeight w:val="283"/>
        </w:trPr>
        <w:tc>
          <w:tcPr>
            <w:tcW w:w="1560" w:type="dxa"/>
            <w:tcBorders>
              <w:left w:val="single" w:sz="2" w:space="0" w:color="auto"/>
              <w:right w:val="single" w:sz="2" w:space="0" w:color="auto"/>
            </w:tcBorders>
          </w:tcPr>
          <w:p w14:paraId="157F06A1" w14:textId="77777777" w:rsidR="00D176CD" w:rsidRPr="00E03D2C" w:rsidRDefault="00D50EA5" w:rsidP="00A41A54">
            <w:pPr>
              <w:pStyle w:val="TableReference"/>
              <w:tabs>
                <w:tab w:val="left" w:pos="3306"/>
              </w:tabs>
              <w:spacing w:after="240"/>
              <w:rPr>
                <w:rFonts w:cs="Calibri"/>
                <w:color w:val="7030A0"/>
                <w:sz w:val="22"/>
                <w:szCs w:val="22"/>
              </w:rPr>
            </w:pPr>
            <w:r w:rsidRPr="00E03D2C">
              <w:rPr>
                <w:rFonts w:cs="Calibri"/>
                <w:b/>
                <w:bCs/>
                <w:color w:val="7030A0"/>
                <w:sz w:val="22"/>
                <w:szCs w:val="22"/>
              </w:rPr>
              <w:t>Reference</w:t>
            </w:r>
          </w:p>
        </w:tc>
        <w:tc>
          <w:tcPr>
            <w:tcW w:w="8930" w:type="dxa"/>
            <w:tcBorders>
              <w:left w:val="single" w:sz="2" w:space="0" w:color="auto"/>
            </w:tcBorders>
            <w:shd w:val="clear" w:color="auto" w:fill="7030A0"/>
          </w:tcPr>
          <w:p w14:paraId="452E01BD" w14:textId="15B0096B" w:rsidR="00D176CD" w:rsidRPr="00E03D2C" w:rsidRDefault="006B38C1" w:rsidP="00A41A54">
            <w:pPr>
              <w:pStyle w:val="CommentaryText"/>
              <w:tabs>
                <w:tab w:val="left" w:pos="3306"/>
              </w:tabs>
              <w:spacing w:after="240"/>
              <w:rPr>
                <w:rFonts w:cs="Calibri"/>
                <w:b/>
                <w:color w:val="FFFFFF" w:themeColor="background1"/>
                <w:sz w:val="28"/>
                <w:szCs w:val="28"/>
              </w:rPr>
            </w:pPr>
            <w:r w:rsidRPr="00E03D2C">
              <w:rPr>
                <w:rFonts w:cs="Calibri"/>
                <w:b/>
                <w:color w:val="FFFFFF" w:themeColor="background1"/>
                <w:sz w:val="28"/>
                <w:szCs w:val="28"/>
              </w:rPr>
              <w:t xml:space="preserve">Commentary – Note </w:t>
            </w:r>
            <w:r w:rsidR="0007497D" w:rsidRPr="00E03D2C">
              <w:rPr>
                <w:rFonts w:cs="Calibri"/>
                <w:b/>
                <w:color w:val="FFFFFF" w:themeColor="background1"/>
                <w:sz w:val="28"/>
                <w:szCs w:val="28"/>
              </w:rPr>
              <w:t>31</w:t>
            </w:r>
            <w:r w:rsidRPr="00E03D2C">
              <w:rPr>
                <w:rFonts w:cs="Calibri"/>
                <w:b/>
                <w:color w:val="FFFFFF" w:themeColor="background1"/>
                <w:sz w:val="28"/>
                <w:szCs w:val="28"/>
              </w:rPr>
              <w:t>: Financial Instruments – Continued</w:t>
            </w:r>
          </w:p>
        </w:tc>
      </w:tr>
      <w:tr w:rsidR="00B70538" w:rsidRPr="00CF7E1B" w14:paraId="3D3D546D" w14:textId="77777777" w:rsidTr="0004564D">
        <w:trPr>
          <w:trHeight w:val="293"/>
        </w:trPr>
        <w:tc>
          <w:tcPr>
            <w:tcW w:w="1560" w:type="dxa"/>
            <w:tcBorders>
              <w:left w:val="single" w:sz="2" w:space="0" w:color="auto"/>
              <w:right w:val="single" w:sz="2" w:space="0" w:color="auto"/>
            </w:tcBorders>
          </w:tcPr>
          <w:p w14:paraId="1023158E" w14:textId="77777777" w:rsidR="00B70538" w:rsidRPr="00E03D2C" w:rsidRDefault="00B70538" w:rsidP="00F76201">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2CFE923F" w14:textId="77777777" w:rsidR="00B70538" w:rsidRPr="00A41A54" w:rsidRDefault="00B70538" w:rsidP="006F3697">
            <w:pPr>
              <w:pStyle w:val="CommentaryText"/>
              <w:tabs>
                <w:tab w:val="left" w:pos="3306"/>
              </w:tabs>
              <w:spacing w:after="0"/>
              <w:rPr>
                <w:rFonts w:cs="Calibri"/>
                <w:b/>
                <w:color w:val="FFFFFF" w:themeColor="background1"/>
                <w:szCs w:val="20"/>
              </w:rPr>
            </w:pPr>
            <w:r w:rsidRPr="00A41A54">
              <w:rPr>
                <w:rFonts w:cs="Calibri"/>
                <w:b/>
                <w:color w:val="FFFFFF" w:themeColor="background1"/>
                <w:szCs w:val="20"/>
              </w:rPr>
              <w:t>Sensitivity Analysis</w:t>
            </w:r>
          </w:p>
        </w:tc>
      </w:tr>
      <w:tr w:rsidR="00B70538" w:rsidRPr="00CF7E1B" w14:paraId="72ADF27E" w14:textId="77777777" w:rsidTr="0004564D">
        <w:trPr>
          <w:trHeight w:val="119"/>
        </w:trPr>
        <w:tc>
          <w:tcPr>
            <w:tcW w:w="1560" w:type="dxa"/>
            <w:tcBorders>
              <w:left w:val="single" w:sz="2" w:space="0" w:color="auto"/>
              <w:right w:val="single" w:sz="2" w:space="0" w:color="auto"/>
            </w:tcBorders>
          </w:tcPr>
          <w:p w14:paraId="74DCB5C2" w14:textId="77777777" w:rsidR="00B70538" w:rsidRPr="00E03D2C" w:rsidRDefault="00B7053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235BD59" w14:textId="07FC300C" w:rsidR="00B70538" w:rsidRPr="00E03D2C" w:rsidRDefault="00B70538" w:rsidP="00165A1A">
            <w:pPr>
              <w:autoSpaceDE w:val="0"/>
              <w:autoSpaceDN w:val="0"/>
              <w:adjustRightInd w:val="0"/>
              <w:spacing w:after="120"/>
              <w:jc w:val="both"/>
              <w:rPr>
                <w:rFonts w:cs="Calibri"/>
                <w:color w:val="FFFFFF" w:themeColor="background1"/>
                <w:sz w:val="18"/>
                <w:szCs w:val="18"/>
              </w:rPr>
            </w:pPr>
            <w:r w:rsidRPr="00E03D2C">
              <w:rPr>
                <w:rFonts w:cs="Calibri"/>
                <w:color w:val="FFFFFF" w:themeColor="background1"/>
                <w:sz w:val="18"/>
                <w:szCs w:val="18"/>
              </w:rPr>
              <w:t xml:space="preserve">AASB 7 requires a sensitivity analysis to be undertaken for each type of market risk to which the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is exposed at the repor</w:t>
            </w:r>
            <w:r w:rsidR="00E56EEC" w:rsidRPr="00E03D2C">
              <w:rPr>
                <w:rFonts w:cs="Calibri"/>
                <w:color w:val="FFFFFF" w:themeColor="background1"/>
                <w:sz w:val="18"/>
                <w:szCs w:val="18"/>
              </w:rPr>
              <w:t>ting date, showing how profit and</w:t>
            </w:r>
            <w:r w:rsidRPr="00E03D2C">
              <w:rPr>
                <w:rFonts w:cs="Calibri"/>
                <w:color w:val="FFFFFF" w:themeColor="background1"/>
                <w:sz w:val="18"/>
                <w:szCs w:val="18"/>
              </w:rPr>
              <w:t xml:space="preserve"> loss and equity would have been affected by changes in the relevant risk variable that were reasonably possible at that date.</w:t>
            </w:r>
            <w:r w:rsidR="00FA7C77">
              <w:rPr>
                <w:rFonts w:cs="Calibri"/>
                <w:color w:val="FFFFFF" w:themeColor="background1"/>
                <w:sz w:val="18"/>
                <w:szCs w:val="18"/>
              </w:rPr>
              <w:t xml:space="preserve"> </w:t>
            </w:r>
            <w:r w:rsidRPr="00E03D2C">
              <w:rPr>
                <w:rFonts w:cs="Calibri"/>
                <w:color w:val="FFFFFF" w:themeColor="background1"/>
                <w:sz w:val="18"/>
                <w:szCs w:val="18"/>
              </w:rPr>
              <w:t>Market risk includes interest rate risk, price risk and foreign currency risk.</w:t>
            </w:r>
            <w:r w:rsidR="00FA7C77">
              <w:rPr>
                <w:rFonts w:cs="Calibri"/>
                <w:color w:val="FFFFFF" w:themeColor="background1"/>
                <w:sz w:val="18"/>
                <w:szCs w:val="18"/>
              </w:rPr>
              <w:t xml:space="preserve"> </w:t>
            </w:r>
            <w:r w:rsidR="00B96D8D" w:rsidRPr="00E03D2C">
              <w:rPr>
                <w:rFonts w:cs="Calibri"/>
                <w:color w:val="FFFFFF" w:themeColor="background1"/>
                <w:sz w:val="18"/>
                <w:szCs w:val="18"/>
              </w:rPr>
              <w:t xml:space="preserve">An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must also disclose the methods and assumptions used in preparing the sensitivity analysis and changes from the previous period in the methods and assumptions used, and the reasons for such changes.</w:t>
            </w:r>
          </w:p>
        </w:tc>
      </w:tr>
      <w:tr w:rsidR="00B70538" w:rsidRPr="00CF7E1B" w14:paraId="4F42BDFE" w14:textId="77777777" w:rsidTr="0004564D">
        <w:trPr>
          <w:trHeight w:val="119"/>
        </w:trPr>
        <w:tc>
          <w:tcPr>
            <w:tcW w:w="1560" w:type="dxa"/>
            <w:tcBorders>
              <w:left w:val="single" w:sz="2" w:space="0" w:color="auto"/>
              <w:right w:val="single" w:sz="2" w:space="0" w:color="auto"/>
            </w:tcBorders>
          </w:tcPr>
          <w:p w14:paraId="163CD2F2" w14:textId="77777777" w:rsidR="00B70538" w:rsidRPr="00E03D2C" w:rsidRDefault="00B7053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6755B77" w14:textId="77777777" w:rsidR="00B70538" w:rsidRPr="00E03D2C" w:rsidRDefault="00B70538" w:rsidP="00D52567">
            <w:pPr>
              <w:autoSpaceDE w:val="0"/>
              <w:autoSpaceDN w:val="0"/>
              <w:adjustRightInd w:val="0"/>
              <w:spacing w:after="120"/>
              <w:jc w:val="both"/>
              <w:rPr>
                <w:rFonts w:cs="Calibri"/>
                <w:color w:val="FFFFFF" w:themeColor="background1"/>
                <w:sz w:val="18"/>
                <w:szCs w:val="18"/>
              </w:rPr>
            </w:pPr>
            <w:r w:rsidRPr="00E03D2C">
              <w:rPr>
                <w:rFonts w:cs="Calibri"/>
                <w:color w:val="FFFFFF" w:themeColor="background1"/>
                <w:sz w:val="18"/>
                <w:szCs w:val="18"/>
              </w:rPr>
              <w:t xml:space="preserve">Note that a sensitivity analysis, as disclosed in the Model, does not need to be undertaken for the interest rate risk or price risk, if the </w:t>
            </w:r>
            <w:r w:rsidR="00D65811" w:rsidRPr="00E03D2C">
              <w:rPr>
                <w:rFonts w:cs="Calibri"/>
                <w:color w:val="FFFFFF" w:themeColor="background1"/>
                <w:sz w:val="18"/>
                <w:szCs w:val="18"/>
              </w:rPr>
              <w:t>a</w:t>
            </w:r>
            <w:r w:rsidR="00B96D8D" w:rsidRPr="00E03D2C">
              <w:rPr>
                <w:rFonts w:cs="Calibri"/>
                <w:color w:val="FFFFFF" w:themeColor="background1"/>
                <w:sz w:val="18"/>
                <w:szCs w:val="18"/>
              </w:rPr>
              <w:t>gency</w:t>
            </w:r>
            <w:r w:rsidRPr="00E03D2C">
              <w:rPr>
                <w:rFonts w:cs="Calibri"/>
                <w:color w:val="FFFFFF" w:themeColor="background1"/>
                <w:sz w:val="18"/>
                <w:szCs w:val="18"/>
              </w:rPr>
              <w:t xml:space="preserve"> has determined that the possible impact on profit and loss or total equity from fluctuations in interest rates or pric</w:t>
            </w:r>
            <w:r w:rsidR="00165A1A" w:rsidRPr="00E03D2C">
              <w:rPr>
                <w:rFonts w:cs="Calibri"/>
                <w:color w:val="FFFFFF" w:themeColor="background1"/>
                <w:sz w:val="18"/>
                <w:szCs w:val="18"/>
              </w:rPr>
              <w:t>e respectively is immaterial.</w:t>
            </w:r>
          </w:p>
        </w:tc>
      </w:tr>
      <w:tr w:rsidR="00B70538" w:rsidRPr="00CF7E1B" w14:paraId="0482B1C1" w14:textId="77777777" w:rsidTr="0004564D">
        <w:trPr>
          <w:trHeight w:val="283"/>
        </w:trPr>
        <w:tc>
          <w:tcPr>
            <w:tcW w:w="1560" w:type="dxa"/>
            <w:tcBorders>
              <w:left w:val="single" w:sz="2" w:space="0" w:color="auto"/>
              <w:right w:val="single" w:sz="2" w:space="0" w:color="auto"/>
            </w:tcBorders>
          </w:tcPr>
          <w:p w14:paraId="4E7FAA57" w14:textId="77777777" w:rsidR="00B70538" w:rsidRPr="00E03D2C" w:rsidRDefault="00B70538" w:rsidP="00165A1A">
            <w:pPr>
              <w:pStyle w:val="TableReference"/>
              <w:tabs>
                <w:tab w:val="left" w:pos="3306"/>
              </w:tabs>
              <w:spacing w:after="120"/>
              <w:rPr>
                <w:rFonts w:cs="Calibri"/>
                <w:color w:val="7030A0"/>
                <w:sz w:val="14"/>
              </w:rPr>
            </w:pPr>
          </w:p>
        </w:tc>
        <w:tc>
          <w:tcPr>
            <w:tcW w:w="8930" w:type="dxa"/>
            <w:tcBorders>
              <w:left w:val="single" w:sz="2" w:space="0" w:color="auto"/>
            </w:tcBorders>
            <w:shd w:val="clear" w:color="auto" w:fill="7030A0"/>
          </w:tcPr>
          <w:p w14:paraId="12B6A91E" w14:textId="77777777" w:rsidR="00B70538" w:rsidRPr="00A41A54" w:rsidRDefault="00B70538" w:rsidP="006F3697">
            <w:pPr>
              <w:pStyle w:val="CommentaryText"/>
              <w:tabs>
                <w:tab w:val="left" w:pos="3306"/>
              </w:tabs>
              <w:spacing w:after="0"/>
              <w:rPr>
                <w:rFonts w:cs="Calibri"/>
                <w:color w:val="FFFFFF" w:themeColor="background1"/>
                <w:szCs w:val="20"/>
              </w:rPr>
            </w:pPr>
            <w:r w:rsidRPr="00A41A54">
              <w:rPr>
                <w:rFonts w:cs="Calibri"/>
                <w:b/>
                <w:color w:val="FFFFFF" w:themeColor="background1"/>
                <w:szCs w:val="20"/>
              </w:rPr>
              <w:t xml:space="preserve">Carrying Amount </w:t>
            </w:r>
            <w:r w:rsidR="00E56EEC" w:rsidRPr="00A41A54">
              <w:rPr>
                <w:rFonts w:cs="Calibri"/>
                <w:b/>
                <w:color w:val="FFFFFF" w:themeColor="background1"/>
                <w:szCs w:val="20"/>
              </w:rPr>
              <w:t xml:space="preserve">of and Gains on </w:t>
            </w:r>
            <w:r w:rsidRPr="00A41A54">
              <w:rPr>
                <w:rFonts w:cs="Calibri"/>
                <w:b/>
                <w:color w:val="FFFFFF" w:themeColor="background1"/>
                <w:szCs w:val="20"/>
              </w:rPr>
              <w:t>Financial Assets and Financial Liabilities</w:t>
            </w:r>
          </w:p>
        </w:tc>
      </w:tr>
      <w:tr w:rsidR="00B70538" w:rsidRPr="00CF7E1B" w14:paraId="2C30DDA5" w14:textId="77777777" w:rsidTr="0004564D">
        <w:trPr>
          <w:trHeight w:val="283"/>
        </w:trPr>
        <w:tc>
          <w:tcPr>
            <w:tcW w:w="1560" w:type="dxa"/>
            <w:tcBorders>
              <w:left w:val="single" w:sz="2" w:space="0" w:color="auto"/>
              <w:right w:val="single" w:sz="2" w:space="0" w:color="auto"/>
            </w:tcBorders>
          </w:tcPr>
          <w:p w14:paraId="24E9E207" w14:textId="77777777" w:rsidR="00B70538" w:rsidRPr="00E03D2C" w:rsidRDefault="00B70538">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8</w:t>
            </w:r>
          </w:p>
          <w:p w14:paraId="3B90E0C3" w14:textId="77777777" w:rsidR="00B70538" w:rsidRPr="00E03D2C" w:rsidRDefault="00E87D49">
            <w:pPr>
              <w:pStyle w:val="TableReference"/>
              <w:tabs>
                <w:tab w:val="left" w:pos="3306"/>
              </w:tabs>
              <w:spacing w:before="60"/>
              <w:rPr>
                <w:rFonts w:cs="Calibri"/>
                <w:color w:val="7030A0"/>
                <w:sz w:val="14"/>
              </w:rPr>
            </w:pPr>
            <w:r w:rsidRPr="00E03D2C">
              <w:rPr>
                <w:rFonts w:cs="Calibri"/>
                <w:color w:val="7030A0"/>
                <w:sz w:val="14"/>
              </w:rPr>
              <w:t>AASB 7</w:t>
            </w:r>
            <w:r w:rsidR="00D65811" w:rsidRPr="00E03D2C">
              <w:rPr>
                <w:rFonts w:cs="Calibri"/>
                <w:color w:val="7030A0"/>
                <w:sz w:val="14"/>
              </w:rPr>
              <w:t>.</w:t>
            </w:r>
            <w:r w:rsidRPr="00E03D2C">
              <w:rPr>
                <w:rFonts w:cs="Calibri"/>
                <w:color w:val="7030A0"/>
                <w:sz w:val="14"/>
              </w:rPr>
              <w:t>20</w:t>
            </w:r>
          </w:p>
          <w:p w14:paraId="400B77D9" w14:textId="77777777" w:rsidR="00B70538" w:rsidRPr="00E03D2C" w:rsidRDefault="00B70538">
            <w:pPr>
              <w:pStyle w:val="TableReference"/>
              <w:tabs>
                <w:tab w:val="left" w:pos="3306"/>
              </w:tabs>
              <w:spacing w:before="60"/>
              <w:rPr>
                <w:rFonts w:cs="Calibri"/>
                <w:color w:val="7030A0"/>
                <w:sz w:val="14"/>
              </w:rPr>
            </w:pPr>
          </w:p>
          <w:p w14:paraId="1301A5F6" w14:textId="77777777" w:rsidR="00B70538" w:rsidRPr="00E03D2C" w:rsidRDefault="00B70538">
            <w:pPr>
              <w:pStyle w:val="TableReference"/>
              <w:tabs>
                <w:tab w:val="left" w:pos="3306"/>
              </w:tabs>
              <w:spacing w:before="60"/>
              <w:rPr>
                <w:rFonts w:cs="Calibri"/>
                <w:color w:val="7030A0"/>
                <w:sz w:val="14"/>
              </w:rPr>
            </w:pPr>
          </w:p>
          <w:p w14:paraId="414897F2" w14:textId="77777777" w:rsidR="00B70538" w:rsidRPr="00E03D2C" w:rsidRDefault="00B70538">
            <w:pPr>
              <w:pStyle w:val="TableReference"/>
              <w:tabs>
                <w:tab w:val="left" w:pos="3306"/>
              </w:tabs>
              <w:spacing w:before="60"/>
              <w:rPr>
                <w:rFonts w:cs="Calibri"/>
                <w:color w:val="7030A0"/>
                <w:sz w:val="14"/>
              </w:rPr>
            </w:pPr>
          </w:p>
          <w:p w14:paraId="18FA06FE" w14:textId="77777777" w:rsidR="00B70538" w:rsidRPr="00E03D2C" w:rsidRDefault="00B70538">
            <w:pPr>
              <w:pStyle w:val="TableReference"/>
              <w:tabs>
                <w:tab w:val="left" w:pos="3306"/>
              </w:tabs>
              <w:spacing w:before="60"/>
              <w:rPr>
                <w:rFonts w:cs="Calibri"/>
                <w:color w:val="7030A0"/>
                <w:sz w:val="14"/>
              </w:rPr>
            </w:pPr>
          </w:p>
          <w:p w14:paraId="4AEAFD36" w14:textId="77777777" w:rsidR="00494B0F" w:rsidRPr="00E03D2C" w:rsidRDefault="00494B0F">
            <w:pPr>
              <w:pStyle w:val="TableReference"/>
              <w:tabs>
                <w:tab w:val="left" w:pos="3306"/>
              </w:tabs>
              <w:spacing w:before="60"/>
              <w:rPr>
                <w:rFonts w:cs="Calibri"/>
                <w:color w:val="7030A0"/>
                <w:sz w:val="14"/>
              </w:rPr>
            </w:pPr>
          </w:p>
          <w:p w14:paraId="3400F0A3" w14:textId="77777777" w:rsidR="00494B0F" w:rsidRPr="00E03D2C" w:rsidRDefault="00494B0F">
            <w:pPr>
              <w:pStyle w:val="TableReference"/>
              <w:tabs>
                <w:tab w:val="left" w:pos="3306"/>
              </w:tabs>
              <w:spacing w:before="60"/>
              <w:rPr>
                <w:rFonts w:cs="Calibri"/>
                <w:color w:val="7030A0"/>
                <w:sz w:val="14"/>
              </w:rPr>
            </w:pPr>
          </w:p>
          <w:p w14:paraId="137DE360" w14:textId="77777777" w:rsidR="00B70538" w:rsidRPr="00E03D2C" w:rsidRDefault="00B70538" w:rsidP="00F42E0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F88A3E7" w14:textId="77777777" w:rsidR="00B70538" w:rsidRPr="00E03D2C" w:rsidRDefault="00B70538" w:rsidP="00411210">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 xml:space="preserve">AASB 7 requires the carrying amount </w:t>
            </w:r>
            <w:r w:rsidR="00671BB9" w:rsidRPr="00E03D2C">
              <w:rPr>
                <w:rFonts w:cs="Calibri"/>
                <w:color w:val="FFFFFF" w:themeColor="background1"/>
                <w:sz w:val="18"/>
                <w:szCs w:val="18"/>
              </w:rPr>
              <w:t>and g</w:t>
            </w:r>
            <w:r w:rsidR="00E56EEC" w:rsidRPr="00E03D2C">
              <w:rPr>
                <w:rFonts w:cs="Calibri"/>
                <w:color w:val="FFFFFF" w:themeColor="background1"/>
                <w:sz w:val="18"/>
                <w:szCs w:val="18"/>
              </w:rPr>
              <w:t xml:space="preserve">ains </w:t>
            </w:r>
            <w:r w:rsidRPr="00E03D2C">
              <w:rPr>
                <w:rFonts w:cs="Calibri"/>
                <w:color w:val="FFFFFF" w:themeColor="background1"/>
                <w:sz w:val="18"/>
                <w:szCs w:val="18"/>
              </w:rPr>
              <w:t>to be disclosed for the following c</w:t>
            </w:r>
            <w:r w:rsidR="00E56EEC" w:rsidRPr="00E03D2C">
              <w:rPr>
                <w:rFonts w:cs="Calibri"/>
                <w:color w:val="FFFFFF" w:themeColor="background1"/>
                <w:sz w:val="18"/>
                <w:szCs w:val="18"/>
              </w:rPr>
              <w:t>lass</w:t>
            </w:r>
            <w:r w:rsidR="00671BB9" w:rsidRPr="00E03D2C">
              <w:rPr>
                <w:rFonts w:cs="Calibri"/>
                <w:color w:val="FFFFFF" w:themeColor="background1"/>
                <w:sz w:val="18"/>
                <w:szCs w:val="18"/>
              </w:rPr>
              <w:t>es</w:t>
            </w:r>
            <w:r w:rsidRPr="00E03D2C">
              <w:rPr>
                <w:rFonts w:cs="Calibri"/>
                <w:color w:val="FFFFFF" w:themeColor="background1"/>
                <w:sz w:val="18"/>
                <w:szCs w:val="18"/>
              </w:rPr>
              <w:t xml:space="preserve"> of financial assets and financial liabilities:</w:t>
            </w:r>
          </w:p>
          <w:p w14:paraId="1804C071" w14:textId="77777777" w:rsidR="00B70538" w:rsidRPr="00E03D2C" w:rsidRDefault="00B70538"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Assets at Fair Value through the Profit and Loss</w:t>
            </w:r>
            <w:r w:rsidR="00D728FD" w:rsidRPr="00E03D2C">
              <w:rPr>
                <w:rFonts w:cs="Calibri"/>
                <w:color w:val="FFFFFF" w:themeColor="background1"/>
                <w:sz w:val="18"/>
                <w:szCs w:val="18"/>
              </w:rPr>
              <w:t xml:space="preserve"> s</w:t>
            </w:r>
            <w:r w:rsidR="00E31A72" w:rsidRPr="00E03D2C">
              <w:rPr>
                <w:rFonts w:cs="Calibri"/>
                <w:color w:val="FFFFFF" w:themeColor="background1"/>
                <w:sz w:val="18"/>
                <w:szCs w:val="18"/>
              </w:rPr>
              <w:t>how</w:t>
            </w:r>
            <w:r w:rsidR="004E6C00" w:rsidRPr="00E03D2C">
              <w:rPr>
                <w:rFonts w:cs="Calibri"/>
                <w:color w:val="FFFFFF" w:themeColor="background1"/>
                <w:sz w:val="18"/>
                <w:szCs w:val="18"/>
              </w:rPr>
              <w:t>ing</w:t>
            </w:r>
            <w:r w:rsidR="00E31A72" w:rsidRPr="00E03D2C">
              <w:rPr>
                <w:rFonts w:cs="Calibri"/>
                <w:color w:val="FFFFFF" w:themeColor="background1"/>
                <w:sz w:val="18"/>
                <w:szCs w:val="18"/>
              </w:rPr>
              <w:t xml:space="preserve"> separately those </w:t>
            </w:r>
            <w:r w:rsidR="00D728FD" w:rsidRPr="00E03D2C">
              <w:rPr>
                <w:rFonts w:cs="Calibri"/>
                <w:color w:val="FFFFFF" w:themeColor="background1"/>
                <w:sz w:val="18"/>
                <w:szCs w:val="18"/>
              </w:rPr>
              <w:t>d</w:t>
            </w:r>
            <w:r w:rsidRPr="00E03D2C">
              <w:rPr>
                <w:rFonts w:cs="Calibri"/>
                <w:color w:val="FFFFFF" w:themeColor="background1"/>
                <w:sz w:val="18"/>
                <w:szCs w:val="18"/>
              </w:rPr>
              <w:t>esignated upon Initial Recognition at Fair Value through Profit and Loss</w:t>
            </w:r>
            <w:r w:rsidR="00671BB9" w:rsidRPr="00E03D2C">
              <w:rPr>
                <w:rFonts w:cs="Calibri"/>
                <w:color w:val="FFFFFF" w:themeColor="background1"/>
                <w:sz w:val="18"/>
                <w:szCs w:val="18"/>
              </w:rPr>
              <w:t>;</w:t>
            </w:r>
          </w:p>
          <w:p w14:paraId="09577BA2" w14:textId="73B13242" w:rsidR="00D728FD" w:rsidRPr="00E03D2C" w:rsidRDefault="00D728FD"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Liabilities at Fair Value through the Profit and Loss show</w:t>
            </w:r>
            <w:r w:rsidR="004E6C00" w:rsidRPr="00E03D2C">
              <w:rPr>
                <w:rFonts w:cs="Calibri"/>
                <w:color w:val="FFFFFF" w:themeColor="background1"/>
                <w:sz w:val="18"/>
                <w:szCs w:val="18"/>
              </w:rPr>
              <w:t>ing</w:t>
            </w:r>
            <w:r w:rsidRPr="00E03D2C">
              <w:rPr>
                <w:rFonts w:cs="Calibri"/>
                <w:color w:val="FFFFFF" w:themeColor="background1"/>
                <w:sz w:val="18"/>
                <w:szCs w:val="18"/>
              </w:rPr>
              <w:t xml:space="preserve"> separately those designated upon Initial Recognition at Fair Value through Profit and Loss;</w:t>
            </w:r>
          </w:p>
          <w:p w14:paraId="7C2E9B63" w14:textId="0C202AE1" w:rsidR="00650DF8" w:rsidRPr="00E03D2C" w:rsidRDefault="00650DF8"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Assets measured at Amortised Cost;</w:t>
            </w:r>
          </w:p>
          <w:p w14:paraId="230C253F" w14:textId="5AC025A1" w:rsidR="00650DF8" w:rsidRPr="00E03D2C" w:rsidRDefault="00650DF8"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Financial Liabilities measured at Amortised Cost; and</w:t>
            </w:r>
          </w:p>
          <w:p w14:paraId="5229E487" w14:textId="01BF7E7E" w:rsidR="00494B0F" w:rsidRPr="00E03D2C" w:rsidRDefault="00650DF8"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Financial Assets measured at Fair Value through Other Comprehensive Income.</w:t>
            </w:r>
          </w:p>
        </w:tc>
      </w:tr>
      <w:tr w:rsidR="00F42E0A" w:rsidRPr="00CF7E1B" w14:paraId="09AABA90" w14:textId="77777777" w:rsidTr="0004564D">
        <w:trPr>
          <w:trHeight w:val="283"/>
        </w:trPr>
        <w:tc>
          <w:tcPr>
            <w:tcW w:w="1560" w:type="dxa"/>
            <w:tcBorders>
              <w:left w:val="single" w:sz="2" w:space="0" w:color="auto"/>
              <w:right w:val="single" w:sz="2" w:space="0" w:color="auto"/>
            </w:tcBorders>
          </w:tcPr>
          <w:p w14:paraId="63EAD5A4" w14:textId="77777777" w:rsidR="00F42E0A" w:rsidRPr="00E03D2C" w:rsidRDefault="00F42E0A" w:rsidP="00F42E0A">
            <w:pPr>
              <w:pStyle w:val="TableReference"/>
              <w:tabs>
                <w:tab w:val="left" w:pos="3306"/>
              </w:tabs>
              <w:spacing w:before="60"/>
              <w:rPr>
                <w:rFonts w:cs="Calibri"/>
                <w:color w:val="7030A0"/>
                <w:sz w:val="14"/>
              </w:rPr>
            </w:pPr>
            <w:r w:rsidRPr="00E03D2C">
              <w:rPr>
                <w:rFonts w:cs="Calibri"/>
                <w:color w:val="7030A0"/>
                <w:sz w:val="14"/>
              </w:rPr>
              <w:t>ACT Disclosure Policy</w:t>
            </w:r>
          </w:p>
          <w:p w14:paraId="158182D2" w14:textId="77777777" w:rsidR="00F42E0A" w:rsidRPr="00E03D2C" w:rsidRDefault="00F42E0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4847C8C" w14:textId="590D89D0" w:rsidR="00F42E0A" w:rsidRPr="00E03D2C" w:rsidRDefault="00F42E0A" w:rsidP="00411210">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AASB 7 allows this above disclosure to be included in either the financial statements or in the notes.</w:t>
            </w:r>
            <w:r w:rsidR="00FA7C77">
              <w:rPr>
                <w:rFonts w:cs="Calibri"/>
                <w:color w:val="FFFFFF" w:themeColor="background1"/>
                <w:sz w:val="18"/>
                <w:szCs w:val="18"/>
              </w:rPr>
              <w:t xml:space="preserve"> </w:t>
            </w:r>
            <w:r w:rsidRPr="00E03D2C">
              <w:rPr>
                <w:rFonts w:cs="Calibri"/>
                <w:color w:val="FFFFFF" w:themeColor="background1"/>
                <w:sz w:val="18"/>
                <w:szCs w:val="18"/>
              </w:rPr>
              <w:t>ACT Disclosure Policy requires this disclosure to be included in the notes.</w:t>
            </w:r>
          </w:p>
        </w:tc>
      </w:tr>
      <w:tr w:rsidR="00D011AB" w:rsidRPr="00CF7E1B" w14:paraId="1E21F19C" w14:textId="77777777" w:rsidTr="0004564D">
        <w:trPr>
          <w:trHeight w:val="282"/>
        </w:trPr>
        <w:tc>
          <w:tcPr>
            <w:tcW w:w="1560" w:type="dxa"/>
            <w:tcBorders>
              <w:left w:val="single" w:sz="2" w:space="0" w:color="auto"/>
              <w:right w:val="single" w:sz="2" w:space="0" w:color="auto"/>
            </w:tcBorders>
          </w:tcPr>
          <w:p w14:paraId="3112CF26" w14:textId="0F13E45E" w:rsidR="00D011AB" w:rsidRPr="00E03D2C" w:rsidRDefault="00D011AB" w:rsidP="00EF015C">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0B7224C2" w14:textId="24331C5E" w:rsidR="00D011AB" w:rsidRPr="00E03D2C" w:rsidRDefault="00D011AB" w:rsidP="00411210">
            <w:pPr>
              <w:pStyle w:val="CommentaryText"/>
              <w:tabs>
                <w:tab w:val="left" w:pos="3306"/>
              </w:tabs>
              <w:spacing w:after="40"/>
              <w:rPr>
                <w:rFonts w:cs="Calibri"/>
                <w:color w:val="FFFFFF" w:themeColor="background1"/>
                <w:sz w:val="18"/>
                <w:szCs w:val="18"/>
              </w:rPr>
            </w:pPr>
            <w:r w:rsidRPr="00E03D2C">
              <w:rPr>
                <w:rFonts w:cs="Calibri"/>
                <w:color w:val="FFFFFF" w:themeColor="background1"/>
                <w:sz w:val="18"/>
                <w:szCs w:val="18"/>
              </w:rPr>
              <w:t>Note however that most ACT Government agencies will not have all these categories of financial assets and liabilities and as such will not need to disclose all these categories.</w:t>
            </w:r>
            <w:r w:rsidR="00FA7C77">
              <w:rPr>
                <w:rFonts w:cs="Calibri"/>
                <w:color w:val="FFFFFF" w:themeColor="background1"/>
                <w:sz w:val="18"/>
                <w:szCs w:val="18"/>
              </w:rPr>
              <w:t xml:space="preserve"> </w:t>
            </w:r>
            <w:r w:rsidRPr="00E03D2C">
              <w:rPr>
                <w:rFonts w:cs="Calibri"/>
                <w:color w:val="FFFFFF" w:themeColor="background1"/>
                <w:sz w:val="18"/>
                <w:szCs w:val="18"/>
              </w:rPr>
              <w:t xml:space="preserve">Most agencies will only have the following categories: </w:t>
            </w:r>
          </w:p>
          <w:p w14:paraId="34F8D59C" w14:textId="2D211236" w:rsidR="00D011AB" w:rsidRPr="00E03D2C" w:rsidRDefault="00D011AB"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Designated upon Initial Recognition at Fair Value through Profit and Loss (e.g. Investment</w:t>
            </w:r>
            <w:r w:rsidR="00DA5693" w:rsidRPr="00E03D2C">
              <w:rPr>
                <w:rFonts w:cs="Calibri"/>
                <w:color w:val="FFFFFF" w:themeColor="background1"/>
                <w:sz w:val="18"/>
                <w:szCs w:val="18"/>
              </w:rPr>
              <w:t>s</w:t>
            </w:r>
            <w:r w:rsidRPr="00E03D2C">
              <w:rPr>
                <w:rFonts w:cs="Calibri"/>
                <w:color w:val="FFFFFF" w:themeColor="background1"/>
                <w:sz w:val="18"/>
                <w:szCs w:val="18"/>
              </w:rPr>
              <w:t xml:space="preserve"> </w:t>
            </w:r>
            <w:r w:rsidR="00881F01" w:rsidRPr="00E03D2C">
              <w:rPr>
                <w:rFonts w:cs="Calibri"/>
                <w:color w:val="FFFFFF" w:themeColor="background1"/>
                <w:sz w:val="18"/>
                <w:szCs w:val="18"/>
              </w:rPr>
              <w:t xml:space="preserve">with </w:t>
            </w:r>
            <w:r w:rsidRPr="00E03D2C">
              <w:rPr>
                <w:rFonts w:cs="Calibri"/>
                <w:color w:val="FFFFFF" w:themeColor="background1"/>
                <w:sz w:val="18"/>
                <w:szCs w:val="18"/>
              </w:rPr>
              <w:t xml:space="preserve">the </w:t>
            </w:r>
            <w:r w:rsidR="00881F01" w:rsidRPr="00E03D2C">
              <w:rPr>
                <w:rFonts w:cs="Calibri"/>
                <w:color w:val="FFFFFF" w:themeColor="background1"/>
                <w:sz w:val="18"/>
                <w:szCs w:val="18"/>
              </w:rPr>
              <w:t>Banking Account</w:t>
            </w:r>
            <w:r w:rsidRPr="00E03D2C">
              <w:rPr>
                <w:rFonts w:cs="Calibri"/>
                <w:color w:val="FFFFFF" w:themeColor="background1"/>
                <w:sz w:val="18"/>
                <w:szCs w:val="18"/>
              </w:rPr>
              <w:t>);</w:t>
            </w:r>
            <w:r w:rsidR="00DA5693" w:rsidRPr="00E03D2C">
              <w:rPr>
                <w:rFonts w:cs="Calibri"/>
                <w:color w:val="FFFFFF" w:themeColor="background1"/>
                <w:sz w:val="18"/>
                <w:szCs w:val="18"/>
              </w:rPr>
              <w:t xml:space="preserve"> and</w:t>
            </w:r>
          </w:p>
          <w:p w14:paraId="49277ED0" w14:textId="7BD8B1E5" w:rsidR="00D011AB" w:rsidRPr="00E03D2C" w:rsidRDefault="00D011AB"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Financial </w:t>
            </w:r>
            <w:r w:rsidR="00DA5693" w:rsidRPr="00E03D2C">
              <w:rPr>
                <w:rFonts w:cs="Calibri"/>
                <w:color w:val="FFFFFF" w:themeColor="background1"/>
                <w:sz w:val="18"/>
                <w:szCs w:val="18"/>
              </w:rPr>
              <w:t xml:space="preserve">Assets and </w:t>
            </w:r>
            <w:r w:rsidRPr="00E03D2C">
              <w:rPr>
                <w:rFonts w:cs="Calibri"/>
                <w:color w:val="FFFFFF" w:themeColor="background1"/>
                <w:sz w:val="18"/>
                <w:szCs w:val="18"/>
              </w:rPr>
              <w:t>Liabilities measured at Amortised Cost.</w:t>
            </w:r>
            <w:r w:rsidR="00FA7C77">
              <w:rPr>
                <w:rFonts w:cs="Calibri"/>
                <w:color w:val="FFFFFF" w:themeColor="background1"/>
                <w:sz w:val="18"/>
                <w:szCs w:val="18"/>
              </w:rPr>
              <w:t xml:space="preserve"> </w:t>
            </w:r>
          </w:p>
          <w:p w14:paraId="0B38D3CC" w14:textId="5512696E" w:rsidR="00D011AB" w:rsidRPr="00E03D2C" w:rsidRDefault="00D011AB" w:rsidP="00494B0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As such</w:t>
            </w:r>
            <w:r w:rsidR="00327A39" w:rsidRPr="00E03D2C">
              <w:rPr>
                <w:rFonts w:cs="Calibri"/>
                <w:color w:val="FFFFFF" w:themeColor="background1"/>
                <w:sz w:val="18"/>
                <w:szCs w:val="18"/>
              </w:rPr>
              <w:t>,</w:t>
            </w:r>
            <w:r w:rsidRPr="00E03D2C">
              <w:rPr>
                <w:rFonts w:cs="Calibri"/>
                <w:color w:val="FFFFFF" w:themeColor="background1"/>
                <w:sz w:val="18"/>
                <w:szCs w:val="18"/>
              </w:rPr>
              <w:t xml:space="preserve"> these are the only categories which have been included in the Model.</w:t>
            </w:r>
          </w:p>
        </w:tc>
      </w:tr>
      <w:tr w:rsidR="00D011AB" w:rsidRPr="00CF7E1B" w14:paraId="0B97DC5A" w14:textId="77777777" w:rsidTr="0004564D">
        <w:trPr>
          <w:trHeight w:val="282"/>
        </w:trPr>
        <w:tc>
          <w:tcPr>
            <w:tcW w:w="1560" w:type="dxa"/>
            <w:tcBorders>
              <w:left w:val="single" w:sz="2" w:space="0" w:color="auto"/>
              <w:right w:val="single" w:sz="2" w:space="0" w:color="auto"/>
            </w:tcBorders>
          </w:tcPr>
          <w:p w14:paraId="173E9F81" w14:textId="77777777" w:rsidR="00EF015C" w:rsidRPr="00E03D2C" w:rsidRDefault="00EF015C" w:rsidP="003973ED">
            <w:pPr>
              <w:pStyle w:val="TableReference"/>
              <w:tabs>
                <w:tab w:val="left" w:pos="3306"/>
              </w:tabs>
              <w:spacing w:before="80"/>
              <w:rPr>
                <w:rFonts w:cs="Calibri"/>
                <w:color w:val="7030A0"/>
                <w:sz w:val="14"/>
              </w:rPr>
            </w:pPr>
          </w:p>
          <w:p w14:paraId="5879C352" w14:textId="77777777" w:rsidR="00EF015C" w:rsidRPr="00E03D2C" w:rsidRDefault="00EF015C" w:rsidP="003973ED">
            <w:pPr>
              <w:pStyle w:val="TableReference"/>
              <w:tabs>
                <w:tab w:val="left" w:pos="3306"/>
              </w:tabs>
              <w:spacing w:before="80"/>
              <w:rPr>
                <w:rFonts w:cs="Calibri"/>
                <w:color w:val="7030A0"/>
                <w:sz w:val="14"/>
              </w:rPr>
            </w:pPr>
          </w:p>
          <w:p w14:paraId="5247081D" w14:textId="77777777" w:rsidR="00D011AB" w:rsidRPr="00E03D2C" w:rsidRDefault="00FC7C48" w:rsidP="003973ED">
            <w:pPr>
              <w:pStyle w:val="TableReference"/>
              <w:tabs>
                <w:tab w:val="left" w:pos="3306"/>
              </w:tabs>
              <w:spacing w:before="80"/>
              <w:rPr>
                <w:rFonts w:cs="Calibri"/>
                <w:color w:val="7030A0"/>
                <w:sz w:val="14"/>
              </w:rPr>
            </w:pPr>
            <w:r w:rsidRPr="00E03D2C">
              <w:rPr>
                <w:rFonts w:cs="Calibri"/>
                <w:color w:val="7030A0"/>
                <w:sz w:val="14"/>
              </w:rPr>
              <w:t>AASB 9</w:t>
            </w:r>
          </w:p>
          <w:p w14:paraId="0A0F2CE3" w14:textId="5384F28A" w:rsidR="00A2128F" w:rsidRPr="00E03D2C" w:rsidRDefault="00A2128F" w:rsidP="003973ED">
            <w:pPr>
              <w:pStyle w:val="TableReference"/>
              <w:tabs>
                <w:tab w:val="left" w:pos="3306"/>
              </w:tabs>
              <w:spacing w:before="80"/>
              <w:rPr>
                <w:rFonts w:cs="Calibri"/>
                <w:color w:val="7030A0"/>
                <w:sz w:val="14"/>
              </w:rPr>
            </w:pPr>
            <w:r w:rsidRPr="00E03D2C">
              <w:rPr>
                <w:rFonts w:cs="Calibri"/>
                <w:color w:val="7030A0"/>
                <w:sz w:val="14"/>
              </w:rPr>
              <w:t>AASB 2014-7</w:t>
            </w:r>
          </w:p>
          <w:p w14:paraId="0339A69B" w14:textId="77777777" w:rsidR="00F179FC" w:rsidRPr="00E03D2C" w:rsidRDefault="00F179FC" w:rsidP="003973ED">
            <w:pPr>
              <w:pStyle w:val="TableReference"/>
              <w:tabs>
                <w:tab w:val="left" w:pos="3306"/>
              </w:tabs>
              <w:spacing w:before="80"/>
              <w:rPr>
                <w:rFonts w:cs="Calibri"/>
                <w:color w:val="7030A0"/>
                <w:sz w:val="14"/>
              </w:rPr>
            </w:pPr>
            <w:r w:rsidRPr="00E03D2C">
              <w:rPr>
                <w:rFonts w:cs="Calibri"/>
                <w:color w:val="7030A0"/>
                <w:sz w:val="14"/>
              </w:rPr>
              <w:t>AASB 7</w:t>
            </w:r>
            <w:r w:rsidR="00113427" w:rsidRPr="00E03D2C">
              <w:rPr>
                <w:rFonts w:cs="Calibri"/>
                <w:color w:val="7030A0"/>
                <w:sz w:val="14"/>
              </w:rPr>
              <w:t xml:space="preserve">.35M-N </w:t>
            </w:r>
          </w:p>
          <w:p w14:paraId="55B94D3E" w14:textId="77777777" w:rsidR="00D011AB" w:rsidRPr="00E03D2C" w:rsidRDefault="00D011AB" w:rsidP="003973ED">
            <w:pPr>
              <w:pStyle w:val="TableReference"/>
              <w:tabs>
                <w:tab w:val="left" w:pos="3306"/>
              </w:tabs>
              <w:spacing w:before="80"/>
              <w:rPr>
                <w:rFonts w:cs="Calibri"/>
                <w:color w:val="7030A0"/>
                <w:sz w:val="14"/>
              </w:rPr>
            </w:pPr>
            <w:r w:rsidRPr="00E03D2C">
              <w:rPr>
                <w:rFonts w:cs="Calibri"/>
                <w:color w:val="7030A0"/>
                <w:sz w:val="14"/>
              </w:rPr>
              <w:t>AASB 7.36</w:t>
            </w:r>
          </w:p>
          <w:p w14:paraId="40D52190" w14:textId="77777777" w:rsidR="00917C70" w:rsidRPr="0009580B" w:rsidRDefault="00917C70" w:rsidP="003973ED">
            <w:pPr>
              <w:pStyle w:val="TableReference"/>
              <w:tabs>
                <w:tab w:val="left" w:pos="3306"/>
              </w:tabs>
              <w:spacing w:before="80"/>
              <w:rPr>
                <w:rFonts w:cs="Calibri"/>
                <w:color w:val="7030A0"/>
                <w:sz w:val="14"/>
              </w:rPr>
            </w:pPr>
          </w:p>
          <w:p w14:paraId="4B755A38" w14:textId="77777777" w:rsidR="00917C70" w:rsidRPr="00E03D2C" w:rsidRDefault="00917C70" w:rsidP="003973ED">
            <w:pPr>
              <w:pStyle w:val="TableReference"/>
              <w:tabs>
                <w:tab w:val="left" w:pos="3306"/>
              </w:tabs>
              <w:spacing w:before="80"/>
              <w:rPr>
                <w:rFonts w:cs="Calibri"/>
                <w:color w:val="7030A0"/>
                <w:sz w:val="14"/>
              </w:rPr>
            </w:pPr>
            <w:r w:rsidRPr="00E03D2C">
              <w:rPr>
                <w:rFonts w:cs="Calibri"/>
                <w:color w:val="7030A0"/>
                <w:sz w:val="14"/>
              </w:rPr>
              <w:t>AASB 7.35M-N</w:t>
            </w:r>
          </w:p>
          <w:p w14:paraId="7012E611" w14:textId="77777777" w:rsidR="00B16216" w:rsidRPr="00E03D2C" w:rsidRDefault="00B16216" w:rsidP="00222AEE">
            <w:pPr>
              <w:pStyle w:val="TableReference"/>
              <w:tabs>
                <w:tab w:val="left" w:pos="3306"/>
              </w:tabs>
              <w:spacing w:before="80"/>
              <w:rPr>
                <w:rFonts w:cs="Calibri"/>
                <w:color w:val="7030A0"/>
                <w:sz w:val="14"/>
              </w:rPr>
            </w:pPr>
            <w:r w:rsidRPr="00E03D2C">
              <w:rPr>
                <w:rFonts w:cs="Calibri"/>
                <w:color w:val="7030A0"/>
                <w:sz w:val="14"/>
              </w:rPr>
              <w:t>Financial Framework Memo 2018/23 see Appendix B</w:t>
            </w:r>
          </w:p>
        </w:tc>
        <w:tc>
          <w:tcPr>
            <w:tcW w:w="8930" w:type="dxa"/>
            <w:tcBorders>
              <w:left w:val="single" w:sz="2" w:space="0" w:color="auto"/>
            </w:tcBorders>
            <w:shd w:val="clear" w:color="auto" w:fill="7030A0"/>
          </w:tcPr>
          <w:p w14:paraId="2010FE35" w14:textId="77777777" w:rsidR="00D011AB" w:rsidRPr="00A41A54" w:rsidRDefault="00D011AB" w:rsidP="00494B0F">
            <w:pPr>
              <w:pStyle w:val="CommentaryText"/>
              <w:tabs>
                <w:tab w:val="left" w:pos="3306"/>
              </w:tabs>
              <w:spacing w:after="0"/>
              <w:rPr>
                <w:rFonts w:cs="Calibri"/>
                <w:b/>
                <w:color w:val="FFFFFF" w:themeColor="background1"/>
                <w:szCs w:val="20"/>
              </w:rPr>
            </w:pPr>
            <w:r w:rsidRPr="00A41A54">
              <w:rPr>
                <w:rFonts w:cs="Calibri"/>
                <w:b/>
                <w:color w:val="FFFFFF" w:themeColor="background1"/>
                <w:szCs w:val="20"/>
              </w:rPr>
              <w:t>Credit Risk</w:t>
            </w:r>
          </w:p>
          <w:p w14:paraId="46F4FD9D" w14:textId="3E638A03" w:rsidR="00D011AB" w:rsidRPr="00E03D2C" w:rsidRDefault="00D011AB" w:rsidP="00616AAB">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AASB 7 requires</w:t>
            </w:r>
            <w:r w:rsidR="00327A39" w:rsidRPr="00E03D2C">
              <w:rPr>
                <w:rFonts w:cs="Calibri"/>
                <w:color w:val="FFFFFF" w:themeColor="background1"/>
                <w:sz w:val="18"/>
                <w:szCs w:val="18"/>
              </w:rPr>
              <w:t>,</w:t>
            </w:r>
            <w:r w:rsidRPr="00E03D2C">
              <w:rPr>
                <w:rFonts w:cs="Calibri"/>
                <w:color w:val="FFFFFF" w:themeColor="background1"/>
                <w:sz w:val="18"/>
                <w:szCs w:val="18"/>
              </w:rPr>
              <w:t xml:space="preserve"> </w:t>
            </w:r>
            <w:r w:rsidR="00F179FC" w:rsidRPr="00E03D2C">
              <w:rPr>
                <w:rFonts w:cs="Calibri"/>
                <w:color w:val="FFFFFF" w:themeColor="background1"/>
                <w:sz w:val="18"/>
                <w:szCs w:val="18"/>
              </w:rPr>
              <w:t>for all financial instruments</w:t>
            </w:r>
            <w:r w:rsidR="002C6003" w:rsidRPr="00E03D2C">
              <w:rPr>
                <w:rFonts w:cs="Calibri"/>
                <w:color w:val="FFFFFF" w:themeColor="background1"/>
                <w:sz w:val="18"/>
                <w:szCs w:val="18"/>
              </w:rPr>
              <w:t xml:space="preserve"> </w:t>
            </w:r>
            <w:r w:rsidR="00F179FC" w:rsidRPr="00E03D2C">
              <w:rPr>
                <w:rFonts w:cs="Calibri"/>
                <w:color w:val="FFFFFF" w:themeColor="background1"/>
                <w:sz w:val="18"/>
                <w:szCs w:val="18"/>
              </w:rPr>
              <w:t xml:space="preserve">within its scope, </w:t>
            </w:r>
            <w:r w:rsidR="002C6003" w:rsidRPr="00E03D2C">
              <w:rPr>
                <w:rFonts w:cs="Calibri"/>
                <w:color w:val="FFFFFF" w:themeColor="background1"/>
                <w:sz w:val="18"/>
                <w:szCs w:val="18"/>
              </w:rPr>
              <w:t>(except those</w:t>
            </w:r>
            <w:r w:rsidR="00F179FC" w:rsidRPr="00E03D2C">
              <w:rPr>
                <w:rFonts w:cs="Calibri"/>
                <w:color w:val="FFFFFF" w:themeColor="background1"/>
                <w:sz w:val="18"/>
                <w:szCs w:val="18"/>
              </w:rPr>
              <w:t xml:space="preserve"> to which the impairment requirements in AASB 9 are not applied</w:t>
            </w:r>
            <w:r w:rsidR="002C6003" w:rsidRPr="00E03D2C">
              <w:rPr>
                <w:rFonts w:cs="Calibri"/>
                <w:color w:val="FFFFFF" w:themeColor="background1"/>
                <w:sz w:val="18"/>
                <w:szCs w:val="18"/>
              </w:rPr>
              <w:t>)</w:t>
            </w:r>
            <w:r w:rsidR="00F179FC" w:rsidRPr="00E03D2C">
              <w:rPr>
                <w:rFonts w:cs="Calibri"/>
                <w:color w:val="FFFFFF" w:themeColor="background1"/>
                <w:sz w:val="18"/>
                <w:szCs w:val="18"/>
              </w:rPr>
              <w:t xml:space="preserve"> </w:t>
            </w:r>
            <w:r w:rsidRPr="00E03D2C">
              <w:rPr>
                <w:rFonts w:cs="Calibri"/>
                <w:color w:val="FFFFFF" w:themeColor="background1"/>
                <w:sz w:val="18"/>
                <w:szCs w:val="18"/>
              </w:rPr>
              <w:t>the disclosure by class of financial instrument of the amount that best represents an agency’s maximum exposure to credit risk at the end of the reporting period without taking account of any collateral held or other credit enhancements. This disclosure is not required for financial instruments whose carrying amount best represents the maximum exposure to credit risk. Also required is a description of collateral held as security and other credit enhancements</w:t>
            </w:r>
            <w:r w:rsidR="00F179FC" w:rsidRPr="00E03D2C">
              <w:rPr>
                <w:rFonts w:cs="Calibri"/>
                <w:color w:val="FFFFFF" w:themeColor="background1"/>
                <w:sz w:val="18"/>
                <w:szCs w:val="18"/>
              </w:rPr>
              <w:t xml:space="preserve"> </w:t>
            </w:r>
            <w:r w:rsidRPr="00E03D2C">
              <w:rPr>
                <w:rFonts w:cs="Calibri"/>
                <w:color w:val="FFFFFF" w:themeColor="background1"/>
                <w:sz w:val="18"/>
                <w:szCs w:val="18"/>
              </w:rPr>
              <w:t>and their financial effect</w:t>
            </w:r>
            <w:r w:rsidR="00F179FC" w:rsidRPr="00E03D2C">
              <w:rPr>
                <w:rFonts w:cs="Calibri"/>
                <w:color w:val="FFFFFF" w:themeColor="background1"/>
                <w:sz w:val="18"/>
                <w:szCs w:val="18"/>
              </w:rPr>
              <w:t>.</w:t>
            </w:r>
            <w:r w:rsidRPr="00E03D2C">
              <w:rPr>
                <w:rFonts w:cs="Calibri"/>
                <w:color w:val="FFFFFF" w:themeColor="background1"/>
                <w:sz w:val="18"/>
                <w:szCs w:val="18"/>
              </w:rPr>
              <w:t xml:space="preserve"> </w:t>
            </w:r>
          </w:p>
          <w:p w14:paraId="33422525" w14:textId="0BB261E5" w:rsidR="00D011AB" w:rsidRPr="00E03D2C" w:rsidRDefault="00917C70" w:rsidP="00F42E0A">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Agencies should disc</w:t>
            </w:r>
            <w:r w:rsidR="00B16216" w:rsidRPr="00E03D2C">
              <w:rPr>
                <w:rFonts w:cs="Calibri"/>
                <w:color w:val="FFFFFF" w:themeColor="background1"/>
                <w:sz w:val="18"/>
                <w:szCs w:val="18"/>
              </w:rPr>
              <w:t>l</w:t>
            </w:r>
            <w:r w:rsidRPr="00E03D2C">
              <w:rPr>
                <w:rFonts w:cs="Calibri"/>
                <w:color w:val="FFFFFF" w:themeColor="background1"/>
                <w:sz w:val="18"/>
                <w:szCs w:val="18"/>
              </w:rPr>
              <w:t xml:space="preserve">ose by credit risk rating grades the gross carrying amount of financial assets </w:t>
            </w:r>
            <w:r w:rsidR="00B16216" w:rsidRPr="00E03D2C">
              <w:rPr>
                <w:rFonts w:cs="Calibri"/>
                <w:color w:val="FFFFFF" w:themeColor="background1"/>
                <w:sz w:val="18"/>
                <w:szCs w:val="18"/>
              </w:rPr>
              <w:t>and the exposure to credit risk on loan commitments and financial guarantee contracts. Fo</w:t>
            </w:r>
            <w:r w:rsidR="002C6003" w:rsidRPr="00E03D2C">
              <w:rPr>
                <w:rFonts w:cs="Calibri"/>
                <w:color w:val="FFFFFF" w:themeColor="background1"/>
                <w:sz w:val="18"/>
                <w:szCs w:val="18"/>
              </w:rPr>
              <w:t>r</w:t>
            </w:r>
            <w:r w:rsidR="00B16216" w:rsidRPr="00E03D2C">
              <w:rPr>
                <w:rFonts w:cs="Calibri"/>
                <w:color w:val="FFFFFF" w:themeColor="background1"/>
                <w:sz w:val="18"/>
                <w:szCs w:val="18"/>
              </w:rPr>
              <w:t xml:space="preserve"> trade receivables</w:t>
            </w:r>
            <w:r w:rsidR="00327A39" w:rsidRPr="00E03D2C">
              <w:rPr>
                <w:rFonts w:cs="Calibri"/>
                <w:color w:val="FFFFFF" w:themeColor="background1"/>
                <w:sz w:val="18"/>
                <w:szCs w:val="18"/>
              </w:rPr>
              <w:t>,</w:t>
            </w:r>
            <w:r w:rsidR="00B16216" w:rsidRPr="00E03D2C">
              <w:rPr>
                <w:rFonts w:cs="Calibri"/>
                <w:color w:val="FFFFFF" w:themeColor="background1"/>
                <w:sz w:val="18"/>
                <w:szCs w:val="18"/>
              </w:rPr>
              <w:t xml:space="preserve"> contract assets and lease receivables to which an agency applies AASB 9.5.5.15</w:t>
            </w:r>
            <w:r w:rsidR="00643BBA" w:rsidRPr="00E03D2C">
              <w:rPr>
                <w:rFonts w:cs="Calibri"/>
                <w:color w:val="FFFFFF" w:themeColor="background1"/>
                <w:sz w:val="18"/>
                <w:szCs w:val="18"/>
              </w:rPr>
              <w:t xml:space="preserve"> (i.e. the simplified approach, measuring the loss allowance at an amount equal to lifetime expected credit losses</w:t>
            </w:r>
            <w:r w:rsidR="006D73C5" w:rsidRPr="00E03D2C">
              <w:rPr>
                <w:rFonts w:cs="Calibri"/>
                <w:color w:val="FFFFFF" w:themeColor="background1"/>
                <w:sz w:val="18"/>
                <w:szCs w:val="18"/>
              </w:rPr>
              <w:t>) the</w:t>
            </w:r>
            <w:r w:rsidR="00B16216" w:rsidRPr="00E03D2C">
              <w:rPr>
                <w:rFonts w:cs="Calibri"/>
                <w:color w:val="FFFFFF" w:themeColor="background1"/>
                <w:sz w:val="18"/>
                <w:szCs w:val="18"/>
              </w:rPr>
              <w:t xml:space="preserve"> information may be based on a provision matrix. </w:t>
            </w:r>
          </w:p>
        </w:tc>
      </w:tr>
      <w:tr w:rsidR="00F42E0A" w:rsidRPr="00CF7E1B" w14:paraId="1ACE1FB5" w14:textId="77777777" w:rsidTr="0004564D">
        <w:trPr>
          <w:trHeight w:val="282"/>
        </w:trPr>
        <w:tc>
          <w:tcPr>
            <w:tcW w:w="1560" w:type="dxa"/>
            <w:tcBorders>
              <w:left w:val="single" w:sz="2" w:space="0" w:color="auto"/>
              <w:right w:val="single" w:sz="2" w:space="0" w:color="auto"/>
            </w:tcBorders>
          </w:tcPr>
          <w:p w14:paraId="2EAE29C6" w14:textId="77777777" w:rsidR="00F42E0A" w:rsidRPr="00E03D2C" w:rsidRDefault="00F42E0A" w:rsidP="003973ED">
            <w:pPr>
              <w:pStyle w:val="TableReference"/>
              <w:tabs>
                <w:tab w:val="left" w:pos="3306"/>
              </w:tabs>
              <w:spacing w:before="80"/>
              <w:rPr>
                <w:rFonts w:cs="Calibri"/>
                <w:color w:val="7030A0"/>
                <w:sz w:val="14"/>
              </w:rPr>
            </w:pPr>
          </w:p>
        </w:tc>
        <w:tc>
          <w:tcPr>
            <w:tcW w:w="8930" w:type="dxa"/>
            <w:tcBorders>
              <w:left w:val="single" w:sz="2" w:space="0" w:color="auto"/>
            </w:tcBorders>
            <w:shd w:val="clear" w:color="auto" w:fill="7030A0"/>
          </w:tcPr>
          <w:p w14:paraId="6A856705" w14:textId="1C943019" w:rsidR="00F42E0A" w:rsidRPr="00A41A54" w:rsidRDefault="00F42E0A" w:rsidP="00494B0F">
            <w:pPr>
              <w:pStyle w:val="CommentaryText"/>
              <w:tabs>
                <w:tab w:val="left" w:pos="3306"/>
              </w:tabs>
              <w:spacing w:after="0"/>
              <w:rPr>
                <w:rFonts w:cs="Calibri"/>
                <w:b/>
                <w:color w:val="FFFFFF" w:themeColor="background1"/>
                <w:szCs w:val="20"/>
              </w:rPr>
            </w:pPr>
            <w:r w:rsidRPr="00A41A54">
              <w:rPr>
                <w:rFonts w:cs="Calibri"/>
                <w:b/>
                <w:color w:val="FFFFFF" w:themeColor="background1"/>
                <w:szCs w:val="20"/>
              </w:rPr>
              <w:t>Concentration of Credit Risk</w:t>
            </w:r>
          </w:p>
        </w:tc>
      </w:tr>
      <w:tr w:rsidR="00D011AB" w:rsidRPr="00CF7E1B" w14:paraId="380A0B6E" w14:textId="77777777" w:rsidTr="0004564D">
        <w:trPr>
          <w:trHeight w:val="282"/>
        </w:trPr>
        <w:tc>
          <w:tcPr>
            <w:tcW w:w="1560" w:type="dxa"/>
            <w:tcBorders>
              <w:left w:val="single" w:sz="2" w:space="0" w:color="auto"/>
              <w:right w:val="single" w:sz="2" w:space="0" w:color="auto"/>
            </w:tcBorders>
          </w:tcPr>
          <w:p w14:paraId="5BED2F5A" w14:textId="77777777" w:rsidR="00D011AB" w:rsidRPr="00E03D2C" w:rsidRDefault="00D011AB">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53E748D" w14:textId="461731FA" w:rsidR="008940CF" w:rsidRPr="00E03D2C" w:rsidRDefault="00D011AB" w:rsidP="008A113F">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The expression ‘Concentration of Credit Risk’ used in the Financial Instruments note above refers to credit risk being focused in one area.</w:t>
            </w:r>
            <w:r w:rsidR="00FA7C77">
              <w:rPr>
                <w:rFonts w:cs="Calibri"/>
                <w:color w:val="FFFFFF" w:themeColor="background1"/>
                <w:sz w:val="18"/>
                <w:szCs w:val="18"/>
              </w:rPr>
              <w:t xml:space="preserve"> </w:t>
            </w:r>
            <w:r w:rsidRPr="00E03D2C">
              <w:rPr>
                <w:rFonts w:cs="Calibri"/>
                <w:color w:val="FFFFFF" w:themeColor="background1"/>
                <w:sz w:val="18"/>
                <w:szCs w:val="18"/>
              </w:rPr>
              <w:t>For example, a high concentration of credit risk would occur when all receivables held by an agency are with one debtor. On the other hand, a low concentration of credit risk would occur when all receivables held by an agency are with a large number of unrelated debtors.</w:t>
            </w:r>
          </w:p>
        </w:tc>
      </w:tr>
      <w:tr w:rsidR="006B57F7" w:rsidRPr="00CF7E1B" w14:paraId="7166CEA1" w14:textId="77777777" w:rsidTr="0004564D">
        <w:trPr>
          <w:trHeight w:val="282"/>
        </w:trPr>
        <w:tc>
          <w:tcPr>
            <w:tcW w:w="1560" w:type="dxa"/>
            <w:tcBorders>
              <w:left w:val="single" w:sz="2" w:space="0" w:color="auto"/>
              <w:right w:val="single" w:sz="2" w:space="0" w:color="auto"/>
            </w:tcBorders>
          </w:tcPr>
          <w:p w14:paraId="423293C1" w14:textId="77777777" w:rsidR="00327A39" w:rsidRPr="00E03D2C" w:rsidRDefault="006B57F7">
            <w:pPr>
              <w:pStyle w:val="TableReference"/>
              <w:tabs>
                <w:tab w:val="left" w:pos="3306"/>
              </w:tabs>
              <w:spacing w:before="60"/>
              <w:rPr>
                <w:rFonts w:cs="Calibri"/>
                <w:color w:val="7030A0"/>
                <w:sz w:val="14"/>
              </w:rPr>
            </w:pPr>
            <w:r w:rsidRPr="00E03D2C">
              <w:rPr>
                <w:rFonts w:cs="Calibri"/>
                <w:color w:val="7030A0"/>
                <w:sz w:val="14"/>
              </w:rPr>
              <w:t>AASB 7.7</w:t>
            </w:r>
          </w:p>
          <w:p w14:paraId="74655C5D" w14:textId="3B206D1D" w:rsidR="006B57F7" w:rsidRPr="00E03D2C" w:rsidRDefault="00327A39">
            <w:pPr>
              <w:pStyle w:val="TableReference"/>
              <w:tabs>
                <w:tab w:val="left" w:pos="3306"/>
              </w:tabs>
              <w:spacing w:before="60"/>
              <w:rPr>
                <w:rFonts w:cs="Calibri"/>
                <w:color w:val="7030A0"/>
                <w:sz w:val="14"/>
              </w:rPr>
            </w:pPr>
            <w:r w:rsidRPr="00E03D2C">
              <w:rPr>
                <w:rFonts w:cs="Calibri"/>
                <w:color w:val="7030A0"/>
                <w:sz w:val="14"/>
              </w:rPr>
              <w:t>AASB 7.</w:t>
            </w:r>
            <w:r w:rsidR="006B57F7" w:rsidRPr="00E03D2C">
              <w:rPr>
                <w:rFonts w:cs="Calibri"/>
                <w:color w:val="7030A0"/>
                <w:sz w:val="14"/>
              </w:rPr>
              <w:t>31</w:t>
            </w:r>
          </w:p>
          <w:p w14:paraId="19F8D4FA" w14:textId="77777777" w:rsidR="00EF015C" w:rsidRPr="00E03D2C" w:rsidRDefault="00EF015C" w:rsidP="00F42E0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7A0F308A" w14:textId="77777777" w:rsidR="006B57F7" w:rsidRPr="00E03D2C" w:rsidRDefault="006B57F7" w:rsidP="006B57F7">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AASB 7 sets out detailed requirements regarding the agency’s obligations to report the identification and management of financial risks. The standard requires the following:</w:t>
            </w:r>
          </w:p>
          <w:p w14:paraId="33C62767" w14:textId="77777777" w:rsidR="006B57F7" w:rsidRPr="00E03D2C" w:rsidRDefault="006B57F7"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 xml:space="preserve">Qualitative </w:t>
            </w:r>
            <w:r w:rsidR="00655DBA" w:rsidRPr="00E03D2C">
              <w:rPr>
                <w:rFonts w:cs="Calibri"/>
                <w:color w:val="FFFFFF" w:themeColor="background1"/>
                <w:sz w:val="18"/>
                <w:szCs w:val="18"/>
              </w:rPr>
              <w:t xml:space="preserve">and quantitative </w:t>
            </w:r>
            <w:r w:rsidR="006D73C5" w:rsidRPr="00E03D2C">
              <w:rPr>
                <w:rFonts w:cs="Calibri"/>
                <w:color w:val="FFFFFF" w:themeColor="background1"/>
                <w:sz w:val="18"/>
                <w:szCs w:val="18"/>
              </w:rPr>
              <w:t>disclosures</w:t>
            </w:r>
            <w:r w:rsidR="004E6C00" w:rsidRPr="00E03D2C">
              <w:rPr>
                <w:rFonts w:cs="Calibri"/>
                <w:color w:val="FFFFFF" w:themeColor="background1"/>
                <w:sz w:val="18"/>
                <w:szCs w:val="18"/>
              </w:rPr>
              <w:t xml:space="preserve"> </w:t>
            </w:r>
            <w:r w:rsidR="00655DBA" w:rsidRPr="00E03D2C">
              <w:rPr>
                <w:rFonts w:cs="Calibri"/>
                <w:color w:val="FFFFFF" w:themeColor="background1"/>
                <w:sz w:val="18"/>
                <w:szCs w:val="18"/>
              </w:rPr>
              <w:t xml:space="preserve">for each type of risk (e.g. credit </w:t>
            </w:r>
            <w:r w:rsidR="006D73C5" w:rsidRPr="00E03D2C">
              <w:rPr>
                <w:rFonts w:cs="Calibri"/>
                <w:color w:val="FFFFFF" w:themeColor="background1"/>
                <w:sz w:val="18"/>
                <w:szCs w:val="18"/>
              </w:rPr>
              <w:t>risk</w:t>
            </w:r>
            <w:r w:rsidR="00655DBA" w:rsidRPr="00E03D2C">
              <w:rPr>
                <w:rFonts w:cs="Calibri"/>
                <w:color w:val="FFFFFF" w:themeColor="background1"/>
                <w:sz w:val="18"/>
                <w:szCs w:val="18"/>
              </w:rPr>
              <w:t>, liquidity risk, and market risk) that the agency is exposed to;</w:t>
            </w:r>
          </w:p>
          <w:p w14:paraId="53E26B44" w14:textId="77777777" w:rsidR="00655DBA" w:rsidRPr="00E03D2C" w:rsidRDefault="00655DBA"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Qualitative disclosures on:</w:t>
            </w:r>
          </w:p>
          <w:p w14:paraId="3039E92B" w14:textId="77777777" w:rsidR="00655DBA" w:rsidRPr="00E03D2C" w:rsidRDefault="00655DBA" w:rsidP="007122BC">
            <w:pPr>
              <w:pStyle w:val="CommentaryText"/>
              <w:numPr>
                <w:ilvl w:val="1"/>
                <w:numId w:val="48"/>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the exposures to risk and how they arise;</w:t>
            </w:r>
          </w:p>
          <w:p w14:paraId="38B2EBD1" w14:textId="77777777" w:rsidR="00655DBA" w:rsidRPr="00E03D2C" w:rsidRDefault="00655DBA" w:rsidP="007122BC">
            <w:pPr>
              <w:pStyle w:val="CommentaryText"/>
              <w:numPr>
                <w:ilvl w:val="1"/>
                <w:numId w:val="48"/>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 xml:space="preserve">the objectives, policies and processes for </w:t>
            </w:r>
            <w:r w:rsidR="006D73C5" w:rsidRPr="00E03D2C">
              <w:rPr>
                <w:rFonts w:cs="Calibri"/>
                <w:color w:val="FFFFFF" w:themeColor="background1"/>
                <w:sz w:val="18"/>
                <w:szCs w:val="18"/>
              </w:rPr>
              <w:t>managing</w:t>
            </w:r>
            <w:r w:rsidRPr="00E03D2C">
              <w:rPr>
                <w:rFonts w:cs="Calibri"/>
                <w:color w:val="FFFFFF" w:themeColor="background1"/>
                <w:sz w:val="18"/>
                <w:szCs w:val="18"/>
              </w:rPr>
              <w:t xml:space="preserve"> the risk and the methods used to measure the risk; and</w:t>
            </w:r>
          </w:p>
          <w:p w14:paraId="430D788F" w14:textId="77777777" w:rsidR="00655DBA" w:rsidRPr="00E03D2C" w:rsidRDefault="00655DBA" w:rsidP="007122BC">
            <w:pPr>
              <w:pStyle w:val="CommentaryText"/>
              <w:numPr>
                <w:ilvl w:val="1"/>
                <w:numId w:val="48"/>
              </w:numPr>
              <w:tabs>
                <w:tab w:val="left" w:pos="3306"/>
              </w:tabs>
              <w:spacing w:after="0"/>
              <w:ind w:left="877"/>
              <w:rPr>
                <w:rFonts w:cs="Calibri"/>
                <w:color w:val="FFFFFF" w:themeColor="background1"/>
                <w:sz w:val="18"/>
                <w:szCs w:val="18"/>
              </w:rPr>
            </w:pPr>
            <w:r w:rsidRPr="00E03D2C">
              <w:rPr>
                <w:rFonts w:cs="Calibri"/>
                <w:color w:val="FFFFFF" w:themeColor="background1"/>
                <w:sz w:val="18"/>
                <w:szCs w:val="18"/>
              </w:rPr>
              <w:t xml:space="preserve">any changes in theses from the previous period. </w:t>
            </w:r>
          </w:p>
          <w:p w14:paraId="1B3F95E9" w14:textId="60172A8C" w:rsidR="006B57F7" w:rsidRPr="00E03D2C" w:rsidRDefault="00655DBA" w:rsidP="007122BC">
            <w:pPr>
              <w:pStyle w:val="CommentaryText"/>
              <w:keepNext/>
              <w:keepLines/>
              <w:numPr>
                <w:ilvl w:val="0"/>
                <w:numId w:val="53"/>
              </w:numPr>
              <w:tabs>
                <w:tab w:val="left" w:pos="3306"/>
              </w:tabs>
              <w:ind w:left="459" w:hanging="357"/>
              <w:rPr>
                <w:rFonts w:cs="Calibri"/>
                <w:color w:val="FFFFFF" w:themeColor="background1"/>
                <w:sz w:val="18"/>
                <w:szCs w:val="18"/>
              </w:rPr>
            </w:pPr>
            <w:r w:rsidRPr="00E03D2C">
              <w:rPr>
                <w:rFonts w:cs="Calibri"/>
                <w:color w:val="FFFFFF" w:themeColor="background1"/>
                <w:sz w:val="18"/>
                <w:szCs w:val="18"/>
              </w:rPr>
              <w:t xml:space="preserve">Quantitative disclosures </w:t>
            </w:r>
            <w:r w:rsidR="00D728FD" w:rsidRPr="00E03D2C">
              <w:rPr>
                <w:rFonts w:cs="Calibri"/>
                <w:color w:val="FFFFFF" w:themeColor="background1"/>
                <w:sz w:val="18"/>
                <w:szCs w:val="18"/>
              </w:rPr>
              <w:t xml:space="preserve">- </w:t>
            </w:r>
            <w:r w:rsidRPr="00E03D2C">
              <w:rPr>
                <w:rFonts w:cs="Calibri"/>
                <w:color w:val="FFFFFF" w:themeColor="background1"/>
                <w:sz w:val="18"/>
                <w:szCs w:val="18"/>
              </w:rPr>
              <w:t xml:space="preserve">summary </w:t>
            </w:r>
            <w:r w:rsidR="00D728FD" w:rsidRPr="00E03D2C">
              <w:rPr>
                <w:rFonts w:cs="Calibri"/>
                <w:color w:val="FFFFFF" w:themeColor="background1"/>
                <w:sz w:val="18"/>
                <w:szCs w:val="18"/>
              </w:rPr>
              <w:t xml:space="preserve">of </w:t>
            </w:r>
            <w:r w:rsidR="003E11FE" w:rsidRPr="00E03D2C">
              <w:rPr>
                <w:rFonts w:cs="Calibri"/>
                <w:color w:val="FFFFFF" w:themeColor="background1"/>
                <w:sz w:val="18"/>
                <w:szCs w:val="18"/>
              </w:rPr>
              <w:t>quantitative</w:t>
            </w:r>
            <w:r w:rsidRPr="00E03D2C">
              <w:rPr>
                <w:rFonts w:cs="Calibri"/>
                <w:color w:val="FFFFFF" w:themeColor="background1"/>
                <w:sz w:val="18"/>
                <w:szCs w:val="18"/>
              </w:rPr>
              <w:t xml:space="preserve"> dat</w:t>
            </w:r>
            <w:r w:rsidR="004E6C00" w:rsidRPr="00E03D2C">
              <w:rPr>
                <w:rFonts w:cs="Calibri"/>
                <w:color w:val="FFFFFF" w:themeColor="background1"/>
                <w:sz w:val="18"/>
                <w:szCs w:val="18"/>
              </w:rPr>
              <w:t>a</w:t>
            </w:r>
            <w:r w:rsidRPr="00E03D2C">
              <w:rPr>
                <w:rFonts w:cs="Calibri"/>
                <w:color w:val="FFFFFF" w:themeColor="background1"/>
                <w:sz w:val="18"/>
                <w:szCs w:val="18"/>
              </w:rPr>
              <w:t xml:space="preserve"> about the agency’s exposure to a particular risk at the end of the reporting period, including concentrations of risk.</w:t>
            </w:r>
          </w:p>
        </w:tc>
      </w:tr>
    </w:tbl>
    <w:p w14:paraId="20C824AF" w14:textId="77777777" w:rsidR="00A41A54" w:rsidRDefault="00A41A54">
      <w:r>
        <w:br w:type="page"/>
      </w:r>
    </w:p>
    <w:tbl>
      <w:tblPr>
        <w:tblW w:w="10490" w:type="dxa"/>
        <w:tblInd w:w="-3" w:type="dxa"/>
        <w:shd w:val="clear" w:color="auto" w:fill="CCFFCC"/>
        <w:tblLayout w:type="fixed"/>
        <w:tblLook w:val="00A0" w:firstRow="1" w:lastRow="0" w:firstColumn="1" w:lastColumn="0" w:noHBand="0" w:noVBand="0"/>
      </w:tblPr>
      <w:tblGrid>
        <w:gridCol w:w="1560"/>
        <w:gridCol w:w="6237"/>
        <w:gridCol w:w="1417"/>
        <w:gridCol w:w="1276"/>
      </w:tblGrid>
      <w:tr w:rsidR="00470415" w:rsidRPr="00CF7E1B" w14:paraId="63444E22" w14:textId="77777777" w:rsidTr="0004564D">
        <w:trPr>
          <w:trHeight w:val="282"/>
        </w:trPr>
        <w:tc>
          <w:tcPr>
            <w:tcW w:w="1560" w:type="dxa"/>
            <w:tcBorders>
              <w:left w:val="single" w:sz="2" w:space="0" w:color="auto"/>
              <w:right w:val="single" w:sz="2" w:space="0" w:color="auto"/>
            </w:tcBorders>
          </w:tcPr>
          <w:p w14:paraId="3F2E254F" w14:textId="5CE037C3" w:rsidR="00470415" w:rsidRPr="00470415" w:rsidRDefault="00470415" w:rsidP="00B330CA">
            <w:pPr>
              <w:pStyle w:val="TableReference"/>
              <w:tabs>
                <w:tab w:val="left" w:pos="3306"/>
              </w:tabs>
              <w:spacing w:after="240"/>
              <w:rPr>
                <w:rFonts w:cs="Calibri"/>
                <w:b/>
                <w:bCs/>
                <w:color w:val="auto"/>
                <w:sz w:val="22"/>
                <w:szCs w:val="22"/>
              </w:rPr>
            </w:pPr>
            <w:r w:rsidRPr="00810B4A">
              <w:rPr>
                <w:rFonts w:cs="Calibri"/>
                <w:color w:val="auto"/>
                <w:sz w:val="14"/>
              </w:rPr>
              <w:br w:type="page"/>
            </w:r>
            <w:r w:rsidRPr="00470415">
              <w:rPr>
                <w:rFonts w:cs="Calibri"/>
                <w:b/>
                <w:bCs/>
                <w:color w:val="7030A0"/>
                <w:sz w:val="22"/>
                <w:szCs w:val="22"/>
              </w:rPr>
              <w:t>Reference</w:t>
            </w:r>
          </w:p>
        </w:tc>
        <w:tc>
          <w:tcPr>
            <w:tcW w:w="8930" w:type="dxa"/>
            <w:gridSpan w:val="3"/>
            <w:tcBorders>
              <w:left w:val="single" w:sz="2" w:space="0" w:color="auto"/>
            </w:tcBorders>
            <w:shd w:val="clear" w:color="auto" w:fill="7030A0"/>
          </w:tcPr>
          <w:p w14:paraId="685A177F" w14:textId="65C4523E" w:rsidR="00470415" w:rsidRPr="00E03D2C" w:rsidRDefault="00470415" w:rsidP="00B330CA">
            <w:pPr>
              <w:pStyle w:val="CommentaryText"/>
              <w:tabs>
                <w:tab w:val="left" w:pos="3306"/>
              </w:tabs>
              <w:spacing w:after="240"/>
              <w:rPr>
                <w:rFonts w:cs="Calibri"/>
                <w:color w:val="FFFFFF" w:themeColor="background1"/>
                <w:sz w:val="18"/>
                <w:szCs w:val="18"/>
              </w:rPr>
            </w:pPr>
            <w:r w:rsidRPr="00E03D2C">
              <w:rPr>
                <w:rFonts w:cs="Calibri"/>
                <w:b/>
                <w:color w:val="FFFFFF" w:themeColor="background1"/>
                <w:sz w:val="28"/>
                <w:szCs w:val="28"/>
              </w:rPr>
              <w:t>Commentary – Note 31: Financial Instruments – Continued</w:t>
            </w:r>
          </w:p>
        </w:tc>
      </w:tr>
      <w:tr w:rsidR="00470415" w:rsidRPr="00CF7E1B" w14:paraId="0CDB7225" w14:textId="77777777" w:rsidTr="0004564D">
        <w:trPr>
          <w:trHeight w:val="282"/>
        </w:trPr>
        <w:tc>
          <w:tcPr>
            <w:tcW w:w="1560" w:type="dxa"/>
            <w:tcBorders>
              <w:left w:val="single" w:sz="2" w:space="0" w:color="auto"/>
              <w:right w:val="single" w:sz="2" w:space="0" w:color="auto"/>
            </w:tcBorders>
          </w:tcPr>
          <w:p w14:paraId="16AF039B" w14:textId="77777777" w:rsidR="00470415" w:rsidRPr="009025F5" w:rsidRDefault="00470415" w:rsidP="00470415">
            <w:pPr>
              <w:pStyle w:val="TableReference"/>
              <w:tabs>
                <w:tab w:val="left" w:pos="3306"/>
              </w:tabs>
              <w:spacing w:before="60"/>
              <w:rPr>
                <w:rFonts w:cs="Calibri"/>
                <w:color w:val="auto"/>
                <w:sz w:val="14"/>
              </w:rPr>
            </w:pPr>
          </w:p>
        </w:tc>
        <w:tc>
          <w:tcPr>
            <w:tcW w:w="8930" w:type="dxa"/>
            <w:gridSpan w:val="3"/>
            <w:tcBorders>
              <w:left w:val="single" w:sz="2" w:space="0" w:color="auto"/>
            </w:tcBorders>
            <w:shd w:val="clear" w:color="auto" w:fill="7030A0"/>
          </w:tcPr>
          <w:p w14:paraId="40E79E69" w14:textId="77777777" w:rsidR="00470415" w:rsidRPr="00E03D2C" w:rsidRDefault="00470415" w:rsidP="00470415">
            <w:pPr>
              <w:pStyle w:val="CommentaryText"/>
              <w:tabs>
                <w:tab w:val="left" w:pos="3306"/>
              </w:tabs>
              <w:spacing w:after="0"/>
              <w:rPr>
                <w:rFonts w:cs="Calibri"/>
                <w:color w:val="FFFFFF" w:themeColor="background1"/>
                <w:sz w:val="18"/>
                <w:szCs w:val="18"/>
              </w:rPr>
            </w:pPr>
            <w:r w:rsidRPr="00E03D2C">
              <w:rPr>
                <w:rFonts w:cs="Calibri"/>
                <w:color w:val="FFFFFF" w:themeColor="background1"/>
                <w:sz w:val="18"/>
                <w:szCs w:val="18"/>
              </w:rPr>
              <w:t>Agencies should include disclosures that enable financial statement users to:</w:t>
            </w:r>
          </w:p>
          <w:p w14:paraId="10B4F4F2" w14:textId="01209004" w:rsidR="00470415" w:rsidRPr="00E03D2C" w:rsidRDefault="0047041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understand the relationship between transferred financial assets not derecognised in their entirety and associated liabilities; and</w:t>
            </w:r>
          </w:p>
          <w:p w14:paraId="5329FCFE" w14:textId="09259061" w:rsidR="00470415" w:rsidRPr="00E03D2C" w:rsidRDefault="00470415" w:rsidP="007122BC">
            <w:pPr>
              <w:pStyle w:val="CommentaryText"/>
              <w:keepNext/>
              <w:keepLines/>
              <w:numPr>
                <w:ilvl w:val="0"/>
                <w:numId w:val="53"/>
              </w:numPr>
              <w:tabs>
                <w:tab w:val="left" w:pos="3306"/>
              </w:tabs>
              <w:spacing w:after="0"/>
              <w:ind w:left="463"/>
              <w:rPr>
                <w:rFonts w:cs="Calibri"/>
                <w:color w:val="FFFFFF" w:themeColor="background1"/>
                <w:sz w:val="18"/>
                <w:szCs w:val="18"/>
              </w:rPr>
            </w:pPr>
            <w:r w:rsidRPr="00E03D2C">
              <w:rPr>
                <w:rFonts w:cs="Calibri"/>
                <w:color w:val="FFFFFF" w:themeColor="background1"/>
                <w:sz w:val="18"/>
                <w:szCs w:val="18"/>
              </w:rPr>
              <w:t>evaluate the nature and risks associated with derecognised financial assets.</w:t>
            </w:r>
          </w:p>
        </w:tc>
      </w:tr>
      <w:tr w:rsidR="00470415" w:rsidRPr="00CF7E1B" w14:paraId="35130640" w14:textId="77777777" w:rsidTr="0004564D">
        <w:trPr>
          <w:trHeight w:val="282"/>
        </w:trPr>
        <w:tc>
          <w:tcPr>
            <w:tcW w:w="1560" w:type="dxa"/>
            <w:tcBorders>
              <w:left w:val="single" w:sz="2" w:space="0" w:color="auto"/>
              <w:right w:val="single" w:sz="2" w:space="0" w:color="auto"/>
            </w:tcBorders>
          </w:tcPr>
          <w:p w14:paraId="3F1E539C" w14:textId="77777777" w:rsidR="00470415" w:rsidRPr="009025F5" w:rsidRDefault="00470415" w:rsidP="00470415">
            <w:pPr>
              <w:pStyle w:val="TableReference"/>
              <w:tabs>
                <w:tab w:val="left" w:pos="3306"/>
              </w:tabs>
              <w:spacing w:before="60"/>
              <w:rPr>
                <w:rFonts w:cs="Calibri"/>
                <w:color w:val="auto"/>
                <w:sz w:val="14"/>
              </w:rPr>
            </w:pPr>
          </w:p>
        </w:tc>
        <w:tc>
          <w:tcPr>
            <w:tcW w:w="8930" w:type="dxa"/>
            <w:gridSpan w:val="3"/>
            <w:tcBorders>
              <w:left w:val="single" w:sz="2" w:space="0" w:color="auto"/>
            </w:tcBorders>
            <w:shd w:val="clear" w:color="auto" w:fill="7030A0"/>
          </w:tcPr>
          <w:p w14:paraId="097A54C7" w14:textId="4E636FB8" w:rsidR="00470415" w:rsidRPr="00E03D2C" w:rsidRDefault="00470415" w:rsidP="00470415">
            <w:pPr>
              <w:pStyle w:val="CommentaryText"/>
              <w:tabs>
                <w:tab w:val="left" w:pos="3306"/>
              </w:tabs>
              <w:spacing w:before="120" w:after="0"/>
              <w:rPr>
                <w:rFonts w:cs="Calibri"/>
                <w:color w:val="FFFFFF" w:themeColor="background1"/>
                <w:sz w:val="18"/>
                <w:szCs w:val="18"/>
              </w:rPr>
            </w:pPr>
            <w:r w:rsidRPr="00E03D2C">
              <w:rPr>
                <w:rFonts w:cs="Calibri"/>
                <w:b/>
                <w:color w:val="FFFFFF" w:themeColor="background1"/>
                <w:sz w:val="18"/>
                <w:szCs w:val="18"/>
              </w:rPr>
              <w:t>Fair Value Disclosures</w:t>
            </w:r>
          </w:p>
        </w:tc>
      </w:tr>
      <w:tr w:rsidR="00470415" w:rsidRPr="00164947" w14:paraId="31D05F48" w14:textId="77777777" w:rsidTr="0004564D">
        <w:trPr>
          <w:trHeight w:val="282"/>
        </w:trPr>
        <w:tc>
          <w:tcPr>
            <w:tcW w:w="1560" w:type="dxa"/>
            <w:tcBorders>
              <w:left w:val="single" w:sz="2" w:space="0" w:color="auto"/>
              <w:right w:val="single" w:sz="2" w:space="0" w:color="auto"/>
            </w:tcBorders>
          </w:tcPr>
          <w:p w14:paraId="1011DF2B" w14:textId="77777777" w:rsidR="00470415" w:rsidRPr="009025F5" w:rsidRDefault="00470415" w:rsidP="00470415">
            <w:pPr>
              <w:pStyle w:val="TableReference"/>
              <w:tabs>
                <w:tab w:val="left" w:pos="3306"/>
              </w:tabs>
              <w:spacing w:before="60"/>
              <w:rPr>
                <w:rFonts w:cs="Calibri"/>
                <w:color w:val="auto"/>
                <w:sz w:val="14"/>
              </w:rPr>
            </w:pPr>
          </w:p>
        </w:tc>
        <w:tc>
          <w:tcPr>
            <w:tcW w:w="8930" w:type="dxa"/>
            <w:gridSpan w:val="3"/>
            <w:tcBorders>
              <w:left w:val="single" w:sz="2" w:space="0" w:color="auto"/>
            </w:tcBorders>
            <w:shd w:val="clear" w:color="auto" w:fill="7030A0"/>
          </w:tcPr>
          <w:p w14:paraId="77C3E90C" w14:textId="5E46BDD0" w:rsidR="00470415" w:rsidRPr="00E03D2C" w:rsidRDefault="00470415" w:rsidP="00B330CA">
            <w:pPr>
              <w:pStyle w:val="CommentaryText"/>
              <w:tabs>
                <w:tab w:val="left" w:pos="3306"/>
              </w:tabs>
              <w:rPr>
                <w:rFonts w:cs="Calibri"/>
                <w:color w:val="FFFFFF" w:themeColor="background1"/>
                <w:sz w:val="18"/>
                <w:szCs w:val="18"/>
              </w:rPr>
            </w:pPr>
            <w:r w:rsidRPr="00E03D2C">
              <w:rPr>
                <w:rFonts w:cs="Calibri"/>
                <w:color w:val="FFFFFF" w:themeColor="background1"/>
                <w:sz w:val="18"/>
                <w:szCs w:val="18"/>
              </w:rPr>
              <w:t xml:space="preserve">Where an agency does not have any financial assets or liabilities at fair value, it is not required to include a fair value hierarchy disclosure. A detailed discussion of the concepts, methodologies and disclosures relating to AASB 13 </w:t>
            </w:r>
            <w:r w:rsidRPr="00E03D2C">
              <w:rPr>
                <w:rFonts w:cs="Calibri"/>
                <w:i/>
                <w:color w:val="FFFFFF" w:themeColor="background1"/>
                <w:sz w:val="18"/>
                <w:szCs w:val="18"/>
              </w:rPr>
              <w:t>Fair Value Measurement</w:t>
            </w:r>
            <w:r w:rsidRPr="00E03D2C">
              <w:rPr>
                <w:rFonts w:cs="Calibri"/>
                <w:color w:val="FFFFFF" w:themeColor="background1"/>
                <w:sz w:val="18"/>
                <w:szCs w:val="18"/>
              </w:rPr>
              <w:t xml:space="preserve"> is found in the Commentary to Note 19 </w:t>
            </w:r>
            <w:r w:rsidRPr="00E03D2C">
              <w:rPr>
                <w:rFonts w:cs="Calibri"/>
                <w:i/>
                <w:color w:val="FFFFFF" w:themeColor="background1"/>
                <w:sz w:val="18"/>
                <w:szCs w:val="18"/>
              </w:rPr>
              <w:t>Property, Plant and Equipment</w:t>
            </w:r>
            <w:r w:rsidRPr="00E03D2C">
              <w:rPr>
                <w:rFonts w:cs="Calibri"/>
                <w:color w:val="FFFFFF" w:themeColor="background1"/>
                <w:sz w:val="18"/>
                <w:szCs w:val="18"/>
              </w:rPr>
              <w:t>.</w:t>
            </w:r>
          </w:p>
        </w:tc>
      </w:tr>
      <w:tr w:rsidR="000144FF" w:rsidRPr="00CF7E1B" w14:paraId="5530FF6D" w14:textId="77777777" w:rsidTr="0004564D">
        <w:tblPrEx>
          <w:shd w:val="clear" w:color="auto" w:fill="auto"/>
        </w:tblPrEx>
        <w:trPr>
          <w:trHeight w:val="20"/>
        </w:trPr>
        <w:tc>
          <w:tcPr>
            <w:tcW w:w="1560" w:type="dxa"/>
            <w:tcBorders>
              <w:left w:val="single" w:sz="2" w:space="0" w:color="auto"/>
              <w:right w:val="single" w:sz="2" w:space="0" w:color="auto"/>
            </w:tcBorders>
          </w:tcPr>
          <w:p w14:paraId="45AAF97C" w14:textId="5AEC4AFB" w:rsidR="000144FF" w:rsidRPr="00E03D2C" w:rsidRDefault="000144FF" w:rsidP="00F700E5">
            <w:pPr>
              <w:pStyle w:val="TableReference"/>
              <w:tabs>
                <w:tab w:val="left" w:pos="3306"/>
              </w:tabs>
              <w:spacing w:before="240" w:after="240"/>
              <w:rPr>
                <w:rFonts w:cs="Calibri"/>
                <w:b/>
                <w:color w:val="7030A0"/>
                <w:sz w:val="22"/>
                <w:szCs w:val="22"/>
              </w:rPr>
            </w:pPr>
            <w:bookmarkStart w:id="689" w:name="Commitments" w:colFirst="1" w:colLast="1"/>
          </w:p>
        </w:tc>
        <w:tc>
          <w:tcPr>
            <w:tcW w:w="8930" w:type="dxa"/>
            <w:gridSpan w:val="3"/>
            <w:tcBorders>
              <w:left w:val="single" w:sz="2" w:space="0" w:color="auto"/>
            </w:tcBorders>
            <w:vAlign w:val="bottom"/>
          </w:tcPr>
          <w:p w14:paraId="4B31EBD4" w14:textId="2914A090" w:rsidR="000144FF" w:rsidRPr="00E03D2C" w:rsidRDefault="00F700E5" w:rsidP="00643401">
            <w:pPr>
              <w:pStyle w:val="Heading1"/>
              <w:numPr>
                <w:ilvl w:val="0"/>
                <w:numId w:val="0"/>
              </w:numPr>
              <w:rPr>
                <w:b w:val="0"/>
              </w:rPr>
            </w:pPr>
            <w:bookmarkStart w:id="690" w:name="_Toc48468701"/>
            <w:bookmarkStart w:id="691" w:name="_Toc49155796"/>
            <w:bookmarkStart w:id="692" w:name="_Toc49224211"/>
            <w:bookmarkStart w:id="693" w:name="_Ref50365684"/>
            <w:bookmarkStart w:id="694" w:name="_Toc50440390"/>
            <w:bookmarkStart w:id="695" w:name="_Ref50524232"/>
            <w:bookmarkStart w:id="696" w:name="_Toc400627358"/>
            <w:bookmarkStart w:id="697" w:name="_Toc98763167"/>
            <w:r w:rsidRPr="00E03D2C">
              <w:t>Note</w:t>
            </w:r>
            <w:r w:rsidR="00DF144A" w:rsidRPr="00E03D2C">
              <w:t xml:space="preserve"> </w:t>
            </w:r>
            <w:r w:rsidR="0007497D" w:rsidRPr="00E03D2C">
              <w:t>32</w:t>
            </w:r>
            <w:r w:rsidR="00DF144A" w:rsidRPr="00E03D2C">
              <w:t>.</w:t>
            </w:r>
            <w:r w:rsidR="00065B2B" w:rsidRPr="00E03D2C">
              <w:t xml:space="preserve"> </w:t>
            </w:r>
            <w:r w:rsidR="00E464CB" w:rsidRPr="00E03D2C">
              <w:t>Cap</w:t>
            </w:r>
            <w:r w:rsidR="00A31142" w:rsidRPr="00E03D2C">
              <w:t>it</w:t>
            </w:r>
            <w:r w:rsidR="00E464CB" w:rsidRPr="00E03D2C">
              <w:t xml:space="preserve">al and Other Expenditure </w:t>
            </w:r>
            <w:r w:rsidR="000144FF" w:rsidRPr="00E03D2C">
              <w:t>Commitments</w:t>
            </w:r>
            <w:bookmarkEnd w:id="690"/>
            <w:bookmarkEnd w:id="691"/>
            <w:bookmarkEnd w:id="692"/>
            <w:bookmarkEnd w:id="693"/>
            <w:bookmarkEnd w:id="694"/>
            <w:bookmarkEnd w:id="695"/>
            <w:bookmarkEnd w:id="696"/>
            <w:bookmarkEnd w:id="697"/>
            <w:r w:rsidR="00FA7C77">
              <w:t xml:space="preserve"> </w:t>
            </w:r>
          </w:p>
        </w:tc>
      </w:tr>
      <w:bookmarkEnd w:id="689"/>
      <w:tr w:rsidR="000144FF" w:rsidRPr="00CF7E1B" w14:paraId="4C6149C9" w14:textId="77777777" w:rsidTr="0004564D">
        <w:tblPrEx>
          <w:shd w:val="clear" w:color="auto" w:fill="auto"/>
        </w:tblPrEx>
        <w:trPr>
          <w:trHeight w:val="20"/>
        </w:trPr>
        <w:tc>
          <w:tcPr>
            <w:tcW w:w="1560" w:type="dxa"/>
            <w:tcBorders>
              <w:left w:val="single" w:sz="2" w:space="0" w:color="auto"/>
              <w:bottom w:val="nil"/>
              <w:right w:val="single" w:sz="2" w:space="0" w:color="auto"/>
            </w:tcBorders>
          </w:tcPr>
          <w:p w14:paraId="53C3E984" w14:textId="77777777" w:rsidR="000144FF" w:rsidRPr="00E03D2C" w:rsidRDefault="000144FF">
            <w:pPr>
              <w:pStyle w:val="TableReference"/>
              <w:tabs>
                <w:tab w:val="left" w:pos="3306"/>
              </w:tabs>
              <w:spacing w:before="60"/>
              <w:rPr>
                <w:rFonts w:cs="Calibri"/>
                <w:strike/>
                <w:color w:val="7030A0"/>
                <w:sz w:val="14"/>
              </w:rPr>
            </w:pPr>
          </w:p>
        </w:tc>
        <w:tc>
          <w:tcPr>
            <w:tcW w:w="6237" w:type="dxa"/>
            <w:tcBorders>
              <w:left w:val="single" w:sz="2" w:space="0" w:color="auto"/>
              <w:bottom w:val="nil"/>
              <w:right w:val="nil"/>
            </w:tcBorders>
            <w:vAlign w:val="bottom"/>
          </w:tcPr>
          <w:p w14:paraId="1DE23C88" w14:textId="77777777" w:rsidR="000144FF" w:rsidRPr="00E03D2C" w:rsidRDefault="000144FF" w:rsidP="00A84FFC">
            <w:pPr>
              <w:pStyle w:val="TableText"/>
              <w:tabs>
                <w:tab w:val="left" w:pos="3306"/>
              </w:tabs>
              <w:spacing w:before="0" w:after="120"/>
              <w:rPr>
                <w:rFonts w:cs="Calibri"/>
                <w:b/>
                <w:bCs/>
              </w:rPr>
            </w:pPr>
            <w:r w:rsidRPr="00E03D2C">
              <w:rPr>
                <w:rFonts w:cs="Calibri"/>
                <w:b/>
                <w:bCs/>
              </w:rPr>
              <w:t>Capital Commitments</w:t>
            </w:r>
          </w:p>
        </w:tc>
        <w:tc>
          <w:tcPr>
            <w:tcW w:w="1417" w:type="dxa"/>
            <w:tcBorders>
              <w:left w:val="nil"/>
              <w:bottom w:val="nil"/>
              <w:right w:val="nil"/>
            </w:tcBorders>
            <w:vAlign w:val="bottom"/>
          </w:tcPr>
          <w:p w14:paraId="0B38DD24" w14:textId="77777777" w:rsidR="000144FF" w:rsidRPr="00E03D2C" w:rsidRDefault="000144FF">
            <w:pPr>
              <w:pStyle w:val="TableText"/>
              <w:tabs>
                <w:tab w:val="left" w:pos="3306"/>
              </w:tabs>
              <w:jc w:val="right"/>
              <w:rPr>
                <w:rFonts w:cs="Calibri"/>
              </w:rPr>
            </w:pPr>
          </w:p>
        </w:tc>
        <w:tc>
          <w:tcPr>
            <w:tcW w:w="1276" w:type="dxa"/>
            <w:tcBorders>
              <w:left w:val="nil"/>
              <w:bottom w:val="nil"/>
            </w:tcBorders>
            <w:vAlign w:val="bottom"/>
          </w:tcPr>
          <w:p w14:paraId="1F88563E" w14:textId="77777777" w:rsidR="000144FF" w:rsidRPr="00E03D2C" w:rsidRDefault="000144FF">
            <w:pPr>
              <w:pStyle w:val="TableText"/>
              <w:tabs>
                <w:tab w:val="left" w:pos="3306"/>
              </w:tabs>
              <w:jc w:val="right"/>
              <w:rPr>
                <w:rFonts w:cs="Calibri"/>
              </w:rPr>
            </w:pPr>
          </w:p>
        </w:tc>
      </w:tr>
      <w:tr w:rsidR="000144FF" w:rsidRPr="00CF7E1B" w14:paraId="1DCD0CE9"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4B5885E0" w14:textId="77777777" w:rsidR="000144FF" w:rsidRPr="00E03D2C" w:rsidRDefault="000144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tcBorders>
            <w:vAlign w:val="bottom"/>
          </w:tcPr>
          <w:p w14:paraId="1E14C4C2" w14:textId="77777777" w:rsidR="000144FF" w:rsidRPr="00E03D2C" w:rsidRDefault="000144FF" w:rsidP="00A84FFC">
            <w:pPr>
              <w:pStyle w:val="TableText"/>
              <w:tabs>
                <w:tab w:val="left" w:pos="3306"/>
              </w:tabs>
              <w:spacing w:before="0" w:after="120"/>
              <w:rPr>
                <w:rFonts w:cs="Calibri"/>
              </w:rPr>
            </w:pPr>
            <w:r w:rsidRPr="00E03D2C">
              <w:rPr>
                <w:rFonts w:cs="Calibri"/>
              </w:rPr>
              <w:t>Capital commitments contracted at reporting date that have not been recognised as liabilities are as follows:</w:t>
            </w:r>
          </w:p>
        </w:tc>
      </w:tr>
      <w:tr w:rsidR="000144FF" w:rsidRPr="00CF7E1B" w14:paraId="247CF1BB"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5E751697" w14:textId="77777777" w:rsidR="00A84FFC" w:rsidRPr="00E03D2C" w:rsidRDefault="00A84FFC">
            <w:pPr>
              <w:pStyle w:val="TableReference"/>
              <w:tabs>
                <w:tab w:val="left" w:pos="3306"/>
              </w:tabs>
              <w:spacing w:before="40"/>
              <w:rPr>
                <w:rFonts w:cs="Calibri"/>
                <w:color w:val="7030A0"/>
                <w:sz w:val="14"/>
              </w:rPr>
            </w:pPr>
          </w:p>
          <w:p w14:paraId="4CF097CA" w14:textId="77777777" w:rsidR="000144FF" w:rsidRPr="00E03D2C" w:rsidRDefault="000144FF">
            <w:pPr>
              <w:pStyle w:val="TableReference"/>
              <w:tabs>
                <w:tab w:val="left" w:pos="3306"/>
              </w:tabs>
              <w:spacing w:before="40"/>
              <w:rPr>
                <w:rFonts w:cs="Calibri"/>
                <w:color w:val="7030A0"/>
                <w:sz w:val="14"/>
              </w:rPr>
            </w:pPr>
            <w:r w:rsidRPr="00E03D2C">
              <w:rPr>
                <w:rFonts w:cs="Calibri"/>
                <w:color w:val="7030A0"/>
                <w:sz w:val="14"/>
              </w:rPr>
              <w:t>AASB 116</w:t>
            </w:r>
            <w:r w:rsidR="00D65811" w:rsidRPr="00E03D2C">
              <w:rPr>
                <w:rFonts w:cs="Calibri"/>
                <w:color w:val="7030A0"/>
                <w:sz w:val="14"/>
              </w:rPr>
              <w:t>.</w:t>
            </w:r>
            <w:r w:rsidRPr="00E03D2C">
              <w:rPr>
                <w:rFonts w:cs="Calibri"/>
                <w:color w:val="7030A0"/>
                <w:sz w:val="14"/>
              </w:rPr>
              <w:t>74</w:t>
            </w:r>
            <w:r w:rsidR="00D001B7" w:rsidRPr="00E03D2C">
              <w:rPr>
                <w:rFonts w:cs="Calibri"/>
                <w:color w:val="7030A0"/>
                <w:sz w:val="14"/>
              </w:rPr>
              <w:t>(</w:t>
            </w:r>
            <w:r w:rsidRPr="00E03D2C">
              <w:rPr>
                <w:rFonts w:cs="Calibri"/>
                <w:color w:val="7030A0"/>
                <w:sz w:val="14"/>
              </w:rPr>
              <w:t>c)</w:t>
            </w:r>
          </w:p>
        </w:tc>
        <w:tc>
          <w:tcPr>
            <w:tcW w:w="6237" w:type="dxa"/>
            <w:tcBorders>
              <w:top w:val="nil"/>
              <w:left w:val="single" w:sz="2" w:space="0" w:color="auto"/>
              <w:bottom w:val="nil"/>
              <w:right w:val="nil"/>
            </w:tcBorders>
            <w:vAlign w:val="bottom"/>
          </w:tcPr>
          <w:p w14:paraId="44FC00AA" w14:textId="6FBFE2A0" w:rsidR="000144FF" w:rsidRPr="00E03D2C" w:rsidRDefault="000144FF">
            <w:pPr>
              <w:pStyle w:val="TableText"/>
              <w:tabs>
                <w:tab w:val="left" w:pos="3306"/>
              </w:tabs>
              <w:rPr>
                <w:rFonts w:cs="Calibri"/>
                <w:b/>
                <w:iCs/>
              </w:rPr>
            </w:pPr>
            <w:r w:rsidRPr="00E03D2C">
              <w:rPr>
                <w:rFonts w:cs="Calibri"/>
                <w:b/>
                <w:iCs/>
              </w:rPr>
              <w:t xml:space="preserve">Capital Commitments </w:t>
            </w:r>
            <w:r w:rsidR="00643401" w:rsidRPr="00E03D2C">
              <w:rPr>
                <w:rFonts w:cs="Calibri"/>
                <w:b/>
                <w:iCs/>
              </w:rPr>
              <w:t>–</w:t>
            </w:r>
            <w:r w:rsidRPr="00E03D2C">
              <w:rPr>
                <w:rFonts w:cs="Calibri"/>
                <w:b/>
                <w:iCs/>
              </w:rPr>
              <w:t xml:space="preserve"> Property, Plant and Equipment</w:t>
            </w:r>
          </w:p>
        </w:tc>
        <w:tc>
          <w:tcPr>
            <w:tcW w:w="1417" w:type="dxa"/>
            <w:tcBorders>
              <w:top w:val="nil"/>
              <w:left w:val="nil"/>
              <w:bottom w:val="nil"/>
              <w:right w:val="nil"/>
            </w:tcBorders>
            <w:vAlign w:val="bottom"/>
          </w:tcPr>
          <w:p w14:paraId="12B26343" w14:textId="5CD64939" w:rsidR="000144FF" w:rsidRPr="00E03D2C" w:rsidRDefault="007624E9">
            <w:pPr>
              <w:pStyle w:val="TableTitle"/>
              <w:tabs>
                <w:tab w:val="left" w:pos="3306"/>
              </w:tabs>
              <w:rPr>
                <w:rFonts w:cs="Calibri"/>
              </w:rPr>
            </w:pPr>
            <w:bookmarkStart w:id="698" w:name="_Toc48468702"/>
            <w:bookmarkStart w:id="699" w:name="_Toc49224212"/>
            <w:r w:rsidRPr="00E03D2C">
              <w:rPr>
                <w:rFonts w:cs="Calibri"/>
              </w:rPr>
              <w:t>2022</w:t>
            </w:r>
          </w:p>
          <w:bookmarkEnd w:id="698"/>
          <w:bookmarkEnd w:id="699"/>
          <w:p w14:paraId="6096AB39" w14:textId="77777777" w:rsidR="000144FF" w:rsidRPr="00E03D2C" w:rsidRDefault="000144FF">
            <w:pPr>
              <w:pStyle w:val="TableTitle"/>
              <w:tabs>
                <w:tab w:val="left" w:pos="3306"/>
              </w:tabs>
              <w:rPr>
                <w:rFonts w:cs="Calibri"/>
              </w:rPr>
            </w:pPr>
            <w:r w:rsidRPr="00E03D2C">
              <w:rPr>
                <w:rFonts w:cs="Calibri"/>
              </w:rPr>
              <w:t>$’000</w:t>
            </w:r>
          </w:p>
        </w:tc>
        <w:tc>
          <w:tcPr>
            <w:tcW w:w="1276" w:type="dxa"/>
            <w:tcBorders>
              <w:top w:val="nil"/>
              <w:left w:val="nil"/>
              <w:bottom w:val="nil"/>
            </w:tcBorders>
            <w:vAlign w:val="bottom"/>
          </w:tcPr>
          <w:p w14:paraId="700FB62B" w14:textId="77777777" w:rsidR="00B330CA" w:rsidRDefault="005E3DFA">
            <w:pPr>
              <w:pStyle w:val="TableTitle"/>
              <w:tabs>
                <w:tab w:val="left" w:pos="3306"/>
              </w:tabs>
              <w:rPr>
                <w:rFonts w:cs="Calibri"/>
              </w:rPr>
            </w:pPr>
            <w:r w:rsidRPr="00E03D2C">
              <w:rPr>
                <w:rFonts w:cs="Calibri"/>
              </w:rPr>
              <w:t>2021</w:t>
            </w:r>
            <w:r w:rsidR="00FA7C77">
              <w:rPr>
                <w:rFonts w:cs="Calibri"/>
              </w:rPr>
              <w:t xml:space="preserve">   </w:t>
            </w:r>
            <w:r w:rsidR="00E03D2C" w:rsidRPr="00E03D2C">
              <w:rPr>
                <w:rFonts w:cs="Calibri"/>
              </w:rPr>
              <w:t xml:space="preserve"> </w:t>
            </w:r>
          </w:p>
          <w:p w14:paraId="4960DFF7" w14:textId="7353C73F" w:rsidR="000144FF" w:rsidRPr="00E03D2C" w:rsidRDefault="000144FF">
            <w:pPr>
              <w:pStyle w:val="TableTitle"/>
              <w:tabs>
                <w:tab w:val="left" w:pos="3306"/>
              </w:tabs>
              <w:rPr>
                <w:rFonts w:cs="Calibri"/>
              </w:rPr>
            </w:pPr>
            <w:r w:rsidRPr="00E03D2C">
              <w:rPr>
                <w:rFonts w:cs="Calibri"/>
              </w:rPr>
              <w:t>$’000</w:t>
            </w:r>
          </w:p>
        </w:tc>
      </w:tr>
      <w:tr w:rsidR="000144FF" w:rsidRPr="00CF7E1B" w14:paraId="5298EDBE"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68525518" w14:textId="77777777" w:rsidR="000144FF" w:rsidRPr="00E03D2C" w:rsidRDefault="000144FF">
            <w:pPr>
              <w:pStyle w:val="TableReference"/>
              <w:tabs>
                <w:tab w:val="left" w:pos="3306"/>
              </w:tabs>
              <w:spacing w:before="40"/>
              <w:rPr>
                <w:rFonts w:cs="Calibri"/>
                <w:color w:val="7030A0"/>
                <w:sz w:val="14"/>
              </w:rPr>
            </w:pPr>
          </w:p>
        </w:tc>
        <w:tc>
          <w:tcPr>
            <w:tcW w:w="6237" w:type="dxa"/>
            <w:tcBorders>
              <w:top w:val="nil"/>
              <w:left w:val="single" w:sz="2" w:space="0" w:color="auto"/>
              <w:bottom w:val="nil"/>
              <w:right w:val="nil"/>
            </w:tcBorders>
            <w:vAlign w:val="bottom"/>
          </w:tcPr>
          <w:p w14:paraId="39976278" w14:textId="77777777" w:rsidR="000144FF" w:rsidRPr="00E03D2C" w:rsidRDefault="000144FF">
            <w:pPr>
              <w:pStyle w:val="TableText"/>
              <w:tabs>
                <w:tab w:val="left" w:pos="3306"/>
              </w:tabs>
              <w:rPr>
                <w:rFonts w:cs="Calibri"/>
              </w:rPr>
            </w:pPr>
            <w:r w:rsidRPr="00E03D2C">
              <w:rPr>
                <w:rFonts w:cs="Calibri"/>
              </w:rPr>
              <w:t>Payable:</w:t>
            </w:r>
          </w:p>
        </w:tc>
        <w:tc>
          <w:tcPr>
            <w:tcW w:w="1417" w:type="dxa"/>
            <w:tcBorders>
              <w:top w:val="nil"/>
              <w:left w:val="nil"/>
              <w:bottom w:val="nil"/>
              <w:right w:val="nil"/>
            </w:tcBorders>
            <w:vAlign w:val="bottom"/>
          </w:tcPr>
          <w:p w14:paraId="7FA96CE2" w14:textId="7777777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21C30B65" w14:textId="77777777" w:rsidR="000144FF" w:rsidRPr="00E03D2C" w:rsidRDefault="000144FF">
            <w:pPr>
              <w:pStyle w:val="TableText"/>
              <w:tabs>
                <w:tab w:val="left" w:pos="3306"/>
              </w:tabs>
              <w:jc w:val="right"/>
              <w:rPr>
                <w:rFonts w:cs="Calibri"/>
              </w:rPr>
            </w:pPr>
          </w:p>
        </w:tc>
      </w:tr>
      <w:tr w:rsidR="000144FF" w:rsidRPr="00CF7E1B" w14:paraId="22A49B21"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4FE579E0" w14:textId="77777777" w:rsidR="000144FF" w:rsidRPr="00E03D2C" w:rsidRDefault="000144FF">
            <w:pPr>
              <w:pStyle w:val="TableReference"/>
              <w:tabs>
                <w:tab w:val="left" w:pos="3306"/>
              </w:tabs>
              <w:spacing w:before="60"/>
              <w:rPr>
                <w:rFonts w:cs="Calibri"/>
                <w:strike/>
                <w:color w:val="7030A0"/>
                <w:sz w:val="14"/>
              </w:rPr>
            </w:pPr>
          </w:p>
        </w:tc>
        <w:tc>
          <w:tcPr>
            <w:tcW w:w="6237" w:type="dxa"/>
            <w:tcBorders>
              <w:top w:val="nil"/>
              <w:left w:val="single" w:sz="2" w:space="0" w:color="auto"/>
              <w:bottom w:val="nil"/>
              <w:right w:val="nil"/>
            </w:tcBorders>
            <w:vAlign w:val="bottom"/>
          </w:tcPr>
          <w:p w14:paraId="318156C6" w14:textId="500819F9" w:rsidR="000144FF" w:rsidRPr="00E03D2C" w:rsidRDefault="000144FF">
            <w:pPr>
              <w:pStyle w:val="TableText"/>
              <w:tabs>
                <w:tab w:val="left" w:pos="3306"/>
              </w:tabs>
              <w:rPr>
                <w:rFonts w:cs="Calibri"/>
              </w:rPr>
            </w:pPr>
            <w:r w:rsidRPr="00E03D2C">
              <w:rPr>
                <w:rFonts w:cs="Calibri"/>
              </w:rPr>
              <w:t>Within one yea</w:t>
            </w:r>
            <w:r w:rsidR="00EB55EE" w:rsidRPr="00E03D2C">
              <w:rPr>
                <w:rFonts w:cs="Calibri"/>
              </w:rPr>
              <w:t>r</w:t>
            </w:r>
          </w:p>
        </w:tc>
        <w:tc>
          <w:tcPr>
            <w:tcW w:w="1417" w:type="dxa"/>
            <w:tcBorders>
              <w:top w:val="nil"/>
              <w:left w:val="nil"/>
              <w:bottom w:val="nil"/>
              <w:right w:val="nil"/>
            </w:tcBorders>
            <w:vAlign w:val="bottom"/>
          </w:tcPr>
          <w:p w14:paraId="49EABFF2" w14:textId="1E6E0C18"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4DD294D5" w14:textId="2BEF827F" w:rsidR="000144FF" w:rsidRPr="00E03D2C" w:rsidRDefault="000144FF">
            <w:pPr>
              <w:pStyle w:val="TableText"/>
              <w:tabs>
                <w:tab w:val="left" w:pos="3306"/>
              </w:tabs>
              <w:jc w:val="right"/>
              <w:rPr>
                <w:rFonts w:cs="Calibri"/>
              </w:rPr>
            </w:pPr>
          </w:p>
        </w:tc>
      </w:tr>
      <w:tr w:rsidR="000144FF" w:rsidRPr="00CF7E1B" w14:paraId="57FF745B"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1FDFFC1C" w14:textId="77777777" w:rsidR="000144FF" w:rsidRPr="00E03D2C" w:rsidRDefault="000144FF">
            <w:pPr>
              <w:pStyle w:val="TableReference"/>
              <w:tabs>
                <w:tab w:val="left" w:pos="3306"/>
              </w:tabs>
              <w:spacing w:before="60"/>
              <w:rPr>
                <w:rFonts w:cs="Calibri"/>
                <w:strike/>
                <w:color w:val="7030A0"/>
                <w:sz w:val="14"/>
              </w:rPr>
            </w:pPr>
          </w:p>
        </w:tc>
        <w:tc>
          <w:tcPr>
            <w:tcW w:w="6237" w:type="dxa"/>
            <w:tcBorders>
              <w:top w:val="nil"/>
              <w:left w:val="single" w:sz="2" w:space="0" w:color="auto"/>
              <w:bottom w:val="nil"/>
              <w:right w:val="nil"/>
            </w:tcBorders>
            <w:vAlign w:val="bottom"/>
          </w:tcPr>
          <w:p w14:paraId="6ED77DB5"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tcBorders>
              <w:top w:val="nil"/>
              <w:left w:val="nil"/>
              <w:bottom w:val="nil"/>
              <w:right w:val="nil"/>
            </w:tcBorders>
            <w:vAlign w:val="bottom"/>
          </w:tcPr>
          <w:p w14:paraId="5BFE8A27" w14:textId="7426655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4F06EEAE" w14:textId="7ED2B2E8" w:rsidR="000144FF" w:rsidRPr="00E03D2C" w:rsidRDefault="000144FF">
            <w:pPr>
              <w:pStyle w:val="TableText"/>
              <w:tabs>
                <w:tab w:val="left" w:pos="3306"/>
              </w:tabs>
              <w:jc w:val="right"/>
              <w:rPr>
                <w:rFonts w:cs="Calibri"/>
              </w:rPr>
            </w:pPr>
          </w:p>
        </w:tc>
      </w:tr>
      <w:tr w:rsidR="000144FF" w:rsidRPr="00CF7E1B" w14:paraId="55A4936D"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7E1FBD84" w14:textId="77777777" w:rsidR="000144FF" w:rsidRPr="00E03D2C" w:rsidRDefault="000144FF">
            <w:pPr>
              <w:pStyle w:val="TableReference"/>
              <w:tabs>
                <w:tab w:val="left" w:pos="3306"/>
              </w:tabs>
              <w:spacing w:before="60"/>
              <w:rPr>
                <w:rFonts w:cs="Calibri"/>
                <w:strike/>
                <w:color w:val="7030A0"/>
                <w:sz w:val="14"/>
              </w:rPr>
            </w:pPr>
          </w:p>
        </w:tc>
        <w:tc>
          <w:tcPr>
            <w:tcW w:w="6237" w:type="dxa"/>
            <w:tcBorders>
              <w:top w:val="nil"/>
              <w:left w:val="single" w:sz="2" w:space="0" w:color="auto"/>
              <w:bottom w:val="nil"/>
              <w:right w:val="nil"/>
            </w:tcBorders>
            <w:vAlign w:val="bottom"/>
          </w:tcPr>
          <w:p w14:paraId="22B677D3"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tcBorders>
              <w:top w:val="nil"/>
              <w:left w:val="nil"/>
              <w:bottom w:val="single" w:sz="4" w:space="0" w:color="auto"/>
              <w:right w:val="nil"/>
            </w:tcBorders>
            <w:vAlign w:val="bottom"/>
          </w:tcPr>
          <w:p w14:paraId="4D1FB1B1" w14:textId="348B4185" w:rsidR="000144FF" w:rsidRPr="00E03D2C" w:rsidRDefault="000144FF">
            <w:pPr>
              <w:pStyle w:val="TableText"/>
              <w:tabs>
                <w:tab w:val="left" w:pos="3306"/>
              </w:tabs>
              <w:jc w:val="right"/>
              <w:rPr>
                <w:rFonts w:cs="Calibri"/>
              </w:rPr>
            </w:pPr>
          </w:p>
        </w:tc>
        <w:tc>
          <w:tcPr>
            <w:tcW w:w="1276" w:type="dxa"/>
            <w:tcBorders>
              <w:top w:val="nil"/>
              <w:left w:val="nil"/>
              <w:bottom w:val="single" w:sz="4" w:space="0" w:color="auto"/>
            </w:tcBorders>
            <w:vAlign w:val="bottom"/>
          </w:tcPr>
          <w:p w14:paraId="53F0BD8C" w14:textId="000AAC93" w:rsidR="000144FF" w:rsidRPr="00E03D2C" w:rsidRDefault="000144FF">
            <w:pPr>
              <w:pStyle w:val="TableText"/>
              <w:tabs>
                <w:tab w:val="left" w:pos="3306"/>
              </w:tabs>
              <w:jc w:val="right"/>
              <w:rPr>
                <w:rFonts w:cs="Calibri"/>
              </w:rPr>
            </w:pPr>
          </w:p>
        </w:tc>
      </w:tr>
      <w:tr w:rsidR="000144FF" w:rsidRPr="00CF7E1B" w14:paraId="59759296"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25B8A832" w14:textId="77777777" w:rsidR="000144FF" w:rsidRPr="00E03D2C" w:rsidRDefault="000144FF">
            <w:pPr>
              <w:pStyle w:val="TableReference"/>
              <w:tabs>
                <w:tab w:val="left" w:pos="3306"/>
              </w:tabs>
              <w:spacing w:before="40"/>
              <w:rPr>
                <w:rFonts w:cs="Calibri"/>
                <w:color w:val="7030A0"/>
                <w:sz w:val="14"/>
              </w:rPr>
            </w:pPr>
          </w:p>
        </w:tc>
        <w:tc>
          <w:tcPr>
            <w:tcW w:w="6237" w:type="dxa"/>
            <w:tcBorders>
              <w:top w:val="nil"/>
              <w:left w:val="single" w:sz="2" w:space="0" w:color="auto"/>
              <w:bottom w:val="nil"/>
              <w:right w:val="nil"/>
            </w:tcBorders>
            <w:vAlign w:val="bottom"/>
          </w:tcPr>
          <w:p w14:paraId="381959B6" w14:textId="77777777" w:rsidR="000144FF" w:rsidRPr="00E03D2C" w:rsidRDefault="000144FF">
            <w:pPr>
              <w:pStyle w:val="TableText"/>
              <w:tabs>
                <w:tab w:val="left" w:pos="3306"/>
              </w:tabs>
              <w:rPr>
                <w:rFonts w:cs="Calibri"/>
                <w:b/>
                <w:iCs/>
              </w:rPr>
            </w:pPr>
            <w:r w:rsidRPr="00E03D2C">
              <w:rPr>
                <w:rFonts w:cs="Calibri"/>
                <w:b/>
                <w:iCs/>
              </w:rPr>
              <w:t xml:space="preserve">Total Capital Commitments- Property, Plant and Equipment </w:t>
            </w:r>
          </w:p>
        </w:tc>
        <w:tc>
          <w:tcPr>
            <w:tcW w:w="1417" w:type="dxa"/>
            <w:tcBorders>
              <w:top w:val="single" w:sz="4" w:space="0" w:color="auto"/>
              <w:left w:val="nil"/>
              <w:bottom w:val="single" w:sz="4" w:space="0" w:color="auto"/>
              <w:right w:val="nil"/>
            </w:tcBorders>
            <w:vAlign w:val="bottom"/>
          </w:tcPr>
          <w:p w14:paraId="3F9362E6" w14:textId="60948AA5"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single" w:sz="4" w:space="0" w:color="auto"/>
            </w:tcBorders>
            <w:vAlign w:val="bottom"/>
          </w:tcPr>
          <w:p w14:paraId="1445EBD9" w14:textId="5D5D550C" w:rsidR="000144FF" w:rsidRPr="00E03D2C" w:rsidRDefault="000144FF">
            <w:pPr>
              <w:pStyle w:val="TableText"/>
              <w:tabs>
                <w:tab w:val="left" w:pos="3306"/>
              </w:tabs>
              <w:jc w:val="right"/>
              <w:rPr>
                <w:rFonts w:cs="Calibri"/>
                <w:b/>
                <w:bCs/>
              </w:rPr>
            </w:pPr>
          </w:p>
        </w:tc>
      </w:tr>
      <w:tr w:rsidR="000144FF" w:rsidRPr="00CF7E1B" w14:paraId="1FDE960A"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0E856B86" w14:textId="77777777" w:rsidR="000144FF" w:rsidRPr="00E03D2C" w:rsidRDefault="000144FF">
            <w:pPr>
              <w:pStyle w:val="TableReference"/>
              <w:tabs>
                <w:tab w:val="left" w:pos="3306"/>
              </w:tabs>
              <w:spacing w:before="40"/>
              <w:rPr>
                <w:rFonts w:cs="Calibri"/>
                <w:color w:val="7030A0"/>
                <w:sz w:val="14"/>
              </w:rPr>
            </w:pPr>
          </w:p>
        </w:tc>
        <w:tc>
          <w:tcPr>
            <w:tcW w:w="6237" w:type="dxa"/>
            <w:tcBorders>
              <w:top w:val="nil"/>
              <w:left w:val="single" w:sz="2" w:space="0" w:color="auto"/>
              <w:bottom w:val="nil"/>
              <w:right w:val="nil"/>
            </w:tcBorders>
            <w:vAlign w:val="bottom"/>
          </w:tcPr>
          <w:p w14:paraId="2F7A9DCA" w14:textId="77777777" w:rsidR="000144FF" w:rsidRPr="00E03D2C" w:rsidRDefault="000144FF">
            <w:pPr>
              <w:pStyle w:val="TableText"/>
              <w:tabs>
                <w:tab w:val="left" w:pos="3306"/>
              </w:tabs>
              <w:rPr>
                <w:rFonts w:cs="Calibri"/>
              </w:rPr>
            </w:pPr>
          </w:p>
        </w:tc>
        <w:tc>
          <w:tcPr>
            <w:tcW w:w="1417" w:type="dxa"/>
            <w:tcBorders>
              <w:top w:val="single" w:sz="4" w:space="0" w:color="auto"/>
              <w:left w:val="nil"/>
              <w:bottom w:val="nil"/>
              <w:right w:val="nil"/>
            </w:tcBorders>
            <w:vAlign w:val="bottom"/>
          </w:tcPr>
          <w:p w14:paraId="0E042B5F" w14:textId="77777777" w:rsidR="000144FF" w:rsidRPr="00E03D2C" w:rsidRDefault="000144FF">
            <w:pPr>
              <w:pStyle w:val="TableText"/>
              <w:tabs>
                <w:tab w:val="left" w:pos="3306"/>
              </w:tabs>
              <w:jc w:val="right"/>
              <w:rPr>
                <w:rFonts w:cs="Calibri"/>
              </w:rPr>
            </w:pPr>
          </w:p>
        </w:tc>
        <w:tc>
          <w:tcPr>
            <w:tcW w:w="1276" w:type="dxa"/>
            <w:tcBorders>
              <w:top w:val="single" w:sz="4" w:space="0" w:color="auto"/>
              <w:left w:val="nil"/>
              <w:bottom w:val="nil"/>
            </w:tcBorders>
            <w:vAlign w:val="bottom"/>
          </w:tcPr>
          <w:p w14:paraId="51009EF2" w14:textId="77777777" w:rsidR="000144FF" w:rsidRPr="00E03D2C" w:rsidRDefault="000144FF">
            <w:pPr>
              <w:pStyle w:val="TableText"/>
              <w:tabs>
                <w:tab w:val="left" w:pos="3306"/>
              </w:tabs>
              <w:jc w:val="right"/>
              <w:rPr>
                <w:rFonts w:cs="Calibri"/>
              </w:rPr>
            </w:pPr>
          </w:p>
        </w:tc>
      </w:tr>
      <w:tr w:rsidR="000144FF" w:rsidRPr="00CF7E1B" w14:paraId="56C36FDA"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392EB53B" w14:textId="77777777" w:rsidR="000144FF" w:rsidRPr="00E03D2C" w:rsidRDefault="000144FF">
            <w:pPr>
              <w:pStyle w:val="TableReference"/>
              <w:tabs>
                <w:tab w:val="left" w:pos="3306"/>
              </w:tabs>
              <w:spacing w:before="40"/>
              <w:rPr>
                <w:rFonts w:cs="Calibri"/>
                <w:color w:val="7030A0"/>
                <w:sz w:val="14"/>
              </w:rPr>
            </w:pPr>
            <w:r w:rsidRPr="00E03D2C">
              <w:rPr>
                <w:rFonts w:cs="Calibri"/>
                <w:color w:val="7030A0"/>
                <w:sz w:val="14"/>
              </w:rPr>
              <w:t>AASB 138</w:t>
            </w:r>
            <w:r w:rsidR="00D65811" w:rsidRPr="00E03D2C">
              <w:rPr>
                <w:rFonts w:cs="Calibri"/>
                <w:color w:val="7030A0"/>
                <w:sz w:val="14"/>
              </w:rPr>
              <w:t>.</w:t>
            </w:r>
            <w:r w:rsidRPr="00E03D2C">
              <w:rPr>
                <w:rFonts w:cs="Calibri"/>
                <w:color w:val="7030A0"/>
                <w:sz w:val="14"/>
              </w:rPr>
              <w:t>122</w:t>
            </w:r>
            <w:r w:rsidR="00D001B7" w:rsidRPr="00E03D2C">
              <w:rPr>
                <w:rFonts w:cs="Calibri"/>
                <w:color w:val="7030A0"/>
                <w:sz w:val="14"/>
              </w:rPr>
              <w:t>(</w:t>
            </w:r>
            <w:r w:rsidRPr="00E03D2C">
              <w:rPr>
                <w:rFonts w:cs="Calibri"/>
                <w:color w:val="7030A0"/>
                <w:sz w:val="14"/>
              </w:rPr>
              <w:t>e)</w:t>
            </w:r>
          </w:p>
        </w:tc>
        <w:tc>
          <w:tcPr>
            <w:tcW w:w="6237" w:type="dxa"/>
            <w:tcBorders>
              <w:top w:val="nil"/>
              <w:left w:val="single" w:sz="2" w:space="0" w:color="auto"/>
              <w:bottom w:val="nil"/>
              <w:right w:val="nil"/>
            </w:tcBorders>
            <w:vAlign w:val="bottom"/>
          </w:tcPr>
          <w:p w14:paraId="4FEB69BB" w14:textId="539354CD" w:rsidR="000144FF" w:rsidRPr="00E03D2C" w:rsidRDefault="000144FF">
            <w:pPr>
              <w:pStyle w:val="TableText"/>
              <w:tabs>
                <w:tab w:val="left" w:pos="3306"/>
              </w:tabs>
              <w:rPr>
                <w:rFonts w:cs="Calibri"/>
                <w:b/>
                <w:iCs/>
              </w:rPr>
            </w:pPr>
            <w:r w:rsidRPr="00E03D2C">
              <w:rPr>
                <w:rFonts w:cs="Calibri"/>
                <w:b/>
                <w:iCs/>
              </w:rPr>
              <w:t xml:space="preserve">Capital Commitments </w:t>
            </w:r>
            <w:r w:rsidR="00643401" w:rsidRPr="00E03D2C">
              <w:rPr>
                <w:rFonts w:cs="Calibri"/>
                <w:b/>
                <w:iCs/>
              </w:rPr>
              <w:t>–</w:t>
            </w:r>
            <w:r w:rsidRPr="00E03D2C">
              <w:rPr>
                <w:rFonts w:cs="Calibri"/>
                <w:b/>
                <w:iCs/>
              </w:rPr>
              <w:t xml:space="preserve"> Intangible Assets </w:t>
            </w:r>
          </w:p>
        </w:tc>
        <w:tc>
          <w:tcPr>
            <w:tcW w:w="1417" w:type="dxa"/>
            <w:tcBorders>
              <w:top w:val="nil"/>
              <w:left w:val="nil"/>
              <w:bottom w:val="nil"/>
              <w:right w:val="nil"/>
            </w:tcBorders>
            <w:vAlign w:val="bottom"/>
          </w:tcPr>
          <w:p w14:paraId="154407D9" w14:textId="7777777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6DEDCC4C" w14:textId="77777777" w:rsidR="000144FF" w:rsidRPr="00E03D2C" w:rsidRDefault="000144FF">
            <w:pPr>
              <w:pStyle w:val="TableText"/>
              <w:tabs>
                <w:tab w:val="left" w:pos="3306"/>
              </w:tabs>
              <w:jc w:val="right"/>
              <w:rPr>
                <w:rFonts w:cs="Calibri"/>
              </w:rPr>
            </w:pPr>
          </w:p>
        </w:tc>
      </w:tr>
      <w:tr w:rsidR="000144FF" w:rsidRPr="00CF7E1B" w14:paraId="41C4EC2E"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22A6DBEF" w14:textId="23761694" w:rsidR="000144FF" w:rsidRPr="00E03D2C" w:rsidRDefault="00FA7C77">
            <w:pPr>
              <w:pStyle w:val="TableReference"/>
              <w:tabs>
                <w:tab w:val="left" w:pos="3306"/>
              </w:tabs>
              <w:spacing w:before="40"/>
              <w:rPr>
                <w:rFonts w:cs="Calibri"/>
                <w:color w:val="7030A0"/>
                <w:sz w:val="14"/>
              </w:rPr>
            </w:pPr>
            <w:r>
              <w:rPr>
                <w:rFonts w:cs="Calibri"/>
                <w:color w:val="7030A0"/>
                <w:sz w:val="14"/>
              </w:rPr>
              <w:t xml:space="preserve"> </w:t>
            </w:r>
          </w:p>
        </w:tc>
        <w:tc>
          <w:tcPr>
            <w:tcW w:w="6237" w:type="dxa"/>
            <w:tcBorders>
              <w:top w:val="nil"/>
              <w:left w:val="single" w:sz="2" w:space="0" w:color="auto"/>
              <w:bottom w:val="nil"/>
              <w:right w:val="nil"/>
            </w:tcBorders>
            <w:vAlign w:val="bottom"/>
          </w:tcPr>
          <w:p w14:paraId="76501C37" w14:textId="77777777" w:rsidR="000144FF" w:rsidRPr="00E03D2C" w:rsidRDefault="000144FF">
            <w:pPr>
              <w:pStyle w:val="TableText"/>
              <w:tabs>
                <w:tab w:val="left" w:pos="3306"/>
              </w:tabs>
              <w:rPr>
                <w:rFonts w:cs="Calibri"/>
              </w:rPr>
            </w:pPr>
            <w:r w:rsidRPr="00E03D2C">
              <w:rPr>
                <w:rFonts w:cs="Calibri"/>
              </w:rPr>
              <w:t>Payable:</w:t>
            </w:r>
          </w:p>
        </w:tc>
        <w:tc>
          <w:tcPr>
            <w:tcW w:w="1417" w:type="dxa"/>
            <w:tcBorders>
              <w:top w:val="nil"/>
              <w:left w:val="nil"/>
              <w:right w:val="nil"/>
            </w:tcBorders>
            <w:vAlign w:val="bottom"/>
          </w:tcPr>
          <w:p w14:paraId="7A575340" w14:textId="77777777"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0321C666" w14:textId="77777777" w:rsidR="000144FF" w:rsidRPr="00E03D2C" w:rsidRDefault="000144FF">
            <w:pPr>
              <w:pStyle w:val="TableText"/>
              <w:tabs>
                <w:tab w:val="left" w:pos="3306"/>
              </w:tabs>
              <w:jc w:val="right"/>
              <w:rPr>
                <w:rFonts w:cs="Calibri"/>
              </w:rPr>
            </w:pPr>
          </w:p>
        </w:tc>
      </w:tr>
      <w:tr w:rsidR="000144FF" w:rsidRPr="00CF7E1B" w14:paraId="7AA5C30B"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3AA5723C" w14:textId="77777777" w:rsidR="000144FF" w:rsidRPr="00E03D2C" w:rsidRDefault="000144FF">
            <w:pPr>
              <w:pStyle w:val="TableReference"/>
              <w:tabs>
                <w:tab w:val="left" w:pos="3306"/>
              </w:tabs>
              <w:spacing w:before="40"/>
              <w:rPr>
                <w:rFonts w:cs="Calibri"/>
                <w:strike/>
                <w:color w:val="7030A0"/>
                <w:sz w:val="14"/>
              </w:rPr>
            </w:pPr>
          </w:p>
        </w:tc>
        <w:tc>
          <w:tcPr>
            <w:tcW w:w="6237" w:type="dxa"/>
            <w:tcBorders>
              <w:top w:val="nil"/>
              <w:left w:val="single" w:sz="2" w:space="0" w:color="auto"/>
              <w:right w:val="nil"/>
            </w:tcBorders>
            <w:vAlign w:val="bottom"/>
          </w:tcPr>
          <w:p w14:paraId="781C4A40" w14:textId="77777777" w:rsidR="000144FF" w:rsidRPr="00E03D2C" w:rsidRDefault="000144FF">
            <w:pPr>
              <w:pStyle w:val="TableText"/>
              <w:tabs>
                <w:tab w:val="left" w:pos="3306"/>
              </w:tabs>
              <w:rPr>
                <w:rFonts w:cs="Calibri"/>
              </w:rPr>
            </w:pPr>
            <w:r w:rsidRPr="00E03D2C">
              <w:rPr>
                <w:rFonts w:cs="Calibri"/>
              </w:rPr>
              <w:t>Within one year</w:t>
            </w:r>
          </w:p>
        </w:tc>
        <w:tc>
          <w:tcPr>
            <w:tcW w:w="1417" w:type="dxa"/>
            <w:tcBorders>
              <w:top w:val="nil"/>
              <w:left w:val="nil"/>
              <w:right w:val="nil"/>
            </w:tcBorders>
            <w:vAlign w:val="bottom"/>
          </w:tcPr>
          <w:p w14:paraId="70596D03" w14:textId="00F761E4"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31B7FE5B" w14:textId="3D97BB40" w:rsidR="000144FF" w:rsidRPr="00E03D2C" w:rsidRDefault="000144FF">
            <w:pPr>
              <w:pStyle w:val="TableText"/>
              <w:tabs>
                <w:tab w:val="left" w:pos="3306"/>
              </w:tabs>
              <w:jc w:val="right"/>
              <w:rPr>
                <w:rFonts w:cs="Calibri"/>
              </w:rPr>
            </w:pPr>
          </w:p>
        </w:tc>
      </w:tr>
      <w:tr w:rsidR="000144FF" w:rsidRPr="00CF7E1B" w14:paraId="1312D1C0"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443882F8" w14:textId="77777777" w:rsidR="000144FF" w:rsidRPr="00E03D2C" w:rsidRDefault="000144FF">
            <w:pPr>
              <w:pStyle w:val="TableReference"/>
              <w:tabs>
                <w:tab w:val="left" w:pos="3306"/>
              </w:tabs>
              <w:spacing w:before="40"/>
              <w:rPr>
                <w:rFonts w:cs="Calibri"/>
                <w:strike/>
                <w:color w:val="7030A0"/>
                <w:sz w:val="14"/>
              </w:rPr>
            </w:pPr>
          </w:p>
        </w:tc>
        <w:tc>
          <w:tcPr>
            <w:tcW w:w="6237" w:type="dxa"/>
            <w:tcBorders>
              <w:top w:val="nil"/>
              <w:left w:val="single" w:sz="2" w:space="0" w:color="auto"/>
              <w:right w:val="nil"/>
            </w:tcBorders>
            <w:vAlign w:val="bottom"/>
          </w:tcPr>
          <w:p w14:paraId="4705353E"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tcBorders>
              <w:top w:val="nil"/>
              <w:left w:val="nil"/>
              <w:right w:val="nil"/>
            </w:tcBorders>
            <w:vAlign w:val="bottom"/>
          </w:tcPr>
          <w:p w14:paraId="2DD85A80" w14:textId="34C2E74F"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6014A535" w14:textId="2D7320ED" w:rsidR="000144FF" w:rsidRPr="00E03D2C" w:rsidRDefault="000144FF">
            <w:pPr>
              <w:pStyle w:val="TableText"/>
              <w:tabs>
                <w:tab w:val="left" w:pos="3306"/>
              </w:tabs>
              <w:jc w:val="right"/>
              <w:rPr>
                <w:rFonts w:cs="Calibri"/>
              </w:rPr>
            </w:pPr>
          </w:p>
        </w:tc>
      </w:tr>
      <w:tr w:rsidR="000144FF" w:rsidRPr="00CF7E1B" w14:paraId="739A1F0D"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54057104" w14:textId="77777777" w:rsidR="000144FF" w:rsidRPr="00E03D2C" w:rsidRDefault="000144FF">
            <w:pPr>
              <w:pStyle w:val="TableReference"/>
              <w:tabs>
                <w:tab w:val="left" w:pos="3306"/>
              </w:tabs>
              <w:spacing w:before="40"/>
              <w:rPr>
                <w:rFonts w:cs="Calibri"/>
                <w:strike/>
                <w:color w:val="7030A0"/>
                <w:sz w:val="14"/>
              </w:rPr>
            </w:pPr>
          </w:p>
        </w:tc>
        <w:tc>
          <w:tcPr>
            <w:tcW w:w="6237" w:type="dxa"/>
            <w:tcBorders>
              <w:top w:val="nil"/>
              <w:left w:val="single" w:sz="2" w:space="0" w:color="auto"/>
              <w:right w:val="nil"/>
            </w:tcBorders>
            <w:vAlign w:val="bottom"/>
          </w:tcPr>
          <w:p w14:paraId="6FCD7E1E"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tcBorders>
              <w:top w:val="nil"/>
              <w:left w:val="nil"/>
              <w:bottom w:val="single" w:sz="4" w:space="0" w:color="auto"/>
              <w:right w:val="nil"/>
            </w:tcBorders>
            <w:vAlign w:val="bottom"/>
          </w:tcPr>
          <w:p w14:paraId="396C32AB" w14:textId="49206F7B" w:rsidR="000144FF" w:rsidRPr="00E03D2C" w:rsidRDefault="000144FF">
            <w:pPr>
              <w:pStyle w:val="TableText"/>
              <w:tabs>
                <w:tab w:val="left" w:pos="3306"/>
              </w:tabs>
              <w:jc w:val="right"/>
              <w:rPr>
                <w:rFonts w:cs="Calibri"/>
              </w:rPr>
            </w:pPr>
          </w:p>
        </w:tc>
        <w:tc>
          <w:tcPr>
            <w:tcW w:w="1276" w:type="dxa"/>
            <w:tcBorders>
              <w:top w:val="nil"/>
              <w:left w:val="nil"/>
              <w:bottom w:val="single" w:sz="4" w:space="0" w:color="auto"/>
            </w:tcBorders>
            <w:vAlign w:val="bottom"/>
          </w:tcPr>
          <w:p w14:paraId="06E0A803" w14:textId="3430A46B" w:rsidR="000144FF" w:rsidRPr="00E03D2C" w:rsidRDefault="000144FF">
            <w:pPr>
              <w:pStyle w:val="TableText"/>
              <w:tabs>
                <w:tab w:val="left" w:pos="3306"/>
              </w:tabs>
              <w:jc w:val="right"/>
              <w:rPr>
                <w:rFonts w:cs="Calibri"/>
              </w:rPr>
            </w:pPr>
          </w:p>
        </w:tc>
      </w:tr>
      <w:tr w:rsidR="000144FF" w:rsidRPr="00CF7E1B" w14:paraId="7BBC2DB3"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7AA63D1D" w14:textId="77777777" w:rsidR="000144FF" w:rsidRPr="00E03D2C" w:rsidRDefault="000144FF">
            <w:pPr>
              <w:pStyle w:val="TableReference"/>
              <w:tabs>
                <w:tab w:val="left" w:pos="3306"/>
              </w:tabs>
              <w:spacing w:before="40"/>
              <w:rPr>
                <w:rFonts w:cs="Calibri"/>
                <w:color w:val="7030A0"/>
                <w:sz w:val="14"/>
              </w:rPr>
            </w:pPr>
          </w:p>
        </w:tc>
        <w:tc>
          <w:tcPr>
            <w:tcW w:w="6237" w:type="dxa"/>
            <w:tcBorders>
              <w:top w:val="nil"/>
              <w:left w:val="single" w:sz="2" w:space="0" w:color="auto"/>
              <w:right w:val="nil"/>
            </w:tcBorders>
            <w:vAlign w:val="bottom"/>
          </w:tcPr>
          <w:p w14:paraId="56838A6E" w14:textId="414FAA1F" w:rsidR="000144FF" w:rsidRPr="00E03D2C" w:rsidRDefault="000144FF">
            <w:pPr>
              <w:pStyle w:val="TableText"/>
              <w:tabs>
                <w:tab w:val="left" w:pos="3306"/>
              </w:tabs>
              <w:rPr>
                <w:rFonts w:cs="Calibri"/>
                <w:b/>
                <w:iCs/>
              </w:rPr>
            </w:pPr>
            <w:r w:rsidRPr="00E03D2C">
              <w:rPr>
                <w:rFonts w:cs="Calibri"/>
                <w:b/>
                <w:iCs/>
              </w:rPr>
              <w:t>Total Capital Commitments - Intangible Asset</w:t>
            </w:r>
            <w:r w:rsidR="00607914" w:rsidRPr="00E03D2C">
              <w:rPr>
                <w:rFonts w:cs="Calibri"/>
                <w:b/>
                <w:iCs/>
              </w:rPr>
              <w:t>s</w:t>
            </w:r>
            <w:r w:rsidRPr="00E03D2C">
              <w:rPr>
                <w:rFonts w:cs="Calibri"/>
                <w:b/>
                <w:iCs/>
              </w:rPr>
              <w:t xml:space="preserve"> </w:t>
            </w:r>
          </w:p>
        </w:tc>
        <w:tc>
          <w:tcPr>
            <w:tcW w:w="1417" w:type="dxa"/>
            <w:tcBorders>
              <w:top w:val="single" w:sz="4" w:space="0" w:color="auto"/>
              <w:left w:val="nil"/>
              <w:bottom w:val="single" w:sz="4" w:space="0" w:color="auto"/>
              <w:right w:val="nil"/>
            </w:tcBorders>
            <w:vAlign w:val="bottom"/>
          </w:tcPr>
          <w:p w14:paraId="0F627269" w14:textId="46353549"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single" w:sz="4" w:space="0" w:color="auto"/>
            </w:tcBorders>
            <w:vAlign w:val="bottom"/>
          </w:tcPr>
          <w:p w14:paraId="4ECBCE75" w14:textId="7C619244" w:rsidR="000144FF" w:rsidRPr="00E03D2C" w:rsidRDefault="000144FF">
            <w:pPr>
              <w:pStyle w:val="TableText"/>
              <w:tabs>
                <w:tab w:val="left" w:pos="3306"/>
              </w:tabs>
              <w:jc w:val="right"/>
              <w:rPr>
                <w:rFonts w:cs="Calibri"/>
                <w:b/>
                <w:bCs/>
              </w:rPr>
            </w:pPr>
          </w:p>
        </w:tc>
      </w:tr>
      <w:tr w:rsidR="000144FF" w:rsidRPr="00CF7E1B" w14:paraId="2F263CFC"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527DC31C" w14:textId="77777777" w:rsidR="000144FF" w:rsidRPr="00E03D2C" w:rsidRDefault="000144FF">
            <w:pPr>
              <w:pStyle w:val="TableReference"/>
              <w:tabs>
                <w:tab w:val="left" w:pos="3306"/>
              </w:tabs>
              <w:spacing w:before="40"/>
              <w:rPr>
                <w:rFonts w:cs="Calibri"/>
                <w:color w:val="7030A0"/>
                <w:sz w:val="14"/>
              </w:rPr>
            </w:pPr>
          </w:p>
        </w:tc>
        <w:tc>
          <w:tcPr>
            <w:tcW w:w="6237" w:type="dxa"/>
            <w:tcBorders>
              <w:top w:val="nil"/>
              <w:left w:val="single" w:sz="2" w:space="0" w:color="auto"/>
              <w:right w:val="nil"/>
            </w:tcBorders>
            <w:vAlign w:val="bottom"/>
          </w:tcPr>
          <w:p w14:paraId="3DB2E0EA" w14:textId="77777777" w:rsidR="000144FF" w:rsidRPr="00E03D2C" w:rsidRDefault="000144FF">
            <w:pPr>
              <w:pStyle w:val="TableText"/>
              <w:tabs>
                <w:tab w:val="left" w:pos="3306"/>
              </w:tabs>
              <w:rPr>
                <w:rFonts w:cs="Calibri"/>
                <w:b/>
                <w:bCs/>
              </w:rPr>
            </w:pPr>
            <w:r w:rsidRPr="00E03D2C">
              <w:rPr>
                <w:rFonts w:cs="Calibri"/>
                <w:b/>
                <w:bCs/>
              </w:rPr>
              <w:t>Total Capital Commitments</w:t>
            </w:r>
          </w:p>
        </w:tc>
        <w:tc>
          <w:tcPr>
            <w:tcW w:w="1417" w:type="dxa"/>
            <w:tcBorders>
              <w:top w:val="single" w:sz="4" w:space="0" w:color="auto"/>
              <w:left w:val="nil"/>
              <w:bottom w:val="double" w:sz="4" w:space="0" w:color="auto"/>
              <w:right w:val="nil"/>
            </w:tcBorders>
            <w:vAlign w:val="bottom"/>
          </w:tcPr>
          <w:p w14:paraId="126B3F63" w14:textId="6E940F3A"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double" w:sz="4" w:space="0" w:color="auto"/>
            </w:tcBorders>
            <w:vAlign w:val="bottom"/>
          </w:tcPr>
          <w:p w14:paraId="376B6C4B" w14:textId="024A11A8" w:rsidR="000144FF" w:rsidRPr="00E03D2C" w:rsidRDefault="000144FF">
            <w:pPr>
              <w:pStyle w:val="TableText"/>
              <w:tabs>
                <w:tab w:val="left" w:pos="3306"/>
              </w:tabs>
              <w:jc w:val="right"/>
              <w:rPr>
                <w:rFonts w:cs="Calibri"/>
                <w:b/>
                <w:bCs/>
              </w:rPr>
            </w:pPr>
          </w:p>
        </w:tc>
      </w:tr>
      <w:tr w:rsidR="000144FF" w:rsidRPr="00CF7E1B" w14:paraId="49FACED8"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68FE4AD0" w14:textId="77777777" w:rsidR="006137DE" w:rsidRPr="00E03D2C" w:rsidRDefault="006137DE">
            <w:pPr>
              <w:pStyle w:val="TableReference"/>
              <w:tabs>
                <w:tab w:val="left" w:pos="3306"/>
              </w:tabs>
              <w:spacing w:before="40"/>
              <w:rPr>
                <w:rFonts w:cs="Calibri"/>
                <w:color w:val="7030A0"/>
                <w:sz w:val="14"/>
              </w:rPr>
            </w:pPr>
          </w:p>
        </w:tc>
        <w:tc>
          <w:tcPr>
            <w:tcW w:w="6237" w:type="dxa"/>
            <w:tcBorders>
              <w:left w:val="single" w:sz="2" w:space="0" w:color="auto"/>
              <w:right w:val="nil"/>
            </w:tcBorders>
            <w:vAlign w:val="bottom"/>
          </w:tcPr>
          <w:p w14:paraId="7E890166" w14:textId="77777777" w:rsidR="000144FF" w:rsidRPr="00E03D2C" w:rsidRDefault="000144FF">
            <w:pPr>
              <w:pStyle w:val="TableText"/>
              <w:tabs>
                <w:tab w:val="left" w:pos="3306"/>
              </w:tabs>
              <w:rPr>
                <w:rFonts w:cs="Calibri"/>
                <w:b/>
                <w:bCs/>
                <w:sz w:val="14"/>
              </w:rPr>
            </w:pPr>
            <w:r w:rsidRPr="00E03D2C">
              <w:rPr>
                <w:rFonts w:cs="Calibri"/>
                <w:b/>
                <w:bCs/>
                <w:sz w:val="14"/>
              </w:rPr>
              <w:t xml:space="preserve"> </w:t>
            </w:r>
          </w:p>
        </w:tc>
        <w:tc>
          <w:tcPr>
            <w:tcW w:w="1417" w:type="dxa"/>
            <w:tcBorders>
              <w:top w:val="double" w:sz="4" w:space="0" w:color="auto"/>
              <w:left w:val="nil"/>
              <w:right w:val="nil"/>
            </w:tcBorders>
            <w:vAlign w:val="bottom"/>
          </w:tcPr>
          <w:p w14:paraId="69079F36" w14:textId="77777777" w:rsidR="000144FF" w:rsidRPr="00E03D2C" w:rsidRDefault="000144FF">
            <w:pPr>
              <w:pStyle w:val="TableText"/>
              <w:tabs>
                <w:tab w:val="left" w:pos="3306"/>
              </w:tabs>
              <w:jc w:val="right"/>
              <w:rPr>
                <w:rFonts w:cs="Calibri"/>
                <w:b/>
                <w:bCs/>
                <w:sz w:val="14"/>
              </w:rPr>
            </w:pPr>
          </w:p>
        </w:tc>
        <w:tc>
          <w:tcPr>
            <w:tcW w:w="1276" w:type="dxa"/>
            <w:tcBorders>
              <w:top w:val="double" w:sz="4" w:space="0" w:color="auto"/>
              <w:left w:val="nil"/>
            </w:tcBorders>
            <w:vAlign w:val="bottom"/>
          </w:tcPr>
          <w:p w14:paraId="6473CFE1" w14:textId="77777777" w:rsidR="000144FF" w:rsidRPr="00E03D2C" w:rsidRDefault="000144FF">
            <w:pPr>
              <w:pStyle w:val="TableText"/>
              <w:tabs>
                <w:tab w:val="left" w:pos="3306"/>
              </w:tabs>
              <w:jc w:val="right"/>
              <w:rPr>
                <w:rFonts w:cs="Calibri"/>
                <w:b/>
                <w:bCs/>
                <w:sz w:val="14"/>
              </w:rPr>
            </w:pPr>
          </w:p>
        </w:tc>
      </w:tr>
      <w:tr w:rsidR="000144FF" w:rsidRPr="00CF7E1B" w14:paraId="72327033"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35DE01B9" w14:textId="77777777" w:rsidR="000144FF" w:rsidRPr="00E03D2C" w:rsidRDefault="009B5164" w:rsidP="003973ED">
            <w:pPr>
              <w:pStyle w:val="TableReference"/>
              <w:tabs>
                <w:tab w:val="left" w:pos="3306"/>
              </w:tabs>
              <w:spacing w:before="40"/>
              <w:rPr>
                <w:rFonts w:cs="Calibri"/>
                <w:color w:val="7030A0"/>
                <w:sz w:val="14"/>
              </w:rPr>
            </w:pPr>
            <w:r w:rsidRPr="00E03D2C">
              <w:rPr>
                <w:rFonts w:cs="Calibri"/>
                <w:color w:val="7030A0"/>
                <w:sz w:val="14"/>
              </w:rPr>
              <w:t>ACT Disclosure Policy</w:t>
            </w:r>
          </w:p>
        </w:tc>
        <w:tc>
          <w:tcPr>
            <w:tcW w:w="6237" w:type="dxa"/>
            <w:tcBorders>
              <w:top w:val="nil"/>
              <w:left w:val="single" w:sz="2" w:space="0" w:color="auto"/>
              <w:bottom w:val="nil"/>
              <w:right w:val="nil"/>
            </w:tcBorders>
            <w:vAlign w:val="bottom"/>
          </w:tcPr>
          <w:p w14:paraId="20F4D41A" w14:textId="77777777" w:rsidR="000144FF" w:rsidRPr="00E03D2C" w:rsidRDefault="000144FF" w:rsidP="00A84FFC">
            <w:pPr>
              <w:pStyle w:val="TableText"/>
              <w:tabs>
                <w:tab w:val="left" w:pos="3306"/>
              </w:tabs>
              <w:spacing w:before="0" w:after="120"/>
              <w:rPr>
                <w:rFonts w:cs="Calibri"/>
                <w:b/>
                <w:bCs/>
              </w:rPr>
            </w:pPr>
            <w:bookmarkStart w:id="700" w:name="_Toc48468704"/>
            <w:bookmarkStart w:id="701" w:name="_Toc49155798"/>
            <w:bookmarkStart w:id="702" w:name="_Toc49224214"/>
            <w:r w:rsidRPr="00E03D2C">
              <w:rPr>
                <w:rFonts w:cs="Calibri"/>
                <w:b/>
                <w:bCs/>
              </w:rPr>
              <w:t>Other Commitments</w:t>
            </w:r>
            <w:bookmarkEnd w:id="700"/>
            <w:bookmarkEnd w:id="701"/>
            <w:bookmarkEnd w:id="702"/>
            <w:r w:rsidRPr="00E03D2C">
              <w:rPr>
                <w:rFonts w:cs="Calibri"/>
                <w:b/>
                <w:bCs/>
              </w:rPr>
              <w:t xml:space="preserve"> </w:t>
            </w:r>
          </w:p>
        </w:tc>
        <w:tc>
          <w:tcPr>
            <w:tcW w:w="1417" w:type="dxa"/>
            <w:tcBorders>
              <w:top w:val="nil"/>
              <w:left w:val="nil"/>
              <w:bottom w:val="nil"/>
              <w:right w:val="nil"/>
            </w:tcBorders>
            <w:vAlign w:val="bottom"/>
          </w:tcPr>
          <w:p w14:paraId="6B799E44" w14:textId="77777777"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33B99914" w14:textId="77777777" w:rsidR="000144FF" w:rsidRPr="00E03D2C" w:rsidRDefault="000144FF">
            <w:pPr>
              <w:pStyle w:val="TableText"/>
              <w:tabs>
                <w:tab w:val="left" w:pos="3306"/>
              </w:tabs>
              <w:jc w:val="right"/>
              <w:rPr>
                <w:rFonts w:cs="Calibri"/>
              </w:rPr>
            </w:pPr>
          </w:p>
        </w:tc>
      </w:tr>
      <w:tr w:rsidR="000144FF" w:rsidRPr="00CF7E1B" w14:paraId="57CDFF8C"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14074FDD" w14:textId="77777777" w:rsidR="000144FF" w:rsidRPr="00E03D2C" w:rsidRDefault="000144FF" w:rsidP="003973ED">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tcBorders>
            <w:vAlign w:val="bottom"/>
          </w:tcPr>
          <w:p w14:paraId="778F8429" w14:textId="77777777" w:rsidR="000144FF" w:rsidRPr="00E03D2C" w:rsidRDefault="000144FF" w:rsidP="00ED446B">
            <w:pPr>
              <w:pStyle w:val="TableText"/>
              <w:tabs>
                <w:tab w:val="left" w:pos="3306"/>
              </w:tabs>
              <w:spacing w:before="0"/>
              <w:rPr>
                <w:rFonts w:cs="Calibri"/>
              </w:rPr>
            </w:pPr>
            <w:r w:rsidRPr="00E03D2C">
              <w:rPr>
                <w:rFonts w:cs="Calibri"/>
              </w:rPr>
              <w:t xml:space="preserve">Other commitments contracted at reporting date </w:t>
            </w:r>
            <w:r w:rsidR="006F3697" w:rsidRPr="00E03D2C">
              <w:rPr>
                <w:rFonts w:cs="Calibri"/>
              </w:rPr>
              <w:t xml:space="preserve">but </w:t>
            </w:r>
            <w:r w:rsidRPr="00E03D2C">
              <w:rPr>
                <w:rFonts w:cs="Calibri"/>
              </w:rPr>
              <w:t xml:space="preserve">not recognised as liabilities, are payable as follows: </w:t>
            </w:r>
          </w:p>
        </w:tc>
      </w:tr>
      <w:tr w:rsidR="000144FF" w:rsidRPr="00CF7E1B" w14:paraId="06A01CCB"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14D17202" w14:textId="77777777" w:rsidR="000144FF" w:rsidRPr="00E03D2C" w:rsidRDefault="000144FF">
            <w:pPr>
              <w:pStyle w:val="TableReference"/>
              <w:tabs>
                <w:tab w:val="left" w:pos="3306"/>
              </w:tabs>
              <w:spacing w:before="40"/>
              <w:rPr>
                <w:rFonts w:cs="Calibri"/>
                <w:color w:val="7030A0"/>
                <w:sz w:val="14"/>
              </w:rPr>
            </w:pPr>
          </w:p>
        </w:tc>
        <w:tc>
          <w:tcPr>
            <w:tcW w:w="6237" w:type="dxa"/>
            <w:tcBorders>
              <w:top w:val="nil"/>
              <w:left w:val="single" w:sz="2" w:space="0" w:color="auto"/>
              <w:bottom w:val="nil"/>
              <w:right w:val="nil"/>
            </w:tcBorders>
            <w:vAlign w:val="bottom"/>
          </w:tcPr>
          <w:p w14:paraId="420F6987" w14:textId="77777777" w:rsidR="000144FF" w:rsidRPr="00E03D2C" w:rsidRDefault="000144FF">
            <w:pPr>
              <w:pStyle w:val="TableText"/>
              <w:tabs>
                <w:tab w:val="left" w:pos="3306"/>
              </w:tabs>
              <w:rPr>
                <w:rFonts w:cs="Calibri"/>
              </w:rPr>
            </w:pPr>
            <w:r w:rsidRPr="00E03D2C">
              <w:rPr>
                <w:rFonts w:cs="Calibri"/>
              </w:rPr>
              <w:t>Within one year</w:t>
            </w:r>
          </w:p>
        </w:tc>
        <w:tc>
          <w:tcPr>
            <w:tcW w:w="1417" w:type="dxa"/>
            <w:tcBorders>
              <w:top w:val="nil"/>
              <w:left w:val="nil"/>
              <w:bottom w:val="nil"/>
              <w:right w:val="nil"/>
            </w:tcBorders>
            <w:vAlign w:val="bottom"/>
          </w:tcPr>
          <w:p w14:paraId="64503FB9" w14:textId="7C5DBC6E" w:rsidR="000144FF" w:rsidRPr="00E03D2C" w:rsidRDefault="000144FF">
            <w:pPr>
              <w:pStyle w:val="TableText"/>
              <w:tabs>
                <w:tab w:val="left" w:pos="3306"/>
              </w:tabs>
              <w:jc w:val="right"/>
              <w:rPr>
                <w:rFonts w:cs="Calibri"/>
              </w:rPr>
            </w:pPr>
          </w:p>
        </w:tc>
        <w:tc>
          <w:tcPr>
            <w:tcW w:w="1276" w:type="dxa"/>
            <w:tcBorders>
              <w:top w:val="nil"/>
              <w:left w:val="nil"/>
              <w:bottom w:val="nil"/>
            </w:tcBorders>
            <w:vAlign w:val="bottom"/>
          </w:tcPr>
          <w:p w14:paraId="75A99AAF" w14:textId="411922ED" w:rsidR="000144FF" w:rsidRPr="00E03D2C" w:rsidRDefault="000144FF">
            <w:pPr>
              <w:pStyle w:val="TableText"/>
              <w:tabs>
                <w:tab w:val="left" w:pos="3306"/>
              </w:tabs>
              <w:jc w:val="right"/>
              <w:rPr>
                <w:rFonts w:cs="Calibri"/>
              </w:rPr>
            </w:pPr>
          </w:p>
        </w:tc>
      </w:tr>
      <w:tr w:rsidR="000144FF" w:rsidRPr="00CF7E1B" w14:paraId="5EC93250"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477D5CE8" w14:textId="77777777" w:rsidR="000144FF" w:rsidRPr="00E03D2C" w:rsidRDefault="000144FF">
            <w:pPr>
              <w:pStyle w:val="TableReference"/>
              <w:tabs>
                <w:tab w:val="left" w:pos="3306"/>
              </w:tabs>
              <w:spacing w:before="40"/>
              <w:rPr>
                <w:rFonts w:cs="Calibri"/>
                <w:color w:val="7030A0"/>
                <w:sz w:val="14"/>
              </w:rPr>
            </w:pPr>
          </w:p>
        </w:tc>
        <w:tc>
          <w:tcPr>
            <w:tcW w:w="6237" w:type="dxa"/>
            <w:tcBorders>
              <w:top w:val="nil"/>
              <w:left w:val="single" w:sz="2" w:space="0" w:color="auto"/>
              <w:bottom w:val="nil"/>
              <w:right w:val="nil"/>
            </w:tcBorders>
            <w:vAlign w:val="bottom"/>
          </w:tcPr>
          <w:p w14:paraId="2F61FCDC" w14:textId="77777777" w:rsidR="000144FF" w:rsidRPr="00E03D2C" w:rsidRDefault="000144FF">
            <w:pPr>
              <w:pStyle w:val="TableText"/>
              <w:tabs>
                <w:tab w:val="left" w:pos="3306"/>
              </w:tabs>
              <w:rPr>
                <w:rFonts w:cs="Calibri"/>
              </w:rPr>
            </w:pPr>
            <w:r w:rsidRPr="00E03D2C">
              <w:rPr>
                <w:rFonts w:cs="Calibri"/>
              </w:rPr>
              <w:t>Later than one year but not later than five years</w:t>
            </w:r>
          </w:p>
        </w:tc>
        <w:tc>
          <w:tcPr>
            <w:tcW w:w="1417" w:type="dxa"/>
            <w:tcBorders>
              <w:top w:val="nil"/>
              <w:left w:val="nil"/>
              <w:right w:val="nil"/>
            </w:tcBorders>
            <w:vAlign w:val="bottom"/>
          </w:tcPr>
          <w:p w14:paraId="5D2E4FD3" w14:textId="70C6F9E6" w:rsidR="000144FF" w:rsidRPr="00E03D2C" w:rsidRDefault="000144FF">
            <w:pPr>
              <w:pStyle w:val="TableText"/>
              <w:tabs>
                <w:tab w:val="left" w:pos="3306"/>
              </w:tabs>
              <w:jc w:val="right"/>
              <w:rPr>
                <w:rFonts w:cs="Calibri"/>
              </w:rPr>
            </w:pPr>
          </w:p>
        </w:tc>
        <w:tc>
          <w:tcPr>
            <w:tcW w:w="1276" w:type="dxa"/>
            <w:tcBorders>
              <w:top w:val="nil"/>
              <w:left w:val="nil"/>
            </w:tcBorders>
            <w:vAlign w:val="bottom"/>
          </w:tcPr>
          <w:p w14:paraId="54B92B91" w14:textId="3312BC1A" w:rsidR="000144FF" w:rsidRPr="00E03D2C" w:rsidRDefault="000144FF">
            <w:pPr>
              <w:pStyle w:val="TableText"/>
              <w:tabs>
                <w:tab w:val="left" w:pos="3306"/>
              </w:tabs>
              <w:jc w:val="right"/>
              <w:rPr>
                <w:rFonts w:cs="Calibri"/>
              </w:rPr>
            </w:pPr>
          </w:p>
        </w:tc>
      </w:tr>
      <w:tr w:rsidR="000144FF" w:rsidRPr="00CF7E1B" w14:paraId="60C967B4"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679C22B1" w14:textId="77777777" w:rsidR="000144FF" w:rsidRPr="00E03D2C" w:rsidRDefault="000144FF">
            <w:pPr>
              <w:pStyle w:val="TableReference"/>
              <w:tabs>
                <w:tab w:val="left" w:pos="3306"/>
              </w:tabs>
              <w:spacing w:before="40"/>
              <w:rPr>
                <w:rFonts w:cs="Calibri"/>
                <w:color w:val="7030A0"/>
                <w:sz w:val="14"/>
              </w:rPr>
            </w:pPr>
          </w:p>
        </w:tc>
        <w:tc>
          <w:tcPr>
            <w:tcW w:w="6237" w:type="dxa"/>
            <w:tcBorders>
              <w:top w:val="nil"/>
              <w:left w:val="single" w:sz="2" w:space="0" w:color="auto"/>
              <w:right w:val="nil"/>
            </w:tcBorders>
            <w:vAlign w:val="bottom"/>
          </w:tcPr>
          <w:p w14:paraId="6BEBD543" w14:textId="77777777" w:rsidR="000144FF" w:rsidRPr="00E03D2C" w:rsidRDefault="000144FF">
            <w:pPr>
              <w:pStyle w:val="TableText"/>
              <w:tabs>
                <w:tab w:val="left" w:pos="3306"/>
              </w:tabs>
              <w:rPr>
                <w:rFonts w:cs="Calibri"/>
              </w:rPr>
            </w:pPr>
            <w:r w:rsidRPr="00E03D2C">
              <w:rPr>
                <w:rFonts w:cs="Calibri"/>
              </w:rPr>
              <w:t>Later than five years</w:t>
            </w:r>
          </w:p>
        </w:tc>
        <w:tc>
          <w:tcPr>
            <w:tcW w:w="1417" w:type="dxa"/>
            <w:tcBorders>
              <w:top w:val="nil"/>
              <w:left w:val="nil"/>
              <w:bottom w:val="single" w:sz="4" w:space="0" w:color="auto"/>
              <w:right w:val="nil"/>
            </w:tcBorders>
            <w:vAlign w:val="bottom"/>
          </w:tcPr>
          <w:p w14:paraId="516159EF" w14:textId="3E1857B5" w:rsidR="000144FF" w:rsidRPr="00E03D2C" w:rsidRDefault="000144FF">
            <w:pPr>
              <w:pStyle w:val="TableText"/>
              <w:tabs>
                <w:tab w:val="left" w:pos="3306"/>
              </w:tabs>
              <w:jc w:val="right"/>
              <w:rPr>
                <w:rFonts w:cs="Calibri"/>
              </w:rPr>
            </w:pPr>
          </w:p>
        </w:tc>
        <w:tc>
          <w:tcPr>
            <w:tcW w:w="1276" w:type="dxa"/>
            <w:tcBorders>
              <w:top w:val="nil"/>
              <w:left w:val="nil"/>
              <w:bottom w:val="single" w:sz="4" w:space="0" w:color="auto"/>
            </w:tcBorders>
            <w:vAlign w:val="bottom"/>
          </w:tcPr>
          <w:p w14:paraId="1EC40390" w14:textId="1C6DDF33" w:rsidR="000144FF" w:rsidRPr="00E03D2C" w:rsidRDefault="000144FF">
            <w:pPr>
              <w:pStyle w:val="TableText"/>
              <w:tabs>
                <w:tab w:val="left" w:pos="3306"/>
              </w:tabs>
              <w:jc w:val="right"/>
              <w:rPr>
                <w:rFonts w:cs="Calibri"/>
              </w:rPr>
            </w:pPr>
          </w:p>
        </w:tc>
      </w:tr>
      <w:tr w:rsidR="000144FF" w:rsidRPr="00CF7E1B" w14:paraId="383D07C0"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299C4DAB" w14:textId="77777777" w:rsidR="000144FF" w:rsidRPr="00E03D2C" w:rsidRDefault="000144FF">
            <w:pPr>
              <w:pStyle w:val="TableReference"/>
              <w:tabs>
                <w:tab w:val="left" w:pos="3306"/>
              </w:tabs>
              <w:spacing w:before="40"/>
              <w:rPr>
                <w:rFonts w:cs="Calibri"/>
                <w:color w:val="7030A0"/>
                <w:sz w:val="14"/>
              </w:rPr>
            </w:pPr>
          </w:p>
        </w:tc>
        <w:tc>
          <w:tcPr>
            <w:tcW w:w="6237" w:type="dxa"/>
            <w:tcBorders>
              <w:left w:val="single" w:sz="2" w:space="0" w:color="auto"/>
              <w:right w:val="nil"/>
            </w:tcBorders>
            <w:vAlign w:val="bottom"/>
          </w:tcPr>
          <w:p w14:paraId="6C5C5476" w14:textId="77777777" w:rsidR="000144FF" w:rsidRPr="00E03D2C" w:rsidRDefault="000144FF">
            <w:pPr>
              <w:pStyle w:val="TableText"/>
              <w:tabs>
                <w:tab w:val="left" w:pos="3306"/>
              </w:tabs>
              <w:rPr>
                <w:rFonts w:cs="Calibri"/>
                <w:b/>
                <w:bCs/>
              </w:rPr>
            </w:pPr>
            <w:r w:rsidRPr="00E03D2C">
              <w:rPr>
                <w:rFonts w:cs="Calibri"/>
                <w:b/>
                <w:bCs/>
              </w:rPr>
              <w:t>Total Other Commitments</w:t>
            </w:r>
          </w:p>
        </w:tc>
        <w:tc>
          <w:tcPr>
            <w:tcW w:w="1417" w:type="dxa"/>
            <w:tcBorders>
              <w:top w:val="single" w:sz="4" w:space="0" w:color="auto"/>
              <w:left w:val="nil"/>
              <w:bottom w:val="double" w:sz="4" w:space="0" w:color="auto"/>
              <w:right w:val="nil"/>
            </w:tcBorders>
            <w:vAlign w:val="bottom"/>
          </w:tcPr>
          <w:p w14:paraId="2D212DAD" w14:textId="08C88A79" w:rsidR="000144FF" w:rsidRPr="00E03D2C" w:rsidRDefault="000144FF">
            <w:pPr>
              <w:pStyle w:val="TableText"/>
              <w:tabs>
                <w:tab w:val="left" w:pos="3306"/>
              </w:tabs>
              <w:jc w:val="right"/>
              <w:rPr>
                <w:rFonts w:cs="Calibri"/>
                <w:b/>
                <w:bCs/>
              </w:rPr>
            </w:pPr>
          </w:p>
        </w:tc>
        <w:tc>
          <w:tcPr>
            <w:tcW w:w="1276" w:type="dxa"/>
            <w:tcBorders>
              <w:top w:val="single" w:sz="4" w:space="0" w:color="auto"/>
              <w:left w:val="nil"/>
              <w:bottom w:val="double" w:sz="4" w:space="0" w:color="auto"/>
            </w:tcBorders>
            <w:vAlign w:val="bottom"/>
          </w:tcPr>
          <w:p w14:paraId="6CE21498" w14:textId="46E98CBA" w:rsidR="000144FF" w:rsidRPr="00E03D2C" w:rsidRDefault="000144FF">
            <w:pPr>
              <w:pStyle w:val="TableText"/>
              <w:tabs>
                <w:tab w:val="left" w:pos="3306"/>
              </w:tabs>
              <w:jc w:val="right"/>
              <w:rPr>
                <w:rFonts w:cs="Calibri"/>
                <w:b/>
                <w:bCs/>
              </w:rPr>
            </w:pPr>
          </w:p>
        </w:tc>
      </w:tr>
      <w:tr w:rsidR="000144FF" w:rsidRPr="00CF7E1B" w14:paraId="2359B850"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185F2665" w14:textId="77777777" w:rsidR="000144FF" w:rsidRPr="00E03D2C" w:rsidRDefault="000144FF">
            <w:pPr>
              <w:pStyle w:val="TableReference"/>
              <w:tabs>
                <w:tab w:val="left" w:pos="3306"/>
              </w:tabs>
              <w:spacing w:before="40"/>
              <w:rPr>
                <w:rFonts w:cs="Calibri"/>
                <w:color w:val="7030A0"/>
                <w:sz w:val="14"/>
              </w:rPr>
            </w:pPr>
          </w:p>
        </w:tc>
        <w:tc>
          <w:tcPr>
            <w:tcW w:w="6237" w:type="dxa"/>
            <w:tcBorders>
              <w:left w:val="single" w:sz="2" w:space="0" w:color="auto"/>
              <w:bottom w:val="nil"/>
              <w:right w:val="nil"/>
            </w:tcBorders>
            <w:vAlign w:val="bottom"/>
          </w:tcPr>
          <w:p w14:paraId="1550BBC6" w14:textId="77777777" w:rsidR="000144FF" w:rsidRPr="00E03D2C" w:rsidRDefault="000144FF">
            <w:pPr>
              <w:pStyle w:val="TableText"/>
              <w:tabs>
                <w:tab w:val="left" w:pos="3306"/>
              </w:tabs>
              <w:rPr>
                <w:rFonts w:cs="Calibri"/>
                <w:sz w:val="14"/>
              </w:rPr>
            </w:pPr>
          </w:p>
        </w:tc>
        <w:tc>
          <w:tcPr>
            <w:tcW w:w="1417" w:type="dxa"/>
            <w:tcBorders>
              <w:top w:val="double" w:sz="4" w:space="0" w:color="auto"/>
              <w:left w:val="nil"/>
              <w:right w:val="nil"/>
            </w:tcBorders>
            <w:vAlign w:val="bottom"/>
          </w:tcPr>
          <w:p w14:paraId="55404E8E" w14:textId="77777777" w:rsidR="000144FF" w:rsidRPr="00E03D2C" w:rsidRDefault="000144FF">
            <w:pPr>
              <w:pStyle w:val="TableText"/>
              <w:tabs>
                <w:tab w:val="left" w:pos="3306"/>
              </w:tabs>
              <w:jc w:val="right"/>
              <w:rPr>
                <w:rFonts w:cs="Calibri"/>
                <w:sz w:val="14"/>
              </w:rPr>
            </w:pPr>
          </w:p>
        </w:tc>
        <w:tc>
          <w:tcPr>
            <w:tcW w:w="1276" w:type="dxa"/>
            <w:tcBorders>
              <w:top w:val="double" w:sz="4" w:space="0" w:color="auto"/>
              <w:left w:val="nil"/>
            </w:tcBorders>
            <w:vAlign w:val="bottom"/>
          </w:tcPr>
          <w:p w14:paraId="1F127D32" w14:textId="77777777" w:rsidR="000144FF" w:rsidRPr="00E03D2C" w:rsidRDefault="000144FF">
            <w:pPr>
              <w:pStyle w:val="TableText"/>
              <w:tabs>
                <w:tab w:val="left" w:pos="3306"/>
              </w:tabs>
              <w:jc w:val="right"/>
              <w:rPr>
                <w:rFonts w:cs="Calibri"/>
                <w:sz w:val="14"/>
              </w:rPr>
            </w:pPr>
          </w:p>
        </w:tc>
      </w:tr>
      <w:tr w:rsidR="00F9354D" w:rsidRPr="00CF7E1B" w14:paraId="140BC8F4"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0786B5F8" w14:textId="77777777" w:rsidR="00F9354D" w:rsidRPr="00E03D2C" w:rsidRDefault="00F9354D">
            <w:pPr>
              <w:pStyle w:val="TableReference"/>
              <w:tabs>
                <w:tab w:val="left" w:pos="3306"/>
              </w:tabs>
              <w:spacing w:before="40"/>
              <w:rPr>
                <w:rFonts w:cs="Calibri"/>
                <w:color w:val="7030A0"/>
                <w:sz w:val="14"/>
              </w:rPr>
            </w:pPr>
          </w:p>
        </w:tc>
        <w:tc>
          <w:tcPr>
            <w:tcW w:w="6237" w:type="dxa"/>
            <w:tcBorders>
              <w:left w:val="single" w:sz="2" w:space="0" w:color="auto"/>
              <w:bottom w:val="nil"/>
              <w:right w:val="nil"/>
            </w:tcBorders>
            <w:vAlign w:val="bottom"/>
          </w:tcPr>
          <w:p w14:paraId="55FFAC0E" w14:textId="3C93D855" w:rsidR="00F9354D" w:rsidRPr="00E03D2C" w:rsidRDefault="00F9354D" w:rsidP="00F9354D">
            <w:pPr>
              <w:pStyle w:val="TableText"/>
              <w:tabs>
                <w:tab w:val="left" w:pos="3306"/>
              </w:tabs>
              <w:spacing w:before="240"/>
              <w:rPr>
                <w:rFonts w:cs="Calibri"/>
                <w:sz w:val="14"/>
              </w:rPr>
            </w:pPr>
            <w:r w:rsidRPr="00E03D2C">
              <w:rPr>
                <w:rFonts w:cs="Calibri"/>
                <w:b/>
              </w:rPr>
              <w:t>Public Private Partnerships (PPP)</w:t>
            </w:r>
            <w:r w:rsidRPr="00E03D2C">
              <w:rPr>
                <w:b/>
                <w:bCs/>
              </w:rPr>
              <w:t xml:space="preserve"> Commitments</w:t>
            </w:r>
          </w:p>
        </w:tc>
        <w:tc>
          <w:tcPr>
            <w:tcW w:w="1417" w:type="dxa"/>
            <w:tcBorders>
              <w:left w:val="nil"/>
              <w:right w:val="nil"/>
            </w:tcBorders>
            <w:vAlign w:val="bottom"/>
          </w:tcPr>
          <w:p w14:paraId="4C78816F" w14:textId="77777777" w:rsidR="00F9354D" w:rsidRPr="00E03D2C" w:rsidRDefault="00F9354D">
            <w:pPr>
              <w:pStyle w:val="TableText"/>
              <w:tabs>
                <w:tab w:val="left" w:pos="3306"/>
              </w:tabs>
              <w:jc w:val="right"/>
              <w:rPr>
                <w:rFonts w:cs="Calibri"/>
                <w:sz w:val="14"/>
              </w:rPr>
            </w:pPr>
          </w:p>
        </w:tc>
        <w:tc>
          <w:tcPr>
            <w:tcW w:w="1276" w:type="dxa"/>
            <w:tcBorders>
              <w:left w:val="nil"/>
            </w:tcBorders>
            <w:vAlign w:val="bottom"/>
          </w:tcPr>
          <w:p w14:paraId="460A4BD3" w14:textId="77777777" w:rsidR="00F9354D" w:rsidRPr="00E03D2C" w:rsidRDefault="00F9354D">
            <w:pPr>
              <w:pStyle w:val="TableText"/>
              <w:tabs>
                <w:tab w:val="left" w:pos="3306"/>
              </w:tabs>
              <w:jc w:val="right"/>
              <w:rPr>
                <w:rFonts w:cs="Calibri"/>
                <w:sz w:val="14"/>
              </w:rPr>
            </w:pPr>
          </w:p>
        </w:tc>
      </w:tr>
      <w:tr w:rsidR="009025F5" w:rsidRPr="00CF7E1B" w14:paraId="3F790CC1"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34C4D2E2" w14:textId="77777777" w:rsidR="009025F5" w:rsidRPr="00E03D2C" w:rsidRDefault="009025F5" w:rsidP="009025F5">
            <w:pPr>
              <w:pStyle w:val="TableReference"/>
              <w:tabs>
                <w:tab w:val="left" w:pos="3306"/>
              </w:tabs>
              <w:spacing w:before="40"/>
              <w:rPr>
                <w:rFonts w:cs="Calibri"/>
                <w:color w:val="7030A0"/>
                <w:sz w:val="14"/>
              </w:rPr>
            </w:pPr>
          </w:p>
        </w:tc>
        <w:tc>
          <w:tcPr>
            <w:tcW w:w="6237" w:type="dxa"/>
            <w:tcBorders>
              <w:left w:val="single" w:sz="2" w:space="0" w:color="auto"/>
              <w:bottom w:val="nil"/>
              <w:right w:val="nil"/>
            </w:tcBorders>
            <w:vAlign w:val="bottom"/>
          </w:tcPr>
          <w:p w14:paraId="7DDAFBDE" w14:textId="6270C06B" w:rsidR="009025F5" w:rsidRPr="00E03D2C" w:rsidRDefault="0009630F" w:rsidP="00F9354D">
            <w:pPr>
              <w:pStyle w:val="TableText"/>
              <w:tabs>
                <w:tab w:val="left" w:pos="3306"/>
              </w:tabs>
              <w:spacing w:before="80"/>
              <w:rPr>
                <w:rFonts w:cs="Calibri"/>
                <w:i/>
                <w:iCs/>
                <w:sz w:val="14"/>
              </w:rPr>
            </w:pPr>
            <w:r w:rsidRPr="00E03D2C">
              <w:rPr>
                <w:i/>
                <w:iCs/>
              </w:rPr>
              <w:t xml:space="preserve">PPP Commitments Relating to </w:t>
            </w:r>
            <w:r w:rsidR="009025F5" w:rsidRPr="00E03D2C">
              <w:rPr>
                <w:i/>
                <w:iCs/>
              </w:rPr>
              <w:t xml:space="preserve">Service Concession Arrangement </w:t>
            </w:r>
          </w:p>
        </w:tc>
        <w:tc>
          <w:tcPr>
            <w:tcW w:w="1417" w:type="dxa"/>
            <w:tcBorders>
              <w:left w:val="nil"/>
              <w:right w:val="nil"/>
            </w:tcBorders>
            <w:vAlign w:val="bottom"/>
          </w:tcPr>
          <w:p w14:paraId="54FD76B2" w14:textId="77777777" w:rsidR="009025F5" w:rsidRPr="00E03D2C" w:rsidRDefault="009025F5" w:rsidP="009025F5">
            <w:pPr>
              <w:pStyle w:val="TableText"/>
              <w:tabs>
                <w:tab w:val="left" w:pos="3306"/>
              </w:tabs>
              <w:jc w:val="right"/>
              <w:rPr>
                <w:rFonts w:cs="Calibri"/>
                <w:sz w:val="14"/>
              </w:rPr>
            </w:pPr>
          </w:p>
        </w:tc>
        <w:tc>
          <w:tcPr>
            <w:tcW w:w="1276" w:type="dxa"/>
            <w:tcBorders>
              <w:left w:val="nil"/>
            </w:tcBorders>
            <w:vAlign w:val="bottom"/>
          </w:tcPr>
          <w:p w14:paraId="1ABF7F08" w14:textId="77777777" w:rsidR="009025F5" w:rsidRPr="00E03D2C" w:rsidRDefault="009025F5" w:rsidP="009025F5">
            <w:pPr>
              <w:pStyle w:val="TableText"/>
              <w:tabs>
                <w:tab w:val="left" w:pos="3306"/>
              </w:tabs>
              <w:jc w:val="right"/>
              <w:rPr>
                <w:rFonts w:cs="Calibri"/>
                <w:sz w:val="14"/>
              </w:rPr>
            </w:pPr>
          </w:p>
        </w:tc>
      </w:tr>
      <w:tr w:rsidR="009025F5" w:rsidRPr="00CF7E1B" w14:paraId="0EDAAF00"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021B2EBE" w14:textId="77777777" w:rsidR="009025F5" w:rsidRPr="00E03D2C" w:rsidRDefault="009025F5" w:rsidP="009025F5">
            <w:pPr>
              <w:pStyle w:val="TableReference"/>
              <w:tabs>
                <w:tab w:val="left" w:pos="3306"/>
              </w:tabs>
              <w:spacing w:before="40"/>
              <w:rPr>
                <w:rFonts w:cs="Calibri"/>
                <w:color w:val="7030A0"/>
                <w:sz w:val="14"/>
              </w:rPr>
            </w:pPr>
          </w:p>
        </w:tc>
        <w:tc>
          <w:tcPr>
            <w:tcW w:w="8930" w:type="dxa"/>
            <w:gridSpan w:val="3"/>
            <w:tcBorders>
              <w:left w:val="single" w:sz="2" w:space="0" w:color="auto"/>
              <w:bottom w:val="nil"/>
            </w:tcBorders>
          </w:tcPr>
          <w:p w14:paraId="166D8C0C" w14:textId="16DA7FA5" w:rsidR="009025F5" w:rsidRPr="00E03D2C" w:rsidRDefault="009025F5" w:rsidP="00EB55EE">
            <w:pPr>
              <w:pStyle w:val="TableText"/>
              <w:tabs>
                <w:tab w:val="left" w:pos="3306"/>
              </w:tabs>
              <w:spacing w:after="60"/>
              <w:jc w:val="both"/>
            </w:pPr>
            <w:r w:rsidRPr="00E03D2C">
              <w:t>Service Concession Arrangement Commitments relate to the operational expenditure ‘</w:t>
            </w:r>
            <w:r w:rsidR="003B044B" w:rsidRPr="00E03D2C">
              <w:t>Burley Griffin</w:t>
            </w:r>
            <w:r w:rsidR="003B044B" w:rsidRPr="00E03D2C">
              <w:rPr>
                <w:bCs/>
              </w:rPr>
              <w:t xml:space="preserve"> </w:t>
            </w:r>
            <w:r w:rsidRPr="00E03D2C">
              <w:t>Agency’ is required to make to ‘Example Metro’ over the remaining term of the service concession arrangement.</w:t>
            </w:r>
            <w:r w:rsidR="00FA7C77">
              <w:t xml:space="preserve"> </w:t>
            </w:r>
            <w:r w:rsidRPr="00E03D2C">
              <w:t>Commitments for the capital component have been recorded on the balance sheet and therefore no capital commitments have been disclosed in this commitment note.</w:t>
            </w:r>
          </w:p>
          <w:p w14:paraId="76C8C280" w14:textId="0F32434A" w:rsidR="009025F5" w:rsidRPr="00E03D2C" w:rsidRDefault="009025F5" w:rsidP="00F9354D">
            <w:pPr>
              <w:spacing w:after="120"/>
              <w:jc w:val="both"/>
            </w:pPr>
            <w:r w:rsidRPr="00E03D2C">
              <w:rPr>
                <w:rFonts w:cs="Calibri"/>
                <w:sz w:val="18"/>
                <w:szCs w:val="18"/>
              </w:rPr>
              <w:t xml:space="preserve">For more information in relation to service concession arrangements refer to Note </w:t>
            </w:r>
            <w:r w:rsidR="007F20A7">
              <w:rPr>
                <w:rFonts w:cs="Calibri"/>
                <w:sz w:val="18"/>
                <w:szCs w:val="18"/>
              </w:rPr>
              <w:t>39</w:t>
            </w:r>
            <w:r w:rsidRPr="00E03D2C">
              <w:rPr>
                <w:rFonts w:cs="Calibri"/>
                <w:sz w:val="18"/>
                <w:szCs w:val="18"/>
              </w:rPr>
              <w:t xml:space="preserve"> </w:t>
            </w:r>
            <w:r w:rsidRPr="007F20A7">
              <w:rPr>
                <w:rFonts w:cs="Calibri"/>
                <w:i/>
                <w:iCs/>
                <w:sz w:val="18"/>
                <w:szCs w:val="18"/>
              </w:rPr>
              <w:t>Service Concession Arrangements</w:t>
            </w:r>
            <w:r w:rsidRPr="00E03D2C">
              <w:rPr>
                <w:rFonts w:cs="Calibri"/>
                <w:sz w:val="18"/>
                <w:szCs w:val="18"/>
              </w:rPr>
              <w:t>.</w:t>
            </w:r>
          </w:p>
        </w:tc>
      </w:tr>
      <w:tr w:rsidR="00F9354D" w:rsidRPr="00CF7E1B" w14:paraId="44F3E97A"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388D3B37" w14:textId="77777777" w:rsidR="00F9354D" w:rsidRPr="00E03D2C" w:rsidRDefault="00F9354D" w:rsidP="009025F5">
            <w:pPr>
              <w:pStyle w:val="TableReference"/>
              <w:tabs>
                <w:tab w:val="left" w:pos="3306"/>
              </w:tabs>
              <w:spacing w:before="40"/>
              <w:rPr>
                <w:rFonts w:cs="Calibri"/>
                <w:color w:val="7030A0"/>
                <w:sz w:val="14"/>
              </w:rPr>
            </w:pPr>
          </w:p>
        </w:tc>
        <w:tc>
          <w:tcPr>
            <w:tcW w:w="8930" w:type="dxa"/>
            <w:gridSpan w:val="3"/>
            <w:tcBorders>
              <w:left w:val="single" w:sz="2" w:space="0" w:color="auto"/>
              <w:bottom w:val="nil"/>
            </w:tcBorders>
          </w:tcPr>
          <w:p w14:paraId="1D258F37" w14:textId="2CB1BEE4" w:rsidR="00F9354D" w:rsidRPr="00E03D2C" w:rsidRDefault="00F9354D" w:rsidP="00F9354D">
            <w:pPr>
              <w:pStyle w:val="TableText"/>
              <w:tabs>
                <w:tab w:val="left" w:pos="3306"/>
              </w:tabs>
              <w:jc w:val="both"/>
            </w:pPr>
            <w:r w:rsidRPr="00E03D2C">
              <w:rPr>
                <w:i/>
                <w:iCs/>
              </w:rPr>
              <w:t>PPP Commitments</w:t>
            </w:r>
            <w:r w:rsidR="004F2D2D" w:rsidRPr="00E03D2C">
              <w:rPr>
                <w:i/>
                <w:iCs/>
              </w:rPr>
              <w:t xml:space="preserve"> Relating to Non-Service Concession Arrangement</w:t>
            </w:r>
          </w:p>
        </w:tc>
      </w:tr>
      <w:tr w:rsidR="00F9354D" w:rsidRPr="00CF7E1B" w14:paraId="30ECB0AE" w14:textId="77777777" w:rsidTr="0004564D">
        <w:tblPrEx>
          <w:shd w:val="clear" w:color="auto" w:fill="auto"/>
        </w:tblPrEx>
        <w:trPr>
          <w:trHeight w:val="20"/>
        </w:trPr>
        <w:tc>
          <w:tcPr>
            <w:tcW w:w="1560" w:type="dxa"/>
            <w:tcBorders>
              <w:top w:val="nil"/>
              <w:left w:val="single" w:sz="2" w:space="0" w:color="auto"/>
              <w:bottom w:val="nil"/>
              <w:right w:val="single" w:sz="2" w:space="0" w:color="auto"/>
            </w:tcBorders>
          </w:tcPr>
          <w:p w14:paraId="211DB88C" w14:textId="77777777" w:rsidR="00F9354D" w:rsidRPr="00E03D2C" w:rsidRDefault="00F9354D" w:rsidP="009025F5">
            <w:pPr>
              <w:pStyle w:val="TableReference"/>
              <w:tabs>
                <w:tab w:val="left" w:pos="3306"/>
              </w:tabs>
              <w:spacing w:before="40"/>
              <w:rPr>
                <w:rFonts w:cs="Calibri"/>
                <w:color w:val="7030A0"/>
                <w:sz w:val="14"/>
              </w:rPr>
            </w:pPr>
          </w:p>
        </w:tc>
        <w:tc>
          <w:tcPr>
            <w:tcW w:w="8930" w:type="dxa"/>
            <w:gridSpan w:val="3"/>
            <w:tcBorders>
              <w:left w:val="single" w:sz="2" w:space="0" w:color="auto"/>
              <w:bottom w:val="nil"/>
            </w:tcBorders>
          </w:tcPr>
          <w:p w14:paraId="3F9378DF" w14:textId="06EC794A" w:rsidR="007F20A7" w:rsidRPr="002E2594" w:rsidRDefault="007F20A7" w:rsidP="007F20A7">
            <w:pPr>
              <w:pStyle w:val="TableText"/>
              <w:tabs>
                <w:tab w:val="left" w:pos="3306"/>
              </w:tabs>
              <w:spacing w:after="60"/>
              <w:jc w:val="both"/>
            </w:pPr>
            <w:r>
              <w:t xml:space="preserve">The facilities management and support service fees included in the PPP agreement with ‘Example Private Sector Entity’, as outlined in Note 26 </w:t>
            </w:r>
            <w:r w:rsidRPr="007F20A7">
              <w:rPr>
                <w:i/>
                <w:iCs/>
              </w:rPr>
              <w:t>Lease Liabilities</w:t>
            </w:r>
            <w:r>
              <w:t>,</w:t>
            </w:r>
            <w:r w:rsidR="00FA7C77">
              <w:t xml:space="preserve"> </w:t>
            </w:r>
            <w:r>
              <w:t xml:space="preserve">have been disclosed as an Operational Commitment. </w:t>
            </w:r>
          </w:p>
          <w:p w14:paraId="0C3D90E7" w14:textId="0A281AA9" w:rsidR="00F9354D" w:rsidRPr="00E03D2C" w:rsidRDefault="00F9354D" w:rsidP="007F20A7">
            <w:pPr>
              <w:pStyle w:val="TableText"/>
              <w:tabs>
                <w:tab w:val="left" w:pos="3306"/>
              </w:tabs>
              <w:spacing w:after="60"/>
              <w:jc w:val="both"/>
            </w:pPr>
          </w:p>
        </w:tc>
      </w:tr>
    </w:tbl>
    <w:p w14:paraId="0AC9D817" w14:textId="77777777" w:rsidR="00B330CA" w:rsidRDefault="00B330CA">
      <w:r>
        <w:br w:type="page"/>
      </w:r>
    </w:p>
    <w:tbl>
      <w:tblPr>
        <w:tblW w:w="10490" w:type="dxa"/>
        <w:tblInd w:w="-3" w:type="dxa"/>
        <w:tblLayout w:type="fixed"/>
        <w:tblLook w:val="00A0" w:firstRow="1" w:lastRow="0" w:firstColumn="1" w:lastColumn="0" w:noHBand="0" w:noVBand="0"/>
      </w:tblPr>
      <w:tblGrid>
        <w:gridCol w:w="1560"/>
        <w:gridCol w:w="6237"/>
        <w:gridCol w:w="1417"/>
        <w:gridCol w:w="1276"/>
      </w:tblGrid>
      <w:tr w:rsidR="00B330CA" w:rsidRPr="00CF7E1B" w14:paraId="6EF55EFD" w14:textId="77777777" w:rsidTr="0004564D">
        <w:trPr>
          <w:trHeight w:val="20"/>
        </w:trPr>
        <w:tc>
          <w:tcPr>
            <w:tcW w:w="1560" w:type="dxa"/>
            <w:tcBorders>
              <w:left w:val="single" w:sz="2" w:space="0" w:color="auto"/>
              <w:right w:val="single" w:sz="2" w:space="0" w:color="auto"/>
            </w:tcBorders>
          </w:tcPr>
          <w:p w14:paraId="7BE0B8B8" w14:textId="0A08167F" w:rsidR="00B330CA" w:rsidRPr="00E03D2C" w:rsidRDefault="00B330CA" w:rsidP="00DA5473">
            <w:pPr>
              <w:pStyle w:val="TableReference"/>
              <w:tabs>
                <w:tab w:val="left" w:pos="3306"/>
              </w:tabs>
              <w:spacing w:before="240" w:after="240"/>
              <w:rPr>
                <w:rFonts w:cs="Calibri"/>
                <w:b/>
                <w:color w:val="7030A0"/>
                <w:sz w:val="22"/>
                <w:szCs w:val="22"/>
              </w:rPr>
            </w:pPr>
            <w:r w:rsidRPr="00F33E86">
              <w:rPr>
                <w:rFonts w:cs="Calibri"/>
                <w:b/>
                <w:color w:val="7030A0"/>
                <w:sz w:val="22"/>
                <w:szCs w:val="22"/>
              </w:rPr>
              <w:t>Reference</w:t>
            </w:r>
          </w:p>
        </w:tc>
        <w:tc>
          <w:tcPr>
            <w:tcW w:w="8930" w:type="dxa"/>
            <w:gridSpan w:val="3"/>
            <w:tcBorders>
              <w:left w:val="single" w:sz="2" w:space="0" w:color="auto"/>
            </w:tcBorders>
            <w:vAlign w:val="bottom"/>
          </w:tcPr>
          <w:p w14:paraId="771B5769" w14:textId="1652EC54" w:rsidR="00B330CA" w:rsidRPr="00E03D2C" w:rsidRDefault="00B330CA" w:rsidP="00DA5473">
            <w:pPr>
              <w:pStyle w:val="Heading1"/>
              <w:numPr>
                <w:ilvl w:val="0"/>
                <w:numId w:val="0"/>
              </w:numPr>
              <w:rPr>
                <w:b w:val="0"/>
              </w:rPr>
            </w:pPr>
            <w:bookmarkStart w:id="703" w:name="_Toc98763168"/>
            <w:r w:rsidRPr="00E03D2C">
              <w:t>Note 32. Capital and Other Expenditure Commitments</w:t>
            </w:r>
            <w:r>
              <w:t xml:space="preserve"> – Continued</w:t>
            </w:r>
            <w:bookmarkEnd w:id="703"/>
            <w:r>
              <w:t xml:space="preserve"> </w:t>
            </w:r>
          </w:p>
        </w:tc>
      </w:tr>
      <w:tr w:rsidR="00B330CA" w:rsidRPr="00CF7E1B" w14:paraId="4A3E2294" w14:textId="77777777" w:rsidTr="0004564D">
        <w:trPr>
          <w:trHeight w:val="20"/>
        </w:trPr>
        <w:tc>
          <w:tcPr>
            <w:tcW w:w="1560" w:type="dxa"/>
            <w:tcBorders>
              <w:top w:val="nil"/>
              <w:left w:val="single" w:sz="2" w:space="0" w:color="auto"/>
              <w:bottom w:val="nil"/>
              <w:right w:val="single" w:sz="2" w:space="0" w:color="auto"/>
            </w:tcBorders>
          </w:tcPr>
          <w:p w14:paraId="779FEB74" w14:textId="77777777" w:rsidR="00B330CA" w:rsidRPr="00E03D2C" w:rsidRDefault="00B330CA" w:rsidP="00DA5473">
            <w:pPr>
              <w:pStyle w:val="TableReference"/>
              <w:tabs>
                <w:tab w:val="left" w:pos="3306"/>
              </w:tabs>
              <w:spacing w:before="40"/>
              <w:rPr>
                <w:rFonts w:cs="Calibri"/>
                <w:color w:val="7030A0"/>
                <w:sz w:val="14"/>
              </w:rPr>
            </w:pPr>
          </w:p>
          <w:p w14:paraId="4D18BDD2" w14:textId="34486C45" w:rsidR="00B330CA" w:rsidRPr="00E03D2C" w:rsidRDefault="00B330CA" w:rsidP="00DA5473">
            <w:pPr>
              <w:pStyle w:val="TableReference"/>
              <w:tabs>
                <w:tab w:val="left" w:pos="3306"/>
              </w:tabs>
              <w:spacing w:before="40"/>
              <w:rPr>
                <w:rFonts w:cs="Calibri"/>
                <w:color w:val="7030A0"/>
                <w:sz w:val="14"/>
              </w:rPr>
            </w:pPr>
          </w:p>
        </w:tc>
        <w:tc>
          <w:tcPr>
            <w:tcW w:w="6237" w:type="dxa"/>
            <w:tcBorders>
              <w:top w:val="nil"/>
              <w:left w:val="single" w:sz="2" w:space="0" w:color="auto"/>
              <w:bottom w:val="nil"/>
              <w:right w:val="nil"/>
            </w:tcBorders>
            <w:vAlign w:val="bottom"/>
          </w:tcPr>
          <w:p w14:paraId="493704B8" w14:textId="4CC1723D" w:rsidR="00B330CA" w:rsidRPr="00E03D2C" w:rsidRDefault="00B330CA" w:rsidP="00DA5473">
            <w:pPr>
              <w:pStyle w:val="TableText"/>
              <w:tabs>
                <w:tab w:val="left" w:pos="3306"/>
              </w:tabs>
              <w:rPr>
                <w:rFonts w:cs="Calibri"/>
                <w:b/>
                <w:iCs/>
              </w:rPr>
            </w:pPr>
          </w:p>
        </w:tc>
        <w:tc>
          <w:tcPr>
            <w:tcW w:w="1417" w:type="dxa"/>
            <w:tcBorders>
              <w:top w:val="nil"/>
              <w:left w:val="nil"/>
              <w:bottom w:val="nil"/>
              <w:right w:val="nil"/>
            </w:tcBorders>
            <w:vAlign w:val="bottom"/>
          </w:tcPr>
          <w:p w14:paraId="5EBCE21B" w14:textId="77777777" w:rsidR="00B330CA" w:rsidRPr="00E03D2C" w:rsidRDefault="00B330CA" w:rsidP="00DA5473">
            <w:pPr>
              <w:pStyle w:val="TableTitle"/>
              <w:tabs>
                <w:tab w:val="left" w:pos="3306"/>
              </w:tabs>
              <w:rPr>
                <w:rFonts w:cs="Calibri"/>
              </w:rPr>
            </w:pPr>
            <w:r w:rsidRPr="00E03D2C">
              <w:rPr>
                <w:rFonts w:cs="Calibri"/>
              </w:rPr>
              <w:t>2022</w:t>
            </w:r>
          </w:p>
          <w:p w14:paraId="0F3B08CB" w14:textId="77777777" w:rsidR="00B330CA" w:rsidRPr="00E03D2C" w:rsidRDefault="00B330CA" w:rsidP="00DA5473">
            <w:pPr>
              <w:pStyle w:val="TableTitle"/>
              <w:tabs>
                <w:tab w:val="left" w:pos="3306"/>
              </w:tabs>
              <w:rPr>
                <w:rFonts w:cs="Calibri"/>
              </w:rPr>
            </w:pPr>
            <w:r w:rsidRPr="00E03D2C">
              <w:rPr>
                <w:rFonts w:cs="Calibri"/>
              </w:rPr>
              <w:t>$’000</w:t>
            </w:r>
          </w:p>
        </w:tc>
        <w:tc>
          <w:tcPr>
            <w:tcW w:w="1276" w:type="dxa"/>
            <w:tcBorders>
              <w:top w:val="nil"/>
              <w:left w:val="nil"/>
              <w:bottom w:val="nil"/>
            </w:tcBorders>
            <w:vAlign w:val="bottom"/>
          </w:tcPr>
          <w:p w14:paraId="66CD0532" w14:textId="77777777" w:rsidR="00B330CA" w:rsidRDefault="00B330CA" w:rsidP="00DA5473">
            <w:pPr>
              <w:pStyle w:val="TableTitle"/>
              <w:tabs>
                <w:tab w:val="left" w:pos="3306"/>
              </w:tabs>
              <w:rPr>
                <w:rFonts w:cs="Calibri"/>
              </w:rPr>
            </w:pPr>
            <w:r w:rsidRPr="00E03D2C">
              <w:rPr>
                <w:rFonts w:cs="Calibri"/>
              </w:rPr>
              <w:t>2021</w:t>
            </w:r>
            <w:r>
              <w:rPr>
                <w:rFonts w:cs="Calibri"/>
              </w:rPr>
              <w:t xml:space="preserve">   </w:t>
            </w:r>
            <w:r w:rsidRPr="00E03D2C">
              <w:rPr>
                <w:rFonts w:cs="Calibri"/>
              </w:rPr>
              <w:t xml:space="preserve"> </w:t>
            </w:r>
          </w:p>
          <w:p w14:paraId="624D4ADE" w14:textId="77777777" w:rsidR="00B330CA" w:rsidRPr="00E03D2C" w:rsidRDefault="00B330CA" w:rsidP="00DA5473">
            <w:pPr>
              <w:pStyle w:val="TableTitle"/>
              <w:tabs>
                <w:tab w:val="left" w:pos="3306"/>
              </w:tabs>
              <w:rPr>
                <w:rFonts w:cs="Calibri"/>
              </w:rPr>
            </w:pPr>
            <w:r w:rsidRPr="00E03D2C">
              <w:rPr>
                <w:rFonts w:cs="Calibri"/>
              </w:rPr>
              <w:t>$’000</w:t>
            </w:r>
          </w:p>
        </w:tc>
      </w:tr>
      <w:tr w:rsidR="009025F5" w:rsidRPr="00CF7E1B" w14:paraId="5A64475A" w14:textId="77777777" w:rsidTr="0004564D">
        <w:trPr>
          <w:trHeight w:val="20"/>
        </w:trPr>
        <w:tc>
          <w:tcPr>
            <w:tcW w:w="1560" w:type="dxa"/>
            <w:tcBorders>
              <w:top w:val="nil"/>
              <w:left w:val="single" w:sz="2" w:space="0" w:color="auto"/>
              <w:bottom w:val="nil"/>
              <w:right w:val="single" w:sz="2" w:space="0" w:color="auto"/>
            </w:tcBorders>
          </w:tcPr>
          <w:p w14:paraId="09F33F1C" w14:textId="36057798" w:rsidR="009025F5" w:rsidRPr="00E03D2C" w:rsidRDefault="009025F5" w:rsidP="009025F5">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tcBorders>
            <w:vAlign w:val="bottom"/>
          </w:tcPr>
          <w:p w14:paraId="53C8D370" w14:textId="5ECB0762" w:rsidR="009025F5" w:rsidRPr="00E03D2C" w:rsidRDefault="00F9354D" w:rsidP="009025F5">
            <w:pPr>
              <w:pStyle w:val="TableText"/>
              <w:tabs>
                <w:tab w:val="left" w:pos="3306"/>
              </w:tabs>
              <w:spacing w:before="240"/>
              <w:rPr>
                <w:rFonts w:cs="Calibri"/>
                <w:b/>
                <w:bCs/>
                <w:strike/>
              </w:rPr>
            </w:pPr>
            <w:r w:rsidRPr="00E03D2C">
              <w:rPr>
                <w:rFonts w:cs="Calibri"/>
                <w:b/>
              </w:rPr>
              <w:t>PPP</w:t>
            </w:r>
            <w:r w:rsidRPr="00E03D2C">
              <w:rPr>
                <w:b/>
                <w:bCs/>
              </w:rPr>
              <w:t xml:space="preserve"> </w:t>
            </w:r>
            <w:r w:rsidR="009025F5" w:rsidRPr="00E03D2C">
              <w:rPr>
                <w:b/>
                <w:bCs/>
              </w:rPr>
              <w:t>Operational Commitments</w:t>
            </w:r>
          </w:p>
        </w:tc>
      </w:tr>
      <w:tr w:rsidR="009025F5" w:rsidRPr="00CF7E1B" w14:paraId="7DA946FA" w14:textId="77777777" w:rsidTr="0004564D">
        <w:trPr>
          <w:trHeight w:val="20"/>
        </w:trPr>
        <w:tc>
          <w:tcPr>
            <w:tcW w:w="1560" w:type="dxa"/>
            <w:tcBorders>
              <w:top w:val="nil"/>
              <w:left w:val="single" w:sz="2" w:space="0" w:color="auto"/>
              <w:bottom w:val="nil"/>
              <w:right w:val="single" w:sz="2" w:space="0" w:color="auto"/>
            </w:tcBorders>
          </w:tcPr>
          <w:p w14:paraId="3AA1E800" w14:textId="77777777" w:rsidR="009025F5" w:rsidRPr="00E03D2C" w:rsidRDefault="009025F5" w:rsidP="009025F5">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tcBorders>
            <w:vAlign w:val="bottom"/>
          </w:tcPr>
          <w:p w14:paraId="704E0F2E" w14:textId="5242979A" w:rsidR="009025F5" w:rsidRPr="00E03D2C" w:rsidRDefault="009025F5" w:rsidP="009025F5">
            <w:pPr>
              <w:pStyle w:val="TableText"/>
              <w:tabs>
                <w:tab w:val="left" w:pos="3306"/>
              </w:tabs>
              <w:rPr>
                <w:rFonts w:cs="Calibri"/>
                <w:b/>
                <w:bCs/>
                <w:strike/>
              </w:rPr>
            </w:pPr>
            <w:r w:rsidRPr="00E03D2C">
              <w:t>Payable:</w:t>
            </w:r>
          </w:p>
        </w:tc>
      </w:tr>
      <w:tr w:rsidR="009025F5" w:rsidRPr="00CF7E1B" w14:paraId="31944FBC" w14:textId="77777777" w:rsidTr="0004564D">
        <w:trPr>
          <w:trHeight w:val="20"/>
        </w:trPr>
        <w:tc>
          <w:tcPr>
            <w:tcW w:w="1560" w:type="dxa"/>
            <w:tcBorders>
              <w:top w:val="nil"/>
              <w:left w:val="single" w:sz="2" w:space="0" w:color="auto"/>
              <w:bottom w:val="nil"/>
              <w:right w:val="single" w:sz="2" w:space="0" w:color="auto"/>
            </w:tcBorders>
          </w:tcPr>
          <w:p w14:paraId="291E6C02" w14:textId="77777777" w:rsidR="009025F5" w:rsidRPr="00E03D2C" w:rsidRDefault="009025F5" w:rsidP="009025F5">
            <w:pPr>
              <w:pStyle w:val="TableReference"/>
              <w:tabs>
                <w:tab w:val="left" w:pos="3306"/>
              </w:tabs>
              <w:spacing w:before="40"/>
              <w:rPr>
                <w:rFonts w:cs="Calibri"/>
                <w:color w:val="7030A0"/>
                <w:sz w:val="14"/>
              </w:rPr>
            </w:pPr>
          </w:p>
        </w:tc>
        <w:tc>
          <w:tcPr>
            <w:tcW w:w="6237" w:type="dxa"/>
            <w:tcBorders>
              <w:top w:val="nil"/>
              <w:left w:val="single" w:sz="2" w:space="0" w:color="auto"/>
              <w:bottom w:val="nil"/>
            </w:tcBorders>
            <w:vAlign w:val="bottom"/>
          </w:tcPr>
          <w:p w14:paraId="2BA3E228" w14:textId="7DFF0EFD" w:rsidR="009025F5" w:rsidRPr="00E03D2C" w:rsidRDefault="009025F5" w:rsidP="009025F5">
            <w:pPr>
              <w:pStyle w:val="TableText"/>
              <w:tabs>
                <w:tab w:val="left" w:pos="3306"/>
              </w:tabs>
              <w:rPr>
                <w:rFonts w:cs="Calibri"/>
                <w:b/>
                <w:bCs/>
                <w:strike/>
              </w:rPr>
            </w:pPr>
            <w:r w:rsidRPr="00E03D2C">
              <w:t>Within one year</w:t>
            </w:r>
          </w:p>
        </w:tc>
        <w:tc>
          <w:tcPr>
            <w:tcW w:w="1417" w:type="dxa"/>
            <w:tcBorders>
              <w:top w:val="nil"/>
              <w:bottom w:val="nil"/>
            </w:tcBorders>
            <w:vAlign w:val="bottom"/>
          </w:tcPr>
          <w:p w14:paraId="4927F105" w14:textId="77777777" w:rsidR="009025F5" w:rsidRPr="00E03D2C" w:rsidRDefault="009025F5" w:rsidP="009025F5">
            <w:pPr>
              <w:pStyle w:val="TableText"/>
              <w:tabs>
                <w:tab w:val="left" w:pos="3306"/>
              </w:tabs>
              <w:rPr>
                <w:rFonts w:cs="Calibri"/>
                <w:b/>
                <w:bCs/>
                <w:strike/>
              </w:rPr>
            </w:pPr>
          </w:p>
        </w:tc>
        <w:tc>
          <w:tcPr>
            <w:tcW w:w="1276" w:type="dxa"/>
            <w:tcBorders>
              <w:top w:val="nil"/>
              <w:bottom w:val="nil"/>
            </w:tcBorders>
            <w:vAlign w:val="bottom"/>
          </w:tcPr>
          <w:p w14:paraId="0F224A98" w14:textId="54D28778" w:rsidR="009025F5" w:rsidRPr="00E03D2C" w:rsidRDefault="009025F5" w:rsidP="009025F5">
            <w:pPr>
              <w:pStyle w:val="TableText"/>
              <w:tabs>
                <w:tab w:val="left" w:pos="3306"/>
              </w:tabs>
              <w:rPr>
                <w:rFonts w:cs="Calibri"/>
                <w:b/>
                <w:bCs/>
                <w:strike/>
              </w:rPr>
            </w:pPr>
          </w:p>
        </w:tc>
      </w:tr>
      <w:tr w:rsidR="009025F5" w:rsidRPr="00CF7E1B" w14:paraId="290878C9" w14:textId="77777777" w:rsidTr="0004564D">
        <w:trPr>
          <w:trHeight w:val="20"/>
        </w:trPr>
        <w:tc>
          <w:tcPr>
            <w:tcW w:w="1560" w:type="dxa"/>
            <w:tcBorders>
              <w:top w:val="nil"/>
              <w:left w:val="single" w:sz="2" w:space="0" w:color="auto"/>
              <w:bottom w:val="nil"/>
              <w:right w:val="single" w:sz="2" w:space="0" w:color="auto"/>
            </w:tcBorders>
          </w:tcPr>
          <w:p w14:paraId="5D3AA8CA" w14:textId="77777777" w:rsidR="009025F5" w:rsidRPr="00E03D2C" w:rsidRDefault="009025F5" w:rsidP="009025F5">
            <w:pPr>
              <w:pStyle w:val="TableReference"/>
              <w:tabs>
                <w:tab w:val="left" w:pos="3306"/>
              </w:tabs>
              <w:spacing w:before="40"/>
              <w:rPr>
                <w:rFonts w:cs="Calibri"/>
                <w:color w:val="7030A0"/>
                <w:sz w:val="14"/>
              </w:rPr>
            </w:pPr>
          </w:p>
        </w:tc>
        <w:tc>
          <w:tcPr>
            <w:tcW w:w="6237" w:type="dxa"/>
            <w:tcBorders>
              <w:top w:val="nil"/>
              <w:left w:val="single" w:sz="2" w:space="0" w:color="auto"/>
              <w:bottom w:val="nil"/>
            </w:tcBorders>
            <w:vAlign w:val="bottom"/>
          </w:tcPr>
          <w:p w14:paraId="2E6A47AB" w14:textId="4C7F93D0" w:rsidR="009025F5" w:rsidRPr="00E03D2C" w:rsidRDefault="009025F5" w:rsidP="009025F5">
            <w:pPr>
              <w:pStyle w:val="TableText"/>
              <w:tabs>
                <w:tab w:val="left" w:pos="3306"/>
              </w:tabs>
              <w:rPr>
                <w:rFonts w:cs="Calibri"/>
                <w:b/>
                <w:bCs/>
                <w:strike/>
              </w:rPr>
            </w:pPr>
            <w:r w:rsidRPr="00E03D2C">
              <w:t>Later than one year but not later than five years</w:t>
            </w:r>
          </w:p>
        </w:tc>
        <w:tc>
          <w:tcPr>
            <w:tcW w:w="1417" w:type="dxa"/>
            <w:tcBorders>
              <w:top w:val="nil"/>
              <w:bottom w:val="nil"/>
            </w:tcBorders>
            <w:vAlign w:val="bottom"/>
          </w:tcPr>
          <w:p w14:paraId="3E4C3AD8" w14:textId="77777777" w:rsidR="009025F5" w:rsidRPr="00E03D2C" w:rsidRDefault="009025F5" w:rsidP="009025F5">
            <w:pPr>
              <w:pStyle w:val="TableText"/>
              <w:tabs>
                <w:tab w:val="left" w:pos="3306"/>
              </w:tabs>
              <w:rPr>
                <w:rFonts w:cs="Calibri"/>
                <w:b/>
                <w:bCs/>
                <w:strike/>
              </w:rPr>
            </w:pPr>
          </w:p>
        </w:tc>
        <w:tc>
          <w:tcPr>
            <w:tcW w:w="1276" w:type="dxa"/>
            <w:tcBorders>
              <w:top w:val="nil"/>
              <w:bottom w:val="nil"/>
            </w:tcBorders>
            <w:vAlign w:val="bottom"/>
          </w:tcPr>
          <w:p w14:paraId="0D7A5480" w14:textId="77777777" w:rsidR="009025F5" w:rsidRPr="00E03D2C" w:rsidRDefault="009025F5" w:rsidP="009025F5">
            <w:pPr>
              <w:pStyle w:val="TableText"/>
              <w:tabs>
                <w:tab w:val="left" w:pos="3306"/>
              </w:tabs>
              <w:rPr>
                <w:rFonts w:cs="Calibri"/>
                <w:b/>
                <w:bCs/>
                <w:strike/>
              </w:rPr>
            </w:pPr>
          </w:p>
        </w:tc>
      </w:tr>
      <w:tr w:rsidR="009025F5" w:rsidRPr="00CF7E1B" w14:paraId="2E868D6F" w14:textId="77777777" w:rsidTr="0004564D">
        <w:trPr>
          <w:trHeight w:val="20"/>
        </w:trPr>
        <w:tc>
          <w:tcPr>
            <w:tcW w:w="1560" w:type="dxa"/>
            <w:tcBorders>
              <w:top w:val="nil"/>
              <w:left w:val="single" w:sz="2" w:space="0" w:color="auto"/>
              <w:bottom w:val="nil"/>
              <w:right w:val="single" w:sz="2" w:space="0" w:color="auto"/>
            </w:tcBorders>
          </w:tcPr>
          <w:p w14:paraId="3632F33E" w14:textId="77777777" w:rsidR="009025F5" w:rsidRPr="00E03D2C" w:rsidRDefault="009025F5" w:rsidP="009025F5">
            <w:pPr>
              <w:pStyle w:val="TableReference"/>
              <w:tabs>
                <w:tab w:val="left" w:pos="3306"/>
              </w:tabs>
              <w:spacing w:before="40"/>
              <w:rPr>
                <w:rFonts w:cs="Calibri"/>
                <w:color w:val="7030A0"/>
                <w:sz w:val="14"/>
              </w:rPr>
            </w:pPr>
          </w:p>
        </w:tc>
        <w:tc>
          <w:tcPr>
            <w:tcW w:w="6237" w:type="dxa"/>
            <w:tcBorders>
              <w:top w:val="nil"/>
              <w:left w:val="single" w:sz="2" w:space="0" w:color="auto"/>
              <w:bottom w:val="nil"/>
            </w:tcBorders>
            <w:vAlign w:val="bottom"/>
          </w:tcPr>
          <w:p w14:paraId="5BAA6BBC" w14:textId="0958C769" w:rsidR="009025F5" w:rsidRPr="00E03D2C" w:rsidRDefault="009025F5" w:rsidP="009025F5">
            <w:pPr>
              <w:pStyle w:val="TableText"/>
              <w:tabs>
                <w:tab w:val="left" w:pos="3306"/>
              </w:tabs>
              <w:rPr>
                <w:rFonts w:cs="Calibri"/>
                <w:b/>
                <w:bCs/>
                <w:strike/>
              </w:rPr>
            </w:pPr>
            <w:r w:rsidRPr="00E03D2C">
              <w:t>Later than five years</w:t>
            </w:r>
          </w:p>
        </w:tc>
        <w:tc>
          <w:tcPr>
            <w:tcW w:w="1417" w:type="dxa"/>
            <w:tcBorders>
              <w:top w:val="nil"/>
              <w:bottom w:val="single" w:sz="4" w:space="0" w:color="auto"/>
            </w:tcBorders>
            <w:vAlign w:val="bottom"/>
          </w:tcPr>
          <w:p w14:paraId="33F3FFD0" w14:textId="77777777" w:rsidR="009025F5" w:rsidRPr="00E03D2C" w:rsidRDefault="009025F5" w:rsidP="009025F5">
            <w:pPr>
              <w:pStyle w:val="TableText"/>
              <w:tabs>
                <w:tab w:val="left" w:pos="3306"/>
              </w:tabs>
              <w:rPr>
                <w:rFonts w:cs="Calibri"/>
                <w:b/>
                <w:bCs/>
                <w:strike/>
              </w:rPr>
            </w:pPr>
          </w:p>
        </w:tc>
        <w:tc>
          <w:tcPr>
            <w:tcW w:w="1276" w:type="dxa"/>
            <w:tcBorders>
              <w:top w:val="nil"/>
              <w:bottom w:val="single" w:sz="4" w:space="0" w:color="auto"/>
            </w:tcBorders>
            <w:vAlign w:val="bottom"/>
          </w:tcPr>
          <w:p w14:paraId="32A99359" w14:textId="77777777" w:rsidR="009025F5" w:rsidRPr="00E03D2C" w:rsidRDefault="009025F5" w:rsidP="009025F5">
            <w:pPr>
              <w:pStyle w:val="TableText"/>
              <w:tabs>
                <w:tab w:val="left" w:pos="3306"/>
              </w:tabs>
              <w:rPr>
                <w:rFonts w:cs="Calibri"/>
                <w:b/>
                <w:bCs/>
                <w:strike/>
              </w:rPr>
            </w:pPr>
          </w:p>
        </w:tc>
      </w:tr>
      <w:tr w:rsidR="009025F5" w:rsidRPr="00CF7E1B" w14:paraId="06261874" w14:textId="77777777" w:rsidTr="0004564D">
        <w:trPr>
          <w:trHeight w:val="20"/>
        </w:trPr>
        <w:tc>
          <w:tcPr>
            <w:tcW w:w="1560" w:type="dxa"/>
            <w:tcBorders>
              <w:top w:val="nil"/>
              <w:left w:val="single" w:sz="2" w:space="0" w:color="auto"/>
              <w:bottom w:val="nil"/>
              <w:right w:val="single" w:sz="2" w:space="0" w:color="auto"/>
            </w:tcBorders>
          </w:tcPr>
          <w:p w14:paraId="5E58B750" w14:textId="77777777" w:rsidR="009025F5" w:rsidRPr="00E03D2C" w:rsidRDefault="009025F5" w:rsidP="009025F5">
            <w:pPr>
              <w:pStyle w:val="TableReference"/>
              <w:tabs>
                <w:tab w:val="left" w:pos="3306"/>
              </w:tabs>
              <w:spacing w:before="40"/>
              <w:rPr>
                <w:rFonts w:cs="Calibri"/>
                <w:color w:val="7030A0"/>
                <w:sz w:val="14"/>
              </w:rPr>
            </w:pPr>
          </w:p>
        </w:tc>
        <w:tc>
          <w:tcPr>
            <w:tcW w:w="6237" w:type="dxa"/>
            <w:tcBorders>
              <w:top w:val="nil"/>
              <w:left w:val="single" w:sz="2" w:space="0" w:color="auto"/>
              <w:bottom w:val="nil"/>
            </w:tcBorders>
            <w:vAlign w:val="bottom"/>
          </w:tcPr>
          <w:p w14:paraId="0C7D502F" w14:textId="702565F1" w:rsidR="009025F5" w:rsidRPr="00E03D2C" w:rsidRDefault="009025F5" w:rsidP="009025F5">
            <w:pPr>
              <w:pStyle w:val="TableText"/>
              <w:tabs>
                <w:tab w:val="left" w:pos="3306"/>
              </w:tabs>
              <w:rPr>
                <w:rFonts w:cs="Calibri"/>
                <w:b/>
                <w:bCs/>
                <w:strike/>
              </w:rPr>
            </w:pPr>
            <w:r w:rsidRPr="00E03D2C">
              <w:rPr>
                <w:b/>
                <w:bCs/>
              </w:rPr>
              <w:t>Total Service Concession Arrangement Operational Commitments</w:t>
            </w:r>
          </w:p>
        </w:tc>
        <w:tc>
          <w:tcPr>
            <w:tcW w:w="1417" w:type="dxa"/>
            <w:tcBorders>
              <w:top w:val="single" w:sz="4" w:space="0" w:color="auto"/>
              <w:bottom w:val="double" w:sz="4" w:space="0" w:color="auto"/>
            </w:tcBorders>
            <w:vAlign w:val="bottom"/>
          </w:tcPr>
          <w:p w14:paraId="3E79BF91" w14:textId="77777777" w:rsidR="009025F5" w:rsidRPr="00E03D2C" w:rsidRDefault="009025F5" w:rsidP="009025F5">
            <w:pPr>
              <w:pStyle w:val="TableText"/>
              <w:tabs>
                <w:tab w:val="left" w:pos="3306"/>
              </w:tabs>
              <w:rPr>
                <w:rFonts w:cs="Calibri"/>
                <w:b/>
                <w:bCs/>
                <w:strike/>
              </w:rPr>
            </w:pPr>
          </w:p>
        </w:tc>
        <w:tc>
          <w:tcPr>
            <w:tcW w:w="1276" w:type="dxa"/>
            <w:tcBorders>
              <w:top w:val="single" w:sz="4" w:space="0" w:color="auto"/>
              <w:bottom w:val="double" w:sz="4" w:space="0" w:color="auto"/>
            </w:tcBorders>
            <w:vAlign w:val="bottom"/>
          </w:tcPr>
          <w:p w14:paraId="5FB6E2C2" w14:textId="77777777" w:rsidR="009025F5" w:rsidRPr="00E03D2C" w:rsidRDefault="009025F5" w:rsidP="009025F5">
            <w:pPr>
              <w:pStyle w:val="TableText"/>
              <w:tabs>
                <w:tab w:val="left" w:pos="3306"/>
              </w:tabs>
              <w:rPr>
                <w:rFonts w:cs="Calibri"/>
                <w:b/>
                <w:bCs/>
                <w:strike/>
              </w:rPr>
            </w:pPr>
          </w:p>
        </w:tc>
      </w:tr>
      <w:tr w:rsidR="00F9354D" w:rsidRPr="00CF7E1B" w14:paraId="620C25EE" w14:textId="77777777" w:rsidTr="0004564D">
        <w:trPr>
          <w:trHeight w:val="20"/>
        </w:trPr>
        <w:tc>
          <w:tcPr>
            <w:tcW w:w="1560" w:type="dxa"/>
            <w:tcBorders>
              <w:top w:val="nil"/>
              <w:left w:val="single" w:sz="2" w:space="0" w:color="auto"/>
              <w:bottom w:val="nil"/>
              <w:right w:val="single" w:sz="2" w:space="0" w:color="auto"/>
            </w:tcBorders>
          </w:tcPr>
          <w:p w14:paraId="4C67D72C" w14:textId="77777777" w:rsidR="00F9354D" w:rsidRPr="00E03D2C" w:rsidRDefault="00F9354D" w:rsidP="00F9354D">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tcBorders>
            <w:vAlign w:val="bottom"/>
          </w:tcPr>
          <w:p w14:paraId="46B67DFD" w14:textId="77777777" w:rsidR="00F9354D" w:rsidRPr="00E03D2C" w:rsidRDefault="00F9354D" w:rsidP="00F9354D">
            <w:pPr>
              <w:pStyle w:val="TableText"/>
              <w:tabs>
                <w:tab w:val="left" w:pos="3306"/>
              </w:tabs>
              <w:rPr>
                <w:rFonts w:cs="Calibri"/>
                <w:b/>
                <w:bCs/>
                <w:strike/>
              </w:rPr>
            </w:pPr>
          </w:p>
        </w:tc>
      </w:tr>
      <w:tr w:rsidR="00F9354D" w:rsidRPr="00CF7E1B" w14:paraId="52F84675" w14:textId="77777777" w:rsidTr="0004564D">
        <w:trPr>
          <w:trHeight w:val="20"/>
        </w:trPr>
        <w:tc>
          <w:tcPr>
            <w:tcW w:w="1560" w:type="dxa"/>
            <w:tcBorders>
              <w:top w:val="nil"/>
              <w:left w:val="single" w:sz="2" w:space="0" w:color="auto"/>
              <w:bottom w:val="nil"/>
              <w:right w:val="single" w:sz="2" w:space="0" w:color="auto"/>
            </w:tcBorders>
          </w:tcPr>
          <w:p w14:paraId="796EDB54" w14:textId="77777777" w:rsidR="00F9354D" w:rsidRPr="00E03D2C" w:rsidRDefault="00F9354D" w:rsidP="00F9354D">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tcBorders>
            <w:vAlign w:val="bottom"/>
          </w:tcPr>
          <w:p w14:paraId="2CE11BE7" w14:textId="77777777" w:rsidR="00F9354D" w:rsidRPr="00E03D2C" w:rsidRDefault="00F9354D" w:rsidP="00F9354D">
            <w:pPr>
              <w:pStyle w:val="TableText"/>
              <w:jc w:val="both"/>
              <w:rPr>
                <w:rFonts w:cs="Calibri"/>
              </w:rPr>
            </w:pPr>
            <w:r w:rsidRPr="00E03D2C">
              <w:rPr>
                <w:rFonts w:cs="Calibri"/>
              </w:rPr>
              <w:t>All amounts shown in the commitment note are inclusive of GST.</w:t>
            </w:r>
          </w:p>
        </w:tc>
      </w:tr>
      <w:tr w:rsidR="0077399A" w:rsidRPr="00CF7E1B" w14:paraId="46B580FA" w14:textId="77777777" w:rsidTr="0004564D">
        <w:trPr>
          <w:trHeight w:val="20"/>
        </w:trPr>
        <w:tc>
          <w:tcPr>
            <w:tcW w:w="1560" w:type="dxa"/>
            <w:tcBorders>
              <w:top w:val="nil"/>
              <w:left w:val="single" w:sz="2" w:space="0" w:color="auto"/>
              <w:bottom w:val="nil"/>
              <w:right w:val="single" w:sz="2" w:space="0" w:color="auto"/>
            </w:tcBorders>
          </w:tcPr>
          <w:p w14:paraId="0050F228" w14:textId="77777777" w:rsidR="0077399A" w:rsidRPr="00E03D2C" w:rsidRDefault="0077399A" w:rsidP="00F9354D">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tcBorders>
            <w:vAlign w:val="bottom"/>
          </w:tcPr>
          <w:p w14:paraId="3C6696D7" w14:textId="77777777" w:rsidR="0077399A" w:rsidRPr="00CF7E1B" w:rsidRDefault="0077399A" w:rsidP="00F9354D">
            <w:pPr>
              <w:pStyle w:val="TableText"/>
              <w:jc w:val="both"/>
              <w:rPr>
                <w:rFonts w:cs="Calibri"/>
              </w:rPr>
            </w:pPr>
          </w:p>
        </w:tc>
      </w:tr>
      <w:tr w:rsidR="00632BD7" w:rsidRPr="00CF7E1B" w14:paraId="396EE2FB" w14:textId="77777777" w:rsidTr="0004564D">
        <w:trPr>
          <w:trHeight w:val="20"/>
        </w:trPr>
        <w:tc>
          <w:tcPr>
            <w:tcW w:w="1560" w:type="dxa"/>
            <w:tcBorders>
              <w:left w:val="single" w:sz="2" w:space="0" w:color="auto"/>
              <w:right w:val="single" w:sz="2" w:space="0" w:color="auto"/>
            </w:tcBorders>
          </w:tcPr>
          <w:p w14:paraId="4902EC94" w14:textId="25E98D9B" w:rsidR="00632BD7" w:rsidRPr="00E03D2C" w:rsidRDefault="004B3E25" w:rsidP="00B330CA">
            <w:pPr>
              <w:pStyle w:val="TableReference"/>
              <w:tabs>
                <w:tab w:val="left" w:pos="3306"/>
              </w:tabs>
              <w:spacing w:after="240"/>
              <w:rPr>
                <w:rFonts w:cs="Calibri"/>
                <w:b/>
                <w:color w:val="7030A0"/>
                <w:sz w:val="22"/>
                <w:szCs w:val="22"/>
              </w:rPr>
            </w:pPr>
            <w:r w:rsidRPr="00E03D2C">
              <w:rPr>
                <w:color w:val="7030A0"/>
              </w:rPr>
              <w:br w:type="page"/>
            </w:r>
          </w:p>
        </w:tc>
        <w:tc>
          <w:tcPr>
            <w:tcW w:w="8930" w:type="dxa"/>
            <w:gridSpan w:val="3"/>
            <w:tcBorders>
              <w:left w:val="single" w:sz="2" w:space="0" w:color="auto"/>
            </w:tcBorders>
            <w:shd w:val="clear" w:color="auto" w:fill="7030A0"/>
            <w:vAlign w:val="bottom"/>
          </w:tcPr>
          <w:p w14:paraId="103AC39C" w14:textId="189FDB57" w:rsidR="00632BD7" w:rsidRPr="00F33E86" w:rsidRDefault="00643401" w:rsidP="00B330CA">
            <w:pPr>
              <w:pStyle w:val="CommentaryTitle"/>
              <w:pageBreakBefore w:val="0"/>
              <w:tabs>
                <w:tab w:val="left" w:pos="3306"/>
              </w:tabs>
              <w:spacing w:before="0" w:after="240"/>
              <w:rPr>
                <w:rFonts w:cs="Calibri"/>
                <w:color w:val="FFFFFF" w:themeColor="background1"/>
                <w:sz w:val="28"/>
                <w:szCs w:val="28"/>
              </w:rPr>
            </w:pPr>
            <w:bookmarkStart w:id="704" w:name="_Toc50440391"/>
            <w:bookmarkStart w:id="705" w:name="_Toc163106382"/>
            <w:r w:rsidRPr="00F33E86">
              <w:rPr>
                <w:rFonts w:cs="Calibri"/>
                <w:color w:val="FFFFFF" w:themeColor="background1"/>
                <w:sz w:val="28"/>
                <w:szCs w:val="28"/>
              </w:rPr>
              <w:t xml:space="preserve">Commentary </w:t>
            </w:r>
            <w:r w:rsidRPr="00F33E86">
              <w:rPr>
                <w:rFonts w:cs="Calibri"/>
                <w:color w:val="FFFFFF" w:themeColor="background1"/>
                <w:sz w:val="28"/>
                <w:szCs w:val="28"/>
              </w:rPr>
              <w:sym w:font="Symbol" w:char="F02D"/>
            </w:r>
            <w:r w:rsidRPr="00F33E86">
              <w:rPr>
                <w:rFonts w:cs="Calibri"/>
                <w:color w:val="FFFFFF" w:themeColor="background1"/>
                <w:sz w:val="28"/>
                <w:szCs w:val="28"/>
              </w:rPr>
              <w:t xml:space="preserve"> Note </w:t>
            </w:r>
            <w:r w:rsidR="0007497D" w:rsidRPr="00F33E86">
              <w:rPr>
                <w:rFonts w:cs="Calibri"/>
                <w:color w:val="FFFFFF" w:themeColor="background1"/>
                <w:sz w:val="28"/>
                <w:szCs w:val="28"/>
              </w:rPr>
              <w:t>32</w:t>
            </w:r>
            <w:r w:rsidRPr="00F33E86">
              <w:rPr>
                <w:rFonts w:cs="Calibri"/>
                <w:color w:val="FFFFFF" w:themeColor="background1"/>
                <w:sz w:val="28"/>
                <w:szCs w:val="28"/>
              </w:rPr>
              <w:t>:</w:t>
            </w:r>
            <w:r w:rsidR="000C4F52" w:rsidRPr="00F33E86">
              <w:rPr>
                <w:rFonts w:cs="Calibri"/>
                <w:color w:val="FFFFFF" w:themeColor="background1"/>
                <w:sz w:val="28"/>
                <w:szCs w:val="28"/>
              </w:rPr>
              <w:t xml:space="preserve"> Capital and Other Expenditure</w:t>
            </w:r>
            <w:r w:rsidRPr="00F33E86">
              <w:rPr>
                <w:rFonts w:cs="Calibri"/>
                <w:color w:val="FFFFFF" w:themeColor="background1"/>
                <w:sz w:val="28"/>
                <w:szCs w:val="28"/>
              </w:rPr>
              <w:t xml:space="preserve"> Commitments</w:t>
            </w:r>
            <w:bookmarkEnd w:id="704"/>
            <w:bookmarkEnd w:id="705"/>
          </w:p>
        </w:tc>
      </w:tr>
      <w:tr w:rsidR="00632BD7" w:rsidRPr="00CF7E1B" w14:paraId="1DDCDF70" w14:textId="77777777" w:rsidTr="0004564D">
        <w:tblPrEx>
          <w:shd w:val="clear" w:color="auto" w:fill="CCFFCC"/>
        </w:tblPrEx>
        <w:trPr>
          <w:trHeight w:val="283"/>
        </w:trPr>
        <w:tc>
          <w:tcPr>
            <w:tcW w:w="1560" w:type="dxa"/>
            <w:tcBorders>
              <w:left w:val="single" w:sz="2" w:space="0" w:color="auto"/>
              <w:right w:val="single" w:sz="2" w:space="0" w:color="auto"/>
            </w:tcBorders>
          </w:tcPr>
          <w:p w14:paraId="6E069092" w14:textId="77777777" w:rsidR="00632BD7" w:rsidRPr="00E03D2C" w:rsidRDefault="00632BD7">
            <w:pPr>
              <w:pStyle w:val="TableReference"/>
              <w:tabs>
                <w:tab w:val="left" w:pos="3306"/>
              </w:tabs>
              <w:rPr>
                <w:rFonts w:cs="Calibri"/>
                <w:color w:val="7030A0"/>
                <w:sz w:val="14"/>
              </w:rPr>
            </w:pPr>
          </w:p>
          <w:p w14:paraId="0CE525A2" w14:textId="77777777" w:rsidR="00632BD7" w:rsidRPr="00E03D2C" w:rsidRDefault="00632BD7">
            <w:pPr>
              <w:pStyle w:val="TableReference"/>
              <w:tabs>
                <w:tab w:val="left" w:pos="3306"/>
              </w:tabs>
              <w:rPr>
                <w:rFonts w:cs="Calibri"/>
                <w:color w:val="7030A0"/>
                <w:sz w:val="14"/>
              </w:rPr>
            </w:pPr>
          </w:p>
          <w:p w14:paraId="59C2DF80" w14:textId="77777777" w:rsidR="00632BD7" w:rsidRPr="00E03D2C" w:rsidRDefault="00632BD7">
            <w:pPr>
              <w:pStyle w:val="TableReference"/>
              <w:tabs>
                <w:tab w:val="left" w:pos="3306"/>
              </w:tabs>
              <w:rPr>
                <w:rFonts w:cs="Calibri"/>
                <w:color w:val="7030A0"/>
                <w:sz w:val="14"/>
              </w:rPr>
            </w:pPr>
            <w:r w:rsidRPr="00E03D2C">
              <w:rPr>
                <w:rFonts w:cs="Calibri"/>
                <w:color w:val="7030A0"/>
                <w:sz w:val="14"/>
              </w:rPr>
              <w:t>ACT Disclosure Policy</w:t>
            </w:r>
          </w:p>
        </w:tc>
        <w:tc>
          <w:tcPr>
            <w:tcW w:w="8930" w:type="dxa"/>
            <w:gridSpan w:val="3"/>
            <w:tcBorders>
              <w:left w:val="single" w:sz="2" w:space="0" w:color="auto"/>
            </w:tcBorders>
            <w:shd w:val="clear" w:color="auto" w:fill="7030A0"/>
          </w:tcPr>
          <w:p w14:paraId="719F0E1E" w14:textId="77777777" w:rsidR="00632BD7" w:rsidRPr="00B330CA" w:rsidRDefault="00632BD7" w:rsidP="00ED446B">
            <w:pPr>
              <w:pStyle w:val="CommentaryTitle"/>
              <w:pageBreakBefore w:val="0"/>
              <w:tabs>
                <w:tab w:val="left" w:pos="3306"/>
              </w:tabs>
              <w:spacing w:after="0"/>
              <w:rPr>
                <w:rFonts w:cs="Calibri"/>
                <w:color w:val="FFFFFF" w:themeColor="background1"/>
                <w:sz w:val="20"/>
                <w:szCs w:val="20"/>
              </w:rPr>
            </w:pPr>
            <w:r w:rsidRPr="00B330CA">
              <w:rPr>
                <w:rFonts w:cs="Calibri"/>
                <w:color w:val="FFFFFF" w:themeColor="background1"/>
                <w:sz w:val="20"/>
                <w:szCs w:val="20"/>
              </w:rPr>
              <w:t>Time Bands</w:t>
            </w:r>
          </w:p>
          <w:p w14:paraId="7DED90E7" w14:textId="17C9557E" w:rsidR="00632BD7" w:rsidRPr="00F33E86" w:rsidRDefault="00982FF2" w:rsidP="00416D13">
            <w:pPr>
              <w:pStyle w:val="CommentaryTitle"/>
              <w:pageBreakBefore w:val="0"/>
              <w:tabs>
                <w:tab w:val="left" w:pos="3306"/>
              </w:tabs>
              <w:spacing w:before="0" w:after="240"/>
              <w:jc w:val="both"/>
              <w:rPr>
                <w:rFonts w:cs="Calibri"/>
                <w:b w:val="0"/>
                <w:color w:val="FFFFFF" w:themeColor="background1"/>
                <w:sz w:val="18"/>
                <w:szCs w:val="18"/>
              </w:rPr>
            </w:pPr>
            <w:r w:rsidRPr="00F33E86">
              <w:rPr>
                <w:rFonts w:cs="Calibri"/>
                <w:b w:val="0"/>
                <w:color w:val="FFFFFF" w:themeColor="background1"/>
                <w:sz w:val="18"/>
                <w:szCs w:val="18"/>
              </w:rPr>
              <w:t>Whilst there is no requirement in the accounting standards to disclose cap</w:t>
            </w:r>
            <w:r w:rsidR="00462131" w:rsidRPr="00F33E86">
              <w:rPr>
                <w:rFonts w:cs="Calibri"/>
                <w:b w:val="0"/>
                <w:color w:val="FFFFFF" w:themeColor="background1"/>
                <w:sz w:val="18"/>
                <w:szCs w:val="18"/>
              </w:rPr>
              <w:t>it</w:t>
            </w:r>
            <w:r w:rsidRPr="00F33E86">
              <w:rPr>
                <w:rFonts w:cs="Calibri"/>
                <w:b w:val="0"/>
                <w:color w:val="FFFFFF" w:themeColor="background1"/>
                <w:sz w:val="18"/>
                <w:szCs w:val="18"/>
              </w:rPr>
              <w:t>al and expenditure commitments by time bands, ACT Disclosure Policy requires this since it is considered to provide useful information to the users of financial statements.</w:t>
            </w:r>
          </w:p>
        </w:tc>
      </w:tr>
      <w:tr w:rsidR="004A2379" w:rsidRPr="00CF7E1B" w14:paraId="4B140628" w14:textId="77777777" w:rsidTr="0004564D">
        <w:tblPrEx>
          <w:shd w:val="clear" w:color="auto" w:fill="CCFFCC"/>
        </w:tblPrEx>
        <w:trPr>
          <w:trHeight w:val="283"/>
        </w:trPr>
        <w:tc>
          <w:tcPr>
            <w:tcW w:w="1560" w:type="dxa"/>
            <w:tcBorders>
              <w:left w:val="single" w:sz="2" w:space="0" w:color="auto"/>
              <w:right w:val="single" w:sz="2" w:space="0" w:color="auto"/>
            </w:tcBorders>
          </w:tcPr>
          <w:p w14:paraId="3FD6FAB6" w14:textId="77777777" w:rsidR="004A2379" w:rsidRPr="00E03D2C" w:rsidRDefault="004A2379">
            <w:pPr>
              <w:pStyle w:val="TableReference"/>
              <w:tabs>
                <w:tab w:val="left" w:pos="3306"/>
              </w:tabs>
              <w:rPr>
                <w:rFonts w:cs="Calibri"/>
                <w:color w:val="7030A0"/>
                <w:sz w:val="14"/>
              </w:rPr>
            </w:pPr>
          </w:p>
        </w:tc>
        <w:tc>
          <w:tcPr>
            <w:tcW w:w="8930" w:type="dxa"/>
            <w:gridSpan w:val="3"/>
            <w:tcBorders>
              <w:left w:val="single" w:sz="2" w:space="0" w:color="auto"/>
            </w:tcBorders>
            <w:shd w:val="clear" w:color="auto" w:fill="7030A0"/>
          </w:tcPr>
          <w:p w14:paraId="355CFAF3" w14:textId="77777777" w:rsidR="004A2379" w:rsidRPr="00B330CA" w:rsidRDefault="004A2379" w:rsidP="00ED446B">
            <w:pPr>
              <w:pStyle w:val="Commentary-Bullet"/>
              <w:numPr>
                <w:ilvl w:val="0"/>
                <w:numId w:val="0"/>
              </w:numPr>
              <w:tabs>
                <w:tab w:val="num" w:pos="459"/>
              </w:tabs>
              <w:spacing w:after="0"/>
              <w:ind w:left="360" w:hanging="360"/>
              <w:rPr>
                <w:rFonts w:cs="Calibri"/>
                <w:b/>
                <w:color w:val="FFFFFF" w:themeColor="background1"/>
                <w:szCs w:val="20"/>
              </w:rPr>
            </w:pPr>
            <w:r w:rsidRPr="00B330CA">
              <w:rPr>
                <w:rFonts w:cs="Calibri"/>
                <w:b/>
                <w:color w:val="FFFFFF" w:themeColor="background1"/>
                <w:szCs w:val="20"/>
              </w:rPr>
              <w:t>Public Private Partnerships</w:t>
            </w:r>
          </w:p>
        </w:tc>
      </w:tr>
      <w:tr w:rsidR="004A2379" w:rsidRPr="00CF7E1B" w14:paraId="63145EFF" w14:textId="77777777" w:rsidTr="0004564D">
        <w:tblPrEx>
          <w:shd w:val="clear" w:color="auto" w:fill="CCFFCC"/>
        </w:tblPrEx>
        <w:trPr>
          <w:trHeight w:val="283"/>
        </w:trPr>
        <w:tc>
          <w:tcPr>
            <w:tcW w:w="1560" w:type="dxa"/>
            <w:tcBorders>
              <w:left w:val="single" w:sz="2" w:space="0" w:color="auto"/>
              <w:right w:val="single" w:sz="2" w:space="0" w:color="auto"/>
            </w:tcBorders>
          </w:tcPr>
          <w:p w14:paraId="5A3D0A1E" w14:textId="77777777" w:rsidR="004A2379" w:rsidRPr="00E03D2C" w:rsidRDefault="00E3743B" w:rsidP="00E3743B">
            <w:pPr>
              <w:pStyle w:val="TableReference"/>
              <w:tabs>
                <w:tab w:val="left" w:pos="3306"/>
              </w:tabs>
              <w:rPr>
                <w:rFonts w:cs="Calibri"/>
                <w:color w:val="7030A0"/>
                <w:sz w:val="14"/>
              </w:rPr>
            </w:pPr>
            <w:r w:rsidRPr="00E03D2C">
              <w:rPr>
                <w:rFonts w:cs="Calibri"/>
                <w:color w:val="7030A0"/>
                <w:sz w:val="14"/>
              </w:rPr>
              <w:t>ACT Accounting Policy</w:t>
            </w:r>
          </w:p>
        </w:tc>
        <w:tc>
          <w:tcPr>
            <w:tcW w:w="8930" w:type="dxa"/>
            <w:gridSpan w:val="3"/>
            <w:tcBorders>
              <w:left w:val="single" w:sz="2" w:space="0" w:color="auto"/>
            </w:tcBorders>
            <w:shd w:val="clear" w:color="auto" w:fill="7030A0"/>
          </w:tcPr>
          <w:p w14:paraId="72B9F5B7" w14:textId="4813EE93" w:rsidR="004A2379" w:rsidRPr="00F33E86" w:rsidRDefault="004A2379" w:rsidP="00B26109">
            <w:pPr>
              <w:pStyle w:val="Commentary-Bullet"/>
              <w:numPr>
                <w:ilvl w:val="0"/>
                <w:numId w:val="0"/>
              </w:numPr>
              <w:spacing w:after="120"/>
              <w:rPr>
                <w:rFonts w:cs="Calibri"/>
                <w:color w:val="FFFFFF" w:themeColor="background1"/>
                <w:sz w:val="18"/>
                <w:szCs w:val="18"/>
              </w:rPr>
            </w:pPr>
            <w:r w:rsidRPr="00F33E86">
              <w:rPr>
                <w:rFonts w:cs="Calibri"/>
                <w:color w:val="FFFFFF" w:themeColor="background1"/>
                <w:sz w:val="18"/>
                <w:szCs w:val="18"/>
              </w:rPr>
              <w:t xml:space="preserve">Agencies that have entered into Public Private Partnerships will </w:t>
            </w:r>
            <w:r w:rsidR="00B26109" w:rsidRPr="00F33E86">
              <w:rPr>
                <w:rFonts w:cs="Calibri"/>
                <w:color w:val="FFFFFF" w:themeColor="background1"/>
                <w:sz w:val="18"/>
                <w:szCs w:val="18"/>
              </w:rPr>
              <w:t>disclose</w:t>
            </w:r>
            <w:r w:rsidRPr="00F33E86">
              <w:rPr>
                <w:rFonts w:cs="Calibri"/>
                <w:color w:val="FFFFFF" w:themeColor="background1"/>
                <w:sz w:val="18"/>
                <w:szCs w:val="18"/>
              </w:rPr>
              <w:t xml:space="preserve"> the commitments under these arrangements, including lease commitments </w:t>
            </w:r>
            <w:r w:rsidR="00E3743B" w:rsidRPr="00F33E86">
              <w:rPr>
                <w:rFonts w:cs="Calibri"/>
                <w:color w:val="FFFFFF" w:themeColor="background1"/>
                <w:sz w:val="18"/>
                <w:szCs w:val="18"/>
              </w:rPr>
              <w:t>(minimum lease payments and finances charges) and capital and operating commitments.</w:t>
            </w:r>
            <w:r w:rsidR="00FA7C77">
              <w:rPr>
                <w:rFonts w:cs="Calibri"/>
                <w:color w:val="FFFFFF" w:themeColor="background1"/>
                <w:sz w:val="18"/>
                <w:szCs w:val="18"/>
              </w:rPr>
              <w:t xml:space="preserve"> </w:t>
            </w:r>
            <w:r w:rsidRPr="00F33E86">
              <w:rPr>
                <w:rFonts w:cs="Calibri"/>
                <w:color w:val="FFFFFF" w:themeColor="background1"/>
                <w:sz w:val="18"/>
                <w:szCs w:val="18"/>
              </w:rPr>
              <w:t xml:space="preserve"> </w:t>
            </w:r>
          </w:p>
        </w:tc>
      </w:tr>
      <w:tr w:rsidR="009B1F1A" w:rsidRPr="00CF7E1B" w14:paraId="3E5A1A2B" w14:textId="77777777" w:rsidTr="0004564D">
        <w:tblPrEx>
          <w:shd w:val="clear" w:color="auto" w:fill="CCFFCC"/>
        </w:tblPrEx>
        <w:trPr>
          <w:trHeight w:val="283"/>
        </w:trPr>
        <w:tc>
          <w:tcPr>
            <w:tcW w:w="1560" w:type="dxa"/>
            <w:tcBorders>
              <w:left w:val="single" w:sz="2" w:space="0" w:color="auto"/>
              <w:right w:val="single" w:sz="2" w:space="0" w:color="auto"/>
            </w:tcBorders>
          </w:tcPr>
          <w:p w14:paraId="1F8D3DAC" w14:textId="77777777" w:rsidR="009B1F1A" w:rsidRPr="00E03D2C" w:rsidRDefault="009B1F1A">
            <w:pPr>
              <w:pStyle w:val="TableReference"/>
              <w:tabs>
                <w:tab w:val="left" w:pos="3306"/>
              </w:tabs>
              <w:rPr>
                <w:rFonts w:cs="Calibri"/>
                <w:color w:val="7030A0"/>
                <w:sz w:val="16"/>
                <w:szCs w:val="16"/>
              </w:rPr>
            </w:pPr>
          </w:p>
        </w:tc>
        <w:tc>
          <w:tcPr>
            <w:tcW w:w="8930" w:type="dxa"/>
            <w:gridSpan w:val="3"/>
            <w:tcBorders>
              <w:left w:val="single" w:sz="2" w:space="0" w:color="auto"/>
            </w:tcBorders>
            <w:shd w:val="clear" w:color="auto" w:fill="7030A0"/>
          </w:tcPr>
          <w:p w14:paraId="0883AB95" w14:textId="77777777" w:rsidR="009B1F1A" w:rsidRPr="00B330CA" w:rsidRDefault="009B1F1A" w:rsidP="00ED446B">
            <w:pPr>
              <w:pStyle w:val="Commentary-Bullet"/>
              <w:numPr>
                <w:ilvl w:val="0"/>
                <w:numId w:val="0"/>
              </w:numPr>
              <w:spacing w:after="0"/>
              <w:ind w:left="417" w:hanging="360"/>
              <w:rPr>
                <w:rFonts w:cs="Calibri"/>
                <w:b/>
                <w:color w:val="FFFFFF" w:themeColor="background1"/>
                <w:szCs w:val="20"/>
              </w:rPr>
            </w:pPr>
            <w:r w:rsidRPr="00B330CA">
              <w:rPr>
                <w:rFonts w:cs="Calibri"/>
                <w:b/>
                <w:color w:val="FFFFFF" w:themeColor="background1"/>
                <w:szCs w:val="20"/>
              </w:rPr>
              <w:t>No Material Commitments</w:t>
            </w:r>
          </w:p>
        </w:tc>
      </w:tr>
      <w:tr w:rsidR="009B1F1A" w:rsidRPr="00CF7E1B" w14:paraId="6E5E12F7" w14:textId="77777777" w:rsidTr="0004564D">
        <w:tblPrEx>
          <w:shd w:val="clear" w:color="auto" w:fill="CCFFCC"/>
        </w:tblPrEx>
        <w:trPr>
          <w:trHeight w:val="283"/>
        </w:trPr>
        <w:tc>
          <w:tcPr>
            <w:tcW w:w="1560" w:type="dxa"/>
            <w:tcBorders>
              <w:left w:val="single" w:sz="2" w:space="0" w:color="auto"/>
              <w:right w:val="single" w:sz="2" w:space="0" w:color="auto"/>
            </w:tcBorders>
          </w:tcPr>
          <w:p w14:paraId="21AAAF73" w14:textId="77777777" w:rsidR="009B1F1A" w:rsidRPr="00E03D2C" w:rsidRDefault="009B1F1A">
            <w:pPr>
              <w:pStyle w:val="TableReference"/>
              <w:tabs>
                <w:tab w:val="left" w:pos="3306"/>
              </w:tabs>
              <w:rPr>
                <w:rFonts w:cs="Calibri"/>
                <w:color w:val="7030A0"/>
                <w:sz w:val="16"/>
                <w:szCs w:val="16"/>
              </w:rPr>
            </w:pPr>
          </w:p>
        </w:tc>
        <w:tc>
          <w:tcPr>
            <w:tcW w:w="8930" w:type="dxa"/>
            <w:gridSpan w:val="3"/>
            <w:tcBorders>
              <w:left w:val="single" w:sz="2" w:space="0" w:color="auto"/>
            </w:tcBorders>
            <w:shd w:val="clear" w:color="auto" w:fill="7030A0"/>
          </w:tcPr>
          <w:p w14:paraId="2C19A1B9" w14:textId="77777777" w:rsidR="009B1F1A" w:rsidRPr="00F33E86" w:rsidRDefault="009B1F1A" w:rsidP="009B1F1A">
            <w:pPr>
              <w:pStyle w:val="Commentary-Bullet"/>
              <w:numPr>
                <w:ilvl w:val="0"/>
                <w:numId w:val="0"/>
              </w:numPr>
              <w:spacing w:after="120"/>
              <w:ind w:left="417" w:hanging="360"/>
              <w:rPr>
                <w:rFonts w:cs="Calibri"/>
                <w:color w:val="FFFFFF" w:themeColor="background1"/>
                <w:sz w:val="18"/>
                <w:szCs w:val="18"/>
              </w:rPr>
            </w:pPr>
            <w:r w:rsidRPr="00F33E86">
              <w:rPr>
                <w:rFonts w:cs="Calibri"/>
                <w:color w:val="FFFFFF" w:themeColor="background1"/>
                <w:sz w:val="18"/>
                <w:szCs w:val="18"/>
              </w:rPr>
              <w:t>If an agency has no material commitments, this note can be excluded.</w:t>
            </w:r>
          </w:p>
        </w:tc>
      </w:tr>
      <w:tr w:rsidR="000144FF" w:rsidRPr="00CF7E1B" w14:paraId="6E24BE3D"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0D1276D0" w14:textId="113D8F0C" w:rsidR="000144FF" w:rsidRPr="00F33E86" w:rsidRDefault="000144FF" w:rsidP="00F700E5">
            <w:pPr>
              <w:pStyle w:val="TableReference"/>
              <w:tabs>
                <w:tab w:val="left" w:pos="3306"/>
              </w:tabs>
              <w:spacing w:before="240"/>
              <w:rPr>
                <w:rFonts w:cs="Calibri"/>
                <w:b/>
                <w:color w:val="7030A0"/>
                <w:sz w:val="22"/>
                <w:szCs w:val="22"/>
              </w:rPr>
            </w:pPr>
            <w:bookmarkStart w:id="706" w:name="ContingentLiabAndAssets" w:colFirst="1" w:colLast="1"/>
          </w:p>
        </w:tc>
        <w:tc>
          <w:tcPr>
            <w:tcW w:w="8930" w:type="dxa"/>
            <w:gridSpan w:val="3"/>
            <w:tcBorders>
              <w:top w:val="nil"/>
              <w:left w:val="single" w:sz="2" w:space="0" w:color="auto"/>
              <w:bottom w:val="nil"/>
              <w:right w:val="nil"/>
            </w:tcBorders>
          </w:tcPr>
          <w:p w14:paraId="1864CD4D" w14:textId="051370BC" w:rsidR="000144FF" w:rsidRPr="00F33E86" w:rsidRDefault="00F700E5" w:rsidP="00DC5C39">
            <w:pPr>
              <w:pStyle w:val="Heading1"/>
              <w:numPr>
                <w:ilvl w:val="0"/>
                <w:numId w:val="0"/>
              </w:numPr>
            </w:pPr>
            <w:bookmarkStart w:id="707" w:name="_Toc49224221"/>
            <w:bookmarkStart w:id="708" w:name="_Ref50365693"/>
            <w:bookmarkStart w:id="709" w:name="_Toc50440392"/>
            <w:bookmarkStart w:id="710" w:name="_Ref50524242"/>
            <w:bookmarkStart w:id="711" w:name="_Toc400627359"/>
            <w:bookmarkStart w:id="712" w:name="_Toc98763169"/>
            <w:r w:rsidRPr="00F33E86">
              <w:t>Note</w:t>
            </w:r>
            <w:r w:rsidR="00794322" w:rsidRPr="00F33E86">
              <w:t xml:space="preserve"> </w:t>
            </w:r>
            <w:r w:rsidR="0007497D" w:rsidRPr="00F33E86">
              <w:t>33</w:t>
            </w:r>
            <w:r w:rsidR="00794322" w:rsidRPr="00F33E86">
              <w:t>.</w:t>
            </w:r>
            <w:r w:rsidR="00FA7C77">
              <w:t xml:space="preserve"> </w:t>
            </w:r>
            <w:r w:rsidRPr="00F33E86">
              <w:t xml:space="preserve"> </w:t>
            </w:r>
            <w:r w:rsidR="00421579" w:rsidRPr="00F33E86">
              <w:t>C</w:t>
            </w:r>
            <w:r w:rsidR="000144FF" w:rsidRPr="00F33E86">
              <w:t>ontingent Liabilities and Contingent Assets</w:t>
            </w:r>
            <w:bookmarkEnd w:id="707"/>
            <w:bookmarkEnd w:id="708"/>
            <w:bookmarkEnd w:id="709"/>
            <w:bookmarkEnd w:id="710"/>
            <w:bookmarkEnd w:id="711"/>
            <w:bookmarkEnd w:id="712"/>
          </w:p>
        </w:tc>
      </w:tr>
      <w:tr w:rsidR="00BD13B2" w:rsidRPr="00CF7E1B" w14:paraId="53032F6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438A59AE" w14:textId="77777777" w:rsidR="00BD13B2" w:rsidRPr="00F33E86" w:rsidRDefault="00BD13B2">
            <w:pPr>
              <w:pStyle w:val="TableReference"/>
              <w:tabs>
                <w:tab w:val="left" w:pos="3306"/>
              </w:tabs>
              <w:spacing w:before="60"/>
              <w:rPr>
                <w:rFonts w:cs="Calibri"/>
                <w:color w:val="7030A0"/>
                <w:sz w:val="16"/>
                <w:szCs w:val="16"/>
              </w:rPr>
            </w:pPr>
          </w:p>
        </w:tc>
        <w:tc>
          <w:tcPr>
            <w:tcW w:w="8930" w:type="dxa"/>
            <w:gridSpan w:val="3"/>
            <w:tcBorders>
              <w:top w:val="nil"/>
              <w:left w:val="single" w:sz="2" w:space="0" w:color="auto"/>
              <w:bottom w:val="nil"/>
              <w:right w:val="nil"/>
            </w:tcBorders>
          </w:tcPr>
          <w:p w14:paraId="2D9F4ABE" w14:textId="36CC3985" w:rsidR="00BD13B2" w:rsidRPr="00F33E86" w:rsidRDefault="00A46357" w:rsidP="00DC5C39">
            <w:pPr>
              <w:pStyle w:val="TableTitle"/>
              <w:jc w:val="both"/>
              <w:rPr>
                <w:rFonts w:cs="Calibri"/>
                <w:bCs w:val="0"/>
                <w:iCs/>
              </w:rPr>
            </w:pPr>
            <w:r w:rsidRPr="00F33E86">
              <w:t>Material Accounting Policies Relating to Contingent Liabilities and Contingent Assets</w:t>
            </w:r>
          </w:p>
        </w:tc>
      </w:tr>
      <w:tr w:rsidR="00BD13B2" w:rsidRPr="00CF7E1B" w14:paraId="3E8551FB"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43E2FDD4" w14:textId="77777777" w:rsidR="00BD13B2" w:rsidRPr="00F33E86" w:rsidRDefault="00BD13B2">
            <w:pPr>
              <w:pStyle w:val="TableReference"/>
              <w:tabs>
                <w:tab w:val="left" w:pos="3306"/>
              </w:tabs>
              <w:spacing w:before="60"/>
              <w:rPr>
                <w:rFonts w:cs="Calibri"/>
                <w:color w:val="7030A0"/>
                <w:sz w:val="16"/>
                <w:szCs w:val="16"/>
              </w:rPr>
            </w:pPr>
          </w:p>
        </w:tc>
        <w:tc>
          <w:tcPr>
            <w:tcW w:w="8930" w:type="dxa"/>
            <w:gridSpan w:val="3"/>
            <w:tcBorders>
              <w:top w:val="nil"/>
              <w:left w:val="single" w:sz="2" w:space="0" w:color="auto"/>
              <w:bottom w:val="nil"/>
              <w:right w:val="nil"/>
            </w:tcBorders>
          </w:tcPr>
          <w:p w14:paraId="763085AE" w14:textId="6DDD09F2" w:rsidR="00BD13B2" w:rsidRPr="00F33E86" w:rsidRDefault="00BD13B2" w:rsidP="00DC5C39">
            <w:pPr>
              <w:pStyle w:val="TableTitle"/>
              <w:jc w:val="both"/>
              <w:rPr>
                <w:rFonts w:cs="Calibri"/>
                <w:b w:val="0"/>
                <w:bCs w:val="0"/>
                <w:iCs/>
              </w:rPr>
            </w:pPr>
            <w:r w:rsidRPr="00F33E86">
              <w:rPr>
                <w:b w:val="0"/>
                <w:bCs w:val="0"/>
              </w:rPr>
              <w:t xml:space="preserve">Contingent </w:t>
            </w:r>
            <w:r w:rsidR="00336100" w:rsidRPr="00F33E86">
              <w:rPr>
                <w:b w:val="0"/>
                <w:bCs w:val="0"/>
              </w:rPr>
              <w:t xml:space="preserve">liabilities </w:t>
            </w:r>
            <w:r w:rsidRPr="00F33E86">
              <w:rPr>
                <w:b w:val="0"/>
                <w:bCs w:val="0"/>
              </w:rPr>
              <w:t xml:space="preserve">and </w:t>
            </w:r>
            <w:r w:rsidR="00336100" w:rsidRPr="00F33E86">
              <w:rPr>
                <w:b w:val="0"/>
                <w:bCs w:val="0"/>
              </w:rPr>
              <w:t xml:space="preserve">contingent assets </w:t>
            </w:r>
            <w:r w:rsidRPr="00F33E86">
              <w:rPr>
                <w:b w:val="0"/>
                <w:bCs w:val="0"/>
              </w:rPr>
              <w:t xml:space="preserve">are not recognised in the </w:t>
            </w:r>
            <w:r w:rsidR="00336100" w:rsidRPr="00F33E86">
              <w:rPr>
                <w:b w:val="0"/>
                <w:bCs w:val="0"/>
              </w:rPr>
              <w:t xml:space="preserve">Balance Sheet </w:t>
            </w:r>
            <w:r w:rsidR="00A46357" w:rsidRPr="00F33E86">
              <w:rPr>
                <w:b w:val="0"/>
                <w:bCs w:val="0"/>
              </w:rPr>
              <w:t xml:space="preserve">due to </w:t>
            </w:r>
            <w:r w:rsidR="00A9529E" w:rsidRPr="00F33E86">
              <w:rPr>
                <w:b w:val="0"/>
                <w:bCs w:val="0"/>
              </w:rPr>
              <w:t xml:space="preserve">the </w:t>
            </w:r>
            <w:r w:rsidR="00A46357" w:rsidRPr="00F33E86">
              <w:rPr>
                <w:b w:val="0"/>
                <w:bCs w:val="0"/>
              </w:rPr>
              <w:t>uncertainty regarding any possible amount or timing of any underlying claim or obligation</w:t>
            </w:r>
            <w:r w:rsidR="00A9529E" w:rsidRPr="00F33E86">
              <w:rPr>
                <w:b w:val="0"/>
                <w:bCs w:val="0"/>
              </w:rPr>
              <w:t>.</w:t>
            </w:r>
            <w:r w:rsidR="00FA7C77">
              <w:rPr>
                <w:b w:val="0"/>
                <w:bCs w:val="0"/>
              </w:rPr>
              <w:t xml:space="preserve"> </w:t>
            </w:r>
            <w:r w:rsidR="00A9529E" w:rsidRPr="00F33E86">
              <w:rPr>
                <w:b w:val="0"/>
                <w:bCs w:val="0"/>
              </w:rPr>
              <w:t xml:space="preserve">Instead they are </w:t>
            </w:r>
            <w:r w:rsidRPr="00F33E86">
              <w:rPr>
                <w:b w:val="0"/>
                <w:bCs w:val="0"/>
              </w:rPr>
              <w:t>disclosed and, if quantifiable, the best estimate is disclosed</w:t>
            </w:r>
            <w:r w:rsidR="00336100" w:rsidRPr="00F33E86">
              <w:rPr>
                <w:b w:val="0"/>
                <w:bCs w:val="0"/>
              </w:rPr>
              <w:t>.</w:t>
            </w:r>
          </w:p>
        </w:tc>
      </w:tr>
      <w:bookmarkEnd w:id="706"/>
      <w:tr w:rsidR="000144FF" w:rsidRPr="00CF7E1B" w14:paraId="473DF8AD"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12A31E01" w14:textId="77777777" w:rsidR="000144FF" w:rsidRPr="00F33E86" w:rsidRDefault="000144FF">
            <w:pPr>
              <w:pStyle w:val="TableReference"/>
              <w:tabs>
                <w:tab w:val="left" w:pos="3306"/>
              </w:tabs>
              <w:spacing w:before="60"/>
              <w:rPr>
                <w:rFonts w:cs="Calibri"/>
                <w:color w:val="7030A0"/>
                <w:sz w:val="16"/>
                <w:szCs w:val="16"/>
              </w:rPr>
            </w:pPr>
          </w:p>
        </w:tc>
        <w:tc>
          <w:tcPr>
            <w:tcW w:w="8930" w:type="dxa"/>
            <w:gridSpan w:val="3"/>
            <w:tcBorders>
              <w:top w:val="nil"/>
              <w:left w:val="single" w:sz="2" w:space="0" w:color="auto"/>
              <w:bottom w:val="nil"/>
              <w:right w:val="nil"/>
            </w:tcBorders>
          </w:tcPr>
          <w:p w14:paraId="16C2B8F3" w14:textId="77777777" w:rsidR="000144FF" w:rsidRPr="00F33E86" w:rsidRDefault="000144FF" w:rsidP="00BD13B2">
            <w:pPr>
              <w:pStyle w:val="TableTitle"/>
              <w:spacing w:before="120"/>
              <w:jc w:val="both"/>
              <w:rPr>
                <w:rFonts w:cs="Calibri"/>
                <w:bCs w:val="0"/>
                <w:iCs/>
              </w:rPr>
            </w:pPr>
            <w:r w:rsidRPr="00F33E86">
              <w:rPr>
                <w:rFonts w:cs="Calibri"/>
                <w:bCs w:val="0"/>
                <w:iCs/>
              </w:rPr>
              <w:t>Contamination of Land</w:t>
            </w:r>
          </w:p>
        </w:tc>
      </w:tr>
      <w:tr w:rsidR="0049731D" w:rsidRPr="00CF7E1B" w14:paraId="3EB2E598"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7ECD21AE" w14:textId="77777777" w:rsidR="0049731D" w:rsidRPr="00F33E86" w:rsidRDefault="0049731D" w:rsidP="0049731D">
            <w:pPr>
              <w:pStyle w:val="TableReference"/>
              <w:tabs>
                <w:tab w:val="left" w:pos="3306"/>
              </w:tabs>
              <w:spacing w:before="60"/>
              <w:rPr>
                <w:rFonts w:cs="Calibri"/>
                <w:color w:val="7030A0"/>
                <w:sz w:val="14"/>
              </w:rPr>
            </w:pPr>
            <w:r w:rsidRPr="00F33E86">
              <w:rPr>
                <w:rFonts w:cs="Calibri"/>
                <w:color w:val="7030A0"/>
                <w:sz w:val="14"/>
              </w:rPr>
              <w:t>AASB 137.86</w:t>
            </w:r>
          </w:p>
          <w:p w14:paraId="5449C8F6" w14:textId="77777777" w:rsidR="0049731D" w:rsidRPr="00F33E86" w:rsidRDefault="0049731D">
            <w:pPr>
              <w:pStyle w:val="TableReference"/>
              <w:tabs>
                <w:tab w:val="left" w:pos="3306"/>
              </w:tabs>
              <w:spacing w:before="60"/>
              <w:rPr>
                <w:rFonts w:cs="Calibri"/>
                <w:color w:val="7030A0"/>
                <w:sz w:val="14"/>
              </w:rPr>
            </w:pPr>
          </w:p>
        </w:tc>
        <w:tc>
          <w:tcPr>
            <w:tcW w:w="8930" w:type="dxa"/>
            <w:gridSpan w:val="3"/>
            <w:tcBorders>
              <w:top w:val="nil"/>
              <w:left w:val="single" w:sz="2" w:space="0" w:color="auto"/>
              <w:bottom w:val="nil"/>
              <w:right w:val="nil"/>
            </w:tcBorders>
          </w:tcPr>
          <w:p w14:paraId="2DAF71F1" w14:textId="060C548F" w:rsidR="0049731D" w:rsidRPr="00F33E86" w:rsidRDefault="0049731D" w:rsidP="00DC5C39">
            <w:pPr>
              <w:pStyle w:val="TableText"/>
              <w:spacing w:before="0" w:after="120"/>
              <w:jc w:val="both"/>
              <w:rPr>
                <w:rFonts w:cs="Calibri"/>
              </w:rPr>
            </w:pPr>
            <w:r w:rsidRPr="00F33E86">
              <w:rPr>
                <w:rFonts w:cs="Calibri"/>
              </w:rPr>
              <w:t xml:space="preserve">During July </w:t>
            </w:r>
            <w:r w:rsidR="00226363" w:rsidRPr="00F33E86">
              <w:rPr>
                <w:rFonts w:cs="Calibri"/>
              </w:rPr>
              <w:t>2021</w:t>
            </w:r>
            <w:r w:rsidRPr="00F33E86">
              <w:rPr>
                <w:rFonts w:cs="Calibri"/>
              </w:rPr>
              <w:t>, the Agency disposed of waste material by burying it in landfill.</w:t>
            </w:r>
            <w:r w:rsidR="00FA7C77">
              <w:rPr>
                <w:rFonts w:cs="Calibri"/>
              </w:rPr>
              <w:t xml:space="preserve"> </w:t>
            </w:r>
            <w:r w:rsidRPr="00F33E86">
              <w:rPr>
                <w:rFonts w:cs="Calibri"/>
              </w:rPr>
              <w:t xml:space="preserve">In November </w:t>
            </w:r>
            <w:r w:rsidR="00226363" w:rsidRPr="00F33E86">
              <w:rPr>
                <w:rFonts w:cs="Calibri"/>
              </w:rPr>
              <w:t>2021</w:t>
            </w:r>
            <w:r w:rsidRPr="00F33E86">
              <w:rPr>
                <w:rFonts w:cs="Calibri"/>
              </w:rPr>
              <w:t>, it was discovered that the waste had leaked from the containers and contaminated the area in which it was buried.</w:t>
            </w:r>
            <w:r w:rsidR="00FA7C77">
              <w:rPr>
                <w:rFonts w:cs="Calibri"/>
              </w:rPr>
              <w:t xml:space="preserve"> </w:t>
            </w:r>
            <w:r w:rsidRPr="00F33E86">
              <w:rPr>
                <w:rFonts w:cs="Calibri"/>
              </w:rPr>
              <w:t>The Agency has undertaken to clean up the contaminated area where the waste was buried.</w:t>
            </w:r>
            <w:r w:rsidR="00FA7C77">
              <w:rPr>
                <w:rFonts w:cs="Calibri"/>
              </w:rPr>
              <w:t xml:space="preserve"> </w:t>
            </w:r>
            <w:r w:rsidRPr="00F33E86">
              <w:rPr>
                <w:rFonts w:cs="Calibri"/>
              </w:rPr>
              <w:t>The clean-up of the contaminated area will be completed over the next two years at an approximate cost of $xxx.</w:t>
            </w:r>
            <w:r w:rsidR="00FA7C77">
              <w:rPr>
                <w:rFonts w:cs="Calibri"/>
              </w:rPr>
              <w:t xml:space="preserve"> </w:t>
            </w:r>
            <w:r w:rsidRPr="00F33E86">
              <w:rPr>
                <w:rFonts w:cs="Calibri"/>
              </w:rPr>
              <w:t xml:space="preserve">This amount has been recognised as a provision (for further details see Note </w:t>
            </w:r>
            <w:r w:rsidR="0007497D" w:rsidRPr="00F33E86">
              <w:rPr>
                <w:rFonts w:cs="Calibri"/>
              </w:rPr>
              <w:t>28</w:t>
            </w:r>
            <w:r w:rsidRPr="00F33E86">
              <w:rPr>
                <w:rFonts w:cs="Calibri"/>
                <w:i/>
              </w:rPr>
              <w:t xml:space="preserve"> Other Provisions</w:t>
            </w:r>
            <w:r w:rsidRPr="00F33E86">
              <w:rPr>
                <w:rFonts w:cs="Calibri"/>
              </w:rPr>
              <w:t>).</w:t>
            </w:r>
          </w:p>
        </w:tc>
      </w:tr>
      <w:tr w:rsidR="0049731D" w:rsidRPr="00CF7E1B" w14:paraId="60A7DEF7"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6E01AE5D" w14:textId="169CEC19" w:rsidR="0049731D" w:rsidRPr="00F33E86" w:rsidRDefault="0049731D" w:rsidP="0049731D">
            <w:pPr>
              <w:pStyle w:val="TableReference"/>
              <w:tabs>
                <w:tab w:val="left" w:pos="3306"/>
              </w:tabs>
              <w:rPr>
                <w:rFonts w:cs="Calibri"/>
                <w:color w:val="7030A0"/>
                <w:sz w:val="14"/>
              </w:rPr>
            </w:pPr>
            <w:r w:rsidRPr="00F33E86">
              <w:rPr>
                <w:rFonts w:cs="Calibri"/>
                <w:color w:val="7030A0"/>
                <w:sz w:val="14"/>
              </w:rPr>
              <w:t>AASB 137.88</w:t>
            </w:r>
          </w:p>
        </w:tc>
        <w:tc>
          <w:tcPr>
            <w:tcW w:w="8930" w:type="dxa"/>
            <w:gridSpan w:val="3"/>
            <w:tcBorders>
              <w:top w:val="nil"/>
              <w:left w:val="single" w:sz="2" w:space="0" w:color="auto"/>
              <w:bottom w:val="nil"/>
              <w:right w:val="nil"/>
            </w:tcBorders>
          </w:tcPr>
          <w:p w14:paraId="518B1B6C" w14:textId="4434C9A9" w:rsidR="0049731D" w:rsidRPr="00F33E86" w:rsidRDefault="0049731D" w:rsidP="0049731D">
            <w:pPr>
              <w:pStyle w:val="TableText"/>
              <w:spacing w:before="0"/>
              <w:jc w:val="both"/>
              <w:rPr>
                <w:rFonts w:cs="Calibri"/>
              </w:rPr>
            </w:pPr>
            <w:r w:rsidRPr="00F33E86">
              <w:rPr>
                <w:rFonts w:cs="Calibri"/>
              </w:rPr>
              <w:t>The Agency considers that the environmental impact of the leak will be minimal because of the short amount of time between the waste being buried and the contamination being discovered and also the prompt response to commence the clean-up.</w:t>
            </w:r>
            <w:r w:rsidR="00FA7C77">
              <w:rPr>
                <w:rFonts w:cs="Calibri"/>
              </w:rPr>
              <w:t xml:space="preserve"> </w:t>
            </w:r>
            <w:r w:rsidRPr="00F33E86">
              <w:rPr>
                <w:rFonts w:cs="Calibri"/>
              </w:rPr>
              <w:t>The Agency is investigating the matter to determine what caused the incident.</w:t>
            </w:r>
            <w:r w:rsidR="00FA7C77">
              <w:rPr>
                <w:rFonts w:cs="Calibri"/>
              </w:rPr>
              <w:t xml:space="preserve"> </w:t>
            </w:r>
          </w:p>
        </w:tc>
      </w:tr>
      <w:tr w:rsidR="0049731D" w:rsidRPr="00CF7E1B" w14:paraId="42DFE607"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5B49806E" w14:textId="77777777" w:rsidR="0049731D" w:rsidRPr="00F33E86" w:rsidRDefault="0049731D">
            <w:pPr>
              <w:pStyle w:val="TableReference"/>
              <w:tabs>
                <w:tab w:val="left" w:pos="3306"/>
              </w:tabs>
              <w:spacing w:before="60"/>
              <w:rPr>
                <w:rFonts w:cs="Calibri"/>
                <w:color w:val="7030A0"/>
                <w:sz w:val="14"/>
              </w:rPr>
            </w:pPr>
          </w:p>
        </w:tc>
        <w:tc>
          <w:tcPr>
            <w:tcW w:w="8930" w:type="dxa"/>
            <w:gridSpan w:val="3"/>
            <w:tcBorders>
              <w:top w:val="nil"/>
              <w:left w:val="single" w:sz="2" w:space="0" w:color="auto"/>
              <w:bottom w:val="nil"/>
              <w:right w:val="nil"/>
            </w:tcBorders>
          </w:tcPr>
          <w:p w14:paraId="2DD0EB4E" w14:textId="6D6B6BF5" w:rsidR="0049731D" w:rsidRPr="00F33E86" w:rsidRDefault="0049731D" w:rsidP="0049731D">
            <w:pPr>
              <w:spacing w:before="120"/>
              <w:jc w:val="both"/>
              <w:rPr>
                <w:rFonts w:cs="Calibri"/>
                <w:b/>
                <w:sz w:val="18"/>
                <w:szCs w:val="18"/>
              </w:rPr>
            </w:pPr>
            <w:r w:rsidRPr="00F33E86">
              <w:rPr>
                <w:rFonts w:cs="Calibri"/>
                <w:b/>
                <w:sz w:val="18"/>
                <w:szCs w:val="18"/>
              </w:rPr>
              <w:t>Legal Claim</w:t>
            </w:r>
            <w:r w:rsidR="00336100" w:rsidRPr="00F33E86">
              <w:rPr>
                <w:rFonts w:cs="Calibri"/>
                <w:b/>
                <w:sz w:val="18"/>
                <w:szCs w:val="18"/>
              </w:rPr>
              <w:t>s</w:t>
            </w:r>
          </w:p>
        </w:tc>
      </w:tr>
      <w:tr w:rsidR="000144FF" w:rsidRPr="00CF7E1B" w14:paraId="17720F97"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29C62F40" w14:textId="77777777" w:rsidR="0049731D" w:rsidRPr="00F33E86" w:rsidRDefault="0049731D" w:rsidP="0049731D">
            <w:pPr>
              <w:pStyle w:val="TableReference"/>
              <w:tabs>
                <w:tab w:val="left" w:pos="3306"/>
              </w:tabs>
              <w:spacing w:before="60"/>
              <w:rPr>
                <w:rFonts w:cs="Calibri"/>
                <w:color w:val="7030A0"/>
                <w:sz w:val="14"/>
              </w:rPr>
            </w:pPr>
            <w:r w:rsidRPr="00F33E86">
              <w:rPr>
                <w:rFonts w:cs="Calibri"/>
                <w:color w:val="7030A0"/>
                <w:sz w:val="14"/>
              </w:rPr>
              <w:t>ACT Disclosure Policy</w:t>
            </w:r>
          </w:p>
          <w:p w14:paraId="31985D6D" w14:textId="77777777" w:rsidR="000144FF" w:rsidRPr="00F33E86" w:rsidRDefault="000144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3D44E781" w14:textId="0663DB04" w:rsidR="000144FF" w:rsidRPr="00F33E86" w:rsidRDefault="0049731D" w:rsidP="00DC5C39">
            <w:pPr>
              <w:pStyle w:val="TableText"/>
              <w:jc w:val="both"/>
              <w:rPr>
                <w:rFonts w:cs="Calibri"/>
              </w:rPr>
            </w:pPr>
            <w:r w:rsidRPr="00F33E86">
              <w:rPr>
                <w:rFonts w:cs="Calibri"/>
              </w:rPr>
              <w:t>‘</w:t>
            </w:r>
            <w:r w:rsidR="003B044B" w:rsidRPr="00F33E86">
              <w:t>Burley Griffin</w:t>
            </w:r>
            <w:r w:rsidR="003B044B" w:rsidRPr="00F33E86">
              <w:rPr>
                <w:bCs/>
              </w:rPr>
              <w:t xml:space="preserve"> </w:t>
            </w:r>
            <w:r w:rsidRPr="00F33E86">
              <w:rPr>
                <w:rFonts w:cs="Calibri"/>
              </w:rPr>
              <w:t>Agency’ is subject to 15 legal claims (2021 – 13 legal claims).</w:t>
            </w:r>
            <w:r w:rsidR="00FA7C77">
              <w:rPr>
                <w:rFonts w:cs="Calibri"/>
              </w:rPr>
              <w:t xml:space="preserve"> </w:t>
            </w:r>
            <w:r w:rsidRPr="00F33E86">
              <w:rPr>
                <w:rFonts w:cs="Calibri"/>
              </w:rPr>
              <w:t>‘</w:t>
            </w:r>
            <w:r w:rsidR="003B044B" w:rsidRPr="00F33E86">
              <w:t>Burley Griffin</w:t>
            </w:r>
            <w:r w:rsidR="003B044B" w:rsidRPr="00F33E86">
              <w:rPr>
                <w:bCs/>
              </w:rPr>
              <w:t xml:space="preserve"> </w:t>
            </w:r>
            <w:r w:rsidRPr="00F33E86">
              <w:rPr>
                <w:rFonts w:cs="Calibri"/>
              </w:rPr>
              <w:t xml:space="preserve">Agency’ is potentially liable for $xxx (2021 </w:t>
            </w:r>
            <w:r w:rsidRPr="00F33E86">
              <w:rPr>
                <w:rFonts w:cs="Calibri"/>
              </w:rPr>
              <w:softHyphen/>
              <w:t>$xxx) which represents the excess amount payable on these actions as ‘</w:t>
            </w:r>
            <w:r w:rsidR="003B044B" w:rsidRPr="00F33E86">
              <w:t>Burley Griffin</w:t>
            </w:r>
            <w:r w:rsidR="003B044B" w:rsidRPr="00F33E86">
              <w:rPr>
                <w:bCs/>
              </w:rPr>
              <w:t xml:space="preserve"> </w:t>
            </w:r>
            <w:r w:rsidRPr="00F33E86">
              <w:rPr>
                <w:rFonts w:cs="Calibri"/>
              </w:rPr>
              <w:t>Agency’ is covered by the ACT Insurance Authority (ACTIA).</w:t>
            </w:r>
            <w:r w:rsidR="00FA7C77">
              <w:rPr>
                <w:rFonts w:cs="Calibri"/>
              </w:rPr>
              <w:t xml:space="preserve"> </w:t>
            </w:r>
            <w:r w:rsidRPr="00F33E86">
              <w:rPr>
                <w:rFonts w:cs="Calibri"/>
              </w:rPr>
              <w:t>If ‘</w:t>
            </w:r>
            <w:r w:rsidR="003B044B" w:rsidRPr="00F33E86">
              <w:t>Burley Griffin</w:t>
            </w:r>
            <w:r w:rsidR="003B044B" w:rsidRPr="00F33E86">
              <w:rPr>
                <w:bCs/>
              </w:rPr>
              <w:t xml:space="preserve"> </w:t>
            </w:r>
            <w:r w:rsidRPr="00F33E86">
              <w:rPr>
                <w:rFonts w:cs="Calibri"/>
              </w:rPr>
              <w:t>Agency’ under the arrangements with ACTIA pays the full amount of a successful claim, the amount less the excess amount</w:t>
            </w:r>
            <w:r w:rsidR="00C82A7F" w:rsidRPr="00F33E86">
              <w:rPr>
                <w:rFonts w:cs="Calibri"/>
              </w:rPr>
              <w:t xml:space="preserve"> ($xxx per claim)</w:t>
            </w:r>
            <w:r w:rsidRPr="00F33E86">
              <w:rPr>
                <w:rFonts w:cs="Calibri"/>
              </w:rPr>
              <w:t xml:space="preserve"> is reimbursed to ‘</w:t>
            </w:r>
            <w:r w:rsidR="003B044B" w:rsidRPr="00F33E86">
              <w:t>Burley Griffin</w:t>
            </w:r>
            <w:r w:rsidR="003B044B" w:rsidRPr="00F33E86">
              <w:rPr>
                <w:bCs/>
              </w:rPr>
              <w:t xml:space="preserve"> </w:t>
            </w:r>
            <w:r w:rsidRPr="00F33E86">
              <w:rPr>
                <w:rFonts w:cs="Calibri"/>
              </w:rPr>
              <w:t>Agency’ by ACTIA.</w:t>
            </w:r>
            <w:r w:rsidR="00FA7C77">
              <w:rPr>
                <w:rFonts w:cs="Calibri"/>
              </w:rPr>
              <w:t xml:space="preserve"> </w:t>
            </w:r>
            <w:r w:rsidRPr="00F33E86">
              <w:rPr>
                <w:rFonts w:cs="Calibri"/>
              </w:rPr>
              <w:t>The estimated actuarially assessed liability covered by ACTIA is included in ACTIA’s financial statements.</w:t>
            </w:r>
          </w:p>
        </w:tc>
      </w:tr>
      <w:tr w:rsidR="0049731D" w:rsidRPr="00CF7E1B" w14:paraId="04123FDB"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29525DCB" w14:textId="77777777" w:rsidR="0049731D" w:rsidRPr="00F33E86" w:rsidRDefault="0049731D">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57E4EAD8" w14:textId="77777777" w:rsidR="0049731D" w:rsidRPr="00F33E86" w:rsidRDefault="0049731D" w:rsidP="00DC5C39">
            <w:pPr>
              <w:pStyle w:val="TableTitle"/>
              <w:jc w:val="both"/>
              <w:rPr>
                <w:rFonts w:cs="Calibri"/>
                <w:bCs w:val="0"/>
                <w:iCs/>
              </w:rPr>
            </w:pPr>
          </w:p>
        </w:tc>
      </w:tr>
      <w:tr w:rsidR="000144FF" w:rsidRPr="00CF7E1B" w14:paraId="519A10BE"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0DCCD186" w14:textId="77777777" w:rsidR="000144FF" w:rsidRPr="00F33E86" w:rsidRDefault="000144F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058EC7F7" w14:textId="77777777" w:rsidR="000144FF" w:rsidRPr="00F33E86" w:rsidRDefault="000144FF" w:rsidP="00DC5C39">
            <w:pPr>
              <w:pStyle w:val="TableTitle"/>
              <w:jc w:val="both"/>
              <w:rPr>
                <w:rFonts w:cs="Calibri"/>
                <w:bCs w:val="0"/>
                <w:iCs/>
              </w:rPr>
            </w:pPr>
            <w:r w:rsidRPr="00F33E86">
              <w:rPr>
                <w:rFonts w:cs="Calibri"/>
                <w:bCs w:val="0"/>
                <w:iCs/>
              </w:rPr>
              <w:t>Guarantees</w:t>
            </w:r>
          </w:p>
        </w:tc>
      </w:tr>
      <w:tr w:rsidR="000144FF" w:rsidRPr="00CF7E1B" w14:paraId="14F6A48E"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single" w:sz="2" w:space="0" w:color="auto"/>
              <w:bottom w:val="nil"/>
              <w:right w:val="single" w:sz="2" w:space="0" w:color="auto"/>
            </w:tcBorders>
          </w:tcPr>
          <w:p w14:paraId="1E8123D7" w14:textId="77777777" w:rsidR="000144FF" w:rsidRPr="00F33E86" w:rsidRDefault="000144FF">
            <w:pPr>
              <w:pStyle w:val="TableReference"/>
              <w:tabs>
                <w:tab w:val="left" w:pos="3306"/>
              </w:tabs>
              <w:spacing w:before="40"/>
              <w:rPr>
                <w:rFonts w:cs="Calibri"/>
                <w:color w:val="7030A0"/>
                <w:sz w:val="14"/>
              </w:rPr>
            </w:pPr>
            <w:r w:rsidRPr="00F33E86">
              <w:rPr>
                <w:rFonts w:cs="Calibri"/>
                <w:color w:val="7030A0"/>
                <w:sz w:val="14"/>
              </w:rPr>
              <w:t>AASB 137</w:t>
            </w:r>
            <w:r w:rsidR="00D65811" w:rsidRPr="00F33E86">
              <w:rPr>
                <w:rFonts w:cs="Calibri"/>
                <w:color w:val="7030A0"/>
                <w:sz w:val="14"/>
              </w:rPr>
              <w:t>.</w:t>
            </w:r>
            <w:r w:rsidRPr="00F33E86">
              <w:rPr>
                <w:rFonts w:cs="Calibri"/>
                <w:color w:val="7030A0"/>
                <w:sz w:val="14"/>
              </w:rPr>
              <w:t>86</w:t>
            </w:r>
          </w:p>
          <w:p w14:paraId="5B48A846" w14:textId="77777777" w:rsidR="00D71399" w:rsidRPr="00F33E86" w:rsidRDefault="00D71399">
            <w:pPr>
              <w:pStyle w:val="TableReference"/>
              <w:tabs>
                <w:tab w:val="left" w:pos="3306"/>
              </w:tabs>
              <w:spacing w:before="40"/>
              <w:rPr>
                <w:rFonts w:cs="Calibri"/>
                <w:color w:val="7030A0"/>
                <w:sz w:val="14"/>
              </w:rPr>
            </w:pPr>
            <w:r w:rsidRPr="00F33E86">
              <w:rPr>
                <w:rFonts w:cs="Calibri"/>
                <w:color w:val="7030A0"/>
                <w:sz w:val="14"/>
              </w:rPr>
              <w:t>AASB 7.35K</w:t>
            </w:r>
          </w:p>
        </w:tc>
        <w:tc>
          <w:tcPr>
            <w:tcW w:w="8930" w:type="dxa"/>
            <w:gridSpan w:val="3"/>
            <w:tcBorders>
              <w:top w:val="nil"/>
              <w:left w:val="single" w:sz="2" w:space="0" w:color="auto"/>
              <w:bottom w:val="nil"/>
              <w:right w:val="nil"/>
            </w:tcBorders>
          </w:tcPr>
          <w:p w14:paraId="0D6C75FA" w14:textId="2EB5AAB9" w:rsidR="000144FF" w:rsidRPr="00F33E86" w:rsidRDefault="000144FF" w:rsidP="00DC5C39">
            <w:pPr>
              <w:pStyle w:val="TableText"/>
              <w:spacing w:before="0"/>
              <w:jc w:val="both"/>
              <w:rPr>
                <w:rFonts w:cs="Calibri"/>
              </w:rPr>
            </w:pPr>
            <w:r w:rsidRPr="00F33E86">
              <w:rPr>
                <w:rFonts w:cs="Calibri"/>
              </w:rPr>
              <w:t xml:space="preserve">The </w:t>
            </w:r>
            <w:r w:rsidR="00B96D8D" w:rsidRPr="00F33E86">
              <w:rPr>
                <w:rFonts w:cs="Calibri"/>
              </w:rPr>
              <w:t>Agency</w:t>
            </w:r>
            <w:r w:rsidRPr="00F33E86">
              <w:rPr>
                <w:rFonts w:cs="Calibri"/>
              </w:rPr>
              <w:t xml:space="preserve"> has guaranteed a loan taken out in April </w:t>
            </w:r>
            <w:r w:rsidR="00C63A13" w:rsidRPr="00F33E86">
              <w:rPr>
                <w:rFonts w:cs="Calibri"/>
              </w:rPr>
              <w:t>2022</w:t>
            </w:r>
            <w:r w:rsidR="00C76BFC" w:rsidRPr="00F33E86">
              <w:rPr>
                <w:rFonts w:cs="Calibri"/>
              </w:rPr>
              <w:t xml:space="preserve"> </w:t>
            </w:r>
            <w:r w:rsidRPr="00F33E86">
              <w:rPr>
                <w:rFonts w:cs="Calibri"/>
              </w:rPr>
              <w:t>by ‘Example Borrower’ for an amount of $</w:t>
            </w:r>
            <w:r w:rsidR="00DC5C39" w:rsidRPr="00F33E86">
              <w:rPr>
                <w:rFonts w:cs="Calibri"/>
              </w:rPr>
              <w:t>xxx</w:t>
            </w:r>
            <w:r w:rsidRPr="00F33E86">
              <w:rPr>
                <w:rFonts w:cs="Calibri"/>
              </w:rPr>
              <w:t>.</w:t>
            </w:r>
          </w:p>
        </w:tc>
      </w:tr>
    </w:tbl>
    <w:p w14:paraId="435E6B79" w14:textId="77777777" w:rsidR="00B330CA" w:rsidRDefault="00B330CA">
      <w:r>
        <w:br w:type="page"/>
      </w:r>
    </w:p>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8930"/>
      </w:tblGrid>
      <w:tr w:rsidR="00B330CA" w:rsidRPr="00CF7E1B" w14:paraId="0644E64F" w14:textId="77777777" w:rsidTr="0004564D">
        <w:tc>
          <w:tcPr>
            <w:tcW w:w="1560" w:type="dxa"/>
            <w:tcBorders>
              <w:top w:val="nil"/>
              <w:left w:val="single" w:sz="2" w:space="0" w:color="auto"/>
              <w:bottom w:val="nil"/>
              <w:right w:val="single" w:sz="2" w:space="0" w:color="auto"/>
            </w:tcBorders>
          </w:tcPr>
          <w:p w14:paraId="6D63A210" w14:textId="35A8E373" w:rsidR="00B330CA" w:rsidRPr="00F33E86" w:rsidRDefault="00B330CA" w:rsidP="00DA5473">
            <w:pPr>
              <w:pStyle w:val="TableReference"/>
              <w:tabs>
                <w:tab w:val="left" w:pos="3306"/>
              </w:tabs>
              <w:spacing w:before="240"/>
              <w:rPr>
                <w:rFonts w:cs="Calibri"/>
                <w:b/>
                <w:color w:val="7030A0"/>
                <w:sz w:val="22"/>
                <w:szCs w:val="22"/>
              </w:rPr>
            </w:pPr>
            <w:r w:rsidRPr="00F33E86">
              <w:rPr>
                <w:rFonts w:cs="Calibri"/>
                <w:b/>
                <w:color w:val="7030A0"/>
                <w:sz w:val="22"/>
                <w:szCs w:val="22"/>
              </w:rPr>
              <w:t>Reference</w:t>
            </w:r>
          </w:p>
        </w:tc>
        <w:tc>
          <w:tcPr>
            <w:tcW w:w="8930" w:type="dxa"/>
            <w:tcBorders>
              <w:top w:val="nil"/>
              <w:left w:val="single" w:sz="2" w:space="0" w:color="auto"/>
              <w:bottom w:val="nil"/>
              <w:right w:val="nil"/>
            </w:tcBorders>
          </w:tcPr>
          <w:p w14:paraId="224D305B" w14:textId="28198776" w:rsidR="00B330CA" w:rsidRPr="00F33E86" w:rsidRDefault="00B330CA" w:rsidP="00DA5473">
            <w:pPr>
              <w:pStyle w:val="Heading1"/>
              <w:numPr>
                <w:ilvl w:val="0"/>
                <w:numId w:val="0"/>
              </w:numPr>
            </w:pPr>
            <w:bookmarkStart w:id="713" w:name="_Toc98763170"/>
            <w:r w:rsidRPr="00F33E86">
              <w:t>Note 33.</w:t>
            </w:r>
            <w:r>
              <w:t xml:space="preserve"> </w:t>
            </w:r>
            <w:r w:rsidRPr="00F33E86">
              <w:t xml:space="preserve"> Contingent Liabilities and Contingent Assets</w:t>
            </w:r>
            <w:r>
              <w:t xml:space="preserve"> – Continued</w:t>
            </w:r>
            <w:bookmarkEnd w:id="713"/>
            <w:r>
              <w:t xml:space="preserve"> </w:t>
            </w:r>
          </w:p>
        </w:tc>
      </w:tr>
      <w:tr w:rsidR="000144FF" w:rsidRPr="00CF7E1B" w14:paraId="0BA1C1D7" w14:textId="77777777" w:rsidTr="0004564D">
        <w:tc>
          <w:tcPr>
            <w:tcW w:w="1560" w:type="dxa"/>
            <w:tcBorders>
              <w:top w:val="nil"/>
              <w:left w:val="single" w:sz="2" w:space="0" w:color="auto"/>
              <w:bottom w:val="nil"/>
              <w:right w:val="single" w:sz="2" w:space="0" w:color="auto"/>
            </w:tcBorders>
          </w:tcPr>
          <w:p w14:paraId="55139FEB" w14:textId="01A573F7" w:rsidR="000144FF" w:rsidRPr="00F33E86" w:rsidRDefault="000144FF">
            <w:pPr>
              <w:pStyle w:val="TableReference"/>
              <w:tabs>
                <w:tab w:val="left" w:pos="3306"/>
              </w:tabs>
              <w:spacing w:before="40"/>
              <w:rPr>
                <w:rFonts w:cs="Calibri"/>
                <w:color w:val="7030A0"/>
                <w:sz w:val="14"/>
              </w:rPr>
            </w:pPr>
          </w:p>
        </w:tc>
        <w:tc>
          <w:tcPr>
            <w:tcW w:w="8930" w:type="dxa"/>
            <w:tcBorders>
              <w:top w:val="nil"/>
              <w:left w:val="single" w:sz="2" w:space="0" w:color="auto"/>
              <w:bottom w:val="nil"/>
              <w:right w:val="nil"/>
            </w:tcBorders>
          </w:tcPr>
          <w:p w14:paraId="6CEAED62" w14:textId="4792BF11" w:rsidR="000144FF" w:rsidRPr="00F33E86" w:rsidRDefault="0049731D" w:rsidP="00DC5C39">
            <w:pPr>
              <w:pStyle w:val="TableText"/>
              <w:jc w:val="both"/>
              <w:rPr>
                <w:rFonts w:cs="Calibri"/>
                <w:b/>
              </w:rPr>
            </w:pPr>
            <w:r w:rsidRPr="00F33E86">
              <w:rPr>
                <w:rFonts w:cs="Calibri"/>
                <w:b/>
                <w:iCs/>
              </w:rPr>
              <w:t>Joint Ventures</w:t>
            </w:r>
          </w:p>
        </w:tc>
      </w:tr>
      <w:tr w:rsidR="000144FF" w:rsidRPr="00CF7E1B" w14:paraId="170FBBD0" w14:textId="77777777" w:rsidTr="0004564D">
        <w:tc>
          <w:tcPr>
            <w:tcW w:w="1560" w:type="dxa"/>
            <w:tcBorders>
              <w:top w:val="nil"/>
              <w:left w:val="single" w:sz="2" w:space="0" w:color="auto"/>
              <w:bottom w:val="nil"/>
              <w:right w:val="single" w:sz="2" w:space="0" w:color="auto"/>
            </w:tcBorders>
          </w:tcPr>
          <w:p w14:paraId="261E83F8" w14:textId="77777777" w:rsidR="000144FF" w:rsidRPr="00F33E86" w:rsidRDefault="000144FF">
            <w:pPr>
              <w:pStyle w:val="TableReference"/>
              <w:tabs>
                <w:tab w:val="left" w:pos="3306"/>
              </w:tabs>
              <w:spacing w:before="40"/>
              <w:rPr>
                <w:rFonts w:cs="Calibri"/>
                <w:color w:val="7030A0"/>
                <w:sz w:val="14"/>
              </w:rPr>
            </w:pPr>
          </w:p>
        </w:tc>
        <w:tc>
          <w:tcPr>
            <w:tcW w:w="8930" w:type="dxa"/>
            <w:tcBorders>
              <w:top w:val="nil"/>
              <w:left w:val="single" w:sz="2" w:space="0" w:color="auto"/>
              <w:bottom w:val="nil"/>
              <w:right w:val="nil"/>
            </w:tcBorders>
          </w:tcPr>
          <w:p w14:paraId="7BB98427" w14:textId="56D8C8F8" w:rsidR="000144FF" w:rsidRPr="00F33E86" w:rsidRDefault="000144FF" w:rsidP="00DC5C39">
            <w:pPr>
              <w:pStyle w:val="TableText"/>
              <w:spacing w:before="0" w:after="120"/>
              <w:jc w:val="both"/>
              <w:rPr>
                <w:rFonts w:cs="Calibri"/>
              </w:rPr>
            </w:pPr>
            <w:r w:rsidRPr="00F33E86">
              <w:rPr>
                <w:rFonts w:cs="Calibri"/>
              </w:rPr>
              <w:t>For contingent liabilities relati</w:t>
            </w:r>
            <w:r w:rsidR="00250FCA" w:rsidRPr="00F33E86">
              <w:rPr>
                <w:rFonts w:cs="Calibri"/>
              </w:rPr>
              <w:t xml:space="preserve">ng to joint ventures see Note </w:t>
            </w:r>
            <w:r w:rsidR="00E76EC1" w:rsidRPr="00F33E86">
              <w:rPr>
                <w:rFonts w:cs="Calibri"/>
              </w:rPr>
              <w:t>34</w:t>
            </w:r>
            <w:r w:rsidRPr="00F33E86">
              <w:rPr>
                <w:rFonts w:cs="Calibri"/>
              </w:rPr>
              <w:t xml:space="preserve"> </w:t>
            </w:r>
            <w:r w:rsidRPr="00F33E86">
              <w:rPr>
                <w:rFonts w:cs="Calibri"/>
                <w:i/>
              </w:rPr>
              <w:t>Interest in</w:t>
            </w:r>
            <w:r w:rsidR="00780A9C" w:rsidRPr="00F33E86">
              <w:rPr>
                <w:rFonts w:cs="Calibri"/>
                <w:i/>
              </w:rPr>
              <w:t xml:space="preserve"> a</w:t>
            </w:r>
            <w:r w:rsidRPr="00F33E86">
              <w:rPr>
                <w:rFonts w:cs="Calibri"/>
                <w:i/>
              </w:rPr>
              <w:t xml:space="preserve"> Joint</w:t>
            </w:r>
            <w:r w:rsidR="00B86F9F" w:rsidRPr="00F33E86">
              <w:rPr>
                <w:rFonts w:cs="Calibri"/>
              </w:rPr>
              <w:t xml:space="preserve"> </w:t>
            </w:r>
            <w:r w:rsidR="00B86F9F" w:rsidRPr="00F33E86">
              <w:rPr>
                <w:rFonts w:cs="Calibri"/>
                <w:i/>
              </w:rPr>
              <w:t>Venture</w:t>
            </w:r>
            <w:r w:rsidRPr="00F33E86">
              <w:rPr>
                <w:rFonts w:cs="Calibri"/>
              </w:rPr>
              <w:t>.</w:t>
            </w:r>
          </w:p>
        </w:tc>
      </w:tr>
      <w:tr w:rsidR="000144FF" w:rsidRPr="00CF7E1B" w14:paraId="73A8D133" w14:textId="77777777" w:rsidTr="0004564D">
        <w:tc>
          <w:tcPr>
            <w:tcW w:w="1560" w:type="dxa"/>
            <w:tcBorders>
              <w:top w:val="nil"/>
              <w:left w:val="single" w:sz="2" w:space="0" w:color="auto"/>
              <w:bottom w:val="nil"/>
              <w:right w:val="single" w:sz="2" w:space="0" w:color="auto"/>
            </w:tcBorders>
          </w:tcPr>
          <w:p w14:paraId="4093151D" w14:textId="77777777" w:rsidR="000144FF" w:rsidRPr="00F33E86" w:rsidRDefault="000144FF">
            <w:pPr>
              <w:pStyle w:val="TableReference"/>
              <w:tabs>
                <w:tab w:val="left" w:pos="3306"/>
              </w:tabs>
              <w:rPr>
                <w:rFonts w:cs="Calibri"/>
                <w:color w:val="7030A0"/>
                <w:sz w:val="14"/>
              </w:rPr>
            </w:pPr>
          </w:p>
        </w:tc>
        <w:tc>
          <w:tcPr>
            <w:tcW w:w="8930" w:type="dxa"/>
            <w:tcBorders>
              <w:top w:val="nil"/>
              <w:left w:val="single" w:sz="2" w:space="0" w:color="auto"/>
              <w:bottom w:val="nil"/>
              <w:right w:val="nil"/>
            </w:tcBorders>
          </w:tcPr>
          <w:p w14:paraId="659DD95E" w14:textId="77777777" w:rsidR="000144FF" w:rsidRPr="00F33E86" w:rsidRDefault="000144FF" w:rsidP="0049731D">
            <w:pPr>
              <w:pStyle w:val="TableText"/>
              <w:spacing w:before="120"/>
              <w:jc w:val="both"/>
              <w:rPr>
                <w:rFonts w:cs="Calibri"/>
                <w:b/>
                <w:bCs/>
              </w:rPr>
            </w:pPr>
            <w:bookmarkStart w:id="714" w:name="_Toc48468720"/>
            <w:bookmarkStart w:id="715" w:name="_Toc49155808"/>
            <w:bookmarkStart w:id="716" w:name="_Toc49224223"/>
            <w:r w:rsidRPr="00F33E86">
              <w:rPr>
                <w:rFonts w:cs="Calibri"/>
                <w:b/>
                <w:bCs/>
              </w:rPr>
              <w:t>Contingent Assets</w:t>
            </w:r>
            <w:bookmarkEnd w:id="714"/>
            <w:bookmarkEnd w:id="715"/>
            <w:bookmarkEnd w:id="716"/>
            <w:r w:rsidRPr="00F33E86">
              <w:rPr>
                <w:rFonts w:cs="Calibri"/>
                <w:b/>
                <w:bCs/>
              </w:rPr>
              <w:t xml:space="preserve"> </w:t>
            </w:r>
          </w:p>
        </w:tc>
      </w:tr>
      <w:tr w:rsidR="000144FF" w:rsidRPr="00CF7E1B" w14:paraId="447FAD77" w14:textId="77777777" w:rsidTr="0004564D">
        <w:tc>
          <w:tcPr>
            <w:tcW w:w="1560" w:type="dxa"/>
            <w:tcBorders>
              <w:top w:val="nil"/>
              <w:left w:val="single" w:sz="2" w:space="0" w:color="auto"/>
              <w:bottom w:val="nil"/>
              <w:right w:val="single" w:sz="2" w:space="0" w:color="auto"/>
            </w:tcBorders>
          </w:tcPr>
          <w:p w14:paraId="2E6E7A81" w14:textId="77777777" w:rsidR="000144FF" w:rsidRPr="00F33E86" w:rsidRDefault="000144FF">
            <w:pPr>
              <w:pStyle w:val="TableReference"/>
              <w:tabs>
                <w:tab w:val="left" w:pos="3306"/>
              </w:tabs>
              <w:rPr>
                <w:rFonts w:cs="Calibri"/>
                <w:color w:val="7030A0"/>
                <w:sz w:val="14"/>
              </w:rPr>
            </w:pPr>
            <w:r w:rsidRPr="00F33E86">
              <w:rPr>
                <w:rFonts w:cs="Calibri"/>
                <w:color w:val="7030A0"/>
                <w:sz w:val="14"/>
              </w:rPr>
              <w:t>AASB 137</w:t>
            </w:r>
            <w:r w:rsidR="00D65811" w:rsidRPr="00F33E86">
              <w:rPr>
                <w:rFonts w:cs="Calibri"/>
                <w:color w:val="7030A0"/>
                <w:sz w:val="14"/>
              </w:rPr>
              <w:t>.</w:t>
            </w:r>
            <w:r w:rsidRPr="00F33E86">
              <w:rPr>
                <w:rFonts w:cs="Calibri"/>
                <w:color w:val="7030A0"/>
                <w:sz w:val="14"/>
              </w:rPr>
              <w:t>89</w:t>
            </w:r>
          </w:p>
        </w:tc>
        <w:tc>
          <w:tcPr>
            <w:tcW w:w="8930" w:type="dxa"/>
            <w:tcBorders>
              <w:top w:val="nil"/>
              <w:left w:val="single" w:sz="2" w:space="0" w:color="auto"/>
              <w:bottom w:val="nil"/>
              <w:right w:val="nil"/>
            </w:tcBorders>
          </w:tcPr>
          <w:p w14:paraId="5F5E6CC5" w14:textId="0C8DD22D" w:rsidR="000144FF" w:rsidRPr="00F33E86" w:rsidRDefault="00387862" w:rsidP="00DC5C39">
            <w:pPr>
              <w:jc w:val="both"/>
              <w:rPr>
                <w:rFonts w:cs="Calibri"/>
                <w:sz w:val="18"/>
                <w:szCs w:val="18"/>
              </w:rPr>
            </w:pPr>
            <w:r w:rsidRPr="00F33E86">
              <w:rPr>
                <w:rFonts w:cs="Calibri"/>
                <w:sz w:val="18"/>
                <w:szCs w:val="18"/>
              </w:rPr>
              <w:t xml:space="preserve">The only contingent assets as at 30 June </w:t>
            </w:r>
            <w:r w:rsidR="00C63A13" w:rsidRPr="00F33E86">
              <w:rPr>
                <w:rFonts w:cs="Calibri"/>
                <w:sz w:val="18"/>
                <w:szCs w:val="18"/>
              </w:rPr>
              <w:t>2022</w:t>
            </w:r>
            <w:r w:rsidRPr="00F33E86">
              <w:rPr>
                <w:rFonts w:cs="Calibri"/>
                <w:sz w:val="18"/>
                <w:szCs w:val="18"/>
              </w:rPr>
              <w:t xml:space="preserve"> relate to ‘</w:t>
            </w:r>
            <w:r w:rsidR="003B044B" w:rsidRPr="00F33E86">
              <w:rPr>
                <w:sz w:val="18"/>
                <w:szCs w:val="18"/>
              </w:rPr>
              <w:t>Burley Griffin</w:t>
            </w:r>
            <w:r w:rsidR="003B044B" w:rsidRPr="00F33E86">
              <w:rPr>
                <w:bCs/>
                <w:sz w:val="18"/>
                <w:szCs w:val="18"/>
              </w:rPr>
              <w:t xml:space="preserve"> </w:t>
            </w:r>
            <w:r w:rsidRPr="00F33E86">
              <w:rPr>
                <w:rFonts w:cs="Calibri"/>
                <w:sz w:val="18"/>
                <w:szCs w:val="18"/>
              </w:rPr>
              <w:t>Agency’s’ insurance arrangements where reimburseme</w:t>
            </w:r>
            <w:r w:rsidR="00251756" w:rsidRPr="00F33E86">
              <w:rPr>
                <w:rFonts w:cs="Calibri"/>
                <w:sz w:val="18"/>
                <w:szCs w:val="18"/>
              </w:rPr>
              <w:t>nt from ACTIA occurs (see Legal</w:t>
            </w:r>
            <w:r w:rsidRPr="00F33E86">
              <w:rPr>
                <w:rFonts w:cs="Calibri"/>
                <w:sz w:val="18"/>
                <w:szCs w:val="18"/>
              </w:rPr>
              <w:t xml:space="preserve"> </w:t>
            </w:r>
            <w:r w:rsidR="00251756" w:rsidRPr="00F33E86">
              <w:rPr>
                <w:rFonts w:cs="Calibri"/>
                <w:sz w:val="18"/>
                <w:szCs w:val="18"/>
              </w:rPr>
              <w:t xml:space="preserve">Claims </w:t>
            </w:r>
            <w:r w:rsidRPr="00F33E86">
              <w:rPr>
                <w:rFonts w:cs="Calibri"/>
                <w:sz w:val="18"/>
                <w:szCs w:val="18"/>
              </w:rPr>
              <w:t>above).</w:t>
            </w:r>
            <w:r w:rsidR="00FA7C77">
              <w:rPr>
                <w:rFonts w:cs="Calibri"/>
                <w:sz w:val="18"/>
                <w:szCs w:val="18"/>
              </w:rPr>
              <w:t xml:space="preserve"> </w:t>
            </w:r>
          </w:p>
        </w:tc>
      </w:tr>
      <w:tr w:rsidR="00417B0E" w:rsidRPr="00CF7E1B" w14:paraId="6FA405A5" w14:textId="77777777" w:rsidTr="0004564D">
        <w:tc>
          <w:tcPr>
            <w:tcW w:w="1560" w:type="dxa"/>
            <w:tcBorders>
              <w:top w:val="nil"/>
              <w:left w:val="single" w:sz="2" w:space="0" w:color="auto"/>
              <w:bottom w:val="nil"/>
              <w:right w:val="single" w:sz="2" w:space="0" w:color="auto"/>
            </w:tcBorders>
          </w:tcPr>
          <w:p w14:paraId="712E7748" w14:textId="77777777" w:rsidR="00417B0E" w:rsidRPr="00F33E86" w:rsidRDefault="00417B0E">
            <w:pPr>
              <w:pStyle w:val="TableReference"/>
              <w:tabs>
                <w:tab w:val="left" w:pos="3306"/>
              </w:tabs>
              <w:spacing w:before="40"/>
              <w:rPr>
                <w:rFonts w:cs="Calibri"/>
                <w:color w:val="7030A0"/>
                <w:sz w:val="14"/>
              </w:rPr>
            </w:pPr>
          </w:p>
        </w:tc>
        <w:tc>
          <w:tcPr>
            <w:tcW w:w="8930" w:type="dxa"/>
            <w:tcBorders>
              <w:top w:val="nil"/>
              <w:left w:val="single" w:sz="2" w:space="0" w:color="auto"/>
              <w:bottom w:val="nil"/>
              <w:right w:val="nil"/>
            </w:tcBorders>
          </w:tcPr>
          <w:p w14:paraId="1EA3092F" w14:textId="77777777" w:rsidR="00417B0E" w:rsidRPr="00CF7E1B" w:rsidRDefault="00417B0E">
            <w:pPr>
              <w:pStyle w:val="TableText"/>
              <w:rPr>
                <w:rFonts w:cs="Calibri"/>
              </w:rPr>
            </w:pPr>
          </w:p>
        </w:tc>
      </w:tr>
      <w:tr w:rsidR="000144FF" w:rsidRPr="00CF7E1B" w14:paraId="0CBCFAC7"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02798647" w14:textId="77777777" w:rsidR="000144FF" w:rsidRPr="00F33E86" w:rsidRDefault="000144FF" w:rsidP="00B330CA">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0B2104AC" w14:textId="2616D1D3" w:rsidR="000144FF" w:rsidRPr="00F33E86" w:rsidRDefault="000144FF" w:rsidP="00B330CA">
            <w:pPr>
              <w:pStyle w:val="CommentaryTitle"/>
              <w:pageBreakBefore w:val="0"/>
              <w:tabs>
                <w:tab w:val="left" w:pos="3306"/>
              </w:tabs>
              <w:spacing w:before="0" w:after="240"/>
              <w:rPr>
                <w:rFonts w:cs="Calibri"/>
                <w:color w:val="FFFFFF" w:themeColor="background1"/>
                <w:sz w:val="28"/>
                <w:szCs w:val="28"/>
              </w:rPr>
            </w:pPr>
            <w:bookmarkStart w:id="717" w:name="_Toc50440393"/>
            <w:bookmarkStart w:id="718" w:name="_Toc163106384"/>
            <w:r w:rsidRPr="00F33E86">
              <w:rPr>
                <w:rFonts w:cs="Calibri"/>
                <w:color w:val="FFFFFF" w:themeColor="background1"/>
                <w:sz w:val="28"/>
                <w:szCs w:val="28"/>
              </w:rPr>
              <w:t xml:space="preserve">Commentary </w:t>
            </w:r>
            <w:r w:rsidRPr="00F33E86">
              <w:rPr>
                <w:rFonts w:cs="Calibri"/>
                <w:color w:val="FFFFFF" w:themeColor="background1"/>
                <w:sz w:val="28"/>
                <w:szCs w:val="28"/>
              </w:rPr>
              <w:sym w:font="Symbol" w:char="F02D"/>
            </w:r>
            <w:r w:rsidR="00794322" w:rsidRPr="00F33E86">
              <w:rPr>
                <w:rFonts w:cs="Calibri"/>
                <w:color w:val="FFFFFF" w:themeColor="background1"/>
                <w:sz w:val="28"/>
                <w:szCs w:val="28"/>
              </w:rPr>
              <w:t xml:space="preserve"> Note </w:t>
            </w:r>
            <w:r w:rsidR="00364EB1" w:rsidRPr="00F33E86">
              <w:rPr>
                <w:rFonts w:cs="Calibri"/>
                <w:color w:val="FFFFFF" w:themeColor="background1"/>
                <w:sz w:val="28"/>
                <w:szCs w:val="28"/>
              </w:rPr>
              <w:t>33</w:t>
            </w:r>
            <w:r w:rsidRPr="00F33E86">
              <w:rPr>
                <w:rFonts w:cs="Calibri"/>
                <w:color w:val="FFFFFF" w:themeColor="background1"/>
                <w:sz w:val="28"/>
                <w:szCs w:val="28"/>
              </w:rPr>
              <w:t xml:space="preserve">: </w:t>
            </w:r>
            <w:bookmarkEnd w:id="717"/>
            <w:r w:rsidRPr="00F33E86">
              <w:rPr>
                <w:rFonts w:cs="Calibri"/>
                <w:color w:val="FFFFFF" w:themeColor="background1"/>
                <w:sz w:val="28"/>
                <w:szCs w:val="28"/>
              </w:rPr>
              <w:t>Contingent Liabilities and Contingent Assets</w:t>
            </w:r>
            <w:bookmarkEnd w:id="718"/>
          </w:p>
        </w:tc>
      </w:tr>
      <w:tr w:rsidR="000144FF" w:rsidRPr="00CF7E1B" w14:paraId="3E29D34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48ED68EB" w14:textId="77777777" w:rsidR="000144FF" w:rsidRPr="00F33E86" w:rsidRDefault="000144FF">
            <w:pPr>
              <w:pStyle w:val="TableReference"/>
              <w:tabs>
                <w:tab w:val="left" w:pos="3306"/>
              </w:tabs>
              <w:rPr>
                <w:rFonts w:cs="Calibri"/>
                <w:color w:val="7030A0"/>
                <w:sz w:val="14"/>
              </w:rPr>
            </w:pPr>
          </w:p>
        </w:tc>
        <w:tc>
          <w:tcPr>
            <w:tcW w:w="8930" w:type="dxa"/>
            <w:tcBorders>
              <w:left w:val="single" w:sz="2" w:space="0" w:color="auto"/>
            </w:tcBorders>
            <w:shd w:val="clear" w:color="auto" w:fill="7030A0"/>
          </w:tcPr>
          <w:p w14:paraId="56DED8A3" w14:textId="77777777" w:rsidR="000144FF" w:rsidRPr="00B330CA" w:rsidRDefault="000144FF" w:rsidP="00421579">
            <w:pPr>
              <w:pStyle w:val="CommentaryHeading"/>
              <w:tabs>
                <w:tab w:val="left" w:pos="3306"/>
              </w:tabs>
              <w:spacing w:before="0" w:after="0"/>
              <w:rPr>
                <w:rFonts w:cs="Calibri"/>
                <w:color w:val="FFFFFF" w:themeColor="background1"/>
                <w:szCs w:val="20"/>
              </w:rPr>
            </w:pPr>
            <w:r w:rsidRPr="00B330CA">
              <w:rPr>
                <w:rFonts w:cs="Calibri"/>
                <w:color w:val="FFFFFF" w:themeColor="background1"/>
                <w:szCs w:val="20"/>
              </w:rPr>
              <w:t>Definitions</w:t>
            </w:r>
          </w:p>
        </w:tc>
      </w:tr>
      <w:tr w:rsidR="000144FF" w:rsidRPr="00CF7E1B" w14:paraId="3F7798B6"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1560" w:type="dxa"/>
            <w:tcBorders>
              <w:left w:val="single" w:sz="2" w:space="0" w:color="auto"/>
              <w:right w:val="single" w:sz="2" w:space="0" w:color="auto"/>
            </w:tcBorders>
          </w:tcPr>
          <w:p w14:paraId="659B6AD6" w14:textId="77777777" w:rsidR="000144FF" w:rsidRPr="00F33E86" w:rsidRDefault="000144FF">
            <w:pPr>
              <w:pStyle w:val="TableReference"/>
              <w:tabs>
                <w:tab w:val="left" w:pos="3306"/>
              </w:tabs>
              <w:spacing w:before="60"/>
              <w:rPr>
                <w:rFonts w:cs="Calibri"/>
                <w:color w:val="7030A0"/>
                <w:sz w:val="14"/>
              </w:rPr>
            </w:pPr>
            <w:r w:rsidRPr="00F33E86">
              <w:rPr>
                <w:rFonts w:cs="Calibri"/>
                <w:color w:val="7030A0"/>
                <w:sz w:val="14"/>
              </w:rPr>
              <w:t>AASB 137</w:t>
            </w:r>
            <w:r w:rsidR="00D65811" w:rsidRPr="00F33E86">
              <w:rPr>
                <w:rFonts w:cs="Calibri"/>
                <w:color w:val="7030A0"/>
                <w:sz w:val="14"/>
              </w:rPr>
              <w:t>.</w:t>
            </w:r>
            <w:r w:rsidRPr="00F33E86">
              <w:rPr>
                <w:rFonts w:cs="Calibri"/>
                <w:color w:val="7030A0"/>
                <w:sz w:val="14"/>
              </w:rPr>
              <w:t>10</w:t>
            </w:r>
          </w:p>
          <w:p w14:paraId="165E9359" w14:textId="77777777" w:rsidR="00C02E5A" w:rsidRPr="00F33E86" w:rsidRDefault="00C02E5A">
            <w:pPr>
              <w:pStyle w:val="TableReference"/>
              <w:tabs>
                <w:tab w:val="left" w:pos="3306"/>
              </w:tabs>
              <w:spacing w:before="60"/>
              <w:rPr>
                <w:rFonts w:cs="Calibri"/>
                <w:color w:val="7030A0"/>
                <w:sz w:val="14"/>
              </w:rPr>
            </w:pPr>
          </w:p>
          <w:p w14:paraId="562BDE09" w14:textId="6C3201B1" w:rsidR="000144FF" w:rsidRPr="00F33E86" w:rsidRDefault="000144FF" w:rsidP="00C02E5A">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6BF1E70B" w14:textId="77777777" w:rsidR="000144FF" w:rsidRPr="00F33E86" w:rsidRDefault="000144FF" w:rsidP="00607914">
            <w:pPr>
              <w:pStyle w:val="CommentaryText"/>
              <w:tabs>
                <w:tab w:val="left" w:pos="3306"/>
              </w:tabs>
              <w:spacing w:after="40"/>
              <w:rPr>
                <w:rFonts w:cs="Calibri"/>
                <w:color w:val="FFFFFF" w:themeColor="background1"/>
                <w:sz w:val="18"/>
                <w:szCs w:val="18"/>
              </w:rPr>
            </w:pPr>
            <w:r w:rsidRPr="00F33E86">
              <w:rPr>
                <w:rFonts w:cs="Calibri"/>
                <w:color w:val="FFFFFF" w:themeColor="background1"/>
                <w:sz w:val="18"/>
                <w:szCs w:val="18"/>
              </w:rPr>
              <w:t>A contingent liability is:</w:t>
            </w:r>
          </w:p>
          <w:p w14:paraId="3A3980CA" w14:textId="77777777" w:rsidR="000144FF" w:rsidRPr="00F33E86" w:rsidRDefault="000144FF" w:rsidP="00607914">
            <w:pPr>
              <w:pStyle w:val="Commentary-Bullet"/>
              <w:tabs>
                <w:tab w:val="clear" w:pos="502"/>
              </w:tabs>
              <w:spacing w:after="40"/>
              <w:ind w:left="604" w:hanging="284"/>
              <w:rPr>
                <w:rFonts w:cs="Calibri"/>
                <w:color w:val="FFFFFF" w:themeColor="background1"/>
                <w:sz w:val="18"/>
                <w:szCs w:val="18"/>
              </w:rPr>
            </w:pPr>
            <w:r w:rsidRPr="00F33E86">
              <w:rPr>
                <w:rFonts w:cs="Calibri"/>
                <w:color w:val="FFFFFF" w:themeColor="background1"/>
                <w:sz w:val="18"/>
                <w:szCs w:val="18"/>
              </w:rPr>
              <w:t xml:space="preserve">a possible obligation that arises from past events and whose existence will be confirmed only by the occurrence or non-occurrence of one or more uncertain future events not wholly within the control of the </w:t>
            </w:r>
            <w:r w:rsidR="00D65811" w:rsidRPr="00F33E86">
              <w:rPr>
                <w:rFonts w:cs="Calibri"/>
                <w:color w:val="FFFFFF" w:themeColor="background1"/>
                <w:sz w:val="18"/>
                <w:szCs w:val="18"/>
              </w:rPr>
              <w:t>a</w:t>
            </w:r>
            <w:r w:rsidR="00B96D8D" w:rsidRPr="00F33E86">
              <w:rPr>
                <w:rFonts w:cs="Calibri"/>
                <w:color w:val="FFFFFF" w:themeColor="background1"/>
                <w:sz w:val="18"/>
                <w:szCs w:val="18"/>
              </w:rPr>
              <w:t>gency</w:t>
            </w:r>
            <w:r w:rsidRPr="00F33E86">
              <w:rPr>
                <w:rFonts w:cs="Calibri"/>
                <w:color w:val="FFFFFF" w:themeColor="background1"/>
                <w:sz w:val="18"/>
                <w:szCs w:val="18"/>
              </w:rPr>
              <w:t>; or</w:t>
            </w:r>
          </w:p>
          <w:p w14:paraId="4B0E9F85" w14:textId="77777777" w:rsidR="000144FF" w:rsidRPr="00F33E86" w:rsidRDefault="000144FF" w:rsidP="00607914">
            <w:pPr>
              <w:pStyle w:val="Commentary-Bullet"/>
              <w:tabs>
                <w:tab w:val="clear" w:pos="502"/>
              </w:tabs>
              <w:spacing w:after="40"/>
              <w:ind w:left="604" w:hanging="284"/>
              <w:rPr>
                <w:rFonts w:cs="Calibri"/>
                <w:color w:val="FFFFFF" w:themeColor="background1"/>
                <w:sz w:val="18"/>
                <w:szCs w:val="18"/>
              </w:rPr>
            </w:pPr>
            <w:r w:rsidRPr="00F33E86">
              <w:rPr>
                <w:rFonts w:cs="Calibri"/>
                <w:color w:val="FFFFFF" w:themeColor="background1"/>
                <w:sz w:val="18"/>
                <w:szCs w:val="18"/>
              </w:rPr>
              <w:t>a present obligation that arises from past events but is not recognised because:</w:t>
            </w:r>
          </w:p>
          <w:p w14:paraId="0B0A9EDD" w14:textId="77777777" w:rsidR="000144FF" w:rsidRPr="00F33E86" w:rsidRDefault="000144FF" w:rsidP="00607914">
            <w:pPr>
              <w:pStyle w:val="Commentary-Bullet"/>
              <w:numPr>
                <w:ilvl w:val="1"/>
                <w:numId w:val="1"/>
              </w:numPr>
              <w:tabs>
                <w:tab w:val="clear" w:pos="751"/>
              </w:tabs>
              <w:spacing w:after="40"/>
              <w:ind w:left="1030" w:hanging="425"/>
              <w:rPr>
                <w:rFonts w:cs="Calibri"/>
                <w:color w:val="FFFFFF" w:themeColor="background1"/>
                <w:sz w:val="18"/>
                <w:szCs w:val="18"/>
              </w:rPr>
            </w:pPr>
            <w:r w:rsidRPr="00F33E86">
              <w:rPr>
                <w:rFonts w:cs="Calibri"/>
                <w:color w:val="FFFFFF" w:themeColor="background1"/>
                <w:sz w:val="18"/>
                <w:szCs w:val="18"/>
              </w:rPr>
              <w:t>it is not probable that an outflow of resources embodying economic benefits will be required to settle the obligation; or</w:t>
            </w:r>
          </w:p>
          <w:p w14:paraId="2F072087" w14:textId="0A64EC32" w:rsidR="00C02E5A" w:rsidRPr="00F33E86" w:rsidRDefault="000144FF" w:rsidP="00607914">
            <w:pPr>
              <w:pStyle w:val="CommentaryText"/>
              <w:numPr>
                <w:ilvl w:val="1"/>
                <w:numId w:val="1"/>
              </w:numPr>
              <w:tabs>
                <w:tab w:val="clear" w:pos="751"/>
                <w:tab w:val="left" w:pos="3306"/>
              </w:tabs>
              <w:spacing w:after="0"/>
              <w:ind w:left="1030" w:hanging="433"/>
              <w:rPr>
                <w:rFonts w:cs="Calibri"/>
                <w:color w:val="FFFFFF" w:themeColor="background1"/>
                <w:sz w:val="18"/>
                <w:szCs w:val="18"/>
              </w:rPr>
            </w:pPr>
            <w:r w:rsidRPr="00F33E86">
              <w:rPr>
                <w:rFonts w:cs="Calibri"/>
                <w:color w:val="FFFFFF" w:themeColor="background1"/>
                <w:sz w:val="18"/>
                <w:szCs w:val="18"/>
              </w:rPr>
              <w:t>the amount of the obligation cannot be measured with sufficient reliability.</w:t>
            </w:r>
          </w:p>
        </w:tc>
      </w:tr>
      <w:tr w:rsidR="0049731D" w:rsidRPr="00CF7E1B" w14:paraId="79FF55E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3"/>
        </w:trPr>
        <w:tc>
          <w:tcPr>
            <w:tcW w:w="1560" w:type="dxa"/>
            <w:tcBorders>
              <w:left w:val="single" w:sz="2" w:space="0" w:color="auto"/>
              <w:right w:val="single" w:sz="2" w:space="0" w:color="auto"/>
            </w:tcBorders>
          </w:tcPr>
          <w:p w14:paraId="5F7529B6" w14:textId="5577E706" w:rsidR="0049731D" w:rsidRPr="00F33E86" w:rsidRDefault="0049731D" w:rsidP="0049731D">
            <w:pPr>
              <w:pStyle w:val="TableReference"/>
              <w:tabs>
                <w:tab w:val="left" w:pos="3306"/>
              </w:tabs>
              <w:spacing w:before="180"/>
              <w:rPr>
                <w:rFonts w:cs="Calibri"/>
                <w:color w:val="7030A0"/>
                <w:sz w:val="14"/>
              </w:rPr>
            </w:pPr>
            <w:r w:rsidRPr="00F33E86">
              <w:rPr>
                <w:rFonts w:cs="Calibri"/>
                <w:color w:val="7030A0"/>
                <w:sz w:val="14"/>
              </w:rPr>
              <w:t>AASB 137.10</w:t>
            </w:r>
          </w:p>
        </w:tc>
        <w:tc>
          <w:tcPr>
            <w:tcW w:w="8930" w:type="dxa"/>
            <w:tcBorders>
              <w:left w:val="single" w:sz="2" w:space="0" w:color="auto"/>
            </w:tcBorders>
            <w:shd w:val="clear" w:color="auto" w:fill="7030A0"/>
          </w:tcPr>
          <w:p w14:paraId="2CCE1B70" w14:textId="2CC87620" w:rsidR="0049731D" w:rsidRPr="00F33E86" w:rsidRDefault="0049731D" w:rsidP="00411210">
            <w:pPr>
              <w:pStyle w:val="CommentaryText"/>
              <w:tabs>
                <w:tab w:val="left" w:pos="3306"/>
              </w:tabs>
              <w:spacing w:before="120"/>
              <w:rPr>
                <w:rFonts w:cs="Calibri"/>
                <w:color w:val="FFFFFF" w:themeColor="background1"/>
                <w:sz w:val="18"/>
                <w:szCs w:val="18"/>
              </w:rPr>
            </w:pPr>
            <w:r w:rsidRPr="00F33E86">
              <w:rPr>
                <w:rFonts w:cs="Calibri"/>
                <w:color w:val="FFFFFF" w:themeColor="background1"/>
                <w:sz w:val="18"/>
                <w:szCs w:val="18"/>
              </w:rPr>
              <w:t>A contingent asset is a possible asset that arises from past events, whose existence will be confirmed only by the occurrence or non-occurrence of one or more uncertain future events not wholly within the control of the agency.</w:t>
            </w:r>
          </w:p>
        </w:tc>
      </w:tr>
      <w:tr w:rsidR="00F33E86" w:rsidRPr="00CF7E1B" w14:paraId="10DD2C5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0D9A67D2" w14:textId="77777777" w:rsidR="00F33E86" w:rsidRPr="00F33E86" w:rsidRDefault="00F33E86"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778DAAC5" w14:textId="77777777" w:rsidR="00F33E86" w:rsidRPr="00B330CA" w:rsidRDefault="00F33E86" w:rsidP="009A0F2F">
            <w:pPr>
              <w:pStyle w:val="CommentaryHeading"/>
              <w:spacing w:after="0"/>
              <w:ind w:left="34"/>
              <w:rPr>
                <w:rFonts w:cs="Calibri"/>
                <w:color w:val="FFFFFF" w:themeColor="background1"/>
                <w:szCs w:val="20"/>
              </w:rPr>
            </w:pPr>
            <w:r w:rsidRPr="00B330CA">
              <w:rPr>
                <w:rFonts w:cs="Calibri"/>
                <w:color w:val="FFFFFF" w:themeColor="background1"/>
                <w:szCs w:val="20"/>
              </w:rPr>
              <w:t>Disclosure of Contingent Liability</w:t>
            </w:r>
          </w:p>
        </w:tc>
      </w:tr>
      <w:tr w:rsidR="00F33E86" w:rsidRPr="00CF7E1B" w14:paraId="027F423E"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0FFB11A6" w14:textId="77777777" w:rsidR="00F33E86" w:rsidRPr="00F33E86" w:rsidRDefault="00F33E86" w:rsidP="009A0F2F">
            <w:pPr>
              <w:pStyle w:val="TableReference"/>
              <w:tabs>
                <w:tab w:val="left" w:pos="3306"/>
              </w:tabs>
              <w:spacing w:before="60"/>
              <w:rPr>
                <w:rFonts w:cs="Calibri"/>
                <w:color w:val="7030A0"/>
                <w:sz w:val="14"/>
              </w:rPr>
            </w:pPr>
            <w:r w:rsidRPr="00F33E86">
              <w:rPr>
                <w:rFonts w:cs="Calibri"/>
                <w:color w:val="7030A0"/>
                <w:sz w:val="14"/>
              </w:rPr>
              <w:t>AASB 137.86</w:t>
            </w:r>
          </w:p>
          <w:p w14:paraId="2DE0D370" w14:textId="77777777" w:rsidR="00F33E86" w:rsidRPr="00F33E86" w:rsidRDefault="00F33E86" w:rsidP="009A0F2F">
            <w:pPr>
              <w:pStyle w:val="TableReference"/>
              <w:tabs>
                <w:tab w:val="left" w:pos="3306"/>
              </w:tabs>
              <w:spacing w:before="60"/>
              <w:rPr>
                <w:rFonts w:cs="Calibri"/>
                <w:color w:val="7030A0"/>
                <w:sz w:val="14"/>
              </w:rPr>
            </w:pPr>
          </w:p>
          <w:p w14:paraId="251C4A21" w14:textId="77777777" w:rsidR="00F33E86" w:rsidRPr="00F33E86" w:rsidRDefault="00F33E86" w:rsidP="009A0F2F">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95490AE" w14:textId="77777777" w:rsidR="00F33E86" w:rsidRPr="00F33E86" w:rsidRDefault="00F33E86" w:rsidP="009A0F2F">
            <w:pPr>
              <w:pStyle w:val="CommentaryText"/>
              <w:spacing w:after="40"/>
              <w:ind w:left="34"/>
              <w:rPr>
                <w:rFonts w:cs="Calibri"/>
                <w:color w:val="FFFFFF" w:themeColor="background1"/>
                <w:sz w:val="18"/>
                <w:szCs w:val="18"/>
              </w:rPr>
            </w:pPr>
            <w:r w:rsidRPr="00F33E86">
              <w:rPr>
                <w:rFonts w:cs="Calibri"/>
                <w:color w:val="FFFFFF" w:themeColor="background1"/>
                <w:sz w:val="18"/>
                <w:szCs w:val="18"/>
              </w:rPr>
              <w:t>For each class of contingent liability, an agency shall disclose at the reporting date, unless the possibility of any outflow in settlement is remote, a brief description of the nature of the liability and where practicable:</w:t>
            </w:r>
          </w:p>
          <w:p w14:paraId="4C3F41FF" w14:textId="77777777" w:rsidR="00F33E86" w:rsidRPr="00F33E86" w:rsidRDefault="00F33E86" w:rsidP="009A0F2F">
            <w:pPr>
              <w:pStyle w:val="CommentaryText"/>
              <w:numPr>
                <w:ilvl w:val="1"/>
                <w:numId w:val="2"/>
              </w:numPr>
              <w:spacing w:after="40"/>
              <w:ind w:left="604" w:hanging="283"/>
              <w:rPr>
                <w:rFonts w:cs="Calibri"/>
                <w:color w:val="FFFFFF" w:themeColor="background1"/>
                <w:sz w:val="18"/>
                <w:szCs w:val="18"/>
              </w:rPr>
            </w:pPr>
            <w:r w:rsidRPr="00F33E86">
              <w:rPr>
                <w:rFonts w:cs="Calibri"/>
                <w:color w:val="FFFFFF" w:themeColor="background1"/>
                <w:sz w:val="18"/>
                <w:szCs w:val="18"/>
              </w:rPr>
              <w:t>an estimate of its financial effect;</w:t>
            </w:r>
          </w:p>
          <w:p w14:paraId="31D3A4DC" w14:textId="77777777" w:rsidR="00F33E86" w:rsidRPr="00F33E86" w:rsidRDefault="00F33E86" w:rsidP="009A0F2F">
            <w:pPr>
              <w:pStyle w:val="CommentaryText"/>
              <w:numPr>
                <w:ilvl w:val="1"/>
                <w:numId w:val="2"/>
              </w:numPr>
              <w:spacing w:after="40"/>
              <w:ind w:left="604" w:hanging="283"/>
              <w:rPr>
                <w:rFonts w:cs="Calibri"/>
                <w:color w:val="FFFFFF" w:themeColor="background1"/>
                <w:sz w:val="18"/>
                <w:szCs w:val="18"/>
              </w:rPr>
            </w:pPr>
            <w:r w:rsidRPr="00F33E86">
              <w:rPr>
                <w:rFonts w:cs="Calibri"/>
                <w:color w:val="FFFFFF" w:themeColor="background1"/>
                <w:sz w:val="18"/>
                <w:szCs w:val="18"/>
              </w:rPr>
              <w:t>an indication of the uncertainties relating to the amount or timing of any outflow; and</w:t>
            </w:r>
          </w:p>
          <w:p w14:paraId="1F6861DE" w14:textId="77777777" w:rsidR="00F33E86" w:rsidRPr="00F33E86" w:rsidRDefault="00F33E86" w:rsidP="009A0F2F">
            <w:pPr>
              <w:pStyle w:val="CommentaryText"/>
              <w:numPr>
                <w:ilvl w:val="1"/>
                <w:numId w:val="2"/>
              </w:numPr>
              <w:ind w:left="607" w:hanging="284"/>
              <w:rPr>
                <w:rFonts w:cs="Calibri"/>
                <w:color w:val="FFFFFF" w:themeColor="background1"/>
                <w:sz w:val="18"/>
                <w:szCs w:val="18"/>
              </w:rPr>
            </w:pPr>
            <w:r w:rsidRPr="00F33E86">
              <w:rPr>
                <w:rFonts w:cs="Calibri"/>
                <w:color w:val="FFFFFF" w:themeColor="background1"/>
                <w:sz w:val="18"/>
                <w:szCs w:val="18"/>
              </w:rPr>
              <w:t>the possibility of any reimbursement.</w:t>
            </w:r>
          </w:p>
        </w:tc>
      </w:tr>
      <w:tr w:rsidR="00F33E86" w:rsidRPr="00CF7E1B" w14:paraId="4EB52FB6"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71CE7AA" w14:textId="77777777" w:rsidR="00F33E86" w:rsidRPr="00F33E86" w:rsidRDefault="00F33E86" w:rsidP="009A0F2F">
            <w:pPr>
              <w:pStyle w:val="TableReference"/>
              <w:tabs>
                <w:tab w:val="left" w:pos="3306"/>
              </w:tabs>
              <w:spacing w:before="60"/>
              <w:rPr>
                <w:rFonts w:cs="Calibri"/>
                <w:color w:val="7030A0"/>
                <w:sz w:val="14"/>
              </w:rPr>
            </w:pPr>
            <w:r w:rsidRPr="00F33E86">
              <w:rPr>
                <w:rFonts w:cs="Calibri"/>
                <w:color w:val="7030A0"/>
                <w:sz w:val="14"/>
              </w:rPr>
              <w:t>AASB 137.89</w:t>
            </w:r>
          </w:p>
        </w:tc>
        <w:tc>
          <w:tcPr>
            <w:tcW w:w="8930" w:type="dxa"/>
            <w:tcBorders>
              <w:left w:val="single" w:sz="2" w:space="0" w:color="auto"/>
            </w:tcBorders>
            <w:shd w:val="clear" w:color="auto" w:fill="7030A0"/>
          </w:tcPr>
          <w:p w14:paraId="5AF045DE" w14:textId="77777777" w:rsidR="00F33E86" w:rsidRPr="00F33E86" w:rsidRDefault="00F33E86" w:rsidP="009A0F2F">
            <w:pPr>
              <w:pStyle w:val="CommentaryText"/>
              <w:ind w:left="34"/>
              <w:rPr>
                <w:rFonts w:cs="Calibri"/>
                <w:color w:val="FFFFFF" w:themeColor="background1"/>
                <w:sz w:val="18"/>
                <w:szCs w:val="18"/>
              </w:rPr>
            </w:pPr>
            <w:r w:rsidRPr="00F33E86">
              <w:rPr>
                <w:rFonts w:cs="Calibri"/>
                <w:color w:val="FFFFFF" w:themeColor="background1"/>
                <w:sz w:val="18"/>
                <w:szCs w:val="18"/>
                <w:lang w:val="en-US"/>
              </w:rPr>
              <w:t>Where an inflow of economic benefits is probable, an agency shall disclose a brief description of the nature of the contingent assets at the reporting date, and, where practicable, an estimate of the financial effect.</w:t>
            </w:r>
          </w:p>
        </w:tc>
      </w:tr>
      <w:tr w:rsidR="00F33E86" w:rsidRPr="00CF7E1B" w14:paraId="76BCC1A6"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17F43FB2" w14:textId="77777777" w:rsidR="00F33E86" w:rsidRPr="00F33E86" w:rsidRDefault="00F33E86" w:rsidP="009A0F2F">
            <w:pPr>
              <w:pStyle w:val="TableReference"/>
              <w:tabs>
                <w:tab w:val="left" w:pos="3306"/>
              </w:tabs>
              <w:spacing w:before="60"/>
              <w:rPr>
                <w:rFonts w:cs="Calibri"/>
                <w:color w:val="7030A0"/>
                <w:sz w:val="14"/>
              </w:rPr>
            </w:pPr>
            <w:r w:rsidRPr="00F33E86">
              <w:rPr>
                <w:rFonts w:cs="Calibri"/>
                <w:color w:val="7030A0"/>
                <w:sz w:val="14"/>
              </w:rPr>
              <w:t>AASB 137.91</w:t>
            </w:r>
          </w:p>
        </w:tc>
        <w:tc>
          <w:tcPr>
            <w:tcW w:w="8930" w:type="dxa"/>
            <w:tcBorders>
              <w:left w:val="single" w:sz="2" w:space="0" w:color="auto"/>
            </w:tcBorders>
            <w:shd w:val="clear" w:color="auto" w:fill="7030A0"/>
          </w:tcPr>
          <w:p w14:paraId="103C5CB2" w14:textId="77777777" w:rsidR="00F33E86" w:rsidRPr="00F33E86" w:rsidRDefault="00F33E86" w:rsidP="009A0F2F">
            <w:pPr>
              <w:pStyle w:val="CommentaryText"/>
              <w:ind w:left="34"/>
              <w:rPr>
                <w:rFonts w:cs="Calibri"/>
                <w:color w:val="FFFFFF" w:themeColor="background1"/>
                <w:sz w:val="18"/>
                <w:szCs w:val="18"/>
              </w:rPr>
            </w:pPr>
            <w:r w:rsidRPr="00F33E86">
              <w:rPr>
                <w:rFonts w:cs="Calibri"/>
                <w:color w:val="FFFFFF" w:themeColor="background1"/>
                <w:sz w:val="18"/>
                <w:szCs w:val="18"/>
              </w:rPr>
              <w:t>Where information regarding contingent liabilities and contingent assets is not disclosed because it is not practicable to do so, that fact must be stated.</w:t>
            </w:r>
          </w:p>
        </w:tc>
      </w:tr>
      <w:tr w:rsidR="00EA1220" w:rsidRPr="00CF7E1B" w14:paraId="7622BD0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7620A7A3" w14:textId="77777777" w:rsidR="00EA1220" w:rsidRPr="00F33E86" w:rsidRDefault="00EA1220">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5DCBFFD7" w14:textId="325A5B6B" w:rsidR="00EA1220" w:rsidRPr="00B330CA" w:rsidRDefault="00EA1220" w:rsidP="00CF07CB">
            <w:pPr>
              <w:pStyle w:val="CommentaryText"/>
              <w:spacing w:before="120" w:after="40"/>
              <w:ind w:left="34"/>
              <w:rPr>
                <w:rFonts w:cs="Calibri"/>
                <w:b/>
                <w:bCs/>
                <w:color w:val="FFFFFF" w:themeColor="background1"/>
                <w:szCs w:val="20"/>
              </w:rPr>
            </w:pPr>
            <w:r w:rsidRPr="00B330CA">
              <w:rPr>
                <w:rFonts w:cs="Calibri"/>
                <w:b/>
                <w:bCs/>
                <w:color w:val="FFFFFF" w:themeColor="background1"/>
                <w:szCs w:val="20"/>
              </w:rPr>
              <w:t>Contingent Liability Relating to Legal Action</w:t>
            </w:r>
          </w:p>
        </w:tc>
      </w:tr>
      <w:tr w:rsidR="00EA1220" w:rsidRPr="00CF7E1B" w14:paraId="79CB3F42"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02FFF666" w14:textId="00C0C8A1" w:rsidR="00EA1220" w:rsidRPr="00F33E86" w:rsidRDefault="00EA1220" w:rsidP="00EA122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0" w:type="dxa"/>
            <w:tcBorders>
              <w:left w:val="single" w:sz="2" w:space="0" w:color="auto"/>
            </w:tcBorders>
            <w:shd w:val="clear" w:color="auto" w:fill="7030A0"/>
          </w:tcPr>
          <w:p w14:paraId="309C5DE7" w14:textId="12DEEE63" w:rsidR="00EA1220" w:rsidRPr="00F33E86" w:rsidRDefault="00EA1220" w:rsidP="00EA1220">
            <w:pPr>
              <w:pStyle w:val="CommentaryText"/>
              <w:ind w:left="34"/>
              <w:rPr>
                <w:rFonts w:cs="Calibri"/>
                <w:color w:val="FFFFFF" w:themeColor="background1"/>
                <w:sz w:val="18"/>
                <w:szCs w:val="18"/>
              </w:rPr>
            </w:pPr>
            <w:r w:rsidRPr="00F33E86">
              <w:rPr>
                <w:rFonts w:cs="Calibri"/>
                <w:color w:val="FFFFFF" w:themeColor="background1"/>
                <w:sz w:val="18"/>
                <w:szCs w:val="18"/>
                <w:lang w:val="en-US"/>
              </w:rPr>
              <w:t>The estimated contingent liability for legal action relating to an agency should be included in this note.</w:t>
            </w:r>
            <w:r w:rsidR="00FA7C77">
              <w:rPr>
                <w:rFonts w:cs="Calibri"/>
                <w:color w:val="FFFFFF" w:themeColor="background1"/>
                <w:sz w:val="18"/>
                <w:szCs w:val="18"/>
                <w:lang w:val="en-US"/>
              </w:rPr>
              <w:t xml:space="preserve"> </w:t>
            </w:r>
            <w:r w:rsidRPr="00F33E86">
              <w:rPr>
                <w:rFonts w:cs="Calibri"/>
                <w:color w:val="FFFFFF" w:themeColor="background1"/>
                <w:sz w:val="18"/>
                <w:szCs w:val="18"/>
                <w:lang w:val="en-US"/>
              </w:rPr>
              <w:t xml:space="preserve">Where legal </w:t>
            </w:r>
            <w:r w:rsidR="00CF07CB" w:rsidRPr="00F33E86">
              <w:rPr>
                <w:rFonts w:cs="Calibri"/>
                <w:color w:val="FFFFFF" w:themeColor="background1"/>
                <w:sz w:val="18"/>
                <w:szCs w:val="18"/>
                <w:lang w:val="en-US"/>
              </w:rPr>
              <w:t>services</w:t>
            </w:r>
            <w:r w:rsidRPr="00F33E86">
              <w:rPr>
                <w:rFonts w:cs="Calibri"/>
                <w:color w:val="FFFFFF" w:themeColor="background1"/>
                <w:sz w:val="18"/>
                <w:szCs w:val="18"/>
                <w:lang w:val="en-US"/>
              </w:rPr>
              <w:t xml:space="preserve"> </w:t>
            </w:r>
            <w:r w:rsidR="00CF07CB" w:rsidRPr="00F33E86">
              <w:rPr>
                <w:rFonts w:cs="Calibri"/>
                <w:color w:val="FFFFFF" w:themeColor="background1"/>
                <w:sz w:val="18"/>
                <w:szCs w:val="18"/>
                <w:lang w:val="en-US"/>
              </w:rPr>
              <w:t>are</w:t>
            </w:r>
            <w:r w:rsidRPr="00F33E86">
              <w:rPr>
                <w:rFonts w:cs="Calibri"/>
                <w:color w:val="FFFFFF" w:themeColor="background1"/>
                <w:sz w:val="18"/>
                <w:szCs w:val="18"/>
                <w:lang w:val="en-US"/>
              </w:rPr>
              <w:t xml:space="preserve"> undertaken by the Government Solicitors Office, they will </w:t>
            </w:r>
            <w:r w:rsidR="00CF07CB" w:rsidRPr="00F33E86">
              <w:rPr>
                <w:rFonts w:cs="Calibri"/>
                <w:color w:val="FFFFFF" w:themeColor="background1"/>
                <w:sz w:val="18"/>
                <w:szCs w:val="18"/>
                <w:lang w:val="en-US"/>
              </w:rPr>
              <w:t>provide the number of legal matters that occurred throughout the financial year and the estimated amount possibly payable under each legal matter.</w:t>
            </w:r>
            <w:r w:rsidRPr="00F33E86">
              <w:rPr>
                <w:rFonts w:cs="Calibri"/>
                <w:color w:val="FFFFFF" w:themeColor="background1"/>
                <w:sz w:val="18"/>
                <w:szCs w:val="18"/>
                <w:lang w:val="en-US"/>
              </w:rPr>
              <w:t xml:space="preserve"> The note explanation should reflect the insurance arrangement that the agency has with ACTIA.</w:t>
            </w:r>
          </w:p>
        </w:tc>
      </w:tr>
      <w:tr w:rsidR="00EA1220" w:rsidRPr="00CF7E1B" w14:paraId="60CB2F9D"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79042525" w14:textId="77777777" w:rsidR="00EA1220" w:rsidRPr="00F33E86" w:rsidRDefault="00EA1220" w:rsidP="00EA1220">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F12015E" w14:textId="77777777" w:rsidR="00EA1220" w:rsidRPr="00B330CA" w:rsidRDefault="00EA1220" w:rsidP="00EA1220">
            <w:pPr>
              <w:pStyle w:val="CommentaryHeading"/>
              <w:spacing w:before="0" w:after="0"/>
              <w:rPr>
                <w:rFonts w:cs="Calibri"/>
                <w:color w:val="FFFFFF" w:themeColor="background1"/>
                <w:szCs w:val="20"/>
              </w:rPr>
            </w:pPr>
            <w:r w:rsidRPr="00B330CA">
              <w:rPr>
                <w:rFonts w:cs="Calibri"/>
                <w:color w:val="FFFFFF" w:themeColor="background1"/>
                <w:szCs w:val="20"/>
              </w:rPr>
              <w:t>Disclosure that Might Seriously Prejudice the Position of the Agency</w:t>
            </w:r>
          </w:p>
        </w:tc>
      </w:tr>
      <w:tr w:rsidR="00EA1220" w:rsidRPr="00CF7E1B" w14:paraId="51F79522"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6DEE8A46" w14:textId="77777777" w:rsidR="00EA1220" w:rsidRPr="00F33E86" w:rsidRDefault="00EA1220" w:rsidP="00EA1220">
            <w:pPr>
              <w:pStyle w:val="TableReference"/>
              <w:tabs>
                <w:tab w:val="left" w:pos="3306"/>
              </w:tabs>
              <w:spacing w:before="60"/>
              <w:rPr>
                <w:rFonts w:cs="Calibri"/>
                <w:color w:val="7030A0"/>
                <w:sz w:val="14"/>
              </w:rPr>
            </w:pPr>
            <w:r w:rsidRPr="00F33E86">
              <w:rPr>
                <w:rFonts w:cs="Calibri"/>
                <w:color w:val="7030A0"/>
                <w:sz w:val="14"/>
              </w:rPr>
              <w:t>AASB 137.92</w:t>
            </w:r>
          </w:p>
        </w:tc>
        <w:tc>
          <w:tcPr>
            <w:tcW w:w="8930" w:type="dxa"/>
            <w:tcBorders>
              <w:left w:val="single" w:sz="2" w:space="0" w:color="auto"/>
            </w:tcBorders>
            <w:shd w:val="clear" w:color="auto" w:fill="7030A0"/>
          </w:tcPr>
          <w:p w14:paraId="733BA360" w14:textId="02B7C94A" w:rsidR="00EA1220" w:rsidRPr="00F33E86" w:rsidRDefault="00EA1220" w:rsidP="00EA1220">
            <w:pPr>
              <w:pStyle w:val="CommentaryText"/>
              <w:rPr>
                <w:rFonts w:cs="Calibri"/>
                <w:color w:val="FFFFFF" w:themeColor="background1"/>
                <w:sz w:val="18"/>
                <w:szCs w:val="18"/>
              </w:rPr>
            </w:pPr>
            <w:r w:rsidRPr="00F33E86">
              <w:rPr>
                <w:rFonts w:cs="Calibri"/>
                <w:color w:val="FFFFFF" w:themeColor="background1"/>
                <w:sz w:val="18"/>
                <w:szCs w:val="18"/>
              </w:rPr>
              <w:t>In extremely rare cases, disclosure of some or all of the information regarding contingent liabilities and contingent assets may seriously prejudice the position of the agency, and where this is the case, the agency need not disclose that information.</w:t>
            </w:r>
            <w:r w:rsidR="00FA7C77">
              <w:rPr>
                <w:rFonts w:cs="Calibri"/>
                <w:color w:val="FFFFFF" w:themeColor="background1"/>
                <w:sz w:val="18"/>
                <w:szCs w:val="18"/>
              </w:rPr>
              <w:t xml:space="preserve"> </w:t>
            </w:r>
            <w:r w:rsidRPr="00F33E86">
              <w:rPr>
                <w:rFonts w:cs="Calibri"/>
                <w:color w:val="FFFFFF" w:themeColor="background1"/>
                <w:sz w:val="18"/>
                <w:szCs w:val="18"/>
              </w:rPr>
              <w:t>However, the agency must provide information regarding the general nature of the dispute, together with the reason for non-disclosure.</w:t>
            </w:r>
          </w:p>
        </w:tc>
      </w:tr>
      <w:tr w:rsidR="00EA1220" w:rsidRPr="00CF7E1B" w14:paraId="63A20CE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24CBEEE1" w14:textId="77777777" w:rsidR="00EA1220" w:rsidRPr="00F33E86" w:rsidRDefault="00EA1220" w:rsidP="00EA1220">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E97E111" w14:textId="77777777" w:rsidR="00EA1220" w:rsidRPr="00B330CA" w:rsidRDefault="00EA1220" w:rsidP="00EA1220">
            <w:pPr>
              <w:pStyle w:val="CommentaryHeading"/>
              <w:spacing w:before="0" w:after="0"/>
              <w:rPr>
                <w:rFonts w:cs="Calibri"/>
                <w:color w:val="FFFFFF" w:themeColor="background1"/>
                <w:szCs w:val="20"/>
              </w:rPr>
            </w:pPr>
            <w:r w:rsidRPr="00B330CA">
              <w:rPr>
                <w:rFonts w:cs="Calibri"/>
                <w:color w:val="FFFFFF" w:themeColor="background1"/>
                <w:szCs w:val="20"/>
              </w:rPr>
              <w:t>Guarantees</w:t>
            </w:r>
          </w:p>
        </w:tc>
      </w:tr>
      <w:tr w:rsidR="00EA1220" w:rsidRPr="00CF7E1B" w14:paraId="79E55B94"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0" w:type="dxa"/>
            <w:tcBorders>
              <w:left w:val="single" w:sz="2" w:space="0" w:color="auto"/>
              <w:right w:val="single" w:sz="2" w:space="0" w:color="auto"/>
            </w:tcBorders>
          </w:tcPr>
          <w:p w14:paraId="5AD62846" w14:textId="77777777" w:rsidR="00EA1220" w:rsidRPr="00F33E86" w:rsidRDefault="00EA1220" w:rsidP="00EA1220">
            <w:pPr>
              <w:pStyle w:val="TableReference"/>
              <w:tabs>
                <w:tab w:val="left" w:pos="3306"/>
              </w:tabs>
              <w:spacing w:before="60"/>
              <w:rPr>
                <w:rFonts w:cs="Calibri"/>
                <w:color w:val="7030A0"/>
                <w:sz w:val="14"/>
              </w:rPr>
            </w:pPr>
            <w:r w:rsidRPr="00F33E86">
              <w:rPr>
                <w:rFonts w:cs="Calibri"/>
                <w:color w:val="7030A0"/>
                <w:sz w:val="14"/>
              </w:rPr>
              <w:t>FMA Section 47 &amp; 60</w:t>
            </w:r>
          </w:p>
          <w:p w14:paraId="64D3F944" w14:textId="77777777" w:rsidR="00EA1220" w:rsidRPr="00F33E86" w:rsidRDefault="00EA1220" w:rsidP="00EA122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0" w:type="dxa"/>
            <w:tcBorders>
              <w:left w:val="single" w:sz="2" w:space="0" w:color="auto"/>
            </w:tcBorders>
            <w:shd w:val="clear" w:color="auto" w:fill="7030A0"/>
          </w:tcPr>
          <w:p w14:paraId="330E9EDD" w14:textId="77777777" w:rsidR="00EA1220" w:rsidRPr="00F33E86" w:rsidRDefault="00EA1220" w:rsidP="00607914">
            <w:pPr>
              <w:pStyle w:val="CommentaryText"/>
              <w:tabs>
                <w:tab w:val="left" w:pos="3306"/>
              </w:tabs>
              <w:spacing w:after="40"/>
              <w:rPr>
                <w:rFonts w:cs="Calibri"/>
                <w:color w:val="FFFFFF" w:themeColor="background1"/>
                <w:sz w:val="18"/>
                <w:szCs w:val="18"/>
              </w:rPr>
            </w:pPr>
            <w:r w:rsidRPr="00F33E86">
              <w:rPr>
                <w:rFonts w:cs="Calibri"/>
                <w:color w:val="FFFFFF" w:themeColor="background1"/>
                <w:sz w:val="18"/>
                <w:szCs w:val="18"/>
              </w:rPr>
              <w:t>It is ACT Disclosure Policy that agencies disclose any guarantees and undertakings given by them, including guarantees or undertakings in respect of (but not restricted to) loans, interest payments or overdrafts of the agency which:</w:t>
            </w:r>
          </w:p>
          <w:p w14:paraId="52F1531C" w14:textId="77777777" w:rsidR="00EA1220" w:rsidRPr="00F33E86" w:rsidRDefault="00EA1220" w:rsidP="00607914">
            <w:pPr>
              <w:pStyle w:val="Commentary-Bullet"/>
              <w:tabs>
                <w:tab w:val="clear" w:pos="502"/>
              </w:tabs>
              <w:spacing w:after="40"/>
              <w:ind w:left="604" w:hanging="454"/>
              <w:rPr>
                <w:rFonts w:cs="Calibri"/>
                <w:color w:val="FFFFFF" w:themeColor="background1"/>
                <w:sz w:val="18"/>
                <w:szCs w:val="18"/>
              </w:rPr>
            </w:pPr>
            <w:r w:rsidRPr="00F33E86">
              <w:rPr>
                <w:rFonts w:cs="Calibri"/>
                <w:color w:val="FFFFFF" w:themeColor="background1"/>
                <w:sz w:val="18"/>
                <w:szCs w:val="18"/>
              </w:rPr>
              <w:t>are within the responsibility of the Minister to whom the agency is responsible;</w:t>
            </w:r>
          </w:p>
          <w:p w14:paraId="0F0E3650" w14:textId="77777777" w:rsidR="00EA1220" w:rsidRPr="00F33E86" w:rsidRDefault="00EA1220" w:rsidP="00607914">
            <w:pPr>
              <w:pStyle w:val="Commentary-Bullet"/>
              <w:tabs>
                <w:tab w:val="clear" w:pos="502"/>
              </w:tabs>
              <w:spacing w:after="40"/>
              <w:ind w:left="604" w:hanging="454"/>
              <w:rPr>
                <w:rFonts w:cs="Calibri"/>
                <w:color w:val="FFFFFF" w:themeColor="background1"/>
                <w:sz w:val="18"/>
                <w:szCs w:val="18"/>
              </w:rPr>
            </w:pPr>
            <w:r w:rsidRPr="00F33E86">
              <w:rPr>
                <w:rFonts w:cs="Calibri"/>
                <w:color w:val="FFFFFF" w:themeColor="background1"/>
                <w:sz w:val="18"/>
                <w:szCs w:val="18"/>
              </w:rPr>
              <w:t>relate to the functional responsibilities of the agency; and</w:t>
            </w:r>
          </w:p>
          <w:p w14:paraId="2F464613" w14:textId="77777777" w:rsidR="00EA1220" w:rsidRPr="00F33E86" w:rsidRDefault="00EA1220" w:rsidP="00607914">
            <w:pPr>
              <w:pStyle w:val="Commentary-Bullet"/>
              <w:tabs>
                <w:tab w:val="clear" w:pos="502"/>
              </w:tabs>
              <w:spacing w:after="120"/>
              <w:ind w:left="604" w:hanging="454"/>
              <w:rPr>
                <w:rFonts w:cs="Calibri"/>
                <w:color w:val="FFFFFF" w:themeColor="background1"/>
                <w:sz w:val="18"/>
                <w:szCs w:val="18"/>
              </w:rPr>
            </w:pPr>
            <w:r w:rsidRPr="00F33E86">
              <w:rPr>
                <w:rFonts w:cs="Calibri"/>
                <w:color w:val="FFFFFF" w:themeColor="background1"/>
                <w:sz w:val="18"/>
                <w:szCs w:val="18"/>
              </w:rPr>
              <w:t>are not required to be shown as liabilities in either the Balance Sheet or the Statement of Assets and Liabilities Held on Behalf of the Territory.</w:t>
            </w:r>
          </w:p>
          <w:p w14:paraId="35FB046B" w14:textId="77777777" w:rsidR="00EA1220" w:rsidRPr="00F33E86" w:rsidRDefault="00EA1220" w:rsidP="00EA1220">
            <w:pPr>
              <w:pStyle w:val="CommentaryHeading"/>
              <w:spacing w:before="0" w:after="120"/>
              <w:jc w:val="both"/>
              <w:rPr>
                <w:rFonts w:cs="Calibri"/>
                <w:color w:val="FFFFFF" w:themeColor="background1"/>
                <w:sz w:val="18"/>
              </w:rPr>
            </w:pPr>
            <w:r w:rsidRPr="00F33E86">
              <w:rPr>
                <w:rFonts w:cs="Calibri"/>
                <w:b w:val="0"/>
                <w:color w:val="FFFFFF" w:themeColor="background1"/>
                <w:sz w:val="18"/>
              </w:rPr>
              <w:t>Guarantees that are provided by agencies that are within the policy responsibility of their portfolio must be disclosed in their financial statements.</w:t>
            </w:r>
          </w:p>
        </w:tc>
      </w:tr>
    </w:tbl>
    <w:p w14:paraId="5B368733" w14:textId="77777777" w:rsidR="00B330CA" w:rsidRDefault="00B330CA">
      <w:r>
        <w:br w:type="page"/>
      </w:r>
    </w:p>
    <w:tbl>
      <w:tblPr>
        <w:tblW w:w="10490" w:type="dxa"/>
        <w:tblInd w:w="-3" w:type="dxa"/>
        <w:shd w:val="clear" w:color="auto" w:fill="CCFFCC"/>
        <w:tblLayout w:type="fixed"/>
        <w:tblLook w:val="00A0" w:firstRow="1" w:lastRow="0" w:firstColumn="1" w:lastColumn="0" w:noHBand="0" w:noVBand="0"/>
      </w:tblPr>
      <w:tblGrid>
        <w:gridCol w:w="1560"/>
        <w:gridCol w:w="6019"/>
        <w:gridCol w:w="1635"/>
        <w:gridCol w:w="1276"/>
      </w:tblGrid>
      <w:tr w:rsidR="00B330CA" w:rsidRPr="00CF7E1B" w14:paraId="011AF9A3" w14:textId="77777777" w:rsidTr="0004564D">
        <w:trPr>
          <w:trHeight w:val="283"/>
        </w:trPr>
        <w:tc>
          <w:tcPr>
            <w:tcW w:w="1560" w:type="dxa"/>
            <w:tcBorders>
              <w:left w:val="single" w:sz="2" w:space="0" w:color="auto"/>
              <w:right w:val="single" w:sz="2" w:space="0" w:color="auto"/>
            </w:tcBorders>
          </w:tcPr>
          <w:p w14:paraId="7F5E6C69" w14:textId="2B2A8FFD" w:rsidR="00B330CA" w:rsidRPr="00F33E86" w:rsidRDefault="00B330CA" w:rsidP="00DA5473">
            <w:pPr>
              <w:pStyle w:val="TableReference"/>
              <w:tabs>
                <w:tab w:val="left" w:pos="3306"/>
              </w:tabs>
              <w:rPr>
                <w:rFonts w:cs="Calibri"/>
                <w:color w:val="7030A0"/>
                <w:sz w:val="14"/>
              </w:rPr>
            </w:pPr>
            <w:r w:rsidRPr="00F33E86">
              <w:rPr>
                <w:rFonts w:cs="Calibri"/>
                <w:b/>
                <w:color w:val="7030A0"/>
                <w:sz w:val="22"/>
                <w:szCs w:val="22"/>
              </w:rPr>
              <w:t>Reference</w:t>
            </w:r>
          </w:p>
        </w:tc>
        <w:tc>
          <w:tcPr>
            <w:tcW w:w="8930" w:type="dxa"/>
            <w:gridSpan w:val="3"/>
            <w:tcBorders>
              <w:left w:val="single" w:sz="2" w:space="0" w:color="auto"/>
            </w:tcBorders>
            <w:shd w:val="clear" w:color="auto" w:fill="7030A0"/>
          </w:tcPr>
          <w:p w14:paraId="6471E996" w14:textId="2C8AC44D" w:rsidR="00B330CA" w:rsidRPr="00F33E86" w:rsidRDefault="00B330CA" w:rsidP="00DA5473">
            <w:pPr>
              <w:pStyle w:val="CommentaryTitle"/>
              <w:pageBreakBefore w:val="0"/>
              <w:tabs>
                <w:tab w:val="left" w:pos="3306"/>
              </w:tabs>
              <w:spacing w:before="0" w:after="240"/>
              <w:rPr>
                <w:rFonts w:cs="Calibri"/>
                <w:color w:val="FFFFFF" w:themeColor="background1"/>
                <w:sz w:val="28"/>
                <w:szCs w:val="28"/>
              </w:rPr>
            </w:pPr>
            <w:r w:rsidRPr="00F33E86">
              <w:rPr>
                <w:rFonts w:cs="Calibri"/>
                <w:color w:val="FFFFFF" w:themeColor="background1"/>
                <w:sz w:val="28"/>
                <w:szCs w:val="28"/>
              </w:rPr>
              <w:t xml:space="preserve">Commentary </w:t>
            </w:r>
            <w:r w:rsidRPr="00F33E86">
              <w:rPr>
                <w:rFonts w:cs="Calibri"/>
                <w:color w:val="FFFFFF" w:themeColor="background1"/>
                <w:sz w:val="28"/>
                <w:szCs w:val="28"/>
              </w:rPr>
              <w:sym w:font="Symbol" w:char="F02D"/>
            </w:r>
            <w:r w:rsidRPr="00F33E86">
              <w:rPr>
                <w:rFonts w:cs="Calibri"/>
                <w:color w:val="FFFFFF" w:themeColor="background1"/>
                <w:sz w:val="28"/>
                <w:szCs w:val="28"/>
              </w:rPr>
              <w:t xml:space="preserve"> Note 33: Contingent Liabilities and Contingent Assets</w:t>
            </w:r>
            <w:r>
              <w:rPr>
                <w:rFonts w:cs="Calibri"/>
                <w:color w:val="FFFFFF" w:themeColor="background1"/>
                <w:sz w:val="28"/>
                <w:szCs w:val="28"/>
              </w:rPr>
              <w:t xml:space="preserve"> – Continued </w:t>
            </w:r>
          </w:p>
        </w:tc>
      </w:tr>
      <w:tr w:rsidR="00EA1220" w:rsidRPr="00CF7E1B" w14:paraId="39CB5A48" w14:textId="77777777" w:rsidTr="0004564D">
        <w:trPr>
          <w:trHeight w:val="283"/>
        </w:trPr>
        <w:tc>
          <w:tcPr>
            <w:tcW w:w="1560" w:type="dxa"/>
            <w:tcBorders>
              <w:left w:val="single" w:sz="2" w:space="0" w:color="auto"/>
              <w:right w:val="single" w:sz="2" w:space="0" w:color="auto"/>
            </w:tcBorders>
          </w:tcPr>
          <w:p w14:paraId="6EF72D61" w14:textId="0BE7EB32" w:rsidR="00EA1220" w:rsidRPr="00F33E86" w:rsidRDefault="00EA1220" w:rsidP="00EA1220">
            <w:pPr>
              <w:pStyle w:val="TableReference"/>
              <w:tabs>
                <w:tab w:val="left" w:pos="3306"/>
              </w:tabs>
              <w:spacing w:before="60"/>
              <w:rPr>
                <w:rFonts w:cs="Calibri"/>
                <w:color w:val="7030A0"/>
                <w:sz w:val="14"/>
              </w:rPr>
            </w:pPr>
          </w:p>
        </w:tc>
        <w:tc>
          <w:tcPr>
            <w:tcW w:w="8930" w:type="dxa"/>
            <w:gridSpan w:val="3"/>
            <w:tcBorders>
              <w:left w:val="single" w:sz="2" w:space="0" w:color="auto"/>
            </w:tcBorders>
            <w:shd w:val="clear" w:color="auto" w:fill="7030A0"/>
          </w:tcPr>
          <w:p w14:paraId="1B94E2BE" w14:textId="77777777" w:rsidR="00EA1220" w:rsidRPr="00B330CA" w:rsidRDefault="00EA1220" w:rsidP="00EA1220">
            <w:pPr>
              <w:pStyle w:val="CommentaryHeading"/>
              <w:spacing w:after="0"/>
              <w:jc w:val="both"/>
              <w:rPr>
                <w:rFonts w:cs="Calibri"/>
                <w:color w:val="FFFFFF" w:themeColor="background1"/>
                <w:szCs w:val="20"/>
              </w:rPr>
            </w:pPr>
            <w:r w:rsidRPr="00B330CA">
              <w:rPr>
                <w:rFonts w:cs="Calibri"/>
                <w:color w:val="FFFFFF" w:themeColor="background1"/>
                <w:szCs w:val="20"/>
              </w:rPr>
              <w:t>Disclosure Presentation</w:t>
            </w:r>
          </w:p>
        </w:tc>
      </w:tr>
      <w:tr w:rsidR="00EA1220" w:rsidRPr="00CF7E1B" w14:paraId="486C51A1" w14:textId="77777777" w:rsidTr="0004564D">
        <w:trPr>
          <w:trHeight w:val="283"/>
        </w:trPr>
        <w:tc>
          <w:tcPr>
            <w:tcW w:w="1560" w:type="dxa"/>
            <w:tcBorders>
              <w:left w:val="single" w:sz="2" w:space="0" w:color="auto"/>
              <w:right w:val="single" w:sz="2" w:space="0" w:color="auto"/>
            </w:tcBorders>
          </w:tcPr>
          <w:p w14:paraId="49534C08" w14:textId="77777777" w:rsidR="00EA1220" w:rsidRPr="00F33E86" w:rsidRDefault="00EA1220" w:rsidP="00EA1220">
            <w:pPr>
              <w:pStyle w:val="TableReference"/>
              <w:tabs>
                <w:tab w:val="left" w:pos="3306"/>
              </w:tabs>
              <w:spacing w:before="60"/>
              <w:rPr>
                <w:rFonts w:cs="Calibri"/>
                <w:color w:val="7030A0"/>
                <w:sz w:val="14"/>
              </w:rPr>
            </w:pPr>
            <w:r w:rsidRPr="00F33E86">
              <w:rPr>
                <w:rFonts w:cs="Calibri"/>
                <w:color w:val="7030A0"/>
                <w:sz w:val="14"/>
              </w:rPr>
              <w:t>ACT Disclosure Policy</w:t>
            </w:r>
          </w:p>
        </w:tc>
        <w:tc>
          <w:tcPr>
            <w:tcW w:w="8930" w:type="dxa"/>
            <w:gridSpan w:val="3"/>
            <w:tcBorders>
              <w:left w:val="single" w:sz="2" w:space="0" w:color="auto"/>
            </w:tcBorders>
            <w:shd w:val="clear" w:color="auto" w:fill="7030A0"/>
          </w:tcPr>
          <w:p w14:paraId="1B989A83" w14:textId="77777777" w:rsidR="00EA1220" w:rsidRPr="00F33E86" w:rsidRDefault="00EA1220" w:rsidP="00EA1220">
            <w:pPr>
              <w:pStyle w:val="CommentaryHeading"/>
              <w:spacing w:before="0" w:after="120"/>
              <w:jc w:val="both"/>
              <w:rPr>
                <w:rFonts w:cs="Calibri"/>
                <w:color w:val="FFFFFF" w:themeColor="background1"/>
                <w:sz w:val="18"/>
              </w:rPr>
            </w:pPr>
            <w:r w:rsidRPr="00F33E86">
              <w:rPr>
                <w:rFonts w:cs="Calibri"/>
                <w:b w:val="0"/>
                <w:bCs w:val="0"/>
                <w:color w:val="FFFFFF" w:themeColor="background1"/>
                <w:sz w:val="18"/>
              </w:rPr>
              <w:t>Where an Agency considers it practical and more informative, a tabular (rather than a narrative) presentation of the disclosure of contingent liabilities and contingent assets could be presented, showing quantifiable amounts of relevant categories as at the reporting date and the immediately previous reporting date.</w:t>
            </w:r>
          </w:p>
        </w:tc>
      </w:tr>
      <w:tr w:rsidR="00EA1220" w:rsidRPr="00CF7E1B" w14:paraId="07DB13AD" w14:textId="77777777" w:rsidTr="0004564D">
        <w:trPr>
          <w:trHeight w:val="283"/>
        </w:trPr>
        <w:tc>
          <w:tcPr>
            <w:tcW w:w="1560" w:type="dxa"/>
            <w:tcBorders>
              <w:left w:val="single" w:sz="2" w:space="0" w:color="auto"/>
              <w:right w:val="single" w:sz="2" w:space="0" w:color="auto"/>
            </w:tcBorders>
          </w:tcPr>
          <w:p w14:paraId="7E84769C" w14:textId="77777777" w:rsidR="00EA1220" w:rsidRPr="00F33E86" w:rsidRDefault="00EA1220" w:rsidP="00EA1220">
            <w:pPr>
              <w:pStyle w:val="TableReference"/>
              <w:tabs>
                <w:tab w:val="left" w:pos="3306"/>
              </w:tabs>
              <w:spacing w:before="60"/>
              <w:rPr>
                <w:rFonts w:cs="Calibri"/>
                <w:color w:val="7030A0"/>
                <w:sz w:val="16"/>
                <w:szCs w:val="16"/>
              </w:rPr>
            </w:pPr>
          </w:p>
        </w:tc>
        <w:tc>
          <w:tcPr>
            <w:tcW w:w="8930" w:type="dxa"/>
            <w:gridSpan w:val="3"/>
            <w:tcBorders>
              <w:left w:val="single" w:sz="2" w:space="0" w:color="auto"/>
            </w:tcBorders>
            <w:shd w:val="clear" w:color="auto" w:fill="7030A0"/>
          </w:tcPr>
          <w:p w14:paraId="3AC738CE" w14:textId="77777777" w:rsidR="00EA1220" w:rsidRPr="00F33E86" w:rsidRDefault="00EA1220" w:rsidP="00EA1220">
            <w:pPr>
              <w:pStyle w:val="CommentaryHeading"/>
              <w:spacing w:after="0"/>
              <w:jc w:val="both"/>
              <w:rPr>
                <w:rFonts w:cs="Calibri"/>
                <w:bCs w:val="0"/>
                <w:color w:val="FFFFFF" w:themeColor="background1"/>
                <w:sz w:val="18"/>
              </w:rPr>
            </w:pPr>
            <w:r w:rsidRPr="00F33E86">
              <w:rPr>
                <w:rFonts w:cs="Calibri"/>
                <w:color w:val="FFFFFF" w:themeColor="background1"/>
                <w:sz w:val="18"/>
              </w:rPr>
              <w:t>No Material Contingent Liabilities and Contingent Assets</w:t>
            </w:r>
          </w:p>
        </w:tc>
      </w:tr>
      <w:tr w:rsidR="00EA1220" w:rsidRPr="00CF7E1B" w14:paraId="00FF3F2B" w14:textId="77777777" w:rsidTr="0004564D">
        <w:trPr>
          <w:trHeight w:val="283"/>
        </w:trPr>
        <w:tc>
          <w:tcPr>
            <w:tcW w:w="1560" w:type="dxa"/>
            <w:tcBorders>
              <w:left w:val="single" w:sz="2" w:space="0" w:color="auto"/>
              <w:right w:val="single" w:sz="2" w:space="0" w:color="auto"/>
            </w:tcBorders>
          </w:tcPr>
          <w:p w14:paraId="7A8E8958" w14:textId="77777777" w:rsidR="00EA1220" w:rsidRPr="00F33E86" w:rsidRDefault="00EA1220" w:rsidP="00EA1220">
            <w:pPr>
              <w:pStyle w:val="TableReference"/>
              <w:tabs>
                <w:tab w:val="left" w:pos="3306"/>
              </w:tabs>
              <w:spacing w:before="60"/>
              <w:rPr>
                <w:rFonts w:cs="Calibri"/>
                <w:color w:val="7030A0"/>
                <w:sz w:val="16"/>
                <w:szCs w:val="16"/>
              </w:rPr>
            </w:pPr>
          </w:p>
        </w:tc>
        <w:tc>
          <w:tcPr>
            <w:tcW w:w="8930" w:type="dxa"/>
            <w:gridSpan w:val="3"/>
            <w:tcBorders>
              <w:left w:val="single" w:sz="2" w:space="0" w:color="auto"/>
            </w:tcBorders>
            <w:shd w:val="clear" w:color="auto" w:fill="7030A0"/>
          </w:tcPr>
          <w:p w14:paraId="4937E955" w14:textId="77777777" w:rsidR="00EA1220" w:rsidRPr="00F33E86" w:rsidRDefault="00EA1220" w:rsidP="00EA1220">
            <w:pPr>
              <w:pStyle w:val="CommentaryHeading"/>
              <w:spacing w:before="0" w:after="120"/>
              <w:jc w:val="both"/>
              <w:rPr>
                <w:rFonts w:cs="Calibri"/>
                <w:b w:val="0"/>
                <w:bCs w:val="0"/>
                <w:color w:val="FFFFFF" w:themeColor="background1"/>
                <w:sz w:val="18"/>
              </w:rPr>
            </w:pPr>
            <w:r w:rsidRPr="00F33E86">
              <w:rPr>
                <w:rFonts w:cs="Calibri"/>
                <w:b w:val="0"/>
                <w:color w:val="FFFFFF" w:themeColor="background1"/>
                <w:sz w:val="18"/>
              </w:rPr>
              <w:t>If an agency has no material contingent assets and contingent liabilities, this note can be excluded.</w:t>
            </w:r>
          </w:p>
        </w:tc>
      </w:tr>
      <w:tr w:rsidR="002A347D" w:rsidRPr="00CF7E1B" w14:paraId="7306AD50"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322F9AFD" w14:textId="77777777" w:rsidR="002A347D" w:rsidRPr="006C2572" w:rsidRDefault="002A347D" w:rsidP="002A347D">
            <w:pPr>
              <w:pStyle w:val="TableReference"/>
              <w:tabs>
                <w:tab w:val="left" w:pos="3306"/>
              </w:tabs>
              <w:spacing w:before="240"/>
              <w:rPr>
                <w:rFonts w:cs="Calibri"/>
                <w:b/>
                <w:color w:val="7030A0"/>
                <w:sz w:val="22"/>
                <w:szCs w:val="22"/>
              </w:rPr>
            </w:pPr>
            <w:bookmarkStart w:id="719" w:name="JointContEnt" w:colFirst="1" w:colLast="1"/>
            <w:r w:rsidRPr="006C2572">
              <w:rPr>
                <w:rFonts w:cs="Calibri"/>
                <w:b/>
                <w:color w:val="7030A0"/>
                <w:sz w:val="22"/>
                <w:szCs w:val="22"/>
              </w:rPr>
              <w:t>Reference</w:t>
            </w:r>
          </w:p>
        </w:tc>
        <w:tc>
          <w:tcPr>
            <w:tcW w:w="8930" w:type="dxa"/>
            <w:gridSpan w:val="3"/>
            <w:tcBorders>
              <w:top w:val="nil"/>
              <w:left w:val="single" w:sz="2" w:space="0" w:color="auto"/>
              <w:bottom w:val="nil"/>
              <w:right w:val="nil"/>
            </w:tcBorders>
            <w:vAlign w:val="bottom"/>
          </w:tcPr>
          <w:p w14:paraId="6759971A" w14:textId="412B0817" w:rsidR="002A347D" w:rsidRPr="006C2572" w:rsidRDefault="002A347D" w:rsidP="002A347D">
            <w:pPr>
              <w:pStyle w:val="Heading1"/>
              <w:numPr>
                <w:ilvl w:val="0"/>
                <w:numId w:val="0"/>
              </w:numPr>
            </w:pPr>
            <w:bookmarkStart w:id="720" w:name="_Toc48468726"/>
            <w:bookmarkStart w:id="721" w:name="_Toc49155812"/>
            <w:bookmarkStart w:id="722" w:name="_Toc49224225"/>
            <w:bookmarkStart w:id="723" w:name="_Ref50365242"/>
            <w:bookmarkStart w:id="724" w:name="_Ref50365713"/>
            <w:bookmarkStart w:id="725" w:name="_Toc50440394"/>
            <w:bookmarkStart w:id="726" w:name="_Ref50524254"/>
            <w:bookmarkStart w:id="727" w:name="_Toc400627360"/>
            <w:bookmarkStart w:id="728" w:name="InterestJointVenture"/>
            <w:bookmarkStart w:id="729" w:name="_Toc98763171"/>
            <w:r w:rsidRPr="006C2572">
              <w:t xml:space="preserve">Note </w:t>
            </w:r>
            <w:r w:rsidR="00364EB1" w:rsidRPr="006C2572">
              <w:t>34</w:t>
            </w:r>
            <w:r w:rsidRPr="006C2572">
              <w:t>.</w:t>
            </w:r>
            <w:r w:rsidR="00FA7C77">
              <w:t xml:space="preserve"> </w:t>
            </w:r>
            <w:r w:rsidRPr="006C2572">
              <w:t xml:space="preserve"> Interest in a Joint</w:t>
            </w:r>
            <w:bookmarkEnd w:id="720"/>
            <w:bookmarkEnd w:id="721"/>
            <w:bookmarkEnd w:id="722"/>
            <w:bookmarkEnd w:id="723"/>
            <w:bookmarkEnd w:id="724"/>
            <w:bookmarkEnd w:id="725"/>
            <w:bookmarkEnd w:id="726"/>
            <w:bookmarkEnd w:id="727"/>
            <w:r w:rsidRPr="006C2572">
              <w:t xml:space="preserve"> Venture</w:t>
            </w:r>
            <w:bookmarkEnd w:id="728"/>
            <w:bookmarkEnd w:id="729"/>
          </w:p>
        </w:tc>
      </w:tr>
      <w:bookmarkEnd w:id="719"/>
      <w:tr w:rsidR="00BB55EB" w:rsidRPr="00CF7E1B" w14:paraId="6EC21906"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47A98EA5" w14:textId="77777777" w:rsidR="00BB55EB" w:rsidRPr="006C2572" w:rsidRDefault="00BB55EB" w:rsidP="00BB55EB">
            <w:pPr>
              <w:pStyle w:val="TableReference"/>
              <w:tabs>
                <w:tab w:val="left" w:pos="3306"/>
              </w:tabs>
              <w:rPr>
                <w:rFonts w:cs="Calibri"/>
                <w:b/>
                <w:color w:val="7030A0"/>
                <w:sz w:val="20"/>
                <w:szCs w:val="20"/>
              </w:rPr>
            </w:pPr>
          </w:p>
        </w:tc>
        <w:tc>
          <w:tcPr>
            <w:tcW w:w="8930" w:type="dxa"/>
            <w:gridSpan w:val="3"/>
            <w:tcBorders>
              <w:top w:val="nil"/>
              <w:left w:val="single" w:sz="2" w:space="0" w:color="auto"/>
              <w:bottom w:val="nil"/>
              <w:right w:val="nil"/>
            </w:tcBorders>
          </w:tcPr>
          <w:p w14:paraId="4ED22429" w14:textId="0169DE39" w:rsidR="00BB55EB" w:rsidRPr="006C2572" w:rsidRDefault="00BB55EB" w:rsidP="00BB55EB">
            <w:pPr>
              <w:pStyle w:val="Heading1"/>
              <w:numPr>
                <w:ilvl w:val="0"/>
                <w:numId w:val="0"/>
              </w:numPr>
              <w:spacing w:before="0" w:after="0"/>
              <w:rPr>
                <w:rFonts w:ascii="Calibri" w:hAnsi="Calibri"/>
                <w:caps w:val="0"/>
                <w:sz w:val="18"/>
                <w:szCs w:val="18"/>
              </w:rPr>
            </w:pPr>
            <w:bookmarkStart w:id="730" w:name="_Toc98763172"/>
            <w:r w:rsidRPr="006C2572">
              <w:rPr>
                <w:rFonts w:ascii="Calibri" w:hAnsi="Calibri"/>
                <w:caps w:val="0"/>
                <w:sz w:val="18"/>
                <w:szCs w:val="18"/>
              </w:rPr>
              <w:t>Description and Material Accounting Policies Relating to Interest in a Joint Venture</w:t>
            </w:r>
            <w:bookmarkEnd w:id="730"/>
          </w:p>
        </w:tc>
      </w:tr>
      <w:tr w:rsidR="00BB55EB" w:rsidRPr="00CF7E1B" w14:paraId="170D51B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72E2340A" w14:textId="761972A4" w:rsidR="00BB55EB" w:rsidRPr="006C2572" w:rsidRDefault="00BB55EB" w:rsidP="00BB55EB">
            <w:pPr>
              <w:pStyle w:val="TableReference"/>
              <w:tabs>
                <w:tab w:val="left" w:pos="3306"/>
              </w:tabs>
              <w:rPr>
                <w:rFonts w:cs="Calibri"/>
                <w:b/>
                <w:color w:val="7030A0"/>
                <w:sz w:val="20"/>
                <w:szCs w:val="20"/>
              </w:rPr>
            </w:pPr>
            <w:r w:rsidRPr="006C2572">
              <w:rPr>
                <w:color w:val="7030A0"/>
                <w:sz w:val="14"/>
              </w:rPr>
              <w:t>AASB 11.14</w:t>
            </w:r>
          </w:p>
        </w:tc>
        <w:tc>
          <w:tcPr>
            <w:tcW w:w="8930" w:type="dxa"/>
            <w:gridSpan w:val="3"/>
            <w:tcBorders>
              <w:top w:val="nil"/>
              <w:left w:val="single" w:sz="2" w:space="0" w:color="auto"/>
              <w:bottom w:val="nil"/>
              <w:right w:val="nil"/>
            </w:tcBorders>
          </w:tcPr>
          <w:p w14:paraId="6AF368EE" w14:textId="3675D6D5" w:rsidR="00BB55EB" w:rsidRPr="006C2572" w:rsidRDefault="00BB55EB" w:rsidP="00447B67">
            <w:pPr>
              <w:pStyle w:val="Heading1"/>
              <w:numPr>
                <w:ilvl w:val="0"/>
                <w:numId w:val="0"/>
              </w:numPr>
              <w:spacing w:before="0" w:after="120"/>
              <w:jc w:val="both"/>
              <w:rPr>
                <w:rFonts w:ascii="Calibri" w:hAnsi="Calibri" w:cs="Calibri"/>
                <w:b w:val="0"/>
                <w:bCs w:val="0"/>
                <w:caps w:val="0"/>
                <w:sz w:val="18"/>
                <w:szCs w:val="18"/>
              </w:rPr>
            </w:pPr>
            <w:bookmarkStart w:id="731" w:name="_Toc98763173"/>
            <w:r w:rsidRPr="006C2572">
              <w:rPr>
                <w:rFonts w:ascii="Calibri" w:hAnsi="Calibri" w:cs="Calibri"/>
                <w:b w:val="0"/>
                <w:bCs w:val="0"/>
                <w:caps w:val="0"/>
                <w:sz w:val="18"/>
                <w:szCs w:val="18"/>
              </w:rPr>
              <w:t>Investments in joint arrangements are classified as either joint ventures or joint operations. The classification depends on the rights and obligations of the parties to the arrangement, rather than the legal structure of the joint arrangement.</w:t>
            </w:r>
            <w:bookmarkEnd w:id="731"/>
          </w:p>
        </w:tc>
      </w:tr>
      <w:tr w:rsidR="00BB55EB" w:rsidRPr="00CF7E1B" w14:paraId="6FE08890"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6233D357" w14:textId="77777777"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11.16</w:t>
            </w:r>
          </w:p>
          <w:p w14:paraId="793FA56A" w14:textId="77777777"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12.21(a)</w:t>
            </w:r>
          </w:p>
          <w:p w14:paraId="19B9DA88" w14:textId="77777777" w:rsidR="00BB55EB" w:rsidRPr="006C2572" w:rsidRDefault="00BB55EB" w:rsidP="00BB55EB">
            <w:pPr>
              <w:pStyle w:val="TableReference"/>
              <w:tabs>
                <w:tab w:val="left" w:pos="3306"/>
              </w:tabs>
              <w:spacing w:before="60"/>
              <w:rPr>
                <w:rFonts w:cs="Calibri"/>
                <w:color w:val="7030A0"/>
                <w:sz w:val="16"/>
                <w:szCs w:val="16"/>
              </w:rPr>
            </w:pPr>
            <w:r w:rsidRPr="006C2572">
              <w:rPr>
                <w:rFonts w:cs="Calibri"/>
                <w:color w:val="7030A0"/>
                <w:sz w:val="14"/>
              </w:rPr>
              <w:t>AASB 12.21(b)(i)</w:t>
            </w:r>
          </w:p>
        </w:tc>
        <w:tc>
          <w:tcPr>
            <w:tcW w:w="8930" w:type="dxa"/>
            <w:gridSpan w:val="3"/>
            <w:tcBorders>
              <w:top w:val="nil"/>
              <w:left w:val="single" w:sz="2" w:space="0" w:color="auto"/>
              <w:bottom w:val="nil"/>
              <w:right w:val="nil"/>
            </w:tcBorders>
            <w:vAlign w:val="bottom"/>
          </w:tcPr>
          <w:p w14:paraId="0A01532D" w14:textId="5891E868" w:rsidR="00BB55EB" w:rsidRPr="006C2572" w:rsidRDefault="00BB55EB" w:rsidP="00FF33FE">
            <w:pPr>
              <w:pStyle w:val="TableText"/>
              <w:spacing w:before="0" w:after="120"/>
              <w:jc w:val="both"/>
              <w:rPr>
                <w:rFonts w:cs="Calibri"/>
              </w:rPr>
            </w:pPr>
            <w:r w:rsidRPr="006C2572">
              <w:rPr>
                <w:rFonts w:cs="Calibri"/>
              </w:rPr>
              <w:t>The Agency was involved in a joint venture during 2021-22</w:t>
            </w:r>
            <w:r w:rsidR="006C2572" w:rsidRPr="006C2572">
              <w:rPr>
                <w:rFonts w:cs="Calibri"/>
              </w:rPr>
              <w:t xml:space="preserve"> </w:t>
            </w:r>
            <w:r w:rsidRPr="006C2572">
              <w:rPr>
                <w:rFonts w:cs="Calibri"/>
              </w:rPr>
              <w:t xml:space="preserve">called </w:t>
            </w:r>
            <w:bookmarkStart w:id="732" w:name="_Hlk90633530"/>
            <w:r w:rsidRPr="006C2572">
              <w:rPr>
                <w:rFonts w:cs="Calibri"/>
              </w:rPr>
              <w:t>‘Example Joint Venture Entity’</w:t>
            </w:r>
            <w:bookmarkEnd w:id="732"/>
            <w:r w:rsidRPr="006C2572">
              <w:rPr>
                <w:rFonts w:cs="Calibri"/>
              </w:rPr>
              <w:t>.</w:t>
            </w:r>
            <w:r w:rsidR="00FA7C77">
              <w:rPr>
                <w:rFonts w:cs="Calibri"/>
              </w:rPr>
              <w:t xml:space="preserve"> </w:t>
            </w:r>
            <w:r w:rsidRPr="006C2572">
              <w:rPr>
                <w:rFonts w:cs="Calibri"/>
              </w:rPr>
              <w:t>‘Example Joint Venture Entity’s’ principal activity is the development of land for the construction of a residential development.</w:t>
            </w:r>
            <w:r w:rsidR="00FA7C77">
              <w:rPr>
                <w:rFonts w:cs="Calibri"/>
              </w:rPr>
              <w:t xml:space="preserve"> </w:t>
            </w:r>
            <w:r w:rsidRPr="006C2572">
              <w:rPr>
                <w:rFonts w:cs="Calibri"/>
              </w:rPr>
              <w:t>The principal place of business is the Australian Capital Territory.</w:t>
            </w:r>
            <w:r w:rsidR="00FA7C77">
              <w:rPr>
                <w:rFonts w:cs="Calibri"/>
              </w:rPr>
              <w:t xml:space="preserve"> </w:t>
            </w:r>
            <w:r w:rsidRPr="006C2572">
              <w:rPr>
                <w:rFonts w:cs="Calibri"/>
              </w:rPr>
              <w:t>There are two venturers involved in ‘Example Joint Venture Entity’, the Agency and ‘Example Venturer’, each has a 50% ownership interest and voting power in the joint venture.</w:t>
            </w:r>
            <w:r w:rsidR="00FA7C77">
              <w:rPr>
                <w:rFonts w:cs="Calibri"/>
              </w:rPr>
              <w:t xml:space="preserve"> </w:t>
            </w:r>
            <w:r w:rsidRPr="006C2572">
              <w:rPr>
                <w:rFonts w:cs="Calibri"/>
              </w:rPr>
              <w:t>The reporting date of the Agency and ‘Example Joint Venture Entity’ is 30 June each year.</w:t>
            </w:r>
            <w:r w:rsidR="00FA7C77">
              <w:rPr>
                <w:rFonts w:cs="Calibri"/>
              </w:rPr>
              <w:t xml:space="preserve"> </w:t>
            </w:r>
          </w:p>
        </w:tc>
      </w:tr>
      <w:tr w:rsidR="00BB55EB" w:rsidRPr="00CF7E1B" w14:paraId="6B2E4A70"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94"/>
        </w:trPr>
        <w:tc>
          <w:tcPr>
            <w:tcW w:w="1560" w:type="dxa"/>
            <w:tcBorders>
              <w:top w:val="nil"/>
              <w:left w:val="single" w:sz="2" w:space="0" w:color="auto"/>
              <w:bottom w:val="nil"/>
              <w:right w:val="single" w:sz="2" w:space="0" w:color="auto"/>
            </w:tcBorders>
          </w:tcPr>
          <w:p w14:paraId="264F88DE" w14:textId="77777777" w:rsidR="00BB55EB" w:rsidRPr="006C2572" w:rsidRDefault="00BB55EB" w:rsidP="00BB55EB">
            <w:pPr>
              <w:pStyle w:val="TableReference"/>
              <w:tabs>
                <w:tab w:val="left" w:pos="3306"/>
              </w:tabs>
              <w:spacing w:before="40"/>
              <w:rPr>
                <w:color w:val="7030A0"/>
                <w:sz w:val="14"/>
              </w:rPr>
            </w:pPr>
            <w:r w:rsidRPr="006C2572">
              <w:rPr>
                <w:color w:val="7030A0"/>
                <w:sz w:val="14"/>
              </w:rPr>
              <w:t xml:space="preserve">AASB 11.16, </w:t>
            </w:r>
          </w:p>
          <w:p w14:paraId="4D1B8B1A" w14:textId="54428463" w:rsidR="00BB55EB" w:rsidRPr="006C2572" w:rsidRDefault="00BB55EB" w:rsidP="00BB55EB">
            <w:pPr>
              <w:pStyle w:val="TableReference"/>
              <w:tabs>
                <w:tab w:val="left" w:pos="3306"/>
              </w:tabs>
              <w:spacing w:before="40"/>
              <w:rPr>
                <w:rFonts w:cs="Calibri"/>
                <w:color w:val="7030A0"/>
                <w:sz w:val="16"/>
                <w:szCs w:val="16"/>
              </w:rPr>
            </w:pPr>
            <w:r w:rsidRPr="006C2572">
              <w:rPr>
                <w:color w:val="7030A0"/>
                <w:sz w:val="14"/>
              </w:rPr>
              <w:t>AASB 128.10</w:t>
            </w:r>
          </w:p>
        </w:tc>
        <w:tc>
          <w:tcPr>
            <w:tcW w:w="8930" w:type="dxa"/>
            <w:gridSpan w:val="3"/>
            <w:tcBorders>
              <w:top w:val="nil"/>
              <w:left w:val="single" w:sz="2" w:space="0" w:color="auto"/>
              <w:bottom w:val="nil"/>
              <w:right w:val="nil"/>
            </w:tcBorders>
          </w:tcPr>
          <w:p w14:paraId="6BB3C8E1" w14:textId="0B1A1A49" w:rsidR="00BB55EB" w:rsidRPr="006C2572" w:rsidRDefault="00BB55EB" w:rsidP="00BB55EB">
            <w:pPr>
              <w:pStyle w:val="TableText"/>
              <w:spacing w:before="0" w:after="120"/>
              <w:jc w:val="both"/>
              <w:rPr>
                <w:rFonts w:cs="Calibri"/>
              </w:rPr>
            </w:pPr>
            <w:r w:rsidRPr="006C2572">
              <w:rPr>
                <w:rFonts w:cs="Calibri"/>
              </w:rPr>
              <w:t>‘</w:t>
            </w:r>
            <w:r w:rsidR="003B044B" w:rsidRPr="006C2572">
              <w:t>Burley Griffin</w:t>
            </w:r>
            <w:r w:rsidR="003B044B" w:rsidRPr="006C2572">
              <w:rPr>
                <w:bCs/>
              </w:rPr>
              <w:t xml:space="preserve"> </w:t>
            </w:r>
            <w:r w:rsidRPr="006C2572">
              <w:rPr>
                <w:rFonts w:cs="Calibri"/>
              </w:rPr>
              <w:t>Agency’ uses the equity method to account for its interest in its joint venture. Under the equity method, on initial recognition, the investment in a joint venture is recognised at cost and the carrying amount is increased or decreased to recognise the</w:t>
            </w:r>
            <w:r w:rsidR="00447B67" w:rsidRPr="006C2572">
              <w:rPr>
                <w:rFonts w:cs="Calibri"/>
              </w:rPr>
              <w:t xml:space="preserve"> ‘Burley Griffin</w:t>
            </w:r>
            <w:r w:rsidRPr="006C2572">
              <w:rPr>
                <w:rFonts w:cs="Calibri"/>
              </w:rPr>
              <w:t xml:space="preserve"> Agency’s</w:t>
            </w:r>
            <w:r w:rsidR="00447B67" w:rsidRPr="006C2572">
              <w:rPr>
                <w:rFonts w:cs="Calibri"/>
              </w:rPr>
              <w:t>’</w:t>
            </w:r>
            <w:r w:rsidRPr="006C2572">
              <w:rPr>
                <w:rFonts w:cs="Calibri"/>
              </w:rPr>
              <w:t xml:space="preserve"> share of the profit or loss of the joint venture after the date of acquisition. The </w:t>
            </w:r>
            <w:r w:rsidR="00447B67" w:rsidRPr="006C2572">
              <w:rPr>
                <w:rFonts w:cs="Calibri"/>
              </w:rPr>
              <w:t>‘Burley Griffin Agency’s’</w:t>
            </w:r>
            <w:r w:rsidRPr="006C2572">
              <w:rPr>
                <w:rFonts w:cs="Calibri"/>
              </w:rPr>
              <w:t xml:space="preserve"> share of the joint venture’s profit or loss is recognised in the Operating Statement. Distributions received from a joint venture reduce the carrying amount of the investment.</w:t>
            </w:r>
            <w:r w:rsidR="00FA7C77">
              <w:rPr>
                <w:rFonts w:cs="Calibri"/>
              </w:rPr>
              <w:t xml:space="preserve"> </w:t>
            </w:r>
            <w:r w:rsidRPr="006C2572">
              <w:rPr>
                <w:rFonts w:cs="Calibri"/>
              </w:rPr>
              <w:t xml:space="preserve">Adjustments to the carrying amount may also be necessary in the proportionate interest in the joint venture arising from changes in the joint venture’s other comprehensive income including revaluation of property, plant and equipment. The </w:t>
            </w:r>
            <w:r w:rsidR="00211C6C" w:rsidRPr="006C2572">
              <w:rPr>
                <w:rFonts w:cs="Calibri"/>
              </w:rPr>
              <w:t>‘Burley Griffin Agency’s’</w:t>
            </w:r>
            <w:r w:rsidRPr="006C2572">
              <w:rPr>
                <w:rFonts w:cs="Calibri"/>
              </w:rPr>
              <w:t xml:space="preserve"> share</w:t>
            </w:r>
            <w:r w:rsidR="0009580B">
              <w:rPr>
                <w:rFonts w:cs="Calibri"/>
              </w:rPr>
              <w:t xml:space="preserve"> </w:t>
            </w:r>
            <w:r w:rsidRPr="006C2572">
              <w:rPr>
                <w:rFonts w:cs="Calibri"/>
              </w:rPr>
              <w:t>of changes is recognised in other comprehensive income.</w:t>
            </w:r>
          </w:p>
        </w:tc>
      </w:tr>
      <w:tr w:rsidR="00BB55EB" w:rsidRPr="00CF7E1B" w14:paraId="06F74756"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94"/>
        </w:trPr>
        <w:tc>
          <w:tcPr>
            <w:tcW w:w="1560" w:type="dxa"/>
            <w:tcBorders>
              <w:top w:val="nil"/>
              <w:left w:val="single" w:sz="2" w:space="0" w:color="auto"/>
              <w:bottom w:val="nil"/>
              <w:right w:val="single" w:sz="2" w:space="0" w:color="auto"/>
            </w:tcBorders>
          </w:tcPr>
          <w:p w14:paraId="72DC2BEF" w14:textId="5D40E595" w:rsidR="00BB55EB" w:rsidRPr="006C2572" w:rsidRDefault="00BB55EB" w:rsidP="00BB55EB">
            <w:pPr>
              <w:pStyle w:val="TableReference"/>
              <w:tabs>
                <w:tab w:val="left" w:pos="3306"/>
              </w:tabs>
              <w:spacing w:before="40"/>
              <w:rPr>
                <w:rFonts w:cs="Calibri"/>
                <w:color w:val="7030A0"/>
                <w:sz w:val="14"/>
              </w:rPr>
            </w:pPr>
            <w:r w:rsidRPr="006C2572">
              <w:rPr>
                <w:color w:val="7030A0"/>
                <w:sz w:val="14"/>
              </w:rPr>
              <w:t>AASB 128.28-30</w:t>
            </w:r>
          </w:p>
        </w:tc>
        <w:tc>
          <w:tcPr>
            <w:tcW w:w="8930" w:type="dxa"/>
            <w:gridSpan w:val="3"/>
            <w:tcBorders>
              <w:top w:val="nil"/>
              <w:left w:val="single" w:sz="2" w:space="0" w:color="auto"/>
              <w:bottom w:val="nil"/>
              <w:right w:val="nil"/>
            </w:tcBorders>
          </w:tcPr>
          <w:p w14:paraId="6FB34923" w14:textId="419D20CF" w:rsidR="00BB55EB" w:rsidRPr="006C2572" w:rsidRDefault="00BB55EB" w:rsidP="00BB55EB">
            <w:pPr>
              <w:jc w:val="both"/>
              <w:rPr>
                <w:sz w:val="18"/>
                <w:szCs w:val="18"/>
              </w:rPr>
            </w:pPr>
            <w:r w:rsidRPr="006C2572">
              <w:rPr>
                <w:sz w:val="18"/>
                <w:szCs w:val="18"/>
              </w:rPr>
              <w:t xml:space="preserve">Gains and losses resulting from ‘upstream’ (joint venture to </w:t>
            </w:r>
            <w:r w:rsidR="00211C6C" w:rsidRPr="006C2572">
              <w:rPr>
                <w:rFonts w:cs="Calibri"/>
                <w:sz w:val="18"/>
                <w:szCs w:val="18"/>
              </w:rPr>
              <w:t>‘Burley Griffin Agency’</w:t>
            </w:r>
            <w:r w:rsidRPr="006C2572">
              <w:rPr>
                <w:sz w:val="18"/>
                <w:szCs w:val="18"/>
              </w:rPr>
              <w:t>) and ‘downstream’ (</w:t>
            </w:r>
            <w:r w:rsidR="00211C6C" w:rsidRPr="006C2572">
              <w:rPr>
                <w:rFonts w:cs="Calibri"/>
                <w:sz w:val="18"/>
                <w:szCs w:val="18"/>
              </w:rPr>
              <w:t>‘Burley Griffin Agency’</w:t>
            </w:r>
            <w:r w:rsidRPr="006C2572">
              <w:rPr>
                <w:sz w:val="18"/>
                <w:szCs w:val="18"/>
              </w:rPr>
              <w:t xml:space="preserve"> to joint venture) transactions are eliminated to the extent of </w:t>
            </w:r>
            <w:r w:rsidR="00AF59D7" w:rsidRPr="006C2572">
              <w:rPr>
                <w:rFonts w:cs="Calibri"/>
                <w:sz w:val="18"/>
                <w:szCs w:val="18"/>
              </w:rPr>
              <w:t>‘Burley Griffin Agency’s’</w:t>
            </w:r>
            <w:r w:rsidRPr="006C2572">
              <w:rPr>
                <w:sz w:val="18"/>
                <w:szCs w:val="18"/>
              </w:rPr>
              <w:t xml:space="preserve"> interest in the joint venture.</w:t>
            </w:r>
            <w:r w:rsidR="00FA7C77">
              <w:rPr>
                <w:sz w:val="18"/>
                <w:szCs w:val="18"/>
              </w:rPr>
              <w:t xml:space="preserve"> </w:t>
            </w:r>
            <w:r w:rsidRPr="006C2572">
              <w:rPr>
                <w:sz w:val="18"/>
                <w:szCs w:val="18"/>
              </w:rPr>
              <w:t>However, unrealised losses are not eliminated to the extent that the transaction provides evidence of a reduction in the net realisable value or in the recoverable amount of the assets transferred.</w:t>
            </w:r>
            <w:r w:rsidR="00FA7C77">
              <w:rPr>
                <w:sz w:val="18"/>
                <w:szCs w:val="18"/>
              </w:rPr>
              <w:t xml:space="preserve"> </w:t>
            </w:r>
            <w:r w:rsidRPr="006C2572">
              <w:rPr>
                <w:sz w:val="18"/>
                <w:szCs w:val="18"/>
              </w:rPr>
              <w:t>Contributions of non-monetary assets to a joint venture in exchange for an equity interest are also accounted for in accordance with these requirements.</w:t>
            </w:r>
          </w:p>
          <w:p w14:paraId="2B5C1751" w14:textId="77777777" w:rsidR="00BB55EB" w:rsidRPr="006C2572" w:rsidRDefault="00BB55EB" w:rsidP="00BB55EB">
            <w:pPr>
              <w:pStyle w:val="TableText"/>
              <w:spacing w:before="0"/>
              <w:rPr>
                <w:rFonts w:cs="Calibri"/>
              </w:rPr>
            </w:pPr>
          </w:p>
        </w:tc>
      </w:tr>
      <w:tr w:rsidR="00BB55EB" w:rsidRPr="00CF7E1B" w14:paraId="4E3E3290"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80"/>
        </w:trPr>
        <w:tc>
          <w:tcPr>
            <w:tcW w:w="1560" w:type="dxa"/>
            <w:tcBorders>
              <w:top w:val="nil"/>
              <w:left w:val="single" w:sz="2" w:space="0" w:color="auto"/>
              <w:bottom w:val="nil"/>
              <w:right w:val="single" w:sz="2" w:space="0" w:color="auto"/>
            </w:tcBorders>
            <w:vAlign w:val="center"/>
          </w:tcPr>
          <w:p w14:paraId="50965ADA" w14:textId="1DB2B5A0" w:rsidR="00BB55EB" w:rsidRPr="006C2572" w:rsidRDefault="00BB55EB" w:rsidP="00BB55EB">
            <w:pPr>
              <w:pStyle w:val="TableReference"/>
              <w:tabs>
                <w:tab w:val="left" w:pos="3306"/>
              </w:tabs>
              <w:rPr>
                <w:rFonts w:cs="Calibri"/>
                <w:color w:val="7030A0"/>
                <w:sz w:val="14"/>
              </w:rPr>
            </w:pPr>
            <w:r w:rsidRPr="006C2572">
              <w:rPr>
                <w:rFonts w:cs="Calibri"/>
                <w:color w:val="7030A0"/>
                <w:sz w:val="14"/>
              </w:rPr>
              <w:t>AASB 12</w:t>
            </w:r>
            <w:r w:rsidR="00AF59D7" w:rsidRPr="006C2572">
              <w:rPr>
                <w:rFonts w:cs="Calibri"/>
                <w:color w:val="7030A0"/>
                <w:sz w:val="14"/>
              </w:rPr>
              <w:t>.</w:t>
            </w:r>
            <w:r w:rsidRPr="006C2572">
              <w:rPr>
                <w:rFonts w:cs="Calibri"/>
                <w:color w:val="7030A0"/>
                <w:sz w:val="14"/>
              </w:rPr>
              <w:t>B12,B13</w:t>
            </w:r>
          </w:p>
        </w:tc>
        <w:tc>
          <w:tcPr>
            <w:tcW w:w="6019" w:type="dxa"/>
            <w:tcBorders>
              <w:top w:val="nil"/>
              <w:left w:val="single" w:sz="2" w:space="0" w:color="auto"/>
              <w:bottom w:val="nil"/>
              <w:right w:val="nil"/>
            </w:tcBorders>
            <w:vAlign w:val="center"/>
          </w:tcPr>
          <w:p w14:paraId="33284220" w14:textId="77777777" w:rsidR="00BB55EB" w:rsidRPr="006C2572" w:rsidRDefault="00BB55EB" w:rsidP="00BB55EB">
            <w:pPr>
              <w:pStyle w:val="TableText"/>
              <w:tabs>
                <w:tab w:val="left" w:pos="3306"/>
              </w:tabs>
              <w:spacing w:before="0"/>
              <w:rPr>
                <w:rFonts w:cs="Calibri"/>
                <w:b/>
              </w:rPr>
            </w:pPr>
            <w:r w:rsidRPr="006C2572">
              <w:rPr>
                <w:rFonts w:cs="Calibri"/>
                <w:b/>
              </w:rPr>
              <w:t>Summarised Operating Statement of ‘Example Joint Venture Entity’</w:t>
            </w:r>
          </w:p>
        </w:tc>
        <w:tc>
          <w:tcPr>
            <w:tcW w:w="1635" w:type="dxa"/>
            <w:tcBorders>
              <w:top w:val="nil"/>
              <w:left w:val="nil"/>
              <w:bottom w:val="nil"/>
              <w:right w:val="nil"/>
            </w:tcBorders>
            <w:vAlign w:val="bottom"/>
          </w:tcPr>
          <w:p w14:paraId="2A7D92CE" w14:textId="5831B2F1" w:rsidR="00BB55EB" w:rsidRPr="006C2572" w:rsidRDefault="00BB55EB" w:rsidP="00BB55EB">
            <w:pPr>
              <w:pStyle w:val="TableTitle"/>
              <w:tabs>
                <w:tab w:val="left" w:pos="3306"/>
              </w:tabs>
              <w:rPr>
                <w:rFonts w:cs="Calibri"/>
              </w:rPr>
            </w:pPr>
            <w:r w:rsidRPr="006C2572">
              <w:rPr>
                <w:rFonts w:cs="Calibri"/>
              </w:rPr>
              <w:t>2022</w:t>
            </w:r>
          </w:p>
          <w:p w14:paraId="2E759FC3" w14:textId="77777777" w:rsidR="00BB55EB" w:rsidRPr="006C2572" w:rsidRDefault="00BB55EB" w:rsidP="00BB55EB">
            <w:pPr>
              <w:pStyle w:val="TableTitle"/>
              <w:tabs>
                <w:tab w:val="left" w:pos="3306"/>
              </w:tabs>
              <w:rPr>
                <w:rFonts w:cs="Calibri"/>
              </w:rPr>
            </w:pPr>
            <w:r w:rsidRPr="006C2572">
              <w:rPr>
                <w:rFonts w:cs="Calibri"/>
              </w:rPr>
              <w:t>$’000</w:t>
            </w:r>
          </w:p>
        </w:tc>
        <w:tc>
          <w:tcPr>
            <w:tcW w:w="1276" w:type="dxa"/>
            <w:tcBorders>
              <w:top w:val="nil"/>
              <w:left w:val="nil"/>
              <w:bottom w:val="nil"/>
              <w:right w:val="nil"/>
            </w:tcBorders>
            <w:vAlign w:val="bottom"/>
          </w:tcPr>
          <w:p w14:paraId="717EB4C8" w14:textId="1B8C64C0" w:rsidR="00BB55EB" w:rsidRPr="006C2572" w:rsidRDefault="00BB55EB" w:rsidP="00BB55EB">
            <w:pPr>
              <w:pStyle w:val="TableTitle"/>
              <w:tabs>
                <w:tab w:val="left" w:pos="3306"/>
              </w:tabs>
              <w:rPr>
                <w:rFonts w:cs="Calibri"/>
              </w:rPr>
            </w:pPr>
            <w:r w:rsidRPr="006C2572">
              <w:rPr>
                <w:rFonts w:cs="Calibri"/>
              </w:rPr>
              <w:t>2021</w:t>
            </w:r>
          </w:p>
          <w:p w14:paraId="24EA5EA9" w14:textId="77777777" w:rsidR="00BB55EB" w:rsidRPr="006C2572" w:rsidRDefault="00BB55EB" w:rsidP="00BB55EB">
            <w:pPr>
              <w:pStyle w:val="TableTitle"/>
              <w:tabs>
                <w:tab w:val="left" w:pos="3306"/>
              </w:tabs>
              <w:rPr>
                <w:rFonts w:cs="Calibri"/>
              </w:rPr>
            </w:pPr>
            <w:r w:rsidRPr="006C2572">
              <w:rPr>
                <w:rFonts w:cs="Calibri"/>
              </w:rPr>
              <w:t>$’000</w:t>
            </w:r>
          </w:p>
        </w:tc>
      </w:tr>
      <w:tr w:rsidR="00BB55EB" w:rsidRPr="00CF7E1B" w14:paraId="36A37A82"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625EA5E9" w14:textId="6BEE7C16"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12.B12(b)(v)</w:t>
            </w:r>
          </w:p>
        </w:tc>
        <w:tc>
          <w:tcPr>
            <w:tcW w:w="6019" w:type="dxa"/>
            <w:tcBorders>
              <w:top w:val="nil"/>
              <w:left w:val="single" w:sz="2" w:space="0" w:color="auto"/>
              <w:bottom w:val="nil"/>
              <w:right w:val="nil"/>
            </w:tcBorders>
            <w:vAlign w:val="bottom"/>
          </w:tcPr>
          <w:p w14:paraId="640FC298" w14:textId="77777777" w:rsidR="00BB55EB" w:rsidRPr="006C2572" w:rsidRDefault="00BB55EB" w:rsidP="00BB55EB">
            <w:pPr>
              <w:pStyle w:val="TableText"/>
              <w:tabs>
                <w:tab w:val="left" w:pos="3306"/>
              </w:tabs>
              <w:rPr>
                <w:rFonts w:cs="Calibri"/>
              </w:rPr>
            </w:pPr>
            <w:r w:rsidRPr="006C2572">
              <w:rPr>
                <w:rFonts w:cs="Calibri"/>
              </w:rPr>
              <w:t>Revenue</w:t>
            </w:r>
          </w:p>
        </w:tc>
        <w:tc>
          <w:tcPr>
            <w:tcW w:w="1635" w:type="dxa"/>
            <w:tcBorders>
              <w:top w:val="nil"/>
              <w:left w:val="nil"/>
              <w:bottom w:val="nil"/>
              <w:right w:val="nil"/>
            </w:tcBorders>
            <w:vAlign w:val="bottom"/>
          </w:tcPr>
          <w:p w14:paraId="4BA93116" w14:textId="3C23CEB8" w:rsidR="00BB55EB" w:rsidRPr="006C2572" w:rsidRDefault="00BB55EB" w:rsidP="00BB55EB">
            <w:pPr>
              <w:pStyle w:val="TableText"/>
              <w:tabs>
                <w:tab w:val="left" w:pos="3306"/>
              </w:tabs>
              <w:jc w:val="right"/>
              <w:rPr>
                <w:rFonts w:cs="Calibri"/>
                <w:strike/>
              </w:rPr>
            </w:pPr>
          </w:p>
        </w:tc>
        <w:tc>
          <w:tcPr>
            <w:tcW w:w="1276" w:type="dxa"/>
            <w:tcBorders>
              <w:top w:val="nil"/>
              <w:left w:val="nil"/>
              <w:bottom w:val="nil"/>
              <w:right w:val="nil"/>
            </w:tcBorders>
            <w:vAlign w:val="bottom"/>
          </w:tcPr>
          <w:p w14:paraId="34CCFA1A" w14:textId="4F2E3E96" w:rsidR="00BB55EB" w:rsidRPr="006C2572" w:rsidRDefault="00BB55EB" w:rsidP="00BB55EB">
            <w:pPr>
              <w:pStyle w:val="TableText"/>
              <w:tabs>
                <w:tab w:val="left" w:pos="3306"/>
              </w:tabs>
              <w:jc w:val="right"/>
              <w:rPr>
                <w:rFonts w:cs="Calibri"/>
                <w:strike/>
              </w:rPr>
            </w:pPr>
          </w:p>
        </w:tc>
      </w:tr>
      <w:tr w:rsidR="00BB55EB" w:rsidRPr="00CF7E1B" w14:paraId="60A99E1A"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389F9682" w14:textId="77777777" w:rsidR="00BB55EB" w:rsidRPr="006C2572" w:rsidRDefault="00BB55EB" w:rsidP="00BB55EB">
            <w:pPr>
              <w:pStyle w:val="TableReference"/>
              <w:tabs>
                <w:tab w:val="left" w:pos="3306"/>
              </w:tabs>
              <w:spacing w:before="60"/>
              <w:rPr>
                <w:rFonts w:cs="Calibri"/>
                <w:strike/>
                <w:color w:val="7030A0"/>
                <w:sz w:val="14"/>
              </w:rPr>
            </w:pPr>
          </w:p>
        </w:tc>
        <w:tc>
          <w:tcPr>
            <w:tcW w:w="6019" w:type="dxa"/>
            <w:tcBorders>
              <w:top w:val="nil"/>
              <w:left w:val="single" w:sz="2" w:space="0" w:color="auto"/>
              <w:bottom w:val="nil"/>
              <w:right w:val="nil"/>
            </w:tcBorders>
            <w:vAlign w:val="bottom"/>
          </w:tcPr>
          <w:p w14:paraId="5D5DC56D" w14:textId="77777777" w:rsidR="00BB55EB" w:rsidRPr="006C2572" w:rsidRDefault="00BB55EB" w:rsidP="00BB55EB">
            <w:pPr>
              <w:pStyle w:val="TableText"/>
              <w:tabs>
                <w:tab w:val="left" w:pos="3306"/>
              </w:tabs>
              <w:rPr>
                <w:rFonts w:cs="Calibri"/>
              </w:rPr>
            </w:pPr>
            <w:r w:rsidRPr="006C2572">
              <w:rPr>
                <w:rFonts w:cs="Calibri"/>
              </w:rPr>
              <w:t>Expenses</w:t>
            </w:r>
          </w:p>
        </w:tc>
        <w:tc>
          <w:tcPr>
            <w:tcW w:w="1635" w:type="dxa"/>
            <w:tcBorders>
              <w:top w:val="nil"/>
              <w:left w:val="nil"/>
              <w:bottom w:val="single" w:sz="4" w:space="0" w:color="auto"/>
              <w:right w:val="nil"/>
            </w:tcBorders>
            <w:vAlign w:val="bottom"/>
          </w:tcPr>
          <w:p w14:paraId="716BDC62" w14:textId="4FF49D8F" w:rsidR="00BB55EB" w:rsidRPr="006C2572" w:rsidRDefault="00BB55EB" w:rsidP="00BB55EB">
            <w:pPr>
              <w:pStyle w:val="TableText"/>
              <w:tabs>
                <w:tab w:val="left" w:pos="3306"/>
              </w:tabs>
              <w:jc w:val="right"/>
              <w:rPr>
                <w:rFonts w:cs="Calibri"/>
                <w:strike/>
              </w:rPr>
            </w:pPr>
          </w:p>
        </w:tc>
        <w:tc>
          <w:tcPr>
            <w:tcW w:w="1276" w:type="dxa"/>
            <w:tcBorders>
              <w:top w:val="nil"/>
              <w:left w:val="nil"/>
              <w:bottom w:val="single" w:sz="4" w:space="0" w:color="auto"/>
              <w:right w:val="nil"/>
            </w:tcBorders>
            <w:vAlign w:val="bottom"/>
          </w:tcPr>
          <w:p w14:paraId="51F28A1F" w14:textId="44BE3499" w:rsidR="00BB55EB" w:rsidRPr="006C2572" w:rsidRDefault="00BB55EB" w:rsidP="00BB55EB">
            <w:pPr>
              <w:pStyle w:val="TableText"/>
              <w:tabs>
                <w:tab w:val="left" w:pos="3306"/>
              </w:tabs>
              <w:jc w:val="right"/>
              <w:rPr>
                <w:rFonts w:cs="Calibri"/>
                <w:strike/>
              </w:rPr>
            </w:pPr>
          </w:p>
        </w:tc>
      </w:tr>
      <w:tr w:rsidR="00BB55EB" w:rsidRPr="00CF7E1B" w14:paraId="3666BDD1"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6623394A" w14:textId="77777777" w:rsidR="00BB55EB" w:rsidRPr="006C2572" w:rsidRDefault="00BB55EB" w:rsidP="00BB55EB">
            <w:pPr>
              <w:pStyle w:val="TableReference"/>
              <w:tabs>
                <w:tab w:val="left" w:pos="3306"/>
              </w:tabs>
              <w:spacing w:before="40"/>
              <w:rPr>
                <w:rFonts w:cs="Calibri"/>
                <w:color w:val="7030A0"/>
                <w:sz w:val="14"/>
              </w:rPr>
            </w:pPr>
            <w:r w:rsidRPr="006C2572">
              <w:rPr>
                <w:rFonts w:cs="Calibri"/>
                <w:color w:val="7030A0"/>
                <w:sz w:val="14"/>
              </w:rPr>
              <w:t>AASB 12.B12(b)(vi)</w:t>
            </w:r>
          </w:p>
        </w:tc>
        <w:tc>
          <w:tcPr>
            <w:tcW w:w="6019" w:type="dxa"/>
            <w:tcBorders>
              <w:top w:val="nil"/>
              <w:left w:val="single" w:sz="2" w:space="0" w:color="auto"/>
              <w:bottom w:val="nil"/>
              <w:right w:val="nil"/>
            </w:tcBorders>
            <w:vAlign w:val="bottom"/>
          </w:tcPr>
          <w:p w14:paraId="7059B0A9" w14:textId="67C7BF53" w:rsidR="00BB55EB" w:rsidRPr="006C2572" w:rsidRDefault="00BB55EB" w:rsidP="00BB55EB">
            <w:pPr>
              <w:pStyle w:val="TableText"/>
              <w:tabs>
                <w:tab w:val="left" w:pos="3306"/>
              </w:tabs>
              <w:rPr>
                <w:rFonts w:cs="Calibri"/>
                <w:b/>
                <w:bCs/>
              </w:rPr>
            </w:pPr>
            <w:r w:rsidRPr="006C2572">
              <w:rPr>
                <w:rFonts w:cs="Calibri"/>
                <w:b/>
                <w:bCs/>
              </w:rPr>
              <w:t>Operating Profit Before Income Tax</w:t>
            </w:r>
          </w:p>
        </w:tc>
        <w:tc>
          <w:tcPr>
            <w:tcW w:w="1635" w:type="dxa"/>
            <w:tcBorders>
              <w:top w:val="single" w:sz="4" w:space="0" w:color="auto"/>
              <w:left w:val="nil"/>
              <w:bottom w:val="single" w:sz="4" w:space="0" w:color="auto"/>
              <w:right w:val="nil"/>
            </w:tcBorders>
            <w:vAlign w:val="bottom"/>
          </w:tcPr>
          <w:p w14:paraId="3BDB28FF" w14:textId="102F5AE7" w:rsidR="00BB55EB" w:rsidRPr="006C2572" w:rsidRDefault="00BB55EB" w:rsidP="00BB55EB">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61C0A42A" w14:textId="764D57D4" w:rsidR="00BB55EB" w:rsidRPr="006C2572" w:rsidRDefault="00BB55EB" w:rsidP="00BB55EB">
            <w:pPr>
              <w:pStyle w:val="TableText"/>
              <w:tabs>
                <w:tab w:val="left" w:pos="3306"/>
              </w:tabs>
              <w:jc w:val="right"/>
              <w:rPr>
                <w:rFonts w:cs="Calibri"/>
                <w:b/>
                <w:bCs/>
                <w:strike/>
              </w:rPr>
            </w:pPr>
          </w:p>
        </w:tc>
      </w:tr>
      <w:tr w:rsidR="00BB55EB" w:rsidRPr="00CF7E1B" w14:paraId="62D25DF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1AAB7842" w14:textId="71B49812" w:rsidR="00BB55EB" w:rsidRPr="006C2572" w:rsidRDefault="00BB55EB" w:rsidP="00BB55EB">
            <w:pPr>
              <w:pStyle w:val="TableReference"/>
              <w:tabs>
                <w:tab w:val="left" w:pos="3306"/>
              </w:tabs>
              <w:spacing w:before="40"/>
              <w:rPr>
                <w:rFonts w:cs="Calibri"/>
                <w:color w:val="7030A0"/>
                <w:sz w:val="14"/>
              </w:rPr>
            </w:pPr>
            <w:r w:rsidRPr="006C2572">
              <w:rPr>
                <w:rFonts w:cs="Calibri"/>
                <w:color w:val="7030A0"/>
                <w:sz w:val="14"/>
              </w:rPr>
              <w:t>AASB 12.B13(g)</w:t>
            </w:r>
          </w:p>
        </w:tc>
        <w:tc>
          <w:tcPr>
            <w:tcW w:w="6019" w:type="dxa"/>
            <w:tcBorders>
              <w:top w:val="nil"/>
              <w:left w:val="single" w:sz="2" w:space="0" w:color="auto"/>
              <w:bottom w:val="nil"/>
              <w:right w:val="nil"/>
            </w:tcBorders>
            <w:vAlign w:val="bottom"/>
          </w:tcPr>
          <w:p w14:paraId="3F31373F" w14:textId="7D971D0E" w:rsidR="00BB55EB" w:rsidRPr="006C2572" w:rsidRDefault="00BB55EB" w:rsidP="00BB55EB">
            <w:pPr>
              <w:pStyle w:val="TableText"/>
              <w:tabs>
                <w:tab w:val="left" w:pos="3306"/>
              </w:tabs>
              <w:rPr>
                <w:rFonts w:cs="Calibri"/>
                <w:b/>
                <w:bCs/>
              </w:rPr>
            </w:pPr>
            <w:r w:rsidRPr="006C2572">
              <w:t>Income Tax Expense</w:t>
            </w:r>
          </w:p>
        </w:tc>
        <w:tc>
          <w:tcPr>
            <w:tcW w:w="1635" w:type="dxa"/>
            <w:tcBorders>
              <w:top w:val="single" w:sz="4" w:space="0" w:color="auto"/>
              <w:left w:val="nil"/>
              <w:bottom w:val="single" w:sz="4" w:space="0" w:color="auto"/>
              <w:right w:val="nil"/>
            </w:tcBorders>
            <w:vAlign w:val="bottom"/>
          </w:tcPr>
          <w:p w14:paraId="5E21395C" w14:textId="77777777" w:rsidR="00BB55EB" w:rsidRPr="006C2572" w:rsidRDefault="00BB55EB" w:rsidP="00BB55EB">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3BA27795" w14:textId="77777777" w:rsidR="00BB55EB" w:rsidRPr="006C2572" w:rsidRDefault="00BB55EB" w:rsidP="00BB55EB">
            <w:pPr>
              <w:pStyle w:val="TableText"/>
              <w:tabs>
                <w:tab w:val="left" w:pos="3306"/>
              </w:tabs>
              <w:jc w:val="right"/>
              <w:rPr>
                <w:rFonts w:cs="Calibri"/>
                <w:b/>
                <w:bCs/>
                <w:strike/>
              </w:rPr>
            </w:pPr>
          </w:p>
        </w:tc>
      </w:tr>
      <w:tr w:rsidR="00BB55EB" w:rsidRPr="00CF7E1B" w14:paraId="61C6114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25AA2E2F" w14:textId="371B4457" w:rsidR="00BB55EB" w:rsidRPr="006C2572" w:rsidRDefault="00BB55EB" w:rsidP="00BB55EB">
            <w:pPr>
              <w:pStyle w:val="TableReference"/>
              <w:tabs>
                <w:tab w:val="left" w:pos="3306"/>
              </w:tabs>
              <w:spacing w:before="40"/>
              <w:rPr>
                <w:rFonts w:cs="Calibri"/>
                <w:color w:val="7030A0"/>
                <w:sz w:val="14"/>
              </w:rPr>
            </w:pPr>
            <w:r w:rsidRPr="006C2572">
              <w:rPr>
                <w:rFonts w:cs="Calibri"/>
                <w:color w:val="7030A0"/>
                <w:sz w:val="14"/>
              </w:rPr>
              <w:t>AASB 12.B12(b)(vi)</w:t>
            </w:r>
          </w:p>
        </w:tc>
        <w:tc>
          <w:tcPr>
            <w:tcW w:w="6019" w:type="dxa"/>
            <w:tcBorders>
              <w:top w:val="nil"/>
              <w:left w:val="single" w:sz="2" w:space="0" w:color="auto"/>
              <w:bottom w:val="nil"/>
              <w:right w:val="nil"/>
            </w:tcBorders>
            <w:vAlign w:val="bottom"/>
          </w:tcPr>
          <w:p w14:paraId="0CBA7D05" w14:textId="7BC7C49F" w:rsidR="00BB55EB" w:rsidRPr="006C2572" w:rsidRDefault="00BB55EB" w:rsidP="00BB55EB">
            <w:pPr>
              <w:pStyle w:val="TableText"/>
              <w:tabs>
                <w:tab w:val="left" w:pos="3306"/>
              </w:tabs>
              <w:rPr>
                <w:rFonts w:cs="Calibri"/>
                <w:b/>
                <w:bCs/>
              </w:rPr>
            </w:pPr>
            <w:r w:rsidRPr="006C2572">
              <w:rPr>
                <w:b/>
                <w:bCs/>
              </w:rPr>
              <w:t>Operating Profit/(Loss) After Income Tax</w:t>
            </w:r>
          </w:p>
        </w:tc>
        <w:tc>
          <w:tcPr>
            <w:tcW w:w="1635" w:type="dxa"/>
            <w:tcBorders>
              <w:top w:val="single" w:sz="4" w:space="0" w:color="auto"/>
              <w:left w:val="nil"/>
              <w:bottom w:val="single" w:sz="4" w:space="0" w:color="auto"/>
              <w:right w:val="nil"/>
            </w:tcBorders>
            <w:vAlign w:val="bottom"/>
          </w:tcPr>
          <w:p w14:paraId="695AE847" w14:textId="77777777" w:rsidR="00BB55EB" w:rsidRPr="006C2572" w:rsidRDefault="00BB55EB" w:rsidP="00BB55EB">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5F8DE639" w14:textId="77777777" w:rsidR="00BB55EB" w:rsidRPr="006C2572" w:rsidRDefault="00BB55EB" w:rsidP="00BB55EB">
            <w:pPr>
              <w:pStyle w:val="TableText"/>
              <w:tabs>
                <w:tab w:val="left" w:pos="3306"/>
              </w:tabs>
              <w:jc w:val="right"/>
              <w:rPr>
                <w:rFonts w:cs="Calibri"/>
                <w:b/>
                <w:bCs/>
                <w:strike/>
              </w:rPr>
            </w:pPr>
          </w:p>
        </w:tc>
      </w:tr>
      <w:tr w:rsidR="00BB55EB" w:rsidRPr="00900DB6" w14:paraId="238C2442"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1E8CDD9C" w14:textId="2C198A42" w:rsidR="00BB55EB" w:rsidRPr="006C2572" w:rsidRDefault="00BB55EB" w:rsidP="00BB55EB">
            <w:pPr>
              <w:pStyle w:val="TableReference"/>
              <w:tabs>
                <w:tab w:val="left" w:pos="3306"/>
              </w:tabs>
              <w:spacing w:before="40"/>
              <w:rPr>
                <w:rFonts w:cs="Calibri"/>
                <w:color w:val="7030A0"/>
                <w:sz w:val="14"/>
              </w:rPr>
            </w:pPr>
            <w:r w:rsidRPr="006C2572">
              <w:rPr>
                <w:rFonts w:cs="Calibri"/>
                <w:color w:val="7030A0"/>
                <w:sz w:val="14"/>
              </w:rPr>
              <w:t>AASB 12.B12(b)(viii)</w:t>
            </w:r>
          </w:p>
        </w:tc>
        <w:tc>
          <w:tcPr>
            <w:tcW w:w="6019" w:type="dxa"/>
            <w:tcBorders>
              <w:top w:val="nil"/>
              <w:left w:val="single" w:sz="2" w:space="0" w:color="auto"/>
              <w:bottom w:val="nil"/>
              <w:right w:val="nil"/>
            </w:tcBorders>
            <w:vAlign w:val="bottom"/>
          </w:tcPr>
          <w:p w14:paraId="1D1E659E" w14:textId="77777777" w:rsidR="00BB55EB" w:rsidRPr="006C2572" w:rsidRDefault="00BB55EB" w:rsidP="00BB55EB">
            <w:pPr>
              <w:pStyle w:val="TableText"/>
              <w:tabs>
                <w:tab w:val="left" w:pos="3306"/>
              </w:tabs>
              <w:rPr>
                <w:rFonts w:cs="Calibri"/>
                <w:sz w:val="14"/>
              </w:rPr>
            </w:pPr>
            <w:r w:rsidRPr="006C2572">
              <w:rPr>
                <w:rFonts w:cs="Calibri"/>
              </w:rPr>
              <w:t>Other Comprehensive</w:t>
            </w:r>
            <w:r w:rsidRPr="006C2572">
              <w:rPr>
                <w:rFonts w:cs="Calibri"/>
                <w:sz w:val="14"/>
              </w:rPr>
              <w:t xml:space="preserve"> </w:t>
            </w:r>
            <w:r w:rsidRPr="006C2572">
              <w:rPr>
                <w:rFonts w:cs="Calibri"/>
              </w:rPr>
              <w:t>Income</w:t>
            </w:r>
          </w:p>
        </w:tc>
        <w:tc>
          <w:tcPr>
            <w:tcW w:w="1635" w:type="dxa"/>
            <w:tcBorders>
              <w:top w:val="single" w:sz="4" w:space="0" w:color="auto"/>
              <w:left w:val="nil"/>
              <w:bottom w:val="single" w:sz="4" w:space="0" w:color="auto"/>
              <w:right w:val="nil"/>
            </w:tcBorders>
            <w:vAlign w:val="bottom"/>
          </w:tcPr>
          <w:p w14:paraId="322D1DDD" w14:textId="5151129B" w:rsidR="00BB55EB" w:rsidRPr="006C2572" w:rsidRDefault="00BB55EB" w:rsidP="00BB55EB">
            <w:pPr>
              <w:pStyle w:val="TableText"/>
              <w:tabs>
                <w:tab w:val="left" w:pos="3306"/>
              </w:tabs>
              <w:jc w:val="right"/>
              <w:rPr>
                <w:rFonts w:cs="Calibri"/>
                <w:bCs/>
              </w:rPr>
            </w:pPr>
          </w:p>
        </w:tc>
        <w:tc>
          <w:tcPr>
            <w:tcW w:w="1276" w:type="dxa"/>
            <w:tcBorders>
              <w:top w:val="single" w:sz="4" w:space="0" w:color="auto"/>
              <w:left w:val="nil"/>
              <w:bottom w:val="single" w:sz="4" w:space="0" w:color="auto"/>
              <w:right w:val="nil"/>
            </w:tcBorders>
            <w:vAlign w:val="bottom"/>
          </w:tcPr>
          <w:p w14:paraId="07DF7B5C" w14:textId="03BEFF34" w:rsidR="00BB55EB" w:rsidRPr="006C2572" w:rsidRDefault="00BB55EB" w:rsidP="00BB55EB">
            <w:pPr>
              <w:pStyle w:val="TableText"/>
              <w:tabs>
                <w:tab w:val="left" w:pos="3306"/>
              </w:tabs>
              <w:jc w:val="right"/>
              <w:rPr>
                <w:rFonts w:cs="Calibri"/>
              </w:rPr>
            </w:pPr>
          </w:p>
        </w:tc>
      </w:tr>
      <w:tr w:rsidR="00BB55EB" w:rsidRPr="00CF7E1B" w14:paraId="19F2D87B"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5257B56B" w14:textId="77777777"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12.B12(b)(ix)</w:t>
            </w:r>
          </w:p>
        </w:tc>
        <w:tc>
          <w:tcPr>
            <w:tcW w:w="6019" w:type="dxa"/>
            <w:tcBorders>
              <w:top w:val="nil"/>
              <w:left w:val="single" w:sz="2" w:space="0" w:color="auto"/>
              <w:bottom w:val="nil"/>
              <w:right w:val="nil"/>
            </w:tcBorders>
            <w:vAlign w:val="bottom"/>
          </w:tcPr>
          <w:p w14:paraId="09D7A19E" w14:textId="77777777" w:rsidR="00BB55EB" w:rsidRPr="006C2572" w:rsidRDefault="00BB55EB" w:rsidP="00BB55EB">
            <w:pPr>
              <w:pStyle w:val="TableText"/>
              <w:tabs>
                <w:tab w:val="left" w:pos="3306"/>
              </w:tabs>
              <w:rPr>
                <w:rFonts w:cs="Calibri"/>
                <w:b/>
                <w:bCs/>
              </w:rPr>
            </w:pPr>
            <w:r w:rsidRPr="006C2572">
              <w:rPr>
                <w:rFonts w:cs="Calibri"/>
                <w:b/>
                <w:bCs/>
              </w:rPr>
              <w:t>Total Comprehensive Income</w:t>
            </w:r>
          </w:p>
        </w:tc>
        <w:tc>
          <w:tcPr>
            <w:tcW w:w="1635" w:type="dxa"/>
            <w:tcBorders>
              <w:top w:val="single" w:sz="4" w:space="0" w:color="auto"/>
              <w:left w:val="nil"/>
              <w:bottom w:val="double" w:sz="4" w:space="0" w:color="auto"/>
              <w:right w:val="nil"/>
            </w:tcBorders>
            <w:vAlign w:val="bottom"/>
          </w:tcPr>
          <w:p w14:paraId="305FD269" w14:textId="731CA937" w:rsidR="00BB55EB" w:rsidRPr="006C2572" w:rsidRDefault="00BB55EB" w:rsidP="00BB55EB">
            <w:pPr>
              <w:pStyle w:val="TableText"/>
              <w:tabs>
                <w:tab w:val="left" w:pos="3306"/>
              </w:tabs>
              <w:jc w:val="right"/>
              <w:rPr>
                <w:rFonts w:cs="Calibri"/>
                <w:b/>
              </w:rPr>
            </w:pPr>
          </w:p>
        </w:tc>
        <w:tc>
          <w:tcPr>
            <w:tcW w:w="1276" w:type="dxa"/>
            <w:tcBorders>
              <w:top w:val="single" w:sz="4" w:space="0" w:color="auto"/>
              <w:left w:val="nil"/>
              <w:bottom w:val="double" w:sz="4" w:space="0" w:color="auto"/>
              <w:right w:val="nil"/>
            </w:tcBorders>
            <w:vAlign w:val="bottom"/>
          </w:tcPr>
          <w:p w14:paraId="6717DFD5" w14:textId="2E439E4D" w:rsidR="00BB55EB" w:rsidRPr="006C2572" w:rsidRDefault="00BB55EB" w:rsidP="00BB55EB">
            <w:pPr>
              <w:pStyle w:val="TableText"/>
              <w:tabs>
                <w:tab w:val="left" w:pos="3306"/>
              </w:tabs>
              <w:jc w:val="right"/>
              <w:rPr>
                <w:rFonts w:cs="Calibri"/>
                <w:b/>
              </w:rPr>
            </w:pPr>
          </w:p>
        </w:tc>
      </w:tr>
      <w:tr w:rsidR="00BB55EB" w:rsidRPr="00CF7E1B" w14:paraId="5AE7278B"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1467A1F4" w14:textId="77777777"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12.B13</w:t>
            </w:r>
          </w:p>
        </w:tc>
        <w:tc>
          <w:tcPr>
            <w:tcW w:w="6019" w:type="dxa"/>
            <w:tcBorders>
              <w:top w:val="nil"/>
              <w:left w:val="single" w:sz="2" w:space="0" w:color="auto"/>
              <w:bottom w:val="nil"/>
              <w:right w:val="nil"/>
            </w:tcBorders>
            <w:vAlign w:val="bottom"/>
          </w:tcPr>
          <w:p w14:paraId="66BCDB1D" w14:textId="77777777" w:rsidR="00BB55EB" w:rsidRPr="006C2572" w:rsidRDefault="00BB55EB" w:rsidP="00BB55EB">
            <w:pPr>
              <w:pStyle w:val="TableText"/>
              <w:tabs>
                <w:tab w:val="left" w:pos="3306"/>
              </w:tabs>
              <w:rPr>
                <w:rFonts w:cs="Calibri"/>
                <w:bCs/>
              </w:rPr>
            </w:pPr>
            <w:r w:rsidRPr="006C2572">
              <w:rPr>
                <w:rFonts w:cs="Calibri"/>
                <w:bCs/>
              </w:rPr>
              <w:t>The above Operating Profit /(Loss) includes the following:</w:t>
            </w:r>
          </w:p>
        </w:tc>
        <w:tc>
          <w:tcPr>
            <w:tcW w:w="1635" w:type="dxa"/>
            <w:tcBorders>
              <w:top w:val="double" w:sz="4" w:space="0" w:color="auto"/>
              <w:left w:val="nil"/>
              <w:bottom w:val="nil"/>
              <w:right w:val="nil"/>
            </w:tcBorders>
            <w:vAlign w:val="bottom"/>
          </w:tcPr>
          <w:p w14:paraId="762EE0B1" w14:textId="77777777" w:rsidR="00BB55EB" w:rsidRPr="006C2572" w:rsidRDefault="00BB55EB" w:rsidP="00BB55EB">
            <w:pPr>
              <w:pStyle w:val="TableText"/>
              <w:tabs>
                <w:tab w:val="left" w:pos="3306"/>
              </w:tabs>
              <w:jc w:val="right"/>
              <w:rPr>
                <w:rFonts w:cs="Calibri"/>
              </w:rPr>
            </w:pPr>
          </w:p>
        </w:tc>
        <w:tc>
          <w:tcPr>
            <w:tcW w:w="1276" w:type="dxa"/>
            <w:tcBorders>
              <w:top w:val="double" w:sz="4" w:space="0" w:color="auto"/>
              <w:left w:val="nil"/>
              <w:bottom w:val="nil"/>
              <w:right w:val="nil"/>
            </w:tcBorders>
            <w:vAlign w:val="bottom"/>
          </w:tcPr>
          <w:p w14:paraId="7F6EDB7C" w14:textId="77777777" w:rsidR="00BB55EB" w:rsidRPr="006C2572" w:rsidRDefault="00BB55EB" w:rsidP="00BB55EB">
            <w:pPr>
              <w:pStyle w:val="TableText"/>
              <w:tabs>
                <w:tab w:val="left" w:pos="3306"/>
              </w:tabs>
              <w:jc w:val="right"/>
              <w:rPr>
                <w:rFonts w:cs="Calibri"/>
              </w:rPr>
            </w:pPr>
          </w:p>
        </w:tc>
      </w:tr>
      <w:tr w:rsidR="00BB55EB" w:rsidRPr="00CF7E1B" w14:paraId="7C38AF49"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70E4F74E" w14:textId="6AD9D8D8"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12.B13(d)</w:t>
            </w:r>
          </w:p>
        </w:tc>
        <w:tc>
          <w:tcPr>
            <w:tcW w:w="6019" w:type="dxa"/>
            <w:tcBorders>
              <w:top w:val="nil"/>
              <w:left w:val="single" w:sz="2" w:space="0" w:color="auto"/>
              <w:bottom w:val="nil"/>
              <w:right w:val="nil"/>
            </w:tcBorders>
            <w:vAlign w:val="bottom"/>
          </w:tcPr>
          <w:p w14:paraId="1AF05630" w14:textId="77777777" w:rsidR="00BB55EB" w:rsidRPr="006C2572" w:rsidRDefault="00BB55EB" w:rsidP="00BB55EB">
            <w:pPr>
              <w:pStyle w:val="TableText"/>
              <w:tabs>
                <w:tab w:val="left" w:pos="3306"/>
              </w:tabs>
              <w:rPr>
                <w:rFonts w:cs="Calibri"/>
                <w:bCs/>
              </w:rPr>
            </w:pPr>
            <w:r w:rsidRPr="006C2572">
              <w:rPr>
                <w:rFonts w:cs="Calibri"/>
                <w:bCs/>
              </w:rPr>
              <w:t>Depreciation and Amortisation</w:t>
            </w:r>
          </w:p>
        </w:tc>
        <w:tc>
          <w:tcPr>
            <w:tcW w:w="1635" w:type="dxa"/>
            <w:tcBorders>
              <w:top w:val="nil"/>
              <w:left w:val="nil"/>
              <w:bottom w:val="nil"/>
              <w:right w:val="nil"/>
            </w:tcBorders>
            <w:vAlign w:val="bottom"/>
          </w:tcPr>
          <w:p w14:paraId="112723D1" w14:textId="38F7A2D3"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2595BB21" w14:textId="2D949A7E" w:rsidR="00BB55EB" w:rsidRPr="006C2572" w:rsidRDefault="00BB55EB" w:rsidP="00BB55EB">
            <w:pPr>
              <w:pStyle w:val="TableText"/>
              <w:tabs>
                <w:tab w:val="left" w:pos="3306"/>
              </w:tabs>
              <w:jc w:val="right"/>
              <w:rPr>
                <w:rFonts w:cs="Calibri"/>
              </w:rPr>
            </w:pPr>
          </w:p>
        </w:tc>
      </w:tr>
      <w:tr w:rsidR="00BB55EB" w:rsidRPr="00CF7E1B" w14:paraId="49AE1B6B"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25A97C9B" w14:textId="4260D2A0"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12.B13(e)</w:t>
            </w:r>
          </w:p>
        </w:tc>
        <w:tc>
          <w:tcPr>
            <w:tcW w:w="6019" w:type="dxa"/>
            <w:tcBorders>
              <w:top w:val="nil"/>
              <w:left w:val="single" w:sz="2" w:space="0" w:color="auto"/>
              <w:bottom w:val="nil"/>
              <w:right w:val="nil"/>
            </w:tcBorders>
            <w:vAlign w:val="bottom"/>
          </w:tcPr>
          <w:p w14:paraId="721E0E29" w14:textId="77777777" w:rsidR="00BB55EB" w:rsidRPr="006C2572" w:rsidRDefault="00BB55EB" w:rsidP="00BB55EB">
            <w:pPr>
              <w:pStyle w:val="TableText"/>
              <w:tabs>
                <w:tab w:val="left" w:pos="3306"/>
              </w:tabs>
              <w:rPr>
                <w:rFonts w:cs="Calibri"/>
                <w:bCs/>
              </w:rPr>
            </w:pPr>
            <w:r w:rsidRPr="006C2572">
              <w:rPr>
                <w:rFonts w:cs="Calibri"/>
                <w:bCs/>
              </w:rPr>
              <w:t>Interest Income</w:t>
            </w:r>
          </w:p>
        </w:tc>
        <w:tc>
          <w:tcPr>
            <w:tcW w:w="1635" w:type="dxa"/>
            <w:tcBorders>
              <w:top w:val="nil"/>
              <w:left w:val="nil"/>
              <w:bottom w:val="nil"/>
              <w:right w:val="nil"/>
            </w:tcBorders>
            <w:vAlign w:val="bottom"/>
          </w:tcPr>
          <w:p w14:paraId="06124285" w14:textId="7D0035E2"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058E931B" w14:textId="0F2E4455" w:rsidR="00BB55EB" w:rsidRPr="006C2572" w:rsidRDefault="00BB55EB" w:rsidP="00BB55EB">
            <w:pPr>
              <w:pStyle w:val="TableText"/>
              <w:tabs>
                <w:tab w:val="left" w:pos="3306"/>
              </w:tabs>
              <w:jc w:val="right"/>
              <w:rPr>
                <w:rFonts w:cs="Calibri"/>
              </w:rPr>
            </w:pPr>
          </w:p>
        </w:tc>
      </w:tr>
      <w:tr w:rsidR="00BB55EB" w:rsidRPr="00CF7E1B" w14:paraId="04651D4E"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375EC2F2" w14:textId="77777777"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12.B13(f)</w:t>
            </w:r>
          </w:p>
        </w:tc>
        <w:tc>
          <w:tcPr>
            <w:tcW w:w="6019" w:type="dxa"/>
            <w:tcBorders>
              <w:top w:val="nil"/>
              <w:left w:val="single" w:sz="2" w:space="0" w:color="auto"/>
              <w:bottom w:val="nil"/>
              <w:right w:val="nil"/>
            </w:tcBorders>
            <w:vAlign w:val="bottom"/>
          </w:tcPr>
          <w:p w14:paraId="4969870B" w14:textId="77777777" w:rsidR="00BB55EB" w:rsidRPr="006C2572" w:rsidRDefault="00BB55EB" w:rsidP="00BB55EB">
            <w:pPr>
              <w:pStyle w:val="TableText"/>
              <w:tabs>
                <w:tab w:val="left" w:pos="3306"/>
              </w:tabs>
              <w:rPr>
                <w:rFonts w:cs="Calibri"/>
                <w:bCs/>
              </w:rPr>
            </w:pPr>
            <w:r w:rsidRPr="006C2572">
              <w:rPr>
                <w:rFonts w:cs="Calibri"/>
                <w:bCs/>
              </w:rPr>
              <w:t>Interest Expense</w:t>
            </w:r>
          </w:p>
        </w:tc>
        <w:tc>
          <w:tcPr>
            <w:tcW w:w="1635" w:type="dxa"/>
            <w:tcBorders>
              <w:top w:val="nil"/>
              <w:left w:val="nil"/>
              <w:bottom w:val="nil"/>
              <w:right w:val="nil"/>
            </w:tcBorders>
            <w:vAlign w:val="bottom"/>
          </w:tcPr>
          <w:p w14:paraId="706E959F" w14:textId="490A11BD"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5D6EF2CA" w14:textId="0C202A79" w:rsidR="00BB55EB" w:rsidRPr="006C2572" w:rsidRDefault="00BB55EB" w:rsidP="00BB55EB">
            <w:pPr>
              <w:pStyle w:val="TableText"/>
              <w:tabs>
                <w:tab w:val="left" w:pos="3306"/>
              </w:tabs>
              <w:jc w:val="right"/>
              <w:rPr>
                <w:rFonts w:cs="Calibri"/>
              </w:rPr>
            </w:pPr>
          </w:p>
        </w:tc>
      </w:tr>
      <w:tr w:rsidR="00BB55EB" w:rsidRPr="00CF7E1B" w14:paraId="2A7765B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3621FEB8" w14:textId="77777777" w:rsidR="00BB55EB" w:rsidRPr="006C2572" w:rsidRDefault="00BB55EB" w:rsidP="00BB55EB">
            <w:pPr>
              <w:pStyle w:val="TableReference"/>
              <w:tabs>
                <w:tab w:val="left" w:pos="3306"/>
              </w:tabs>
              <w:spacing w:before="60"/>
              <w:rPr>
                <w:rFonts w:cs="Calibri"/>
                <w:color w:val="7030A0"/>
                <w:sz w:val="14"/>
              </w:rPr>
            </w:pPr>
          </w:p>
        </w:tc>
        <w:tc>
          <w:tcPr>
            <w:tcW w:w="6019" w:type="dxa"/>
            <w:tcBorders>
              <w:top w:val="nil"/>
              <w:left w:val="single" w:sz="2" w:space="0" w:color="auto"/>
              <w:bottom w:val="nil"/>
              <w:right w:val="nil"/>
            </w:tcBorders>
            <w:vAlign w:val="bottom"/>
          </w:tcPr>
          <w:p w14:paraId="5135BA53" w14:textId="77777777" w:rsidR="00BB55EB" w:rsidRPr="006C2572" w:rsidRDefault="00BB55EB" w:rsidP="00BB55EB">
            <w:pPr>
              <w:pStyle w:val="TableText"/>
              <w:tabs>
                <w:tab w:val="left" w:pos="3306"/>
              </w:tabs>
              <w:rPr>
                <w:rFonts w:cs="Calibri"/>
                <w:bCs/>
              </w:rPr>
            </w:pPr>
          </w:p>
        </w:tc>
        <w:tc>
          <w:tcPr>
            <w:tcW w:w="1635" w:type="dxa"/>
            <w:tcBorders>
              <w:top w:val="nil"/>
              <w:left w:val="nil"/>
              <w:bottom w:val="nil"/>
              <w:right w:val="nil"/>
            </w:tcBorders>
            <w:vAlign w:val="bottom"/>
          </w:tcPr>
          <w:p w14:paraId="1539E80F"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69883C1F" w14:textId="77777777" w:rsidR="00BB55EB" w:rsidRPr="006C2572" w:rsidRDefault="00BB55EB" w:rsidP="00BB55EB">
            <w:pPr>
              <w:pStyle w:val="TableText"/>
              <w:tabs>
                <w:tab w:val="left" w:pos="3306"/>
              </w:tabs>
              <w:jc w:val="right"/>
              <w:rPr>
                <w:rFonts w:cs="Calibri"/>
              </w:rPr>
            </w:pPr>
          </w:p>
        </w:tc>
      </w:tr>
      <w:tr w:rsidR="00BB55EB" w:rsidRPr="00CF7E1B" w14:paraId="546E5BDC"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tcPr>
          <w:p w14:paraId="41856835" w14:textId="77777777" w:rsidR="00BB55EB" w:rsidRPr="006C2572" w:rsidRDefault="00BB55EB" w:rsidP="00BB55EB">
            <w:pPr>
              <w:pStyle w:val="TableReference"/>
              <w:tabs>
                <w:tab w:val="left" w:pos="3306"/>
              </w:tabs>
              <w:spacing w:before="60"/>
              <w:rPr>
                <w:rFonts w:cs="Calibri"/>
                <w:color w:val="7030A0"/>
                <w:sz w:val="14"/>
              </w:rPr>
            </w:pPr>
          </w:p>
        </w:tc>
        <w:tc>
          <w:tcPr>
            <w:tcW w:w="6019" w:type="dxa"/>
            <w:tcBorders>
              <w:top w:val="nil"/>
              <w:left w:val="single" w:sz="2" w:space="0" w:color="auto"/>
              <w:bottom w:val="nil"/>
              <w:right w:val="nil"/>
            </w:tcBorders>
            <w:vAlign w:val="bottom"/>
          </w:tcPr>
          <w:p w14:paraId="35FB8D79" w14:textId="362DD660" w:rsidR="00BB55EB" w:rsidRPr="006C2572" w:rsidRDefault="00BB55EB" w:rsidP="00BB55EB">
            <w:pPr>
              <w:pStyle w:val="TableText"/>
              <w:tabs>
                <w:tab w:val="left" w:pos="3306"/>
              </w:tabs>
              <w:rPr>
                <w:rFonts w:cs="Calibri"/>
              </w:rPr>
            </w:pPr>
            <w:r w:rsidRPr="006C2572">
              <w:rPr>
                <w:rFonts w:cs="Calibri"/>
              </w:rPr>
              <w:t>‘</w:t>
            </w:r>
            <w:r w:rsidR="003B044B" w:rsidRPr="006C2572">
              <w:t>Burley Griffin</w:t>
            </w:r>
            <w:r w:rsidRPr="006C2572">
              <w:rPr>
                <w:rFonts w:cs="Calibri"/>
              </w:rPr>
              <w:t xml:space="preserve"> Agency’ Share of the Joint Venture Operating Profit (50%)</w:t>
            </w:r>
          </w:p>
        </w:tc>
        <w:tc>
          <w:tcPr>
            <w:tcW w:w="1635" w:type="dxa"/>
            <w:tcBorders>
              <w:top w:val="nil"/>
              <w:left w:val="nil"/>
              <w:bottom w:val="nil"/>
              <w:right w:val="nil"/>
            </w:tcBorders>
            <w:vAlign w:val="bottom"/>
          </w:tcPr>
          <w:p w14:paraId="0E6F3B18" w14:textId="0BF77657" w:rsidR="00BB55EB" w:rsidRPr="006C2572" w:rsidRDefault="00BB55EB" w:rsidP="00BB55EB">
            <w:pPr>
              <w:pStyle w:val="TableText"/>
              <w:tabs>
                <w:tab w:val="left" w:pos="3306"/>
              </w:tabs>
              <w:jc w:val="right"/>
              <w:rPr>
                <w:rFonts w:cs="Calibri"/>
                <w:b/>
              </w:rPr>
            </w:pPr>
          </w:p>
        </w:tc>
        <w:tc>
          <w:tcPr>
            <w:tcW w:w="1276" w:type="dxa"/>
            <w:tcBorders>
              <w:top w:val="nil"/>
              <w:left w:val="nil"/>
              <w:bottom w:val="nil"/>
              <w:right w:val="nil"/>
            </w:tcBorders>
            <w:vAlign w:val="bottom"/>
          </w:tcPr>
          <w:p w14:paraId="5C3ABCEB" w14:textId="225758D4" w:rsidR="00BB55EB" w:rsidRPr="006C2572" w:rsidRDefault="00BB55EB" w:rsidP="00BB55EB">
            <w:pPr>
              <w:pStyle w:val="TableText"/>
              <w:tabs>
                <w:tab w:val="left" w:pos="3306"/>
              </w:tabs>
              <w:jc w:val="right"/>
              <w:rPr>
                <w:rFonts w:cs="Calibri"/>
                <w:b/>
              </w:rPr>
            </w:pPr>
          </w:p>
        </w:tc>
      </w:tr>
      <w:tr w:rsidR="00BB55EB" w:rsidRPr="00CF7E1B" w14:paraId="0D84F36D"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0" w:type="dxa"/>
            <w:tcBorders>
              <w:top w:val="nil"/>
              <w:left w:val="single" w:sz="2" w:space="0" w:color="auto"/>
              <w:bottom w:val="nil"/>
              <w:right w:val="single" w:sz="2" w:space="0" w:color="auto"/>
            </w:tcBorders>
            <w:vAlign w:val="bottom"/>
          </w:tcPr>
          <w:p w14:paraId="28C6F49E" w14:textId="77777777" w:rsidR="00BB55EB" w:rsidRPr="006C2572" w:rsidRDefault="00BB55EB" w:rsidP="00BB55EB">
            <w:pPr>
              <w:pStyle w:val="TableReference"/>
              <w:tabs>
                <w:tab w:val="left" w:pos="3306"/>
              </w:tabs>
              <w:spacing w:before="60"/>
              <w:rPr>
                <w:rFonts w:cs="Calibri"/>
                <w:color w:val="7030A0"/>
                <w:sz w:val="14"/>
              </w:rPr>
            </w:pPr>
          </w:p>
        </w:tc>
        <w:tc>
          <w:tcPr>
            <w:tcW w:w="6019" w:type="dxa"/>
            <w:tcBorders>
              <w:top w:val="nil"/>
              <w:left w:val="single" w:sz="2" w:space="0" w:color="auto"/>
              <w:bottom w:val="nil"/>
              <w:right w:val="nil"/>
            </w:tcBorders>
            <w:vAlign w:val="bottom"/>
          </w:tcPr>
          <w:p w14:paraId="73A3283D" w14:textId="2B5DCC68" w:rsidR="00BB55EB" w:rsidRPr="006C2572" w:rsidRDefault="00BB55EB" w:rsidP="00BB55EB">
            <w:pPr>
              <w:pStyle w:val="TableText"/>
              <w:tabs>
                <w:tab w:val="left" w:pos="3306"/>
              </w:tabs>
              <w:rPr>
                <w:rFonts w:cs="Calibri"/>
              </w:rPr>
            </w:pPr>
            <w:r w:rsidRPr="006C2572">
              <w:rPr>
                <w:rFonts w:cs="Calibri"/>
              </w:rPr>
              <w:t>’</w:t>
            </w:r>
            <w:r w:rsidR="003B044B" w:rsidRPr="006C2572">
              <w:t>Burley Griffin</w:t>
            </w:r>
            <w:r w:rsidRPr="006C2572">
              <w:rPr>
                <w:rFonts w:cs="Calibri"/>
              </w:rPr>
              <w:t xml:space="preserve"> Agency’ Share of Joint Venture Other Comprehensive Income (50%)</w:t>
            </w:r>
          </w:p>
        </w:tc>
        <w:tc>
          <w:tcPr>
            <w:tcW w:w="1635" w:type="dxa"/>
            <w:tcBorders>
              <w:top w:val="nil"/>
              <w:left w:val="nil"/>
              <w:bottom w:val="nil"/>
              <w:right w:val="nil"/>
            </w:tcBorders>
            <w:vAlign w:val="bottom"/>
          </w:tcPr>
          <w:p w14:paraId="554B9A01" w14:textId="669F2946" w:rsidR="00BB55EB" w:rsidRPr="006C2572" w:rsidRDefault="00BB55EB" w:rsidP="00BB55EB">
            <w:pPr>
              <w:pStyle w:val="TableText"/>
              <w:tabs>
                <w:tab w:val="left" w:pos="3306"/>
              </w:tabs>
              <w:spacing w:before="0"/>
              <w:jc w:val="right"/>
              <w:rPr>
                <w:rFonts w:cs="Calibri"/>
                <w:b/>
              </w:rPr>
            </w:pPr>
          </w:p>
        </w:tc>
        <w:tc>
          <w:tcPr>
            <w:tcW w:w="1276" w:type="dxa"/>
            <w:tcBorders>
              <w:top w:val="nil"/>
              <w:left w:val="nil"/>
              <w:bottom w:val="nil"/>
              <w:right w:val="nil"/>
            </w:tcBorders>
            <w:vAlign w:val="bottom"/>
          </w:tcPr>
          <w:p w14:paraId="505FFD4B" w14:textId="2F83995C" w:rsidR="00BB55EB" w:rsidRPr="006C2572" w:rsidRDefault="00BB55EB" w:rsidP="00BB55EB">
            <w:pPr>
              <w:pStyle w:val="TableText"/>
              <w:tabs>
                <w:tab w:val="left" w:pos="3306"/>
              </w:tabs>
              <w:jc w:val="right"/>
              <w:rPr>
                <w:rFonts w:cs="Calibri"/>
                <w:b/>
              </w:rPr>
            </w:pPr>
          </w:p>
        </w:tc>
      </w:tr>
    </w:tbl>
    <w:p w14:paraId="3A5A3DEA" w14:textId="77777777" w:rsidR="00B330CA" w:rsidRDefault="00B330CA">
      <w:r>
        <w:br w:type="page"/>
      </w:r>
    </w:p>
    <w:tbl>
      <w:tblPr>
        <w:tblW w:w="1049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6095"/>
        <w:gridCol w:w="1559"/>
        <w:gridCol w:w="1276"/>
      </w:tblGrid>
      <w:tr w:rsidR="00B330CA" w:rsidRPr="00CF7E1B" w14:paraId="226A323E" w14:textId="77777777" w:rsidTr="0004564D">
        <w:trPr>
          <w:cantSplit/>
          <w:trHeight w:val="23"/>
        </w:trPr>
        <w:tc>
          <w:tcPr>
            <w:tcW w:w="1560" w:type="dxa"/>
            <w:tcBorders>
              <w:top w:val="nil"/>
              <w:left w:val="single" w:sz="2" w:space="0" w:color="auto"/>
              <w:bottom w:val="nil"/>
              <w:right w:val="single" w:sz="2" w:space="0" w:color="auto"/>
            </w:tcBorders>
          </w:tcPr>
          <w:p w14:paraId="531DB102" w14:textId="77777777" w:rsidR="00B330CA" w:rsidRPr="006C2572" w:rsidRDefault="00B330CA" w:rsidP="00DA5473">
            <w:pPr>
              <w:pStyle w:val="TableReference"/>
              <w:tabs>
                <w:tab w:val="left" w:pos="3306"/>
              </w:tabs>
              <w:spacing w:before="240"/>
              <w:rPr>
                <w:rFonts w:cs="Calibri"/>
                <w:b/>
                <w:color w:val="7030A0"/>
                <w:sz w:val="22"/>
                <w:szCs w:val="22"/>
              </w:rPr>
            </w:pPr>
            <w:r w:rsidRPr="006C2572">
              <w:rPr>
                <w:rFonts w:cs="Calibri"/>
                <w:b/>
                <w:color w:val="7030A0"/>
                <w:sz w:val="22"/>
                <w:szCs w:val="22"/>
              </w:rPr>
              <w:t>Reference</w:t>
            </w:r>
          </w:p>
        </w:tc>
        <w:tc>
          <w:tcPr>
            <w:tcW w:w="8930" w:type="dxa"/>
            <w:gridSpan w:val="3"/>
            <w:tcBorders>
              <w:top w:val="nil"/>
              <w:left w:val="single" w:sz="2" w:space="0" w:color="auto"/>
              <w:bottom w:val="nil"/>
              <w:right w:val="nil"/>
            </w:tcBorders>
            <w:vAlign w:val="bottom"/>
          </w:tcPr>
          <w:p w14:paraId="351C86C0" w14:textId="67D898DC" w:rsidR="00B330CA" w:rsidRPr="007D2948" w:rsidRDefault="00B330CA" w:rsidP="00DA5473">
            <w:pPr>
              <w:pStyle w:val="Heading1"/>
              <w:numPr>
                <w:ilvl w:val="0"/>
                <w:numId w:val="0"/>
              </w:numPr>
            </w:pPr>
            <w:bookmarkStart w:id="733" w:name="_Toc98763174"/>
            <w:r w:rsidRPr="007D2948">
              <w:t>Note 34.</w:t>
            </w:r>
            <w:r>
              <w:t xml:space="preserve"> </w:t>
            </w:r>
            <w:r w:rsidRPr="007D2948">
              <w:t xml:space="preserve"> Interest in a Joint Venture</w:t>
            </w:r>
            <w:r w:rsidRPr="007D2948">
              <w:rPr>
                <w:rFonts w:cs="Arial"/>
                <w:szCs w:val="32"/>
              </w:rPr>
              <w:t xml:space="preserve"> </w:t>
            </w:r>
            <w:r>
              <w:rPr>
                <w:rFonts w:cs="Arial"/>
                <w:szCs w:val="32"/>
              </w:rPr>
              <w:t>–</w:t>
            </w:r>
            <w:r w:rsidRPr="007D2948">
              <w:rPr>
                <w:rFonts w:cs="Arial"/>
                <w:szCs w:val="32"/>
              </w:rPr>
              <w:t xml:space="preserve"> CONTINUED</w:t>
            </w:r>
            <w:bookmarkEnd w:id="733"/>
            <w:r>
              <w:rPr>
                <w:rFonts w:cs="Arial"/>
                <w:szCs w:val="32"/>
              </w:rPr>
              <w:t xml:space="preserve"> </w:t>
            </w:r>
          </w:p>
        </w:tc>
      </w:tr>
      <w:tr w:rsidR="00B330CA" w:rsidRPr="00CF7E1B" w14:paraId="7C62BD81" w14:textId="77777777" w:rsidTr="0004564D">
        <w:trPr>
          <w:cantSplit/>
          <w:trHeight w:val="128"/>
        </w:trPr>
        <w:tc>
          <w:tcPr>
            <w:tcW w:w="1560" w:type="dxa"/>
            <w:tcBorders>
              <w:top w:val="nil"/>
              <w:left w:val="single" w:sz="2" w:space="0" w:color="auto"/>
              <w:bottom w:val="nil"/>
              <w:right w:val="single" w:sz="2" w:space="0" w:color="auto"/>
            </w:tcBorders>
          </w:tcPr>
          <w:p w14:paraId="5F163ABB" w14:textId="77777777" w:rsidR="00B330CA" w:rsidRPr="006C2572" w:rsidRDefault="00B330CA" w:rsidP="00DA5473">
            <w:pPr>
              <w:pStyle w:val="TableReference"/>
              <w:tabs>
                <w:tab w:val="left" w:pos="3306"/>
              </w:tabs>
              <w:spacing w:before="60"/>
              <w:rPr>
                <w:rFonts w:cs="Calibri"/>
                <w:color w:val="7030A0"/>
                <w:sz w:val="14"/>
              </w:rPr>
            </w:pPr>
          </w:p>
        </w:tc>
        <w:tc>
          <w:tcPr>
            <w:tcW w:w="6095" w:type="dxa"/>
            <w:tcBorders>
              <w:top w:val="nil"/>
              <w:left w:val="single" w:sz="2" w:space="0" w:color="auto"/>
              <w:bottom w:val="nil"/>
              <w:right w:val="nil"/>
            </w:tcBorders>
            <w:vAlign w:val="bottom"/>
          </w:tcPr>
          <w:p w14:paraId="72D7F956" w14:textId="77777777" w:rsidR="00B330CA" w:rsidRPr="007D2948" w:rsidRDefault="00B330CA" w:rsidP="00DA5473">
            <w:pPr>
              <w:pStyle w:val="TableText"/>
              <w:tabs>
                <w:tab w:val="left" w:pos="3306"/>
              </w:tabs>
              <w:jc w:val="right"/>
              <w:rPr>
                <w:rFonts w:cs="Calibri"/>
              </w:rPr>
            </w:pPr>
          </w:p>
        </w:tc>
        <w:tc>
          <w:tcPr>
            <w:tcW w:w="1559" w:type="dxa"/>
            <w:tcBorders>
              <w:top w:val="nil"/>
              <w:left w:val="nil"/>
              <w:bottom w:val="nil"/>
              <w:right w:val="nil"/>
            </w:tcBorders>
            <w:vAlign w:val="bottom"/>
          </w:tcPr>
          <w:p w14:paraId="62855D8A" w14:textId="77777777" w:rsidR="00B330CA" w:rsidRPr="007D2948" w:rsidRDefault="00B330CA" w:rsidP="00DA5473">
            <w:pPr>
              <w:pStyle w:val="TableTitle"/>
              <w:tabs>
                <w:tab w:val="left" w:pos="3306"/>
              </w:tabs>
              <w:rPr>
                <w:rFonts w:cs="Calibri"/>
              </w:rPr>
            </w:pPr>
            <w:r w:rsidRPr="007D2948">
              <w:rPr>
                <w:rFonts w:cs="Calibri"/>
              </w:rPr>
              <w:t>2022</w:t>
            </w:r>
          </w:p>
          <w:p w14:paraId="3162565E" w14:textId="77777777" w:rsidR="00B330CA" w:rsidRPr="007D2948" w:rsidRDefault="00B330CA" w:rsidP="00DA5473">
            <w:pPr>
              <w:pStyle w:val="TableText"/>
              <w:tabs>
                <w:tab w:val="left" w:pos="3306"/>
              </w:tabs>
              <w:jc w:val="right"/>
              <w:rPr>
                <w:rFonts w:cs="Calibri"/>
              </w:rPr>
            </w:pPr>
            <w:r w:rsidRPr="007D2948">
              <w:rPr>
                <w:rFonts w:cs="Calibri"/>
                <w:b/>
              </w:rPr>
              <w:t>$’000</w:t>
            </w:r>
          </w:p>
        </w:tc>
        <w:tc>
          <w:tcPr>
            <w:tcW w:w="1276" w:type="dxa"/>
            <w:tcBorders>
              <w:top w:val="nil"/>
              <w:left w:val="nil"/>
              <w:bottom w:val="nil"/>
              <w:right w:val="nil"/>
            </w:tcBorders>
            <w:vAlign w:val="bottom"/>
          </w:tcPr>
          <w:p w14:paraId="262CB530" w14:textId="77777777" w:rsidR="00B330CA" w:rsidRDefault="00B330CA" w:rsidP="00DA5473">
            <w:pPr>
              <w:pStyle w:val="TableText"/>
              <w:tabs>
                <w:tab w:val="left" w:pos="3306"/>
              </w:tabs>
              <w:jc w:val="right"/>
              <w:rPr>
                <w:rFonts w:cs="Calibri"/>
                <w:b/>
                <w:bCs/>
              </w:rPr>
            </w:pPr>
            <w:r w:rsidRPr="007D2948">
              <w:rPr>
                <w:rFonts w:cs="Calibri"/>
                <w:b/>
                <w:bCs/>
              </w:rPr>
              <w:t>2021</w:t>
            </w:r>
            <w:r>
              <w:rPr>
                <w:rFonts w:cs="Calibri"/>
                <w:b/>
                <w:bCs/>
              </w:rPr>
              <w:t xml:space="preserve">   </w:t>
            </w:r>
          </w:p>
          <w:p w14:paraId="249828D2" w14:textId="7B6D2B8D" w:rsidR="00B330CA" w:rsidRPr="007D2948" w:rsidRDefault="00B330CA" w:rsidP="00DA5473">
            <w:pPr>
              <w:pStyle w:val="TableText"/>
              <w:tabs>
                <w:tab w:val="left" w:pos="3306"/>
              </w:tabs>
              <w:jc w:val="right"/>
              <w:rPr>
                <w:rFonts w:cs="Calibri"/>
              </w:rPr>
            </w:pPr>
            <w:r w:rsidRPr="007D2948">
              <w:rPr>
                <w:rFonts w:cs="Calibri"/>
                <w:b/>
                <w:bCs/>
              </w:rPr>
              <w:t xml:space="preserve"> </w:t>
            </w:r>
            <w:r w:rsidRPr="007D2948">
              <w:rPr>
                <w:rFonts w:cs="Calibri"/>
                <w:b/>
              </w:rPr>
              <w:t>$’000</w:t>
            </w:r>
          </w:p>
        </w:tc>
      </w:tr>
      <w:tr w:rsidR="00BB55EB" w:rsidRPr="00CF7E1B" w14:paraId="1E3BF9A3" w14:textId="77777777" w:rsidTr="0004564D">
        <w:trPr>
          <w:cantSplit/>
          <w:trHeight w:val="23"/>
        </w:trPr>
        <w:tc>
          <w:tcPr>
            <w:tcW w:w="1560" w:type="dxa"/>
            <w:tcBorders>
              <w:top w:val="nil"/>
              <w:left w:val="single" w:sz="2" w:space="0" w:color="auto"/>
              <w:bottom w:val="nil"/>
              <w:right w:val="single" w:sz="2" w:space="0" w:color="auto"/>
            </w:tcBorders>
          </w:tcPr>
          <w:p w14:paraId="60A2D008" w14:textId="67DA3CC5"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 B12,B13</w:t>
            </w:r>
          </w:p>
        </w:tc>
        <w:tc>
          <w:tcPr>
            <w:tcW w:w="6095" w:type="dxa"/>
            <w:tcBorders>
              <w:top w:val="nil"/>
              <w:left w:val="single" w:sz="2" w:space="0" w:color="auto"/>
              <w:bottom w:val="nil"/>
              <w:right w:val="nil"/>
            </w:tcBorders>
            <w:vAlign w:val="center"/>
          </w:tcPr>
          <w:p w14:paraId="6113A4FC" w14:textId="42D074E4" w:rsidR="00BB55EB" w:rsidRPr="006C2572" w:rsidRDefault="00BB55EB" w:rsidP="00BB55EB">
            <w:pPr>
              <w:pStyle w:val="TableText"/>
              <w:tabs>
                <w:tab w:val="left" w:pos="3306"/>
              </w:tabs>
              <w:rPr>
                <w:rFonts w:cs="Calibri"/>
                <w:b/>
                <w:bCs/>
              </w:rPr>
            </w:pPr>
            <w:r w:rsidRPr="006C2572">
              <w:rPr>
                <w:rFonts w:cs="Calibri"/>
                <w:b/>
                <w:bCs/>
              </w:rPr>
              <w:t xml:space="preserve">Summarised Balance Sheet of </w:t>
            </w:r>
            <w:r w:rsidR="007B19EB" w:rsidRPr="006C2572">
              <w:rPr>
                <w:rFonts w:cs="Calibri"/>
                <w:b/>
                <w:bCs/>
              </w:rPr>
              <w:t>‘</w:t>
            </w:r>
            <w:r w:rsidRPr="006C2572">
              <w:rPr>
                <w:rFonts w:cs="Calibri"/>
                <w:b/>
                <w:bCs/>
              </w:rPr>
              <w:t>Example Joint Venture Entity’</w:t>
            </w:r>
          </w:p>
        </w:tc>
        <w:tc>
          <w:tcPr>
            <w:tcW w:w="1559" w:type="dxa"/>
            <w:tcBorders>
              <w:top w:val="nil"/>
              <w:left w:val="nil"/>
              <w:bottom w:val="nil"/>
              <w:right w:val="nil"/>
            </w:tcBorders>
            <w:vAlign w:val="bottom"/>
          </w:tcPr>
          <w:p w14:paraId="49AD4ED5"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18B621D0" w14:textId="77777777" w:rsidR="00BB55EB" w:rsidRPr="006C2572" w:rsidRDefault="00BB55EB" w:rsidP="00BB55EB">
            <w:pPr>
              <w:pStyle w:val="TableText"/>
              <w:tabs>
                <w:tab w:val="left" w:pos="3306"/>
              </w:tabs>
              <w:jc w:val="right"/>
              <w:rPr>
                <w:rFonts w:cs="Calibri"/>
              </w:rPr>
            </w:pPr>
          </w:p>
        </w:tc>
      </w:tr>
      <w:tr w:rsidR="00BB55EB" w:rsidRPr="00CF7E1B" w14:paraId="1EF33E4F" w14:textId="77777777" w:rsidTr="0004564D">
        <w:trPr>
          <w:cantSplit/>
          <w:trHeight w:val="23"/>
        </w:trPr>
        <w:tc>
          <w:tcPr>
            <w:tcW w:w="1560" w:type="dxa"/>
            <w:tcBorders>
              <w:top w:val="nil"/>
              <w:left w:val="single" w:sz="2" w:space="0" w:color="auto"/>
              <w:bottom w:val="nil"/>
              <w:right w:val="single" w:sz="2" w:space="0" w:color="auto"/>
            </w:tcBorders>
          </w:tcPr>
          <w:p w14:paraId="7DE4AA38" w14:textId="77777777" w:rsidR="00BB55EB" w:rsidRPr="006C2572" w:rsidRDefault="00BB55EB" w:rsidP="00BB55EB">
            <w:pPr>
              <w:pStyle w:val="TableReference"/>
              <w:tabs>
                <w:tab w:val="left" w:pos="3306"/>
              </w:tabs>
              <w:spacing w:before="60"/>
              <w:rPr>
                <w:rFonts w:cs="Calibri"/>
                <w:color w:val="7030A0"/>
                <w:sz w:val="14"/>
              </w:rPr>
            </w:pPr>
          </w:p>
        </w:tc>
        <w:tc>
          <w:tcPr>
            <w:tcW w:w="6095" w:type="dxa"/>
            <w:tcBorders>
              <w:top w:val="nil"/>
              <w:left w:val="single" w:sz="2" w:space="0" w:color="auto"/>
              <w:bottom w:val="nil"/>
              <w:right w:val="nil"/>
            </w:tcBorders>
            <w:vAlign w:val="center"/>
          </w:tcPr>
          <w:p w14:paraId="4863158A" w14:textId="77777777" w:rsidR="00BB55EB" w:rsidRPr="006C2572" w:rsidRDefault="00BB55EB" w:rsidP="00BB55EB">
            <w:pPr>
              <w:pStyle w:val="TableText"/>
              <w:tabs>
                <w:tab w:val="left" w:pos="3306"/>
              </w:tabs>
              <w:rPr>
                <w:rFonts w:cs="Calibri"/>
                <w:b/>
                <w:bCs/>
              </w:rPr>
            </w:pPr>
            <w:r w:rsidRPr="006C2572">
              <w:rPr>
                <w:rFonts w:cs="Calibri"/>
                <w:b/>
                <w:bCs/>
              </w:rPr>
              <w:t>Current Assets:</w:t>
            </w:r>
          </w:p>
        </w:tc>
        <w:tc>
          <w:tcPr>
            <w:tcW w:w="1559" w:type="dxa"/>
            <w:tcBorders>
              <w:top w:val="nil"/>
              <w:left w:val="nil"/>
              <w:bottom w:val="nil"/>
              <w:right w:val="nil"/>
            </w:tcBorders>
            <w:vAlign w:val="bottom"/>
          </w:tcPr>
          <w:p w14:paraId="1C3E17E4"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1527479E" w14:textId="77777777" w:rsidR="00BB55EB" w:rsidRPr="006C2572" w:rsidRDefault="00BB55EB" w:rsidP="00BB55EB">
            <w:pPr>
              <w:pStyle w:val="TableText"/>
              <w:tabs>
                <w:tab w:val="left" w:pos="3306"/>
              </w:tabs>
              <w:jc w:val="right"/>
              <w:rPr>
                <w:rFonts w:cs="Calibri"/>
              </w:rPr>
            </w:pPr>
          </w:p>
        </w:tc>
      </w:tr>
      <w:tr w:rsidR="00BB55EB" w:rsidRPr="00CF7E1B" w14:paraId="4B7EC841" w14:textId="77777777" w:rsidTr="0004564D">
        <w:trPr>
          <w:cantSplit/>
          <w:trHeight w:val="23"/>
        </w:trPr>
        <w:tc>
          <w:tcPr>
            <w:tcW w:w="1560" w:type="dxa"/>
            <w:tcBorders>
              <w:top w:val="nil"/>
              <w:left w:val="single" w:sz="2" w:space="0" w:color="auto"/>
              <w:bottom w:val="nil"/>
              <w:right w:val="single" w:sz="2" w:space="0" w:color="auto"/>
            </w:tcBorders>
          </w:tcPr>
          <w:p w14:paraId="74AA223B" w14:textId="77777777" w:rsidR="00BB55EB" w:rsidRPr="006C2572" w:rsidRDefault="00BB55EB" w:rsidP="00BB55EB">
            <w:pPr>
              <w:pStyle w:val="TableReference"/>
              <w:tabs>
                <w:tab w:val="left" w:pos="3306"/>
              </w:tabs>
              <w:spacing w:before="60"/>
              <w:rPr>
                <w:rFonts w:cs="Calibri"/>
                <w:color w:val="7030A0"/>
                <w:sz w:val="14"/>
              </w:rPr>
            </w:pPr>
          </w:p>
        </w:tc>
        <w:tc>
          <w:tcPr>
            <w:tcW w:w="6095" w:type="dxa"/>
            <w:tcBorders>
              <w:top w:val="nil"/>
              <w:left w:val="single" w:sz="2" w:space="0" w:color="auto"/>
              <w:bottom w:val="nil"/>
              <w:right w:val="nil"/>
            </w:tcBorders>
            <w:vAlign w:val="center"/>
          </w:tcPr>
          <w:p w14:paraId="3DF020DA" w14:textId="1322ACF4" w:rsidR="00BB55EB" w:rsidRPr="006C2572" w:rsidRDefault="00BB55EB" w:rsidP="00BB55EB">
            <w:pPr>
              <w:pStyle w:val="TableText"/>
              <w:tabs>
                <w:tab w:val="left" w:pos="3306"/>
              </w:tabs>
              <w:rPr>
                <w:rFonts w:cs="Calibri"/>
                <w:bCs/>
              </w:rPr>
            </w:pPr>
            <w:r w:rsidRPr="006C2572">
              <w:rPr>
                <w:rFonts w:cs="Calibri"/>
                <w:bCs/>
              </w:rPr>
              <w:t>Current Assets Other</w:t>
            </w:r>
          </w:p>
        </w:tc>
        <w:tc>
          <w:tcPr>
            <w:tcW w:w="1559" w:type="dxa"/>
            <w:tcBorders>
              <w:top w:val="nil"/>
              <w:left w:val="nil"/>
              <w:bottom w:val="nil"/>
              <w:right w:val="nil"/>
            </w:tcBorders>
            <w:vAlign w:val="bottom"/>
          </w:tcPr>
          <w:p w14:paraId="402928EE" w14:textId="175B7659"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06141538" w14:textId="02FF4DE2" w:rsidR="00BB55EB" w:rsidRPr="006C2572" w:rsidRDefault="00BB55EB" w:rsidP="00BB55EB">
            <w:pPr>
              <w:pStyle w:val="TableText"/>
              <w:tabs>
                <w:tab w:val="left" w:pos="3306"/>
              </w:tabs>
              <w:jc w:val="right"/>
              <w:rPr>
                <w:rFonts w:cs="Calibri"/>
              </w:rPr>
            </w:pPr>
          </w:p>
        </w:tc>
      </w:tr>
      <w:tr w:rsidR="00BB55EB" w:rsidRPr="00CF7E1B" w14:paraId="046D1E26" w14:textId="77777777" w:rsidTr="0004564D">
        <w:trPr>
          <w:cantSplit/>
          <w:trHeight w:val="23"/>
        </w:trPr>
        <w:tc>
          <w:tcPr>
            <w:tcW w:w="1560" w:type="dxa"/>
            <w:tcBorders>
              <w:top w:val="nil"/>
              <w:left w:val="single" w:sz="2" w:space="0" w:color="auto"/>
              <w:bottom w:val="nil"/>
              <w:right w:val="single" w:sz="2" w:space="0" w:color="auto"/>
            </w:tcBorders>
          </w:tcPr>
          <w:p w14:paraId="59D54752" w14:textId="77777777" w:rsidR="00BB55EB" w:rsidRPr="006C2572" w:rsidRDefault="00BB55EB" w:rsidP="00BB55EB">
            <w:pPr>
              <w:pStyle w:val="TableReference"/>
              <w:tabs>
                <w:tab w:val="left" w:pos="3306"/>
              </w:tabs>
              <w:spacing w:before="60"/>
              <w:rPr>
                <w:rFonts w:cs="Calibri"/>
                <w:color w:val="7030A0"/>
                <w:sz w:val="14"/>
              </w:rPr>
            </w:pPr>
          </w:p>
        </w:tc>
        <w:tc>
          <w:tcPr>
            <w:tcW w:w="6095" w:type="dxa"/>
            <w:tcBorders>
              <w:top w:val="nil"/>
              <w:left w:val="single" w:sz="2" w:space="0" w:color="auto"/>
              <w:bottom w:val="nil"/>
              <w:right w:val="nil"/>
            </w:tcBorders>
            <w:vAlign w:val="center"/>
          </w:tcPr>
          <w:p w14:paraId="661DE93B" w14:textId="77777777" w:rsidR="00BB55EB" w:rsidRPr="006C2572" w:rsidRDefault="00BB55EB" w:rsidP="00BB55EB">
            <w:pPr>
              <w:pStyle w:val="TableText"/>
              <w:tabs>
                <w:tab w:val="left" w:pos="3306"/>
              </w:tabs>
              <w:rPr>
                <w:rFonts w:cs="Calibri"/>
                <w:bCs/>
              </w:rPr>
            </w:pPr>
            <w:r w:rsidRPr="006C2572">
              <w:rPr>
                <w:rFonts w:cs="Calibri"/>
              </w:rPr>
              <w:t>Cash and Cash Equivalents</w:t>
            </w:r>
          </w:p>
        </w:tc>
        <w:tc>
          <w:tcPr>
            <w:tcW w:w="1559" w:type="dxa"/>
            <w:tcBorders>
              <w:top w:val="nil"/>
              <w:left w:val="nil"/>
              <w:bottom w:val="single" w:sz="4" w:space="0" w:color="auto"/>
              <w:right w:val="nil"/>
            </w:tcBorders>
            <w:vAlign w:val="bottom"/>
          </w:tcPr>
          <w:p w14:paraId="24897179" w14:textId="3C2C079A" w:rsidR="00BB55EB" w:rsidRPr="006C2572" w:rsidRDefault="00BB55EB" w:rsidP="00BB55EB">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47D2FE28" w14:textId="2AD8045C" w:rsidR="00BB55EB" w:rsidRPr="006C2572" w:rsidRDefault="00BB55EB" w:rsidP="00BB55EB">
            <w:pPr>
              <w:pStyle w:val="TableText"/>
              <w:tabs>
                <w:tab w:val="left" w:pos="3306"/>
              </w:tabs>
              <w:jc w:val="right"/>
              <w:rPr>
                <w:rFonts w:cs="Calibri"/>
              </w:rPr>
            </w:pPr>
          </w:p>
        </w:tc>
      </w:tr>
      <w:tr w:rsidR="00BB55EB" w:rsidRPr="00CF7E1B" w14:paraId="030E0E3D" w14:textId="77777777" w:rsidTr="0004564D">
        <w:trPr>
          <w:cantSplit/>
          <w:trHeight w:val="23"/>
        </w:trPr>
        <w:tc>
          <w:tcPr>
            <w:tcW w:w="1560" w:type="dxa"/>
            <w:tcBorders>
              <w:top w:val="nil"/>
              <w:left w:val="single" w:sz="2" w:space="0" w:color="auto"/>
              <w:bottom w:val="nil"/>
              <w:right w:val="single" w:sz="2" w:space="0" w:color="auto"/>
            </w:tcBorders>
          </w:tcPr>
          <w:p w14:paraId="692A5492" w14:textId="77777777" w:rsidR="00BB55EB" w:rsidRPr="006C2572" w:rsidRDefault="00BB55EB" w:rsidP="00BB55EB">
            <w:pPr>
              <w:pStyle w:val="TableReference"/>
              <w:tabs>
                <w:tab w:val="left" w:pos="3306"/>
              </w:tabs>
              <w:spacing w:before="60"/>
              <w:rPr>
                <w:rFonts w:cs="Calibri"/>
                <w:b/>
                <w:color w:val="7030A0"/>
                <w:sz w:val="14"/>
              </w:rPr>
            </w:pPr>
            <w:r w:rsidRPr="006C2572">
              <w:rPr>
                <w:rFonts w:cs="Calibri"/>
                <w:color w:val="7030A0"/>
                <w:sz w:val="14"/>
              </w:rPr>
              <w:t>AASB 12.B12(b)(i), B13(a)</w:t>
            </w:r>
          </w:p>
        </w:tc>
        <w:tc>
          <w:tcPr>
            <w:tcW w:w="6095" w:type="dxa"/>
            <w:tcBorders>
              <w:top w:val="nil"/>
              <w:left w:val="single" w:sz="2" w:space="0" w:color="auto"/>
              <w:bottom w:val="nil"/>
              <w:right w:val="nil"/>
            </w:tcBorders>
            <w:vAlign w:val="bottom"/>
          </w:tcPr>
          <w:p w14:paraId="17FB4ACB" w14:textId="77777777" w:rsidR="00BB55EB" w:rsidRPr="006C2572" w:rsidRDefault="00BB55EB" w:rsidP="00BB55EB">
            <w:pPr>
              <w:pStyle w:val="TableText"/>
              <w:tabs>
                <w:tab w:val="left" w:pos="3306"/>
              </w:tabs>
              <w:rPr>
                <w:rFonts w:cs="Calibri"/>
                <w:b/>
              </w:rPr>
            </w:pPr>
            <w:r w:rsidRPr="006C2572">
              <w:rPr>
                <w:rFonts w:cs="Calibri"/>
                <w:b/>
              </w:rPr>
              <w:t>Total Current Assets</w:t>
            </w:r>
          </w:p>
        </w:tc>
        <w:tc>
          <w:tcPr>
            <w:tcW w:w="1559" w:type="dxa"/>
            <w:tcBorders>
              <w:top w:val="single" w:sz="4" w:space="0" w:color="auto"/>
              <w:left w:val="nil"/>
              <w:bottom w:val="single" w:sz="4" w:space="0" w:color="auto"/>
              <w:right w:val="nil"/>
            </w:tcBorders>
            <w:vAlign w:val="bottom"/>
          </w:tcPr>
          <w:p w14:paraId="1E711ADA" w14:textId="441FD455" w:rsidR="00BB55EB" w:rsidRPr="006C2572" w:rsidRDefault="00BB55EB" w:rsidP="00BB55EB">
            <w:pPr>
              <w:pStyle w:val="TableText"/>
              <w:tabs>
                <w:tab w:val="left" w:pos="3306"/>
              </w:tabs>
              <w:jc w:val="right"/>
              <w:rPr>
                <w:rFonts w:cs="Calibri"/>
                <w:strike/>
              </w:rPr>
            </w:pPr>
          </w:p>
        </w:tc>
        <w:tc>
          <w:tcPr>
            <w:tcW w:w="1276" w:type="dxa"/>
            <w:tcBorders>
              <w:top w:val="single" w:sz="4" w:space="0" w:color="auto"/>
              <w:left w:val="nil"/>
              <w:bottom w:val="single" w:sz="4" w:space="0" w:color="auto"/>
              <w:right w:val="nil"/>
            </w:tcBorders>
            <w:vAlign w:val="bottom"/>
          </w:tcPr>
          <w:p w14:paraId="741FCD26" w14:textId="002C720C" w:rsidR="00BB55EB" w:rsidRPr="006C2572" w:rsidRDefault="00BB55EB" w:rsidP="00BB55EB">
            <w:pPr>
              <w:pStyle w:val="TableText"/>
              <w:tabs>
                <w:tab w:val="left" w:pos="3306"/>
              </w:tabs>
              <w:jc w:val="right"/>
              <w:rPr>
                <w:rFonts w:cs="Calibri"/>
                <w:strike/>
              </w:rPr>
            </w:pPr>
          </w:p>
        </w:tc>
      </w:tr>
      <w:tr w:rsidR="00BB55EB" w:rsidRPr="00CF7E1B" w14:paraId="0218B5AA" w14:textId="77777777" w:rsidTr="0004564D">
        <w:trPr>
          <w:cantSplit/>
          <w:trHeight w:val="23"/>
        </w:trPr>
        <w:tc>
          <w:tcPr>
            <w:tcW w:w="1560" w:type="dxa"/>
            <w:tcBorders>
              <w:top w:val="nil"/>
              <w:left w:val="single" w:sz="2" w:space="0" w:color="auto"/>
              <w:bottom w:val="nil"/>
              <w:right w:val="single" w:sz="2" w:space="0" w:color="auto"/>
            </w:tcBorders>
          </w:tcPr>
          <w:p w14:paraId="4D44EF22" w14:textId="77777777" w:rsidR="00BB55EB" w:rsidRPr="006C2572" w:rsidRDefault="00BB55EB" w:rsidP="00BB55EB">
            <w:pPr>
              <w:pStyle w:val="TableReference"/>
              <w:tabs>
                <w:tab w:val="left" w:pos="3306"/>
              </w:tabs>
              <w:spacing w:before="60"/>
              <w:rPr>
                <w:rFonts w:cs="Calibri"/>
                <w:color w:val="7030A0"/>
                <w:sz w:val="16"/>
                <w:szCs w:val="16"/>
              </w:rPr>
            </w:pPr>
          </w:p>
        </w:tc>
        <w:tc>
          <w:tcPr>
            <w:tcW w:w="6095" w:type="dxa"/>
            <w:tcBorders>
              <w:top w:val="nil"/>
              <w:left w:val="single" w:sz="2" w:space="0" w:color="auto"/>
              <w:bottom w:val="nil"/>
              <w:right w:val="nil"/>
            </w:tcBorders>
            <w:vAlign w:val="bottom"/>
          </w:tcPr>
          <w:p w14:paraId="6896D54D" w14:textId="77777777" w:rsidR="00BB55EB" w:rsidRPr="006C2572" w:rsidRDefault="00BB55EB" w:rsidP="00BB55EB">
            <w:pPr>
              <w:pStyle w:val="TableText"/>
              <w:tabs>
                <w:tab w:val="left" w:pos="3306"/>
              </w:tabs>
              <w:rPr>
                <w:rFonts w:cs="Calibri"/>
              </w:rPr>
            </w:pPr>
          </w:p>
        </w:tc>
        <w:tc>
          <w:tcPr>
            <w:tcW w:w="1559" w:type="dxa"/>
            <w:tcBorders>
              <w:top w:val="single" w:sz="4" w:space="0" w:color="auto"/>
              <w:left w:val="nil"/>
              <w:bottom w:val="single" w:sz="4" w:space="0" w:color="auto"/>
              <w:right w:val="nil"/>
            </w:tcBorders>
            <w:vAlign w:val="bottom"/>
          </w:tcPr>
          <w:p w14:paraId="7D81D5AB" w14:textId="77777777" w:rsidR="00BB55EB" w:rsidRPr="006C2572" w:rsidRDefault="00BB55EB" w:rsidP="00BB55EB">
            <w:pPr>
              <w:pStyle w:val="TableText"/>
              <w:tabs>
                <w:tab w:val="left" w:pos="3306"/>
              </w:tabs>
              <w:jc w:val="right"/>
              <w:rPr>
                <w:rFonts w:cs="Calibri"/>
              </w:rPr>
            </w:pPr>
          </w:p>
        </w:tc>
        <w:tc>
          <w:tcPr>
            <w:tcW w:w="1276" w:type="dxa"/>
            <w:tcBorders>
              <w:top w:val="single" w:sz="4" w:space="0" w:color="auto"/>
              <w:left w:val="nil"/>
              <w:bottom w:val="single" w:sz="4" w:space="0" w:color="auto"/>
              <w:right w:val="nil"/>
            </w:tcBorders>
            <w:vAlign w:val="bottom"/>
          </w:tcPr>
          <w:p w14:paraId="78EEF422" w14:textId="77777777" w:rsidR="00BB55EB" w:rsidRPr="006C2572" w:rsidRDefault="00BB55EB" w:rsidP="00BB55EB">
            <w:pPr>
              <w:pStyle w:val="TableText"/>
              <w:tabs>
                <w:tab w:val="left" w:pos="3306"/>
              </w:tabs>
              <w:jc w:val="right"/>
              <w:rPr>
                <w:rFonts w:cs="Calibri"/>
              </w:rPr>
            </w:pPr>
          </w:p>
        </w:tc>
      </w:tr>
      <w:tr w:rsidR="00BB55EB" w:rsidRPr="00CF7E1B" w14:paraId="61C8239F" w14:textId="77777777" w:rsidTr="0004564D">
        <w:trPr>
          <w:cantSplit/>
          <w:trHeight w:val="23"/>
        </w:trPr>
        <w:tc>
          <w:tcPr>
            <w:tcW w:w="1560" w:type="dxa"/>
            <w:tcBorders>
              <w:top w:val="nil"/>
              <w:left w:val="single" w:sz="2" w:space="0" w:color="auto"/>
              <w:bottom w:val="nil"/>
              <w:right w:val="single" w:sz="2" w:space="0" w:color="auto"/>
            </w:tcBorders>
          </w:tcPr>
          <w:p w14:paraId="08FDF13C" w14:textId="77777777"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12.B12.(b)(ii)</w:t>
            </w:r>
          </w:p>
        </w:tc>
        <w:tc>
          <w:tcPr>
            <w:tcW w:w="6095" w:type="dxa"/>
            <w:tcBorders>
              <w:top w:val="nil"/>
              <w:left w:val="single" w:sz="2" w:space="0" w:color="auto"/>
              <w:bottom w:val="nil"/>
              <w:right w:val="nil"/>
            </w:tcBorders>
            <w:vAlign w:val="bottom"/>
          </w:tcPr>
          <w:p w14:paraId="111C404D" w14:textId="77777777" w:rsidR="00BB55EB" w:rsidRPr="006C2572" w:rsidRDefault="00BB55EB" w:rsidP="00BB55EB">
            <w:pPr>
              <w:pStyle w:val="TableText"/>
              <w:tabs>
                <w:tab w:val="left" w:pos="3306"/>
              </w:tabs>
              <w:rPr>
                <w:rFonts w:cs="Calibri"/>
                <w:b/>
              </w:rPr>
            </w:pPr>
            <w:r w:rsidRPr="006C2572">
              <w:rPr>
                <w:rFonts w:cs="Calibri"/>
                <w:b/>
              </w:rPr>
              <w:t>Non-Current Assets</w:t>
            </w:r>
          </w:p>
        </w:tc>
        <w:tc>
          <w:tcPr>
            <w:tcW w:w="1559" w:type="dxa"/>
            <w:tcBorders>
              <w:top w:val="single" w:sz="4" w:space="0" w:color="auto"/>
              <w:left w:val="nil"/>
              <w:bottom w:val="single" w:sz="4" w:space="0" w:color="auto"/>
              <w:right w:val="nil"/>
            </w:tcBorders>
            <w:vAlign w:val="bottom"/>
          </w:tcPr>
          <w:p w14:paraId="03DB889B" w14:textId="663F7BA9" w:rsidR="00BB55EB" w:rsidRPr="006C2572" w:rsidRDefault="00BB55EB" w:rsidP="00BB55EB">
            <w:pPr>
              <w:pStyle w:val="TableText"/>
              <w:tabs>
                <w:tab w:val="left" w:pos="3306"/>
              </w:tabs>
              <w:jc w:val="right"/>
              <w:rPr>
                <w:rFonts w:cs="Calibri"/>
              </w:rPr>
            </w:pPr>
          </w:p>
        </w:tc>
        <w:tc>
          <w:tcPr>
            <w:tcW w:w="1276" w:type="dxa"/>
            <w:tcBorders>
              <w:top w:val="single" w:sz="4" w:space="0" w:color="auto"/>
              <w:left w:val="nil"/>
              <w:bottom w:val="single" w:sz="4" w:space="0" w:color="auto"/>
              <w:right w:val="nil"/>
            </w:tcBorders>
            <w:vAlign w:val="bottom"/>
          </w:tcPr>
          <w:p w14:paraId="18146735" w14:textId="14218D89" w:rsidR="00BB55EB" w:rsidRPr="006C2572" w:rsidRDefault="00BB55EB" w:rsidP="00BB55EB">
            <w:pPr>
              <w:pStyle w:val="TableText"/>
              <w:tabs>
                <w:tab w:val="left" w:pos="3306"/>
              </w:tabs>
              <w:jc w:val="right"/>
              <w:rPr>
                <w:rFonts w:cs="Calibri"/>
              </w:rPr>
            </w:pPr>
          </w:p>
        </w:tc>
      </w:tr>
      <w:tr w:rsidR="00BB55EB" w:rsidRPr="00CF7E1B" w14:paraId="4FA214AF" w14:textId="77777777" w:rsidTr="0004564D">
        <w:trPr>
          <w:cantSplit/>
          <w:trHeight w:val="23"/>
        </w:trPr>
        <w:tc>
          <w:tcPr>
            <w:tcW w:w="1560" w:type="dxa"/>
            <w:tcBorders>
              <w:top w:val="nil"/>
              <w:left w:val="single" w:sz="2" w:space="0" w:color="auto"/>
              <w:bottom w:val="nil"/>
              <w:right w:val="single" w:sz="2" w:space="0" w:color="auto"/>
            </w:tcBorders>
          </w:tcPr>
          <w:p w14:paraId="560B7845" w14:textId="77777777" w:rsidR="00BB55EB" w:rsidRPr="006C2572" w:rsidRDefault="00BB55EB" w:rsidP="00BB55EB">
            <w:pPr>
              <w:pStyle w:val="TableReference"/>
              <w:tabs>
                <w:tab w:val="left" w:pos="3306"/>
              </w:tabs>
              <w:spacing w:before="40"/>
              <w:rPr>
                <w:rFonts w:cs="Calibri"/>
                <w:color w:val="7030A0"/>
                <w:sz w:val="16"/>
                <w:szCs w:val="16"/>
              </w:rPr>
            </w:pPr>
          </w:p>
        </w:tc>
        <w:tc>
          <w:tcPr>
            <w:tcW w:w="6095" w:type="dxa"/>
            <w:tcBorders>
              <w:top w:val="nil"/>
              <w:left w:val="single" w:sz="2" w:space="0" w:color="auto"/>
              <w:bottom w:val="nil"/>
              <w:right w:val="nil"/>
            </w:tcBorders>
            <w:vAlign w:val="bottom"/>
          </w:tcPr>
          <w:p w14:paraId="1111C7A3" w14:textId="77777777" w:rsidR="00BB55EB" w:rsidRPr="006C2572" w:rsidRDefault="00BB55EB" w:rsidP="00BB55EB">
            <w:pPr>
              <w:pStyle w:val="TableText"/>
              <w:tabs>
                <w:tab w:val="left" w:pos="3306"/>
              </w:tabs>
              <w:rPr>
                <w:rFonts w:cs="Calibri"/>
                <w:b/>
                <w:bCs/>
              </w:rPr>
            </w:pPr>
            <w:r w:rsidRPr="006C2572">
              <w:rPr>
                <w:rFonts w:cs="Calibri"/>
                <w:b/>
                <w:bCs/>
              </w:rPr>
              <w:t>Total Assets</w:t>
            </w:r>
          </w:p>
        </w:tc>
        <w:tc>
          <w:tcPr>
            <w:tcW w:w="1559" w:type="dxa"/>
            <w:tcBorders>
              <w:top w:val="single" w:sz="4" w:space="0" w:color="auto"/>
              <w:left w:val="nil"/>
              <w:bottom w:val="single" w:sz="4" w:space="0" w:color="auto"/>
              <w:right w:val="nil"/>
            </w:tcBorders>
            <w:vAlign w:val="bottom"/>
          </w:tcPr>
          <w:p w14:paraId="72246026" w14:textId="11B54884" w:rsidR="00BB55EB" w:rsidRPr="006C2572" w:rsidRDefault="00BB55EB" w:rsidP="00BB55EB">
            <w:pPr>
              <w:pStyle w:val="TableText"/>
              <w:tabs>
                <w:tab w:val="left" w:pos="3306"/>
              </w:tabs>
              <w:jc w:val="right"/>
              <w:rPr>
                <w:rFonts w:cs="Calibri"/>
                <w:b/>
                <w:bCs/>
              </w:rPr>
            </w:pPr>
          </w:p>
        </w:tc>
        <w:tc>
          <w:tcPr>
            <w:tcW w:w="1276" w:type="dxa"/>
            <w:tcBorders>
              <w:top w:val="single" w:sz="4" w:space="0" w:color="auto"/>
              <w:left w:val="nil"/>
              <w:bottom w:val="single" w:sz="4" w:space="0" w:color="auto"/>
              <w:right w:val="nil"/>
            </w:tcBorders>
            <w:vAlign w:val="bottom"/>
          </w:tcPr>
          <w:p w14:paraId="78898AE3" w14:textId="2C77F9C2" w:rsidR="00BB55EB" w:rsidRPr="006C2572" w:rsidRDefault="00BB55EB" w:rsidP="00BB55EB">
            <w:pPr>
              <w:pStyle w:val="TableText"/>
              <w:tabs>
                <w:tab w:val="left" w:pos="3306"/>
              </w:tabs>
              <w:jc w:val="right"/>
              <w:rPr>
                <w:rFonts w:cs="Calibri"/>
                <w:b/>
                <w:bCs/>
              </w:rPr>
            </w:pPr>
          </w:p>
        </w:tc>
      </w:tr>
      <w:tr w:rsidR="00BB55EB" w:rsidRPr="00CF7E1B" w14:paraId="04DB7324" w14:textId="77777777" w:rsidTr="0004564D">
        <w:trPr>
          <w:cantSplit/>
          <w:trHeight w:val="23"/>
        </w:trPr>
        <w:tc>
          <w:tcPr>
            <w:tcW w:w="1560" w:type="dxa"/>
            <w:tcBorders>
              <w:top w:val="nil"/>
              <w:left w:val="single" w:sz="2" w:space="0" w:color="auto"/>
              <w:bottom w:val="nil"/>
              <w:right w:val="single" w:sz="2" w:space="0" w:color="auto"/>
            </w:tcBorders>
          </w:tcPr>
          <w:p w14:paraId="18005EE9" w14:textId="77777777" w:rsidR="00BB55EB" w:rsidRPr="006C2572" w:rsidRDefault="00BB55EB" w:rsidP="00BB55EB">
            <w:pPr>
              <w:pStyle w:val="TableReference"/>
              <w:tabs>
                <w:tab w:val="left" w:pos="3306"/>
              </w:tabs>
              <w:spacing w:before="60"/>
              <w:rPr>
                <w:rFonts w:cs="Calibri"/>
                <w:color w:val="7030A0"/>
                <w:sz w:val="16"/>
                <w:szCs w:val="16"/>
              </w:rPr>
            </w:pPr>
          </w:p>
        </w:tc>
        <w:tc>
          <w:tcPr>
            <w:tcW w:w="6095" w:type="dxa"/>
            <w:tcBorders>
              <w:top w:val="nil"/>
              <w:left w:val="single" w:sz="2" w:space="0" w:color="auto"/>
              <w:bottom w:val="nil"/>
              <w:right w:val="nil"/>
            </w:tcBorders>
            <w:vAlign w:val="bottom"/>
          </w:tcPr>
          <w:p w14:paraId="6145C23F" w14:textId="77777777" w:rsidR="00BB55EB" w:rsidRPr="006C2572" w:rsidRDefault="00BB55EB" w:rsidP="00BB55EB">
            <w:pPr>
              <w:pStyle w:val="TableText"/>
              <w:tabs>
                <w:tab w:val="left" w:pos="3306"/>
              </w:tabs>
              <w:rPr>
                <w:rFonts w:cs="Calibri"/>
              </w:rPr>
            </w:pPr>
          </w:p>
        </w:tc>
        <w:tc>
          <w:tcPr>
            <w:tcW w:w="1559" w:type="dxa"/>
            <w:tcBorders>
              <w:top w:val="single" w:sz="4" w:space="0" w:color="auto"/>
              <w:left w:val="nil"/>
              <w:bottom w:val="nil"/>
              <w:right w:val="nil"/>
            </w:tcBorders>
            <w:vAlign w:val="bottom"/>
          </w:tcPr>
          <w:p w14:paraId="4C39CE2B" w14:textId="77777777" w:rsidR="00BB55EB" w:rsidRPr="006C2572" w:rsidRDefault="00BB55EB" w:rsidP="00BB55EB">
            <w:pPr>
              <w:pStyle w:val="TableText"/>
              <w:tabs>
                <w:tab w:val="left" w:pos="3306"/>
              </w:tabs>
              <w:jc w:val="right"/>
              <w:rPr>
                <w:rFonts w:cs="Calibri"/>
              </w:rPr>
            </w:pPr>
          </w:p>
        </w:tc>
        <w:tc>
          <w:tcPr>
            <w:tcW w:w="1276" w:type="dxa"/>
            <w:tcBorders>
              <w:top w:val="single" w:sz="4" w:space="0" w:color="auto"/>
              <w:left w:val="nil"/>
              <w:bottom w:val="nil"/>
              <w:right w:val="nil"/>
            </w:tcBorders>
            <w:vAlign w:val="bottom"/>
          </w:tcPr>
          <w:p w14:paraId="60A714F2" w14:textId="77777777" w:rsidR="00BB55EB" w:rsidRPr="006C2572" w:rsidRDefault="00BB55EB" w:rsidP="00BB55EB">
            <w:pPr>
              <w:pStyle w:val="TableText"/>
              <w:tabs>
                <w:tab w:val="left" w:pos="3306"/>
              </w:tabs>
              <w:jc w:val="right"/>
              <w:rPr>
                <w:rFonts w:cs="Calibri"/>
              </w:rPr>
            </w:pPr>
          </w:p>
        </w:tc>
      </w:tr>
      <w:tr w:rsidR="00BB55EB" w:rsidRPr="00CF7E1B" w14:paraId="75603CDD" w14:textId="77777777" w:rsidTr="0004564D">
        <w:trPr>
          <w:cantSplit/>
          <w:trHeight w:val="23"/>
        </w:trPr>
        <w:tc>
          <w:tcPr>
            <w:tcW w:w="1560" w:type="dxa"/>
            <w:tcBorders>
              <w:top w:val="nil"/>
              <w:left w:val="single" w:sz="2" w:space="0" w:color="auto"/>
              <w:bottom w:val="nil"/>
              <w:right w:val="single" w:sz="2" w:space="0" w:color="auto"/>
            </w:tcBorders>
          </w:tcPr>
          <w:p w14:paraId="71DCDCC7" w14:textId="77777777" w:rsidR="00BB55EB" w:rsidRPr="006C2572" w:rsidRDefault="00BB55EB" w:rsidP="00BB55EB">
            <w:pPr>
              <w:pStyle w:val="TableReference"/>
              <w:tabs>
                <w:tab w:val="left" w:pos="3306"/>
              </w:tabs>
              <w:spacing w:before="60"/>
              <w:rPr>
                <w:rFonts w:cs="Calibri"/>
                <w:color w:val="7030A0"/>
                <w:sz w:val="16"/>
                <w:szCs w:val="16"/>
              </w:rPr>
            </w:pPr>
          </w:p>
        </w:tc>
        <w:tc>
          <w:tcPr>
            <w:tcW w:w="6095" w:type="dxa"/>
            <w:tcBorders>
              <w:top w:val="nil"/>
              <w:left w:val="single" w:sz="2" w:space="0" w:color="auto"/>
              <w:bottom w:val="nil"/>
              <w:right w:val="nil"/>
            </w:tcBorders>
            <w:vAlign w:val="bottom"/>
          </w:tcPr>
          <w:p w14:paraId="410EC10B" w14:textId="77777777" w:rsidR="00BB55EB" w:rsidRPr="006C2572" w:rsidRDefault="00BB55EB" w:rsidP="00BB55EB">
            <w:pPr>
              <w:pStyle w:val="TableText"/>
              <w:tabs>
                <w:tab w:val="left" w:pos="3306"/>
              </w:tabs>
              <w:rPr>
                <w:rFonts w:cs="Calibri"/>
                <w:b/>
              </w:rPr>
            </w:pPr>
            <w:r w:rsidRPr="006C2572">
              <w:rPr>
                <w:rFonts w:cs="Calibri"/>
                <w:b/>
              </w:rPr>
              <w:t>Current Liabilities:</w:t>
            </w:r>
          </w:p>
        </w:tc>
        <w:tc>
          <w:tcPr>
            <w:tcW w:w="1559" w:type="dxa"/>
            <w:tcBorders>
              <w:top w:val="nil"/>
              <w:left w:val="nil"/>
              <w:bottom w:val="nil"/>
              <w:right w:val="nil"/>
            </w:tcBorders>
            <w:vAlign w:val="bottom"/>
          </w:tcPr>
          <w:p w14:paraId="6E109B7C" w14:textId="77777777"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0E29D1BF" w14:textId="77777777" w:rsidR="00BB55EB" w:rsidRPr="006C2572" w:rsidRDefault="00BB55EB" w:rsidP="00BB55EB">
            <w:pPr>
              <w:pStyle w:val="TableText"/>
              <w:tabs>
                <w:tab w:val="left" w:pos="3306"/>
              </w:tabs>
              <w:jc w:val="right"/>
              <w:rPr>
                <w:rFonts w:cs="Calibri"/>
              </w:rPr>
            </w:pPr>
          </w:p>
        </w:tc>
      </w:tr>
      <w:tr w:rsidR="00BB55EB" w:rsidRPr="00CF7E1B" w14:paraId="72318CBF" w14:textId="77777777" w:rsidTr="0004564D">
        <w:trPr>
          <w:cantSplit/>
          <w:trHeight w:val="23"/>
        </w:trPr>
        <w:tc>
          <w:tcPr>
            <w:tcW w:w="1560" w:type="dxa"/>
            <w:tcBorders>
              <w:top w:val="nil"/>
              <w:left w:val="single" w:sz="2" w:space="0" w:color="auto"/>
              <w:bottom w:val="nil"/>
              <w:right w:val="single" w:sz="2" w:space="0" w:color="auto"/>
            </w:tcBorders>
          </w:tcPr>
          <w:p w14:paraId="080BD822" w14:textId="77777777" w:rsidR="00BB55EB" w:rsidRPr="006C2572" w:rsidRDefault="00BB55EB" w:rsidP="00BB55EB">
            <w:pPr>
              <w:pStyle w:val="TableReference"/>
              <w:tabs>
                <w:tab w:val="left" w:pos="3306"/>
              </w:tabs>
              <w:spacing w:before="60"/>
              <w:rPr>
                <w:rFonts w:cs="Calibri"/>
                <w:color w:val="7030A0"/>
                <w:sz w:val="16"/>
                <w:szCs w:val="16"/>
              </w:rPr>
            </w:pPr>
          </w:p>
        </w:tc>
        <w:tc>
          <w:tcPr>
            <w:tcW w:w="6095" w:type="dxa"/>
            <w:tcBorders>
              <w:top w:val="nil"/>
              <w:left w:val="single" w:sz="2" w:space="0" w:color="auto"/>
              <w:bottom w:val="nil"/>
              <w:right w:val="nil"/>
            </w:tcBorders>
            <w:vAlign w:val="bottom"/>
          </w:tcPr>
          <w:p w14:paraId="496F4EEB" w14:textId="77777777" w:rsidR="00BB55EB" w:rsidRPr="006C2572" w:rsidRDefault="00BB55EB" w:rsidP="00BB55EB">
            <w:pPr>
              <w:pStyle w:val="TableText"/>
              <w:tabs>
                <w:tab w:val="left" w:pos="3306"/>
              </w:tabs>
              <w:rPr>
                <w:rFonts w:cs="Calibri"/>
              </w:rPr>
            </w:pPr>
            <w:r w:rsidRPr="006C2572">
              <w:rPr>
                <w:rFonts w:cs="Calibri"/>
              </w:rPr>
              <w:t xml:space="preserve">Current Liabilities other </w:t>
            </w:r>
          </w:p>
        </w:tc>
        <w:tc>
          <w:tcPr>
            <w:tcW w:w="1559" w:type="dxa"/>
            <w:tcBorders>
              <w:top w:val="nil"/>
              <w:left w:val="nil"/>
              <w:bottom w:val="nil"/>
              <w:right w:val="nil"/>
            </w:tcBorders>
            <w:vAlign w:val="bottom"/>
          </w:tcPr>
          <w:p w14:paraId="4E335A8C" w14:textId="417AD8AA" w:rsidR="00BB55EB" w:rsidRPr="006C2572" w:rsidRDefault="00BB55EB" w:rsidP="00BB55EB">
            <w:pPr>
              <w:pStyle w:val="TableText"/>
              <w:tabs>
                <w:tab w:val="left" w:pos="3306"/>
              </w:tabs>
              <w:jc w:val="right"/>
              <w:rPr>
                <w:rFonts w:cs="Calibri"/>
              </w:rPr>
            </w:pPr>
          </w:p>
        </w:tc>
        <w:tc>
          <w:tcPr>
            <w:tcW w:w="1276" w:type="dxa"/>
            <w:tcBorders>
              <w:top w:val="nil"/>
              <w:left w:val="nil"/>
              <w:bottom w:val="nil"/>
              <w:right w:val="nil"/>
            </w:tcBorders>
            <w:vAlign w:val="bottom"/>
          </w:tcPr>
          <w:p w14:paraId="23258A26" w14:textId="72ABBCE7" w:rsidR="00BB55EB" w:rsidRPr="006C2572" w:rsidRDefault="00BB55EB" w:rsidP="00BB55EB">
            <w:pPr>
              <w:pStyle w:val="TableText"/>
              <w:tabs>
                <w:tab w:val="left" w:pos="3306"/>
              </w:tabs>
              <w:jc w:val="right"/>
              <w:rPr>
                <w:rFonts w:cs="Calibri"/>
              </w:rPr>
            </w:pPr>
          </w:p>
        </w:tc>
      </w:tr>
      <w:tr w:rsidR="00BB55EB" w:rsidRPr="00CF7E1B" w14:paraId="463AE0ED" w14:textId="77777777" w:rsidTr="0004564D">
        <w:trPr>
          <w:cantSplit/>
          <w:trHeight w:val="23"/>
        </w:trPr>
        <w:tc>
          <w:tcPr>
            <w:tcW w:w="1560" w:type="dxa"/>
            <w:tcBorders>
              <w:top w:val="nil"/>
              <w:left w:val="single" w:sz="2" w:space="0" w:color="auto"/>
              <w:bottom w:val="nil"/>
              <w:right w:val="single" w:sz="2" w:space="0" w:color="auto"/>
            </w:tcBorders>
          </w:tcPr>
          <w:p w14:paraId="71F17D62" w14:textId="77777777" w:rsidR="00BB55EB" w:rsidRPr="006C2572" w:rsidRDefault="00BB55EB" w:rsidP="00BB55EB">
            <w:pPr>
              <w:pStyle w:val="TableReference"/>
              <w:tabs>
                <w:tab w:val="left" w:pos="3306"/>
              </w:tabs>
              <w:spacing w:before="60"/>
              <w:rPr>
                <w:rFonts w:cs="Calibri"/>
                <w:color w:val="7030A0"/>
                <w:sz w:val="16"/>
                <w:szCs w:val="16"/>
              </w:rPr>
            </w:pPr>
          </w:p>
        </w:tc>
        <w:tc>
          <w:tcPr>
            <w:tcW w:w="6095" w:type="dxa"/>
            <w:tcBorders>
              <w:top w:val="nil"/>
              <w:left w:val="single" w:sz="2" w:space="0" w:color="auto"/>
              <w:bottom w:val="nil"/>
              <w:right w:val="nil"/>
            </w:tcBorders>
            <w:vAlign w:val="bottom"/>
          </w:tcPr>
          <w:p w14:paraId="58641E7F" w14:textId="77777777" w:rsidR="00BB55EB" w:rsidRPr="006C2572" w:rsidRDefault="00BB55EB" w:rsidP="00BB55EB">
            <w:pPr>
              <w:pStyle w:val="TableText"/>
              <w:tabs>
                <w:tab w:val="left" w:pos="3306"/>
              </w:tabs>
              <w:rPr>
                <w:rFonts w:cs="Calibri"/>
              </w:rPr>
            </w:pPr>
            <w:r w:rsidRPr="006C2572">
              <w:rPr>
                <w:rFonts w:cs="Calibri"/>
              </w:rPr>
              <w:t>Current financial liabilities excluding trade and other payables and provisions</w:t>
            </w:r>
          </w:p>
        </w:tc>
        <w:tc>
          <w:tcPr>
            <w:tcW w:w="1559" w:type="dxa"/>
            <w:tcBorders>
              <w:top w:val="nil"/>
              <w:left w:val="nil"/>
              <w:bottom w:val="single" w:sz="4" w:space="0" w:color="auto"/>
              <w:right w:val="nil"/>
            </w:tcBorders>
            <w:vAlign w:val="bottom"/>
          </w:tcPr>
          <w:p w14:paraId="13F2DEC2" w14:textId="683FA16E" w:rsidR="00BB55EB" w:rsidRPr="006C2572" w:rsidRDefault="00BB55EB" w:rsidP="00BB55EB">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67586C2D" w14:textId="20D6B738" w:rsidR="00BB55EB" w:rsidRPr="006C2572" w:rsidRDefault="00BB55EB" w:rsidP="00BB55EB">
            <w:pPr>
              <w:pStyle w:val="TableText"/>
              <w:tabs>
                <w:tab w:val="left" w:pos="3306"/>
              </w:tabs>
              <w:jc w:val="right"/>
              <w:rPr>
                <w:rFonts w:cs="Calibri"/>
              </w:rPr>
            </w:pPr>
          </w:p>
        </w:tc>
      </w:tr>
      <w:tr w:rsidR="00BB55EB" w:rsidRPr="00CF7E1B" w14:paraId="122E139D" w14:textId="77777777" w:rsidTr="0004564D">
        <w:trPr>
          <w:cantSplit/>
          <w:trHeight w:val="233"/>
        </w:trPr>
        <w:tc>
          <w:tcPr>
            <w:tcW w:w="1560" w:type="dxa"/>
            <w:tcBorders>
              <w:top w:val="nil"/>
              <w:left w:val="single" w:sz="2" w:space="0" w:color="auto"/>
              <w:bottom w:val="nil"/>
              <w:right w:val="single" w:sz="2" w:space="0" w:color="auto"/>
            </w:tcBorders>
          </w:tcPr>
          <w:p w14:paraId="5BD3B11F" w14:textId="1D442715" w:rsidR="00BB55EB" w:rsidRPr="006C2572" w:rsidRDefault="00BB55EB" w:rsidP="00BB55EB">
            <w:pPr>
              <w:pStyle w:val="TableReference"/>
              <w:tabs>
                <w:tab w:val="left" w:pos="3306"/>
              </w:tabs>
              <w:spacing w:before="60"/>
              <w:rPr>
                <w:rFonts w:cs="Calibri"/>
                <w:color w:val="7030A0"/>
                <w:sz w:val="14"/>
              </w:rPr>
            </w:pPr>
            <w:r w:rsidRPr="006C2572">
              <w:rPr>
                <w:rFonts w:cs="Calibri"/>
                <w:color w:val="7030A0"/>
                <w:sz w:val="14"/>
              </w:rPr>
              <w:t>AASB 12 B12.(b)(iii),</w:t>
            </w:r>
            <w:r w:rsidR="00C958E9" w:rsidRPr="006C2572">
              <w:rPr>
                <w:rFonts w:cs="Calibri"/>
                <w:color w:val="7030A0"/>
                <w:sz w:val="14"/>
              </w:rPr>
              <w:t xml:space="preserve"> </w:t>
            </w:r>
            <w:r w:rsidRPr="006C2572">
              <w:rPr>
                <w:rFonts w:cs="Calibri"/>
                <w:color w:val="7030A0"/>
                <w:sz w:val="14"/>
              </w:rPr>
              <w:t>B13 (b)</w:t>
            </w:r>
          </w:p>
        </w:tc>
        <w:tc>
          <w:tcPr>
            <w:tcW w:w="6095" w:type="dxa"/>
            <w:tcBorders>
              <w:top w:val="nil"/>
              <w:left w:val="single" w:sz="2" w:space="0" w:color="auto"/>
              <w:bottom w:val="nil"/>
              <w:right w:val="nil"/>
            </w:tcBorders>
            <w:vAlign w:val="bottom"/>
          </w:tcPr>
          <w:p w14:paraId="633EE7F9" w14:textId="77777777" w:rsidR="00BB55EB" w:rsidRPr="006C2572" w:rsidRDefault="00BB55EB" w:rsidP="00BB55EB">
            <w:pPr>
              <w:pStyle w:val="TableText"/>
              <w:tabs>
                <w:tab w:val="left" w:pos="3306"/>
              </w:tabs>
              <w:rPr>
                <w:rFonts w:cs="Calibri"/>
                <w:b/>
              </w:rPr>
            </w:pPr>
            <w:r w:rsidRPr="006C2572">
              <w:rPr>
                <w:rFonts w:cs="Calibri"/>
                <w:b/>
              </w:rPr>
              <w:t>Total Current Liabilities</w:t>
            </w:r>
          </w:p>
        </w:tc>
        <w:tc>
          <w:tcPr>
            <w:tcW w:w="1559" w:type="dxa"/>
            <w:tcBorders>
              <w:top w:val="single" w:sz="4" w:space="0" w:color="auto"/>
              <w:left w:val="nil"/>
              <w:bottom w:val="single" w:sz="4" w:space="0" w:color="auto"/>
              <w:right w:val="nil"/>
            </w:tcBorders>
            <w:vAlign w:val="bottom"/>
          </w:tcPr>
          <w:p w14:paraId="7F562301" w14:textId="43748670" w:rsidR="00BB55EB" w:rsidRPr="006C2572" w:rsidRDefault="00BB55EB" w:rsidP="00BB55EB">
            <w:pPr>
              <w:pStyle w:val="TableText"/>
              <w:tabs>
                <w:tab w:val="left" w:pos="3306"/>
              </w:tabs>
              <w:jc w:val="right"/>
              <w:rPr>
                <w:rFonts w:cs="Calibri"/>
                <w:strike/>
              </w:rPr>
            </w:pPr>
          </w:p>
        </w:tc>
        <w:tc>
          <w:tcPr>
            <w:tcW w:w="1276" w:type="dxa"/>
            <w:tcBorders>
              <w:top w:val="single" w:sz="4" w:space="0" w:color="auto"/>
              <w:left w:val="nil"/>
              <w:bottom w:val="single" w:sz="4" w:space="0" w:color="auto"/>
              <w:right w:val="nil"/>
            </w:tcBorders>
            <w:vAlign w:val="bottom"/>
          </w:tcPr>
          <w:p w14:paraId="2689DE9E" w14:textId="6C20DABD" w:rsidR="00BB55EB" w:rsidRPr="006C2572" w:rsidRDefault="00BB55EB" w:rsidP="00BB55EB">
            <w:pPr>
              <w:pStyle w:val="TableText"/>
              <w:tabs>
                <w:tab w:val="left" w:pos="3306"/>
              </w:tabs>
              <w:jc w:val="right"/>
              <w:rPr>
                <w:rFonts w:cs="Calibri"/>
                <w:strike/>
              </w:rPr>
            </w:pPr>
          </w:p>
        </w:tc>
      </w:tr>
      <w:tr w:rsidR="007D2948" w:rsidRPr="00CF7E1B" w14:paraId="32061E0A" w14:textId="77777777" w:rsidTr="0004564D">
        <w:trPr>
          <w:cantSplit/>
          <w:trHeight w:val="23"/>
        </w:trPr>
        <w:tc>
          <w:tcPr>
            <w:tcW w:w="1560" w:type="dxa"/>
            <w:tcBorders>
              <w:top w:val="nil"/>
              <w:left w:val="single" w:sz="2" w:space="0" w:color="auto"/>
              <w:bottom w:val="nil"/>
              <w:right w:val="single" w:sz="2" w:space="0" w:color="auto"/>
            </w:tcBorders>
          </w:tcPr>
          <w:p w14:paraId="260F6562" w14:textId="77777777" w:rsidR="007D2948" w:rsidRPr="006C2572" w:rsidRDefault="007D2948" w:rsidP="007D2948">
            <w:pPr>
              <w:pStyle w:val="TableReference"/>
              <w:tabs>
                <w:tab w:val="left" w:pos="3306"/>
              </w:tabs>
              <w:spacing w:before="60"/>
              <w:rPr>
                <w:rFonts w:cs="Calibri"/>
                <w:color w:val="7030A0"/>
                <w:sz w:val="14"/>
              </w:rPr>
            </w:pPr>
          </w:p>
        </w:tc>
        <w:tc>
          <w:tcPr>
            <w:tcW w:w="6095" w:type="dxa"/>
            <w:tcBorders>
              <w:top w:val="nil"/>
              <w:left w:val="single" w:sz="2" w:space="0" w:color="auto"/>
              <w:bottom w:val="nil"/>
              <w:right w:val="nil"/>
            </w:tcBorders>
            <w:vAlign w:val="bottom"/>
          </w:tcPr>
          <w:p w14:paraId="37B12B02" w14:textId="77777777" w:rsidR="007D2948" w:rsidRPr="007D2948" w:rsidRDefault="007D2948" w:rsidP="007D2948">
            <w:pPr>
              <w:pStyle w:val="TableText"/>
              <w:tabs>
                <w:tab w:val="left" w:pos="3306"/>
              </w:tabs>
              <w:rPr>
                <w:rFonts w:cs="Calibri"/>
                <w:b/>
              </w:rPr>
            </w:pPr>
            <w:r w:rsidRPr="007D2948">
              <w:rPr>
                <w:rFonts w:cs="Calibri"/>
                <w:b/>
              </w:rPr>
              <w:t>Non-Current Liabilities:</w:t>
            </w:r>
          </w:p>
        </w:tc>
        <w:tc>
          <w:tcPr>
            <w:tcW w:w="1559" w:type="dxa"/>
            <w:tcBorders>
              <w:top w:val="nil"/>
              <w:left w:val="nil"/>
              <w:bottom w:val="nil"/>
              <w:right w:val="nil"/>
            </w:tcBorders>
            <w:vAlign w:val="bottom"/>
          </w:tcPr>
          <w:p w14:paraId="22CBAD5E" w14:textId="77777777"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7AC6A71E" w14:textId="77777777" w:rsidR="007D2948" w:rsidRPr="007D2948" w:rsidRDefault="007D2948" w:rsidP="007D2948">
            <w:pPr>
              <w:pStyle w:val="TableText"/>
              <w:tabs>
                <w:tab w:val="left" w:pos="3306"/>
              </w:tabs>
              <w:jc w:val="right"/>
              <w:rPr>
                <w:rFonts w:cs="Calibri"/>
              </w:rPr>
            </w:pPr>
          </w:p>
        </w:tc>
      </w:tr>
      <w:tr w:rsidR="007D2948" w:rsidRPr="00CF7E1B" w14:paraId="7099A1E0" w14:textId="77777777" w:rsidTr="0004564D">
        <w:trPr>
          <w:cantSplit/>
          <w:trHeight w:val="23"/>
        </w:trPr>
        <w:tc>
          <w:tcPr>
            <w:tcW w:w="1560" w:type="dxa"/>
            <w:tcBorders>
              <w:top w:val="nil"/>
              <w:left w:val="single" w:sz="2" w:space="0" w:color="auto"/>
              <w:bottom w:val="nil"/>
              <w:right w:val="single" w:sz="2" w:space="0" w:color="auto"/>
            </w:tcBorders>
          </w:tcPr>
          <w:p w14:paraId="2FBB2E17" w14:textId="77777777" w:rsidR="007D2948" w:rsidRPr="006C2572" w:rsidRDefault="007D2948" w:rsidP="007D2948">
            <w:pPr>
              <w:pStyle w:val="TableReference"/>
              <w:tabs>
                <w:tab w:val="left" w:pos="3306"/>
              </w:tabs>
              <w:spacing w:before="60"/>
              <w:rPr>
                <w:rFonts w:cs="Calibri"/>
                <w:color w:val="7030A0"/>
                <w:sz w:val="14"/>
              </w:rPr>
            </w:pPr>
          </w:p>
        </w:tc>
        <w:tc>
          <w:tcPr>
            <w:tcW w:w="6095" w:type="dxa"/>
            <w:tcBorders>
              <w:top w:val="nil"/>
              <w:left w:val="single" w:sz="2" w:space="0" w:color="auto"/>
              <w:bottom w:val="nil"/>
              <w:right w:val="nil"/>
            </w:tcBorders>
            <w:vAlign w:val="bottom"/>
          </w:tcPr>
          <w:p w14:paraId="3AE3F4A2" w14:textId="77777777" w:rsidR="007D2948" w:rsidRPr="007D2948" w:rsidRDefault="007D2948" w:rsidP="007D2948">
            <w:pPr>
              <w:pStyle w:val="TableText"/>
              <w:tabs>
                <w:tab w:val="left" w:pos="3306"/>
              </w:tabs>
              <w:rPr>
                <w:rFonts w:cs="Calibri"/>
              </w:rPr>
            </w:pPr>
            <w:r w:rsidRPr="007D2948">
              <w:rPr>
                <w:rFonts w:cs="Calibri"/>
              </w:rPr>
              <w:t>Non-current liabilities other</w:t>
            </w:r>
          </w:p>
        </w:tc>
        <w:tc>
          <w:tcPr>
            <w:tcW w:w="1559" w:type="dxa"/>
            <w:tcBorders>
              <w:top w:val="nil"/>
              <w:left w:val="nil"/>
              <w:bottom w:val="nil"/>
              <w:right w:val="nil"/>
            </w:tcBorders>
            <w:vAlign w:val="bottom"/>
          </w:tcPr>
          <w:p w14:paraId="562CC13E" w14:textId="5011B719"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0DFE51ED" w14:textId="6856413D" w:rsidR="007D2948" w:rsidRPr="007D2948" w:rsidRDefault="007D2948" w:rsidP="007D2948">
            <w:pPr>
              <w:pStyle w:val="TableText"/>
              <w:tabs>
                <w:tab w:val="left" w:pos="3306"/>
              </w:tabs>
              <w:jc w:val="right"/>
              <w:rPr>
                <w:rFonts w:cs="Calibri"/>
              </w:rPr>
            </w:pPr>
          </w:p>
        </w:tc>
      </w:tr>
      <w:tr w:rsidR="007D2948" w:rsidRPr="00CF7E1B" w14:paraId="77967CDD" w14:textId="77777777" w:rsidTr="0004564D">
        <w:trPr>
          <w:cantSplit/>
          <w:trHeight w:val="23"/>
        </w:trPr>
        <w:tc>
          <w:tcPr>
            <w:tcW w:w="1560" w:type="dxa"/>
            <w:tcBorders>
              <w:top w:val="nil"/>
              <w:left w:val="single" w:sz="2" w:space="0" w:color="auto"/>
              <w:bottom w:val="nil"/>
              <w:right w:val="single" w:sz="2" w:space="0" w:color="auto"/>
            </w:tcBorders>
          </w:tcPr>
          <w:p w14:paraId="50E3F1BB" w14:textId="5A9C13B0" w:rsidR="007D2948" w:rsidRPr="004E5074" w:rsidRDefault="007D2948" w:rsidP="007D2948">
            <w:pPr>
              <w:pStyle w:val="TableReference"/>
              <w:tabs>
                <w:tab w:val="left" w:pos="3306"/>
              </w:tabs>
              <w:spacing w:before="60"/>
              <w:rPr>
                <w:rFonts w:cs="Calibri"/>
                <w:color w:val="7030A0"/>
                <w:sz w:val="14"/>
              </w:rPr>
            </w:pPr>
            <w:r w:rsidRPr="004E5074">
              <w:rPr>
                <w:rFonts w:cs="Calibri"/>
                <w:color w:val="7030A0"/>
                <w:sz w:val="14"/>
              </w:rPr>
              <w:t>AASB 12 B12(b)(iv), B13(c)</w:t>
            </w:r>
          </w:p>
        </w:tc>
        <w:tc>
          <w:tcPr>
            <w:tcW w:w="6095" w:type="dxa"/>
            <w:tcBorders>
              <w:top w:val="nil"/>
              <w:left w:val="single" w:sz="2" w:space="0" w:color="auto"/>
              <w:bottom w:val="nil"/>
              <w:right w:val="nil"/>
            </w:tcBorders>
            <w:vAlign w:val="bottom"/>
          </w:tcPr>
          <w:p w14:paraId="53BD6760" w14:textId="6946C9C4" w:rsidR="007D2948" w:rsidRPr="007D2948" w:rsidRDefault="007D2948" w:rsidP="007D2948">
            <w:pPr>
              <w:pStyle w:val="TableText"/>
              <w:tabs>
                <w:tab w:val="left" w:pos="3306"/>
              </w:tabs>
              <w:rPr>
                <w:rFonts w:cs="Calibri"/>
              </w:rPr>
            </w:pPr>
            <w:r w:rsidRPr="007D2948">
              <w:rPr>
                <w:rFonts w:cs="Calibri"/>
              </w:rPr>
              <w:t xml:space="preserve">Non-current financial liabilities excluding trade and other payables and provisions </w:t>
            </w:r>
          </w:p>
        </w:tc>
        <w:tc>
          <w:tcPr>
            <w:tcW w:w="1559" w:type="dxa"/>
            <w:tcBorders>
              <w:top w:val="nil"/>
              <w:left w:val="nil"/>
              <w:bottom w:val="single" w:sz="4" w:space="0" w:color="auto"/>
              <w:right w:val="nil"/>
            </w:tcBorders>
            <w:vAlign w:val="bottom"/>
          </w:tcPr>
          <w:p w14:paraId="2433C2EA" w14:textId="613B5CDF" w:rsidR="007D2948" w:rsidRPr="007D2948" w:rsidRDefault="007D2948" w:rsidP="007D294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70C95A34" w14:textId="52AA102C" w:rsidR="007D2948" w:rsidRPr="007D2948" w:rsidRDefault="007D2948" w:rsidP="007D2948">
            <w:pPr>
              <w:pStyle w:val="TableText"/>
              <w:tabs>
                <w:tab w:val="left" w:pos="3306"/>
              </w:tabs>
              <w:jc w:val="right"/>
              <w:rPr>
                <w:rFonts w:cs="Calibri"/>
              </w:rPr>
            </w:pPr>
          </w:p>
        </w:tc>
      </w:tr>
      <w:tr w:rsidR="007D2948" w:rsidRPr="00D86B46" w14:paraId="5FF4EBC8" w14:textId="77777777" w:rsidTr="0004564D">
        <w:trPr>
          <w:cantSplit/>
          <w:trHeight w:val="23"/>
        </w:trPr>
        <w:tc>
          <w:tcPr>
            <w:tcW w:w="1560" w:type="dxa"/>
            <w:tcBorders>
              <w:top w:val="nil"/>
              <w:left w:val="single" w:sz="2" w:space="0" w:color="auto"/>
              <w:bottom w:val="nil"/>
              <w:right w:val="single" w:sz="2" w:space="0" w:color="auto"/>
            </w:tcBorders>
          </w:tcPr>
          <w:p w14:paraId="634133C7" w14:textId="77777777" w:rsidR="007D2948" w:rsidRPr="004E5074" w:rsidRDefault="007D2948" w:rsidP="007D2948">
            <w:pPr>
              <w:pStyle w:val="TableReference"/>
              <w:tabs>
                <w:tab w:val="left" w:pos="3306"/>
              </w:tabs>
              <w:spacing w:before="60"/>
              <w:rPr>
                <w:rFonts w:cs="Calibri"/>
                <w:b/>
                <w:color w:val="7030A0"/>
                <w:sz w:val="16"/>
                <w:szCs w:val="16"/>
              </w:rPr>
            </w:pPr>
          </w:p>
        </w:tc>
        <w:tc>
          <w:tcPr>
            <w:tcW w:w="6095" w:type="dxa"/>
            <w:tcBorders>
              <w:top w:val="nil"/>
              <w:left w:val="single" w:sz="2" w:space="0" w:color="auto"/>
              <w:bottom w:val="nil"/>
              <w:right w:val="nil"/>
            </w:tcBorders>
            <w:vAlign w:val="bottom"/>
          </w:tcPr>
          <w:p w14:paraId="576C3F1F" w14:textId="77777777" w:rsidR="007D2948" w:rsidRPr="007D2948" w:rsidRDefault="007D2948" w:rsidP="007D2948">
            <w:pPr>
              <w:pStyle w:val="TableText"/>
              <w:tabs>
                <w:tab w:val="left" w:pos="3306"/>
              </w:tabs>
              <w:rPr>
                <w:rFonts w:cs="Calibri"/>
                <w:b/>
              </w:rPr>
            </w:pPr>
            <w:r w:rsidRPr="007D2948">
              <w:rPr>
                <w:rFonts w:cs="Calibri"/>
                <w:b/>
              </w:rPr>
              <w:t>Total Non-Current Liabilities</w:t>
            </w:r>
          </w:p>
        </w:tc>
        <w:tc>
          <w:tcPr>
            <w:tcW w:w="1559" w:type="dxa"/>
            <w:tcBorders>
              <w:top w:val="single" w:sz="4" w:space="0" w:color="auto"/>
              <w:left w:val="nil"/>
              <w:bottom w:val="single" w:sz="4" w:space="0" w:color="auto"/>
              <w:right w:val="nil"/>
            </w:tcBorders>
            <w:vAlign w:val="bottom"/>
          </w:tcPr>
          <w:p w14:paraId="6EBE5C54" w14:textId="29AC5513" w:rsidR="007D2948" w:rsidRPr="007D2948" w:rsidRDefault="007D2948" w:rsidP="007D2948">
            <w:pPr>
              <w:pStyle w:val="TableText"/>
              <w:tabs>
                <w:tab w:val="left" w:pos="3306"/>
              </w:tabs>
              <w:jc w:val="right"/>
              <w:rPr>
                <w:rFonts w:cs="Calibri"/>
                <w:b/>
                <w:strike/>
              </w:rPr>
            </w:pPr>
          </w:p>
        </w:tc>
        <w:tc>
          <w:tcPr>
            <w:tcW w:w="1276" w:type="dxa"/>
            <w:tcBorders>
              <w:top w:val="single" w:sz="4" w:space="0" w:color="auto"/>
              <w:left w:val="nil"/>
              <w:bottom w:val="single" w:sz="4" w:space="0" w:color="auto"/>
              <w:right w:val="nil"/>
            </w:tcBorders>
            <w:vAlign w:val="bottom"/>
          </w:tcPr>
          <w:p w14:paraId="17E8FB14" w14:textId="3D66BEA3" w:rsidR="007D2948" w:rsidRPr="007D2948" w:rsidRDefault="007D2948" w:rsidP="007D2948">
            <w:pPr>
              <w:pStyle w:val="TableText"/>
              <w:tabs>
                <w:tab w:val="left" w:pos="3306"/>
              </w:tabs>
              <w:jc w:val="right"/>
              <w:rPr>
                <w:rFonts w:cs="Calibri"/>
                <w:b/>
                <w:strike/>
              </w:rPr>
            </w:pPr>
          </w:p>
        </w:tc>
      </w:tr>
      <w:tr w:rsidR="007D2948" w:rsidRPr="00CF7E1B" w14:paraId="0A0BD298" w14:textId="77777777" w:rsidTr="0004564D">
        <w:trPr>
          <w:cantSplit/>
          <w:trHeight w:val="23"/>
        </w:trPr>
        <w:tc>
          <w:tcPr>
            <w:tcW w:w="1560" w:type="dxa"/>
            <w:tcBorders>
              <w:top w:val="nil"/>
              <w:left w:val="single" w:sz="2" w:space="0" w:color="auto"/>
              <w:bottom w:val="nil"/>
              <w:right w:val="single" w:sz="2" w:space="0" w:color="auto"/>
            </w:tcBorders>
          </w:tcPr>
          <w:p w14:paraId="1EBA0880" w14:textId="77777777" w:rsidR="007D2948" w:rsidRPr="004E5074" w:rsidRDefault="007D2948" w:rsidP="007D2948">
            <w:pPr>
              <w:pStyle w:val="TableReference"/>
              <w:tabs>
                <w:tab w:val="left" w:pos="3306"/>
              </w:tabs>
              <w:spacing w:before="40"/>
              <w:rPr>
                <w:rFonts w:cs="Calibri"/>
                <w:color w:val="7030A0"/>
                <w:sz w:val="16"/>
                <w:szCs w:val="16"/>
              </w:rPr>
            </w:pPr>
          </w:p>
        </w:tc>
        <w:tc>
          <w:tcPr>
            <w:tcW w:w="6095" w:type="dxa"/>
            <w:tcBorders>
              <w:top w:val="nil"/>
              <w:left w:val="single" w:sz="2" w:space="0" w:color="auto"/>
              <w:bottom w:val="nil"/>
              <w:right w:val="nil"/>
            </w:tcBorders>
            <w:vAlign w:val="bottom"/>
          </w:tcPr>
          <w:p w14:paraId="61E4D7B0" w14:textId="77777777" w:rsidR="007D2948" w:rsidRPr="007D2948" w:rsidRDefault="007D2948" w:rsidP="007D2948">
            <w:pPr>
              <w:pStyle w:val="TableText"/>
              <w:tabs>
                <w:tab w:val="left" w:pos="3306"/>
              </w:tabs>
              <w:rPr>
                <w:rFonts w:cs="Calibri"/>
                <w:b/>
                <w:bCs/>
              </w:rPr>
            </w:pPr>
            <w:r w:rsidRPr="007D2948">
              <w:rPr>
                <w:rFonts w:cs="Calibri"/>
                <w:b/>
                <w:bCs/>
              </w:rPr>
              <w:t>Total Liabilities</w:t>
            </w:r>
          </w:p>
        </w:tc>
        <w:tc>
          <w:tcPr>
            <w:tcW w:w="1559" w:type="dxa"/>
            <w:tcBorders>
              <w:top w:val="single" w:sz="4" w:space="0" w:color="auto"/>
              <w:left w:val="nil"/>
              <w:bottom w:val="single" w:sz="4" w:space="0" w:color="auto"/>
              <w:right w:val="nil"/>
            </w:tcBorders>
            <w:vAlign w:val="bottom"/>
          </w:tcPr>
          <w:p w14:paraId="233355D4" w14:textId="1DE0A52B" w:rsidR="007D2948" w:rsidRPr="007D2948" w:rsidRDefault="007D2948" w:rsidP="007D2948">
            <w:pPr>
              <w:pStyle w:val="TableText"/>
              <w:tabs>
                <w:tab w:val="left" w:pos="3306"/>
              </w:tabs>
              <w:jc w:val="right"/>
              <w:rPr>
                <w:rFonts w:cs="Calibri"/>
                <w:b/>
                <w:bCs/>
                <w:strike/>
              </w:rPr>
            </w:pPr>
          </w:p>
        </w:tc>
        <w:tc>
          <w:tcPr>
            <w:tcW w:w="1276" w:type="dxa"/>
            <w:tcBorders>
              <w:top w:val="single" w:sz="4" w:space="0" w:color="auto"/>
              <w:left w:val="nil"/>
              <w:bottom w:val="single" w:sz="4" w:space="0" w:color="auto"/>
              <w:right w:val="nil"/>
            </w:tcBorders>
            <w:vAlign w:val="bottom"/>
          </w:tcPr>
          <w:p w14:paraId="03706629" w14:textId="534875EB" w:rsidR="007D2948" w:rsidRPr="007D2948" w:rsidRDefault="007D2948" w:rsidP="007D2948">
            <w:pPr>
              <w:pStyle w:val="TableText"/>
              <w:tabs>
                <w:tab w:val="left" w:pos="3306"/>
              </w:tabs>
              <w:jc w:val="right"/>
              <w:rPr>
                <w:rFonts w:cs="Calibri"/>
                <w:b/>
                <w:bCs/>
                <w:strike/>
              </w:rPr>
            </w:pPr>
          </w:p>
        </w:tc>
      </w:tr>
      <w:tr w:rsidR="007D2948" w:rsidRPr="00CF7E1B" w14:paraId="49451361" w14:textId="77777777" w:rsidTr="0004564D">
        <w:trPr>
          <w:cantSplit/>
          <w:trHeight w:val="23"/>
        </w:trPr>
        <w:tc>
          <w:tcPr>
            <w:tcW w:w="1560" w:type="dxa"/>
            <w:tcBorders>
              <w:top w:val="nil"/>
              <w:left w:val="single" w:sz="2" w:space="0" w:color="auto"/>
              <w:bottom w:val="nil"/>
              <w:right w:val="single" w:sz="2" w:space="0" w:color="auto"/>
            </w:tcBorders>
          </w:tcPr>
          <w:p w14:paraId="78C5A9FD" w14:textId="77777777" w:rsidR="007D2948" w:rsidRPr="004E5074" w:rsidRDefault="007D2948" w:rsidP="007D2948">
            <w:pPr>
              <w:pStyle w:val="TableReference"/>
              <w:tabs>
                <w:tab w:val="left" w:pos="3306"/>
              </w:tabs>
              <w:spacing w:before="40"/>
              <w:rPr>
                <w:rFonts w:cs="Calibri"/>
                <w:color w:val="7030A0"/>
                <w:sz w:val="16"/>
                <w:szCs w:val="16"/>
              </w:rPr>
            </w:pPr>
          </w:p>
        </w:tc>
        <w:tc>
          <w:tcPr>
            <w:tcW w:w="6095" w:type="dxa"/>
            <w:tcBorders>
              <w:top w:val="nil"/>
              <w:left w:val="single" w:sz="2" w:space="0" w:color="auto"/>
              <w:bottom w:val="nil"/>
              <w:right w:val="nil"/>
            </w:tcBorders>
            <w:vAlign w:val="bottom"/>
          </w:tcPr>
          <w:p w14:paraId="52174D04" w14:textId="77777777" w:rsidR="007D2948" w:rsidRPr="007D2948" w:rsidRDefault="007D2948" w:rsidP="007D2948">
            <w:pPr>
              <w:pStyle w:val="TableText"/>
              <w:tabs>
                <w:tab w:val="left" w:pos="3306"/>
              </w:tabs>
              <w:rPr>
                <w:rFonts w:cs="Calibri"/>
                <w:b/>
                <w:bCs/>
              </w:rPr>
            </w:pPr>
            <w:r w:rsidRPr="007D2948">
              <w:rPr>
                <w:rFonts w:cs="Calibri"/>
                <w:b/>
                <w:bCs/>
              </w:rPr>
              <w:t>Total Net Assets of ‘Example Joint Venture Entity’</w:t>
            </w:r>
          </w:p>
        </w:tc>
        <w:tc>
          <w:tcPr>
            <w:tcW w:w="1559" w:type="dxa"/>
            <w:tcBorders>
              <w:top w:val="single" w:sz="4" w:space="0" w:color="auto"/>
              <w:left w:val="nil"/>
              <w:bottom w:val="double" w:sz="4" w:space="0" w:color="auto"/>
              <w:right w:val="nil"/>
            </w:tcBorders>
            <w:vAlign w:val="bottom"/>
          </w:tcPr>
          <w:p w14:paraId="62F260E7" w14:textId="36F9DD9C" w:rsidR="007D2948" w:rsidRPr="007D2948" w:rsidRDefault="007D2948" w:rsidP="007D2948">
            <w:pPr>
              <w:pStyle w:val="TableText"/>
              <w:tabs>
                <w:tab w:val="left" w:pos="3306"/>
              </w:tabs>
              <w:jc w:val="right"/>
              <w:rPr>
                <w:rFonts w:cs="Calibri"/>
                <w:b/>
                <w:bCs/>
                <w:strike/>
              </w:rPr>
            </w:pPr>
          </w:p>
        </w:tc>
        <w:tc>
          <w:tcPr>
            <w:tcW w:w="1276" w:type="dxa"/>
            <w:tcBorders>
              <w:top w:val="single" w:sz="4" w:space="0" w:color="auto"/>
              <w:left w:val="nil"/>
              <w:bottom w:val="double" w:sz="4" w:space="0" w:color="auto"/>
              <w:right w:val="nil"/>
            </w:tcBorders>
            <w:vAlign w:val="bottom"/>
          </w:tcPr>
          <w:p w14:paraId="077C5E94" w14:textId="4E2D3292" w:rsidR="007D2948" w:rsidRPr="007D2948" w:rsidRDefault="007D2948" w:rsidP="007D2948">
            <w:pPr>
              <w:pStyle w:val="TableText"/>
              <w:tabs>
                <w:tab w:val="left" w:pos="3306"/>
              </w:tabs>
              <w:jc w:val="right"/>
              <w:rPr>
                <w:rFonts w:cs="Calibri"/>
                <w:b/>
                <w:bCs/>
                <w:strike/>
              </w:rPr>
            </w:pPr>
          </w:p>
        </w:tc>
      </w:tr>
      <w:tr w:rsidR="007D2948" w:rsidRPr="000577B3" w14:paraId="1677873A" w14:textId="77777777" w:rsidTr="0004564D">
        <w:trPr>
          <w:cantSplit/>
          <w:trHeight w:val="23"/>
        </w:trPr>
        <w:tc>
          <w:tcPr>
            <w:tcW w:w="1560" w:type="dxa"/>
            <w:tcBorders>
              <w:top w:val="nil"/>
              <w:left w:val="single" w:sz="2" w:space="0" w:color="auto"/>
              <w:bottom w:val="nil"/>
              <w:right w:val="single" w:sz="2" w:space="0" w:color="auto"/>
            </w:tcBorders>
          </w:tcPr>
          <w:p w14:paraId="7A4E50A5" w14:textId="0CF288BE" w:rsidR="007D2948" w:rsidRPr="004E5074" w:rsidRDefault="007D2948" w:rsidP="007D2948">
            <w:pPr>
              <w:pStyle w:val="TableReference"/>
              <w:tabs>
                <w:tab w:val="left" w:pos="3306"/>
              </w:tabs>
              <w:spacing w:after="120"/>
              <w:rPr>
                <w:rFonts w:cs="Calibri"/>
                <w:b/>
                <w:color w:val="7030A0"/>
                <w:sz w:val="22"/>
                <w:szCs w:val="22"/>
              </w:rPr>
            </w:pPr>
          </w:p>
        </w:tc>
        <w:tc>
          <w:tcPr>
            <w:tcW w:w="8930" w:type="dxa"/>
            <w:gridSpan w:val="3"/>
            <w:tcBorders>
              <w:top w:val="nil"/>
              <w:left w:val="single" w:sz="2" w:space="0" w:color="auto"/>
              <w:bottom w:val="nil"/>
              <w:right w:val="nil"/>
            </w:tcBorders>
            <w:vAlign w:val="center"/>
          </w:tcPr>
          <w:p w14:paraId="2978B2FE" w14:textId="7267A359" w:rsidR="007D2948" w:rsidRPr="007D2948" w:rsidRDefault="007D2948" w:rsidP="007D2948">
            <w:pPr>
              <w:pStyle w:val="TableTitle"/>
              <w:tabs>
                <w:tab w:val="left" w:pos="3306"/>
              </w:tabs>
              <w:spacing w:after="120"/>
              <w:jc w:val="left"/>
              <w:rPr>
                <w:rFonts w:ascii="Arial" w:hAnsi="Arial" w:cs="Arial"/>
                <w:sz w:val="32"/>
                <w:szCs w:val="32"/>
              </w:rPr>
            </w:pPr>
          </w:p>
        </w:tc>
      </w:tr>
      <w:tr w:rsidR="007D2948" w:rsidRPr="00CF7E1B" w14:paraId="2E7D1A0B" w14:textId="77777777" w:rsidTr="0004564D">
        <w:trPr>
          <w:cantSplit/>
          <w:trHeight w:val="23"/>
        </w:trPr>
        <w:tc>
          <w:tcPr>
            <w:tcW w:w="1560" w:type="dxa"/>
            <w:tcBorders>
              <w:top w:val="nil"/>
              <w:left w:val="single" w:sz="2" w:space="0" w:color="auto"/>
              <w:bottom w:val="nil"/>
              <w:right w:val="single" w:sz="2" w:space="0" w:color="auto"/>
            </w:tcBorders>
          </w:tcPr>
          <w:p w14:paraId="028B8475" w14:textId="77777777" w:rsidR="007D2948" w:rsidRPr="004E5074" w:rsidRDefault="007D2948" w:rsidP="007D2948">
            <w:pPr>
              <w:pStyle w:val="TableReference"/>
              <w:tabs>
                <w:tab w:val="left" w:pos="3306"/>
              </w:tabs>
              <w:spacing w:before="40" w:after="240"/>
              <w:rPr>
                <w:rFonts w:cs="Calibri"/>
                <w:color w:val="7030A0"/>
                <w:sz w:val="14"/>
              </w:rPr>
            </w:pPr>
            <w:r w:rsidRPr="004E5074">
              <w:rPr>
                <w:rFonts w:cs="Calibri"/>
                <w:color w:val="7030A0"/>
                <w:sz w:val="14"/>
              </w:rPr>
              <w:t>AASB 12.B14(b)</w:t>
            </w:r>
          </w:p>
        </w:tc>
        <w:tc>
          <w:tcPr>
            <w:tcW w:w="6095" w:type="dxa"/>
            <w:tcBorders>
              <w:top w:val="nil"/>
              <w:left w:val="single" w:sz="2" w:space="0" w:color="auto"/>
              <w:bottom w:val="nil"/>
              <w:right w:val="nil"/>
            </w:tcBorders>
            <w:vAlign w:val="bottom"/>
          </w:tcPr>
          <w:p w14:paraId="3D651B73" w14:textId="30AC3695" w:rsidR="007D2948" w:rsidRPr="007D2948" w:rsidRDefault="007D2948" w:rsidP="007D2948">
            <w:pPr>
              <w:pStyle w:val="TableText"/>
              <w:tabs>
                <w:tab w:val="left" w:pos="3306"/>
              </w:tabs>
              <w:spacing w:before="120"/>
              <w:rPr>
                <w:rFonts w:cs="Calibri"/>
              </w:rPr>
            </w:pPr>
            <w:r w:rsidRPr="007D2948">
              <w:rPr>
                <w:rFonts w:cs="Calibri"/>
                <w:b/>
              </w:rPr>
              <w:t>A reconciliation of the above summarised information to the carrying amount of the investment in ‘Example Joint Venture Entity’ is set out below</w:t>
            </w:r>
            <w:r w:rsidRPr="007D2948">
              <w:rPr>
                <w:rFonts w:cs="Calibri"/>
              </w:rPr>
              <w:t>:</w:t>
            </w:r>
          </w:p>
        </w:tc>
        <w:tc>
          <w:tcPr>
            <w:tcW w:w="1559" w:type="dxa"/>
            <w:tcBorders>
              <w:top w:val="nil"/>
              <w:left w:val="nil"/>
              <w:bottom w:val="nil"/>
              <w:right w:val="nil"/>
            </w:tcBorders>
            <w:vAlign w:val="bottom"/>
          </w:tcPr>
          <w:p w14:paraId="6A9B48E8" w14:textId="62AA1BA4" w:rsidR="007D2948" w:rsidRPr="007D2948" w:rsidRDefault="007D2948" w:rsidP="007D2948">
            <w:pPr>
              <w:pStyle w:val="TableText"/>
              <w:tabs>
                <w:tab w:val="left" w:pos="3306"/>
              </w:tabs>
              <w:jc w:val="right"/>
              <w:rPr>
                <w:rFonts w:cs="Calibri"/>
                <w:b/>
                <w:sz w:val="14"/>
              </w:rPr>
            </w:pPr>
          </w:p>
        </w:tc>
        <w:tc>
          <w:tcPr>
            <w:tcW w:w="1276" w:type="dxa"/>
            <w:tcBorders>
              <w:top w:val="nil"/>
              <w:left w:val="nil"/>
              <w:bottom w:val="nil"/>
              <w:right w:val="nil"/>
            </w:tcBorders>
            <w:vAlign w:val="bottom"/>
          </w:tcPr>
          <w:p w14:paraId="216EB0B0" w14:textId="379177B5" w:rsidR="007D2948" w:rsidRPr="007D2948" w:rsidRDefault="007D2948" w:rsidP="007D2948">
            <w:pPr>
              <w:pStyle w:val="TableText"/>
              <w:tabs>
                <w:tab w:val="left" w:pos="3306"/>
              </w:tabs>
              <w:jc w:val="right"/>
              <w:rPr>
                <w:rFonts w:cs="Calibri"/>
                <w:b/>
                <w:sz w:val="14"/>
              </w:rPr>
            </w:pPr>
          </w:p>
        </w:tc>
      </w:tr>
      <w:tr w:rsidR="007D2948" w:rsidRPr="00CF7E1B" w14:paraId="5A48E3E2" w14:textId="77777777" w:rsidTr="0004564D">
        <w:trPr>
          <w:cantSplit/>
          <w:trHeight w:val="23"/>
        </w:trPr>
        <w:tc>
          <w:tcPr>
            <w:tcW w:w="1560" w:type="dxa"/>
            <w:tcBorders>
              <w:top w:val="nil"/>
              <w:left w:val="single" w:sz="2" w:space="0" w:color="auto"/>
              <w:bottom w:val="nil"/>
              <w:right w:val="single" w:sz="2" w:space="0" w:color="auto"/>
            </w:tcBorders>
          </w:tcPr>
          <w:p w14:paraId="105CE420" w14:textId="77777777" w:rsidR="007D2948" w:rsidRPr="004E5074" w:rsidRDefault="007D2948" w:rsidP="007D2948">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56A86814" w14:textId="77777777" w:rsidR="007D2948" w:rsidRPr="007D2948" w:rsidRDefault="007D2948" w:rsidP="007D2948">
            <w:pPr>
              <w:pStyle w:val="TableText"/>
              <w:tabs>
                <w:tab w:val="left" w:pos="3306"/>
              </w:tabs>
              <w:rPr>
                <w:rFonts w:cs="Calibri"/>
                <w:sz w:val="14"/>
              </w:rPr>
            </w:pPr>
            <w:r w:rsidRPr="007D2948">
              <w:rPr>
                <w:rFonts w:cs="Calibri"/>
              </w:rPr>
              <w:t>Total Net Assets of ‘Example Joint Venture Entity’</w:t>
            </w:r>
          </w:p>
        </w:tc>
        <w:tc>
          <w:tcPr>
            <w:tcW w:w="1559" w:type="dxa"/>
            <w:tcBorders>
              <w:top w:val="nil"/>
              <w:left w:val="nil"/>
              <w:bottom w:val="nil"/>
              <w:right w:val="nil"/>
            </w:tcBorders>
            <w:vAlign w:val="bottom"/>
          </w:tcPr>
          <w:p w14:paraId="15ADB9E9" w14:textId="5E343F23"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44C1CFAC" w14:textId="2AB789F5" w:rsidR="007D2948" w:rsidRPr="007D2948" w:rsidRDefault="007D2948" w:rsidP="007D2948">
            <w:pPr>
              <w:pStyle w:val="TableText"/>
              <w:tabs>
                <w:tab w:val="left" w:pos="3306"/>
              </w:tabs>
              <w:jc w:val="right"/>
              <w:rPr>
                <w:rFonts w:cs="Calibri"/>
              </w:rPr>
            </w:pPr>
          </w:p>
        </w:tc>
      </w:tr>
      <w:tr w:rsidR="007D2948" w:rsidRPr="00CF7E1B" w14:paraId="23AD2F0A" w14:textId="77777777" w:rsidTr="0004564D">
        <w:trPr>
          <w:cantSplit/>
          <w:trHeight w:val="23"/>
        </w:trPr>
        <w:tc>
          <w:tcPr>
            <w:tcW w:w="1560" w:type="dxa"/>
            <w:tcBorders>
              <w:top w:val="nil"/>
              <w:left w:val="single" w:sz="2" w:space="0" w:color="auto"/>
              <w:bottom w:val="nil"/>
              <w:right w:val="single" w:sz="2" w:space="0" w:color="auto"/>
            </w:tcBorders>
          </w:tcPr>
          <w:p w14:paraId="395B2C3E" w14:textId="77777777" w:rsidR="007D2948" w:rsidRPr="004E5074" w:rsidRDefault="007D2948" w:rsidP="007D2948">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79BD29E0" w14:textId="57A83698" w:rsidR="007D2948" w:rsidRPr="007D2948" w:rsidRDefault="007D2948" w:rsidP="007D2948">
            <w:pPr>
              <w:pStyle w:val="TableText"/>
              <w:tabs>
                <w:tab w:val="left" w:pos="3306"/>
              </w:tabs>
              <w:rPr>
                <w:rFonts w:cs="Calibri"/>
              </w:rPr>
            </w:pPr>
            <w:r w:rsidRPr="007D2948">
              <w:rPr>
                <w:rFonts w:cs="Calibri"/>
              </w:rPr>
              <w:t>Proportion of Ownership of ‘Example Joint Venture Entity’</w:t>
            </w:r>
          </w:p>
        </w:tc>
        <w:tc>
          <w:tcPr>
            <w:tcW w:w="1559" w:type="dxa"/>
            <w:tcBorders>
              <w:top w:val="nil"/>
              <w:left w:val="nil"/>
              <w:bottom w:val="single" w:sz="4" w:space="0" w:color="auto"/>
              <w:right w:val="nil"/>
            </w:tcBorders>
            <w:vAlign w:val="bottom"/>
          </w:tcPr>
          <w:p w14:paraId="68FC7108" w14:textId="2F1D1699" w:rsidR="007D2948" w:rsidRPr="007D2948" w:rsidRDefault="007D2948" w:rsidP="007D2948">
            <w:pPr>
              <w:pStyle w:val="TableText"/>
              <w:tabs>
                <w:tab w:val="left" w:pos="3306"/>
              </w:tabs>
              <w:jc w:val="right"/>
              <w:rPr>
                <w:rFonts w:cs="Calibri"/>
              </w:rPr>
            </w:pPr>
          </w:p>
        </w:tc>
        <w:tc>
          <w:tcPr>
            <w:tcW w:w="1276" w:type="dxa"/>
            <w:tcBorders>
              <w:top w:val="nil"/>
              <w:left w:val="nil"/>
              <w:bottom w:val="single" w:sz="4" w:space="0" w:color="auto"/>
              <w:right w:val="nil"/>
            </w:tcBorders>
            <w:vAlign w:val="bottom"/>
          </w:tcPr>
          <w:p w14:paraId="37892715" w14:textId="15671854" w:rsidR="007D2948" w:rsidRPr="007D2948" w:rsidRDefault="007D2948" w:rsidP="007D2948">
            <w:pPr>
              <w:pStyle w:val="TableText"/>
              <w:tabs>
                <w:tab w:val="left" w:pos="3306"/>
              </w:tabs>
              <w:jc w:val="right"/>
              <w:rPr>
                <w:rFonts w:cs="Calibri"/>
              </w:rPr>
            </w:pPr>
          </w:p>
        </w:tc>
      </w:tr>
      <w:tr w:rsidR="007D2948" w:rsidRPr="00CF7E1B" w14:paraId="25CD3744" w14:textId="77777777" w:rsidTr="0004564D">
        <w:trPr>
          <w:cantSplit/>
          <w:trHeight w:val="23"/>
        </w:trPr>
        <w:tc>
          <w:tcPr>
            <w:tcW w:w="1560" w:type="dxa"/>
            <w:tcBorders>
              <w:top w:val="nil"/>
              <w:left w:val="single" w:sz="2" w:space="0" w:color="auto"/>
              <w:bottom w:val="nil"/>
              <w:right w:val="single" w:sz="2" w:space="0" w:color="auto"/>
            </w:tcBorders>
          </w:tcPr>
          <w:p w14:paraId="45F26760" w14:textId="77777777" w:rsidR="007D2948" w:rsidRPr="004E5074" w:rsidRDefault="007D2948" w:rsidP="007D2948">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7F74B86B" w14:textId="178CFC4C" w:rsidR="007D2948" w:rsidRPr="007D2948" w:rsidRDefault="007D2948" w:rsidP="007D2948">
            <w:pPr>
              <w:pStyle w:val="TableText"/>
              <w:tabs>
                <w:tab w:val="left" w:pos="3306"/>
              </w:tabs>
              <w:rPr>
                <w:rFonts w:cs="Calibri"/>
                <w:b/>
              </w:rPr>
            </w:pPr>
            <w:r w:rsidRPr="007D2948">
              <w:rPr>
                <w:rFonts w:cs="Calibri"/>
                <w:b/>
              </w:rPr>
              <w:t>Carrying Amount of Investment in ‘Example Joint Venture Entity’</w:t>
            </w:r>
          </w:p>
        </w:tc>
        <w:tc>
          <w:tcPr>
            <w:tcW w:w="1559" w:type="dxa"/>
            <w:tcBorders>
              <w:top w:val="single" w:sz="4" w:space="0" w:color="auto"/>
              <w:left w:val="nil"/>
              <w:bottom w:val="single" w:sz="4" w:space="0" w:color="auto"/>
              <w:right w:val="nil"/>
            </w:tcBorders>
            <w:vAlign w:val="bottom"/>
          </w:tcPr>
          <w:p w14:paraId="3BD3EC50" w14:textId="2639633D" w:rsidR="007D2948" w:rsidRPr="007D2948" w:rsidRDefault="007D2948" w:rsidP="007D2948">
            <w:pPr>
              <w:pStyle w:val="TableText"/>
              <w:tabs>
                <w:tab w:val="left" w:pos="3306"/>
              </w:tabs>
              <w:jc w:val="right"/>
              <w:rPr>
                <w:rFonts w:cs="Calibri"/>
                <w:b/>
              </w:rPr>
            </w:pPr>
          </w:p>
        </w:tc>
        <w:tc>
          <w:tcPr>
            <w:tcW w:w="1276" w:type="dxa"/>
            <w:tcBorders>
              <w:top w:val="single" w:sz="4" w:space="0" w:color="auto"/>
              <w:left w:val="nil"/>
              <w:bottom w:val="single" w:sz="4" w:space="0" w:color="auto"/>
              <w:right w:val="nil"/>
            </w:tcBorders>
            <w:vAlign w:val="bottom"/>
          </w:tcPr>
          <w:p w14:paraId="4C1D9440" w14:textId="09F8BB62" w:rsidR="007D2948" w:rsidRPr="007D2948" w:rsidRDefault="007D2948" w:rsidP="007D2948">
            <w:pPr>
              <w:pStyle w:val="TableText"/>
              <w:tabs>
                <w:tab w:val="left" w:pos="3306"/>
              </w:tabs>
              <w:jc w:val="right"/>
              <w:rPr>
                <w:rFonts w:cs="Calibri"/>
                <w:b/>
              </w:rPr>
            </w:pPr>
          </w:p>
        </w:tc>
      </w:tr>
      <w:tr w:rsidR="007D2948" w:rsidRPr="00CF7E1B" w14:paraId="2F8A9396" w14:textId="77777777" w:rsidTr="0004564D">
        <w:trPr>
          <w:cantSplit/>
          <w:trHeight w:val="23"/>
        </w:trPr>
        <w:tc>
          <w:tcPr>
            <w:tcW w:w="1560" w:type="dxa"/>
            <w:tcBorders>
              <w:top w:val="nil"/>
              <w:left w:val="single" w:sz="2" w:space="0" w:color="auto"/>
              <w:bottom w:val="nil"/>
              <w:right w:val="single" w:sz="2" w:space="0" w:color="auto"/>
            </w:tcBorders>
          </w:tcPr>
          <w:p w14:paraId="4CCDE147" w14:textId="77777777" w:rsidR="007D2948" w:rsidRPr="004E5074" w:rsidRDefault="007D2948" w:rsidP="007D2948">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114835C4" w14:textId="77777777" w:rsidR="007D2948" w:rsidRPr="007D2948" w:rsidRDefault="007D2948" w:rsidP="007D2948">
            <w:pPr>
              <w:pStyle w:val="TableText"/>
              <w:tabs>
                <w:tab w:val="left" w:pos="3306"/>
              </w:tabs>
              <w:rPr>
                <w:rFonts w:cs="Calibri"/>
                <w:b/>
              </w:rPr>
            </w:pPr>
          </w:p>
        </w:tc>
        <w:tc>
          <w:tcPr>
            <w:tcW w:w="1559" w:type="dxa"/>
            <w:tcBorders>
              <w:top w:val="single" w:sz="4" w:space="0" w:color="auto"/>
              <w:left w:val="nil"/>
              <w:bottom w:val="nil"/>
              <w:right w:val="nil"/>
            </w:tcBorders>
            <w:vAlign w:val="bottom"/>
          </w:tcPr>
          <w:p w14:paraId="1A4352EF" w14:textId="77777777" w:rsidR="007D2948" w:rsidRPr="007D2948" w:rsidRDefault="007D2948" w:rsidP="007D2948">
            <w:pPr>
              <w:pStyle w:val="TableText"/>
              <w:tabs>
                <w:tab w:val="left" w:pos="3306"/>
              </w:tabs>
              <w:jc w:val="right"/>
              <w:rPr>
                <w:rFonts w:cs="Calibri"/>
                <w:b/>
              </w:rPr>
            </w:pPr>
          </w:p>
        </w:tc>
        <w:tc>
          <w:tcPr>
            <w:tcW w:w="1276" w:type="dxa"/>
            <w:tcBorders>
              <w:top w:val="single" w:sz="4" w:space="0" w:color="auto"/>
              <w:left w:val="nil"/>
              <w:bottom w:val="nil"/>
              <w:right w:val="nil"/>
            </w:tcBorders>
            <w:vAlign w:val="bottom"/>
          </w:tcPr>
          <w:p w14:paraId="23D14D2E" w14:textId="77777777" w:rsidR="007D2948" w:rsidRPr="007D2948" w:rsidRDefault="007D2948" w:rsidP="007D2948">
            <w:pPr>
              <w:pStyle w:val="TableText"/>
              <w:tabs>
                <w:tab w:val="left" w:pos="3306"/>
              </w:tabs>
              <w:jc w:val="right"/>
              <w:rPr>
                <w:rFonts w:cs="Calibri"/>
                <w:b/>
              </w:rPr>
            </w:pPr>
          </w:p>
        </w:tc>
      </w:tr>
      <w:tr w:rsidR="007D2948" w:rsidRPr="00CF7E1B" w14:paraId="7CF27C57" w14:textId="77777777" w:rsidTr="0004564D">
        <w:trPr>
          <w:cantSplit/>
          <w:trHeight w:val="23"/>
        </w:trPr>
        <w:tc>
          <w:tcPr>
            <w:tcW w:w="1560" w:type="dxa"/>
            <w:tcBorders>
              <w:top w:val="nil"/>
              <w:left w:val="single" w:sz="2" w:space="0" w:color="auto"/>
              <w:bottom w:val="nil"/>
              <w:right w:val="single" w:sz="2" w:space="0" w:color="auto"/>
            </w:tcBorders>
          </w:tcPr>
          <w:p w14:paraId="724CABF8"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12.B12(a)</w:t>
            </w:r>
          </w:p>
        </w:tc>
        <w:tc>
          <w:tcPr>
            <w:tcW w:w="8930" w:type="dxa"/>
            <w:gridSpan w:val="3"/>
            <w:tcBorders>
              <w:top w:val="nil"/>
              <w:left w:val="single" w:sz="2" w:space="0" w:color="auto"/>
              <w:bottom w:val="nil"/>
              <w:right w:val="nil"/>
            </w:tcBorders>
          </w:tcPr>
          <w:p w14:paraId="42FCF291" w14:textId="31CC3AD7" w:rsidR="007D2948" w:rsidRPr="007D2948" w:rsidRDefault="007D2948" w:rsidP="007D2948">
            <w:pPr>
              <w:pStyle w:val="TableText"/>
              <w:tabs>
                <w:tab w:val="left" w:pos="3306"/>
              </w:tabs>
              <w:rPr>
                <w:rFonts w:cs="Calibri"/>
                <w:b/>
              </w:rPr>
            </w:pPr>
            <w:r w:rsidRPr="007D2948">
              <w:rPr>
                <w:rFonts w:cs="Calibri"/>
              </w:rPr>
              <w:t>No dividends were received from ‘Example Joint Venture Entity’ in 2021-22 or 2020-21.</w:t>
            </w:r>
          </w:p>
        </w:tc>
      </w:tr>
      <w:tr w:rsidR="007D2948" w:rsidRPr="00CF7E1B" w14:paraId="5E7C0AE2" w14:textId="77777777" w:rsidTr="0004564D">
        <w:trPr>
          <w:cantSplit/>
          <w:trHeight w:val="23"/>
        </w:trPr>
        <w:tc>
          <w:tcPr>
            <w:tcW w:w="1560" w:type="dxa"/>
            <w:tcBorders>
              <w:top w:val="nil"/>
              <w:left w:val="single" w:sz="2" w:space="0" w:color="auto"/>
              <w:bottom w:val="nil"/>
              <w:right w:val="single" w:sz="2" w:space="0" w:color="auto"/>
            </w:tcBorders>
          </w:tcPr>
          <w:p w14:paraId="7D99035F"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12.21(b)(iii)</w:t>
            </w:r>
          </w:p>
        </w:tc>
        <w:tc>
          <w:tcPr>
            <w:tcW w:w="8930" w:type="dxa"/>
            <w:gridSpan w:val="3"/>
            <w:tcBorders>
              <w:top w:val="nil"/>
              <w:left w:val="single" w:sz="2" w:space="0" w:color="auto"/>
              <w:bottom w:val="nil"/>
              <w:right w:val="nil"/>
            </w:tcBorders>
          </w:tcPr>
          <w:p w14:paraId="53C59899" w14:textId="2852C016" w:rsidR="007D2948" w:rsidRPr="007D2948" w:rsidRDefault="007D2948" w:rsidP="007D2948">
            <w:pPr>
              <w:pStyle w:val="TableText"/>
              <w:tabs>
                <w:tab w:val="left" w:pos="3306"/>
              </w:tabs>
              <w:rPr>
                <w:rFonts w:cs="Calibri"/>
                <w:b/>
              </w:rPr>
            </w:pPr>
            <w:r w:rsidRPr="007D2948">
              <w:rPr>
                <w:rFonts w:cs="Calibri"/>
              </w:rPr>
              <w:t>‘Example Joint Venture Entity’ is not listed on the stock exchange and has no quoted market price.</w:t>
            </w:r>
          </w:p>
        </w:tc>
      </w:tr>
      <w:tr w:rsidR="007D2948" w:rsidRPr="00CF7E1B" w14:paraId="3240B8AD" w14:textId="77777777" w:rsidTr="0004564D">
        <w:trPr>
          <w:cantSplit/>
          <w:trHeight w:val="23"/>
        </w:trPr>
        <w:tc>
          <w:tcPr>
            <w:tcW w:w="1560" w:type="dxa"/>
            <w:tcBorders>
              <w:top w:val="nil"/>
              <w:left w:val="single" w:sz="2" w:space="0" w:color="auto"/>
              <w:bottom w:val="nil"/>
              <w:right w:val="single" w:sz="2" w:space="0" w:color="auto"/>
            </w:tcBorders>
          </w:tcPr>
          <w:p w14:paraId="57BA701E" w14:textId="77777777" w:rsidR="007D2948" w:rsidRPr="004E5074" w:rsidRDefault="007D2948" w:rsidP="007D2948">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266C1DF2" w14:textId="77777777" w:rsidR="007D2948" w:rsidRPr="007D2948" w:rsidRDefault="007D2948" w:rsidP="007D2948">
            <w:pPr>
              <w:pStyle w:val="TableText"/>
              <w:tabs>
                <w:tab w:val="left" w:pos="3306"/>
              </w:tabs>
              <w:rPr>
                <w:rFonts w:cs="Calibri"/>
              </w:rPr>
            </w:pPr>
          </w:p>
        </w:tc>
        <w:tc>
          <w:tcPr>
            <w:tcW w:w="1559" w:type="dxa"/>
            <w:tcBorders>
              <w:top w:val="nil"/>
              <w:left w:val="nil"/>
              <w:bottom w:val="nil"/>
              <w:right w:val="nil"/>
            </w:tcBorders>
            <w:vAlign w:val="bottom"/>
          </w:tcPr>
          <w:p w14:paraId="1CC587BC" w14:textId="77777777" w:rsidR="007D2948" w:rsidRPr="007D2948" w:rsidRDefault="007D2948" w:rsidP="007D2948">
            <w:pPr>
              <w:pStyle w:val="TableText"/>
              <w:tabs>
                <w:tab w:val="left" w:pos="3306"/>
              </w:tabs>
              <w:jc w:val="right"/>
              <w:rPr>
                <w:rFonts w:cs="Calibri"/>
                <w:b/>
              </w:rPr>
            </w:pPr>
          </w:p>
        </w:tc>
        <w:tc>
          <w:tcPr>
            <w:tcW w:w="1276" w:type="dxa"/>
            <w:tcBorders>
              <w:top w:val="nil"/>
              <w:left w:val="nil"/>
              <w:bottom w:val="nil"/>
              <w:right w:val="nil"/>
            </w:tcBorders>
            <w:vAlign w:val="bottom"/>
          </w:tcPr>
          <w:p w14:paraId="60F50153" w14:textId="77777777" w:rsidR="007D2948" w:rsidRPr="007D2948" w:rsidRDefault="007D2948" w:rsidP="007D2948">
            <w:pPr>
              <w:pStyle w:val="TableText"/>
              <w:tabs>
                <w:tab w:val="left" w:pos="3306"/>
              </w:tabs>
              <w:jc w:val="right"/>
              <w:rPr>
                <w:rFonts w:cs="Calibri"/>
                <w:b/>
              </w:rPr>
            </w:pPr>
          </w:p>
        </w:tc>
      </w:tr>
      <w:tr w:rsidR="007D2948" w:rsidRPr="00CF7E1B" w14:paraId="09092DF8" w14:textId="77777777" w:rsidTr="0004564D">
        <w:trPr>
          <w:cantSplit/>
          <w:trHeight w:val="23"/>
        </w:trPr>
        <w:tc>
          <w:tcPr>
            <w:tcW w:w="1560" w:type="dxa"/>
            <w:tcBorders>
              <w:top w:val="nil"/>
              <w:left w:val="single" w:sz="2" w:space="0" w:color="auto"/>
              <w:bottom w:val="nil"/>
              <w:right w:val="single" w:sz="2" w:space="0" w:color="auto"/>
            </w:tcBorders>
          </w:tcPr>
          <w:p w14:paraId="77F9916C" w14:textId="77777777" w:rsidR="007D2948" w:rsidRPr="004E5074" w:rsidRDefault="007D2948" w:rsidP="007D2948">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3C4CCE80" w14:textId="77777777" w:rsidR="007D2948" w:rsidRPr="007D2948" w:rsidRDefault="007D2948" w:rsidP="007D2948">
            <w:pPr>
              <w:pStyle w:val="TableText"/>
              <w:tabs>
                <w:tab w:val="left" w:pos="3306"/>
              </w:tabs>
              <w:rPr>
                <w:rFonts w:cs="Calibri"/>
                <w:b/>
              </w:rPr>
            </w:pPr>
            <w:r w:rsidRPr="007D2948">
              <w:rPr>
                <w:rFonts w:cs="Calibri"/>
                <w:b/>
              </w:rPr>
              <w:t>Risks Associated with Interest in Joint Venture</w:t>
            </w:r>
          </w:p>
        </w:tc>
        <w:tc>
          <w:tcPr>
            <w:tcW w:w="1559" w:type="dxa"/>
            <w:tcBorders>
              <w:top w:val="nil"/>
              <w:left w:val="nil"/>
              <w:bottom w:val="nil"/>
              <w:right w:val="nil"/>
            </w:tcBorders>
            <w:vAlign w:val="bottom"/>
          </w:tcPr>
          <w:p w14:paraId="699ADE7D" w14:textId="77777777" w:rsidR="007D2948" w:rsidRPr="007D2948" w:rsidRDefault="007D2948" w:rsidP="007D2948">
            <w:pPr>
              <w:pStyle w:val="TableText"/>
              <w:tabs>
                <w:tab w:val="left" w:pos="3306"/>
              </w:tabs>
              <w:jc w:val="right"/>
              <w:rPr>
                <w:rFonts w:cs="Calibri"/>
                <w:b/>
              </w:rPr>
            </w:pPr>
          </w:p>
        </w:tc>
        <w:tc>
          <w:tcPr>
            <w:tcW w:w="1276" w:type="dxa"/>
            <w:tcBorders>
              <w:top w:val="nil"/>
              <w:left w:val="nil"/>
              <w:bottom w:val="nil"/>
              <w:right w:val="nil"/>
            </w:tcBorders>
            <w:vAlign w:val="bottom"/>
          </w:tcPr>
          <w:p w14:paraId="75564104" w14:textId="77777777" w:rsidR="007D2948" w:rsidRPr="007D2948" w:rsidRDefault="007D2948" w:rsidP="007D2948">
            <w:pPr>
              <w:pStyle w:val="TableText"/>
              <w:tabs>
                <w:tab w:val="left" w:pos="3306"/>
              </w:tabs>
              <w:jc w:val="right"/>
              <w:rPr>
                <w:rFonts w:cs="Calibri"/>
                <w:b/>
              </w:rPr>
            </w:pPr>
          </w:p>
        </w:tc>
      </w:tr>
      <w:tr w:rsidR="007D2948" w:rsidRPr="00CF7E1B" w14:paraId="3CA3A595" w14:textId="77777777" w:rsidTr="0004564D">
        <w:trPr>
          <w:cantSplit/>
          <w:trHeight w:val="23"/>
        </w:trPr>
        <w:tc>
          <w:tcPr>
            <w:tcW w:w="1560" w:type="dxa"/>
            <w:tcBorders>
              <w:top w:val="nil"/>
              <w:left w:val="single" w:sz="2" w:space="0" w:color="auto"/>
              <w:bottom w:val="nil"/>
              <w:right w:val="single" w:sz="2" w:space="0" w:color="auto"/>
            </w:tcBorders>
          </w:tcPr>
          <w:p w14:paraId="52690FA4" w14:textId="52B0924D"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12.23(a), B(18)</w:t>
            </w:r>
          </w:p>
        </w:tc>
        <w:tc>
          <w:tcPr>
            <w:tcW w:w="6095" w:type="dxa"/>
            <w:tcBorders>
              <w:top w:val="nil"/>
              <w:left w:val="single" w:sz="2" w:space="0" w:color="auto"/>
              <w:bottom w:val="nil"/>
              <w:right w:val="nil"/>
            </w:tcBorders>
            <w:vAlign w:val="bottom"/>
          </w:tcPr>
          <w:p w14:paraId="2389E643" w14:textId="77777777" w:rsidR="007D2948" w:rsidRPr="007D2948" w:rsidRDefault="007D2948" w:rsidP="007D2948">
            <w:pPr>
              <w:pStyle w:val="TableText"/>
              <w:tabs>
                <w:tab w:val="left" w:pos="3306"/>
              </w:tabs>
              <w:rPr>
                <w:rFonts w:cs="Calibri"/>
                <w:b/>
                <w:bCs/>
              </w:rPr>
            </w:pPr>
            <w:bookmarkStart w:id="734" w:name="_Toc48468736"/>
            <w:bookmarkStart w:id="735" w:name="_Toc49155818"/>
            <w:bookmarkStart w:id="736" w:name="_Toc49224231"/>
            <w:r w:rsidRPr="007D2948">
              <w:rPr>
                <w:rFonts w:cs="Calibri"/>
                <w:b/>
                <w:bCs/>
              </w:rPr>
              <w:t>Commitments relating to the Joint Venture</w:t>
            </w:r>
            <w:bookmarkEnd w:id="734"/>
            <w:bookmarkEnd w:id="735"/>
            <w:bookmarkEnd w:id="736"/>
          </w:p>
        </w:tc>
        <w:tc>
          <w:tcPr>
            <w:tcW w:w="1559" w:type="dxa"/>
            <w:tcBorders>
              <w:top w:val="nil"/>
              <w:left w:val="nil"/>
              <w:bottom w:val="nil"/>
              <w:right w:val="nil"/>
            </w:tcBorders>
            <w:vAlign w:val="bottom"/>
          </w:tcPr>
          <w:p w14:paraId="7C537074" w14:textId="77777777"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280E035C" w14:textId="77777777" w:rsidR="007D2948" w:rsidRPr="007D2948" w:rsidRDefault="007D2948" w:rsidP="007D2948">
            <w:pPr>
              <w:pStyle w:val="TableText"/>
              <w:tabs>
                <w:tab w:val="left" w:pos="3306"/>
              </w:tabs>
              <w:jc w:val="right"/>
              <w:rPr>
                <w:rFonts w:cs="Calibri"/>
              </w:rPr>
            </w:pPr>
          </w:p>
        </w:tc>
      </w:tr>
      <w:tr w:rsidR="007D2948" w:rsidRPr="00CF7E1B" w14:paraId="3A48E0BF" w14:textId="77777777" w:rsidTr="0004564D">
        <w:trPr>
          <w:cantSplit/>
          <w:trHeight w:val="23"/>
        </w:trPr>
        <w:tc>
          <w:tcPr>
            <w:tcW w:w="1560" w:type="dxa"/>
            <w:tcBorders>
              <w:top w:val="nil"/>
              <w:left w:val="single" w:sz="2" w:space="0" w:color="auto"/>
              <w:bottom w:val="nil"/>
              <w:right w:val="single" w:sz="2" w:space="0" w:color="auto"/>
            </w:tcBorders>
          </w:tcPr>
          <w:p w14:paraId="6D1411B4"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 (B19)(a)</w:t>
            </w:r>
          </w:p>
        </w:tc>
        <w:tc>
          <w:tcPr>
            <w:tcW w:w="8930" w:type="dxa"/>
            <w:gridSpan w:val="3"/>
            <w:tcBorders>
              <w:top w:val="nil"/>
              <w:left w:val="single" w:sz="2" w:space="0" w:color="auto"/>
              <w:bottom w:val="nil"/>
              <w:right w:val="nil"/>
            </w:tcBorders>
          </w:tcPr>
          <w:p w14:paraId="0E6B026E" w14:textId="7B9FD797" w:rsidR="007D2948" w:rsidRPr="007D2948" w:rsidRDefault="007D2948" w:rsidP="007D2948">
            <w:pPr>
              <w:pStyle w:val="TableText"/>
              <w:tabs>
                <w:tab w:val="left" w:pos="3306"/>
              </w:tabs>
              <w:rPr>
                <w:rFonts w:cs="Calibri"/>
                <w:strike/>
              </w:rPr>
            </w:pPr>
            <w:r w:rsidRPr="007D2948">
              <w:rPr>
                <w:rFonts w:cs="Calibri"/>
              </w:rPr>
              <w:t>Commitments to provide funding for joint venture’s capital commitments, if called</w:t>
            </w:r>
          </w:p>
        </w:tc>
      </w:tr>
      <w:tr w:rsidR="007D2948" w:rsidRPr="00CF7E1B" w14:paraId="2A14008C" w14:textId="77777777" w:rsidTr="0004564D">
        <w:trPr>
          <w:cantSplit/>
          <w:trHeight w:val="23"/>
        </w:trPr>
        <w:tc>
          <w:tcPr>
            <w:tcW w:w="1560" w:type="dxa"/>
            <w:tcBorders>
              <w:top w:val="nil"/>
              <w:left w:val="single" w:sz="2" w:space="0" w:color="auto"/>
              <w:bottom w:val="nil"/>
              <w:right w:val="single" w:sz="2" w:space="0" w:color="auto"/>
            </w:tcBorders>
          </w:tcPr>
          <w:p w14:paraId="18E2CE5D" w14:textId="77777777" w:rsidR="007D2948" w:rsidRPr="004E5074" w:rsidRDefault="007D2948" w:rsidP="007D2948">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50138A7E" w14:textId="77777777" w:rsidR="007D2948" w:rsidRPr="007D2948" w:rsidRDefault="007D2948" w:rsidP="007D2948">
            <w:pPr>
              <w:pStyle w:val="TableText"/>
              <w:tabs>
                <w:tab w:val="left" w:pos="3306"/>
              </w:tabs>
              <w:rPr>
                <w:rFonts w:cs="Calibri"/>
              </w:rPr>
            </w:pPr>
          </w:p>
        </w:tc>
        <w:tc>
          <w:tcPr>
            <w:tcW w:w="1559" w:type="dxa"/>
            <w:tcBorders>
              <w:top w:val="nil"/>
              <w:left w:val="nil"/>
              <w:bottom w:val="nil"/>
              <w:right w:val="nil"/>
            </w:tcBorders>
            <w:vAlign w:val="bottom"/>
          </w:tcPr>
          <w:p w14:paraId="18B4F345" w14:textId="77777777" w:rsidR="007D2948" w:rsidRPr="007D2948" w:rsidRDefault="007D2948" w:rsidP="007D2948">
            <w:pPr>
              <w:pStyle w:val="TableText"/>
              <w:tabs>
                <w:tab w:val="left" w:pos="3306"/>
              </w:tabs>
              <w:jc w:val="right"/>
              <w:rPr>
                <w:rFonts w:cs="Calibri"/>
                <w:sz w:val="14"/>
              </w:rPr>
            </w:pPr>
          </w:p>
        </w:tc>
        <w:tc>
          <w:tcPr>
            <w:tcW w:w="1276" w:type="dxa"/>
            <w:tcBorders>
              <w:top w:val="nil"/>
              <w:left w:val="nil"/>
              <w:bottom w:val="nil"/>
              <w:right w:val="nil"/>
            </w:tcBorders>
            <w:vAlign w:val="bottom"/>
          </w:tcPr>
          <w:p w14:paraId="70E55C54" w14:textId="77777777" w:rsidR="007D2948" w:rsidRPr="007D2948" w:rsidRDefault="007D2948" w:rsidP="007D2948">
            <w:pPr>
              <w:pStyle w:val="TableText"/>
              <w:tabs>
                <w:tab w:val="left" w:pos="3306"/>
              </w:tabs>
              <w:jc w:val="right"/>
              <w:rPr>
                <w:rFonts w:cs="Calibri"/>
                <w:sz w:val="14"/>
              </w:rPr>
            </w:pPr>
          </w:p>
        </w:tc>
      </w:tr>
      <w:tr w:rsidR="007D2948" w:rsidRPr="00CF7E1B" w14:paraId="6E9DB3CC" w14:textId="77777777" w:rsidTr="0004564D">
        <w:trPr>
          <w:cantSplit/>
          <w:trHeight w:val="23"/>
        </w:trPr>
        <w:tc>
          <w:tcPr>
            <w:tcW w:w="1560" w:type="dxa"/>
            <w:tcBorders>
              <w:top w:val="nil"/>
              <w:left w:val="single" w:sz="2" w:space="0" w:color="auto"/>
              <w:bottom w:val="nil"/>
              <w:right w:val="single" w:sz="2" w:space="0" w:color="auto"/>
            </w:tcBorders>
          </w:tcPr>
          <w:p w14:paraId="5C65C26A" w14:textId="77777777" w:rsidR="007D2948" w:rsidRPr="004E5074" w:rsidRDefault="007D2948" w:rsidP="007D2948">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46E04841" w14:textId="77777777" w:rsidR="007D2948" w:rsidRPr="007D2948" w:rsidRDefault="007D2948" w:rsidP="007D2948">
            <w:pPr>
              <w:pStyle w:val="TableText"/>
              <w:tabs>
                <w:tab w:val="left" w:pos="3306"/>
              </w:tabs>
              <w:spacing w:before="0"/>
              <w:rPr>
                <w:rFonts w:cs="Calibri"/>
                <w:b/>
                <w:bCs/>
              </w:rPr>
            </w:pPr>
            <w:bookmarkStart w:id="737" w:name="_Toc48468735"/>
            <w:bookmarkStart w:id="738" w:name="_Toc49155817"/>
            <w:bookmarkStart w:id="739" w:name="_Toc49224230"/>
            <w:r w:rsidRPr="007D2948">
              <w:rPr>
                <w:rFonts w:cs="Calibri"/>
                <w:b/>
                <w:bCs/>
              </w:rPr>
              <w:t>Contingent Liabilities</w:t>
            </w:r>
            <w:bookmarkEnd w:id="737"/>
            <w:bookmarkEnd w:id="738"/>
            <w:bookmarkEnd w:id="739"/>
          </w:p>
        </w:tc>
        <w:tc>
          <w:tcPr>
            <w:tcW w:w="1559" w:type="dxa"/>
            <w:tcBorders>
              <w:top w:val="nil"/>
              <w:left w:val="nil"/>
              <w:bottom w:val="nil"/>
              <w:right w:val="nil"/>
            </w:tcBorders>
            <w:vAlign w:val="bottom"/>
          </w:tcPr>
          <w:p w14:paraId="2540C719" w14:textId="77777777"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4122C99F" w14:textId="77777777" w:rsidR="007D2948" w:rsidRPr="007D2948" w:rsidRDefault="007D2948" w:rsidP="007D2948">
            <w:pPr>
              <w:pStyle w:val="TableText"/>
              <w:tabs>
                <w:tab w:val="left" w:pos="3306"/>
              </w:tabs>
              <w:jc w:val="right"/>
              <w:rPr>
                <w:rFonts w:cs="Calibri"/>
              </w:rPr>
            </w:pPr>
          </w:p>
        </w:tc>
      </w:tr>
      <w:tr w:rsidR="007D2948" w:rsidRPr="00CF7E1B" w14:paraId="5482CB98" w14:textId="77777777" w:rsidTr="0004564D">
        <w:trPr>
          <w:cantSplit/>
          <w:trHeight w:val="23"/>
        </w:trPr>
        <w:tc>
          <w:tcPr>
            <w:tcW w:w="1560" w:type="dxa"/>
            <w:tcBorders>
              <w:top w:val="nil"/>
              <w:left w:val="single" w:sz="2" w:space="0" w:color="auto"/>
              <w:bottom w:val="nil"/>
              <w:right w:val="single" w:sz="2" w:space="0" w:color="auto"/>
            </w:tcBorders>
          </w:tcPr>
          <w:p w14:paraId="33078D8D" w14:textId="77777777" w:rsidR="007D2948" w:rsidRPr="004E5074" w:rsidRDefault="007D2948" w:rsidP="007D2948">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43CE1830" w14:textId="18996BA0" w:rsidR="007D2948" w:rsidRPr="007D2948" w:rsidRDefault="007D2948" w:rsidP="007D2948">
            <w:pPr>
              <w:pStyle w:val="CommentaryText"/>
              <w:tabs>
                <w:tab w:val="left" w:pos="3306"/>
              </w:tabs>
              <w:spacing w:before="120" w:after="0"/>
              <w:rPr>
                <w:rFonts w:cs="Calibri"/>
                <w:sz w:val="18"/>
              </w:rPr>
            </w:pPr>
            <w:r w:rsidRPr="007D2948">
              <w:rPr>
                <w:rFonts w:cs="Calibri"/>
                <w:sz w:val="18"/>
              </w:rPr>
              <w:t>The Agency has the following contingent liabilities, which it believes will not result in any material losses.</w:t>
            </w:r>
            <w:r w:rsidR="00FA7C77">
              <w:rPr>
                <w:rFonts w:cs="Calibri"/>
                <w:sz w:val="18"/>
              </w:rPr>
              <w:t xml:space="preserve"> </w:t>
            </w:r>
          </w:p>
        </w:tc>
      </w:tr>
      <w:tr w:rsidR="007D2948" w:rsidRPr="00CF7E1B" w14:paraId="476BE45A" w14:textId="77777777" w:rsidTr="0004564D">
        <w:trPr>
          <w:cantSplit/>
          <w:trHeight w:val="23"/>
        </w:trPr>
        <w:tc>
          <w:tcPr>
            <w:tcW w:w="1560" w:type="dxa"/>
            <w:tcBorders>
              <w:top w:val="nil"/>
              <w:left w:val="single" w:sz="2" w:space="0" w:color="auto"/>
              <w:bottom w:val="nil"/>
              <w:right w:val="single" w:sz="2" w:space="0" w:color="auto"/>
            </w:tcBorders>
          </w:tcPr>
          <w:p w14:paraId="38C95E1C" w14:textId="77777777" w:rsidR="007D2948" w:rsidRPr="004E5074" w:rsidRDefault="007D2948" w:rsidP="007D2948">
            <w:pPr>
              <w:pStyle w:val="TableReference"/>
              <w:tabs>
                <w:tab w:val="left" w:pos="3306"/>
              </w:tabs>
              <w:spacing w:before="40"/>
              <w:rPr>
                <w:rFonts w:cs="Calibri"/>
                <w:color w:val="7030A0"/>
                <w:sz w:val="14"/>
              </w:rPr>
            </w:pPr>
            <w:r w:rsidRPr="004E5074">
              <w:rPr>
                <w:rFonts w:cs="Calibri"/>
                <w:color w:val="7030A0"/>
                <w:sz w:val="14"/>
              </w:rPr>
              <w:t>AASB 12.23(b)</w:t>
            </w:r>
          </w:p>
        </w:tc>
        <w:tc>
          <w:tcPr>
            <w:tcW w:w="6095" w:type="dxa"/>
            <w:tcBorders>
              <w:top w:val="nil"/>
              <w:left w:val="single" w:sz="2" w:space="0" w:color="auto"/>
              <w:bottom w:val="nil"/>
              <w:right w:val="nil"/>
            </w:tcBorders>
            <w:vAlign w:val="bottom"/>
          </w:tcPr>
          <w:p w14:paraId="202C347C" w14:textId="77777777" w:rsidR="007D2948" w:rsidRPr="007D2948" w:rsidRDefault="007D2948" w:rsidP="007D2948">
            <w:pPr>
              <w:pStyle w:val="TableText"/>
              <w:tabs>
                <w:tab w:val="left" w:pos="3306"/>
              </w:tabs>
              <w:rPr>
                <w:rFonts w:cs="Calibri"/>
              </w:rPr>
            </w:pPr>
            <w:r w:rsidRPr="007D2948">
              <w:rPr>
                <w:rFonts w:cs="Calibri"/>
              </w:rPr>
              <w:t xml:space="preserve">Contingent Liability arising from the Agency’s interest in the Joint Venture </w:t>
            </w:r>
          </w:p>
        </w:tc>
        <w:tc>
          <w:tcPr>
            <w:tcW w:w="1559" w:type="dxa"/>
            <w:tcBorders>
              <w:top w:val="nil"/>
              <w:left w:val="nil"/>
              <w:bottom w:val="nil"/>
              <w:right w:val="nil"/>
            </w:tcBorders>
            <w:vAlign w:val="bottom"/>
          </w:tcPr>
          <w:p w14:paraId="5AE64A7E" w14:textId="7F871B86"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4FC4AE9F" w14:textId="672B346D" w:rsidR="007D2948" w:rsidRPr="007D2948" w:rsidRDefault="007D2948" w:rsidP="007D2948">
            <w:pPr>
              <w:pStyle w:val="TableText"/>
              <w:tabs>
                <w:tab w:val="left" w:pos="3306"/>
              </w:tabs>
              <w:jc w:val="right"/>
              <w:rPr>
                <w:rFonts w:cs="Calibri"/>
              </w:rPr>
            </w:pPr>
          </w:p>
        </w:tc>
      </w:tr>
      <w:tr w:rsidR="007D2948" w:rsidRPr="00CF7E1B" w14:paraId="580D5FB7" w14:textId="77777777" w:rsidTr="0004564D">
        <w:trPr>
          <w:cantSplit/>
          <w:trHeight w:val="23"/>
        </w:trPr>
        <w:tc>
          <w:tcPr>
            <w:tcW w:w="1560" w:type="dxa"/>
            <w:tcBorders>
              <w:top w:val="nil"/>
              <w:left w:val="single" w:sz="2" w:space="0" w:color="auto"/>
              <w:bottom w:val="nil"/>
              <w:right w:val="single" w:sz="2" w:space="0" w:color="auto"/>
            </w:tcBorders>
          </w:tcPr>
          <w:p w14:paraId="11241B54" w14:textId="77777777" w:rsidR="007D2948" w:rsidRPr="004E5074" w:rsidRDefault="007D2948" w:rsidP="007D2948">
            <w:pPr>
              <w:pStyle w:val="TableReference"/>
              <w:tabs>
                <w:tab w:val="left" w:pos="3306"/>
              </w:tabs>
              <w:spacing w:before="60"/>
              <w:rPr>
                <w:rFonts w:cs="Calibri"/>
                <w:color w:val="7030A0"/>
                <w:sz w:val="14"/>
              </w:rPr>
            </w:pPr>
            <w:r w:rsidRPr="004E5074">
              <w:rPr>
                <w:rFonts w:cs="Calibri"/>
                <w:color w:val="7030A0"/>
                <w:sz w:val="14"/>
              </w:rPr>
              <w:t>AASB 12.23(b</w:t>
            </w:r>
          </w:p>
        </w:tc>
        <w:tc>
          <w:tcPr>
            <w:tcW w:w="6095" w:type="dxa"/>
            <w:tcBorders>
              <w:top w:val="nil"/>
              <w:left w:val="single" w:sz="2" w:space="0" w:color="auto"/>
              <w:bottom w:val="nil"/>
              <w:right w:val="nil"/>
            </w:tcBorders>
            <w:vAlign w:val="bottom"/>
          </w:tcPr>
          <w:p w14:paraId="313915B2" w14:textId="77777777" w:rsidR="007D2948" w:rsidRPr="007D2948" w:rsidRDefault="007D2948" w:rsidP="007D2948">
            <w:pPr>
              <w:pStyle w:val="TableText"/>
              <w:tabs>
                <w:tab w:val="left" w:pos="3306"/>
              </w:tabs>
              <w:rPr>
                <w:rFonts w:cs="Calibri"/>
              </w:rPr>
            </w:pPr>
            <w:r w:rsidRPr="007D2948">
              <w:rPr>
                <w:rFonts w:cs="Calibri"/>
              </w:rPr>
              <w:t>Contingent Liability arising from the Agency being liable for liabilities of ‘Example Venturer’</w:t>
            </w:r>
          </w:p>
        </w:tc>
        <w:tc>
          <w:tcPr>
            <w:tcW w:w="1559" w:type="dxa"/>
            <w:tcBorders>
              <w:top w:val="nil"/>
              <w:left w:val="nil"/>
              <w:bottom w:val="nil"/>
              <w:right w:val="nil"/>
            </w:tcBorders>
            <w:vAlign w:val="bottom"/>
          </w:tcPr>
          <w:p w14:paraId="76021FA2" w14:textId="66812C27" w:rsidR="007D2948" w:rsidRPr="007D2948" w:rsidRDefault="007D2948" w:rsidP="007D2948">
            <w:pPr>
              <w:pStyle w:val="TableText"/>
              <w:tabs>
                <w:tab w:val="left" w:pos="3306"/>
              </w:tabs>
              <w:jc w:val="right"/>
              <w:rPr>
                <w:rFonts w:cs="Calibri"/>
              </w:rPr>
            </w:pPr>
          </w:p>
        </w:tc>
        <w:tc>
          <w:tcPr>
            <w:tcW w:w="1276" w:type="dxa"/>
            <w:tcBorders>
              <w:top w:val="nil"/>
              <w:left w:val="nil"/>
              <w:bottom w:val="nil"/>
              <w:right w:val="nil"/>
            </w:tcBorders>
            <w:vAlign w:val="bottom"/>
          </w:tcPr>
          <w:p w14:paraId="4A847F1D" w14:textId="7D37F364" w:rsidR="007D2948" w:rsidRPr="007D2948" w:rsidRDefault="007D2948" w:rsidP="007D2948">
            <w:pPr>
              <w:pStyle w:val="TableText"/>
              <w:tabs>
                <w:tab w:val="left" w:pos="3306"/>
              </w:tabs>
              <w:jc w:val="right"/>
              <w:rPr>
                <w:rFonts w:cs="Calibri"/>
              </w:rPr>
            </w:pPr>
          </w:p>
        </w:tc>
      </w:tr>
      <w:tr w:rsidR="007D2948" w:rsidRPr="00CF7E1B" w14:paraId="1AC68FF9" w14:textId="77777777" w:rsidTr="0004564D">
        <w:trPr>
          <w:cantSplit/>
          <w:trHeight w:val="23"/>
        </w:trPr>
        <w:tc>
          <w:tcPr>
            <w:tcW w:w="1560" w:type="dxa"/>
            <w:tcBorders>
              <w:top w:val="nil"/>
              <w:left w:val="single" w:sz="2" w:space="0" w:color="auto"/>
              <w:bottom w:val="nil"/>
              <w:right w:val="single" w:sz="2" w:space="0" w:color="auto"/>
            </w:tcBorders>
          </w:tcPr>
          <w:p w14:paraId="141DC3B4" w14:textId="77777777" w:rsidR="007D2948" w:rsidRPr="004E5074" w:rsidRDefault="007D2948" w:rsidP="007D2948">
            <w:pPr>
              <w:pStyle w:val="TableReference"/>
              <w:tabs>
                <w:tab w:val="left" w:pos="3306"/>
              </w:tabs>
              <w:spacing w:before="40"/>
              <w:rPr>
                <w:rFonts w:cs="Calibri"/>
                <w:color w:val="7030A0"/>
                <w:sz w:val="14"/>
              </w:rPr>
            </w:pPr>
          </w:p>
        </w:tc>
        <w:tc>
          <w:tcPr>
            <w:tcW w:w="6095" w:type="dxa"/>
            <w:tcBorders>
              <w:top w:val="nil"/>
              <w:left w:val="single" w:sz="2" w:space="0" w:color="auto"/>
              <w:bottom w:val="nil"/>
              <w:right w:val="nil"/>
            </w:tcBorders>
            <w:vAlign w:val="bottom"/>
          </w:tcPr>
          <w:p w14:paraId="54E98A29" w14:textId="77777777" w:rsidR="007D2948" w:rsidRPr="007D2948" w:rsidRDefault="007D2948" w:rsidP="007D2948">
            <w:pPr>
              <w:pStyle w:val="TableText"/>
              <w:tabs>
                <w:tab w:val="left" w:pos="3306"/>
              </w:tabs>
              <w:rPr>
                <w:rFonts w:cs="Calibri"/>
                <w:b/>
                <w:bCs/>
              </w:rPr>
            </w:pPr>
            <w:r w:rsidRPr="007D2948">
              <w:rPr>
                <w:rFonts w:cs="Calibri"/>
                <w:b/>
                <w:bCs/>
              </w:rPr>
              <w:t>Total Contingent Liabilities</w:t>
            </w:r>
          </w:p>
        </w:tc>
        <w:tc>
          <w:tcPr>
            <w:tcW w:w="1559" w:type="dxa"/>
            <w:tcBorders>
              <w:top w:val="single" w:sz="2" w:space="0" w:color="auto"/>
              <w:left w:val="nil"/>
              <w:bottom w:val="double" w:sz="4" w:space="0" w:color="auto"/>
              <w:right w:val="nil"/>
            </w:tcBorders>
            <w:vAlign w:val="bottom"/>
          </w:tcPr>
          <w:p w14:paraId="1E662276" w14:textId="64D7CCA3" w:rsidR="007D2948" w:rsidRPr="007D2948" w:rsidRDefault="007D2948" w:rsidP="007D2948">
            <w:pPr>
              <w:pStyle w:val="TableText"/>
              <w:tabs>
                <w:tab w:val="left" w:pos="3306"/>
              </w:tabs>
              <w:jc w:val="right"/>
              <w:rPr>
                <w:rFonts w:cs="Calibri"/>
                <w:b/>
                <w:bCs/>
              </w:rPr>
            </w:pPr>
          </w:p>
        </w:tc>
        <w:tc>
          <w:tcPr>
            <w:tcW w:w="1276" w:type="dxa"/>
            <w:tcBorders>
              <w:top w:val="single" w:sz="2" w:space="0" w:color="auto"/>
              <w:left w:val="nil"/>
              <w:bottom w:val="double" w:sz="4" w:space="0" w:color="auto"/>
              <w:right w:val="nil"/>
            </w:tcBorders>
            <w:vAlign w:val="bottom"/>
          </w:tcPr>
          <w:p w14:paraId="4F44BAFE" w14:textId="0487B282" w:rsidR="007D2948" w:rsidRPr="007D2948" w:rsidRDefault="007D2948" w:rsidP="007D2948">
            <w:pPr>
              <w:pStyle w:val="TableText"/>
              <w:tabs>
                <w:tab w:val="left" w:pos="3306"/>
              </w:tabs>
              <w:jc w:val="right"/>
              <w:rPr>
                <w:rFonts w:cs="Calibri"/>
                <w:b/>
                <w:bCs/>
              </w:rPr>
            </w:pPr>
          </w:p>
        </w:tc>
      </w:tr>
    </w:tbl>
    <w:p w14:paraId="6E1BEFB9" w14:textId="77777777" w:rsidR="00B330CA" w:rsidRDefault="00B330CA">
      <w:r>
        <w:br w:type="page"/>
      </w:r>
    </w:p>
    <w:tbl>
      <w:tblPr>
        <w:tblW w:w="10490" w:type="dxa"/>
        <w:tblInd w:w="-5" w:type="dxa"/>
        <w:shd w:val="clear" w:color="auto" w:fill="CCFFCC"/>
        <w:tblLayout w:type="fixed"/>
        <w:tblLook w:val="00A0" w:firstRow="1" w:lastRow="0" w:firstColumn="1" w:lastColumn="0" w:noHBand="0" w:noVBand="0"/>
      </w:tblPr>
      <w:tblGrid>
        <w:gridCol w:w="1560"/>
        <w:gridCol w:w="8930"/>
      </w:tblGrid>
      <w:tr w:rsidR="007D2948" w:rsidRPr="00CF7E1B" w14:paraId="524BFBA1" w14:textId="77777777" w:rsidTr="0004564D">
        <w:trPr>
          <w:trHeight w:val="283"/>
        </w:trPr>
        <w:tc>
          <w:tcPr>
            <w:tcW w:w="1560" w:type="dxa"/>
            <w:tcBorders>
              <w:left w:val="single" w:sz="2" w:space="0" w:color="auto"/>
              <w:right w:val="single" w:sz="2" w:space="0" w:color="auto"/>
            </w:tcBorders>
          </w:tcPr>
          <w:p w14:paraId="758ACA86" w14:textId="1AE2B541" w:rsidR="007D2948" w:rsidRPr="004E5074" w:rsidRDefault="007D2948" w:rsidP="00B330CA">
            <w:pPr>
              <w:pStyle w:val="TableReference"/>
              <w:tabs>
                <w:tab w:val="left" w:pos="3306"/>
              </w:tabs>
              <w:spacing w:after="240"/>
              <w:rPr>
                <w:rFonts w:cs="Calibri"/>
                <w:b/>
                <w:color w:val="7030A0"/>
                <w:sz w:val="14"/>
              </w:rPr>
            </w:pPr>
            <w:r w:rsidRPr="004E5074">
              <w:rPr>
                <w:rFonts w:cs="Calibri"/>
                <w:color w:val="7030A0"/>
                <w:sz w:val="14"/>
              </w:rPr>
              <w:t xml:space="preserve"> </w:t>
            </w:r>
            <w:r w:rsidR="00B330CA" w:rsidRPr="00F33E86">
              <w:rPr>
                <w:rFonts w:cs="Calibri"/>
                <w:b/>
                <w:color w:val="7030A0"/>
                <w:sz w:val="22"/>
                <w:szCs w:val="22"/>
              </w:rPr>
              <w:t>Reference</w:t>
            </w:r>
          </w:p>
        </w:tc>
        <w:tc>
          <w:tcPr>
            <w:tcW w:w="8930" w:type="dxa"/>
            <w:tcBorders>
              <w:left w:val="single" w:sz="2" w:space="0" w:color="auto"/>
            </w:tcBorders>
            <w:shd w:val="clear" w:color="auto" w:fill="7030A0"/>
          </w:tcPr>
          <w:p w14:paraId="68885C5B" w14:textId="521F22A1" w:rsidR="007D2948" w:rsidRPr="007D2948" w:rsidRDefault="007D2948" w:rsidP="00B330CA">
            <w:pPr>
              <w:pStyle w:val="CommentaryTitle"/>
              <w:pageBreakBefore w:val="0"/>
              <w:tabs>
                <w:tab w:val="left" w:pos="3306"/>
              </w:tabs>
              <w:spacing w:before="0" w:after="240"/>
              <w:rPr>
                <w:rFonts w:cs="Calibri"/>
                <w:color w:val="FFFFFF" w:themeColor="background1"/>
                <w:sz w:val="28"/>
                <w:szCs w:val="28"/>
              </w:rPr>
            </w:pPr>
            <w:bookmarkStart w:id="740" w:name="_Toc50440395"/>
            <w:bookmarkStart w:id="741" w:name="_Toc163106387"/>
            <w:r w:rsidRPr="007D2948">
              <w:rPr>
                <w:rFonts w:cs="Calibri"/>
                <w:color w:val="FFFFFF" w:themeColor="background1"/>
                <w:sz w:val="28"/>
                <w:szCs w:val="28"/>
              </w:rPr>
              <w:t xml:space="preserve">Commentary </w:t>
            </w:r>
            <w:r w:rsidRPr="007D2948">
              <w:rPr>
                <w:rFonts w:cs="Calibri"/>
                <w:color w:val="FFFFFF" w:themeColor="background1"/>
                <w:sz w:val="28"/>
                <w:szCs w:val="28"/>
              </w:rPr>
              <w:sym w:font="Symbol" w:char="F02D"/>
            </w:r>
            <w:r w:rsidRPr="007D2948">
              <w:rPr>
                <w:rFonts w:cs="Calibri"/>
                <w:color w:val="FFFFFF" w:themeColor="background1"/>
                <w:sz w:val="28"/>
                <w:szCs w:val="28"/>
              </w:rPr>
              <w:t xml:space="preserve"> Note 34: Interest in a Joint</w:t>
            </w:r>
            <w:bookmarkEnd w:id="740"/>
            <w:bookmarkEnd w:id="741"/>
            <w:r w:rsidRPr="007D2948">
              <w:rPr>
                <w:rFonts w:cs="Calibri"/>
                <w:color w:val="FFFFFF" w:themeColor="background1"/>
                <w:sz w:val="28"/>
                <w:szCs w:val="28"/>
              </w:rPr>
              <w:t xml:space="preserve"> Venture</w:t>
            </w:r>
          </w:p>
        </w:tc>
      </w:tr>
      <w:tr w:rsidR="007D2948" w:rsidRPr="00CF7E1B" w14:paraId="38C62141" w14:textId="77777777" w:rsidTr="0004564D">
        <w:trPr>
          <w:trHeight w:val="283"/>
        </w:trPr>
        <w:tc>
          <w:tcPr>
            <w:tcW w:w="1560" w:type="dxa"/>
            <w:tcBorders>
              <w:left w:val="single" w:sz="2" w:space="0" w:color="auto"/>
              <w:right w:val="single" w:sz="2" w:space="0" w:color="auto"/>
            </w:tcBorders>
          </w:tcPr>
          <w:p w14:paraId="73D44EDE" w14:textId="77777777" w:rsidR="007D2948" w:rsidRPr="00B330CA" w:rsidRDefault="007D2948" w:rsidP="007D2948">
            <w:pPr>
              <w:pStyle w:val="TableReference"/>
              <w:tabs>
                <w:tab w:val="left" w:pos="3306"/>
              </w:tabs>
              <w:rPr>
                <w:rFonts w:cs="Calibri"/>
                <w:color w:val="7030A0"/>
                <w:sz w:val="20"/>
                <w:szCs w:val="20"/>
              </w:rPr>
            </w:pPr>
          </w:p>
        </w:tc>
        <w:tc>
          <w:tcPr>
            <w:tcW w:w="8930" w:type="dxa"/>
            <w:tcBorders>
              <w:left w:val="single" w:sz="2" w:space="0" w:color="auto"/>
            </w:tcBorders>
            <w:shd w:val="clear" w:color="auto" w:fill="7030A0"/>
          </w:tcPr>
          <w:p w14:paraId="32E29049" w14:textId="77777777" w:rsidR="007D2948" w:rsidRPr="00B330CA" w:rsidRDefault="007D2948" w:rsidP="007D2948">
            <w:pPr>
              <w:pStyle w:val="CommentaryHeading"/>
              <w:tabs>
                <w:tab w:val="left" w:pos="3306"/>
              </w:tabs>
              <w:spacing w:before="0" w:after="120"/>
              <w:rPr>
                <w:rFonts w:cs="Calibri"/>
                <w:color w:val="FFFFFF" w:themeColor="background1"/>
                <w:szCs w:val="20"/>
              </w:rPr>
            </w:pPr>
            <w:r w:rsidRPr="00B330CA">
              <w:rPr>
                <w:rFonts w:cs="Calibri"/>
                <w:color w:val="FFFFFF" w:themeColor="background1"/>
                <w:szCs w:val="20"/>
              </w:rPr>
              <w:t>Definition</w:t>
            </w:r>
          </w:p>
        </w:tc>
      </w:tr>
      <w:tr w:rsidR="007D2948" w:rsidRPr="00CF7E1B" w14:paraId="6FE4720D" w14:textId="77777777" w:rsidTr="0004564D">
        <w:trPr>
          <w:trHeight w:val="283"/>
        </w:trPr>
        <w:tc>
          <w:tcPr>
            <w:tcW w:w="1560" w:type="dxa"/>
            <w:tcBorders>
              <w:left w:val="single" w:sz="2" w:space="0" w:color="auto"/>
              <w:right w:val="single" w:sz="2" w:space="0" w:color="auto"/>
            </w:tcBorders>
          </w:tcPr>
          <w:p w14:paraId="23F68133" w14:textId="77777777" w:rsidR="007D2948" w:rsidRPr="004E5074" w:rsidRDefault="007D2948" w:rsidP="007D2948">
            <w:pPr>
              <w:pStyle w:val="TableReference"/>
              <w:tabs>
                <w:tab w:val="left" w:pos="3306"/>
              </w:tabs>
              <w:spacing w:before="60"/>
              <w:rPr>
                <w:rFonts w:cs="Calibri"/>
                <w:color w:val="7030A0"/>
                <w:sz w:val="14"/>
              </w:rPr>
            </w:pPr>
            <w:r w:rsidRPr="004E5074">
              <w:rPr>
                <w:rFonts w:cs="Calibri"/>
                <w:color w:val="7030A0"/>
                <w:sz w:val="14"/>
              </w:rPr>
              <w:t>AASB 11.16</w:t>
            </w:r>
          </w:p>
        </w:tc>
        <w:tc>
          <w:tcPr>
            <w:tcW w:w="8930" w:type="dxa"/>
            <w:tcBorders>
              <w:left w:val="single" w:sz="2" w:space="0" w:color="auto"/>
            </w:tcBorders>
            <w:shd w:val="clear" w:color="auto" w:fill="7030A0"/>
          </w:tcPr>
          <w:p w14:paraId="42C7390D" w14:textId="54D4C7E1" w:rsidR="007D2948" w:rsidRPr="007D2948" w:rsidRDefault="007D2948" w:rsidP="007D2948">
            <w:pPr>
              <w:pStyle w:val="Commentary-Bullet"/>
              <w:numPr>
                <w:ilvl w:val="0"/>
                <w:numId w:val="0"/>
              </w:numPr>
              <w:spacing w:after="120"/>
              <w:rPr>
                <w:rFonts w:cs="Calibri"/>
                <w:color w:val="FFFFFF" w:themeColor="background1"/>
                <w:sz w:val="18"/>
                <w:szCs w:val="18"/>
              </w:rPr>
            </w:pPr>
            <w:r w:rsidRPr="007D2948">
              <w:rPr>
                <w:rFonts w:cs="Calibri"/>
                <w:color w:val="FFFFFF" w:themeColor="background1"/>
                <w:sz w:val="18"/>
                <w:szCs w:val="18"/>
              </w:rPr>
              <w:t>A joint venture is a joint arrangement whereby the parties that have joint control of the arrangement have rights to the net assets of the arrangement.</w:t>
            </w:r>
            <w:r w:rsidR="00FA7C77">
              <w:rPr>
                <w:rFonts w:cs="Calibri"/>
                <w:color w:val="FFFFFF" w:themeColor="background1"/>
                <w:sz w:val="18"/>
                <w:szCs w:val="18"/>
              </w:rPr>
              <w:t xml:space="preserve"> </w:t>
            </w:r>
            <w:r w:rsidRPr="007D2948">
              <w:rPr>
                <w:rFonts w:cs="Calibri"/>
                <w:color w:val="FFFFFF" w:themeColor="background1"/>
                <w:sz w:val="18"/>
                <w:szCs w:val="18"/>
              </w:rPr>
              <w:t>Those parties are called joint venturers.</w:t>
            </w:r>
          </w:p>
        </w:tc>
      </w:tr>
      <w:tr w:rsidR="007D2948" w:rsidRPr="00CF7E1B" w14:paraId="531226B4" w14:textId="77777777" w:rsidTr="0004564D">
        <w:trPr>
          <w:trHeight w:val="283"/>
        </w:trPr>
        <w:tc>
          <w:tcPr>
            <w:tcW w:w="1560" w:type="dxa"/>
            <w:tcBorders>
              <w:left w:val="single" w:sz="2" w:space="0" w:color="auto"/>
              <w:right w:val="single" w:sz="2" w:space="0" w:color="auto"/>
            </w:tcBorders>
          </w:tcPr>
          <w:p w14:paraId="763B49C4" w14:textId="77777777" w:rsidR="007D2948" w:rsidRPr="004E5074" w:rsidRDefault="007D2948" w:rsidP="007D2948">
            <w:pPr>
              <w:pStyle w:val="TableReference"/>
              <w:tabs>
                <w:tab w:val="left" w:pos="3306"/>
              </w:tabs>
              <w:spacing w:before="60"/>
              <w:rPr>
                <w:rFonts w:cs="Calibri"/>
                <w:strike/>
                <w:color w:val="7030A0"/>
                <w:sz w:val="14"/>
              </w:rPr>
            </w:pPr>
          </w:p>
        </w:tc>
        <w:tc>
          <w:tcPr>
            <w:tcW w:w="8930" w:type="dxa"/>
            <w:tcBorders>
              <w:left w:val="single" w:sz="2" w:space="0" w:color="auto"/>
            </w:tcBorders>
            <w:shd w:val="clear" w:color="auto" w:fill="7030A0"/>
          </w:tcPr>
          <w:p w14:paraId="5B89DDE3" w14:textId="77777777" w:rsidR="007D2948" w:rsidRPr="007D2948" w:rsidRDefault="007D2948" w:rsidP="007D2948">
            <w:pPr>
              <w:autoSpaceDE w:val="0"/>
              <w:autoSpaceDN w:val="0"/>
              <w:adjustRightInd w:val="0"/>
              <w:spacing w:after="120"/>
              <w:jc w:val="both"/>
              <w:rPr>
                <w:rFonts w:cs="Calibri"/>
                <w:strike/>
                <w:color w:val="FFFFFF" w:themeColor="background1"/>
                <w:sz w:val="18"/>
                <w:szCs w:val="18"/>
              </w:rPr>
            </w:pPr>
            <w:r w:rsidRPr="007D2948">
              <w:rPr>
                <w:rFonts w:cs="Calibri"/>
                <w:color w:val="FFFFFF" w:themeColor="background1"/>
                <w:sz w:val="18"/>
                <w:szCs w:val="18"/>
              </w:rPr>
              <w:t>N</w:t>
            </w:r>
            <w:r w:rsidRPr="007D2948">
              <w:rPr>
                <w:rFonts w:cs="Calibri"/>
                <w:b/>
                <w:bCs/>
                <w:color w:val="FFFFFF" w:themeColor="background1"/>
                <w:sz w:val="18"/>
                <w:szCs w:val="18"/>
              </w:rPr>
              <w:t>ature, Extent and Financial Effects of an Agency’s Interests in Joint Arrangements</w:t>
            </w:r>
          </w:p>
        </w:tc>
      </w:tr>
      <w:tr w:rsidR="007D2948" w:rsidRPr="00CF7E1B" w14:paraId="57904595" w14:textId="77777777" w:rsidTr="0004564D">
        <w:trPr>
          <w:trHeight w:val="2143"/>
        </w:trPr>
        <w:tc>
          <w:tcPr>
            <w:tcW w:w="1560" w:type="dxa"/>
            <w:tcBorders>
              <w:left w:val="single" w:sz="2" w:space="0" w:color="auto"/>
              <w:right w:val="single" w:sz="2" w:space="0" w:color="auto"/>
            </w:tcBorders>
          </w:tcPr>
          <w:p w14:paraId="13AC337B" w14:textId="77777777" w:rsidR="007D2948" w:rsidRPr="004E5074" w:rsidRDefault="007D2948" w:rsidP="007D2948">
            <w:pPr>
              <w:pStyle w:val="TableReference"/>
              <w:tabs>
                <w:tab w:val="left" w:pos="3306"/>
              </w:tabs>
              <w:spacing w:before="60"/>
              <w:rPr>
                <w:rFonts w:cs="Calibri"/>
                <w:color w:val="7030A0"/>
                <w:sz w:val="14"/>
              </w:rPr>
            </w:pPr>
            <w:r w:rsidRPr="004E5074">
              <w:rPr>
                <w:rFonts w:cs="Calibri"/>
                <w:color w:val="7030A0"/>
                <w:sz w:val="14"/>
              </w:rPr>
              <w:t xml:space="preserve">AASB 12.21(a) </w:t>
            </w:r>
          </w:p>
          <w:p w14:paraId="19A9D024" w14:textId="77777777" w:rsidR="007D2948" w:rsidRPr="004E5074" w:rsidRDefault="007D2948" w:rsidP="007D294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7B6BA105" w14:textId="018BEC2C" w:rsidR="007D2948" w:rsidRPr="007D2948" w:rsidRDefault="007D2948" w:rsidP="007D2948">
            <w:pPr>
              <w:autoSpaceDE w:val="0"/>
              <w:autoSpaceDN w:val="0"/>
              <w:adjustRightInd w:val="0"/>
              <w:jc w:val="both"/>
              <w:rPr>
                <w:rFonts w:cs="Calibri"/>
                <w:color w:val="FFFFFF" w:themeColor="background1"/>
                <w:sz w:val="18"/>
                <w:szCs w:val="18"/>
              </w:rPr>
            </w:pPr>
            <w:r w:rsidRPr="007D2948">
              <w:rPr>
                <w:rFonts w:cs="Calibri"/>
                <w:color w:val="FFFFFF" w:themeColor="background1"/>
                <w:sz w:val="18"/>
                <w:szCs w:val="18"/>
              </w:rPr>
              <w:t xml:space="preserve">Where a joint arrangement is material to an agency </w:t>
            </w:r>
            <w:r w:rsidR="00C61909">
              <w:rPr>
                <w:rFonts w:cs="Calibri"/>
                <w:color w:val="FFFFFF" w:themeColor="background1"/>
                <w:sz w:val="18"/>
                <w:szCs w:val="18"/>
              </w:rPr>
              <w:t>the</w:t>
            </w:r>
            <w:r w:rsidRPr="007D2948">
              <w:rPr>
                <w:rFonts w:cs="Calibri"/>
                <w:color w:val="FFFFFF" w:themeColor="background1"/>
                <w:sz w:val="18"/>
                <w:szCs w:val="18"/>
              </w:rPr>
              <w:t xml:space="preserve"> agency shall disclose:</w:t>
            </w:r>
          </w:p>
          <w:p w14:paraId="6B0D4329" w14:textId="77777777" w:rsidR="007D2948" w:rsidRPr="007D2948" w:rsidRDefault="007D2948" w:rsidP="00B330CA">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name of the joint arrangement;</w:t>
            </w:r>
          </w:p>
          <w:p w14:paraId="76D66FF5" w14:textId="77777777" w:rsidR="007D2948" w:rsidRPr="007D2948" w:rsidRDefault="007D2948" w:rsidP="00B330CA">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nature of the agency’s relationship with the joint arrangement (by, for example, describing the nature of the activities of the joint arrangement and whether they are strategic to the agency’s activities;</w:t>
            </w:r>
          </w:p>
          <w:p w14:paraId="1B91F1C8" w14:textId="3E411F69" w:rsidR="007D2948" w:rsidRPr="007D2948" w:rsidRDefault="007D2948" w:rsidP="00B330CA">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 xml:space="preserve">the principal place of business and country of incorporation, if applicable and different from the principal place of business of the joint arrangement; and </w:t>
            </w:r>
          </w:p>
          <w:p w14:paraId="48F54F29" w14:textId="58C3EB14" w:rsidR="007D2948" w:rsidRPr="007D2948" w:rsidRDefault="007D2948" w:rsidP="00B330CA">
            <w:pPr>
              <w:pStyle w:val="Commentary-Bullet"/>
              <w:tabs>
                <w:tab w:val="clear" w:pos="502"/>
              </w:tabs>
              <w:spacing w:after="40"/>
              <w:ind w:left="604" w:hanging="454"/>
              <w:rPr>
                <w:rFonts w:cs="Calibri"/>
                <w:color w:val="FFFFFF" w:themeColor="background1"/>
                <w:sz w:val="18"/>
                <w:szCs w:val="18"/>
              </w:rPr>
            </w:pPr>
            <w:r w:rsidRPr="007D2948">
              <w:rPr>
                <w:rFonts w:cs="Calibri"/>
                <w:color w:val="FFFFFF" w:themeColor="background1"/>
                <w:sz w:val="18"/>
                <w:szCs w:val="18"/>
              </w:rPr>
              <w:t>the proportion of ownership interest or participating share held by the entity and, if different the proportion of voting rights held</w:t>
            </w:r>
            <w:r w:rsidR="00C61909">
              <w:rPr>
                <w:rFonts w:cs="Calibri"/>
                <w:color w:val="FFFFFF" w:themeColor="background1"/>
                <w:sz w:val="18"/>
                <w:szCs w:val="18"/>
              </w:rPr>
              <w:t>,</w:t>
            </w:r>
            <w:r w:rsidRPr="007D2948">
              <w:rPr>
                <w:rFonts w:cs="Calibri"/>
                <w:color w:val="FFFFFF" w:themeColor="background1"/>
                <w:sz w:val="18"/>
                <w:szCs w:val="18"/>
              </w:rPr>
              <w:t xml:space="preserve"> if applicable;</w:t>
            </w:r>
          </w:p>
          <w:p w14:paraId="22A2B897" w14:textId="10FC3531" w:rsidR="007D2948" w:rsidRPr="00B330CA" w:rsidRDefault="007D2948" w:rsidP="00B330CA">
            <w:pPr>
              <w:pStyle w:val="Commentary-Bullet"/>
              <w:tabs>
                <w:tab w:val="clear" w:pos="502"/>
              </w:tabs>
              <w:spacing w:after="40"/>
              <w:ind w:left="604" w:hanging="454"/>
              <w:rPr>
                <w:rFonts w:cs="Calibri"/>
                <w:color w:val="FFFFFF" w:themeColor="background1"/>
                <w:sz w:val="18"/>
                <w:szCs w:val="18"/>
              </w:rPr>
            </w:pPr>
            <w:r w:rsidRPr="00B330CA">
              <w:rPr>
                <w:rFonts w:cs="Calibri"/>
                <w:color w:val="FFFFFF" w:themeColor="background1"/>
                <w:sz w:val="18"/>
                <w:szCs w:val="18"/>
              </w:rPr>
              <w:t>whether the investment in the joint venture is measured using the equity method or at fair value.</w:t>
            </w:r>
            <w:r w:rsidR="00FA7C77" w:rsidRPr="00B330CA">
              <w:rPr>
                <w:rFonts w:cs="Calibri"/>
                <w:color w:val="FFFFFF" w:themeColor="background1"/>
                <w:sz w:val="18"/>
                <w:szCs w:val="18"/>
              </w:rPr>
              <w:t xml:space="preserve"> </w:t>
            </w:r>
            <w:r w:rsidRPr="00B330CA">
              <w:rPr>
                <w:rFonts w:cs="Calibri"/>
                <w:color w:val="FFFFFF" w:themeColor="background1"/>
                <w:sz w:val="18"/>
                <w:szCs w:val="18"/>
              </w:rPr>
              <w:t xml:space="preserve"> </w:t>
            </w:r>
          </w:p>
        </w:tc>
      </w:tr>
      <w:tr w:rsidR="007D2948" w:rsidRPr="00CF7E1B" w14:paraId="17B4C8A9" w14:textId="77777777" w:rsidTr="0004564D">
        <w:trPr>
          <w:trHeight w:val="283"/>
        </w:trPr>
        <w:tc>
          <w:tcPr>
            <w:tcW w:w="1560" w:type="dxa"/>
            <w:tcBorders>
              <w:left w:val="single" w:sz="2" w:space="0" w:color="auto"/>
              <w:right w:val="single" w:sz="2" w:space="0" w:color="auto"/>
            </w:tcBorders>
          </w:tcPr>
          <w:p w14:paraId="3B5CC685" w14:textId="77777777" w:rsidR="007D2948" w:rsidRPr="004E5074" w:rsidRDefault="007D2948" w:rsidP="007D2948">
            <w:pPr>
              <w:pStyle w:val="TableReference"/>
              <w:tabs>
                <w:tab w:val="left" w:pos="3306"/>
              </w:tabs>
              <w:spacing w:before="60"/>
              <w:rPr>
                <w:rFonts w:cs="Calibri"/>
                <w:color w:val="7030A0"/>
                <w:sz w:val="14"/>
              </w:rPr>
            </w:pPr>
          </w:p>
          <w:p w14:paraId="2843879C" w14:textId="77777777" w:rsidR="007D2948" w:rsidRPr="004E5074" w:rsidRDefault="007D2948" w:rsidP="007D2948">
            <w:pPr>
              <w:pStyle w:val="TableReference"/>
              <w:tabs>
                <w:tab w:val="left" w:pos="3306"/>
              </w:tabs>
              <w:spacing w:before="60"/>
              <w:rPr>
                <w:rFonts w:cs="Calibri"/>
                <w:color w:val="7030A0"/>
                <w:sz w:val="14"/>
              </w:rPr>
            </w:pPr>
          </w:p>
          <w:p w14:paraId="05C6E499" w14:textId="77777777" w:rsidR="007D2948" w:rsidRPr="004E5074" w:rsidRDefault="007D2948" w:rsidP="007D2948">
            <w:pPr>
              <w:pStyle w:val="TableReference"/>
              <w:tabs>
                <w:tab w:val="left" w:pos="3306"/>
              </w:tabs>
              <w:spacing w:before="60"/>
              <w:rPr>
                <w:rFonts w:cs="Calibri"/>
                <w:color w:val="7030A0"/>
                <w:sz w:val="14"/>
              </w:rPr>
            </w:pPr>
          </w:p>
          <w:p w14:paraId="3B7D9C78" w14:textId="77777777" w:rsidR="007D2948" w:rsidRPr="004E5074" w:rsidRDefault="007D2948" w:rsidP="007D2948">
            <w:pPr>
              <w:pStyle w:val="TableReference"/>
              <w:tabs>
                <w:tab w:val="left" w:pos="3306"/>
              </w:tabs>
              <w:spacing w:before="60"/>
              <w:rPr>
                <w:rFonts w:cs="Calibri"/>
                <w:color w:val="7030A0"/>
                <w:sz w:val="14"/>
              </w:rPr>
            </w:pPr>
          </w:p>
          <w:p w14:paraId="5C532CAC" w14:textId="77777777" w:rsidR="007D2948" w:rsidRPr="004E5074" w:rsidRDefault="007D2948" w:rsidP="007D2948">
            <w:pPr>
              <w:pStyle w:val="TableReference"/>
              <w:tabs>
                <w:tab w:val="left" w:pos="3306"/>
              </w:tabs>
              <w:spacing w:before="60"/>
              <w:rPr>
                <w:rFonts w:cs="Calibri"/>
                <w:color w:val="7030A0"/>
                <w:sz w:val="14"/>
              </w:rPr>
            </w:pPr>
          </w:p>
          <w:p w14:paraId="6C886F60" w14:textId="77777777" w:rsidR="007D2948" w:rsidRPr="004E5074" w:rsidRDefault="007D2948" w:rsidP="007D2948">
            <w:pPr>
              <w:pStyle w:val="TableReference"/>
              <w:tabs>
                <w:tab w:val="left" w:pos="3306"/>
              </w:tabs>
              <w:spacing w:before="60"/>
              <w:rPr>
                <w:rFonts w:cs="Calibri"/>
                <w:color w:val="7030A0"/>
                <w:sz w:val="14"/>
              </w:rPr>
            </w:pPr>
          </w:p>
          <w:p w14:paraId="42A51E9B" w14:textId="77777777" w:rsidR="007D2948" w:rsidRPr="004E5074" w:rsidRDefault="007D2948" w:rsidP="007D2948">
            <w:pPr>
              <w:pStyle w:val="TableReference"/>
              <w:tabs>
                <w:tab w:val="left" w:pos="3306"/>
              </w:tabs>
              <w:spacing w:before="60"/>
              <w:rPr>
                <w:rFonts w:cs="Calibri"/>
                <w:color w:val="7030A0"/>
                <w:sz w:val="14"/>
              </w:rPr>
            </w:pPr>
          </w:p>
          <w:p w14:paraId="2AB0B69C" w14:textId="5393EEAF" w:rsidR="007D2948" w:rsidRPr="004E5074" w:rsidRDefault="007D2948" w:rsidP="007D2948">
            <w:pPr>
              <w:pStyle w:val="TableReference"/>
              <w:tabs>
                <w:tab w:val="left" w:pos="3306"/>
              </w:tabs>
              <w:spacing w:before="120"/>
              <w:rPr>
                <w:rFonts w:cs="Calibri"/>
                <w:color w:val="7030A0"/>
                <w:sz w:val="14"/>
              </w:rPr>
            </w:pPr>
            <w:r w:rsidRPr="004E5074">
              <w:rPr>
                <w:rFonts w:cs="Calibri"/>
                <w:color w:val="7030A0"/>
                <w:sz w:val="14"/>
              </w:rPr>
              <w:t>AASB 12.21(b) B12, B13</w:t>
            </w:r>
          </w:p>
          <w:p w14:paraId="7A63AE0A" w14:textId="585A4780" w:rsidR="007D2948" w:rsidRPr="004E5074" w:rsidRDefault="007D2948" w:rsidP="007D2948">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3CEF9EA7" w14:textId="77777777" w:rsidR="00190479" w:rsidRDefault="007D2948"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 xml:space="preserve">summarised financial </w:t>
            </w:r>
            <w:r w:rsidRPr="00190479">
              <w:rPr>
                <w:rFonts w:cs="Calibri"/>
                <w:color w:val="FFFFFF" w:themeColor="background1"/>
                <w:sz w:val="18"/>
                <w:szCs w:val="18"/>
              </w:rPr>
              <w:t>information about the joint venture, including but not limited to:</w:t>
            </w:r>
          </w:p>
          <w:p w14:paraId="7F2F17CB" w14:textId="6AFF747F" w:rsidR="007D2948" w:rsidRDefault="00190479" w:rsidP="007122BC">
            <w:pPr>
              <w:numPr>
                <w:ilvl w:val="1"/>
                <w:numId w:val="32"/>
              </w:numPr>
              <w:autoSpaceDE w:val="0"/>
              <w:autoSpaceDN w:val="0"/>
              <w:adjustRightInd w:val="0"/>
              <w:spacing w:after="40"/>
              <w:ind w:left="1019"/>
              <w:jc w:val="both"/>
              <w:rPr>
                <w:rFonts w:cs="Calibri"/>
                <w:color w:val="FFFFFF" w:themeColor="background1"/>
                <w:sz w:val="18"/>
                <w:szCs w:val="18"/>
              </w:rPr>
            </w:pPr>
            <w:r>
              <w:rPr>
                <w:rFonts w:cs="Calibri"/>
                <w:color w:val="FFFFFF" w:themeColor="background1"/>
                <w:sz w:val="18"/>
                <w:szCs w:val="18"/>
              </w:rPr>
              <w:t>c</w:t>
            </w:r>
            <w:r w:rsidR="007D2948" w:rsidRPr="00190479">
              <w:rPr>
                <w:rFonts w:cs="Calibri"/>
                <w:color w:val="FFFFFF" w:themeColor="background1"/>
                <w:sz w:val="18"/>
                <w:szCs w:val="18"/>
              </w:rPr>
              <w:t>urrent assets;</w:t>
            </w:r>
          </w:p>
          <w:p w14:paraId="4CB0C48D" w14:textId="7D806B3B" w:rsidR="007D2948" w:rsidRDefault="007D2948"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assets;</w:t>
            </w:r>
          </w:p>
          <w:p w14:paraId="34712E2A" w14:textId="15AA8B56" w:rsidR="007D2948" w:rsidRDefault="007D2948"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current liabilities;</w:t>
            </w:r>
          </w:p>
          <w:p w14:paraId="7504CC09" w14:textId="4F5D7C60" w:rsidR="007D2948" w:rsidRDefault="007D2948"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liabilities;</w:t>
            </w:r>
          </w:p>
          <w:p w14:paraId="541459BF" w14:textId="5F035092" w:rsidR="007D2948" w:rsidRDefault="007D2948"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revenue;</w:t>
            </w:r>
          </w:p>
          <w:p w14:paraId="2BC3E48E" w14:textId="1452E9AA" w:rsidR="007D2948" w:rsidRDefault="007D2948"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profit or loss from continuing operations;</w:t>
            </w:r>
          </w:p>
          <w:p w14:paraId="6930548D" w14:textId="32509EAB" w:rsidR="007D2948" w:rsidRPr="00190479" w:rsidRDefault="007D2948"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color w:val="FFFFFF" w:themeColor="background1"/>
                <w:sz w:val="18"/>
                <w:szCs w:val="18"/>
              </w:rPr>
              <w:t>post-tax profit or loss from discontinued operations;</w:t>
            </w:r>
          </w:p>
          <w:p w14:paraId="1523F235" w14:textId="5ABEC9F9" w:rsidR="007D2948" w:rsidRDefault="007D2948"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 xml:space="preserve">other comprehensive income; </w:t>
            </w:r>
          </w:p>
          <w:p w14:paraId="46B48DE8" w14:textId="00C99C42" w:rsidR="007D2948" w:rsidRPr="00190479" w:rsidRDefault="007D2948"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total comprehensive income</w:t>
            </w:r>
            <w:r w:rsidR="00B330CA">
              <w:rPr>
                <w:rFonts w:cs="Calibri"/>
                <w:color w:val="FFFFFF" w:themeColor="background1"/>
                <w:sz w:val="18"/>
                <w:szCs w:val="18"/>
              </w:rPr>
              <w:t>;</w:t>
            </w:r>
          </w:p>
        </w:tc>
      </w:tr>
      <w:tr w:rsidR="001950C9" w:rsidRPr="00CF7E1B" w14:paraId="33AD2F63" w14:textId="77777777" w:rsidTr="0004564D">
        <w:trPr>
          <w:trHeight w:val="283"/>
        </w:trPr>
        <w:tc>
          <w:tcPr>
            <w:tcW w:w="1560" w:type="dxa"/>
            <w:tcBorders>
              <w:left w:val="single" w:sz="2" w:space="0" w:color="auto"/>
              <w:right w:val="single" w:sz="2" w:space="0" w:color="auto"/>
            </w:tcBorders>
          </w:tcPr>
          <w:p w14:paraId="0DAEEE04" w14:textId="77777777" w:rsidR="001950C9" w:rsidRPr="004E5074" w:rsidRDefault="001950C9" w:rsidP="006F4A63">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406F4D74" w14:textId="502237D7" w:rsidR="001950C9" w:rsidRDefault="001950C9"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cash and cash equivalents;</w:t>
            </w:r>
          </w:p>
          <w:p w14:paraId="08FB3967" w14:textId="08DF056B" w:rsidR="001950C9" w:rsidRDefault="001950C9"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current financial liabilities (excluding trade and other payables and provisions);</w:t>
            </w:r>
          </w:p>
          <w:p w14:paraId="6EF4CDF4" w14:textId="0793A5A2" w:rsidR="006F4A63" w:rsidRDefault="006F4A63"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non-current financial liabilities (excluding trade and other payables and provisions)</w:t>
            </w:r>
            <w:r w:rsidR="000969A3" w:rsidRPr="00190479">
              <w:rPr>
                <w:rFonts w:cs="Calibri"/>
                <w:color w:val="FFFFFF" w:themeColor="background1"/>
                <w:sz w:val="18"/>
                <w:szCs w:val="18"/>
              </w:rPr>
              <w:t>;</w:t>
            </w:r>
          </w:p>
          <w:p w14:paraId="28D5EB3A" w14:textId="74C76E6D" w:rsidR="001950C9" w:rsidRDefault="001950C9"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depreciation and amortisation;</w:t>
            </w:r>
          </w:p>
          <w:p w14:paraId="31ADDC80" w14:textId="72E350F5" w:rsidR="001950C9" w:rsidRDefault="001950C9"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interest income;</w:t>
            </w:r>
            <w:r w:rsidR="00FA7C77">
              <w:rPr>
                <w:rFonts w:cs="Calibri"/>
                <w:color w:val="FFFFFF" w:themeColor="background1"/>
                <w:sz w:val="18"/>
                <w:szCs w:val="18"/>
              </w:rPr>
              <w:t xml:space="preserve"> </w:t>
            </w:r>
          </w:p>
          <w:p w14:paraId="49771C4E" w14:textId="5723A331" w:rsidR="001950C9" w:rsidRDefault="001950C9"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interest expense</w:t>
            </w:r>
            <w:r w:rsidR="006F4A63" w:rsidRPr="00190479">
              <w:rPr>
                <w:rFonts w:cs="Calibri"/>
                <w:color w:val="FFFFFF" w:themeColor="background1"/>
                <w:sz w:val="18"/>
                <w:szCs w:val="18"/>
              </w:rPr>
              <w:t>; and</w:t>
            </w:r>
          </w:p>
          <w:p w14:paraId="75F0D876" w14:textId="36466FFD" w:rsidR="006F4A63" w:rsidRPr="00190479" w:rsidRDefault="006F4A63"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income tax expense or income.</w:t>
            </w:r>
          </w:p>
        </w:tc>
      </w:tr>
      <w:tr w:rsidR="001950C9" w:rsidRPr="00CF7E1B" w14:paraId="64C026DE" w14:textId="77777777" w:rsidTr="0004564D">
        <w:trPr>
          <w:trHeight w:val="283"/>
        </w:trPr>
        <w:tc>
          <w:tcPr>
            <w:tcW w:w="1560" w:type="dxa"/>
            <w:tcBorders>
              <w:left w:val="single" w:sz="2" w:space="0" w:color="auto"/>
              <w:right w:val="single" w:sz="2" w:space="0" w:color="auto"/>
            </w:tcBorders>
          </w:tcPr>
          <w:p w14:paraId="15FFC102" w14:textId="77777777" w:rsidR="001950C9" w:rsidRPr="004E5074" w:rsidRDefault="001950C9" w:rsidP="00063FFB">
            <w:pPr>
              <w:pStyle w:val="TableReference"/>
              <w:tabs>
                <w:tab w:val="left" w:pos="3306"/>
              </w:tabs>
              <w:spacing w:before="60"/>
              <w:rPr>
                <w:rFonts w:cs="Calibri"/>
                <w:color w:val="7030A0"/>
                <w:sz w:val="14"/>
              </w:rPr>
            </w:pPr>
            <w:r w:rsidRPr="004E5074">
              <w:rPr>
                <w:rFonts w:cs="Calibri"/>
                <w:color w:val="7030A0"/>
                <w:sz w:val="14"/>
              </w:rPr>
              <w:t>AASB12.21(c), B16</w:t>
            </w:r>
          </w:p>
        </w:tc>
        <w:tc>
          <w:tcPr>
            <w:tcW w:w="8930" w:type="dxa"/>
            <w:tcBorders>
              <w:left w:val="single" w:sz="2" w:space="0" w:color="auto"/>
            </w:tcBorders>
            <w:shd w:val="clear" w:color="auto" w:fill="7030A0"/>
          </w:tcPr>
          <w:p w14:paraId="0F9C2D9D" w14:textId="1F750CC0" w:rsidR="001950C9" w:rsidRPr="004E5074" w:rsidRDefault="001950C9" w:rsidP="00FF1470">
            <w:pPr>
              <w:autoSpaceDE w:val="0"/>
              <w:autoSpaceDN w:val="0"/>
              <w:adjustRightInd w:val="0"/>
              <w:jc w:val="both"/>
              <w:rPr>
                <w:rFonts w:cs="Calibri"/>
                <w:color w:val="FFFFFF" w:themeColor="background1"/>
                <w:sz w:val="18"/>
                <w:szCs w:val="18"/>
              </w:rPr>
            </w:pPr>
            <w:r w:rsidRPr="004E5074">
              <w:rPr>
                <w:rFonts w:cs="Calibri"/>
                <w:color w:val="FFFFFF" w:themeColor="background1"/>
                <w:sz w:val="18"/>
                <w:szCs w:val="18"/>
              </w:rPr>
              <w:t>Where a joint venture(s) is(are) immaterial to an agency</w:t>
            </w:r>
            <w:r w:rsidR="006F4A63" w:rsidRPr="004E5074">
              <w:rPr>
                <w:rFonts w:cs="Calibri"/>
                <w:color w:val="FFFFFF" w:themeColor="background1"/>
                <w:sz w:val="18"/>
                <w:szCs w:val="18"/>
              </w:rPr>
              <w:t>:</w:t>
            </w:r>
          </w:p>
          <w:p w14:paraId="758EA93D" w14:textId="77777777" w:rsidR="001950C9" w:rsidRPr="004E5074" w:rsidRDefault="001950C9"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An Agency shall disclose, in aggregate, the carrying amount of its interests in all individually immaterial joint ventures that are accounted for using the equity method; and</w:t>
            </w:r>
          </w:p>
          <w:p w14:paraId="57FD91D1" w14:textId="77777777" w:rsidR="00190479" w:rsidRDefault="001950C9"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An agency shall also disclose separately the aggregate amount of its share of those joint ventures’:</w:t>
            </w:r>
          </w:p>
          <w:p w14:paraId="6F2F0A05" w14:textId="43E8E09C" w:rsidR="001950C9" w:rsidRPr="00190479" w:rsidRDefault="001950C9" w:rsidP="007122BC">
            <w:pPr>
              <w:numPr>
                <w:ilvl w:val="1"/>
                <w:numId w:val="32"/>
              </w:numPr>
              <w:autoSpaceDE w:val="0"/>
              <w:autoSpaceDN w:val="0"/>
              <w:adjustRightInd w:val="0"/>
              <w:spacing w:after="40"/>
              <w:ind w:left="1019"/>
              <w:jc w:val="both"/>
              <w:rPr>
                <w:rFonts w:cs="Calibri"/>
                <w:color w:val="FFFFFF" w:themeColor="background1"/>
                <w:sz w:val="18"/>
                <w:szCs w:val="18"/>
              </w:rPr>
            </w:pPr>
            <w:r w:rsidRPr="00190479">
              <w:rPr>
                <w:rFonts w:cs="Calibri"/>
                <w:color w:val="FFFFFF" w:themeColor="background1"/>
                <w:sz w:val="18"/>
                <w:szCs w:val="18"/>
              </w:rPr>
              <w:t>profit or loss from continuing operations</w:t>
            </w:r>
            <w:r w:rsidR="00580C81" w:rsidRPr="00190479">
              <w:rPr>
                <w:rFonts w:cs="Calibri"/>
                <w:color w:val="FFFFFF" w:themeColor="background1"/>
                <w:sz w:val="18"/>
                <w:szCs w:val="18"/>
              </w:rPr>
              <w:t>;</w:t>
            </w:r>
          </w:p>
          <w:p w14:paraId="7AA05008" w14:textId="77777777" w:rsidR="001950C9" w:rsidRPr="004E5074" w:rsidRDefault="001950C9" w:rsidP="007122BC">
            <w:pPr>
              <w:numPr>
                <w:ilvl w:val="1"/>
                <w:numId w:val="32"/>
              </w:numPr>
              <w:autoSpaceDE w:val="0"/>
              <w:autoSpaceDN w:val="0"/>
              <w:adjustRightInd w:val="0"/>
              <w:spacing w:after="40"/>
              <w:ind w:left="1019"/>
              <w:jc w:val="both"/>
              <w:rPr>
                <w:rFonts w:cs="Calibri"/>
                <w:color w:val="FFFFFF" w:themeColor="background1"/>
                <w:sz w:val="18"/>
                <w:szCs w:val="18"/>
              </w:rPr>
            </w:pPr>
            <w:r w:rsidRPr="004E5074">
              <w:rPr>
                <w:rFonts w:cs="Calibri"/>
                <w:color w:val="FFFFFF" w:themeColor="background1"/>
                <w:sz w:val="18"/>
                <w:szCs w:val="18"/>
              </w:rPr>
              <w:t>profit or loss from discontinued operations</w:t>
            </w:r>
            <w:r w:rsidR="00580C81" w:rsidRPr="004E5074">
              <w:rPr>
                <w:rFonts w:cs="Calibri"/>
                <w:color w:val="FFFFFF" w:themeColor="background1"/>
                <w:sz w:val="18"/>
                <w:szCs w:val="18"/>
              </w:rPr>
              <w:t>;</w:t>
            </w:r>
          </w:p>
          <w:p w14:paraId="732B4A99" w14:textId="77777777" w:rsidR="001950C9" w:rsidRPr="004E5074" w:rsidRDefault="001950C9" w:rsidP="007122BC">
            <w:pPr>
              <w:numPr>
                <w:ilvl w:val="1"/>
                <w:numId w:val="32"/>
              </w:numPr>
              <w:autoSpaceDE w:val="0"/>
              <w:autoSpaceDN w:val="0"/>
              <w:adjustRightInd w:val="0"/>
              <w:spacing w:after="40"/>
              <w:ind w:left="1019"/>
              <w:jc w:val="both"/>
              <w:rPr>
                <w:rFonts w:cs="Calibri"/>
                <w:color w:val="FFFFFF" w:themeColor="background1"/>
                <w:sz w:val="18"/>
                <w:szCs w:val="18"/>
              </w:rPr>
            </w:pPr>
            <w:r w:rsidRPr="004E5074">
              <w:rPr>
                <w:rFonts w:cs="Calibri"/>
                <w:color w:val="FFFFFF" w:themeColor="background1"/>
                <w:sz w:val="18"/>
                <w:szCs w:val="18"/>
              </w:rPr>
              <w:t>other comprehensive income</w:t>
            </w:r>
            <w:r w:rsidR="00580C81" w:rsidRPr="004E5074">
              <w:rPr>
                <w:rFonts w:cs="Calibri"/>
                <w:color w:val="FFFFFF" w:themeColor="background1"/>
                <w:sz w:val="18"/>
                <w:szCs w:val="18"/>
              </w:rPr>
              <w:t>; and</w:t>
            </w:r>
          </w:p>
          <w:p w14:paraId="5ED9CDFC" w14:textId="1485CCD6" w:rsidR="001950C9" w:rsidRPr="004E5074" w:rsidRDefault="00580C81" w:rsidP="007122BC">
            <w:pPr>
              <w:numPr>
                <w:ilvl w:val="1"/>
                <w:numId w:val="32"/>
              </w:numPr>
              <w:autoSpaceDE w:val="0"/>
              <w:autoSpaceDN w:val="0"/>
              <w:adjustRightInd w:val="0"/>
              <w:spacing w:after="40"/>
              <w:ind w:left="1019"/>
              <w:jc w:val="both"/>
              <w:rPr>
                <w:rFonts w:cs="Calibri"/>
                <w:b/>
                <w:color w:val="FFFFFF" w:themeColor="background1"/>
                <w:sz w:val="18"/>
                <w:szCs w:val="18"/>
              </w:rPr>
            </w:pPr>
            <w:r w:rsidRPr="004E5074">
              <w:rPr>
                <w:rFonts w:cs="Calibri"/>
                <w:color w:val="FFFFFF" w:themeColor="background1"/>
                <w:sz w:val="18"/>
                <w:szCs w:val="18"/>
              </w:rPr>
              <w:t>t</w:t>
            </w:r>
            <w:r w:rsidR="001950C9" w:rsidRPr="004E5074">
              <w:rPr>
                <w:rFonts w:cs="Calibri"/>
                <w:color w:val="FFFFFF" w:themeColor="background1"/>
                <w:sz w:val="18"/>
                <w:szCs w:val="18"/>
              </w:rPr>
              <w:t>otal comprehensive income.</w:t>
            </w:r>
          </w:p>
        </w:tc>
      </w:tr>
      <w:tr w:rsidR="001950C9" w:rsidRPr="00CF7E1B" w14:paraId="4C98F024" w14:textId="77777777" w:rsidTr="0004564D">
        <w:trPr>
          <w:trHeight w:val="283"/>
        </w:trPr>
        <w:tc>
          <w:tcPr>
            <w:tcW w:w="1560" w:type="dxa"/>
            <w:tcBorders>
              <w:left w:val="single" w:sz="2" w:space="0" w:color="auto"/>
              <w:right w:val="single" w:sz="2" w:space="0" w:color="auto"/>
            </w:tcBorders>
          </w:tcPr>
          <w:p w14:paraId="3AA00930" w14:textId="77777777" w:rsidR="001950C9" w:rsidRPr="004E5074" w:rsidRDefault="001950C9" w:rsidP="00063FFB">
            <w:pPr>
              <w:pStyle w:val="TableReference"/>
              <w:tabs>
                <w:tab w:val="left" w:pos="3306"/>
              </w:tabs>
              <w:spacing w:before="60"/>
              <w:rPr>
                <w:rFonts w:cs="Calibri"/>
                <w:color w:val="7030A0"/>
                <w:sz w:val="14"/>
              </w:rPr>
            </w:pPr>
          </w:p>
        </w:tc>
        <w:tc>
          <w:tcPr>
            <w:tcW w:w="8930" w:type="dxa"/>
            <w:tcBorders>
              <w:left w:val="single" w:sz="2" w:space="0" w:color="auto"/>
            </w:tcBorders>
            <w:shd w:val="clear" w:color="auto" w:fill="7030A0"/>
          </w:tcPr>
          <w:p w14:paraId="288D378D" w14:textId="77777777" w:rsidR="001950C9" w:rsidRPr="00B330CA" w:rsidRDefault="001950C9" w:rsidP="006A1B10">
            <w:pPr>
              <w:autoSpaceDE w:val="0"/>
              <w:autoSpaceDN w:val="0"/>
              <w:adjustRightInd w:val="0"/>
              <w:spacing w:before="120"/>
              <w:jc w:val="both"/>
              <w:rPr>
                <w:rFonts w:cs="Calibri"/>
                <w:b/>
                <w:color w:val="FFFFFF" w:themeColor="background1"/>
                <w:sz w:val="20"/>
                <w:szCs w:val="20"/>
              </w:rPr>
            </w:pPr>
            <w:r w:rsidRPr="00B330CA">
              <w:rPr>
                <w:rFonts w:cs="Calibri"/>
                <w:b/>
                <w:color w:val="FFFFFF" w:themeColor="background1"/>
                <w:sz w:val="20"/>
                <w:szCs w:val="20"/>
              </w:rPr>
              <w:t xml:space="preserve">Significant Restrictions on the </w:t>
            </w:r>
            <w:r w:rsidR="00580C81" w:rsidRPr="00B330CA">
              <w:rPr>
                <w:rFonts w:cs="Calibri"/>
                <w:b/>
                <w:color w:val="FFFFFF" w:themeColor="background1"/>
                <w:sz w:val="20"/>
                <w:szCs w:val="20"/>
              </w:rPr>
              <w:t>A</w:t>
            </w:r>
            <w:r w:rsidRPr="00B330CA">
              <w:rPr>
                <w:rFonts w:cs="Calibri"/>
                <w:b/>
                <w:color w:val="FFFFFF" w:themeColor="background1"/>
                <w:sz w:val="20"/>
                <w:szCs w:val="20"/>
              </w:rPr>
              <w:t xml:space="preserve">bility of </w:t>
            </w:r>
            <w:r w:rsidR="00580C81" w:rsidRPr="00B330CA">
              <w:rPr>
                <w:rFonts w:cs="Calibri"/>
                <w:b/>
                <w:color w:val="FFFFFF" w:themeColor="background1"/>
                <w:sz w:val="20"/>
                <w:szCs w:val="20"/>
              </w:rPr>
              <w:t>J</w:t>
            </w:r>
            <w:r w:rsidRPr="00B330CA">
              <w:rPr>
                <w:rFonts w:cs="Calibri"/>
                <w:b/>
                <w:color w:val="FFFFFF" w:themeColor="background1"/>
                <w:sz w:val="20"/>
                <w:szCs w:val="20"/>
              </w:rPr>
              <w:t xml:space="preserve">oint </w:t>
            </w:r>
            <w:r w:rsidR="00580C81" w:rsidRPr="00B330CA">
              <w:rPr>
                <w:rFonts w:cs="Calibri"/>
                <w:b/>
                <w:color w:val="FFFFFF" w:themeColor="background1"/>
                <w:sz w:val="20"/>
                <w:szCs w:val="20"/>
              </w:rPr>
              <w:t>V</w:t>
            </w:r>
            <w:r w:rsidRPr="00B330CA">
              <w:rPr>
                <w:rFonts w:cs="Calibri"/>
                <w:b/>
                <w:color w:val="FFFFFF" w:themeColor="background1"/>
                <w:sz w:val="20"/>
                <w:szCs w:val="20"/>
              </w:rPr>
              <w:t xml:space="preserve">entures to </w:t>
            </w:r>
            <w:r w:rsidR="00580C81" w:rsidRPr="00B330CA">
              <w:rPr>
                <w:rFonts w:cs="Calibri"/>
                <w:b/>
                <w:color w:val="FFFFFF" w:themeColor="background1"/>
                <w:sz w:val="20"/>
                <w:szCs w:val="20"/>
              </w:rPr>
              <w:t>T</w:t>
            </w:r>
            <w:r w:rsidRPr="00B330CA">
              <w:rPr>
                <w:rFonts w:cs="Calibri"/>
                <w:b/>
                <w:color w:val="FFFFFF" w:themeColor="background1"/>
                <w:sz w:val="20"/>
                <w:szCs w:val="20"/>
              </w:rPr>
              <w:t xml:space="preserve">ransfer </w:t>
            </w:r>
            <w:r w:rsidR="00580C81" w:rsidRPr="00B330CA">
              <w:rPr>
                <w:rFonts w:cs="Calibri"/>
                <w:b/>
                <w:color w:val="FFFFFF" w:themeColor="background1"/>
                <w:sz w:val="20"/>
                <w:szCs w:val="20"/>
              </w:rPr>
              <w:t>F</w:t>
            </w:r>
            <w:r w:rsidRPr="00B330CA">
              <w:rPr>
                <w:rFonts w:cs="Calibri"/>
                <w:b/>
                <w:color w:val="FFFFFF" w:themeColor="background1"/>
                <w:sz w:val="20"/>
                <w:szCs w:val="20"/>
              </w:rPr>
              <w:t xml:space="preserve">unds to the </w:t>
            </w:r>
            <w:r w:rsidR="00580C81" w:rsidRPr="00B330CA">
              <w:rPr>
                <w:rFonts w:cs="Calibri"/>
                <w:b/>
                <w:color w:val="FFFFFF" w:themeColor="background1"/>
                <w:sz w:val="20"/>
                <w:szCs w:val="20"/>
              </w:rPr>
              <w:t>A</w:t>
            </w:r>
            <w:r w:rsidRPr="00B330CA">
              <w:rPr>
                <w:rFonts w:cs="Calibri"/>
                <w:b/>
                <w:color w:val="FFFFFF" w:themeColor="background1"/>
                <w:sz w:val="20"/>
                <w:szCs w:val="20"/>
              </w:rPr>
              <w:t>gency</w:t>
            </w:r>
          </w:p>
        </w:tc>
      </w:tr>
      <w:tr w:rsidR="001950C9" w:rsidRPr="00CF7E1B" w14:paraId="6009C9E4" w14:textId="77777777" w:rsidTr="0004564D">
        <w:trPr>
          <w:trHeight w:val="283"/>
        </w:trPr>
        <w:tc>
          <w:tcPr>
            <w:tcW w:w="1560" w:type="dxa"/>
            <w:tcBorders>
              <w:left w:val="single" w:sz="2" w:space="0" w:color="auto"/>
              <w:right w:val="single" w:sz="2" w:space="0" w:color="auto"/>
            </w:tcBorders>
          </w:tcPr>
          <w:p w14:paraId="22417FB4" w14:textId="77777777" w:rsidR="001950C9" w:rsidRPr="004E5074" w:rsidRDefault="001950C9" w:rsidP="00063FFB">
            <w:pPr>
              <w:pStyle w:val="TableReference"/>
              <w:tabs>
                <w:tab w:val="left" w:pos="3306"/>
              </w:tabs>
              <w:spacing w:before="60"/>
              <w:rPr>
                <w:rFonts w:cs="Calibri"/>
                <w:color w:val="7030A0"/>
                <w:sz w:val="14"/>
              </w:rPr>
            </w:pPr>
            <w:r w:rsidRPr="004E5074">
              <w:rPr>
                <w:rFonts w:cs="Calibri"/>
                <w:color w:val="7030A0"/>
                <w:sz w:val="14"/>
              </w:rPr>
              <w:t>AASB 12.22(a)</w:t>
            </w:r>
          </w:p>
        </w:tc>
        <w:tc>
          <w:tcPr>
            <w:tcW w:w="8930" w:type="dxa"/>
            <w:tcBorders>
              <w:left w:val="single" w:sz="2" w:space="0" w:color="auto"/>
            </w:tcBorders>
            <w:shd w:val="clear" w:color="auto" w:fill="7030A0"/>
          </w:tcPr>
          <w:p w14:paraId="45CCE213" w14:textId="77777777" w:rsidR="001950C9" w:rsidRPr="004E5074" w:rsidRDefault="001950C9" w:rsidP="005D1A56">
            <w:pPr>
              <w:autoSpaceDE w:val="0"/>
              <w:autoSpaceDN w:val="0"/>
              <w:adjustRightInd w:val="0"/>
              <w:spacing w:after="120"/>
              <w:jc w:val="both"/>
              <w:rPr>
                <w:rFonts w:cs="Calibri"/>
                <w:color w:val="FFFFFF" w:themeColor="background1"/>
                <w:sz w:val="18"/>
                <w:szCs w:val="18"/>
              </w:rPr>
            </w:pPr>
            <w:r w:rsidRPr="004E5074">
              <w:rPr>
                <w:rFonts w:cs="Calibri"/>
                <w:color w:val="FFFFFF" w:themeColor="background1"/>
                <w:sz w:val="18"/>
                <w:szCs w:val="18"/>
              </w:rPr>
              <w:t xml:space="preserve">An agency shall also disclose the nature and extent of any significant restrictions (e.g. resulting from borrowing arrangements, regulatory requirements or contractual arrangements between investors with joint control of or significant influence over a joint venture) on the ability of joint ventures to transfer funds to the agency in the form of cash dividends, or to repay loans or advances made by the agency. </w:t>
            </w:r>
          </w:p>
        </w:tc>
      </w:tr>
    </w:tbl>
    <w:p w14:paraId="140D5316" w14:textId="77777777" w:rsidR="00B330CA" w:rsidRDefault="00B330CA">
      <w:r>
        <w:br w:type="page"/>
      </w:r>
    </w:p>
    <w:tbl>
      <w:tblPr>
        <w:tblW w:w="10492" w:type="dxa"/>
        <w:tblInd w:w="-7" w:type="dxa"/>
        <w:shd w:val="clear" w:color="auto" w:fill="CCFFCC"/>
        <w:tblLayout w:type="fixed"/>
        <w:tblLook w:val="00A0" w:firstRow="1" w:lastRow="0" w:firstColumn="1" w:lastColumn="0" w:noHBand="0" w:noVBand="0"/>
      </w:tblPr>
      <w:tblGrid>
        <w:gridCol w:w="1561"/>
        <w:gridCol w:w="5735"/>
        <w:gridCol w:w="1494"/>
        <w:gridCol w:w="1702"/>
      </w:tblGrid>
      <w:tr w:rsidR="00B330CA" w:rsidRPr="00CF7E1B" w14:paraId="47BAA86F" w14:textId="77777777" w:rsidTr="0004564D">
        <w:trPr>
          <w:trHeight w:val="283"/>
        </w:trPr>
        <w:tc>
          <w:tcPr>
            <w:tcW w:w="1561" w:type="dxa"/>
            <w:tcBorders>
              <w:left w:val="single" w:sz="2" w:space="0" w:color="auto"/>
              <w:right w:val="single" w:sz="2" w:space="0" w:color="auto"/>
            </w:tcBorders>
          </w:tcPr>
          <w:p w14:paraId="0DF6EAA1" w14:textId="77777777" w:rsidR="00B330CA" w:rsidRPr="004E5074" w:rsidRDefault="00B330CA" w:rsidP="00DA5473">
            <w:pPr>
              <w:pStyle w:val="TableReference"/>
              <w:tabs>
                <w:tab w:val="left" w:pos="3306"/>
              </w:tabs>
              <w:spacing w:after="240"/>
              <w:rPr>
                <w:rFonts w:cs="Calibri"/>
                <w:b/>
                <w:color w:val="7030A0"/>
                <w:sz w:val="14"/>
              </w:rPr>
            </w:pPr>
            <w:r w:rsidRPr="004E5074">
              <w:rPr>
                <w:rFonts w:cs="Calibri"/>
                <w:color w:val="7030A0"/>
                <w:sz w:val="14"/>
              </w:rPr>
              <w:t xml:space="preserve"> </w:t>
            </w:r>
            <w:r w:rsidRPr="00F33E86">
              <w:rPr>
                <w:rFonts w:cs="Calibri"/>
                <w:b/>
                <w:color w:val="7030A0"/>
                <w:sz w:val="22"/>
                <w:szCs w:val="22"/>
              </w:rPr>
              <w:t>Reference</w:t>
            </w:r>
          </w:p>
        </w:tc>
        <w:tc>
          <w:tcPr>
            <w:tcW w:w="8931" w:type="dxa"/>
            <w:gridSpan w:val="3"/>
            <w:tcBorders>
              <w:left w:val="single" w:sz="2" w:space="0" w:color="auto"/>
            </w:tcBorders>
            <w:shd w:val="clear" w:color="auto" w:fill="7030A0"/>
          </w:tcPr>
          <w:p w14:paraId="5493DE0E" w14:textId="324DD0D6" w:rsidR="00B330CA" w:rsidRPr="007D2948" w:rsidRDefault="00B330CA" w:rsidP="00DA5473">
            <w:pPr>
              <w:pStyle w:val="CommentaryTitle"/>
              <w:pageBreakBefore w:val="0"/>
              <w:tabs>
                <w:tab w:val="left" w:pos="3306"/>
              </w:tabs>
              <w:spacing w:before="0" w:after="240"/>
              <w:rPr>
                <w:rFonts w:cs="Calibri"/>
                <w:color w:val="FFFFFF" w:themeColor="background1"/>
                <w:sz w:val="28"/>
                <w:szCs w:val="28"/>
              </w:rPr>
            </w:pPr>
            <w:r w:rsidRPr="007D2948">
              <w:rPr>
                <w:rFonts w:cs="Calibri"/>
                <w:color w:val="FFFFFF" w:themeColor="background1"/>
                <w:sz w:val="28"/>
                <w:szCs w:val="28"/>
              </w:rPr>
              <w:t xml:space="preserve">Commentary </w:t>
            </w:r>
            <w:r w:rsidRPr="007D2948">
              <w:rPr>
                <w:rFonts w:cs="Calibri"/>
                <w:color w:val="FFFFFF" w:themeColor="background1"/>
                <w:sz w:val="28"/>
                <w:szCs w:val="28"/>
              </w:rPr>
              <w:sym w:font="Symbol" w:char="F02D"/>
            </w:r>
            <w:r w:rsidRPr="007D2948">
              <w:rPr>
                <w:rFonts w:cs="Calibri"/>
                <w:color w:val="FFFFFF" w:themeColor="background1"/>
                <w:sz w:val="28"/>
                <w:szCs w:val="28"/>
              </w:rPr>
              <w:t xml:space="preserve"> Note 34: Interest in a Joint Venture</w:t>
            </w:r>
            <w:r>
              <w:rPr>
                <w:rFonts w:cs="Calibri"/>
                <w:color w:val="FFFFFF" w:themeColor="background1"/>
                <w:sz w:val="28"/>
                <w:szCs w:val="28"/>
              </w:rPr>
              <w:t xml:space="preserve"> – Continued </w:t>
            </w:r>
          </w:p>
        </w:tc>
      </w:tr>
      <w:tr w:rsidR="001950C9" w:rsidRPr="00CF7E1B" w14:paraId="0998C3AF" w14:textId="77777777" w:rsidTr="0004564D">
        <w:trPr>
          <w:trHeight w:val="283"/>
        </w:trPr>
        <w:tc>
          <w:tcPr>
            <w:tcW w:w="1561" w:type="dxa"/>
            <w:tcBorders>
              <w:left w:val="single" w:sz="2" w:space="0" w:color="auto"/>
              <w:right w:val="single" w:sz="2" w:space="0" w:color="auto"/>
            </w:tcBorders>
          </w:tcPr>
          <w:p w14:paraId="72932B9B" w14:textId="33DBD87F" w:rsidR="001950C9" w:rsidRPr="00B330CA" w:rsidRDefault="001950C9" w:rsidP="00063FFB">
            <w:pPr>
              <w:pStyle w:val="TableReference"/>
              <w:tabs>
                <w:tab w:val="left" w:pos="3306"/>
              </w:tabs>
              <w:spacing w:before="60"/>
              <w:rPr>
                <w:rFonts w:cs="Calibri"/>
                <w:strike/>
                <w:color w:val="7030A0"/>
                <w:sz w:val="20"/>
                <w:szCs w:val="20"/>
              </w:rPr>
            </w:pPr>
          </w:p>
        </w:tc>
        <w:tc>
          <w:tcPr>
            <w:tcW w:w="8931" w:type="dxa"/>
            <w:gridSpan w:val="3"/>
            <w:tcBorders>
              <w:left w:val="single" w:sz="2" w:space="0" w:color="auto"/>
            </w:tcBorders>
            <w:shd w:val="clear" w:color="auto" w:fill="7030A0"/>
          </w:tcPr>
          <w:p w14:paraId="12FCDC36" w14:textId="77777777" w:rsidR="001950C9" w:rsidRPr="00B330CA" w:rsidRDefault="001950C9" w:rsidP="006A1B10">
            <w:pPr>
              <w:autoSpaceDE w:val="0"/>
              <w:autoSpaceDN w:val="0"/>
              <w:adjustRightInd w:val="0"/>
              <w:spacing w:before="120"/>
              <w:jc w:val="both"/>
              <w:rPr>
                <w:rFonts w:cs="Calibri"/>
                <w:b/>
                <w:color w:val="FFFFFF" w:themeColor="background1"/>
                <w:sz w:val="20"/>
                <w:szCs w:val="20"/>
              </w:rPr>
            </w:pPr>
            <w:r w:rsidRPr="00B330CA">
              <w:rPr>
                <w:rFonts w:cs="Calibri"/>
                <w:b/>
                <w:color w:val="FFFFFF" w:themeColor="background1"/>
                <w:sz w:val="20"/>
                <w:szCs w:val="20"/>
              </w:rPr>
              <w:t xml:space="preserve">Risks </w:t>
            </w:r>
            <w:r w:rsidR="005A6256" w:rsidRPr="00B330CA">
              <w:rPr>
                <w:rFonts w:cs="Calibri"/>
                <w:b/>
                <w:color w:val="FFFFFF" w:themeColor="background1"/>
                <w:sz w:val="20"/>
                <w:szCs w:val="20"/>
              </w:rPr>
              <w:t>A</w:t>
            </w:r>
            <w:r w:rsidRPr="00B330CA">
              <w:rPr>
                <w:rFonts w:cs="Calibri"/>
                <w:b/>
                <w:color w:val="FFFFFF" w:themeColor="background1"/>
                <w:sz w:val="20"/>
                <w:szCs w:val="20"/>
              </w:rPr>
              <w:t xml:space="preserve">ssociated with an </w:t>
            </w:r>
            <w:r w:rsidR="005A6256" w:rsidRPr="00B330CA">
              <w:rPr>
                <w:rFonts w:cs="Calibri"/>
                <w:b/>
                <w:color w:val="FFFFFF" w:themeColor="background1"/>
                <w:sz w:val="20"/>
                <w:szCs w:val="20"/>
              </w:rPr>
              <w:t>A</w:t>
            </w:r>
            <w:r w:rsidRPr="00B330CA">
              <w:rPr>
                <w:rFonts w:cs="Calibri"/>
                <w:b/>
                <w:color w:val="FFFFFF" w:themeColor="background1"/>
                <w:sz w:val="20"/>
                <w:szCs w:val="20"/>
              </w:rPr>
              <w:t xml:space="preserve">gency’s </w:t>
            </w:r>
            <w:r w:rsidR="005A6256" w:rsidRPr="00B330CA">
              <w:rPr>
                <w:rFonts w:cs="Calibri"/>
                <w:b/>
                <w:color w:val="FFFFFF" w:themeColor="background1"/>
                <w:sz w:val="20"/>
                <w:szCs w:val="20"/>
              </w:rPr>
              <w:t>I</w:t>
            </w:r>
            <w:r w:rsidRPr="00B330CA">
              <w:rPr>
                <w:rFonts w:cs="Calibri"/>
                <w:b/>
                <w:color w:val="FFFFFF" w:themeColor="background1"/>
                <w:sz w:val="20"/>
                <w:szCs w:val="20"/>
              </w:rPr>
              <w:t xml:space="preserve">nterests in </w:t>
            </w:r>
            <w:r w:rsidR="005A6256" w:rsidRPr="00B330CA">
              <w:rPr>
                <w:rFonts w:cs="Calibri"/>
                <w:b/>
                <w:color w:val="FFFFFF" w:themeColor="background1"/>
                <w:sz w:val="20"/>
                <w:szCs w:val="20"/>
              </w:rPr>
              <w:t>J</w:t>
            </w:r>
            <w:r w:rsidRPr="00B330CA">
              <w:rPr>
                <w:rFonts w:cs="Calibri"/>
                <w:b/>
                <w:color w:val="FFFFFF" w:themeColor="background1"/>
                <w:sz w:val="20"/>
                <w:szCs w:val="20"/>
              </w:rPr>
              <w:t xml:space="preserve">oint </w:t>
            </w:r>
            <w:r w:rsidR="005A6256" w:rsidRPr="00B330CA">
              <w:rPr>
                <w:rFonts w:cs="Calibri"/>
                <w:b/>
                <w:color w:val="FFFFFF" w:themeColor="background1"/>
                <w:sz w:val="20"/>
                <w:szCs w:val="20"/>
              </w:rPr>
              <w:t>V</w:t>
            </w:r>
            <w:r w:rsidRPr="00B330CA">
              <w:rPr>
                <w:rFonts w:cs="Calibri"/>
                <w:b/>
                <w:color w:val="FFFFFF" w:themeColor="background1"/>
                <w:sz w:val="20"/>
                <w:szCs w:val="20"/>
              </w:rPr>
              <w:t>entures</w:t>
            </w:r>
          </w:p>
        </w:tc>
      </w:tr>
      <w:tr w:rsidR="001950C9" w:rsidRPr="00CF7E1B" w14:paraId="359683B0" w14:textId="77777777" w:rsidTr="0004564D">
        <w:trPr>
          <w:trHeight w:val="283"/>
        </w:trPr>
        <w:tc>
          <w:tcPr>
            <w:tcW w:w="1561" w:type="dxa"/>
            <w:tcBorders>
              <w:left w:val="single" w:sz="2" w:space="0" w:color="auto"/>
              <w:right w:val="single" w:sz="2" w:space="0" w:color="auto"/>
            </w:tcBorders>
          </w:tcPr>
          <w:p w14:paraId="4497CFAA" w14:textId="6F487F02" w:rsidR="001950C9" w:rsidRPr="004E5074" w:rsidRDefault="001950C9" w:rsidP="00063FFB">
            <w:pPr>
              <w:pStyle w:val="TableReference"/>
              <w:tabs>
                <w:tab w:val="left" w:pos="3306"/>
              </w:tabs>
              <w:spacing w:before="60"/>
              <w:rPr>
                <w:rFonts w:cs="Calibri"/>
                <w:color w:val="7030A0"/>
                <w:sz w:val="14"/>
              </w:rPr>
            </w:pPr>
            <w:r w:rsidRPr="004E5074">
              <w:rPr>
                <w:rFonts w:cs="Calibri"/>
                <w:color w:val="7030A0"/>
                <w:sz w:val="14"/>
              </w:rPr>
              <w:t>AASB 12. 23(a</w:t>
            </w:r>
            <w:r w:rsidR="00C958E9" w:rsidRPr="004E5074">
              <w:rPr>
                <w:rFonts w:cs="Calibri"/>
                <w:color w:val="7030A0"/>
                <w:sz w:val="14"/>
              </w:rPr>
              <w:t>), B</w:t>
            </w:r>
            <w:r w:rsidRPr="004E5074">
              <w:rPr>
                <w:rFonts w:cs="Calibri"/>
                <w:color w:val="7030A0"/>
                <w:sz w:val="14"/>
              </w:rPr>
              <w:t>(18)</w:t>
            </w:r>
          </w:p>
          <w:p w14:paraId="0F06845A" w14:textId="77777777" w:rsidR="001950C9" w:rsidRPr="004E5074" w:rsidRDefault="001950C9" w:rsidP="00063FFB">
            <w:pPr>
              <w:pStyle w:val="TableReference"/>
              <w:tabs>
                <w:tab w:val="left" w:pos="3306"/>
              </w:tabs>
              <w:spacing w:before="60"/>
              <w:rPr>
                <w:rFonts w:cs="Calibri"/>
                <w:strike/>
                <w:color w:val="7030A0"/>
                <w:sz w:val="14"/>
              </w:rPr>
            </w:pPr>
            <w:r w:rsidRPr="004E5074">
              <w:rPr>
                <w:rFonts w:cs="Calibri"/>
                <w:color w:val="7030A0"/>
                <w:sz w:val="14"/>
              </w:rPr>
              <w:t>AASB 12 (B19)(a), (b)</w:t>
            </w:r>
          </w:p>
        </w:tc>
        <w:tc>
          <w:tcPr>
            <w:tcW w:w="8931" w:type="dxa"/>
            <w:gridSpan w:val="3"/>
            <w:tcBorders>
              <w:left w:val="single" w:sz="2" w:space="0" w:color="auto"/>
            </w:tcBorders>
            <w:shd w:val="clear" w:color="auto" w:fill="7030A0"/>
          </w:tcPr>
          <w:p w14:paraId="08103123" w14:textId="11E9A43F" w:rsidR="001950C9" w:rsidRPr="004E5074" w:rsidRDefault="001950C9" w:rsidP="006225F5">
            <w:pPr>
              <w:autoSpaceDE w:val="0"/>
              <w:autoSpaceDN w:val="0"/>
              <w:adjustRightInd w:val="0"/>
              <w:spacing w:after="40"/>
              <w:jc w:val="both"/>
              <w:rPr>
                <w:rFonts w:cs="Calibri"/>
                <w:color w:val="FFFFFF" w:themeColor="background1"/>
                <w:sz w:val="18"/>
                <w:szCs w:val="18"/>
              </w:rPr>
            </w:pPr>
            <w:r w:rsidRPr="004E5074">
              <w:rPr>
                <w:rFonts w:cs="Calibri"/>
                <w:color w:val="FFFFFF" w:themeColor="background1"/>
                <w:sz w:val="18"/>
                <w:szCs w:val="18"/>
              </w:rPr>
              <w:t>Agencies should disclose commitments relating to its joint ventures (including its share of commitments made with other investors with joint control of a joint venture) separately from the amount of other commitments.</w:t>
            </w:r>
            <w:r w:rsidR="00FA7C77">
              <w:rPr>
                <w:rFonts w:cs="Calibri"/>
                <w:color w:val="FFFFFF" w:themeColor="background1"/>
                <w:sz w:val="18"/>
                <w:szCs w:val="18"/>
              </w:rPr>
              <w:t xml:space="preserve"> </w:t>
            </w:r>
            <w:r w:rsidRPr="004E5074">
              <w:rPr>
                <w:rFonts w:cs="Calibri"/>
                <w:color w:val="FFFFFF" w:themeColor="background1"/>
                <w:sz w:val="18"/>
                <w:szCs w:val="18"/>
              </w:rPr>
              <w:t>Examples of such commitments include:</w:t>
            </w:r>
          </w:p>
          <w:p w14:paraId="7039C748" w14:textId="77777777" w:rsidR="001950C9" w:rsidRPr="004E5074" w:rsidRDefault="001950C9"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unrecognised commitments to contribute funding or resources as a result of the constitution, capital intensive projects, unconditional purchase obligations, or unrecognised commitments to provide financial support; and</w:t>
            </w:r>
          </w:p>
          <w:p w14:paraId="739EFE81" w14:textId="77777777" w:rsidR="001950C9" w:rsidRPr="004E5074" w:rsidRDefault="001950C9" w:rsidP="00B330CA">
            <w:pPr>
              <w:pStyle w:val="Commentary-Bullet"/>
              <w:tabs>
                <w:tab w:val="clear" w:pos="502"/>
              </w:tabs>
              <w:spacing w:after="40"/>
              <w:ind w:left="604" w:hanging="454"/>
              <w:rPr>
                <w:rFonts w:cs="Calibri"/>
                <w:color w:val="FFFFFF" w:themeColor="background1"/>
                <w:sz w:val="18"/>
                <w:szCs w:val="18"/>
              </w:rPr>
            </w:pPr>
            <w:r w:rsidRPr="004E5074">
              <w:rPr>
                <w:rFonts w:cs="Calibri"/>
                <w:color w:val="FFFFFF" w:themeColor="background1"/>
                <w:sz w:val="18"/>
                <w:szCs w:val="18"/>
              </w:rPr>
              <w:t xml:space="preserve">unrecognised commitments to acquire another party’s ownership interest (or a portion of that ownership interest) in a joint venture if a particular event occurs or does not occur in the future. </w:t>
            </w:r>
          </w:p>
        </w:tc>
      </w:tr>
      <w:tr w:rsidR="001950C9" w:rsidRPr="00CF7E1B" w14:paraId="0F8B3590" w14:textId="77777777" w:rsidTr="0004564D">
        <w:trPr>
          <w:trHeight w:val="283"/>
        </w:trPr>
        <w:tc>
          <w:tcPr>
            <w:tcW w:w="1561" w:type="dxa"/>
            <w:tcBorders>
              <w:left w:val="single" w:sz="2" w:space="0" w:color="auto"/>
              <w:right w:val="single" w:sz="2" w:space="0" w:color="auto"/>
            </w:tcBorders>
          </w:tcPr>
          <w:p w14:paraId="6A46D545" w14:textId="77777777" w:rsidR="001950C9" w:rsidRPr="004E5074" w:rsidRDefault="001950C9" w:rsidP="00063FFB">
            <w:pPr>
              <w:pStyle w:val="TableReference"/>
              <w:tabs>
                <w:tab w:val="left" w:pos="3306"/>
              </w:tabs>
              <w:spacing w:before="60"/>
              <w:rPr>
                <w:rFonts w:cs="Calibri"/>
                <w:color w:val="7030A0"/>
                <w:sz w:val="14"/>
              </w:rPr>
            </w:pPr>
            <w:r w:rsidRPr="004E5074">
              <w:rPr>
                <w:rFonts w:cs="Calibri"/>
                <w:color w:val="7030A0"/>
                <w:sz w:val="14"/>
              </w:rPr>
              <w:t>AASB 12.23(b)</w:t>
            </w:r>
          </w:p>
        </w:tc>
        <w:tc>
          <w:tcPr>
            <w:tcW w:w="8931" w:type="dxa"/>
            <w:gridSpan w:val="3"/>
            <w:tcBorders>
              <w:left w:val="single" w:sz="2" w:space="0" w:color="auto"/>
            </w:tcBorders>
            <w:shd w:val="clear" w:color="auto" w:fill="7030A0"/>
          </w:tcPr>
          <w:p w14:paraId="3A70AC35" w14:textId="77777777" w:rsidR="001950C9" w:rsidRPr="004E5074" w:rsidRDefault="001950C9" w:rsidP="00A039D1">
            <w:pPr>
              <w:autoSpaceDE w:val="0"/>
              <w:autoSpaceDN w:val="0"/>
              <w:adjustRightInd w:val="0"/>
              <w:spacing w:after="120"/>
              <w:jc w:val="both"/>
              <w:rPr>
                <w:rFonts w:cs="Calibri"/>
                <w:strike/>
                <w:color w:val="FFFFFF" w:themeColor="background1"/>
                <w:sz w:val="18"/>
                <w:szCs w:val="18"/>
              </w:rPr>
            </w:pPr>
            <w:r w:rsidRPr="004E5074">
              <w:rPr>
                <w:rFonts w:cs="Calibri"/>
                <w:color w:val="FFFFFF" w:themeColor="background1"/>
                <w:sz w:val="18"/>
                <w:szCs w:val="18"/>
              </w:rPr>
              <w:t xml:space="preserve">Agencies should disclose contingent liabilities incurred relating to its interests in joint ventures (including its share of contingent liabilities incurred jointly with other investors with joint control of, or significant influence over the joint ventures), separately from the amount of other contingent liabilities, unless the probability of loss is remote. </w:t>
            </w:r>
          </w:p>
        </w:tc>
      </w:tr>
      <w:tr w:rsidR="005C79BC" w:rsidRPr="00CF7E1B" w14:paraId="506ABB9F" w14:textId="77777777" w:rsidTr="0004564D">
        <w:trPr>
          <w:trHeight w:val="283"/>
        </w:trPr>
        <w:tc>
          <w:tcPr>
            <w:tcW w:w="1561" w:type="dxa"/>
            <w:tcBorders>
              <w:left w:val="single" w:sz="2" w:space="0" w:color="auto"/>
              <w:right w:val="single" w:sz="2" w:space="0" w:color="auto"/>
            </w:tcBorders>
          </w:tcPr>
          <w:p w14:paraId="2AC080BF" w14:textId="77777777" w:rsidR="005C79BC" w:rsidRPr="004E5074" w:rsidRDefault="005C79BC" w:rsidP="00063FFB">
            <w:pPr>
              <w:pStyle w:val="TableReference"/>
              <w:tabs>
                <w:tab w:val="left" w:pos="3306"/>
              </w:tabs>
              <w:spacing w:before="60"/>
              <w:rPr>
                <w:rFonts w:cs="Calibri"/>
                <w:color w:val="7030A0"/>
                <w:sz w:val="16"/>
                <w:szCs w:val="16"/>
              </w:rPr>
            </w:pPr>
          </w:p>
        </w:tc>
        <w:tc>
          <w:tcPr>
            <w:tcW w:w="8931" w:type="dxa"/>
            <w:gridSpan w:val="3"/>
            <w:tcBorders>
              <w:left w:val="single" w:sz="2" w:space="0" w:color="auto"/>
            </w:tcBorders>
            <w:shd w:val="clear" w:color="auto" w:fill="7030A0"/>
          </w:tcPr>
          <w:p w14:paraId="3617F6FB" w14:textId="0B7DD75B" w:rsidR="005C79BC" w:rsidRPr="00B330CA" w:rsidRDefault="00C958E9" w:rsidP="005C79BC">
            <w:pPr>
              <w:autoSpaceDE w:val="0"/>
              <w:autoSpaceDN w:val="0"/>
              <w:adjustRightInd w:val="0"/>
              <w:spacing w:before="120"/>
              <w:jc w:val="both"/>
              <w:rPr>
                <w:rFonts w:cs="Calibri"/>
                <w:b/>
                <w:bCs/>
                <w:color w:val="FFFFFF" w:themeColor="background1"/>
                <w:sz w:val="20"/>
                <w:szCs w:val="20"/>
              </w:rPr>
            </w:pPr>
            <w:r w:rsidRPr="00B330CA">
              <w:rPr>
                <w:rFonts w:cs="Calibri"/>
                <w:b/>
                <w:bCs/>
                <w:color w:val="FFFFFF" w:themeColor="background1"/>
                <w:sz w:val="20"/>
                <w:szCs w:val="20"/>
              </w:rPr>
              <w:t>Territory</w:t>
            </w:r>
            <w:r w:rsidR="005C79BC" w:rsidRPr="00B330CA">
              <w:rPr>
                <w:rFonts w:cs="Calibri"/>
                <w:b/>
                <w:bCs/>
                <w:color w:val="FFFFFF" w:themeColor="background1"/>
                <w:sz w:val="20"/>
                <w:szCs w:val="20"/>
              </w:rPr>
              <w:t xml:space="preserve"> Authority Commentary</w:t>
            </w:r>
          </w:p>
        </w:tc>
      </w:tr>
      <w:tr w:rsidR="005C79BC" w:rsidRPr="00CF7E1B" w14:paraId="001FE2BE" w14:textId="77777777" w:rsidTr="0004564D">
        <w:trPr>
          <w:trHeight w:val="283"/>
        </w:trPr>
        <w:tc>
          <w:tcPr>
            <w:tcW w:w="1561" w:type="dxa"/>
            <w:tcBorders>
              <w:left w:val="single" w:sz="2" w:space="0" w:color="auto"/>
              <w:right w:val="single" w:sz="2" w:space="0" w:color="auto"/>
            </w:tcBorders>
          </w:tcPr>
          <w:p w14:paraId="0EC2BA02" w14:textId="77777777" w:rsidR="005C79BC" w:rsidRPr="004E5074" w:rsidRDefault="005C79BC" w:rsidP="00063FFB">
            <w:pPr>
              <w:pStyle w:val="TableReference"/>
              <w:tabs>
                <w:tab w:val="left" w:pos="3306"/>
              </w:tabs>
              <w:spacing w:before="60"/>
              <w:rPr>
                <w:rFonts w:cs="Calibri"/>
                <w:color w:val="7030A0"/>
                <w:sz w:val="16"/>
                <w:szCs w:val="16"/>
              </w:rPr>
            </w:pPr>
          </w:p>
        </w:tc>
        <w:tc>
          <w:tcPr>
            <w:tcW w:w="8931" w:type="dxa"/>
            <w:gridSpan w:val="3"/>
            <w:tcBorders>
              <w:left w:val="single" w:sz="2" w:space="0" w:color="auto"/>
            </w:tcBorders>
            <w:shd w:val="clear" w:color="auto" w:fill="7030A0"/>
          </w:tcPr>
          <w:p w14:paraId="5F66A6F5" w14:textId="616F74C0" w:rsidR="005C79BC" w:rsidRPr="004E5074" w:rsidRDefault="005C79BC" w:rsidP="00A039D1">
            <w:pPr>
              <w:autoSpaceDE w:val="0"/>
              <w:autoSpaceDN w:val="0"/>
              <w:adjustRightInd w:val="0"/>
              <w:spacing w:after="120"/>
              <w:jc w:val="both"/>
              <w:rPr>
                <w:rFonts w:cs="Calibri"/>
                <w:color w:val="FFFFFF" w:themeColor="background1"/>
                <w:sz w:val="18"/>
                <w:szCs w:val="18"/>
              </w:rPr>
            </w:pPr>
            <w:r w:rsidRPr="004E5074">
              <w:rPr>
                <w:rFonts w:cs="Calibri"/>
                <w:color w:val="FFFFFF" w:themeColor="background1"/>
                <w:sz w:val="18"/>
                <w:szCs w:val="18"/>
              </w:rPr>
              <w:t>For-profit territory authorities with interests in a joint venture (which operates on a for-profit basis), may likely be required to pay income tax. Where this is the case, the operating profit/(loss), both before and after income tax, should be disclosed.</w:t>
            </w:r>
          </w:p>
        </w:tc>
      </w:tr>
      <w:tr w:rsidR="000144FF" w:rsidRPr="00CF7E1B" w14:paraId="46593E1E"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28770FA0" w14:textId="442C4218" w:rsidR="000144FF" w:rsidRPr="00C85324" w:rsidRDefault="000144FF" w:rsidP="005B1145">
            <w:pPr>
              <w:pStyle w:val="TableReference"/>
              <w:tabs>
                <w:tab w:val="left" w:pos="3306"/>
              </w:tabs>
              <w:spacing w:before="240" w:after="240"/>
              <w:rPr>
                <w:rFonts w:cs="Calibri"/>
                <w:b/>
                <w:color w:val="7030A0"/>
                <w:sz w:val="22"/>
                <w:szCs w:val="22"/>
              </w:rPr>
            </w:pPr>
            <w:bookmarkStart w:id="742" w:name="JointContOperat" w:colFirst="1" w:colLast="1"/>
          </w:p>
        </w:tc>
        <w:tc>
          <w:tcPr>
            <w:tcW w:w="8931" w:type="dxa"/>
            <w:gridSpan w:val="3"/>
            <w:tcBorders>
              <w:top w:val="nil"/>
              <w:left w:val="single" w:sz="2" w:space="0" w:color="auto"/>
              <w:bottom w:val="nil"/>
              <w:right w:val="nil"/>
            </w:tcBorders>
            <w:vAlign w:val="bottom"/>
          </w:tcPr>
          <w:p w14:paraId="7A9F24F1" w14:textId="29BB0EA7" w:rsidR="000144FF" w:rsidRPr="00C85324" w:rsidRDefault="00F700E5" w:rsidP="00765B24">
            <w:pPr>
              <w:pStyle w:val="Heading1"/>
              <w:numPr>
                <w:ilvl w:val="0"/>
                <w:numId w:val="0"/>
              </w:numPr>
            </w:pPr>
            <w:bookmarkStart w:id="743" w:name="_Toc49224233"/>
            <w:bookmarkStart w:id="744" w:name="_Ref50365721"/>
            <w:bookmarkStart w:id="745" w:name="_Toc50440396"/>
            <w:bookmarkStart w:id="746" w:name="_Ref50524263"/>
            <w:bookmarkStart w:id="747" w:name="_Toc400627361"/>
            <w:bookmarkStart w:id="748" w:name="InterestJointOperation"/>
            <w:bookmarkStart w:id="749" w:name="_Toc98763175"/>
            <w:r w:rsidRPr="00C85324">
              <w:t xml:space="preserve">Note </w:t>
            </w:r>
            <w:r w:rsidR="00364EB1" w:rsidRPr="00C85324">
              <w:t>35</w:t>
            </w:r>
            <w:r w:rsidR="00794322" w:rsidRPr="00C85324">
              <w:rPr>
                <w:rFonts w:ascii="Arial Bold" w:hAnsi="Arial Bold"/>
              </w:rPr>
              <w:t>.</w:t>
            </w:r>
            <w:r w:rsidR="00FA7C77">
              <w:t xml:space="preserve"> </w:t>
            </w:r>
            <w:r w:rsidRPr="00C85324">
              <w:t xml:space="preserve"> </w:t>
            </w:r>
            <w:r w:rsidR="000144FF" w:rsidRPr="00C85324">
              <w:t>Interest in A Joint</w:t>
            </w:r>
            <w:r w:rsidR="00636663" w:rsidRPr="00C85324">
              <w:t xml:space="preserve"> </w:t>
            </w:r>
            <w:r w:rsidR="000144FF" w:rsidRPr="00C85324">
              <w:t>Operation</w:t>
            </w:r>
            <w:bookmarkEnd w:id="743"/>
            <w:bookmarkEnd w:id="744"/>
            <w:bookmarkEnd w:id="745"/>
            <w:bookmarkEnd w:id="746"/>
            <w:bookmarkEnd w:id="747"/>
            <w:bookmarkEnd w:id="748"/>
            <w:bookmarkEnd w:id="749"/>
          </w:p>
        </w:tc>
      </w:tr>
      <w:tr w:rsidR="00EA2CB7" w:rsidRPr="00CF7E1B" w14:paraId="59D6634D"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5BCDEE67" w14:textId="77777777" w:rsidR="00EA2CB7" w:rsidRPr="00C85324" w:rsidRDefault="00EA2CB7" w:rsidP="00EA2CB7">
            <w:pPr>
              <w:pStyle w:val="TableReference"/>
              <w:tabs>
                <w:tab w:val="left" w:pos="3306"/>
              </w:tabs>
              <w:rPr>
                <w:rFonts w:cs="Calibri"/>
                <w:b/>
                <w:color w:val="7030A0"/>
                <w:sz w:val="20"/>
                <w:szCs w:val="20"/>
              </w:rPr>
            </w:pPr>
          </w:p>
        </w:tc>
        <w:tc>
          <w:tcPr>
            <w:tcW w:w="8931" w:type="dxa"/>
            <w:gridSpan w:val="3"/>
            <w:tcBorders>
              <w:top w:val="nil"/>
              <w:left w:val="single" w:sz="2" w:space="0" w:color="auto"/>
              <w:bottom w:val="nil"/>
              <w:right w:val="nil"/>
            </w:tcBorders>
            <w:vAlign w:val="bottom"/>
          </w:tcPr>
          <w:p w14:paraId="063FD4E1" w14:textId="754E0185" w:rsidR="00EA2CB7" w:rsidRPr="00C85324" w:rsidRDefault="00D73DE9" w:rsidP="00D73DE9">
            <w:pPr>
              <w:rPr>
                <w:b/>
                <w:bCs/>
                <w:sz w:val="18"/>
                <w:szCs w:val="18"/>
              </w:rPr>
            </w:pPr>
            <w:r w:rsidRPr="00C85324">
              <w:rPr>
                <w:b/>
                <w:bCs/>
                <w:sz w:val="18"/>
                <w:szCs w:val="18"/>
              </w:rPr>
              <w:t>Description and Material Accounting Policies Relating to Interest in a Joint Operation</w:t>
            </w:r>
          </w:p>
        </w:tc>
      </w:tr>
      <w:tr w:rsidR="00D73DE9" w:rsidRPr="00CF7E1B" w14:paraId="21268892"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633211D3" w14:textId="38D1361D" w:rsidR="00D73DE9" w:rsidRPr="00C85324" w:rsidRDefault="00D73DE9" w:rsidP="00EA2CB7">
            <w:pPr>
              <w:pStyle w:val="TableReference"/>
              <w:tabs>
                <w:tab w:val="left" w:pos="3306"/>
              </w:tabs>
              <w:rPr>
                <w:rFonts w:cs="Calibri"/>
                <w:b/>
                <w:color w:val="7030A0"/>
                <w:sz w:val="20"/>
                <w:szCs w:val="20"/>
              </w:rPr>
            </w:pPr>
            <w:r w:rsidRPr="00C85324">
              <w:rPr>
                <w:color w:val="7030A0"/>
                <w:sz w:val="14"/>
              </w:rPr>
              <w:t>AASB11.14</w:t>
            </w:r>
          </w:p>
        </w:tc>
        <w:tc>
          <w:tcPr>
            <w:tcW w:w="8931" w:type="dxa"/>
            <w:gridSpan w:val="3"/>
            <w:tcBorders>
              <w:top w:val="nil"/>
              <w:left w:val="single" w:sz="2" w:space="0" w:color="auto"/>
              <w:bottom w:val="nil"/>
              <w:right w:val="nil"/>
            </w:tcBorders>
            <w:vAlign w:val="bottom"/>
          </w:tcPr>
          <w:p w14:paraId="12E2C830" w14:textId="59C7C547" w:rsidR="00D73DE9" w:rsidRPr="00C85324" w:rsidRDefault="00D73DE9" w:rsidP="00C6573A">
            <w:pPr>
              <w:pStyle w:val="Heading1"/>
              <w:numPr>
                <w:ilvl w:val="0"/>
                <w:numId w:val="0"/>
              </w:numPr>
              <w:spacing w:before="0" w:after="120"/>
              <w:jc w:val="both"/>
              <w:rPr>
                <w:rFonts w:ascii="Calibri" w:hAnsi="Calibri" w:cs="Calibri"/>
                <w:b w:val="0"/>
                <w:bCs w:val="0"/>
                <w:caps w:val="0"/>
                <w:sz w:val="18"/>
                <w:szCs w:val="18"/>
              </w:rPr>
            </w:pPr>
            <w:bookmarkStart w:id="750" w:name="_Toc98763176"/>
            <w:r w:rsidRPr="00C85324">
              <w:rPr>
                <w:rFonts w:ascii="Calibri" w:hAnsi="Calibri" w:cs="Calibri"/>
                <w:b w:val="0"/>
                <w:bCs w:val="0"/>
                <w:caps w:val="0"/>
                <w:sz w:val="18"/>
                <w:szCs w:val="18"/>
              </w:rPr>
              <w:t>Investments in joint arrangements are classified as either joint ventures or joint operations. The classification depends on the rights and obligations of the parties to the arrangement, rather than the legal structure of the joint arrangement.</w:t>
            </w:r>
            <w:bookmarkEnd w:id="750"/>
          </w:p>
        </w:tc>
      </w:tr>
      <w:bookmarkEnd w:id="742"/>
      <w:tr w:rsidR="000144FF" w:rsidRPr="00CF7E1B" w14:paraId="68756425"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68B0D572" w14:textId="77777777" w:rsidR="000144FF" w:rsidRPr="00C85324" w:rsidRDefault="003D25E1">
            <w:pPr>
              <w:pStyle w:val="TableReference"/>
              <w:tabs>
                <w:tab w:val="left" w:pos="3306"/>
              </w:tabs>
              <w:spacing w:before="60"/>
              <w:rPr>
                <w:rFonts w:cs="Calibri"/>
                <w:color w:val="7030A0"/>
                <w:sz w:val="14"/>
              </w:rPr>
            </w:pPr>
            <w:r w:rsidRPr="00C85324">
              <w:rPr>
                <w:rFonts w:cs="Calibri"/>
                <w:color w:val="7030A0"/>
                <w:sz w:val="14"/>
              </w:rPr>
              <w:t xml:space="preserve">ACT </w:t>
            </w:r>
            <w:r w:rsidR="001B6146" w:rsidRPr="00C85324">
              <w:rPr>
                <w:rFonts w:cs="Calibri"/>
                <w:color w:val="7030A0"/>
                <w:sz w:val="14"/>
              </w:rPr>
              <w:t>Disclosure</w:t>
            </w:r>
            <w:r w:rsidRPr="00C85324">
              <w:rPr>
                <w:rFonts w:cs="Calibri"/>
                <w:color w:val="7030A0"/>
                <w:sz w:val="14"/>
              </w:rPr>
              <w:t xml:space="preserve"> Policy</w:t>
            </w:r>
          </w:p>
          <w:p w14:paraId="62F95A5E" w14:textId="77777777" w:rsidR="00CC6645" w:rsidRPr="00C85324" w:rsidRDefault="00CC6645">
            <w:pPr>
              <w:pStyle w:val="TableReference"/>
              <w:tabs>
                <w:tab w:val="left" w:pos="3306"/>
              </w:tabs>
              <w:spacing w:before="60"/>
              <w:rPr>
                <w:rFonts w:cs="Calibri"/>
                <w:color w:val="7030A0"/>
                <w:sz w:val="16"/>
                <w:szCs w:val="16"/>
              </w:rPr>
            </w:pPr>
            <w:r w:rsidRPr="00C85324">
              <w:rPr>
                <w:rFonts w:cs="Calibri"/>
                <w:color w:val="7030A0"/>
                <w:sz w:val="14"/>
              </w:rPr>
              <w:t>AASB 12.21(a)</w:t>
            </w:r>
          </w:p>
        </w:tc>
        <w:tc>
          <w:tcPr>
            <w:tcW w:w="8931" w:type="dxa"/>
            <w:gridSpan w:val="3"/>
            <w:tcBorders>
              <w:top w:val="nil"/>
              <w:left w:val="single" w:sz="2" w:space="0" w:color="auto"/>
              <w:bottom w:val="nil"/>
              <w:right w:val="nil"/>
            </w:tcBorders>
            <w:vAlign w:val="bottom"/>
          </w:tcPr>
          <w:p w14:paraId="130CADD4" w14:textId="3404D330" w:rsidR="000144FF" w:rsidRPr="00C85324" w:rsidRDefault="000144FF" w:rsidP="00D73DE9">
            <w:pPr>
              <w:pStyle w:val="TableText"/>
              <w:spacing w:before="0" w:after="120"/>
              <w:jc w:val="both"/>
              <w:rPr>
                <w:rFonts w:cs="Calibri"/>
              </w:rPr>
            </w:pPr>
            <w:r w:rsidRPr="00C85324">
              <w:rPr>
                <w:rFonts w:cs="Calibri"/>
              </w:rPr>
              <w:t xml:space="preserve">The </w:t>
            </w:r>
            <w:r w:rsidR="00B96D8D" w:rsidRPr="00C85324">
              <w:rPr>
                <w:rFonts w:cs="Calibri"/>
              </w:rPr>
              <w:t>Agency</w:t>
            </w:r>
            <w:r w:rsidRPr="00C85324">
              <w:rPr>
                <w:rFonts w:cs="Calibri"/>
              </w:rPr>
              <w:t xml:space="preserve"> was involved in one joint</w:t>
            </w:r>
            <w:r w:rsidR="001950C9" w:rsidRPr="00C85324">
              <w:rPr>
                <w:rFonts w:cs="Calibri"/>
              </w:rPr>
              <w:t xml:space="preserve"> </w:t>
            </w:r>
            <w:r w:rsidRPr="00C85324">
              <w:rPr>
                <w:rFonts w:cs="Calibri"/>
              </w:rPr>
              <w:t xml:space="preserve">operation during </w:t>
            </w:r>
            <w:r w:rsidR="00631FF2" w:rsidRPr="00C85324">
              <w:rPr>
                <w:rFonts w:cs="Calibri"/>
              </w:rPr>
              <w:t>2022</w:t>
            </w:r>
            <w:r w:rsidRPr="00C85324">
              <w:rPr>
                <w:rFonts w:cs="Calibri"/>
              </w:rPr>
              <w:t xml:space="preserve"> called ‘Example Joint Operation’.</w:t>
            </w:r>
            <w:r w:rsidR="00FA7C77">
              <w:rPr>
                <w:rFonts w:cs="Calibri"/>
              </w:rPr>
              <w:t xml:space="preserve"> </w:t>
            </w:r>
            <w:r w:rsidRPr="00C85324">
              <w:rPr>
                <w:rFonts w:cs="Calibri"/>
              </w:rPr>
              <w:t>‘Example Joint Operation’s’ principal activity is the development and construction of footpaths, cycle paths and other infrastructure.</w:t>
            </w:r>
            <w:r w:rsidR="00FA7C77">
              <w:rPr>
                <w:rFonts w:cs="Calibri"/>
              </w:rPr>
              <w:t xml:space="preserve"> </w:t>
            </w:r>
            <w:r w:rsidR="00CA3FB8" w:rsidRPr="00C85324">
              <w:rPr>
                <w:rFonts w:cs="Calibri"/>
              </w:rPr>
              <w:t xml:space="preserve">The principal place of business is </w:t>
            </w:r>
            <w:r w:rsidR="00A559D2" w:rsidRPr="00C85324">
              <w:rPr>
                <w:rFonts w:cs="Calibri"/>
              </w:rPr>
              <w:t xml:space="preserve">the </w:t>
            </w:r>
            <w:r w:rsidR="00CA3FB8" w:rsidRPr="00C85324">
              <w:rPr>
                <w:rFonts w:cs="Calibri"/>
              </w:rPr>
              <w:t>Australian Capital Territory.</w:t>
            </w:r>
            <w:r w:rsidRPr="00C85324">
              <w:rPr>
                <w:rFonts w:cs="Calibri"/>
              </w:rPr>
              <w:t xml:space="preserve"> ‘Example </w:t>
            </w:r>
            <w:r w:rsidR="00441443" w:rsidRPr="00C85324">
              <w:rPr>
                <w:rFonts w:cs="Calibri"/>
              </w:rPr>
              <w:t>Private Company</w:t>
            </w:r>
            <w:r w:rsidRPr="00C85324">
              <w:rPr>
                <w:rFonts w:cs="Calibri"/>
              </w:rPr>
              <w:t>’ is the other venturer involved in ‘Example Joint Operation’.</w:t>
            </w:r>
            <w:r w:rsidR="00FA7C77">
              <w:rPr>
                <w:rFonts w:cs="Calibri"/>
              </w:rPr>
              <w:t xml:space="preserve"> </w:t>
            </w:r>
            <w:r w:rsidRPr="00C85324">
              <w:rPr>
                <w:rFonts w:cs="Calibri"/>
              </w:rPr>
              <w:t xml:space="preserve">The </w:t>
            </w:r>
            <w:r w:rsidR="00B96D8D" w:rsidRPr="00C85324">
              <w:rPr>
                <w:rFonts w:cs="Calibri"/>
              </w:rPr>
              <w:t>Agency</w:t>
            </w:r>
            <w:r w:rsidRPr="00C85324">
              <w:rPr>
                <w:rFonts w:cs="Calibri"/>
              </w:rPr>
              <w:t xml:space="preserve"> and ‘Example </w:t>
            </w:r>
            <w:r w:rsidR="00441443" w:rsidRPr="00C85324">
              <w:rPr>
                <w:rFonts w:cs="Calibri"/>
              </w:rPr>
              <w:t>Private Company</w:t>
            </w:r>
            <w:r w:rsidRPr="00C85324">
              <w:rPr>
                <w:rFonts w:cs="Calibri"/>
              </w:rPr>
              <w:t>’ each have a 50% interest in the output of the jointly controlled operation.</w:t>
            </w:r>
          </w:p>
        </w:tc>
      </w:tr>
      <w:tr w:rsidR="003C6984" w:rsidRPr="00CF7E1B" w14:paraId="46705179"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6D039970" w14:textId="3AF98A56" w:rsidR="003C6984" w:rsidRPr="00C85324" w:rsidRDefault="003C6984" w:rsidP="003C6984">
            <w:pPr>
              <w:pStyle w:val="TableReference"/>
              <w:tabs>
                <w:tab w:val="left" w:pos="3306"/>
              </w:tabs>
              <w:spacing w:before="60"/>
              <w:rPr>
                <w:rFonts w:cs="Calibri"/>
                <w:color w:val="7030A0"/>
                <w:sz w:val="14"/>
              </w:rPr>
            </w:pPr>
            <w:r w:rsidRPr="00C85324">
              <w:rPr>
                <w:color w:val="7030A0"/>
                <w:sz w:val="14"/>
              </w:rPr>
              <w:t>AASB 11.20</w:t>
            </w:r>
          </w:p>
        </w:tc>
        <w:tc>
          <w:tcPr>
            <w:tcW w:w="8931" w:type="dxa"/>
            <w:gridSpan w:val="3"/>
            <w:tcBorders>
              <w:top w:val="nil"/>
              <w:left w:val="single" w:sz="2" w:space="0" w:color="auto"/>
              <w:bottom w:val="nil"/>
              <w:right w:val="nil"/>
            </w:tcBorders>
            <w:vAlign w:val="bottom"/>
          </w:tcPr>
          <w:p w14:paraId="3E2256FF" w14:textId="219F8A82" w:rsidR="003C6984" w:rsidRPr="00C85324" w:rsidRDefault="003C6984" w:rsidP="003C6984">
            <w:pPr>
              <w:jc w:val="both"/>
              <w:rPr>
                <w:rFonts w:cs="Calibri"/>
                <w:sz w:val="18"/>
                <w:szCs w:val="18"/>
              </w:rPr>
            </w:pPr>
            <w:r w:rsidRPr="00C85324">
              <w:rPr>
                <w:rFonts w:cs="Calibri"/>
                <w:sz w:val="18"/>
                <w:szCs w:val="18"/>
              </w:rPr>
              <w:t>The share of assets, liabilities, income and expenses of the jointly controlled operation has been incorporated in the financial statements of the ‘</w:t>
            </w:r>
            <w:r w:rsidR="003B044B" w:rsidRPr="00C85324">
              <w:rPr>
                <w:sz w:val="18"/>
                <w:szCs w:val="18"/>
              </w:rPr>
              <w:t>Burley Griffin</w:t>
            </w:r>
            <w:r w:rsidR="003B044B" w:rsidRPr="00C85324">
              <w:rPr>
                <w:bCs/>
                <w:sz w:val="18"/>
                <w:szCs w:val="18"/>
              </w:rPr>
              <w:t xml:space="preserve"> </w:t>
            </w:r>
            <w:r w:rsidRPr="00C85324">
              <w:rPr>
                <w:rFonts w:cs="Calibri"/>
                <w:sz w:val="18"/>
                <w:szCs w:val="18"/>
              </w:rPr>
              <w:t>Agency’ under the appropriate headings.</w:t>
            </w:r>
            <w:r w:rsidR="00FA7C77">
              <w:rPr>
                <w:rFonts w:cs="Calibri"/>
                <w:sz w:val="18"/>
                <w:szCs w:val="18"/>
              </w:rPr>
              <w:t xml:space="preserve"> </w:t>
            </w:r>
            <w:r w:rsidR="00D73DE9" w:rsidRPr="00C85324">
              <w:rPr>
                <w:rFonts w:cs="Calibri"/>
                <w:sz w:val="18"/>
                <w:szCs w:val="18"/>
              </w:rPr>
              <w:t>These items have also been separately disclosed below to show the amounts specifically relating to the Joint Operation.</w:t>
            </w:r>
            <w:r w:rsidR="00FA7C77">
              <w:rPr>
                <w:rFonts w:cs="Calibri"/>
                <w:sz w:val="18"/>
                <w:szCs w:val="18"/>
              </w:rPr>
              <w:t xml:space="preserve"> </w:t>
            </w:r>
          </w:p>
        </w:tc>
      </w:tr>
      <w:tr w:rsidR="003C6984" w:rsidRPr="00CF7E1B" w14:paraId="0BAFDA4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00B87D62" w14:textId="77777777" w:rsidR="003C6984" w:rsidRPr="00C85324" w:rsidRDefault="003C6984" w:rsidP="003C6984">
            <w:pPr>
              <w:pStyle w:val="TableReference"/>
              <w:tabs>
                <w:tab w:val="left" w:pos="3306"/>
              </w:tabs>
              <w:spacing w:before="60"/>
              <w:rPr>
                <w:rFonts w:cs="Calibri"/>
                <w:color w:val="7030A0"/>
                <w:sz w:val="16"/>
                <w:szCs w:val="16"/>
              </w:rPr>
            </w:pPr>
          </w:p>
        </w:tc>
        <w:tc>
          <w:tcPr>
            <w:tcW w:w="8931" w:type="dxa"/>
            <w:gridSpan w:val="3"/>
            <w:tcBorders>
              <w:top w:val="nil"/>
              <w:left w:val="single" w:sz="2" w:space="0" w:color="auto"/>
              <w:bottom w:val="nil"/>
              <w:right w:val="nil"/>
            </w:tcBorders>
            <w:vAlign w:val="bottom"/>
          </w:tcPr>
          <w:p w14:paraId="40AEC45C" w14:textId="77777777" w:rsidR="003C6984" w:rsidRPr="00C85324" w:rsidRDefault="003C6984" w:rsidP="003C6984">
            <w:pPr>
              <w:pStyle w:val="TableText"/>
              <w:spacing w:before="0"/>
              <w:jc w:val="both"/>
              <w:rPr>
                <w:rFonts w:cs="Calibri"/>
              </w:rPr>
            </w:pPr>
          </w:p>
        </w:tc>
      </w:tr>
      <w:tr w:rsidR="003C6984" w:rsidRPr="00CF7E1B" w14:paraId="1F82EF8A"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80"/>
        </w:trPr>
        <w:tc>
          <w:tcPr>
            <w:tcW w:w="1561" w:type="dxa"/>
            <w:tcBorders>
              <w:top w:val="nil"/>
              <w:left w:val="single" w:sz="2" w:space="0" w:color="auto"/>
              <w:bottom w:val="nil"/>
              <w:right w:val="single" w:sz="2" w:space="0" w:color="auto"/>
            </w:tcBorders>
          </w:tcPr>
          <w:p w14:paraId="7A8FE03D" w14:textId="77777777" w:rsidR="003C6984" w:rsidRPr="00C85324" w:rsidRDefault="003C6984" w:rsidP="003C6984">
            <w:pPr>
              <w:pStyle w:val="TableReference"/>
              <w:tabs>
                <w:tab w:val="left" w:pos="3306"/>
              </w:tabs>
              <w:rPr>
                <w:rFonts w:cs="Calibri"/>
                <w:color w:val="7030A0"/>
                <w:sz w:val="16"/>
                <w:szCs w:val="16"/>
              </w:rPr>
            </w:pPr>
          </w:p>
        </w:tc>
        <w:tc>
          <w:tcPr>
            <w:tcW w:w="5735" w:type="dxa"/>
            <w:tcBorders>
              <w:top w:val="nil"/>
              <w:left w:val="single" w:sz="2" w:space="0" w:color="auto"/>
              <w:bottom w:val="nil"/>
              <w:right w:val="nil"/>
            </w:tcBorders>
            <w:vAlign w:val="bottom"/>
          </w:tcPr>
          <w:p w14:paraId="7C9A8D93" w14:textId="77777777" w:rsidR="003C6984" w:rsidRPr="00C85324" w:rsidRDefault="003C6984" w:rsidP="003C6984">
            <w:pPr>
              <w:pStyle w:val="TableText"/>
              <w:tabs>
                <w:tab w:val="left" w:pos="3306"/>
              </w:tabs>
              <w:spacing w:before="0"/>
              <w:rPr>
                <w:rFonts w:cs="Calibri"/>
              </w:rPr>
            </w:pPr>
          </w:p>
        </w:tc>
        <w:tc>
          <w:tcPr>
            <w:tcW w:w="1494" w:type="dxa"/>
            <w:tcBorders>
              <w:top w:val="nil"/>
              <w:left w:val="nil"/>
              <w:bottom w:val="nil"/>
              <w:right w:val="nil"/>
            </w:tcBorders>
            <w:vAlign w:val="bottom"/>
          </w:tcPr>
          <w:p w14:paraId="503645B3" w14:textId="41177D60" w:rsidR="003C6984" w:rsidRPr="00C85324" w:rsidRDefault="003C6984" w:rsidP="003C6984">
            <w:pPr>
              <w:pStyle w:val="TableTitle"/>
              <w:tabs>
                <w:tab w:val="left" w:pos="3306"/>
              </w:tabs>
              <w:rPr>
                <w:rFonts w:cs="Calibri"/>
              </w:rPr>
            </w:pPr>
            <w:bookmarkStart w:id="751" w:name="_Toc48468742"/>
            <w:bookmarkStart w:id="752" w:name="_Toc49155822"/>
            <w:bookmarkStart w:id="753" w:name="_Toc49224234"/>
            <w:r w:rsidRPr="00C85324">
              <w:rPr>
                <w:rFonts w:cs="Calibri"/>
              </w:rPr>
              <w:t>2022</w:t>
            </w:r>
          </w:p>
          <w:bookmarkEnd w:id="751"/>
          <w:bookmarkEnd w:id="752"/>
          <w:bookmarkEnd w:id="753"/>
          <w:p w14:paraId="4D1CC343" w14:textId="77777777" w:rsidR="003C6984" w:rsidRPr="00C85324" w:rsidRDefault="003C6984" w:rsidP="003C6984">
            <w:pPr>
              <w:pStyle w:val="TableTitle"/>
              <w:tabs>
                <w:tab w:val="left" w:pos="3306"/>
              </w:tabs>
              <w:rPr>
                <w:rFonts w:cs="Calibri"/>
              </w:rPr>
            </w:pPr>
            <w:r w:rsidRPr="00C85324">
              <w:rPr>
                <w:rFonts w:cs="Calibri"/>
              </w:rPr>
              <w:t>$’000</w:t>
            </w:r>
          </w:p>
        </w:tc>
        <w:tc>
          <w:tcPr>
            <w:tcW w:w="1702" w:type="dxa"/>
            <w:tcBorders>
              <w:top w:val="nil"/>
              <w:left w:val="nil"/>
              <w:bottom w:val="nil"/>
              <w:right w:val="nil"/>
            </w:tcBorders>
            <w:vAlign w:val="bottom"/>
          </w:tcPr>
          <w:p w14:paraId="637BB602" w14:textId="48181569" w:rsidR="003C6984" w:rsidRPr="00C85324" w:rsidRDefault="003C6984" w:rsidP="003C6984">
            <w:pPr>
              <w:pStyle w:val="TableTitle"/>
              <w:tabs>
                <w:tab w:val="left" w:pos="3306"/>
              </w:tabs>
              <w:rPr>
                <w:rFonts w:cs="Calibri"/>
              </w:rPr>
            </w:pPr>
            <w:r w:rsidRPr="00C85324">
              <w:rPr>
                <w:rFonts w:cs="Calibri"/>
              </w:rPr>
              <w:t>2021</w:t>
            </w:r>
          </w:p>
          <w:p w14:paraId="1C024E4F" w14:textId="77777777" w:rsidR="003C6984" w:rsidRPr="00C85324" w:rsidRDefault="003C6984" w:rsidP="003C6984">
            <w:pPr>
              <w:pStyle w:val="TableTitle"/>
              <w:tabs>
                <w:tab w:val="left" w:pos="3306"/>
              </w:tabs>
              <w:rPr>
                <w:rFonts w:cs="Calibri"/>
              </w:rPr>
            </w:pPr>
            <w:r w:rsidRPr="00C85324">
              <w:rPr>
                <w:rFonts w:cs="Calibri"/>
              </w:rPr>
              <w:t>$’000</w:t>
            </w:r>
          </w:p>
        </w:tc>
      </w:tr>
      <w:tr w:rsidR="003C6984" w:rsidRPr="00CF7E1B" w14:paraId="482CF24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7D2C3581" w14:textId="77777777" w:rsidR="003C6984" w:rsidRPr="00C85324" w:rsidRDefault="003C6984" w:rsidP="003C6984">
            <w:pPr>
              <w:pStyle w:val="TableReference"/>
              <w:tabs>
                <w:tab w:val="left" w:pos="3306"/>
              </w:tabs>
              <w:spacing w:before="60"/>
              <w:rPr>
                <w:rFonts w:cs="Calibri"/>
                <w:color w:val="7030A0"/>
                <w:sz w:val="16"/>
                <w:szCs w:val="16"/>
              </w:rPr>
            </w:pPr>
          </w:p>
        </w:tc>
        <w:tc>
          <w:tcPr>
            <w:tcW w:w="5735" w:type="dxa"/>
            <w:tcBorders>
              <w:top w:val="nil"/>
              <w:left w:val="single" w:sz="2" w:space="0" w:color="auto"/>
              <w:bottom w:val="nil"/>
              <w:right w:val="nil"/>
            </w:tcBorders>
            <w:vAlign w:val="bottom"/>
          </w:tcPr>
          <w:p w14:paraId="240D94CB" w14:textId="77777777" w:rsidR="003C6984" w:rsidRPr="00C85324" w:rsidRDefault="003C6984" w:rsidP="003C6984">
            <w:pPr>
              <w:pStyle w:val="TableText"/>
              <w:tabs>
                <w:tab w:val="left" w:pos="3306"/>
              </w:tabs>
              <w:rPr>
                <w:rFonts w:cs="Calibri"/>
                <w:b/>
                <w:bCs/>
              </w:rPr>
            </w:pPr>
            <w:r w:rsidRPr="00C85324">
              <w:rPr>
                <w:rFonts w:cs="Calibri"/>
                <w:b/>
                <w:bCs/>
              </w:rPr>
              <w:t>Assets Employed in the Jointly Controlled Operation</w:t>
            </w:r>
          </w:p>
        </w:tc>
        <w:tc>
          <w:tcPr>
            <w:tcW w:w="1494" w:type="dxa"/>
            <w:tcBorders>
              <w:top w:val="nil"/>
              <w:left w:val="nil"/>
              <w:bottom w:val="nil"/>
              <w:right w:val="nil"/>
            </w:tcBorders>
            <w:vAlign w:val="bottom"/>
          </w:tcPr>
          <w:p w14:paraId="3811FE32" w14:textId="77777777"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2551A4D3" w14:textId="77777777" w:rsidR="003C6984" w:rsidRPr="00C85324" w:rsidRDefault="003C6984" w:rsidP="003C6984">
            <w:pPr>
              <w:pStyle w:val="TableText"/>
              <w:tabs>
                <w:tab w:val="left" w:pos="3306"/>
              </w:tabs>
              <w:jc w:val="right"/>
              <w:rPr>
                <w:rFonts w:cs="Calibri"/>
              </w:rPr>
            </w:pPr>
          </w:p>
        </w:tc>
      </w:tr>
      <w:tr w:rsidR="003C6984" w:rsidRPr="00CF7E1B" w14:paraId="3257FE4A"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7F56FCB5"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47299C12" w14:textId="77777777" w:rsidR="003C6984" w:rsidRPr="00C85324" w:rsidRDefault="003C6984" w:rsidP="003C6984">
            <w:pPr>
              <w:pStyle w:val="TableText"/>
              <w:tabs>
                <w:tab w:val="left" w:pos="3306"/>
              </w:tabs>
              <w:rPr>
                <w:rFonts w:cs="Calibri"/>
                <w:b/>
                <w:bCs/>
              </w:rPr>
            </w:pPr>
            <w:bookmarkStart w:id="754" w:name="_Toc48468743"/>
            <w:bookmarkStart w:id="755" w:name="_Toc49155823"/>
            <w:bookmarkStart w:id="756" w:name="_Toc49224235"/>
            <w:r w:rsidRPr="00C85324">
              <w:rPr>
                <w:rFonts w:cs="Calibri"/>
                <w:b/>
                <w:bCs/>
              </w:rPr>
              <w:t>Current Assets</w:t>
            </w:r>
            <w:bookmarkEnd w:id="754"/>
            <w:bookmarkEnd w:id="755"/>
            <w:bookmarkEnd w:id="756"/>
          </w:p>
        </w:tc>
        <w:tc>
          <w:tcPr>
            <w:tcW w:w="1494" w:type="dxa"/>
            <w:tcBorders>
              <w:top w:val="nil"/>
              <w:left w:val="nil"/>
              <w:bottom w:val="nil"/>
              <w:right w:val="nil"/>
            </w:tcBorders>
            <w:vAlign w:val="bottom"/>
          </w:tcPr>
          <w:p w14:paraId="2255432B" w14:textId="77777777"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3BFEA04A" w14:textId="77777777" w:rsidR="003C6984" w:rsidRPr="00C85324" w:rsidRDefault="003C6984" w:rsidP="003C6984">
            <w:pPr>
              <w:pStyle w:val="TableText"/>
              <w:tabs>
                <w:tab w:val="left" w:pos="3306"/>
              </w:tabs>
              <w:jc w:val="right"/>
              <w:rPr>
                <w:rFonts w:cs="Calibri"/>
              </w:rPr>
            </w:pPr>
          </w:p>
        </w:tc>
      </w:tr>
      <w:tr w:rsidR="003C6984" w:rsidRPr="00CF7E1B" w14:paraId="57EB76A5"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74C33AB1" w14:textId="77777777" w:rsidR="003C6984" w:rsidRPr="00C85324" w:rsidRDefault="003C6984" w:rsidP="003C6984">
            <w:pPr>
              <w:pStyle w:val="TableReference"/>
              <w:tabs>
                <w:tab w:val="left" w:pos="3306"/>
              </w:tabs>
              <w:spacing w:before="60"/>
              <w:rPr>
                <w:rFonts w:cs="Calibri"/>
                <w:color w:val="7030A0"/>
                <w:sz w:val="16"/>
                <w:szCs w:val="16"/>
              </w:rPr>
            </w:pPr>
          </w:p>
        </w:tc>
        <w:tc>
          <w:tcPr>
            <w:tcW w:w="5735" w:type="dxa"/>
            <w:tcBorders>
              <w:top w:val="nil"/>
              <w:left w:val="single" w:sz="2" w:space="0" w:color="auto"/>
              <w:bottom w:val="nil"/>
              <w:right w:val="nil"/>
            </w:tcBorders>
            <w:vAlign w:val="bottom"/>
          </w:tcPr>
          <w:p w14:paraId="00AF8207" w14:textId="77777777" w:rsidR="003C6984" w:rsidRPr="00C85324" w:rsidRDefault="003C6984" w:rsidP="003C6984">
            <w:pPr>
              <w:pStyle w:val="TableText"/>
              <w:tabs>
                <w:tab w:val="left" w:pos="3306"/>
              </w:tabs>
              <w:rPr>
                <w:rFonts w:cs="Calibri"/>
              </w:rPr>
            </w:pPr>
            <w:r w:rsidRPr="00C85324">
              <w:rPr>
                <w:rFonts w:cs="Calibri"/>
              </w:rPr>
              <w:t>Cash and Cash Equivalents</w:t>
            </w:r>
          </w:p>
        </w:tc>
        <w:tc>
          <w:tcPr>
            <w:tcW w:w="1494" w:type="dxa"/>
            <w:tcBorders>
              <w:top w:val="nil"/>
              <w:left w:val="nil"/>
              <w:bottom w:val="nil"/>
              <w:right w:val="nil"/>
            </w:tcBorders>
            <w:vAlign w:val="bottom"/>
          </w:tcPr>
          <w:p w14:paraId="681C0568" w14:textId="36C763F5"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16084FD6" w14:textId="6C0FD766" w:rsidR="003C6984" w:rsidRPr="00C85324" w:rsidRDefault="003C6984" w:rsidP="003C6984">
            <w:pPr>
              <w:pStyle w:val="TableText"/>
              <w:tabs>
                <w:tab w:val="left" w:pos="3306"/>
              </w:tabs>
              <w:jc w:val="right"/>
              <w:rPr>
                <w:rFonts w:cs="Calibri"/>
              </w:rPr>
            </w:pPr>
          </w:p>
        </w:tc>
      </w:tr>
      <w:tr w:rsidR="003C6984" w:rsidRPr="00CF7E1B" w14:paraId="2C52C3C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7F3370BA" w14:textId="77777777" w:rsidR="003C6984" w:rsidRPr="00C85324" w:rsidRDefault="003C6984" w:rsidP="003C6984">
            <w:pPr>
              <w:pStyle w:val="TableReference"/>
              <w:tabs>
                <w:tab w:val="left" w:pos="3306"/>
              </w:tabs>
              <w:spacing w:before="60"/>
              <w:rPr>
                <w:rFonts w:cs="Calibri"/>
                <w:color w:val="7030A0"/>
                <w:sz w:val="16"/>
                <w:szCs w:val="16"/>
              </w:rPr>
            </w:pPr>
          </w:p>
        </w:tc>
        <w:tc>
          <w:tcPr>
            <w:tcW w:w="5735" w:type="dxa"/>
            <w:tcBorders>
              <w:top w:val="nil"/>
              <w:left w:val="single" w:sz="2" w:space="0" w:color="auto"/>
              <w:bottom w:val="nil"/>
              <w:right w:val="nil"/>
            </w:tcBorders>
            <w:vAlign w:val="bottom"/>
          </w:tcPr>
          <w:p w14:paraId="73789923" w14:textId="77777777" w:rsidR="003C6984" w:rsidRPr="00C85324" w:rsidRDefault="003C6984" w:rsidP="003C6984">
            <w:pPr>
              <w:pStyle w:val="TableText"/>
              <w:tabs>
                <w:tab w:val="left" w:pos="3306"/>
              </w:tabs>
              <w:rPr>
                <w:rFonts w:cs="Calibri"/>
              </w:rPr>
            </w:pPr>
            <w:r w:rsidRPr="00C85324">
              <w:rPr>
                <w:rFonts w:cs="Calibri"/>
              </w:rPr>
              <w:t>Receivables</w:t>
            </w:r>
          </w:p>
        </w:tc>
        <w:tc>
          <w:tcPr>
            <w:tcW w:w="1494" w:type="dxa"/>
            <w:tcBorders>
              <w:top w:val="nil"/>
              <w:left w:val="nil"/>
              <w:bottom w:val="nil"/>
              <w:right w:val="nil"/>
            </w:tcBorders>
            <w:vAlign w:val="bottom"/>
          </w:tcPr>
          <w:p w14:paraId="7497C06F" w14:textId="6B8E3700"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7CBE51BD" w14:textId="1A528A3E" w:rsidR="003C6984" w:rsidRPr="00C85324" w:rsidRDefault="003C6984" w:rsidP="003C6984">
            <w:pPr>
              <w:pStyle w:val="TableText"/>
              <w:tabs>
                <w:tab w:val="left" w:pos="3306"/>
              </w:tabs>
              <w:jc w:val="right"/>
              <w:rPr>
                <w:rFonts w:cs="Calibri"/>
              </w:rPr>
            </w:pPr>
          </w:p>
        </w:tc>
      </w:tr>
      <w:tr w:rsidR="003C6984" w:rsidRPr="00CF7E1B" w14:paraId="4807230A"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7E2CCC4E" w14:textId="77777777" w:rsidR="003C6984" w:rsidRPr="00C85324" w:rsidRDefault="003C6984" w:rsidP="003C6984">
            <w:pPr>
              <w:pStyle w:val="TableReference"/>
              <w:tabs>
                <w:tab w:val="left" w:pos="3306"/>
              </w:tabs>
              <w:spacing w:before="60"/>
              <w:rPr>
                <w:rFonts w:cs="Calibri"/>
                <w:color w:val="7030A0"/>
                <w:sz w:val="16"/>
                <w:szCs w:val="16"/>
              </w:rPr>
            </w:pPr>
          </w:p>
        </w:tc>
        <w:tc>
          <w:tcPr>
            <w:tcW w:w="5735" w:type="dxa"/>
            <w:tcBorders>
              <w:top w:val="nil"/>
              <w:left w:val="single" w:sz="2" w:space="0" w:color="auto"/>
              <w:bottom w:val="nil"/>
              <w:right w:val="nil"/>
            </w:tcBorders>
            <w:vAlign w:val="bottom"/>
          </w:tcPr>
          <w:p w14:paraId="17A6BC95" w14:textId="77777777" w:rsidR="003C6984" w:rsidRPr="00C85324" w:rsidRDefault="003C6984" w:rsidP="003C6984">
            <w:pPr>
              <w:pStyle w:val="TableText"/>
              <w:tabs>
                <w:tab w:val="left" w:pos="3306"/>
              </w:tabs>
              <w:rPr>
                <w:rFonts w:cs="Calibri"/>
              </w:rPr>
            </w:pPr>
            <w:r w:rsidRPr="00C85324">
              <w:rPr>
                <w:rFonts w:cs="Calibri"/>
              </w:rPr>
              <w:t xml:space="preserve">Other </w:t>
            </w:r>
          </w:p>
        </w:tc>
        <w:tc>
          <w:tcPr>
            <w:tcW w:w="1494" w:type="dxa"/>
            <w:tcBorders>
              <w:top w:val="nil"/>
              <w:left w:val="nil"/>
              <w:bottom w:val="single" w:sz="2" w:space="0" w:color="auto"/>
              <w:right w:val="nil"/>
            </w:tcBorders>
            <w:vAlign w:val="bottom"/>
          </w:tcPr>
          <w:p w14:paraId="729D5780" w14:textId="547CA962" w:rsidR="003C6984" w:rsidRPr="00C85324" w:rsidRDefault="003C6984" w:rsidP="003C6984">
            <w:pPr>
              <w:pStyle w:val="TableText"/>
              <w:tabs>
                <w:tab w:val="left" w:pos="3306"/>
              </w:tabs>
              <w:jc w:val="right"/>
              <w:rPr>
                <w:rFonts w:cs="Calibri"/>
              </w:rPr>
            </w:pPr>
          </w:p>
        </w:tc>
        <w:tc>
          <w:tcPr>
            <w:tcW w:w="1702" w:type="dxa"/>
            <w:tcBorders>
              <w:top w:val="nil"/>
              <w:left w:val="nil"/>
              <w:bottom w:val="single" w:sz="2" w:space="0" w:color="auto"/>
              <w:right w:val="nil"/>
            </w:tcBorders>
            <w:vAlign w:val="bottom"/>
          </w:tcPr>
          <w:p w14:paraId="1932AC42" w14:textId="49E0E9F8" w:rsidR="003C6984" w:rsidRPr="00C85324" w:rsidRDefault="003C6984" w:rsidP="003C6984">
            <w:pPr>
              <w:pStyle w:val="TableText"/>
              <w:tabs>
                <w:tab w:val="left" w:pos="3306"/>
              </w:tabs>
              <w:jc w:val="right"/>
              <w:rPr>
                <w:rFonts w:cs="Calibri"/>
              </w:rPr>
            </w:pPr>
          </w:p>
        </w:tc>
      </w:tr>
      <w:tr w:rsidR="003C6984" w:rsidRPr="00CF7E1B" w14:paraId="3E208403"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54D7FFE9"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7D818035" w14:textId="77777777" w:rsidR="003C6984" w:rsidRPr="00C85324" w:rsidRDefault="003C6984" w:rsidP="003C6984">
            <w:pPr>
              <w:pStyle w:val="TableText"/>
              <w:tabs>
                <w:tab w:val="left" w:pos="3306"/>
              </w:tabs>
              <w:rPr>
                <w:rFonts w:cs="Calibri"/>
                <w:b/>
                <w:bCs/>
              </w:rPr>
            </w:pPr>
            <w:r w:rsidRPr="00C85324">
              <w:rPr>
                <w:rFonts w:cs="Calibri"/>
                <w:b/>
                <w:bCs/>
              </w:rPr>
              <w:t>Total Current Assets</w:t>
            </w:r>
          </w:p>
        </w:tc>
        <w:tc>
          <w:tcPr>
            <w:tcW w:w="1494" w:type="dxa"/>
            <w:tcBorders>
              <w:top w:val="single" w:sz="2" w:space="0" w:color="auto"/>
              <w:left w:val="nil"/>
              <w:bottom w:val="single" w:sz="2" w:space="0" w:color="auto"/>
              <w:right w:val="nil"/>
            </w:tcBorders>
            <w:vAlign w:val="bottom"/>
          </w:tcPr>
          <w:p w14:paraId="6C20670A" w14:textId="7F651EDE" w:rsidR="003C6984" w:rsidRPr="00C85324" w:rsidRDefault="003C6984" w:rsidP="003C6984">
            <w:pPr>
              <w:pStyle w:val="TableText"/>
              <w:tabs>
                <w:tab w:val="left" w:pos="3306"/>
              </w:tabs>
              <w:jc w:val="right"/>
              <w:rPr>
                <w:rFonts w:cs="Calibri"/>
                <w:b/>
                <w:bCs/>
              </w:rPr>
            </w:pPr>
          </w:p>
        </w:tc>
        <w:tc>
          <w:tcPr>
            <w:tcW w:w="1702" w:type="dxa"/>
            <w:tcBorders>
              <w:top w:val="single" w:sz="2" w:space="0" w:color="auto"/>
              <w:left w:val="nil"/>
              <w:bottom w:val="single" w:sz="2" w:space="0" w:color="auto"/>
              <w:right w:val="nil"/>
            </w:tcBorders>
            <w:vAlign w:val="bottom"/>
          </w:tcPr>
          <w:p w14:paraId="321DD927" w14:textId="4D7AE9B8" w:rsidR="003C6984" w:rsidRPr="00C85324" w:rsidRDefault="003C6984" w:rsidP="003C6984">
            <w:pPr>
              <w:pStyle w:val="TableText"/>
              <w:tabs>
                <w:tab w:val="left" w:pos="3306"/>
              </w:tabs>
              <w:jc w:val="right"/>
              <w:rPr>
                <w:rFonts w:cs="Calibri"/>
                <w:b/>
                <w:bCs/>
              </w:rPr>
            </w:pPr>
          </w:p>
        </w:tc>
      </w:tr>
      <w:tr w:rsidR="003C6984" w:rsidRPr="00CF7E1B" w14:paraId="3BB931C9"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00752E93"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2A887BD2" w14:textId="77777777" w:rsidR="003C6984" w:rsidRPr="00C85324" w:rsidRDefault="003C6984" w:rsidP="003C6984">
            <w:pPr>
              <w:pStyle w:val="TableText"/>
              <w:tabs>
                <w:tab w:val="left" w:pos="3306"/>
              </w:tabs>
              <w:rPr>
                <w:rFonts w:cs="Calibri"/>
              </w:rPr>
            </w:pPr>
          </w:p>
        </w:tc>
        <w:tc>
          <w:tcPr>
            <w:tcW w:w="1494" w:type="dxa"/>
            <w:tcBorders>
              <w:top w:val="single" w:sz="2" w:space="0" w:color="auto"/>
              <w:left w:val="nil"/>
              <w:bottom w:val="nil"/>
              <w:right w:val="nil"/>
            </w:tcBorders>
            <w:vAlign w:val="bottom"/>
          </w:tcPr>
          <w:p w14:paraId="5102E687" w14:textId="77777777" w:rsidR="003C6984" w:rsidRPr="00C85324" w:rsidRDefault="003C6984" w:rsidP="003C6984">
            <w:pPr>
              <w:pStyle w:val="TableText"/>
              <w:tabs>
                <w:tab w:val="left" w:pos="3306"/>
              </w:tabs>
              <w:jc w:val="right"/>
              <w:rPr>
                <w:rFonts w:cs="Calibri"/>
              </w:rPr>
            </w:pPr>
          </w:p>
        </w:tc>
        <w:tc>
          <w:tcPr>
            <w:tcW w:w="1702" w:type="dxa"/>
            <w:tcBorders>
              <w:top w:val="single" w:sz="2" w:space="0" w:color="auto"/>
              <w:left w:val="nil"/>
              <w:bottom w:val="nil"/>
              <w:right w:val="nil"/>
            </w:tcBorders>
            <w:vAlign w:val="bottom"/>
          </w:tcPr>
          <w:p w14:paraId="7752BA12" w14:textId="77777777" w:rsidR="003C6984" w:rsidRPr="00C85324" w:rsidRDefault="003C6984" w:rsidP="003C6984">
            <w:pPr>
              <w:pStyle w:val="TableText"/>
              <w:tabs>
                <w:tab w:val="left" w:pos="3306"/>
              </w:tabs>
              <w:jc w:val="right"/>
              <w:rPr>
                <w:rFonts w:cs="Calibri"/>
              </w:rPr>
            </w:pPr>
          </w:p>
        </w:tc>
      </w:tr>
      <w:tr w:rsidR="003C6984" w:rsidRPr="00CF7E1B" w14:paraId="2DB1B050"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4AB7BF90"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063CE576" w14:textId="77777777" w:rsidR="003C6984" w:rsidRPr="00C85324" w:rsidRDefault="003C6984" w:rsidP="003C6984">
            <w:pPr>
              <w:pStyle w:val="TableText"/>
              <w:tabs>
                <w:tab w:val="left" w:pos="3306"/>
              </w:tabs>
              <w:rPr>
                <w:rFonts w:cs="Calibri"/>
                <w:b/>
                <w:bCs/>
              </w:rPr>
            </w:pPr>
            <w:bookmarkStart w:id="757" w:name="_Toc48468744"/>
            <w:bookmarkStart w:id="758" w:name="_Toc49155824"/>
            <w:bookmarkStart w:id="759" w:name="_Toc49224236"/>
            <w:r w:rsidRPr="00C85324">
              <w:rPr>
                <w:rFonts w:cs="Calibri"/>
                <w:b/>
                <w:bCs/>
              </w:rPr>
              <w:t>Non-Current Assets</w:t>
            </w:r>
            <w:bookmarkEnd w:id="757"/>
            <w:bookmarkEnd w:id="758"/>
            <w:bookmarkEnd w:id="759"/>
          </w:p>
        </w:tc>
        <w:tc>
          <w:tcPr>
            <w:tcW w:w="1494" w:type="dxa"/>
            <w:tcBorders>
              <w:top w:val="nil"/>
              <w:left w:val="nil"/>
              <w:bottom w:val="nil"/>
              <w:right w:val="nil"/>
            </w:tcBorders>
            <w:vAlign w:val="bottom"/>
          </w:tcPr>
          <w:p w14:paraId="693B93CA" w14:textId="77777777"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2DA1A7DE" w14:textId="77777777" w:rsidR="003C6984" w:rsidRPr="00C85324" w:rsidRDefault="003C6984" w:rsidP="003C6984">
            <w:pPr>
              <w:pStyle w:val="TableText"/>
              <w:tabs>
                <w:tab w:val="left" w:pos="3306"/>
              </w:tabs>
              <w:jc w:val="right"/>
              <w:rPr>
                <w:rFonts w:cs="Calibri"/>
              </w:rPr>
            </w:pPr>
          </w:p>
        </w:tc>
      </w:tr>
      <w:tr w:rsidR="003C6984" w:rsidRPr="00CF7E1B" w14:paraId="64A984A0"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14C5BD8A" w14:textId="77777777" w:rsidR="003C6984" w:rsidRPr="00C85324" w:rsidRDefault="003C6984" w:rsidP="003C6984">
            <w:pPr>
              <w:pStyle w:val="TableReference"/>
              <w:tabs>
                <w:tab w:val="left" w:pos="3306"/>
              </w:tabs>
              <w:spacing w:before="60"/>
              <w:rPr>
                <w:rFonts w:cs="Calibri"/>
                <w:color w:val="7030A0"/>
                <w:sz w:val="16"/>
                <w:szCs w:val="16"/>
              </w:rPr>
            </w:pPr>
          </w:p>
        </w:tc>
        <w:tc>
          <w:tcPr>
            <w:tcW w:w="5735" w:type="dxa"/>
            <w:tcBorders>
              <w:top w:val="nil"/>
              <w:left w:val="single" w:sz="2" w:space="0" w:color="auto"/>
              <w:bottom w:val="nil"/>
              <w:right w:val="nil"/>
            </w:tcBorders>
            <w:vAlign w:val="bottom"/>
          </w:tcPr>
          <w:p w14:paraId="01050DC2" w14:textId="77777777" w:rsidR="003C6984" w:rsidRPr="00C85324" w:rsidRDefault="003C6984" w:rsidP="003C6984">
            <w:pPr>
              <w:pStyle w:val="TableText"/>
              <w:tabs>
                <w:tab w:val="left" w:pos="3306"/>
              </w:tabs>
              <w:rPr>
                <w:rFonts w:cs="Calibri"/>
                <w:b/>
                <w:iCs/>
              </w:rPr>
            </w:pPr>
            <w:r w:rsidRPr="00C85324">
              <w:rPr>
                <w:rFonts w:cs="Calibri"/>
                <w:b/>
                <w:iCs/>
              </w:rPr>
              <w:t xml:space="preserve">Land </w:t>
            </w:r>
          </w:p>
        </w:tc>
        <w:tc>
          <w:tcPr>
            <w:tcW w:w="1494" w:type="dxa"/>
            <w:tcBorders>
              <w:top w:val="nil"/>
              <w:left w:val="nil"/>
              <w:bottom w:val="nil"/>
              <w:right w:val="nil"/>
            </w:tcBorders>
            <w:vAlign w:val="bottom"/>
          </w:tcPr>
          <w:p w14:paraId="39ED8EEA" w14:textId="77777777"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69906CC4" w14:textId="77777777" w:rsidR="003C6984" w:rsidRPr="00C85324" w:rsidRDefault="003C6984" w:rsidP="003C6984">
            <w:pPr>
              <w:pStyle w:val="TableText"/>
              <w:tabs>
                <w:tab w:val="left" w:pos="3306"/>
              </w:tabs>
              <w:jc w:val="right"/>
              <w:rPr>
                <w:rFonts w:cs="Calibri"/>
              </w:rPr>
            </w:pPr>
          </w:p>
        </w:tc>
      </w:tr>
      <w:tr w:rsidR="003C6984" w:rsidRPr="00CF7E1B" w14:paraId="2BC1C0BB"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5651DDC4"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1DB59AC5" w14:textId="77777777" w:rsidR="003C6984" w:rsidRPr="00C85324" w:rsidRDefault="003C6984" w:rsidP="003C6984">
            <w:pPr>
              <w:pStyle w:val="TableText"/>
              <w:tabs>
                <w:tab w:val="left" w:pos="3306"/>
              </w:tabs>
              <w:rPr>
                <w:rFonts w:cs="Calibri"/>
              </w:rPr>
            </w:pPr>
            <w:r w:rsidRPr="00C85324">
              <w:rPr>
                <w:rFonts w:cs="Calibri"/>
              </w:rPr>
              <w:t>At Fair Value</w:t>
            </w:r>
          </w:p>
        </w:tc>
        <w:tc>
          <w:tcPr>
            <w:tcW w:w="1494" w:type="dxa"/>
            <w:tcBorders>
              <w:top w:val="nil"/>
              <w:left w:val="nil"/>
              <w:bottom w:val="single" w:sz="2" w:space="0" w:color="auto"/>
              <w:right w:val="nil"/>
            </w:tcBorders>
            <w:vAlign w:val="bottom"/>
          </w:tcPr>
          <w:p w14:paraId="5AFF46FD" w14:textId="67376F2E" w:rsidR="003C6984" w:rsidRPr="00C85324" w:rsidRDefault="003C6984" w:rsidP="003C6984">
            <w:pPr>
              <w:pStyle w:val="TableText"/>
              <w:tabs>
                <w:tab w:val="left" w:pos="3306"/>
              </w:tabs>
              <w:jc w:val="right"/>
              <w:rPr>
                <w:rFonts w:cs="Calibri"/>
              </w:rPr>
            </w:pPr>
          </w:p>
        </w:tc>
        <w:tc>
          <w:tcPr>
            <w:tcW w:w="1702" w:type="dxa"/>
            <w:tcBorders>
              <w:top w:val="nil"/>
              <w:left w:val="nil"/>
              <w:bottom w:val="single" w:sz="2" w:space="0" w:color="auto"/>
              <w:right w:val="nil"/>
            </w:tcBorders>
            <w:vAlign w:val="bottom"/>
          </w:tcPr>
          <w:p w14:paraId="0E53466F" w14:textId="655E217C" w:rsidR="003C6984" w:rsidRPr="00C85324" w:rsidRDefault="003C6984" w:rsidP="003C6984">
            <w:pPr>
              <w:pStyle w:val="TableText"/>
              <w:tabs>
                <w:tab w:val="left" w:pos="3306"/>
              </w:tabs>
              <w:jc w:val="right"/>
              <w:rPr>
                <w:rFonts w:cs="Calibri"/>
              </w:rPr>
            </w:pPr>
          </w:p>
        </w:tc>
      </w:tr>
      <w:tr w:rsidR="003C6984" w:rsidRPr="00CF7E1B" w14:paraId="357E0EA0"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430B8672"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2C31AC51" w14:textId="77777777" w:rsidR="003C6984" w:rsidRPr="00C85324" w:rsidRDefault="003C6984" w:rsidP="003C6984">
            <w:pPr>
              <w:pStyle w:val="TableText"/>
              <w:tabs>
                <w:tab w:val="left" w:pos="3306"/>
              </w:tabs>
              <w:rPr>
                <w:rFonts w:cs="Calibri"/>
                <w:b/>
                <w:iCs/>
              </w:rPr>
            </w:pPr>
            <w:r w:rsidRPr="00C85324">
              <w:rPr>
                <w:rFonts w:cs="Calibri"/>
                <w:b/>
                <w:iCs/>
              </w:rPr>
              <w:t xml:space="preserve">Total Land at </w:t>
            </w:r>
            <w:r w:rsidRPr="00C85324">
              <w:rPr>
                <w:rFonts w:cs="Calibri"/>
                <w:b/>
              </w:rPr>
              <w:t>Fair Value</w:t>
            </w:r>
          </w:p>
        </w:tc>
        <w:tc>
          <w:tcPr>
            <w:tcW w:w="1494" w:type="dxa"/>
            <w:tcBorders>
              <w:top w:val="single" w:sz="2" w:space="0" w:color="auto"/>
              <w:left w:val="nil"/>
              <w:bottom w:val="nil"/>
              <w:right w:val="nil"/>
            </w:tcBorders>
            <w:vAlign w:val="bottom"/>
          </w:tcPr>
          <w:p w14:paraId="08AC5E4B" w14:textId="2C760C4C" w:rsidR="003C6984" w:rsidRPr="00C85324" w:rsidRDefault="003C6984" w:rsidP="003C6984">
            <w:pPr>
              <w:pStyle w:val="TableText"/>
              <w:tabs>
                <w:tab w:val="left" w:pos="3306"/>
              </w:tabs>
              <w:jc w:val="right"/>
              <w:rPr>
                <w:rFonts w:cs="Calibri"/>
              </w:rPr>
            </w:pPr>
          </w:p>
        </w:tc>
        <w:tc>
          <w:tcPr>
            <w:tcW w:w="1702" w:type="dxa"/>
            <w:tcBorders>
              <w:top w:val="single" w:sz="2" w:space="0" w:color="auto"/>
              <w:left w:val="nil"/>
              <w:bottom w:val="nil"/>
              <w:right w:val="nil"/>
            </w:tcBorders>
            <w:vAlign w:val="bottom"/>
          </w:tcPr>
          <w:p w14:paraId="57AA25EE" w14:textId="54B12F72" w:rsidR="003C6984" w:rsidRPr="00C85324" w:rsidRDefault="003C6984" w:rsidP="003C6984">
            <w:pPr>
              <w:pStyle w:val="TableText"/>
              <w:tabs>
                <w:tab w:val="left" w:pos="3306"/>
              </w:tabs>
              <w:jc w:val="right"/>
              <w:rPr>
                <w:rFonts w:cs="Calibri"/>
              </w:rPr>
            </w:pPr>
          </w:p>
        </w:tc>
      </w:tr>
      <w:tr w:rsidR="003C6984" w:rsidRPr="00CF7E1B" w14:paraId="417CAF7C"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4003F0EF" w14:textId="77777777" w:rsidR="003C6984" w:rsidRPr="00C85324" w:rsidRDefault="003C6984" w:rsidP="003C6984">
            <w:pPr>
              <w:pStyle w:val="TableReference"/>
              <w:tabs>
                <w:tab w:val="left" w:pos="3306"/>
              </w:tabs>
              <w:spacing w:before="60"/>
              <w:rPr>
                <w:rFonts w:cs="Calibri"/>
                <w:color w:val="7030A0"/>
                <w:sz w:val="16"/>
                <w:szCs w:val="16"/>
              </w:rPr>
            </w:pPr>
          </w:p>
        </w:tc>
        <w:tc>
          <w:tcPr>
            <w:tcW w:w="5735" w:type="dxa"/>
            <w:tcBorders>
              <w:top w:val="nil"/>
              <w:left w:val="single" w:sz="2" w:space="0" w:color="auto"/>
              <w:bottom w:val="nil"/>
              <w:right w:val="nil"/>
            </w:tcBorders>
            <w:vAlign w:val="bottom"/>
          </w:tcPr>
          <w:p w14:paraId="723ECE5F" w14:textId="77777777" w:rsidR="003C6984" w:rsidRPr="00C85324" w:rsidRDefault="003C6984" w:rsidP="003C6984">
            <w:pPr>
              <w:pStyle w:val="TableText"/>
              <w:tabs>
                <w:tab w:val="left" w:pos="3306"/>
              </w:tabs>
              <w:rPr>
                <w:rFonts w:cs="Calibri"/>
                <w:i/>
                <w:iCs/>
              </w:rPr>
            </w:pPr>
          </w:p>
        </w:tc>
        <w:tc>
          <w:tcPr>
            <w:tcW w:w="1494" w:type="dxa"/>
            <w:tcBorders>
              <w:top w:val="nil"/>
              <w:left w:val="nil"/>
              <w:bottom w:val="nil"/>
              <w:right w:val="nil"/>
            </w:tcBorders>
            <w:vAlign w:val="bottom"/>
          </w:tcPr>
          <w:p w14:paraId="6E8012A3" w14:textId="77777777"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4257E86F" w14:textId="77777777" w:rsidR="003C6984" w:rsidRPr="00C85324" w:rsidRDefault="003C6984" w:rsidP="003C6984">
            <w:pPr>
              <w:pStyle w:val="TableText"/>
              <w:tabs>
                <w:tab w:val="left" w:pos="3306"/>
              </w:tabs>
              <w:jc w:val="right"/>
              <w:rPr>
                <w:rFonts w:cs="Calibri"/>
              </w:rPr>
            </w:pPr>
          </w:p>
        </w:tc>
      </w:tr>
      <w:tr w:rsidR="003C6984" w:rsidRPr="00CF7E1B" w14:paraId="0E3845B7"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6764F49F" w14:textId="77777777" w:rsidR="003C6984" w:rsidRPr="00C85324" w:rsidRDefault="003C6984" w:rsidP="003C6984">
            <w:pPr>
              <w:pStyle w:val="TableReference"/>
              <w:tabs>
                <w:tab w:val="left" w:pos="3306"/>
              </w:tabs>
              <w:spacing w:before="60"/>
              <w:rPr>
                <w:rFonts w:cs="Calibri"/>
                <w:color w:val="7030A0"/>
                <w:sz w:val="16"/>
                <w:szCs w:val="16"/>
              </w:rPr>
            </w:pPr>
          </w:p>
        </w:tc>
        <w:tc>
          <w:tcPr>
            <w:tcW w:w="5735" w:type="dxa"/>
            <w:tcBorders>
              <w:top w:val="nil"/>
              <w:left w:val="single" w:sz="2" w:space="0" w:color="auto"/>
              <w:bottom w:val="nil"/>
              <w:right w:val="nil"/>
            </w:tcBorders>
            <w:vAlign w:val="bottom"/>
          </w:tcPr>
          <w:p w14:paraId="27096A07" w14:textId="77777777" w:rsidR="003C6984" w:rsidRPr="00C85324" w:rsidRDefault="003C6984" w:rsidP="003C6984">
            <w:pPr>
              <w:pStyle w:val="TableText"/>
              <w:tabs>
                <w:tab w:val="left" w:pos="3306"/>
              </w:tabs>
              <w:rPr>
                <w:rFonts w:cs="Calibri"/>
                <w:b/>
                <w:iCs/>
              </w:rPr>
            </w:pPr>
            <w:r w:rsidRPr="00C85324">
              <w:rPr>
                <w:rFonts w:cs="Calibri"/>
                <w:b/>
                <w:iCs/>
              </w:rPr>
              <w:t>Buildings</w:t>
            </w:r>
          </w:p>
        </w:tc>
        <w:tc>
          <w:tcPr>
            <w:tcW w:w="1494" w:type="dxa"/>
            <w:tcBorders>
              <w:top w:val="nil"/>
              <w:left w:val="nil"/>
              <w:bottom w:val="nil"/>
              <w:right w:val="nil"/>
            </w:tcBorders>
            <w:vAlign w:val="bottom"/>
          </w:tcPr>
          <w:p w14:paraId="2F356875" w14:textId="77777777"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2EF52925" w14:textId="77777777" w:rsidR="003C6984" w:rsidRPr="00C85324" w:rsidRDefault="003C6984" w:rsidP="003C6984">
            <w:pPr>
              <w:pStyle w:val="TableText"/>
              <w:tabs>
                <w:tab w:val="left" w:pos="3306"/>
              </w:tabs>
              <w:jc w:val="right"/>
              <w:rPr>
                <w:rFonts w:cs="Calibri"/>
              </w:rPr>
            </w:pPr>
          </w:p>
        </w:tc>
      </w:tr>
      <w:tr w:rsidR="003C6984" w:rsidRPr="00CF7E1B" w14:paraId="6297A85E"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1FD725B8"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1BCECC14" w14:textId="77777777" w:rsidR="003C6984" w:rsidRPr="00C85324" w:rsidRDefault="003C6984" w:rsidP="003C6984">
            <w:pPr>
              <w:pStyle w:val="TableText"/>
              <w:tabs>
                <w:tab w:val="left" w:pos="3306"/>
              </w:tabs>
              <w:rPr>
                <w:rFonts w:cs="Calibri"/>
              </w:rPr>
            </w:pPr>
            <w:r w:rsidRPr="00C85324">
              <w:rPr>
                <w:rFonts w:cs="Calibri"/>
              </w:rPr>
              <w:t>At Fair Value</w:t>
            </w:r>
          </w:p>
        </w:tc>
        <w:tc>
          <w:tcPr>
            <w:tcW w:w="1494" w:type="dxa"/>
            <w:tcBorders>
              <w:top w:val="nil"/>
              <w:left w:val="nil"/>
              <w:bottom w:val="nil"/>
              <w:right w:val="nil"/>
            </w:tcBorders>
            <w:vAlign w:val="bottom"/>
          </w:tcPr>
          <w:p w14:paraId="6777D2A3" w14:textId="0A80BC43"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7AD899F8" w14:textId="47C277F5" w:rsidR="003C6984" w:rsidRPr="00C85324" w:rsidRDefault="003C6984" w:rsidP="003C6984">
            <w:pPr>
              <w:pStyle w:val="TableText"/>
              <w:tabs>
                <w:tab w:val="left" w:pos="3306"/>
              </w:tabs>
              <w:jc w:val="right"/>
              <w:rPr>
                <w:rFonts w:cs="Calibri"/>
              </w:rPr>
            </w:pPr>
          </w:p>
        </w:tc>
      </w:tr>
      <w:tr w:rsidR="003C6984" w:rsidRPr="00CF7E1B" w14:paraId="6260BC5C"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6F22FFED"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2CC128E0" w14:textId="77777777" w:rsidR="003C6984" w:rsidRPr="00C85324" w:rsidRDefault="003C6984" w:rsidP="003C6984">
            <w:pPr>
              <w:pStyle w:val="TableText"/>
              <w:tabs>
                <w:tab w:val="left" w:pos="3306"/>
              </w:tabs>
              <w:rPr>
                <w:rFonts w:cs="Calibri"/>
              </w:rPr>
            </w:pPr>
            <w:r w:rsidRPr="00C85324">
              <w:rPr>
                <w:rFonts w:cs="Calibri"/>
              </w:rPr>
              <w:t>Less: Accumulated Depreciation</w:t>
            </w:r>
          </w:p>
        </w:tc>
        <w:tc>
          <w:tcPr>
            <w:tcW w:w="1494" w:type="dxa"/>
            <w:tcBorders>
              <w:top w:val="nil"/>
              <w:left w:val="nil"/>
              <w:bottom w:val="nil"/>
              <w:right w:val="nil"/>
            </w:tcBorders>
            <w:vAlign w:val="bottom"/>
          </w:tcPr>
          <w:p w14:paraId="0949E3EF" w14:textId="60650835"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72B9F108" w14:textId="07C30A0B" w:rsidR="003C6984" w:rsidRPr="00C85324" w:rsidRDefault="003C6984" w:rsidP="003C6984">
            <w:pPr>
              <w:pStyle w:val="TableText"/>
              <w:tabs>
                <w:tab w:val="left" w:pos="3306"/>
              </w:tabs>
              <w:jc w:val="right"/>
              <w:rPr>
                <w:rFonts w:cs="Calibri"/>
              </w:rPr>
            </w:pPr>
          </w:p>
        </w:tc>
      </w:tr>
      <w:tr w:rsidR="003C6984" w:rsidRPr="00CF7E1B" w14:paraId="0FB224FA"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34270A63"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58C64032" w14:textId="77777777" w:rsidR="003C6984" w:rsidRPr="00C85324" w:rsidRDefault="003C6984" w:rsidP="003C6984">
            <w:pPr>
              <w:pStyle w:val="TableText"/>
              <w:tabs>
                <w:tab w:val="left" w:pos="3306"/>
              </w:tabs>
              <w:rPr>
                <w:rFonts w:cs="Calibri"/>
              </w:rPr>
            </w:pPr>
            <w:r w:rsidRPr="00C85324">
              <w:rPr>
                <w:rFonts w:cs="Calibri"/>
              </w:rPr>
              <w:t>Less: Accumulated Impairment Losses</w:t>
            </w:r>
          </w:p>
        </w:tc>
        <w:tc>
          <w:tcPr>
            <w:tcW w:w="1494" w:type="dxa"/>
            <w:tcBorders>
              <w:top w:val="nil"/>
              <w:left w:val="nil"/>
              <w:bottom w:val="single" w:sz="2" w:space="0" w:color="auto"/>
              <w:right w:val="nil"/>
            </w:tcBorders>
            <w:vAlign w:val="bottom"/>
          </w:tcPr>
          <w:p w14:paraId="48999BE6" w14:textId="49CFA54A" w:rsidR="003C6984" w:rsidRPr="00C85324" w:rsidRDefault="003C6984" w:rsidP="003C6984">
            <w:pPr>
              <w:pStyle w:val="TableText"/>
              <w:tabs>
                <w:tab w:val="left" w:pos="3306"/>
              </w:tabs>
              <w:jc w:val="right"/>
              <w:rPr>
                <w:rFonts w:cs="Calibri"/>
              </w:rPr>
            </w:pPr>
          </w:p>
        </w:tc>
        <w:tc>
          <w:tcPr>
            <w:tcW w:w="1702" w:type="dxa"/>
            <w:tcBorders>
              <w:top w:val="nil"/>
              <w:left w:val="nil"/>
              <w:bottom w:val="single" w:sz="2" w:space="0" w:color="auto"/>
              <w:right w:val="nil"/>
            </w:tcBorders>
            <w:vAlign w:val="bottom"/>
          </w:tcPr>
          <w:p w14:paraId="47FEA94F" w14:textId="1EF8CCA5" w:rsidR="003C6984" w:rsidRPr="00C85324" w:rsidRDefault="003C6984" w:rsidP="003C6984">
            <w:pPr>
              <w:pStyle w:val="TableText"/>
              <w:tabs>
                <w:tab w:val="left" w:pos="3306"/>
              </w:tabs>
              <w:jc w:val="right"/>
              <w:rPr>
                <w:rFonts w:cs="Calibri"/>
              </w:rPr>
            </w:pPr>
          </w:p>
        </w:tc>
      </w:tr>
      <w:tr w:rsidR="003C6984" w:rsidRPr="00CF7E1B" w14:paraId="1D21147E"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4041462A" w14:textId="77777777" w:rsidR="003C6984" w:rsidRPr="00C85324" w:rsidRDefault="003C6984" w:rsidP="003C6984">
            <w:pPr>
              <w:pStyle w:val="TableReference"/>
              <w:tabs>
                <w:tab w:val="left" w:pos="3306"/>
              </w:tabs>
              <w:spacing w:before="40"/>
              <w:rPr>
                <w:rFonts w:cs="Calibri"/>
                <w:color w:val="7030A0"/>
                <w:sz w:val="16"/>
                <w:szCs w:val="16"/>
              </w:rPr>
            </w:pPr>
          </w:p>
        </w:tc>
        <w:tc>
          <w:tcPr>
            <w:tcW w:w="5735" w:type="dxa"/>
            <w:tcBorders>
              <w:top w:val="nil"/>
              <w:left w:val="single" w:sz="2" w:space="0" w:color="auto"/>
              <w:bottom w:val="nil"/>
              <w:right w:val="nil"/>
            </w:tcBorders>
            <w:vAlign w:val="bottom"/>
          </w:tcPr>
          <w:p w14:paraId="232D8DB4" w14:textId="77777777" w:rsidR="003C6984" w:rsidRPr="00C85324" w:rsidRDefault="003C6984" w:rsidP="003C6984">
            <w:pPr>
              <w:pStyle w:val="TableText"/>
              <w:tabs>
                <w:tab w:val="left" w:pos="3306"/>
              </w:tabs>
              <w:rPr>
                <w:rFonts w:cs="Calibri"/>
                <w:b/>
                <w:iCs/>
              </w:rPr>
            </w:pPr>
            <w:r w:rsidRPr="00C85324">
              <w:rPr>
                <w:rFonts w:cs="Calibri"/>
                <w:b/>
                <w:iCs/>
              </w:rPr>
              <w:t xml:space="preserve">Total Buildings at </w:t>
            </w:r>
            <w:r w:rsidRPr="00C85324">
              <w:rPr>
                <w:rFonts w:cs="Calibri"/>
                <w:b/>
              </w:rPr>
              <w:t>Fair Value</w:t>
            </w:r>
          </w:p>
        </w:tc>
        <w:tc>
          <w:tcPr>
            <w:tcW w:w="1494" w:type="dxa"/>
            <w:tcBorders>
              <w:top w:val="single" w:sz="2" w:space="0" w:color="auto"/>
              <w:left w:val="nil"/>
              <w:bottom w:val="nil"/>
              <w:right w:val="nil"/>
            </w:tcBorders>
            <w:vAlign w:val="bottom"/>
          </w:tcPr>
          <w:p w14:paraId="25A20111" w14:textId="5E625036" w:rsidR="003C6984" w:rsidRPr="00C85324" w:rsidRDefault="003C6984" w:rsidP="003C6984">
            <w:pPr>
              <w:pStyle w:val="TableText"/>
              <w:tabs>
                <w:tab w:val="left" w:pos="3306"/>
              </w:tabs>
              <w:jc w:val="right"/>
              <w:rPr>
                <w:rFonts w:cs="Calibri"/>
              </w:rPr>
            </w:pPr>
          </w:p>
        </w:tc>
        <w:tc>
          <w:tcPr>
            <w:tcW w:w="1702" w:type="dxa"/>
            <w:tcBorders>
              <w:top w:val="single" w:sz="2" w:space="0" w:color="auto"/>
              <w:left w:val="nil"/>
              <w:bottom w:val="nil"/>
              <w:right w:val="nil"/>
            </w:tcBorders>
            <w:vAlign w:val="bottom"/>
          </w:tcPr>
          <w:p w14:paraId="530FB860" w14:textId="3E04EF6F" w:rsidR="003C6984" w:rsidRPr="00C85324" w:rsidRDefault="003C6984" w:rsidP="003C6984">
            <w:pPr>
              <w:pStyle w:val="TableText"/>
              <w:tabs>
                <w:tab w:val="left" w:pos="3306"/>
              </w:tabs>
              <w:jc w:val="right"/>
              <w:rPr>
                <w:rFonts w:cs="Calibri"/>
              </w:rPr>
            </w:pPr>
          </w:p>
        </w:tc>
      </w:tr>
      <w:tr w:rsidR="003C6984" w:rsidRPr="00CF7E1B" w14:paraId="5261BDB4" w14:textId="77777777" w:rsidTr="000456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61" w:type="dxa"/>
            <w:tcBorders>
              <w:top w:val="nil"/>
              <w:left w:val="single" w:sz="2" w:space="0" w:color="auto"/>
              <w:bottom w:val="nil"/>
              <w:right w:val="single" w:sz="2" w:space="0" w:color="auto"/>
            </w:tcBorders>
          </w:tcPr>
          <w:p w14:paraId="191BE28B" w14:textId="77777777" w:rsidR="003C6984" w:rsidRPr="00C85324" w:rsidRDefault="003C6984" w:rsidP="003C6984">
            <w:pPr>
              <w:pStyle w:val="TableReference"/>
              <w:tabs>
                <w:tab w:val="left" w:pos="3306"/>
              </w:tabs>
              <w:spacing w:before="60"/>
              <w:rPr>
                <w:rFonts w:cs="Calibri"/>
                <w:color w:val="7030A0"/>
                <w:sz w:val="16"/>
                <w:szCs w:val="16"/>
              </w:rPr>
            </w:pPr>
          </w:p>
        </w:tc>
        <w:tc>
          <w:tcPr>
            <w:tcW w:w="5735" w:type="dxa"/>
            <w:tcBorders>
              <w:top w:val="nil"/>
              <w:left w:val="single" w:sz="2" w:space="0" w:color="auto"/>
              <w:bottom w:val="nil"/>
              <w:right w:val="nil"/>
            </w:tcBorders>
            <w:vAlign w:val="bottom"/>
          </w:tcPr>
          <w:p w14:paraId="5DCEADE2" w14:textId="77777777" w:rsidR="003C6984" w:rsidRPr="00C85324" w:rsidRDefault="003C6984" w:rsidP="003C6984">
            <w:pPr>
              <w:pStyle w:val="TableText"/>
              <w:tabs>
                <w:tab w:val="left" w:pos="3306"/>
              </w:tabs>
              <w:rPr>
                <w:rFonts w:cs="Calibri"/>
              </w:rPr>
            </w:pPr>
          </w:p>
        </w:tc>
        <w:tc>
          <w:tcPr>
            <w:tcW w:w="1494" w:type="dxa"/>
            <w:tcBorders>
              <w:top w:val="nil"/>
              <w:left w:val="nil"/>
              <w:bottom w:val="nil"/>
              <w:right w:val="nil"/>
            </w:tcBorders>
            <w:vAlign w:val="bottom"/>
          </w:tcPr>
          <w:p w14:paraId="5CF1AA91" w14:textId="77777777" w:rsidR="003C6984" w:rsidRPr="00C85324" w:rsidRDefault="003C6984" w:rsidP="003C6984">
            <w:pPr>
              <w:pStyle w:val="TableText"/>
              <w:tabs>
                <w:tab w:val="left" w:pos="3306"/>
              </w:tabs>
              <w:jc w:val="right"/>
              <w:rPr>
                <w:rFonts w:cs="Calibri"/>
              </w:rPr>
            </w:pPr>
          </w:p>
        </w:tc>
        <w:tc>
          <w:tcPr>
            <w:tcW w:w="1702" w:type="dxa"/>
            <w:tcBorders>
              <w:top w:val="nil"/>
              <w:left w:val="nil"/>
              <w:bottom w:val="nil"/>
              <w:right w:val="nil"/>
            </w:tcBorders>
            <w:vAlign w:val="bottom"/>
          </w:tcPr>
          <w:p w14:paraId="3E2952FE" w14:textId="77777777" w:rsidR="003C6984" w:rsidRPr="00C85324" w:rsidRDefault="003C6984" w:rsidP="003C6984">
            <w:pPr>
              <w:pStyle w:val="TableText"/>
              <w:tabs>
                <w:tab w:val="left" w:pos="3306"/>
              </w:tabs>
              <w:jc w:val="right"/>
              <w:rPr>
                <w:rFonts w:cs="Calibri"/>
              </w:rPr>
            </w:pPr>
          </w:p>
        </w:tc>
      </w:tr>
    </w:tbl>
    <w:p w14:paraId="5042957C" w14:textId="77777777" w:rsidR="000A1EDA" w:rsidRDefault="000A1EDA">
      <w:r>
        <w:br w:type="page"/>
      </w:r>
    </w:p>
    <w:tbl>
      <w:tblPr>
        <w:tblW w:w="104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2"/>
        <w:gridCol w:w="5734"/>
        <w:gridCol w:w="392"/>
        <w:gridCol w:w="1102"/>
        <w:gridCol w:w="218"/>
        <w:gridCol w:w="1339"/>
        <w:gridCol w:w="145"/>
      </w:tblGrid>
      <w:tr w:rsidR="000A1EDA" w:rsidRPr="00CF7E1B" w14:paraId="587D18B8" w14:textId="77777777" w:rsidTr="0004564D">
        <w:trPr>
          <w:trHeight w:val="23"/>
        </w:trPr>
        <w:tc>
          <w:tcPr>
            <w:tcW w:w="1562" w:type="dxa"/>
            <w:tcBorders>
              <w:top w:val="nil"/>
              <w:left w:val="single" w:sz="2" w:space="0" w:color="auto"/>
              <w:bottom w:val="nil"/>
              <w:right w:val="single" w:sz="2" w:space="0" w:color="auto"/>
            </w:tcBorders>
          </w:tcPr>
          <w:p w14:paraId="0A8FD496" w14:textId="102AF094" w:rsidR="000A1EDA" w:rsidRPr="00C85324" w:rsidRDefault="000A1EDA" w:rsidP="00DA5473">
            <w:pPr>
              <w:pStyle w:val="TableReference"/>
              <w:tabs>
                <w:tab w:val="left" w:pos="3306"/>
              </w:tabs>
              <w:spacing w:before="240" w:after="240"/>
              <w:rPr>
                <w:rFonts w:cs="Calibri"/>
                <w:b/>
                <w:color w:val="7030A0"/>
                <w:sz w:val="22"/>
                <w:szCs w:val="22"/>
              </w:rPr>
            </w:pPr>
            <w:r w:rsidRPr="006C2572">
              <w:rPr>
                <w:rFonts w:cs="Calibri"/>
                <w:b/>
                <w:color w:val="7030A0"/>
                <w:sz w:val="22"/>
                <w:szCs w:val="22"/>
              </w:rPr>
              <w:t>Reference</w:t>
            </w:r>
          </w:p>
        </w:tc>
        <w:tc>
          <w:tcPr>
            <w:tcW w:w="8930" w:type="dxa"/>
            <w:gridSpan w:val="6"/>
            <w:tcBorders>
              <w:top w:val="nil"/>
              <w:left w:val="single" w:sz="2" w:space="0" w:color="auto"/>
              <w:bottom w:val="nil"/>
              <w:right w:val="nil"/>
            </w:tcBorders>
            <w:vAlign w:val="bottom"/>
          </w:tcPr>
          <w:p w14:paraId="4ADB41EE" w14:textId="4E4E83F6" w:rsidR="000A1EDA" w:rsidRPr="00C85324" w:rsidRDefault="000A1EDA" w:rsidP="00DA5473">
            <w:pPr>
              <w:pStyle w:val="Heading1"/>
              <w:numPr>
                <w:ilvl w:val="0"/>
                <w:numId w:val="0"/>
              </w:numPr>
            </w:pPr>
            <w:bookmarkStart w:id="760" w:name="_Toc98763177"/>
            <w:r w:rsidRPr="00C85324">
              <w:t>Note 35</w:t>
            </w:r>
            <w:r w:rsidRPr="00C85324">
              <w:rPr>
                <w:rFonts w:ascii="Arial Bold" w:hAnsi="Arial Bold"/>
              </w:rPr>
              <w:t>.</w:t>
            </w:r>
            <w:r>
              <w:t xml:space="preserve"> </w:t>
            </w:r>
            <w:r w:rsidRPr="00C85324">
              <w:t xml:space="preserve"> Interest in A Joint Operation</w:t>
            </w:r>
            <w:r>
              <w:t xml:space="preserve"> – Continued</w:t>
            </w:r>
            <w:bookmarkEnd w:id="760"/>
            <w:r>
              <w:t xml:space="preserve"> </w:t>
            </w:r>
          </w:p>
        </w:tc>
      </w:tr>
      <w:tr w:rsidR="000A1EDA" w:rsidRPr="00CF7E1B" w14:paraId="702511A2" w14:textId="77777777" w:rsidTr="0004564D">
        <w:trPr>
          <w:trHeight w:val="480"/>
        </w:trPr>
        <w:tc>
          <w:tcPr>
            <w:tcW w:w="1562" w:type="dxa"/>
            <w:tcBorders>
              <w:top w:val="nil"/>
              <w:left w:val="single" w:sz="2" w:space="0" w:color="auto"/>
              <w:bottom w:val="nil"/>
              <w:right w:val="single" w:sz="2" w:space="0" w:color="auto"/>
            </w:tcBorders>
          </w:tcPr>
          <w:p w14:paraId="78DD277D" w14:textId="77777777" w:rsidR="000A1EDA" w:rsidRPr="00C85324" w:rsidRDefault="000A1EDA" w:rsidP="00DA5473">
            <w:pPr>
              <w:pStyle w:val="TableReference"/>
              <w:tabs>
                <w:tab w:val="left" w:pos="3306"/>
              </w:tabs>
              <w:rPr>
                <w:rFonts w:cs="Calibri"/>
                <w:color w:val="7030A0"/>
                <w:sz w:val="16"/>
                <w:szCs w:val="16"/>
              </w:rPr>
            </w:pPr>
          </w:p>
        </w:tc>
        <w:tc>
          <w:tcPr>
            <w:tcW w:w="5734" w:type="dxa"/>
            <w:tcBorders>
              <w:top w:val="nil"/>
              <w:left w:val="single" w:sz="2" w:space="0" w:color="auto"/>
              <w:bottom w:val="nil"/>
              <w:right w:val="nil"/>
            </w:tcBorders>
            <w:vAlign w:val="bottom"/>
          </w:tcPr>
          <w:p w14:paraId="5740DAFF" w14:textId="77777777" w:rsidR="000A1EDA" w:rsidRPr="00C85324" w:rsidRDefault="000A1EDA" w:rsidP="00DA5473">
            <w:pPr>
              <w:pStyle w:val="TableText"/>
              <w:tabs>
                <w:tab w:val="left" w:pos="3306"/>
              </w:tabs>
              <w:spacing w:before="0"/>
              <w:rPr>
                <w:rFonts w:cs="Calibri"/>
              </w:rPr>
            </w:pPr>
          </w:p>
        </w:tc>
        <w:tc>
          <w:tcPr>
            <w:tcW w:w="1494" w:type="dxa"/>
            <w:gridSpan w:val="2"/>
            <w:tcBorders>
              <w:top w:val="nil"/>
              <w:left w:val="nil"/>
              <w:bottom w:val="nil"/>
              <w:right w:val="nil"/>
            </w:tcBorders>
            <w:vAlign w:val="bottom"/>
          </w:tcPr>
          <w:p w14:paraId="6E1E5AC0" w14:textId="77777777" w:rsidR="000A1EDA" w:rsidRPr="00C85324" w:rsidRDefault="000A1EDA" w:rsidP="00DA5473">
            <w:pPr>
              <w:pStyle w:val="TableTitle"/>
              <w:tabs>
                <w:tab w:val="left" w:pos="3306"/>
              </w:tabs>
              <w:rPr>
                <w:rFonts w:cs="Calibri"/>
              </w:rPr>
            </w:pPr>
            <w:r w:rsidRPr="00C85324">
              <w:rPr>
                <w:rFonts w:cs="Calibri"/>
              </w:rPr>
              <w:t>2022</w:t>
            </w:r>
          </w:p>
          <w:p w14:paraId="1D8C6A18" w14:textId="77777777" w:rsidR="000A1EDA" w:rsidRPr="00C85324" w:rsidRDefault="000A1EDA" w:rsidP="00DA5473">
            <w:pPr>
              <w:pStyle w:val="TableTitle"/>
              <w:tabs>
                <w:tab w:val="left" w:pos="3306"/>
              </w:tabs>
              <w:rPr>
                <w:rFonts w:cs="Calibri"/>
              </w:rPr>
            </w:pPr>
            <w:r w:rsidRPr="00C85324">
              <w:rPr>
                <w:rFonts w:cs="Calibri"/>
              </w:rPr>
              <w:t>$’000</w:t>
            </w:r>
          </w:p>
        </w:tc>
        <w:tc>
          <w:tcPr>
            <w:tcW w:w="1702" w:type="dxa"/>
            <w:gridSpan w:val="3"/>
            <w:tcBorders>
              <w:top w:val="nil"/>
              <w:left w:val="nil"/>
              <w:bottom w:val="nil"/>
              <w:right w:val="nil"/>
            </w:tcBorders>
            <w:vAlign w:val="bottom"/>
          </w:tcPr>
          <w:p w14:paraId="2ECED564" w14:textId="77777777" w:rsidR="000A1EDA" w:rsidRPr="00C85324" w:rsidRDefault="000A1EDA" w:rsidP="00DA5473">
            <w:pPr>
              <w:pStyle w:val="TableTitle"/>
              <w:tabs>
                <w:tab w:val="left" w:pos="3306"/>
              </w:tabs>
              <w:rPr>
                <w:rFonts w:cs="Calibri"/>
              </w:rPr>
            </w:pPr>
            <w:r w:rsidRPr="00C85324">
              <w:rPr>
                <w:rFonts w:cs="Calibri"/>
              </w:rPr>
              <w:t>2021</w:t>
            </w:r>
          </w:p>
          <w:p w14:paraId="4FDD196C" w14:textId="77777777" w:rsidR="000A1EDA" w:rsidRPr="00C85324" w:rsidRDefault="000A1EDA" w:rsidP="00DA5473">
            <w:pPr>
              <w:pStyle w:val="TableTitle"/>
              <w:tabs>
                <w:tab w:val="left" w:pos="3306"/>
              </w:tabs>
              <w:rPr>
                <w:rFonts w:cs="Calibri"/>
              </w:rPr>
            </w:pPr>
            <w:r w:rsidRPr="00C85324">
              <w:rPr>
                <w:rFonts w:cs="Calibri"/>
              </w:rPr>
              <w:t>$’000</w:t>
            </w:r>
          </w:p>
        </w:tc>
      </w:tr>
      <w:tr w:rsidR="003C6984" w:rsidRPr="00CF7E1B" w14:paraId="5DEC73E0" w14:textId="77777777" w:rsidTr="0004564D">
        <w:trPr>
          <w:trHeight w:val="23"/>
        </w:trPr>
        <w:tc>
          <w:tcPr>
            <w:tcW w:w="1562" w:type="dxa"/>
            <w:tcBorders>
              <w:top w:val="nil"/>
              <w:left w:val="single" w:sz="2" w:space="0" w:color="auto"/>
              <w:bottom w:val="nil"/>
              <w:right w:val="single" w:sz="2" w:space="0" w:color="auto"/>
            </w:tcBorders>
          </w:tcPr>
          <w:p w14:paraId="0AB77DA8" w14:textId="70F05D92" w:rsidR="003C6984" w:rsidRPr="00C85324" w:rsidRDefault="003C6984" w:rsidP="003C6984">
            <w:pPr>
              <w:pStyle w:val="TableReference"/>
              <w:tabs>
                <w:tab w:val="left" w:pos="3306"/>
              </w:tabs>
              <w:spacing w:before="60"/>
              <w:rPr>
                <w:rFonts w:cs="Calibri"/>
                <w:color w:val="7030A0"/>
                <w:sz w:val="16"/>
                <w:szCs w:val="16"/>
              </w:rPr>
            </w:pPr>
          </w:p>
        </w:tc>
        <w:tc>
          <w:tcPr>
            <w:tcW w:w="5734" w:type="dxa"/>
            <w:tcBorders>
              <w:top w:val="nil"/>
              <w:left w:val="single" w:sz="2" w:space="0" w:color="auto"/>
              <w:bottom w:val="nil"/>
              <w:right w:val="nil"/>
            </w:tcBorders>
            <w:vAlign w:val="bottom"/>
          </w:tcPr>
          <w:p w14:paraId="3C5C52A6" w14:textId="77777777" w:rsidR="003C6984" w:rsidRPr="00C85324" w:rsidRDefault="003C6984" w:rsidP="003C6984">
            <w:pPr>
              <w:pStyle w:val="TableText"/>
              <w:tabs>
                <w:tab w:val="left" w:pos="3306"/>
              </w:tabs>
              <w:rPr>
                <w:rFonts w:cs="Calibri"/>
                <w:b/>
                <w:iCs/>
              </w:rPr>
            </w:pPr>
            <w:r w:rsidRPr="00C85324">
              <w:rPr>
                <w:rFonts w:cs="Calibri"/>
                <w:b/>
                <w:iCs/>
              </w:rPr>
              <w:t>Plant and Equipment</w:t>
            </w:r>
          </w:p>
        </w:tc>
        <w:tc>
          <w:tcPr>
            <w:tcW w:w="1494" w:type="dxa"/>
            <w:gridSpan w:val="2"/>
            <w:tcBorders>
              <w:top w:val="nil"/>
              <w:left w:val="nil"/>
              <w:bottom w:val="nil"/>
              <w:right w:val="nil"/>
            </w:tcBorders>
            <w:vAlign w:val="bottom"/>
          </w:tcPr>
          <w:p w14:paraId="3CDB821F" w14:textId="77777777" w:rsidR="003C6984" w:rsidRPr="00C85324" w:rsidRDefault="003C6984" w:rsidP="003C6984">
            <w:pPr>
              <w:pStyle w:val="TableText"/>
              <w:tabs>
                <w:tab w:val="left" w:pos="3306"/>
              </w:tabs>
              <w:jc w:val="right"/>
              <w:rPr>
                <w:rFonts w:cs="Calibri"/>
              </w:rPr>
            </w:pPr>
          </w:p>
        </w:tc>
        <w:tc>
          <w:tcPr>
            <w:tcW w:w="1702" w:type="dxa"/>
            <w:gridSpan w:val="3"/>
            <w:tcBorders>
              <w:top w:val="nil"/>
              <w:left w:val="nil"/>
              <w:bottom w:val="nil"/>
              <w:right w:val="nil"/>
            </w:tcBorders>
            <w:vAlign w:val="bottom"/>
          </w:tcPr>
          <w:p w14:paraId="4C1BB49B" w14:textId="77777777" w:rsidR="003C6984" w:rsidRPr="00C85324" w:rsidRDefault="003C6984" w:rsidP="003C6984">
            <w:pPr>
              <w:pStyle w:val="TableText"/>
              <w:tabs>
                <w:tab w:val="left" w:pos="3306"/>
              </w:tabs>
              <w:jc w:val="right"/>
              <w:rPr>
                <w:rFonts w:cs="Calibri"/>
              </w:rPr>
            </w:pPr>
          </w:p>
        </w:tc>
      </w:tr>
      <w:tr w:rsidR="003C6984" w:rsidRPr="00CF7E1B" w14:paraId="2A951277" w14:textId="77777777" w:rsidTr="0004564D">
        <w:trPr>
          <w:trHeight w:val="23"/>
        </w:trPr>
        <w:tc>
          <w:tcPr>
            <w:tcW w:w="1562" w:type="dxa"/>
            <w:tcBorders>
              <w:top w:val="nil"/>
              <w:left w:val="single" w:sz="2" w:space="0" w:color="auto"/>
              <w:bottom w:val="nil"/>
              <w:right w:val="single" w:sz="2" w:space="0" w:color="auto"/>
            </w:tcBorders>
          </w:tcPr>
          <w:p w14:paraId="532642D9"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tcBorders>
              <w:top w:val="nil"/>
              <w:left w:val="single" w:sz="2" w:space="0" w:color="auto"/>
              <w:bottom w:val="nil"/>
              <w:right w:val="nil"/>
            </w:tcBorders>
            <w:vAlign w:val="bottom"/>
          </w:tcPr>
          <w:p w14:paraId="7DDF5CF0" w14:textId="77777777" w:rsidR="003C6984" w:rsidRPr="00C85324" w:rsidRDefault="003C6984" w:rsidP="003C6984">
            <w:pPr>
              <w:pStyle w:val="TableText"/>
              <w:tabs>
                <w:tab w:val="left" w:pos="3306"/>
              </w:tabs>
              <w:rPr>
                <w:rFonts w:cs="Calibri"/>
              </w:rPr>
            </w:pPr>
            <w:r w:rsidRPr="00C85324">
              <w:rPr>
                <w:rFonts w:cs="Calibri"/>
              </w:rPr>
              <w:t>At Cost</w:t>
            </w:r>
          </w:p>
        </w:tc>
        <w:tc>
          <w:tcPr>
            <w:tcW w:w="1494" w:type="dxa"/>
            <w:gridSpan w:val="2"/>
            <w:tcBorders>
              <w:top w:val="nil"/>
              <w:left w:val="nil"/>
              <w:bottom w:val="nil"/>
              <w:right w:val="nil"/>
            </w:tcBorders>
            <w:vAlign w:val="bottom"/>
          </w:tcPr>
          <w:p w14:paraId="7CFD68C8" w14:textId="6FA68151" w:rsidR="003C6984" w:rsidRPr="00C85324" w:rsidRDefault="003C6984" w:rsidP="003C6984">
            <w:pPr>
              <w:pStyle w:val="TableText"/>
              <w:tabs>
                <w:tab w:val="left" w:pos="3306"/>
              </w:tabs>
              <w:jc w:val="right"/>
              <w:rPr>
                <w:rFonts w:cs="Calibri"/>
              </w:rPr>
            </w:pPr>
          </w:p>
        </w:tc>
        <w:tc>
          <w:tcPr>
            <w:tcW w:w="1702" w:type="dxa"/>
            <w:gridSpan w:val="3"/>
            <w:tcBorders>
              <w:top w:val="nil"/>
              <w:left w:val="nil"/>
              <w:bottom w:val="nil"/>
              <w:right w:val="nil"/>
            </w:tcBorders>
            <w:vAlign w:val="bottom"/>
          </w:tcPr>
          <w:p w14:paraId="20A9BBC4" w14:textId="7CAC0E1E" w:rsidR="003C6984" w:rsidRPr="00C85324" w:rsidRDefault="003C6984" w:rsidP="003C6984">
            <w:pPr>
              <w:pStyle w:val="TableText"/>
              <w:tabs>
                <w:tab w:val="left" w:pos="3306"/>
              </w:tabs>
              <w:jc w:val="right"/>
              <w:rPr>
                <w:rFonts w:cs="Calibri"/>
              </w:rPr>
            </w:pPr>
          </w:p>
        </w:tc>
      </w:tr>
      <w:tr w:rsidR="003C6984" w:rsidRPr="00CF7E1B" w14:paraId="6248D622" w14:textId="77777777" w:rsidTr="0004564D">
        <w:trPr>
          <w:trHeight w:val="23"/>
        </w:trPr>
        <w:tc>
          <w:tcPr>
            <w:tcW w:w="1562" w:type="dxa"/>
            <w:tcBorders>
              <w:top w:val="nil"/>
              <w:left w:val="single" w:sz="2" w:space="0" w:color="auto"/>
              <w:bottom w:val="nil"/>
              <w:right w:val="single" w:sz="2" w:space="0" w:color="auto"/>
            </w:tcBorders>
          </w:tcPr>
          <w:p w14:paraId="33F224EA"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tcBorders>
              <w:top w:val="nil"/>
              <w:left w:val="single" w:sz="2" w:space="0" w:color="auto"/>
              <w:bottom w:val="nil"/>
              <w:right w:val="nil"/>
            </w:tcBorders>
            <w:vAlign w:val="bottom"/>
          </w:tcPr>
          <w:p w14:paraId="6B7EFBFF" w14:textId="77777777" w:rsidR="003C6984" w:rsidRPr="00C85324" w:rsidRDefault="003C6984" w:rsidP="003C6984">
            <w:pPr>
              <w:pStyle w:val="TableText"/>
              <w:tabs>
                <w:tab w:val="left" w:pos="3306"/>
              </w:tabs>
              <w:rPr>
                <w:rFonts w:cs="Calibri"/>
              </w:rPr>
            </w:pPr>
            <w:r w:rsidRPr="00C85324">
              <w:rPr>
                <w:rFonts w:cs="Calibri"/>
              </w:rPr>
              <w:t>Less: Accumulated Depreciation</w:t>
            </w:r>
          </w:p>
        </w:tc>
        <w:tc>
          <w:tcPr>
            <w:tcW w:w="1494" w:type="dxa"/>
            <w:gridSpan w:val="2"/>
            <w:tcBorders>
              <w:top w:val="nil"/>
              <w:left w:val="nil"/>
              <w:bottom w:val="nil"/>
              <w:right w:val="nil"/>
            </w:tcBorders>
            <w:vAlign w:val="bottom"/>
          </w:tcPr>
          <w:p w14:paraId="0196616C" w14:textId="037F7D1A" w:rsidR="003C6984" w:rsidRPr="00C85324" w:rsidRDefault="003C6984" w:rsidP="003C6984">
            <w:pPr>
              <w:pStyle w:val="TableText"/>
              <w:tabs>
                <w:tab w:val="left" w:pos="3306"/>
              </w:tabs>
              <w:jc w:val="right"/>
              <w:rPr>
                <w:rFonts w:cs="Calibri"/>
              </w:rPr>
            </w:pPr>
          </w:p>
        </w:tc>
        <w:tc>
          <w:tcPr>
            <w:tcW w:w="1702" w:type="dxa"/>
            <w:gridSpan w:val="3"/>
            <w:tcBorders>
              <w:top w:val="nil"/>
              <w:left w:val="nil"/>
              <w:bottom w:val="nil"/>
              <w:right w:val="nil"/>
            </w:tcBorders>
            <w:vAlign w:val="bottom"/>
          </w:tcPr>
          <w:p w14:paraId="01242269" w14:textId="61BBFA55" w:rsidR="003C6984" w:rsidRPr="00C85324" w:rsidRDefault="003C6984" w:rsidP="003C6984">
            <w:pPr>
              <w:pStyle w:val="TableText"/>
              <w:tabs>
                <w:tab w:val="left" w:pos="3306"/>
              </w:tabs>
              <w:jc w:val="right"/>
              <w:rPr>
                <w:rFonts w:cs="Calibri"/>
              </w:rPr>
            </w:pPr>
          </w:p>
        </w:tc>
      </w:tr>
      <w:tr w:rsidR="003C6984" w:rsidRPr="00CF7E1B" w14:paraId="392A2393" w14:textId="77777777" w:rsidTr="0004564D">
        <w:trPr>
          <w:trHeight w:val="23"/>
        </w:trPr>
        <w:tc>
          <w:tcPr>
            <w:tcW w:w="1562" w:type="dxa"/>
            <w:tcBorders>
              <w:top w:val="nil"/>
              <w:left w:val="single" w:sz="2" w:space="0" w:color="auto"/>
              <w:bottom w:val="nil"/>
              <w:right w:val="single" w:sz="2" w:space="0" w:color="auto"/>
            </w:tcBorders>
          </w:tcPr>
          <w:p w14:paraId="1F4BC056"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tcBorders>
              <w:top w:val="nil"/>
              <w:left w:val="single" w:sz="2" w:space="0" w:color="auto"/>
              <w:bottom w:val="nil"/>
              <w:right w:val="nil"/>
            </w:tcBorders>
            <w:vAlign w:val="bottom"/>
          </w:tcPr>
          <w:p w14:paraId="381E76A3" w14:textId="77777777" w:rsidR="003C6984" w:rsidRPr="00C85324" w:rsidRDefault="003C6984" w:rsidP="003C6984">
            <w:pPr>
              <w:pStyle w:val="TableText"/>
              <w:tabs>
                <w:tab w:val="left" w:pos="3306"/>
              </w:tabs>
              <w:rPr>
                <w:rFonts w:cs="Calibri"/>
              </w:rPr>
            </w:pPr>
            <w:r w:rsidRPr="00C85324">
              <w:rPr>
                <w:rFonts w:cs="Calibri"/>
              </w:rPr>
              <w:t>Less: Accumulated Impairment Losses</w:t>
            </w:r>
          </w:p>
        </w:tc>
        <w:tc>
          <w:tcPr>
            <w:tcW w:w="1494" w:type="dxa"/>
            <w:gridSpan w:val="2"/>
            <w:tcBorders>
              <w:top w:val="nil"/>
              <w:left w:val="nil"/>
              <w:bottom w:val="single" w:sz="2" w:space="0" w:color="auto"/>
              <w:right w:val="nil"/>
            </w:tcBorders>
            <w:vAlign w:val="bottom"/>
          </w:tcPr>
          <w:p w14:paraId="03BA2B6D" w14:textId="09461F9B" w:rsidR="003C6984" w:rsidRPr="00C85324" w:rsidRDefault="003C6984" w:rsidP="003C6984">
            <w:pPr>
              <w:pStyle w:val="TableText"/>
              <w:tabs>
                <w:tab w:val="left" w:pos="3306"/>
              </w:tabs>
              <w:jc w:val="right"/>
              <w:rPr>
                <w:rFonts w:cs="Calibri"/>
              </w:rPr>
            </w:pPr>
          </w:p>
        </w:tc>
        <w:tc>
          <w:tcPr>
            <w:tcW w:w="1702" w:type="dxa"/>
            <w:gridSpan w:val="3"/>
            <w:tcBorders>
              <w:top w:val="nil"/>
              <w:left w:val="nil"/>
              <w:bottom w:val="single" w:sz="2" w:space="0" w:color="auto"/>
              <w:right w:val="nil"/>
            </w:tcBorders>
            <w:vAlign w:val="bottom"/>
          </w:tcPr>
          <w:p w14:paraId="1820B0C5" w14:textId="4CEF0957" w:rsidR="003C6984" w:rsidRPr="00C85324" w:rsidRDefault="003C6984" w:rsidP="003C6984">
            <w:pPr>
              <w:pStyle w:val="TableText"/>
              <w:tabs>
                <w:tab w:val="left" w:pos="3306"/>
              </w:tabs>
              <w:jc w:val="right"/>
              <w:rPr>
                <w:rFonts w:cs="Calibri"/>
              </w:rPr>
            </w:pPr>
          </w:p>
        </w:tc>
      </w:tr>
      <w:tr w:rsidR="003C6984" w:rsidRPr="00CF7E1B" w14:paraId="4AD8F405" w14:textId="77777777" w:rsidTr="0004564D">
        <w:trPr>
          <w:trHeight w:val="23"/>
        </w:trPr>
        <w:tc>
          <w:tcPr>
            <w:tcW w:w="1562" w:type="dxa"/>
            <w:tcBorders>
              <w:top w:val="nil"/>
              <w:left w:val="single" w:sz="2" w:space="0" w:color="auto"/>
              <w:bottom w:val="nil"/>
              <w:right w:val="single" w:sz="2" w:space="0" w:color="auto"/>
            </w:tcBorders>
          </w:tcPr>
          <w:p w14:paraId="20A3861C"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tcBorders>
              <w:top w:val="nil"/>
              <w:left w:val="single" w:sz="2" w:space="0" w:color="auto"/>
              <w:bottom w:val="nil"/>
              <w:right w:val="nil"/>
            </w:tcBorders>
            <w:vAlign w:val="bottom"/>
          </w:tcPr>
          <w:p w14:paraId="3C5CB37E" w14:textId="77777777" w:rsidR="003C6984" w:rsidRPr="00C85324" w:rsidRDefault="003C6984" w:rsidP="003C6984">
            <w:pPr>
              <w:pStyle w:val="TableText"/>
              <w:tabs>
                <w:tab w:val="left" w:pos="3306"/>
              </w:tabs>
              <w:rPr>
                <w:rFonts w:cs="Calibri"/>
                <w:b/>
                <w:iCs/>
              </w:rPr>
            </w:pPr>
            <w:r w:rsidRPr="00C85324">
              <w:rPr>
                <w:rFonts w:cs="Calibri"/>
                <w:b/>
                <w:iCs/>
              </w:rPr>
              <w:t xml:space="preserve">Total Plant and Equipment at </w:t>
            </w:r>
            <w:r w:rsidRPr="00C85324">
              <w:rPr>
                <w:rFonts w:cs="Calibri"/>
                <w:b/>
              </w:rPr>
              <w:t>Cost</w:t>
            </w:r>
          </w:p>
        </w:tc>
        <w:tc>
          <w:tcPr>
            <w:tcW w:w="1494" w:type="dxa"/>
            <w:gridSpan w:val="2"/>
            <w:tcBorders>
              <w:top w:val="single" w:sz="2" w:space="0" w:color="auto"/>
              <w:left w:val="nil"/>
              <w:bottom w:val="nil"/>
              <w:right w:val="nil"/>
            </w:tcBorders>
            <w:vAlign w:val="bottom"/>
          </w:tcPr>
          <w:p w14:paraId="4B5EC203" w14:textId="7C5FA948" w:rsidR="003C6984" w:rsidRPr="00C85324" w:rsidRDefault="003C6984" w:rsidP="003C6984">
            <w:pPr>
              <w:pStyle w:val="TableText"/>
              <w:tabs>
                <w:tab w:val="left" w:pos="3306"/>
              </w:tabs>
              <w:jc w:val="right"/>
              <w:rPr>
                <w:rFonts w:cs="Calibri"/>
              </w:rPr>
            </w:pPr>
          </w:p>
        </w:tc>
        <w:tc>
          <w:tcPr>
            <w:tcW w:w="1702" w:type="dxa"/>
            <w:gridSpan w:val="3"/>
            <w:tcBorders>
              <w:top w:val="single" w:sz="2" w:space="0" w:color="auto"/>
              <w:left w:val="nil"/>
              <w:bottom w:val="nil"/>
              <w:right w:val="nil"/>
            </w:tcBorders>
            <w:vAlign w:val="bottom"/>
          </w:tcPr>
          <w:p w14:paraId="0D45D3BF" w14:textId="62373E58" w:rsidR="003C6984" w:rsidRPr="00C85324" w:rsidRDefault="003C6984" w:rsidP="003C6984">
            <w:pPr>
              <w:pStyle w:val="TableText"/>
              <w:tabs>
                <w:tab w:val="left" w:pos="3306"/>
              </w:tabs>
              <w:jc w:val="right"/>
              <w:rPr>
                <w:rFonts w:cs="Calibri"/>
              </w:rPr>
            </w:pPr>
          </w:p>
        </w:tc>
      </w:tr>
      <w:tr w:rsidR="003C6984" w:rsidRPr="00CF7E1B" w14:paraId="63D8181A" w14:textId="77777777" w:rsidTr="0004564D">
        <w:trPr>
          <w:trHeight w:val="23"/>
        </w:trPr>
        <w:tc>
          <w:tcPr>
            <w:tcW w:w="1562" w:type="dxa"/>
            <w:tcBorders>
              <w:top w:val="nil"/>
              <w:left w:val="single" w:sz="2" w:space="0" w:color="auto"/>
              <w:bottom w:val="nil"/>
              <w:right w:val="single" w:sz="2" w:space="0" w:color="auto"/>
            </w:tcBorders>
          </w:tcPr>
          <w:p w14:paraId="00162F0C"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tcBorders>
              <w:top w:val="nil"/>
              <w:left w:val="single" w:sz="2" w:space="0" w:color="auto"/>
              <w:bottom w:val="nil"/>
              <w:right w:val="nil"/>
            </w:tcBorders>
            <w:vAlign w:val="bottom"/>
          </w:tcPr>
          <w:p w14:paraId="6E17A0EB" w14:textId="77777777" w:rsidR="003C6984" w:rsidRPr="00C85324" w:rsidRDefault="003C6984" w:rsidP="003C6984">
            <w:pPr>
              <w:pStyle w:val="TableText"/>
              <w:tabs>
                <w:tab w:val="left" w:pos="3306"/>
              </w:tabs>
              <w:rPr>
                <w:rFonts w:cs="Calibri"/>
              </w:rPr>
            </w:pPr>
          </w:p>
        </w:tc>
        <w:tc>
          <w:tcPr>
            <w:tcW w:w="1494" w:type="dxa"/>
            <w:gridSpan w:val="2"/>
            <w:tcBorders>
              <w:top w:val="nil"/>
              <w:left w:val="nil"/>
              <w:bottom w:val="nil"/>
              <w:right w:val="nil"/>
            </w:tcBorders>
            <w:vAlign w:val="bottom"/>
          </w:tcPr>
          <w:p w14:paraId="1B85551B" w14:textId="77777777" w:rsidR="003C6984" w:rsidRPr="00C85324" w:rsidRDefault="003C6984" w:rsidP="003C6984">
            <w:pPr>
              <w:pStyle w:val="TableText"/>
              <w:tabs>
                <w:tab w:val="left" w:pos="3306"/>
              </w:tabs>
              <w:jc w:val="right"/>
              <w:rPr>
                <w:rFonts w:cs="Calibri"/>
              </w:rPr>
            </w:pPr>
          </w:p>
        </w:tc>
        <w:tc>
          <w:tcPr>
            <w:tcW w:w="1702" w:type="dxa"/>
            <w:gridSpan w:val="3"/>
            <w:tcBorders>
              <w:top w:val="nil"/>
              <w:left w:val="nil"/>
              <w:bottom w:val="nil"/>
              <w:right w:val="nil"/>
            </w:tcBorders>
            <w:vAlign w:val="bottom"/>
          </w:tcPr>
          <w:p w14:paraId="651EA620" w14:textId="77777777" w:rsidR="003C6984" w:rsidRPr="00C85324" w:rsidRDefault="003C6984" w:rsidP="003C6984">
            <w:pPr>
              <w:pStyle w:val="TableText"/>
              <w:tabs>
                <w:tab w:val="left" w:pos="3306"/>
              </w:tabs>
              <w:jc w:val="right"/>
              <w:rPr>
                <w:rFonts w:cs="Calibri"/>
              </w:rPr>
            </w:pPr>
          </w:p>
        </w:tc>
      </w:tr>
      <w:tr w:rsidR="003C6984" w:rsidRPr="00CF7E1B" w14:paraId="3CD85F34" w14:textId="77777777" w:rsidTr="0004564D">
        <w:trPr>
          <w:trHeight w:val="23"/>
        </w:trPr>
        <w:tc>
          <w:tcPr>
            <w:tcW w:w="1562" w:type="dxa"/>
            <w:tcBorders>
              <w:top w:val="nil"/>
              <w:left w:val="single" w:sz="2" w:space="0" w:color="auto"/>
              <w:bottom w:val="nil"/>
              <w:right w:val="single" w:sz="2" w:space="0" w:color="auto"/>
            </w:tcBorders>
          </w:tcPr>
          <w:p w14:paraId="74218EA9"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tcBorders>
              <w:top w:val="nil"/>
              <w:left w:val="single" w:sz="2" w:space="0" w:color="auto"/>
              <w:bottom w:val="nil"/>
              <w:right w:val="nil"/>
            </w:tcBorders>
            <w:vAlign w:val="bottom"/>
          </w:tcPr>
          <w:p w14:paraId="466AD4D7" w14:textId="77777777" w:rsidR="003C6984" w:rsidRPr="00C85324" w:rsidRDefault="003C6984" w:rsidP="003C6984">
            <w:pPr>
              <w:pStyle w:val="TableText"/>
              <w:tabs>
                <w:tab w:val="left" w:pos="3306"/>
              </w:tabs>
              <w:rPr>
                <w:rFonts w:cs="Calibri"/>
                <w:b/>
                <w:iCs/>
              </w:rPr>
            </w:pPr>
            <w:r w:rsidRPr="00C85324">
              <w:rPr>
                <w:rFonts w:cs="Calibri"/>
                <w:b/>
                <w:iCs/>
              </w:rPr>
              <w:t>Infrastructure Assets</w:t>
            </w:r>
          </w:p>
        </w:tc>
        <w:tc>
          <w:tcPr>
            <w:tcW w:w="1494" w:type="dxa"/>
            <w:gridSpan w:val="2"/>
            <w:tcBorders>
              <w:top w:val="nil"/>
              <w:left w:val="nil"/>
              <w:bottom w:val="nil"/>
              <w:right w:val="nil"/>
            </w:tcBorders>
            <w:vAlign w:val="bottom"/>
          </w:tcPr>
          <w:p w14:paraId="0B74283B" w14:textId="77777777" w:rsidR="003C6984" w:rsidRPr="00C85324" w:rsidRDefault="003C6984" w:rsidP="003C6984">
            <w:pPr>
              <w:pStyle w:val="TableText"/>
              <w:tabs>
                <w:tab w:val="left" w:pos="3306"/>
              </w:tabs>
              <w:jc w:val="right"/>
              <w:rPr>
                <w:rFonts w:cs="Calibri"/>
              </w:rPr>
            </w:pPr>
          </w:p>
        </w:tc>
        <w:tc>
          <w:tcPr>
            <w:tcW w:w="1702" w:type="dxa"/>
            <w:gridSpan w:val="3"/>
            <w:tcBorders>
              <w:top w:val="nil"/>
              <w:left w:val="nil"/>
              <w:bottom w:val="nil"/>
              <w:right w:val="nil"/>
            </w:tcBorders>
            <w:vAlign w:val="bottom"/>
          </w:tcPr>
          <w:p w14:paraId="02381709" w14:textId="77777777" w:rsidR="003C6984" w:rsidRPr="00C85324" w:rsidRDefault="003C6984" w:rsidP="003C6984">
            <w:pPr>
              <w:pStyle w:val="TableText"/>
              <w:tabs>
                <w:tab w:val="left" w:pos="3306"/>
              </w:tabs>
              <w:jc w:val="right"/>
              <w:rPr>
                <w:rFonts w:cs="Calibri"/>
              </w:rPr>
            </w:pPr>
          </w:p>
        </w:tc>
      </w:tr>
      <w:tr w:rsidR="003C6984" w:rsidRPr="00CF7E1B" w14:paraId="57B0A7BE" w14:textId="77777777" w:rsidTr="0004564D">
        <w:trPr>
          <w:trHeight w:val="23"/>
        </w:trPr>
        <w:tc>
          <w:tcPr>
            <w:tcW w:w="1562" w:type="dxa"/>
            <w:tcBorders>
              <w:top w:val="nil"/>
              <w:left w:val="single" w:sz="2" w:space="0" w:color="auto"/>
              <w:bottom w:val="nil"/>
              <w:right w:val="single" w:sz="2" w:space="0" w:color="auto"/>
            </w:tcBorders>
          </w:tcPr>
          <w:p w14:paraId="53C92ACE"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tcBorders>
              <w:top w:val="nil"/>
              <w:left w:val="single" w:sz="2" w:space="0" w:color="auto"/>
              <w:bottom w:val="nil"/>
              <w:right w:val="nil"/>
            </w:tcBorders>
            <w:vAlign w:val="bottom"/>
          </w:tcPr>
          <w:p w14:paraId="677BF44E" w14:textId="77777777" w:rsidR="003C6984" w:rsidRPr="00C85324" w:rsidRDefault="003C6984" w:rsidP="003C6984">
            <w:pPr>
              <w:pStyle w:val="TableText"/>
              <w:tabs>
                <w:tab w:val="left" w:pos="3306"/>
              </w:tabs>
              <w:rPr>
                <w:rFonts w:cs="Calibri"/>
              </w:rPr>
            </w:pPr>
            <w:r w:rsidRPr="00C85324">
              <w:rPr>
                <w:rFonts w:cs="Calibri"/>
              </w:rPr>
              <w:t>At Fair Value</w:t>
            </w:r>
          </w:p>
        </w:tc>
        <w:tc>
          <w:tcPr>
            <w:tcW w:w="1494" w:type="dxa"/>
            <w:gridSpan w:val="2"/>
            <w:tcBorders>
              <w:top w:val="nil"/>
              <w:left w:val="nil"/>
              <w:bottom w:val="nil"/>
              <w:right w:val="nil"/>
            </w:tcBorders>
            <w:vAlign w:val="bottom"/>
          </w:tcPr>
          <w:p w14:paraId="19583B84" w14:textId="55FDEC60" w:rsidR="003C6984" w:rsidRPr="00C85324" w:rsidRDefault="003C6984" w:rsidP="003C6984">
            <w:pPr>
              <w:pStyle w:val="TableText"/>
              <w:tabs>
                <w:tab w:val="left" w:pos="3306"/>
              </w:tabs>
              <w:jc w:val="right"/>
              <w:rPr>
                <w:rFonts w:cs="Calibri"/>
              </w:rPr>
            </w:pPr>
          </w:p>
        </w:tc>
        <w:tc>
          <w:tcPr>
            <w:tcW w:w="1702" w:type="dxa"/>
            <w:gridSpan w:val="3"/>
            <w:tcBorders>
              <w:top w:val="nil"/>
              <w:left w:val="nil"/>
              <w:bottom w:val="nil"/>
              <w:right w:val="nil"/>
            </w:tcBorders>
            <w:vAlign w:val="bottom"/>
          </w:tcPr>
          <w:p w14:paraId="68EFEEFF" w14:textId="7CEE1DE6" w:rsidR="003C6984" w:rsidRPr="00C85324" w:rsidRDefault="003C6984" w:rsidP="003C6984">
            <w:pPr>
              <w:pStyle w:val="TableText"/>
              <w:tabs>
                <w:tab w:val="left" w:pos="3306"/>
              </w:tabs>
              <w:jc w:val="right"/>
              <w:rPr>
                <w:rFonts w:cs="Calibri"/>
              </w:rPr>
            </w:pPr>
          </w:p>
        </w:tc>
      </w:tr>
      <w:tr w:rsidR="003C6984" w:rsidRPr="00CF7E1B" w14:paraId="20D21669" w14:textId="77777777" w:rsidTr="0004564D">
        <w:trPr>
          <w:trHeight w:val="23"/>
        </w:trPr>
        <w:tc>
          <w:tcPr>
            <w:tcW w:w="1562" w:type="dxa"/>
            <w:tcBorders>
              <w:top w:val="nil"/>
              <w:left w:val="single" w:sz="2" w:space="0" w:color="auto"/>
              <w:bottom w:val="nil"/>
              <w:right w:val="single" w:sz="2" w:space="0" w:color="auto"/>
            </w:tcBorders>
          </w:tcPr>
          <w:p w14:paraId="2F200E93"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tcBorders>
              <w:top w:val="nil"/>
              <w:left w:val="single" w:sz="2" w:space="0" w:color="auto"/>
              <w:bottom w:val="nil"/>
              <w:right w:val="nil"/>
            </w:tcBorders>
            <w:vAlign w:val="bottom"/>
          </w:tcPr>
          <w:p w14:paraId="7BDBDC1D" w14:textId="77777777" w:rsidR="003C6984" w:rsidRPr="00C85324" w:rsidRDefault="003C6984" w:rsidP="003C6984">
            <w:pPr>
              <w:pStyle w:val="TableText"/>
              <w:tabs>
                <w:tab w:val="left" w:pos="3306"/>
              </w:tabs>
              <w:rPr>
                <w:rFonts w:cs="Calibri"/>
              </w:rPr>
            </w:pPr>
            <w:r w:rsidRPr="00C85324">
              <w:rPr>
                <w:rFonts w:cs="Calibri"/>
              </w:rPr>
              <w:t>Less: Accumulated Depreciation</w:t>
            </w:r>
          </w:p>
        </w:tc>
        <w:tc>
          <w:tcPr>
            <w:tcW w:w="1494" w:type="dxa"/>
            <w:gridSpan w:val="2"/>
            <w:tcBorders>
              <w:top w:val="nil"/>
              <w:left w:val="nil"/>
              <w:bottom w:val="nil"/>
              <w:right w:val="nil"/>
            </w:tcBorders>
            <w:vAlign w:val="bottom"/>
          </w:tcPr>
          <w:p w14:paraId="3C984603" w14:textId="10C2BCCF" w:rsidR="003C6984" w:rsidRPr="00C85324" w:rsidRDefault="003C6984" w:rsidP="003C6984">
            <w:pPr>
              <w:pStyle w:val="TableText"/>
              <w:tabs>
                <w:tab w:val="left" w:pos="3306"/>
              </w:tabs>
              <w:jc w:val="right"/>
              <w:rPr>
                <w:rFonts w:cs="Calibri"/>
              </w:rPr>
            </w:pPr>
          </w:p>
        </w:tc>
        <w:tc>
          <w:tcPr>
            <w:tcW w:w="1702" w:type="dxa"/>
            <w:gridSpan w:val="3"/>
            <w:tcBorders>
              <w:top w:val="nil"/>
              <w:left w:val="nil"/>
              <w:bottom w:val="nil"/>
              <w:right w:val="nil"/>
            </w:tcBorders>
            <w:vAlign w:val="bottom"/>
          </w:tcPr>
          <w:p w14:paraId="38C2B622" w14:textId="09620767" w:rsidR="003C6984" w:rsidRPr="00C85324" w:rsidRDefault="003C6984" w:rsidP="003C6984">
            <w:pPr>
              <w:pStyle w:val="TableText"/>
              <w:tabs>
                <w:tab w:val="left" w:pos="3306"/>
              </w:tabs>
              <w:jc w:val="right"/>
              <w:rPr>
                <w:rFonts w:cs="Calibri"/>
              </w:rPr>
            </w:pPr>
          </w:p>
        </w:tc>
      </w:tr>
      <w:tr w:rsidR="003C6984" w:rsidRPr="00CF7E1B" w14:paraId="6F317F78" w14:textId="77777777" w:rsidTr="0004564D">
        <w:trPr>
          <w:trHeight w:val="23"/>
        </w:trPr>
        <w:tc>
          <w:tcPr>
            <w:tcW w:w="1562" w:type="dxa"/>
            <w:tcBorders>
              <w:top w:val="nil"/>
              <w:left w:val="single" w:sz="2" w:space="0" w:color="auto"/>
              <w:bottom w:val="nil"/>
              <w:right w:val="single" w:sz="2" w:space="0" w:color="auto"/>
            </w:tcBorders>
          </w:tcPr>
          <w:p w14:paraId="36B28EBD"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tcBorders>
              <w:top w:val="nil"/>
              <w:left w:val="single" w:sz="2" w:space="0" w:color="auto"/>
              <w:bottom w:val="nil"/>
              <w:right w:val="nil"/>
            </w:tcBorders>
            <w:vAlign w:val="bottom"/>
          </w:tcPr>
          <w:p w14:paraId="7B1AC545" w14:textId="77777777" w:rsidR="003C6984" w:rsidRPr="00C85324" w:rsidRDefault="003C6984" w:rsidP="003C6984">
            <w:pPr>
              <w:pStyle w:val="TableText"/>
              <w:tabs>
                <w:tab w:val="left" w:pos="3306"/>
              </w:tabs>
              <w:rPr>
                <w:rFonts w:cs="Calibri"/>
              </w:rPr>
            </w:pPr>
            <w:r w:rsidRPr="00C85324">
              <w:rPr>
                <w:rFonts w:cs="Calibri"/>
              </w:rPr>
              <w:t>Less: Accumulated Impairment Losses</w:t>
            </w:r>
          </w:p>
        </w:tc>
        <w:tc>
          <w:tcPr>
            <w:tcW w:w="1494" w:type="dxa"/>
            <w:gridSpan w:val="2"/>
            <w:tcBorders>
              <w:top w:val="nil"/>
              <w:left w:val="nil"/>
              <w:bottom w:val="single" w:sz="2" w:space="0" w:color="auto"/>
              <w:right w:val="nil"/>
            </w:tcBorders>
            <w:vAlign w:val="bottom"/>
          </w:tcPr>
          <w:p w14:paraId="4D0ED563" w14:textId="28A876EB" w:rsidR="003C6984" w:rsidRPr="00C85324" w:rsidRDefault="003C6984" w:rsidP="003C6984">
            <w:pPr>
              <w:pStyle w:val="TableText"/>
              <w:tabs>
                <w:tab w:val="left" w:pos="3306"/>
              </w:tabs>
              <w:jc w:val="right"/>
              <w:rPr>
                <w:rFonts w:cs="Calibri"/>
              </w:rPr>
            </w:pPr>
          </w:p>
        </w:tc>
        <w:tc>
          <w:tcPr>
            <w:tcW w:w="1702" w:type="dxa"/>
            <w:gridSpan w:val="3"/>
            <w:tcBorders>
              <w:top w:val="nil"/>
              <w:left w:val="nil"/>
              <w:bottom w:val="single" w:sz="2" w:space="0" w:color="auto"/>
              <w:right w:val="nil"/>
            </w:tcBorders>
            <w:vAlign w:val="bottom"/>
          </w:tcPr>
          <w:p w14:paraId="4D1D1167" w14:textId="19D20221" w:rsidR="003C6984" w:rsidRPr="00C85324" w:rsidRDefault="003C6984" w:rsidP="003C6984">
            <w:pPr>
              <w:pStyle w:val="TableText"/>
              <w:tabs>
                <w:tab w:val="left" w:pos="3306"/>
              </w:tabs>
              <w:jc w:val="right"/>
              <w:rPr>
                <w:rFonts w:cs="Calibri"/>
              </w:rPr>
            </w:pPr>
          </w:p>
        </w:tc>
      </w:tr>
      <w:tr w:rsidR="003C6984" w:rsidRPr="00CF7E1B" w14:paraId="10495DCE" w14:textId="77777777" w:rsidTr="0004564D">
        <w:trPr>
          <w:trHeight w:val="289"/>
        </w:trPr>
        <w:tc>
          <w:tcPr>
            <w:tcW w:w="1562" w:type="dxa"/>
            <w:tcBorders>
              <w:top w:val="nil"/>
              <w:left w:val="single" w:sz="2" w:space="0" w:color="auto"/>
              <w:bottom w:val="nil"/>
              <w:right w:val="single" w:sz="2" w:space="0" w:color="auto"/>
            </w:tcBorders>
          </w:tcPr>
          <w:p w14:paraId="58F423BD"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tcBorders>
              <w:top w:val="nil"/>
              <w:left w:val="single" w:sz="2" w:space="0" w:color="auto"/>
              <w:bottom w:val="nil"/>
              <w:right w:val="nil"/>
            </w:tcBorders>
            <w:vAlign w:val="bottom"/>
          </w:tcPr>
          <w:p w14:paraId="290C0153" w14:textId="77777777" w:rsidR="003C6984" w:rsidRPr="00C85324" w:rsidRDefault="003C6984" w:rsidP="003C6984">
            <w:pPr>
              <w:pStyle w:val="TableText"/>
              <w:tabs>
                <w:tab w:val="left" w:pos="3306"/>
              </w:tabs>
              <w:rPr>
                <w:rFonts w:cs="Calibri"/>
                <w:b/>
                <w:iCs/>
              </w:rPr>
            </w:pPr>
            <w:r w:rsidRPr="00C85324">
              <w:rPr>
                <w:rFonts w:cs="Calibri"/>
                <w:b/>
                <w:iCs/>
              </w:rPr>
              <w:t xml:space="preserve">Total Infrastructure Assets at </w:t>
            </w:r>
            <w:r w:rsidRPr="00C85324">
              <w:rPr>
                <w:rFonts w:cs="Calibri"/>
                <w:b/>
              </w:rPr>
              <w:t>Fair Value</w:t>
            </w:r>
          </w:p>
        </w:tc>
        <w:tc>
          <w:tcPr>
            <w:tcW w:w="1494" w:type="dxa"/>
            <w:gridSpan w:val="2"/>
            <w:tcBorders>
              <w:top w:val="single" w:sz="2" w:space="0" w:color="auto"/>
              <w:left w:val="nil"/>
              <w:bottom w:val="single" w:sz="2" w:space="0" w:color="auto"/>
              <w:right w:val="nil"/>
            </w:tcBorders>
            <w:vAlign w:val="bottom"/>
          </w:tcPr>
          <w:p w14:paraId="4C9B83B3" w14:textId="7162D415" w:rsidR="003C6984" w:rsidRPr="00C85324" w:rsidRDefault="003C6984" w:rsidP="003C6984">
            <w:pPr>
              <w:pStyle w:val="TableText"/>
              <w:tabs>
                <w:tab w:val="left" w:pos="3306"/>
              </w:tabs>
              <w:jc w:val="right"/>
              <w:rPr>
                <w:rFonts w:cs="Calibri"/>
              </w:rPr>
            </w:pPr>
          </w:p>
        </w:tc>
        <w:tc>
          <w:tcPr>
            <w:tcW w:w="1702" w:type="dxa"/>
            <w:gridSpan w:val="3"/>
            <w:tcBorders>
              <w:top w:val="single" w:sz="2" w:space="0" w:color="auto"/>
              <w:left w:val="nil"/>
              <w:bottom w:val="single" w:sz="2" w:space="0" w:color="auto"/>
              <w:right w:val="nil"/>
            </w:tcBorders>
            <w:vAlign w:val="bottom"/>
          </w:tcPr>
          <w:p w14:paraId="05184CDD" w14:textId="61E6E16C" w:rsidR="003C6984" w:rsidRPr="00C85324" w:rsidRDefault="003C6984" w:rsidP="003C6984">
            <w:pPr>
              <w:pStyle w:val="TableText"/>
              <w:tabs>
                <w:tab w:val="left" w:pos="3306"/>
              </w:tabs>
              <w:jc w:val="right"/>
              <w:rPr>
                <w:rFonts w:cs="Calibri"/>
              </w:rPr>
            </w:pPr>
          </w:p>
        </w:tc>
      </w:tr>
      <w:tr w:rsidR="003C6984" w:rsidRPr="00CF7E1B" w14:paraId="1F46CFE7" w14:textId="77777777" w:rsidTr="0004564D">
        <w:trPr>
          <w:trHeight w:val="23"/>
        </w:trPr>
        <w:tc>
          <w:tcPr>
            <w:tcW w:w="1562" w:type="dxa"/>
            <w:tcBorders>
              <w:top w:val="nil"/>
              <w:left w:val="single" w:sz="2" w:space="0" w:color="auto"/>
              <w:bottom w:val="nil"/>
              <w:right w:val="single" w:sz="2" w:space="0" w:color="auto"/>
            </w:tcBorders>
          </w:tcPr>
          <w:p w14:paraId="6E384F63" w14:textId="77777777" w:rsidR="003C6984" w:rsidRPr="00C85324" w:rsidRDefault="003C6984" w:rsidP="003C6984">
            <w:pPr>
              <w:pStyle w:val="TableReference"/>
              <w:tabs>
                <w:tab w:val="left" w:pos="3306"/>
              </w:tabs>
              <w:spacing w:before="40"/>
              <w:rPr>
                <w:rFonts w:cs="Calibri"/>
                <w:color w:val="7030A0"/>
                <w:sz w:val="16"/>
                <w:szCs w:val="16"/>
              </w:rPr>
            </w:pPr>
          </w:p>
        </w:tc>
        <w:tc>
          <w:tcPr>
            <w:tcW w:w="5734" w:type="dxa"/>
            <w:tcBorders>
              <w:top w:val="nil"/>
              <w:left w:val="single" w:sz="2" w:space="0" w:color="auto"/>
              <w:bottom w:val="nil"/>
              <w:right w:val="nil"/>
            </w:tcBorders>
            <w:vAlign w:val="bottom"/>
          </w:tcPr>
          <w:p w14:paraId="014A7AC9" w14:textId="77777777" w:rsidR="003C6984" w:rsidRPr="00C85324" w:rsidRDefault="003C6984" w:rsidP="003C6984">
            <w:pPr>
              <w:pStyle w:val="TableText"/>
              <w:tabs>
                <w:tab w:val="left" w:pos="3306"/>
              </w:tabs>
              <w:rPr>
                <w:rFonts w:cs="Calibri"/>
                <w:b/>
                <w:bCs/>
              </w:rPr>
            </w:pPr>
            <w:r w:rsidRPr="00C85324">
              <w:rPr>
                <w:rFonts w:cs="Calibri"/>
                <w:b/>
                <w:bCs/>
              </w:rPr>
              <w:t>Total Non-Current Assets</w:t>
            </w:r>
          </w:p>
        </w:tc>
        <w:tc>
          <w:tcPr>
            <w:tcW w:w="1494" w:type="dxa"/>
            <w:gridSpan w:val="2"/>
            <w:tcBorders>
              <w:top w:val="single" w:sz="2" w:space="0" w:color="auto"/>
              <w:left w:val="nil"/>
              <w:bottom w:val="single" w:sz="2" w:space="0" w:color="auto"/>
              <w:right w:val="nil"/>
            </w:tcBorders>
            <w:vAlign w:val="bottom"/>
          </w:tcPr>
          <w:p w14:paraId="21552133" w14:textId="7D3A726B" w:rsidR="003C6984" w:rsidRPr="00C85324" w:rsidRDefault="003C6984" w:rsidP="003C6984">
            <w:pPr>
              <w:pStyle w:val="TableText"/>
              <w:tabs>
                <w:tab w:val="left" w:pos="3306"/>
              </w:tabs>
              <w:jc w:val="right"/>
              <w:rPr>
                <w:rFonts w:cs="Calibri"/>
                <w:b/>
                <w:bCs/>
              </w:rPr>
            </w:pPr>
          </w:p>
        </w:tc>
        <w:tc>
          <w:tcPr>
            <w:tcW w:w="1702" w:type="dxa"/>
            <w:gridSpan w:val="3"/>
            <w:tcBorders>
              <w:top w:val="single" w:sz="2" w:space="0" w:color="auto"/>
              <w:left w:val="nil"/>
              <w:bottom w:val="single" w:sz="2" w:space="0" w:color="auto"/>
              <w:right w:val="nil"/>
            </w:tcBorders>
            <w:vAlign w:val="bottom"/>
          </w:tcPr>
          <w:p w14:paraId="59E77380" w14:textId="776F2063" w:rsidR="003C6984" w:rsidRPr="00C85324" w:rsidRDefault="003C6984" w:rsidP="003C6984">
            <w:pPr>
              <w:pStyle w:val="TableText"/>
              <w:tabs>
                <w:tab w:val="left" w:pos="3306"/>
              </w:tabs>
              <w:jc w:val="right"/>
              <w:rPr>
                <w:rFonts w:cs="Calibri"/>
                <w:b/>
                <w:bCs/>
              </w:rPr>
            </w:pPr>
          </w:p>
        </w:tc>
      </w:tr>
      <w:tr w:rsidR="003C6984" w:rsidRPr="00CF7E1B" w14:paraId="77249939" w14:textId="77777777" w:rsidTr="0004564D">
        <w:trPr>
          <w:trHeight w:val="23"/>
        </w:trPr>
        <w:tc>
          <w:tcPr>
            <w:tcW w:w="1562" w:type="dxa"/>
            <w:tcBorders>
              <w:top w:val="nil"/>
              <w:left w:val="single" w:sz="2" w:space="0" w:color="auto"/>
              <w:bottom w:val="nil"/>
              <w:right w:val="single" w:sz="2" w:space="0" w:color="auto"/>
            </w:tcBorders>
          </w:tcPr>
          <w:p w14:paraId="11020A8F" w14:textId="77777777" w:rsidR="003C6984" w:rsidRPr="00C85324" w:rsidRDefault="003C6984" w:rsidP="003C6984">
            <w:pPr>
              <w:pStyle w:val="TableReference"/>
              <w:tabs>
                <w:tab w:val="left" w:pos="3306"/>
              </w:tabs>
              <w:spacing w:before="60"/>
              <w:rPr>
                <w:rFonts w:cs="Calibri"/>
                <w:color w:val="7030A0"/>
                <w:sz w:val="16"/>
                <w:szCs w:val="16"/>
              </w:rPr>
            </w:pPr>
          </w:p>
        </w:tc>
        <w:tc>
          <w:tcPr>
            <w:tcW w:w="5734" w:type="dxa"/>
            <w:tcBorders>
              <w:top w:val="nil"/>
              <w:left w:val="single" w:sz="2" w:space="0" w:color="auto"/>
              <w:bottom w:val="nil"/>
              <w:right w:val="nil"/>
            </w:tcBorders>
            <w:vAlign w:val="bottom"/>
          </w:tcPr>
          <w:p w14:paraId="165BD0EA" w14:textId="77777777" w:rsidR="003C6984" w:rsidRPr="00C85324" w:rsidRDefault="003C6984" w:rsidP="003C6984">
            <w:pPr>
              <w:pStyle w:val="TableText"/>
              <w:tabs>
                <w:tab w:val="left" w:pos="3306"/>
              </w:tabs>
              <w:rPr>
                <w:rFonts w:cs="Calibri"/>
                <w:b/>
                <w:bCs/>
              </w:rPr>
            </w:pPr>
            <w:r w:rsidRPr="00C85324">
              <w:rPr>
                <w:rFonts w:cs="Calibri"/>
                <w:b/>
                <w:bCs/>
              </w:rPr>
              <w:t>Total Assets</w:t>
            </w:r>
          </w:p>
        </w:tc>
        <w:tc>
          <w:tcPr>
            <w:tcW w:w="1494" w:type="dxa"/>
            <w:gridSpan w:val="2"/>
            <w:tcBorders>
              <w:top w:val="single" w:sz="2" w:space="0" w:color="auto"/>
              <w:left w:val="nil"/>
              <w:bottom w:val="double" w:sz="4" w:space="0" w:color="auto"/>
              <w:right w:val="nil"/>
            </w:tcBorders>
            <w:vAlign w:val="bottom"/>
          </w:tcPr>
          <w:p w14:paraId="5B6A66FD" w14:textId="4950450C" w:rsidR="003C6984" w:rsidRPr="00C85324" w:rsidRDefault="003C6984" w:rsidP="003C6984">
            <w:pPr>
              <w:pStyle w:val="TableText"/>
              <w:tabs>
                <w:tab w:val="left" w:pos="3306"/>
              </w:tabs>
              <w:jc w:val="right"/>
              <w:rPr>
                <w:rFonts w:cs="Calibri"/>
                <w:b/>
                <w:bCs/>
              </w:rPr>
            </w:pPr>
          </w:p>
        </w:tc>
        <w:tc>
          <w:tcPr>
            <w:tcW w:w="1702" w:type="dxa"/>
            <w:gridSpan w:val="3"/>
            <w:tcBorders>
              <w:top w:val="single" w:sz="2" w:space="0" w:color="auto"/>
              <w:left w:val="nil"/>
              <w:bottom w:val="double" w:sz="4" w:space="0" w:color="auto"/>
              <w:right w:val="nil"/>
            </w:tcBorders>
            <w:vAlign w:val="bottom"/>
          </w:tcPr>
          <w:p w14:paraId="1BFDEAC7" w14:textId="464467D6" w:rsidR="003C6984" w:rsidRPr="00C85324" w:rsidRDefault="003C6984" w:rsidP="003C6984">
            <w:pPr>
              <w:pStyle w:val="TableText"/>
              <w:tabs>
                <w:tab w:val="left" w:pos="3306"/>
              </w:tabs>
              <w:jc w:val="right"/>
              <w:rPr>
                <w:rFonts w:cs="Calibri"/>
                <w:b/>
                <w:bCs/>
              </w:rPr>
            </w:pPr>
          </w:p>
        </w:tc>
      </w:tr>
      <w:tr w:rsidR="000A1EDA" w:rsidRPr="00CF7E1B" w14:paraId="1C64F29D" w14:textId="77777777" w:rsidTr="0004564D">
        <w:trPr>
          <w:trHeight w:val="23"/>
        </w:trPr>
        <w:tc>
          <w:tcPr>
            <w:tcW w:w="1562" w:type="dxa"/>
            <w:tcBorders>
              <w:top w:val="nil"/>
              <w:left w:val="single" w:sz="2" w:space="0" w:color="auto"/>
              <w:bottom w:val="nil"/>
              <w:right w:val="single" w:sz="2" w:space="0" w:color="auto"/>
            </w:tcBorders>
          </w:tcPr>
          <w:p w14:paraId="3C4CCE76" w14:textId="77777777" w:rsidR="000A1EDA" w:rsidRPr="00C85324" w:rsidRDefault="000A1EDA" w:rsidP="003C6984">
            <w:pPr>
              <w:pStyle w:val="TableReference"/>
              <w:tabs>
                <w:tab w:val="left" w:pos="3306"/>
              </w:tabs>
              <w:spacing w:before="60"/>
              <w:rPr>
                <w:rFonts w:cs="Calibri"/>
                <w:color w:val="7030A0"/>
                <w:sz w:val="16"/>
                <w:szCs w:val="16"/>
              </w:rPr>
            </w:pPr>
          </w:p>
        </w:tc>
        <w:tc>
          <w:tcPr>
            <w:tcW w:w="5734" w:type="dxa"/>
            <w:tcBorders>
              <w:top w:val="nil"/>
              <w:left w:val="single" w:sz="2" w:space="0" w:color="auto"/>
              <w:bottom w:val="nil"/>
              <w:right w:val="nil"/>
            </w:tcBorders>
            <w:vAlign w:val="bottom"/>
          </w:tcPr>
          <w:p w14:paraId="699960BA" w14:textId="77777777" w:rsidR="000A1EDA" w:rsidRPr="00C85324" w:rsidRDefault="000A1EDA" w:rsidP="003C6984">
            <w:pPr>
              <w:pStyle w:val="TableText"/>
              <w:tabs>
                <w:tab w:val="left" w:pos="3306"/>
              </w:tabs>
              <w:rPr>
                <w:rFonts w:cs="Calibri"/>
                <w:b/>
                <w:bCs/>
              </w:rPr>
            </w:pPr>
          </w:p>
        </w:tc>
        <w:tc>
          <w:tcPr>
            <w:tcW w:w="1494" w:type="dxa"/>
            <w:gridSpan w:val="2"/>
            <w:tcBorders>
              <w:top w:val="double" w:sz="4" w:space="0" w:color="auto"/>
              <w:left w:val="nil"/>
              <w:bottom w:val="nil"/>
              <w:right w:val="nil"/>
            </w:tcBorders>
            <w:vAlign w:val="bottom"/>
          </w:tcPr>
          <w:p w14:paraId="3C20B3EF" w14:textId="77777777" w:rsidR="000A1EDA" w:rsidRPr="00C85324" w:rsidRDefault="000A1EDA" w:rsidP="003C6984">
            <w:pPr>
              <w:pStyle w:val="TableText"/>
              <w:tabs>
                <w:tab w:val="left" w:pos="3306"/>
              </w:tabs>
              <w:jc w:val="right"/>
              <w:rPr>
                <w:rFonts w:cs="Calibri"/>
                <w:b/>
                <w:bCs/>
              </w:rPr>
            </w:pPr>
          </w:p>
        </w:tc>
        <w:tc>
          <w:tcPr>
            <w:tcW w:w="1702" w:type="dxa"/>
            <w:gridSpan w:val="3"/>
            <w:tcBorders>
              <w:top w:val="double" w:sz="4" w:space="0" w:color="auto"/>
              <w:left w:val="nil"/>
              <w:bottom w:val="nil"/>
              <w:right w:val="nil"/>
            </w:tcBorders>
            <w:vAlign w:val="bottom"/>
          </w:tcPr>
          <w:p w14:paraId="4DA3B509" w14:textId="77777777" w:rsidR="000A1EDA" w:rsidRPr="00C85324" w:rsidRDefault="000A1EDA" w:rsidP="003C6984">
            <w:pPr>
              <w:pStyle w:val="TableText"/>
              <w:tabs>
                <w:tab w:val="left" w:pos="3306"/>
              </w:tabs>
              <w:jc w:val="right"/>
              <w:rPr>
                <w:rFonts w:cs="Calibri"/>
                <w:b/>
                <w:bCs/>
              </w:rPr>
            </w:pPr>
          </w:p>
        </w:tc>
      </w:tr>
      <w:tr w:rsidR="000144FF" w:rsidRPr="00CF7E1B" w14:paraId="1D92C1BD"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687"/>
        </w:trPr>
        <w:tc>
          <w:tcPr>
            <w:tcW w:w="1562" w:type="dxa"/>
            <w:tcBorders>
              <w:left w:val="single" w:sz="2" w:space="0" w:color="auto"/>
              <w:right w:val="single" w:sz="2" w:space="0" w:color="auto"/>
            </w:tcBorders>
          </w:tcPr>
          <w:p w14:paraId="64B1465E" w14:textId="09C7BA54" w:rsidR="000144FF" w:rsidRPr="00C85324" w:rsidRDefault="000144FF" w:rsidP="000A1EDA">
            <w:pPr>
              <w:pStyle w:val="CommentaryTitle"/>
              <w:pageBreakBefore w:val="0"/>
              <w:tabs>
                <w:tab w:val="left" w:pos="3306"/>
              </w:tabs>
              <w:spacing w:before="0" w:after="240"/>
              <w:rPr>
                <w:rFonts w:cs="Calibri"/>
                <w:color w:val="7030A0"/>
                <w:szCs w:val="22"/>
              </w:rPr>
            </w:pPr>
            <w:r w:rsidRPr="00C85324">
              <w:rPr>
                <w:rFonts w:cs="Calibri"/>
                <w:color w:val="7030A0"/>
              </w:rPr>
              <w:br w:type="page"/>
            </w:r>
          </w:p>
        </w:tc>
        <w:tc>
          <w:tcPr>
            <w:tcW w:w="8930" w:type="dxa"/>
            <w:gridSpan w:val="6"/>
            <w:tcBorders>
              <w:left w:val="single" w:sz="2" w:space="0" w:color="auto"/>
            </w:tcBorders>
            <w:shd w:val="clear" w:color="auto" w:fill="7030A0"/>
          </w:tcPr>
          <w:p w14:paraId="7FE55FA2" w14:textId="6DD56BE3" w:rsidR="000144FF" w:rsidRPr="00C85324" w:rsidRDefault="000144FF" w:rsidP="000A1EDA">
            <w:pPr>
              <w:pStyle w:val="CommentaryTitle"/>
              <w:pageBreakBefore w:val="0"/>
              <w:tabs>
                <w:tab w:val="left" w:pos="3306"/>
              </w:tabs>
              <w:spacing w:before="0" w:after="240"/>
              <w:rPr>
                <w:rFonts w:cs="Calibri"/>
                <w:color w:val="FFFFFF" w:themeColor="background1"/>
                <w:sz w:val="28"/>
                <w:szCs w:val="28"/>
              </w:rPr>
            </w:pPr>
            <w:bookmarkStart w:id="761" w:name="_Toc50440397"/>
            <w:bookmarkStart w:id="762" w:name="_Toc163106389"/>
            <w:r w:rsidRPr="00C85324">
              <w:rPr>
                <w:rFonts w:cs="Calibri"/>
                <w:color w:val="FFFFFF" w:themeColor="background1"/>
                <w:sz w:val="28"/>
                <w:szCs w:val="28"/>
              </w:rPr>
              <w:t xml:space="preserve">Commentary </w:t>
            </w:r>
            <w:r w:rsidRPr="00C85324">
              <w:rPr>
                <w:rFonts w:cs="Calibri"/>
                <w:color w:val="FFFFFF" w:themeColor="background1"/>
                <w:sz w:val="28"/>
                <w:szCs w:val="28"/>
              </w:rPr>
              <w:sym w:font="Symbol" w:char="F02D"/>
            </w:r>
            <w:r w:rsidR="00794322" w:rsidRPr="00C85324">
              <w:rPr>
                <w:rFonts w:cs="Calibri"/>
                <w:color w:val="FFFFFF" w:themeColor="background1"/>
                <w:sz w:val="28"/>
                <w:szCs w:val="28"/>
              </w:rPr>
              <w:t xml:space="preserve"> Note </w:t>
            </w:r>
            <w:r w:rsidR="00364EB1" w:rsidRPr="00C85324">
              <w:rPr>
                <w:rFonts w:cs="Calibri"/>
                <w:color w:val="FFFFFF" w:themeColor="background1"/>
                <w:sz w:val="28"/>
                <w:szCs w:val="28"/>
              </w:rPr>
              <w:t>35</w:t>
            </w:r>
            <w:r w:rsidRPr="00C85324">
              <w:rPr>
                <w:rFonts w:cs="Calibri"/>
                <w:color w:val="FFFFFF" w:themeColor="background1"/>
                <w:sz w:val="28"/>
                <w:szCs w:val="28"/>
              </w:rPr>
              <w:t>: Interest in a Joint</w:t>
            </w:r>
            <w:r w:rsidR="001950C9" w:rsidRPr="00C85324">
              <w:rPr>
                <w:rFonts w:cs="Calibri"/>
                <w:color w:val="FFFFFF" w:themeColor="background1"/>
                <w:sz w:val="28"/>
                <w:szCs w:val="28"/>
              </w:rPr>
              <w:t xml:space="preserve"> </w:t>
            </w:r>
            <w:r w:rsidRPr="00C85324">
              <w:rPr>
                <w:rFonts w:cs="Calibri"/>
                <w:color w:val="FFFFFF" w:themeColor="background1"/>
                <w:sz w:val="28"/>
                <w:szCs w:val="28"/>
              </w:rPr>
              <w:t>Operation</w:t>
            </w:r>
            <w:bookmarkEnd w:id="761"/>
            <w:bookmarkEnd w:id="762"/>
          </w:p>
        </w:tc>
      </w:tr>
      <w:tr w:rsidR="000144FF" w:rsidRPr="00CF7E1B" w14:paraId="5B59575D"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221F3B1D" w14:textId="77777777" w:rsidR="000144FF" w:rsidRPr="00C85324" w:rsidRDefault="000144FF" w:rsidP="00527F06">
            <w:pPr>
              <w:pStyle w:val="CommentaryReference"/>
              <w:tabs>
                <w:tab w:val="left" w:pos="3306"/>
              </w:tabs>
              <w:rPr>
                <w:rFonts w:cs="Calibri"/>
                <w:color w:val="7030A0"/>
              </w:rPr>
            </w:pPr>
          </w:p>
        </w:tc>
        <w:tc>
          <w:tcPr>
            <w:tcW w:w="8930" w:type="dxa"/>
            <w:gridSpan w:val="6"/>
            <w:tcBorders>
              <w:left w:val="single" w:sz="2" w:space="0" w:color="auto"/>
            </w:tcBorders>
            <w:shd w:val="clear" w:color="auto" w:fill="7030A0"/>
          </w:tcPr>
          <w:p w14:paraId="232B9E01" w14:textId="77777777" w:rsidR="000144FF" w:rsidRPr="000A1EDA" w:rsidRDefault="000144FF" w:rsidP="00527F06">
            <w:pPr>
              <w:pStyle w:val="CommentaryHeading"/>
              <w:tabs>
                <w:tab w:val="left" w:pos="3306"/>
              </w:tabs>
              <w:spacing w:before="0" w:after="0"/>
              <w:rPr>
                <w:rFonts w:cs="Calibri"/>
                <w:color w:val="FFFFFF" w:themeColor="background1"/>
                <w:szCs w:val="20"/>
              </w:rPr>
            </w:pPr>
            <w:r w:rsidRPr="000A1EDA">
              <w:rPr>
                <w:rFonts w:cs="Calibri"/>
                <w:color w:val="FFFFFF" w:themeColor="background1"/>
                <w:szCs w:val="20"/>
              </w:rPr>
              <w:t>Definition</w:t>
            </w:r>
          </w:p>
        </w:tc>
      </w:tr>
      <w:tr w:rsidR="000144FF" w:rsidRPr="00CF7E1B" w14:paraId="169AD27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0D79842C" w14:textId="77777777" w:rsidR="00783D2E" w:rsidRPr="00C85324" w:rsidRDefault="00783D2E">
            <w:pPr>
              <w:pStyle w:val="CommentaryReference"/>
              <w:tabs>
                <w:tab w:val="left" w:pos="3306"/>
              </w:tabs>
              <w:spacing w:before="60"/>
              <w:rPr>
                <w:rFonts w:cs="Calibri"/>
                <w:color w:val="7030A0"/>
                <w:szCs w:val="14"/>
              </w:rPr>
            </w:pPr>
            <w:r w:rsidRPr="00C85324">
              <w:rPr>
                <w:rFonts w:cs="Calibri"/>
                <w:color w:val="7030A0"/>
                <w:szCs w:val="14"/>
              </w:rPr>
              <w:t>AASB 11.15</w:t>
            </w:r>
          </w:p>
        </w:tc>
        <w:tc>
          <w:tcPr>
            <w:tcW w:w="8930" w:type="dxa"/>
            <w:gridSpan w:val="6"/>
            <w:tcBorders>
              <w:left w:val="single" w:sz="2" w:space="0" w:color="auto"/>
            </w:tcBorders>
            <w:shd w:val="clear" w:color="auto" w:fill="7030A0"/>
          </w:tcPr>
          <w:p w14:paraId="09D0495B" w14:textId="4B718876" w:rsidR="000144FF" w:rsidRPr="00C85324" w:rsidRDefault="00783D2E" w:rsidP="00765B24">
            <w:pPr>
              <w:pStyle w:val="Default"/>
              <w:spacing w:after="120"/>
              <w:jc w:val="both"/>
              <w:rPr>
                <w:rFonts w:cs="Calibri"/>
                <w:color w:val="FFFFFF" w:themeColor="background1"/>
                <w:sz w:val="18"/>
                <w:szCs w:val="18"/>
              </w:rPr>
            </w:pPr>
            <w:r w:rsidRPr="00C85324">
              <w:rPr>
                <w:rFonts w:ascii="Calibri" w:hAnsi="Calibri" w:cs="Calibri"/>
                <w:color w:val="FFFFFF" w:themeColor="background1"/>
                <w:sz w:val="18"/>
                <w:szCs w:val="18"/>
                <w:lang w:eastAsia="en-US"/>
              </w:rPr>
              <w:t>A joint operation is a joint arrangement whereby the parties that have joint control of the arrangement have rights to the assets, and obligations for the liabilities, relating to the arrangement.</w:t>
            </w:r>
            <w:r w:rsidR="00FA7C77">
              <w:rPr>
                <w:rFonts w:ascii="Calibri" w:hAnsi="Calibri" w:cs="Calibri"/>
                <w:color w:val="FFFFFF" w:themeColor="background1"/>
                <w:sz w:val="18"/>
                <w:szCs w:val="18"/>
                <w:lang w:eastAsia="en-US"/>
              </w:rPr>
              <w:t xml:space="preserve"> </w:t>
            </w:r>
            <w:r w:rsidRPr="00C85324">
              <w:rPr>
                <w:rFonts w:ascii="Calibri" w:hAnsi="Calibri" w:cs="Calibri"/>
                <w:color w:val="FFFFFF" w:themeColor="background1"/>
                <w:sz w:val="18"/>
                <w:szCs w:val="18"/>
                <w:lang w:eastAsia="en-US"/>
              </w:rPr>
              <w:t>Those parties are called joint operators.</w:t>
            </w:r>
            <w:r w:rsidR="00FA7C77">
              <w:rPr>
                <w:rFonts w:cs="Calibri"/>
                <w:color w:val="FFFFFF" w:themeColor="background1"/>
                <w:sz w:val="18"/>
                <w:szCs w:val="18"/>
              </w:rPr>
              <w:t xml:space="preserve"> </w:t>
            </w:r>
          </w:p>
        </w:tc>
      </w:tr>
      <w:tr w:rsidR="009030F8" w:rsidRPr="00CF7E1B" w14:paraId="619D4F48"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535E3B2D" w14:textId="77777777" w:rsidR="00887060" w:rsidRDefault="00887060" w:rsidP="001D0AD0">
            <w:pPr>
              <w:pStyle w:val="TableReference"/>
              <w:tabs>
                <w:tab w:val="left" w:pos="3306"/>
              </w:tabs>
              <w:spacing w:before="60"/>
              <w:rPr>
                <w:rFonts w:cs="Calibri"/>
                <w:color w:val="7030A0"/>
                <w:sz w:val="14"/>
              </w:rPr>
            </w:pPr>
          </w:p>
          <w:p w14:paraId="4EAFDCE5" w14:textId="577C3731" w:rsidR="009030F8" w:rsidRPr="00C85324" w:rsidRDefault="009030F8" w:rsidP="001D0AD0">
            <w:pPr>
              <w:pStyle w:val="TableReference"/>
              <w:tabs>
                <w:tab w:val="left" w:pos="3306"/>
              </w:tabs>
              <w:spacing w:before="60"/>
              <w:rPr>
                <w:rFonts w:cs="Calibri"/>
                <w:color w:val="7030A0"/>
                <w:sz w:val="14"/>
              </w:rPr>
            </w:pPr>
            <w:r w:rsidRPr="00C85324">
              <w:rPr>
                <w:rFonts w:cs="Calibri"/>
                <w:color w:val="7030A0"/>
                <w:sz w:val="14"/>
              </w:rPr>
              <w:t>AASB 12.21(a)</w:t>
            </w:r>
          </w:p>
        </w:tc>
        <w:tc>
          <w:tcPr>
            <w:tcW w:w="8930" w:type="dxa"/>
            <w:gridSpan w:val="6"/>
            <w:tcBorders>
              <w:left w:val="single" w:sz="2" w:space="0" w:color="auto"/>
            </w:tcBorders>
            <w:shd w:val="clear" w:color="auto" w:fill="7030A0"/>
          </w:tcPr>
          <w:p w14:paraId="52E933FC" w14:textId="63272F1E" w:rsidR="00887060" w:rsidRPr="00887060" w:rsidRDefault="00887060" w:rsidP="00441443">
            <w:pPr>
              <w:autoSpaceDE w:val="0"/>
              <w:autoSpaceDN w:val="0"/>
              <w:adjustRightInd w:val="0"/>
              <w:spacing w:after="40"/>
              <w:jc w:val="both"/>
              <w:rPr>
                <w:rFonts w:cs="Calibri"/>
                <w:b/>
                <w:bCs/>
                <w:color w:val="FFFFFF" w:themeColor="background1"/>
                <w:sz w:val="20"/>
                <w:szCs w:val="20"/>
              </w:rPr>
            </w:pPr>
            <w:r w:rsidRPr="00887060">
              <w:rPr>
                <w:rFonts w:cs="Calibri"/>
                <w:b/>
                <w:bCs/>
                <w:color w:val="FFFFFF" w:themeColor="background1"/>
                <w:sz w:val="20"/>
                <w:szCs w:val="20"/>
              </w:rPr>
              <w:t>Nature, Extent and Financial Effects of an Agency’s Interests in Joint Arrangements</w:t>
            </w:r>
          </w:p>
          <w:p w14:paraId="4BBA2F28" w14:textId="5C340679" w:rsidR="009030F8" w:rsidRPr="00C85324" w:rsidRDefault="009030F8" w:rsidP="00441443">
            <w:pPr>
              <w:autoSpaceDE w:val="0"/>
              <w:autoSpaceDN w:val="0"/>
              <w:adjustRightInd w:val="0"/>
              <w:spacing w:after="40"/>
              <w:jc w:val="both"/>
              <w:rPr>
                <w:rFonts w:cs="Calibri"/>
                <w:color w:val="FFFFFF" w:themeColor="background1"/>
                <w:sz w:val="18"/>
                <w:szCs w:val="18"/>
              </w:rPr>
            </w:pPr>
            <w:r w:rsidRPr="00C85324">
              <w:rPr>
                <w:rFonts w:cs="Calibri"/>
                <w:color w:val="FFFFFF" w:themeColor="background1"/>
                <w:sz w:val="18"/>
                <w:szCs w:val="18"/>
              </w:rPr>
              <w:t>Where a joint arrangement is material to an agency</w:t>
            </w:r>
            <w:r w:rsidR="00441443" w:rsidRPr="00C85324">
              <w:rPr>
                <w:rFonts w:cs="Calibri"/>
                <w:color w:val="FFFFFF" w:themeColor="background1"/>
                <w:sz w:val="18"/>
                <w:szCs w:val="18"/>
              </w:rPr>
              <w:t>,</w:t>
            </w:r>
            <w:r w:rsidRPr="00C85324">
              <w:rPr>
                <w:rFonts w:cs="Calibri"/>
                <w:color w:val="FFFFFF" w:themeColor="background1"/>
                <w:sz w:val="18"/>
                <w:szCs w:val="18"/>
              </w:rPr>
              <w:t xml:space="preserve"> an agency shall disclose:</w:t>
            </w:r>
          </w:p>
          <w:p w14:paraId="40AFF5EF"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the name of the joint arrangement;</w:t>
            </w:r>
          </w:p>
          <w:p w14:paraId="397ABAF3"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the nature of the agency’s relationship with the joint arrangement (by, for example, describing the nature of the activities of the joint arrangement and whether they are strategic to the agency’s activities;</w:t>
            </w:r>
          </w:p>
          <w:p w14:paraId="3462D00C"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the principal place of business (and country of incorporation, if applicable and different from the principal place of business) of the joint arrangement; and </w:t>
            </w:r>
          </w:p>
          <w:p w14:paraId="4DD4390C" w14:textId="6ED37CBA"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the proportion of ownership interest or participating share held by the entity and, if different the proportion of voting rights held (if applicable)</w:t>
            </w:r>
            <w:r w:rsidR="00765B24" w:rsidRPr="00C85324">
              <w:rPr>
                <w:rFonts w:cs="Calibri"/>
                <w:color w:val="FFFFFF" w:themeColor="background1"/>
                <w:sz w:val="18"/>
                <w:szCs w:val="18"/>
              </w:rPr>
              <w:t>.</w:t>
            </w:r>
          </w:p>
        </w:tc>
      </w:tr>
      <w:tr w:rsidR="009030F8" w:rsidRPr="00CF7E1B" w14:paraId="2BC2819A"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2" w:type="dxa"/>
            <w:tcBorders>
              <w:left w:val="single" w:sz="2" w:space="0" w:color="auto"/>
              <w:right w:val="single" w:sz="2" w:space="0" w:color="auto"/>
            </w:tcBorders>
          </w:tcPr>
          <w:p w14:paraId="6AF779C2" w14:textId="2ECB5120" w:rsidR="009030F8" w:rsidRPr="00C85324" w:rsidRDefault="009030F8" w:rsidP="00783D2E">
            <w:pPr>
              <w:pStyle w:val="CommentaryReference"/>
              <w:tabs>
                <w:tab w:val="left" w:pos="3306"/>
              </w:tabs>
              <w:spacing w:before="60"/>
              <w:rPr>
                <w:rFonts w:cs="Calibri"/>
                <w:color w:val="7030A0"/>
                <w:szCs w:val="14"/>
              </w:rPr>
            </w:pPr>
            <w:r w:rsidRPr="00C85324">
              <w:rPr>
                <w:rFonts w:cs="Calibri"/>
                <w:color w:val="7030A0"/>
                <w:szCs w:val="14"/>
              </w:rPr>
              <w:t>AASB 11.20</w:t>
            </w:r>
          </w:p>
          <w:p w14:paraId="33070A4D" w14:textId="77777777" w:rsidR="009030F8" w:rsidRPr="00C85324" w:rsidRDefault="009030F8" w:rsidP="00783D2E">
            <w:pPr>
              <w:pStyle w:val="CommentaryReference"/>
              <w:tabs>
                <w:tab w:val="left" w:pos="3306"/>
              </w:tabs>
              <w:spacing w:before="60"/>
              <w:rPr>
                <w:rFonts w:cs="Calibri"/>
                <w:color w:val="7030A0"/>
                <w:szCs w:val="14"/>
              </w:rPr>
            </w:pPr>
          </w:p>
          <w:p w14:paraId="30230B82" w14:textId="77777777" w:rsidR="009030F8" w:rsidRPr="00C85324" w:rsidRDefault="009030F8" w:rsidP="00783D2E">
            <w:pPr>
              <w:pStyle w:val="CommentaryReference"/>
              <w:tabs>
                <w:tab w:val="left" w:pos="3306"/>
              </w:tabs>
              <w:spacing w:before="60"/>
              <w:rPr>
                <w:rFonts w:cs="Calibri"/>
                <w:color w:val="7030A0"/>
                <w:szCs w:val="14"/>
              </w:rPr>
            </w:pPr>
          </w:p>
          <w:p w14:paraId="4B7D4468" w14:textId="77777777" w:rsidR="009030F8" w:rsidRPr="00C85324" w:rsidRDefault="009030F8" w:rsidP="00783D2E">
            <w:pPr>
              <w:pStyle w:val="CommentaryReference"/>
              <w:tabs>
                <w:tab w:val="left" w:pos="3306"/>
              </w:tabs>
              <w:spacing w:before="60"/>
              <w:rPr>
                <w:rFonts w:cs="Calibri"/>
                <w:color w:val="7030A0"/>
                <w:szCs w:val="14"/>
              </w:rPr>
            </w:pPr>
          </w:p>
          <w:p w14:paraId="1FB61CE1" w14:textId="77777777" w:rsidR="009030F8" w:rsidRPr="00C85324" w:rsidRDefault="009030F8" w:rsidP="00783D2E">
            <w:pPr>
              <w:pStyle w:val="CommentaryReference"/>
              <w:tabs>
                <w:tab w:val="left" w:pos="3306"/>
              </w:tabs>
              <w:spacing w:before="60"/>
              <w:rPr>
                <w:rFonts w:cs="Calibri"/>
                <w:color w:val="7030A0"/>
                <w:szCs w:val="14"/>
              </w:rPr>
            </w:pPr>
          </w:p>
          <w:p w14:paraId="287EA813" w14:textId="77777777" w:rsidR="009030F8" w:rsidRPr="00C85324" w:rsidRDefault="009030F8" w:rsidP="00783D2E">
            <w:pPr>
              <w:pStyle w:val="CommentaryReference"/>
              <w:tabs>
                <w:tab w:val="left" w:pos="3306"/>
              </w:tabs>
              <w:spacing w:before="60"/>
              <w:rPr>
                <w:rFonts w:cs="Calibri"/>
                <w:color w:val="7030A0"/>
                <w:szCs w:val="14"/>
              </w:rPr>
            </w:pPr>
          </w:p>
          <w:p w14:paraId="1E02AD8E" w14:textId="77777777" w:rsidR="009030F8" w:rsidRPr="00C85324" w:rsidRDefault="009030F8" w:rsidP="00783D2E">
            <w:pPr>
              <w:pStyle w:val="CommentaryReference"/>
              <w:tabs>
                <w:tab w:val="left" w:pos="3306"/>
              </w:tabs>
              <w:spacing w:before="60"/>
              <w:rPr>
                <w:rFonts w:cs="Calibri"/>
                <w:color w:val="7030A0"/>
                <w:szCs w:val="14"/>
              </w:rPr>
            </w:pPr>
          </w:p>
          <w:p w14:paraId="1C422DA0" w14:textId="77777777" w:rsidR="009030F8" w:rsidRPr="00C85324" w:rsidRDefault="009030F8" w:rsidP="00783D2E">
            <w:pPr>
              <w:pStyle w:val="CommentaryReference"/>
              <w:tabs>
                <w:tab w:val="left" w:pos="3306"/>
              </w:tabs>
              <w:spacing w:before="60"/>
              <w:rPr>
                <w:rFonts w:cs="Calibri"/>
                <w:color w:val="7030A0"/>
                <w:szCs w:val="14"/>
              </w:rPr>
            </w:pPr>
            <w:r w:rsidRPr="00C85324">
              <w:rPr>
                <w:rFonts w:cs="Calibri"/>
                <w:color w:val="7030A0"/>
                <w:szCs w:val="14"/>
              </w:rPr>
              <w:t>AASB 11.21</w:t>
            </w:r>
          </w:p>
          <w:p w14:paraId="31DD24DF" w14:textId="77777777" w:rsidR="009030F8" w:rsidRPr="00C85324" w:rsidRDefault="009030F8" w:rsidP="00783D2E">
            <w:pPr>
              <w:pStyle w:val="CommentaryReference"/>
              <w:tabs>
                <w:tab w:val="left" w:pos="3306"/>
              </w:tabs>
              <w:spacing w:before="60"/>
              <w:rPr>
                <w:rFonts w:cs="Calibri"/>
                <w:color w:val="7030A0"/>
                <w:szCs w:val="14"/>
              </w:rPr>
            </w:pPr>
          </w:p>
        </w:tc>
        <w:tc>
          <w:tcPr>
            <w:tcW w:w="8930" w:type="dxa"/>
            <w:gridSpan w:val="6"/>
            <w:tcBorders>
              <w:left w:val="single" w:sz="2" w:space="0" w:color="auto"/>
            </w:tcBorders>
            <w:shd w:val="clear" w:color="auto" w:fill="7030A0"/>
          </w:tcPr>
          <w:p w14:paraId="0BDC5F5F" w14:textId="050E044E" w:rsidR="009030F8" w:rsidRPr="00C85324" w:rsidRDefault="009030F8" w:rsidP="00441443">
            <w:pPr>
              <w:pStyle w:val="CommentaryText"/>
              <w:tabs>
                <w:tab w:val="left" w:pos="3306"/>
              </w:tabs>
              <w:spacing w:after="40"/>
              <w:rPr>
                <w:rFonts w:cs="Calibri"/>
                <w:color w:val="FFFFFF" w:themeColor="background1"/>
                <w:sz w:val="18"/>
                <w:szCs w:val="18"/>
              </w:rPr>
            </w:pPr>
            <w:r w:rsidRPr="00C85324">
              <w:rPr>
                <w:rFonts w:cs="Calibri"/>
                <w:color w:val="FFFFFF" w:themeColor="background1"/>
                <w:sz w:val="18"/>
                <w:szCs w:val="18"/>
              </w:rPr>
              <w:t>A joint operator shall recognise in relation to its interests in a joint operation:</w:t>
            </w:r>
          </w:p>
          <w:p w14:paraId="2043899E"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assets, including its share of any assets held jointly;</w:t>
            </w:r>
          </w:p>
          <w:p w14:paraId="5A033E86"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liabilities, including its share of any liabilities incurred jointly;</w:t>
            </w:r>
          </w:p>
          <w:p w14:paraId="49828980"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 xml:space="preserve">its revenue from the sale of its share of the output arising from the joint operation; </w:t>
            </w:r>
          </w:p>
          <w:p w14:paraId="2FE1BFC7"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share of the revenue from the sale of the output by the by the joint operation; and</w:t>
            </w:r>
          </w:p>
          <w:p w14:paraId="02870BB0" w14:textId="77777777" w:rsidR="009030F8" w:rsidRPr="00C85324" w:rsidRDefault="009030F8" w:rsidP="000A1EDA">
            <w:pPr>
              <w:pStyle w:val="Commentary-Bullet"/>
              <w:tabs>
                <w:tab w:val="clear" w:pos="502"/>
              </w:tabs>
              <w:spacing w:after="40"/>
              <w:ind w:left="604" w:hanging="454"/>
              <w:rPr>
                <w:rFonts w:cs="Calibri"/>
                <w:color w:val="FFFFFF" w:themeColor="background1"/>
                <w:sz w:val="18"/>
                <w:szCs w:val="18"/>
              </w:rPr>
            </w:pPr>
            <w:r w:rsidRPr="00C85324">
              <w:rPr>
                <w:rFonts w:cs="Calibri"/>
                <w:color w:val="FFFFFF" w:themeColor="background1"/>
                <w:sz w:val="18"/>
                <w:szCs w:val="18"/>
              </w:rPr>
              <w:t>its expenses, including its share of any expenses incurred jointly.</w:t>
            </w:r>
          </w:p>
          <w:p w14:paraId="11D822FA" w14:textId="77777777" w:rsidR="009030F8" w:rsidRPr="00C85324" w:rsidRDefault="009030F8" w:rsidP="00A70781">
            <w:pPr>
              <w:pStyle w:val="Commentary-Bullet"/>
              <w:numPr>
                <w:ilvl w:val="0"/>
                <w:numId w:val="0"/>
              </w:numPr>
              <w:spacing w:after="120"/>
              <w:rPr>
                <w:rFonts w:cs="Calibri"/>
                <w:color w:val="FFFFFF" w:themeColor="background1"/>
                <w:sz w:val="18"/>
                <w:szCs w:val="18"/>
              </w:rPr>
            </w:pPr>
            <w:r w:rsidRPr="00C85324">
              <w:rPr>
                <w:rFonts w:cs="Calibri"/>
                <w:color w:val="FFFFFF" w:themeColor="background1"/>
                <w:sz w:val="18"/>
                <w:szCs w:val="18"/>
              </w:rPr>
              <w:t>A joint operator shall account for the assets, liabilities, revenues and expenses relating to its interests in a joint operation in accordance with the accounting standards applicable to the particular assets, liabilities, revenues and expenses.</w:t>
            </w:r>
          </w:p>
        </w:tc>
      </w:tr>
      <w:tr w:rsidR="00CD4C96" w:rsidRPr="00416D13" w14:paraId="602499E8" w14:textId="77777777" w:rsidTr="0004564D">
        <w:trPr>
          <w:gridAfter w:val="1"/>
          <w:wAfter w:w="145" w:type="dxa"/>
          <w:trHeight w:val="23"/>
        </w:trPr>
        <w:tc>
          <w:tcPr>
            <w:tcW w:w="1562" w:type="dxa"/>
            <w:tcBorders>
              <w:top w:val="nil"/>
              <w:left w:val="single" w:sz="2" w:space="0" w:color="auto"/>
              <w:bottom w:val="nil"/>
              <w:right w:val="single" w:sz="2" w:space="0" w:color="auto"/>
            </w:tcBorders>
          </w:tcPr>
          <w:p w14:paraId="10773930" w14:textId="2C996517" w:rsidR="00CD4C96" w:rsidRPr="00416D13" w:rsidRDefault="00CD4C96" w:rsidP="00E22A2F">
            <w:pPr>
              <w:pStyle w:val="TableReference"/>
              <w:tabs>
                <w:tab w:val="left" w:pos="3306"/>
              </w:tabs>
              <w:spacing w:before="240" w:after="240"/>
              <w:rPr>
                <w:rFonts w:cs="Calibri"/>
                <w:b/>
                <w:color w:val="auto"/>
                <w:sz w:val="20"/>
                <w:szCs w:val="20"/>
              </w:rPr>
            </w:pPr>
            <w:bookmarkStart w:id="763" w:name="ThirdPartyMonies" w:colFirst="1" w:colLast="1"/>
          </w:p>
        </w:tc>
        <w:tc>
          <w:tcPr>
            <w:tcW w:w="8785" w:type="dxa"/>
            <w:gridSpan w:val="5"/>
            <w:tcBorders>
              <w:top w:val="nil"/>
              <w:left w:val="single" w:sz="2" w:space="0" w:color="auto"/>
              <w:bottom w:val="nil"/>
              <w:right w:val="nil"/>
            </w:tcBorders>
            <w:vAlign w:val="bottom"/>
          </w:tcPr>
          <w:p w14:paraId="48D9A1E5" w14:textId="0288269A" w:rsidR="00CD4C96" w:rsidRPr="00416D13" w:rsidRDefault="00CD4C96" w:rsidP="00E22A2F">
            <w:pPr>
              <w:pStyle w:val="Heading1"/>
              <w:numPr>
                <w:ilvl w:val="0"/>
                <w:numId w:val="0"/>
              </w:numPr>
            </w:pPr>
            <w:bookmarkStart w:id="764" w:name="_Toc49224243"/>
            <w:bookmarkStart w:id="765" w:name="_Ref50365741"/>
            <w:bookmarkStart w:id="766" w:name="_Toc50440400"/>
            <w:bookmarkStart w:id="767" w:name="_Ref50524282"/>
            <w:bookmarkStart w:id="768" w:name="_Toc400627363"/>
            <w:bookmarkStart w:id="769" w:name="_Toc98763178"/>
            <w:r w:rsidRPr="00416D13">
              <w:t xml:space="preserve">Note </w:t>
            </w:r>
            <w:r>
              <w:t>36</w:t>
            </w:r>
            <w:r w:rsidRPr="00416D13">
              <w:t>.</w:t>
            </w:r>
            <w:r w:rsidR="00FA7C77">
              <w:t xml:space="preserve"> </w:t>
            </w:r>
            <w:r w:rsidRPr="00416D13">
              <w:t xml:space="preserve"> Events </w:t>
            </w:r>
            <w:r w:rsidRPr="00CD4C96">
              <w:t>after</w:t>
            </w:r>
            <w:bookmarkEnd w:id="764"/>
            <w:bookmarkEnd w:id="765"/>
            <w:bookmarkEnd w:id="766"/>
            <w:bookmarkEnd w:id="767"/>
            <w:bookmarkEnd w:id="768"/>
            <w:r w:rsidRPr="00CD4C96">
              <w:t xml:space="preserve"> the Reporting Period</w:t>
            </w:r>
            <w:bookmarkEnd w:id="769"/>
          </w:p>
        </w:tc>
      </w:tr>
      <w:tr w:rsidR="00CD4C96" w:rsidRPr="00574DE1" w14:paraId="4234EA8E" w14:textId="77777777" w:rsidTr="0004564D">
        <w:trPr>
          <w:gridAfter w:val="1"/>
          <w:wAfter w:w="145" w:type="dxa"/>
          <w:trHeight w:val="23"/>
        </w:trPr>
        <w:tc>
          <w:tcPr>
            <w:tcW w:w="1562" w:type="dxa"/>
            <w:tcBorders>
              <w:top w:val="nil"/>
              <w:left w:val="single" w:sz="2" w:space="0" w:color="auto"/>
              <w:bottom w:val="nil"/>
              <w:right w:val="single" w:sz="2" w:space="0" w:color="auto"/>
            </w:tcBorders>
          </w:tcPr>
          <w:p w14:paraId="773134FE" w14:textId="77777777" w:rsidR="00CD4C96" w:rsidRPr="009025F5" w:rsidRDefault="00CD4C96" w:rsidP="00E22A2F">
            <w:pPr>
              <w:pStyle w:val="TableReference"/>
              <w:tabs>
                <w:tab w:val="left" w:pos="3306"/>
              </w:tabs>
              <w:rPr>
                <w:rFonts w:cs="Calibri"/>
                <w:color w:val="auto"/>
                <w:sz w:val="14"/>
              </w:rPr>
            </w:pPr>
          </w:p>
        </w:tc>
        <w:tc>
          <w:tcPr>
            <w:tcW w:w="8785" w:type="dxa"/>
            <w:gridSpan w:val="5"/>
            <w:tcBorders>
              <w:top w:val="nil"/>
              <w:left w:val="single" w:sz="2" w:space="0" w:color="auto"/>
              <w:bottom w:val="nil"/>
              <w:right w:val="nil"/>
            </w:tcBorders>
            <w:vAlign w:val="bottom"/>
          </w:tcPr>
          <w:p w14:paraId="35CADAB4" w14:textId="77777777" w:rsidR="00CD4C96" w:rsidRPr="00CD4C96" w:rsidRDefault="00CD4C96" w:rsidP="00E22A2F">
            <w:pPr>
              <w:rPr>
                <w:b/>
                <w:bCs/>
                <w:sz w:val="18"/>
                <w:szCs w:val="18"/>
              </w:rPr>
            </w:pPr>
            <w:r w:rsidRPr="00CD4C96">
              <w:rPr>
                <w:b/>
                <w:bCs/>
                <w:sz w:val="18"/>
                <w:szCs w:val="18"/>
              </w:rPr>
              <w:t>Administrative Arrangement After the Reporting Period</w:t>
            </w:r>
          </w:p>
        </w:tc>
      </w:tr>
      <w:tr w:rsidR="00CD4C96" w:rsidRPr="00416D13" w14:paraId="087D4075" w14:textId="77777777" w:rsidTr="0004564D">
        <w:trPr>
          <w:gridAfter w:val="1"/>
          <w:wAfter w:w="145" w:type="dxa"/>
          <w:trHeight w:val="23"/>
        </w:trPr>
        <w:tc>
          <w:tcPr>
            <w:tcW w:w="1562" w:type="dxa"/>
            <w:tcBorders>
              <w:top w:val="nil"/>
              <w:left w:val="single" w:sz="2" w:space="0" w:color="auto"/>
              <w:bottom w:val="nil"/>
              <w:right w:val="single" w:sz="2" w:space="0" w:color="auto"/>
            </w:tcBorders>
          </w:tcPr>
          <w:p w14:paraId="03172826" w14:textId="77777777" w:rsidR="00CD4C96" w:rsidRPr="00CD4C96" w:rsidRDefault="00CD4C96" w:rsidP="00CD4C96">
            <w:pPr>
              <w:pStyle w:val="TableReference"/>
              <w:tabs>
                <w:tab w:val="left" w:pos="3306"/>
              </w:tabs>
              <w:spacing w:before="60"/>
              <w:rPr>
                <w:color w:val="7030A0"/>
                <w:sz w:val="14"/>
              </w:rPr>
            </w:pPr>
            <w:r w:rsidRPr="00CD4C96">
              <w:rPr>
                <w:color w:val="7030A0"/>
                <w:sz w:val="14"/>
              </w:rPr>
              <w:t>AASB 110.21(a)</w:t>
            </w:r>
          </w:p>
          <w:p w14:paraId="2A6BF620" w14:textId="77777777" w:rsidR="00CD4C96" w:rsidRPr="00CD4C96" w:rsidRDefault="00CD4C96" w:rsidP="00CD4C96">
            <w:pPr>
              <w:pStyle w:val="TableReference"/>
              <w:tabs>
                <w:tab w:val="left" w:pos="3306"/>
              </w:tabs>
              <w:spacing w:before="60"/>
              <w:rPr>
                <w:color w:val="7030A0"/>
                <w:sz w:val="14"/>
              </w:rPr>
            </w:pPr>
          </w:p>
          <w:p w14:paraId="0ACDE593" w14:textId="77777777" w:rsidR="00CD4C96" w:rsidRPr="00CD4C96" w:rsidRDefault="00CD4C96" w:rsidP="00CD4C96">
            <w:pPr>
              <w:pStyle w:val="TableReference"/>
              <w:tabs>
                <w:tab w:val="left" w:pos="3306"/>
              </w:tabs>
              <w:spacing w:before="60"/>
              <w:rPr>
                <w:color w:val="7030A0"/>
                <w:sz w:val="14"/>
              </w:rPr>
            </w:pPr>
          </w:p>
          <w:p w14:paraId="17ECE882" w14:textId="77777777" w:rsidR="00CD4C96" w:rsidRPr="00CD4C96" w:rsidRDefault="00CD4C96" w:rsidP="00CD4C96">
            <w:pPr>
              <w:pStyle w:val="TableReference"/>
              <w:tabs>
                <w:tab w:val="left" w:pos="3306"/>
              </w:tabs>
              <w:spacing w:before="60"/>
              <w:rPr>
                <w:color w:val="7030A0"/>
                <w:sz w:val="14"/>
              </w:rPr>
            </w:pPr>
          </w:p>
        </w:tc>
        <w:tc>
          <w:tcPr>
            <w:tcW w:w="8785" w:type="dxa"/>
            <w:gridSpan w:val="5"/>
            <w:tcBorders>
              <w:top w:val="nil"/>
              <w:left w:val="single" w:sz="2" w:space="0" w:color="auto"/>
              <w:bottom w:val="nil"/>
              <w:right w:val="nil"/>
            </w:tcBorders>
            <w:vAlign w:val="bottom"/>
          </w:tcPr>
          <w:p w14:paraId="76A08E3A" w14:textId="1658F095" w:rsidR="00CD4C96" w:rsidRPr="00416D13" w:rsidRDefault="00CD4C96" w:rsidP="00E22A2F">
            <w:pPr>
              <w:pStyle w:val="TableText"/>
              <w:spacing w:before="0" w:after="120"/>
              <w:jc w:val="both"/>
              <w:rPr>
                <w:rFonts w:cs="Calibri"/>
              </w:rPr>
            </w:pPr>
            <w:r w:rsidRPr="00416D13">
              <w:rPr>
                <w:rFonts w:cs="Calibri"/>
              </w:rPr>
              <w:t xml:space="preserve">On </w:t>
            </w:r>
            <w:r w:rsidRPr="00C65FC2">
              <w:rPr>
                <w:rFonts w:cs="Calibri"/>
              </w:rPr>
              <w:t xml:space="preserve">1 July 2022, the Executive </w:t>
            </w:r>
            <w:r w:rsidRPr="00416D13">
              <w:rPr>
                <w:rFonts w:cs="Calibri"/>
              </w:rPr>
              <w:t xml:space="preserve">approved an administrative arrangement that involved restructuring </w:t>
            </w:r>
            <w:r>
              <w:rPr>
                <w:rFonts w:cs="Calibri"/>
              </w:rPr>
              <w:t>‘Burley Griffin Agency’</w:t>
            </w:r>
            <w:r w:rsidRPr="00416D13">
              <w:rPr>
                <w:rFonts w:cs="Calibri"/>
              </w:rPr>
              <w:t xml:space="preserve"> by moving its land and planning division to ‘Receiving Directorate’. The movement of the land and planning division was undertaken because it was considered that this function was more closely aligned with the existing functions of ‘Receiving Directorate’.</w:t>
            </w:r>
            <w:r w:rsidR="00FA7C77">
              <w:rPr>
                <w:rFonts w:cs="Calibri"/>
              </w:rPr>
              <w:t xml:space="preserve"> </w:t>
            </w:r>
            <w:r w:rsidRPr="00416D13">
              <w:rPr>
                <w:rFonts w:cs="Calibri"/>
              </w:rPr>
              <w:t>The financial effect of the administrative arrangement is not reflected in the financial statements.</w:t>
            </w:r>
            <w:r w:rsidR="00FA7C77">
              <w:rPr>
                <w:rFonts w:cs="Calibri"/>
              </w:rPr>
              <w:t xml:space="preserve">  </w:t>
            </w:r>
          </w:p>
        </w:tc>
      </w:tr>
      <w:tr w:rsidR="00CD4C96" w:rsidRPr="00416D13" w14:paraId="3ADFCD84" w14:textId="77777777" w:rsidTr="0004564D">
        <w:trPr>
          <w:gridAfter w:val="1"/>
          <w:wAfter w:w="145" w:type="dxa"/>
          <w:trHeight w:val="23"/>
        </w:trPr>
        <w:tc>
          <w:tcPr>
            <w:tcW w:w="1562" w:type="dxa"/>
            <w:tcBorders>
              <w:top w:val="nil"/>
              <w:left w:val="single" w:sz="2" w:space="0" w:color="auto"/>
              <w:bottom w:val="nil"/>
              <w:right w:val="single" w:sz="2" w:space="0" w:color="auto"/>
            </w:tcBorders>
          </w:tcPr>
          <w:p w14:paraId="481E85DF" w14:textId="77777777" w:rsidR="00CD4C96" w:rsidRPr="00CD4C96" w:rsidRDefault="00CD4C96" w:rsidP="00CD4C96">
            <w:pPr>
              <w:pStyle w:val="TableReference"/>
              <w:tabs>
                <w:tab w:val="left" w:pos="3306"/>
              </w:tabs>
              <w:spacing w:before="60"/>
              <w:rPr>
                <w:color w:val="7030A0"/>
                <w:sz w:val="14"/>
              </w:rPr>
            </w:pPr>
            <w:r w:rsidRPr="00CD4C96">
              <w:rPr>
                <w:color w:val="7030A0"/>
                <w:sz w:val="14"/>
              </w:rPr>
              <w:t>AASB 110.21(b)</w:t>
            </w:r>
          </w:p>
        </w:tc>
        <w:tc>
          <w:tcPr>
            <w:tcW w:w="8785" w:type="dxa"/>
            <w:gridSpan w:val="5"/>
            <w:tcBorders>
              <w:top w:val="nil"/>
              <w:left w:val="single" w:sz="2" w:space="0" w:color="auto"/>
              <w:bottom w:val="nil"/>
              <w:right w:val="nil"/>
            </w:tcBorders>
            <w:vAlign w:val="bottom"/>
          </w:tcPr>
          <w:p w14:paraId="56028CC9" w14:textId="579E44D2" w:rsidR="00CD4C96" w:rsidRPr="00416D13" w:rsidRDefault="00CD4C96" w:rsidP="00E22A2F">
            <w:pPr>
              <w:pStyle w:val="TableText"/>
              <w:spacing w:before="0" w:after="120"/>
              <w:jc w:val="both"/>
              <w:rPr>
                <w:rFonts w:cs="Calibri"/>
              </w:rPr>
            </w:pPr>
            <w:r w:rsidRPr="00416D13">
              <w:rPr>
                <w:rFonts w:cs="Calibri"/>
              </w:rPr>
              <w:t xml:space="preserve">The total value of net assets transferred between the </w:t>
            </w:r>
            <w:r w:rsidR="00C65FC2">
              <w:rPr>
                <w:rFonts w:cs="Calibri"/>
              </w:rPr>
              <w:t xml:space="preserve">‘Burley Griffin </w:t>
            </w:r>
            <w:r w:rsidRPr="00416D13">
              <w:rPr>
                <w:rFonts w:cs="Calibri"/>
              </w:rPr>
              <w:t>Agency</w:t>
            </w:r>
            <w:r w:rsidR="00C65FC2">
              <w:rPr>
                <w:rFonts w:cs="Calibri"/>
              </w:rPr>
              <w:t>’</w:t>
            </w:r>
            <w:r w:rsidRPr="00416D13">
              <w:rPr>
                <w:rFonts w:cs="Calibri"/>
              </w:rPr>
              <w:t xml:space="preserve"> and ‘Receiving Directorate’ after the reporting period was $000,000. </w:t>
            </w:r>
          </w:p>
        </w:tc>
      </w:tr>
      <w:tr w:rsidR="00CD4C96" w:rsidRPr="00416D13" w14:paraId="7AB21A77"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5" w:type="dxa"/>
          <w:trHeight w:val="283"/>
        </w:trPr>
        <w:tc>
          <w:tcPr>
            <w:tcW w:w="1562" w:type="dxa"/>
            <w:tcBorders>
              <w:left w:val="single" w:sz="2" w:space="0" w:color="auto"/>
              <w:right w:val="single" w:sz="2" w:space="0" w:color="auto"/>
            </w:tcBorders>
          </w:tcPr>
          <w:p w14:paraId="1E765A79" w14:textId="4E43DC71" w:rsidR="00CD4C96" w:rsidRPr="000A1EDA" w:rsidRDefault="000A1EDA" w:rsidP="000A1EDA">
            <w:pPr>
              <w:pStyle w:val="TableReference"/>
              <w:tabs>
                <w:tab w:val="left" w:pos="3306"/>
              </w:tabs>
              <w:rPr>
                <w:b/>
                <w:bCs/>
                <w:color w:val="7030A0"/>
                <w:sz w:val="22"/>
                <w:szCs w:val="22"/>
              </w:rPr>
            </w:pPr>
            <w:r w:rsidRPr="000A1EDA">
              <w:rPr>
                <w:rFonts w:cs="Calibri"/>
                <w:b/>
                <w:bCs/>
                <w:color w:val="7030A0"/>
                <w:sz w:val="22"/>
                <w:szCs w:val="22"/>
              </w:rPr>
              <w:t>Reference</w:t>
            </w:r>
          </w:p>
        </w:tc>
        <w:tc>
          <w:tcPr>
            <w:tcW w:w="8785" w:type="dxa"/>
            <w:gridSpan w:val="5"/>
            <w:tcBorders>
              <w:left w:val="single" w:sz="2" w:space="0" w:color="auto"/>
            </w:tcBorders>
            <w:shd w:val="clear" w:color="auto" w:fill="7030A0"/>
          </w:tcPr>
          <w:p w14:paraId="3D798A0E" w14:textId="03B5E651" w:rsidR="00CD4C96" w:rsidRPr="00416D13" w:rsidRDefault="00CD4C96" w:rsidP="000A1EDA">
            <w:pPr>
              <w:pStyle w:val="CommentaryTitle"/>
              <w:tabs>
                <w:tab w:val="left" w:pos="3306"/>
              </w:tabs>
              <w:spacing w:before="0" w:after="240"/>
              <w:rPr>
                <w:rFonts w:cs="Calibri"/>
              </w:rPr>
            </w:pPr>
            <w:bookmarkStart w:id="770" w:name="_Toc50440401"/>
            <w:bookmarkStart w:id="771" w:name="_Toc163106393"/>
            <w:r w:rsidRPr="00C65FC2">
              <w:rPr>
                <w:rFonts w:cs="Calibri"/>
                <w:color w:val="FFFFFF" w:themeColor="background1"/>
                <w:sz w:val="28"/>
                <w:szCs w:val="28"/>
              </w:rPr>
              <w:t xml:space="preserve">Commentary </w:t>
            </w:r>
            <w:r w:rsidRPr="00C65FC2">
              <w:rPr>
                <w:rFonts w:cs="Calibri"/>
                <w:color w:val="FFFFFF" w:themeColor="background1"/>
                <w:sz w:val="28"/>
                <w:szCs w:val="28"/>
              </w:rPr>
              <w:sym w:font="Symbol" w:char="F02D"/>
            </w:r>
            <w:r w:rsidRPr="00C65FC2">
              <w:rPr>
                <w:rFonts w:cs="Calibri"/>
                <w:color w:val="FFFFFF" w:themeColor="background1"/>
                <w:sz w:val="28"/>
                <w:szCs w:val="28"/>
              </w:rPr>
              <w:t xml:space="preserve"> Note </w:t>
            </w:r>
            <w:r w:rsidR="00C65FC2">
              <w:rPr>
                <w:rFonts w:cs="Calibri"/>
                <w:color w:val="FFFFFF" w:themeColor="background1"/>
                <w:sz w:val="28"/>
                <w:szCs w:val="28"/>
              </w:rPr>
              <w:t>3</w:t>
            </w:r>
            <w:r w:rsidRPr="00C65FC2">
              <w:rPr>
                <w:rFonts w:cs="Calibri"/>
                <w:color w:val="FFFFFF" w:themeColor="background1"/>
                <w:sz w:val="28"/>
                <w:szCs w:val="28"/>
              </w:rPr>
              <w:t xml:space="preserve">6: Events after the </w:t>
            </w:r>
            <w:bookmarkEnd w:id="770"/>
            <w:bookmarkEnd w:id="771"/>
            <w:r w:rsidRPr="00C65FC2">
              <w:rPr>
                <w:rFonts w:cs="Calibri"/>
                <w:color w:val="FFFFFF" w:themeColor="background1"/>
                <w:sz w:val="28"/>
                <w:szCs w:val="28"/>
              </w:rPr>
              <w:t>Reporting Period</w:t>
            </w:r>
            <w:r w:rsidRPr="00416D13">
              <w:rPr>
                <w:rFonts w:cs="Calibri"/>
              </w:rPr>
              <w:t xml:space="preserve"> </w:t>
            </w:r>
          </w:p>
        </w:tc>
      </w:tr>
      <w:tr w:rsidR="00CD4C96" w:rsidRPr="009025F5" w14:paraId="0F3CB77F"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5" w:type="dxa"/>
          <w:trHeight w:val="283"/>
        </w:trPr>
        <w:tc>
          <w:tcPr>
            <w:tcW w:w="1562" w:type="dxa"/>
            <w:tcBorders>
              <w:left w:val="single" w:sz="2" w:space="0" w:color="auto"/>
              <w:right w:val="single" w:sz="2" w:space="0" w:color="auto"/>
            </w:tcBorders>
          </w:tcPr>
          <w:p w14:paraId="1DAE5034" w14:textId="77777777" w:rsidR="00CD4C96" w:rsidRPr="00CD4C96" w:rsidRDefault="00CD4C96" w:rsidP="00E22A2F">
            <w:pPr>
              <w:pStyle w:val="TableReference"/>
              <w:tabs>
                <w:tab w:val="left" w:pos="3306"/>
              </w:tabs>
              <w:spacing w:before="60"/>
              <w:rPr>
                <w:color w:val="7030A0"/>
                <w:sz w:val="14"/>
              </w:rPr>
            </w:pPr>
            <w:r w:rsidRPr="00CD4C96">
              <w:rPr>
                <w:color w:val="7030A0"/>
                <w:sz w:val="14"/>
              </w:rPr>
              <w:t>AASB 110.3</w:t>
            </w:r>
          </w:p>
        </w:tc>
        <w:tc>
          <w:tcPr>
            <w:tcW w:w="8785" w:type="dxa"/>
            <w:gridSpan w:val="5"/>
            <w:tcBorders>
              <w:left w:val="single" w:sz="2" w:space="0" w:color="auto"/>
            </w:tcBorders>
            <w:shd w:val="clear" w:color="auto" w:fill="7030A0"/>
          </w:tcPr>
          <w:p w14:paraId="43478FDD" w14:textId="6FAC9E50" w:rsidR="00CD4C96" w:rsidRPr="00C65FC2" w:rsidRDefault="00CD4C96" w:rsidP="00C65FC2">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Events after the reporting period are those events, favourable and unfavourable, that occur between the reporting period and the date when the financial statements are authorised for issue.</w:t>
            </w:r>
            <w:r w:rsidR="00FA7C77">
              <w:rPr>
                <w:rFonts w:cs="Calibri"/>
                <w:color w:val="FFFFFF" w:themeColor="background1"/>
                <w:sz w:val="18"/>
                <w:szCs w:val="18"/>
              </w:rPr>
              <w:t xml:space="preserve"> </w:t>
            </w:r>
            <w:r w:rsidRPr="00C65FC2">
              <w:rPr>
                <w:rFonts w:cs="Calibri"/>
                <w:color w:val="FFFFFF" w:themeColor="background1"/>
                <w:sz w:val="18"/>
                <w:szCs w:val="18"/>
              </w:rPr>
              <w:t>Two types of events can be identified:</w:t>
            </w:r>
          </w:p>
          <w:p w14:paraId="2B66FB3C" w14:textId="77777777" w:rsidR="00CD4C96" w:rsidRPr="00C65FC2" w:rsidRDefault="00CD4C96" w:rsidP="000A1EDA">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 xml:space="preserve">those that provide evidence of conditions that existed at the end of the reporting period (adjusting events after the reporting period); and </w:t>
            </w:r>
          </w:p>
          <w:p w14:paraId="28C1007E" w14:textId="77777777" w:rsidR="00CD4C96" w:rsidRPr="00C65FC2" w:rsidRDefault="00CD4C96" w:rsidP="000A1EDA">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those that are indicative of conditions that arose after the reporting period (non-adjusting events after the reporting period).</w:t>
            </w:r>
          </w:p>
        </w:tc>
      </w:tr>
      <w:tr w:rsidR="00CD4C96" w:rsidRPr="009025F5" w14:paraId="5219638A"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5" w:type="dxa"/>
          <w:trHeight w:val="283"/>
        </w:trPr>
        <w:tc>
          <w:tcPr>
            <w:tcW w:w="1562" w:type="dxa"/>
            <w:tcBorders>
              <w:left w:val="single" w:sz="2" w:space="0" w:color="auto"/>
              <w:right w:val="single" w:sz="2" w:space="0" w:color="auto"/>
            </w:tcBorders>
          </w:tcPr>
          <w:p w14:paraId="27582ED2" w14:textId="77777777" w:rsidR="00CD4C96" w:rsidRPr="00CD4C96" w:rsidRDefault="00CD4C96" w:rsidP="00E22A2F">
            <w:pPr>
              <w:pStyle w:val="TableReference"/>
              <w:tabs>
                <w:tab w:val="left" w:pos="3306"/>
              </w:tabs>
              <w:spacing w:before="60"/>
              <w:rPr>
                <w:color w:val="7030A0"/>
                <w:sz w:val="14"/>
              </w:rPr>
            </w:pPr>
            <w:r w:rsidRPr="00CD4C96">
              <w:rPr>
                <w:color w:val="7030A0"/>
                <w:sz w:val="14"/>
              </w:rPr>
              <w:t>AASB 110.8 &amp; 9</w:t>
            </w:r>
          </w:p>
          <w:p w14:paraId="7D090427" w14:textId="77777777" w:rsidR="00CD4C96" w:rsidRPr="00CD4C96" w:rsidRDefault="00CD4C96" w:rsidP="00E22A2F">
            <w:pPr>
              <w:pStyle w:val="TableReference"/>
              <w:tabs>
                <w:tab w:val="left" w:pos="3306"/>
              </w:tabs>
              <w:rPr>
                <w:color w:val="7030A0"/>
                <w:sz w:val="14"/>
              </w:rPr>
            </w:pPr>
          </w:p>
          <w:p w14:paraId="5DF15283" w14:textId="77777777" w:rsidR="00CD4C96" w:rsidRPr="00CD4C96" w:rsidRDefault="00CD4C96" w:rsidP="00E22A2F">
            <w:pPr>
              <w:pStyle w:val="TableReference"/>
              <w:tabs>
                <w:tab w:val="left" w:pos="3306"/>
              </w:tabs>
              <w:rPr>
                <w:color w:val="7030A0"/>
                <w:sz w:val="14"/>
              </w:rPr>
            </w:pPr>
          </w:p>
          <w:p w14:paraId="0DF75FA8" w14:textId="77777777" w:rsidR="00CD4C96" w:rsidRPr="00CD4C96" w:rsidRDefault="00CD4C96" w:rsidP="00E22A2F">
            <w:pPr>
              <w:pStyle w:val="TableReference"/>
              <w:tabs>
                <w:tab w:val="left" w:pos="3306"/>
              </w:tabs>
              <w:rPr>
                <w:color w:val="7030A0"/>
                <w:sz w:val="14"/>
              </w:rPr>
            </w:pPr>
          </w:p>
          <w:p w14:paraId="661D715E" w14:textId="77777777" w:rsidR="00CD4C96" w:rsidRPr="00CD4C96" w:rsidRDefault="00CD4C96" w:rsidP="00E22A2F">
            <w:pPr>
              <w:pStyle w:val="TableReference"/>
              <w:tabs>
                <w:tab w:val="left" w:pos="3306"/>
              </w:tabs>
              <w:rPr>
                <w:color w:val="7030A0"/>
                <w:sz w:val="14"/>
              </w:rPr>
            </w:pPr>
          </w:p>
          <w:p w14:paraId="12930BFA" w14:textId="77777777" w:rsidR="00CD4C96" w:rsidRPr="00CD4C96" w:rsidRDefault="00CD4C96" w:rsidP="00E22A2F">
            <w:pPr>
              <w:pStyle w:val="TableReference"/>
              <w:tabs>
                <w:tab w:val="left" w:pos="3306"/>
              </w:tabs>
              <w:rPr>
                <w:color w:val="7030A0"/>
                <w:sz w:val="14"/>
              </w:rPr>
            </w:pPr>
          </w:p>
          <w:p w14:paraId="2E3F2DB8" w14:textId="77777777" w:rsidR="00CD4C96" w:rsidRPr="00CD4C96" w:rsidRDefault="00CD4C96" w:rsidP="00E22A2F">
            <w:pPr>
              <w:pStyle w:val="TableReference"/>
              <w:tabs>
                <w:tab w:val="left" w:pos="3306"/>
              </w:tabs>
              <w:rPr>
                <w:color w:val="7030A0"/>
                <w:sz w:val="14"/>
              </w:rPr>
            </w:pPr>
          </w:p>
          <w:p w14:paraId="48C9B2A7" w14:textId="77777777" w:rsidR="00CD4C96" w:rsidRPr="00CD4C96" w:rsidRDefault="00CD4C96" w:rsidP="00E22A2F">
            <w:pPr>
              <w:pStyle w:val="TableReference"/>
              <w:tabs>
                <w:tab w:val="left" w:pos="3306"/>
              </w:tabs>
              <w:rPr>
                <w:color w:val="7030A0"/>
                <w:sz w:val="14"/>
              </w:rPr>
            </w:pPr>
          </w:p>
          <w:p w14:paraId="7CD77D17" w14:textId="77777777" w:rsidR="00CD4C96" w:rsidRPr="00CD4C96" w:rsidRDefault="00CD4C96" w:rsidP="00E22A2F">
            <w:pPr>
              <w:pStyle w:val="TableReference"/>
              <w:tabs>
                <w:tab w:val="left" w:pos="3306"/>
              </w:tabs>
              <w:rPr>
                <w:color w:val="7030A0"/>
                <w:sz w:val="14"/>
              </w:rPr>
            </w:pPr>
          </w:p>
          <w:p w14:paraId="71E6E60C" w14:textId="77777777" w:rsidR="00CD4C96" w:rsidRPr="00CD4C96" w:rsidRDefault="00CD4C96" w:rsidP="00E22A2F">
            <w:pPr>
              <w:pStyle w:val="TableReference"/>
              <w:tabs>
                <w:tab w:val="left" w:pos="3306"/>
              </w:tabs>
              <w:rPr>
                <w:color w:val="7030A0"/>
                <w:sz w:val="14"/>
              </w:rPr>
            </w:pPr>
            <w:r w:rsidRPr="00CD4C96">
              <w:rPr>
                <w:color w:val="7030A0"/>
                <w:sz w:val="14"/>
              </w:rPr>
              <w:t>AASB 110.10 &amp; 11</w:t>
            </w:r>
          </w:p>
        </w:tc>
        <w:tc>
          <w:tcPr>
            <w:tcW w:w="8785" w:type="dxa"/>
            <w:gridSpan w:val="5"/>
            <w:tcBorders>
              <w:left w:val="single" w:sz="2" w:space="0" w:color="auto"/>
            </w:tcBorders>
            <w:shd w:val="clear" w:color="auto" w:fill="7030A0"/>
          </w:tcPr>
          <w:p w14:paraId="42143C97" w14:textId="42BF8053" w:rsidR="00CD4C96" w:rsidRPr="00C65FC2" w:rsidRDefault="00CD4C96" w:rsidP="00C65FC2">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Adjusting events after the reporting period – involve an agency adjusting the amounts recognised in its financial statements for that adjusting event.</w:t>
            </w:r>
            <w:r w:rsidR="00FA7C77">
              <w:rPr>
                <w:rFonts w:cs="Calibri"/>
                <w:color w:val="FFFFFF" w:themeColor="background1"/>
                <w:sz w:val="18"/>
                <w:szCs w:val="18"/>
              </w:rPr>
              <w:t xml:space="preserve"> </w:t>
            </w:r>
            <w:r w:rsidRPr="00C65FC2">
              <w:rPr>
                <w:rFonts w:cs="Calibri"/>
                <w:color w:val="FFFFFF" w:themeColor="background1"/>
                <w:sz w:val="18"/>
                <w:szCs w:val="18"/>
              </w:rPr>
              <w:t>An example of an adjusting event is the settlement after the reporting period of a court case that confirms the agency had a present obligation at the end of the reporting period.</w:t>
            </w:r>
            <w:r w:rsidR="00FA7C77">
              <w:rPr>
                <w:rFonts w:cs="Calibri"/>
                <w:color w:val="FFFFFF" w:themeColor="background1"/>
                <w:sz w:val="18"/>
                <w:szCs w:val="18"/>
              </w:rPr>
              <w:t xml:space="preserve"> </w:t>
            </w:r>
            <w:r w:rsidRPr="00C65FC2">
              <w:rPr>
                <w:rFonts w:cs="Calibri"/>
                <w:color w:val="FFFFFF" w:themeColor="background1"/>
                <w:sz w:val="18"/>
                <w:szCs w:val="18"/>
              </w:rPr>
              <w:t>The agency would therefore have to make the appropriate adjustment in its financial statements for the result of the court case.</w:t>
            </w:r>
          </w:p>
          <w:p w14:paraId="1D654BCB" w14:textId="07E7C47F" w:rsidR="00CD4C96" w:rsidRPr="00C65FC2" w:rsidRDefault="00CD4C96" w:rsidP="00C65FC2">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Non-adjusting events after the reporting period – involve the disclosure of the event; however, no adjustment is made to amounts recognised in the financial report.</w:t>
            </w:r>
            <w:r w:rsidR="00FA7C77">
              <w:rPr>
                <w:rFonts w:cs="Calibri"/>
                <w:color w:val="FFFFFF" w:themeColor="background1"/>
                <w:sz w:val="18"/>
                <w:szCs w:val="18"/>
              </w:rPr>
              <w:t xml:space="preserve"> </w:t>
            </w:r>
            <w:r w:rsidRPr="00C65FC2">
              <w:rPr>
                <w:rFonts w:cs="Calibri"/>
                <w:color w:val="FFFFFF" w:themeColor="background1"/>
                <w:sz w:val="18"/>
                <w:szCs w:val="18"/>
              </w:rPr>
              <w:t>An example of a non-adjusting event is a decline in market value of investments between the end of the reporting period and the date when the financial report is authorised for issue. The decline in market value does not normally relate to the condition of the investments at the end of the</w:t>
            </w:r>
            <w:r w:rsidR="00FA7C77">
              <w:rPr>
                <w:rFonts w:cs="Calibri"/>
                <w:color w:val="FFFFFF" w:themeColor="background1"/>
                <w:sz w:val="18"/>
                <w:szCs w:val="18"/>
              </w:rPr>
              <w:t xml:space="preserve"> </w:t>
            </w:r>
            <w:r w:rsidRPr="00C65FC2">
              <w:rPr>
                <w:rFonts w:cs="Calibri"/>
                <w:color w:val="FFFFFF" w:themeColor="background1"/>
                <w:sz w:val="18"/>
                <w:szCs w:val="18"/>
              </w:rPr>
              <w:t>reporting period, but reflects circumstances that have arisen subsequently.</w:t>
            </w:r>
          </w:p>
        </w:tc>
      </w:tr>
      <w:tr w:rsidR="00CD4C96" w:rsidRPr="009025F5" w14:paraId="016DD91D"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5" w:type="dxa"/>
          <w:trHeight w:val="283"/>
        </w:trPr>
        <w:tc>
          <w:tcPr>
            <w:tcW w:w="1562" w:type="dxa"/>
            <w:tcBorders>
              <w:left w:val="single" w:sz="2" w:space="0" w:color="auto"/>
              <w:right w:val="single" w:sz="2" w:space="0" w:color="auto"/>
            </w:tcBorders>
          </w:tcPr>
          <w:p w14:paraId="330C9933" w14:textId="77777777" w:rsidR="00CD4C96" w:rsidRPr="00CD4C96" w:rsidRDefault="00CD4C96" w:rsidP="00E22A2F">
            <w:pPr>
              <w:pStyle w:val="TableReference"/>
              <w:tabs>
                <w:tab w:val="left" w:pos="3306"/>
              </w:tabs>
              <w:spacing w:before="60"/>
              <w:rPr>
                <w:color w:val="7030A0"/>
                <w:sz w:val="14"/>
              </w:rPr>
            </w:pPr>
            <w:r w:rsidRPr="00CD4C96">
              <w:rPr>
                <w:color w:val="7030A0"/>
                <w:sz w:val="14"/>
              </w:rPr>
              <w:t>AASB 110.19</w:t>
            </w:r>
          </w:p>
        </w:tc>
        <w:tc>
          <w:tcPr>
            <w:tcW w:w="8785" w:type="dxa"/>
            <w:gridSpan w:val="5"/>
            <w:tcBorders>
              <w:left w:val="single" w:sz="2" w:space="0" w:color="auto"/>
            </w:tcBorders>
            <w:shd w:val="clear" w:color="auto" w:fill="7030A0"/>
          </w:tcPr>
          <w:p w14:paraId="055DFADE" w14:textId="77777777" w:rsidR="00CD4C96" w:rsidRPr="00C65FC2" w:rsidRDefault="00CD4C96" w:rsidP="00C65FC2">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If an agency receives information after the reporting period about conditions that existed at the end of the reporting period, disclosures relating to those conditions should be updated in light of the new information.</w:t>
            </w:r>
          </w:p>
        </w:tc>
      </w:tr>
      <w:tr w:rsidR="00CD4C96" w:rsidRPr="009025F5" w14:paraId="26B5F6F9"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5" w:type="dxa"/>
          <w:trHeight w:val="283"/>
        </w:trPr>
        <w:tc>
          <w:tcPr>
            <w:tcW w:w="1562" w:type="dxa"/>
            <w:tcBorders>
              <w:left w:val="single" w:sz="2" w:space="0" w:color="auto"/>
              <w:right w:val="single" w:sz="2" w:space="0" w:color="auto"/>
            </w:tcBorders>
          </w:tcPr>
          <w:p w14:paraId="6E2EE56E" w14:textId="77777777" w:rsidR="00CD4C96" w:rsidRPr="00CD4C96" w:rsidRDefault="00CD4C96" w:rsidP="00E22A2F">
            <w:pPr>
              <w:pStyle w:val="TableReference"/>
              <w:tabs>
                <w:tab w:val="left" w:pos="3306"/>
              </w:tabs>
              <w:spacing w:before="60"/>
              <w:rPr>
                <w:color w:val="7030A0"/>
                <w:sz w:val="14"/>
              </w:rPr>
            </w:pPr>
            <w:r w:rsidRPr="00CD4C96">
              <w:rPr>
                <w:color w:val="7030A0"/>
                <w:sz w:val="14"/>
              </w:rPr>
              <w:t>AASB 110.21</w:t>
            </w:r>
          </w:p>
        </w:tc>
        <w:tc>
          <w:tcPr>
            <w:tcW w:w="8785" w:type="dxa"/>
            <w:gridSpan w:val="5"/>
            <w:tcBorders>
              <w:left w:val="single" w:sz="2" w:space="0" w:color="auto"/>
            </w:tcBorders>
            <w:shd w:val="clear" w:color="auto" w:fill="7030A0"/>
          </w:tcPr>
          <w:p w14:paraId="18249A23" w14:textId="77777777" w:rsidR="00CD4C96" w:rsidRPr="00C65FC2" w:rsidRDefault="00CD4C96" w:rsidP="00E22A2F">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AASB 110 Events after the Reporting Period requires the following information to be disclosed for each material category of non-adjusting event after the reporting period:</w:t>
            </w:r>
          </w:p>
          <w:p w14:paraId="4F39E264" w14:textId="77777777" w:rsidR="00CD4C96" w:rsidRPr="00C65FC2" w:rsidRDefault="00CD4C96" w:rsidP="000A1EDA">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the nature of the event; and</w:t>
            </w:r>
          </w:p>
          <w:p w14:paraId="7AAF0093" w14:textId="77777777" w:rsidR="00CD4C96" w:rsidRPr="00C65FC2" w:rsidRDefault="00CD4C96" w:rsidP="000A1EDA">
            <w:pPr>
              <w:pStyle w:val="Commentary-Bullet"/>
              <w:tabs>
                <w:tab w:val="clear" w:pos="502"/>
              </w:tabs>
              <w:spacing w:after="40"/>
              <w:ind w:left="604" w:hanging="454"/>
              <w:rPr>
                <w:rFonts w:cs="Calibri"/>
                <w:color w:val="FFFFFF" w:themeColor="background1"/>
                <w:sz w:val="18"/>
                <w:szCs w:val="18"/>
              </w:rPr>
            </w:pPr>
            <w:r w:rsidRPr="00C65FC2">
              <w:rPr>
                <w:rFonts w:cs="Calibri"/>
                <w:color w:val="FFFFFF" w:themeColor="background1"/>
                <w:sz w:val="18"/>
                <w:szCs w:val="18"/>
              </w:rPr>
              <w:t>an estimate of its financial effect or a statement that such an estimate cannot be made.</w:t>
            </w:r>
          </w:p>
        </w:tc>
      </w:tr>
      <w:tr w:rsidR="00CD4C96" w:rsidRPr="009025F5" w14:paraId="68865680" w14:textId="77777777" w:rsidTr="000456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5" w:type="dxa"/>
          <w:trHeight w:val="283"/>
        </w:trPr>
        <w:tc>
          <w:tcPr>
            <w:tcW w:w="1562" w:type="dxa"/>
            <w:tcBorders>
              <w:left w:val="single" w:sz="2" w:space="0" w:color="auto"/>
              <w:right w:val="single" w:sz="2" w:space="0" w:color="auto"/>
            </w:tcBorders>
          </w:tcPr>
          <w:p w14:paraId="2DD073C4" w14:textId="77777777" w:rsidR="00CD4C96" w:rsidRPr="00416D13" w:rsidRDefault="00CD4C96" w:rsidP="00E22A2F">
            <w:pPr>
              <w:pStyle w:val="TableReference"/>
              <w:tabs>
                <w:tab w:val="left" w:pos="3306"/>
              </w:tabs>
              <w:spacing w:before="60"/>
              <w:rPr>
                <w:rFonts w:cs="Calibri"/>
                <w:color w:val="auto"/>
                <w:sz w:val="16"/>
                <w:szCs w:val="16"/>
              </w:rPr>
            </w:pPr>
          </w:p>
        </w:tc>
        <w:tc>
          <w:tcPr>
            <w:tcW w:w="8785" w:type="dxa"/>
            <w:gridSpan w:val="5"/>
            <w:tcBorders>
              <w:left w:val="single" w:sz="2" w:space="0" w:color="auto"/>
            </w:tcBorders>
            <w:shd w:val="clear" w:color="auto" w:fill="7030A0"/>
          </w:tcPr>
          <w:p w14:paraId="30F600B8" w14:textId="77777777" w:rsidR="00CD4C96" w:rsidRPr="00C65FC2" w:rsidRDefault="00CD4C96" w:rsidP="00E22A2F">
            <w:pPr>
              <w:pStyle w:val="CommentaryText"/>
              <w:tabs>
                <w:tab w:val="left" w:pos="3306"/>
              </w:tabs>
              <w:rPr>
                <w:rFonts w:cs="Calibri"/>
                <w:color w:val="FFFFFF" w:themeColor="background1"/>
                <w:sz w:val="18"/>
                <w:szCs w:val="18"/>
              </w:rPr>
            </w:pPr>
            <w:r w:rsidRPr="00C65FC2">
              <w:rPr>
                <w:rFonts w:cs="Calibri"/>
                <w:color w:val="FFFFFF" w:themeColor="background1"/>
                <w:sz w:val="18"/>
                <w:szCs w:val="18"/>
              </w:rPr>
              <w:t xml:space="preserve">If an agency does not have any material events occurring after the reporting period, then this note can be excluded. </w:t>
            </w:r>
          </w:p>
        </w:tc>
      </w:tr>
      <w:tr w:rsidR="000144FF" w:rsidRPr="00CF7E1B" w14:paraId="083308C1" w14:textId="77777777" w:rsidTr="0004564D">
        <w:trPr>
          <w:trHeight w:val="23"/>
        </w:trPr>
        <w:tc>
          <w:tcPr>
            <w:tcW w:w="1562" w:type="dxa"/>
            <w:tcBorders>
              <w:top w:val="nil"/>
              <w:left w:val="single" w:sz="2" w:space="0" w:color="auto"/>
              <w:bottom w:val="nil"/>
              <w:right w:val="single" w:sz="2" w:space="0" w:color="auto"/>
            </w:tcBorders>
          </w:tcPr>
          <w:p w14:paraId="117E937F" w14:textId="795426F5" w:rsidR="000144FF" w:rsidRPr="00B01585" w:rsidRDefault="000144FF" w:rsidP="005B1145">
            <w:pPr>
              <w:pStyle w:val="TableReference"/>
              <w:tabs>
                <w:tab w:val="left" w:pos="3306"/>
              </w:tabs>
              <w:spacing w:before="240" w:after="240"/>
              <w:rPr>
                <w:rFonts w:cs="Calibri"/>
                <w:b/>
                <w:color w:val="7030A0"/>
                <w:sz w:val="22"/>
                <w:szCs w:val="22"/>
              </w:rPr>
            </w:pPr>
          </w:p>
        </w:tc>
        <w:tc>
          <w:tcPr>
            <w:tcW w:w="8930" w:type="dxa"/>
            <w:gridSpan w:val="6"/>
            <w:tcBorders>
              <w:top w:val="nil"/>
              <w:left w:val="single" w:sz="2" w:space="0" w:color="auto"/>
              <w:bottom w:val="nil"/>
              <w:right w:val="nil"/>
            </w:tcBorders>
            <w:vAlign w:val="bottom"/>
          </w:tcPr>
          <w:p w14:paraId="3FED2862" w14:textId="3A4CDA64" w:rsidR="000144FF" w:rsidRPr="00B01585" w:rsidRDefault="00D52141" w:rsidP="000C4F43">
            <w:pPr>
              <w:pStyle w:val="Heading1"/>
              <w:numPr>
                <w:ilvl w:val="0"/>
                <w:numId w:val="0"/>
              </w:numPr>
            </w:pPr>
            <w:bookmarkStart w:id="772" w:name="_Toc49224245"/>
            <w:bookmarkStart w:id="773" w:name="_Ref50365756"/>
            <w:bookmarkStart w:id="774" w:name="_Toc50440402"/>
            <w:bookmarkStart w:id="775" w:name="_Ref50524291"/>
            <w:bookmarkStart w:id="776" w:name="_Toc400627364"/>
            <w:bookmarkStart w:id="777" w:name="_Toc98763179"/>
            <w:r w:rsidRPr="00B01585">
              <w:t>Note</w:t>
            </w:r>
            <w:r w:rsidR="00106CCB" w:rsidRPr="00B01585">
              <w:t xml:space="preserve"> </w:t>
            </w:r>
            <w:r w:rsidR="00364EB1" w:rsidRPr="00B01585">
              <w:t>3</w:t>
            </w:r>
            <w:r w:rsidR="0057601E" w:rsidRPr="00B01585">
              <w:t>7</w:t>
            </w:r>
            <w:r w:rsidR="00106CCB" w:rsidRPr="00B01585">
              <w:t>.</w:t>
            </w:r>
            <w:r w:rsidR="00FA7C77">
              <w:t xml:space="preserve"> </w:t>
            </w:r>
            <w:r w:rsidRPr="00B01585">
              <w:t xml:space="preserve"> </w:t>
            </w:r>
            <w:r w:rsidR="000144FF" w:rsidRPr="00B01585">
              <w:t>Third Party Monies</w:t>
            </w:r>
            <w:bookmarkEnd w:id="772"/>
            <w:bookmarkEnd w:id="773"/>
            <w:bookmarkEnd w:id="774"/>
            <w:bookmarkEnd w:id="775"/>
            <w:bookmarkEnd w:id="776"/>
            <w:bookmarkEnd w:id="777"/>
          </w:p>
        </w:tc>
      </w:tr>
      <w:tr w:rsidR="008636EA" w:rsidRPr="00CF7E1B" w14:paraId="5930C026" w14:textId="77777777" w:rsidTr="0004564D">
        <w:trPr>
          <w:trHeight w:val="23"/>
        </w:trPr>
        <w:tc>
          <w:tcPr>
            <w:tcW w:w="1562" w:type="dxa"/>
            <w:tcBorders>
              <w:top w:val="nil"/>
              <w:left w:val="single" w:sz="2" w:space="0" w:color="auto"/>
              <w:bottom w:val="nil"/>
              <w:right w:val="single" w:sz="2" w:space="0" w:color="auto"/>
            </w:tcBorders>
          </w:tcPr>
          <w:p w14:paraId="4B733055" w14:textId="77777777" w:rsidR="008636EA" w:rsidRPr="00B01585" w:rsidRDefault="008636EA" w:rsidP="00300197">
            <w:pPr>
              <w:pStyle w:val="TableReference"/>
              <w:tabs>
                <w:tab w:val="left" w:pos="3306"/>
              </w:tabs>
              <w:rPr>
                <w:rFonts w:cs="Calibri"/>
                <w:b/>
                <w:color w:val="7030A0"/>
                <w:sz w:val="20"/>
                <w:szCs w:val="20"/>
              </w:rPr>
            </w:pPr>
          </w:p>
        </w:tc>
        <w:tc>
          <w:tcPr>
            <w:tcW w:w="8930" w:type="dxa"/>
            <w:gridSpan w:val="6"/>
            <w:tcBorders>
              <w:top w:val="nil"/>
              <w:left w:val="single" w:sz="2" w:space="0" w:color="auto"/>
              <w:bottom w:val="nil"/>
              <w:right w:val="nil"/>
            </w:tcBorders>
            <w:vAlign w:val="bottom"/>
          </w:tcPr>
          <w:p w14:paraId="1D12115C" w14:textId="60F6A926" w:rsidR="008636EA" w:rsidRPr="00B01585" w:rsidRDefault="00226A74" w:rsidP="0057497D">
            <w:pPr>
              <w:spacing w:after="40"/>
              <w:rPr>
                <w:b/>
                <w:bCs/>
                <w:sz w:val="18"/>
                <w:szCs w:val="18"/>
              </w:rPr>
            </w:pPr>
            <w:r w:rsidRPr="00B01585">
              <w:rPr>
                <w:b/>
                <w:bCs/>
                <w:sz w:val="18"/>
                <w:szCs w:val="18"/>
              </w:rPr>
              <w:t>Description and Material Accounting Policies Relating to Third Party Monies</w:t>
            </w:r>
          </w:p>
        </w:tc>
      </w:tr>
      <w:tr w:rsidR="004B0AA0" w:rsidRPr="00CF7E1B" w14:paraId="6EAD5FC8" w14:textId="77777777" w:rsidTr="0004564D">
        <w:trPr>
          <w:trHeight w:val="23"/>
        </w:trPr>
        <w:tc>
          <w:tcPr>
            <w:tcW w:w="1562" w:type="dxa"/>
            <w:tcBorders>
              <w:top w:val="nil"/>
              <w:left w:val="single" w:sz="2" w:space="0" w:color="auto"/>
              <w:bottom w:val="nil"/>
              <w:right w:val="single" w:sz="2" w:space="0" w:color="auto"/>
            </w:tcBorders>
          </w:tcPr>
          <w:p w14:paraId="2B69E16E" w14:textId="77777777" w:rsidR="004B0AA0" w:rsidRPr="00B01585" w:rsidRDefault="004B0AA0" w:rsidP="00D52141">
            <w:pPr>
              <w:pStyle w:val="TableReference"/>
              <w:tabs>
                <w:tab w:val="left" w:pos="3306"/>
              </w:tabs>
              <w:spacing w:before="240"/>
              <w:rPr>
                <w:rFonts w:cs="Calibri"/>
                <w:b/>
                <w:color w:val="7030A0"/>
                <w:sz w:val="20"/>
                <w:szCs w:val="20"/>
              </w:rPr>
            </w:pPr>
          </w:p>
        </w:tc>
        <w:tc>
          <w:tcPr>
            <w:tcW w:w="8930" w:type="dxa"/>
            <w:gridSpan w:val="6"/>
            <w:tcBorders>
              <w:top w:val="nil"/>
              <w:left w:val="single" w:sz="2" w:space="0" w:color="auto"/>
              <w:bottom w:val="nil"/>
              <w:right w:val="nil"/>
            </w:tcBorders>
            <w:vAlign w:val="bottom"/>
          </w:tcPr>
          <w:p w14:paraId="17FA0C0F" w14:textId="0D8E6C42" w:rsidR="004B0AA0" w:rsidRPr="00B01585" w:rsidRDefault="004B0AA0" w:rsidP="0057497D">
            <w:pPr>
              <w:spacing w:after="120"/>
              <w:jc w:val="both"/>
              <w:rPr>
                <w:rFonts w:cs="Calibri"/>
                <w:caps/>
                <w:sz w:val="18"/>
                <w:szCs w:val="18"/>
              </w:rPr>
            </w:pPr>
            <w:r w:rsidRPr="00B01585">
              <w:rPr>
                <w:sz w:val="18"/>
                <w:szCs w:val="18"/>
              </w:rPr>
              <w:t>‘</w:t>
            </w:r>
            <w:r w:rsidR="003B044B" w:rsidRPr="00B01585">
              <w:rPr>
                <w:sz w:val="18"/>
                <w:szCs w:val="18"/>
              </w:rPr>
              <w:t>Burley Griffin</w:t>
            </w:r>
            <w:r w:rsidRPr="00B01585">
              <w:rPr>
                <w:sz w:val="18"/>
                <w:szCs w:val="18"/>
              </w:rPr>
              <w:t xml:space="preserve"> Agency’ holds </w:t>
            </w:r>
            <w:r w:rsidR="000623AF" w:rsidRPr="00B01585">
              <w:rPr>
                <w:sz w:val="18"/>
                <w:szCs w:val="18"/>
              </w:rPr>
              <w:t xml:space="preserve">security deposits </w:t>
            </w:r>
            <w:r w:rsidRPr="00B01585">
              <w:rPr>
                <w:sz w:val="18"/>
                <w:szCs w:val="18"/>
              </w:rPr>
              <w:t xml:space="preserve">for ‘Example Trust’ and also </w:t>
            </w:r>
            <w:r w:rsidR="000623AF" w:rsidRPr="00B01585">
              <w:rPr>
                <w:sz w:val="18"/>
                <w:szCs w:val="18"/>
              </w:rPr>
              <w:t>for contractors</w:t>
            </w:r>
            <w:r w:rsidRPr="00B01585">
              <w:rPr>
                <w:sz w:val="18"/>
                <w:szCs w:val="18"/>
              </w:rPr>
              <w:t xml:space="preserve">. There are no additional assets and liabilities other than cash in relation to </w:t>
            </w:r>
            <w:r w:rsidR="000623AF" w:rsidRPr="00B01585">
              <w:rPr>
                <w:sz w:val="18"/>
                <w:szCs w:val="18"/>
              </w:rPr>
              <w:t>these security deposits</w:t>
            </w:r>
            <w:r w:rsidRPr="00B01585">
              <w:rPr>
                <w:sz w:val="18"/>
                <w:szCs w:val="18"/>
              </w:rPr>
              <w:t>. Therefore</w:t>
            </w:r>
            <w:r w:rsidR="00A219CF" w:rsidRPr="00B01585">
              <w:rPr>
                <w:sz w:val="18"/>
                <w:szCs w:val="18"/>
              </w:rPr>
              <w:t>,</w:t>
            </w:r>
            <w:r w:rsidRPr="00B01585">
              <w:rPr>
                <w:sz w:val="18"/>
                <w:szCs w:val="18"/>
              </w:rPr>
              <w:t xml:space="preserve"> the below information o</w:t>
            </w:r>
            <w:r w:rsidRPr="00B01585">
              <w:rPr>
                <w:rFonts w:cs="Calibri"/>
                <w:sz w:val="18"/>
                <w:szCs w:val="18"/>
              </w:rPr>
              <w:t>nly provides cash disclosure</w:t>
            </w:r>
            <w:r w:rsidR="008636EA" w:rsidRPr="00B01585">
              <w:rPr>
                <w:rFonts w:cs="Calibri"/>
                <w:sz w:val="18"/>
                <w:szCs w:val="18"/>
              </w:rPr>
              <w:t>s</w:t>
            </w:r>
            <w:r w:rsidRPr="00B01585">
              <w:rPr>
                <w:rFonts w:cs="Calibri"/>
                <w:sz w:val="18"/>
                <w:szCs w:val="18"/>
              </w:rPr>
              <w:t xml:space="preserve"> of the trust activities during the year, and financial position at the reporting date.</w:t>
            </w:r>
            <w:r w:rsidR="008636EA" w:rsidRPr="00B01585">
              <w:rPr>
                <w:rFonts w:cs="Calibri"/>
              </w:rPr>
              <w:t xml:space="preserve"> </w:t>
            </w:r>
            <w:r w:rsidR="008636EA" w:rsidRPr="00B01585">
              <w:rPr>
                <w:rFonts w:cs="Calibri"/>
                <w:sz w:val="18"/>
                <w:szCs w:val="18"/>
              </w:rPr>
              <w:t>In both cases a trust</w:t>
            </w:r>
            <w:r w:rsidR="008636EA" w:rsidRPr="00B01585">
              <w:rPr>
                <w:sz w:val="18"/>
                <w:szCs w:val="18"/>
              </w:rPr>
              <w:t xml:space="preserve"> bank account has been set up in accordance with </w:t>
            </w:r>
            <w:r w:rsidR="008636EA" w:rsidRPr="00B01585">
              <w:rPr>
                <w:rFonts w:cs="Calibri"/>
                <w:sz w:val="18"/>
                <w:szCs w:val="18"/>
              </w:rPr>
              <w:t>section 51 of the</w:t>
            </w:r>
            <w:r w:rsidR="008636EA" w:rsidRPr="00B01585">
              <w:rPr>
                <w:sz w:val="18"/>
                <w:szCs w:val="18"/>
              </w:rPr>
              <w:t xml:space="preserve"> Financial Management Act to collect and hold the deposits.</w:t>
            </w:r>
          </w:p>
        </w:tc>
      </w:tr>
      <w:bookmarkEnd w:id="763"/>
      <w:tr w:rsidR="000144FF" w:rsidRPr="00CF7E1B" w14:paraId="125B834A" w14:textId="77777777" w:rsidTr="0004564D">
        <w:trPr>
          <w:trHeight w:val="23"/>
        </w:trPr>
        <w:tc>
          <w:tcPr>
            <w:tcW w:w="1562" w:type="dxa"/>
            <w:tcBorders>
              <w:top w:val="nil"/>
              <w:left w:val="single" w:sz="2" w:space="0" w:color="auto"/>
              <w:bottom w:val="nil"/>
              <w:right w:val="single" w:sz="2" w:space="0" w:color="auto"/>
            </w:tcBorders>
          </w:tcPr>
          <w:p w14:paraId="28E37CBA" w14:textId="77777777" w:rsidR="000144FF" w:rsidRPr="00B01585" w:rsidRDefault="000144FF">
            <w:pPr>
              <w:pStyle w:val="TableReference"/>
              <w:tabs>
                <w:tab w:val="left" w:pos="3306"/>
              </w:tabs>
              <w:spacing w:before="40"/>
              <w:rPr>
                <w:rFonts w:cs="Calibri"/>
                <w:color w:val="7030A0"/>
                <w:sz w:val="14"/>
              </w:rPr>
            </w:pPr>
            <w:r w:rsidRPr="00B01585">
              <w:rPr>
                <w:rFonts w:cs="Calibri"/>
                <w:color w:val="7030A0"/>
                <w:sz w:val="14"/>
              </w:rPr>
              <w:t xml:space="preserve"> ACT </w:t>
            </w:r>
            <w:r w:rsidR="001B6146" w:rsidRPr="00B01585">
              <w:rPr>
                <w:rFonts w:cs="Calibri"/>
                <w:color w:val="7030A0"/>
                <w:sz w:val="14"/>
              </w:rPr>
              <w:t>Disclosure</w:t>
            </w:r>
            <w:r w:rsidRPr="00B01585">
              <w:rPr>
                <w:rFonts w:cs="Calibri"/>
                <w:color w:val="7030A0"/>
                <w:sz w:val="14"/>
              </w:rPr>
              <w:t xml:space="preserve"> Policy</w:t>
            </w:r>
          </w:p>
        </w:tc>
        <w:tc>
          <w:tcPr>
            <w:tcW w:w="8930" w:type="dxa"/>
            <w:gridSpan w:val="6"/>
            <w:tcBorders>
              <w:top w:val="nil"/>
              <w:left w:val="single" w:sz="2" w:space="0" w:color="auto"/>
              <w:bottom w:val="nil"/>
              <w:right w:val="nil"/>
            </w:tcBorders>
            <w:vAlign w:val="bottom"/>
          </w:tcPr>
          <w:p w14:paraId="3A34B048" w14:textId="0D8FE192" w:rsidR="000144FF" w:rsidRPr="00B01585" w:rsidRDefault="004B0AA0" w:rsidP="004B0AA0">
            <w:pPr>
              <w:rPr>
                <w:i/>
                <w:iCs/>
                <w:sz w:val="18"/>
                <w:szCs w:val="18"/>
              </w:rPr>
            </w:pPr>
            <w:r w:rsidRPr="00B01585">
              <w:rPr>
                <w:rFonts w:cs="Calibri"/>
                <w:i/>
                <w:iCs/>
                <w:sz w:val="18"/>
                <w:szCs w:val="18"/>
              </w:rPr>
              <w:t>Security Deposits Held for ‘Example Trust’</w:t>
            </w:r>
          </w:p>
        </w:tc>
      </w:tr>
      <w:tr w:rsidR="004B0AA0" w:rsidRPr="00CF7E1B" w14:paraId="10EC7173" w14:textId="77777777" w:rsidTr="0004564D">
        <w:trPr>
          <w:trHeight w:val="23"/>
        </w:trPr>
        <w:tc>
          <w:tcPr>
            <w:tcW w:w="1562" w:type="dxa"/>
            <w:tcBorders>
              <w:top w:val="nil"/>
              <w:left w:val="single" w:sz="2" w:space="0" w:color="auto"/>
              <w:bottom w:val="nil"/>
              <w:right w:val="single" w:sz="2" w:space="0" w:color="auto"/>
            </w:tcBorders>
          </w:tcPr>
          <w:p w14:paraId="4263C92B" w14:textId="77777777" w:rsidR="004B0AA0" w:rsidRPr="00B01585" w:rsidRDefault="004B0AA0">
            <w:pPr>
              <w:pStyle w:val="TableReference"/>
              <w:tabs>
                <w:tab w:val="left" w:pos="3306"/>
              </w:tabs>
              <w:spacing w:before="40"/>
              <w:rPr>
                <w:rFonts w:cs="Calibri"/>
                <w:color w:val="7030A0"/>
                <w:sz w:val="14"/>
              </w:rPr>
            </w:pPr>
          </w:p>
        </w:tc>
        <w:tc>
          <w:tcPr>
            <w:tcW w:w="8930" w:type="dxa"/>
            <w:gridSpan w:val="6"/>
            <w:tcBorders>
              <w:top w:val="nil"/>
              <w:left w:val="single" w:sz="2" w:space="0" w:color="auto"/>
              <w:bottom w:val="nil"/>
              <w:right w:val="nil"/>
            </w:tcBorders>
            <w:vAlign w:val="bottom"/>
          </w:tcPr>
          <w:p w14:paraId="09294FF0" w14:textId="5C8122CB" w:rsidR="004B0AA0" w:rsidRPr="00B01585" w:rsidRDefault="004B0AA0" w:rsidP="0057497D">
            <w:pPr>
              <w:pStyle w:val="TableText"/>
              <w:spacing w:before="0" w:after="120"/>
              <w:jc w:val="both"/>
              <w:rPr>
                <w:rFonts w:cs="Calibri"/>
              </w:rPr>
            </w:pPr>
            <w:r w:rsidRPr="00B01585">
              <w:rPr>
                <w:rFonts w:cs="Calibri"/>
              </w:rPr>
              <w:t>The Agency holds security deposits as a custodian of ‘Example Trust’.</w:t>
            </w:r>
            <w:r w:rsidR="00FA7C77">
              <w:t xml:space="preserve"> </w:t>
            </w:r>
            <w:r w:rsidRPr="00B01585">
              <w:t>As such, these trust monies cannot be used to achieve the agency’s own objectives and therefore are not recognised in the financial statements.</w:t>
            </w:r>
            <w:r w:rsidR="00FA7C77">
              <w:t xml:space="preserve"> </w:t>
            </w:r>
          </w:p>
        </w:tc>
      </w:tr>
      <w:tr w:rsidR="0057497D" w:rsidRPr="00CF7E1B" w14:paraId="6B8A4CD8" w14:textId="77777777" w:rsidTr="0004564D">
        <w:trPr>
          <w:trHeight w:val="23"/>
        </w:trPr>
        <w:tc>
          <w:tcPr>
            <w:tcW w:w="1562" w:type="dxa"/>
            <w:tcBorders>
              <w:top w:val="nil"/>
              <w:left w:val="single" w:sz="2" w:space="0" w:color="auto"/>
              <w:bottom w:val="nil"/>
              <w:right w:val="single" w:sz="2" w:space="0" w:color="auto"/>
            </w:tcBorders>
          </w:tcPr>
          <w:p w14:paraId="6A1D275F" w14:textId="77777777" w:rsidR="0057497D" w:rsidRPr="00B01585" w:rsidRDefault="0057497D" w:rsidP="0057497D">
            <w:pPr>
              <w:pStyle w:val="TableReference"/>
              <w:tabs>
                <w:tab w:val="left" w:pos="3306"/>
              </w:tabs>
              <w:spacing w:before="40"/>
              <w:rPr>
                <w:rFonts w:cs="Calibri"/>
                <w:color w:val="7030A0"/>
                <w:sz w:val="14"/>
              </w:rPr>
            </w:pPr>
          </w:p>
        </w:tc>
        <w:tc>
          <w:tcPr>
            <w:tcW w:w="8930" w:type="dxa"/>
            <w:gridSpan w:val="6"/>
            <w:tcBorders>
              <w:top w:val="nil"/>
              <w:left w:val="single" w:sz="2" w:space="0" w:color="auto"/>
              <w:bottom w:val="nil"/>
              <w:right w:val="nil"/>
            </w:tcBorders>
          </w:tcPr>
          <w:p w14:paraId="7B7C5308" w14:textId="42B5B8C8" w:rsidR="0057497D" w:rsidRPr="00B01585" w:rsidRDefault="0057497D" w:rsidP="0057497D">
            <w:pPr>
              <w:pStyle w:val="TableText"/>
              <w:spacing w:before="0"/>
              <w:jc w:val="both"/>
              <w:rPr>
                <w:rFonts w:cs="Calibri"/>
              </w:rPr>
            </w:pPr>
            <w:r w:rsidRPr="00B01585">
              <w:rPr>
                <w:rFonts w:cs="Calibri"/>
                <w:i/>
                <w:iCs/>
              </w:rPr>
              <w:t xml:space="preserve">Third Party Monies held as Security Deposits from Contractors </w:t>
            </w:r>
          </w:p>
        </w:tc>
      </w:tr>
      <w:tr w:rsidR="0057497D" w:rsidRPr="00CF7E1B" w14:paraId="4697F5F5" w14:textId="77777777" w:rsidTr="0004564D">
        <w:trPr>
          <w:trHeight w:val="23"/>
        </w:trPr>
        <w:tc>
          <w:tcPr>
            <w:tcW w:w="1562" w:type="dxa"/>
            <w:tcBorders>
              <w:top w:val="nil"/>
              <w:left w:val="single" w:sz="2" w:space="0" w:color="auto"/>
              <w:bottom w:val="nil"/>
              <w:right w:val="single" w:sz="2" w:space="0" w:color="auto"/>
            </w:tcBorders>
            <w:vAlign w:val="center"/>
          </w:tcPr>
          <w:p w14:paraId="65412DBC" w14:textId="507E9E35" w:rsidR="0057497D" w:rsidRPr="00B01585" w:rsidRDefault="0057497D" w:rsidP="0057497D">
            <w:pPr>
              <w:pStyle w:val="TableReference"/>
              <w:tabs>
                <w:tab w:val="left" w:pos="3306"/>
              </w:tabs>
              <w:spacing w:before="40"/>
              <w:rPr>
                <w:rFonts w:cs="Calibri"/>
                <w:color w:val="7030A0"/>
                <w:sz w:val="14"/>
              </w:rPr>
            </w:pPr>
            <w:r w:rsidRPr="00B01585">
              <w:rPr>
                <w:rFonts w:cs="Calibri"/>
                <w:color w:val="7030A0"/>
                <w:sz w:val="14"/>
              </w:rPr>
              <w:t>ACT Disclosure Policy</w:t>
            </w:r>
          </w:p>
        </w:tc>
        <w:tc>
          <w:tcPr>
            <w:tcW w:w="8930" w:type="dxa"/>
            <w:gridSpan w:val="6"/>
            <w:tcBorders>
              <w:top w:val="nil"/>
              <w:left w:val="single" w:sz="2" w:space="0" w:color="auto"/>
              <w:bottom w:val="nil"/>
              <w:right w:val="nil"/>
            </w:tcBorders>
            <w:vAlign w:val="bottom"/>
          </w:tcPr>
          <w:p w14:paraId="108482BB" w14:textId="177B9DD4" w:rsidR="0057497D" w:rsidRPr="00B01585" w:rsidRDefault="0057497D" w:rsidP="0057497D">
            <w:pPr>
              <w:pStyle w:val="TableText"/>
              <w:spacing w:before="0" w:after="120"/>
              <w:jc w:val="both"/>
              <w:rPr>
                <w:rFonts w:cs="Calibri"/>
              </w:rPr>
            </w:pPr>
            <w:r w:rsidRPr="00B01585">
              <w:rPr>
                <w:rFonts w:cs="Calibri"/>
              </w:rPr>
              <w:t>The Agency holds a security deposit for a contractor who is using the Agency’s machinery to perform works in progress for the Agency. Where the machinery is returned to ‘</w:t>
            </w:r>
            <w:r w:rsidRPr="00B01585">
              <w:t>Burley Griffin</w:t>
            </w:r>
            <w:r w:rsidRPr="00B01585">
              <w:rPr>
                <w:rFonts w:cs="Calibri"/>
              </w:rPr>
              <w:t xml:space="preserve"> Agency’ in good working order the security deposit is returned to the contractor.</w:t>
            </w:r>
            <w:r w:rsidR="00FA7C77">
              <w:rPr>
                <w:rFonts w:cs="Calibri"/>
              </w:rPr>
              <w:t xml:space="preserve"> </w:t>
            </w:r>
            <w:r w:rsidRPr="00B01585">
              <w:rPr>
                <w:rFonts w:cs="Calibri"/>
              </w:rPr>
              <w:t xml:space="preserve">However, if the machinery is damaged upon return to the </w:t>
            </w:r>
            <w:r w:rsidR="00C958E9" w:rsidRPr="00B01585">
              <w:rPr>
                <w:rFonts w:cs="Calibri"/>
              </w:rPr>
              <w:t>agency,</w:t>
            </w:r>
            <w:r w:rsidRPr="00B01585">
              <w:rPr>
                <w:rFonts w:cs="Calibri"/>
              </w:rPr>
              <w:t xml:space="preserve"> then some or all of the security deposit is withheld and used by the agency to repair the machinery.</w:t>
            </w:r>
            <w:r w:rsidR="00FA7C77">
              <w:rPr>
                <w:rFonts w:cs="Calibri"/>
              </w:rPr>
              <w:t xml:space="preserve"> </w:t>
            </w:r>
            <w:r w:rsidRPr="00B01585">
              <w:rPr>
                <w:rFonts w:cs="Calibri"/>
              </w:rPr>
              <w:t xml:space="preserve"> </w:t>
            </w:r>
          </w:p>
        </w:tc>
      </w:tr>
      <w:tr w:rsidR="0057497D" w:rsidRPr="00CF7E1B" w14:paraId="11F7607A" w14:textId="77777777" w:rsidTr="0004564D">
        <w:trPr>
          <w:trHeight w:val="480"/>
        </w:trPr>
        <w:tc>
          <w:tcPr>
            <w:tcW w:w="1562" w:type="dxa"/>
            <w:tcBorders>
              <w:top w:val="nil"/>
              <w:left w:val="single" w:sz="2" w:space="0" w:color="auto"/>
              <w:bottom w:val="nil"/>
              <w:right w:val="single" w:sz="2" w:space="0" w:color="auto"/>
            </w:tcBorders>
          </w:tcPr>
          <w:p w14:paraId="5BC86C26"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32E9C579" w14:textId="77777777" w:rsidR="0057497D" w:rsidRPr="00B01585" w:rsidRDefault="0057497D" w:rsidP="0057497D">
            <w:pPr>
              <w:pStyle w:val="TableText"/>
              <w:tabs>
                <w:tab w:val="left" w:pos="3306"/>
              </w:tabs>
              <w:rPr>
                <w:rFonts w:cs="Calibri"/>
              </w:rPr>
            </w:pPr>
          </w:p>
        </w:tc>
        <w:tc>
          <w:tcPr>
            <w:tcW w:w="1320" w:type="dxa"/>
            <w:gridSpan w:val="2"/>
            <w:tcBorders>
              <w:top w:val="nil"/>
              <w:left w:val="nil"/>
              <w:bottom w:val="nil"/>
              <w:right w:val="nil"/>
            </w:tcBorders>
            <w:vAlign w:val="bottom"/>
          </w:tcPr>
          <w:p w14:paraId="4D497A5D" w14:textId="2D8B78F0" w:rsidR="0057497D" w:rsidRPr="00B01585" w:rsidRDefault="0057497D" w:rsidP="0057497D">
            <w:pPr>
              <w:pStyle w:val="TableTitle"/>
              <w:tabs>
                <w:tab w:val="left" w:pos="3306"/>
              </w:tabs>
              <w:rPr>
                <w:rFonts w:cs="Calibri"/>
              </w:rPr>
            </w:pPr>
            <w:r w:rsidRPr="00B01585">
              <w:rPr>
                <w:rFonts w:cs="Calibri"/>
              </w:rPr>
              <w:t>2022</w:t>
            </w:r>
          </w:p>
          <w:p w14:paraId="16E81F99" w14:textId="77777777" w:rsidR="0057497D" w:rsidRPr="00B01585" w:rsidRDefault="0057497D" w:rsidP="0057497D">
            <w:pPr>
              <w:pStyle w:val="TableTitle"/>
              <w:tabs>
                <w:tab w:val="left" w:pos="3306"/>
              </w:tabs>
              <w:rPr>
                <w:rFonts w:cs="Calibri"/>
              </w:rPr>
            </w:pPr>
            <w:r w:rsidRPr="00B01585">
              <w:rPr>
                <w:rFonts w:cs="Calibri"/>
              </w:rPr>
              <w:t>$’000</w:t>
            </w:r>
          </w:p>
        </w:tc>
        <w:tc>
          <w:tcPr>
            <w:tcW w:w="1484" w:type="dxa"/>
            <w:gridSpan w:val="2"/>
            <w:tcBorders>
              <w:top w:val="nil"/>
              <w:left w:val="nil"/>
              <w:bottom w:val="nil"/>
              <w:right w:val="nil"/>
            </w:tcBorders>
            <w:vAlign w:val="bottom"/>
          </w:tcPr>
          <w:p w14:paraId="6210F3F1" w14:textId="25162C7B" w:rsidR="0057497D" w:rsidRPr="00B01585" w:rsidRDefault="0057497D" w:rsidP="0057497D">
            <w:pPr>
              <w:pStyle w:val="TableTitle"/>
              <w:tabs>
                <w:tab w:val="left" w:pos="3306"/>
              </w:tabs>
              <w:rPr>
                <w:rFonts w:cs="Calibri"/>
              </w:rPr>
            </w:pPr>
            <w:r w:rsidRPr="00B01585">
              <w:rPr>
                <w:rFonts w:cs="Calibri"/>
              </w:rPr>
              <w:t>2021</w:t>
            </w:r>
          </w:p>
          <w:p w14:paraId="3F6B49B4" w14:textId="77777777" w:rsidR="0057497D" w:rsidRPr="00B01585" w:rsidRDefault="0057497D" w:rsidP="0057497D">
            <w:pPr>
              <w:pStyle w:val="TableTitle"/>
              <w:tabs>
                <w:tab w:val="left" w:pos="3306"/>
              </w:tabs>
              <w:rPr>
                <w:rFonts w:cs="Calibri"/>
              </w:rPr>
            </w:pPr>
            <w:r w:rsidRPr="00B01585">
              <w:rPr>
                <w:rFonts w:cs="Calibri"/>
              </w:rPr>
              <w:t>$’000</w:t>
            </w:r>
          </w:p>
        </w:tc>
      </w:tr>
      <w:tr w:rsidR="0057497D" w:rsidRPr="00CF7E1B" w14:paraId="332EB756" w14:textId="77777777" w:rsidTr="0004564D">
        <w:trPr>
          <w:trHeight w:val="23"/>
        </w:trPr>
        <w:tc>
          <w:tcPr>
            <w:tcW w:w="1562" w:type="dxa"/>
            <w:tcBorders>
              <w:top w:val="nil"/>
              <w:left w:val="single" w:sz="2" w:space="0" w:color="auto"/>
              <w:bottom w:val="nil"/>
              <w:right w:val="single" w:sz="2" w:space="0" w:color="auto"/>
            </w:tcBorders>
          </w:tcPr>
          <w:p w14:paraId="5A3CD2E1"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6A72E22B" w14:textId="77777777" w:rsidR="0057497D" w:rsidRPr="00B01585" w:rsidRDefault="0057497D" w:rsidP="0057497D">
            <w:pPr>
              <w:pStyle w:val="TableText"/>
              <w:tabs>
                <w:tab w:val="left" w:pos="3306"/>
              </w:tabs>
              <w:rPr>
                <w:rFonts w:cs="Calibri"/>
                <w:b/>
                <w:bCs/>
              </w:rPr>
            </w:pPr>
            <w:bookmarkStart w:id="778" w:name="_Toc48468759"/>
            <w:bookmarkStart w:id="779" w:name="_Toc49155836"/>
            <w:bookmarkStart w:id="780" w:name="_Toc49224246"/>
            <w:r w:rsidRPr="00B01585">
              <w:rPr>
                <w:rFonts w:cs="Calibri"/>
                <w:b/>
                <w:bCs/>
              </w:rPr>
              <w:t>Security Deposits Held for ‘Example Trust’</w:t>
            </w:r>
            <w:bookmarkEnd w:id="778"/>
            <w:bookmarkEnd w:id="779"/>
            <w:bookmarkEnd w:id="780"/>
            <w:r w:rsidRPr="00B01585">
              <w:rPr>
                <w:rFonts w:cs="Calibri"/>
                <w:b/>
                <w:bCs/>
              </w:rPr>
              <w:t xml:space="preserve"> </w:t>
            </w:r>
          </w:p>
        </w:tc>
        <w:tc>
          <w:tcPr>
            <w:tcW w:w="1320" w:type="dxa"/>
            <w:gridSpan w:val="2"/>
            <w:tcBorders>
              <w:top w:val="nil"/>
              <w:left w:val="nil"/>
              <w:bottom w:val="nil"/>
              <w:right w:val="nil"/>
            </w:tcBorders>
            <w:vAlign w:val="bottom"/>
          </w:tcPr>
          <w:p w14:paraId="545B830E" w14:textId="77777777" w:rsidR="0057497D" w:rsidRPr="00B01585" w:rsidRDefault="0057497D" w:rsidP="0057497D">
            <w:pPr>
              <w:pStyle w:val="TableText"/>
              <w:tabs>
                <w:tab w:val="left" w:pos="3306"/>
              </w:tabs>
              <w:jc w:val="right"/>
              <w:rPr>
                <w:rFonts w:cs="Calibri"/>
              </w:rPr>
            </w:pPr>
          </w:p>
        </w:tc>
        <w:tc>
          <w:tcPr>
            <w:tcW w:w="1484" w:type="dxa"/>
            <w:gridSpan w:val="2"/>
            <w:tcBorders>
              <w:top w:val="nil"/>
              <w:left w:val="nil"/>
              <w:bottom w:val="nil"/>
              <w:right w:val="nil"/>
            </w:tcBorders>
            <w:vAlign w:val="bottom"/>
          </w:tcPr>
          <w:p w14:paraId="55BF9E74" w14:textId="77777777" w:rsidR="0057497D" w:rsidRPr="00B01585" w:rsidRDefault="0057497D" w:rsidP="0057497D">
            <w:pPr>
              <w:pStyle w:val="TableText"/>
              <w:tabs>
                <w:tab w:val="left" w:pos="3306"/>
              </w:tabs>
              <w:jc w:val="right"/>
              <w:rPr>
                <w:rFonts w:cs="Calibri"/>
              </w:rPr>
            </w:pPr>
          </w:p>
        </w:tc>
      </w:tr>
      <w:tr w:rsidR="0057497D" w:rsidRPr="00CF7E1B" w14:paraId="6BF19A94" w14:textId="77777777" w:rsidTr="0004564D">
        <w:trPr>
          <w:trHeight w:val="23"/>
        </w:trPr>
        <w:tc>
          <w:tcPr>
            <w:tcW w:w="1562" w:type="dxa"/>
            <w:tcBorders>
              <w:top w:val="nil"/>
              <w:left w:val="single" w:sz="2" w:space="0" w:color="auto"/>
              <w:bottom w:val="nil"/>
              <w:right w:val="single" w:sz="2" w:space="0" w:color="auto"/>
            </w:tcBorders>
          </w:tcPr>
          <w:p w14:paraId="223C2700"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78B0ECC9" w14:textId="77777777" w:rsidR="0057497D" w:rsidRPr="00B01585" w:rsidRDefault="0057497D" w:rsidP="0057497D">
            <w:pPr>
              <w:pStyle w:val="TableText"/>
              <w:tabs>
                <w:tab w:val="left" w:pos="3306"/>
              </w:tabs>
              <w:rPr>
                <w:rFonts w:cs="Calibri"/>
              </w:rPr>
            </w:pPr>
            <w:r w:rsidRPr="00B01585">
              <w:rPr>
                <w:rFonts w:cs="Calibri"/>
              </w:rPr>
              <w:t>Balance at the Beginning of the Reporting Period</w:t>
            </w:r>
          </w:p>
        </w:tc>
        <w:tc>
          <w:tcPr>
            <w:tcW w:w="1320" w:type="dxa"/>
            <w:gridSpan w:val="2"/>
            <w:tcBorders>
              <w:top w:val="nil"/>
              <w:left w:val="nil"/>
              <w:bottom w:val="nil"/>
              <w:right w:val="nil"/>
            </w:tcBorders>
            <w:vAlign w:val="bottom"/>
          </w:tcPr>
          <w:p w14:paraId="3678C74B" w14:textId="35D6F465" w:rsidR="0057497D" w:rsidRPr="00B01585" w:rsidRDefault="0057497D" w:rsidP="0057497D">
            <w:pPr>
              <w:pStyle w:val="TableText"/>
              <w:tabs>
                <w:tab w:val="left" w:pos="3306"/>
              </w:tabs>
              <w:jc w:val="right"/>
              <w:rPr>
                <w:rFonts w:cs="Calibri"/>
                <w:b/>
                <w:bCs/>
              </w:rPr>
            </w:pPr>
          </w:p>
        </w:tc>
        <w:tc>
          <w:tcPr>
            <w:tcW w:w="1484" w:type="dxa"/>
            <w:gridSpan w:val="2"/>
            <w:tcBorders>
              <w:top w:val="nil"/>
              <w:left w:val="nil"/>
              <w:bottom w:val="nil"/>
              <w:right w:val="nil"/>
            </w:tcBorders>
            <w:vAlign w:val="bottom"/>
          </w:tcPr>
          <w:p w14:paraId="52824DDB" w14:textId="1390D20D" w:rsidR="0057497D" w:rsidRPr="00B01585" w:rsidRDefault="0057497D" w:rsidP="0057497D">
            <w:pPr>
              <w:pStyle w:val="TableText"/>
              <w:tabs>
                <w:tab w:val="left" w:pos="3306"/>
              </w:tabs>
              <w:jc w:val="right"/>
              <w:rPr>
                <w:rFonts w:cs="Calibri"/>
                <w:b/>
                <w:bCs/>
              </w:rPr>
            </w:pPr>
          </w:p>
        </w:tc>
      </w:tr>
      <w:tr w:rsidR="0057497D" w:rsidRPr="00CF7E1B" w14:paraId="5B1822E4" w14:textId="77777777" w:rsidTr="0004564D">
        <w:trPr>
          <w:trHeight w:val="23"/>
        </w:trPr>
        <w:tc>
          <w:tcPr>
            <w:tcW w:w="1562" w:type="dxa"/>
            <w:tcBorders>
              <w:top w:val="nil"/>
              <w:left w:val="single" w:sz="2" w:space="0" w:color="auto"/>
              <w:bottom w:val="nil"/>
              <w:right w:val="single" w:sz="2" w:space="0" w:color="auto"/>
            </w:tcBorders>
          </w:tcPr>
          <w:p w14:paraId="2EC41FAB"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34FFBF5C" w14:textId="77777777" w:rsidR="0057497D" w:rsidRPr="00B01585" w:rsidRDefault="0057497D" w:rsidP="0057497D">
            <w:pPr>
              <w:pStyle w:val="TableText"/>
              <w:tabs>
                <w:tab w:val="left" w:pos="3306"/>
              </w:tabs>
              <w:rPr>
                <w:rFonts w:cs="Calibri"/>
              </w:rPr>
            </w:pPr>
            <w:r w:rsidRPr="00B01585">
              <w:rPr>
                <w:rFonts w:cs="Calibri"/>
              </w:rPr>
              <w:t>Cash Receipts</w:t>
            </w:r>
          </w:p>
        </w:tc>
        <w:tc>
          <w:tcPr>
            <w:tcW w:w="1320" w:type="dxa"/>
            <w:gridSpan w:val="2"/>
            <w:tcBorders>
              <w:top w:val="nil"/>
              <w:left w:val="nil"/>
              <w:bottom w:val="nil"/>
              <w:right w:val="nil"/>
            </w:tcBorders>
            <w:vAlign w:val="bottom"/>
          </w:tcPr>
          <w:p w14:paraId="525CF6E6" w14:textId="1F60F5CC" w:rsidR="0057497D" w:rsidRPr="00B01585" w:rsidRDefault="0057497D" w:rsidP="0057497D">
            <w:pPr>
              <w:pStyle w:val="TableText"/>
              <w:tabs>
                <w:tab w:val="left" w:pos="3306"/>
              </w:tabs>
              <w:jc w:val="right"/>
              <w:rPr>
                <w:rFonts w:cs="Calibri"/>
              </w:rPr>
            </w:pPr>
          </w:p>
        </w:tc>
        <w:tc>
          <w:tcPr>
            <w:tcW w:w="1484" w:type="dxa"/>
            <w:gridSpan w:val="2"/>
            <w:tcBorders>
              <w:top w:val="nil"/>
              <w:left w:val="nil"/>
              <w:bottom w:val="nil"/>
              <w:right w:val="nil"/>
            </w:tcBorders>
            <w:vAlign w:val="bottom"/>
          </w:tcPr>
          <w:p w14:paraId="5378C486" w14:textId="126A9EF6" w:rsidR="0057497D" w:rsidRPr="00B01585" w:rsidRDefault="0057497D" w:rsidP="0057497D">
            <w:pPr>
              <w:pStyle w:val="TableText"/>
              <w:tabs>
                <w:tab w:val="left" w:pos="3306"/>
              </w:tabs>
              <w:jc w:val="right"/>
              <w:rPr>
                <w:rFonts w:cs="Calibri"/>
              </w:rPr>
            </w:pPr>
          </w:p>
        </w:tc>
      </w:tr>
      <w:tr w:rsidR="0057497D" w:rsidRPr="00CF7E1B" w14:paraId="1172E4AB" w14:textId="77777777" w:rsidTr="0004564D">
        <w:trPr>
          <w:trHeight w:val="23"/>
        </w:trPr>
        <w:tc>
          <w:tcPr>
            <w:tcW w:w="1562" w:type="dxa"/>
            <w:tcBorders>
              <w:top w:val="nil"/>
              <w:left w:val="single" w:sz="2" w:space="0" w:color="auto"/>
              <w:bottom w:val="nil"/>
              <w:right w:val="single" w:sz="2" w:space="0" w:color="auto"/>
            </w:tcBorders>
          </w:tcPr>
          <w:p w14:paraId="47FF7957"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2EDEE9C1" w14:textId="77777777" w:rsidR="0057497D" w:rsidRPr="00B01585" w:rsidRDefault="0057497D" w:rsidP="0057497D">
            <w:pPr>
              <w:pStyle w:val="TableText"/>
              <w:tabs>
                <w:tab w:val="left" w:pos="3306"/>
              </w:tabs>
              <w:rPr>
                <w:rFonts w:cs="Calibri"/>
              </w:rPr>
            </w:pPr>
            <w:r w:rsidRPr="00B01585">
              <w:rPr>
                <w:rFonts w:cs="Calibri"/>
              </w:rPr>
              <w:t>Cash Payments</w:t>
            </w:r>
          </w:p>
        </w:tc>
        <w:tc>
          <w:tcPr>
            <w:tcW w:w="1320" w:type="dxa"/>
            <w:gridSpan w:val="2"/>
            <w:tcBorders>
              <w:top w:val="nil"/>
              <w:left w:val="nil"/>
              <w:bottom w:val="single" w:sz="2" w:space="0" w:color="auto"/>
              <w:right w:val="nil"/>
            </w:tcBorders>
            <w:vAlign w:val="bottom"/>
          </w:tcPr>
          <w:p w14:paraId="38BA6136" w14:textId="6A8209FF" w:rsidR="0057497D" w:rsidRPr="00B01585" w:rsidRDefault="0057497D" w:rsidP="0057497D">
            <w:pPr>
              <w:pStyle w:val="TableText"/>
              <w:tabs>
                <w:tab w:val="left" w:pos="3306"/>
              </w:tabs>
              <w:jc w:val="right"/>
              <w:rPr>
                <w:rFonts w:cs="Calibri"/>
              </w:rPr>
            </w:pPr>
          </w:p>
        </w:tc>
        <w:tc>
          <w:tcPr>
            <w:tcW w:w="1484" w:type="dxa"/>
            <w:gridSpan w:val="2"/>
            <w:tcBorders>
              <w:top w:val="nil"/>
              <w:left w:val="nil"/>
              <w:bottom w:val="single" w:sz="2" w:space="0" w:color="auto"/>
              <w:right w:val="nil"/>
            </w:tcBorders>
            <w:vAlign w:val="bottom"/>
          </w:tcPr>
          <w:p w14:paraId="61303520" w14:textId="65C24FF3" w:rsidR="0057497D" w:rsidRPr="00B01585" w:rsidRDefault="0057497D" w:rsidP="0057497D">
            <w:pPr>
              <w:pStyle w:val="TableText"/>
              <w:tabs>
                <w:tab w:val="left" w:pos="3306"/>
              </w:tabs>
              <w:jc w:val="right"/>
              <w:rPr>
                <w:rFonts w:cs="Calibri"/>
              </w:rPr>
            </w:pPr>
          </w:p>
        </w:tc>
      </w:tr>
      <w:tr w:rsidR="0057497D" w:rsidRPr="00CF7E1B" w14:paraId="668CD94F" w14:textId="77777777" w:rsidTr="0004564D">
        <w:trPr>
          <w:trHeight w:val="23"/>
        </w:trPr>
        <w:tc>
          <w:tcPr>
            <w:tcW w:w="1562" w:type="dxa"/>
            <w:tcBorders>
              <w:top w:val="nil"/>
              <w:left w:val="single" w:sz="2" w:space="0" w:color="auto"/>
              <w:bottom w:val="nil"/>
              <w:right w:val="single" w:sz="2" w:space="0" w:color="auto"/>
            </w:tcBorders>
          </w:tcPr>
          <w:p w14:paraId="7FBB3801"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4C606DEE" w14:textId="77777777" w:rsidR="0057497D" w:rsidRPr="00B01585" w:rsidRDefault="0057497D" w:rsidP="0057497D">
            <w:pPr>
              <w:pStyle w:val="TableText"/>
              <w:tabs>
                <w:tab w:val="left" w:pos="3306"/>
              </w:tabs>
              <w:rPr>
                <w:rFonts w:cs="Calibri"/>
                <w:b/>
                <w:bCs/>
              </w:rPr>
            </w:pPr>
            <w:r w:rsidRPr="00B01585">
              <w:rPr>
                <w:rFonts w:cs="Calibri"/>
                <w:b/>
                <w:bCs/>
              </w:rPr>
              <w:t>Balance at the End of the Reporting Period</w:t>
            </w:r>
          </w:p>
        </w:tc>
        <w:tc>
          <w:tcPr>
            <w:tcW w:w="1320" w:type="dxa"/>
            <w:gridSpan w:val="2"/>
            <w:tcBorders>
              <w:top w:val="single" w:sz="2" w:space="0" w:color="auto"/>
              <w:left w:val="nil"/>
              <w:bottom w:val="single" w:sz="2" w:space="0" w:color="auto"/>
              <w:right w:val="nil"/>
            </w:tcBorders>
            <w:vAlign w:val="bottom"/>
          </w:tcPr>
          <w:p w14:paraId="2A662F22" w14:textId="6C02F5E0" w:rsidR="0057497D" w:rsidRPr="00B01585" w:rsidRDefault="0057497D" w:rsidP="0057497D">
            <w:pPr>
              <w:pStyle w:val="TableText"/>
              <w:tabs>
                <w:tab w:val="left" w:pos="3306"/>
              </w:tabs>
              <w:jc w:val="right"/>
              <w:rPr>
                <w:rFonts w:cs="Calibri"/>
                <w:b/>
                <w:bCs/>
              </w:rPr>
            </w:pPr>
          </w:p>
        </w:tc>
        <w:tc>
          <w:tcPr>
            <w:tcW w:w="1484" w:type="dxa"/>
            <w:gridSpan w:val="2"/>
            <w:tcBorders>
              <w:top w:val="single" w:sz="2" w:space="0" w:color="auto"/>
              <w:left w:val="nil"/>
              <w:bottom w:val="single" w:sz="2" w:space="0" w:color="auto"/>
              <w:right w:val="nil"/>
            </w:tcBorders>
            <w:vAlign w:val="bottom"/>
          </w:tcPr>
          <w:p w14:paraId="2D2B05DE" w14:textId="19C66AFC" w:rsidR="0057497D" w:rsidRPr="00B01585" w:rsidRDefault="0057497D" w:rsidP="0057497D">
            <w:pPr>
              <w:pStyle w:val="TableText"/>
              <w:tabs>
                <w:tab w:val="left" w:pos="3306"/>
              </w:tabs>
              <w:jc w:val="right"/>
              <w:rPr>
                <w:rFonts w:cs="Calibri"/>
                <w:b/>
                <w:bCs/>
              </w:rPr>
            </w:pPr>
          </w:p>
        </w:tc>
      </w:tr>
      <w:tr w:rsidR="0057497D" w:rsidRPr="00CF7E1B" w14:paraId="00A93EF6" w14:textId="77777777" w:rsidTr="0004564D">
        <w:trPr>
          <w:trHeight w:val="23"/>
        </w:trPr>
        <w:tc>
          <w:tcPr>
            <w:tcW w:w="1562" w:type="dxa"/>
            <w:tcBorders>
              <w:top w:val="nil"/>
              <w:left w:val="single" w:sz="2" w:space="0" w:color="auto"/>
              <w:bottom w:val="nil"/>
              <w:right w:val="single" w:sz="2" w:space="0" w:color="auto"/>
            </w:tcBorders>
          </w:tcPr>
          <w:p w14:paraId="04C0C117"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71BC3604" w14:textId="77777777" w:rsidR="0057497D" w:rsidRPr="00B01585" w:rsidRDefault="0057497D" w:rsidP="0057497D">
            <w:pPr>
              <w:pStyle w:val="TableText"/>
              <w:tabs>
                <w:tab w:val="left" w:pos="3306"/>
              </w:tabs>
              <w:rPr>
                <w:rFonts w:cs="Calibri"/>
                <w:b/>
                <w:bCs/>
              </w:rPr>
            </w:pPr>
          </w:p>
        </w:tc>
        <w:tc>
          <w:tcPr>
            <w:tcW w:w="1320" w:type="dxa"/>
            <w:gridSpan w:val="2"/>
            <w:tcBorders>
              <w:top w:val="single" w:sz="2" w:space="0" w:color="auto"/>
              <w:left w:val="nil"/>
              <w:bottom w:val="nil"/>
              <w:right w:val="nil"/>
            </w:tcBorders>
            <w:vAlign w:val="bottom"/>
          </w:tcPr>
          <w:p w14:paraId="5C712D2A" w14:textId="77777777" w:rsidR="0057497D" w:rsidRPr="00B01585" w:rsidRDefault="0057497D" w:rsidP="0057497D">
            <w:pPr>
              <w:pStyle w:val="TableText"/>
              <w:tabs>
                <w:tab w:val="left" w:pos="3306"/>
              </w:tabs>
              <w:jc w:val="right"/>
              <w:rPr>
                <w:rFonts w:cs="Calibri"/>
                <w:b/>
                <w:bCs/>
              </w:rPr>
            </w:pPr>
          </w:p>
        </w:tc>
        <w:tc>
          <w:tcPr>
            <w:tcW w:w="1484" w:type="dxa"/>
            <w:gridSpan w:val="2"/>
            <w:tcBorders>
              <w:top w:val="single" w:sz="2" w:space="0" w:color="auto"/>
              <w:left w:val="nil"/>
              <w:bottom w:val="nil"/>
              <w:right w:val="nil"/>
            </w:tcBorders>
            <w:vAlign w:val="bottom"/>
          </w:tcPr>
          <w:p w14:paraId="7CDE8BE1" w14:textId="77777777" w:rsidR="0057497D" w:rsidRPr="00B01585" w:rsidRDefault="0057497D" w:rsidP="0057497D">
            <w:pPr>
              <w:pStyle w:val="TableText"/>
              <w:tabs>
                <w:tab w:val="left" w:pos="3306"/>
              </w:tabs>
              <w:jc w:val="right"/>
              <w:rPr>
                <w:rFonts w:cs="Calibri"/>
                <w:b/>
                <w:bCs/>
              </w:rPr>
            </w:pPr>
          </w:p>
        </w:tc>
      </w:tr>
      <w:tr w:rsidR="0057497D" w:rsidRPr="00CF7E1B" w14:paraId="10CA25E2" w14:textId="77777777" w:rsidTr="0004564D">
        <w:trPr>
          <w:trHeight w:val="23"/>
        </w:trPr>
        <w:tc>
          <w:tcPr>
            <w:tcW w:w="1562" w:type="dxa"/>
            <w:tcBorders>
              <w:top w:val="nil"/>
              <w:left w:val="single" w:sz="2" w:space="0" w:color="auto"/>
              <w:bottom w:val="nil"/>
              <w:right w:val="single" w:sz="2" w:space="0" w:color="auto"/>
            </w:tcBorders>
          </w:tcPr>
          <w:p w14:paraId="49E61987"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1B6E1B6C" w14:textId="77777777" w:rsidR="0057497D" w:rsidRPr="00B01585" w:rsidRDefault="0057497D" w:rsidP="0057497D">
            <w:pPr>
              <w:pStyle w:val="TableText"/>
              <w:tabs>
                <w:tab w:val="left" w:pos="3306"/>
              </w:tabs>
              <w:rPr>
                <w:rFonts w:cs="Calibri"/>
                <w:b/>
                <w:bCs/>
              </w:rPr>
            </w:pPr>
            <w:bookmarkStart w:id="781" w:name="_Toc48468760"/>
            <w:bookmarkStart w:id="782" w:name="_Toc49155837"/>
            <w:bookmarkStart w:id="783" w:name="_Toc49224247"/>
            <w:r w:rsidRPr="00B01585">
              <w:rPr>
                <w:rFonts w:cs="Calibri"/>
                <w:b/>
                <w:bCs/>
              </w:rPr>
              <w:t xml:space="preserve">Security Deposits Held – </w:t>
            </w:r>
            <w:bookmarkEnd w:id="781"/>
            <w:bookmarkEnd w:id="782"/>
            <w:bookmarkEnd w:id="783"/>
            <w:r w:rsidRPr="00B01585">
              <w:rPr>
                <w:rFonts w:cs="Calibri"/>
                <w:b/>
                <w:bCs/>
              </w:rPr>
              <w:t>Contractors</w:t>
            </w:r>
          </w:p>
        </w:tc>
        <w:tc>
          <w:tcPr>
            <w:tcW w:w="1320" w:type="dxa"/>
            <w:gridSpan w:val="2"/>
            <w:tcBorders>
              <w:top w:val="nil"/>
              <w:left w:val="nil"/>
              <w:bottom w:val="nil"/>
              <w:right w:val="nil"/>
            </w:tcBorders>
            <w:vAlign w:val="bottom"/>
          </w:tcPr>
          <w:p w14:paraId="6A1ECDBB" w14:textId="77777777" w:rsidR="0057497D" w:rsidRPr="00B01585" w:rsidRDefault="0057497D" w:rsidP="0057497D">
            <w:pPr>
              <w:pStyle w:val="TableText"/>
              <w:tabs>
                <w:tab w:val="left" w:pos="3306"/>
              </w:tabs>
              <w:jc w:val="right"/>
              <w:rPr>
                <w:rFonts w:cs="Calibri"/>
              </w:rPr>
            </w:pPr>
          </w:p>
        </w:tc>
        <w:tc>
          <w:tcPr>
            <w:tcW w:w="1484" w:type="dxa"/>
            <w:gridSpan w:val="2"/>
            <w:tcBorders>
              <w:top w:val="nil"/>
              <w:left w:val="nil"/>
              <w:bottom w:val="nil"/>
              <w:right w:val="nil"/>
            </w:tcBorders>
            <w:vAlign w:val="bottom"/>
          </w:tcPr>
          <w:p w14:paraId="3AC7746C" w14:textId="77777777" w:rsidR="0057497D" w:rsidRPr="00B01585" w:rsidRDefault="0057497D" w:rsidP="0057497D">
            <w:pPr>
              <w:pStyle w:val="TableText"/>
              <w:tabs>
                <w:tab w:val="left" w:pos="3306"/>
              </w:tabs>
              <w:jc w:val="right"/>
              <w:rPr>
                <w:rFonts w:cs="Calibri"/>
              </w:rPr>
            </w:pPr>
          </w:p>
        </w:tc>
      </w:tr>
      <w:tr w:rsidR="0057497D" w:rsidRPr="00CF7E1B" w14:paraId="31328CA7" w14:textId="77777777" w:rsidTr="0004564D">
        <w:trPr>
          <w:trHeight w:val="23"/>
        </w:trPr>
        <w:tc>
          <w:tcPr>
            <w:tcW w:w="1562" w:type="dxa"/>
            <w:tcBorders>
              <w:top w:val="nil"/>
              <w:left w:val="single" w:sz="2" w:space="0" w:color="auto"/>
              <w:bottom w:val="nil"/>
              <w:right w:val="single" w:sz="2" w:space="0" w:color="auto"/>
            </w:tcBorders>
          </w:tcPr>
          <w:p w14:paraId="361C0FFE"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6D9E4249" w14:textId="77777777" w:rsidR="0057497D" w:rsidRPr="00B01585" w:rsidRDefault="0057497D" w:rsidP="0057497D">
            <w:pPr>
              <w:pStyle w:val="TableText"/>
              <w:tabs>
                <w:tab w:val="left" w:pos="3306"/>
              </w:tabs>
              <w:rPr>
                <w:rFonts w:cs="Calibri"/>
              </w:rPr>
            </w:pPr>
            <w:r w:rsidRPr="00B01585">
              <w:rPr>
                <w:rFonts w:cs="Calibri"/>
              </w:rPr>
              <w:t xml:space="preserve">Balance at the Beginning of the Reporting Period </w:t>
            </w:r>
          </w:p>
        </w:tc>
        <w:tc>
          <w:tcPr>
            <w:tcW w:w="1320" w:type="dxa"/>
            <w:gridSpan w:val="2"/>
            <w:tcBorders>
              <w:top w:val="nil"/>
              <w:left w:val="nil"/>
              <w:bottom w:val="nil"/>
              <w:right w:val="nil"/>
            </w:tcBorders>
            <w:vAlign w:val="bottom"/>
          </w:tcPr>
          <w:p w14:paraId="6B61E181" w14:textId="27F0212E" w:rsidR="0057497D" w:rsidRPr="00B01585" w:rsidRDefault="0057497D" w:rsidP="0057497D">
            <w:pPr>
              <w:pStyle w:val="TableText"/>
              <w:tabs>
                <w:tab w:val="left" w:pos="3306"/>
              </w:tabs>
              <w:jc w:val="right"/>
              <w:rPr>
                <w:rFonts w:cs="Calibri"/>
                <w:b/>
                <w:bCs/>
              </w:rPr>
            </w:pPr>
          </w:p>
        </w:tc>
        <w:tc>
          <w:tcPr>
            <w:tcW w:w="1484" w:type="dxa"/>
            <w:gridSpan w:val="2"/>
            <w:tcBorders>
              <w:top w:val="nil"/>
              <w:left w:val="nil"/>
              <w:bottom w:val="nil"/>
              <w:right w:val="nil"/>
            </w:tcBorders>
            <w:vAlign w:val="bottom"/>
          </w:tcPr>
          <w:p w14:paraId="2514FCCA" w14:textId="489F7248" w:rsidR="0057497D" w:rsidRPr="00B01585" w:rsidRDefault="0057497D" w:rsidP="0057497D">
            <w:pPr>
              <w:pStyle w:val="TableText"/>
              <w:tabs>
                <w:tab w:val="left" w:pos="3306"/>
              </w:tabs>
              <w:jc w:val="right"/>
              <w:rPr>
                <w:rFonts w:cs="Calibri"/>
                <w:b/>
                <w:bCs/>
              </w:rPr>
            </w:pPr>
          </w:p>
        </w:tc>
      </w:tr>
      <w:tr w:rsidR="0057497D" w:rsidRPr="00CF7E1B" w14:paraId="040EFCC9" w14:textId="77777777" w:rsidTr="0004564D">
        <w:trPr>
          <w:trHeight w:val="23"/>
        </w:trPr>
        <w:tc>
          <w:tcPr>
            <w:tcW w:w="1562" w:type="dxa"/>
            <w:tcBorders>
              <w:top w:val="nil"/>
              <w:left w:val="single" w:sz="2" w:space="0" w:color="auto"/>
              <w:bottom w:val="nil"/>
              <w:right w:val="single" w:sz="2" w:space="0" w:color="auto"/>
            </w:tcBorders>
          </w:tcPr>
          <w:p w14:paraId="7B4AB024"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7B544E3C" w14:textId="77777777" w:rsidR="0057497D" w:rsidRPr="00B01585" w:rsidRDefault="0057497D" w:rsidP="0057497D">
            <w:pPr>
              <w:pStyle w:val="TableText"/>
              <w:tabs>
                <w:tab w:val="left" w:pos="3306"/>
              </w:tabs>
              <w:rPr>
                <w:rFonts w:cs="Calibri"/>
              </w:rPr>
            </w:pPr>
            <w:r w:rsidRPr="00B01585">
              <w:rPr>
                <w:rFonts w:cs="Calibri"/>
              </w:rPr>
              <w:t>Cash Receipts</w:t>
            </w:r>
          </w:p>
        </w:tc>
        <w:tc>
          <w:tcPr>
            <w:tcW w:w="1320" w:type="dxa"/>
            <w:gridSpan w:val="2"/>
            <w:tcBorders>
              <w:top w:val="nil"/>
              <w:left w:val="nil"/>
              <w:bottom w:val="nil"/>
              <w:right w:val="nil"/>
            </w:tcBorders>
            <w:vAlign w:val="bottom"/>
          </w:tcPr>
          <w:p w14:paraId="6C4A490F" w14:textId="1E4FB11A" w:rsidR="0057497D" w:rsidRPr="00B01585" w:rsidRDefault="0057497D" w:rsidP="0057497D">
            <w:pPr>
              <w:pStyle w:val="TableText"/>
              <w:tabs>
                <w:tab w:val="left" w:pos="3306"/>
              </w:tabs>
              <w:jc w:val="right"/>
              <w:rPr>
                <w:rFonts w:cs="Calibri"/>
              </w:rPr>
            </w:pPr>
          </w:p>
        </w:tc>
        <w:tc>
          <w:tcPr>
            <w:tcW w:w="1484" w:type="dxa"/>
            <w:gridSpan w:val="2"/>
            <w:tcBorders>
              <w:top w:val="nil"/>
              <w:left w:val="nil"/>
              <w:bottom w:val="nil"/>
              <w:right w:val="nil"/>
            </w:tcBorders>
            <w:vAlign w:val="bottom"/>
          </w:tcPr>
          <w:p w14:paraId="78E1A8A0" w14:textId="4235A034" w:rsidR="0057497D" w:rsidRPr="00B01585" w:rsidRDefault="0057497D" w:rsidP="0057497D">
            <w:pPr>
              <w:pStyle w:val="TableText"/>
              <w:tabs>
                <w:tab w:val="left" w:pos="3306"/>
              </w:tabs>
              <w:jc w:val="right"/>
              <w:rPr>
                <w:rFonts w:cs="Calibri"/>
              </w:rPr>
            </w:pPr>
          </w:p>
        </w:tc>
      </w:tr>
      <w:tr w:rsidR="0057497D" w:rsidRPr="00CF7E1B" w14:paraId="27204D37" w14:textId="77777777" w:rsidTr="0004564D">
        <w:trPr>
          <w:trHeight w:val="23"/>
        </w:trPr>
        <w:tc>
          <w:tcPr>
            <w:tcW w:w="1562" w:type="dxa"/>
            <w:tcBorders>
              <w:top w:val="nil"/>
              <w:left w:val="single" w:sz="2" w:space="0" w:color="auto"/>
              <w:bottom w:val="nil"/>
              <w:right w:val="single" w:sz="2" w:space="0" w:color="auto"/>
            </w:tcBorders>
          </w:tcPr>
          <w:p w14:paraId="4E046BD5"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1AA9A8CB" w14:textId="77777777" w:rsidR="0057497D" w:rsidRPr="00B01585" w:rsidRDefault="0057497D" w:rsidP="0057497D">
            <w:pPr>
              <w:pStyle w:val="TableText"/>
              <w:tabs>
                <w:tab w:val="left" w:pos="3306"/>
              </w:tabs>
              <w:rPr>
                <w:rFonts w:cs="Calibri"/>
              </w:rPr>
            </w:pPr>
            <w:r w:rsidRPr="00B01585">
              <w:rPr>
                <w:rFonts w:cs="Calibri"/>
              </w:rPr>
              <w:t>Cash Payments</w:t>
            </w:r>
          </w:p>
        </w:tc>
        <w:tc>
          <w:tcPr>
            <w:tcW w:w="1320" w:type="dxa"/>
            <w:gridSpan w:val="2"/>
            <w:tcBorders>
              <w:top w:val="nil"/>
              <w:left w:val="nil"/>
              <w:bottom w:val="single" w:sz="2" w:space="0" w:color="auto"/>
              <w:right w:val="nil"/>
            </w:tcBorders>
            <w:vAlign w:val="bottom"/>
          </w:tcPr>
          <w:p w14:paraId="79BD2220" w14:textId="1928B359" w:rsidR="0057497D" w:rsidRPr="00B01585" w:rsidRDefault="0057497D" w:rsidP="0057497D">
            <w:pPr>
              <w:pStyle w:val="TableText"/>
              <w:tabs>
                <w:tab w:val="left" w:pos="3306"/>
              </w:tabs>
              <w:jc w:val="right"/>
              <w:rPr>
                <w:rFonts w:cs="Calibri"/>
              </w:rPr>
            </w:pPr>
          </w:p>
        </w:tc>
        <w:tc>
          <w:tcPr>
            <w:tcW w:w="1484" w:type="dxa"/>
            <w:gridSpan w:val="2"/>
            <w:tcBorders>
              <w:top w:val="nil"/>
              <w:left w:val="nil"/>
              <w:bottom w:val="single" w:sz="2" w:space="0" w:color="auto"/>
              <w:right w:val="nil"/>
            </w:tcBorders>
            <w:vAlign w:val="bottom"/>
          </w:tcPr>
          <w:p w14:paraId="67D3102C" w14:textId="7249ED7C" w:rsidR="0057497D" w:rsidRPr="00B01585" w:rsidRDefault="0057497D" w:rsidP="0057497D">
            <w:pPr>
              <w:pStyle w:val="TableText"/>
              <w:tabs>
                <w:tab w:val="left" w:pos="3306"/>
              </w:tabs>
              <w:jc w:val="right"/>
              <w:rPr>
                <w:rFonts w:cs="Calibri"/>
              </w:rPr>
            </w:pPr>
          </w:p>
        </w:tc>
      </w:tr>
      <w:tr w:rsidR="0057497D" w:rsidRPr="00CF7E1B" w14:paraId="13B19320" w14:textId="77777777" w:rsidTr="0004564D">
        <w:trPr>
          <w:trHeight w:val="23"/>
        </w:trPr>
        <w:tc>
          <w:tcPr>
            <w:tcW w:w="1562" w:type="dxa"/>
            <w:tcBorders>
              <w:top w:val="nil"/>
              <w:left w:val="single" w:sz="2" w:space="0" w:color="auto"/>
              <w:bottom w:val="nil"/>
              <w:right w:val="single" w:sz="2" w:space="0" w:color="auto"/>
            </w:tcBorders>
          </w:tcPr>
          <w:p w14:paraId="1D3EF9AB"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13FCE1ED" w14:textId="77777777" w:rsidR="0057497D" w:rsidRPr="00B01585" w:rsidRDefault="0057497D" w:rsidP="0057497D">
            <w:pPr>
              <w:pStyle w:val="TableText"/>
              <w:tabs>
                <w:tab w:val="left" w:pos="3306"/>
              </w:tabs>
              <w:rPr>
                <w:rFonts w:cs="Calibri"/>
                <w:b/>
                <w:bCs/>
              </w:rPr>
            </w:pPr>
            <w:r w:rsidRPr="00B01585">
              <w:rPr>
                <w:rFonts w:cs="Calibri"/>
                <w:b/>
                <w:bCs/>
              </w:rPr>
              <w:t xml:space="preserve">Balance at the End of the Reporting Period </w:t>
            </w:r>
          </w:p>
        </w:tc>
        <w:tc>
          <w:tcPr>
            <w:tcW w:w="1320" w:type="dxa"/>
            <w:gridSpan w:val="2"/>
            <w:tcBorders>
              <w:top w:val="single" w:sz="2" w:space="0" w:color="auto"/>
              <w:left w:val="nil"/>
              <w:bottom w:val="single" w:sz="2" w:space="0" w:color="auto"/>
              <w:right w:val="nil"/>
            </w:tcBorders>
            <w:vAlign w:val="bottom"/>
          </w:tcPr>
          <w:p w14:paraId="6773FB8A" w14:textId="2BE19D90" w:rsidR="0057497D" w:rsidRPr="00B01585" w:rsidRDefault="0057497D" w:rsidP="0057497D">
            <w:pPr>
              <w:pStyle w:val="TableText"/>
              <w:tabs>
                <w:tab w:val="left" w:pos="3306"/>
              </w:tabs>
              <w:jc w:val="right"/>
              <w:rPr>
                <w:rFonts w:cs="Calibri"/>
                <w:b/>
                <w:bCs/>
              </w:rPr>
            </w:pPr>
          </w:p>
        </w:tc>
        <w:tc>
          <w:tcPr>
            <w:tcW w:w="1484" w:type="dxa"/>
            <w:gridSpan w:val="2"/>
            <w:tcBorders>
              <w:top w:val="single" w:sz="2" w:space="0" w:color="auto"/>
              <w:left w:val="nil"/>
              <w:bottom w:val="single" w:sz="2" w:space="0" w:color="auto"/>
              <w:right w:val="nil"/>
            </w:tcBorders>
            <w:vAlign w:val="bottom"/>
          </w:tcPr>
          <w:p w14:paraId="6785D10B" w14:textId="49751634" w:rsidR="0057497D" w:rsidRPr="00B01585" w:rsidRDefault="0057497D" w:rsidP="0057497D">
            <w:pPr>
              <w:pStyle w:val="TableText"/>
              <w:tabs>
                <w:tab w:val="left" w:pos="3306"/>
              </w:tabs>
              <w:jc w:val="right"/>
              <w:rPr>
                <w:rFonts w:cs="Calibri"/>
                <w:b/>
                <w:bCs/>
              </w:rPr>
            </w:pPr>
          </w:p>
        </w:tc>
      </w:tr>
      <w:tr w:rsidR="0057497D" w:rsidRPr="00CF7E1B" w14:paraId="381E6C50" w14:textId="77777777" w:rsidTr="0004564D">
        <w:trPr>
          <w:trHeight w:val="23"/>
        </w:trPr>
        <w:tc>
          <w:tcPr>
            <w:tcW w:w="1562" w:type="dxa"/>
            <w:tcBorders>
              <w:top w:val="nil"/>
              <w:left w:val="single" w:sz="2" w:space="0" w:color="auto"/>
              <w:bottom w:val="nil"/>
              <w:right w:val="single" w:sz="2" w:space="0" w:color="auto"/>
            </w:tcBorders>
          </w:tcPr>
          <w:p w14:paraId="1E65FD55" w14:textId="77777777" w:rsidR="0057497D" w:rsidRPr="00B01585" w:rsidRDefault="0057497D" w:rsidP="0057497D">
            <w:pPr>
              <w:pStyle w:val="TableReference"/>
              <w:tabs>
                <w:tab w:val="left" w:pos="3306"/>
              </w:tabs>
              <w:spacing w:before="40"/>
              <w:rPr>
                <w:rFonts w:cs="Calibri"/>
                <w:color w:val="7030A0"/>
                <w:sz w:val="14"/>
              </w:rPr>
            </w:pPr>
          </w:p>
        </w:tc>
        <w:tc>
          <w:tcPr>
            <w:tcW w:w="6126" w:type="dxa"/>
            <w:gridSpan w:val="2"/>
            <w:tcBorders>
              <w:top w:val="nil"/>
              <w:left w:val="single" w:sz="2" w:space="0" w:color="auto"/>
              <w:bottom w:val="nil"/>
              <w:right w:val="nil"/>
            </w:tcBorders>
            <w:vAlign w:val="bottom"/>
          </w:tcPr>
          <w:p w14:paraId="49B45D07" w14:textId="77777777" w:rsidR="0057497D" w:rsidRPr="00B01585" w:rsidRDefault="0057497D" w:rsidP="0057497D">
            <w:pPr>
              <w:pStyle w:val="TableText"/>
              <w:tabs>
                <w:tab w:val="left" w:pos="3306"/>
              </w:tabs>
              <w:rPr>
                <w:rFonts w:cs="Calibri"/>
                <w:b/>
                <w:bCs/>
              </w:rPr>
            </w:pPr>
            <w:r w:rsidRPr="00B01585">
              <w:rPr>
                <w:rFonts w:cs="Calibri"/>
                <w:b/>
                <w:bCs/>
              </w:rPr>
              <w:t>Total Third Party Monies</w:t>
            </w:r>
          </w:p>
        </w:tc>
        <w:tc>
          <w:tcPr>
            <w:tcW w:w="1320" w:type="dxa"/>
            <w:gridSpan w:val="2"/>
            <w:tcBorders>
              <w:top w:val="single" w:sz="2" w:space="0" w:color="auto"/>
              <w:left w:val="nil"/>
              <w:bottom w:val="double" w:sz="4" w:space="0" w:color="auto"/>
              <w:right w:val="nil"/>
            </w:tcBorders>
            <w:vAlign w:val="bottom"/>
          </w:tcPr>
          <w:p w14:paraId="2761A365" w14:textId="36ABD63E" w:rsidR="0057497D" w:rsidRPr="00B01585" w:rsidRDefault="0057497D" w:rsidP="0057497D">
            <w:pPr>
              <w:pStyle w:val="TableText"/>
              <w:tabs>
                <w:tab w:val="left" w:pos="3306"/>
              </w:tabs>
              <w:jc w:val="right"/>
              <w:rPr>
                <w:rFonts w:cs="Calibri"/>
                <w:b/>
                <w:bCs/>
              </w:rPr>
            </w:pPr>
          </w:p>
        </w:tc>
        <w:tc>
          <w:tcPr>
            <w:tcW w:w="1484" w:type="dxa"/>
            <w:gridSpan w:val="2"/>
            <w:tcBorders>
              <w:top w:val="single" w:sz="2" w:space="0" w:color="auto"/>
              <w:left w:val="nil"/>
              <w:bottom w:val="double" w:sz="4" w:space="0" w:color="auto"/>
              <w:right w:val="nil"/>
            </w:tcBorders>
            <w:vAlign w:val="bottom"/>
          </w:tcPr>
          <w:p w14:paraId="67C628F7" w14:textId="09665A88" w:rsidR="0057497D" w:rsidRPr="00B01585" w:rsidRDefault="0057497D" w:rsidP="0057497D">
            <w:pPr>
              <w:pStyle w:val="TableText"/>
              <w:tabs>
                <w:tab w:val="left" w:pos="3306"/>
              </w:tabs>
              <w:jc w:val="right"/>
              <w:rPr>
                <w:rFonts w:cs="Calibri"/>
                <w:b/>
                <w:bCs/>
              </w:rPr>
            </w:pPr>
          </w:p>
        </w:tc>
      </w:tr>
    </w:tbl>
    <w:p w14:paraId="65EBDFD7" w14:textId="77777777" w:rsidR="00AA7D16" w:rsidRDefault="00AA7D16">
      <w:r>
        <w:br w:type="page"/>
      </w:r>
    </w:p>
    <w:tbl>
      <w:tblPr>
        <w:tblW w:w="19960" w:type="dxa"/>
        <w:tblInd w:w="-5" w:type="dxa"/>
        <w:shd w:val="clear" w:color="auto" w:fill="CCFFCC"/>
        <w:tblLayout w:type="fixed"/>
        <w:tblLook w:val="00A0" w:firstRow="1" w:lastRow="0" w:firstColumn="1" w:lastColumn="0" w:noHBand="0" w:noVBand="0"/>
      </w:tblPr>
      <w:tblGrid>
        <w:gridCol w:w="1562"/>
        <w:gridCol w:w="3260"/>
        <w:gridCol w:w="1843"/>
        <w:gridCol w:w="708"/>
        <w:gridCol w:w="1276"/>
        <w:gridCol w:w="284"/>
        <w:gridCol w:w="1559"/>
        <w:gridCol w:w="9468"/>
      </w:tblGrid>
      <w:tr w:rsidR="0057497D" w:rsidRPr="00CF7E1B" w14:paraId="6028E567" w14:textId="77777777" w:rsidTr="0004564D">
        <w:trPr>
          <w:gridAfter w:val="1"/>
          <w:wAfter w:w="9468" w:type="dxa"/>
          <w:trHeight w:val="283"/>
        </w:trPr>
        <w:tc>
          <w:tcPr>
            <w:tcW w:w="1562" w:type="dxa"/>
            <w:tcBorders>
              <w:left w:val="single" w:sz="2" w:space="0" w:color="auto"/>
              <w:right w:val="single" w:sz="2" w:space="0" w:color="auto"/>
            </w:tcBorders>
          </w:tcPr>
          <w:p w14:paraId="79E81DD6" w14:textId="7684F65A" w:rsidR="0057497D" w:rsidRPr="00B01585" w:rsidRDefault="000A1EDA" w:rsidP="000A1EDA">
            <w:pPr>
              <w:pStyle w:val="TableReference"/>
              <w:tabs>
                <w:tab w:val="left" w:pos="3306"/>
              </w:tabs>
              <w:rPr>
                <w:rFonts w:cs="Calibri"/>
                <w:color w:val="7030A0"/>
                <w:sz w:val="14"/>
              </w:rPr>
            </w:pPr>
            <w:r w:rsidRPr="000A1EDA">
              <w:rPr>
                <w:rFonts w:cs="Calibri"/>
                <w:b/>
                <w:bCs/>
                <w:color w:val="7030A0"/>
                <w:sz w:val="22"/>
                <w:szCs w:val="22"/>
              </w:rPr>
              <w:t>Reference</w:t>
            </w:r>
          </w:p>
        </w:tc>
        <w:tc>
          <w:tcPr>
            <w:tcW w:w="8930" w:type="dxa"/>
            <w:gridSpan w:val="6"/>
            <w:tcBorders>
              <w:left w:val="single" w:sz="2" w:space="0" w:color="auto"/>
            </w:tcBorders>
            <w:shd w:val="clear" w:color="auto" w:fill="7030A0"/>
          </w:tcPr>
          <w:p w14:paraId="58CD89B6" w14:textId="0DFFDBB1" w:rsidR="0057497D" w:rsidRPr="00B01585" w:rsidRDefault="0057497D" w:rsidP="000A1EDA">
            <w:pPr>
              <w:pStyle w:val="CommentaryTitle"/>
              <w:tabs>
                <w:tab w:val="left" w:pos="3306"/>
              </w:tabs>
              <w:spacing w:before="0" w:after="240"/>
              <w:rPr>
                <w:rFonts w:cs="Calibri"/>
                <w:color w:val="FFFFFF" w:themeColor="background1"/>
                <w:sz w:val="28"/>
                <w:szCs w:val="28"/>
              </w:rPr>
            </w:pPr>
            <w:bookmarkStart w:id="784" w:name="_Toc50440403"/>
            <w:bookmarkStart w:id="785" w:name="_Toc163106395"/>
            <w:r w:rsidRPr="00B01585">
              <w:rPr>
                <w:rFonts w:cs="Calibri"/>
                <w:color w:val="FFFFFF" w:themeColor="background1"/>
                <w:sz w:val="28"/>
                <w:szCs w:val="28"/>
              </w:rPr>
              <w:t xml:space="preserve">Commentary </w:t>
            </w:r>
            <w:r w:rsidRPr="00B01585">
              <w:rPr>
                <w:rFonts w:cs="Calibri"/>
                <w:color w:val="FFFFFF" w:themeColor="background1"/>
                <w:sz w:val="28"/>
                <w:szCs w:val="28"/>
              </w:rPr>
              <w:sym w:font="Symbol" w:char="F02D"/>
            </w:r>
            <w:r w:rsidRPr="00B01585">
              <w:rPr>
                <w:rFonts w:cs="Calibri"/>
                <w:color w:val="FFFFFF" w:themeColor="background1"/>
                <w:sz w:val="28"/>
                <w:szCs w:val="28"/>
              </w:rPr>
              <w:t xml:space="preserve"> Note 3</w:t>
            </w:r>
            <w:r w:rsidR="0057601E" w:rsidRPr="00B01585">
              <w:rPr>
                <w:rFonts w:cs="Calibri"/>
                <w:color w:val="FFFFFF" w:themeColor="background1"/>
                <w:sz w:val="28"/>
                <w:szCs w:val="28"/>
              </w:rPr>
              <w:t>7</w:t>
            </w:r>
            <w:r w:rsidRPr="00B01585">
              <w:rPr>
                <w:rFonts w:cs="Calibri"/>
                <w:color w:val="FFFFFF" w:themeColor="background1"/>
                <w:sz w:val="28"/>
                <w:szCs w:val="28"/>
              </w:rPr>
              <w:t>: Third Party Monies</w:t>
            </w:r>
            <w:bookmarkEnd w:id="784"/>
            <w:bookmarkEnd w:id="785"/>
          </w:p>
        </w:tc>
      </w:tr>
      <w:tr w:rsidR="0057497D" w:rsidRPr="00CF7E1B" w14:paraId="6F91FD99" w14:textId="77777777" w:rsidTr="0004564D">
        <w:trPr>
          <w:gridAfter w:val="1"/>
          <w:wAfter w:w="9468" w:type="dxa"/>
          <w:trHeight w:val="283"/>
        </w:trPr>
        <w:tc>
          <w:tcPr>
            <w:tcW w:w="1562" w:type="dxa"/>
            <w:tcBorders>
              <w:left w:val="single" w:sz="2" w:space="0" w:color="auto"/>
              <w:right w:val="single" w:sz="2" w:space="0" w:color="auto"/>
            </w:tcBorders>
          </w:tcPr>
          <w:p w14:paraId="1BF59BE7" w14:textId="77777777" w:rsidR="0057497D" w:rsidRPr="00B01585" w:rsidRDefault="0057497D" w:rsidP="0057497D">
            <w:pPr>
              <w:pStyle w:val="TableReference"/>
              <w:tabs>
                <w:tab w:val="left" w:pos="3306"/>
              </w:tabs>
              <w:spacing w:before="60"/>
              <w:rPr>
                <w:rFonts w:cs="Calibri"/>
                <w:color w:val="7030A0"/>
                <w:sz w:val="14"/>
              </w:rPr>
            </w:pPr>
            <w:r w:rsidRPr="00B01585">
              <w:rPr>
                <w:rFonts w:cs="Calibri"/>
                <w:color w:val="7030A0"/>
                <w:sz w:val="14"/>
              </w:rPr>
              <w:t>ACT Disclosure Policy</w:t>
            </w:r>
          </w:p>
        </w:tc>
        <w:tc>
          <w:tcPr>
            <w:tcW w:w="8930" w:type="dxa"/>
            <w:gridSpan w:val="6"/>
            <w:tcBorders>
              <w:left w:val="single" w:sz="2" w:space="0" w:color="auto"/>
            </w:tcBorders>
            <w:shd w:val="clear" w:color="auto" w:fill="7030A0"/>
          </w:tcPr>
          <w:p w14:paraId="386AAD95" w14:textId="6B36A31F" w:rsidR="0057497D" w:rsidRPr="00B01585" w:rsidRDefault="00105406" w:rsidP="0057497D">
            <w:pPr>
              <w:pStyle w:val="CommentaryText"/>
              <w:tabs>
                <w:tab w:val="left" w:pos="3306"/>
              </w:tabs>
              <w:rPr>
                <w:rFonts w:cs="Calibri"/>
                <w:color w:val="FFFFFF" w:themeColor="background1"/>
                <w:sz w:val="18"/>
                <w:szCs w:val="18"/>
              </w:rPr>
            </w:pPr>
            <w:r w:rsidRPr="00B01585">
              <w:rPr>
                <w:rFonts w:cs="Calibri"/>
                <w:color w:val="FFFFFF" w:themeColor="background1"/>
                <w:sz w:val="18"/>
                <w:szCs w:val="18"/>
              </w:rPr>
              <w:t>A</w:t>
            </w:r>
            <w:r w:rsidR="0057497D" w:rsidRPr="00B01585">
              <w:rPr>
                <w:rFonts w:cs="Calibri"/>
                <w:color w:val="FFFFFF" w:themeColor="background1"/>
                <w:sz w:val="18"/>
                <w:szCs w:val="18"/>
              </w:rPr>
              <w:t xml:space="preserve">gencies </w:t>
            </w:r>
            <w:r w:rsidRPr="00B01585">
              <w:rPr>
                <w:rFonts w:cs="Calibri"/>
                <w:color w:val="FFFFFF" w:themeColor="background1"/>
                <w:sz w:val="18"/>
                <w:szCs w:val="18"/>
              </w:rPr>
              <w:t xml:space="preserve">are required </w:t>
            </w:r>
            <w:r w:rsidR="0057497D" w:rsidRPr="00B01585">
              <w:rPr>
                <w:rFonts w:cs="Calibri"/>
                <w:color w:val="FFFFFF" w:themeColor="background1"/>
                <w:sz w:val="18"/>
                <w:szCs w:val="18"/>
              </w:rPr>
              <w:t>to include a note on third party monies held.</w:t>
            </w:r>
            <w:r w:rsidR="00FA7C77">
              <w:rPr>
                <w:rFonts w:cs="Calibri"/>
                <w:color w:val="FFFFFF" w:themeColor="background1"/>
                <w:sz w:val="18"/>
                <w:szCs w:val="18"/>
              </w:rPr>
              <w:t xml:space="preserve"> </w:t>
            </w:r>
            <w:r w:rsidR="0057497D" w:rsidRPr="00B01585">
              <w:rPr>
                <w:rFonts w:cs="Calibri"/>
                <w:color w:val="FFFFFF" w:themeColor="background1"/>
                <w:sz w:val="18"/>
                <w:szCs w:val="18"/>
              </w:rPr>
              <w:t xml:space="preserve">The information should include </w:t>
            </w:r>
            <w:r w:rsidRPr="00B01585">
              <w:rPr>
                <w:rFonts w:cs="Calibri"/>
                <w:color w:val="FFFFFF" w:themeColor="background1"/>
                <w:sz w:val="18"/>
                <w:szCs w:val="18"/>
              </w:rPr>
              <w:t xml:space="preserve">third party </w:t>
            </w:r>
            <w:r w:rsidR="0057497D" w:rsidRPr="00B01585">
              <w:rPr>
                <w:rFonts w:cs="Calibri"/>
                <w:color w:val="FFFFFF" w:themeColor="background1"/>
                <w:sz w:val="18"/>
                <w:szCs w:val="18"/>
              </w:rPr>
              <w:t>monies held at the end of the reporting period and the purpose for which the monies are held.</w:t>
            </w:r>
          </w:p>
        </w:tc>
      </w:tr>
      <w:tr w:rsidR="0057497D" w:rsidRPr="00CF7E1B" w14:paraId="5BA0D4F8" w14:textId="77777777" w:rsidTr="0004564D">
        <w:trPr>
          <w:gridAfter w:val="1"/>
          <w:wAfter w:w="9468" w:type="dxa"/>
          <w:trHeight w:val="283"/>
        </w:trPr>
        <w:tc>
          <w:tcPr>
            <w:tcW w:w="1562" w:type="dxa"/>
            <w:tcBorders>
              <w:left w:val="single" w:sz="2" w:space="0" w:color="auto"/>
              <w:right w:val="single" w:sz="2" w:space="0" w:color="auto"/>
            </w:tcBorders>
          </w:tcPr>
          <w:p w14:paraId="4EBAD9EE" w14:textId="77777777" w:rsidR="0057497D" w:rsidRPr="00B01585" w:rsidRDefault="0057497D" w:rsidP="0057497D">
            <w:pPr>
              <w:pStyle w:val="TableReference"/>
              <w:tabs>
                <w:tab w:val="left" w:pos="3306"/>
              </w:tabs>
              <w:spacing w:before="60"/>
              <w:rPr>
                <w:rFonts w:cs="Calibri"/>
                <w:color w:val="7030A0"/>
                <w:sz w:val="14"/>
              </w:rPr>
            </w:pPr>
            <w:r w:rsidRPr="00B01585">
              <w:rPr>
                <w:rFonts w:cs="Calibri"/>
                <w:color w:val="7030A0"/>
                <w:sz w:val="14"/>
              </w:rPr>
              <w:t>ACT Disclosure Policy</w:t>
            </w:r>
          </w:p>
        </w:tc>
        <w:tc>
          <w:tcPr>
            <w:tcW w:w="8930" w:type="dxa"/>
            <w:gridSpan w:val="6"/>
            <w:tcBorders>
              <w:left w:val="single" w:sz="2" w:space="0" w:color="auto"/>
            </w:tcBorders>
            <w:shd w:val="clear" w:color="auto" w:fill="7030A0"/>
          </w:tcPr>
          <w:p w14:paraId="71476955" w14:textId="2FD557E5" w:rsidR="0057497D" w:rsidRPr="00B01585" w:rsidRDefault="0057497D" w:rsidP="0057497D">
            <w:pPr>
              <w:pStyle w:val="CommentaryText"/>
              <w:tabs>
                <w:tab w:val="left" w:pos="3306"/>
              </w:tabs>
              <w:rPr>
                <w:rFonts w:cs="Calibri"/>
                <w:color w:val="FFFFFF" w:themeColor="background1"/>
                <w:sz w:val="18"/>
                <w:szCs w:val="18"/>
              </w:rPr>
            </w:pPr>
            <w:r w:rsidRPr="00B01585">
              <w:rPr>
                <w:rFonts w:cs="Calibri"/>
                <w:color w:val="FFFFFF" w:themeColor="background1"/>
                <w:sz w:val="18"/>
                <w:szCs w:val="18"/>
              </w:rPr>
              <w:t>Where a trust has assets and liabilities (other than cash), the financial statements should include an accrual presentation of that trusts activities during the year and financial position at the reporting date.</w:t>
            </w:r>
            <w:r w:rsidR="00FA7C77">
              <w:rPr>
                <w:rFonts w:cs="Calibri"/>
                <w:color w:val="FFFFFF" w:themeColor="background1"/>
                <w:sz w:val="18"/>
                <w:szCs w:val="18"/>
              </w:rPr>
              <w:t xml:space="preserve"> </w:t>
            </w:r>
            <w:r w:rsidRPr="00B01585">
              <w:rPr>
                <w:rFonts w:cs="Calibri"/>
                <w:color w:val="FFFFFF" w:themeColor="background1"/>
                <w:sz w:val="18"/>
                <w:szCs w:val="18"/>
              </w:rPr>
              <w:t xml:space="preserve">If a trust has no assets or liabilities apart from cash, the financial statements need only provide cash disclosure of the </w:t>
            </w:r>
            <w:r w:rsidR="00C958E9" w:rsidRPr="00B01585">
              <w:rPr>
                <w:rFonts w:cs="Calibri"/>
                <w:color w:val="FFFFFF" w:themeColor="background1"/>
                <w:sz w:val="18"/>
                <w:szCs w:val="18"/>
              </w:rPr>
              <w:t>trust’s</w:t>
            </w:r>
            <w:r w:rsidRPr="00B01585">
              <w:rPr>
                <w:rFonts w:cs="Calibri"/>
                <w:color w:val="FFFFFF" w:themeColor="background1"/>
                <w:sz w:val="18"/>
                <w:szCs w:val="18"/>
              </w:rPr>
              <w:t xml:space="preserve"> activities during the year, and financial position at the reporting date.</w:t>
            </w:r>
          </w:p>
        </w:tc>
      </w:tr>
      <w:tr w:rsidR="0057497D" w:rsidRPr="00CF7E1B" w14:paraId="58B2F1D1" w14:textId="77777777" w:rsidTr="0004564D">
        <w:tblPrEx>
          <w:shd w:val="clear" w:color="auto" w:fill="auto"/>
        </w:tblPrEx>
        <w:trPr>
          <w:gridAfter w:val="1"/>
          <w:wAfter w:w="9468" w:type="dxa"/>
          <w:trHeight w:val="23"/>
        </w:trPr>
        <w:tc>
          <w:tcPr>
            <w:tcW w:w="1562" w:type="dxa"/>
            <w:tcBorders>
              <w:top w:val="nil"/>
              <w:left w:val="single" w:sz="2" w:space="0" w:color="auto"/>
              <w:bottom w:val="nil"/>
              <w:right w:val="single" w:sz="2" w:space="0" w:color="auto"/>
            </w:tcBorders>
            <w:vAlign w:val="center"/>
          </w:tcPr>
          <w:p w14:paraId="441707EF" w14:textId="77777777" w:rsidR="0057497D" w:rsidRPr="00B01585" w:rsidRDefault="0057497D" w:rsidP="0057497D">
            <w:pPr>
              <w:pStyle w:val="TableReference"/>
              <w:tabs>
                <w:tab w:val="left" w:pos="3306"/>
              </w:tabs>
              <w:rPr>
                <w:rFonts w:cs="Calibri"/>
                <w:color w:val="7030A0"/>
                <w:sz w:val="14"/>
              </w:rPr>
            </w:pPr>
            <w:r w:rsidRPr="00B01585">
              <w:rPr>
                <w:rFonts w:cs="Calibri"/>
                <w:color w:val="7030A0"/>
                <w:sz w:val="14"/>
              </w:rPr>
              <w:t>AASB 10.6</w:t>
            </w:r>
          </w:p>
          <w:p w14:paraId="42982D7F" w14:textId="77777777" w:rsidR="0057497D" w:rsidRPr="00B01585" w:rsidRDefault="0057497D" w:rsidP="0057497D">
            <w:pPr>
              <w:pStyle w:val="TableReference"/>
              <w:tabs>
                <w:tab w:val="left" w:pos="3306"/>
              </w:tabs>
              <w:rPr>
                <w:rFonts w:cs="Calibri"/>
                <w:color w:val="7030A0"/>
                <w:sz w:val="14"/>
              </w:rPr>
            </w:pPr>
            <w:r w:rsidRPr="00B01585">
              <w:rPr>
                <w:rFonts w:cs="Calibri"/>
                <w:color w:val="7030A0"/>
                <w:sz w:val="14"/>
              </w:rPr>
              <w:t>AASB 10.5-18</w:t>
            </w:r>
          </w:p>
        </w:tc>
        <w:tc>
          <w:tcPr>
            <w:tcW w:w="8930" w:type="dxa"/>
            <w:gridSpan w:val="6"/>
            <w:tcBorders>
              <w:left w:val="single" w:sz="2" w:space="0" w:color="auto"/>
            </w:tcBorders>
            <w:shd w:val="clear" w:color="auto" w:fill="7030A0"/>
            <w:vAlign w:val="bottom"/>
          </w:tcPr>
          <w:p w14:paraId="63163A86" w14:textId="77777777" w:rsidR="0057497D" w:rsidRPr="00B01585" w:rsidRDefault="0057497D" w:rsidP="0057497D">
            <w:pPr>
              <w:pStyle w:val="CommentaryText"/>
              <w:tabs>
                <w:tab w:val="left" w:pos="3306"/>
              </w:tabs>
              <w:rPr>
                <w:rFonts w:cs="Calibri"/>
                <w:color w:val="FFFFFF" w:themeColor="background1"/>
                <w:sz w:val="18"/>
                <w:szCs w:val="18"/>
              </w:rPr>
            </w:pPr>
            <w:r w:rsidRPr="00B01585">
              <w:rPr>
                <w:rFonts w:cs="Calibri"/>
                <w:color w:val="FFFFFF" w:themeColor="background1"/>
                <w:sz w:val="18"/>
                <w:szCs w:val="18"/>
              </w:rPr>
              <w:t>Assets held in trust for the benefit of other parties are not controlled by the agency.</w:t>
            </w:r>
          </w:p>
          <w:p w14:paraId="66D01B44" w14:textId="7002041B" w:rsidR="0057497D" w:rsidRPr="00B01585" w:rsidRDefault="0057497D" w:rsidP="0057497D">
            <w:pPr>
              <w:pStyle w:val="CommentaryText"/>
              <w:tabs>
                <w:tab w:val="left" w:pos="3306"/>
              </w:tabs>
              <w:rPr>
                <w:rFonts w:cs="Calibri"/>
                <w:color w:val="FFFFFF" w:themeColor="background1"/>
                <w:sz w:val="18"/>
                <w:szCs w:val="18"/>
              </w:rPr>
            </w:pPr>
            <w:r w:rsidRPr="00B01585">
              <w:rPr>
                <w:rFonts w:cs="Calibri"/>
                <w:color w:val="FFFFFF" w:themeColor="background1"/>
                <w:sz w:val="18"/>
                <w:szCs w:val="18"/>
              </w:rPr>
              <w:t xml:space="preserve">The definition of control in AASB 10 </w:t>
            </w:r>
            <w:r w:rsidRPr="00B01585">
              <w:rPr>
                <w:rFonts w:cs="Calibri"/>
                <w:i/>
                <w:color w:val="FFFFFF" w:themeColor="background1"/>
                <w:sz w:val="18"/>
                <w:szCs w:val="18"/>
              </w:rPr>
              <w:t>Consolidated Financial Statements</w:t>
            </w:r>
            <w:r w:rsidRPr="00B01585">
              <w:rPr>
                <w:rFonts w:cs="Calibri"/>
                <w:color w:val="FFFFFF" w:themeColor="background1"/>
                <w:sz w:val="18"/>
                <w:szCs w:val="18"/>
              </w:rPr>
              <w:t xml:space="preserve"> is that an investor controls an investee when it is exposed, or has rights, to variable returns from its involvement with the investee and has the ability to affect those returns through its power over the investee.</w:t>
            </w:r>
            <w:r w:rsidR="00FA7C77">
              <w:rPr>
                <w:rFonts w:cs="Calibri"/>
                <w:color w:val="FFFFFF" w:themeColor="background1"/>
                <w:sz w:val="18"/>
                <w:szCs w:val="18"/>
              </w:rPr>
              <w:t xml:space="preserve"> </w:t>
            </w:r>
            <w:r w:rsidRPr="00B01585">
              <w:rPr>
                <w:rFonts w:cs="Calibri"/>
                <w:color w:val="FFFFFF" w:themeColor="background1"/>
                <w:sz w:val="18"/>
                <w:szCs w:val="18"/>
              </w:rPr>
              <w:t>Depending upon the circumstances, it may be that an agency has control of the trust funds and relevant trust assets and should consolidate them into its financial statements.</w:t>
            </w:r>
          </w:p>
        </w:tc>
      </w:tr>
      <w:tr w:rsidR="00BA2EB3" w:rsidRPr="001950C9" w14:paraId="358568DD" w14:textId="77777777" w:rsidTr="0004564D">
        <w:tblPrEx>
          <w:shd w:val="clear" w:color="auto" w:fill="auto"/>
        </w:tblPrEx>
        <w:trPr>
          <w:gridAfter w:val="1"/>
          <w:wAfter w:w="9468" w:type="dxa"/>
          <w:trHeight w:val="23"/>
        </w:trPr>
        <w:tc>
          <w:tcPr>
            <w:tcW w:w="1562" w:type="dxa"/>
            <w:tcBorders>
              <w:left w:val="single" w:sz="2" w:space="0" w:color="auto"/>
              <w:right w:val="single" w:sz="2" w:space="0" w:color="auto"/>
            </w:tcBorders>
            <w:vAlign w:val="center"/>
          </w:tcPr>
          <w:p w14:paraId="624F69BB" w14:textId="064D2374" w:rsidR="00BA2EB3" w:rsidRPr="00686828" w:rsidRDefault="00BA2EB3" w:rsidP="005B1145">
            <w:pPr>
              <w:pStyle w:val="TableReference"/>
              <w:tabs>
                <w:tab w:val="left" w:pos="3306"/>
              </w:tabs>
              <w:spacing w:before="240" w:after="240"/>
              <w:rPr>
                <w:rFonts w:cs="Calibri"/>
                <w:b/>
                <w:color w:val="7030A0"/>
                <w:sz w:val="22"/>
                <w:szCs w:val="22"/>
              </w:rPr>
            </w:pPr>
            <w:r w:rsidRPr="00686828">
              <w:rPr>
                <w:rFonts w:cs="Calibri"/>
                <w:color w:val="7030A0"/>
                <w:sz w:val="16"/>
                <w:szCs w:val="16"/>
              </w:rPr>
              <w:br w:type="page"/>
            </w:r>
          </w:p>
        </w:tc>
        <w:tc>
          <w:tcPr>
            <w:tcW w:w="8930" w:type="dxa"/>
            <w:gridSpan w:val="6"/>
            <w:tcBorders>
              <w:left w:val="single" w:sz="2" w:space="0" w:color="auto"/>
            </w:tcBorders>
            <w:shd w:val="clear" w:color="auto" w:fill="auto"/>
            <w:vAlign w:val="bottom"/>
          </w:tcPr>
          <w:p w14:paraId="1B981C61" w14:textId="63505C3F" w:rsidR="00BA2EB3" w:rsidRPr="00B01585" w:rsidRDefault="00BA2EB3" w:rsidP="000C4F43">
            <w:pPr>
              <w:pStyle w:val="Heading1"/>
              <w:numPr>
                <w:ilvl w:val="0"/>
                <w:numId w:val="0"/>
              </w:numPr>
              <w:ind w:left="34"/>
            </w:pPr>
            <w:bookmarkStart w:id="786" w:name="RelatedPartyDisclosure"/>
            <w:bookmarkStart w:id="787" w:name="_Toc98763180"/>
            <w:r w:rsidRPr="00B01585">
              <w:t xml:space="preserve">Note </w:t>
            </w:r>
            <w:r w:rsidR="004E3426" w:rsidRPr="00B01585">
              <w:t>3</w:t>
            </w:r>
            <w:r w:rsidR="0057601E" w:rsidRPr="00B01585">
              <w:t>8</w:t>
            </w:r>
            <w:r w:rsidRPr="00B01585">
              <w:t>.</w:t>
            </w:r>
            <w:r w:rsidR="00FA7C77">
              <w:t xml:space="preserve"> </w:t>
            </w:r>
            <w:r w:rsidRPr="00B01585">
              <w:t xml:space="preserve"> Related Party</w:t>
            </w:r>
            <w:r w:rsidR="00403D5A" w:rsidRPr="00B01585">
              <w:t xml:space="preserve"> Disclosures</w:t>
            </w:r>
            <w:bookmarkEnd w:id="786"/>
            <w:bookmarkEnd w:id="787"/>
          </w:p>
        </w:tc>
      </w:tr>
      <w:tr w:rsidR="0082581E" w:rsidRPr="001950C9" w14:paraId="458EDDD7" w14:textId="77777777" w:rsidTr="0004564D">
        <w:tblPrEx>
          <w:shd w:val="clear" w:color="auto" w:fill="auto"/>
        </w:tblPrEx>
        <w:trPr>
          <w:gridAfter w:val="1"/>
          <w:wAfter w:w="9468" w:type="dxa"/>
          <w:trHeight w:val="23"/>
        </w:trPr>
        <w:tc>
          <w:tcPr>
            <w:tcW w:w="1562" w:type="dxa"/>
            <w:tcBorders>
              <w:left w:val="single" w:sz="2" w:space="0" w:color="auto"/>
              <w:right w:val="single" w:sz="2" w:space="0" w:color="auto"/>
            </w:tcBorders>
          </w:tcPr>
          <w:p w14:paraId="5A14C5E4" w14:textId="28FE9083" w:rsidR="0082581E" w:rsidRPr="00686828" w:rsidRDefault="0082581E" w:rsidP="00C85324">
            <w:pPr>
              <w:pStyle w:val="TableReference"/>
              <w:tabs>
                <w:tab w:val="left" w:pos="3306"/>
              </w:tabs>
              <w:rPr>
                <w:rFonts w:cs="Calibri"/>
                <w:color w:val="7030A0"/>
                <w:sz w:val="14"/>
              </w:rPr>
            </w:pPr>
          </w:p>
        </w:tc>
        <w:tc>
          <w:tcPr>
            <w:tcW w:w="8930" w:type="dxa"/>
            <w:gridSpan w:val="6"/>
            <w:tcBorders>
              <w:left w:val="single" w:sz="2" w:space="0" w:color="auto"/>
            </w:tcBorders>
            <w:shd w:val="clear" w:color="auto" w:fill="auto"/>
            <w:vAlign w:val="bottom"/>
          </w:tcPr>
          <w:p w14:paraId="1B5C78B1" w14:textId="4C1A8666" w:rsidR="0082581E" w:rsidRPr="00B01585" w:rsidRDefault="007672D1" w:rsidP="007672D1">
            <w:pPr>
              <w:jc w:val="both"/>
              <w:rPr>
                <w:sz w:val="18"/>
                <w:szCs w:val="18"/>
              </w:rPr>
            </w:pPr>
            <w:r w:rsidRPr="00B01585">
              <w:rPr>
                <w:b/>
                <w:bCs/>
                <w:sz w:val="18"/>
                <w:szCs w:val="18"/>
              </w:rPr>
              <w:t>Description and Material Accounting Policies Relating to Related Party Disclosures</w:t>
            </w:r>
          </w:p>
        </w:tc>
      </w:tr>
      <w:tr w:rsidR="007672D1" w:rsidRPr="001950C9" w14:paraId="1CEF6632" w14:textId="77777777" w:rsidTr="0004564D">
        <w:tblPrEx>
          <w:shd w:val="clear" w:color="auto" w:fill="auto"/>
        </w:tblPrEx>
        <w:trPr>
          <w:gridAfter w:val="1"/>
          <w:wAfter w:w="9468" w:type="dxa"/>
          <w:trHeight w:val="23"/>
        </w:trPr>
        <w:tc>
          <w:tcPr>
            <w:tcW w:w="1562" w:type="dxa"/>
            <w:tcBorders>
              <w:left w:val="single" w:sz="2" w:space="0" w:color="auto"/>
              <w:right w:val="single" w:sz="2" w:space="0" w:color="auto"/>
            </w:tcBorders>
          </w:tcPr>
          <w:p w14:paraId="3040B15C" w14:textId="48FAB8D9" w:rsidR="007672D1" w:rsidRPr="00686828" w:rsidRDefault="007672D1" w:rsidP="007672D1">
            <w:pPr>
              <w:pStyle w:val="TableReference"/>
              <w:tabs>
                <w:tab w:val="left" w:pos="3306"/>
              </w:tabs>
              <w:rPr>
                <w:rFonts w:cs="Calibri"/>
                <w:color w:val="7030A0"/>
                <w:sz w:val="14"/>
              </w:rPr>
            </w:pPr>
            <w:r w:rsidRPr="00686828">
              <w:rPr>
                <w:rFonts w:cs="Calibri"/>
                <w:color w:val="7030A0"/>
                <w:sz w:val="14"/>
              </w:rPr>
              <w:t>AASB 124.9</w:t>
            </w:r>
          </w:p>
        </w:tc>
        <w:tc>
          <w:tcPr>
            <w:tcW w:w="8930" w:type="dxa"/>
            <w:gridSpan w:val="6"/>
            <w:tcBorders>
              <w:left w:val="single" w:sz="2" w:space="0" w:color="auto"/>
            </w:tcBorders>
            <w:shd w:val="clear" w:color="auto" w:fill="auto"/>
            <w:vAlign w:val="bottom"/>
          </w:tcPr>
          <w:p w14:paraId="3CE0F3A2" w14:textId="438A1D7F" w:rsidR="007672D1" w:rsidRPr="00B01585" w:rsidRDefault="007672D1" w:rsidP="007672D1">
            <w:pPr>
              <w:spacing w:after="120"/>
              <w:jc w:val="both"/>
              <w:rPr>
                <w:sz w:val="18"/>
                <w:szCs w:val="18"/>
              </w:rPr>
            </w:pPr>
            <w:r w:rsidRPr="00B01585">
              <w:rPr>
                <w:sz w:val="18"/>
                <w:szCs w:val="18"/>
              </w:rPr>
              <w:t>A related party is a person that controls or has significant influence over the reporting entity, or is a member of the Key Management Personnel (KMP) of the reporting entity or its parent entity, and includes their close family members and entities in which the KMP and/or their close family members individually or jointly have controlling interests.</w:t>
            </w:r>
          </w:p>
        </w:tc>
      </w:tr>
      <w:tr w:rsidR="007672D1" w:rsidRPr="001950C9" w14:paraId="43BBC269" w14:textId="77777777" w:rsidTr="0004564D">
        <w:tblPrEx>
          <w:shd w:val="clear" w:color="auto" w:fill="auto"/>
        </w:tblPrEx>
        <w:trPr>
          <w:gridAfter w:val="1"/>
          <w:wAfter w:w="9468" w:type="dxa"/>
          <w:trHeight w:val="23"/>
        </w:trPr>
        <w:tc>
          <w:tcPr>
            <w:tcW w:w="1562" w:type="dxa"/>
            <w:tcBorders>
              <w:left w:val="single" w:sz="2" w:space="0" w:color="auto"/>
              <w:right w:val="single" w:sz="2" w:space="0" w:color="auto"/>
            </w:tcBorders>
          </w:tcPr>
          <w:p w14:paraId="1A615AD2" w14:textId="77777777" w:rsidR="007672D1" w:rsidRPr="00686828" w:rsidRDefault="007672D1" w:rsidP="007672D1">
            <w:pPr>
              <w:pStyle w:val="TableReference"/>
              <w:tabs>
                <w:tab w:val="left" w:pos="3306"/>
              </w:tabs>
              <w:rPr>
                <w:rFonts w:cs="Calibri"/>
                <w:color w:val="7030A0"/>
                <w:sz w:val="14"/>
              </w:rPr>
            </w:pPr>
          </w:p>
        </w:tc>
        <w:tc>
          <w:tcPr>
            <w:tcW w:w="8930" w:type="dxa"/>
            <w:gridSpan w:val="6"/>
            <w:tcBorders>
              <w:left w:val="single" w:sz="2" w:space="0" w:color="auto"/>
            </w:tcBorders>
            <w:shd w:val="clear" w:color="auto" w:fill="auto"/>
            <w:vAlign w:val="bottom"/>
          </w:tcPr>
          <w:p w14:paraId="23E5D8D2" w14:textId="5866A236" w:rsidR="007672D1" w:rsidRPr="00B01585" w:rsidRDefault="007672D1" w:rsidP="007672D1">
            <w:pPr>
              <w:spacing w:after="120"/>
              <w:jc w:val="both"/>
              <w:rPr>
                <w:sz w:val="18"/>
                <w:szCs w:val="18"/>
              </w:rPr>
            </w:pPr>
            <w:r w:rsidRPr="00B01585">
              <w:rPr>
                <w:sz w:val="18"/>
                <w:szCs w:val="18"/>
              </w:rPr>
              <w:t>KMP are those persons having authority and responsibility for planning, directing and controlling the activities of the ‘</w:t>
            </w:r>
            <w:r w:rsidR="003B044B" w:rsidRPr="00B01585">
              <w:rPr>
                <w:sz w:val="18"/>
                <w:szCs w:val="18"/>
              </w:rPr>
              <w:t>Burley Griffin</w:t>
            </w:r>
            <w:r w:rsidR="003B044B" w:rsidRPr="00B01585">
              <w:rPr>
                <w:bCs/>
                <w:sz w:val="18"/>
                <w:szCs w:val="18"/>
              </w:rPr>
              <w:t xml:space="preserve"> </w:t>
            </w:r>
            <w:r w:rsidRPr="00B01585">
              <w:rPr>
                <w:sz w:val="18"/>
                <w:szCs w:val="18"/>
              </w:rPr>
              <w:t>Agency’, directly or indirectly.</w:t>
            </w:r>
          </w:p>
        </w:tc>
      </w:tr>
      <w:tr w:rsidR="007672D1" w:rsidRPr="001950C9" w14:paraId="3C27A60D" w14:textId="77777777" w:rsidTr="0004564D">
        <w:tblPrEx>
          <w:shd w:val="clear" w:color="auto" w:fill="auto"/>
        </w:tblPrEx>
        <w:trPr>
          <w:gridAfter w:val="1"/>
          <w:wAfter w:w="9468" w:type="dxa"/>
          <w:trHeight w:val="23"/>
        </w:trPr>
        <w:tc>
          <w:tcPr>
            <w:tcW w:w="1562" w:type="dxa"/>
            <w:tcBorders>
              <w:left w:val="single" w:sz="2" w:space="0" w:color="auto"/>
              <w:right w:val="single" w:sz="2" w:space="0" w:color="auto"/>
            </w:tcBorders>
          </w:tcPr>
          <w:p w14:paraId="04383D5C" w14:textId="77777777" w:rsidR="007672D1" w:rsidRPr="00686828" w:rsidRDefault="007672D1" w:rsidP="007672D1">
            <w:pPr>
              <w:pStyle w:val="TableReference"/>
              <w:tabs>
                <w:tab w:val="left" w:pos="3306"/>
              </w:tabs>
              <w:rPr>
                <w:rFonts w:cs="Calibri"/>
                <w:color w:val="7030A0"/>
                <w:sz w:val="14"/>
              </w:rPr>
            </w:pPr>
          </w:p>
        </w:tc>
        <w:tc>
          <w:tcPr>
            <w:tcW w:w="8930" w:type="dxa"/>
            <w:gridSpan w:val="6"/>
            <w:tcBorders>
              <w:left w:val="single" w:sz="2" w:space="0" w:color="auto"/>
            </w:tcBorders>
            <w:shd w:val="clear" w:color="auto" w:fill="auto"/>
            <w:vAlign w:val="bottom"/>
          </w:tcPr>
          <w:p w14:paraId="7C96B195" w14:textId="3C41E6D4" w:rsidR="007672D1" w:rsidRPr="00B01585" w:rsidRDefault="007672D1" w:rsidP="007672D1">
            <w:pPr>
              <w:spacing w:after="120"/>
              <w:jc w:val="both"/>
              <w:rPr>
                <w:sz w:val="18"/>
                <w:szCs w:val="18"/>
              </w:rPr>
            </w:pPr>
            <w:r w:rsidRPr="00B01585">
              <w:rPr>
                <w:sz w:val="18"/>
                <w:szCs w:val="18"/>
              </w:rPr>
              <w:t>KMP of the ‘</w:t>
            </w:r>
            <w:r w:rsidR="003B044B" w:rsidRPr="00B01585">
              <w:rPr>
                <w:sz w:val="18"/>
                <w:szCs w:val="18"/>
              </w:rPr>
              <w:t>Burley Griffin</w:t>
            </w:r>
            <w:r w:rsidR="003B044B" w:rsidRPr="00B01585">
              <w:rPr>
                <w:bCs/>
                <w:sz w:val="18"/>
                <w:szCs w:val="18"/>
              </w:rPr>
              <w:t xml:space="preserve"> </w:t>
            </w:r>
            <w:r w:rsidR="0022564C" w:rsidRPr="00B01585">
              <w:rPr>
                <w:bCs/>
                <w:sz w:val="18"/>
                <w:szCs w:val="18"/>
              </w:rPr>
              <w:t>A</w:t>
            </w:r>
            <w:r w:rsidRPr="00B01585">
              <w:rPr>
                <w:sz w:val="18"/>
                <w:szCs w:val="18"/>
              </w:rPr>
              <w:t>gency’ are the Portfolio Minister, Director-General and certain members of the Senior Management Team.</w:t>
            </w:r>
          </w:p>
        </w:tc>
      </w:tr>
      <w:tr w:rsidR="007672D1" w:rsidRPr="001950C9" w14:paraId="56491A01" w14:textId="77777777" w:rsidTr="0004564D">
        <w:tblPrEx>
          <w:shd w:val="clear" w:color="auto" w:fill="auto"/>
        </w:tblPrEx>
        <w:trPr>
          <w:gridAfter w:val="1"/>
          <w:wAfter w:w="9468" w:type="dxa"/>
          <w:trHeight w:val="23"/>
        </w:trPr>
        <w:tc>
          <w:tcPr>
            <w:tcW w:w="1562" w:type="dxa"/>
            <w:tcBorders>
              <w:left w:val="single" w:sz="2" w:space="0" w:color="auto"/>
              <w:right w:val="single" w:sz="2" w:space="0" w:color="auto"/>
            </w:tcBorders>
          </w:tcPr>
          <w:p w14:paraId="6E26BDAD" w14:textId="77777777" w:rsidR="007672D1" w:rsidRPr="00686828" w:rsidRDefault="007672D1" w:rsidP="007672D1">
            <w:pPr>
              <w:pStyle w:val="TableReference"/>
              <w:tabs>
                <w:tab w:val="left" w:pos="3306"/>
              </w:tabs>
              <w:rPr>
                <w:rFonts w:cs="Calibri"/>
                <w:color w:val="7030A0"/>
                <w:sz w:val="14"/>
              </w:rPr>
            </w:pPr>
          </w:p>
        </w:tc>
        <w:tc>
          <w:tcPr>
            <w:tcW w:w="8930" w:type="dxa"/>
            <w:gridSpan w:val="6"/>
            <w:tcBorders>
              <w:left w:val="single" w:sz="2" w:space="0" w:color="auto"/>
            </w:tcBorders>
            <w:shd w:val="clear" w:color="auto" w:fill="auto"/>
            <w:vAlign w:val="bottom"/>
          </w:tcPr>
          <w:p w14:paraId="5F478869" w14:textId="27E58BCC" w:rsidR="007672D1" w:rsidRPr="00B01585" w:rsidRDefault="007672D1" w:rsidP="007672D1">
            <w:pPr>
              <w:spacing w:after="120"/>
              <w:jc w:val="both"/>
              <w:rPr>
                <w:sz w:val="18"/>
                <w:szCs w:val="18"/>
              </w:rPr>
            </w:pPr>
            <w:r w:rsidRPr="00B01585">
              <w:rPr>
                <w:sz w:val="18"/>
                <w:szCs w:val="18"/>
              </w:rPr>
              <w:t>The Head of Service and the ACT Executive comprising the Cabinet Ministers are KMP of the ACT Government and therefore related parties of ‘</w:t>
            </w:r>
            <w:r w:rsidR="003B044B" w:rsidRPr="00B01585">
              <w:rPr>
                <w:sz w:val="18"/>
                <w:szCs w:val="18"/>
              </w:rPr>
              <w:t>Burley Griffin</w:t>
            </w:r>
            <w:r w:rsidR="003B044B" w:rsidRPr="00B01585">
              <w:rPr>
                <w:bCs/>
                <w:sz w:val="18"/>
                <w:szCs w:val="18"/>
              </w:rPr>
              <w:t xml:space="preserve"> </w:t>
            </w:r>
            <w:r w:rsidRPr="00B01585">
              <w:rPr>
                <w:sz w:val="18"/>
                <w:szCs w:val="18"/>
              </w:rPr>
              <w:t>Agency’.</w:t>
            </w:r>
          </w:p>
        </w:tc>
      </w:tr>
      <w:tr w:rsidR="007672D1" w:rsidRPr="001950C9" w14:paraId="40843B09" w14:textId="77777777" w:rsidTr="0004564D">
        <w:tblPrEx>
          <w:shd w:val="clear" w:color="auto" w:fill="auto"/>
        </w:tblPrEx>
        <w:trPr>
          <w:gridAfter w:val="1"/>
          <w:wAfter w:w="9468" w:type="dxa"/>
          <w:trHeight w:val="23"/>
        </w:trPr>
        <w:tc>
          <w:tcPr>
            <w:tcW w:w="1562" w:type="dxa"/>
            <w:tcBorders>
              <w:left w:val="single" w:sz="2" w:space="0" w:color="auto"/>
              <w:right w:val="single" w:sz="2" w:space="0" w:color="auto"/>
            </w:tcBorders>
          </w:tcPr>
          <w:p w14:paraId="059C5D8F" w14:textId="77777777" w:rsidR="007672D1" w:rsidRPr="00686828" w:rsidRDefault="007672D1" w:rsidP="007672D1">
            <w:pPr>
              <w:pStyle w:val="TableReference"/>
              <w:tabs>
                <w:tab w:val="left" w:pos="3306"/>
              </w:tabs>
              <w:rPr>
                <w:rFonts w:cs="Calibri"/>
                <w:color w:val="7030A0"/>
                <w:sz w:val="14"/>
              </w:rPr>
            </w:pPr>
          </w:p>
        </w:tc>
        <w:tc>
          <w:tcPr>
            <w:tcW w:w="8930" w:type="dxa"/>
            <w:gridSpan w:val="6"/>
            <w:tcBorders>
              <w:left w:val="single" w:sz="2" w:space="0" w:color="auto"/>
            </w:tcBorders>
            <w:shd w:val="clear" w:color="auto" w:fill="auto"/>
            <w:vAlign w:val="bottom"/>
          </w:tcPr>
          <w:p w14:paraId="5ABDDAEA" w14:textId="37A9D910" w:rsidR="007672D1" w:rsidRPr="00B01585" w:rsidRDefault="007672D1" w:rsidP="007672D1">
            <w:pPr>
              <w:jc w:val="both"/>
              <w:rPr>
                <w:sz w:val="18"/>
                <w:szCs w:val="18"/>
              </w:rPr>
            </w:pPr>
            <w:r w:rsidRPr="00B01585">
              <w:rPr>
                <w:sz w:val="18"/>
                <w:szCs w:val="18"/>
              </w:rPr>
              <w:t>This note does not include typical citizen transactions between the KMP and ‘</w:t>
            </w:r>
            <w:r w:rsidR="003B044B" w:rsidRPr="00B01585">
              <w:rPr>
                <w:sz w:val="18"/>
                <w:szCs w:val="18"/>
              </w:rPr>
              <w:t>Burley Griffin</w:t>
            </w:r>
            <w:r w:rsidR="003B044B" w:rsidRPr="00B01585">
              <w:rPr>
                <w:bCs/>
                <w:sz w:val="18"/>
                <w:szCs w:val="18"/>
              </w:rPr>
              <w:t xml:space="preserve"> </w:t>
            </w:r>
            <w:r w:rsidRPr="00B01585">
              <w:rPr>
                <w:sz w:val="18"/>
                <w:szCs w:val="18"/>
              </w:rPr>
              <w:t>Agency’ that occur on terms and conditions no different to those applying to the general public.</w:t>
            </w:r>
          </w:p>
        </w:tc>
      </w:tr>
      <w:tr w:rsidR="00E85339" w:rsidRPr="001950C9" w14:paraId="4FDC1592" w14:textId="77777777" w:rsidTr="0004564D">
        <w:tblPrEx>
          <w:shd w:val="clear" w:color="auto" w:fill="auto"/>
        </w:tblPrEx>
        <w:trPr>
          <w:gridAfter w:val="1"/>
          <w:wAfter w:w="9468" w:type="dxa"/>
          <w:trHeight w:val="23"/>
        </w:trPr>
        <w:tc>
          <w:tcPr>
            <w:tcW w:w="1562" w:type="dxa"/>
            <w:tcBorders>
              <w:left w:val="single" w:sz="2" w:space="0" w:color="auto"/>
              <w:right w:val="single" w:sz="2" w:space="0" w:color="auto"/>
            </w:tcBorders>
            <w:vAlign w:val="bottom"/>
          </w:tcPr>
          <w:p w14:paraId="14E15C25" w14:textId="77777777" w:rsidR="00E85339" w:rsidRPr="00686828" w:rsidRDefault="00E85339" w:rsidP="00BA2EB3">
            <w:pPr>
              <w:pStyle w:val="TableReference"/>
              <w:tabs>
                <w:tab w:val="left" w:pos="3306"/>
              </w:tabs>
              <w:rPr>
                <w:rFonts w:cs="Calibri"/>
                <w:color w:val="7030A0"/>
                <w:sz w:val="14"/>
              </w:rPr>
            </w:pPr>
          </w:p>
        </w:tc>
        <w:tc>
          <w:tcPr>
            <w:tcW w:w="8930" w:type="dxa"/>
            <w:gridSpan w:val="6"/>
            <w:tcBorders>
              <w:left w:val="single" w:sz="2" w:space="0" w:color="auto"/>
            </w:tcBorders>
            <w:shd w:val="clear" w:color="auto" w:fill="auto"/>
            <w:vAlign w:val="bottom"/>
          </w:tcPr>
          <w:p w14:paraId="2498C585" w14:textId="477AEB85" w:rsidR="00E85339" w:rsidRPr="00B01585" w:rsidRDefault="00332E05" w:rsidP="007672D1">
            <w:pPr>
              <w:spacing w:before="180"/>
              <w:jc w:val="both"/>
              <w:rPr>
                <w:b/>
                <w:sz w:val="18"/>
                <w:szCs w:val="18"/>
              </w:rPr>
            </w:pPr>
            <w:r w:rsidRPr="00B01585">
              <w:rPr>
                <w:b/>
                <w:sz w:val="18"/>
                <w:szCs w:val="18"/>
              </w:rPr>
              <w:t xml:space="preserve">(A) </w:t>
            </w:r>
            <w:r w:rsidR="00773A89" w:rsidRPr="00B01585">
              <w:rPr>
                <w:b/>
                <w:sz w:val="18"/>
                <w:szCs w:val="18"/>
              </w:rPr>
              <w:t>Controlling Entity</w:t>
            </w:r>
          </w:p>
          <w:p w14:paraId="13DE3D23" w14:textId="2968F1FE" w:rsidR="00E85339" w:rsidRPr="00B01585" w:rsidRDefault="00BA2144" w:rsidP="000C4F43">
            <w:pPr>
              <w:jc w:val="both"/>
              <w:rPr>
                <w:sz w:val="18"/>
                <w:szCs w:val="18"/>
              </w:rPr>
            </w:pPr>
            <w:r w:rsidRPr="00B01585">
              <w:rPr>
                <w:sz w:val="18"/>
                <w:szCs w:val="18"/>
              </w:rPr>
              <w:t>‘</w:t>
            </w:r>
            <w:r w:rsidR="003B044B" w:rsidRPr="00B01585">
              <w:rPr>
                <w:sz w:val="18"/>
                <w:szCs w:val="18"/>
              </w:rPr>
              <w:t>Burley Griffin</w:t>
            </w:r>
            <w:r w:rsidR="003B044B" w:rsidRPr="00B01585">
              <w:rPr>
                <w:bCs/>
                <w:sz w:val="18"/>
                <w:szCs w:val="18"/>
              </w:rPr>
              <w:t xml:space="preserve"> </w:t>
            </w:r>
            <w:r w:rsidR="00E85339" w:rsidRPr="00B01585">
              <w:rPr>
                <w:sz w:val="18"/>
                <w:szCs w:val="18"/>
              </w:rPr>
              <w:t>Agency</w:t>
            </w:r>
            <w:r w:rsidRPr="00B01585">
              <w:rPr>
                <w:sz w:val="18"/>
                <w:szCs w:val="18"/>
              </w:rPr>
              <w:t>’</w:t>
            </w:r>
            <w:r w:rsidR="00E85339" w:rsidRPr="00B01585">
              <w:rPr>
                <w:sz w:val="18"/>
                <w:szCs w:val="18"/>
              </w:rPr>
              <w:t xml:space="preserve"> is an ACT Government controlled entity.</w:t>
            </w:r>
          </w:p>
        </w:tc>
      </w:tr>
      <w:tr w:rsidR="00E85339" w:rsidRPr="001950C9" w14:paraId="503CDC9E" w14:textId="77777777" w:rsidTr="0004564D">
        <w:tblPrEx>
          <w:shd w:val="clear" w:color="auto" w:fill="auto"/>
        </w:tblPrEx>
        <w:trPr>
          <w:gridAfter w:val="1"/>
          <w:wAfter w:w="9468" w:type="dxa"/>
          <w:trHeight w:val="23"/>
        </w:trPr>
        <w:tc>
          <w:tcPr>
            <w:tcW w:w="1562" w:type="dxa"/>
            <w:tcBorders>
              <w:left w:val="single" w:sz="2" w:space="0" w:color="auto"/>
              <w:right w:val="single" w:sz="2" w:space="0" w:color="auto"/>
            </w:tcBorders>
            <w:vAlign w:val="center"/>
          </w:tcPr>
          <w:p w14:paraId="4934622C" w14:textId="1DC713CA" w:rsidR="005E7597" w:rsidRPr="00686828" w:rsidRDefault="005E7597" w:rsidP="005E7597">
            <w:pPr>
              <w:pStyle w:val="TableReference"/>
              <w:tabs>
                <w:tab w:val="left" w:pos="3306"/>
              </w:tabs>
              <w:spacing w:after="240"/>
              <w:rPr>
                <w:rFonts w:cs="Calibri"/>
                <w:color w:val="7030A0"/>
                <w:sz w:val="14"/>
              </w:rPr>
            </w:pPr>
            <w:r w:rsidRPr="00686828">
              <w:rPr>
                <w:rFonts w:cs="Calibri"/>
                <w:color w:val="7030A0"/>
                <w:sz w:val="14"/>
              </w:rPr>
              <w:t>AASB</w:t>
            </w:r>
            <w:r w:rsidR="002E25E6" w:rsidRPr="00686828">
              <w:rPr>
                <w:rFonts w:cs="Calibri"/>
                <w:color w:val="7030A0"/>
                <w:sz w:val="14"/>
              </w:rPr>
              <w:t xml:space="preserve"> </w:t>
            </w:r>
            <w:r w:rsidRPr="00686828">
              <w:rPr>
                <w:rFonts w:cs="Calibri"/>
                <w:color w:val="7030A0"/>
                <w:sz w:val="14"/>
              </w:rPr>
              <w:t xml:space="preserve">124.9 Compensation defined </w:t>
            </w:r>
          </w:p>
          <w:p w14:paraId="79A70D8B" w14:textId="77777777" w:rsidR="00E85339" w:rsidRPr="00686828" w:rsidRDefault="00E85339" w:rsidP="005E7597">
            <w:pPr>
              <w:pStyle w:val="TableReference"/>
              <w:tabs>
                <w:tab w:val="left" w:pos="3306"/>
              </w:tabs>
              <w:rPr>
                <w:rFonts w:cs="Calibri"/>
                <w:color w:val="7030A0"/>
                <w:sz w:val="14"/>
              </w:rPr>
            </w:pPr>
          </w:p>
          <w:p w14:paraId="18BF8C5A" w14:textId="77777777" w:rsidR="00F12490" w:rsidRPr="00686828" w:rsidRDefault="00F12490" w:rsidP="005E7597">
            <w:pPr>
              <w:pStyle w:val="TableReference"/>
              <w:tabs>
                <w:tab w:val="left" w:pos="3306"/>
              </w:tabs>
              <w:rPr>
                <w:rFonts w:cs="Calibri"/>
                <w:color w:val="7030A0"/>
                <w:sz w:val="14"/>
              </w:rPr>
            </w:pPr>
          </w:p>
          <w:p w14:paraId="0778201B" w14:textId="77777777" w:rsidR="00F12490" w:rsidRPr="00686828" w:rsidRDefault="00F12490" w:rsidP="005E7597">
            <w:pPr>
              <w:pStyle w:val="TableReference"/>
              <w:tabs>
                <w:tab w:val="left" w:pos="3306"/>
              </w:tabs>
              <w:rPr>
                <w:rFonts w:cs="Calibri"/>
                <w:color w:val="7030A0"/>
                <w:sz w:val="14"/>
              </w:rPr>
            </w:pPr>
          </w:p>
        </w:tc>
        <w:tc>
          <w:tcPr>
            <w:tcW w:w="8930" w:type="dxa"/>
            <w:gridSpan w:val="6"/>
            <w:tcBorders>
              <w:left w:val="single" w:sz="2" w:space="0" w:color="auto"/>
            </w:tcBorders>
            <w:shd w:val="clear" w:color="auto" w:fill="auto"/>
            <w:vAlign w:val="bottom"/>
          </w:tcPr>
          <w:p w14:paraId="26746342" w14:textId="47F3E9AD" w:rsidR="00E85339" w:rsidRPr="00B01585" w:rsidRDefault="00332E05" w:rsidP="007672D1">
            <w:pPr>
              <w:spacing w:before="180"/>
              <w:jc w:val="both"/>
              <w:rPr>
                <w:b/>
                <w:sz w:val="18"/>
                <w:szCs w:val="18"/>
              </w:rPr>
            </w:pPr>
            <w:r w:rsidRPr="00B01585">
              <w:rPr>
                <w:b/>
                <w:sz w:val="18"/>
                <w:szCs w:val="18"/>
              </w:rPr>
              <w:t xml:space="preserve">(B) </w:t>
            </w:r>
            <w:r w:rsidR="00773A89" w:rsidRPr="00B01585">
              <w:rPr>
                <w:b/>
                <w:sz w:val="18"/>
                <w:szCs w:val="18"/>
              </w:rPr>
              <w:t>Key Management Personnel</w:t>
            </w:r>
          </w:p>
          <w:p w14:paraId="5A109E56" w14:textId="77777777" w:rsidR="00E85339" w:rsidRPr="00B01585" w:rsidRDefault="00332E05" w:rsidP="000C4F43">
            <w:pPr>
              <w:spacing w:before="120"/>
              <w:jc w:val="both"/>
              <w:rPr>
                <w:bCs/>
                <w:i/>
                <w:iCs/>
                <w:sz w:val="18"/>
                <w:szCs w:val="18"/>
              </w:rPr>
            </w:pPr>
            <w:r w:rsidRPr="00B01585">
              <w:rPr>
                <w:bCs/>
                <w:i/>
                <w:iCs/>
                <w:sz w:val="18"/>
                <w:szCs w:val="18"/>
              </w:rPr>
              <w:t xml:space="preserve">B.1 </w:t>
            </w:r>
            <w:r w:rsidR="00E85339" w:rsidRPr="00B01585">
              <w:rPr>
                <w:bCs/>
                <w:i/>
                <w:iCs/>
                <w:sz w:val="18"/>
                <w:szCs w:val="18"/>
              </w:rPr>
              <w:t>Compensation</w:t>
            </w:r>
            <w:r w:rsidR="00C00CD2" w:rsidRPr="00B01585">
              <w:rPr>
                <w:bCs/>
                <w:i/>
                <w:iCs/>
                <w:sz w:val="18"/>
                <w:szCs w:val="18"/>
              </w:rPr>
              <w:t xml:space="preserve"> of Key Management Personnel</w:t>
            </w:r>
          </w:p>
          <w:p w14:paraId="4A972E65" w14:textId="18B58391" w:rsidR="00C00CD2" w:rsidRPr="00B01585" w:rsidRDefault="00C00CD2" w:rsidP="000C4F43">
            <w:pPr>
              <w:spacing w:after="120"/>
              <w:jc w:val="both"/>
              <w:rPr>
                <w:sz w:val="18"/>
                <w:szCs w:val="18"/>
              </w:rPr>
            </w:pPr>
            <w:r w:rsidRPr="00B01585">
              <w:rPr>
                <w:sz w:val="18"/>
                <w:szCs w:val="18"/>
              </w:rPr>
              <w:t>Compensation of all Cabinet Ministers, including the Portfolio Minister, is disclosed in the note on related party disclosures included in the ACT</w:t>
            </w:r>
            <w:r w:rsidR="00E04F3C" w:rsidRPr="00B01585">
              <w:rPr>
                <w:sz w:val="18"/>
                <w:szCs w:val="18"/>
              </w:rPr>
              <w:t xml:space="preserve"> </w:t>
            </w:r>
            <w:r w:rsidRPr="00B01585">
              <w:rPr>
                <w:sz w:val="18"/>
                <w:szCs w:val="18"/>
              </w:rPr>
              <w:t xml:space="preserve">Executive’s financial statements for the year ended 30 June </w:t>
            </w:r>
            <w:r w:rsidR="007672D1" w:rsidRPr="00B01585">
              <w:rPr>
                <w:sz w:val="18"/>
                <w:szCs w:val="18"/>
              </w:rPr>
              <w:t>2022</w:t>
            </w:r>
            <w:r w:rsidRPr="00B01585">
              <w:rPr>
                <w:sz w:val="18"/>
                <w:szCs w:val="18"/>
              </w:rPr>
              <w:t>.</w:t>
            </w:r>
          </w:p>
          <w:p w14:paraId="1C990EDB" w14:textId="0B1D08DF" w:rsidR="00C00CD2" w:rsidRPr="00B01585" w:rsidRDefault="00C00CD2" w:rsidP="000C4F43">
            <w:pPr>
              <w:spacing w:after="120"/>
              <w:jc w:val="both"/>
              <w:rPr>
                <w:sz w:val="18"/>
                <w:szCs w:val="18"/>
              </w:rPr>
            </w:pPr>
            <w:r w:rsidRPr="00B01585">
              <w:rPr>
                <w:sz w:val="18"/>
                <w:szCs w:val="18"/>
              </w:rPr>
              <w:t xml:space="preserve">Compensation of the Head of Service is included in the note on related party disclosures included in the Chief Minister, Treasury and Economic Development Directorate’s (CMTEDD) financial statements for the year ended 30 June </w:t>
            </w:r>
            <w:r w:rsidR="007672D1" w:rsidRPr="00B01585">
              <w:rPr>
                <w:sz w:val="18"/>
                <w:szCs w:val="18"/>
              </w:rPr>
              <w:t>2022</w:t>
            </w:r>
            <w:r w:rsidRPr="00B01585">
              <w:rPr>
                <w:sz w:val="18"/>
                <w:szCs w:val="18"/>
              </w:rPr>
              <w:t>.</w:t>
            </w:r>
          </w:p>
          <w:p w14:paraId="22D46E90" w14:textId="5E70B05E" w:rsidR="00C00CD2" w:rsidRPr="00B01585" w:rsidRDefault="00C00CD2" w:rsidP="000C4F43">
            <w:pPr>
              <w:spacing w:after="120"/>
              <w:jc w:val="both"/>
              <w:rPr>
                <w:sz w:val="18"/>
                <w:szCs w:val="18"/>
                <w:highlight w:val="yellow"/>
              </w:rPr>
            </w:pPr>
            <w:r w:rsidRPr="00B01585">
              <w:rPr>
                <w:sz w:val="18"/>
                <w:szCs w:val="18"/>
              </w:rPr>
              <w:t>Two of the KMP of ‘</w:t>
            </w:r>
            <w:r w:rsidR="003B044B" w:rsidRPr="00B01585">
              <w:rPr>
                <w:sz w:val="18"/>
                <w:szCs w:val="18"/>
              </w:rPr>
              <w:t>Burley Griffin</w:t>
            </w:r>
            <w:r w:rsidR="003B044B" w:rsidRPr="00B01585">
              <w:rPr>
                <w:bCs/>
                <w:sz w:val="18"/>
                <w:szCs w:val="18"/>
              </w:rPr>
              <w:t xml:space="preserve"> </w:t>
            </w:r>
            <w:r w:rsidRPr="00B01585">
              <w:rPr>
                <w:sz w:val="18"/>
                <w:szCs w:val="18"/>
              </w:rPr>
              <w:t>Agency’ are employees of CMTEDD and are compensated by CMTEDD.</w:t>
            </w:r>
            <w:r w:rsidR="00FA7C77">
              <w:rPr>
                <w:sz w:val="18"/>
                <w:szCs w:val="18"/>
              </w:rPr>
              <w:t xml:space="preserve"> </w:t>
            </w:r>
            <w:r w:rsidR="001044B1" w:rsidRPr="00B01585">
              <w:rPr>
                <w:sz w:val="18"/>
                <w:szCs w:val="18"/>
              </w:rPr>
              <w:t xml:space="preserve">The first of these </w:t>
            </w:r>
            <w:r w:rsidR="001E78CA" w:rsidRPr="00B01585">
              <w:rPr>
                <w:sz w:val="18"/>
                <w:szCs w:val="18"/>
              </w:rPr>
              <w:t>was both a KMP of ‘Burley Griffin Agency’ and CMTEDD simultaneously throughout the current financial year.</w:t>
            </w:r>
            <w:r w:rsidR="00FA7C77">
              <w:rPr>
                <w:sz w:val="18"/>
                <w:szCs w:val="18"/>
              </w:rPr>
              <w:t xml:space="preserve"> </w:t>
            </w:r>
            <w:r w:rsidR="001E78CA" w:rsidRPr="00B01585">
              <w:rPr>
                <w:sz w:val="18"/>
                <w:szCs w:val="18"/>
              </w:rPr>
              <w:t xml:space="preserve">The compensation relating to this </w:t>
            </w:r>
            <w:r w:rsidR="00F605A5" w:rsidRPr="00B01585">
              <w:rPr>
                <w:sz w:val="18"/>
                <w:szCs w:val="18"/>
              </w:rPr>
              <w:t>KMP</w:t>
            </w:r>
            <w:r w:rsidR="001E78CA" w:rsidRPr="00B01585">
              <w:rPr>
                <w:sz w:val="18"/>
                <w:szCs w:val="18"/>
              </w:rPr>
              <w:t xml:space="preserve"> is included in CMTEDD</w:t>
            </w:r>
            <w:r w:rsidR="00F605A5" w:rsidRPr="00B01585">
              <w:rPr>
                <w:sz w:val="18"/>
                <w:szCs w:val="18"/>
              </w:rPr>
              <w:t>s</w:t>
            </w:r>
            <w:r w:rsidR="001E78CA" w:rsidRPr="00B01585">
              <w:rPr>
                <w:sz w:val="18"/>
                <w:szCs w:val="18"/>
              </w:rPr>
              <w:t xml:space="preserve"> </w:t>
            </w:r>
            <w:r w:rsidR="00F605A5" w:rsidRPr="00B01585">
              <w:rPr>
                <w:sz w:val="18"/>
                <w:szCs w:val="18"/>
              </w:rPr>
              <w:t>f</w:t>
            </w:r>
            <w:r w:rsidR="001E78CA" w:rsidRPr="00B01585">
              <w:rPr>
                <w:sz w:val="18"/>
                <w:szCs w:val="18"/>
              </w:rPr>
              <w:t>inancial Statemens</w:t>
            </w:r>
            <w:r w:rsidR="00454DAF" w:rsidRPr="00B01585">
              <w:rPr>
                <w:sz w:val="18"/>
                <w:szCs w:val="18"/>
              </w:rPr>
              <w:t>,</w:t>
            </w:r>
            <w:r w:rsidR="001E78CA" w:rsidRPr="00B01585">
              <w:rPr>
                <w:sz w:val="18"/>
                <w:szCs w:val="18"/>
              </w:rPr>
              <w:t xml:space="preserve"> and as such</w:t>
            </w:r>
            <w:r w:rsidR="00454DAF" w:rsidRPr="00B01585">
              <w:rPr>
                <w:sz w:val="18"/>
                <w:szCs w:val="18"/>
              </w:rPr>
              <w:t>,</w:t>
            </w:r>
            <w:r w:rsidR="001E78CA" w:rsidRPr="00B01585">
              <w:rPr>
                <w:sz w:val="18"/>
                <w:szCs w:val="18"/>
              </w:rPr>
              <w:t xml:space="preserve"> is not included in </w:t>
            </w:r>
            <w:r w:rsidR="00F605A5" w:rsidRPr="00B01585">
              <w:rPr>
                <w:sz w:val="18"/>
                <w:szCs w:val="18"/>
              </w:rPr>
              <w:t>this note</w:t>
            </w:r>
            <w:r w:rsidR="001E78CA" w:rsidRPr="00B01585">
              <w:rPr>
                <w:sz w:val="18"/>
                <w:szCs w:val="18"/>
              </w:rPr>
              <w:t xml:space="preserve">. </w:t>
            </w:r>
            <w:r w:rsidR="001044B1" w:rsidRPr="00B01585">
              <w:rPr>
                <w:sz w:val="18"/>
                <w:szCs w:val="18"/>
              </w:rPr>
              <w:t>The second KMP</w:t>
            </w:r>
            <w:r w:rsidR="00907607" w:rsidRPr="00B01585">
              <w:rPr>
                <w:sz w:val="18"/>
                <w:szCs w:val="18"/>
              </w:rPr>
              <w:t xml:space="preserve"> worked for ‘Burley Griffin Agency’</w:t>
            </w:r>
            <w:r w:rsidR="0061352E" w:rsidRPr="00B01585">
              <w:rPr>
                <w:sz w:val="18"/>
                <w:szCs w:val="18"/>
              </w:rPr>
              <w:t xml:space="preserve"> </w:t>
            </w:r>
            <w:r w:rsidR="004F3213" w:rsidRPr="00B01585">
              <w:rPr>
                <w:sz w:val="18"/>
                <w:szCs w:val="18"/>
              </w:rPr>
              <w:t xml:space="preserve">on secondment </w:t>
            </w:r>
            <w:r w:rsidR="00F605A5" w:rsidRPr="00B01585">
              <w:rPr>
                <w:sz w:val="18"/>
                <w:szCs w:val="18"/>
              </w:rPr>
              <w:t xml:space="preserve">from CMTEDD </w:t>
            </w:r>
            <w:r w:rsidR="0061352E" w:rsidRPr="00B01585">
              <w:rPr>
                <w:sz w:val="18"/>
                <w:szCs w:val="18"/>
              </w:rPr>
              <w:t xml:space="preserve">for </w:t>
            </w:r>
            <w:r w:rsidR="00F605A5" w:rsidRPr="00B01585">
              <w:rPr>
                <w:sz w:val="18"/>
                <w:szCs w:val="18"/>
              </w:rPr>
              <w:t>6 months o</w:t>
            </w:r>
            <w:r w:rsidR="0061352E" w:rsidRPr="00B01585">
              <w:rPr>
                <w:sz w:val="18"/>
                <w:szCs w:val="18"/>
              </w:rPr>
              <w:t>f the current financial year</w:t>
            </w:r>
            <w:r w:rsidR="00454DAF" w:rsidRPr="00B01585">
              <w:rPr>
                <w:sz w:val="18"/>
                <w:szCs w:val="18"/>
              </w:rPr>
              <w:t>,</w:t>
            </w:r>
            <w:r w:rsidR="0061352E" w:rsidRPr="00B01585">
              <w:rPr>
                <w:sz w:val="18"/>
                <w:szCs w:val="18"/>
              </w:rPr>
              <w:t xml:space="preserve"> </w:t>
            </w:r>
            <w:r w:rsidR="004F3213" w:rsidRPr="00B01585">
              <w:rPr>
                <w:sz w:val="18"/>
                <w:szCs w:val="18"/>
              </w:rPr>
              <w:t>and as such</w:t>
            </w:r>
            <w:r w:rsidR="00454DAF" w:rsidRPr="00B01585">
              <w:rPr>
                <w:sz w:val="18"/>
                <w:szCs w:val="18"/>
              </w:rPr>
              <w:t>,</w:t>
            </w:r>
            <w:r w:rsidR="004F3213" w:rsidRPr="00B01585">
              <w:rPr>
                <w:sz w:val="18"/>
                <w:szCs w:val="18"/>
              </w:rPr>
              <w:t xml:space="preserve"> the</w:t>
            </w:r>
            <w:r w:rsidR="0061352E" w:rsidRPr="00B01585">
              <w:rPr>
                <w:sz w:val="18"/>
                <w:szCs w:val="18"/>
              </w:rPr>
              <w:t xml:space="preserve"> amount of their</w:t>
            </w:r>
            <w:r w:rsidR="004F3213" w:rsidRPr="00B01585">
              <w:rPr>
                <w:sz w:val="18"/>
                <w:szCs w:val="18"/>
              </w:rPr>
              <w:t xml:space="preserve"> remuneration </w:t>
            </w:r>
            <w:r w:rsidR="0061352E" w:rsidRPr="00B01585">
              <w:rPr>
                <w:sz w:val="18"/>
                <w:szCs w:val="18"/>
              </w:rPr>
              <w:t>while on secondment is included in the table below.</w:t>
            </w:r>
            <w:r w:rsidR="00FA7C77">
              <w:rPr>
                <w:sz w:val="18"/>
                <w:szCs w:val="18"/>
              </w:rPr>
              <w:t xml:space="preserve"> </w:t>
            </w:r>
            <w:r w:rsidR="00F605A5" w:rsidRPr="00B01585">
              <w:rPr>
                <w:sz w:val="18"/>
                <w:szCs w:val="18"/>
              </w:rPr>
              <w:t>The compensation</w:t>
            </w:r>
            <w:r w:rsidR="0061352E" w:rsidRPr="00B01585">
              <w:rPr>
                <w:sz w:val="18"/>
                <w:szCs w:val="18"/>
              </w:rPr>
              <w:t xml:space="preserve"> </w:t>
            </w:r>
            <w:r w:rsidR="00F605A5" w:rsidRPr="00B01585">
              <w:rPr>
                <w:sz w:val="18"/>
                <w:szCs w:val="18"/>
              </w:rPr>
              <w:t xml:space="preserve">for the other 6 months of the financial </w:t>
            </w:r>
            <w:r w:rsidR="00454DAF" w:rsidRPr="00B01585">
              <w:rPr>
                <w:sz w:val="18"/>
                <w:szCs w:val="18"/>
              </w:rPr>
              <w:t xml:space="preserve">year </w:t>
            </w:r>
            <w:r w:rsidR="00F605A5" w:rsidRPr="00B01585">
              <w:rPr>
                <w:sz w:val="18"/>
                <w:szCs w:val="18"/>
              </w:rPr>
              <w:t xml:space="preserve">the KMP was </w:t>
            </w:r>
            <w:r w:rsidR="0061352E" w:rsidRPr="00B01585">
              <w:rPr>
                <w:sz w:val="18"/>
                <w:szCs w:val="18"/>
              </w:rPr>
              <w:t xml:space="preserve">not on secondment </w:t>
            </w:r>
            <w:r w:rsidR="00F605A5" w:rsidRPr="00B01585">
              <w:rPr>
                <w:sz w:val="18"/>
                <w:szCs w:val="18"/>
              </w:rPr>
              <w:t>is</w:t>
            </w:r>
            <w:r w:rsidR="0061352E" w:rsidRPr="00B01585">
              <w:rPr>
                <w:sz w:val="18"/>
                <w:szCs w:val="18"/>
              </w:rPr>
              <w:t xml:space="preserve"> included in the CMTEDD financial statements.</w:t>
            </w:r>
            <w:r w:rsidR="00FA7C77">
              <w:rPr>
                <w:sz w:val="18"/>
                <w:szCs w:val="18"/>
              </w:rPr>
              <w:t xml:space="preserve"> </w:t>
            </w:r>
          </w:p>
          <w:p w14:paraId="4AA25251" w14:textId="76815223" w:rsidR="00E85339" w:rsidRPr="00B01585" w:rsidRDefault="00E85339" w:rsidP="000C4F43">
            <w:pPr>
              <w:spacing w:before="120" w:after="120"/>
              <w:jc w:val="both"/>
              <w:rPr>
                <w:sz w:val="18"/>
                <w:szCs w:val="18"/>
              </w:rPr>
            </w:pPr>
            <w:r w:rsidRPr="00B01585">
              <w:rPr>
                <w:sz w:val="18"/>
                <w:szCs w:val="18"/>
              </w:rPr>
              <w:t>Compensation by ‘</w:t>
            </w:r>
            <w:r w:rsidR="003B044B" w:rsidRPr="00B01585">
              <w:rPr>
                <w:sz w:val="18"/>
                <w:szCs w:val="18"/>
              </w:rPr>
              <w:t>Burley Griffin</w:t>
            </w:r>
            <w:r w:rsidRPr="00B01585">
              <w:rPr>
                <w:sz w:val="18"/>
                <w:szCs w:val="18"/>
              </w:rPr>
              <w:t xml:space="preserve"> Agency’ </w:t>
            </w:r>
            <w:r w:rsidR="00C00CD2" w:rsidRPr="00B01585">
              <w:rPr>
                <w:sz w:val="18"/>
                <w:szCs w:val="18"/>
              </w:rPr>
              <w:t>to KMP is</w:t>
            </w:r>
            <w:r w:rsidRPr="00B01585">
              <w:rPr>
                <w:sz w:val="18"/>
                <w:szCs w:val="18"/>
              </w:rPr>
              <w:t xml:space="preserve"> set out below</w:t>
            </w:r>
            <w:r w:rsidR="00736911" w:rsidRPr="00B01585">
              <w:rPr>
                <w:sz w:val="18"/>
                <w:szCs w:val="18"/>
              </w:rPr>
              <w:t>:</w:t>
            </w:r>
            <w:r w:rsidRPr="00B01585">
              <w:rPr>
                <w:sz w:val="18"/>
                <w:szCs w:val="18"/>
              </w:rPr>
              <w:t xml:space="preserve"> </w:t>
            </w:r>
          </w:p>
        </w:tc>
      </w:tr>
      <w:tr w:rsidR="00677FFD" w:rsidRPr="001950C9" w14:paraId="1910A50E" w14:textId="77777777" w:rsidTr="0004564D">
        <w:tblPrEx>
          <w:shd w:val="clear" w:color="auto" w:fill="auto"/>
        </w:tblPrEx>
        <w:trPr>
          <w:gridAfter w:val="1"/>
          <w:wAfter w:w="9468" w:type="dxa"/>
          <w:trHeight w:val="127"/>
        </w:trPr>
        <w:tc>
          <w:tcPr>
            <w:tcW w:w="1562" w:type="dxa"/>
            <w:tcBorders>
              <w:left w:val="single" w:sz="2" w:space="0" w:color="auto"/>
              <w:right w:val="single" w:sz="2" w:space="0" w:color="auto"/>
            </w:tcBorders>
            <w:vAlign w:val="bottom"/>
          </w:tcPr>
          <w:p w14:paraId="7534F689"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3"/>
            <w:tcBorders>
              <w:left w:val="single" w:sz="2" w:space="0" w:color="auto"/>
            </w:tcBorders>
            <w:shd w:val="clear" w:color="auto" w:fill="auto"/>
            <w:vAlign w:val="bottom"/>
          </w:tcPr>
          <w:p w14:paraId="4E86BB8C" w14:textId="77777777" w:rsidR="00677FFD" w:rsidRPr="00B01585" w:rsidRDefault="00677FFD" w:rsidP="00677FFD">
            <w:pPr>
              <w:rPr>
                <w:b/>
                <w:sz w:val="18"/>
                <w:szCs w:val="18"/>
              </w:rPr>
            </w:pPr>
          </w:p>
        </w:tc>
        <w:tc>
          <w:tcPr>
            <w:tcW w:w="1560" w:type="dxa"/>
            <w:gridSpan w:val="2"/>
            <w:shd w:val="clear" w:color="auto" w:fill="auto"/>
            <w:vAlign w:val="bottom"/>
          </w:tcPr>
          <w:p w14:paraId="21D5BB02" w14:textId="0D19EE5B" w:rsidR="00677FFD" w:rsidRPr="00B01585" w:rsidRDefault="00677FFD" w:rsidP="00677FFD">
            <w:pPr>
              <w:jc w:val="right"/>
              <w:rPr>
                <w:b/>
                <w:sz w:val="18"/>
                <w:szCs w:val="18"/>
              </w:rPr>
            </w:pPr>
            <w:r w:rsidRPr="00B01585">
              <w:rPr>
                <w:rFonts w:cs="Calibri"/>
                <w:b/>
                <w:bCs/>
                <w:sz w:val="18"/>
                <w:szCs w:val="18"/>
              </w:rPr>
              <w:t>2022</w:t>
            </w:r>
            <w:r w:rsidR="00FA7C77">
              <w:rPr>
                <w:sz w:val="18"/>
                <w:szCs w:val="18"/>
              </w:rPr>
              <w:t xml:space="preserve"> </w:t>
            </w:r>
            <w:r w:rsidR="00FA7C77">
              <w:rPr>
                <w:sz w:val="18"/>
                <w:szCs w:val="18"/>
                <w:bdr w:val="single" w:sz="4" w:space="0" w:color="auto"/>
              </w:rPr>
              <w:t xml:space="preserve">                                                  </w:t>
            </w:r>
            <w:r w:rsidRPr="00B01585">
              <w:rPr>
                <w:sz w:val="18"/>
                <w:szCs w:val="18"/>
                <w:bdr w:val="single" w:sz="4" w:space="0" w:color="auto"/>
              </w:rPr>
              <w:t xml:space="preserve"> </w:t>
            </w:r>
            <w:r w:rsidRPr="00B01585">
              <w:rPr>
                <w:b/>
                <w:sz w:val="18"/>
                <w:szCs w:val="18"/>
              </w:rPr>
              <w:t>$’000</w:t>
            </w:r>
          </w:p>
        </w:tc>
        <w:tc>
          <w:tcPr>
            <w:tcW w:w="1559" w:type="dxa"/>
            <w:shd w:val="clear" w:color="auto" w:fill="auto"/>
            <w:vAlign w:val="bottom"/>
          </w:tcPr>
          <w:p w14:paraId="055894F0" w14:textId="22553BE6" w:rsidR="00677FFD" w:rsidRPr="00B01585" w:rsidRDefault="00677FFD" w:rsidP="00677FFD">
            <w:pPr>
              <w:jc w:val="right"/>
              <w:rPr>
                <w:b/>
                <w:sz w:val="18"/>
                <w:szCs w:val="18"/>
              </w:rPr>
            </w:pPr>
            <w:r w:rsidRPr="00B01585">
              <w:rPr>
                <w:b/>
                <w:sz w:val="18"/>
                <w:szCs w:val="18"/>
              </w:rPr>
              <w:t>2021</w:t>
            </w:r>
          </w:p>
          <w:p w14:paraId="0BE2DBA3" w14:textId="32565C02" w:rsidR="00677FFD" w:rsidRPr="00B01585" w:rsidRDefault="00677FFD" w:rsidP="00677FFD">
            <w:pPr>
              <w:jc w:val="right"/>
              <w:rPr>
                <w:b/>
                <w:sz w:val="18"/>
                <w:szCs w:val="18"/>
              </w:rPr>
            </w:pPr>
            <w:r w:rsidRPr="00B01585">
              <w:rPr>
                <w:b/>
                <w:sz w:val="18"/>
                <w:szCs w:val="18"/>
              </w:rPr>
              <w:t>$’000</w:t>
            </w:r>
          </w:p>
        </w:tc>
      </w:tr>
      <w:tr w:rsidR="00677FFD" w:rsidRPr="001950C9" w14:paraId="07E1AE2C" w14:textId="77777777" w:rsidTr="0004564D">
        <w:tblPrEx>
          <w:shd w:val="clear" w:color="auto" w:fill="auto"/>
        </w:tblPrEx>
        <w:trPr>
          <w:gridAfter w:val="1"/>
          <w:wAfter w:w="9468" w:type="dxa"/>
          <w:trHeight w:val="127"/>
        </w:trPr>
        <w:tc>
          <w:tcPr>
            <w:tcW w:w="1562" w:type="dxa"/>
            <w:tcBorders>
              <w:left w:val="single" w:sz="2" w:space="0" w:color="auto"/>
              <w:right w:val="single" w:sz="2" w:space="0" w:color="auto"/>
            </w:tcBorders>
            <w:vAlign w:val="bottom"/>
          </w:tcPr>
          <w:p w14:paraId="1EED35E3"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3"/>
            <w:tcBorders>
              <w:left w:val="single" w:sz="2" w:space="0" w:color="auto"/>
            </w:tcBorders>
            <w:shd w:val="clear" w:color="auto" w:fill="auto"/>
            <w:vAlign w:val="bottom"/>
          </w:tcPr>
          <w:p w14:paraId="0D3915B7" w14:textId="77777777" w:rsidR="00677FFD" w:rsidRPr="00B01585" w:rsidRDefault="00677FFD" w:rsidP="00677FFD">
            <w:pPr>
              <w:rPr>
                <w:b/>
                <w:sz w:val="18"/>
                <w:szCs w:val="18"/>
              </w:rPr>
            </w:pPr>
          </w:p>
        </w:tc>
        <w:tc>
          <w:tcPr>
            <w:tcW w:w="1560" w:type="dxa"/>
            <w:gridSpan w:val="2"/>
            <w:shd w:val="clear" w:color="auto" w:fill="auto"/>
            <w:vAlign w:val="bottom"/>
          </w:tcPr>
          <w:p w14:paraId="6202D58F" w14:textId="77777777" w:rsidR="00677FFD" w:rsidRPr="00B01585" w:rsidRDefault="00677FFD" w:rsidP="00677FFD">
            <w:pPr>
              <w:rPr>
                <w:b/>
                <w:sz w:val="18"/>
                <w:szCs w:val="18"/>
              </w:rPr>
            </w:pPr>
          </w:p>
        </w:tc>
        <w:tc>
          <w:tcPr>
            <w:tcW w:w="1559" w:type="dxa"/>
            <w:shd w:val="clear" w:color="auto" w:fill="auto"/>
            <w:vAlign w:val="bottom"/>
          </w:tcPr>
          <w:p w14:paraId="21C7C51D" w14:textId="77777777" w:rsidR="00677FFD" w:rsidRPr="00B01585" w:rsidRDefault="00677FFD" w:rsidP="00677FFD">
            <w:pPr>
              <w:rPr>
                <w:b/>
                <w:sz w:val="18"/>
                <w:szCs w:val="18"/>
              </w:rPr>
            </w:pPr>
          </w:p>
        </w:tc>
      </w:tr>
      <w:tr w:rsidR="00677FFD" w:rsidRPr="001950C9" w14:paraId="1C0B9175" w14:textId="77777777" w:rsidTr="0004564D">
        <w:tblPrEx>
          <w:shd w:val="clear" w:color="auto" w:fill="auto"/>
        </w:tblPrEx>
        <w:trPr>
          <w:gridAfter w:val="1"/>
          <w:wAfter w:w="9468" w:type="dxa"/>
          <w:trHeight w:val="127"/>
        </w:trPr>
        <w:tc>
          <w:tcPr>
            <w:tcW w:w="1562" w:type="dxa"/>
            <w:tcBorders>
              <w:left w:val="single" w:sz="2" w:space="0" w:color="auto"/>
              <w:right w:val="single" w:sz="2" w:space="0" w:color="auto"/>
            </w:tcBorders>
            <w:vAlign w:val="bottom"/>
          </w:tcPr>
          <w:p w14:paraId="1FC2D40C"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3"/>
            <w:tcBorders>
              <w:left w:val="single" w:sz="2" w:space="0" w:color="auto"/>
            </w:tcBorders>
            <w:shd w:val="clear" w:color="auto" w:fill="auto"/>
            <w:vAlign w:val="bottom"/>
          </w:tcPr>
          <w:p w14:paraId="104D90A7" w14:textId="0B088A4E" w:rsidR="00677FFD" w:rsidRPr="00B01585" w:rsidRDefault="00677FFD" w:rsidP="00677FFD">
            <w:pPr>
              <w:rPr>
                <w:b/>
                <w:sz w:val="18"/>
                <w:szCs w:val="18"/>
              </w:rPr>
            </w:pPr>
            <w:r w:rsidRPr="00B01585">
              <w:rPr>
                <w:sz w:val="18"/>
                <w:szCs w:val="18"/>
              </w:rPr>
              <w:t>Short-term employee benefits</w:t>
            </w:r>
          </w:p>
        </w:tc>
        <w:tc>
          <w:tcPr>
            <w:tcW w:w="1560" w:type="dxa"/>
            <w:gridSpan w:val="2"/>
            <w:shd w:val="clear" w:color="auto" w:fill="auto"/>
            <w:vAlign w:val="bottom"/>
          </w:tcPr>
          <w:p w14:paraId="0AB3044E" w14:textId="77777777" w:rsidR="00677FFD" w:rsidRPr="00B01585" w:rsidRDefault="00677FFD" w:rsidP="00677FFD">
            <w:pPr>
              <w:rPr>
                <w:b/>
                <w:sz w:val="18"/>
                <w:szCs w:val="18"/>
              </w:rPr>
            </w:pPr>
          </w:p>
        </w:tc>
        <w:tc>
          <w:tcPr>
            <w:tcW w:w="1559" w:type="dxa"/>
            <w:shd w:val="clear" w:color="auto" w:fill="auto"/>
            <w:vAlign w:val="bottom"/>
          </w:tcPr>
          <w:p w14:paraId="10B8C934" w14:textId="77777777" w:rsidR="00677FFD" w:rsidRPr="00B01585" w:rsidRDefault="00677FFD" w:rsidP="00677FFD">
            <w:pPr>
              <w:rPr>
                <w:b/>
                <w:sz w:val="18"/>
                <w:szCs w:val="18"/>
              </w:rPr>
            </w:pPr>
          </w:p>
        </w:tc>
      </w:tr>
      <w:tr w:rsidR="00677FFD" w:rsidRPr="001950C9" w14:paraId="1DE64C95" w14:textId="77777777" w:rsidTr="0004564D">
        <w:tblPrEx>
          <w:shd w:val="clear" w:color="auto" w:fill="auto"/>
        </w:tblPrEx>
        <w:trPr>
          <w:gridAfter w:val="1"/>
          <w:wAfter w:w="9468" w:type="dxa"/>
          <w:trHeight w:val="127"/>
        </w:trPr>
        <w:tc>
          <w:tcPr>
            <w:tcW w:w="1562" w:type="dxa"/>
            <w:tcBorders>
              <w:left w:val="single" w:sz="2" w:space="0" w:color="auto"/>
              <w:right w:val="single" w:sz="2" w:space="0" w:color="auto"/>
            </w:tcBorders>
            <w:vAlign w:val="bottom"/>
          </w:tcPr>
          <w:p w14:paraId="28013C4D"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3"/>
            <w:tcBorders>
              <w:left w:val="single" w:sz="2" w:space="0" w:color="auto"/>
            </w:tcBorders>
            <w:shd w:val="clear" w:color="auto" w:fill="auto"/>
            <w:vAlign w:val="bottom"/>
          </w:tcPr>
          <w:p w14:paraId="52730D0B" w14:textId="1D7F2FEA" w:rsidR="00677FFD" w:rsidRPr="00B01585" w:rsidRDefault="00677FFD" w:rsidP="00677FFD">
            <w:pPr>
              <w:rPr>
                <w:b/>
                <w:sz w:val="18"/>
                <w:szCs w:val="18"/>
              </w:rPr>
            </w:pPr>
            <w:r w:rsidRPr="00B01585">
              <w:rPr>
                <w:sz w:val="18"/>
                <w:szCs w:val="18"/>
              </w:rPr>
              <w:t>Post-employment benefits</w:t>
            </w:r>
          </w:p>
        </w:tc>
        <w:tc>
          <w:tcPr>
            <w:tcW w:w="1560" w:type="dxa"/>
            <w:gridSpan w:val="2"/>
            <w:shd w:val="clear" w:color="auto" w:fill="auto"/>
            <w:vAlign w:val="bottom"/>
          </w:tcPr>
          <w:p w14:paraId="22C84C3E" w14:textId="77777777" w:rsidR="00677FFD" w:rsidRPr="00B01585" w:rsidRDefault="00677FFD" w:rsidP="00677FFD">
            <w:pPr>
              <w:rPr>
                <w:b/>
                <w:sz w:val="18"/>
                <w:szCs w:val="18"/>
              </w:rPr>
            </w:pPr>
          </w:p>
        </w:tc>
        <w:tc>
          <w:tcPr>
            <w:tcW w:w="1559" w:type="dxa"/>
            <w:shd w:val="clear" w:color="auto" w:fill="auto"/>
            <w:vAlign w:val="bottom"/>
          </w:tcPr>
          <w:p w14:paraId="7921B9EA" w14:textId="77777777" w:rsidR="00677FFD" w:rsidRPr="00B01585" w:rsidRDefault="00677FFD" w:rsidP="00677FFD">
            <w:pPr>
              <w:rPr>
                <w:b/>
                <w:sz w:val="18"/>
                <w:szCs w:val="18"/>
              </w:rPr>
            </w:pPr>
          </w:p>
        </w:tc>
      </w:tr>
      <w:tr w:rsidR="00677FFD" w:rsidRPr="001950C9" w14:paraId="6956DD1D" w14:textId="77777777" w:rsidTr="0004564D">
        <w:tblPrEx>
          <w:shd w:val="clear" w:color="auto" w:fill="auto"/>
        </w:tblPrEx>
        <w:trPr>
          <w:gridAfter w:val="1"/>
          <w:wAfter w:w="9468" w:type="dxa"/>
          <w:trHeight w:val="127"/>
        </w:trPr>
        <w:tc>
          <w:tcPr>
            <w:tcW w:w="1562" w:type="dxa"/>
            <w:tcBorders>
              <w:left w:val="single" w:sz="2" w:space="0" w:color="auto"/>
              <w:right w:val="single" w:sz="2" w:space="0" w:color="auto"/>
            </w:tcBorders>
            <w:vAlign w:val="bottom"/>
          </w:tcPr>
          <w:p w14:paraId="739C1202"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3"/>
            <w:tcBorders>
              <w:left w:val="single" w:sz="2" w:space="0" w:color="auto"/>
            </w:tcBorders>
            <w:shd w:val="clear" w:color="auto" w:fill="auto"/>
            <w:vAlign w:val="bottom"/>
          </w:tcPr>
          <w:p w14:paraId="456BBB35" w14:textId="764F9E2D" w:rsidR="00677FFD" w:rsidRPr="00B01585" w:rsidRDefault="00677FFD" w:rsidP="00677FFD">
            <w:pPr>
              <w:rPr>
                <w:b/>
                <w:sz w:val="18"/>
                <w:szCs w:val="18"/>
              </w:rPr>
            </w:pPr>
            <w:r w:rsidRPr="00B01585">
              <w:rPr>
                <w:sz w:val="18"/>
                <w:szCs w:val="18"/>
              </w:rPr>
              <w:t>Other long-term benefits</w:t>
            </w:r>
          </w:p>
        </w:tc>
        <w:tc>
          <w:tcPr>
            <w:tcW w:w="1560" w:type="dxa"/>
            <w:gridSpan w:val="2"/>
            <w:shd w:val="clear" w:color="auto" w:fill="auto"/>
            <w:vAlign w:val="bottom"/>
          </w:tcPr>
          <w:p w14:paraId="50F9AA0F" w14:textId="77777777" w:rsidR="00677FFD" w:rsidRPr="00B01585" w:rsidRDefault="00677FFD" w:rsidP="00677FFD">
            <w:pPr>
              <w:rPr>
                <w:b/>
                <w:sz w:val="18"/>
                <w:szCs w:val="18"/>
              </w:rPr>
            </w:pPr>
          </w:p>
        </w:tc>
        <w:tc>
          <w:tcPr>
            <w:tcW w:w="1559" w:type="dxa"/>
            <w:shd w:val="clear" w:color="auto" w:fill="auto"/>
            <w:vAlign w:val="bottom"/>
          </w:tcPr>
          <w:p w14:paraId="14FDD812" w14:textId="77777777" w:rsidR="00677FFD" w:rsidRPr="00B01585" w:rsidRDefault="00677FFD" w:rsidP="00677FFD">
            <w:pPr>
              <w:rPr>
                <w:b/>
                <w:sz w:val="18"/>
                <w:szCs w:val="18"/>
              </w:rPr>
            </w:pPr>
          </w:p>
        </w:tc>
      </w:tr>
      <w:tr w:rsidR="00677FFD" w:rsidRPr="001950C9" w14:paraId="64EC2302" w14:textId="77777777" w:rsidTr="0004564D">
        <w:tblPrEx>
          <w:shd w:val="clear" w:color="auto" w:fill="auto"/>
        </w:tblPrEx>
        <w:trPr>
          <w:gridAfter w:val="1"/>
          <w:wAfter w:w="9468" w:type="dxa"/>
          <w:trHeight w:val="127"/>
        </w:trPr>
        <w:tc>
          <w:tcPr>
            <w:tcW w:w="1562" w:type="dxa"/>
            <w:tcBorders>
              <w:left w:val="single" w:sz="2" w:space="0" w:color="auto"/>
              <w:right w:val="single" w:sz="2" w:space="0" w:color="auto"/>
            </w:tcBorders>
            <w:vAlign w:val="bottom"/>
          </w:tcPr>
          <w:p w14:paraId="6F9498CE"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3"/>
            <w:tcBorders>
              <w:left w:val="single" w:sz="2" w:space="0" w:color="auto"/>
            </w:tcBorders>
            <w:shd w:val="clear" w:color="auto" w:fill="auto"/>
            <w:vAlign w:val="bottom"/>
          </w:tcPr>
          <w:p w14:paraId="32B714F1" w14:textId="34F71763" w:rsidR="00677FFD" w:rsidRPr="00B01585" w:rsidRDefault="00677FFD" w:rsidP="00677FFD">
            <w:pPr>
              <w:rPr>
                <w:b/>
                <w:sz w:val="18"/>
                <w:szCs w:val="18"/>
              </w:rPr>
            </w:pPr>
            <w:r w:rsidRPr="00B01585">
              <w:rPr>
                <w:sz w:val="18"/>
                <w:szCs w:val="18"/>
              </w:rPr>
              <w:t>Termination benefits</w:t>
            </w:r>
          </w:p>
        </w:tc>
        <w:tc>
          <w:tcPr>
            <w:tcW w:w="1560" w:type="dxa"/>
            <w:gridSpan w:val="2"/>
            <w:shd w:val="clear" w:color="auto" w:fill="auto"/>
            <w:vAlign w:val="bottom"/>
          </w:tcPr>
          <w:p w14:paraId="34AB3000" w14:textId="77777777" w:rsidR="00677FFD" w:rsidRPr="00B01585" w:rsidRDefault="00677FFD" w:rsidP="00677FFD">
            <w:pPr>
              <w:rPr>
                <w:b/>
                <w:sz w:val="18"/>
                <w:szCs w:val="18"/>
              </w:rPr>
            </w:pPr>
          </w:p>
        </w:tc>
        <w:tc>
          <w:tcPr>
            <w:tcW w:w="1559" w:type="dxa"/>
            <w:shd w:val="clear" w:color="auto" w:fill="auto"/>
            <w:vAlign w:val="bottom"/>
          </w:tcPr>
          <w:p w14:paraId="265D50A9" w14:textId="77777777" w:rsidR="00677FFD" w:rsidRPr="00B01585" w:rsidRDefault="00677FFD" w:rsidP="00677FFD">
            <w:pPr>
              <w:rPr>
                <w:b/>
                <w:sz w:val="18"/>
                <w:szCs w:val="18"/>
              </w:rPr>
            </w:pPr>
          </w:p>
        </w:tc>
      </w:tr>
      <w:tr w:rsidR="00677FFD" w:rsidRPr="001950C9" w14:paraId="730E5520" w14:textId="77777777" w:rsidTr="0004564D">
        <w:tblPrEx>
          <w:shd w:val="clear" w:color="auto" w:fill="auto"/>
        </w:tblPrEx>
        <w:trPr>
          <w:gridAfter w:val="1"/>
          <w:wAfter w:w="9468" w:type="dxa"/>
          <w:trHeight w:val="127"/>
        </w:trPr>
        <w:tc>
          <w:tcPr>
            <w:tcW w:w="1562" w:type="dxa"/>
            <w:tcBorders>
              <w:left w:val="single" w:sz="2" w:space="0" w:color="auto"/>
              <w:right w:val="single" w:sz="2" w:space="0" w:color="auto"/>
            </w:tcBorders>
            <w:vAlign w:val="bottom"/>
          </w:tcPr>
          <w:p w14:paraId="2907385D" w14:textId="77777777" w:rsidR="00677FFD" w:rsidRPr="00686828" w:rsidRDefault="00677FFD" w:rsidP="00677FFD">
            <w:pPr>
              <w:pStyle w:val="TableReference"/>
              <w:tabs>
                <w:tab w:val="left" w:pos="3306"/>
              </w:tabs>
              <w:rPr>
                <w:rFonts w:cs="Calibri"/>
                <w:color w:val="7030A0"/>
                <w:sz w:val="18"/>
                <w:szCs w:val="18"/>
              </w:rPr>
            </w:pPr>
          </w:p>
        </w:tc>
        <w:tc>
          <w:tcPr>
            <w:tcW w:w="5811" w:type="dxa"/>
            <w:gridSpan w:val="3"/>
            <w:tcBorders>
              <w:left w:val="single" w:sz="2" w:space="0" w:color="auto"/>
            </w:tcBorders>
            <w:shd w:val="clear" w:color="auto" w:fill="auto"/>
            <w:vAlign w:val="bottom"/>
          </w:tcPr>
          <w:p w14:paraId="150A1C3B" w14:textId="0E0BD34C" w:rsidR="00677FFD" w:rsidRPr="00B01585" w:rsidRDefault="00677FFD" w:rsidP="00677FFD">
            <w:pPr>
              <w:rPr>
                <w:b/>
                <w:sz w:val="18"/>
                <w:szCs w:val="18"/>
              </w:rPr>
            </w:pPr>
            <w:r w:rsidRPr="00B01585">
              <w:rPr>
                <w:sz w:val="18"/>
                <w:szCs w:val="18"/>
              </w:rPr>
              <w:t>Board member fees</w:t>
            </w:r>
          </w:p>
        </w:tc>
        <w:tc>
          <w:tcPr>
            <w:tcW w:w="1560" w:type="dxa"/>
            <w:gridSpan w:val="2"/>
            <w:tcBorders>
              <w:bottom w:val="single" w:sz="4" w:space="0" w:color="auto"/>
            </w:tcBorders>
            <w:shd w:val="clear" w:color="auto" w:fill="auto"/>
            <w:vAlign w:val="bottom"/>
          </w:tcPr>
          <w:p w14:paraId="3FE9D21C" w14:textId="77777777" w:rsidR="00677FFD" w:rsidRPr="00B01585" w:rsidRDefault="00677FFD" w:rsidP="00677FFD">
            <w:pPr>
              <w:rPr>
                <w:b/>
                <w:sz w:val="18"/>
                <w:szCs w:val="18"/>
              </w:rPr>
            </w:pPr>
          </w:p>
        </w:tc>
        <w:tc>
          <w:tcPr>
            <w:tcW w:w="1559" w:type="dxa"/>
            <w:tcBorders>
              <w:bottom w:val="single" w:sz="4" w:space="0" w:color="auto"/>
            </w:tcBorders>
            <w:shd w:val="clear" w:color="auto" w:fill="auto"/>
            <w:vAlign w:val="bottom"/>
          </w:tcPr>
          <w:p w14:paraId="082E4B60" w14:textId="77777777" w:rsidR="00677FFD" w:rsidRPr="00B01585" w:rsidRDefault="00677FFD" w:rsidP="00677FFD">
            <w:pPr>
              <w:rPr>
                <w:b/>
                <w:sz w:val="18"/>
                <w:szCs w:val="18"/>
              </w:rPr>
            </w:pPr>
          </w:p>
        </w:tc>
      </w:tr>
      <w:tr w:rsidR="00677FFD" w:rsidRPr="001950C9" w14:paraId="6A0983EE" w14:textId="77777777" w:rsidTr="0004564D">
        <w:tblPrEx>
          <w:shd w:val="clear" w:color="auto" w:fill="auto"/>
        </w:tblPrEx>
        <w:trPr>
          <w:gridAfter w:val="1"/>
          <w:wAfter w:w="9468" w:type="dxa"/>
          <w:trHeight w:val="277"/>
        </w:trPr>
        <w:tc>
          <w:tcPr>
            <w:tcW w:w="1562" w:type="dxa"/>
            <w:tcBorders>
              <w:left w:val="single" w:sz="2" w:space="0" w:color="auto"/>
              <w:right w:val="single" w:sz="2" w:space="0" w:color="auto"/>
            </w:tcBorders>
            <w:vAlign w:val="bottom"/>
          </w:tcPr>
          <w:p w14:paraId="544D4492" w14:textId="7EEE690E" w:rsidR="00677FFD" w:rsidRPr="00686828" w:rsidRDefault="00677FFD" w:rsidP="00677FFD">
            <w:pPr>
              <w:pStyle w:val="TableReference"/>
              <w:tabs>
                <w:tab w:val="left" w:pos="3306"/>
              </w:tabs>
              <w:rPr>
                <w:rFonts w:cs="Calibri"/>
                <w:color w:val="7030A0"/>
                <w:sz w:val="18"/>
                <w:szCs w:val="18"/>
              </w:rPr>
            </w:pPr>
            <w:r w:rsidRPr="00686828">
              <w:rPr>
                <w:rFonts w:cs="Calibri"/>
                <w:color w:val="7030A0"/>
                <w:sz w:val="14"/>
              </w:rPr>
              <w:t>AASB 124.17</w:t>
            </w:r>
          </w:p>
        </w:tc>
        <w:tc>
          <w:tcPr>
            <w:tcW w:w="5811" w:type="dxa"/>
            <w:gridSpan w:val="3"/>
            <w:tcBorders>
              <w:left w:val="single" w:sz="2" w:space="0" w:color="auto"/>
            </w:tcBorders>
            <w:shd w:val="clear" w:color="auto" w:fill="auto"/>
            <w:vAlign w:val="bottom"/>
          </w:tcPr>
          <w:p w14:paraId="334C82CF" w14:textId="461FE800" w:rsidR="00677FFD" w:rsidRPr="00B01585" w:rsidRDefault="00677FFD" w:rsidP="00677FFD">
            <w:pPr>
              <w:rPr>
                <w:b/>
                <w:sz w:val="18"/>
                <w:szCs w:val="18"/>
              </w:rPr>
            </w:pPr>
            <w:r w:rsidRPr="00B01585">
              <w:rPr>
                <w:b/>
                <w:sz w:val="18"/>
                <w:szCs w:val="18"/>
              </w:rPr>
              <w:t>Total Compensation to KMP</w:t>
            </w:r>
          </w:p>
        </w:tc>
        <w:tc>
          <w:tcPr>
            <w:tcW w:w="1560" w:type="dxa"/>
            <w:gridSpan w:val="2"/>
            <w:tcBorders>
              <w:top w:val="single" w:sz="4" w:space="0" w:color="auto"/>
              <w:bottom w:val="double" w:sz="4" w:space="0" w:color="auto"/>
            </w:tcBorders>
            <w:shd w:val="clear" w:color="auto" w:fill="auto"/>
            <w:vAlign w:val="bottom"/>
          </w:tcPr>
          <w:p w14:paraId="19431D03" w14:textId="77777777" w:rsidR="00677FFD" w:rsidRPr="00B01585" w:rsidRDefault="00677FFD" w:rsidP="00677FFD">
            <w:pPr>
              <w:rPr>
                <w:b/>
                <w:sz w:val="18"/>
                <w:szCs w:val="18"/>
              </w:rPr>
            </w:pPr>
          </w:p>
        </w:tc>
        <w:tc>
          <w:tcPr>
            <w:tcW w:w="1559" w:type="dxa"/>
            <w:tcBorders>
              <w:top w:val="single" w:sz="4" w:space="0" w:color="auto"/>
              <w:bottom w:val="double" w:sz="4" w:space="0" w:color="auto"/>
            </w:tcBorders>
            <w:shd w:val="clear" w:color="auto" w:fill="auto"/>
            <w:vAlign w:val="bottom"/>
          </w:tcPr>
          <w:p w14:paraId="3EBCBF73" w14:textId="77777777" w:rsidR="00677FFD" w:rsidRPr="00B01585" w:rsidRDefault="00677FFD" w:rsidP="00677FFD">
            <w:pPr>
              <w:rPr>
                <w:b/>
                <w:sz w:val="18"/>
                <w:szCs w:val="18"/>
              </w:rPr>
            </w:pPr>
          </w:p>
        </w:tc>
      </w:tr>
      <w:tr w:rsidR="000A1EDA" w:rsidRPr="001950C9" w14:paraId="3EC3BDC6"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1EEFC5CE" w14:textId="77777777" w:rsidR="000A1EDA" w:rsidRPr="00B01585" w:rsidRDefault="000A1EDA" w:rsidP="00DA5473">
            <w:pPr>
              <w:pStyle w:val="TableReference"/>
              <w:tabs>
                <w:tab w:val="left" w:pos="3306"/>
              </w:tabs>
              <w:spacing w:before="240" w:after="240"/>
              <w:rPr>
                <w:rFonts w:cs="Calibri"/>
                <w:b/>
                <w:color w:val="7030A0"/>
                <w:sz w:val="22"/>
                <w:szCs w:val="22"/>
              </w:rPr>
            </w:pPr>
            <w:r w:rsidRPr="00B01585">
              <w:rPr>
                <w:color w:val="7030A0"/>
                <w:sz w:val="24"/>
                <w:szCs w:val="16"/>
              </w:rPr>
              <w:br w:type="page"/>
            </w:r>
            <w:r w:rsidRPr="00B01585">
              <w:rPr>
                <w:b/>
                <w:color w:val="7030A0"/>
                <w:sz w:val="22"/>
                <w:szCs w:val="22"/>
              </w:rPr>
              <w:t>Reference</w:t>
            </w:r>
          </w:p>
        </w:tc>
        <w:tc>
          <w:tcPr>
            <w:tcW w:w="8930" w:type="dxa"/>
            <w:gridSpan w:val="6"/>
            <w:tcBorders>
              <w:left w:val="single" w:sz="4" w:space="0" w:color="auto"/>
            </w:tcBorders>
            <w:shd w:val="clear" w:color="auto" w:fill="auto"/>
            <w:vAlign w:val="bottom"/>
          </w:tcPr>
          <w:p w14:paraId="6F843A76" w14:textId="77777777" w:rsidR="000A1EDA" w:rsidRPr="0051081B" w:rsidRDefault="000A1EDA" w:rsidP="00DA5473">
            <w:pPr>
              <w:spacing w:before="240" w:after="240"/>
              <w:rPr>
                <w:rFonts w:ascii="Arial" w:hAnsi="Arial" w:cs="Arial"/>
                <w:b/>
                <w:sz w:val="32"/>
                <w:szCs w:val="32"/>
              </w:rPr>
            </w:pPr>
            <w:r w:rsidRPr="0051081B">
              <w:rPr>
                <w:rFonts w:ascii="Arial" w:hAnsi="Arial" w:cs="Arial"/>
                <w:b/>
                <w:sz w:val="32"/>
                <w:szCs w:val="32"/>
              </w:rPr>
              <w:t>NOTE 38.</w:t>
            </w:r>
            <w:r>
              <w:rPr>
                <w:rFonts w:ascii="Arial" w:hAnsi="Arial" w:cs="Arial"/>
                <w:b/>
                <w:sz w:val="32"/>
                <w:szCs w:val="32"/>
              </w:rPr>
              <w:t xml:space="preserve"> </w:t>
            </w:r>
            <w:r w:rsidRPr="0051081B">
              <w:rPr>
                <w:rFonts w:ascii="Arial" w:hAnsi="Arial" w:cs="Arial"/>
                <w:b/>
                <w:sz w:val="32"/>
                <w:szCs w:val="32"/>
              </w:rPr>
              <w:t xml:space="preserve"> RELATED PARTY DISCLOSURES – CONTINUED </w:t>
            </w:r>
          </w:p>
        </w:tc>
      </w:tr>
      <w:tr w:rsidR="00F12490" w:rsidRPr="00DD48C5" w14:paraId="448F6CA2"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421340B1" w14:textId="7A72B643" w:rsidR="00F12490" w:rsidRPr="00686828" w:rsidRDefault="00F12490" w:rsidP="00F12490">
            <w:pPr>
              <w:pStyle w:val="TableReference"/>
              <w:tabs>
                <w:tab w:val="left" w:pos="3306"/>
              </w:tabs>
              <w:spacing w:before="240"/>
              <w:rPr>
                <w:rFonts w:cs="Calibri"/>
                <w:color w:val="7030A0"/>
                <w:sz w:val="14"/>
              </w:rPr>
            </w:pPr>
            <w:r w:rsidRPr="00686828">
              <w:rPr>
                <w:rFonts w:cs="Calibri"/>
                <w:color w:val="7030A0"/>
                <w:sz w:val="14"/>
              </w:rPr>
              <w:t>AASB</w:t>
            </w:r>
            <w:r w:rsidR="002E25E6" w:rsidRPr="00686828">
              <w:rPr>
                <w:rFonts w:cs="Calibri"/>
                <w:color w:val="7030A0"/>
                <w:sz w:val="14"/>
              </w:rPr>
              <w:t xml:space="preserve"> </w:t>
            </w:r>
            <w:r w:rsidRPr="00686828">
              <w:rPr>
                <w:rFonts w:cs="Calibri"/>
                <w:color w:val="7030A0"/>
                <w:sz w:val="14"/>
              </w:rPr>
              <w:t>124.18 to 21</w:t>
            </w:r>
          </w:p>
        </w:tc>
        <w:tc>
          <w:tcPr>
            <w:tcW w:w="8930" w:type="dxa"/>
            <w:gridSpan w:val="6"/>
            <w:tcBorders>
              <w:left w:val="single" w:sz="4" w:space="0" w:color="auto"/>
            </w:tcBorders>
            <w:shd w:val="clear" w:color="auto" w:fill="auto"/>
            <w:vAlign w:val="bottom"/>
          </w:tcPr>
          <w:p w14:paraId="77A59A71" w14:textId="77777777" w:rsidR="00F12490" w:rsidRPr="00B01585" w:rsidRDefault="00F12490" w:rsidP="007672D1">
            <w:pPr>
              <w:spacing w:before="180"/>
              <w:rPr>
                <w:bCs/>
                <w:i/>
                <w:iCs/>
                <w:sz w:val="18"/>
                <w:szCs w:val="18"/>
              </w:rPr>
            </w:pPr>
            <w:r w:rsidRPr="00B01585">
              <w:rPr>
                <w:bCs/>
                <w:i/>
                <w:iCs/>
                <w:sz w:val="18"/>
                <w:szCs w:val="18"/>
              </w:rPr>
              <w:t>B.2 Transactions with Key Management Personnel</w:t>
            </w:r>
          </w:p>
          <w:p w14:paraId="2722E095" w14:textId="65DCC3D5" w:rsidR="0022564C" w:rsidRPr="0009580B" w:rsidRDefault="009573A0" w:rsidP="0022564C">
            <w:pPr>
              <w:spacing w:after="120"/>
              <w:jc w:val="both"/>
            </w:pPr>
            <w:r w:rsidRPr="00B01585">
              <w:rPr>
                <w:sz w:val="18"/>
                <w:szCs w:val="18"/>
              </w:rPr>
              <w:t>No disclosure is required for typical citizen transactions between the KMP and ‘</w:t>
            </w:r>
            <w:r w:rsidR="003B044B" w:rsidRPr="00B01585">
              <w:rPr>
                <w:sz w:val="18"/>
                <w:szCs w:val="18"/>
              </w:rPr>
              <w:t>Burley Griffin</w:t>
            </w:r>
            <w:r w:rsidRPr="00B01585">
              <w:rPr>
                <w:sz w:val="18"/>
                <w:szCs w:val="18"/>
              </w:rPr>
              <w:t xml:space="preserve"> Agency’ that occur on terms and conditions no different to those applying to the general public, where no discretion is applied and no influence is exerted by the related parties over the terms and conditions of these transactions. </w:t>
            </w:r>
          </w:p>
          <w:p w14:paraId="000E6D9A" w14:textId="2E328253" w:rsidR="00F12490" w:rsidRPr="00B01585" w:rsidRDefault="00F12490" w:rsidP="000C4F43">
            <w:pPr>
              <w:jc w:val="both"/>
              <w:rPr>
                <w:strike/>
              </w:rPr>
            </w:pPr>
          </w:p>
        </w:tc>
      </w:tr>
      <w:tr w:rsidR="001D0585" w:rsidRPr="001950C9" w14:paraId="7D1CAAE7"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7E2315B3" w14:textId="77777777" w:rsidR="001D0585" w:rsidRPr="00B01585" w:rsidRDefault="001D0585" w:rsidP="00BA2144">
            <w:pPr>
              <w:pStyle w:val="TableReference"/>
              <w:tabs>
                <w:tab w:val="left" w:pos="3306"/>
              </w:tabs>
              <w:rPr>
                <w:rFonts w:cs="Calibri"/>
                <w:color w:val="7030A0"/>
                <w:sz w:val="18"/>
                <w:szCs w:val="18"/>
              </w:rPr>
            </w:pPr>
          </w:p>
        </w:tc>
        <w:tc>
          <w:tcPr>
            <w:tcW w:w="8930" w:type="dxa"/>
            <w:gridSpan w:val="6"/>
            <w:tcBorders>
              <w:left w:val="single" w:sz="4" w:space="0" w:color="auto"/>
            </w:tcBorders>
            <w:shd w:val="clear" w:color="auto" w:fill="auto"/>
            <w:vAlign w:val="bottom"/>
          </w:tcPr>
          <w:p w14:paraId="23047581" w14:textId="77777777" w:rsidR="001D0585" w:rsidRPr="0051081B" w:rsidRDefault="001D0585" w:rsidP="009153D1">
            <w:pPr>
              <w:ind w:left="318" w:hanging="318"/>
              <w:rPr>
                <w:bCs/>
                <w:i/>
                <w:iCs/>
                <w:sz w:val="18"/>
                <w:szCs w:val="18"/>
              </w:rPr>
            </w:pPr>
            <w:r w:rsidRPr="0051081B">
              <w:rPr>
                <w:bCs/>
                <w:i/>
                <w:iCs/>
                <w:sz w:val="18"/>
                <w:szCs w:val="18"/>
              </w:rPr>
              <w:t xml:space="preserve">B.3 Transactions with parties </w:t>
            </w:r>
            <w:r w:rsidR="009153D1" w:rsidRPr="0051081B">
              <w:rPr>
                <w:bCs/>
                <w:i/>
                <w:iCs/>
                <w:sz w:val="18"/>
                <w:szCs w:val="18"/>
              </w:rPr>
              <w:t>related to Key Management Personnel</w:t>
            </w:r>
            <w:r w:rsidRPr="0051081B">
              <w:rPr>
                <w:bCs/>
                <w:i/>
                <w:iCs/>
                <w:sz w:val="18"/>
                <w:szCs w:val="18"/>
              </w:rPr>
              <w:t xml:space="preserve"> </w:t>
            </w:r>
          </w:p>
        </w:tc>
      </w:tr>
      <w:tr w:rsidR="00CE0ABF" w:rsidRPr="001950C9" w14:paraId="5A50A286"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0AF661A3" w14:textId="13CEEEDD" w:rsidR="00CE0ABF" w:rsidRPr="00B01585" w:rsidRDefault="00CE0ABF" w:rsidP="00101D48">
            <w:pPr>
              <w:pStyle w:val="TableReference"/>
              <w:tabs>
                <w:tab w:val="left" w:pos="3306"/>
              </w:tabs>
              <w:rPr>
                <w:rFonts w:cs="Calibri"/>
                <w:color w:val="7030A0"/>
                <w:sz w:val="14"/>
              </w:rPr>
            </w:pPr>
            <w:r w:rsidRPr="00B01585">
              <w:rPr>
                <w:rFonts w:cs="Calibri"/>
                <w:color w:val="7030A0"/>
                <w:sz w:val="14"/>
              </w:rPr>
              <w:t>AASB 124.18 to 21</w:t>
            </w:r>
          </w:p>
        </w:tc>
        <w:tc>
          <w:tcPr>
            <w:tcW w:w="8930" w:type="dxa"/>
            <w:gridSpan w:val="6"/>
            <w:tcBorders>
              <w:left w:val="single" w:sz="4" w:space="0" w:color="auto"/>
            </w:tcBorders>
            <w:shd w:val="clear" w:color="auto" w:fill="auto"/>
            <w:vAlign w:val="bottom"/>
          </w:tcPr>
          <w:p w14:paraId="290C5CCB" w14:textId="0D8B39CF" w:rsidR="00CE0ABF" w:rsidRPr="0051081B" w:rsidRDefault="00CE0ABF" w:rsidP="00524980">
            <w:pPr>
              <w:spacing w:after="120"/>
              <w:jc w:val="both"/>
              <w:rPr>
                <w:sz w:val="18"/>
                <w:szCs w:val="18"/>
              </w:rPr>
            </w:pPr>
            <w:r w:rsidRPr="0051081B">
              <w:rPr>
                <w:sz w:val="18"/>
                <w:szCs w:val="18"/>
              </w:rPr>
              <w:t>The following transactions that were material to the financial statements of the ‘</w:t>
            </w:r>
            <w:r w:rsidR="003B044B" w:rsidRPr="0051081B">
              <w:rPr>
                <w:sz w:val="18"/>
                <w:szCs w:val="18"/>
              </w:rPr>
              <w:t>Burley Griffin</w:t>
            </w:r>
            <w:r w:rsidR="003B044B" w:rsidRPr="0051081B">
              <w:rPr>
                <w:bCs/>
                <w:sz w:val="18"/>
                <w:szCs w:val="18"/>
              </w:rPr>
              <w:t xml:space="preserve"> </w:t>
            </w:r>
            <w:r w:rsidRPr="0051081B">
              <w:rPr>
                <w:sz w:val="18"/>
                <w:szCs w:val="18"/>
              </w:rPr>
              <w:t>Agency’ occurred with parties related to KMP including transactions with KMP’s close family members or other related entities:</w:t>
            </w:r>
          </w:p>
        </w:tc>
      </w:tr>
      <w:tr w:rsidR="00CE0ABF" w:rsidRPr="001950C9" w14:paraId="6613EE49"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73244CE5"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1AA3235F" w14:textId="70F4D985" w:rsidR="00CE0ABF" w:rsidRPr="0051081B" w:rsidRDefault="00CE0ABF" w:rsidP="000C4F43">
            <w:pPr>
              <w:jc w:val="both"/>
              <w:rPr>
                <w:sz w:val="18"/>
                <w:szCs w:val="18"/>
              </w:rPr>
            </w:pPr>
          </w:p>
        </w:tc>
        <w:tc>
          <w:tcPr>
            <w:tcW w:w="1843" w:type="dxa"/>
            <w:shd w:val="clear" w:color="auto" w:fill="auto"/>
            <w:vAlign w:val="bottom"/>
          </w:tcPr>
          <w:p w14:paraId="7F90B1B3" w14:textId="7D055E07" w:rsidR="00CE0ABF" w:rsidRPr="0051081B" w:rsidRDefault="00CE0ABF" w:rsidP="002C7BA0">
            <w:pPr>
              <w:jc w:val="right"/>
              <w:rPr>
                <w:b/>
                <w:sz w:val="18"/>
                <w:szCs w:val="18"/>
              </w:rPr>
            </w:pPr>
            <w:r w:rsidRPr="0051081B">
              <w:rPr>
                <w:b/>
                <w:sz w:val="18"/>
                <w:szCs w:val="18"/>
              </w:rPr>
              <w:t>Transaction value</w:t>
            </w:r>
          </w:p>
        </w:tc>
        <w:tc>
          <w:tcPr>
            <w:tcW w:w="1984" w:type="dxa"/>
            <w:gridSpan w:val="2"/>
            <w:shd w:val="clear" w:color="auto" w:fill="auto"/>
            <w:vAlign w:val="bottom"/>
          </w:tcPr>
          <w:p w14:paraId="19718DDA" w14:textId="77777777" w:rsidR="00CE0ABF" w:rsidRPr="0051081B" w:rsidRDefault="00CE0ABF" w:rsidP="00CE0ABF">
            <w:pPr>
              <w:jc w:val="right"/>
              <w:rPr>
                <w:b/>
                <w:sz w:val="18"/>
                <w:szCs w:val="18"/>
              </w:rPr>
            </w:pPr>
            <w:r w:rsidRPr="0051081B">
              <w:rPr>
                <w:b/>
                <w:sz w:val="18"/>
                <w:szCs w:val="18"/>
              </w:rPr>
              <w:t>Amount of</w:t>
            </w:r>
          </w:p>
          <w:p w14:paraId="6CFE1716" w14:textId="2F78ECB5" w:rsidR="00CE0ABF" w:rsidRPr="0051081B" w:rsidRDefault="00CE0ABF" w:rsidP="002C7BA0">
            <w:pPr>
              <w:jc w:val="right"/>
              <w:rPr>
                <w:b/>
                <w:sz w:val="18"/>
                <w:szCs w:val="18"/>
              </w:rPr>
            </w:pPr>
            <w:r w:rsidRPr="0051081B">
              <w:rPr>
                <w:b/>
                <w:sz w:val="18"/>
                <w:szCs w:val="18"/>
              </w:rPr>
              <w:t>receivable/(payable)</w:t>
            </w:r>
          </w:p>
        </w:tc>
        <w:tc>
          <w:tcPr>
            <w:tcW w:w="1843" w:type="dxa"/>
            <w:gridSpan w:val="2"/>
            <w:shd w:val="clear" w:color="auto" w:fill="auto"/>
            <w:vAlign w:val="bottom"/>
          </w:tcPr>
          <w:p w14:paraId="52A6DA5C" w14:textId="5EE01B8B" w:rsidR="00CE0ABF" w:rsidRPr="0051081B" w:rsidRDefault="00CE0ABF" w:rsidP="002C7BA0">
            <w:pPr>
              <w:jc w:val="right"/>
              <w:rPr>
                <w:b/>
                <w:sz w:val="18"/>
                <w:szCs w:val="18"/>
              </w:rPr>
            </w:pPr>
            <w:r w:rsidRPr="0051081B">
              <w:rPr>
                <w:b/>
                <w:sz w:val="18"/>
                <w:szCs w:val="18"/>
              </w:rPr>
              <w:t>Amount Committed</w:t>
            </w:r>
          </w:p>
        </w:tc>
      </w:tr>
      <w:tr w:rsidR="00CE0ABF" w:rsidRPr="001950C9" w14:paraId="2F81B406"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21AF6DDF"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6216B8C2" w14:textId="7C49C311" w:rsidR="00CE0ABF" w:rsidRPr="0051081B" w:rsidRDefault="00CE0ABF" w:rsidP="00524980">
            <w:pPr>
              <w:spacing w:before="120" w:after="120"/>
              <w:jc w:val="both"/>
              <w:rPr>
                <w:b/>
                <w:bCs/>
                <w:sz w:val="18"/>
                <w:szCs w:val="18"/>
              </w:rPr>
            </w:pPr>
            <w:r w:rsidRPr="0051081B">
              <w:rPr>
                <w:b/>
                <w:bCs/>
                <w:sz w:val="18"/>
                <w:szCs w:val="18"/>
              </w:rPr>
              <w:t>2022</w:t>
            </w:r>
          </w:p>
        </w:tc>
        <w:tc>
          <w:tcPr>
            <w:tcW w:w="1843" w:type="dxa"/>
            <w:shd w:val="clear" w:color="auto" w:fill="auto"/>
          </w:tcPr>
          <w:p w14:paraId="1CBAE5E3" w14:textId="312022D5" w:rsidR="00CE0ABF" w:rsidRPr="0051081B" w:rsidRDefault="00CE0ABF" w:rsidP="00524980">
            <w:pPr>
              <w:jc w:val="right"/>
              <w:rPr>
                <w:sz w:val="18"/>
                <w:szCs w:val="18"/>
              </w:rPr>
            </w:pPr>
            <w:r w:rsidRPr="0051081B">
              <w:rPr>
                <w:b/>
                <w:sz w:val="18"/>
                <w:szCs w:val="18"/>
              </w:rPr>
              <w:t>$’000</w:t>
            </w:r>
          </w:p>
        </w:tc>
        <w:tc>
          <w:tcPr>
            <w:tcW w:w="1984" w:type="dxa"/>
            <w:gridSpan w:val="2"/>
            <w:shd w:val="clear" w:color="auto" w:fill="auto"/>
          </w:tcPr>
          <w:p w14:paraId="4911EF29" w14:textId="08085BE1" w:rsidR="00CE0ABF" w:rsidRPr="0051081B" w:rsidRDefault="00CE0ABF" w:rsidP="00524980">
            <w:pPr>
              <w:jc w:val="right"/>
              <w:rPr>
                <w:sz w:val="18"/>
                <w:szCs w:val="18"/>
              </w:rPr>
            </w:pPr>
            <w:r w:rsidRPr="0051081B">
              <w:rPr>
                <w:b/>
                <w:sz w:val="18"/>
                <w:szCs w:val="18"/>
              </w:rPr>
              <w:t>$’000</w:t>
            </w:r>
          </w:p>
        </w:tc>
        <w:tc>
          <w:tcPr>
            <w:tcW w:w="1843" w:type="dxa"/>
            <w:gridSpan w:val="2"/>
            <w:shd w:val="clear" w:color="auto" w:fill="auto"/>
          </w:tcPr>
          <w:p w14:paraId="5010CC7D" w14:textId="06DFA3D9" w:rsidR="00CE0ABF" w:rsidRPr="0051081B" w:rsidRDefault="00CE0ABF" w:rsidP="00524980">
            <w:pPr>
              <w:jc w:val="right"/>
              <w:rPr>
                <w:sz w:val="18"/>
                <w:szCs w:val="18"/>
              </w:rPr>
            </w:pPr>
            <w:r w:rsidRPr="0051081B">
              <w:rPr>
                <w:b/>
                <w:sz w:val="18"/>
                <w:szCs w:val="18"/>
              </w:rPr>
              <w:t>$’000</w:t>
            </w:r>
          </w:p>
        </w:tc>
      </w:tr>
      <w:tr w:rsidR="00CE0ABF" w:rsidRPr="001950C9" w14:paraId="4560828E"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6747E750"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4C81DDC6" w14:textId="27F4FD75" w:rsidR="00CE0ABF" w:rsidRPr="0051081B" w:rsidRDefault="00CE0ABF" w:rsidP="000C4F43">
            <w:pPr>
              <w:jc w:val="both"/>
              <w:rPr>
                <w:sz w:val="18"/>
                <w:szCs w:val="18"/>
              </w:rPr>
            </w:pPr>
            <w:r w:rsidRPr="0051081B">
              <w:rPr>
                <w:b/>
                <w:sz w:val="18"/>
                <w:szCs w:val="18"/>
              </w:rPr>
              <w:t>Nature of transaction</w:t>
            </w:r>
          </w:p>
        </w:tc>
        <w:tc>
          <w:tcPr>
            <w:tcW w:w="1843" w:type="dxa"/>
            <w:shd w:val="clear" w:color="auto" w:fill="auto"/>
            <w:vAlign w:val="bottom"/>
          </w:tcPr>
          <w:p w14:paraId="2D25DC7B" w14:textId="77777777" w:rsidR="00CE0ABF" w:rsidRPr="0051081B" w:rsidRDefault="00CE0ABF" w:rsidP="000C4F43">
            <w:pPr>
              <w:jc w:val="both"/>
              <w:rPr>
                <w:sz w:val="18"/>
                <w:szCs w:val="18"/>
              </w:rPr>
            </w:pPr>
          </w:p>
        </w:tc>
        <w:tc>
          <w:tcPr>
            <w:tcW w:w="1984" w:type="dxa"/>
            <w:gridSpan w:val="2"/>
            <w:shd w:val="clear" w:color="auto" w:fill="auto"/>
            <w:vAlign w:val="bottom"/>
          </w:tcPr>
          <w:p w14:paraId="20883593" w14:textId="77777777" w:rsidR="00CE0ABF" w:rsidRPr="0051081B" w:rsidRDefault="00CE0ABF" w:rsidP="000C4F43">
            <w:pPr>
              <w:jc w:val="both"/>
              <w:rPr>
                <w:sz w:val="18"/>
                <w:szCs w:val="18"/>
              </w:rPr>
            </w:pPr>
          </w:p>
        </w:tc>
        <w:tc>
          <w:tcPr>
            <w:tcW w:w="1843" w:type="dxa"/>
            <w:gridSpan w:val="2"/>
            <w:shd w:val="clear" w:color="auto" w:fill="auto"/>
            <w:vAlign w:val="bottom"/>
          </w:tcPr>
          <w:p w14:paraId="247C088B" w14:textId="77777777" w:rsidR="00CE0ABF" w:rsidRPr="0051081B" w:rsidRDefault="00CE0ABF" w:rsidP="000C4F43">
            <w:pPr>
              <w:jc w:val="both"/>
              <w:rPr>
                <w:sz w:val="18"/>
                <w:szCs w:val="18"/>
              </w:rPr>
            </w:pPr>
          </w:p>
        </w:tc>
      </w:tr>
      <w:tr w:rsidR="00CE0ABF" w:rsidRPr="001950C9" w14:paraId="5932D2B8"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186D2A33"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2EF8A70B" w14:textId="0C3EB0B8" w:rsidR="00CE0ABF" w:rsidRPr="0051081B" w:rsidRDefault="00CE0ABF" w:rsidP="00CE0ABF">
            <w:pPr>
              <w:spacing w:before="120"/>
              <w:jc w:val="both"/>
              <w:rPr>
                <w:bCs/>
                <w:i/>
                <w:iCs/>
                <w:sz w:val="18"/>
                <w:szCs w:val="18"/>
              </w:rPr>
            </w:pPr>
            <w:r w:rsidRPr="0051081B">
              <w:rPr>
                <w:bCs/>
                <w:i/>
                <w:iCs/>
                <w:sz w:val="18"/>
                <w:szCs w:val="18"/>
              </w:rPr>
              <w:t>Purchase or Sale of Goods</w:t>
            </w:r>
          </w:p>
        </w:tc>
        <w:tc>
          <w:tcPr>
            <w:tcW w:w="1843" w:type="dxa"/>
            <w:shd w:val="clear" w:color="auto" w:fill="auto"/>
            <w:vAlign w:val="bottom"/>
          </w:tcPr>
          <w:p w14:paraId="142D1389" w14:textId="77777777" w:rsidR="00CE0ABF" w:rsidRPr="0051081B" w:rsidRDefault="00CE0ABF" w:rsidP="000C4F43">
            <w:pPr>
              <w:jc w:val="both"/>
              <w:rPr>
                <w:sz w:val="18"/>
                <w:szCs w:val="18"/>
              </w:rPr>
            </w:pPr>
          </w:p>
        </w:tc>
        <w:tc>
          <w:tcPr>
            <w:tcW w:w="1984" w:type="dxa"/>
            <w:gridSpan w:val="2"/>
            <w:shd w:val="clear" w:color="auto" w:fill="auto"/>
            <w:vAlign w:val="bottom"/>
          </w:tcPr>
          <w:p w14:paraId="20532DA3" w14:textId="77777777" w:rsidR="00CE0ABF" w:rsidRPr="0051081B" w:rsidRDefault="00CE0ABF" w:rsidP="000C4F43">
            <w:pPr>
              <w:jc w:val="both"/>
              <w:rPr>
                <w:sz w:val="18"/>
                <w:szCs w:val="18"/>
              </w:rPr>
            </w:pPr>
          </w:p>
        </w:tc>
        <w:tc>
          <w:tcPr>
            <w:tcW w:w="1843" w:type="dxa"/>
            <w:gridSpan w:val="2"/>
            <w:shd w:val="clear" w:color="auto" w:fill="auto"/>
            <w:vAlign w:val="bottom"/>
          </w:tcPr>
          <w:p w14:paraId="320A88E7" w14:textId="77777777" w:rsidR="00CE0ABF" w:rsidRPr="0051081B" w:rsidRDefault="00CE0ABF" w:rsidP="000C4F43">
            <w:pPr>
              <w:jc w:val="both"/>
              <w:rPr>
                <w:sz w:val="18"/>
                <w:szCs w:val="18"/>
              </w:rPr>
            </w:pPr>
          </w:p>
        </w:tc>
      </w:tr>
      <w:tr w:rsidR="00CE0ABF" w:rsidRPr="001950C9" w14:paraId="1F181436"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105DBEB7"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776A298D" w14:textId="6F8B7414" w:rsidR="00CE0ABF" w:rsidRPr="0051081B" w:rsidRDefault="00CE0ABF" w:rsidP="000C4F43">
            <w:pPr>
              <w:jc w:val="both"/>
              <w:rPr>
                <w:sz w:val="18"/>
                <w:szCs w:val="18"/>
              </w:rPr>
            </w:pPr>
            <w:r w:rsidRPr="0051081B">
              <w:rPr>
                <w:sz w:val="18"/>
                <w:szCs w:val="18"/>
              </w:rPr>
              <w:t>Equipment purchased</w:t>
            </w:r>
            <w:r w:rsidRPr="0051081B">
              <w:rPr>
                <w:sz w:val="18"/>
                <w:szCs w:val="18"/>
                <w:vertAlign w:val="superscript"/>
              </w:rPr>
              <w:t>1</w:t>
            </w:r>
          </w:p>
        </w:tc>
        <w:tc>
          <w:tcPr>
            <w:tcW w:w="1843" w:type="dxa"/>
            <w:shd w:val="clear" w:color="auto" w:fill="auto"/>
            <w:vAlign w:val="bottom"/>
          </w:tcPr>
          <w:p w14:paraId="3EC8F378" w14:textId="77777777" w:rsidR="00CE0ABF" w:rsidRPr="0051081B" w:rsidRDefault="00CE0ABF" w:rsidP="000C4F43">
            <w:pPr>
              <w:jc w:val="both"/>
              <w:rPr>
                <w:sz w:val="18"/>
                <w:szCs w:val="18"/>
              </w:rPr>
            </w:pPr>
          </w:p>
        </w:tc>
        <w:tc>
          <w:tcPr>
            <w:tcW w:w="1984" w:type="dxa"/>
            <w:gridSpan w:val="2"/>
            <w:shd w:val="clear" w:color="auto" w:fill="auto"/>
            <w:vAlign w:val="bottom"/>
          </w:tcPr>
          <w:p w14:paraId="3E311624" w14:textId="77777777" w:rsidR="00CE0ABF" w:rsidRPr="0051081B" w:rsidRDefault="00CE0ABF" w:rsidP="000C4F43">
            <w:pPr>
              <w:jc w:val="both"/>
              <w:rPr>
                <w:sz w:val="18"/>
                <w:szCs w:val="18"/>
              </w:rPr>
            </w:pPr>
          </w:p>
        </w:tc>
        <w:tc>
          <w:tcPr>
            <w:tcW w:w="1843" w:type="dxa"/>
            <w:gridSpan w:val="2"/>
            <w:shd w:val="clear" w:color="auto" w:fill="auto"/>
            <w:vAlign w:val="bottom"/>
          </w:tcPr>
          <w:p w14:paraId="7C2B2ADB" w14:textId="77777777" w:rsidR="00CE0ABF" w:rsidRPr="0051081B" w:rsidRDefault="00CE0ABF" w:rsidP="000C4F43">
            <w:pPr>
              <w:jc w:val="both"/>
              <w:rPr>
                <w:sz w:val="18"/>
                <w:szCs w:val="18"/>
              </w:rPr>
            </w:pPr>
          </w:p>
        </w:tc>
      </w:tr>
      <w:tr w:rsidR="00CE0ABF" w:rsidRPr="001950C9" w14:paraId="29F8795D"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00E8C7D4"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7D46AF1C" w14:textId="7BBF7283" w:rsidR="00CE0ABF" w:rsidRPr="0051081B" w:rsidRDefault="00CE0ABF" w:rsidP="00CE0ABF">
            <w:pPr>
              <w:spacing w:before="120"/>
              <w:jc w:val="both"/>
              <w:rPr>
                <w:bCs/>
                <w:i/>
                <w:iCs/>
                <w:sz w:val="18"/>
                <w:szCs w:val="18"/>
              </w:rPr>
            </w:pPr>
            <w:r w:rsidRPr="0051081B">
              <w:rPr>
                <w:bCs/>
                <w:i/>
                <w:iCs/>
                <w:sz w:val="18"/>
                <w:szCs w:val="18"/>
              </w:rPr>
              <w:t>Rendering or Receiving Services</w:t>
            </w:r>
          </w:p>
        </w:tc>
        <w:tc>
          <w:tcPr>
            <w:tcW w:w="1843" w:type="dxa"/>
            <w:shd w:val="clear" w:color="auto" w:fill="auto"/>
            <w:vAlign w:val="bottom"/>
          </w:tcPr>
          <w:p w14:paraId="1BB8ADA0" w14:textId="77777777" w:rsidR="00CE0ABF" w:rsidRPr="0051081B" w:rsidRDefault="00CE0ABF" w:rsidP="000C4F43">
            <w:pPr>
              <w:jc w:val="both"/>
              <w:rPr>
                <w:sz w:val="18"/>
                <w:szCs w:val="18"/>
              </w:rPr>
            </w:pPr>
          </w:p>
        </w:tc>
        <w:tc>
          <w:tcPr>
            <w:tcW w:w="1984" w:type="dxa"/>
            <w:gridSpan w:val="2"/>
            <w:shd w:val="clear" w:color="auto" w:fill="auto"/>
            <w:vAlign w:val="bottom"/>
          </w:tcPr>
          <w:p w14:paraId="16E99A16" w14:textId="77777777" w:rsidR="00CE0ABF" w:rsidRPr="0051081B" w:rsidRDefault="00CE0ABF" w:rsidP="000C4F43">
            <w:pPr>
              <w:jc w:val="both"/>
              <w:rPr>
                <w:sz w:val="18"/>
                <w:szCs w:val="18"/>
              </w:rPr>
            </w:pPr>
          </w:p>
        </w:tc>
        <w:tc>
          <w:tcPr>
            <w:tcW w:w="1843" w:type="dxa"/>
            <w:gridSpan w:val="2"/>
            <w:shd w:val="clear" w:color="auto" w:fill="auto"/>
            <w:vAlign w:val="bottom"/>
          </w:tcPr>
          <w:p w14:paraId="1AC8F1FF" w14:textId="77777777" w:rsidR="00CE0ABF" w:rsidRPr="0051081B" w:rsidRDefault="00CE0ABF" w:rsidP="000C4F43">
            <w:pPr>
              <w:jc w:val="both"/>
              <w:rPr>
                <w:sz w:val="18"/>
                <w:szCs w:val="18"/>
              </w:rPr>
            </w:pPr>
          </w:p>
        </w:tc>
      </w:tr>
      <w:tr w:rsidR="00CE0ABF" w:rsidRPr="001950C9" w14:paraId="31DDA5AE"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7A484360"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414DBDD3" w14:textId="0EB14072" w:rsidR="00CE0ABF" w:rsidRPr="0051081B" w:rsidRDefault="00CE0ABF" w:rsidP="000C4F43">
            <w:pPr>
              <w:jc w:val="both"/>
              <w:rPr>
                <w:sz w:val="18"/>
                <w:szCs w:val="18"/>
              </w:rPr>
            </w:pPr>
            <w:r w:rsidRPr="0051081B">
              <w:rPr>
                <w:sz w:val="18"/>
                <w:szCs w:val="18"/>
              </w:rPr>
              <w:t>Services received (aggregate)</w:t>
            </w:r>
            <w:r w:rsidRPr="0051081B">
              <w:rPr>
                <w:sz w:val="18"/>
                <w:szCs w:val="18"/>
                <w:vertAlign w:val="superscript"/>
              </w:rPr>
              <w:t>1,2</w:t>
            </w:r>
          </w:p>
        </w:tc>
        <w:tc>
          <w:tcPr>
            <w:tcW w:w="1843" w:type="dxa"/>
            <w:shd w:val="clear" w:color="auto" w:fill="auto"/>
            <w:vAlign w:val="bottom"/>
          </w:tcPr>
          <w:p w14:paraId="5E781C8B" w14:textId="77777777" w:rsidR="00CE0ABF" w:rsidRPr="0051081B" w:rsidRDefault="00CE0ABF" w:rsidP="000C4F43">
            <w:pPr>
              <w:jc w:val="both"/>
              <w:rPr>
                <w:sz w:val="18"/>
                <w:szCs w:val="18"/>
              </w:rPr>
            </w:pPr>
          </w:p>
        </w:tc>
        <w:tc>
          <w:tcPr>
            <w:tcW w:w="1984" w:type="dxa"/>
            <w:gridSpan w:val="2"/>
            <w:shd w:val="clear" w:color="auto" w:fill="auto"/>
            <w:vAlign w:val="bottom"/>
          </w:tcPr>
          <w:p w14:paraId="40EBF8FB" w14:textId="77777777" w:rsidR="00CE0ABF" w:rsidRPr="0051081B" w:rsidRDefault="00CE0ABF" w:rsidP="000C4F43">
            <w:pPr>
              <w:jc w:val="both"/>
              <w:rPr>
                <w:sz w:val="18"/>
                <w:szCs w:val="18"/>
              </w:rPr>
            </w:pPr>
          </w:p>
        </w:tc>
        <w:tc>
          <w:tcPr>
            <w:tcW w:w="1843" w:type="dxa"/>
            <w:gridSpan w:val="2"/>
            <w:shd w:val="clear" w:color="auto" w:fill="auto"/>
            <w:vAlign w:val="bottom"/>
          </w:tcPr>
          <w:p w14:paraId="37BB9205" w14:textId="77777777" w:rsidR="00CE0ABF" w:rsidRPr="0051081B" w:rsidRDefault="00CE0ABF" w:rsidP="000C4F43">
            <w:pPr>
              <w:jc w:val="both"/>
              <w:rPr>
                <w:sz w:val="18"/>
                <w:szCs w:val="18"/>
              </w:rPr>
            </w:pPr>
          </w:p>
        </w:tc>
      </w:tr>
      <w:tr w:rsidR="00CE0ABF" w:rsidRPr="001950C9" w14:paraId="5EB05391"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70E99C34"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4D1A7405" w14:textId="77777777" w:rsidR="00CE0ABF" w:rsidRPr="0051081B" w:rsidRDefault="00CE0ABF" w:rsidP="000C4F43">
            <w:pPr>
              <w:jc w:val="both"/>
              <w:rPr>
                <w:sz w:val="18"/>
                <w:szCs w:val="18"/>
              </w:rPr>
            </w:pPr>
          </w:p>
        </w:tc>
        <w:tc>
          <w:tcPr>
            <w:tcW w:w="1843" w:type="dxa"/>
            <w:shd w:val="clear" w:color="auto" w:fill="auto"/>
            <w:vAlign w:val="bottom"/>
          </w:tcPr>
          <w:p w14:paraId="0AE1CAD9" w14:textId="77777777" w:rsidR="00CE0ABF" w:rsidRPr="0051081B" w:rsidRDefault="00CE0ABF" w:rsidP="000C4F43">
            <w:pPr>
              <w:jc w:val="both"/>
              <w:rPr>
                <w:sz w:val="18"/>
                <w:szCs w:val="18"/>
              </w:rPr>
            </w:pPr>
          </w:p>
        </w:tc>
        <w:tc>
          <w:tcPr>
            <w:tcW w:w="1984" w:type="dxa"/>
            <w:gridSpan w:val="2"/>
            <w:shd w:val="clear" w:color="auto" w:fill="auto"/>
            <w:vAlign w:val="bottom"/>
          </w:tcPr>
          <w:p w14:paraId="132F90F2" w14:textId="77777777" w:rsidR="00CE0ABF" w:rsidRPr="0051081B" w:rsidRDefault="00CE0ABF" w:rsidP="000C4F43">
            <w:pPr>
              <w:jc w:val="both"/>
              <w:rPr>
                <w:sz w:val="18"/>
                <w:szCs w:val="18"/>
              </w:rPr>
            </w:pPr>
          </w:p>
        </w:tc>
        <w:tc>
          <w:tcPr>
            <w:tcW w:w="1843" w:type="dxa"/>
            <w:gridSpan w:val="2"/>
            <w:shd w:val="clear" w:color="auto" w:fill="auto"/>
            <w:vAlign w:val="bottom"/>
          </w:tcPr>
          <w:p w14:paraId="22D84A8A" w14:textId="77777777" w:rsidR="00CE0ABF" w:rsidRPr="0051081B" w:rsidRDefault="00CE0ABF" w:rsidP="000C4F43">
            <w:pPr>
              <w:jc w:val="both"/>
              <w:rPr>
                <w:sz w:val="18"/>
                <w:szCs w:val="18"/>
              </w:rPr>
            </w:pPr>
          </w:p>
        </w:tc>
      </w:tr>
      <w:tr w:rsidR="00CE0ABF" w:rsidRPr="001950C9" w14:paraId="768D2DAC"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21B204E3" w14:textId="77777777" w:rsidR="00CE0ABF" w:rsidRPr="00B01585" w:rsidRDefault="00CE0ABF" w:rsidP="00101D48">
            <w:pPr>
              <w:pStyle w:val="TableReference"/>
              <w:tabs>
                <w:tab w:val="left" w:pos="3306"/>
              </w:tabs>
              <w:rPr>
                <w:rFonts w:cs="Calibri"/>
                <w:color w:val="7030A0"/>
                <w:sz w:val="14"/>
              </w:rPr>
            </w:pPr>
          </w:p>
        </w:tc>
        <w:tc>
          <w:tcPr>
            <w:tcW w:w="8930" w:type="dxa"/>
            <w:gridSpan w:val="6"/>
            <w:vMerge w:val="restart"/>
            <w:tcBorders>
              <w:left w:val="single" w:sz="4" w:space="0" w:color="auto"/>
            </w:tcBorders>
            <w:shd w:val="clear" w:color="auto" w:fill="auto"/>
            <w:vAlign w:val="bottom"/>
          </w:tcPr>
          <w:p w14:paraId="52A18B1E" w14:textId="2CA35319" w:rsidR="00CE0ABF" w:rsidRPr="0051081B" w:rsidRDefault="00CE0ABF" w:rsidP="00CE0ABF">
            <w:pPr>
              <w:spacing w:after="60"/>
              <w:jc w:val="both"/>
              <w:rPr>
                <w:sz w:val="18"/>
                <w:szCs w:val="18"/>
              </w:rPr>
            </w:pPr>
            <w:r w:rsidRPr="0051081B">
              <w:rPr>
                <w:b/>
                <w:sz w:val="18"/>
                <w:szCs w:val="18"/>
                <w:vertAlign w:val="superscript"/>
              </w:rPr>
              <w:t>1</w:t>
            </w:r>
            <w:r w:rsidRPr="0051081B">
              <w:rPr>
                <w:sz w:val="18"/>
                <w:szCs w:val="18"/>
                <w:vertAlign w:val="superscript"/>
              </w:rPr>
              <w:t xml:space="preserve"> </w:t>
            </w:r>
            <w:r w:rsidRPr="0051081B">
              <w:rPr>
                <w:sz w:val="18"/>
                <w:szCs w:val="18"/>
              </w:rPr>
              <w:t>The transactions were procured following ACT Government’s procurement procedures and in the normal course of the operations of ‘</w:t>
            </w:r>
            <w:r w:rsidR="003B044B" w:rsidRPr="0051081B">
              <w:rPr>
                <w:sz w:val="18"/>
                <w:szCs w:val="18"/>
              </w:rPr>
              <w:t>Burley Griffin</w:t>
            </w:r>
            <w:r w:rsidR="003B044B" w:rsidRPr="0051081B">
              <w:rPr>
                <w:bCs/>
                <w:sz w:val="18"/>
                <w:szCs w:val="18"/>
              </w:rPr>
              <w:t xml:space="preserve"> </w:t>
            </w:r>
            <w:r w:rsidRPr="0051081B">
              <w:rPr>
                <w:sz w:val="18"/>
                <w:szCs w:val="18"/>
              </w:rPr>
              <w:t xml:space="preserve">Agency’. </w:t>
            </w:r>
          </w:p>
          <w:p w14:paraId="39D33461" w14:textId="3E755F24" w:rsidR="00CE0ABF" w:rsidRPr="0051081B" w:rsidRDefault="00CE0ABF" w:rsidP="00CE0ABF">
            <w:pPr>
              <w:spacing w:after="60"/>
              <w:jc w:val="both"/>
              <w:rPr>
                <w:sz w:val="18"/>
                <w:szCs w:val="18"/>
              </w:rPr>
            </w:pPr>
            <w:r w:rsidRPr="0051081B">
              <w:rPr>
                <w:b/>
                <w:sz w:val="18"/>
                <w:szCs w:val="18"/>
                <w:vertAlign w:val="superscript"/>
              </w:rPr>
              <w:t>2</w:t>
            </w:r>
            <w:r w:rsidRPr="0051081B">
              <w:rPr>
                <w:sz w:val="18"/>
                <w:szCs w:val="18"/>
                <w:vertAlign w:val="superscript"/>
              </w:rPr>
              <w:t xml:space="preserve"> </w:t>
            </w:r>
            <w:r w:rsidRPr="0051081B">
              <w:rPr>
                <w:sz w:val="18"/>
                <w:szCs w:val="18"/>
              </w:rPr>
              <w:t>Items of a similar nature have been aggregated, except where separate disclosure is necessary for understanding the effects of related party transactions on the financial statements of the ‘</w:t>
            </w:r>
            <w:r w:rsidR="003B044B" w:rsidRPr="0051081B">
              <w:rPr>
                <w:sz w:val="18"/>
                <w:szCs w:val="18"/>
              </w:rPr>
              <w:t>Burley Griffin</w:t>
            </w:r>
            <w:r w:rsidRPr="0051081B">
              <w:rPr>
                <w:sz w:val="18"/>
                <w:szCs w:val="18"/>
              </w:rPr>
              <w:t xml:space="preserve"> Agency’.</w:t>
            </w:r>
          </w:p>
        </w:tc>
      </w:tr>
      <w:tr w:rsidR="00CE0ABF" w:rsidRPr="001950C9" w14:paraId="773E50BF"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172145B3" w14:textId="77777777" w:rsidR="00CE0ABF" w:rsidRPr="00B01585" w:rsidRDefault="00CE0ABF" w:rsidP="00101D48">
            <w:pPr>
              <w:pStyle w:val="TableReference"/>
              <w:tabs>
                <w:tab w:val="left" w:pos="3306"/>
              </w:tabs>
              <w:rPr>
                <w:rFonts w:cs="Calibri"/>
                <w:color w:val="7030A0"/>
                <w:sz w:val="14"/>
              </w:rPr>
            </w:pPr>
          </w:p>
        </w:tc>
        <w:tc>
          <w:tcPr>
            <w:tcW w:w="8930" w:type="dxa"/>
            <w:gridSpan w:val="6"/>
            <w:vMerge/>
            <w:tcBorders>
              <w:left w:val="single" w:sz="4" w:space="0" w:color="auto"/>
            </w:tcBorders>
            <w:shd w:val="clear" w:color="auto" w:fill="auto"/>
            <w:vAlign w:val="bottom"/>
          </w:tcPr>
          <w:p w14:paraId="0AE11063" w14:textId="77777777" w:rsidR="00CE0ABF" w:rsidRPr="0051081B" w:rsidRDefault="00CE0ABF" w:rsidP="000C4F43">
            <w:pPr>
              <w:jc w:val="both"/>
              <w:rPr>
                <w:sz w:val="18"/>
                <w:szCs w:val="18"/>
              </w:rPr>
            </w:pPr>
          </w:p>
        </w:tc>
      </w:tr>
      <w:tr w:rsidR="00CE0ABF" w:rsidRPr="001950C9" w14:paraId="3AB503FB"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4986ED20" w14:textId="77777777" w:rsidR="00CE0ABF" w:rsidRPr="00B01585" w:rsidRDefault="00CE0ABF" w:rsidP="00101D48">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5843C3A2" w14:textId="0F35EDDE" w:rsidR="00CE0ABF" w:rsidRPr="0051081B" w:rsidRDefault="00CE0ABF" w:rsidP="000C4F43">
            <w:pPr>
              <w:jc w:val="both"/>
              <w:rPr>
                <w:sz w:val="18"/>
                <w:szCs w:val="18"/>
              </w:rPr>
            </w:pPr>
            <w:r w:rsidRPr="0051081B">
              <w:rPr>
                <w:sz w:val="18"/>
                <w:szCs w:val="18"/>
              </w:rPr>
              <w:t>No allowances for doubtful debts or bad debts expenses in relation to related party transactions were recorded during the current reporting period.</w:t>
            </w:r>
          </w:p>
        </w:tc>
      </w:tr>
      <w:tr w:rsidR="00CE0ABF" w:rsidRPr="001950C9" w14:paraId="1D35BBDB"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1CAF0030" w14:textId="77777777" w:rsidR="00CE0ABF" w:rsidRPr="00B01585" w:rsidRDefault="00CE0ABF" w:rsidP="00101D48">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00A6E1EC" w14:textId="77777777" w:rsidR="00CE0ABF" w:rsidRPr="0051081B" w:rsidRDefault="00CE0ABF" w:rsidP="000C4F43">
            <w:pPr>
              <w:jc w:val="both"/>
              <w:rPr>
                <w:sz w:val="18"/>
                <w:szCs w:val="18"/>
              </w:rPr>
            </w:pPr>
          </w:p>
        </w:tc>
      </w:tr>
      <w:tr w:rsidR="00CE0ABF" w:rsidRPr="001950C9" w14:paraId="2F364256"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66CB8215"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284A59B0" w14:textId="6E8E3938" w:rsidR="00CE0ABF" w:rsidRPr="0051081B" w:rsidRDefault="00CE0ABF" w:rsidP="00524980">
            <w:pPr>
              <w:spacing w:before="120" w:after="120"/>
              <w:jc w:val="both"/>
              <w:rPr>
                <w:b/>
                <w:bCs/>
                <w:sz w:val="18"/>
                <w:szCs w:val="18"/>
              </w:rPr>
            </w:pPr>
            <w:r w:rsidRPr="0051081B">
              <w:rPr>
                <w:b/>
                <w:bCs/>
                <w:sz w:val="18"/>
                <w:szCs w:val="18"/>
              </w:rPr>
              <w:t>2021</w:t>
            </w:r>
          </w:p>
        </w:tc>
        <w:tc>
          <w:tcPr>
            <w:tcW w:w="1843" w:type="dxa"/>
            <w:shd w:val="clear" w:color="auto" w:fill="auto"/>
            <w:vAlign w:val="bottom"/>
          </w:tcPr>
          <w:p w14:paraId="475F8AA8" w14:textId="2C2B3159" w:rsidR="00CE0ABF" w:rsidRPr="0051081B" w:rsidRDefault="00CE0ABF" w:rsidP="00CE0ABF">
            <w:pPr>
              <w:jc w:val="right"/>
              <w:rPr>
                <w:strike/>
                <w:sz w:val="18"/>
                <w:szCs w:val="18"/>
              </w:rPr>
            </w:pPr>
          </w:p>
        </w:tc>
        <w:tc>
          <w:tcPr>
            <w:tcW w:w="1984" w:type="dxa"/>
            <w:gridSpan w:val="2"/>
            <w:shd w:val="clear" w:color="auto" w:fill="auto"/>
            <w:vAlign w:val="bottom"/>
          </w:tcPr>
          <w:p w14:paraId="37572114" w14:textId="4C09B9D6" w:rsidR="00CE0ABF" w:rsidRPr="0051081B" w:rsidRDefault="00CE0ABF" w:rsidP="00CE0ABF">
            <w:pPr>
              <w:jc w:val="right"/>
              <w:rPr>
                <w:strike/>
                <w:sz w:val="18"/>
                <w:szCs w:val="18"/>
              </w:rPr>
            </w:pPr>
          </w:p>
        </w:tc>
        <w:tc>
          <w:tcPr>
            <w:tcW w:w="1843" w:type="dxa"/>
            <w:gridSpan w:val="2"/>
            <w:shd w:val="clear" w:color="auto" w:fill="auto"/>
            <w:vAlign w:val="bottom"/>
          </w:tcPr>
          <w:p w14:paraId="249CD223" w14:textId="199A35AC" w:rsidR="00CE0ABF" w:rsidRPr="0051081B" w:rsidRDefault="00CE0ABF" w:rsidP="00CE0ABF">
            <w:pPr>
              <w:jc w:val="right"/>
              <w:rPr>
                <w:strike/>
                <w:sz w:val="18"/>
                <w:szCs w:val="18"/>
              </w:rPr>
            </w:pPr>
          </w:p>
        </w:tc>
      </w:tr>
      <w:tr w:rsidR="00CE0ABF" w:rsidRPr="001950C9" w14:paraId="5E8359A7"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027CFED2"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10487657" w14:textId="3D12CB40" w:rsidR="00CE0ABF" w:rsidRPr="0051081B" w:rsidRDefault="00CE0ABF" w:rsidP="000C4F43">
            <w:pPr>
              <w:jc w:val="both"/>
              <w:rPr>
                <w:b/>
                <w:sz w:val="18"/>
                <w:szCs w:val="18"/>
              </w:rPr>
            </w:pPr>
            <w:r w:rsidRPr="0051081B">
              <w:rPr>
                <w:b/>
                <w:sz w:val="18"/>
                <w:szCs w:val="18"/>
              </w:rPr>
              <w:t>Nature of transaction</w:t>
            </w:r>
          </w:p>
        </w:tc>
        <w:tc>
          <w:tcPr>
            <w:tcW w:w="1843" w:type="dxa"/>
            <w:shd w:val="clear" w:color="auto" w:fill="auto"/>
            <w:vAlign w:val="bottom"/>
          </w:tcPr>
          <w:p w14:paraId="46F095FD" w14:textId="77777777" w:rsidR="00CE0ABF" w:rsidRPr="0051081B" w:rsidRDefault="00CE0ABF" w:rsidP="000C4F43">
            <w:pPr>
              <w:jc w:val="both"/>
              <w:rPr>
                <w:sz w:val="18"/>
                <w:szCs w:val="18"/>
              </w:rPr>
            </w:pPr>
          </w:p>
        </w:tc>
        <w:tc>
          <w:tcPr>
            <w:tcW w:w="1984" w:type="dxa"/>
            <w:gridSpan w:val="2"/>
            <w:shd w:val="clear" w:color="auto" w:fill="auto"/>
            <w:vAlign w:val="bottom"/>
          </w:tcPr>
          <w:p w14:paraId="16B6E61A" w14:textId="77777777" w:rsidR="00CE0ABF" w:rsidRPr="0051081B" w:rsidRDefault="00CE0ABF" w:rsidP="000C4F43">
            <w:pPr>
              <w:jc w:val="both"/>
              <w:rPr>
                <w:sz w:val="18"/>
                <w:szCs w:val="18"/>
              </w:rPr>
            </w:pPr>
          </w:p>
        </w:tc>
        <w:tc>
          <w:tcPr>
            <w:tcW w:w="1843" w:type="dxa"/>
            <w:gridSpan w:val="2"/>
            <w:shd w:val="clear" w:color="auto" w:fill="auto"/>
            <w:vAlign w:val="bottom"/>
          </w:tcPr>
          <w:p w14:paraId="01A62919" w14:textId="77777777" w:rsidR="00CE0ABF" w:rsidRPr="0051081B" w:rsidRDefault="00CE0ABF" w:rsidP="000C4F43">
            <w:pPr>
              <w:jc w:val="both"/>
              <w:rPr>
                <w:sz w:val="18"/>
                <w:szCs w:val="18"/>
              </w:rPr>
            </w:pPr>
          </w:p>
        </w:tc>
      </w:tr>
      <w:tr w:rsidR="00CE0ABF" w:rsidRPr="001950C9" w14:paraId="039BECC4"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5DB76B26"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60968B9C" w14:textId="4E4AC4ED" w:rsidR="00CE0ABF" w:rsidRPr="0051081B" w:rsidRDefault="00CE0ABF" w:rsidP="00CE0ABF">
            <w:pPr>
              <w:spacing w:before="120"/>
              <w:jc w:val="both"/>
              <w:rPr>
                <w:bCs/>
                <w:i/>
                <w:iCs/>
                <w:sz w:val="18"/>
                <w:szCs w:val="18"/>
              </w:rPr>
            </w:pPr>
            <w:r w:rsidRPr="0051081B">
              <w:rPr>
                <w:bCs/>
                <w:i/>
                <w:iCs/>
                <w:sz w:val="18"/>
                <w:szCs w:val="18"/>
              </w:rPr>
              <w:t>Purchase or Sale of Goods</w:t>
            </w:r>
          </w:p>
        </w:tc>
        <w:tc>
          <w:tcPr>
            <w:tcW w:w="1843" w:type="dxa"/>
            <w:shd w:val="clear" w:color="auto" w:fill="auto"/>
            <w:vAlign w:val="bottom"/>
          </w:tcPr>
          <w:p w14:paraId="0A76D4B7" w14:textId="77777777" w:rsidR="00CE0ABF" w:rsidRPr="0051081B" w:rsidRDefault="00CE0ABF" w:rsidP="000C4F43">
            <w:pPr>
              <w:jc w:val="both"/>
              <w:rPr>
                <w:sz w:val="18"/>
                <w:szCs w:val="18"/>
              </w:rPr>
            </w:pPr>
          </w:p>
        </w:tc>
        <w:tc>
          <w:tcPr>
            <w:tcW w:w="1984" w:type="dxa"/>
            <w:gridSpan w:val="2"/>
            <w:shd w:val="clear" w:color="auto" w:fill="auto"/>
            <w:vAlign w:val="bottom"/>
          </w:tcPr>
          <w:p w14:paraId="0BCB1952" w14:textId="77777777" w:rsidR="00CE0ABF" w:rsidRPr="0051081B" w:rsidRDefault="00CE0ABF" w:rsidP="000C4F43">
            <w:pPr>
              <w:jc w:val="both"/>
              <w:rPr>
                <w:sz w:val="18"/>
                <w:szCs w:val="18"/>
              </w:rPr>
            </w:pPr>
          </w:p>
        </w:tc>
        <w:tc>
          <w:tcPr>
            <w:tcW w:w="1843" w:type="dxa"/>
            <w:gridSpan w:val="2"/>
            <w:shd w:val="clear" w:color="auto" w:fill="auto"/>
            <w:vAlign w:val="bottom"/>
          </w:tcPr>
          <w:p w14:paraId="0997120B" w14:textId="77777777" w:rsidR="00CE0ABF" w:rsidRPr="0051081B" w:rsidRDefault="00CE0ABF" w:rsidP="000C4F43">
            <w:pPr>
              <w:jc w:val="both"/>
              <w:rPr>
                <w:sz w:val="18"/>
                <w:szCs w:val="18"/>
              </w:rPr>
            </w:pPr>
          </w:p>
        </w:tc>
      </w:tr>
      <w:tr w:rsidR="00CE0ABF" w:rsidRPr="001950C9" w14:paraId="73F7776B"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65A41093"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621CC5C5" w14:textId="49E37FBE" w:rsidR="00CE0ABF" w:rsidRPr="0051081B" w:rsidRDefault="00CE0ABF" w:rsidP="000C4F43">
            <w:pPr>
              <w:jc w:val="both"/>
              <w:rPr>
                <w:sz w:val="18"/>
                <w:szCs w:val="18"/>
              </w:rPr>
            </w:pPr>
            <w:r w:rsidRPr="0051081B">
              <w:rPr>
                <w:sz w:val="18"/>
                <w:szCs w:val="18"/>
              </w:rPr>
              <w:t xml:space="preserve">Equipment purchased </w:t>
            </w:r>
            <w:r w:rsidRPr="0051081B">
              <w:rPr>
                <w:b/>
                <w:sz w:val="18"/>
                <w:szCs w:val="18"/>
                <w:vertAlign w:val="superscript"/>
              </w:rPr>
              <w:t>1</w:t>
            </w:r>
          </w:p>
        </w:tc>
        <w:tc>
          <w:tcPr>
            <w:tcW w:w="1843" w:type="dxa"/>
            <w:shd w:val="clear" w:color="auto" w:fill="auto"/>
            <w:vAlign w:val="bottom"/>
          </w:tcPr>
          <w:p w14:paraId="04DC05C4" w14:textId="77777777" w:rsidR="00CE0ABF" w:rsidRPr="0051081B" w:rsidRDefault="00CE0ABF" w:rsidP="000C4F43">
            <w:pPr>
              <w:jc w:val="both"/>
              <w:rPr>
                <w:sz w:val="18"/>
                <w:szCs w:val="18"/>
              </w:rPr>
            </w:pPr>
          </w:p>
        </w:tc>
        <w:tc>
          <w:tcPr>
            <w:tcW w:w="1984" w:type="dxa"/>
            <w:gridSpan w:val="2"/>
            <w:shd w:val="clear" w:color="auto" w:fill="auto"/>
            <w:vAlign w:val="bottom"/>
          </w:tcPr>
          <w:p w14:paraId="07D5D299" w14:textId="77777777" w:rsidR="00CE0ABF" w:rsidRPr="0051081B" w:rsidRDefault="00CE0ABF" w:rsidP="000C4F43">
            <w:pPr>
              <w:jc w:val="both"/>
              <w:rPr>
                <w:sz w:val="18"/>
                <w:szCs w:val="18"/>
              </w:rPr>
            </w:pPr>
          </w:p>
        </w:tc>
        <w:tc>
          <w:tcPr>
            <w:tcW w:w="1843" w:type="dxa"/>
            <w:gridSpan w:val="2"/>
            <w:shd w:val="clear" w:color="auto" w:fill="auto"/>
            <w:vAlign w:val="bottom"/>
          </w:tcPr>
          <w:p w14:paraId="30FCF95F" w14:textId="77777777" w:rsidR="00CE0ABF" w:rsidRPr="0051081B" w:rsidRDefault="00CE0ABF" w:rsidP="000C4F43">
            <w:pPr>
              <w:jc w:val="both"/>
              <w:rPr>
                <w:sz w:val="18"/>
                <w:szCs w:val="18"/>
              </w:rPr>
            </w:pPr>
          </w:p>
        </w:tc>
      </w:tr>
      <w:tr w:rsidR="00CE0ABF" w:rsidRPr="001950C9" w14:paraId="71BB3687"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465291FB"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68B72FC9" w14:textId="12F8FAC0" w:rsidR="00CE0ABF" w:rsidRPr="0051081B" w:rsidRDefault="00CE0ABF" w:rsidP="00CE0ABF">
            <w:pPr>
              <w:spacing w:before="120"/>
              <w:jc w:val="both"/>
              <w:rPr>
                <w:bCs/>
                <w:i/>
                <w:iCs/>
                <w:sz w:val="18"/>
                <w:szCs w:val="18"/>
              </w:rPr>
            </w:pPr>
            <w:r w:rsidRPr="0051081B">
              <w:rPr>
                <w:bCs/>
                <w:i/>
                <w:iCs/>
                <w:sz w:val="18"/>
                <w:szCs w:val="18"/>
              </w:rPr>
              <w:t>Rendering or Receiving Services</w:t>
            </w:r>
          </w:p>
        </w:tc>
        <w:tc>
          <w:tcPr>
            <w:tcW w:w="1843" w:type="dxa"/>
            <w:shd w:val="clear" w:color="auto" w:fill="auto"/>
            <w:vAlign w:val="bottom"/>
          </w:tcPr>
          <w:p w14:paraId="56B1178C" w14:textId="77777777" w:rsidR="00CE0ABF" w:rsidRPr="0051081B" w:rsidRDefault="00CE0ABF" w:rsidP="000C4F43">
            <w:pPr>
              <w:jc w:val="both"/>
              <w:rPr>
                <w:sz w:val="18"/>
                <w:szCs w:val="18"/>
              </w:rPr>
            </w:pPr>
          </w:p>
        </w:tc>
        <w:tc>
          <w:tcPr>
            <w:tcW w:w="1984" w:type="dxa"/>
            <w:gridSpan w:val="2"/>
            <w:shd w:val="clear" w:color="auto" w:fill="auto"/>
            <w:vAlign w:val="bottom"/>
          </w:tcPr>
          <w:p w14:paraId="62E1346B" w14:textId="77777777" w:rsidR="00CE0ABF" w:rsidRPr="0051081B" w:rsidRDefault="00CE0ABF" w:rsidP="000C4F43">
            <w:pPr>
              <w:jc w:val="both"/>
              <w:rPr>
                <w:sz w:val="18"/>
                <w:szCs w:val="18"/>
              </w:rPr>
            </w:pPr>
          </w:p>
        </w:tc>
        <w:tc>
          <w:tcPr>
            <w:tcW w:w="1843" w:type="dxa"/>
            <w:gridSpan w:val="2"/>
            <w:shd w:val="clear" w:color="auto" w:fill="auto"/>
            <w:vAlign w:val="bottom"/>
          </w:tcPr>
          <w:p w14:paraId="74A4CF8C" w14:textId="77777777" w:rsidR="00CE0ABF" w:rsidRPr="0051081B" w:rsidRDefault="00CE0ABF" w:rsidP="000C4F43">
            <w:pPr>
              <w:jc w:val="both"/>
              <w:rPr>
                <w:sz w:val="18"/>
                <w:szCs w:val="18"/>
              </w:rPr>
            </w:pPr>
          </w:p>
        </w:tc>
      </w:tr>
      <w:tr w:rsidR="00CE0ABF" w:rsidRPr="001950C9" w14:paraId="0CCE63C2"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2FD8374E"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14CE77D7" w14:textId="0166FC2A" w:rsidR="00CE0ABF" w:rsidRPr="0051081B" w:rsidRDefault="00CE0ABF" w:rsidP="000C4F43">
            <w:pPr>
              <w:jc w:val="both"/>
              <w:rPr>
                <w:sz w:val="18"/>
                <w:szCs w:val="18"/>
              </w:rPr>
            </w:pPr>
            <w:r w:rsidRPr="0051081B">
              <w:rPr>
                <w:sz w:val="18"/>
                <w:szCs w:val="18"/>
              </w:rPr>
              <w:t xml:space="preserve">Services received (aggregate) </w:t>
            </w:r>
            <w:r w:rsidRPr="0051081B">
              <w:rPr>
                <w:b/>
                <w:sz w:val="18"/>
                <w:szCs w:val="18"/>
                <w:vertAlign w:val="superscript"/>
              </w:rPr>
              <w:t>1,2</w:t>
            </w:r>
          </w:p>
        </w:tc>
        <w:tc>
          <w:tcPr>
            <w:tcW w:w="1843" w:type="dxa"/>
            <w:shd w:val="clear" w:color="auto" w:fill="auto"/>
            <w:vAlign w:val="bottom"/>
          </w:tcPr>
          <w:p w14:paraId="4FD8380A" w14:textId="77777777" w:rsidR="00CE0ABF" w:rsidRPr="0051081B" w:rsidRDefault="00CE0ABF" w:rsidP="000C4F43">
            <w:pPr>
              <w:jc w:val="both"/>
              <w:rPr>
                <w:sz w:val="18"/>
                <w:szCs w:val="18"/>
              </w:rPr>
            </w:pPr>
          </w:p>
        </w:tc>
        <w:tc>
          <w:tcPr>
            <w:tcW w:w="1984" w:type="dxa"/>
            <w:gridSpan w:val="2"/>
            <w:shd w:val="clear" w:color="auto" w:fill="auto"/>
            <w:vAlign w:val="bottom"/>
          </w:tcPr>
          <w:p w14:paraId="34EAB5AB" w14:textId="77777777" w:rsidR="00CE0ABF" w:rsidRPr="0051081B" w:rsidRDefault="00CE0ABF" w:rsidP="000C4F43">
            <w:pPr>
              <w:jc w:val="both"/>
              <w:rPr>
                <w:sz w:val="18"/>
                <w:szCs w:val="18"/>
              </w:rPr>
            </w:pPr>
          </w:p>
        </w:tc>
        <w:tc>
          <w:tcPr>
            <w:tcW w:w="1843" w:type="dxa"/>
            <w:gridSpan w:val="2"/>
            <w:shd w:val="clear" w:color="auto" w:fill="auto"/>
            <w:vAlign w:val="bottom"/>
          </w:tcPr>
          <w:p w14:paraId="2B483963" w14:textId="77777777" w:rsidR="00CE0ABF" w:rsidRPr="0051081B" w:rsidRDefault="00CE0ABF" w:rsidP="000C4F43">
            <w:pPr>
              <w:jc w:val="both"/>
              <w:rPr>
                <w:sz w:val="18"/>
                <w:szCs w:val="18"/>
              </w:rPr>
            </w:pPr>
          </w:p>
        </w:tc>
      </w:tr>
      <w:tr w:rsidR="00CE0ABF" w:rsidRPr="001950C9" w14:paraId="64751BDE"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75186D27" w14:textId="77777777" w:rsidR="00CE0ABF" w:rsidRPr="00B01585" w:rsidRDefault="00CE0ABF" w:rsidP="00101D48">
            <w:pPr>
              <w:pStyle w:val="TableReference"/>
              <w:tabs>
                <w:tab w:val="left" w:pos="3306"/>
              </w:tabs>
              <w:rPr>
                <w:rFonts w:cs="Calibri"/>
                <w:color w:val="7030A0"/>
                <w:sz w:val="14"/>
              </w:rPr>
            </w:pPr>
          </w:p>
        </w:tc>
        <w:tc>
          <w:tcPr>
            <w:tcW w:w="3260" w:type="dxa"/>
            <w:tcBorders>
              <w:left w:val="single" w:sz="4" w:space="0" w:color="auto"/>
            </w:tcBorders>
            <w:shd w:val="clear" w:color="auto" w:fill="auto"/>
            <w:vAlign w:val="bottom"/>
          </w:tcPr>
          <w:p w14:paraId="45206A1A" w14:textId="77777777" w:rsidR="00CE0ABF" w:rsidRPr="0051081B" w:rsidRDefault="00CE0ABF" w:rsidP="000C4F43">
            <w:pPr>
              <w:jc w:val="both"/>
              <w:rPr>
                <w:sz w:val="18"/>
                <w:szCs w:val="18"/>
              </w:rPr>
            </w:pPr>
          </w:p>
        </w:tc>
        <w:tc>
          <w:tcPr>
            <w:tcW w:w="1843" w:type="dxa"/>
            <w:shd w:val="clear" w:color="auto" w:fill="auto"/>
            <w:vAlign w:val="bottom"/>
          </w:tcPr>
          <w:p w14:paraId="079347E2" w14:textId="77777777" w:rsidR="00CE0ABF" w:rsidRPr="0051081B" w:rsidRDefault="00CE0ABF" w:rsidP="000C4F43">
            <w:pPr>
              <w:jc w:val="both"/>
              <w:rPr>
                <w:sz w:val="18"/>
                <w:szCs w:val="18"/>
              </w:rPr>
            </w:pPr>
          </w:p>
        </w:tc>
        <w:tc>
          <w:tcPr>
            <w:tcW w:w="1984" w:type="dxa"/>
            <w:gridSpan w:val="2"/>
            <w:shd w:val="clear" w:color="auto" w:fill="auto"/>
            <w:vAlign w:val="bottom"/>
          </w:tcPr>
          <w:p w14:paraId="383953D0" w14:textId="77777777" w:rsidR="00CE0ABF" w:rsidRPr="0051081B" w:rsidRDefault="00CE0ABF" w:rsidP="000C4F43">
            <w:pPr>
              <w:jc w:val="both"/>
              <w:rPr>
                <w:sz w:val="18"/>
                <w:szCs w:val="18"/>
              </w:rPr>
            </w:pPr>
          </w:p>
        </w:tc>
        <w:tc>
          <w:tcPr>
            <w:tcW w:w="1843" w:type="dxa"/>
            <w:gridSpan w:val="2"/>
            <w:shd w:val="clear" w:color="auto" w:fill="auto"/>
            <w:vAlign w:val="bottom"/>
          </w:tcPr>
          <w:p w14:paraId="0A511A92" w14:textId="77777777" w:rsidR="00CE0ABF" w:rsidRPr="0051081B" w:rsidRDefault="00CE0ABF" w:rsidP="000C4F43">
            <w:pPr>
              <w:jc w:val="both"/>
              <w:rPr>
                <w:sz w:val="18"/>
                <w:szCs w:val="18"/>
              </w:rPr>
            </w:pPr>
          </w:p>
        </w:tc>
      </w:tr>
      <w:tr w:rsidR="00CE0ABF" w:rsidRPr="001950C9" w14:paraId="78A49854"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52831440" w14:textId="77777777" w:rsidR="00CE0ABF" w:rsidRPr="00B01585" w:rsidRDefault="00CE0ABF" w:rsidP="00101D48">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392646C2" w14:textId="2CE0674C" w:rsidR="00CE0ABF" w:rsidRPr="0051081B" w:rsidRDefault="00CE0ABF" w:rsidP="00524980">
            <w:pPr>
              <w:spacing w:after="60"/>
              <w:jc w:val="both"/>
              <w:rPr>
                <w:sz w:val="18"/>
                <w:szCs w:val="18"/>
              </w:rPr>
            </w:pPr>
            <w:r w:rsidRPr="0051081B">
              <w:rPr>
                <w:b/>
                <w:sz w:val="18"/>
                <w:szCs w:val="18"/>
                <w:vertAlign w:val="superscript"/>
              </w:rPr>
              <w:t>1</w:t>
            </w:r>
            <w:r w:rsidRPr="0051081B">
              <w:rPr>
                <w:sz w:val="18"/>
                <w:szCs w:val="18"/>
                <w:vertAlign w:val="superscript"/>
              </w:rPr>
              <w:t xml:space="preserve"> </w:t>
            </w:r>
            <w:r w:rsidRPr="0051081B">
              <w:rPr>
                <w:sz w:val="18"/>
                <w:szCs w:val="18"/>
              </w:rPr>
              <w:t>The transactions were procured following ACT Government’s procurement procedures and in the normal course of the operations of ‘</w:t>
            </w:r>
            <w:r w:rsidR="008A2B0F" w:rsidRPr="0051081B">
              <w:rPr>
                <w:sz w:val="18"/>
                <w:szCs w:val="18"/>
              </w:rPr>
              <w:t>Burley Griffin</w:t>
            </w:r>
            <w:r w:rsidR="008A2B0F" w:rsidRPr="0051081B">
              <w:rPr>
                <w:bCs/>
                <w:sz w:val="18"/>
                <w:szCs w:val="18"/>
              </w:rPr>
              <w:t xml:space="preserve"> </w:t>
            </w:r>
            <w:r w:rsidRPr="0051081B">
              <w:rPr>
                <w:sz w:val="18"/>
                <w:szCs w:val="18"/>
              </w:rPr>
              <w:t xml:space="preserve">Agency’. </w:t>
            </w:r>
          </w:p>
          <w:p w14:paraId="192341EB" w14:textId="162896EB" w:rsidR="00CE0ABF" w:rsidRPr="0051081B" w:rsidRDefault="00CE0ABF" w:rsidP="00CE0ABF">
            <w:pPr>
              <w:spacing w:after="60"/>
              <w:jc w:val="both"/>
              <w:rPr>
                <w:sz w:val="18"/>
                <w:szCs w:val="18"/>
              </w:rPr>
            </w:pPr>
            <w:r w:rsidRPr="0051081B">
              <w:rPr>
                <w:b/>
                <w:sz w:val="18"/>
                <w:szCs w:val="18"/>
                <w:vertAlign w:val="superscript"/>
              </w:rPr>
              <w:t>2</w:t>
            </w:r>
            <w:r w:rsidRPr="0051081B">
              <w:rPr>
                <w:sz w:val="18"/>
                <w:szCs w:val="18"/>
                <w:vertAlign w:val="superscript"/>
              </w:rPr>
              <w:t xml:space="preserve"> </w:t>
            </w:r>
            <w:r w:rsidRPr="0051081B">
              <w:rPr>
                <w:sz w:val="18"/>
                <w:szCs w:val="18"/>
              </w:rPr>
              <w:t>Items of a similar nature have been aggregated, except where separate disclosure is necessary for understanding the effects of related party transactions on the financial statements of the ‘</w:t>
            </w:r>
            <w:r w:rsidR="008A2B0F" w:rsidRPr="0051081B">
              <w:rPr>
                <w:sz w:val="18"/>
                <w:szCs w:val="18"/>
              </w:rPr>
              <w:t>Burley Griffin</w:t>
            </w:r>
            <w:r w:rsidRPr="0051081B">
              <w:rPr>
                <w:sz w:val="18"/>
                <w:szCs w:val="18"/>
              </w:rPr>
              <w:t xml:space="preserve"> Agency’.</w:t>
            </w:r>
          </w:p>
        </w:tc>
      </w:tr>
      <w:tr w:rsidR="00CE0ABF" w:rsidRPr="001950C9" w14:paraId="354FF9EF"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7C592CF7" w14:textId="77777777" w:rsidR="00CE0ABF" w:rsidRPr="00B01585" w:rsidRDefault="00CE0ABF" w:rsidP="00101D48">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041F06AE" w14:textId="77777777" w:rsidR="00CE0ABF" w:rsidRPr="0051081B" w:rsidRDefault="00CE0ABF" w:rsidP="000C4F43">
            <w:pPr>
              <w:jc w:val="both"/>
              <w:rPr>
                <w:sz w:val="18"/>
                <w:szCs w:val="18"/>
              </w:rPr>
            </w:pPr>
          </w:p>
        </w:tc>
      </w:tr>
      <w:tr w:rsidR="00E85339" w:rsidRPr="001950C9" w14:paraId="4085ADC3"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vAlign w:val="bottom"/>
          </w:tcPr>
          <w:p w14:paraId="65A60523" w14:textId="77777777" w:rsidR="00E85339" w:rsidRPr="00B01585" w:rsidRDefault="00E85339" w:rsidP="00BA2EB3">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2D2005A7" w14:textId="08448F97" w:rsidR="00E85339" w:rsidRPr="0051081B" w:rsidRDefault="00332E05" w:rsidP="00524980">
            <w:pPr>
              <w:spacing w:before="120" w:after="40"/>
              <w:rPr>
                <w:sz w:val="18"/>
                <w:szCs w:val="18"/>
              </w:rPr>
            </w:pPr>
            <w:r w:rsidRPr="0051081B">
              <w:rPr>
                <w:b/>
                <w:sz w:val="18"/>
                <w:szCs w:val="18"/>
              </w:rPr>
              <w:t xml:space="preserve">(C) </w:t>
            </w:r>
            <w:r w:rsidR="007672D1" w:rsidRPr="0051081B">
              <w:rPr>
                <w:b/>
                <w:sz w:val="18"/>
                <w:szCs w:val="18"/>
              </w:rPr>
              <w:t>Transactions with other ACT Government Controlled Entities</w:t>
            </w:r>
          </w:p>
        </w:tc>
      </w:tr>
      <w:tr w:rsidR="005E2DD8" w:rsidRPr="001950C9" w14:paraId="3EAE65C7"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19A9A8A4" w14:textId="7C4B3E93" w:rsidR="005E2DD8" w:rsidRPr="00B01585" w:rsidRDefault="002B22EC" w:rsidP="00BA2144">
            <w:pPr>
              <w:pStyle w:val="TableReference"/>
              <w:tabs>
                <w:tab w:val="left" w:pos="3306"/>
              </w:tabs>
              <w:rPr>
                <w:rFonts w:cs="Calibri"/>
                <w:color w:val="7030A0"/>
                <w:sz w:val="14"/>
              </w:rPr>
            </w:pPr>
            <w:r w:rsidRPr="00B01585">
              <w:rPr>
                <w:rFonts w:cs="Calibri"/>
                <w:color w:val="7030A0"/>
                <w:sz w:val="14"/>
              </w:rPr>
              <w:t>AASB 124.25-27</w:t>
            </w:r>
          </w:p>
        </w:tc>
        <w:tc>
          <w:tcPr>
            <w:tcW w:w="8930" w:type="dxa"/>
            <w:gridSpan w:val="6"/>
            <w:tcBorders>
              <w:left w:val="single" w:sz="4" w:space="0" w:color="auto"/>
            </w:tcBorders>
            <w:shd w:val="clear" w:color="auto" w:fill="auto"/>
            <w:vAlign w:val="bottom"/>
          </w:tcPr>
          <w:p w14:paraId="1CB74A69" w14:textId="26035AA6" w:rsidR="005E2DD8" w:rsidRPr="0051081B" w:rsidRDefault="005E2DD8" w:rsidP="00BA6793">
            <w:pPr>
              <w:spacing w:after="120"/>
              <w:jc w:val="both"/>
              <w:rPr>
                <w:sz w:val="18"/>
                <w:szCs w:val="18"/>
              </w:rPr>
            </w:pPr>
            <w:r w:rsidRPr="0051081B">
              <w:rPr>
                <w:sz w:val="18"/>
                <w:szCs w:val="18"/>
              </w:rPr>
              <w:t>‘Burley Griffin Agency’ has entered into transactions with other ACT Government entities in 2022 and 2021 consistent with day-to-day business operations provided under varying terms and conditions. The notes to the Financial Statements provide the details of transactions with other ACT Government Entities.</w:t>
            </w:r>
            <w:r w:rsidR="00FA7C77">
              <w:rPr>
                <w:sz w:val="18"/>
                <w:szCs w:val="18"/>
              </w:rPr>
              <w:t xml:space="preserve"> </w:t>
            </w:r>
            <w:r w:rsidRPr="0051081B">
              <w:rPr>
                <w:sz w:val="18"/>
                <w:szCs w:val="18"/>
              </w:rPr>
              <w:t xml:space="preserve">Below is a summary of </w:t>
            </w:r>
            <w:r w:rsidR="00BD3F29" w:rsidRPr="0051081B">
              <w:rPr>
                <w:sz w:val="18"/>
                <w:szCs w:val="18"/>
              </w:rPr>
              <w:t xml:space="preserve">the Material </w:t>
            </w:r>
            <w:r w:rsidRPr="0051081B">
              <w:rPr>
                <w:sz w:val="18"/>
                <w:szCs w:val="18"/>
              </w:rPr>
              <w:t>transactions with Other ACT Government Entities.</w:t>
            </w:r>
          </w:p>
        </w:tc>
      </w:tr>
      <w:tr w:rsidR="005E2DD8" w:rsidRPr="001950C9" w14:paraId="026C2BF3"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7C150B85" w14:textId="77777777" w:rsidR="005E2DD8" w:rsidRPr="00B01585" w:rsidRDefault="005E2DD8" w:rsidP="00BA2144">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4E67E294" w14:textId="21C47605" w:rsidR="005E2DD8" w:rsidRPr="0051081B" w:rsidRDefault="005E2DD8" w:rsidP="00BA6793">
            <w:pPr>
              <w:spacing w:after="40"/>
              <w:jc w:val="both"/>
              <w:rPr>
                <w:sz w:val="18"/>
                <w:szCs w:val="18"/>
              </w:rPr>
            </w:pPr>
            <w:r w:rsidRPr="0051081B">
              <w:rPr>
                <w:i/>
                <w:iCs/>
                <w:sz w:val="18"/>
                <w:szCs w:val="18"/>
              </w:rPr>
              <w:t>Revenue</w:t>
            </w:r>
          </w:p>
        </w:tc>
      </w:tr>
      <w:tr w:rsidR="005E2DD8" w:rsidRPr="001950C9" w14:paraId="76A5A431"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5A442BAB" w14:textId="77777777" w:rsidR="005E2DD8" w:rsidRPr="00B01585" w:rsidRDefault="005E2DD8" w:rsidP="00BA2144">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044C1A9D" w14:textId="48720444" w:rsidR="005E2DD8" w:rsidRPr="0051081B" w:rsidRDefault="005E2DD8" w:rsidP="007122BC">
            <w:pPr>
              <w:pStyle w:val="ListParagraph"/>
              <w:numPr>
                <w:ilvl w:val="0"/>
                <w:numId w:val="70"/>
              </w:numPr>
              <w:spacing w:after="40"/>
              <w:ind w:left="601" w:hanging="357"/>
              <w:contextualSpacing w:val="0"/>
              <w:jc w:val="both"/>
              <w:rPr>
                <w:sz w:val="18"/>
                <w:szCs w:val="18"/>
              </w:rPr>
            </w:pPr>
            <w:r w:rsidRPr="0051081B">
              <w:rPr>
                <w:sz w:val="18"/>
                <w:szCs w:val="18"/>
              </w:rPr>
              <w:t>Appropriation (Statement of Appropriation) -</w:t>
            </w:r>
            <w:r w:rsidRPr="0051081B">
              <w:t xml:space="preserve"> </w:t>
            </w:r>
            <w:r w:rsidRPr="0051081B">
              <w:rPr>
                <w:sz w:val="18"/>
                <w:szCs w:val="18"/>
              </w:rPr>
              <w:t xml:space="preserve">The </w:t>
            </w:r>
            <w:r w:rsidR="00485AA5" w:rsidRPr="0051081B">
              <w:rPr>
                <w:sz w:val="18"/>
                <w:szCs w:val="18"/>
              </w:rPr>
              <w:t>A</w:t>
            </w:r>
            <w:r w:rsidRPr="0051081B">
              <w:rPr>
                <w:sz w:val="18"/>
                <w:szCs w:val="18"/>
              </w:rPr>
              <w:t>genc</w:t>
            </w:r>
            <w:r w:rsidR="00485AA5" w:rsidRPr="0051081B">
              <w:rPr>
                <w:sz w:val="18"/>
                <w:szCs w:val="18"/>
              </w:rPr>
              <w:t>y’</w:t>
            </w:r>
            <w:r w:rsidRPr="0051081B">
              <w:rPr>
                <w:sz w:val="18"/>
                <w:szCs w:val="18"/>
              </w:rPr>
              <w:t>s main ongoing source of funding is received from the ACT Government through the Territory Banking Account.</w:t>
            </w:r>
            <w:r w:rsidR="00FA7C77">
              <w:rPr>
                <w:sz w:val="18"/>
                <w:szCs w:val="18"/>
              </w:rPr>
              <w:t xml:space="preserve"> </w:t>
            </w:r>
            <w:r w:rsidRPr="0051081B">
              <w:rPr>
                <w:sz w:val="18"/>
                <w:szCs w:val="18"/>
              </w:rPr>
              <w:t>This funding is in the form of Controlled Recurrent Payment appropriation and Capital Injection appropriation.</w:t>
            </w:r>
            <w:r w:rsidR="00FA7C77">
              <w:rPr>
                <w:sz w:val="18"/>
                <w:szCs w:val="18"/>
              </w:rPr>
              <w:t xml:space="preserve"> </w:t>
            </w:r>
          </w:p>
        </w:tc>
      </w:tr>
      <w:tr w:rsidR="005E2DD8" w:rsidRPr="001950C9" w14:paraId="6D7F5976"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4772B02D" w14:textId="77777777" w:rsidR="005E2DD8" w:rsidRPr="00B01585" w:rsidRDefault="005E2DD8" w:rsidP="00BA2144">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15DD7FDF" w14:textId="25625DF7" w:rsidR="005E2DD8" w:rsidRPr="0051081B" w:rsidRDefault="005E2DD8" w:rsidP="007122BC">
            <w:pPr>
              <w:pStyle w:val="ListParagraph"/>
              <w:numPr>
                <w:ilvl w:val="0"/>
                <w:numId w:val="70"/>
              </w:numPr>
              <w:spacing w:after="40"/>
              <w:ind w:left="601" w:hanging="357"/>
              <w:contextualSpacing w:val="0"/>
              <w:jc w:val="both"/>
              <w:rPr>
                <w:sz w:val="18"/>
                <w:szCs w:val="18"/>
              </w:rPr>
            </w:pPr>
            <w:r w:rsidRPr="0051081B">
              <w:rPr>
                <w:sz w:val="18"/>
                <w:szCs w:val="18"/>
              </w:rPr>
              <w:t>Sales of Goods and Services from Contracts</w:t>
            </w:r>
            <w:r w:rsidR="00C61909">
              <w:rPr>
                <w:sz w:val="18"/>
                <w:szCs w:val="18"/>
              </w:rPr>
              <w:t xml:space="preserve"> with Customers</w:t>
            </w:r>
            <w:r w:rsidRPr="0051081B">
              <w:rPr>
                <w:sz w:val="18"/>
                <w:szCs w:val="18"/>
              </w:rPr>
              <w:t xml:space="preserve"> (Note 5) </w:t>
            </w:r>
            <w:r w:rsidR="00485AA5" w:rsidRPr="0051081B">
              <w:rPr>
                <w:sz w:val="18"/>
                <w:szCs w:val="18"/>
              </w:rPr>
              <w:t>–</w:t>
            </w:r>
            <w:r w:rsidR="00140C8A" w:rsidRPr="0051081B">
              <w:rPr>
                <w:sz w:val="18"/>
                <w:szCs w:val="18"/>
              </w:rPr>
              <w:t xml:space="preserve"> </w:t>
            </w:r>
            <w:r w:rsidR="00485AA5" w:rsidRPr="0051081B">
              <w:rPr>
                <w:sz w:val="18"/>
                <w:szCs w:val="18"/>
              </w:rPr>
              <w:t>The Agency receive</w:t>
            </w:r>
            <w:r w:rsidR="00CD19DC" w:rsidRPr="0051081B">
              <w:rPr>
                <w:sz w:val="18"/>
                <w:szCs w:val="18"/>
              </w:rPr>
              <w:t>d</w:t>
            </w:r>
            <w:r w:rsidR="00485AA5" w:rsidRPr="0051081B">
              <w:rPr>
                <w:sz w:val="18"/>
                <w:szCs w:val="18"/>
              </w:rPr>
              <w:t xml:space="preserve"> </w:t>
            </w:r>
            <w:r w:rsidR="00D4476D" w:rsidRPr="0051081B">
              <w:rPr>
                <w:sz w:val="18"/>
                <w:szCs w:val="18"/>
              </w:rPr>
              <w:t>$xxx</w:t>
            </w:r>
            <w:r w:rsidR="00914A27" w:rsidRPr="0051081B">
              <w:rPr>
                <w:sz w:val="18"/>
                <w:szCs w:val="18"/>
              </w:rPr>
              <w:t xml:space="preserve"> in 2022</w:t>
            </w:r>
            <w:r w:rsidR="00D4476D" w:rsidRPr="0051081B">
              <w:rPr>
                <w:sz w:val="18"/>
                <w:szCs w:val="18"/>
              </w:rPr>
              <w:t xml:space="preserve"> </w:t>
            </w:r>
            <w:r w:rsidR="00914A27" w:rsidRPr="0051081B">
              <w:rPr>
                <w:sz w:val="18"/>
                <w:szCs w:val="18"/>
              </w:rPr>
              <w:t>for</w:t>
            </w:r>
            <w:r w:rsidR="00D4476D" w:rsidRPr="0051081B">
              <w:rPr>
                <w:sz w:val="18"/>
                <w:szCs w:val="18"/>
              </w:rPr>
              <w:t xml:space="preserve"> </w:t>
            </w:r>
            <w:r w:rsidR="00485AA5" w:rsidRPr="0051081B">
              <w:rPr>
                <w:sz w:val="18"/>
                <w:szCs w:val="18"/>
              </w:rPr>
              <w:t xml:space="preserve">revenue from other ACT </w:t>
            </w:r>
            <w:r w:rsidR="00C958E9" w:rsidRPr="0051081B">
              <w:rPr>
                <w:sz w:val="18"/>
                <w:szCs w:val="18"/>
              </w:rPr>
              <w:t>Government</w:t>
            </w:r>
            <w:r w:rsidR="00485AA5" w:rsidRPr="0051081B">
              <w:rPr>
                <w:sz w:val="18"/>
                <w:szCs w:val="18"/>
              </w:rPr>
              <w:t xml:space="preserve"> Entities for undertaking </w:t>
            </w:r>
            <w:r w:rsidRPr="0051081B">
              <w:rPr>
                <w:sz w:val="18"/>
                <w:szCs w:val="18"/>
              </w:rPr>
              <w:t xml:space="preserve">the management of government owned commercial buildings, government office accommodation, multi-purpose buildings and leases of commercial buildings on behalf of the Territory. </w:t>
            </w:r>
          </w:p>
        </w:tc>
      </w:tr>
      <w:tr w:rsidR="000A1EDA" w:rsidRPr="001950C9" w14:paraId="0262F72B"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26170DE1" w14:textId="77777777" w:rsidR="000A1EDA" w:rsidRPr="00B01585" w:rsidRDefault="000A1EDA" w:rsidP="00DA5473">
            <w:pPr>
              <w:pStyle w:val="TableReference"/>
              <w:tabs>
                <w:tab w:val="left" w:pos="3306"/>
              </w:tabs>
              <w:spacing w:before="240" w:after="240"/>
              <w:rPr>
                <w:rFonts w:cs="Calibri"/>
                <w:color w:val="7030A0"/>
                <w:sz w:val="14"/>
              </w:rPr>
            </w:pPr>
            <w:r w:rsidRPr="00B01585">
              <w:rPr>
                <w:color w:val="7030A0"/>
                <w:sz w:val="24"/>
                <w:szCs w:val="16"/>
              </w:rPr>
              <w:br w:type="page"/>
            </w:r>
            <w:r w:rsidRPr="00B01585">
              <w:rPr>
                <w:b/>
                <w:color w:val="7030A0"/>
                <w:sz w:val="22"/>
                <w:szCs w:val="22"/>
              </w:rPr>
              <w:t>Reference</w:t>
            </w:r>
          </w:p>
        </w:tc>
        <w:tc>
          <w:tcPr>
            <w:tcW w:w="8930" w:type="dxa"/>
            <w:gridSpan w:val="6"/>
            <w:tcBorders>
              <w:left w:val="single" w:sz="4" w:space="0" w:color="auto"/>
            </w:tcBorders>
            <w:shd w:val="clear" w:color="auto" w:fill="auto"/>
            <w:vAlign w:val="bottom"/>
          </w:tcPr>
          <w:p w14:paraId="5D7C3DFD" w14:textId="77777777" w:rsidR="000A1EDA" w:rsidRPr="0051081B" w:rsidRDefault="000A1EDA" w:rsidP="000A1EDA">
            <w:pPr>
              <w:spacing w:before="240" w:after="240"/>
              <w:rPr>
                <w:sz w:val="18"/>
                <w:szCs w:val="18"/>
              </w:rPr>
            </w:pPr>
            <w:r w:rsidRPr="0051081B">
              <w:rPr>
                <w:rFonts w:ascii="Arial" w:hAnsi="Arial" w:cs="Arial"/>
                <w:b/>
                <w:sz w:val="32"/>
                <w:szCs w:val="32"/>
              </w:rPr>
              <w:t>NOTE 38.</w:t>
            </w:r>
            <w:r>
              <w:rPr>
                <w:rFonts w:ascii="Arial" w:hAnsi="Arial" w:cs="Arial"/>
                <w:b/>
                <w:sz w:val="32"/>
                <w:szCs w:val="32"/>
              </w:rPr>
              <w:t xml:space="preserve"> </w:t>
            </w:r>
            <w:r w:rsidRPr="0051081B">
              <w:rPr>
                <w:rFonts w:ascii="Arial" w:hAnsi="Arial" w:cs="Arial"/>
                <w:b/>
                <w:sz w:val="32"/>
                <w:szCs w:val="32"/>
              </w:rPr>
              <w:t xml:space="preserve"> RELATED PARTY DISCLOSURES – CONTINUED </w:t>
            </w:r>
          </w:p>
        </w:tc>
      </w:tr>
      <w:tr w:rsidR="005E2DD8" w:rsidRPr="001950C9" w14:paraId="2FD1C9D0"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3CE9D80A" w14:textId="77777777" w:rsidR="005E2DD8" w:rsidRPr="00B01585" w:rsidRDefault="005E2DD8" w:rsidP="00BA2144">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7211CC26" w14:textId="55AEBDB9" w:rsidR="005E2DD8" w:rsidRPr="0051081B" w:rsidRDefault="00140C8A" w:rsidP="007122BC">
            <w:pPr>
              <w:pStyle w:val="ListParagraph"/>
              <w:numPr>
                <w:ilvl w:val="0"/>
                <w:numId w:val="70"/>
              </w:numPr>
              <w:spacing w:after="40"/>
              <w:ind w:left="604"/>
              <w:contextualSpacing w:val="0"/>
              <w:jc w:val="both"/>
              <w:rPr>
                <w:sz w:val="18"/>
                <w:szCs w:val="18"/>
              </w:rPr>
            </w:pPr>
            <w:r w:rsidRPr="0051081B">
              <w:rPr>
                <w:sz w:val="18"/>
                <w:szCs w:val="18"/>
              </w:rPr>
              <w:t xml:space="preserve">Resources Received Free of Charge (Note 6) – The agency </w:t>
            </w:r>
            <w:r w:rsidR="00914A27" w:rsidRPr="0051081B">
              <w:rPr>
                <w:sz w:val="18"/>
                <w:szCs w:val="18"/>
              </w:rPr>
              <w:t xml:space="preserve">received $xxx in 2022 for </w:t>
            </w:r>
            <w:r w:rsidRPr="0051081B">
              <w:rPr>
                <w:sz w:val="18"/>
                <w:szCs w:val="18"/>
              </w:rPr>
              <w:t>legal services free of charge from the Government Solicitors Office, Volunteer services from Other Directorate staff, and Finance and Human Resources services free of charge from Shared Shares.</w:t>
            </w:r>
          </w:p>
        </w:tc>
      </w:tr>
      <w:tr w:rsidR="005E2DD8" w:rsidRPr="001950C9" w14:paraId="33140D29"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3EDBB243" w14:textId="77777777" w:rsidR="005E2DD8" w:rsidRPr="00B01585" w:rsidRDefault="005E2DD8" w:rsidP="00BA2144">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0D528DBC" w14:textId="15010FB9" w:rsidR="005E2DD8" w:rsidRPr="0051081B" w:rsidRDefault="00140C8A" w:rsidP="007122BC">
            <w:pPr>
              <w:pStyle w:val="ListParagraph"/>
              <w:numPr>
                <w:ilvl w:val="0"/>
                <w:numId w:val="70"/>
              </w:numPr>
              <w:spacing w:after="40"/>
              <w:ind w:left="604"/>
              <w:contextualSpacing w:val="0"/>
              <w:jc w:val="both"/>
              <w:rPr>
                <w:sz w:val="18"/>
                <w:szCs w:val="18"/>
              </w:rPr>
            </w:pPr>
            <w:r w:rsidRPr="0051081B">
              <w:rPr>
                <w:sz w:val="18"/>
                <w:szCs w:val="18"/>
              </w:rPr>
              <w:t xml:space="preserve">Distribution </w:t>
            </w:r>
            <w:r w:rsidR="003377CB" w:rsidRPr="0051081B">
              <w:rPr>
                <w:sz w:val="18"/>
                <w:szCs w:val="18"/>
              </w:rPr>
              <w:t>R</w:t>
            </w:r>
            <w:r w:rsidRPr="0051081B">
              <w:rPr>
                <w:sz w:val="18"/>
                <w:szCs w:val="18"/>
              </w:rPr>
              <w:t>evenue from TBA (</w:t>
            </w:r>
            <w:r w:rsidR="003377CB" w:rsidRPr="0051081B">
              <w:rPr>
                <w:sz w:val="18"/>
                <w:szCs w:val="18"/>
              </w:rPr>
              <w:t>N</w:t>
            </w:r>
            <w:r w:rsidRPr="0051081B">
              <w:rPr>
                <w:sz w:val="18"/>
                <w:szCs w:val="18"/>
              </w:rPr>
              <w:t xml:space="preserve">ote 7) – The agency </w:t>
            </w:r>
            <w:r w:rsidR="00914A27" w:rsidRPr="0051081B">
              <w:rPr>
                <w:sz w:val="18"/>
                <w:szCs w:val="18"/>
              </w:rPr>
              <w:t>received $xxx in 2022 for</w:t>
            </w:r>
            <w:r w:rsidR="00E473EA" w:rsidRPr="0051081B">
              <w:rPr>
                <w:sz w:val="18"/>
                <w:szCs w:val="18"/>
              </w:rPr>
              <w:t xml:space="preserve"> investment distribution from </w:t>
            </w:r>
            <w:r w:rsidR="00AB56E8" w:rsidRPr="0051081B">
              <w:rPr>
                <w:sz w:val="18"/>
                <w:szCs w:val="18"/>
              </w:rPr>
              <w:t>the Territory Banking Account</w:t>
            </w:r>
            <w:r w:rsidR="00E473EA" w:rsidRPr="0051081B">
              <w:rPr>
                <w:sz w:val="18"/>
                <w:szCs w:val="18"/>
              </w:rPr>
              <w:t>.</w:t>
            </w:r>
            <w:r w:rsidR="00AB56E8" w:rsidRPr="0051081B">
              <w:rPr>
                <w:sz w:val="18"/>
                <w:szCs w:val="18"/>
              </w:rPr>
              <w:t xml:space="preserve"> </w:t>
            </w:r>
          </w:p>
        </w:tc>
      </w:tr>
      <w:tr w:rsidR="00F75C65" w:rsidRPr="001950C9" w14:paraId="32866C24"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5E14AB06" w14:textId="77777777" w:rsidR="00F75C65" w:rsidRPr="00B01585" w:rsidRDefault="00F75C65" w:rsidP="00BA2144">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59F1F665" w14:textId="06948D38" w:rsidR="00F75C65" w:rsidRPr="0051081B" w:rsidRDefault="00F75C65" w:rsidP="007122BC">
            <w:pPr>
              <w:pStyle w:val="ListParagraph"/>
              <w:numPr>
                <w:ilvl w:val="0"/>
                <w:numId w:val="70"/>
              </w:numPr>
              <w:spacing w:after="40"/>
              <w:ind w:left="604"/>
              <w:contextualSpacing w:val="0"/>
              <w:jc w:val="both"/>
              <w:rPr>
                <w:sz w:val="18"/>
                <w:szCs w:val="18"/>
              </w:rPr>
            </w:pPr>
            <w:r w:rsidRPr="0051081B">
              <w:rPr>
                <w:sz w:val="18"/>
                <w:szCs w:val="18"/>
              </w:rPr>
              <w:t>Gains from Disposals, Derecognition and Remeasurement of Assets (Note 8) - The Agency made</w:t>
            </w:r>
            <w:r w:rsidR="00914A27" w:rsidRPr="0051081B">
              <w:rPr>
                <w:sz w:val="18"/>
                <w:szCs w:val="18"/>
              </w:rPr>
              <w:t xml:space="preserve"> $xxx in 2022 for</w:t>
            </w:r>
            <w:r w:rsidRPr="0051081B">
              <w:rPr>
                <w:sz w:val="18"/>
                <w:szCs w:val="18"/>
              </w:rPr>
              <w:t xml:space="preserve"> Gains from the disposal of investments with the Territory Banking Account. </w:t>
            </w:r>
          </w:p>
        </w:tc>
      </w:tr>
      <w:tr w:rsidR="0051081B" w:rsidRPr="001950C9" w14:paraId="53D1582F"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0A51C7E1"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7E6DC2A6" w14:textId="0C56A3EF" w:rsidR="0051081B" w:rsidRPr="0051081B" w:rsidRDefault="0051081B" w:rsidP="007122BC">
            <w:pPr>
              <w:pStyle w:val="ListParagraph"/>
              <w:numPr>
                <w:ilvl w:val="0"/>
                <w:numId w:val="70"/>
              </w:numPr>
              <w:spacing w:after="40"/>
              <w:ind w:left="604"/>
              <w:contextualSpacing w:val="0"/>
              <w:jc w:val="both"/>
              <w:rPr>
                <w:sz w:val="18"/>
                <w:szCs w:val="18"/>
              </w:rPr>
            </w:pPr>
            <w:r w:rsidRPr="0051081B">
              <w:rPr>
                <w:sz w:val="18"/>
                <w:szCs w:val="18"/>
              </w:rPr>
              <w:t>Other Income (Note 9) – The agency received $xxx in 2022 for insurance recoveries from the ACT Insurance Authority.</w:t>
            </w:r>
          </w:p>
        </w:tc>
      </w:tr>
      <w:tr w:rsidR="0051081B" w:rsidRPr="001950C9" w14:paraId="1D52704E"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53E47CA5"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7F8E9E0E" w14:textId="461A5B48" w:rsidR="0051081B" w:rsidRPr="0051081B" w:rsidRDefault="0051081B" w:rsidP="0051081B">
            <w:pPr>
              <w:jc w:val="both"/>
              <w:rPr>
                <w:i/>
                <w:iCs/>
                <w:sz w:val="18"/>
                <w:szCs w:val="18"/>
              </w:rPr>
            </w:pPr>
            <w:r w:rsidRPr="0051081B">
              <w:rPr>
                <w:i/>
                <w:iCs/>
                <w:sz w:val="18"/>
                <w:szCs w:val="18"/>
              </w:rPr>
              <w:t>Expenses</w:t>
            </w:r>
          </w:p>
        </w:tc>
      </w:tr>
      <w:tr w:rsidR="0051081B" w:rsidRPr="001950C9" w14:paraId="4B8D17D2"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4B38E80D"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612B0C8B" w14:textId="46C28507" w:rsidR="0051081B" w:rsidRPr="0051081B" w:rsidRDefault="0051081B" w:rsidP="007122BC">
            <w:pPr>
              <w:pStyle w:val="ListParagraph"/>
              <w:numPr>
                <w:ilvl w:val="0"/>
                <w:numId w:val="70"/>
              </w:numPr>
              <w:spacing w:after="40"/>
              <w:ind w:left="601" w:hanging="357"/>
              <w:contextualSpacing w:val="0"/>
              <w:jc w:val="both"/>
              <w:rPr>
                <w:sz w:val="18"/>
                <w:szCs w:val="18"/>
              </w:rPr>
            </w:pPr>
            <w:r w:rsidRPr="0051081B">
              <w:rPr>
                <w:sz w:val="18"/>
                <w:szCs w:val="18"/>
              </w:rPr>
              <w:t xml:space="preserve">Supplies and Services (Note 11) – The Agency paid $xxx in 2022 to the ACT </w:t>
            </w:r>
            <w:r w:rsidR="00173796">
              <w:rPr>
                <w:sz w:val="18"/>
                <w:szCs w:val="18"/>
              </w:rPr>
              <w:t>Audit Office</w:t>
            </w:r>
            <w:r w:rsidRPr="0051081B">
              <w:rPr>
                <w:sz w:val="18"/>
                <w:szCs w:val="18"/>
              </w:rPr>
              <w:t xml:space="preserve"> for audit services, pays insurance premiums to the ACT Insurance Authority and pays Shared Services for IT services and equipment. </w:t>
            </w:r>
          </w:p>
        </w:tc>
      </w:tr>
      <w:tr w:rsidR="0051081B" w:rsidRPr="001950C9" w14:paraId="3A3A3EBF"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3ACD9AF6"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7CBEAE86" w14:textId="090390DC" w:rsidR="0051081B" w:rsidRPr="0051081B" w:rsidRDefault="0051081B" w:rsidP="007122BC">
            <w:pPr>
              <w:pStyle w:val="ListParagraph"/>
              <w:numPr>
                <w:ilvl w:val="0"/>
                <w:numId w:val="70"/>
              </w:numPr>
              <w:spacing w:after="40"/>
              <w:ind w:left="601" w:hanging="357"/>
              <w:contextualSpacing w:val="0"/>
              <w:jc w:val="both"/>
              <w:rPr>
                <w:sz w:val="18"/>
                <w:szCs w:val="18"/>
              </w:rPr>
            </w:pPr>
            <w:r w:rsidRPr="0051081B">
              <w:rPr>
                <w:sz w:val="18"/>
                <w:szCs w:val="18"/>
              </w:rPr>
              <w:t>Grants and Purchased Services (</w:t>
            </w:r>
            <w:r w:rsidR="00C61909">
              <w:rPr>
                <w:sz w:val="18"/>
                <w:szCs w:val="18"/>
              </w:rPr>
              <w:t>N</w:t>
            </w:r>
            <w:r w:rsidRPr="0051081B">
              <w:rPr>
                <w:sz w:val="18"/>
                <w:szCs w:val="18"/>
              </w:rPr>
              <w:t>ote 12) – The Agency provided $xxx in grants to other ACT Government Agencies for general assistance or for a particular purpose.</w:t>
            </w:r>
          </w:p>
        </w:tc>
      </w:tr>
      <w:tr w:rsidR="0051081B" w:rsidRPr="001950C9" w14:paraId="4AC2CA4A"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2035B1DE"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46F54772" w14:textId="5BBBC569" w:rsidR="0051081B" w:rsidRPr="0051081B" w:rsidRDefault="0051081B" w:rsidP="007122BC">
            <w:pPr>
              <w:pStyle w:val="ListParagraph"/>
              <w:numPr>
                <w:ilvl w:val="0"/>
                <w:numId w:val="70"/>
              </w:numPr>
              <w:spacing w:after="120"/>
              <w:ind w:left="601" w:hanging="357"/>
              <w:contextualSpacing w:val="0"/>
              <w:jc w:val="both"/>
              <w:rPr>
                <w:sz w:val="18"/>
                <w:szCs w:val="18"/>
              </w:rPr>
            </w:pPr>
            <w:r w:rsidRPr="0051081B">
              <w:rPr>
                <w:sz w:val="18"/>
                <w:szCs w:val="18"/>
              </w:rPr>
              <w:t>Other Expenses (Note 14) – The Agency made losses of $xxx in 2022 from assets donated to Other ACT Government Agencies.</w:t>
            </w:r>
          </w:p>
        </w:tc>
      </w:tr>
      <w:tr w:rsidR="0051081B" w:rsidRPr="001950C9" w14:paraId="54CD5BDE"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0EA8645C"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6D1EE1E7" w14:textId="7CB61E3D" w:rsidR="0051081B" w:rsidRPr="0051081B" w:rsidRDefault="0051081B" w:rsidP="0051081B">
            <w:pPr>
              <w:jc w:val="both"/>
              <w:rPr>
                <w:i/>
                <w:iCs/>
                <w:sz w:val="18"/>
                <w:szCs w:val="18"/>
              </w:rPr>
            </w:pPr>
            <w:r w:rsidRPr="0051081B">
              <w:rPr>
                <w:i/>
                <w:iCs/>
                <w:sz w:val="18"/>
                <w:szCs w:val="18"/>
              </w:rPr>
              <w:t>Assets</w:t>
            </w:r>
          </w:p>
        </w:tc>
      </w:tr>
      <w:tr w:rsidR="0051081B" w:rsidRPr="001950C9" w14:paraId="190B2155"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27D17B30"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2A6FAB4B" w14:textId="2900A814" w:rsidR="0051081B" w:rsidRPr="0051081B" w:rsidRDefault="0051081B" w:rsidP="007122BC">
            <w:pPr>
              <w:pStyle w:val="ListParagraph"/>
              <w:numPr>
                <w:ilvl w:val="0"/>
                <w:numId w:val="70"/>
              </w:numPr>
              <w:spacing w:after="40"/>
              <w:ind w:left="601" w:hanging="357"/>
              <w:contextualSpacing w:val="0"/>
              <w:jc w:val="both"/>
              <w:rPr>
                <w:sz w:val="18"/>
                <w:szCs w:val="18"/>
              </w:rPr>
            </w:pPr>
            <w:r w:rsidRPr="0051081B">
              <w:rPr>
                <w:sz w:val="18"/>
                <w:szCs w:val="18"/>
              </w:rPr>
              <w:t>Cash and Investments (Note 15) – The Agency holds $xxx in ‘investment unit holdings’ with the Territory Banking Account at the end of 2022.</w:t>
            </w:r>
          </w:p>
        </w:tc>
      </w:tr>
      <w:tr w:rsidR="0051081B" w:rsidRPr="001950C9" w14:paraId="4934179F"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0D850E08"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4477F663" w14:textId="2038CC5B" w:rsidR="0051081B" w:rsidRPr="0051081B" w:rsidRDefault="0051081B" w:rsidP="007122BC">
            <w:pPr>
              <w:pStyle w:val="ListParagraph"/>
              <w:numPr>
                <w:ilvl w:val="0"/>
                <w:numId w:val="70"/>
              </w:numPr>
              <w:spacing w:after="40"/>
              <w:ind w:left="601" w:hanging="357"/>
              <w:contextualSpacing w:val="0"/>
              <w:jc w:val="both"/>
              <w:rPr>
                <w:sz w:val="18"/>
                <w:szCs w:val="18"/>
              </w:rPr>
            </w:pPr>
            <w:r w:rsidRPr="0051081B">
              <w:rPr>
                <w:sz w:val="18"/>
                <w:szCs w:val="18"/>
              </w:rPr>
              <w:t>Receivables and Contract Assets (Note 16) – The Agency has $xxx in accounts receivables and Property Management Service Contract Assets with other ACT Government Entities at the end of 2022.</w:t>
            </w:r>
            <w:r w:rsidR="00FA7C77">
              <w:rPr>
                <w:sz w:val="18"/>
                <w:szCs w:val="18"/>
              </w:rPr>
              <w:t xml:space="preserve"> </w:t>
            </w:r>
          </w:p>
        </w:tc>
      </w:tr>
      <w:tr w:rsidR="0051081B" w:rsidRPr="001950C9" w14:paraId="509F14EA"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4BDFB109"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5F977637" w14:textId="244D74C5" w:rsidR="0051081B" w:rsidRPr="0051081B" w:rsidRDefault="0051081B" w:rsidP="007122BC">
            <w:pPr>
              <w:pStyle w:val="ListParagraph"/>
              <w:numPr>
                <w:ilvl w:val="0"/>
                <w:numId w:val="70"/>
              </w:numPr>
              <w:spacing w:after="120"/>
              <w:ind w:left="601" w:hanging="357"/>
              <w:contextualSpacing w:val="0"/>
              <w:jc w:val="both"/>
              <w:rPr>
                <w:sz w:val="18"/>
                <w:szCs w:val="18"/>
              </w:rPr>
            </w:pPr>
            <w:r w:rsidRPr="0051081B">
              <w:rPr>
                <w:sz w:val="18"/>
                <w:szCs w:val="18"/>
              </w:rPr>
              <w:t xml:space="preserve">Inventories </w:t>
            </w:r>
            <w:r w:rsidR="00C61909">
              <w:rPr>
                <w:sz w:val="18"/>
                <w:szCs w:val="18"/>
              </w:rPr>
              <w:t xml:space="preserve">(Note 17) </w:t>
            </w:r>
            <w:r w:rsidRPr="0051081B">
              <w:rPr>
                <w:sz w:val="18"/>
                <w:szCs w:val="18"/>
              </w:rPr>
              <w:t>– The Agency provides inventories to Other ACT Government Agencies.</w:t>
            </w:r>
          </w:p>
        </w:tc>
      </w:tr>
      <w:tr w:rsidR="0051081B" w:rsidRPr="001950C9" w14:paraId="147B3940"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1B9AE632"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207DC855" w14:textId="2A26F867" w:rsidR="0051081B" w:rsidRPr="0051081B" w:rsidRDefault="0051081B" w:rsidP="0051081B">
            <w:pPr>
              <w:spacing w:after="40"/>
              <w:jc w:val="both"/>
              <w:rPr>
                <w:i/>
                <w:iCs/>
                <w:sz w:val="18"/>
                <w:szCs w:val="18"/>
              </w:rPr>
            </w:pPr>
            <w:r w:rsidRPr="0051081B">
              <w:rPr>
                <w:i/>
                <w:iCs/>
                <w:sz w:val="18"/>
                <w:szCs w:val="18"/>
              </w:rPr>
              <w:t>Liabilities</w:t>
            </w:r>
          </w:p>
        </w:tc>
      </w:tr>
      <w:tr w:rsidR="0051081B" w:rsidRPr="001950C9" w14:paraId="410EF4BE"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146714DA"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5197A12C" w14:textId="7593FE58" w:rsidR="0051081B" w:rsidRPr="0051081B" w:rsidRDefault="0051081B" w:rsidP="007122BC">
            <w:pPr>
              <w:pStyle w:val="ListParagraph"/>
              <w:numPr>
                <w:ilvl w:val="0"/>
                <w:numId w:val="70"/>
              </w:numPr>
              <w:spacing w:after="40"/>
              <w:ind w:left="601" w:hanging="357"/>
              <w:contextualSpacing w:val="0"/>
              <w:jc w:val="both"/>
              <w:rPr>
                <w:sz w:val="18"/>
                <w:szCs w:val="18"/>
              </w:rPr>
            </w:pPr>
            <w:r w:rsidRPr="0051081B">
              <w:rPr>
                <w:sz w:val="18"/>
                <w:szCs w:val="18"/>
              </w:rPr>
              <w:t xml:space="preserve">Borrowings </w:t>
            </w:r>
            <w:r w:rsidR="00C61909">
              <w:rPr>
                <w:sz w:val="18"/>
                <w:szCs w:val="18"/>
              </w:rPr>
              <w:t xml:space="preserve">(Note 25) </w:t>
            </w:r>
            <w:r w:rsidRPr="0051081B">
              <w:rPr>
                <w:sz w:val="18"/>
                <w:szCs w:val="18"/>
              </w:rPr>
              <w:t xml:space="preserve">– The Agency holds $xxx in ACT Government Borrowing through the Territory Banking Account at the end of 2022. </w:t>
            </w:r>
          </w:p>
        </w:tc>
      </w:tr>
      <w:tr w:rsidR="0051081B" w:rsidRPr="001950C9" w14:paraId="140F8642"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6DE64914"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368E819F" w14:textId="7C6F2F28" w:rsidR="0051081B" w:rsidRPr="0051081B" w:rsidRDefault="0051081B" w:rsidP="007122BC">
            <w:pPr>
              <w:pStyle w:val="ListParagraph"/>
              <w:numPr>
                <w:ilvl w:val="0"/>
                <w:numId w:val="70"/>
              </w:numPr>
              <w:spacing w:after="120"/>
              <w:ind w:left="601" w:hanging="357"/>
              <w:contextualSpacing w:val="0"/>
              <w:jc w:val="both"/>
              <w:rPr>
                <w:sz w:val="18"/>
                <w:szCs w:val="18"/>
              </w:rPr>
            </w:pPr>
            <w:r w:rsidRPr="0051081B">
              <w:rPr>
                <w:sz w:val="18"/>
                <w:szCs w:val="18"/>
              </w:rPr>
              <w:t xml:space="preserve">Employee Benefits (Note 27) – Superannuation liabilities of $xxx for ‘Burley Griffin Agency’ staff that are part of the CSS and PSS are held by the Superannuation Provision Account. </w:t>
            </w:r>
          </w:p>
        </w:tc>
      </w:tr>
      <w:tr w:rsidR="0051081B" w:rsidRPr="001950C9" w14:paraId="25D1A695"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73E11DF4"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1E470684" w14:textId="6AD7E5EB" w:rsidR="0051081B" w:rsidRPr="0051081B" w:rsidRDefault="0051081B" w:rsidP="0051081B">
            <w:pPr>
              <w:spacing w:after="40"/>
              <w:jc w:val="both"/>
              <w:rPr>
                <w:i/>
                <w:iCs/>
                <w:sz w:val="18"/>
                <w:szCs w:val="18"/>
              </w:rPr>
            </w:pPr>
            <w:r w:rsidRPr="0051081B">
              <w:rPr>
                <w:i/>
                <w:iCs/>
                <w:sz w:val="18"/>
                <w:szCs w:val="18"/>
              </w:rPr>
              <w:t>Other</w:t>
            </w:r>
          </w:p>
        </w:tc>
      </w:tr>
      <w:tr w:rsidR="0051081B" w:rsidRPr="001950C9" w14:paraId="741A4B37"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08D19D51"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6C8CE42C" w14:textId="38B58D05" w:rsidR="0051081B" w:rsidRPr="0051081B" w:rsidRDefault="0051081B" w:rsidP="007122BC">
            <w:pPr>
              <w:pStyle w:val="ListParagraph"/>
              <w:numPr>
                <w:ilvl w:val="0"/>
                <w:numId w:val="70"/>
              </w:numPr>
              <w:spacing w:after="40"/>
              <w:ind w:left="601" w:hanging="357"/>
              <w:contextualSpacing w:val="0"/>
              <w:jc w:val="both"/>
              <w:rPr>
                <w:sz w:val="18"/>
                <w:szCs w:val="18"/>
              </w:rPr>
            </w:pPr>
            <w:r w:rsidRPr="0051081B">
              <w:rPr>
                <w:sz w:val="18"/>
                <w:szCs w:val="18"/>
              </w:rPr>
              <w:t>Restructures of Administrative Arrangements (Note 30) - Restructures of Administrative Arrangements has occur with the ABC Directorate in 2022 and XYZ Directorate in 2021.</w:t>
            </w:r>
          </w:p>
        </w:tc>
      </w:tr>
      <w:tr w:rsidR="0051081B" w:rsidRPr="001950C9" w14:paraId="31D26077"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693416D9"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0E5D715B" w14:textId="32141277" w:rsidR="0051081B" w:rsidRPr="0051081B" w:rsidRDefault="0051081B" w:rsidP="007122BC">
            <w:pPr>
              <w:pStyle w:val="ListParagraph"/>
              <w:numPr>
                <w:ilvl w:val="0"/>
                <w:numId w:val="70"/>
              </w:numPr>
              <w:spacing w:after="40"/>
              <w:ind w:left="601" w:hanging="357"/>
              <w:contextualSpacing w:val="0"/>
              <w:jc w:val="both"/>
              <w:rPr>
                <w:sz w:val="18"/>
                <w:szCs w:val="18"/>
              </w:rPr>
            </w:pPr>
            <w:r w:rsidRPr="0051081B">
              <w:rPr>
                <w:sz w:val="18"/>
                <w:szCs w:val="18"/>
              </w:rPr>
              <w:t xml:space="preserve">Interest in a Joint Venture (Note 34) – The Agency has a 50% ownership interest in ‘Example Joint Venture Entity’. </w:t>
            </w:r>
          </w:p>
        </w:tc>
      </w:tr>
      <w:tr w:rsidR="0051081B" w:rsidRPr="001950C9" w14:paraId="0AF467CD"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27487D8A"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auto"/>
            <w:vAlign w:val="bottom"/>
          </w:tcPr>
          <w:p w14:paraId="74FDA10A" w14:textId="69F65B74" w:rsidR="0051081B" w:rsidRPr="0051081B" w:rsidRDefault="0051081B" w:rsidP="007122BC">
            <w:pPr>
              <w:pStyle w:val="ListParagraph"/>
              <w:numPr>
                <w:ilvl w:val="0"/>
                <w:numId w:val="70"/>
              </w:numPr>
              <w:ind w:left="604"/>
              <w:jc w:val="both"/>
              <w:rPr>
                <w:sz w:val="18"/>
                <w:szCs w:val="18"/>
              </w:rPr>
            </w:pPr>
            <w:r w:rsidRPr="0051081B">
              <w:rPr>
                <w:sz w:val="18"/>
                <w:szCs w:val="18"/>
              </w:rPr>
              <w:t xml:space="preserve">Events After the Reporting Period (Note 36) - On 1 July 2022 there was an administrative arrangement that involved moving a land and planning division from the Agency to ‘Receiving Directorate’. </w:t>
            </w:r>
          </w:p>
          <w:p w14:paraId="2304D1E1" w14:textId="77777777" w:rsidR="0051081B" w:rsidRPr="0051081B" w:rsidRDefault="0051081B" w:rsidP="0051081B">
            <w:pPr>
              <w:ind w:left="604"/>
              <w:jc w:val="both"/>
              <w:rPr>
                <w:sz w:val="18"/>
                <w:szCs w:val="18"/>
              </w:rPr>
            </w:pPr>
          </w:p>
        </w:tc>
      </w:tr>
      <w:tr w:rsidR="0051081B" w:rsidRPr="001950C9" w14:paraId="0500AEE4"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shd w:val="clear" w:color="auto" w:fill="auto"/>
          </w:tcPr>
          <w:p w14:paraId="01F2354B"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7030A0"/>
            <w:vAlign w:val="bottom"/>
          </w:tcPr>
          <w:p w14:paraId="78FFB647" w14:textId="590A2069" w:rsidR="0051081B" w:rsidRPr="0051081B" w:rsidRDefault="0051081B" w:rsidP="000A1EDA">
            <w:pPr>
              <w:spacing w:after="240"/>
              <w:rPr>
                <w:b/>
                <w:color w:val="FFFFFF" w:themeColor="background1"/>
                <w:sz w:val="28"/>
                <w:szCs w:val="28"/>
              </w:rPr>
            </w:pPr>
            <w:r w:rsidRPr="0051081B">
              <w:rPr>
                <w:b/>
                <w:color w:val="FFFFFF" w:themeColor="background1"/>
                <w:sz w:val="28"/>
                <w:szCs w:val="28"/>
              </w:rPr>
              <w:t>Commentary – Note 38: Related Party Disclosures</w:t>
            </w:r>
          </w:p>
        </w:tc>
      </w:tr>
      <w:tr w:rsidR="0051081B" w:rsidRPr="001950C9" w14:paraId="4FDD873A"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shd w:val="clear" w:color="auto" w:fill="auto"/>
          </w:tcPr>
          <w:p w14:paraId="48570C41"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7030A0"/>
            <w:vAlign w:val="bottom"/>
          </w:tcPr>
          <w:p w14:paraId="4E7DEC42" w14:textId="267D5B3C" w:rsidR="0051081B" w:rsidRPr="0051081B" w:rsidRDefault="0051081B" w:rsidP="0051081B">
            <w:pPr>
              <w:spacing w:after="120"/>
              <w:jc w:val="both"/>
              <w:rPr>
                <w:b/>
                <w:color w:val="FFFFFF" w:themeColor="background1"/>
              </w:rPr>
            </w:pPr>
            <w:r w:rsidRPr="0051081B">
              <w:rPr>
                <w:color w:val="FFFFFF" w:themeColor="background1"/>
                <w:sz w:val="18"/>
                <w:szCs w:val="18"/>
              </w:rPr>
              <w:t>If there are no material transactions under B.2, B.3 or C then no disclosures need to be made in this note.</w:t>
            </w:r>
          </w:p>
        </w:tc>
      </w:tr>
      <w:tr w:rsidR="0051081B" w:rsidRPr="001950C9" w14:paraId="2D6320A7"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shd w:val="clear" w:color="auto" w:fill="auto"/>
          </w:tcPr>
          <w:p w14:paraId="119C910B" w14:textId="77777777" w:rsidR="0051081B" w:rsidRPr="00B01585" w:rsidRDefault="0051081B" w:rsidP="0051081B">
            <w:pPr>
              <w:pStyle w:val="TableReference"/>
              <w:tabs>
                <w:tab w:val="left" w:pos="3306"/>
              </w:tabs>
              <w:rPr>
                <w:rFonts w:cs="Calibri"/>
                <w:color w:val="7030A0"/>
                <w:sz w:val="14"/>
              </w:rPr>
            </w:pPr>
          </w:p>
        </w:tc>
        <w:tc>
          <w:tcPr>
            <w:tcW w:w="8930" w:type="dxa"/>
            <w:gridSpan w:val="6"/>
            <w:tcBorders>
              <w:left w:val="single" w:sz="4" w:space="0" w:color="auto"/>
            </w:tcBorders>
            <w:shd w:val="clear" w:color="auto" w:fill="7030A0"/>
            <w:vAlign w:val="bottom"/>
          </w:tcPr>
          <w:p w14:paraId="3E751994" w14:textId="4874E64A" w:rsidR="0051081B" w:rsidRPr="0051081B" w:rsidRDefault="0051081B" w:rsidP="0051081B">
            <w:pPr>
              <w:spacing w:after="120"/>
              <w:jc w:val="both"/>
              <w:rPr>
                <w:color w:val="FFFFFF" w:themeColor="background1"/>
                <w:sz w:val="18"/>
                <w:szCs w:val="18"/>
              </w:rPr>
            </w:pPr>
            <w:r w:rsidRPr="0051081B">
              <w:rPr>
                <w:color w:val="FFFFFF" w:themeColor="background1"/>
                <w:sz w:val="18"/>
                <w:szCs w:val="18"/>
              </w:rPr>
              <w:t>The disclosure in section C above for ‘Burley Griffin Agency’ is an example only. Agencies should highlight only the material transactions with other ACT Government Entities in this Note.</w:t>
            </w:r>
          </w:p>
        </w:tc>
      </w:tr>
      <w:tr w:rsidR="0051081B" w:rsidRPr="001950C9" w14:paraId="16E959E1"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shd w:val="clear" w:color="auto" w:fill="auto"/>
          </w:tcPr>
          <w:p w14:paraId="0642264A" w14:textId="36467175" w:rsidR="0051081B" w:rsidRPr="00B01585" w:rsidRDefault="0051081B" w:rsidP="0051081B">
            <w:pPr>
              <w:pStyle w:val="TableReference"/>
              <w:tabs>
                <w:tab w:val="left" w:pos="3306"/>
              </w:tabs>
              <w:spacing w:after="240"/>
              <w:rPr>
                <w:rFonts w:cs="Calibri"/>
                <w:color w:val="7030A0"/>
                <w:sz w:val="14"/>
              </w:rPr>
            </w:pPr>
            <w:r w:rsidRPr="00B01585">
              <w:rPr>
                <w:rFonts w:cs="Calibri"/>
                <w:color w:val="7030A0"/>
                <w:sz w:val="14"/>
              </w:rPr>
              <w:t>AASB 124.1</w:t>
            </w:r>
          </w:p>
        </w:tc>
        <w:tc>
          <w:tcPr>
            <w:tcW w:w="8930" w:type="dxa"/>
            <w:gridSpan w:val="6"/>
            <w:tcBorders>
              <w:left w:val="single" w:sz="4" w:space="0" w:color="auto"/>
            </w:tcBorders>
            <w:shd w:val="clear" w:color="auto" w:fill="7030A0"/>
            <w:vAlign w:val="bottom"/>
          </w:tcPr>
          <w:p w14:paraId="32C3A6F8" w14:textId="4C687AE8" w:rsidR="0051081B" w:rsidRPr="0051081B" w:rsidRDefault="0051081B" w:rsidP="0051081B">
            <w:pPr>
              <w:tabs>
                <w:tab w:val="left" w:pos="1985"/>
              </w:tabs>
              <w:spacing w:after="120"/>
              <w:jc w:val="both"/>
              <w:rPr>
                <w:color w:val="FFFFFF" w:themeColor="background1"/>
                <w:sz w:val="18"/>
                <w:szCs w:val="18"/>
              </w:rPr>
            </w:pPr>
            <w:r w:rsidRPr="0051081B">
              <w:rPr>
                <w:rFonts w:cs="Calibri"/>
                <w:color w:val="FFFFFF" w:themeColor="background1"/>
                <w:sz w:val="18"/>
                <w:szCs w:val="18"/>
              </w:rPr>
              <w:t>The objective of AASB 124 is to ensure that an agency’s financial statements contain the disclosures necessary to draw attention to the possibility that its financial position and profit or loss may have been affected by the existence of related parties and by transactions and outstanding balances, including commitments, with such parties.</w:t>
            </w:r>
            <w:r w:rsidR="00FA7C77">
              <w:rPr>
                <w:rFonts w:cs="Calibri"/>
                <w:color w:val="FFFFFF" w:themeColor="background1"/>
                <w:sz w:val="18"/>
                <w:szCs w:val="18"/>
              </w:rPr>
              <w:t xml:space="preserve"> </w:t>
            </w:r>
          </w:p>
        </w:tc>
      </w:tr>
      <w:tr w:rsidR="0051081B" w:rsidRPr="001950C9" w14:paraId="0E5A40DD" w14:textId="77777777" w:rsidTr="0004564D">
        <w:tblPrEx>
          <w:shd w:val="clear" w:color="auto" w:fill="auto"/>
        </w:tblPrEx>
        <w:trPr>
          <w:cantSplit/>
          <w:trHeight w:val="23"/>
        </w:trPr>
        <w:tc>
          <w:tcPr>
            <w:tcW w:w="1562" w:type="dxa"/>
            <w:tcBorders>
              <w:left w:val="single" w:sz="4" w:space="0" w:color="auto"/>
              <w:right w:val="single" w:sz="4" w:space="0" w:color="auto"/>
            </w:tcBorders>
            <w:shd w:val="clear" w:color="auto" w:fill="auto"/>
          </w:tcPr>
          <w:p w14:paraId="10C088F0" w14:textId="77777777" w:rsidR="0051081B" w:rsidRPr="00B01585" w:rsidRDefault="0051081B" w:rsidP="0051081B">
            <w:pPr>
              <w:pStyle w:val="TableReference"/>
              <w:tabs>
                <w:tab w:val="left" w:pos="3306"/>
              </w:tabs>
              <w:spacing w:before="40" w:after="240"/>
              <w:rPr>
                <w:rFonts w:cs="Calibri"/>
                <w:color w:val="7030A0"/>
                <w:sz w:val="14"/>
              </w:rPr>
            </w:pPr>
            <w:r w:rsidRPr="00B01585">
              <w:rPr>
                <w:rFonts w:cs="Calibri"/>
                <w:color w:val="7030A0"/>
                <w:sz w:val="14"/>
              </w:rPr>
              <w:t>AASB124.9</w:t>
            </w:r>
          </w:p>
        </w:tc>
        <w:tc>
          <w:tcPr>
            <w:tcW w:w="8930" w:type="dxa"/>
            <w:gridSpan w:val="6"/>
            <w:tcBorders>
              <w:left w:val="single" w:sz="4" w:space="0" w:color="auto"/>
            </w:tcBorders>
            <w:shd w:val="clear" w:color="auto" w:fill="7030A0"/>
            <w:vAlign w:val="bottom"/>
          </w:tcPr>
          <w:p w14:paraId="45520759" w14:textId="32562DA9" w:rsidR="0051081B" w:rsidRPr="0051081B" w:rsidRDefault="0051081B" w:rsidP="0051081B">
            <w:pPr>
              <w:spacing w:after="120"/>
              <w:jc w:val="both"/>
              <w:rPr>
                <w:bCs/>
                <w:strike/>
                <w:color w:val="FFFFFF" w:themeColor="background1"/>
                <w:sz w:val="18"/>
                <w:szCs w:val="18"/>
              </w:rPr>
            </w:pPr>
            <w:r w:rsidRPr="0051081B">
              <w:rPr>
                <w:bCs/>
                <w:iCs/>
                <w:color w:val="FFFFFF" w:themeColor="background1"/>
                <w:sz w:val="18"/>
                <w:szCs w:val="18"/>
              </w:rPr>
              <w:t xml:space="preserve">Key management personnel </w:t>
            </w:r>
            <w:r w:rsidRPr="0051081B">
              <w:rPr>
                <w:bCs/>
                <w:color w:val="FFFFFF" w:themeColor="background1"/>
                <w:sz w:val="18"/>
                <w:szCs w:val="18"/>
              </w:rPr>
              <w:t>are those persons having authority and responsibility for planning, directing and controlling the activities of the entity, directly or indirectly,</w:t>
            </w:r>
            <w:r w:rsidR="00FA7C77">
              <w:rPr>
                <w:bCs/>
                <w:color w:val="FFFFFF" w:themeColor="background1"/>
                <w:sz w:val="18"/>
                <w:szCs w:val="18"/>
              </w:rPr>
              <w:t xml:space="preserve"> </w:t>
            </w:r>
            <w:r w:rsidRPr="0051081B">
              <w:rPr>
                <w:bCs/>
                <w:color w:val="FFFFFF" w:themeColor="background1"/>
                <w:sz w:val="18"/>
                <w:szCs w:val="18"/>
              </w:rPr>
              <w:t>including any director (whether executive or otherwise) of that entity.</w:t>
            </w:r>
          </w:p>
        </w:tc>
        <w:tc>
          <w:tcPr>
            <w:tcW w:w="9468" w:type="dxa"/>
            <w:vAlign w:val="bottom"/>
          </w:tcPr>
          <w:p w14:paraId="76F0C8F4" w14:textId="77777777" w:rsidR="0051081B" w:rsidRPr="009872F6" w:rsidRDefault="0051081B" w:rsidP="0051081B">
            <w:pPr>
              <w:autoSpaceDE w:val="0"/>
              <w:autoSpaceDN w:val="0"/>
              <w:adjustRightInd w:val="0"/>
              <w:spacing w:after="120"/>
              <w:rPr>
                <w:b/>
                <w:sz w:val="20"/>
                <w:szCs w:val="20"/>
              </w:rPr>
            </w:pPr>
          </w:p>
        </w:tc>
      </w:tr>
      <w:tr w:rsidR="0051081B" w:rsidRPr="001950C9" w14:paraId="4B6B0200"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79C95591" w14:textId="77777777" w:rsidR="0051081B" w:rsidRPr="00B01585" w:rsidRDefault="0051081B" w:rsidP="0051081B">
            <w:pPr>
              <w:pStyle w:val="TableReference"/>
              <w:tabs>
                <w:tab w:val="left" w:pos="3306"/>
              </w:tabs>
              <w:spacing w:after="240"/>
              <w:rPr>
                <w:rFonts w:cs="Calibri"/>
                <w:color w:val="7030A0"/>
                <w:sz w:val="14"/>
              </w:rPr>
            </w:pPr>
          </w:p>
        </w:tc>
        <w:tc>
          <w:tcPr>
            <w:tcW w:w="8930" w:type="dxa"/>
            <w:gridSpan w:val="6"/>
            <w:tcBorders>
              <w:left w:val="single" w:sz="4" w:space="0" w:color="auto"/>
            </w:tcBorders>
            <w:shd w:val="clear" w:color="auto" w:fill="7030A0"/>
            <w:vAlign w:val="bottom"/>
          </w:tcPr>
          <w:p w14:paraId="3BE49669" w14:textId="57A2EF8F" w:rsidR="0051081B" w:rsidRPr="0051081B" w:rsidRDefault="0051081B" w:rsidP="0051081B">
            <w:pPr>
              <w:autoSpaceDE w:val="0"/>
              <w:autoSpaceDN w:val="0"/>
              <w:adjustRightInd w:val="0"/>
              <w:spacing w:after="120"/>
              <w:jc w:val="both"/>
              <w:rPr>
                <w:b/>
                <w:color w:val="FFFFFF" w:themeColor="background1"/>
                <w:sz w:val="18"/>
                <w:szCs w:val="18"/>
              </w:rPr>
            </w:pPr>
            <w:r w:rsidRPr="0051081B">
              <w:rPr>
                <w:color w:val="FFFFFF" w:themeColor="background1"/>
                <w:sz w:val="18"/>
                <w:szCs w:val="18"/>
              </w:rPr>
              <w:t>Primarily, this Standard requires disclosure of summarised details about KMP remuneration, and certain transactions with related parties, in ACT Government controlled entities’ financial statements.</w:t>
            </w:r>
          </w:p>
        </w:tc>
      </w:tr>
      <w:tr w:rsidR="0051081B" w:rsidRPr="001950C9" w14:paraId="280A4EDC" w14:textId="77777777" w:rsidTr="0004564D">
        <w:tblPrEx>
          <w:shd w:val="clear" w:color="auto" w:fill="auto"/>
        </w:tblPrEx>
        <w:trPr>
          <w:gridAfter w:val="1"/>
          <w:wAfter w:w="9468" w:type="dxa"/>
          <w:cantSplit/>
          <w:trHeight w:val="23"/>
        </w:trPr>
        <w:tc>
          <w:tcPr>
            <w:tcW w:w="1562" w:type="dxa"/>
            <w:tcBorders>
              <w:left w:val="single" w:sz="4" w:space="0" w:color="auto"/>
              <w:right w:val="single" w:sz="4" w:space="0" w:color="auto"/>
            </w:tcBorders>
          </w:tcPr>
          <w:p w14:paraId="63389B41" w14:textId="77777777" w:rsidR="0051081B" w:rsidRPr="00B01585" w:rsidRDefault="0051081B" w:rsidP="0051081B">
            <w:pPr>
              <w:pStyle w:val="TableReference"/>
              <w:tabs>
                <w:tab w:val="left" w:pos="3306"/>
              </w:tabs>
              <w:spacing w:after="240"/>
              <w:rPr>
                <w:rFonts w:cs="Calibri"/>
                <w:color w:val="7030A0"/>
                <w:sz w:val="14"/>
              </w:rPr>
            </w:pPr>
          </w:p>
        </w:tc>
        <w:tc>
          <w:tcPr>
            <w:tcW w:w="8930" w:type="dxa"/>
            <w:gridSpan w:val="6"/>
            <w:tcBorders>
              <w:left w:val="single" w:sz="4" w:space="0" w:color="auto"/>
            </w:tcBorders>
            <w:shd w:val="clear" w:color="auto" w:fill="7030A0"/>
            <w:vAlign w:val="bottom"/>
          </w:tcPr>
          <w:p w14:paraId="0DA903FA" w14:textId="5811D9A9" w:rsidR="0051081B" w:rsidRPr="0051081B" w:rsidRDefault="0051081B" w:rsidP="0051081B">
            <w:pPr>
              <w:autoSpaceDE w:val="0"/>
              <w:autoSpaceDN w:val="0"/>
              <w:adjustRightInd w:val="0"/>
              <w:spacing w:after="120"/>
              <w:jc w:val="both"/>
              <w:rPr>
                <w:b/>
                <w:color w:val="FFFFFF" w:themeColor="background1"/>
                <w:sz w:val="18"/>
                <w:szCs w:val="18"/>
              </w:rPr>
            </w:pPr>
            <w:r w:rsidRPr="0051081B">
              <w:rPr>
                <w:rFonts w:cs="Calibri"/>
                <w:color w:val="FFFFFF" w:themeColor="background1"/>
                <w:sz w:val="18"/>
                <w:szCs w:val="18"/>
                <w:lang w:eastAsia="en-AU"/>
              </w:rPr>
              <w:t>The ACT Executive comprising the Chief Minister and Ministers appointed by the Chief Minister</w:t>
            </w:r>
            <w:r w:rsidRPr="0051081B">
              <w:rPr>
                <w:color w:val="FFFFFF" w:themeColor="background1"/>
                <w:sz w:val="18"/>
                <w:szCs w:val="18"/>
              </w:rPr>
              <w:t>, is the principal decision-making body for the ACT Government and is therefore KMP of the ACT Government (i.e. Whole of Government and the General Government Sector reporting entities).</w:t>
            </w:r>
            <w:r w:rsidR="00FA7C77">
              <w:rPr>
                <w:color w:val="FFFFFF" w:themeColor="background1"/>
                <w:sz w:val="18"/>
                <w:szCs w:val="18"/>
              </w:rPr>
              <w:t xml:space="preserve"> </w:t>
            </w:r>
            <w:r w:rsidRPr="0051081B">
              <w:rPr>
                <w:color w:val="FFFFFF" w:themeColor="background1"/>
                <w:sz w:val="18"/>
                <w:szCs w:val="18"/>
              </w:rPr>
              <w:t>As KMP of the ACT Government (i.e. the parent) the Cabinet Ministers are deemed related parties of all ACT Government controlled entities.</w:t>
            </w:r>
          </w:p>
        </w:tc>
      </w:tr>
    </w:tbl>
    <w:p w14:paraId="468CC153" w14:textId="77777777" w:rsidR="000A1EDA" w:rsidRDefault="000A1EDA">
      <w:r>
        <w:br w:type="page"/>
      </w:r>
    </w:p>
    <w:tbl>
      <w:tblPr>
        <w:tblW w:w="10560" w:type="dxa"/>
        <w:tblInd w:w="-7" w:type="dxa"/>
        <w:tblLayout w:type="fixed"/>
        <w:tblLook w:val="00A0" w:firstRow="1" w:lastRow="0" w:firstColumn="1" w:lastColumn="0" w:noHBand="0" w:noVBand="0"/>
      </w:tblPr>
      <w:tblGrid>
        <w:gridCol w:w="1562"/>
        <w:gridCol w:w="3020"/>
        <w:gridCol w:w="5910"/>
        <w:gridCol w:w="55"/>
        <w:gridCol w:w="13"/>
      </w:tblGrid>
      <w:tr w:rsidR="000A1EDA" w:rsidRPr="001950C9" w14:paraId="6DE8320F" w14:textId="77777777" w:rsidTr="0004564D">
        <w:trPr>
          <w:gridAfter w:val="1"/>
          <w:wAfter w:w="13" w:type="dxa"/>
          <w:cantSplit/>
          <w:trHeight w:val="23"/>
        </w:trPr>
        <w:tc>
          <w:tcPr>
            <w:tcW w:w="1562" w:type="dxa"/>
            <w:tcBorders>
              <w:left w:val="single" w:sz="4" w:space="0" w:color="auto"/>
              <w:right w:val="single" w:sz="4" w:space="0" w:color="auto"/>
            </w:tcBorders>
          </w:tcPr>
          <w:p w14:paraId="768099F2" w14:textId="4D2CB0F0" w:rsidR="000A1EDA" w:rsidRPr="001D7D76" w:rsidRDefault="000A1EDA" w:rsidP="000A1EDA">
            <w:pPr>
              <w:pStyle w:val="TableReference"/>
              <w:tabs>
                <w:tab w:val="left" w:pos="3306"/>
              </w:tabs>
              <w:spacing w:after="240"/>
              <w:rPr>
                <w:rFonts w:cs="Calibri"/>
                <w:color w:val="7030A0"/>
                <w:sz w:val="14"/>
              </w:rPr>
            </w:pPr>
            <w:r w:rsidRPr="001D7D76">
              <w:rPr>
                <w:b/>
                <w:color w:val="7030A0"/>
                <w:sz w:val="22"/>
                <w:szCs w:val="22"/>
              </w:rPr>
              <w:t>Reference</w:t>
            </w:r>
          </w:p>
        </w:tc>
        <w:tc>
          <w:tcPr>
            <w:tcW w:w="8985" w:type="dxa"/>
            <w:gridSpan w:val="3"/>
            <w:tcBorders>
              <w:left w:val="single" w:sz="4" w:space="0" w:color="auto"/>
            </w:tcBorders>
            <w:shd w:val="clear" w:color="auto" w:fill="7030A0"/>
            <w:vAlign w:val="bottom"/>
          </w:tcPr>
          <w:p w14:paraId="3E9ED1EC" w14:textId="18CF7A3A" w:rsidR="000A1EDA" w:rsidRPr="001D7D76" w:rsidRDefault="000A1EDA" w:rsidP="000A1EDA">
            <w:pPr>
              <w:spacing w:after="240"/>
              <w:jc w:val="both"/>
              <w:rPr>
                <w:color w:val="FFFFFF" w:themeColor="background1"/>
                <w:sz w:val="18"/>
                <w:szCs w:val="18"/>
              </w:rPr>
            </w:pPr>
            <w:r w:rsidRPr="001D7D76">
              <w:rPr>
                <w:b/>
                <w:color w:val="FFFFFF" w:themeColor="background1"/>
                <w:sz w:val="28"/>
                <w:szCs w:val="28"/>
              </w:rPr>
              <w:t>Commentary – Note 38: Related Party Disclosures</w:t>
            </w:r>
            <w:r>
              <w:rPr>
                <w:b/>
                <w:color w:val="FFFFFF" w:themeColor="background1"/>
                <w:sz w:val="28"/>
                <w:szCs w:val="28"/>
              </w:rPr>
              <w:t xml:space="preserve"> – Continued </w:t>
            </w:r>
          </w:p>
        </w:tc>
      </w:tr>
      <w:tr w:rsidR="0051081B" w:rsidRPr="001950C9" w14:paraId="57FC96C9" w14:textId="77777777" w:rsidTr="0004564D">
        <w:trPr>
          <w:gridAfter w:val="1"/>
          <w:wAfter w:w="13" w:type="dxa"/>
          <w:cantSplit/>
          <w:trHeight w:val="23"/>
        </w:trPr>
        <w:tc>
          <w:tcPr>
            <w:tcW w:w="1562" w:type="dxa"/>
            <w:tcBorders>
              <w:left w:val="single" w:sz="4" w:space="0" w:color="auto"/>
              <w:right w:val="single" w:sz="4" w:space="0" w:color="auto"/>
            </w:tcBorders>
          </w:tcPr>
          <w:p w14:paraId="2E801AE0" w14:textId="77777777" w:rsidR="0051081B" w:rsidRPr="00B01585" w:rsidRDefault="0051081B" w:rsidP="0051081B">
            <w:pPr>
              <w:pStyle w:val="TableReference"/>
              <w:tabs>
                <w:tab w:val="left" w:pos="3306"/>
              </w:tabs>
              <w:spacing w:after="240"/>
              <w:rPr>
                <w:rFonts w:cs="Calibri"/>
                <w:color w:val="7030A0"/>
                <w:sz w:val="14"/>
              </w:rPr>
            </w:pPr>
          </w:p>
        </w:tc>
        <w:tc>
          <w:tcPr>
            <w:tcW w:w="8985" w:type="dxa"/>
            <w:gridSpan w:val="3"/>
            <w:tcBorders>
              <w:left w:val="single" w:sz="4" w:space="0" w:color="auto"/>
            </w:tcBorders>
            <w:shd w:val="clear" w:color="auto" w:fill="7030A0"/>
            <w:vAlign w:val="bottom"/>
          </w:tcPr>
          <w:p w14:paraId="0393CBC2" w14:textId="5F306E91" w:rsidR="0051081B" w:rsidRPr="0051081B" w:rsidRDefault="0051081B" w:rsidP="0051081B">
            <w:pPr>
              <w:autoSpaceDE w:val="0"/>
              <w:autoSpaceDN w:val="0"/>
              <w:adjustRightInd w:val="0"/>
              <w:spacing w:after="120"/>
              <w:jc w:val="both"/>
              <w:rPr>
                <w:rFonts w:cs="Calibri"/>
                <w:color w:val="FFFFFF" w:themeColor="background1"/>
                <w:sz w:val="18"/>
                <w:szCs w:val="18"/>
                <w:lang w:eastAsia="en-AU"/>
              </w:rPr>
            </w:pPr>
            <w:r w:rsidRPr="0051081B">
              <w:rPr>
                <w:rFonts w:cs="Calibri"/>
                <w:color w:val="FFFFFF" w:themeColor="background1"/>
                <w:sz w:val="18"/>
                <w:szCs w:val="18"/>
                <w:lang w:eastAsia="en-AU"/>
              </w:rPr>
              <w:t xml:space="preserve">Portfolio Ministers are deemed </w:t>
            </w:r>
            <w:r w:rsidRPr="0051081B">
              <w:rPr>
                <w:color w:val="FFFFFF" w:themeColor="background1"/>
                <w:sz w:val="18"/>
                <w:szCs w:val="18"/>
              </w:rPr>
              <w:t>KMP of the ACT Government controlled entities within their portfolio.</w:t>
            </w:r>
            <w:r w:rsidR="00FA7C77">
              <w:rPr>
                <w:color w:val="FFFFFF" w:themeColor="background1"/>
                <w:sz w:val="18"/>
                <w:szCs w:val="18"/>
              </w:rPr>
              <w:t xml:space="preserve"> </w:t>
            </w:r>
          </w:p>
        </w:tc>
      </w:tr>
      <w:tr w:rsidR="0051081B" w:rsidRPr="001950C9" w14:paraId="428635F7" w14:textId="77777777" w:rsidTr="0004564D">
        <w:trPr>
          <w:gridAfter w:val="1"/>
          <w:wAfter w:w="13" w:type="dxa"/>
          <w:cantSplit/>
          <w:trHeight w:val="23"/>
        </w:trPr>
        <w:tc>
          <w:tcPr>
            <w:tcW w:w="1562" w:type="dxa"/>
            <w:tcBorders>
              <w:left w:val="single" w:sz="4" w:space="0" w:color="auto"/>
              <w:right w:val="single" w:sz="4" w:space="0" w:color="auto"/>
            </w:tcBorders>
          </w:tcPr>
          <w:p w14:paraId="10317789" w14:textId="2A251CFD" w:rsidR="0051081B" w:rsidRPr="001D7D76" w:rsidRDefault="0051081B" w:rsidP="0051081B">
            <w:pPr>
              <w:pStyle w:val="TableReference"/>
              <w:tabs>
                <w:tab w:val="left" w:pos="3306"/>
              </w:tabs>
              <w:spacing w:after="240"/>
              <w:rPr>
                <w:rFonts w:cs="Calibri"/>
                <w:color w:val="7030A0"/>
                <w:sz w:val="14"/>
              </w:rPr>
            </w:pPr>
          </w:p>
        </w:tc>
        <w:tc>
          <w:tcPr>
            <w:tcW w:w="8985" w:type="dxa"/>
            <w:gridSpan w:val="3"/>
            <w:tcBorders>
              <w:left w:val="single" w:sz="4" w:space="0" w:color="auto"/>
            </w:tcBorders>
            <w:shd w:val="clear" w:color="auto" w:fill="7030A0"/>
            <w:vAlign w:val="bottom"/>
          </w:tcPr>
          <w:p w14:paraId="43878F03" w14:textId="2DD87318" w:rsidR="0051081B" w:rsidRPr="001D7D76" w:rsidRDefault="0051081B" w:rsidP="0051081B">
            <w:pPr>
              <w:spacing w:after="120"/>
              <w:jc w:val="both"/>
              <w:rPr>
                <w:color w:val="FFFFFF" w:themeColor="background1"/>
                <w:sz w:val="18"/>
                <w:szCs w:val="18"/>
              </w:rPr>
            </w:pPr>
            <w:r w:rsidRPr="001D7D76">
              <w:rPr>
                <w:color w:val="FFFFFF" w:themeColor="background1"/>
                <w:sz w:val="18"/>
                <w:szCs w:val="18"/>
              </w:rPr>
              <w:t>In relation to territory-owned corporations, Ministers holding shares on behalf of the ACT Government may not necessarily have the authority and responsibility over the entity and the shares are not held beneficially by the Ministers.</w:t>
            </w:r>
            <w:r w:rsidR="00FA7C77">
              <w:rPr>
                <w:color w:val="FFFFFF" w:themeColor="background1"/>
                <w:sz w:val="18"/>
                <w:szCs w:val="18"/>
              </w:rPr>
              <w:t xml:space="preserve"> </w:t>
            </w:r>
            <w:r w:rsidRPr="001D7D76">
              <w:rPr>
                <w:color w:val="FFFFFF" w:themeColor="background1"/>
                <w:sz w:val="18"/>
                <w:szCs w:val="18"/>
              </w:rPr>
              <w:t>Therefore, shareholding Ministers may not necessarily be KMP of the relevant territory-owned corporation.</w:t>
            </w:r>
            <w:r w:rsidR="00FA7C77">
              <w:rPr>
                <w:color w:val="FFFFFF" w:themeColor="background1"/>
                <w:sz w:val="18"/>
                <w:szCs w:val="18"/>
              </w:rPr>
              <w:t xml:space="preserve"> </w:t>
            </w:r>
            <w:r w:rsidRPr="001D7D76">
              <w:rPr>
                <w:color w:val="FFFFFF" w:themeColor="background1"/>
                <w:sz w:val="18"/>
                <w:szCs w:val="18"/>
              </w:rPr>
              <w:t>Regardless of whether shareholding Ministers are KMP, they will still be related party of the territory-owned corporations, as they are KMP of the parent (i.e. ACT Government) in their capacity as Cabinet Minister.</w:t>
            </w:r>
          </w:p>
        </w:tc>
      </w:tr>
      <w:tr w:rsidR="0051081B" w:rsidRPr="001950C9" w14:paraId="7B4E8C75" w14:textId="77777777" w:rsidTr="0004564D">
        <w:trPr>
          <w:gridAfter w:val="1"/>
          <w:wAfter w:w="13" w:type="dxa"/>
          <w:cantSplit/>
          <w:trHeight w:val="23"/>
        </w:trPr>
        <w:tc>
          <w:tcPr>
            <w:tcW w:w="1562" w:type="dxa"/>
            <w:tcBorders>
              <w:left w:val="single" w:sz="4" w:space="0" w:color="auto"/>
              <w:right w:val="single" w:sz="4" w:space="0" w:color="auto"/>
            </w:tcBorders>
          </w:tcPr>
          <w:p w14:paraId="2166C189" w14:textId="77777777" w:rsidR="0051081B" w:rsidRPr="001D7D76" w:rsidRDefault="0051081B" w:rsidP="0051081B">
            <w:pPr>
              <w:pStyle w:val="TableReference"/>
              <w:tabs>
                <w:tab w:val="left" w:pos="3306"/>
              </w:tabs>
              <w:spacing w:after="240"/>
              <w:rPr>
                <w:rFonts w:cs="Calibri"/>
                <w:color w:val="7030A0"/>
                <w:sz w:val="14"/>
              </w:rPr>
            </w:pPr>
          </w:p>
        </w:tc>
        <w:tc>
          <w:tcPr>
            <w:tcW w:w="8985" w:type="dxa"/>
            <w:gridSpan w:val="3"/>
            <w:tcBorders>
              <w:left w:val="single" w:sz="4" w:space="0" w:color="auto"/>
            </w:tcBorders>
            <w:shd w:val="clear" w:color="auto" w:fill="7030A0"/>
            <w:vAlign w:val="bottom"/>
          </w:tcPr>
          <w:p w14:paraId="7E1B6069" w14:textId="080546BF" w:rsidR="0051081B" w:rsidRPr="001D7D76" w:rsidRDefault="0051081B" w:rsidP="0051081B">
            <w:pPr>
              <w:jc w:val="both"/>
              <w:rPr>
                <w:color w:val="FFFFFF" w:themeColor="background1"/>
                <w:sz w:val="18"/>
                <w:szCs w:val="18"/>
              </w:rPr>
            </w:pPr>
            <w:r w:rsidRPr="001D7D76">
              <w:rPr>
                <w:color w:val="FFFFFF" w:themeColor="background1"/>
                <w:sz w:val="18"/>
                <w:szCs w:val="18"/>
              </w:rPr>
              <w:t xml:space="preserve">The Head of Service, being responsible for the service as a whole, is also a KMP of the ACT Government (i.e. Whole of Government and General Government Sector reporting entities) and is therefore a related party of all ACT Government controlled entities. </w:t>
            </w:r>
          </w:p>
        </w:tc>
      </w:tr>
      <w:tr w:rsidR="0051081B" w:rsidRPr="001950C9" w14:paraId="51E910C8" w14:textId="77777777" w:rsidTr="0004564D">
        <w:trPr>
          <w:gridAfter w:val="1"/>
          <w:wAfter w:w="13" w:type="dxa"/>
          <w:cantSplit/>
          <w:trHeight w:val="23"/>
        </w:trPr>
        <w:tc>
          <w:tcPr>
            <w:tcW w:w="1562" w:type="dxa"/>
            <w:tcBorders>
              <w:left w:val="single" w:sz="4" w:space="0" w:color="auto"/>
              <w:right w:val="single" w:sz="4" w:space="0" w:color="auto"/>
            </w:tcBorders>
            <w:vAlign w:val="bottom"/>
          </w:tcPr>
          <w:p w14:paraId="5613F0A1" w14:textId="77777777" w:rsidR="0051081B" w:rsidRPr="001D7D76" w:rsidRDefault="0051081B" w:rsidP="0051081B">
            <w:pPr>
              <w:pStyle w:val="TableReference"/>
              <w:tabs>
                <w:tab w:val="left" w:pos="3306"/>
              </w:tabs>
              <w:spacing w:after="240"/>
              <w:rPr>
                <w:rFonts w:cs="Calibri"/>
                <w:color w:val="7030A0"/>
                <w:sz w:val="14"/>
              </w:rPr>
            </w:pPr>
          </w:p>
        </w:tc>
        <w:tc>
          <w:tcPr>
            <w:tcW w:w="8985" w:type="dxa"/>
            <w:gridSpan w:val="3"/>
            <w:tcBorders>
              <w:left w:val="single" w:sz="4" w:space="0" w:color="auto"/>
            </w:tcBorders>
            <w:shd w:val="clear" w:color="auto" w:fill="7030A0"/>
            <w:vAlign w:val="bottom"/>
          </w:tcPr>
          <w:p w14:paraId="56032681" w14:textId="76156055" w:rsidR="0051081B" w:rsidRPr="001D7D76" w:rsidRDefault="0051081B" w:rsidP="0051081B">
            <w:pPr>
              <w:spacing w:before="120"/>
              <w:jc w:val="both"/>
              <w:rPr>
                <w:color w:val="FFFFFF" w:themeColor="background1"/>
                <w:sz w:val="18"/>
                <w:szCs w:val="18"/>
              </w:rPr>
            </w:pPr>
            <w:r w:rsidRPr="001D7D76">
              <w:rPr>
                <w:color w:val="FFFFFF" w:themeColor="background1"/>
                <w:sz w:val="18"/>
                <w:szCs w:val="18"/>
              </w:rPr>
              <w:t>Directors-General and Chief Executive Officers are deemed KMP of the relevant ACT Government controlled entities under their responsibility.</w:t>
            </w:r>
            <w:r w:rsidR="00FA7C77">
              <w:rPr>
                <w:color w:val="FFFFFF" w:themeColor="background1"/>
                <w:sz w:val="18"/>
                <w:szCs w:val="18"/>
              </w:rPr>
              <w:t xml:space="preserve"> </w:t>
            </w:r>
            <w:r w:rsidRPr="001D7D76">
              <w:rPr>
                <w:color w:val="FFFFFF" w:themeColor="background1"/>
                <w:sz w:val="18"/>
                <w:szCs w:val="18"/>
              </w:rPr>
              <w:t>Governing Boards of territory authorities are KMP of their territory authority.</w:t>
            </w:r>
          </w:p>
        </w:tc>
      </w:tr>
      <w:tr w:rsidR="0051081B" w:rsidRPr="001950C9" w14:paraId="552B5E4D" w14:textId="77777777" w:rsidTr="0004564D">
        <w:trPr>
          <w:gridAfter w:val="1"/>
          <w:wAfter w:w="13" w:type="dxa"/>
          <w:cantSplit/>
          <w:trHeight w:val="23"/>
        </w:trPr>
        <w:tc>
          <w:tcPr>
            <w:tcW w:w="1562" w:type="dxa"/>
            <w:tcBorders>
              <w:left w:val="single" w:sz="4" w:space="0" w:color="auto"/>
              <w:right w:val="single" w:sz="4" w:space="0" w:color="auto"/>
            </w:tcBorders>
            <w:vAlign w:val="bottom"/>
          </w:tcPr>
          <w:p w14:paraId="35F181B7" w14:textId="77777777" w:rsidR="0051081B" w:rsidRPr="001D7D76" w:rsidRDefault="0051081B" w:rsidP="0051081B">
            <w:pPr>
              <w:pStyle w:val="TableReference"/>
              <w:tabs>
                <w:tab w:val="left" w:pos="3306"/>
              </w:tabs>
              <w:spacing w:after="240"/>
              <w:rPr>
                <w:rFonts w:cs="Calibri"/>
                <w:color w:val="7030A0"/>
                <w:sz w:val="14"/>
              </w:rPr>
            </w:pPr>
          </w:p>
        </w:tc>
        <w:tc>
          <w:tcPr>
            <w:tcW w:w="8985" w:type="dxa"/>
            <w:gridSpan w:val="3"/>
            <w:tcBorders>
              <w:left w:val="single" w:sz="4" w:space="0" w:color="auto"/>
            </w:tcBorders>
            <w:shd w:val="clear" w:color="auto" w:fill="7030A0"/>
            <w:vAlign w:val="bottom"/>
          </w:tcPr>
          <w:p w14:paraId="0D0A09EC" w14:textId="60152EEE" w:rsidR="0051081B" w:rsidRPr="001D7D76" w:rsidRDefault="0051081B" w:rsidP="0051081B">
            <w:pPr>
              <w:spacing w:before="120"/>
              <w:jc w:val="both"/>
              <w:rPr>
                <w:color w:val="FFFFFF" w:themeColor="background1"/>
                <w:sz w:val="18"/>
                <w:szCs w:val="18"/>
              </w:rPr>
            </w:pPr>
            <w:r w:rsidRPr="001D7D76">
              <w:rPr>
                <w:color w:val="FFFFFF" w:themeColor="background1"/>
                <w:sz w:val="18"/>
                <w:szCs w:val="18"/>
              </w:rPr>
              <w:t>Officers of the Assembly are deemed KMP of their relevant entity.</w:t>
            </w:r>
            <w:r w:rsidR="00FA7C77">
              <w:rPr>
                <w:color w:val="FFFFFF" w:themeColor="background1"/>
                <w:sz w:val="18"/>
                <w:szCs w:val="18"/>
              </w:rPr>
              <w:t xml:space="preserve"> </w:t>
            </w:r>
            <w:r w:rsidRPr="001D7D76">
              <w:rPr>
                <w:color w:val="FFFFFF" w:themeColor="background1"/>
                <w:sz w:val="18"/>
                <w:szCs w:val="18"/>
              </w:rPr>
              <w:t>Other staff may be assessed to fall within the scope of the KMP definition.</w:t>
            </w:r>
          </w:p>
        </w:tc>
      </w:tr>
      <w:tr w:rsidR="0051081B" w:rsidRPr="001950C9" w14:paraId="4F5E6638" w14:textId="77777777" w:rsidTr="0004564D">
        <w:trPr>
          <w:gridAfter w:val="1"/>
          <w:wAfter w:w="13" w:type="dxa"/>
          <w:cantSplit/>
          <w:trHeight w:val="23"/>
        </w:trPr>
        <w:tc>
          <w:tcPr>
            <w:tcW w:w="1562" w:type="dxa"/>
            <w:tcBorders>
              <w:left w:val="single" w:sz="4" w:space="0" w:color="auto"/>
              <w:right w:val="single" w:sz="4" w:space="0" w:color="auto"/>
            </w:tcBorders>
            <w:vAlign w:val="bottom"/>
          </w:tcPr>
          <w:p w14:paraId="79AE9805" w14:textId="77777777" w:rsidR="0051081B" w:rsidRPr="001D7D76" w:rsidRDefault="0051081B" w:rsidP="0051081B">
            <w:pPr>
              <w:pStyle w:val="TableReference"/>
              <w:tabs>
                <w:tab w:val="left" w:pos="3306"/>
              </w:tabs>
              <w:spacing w:after="240"/>
              <w:rPr>
                <w:rFonts w:cs="Calibri"/>
                <w:color w:val="7030A0"/>
                <w:sz w:val="14"/>
              </w:rPr>
            </w:pPr>
          </w:p>
        </w:tc>
        <w:tc>
          <w:tcPr>
            <w:tcW w:w="8985" w:type="dxa"/>
            <w:gridSpan w:val="3"/>
            <w:tcBorders>
              <w:left w:val="single" w:sz="4" w:space="0" w:color="auto"/>
            </w:tcBorders>
            <w:shd w:val="clear" w:color="auto" w:fill="7030A0"/>
            <w:vAlign w:val="bottom"/>
          </w:tcPr>
          <w:p w14:paraId="3A0AE776" w14:textId="10719735" w:rsidR="0051081B" w:rsidRPr="001D7D76" w:rsidRDefault="0051081B" w:rsidP="0051081B">
            <w:pPr>
              <w:spacing w:before="120" w:after="120"/>
              <w:jc w:val="both"/>
              <w:rPr>
                <w:color w:val="FFFFFF" w:themeColor="background1"/>
                <w:sz w:val="18"/>
                <w:szCs w:val="18"/>
              </w:rPr>
            </w:pPr>
            <w:r w:rsidRPr="001D7D76">
              <w:rPr>
                <w:color w:val="FFFFFF" w:themeColor="background1"/>
                <w:sz w:val="18"/>
                <w:szCs w:val="18"/>
              </w:rPr>
              <w:t>Close family members of these KMP, including any entities in which they have controlling interests (individually or jointly), are related parties of the relevant ACT Government controlled entities.</w:t>
            </w:r>
          </w:p>
        </w:tc>
      </w:tr>
      <w:tr w:rsidR="0051081B" w:rsidRPr="001950C9" w14:paraId="46D75DED" w14:textId="77777777" w:rsidTr="0004564D">
        <w:trPr>
          <w:gridAfter w:val="1"/>
          <w:wAfter w:w="13" w:type="dxa"/>
          <w:cantSplit/>
          <w:trHeight w:val="23"/>
        </w:trPr>
        <w:tc>
          <w:tcPr>
            <w:tcW w:w="1562" w:type="dxa"/>
            <w:tcBorders>
              <w:left w:val="single" w:sz="4" w:space="0" w:color="auto"/>
              <w:right w:val="single" w:sz="4" w:space="0" w:color="auto"/>
            </w:tcBorders>
            <w:vAlign w:val="bottom"/>
          </w:tcPr>
          <w:p w14:paraId="31D11056" w14:textId="77777777" w:rsidR="0051081B" w:rsidRPr="001D7D76" w:rsidRDefault="0051081B" w:rsidP="0051081B">
            <w:pPr>
              <w:pStyle w:val="TableReference"/>
              <w:tabs>
                <w:tab w:val="left" w:pos="3306"/>
              </w:tabs>
              <w:spacing w:after="240"/>
              <w:rPr>
                <w:rFonts w:cs="Calibri"/>
                <w:color w:val="7030A0"/>
                <w:sz w:val="14"/>
              </w:rPr>
            </w:pPr>
          </w:p>
        </w:tc>
        <w:tc>
          <w:tcPr>
            <w:tcW w:w="8985" w:type="dxa"/>
            <w:gridSpan w:val="3"/>
            <w:tcBorders>
              <w:left w:val="single" w:sz="4" w:space="0" w:color="auto"/>
            </w:tcBorders>
            <w:shd w:val="clear" w:color="auto" w:fill="7030A0"/>
            <w:vAlign w:val="bottom"/>
          </w:tcPr>
          <w:p w14:paraId="2742C048" w14:textId="313A8E7F" w:rsidR="0051081B" w:rsidRPr="001D7D76" w:rsidRDefault="0051081B" w:rsidP="000A1EDA">
            <w:pPr>
              <w:spacing w:after="120"/>
              <w:rPr>
                <w:color w:val="FFFFFF" w:themeColor="background1"/>
                <w:sz w:val="18"/>
                <w:szCs w:val="18"/>
              </w:rPr>
            </w:pPr>
            <w:r w:rsidRPr="001D7D76">
              <w:rPr>
                <w:color w:val="FFFFFF" w:themeColor="background1"/>
                <w:sz w:val="18"/>
                <w:szCs w:val="18"/>
              </w:rPr>
              <w:t>Data Collection Forms should be used by agencies to collect the related party transaction information from KMP, required by the Standard.</w:t>
            </w:r>
            <w:r w:rsidR="00FA7C77">
              <w:rPr>
                <w:color w:val="FFFFFF" w:themeColor="background1"/>
                <w:sz w:val="18"/>
                <w:szCs w:val="18"/>
              </w:rPr>
              <w:t xml:space="preserve"> </w:t>
            </w:r>
            <w:r w:rsidRPr="001D7D76">
              <w:rPr>
                <w:color w:val="FFFFFF" w:themeColor="background1"/>
                <w:sz w:val="18"/>
                <w:szCs w:val="18"/>
              </w:rPr>
              <w:t xml:space="preserve">These forms can be obtained from the ACT Accounting website at </w:t>
            </w:r>
            <w:hyperlink r:id="rId36" w:history="1">
              <w:r w:rsidRPr="001D7D76">
                <w:rPr>
                  <w:rStyle w:val="Hyperlink"/>
                  <w:rFonts w:cs="Calibri"/>
                  <w:color w:val="FFFFFF" w:themeColor="background1"/>
                  <w:sz w:val="18"/>
                  <w:szCs w:val="18"/>
                </w:rPr>
                <w:t>https://apps.treasury.act.gov.au/accounting</w:t>
              </w:r>
            </w:hyperlink>
            <w:r w:rsidRPr="001D7D76">
              <w:rPr>
                <w:rStyle w:val="Hyperlink"/>
                <w:rFonts w:cs="Calibri"/>
                <w:color w:val="FFFFFF" w:themeColor="background1"/>
                <w:sz w:val="18"/>
                <w:szCs w:val="18"/>
              </w:rPr>
              <w:t>.</w:t>
            </w:r>
            <w:r w:rsidR="00FA7C77">
              <w:rPr>
                <w:color w:val="FFFFFF" w:themeColor="background1"/>
                <w:sz w:val="18"/>
                <w:szCs w:val="18"/>
              </w:rPr>
              <w:t xml:space="preserve"> </w:t>
            </w:r>
            <w:r w:rsidRPr="001D7D76">
              <w:rPr>
                <w:color w:val="FFFFFF" w:themeColor="background1"/>
                <w:sz w:val="18"/>
                <w:szCs w:val="18"/>
              </w:rPr>
              <w:t xml:space="preserve"> </w:t>
            </w:r>
          </w:p>
        </w:tc>
      </w:tr>
      <w:tr w:rsidR="0051081B" w:rsidRPr="001950C9" w14:paraId="749B8E4B" w14:textId="77777777" w:rsidTr="0004564D">
        <w:trPr>
          <w:gridAfter w:val="1"/>
          <w:wAfter w:w="13" w:type="dxa"/>
          <w:cantSplit/>
          <w:trHeight w:val="23"/>
        </w:trPr>
        <w:tc>
          <w:tcPr>
            <w:tcW w:w="1562" w:type="dxa"/>
            <w:tcBorders>
              <w:left w:val="single" w:sz="4" w:space="0" w:color="auto"/>
              <w:right w:val="single" w:sz="4" w:space="0" w:color="auto"/>
            </w:tcBorders>
            <w:vAlign w:val="bottom"/>
          </w:tcPr>
          <w:p w14:paraId="1B56DC3E" w14:textId="77777777" w:rsidR="0051081B" w:rsidRPr="001D7D76" w:rsidRDefault="0051081B" w:rsidP="0051081B">
            <w:pPr>
              <w:pStyle w:val="TableReference"/>
              <w:tabs>
                <w:tab w:val="left" w:pos="3306"/>
              </w:tabs>
              <w:spacing w:after="240"/>
              <w:rPr>
                <w:rFonts w:cs="Calibri"/>
                <w:color w:val="7030A0"/>
                <w:sz w:val="14"/>
              </w:rPr>
            </w:pPr>
          </w:p>
        </w:tc>
        <w:tc>
          <w:tcPr>
            <w:tcW w:w="8985" w:type="dxa"/>
            <w:gridSpan w:val="3"/>
            <w:tcBorders>
              <w:left w:val="single" w:sz="4" w:space="0" w:color="auto"/>
            </w:tcBorders>
            <w:shd w:val="clear" w:color="auto" w:fill="7030A0"/>
            <w:vAlign w:val="bottom"/>
          </w:tcPr>
          <w:p w14:paraId="6E4BFFA7" w14:textId="77777777" w:rsidR="0051081B" w:rsidRPr="000A1EDA" w:rsidRDefault="0051081B" w:rsidP="0051081B">
            <w:pPr>
              <w:spacing w:after="120"/>
              <w:jc w:val="both"/>
              <w:rPr>
                <w:b/>
                <w:bCs/>
                <w:color w:val="FFFFFF" w:themeColor="background1"/>
                <w:sz w:val="20"/>
                <w:szCs w:val="20"/>
              </w:rPr>
            </w:pPr>
            <w:r w:rsidRPr="000A1EDA">
              <w:rPr>
                <w:b/>
                <w:bCs/>
                <w:color w:val="FFFFFF" w:themeColor="background1"/>
                <w:sz w:val="20"/>
                <w:szCs w:val="20"/>
              </w:rPr>
              <w:t>Compensation of Key Management Personnel</w:t>
            </w:r>
          </w:p>
        </w:tc>
      </w:tr>
      <w:tr w:rsidR="0051081B" w:rsidRPr="001950C9" w14:paraId="6150C419" w14:textId="77777777" w:rsidTr="0004564D">
        <w:trPr>
          <w:gridAfter w:val="1"/>
          <w:wAfter w:w="13" w:type="dxa"/>
          <w:cantSplit/>
          <w:trHeight w:val="23"/>
        </w:trPr>
        <w:tc>
          <w:tcPr>
            <w:tcW w:w="1562" w:type="dxa"/>
            <w:tcBorders>
              <w:left w:val="single" w:sz="4" w:space="0" w:color="auto"/>
              <w:right w:val="single" w:sz="4" w:space="0" w:color="auto"/>
            </w:tcBorders>
          </w:tcPr>
          <w:p w14:paraId="0EAED15B" w14:textId="77777777" w:rsidR="0051081B" w:rsidRPr="001D7D76" w:rsidRDefault="0051081B" w:rsidP="0051081B">
            <w:pPr>
              <w:pStyle w:val="TableReference"/>
              <w:tabs>
                <w:tab w:val="left" w:pos="3306"/>
              </w:tabs>
              <w:rPr>
                <w:rFonts w:cs="Calibri"/>
                <w:color w:val="7030A0"/>
                <w:sz w:val="14"/>
              </w:rPr>
            </w:pPr>
            <w:r w:rsidRPr="001D7D76">
              <w:rPr>
                <w:rFonts w:cs="Calibri"/>
                <w:color w:val="7030A0"/>
                <w:sz w:val="14"/>
              </w:rPr>
              <w:t>AASB 124.9</w:t>
            </w:r>
          </w:p>
        </w:tc>
        <w:tc>
          <w:tcPr>
            <w:tcW w:w="8985" w:type="dxa"/>
            <w:gridSpan w:val="3"/>
            <w:tcBorders>
              <w:left w:val="single" w:sz="4" w:space="0" w:color="auto"/>
            </w:tcBorders>
            <w:shd w:val="clear" w:color="auto" w:fill="7030A0"/>
          </w:tcPr>
          <w:p w14:paraId="63A23825" w14:textId="77777777" w:rsidR="0051081B" w:rsidRPr="001D7D76" w:rsidRDefault="0051081B" w:rsidP="0051081B">
            <w:pPr>
              <w:spacing w:after="120"/>
              <w:rPr>
                <w:color w:val="FFFFFF" w:themeColor="background1"/>
                <w:sz w:val="18"/>
                <w:szCs w:val="18"/>
              </w:rPr>
            </w:pPr>
            <w:r w:rsidRPr="001D7D76">
              <w:rPr>
                <w:color w:val="FFFFFF" w:themeColor="background1"/>
                <w:sz w:val="18"/>
                <w:szCs w:val="18"/>
              </w:rPr>
              <w:t xml:space="preserve">Compensation includes all employee benefits (as defined in AASB 119 </w:t>
            </w:r>
            <w:r w:rsidRPr="001D7D76">
              <w:rPr>
                <w:i/>
                <w:iCs/>
                <w:color w:val="FFFFFF" w:themeColor="background1"/>
                <w:sz w:val="18"/>
                <w:szCs w:val="18"/>
              </w:rPr>
              <w:t>Employee Benefits</w:t>
            </w:r>
            <w:r w:rsidRPr="001D7D76">
              <w:rPr>
                <w:color w:val="FFFFFF" w:themeColor="background1"/>
                <w:sz w:val="18"/>
                <w:szCs w:val="18"/>
              </w:rPr>
              <w:t>).</w:t>
            </w:r>
          </w:p>
        </w:tc>
      </w:tr>
      <w:tr w:rsidR="0051081B" w:rsidRPr="001950C9" w14:paraId="5F19B075" w14:textId="77777777" w:rsidTr="0004564D">
        <w:trPr>
          <w:gridAfter w:val="1"/>
          <w:wAfter w:w="13" w:type="dxa"/>
          <w:cantSplit/>
          <w:trHeight w:val="23"/>
        </w:trPr>
        <w:tc>
          <w:tcPr>
            <w:tcW w:w="1562" w:type="dxa"/>
            <w:tcBorders>
              <w:left w:val="single" w:sz="4" w:space="0" w:color="auto"/>
              <w:right w:val="single" w:sz="4" w:space="0" w:color="auto"/>
            </w:tcBorders>
            <w:vAlign w:val="bottom"/>
          </w:tcPr>
          <w:p w14:paraId="727FD90F" w14:textId="77777777" w:rsidR="0051081B" w:rsidRPr="001D7D76" w:rsidRDefault="0051081B" w:rsidP="0051081B">
            <w:pPr>
              <w:pStyle w:val="TableReference"/>
              <w:tabs>
                <w:tab w:val="left" w:pos="3306"/>
              </w:tabs>
              <w:spacing w:after="240"/>
              <w:rPr>
                <w:rFonts w:cs="Calibri"/>
                <w:color w:val="7030A0"/>
                <w:sz w:val="14"/>
              </w:rPr>
            </w:pPr>
          </w:p>
        </w:tc>
        <w:tc>
          <w:tcPr>
            <w:tcW w:w="8985" w:type="dxa"/>
            <w:gridSpan w:val="3"/>
            <w:tcBorders>
              <w:left w:val="single" w:sz="4" w:space="0" w:color="auto"/>
            </w:tcBorders>
            <w:shd w:val="clear" w:color="auto" w:fill="7030A0"/>
            <w:vAlign w:val="bottom"/>
          </w:tcPr>
          <w:p w14:paraId="2DB6F675" w14:textId="3C234FCC" w:rsidR="0051081B" w:rsidRPr="001D7D76" w:rsidRDefault="0051081B" w:rsidP="0051081B">
            <w:pPr>
              <w:spacing w:after="120"/>
              <w:jc w:val="both"/>
              <w:rPr>
                <w:color w:val="FFFFFF" w:themeColor="background1"/>
                <w:sz w:val="18"/>
                <w:szCs w:val="18"/>
              </w:rPr>
            </w:pPr>
            <w:r w:rsidRPr="001D7D76">
              <w:rPr>
                <w:color w:val="FFFFFF" w:themeColor="background1"/>
                <w:sz w:val="18"/>
                <w:szCs w:val="18"/>
              </w:rPr>
              <w:t>As a guide, the following expenses are to be included for the year or for that part of the year during which the employee was a KMP:</w:t>
            </w:r>
          </w:p>
        </w:tc>
      </w:tr>
      <w:tr w:rsidR="0051081B" w:rsidRPr="001950C9" w14:paraId="3E5A1080" w14:textId="77777777" w:rsidTr="0004564D">
        <w:trPr>
          <w:cantSplit/>
          <w:trHeight w:val="23"/>
        </w:trPr>
        <w:tc>
          <w:tcPr>
            <w:tcW w:w="1562" w:type="dxa"/>
            <w:tcBorders>
              <w:left w:val="single" w:sz="4" w:space="0" w:color="auto"/>
              <w:right w:val="single" w:sz="4" w:space="0" w:color="auto"/>
            </w:tcBorders>
          </w:tcPr>
          <w:p w14:paraId="77935D0E" w14:textId="77777777" w:rsidR="0051081B" w:rsidRPr="001D7D76" w:rsidRDefault="0051081B" w:rsidP="0051081B">
            <w:pPr>
              <w:pStyle w:val="TableReference"/>
              <w:tabs>
                <w:tab w:val="left" w:pos="3306"/>
              </w:tabs>
              <w:spacing w:after="240"/>
              <w:rPr>
                <w:rFonts w:cs="Calibri"/>
                <w:color w:val="7030A0"/>
                <w:sz w:val="14"/>
              </w:rPr>
            </w:pPr>
          </w:p>
        </w:tc>
        <w:tc>
          <w:tcPr>
            <w:tcW w:w="3020" w:type="dxa"/>
            <w:tcBorders>
              <w:left w:val="single" w:sz="4" w:space="0" w:color="auto"/>
            </w:tcBorders>
            <w:shd w:val="clear" w:color="auto" w:fill="7030A0"/>
          </w:tcPr>
          <w:p w14:paraId="6B65D925" w14:textId="77777777" w:rsidR="0051081B" w:rsidRPr="001D7D76" w:rsidRDefault="0051081B" w:rsidP="0051081B">
            <w:pPr>
              <w:pStyle w:val="Default"/>
              <w:spacing w:after="120"/>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Short-term employee benefits</w:t>
            </w:r>
          </w:p>
        </w:tc>
        <w:tc>
          <w:tcPr>
            <w:tcW w:w="5978" w:type="dxa"/>
            <w:gridSpan w:val="3"/>
            <w:shd w:val="clear" w:color="auto" w:fill="7030A0"/>
            <w:vAlign w:val="bottom"/>
          </w:tcPr>
          <w:p w14:paraId="3D485268" w14:textId="34CC3C9E" w:rsidR="0051081B" w:rsidRPr="001D7D76" w:rsidRDefault="0051081B" w:rsidP="0051081B">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Salaries and wages, overtime, allowances, penalties</w:t>
            </w:r>
            <w:r w:rsidR="00294E29">
              <w:rPr>
                <w:rFonts w:ascii="Calibri" w:hAnsi="Calibri"/>
                <w:color w:val="FFFFFF" w:themeColor="background1"/>
                <w:sz w:val="18"/>
                <w:szCs w:val="18"/>
                <w:lang w:eastAsia="en-US"/>
              </w:rPr>
              <w:t>;</w:t>
            </w:r>
          </w:p>
          <w:p w14:paraId="1A8E4443" w14:textId="05611EF8" w:rsidR="0051081B" w:rsidRPr="001D7D76" w:rsidRDefault="0051081B" w:rsidP="0051081B">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Annual, personal,</w:t>
            </w:r>
            <w:r w:rsidR="00FA7C77">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maternity leave</w:t>
            </w:r>
            <w:r w:rsidR="00294E29">
              <w:rPr>
                <w:rFonts w:ascii="Calibri" w:hAnsi="Calibri"/>
                <w:color w:val="FFFFFF" w:themeColor="background1"/>
                <w:sz w:val="18"/>
                <w:szCs w:val="18"/>
                <w:lang w:eastAsia="en-US"/>
              </w:rPr>
              <w:t xml:space="preserve"> and</w:t>
            </w:r>
            <w:r w:rsidRPr="001D7D76">
              <w:rPr>
                <w:rFonts w:ascii="Calibri" w:hAnsi="Calibri"/>
                <w:color w:val="FFFFFF" w:themeColor="background1"/>
                <w:sz w:val="18"/>
                <w:szCs w:val="18"/>
                <w:lang w:eastAsia="en-US"/>
              </w:rPr>
              <w:t xml:space="preserve"> leave loading</w:t>
            </w:r>
            <w:r w:rsidR="00294E29">
              <w:rPr>
                <w:rFonts w:ascii="Calibri" w:hAnsi="Calibri"/>
                <w:color w:val="FFFFFF" w:themeColor="background1"/>
                <w:sz w:val="18"/>
                <w:szCs w:val="18"/>
                <w:lang w:eastAsia="en-US"/>
              </w:rPr>
              <w:t>;</w:t>
            </w:r>
          </w:p>
          <w:p w14:paraId="5EDD8811" w14:textId="55979F6F" w:rsidR="0051081B" w:rsidRPr="001D7D76" w:rsidRDefault="0051081B" w:rsidP="0051081B">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Other employee benefits (including motor vehicle lease payments, and non-monetary benefits)</w:t>
            </w:r>
            <w:r w:rsidR="00294E29">
              <w:rPr>
                <w:rFonts w:ascii="Calibri" w:hAnsi="Calibri"/>
                <w:color w:val="FFFFFF" w:themeColor="background1"/>
                <w:sz w:val="18"/>
                <w:szCs w:val="18"/>
                <w:lang w:eastAsia="en-US"/>
              </w:rPr>
              <w:t>; and</w:t>
            </w:r>
          </w:p>
          <w:p w14:paraId="73B9EA2F" w14:textId="61D01691" w:rsidR="0051081B" w:rsidRPr="001D7D76" w:rsidRDefault="0051081B" w:rsidP="0051081B">
            <w:pPr>
              <w:pStyle w:val="Default"/>
              <w:spacing w:after="18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Remuneration paid to KMP who are contractors through external service providers</w:t>
            </w:r>
            <w:r w:rsidR="00294E29">
              <w:rPr>
                <w:rFonts w:ascii="Calibri" w:hAnsi="Calibri"/>
                <w:color w:val="FFFFFF" w:themeColor="background1"/>
                <w:sz w:val="18"/>
                <w:szCs w:val="18"/>
                <w:lang w:eastAsia="en-US"/>
              </w:rPr>
              <w:t>.</w:t>
            </w:r>
          </w:p>
        </w:tc>
      </w:tr>
      <w:tr w:rsidR="0051081B" w:rsidRPr="001950C9" w14:paraId="5B2D83EF" w14:textId="77777777" w:rsidTr="0004564D">
        <w:trPr>
          <w:cantSplit/>
          <w:trHeight w:val="23"/>
        </w:trPr>
        <w:tc>
          <w:tcPr>
            <w:tcW w:w="1562" w:type="dxa"/>
            <w:tcBorders>
              <w:left w:val="single" w:sz="4" w:space="0" w:color="auto"/>
              <w:right w:val="single" w:sz="4" w:space="0" w:color="auto"/>
            </w:tcBorders>
          </w:tcPr>
          <w:p w14:paraId="2037C90E" w14:textId="77777777" w:rsidR="0051081B" w:rsidRPr="001D7D76" w:rsidRDefault="0051081B" w:rsidP="0051081B">
            <w:pPr>
              <w:pStyle w:val="TableReference"/>
              <w:tabs>
                <w:tab w:val="left" w:pos="3306"/>
              </w:tabs>
              <w:spacing w:after="240"/>
              <w:rPr>
                <w:rFonts w:cs="Calibri"/>
                <w:color w:val="7030A0"/>
                <w:sz w:val="14"/>
              </w:rPr>
            </w:pPr>
          </w:p>
        </w:tc>
        <w:tc>
          <w:tcPr>
            <w:tcW w:w="3020" w:type="dxa"/>
            <w:tcBorders>
              <w:left w:val="single" w:sz="4" w:space="0" w:color="auto"/>
            </w:tcBorders>
            <w:shd w:val="clear" w:color="auto" w:fill="7030A0"/>
            <w:vAlign w:val="bottom"/>
          </w:tcPr>
          <w:p w14:paraId="1728EDAA" w14:textId="281160C0" w:rsidR="0051081B" w:rsidRPr="001D7D76" w:rsidRDefault="0051081B" w:rsidP="0051081B">
            <w:pPr>
              <w:pStyle w:val="Default"/>
              <w:spacing w:before="60" w:after="18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Post-employment benefits</w:t>
            </w:r>
          </w:p>
        </w:tc>
        <w:tc>
          <w:tcPr>
            <w:tcW w:w="5978" w:type="dxa"/>
            <w:gridSpan w:val="3"/>
            <w:shd w:val="clear" w:color="auto" w:fill="7030A0"/>
            <w:vAlign w:val="bottom"/>
          </w:tcPr>
          <w:p w14:paraId="1832427D" w14:textId="06FEA088" w:rsidR="0051081B" w:rsidRPr="001D7D76" w:rsidRDefault="0051081B" w:rsidP="0051081B">
            <w:pPr>
              <w:pStyle w:val="Default"/>
              <w:spacing w:before="60" w:after="18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Contribution to superannuation and productivity benefit</w:t>
            </w:r>
            <w:r w:rsidR="00294E29">
              <w:rPr>
                <w:rFonts w:ascii="Calibri" w:hAnsi="Calibri"/>
                <w:color w:val="FFFFFF" w:themeColor="background1"/>
                <w:sz w:val="18"/>
                <w:szCs w:val="18"/>
                <w:lang w:eastAsia="en-US"/>
              </w:rPr>
              <w:t>.</w:t>
            </w:r>
          </w:p>
        </w:tc>
      </w:tr>
      <w:tr w:rsidR="0051081B" w:rsidRPr="001950C9" w14:paraId="044FB8FA" w14:textId="77777777" w:rsidTr="0004564D">
        <w:trPr>
          <w:cantSplit/>
          <w:trHeight w:val="23"/>
        </w:trPr>
        <w:tc>
          <w:tcPr>
            <w:tcW w:w="1562" w:type="dxa"/>
            <w:tcBorders>
              <w:left w:val="single" w:sz="4" w:space="0" w:color="auto"/>
              <w:right w:val="single" w:sz="4" w:space="0" w:color="auto"/>
            </w:tcBorders>
          </w:tcPr>
          <w:p w14:paraId="7C2B4F72" w14:textId="77777777" w:rsidR="0051081B" w:rsidRPr="001D7D76" w:rsidRDefault="0051081B" w:rsidP="0051081B">
            <w:pPr>
              <w:pStyle w:val="TableReference"/>
              <w:tabs>
                <w:tab w:val="left" w:pos="3306"/>
              </w:tabs>
              <w:spacing w:after="240"/>
              <w:rPr>
                <w:rFonts w:cs="Calibri"/>
                <w:color w:val="7030A0"/>
                <w:sz w:val="14"/>
              </w:rPr>
            </w:pPr>
          </w:p>
        </w:tc>
        <w:tc>
          <w:tcPr>
            <w:tcW w:w="3020" w:type="dxa"/>
            <w:tcBorders>
              <w:left w:val="single" w:sz="4" w:space="0" w:color="auto"/>
            </w:tcBorders>
            <w:shd w:val="clear" w:color="auto" w:fill="7030A0"/>
            <w:vAlign w:val="bottom"/>
          </w:tcPr>
          <w:p w14:paraId="2493D0A3" w14:textId="77777777" w:rsidR="0051081B" w:rsidRPr="001D7D76" w:rsidRDefault="0051081B" w:rsidP="0051081B">
            <w:pPr>
              <w:pStyle w:val="Default"/>
              <w:spacing w:before="60" w:after="18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Other long-term benefits</w:t>
            </w:r>
          </w:p>
        </w:tc>
        <w:tc>
          <w:tcPr>
            <w:tcW w:w="5978" w:type="dxa"/>
            <w:gridSpan w:val="3"/>
            <w:shd w:val="clear" w:color="auto" w:fill="7030A0"/>
            <w:vAlign w:val="bottom"/>
          </w:tcPr>
          <w:p w14:paraId="55B7B962" w14:textId="71612B70" w:rsidR="0051081B" w:rsidRPr="001D7D76" w:rsidRDefault="0051081B" w:rsidP="0051081B">
            <w:pPr>
              <w:pStyle w:val="Default"/>
              <w:spacing w:before="60" w:after="18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Increase in long service leave provision</w:t>
            </w:r>
            <w:r w:rsidR="00294E29">
              <w:rPr>
                <w:rFonts w:ascii="Calibri" w:hAnsi="Calibri"/>
                <w:color w:val="FFFFFF" w:themeColor="background1"/>
                <w:sz w:val="18"/>
                <w:szCs w:val="18"/>
                <w:lang w:eastAsia="en-US"/>
              </w:rPr>
              <w:t>.</w:t>
            </w:r>
          </w:p>
        </w:tc>
      </w:tr>
      <w:tr w:rsidR="0051081B" w:rsidRPr="001950C9" w14:paraId="75D0E1A0" w14:textId="77777777" w:rsidTr="0004564D">
        <w:trPr>
          <w:cantSplit/>
          <w:trHeight w:val="23"/>
        </w:trPr>
        <w:tc>
          <w:tcPr>
            <w:tcW w:w="1562" w:type="dxa"/>
            <w:tcBorders>
              <w:left w:val="single" w:sz="4" w:space="0" w:color="auto"/>
              <w:right w:val="single" w:sz="4" w:space="0" w:color="auto"/>
            </w:tcBorders>
          </w:tcPr>
          <w:p w14:paraId="0177F02B" w14:textId="77777777" w:rsidR="0051081B" w:rsidRPr="001D7D76" w:rsidRDefault="0051081B" w:rsidP="0051081B">
            <w:pPr>
              <w:pStyle w:val="TableReference"/>
              <w:tabs>
                <w:tab w:val="left" w:pos="3306"/>
              </w:tabs>
              <w:spacing w:after="240"/>
              <w:rPr>
                <w:rFonts w:cs="Calibri"/>
                <w:color w:val="7030A0"/>
                <w:sz w:val="14"/>
              </w:rPr>
            </w:pPr>
          </w:p>
        </w:tc>
        <w:tc>
          <w:tcPr>
            <w:tcW w:w="3020" w:type="dxa"/>
            <w:tcBorders>
              <w:left w:val="single" w:sz="4" w:space="0" w:color="auto"/>
            </w:tcBorders>
            <w:shd w:val="clear" w:color="auto" w:fill="7030A0"/>
            <w:vAlign w:val="bottom"/>
          </w:tcPr>
          <w:p w14:paraId="71454E93" w14:textId="77777777" w:rsidR="0051081B" w:rsidRPr="001D7D76" w:rsidRDefault="0051081B" w:rsidP="0051081B">
            <w:pPr>
              <w:pStyle w:val="Default"/>
              <w:spacing w:before="60" w:after="18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Termination benefits</w:t>
            </w:r>
          </w:p>
        </w:tc>
        <w:tc>
          <w:tcPr>
            <w:tcW w:w="5978" w:type="dxa"/>
            <w:gridSpan w:val="3"/>
            <w:shd w:val="clear" w:color="auto" w:fill="7030A0"/>
            <w:vAlign w:val="bottom"/>
          </w:tcPr>
          <w:p w14:paraId="0AE45D03" w14:textId="37CC6412" w:rsidR="0051081B" w:rsidRPr="001D7D76" w:rsidRDefault="0051081B" w:rsidP="0051081B">
            <w:pPr>
              <w:pStyle w:val="Default"/>
              <w:spacing w:before="60" w:after="18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Termination payouts including redundancy payments</w:t>
            </w:r>
            <w:r w:rsidR="00294E29">
              <w:rPr>
                <w:rFonts w:ascii="Calibri" w:hAnsi="Calibri"/>
                <w:color w:val="FFFFFF" w:themeColor="background1"/>
                <w:sz w:val="18"/>
                <w:szCs w:val="18"/>
                <w:lang w:eastAsia="en-US"/>
              </w:rPr>
              <w:t>.</w:t>
            </w:r>
          </w:p>
        </w:tc>
      </w:tr>
      <w:tr w:rsidR="0051081B" w:rsidRPr="001950C9" w14:paraId="620EC071" w14:textId="77777777" w:rsidTr="0004564D">
        <w:trPr>
          <w:cantSplit/>
          <w:trHeight w:val="23"/>
        </w:trPr>
        <w:tc>
          <w:tcPr>
            <w:tcW w:w="1562" w:type="dxa"/>
            <w:tcBorders>
              <w:left w:val="single" w:sz="4" w:space="0" w:color="auto"/>
              <w:right w:val="single" w:sz="4" w:space="0" w:color="auto"/>
            </w:tcBorders>
          </w:tcPr>
          <w:p w14:paraId="696CB766" w14:textId="77777777" w:rsidR="0051081B" w:rsidRPr="001D7D76" w:rsidRDefault="0051081B" w:rsidP="0051081B">
            <w:pPr>
              <w:pStyle w:val="TableReference"/>
              <w:tabs>
                <w:tab w:val="left" w:pos="3306"/>
              </w:tabs>
              <w:spacing w:after="240"/>
              <w:rPr>
                <w:rFonts w:cs="Calibri"/>
                <w:color w:val="7030A0"/>
                <w:sz w:val="14"/>
              </w:rPr>
            </w:pPr>
          </w:p>
        </w:tc>
        <w:tc>
          <w:tcPr>
            <w:tcW w:w="3020" w:type="dxa"/>
            <w:tcBorders>
              <w:left w:val="single" w:sz="4" w:space="0" w:color="auto"/>
            </w:tcBorders>
            <w:shd w:val="clear" w:color="auto" w:fill="7030A0"/>
            <w:vAlign w:val="bottom"/>
          </w:tcPr>
          <w:p w14:paraId="0AC4C310" w14:textId="77777777" w:rsidR="0051081B" w:rsidRPr="001D7D76" w:rsidRDefault="0051081B" w:rsidP="0051081B">
            <w:pPr>
              <w:pStyle w:val="Default"/>
              <w:spacing w:before="60" w:after="18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Board member fees</w:t>
            </w:r>
          </w:p>
        </w:tc>
        <w:tc>
          <w:tcPr>
            <w:tcW w:w="5978" w:type="dxa"/>
            <w:gridSpan w:val="3"/>
            <w:shd w:val="clear" w:color="auto" w:fill="7030A0"/>
            <w:vAlign w:val="bottom"/>
          </w:tcPr>
          <w:p w14:paraId="397BEBB8" w14:textId="3727CE19" w:rsidR="0051081B" w:rsidRPr="001D7D76" w:rsidRDefault="0051081B" w:rsidP="0051081B">
            <w:pPr>
              <w:pStyle w:val="Default"/>
              <w:spacing w:before="60" w:after="18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For territory authorities</w:t>
            </w:r>
            <w:r w:rsidR="00294E29">
              <w:rPr>
                <w:rFonts w:ascii="Calibri" w:hAnsi="Calibri"/>
                <w:color w:val="FFFFFF" w:themeColor="background1"/>
                <w:sz w:val="18"/>
                <w:szCs w:val="18"/>
                <w:lang w:eastAsia="en-US"/>
              </w:rPr>
              <w:t>.</w:t>
            </w:r>
          </w:p>
        </w:tc>
      </w:tr>
      <w:tr w:rsidR="00CE7A35" w:rsidRPr="001950C9" w14:paraId="4F043896" w14:textId="77777777" w:rsidTr="0004564D">
        <w:trPr>
          <w:gridAfter w:val="2"/>
          <w:wAfter w:w="68" w:type="dxa"/>
          <w:cantSplit/>
          <w:trHeight w:val="23"/>
        </w:trPr>
        <w:tc>
          <w:tcPr>
            <w:tcW w:w="1562" w:type="dxa"/>
            <w:tcBorders>
              <w:left w:val="single" w:sz="4" w:space="0" w:color="auto"/>
              <w:right w:val="single" w:sz="4" w:space="0" w:color="auto"/>
            </w:tcBorders>
          </w:tcPr>
          <w:p w14:paraId="39A42261" w14:textId="77777777" w:rsidR="00CE7A35" w:rsidRPr="001D7D76" w:rsidRDefault="00CE7A35" w:rsidP="00CE7A35">
            <w:pPr>
              <w:pStyle w:val="TableReference"/>
              <w:tabs>
                <w:tab w:val="left" w:pos="3306"/>
              </w:tabs>
              <w:spacing w:after="240"/>
              <w:rPr>
                <w:rFonts w:cs="Calibri"/>
                <w:color w:val="7030A0"/>
                <w:sz w:val="14"/>
              </w:rPr>
            </w:pPr>
          </w:p>
        </w:tc>
        <w:tc>
          <w:tcPr>
            <w:tcW w:w="8930" w:type="dxa"/>
            <w:gridSpan w:val="2"/>
            <w:tcBorders>
              <w:left w:val="single" w:sz="4" w:space="0" w:color="auto"/>
            </w:tcBorders>
            <w:shd w:val="clear" w:color="auto" w:fill="7030A0"/>
            <w:vAlign w:val="bottom"/>
          </w:tcPr>
          <w:p w14:paraId="68C7AB51" w14:textId="32C4DA95" w:rsidR="00CE7A35" w:rsidRPr="001D7D76" w:rsidRDefault="00CE7A35" w:rsidP="00CE7A35">
            <w:pPr>
              <w:pStyle w:val="Default"/>
              <w:spacing w:before="120"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Reimbursement of </w:t>
            </w:r>
            <w:r w:rsidR="00876E48" w:rsidRPr="001D7D76">
              <w:rPr>
                <w:rFonts w:ascii="Calibri" w:hAnsi="Calibri"/>
                <w:color w:val="FFFFFF" w:themeColor="background1"/>
                <w:sz w:val="18"/>
                <w:szCs w:val="18"/>
                <w:lang w:eastAsia="en-US"/>
              </w:rPr>
              <w:t>business-related</w:t>
            </w:r>
            <w:r w:rsidRPr="001D7D76">
              <w:rPr>
                <w:rFonts w:ascii="Calibri" w:hAnsi="Calibri"/>
                <w:color w:val="FFFFFF" w:themeColor="background1"/>
                <w:sz w:val="18"/>
                <w:szCs w:val="18"/>
                <w:lang w:eastAsia="en-US"/>
              </w:rPr>
              <w:t xml:space="preserve"> expenses (such as travel to attend a business meeting) is not compensation for the purpose of related party disclosures.</w:t>
            </w:r>
            <w:r w:rsidR="00FA7C77">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 xml:space="preserve">However, a benefit provided to a KMP that is personal in nature </w:t>
            </w:r>
            <w:r w:rsidR="00876E48" w:rsidRPr="001D7D76">
              <w:rPr>
                <w:rFonts w:ascii="Calibri" w:hAnsi="Calibri"/>
                <w:color w:val="FFFFFF" w:themeColor="background1"/>
                <w:sz w:val="18"/>
                <w:szCs w:val="18"/>
                <w:lang w:eastAsia="en-US"/>
              </w:rPr>
              <w:t>is</w:t>
            </w:r>
            <w:r w:rsidRPr="001D7D76">
              <w:rPr>
                <w:rFonts w:ascii="Calibri" w:hAnsi="Calibri"/>
                <w:color w:val="FFFFFF" w:themeColor="background1"/>
                <w:sz w:val="18"/>
                <w:szCs w:val="18"/>
                <w:lang w:eastAsia="en-US"/>
              </w:rPr>
              <w:t xml:space="preserve"> compensation.</w:t>
            </w:r>
          </w:p>
        </w:tc>
      </w:tr>
      <w:tr w:rsidR="00CE7A35" w:rsidRPr="001950C9" w14:paraId="0B150F88" w14:textId="77777777" w:rsidTr="0004564D">
        <w:trPr>
          <w:gridAfter w:val="2"/>
          <w:wAfter w:w="68" w:type="dxa"/>
          <w:cantSplit/>
          <w:trHeight w:val="23"/>
        </w:trPr>
        <w:tc>
          <w:tcPr>
            <w:tcW w:w="1562" w:type="dxa"/>
            <w:tcBorders>
              <w:left w:val="single" w:sz="4" w:space="0" w:color="auto"/>
              <w:right w:val="single" w:sz="4" w:space="0" w:color="auto"/>
            </w:tcBorders>
          </w:tcPr>
          <w:p w14:paraId="4C3B05B4" w14:textId="77777777" w:rsidR="00CE7A35" w:rsidRPr="001D7D76" w:rsidRDefault="00CE7A35" w:rsidP="00CE7A35">
            <w:pPr>
              <w:pStyle w:val="TableReference"/>
              <w:tabs>
                <w:tab w:val="left" w:pos="3306"/>
              </w:tabs>
              <w:spacing w:after="240"/>
              <w:rPr>
                <w:rFonts w:cs="Calibri"/>
                <w:color w:val="7030A0"/>
                <w:sz w:val="14"/>
              </w:rPr>
            </w:pPr>
          </w:p>
        </w:tc>
        <w:tc>
          <w:tcPr>
            <w:tcW w:w="8930" w:type="dxa"/>
            <w:gridSpan w:val="2"/>
            <w:tcBorders>
              <w:left w:val="single" w:sz="4" w:space="0" w:color="auto"/>
            </w:tcBorders>
            <w:shd w:val="clear" w:color="auto" w:fill="7030A0"/>
            <w:vAlign w:val="bottom"/>
          </w:tcPr>
          <w:p w14:paraId="0F56AC1A" w14:textId="03D5A50D"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Any monetary or non-monetary benefits, for instance, the provision of a car or car park, (together with any FBT) provided by ‘</w:t>
            </w:r>
            <w:r w:rsidR="008A2B0F" w:rsidRPr="001D7D76">
              <w:rPr>
                <w:rFonts w:asciiTheme="minorHAnsi" w:hAnsiTheme="minorHAnsi" w:cstheme="minorHAnsi"/>
                <w:color w:val="FFFFFF" w:themeColor="background1"/>
                <w:sz w:val="18"/>
                <w:szCs w:val="18"/>
              </w:rPr>
              <w:t>Burley Griffin</w:t>
            </w:r>
            <w:r w:rsidR="008A2B0F" w:rsidRPr="001D7D76">
              <w:rPr>
                <w:rFonts w:asciiTheme="minorHAnsi" w:hAnsiTheme="minorHAnsi" w:cstheme="minorHAnsi"/>
                <w:bCs/>
                <w:color w:val="FFFFFF" w:themeColor="background1"/>
                <w:sz w:val="18"/>
                <w:szCs w:val="18"/>
              </w:rPr>
              <w:t xml:space="preserve"> </w:t>
            </w:r>
            <w:r w:rsidRPr="001D7D76">
              <w:rPr>
                <w:rFonts w:ascii="Calibri" w:hAnsi="Calibri"/>
                <w:color w:val="FFFFFF" w:themeColor="background1"/>
                <w:sz w:val="18"/>
                <w:szCs w:val="18"/>
                <w:lang w:eastAsia="en-US"/>
              </w:rPr>
              <w:t>Agency’ to a KMP will also need to be included here.</w:t>
            </w:r>
            <w:r w:rsidR="00FA7C77">
              <w:rPr>
                <w:rFonts w:ascii="Calibri" w:hAnsi="Calibri"/>
                <w:color w:val="FFFFFF" w:themeColor="background1"/>
                <w:sz w:val="18"/>
                <w:szCs w:val="18"/>
                <w:lang w:eastAsia="en-US"/>
              </w:rPr>
              <w:t xml:space="preserve"> </w:t>
            </w:r>
          </w:p>
        </w:tc>
      </w:tr>
      <w:tr w:rsidR="00CE7A35" w:rsidRPr="001950C9" w14:paraId="62E2D239" w14:textId="77777777" w:rsidTr="0004564D">
        <w:trPr>
          <w:gridAfter w:val="2"/>
          <w:wAfter w:w="68" w:type="dxa"/>
          <w:cantSplit/>
          <w:trHeight w:val="23"/>
        </w:trPr>
        <w:tc>
          <w:tcPr>
            <w:tcW w:w="1562" w:type="dxa"/>
            <w:tcBorders>
              <w:left w:val="single" w:sz="4" w:space="0" w:color="auto"/>
              <w:right w:val="single" w:sz="4" w:space="0" w:color="auto"/>
            </w:tcBorders>
          </w:tcPr>
          <w:p w14:paraId="66FC759C" w14:textId="77777777" w:rsidR="00CE7A35" w:rsidRPr="001D7D76" w:rsidRDefault="00CE7A35" w:rsidP="00CE7A35">
            <w:pPr>
              <w:pStyle w:val="TableReference"/>
              <w:tabs>
                <w:tab w:val="left" w:pos="3306"/>
              </w:tabs>
              <w:spacing w:after="240"/>
              <w:rPr>
                <w:rFonts w:cs="Calibri"/>
                <w:color w:val="7030A0"/>
                <w:sz w:val="14"/>
              </w:rPr>
            </w:pPr>
          </w:p>
        </w:tc>
        <w:tc>
          <w:tcPr>
            <w:tcW w:w="8930" w:type="dxa"/>
            <w:gridSpan w:val="2"/>
            <w:tcBorders>
              <w:left w:val="single" w:sz="4" w:space="0" w:color="auto"/>
            </w:tcBorders>
            <w:shd w:val="clear" w:color="auto" w:fill="7030A0"/>
            <w:vAlign w:val="bottom"/>
          </w:tcPr>
          <w:p w14:paraId="7E38C4CC" w14:textId="4149FF0B" w:rsidR="00CE7A35" w:rsidRPr="001D7D76" w:rsidRDefault="00CE7A35" w:rsidP="00CE7A35">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Compensation to KMP must be disclosed regardless of the materiality of the amount to the financial statements. Transactions with KMP and other related parties need to be disclosed only if they are material to the financial statements. The April 2017 AASB Agenda Decision </w:t>
            </w:r>
            <w:r w:rsidRPr="001D7D76">
              <w:rPr>
                <w:rFonts w:ascii="Calibri" w:hAnsi="Calibri"/>
                <w:i/>
                <w:iCs/>
                <w:color w:val="FFFFFF" w:themeColor="background1"/>
                <w:sz w:val="18"/>
                <w:szCs w:val="18"/>
                <w:lang w:eastAsia="en-US"/>
              </w:rPr>
              <w:t xml:space="preserve">Materiality of Key Management Personnel Related Party Transactions of Not-for-Profit Public Sector Entities </w:t>
            </w:r>
            <w:r w:rsidRPr="001D7D76">
              <w:rPr>
                <w:rFonts w:ascii="Calibri" w:hAnsi="Calibri"/>
                <w:color w:val="FFFFFF" w:themeColor="background1"/>
                <w:sz w:val="18"/>
                <w:szCs w:val="18"/>
                <w:lang w:eastAsia="en-US"/>
              </w:rPr>
              <w:t>provides guidance on the relevant materiality considerations.</w:t>
            </w:r>
            <w:r w:rsidR="0038240D" w:rsidRPr="001D7D76">
              <w:rPr>
                <w:rFonts w:asciiTheme="minorHAnsi" w:hAnsiTheme="minorHAnsi" w:cstheme="minorHAnsi"/>
                <w:color w:val="FFFFFF" w:themeColor="background1"/>
                <w:sz w:val="18"/>
                <w:szCs w:val="18"/>
              </w:rPr>
              <w:t xml:space="preserve"> It is not expected that agencies will have material transactions with KMP. If they </w:t>
            </w:r>
            <w:r w:rsidR="00C958E9" w:rsidRPr="001D7D76">
              <w:rPr>
                <w:rFonts w:asciiTheme="minorHAnsi" w:hAnsiTheme="minorHAnsi" w:cstheme="minorHAnsi"/>
                <w:color w:val="FFFFFF" w:themeColor="background1"/>
                <w:sz w:val="18"/>
                <w:szCs w:val="18"/>
              </w:rPr>
              <w:t>do,</w:t>
            </w:r>
            <w:r w:rsidR="0038240D" w:rsidRPr="001D7D76">
              <w:rPr>
                <w:rFonts w:asciiTheme="minorHAnsi" w:hAnsiTheme="minorHAnsi" w:cstheme="minorHAnsi"/>
                <w:color w:val="FFFFFF" w:themeColor="background1"/>
                <w:sz w:val="18"/>
                <w:szCs w:val="18"/>
              </w:rPr>
              <w:t xml:space="preserve"> they should make the relevant disclosures in a similar format to the table in B.3.</w:t>
            </w:r>
          </w:p>
        </w:tc>
      </w:tr>
      <w:tr w:rsidR="00CE7A35" w:rsidRPr="001950C9" w14:paraId="61EC61F1" w14:textId="77777777" w:rsidTr="0004564D">
        <w:trPr>
          <w:gridAfter w:val="2"/>
          <w:wAfter w:w="68" w:type="dxa"/>
          <w:cantSplit/>
          <w:trHeight w:val="23"/>
        </w:trPr>
        <w:tc>
          <w:tcPr>
            <w:tcW w:w="1562" w:type="dxa"/>
            <w:tcBorders>
              <w:left w:val="single" w:sz="4" w:space="0" w:color="auto"/>
              <w:right w:val="single" w:sz="4" w:space="0" w:color="auto"/>
            </w:tcBorders>
          </w:tcPr>
          <w:p w14:paraId="42E8C3A4" w14:textId="77777777" w:rsidR="00CE7A35" w:rsidRPr="001D7D76" w:rsidRDefault="00CE7A35" w:rsidP="00CE7A35">
            <w:pPr>
              <w:pStyle w:val="TableReference"/>
              <w:tabs>
                <w:tab w:val="left" w:pos="3306"/>
              </w:tabs>
              <w:spacing w:after="240"/>
              <w:rPr>
                <w:rFonts w:cs="Calibri"/>
                <w:color w:val="7030A0"/>
                <w:sz w:val="14"/>
              </w:rPr>
            </w:pPr>
          </w:p>
        </w:tc>
        <w:tc>
          <w:tcPr>
            <w:tcW w:w="8930" w:type="dxa"/>
            <w:gridSpan w:val="2"/>
            <w:tcBorders>
              <w:left w:val="single" w:sz="4" w:space="0" w:color="auto"/>
            </w:tcBorders>
            <w:shd w:val="clear" w:color="auto" w:fill="7030A0"/>
            <w:vAlign w:val="bottom"/>
          </w:tcPr>
          <w:p w14:paraId="76A6392D" w14:textId="735E1F6C"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Shared Services Finance will be providing reports for compensation to KMP for agencies whose payroll is managed by them.</w:t>
            </w:r>
            <w:r w:rsidR="00FA7C77">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These agencies still also need to consider any compensation to its KMP that may have been processed through the Accounts Payable module.</w:t>
            </w:r>
          </w:p>
        </w:tc>
      </w:tr>
    </w:tbl>
    <w:p w14:paraId="052CEDF0" w14:textId="77777777" w:rsidR="000A1EDA" w:rsidRDefault="000A1EDA">
      <w:r>
        <w:br w:type="page"/>
      </w:r>
    </w:p>
    <w:tbl>
      <w:tblPr>
        <w:tblW w:w="10492" w:type="dxa"/>
        <w:tblInd w:w="-7" w:type="dxa"/>
        <w:tblLayout w:type="fixed"/>
        <w:tblLook w:val="00A0" w:firstRow="1" w:lastRow="0" w:firstColumn="1" w:lastColumn="0" w:noHBand="0" w:noVBand="0"/>
      </w:tblPr>
      <w:tblGrid>
        <w:gridCol w:w="1562"/>
        <w:gridCol w:w="8930"/>
      </w:tblGrid>
      <w:tr w:rsidR="001D7D76" w:rsidRPr="0009630F" w14:paraId="065795C8" w14:textId="77777777" w:rsidTr="0004564D">
        <w:trPr>
          <w:cantSplit/>
          <w:trHeight w:val="23"/>
        </w:trPr>
        <w:tc>
          <w:tcPr>
            <w:tcW w:w="1562" w:type="dxa"/>
            <w:tcBorders>
              <w:left w:val="single" w:sz="4" w:space="0" w:color="auto"/>
              <w:right w:val="single" w:sz="4" w:space="0" w:color="auto"/>
            </w:tcBorders>
            <w:vAlign w:val="bottom"/>
          </w:tcPr>
          <w:p w14:paraId="50B6BDF0" w14:textId="20E17AB3" w:rsidR="001D7D76" w:rsidRPr="001D7D76" w:rsidRDefault="001D7D76" w:rsidP="000A1EDA">
            <w:pPr>
              <w:pStyle w:val="TableReference"/>
              <w:tabs>
                <w:tab w:val="left" w:pos="3306"/>
              </w:tabs>
              <w:spacing w:after="240"/>
              <w:rPr>
                <w:rFonts w:cs="Calibri"/>
                <w:b/>
                <w:strike/>
                <w:color w:val="7030A0"/>
                <w:sz w:val="22"/>
                <w:szCs w:val="22"/>
              </w:rPr>
            </w:pPr>
            <w:r w:rsidRPr="001D7D76">
              <w:rPr>
                <w:color w:val="7030A0"/>
              </w:rPr>
              <w:br w:type="page"/>
            </w:r>
            <w:r w:rsidRPr="001D7D76">
              <w:rPr>
                <w:rFonts w:cs="Calibri"/>
                <w:b/>
                <w:color w:val="7030A0"/>
                <w:sz w:val="22"/>
                <w:szCs w:val="22"/>
              </w:rPr>
              <w:t>Reference</w:t>
            </w:r>
          </w:p>
        </w:tc>
        <w:tc>
          <w:tcPr>
            <w:tcW w:w="8930" w:type="dxa"/>
            <w:tcBorders>
              <w:left w:val="single" w:sz="4" w:space="0" w:color="auto"/>
            </w:tcBorders>
            <w:shd w:val="clear" w:color="auto" w:fill="7030A0"/>
            <w:vAlign w:val="bottom"/>
          </w:tcPr>
          <w:p w14:paraId="0DA176CF" w14:textId="359BC69E" w:rsidR="001D7D76" w:rsidRPr="001D7D76" w:rsidRDefault="001D7D76" w:rsidP="000A1EDA">
            <w:pPr>
              <w:spacing w:after="240"/>
              <w:rPr>
                <w:b/>
                <w:strike/>
                <w:color w:val="FFFFFF" w:themeColor="background1"/>
                <w:sz w:val="28"/>
                <w:szCs w:val="28"/>
              </w:rPr>
            </w:pPr>
            <w:r w:rsidRPr="001D7D76">
              <w:rPr>
                <w:b/>
                <w:color w:val="FFFFFF" w:themeColor="background1"/>
                <w:sz w:val="28"/>
                <w:szCs w:val="28"/>
              </w:rPr>
              <w:t>Commentary – Note 38: Related Party Disclosures – Continued</w:t>
            </w:r>
          </w:p>
        </w:tc>
      </w:tr>
      <w:tr w:rsidR="000F06FC" w:rsidRPr="001950C9" w14:paraId="0F1E8958" w14:textId="77777777" w:rsidTr="0004564D">
        <w:trPr>
          <w:cantSplit/>
          <w:trHeight w:val="23"/>
        </w:trPr>
        <w:tc>
          <w:tcPr>
            <w:tcW w:w="1562" w:type="dxa"/>
            <w:tcBorders>
              <w:left w:val="single" w:sz="4" w:space="0" w:color="auto"/>
              <w:right w:val="single" w:sz="4" w:space="0" w:color="auto"/>
            </w:tcBorders>
          </w:tcPr>
          <w:p w14:paraId="284AAB3E" w14:textId="77777777" w:rsidR="000F06FC" w:rsidRPr="001D7D76" w:rsidRDefault="000F06FC" w:rsidP="000F06FC">
            <w:pPr>
              <w:pStyle w:val="TableReference"/>
              <w:tabs>
                <w:tab w:val="left" w:pos="3306"/>
              </w:tabs>
              <w:spacing w:before="60"/>
              <w:rPr>
                <w:color w:val="7030A0"/>
                <w:sz w:val="14"/>
              </w:rPr>
            </w:pPr>
          </w:p>
        </w:tc>
        <w:tc>
          <w:tcPr>
            <w:tcW w:w="8930" w:type="dxa"/>
            <w:tcBorders>
              <w:left w:val="single" w:sz="4" w:space="0" w:color="auto"/>
            </w:tcBorders>
            <w:shd w:val="clear" w:color="auto" w:fill="7030A0"/>
            <w:vAlign w:val="bottom"/>
          </w:tcPr>
          <w:p w14:paraId="5398270A" w14:textId="22333AFC" w:rsidR="000F06FC" w:rsidRPr="000A1EDA" w:rsidRDefault="000F06FC" w:rsidP="009A5C42">
            <w:pPr>
              <w:pStyle w:val="Default"/>
              <w:rPr>
                <w:rFonts w:ascii="Calibri" w:hAnsi="Calibri"/>
                <w:b/>
                <w:color w:val="FFFFFF" w:themeColor="background1"/>
                <w:sz w:val="20"/>
                <w:szCs w:val="20"/>
                <w:lang w:eastAsia="en-US"/>
              </w:rPr>
            </w:pPr>
            <w:r w:rsidRPr="000A1EDA">
              <w:rPr>
                <w:rFonts w:ascii="Calibri" w:hAnsi="Calibri"/>
                <w:b/>
                <w:color w:val="FFFFFF" w:themeColor="background1"/>
                <w:sz w:val="20"/>
                <w:szCs w:val="20"/>
                <w:lang w:eastAsia="en-US"/>
              </w:rPr>
              <w:t>Other Related Party Transactions</w:t>
            </w:r>
          </w:p>
        </w:tc>
      </w:tr>
      <w:tr w:rsidR="00CA2B85" w:rsidRPr="001950C9" w14:paraId="3ADCF63F" w14:textId="77777777" w:rsidTr="0004564D">
        <w:trPr>
          <w:cantSplit/>
          <w:trHeight w:val="23"/>
        </w:trPr>
        <w:tc>
          <w:tcPr>
            <w:tcW w:w="1562" w:type="dxa"/>
            <w:tcBorders>
              <w:left w:val="single" w:sz="4" w:space="0" w:color="auto"/>
              <w:right w:val="single" w:sz="4" w:space="0" w:color="auto"/>
            </w:tcBorders>
          </w:tcPr>
          <w:p w14:paraId="6919BE12" w14:textId="44E46EBD" w:rsidR="000F06FC" w:rsidRPr="001D7D76" w:rsidRDefault="005E7597" w:rsidP="0009630F">
            <w:pPr>
              <w:pStyle w:val="TableReference"/>
              <w:tabs>
                <w:tab w:val="left" w:pos="3306"/>
              </w:tabs>
              <w:spacing w:before="60"/>
              <w:rPr>
                <w:color w:val="7030A0"/>
                <w:sz w:val="14"/>
              </w:rPr>
            </w:pPr>
            <w:r w:rsidRPr="001D7D76">
              <w:rPr>
                <w:color w:val="7030A0"/>
                <w:sz w:val="14"/>
              </w:rPr>
              <w:t>AASB 124.19</w:t>
            </w:r>
          </w:p>
        </w:tc>
        <w:tc>
          <w:tcPr>
            <w:tcW w:w="8930" w:type="dxa"/>
            <w:tcBorders>
              <w:left w:val="single" w:sz="4" w:space="0" w:color="auto"/>
            </w:tcBorders>
            <w:shd w:val="clear" w:color="auto" w:fill="7030A0"/>
            <w:vAlign w:val="bottom"/>
          </w:tcPr>
          <w:p w14:paraId="089D928D" w14:textId="25FAE729" w:rsidR="00CA2B85" w:rsidRPr="001D7D76" w:rsidRDefault="000F06FC" w:rsidP="006B590F">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D</w:t>
            </w:r>
            <w:r w:rsidR="00CA2B85" w:rsidRPr="001D7D76">
              <w:rPr>
                <w:rFonts w:ascii="Calibri" w:hAnsi="Calibri"/>
                <w:color w:val="FFFFFF" w:themeColor="background1"/>
                <w:sz w:val="18"/>
                <w:szCs w:val="18"/>
                <w:lang w:eastAsia="en-US"/>
              </w:rPr>
              <w:t xml:space="preserve">isclosures required by </w:t>
            </w:r>
            <w:r w:rsidR="0009630F" w:rsidRPr="001D7D76">
              <w:rPr>
                <w:rFonts w:ascii="Calibri" w:hAnsi="Calibri"/>
                <w:color w:val="FFFFFF" w:themeColor="background1"/>
                <w:sz w:val="18"/>
                <w:szCs w:val="18"/>
                <w:lang w:eastAsia="en-US"/>
              </w:rPr>
              <w:t xml:space="preserve">AASB 124 </w:t>
            </w:r>
            <w:r w:rsidR="00CA2B85" w:rsidRPr="001D7D76">
              <w:rPr>
                <w:rFonts w:ascii="Calibri" w:hAnsi="Calibri"/>
                <w:color w:val="FFFFFF" w:themeColor="background1"/>
                <w:sz w:val="18"/>
                <w:szCs w:val="18"/>
                <w:lang w:eastAsia="en-US"/>
              </w:rPr>
              <w:t xml:space="preserve">paragraph 18 </w:t>
            </w:r>
            <w:r w:rsidRPr="001D7D76">
              <w:rPr>
                <w:rFonts w:ascii="Calibri" w:hAnsi="Calibri"/>
                <w:color w:val="FFFFFF" w:themeColor="background1"/>
                <w:sz w:val="18"/>
                <w:szCs w:val="18"/>
                <w:lang w:eastAsia="en-US"/>
              </w:rPr>
              <w:t xml:space="preserve">regarding the nature of the related party relationship as well as information about those transactions and outstanding balances, including commitments, necessary for users to understand the potential effect of the relationship </w:t>
            </w:r>
            <w:r w:rsidR="00CA2B85" w:rsidRPr="001D7D76">
              <w:rPr>
                <w:rFonts w:ascii="Calibri" w:hAnsi="Calibri"/>
                <w:color w:val="FFFFFF" w:themeColor="background1"/>
                <w:sz w:val="18"/>
                <w:szCs w:val="18"/>
                <w:lang w:eastAsia="en-US"/>
              </w:rPr>
              <w:t xml:space="preserve">shall be made separately for each of the following categories: </w:t>
            </w:r>
          </w:p>
          <w:p w14:paraId="200BD483"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(a) the parent; </w:t>
            </w:r>
          </w:p>
          <w:p w14:paraId="00E45C4B"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(b) entities with joint control of, or significant influence over, the entity; </w:t>
            </w:r>
          </w:p>
          <w:p w14:paraId="53B54D49"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 subsidiaries; </w:t>
            </w:r>
          </w:p>
          <w:p w14:paraId="6D62D185"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(d) associates; </w:t>
            </w:r>
          </w:p>
          <w:p w14:paraId="030CC51F"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(e) joint ventures in which the entity is </w:t>
            </w:r>
            <w:r w:rsidR="0082581E" w:rsidRPr="001D7D76">
              <w:rPr>
                <w:rFonts w:ascii="Calibri" w:hAnsi="Calibri"/>
                <w:color w:val="FFFFFF" w:themeColor="background1"/>
                <w:sz w:val="18"/>
                <w:szCs w:val="18"/>
                <w:lang w:eastAsia="en-US"/>
              </w:rPr>
              <w:t xml:space="preserve">in </w:t>
            </w:r>
            <w:r w:rsidRPr="001D7D76">
              <w:rPr>
                <w:rFonts w:ascii="Calibri" w:hAnsi="Calibri"/>
                <w:color w:val="FFFFFF" w:themeColor="background1"/>
                <w:sz w:val="18"/>
                <w:szCs w:val="18"/>
                <w:lang w:eastAsia="en-US"/>
              </w:rPr>
              <w:t xml:space="preserve">a joint venture; </w:t>
            </w:r>
          </w:p>
          <w:p w14:paraId="1BF2D5A9" w14:textId="77777777" w:rsidR="00CA2B85" w:rsidRPr="001D7D76" w:rsidRDefault="00CA2B85"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(f) key management personnel of the entity or its parent; and </w:t>
            </w:r>
          </w:p>
          <w:p w14:paraId="416AD793" w14:textId="6688D274" w:rsidR="00CA2B85" w:rsidRPr="001D7D76" w:rsidRDefault="00CA2B85" w:rsidP="000A1EDA">
            <w:pPr>
              <w:pStyle w:val="Default"/>
              <w:spacing w:after="120"/>
              <w:ind w:left="310" w:hanging="284"/>
              <w:jc w:val="both"/>
              <w:rPr>
                <w:rFonts w:ascii="Calibri" w:hAnsi="Calibri"/>
                <w:color w:val="FFFFFF" w:themeColor="background1"/>
                <w:sz w:val="18"/>
                <w:szCs w:val="18"/>
                <w:lang w:eastAsia="en-US"/>
              </w:rPr>
            </w:pPr>
            <w:r w:rsidRPr="001D7D76">
              <w:rPr>
                <w:rFonts w:ascii="Calibri" w:hAnsi="Calibri"/>
                <w:color w:val="FFFFFF" w:themeColor="background1"/>
                <w:sz w:val="18"/>
                <w:szCs w:val="18"/>
              </w:rPr>
              <w:t>(g) other related parties.</w:t>
            </w:r>
          </w:p>
        </w:tc>
      </w:tr>
      <w:tr w:rsidR="00AE1455" w:rsidRPr="001950C9" w14:paraId="38039039" w14:textId="77777777" w:rsidTr="0004564D">
        <w:trPr>
          <w:cantSplit/>
          <w:trHeight w:val="23"/>
        </w:trPr>
        <w:tc>
          <w:tcPr>
            <w:tcW w:w="1562" w:type="dxa"/>
            <w:tcBorders>
              <w:left w:val="single" w:sz="4" w:space="0" w:color="auto"/>
              <w:right w:val="single" w:sz="4" w:space="0" w:color="auto"/>
            </w:tcBorders>
          </w:tcPr>
          <w:p w14:paraId="49DFB28B" w14:textId="77777777" w:rsidR="00AE1455" w:rsidRPr="001D7D76" w:rsidRDefault="005E7597" w:rsidP="005E7597">
            <w:pPr>
              <w:pStyle w:val="TableReference"/>
              <w:tabs>
                <w:tab w:val="left" w:pos="3306"/>
              </w:tabs>
              <w:spacing w:after="240"/>
              <w:rPr>
                <w:rFonts w:cs="Calibri"/>
                <w:color w:val="7030A0"/>
                <w:sz w:val="14"/>
              </w:rPr>
            </w:pPr>
            <w:r w:rsidRPr="001D7D76">
              <w:rPr>
                <w:color w:val="7030A0"/>
                <w:sz w:val="14"/>
              </w:rPr>
              <w:t>AASB 124.21</w:t>
            </w:r>
          </w:p>
        </w:tc>
        <w:tc>
          <w:tcPr>
            <w:tcW w:w="8930" w:type="dxa"/>
            <w:tcBorders>
              <w:left w:val="single" w:sz="4" w:space="0" w:color="auto"/>
            </w:tcBorders>
            <w:shd w:val="clear" w:color="auto" w:fill="7030A0"/>
            <w:vAlign w:val="bottom"/>
          </w:tcPr>
          <w:p w14:paraId="25D1484D" w14:textId="7B5B915D" w:rsidR="005E7597" w:rsidRPr="001D7D76" w:rsidRDefault="005E7597" w:rsidP="006B590F">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Disclosures under each of the above categories of related parties need to be separately identified by the type of transaction</w:t>
            </w:r>
            <w:r w:rsidR="00BA2144" w:rsidRPr="001D7D76">
              <w:rPr>
                <w:rFonts w:ascii="Calibri" w:hAnsi="Calibri"/>
                <w:color w:val="FFFFFF" w:themeColor="background1"/>
                <w:sz w:val="18"/>
                <w:szCs w:val="18"/>
                <w:lang w:eastAsia="en-US"/>
              </w:rPr>
              <w:t>.</w:t>
            </w:r>
            <w:r w:rsidR="00FA7C77">
              <w:rPr>
                <w:rFonts w:ascii="Calibri" w:hAnsi="Calibri"/>
                <w:color w:val="FFFFFF" w:themeColor="background1"/>
                <w:sz w:val="18"/>
                <w:szCs w:val="18"/>
                <w:lang w:eastAsia="en-US"/>
              </w:rPr>
              <w:t xml:space="preserve"> </w:t>
            </w:r>
            <w:r w:rsidR="00BA2144" w:rsidRPr="001D7D76">
              <w:rPr>
                <w:rFonts w:ascii="Calibri" w:hAnsi="Calibri"/>
                <w:color w:val="FFFFFF" w:themeColor="background1"/>
                <w:sz w:val="18"/>
                <w:szCs w:val="18"/>
                <w:lang w:eastAsia="en-US"/>
              </w:rPr>
              <w:t>T</w:t>
            </w:r>
            <w:r w:rsidRPr="001D7D76">
              <w:rPr>
                <w:rFonts w:ascii="Calibri" w:hAnsi="Calibri"/>
                <w:color w:val="FFFFFF" w:themeColor="background1"/>
                <w:sz w:val="18"/>
                <w:szCs w:val="18"/>
                <w:lang w:eastAsia="en-US"/>
              </w:rPr>
              <w:t xml:space="preserve">he following are examples of transactions that are disclosed </w:t>
            </w:r>
            <w:r w:rsidR="00AF4882" w:rsidRPr="001D7D76">
              <w:rPr>
                <w:rFonts w:ascii="Calibri" w:hAnsi="Calibri"/>
                <w:color w:val="FFFFFF" w:themeColor="background1"/>
                <w:sz w:val="18"/>
                <w:szCs w:val="18"/>
                <w:lang w:eastAsia="en-US"/>
              </w:rPr>
              <w:t xml:space="preserve">in the financial statements </w:t>
            </w:r>
            <w:r w:rsidRPr="001D7D76">
              <w:rPr>
                <w:rFonts w:ascii="Calibri" w:hAnsi="Calibri"/>
                <w:color w:val="FFFFFF" w:themeColor="background1"/>
                <w:sz w:val="18"/>
                <w:szCs w:val="18"/>
                <w:lang w:eastAsia="en-US"/>
              </w:rPr>
              <w:t>if they are with a related party:</w:t>
            </w:r>
          </w:p>
          <w:p w14:paraId="68CF8896"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(a) purchases or sales of goods (finished or unfinished);</w:t>
            </w:r>
          </w:p>
          <w:p w14:paraId="7CB7E1CB"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(b) purchases or sales of property and other assets;</w:t>
            </w:r>
          </w:p>
          <w:p w14:paraId="355E19E4"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 xml:space="preserve">(c) rendering or receiving of services; </w:t>
            </w:r>
          </w:p>
          <w:p w14:paraId="7613FE17"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(d) leases;</w:t>
            </w:r>
          </w:p>
          <w:p w14:paraId="7807B662"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(e) transfers of research and development;</w:t>
            </w:r>
          </w:p>
          <w:p w14:paraId="5AECBB85"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(f) transfers under licence agreements;</w:t>
            </w:r>
          </w:p>
          <w:p w14:paraId="46E2C923"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(g) transfers under finance arrangements (including loans and equity contributions in cash or in kind);</w:t>
            </w:r>
          </w:p>
          <w:p w14:paraId="054B2C2B"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(h) provision of guarantees or collateral;</w:t>
            </w:r>
          </w:p>
          <w:p w14:paraId="2FEA290A" w14:textId="77777777" w:rsidR="005E7597" w:rsidRPr="001D7D76" w:rsidRDefault="005E7597" w:rsidP="000A1EDA">
            <w:pPr>
              <w:autoSpaceDE w:val="0"/>
              <w:autoSpaceDN w:val="0"/>
              <w:adjustRightInd w:val="0"/>
              <w:spacing w:after="60"/>
              <w:ind w:left="310" w:hanging="283"/>
              <w:jc w:val="both"/>
              <w:rPr>
                <w:color w:val="FFFFFF" w:themeColor="background1"/>
                <w:sz w:val="18"/>
                <w:szCs w:val="18"/>
              </w:rPr>
            </w:pPr>
            <w:r w:rsidRPr="001D7D76">
              <w:rPr>
                <w:color w:val="FFFFFF" w:themeColor="background1"/>
                <w:sz w:val="18"/>
                <w:szCs w:val="18"/>
              </w:rPr>
              <w:t>(i) commitments to do something if a particular event occurs or does not occur in the future, including executory contracts (recognised and unrecognised); and</w:t>
            </w:r>
          </w:p>
          <w:p w14:paraId="00CF9E96" w14:textId="5195AB0A" w:rsidR="00AE1455" w:rsidRPr="001D7D76" w:rsidRDefault="005E7597" w:rsidP="000A1EDA">
            <w:pPr>
              <w:autoSpaceDE w:val="0"/>
              <w:autoSpaceDN w:val="0"/>
              <w:adjustRightInd w:val="0"/>
              <w:spacing w:after="120"/>
              <w:ind w:left="310" w:hanging="284"/>
              <w:jc w:val="both"/>
              <w:rPr>
                <w:color w:val="FFFFFF" w:themeColor="background1"/>
                <w:sz w:val="18"/>
                <w:szCs w:val="18"/>
              </w:rPr>
            </w:pPr>
            <w:r w:rsidRPr="001D7D76">
              <w:rPr>
                <w:color w:val="FFFFFF" w:themeColor="background1"/>
                <w:sz w:val="18"/>
                <w:szCs w:val="18"/>
              </w:rPr>
              <w:t>(j) settlement of liabilities on behalf of the entity or by the entity on behalf of that related party.</w:t>
            </w:r>
          </w:p>
        </w:tc>
      </w:tr>
      <w:tr w:rsidR="00CE7A35" w:rsidRPr="001950C9" w14:paraId="524E0825" w14:textId="77777777" w:rsidTr="0004564D">
        <w:trPr>
          <w:cantSplit/>
          <w:trHeight w:val="23"/>
        </w:trPr>
        <w:tc>
          <w:tcPr>
            <w:tcW w:w="1562" w:type="dxa"/>
            <w:tcBorders>
              <w:left w:val="single" w:sz="4" w:space="0" w:color="auto"/>
              <w:right w:val="single" w:sz="4" w:space="0" w:color="auto"/>
            </w:tcBorders>
          </w:tcPr>
          <w:p w14:paraId="731EC206" w14:textId="77777777" w:rsidR="00CE7A35" w:rsidRPr="001D7D76" w:rsidRDefault="00CE7A35" w:rsidP="00CE7A35">
            <w:pPr>
              <w:pStyle w:val="TableReference"/>
              <w:tabs>
                <w:tab w:val="left" w:pos="3306"/>
              </w:tabs>
              <w:rPr>
                <w:color w:val="7030A0"/>
                <w:sz w:val="14"/>
              </w:rPr>
            </w:pPr>
          </w:p>
        </w:tc>
        <w:tc>
          <w:tcPr>
            <w:tcW w:w="8930" w:type="dxa"/>
            <w:tcBorders>
              <w:left w:val="single" w:sz="4" w:space="0" w:color="auto"/>
            </w:tcBorders>
            <w:shd w:val="clear" w:color="auto" w:fill="7030A0"/>
            <w:vAlign w:val="bottom"/>
          </w:tcPr>
          <w:p w14:paraId="7E0649E6" w14:textId="16E8ED5A"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Agencies need to exercise judgement in assessing what information warrants disclosure.</w:t>
            </w:r>
            <w:r w:rsidR="00FA7C77">
              <w:rPr>
                <w:rFonts w:ascii="Calibri" w:hAnsi="Calibri"/>
                <w:color w:val="FFFFFF" w:themeColor="background1"/>
                <w:sz w:val="18"/>
                <w:szCs w:val="18"/>
                <w:lang w:eastAsia="en-US"/>
              </w:rPr>
              <w:t xml:space="preserve"> </w:t>
            </w:r>
          </w:p>
        </w:tc>
      </w:tr>
      <w:tr w:rsidR="00CE7A35" w:rsidRPr="001950C9" w14:paraId="4DD2B63C" w14:textId="77777777" w:rsidTr="0004564D">
        <w:trPr>
          <w:cantSplit/>
          <w:trHeight w:val="23"/>
        </w:trPr>
        <w:tc>
          <w:tcPr>
            <w:tcW w:w="1562" w:type="dxa"/>
            <w:tcBorders>
              <w:left w:val="single" w:sz="4" w:space="0" w:color="auto"/>
              <w:right w:val="single" w:sz="4" w:space="0" w:color="auto"/>
            </w:tcBorders>
          </w:tcPr>
          <w:p w14:paraId="3D99FCAE" w14:textId="77777777" w:rsidR="00CE7A35" w:rsidRPr="001D7D76" w:rsidRDefault="00CE7A35" w:rsidP="00CE7A35">
            <w:pPr>
              <w:pStyle w:val="TableReference"/>
              <w:tabs>
                <w:tab w:val="left" w:pos="3306"/>
              </w:tabs>
              <w:rPr>
                <w:color w:val="7030A0"/>
                <w:sz w:val="14"/>
              </w:rPr>
            </w:pPr>
          </w:p>
        </w:tc>
        <w:tc>
          <w:tcPr>
            <w:tcW w:w="8930" w:type="dxa"/>
            <w:tcBorders>
              <w:left w:val="single" w:sz="4" w:space="0" w:color="auto"/>
            </w:tcBorders>
            <w:shd w:val="clear" w:color="auto" w:fill="7030A0"/>
            <w:vAlign w:val="bottom"/>
          </w:tcPr>
          <w:p w14:paraId="577F6857" w14:textId="0274A37C"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Items of a similar nature can be aggregated, except where separate disclosure is necessary for understanding the effects of related party transactions on the entity’s financial statements.</w:t>
            </w:r>
          </w:p>
        </w:tc>
      </w:tr>
      <w:tr w:rsidR="00AE1455" w:rsidRPr="001950C9" w14:paraId="3493C25C" w14:textId="77777777" w:rsidTr="0004564D">
        <w:trPr>
          <w:cantSplit/>
          <w:trHeight w:val="23"/>
        </w:trPr>
        <w:tc>
          <w:tcPr>
            <w:tcW w:w="1562" w:type="dxa"/>
            <w:tcBorders>
              <w:left w:val="single" w:sz="4" w:space="0" w:color="auto"/>
              <w:right w:val="single" w:sz="4" w:space="0" w:color="auto"/>
            </w:tcBorders>
          </w:tcPr>
          <w:p w14:paraId="7BC0A93B" w14:textId="77777777" w:rsidR="00AE1455" w:rsidRPr="001D7D76" w:rsidRDefault="005E7597" w:rsidP="005E7597">
            <w:pPr>
              <w:pStyle w:val="TableReference"/>
              <w:tabs>
                <w:tab w:val="left" w:pos="3306"/>
              </w:tabs>
              <w:spacing w:after="240"/>
              <w:rPr>
                <w:rFonts w:cs="Calibri"/>
                <w:color w:val="7030A0"/>
                <w:sz w:val="14"/>
              </w:rPr>
            </w:pPr>
            <w:r w:rsidRPr="001D7D76">
              <w:rPr>
                <w:color w:val="7030A0"/>
                <w:sz w:val="14"/>
              </w:rPr>
              <w:t>AASB 124.27</w:t>
            </w:r>
          </w:p>
        </w:tc>
        <w:tc>
          <w:tcPr>
            <w:tcW w:w="8930" w:type="dxa"/>
            <w:tcBorders>
              <w:left w:val="single" w:sz="4" w:space="0" w:color="auto"/>
            </w:tcBorders>
            <w:shd w:val="clear" w:color="auto" w:fill="7030A0"/>
            <w:vAlign w:val="bottom"/>
          </w:tcPr>
          <w:p w14:paraId="29292F86" w14:textId="0D57752A" w:rsidR="005E7597" w:rsidRPr="001D7D76" w:rsidRDefault="00BA2144" w:rsidP="006B590F">
            <w:pPr>
              <w:pStyle w:val="Default"/>
              <w:spacing w:after="6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I</w:t>
            </w:r>
            <w:r w:rsidR="005E7597" w:rsidRPr="001D7D76">
              <w:rPr>
                <w:rFonts w:ascii="Calibri" w:hAnsi="Calibri"/>
                <w:color w:val="FFFFFF" w:themeColor="background1"/>
                <w:sz w:val="18"/>
                <w:szCs w:val="18"/>
                <w:lang w:eastAsia="en-US"/>
              </w:rPr>
              <w:t xml:space="preserve">n using judgement to determine the level of detail to be disclosed in accordance with the requirements in </w:t>
            </w:r>
            <w:r w:rsidR="0009630F" w:rsidRPr="001D7D76">
              <w:rPr>
                <w:rFonts w:ascii="Calibri" w:hAnsi="Calibri"/>
                <w:color w:val="FFFFFF" w:themeColor="background1"/>
                <w:sz w:val="18"/>
                <w:szCs w:val="18"/>
                <w:lang w:eastAsia="en-US"/>
              </w:rPr>
              <w:t xml:space="preserve">AASB 124 </w:t>
            </w:r>
            <w:r w:rsidR="005E7597" w:rsidRPr="001D7D76">
              <w:rPr>
                <w:rFonts w:ascii="Calibri" w:hAnsi="Calibri"/>
                <w:color w:val="FFFFFF" w:themeColor="background1"/>
                <w:sz w:val="18"/>
                <w:szCs w:val="18"/>
                <w:lang w:eastAsia="en-US"/>
              </w:rPr>
              <w:t xml:space="preserve">paragraph 26(b), the reporting entity </w:t>
            </w:r>
            <w:r w:rsidR="00AF4882" w:rsidRPr="001D7D76">
              <w:rPr>
                <w:rFonts w:ascii="Calibri" w:hAnsi="Calibri"/>
                <w:color w:val="FFFFFF" w:themeColor="background1"/>
                <w:sz w:val="18"/>
                <w:szCs w:val="18"/>
                <w:lang w:eastAsia="en-US"/>
              </w:rPr>
              <w:t>must</w:t>
            </w:r>
            <w:r w:rsidR="005E7597" w:rsidRPr="001D7D76">
              <w:rPr>
                <w:rFonts w:ascii="Calibri" w:hAnsi="Calibri"/>
                <w:color w:val="FFFFFF" w:themeColor="background1"/>
                <w:sz w:val="18"/>
                <w:szCs w:val="18"/>
                <w:lang w:eastAsia="en-US"/>
              </w:rPr>
              <w:t xml:space="preserve"> consider the closeness of the related party relationship and other factors relevant in establishing the level of significance of the transaction such as whether it is: </w:t>
            </w:r>
          </w:p>
          <w:p w14:paraId="2C110185"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(a) significant in terms of size; </w:t>
            </w:r>
          </w:p>
          <w:p w14:paraId="23741CFE"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(b) carried out on non-market terms; </w:t>
            </w:r>
          </w:p>
          <w:p w14:paraId="3888EF4D"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(c) outside normal day-to-day business operations, such as the purchase and sale of businesses; </w:t>
            </w:r>
          </w:p>
          <w:p w14:paraId="78512B32"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(d) disclosed to regulatory or supervisory authorities; </w:t>
            </w:r>
          </w:p>
          <w:p w14:paraId="5CF30F47" w14:textId="77777777" w:rsidR="005E7597" w:rsidRPr="001D7D76" w:rsidRDefault="005E7597" w:rsidP="000A1EDA">
            <w:pPr>
              <w:pStyle w:val="Default"/>
              <w:spacing w:after="60"/>
              <w:ind w:left="310" w:hanging="283"/>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(e) reported to senior management; </w:t>
            </w:r>
            <w:r w:rsidR="00AF4882" w:rsidRPr="001D7D76">
              <w:rPr>
                <w:rFonts w:ascii="Calibri" w:hAnsi="Calibri"/>
                <w:color w:val="FFFFFF" w:themeColor="background1"/>
                <w:sz w:val="18"/>
                <w:szCs w:val="18"/>
                <w:lang w:eastAsia="en-US"/>
              </w:rPr>
              <w:t>and</w:t>
            </w:r>
          </w:p>
          <w:p w14:paraId="10D41E1C" w14:textId="146F6E11" w:rsidR="00AE1455" w:rsidRPr="001D7D76" w:rsidRDefault="005E7597" w:rsidP="000A1EDA">
            <w:pPr>
              <w:pStyle w:val="Default"/>
              <w:spacing w:after="120"/>
              <w:ind w:left="310" w:hanging="284"/>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(f) subject to shareholder approval (in this context Ministerial approval).</w:t>
            </w:r>
          </w:p>
        </w:tc>
      </w:tr>
      <w:tr w:rsidR="00CE7A35" w:rsidRPr="001950C9" w14:paraId="275C1502" w14:textId="77777777" w:rsidTr="0004564D">
        <w:trPr>
          <w:cantSplit/>
          <w:trHeight w:val="23"/>
        </w:trPr>
        <w:tc>
          <w:tcPr>
            <w:tcW w:w="1562" w:type="dxa"/>
            <w:tcBorders>
              <w:left w:val="single" w:sz="4" w:space="0" w:color="auto"/>
              <w:right w:val="single" w:sz="4" w:space="0" w:color="auto"/>
            </w:tcBorders>
          </w:tcPr>
          <w:p w14:paraId="2A8264CC" w14:textId="77777777" w:rsidR="00CE7A35" w:rsidRPr="001D7D76" w:rsidRDefault="00CE7A35" w:rsidP="005E7597">
            <w:pPr>
              <w:pStyle w:val="TableReference"/>
              <w:tabs>
                <w:tab w:val="left" w:pos="3306"/>
              </w:tabs>
              <w:spacing w:after="240"/>
              <w:rPr>
                <w:color w:val="7030A0"/>
                <w:sz w:val="14"/>
              </w:rPr>
            </w:pPr>
          </w:p>
        </w:tc>
        <w:tc>
          <w:tcPr>
            <w:tcW w:w="8930" w:type="dxa"/>
            <w:tcBorders>
              <w:left w:val="single" w:sz="4" w:space="0" w:color="auto"/>
            </w:tcBorders>
            <w:shd w:val="clear" w:color="auto" w:fill="7030A0"/>
            <w:vAlign w:val="bottom"/>
          </w:tcPr>
          <w:p w14:paraId="6761A0A0" w14:textId="1CF9AC84" w:rsidR="00CE7A35" w:rsidRPr="001D7D76" w:rsidRDefault="00CE7A35" w:rsidP="009A5C42">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Transactions conducted on normal terms and conditions with KMP and other related parties may or may not be material for inclusion in the </w:t>
            </w:r>
            <w:r w:rsidRPr="001D7D76">
              <w:rPr>
                <w:rFonts w:ascii="Calibri" w:hAnsi="Calibri"/>
                <w:noProof/>
                <w:color w:val="FFFFFF" w:themeColor="background1"/>
                <w:sz w:val="18"/>
                <w:szCs w:val="18"/>
              </w:rPr>
              <w:t>note.</w:t>
            </w:r>
            <w:r w:rsidR="00FA7C77">
              <w:rPr>
                <w:rFonts w:ascii="Calibri" w:hAnsi="Calibri"/>
                <w:noProof/>
                <w:color w:val="FFFFFF" w:themeColor="background1"/>
                <w:sz w:val="18"/>
                <w:szCs w:val="18"/>
              </w:rPr>
              <w:t xml:space="preserve"> </w:t>
            </w:r>
            <w:r w:rsidRPr="001D7D76">
              <w:rPr>
                <w:rFonts w:ascii="Calibri" w:hAnsi="Calibri"/>
                <w:noProof/>
                <w:color w:val="FFFFFF" w:themeColor="background1"/>
                <w:sz w:val="18"/>
                <w:szCs w:val="18"/>
              </w:rPr>
              <w:t>However, if the terms and conditions of the transaction are different to those applying to the general public, the transaction is more likely to be included in the note regardless of the underlying transaction amount.</w:t>
            </w:r>
          </w:p>
        </w:tc>
      </w:tr>
      <w:tr w:rsidR="00CE7A35" w:rsidRPr="001950C9" w14:paraId="54FF0F2E" w14:textId="77777777" w:rsidTr="0004564D">
        <w:trPr>
          <w:cantSplit/>
          <w:trHeight w:val="23"/>
        </w:trPr>
        <w:tc>
          <w:tcPr>
            <w:tcW w:w="1562" w:type="dxa"/>
            <w:tcBorders>
              <w:left w:val="single" w:sz="4" w:space="0" w:color="auto"/>
              <w:right w:val="single" w:sz="4" w:space="0" w:color="auto"/>
            </w:tcBorders>
            <w:vAlign w:val="bottom"/>
          </w:tcPr>
          <w:p w14:paraId="6830EE42" w14:textId="77777777" w:rsidR="00CE7A35" w:rsidRPr="001D7D76" w:rsidRDefault="00CE7A35" w:rsidP="0082581E">
            <w:pPr>
              <w:pStyle w:val="TableReference"/>
              <w:tabs>
                <w:tab w:val="left" w:pos="3306"/>
              </w:tabs>
              <w:spacing w:after="240"/>
              <w:rPr>
                <w:rFonts w:cs="Calibri"/>
                <w:color w:val="7030A0"/>
                <w:sz w:val="16"/>
                <w:szCs w:val="16"/>
              </w:rPr>
            </w:pPr>
          </w:p>
        </w:tc>
        <w:tc>
          <w:tcPr>
            <w:tcW w:w="8930" w:type="dxa"/>
            <w:tcBorders>
              <w:left w:val="single" w:sz="4" w:space="0" w:color="auto"/>
            </w:tcBorders>
            <w:shd w:val="clear" w:color="auto" w:fill="7030A0"/>
            <w:vAlign w:val="bottom"/>
          </w:tcPr>
          <w:p w14:paraId="383143B4" w14:textId="32BF76A6" w:rsidR="00CE7A35" w:rsidRPr="001D7D76" w:rsidRDefault="00CE7A35" w:rsidP="00BC2389">
            <w:pPr>
              <w:pStyle w:val="Default"/>
              <w:spacing w:after="120"/>
              <w:jc w:val="both"/>
              <w:rPr>
                <w:rFonts w:ascii="Calibri" w:hAnsi="Calibri"/>
                <w:b/>
                <w:color w:val="FFFFFF" w:themeColor="background1"/>
                <w:sz w:val="18"/>
                <w:szCs w:val="18"/>
                <w:lang w:eastAsia="en-US"/>
              </w:rPr>
            </w:pPr>
            <w:r w:rsidRPr="001D7D76">
              <w:rPr>
                <w:rFonts w:ascii="Calibri" w:hAnsi="Calibri"/>
                <w:color w:val="FFFFFF" w:themeColor="background1"/>
                <w:sz w:val="18"/>
                <w:szCs w:val="18"/>
                <w:lang w:eastAsia="en-US"/>
              </w:rPr>
              <w:t xml:space="preserve">Names of close family members and entities controlled (or jointly controlled) by the KMP or the KMP’s close family members </w:t>
            </w:r>
            <w:r w:rsidRPr="001D7D76">
              <w:rPr>
                <w:rFonts w:ascii="Calibri" w:hAnsi="Calibri"/>
                <w:color w:val="FFFFFF" w:themeColor="background1"/>
                <w:sz w:val="18"/>
                <w:szCs w:val="18"/>
                <w:u w:val="single"/>
                <w:lang w:eastAsia="en-US"/>
              </w:rPr>
              <w:t>are not to be disclosed</w:t>
            </w:r>
            <w:r w:rsidRPr="001D7D76">
              <w:rPr>
                <w:rFonts w:ascii="Calibri" w:hAnsi="Calibri"/>
                <w:color w:val="FFFFFF" w:themeColor="background1"/>
                <w:sz w:val="18"/>
                <w:szCs w:val="18"/>
                <w:lang w:eastAsia="en-US"/>
              </w:rPr>
              <w:t xml:space="preserve"> in the financial statements.</w:t>
            </w:r>
            <w:r w:rsidR="00FA7C77">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Where, the information in the draft disclosure enables the KMP or their close family member(s) to be identified, the KMP and the affected family member must be given the opportunity to review the disclosure prepared for the financial statements and given the opportunity to request that the disclosure be corrected, amended or withdrawn. </w:t>
            </w:r>
          </w:p>
        </w:tc>
      </w:tr>
    </w:tbl>
    <w:p w14:paraId="75ED6853" w14:textId="77777777" w:rsidR="000A1EDA" w:rsidRDefault="000A1EDA">
      <w:r>
        <w:br w:type="page"/>
      </w:r>
    </w:p>
    <w:tbl>
      <w:tblPr>
        <w:tblW w:w="10492" w:type="dxa"/>
        <w:tblInd w:w="-5" w:type="dxa"/>
        <w:tblLayout w:type="fixed"/>
        <w:tblLook w:val="00A0" w:firstRow="1" w:lastRow="0" w:firstColumn="1" w:lastColumn="0" w:noHBand="0" w:noVBand="0"/>
      </w:tblPr>
      <w:tblGrid>
        <w:gridCol w:w="1561"/>
        <w:gridCol w:w="3968"/>
        <w:gridCol w:w="137"/>
        <w:gridCol w:w="1136"/>
        <w:gridCol w:w="144"/>
        <w:gridCol w:w="708"/>
        <w:gridCol w:w="566"/>
        <w:gridCol w:w="144"/>
        <w:gridCol w:w="140"/>
        <w:gridCol w:w="286"/>
        <w:gridCol w:w="567"/>
        <w:gridCol w:w="143"/>
        <w:gridCol w:w="138"/>
        <w:gridCol w:w="143"/>
        <w:gridCol w:w="711"/>
      </w:tblGrid>
      <w:tr w:rsidR="001D7D76" w:rsidRPr="001950C9" w14:paraId="517137BD" w14:textId="77777777" w:rsidTr="0004564D">
        <w:trPr>
          <w:cantSplit/>
          <w:trHeight w:val="23"/>
        </w:trPr>
        <w:tc>
          <w:tcPr>
            <w:tcW w:w="1561" w:type="dxa"/>
            <w:tcBorders>
              <w:left w:val="single" w:sz="4" w:space="0" w:color="auto"/>
              <w:right w:val="single" w:sz="4" w:space="0" w:color="auto"/>
            </w:tcBorders>
            <w:vAlign w:val="bottom"/>
          </w:tcPr>
          <w:p w14:paraId="681EC117" w14:textId="32CCCD51" w:rsidR="001D7D76" w:rsidRPr="001D7D76" w:rsidRDefault="001D7D76" w:rsidP="000A1EDA">
            <w:pPr>
              <w:pStyle w:val="TableReference"/>
              <w:tabs>
                <w:tab w:val="left" w:pos="3306"/>
              </w:tabs>
              <w:spacing w:after="240"/>
              <w:rPr>
                <w:rFonts w:cs="Calibri"/>
                <w:color w:val="7030A0"/>
                <w:sz w:val="16"/>
                <w:szCs w:val="16"/>
              </w:rPr>
            </w:pPr>
            <w:r w:rsidRPr="001D7D76">
              <w:rPr>
                <w:color w:val="7030A0"/>
              </w:rPr>
              <w:br w:type="page"/>
            </w:r>
            <w:r w:rsidRPr="001D7D76">
              <w:rPr>
                <w:rFonts w:cs="Calibri"/>
                <w:b/>
                <w:color w:val="7030A0"/>
                <w:sz w:val="22"/>
                <w:szCs w:val="22"/>
              </w:rPr>
              <w:t>Reference</w:t>
            </w:r>
          </w:p>
        </w:tc>
        <w:tc>
          <w:tcPr>
            <w:tcW w:w="8931" w:type="dxa"/>
            <w:gridSpan w:val="14"/>
            <w:tcBorders>
              <w:left w:val="single" w:sz="4" w:space="0" w:color="auto"/>
            </w:tcBorders>
            <w:shd w:val="clear" w:color="auto" w:fill="7030A0"/>
            <w:vAlign w:val="bottom"/>
          </w:tcPr>
          <w:p w14:paraId="7EE27A0D" w14:textId="03BF29FC" w:rsidR="001D7D76" w:rsidRPr="001D7D76" w:rsidRDefault="001D7D76" w:rsidP="000A1EDA">
            <w:pPr>
              <w:pStyle w:val="Default"/>
              <w:spacing w:after="240"/>
              <w:jc w:val="both"/>
              <w:rPr>
                <w:rFonts w:ascii="Calibri" w:hAnsi="Calibri"/>
                <w:color w:val="FFFFFF" w:themeColor="background1"/>
                <w:sz w:val="18"/>
                <w:szCs w:val="18"/>
                <w:lang w:eastAsia="en-US"/>
              </w:rPr>
            </w:pPr>
            <w:r w:rsidRPr="001D7D76">
              <w:rPr>
                <w:rFonts w:ascii="Calibri" w:hAnsi="Calibri"/>
                <w:b/>
                <w:color w:val="FFFFFF" w:themeColor="background1"/>
                <w:sz w:val="28"/>
                <w:szCs w:val="28"/>
                <w:lang w:eastAsia="en-US"/>
              </w:rPr>
              <w:t>Commentary – Note 38: Related Party Disclosures – Continued</w:t>
            </w:r>
          </w:p>
        </w:tc>
      </w:tr>
      <w:tr w:rsidR="000A1EDA" w:rsidRPr="001950C9" w14:paraId="1B7B0A59" w14:textId="77777777" w:rsidTr="0004564D">
        <w:trPr>
          <w:cantSplit/>
          <w:trHeight w:val="23"/>
        </w:trPr>
        <w:tc>
          <w:tcPr>
            <w:tcW w:w="1561" w:type="dxa"/>
            <w:tcBorders>
              <w:left w:val="single" w:sz="4" w:space="0" w:color="auto"/>
              <w:right w:val="single" w:sz="4" w:space="0" w:color="auto"/>
            </w:tcBorders>
            <w:vAlign w:val="center"/>
          </w:tcPr>
          <w:p w14:paraId="7E7D2DB0" w14:textId="77777777" w:rsidR="000A1EDA" w:rsidRPr="001D7D76" w:rsidRDefault="000A1EDA" w:rsidP="00DA5473">
            <w:pPr>
              <w:pStyle w:val="TableReference"/>
              <w:tabs>
                <w:tab w:val="left" w:pos="3306"/>
              </w:tabs>
              <w:spacing w:after="240"/>
              <w:rPr>
                <w:rFonts w:cs="Calibri"/>
                <w:color w:val="7030A0"/>
                <w:sz w:val="16"/>
                <w:szCs w:val="16"/>
              </w:rPr>
            </w:pPr>
            <w:r w:rsidRPr="001D7D76">
              <w:rPr>
                <w:color w:val="7030A0"/>
              </w:rPr>
              <w:br w:type="page"/>
            </w:r>
          </w:p>
        </w:tc>
        <w:tc>
          <w:tcPr>
            <w:tcW w:w="8931" w:type="dxa"/>
            <w:gridSpan w:val="14"/>
            <w:tcBorders>
              <w:left w:val="single" w:sz="4" w:space="0" w:color="auto"/>
            </w:tcBorders>
            <w:shd w:val="clear" w:color="auto" w:fill="7030A0"/>
            <w:vAlign w:val="center"/>
          </w:tcPr>
          <w:p w14:paraId="234EA775" w14:textId="77777777" w:rsidR="000A1EDA" w:rsidRPr="000A1EDA" w:rsidRDefault="000A1EDA" w:rsidP="00DA5473">
            <w:pPr>
              <w:pStyle w:val="Default"/>
              <w:rPr>
                <w:rFonts w:ascii="Calibri" w:hAnsi="Calibri"/>
                <w:b/>
                <w:color w:val="FFFFFF" w:themeColor="background1"/>
                <w:sz w:val="20"/>
                <w:szCs w:val="20"/>
                <w:lang w:eastAsia="en-US"/>
              </w:rPr>
            </w:pPr>
            <w:r w:rsidRPr="000A1EDA">
              <w:rPr>
                <w:rFonts w:ascii="Calibri" w:hAnsi="Calibri"/>
                <w:b/>
                <w:color w:val="FFFFFF" w:themeColor="background1"/>
                <w:sz w:val="20"/>
                <w:szCs w:val="20"/>
                <w:lang w:eastAsia="en-US"/>
              </w:rPr>
              <w:t>Other Related Party Transactions – Continued</w:t>
            </w:r>
          </w:p>
        </w:tc>
      </w:tr>
      <w:tr w:rsidR="001D7D76" w:rsidRPr="001950C9" w14:paraId="53CE7718" w14:textId="77777777" w:rsidTr="0004564D">
        <w:trPr>
          <w:cantSplit/>
          <w:trHeight w:val="23"/>
        </w:trPr>
        <w:tc>
          <w:tcPr>
            <w:tcW w:w="1561" w:type="dxa"/>
            <w:tcBorders>
              <w:left w:val="single" w:sz="4" w:space="0" w:color="auto"/>
              <w:right w:val="single" w:sz="4" w:space="0" w:color="auto"/>
            </w:tcBorders>
          </w:tcPr>
          <w:p w14:paraId="77BB46C7" w14:textId="77777777" w:rsidR="001D7D76" w:rsidRPr="001D7D76" w:rsidRDefault="001D7D76" w:rsidP="001D7D76">
            <w:pPr>
              <w:pStyle w:val="TableReference"/>
              <w:tabs>
                <w:tab w:val="left" w:pos="3306"/>
              </w:tabs>
              <w:spacing w:after="240"/>
              <w:rPr>
                <w:rFonts w:cs="Calibri"/>
                <w:color w:val="7030A0"/>
                <w:sz w:val="16"/>
                <w:szCs w:val="16"/>
              </w:rPr>
            </w:pPr>
          </w:p>
        </w:tc>
        <w:tc>
          <w:tcPr>
            <w:tcW w:w="8931" w:type="dxa"/>
            <w:gridSpan w:val="14"/>
            <w:tcBorders>
              <w:left w:val="single" w:sz="4" w:space="0" w:color="auto"/>
            </w:tcBorders>
            <w:shd w:val="clear" w:color="auto" w:fill="7030A0"/>
            <w:vAlign w:val="bottom"/>
          </w:tcPr>
          <w:p w14:paraId="66DB1741" w14:textId="4D20ED32" w:rsidR="001D7D76" w:rsidRPr="001D7D76" w:rsidRDefault="001D7D76" w:rsidP="001D7D76">
            <w:pPr>
              <w:pStyle w:val="Default"/>
              <w:spacing w:after="12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Not all information collected from KMP needs to be disclosed in the financial statements. Disclosure is not required where the transactions are not material to the financial statements.</w:t>
            </w:r>
            <w:r w:rsidR="00FA7C77">
              <w:rPr>
                <w:rFonts w:ascii="Calibri" w:hAnsi="Calibri"/>
                <w:color w:val="FFFFFF" w:themeColor="background1"/>
                <w:sz w:val="18"/>
                <w:szCs w:val="18"/>
                <w:lang w:eastAsia="en-US"/>
              </w:rPr>
              <w:t xml:space="preserve"> </w:t>
            </w:r>
            <w:r w:rsidRPr="001D7D76">
              <w:rPr>
                <w:rFonts w:ascii="Calibri" w:hAnsi="Calibri"/>
                <w:color w:val="FFFFFF" w:themeColor="background1"/>
                <w:sz w:val="18"/>
                <w:szCs w:val="18"/>
                <w:lang w:eastAsia="en-US"/>
              </w:rPr>
              <w:t xml:space="preserve"> As a guide, the disclosure of transactions with other related parties in the Example Note is based on the following information:</w:t>
            </w:r>
          </w:p>
          <w:p w14:paraId="7E1804BB" w14:textId="1D7F21B8" w:rsidR="001D7D76" w:rsidRPr="001D7D76" w:rsidRDefault="001D7D76" w:rsidP="007122BC">
            <w:pPr>
              <w:pStyle w:val="Default"/>
              <w:numPr>
                <w:ilvl w:val="0"/>
                <w:numId w:val="45"/>
              </w:numPr>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Equipment purchased - $</w:t>
            </w:r>
            <w:r w:rsidR="00436BDE">
              <w:rPr>
                <w:rFonts w:ascii="Calibri" w:hAnsi="Calibri"/>
                <w:color w:val="FFFFFF" w:themeColor="background1"/>
                <w:sz w:val="18"/>
                <w:szCs w:val="18"/>
                <w:lang w:eastAsia="en-US"/>
              </w:rPr>
              <w:t>xx</w:t>
            </w:r>
            <w:r w:rsidRPr="001D7D76">
              <w:rPr>
                <w:rFonts w:ascii="Calibri" w:hAnsi="Calibri"/>
                <w:color w:val="FFFFFF" w:themeColor="background1"/>
                <w:sz w:val="18"/>
                <w:szCs w:val="18"/>
                <w:lang w:eastAsia="en-US"/>
              </w:rPr>
              <w:t xml:space="preserve">x </w:t>
            </w:r>
          </w:p>
          <w:p w14:paraId="66974211" w14:textId="484A7B6C" w:rsidR="001D7D76" w:rsidRPr="001D7D76" w:rsidRDefault="001D7D76" w:rsidP="000A1EDA">
            <w:pPr>
              <w:pStyle w:val="Default"/>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Separate disclosure of the individual transaction is made where it is significantly material to the financial statements or is unusual by nature.</w:t>
            </w:r>
          </w:p>
        </w:tc>
      </w:tr>
      <w:tr w:rsidR="001D7D76" w:rsidRPr="001950C9" w14:paraId="6CC554B7" w14:textId="77777777" w:rsidTr="0004564D">
        <w:trPr>
          <w:cantSplit/>
          <w:trHeight w:val="23"/>
        </w:trPr>
        <w:tc>
          <w:tcPr>
            <w:tcW w:w="1561" w:type="dxa"/>
            <w:tcBorders>
              <w:left w:val="single" w:sz="4" w:space="0" w:color="auto"/>
              <w:right w:val="single" w:sz="4" w:space="0" w:color="auto"/>
            </w:tcBorders>
          </w:tcPr>
          <w:p w14:paraId="4516C066" w14:textId="77777777" w:rsidR="001D7D76" w:rsidRPr="001D7D76" w:rsidRDefault="001D7D76" w:rsidP="001D7D76">
            <w:pPr>
              <w:pStyle w:val="TableReference"/>
              <w:tabs>
                <w:tab w:val="left" w:pos="3306"/>
              </w:tabs>
              <w:spacing w:after="240"/>
              <w:rPr>
                <w:rFonts w:cs="Calibri"/>
                <w:color w:val="7030A0"/>
                <w:sz w:val="16"/>
                <w:szCs w:val="16"/>
              </w:rPr>
            </w:pPr>
          </w:p>
        </w:tc>
        <w:tc>
          <w:tcPr>
            <w:tcW w:w="8931" w:type="dxa"/>
            <w:gridSpan w:val="14"/>
            <w:tcBorders>
              <w:left w:val="single" w:sz="4" w:space="0" w:color="auto"/>
            </w:tcBorders>
            <w:shd w:val="clear" w:color="auto" w:fill="7030A0"/>
            <w:vAlign w:val="bottom"/>
          </w:tcPr>
          <w:p w14:paraId="3557D40D" w14:textId="77777777" w:rsidR="001D7D76" w:rsidRPr="001D7D76" w:rsidRDefault="001D7D76" w:rsidP="007122BC">
            <w:pPr>
              <w:pStyle w:val="Default"/>
              <w:numPr>
                <w:ilvl w:val="0"/>
                <w:numId w:val="45"/>
              </w:numPr>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 xml:space="preserve">Services received - $xxx </w:t>
            </w:r>
          </w:p>
          <w:p w14:paraId="7CAAFB44" w14:textId="77777777" w:rsidR="001D7D76" w:rsidRDefault="001D7D76" w:rsidP="000A1EDA">
            <w:pPr>
              <w:pStyle w:val="Default"/>
              <w:spacing w:after="120"/>
              <w:ind w:left="310"/>
              <w:jc w:val="both"/>
              <w:rPr>
                <w:rFonts w:ascii="Calibri" w:hAnsi="Calibri"/>
                <w:color w:val="FFFFFF" w:themeColor="background1"/>
                <w:sz w:val="18"/>
                <w:szCs w:val="18"/>
                <w:lang w:eastAsia="en-US"/>
              </w:rPr>
            </w:pPr>
            <w:r w:rsidRPr="001D7D76">
              <w:rPr>
                <w:rFonts w:ascii="Calibri" w:hAnsi="Calibri"/>
                <w:color w:val="FFFFFF" w:themeColor="background1"/>
                <w:sz w:val="18"/>
                <w:szCs w:val="18"/>
                <w:lang w:eastAsia="en-US"/>
              </w:rPr>
              <w:t>Represents the aggregate value of a number of transactions that are individually material for the reporting entity but may not be sufficiently material (as in the previous example) or unusual in nature to require separate disclosure.</w:t>
            </w:r>
          </w:p>
          <w:p w14:paraId="14DFE79E" w14:textId="2980C8B9" w:rsidR="00294E29" w:rsidRPr="000A1EDA" w:rsidRDefault="00294E29" w:rsidP="00294E29">
            <w:pPr>
              <w:pStyle w:val="Default"/>
              <w:spacing w:after="120"/>
              <w:rPr>
                <w:rFonts w:ascii="Calibri" w:hAnsi="Calibri"/>
                <w:b/>
                <w:bCs/>
                <w:color w:val="FFFFFF" w:themeColor="background1"/>
                <w:sz w:val="20"/>
                <w:szCs w:val="20"/>
                <w:lang w:eastAsia="en-US"/>
              </w:rPr>
            </w:pPr>
            <w:r w:rsidRPr="000A1EDA">
              <w:rPr>
                <w:rFonts w:ascii="Calibri" w:hAnsi="Calibri"/>
                <w:b/>
                <w:bCs/>
                <w:color w:val="FFFFFF" w:themeColor="background1"/>
                <w:sz w:val="20"/>
                <w:szCs w:val="20"/>
                <w:lang w:eastAsia="en-US"/>
              </w:rPr>
              <w:t>Territory Authority Commentary</w:t>
            </w:r>
          </w:p>
        </w:tc>
      </w:tr>
      <w:tr w:rsidR="001D7D76" w:rsidRPr="001950C9" w14:paraId="1AF1C557" w14:textId="77777777" w:rsidTr="0004564D">
        <w:trPr>
          <w:cantSplit/>
          <w:trHeight w:val="23"/>
        </w:trPr>
        <w:tc>
          <w:tcPr>
            <w:tcW w:w="1561" w:type="dxa"/>
            <w:tcBorders>
              <w:left w:val="single" w:sz="4" w:space="0" w:color="auto"/>
              <w:right w:val="single" w:sz="4" w:space="0" w:color="auto"/>
            </w:tcBorders>
            <w:vAlign w:val="bottom"/>
          </w:tcPr>
          <w:p w14:paraId="3DE5CBCB" w14:textId="77777777" w:rsidR="001D7D76" w:rsidRPr="001D7D76" w:rsidRDefault="001D7D76" w:rsidP="001D7D76">
            <w:pPr>
              <w:pStyle w:val="TableReference"/>
              <w:tabs>
                <w:tab w:val="left" w:pos="3306"/>
              </w:tabs>
              <w:spacing w:after="240"/>
              <w:rPr>
                <w:rFonts w:cs="Calibri"/>
                <w:color w:val="7030A0"/>
                <w:sz w:val="16"/>
                <w:szCs w:val="16"/>
              </w:rPr>
            </w:pPr>
          </w:p>
        </w:tc>
        <w:tc>
          <w:tcPr>
            <w:tcW w:w="8931" w:type="dxa"/>
            <w:gridSpan w:val="14"/>
            <w:tcBorders>
              <w:left w:val="single" w:sz="4" w:space="0" w:color="auto"/>
            </w:tcBorders>
            <w:shd w:val="clear" w:color="auto" w:fill="7030A0"/>
            <w:vAlign w:val="bottom"/>
          </w:tcPr>
          <w:p w14:paraId="33C80197" w14:textId="287EF796" w:rsidR="001D7D76" w:rsidRPr="00294E29" w:rsidRDefault="00294E29" w:rsidP="000A1EDA">
            <w:pPr>
              <w:pStyle w:val="Default"/>
              <w:spacing w:after="120"/>
              <w:rPr>
                <w:rFonts w:asciiTheme="minorHAnsi" w:hAnsiTheme="minorHAnsi" w:cstheme="minorHAnsi"/>
                <w:b/>
                <w:color w:val="FFFFFF" w:themeColor="background1"/>
                <w:sz w:val="18"/>
                <w:szCs w:val="18"/>
                <w:lang w:eastAsia="en-US"/>
              </w:rPr>
            </w:pPr>
            <w:r w:rsidRPr="00294E29">
              <w:rPr>
                <w:rFonts w:asciiTheme="minorHAnsi" w:hAnsiTheme="minorHAnsi" w:cstheme="minorHAnsi"/>
                <w:color w:val="FFFFFF" w:themeColor="background1"/>
                <w:sz w:val="18"/>
                <w:szCs w:val="18"/>
              </w:rPr>
              <w:t>Territory authorities need to consider their enacting legislation and specific circumstances in assessing whether the relevant Portfolio Minister is a KMP.</w:t>
            </w:r>
            <w:r w:rsidR="00FA7C77">
              <w:rPr>
                <w:rFonts w:asciiTheme="minorHAnsi" w:hAnsiTheme="minorHAnsi" w:cstheme="minorHAnsi"/>
                <w:color w:val="FFFFFF" w:themeColor="background1"/>
                <w:sz w:val="18"/>
                <w:szCs w:val="18"/>
              </w:rPr>
              <w:t xml:space="preserve"> </w:t>
            </w:r>
            <w:r w:rsidRPr="00294E29">
              <w:rPr>
                <w:rFonts w:asciiTheme="minorHAnsi" w:hAnsiTheme="minorHAnsi" w:cstheme="minorHAnsi"/>
                <w:color w:val="FFFFFF" w:themeColor="background1"/>
                <w:sz w:val="18"/>
                <w:szCs w:val="18"/>
              </w:rPr>
              <w:t>Considerations may include the existence of a governing board responsible for the management of the territory authority.</w:t>
            </w:r>
          </w:p>
        </w:tc>
      </w:tr>
      <w:tr w:rsidR="00976DE1" w:rsidRPr="001950C9" w14:paraId="03648F8C" w14:textId="77777777" w:rsidTr="0004564D">
        <w:trPr>
          <w:cantSplit/>
          <w:trHeight w:val="23"/>
        </w:trPr>
        <w:tc>
          <w:tcPr>
            <w:tcW w:w="1561" w:type="dxa"/>
            <w:tcBorders>
              <w:left w:val="single" w:sz="4" w:space="0" w:color="auto"/>
              <w:right w:val="single" w:sz="4" w:space="0" w:color="auto"/>
            </w:tcBorders>
            <w:vAlign w:val="bottom"/>
          </w:tcPr>
          <w:p w14:paraId="30AB4223" w14:textId="219749DD" w:rsidR="00976DE1" w:rsidRPr="00FA0C47" w:rsidRDefault="00976DE1" w:rsidP="005B1145">
            <w:pPr>
              <w:pStyle w:val="TableReference"/>
              <w:tabs>
                <w:tab w:val="left" w:pos="3306"/>
              </w:tabs>
              <w:spacing w:before="240" w:after="240"/>
              <w:rPr>
                <w:rFonts w:cs="Calibri"/>
                <w:b/>
                <w:color w:val="7030A0"/>
                <w:sz w:val="22"/>
                <w:szCs w:val="22"/>
              </w:rPr>
            </w:pPr>
          </w:p>
        </w:tc>
        <w:tc>
          <w:tcPr>
            <w:tcW w:w="8931" w:type="dxa"/>
            <w:gridSpan w:val="14"/>
            <w:tcBorders>
              <w:left w:val="single" w:sz="4" w:space="0" w:color="auto"/>
            </w:tcBorders>
            <w:shd w:val="clear" w:color="auto" w:fill="auto"/>
            <w:vAlign w:val="bottom"/>
          </w:tcPr>
          <w:p w14:paraId="35150B70" w14:textId="66A520DF" w:rsidR="00976DE1" w:rsidRPr="001D7D76" w:rsidRDefault="00976DE1" w:rsidP="00C11EE4">
            <w:pPr>
              <w:pStyle w:val="Heading1"/>
              <w:numPr>
                <w:ilvl w:val="0"/>
                <w:numId w:val="0"/>
              </w:numPr>
              <w:ind w:left="1134" w:hanging="1134"/>
            </w:pPr>
            <w:bookmarkStart w:id="788" w:name="_Toc98763181"/>
            <w:r w:rsidRPr="001D7D76">
              <w:t xml:space="preserve">Note </w:t>
            </w:r>
            <w:r w:rsidR="00A03437" w:rsidRPr="001D7D76">
              <w:t xml:space="preserve">39 </w:t>
            </w:r>
            <w:r w:rsidRPr="001D7D76">
              <w:t>Service Concession Arrangements</w:t>
            </w:r>
            <w:bookmarkEnd w:id="788"/>
          </w:p>
        </w:tc>
      </w:tr>
      <w:tr w:rsidR="00976DE1" w:rsidRPr="00381D99" w14:paraId="640FAA92" w14:textId="77777777" w:rsidTr="0004564D">
        <w:trPr>
          <w:cantSplit/>
          <w:trHeight w:val="273"/>
        </w:trPr>
        <w:tc>
          <w:tcPr>
            <w:tcW w:w="1561" w:type="dxa"/>
            <w:tcBorders>
              <w:left w:val="single" w:sz="4" w:space="0" w:color="auto"/>
              <w:right w:val="single" w:sz="4" w:space="0" w:color="auto"/>
            </w:tcBorders>
          </w:tcPr>
          <w:p w14:paraId="43E3A8C1" w14:textId="77777777" w:rsidR="00976DE1" w:rsidRPr="00FA0C47" w:rsidRDefault="00976DE1" w:rsidP="00C11EE4">
            <w:pPr>
              <w:pStyle w:val="TableReference"/>
              <w:tabs>
                <w:tab w:val="left" w:pos="3306"/>
              </w:tabs>
              <w:rPr>
                <w:rFonts w:cs="Calibri"/>
                <w:color w:val="7030A0"/>
                <w:sz w:val="14"/>
              </w:rPr>
            </w:pPr>
            <w:r w:rsidRPr="00FA0C47">
              <w:rPr>
                <w:rFonts w:cs="Calibri"/>
                <w:color w:val="7030A0"/>
                <w:sz w:val="14"/>
              </w:rPr>
              <w:t>AASB 1059.28</w:t>
            </w:r>
          </w:p>
        </w:tc>
        <w:tc>
          <w:tcPr>
            <w:tcW w:w="8931" w:type="dxa"/>
            <w:gridSpan w:val="14"/>
            <w:tcBorders>
              <w:left w:val="single" w:sz="4" w:space="0" w:color="auto"/>
            </w:tcBorders>
            <w:shd w:val="clear" w:color="auto" w:fill="auto"/>
            <w:vAlign w:val="center"/>
          </w:tcPr>
          <w:p w14:paraId="0FCDC51D" w14:textId="77777777" w:rsidR="00976DE1" w:rsidRPr="001D7D76" w:rsidRDefault="00976DE1" w:rsidP="00C11EE4">
            <w:pPr>
              <w:autoSpaceDE w:val="0"/>
              <w:autoSpaceDN w:val="0"/>
              <w:adjustRightInd w:val="0"/>
              <w:rPr>
                <w:b/>
                <w:sz w:val="18"/>
                <w:szCs w:val="18"/>
              </w:rPr>
            </w:pPr>
            <w:r w:rsidRPr="001D7D76">
              <w:rPr>
                <w:b/>
                <w:sz w:val="18"/>
                <w:szCs w:val="18"/>
              </w:rPr>
              <w:t xml:space="preserve">Light Rail Service Concession Arrangement </w:t>
            </w:r>
          </w:p>
        </w:tc>
      </w:tr>
      <w:tr w:rsidR="00976DE1" w:rsidRPr="00381D99" w14:paraId="5F93595C" w14:textId="77777777" w:rsidTr="0004564D">
        <w:trPr>
          <w:cantSplit/>
          <w:trHeight w:val="404"/>
        </w:trPr>
        <w:tc>
          <w:tcPr>
            <w:tcW w:w="1561" w:type="dxa"/>
            <w:tcBorders>
              <w:left w:val="single" w:sz="4" w:space="0" w:color="auto"/>
              <w:right w:val="single" w:sz="4" w:space="0" w:color="auto"/>
            </w:tcBorders>
          </w:tcPr>
          <w:p w14:paraId="480F965B" w14:textId="77777777" w:rsidR="00976DE1" w:rsidRPr="00FA0C47" w:rsidRDefault="00976DE1" w:rsidP="00C11EE4">
            <w:pPr>
              <w:pStyle w:val="TableReference"/>
              <w:tabs>
                <w:tab w:val="left" w:pos="3306"/>
              </w:tabs>
              <w:rPr>
                <w:rFonts w:cs="Calibri"/>
                <w:color w:val="7030A0"/>
                <w:sz w:val="18"/>
                <w:szCs w:val="18"/>
              </w:rPr>
            </w:pPr>
          </w:p>
        </w:tc>
        <w:tc>
          <w:tcPr>
            <w:tcW w:w="8931" w:type="dxa"/>
            <w:gridSpan w:val="14"/>
            <w:tcBorders>
              <w:left w:val="single" w:sz="4" w:space="0" w:color="auto"/>
            </w:tcBorders>
            <w:shd w:val="clear" w:color="auto" w:fill="auto"/>
            <w:vAlign w:val="center"/>
          </w:tcPr>
          <w:p w14:paraId="1907E971" w14:textId="77777777" w:rsidR="00976DE1" w:rsidRPr="001D7D76" w:rsidRDefault="00976DE1" w:rsidP="00C11EE4">
            <w:pPr>
              <w:autoSpaceDE w:val="0"/>
              <w:autoSpaceDN w:val="0"/>
              <w:adjustRightInd w:val="0"/>
              <w:rPr>
                <w:b/>
                <w:sz w:val="18"/>
                <w:szCs w:val="18"/>
              </w:rPr>
            </w:pPr>
            <w:r w:rsidRPr="001D7D76">
              <w:rPr>
                <w:b/>
                <w:sz w:val="18"/>
                <w:szCs w:val="18"/>
              </w:rPr>
              <w:t>Background</w:t>
            </w:r>
          </w:p>
        </w:tc>
      </w:tr>
      <w:tr w:rsidR="00976DE1" w:rsidRPr="00381D99" w14:paraId="772876B2" w14:textId="77777777" w:rsidTr="0004564D">
        <w:trPr>
          <w:cantSplit/>
          <w:trHeight w:val="452"/>
        </w:trPr>
        <w:tc>
          <w:tcPr>
            <w:tcW w:w="1561" w:type="dxa"/>
            <w:tcBorders>
              <w:left w:val="single" w:sz="4" w:space="0" w:color="auto"/>
              <w:right w:val="single" w:sz="4" w:space="0" w:color="auto"/>
            </w:tcBorders>
          </w:tcPr>
          <w:p w14:paraId="32D7F8F0" w14:textId="77777777" w:rsidR="00976DE1" w:rsidRPr="00FA0C47" w:rsidRDefault="00976DE1" w:rsidP="00C11EE4">
            <w:pPr>
              <w:pStyle w:val="TableReference"/>
              <w:tabs>
                <w:tab w:val="left" w:pos="3306"/>
              </w:tabs>
              <w:rPr>
                <w:rFonts w:cs="Calibri"/>
                <w:color w:val="7030A0"/>
                <w:sz w:val="18"/>
                <w:szCs w:val="18"/>
              </w:rPr>
            </w:pPr>
          </w:p>
        </w:tc>
        <w:tc>
          <w:tcPr>
            <w:tcW w:w="8931" w:type="dxa"/>
            <w:gridSpan w:val="14"/>
            <w:tcBorders>
              <w:left w:val="single" w:sz="4" w:space="0" w:color="auto"/>
            </w:tcBorders>
            <w:shd w:val="clear" w:color="auto" w:fill="auto"/>
            <w:vAlign w:val="bottom"/>
          </w:tcPr>
          <w:p w14:paraId="4CEE9073" w14:textId="034379A3" w:rsidR="00976DE1" w:rsidRPr="001D7D76" w:rsidRDefault="00CE7A35" w:rsidP="002F040C">
            <w:pPr>
              <w:spacing w:after="120"/>
              <w:jc w:val="both"/>
              <w:rPr>
                <w:sz w:val="18"/>
                <w:szCs w:val="18"/>
              </w:rPr>
            </w:pPr>
            <w:r w:rsidRPr="001D7D76">
              <w:rPr>
                <w:sz w:val="18"/>
                <w:szCs w:val="18"/>
              </w:rPr>
              <w:t>‘</w:t>
            </w:r>
            <w:r w:rsidR="008A2B0F" w:rsidRPr="001D7D76">
              <w:rPr>
                <w:sz w:val="18"/>
                <w:szCs w:val="18"/>
              </w:rPr>
              <w:t>Burley Griffin</w:t>
            </w:r>
            <w:r w:rsidRPr="001D7D76">
              <w:rPr>
                <w:sz w:val="18"/>
                <w:szCs w:val="18"/>
              </w:rPr>
              <w:t xml:space="preserve"> Agency’ undertake</w:t>
            </w:r>
            <w:r w:rsidR="00487079" w:rsidRPr="001D7D76">
              <w:rPr>
                <w:sz w:val="18"/>
                <w:szCs w:val="18"/>
              </w:rPr>
              <w:t>s</w:t>
            </w:r>
            <w:r w:rsidRPr="001D7D76">
              <w:rPr>
                <w:sz w:val="18"/>
                <w:szCs w:val="18"/>
              </w:rPr>
              <w:t xml:space="preserve"> a</w:t>
            </w:r>
            <w:r w:rsidR="00487079" w:rsidRPr="001D7D76">
              <w:rPr>
                <w:sz w:val="18"/>
                <w:szCs w:val="18"/>
              </w:rPr>
              <w:t>n</w:t>
            </w:r>
            <w:r w:rsidRPr="001D7D76">
              <w:rPr>
                <w:sz w:val="18"/>
                <w:szCs w:val="18"/>
              </w:rPr>
              <w:t xml:space="preserve"> </w:t>
            </w:r>
            <w:r w:rsidR="00487079" w:rsidRPr="001D7D76">
              <w:rPr>
                <w:sz w:val="18"/>
                <w:szCs w:val="18"/>
              </w:rPr>
              <w:t xml:space="preserve">annual </w:t>
            </w:r>
            <w:r w:rsidRPr="001D7D76">
              <w:rPr>
                <w:sz w:val="18"/>
                <w:szCs w:val="18"/>
              </w:rPr>
              <w:t xml:space="preserve">review to assess whether </w:t>
            </w:r>
            <w:r w:rsidR="002E00A3" w:rsidRPr="001D7D76">
              <w:rPr>
                <w:sz w:val="18"/>
                <w:szCs w:val="18"/>
              </w:rPr>
              <w:t xml:space="preserve">there </w:t>
            </w:r>
            <w:r w:rsidR="00C958E9" w:rsidRPr="001D7D76">
              <w:rPr>
                <w:sz w:val="18"/>
                <w:szCs w:val="18"/>
              </w:rPr>
              <w:t>have</w:t>
            </w:r>
            <w:r w:rsidRPr="001D7D76">
              <w:rPr>
                <w:sz w:val="18"/>
                <w:szCs w:val="18"/>
              </w:rPr>
              <w:t xml:space="preserve"> </w:t>
            </w:r>
            <w:r w:rsidR="002E00A3" w:rsidRPr="001D7D76">
              <w:rPr>
                <w:sz w:val="18"/>
                <w:szCs w:val="18"/>
              </w:rPr>
              <w:t xml:space="preserve">been any </w:t>
            </w:r>
            <w:r w:rsidR="00767F6D" w:rsidRPr="001D7D76">
              <w:rPr>
                <w:sz w:val="18"/>
                <w:szCs w:val="18"/>
              </w:rPr>
              <w:t>changes to</w:t>
            </w:r>
            <w:r w:rsidR="005D4088" w:rsidRPr="001D7D76">
              <w:rPr>
                <w:sz w:val="18"/>
                <w:szCs w:val="18"/>
              </w:rPr>
              <w:t xml:space="preserve"> </w:t>
            </w:r>
            <w:r w:rsidR="002E00A3" w:rsidRPr="001D7D76">
              <w:rPr>
                <w:sz w:val="18"/>
                <w:szCs w:val="18"/>
              </w:rPr>
              <w:t xml:space="preserve">the </w:t>
            </w:r>
            <w:r w:rsidR="005D4088" w:rsidRPr="001D7D76">
              <w:rPr>
                <w:sz w:val="18"/>
                <w:szCs w:val="18"/>
              </w:rPr>
              <w:t>existing</w:t>
            </w:r>
            <w:r w:rsidR="00767F6D" w:rsidRPr="001D7D76">
              <w:rPr>
                <w:sz w:val="18"/>
                <w:szCs w:val="18"/>
              </w:rPr>
              <w:t xml:space="preserve"> </w:t>
            </w:r>
            <w:r w:rsidRPr="001D7D76">
              <w:rPr>
                <w:sz w:val="18"/>
                <w:szCs w:val="18"/>
              </w:rPr>
              <w:t>service concession arrangement</w:t>
            </w:r>
            <w:r w:rsidR="002E00A3" w:rsidRPr="001D7D76">
              <w:rPr>
                <w:sz w:val="18"/>
                <w:szCs w:val="18"/>
              </w:rPr>
              <w:t xml:space="preserve"> and whether there </w:t>
            </w:r>
            <w:r w:rsidR="00294E29">
              <w:rPr>
                <w:sz w:val="18"/>
                <w:szCs w:val="18"/>
              </w:rPr>
              <w:t>are</w:t>
            </w:r>
            <w:r w:rsidR="002E00A3" w:rsidRPr="001D7D76">
              <w:rPr>
                <w:sz w:val="18"/>
                <w:szCs w:val="18"/>
              </w:rPr>
              <w:t xml:space="preserve"> any new Service Concession Arrangements</w:t>
            </w:r>
            <w:r w:rsidRPr="001D7D76">
              <w:rPr>
                <w:sz w:val="18"/>
                <w:szCs w:val="18"/>
              </w:rPr>
              <w:t>.</w:t>
            </w:r>
            <w:r w:rsidR="00FA7C77">
              <w:rPr>
                <w:sz w:val="18"/>
                <w:szCs w:val="18"/>
              </w:rPr>
              <w:t xml:space="preserve"> </w:t>
            </w:r>
            <w:r w:rsidR="001227E7" w:rsidRPr="001D7D76">
              <w:rPr>
                <w:sz w:val="18"/>
                <w:szCs w:val="18"/>
              </w:rPr>
              <w:t>This review also involves</w:t>
            </w:r>
            <w:r w:rsidR="002E00A3" w:rsidRPr="001D7D76">
              <w:rPr>
                <w:sz w:val="18"/>
                <w:szCs w:val="18"/>
              </w:rPr>
              <w:t xml:space="preserve"> </w:t>
            </w:r>
            <w:r w:rsidRPr="001D7D76">
              <w:rPr>
                <w:sz w:val="18"/>
                <w:szCs w:val="18"/>
              </w:rPr>
              <w:t>contacting business units across ‘</w:t>
            </w:r>
            <w:r w:rsidR="008A2B0F" w:rsidRPr="001D7D76">
              <w:rPr>
                <w:sz w:val="18"/>
                <w:szCs w:val="18"/>
              </w:rPr>
              <w:t>Burley Griffin</w:t>
            </w:r>
            <w:r w:rsidRPr="001D7D76">
              <w:rPr>
                <w:sz w:val="18"/>
                <w:szCs w:val="18"/>
              </w:rPr>
              <w:t xml:space="preserve"> Agency’ to obtain information about </w:t>
            </w:r>
            <w:r w:rsidR="005D4088" w:rsidRPr="001D7D76">
              <w:rPr>
                <w:sz w:val="18"/>
                <w:szCs w:val="18"/>
              </w:rPr>
              <w:t xml:space="preserve">any new </w:t>
            </w:r>
            <w:r w:rsidRPr="001D7D76">
              <w:rPr>
                <w:sz w:val="18"/>
                <w:szCs w:val="18"/>
              </w:rPr>
              <w:t xml:space="preserve">contracts, leasing agreements, Public Private Partnerships (PPPs), and other arrangements in order to make an assessment about whether any of these arrangements </w:t>
            </w:r>
            <w:r w:rsidR="001227E7" w:rsidRPr="001D7D76">
              <w:rPr>
                <w:sz w:val="18"/>
                <w:szCs w:val="18"/>
              </w:rPr>
              <w:t xml:space="preserve">fall </w:t>
            </w:r>
            <w:r w:rsidRPr="001D7D76">
              <w:rPr>
                <w:sz w:val="18"/>
                <w:szCs w:val="18"/>
              </w:rPr>
              <w:t>within the scope of AASB 1059.</w:t>
            </w:r>
            <w:r w:rsidR="00FA7C77">
              <w:rPr>
                <w:sz w:val="18"/>
                <w:szCs w:val="18"/>
              </w:rPr>
              <w:t xml:space="preserve"> </w:t>
            </w:r>
            <w:r w:rsidRPr="001D7D76">
              <w:rPr>
                <w:sz w:val="18"/>
                <w:szCs w:val="18"/>
              </w:rPr>
              <w:t xml:space="preserve">After this </w:t>
            </w:r>
            <w:r w:rsidR="00F830CC" w:rsidRPr="001D7D76">
              <w:rPr>
                <w:sz w:val="18"/>
                <w:szCs w:val="18"/>
              </w:rPr>
              <w:t xml:space="preserve">year’s </w:t>
            </w:r>
            <w:r w:rsidRPr="001D7D76">
              <w:rPr>
                <w:sz w:val="18"/>
                <w:szCs w:val="18"/>
              </w:rPr>
              <w:t>assessment ‘</w:t>
            </w:r>
            <w:r w:rsidR="008A2B0F" w:rsidRPr="001D7D76">
              <w:rPr>
                <w:sz w:val="18"/>
                <w:szCs w:val="18"/>
              </w:rPr>
              <w:t>Burley Griffin</w:t>
            </w:r>
            <w:r w:rsidRPr="001D7D76">
              <w:rPr>
                <w:sz w:val="18"/>
                <w:szCs w:val="18"/>
              </w:rPr>
              <w:t xml:space="preserve"> Agency’ determined that </w:t>
            </w:r>
            <w:r w:rsidR="00F830CC" w:rsidRPr="001D7D76">
              <w:rPr>
                <w:sz w:val="18"/>
                <w:szCs w:val="18"/>
              </w:rPr>
              <w:t xml:space="preserve">there were no new </w:t>
            </w:r>
            <w:r w:rsidR="001227E7" w:rsidRPr="001D7D76">
              <w:rPr>
                <w:sz w:val="18"/>
                <w:szCs w:val="18"/>
              </w:rPr>
              <w:t>Service Concession A</w:t>
            </w:r>
            <w:r w:rsidR="002E00A3" w:rsidRPr="001D7D76">
              <w:rPr>
                <w:sz w:val="18"/>
                <w:szCs w:val="18"/>
              </w:rPr>
              <w:t>rrangements and there w</w:t>
            </w:r>
            <w:r w:rsidR="001227E7" w:rsidRPr="001D7D76">
              <w:rPr>
                <w:sz w:val="18"/>
                <w:szCs w:val="18"/>
              </w:rPr>
              <w:t>ere</w:t>
            </w:r>
            <w:r w:rsidR="002E00A3" w:rsidRPr="001D7D76">
              <w:rPr>
                <w:sz w:val="18"/>
                <w:szCs w:val="18"/>
              </w:rPr>
              <w:t xml:space="preserve"> no changes to the </w:t>
            </w:r>
            <w:r w:rsidRPr="001D7D76">
              <w:rPr>
                <w:sz w:val="18"/>
                <w:szCs w:val="18"/>
              </w:rPr>
              <w:t xml:space="preserve">one </w:t>
            </w:r>
            <w:r w:rsidR="002E00A3" w:rsidRPr="001D7D76">
              <w:rPr>
                <w:sz w:val="18"/>
                <w:szCs w:val="18"/>
              </w:rPr>
              <w:t xml:space="preserve">existing </w:t>
            </w:r>
            <w:r w:rsidR="001227E7" w:rsidRPr="001D7D76">
              <w:rPr>
                <w:sz w:val="18"/>
                <w:szCs w:val="18"/>
              </w:rPr>
              <w:t>Service Concession A</w:t>
            </w:r>
            <w:r w:rsidRPr="001D7D76">
              <w:rPr>
                <w:sz w:val="18"/>
                <w:szCs w:val="18"/>
              </w:rPr>
              <w:t>rrangement</w:t>
            </w:r>
            <w:r w:rsidR="000F67C4" w:rsidRPr="001D7D76">
              <w:rPr>
                <w:sz w:val="18"/>
                <w:szCs w:val="18"/>
              </w:rPr>
              <w:t>.</w:t>
            </w:r>
          </w:p>
        </w:tc>
      </w:tr>
      <w:tr w:rsidR="00CE7A35" w:rsidRPr="00381D99" w14:paraId="1E8AD9CA" w14:textId="77777777" w:rsidTr="0004564D">
        <w:trPr>
          <w:cantSplit/>
          <w:trHeight w:val="452"/>
        </w:trPr>
        <w:tc>
          <w:tcPr>
            <w:tcW w:w="1561" w:type="dxa"/>
            <w:tcBorders>
              <w:left w:val="single" w:sz="4" w:space="0" w:color="auto"/>
              <w:right w:val="single" w:sz="4" w:space="0" w:color="auto"/>
            </w:tcBorders>
          </w:tcPr>
          <w:p w14:paraId="791E14E0" w14:textId="77777777" w:rsidR="00CE7A35" w:rsidRPr="00FA0C47" w:rsidRDefault="00CE7A35" w:rsidP="00C11EE4">
            <w:pPr>
              <w:pStyle w:val="TableReference"/>
              <w:tabs>
                <w:tab w:val="left" w:pos="3306"/>
              </w:tabs>
              <w:rPr>
                <w:rFonts w:cs="Calibri"/>
                <w:color w:val="7030A0"/>
                <w:sz w:val="18"/>
                <w:szCs w:val="18"/>
              </w:rPr>
            </w:pPr>
          </w:p>
        </w:tc>
        <w:tc>
          <w:tcPr>
            <w:tcW w:w="8931" w:type="dxa"/>
            <w:gridSpan w:val="14"/>
            <w:tcBorders>
              <w:left w:val="single" w:sz="4" w:space="0" w:color="auto"/>
            </w:tcBorders>
            <w:shd w:val="clear" w:color="auto" w:fill="auto"/>
            <w:vAlign w:val="bottom"/>
          </w:tcPr>
          <w:p w14:paraId="1213D97A" w14:textId="18E0A70E" w:rsidR="00CE7A35" w:rsidRPr="001D7D76" w:rsidRDefault="00CE7A35" w:rsidP="002F040C">
            <w:pPr>
              <w:spacing w:after="120"/>
              <w:jc w:val="both"/>
              <w:rPr>
                <w:sz w:val="18"/>
                <w:szCs w:val="18"/>
              </w:rPr>
            </w:pPr>
            <w:r w:rsidRPr="001D7D76">
              <w:rPr>
                <w:sz w:val="18"/>
                <w:szCs w:val="18"/>
              </w:rPr>
              <w:t>On 25 May 2016 ‘</w:t>
            </w:r>
            <w:r w:rsidR="008A2B0F" w:rsidRPr="001D7D76">
              <w:rPr>
                <w:sz w:val="18"/>
                <w:szCs w:val="18"/>
              </w:rPr>
              <w:t>Burley Griffin</w:t>
            </w:r>
            <w:r w:rsidRPr="001D7D76">
              <w:rPr>
                <w:sz w:val="18"/>
                <w:szCs w:val="18"/>
              </w:rPr>
              <w:t xml:space="preserve"> Agency’ (grantor) entered into a 20-year Public Private Partnership (PPP) with ‘Example Metro’ (operator) to construct, deliver, maintain and operate light rail infrastructure assets, light rail plant and equipment, and light rail building assets over the term of the contract.</w:t>
            </w:r>
            <w:r w:rsidR="00FA7C77">
              <w:rPr>
                <w:sz w:val="18"/>
                <w:szCs w:val="18"/>
              </w:rPr>
              <w:t xml:space="preserve"> </w:t>
            </w:r>
            <w:r w:rsidRPr="001D7D76">
              <w:rPr>
                <w:sz w:val="18"/>
                <w:szCs w:val="18"/>
              </w:rPr>
              <w:t>These assets have been constructed on Territory land.</w:t>
            </w:r>
            <w:r w:rsidR="00FA7C77">
              <w:rPr>
                <w:sz w:val="18"/>
                <w:szCs w:val="18"/>
              </w:rPr>
              <w:t xml:space="preserve"> </w:t>
            </w:r>
            <w:r w:rsidRPr="001D7D76">
              <w:rPr>
                <w:sz w:val="18"/>
                <w:szCs w:val="18"/>
              </w:rPr>
              <w:t>The assets are made up of a 12km light rail track from Canberra City to Gungahlin, comprising 13 stops, 14 Light Rail Vehicles and one maintenance depot.</w:t>
            </w:r>
            <w:r w:rsidR="00FA7C77">
              <w:rPr>
                <w:sz w:val="18"/>
                <w:szCs w:val="18"/>
              </w:rPr>
              <w:t xml:space="preserve"> </w:t>
            </w:r>
            <w:r w:rsidRPr="001D7D76">
              <w:rPr>
                <w:sz w:val="18"/>
                <w:szCs w:val="18"/>
              </w:rPr>
              <w:t>Construction was completed and the light rail services commenced for public passenger operations on 20 April 2019.</w:t>
            </w:r>
            <w:r w:rsidR="00FA7C77">
              <w:rPr>
                <w:sz w:val="18"/>
                <w:szCs w:val="18"/>
              </w:rPr>
              <w:t xml:space="preserve"> </w:t>
            </w:r>
            <w:r w:rsidRPr="001D7D76">
              <w:rPr>
                <w:sz w:val="18"/>
                <w:szCs w:val="18"/>
              </w:rPr>
              <w:t>There were no existing assets of the grantor or operator being utilised in this service concession arrangement.</w:t>
            </w:r>
          </w:p>
        </w:tc>
      </w:tr>
      <w:tr w:rsidR="00CE7A35" w:rsidRPr="00381D99" w14:paraId="7C543D2B" w14:textId="77777777" w:rsidTr="0004564D">
        <w:trPr>
          <w:cantSplit/>
          <w:trHeight w:val="452"/>
        </w:trPr>
        <w:tc>
          <w:tcPr>
            <w:tcW w:w="1561" w:type="dxa"/>
            <w:tcBorders>
              <w:left w:val="single" w:sz="4" w:space="0" w:color="auto"/>
              <w:right w:val="single" w:sz="4" w:space="0" w:color="auto"/>
            </w:tcBorders>
          </w:tcPr>
          <w:p w14:paraId="656D696A" w14:textId="77777777" w:rsidR="00CE7A35" w:rsidRPr="00FA0C47" w:rsidRDefault="00CE7A35" w:rsidP="00C11EE4">
            <w:pPr>
              <w:pStyle w:val="TableReference"/>
              <w:tabs>
                <w:tab w:val="left" w:pos="3306"/>
              </w:tabs>
              <w:rPr>
                <w:rFonts w:cs="Calibri"/>
                <w:color w:val="7030A0"/>
                <w:sz w:val="18"/>
                <w:szCs w:val="18"/>
              </w:rPr>
            </w:pPr>
          </w:p>
        </w:tc>
        <w:tc>
          <w:tcPr>
            <w:tcW w:w="8931" w:type="dxa"/>
            <w:gridSpan w:val="14"/>
            <w:tcBorders>
              <w:left w:val="single" w:sz="4" w:space="0" w:color="auto"/>
            </w:tcBorders>
            <w:shd w:val="clear" w:color="auto" w:fill="auto"/>
            <w:vAlign w:val="bottom"/>
          </w:tcPr>
          <w:p w14:paraId="3171F86D" w14:textId="73D44E83" w:rsidR="00CE7A35" w:rsidRPr="001D7D76" w:rsidRDefault="00CE7A35" w:rsidP="002F040C">
            <w:pPr>
              <w:spacing w:after="120"/>
              <w:jc w:val="both"/>
              <w:rPr>
                <w:sz w:val="18"/>
                <w:szCs w:val="18"/>
              </w:rPr>
            </w:pPr>
            <w:r w:rsidRPr="001D7D76">
              <w:rPr>
                <w:sz w:val="18"/>
                <w:szCs w:val="18"/>
              </w:rPr>
              <w:t>Under the terms of the arrangement ‘</w:t>
            </w:r>
            <w:r w:rsidR="008A2B0F" w:rsidRPr="001D7D76">
              <w:rPr>
                <w:sz w:val="18"/>
                <w:szCs w:val="18"/>
              </w:rPr>
              <w:t>Burley Griffin</w:t>
            </w:r>
            <w:r w:rsidRPr="001D7D76">
              <w:rPr>
                <w:sz w:val="18"/>
                <w:szCs w:val="18"/>
              </w:rPr>
              <w:t xml:space="preserve"> Agency’ retains the significant residual interest in the assets at the end of the 20-year term.</w:t>
            </w:r>
          </w:p>
        </w:tc>
      </w:tr>
      <w:tr w:rsidR="00CE7A35" w:rsidRPr="00381D99" w14:paraId="38A7A637" w14:textId="77777777" w:rsidTr="0004564D">
        <w:trPr>
          <w:cantSplit/>
          <w:trHeight w:val="452"/>
        </w:trPr>
        <w:tc>
          <w:tcPr>
            <w:tcW w:w="1561" w:type="dxa"/>
            <w:tcBorders>
              <w:left w:val="single" w:sz="4" w:space="0" w:color="auto"/>
              <w:right w:val="single" w:sz="4" w:space="0" w:color="auto"/>
            </w:tcBorders>
          </w:tcPr>
          <w:p w14:paraId="15F9A94D" w14:textId="77777777" w:rsidR="00CE7A35" w:rsidRPr="00FA0C47" w:rsidRDefault="00CE7A35" w:rsidP="00C11EE4">
            <w:pPr>
              <w:pStyle w:val="TableReference"/>
              <w:tabs>
                <w:tab w:val="left" w:pos="3306"/>
              </w:tabs>
              <w:rPr>
                <w:rFonts w:cs="Calibri"/>
                <w:color w:val="7030A0"/>
                <w:sz w:val="18"/>
                <w:szCs w:val="18"/>
              </w:rPr>
            </w:pPr>
          </w:p>
        </w:tc>
        <w:tc>
          <w:tcPr>
            <w:tcW w:w="8931" w:type="dxa"/>
            <w:gridSpan w:val="14"/>
            <w:tcBorders>
              <w:left w:val="single" w:sz="4" w:space="0" w:color="auto"/>
            </w:tcBorders>
            <w:shd w:val="clear" w:color="auto" w:fill="auto"/>
            <w:vAlign w:val="bottom"/>
          </w:tcPr>
          <w:p w14:paraId="332A7A12" w14:textId="299B9549" w:rsidR="00CE7A35" w:rsidRPr="001D7D76" w:rsidRDefault="00CE7A35" w:rsidP="00CE7A35">
            <w:pPr>
              <w:jc w:val="both"/>
              <w:rPr>
                <w:sz w:val="18"/>
                <w:szCs w:val="18"/>
              </w:rPr>
            </w:pPr>
            <w:r w:rsidRPr="001D7D76">
              <w:rPr>
                <w:sz w:val="18"/>
                <w:szCs w:val="18"/>
              </w:rPr>
              <w:t>‘Example Metro’ is responsible for the management, recruitment, training, and determining the adequate number of staff to run light rail operations.</w:t>
            </w:r>
            <w:r w:rsidR="00FA7C77">
              <w:rPr>
                <w:sz w:val="18"/>
                <w:szCs w:val="18"/>
              </w:rPr>
              <w:t xml:space="preserve"> </w:t>
            </w:r>
            <w:r w:rsidRPr="001D7D76">
              <w:rPr>
                <w:sz w:val="18"/>
                <w:szCs w:val="18"/>
              </w:rPr>
              <w:t>These staff ensure the timely delivery of public transport services to ACT residents and are all employed by ‘Example Metro’.</w:t>
            </w:r>
            <w:r w:rsidR="00FA7C77">
              <w:rPr>
                <w:sz w:val="18"/>
                <w:szCs w:val="18"/>
              </w:rPr>
              <w:t xml:space="preserve"> </w:t>
            </w:r>
            <w:r w:rsidRPr="001D7D76">
              <w:rPr>
                <w:sz w:val="18"/>
                <w:szCs w:val="18"/>
              </w:rPr>
              <w:t>‘Example Metro’ is solely responsible for all aspects of asset management activities for light rail vehicles, tracks and electrical equipment.</w:t>
            </w:r>
            <w:r w:rsidR="00FA7C77">
              <w:rPr>
                <w:sz w:val="18"/>
                <w:szCs w:val="18"/>
              </w:rPr>
              <w:t xml:space="preserve"> </w:t>
            </w:r>
            <w:r w:rsidRPr="001D7D76">
              <w:rPr>
                <w:sz w:val="18"/>
                <w:szCs w:val="18"/>
              </w:rPr>
              <w:t xml:space="preserve">It is also required to manage, at its own discretion, all aspects of an operations control centre (OCC) on a continuous 24 hours per day, seven days a week basis. The OCC centrally manages the following functions: </w:t>
            </w:r>
          </w:p>
          <w:p w14:paraId="7F99E2C2" w14:textId="7B84A81B" w:rsidR="00CE7A35" w:rsidRPr="001D7D76" w:rsidRDefault="00577144" w:rsidP="007122BC">
            <w:pPr>
              <w:pStyle w:val="ListParagraph"/>
              <w:numPr>
                <w:ilvl w:val="0"/>
                <w:numId w:val="60"/>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o</w:t>
            </w:r>
            <w:r w:rsidR="00CE7A35" w:rsidRPr="001D7D76">
              <w:rPr>
                <w:rFonts w:asciiTheme="minorHAnsi" w:eastAsiaTheme="minorHAnsi" w:hAnsiTheme="minorHAnsi" w:cstheme="minorBidi"/>
                <w:sz w:val="18"/>
                <w:szCs w:val="18"/>
              </w:rPr>
              <w:t xml:space="preserve">perations; </w:t>
            </w:r>
          </w:p>
          <w:p w14:paraId="4D9D2958" w14:textId="391D00F2" w:rsidR="00CE7A35" w:rsidRPr="001D7D76" w:rsidRDefault="00577144" w:rsidP="007122BC">
            <w:pPr>
              <w:pStyle w:val="ListParagraph"/>
              <w:numPr>
                <w:ilvl w:val="0"/>
                <w:numId w:val="60"/>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p</w:t>
            </w:r>
            <w:r w:rsidR="00CE7A35" w:rsidRPr="001D7D76">
              <w:rPr>
                <w:rFonts w:asciiTheme="minorHAnsi" w:eastAsiaTheme="minorHAnsi" w:hAnsiTheme="minorHAnsi" w:cstheme="minorBidi"/>
                <w:sz w:val="18"/>
                <w:szCs w:val="18"/>
              </w:rPr>
              <w:t xml:space="preserve">ower supply management; </w:t>
            </w:r>
          </w:p>
          <w:p w14:paraId="2147F6C1" w14:textId="078461BF" w:rsidR="00CE7A35" w:rsidRPr="001D7D76" w:rsidRDefault="00577144" w:rsidP="007122BC">
            <w:pPr>
              <w:pStyle w:val="ListParagraph"/>
              <w:numPr>
                <w:ilvl w:val="0"/>
                <w:numId w:val="60"/>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c</w:t>
            </w:r>
            <w:r w:rsidR="00CE7A35" w:rsidRPr="001D7D76">
              <w:rPr>
                <w:rFonts w:asciiTheme="minorHAnsi" w:eastAsiaTheme="minorHAnsi" w:hAnsiTheme="minorHAnsi" w:cstheme="minorBidi"/>
                <w:sz w:val="18"/>
                <w:szCs w:val="18"/>
              </w:rPr>
              <w:t xml:space="preserve">ommunications, both internal and external; </w:t>
            </w:r>
          </w:p>
          <w:p w14:paraId="60D1FF29" w14:textId="1BC1D048" w:rsidR="00CE7A35" w:rsidRPr="001D7D76" w:rsidRDefault="00577144" w:rsidP="007122BC">
            <w:pPr>
              <w:pStyle w:val="ListParagraph"/>
              <w:numPr>
                <w:ilvl w:val="0"/>
                <w:numId w:val="60"/>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e</w:t>
            </w:r>
            <w:r w:rsidR="00CE7A35" w:rsidRPr="001D7D76">
              <w:rPr>
                <w:rFonts w:asciiTheme="minorHAnsi" w:eastAsiaTheme="minorHAnsi" w:hAnsiTheme="minorHAnsi" w:cstheme="minorBidi"/>
                <w:sz w:val="18"/>
                <w:szCs w:val="18"/>
              </w:rPr>
              <w:t>mergency Help Point response;</w:t>
            </w:r>
          </w:p>
          <w:p w14:paraId="7336B8CF" w14:textId="01484DE8" w:rsidR="00CE7A35" w:rsidRPr="001D7D76" w:rsidRDefault="00577144" w:rsidP="007122BC">
            <w:pPr>
              <w:pStyle w:val="ListParagraph"/>
              <w:numPr>
                <w:ilvl w:val="0"/>
                <w:numId w:val="60"/>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s</w:t>
            </w:r>
            <w:r w:rsidR="00CE7A35" w:rsidRPr="001D7D76">
              <w:rPr>
                <w:rFonts w:asciiTheme="minorHAnsi" w:eastAsiaTheme="minorHAnsi" w:hAnsiTheme="minorHAnsi" w:cstheme="minorBidi"/>
                <w:sz w:val="18"/>
                <w:szCs w:val="18"/>
              </w:rPr>
              <w:t>ecurity and access control;</w:t>
            </w:r>
          </w:p>
          <w:p w14:paraId="155CD324" w14:textId="5C98952F" w:rsidR="00CE7A35" w:rsidRPr="001D7D76" w:rsidRDefault="00577144" w:rsidP="007122BC">
            <w:pPr>
              <w:pStyle w:val="ListParagraph"/>
              <w:numPr>
                <w:ilvl w:val="0"/>
                <w:numId w:val="60"/>
              </w:numPr>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e</w:t>
            </w:r>
            <w:r w:rsidR="00CE7A35" w:rsidRPr="001D7D76">
              <w:rPr>
                <w:rFonts w:asciiTheme="minorHAnsi" w:eastAsiaTheme="minorHAnsi" w:hAnsiTheme="minorHAnsi" w:cstheme="minorBidi"/>
                <w:sz w:val="18"/>
                <w:szCs w:val="18"/>
              </w:rPr>
              <w:t>mergency response and management; and</w:t>
            </w:r>
          </w:p>
          <w:p w14:paraId="25E0B5B5" w14:textId="6AE749FA" w:rsidR="00CE7A35" w:rsidRPr="001D7D76" w:rsidRDefault="00577144" w:rsidP="007122BC">
            <w:pPr>
              <w:pStyle w:val="ListParagraph"/>
              <w:numPr>
                <w:ilvl w:val="0"/>
                <w:numId w:val="60"/>
              </w:numPr>
              <w:spacing w:after="120"/>
              <w:ind w:left="714" w:hanging="357"/>
              <w:contextualSpacing w:val="0"/>
              <w:jc w:val="both"/>
              <w:rPr>
                <w:rFonts w:asciiTheme="minorHAnsi" w:eastAsiaTheme="minorHAnsi" w:hAnsiTheme="minorHAnsi" w:cstheme="minorBidi"/>
                <w:sz w:val="18"/>
                <w:szCs w:val="18"/>
              </w:rPr>
            </w:pPr>
            <w:r w:rsidRPr="001D7D76">
              <w:rPr>
                <w:rFonts w:asciiTheme="minorHAnsi" w:eastAsiaTheme="minorHAnsi" w:hAnsiTheme="minorHAnsi" w:cstheme="minorBidi"/>
                <w:sz w:val="18"/>
                <w:szCs w:val="18"/>
              </w:rPr>
              <w:t>s</w:t>
            </w:r>
            <w:r w:rsidR="00CE7A35" w:rsidRPr="001D7D76">
              <w:rPr>
                <w:rFonts w:asciiTheme="minorHAnsi" w:eastAsiaTheme="minorHAnsi" w:hAnsiTheme="minorHAnsi" w:cstheme="minorBidi"/>
                <w:sz w:val="18"/>
                <w:szCs w:val="18"/>
              </w:rPr>
              <w:t>ystem alarm monitoring and fault response.</w:t>
            </w:r>
          </w:p>
        </w:tc>
      </w:tr>
      <w:tr w:rsidR="00CE7A35" w:rsidRPr="00381D99" w14:paraId="3B6DBBA0" w14:textId="77777777" w:rsidTr="0004564D">
        <w:trPr>
          <w:cantSplit/>
          <w:trHeight w:val="452"/>
        </w:trPr>
        <w:tc>
          <w:tcPr>
            <w:tcW w:w="1561" w:type="dxa"/>
            <w:tcBorders>
              <w:left w:val="single" w:sz="4" w:space="0" w:color="auto"/>
              <w:right w:val="single" w:sz="4" w:space="0" w:color="auto"/>
            </w:tcBorders>
          </w:tcPr>
          <w:p w14:paraId="6E47E447" w14:textId="77777777" w:rsidR="00CE7A35" w:rsidRPr="00FA0C47" w:rsidRDefault="00CE7A35" w:rsidP="00C11EE4">
            <w:pPr>
              <w:pStyle w:val="TableReference"/>
              <w:tabs>
                <w:tab w:val="left" w:pos="3306"/>
              </w:tabs>
              <w:rPr>
                <w:rFonts w:cs="Calibri"/>
                <w:color w:val="7030A0"/>
                <w:sz w:val="18"/>
                <w:szCs w:val="18"/>
              </w:rPr>
            </w:pPr>
          </w:p>
        </w:tc>
        <w:tc>
          <w:tcPr>
            <w:tcW w:w="8931" w:type="dxa"/>
            <w:gridSpan w:val="14"/>
            <w:tcBorders>
              <w:left w:val="single" w:sz="4" w:space="0" w:color="auto"/>
            </w:tcBorders>
            <w:shd w:val="clear" w:color="auto" w:fill="auto"/>
            <w:vAlign w:val="bottom"/>
          </w:tcPr>
          <w:p w14:paraId="570D7C7D" w14:textId="174A634B" w:rsidR="00CE7A35" w:rsidRPr="001D7D76" w:rsidRDefault="00CE7A35" w:rsidP="002F040C">
            <w:pPr>
              <w:spacing w:after="120"/>
              <w:jc w:val="both"/>
              <w:rPr>
                <w:sz w:val="18"/>
                <w:szCs w:val="18"/>
              </w:rPr>
            </w:pPr>
            <w:r w:rsidRPr="001D7D76">
              <w:rPr>
                <w:sz w:val="18"/>
                <w:szCs w:val="18"/>
              </w:rPr>
              <w:t>Over the life of the contract ‘</w:t>
            </w:r>
            <w:r w:rsidR="008A2B0F" w:rsidRPr="001D7D76">
              <w:rPr>
                <w:sz w:val="18"/>
                <w:szCs w:val="18"/>
              </w:rPr>
              <w:t>Burley Griffin</w:t>
            </w:r>
            <w:r w:rsidRPr="001D7D76">
              <w:rPr>
                <w:sz w:val="18"/>
                <w:szCs w:val="18"/>
              </w:rPr>
              <w:t xml:space="preserve"> Agency’ has granted ‘Example Metro’ the right to charge third-party users of the light rail and will also have to make monthly service payments to ‘Example Metro’ when light rail fare revenue is below an agreed monthly amount.</w:t>
            </w:r>
            <w:r w:rsidR="00FA7C77">
              <w:rPr>
                <w:sz w:val="18"/>
                <w:szCs w:val="18"/>
              </w:rPr>
              <w:t xml:space="preserve"> </w:t>
            </w:r>
            <w:r w:rsidRPr="001D7D76">
              <w:rPr>
                <w:sz w:val="18"/>
                <w:szCs w:val="18"/>
              </w:rPr>
              <w:t>These amounts are split between the component related to the design and construction or upgrading of the assets and ongoing operation and maintenance of the assets.</w:t>
            </w:r>
            <w:r w:rsidR="00FA7C77">
              <w:rPr>
                <w:sz w:val="18"/>
                <w:szCs w:val="18"/>
              </w:rPr>
              <w:t xml:space="preserve"> </w:t>
            </w:r>
            <w:r w:rsidRPr="001D7D76">
              <w:rPr>
                <w:sz w:val="18"/>
                <w:szCs w:val="18"/>
              </w:rPr>
              <w:t>The future compensation payable is estimated based on projected population increases over the term of the contract.</w:t>
            </w:r>
          </w:p>
        </w:tc>
      </w:tr>
      <w:tr w:rsidR="000A1EDA" w:rsidRPr="00381D99" w14:paraId="0B735A93" w14:textId="77777777" w:rsidTr="0004564D">
        <w:trPr>
          <w:cantSplit/>
          <w:trHeight w:val="23"/>
        </w:trPr>
        <w:tc>
          <w:tcPr>
            <w:tcW w:w="1561" w:type="dxa"/>
            <w:tcBorders>
              <w:left w:val="single" w:sz="2" w:space="0" w:color="auto"/>
              <w:right w:val="single" w:sz="2" w:space="0" w:color="auto"/>
            </w:tcBorders>
            <w:vAlign w:val="center"/>
          </w:tcPr>
          <w:p w14:paraId="49C2FF03" w14:textId="77777777" w:rsidR="000A1EDA" w:rsidRPr="00FA0C47" w:rsidRDefault="000A1EDA" w:rsidP="00DA5473">
            <w:pPr>
              <w:pStyle w:val="TableReference"/>
              <w:tabs>
                <w:tab w:val="left" w:pos="3306"/>
              </w:tabs>
              <w:spacing w:before="240" w:after="240"/>
              <w:rPr>
                <w:rFonts w:cs="Calibri"/>
                <w:color w:val="7030A0"/>
                <w:sz w:val="18"/>
                <w:szCs w:val="18"/>
              </w:rPr>
            </w:pPr>
            <w:r w:rsidRPr="00FA0C47">
              <w:rPr>
                <w:rFonts w:cs="Calibri"/>
                <w:b/>
                <w:color w:val="7030A0"/>
                <w:sz w:val="22"/>
                <w:szCs w:val="22"/>
              </w:rPr>
              <w:t>Reference</w:t>
            </w:r>
          </w:p>
        </w:tc>
        <w:tc>
          <w:tcPr>
            <w:tcW w:w="8931" w:type="dxa"/>
            <w:gridSpan w:val="14"/>
            <w:tcBorders>
              <w:left w:val="single" w:sz="2" w:space="0" w:color="auto"/>
            </w:tcBorders>
            <w:shd w:val="clear" w:color="auto" w:fill="auto"/>
            <w:vAlign w:val="bottom"/>
          </w:tcPr>
          <w:p w14:paraId="58BDFBD7" w14:textId="00FE3B98" w:rsidR="000A1EDA" w:rsidRPr="001D7D76" w:rsidRDefault="000A1EDA" w:rsidP="00D70F08">
            <w:pPr>
              <w:spacing w:before="240" w:after="240"/>
              <w:rPr>
                <w:color w:val="FF0000"/>
                <w:sz w:val="18"/>
                <w:szCs w:val="18"/>
              </w:rPr>
            </w:pPr>
            <w:r w:rsidRPr="001D7D76">
              <w:rPr>
                <w:rFonts w:ascii="Arial" w:hAnsi="Arial"/>
                <w:b/>
                <w:bCs/>
                <w:caps/>
                <w:sz w:val="32"/>
                <w:szCs w:val="24"/>
              </w:rPr>
              <w:t>Note 39 Service Concession Arrangements</w:t>
            </w:r>
            <w:r>
              <w:rPr>
                <w:rFonts w:ascii="Arial" w:hAnsi="Arial"/>
                <w:b/>
                <w:bCs/>
                <w:caps/>
                <w:sz w:val="32"/>
                <w:szCs w:val="24"/>
              </w:rPr>
              <w:t xml:space="preserve"> </w:t>
            </w:r>
            <w:r w:rsidR="00D70F08">
              <w:rPr>
                <w:rFonts w:ascii="Arial" w:hAnsi="Arial"/>
                <w:b/>
                <w:bCs/>
                <w:caps/>
                <w:sz w:val="32"/>
                <w:szCs w:val="24"/>
              </w:rPr>
              <w:t>–</w:t>
            </w:r>
            <w:r>
              <w:rPr>
                <w:rFonts w:ascii="Arial" w:hAnsi="Arial"/>
                <w:b/>
                <w:bCs/>
                <w:caps/>
                <w:sz w:val="32"/>
                <w:szCs w:val="24"/>
              </w:rPr>
              <w:t xml:space="preserve"> Continued</w:t>
            </w:r>
            <w:r w:rsidR="00D70F08">
              <w:rPr>
                <w:rFonts w:ascii="Arial" w:hAnsi="Arial"/>
                <w:b/>
                <w:bCs/>
                <w:caps/>
                <w:sz w:val="32"/>
                <w:szCs w:val="24"/>
              </w:rPr>
              <w:t xml:space="preserve"> </w:t>
            </w:r>
          </w:p>
        </w:tc>
      </w:tr>
      <w:tr w:rsidR="00976DE1" w:rsidRPr="00381D99" w14:paraId="002826A2" w14:textId="77777777" w:rsidTr="0004564D">
        <w:trPr>
          <w:cantSplit/>
          <w:trHeight w:val="23"/>
        </w:trPr>
        <w:tc>
          <w:tcPr>
            <w:tcW w:w="1561" w:type="dxa"/>
            <w:tcBorders>
              <w:left w:val="single" w:sz="2" w:space="0" w:color="auto"/>
              <w:right w:val="single" w:sz="2" w:space="0" w:color="auto"/>
            </w:tcBorders>
            <w:vAlign w:val="bottom"/>
          </w:tcPr>
          <w:p w14:paraId="665E9295" w14:textId="77777777" w:rsidR="00976DE1" w:rsidRPr="00FA0C47" w:rsidRDefault="00976DE1" w:rsidP="00C11EE4">
            <w:pPr>
              <w:pStyle w:val="TableReference"/>
              <w:tabs>
                <w:tab w:val="left" w:pos="3306"/>
              </w:tabs>
              <w:spacing w:after="240"/>
              <w:rPr>
                <w:rFonts w:cs="Calibri"/>
                <w:color w:val="7030A0"/>
                <w:sz w:val="18"/>
                <w:szCs w:val="18"/>
              </w:rPr>
            </w:pPr>
          </w:p>
        </w:tc>
        <w:tc>
          <w:tcPr>
            <w:tcW w:w="8931" w:type="dxa"/>
            <w:gridSpan w:val="14"/>
            <w:tcBorders>
              <w:left w:val="single" w:sz="2" w:space="0" w:color="auto"/>
            </w:tcBorders>
            <w:shd w:val="clear" w:color="auto" w:fill="auto"/>
            <w:vAlign w:val="bottom"/>
          </w:tcPr>
          <w:p w14:paraId="552A4B26" w14:textId="77777777" w:rsidR="00976DE1" w:rsidRPr="001D7D76" w:rsidRDefault="00976DE1" w:rsidP="00C11EE4">
            <w:pPr>
              <w:rPr>
                <w:rFonts w:asciiTheme="minorHAnsi" w:hAnsiTheme="minorHAnsi"/>
                <w:b/>
                <w:bCs/>
                <w:sz w:val="18"/>
                <w:szCs w:val="18"/>
              </w:rPr>
            </w:pPr>
            <w:r w:rsidRPr="001D7D76">
              <w:rPr>
                <w:b/>
                <w:bCs/>
                <w:sz w:val="18"/>
                <w:szCs w:val="18"/>
              </w:rPr>
              <w:t xml:space="preserve">Termination clauses </w:t>
            </w:r>
          </w:p>
          <w:p w14:paraId="5291D5A8" w14:textId="77777777" w:rsidR="00976DE1" w:rsidRPr="001D7D76" w:rsidRDefault="00976DE1" w:rsidP="002F040C">
            <w:pPr>
              <w:spacing w:after="60"/>
              <w:jc w:val="both"/>
              <w:rPr>
                <w:sz w:val="18"/>
                <w:szCs w:val="18"/>
              </w:rPr>
            </w:pPr>
            <w:r w:rsidRPr="001D7D76">
              <w:rPr>
                <w:sz w:val="18"/>
                <w:szCs w:val="18"/>
              </w:rPr>
              <w:t xml:space="preserve">The Project Agreement (the Agreement) can be terminated under a number of scenarios. The three types of termination scenarios set out in the Agreement are summarised below: </w:t>
            </w:r>
          </w:p>
          <w:p w14:paraId="3FBE7A9A" w14:textId="13FEDE9A" w:rsidR="00976DE1" w:rsidRPr="001D7D76" w:rsidRDefault="00976DE1" w:rsidP="007122BC">
            <w:pPr>
              <w:pStyle w:val="ListParagraph"/>
              <w:numPr>
                <w:ilvl w:val="0"/>
                <w:numId w:val="60"/>
              </w:numPr>
              <w:spacing w:after="60"/>
              <w:ind w:left="714" w:hanging="357"/>
              <w:contextualSpacing w:val="0"/>
              <w:jc w:val="both"/>
              <w:rPr>
                <w:sz w:val="18"/>
                <w:szCs w:val="18"/>
              </w:rPr>
            </w:pPr>
            <w:r w:rsidRPr="001D7D76">
              <w:rPr>
                <w:sz w:val="18"/>
                <w:szCs w:val="18"/>
              </w:rPr>
              <w:t>Termination for convenience – ‘</w:t>
            </w:r>
            <w:r w:rsidR="008A2B0F" w:rsidRPr="001D7D76">
              <w:rPr>
                <w:sz w:val="18"/>
                <w:szCs w:val="18"/>
              </w:rPr>
              <w:t>Burley Griffin</w:t>
            </w:r>
            <w:r w:rsidRPr="001D7D76">
              <w:rPr>
                <w:sz w:val="18"/>
                <w:szCs w:val="18"/>
              </w:rPr>
              <w:t xml:space="preserve"> Agency’ may terminate the Agreement at any time by giving no less than 60 business days’ notice in writing to ‘Example Metro’.</w:t>
            </w:r>
            <w:r w:rsidR="00FA7C77">
              <w:rPr>
                <w:sz w:val="18"/>
                <w:szCs w:val="18"/>
              </w:rPr>
              <w:t xml:space="preserve"> </w:t>
            </w:r>
            <w:r w:rsidRPr="001D7D76">
              <w:rPr>
                <w:sz w:val="18"/>
                <w:szCs w:val="18"/>
              </w:rPr>
              <w:t>‘</w:t>
            </w:r>
            <w:r w:rsidR="008A2B0F" w:rsidRPr="001D7D76">
              <w:rPr>
                <w:sz w:val="18"/>
                <w:szCs w:val="18"/>
              </w:rPr>
              <w:t>Burley Griffin</w:t>
            </w:r>
            <w:r w:rsidRPr="001D7D76">
              <w:rPr>
                <w:sz w:val="18"/>
                <w:szCs w:val="18"/>
              </w:rPr>
              <w:t xml:space="preserve"> Agency’ will be required to pay a termination for convenience payment. This amount is calculated as ‘Example Metro’s’ outstanding project debt, plus the fair market value of ‘Example Metro’s’ equity, plus any other reasonable costs incurred by ‘Example Metro’ as a result of the termination. </w:t>
            </w:r>
          </w:p>
          <w:p w14:paraId="0972475B" w14:textId="4968AEB6" w:rsidR="00976DE1" w:rsidRPr="001D7D76" w:rsidRDefault="00976DE1" w:rsidP="007122BC">
            <w:pPr>
              <w:pStyle w:val="ListParagraph"/>
              <w:numPr>
                <w:ilvl w:val="0"/>
                <w:numId w:val="60"/>
              </w:numPr>
              <w:jc w:val="both"/>
              <w:rPr>
                <w:sz w:val="18"/>
                <w:szCs w:val="18"/>
              </w:rPr>
            </w:pPr>
            <w:r w:rsidRPr="001D7D76">
              <w:rPr>
                <w:sz w:val="18"/>
                <w:szCs w:val="18"/>
              </w:rPr>
              <w:t>Force Majeure Termination Event - where the Agreement is terminated for force majeure (e.g. earthquake, bushfire, landslide), or the service concession arrangement project is wholly or substantially damaged or destroyed upon the occurrence of an uninsurable risk, ‘</w:t>
            </w:r>
            <w:r w:rsidR="008A2B0F" w:rsidRPr="001D7D76">
              <w:rPr>
                <w:sz w:val="18"/>
                <w:szCs w:val="18"/>
              </w:rPr>
              <w:t>Burley Griffin</w:t>
            </w:r>
            <w:r w:rsidRPr="001D7D76">
              <w:rPr>
                <w:sz w:val="18"/>
                <w:szCs w:val="18"/>
              </w:rPr>
              <w:t xml:space="preserve"> Agency’ will pay ‘Example Metro’ the general termination event payment.</w:t>
            </w:r>
            <w:r w:rsidR="00FA7C77">
              <w:rPr>
                <w:sz w:val="18"/>
                <w:szCs w:val="18"/>
              </w:rPr>
              <w:t xml:space="preserve"> </w:t>
            </w:r>
            <w:r w:rsidRPr="001D7D76">
              <w:rPr>
                <w:sz w:val="18"/>
                <w:szCs w:val="18"/>
              </w:rPr>
              <w:t xml:space="preserve">This amount is calculated as ‘Example Metro’s’ outstanding project debt plus any other reasonable costs incurred by ‘Example Metro’ as a result of the termination, less any insurance proceeds. </w:t>
            </w:r>
          </w:p>
        </w:tc>
      </w:tr>
      <w:tr w:rsidR="001D7D76" w:rsidRPr="00381D99" w14:paraId="21594774" w14:textId="77777777" w:rsidTr="0004564D">
        <w:trPr>
          <w:cantSplit/>
          <w:trHeight w:val="23"/>
        </w:trPr>
        <w:tc>
          <w:tcPr>
            <w:tcW w:w="1561" w:type="dxa"/>
            <w:tcBorders>
              <w:left w:val="single" w:sz="2" w:space="0" w:color="auto"/>
              <w:right w:val="single" w:sz="2" w:space="0" w:color="auto"/>
            </w:tcBorders>
            <w:vAlign w:val="bottom"/>
          </w:tcPr>
          <w:p w14:paraId="1F5ECDA6" w14:textId="77777777" w:rsidR="001D7D76" w:rsidRPr="00FA0C47" w:rsidRDefault="001D7D76" w:rsidP="001D7D76">
            <w:pPr>
              <w:pStyle w:val="TableReference"/>
              <w:tabs>
                <w:tab w:val="left" w:pos="3306"/>
              </w:tabs>
              <w:spacing w:after="240"/>
              <w:rPr>
                <w:rFonts w:cs="Calibri"/>
                <w:color w:val="7030A0"/>
                <w:sz w:val="18"/>
                <w:szCs w:val="18"/>
              </w:rPr>
            </w:pPr>
          </w:p>
        </w:tc>
        <w:tc>
          <w:tcPr>
            <w:tcW w:w="8931" w:type="dxa"/>
            <w:gridSpan w:val="14"/>
            <w:tcBorders>
              <w:left w:val="single" w:sz="2" w:space="0" w:color="auto"/>
            </w:tcBorders>
            <w:shd w:val="clear" w:color="auto" w:fill="auto"/>
            <w:vAlign w:val="bottom"/>
          </w:tcPr>
          <w:p w14:paraId="13042703" w14:textId="1C076AC7" w:rsidR="001D7D76" w:rsidRPr="00FA0C47" w:rsidRDefault="001D7D76" w:rsidP="007122BC">
            <w:pPr>
              <w:pStyle w:val="ListParagraph"/>
              <w:numPr>
                <w:ilvl w:val="0"/>
                <w:numId w:val="61"/>
              </w:numPr>
              <w:ind w:left="714" w:hanging="357"/>
              <w:contextualSpacing w:val="0"/>
              <w:jc w:val="both"/>
              <w:rPr>
                <w:sz w:val="18"/>
                <w:szCs w:val="18"/>
              </w:rPr>
            </w:pPr>
            <w:r w:rsidRPr="00FA0C47">
              <w:rPr>
                <w:sz w:val="18"/>
                <w:szCs w:val="18"/>
              </w:rPr>
              <w:t>Termination for ‘Example Metro’ default - where the Project Agreement is terminated for ‘Example Metro’s’ default, ‘Burley Griffin Agency’ will pay ‘Example Metro the fair market value of the Project determined by an independent expert or as a result of a re-tender of the contract to the market.</w:t>
            </w:r>
            <w:r w:rsidR="00FA7C77">
              <w:rPr>
                <w:sz w:val="18"/>
                <w:szCs w:val="18"/>
              </w:rPr>
              <w:t xml:space="preserve"> </w:t>
            </w:r>
            <w:r w:rsidRPr="00FA0C47">
              <w:rPr>
                <w:sz w:val="18"/>
                <w:szCs w:val="18"/>
              </w:rPr>
              <w:t>A default by ‘Example Metro’ under the Agreement will entitle ‘Burley Griffin Agency’ to various remedies.</w:t>
            </w:r>
            <w:r w:rsidR="00FA7C77">
              <w:rPr>
                <w:sz w:val="18"/>
                <w:szCs w:val="18"/>
              </w:rPr>
              <w:t xml:space="preserve"> </w:t>
            </w:r>
            <w:r w:rsidRPr="00FA0C47">
              <w:rPr>
                <w:sz w:val="18"/>
                <w:szCs w:val="18"/>
              </w:rPr>
              <w:t>‘Burley Griffin Agency’, in most circumstances, is required to give ‘Example Metro’ an opportunity to remedy the default.</w:t>
            </w:r>
            <w:r w:rsidR="00FA7C77">
              <w:rPr>
                <w:sz w:val="18"/>
                <w:szCs w:val="18"/>
              </w:rPr>
              <w:t xml:space="preserve"> </w:t>
            </w:r>
            <w:r w:rsidRPr="00FA0C47">
              <w:rPr>
                <w:sz w:val="18"/>
                <w:szCs w:val="18"/>
              </w:rPr>
              <w:t>If the default is not remedied within the required period, then it will escalate to a Major Default. The Agreement also states that a number of events are automatically classified as a Major Default (e.g. when there are persistent breaches or frequent service failures). In respect of Major Defaults, ‘Example Metro’ will be given the opportunity to develop a plan to remedy the default (if the default is capable of being remedied) or a prevention plan to prevent the default from recurring (in circumstances where the default is not capable of remedy).</w:t>
            </w:r>
            <w:r w:rsidR="00FA7C77">
              <w:rPr>
                <w:sz w:val="18"/>
                <w:szCs w:val="18"/>
              </w:rPr>
              <w:t xml:space="preserve"> </w:t>
            </w:r>
            <w:r w:rsidRPr="00FA0C47">
              <w:rPr>
                <w:sz w:val="18"/>
                <w:szCs w:val="18"/>
              </w:rPr>
              <w:t>Where ‘Example Metro’ fails to remedy the Major Default within the required period or fails to comply with an agreed remedy or prevention plan, ‘Burley Griffin Agency’ has the right to terminate the Agreement.</w:t>
            </w:r>
            <w:r w:rsidR="00FA7C77">
              <w:rPr>
                <w:sz w:val="18"/>
                <w:szCs w:val="18"/>
              </w:rPr>
              <w:t xml:space="preserve"> </w:t>
            </w:r>
            <w:r w:rsidRPr="00FA0C47">
              <w:rPr>
                <w:sz w:val="18"/>
                <w:szCs w:val="18"/>
              </w:rPr>
              <w:t>Certain events of default are so severe that they are not subject to a remedy regime.</w:t>
            </w:r>
            <w:r w:rsidR="00FA7C77">
              <w:rPr>
                <w:sz w:val="18"/>
                <w:szCs w:val="18"/>
              </w:rPr>
              <w:t xml:space="preserve"> </w:t>
            </w:r>
            <w:r w:rsidRPr="00FA0C47">
              <w:rPr>
                <w:sz w:val="18"/>
                <w:szCs w:val="18"/>
              </w:rPr>
              <w:t>They give rise to an ‘Burley Griffin Agency’ termination right immediately upon their occurrence (e.g. insolvency of ‘Example Metro’). These events are called Default Termination Events.</w:t>
            </w:r>
          </w:p>
        </w:tc>
      </w:tr>
      <w:tr w:rsidR="001D7D76" w:rsidRPr="00381D99" w14:paraId="0DE9D036" w14:textId="77777777" w:rsidTr="0004564D">
        <w:trPr>
          <w:cantSplit/>
          <w:trHeight w:val="23"/>
        </w:trPr>
        <w:tc>
          <w:tcPr>
            <w:tcW w:w="1561" w:type="dxa"/>
            <w:tcBorders>
              <w:left w:val="single" w:sz="2" w:space="0" w:color="auto"/>
              <w:right w:val="single" w:sz="2" w:space="0" w:color="auto"/>
            </w:tcBorders>
            <w:vAlign w:val="bottom"/>
          </w:tcPr>
          <w:p w14:paraId="7916EACE" w14:textId="77777777" w:rsidR="001D7D76" w:rsidRPr="00FA0C47" w:rsidRDefault="001D7D76" w:rsidP="001D7D76">
            <w:pPr>
              <w:pStyle w:val="TableReference"/>
              <w:tabs>
                <w:tab w:val="left" w:pos="3306"/>
              </w:tabs>
              <w:rPr>
                <w:rFonts w:cs="Calibri"/>
                <w:color w:val="7030A0"/>
                <w:sz w:val="18"/>
                <w:szCs w:val="18"/>
              </w:rPr>
            </w:pPr>
          </w:p>
        </w:tc>
        <w:tc>
          <w:tcPr>
            <w:tcW w:w="8931" w:type="dxa"/>
            <w:gridSpan w:val="14"/>
            <w:tcBorders>
              <w:left w:val="single" w:sz="2" w:space="0" w:color="auto"/>
            </w:tcBorders>
            <w:shd w:val="clear" w:color="auto" w:fill="auto"/>
            <w:vAlign w:val="bottom"/>
          </w:tcPr>
          <w:p w14:paraId="7F3ACD7A" w14:textId="77777777" w:rsidR="001D7D76" w:rsidRPr="00FA0C47" w:rsidRDefault="001D7D76" w:rsidP="001D7D76">
            <w:pPr>
              <w:spacing w:before="120"/>
              <w:rPr>
                <w:b/>
                <w:bCs/>
                <w:sz w:val="18"/>
                <w:szCs w:val="18"/>
              </w:rPr>
            </w:pPr>
            <w:r w:rsidRPr="00FA0C47">
              <w:rPr>
                <w:b/>
                <w:bCs/>
                <w:sz w:val="18"/>
                <w:szCs w:val="18"/>
              </w:rPr>
              <w:t>Accounting for the Service Concession Arrangement</w:t>
            </w:r>
          </w:p>
        </w:tc>
      </w:tr>
      <w:tr w:rsidR="001D7D76" w:rsidRPr="00381D99" w14:paraId="47B84C81" w14:textId="77777777" w:rsidTr="0004564D">
        <w:trPr>
          <w:cantSplit/>
          <w:trHeight w:val="23"/>
        </w:trPr>
        <w:tc>
          <w:tcPr>
            <w:tcW w:w="1561" w:type="dxa"/>
            <w:tcBorders>
              <w:left w:val="single" w:sz="2" w:space="0" w:color="auto"/>
              <w:right w:val="single" w:sz="2" w:space="0" w:color="auto"/>
            </w:tcBorders>
            <w:vAlign w:val="bottom"/>
          </w:tcPr>
          <w:p w14:paraId="0C27A623" w14:textId="77777777" w:rsidR="001D7D76" w:rsidRPr="00FA0C47" w:rsidRDefault="001D7D76" w:rsidP="001D7D76">
            <w:pPr>
              <w:pStyle w:val="TableReference"/>
              <w:tabs>
                <w:tab w:val="left" w:pos="3306"/>
              </w:tabs>
              <w:rPr>
                <w:rFonts w:cs="Calibri"/>
                <w:color w:val="7030A0"/>
                <w:sz w:val="18"/>
                <w:szCs w:val="18"/>
              </w:rPr>
            </w:pPr>
          </w:p>
        </w:tc>
        <w:tc>
          <w:tcPr>
            <w:tcW w:w="8931" w:type="dxa"/>
            <w:gridSpan w:val="14"/>
            <w:tcBorders>
              <w:left w:val="single" w:sz="2" w:space="0" w:color="auto"/>
            </w:tcBorders>
            <w:shd w:val="clear" w:color="auto" w:fill="auto"/>
            <w:vAlign w:val="bottom"/>
          </w:tcPr>
          <w:p w14:paraId="681D50F9" w14:textId="2D7B8371" w:rsidR="001D7D76" w:rsidRPr="00FA0C47" w:rsidRDefault="001D7D76" w:rsidP="001D7D76">
            <w:pPr>
              <w:spacing w:after="120"/>
              <w:jc w:val="both"/>
              <w:rPr>
                <w:sz w:val="18"/>
                <w:szCs w:val="18"/>
              </w:rPr>
            </w:pPr>
            <w:r w:rsidRPr="00FA0C47">
              <w:rPr>
                <w:sz w:val="18"/>
                <w:szCs w:val="18"/>
              </w:rPr>
              <w:t>AASB 1059 requires the application of a control</w:t>
            </w:r>
            <w:r w:rsidRPr="00FA0C47">
              <w:rPr>
                <w:sz w:val="18"/>
                <w:szCs w:val="18"/>
              </w:rPr>
              <w:noBreakHyphen/>
              <w:t>based approach to the recognition of assets.</w:t>
            </w:r>
            <w:r w:rsidR="00FA7C77">
              <w:rPr>
                <w:sz w:val="18"/>
                <w:szCs w:val="18"/>
              </w:rPr>
              <w:t xml:space="preserve"> </w:t>
            </w:r>
            <w:r w:rsidRPr="00FA0C47">
              <w:rPr>
                <w:sz w:val="18"/>
                <w:szCs w:val="18"/>
              </w:rPr>
              <w:t>On initial recognition or reclassification, service concession assets are measured at current replacement cost.</w:t>
            </w:r>
            <w:r w:rsidR="00FA7C77">
              <w:rPr>
                <w:sz w:val="18"/>
                <w:szCs w:val="18"/>
              </w:rPr>
              <w:t xml:space="preserve"> </w:t>
            </w:r>
            <w:r w:rsidRPr="00FA0C47">
              <w:rPr>
                <w:sz w:val="18"/>
                <w:szCs w:val="18"/>
              </w:rPr>
              <w:t>After initial recognition or reclassification, service concession assets are either measured at fair value (current replacement cost) using the fair value model or at cost using the cost model in accordance with AASB 116.</w:t>
            </w:r>
            <w:r w:rsidR="00FA7C77">
              <w:rPr>
                <w:sz w:val="18"/>
                <w:szCs w:val="18"/>
              </w:rPr>
              <w:t xml:space="preserve"> </w:t>
            </w:r>
            <w:r w:rsidRPr="00FA0C47">
              <w:rPr>
                <w:sz w:val="18"/>
                <w:szCs w:val="18"/>
              </w:rPr>
              <w:t>‘Burley Griffin Agency’ measures light rail infrastructure assets and light rail building assets at fair value (determined using current replacement cost) after initial recognition, whereas light rail plant and equipment is held at cost.</w:t>
            </w:r>
            <w:r w:rsidR="00FA7C77">
              <w:rPr>
                <w:sz w:val="18"/>
                <w:szCs w:val="18"/>
              </w:rPr>
              <w:t xml:space="preserve"> </w:t>
            </w:r>
            <w:r w:rsidRPr="00FA0C47">
              <w:rPr>
                <w:sz w:val="18"/>
                <w:szCs w:val="18"/>
              </w:rPr>
              <w:t>The assets are depreciated on a straight-line basis over their useful lives, which are 30 years for light rail plant and equipment, and 50 years for light rail infrastructure assets and light rail building assets.</w:t>
            </w:r>
          </w:p>
        </w:tc>
      </w:tr>
      <w:tr w:rsidR="001D7D76" w:rsidRPr="00381D99" w14:paraId="610F1768" w14:textId="77777777" w:rsidTr="0004564D">
        <w:trPr>
          <w:cantSplit/>
          <w:trHeight w:val="23"/>
        </w:trPr>
        <w:tc>
          <w:tcPr>
            <w:tcW w:w="1561" w:type="dxa"/>
            <w:tcBorders>
              <w:left w:val="single" w:sz="2" w:space="0" w:color="auto"/>
              <w:right w:val="single" w:sz="2" w:space="0" w:color="auto"/>
            </w:tcBorders>
            <w:vAlign w:val="bottom"/>
          </w:tcPr>
          <w:p w14:paraId="3F12D3FE" w14:textId="77777777" w:rsidR="001D7D76" w:rsidRPr="00FA0C47" w:rsidRDefault="001D7D76" w:rsidP="001D7D76">
            <w:pPr>
              <w:pStyle w:val="TableReference"/>
              <w:tabs>
                <w:tab w:val="left" w:pos="3306"/>
              </w:tabs>
              <w:rPr>
                <w:rFonts w:cs="Calibri"/>
                <w:color w:val="7030A0"/>
                <w:sz w:val="18"/>
                <w:szCs w:val="18"/>
              </w:rPr>
            </w:pPr>
          </w:p>
        </w:tc>
        <w:tc>
          <w:tcPr>
            <w:tcW w:w="8931" w:type="dxa"/>
            <w:gridSpan w:val="14"/>
            <w:tcBorders>
              <w:left w:val="single" w:sz="2" w:space="0" w:color="auto"/>
            </w:tcBorders>
            <w:shd w:val="clear" w:color="auto" w:fill="auto"/>
            <w:vAlign w:val="bottom"/>
          </w:tcPr>
          <w:p w14:paraId="505B7E74" w14:textId="14B0640E" w:rsidR="001D7D76" w:rsidRPr="00FA0C47" w:rsidRDefault="001D7D76" w:rsidP="001D7D76">
            <w:pPr>
              <w:spacing w:after="120"/>
              <w:jc w:val="both"/>
              <w:rPr>
                <w:sz w:val="18"/>
                <w:szCs w:val="18"/>
              </w:rPr>
            </w:pPr>
            <w:r w:rsidRPr="00FA0C47">
              <w:rPr>
                <w:sz w:val="18"/>
                <w:szCs w:val="18"/>
              </w:rPr>
              <w:t>A service concession liability is recognised at the same time as recognising or reclassifying a service concession asset.</w:t>
            </w:r>
            <w:r w:rsidR="00FA7C77">
              <w:rPr>
                <w:sz w:val="18"/>
                <w:szCs w:val="18"/>
              </w:rPr>
              <w:t xml:space="preserve"> </w:t>
            </w:r>
            <w:r w:rsidRPr="00FA0C47">
              <w:rPr>
                <w:sz w:val="18"/>
                <w:szCs w:val="18"/>
              </w:rPr>
              <w:t>The service concession liability is initially measured at the same amount as the asset, adjusted for any other consideration exchanged between ‘Burley Griffin Agency’ and the operator.</w:t>
            </w:r>
            <w:r w:rsidR="00FA7C77">
              <w:rPr>
                <w:sz w:val="18"/>
                <w:szCs w:val="18"/>
              </w:rPr>
              <w:t xml:space="preserve"> </w:t>
            </w:r>
            <w:r w:rsidRPr="00FA0C47">
              <w:rPr>
                <w:sz w:val="18"/>
                <w:szCs w:val="18"/>
              </w:rPr>
              <w:t>Where an existing asset of ‘Burley Griffin Agency’ is reclassified as a service concession asset then ‘Burley Griffin Agency’ does not recognise a corresponding service concession liability for this asset, except in circumstances where additional consideration is provided for the asset by the operator.</w:t>
            </w:r>
            <w:r w:rsidR="00FA7C77">
              <w:rPr>
                <w:sz w:val="18"/>
                <w:szCs w:val="18"/>
              </w:rPr>
              <w:t xml:space="preserve"> </w:t>
            </w:r>
            <w:r w:rsidRPr="00FA0C47">
              <w:rPr>
                <w:sz w:val="18"/>
                <w:szCs w:val="18"/>
              </w:rPr>
              <w:t>The service concession liability is initially recognised as a financial liability where ‘Burley Griffin Agency’ has a contractual obligation to make specified or determinable future payments to the operator for the construction, development, acquisition or upgrade of a service concession asset.</w:t>
            </w:r>
            <w:r w:rsidR="00FA7C77">
              <w:rPr>
                <w:sz w:val="18"/>
                <w:szCs w:val="18"/>
              </w:rPr>
              <w:t xml:space="preserve"> </w:t>
            </w:r>
            <w:r w:rsidRPr="00FA0C47">
              <w:rPr>
                <w:sz w:val="18"/>
                <w:szCs w:val="18"/>
              </w:rPr>
              <w:t>However, the service concession liability is initially recognised as a service concession unearned revenue liability where the grantor grants the operator a right to charge third party users or a right to access another revenue-generating asset.</w:t>
            </w:r>
            <w:r w:rsidR="00FA7C77">
              <w:rPr>
                <w:sz w:val="18"/>
                <w:szCs w:val="18"/>
              </w:rPr>
              <w:t xml:space="preserve"> </w:t>
            </w:r>
          </w:p>
        </w:tc>
      </w:tr>
      <w:tr w:rsidR="001D7D76" w:rsidRPr="00381D99" w14:paraId="2B133A7B" w14:textId="77777777" w:rsidTr="0004564D">
        <w:trPr>
          <w:cantSplit/>
          <w:trHeight w:val="23"/>
        </w:trPr>
        <w:tc>
          <w:tcPr>
            <w:tcW w:w="1561" w:type="dxa"/>
            <w:tcBorders>
              <w:left w:val="single" w:sz="2" w:space="0" w:color="auto"/>
              <w:right w:val="single" w:sz="2" w:space="0" w:color="auto"/>
            </w:tcBorders>
          </w:tcPr>
          <w:p w14:paraId="54BEBE36" w14:textId="77777777" w:rsidR="001D7D76" w:rsidRPr="00FA0C47" w:rsidRDefault="001D7D76" w:rsidP="001D7D76">
            <w:pPr>
              <w:pStyle w:val="TableReference"/>
              <w:tabs>
                <w:tab w:val="left" w:pos="3306"/>
              </w:tabs>
              <w:spacing w:after="240"/>
              <w:rPr>
                <w:rFonts w:cs="Calibri"/>
                <w:color w:val="7030A0"/>
                <w:sz w:val="18"/>
                <w:szCs w:val="18"/>
              </w:rPr>
            </w:pPr>
          </w:p>
        </w:tc>
        <w:tc>
          <w:tcPr>
            <w:tcW w:w="8931" w:type="dxa"/>
            <w:gridSpan w:val="14"/>
            <w:tcBorders>
              <w:left w:val="single" w:sz="2" w:space="0" w:color="auto"/>
            </w:tcBorders>
            <w:shd w:val="clear" w:color="auto" w:fill="auto"/>
            <w:vAlign w:val="bottom"/>
          </w:tcPr>
          <w:p w14:paraId="3493F463" w14:textId="1BBC1649" w:rsidR="001D7D76" w:rsidRPr="00FA0C47" w:rsidRDefault="001D7D76" w:rsidP="001D7D76">
            <w:pPr>
              <w:spacing w:after="120"/>
              <w:jc w:val="both"/>
              <w:rPr>
                <w:sz w:val="18"/>
                <w:szCs w:val="18"/>
              </w:rPr>
            </w:pPr>
            <w:r w:rsidRPr="00FA0C47">
              <w:rPr>
                <w:sz w:val="18"/>
                <w:szCs w:val="18"/>
              </w:rPr>
              <w:t>Where a service concession arrangement involves both payments to the operator and a grant of a right to the operator (Hybrid Arrangement) then ‘Burley Griffin Agency’ recognises both a service concession financial liability and a service concession unearned revenue liability. In measuring both these liabilities under a hybrid model, the financial liability part is measured first, with the remainder of the total liability (ie amount of the service concession asset) allocated to the unearned revenue liability.</w:t>
            </w:r>
            <w:r w:rsidR="00FA7C77">
              <w:rPr>
                <w:sz w:val="18"/>
                <w:szCs w:val="18"/>
              </w:rPr>
              <w:t xml:space="preserve"> </w:t>
            </w:r>
            <w:r w:rsidRPr="00FA0C47">
              <w:rPr>
                <w:sz w:val="18"/>
                <w:szCs w:val="18"/>
              </w:rPr>
              <w:t>The financial liability portion is calculated by discounting future payments using the contractually specified interest rate or otherwise a prevailing market rate for a similar instrument with a similar credit rating.</w:t>
            </w:r>
            <w:r w:rsidR="00FA7C77">
              <w:rPr>
                <w:sz w:val="18"/>
                <w:szCs w:val="18"/>
              </w:rPr>
              <w:t xml:space="preserve"> </w:t>
            </w:r>
          </w:p>
        </w:tc>
      </w:tr>
      <w:tr w:rsidR="001D7D76" w:rsidRPr="00381D99" w14:paraId="403A8755" w14:textId="77777777" w:rsidTr="0004564D">
        <w:trPr>
          <w:cantSplit/>
          <w:trHeight w:val="23"/>
        </w:trPr>
        <w:tc>
          <w:tcPr>
            <w:tcW w:w="1561" w:type="dxa"/>
            <w:tcBorders>
              <w:left w:val="single" w:sz="2" w:space="0" w:color="auto"/>
              <w:right w:val="single" w:sz="2" w:space="0" w:color="auto"/>
            </w:tcBorders>
          </w:tcPr>
          <w:p w14:paraId="3C15B6AF" w14:textId="77777777" w:rsidR="001D7D76" w:rsidRPr="00FA0C47" w:rsidRDefault="001D7D76" w:rsidP="001D7D76">
            <w:pPr>
              <w:pStyle w:val="TableReference"/>
              <w:tabs>
                <w:tab w:val="left" w:pos="3306"/>
              </w:tabs>
              <w:spacing w:after="240"/>
              <w:rPr>
                <w:rFonts w:cs="Calibri"/>
                <w:color w:val="7030A0"/>
                <w:sz w:val="18"/>
                <w:szCs w:val="18"/>
              </w:rPr>
            </w:pPr>
          </w:p>
        </w:tc>
        <w:tc>
          <w:tcPr>
            <w:tcW w:w="8931" w:type="dxa"/>
            <w:gridSpan w:val="14"/>
            <w:tcBorders>
              <w:left w:val="single" w:sz="2" w:space="0" w:color="auto"/>
            </w:tcBorders>
            <w:shd w:val="clear" w:color="auto" w:fill="auto"/>
            <w:vAlign w:val="bottom"/>
          </w:tcPr>
          <w:p w14:paraId="280E1B50" w14:textId="0519C074" w:rsidR="001D7D76" w:rsidRPr="00FA0C47" w:rsidRDefault="001D7D76" w:rsidP="001D7D76">
            <w:pPr>
              <w:spacing w:after="120"/>
              <w:jc w:val="both"/>
              <w:rPr>
                <w:sz w:val="18"/>
                <w:szCs w:val="18"/>
              </w:rPr>
            </w:pPr>
            <w:r w:rsidRPr="00FA0C47">
              <w:rPr>
                <w:sz w:val="18"/>
                <w:szCs w:val="18"/>
              </w:rPr>
              <w:t>Subsequent to initial recognition or reclassification, the service concession financial liability accrues interest and is reduced when capital payments are made to the ‘Example Metro’.</w:t>
            </w:r>
            <w:r w:rsidR="00FA7C77">
              <w:rPr>
                <w:sz w:val="18"/>
                <w:szCs w:val="18"/>
              </w:rPr>
              <w:t xml:space="preserve"> </w:t>
            </w:r>
            <w:r w:rsidRPr="00FA0C47">
              <w:rPr>
                <w:sz w:val="18"/>
                <w:szCs w:val="18"/>
              </w:rPr>
              <w:t>The service concession unearned revenue liability is amortised as revenue on a straight-line basis over the remaining concession period.</w:t>
            </w:r>
          </w:p>
        </w:tc>
      </w:tr>
      <w:tr w:rsidR="00C63117" w:rsidRPr="00381D99" w14:paraId="3EC78EF2" w14:textId="77777777" w:rsidTr="0004564D">
        <w:trPr>
          <w:cantSplit/>
          <w:trHeight w:val="23"/>
        </w:trPr>
        <w:tc>
          <w:tcPr>
            <w:tcW w:w="1561" w:type="dxa"/>
            <w:tcBorders>
              <w:left w:val="single" w:sz="2" w:space="0" w:color="auto"/>
              <w:right w:val="single" w:sz="2" w:space="0" w:color="auto"/>
            </w:tcBorders>
            <w:vAlign w:val="center"/>
          </w:tcPr>
          <w:p w14:paraId="5109664D" w14:textId="6A8055A0" w:rsidR="00C63117" w:rsidRPr="00FA0C47" w:rsidRDefault="00C63117" w:rsidP="00C63117">
            <w:pPr>
              <w:pStyle w:val="TableReference"/>
              <w:tabs>
                <w:tab w:val="left" w:pos="3306"/>
              </w:tabs>
              <w:spacing w:before="240" w:after="240"/>
              <w:rPr>
                <w:rFonts w:cs="Calibri"/>
                <w:color w:val="7030A0"/>
                <w:sz w:val="18"/>
                <w:szCs w:val="18"/>
              </w:rPr>
            </w:pPr>
            <w:r w:rsidRPr="00FA0C47">
              <w:rPr>
                <w:rFonts w:cs="Calibri"/>
                <w:b/>
                <w:color w:val="7030A0"/>
                <w:sz w:val="22"/>
                <w:szCs w:val="22"/>
              </w:rPr>
              <w:t>Reference</w:t>
            </w:r>
          </w:p>
        </w:tc>
        <w:tc>
          <w:tcPr>
            <w:tcW w:w="8931" w:type="dxa"/>
            <w:gridSpan w:val="14"/>
            <w:tcBorders>
              <w:left w:val="single" w:sz="2" w:space="0" w:color="auto"/>
            </w:tcBorders>
            <w:shd w:val="clear" w:color="auto" w:fill="auto"/>
            <w:vAlign w:val="center"/>
          </w:tcPr>
          <w:p w14:paraId="70A6819E" w14:textId="7AAD6A9C" w:rsidR="00C63117" w:rsidRPr="00976DE1" w:rsidRDefault="00C63117" w:rsidP="00C63117">
            <w:pPr>
              <w:spacing w:before="240" w:after="240"/>
              <w:rPr>
                <w:color w:val="FF0000"/>
                <w:sz w:val="18"/>
                <w:szCs w:val="18"/>
              </w:rPr>
            </w:pPr>
            <w:r w:rsidRPr="001D7D76">
              <w:rPr>
                <w:rFonts w:ascii="Arial" w:hAnsi="Arial"/>
                <w:b/>
                <w:bCs/>
                <w:caps/>
                <w:sz w:val="32"/>
                <w:szCs w:val="24"/>
              </w:rPr>
              <w:t>Note 39 Service Concession Arrangements</w:t>
            </w:r>
            <w:r>
              <w:rPr>
                <w:rFonts w:ascii="Arial" w:hAnsi="Arial"/>
                <w:b/>
                <w:bCs/>
                <w:caps/>
                <w:sz w:val="32"/>
                <w:szCs w:val="24"/>
              </w:rPr>
              <w:t xml:space="preserve"> </w:t>
            </w:r>
            <w:r w:rsidR="000A1EDA">
              <w:rPr>
                <w:rFonts w:ascii="Arial" w:hAnsi="Arial"/>
                <w:b/>
                <w:bCs/>
                <w:caps/>
                <w:sz w:val="32"/>
                <w:szCs w:val="24"/>
              </w:rPr>
              <w:t>–</w:t>
            </w:r>
            <w:r>
              <w:rPr>
                <w:rFonts w:ascii="Arial" w:hAnsi="Arial"/>
                <w:b/>
                <w:bCs/>
                <w:caps/>
                <w:sz w:val="32"/>
                <w:szCs w:val="24"/>
              </w:rPr>
              <w:t xml:space="preserve"> Continued</w:t>
            </w:r>
            <w:r w:rsidR="000A1EDA">
              <w:rPr>
                <w:rFonts w:ascii="Arial" w:hAnsi="Arial"/>
                <w:b/>
                <w:bCs/>
                <w:caps/>
                <w:sz w:val="32"/>
                <w:szCs w:val="24"/>
              </w:rPr>
              <w:t xml:space="preserve"> </w:t>
            </w:r>
          </w:p>
        </w:tc>
      </w:tr>
      <w:tr w:rsidR="00C63117" w:rsidRPr="00677FFD" w14:paraId="5D88F5E4" w14:textId="77777777" w:rsidTr="0004564D">
        <w:trPr>
          <w:cantSplit/>
          <w:trHeight w:val="127"/>
        </w:trPr>
        <w:tc>
          <w:tcPr>
            <w:tcW w:w="1561" w:type="dxa"/>
            <w:tcBorders>
              <w:left w:val="single" w:sz="2" w:space="0" w:color="auto"/>
              <w:right w:val="single" w:sz="2" w:space="0" w:color="auto"/>
            </w:tcBorders>
            <w:vAlign w:val="bottom"/>
          </w:tcPr>
          <w:p w14:paraId="2591B245"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6170BEBB" w14:textId="08A88A3B" w:rsidR="00C63117" w:rsidRPr="00FA0C47" w:rsidRDefault="00C63117" w:rsidP="00C63117">
            <w:pPr>
              <w:rPr>
                <w:b/>
                <w:sz w:val="18"/>
                <w:szCs w:val="18"/>
              </w:rPr>
            </w:pPr>
          </w:p>
        </w:tc>
        <w:tc>
          <w:tcPr>
            <w:tcW w:w="4252" w:type="dxa"/>
            <w:gridSpan w:val="12"/>
            <w:tcBorders>
              <w:bottom w:val="single" w:sz="4" w:space="0" w:color="auto"/>
            </w:tcBorders>
            <w:shd w:val="clear" w:color="auto" w:fill="auto"/>
            <w:vAlign w:val="bottom"/>
          </w:tcPr>
          <w:p w14:paraId="07542CBE" w14:textId="502AB904" w:rsidR="00C63117" w:rsidRPr="00FA0C47" w:rsidRDefault="00C63117" w:rsidP="00C63117">
            <w:pPr>
              <w:jc w:val="center"/>
              <w:rPr>
                <w:b/>
                <w:sz w:val="18"/>
                <w:szCs w:val="18"/>
              </w:rPr>
            </w:pPr>
            <w:r w:rsidRPr="00FA0C47">
              <w:rPr>
                <w:b/>
                <w:bCs/>
                <w:sz w:val="18"/>
                <w:szCs w:val="18"/>
              </w:rPr>
              <w:t>Light Rail S</w:t>
            </w:r>
            <w:r w:rsidRPr="00FA0C47">
              <w:rPr>
                <w:b/>
                <w:sz w:val="18"/>
                <w:szCs w:val="18"/>
              </w:rPr>
              <w:t>ervice Concession Arrangement</w:t>
            </w:r>
          </w:p>
        </w:tc>
        <w:tc>
          <w:tcPr>
            <w:tcW w:w="711" w:type="dxa"/>
            <w:shd w:val="clear" w:color="auto" w:fill="auto"/>
            <w:vAlign w:val="bottom"/>
          </w:tcPr>
          <w:p w14:paraId="0CBA2E25" w14:textId="757E3F6D" w:rsidR="00C63117" w:rsidRPr="00FA0C47" w:rsidRDefault="00C63117" w:rsidP="00C63117">
            <w:pPr>
              <w:jc w:val="right"/>
              <w:rPr>
                <w:b/>
                <w:sz w:val="18"/>
                <w:szCs w:val="18"/>
              </w:rPr>
            </w:pPr>
          </w:p>
        </w:tc>
      </w:tr>
      <w:tr w:rsidR="00C63117" w:rsidRPr="00677FFD" w14:paraId="04439E12" w14:textId="77777777" w:rsidTr="0004564D">
        <w:trPr>
          <w:cantSplit/>
          <w:trHeight w:val="127"/>
        </w:trPr>
        <w:tc>
          <w:tcPr>
            <w:tcW w:w="1561" w:type="dxa"/>
            <w:tcBorders>
              <w:left w:val="single" w:sz="2" w:space="0" w:color="auto"/>
              <w:right w:val="single" w:sz="2" w:space="0" w:color="auto"/>
            </w:tcBorders>
            <w:vAlign w:val="bottom"/>
          </w:tcPr>
          <w:p w14:paraId="402D248A" w14:textId="77777777" w:rsidR="00C63117" w:rsidRPr="00FA0C47" w:rsidRDefault="00C63117" w:rsidP="00C63117">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1EDFA112" w14:textId="77777777" w:rsidR="00C63117" w:rsidRPr="00FA0C47" w:rsidRDefault="00C63117" w:rsidP="00C63117">
            <w:pPr>
              <w:jc w:val="right"/>
              <w:rPr>
                <w:rFonts w:cs="Calibri"/>
                <w:b/>
                <w:sz w:val="14"/>
                <w:szCs w:val="14"/>
              </w:rPr>
            </w:pPr>
          </w:p>
        </w:tc>
        <w:tc>
          <w:tcPr>
            <w:tcW w:w="1417" w:type="dxa"/>
            <w:gridSpan w:val="3"/>
            <w:shd w:val="clear" w:color="auto" w:fill="auto"/>
            <w:vAlign w:val="bottom"/>
          </w:tcPr>
          <w:p w14:paraId="3007F8F2" w14:textId="115F51D6" w:rsidR="00C63117" w:rsidRPr="00FA0C47" w:rsidRDefault="00C63117" w:rsidP="00C63117">
            <w:pPr>
              <w:jc w:val="right"/>
              <w:rPr>
                <w:b/>
                <w:bCs/>
                <w:sz w:val="18"/>
                <w:szCs w:val="18"/>
              </w:rPr>
            </w:pPr>
            <w:r w:rsidRPr="00FA0C47">
              <w:rPr>
                <w:rFonts w:cs="Calibri"/>
                <w:b/>
                <w:bCs/>
                <w:sz w:val="18"/>
                <w:szCs w:val="18"/>
              </w:rPr>
              <w:t>Service Concession Arrangement Building Assets</w:t>
            </w:r>
          </w:p>
        </w:tc>
        <w:tc>
          <w:tcPr>
            <w:tcW w:w="1418" w:type="dxa"/>
            <w:gridSpan w:val="3"/>
            <w:vAlign w:val="bottom"/>
          </w:tcPr>
          <w:p w14:paraId="3CE61D41" w14:textId="28D060C9" w:rsidR="00C63117" w:rsidRPr="00FA0C47" w:rsidRDefault="00C63117" w:rsidP="00C63117">
            <w:pPr>
              <w:jc w:val="right"/>
              <w:rPr>
                <w:b/>
                <w:bCs/>
                <w:sz w:val="18"/>
                <w:szCs w:val="18"/>
              </w:rPr>
            </w:pPr>
            <w:r w:rsidRPr="00FA0C47">
              <w:rPr>
                <w:rFonts w:cs="Calibri"/>
                <w:b/>
                <w:bCs/>
                <w:sz w:val="18"/>
                <w:szCs w:val="18"/>
              </w:rPr>
              <w:t>Service Concession Arrangement Plant and Equipment</w:t>
            </w:r>
          </w:p>
        </w:tc>
        <w:tc>
          <w:tcPr>
            <w:tcW w:w="1417" w:type="dxa"/>
            <w:gridSpan w:val="6"/>
            <w:vAlign w:val="bottom"/>
          </w:tcPr>
          <w:p w14:paraId="62FD0913" w14:textId="1242D41F" w:rsidR="00C63117" w:rsidRPr="00FA0C47" w:rsidRDefault="00C63117" w:rsidP="00C63117">
            <w:pPr>
              <w:jc w:val="right"/>
              <w:rPr>
                <w:b/>
                <w:bCs/>
                <w:sz w:val="18"/>
                <w:szCs w:val="18"/>
              </w:rPr>
            </w:pPr>
            <w:r w:rsidRPr="00FA0C47">
              <w:rPr>
                <w:rFonts w:cs="Calibri"/>
                <w:b/>
                <w:bCs/>
                <w:sz w:val="18"/>
                <w:szCs w:val="18"/>
              </w:rPr>
              <w:t>Service Concession Arrangement Infrastructure Assets</w:t>
            </w:r>
          </w:p>
        </w:tc>
        <w:tc>
          <w:tcPr>
            <w:tcW w:w="711" w:type="dxa"/>
            <w:shd w:val="clear" w:color="auto" w:fill="auto"/>
            <w:vAlign w:val="bottom"/>
          </w:tcPr>
          <w:p w14:paraId="2051FC2A" w14:textId="2C008AAA" w:rsidR="00C63117" w:rsidRPr="00FA0C47" w:rsidRDefault="00C63117" w:rsidP="00C63117">
            <w:pPr>
              <w:jc w:val="right"/>
              <w:rPr>
                <w:b/>
                <w:sz w:val="18"/>
                <w:szCs w:val="18"/>
              </w:rPr>
            </w:pPr>
            <w:r w:rsidRPr="00FA0C47">
              <w:rPr>
                <w:b/>
                <w:sz w:val="18"/>
                <w:szCs w:val="18"/>
              </w:rPr>
              <w:t>Total</w:t>
            </w:r>
          </w:p>
        </w:tc>
      </w:tr>
      <w:tr w:rsidR="00C63117" w:rsidRPr="00677FFD" w14:paraId="53933678" w14:textId="77777777" w:rsidTr="0004564D">
        <w:trPr>
          <w:cantSplit/>
          <w:trHeight w:val="127"/>
        </w:trPr>
        <w:tc>
          <w:tcPr>
            <w:tcW w:w="1561" w:type="dxa"/>
            <w:tcBorders>
              <w:left w:val="single" w:sz="2" w:space="0" w:color="auto"/>
              <w:right w:val="single" w:sz="2" w:space="0" w:color="auto"/>
            </w:tcBorders>
            <w:vAlign w:val="bottom"/>
          </w:tcPr>
          <w:p w14:paraId="46697757" w14:textId="77777777" w:rsidR="00C63117" w:rsidRPr="00FA0C47" w:rsidRDefault="00C63117" w:rsidP="00C63117">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571425B6" w14:textId="77777777" w:rsidR="00C63117" w:rsidRPr="00FA0C47" w:rsidRDefault="00C63117" w:rsidP="00C63117">
            <w:pPr>
              <w:jc w:val="right"/>
              <w:rPr>
                <w:rFonts w:cs="Calibri"/>
                <w:b/>
                <w:sz w:val="14"/>
                <w:szCs w:val="14"/>
              </w:rPr>
            </w:pPr>
          </w:p>
        </w:tc>
        <w:tc>
          <w:tcPr>
            <w:tcW w:w="1417" w:type="dxa"/>
            <w:gridSpan w:val="3"/>
            <w:shd w:val="clear" w:color="auto" w:fill="auto"/>
            <w:vAlign w:val="bottom"/>
          </w:tcPr>
          <w:p w14:paraId="3AF7A08B" w14:textId="4A372C82" w:rsidR="00C63117" w:rsidRPr="00FA0C47" w:rsidRDefault="00C63117" w:rsidP="00C63117">
            <w:pPr>
              <w:jc w:val="right"/>
              <w:rPr>
                <w:rFonts w:cs="Calibri"/>
                <w:sz w:val="18"/>
                <w:szCs w:val="18"/>
              </w:rPr>
            </w:pPr>
            <w:r w:rsidRPr="00FA0C47">
              <w:rPr>
                <w:b/>
                <w:sz w:val="18"/>
                <w:szCs w:val="18"/>
              </w:rPr>
              <w:t>$’000</w:t>
            </w:r>
          </w:p>
        </w:tc>
        <w:tc>
          <w:tcPr>
            <w:tcW w:w="1418" w:type="dxa"/>
            <w:gridSpan w:val="3"/>
            <w:vAlign w:val="bottom"/>
          </w:tcPr>
          <w:p w14:paraId="48D6BDC7" w14:textId="41B35C74" w:rsidR="00C63117" w:rsidRPr="00FA0C47" w:rsidRDefault="00C63117" w:rsidP="00C63117">
            <w:pPr>
              <w:jc w:val="right"/>
              <w:rPr>
                <w:rFonts w:cs="Calibri"/>
                <w:sz w:val="18"/>
                <w:szCs w:val="18"/>
              </w:rPr>
            </w:pPr>
            <w:r w:rsidRPr="00FA0C47">
              <w:rPr>
                <w:b/>
                <w:sz w:val="18"/>
                <w:szCs w:val="18"/>
              </w:rPr>
              <w:t>$’000</w:t>
            </w:r>
          </w:p>
        </w:tc>
        <w:tc>
          <w:tcPr>
            <w:tcW w:w="1417" w:type="dxa"/>
            <w:gridSpan w:val="6"/>
            <w:vAlign w:val="bottom"/>
          </w:tcPr>
          <w:p w14:paraId="713B477E" w14:textId="18EEB731" w:rsidR="00C63117" w:rsidRPr="00FA0C47" w:rsidRDefault="00C63117" w:rsidP="00C63117">
            <w:pPr>
              <w:jc w:val="right"/>
              <w:rPr>
                <w:rFonts w:cs="Calibri"/>
                <w:sz w:val="18"/>
                <w:szCs w:val="18"/>
              </w:rPr>
            </w:pPr>
            <w:r w:rsidRPr="00FA0C47">
              <w:rPr>
                <w:b/>
                <w:sz w:val="18"/>
                <w:szCs w:val="18"/>
              </w:rPr>
              <w:t>$’000</w:t>
            </w:r>
          </w:p>
        </w:tc>
        <w:tc>
          <w:tcPr>
            <w:tcW w:w="711" w:type="dxa"/>
            <w:shd w:val="clear" w:color="auto" w:fill="auto"/>
            <w:vAlign w:val="bottom"/>
          </w:tcPr>
          <w:p w14:paraId="0A32A290" w14:textId="18F69F9B" w:rsidR="00C63117" w:rsidRPr="00FA0C47" w:rsidRDefault="00C63117" w:rsidP="00C63117">
            <w:pPr>
              <w:jc w:val="right"/>
              <w:rPr>
                <w:b/>
                <w:sz w:val="18"/>
                <w:szCs w:val="18"/>
              </w:rPr>
            </w:pPr>
            <w:r w:rsidRPr="00FA0C47">
              <w:rPr>
                <w:b/>
                <w:sz w:val="18"/>
                <w:szCs w:val="18"/>
              </w:rPr>
              <w:t>$’000</w:t>
            </w:r>
          </w:p>
        </w:tc>
      </w:tr>
      <w:tr w:rsidR="00C63117" w:rsidRPr="00677FFD" w14:paraId="7204BC6E" w14:textId="77777777" w:rsidTr="0004564D">
        <w:trPr>
          <w:cantSplit/>
          <w:trHeight w:val="127"/>
        </w:trPr>
        <w:tc>
          <w:tcPr>
            <w:tcW w:w="1561" w:type="dxa"/>
            <w:tcBorders>
              <w:left w:val="single" w:sz="2" w:space="0" w:color="auto"/>
              <w:right w:val="single" w:sz="2" w:space="0" w:color="auto"/>
            </w:tcBorders>
            <w:vAlign w:val="bottom"/>
          </w:tcPr>
          <w:p w14:paraId="62D5E2AE" w14:textId="74571A1D"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1059.28 &amp; 29</w:t>
            </w:r>
          </w:p>
        </w:tc>
        <w:tc>
          <w:tcPr>
            <w:tcW w:w="3968" w:type="dxa"/>
            <w:tcBorders>
              <w:left w:val="single" w:sz="2" w:space="0" w:color="auto"/>
            </w:tcBorders>
            <w:shd w:val="clear" w:color="auto" w:fill="auto"/>
            <w:vAlign w:val="bottom"/>
          </w:tcPr>
          <w:p w14:paraId="42660866" w14:textId="0BCFE793" w:rsidR="00C63117" w:rsidRPr="00FA0C47" w:rsidRDefault="00C63117" w:rsidP="00C63117">
            <w:pPr>
              <w:rPr>
                <w:rFonts w:cs="Calibri"/>
                <w:b/>
                <w:sz w:val="14"/>
                <w:szCs w:val="14"/>
              </w:rPr>
            </w:pPr>
            <w:r w:rsidRPr="00FA0C47">
              <w:rPr>
                <w:b/>
                <w:sz w:val="18"/>
                <w:szCs w:val="18"/>
              </w:rPr>
              <w:t>Service Concession Asset Reconciliation</w:t>
            </w:r>
          </w:p>
        </w:tc>
        <w:tc>
          <w:tcPr>
            <w:tcW w:w="1417" w:type="dxa"/>
            <w:gridSpan w:val="3"/>
            <w:shd w:val="clear" w:color="auto" w:fill="auto"/>
            <w:vAlign w:val="bottom"/>
          </w:tcPr>
          <w:p w14:paraId="5F5D0D11" w14:textId="77777777" w:rsidR="00C63117" w:rsidRPr="00FA0C47" w:rsidRDefault="00C63117" w:rsidP="00C63117">
            <w:pPr>
              <w:jc w:val="right"/>
              <w:rPr>
                <w:rFonts w:cs="Calibri"/>
                <w:sz w:val="12"/>
                <w:szCs w:val="12"/>
              </w:rPr>
            </w:pPr>
          </w:p>
        </w:tc>
        <w:tc>
          <w:tcPr>
            <w:tcW w:w="1418" w:type="dxa"/>
            <w:gridSpan w:val="3"/>
            <w:vAlign w:val="bottom"/>
          </w:tcPr>
          <w:p w14:paraId="0FCB211E" w14:textId="77777777" w:rsidR="00C63117" w:rsidRPr="00FA0C47" w:rsidRDefault="00C63117" w:rsidP="00C63117">
            <w:pPr>
              <w:jc w:val="right"/>
              <w:rPr>
                <w:b/>
                <w:sz w:val="18"/>
                <w:szCs w:val="18"/>
              </w:rPr>
            </w:pPr>
          </w:p>
        </w:tc>
        <w:tc>
          <w:tcPr>
            <w:tcW w:w="1417" w:type="dxa"/>
            <w:gridSpan w:val="6"/>
            <w:vAlign w:val="bottom"/>
          </w:tcPr>
          <w:p w14:paraId="7EC22A80" w14:textId="77777777" w:rsidR="00C63117" w:rsidRPr="00FA0C47" w:rsidRDefault="00C63117" w:rsidP="00C63117">
            <w:pPr>
              <w:jc w:val="right"/>
              <w:rPr>
                <w:b/>
                <w:sz w:val="18"/>
                <w:szCs w:val="18"/>
              </w:rPr>
            </w:pPr>
          </w:p>
        </w:tc>
        <w:tc>
          <w:tcPr>
            <w:tcW w:w="711" w:type="dxa"/>
            <w:shd w:val="clear" w:color="auto" w:fill="auto"/>
            <w:vAlign w:val="bottom"/>
          </w:tcPr>
          <w:p w14:paraId="79E56FF3" w14:textId="77777777" w:rsidR="00C63117" w:rsidRPr="00FA0C47" w:rsidRDefault="00C63117" w:rsidP="00C63117">
            <w:pPr>
              <w:jc w:val="right"/>
              <w:rPr>
                <w:b/>
                <w:sz w:val="18"/>
                <w:szCs w:val="18"/>
              </w:rPr>
            </w:pPr>
          </w:p>
        </w:tc>
      </w:tr>
      <w:tr w:rsidR="00C63117" w:rsidRPr="00677FFD" w14:paraId="5F292786" w14:textId="77777777" w:rsidTr="0004564D">
        <w:trPr>
          <w:cantSplit/>
          <w:trHeight w:val="127"/>
        </w:trPr>
        <w:tc>
          <w:tcPr>
            <w:tcW w:w="1561" w:type="dxa"/>
            <w:tcBorders>
              <w:left w:val="single" w:sz="2" w:space="0" w:color="auto"/>
              <w:right w:val="single" w:sz="2" w:space="0" w:color="auto"/>
            </w:tcBorders>
            <w:vAlign w:val="bottom"/>
          </w:tcPr>
          <w:p w14:paraId="58D969B1" w14:textId="77777777" w:rsidR="00C63117" w:rsidRPr="00FA0C47" w:rsidRDefault="00C63117" w:rsidP="00C63117">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27B898EC" w14:textId="593216D6" w:rsidR="00C63117" w:rsidRPr="00FA0C47" w:rsidRDefault="00C63117" w:rsidP="00C63117">
            <w:pPr>
              <w:rPr>
                <w:b/>
                <w:sz w:val="18"/>
                <w:szCs w:val="18"/>
              </w:rPr>
            </w:pPr>
          </w:p>
        </w:tc>
        <w:tc>
          <w:tcPr>
            <w:tcW w:w="1417" w:type="dxa"/>
            <w:gridSpan w:val="3"/>
            <w:shd w:val="clear" w:color="auto" w:fill="auto"/>
            <w:vAlign w:val="bottom"/>
          </w:tcPr>
          <w:p w14:paraId="6FCF659B" w14:textId="77777777" w:rsidR="00C63117" w:rsidRPr="00FA0C47" w:rsidRDefault="00C63117" w:rsidP="00C63117">
            <w:pPr>
              <w:jc w:val="right"/>
              <w:rPr>
                <w:rFonts w:cs="Calibri"/>
                <w:sz w:val="12"/>
                <w:szCs w:val="12"/>
              </w:rPr>
            </w:pPr>
          </w:p>
        </w:tc>
        <w:tc>
          <w:tcPr>
            <w:tcW w:w="1418" w:type="dxa"/>
            <w:gridSpan w:val="3"/>
            <w:vAlign w:val="bottom"/>
          </w:tcPr>
          <w:p w14:paraId="0279DD47" w14:textId="77777777" w:rsidR="00C63117" w:rsidRPr="00FA0C47" w:rsidRDefault="00C63117" w:rsidP="00C63117">
            <w:pPr>
              <w:jc w:val="right"/>
              <w:rPr>
                <w:b/>
                <w:sz w:val="18"/>
                <w:szCs w:val="18"/>
              </w:rPr>
            </w:pPr>
          </w:p>
        </w:tc>
        <w:tc>
          <w:tcPr>
            <w:tcW w:w="1417" w:type="dxa"/>
            <w:gridSpan w:val="6"/>
            <w:vAlign w:val="bottom"/>
          </w:tcPr>
          <w:p w14:paraId="182AAAE9" w14:textId="77777777" w:rsidR="00C63117" w:rsidRPr="00FA0C47" w:rsidRDefault="00C63117" w:rsidP="00C63117">
            <w:pPr>
              <w:jc w:val="right"/>
              <w:rPr>
                <w:b/>
                <w:sz w:val="18"/>
                <w:szCs w:val="18"/>
              </w:rPr>
            </w:pPr>
          </w:p>
        </w:tc>
        <w:tc>
          <w:tcPr>
            <w:tcW w:w="711" w:type="dxa"/>
            <w:shd w:val="clear" w:color="auto" w:fill="auto"/>
            <w:vAlign w:val="bottom"/>
          </w:tcPr>
          <w:p w14:paraId="37EB7661" w14:textId="77777777" w:rsidR="00C63117" w:rsidRPr="00FA0C47" w:rsidRDefault="00C63117" w:rsidP="00C63117">
            <w:pPr>
              <w:jc w:val="right"/>
              <w:rPr>
                <w:b/>
                <w:sz w:val="18"/>
                <w:szCs w:val="18"/>
              </w:rPr>
            </w:pPr>
          </w:p>
        </w:tc>
      </w:tr>
      <w:tr w:rsidR="00C63117" w:rsidRPr="00677FFD" w14:paraId="5DD4D6CB" w14:textId="77777777" w:rsidTr="0004564D">
        <w:trPr>
          <w:cantSplit/>
          <w:trHeight w:val="127"/>
        </w:trPr>
        <w:tc>
          <w:tcPr>
            <w:tcW w:w="1561" w:type="dxa"/>
            <w:tcBorders>
              <w:left w:val="single" w:sz="2" w:space="0" w:color="auto"/>
              <w:right w:val="single" w:sz="2" w:space="0" w:color="auto"/>
            </w:tcBorders>
            <w:vAlign w:val="bottom"/>
          </w:tcPr>
          <w:p w14:paraId="5536704E" w14:textId="77777777" w:rsidR="00C63117" w:rsidRPr="00FA0C47" w:rsidRDefault="00C63117" w:rsidP="00C63117">
            <w:pPr>
              <w:pStyle w:val="TableReference"/>
              <w:tabs>
                <w:tab w:val="left" w:pos="3306"/>
              </w:tabs>
              <w:jc w:val="right"/>
              <w:rPr>
                <w:rFonts w:cs="Calibri"/>
                <w:color w:val="7030A0"/>
                <w:sz w:val="14"/>
              </w:rPr>
            </w:pPr>
          </w:p>
        </w:tc>
        <w:tc>
          <w:tcPr>
            <w:tcW w:w="3968" w:type="dxa"/>
            <w:tcBorders>
              <w:left w:val="single" w:sz="2" w:space="0" w:color="auto"/>
            </w:tcBorders>
            <w:shd w:val="clear" w:color="auto" w:fill="auto"/>
            <w:vAlign w:val="bottom"/>
          </w:tcPr>
          <w:p w14:paraId="247F48B7" w14:textId="71A2ECF3" w:rsidR="00C63117" w:rsidRPr="00FA0C47" w:rsidRDefault="00C63117" w:rsidP="00C63117">
            <w:pPr>
              <w:rPr>
                <w:b/>
                <w:sz w:val="18"/>
                <w:szCs w:val="18"/>
              </w:rPr>
            </w:pPr>
            <w:r w:rsidRPr="00FA0C47">
              <w:rPr>
                <w:b/>
                <w:sz w:val="18"/>
                <w:szCs w:val="18"/>
              </w:rPr>
              <w:t>2022</w:t>
            </w:r>
          </w:p>
        </w:tc>
        <w:tc>
          <w:tcPr>
            <w:tcW w:w="1417" w:type="dxa"/>
            <w:gridSpan w:val="3"/>
            <w:shd w:val="clear" w:color="auto" w:fill="auto"/>
            <w:vAlign w:val="bottom"/>
          </w:tcPr>
          <w:p w14:paraId="42155FEF" w14:textId="77777777" w:rsidR="00C63117" w:rsidRPr="00FA0C47" w:rsidRDefault="00C63117" w:rsidP="00C63117">
            <w:pPr>
              <w:jc w:val="right"/>
              <w:rPr>
                <w:rFonts w:cs="Calibri"/>
                <w:sz w:val="12"/>
                <w:szCs w:val="12"/>
              </w:rPr>
            </w:pPr>
          </w:p>
        </w:tc>
        <w:tc>
          <w:tcPr>
            <w:tcW w:w="1418" w:type="dxa"/>
            <w:gridSpan w:val="3"/>
            <w:vAlign w:val="bottom"/>
          </w:tcPr>
          <w:p w14:paraId="490E2A4B" w14:textId="77777777" w:rsidR="00C63117" w:rsidRPr="00FA0C47" w:rsidRDefault="00C63117" w:rsidP="00C63117">
            <w:pPr>
              <w:jc w:val="right"/>
              <w:rPr>
                <w:b/>
                <w:sz w:val="18"/>
                <w:szCs w:val="18"/>
              </w:rPr>
            </w:pPr>
          </w:p>
        </w:tc>
        <w:tc>
          <w:tcPr>
            <w:tcW w:w="1417" w:type="dxa"/>
            <w:gridSpan w:val="6"/>
            <w:vAlign w:val="bottom"/>
          </w:tcPr>
          <w:p w14:paraId="3F794A40" w14:textId="77777777" w:rsidR="00C63117" w:rsidRPr="00FA0C47" w:rsidRDefault="00C63117" w:rsidP="00C63117">
            <w:pPr>
              <w:jc w:val="right"/>
              <w:rPr>
                <w:b/>
                <w:sz w:val="18"/>
                <w:szCs w:val="18"/>
              </w:rPr>
            </w:pPr>
          </w:p>
        </w:tc>
        <w:tc>
          <w:tcPr>
            <w:tcW w:w="711" w:type="dxa"/>
            <w:shd w:val="clear" w:color="auto" w:fill="auto"/>
            <w:vAlign w:val="bottom"/>
          </w:tcPr>
          <w:p w14:paraId="2B224C46" w14:textId="77777777" w:rsidR="00C63117" w:rsidRPr="00FA0C47" w:rsidRDefault="00C63117" w:rsidP="00C63117">
            <w:pPr>
              <w:jc w:val="right"/>
              <w:rPr>
                <w:b/>
                <w:sz w:val="18"/>
                <w:szCs w:val="18"/>
              </w:rPr>
            </w:pPr>
          </w:p>
        </w:tc>
      </w:tr>
      <w:tr w:rsidR="00C63117" w:rsidRPr="00677FFD" w14:paraId="6C9FB96E" w14:textId="77777777" w:rsidTr="0004564D">
        <w:trPr>
          <w:cantSplit/>
          <w:trHeight w:val="127"/>
        </w:trPr>
        <w:tc>
          <w:tcPr>
            <w:tcW w:w="1561" w:type="dxa"/>
            <w:tcBorders>
              <w:left w:val="single" w:sz="2" w:space="0" w:color="auto"/>
              <w:right w:val="single" w:sz="2" w:space="0" w:color="auto"/>
            </w:tcBorders>
          </w:tcPr>
          <w:p w14:paraId="4DB1F507" w14:textId="748CC01A"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tcPr>
          <w:p w14:paraId="3F11F039" w14:textId="1A02C41A" w:rsidR="00C63117" w:rsidRPr="00FA0C47" w:rsidRDefault="00C63117" w:rsidP="00C63117">
            <w:pPr>
              <w:spacing w:after="40"/>
              <w:rPr>
                <w:rFonts w:cs="Calibri"/>
                <w:b/>
                <w:sz w:val="18"/>
                <w:szCs w:val="18"/>
              </w:rPr>
            </w:pPr>
            <w:r w:rsidRPr="00FA0C47">
              <w:rPr>
                <w:rFonts w:cs="Calibri"/>
                <w:b/>
                <w:sz w:val="18"/>
                <w:szCs w:val="18"/>
              </w:rPr>
              <w:t>Carrying Amount at the Beginning of the Reporting Period</w:t>
            </w:r>
          </w:p>
        </w:tc>
        <w:tc>
          <w:tcPr>
            <w:tcW w:w="1417" w:type="dxa"/>
            <w:gridSpan w:val="3"/>
            <w:shd w:val="clear" w:color="auto" w:fill="auto"/>
          </w:tcPr>
          <w:p w14:paraId="2E399D04" w14:textId="77777777" w:rsidR="00C63117" w:rsidRPr="00FA0C47" w:rsidRDefault="00C63117" w:rsidP="00C63117">
            <w:pPr>
              <w:rPr>
                <w:rFonts w:cs="Calibri"/>
                <w:sz w:val="12"/>
                <w:szCs w:val="12"/>
              </w:rPr>
            </w:pPr>
          </w:p>
        </w:tc>
        <w:tc>
          <w:tcPr>
            <w:tcW w:w="1418" w:type="dxa"/>
            <w:gridSpan w:val="3"/>
          </w:tcPr>
          <w:p w14:paraId="734961EA" w14:textId="77777777" w:rsidR="00C63117" w:rsidRPr="00FA0C47" w:rsidRDefault="00C63117" w:rsidP="00C63117">
            <w:pPr>
              <w:rPr>
                <w:b/>
                <w:sz w:val="18"/>
                <w:szCs w:val="18"/>
              </w:rPr>
            </w:pPr>
          </w:p>
        </w:tc>
        <w:tc>
          <w:tcPr>
            <w:tcW w:w="1417" w:type="dxa"/>
            <w:gridSpan w:val="6"/>
          </w:tcPr>
          <w:p w14:paraId="613E4870" w14:textId="77777777" w:rsidR="00C63117" w:rsidRPr="00FA0C47" w:rsidRDefault="00C63117" w:rsidP="00C63117">
            <w:pPr>
              <w:rPr>
                <w:b/>
                <w:sz w:val="18"/>
                <w:szCs w:val="18"/>
              </w:rPr>
            </w:pPr>
          </w:p>
        </w:tc>
        <w:tc>
          <w:tcPr>
            <w:tcW w:w="711" w:type="dxa"/>
            <w:shd w:val="clear" w:color="auto" w:fill="auto"/>
          </w:tcPr>
          <w:p w14:paraId="2D6DE966" w14:textId="77777777" w:rsidR="00C63117" w:rsidRPr="00FA0C47" w:rsidRDefault="00C63117" w:rsidP="00C63117">
            <w:pPr>
              <w:rPr>
                <w:b/>
                <w:sz w:val="18"/>
                <w:szCs w:val="18"/>
              </w:rPr>
            </w:pPr>
          </w:p>
        </w:tc>
      </w:tr>
      <w:tr w:rsidR="00C63117" w:rsidRPr="00677FFD" w14:paraId="3C387AAF" w14:textId="77777777" w:rsidTr="0004564D">
        <w:trPr>
          <w:cantSplit/>
          <w:trHeight w:val="127"/>
        </w:trPr>
        <w:tc>
          <w:tcPr>
            <w:tcW w:w="1561" w:type="dxa"/>
            <w:tcBorders>
              <w:left w:val="single" w:sz="2" w:space="0" w:color="auto"/>
              <w:right w:val="single" w:sz="2" w:space="0" w:color="auto"/>
            </w:tcBorders>
            <w:vAlign w:val="center"/>
          </w:tcPr>
          <w:p w14:paraId="7C7DA569"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 xml:space="preserve">AASB 116.73(e)(i) </w:t>
            </w:r>
          </w:p>
          <w:p w14:paraId="5187EF41" w14:textId="62B95EFB"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16.53(h)</w:t>
            </w:r>
          </w:p>
        </w:tc>
        <w:tc>
          <w:tcPr>
            <w:tcW w:w="3968" w:type="dxa"/>
            <w:tcBorders>
              <w:left w:val="single" w:sz="2" w:space="0" w:color="auto"/>
            </w:tcBorders>
            <w:shd w:val="clear" w:color="auto" w:fill="auto"/>
            <w:vAlign w:val="center"/>
          </w:tcPr>
          <w:p w14:paraId="66F262BC" w14:textId="142D6082" w:rsidR="00C63117" w:rsidRPr="00FA0C47" w:rsidRDefault="00C63117" w:rsidP="00C63117">
            <w:pPr>
              <w:spacing w:after="40"/>
              <w:rPr>
                <w:rFonts w:cs="Calibri"/>
                <w:b/>
                <w:sz w:val="18"/>
                <w:szCs w:val="18"/>
              </w:rPr>
            </w:pPr>
            <w:r w:rsidRPr="00FA0C47">
              <w:rPr>
                <w:rFonts w:cs="Calibri"/>
                <w:sz w:val="18"/>
                <w:szCs w:val="18"/>
              </w:rPr>
              <w:t>Additions</w:t>
            </w:r>
          </w:p>
        </w:tc>
        <w:tc>
          <w:tcPr>
            <w:tcW w:w="1417" w:type="dxa"/>
            <w:gridSpan w:val="3"/>
            <w:shd w:val="clear" w:color="auto" w:fill="auto"/>
            <w:vAlign w:val="center"/>
          </w:tcPr>
          <w:p w14:paraId="7BC2A321" w14:textId="77777777" w:rsidR="00C63117" w:rsidRPr="00FA0C47" w:rsidRDefault="00C63117" w:rsidP="00C63117">
            <w:pPr>
              <w:rPr>
                <w:rFonts w:cs="Calibri"/>
                <w:sz w:val="12"/>
                <w:szCs w:val="12"/>
              </w:rPr>
            </w:pPr>
          </w:p>
        </w:tc>
        <w:tc>
          <w:tcPr>
            <w:tcW w:w="1418" w:type="dxa"/>
            <w:gridSpan w:val="3"/>
            <w:vAlign w:val="center"/>
          </w:tcPr>
          <w:p w14:paraId="74F92B36" w14:textId="77777777" w:rsidR="00C63117" w:rsidRPr="00FA0C47" w:rsidRDefault="00C63117" w:rsidP="00C63117">
            <w:pPr>
              <w:rPr>
                <w:b/>
                <w:sz w:val="18"/>
                <w:szCs w:val="18"/>
              </w:rPr>
            </w:pPr>
          </w:p>
        </w:tc>
        <w:tc>
          <w:tcPr>
            <w:tcW w:w="1417" w:type="dxa"/>
            <w:gridSpan w:val="6"/>
            <w:vAlign w:val="center"/>
          </w:tcPr>
          <w:p w14:paraId="15FBAB22" w14:textId="77777777" w:rsidR="00C63117" w:rsidRPr="00FA0C47" w:rsidRDefault="00C63117" w:rsidP="00C63117">
            <w:pPr>
              <w:rPr>
                <w:b/>
                <w:sz w:val="18"/>
                <w:szCs w:val="18"/>
              </w:rPr>
            </w:pPr>
          </w:p>
        </w:tc>
        <w:tc>
          <w:tcPr>
            <w:tcW w:w="711" w:type="dxa"/>
            <w:shd w:val="clear" w:color="auto" w:fill="auto"/>
            <w:vAlign w:val="center"/>
          </w:tcPr>
          <w:p w14:paraId="72E0FC35" w14:textId="77777777" w:rsidR="00C63117" w:rsidRPr="00FA0C47" w:rsidRDefault="00C63117" w:rsidP="00C63117">
            <w:pPr>
              <w:rPr>
                <w:b/>
                <w:sz w:val="18"/>
                <w:szCs w:val="18"/>
              </w:rPr>
            </w:pPr>
          </w:p>
        </w:tc>
      </w:tr>
      <w:tr w:rsidR="00C63117" w:rsidRPr="00677FFD" w14:paraId="45DC8FC5" w14:textId="77777777" w:rsidTr="0004564D">
        <w:trPr>
          <w:cantSplit/>
          <w:trHeight w:val="127"/>
        </w:trPr>
        <w:tc>
          <w:tcPr>
            <w:tcW w:w="1561" w:type="dxa"/>
            <w:tcBorders>
              <w:left w:val="single" w:sz="2" w:space="0" w:color="auto"/>
              <w:right w:val="single" w:sz="2" w:space="0" w:color="auto"/>
            </w:tcBorders>
          </w:tcPr>
          <w:p w14:paraId="13E360B8"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116.73(e)(iv)</w:t>
            </w:r>
          </w:p>
          <w:p w14:paraId="1281E001" w14:textId="15022C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16.57</w:t>
            </w:r>
          </w:p>
        </w:tc>
        <w:tc>
          <w:tcPr>
            <w:tcW w:w="3968" w:type="dxa"/>
            <w:tcBorders>
              <w:left w:val="single" w:sz="2" w:space="0" w:color="auto"/>
            </w:tcBorders>
            <w:shd w:val="clear" w:color="auto" w:fill="auto"/>
            <w:vAlign w:val="center"/>
          </w:tcPr>
          <w:p w14:paraId="1B7B53B1" w14:textId="577A06C4" w:rsidR="00C63117" w:rsidRPr="00FA0C47" w:rsidRDefault="00C63117" w:rsidP="00C63117">
            <w:pPr>
              <w:spacing w:after="40"/>
              <w:rPr>
                <w:rFonts w:cs="Calibri"/>
                <w:b/>
                <w:sz w:val="18"/>
                <w:szCs w:val="18"/>
              </w:rPr>
            </w:pPr>
            <w:r w:rsidRPr="00FA0C47">
              <w:rPr>
                <w:rFonts w:cs="Calibri"/>
                <w:sz w:val="18"/>
                <w:szCs w:val="18"/>
              </w:rPr>
              <w:t>Revaluation Increment/(Decrement)</w:t>
            </w:r>
          </w:p>
        </w:tc>
        <w:tc>
          <w:tcPr>
            <w:tcW w:w="1417" w:type="dxa"/>
            <w:gridSpan w:val="3"/>
            <w:shd w:val="clear" w:color="auto" w:fill="auto"/>
            <w:vAlign w:val="center"/>
          </w:tcPr>
          <w:p w14:paraId="65467228" w14:textId="77777777" w:rsidR="00C63117" w:rsidRPr="00FA0C47" w:rsidRDefault="00C63117" w:rsidP="00C63117">
            <w:pPr>
              <w:rPr>
                <w:rFonts w:cs="Calibri"/>
                <w:sz w:val="12"/>
                <w:szCs w:val="12"/>
              </w:rPr>
            </w:pPr>
          </w:p>
        </w:tc>
        <w:tc>
          <w:tcPr>
            <w:tcW w:w="1418" w:type="dxa"/>
            <w:gridSpan w:val="3"/>
            <w:vAlign w:val="center"/>
          </w:tcPr>
          <w:p w14:paraId="5A9665F6" w14:textId="77777777" w:rsidR="00C63117" w:rsidRPr="00FA0C47" w:rsidRDefault="00C63117" w:rsidP="00C63117">
            <w:pPr>
              <w:rPr>
                <w:b/>
                <w:sz w:val="18"/>
                <w:szCs w:val="18"/>
              </w:rPr>
            </w:pPr>
          </w:p>
        </w:tc>
        <w:tc>
          <w:tcPr>
            <w:tcW w:w="1417" w:type="dxa"/>
            <w:gridSpan w:val="6"/>
            <w:vAlign w:val="center"/>
          </w:tcPr>
          <w:p w14:paraId="56D26AC1" w14:textId="77777777" w:rsidR="00C63117" w:rsidRPr="00FA0C47" w:rsidRDefault="00C63117" w:rsidP="00C63117">
            <w:pPr>
              <w:rPr>
                <w:b/>
                <w:sz w:val="18"/>
                <w:szCs w:val="18"/>
              </w:rPr>
            </w:pPr>
          </w:p>
        </w:tc>
        <w:tc>
          <w:tcPr>
            <w:tcW w:w="711" w:type="dxa"/>
            <w:shd w:val="clear" w:color="auto" w:fill="auto"/>
            <w:vAlign w:val="center"/>
          </w:tcPr>
          <w:p w14:paraId="61564687" w14:textId="77777777" w:rsidR="00C63117" w:rsidRPr="00FA0C47" w:rsidRDefault="00C63117" w:rsidP="00C63117">
            <w:pPr>
              <w:rPr>
                <w:b/>
                <w:sz w:val="18"/>
                <w:szCs w:val="18"/>
              </w:rPr>
            </w:pPr>
          </w:p>
        </w:tc>
      </w:tr>
      <w:tr w:rsidR="00C63117" w:rsidRPr="00677FFD" w14:paraId="465DE9EC" w14:textId="77777777" w:rsidTr="0004564D">
        <w:trPr>
          <w:cantSplit/>
          <w:trHeight w:val="127"/>
        </w:trPr>
        <w:tc>
          <w:tcPr>
            <w:tcW w:w="1561" w:type="dxa"/>
            <w:tcBorders>
              <w:left w:val="single" w:sz="2" w:space="0" w:color="auto"/>
              <w:right w:val="single" w:sz="2" w:space="0" w:color="auto"/>
            </w:tcBorders>
          </w:tcPr>
          <w:p w14:paraId="25702B88"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116.73(e)(iv)</w:t>
            </w:r>
          </w:p>
          <w:p w14:paraId="7DB7A0AE"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tcPr>
          <w:p w14:paraId="089C2029" w14:textId="15F43689" w:rsidR="00C63117" w:rsidRPr="00FA0C47" w:rsidRDefault="00C63117" w:rsidP="00C63117">
            <w:pPr>
              <w:spacing w:after="40"/>
              <w:rPr>
                <w:rFonts w:cs="Calibri"/>
                <w:b/>
                <w:sz w:val="18"/>
                <w:szCs w:val="18"/>
              </w:rPr>
            </w:pPr>
            <w:r w:rsidRPr="00FA0C47">
              <w:rPr>
                <w:rFonts w:cs="Calibri"/>
                <w:sz w:val="18"/>
                <w:szCs w:val="18"/>
              </w:rPr>
              <w:t>Impairment Losses Recognised in Other Comprehensive Income</w:t>
            </w:r>
          </w:p>
        </w:tc>
        <w:tc>
          <w:tcPr>
            <w:tcW w:w="1417" w:type="dxa"/>
            <w:gridSpan w:val="3"/>
            <w:shd w:val="clear" w:color="auto" w:fill="auto"/>
          </w:tcPr>
          <w:p w14:paraId="688A7C90" w14:textId="77777777" w:rsidR="00C63117" w:rsidRPr="00FA0C47" w:rsidRDefault="00C63117" w:rsidP="00C63117">
            <w:pPr>
              <w:rPr>
                <w:rFonts w:cs="Calibri"/>
                <w:sz w:val="12"/>
                <w:szCs w:val="12"/>
              </w:rPr>
            </w:pPr>
          </w:p>
        </w:tc>
        <w:tc>
          <w:tcPr>
            <w:tcW w:w="1418" w:type="dxa"/>
            <w:gridSpan w:val="3"/>
          </w:tcPr>
          <w:p w14:paraId="23D99EF1" w14:textId="77777777" w:rsidR="00C63117" w:rsidRPr="00FA0C47" w:rsidRDefault="00C63117" w:rsidP="00C63117">
            <w:pPr>
              <w:rPr>
                <w:b/>
                <w:sz w:val="18"/>
                <w:szCs w:val="18"/>
              </w:rPr>
            </w:pPr>
          </w:p>
        </w:tc>
        <w:tc>
          <w:tcPr>
            <w:tcW w:w="1417" w:type="dxa"/>
            <w:gridSpan w:val="6"/>
          </w:tcPr>
          <w:p w14:paraId="6EB35C57" w14:textId="77777777" w:rsidR="00C63117" w:rsidRPr="00FA0C47" w:rsidRDefault="00C63117" w:rsidP="00C63117">
            <w:pPr>
              <w:rPr>
                <w:b/>
                <w:sz w:val="18"/>
                <w:szCs w:val="18"/>
              </w:rPr>
            </w:pPr>
          </w:p>
        </w:tc>
        <w:tc>
          <w:tcPr>
            <w:tcW w:w="711" w:type="dxa"/>
            <w:shd w:val="clear" w:color="auto" w:fill="auto"/>
          </w:tcPr>
          <w:p w14:paraId="71EA58CF" w14:textId="77777777" w:rsidR="00C63117" w:rsidRPr="00FA0C47" w:rsidRDefault="00C63117" w:rsidP="00C63117">
            <w:pPr>
              <w:rPr>
                <w:b/>
                <w:sz w:val="18"/>
                <w:szCs w:val="18"/>
              </w:rPr>
            </w:pPr>
          </w:p>
        </w:tc>
      </w:tr>
      <w:tr w:rsidR="00C63117" w:rsidRPr="00677FFD" w14:paraId="2302916F" w14:textId="77777777" w:rsidTr="0004564D">
        <w:trPr>
          <w:cantSplit/>
          <w:trHeight w:val="127"/>
        </w:trPr>
        <w:tc>
          <w:tcPr>
            <w:tcW w:w="1561" w:type="dxa"/>
            <w:tcBorders>
              <w:left w:val="single" w:sz="2" w:space="0" w:color="auto"/>
              <w:right w:val="single" w:sz="2" w:space="0" w:color="auto"/>
            </w:tcBorders>
            <w:vAlign w:val="center"/>
          </w:tcPr>
          <w:p w14:paraId="77D978FC"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116.73(e)(vii)</w:t>
            </w:r>
          </w:p>
          <w:p w14:paraId="2526DD67" w14:textId="6D0361BE"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16.53(a)</w:t>
            </w:r>
          </w:p>
        </w:tc>
        <w:tc>
          <w:tcPr>
            <w:tcW w:w="3968" w:type="dxa"/>
            <w:tcBorders>
              <w:left w:val="single" w:sz="2" w:space="0" w:color="auto"/>
            </w:tcBorders>
            <w:shd w:val="clear" w:color="auto" w:fill="auto"/>
            <w:vAlign w:val="center"/>
          </w:tcPr>
          <w:p w14:paraId="5F088B96" w14:textId="7F6050F3" w:rsidR="00C63117" w:rsidRPr="00FA0C47" w:rsidRDefault="00C63117" w:rsidP="00C63117">
            <w:pPr>
              <w:spacing w:after="40"/>
              <w:rPr>
                <w:rFonts w:cs="Calibri"/>
                <w:b/>
                <w:sz w:val="18"/>
                <w:szCs w:val="18"/>
              </w:rPr>
            </w:pPr>
            <w:r w:rsidRPr="00FA0C47">
              <w:rPr>
                <w:rFonts w:cs="Calibri"/>
                <w:sz w:val="18"/>
                <w:szCs w:val="18"/>
              </w:rPr>
              <w:t>Depreciation</w:t>
            </w:r>
          </w:p>
        </w:tc>
        <w:tc>
          <w:tcPr>
            <w:tcW w:w="1417" w:type="dxa"/>
            <w:gridSpan w:val="3"/>
            <w:shd w:val="clear" w:color="auto" w:fill="auto"/>
            <w:vAlign w:val="center"/>
          </w:tcPr>
          <w:p w14:paraId="65DFEB28" w14:textId="77777777" w:rsidR="00C63117" w:rsidRPr="00FA0C47" w:rsidRDefault="00C63117" w:rsidP="00C63117">
            <w:pPr>
              <w:rPr>
                <w:rFonts w:cs="Calibri"/>
                <w:sz w:val="12"/>
                <w:szCs w:val="12"/>
              </w:rPr>
            </w:pPr>
          </w:p>
        </w:tc>
        <w:tc>
          <w:tcPr>
            <w:tcW w:w="1418" w:type="dxa"/>
            <w:gridSpan w:val="3"/>
            <w:vAlign w:val="center"/>
          </w:tcPr>
          <w:p w14:paraId="5A4D4C6D" w14:textId="77777777" w:rsidR="00C63117" w:rsidRPr="00FA0C47" w:rsidRDefault="00C63117" w:rsidP="00C63117">
            <w:pPr>
              <w:rPr>
                <w:b/>
                <w:sz w:val="18"/>
                <w:szCs w:val="18"/>
              </w:rPr>
            </w:pPr>
          </w:p>
        </w:tc>
        <w:tc>
          <w:tcPr>
            <w:tcW w:w="1417" w:type="dxa"/>
            <w:gridSpan w:val="6"/>
            <w:vAlign w:val="center"/>
          </w:tcPr>
          <w:p w14:paraId="6279C4D7" w14:textId="77777777" w:rsidR="00C63117" w:rsidRPr="00FA0C47" w:rsidRDefault="00C63117" w:rsidP="00C63117">
            <w:pPr>
              <w:rPr>
                <w:b/>
                <w:sz w:val="18"/>
                <w:szCs w:val="18"/>
              </w:rPr>
            </w:pPr>
          </w:p>
        </w:tc>
        <w:tc>
          <w:tcPr>
            <w:tcW w:w="711" w:type="dxa"/>
            <w:shd w:val="clear" w:color="auto" w:fill="auto"/>
            <w:vAlign w:val="center"/>
          </w:tcPr>
          <w:p w14:paraId="748164BD" w14:textId="77777777" w:rsidR="00C63117" w:rsidRPr="00FA0C47" w:rsidRDefault="00C63117" w:rsidP="00C63117">
            <w:pPr>
              <w:rPr>
                <w:b/>
                <w:sz w:val="18"/>
                <w:szCs w:val="18"/>
              </w:rPr>
            </w:pPr>
          </w:p>
        </w:tc>
      </w:tr>
      <w:tr w:rsidR="00C63117" w:rsidRPr="00677FFD" w14:paraId="5A879DFB" w14:textId="77777777" w:rsidTr="0004564D">
        <w:trPr>
          <w:cantSplit/>
          <w:trHeight w:val="127"/>
        </w:trPr>
        <w:tc>
          <w:tcPr>
            <w:tcW w:w="1561" w:type="dxa"/>
            <w:tcBorders>
              <w:left w:val="single" w:sz="2" w:space="0" w:color="auto"/>
              <w:right w:val="single" w:sz="2" w:space="0" w:color="auto"/>
            </w:tcBorders>
          </w:tcPr>
          <w:p w14:paraId="3AA3C03F" w14:textId="6D6F855E"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3712FDEA" w14:textId="7999184B" w:rsidR="00C63117" w:rsidRPr="00FA0C47" w:rsidRDefault="00C63117" w:rsidP="00C63117">
            <w:pPr>
              <w:spacing w:after="40"/>
              <w:rPr>
                <w:rFonts w:cs="Calibri"/>
                <w:b/>
                <w:sz w:val="18"/>
                <w:szCs w:val="18"/>
              </w:rPr>
            </w:pPr>
            <w:r w:rsidRPr="00FA0C47">
              <w:rPr>
                <w:rFonts w:cs="Calibri"/>
                <w:sz w:val="18"/>
                <w:szCs w:val="18"/>
              </w:rPr>
              <w:t>Acquisition/(Disposal) through Administrative Restructuring</w:t>
            </w:r>
          </w:p>
        </w:tc>
        <w:tc>
          <w:tcPr>
            <w:tcW w:w="1417" w:type="dxa"/>
            <w:gridSpan w:val="3"/>
            <w:shd w:val="clear" w:color="auto" w:fill="auto"/>
          </w:tcPr>
          <w:p w14:paraId="6EA3C95B" w14:textId="77777777" w:rsidR="00C63117" w:rsidRPr="00FA0C47" w:rsidRDefault="00C63117" w:rsidP="00C63117">
            <w:pPr>
              <w:rPr>
                <w:rFonts w:cs="Calibri"/>
                <w:sz w:val="12"/>
                <w:szCs w:val="12"/>
              </w:rPr>
            </w:pPr>
          </w:p>
        </w:tc>
        <w:tc>
          <w:tcPr>
            <w:tcW w:w="1418" w:type="dxa"/>
            <w:gridSpan w:val="3"/>
          </w:tcPr>
          <w:p w14:paraId="1C708F9D" w14:textId="77777777" w:rsidR="00C63117" w:rsidRPr="00FA0C47" w:rsidRDefault="00C63117" w:rsidP="00C63117">
            <w:pPr>
              <w:rPr>
                <w:b/>
                <w:sz w:val="18"/>
                <w:szCs w:val="18"/>
              </w:rPr>
            </w:pPr>
          </w:p>
        </w:tc>
        <w:tc>
          <w:tcPr>
            <w:tcW w:w="1417" w:type="dxa"/>
            <w:gridSpan w:val="6"/>
          </w:tcPr>
          <w:p w14:paraId="25422EB6" w14:textId="77777777" w:rsidR="00C63117" w:rsidRPr="00FA0C47" w:rsidRDefault="00C63117" w:rsidP="00C63117">
            <w:pPr>
              <w:rPr>
                <w:b/>
                <w:sz w:val="18"/>
                <w:szCs w:val="18"/>
              </w:rPr>
            </w:pPr>
          </w:p>
        </w:tc>
        <w:tc>
          <w:tcPr>
            <w:tcW w:w="711" w:type="dxa"/>
            <w:shd w:val="clear" w:color="auto" w:fill="auto"/>
          </w:tcPr>
          <w:p w14:paraId="7706CA30" w14:textId="77777777" w:rsidR="00C63117" w:rsidRPr="00FA0C47" w:rsidRDefault="00C63117" w:rsidP="00C63117">
            <w:pPr>
              <w:rPr>
                <w:b/>
                <w:sz w:val="18"/>
                <w:szCs w:val="18"/>
              </w:rPr>
            </w:pPr>
          </w:p>
        </w:tc>
      </w:tr>
      <w:tr w:rsidR="00C63117" w:rsidRPr="00677FFD" w14:paraId="5566C3A1" w14:textId="77777777" w:rsidTr="0004564D">
        <w:trPr>
          <w:cantSplit/>
          <w:trHeight w:val="127"/>
        </w:trPr>
        <w:tc>
          <w:tcPr>
            <w:tcW w:w="1561" w:type="dxa"/>
            <w:tcBorders>
              <w:left w:val="single" w:sz="2" w:space="0" w:color="auto"/>
              <w:right w:val="single" w:sz="2" w:space="0" w:color="auto"/>
            </w:tcBorders>
          </w:tcPr>
          <w:p w14:paraId="3604A6AA" w14:textId="50731656"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6B7AA62B" w14:textId="7D0B311F" w:rsidR="00C63117" w:rsidRPr="00FA0C47" w:rsidRDefault="00C63117" w:rsidP="00C63117">
            <w:pPr>
              <w:spacing w:after="40"/>
              <w:rPr>
                <w:rFonts w:cs="Calibri"/>
                <w:b/>
                <w:sz w:val="18"/>
                <w:szCs w:val="18"/>
              </w:rPr>
            </w:pPr>
            <w:r w:rsidRPr="00FA0C47">
              <w:rPr>
                <w:rFonts w:cs="Calibri"/>
                <w:sz w:val="18"/>
                <w:szCs w:val="18"/>
              </w:rPr>
              <w:t>Acquisition/(Disposal) from Transfers</w:t>
            </w:r>
          </w:p>
        </w:tc>
        <w:tc>
          <w:tcPr>
            <w:tcW w:w="1417" w:type="dxa"/>
            <w:gridSpan w:val="3"/>
            <w:shd w:val="clear" w:color="auto" w:fill="auto"/>
          </w:tcPr>
          <w:p w14:paraId="5B45AB5E" w14:textId="77777777" w:rsidR="00C63117" w:rsidRPr="00FA0C47" w:rsidRDefault="00C63117" w:rsidP="00C63117">
            <w:pPr>
              <w:rPr>
                <w:rFonts w:cs="Calibri"/>
                <w:sz w:val="12"/>
                <w:szCs w:val="12"/>
              </w:rPr>
            </w:pPr>
          </w:p>
        </w:tc>
        <w:tc>
          <w:tcPr>
            <w:tcW w:w="1418" w:type="dxa"/>
            <w:gridSpan w:val="3"/>
          </w:tcPr>
          <w:p w14:paraId="1ACC16C8" w14:textId="77777777" w:rsidR="00C63117" w:rsidRPr="00FA0C47" w:rsidRDefault="00C63117" w:rsidP="00C63117">
            <w:pPr>
              <w:rPr>
                <w:b/>
                <w:sz w:val="18"/>
                <w:szCs w:val="18"/>
              </w:rPr>
            </w:pPr>
          </w:p>
        </w:tc>
        <w:tc>
          <w:tcPr>
            <w:tcW w:w="1417" w:type="dxa"/>
            <w:gridSpan w:val="6"/>
          </w:tcPr>
          <w:p w14:paraId="2292C422" w14:textId="77777777" w:rsidR="00C63117" w:rsidRPr="00FA0C47" w:rsidRDefault="00C63117" w:rsidP="00C63117">
            <w:pPr>
              <w:rPr>
                <w:b/>
                <w:sz w:val="18"/>
                <w:szCs w:val="18"/>
              </w:rPr>
            </w:pPr>
          </w:p>
        </w:tc>
        <w:tc>
          <w:tcPr>
            <w:tcW w:w="711" w:type="dxa"/>
            <w:shd w:val="clear" w:color="auto" w:fill="auto"/>
          </w:tcPr>
          <w:p w14:paraId="737B1F25" w14:textId="77777777" w:rsidR="00C63117" w:rsidRPr="00FA0C47" w:rsidRDefault="00C63117" w:rsidP="00C63117">
            <w:pPr>
              <w:rPr>
                <w:b/>
                <w:sz w:val="18"/>
                <w:szCs w:val="18"/>
              </w:rPr>
            </w:pPr>
          </w:p>
        </w:tc>
      </w:tr>
      <w:tr w:rsidR="00C63117" w:rsidRPr="00677FFD" w14:paraId="29D21815" w14:textId="77777777" w:rsidTr="0004564D">
        <w:trPr>
          <w:cantSplit/>
          <w:trHeight w:val="127"/>
        </w:trPr>
        <w:tc>
          <w:tcPr>
            <w:tcW w:w="1561" w:type="dxa"/>
            <w:tcBorders>
              <w:left w:val="single" w:sz="2" w:space="0" w:color="auto"/>
              <w:right w:val="single" w:sz="2" w:space="0" w:color="auto"/>
            </w:tcBorders>
          </w:tcPr>
          <w:p w14:paraId="1883E18D" w14:textId="30000CAB"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116.73(e)(v)</w:t>
            </w:r>
          </w:p>
        </w:tc>
        <w:tc>
          <w:tcPr>
            <w:tcW w:w="3968" w:type="dxa"/>
            <w:tcBorders>
              <w:left w:val="single" w:sz="2" w:space="0" w:color="auto"/>
            </w:tcBorders>
            <w:shd w:val="clear" w:color="auto" w:fill="auto"/>
          </w:tcPr>
          <w:p w14:paraId="16709E24" w14:textId="7165B411" w:rsidR="00C63117" w:rsidRPr="00FA0C47" w:rsidRDefault="00C63117" w:rsidP="00C63117">
            <w:pPr>
              <w:spacing w:after="40"/>
              <w:rPr>
                <w:rFonts w:cs="Calibri"/>
                <w:b/>
                <w:sz w:val="18"/>
                <w:szCs w:val="18"/>
              </w:rPr>
            </w:pPr>
            <w:r w:rsidRPr="00FA0C47">
              <w:rPr>
                <w:rFonts w:cs="Calibri"/>
                <w:sz w:val="18"/>
                <w:szCs w:val="18"/>
              </w:rPr>
              <w:t xml:space="preserve">Impairment Losses Recognised in the Operating Result </w:t>
            </w:r>
          </w:p>
        </w:tc>
        <w:tc>
          <w:tcPr>
            <w:tcW w:w="1417" w:type="dxa"/>
            <w:gridSpan w:val="3"/>
            <w:tcBorders>
              <w:bottom w:val="single" w:sz="4" w:space="0" w:color="auto"/>
            </w:tcBorders>
            <w:shd w:val="clear" w:color="auto" w:fill="auto"/>
          </w:tcPr>
          <w:p w14:paraId="796F7C3A" w14:textId="77777777" w:rsidR="00C63117" w:rsidRPr="00FA0C47" w:rsidRDefault="00C63117" w:rsidP="00C63117">
            <w:pPr>
              <w:rPr>
                <w:rFonts w:cs="Calibri"/>
                <w:sz w:val="12"/>
                <w:szCs w:val="12"/>
              </w:rPr>
            </w:pPr>
          </w:p>
        </w:tc>
        <w:tc>
          <w:tcPr>
            <w:tcW w:w="1418" w:type="dxa"/>
            <w:gridSpan w:val="3"/>
            <w:tcBorders>
              <w:bottom w:val="single" w:sz="4" w:space="0" w:color="auto"/>
            </w:tcBorders>
          </w:tcPr>
          <w:p w14:paraId="44FDC344" w14:textId="77777777" w:rsidR="00C63117" w:rsidRPr="00FA0C47" w:rsidRDefault="00C63117" w:rsidP="00C63117">
            <w:pPr>
              <w:rPr>
                <w:b/>
                <w:sz w:val="18"/>
                <w:szCs w:val="18"/>
              </w:rPr>
            </w:pPr>
          </w:p>
        </w:tc>
        <w:tc>
          <w:tcPr>
            <w:tcW w:w="1417" w:type="dxa"/>
            <w:gridSpan w:val="6"/>
            <w:tcBorders>
              <w:bottom w:val="single" w:sz="4" w:space="0" w:color="auto"/>
            </w:tcBorders>
          </w:tcPr>
          <w:p w14:paraId="5638EDD4" w14:textId="77777777" w:rsidR="00C63117" w:rsidRPr="00FA0C47" w:rsidRDefault="00C63117" w:rsidP="00C63117">
            <w:pPr>
              <w:rPr>
                <w:b/>
                <w:sz w:val="18"/>
                <w:szCs w:val="18"/>
              </w:rPr>
            </w:pPr>
          </w:p>
        </w:tc>
        <w:tc>
          <w:tcPr>
            <w:tcW w:w="711" w:type="dxa"/>
            <w:tcBorders>
              <w:bottom w:val="single" w:sz="4" w:space="0" w:color="auto"/>
            </w:tcBorders>
            <w:shd w:val="clear" w:color="auto" w:fill="auto"/>
          </w:tcPr>
          <w:p w14:paraId="6108CDF5" w14:textId="77777777" w:rsidR="00C63117" w:rsidRPr="00FA0C47" w:rsidRDefault="00C63117" w:rsidP="00C63117">
            <w:pPr>
              <w:rPr>
                <w:b/>
                <w:sz w:val="18"/>
                <w:szCs w:val="18"/>
              </w:rPr>
            </w:pPr>
          </w:p>
        </w:tc>
      </w:tr>
      <w:tr w:rsidR="00C63117" w:rsidRPr="00677FFD" w14:paraId="3C6C3F76" w14:textId="77777777" w:rsidTr="0004564D">
        <w:trPr>
          <w:cantSplit/>
          <w:trHeight w:val="127"/>
        </w:trPr>
        <w:tc>
          <w:tcPr>
            <w:tcW w:w="1561" w:type="dxa"/>
            <w:tcBorders>
              <w:left w:val="single" w:sz="2" w:space="0" w:color="auto"/>
              <w:right w:val="single" w:sz="2" w:space="0" w:color="auto"/>
            </w:tcBorders>
          </w:tcPr>
          <w:p w14:paraId="4BCAA758" w14:textId="1C4CF123"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vAlign w:val="bottom"/>
          </w:tcPr>
          <w:p w14:paraId="3882B75B" w14:textId="17C2B770" w:rsidR="00C63117" w:rsidRPr="00FA0C47" w:rsidRDefault="00C63117" w:rsidP="00C63117">
            <w:pPr>
              <w:rPr>
                <w:rFonts w:cs="Calibri"/>
                <w:b/>
                <w:sz w:val="18"/>
                <w:szCs w:val="18"/>
              </w:rPr>
            </w:pPr>
            <w:r w:rsidRPr="00FA0C47">
              <w:rPr>
                <w:rFonts w:cs="Calibri"/>
                <w:b/>
                <w:bCs/>
                <w:sz w:val="18"/>
                <w:szCs w:val="18"/>
              </w:rPr>
              <w:t>Carrying Amount at the End of the Reporting Period</w:t>
            </w:r>
          </w:p>
        </w:tc>
        <w:tc>
          <w:tcPr>
            <w:tcW w:w="1417" w:type="dxa"/>
            <w:gridSpan w:val="3"/>
            <w:tcBorders>
              <w:top w:val="single" w:sz="4" w:space="0" w:color="auto"/>
              <w:bottom w:val="double" w:sz="4" w:space="0" w:color="auto"/>
            </w:tcBorders>
            <w:shd w:val="clear" w:color="auto" w:fill="auto"/>
            <w:vAlign w:val="center"/>
          </w:tcPr>
          <w:p w14:paraId="09C0F67A" w14:textId="77777777" w:rsidR="00C63117" w:rsidRPr="00FA0C47" w:rsidRDefault="00C63117" w:rsidP="00C63117">
            <w:pPr>
              <w:rPr>
                <w:rFonts w:cs="Calibri"/>
                <w:sz w:val="12"/>
                <w:szCs w:val="12"/>
              </w:rPr>
            </w:pPr>
          </w:p>
        </w:tc>
        <w:tc>
          <w:tcPr>
            <w:tcW w:w="1418" w:type="dxa"/>
            <w:gridSpan w:val="3"/>
            <w:tcBorders>
              <w:top w:val="single" w:sz="4" w:space="0" w:color="auto"/>
              <w:bottom w:val="double" w:sz="4" w:space="0" w:color="auto"/>
            </w:tcBorders>
            <w:vAlign w:val="center"/>
          </w:tcPr>
          <w:p w14:paraId="4ABC66AF" w14:textId="77777777" w:rsidR="00C63117" w:rsidRPr="00FA0C47" w:rsidRDefault="00C63117" w:rsidP="00C63117">
            <w:pPr>
              <w:rPr>
                <w:b/>
                <w:sz w:val="18"/>
                <w:szCs w:val="18"/>
              </w:rPr>
            </w:pPr>
          </w:p>
        </w:tc>
        <w:tc>
          <w:tcPr>
            <w:tcW w:w="1417" w:type="dxa"/>
            <w:gridSpan w:val="6"/>
            <w:tcBorders>
              <w:top w:val="single" w:sz="4" w:space="0" w:color="auto"/>
              <w:bottom w:val="double" w:sz="4" w:space="0" w:color="auto"/>
            </w:tcBorders>
            <w:vAlign w:val="center"/>
          </w:tcPr>
          <w:p w14:paraId="38BC228A" w14:textId="77777777" w:rsidR="00C63117" w:rsidRPr="00FA0C47" w:rsidRDefault="00C63117" w:rsidP="00C63117">
            <w:pPr>
              <w:rPr>
                <w:b/>
                <w:sz w:val="18"/>
                <w:szCs w:val="18"/>
              </w:rPr>
            </w:pPr>
          </w:p>
        </w:tc>
        <w:tc>
          <w:tcPr>
            <w:tcW w:w="711" w:type="dxa"/>
            <w:tcBorders>
              <w:top w:val="single" w:sz="4" w:space="0" w:color="auto"/>
              <w:bottom w:val="double" w:sz="4" w:space="0" w:color="auto"/>
            </w:tcBorders>
            <w:shd w:val="clear" w:color="auto" w:fill="auto"/>
            <w:vAlign w:val="center"/>
          </w:tcPr>
          <w:p w14:paraId="2485CF3E" w14:textId="77777777" w:rsidR="00C63117" w:rsidRPr="00FA0C47" w:rsidRDefault="00C63117" w:rsidP="00C63117">
            <w:pPr>
              <w:rPr>
                <w:b/>
                <w:sz w:val="18"/>
                <w:szCs w:val="18"/>
              </w:rPr>
            </w:pPr>
          </w:p>
        </w:tc>
      </w:tr>
      <w:tr w:rsidR="00C63117" w:rsidRPr="00677FFD" w14:paraId="10E3D2FC" w14:textId="77777777" w:rsidTr="0004564D">
        <w:trPr>
          <w:cantSplit/>
          <w:trHeight w:val="127"/>
        </w:trPr>
        <w:tc>
          <w:tcPr>
            <w:tcW w:w="1561" w:type="dxa"/>
            <w:tcBorders>
              <w:left w:val="single" w:sz="2" w:space="0" w:color="auto"/>
              <w:right w:val="single" w:sz="2" w:space="0" w:color="auto"/>
            </w:tcBorders>
            <w:vAlign w:val="bottom"/>
          </w:tcPr>
          <w:p w14:paraId="4C7F6982"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4EFF7798" w14:textId="77777777" w:rsidR="00C63117" w:rsidRPr="00FA0C47" w:rsidRDefault="00C63117" w:rsidP="00C63117">
            <w:pPr>
              <w:rPr>
                <w:rFonts w:cs="Calibri"/>
                <w:b/>
                <w:bCs/>
                <w:sz w:val="14"/>
                <w:szCs w:val="14"/>
              </w:rPr>
            </w:pPr>
          </w:p>
        </w:tc>
        <w:tc>
          <w:tcPr>
            <w:tcW w:w="1417" w:type="dxa"/>
            <w:gridSpan w:val="3"/>
            <w:tcBorders>
              <w:top w:val="double" w:sz="4" w:space="0" w:color="auto"/>
            </w:tcBorders>
            <w:shd w:val="clear" w:color="auto" w:fill="auto"/>
            <w:vAlign w:val="bottom"/>
          </w:tcPr>
          <w:p w14:paraId="399BD41E" w14:textId="77777777" w:rsidR="00C63117" w:rsidRPr="00FA0C47" w:rsidRDefault="00C63117" w:rsidP="00C63117">
            <w:pPr>
              <w:jc w:val="right"/>
              <w:rPr>
                <w:rFonts w:cs="Calibri"/>
                <w:sz w:val="12"/>
                <w:szCs w:val="12"/>
              </w:rPr>
            </w:pPr>
          </w:p>
        </w:tc>
        <w:tc>
          <w:tcPr>
            <w:tcW w:w="1418" w:type="dxa"/>
            <w:gridSpan w:val="3"/>
            <w:tcBorders>
              <w:top w:val="double" w:sz="4" w:space="0" w:color="auto"/>
            </w:tcBorders>
          </w:tcPr>
          <w:p w14:paraId="2A254AD5" w14:textId="77777777" w:rsidR="00C63117" w:rsidRPr="00FA0C47" w:rsidRDefault="00C63117" w:rsidP="00C63117">
            <w:pPr>
              <w:jc w:val="right"/>
              <w:rPr>
                <w:b/>
                <w:sz w:val="18"/>
                <w:szCs w:val="18"/>
              </w:rPr>
            </w:pPr>
          </w:p>
        </w:tc>
        <w:tc>
          <w:tcPr>
            <w:tcW w:w="1417" w:type="dxa"/>
            <w:gridSpan w:val="6"/>
            <w:tcBorders>
              <w:top w:val="double" w:sz="4" w:space="0" w:color="auto"/>
            </w:tcBorders>
          </w:tcPr>
          <w:p w14:paraId="73B48F3D" w14:textId="77777777" w:rsidR="00C63117" w:rsidRPr="00FA0C47" w:rsidRDefault="00C63117" w:rsidP="00C63117">
            <w:pPr>
              <w:jc w:val="right"/>
              <w:rPr>
                <w:b/>
                <w:sz w:val="18"/>
                <w:szCs w:val="18"/>
              </w:rPr>
            </w:pPr>
          </w:p>
        </w:tc>
        <w:tc>
          <w:tcPr>
            <w:tcW w:w="711" w:type="dxa"/>
            <w:tcBorders>
              <w:top w:val="double" w:sz="4" w:space="0" w:color="auto"/>
            </w:tcBorders>
            <w:shd w:val="clear" w:color="auto" w:fill="auto"/>
            <w:vAlign w:val="bottom"/>
          </w:tcPr>
          <w:p w14:paraId="70E80A66" w14:textId="77777777" w:rsidR="00C63117" w:rsidRPr="00FA0C47" w:rsidRDefault="00C63117" w:rsidP="00C63117">
            <w:pPr>
              <w:jc w:val="right"/>
              <w:rPr>
                <w:b/>
                <w:sz w:val="18"/>
                <w:szCs w:val="18"/>
              </w:rPr>
            </w:pPr>
          </w:p>
        </w:tc>
      </w:tr>
      <w:tr w:rsidR="00C63117" w:rsidRPr="00677FFD" w14:paraId="70B8E73D" w14:textId="77777777" w:rsidTr="0004564D">
        <w:trPr>
          <w:cantSplit/>
          <w:trHeight w:val="127"/>
        </w:trPr>
        <w:tc>
          <w:tcPr>
            <w:tcW w:w="1561" w:type="dxa"/>
            <w:tcBorders>
              <w:left w:val="single" w:sz="2" w:space="0" w:color="auto"/>
              <w:right w:val="single" w:sz="2" w:space="0" w:color="auto"/>
            </w:tcBorders>
            <w:vAlign w:val="bottom"/>
          </w:tcPr>
          <w:p w14:paraId="1576BA13"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06CD360F" w14:textId="77777777" w:rsidR="00C63117" w:rsidRPr="00FA0C47" w:rsidRDefault="00C63117" w:rsidP="00C63117">
            <w:pPr>
              <w:rPr>
                <w:rFonts w:cs="Calibri"/>
                <w:b/>
                <w:bCs/>
                <w:sz w:val="14"/>
                <w:szCs w:val="14"/>
              </w:rPr>
            </w:pPr>
          </w:p>
        </w:tc>
        <w:tc>
          <w:tcPr>
            <w:tcW w:w="1417" w:type="dxa"/>
            <w:gridSpan w:val="3"/>
            <w:shd w:val="clear" w:color="auto" w:fill="auto"/>
            <w:vAlign w:val="bottom"/>
          </w:tcPr>
          <w:p w14:paraId="099F980C" w14:textId="77777777" w:rsidR="00C63117" w:rsidRPr="00FA0C47" w:rsidRDefault="00C63117" w:rsidP="00C63117">
            <w:pPr>
              <w:jc w:val="right"/>
              <w:rPr>
                <w:rFonts w:cs="Calibri"/>
                <w:sz w:val="12"/>
                <w:szCs w:val="12"/>
              </w:rPr>
            </w:pPr>
          </w:p>
        </w:tc>
        <w:tc>
          <w:tcPr>
            <w:tcW w:w="1418" w:type="dxa"/>
            <w:gridSpan w:val="3"/>
          </w:tcPr>
          <w:p w14:paraId="4A98B97C" w14:textId="77777777" w:rsidR="00C63117" w:rsidRPr="00FA0C47" w:rsidRDefault="00C63117" w:rsidP="00C63117">
            <w:pPr>
              <w:jc w:val="right"/>
              <w:rPr>
                <w:b/>
                <w:sz w:val="18"/>
                <w:szCs w:val="18"/>
              </w:rPr>
            </w:pPr>
          </w:p>
        </w:tc>
        <w:tc>
          <w:tcPr>
            <w:tcW w:w="1417" w:type="dxa"/>
            <w:gridSpan w:val="6"/>
          </w:tcPr>
          <w:p w14:paraId="60109B91" w14:textId="77777777" w:rsidR="00C63117" w:rsidRPr="00FA0C47" w:rsidRDefault="00C63117" w:rsidP="00C63117">
            <w:pPr>
              <w:jc w:val="right"/>
              <w:rPr>
                <w:b/>
                <w:sz w:val="18"/>
                <w:szCs w:val="18"/>
              </w:rPr>
            </w:pPr>
          </w:p>
        </w:tc>
        <w:tc>
          <w:tcPr>
            <w:tcW w:w="711" w:type="dxa"/>
            <w:shd w:val="clear" w:color="auto" w:fill="auto"/>
            <w:vAlign w:val="bottom"/>
          </w:tcPr>
          <w:p w14:paraId="782CFB7D" w14:textId="77777777" w:rsidR="00C63117" w:rsidRPr="00FA0C47" w:rsidRDefault="00C63117" w:rsidP="00C63117">
            <w:pPr>
              <w:jc w:val="right"/>
              <w:rPr>
                <w:b/>
                <w:sz w:val="18"/>
                <w:szCs w:val="18"/>
              </w:rPr>
            </w:pPr>
          </w:p>
        </w:tc>
      </w:tr>
      <w:tr w:rsidR="00C63117" w:rsidRPr="00677FFD" w14:paraId="51D7ED48" w14:textId="77777777" w:rsidTr="0004564D">
        <w:trPr>
          <w:cantSplit/>
          <w:trHeight w:val="127"/>
        </w:trPr>
        <w:tc>
          <w:tcPr>
            <w:tcW w:w="1561" w:type="dxa"/>
            <w:tcBorders>
              <w:left w:val="single" w:sz="2" w:space="0" w:color="auto"/>
              <w:right w:val="single" w:sz="2" w:space="0" w:color="auto"/>
            </w:tcBorders>
            <w:vAlign w:val="bottom"/>
          </w:tcPr>
          <w:p w14:paraId="513E8B19"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676B2855" w14:textId="23CE3D92" w:rsidR="00C63117" w:rsidRPr="00FA0C47" w:rsidRDefault="00C63117" w:rsidP="00C63117">
            <w:pPr>
              <w:rPr>
                <w:rFonts w:cs="Calibri"/>
                <w:b/>
                <w:bCs/>
                <w:sz w:val="14"/>
                <w:szCs w:val="14"/>
              </w:rPr>
            </w:pPr>
            <w:r w:rsidRPr="00FA0C47">
              <w:rPr>
                <w:b/>
                <w:sz w:val="18"/>
                <w:szCs w:val="18"/>
              </w:rPr>
              <w:t>2021</w:t>
            </w:r>
          </w:p>
        </w:tc>
        <w:tc>
          <w:tcPr>
            <w:tcW w:w="1417" w:type="dxa"/>
            <w:gridSpan w:val="3"/>
            <w:shd w:val="clear" w:color="auto" w:fill="auto"/>
            <w:vAlign w:val="bottom"/>
          </w:tcPr>
          <w:p w14:paraId="14F72517" w14:textId="77777777" w:rsidR="00C63117" w:rsidRPr="00FA0C47" w:rsidRDefault="00C63117" w:rsidP="00C63117">
            <w:pPr>
              <w:jc w:val="right"/>
              <w:rPr>
                <w:rFonts w:cs="Calibri"/>
                <w:sz w:val="12"/>
                <w:szCs w:val="12"/>
              </w:rPr>
            </w:pPr>
          </w:p>
        </w:tc>
        <w:tc>
          <w:tcPr>
            <w:tcW w:w="1418" w:type="dxa"/>
            <w:gridSpan w:val="3"/>
            <w:vAlign w:val="bottom"/>
          </w:tcPr>
          <w:p w14:paraId="68569F85" w14:textId="77777777" w:rsidR="00C63117" w:rsidRPr="00FA0C47" w:rsidRDefault="00C63117" w:rsidP="00C63117">
            <w:pPr>
              <w:jc w:val="right"/>
              <w:rPr>
                <w:b/>
                <w:sz w:val="18"/>
                <w:szCs w:val="18"/>
              </w:rPr>
            </w:pPr>
          </w:p>
        </w:tc>
        <w:tc>
          <w:tcPr>
            <w:tcW w:w="1417" w:type="dxa"/>
            <w:gridSpan w:val="6"/>
            <w:vAlign w:val="bottom"/>
          </w:tcPr>
          <w:p w14:paraId="5E32AC0C" w14:textId="77777777" w:rsidR="00C63117" w:rsidRPr="00FA0C47" w:rsidRDefault="00C63117" w:rsidP="00C63117">
            <w:pPr>
              <w:jc w:val="right"/>
              <w:rPr>
                <w:b/>
                <w:sz w:val="18"/>
                <w:szCs w:val="18"/>
              </w:rPr>
            </w:pPr>
          </w:p>
        </w:tc>
        <w:tc>
          <w:tcPr>
            <w:tcW w:w="711" w:type="dxa"/>
            <w:shd w:val="clear" w:color="auto" w:fill="auto"/>
            <w:vAlign w:val="bottom"/>
          </w:tcPr>
          <w:p w14:paraId="58FF366E" w14:textId="77777777" w:rsidR="00C63117" w:rsidRPr="00FA0C47" w:rsidRDefault="00C63117" w:rsidP="00C63117">
            <w:pPr>
              <w:jc w:val="right"/>
              <w:rPr>
                <w:b/>
                <w:sz w:val="18"/>
                <w:szCs w:val="18"/>
              </w:rPr>
            </w:pPr>
          </w:p>
        </w:tc>
      </w:tr>
      <w:tr w:rsidR="00C63117" w:rsidRPr="00677FFD" w14:paraId="715BFC1D" w14:textId="77777777" w:rsidTr="0004564D">
        <w:trPr>
          <w:cantSplit/>
          <w:trHeight w:val="127"/>
        </w:trPr>
        <w:tc>
          <w:tcPr>
            <w:tcW w:w="1561" w:type="dxa"/>
            <w:tcBorders>
              <w:left w:val="single" w:sz="2" w:space="0" w:color="auto"/>
              <w:right w:val="single" w:sz="2" w:space="0" w:color="auto"/>
            </w:tcBorders>
          </w:tcPr>
          <w:p w14:paraId="63B6BC65" w14:textId="10E626AA"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tcPr>
          <w:p w14:paraId="74665557" w14:textId="09EF0D4A" w:rsidR="00C63117" w:rsidRPr="00FA0C47" w:rsidRDefault="00C63117" w:rsidP="00C63117">
            <w:pPr>
              <w:rPr>
                <w:rFonts w:cs="Calibri"/>
                <w:b/>
                <w:bCs/>
                <w:sz w:val="14"/>
                <w:szCs w:val="14"/>
              </w:rPr>
            </w:pPr>
            <w:r w:rsidRPr="00FA0C47">
              <w:rPr>
                <w:rFonts w:cs="Calibri"/>
                <w:b/>
                <w:sz w:val="18"/>
                <w:szCs w:val="18"/>
              </w:rPr>
              <w:t>Carrying Amount at the Beginning of the Reporting Period</w:t>
            </w:r>
          </w:p>
        </w:tc>
        <w:tc>
          <w:tcPr>
            <w:tcW w:w="1417" w:type="dxa"/>
            <w:gridSpan w:val="3"/>
            <w:shd w:val="clear" w:color="auto" w:fill="auto"/>
          </w:tcPr>
          <w:p w14:paraId="14E4E4F7" w14:textId="77777777" w:rsidR="00C63117" w:rsidRPr="00FA0C47" w:rsidRDefault="00C63117" w:rsidP="00C63117">
            <w:pPr>
              <w:jc w:val="right"/>
              <w:rPr>
                <w:rFonts w:cs="Calibri"/>
                <w:sz w:val="12"/>
                <w:szCs w:val="12"/>
              </w:rPr>
            </w:pPr>
          </w:p>
        </w:tc>
        <w:tc>
          <w:tcPr>
            <w:tcW w:w="1418" w:type="dxa"/>
            <w:gridSpan w:val="3"/>
          </w:tcPr>
          <w:p w14:paraId="2C30A309" w14:textId="77777777" w:rsidR="00C63117" w:rsidRPr="00FA0C47" w:rsidRDefault="00C63117" w:rsidP="00C63117">
            <w:pPr>
              <w:jc w:val="right"/>
              <w:rPr>
                <w:b/>
                <w:sz w:val="18"/>
                <w:szCs w:val="18"/>
              </w:rPr>
            </w:pPr>
          </w:p>
        </w:tc>
        <w:tc>
          <w:tcPr>
            <w:tcW w:w="1417" w:type="dxa"/>
            <w:gridSpan w:val="6"/>
          </w:tcPr>
          <w:p w14:paraId="60EB58CC" w14:textId="77777777" w:rsidR="00C63117" w:rsidRPr="00FA0C47" w:rsidRDefault="00C63117" w:rsidP="00C63117">
            <w:pPr>
              <w:jc w:val="right"/>
              <w:rPr>
                <w:b/>
                <w:sz w:val="18"/>
                <w:szCs w:val="18"/>
              </w:rPr>
            </w:pPr>
          </w:p>
        </w:tc>
        <w:tc>
          <w:tcPr>
            <w:tcW w:w="711" w:type="dxa"/>
            <w:shd w:val="clear" w:color="auto" w:fill="auto"/>
          </w:tcPr>
          <w:p w14:paraId="3FBA83B8" w14:textId="77777777" w:rsidR="00C63117" w:rsidRPr="00FA0C47" w:rsidRDefault="00C63117" w:rsidP="00C63117">
            <w:pPr>
              <w:jc w:val="right"/>
              <w:rPr>
                <w:b/>
                <w:sz w:val="18"/>
                <w:szCs w:val="18"/>
              </w:rPr>
            </w:pPr>
          </w:p>
        </w:tc>
      </w:tr>
      <w:tr w:rsidR="00C63117" w:rsidRPr="00677FFD" w14:paraId="1F43AD02" w14:textId="77777777" w:rsidTr="0004564D">
        <w:trPr>
          <w:cantSplit/>
          <w:trHeight w:val="127"/>
        </w:trPr>
        <w:tc>
          <w:tcPr>
            <w:tcW w:w="1561" w:type="dxa"/>
            <w:tcBorders>
              <w:left w:val="single" w:sz="2" w:space="0" w:color="auto"/>
              <w:right w:val="single" w:sz="2" w:space="0" w:color="auto"/>
            </w:tcBorders>
            <w:vAlign w:val="center"/>
          </w:tcPr>
          <w:p w14:paraId="2ACE8532"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 xml:space="preserve">AASB 116.73(e)(i) </w:t>
            </w:r>
          </w:p>
          <w:p w14:paraId="70E3CF4E" w14:textId="4FD898AB"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16.53(h)</w:t>
            </w:r>
          </w:p>
        </w:tc>
        <w:tc>
          <w:tcPr>
            <w:tcW w:w="3968" w:type="dxa"/>
            <w:tcBorders>
              <w:left w:val="single" w:sz="2" w:space="0" w:color="auto"/>
            </w:tcBorders>
            <w:shd w:val="clear" w:color="auto" w:fill="auto"/>
            <w:vAlign w:val="center"/>
          </w:tcPr>
          <w:p w14:paraId="6E94DD64" w14:textId="4365B93A" w:rsidR="00C63117" w:rsidRPr="00FA0C47" w:rsidRDefault="00C63117" w:rsidP="00C63117">
            <w:pPr>
              <w:rPr>
                <w:rFonts w:cs="Calibri"/>
                <w:b/>
                <w:bCs/>
                <w:sz w:val="14"/>
                <w:szCs w:val="14"/>
              </w:rPr>
            </w:pPr>
            <w:r w:rsidRPr="00FA0C47">
              <w:rPr>
                <w:rFonts w:cs="Calibri"/>
                <w:sz w:val="18"/>
                <w:szCs w:val="18"/>
              </w:rPr>
              <w:t>Additions</w:t>
            </w:r>
          </w:p>
        </w:tc>
        <w:tc>
          <w:tcPr>
            <w:tcW w:w="1417" w:type="dxa"/>
            <w:gridSpan w:val="3"/>
            <w:shd w:val="clear" w:color="auto" w:fill="auto"/>
            <w:vAlign w:val="center"/>
          </w:tcPr>
          <w:p w14:paraId="5FFE417C" w14:textId="77777777" w:rsidR="00C63117" w:rsidRPr="00FA0C47" w:rsidRDefault="00C63117" w:rsidP="00C63117">
            <w:pPr>
              <w:jc w:val="right"/>
              <w:rPr>
                <w:rFonts w:cs="Calibri"/>
                <w:sz w:val="12"/>
                <w:szCs w:val="12"/>
              </w:rPr>
            </w:pPr>
          </w:p>
        </w:tc>
        <w:tc>
          <w:tcPr>
            <w:tcW w:w="1418" w:type="dxa"/>
            <w:gridSpan w:val="3"/>
            <w:vAlign w:val="center"/>
          </w:tcPr>
          <w:p w14:paraId="38230B23" w14:textId="77777777" w:rsidR="00C63117" w:rsidRPr="00FA0C47" w:rsidRDefault="00C63117" w:rsidP="00C63117">
            <w:pPr>
              <w:jc w:val="right"/>
              <w:rPr>
                <w:b/>
                <w:sz w:val="18"/>
                <w:szCs w:val="18"/>
              </w:rPr>
            </w:pPr>
          </w:p>
        </w:tc>
        <w:tc>
          <w:tcPr>
            <w:tcW w:w="1417" w:type="dxa"/>
            <w:gridSpan w:val="6"/>
            <w:vAlign w:val="center"/>
          </w:tcPr>
          <w:p w14:paraId="336F166E" w14:textId="77777777" w:rsidR="00C63117" w:rsidRPr="00FA0C47" w:rsidRDefault="00C63117" w:rsidP="00C63117">
            <w:pPr>
              <w:jc w:val="right"/>
              <w:rPr>
                <w:b/>
                <w:sz w:val="18"/>
                <w:szCs w:val="18"/>
              </w:rPr>
            </w:pPr>
          </w:p>
        </w:tc>
        <w:tc>
          <w:tcPr>
            <w:tcW w:w="711" w:type="dxa"/>
            <w:shd w:val="clear" w:color="auto" w:fill="auto"/>
            <w:vAlign w:val="center"/>
          </w:tcPr>
          <w:p w14:paraId="47BC5633" w14:textId="77777777" w:rsidR="00C63117" w:rsidRPr="00FA0C47" w:rsidRDefault="00C63117" w:rsidP="00C63117">
            <w:pPr>
              <w:jc w:val="right"/>
              <w:rPr>
                <w:b/>
                <w:sz w:val="18"/>
                <w:szCs w:val="18"/>
              </w:rPr>
            </w:pPr>
          </w:p>
        </w:tc>
      </w:tr>
      <w:tr w:rsidR="00C63117" w:rsidRPr="00677FFD" w14:paraId="67965834" w14:textId="77777777" w:rsidTr="0004564D">
        <w:trPr>
          <w:cantSplit/>
          <w:trHeight w:val="127"/>
        </w:trPr>
        <w:tc>
          <w:tcPr>
            <w:tcW w:w="1561" w:type="dxa"/>
            <w:tcBorders>
              <w:left w:val="single" w:sz="2" w:space="0" w:color="auto"/>
              <w:right w:val="single" w:sz="2" w:space="0" w:color="auto"/>
            </w:tcBorders>
          </w:tcPr>
          <w:p w14:paraId="307FCF7F"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116.73(e)(iv)</w:t>
            </w:r>
          </w:p>
          <w:p w14:paraId="0250EE56" w14:textId="3248046B"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16.57</w:t>
            </w:r>
          </w:p>
        </w:tc>
        <w:tc>
          <w:tcPr>
            <w:tcW w:w="3968" w:type="dxa"/>
            <w:tcBorders>
              <w:left w:val="single" w:sz="2" w:space="0" w:color="auto"/>
            </w:tcBorders>
            <w:shd w:val="clear" w:color="auto" w:fill="auto"/>
            <w:vAlign w:val="center"/>
          </w:tcPr>
          <w:p w14:paraId="75D40D17" w14:textId="0FDE4914" w:rsidR="00C63117" w:rsidRPr="00FA0C47" w:rsidRDefault="00C63117" w:rsidP="00C63117">
            <w:pPr>
              <w:rPr>
                <w:rFonts w:cs="Calibri"/>
                <w:b/>
                <w:bCs/>
                <w:sz w:val="14"/>
                <w:szCs w:val="14"/>
              </w:rPr>
            </w:pPr>
            <w:r w:rsidRPr="00FA0C47">
              <w:rPr>
                <w:rFonts w:cs="Calibri"/>
                <w:sz w:val="18"/>
                <w:szCs w:val="18"/>
              </w:rPr>
              <w:t>Revaluation Increment/(Decrement)</w:t>
            </w:r>
          </w:p>
        </w:tc>
        <w:tc>
          <w:tcPr>
            <w:tcW w:w="1417" w:type="dxa"/>
            <w:gridSpan w:val="3"/>
            <w:shd w:val="clear" w:color="auto" w:fill="auto"/>
            <w:vAlign w:val="center"/>
          </w:tcPr>
          <w:p w14:paraId="63071FDF" w14:textId="77777777" w:rsidR="00C63117" w:rsidRPr="00FA0C47" w:rsidRDefault="00C63117" w:rsidP="00C63117">
            <w:pPr>
              <w:jc w:val="right"/>
              <w:rPr>
                <w:rFonts w:cs="Calibri"/>
                <w:sz w:val="12"/>
                <w:szCs w:val="12"/>
              </w:rPr>
            </w:pPr>
          </w:p>
        </w:tc>
        <w:tc>
          <w:tcPr>
            <w:tcW w:w="1418" w:type="dxa"/>
            <w:gridSpan w:val="3"/>
            <w:vAlign w:val="center"/>
          </w:tcPr>
          <w:p w14:paraId="235E89CD" w14:textId="77777777" w:rsidR="00C63117" w:rsidRPr="00FA0C47" w:rsidRDefault="00C63117" w:rsidP="00C63117">
            <w:pPr>
              <w:jc w:val="right"/>
              <w:rPr>
                <w:b/>
                <w:sz w:val="18"/>
                <w:szCs w:val="18"/>
              </w:rPr>
            </w:pPr>
          </w:p>
        </w:tc>
        <w:tc>
          <w:tcPr>
            <w:tcW w:w="1417" w:type="dxa"/>
            <w:gridSpan w:val="6"/>
            <w:vAlign w:val="center"/>
          </w:tcPr>
          <w:p w14:paraId="7CD94480" w14:textId="77777777" w:rsidR="00C63117" w:rsidRPr="00FA0C47" w:rsidRDefault="00C63117" w:rsidP="00C63117">
            <w:pPr>
              <w:jc w:val="right"/>
              <w:rPr>
                <w:b/>
                <w:sz w:val="18"/>
                <w:szCs w:val="18"/>
              </w:rPr>
            </w:pPr>
          </w:p>
        </w:tc>
        <w:tc>
          <w:tcPr>
            <w:tcW w:w="711" w:type="dxa"/>
            <w:shd w:val="clear" w:color="auto" w:fill="auto"/>
            <w:vAlign w:val="center"/>
          </w:tcPr>
          <w:p w14:paraId="3625EA32" w14:textId="77777777" w:rsidR="00C63117" w:rsidRPr="00FA0C47" w:rsidRDefault="00C63117" w:rsidP="00C63117">
            <w:pPr>
              <w:jc w:val="right"/>
              <w:rPr>
                <w:b/>
                <w:sz w:val="18"/>
                <w:szCs w:val="18"/>
              </w:rPr>
            </w:pPr>
          </w:p>
        </w:tc>
      </w:tr>
      <w:tr w:rsidR="00C63117" w:rsidRPr="00677FFD" w14:paraId="4728F19B" w14:textId="77777777" w:rsidTr="0004564D">
        <w:trPr>
          <w:cantSplit/>
          <w:trHeight w:val="127"/>
        </w:trPr>
        <w:tc>
          <w:tcPr>
            <w:tcW w:w="1561" w:type="dxa"/>
            <w:tcBorders>
              <w:left w:val="single" w:sz="2" w:space="0" w:color="auto"/>
              <w:right w:val="single" w:sz="2" w:space="0" w:color="auto"/>
            </w:tcBorders>
          </w:tcPr>
          <w:p w14:paraId="5DA62D53"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116.73(e)(iv)</w:t>
            </w:r>
          </w:p>
          <w:p w14:paraId="0DC2AD24"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tcPr>
          <w:p w14:paraId="0079074A" w14:textId="4B25B7AC" w:rsidR="00C63117" w:rsidRPr="00FA0C47" w:rsidRDefault="00C63117" w:rsidP="00C63117">
            <w:pPr>
              <w:rPr>
                <w:rFonts w:cs="Calibri"/>
                <w:b/>
                <w:bCs/>
                <w:sz w:val="14"/>
                <w:szCs w:val="14"/>
              </w:rPr>
            </w:pPr>
            <w:r w:rsidRPr="00FA0C47">
              <w:rPr>
                <w:rFonts w:cs="Calibri"/>
                <w:sz w:val="18"/>
                <w:szCs w:val="18"/>
              </w:rPr>
              <w:t>Impairment Losses Recognised in Other Comprehensive Income</w:t>
            </w:r>
          </w:p>
        </w:tc>
        <w:tc>
          <w:tcPr>
            <w:tcW w:w="1417" w:type="dxa"/>
            <w:gridSpan w:val="3"/>
            <w:shd w:val="clear" w:color="auto" w:fill="auto"/>
          </w:tcPr>
          <w:p w14:paraId="3E1940C1" w14:textId="77777777" w:rsidR="00C63117" w:rsidRPr="00FA0C47" w:rsidRDefault="00C63117" w:rsidP="00C63117">
            <w:pPr>
              <w:jc w:val="right"/>
              <w:rPr>
                <w:rFonts w:cs="Calibri"/>
                <w:sz w:val="12"/>
                <w:szCs w:val="12"/>
              </w:rPr>
            </w:pPr>
          </w:p>
        </w:tc>
        <w:tc>
          <w:tcPr>
            <w:tcW w:w="1418" w:type="dxa"/>
            <w:gridSpan w:val="3"/>
          </w:tcPr>
          <w:p w14:paraId="69D5FFA8" w14:textId="77777777" w:rsidR="00C63117" w:rsidRPr="00FA0C47" w:rsidRDefault="00C63117" w:rsidP="00C63117">
            <w:pPr>
              <w:jc w:val="right"/>
              <w:rPr>
                <w:b/>
                <w:sz w:val="18"/>
                <w:szCs w:val="18"/>
              </w:rPr>
            </w:pPr>
          </w:p>
        </w:tc>
        <w:tc>
          <w:tcPr>
            <w:tcW w:w="1417" w:type="dxa"/>
            <w:gridSpan w:val="6"/>
          </w:tcPr>
          <w:p w14:paraId="51BDC9A4" w14:textId="77777777" w:rsidR="00C63117" w:rsidRPr="00FA0C47" w:rsidRDefault="00C63117" w:rsidP="00C63117">
            <w:pPr>
              <w:jc w:val="right"/>
              <w:rPr>
                <w:b/>
                <w:sz w:val="18"/>
                <w:szCs w:val="18"/>
              </w:rPr>
            </w:pPr>
          </w:p>
        </w:tc>
        <w:tc>
          <w:tcPr>
            <w:tcW w:w="711" w:type="dxa"/>
            <w:shd w:val="clear" w:color="auto" w:fill="auto"/>
          </w:tcPr>
          <w:p w14:paraId="78ED6AD9" w14:textId="77777777" w:rsidR="00C63117" w:rsidRPr="00FA0C47" w:rsidRDefault="00C63117" w:rsidP="00C63117">
            <w:pPr>
              <w:jc w:val="right"/>
              <w:rPr>
                <w:b/>
                <w:sz w:val="18"/>
                <w:szCs w:val="18"/>
              </w:rPr>
            </w:pPr>
          </w:p>
        </w:tc>
      </w:tr>
      <w:tr w:rsidR="00C63117" w:rsidRPr="00677FFD" w14:paraId="5E7DB929" w14:textId="77777777" w:rsidTr="0004564D">
        <w:trPr>
          <w:cantSplit/>
          <w:trHeight w:val="127"/>
        </w:trPr>
        <w:tc>
          <w:tcPr>
            <w:tcW w:w="1561" w:type="dxa"/>
            <w:tcBorders>
              <w:left w:val="single" w:sz="2" w:space="0" w:color="auto"/>
              <w:right w:val="single" w:sz="2" w:space="0" w:color="auto"/>
            </w:tcBorders>
            <w:vAlign w:val="center"/>
          </w:tcPr>
          <w:p w14:paraId="01041841" w14:textId="77777777"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116.73(e)(vii)</w:t>
            </w:r>
          </w:p>
          <w:p w14:paraId="5CE5506E" w14:textId="15233621"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16.53(a)</w:t>
            </w:r>
          </w:p>
        </w:tc>
        <w:tc>
          <w:tcPr>
            <w:tcW w:w="3968" w:type="dxa"/>
            <w:tcBorders>
              <w:left w:val="single" w:sz="2" w:space="0" w:color="auto"/>
            </w:tcBorders>
            <w:shd w:val="clear" w:color="auto" w:fill="auto"/>
            <w:vAlign w:val="center"/>
          </w:tcPr>
          <w:p w14:paraId="644B7CBA" w14:textId="02E05288" w:rsidR="00C63117" w:rsidRPr="00FA0C47" w:rsidRDefault="00C63117" w:rsidP="00C63117">
            <w:pPr>
              <w:rPr>
                <w:rFonts w:cs="Calibri"/>
                <w:b/>
                <w:bCs/>
                <w:sz w:val="14"/>
                <w:szCs w:val="14"/>
              </w:rPr>
            </w:pPr>
            <w:r w:rsidRPr="00FA0C47">
              <w:rPr>
                <w:rFonts w:cs="Calibri"/>
                <w:sz w:val="18"/>
                <w:szCs w:val="18"/>
              </w:rPr>
              <w:t>Depreciation</w:t>
            </w:r>
          </w:p>
        </w:tc>
        <w:tc>
          <w:tcPr>
            <w:tcW w:w="1417" w:type="dxa"/>
            <w:gridSpan w:val="3"/>
            <w:shd w:val="clear" w:color="auto" w:fill="auto"/>
            <w:vAlign w:val="center"/>
          </w:tcPr>
          <w:p w14:paraId="3EFCD392" w14:textId="77777777" w:rsidR="00C63117" w:rsidRPr="00FA0C47" w:rsidRDefault="00C63117" w:rsidP="00C63117">
            <w:pPr>
              <w:jc w:val="right"/>
              <w:rPr>
                <w:rFonts w:cs="Calibri"/>
                <w:sz w:val="12"/>
                <w:szCs w:val="12"/>
              </w:rPr>
            </w:pPr>
          </w:p>
        </w:tc>
        <w:tc>
          <w:tcPr>
            <w:tcW w:w="1418" w:type="dxa"/>
            <w:gridSpan w:val="3"/>
            <w:vAlign w:val="center"/>
          </w:tcPr>
          <w:p w14:paraId="044D6661" w14:textId="77777777" w:rsidR="00C63117" w:rsidRPr="00FA0C47" w:rsidRDefault="00C63117" w:rsidP="00C63117">
            <w:pPr>
              <w:jc w:val="right"/>
              <w:rPr>
                <w:b/>
                <w:sz w:val="18"/>
                <w:szCs w:val="18"/>
              </w:rPr>
            </w:pPr>
          </w:p>
        </w:tc>
        <w:tc>
          <w:tcPr>
            <w:tcW w:w="1417" w:type="dxa"/>
            <w:gridSpan w:val="6"/>
            <w:vAlign w:val="center"/>
          </w:tcPr>
          <w:p w14:paraId="285D3EA7" w14:textId="77777777" w:rsidR="00C63117" w:rsidRPr="00FA0C47" w:rsidRDefault="00C63117" w:rsidP="00C63117">
            <w:pPr>
              <w:jc w:val="right"/>
              <w:rPr>
                <w:b/>
                <w:sz w:val="18"/>
                <w:szCs w:val="18"/>
              </w:rPr>
            </w:pPr>
          </w:p>
        </w:tc>
        <w:tc>
          <w:tcPr>
            <w:tcW w:w="711" w:type="dxa"/>
            <w:shd w:val="clear" w:color="auto" w:fill="auto"/>
            <w:vAlign w:val="center"/>
          </w:tcPr>
          <w:p w14:paraId="1C3954FA" w14:textId="77777777" w:rsidR="00C63117" w:rsidRPr="00FA0C47" w:rsidRDefault="00C63117" w:rsidP="00C63117">
            <w:pPr>
              <w:jc w:val="right"/>
              <w:rPr>
                <w:b/>
                <w:sz w:val="18"/>
                <w:szCs w:val="18"/>
              </w:rPr>
            </w:pPr>
          </w:p>
        </w:tc>
      </w:tr>
      <w:tr w:rsidR="00C63117" w:rsidRPr="00677FFD" w14:paraId="407C9CD6" w14:textId="77777777" w:rsidTr="0004564D">
        <w:trPr>
          <w:cantSplit/>
          <w:trHeight w:val="127"/>
        </w:trPr>
        <w:tc>
          <w:tcPr>
            <w:tcW w:w="1561" w:type="dxa"/>
            <w:tcBorders>
              <w:left w:val="single" w:sz="2" w:space="0" w:color="auto"/>
              <w:right w:val="single" w:sz="2" w:space="0" w:color="auto"/>
            </w:tcBorders>
          </w:tcPr>
          <w:p w14:paraId="0F21BEA1" w14:textId="72CACF68"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1C9AD8FE" w14:textId="6983C07B" w:rsidR="00C63117" w:rsidRPr="00FA0C47" w:rsidRDefault="00C63117" w:rsidP="00C63117">
            <w:pPr>
              <w:rPr>
                <w:rFonts w:cs="Calibri"/>
                <w:b/>
                <w:bCs/>
                <w:sz w:val="14"/>
                <w:szCs w:val="14"/>
              </w:rPr>
            </w:pPr>
            <w:r w:rsidRPr="00FA0C47">
              <w:rPr>
                <w:rFonts w:cs="Calibri"/>
                <w:sz w:val="18"/>
                <w:szCs w:val="18"/>
              </w:rPr>
              <w:t>Acquisition/(Disposal) through Administrative Restructuring</w:t>
            </w:r>
          </w:p>
        </w:tc>
        <w:tc>
          <w:tcPr>
            <w:tcW w:w="1417" w:type="dxa"/>
            <w:gridSpan w:val="3"/>
            <w:shd w:val="clear" w:color="auto" w:fill="auto"/>
          </w:tcPr>
          <w:p w14:paraId="7B834C15" w14:textId="77777777" w:rsidR="00C63117" w:rsidRPr="00FA0C47" w:rsidRDefault="00C63117" w:rsidP="00C63117">
            <w:pPr>
              <w:jc w:val="right"/>
              <w:rPr>
                <w:rFonts w:cs="Calibri"/>
                <w:sz w:val="12"/>
                <w:szCs w:val="12"/>
              </w:rPr>
            </w:pPr>
          </w:p>
        </w:tc>
        <w:tc>
          <w:tcPr>
            <w:tcW w:w="1418" w:type="dxa"/>
            <w:gridSpan w:val="3"/>
          </w:tcPr>
          <w:p w14:paraId="770AAA3A" w14:textId="77777777" w:rsidR="00C63117" w:rsidRPr="00FA0C47" w:rsidRDefault="00C63117" w:rsidP="00C63117">
            <w:pPr>
              <w:jc w:val="right"/>
              <w:rPr>
                <w:b/>
                <w:sz w:val="18"/>
                <w:szCs w:val="18"/>
              </w:rPr>
            </w:pPr>
          </w:p>
        </w:tc>
        <w:tc>
          <w:tcPr>
            <w:tcW w:w="1417" w:type="dxa"/>
            <w:gridSpan w:val="6"/>
          </w:tcPr>
          <w:p w14:paraId="6F3162C9" w14:textId="77777777" w:rsidR="00C63117" w:rsidRPr="00FA0C47" w:rsidRDefault="00C63117" w:rsidP="00C63117">
            <w:pPr>
              <w:jc w:val="right"/>
              <w:rPr>
                <w:b/>
                <w:sz w:val="18"/>
                <w:szCs w:val="18"/>
              </w:rPr>
            </w:pPr>
          </w:p>
        </w:tc>
        <w:tc>
          <w:tcPr>
            <w:tcW w:w="711" w:type="dxa"/>
            <w:shd w:val="clear" w:color="auto" w:fill="auto"/>
          </w:tcPr>
          <w:p w14:paraId="54A7B2A1" w14:textId="77777777" w:rsidR="00C63117" w:rsidRPr="00FA0C47" w:rsidRDefault="00C63117" w:rsidP="00C63117">
            <w:pPr>
              <w:jc w:val="right"/>
              <w:rPr>
                <w:b/>
                <w:sz w:val="18"/>
                <w:szCs w:val="18"/>
              </w:rPr>
            </w:pPr>
          </w:p>
        </w:tc>
      </w:tr>
      <w:tr w:rsidR="00C63117" w:rsidRPr="00677FFD" w14:paraId="66C007FC" w14:textId="77777777" w:rsidTr="0004564D">
        <w:trPr>
          <w:cantSplit/>
          <w:trHeight w:val="127"/>
        </w:trPr>
        <w:tc>
          <w:tcPr>
            <w:tcW w:w="1561" w:type="dxa"/>
            <w:tcBorders>
              <w:left w:val="single" w:sz="2" w:space="0" w:color="auto"/>
              <w:right w:val="single" w:sz="2" w:space="0" w:color="auto"/>
            </w:tcBorders>
          </w:tcPr>
          <w:p w14:paraId="07998920" w14:textId="7E7C1302"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116.73(e)(ix)</w:t>
            </w:r>
          </w:p>
        </w:tc>
        <w:tc>
          <w:tcPr>
            <w:tcW w:w="3968" w:type="dxa"/>
            <w:tcBorders>
              <w:left w:val="single" w:sz="2" w:space="0" w:color="auto"/>
            </w:tcBorders>
            <w:shd w:val="clear" w:color="auto" w:fill="auto"/>
          </w:tcPr>
          <w:p w14:paraId="282E39C3" w14:textId="78F23C3E" w:rsidR="00C63117" w:rsidRPr="00FA0C47" w:rsidRDefault="00C63117" w:rsidP="00C63117">
            <w:pPr>
              <w:rPr>
                <w:rFonts w:cs="Calibri"/>
                <w:b/>
                <w:bCs/>
                <w:sz w:val="14"/>
                <w:szCs w:val="14"/>
              </w:rPr>
            </w:pPr>
            <w:r w:rsidRPr="00FA0C47">
              <w:rPr>
                <w:rFonts w:cs="Calibri"/>
                <w:sz w:val="18"/>
                <w:szCs w:val="18"/>
              </w:rPr>
              <w:t>Acquisition/(Disposal) from Transfers</w:t>
            </w:r>
          </w:p>
        </w:tc>
        <w:tc>
          <w:tcPr>
            <w:tcW w:w="1417" w:type="dxa"/>
            <w:gridSpan w:val="3"/>
            <w:shd w:val="clear" w:color="auto" w:fill="auto"/>
          </w:tcPr>
          <w:p w14:paraId="106ABCF8" w14:textId="77777777" w:rsidR="00C63117" w:rsidRPr="00FA0C47" w:rsidRDefault="00C63117" w:rsidP="00C63117">
            <w:pPr>
              <w:jc w:val="right"/>
              <w:rPr>
                <w:rFonts w:cs="Calibri"/>
                <w:sz w:val="12"/>
                <w:szCs w:val="12"/>
              </w:rPr>
            </w:pPr>
          </w:p>
        </w:tc>
        <w:tc>
          <w:tcPr>
            <w:tcW w:w="1418" w:type="dxa"/>
            <w:gridSpan w:val="3"/>
          </w:tcPr>
          <w:p w14:paraId="69E02260" w14:textId="77777777" w:rsidR="00C63117" w:rsidRPr="00FA0C47" w:rsidRDefault="00C63117" w:rsidP="00C63117">
            <w:pPr>
              <w:jc w:val="right"/>
              <w:rPr>
                <w:b/>
                <w:sz w:val="18"/>
                <w:szCs w:val="18"/>
              </w:rPr>
            </w:pPr>
          </w:p>
        </w:tc>
        <w:tc>
          <w:tcPr>
            <w:tcW w:w="1417" w:type="dxa"/>
            <w:gridSpan w:val="6"/>
          </w:tcPr>
          <w:p w14:paraId="5693A420" w14:textId="77777777" w:rsidR="00C63117" w:rsidRPr="00FA0C47" w:rsidRDefault="00C63117" w:rsidP="00C63117">
            <w:pPr>
              <w:jc w:val="right"/>
              <w:rPr>
                <w:b/>
                <w:sz w:val="18"/>
                <w:szCs w:val="18"/>
              </w:rPr>
            </w:pPr>
          </w:p>
        </w:tc>
        <w:tc>
          <w:tcPr>
            <w:tcW w:w="711" w:type="dxa"/>
            <w:shd w:val="clear" w:color="auto" w:fill="auto"/>
          </w:tcPr>
          <w:p w14:paraId="790C4500" w14:textId="77777777" w:rsidR="00C63117" w:rsidRPr="00FA0C47" w:rsidRDefault="00C63117" w:rsidP="00C63117">
            <w:pPr>
              <w:jc w:val="right"/>
              <w:rPr>
                <w:b/>
                <w:sz w:val="18"/>
                <w:szCs w:val="18"/>
              </w:rPr>
            </w:pPr>
          </w:p>
        </w:tc>
      </w:tr>
      <w:tr w:rsidR="00C63117" w:rsidRPr="00677FFD" w14:paraId="54470FA7" w14:textId="77777777" w:rsidTr="0004564D">
        <w:trPr>
          <w:cantSplit/>
          <w:trHeight w:val="127"/>
        </w:trPr>
        <w:tc>
          <w:tcPr>
            <w:tcW w:w="1561" w:type="dxa"/>
            <w:tcBorders>
              <w:left w:val="single" w:sz="2" w:space="0" w:color="auto"/>
              <w:right w:val="single" w:sz="2" w:space="0" w:color="auto"/>
            </w:tcBorders>
          </w:tcPr>
          <w:p w14:paraId="6FFF3978" w14:textId="7FFE14ED"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116.73(e)(v)</w:t>
            </w:r>
          </w:p>
        </w:tc>
        <w:tc>
          <w:tcPr>
            <w:tcW w:w="3968" w:type="dxa"/>
            <w:tcBorders>
              <w:left w:val="single" w:sz="2" w:space="0" w:color="auto"/>
            </w:tcBorders>
            <w:shd w:val="clear" w:color="auto" w:fill="auto"/>
          </w:tcPr>
          <w:p w14:paraId="2D4C9227" w14:textId="49F63131" w:rsidR="00C63117" w:rsidRPr="00FA0C47" w:rsidRDefault="00C63117" w:rsidP="00C63117">
            <w:pPr>
              <w:rPr>
                <w:rFonts w:cs="Calibri"/>
                <w:b/>
                <w:bCs/>
                <w:sz w:val="14"/>
                <w:szCs w:val="14"/>
              </w:rPr>
            </w:pPr>
            <w:r w:rsidRPr="00FA0C47">
              <w:rPr>
                <w:rFonts w:cs="Calibri"/>
                <w:sz w:val="18"/>
                <w:szCs w:val="18"/>
              </w:rPr>
              <w:t>Impairment Losses Recognised in the Operating Result</w:t>
            </w:r>
          </w:p>
        </w:tc>
        <w:tc>
          <w:tcPr>
            <w:tcW w:w="1417" w:type="dxa"/>
            <w:gridSpan w:val="3"/>
            <w:tcBorders>
              <w:bottom w:val="single" w:sz="4" w:space="0" w:color="auto"/>
            </w:tcBorders>
            <w:shd w:val="clear" w:color="auto" w:fill="auto"/>
          </w:tcPr>
          <w:p w14:paraId="6D8FA8D3" w14:textId="77777777" w:rsidR="00C63117" w:rsidRPr="00FA0C47" w:rsidRDefault="00C63117" w:rsidP="00C63117">
            <w:pPr>
              <w:jc w:val="right"/>
              <w:rPr>
                <w:rFonts w:cs="Calibri"/>
                <w:sz w:val="12"/>
                <w:szCs w:val="12"/>
              </w:rPr>
            </w:pPr>
          </w:p>
        </w:tc>
        <w:tc>
          <w:tcPr>
            <w:tcW w:w="1418" w:type="dxa"/>
            <w:gridSpan w:val="3"/>
            <w:tcBorders>
              <w:bottom w:val="single" w:sz="4" w:space="0" w:color="auto"/>
            </w:tcBorders>
          </w:tcPr>
          <w:p w14:paraId="3B4C8B82" w14:textId="77777777" w:rsidR="00C63117" w:rsidRPr="00FA0C47" w:rsidRDefault="00C63117" w:rsidP="00C63117">
            <w:pPr>
              <w:jc w:val="right"/>
              <w:rPr>
                <w:b/>
                <w:sz w:val="18"/>
                <w:szCs w:val="18"/>
              </w:rPr>
            </w:pPr>
          </w:p>
        </w:tc>
        <w:tc>
          <w:tcPr>
            <w:tcW w:w="1417" w:type="dxa"/>
            <w:gridSpan w:val="6"/>
            <w:tcBorders>
              <w:bottom w:val="single" w:sz="4" w:space="0" w:color="auto"/>
            </w:tcBorders>
          </w:tcPr>
          <w:p w14:paraId="0290C097" w14:textId="77777777" w:rsidR="00C63117" w:rsidRPr="00FA0C47" w:rsidRDefault="00C63117" w:rsidP="00C63117">
            <w:pPr>
              <w:jc w:val="right"/>
              <w:rPr>
                <w:b/>
                <w:sz w:val="18"/>
                <w:szCs w:val="18"/>
              </w:rPr>
            </w:pPr>
          </w:p>
        </w:tc>
        <w:tc>
          <w:tcPr>
            <w:tcW w:w="711" w:type="dxa"/>
            <w:tcBorders>
              <w:bottom w:val="single" w:sz="4" w:space="0" w:color="auto"/>
            </w:tcBorders>
            <w:shd w:val="clear" w:color="auto" w:fill="auto"/>
          </w:tcPr>
          <w:p w14:paraId="0639037A" w14:textId="77777777" w:rsidR="00C63117" w:rsidRPr="00FA0C47" w:rsidRDefault="00C63117" w:rsidP="00C63117">
            <w:pPr>
              <w:jc w:val="right"/>
              <w:rPr>
                <w:b/>
                <w:sz w:val="18"/>
                <w:szCs w:val="18"/>
              </w:rPr>
            </w:pPr>
          </w:p>
        </w:tc>
      </w:tr>
      <w:tr w:rsidR="00C63117" w:rsidRPr="00677FFD" w14:paraId="5AE39F76" w14:textId="77777777" w:rsidTr="0004564D">
        <w:trPr>
          <w:cantSplit/>
          <w:trHeight w:val="127"/>
        </w:trPr>
        <w:tc>
          <w:tcPr>
            <w:tcW w:w="1561" w:type="dxa"/>
            <w:tcBorders>
              <w:left w:val="single" w:sz="2" w:space="0" w:color="auto"/>
              <w:right w:val="single" w:sz="2" w:space="0" w:color="auto"/>
            </w:tcBorders>
          </w:tcPr>
          <w:p w14:paraId="27F58160" w14:textId="2B4AA97C" w:rsidR="00C63117" w:rsidRPr="00FA0C47" w:rsidRDefault="00C63117" w:rsidP="00C63117">
            <w:pPr>
              <w:pStyle w:val="TableReference"/>
              <w:tabs>
                <w:tab w:val="left" w:pos="3306"/>
              </w:tabs>
              <w:rPr>
                <w:rFonts w:cs="Calibri"/>
                <w:color w:val="7030A0"/>
                <w:sz w:val="14"/>
              </w:rPr>
            </w:pPr>
            <w:r w:rsidRPr="00FA0C47">
              <w:rPr>
                <w:rFonts w:cs="Calibri"/>
                <w:color w:val="7030A0"/>
                <w:sz w:val="14"/>
              </w:rPr>
              <w:t>AASB 116.73(e)</w:t>
            </w:r>
          </w:p>
        </w:tc>
        <w:tc>
          <w:tcPr>
            <w:tcW w:w="3968" w:type="dxa"/>
            <w:tcBorders>
              <w:left w:val="single" w:sz="2" w:space="0" w:color="auto"/>
            </w:tcBorders>
            <w:shd w:val="clear" w:color="auto" w:fill="auto"/>
            <w:vAlign w:val="bottom"/>
          </w:tcPr>
          <w:p w14:paraId="10710410" w14:textId="6A54C220" w:rsidR="00C63117" w:rsidRPr="00FA0C47" w:rsidRDefault="00C63117" w:rsidP="00C63117">
            <w:pPr>
              <w:rPr>
                <w:rFonts w:cs="Calibri"/>
                <w:b/>
                <w:bCs/>
                <w:sz w:val="14"/>
                <w:szCs w:val="14"/>
              </w:rPr>
            </w:pPr>
            <w:r w:rsidRPr="00FA0C47">
              <w:rPr>
                <w:rFonts w:cs="Calibri"/>
                <w:b/>
                <w:bCs/>
                <w:sz w:val="18"/>
                <w:szCs w:val="18"/>
              </w:rPr>
              <w:t>Carrying Amount at the End of the Reporting Period</w:t>
            </w:r>
          </w:p>
        </w:tc>
        <w:tc>
          <w:tcPr>
            <w:tcW w:w="1417" w:type="dxa"/>
            <w:gridSpan w:val="3"/>
            <w:tcBorders>
              <w:top w:val="single" w:sz="4" w:space="0" w:color="auto"/>
              <w:bottom w:val="double" w:sz="4" w:space="0" w:color="auto"/>
            </w:tcBorders>
            <w:shd w:val="clear" w:color="auto" w:fill="auto"/>
            <w:vAlign w:val="center"/>
          </w:tcPr>
          <w:p w14:paraId="5AB59887" w14:textId="77777777" w:rsidR="00C63117" w:rsidRPr="00FA0C47" w:rsidRDefault="00C63117" w:rsidP="00C63117">
            <w:pPr>
              <w:jc w:val="right"/>
              <w:rPr>
                <w:rFonts w:cs="Calibri"/>
                <w:sz w:val="12"/>
                <w:szCs w:val="12"/>
              </w:rPr>
            </w:pPr>
          </w:p>
        </w:tc>
        <w:tc>
          <w:tcPr>
            <w:tcW w:w="1418" w:type="dxa"/>
            <w:gridSpan w:val="3"/>
            <w:tcBorders>
              <w:top w:val="single" w:sz="4" w:space="0" w:color="auto"/>
              <w:bottom w:val="double" w:sz="4" w:space="0" w:color="auto"/>
            </w:tcBorders>
            <w:vAlign w:val="center"/>
          </w:tcPr>
          <w:p w14:paraId="03A94E29" w14:textId="77777777" w:rsidR="00C63117" w:rsidRPr="00FA0C47" w:rsidRDefault="00C63117" w:rsidP="00C63117">
            <w:pPr>
              <w:jc w:val="right"/>
              <w:rPr>
                <w:b/>
                <w:sz w:val="18"/>
                <w:szCs w:val="18"/>
              </w:rPr>
            </w:pPr>
          </w:p>
        </w:tc>
        <w:tc>
          <w:tcPr>
            <w:tcW w:w="1417" w:type="dxa"/>
            <w:gridSpan w:val="6"/>
            <w:tcBorders>
              <w:top w:val="single" w:sz="4" w:space="0" w:color="auto"/>
              <w:bottom w:val="double" w:sz="4" w:space="0" w:color="auto"/>
            </w:tcBorders>
            <w:vAlign w:val="center"/>
          </w:tcPr>
          <w:p w14:paraId="11282994" w14:textId="77777777" w:rsidR="00C63117" w:rsidRPr="00FA0C47" w:rsidRDefault="00C63117" w:rsidP="00C63117">
            <w:pPr>
              <w:jc w:val="right"/>
              <w:rPr>
                <w:b/>
                <w:sz w:val="18"/>
                <w:szCs w:val="18"/>
              </w:rPr>
            </w:pPr>
          </w:p>
        </w:tc>
        <w:tc>
          <w:tcPr>
            <w:tcW w:w="711" w:type="dxa"/>
            <w:tcBorders>
              <w:top w:val="single" w:sz="4" w:space="0" w:color="auto"/>
              <w:bottom w:val="double" w:sz="4" w:space="0" w:color="auto"/>
            </w:tcBorders>
            <w:shd w:val="clear" w:color="auto" w:fill="auto"/>
            <w:vAlign w:val="center"/>
          </w:tcPr>
          <w:p w14:paraId="4CCFCC76" w14:textId="77777777" w:rsidR="00C63117" w:rsidRPr="00FA0C47" w:rsidRDefault="00C63117" w:rsidP="00C63117">
            <w:pPr>
              <w:jc w:val="right"/>
              <w:rPr>
                <w:b/>
                <w:sz w:val="18"/>
                <w:szCs w:val="18"/>
              </w:rPr>
            </w:pPr>
          </w:p>
        </w:tc>
      </w:tr>
      <w:tr w:rsidR="00C63117" w:rsidRPr="00677FFD" w14:paraId="5FA742A2" w14:textId="77777777" w:rsidTr="0004564D">
        <w:trPr>
          <w:cantSplit/>
          <w:trHeight w:val="127"/>
        </w:trPr>
        <w:tc>
          <w:tcPr>
            <w:tcW w:w="1561" w:type="dxa"/>
            <w:tcBorders>
              <w:left w:val="single" w:sz="2" w:space="0" w:color="auto"/>
              <w:right w:val="single" w:sz="2" w:space="0" w:color="auto"/>
            </w:tcBorders>
            <w:vAlign w:val="bottom"/>
          </w:tcPr>
          <w:p w14:paraId="69694E7A" w14:textId="77777777" w:rsidR="00C63117" w:rsidRPr="00FA0C47" w:rsidRDefault="00C63117" w:rsidP="00C63117">
            <w:pPr>
              <w:pStyle w:val="TableReference"/>
              <w:tabs>
                <w:tab w:val="left" w:pos="3306"/>
              </w:tabs>
              <w:rPr>
                <w:rFonts w:cs="Calibri"/>
                <w:color w:val="7030A0"/>
                <w:sz w:val="14"/>
              </w:rPr>
            </w:pPr>
          </w:p>
        </w:tc>
        <w:tc>
          <w:tcPr>
            <w:tcW w:w="3968" w:type="dxa"/>
            <w:tcBorders>
              <w:left w:val="single" w:sz="2" w:space="0" w:color="auto"/>
            </w:tcBorders>
            <w:shd w:val="clear" w:color="auto" w:fill="auto"/>
            <w:vAlign w:val="bottom"/>
          </w:tcPr>
          <w:p w14:paraId="07F48BA5" w14:textId="77777777" w:rsidR="00C63117" w:rsidRPr="00FA0C47" w:rsidRDefault="00C63117" w:rsidP="00C63117">
            <w:pPr>
              <w:rPr>
                <w:rFonts w:cs="Calibri"/>
                <w:b/>
                <w:bCs/>
                <w:sz w:val="14"/>
                <w:szCs w:val="14"/>
              </w:rPr>
            </w:pPr>
          </w:p>
        </w:tc>
        <w:tc>
          <w:tcPr>
            <w:tcW w:w="1417" w:type="dxa"/>
            <w:gridSpan w:val="3"/>
            <w:tcBorders>
              <w:top w:val="double" w:sz="4" w:space="0" w:color="auto"/>
            </w:tcBorders>
            <w:shd w:val="clear" w:color="auto" w:fill="auto"/>
            <w:vAlign w:val="bottom"/>
          </w:tcPr>
          <w:p w14:paraId="4B9DECF1" w14:textId="77777777" w:rsidR="00C63117" w:rsidRPr="00FA0C47" w:rsidRDefault="00C63117" w:rsidP="00C63117">
            <w:pPr>
              <w:jc w:val="right"/>
              <w:rPr>
                <w:rFonts w:cs="Calibri"/>
                <w:sz w:val="12"/>
                <w:szCs w:val="12"/>
              </w:rPr>
            </w:pPr>
          </w:p>
        </w:tc>
        <w:tc>
          <w:tcPr>
            <w:tcW w:w="1418" w:type="dxa"/>
            <w:gridSpan w:val="3"/>
            <w:tcBorders>
              <w:top w:val="double" w:sz="4" w:space="0" w:color="auto"/>
            </w:tcBorders>
          </w:tcPr>
          <w:p w14:paraId="0497B5A4" w14:textId="77777777" w:rsidR="00C63117" w:rsidRPr="00FA0C47" w:rsidRDefault="00C63117" w:rsidP="00C63117">
            <w:pPr>
              <w:jc w:val="right"/>
              <w:rPr>
                <w:b/>
                <w:sz w:val="18"/>
                <w:szCs w:val="18"/>
              </w:rPr>
            </w:pPr>
          </w:p>
        </w:tc>
        <w:tc>
          <w:tcPr>
            <w:tcW w:w="1417" w:type="dxa"/>
            <w:gridSpan w:val="6"/>
            <w:tcBorders>
              <w:top w:val="double" w:sz="4" w:space="0" w:color="auto"/>
            </w:tcBorders>
          </w:tcPr>
          <w:p w14:paraId="4B20111F" w14:textId="77777777" w:rsidR="00C63117" w:rsidRPr="00FA0C47" w:rsidRDefault="00C63117" w:rsidP="00C63117">
            <w:pPr>
              <w:jc w:val="right"/>
              <w:rPr>
                <w:b/>
                <w:sz w:val="18"/>
                <w:szCs w:val="18"/>
              </w:rPr>
            </w:pPr>
          </w:p>
        </w:tc>
        <w:tc>
          <w:tcPr>
            <w:tcW w:w="711" w:type="dxa"/>
            <w:tcBorders>
              <w:top w:val="double" w:sz="4" w:space="0" w:color="auto"/>
            </w:tcBorders>
            <w:shd w:val="clear" w:color="auto" w:fill="auto"/>
            <w:vAlign w:val="bottom"/>
          </w:tcPr>
          <w:p w14:paraId="283DA31C" w14:textId="77777777" w:rsidR="00C63117" w:rsidRPr="00FA0C47" w:rsidRDefault="00C63117" w:rsidP="00C63117">
            <w:pPr>
              <w:jc w:val="right"/>
              <w:rPr>
                <w:b/>
                <w:sz w:val="18"/>
                <w:szCs w:val="18"/>
              </w:rPr>
            </w:pPr>
          </w:p>
        </w:tc>
      </w:tr>
      <w:tr w:rsidR="00C63117" w:rsidRPr="00381D99" w14:paraId="4C5AB15A" w14:textId="77777777" w:rsidTr="0004564D">
        <w:trPr>
          <w:cantSplit/>
          <w:trHeight w:val="23"/>
        </w:trPr>
        <w:tc>
          <w:tcPr>
            <w:tcW w:w="1561" w:type="dxa"/>
            <w:tcBorders>
              <w:left w:val="single" w:sz="2" w:space="0" w:color="auto"/>
              <w:right w:val="single" w:sz="2" w:space="0" w:color="auto"/>
            </w:tcBorders>
            <w:vAlign w:val="bottom"/>
          </w:tcPr>
          <w:p w14:paraId="777AC52D" w14:textId="77777777" w:rsidR="00C63117" w:rsidRPr="00FA0C47" w:rsidRDefault="00C63117" w:rsidP="00C63117">
            <w:pPr>
              <w:pStyle w:val="TableReference"/>
              <w:tabs>
                <w:tab w:val="left" w:pos="3306"/>
              </w:tabs>
              <w:spacing w:after="120"/>
              <w:rPr>
                <w:rFonts w:cs="Calibri"/>
                <w:color w:val="7030A0"/>
                <w:sz w:val="18"/>
                <w:szCs w:val="18"/>
              </w:rPr>
            </w:pPr>
          </w:p>
        </w:tc>
        <w:tc>
          <w:tcPr>
            <w:tcW w:w="8931" w:type="dxa"/>
            <w:gridSpan w:val="14"/>
            <w:tcBorders>
              <w:left w:val="single" w:sz="2" w:space="0" w:color="auto"/>
            </w:tcBorders>
            <w:shd w:val="clear" w:color="auto" w:fill="auto"/>
            <w:vAlign w:val="bottom"/>
          </w:tcPr>
          <w:p w14:paraId="3BEB48F5" w14:textId="77777777" w:rsidR="00C63117" w:rsidRPr="00FA0C47" w:rsidRDefault="00C63117" w:rsidP="00C63117">
            <w:pPr>
              <w:spacing w:before="120"/>
              <w:rPr>
                <w:b/>
                <w:bCs/>
                <w:sz w:val="18"/>
                <w:szCs w:val="18"/>
              </w:rPr>
            </w:pPr>
            <w:r w:rsidRPr="00FA0C47">
              <w:rPr>
                <w:b/>
                <w:bCs/>
                <w:sz w:val="18"/>
                <w:szCs w:val="18"/>
              </w:rPr>
              <w:t>Service Concession Information in Other Financial Statement Notes</w:t>
            </w:r>
          </w:p>
        </w:tc>
      </w:tr>
      <w:tr w:rsidR="00C63117" w:rsidRPr="00381D99" w14:paraId="2954CB70" w14:textId="77777777" w:rsidTr="0004564D">
        <w:trPr>
          <w:cantSplit/>
          <w:trHeight w:val="23"/>
        </w:trPr>
        <w:tc>
          <w:tcPr>
            <w:tcW w:w="1561" w:type="dxa"/>
            <w:tcBorders>
              <w:left w:val="single" w:sz="2" w:space="0" w:color="auto"/>
              <w:right w:val="single" w:sz="2" w:space="0" w:color="auto"/>
            </w:tcBorders>
          </w:tcPr>
          <w:p w14:paraId="70784379" w14:textId="77777777" w:rsidR="00C63117" w:rsidRPr="00FA0C47" w:rsidRDefault="00C63117" w:rsidP="00C63117">
            <w:pPr>
              <w:pStyle w:val="TableReference"/>
              <w:tabs>
                <w:tab w:val="left" w:pos="3306"/>
              </w:tabs>
              <w:spacing w:after="240"/>
              <w:rPr>
                <w:rFonts w:cs="Calibri"/>
                <w:color w:val="7030A0"/>
                <w:sz w:val="16"/>
                <w:szCs w:val="16"/>
              </w:rPr>
            </w:pPr>
          </w:p>
        </w:tc>
        <w:tc>
          <w:tcPr>
            <w:tcW w:w="8931" w:type="dxa"/>
            <w:gridSpan w:val="14"/>
            <w:tcBorders>
              <w:left w:val="single" w:sz="2" w:space="0" w:color="auto"/>
            </w:tcBorders>
            <w:shd w:val="clear" w:color="auto" w:fill="auto"/>
            <w:vAlign w:val="bottom"/>
          </w:tcPr>
          <w:p w14:paraId="48D99B90" w14:textId="324CE75F" w:rsidR="00C63117" w:rsidRPr="00FA0C47" w:rsidRDefault="00C63117" w:rsidP="00C63117">
            <w:pPr>
              <w:spacing w:after="120"/>
              <w:jc w:val="both"/>
              <w:rPr>
                <w:sz w:val="18"/>
                <w:szCs w:val="18"/>
              </w:rPr>
            </w:pPr>
            <w:r w:rsidRPr="00FA0C47">
              <w:rPr>
                <w:sz w:val="18"/>
                <w:szCs w:val="18"/>
              </w:rPr>
              <w:t>There are a number of notes within the financial statements which contain information about the light rail service concession arrangement.</w:t>
            </w:r>
            <w:r w:rsidR="00FA7C77">
              <w:rPr>
                <w:sz w:val="18"/>
                <w:szCs w:val="18"/>
              </w:rPr>
              <w:t xml:space="preserve"> </w:t>
            </w:r>
            <w:r w:rsidRPr="00FA0C47">
              <w:rPr>
                <w:sz w:val="18"/>
                <w:szCs w:val="18"/>
              </w:rPr>
              <w:t>These notes are as follows:</w:t>
            </w:r>
          </w:p>
          <w:p w14:paraId="5F31B881" w14:textId="1B1D116E" w:rsidR="00C63117" w:rsidRPr="00FA0C47" w:rsidRDefault="00C63117" w:rsidP="007122BC">
            <w:pPr>
              <w:pStyle w:val="ListParagraph"/>
              <w:numPr>
                <w:ilvl w:val="0"/>
                <w:numId w:val="62"/>
              </w:numPr>
              <w:spacing w:after="60"/>
              <w:ind w:left="714" w:hanging="357"/>
              <w:contextualSpacing w:val="0"/>
              <w:jc w:val="both"/>
              <w:rPr>
                <w:sz w:val="18"/>
                <w:szCs w:val="18"/>
              </w:rPr>
            </w:pPr>
            <w:r w:rsidRPr="00FA0C47">
              <w:rPr>
                <w:sz w:val="18"/>
                <w:szCs w:val="18"/>
              </w:rPr>
              <w:t xml:space="preserve">Note 9 </w:t>
            </w:r>
            <w:r w:rsidRPr="00D70F08">
              <w:rPr>
                <w:i/>
                <w:iCs/>
                <w:sz w:val="18"/>
                <w:szCs w:val="18"/>
              </w:rPr>
              <w:t>Other Income</w:t>
            </w:r>
            <w:r w:rsidRPr="00FA0C47">
              <w:rPr>
                <w:sz w:val="18"/>
                <w:szCs w:val="18"/>
              </w:rPr>
              <w:t xml:space="preserve"> – This note contains information about the amount of service concession revenue which is being recognised as a result of the unwinding of the service concession unearned revenue liability (GORTO liability);</w:t>
            </w:r>
          </w:p>
          <w:p w14:paraId="11801ADC" w14:textId="38C33E58" w:rsidR="00C63117" w:rsidRPr="00FA0C47" w:rsidRDefault="00C63117" w:rsidP="007122BC">
            <w:pPr>
              <w:pStyle w:val="ListParagraph"/>
              <w:numPr>
                <w:ilvl w:val="0"/>
                <w:numId w:val="62"/>
              </w:numPr>
              <w:spacing w:after="60"/>
              <w:ind w:left="714" w:hanging="357"/>
              <w:contextualSpacing w:val="0"/>
              <w:jc w:val="both"/>
              <w:rPr>
                <w:sz w:val="18"/>
                <w:szCs w:val="18"/>
              </w:rPr>
            </w:pPr>
            <w:r w:rsidRPr="00FA0C47">
              <w:rPr>
                <w:sz w:val="18"/>
                <w:szCs w:val="18"/>
              </w:rPr>
              <w:t xml:space="preserve">Note 11 </w:t>
            </w:r>
            <w:r w:rsidRPr="00D70F08">
              <w:rPr>
                <w:i/>
                <w:iCs/>
                <w:sz w:val="18"/>
                <w:szCs w:val="18"/>
              </w:rPr>
              <w:t>Supplies and Services</w:t>
            </w:r>
            <w:r w:rsidRPr="00FA0C47">
              <w:rPr>
                <w:sz w:val="18"/>
                <w:szCs w:val="18"/>
              </w:rPr>
              <w:t xml:space="preserve"> – This note contains information about the operating costs that are being expensed in the Operating Statement as they are incurred;</w:t>
            </w:r>
          </w:p>
          <w:p w14:paraId="7CA7939E" w14:textId="452BF65C" w:rsidR="00C63117" w:rsidRPr="00FA0C47" w:rsidRDefault="00C63117" w:rsidP="007122BC">
            <w:pPr>
              <w:pStyle w:val="ListParagraph"/>
              <w:numPr>
                <w:ilvl w:val="0"/>
                <w:numId w:val="62"/>
              </w:numPr>
              <w:spacing w:after="60"/>
              <w:ind w:left="714" w:hanging="357"/>
              <w:contextualSpacing w:val="0"/>
              <w:jc w:val="both"/>
              <w:rPr>
                <w:sz w:val="18"/>
                <w:szCs w:val="18"/>
              </w:rPr>
            </w:pPr>
            <w:r w:rsidRPr="00FA0C47">
              <w:rPr>
                <w:sz w:val="18"/>
                <w:szCs w:val="18"/>
              </w:rPr>
              <w:t xml:space="preserve">Note 13 </w:t>
            </w:r>
            <w:r w:rsidRPr="00D70F08">
              <w:rPr>
                <w:i/>
                <w:iCs/>
                <w:sz w:val="18"/>
                <w:szCs w:val="18"/>
              </w:rPr>
              <w:t>Borrowing Costs</w:t>
            </w:r>
            <w:r w:rsidRPr="00FA0C47">
              <w:rPr>
                <w:sz w:val="18"/>
                <w:szCs w:val="18"/>
              </w:rPr>
              <w:t xml:space="preserve"> – This note contains information about the interest costs related to the service concession finance liability;</w:t>
            </w:r>
          </w:p>
          <w:p w14:paraId="50C1793C" w14:textId="35C1FCE4" w:rsidR="00C63117" w:rsidRPr="00FA0C47" w:rsidRDefault="00C63117" w:rsidP="007122BC">
            <w:pPr>
              <w:pStyle w:val="ListParagraph"/>
              <w:numPr>
                <w:ilvl w:val="0"/>
                <w:numId w:val="62"/>
              </w:numPr>
              <w:spacing w:after="60"/>
              <w:ind w:left="714" w:hanging="357"/>
              <w:contextualSpacing w:val="0"/>
              <w:jc w:val="both"/>
              <w:rPr>
                <w:sz w:val="18"/>
                <w:szCs w:val="18"/>
              </w:rPr>
            </w:pPr>
            <w:r w:rsidRPr="00FA0C47">
              <w:rPr>
                <w:sz w:val="18"/>
                <w:szCs w:val="18"/>
              </w:rPr>
              <w:t xml:space="preserve">Note 19 </w:t>
            </w:r>
            <w:r w:rsidRPr="00D70F08">
              <w:rPr>
                <w:i/>
                <w:iCs/>
                <w:sz w:val="18"/>
                <w:szCs w:val="18"/>
              </w:rPr>
              <w:t>Property, Plant and Equipment</w:t>
            </w:r>
            <w:r w:rsidRPr="00FA0C47">
              <w:rPr>
                <w:sz w:val="18"/>
                <w:szCs w:val="18"/>
              </w:rPr>
              <w:t xml:space="preserve"> – This note contains information about the carrying amount and depreciation of light rail service concession assets;</w:t>
            </w:r>
          </w:p>
        </w:tc>
      </w:tr>
      <w:tr w:rsidR="00C63117" w:rsidRPr="00381D99" w14:paraId="668B15E5" w14:textId="77777777" w:rsidTr="0004564D">
        <w:trPr>
          <w:cantSplit/>
          <w:trHeight w:val="23"/>
        </w:trPr>
        <w:tc>
          <w:tcPr>
            <w:tcW w:w="1561" w:type="dxa"/>
            <w:tcBorders>
              <w:left w:val="single" w:sz="2" w:space="0" w:color="auto"/>
              <w:right w:val="single" w:sz="2" w:space="0" w:color="auto"/>
            </w:tcBorders>
            <w:vAlign w:val="center"/>
          </w:tcPr>
          <w:p w14:paraId="19DFFF1C" w14:textId="3C0759EE" w:rsidR="00C63117" w:rsidRPr="00FA0C47" w:rsidRDefault="00C63117" w:rsidP="00C63117">
            <w:pPr>
              <w:pStyle w:val="TableReference"/>
              <w:tabs>
                <w:tab w:val="left" w:pos="3306"/>
              </w:tabs>
              <w:spacing w:before="240" w:after="240"/>
              <w:rPr>
                <w:rFonts w:cs="Calibri"/>
                <w:color w:val="7030A0"/>
                <w:sz w:val="16"/>
                <w:szCs w:val="16"/>
              </w:rPr>
            </w:pPr>
            <w:r w:rsidRPr="00FA0C47">
              <w:rPr>
                <w:rFonts w:cs="Calibri"/>
                <w:b/>
                <w:color w:val="7030A0"/>
                <w:sz w:val="22"/>
                <w:szCs w:val="22"/>
              </w:rPr>
              <w:t>Reference</w:t>
            </w:r>
          </w:p>
        </w:tc>
        <w:tc>
          <w:tcPr>
            <w:tcW w:w="8931" w:type="dxa"/>
            <w:gridSpan w:val="14"/>
            <w:tcBorders>
              <w:left w:val="single" w:sz="2" w:space="0" w:color="auto"/>
            </w:tcBorders>
            <w:shd w:val="clear" w:color="auto" w:fill="auto"/>
            <w:vAlign w:val="center"/>
          </w:tcPr>
          <w:p w14:paraId="414A9D8E" w14:textId="42A61B25" w:rsidR="00C63117" w:rsidRPr="00C63117" w:rsidRDefault="00C63117" w:rsidP="00D70F08">
            <w:pPr>
              <w:spacing w:before="240" w:after="240"/>
              <w:rPr>
                <w:color w:val="FF0000"/>
                <w:sz w:val="18"/>
                <w:szCs w:val="18"/>
              </w:rPr>
            </w:pPr>
            <w:r w:rsidRPr="001D7D76">
              <w:rPr>
                <w:rFonts w:ascii="Arial" w:hAnsi="Arial"/>
                <w:b/>
                <w:bCs/>
                <w:caps/>
                <w:sz w:val="32"/>
                <w:szCs w:val="24"/>
              </w:rPr>
              <w:t>Note 39 Service Concession Arrangements</w:t>
            </w:r>
            <w:r>
              <w:rPr>
                <w:rFonts w:ascii="Arial" w:hAnsi="Arial"/>
                <w:b/>
                <w:bCs/>
                <w:caps/>
                <w:sz w:val="32"/>
                <w:szCs w:val="24"/>
              </w:rPr>
              <w:t xml:space="preserve"> </w:t>
            </w:r>
            <w:r w:rsidR="00D70F08">
              <w:rPr>
                <w:rFonts w:ascii="Arial" w:hAnsi="Arial"/>
                <w:b/>
                <w:bCs/>
                <w:caps/>
                <w:sz w:val="32"/>
                <w:szCs w:val="24"/>
              </w:rPr>
              <w:t>–</w:t>
            </w:r>
            <w:r>
              <w:rPr>
                <w:rFonts w:ascii="Arial" w:hAnsi="Arial"/>
                <w:b/>
                <w:bCs/>
                <w:caps/>
                <w:sz w:val="32"/>
                <w:szCs w:val="24"/>
              </w:rPr>
              <w:t xml:space="preserve"> Continued</w:t>
            </w:r>
            <w:r w:rsidR="00D70F08">
              <w:rPr>
                <w:rFonts w:ascii="Arial" w:hAnsi="Arial"/>
                <w:b/>
                <w:bCs/>
                <w:caps/>
                <w:sz w:val="32"/>
                <w:szCs w:val="24"/>
              </w:rPr>
              <w:t xml:space="preserve"> </w:t>
            </w:r>
          </w:p>
        </w:tc>
      </w:tr>
      <w:tr w:rsidR="000A1EDA" w:rsidRPr="00381D99" w14:paraId="6542BB3D" w14:textId="77777777" w:rsidTr="0004564D">
        <w:trPr>
          <w:cantSplit/>
          <w:trHeight w:val="23"/>
        </w:trPr>
        <w:tc>
          <w:tcPr>
            <w:tcW w:w="1561" w:type="dxa"/>
            <w:tcBorders>
              <w:left w:val="single" w:sz="2" w:space="0" w:color="auto"/>
              <w:right w:val="single" w:sz="2" w:space="0" w:color="auto"/>
            </w:tcBorders>
            <w:vAlign w:val="bottom"/>
          </w:tcPr>
          <w:p w14:paraId="385E4DFF" w14:textId="77777777" w:rsidR="000A1EDA" w:rsidRPr="00FA0C47" w:rsidRDefault="000A1EDA" w:rsidP="00DA5473">
            <w:pPr>
              <w:pStyle w:val="TableReference"/>
              <w:tabs>
                <w:tab w:val="left" w:pos="3306"/>
              </w:tabs>
              <w:spacing w:after="120"/>
              <w:rPr>
                <w:rFonts w:cs="Calibri"/>
                <w:color w:val="7030A0"/>
                <w:sz w:val="18"/>
                <w:szCs w:val="18"/>
              </w:rPr>
            </w:pPr>
          </w:p>
        </w:tc>
        <w:tc>
          <w:tcPr>
            <w:tcW w:w="8931" w:type="dxa"/>
            <w:gridSpan w:val="14"/>
            <w:tcBorders>
              <w:left w:val="single" w:sz="2" w:space="0" w:color="auto"/>
            </w:tcBorders>
            <w:shd w:val="clear" w:color="auto" w:fill="auto"/>
            <w:vAlign w:val="bottom"/>
          </w:tcPr>
          <w:p w14:paraId="14E30BA7" w14:textId="7E860287" w:rsidR="000A1EDA" w:rsidRPr="00FA0C47" w:rsidRDefault="000A1EDA" w:rsidP="000A1EDA">
            <w:pPr>
              <w:rPr>
                <w:b/>
                <w:bCs/>
                <w:sz w:val="18"/>
                <w:szCs w:val="18"/>
              </w:rPr>
            </w:pPr>
            <w:r w:rsidRPr="00FA0C47">
              <w:rPr>
                <w:b/>
                <w:bCs/>
                <w:sz w:val="18"/>
                <w:szCs w:val="18"/>
              </w:rPr>
              <w:t>Service Concession Information in Other Financial Statement Notes</w:t>
            </w:r>
            <w:r>
              <w:rPr>
                <w:b/>
                <w:bCs/>
                <w:sz w:val="18"/>
                <w:szCs w:val="18"/>
              </w:rPr>
              <w:t xml:space="preserve"> – Continued </w:t>
            </w:r>
          </w:p>
        </w:tc>
      </w:tr>
      <w:tr w:rsidR="00C63117" w:rsidRPr="00381D99" w14:paraId="237F5ED1" w14:textId="77777777" w:rsidTr="0004564D">
        <w:trPr>
          <w:cantSplit/>
          <w:trHeight w:val="23"/>
        </w:trPr>
        <w:tc>
          <w:tcPr>
            <w:tcW w:w="1561" w:type="dxa"/>
            <w:tcBorders>
              <w:left w:val="single" w:sz="2" w:space="0" w:color="auto"/>
              <w:right w:val="single" w:sz="2" w:space="0" w:color="auto"/>
            </w:tcBorders>
          </w:tcPr>
          <w:p w14:paraId="4E529513" w14:textId="77777777" w:rsidR="00C63117" w:rsidRPr="00FA0C47" w:rsidRDefault="00C63117" w:rsidP="00C63117">
            <w:pPr>
              <w:pStyle w:val="TableReference"/>
              <w:tabs>
                <w:tab w:val="left" w:pos="3306"/>
              </w:tabs>
              <w:spacing w:after="240"/>
              <w:rPr>
                <w:rFonts w:cs="Calibri"/>
                <w:color w:val="7030A0"/>
                <w:sz w:val="16"/>
                <w:szCs w:val="16"/>
              </w:rPr>
            </w:pPr>
          </w:p>
        </w:tc>
        <w:tc>
          <w:tcPr>
            <w:tcW w:w="8931" w:type="dxa"/>
            <w:gridSpan w:val="14"/>
            <w:tcBorders>
              <w:left w:val="single" w:sz="2" w:space="0" w:color="auto"/>
            </w:tcBorders>
            <w:shd w:val="clear" w:color="auto" w:fill="auto"/>
            <w:vAlign w:val="bottom"/>
          </w:tcPr>
          <w:p w14:paraId="4E4C72D0" w14:textId="4AA93C94" w:rsidR="00C63117" w:rsidRPr="00FA0C47" w:rsidRDefault="00C63117" w:rsidP="007122BC">
            <w:pPr>
              <w:pStyle w:val="ListParagraph"/>
              <w:numPr>
                <w:ilvl w:val="0"/>
                <w:numId w:val="62"/>
              </w:numPr>
              <w:spacing w:after="60"/>
              <w:ind w:left="714" w:hanging="357"/>
              <w:contextualSpacing w:val="0"/>
              <w:jc w:val="both"/>
              <w:rPr>
                <w:sz w:val="18"/>
                <w:szCs w:val="18"/>
              </w:rPr>
            </w:pPr>
            <w:r w:rsidRPr="00FA0C47">
              <w:rPr>
                <w:sz w:val="18"/>
                <w:szCs w:val="18"/>
              </w:rPr>
              <w:t xml:space="preserve">Note 25 </w:t>
            </w:r>
            <w:r w:rsidRPr="00D70F08">
              <w:rPr>
                <w:i/>
                <w:iCs/>
                <w:sz w:val="18"/>
                <w:szCs w:val="18"/>
              </w:rPr>
              <w:t>Borrowings</w:t>
            </w:r>
            <w:r w:rsidRPr="00FA0C47">
              <w:rPr>
                <w:sz w:val="18"/>
                <w:szCs w:val="18"/>
              </w:rPr>
              <w:t xml:space="preserve"> and Note 31 </w:t>
            </w:r>
            <w:r w:rsidRPr="00D70F08">
              <w:rPr>
                <w:i/>
                <w:iCs/>
                <w:sz w:val="18"/>
                <w:szCs w:val="18"/>
              </w:rPr>
              <w:t>Financial Instruments</w:t>
            </w:r>
            <w:r w:rsidRPr="00FA0C47">
              <w:rPr>
                <w:sz w:val="18"/>
                <w:szCs w:val="18"/>
              </w:rPr>
              <w:t xml:space="preserve"> – These notes contain information about the amount of the service concession finance liability; </w:t>
            </w:r>
          </w:p>
          <w:p w14:paraId="65DD807C" w14:textId="00F9519E" w:rsidR="00C63117" w:rsidRPr="00FA0C47" w:rsidRDefault="00C63117" w:rsidP="007122BC">
            <w:pPr>
              <w:pStyle w:val="ListParagraph"/>
              <w:numPr>
                <w:ilvl w:val="0"/>
                <w:numId w:val="62"/>
              </w:numPr>
              <w:spacing w:after="60"/>
              <w:ind w:left="714" w:hanging="357"/>
              <w:contextualSpacing w:val="0"/>
              <w:jc w:val="both"/>
              <w:rPr>
                <w:sz w:val="18"/>
                <w:szCs w:val="18"/>
              </w:rPr>
            </w:pPr>
            <w:r w:rsidRPr="00FA0C47">
              <w:rPr>
                <w:sz w:val="18"/>
                <w:szCs w:val="18"/>
              </w:rPr>
              <w:t xml:space="preserve">Note 29 </w:t>
            </w:r>
            <w:r w:rsidRPr="00D70F08">
              <w:rPr>
                <w:i/>
                <w:iCs/>
                <w:sz w:val="18"/>
                <w:szCs w:val="18"/>
              </w:rPr>
              <w:t>Other Liabilities</w:t>
            </w:r>
            <w:r w:rsidRPr="00FA0C47">
              <w:rPr>
                <w:sz w:val="18"/>
                <w:szCs w:val="18"/>
              </w:rPr>
              <w:t xml:space="preserve"> – This note contains information about the amount of the service concession unearned revenue liability (GORTO liability); </w:t>
            </w:r>
            <w:r w:rsidR="00294E29">
              <w:rPr>
                <w:sz w:val="18"/>
                <w:szCs w:val="18"/>
              </w:rPr>
              <w:t>and</w:t>
            </w:r>
          </w:p>
          <w:p w14:paraId="7D96F69A" w14:textId="22C549F2" w:rsidR="00C63117" w:rsidRPr="00FA0C47" w:rsidRDefault="00C63117" w:rsidP="007122BC">
            <w:pPr>
              <w:pStyle w:val="ListParagraph"/>
              <w:numPr>
                <w:ilvl w:val="0"/>
                <w:numId w:val="62"/>
              </w:numPr>
              <w:spacing w:after="60"/>
              <w:ind w:left="714" w:hanging="357"/>
              <w:contextualSpacing w:val="0"/>
              <w:jc w:val="both"/>
              <w:rPr>
                <w:sz w:val="18"/>
                <w:szCs w:val="18"/>
              </w:rPr>
            </w:pPr>
            <w:r w:rsidRPr="00FA0C47">
              <w:rPr>
                <w:sz w:val="18"/>
                <w:szCs w:val="18"/>
              </w:rPr>
              <w:t xml:space="preserve">Note 32 </w:t>
            </w:r>
            <w:r w:rsidRPr="00D70F08">
              <w:rPr>
                <w:i/>
                <w:iCs/>
                <w:sz w:val="18"/>
                <w:szCs w:val="18"/>
              </w:rPr>
              <w:t>Capital and Other Expenditure Commitments</w:t>
            </w:r>
            <w:r w:rsidRPr="00FA0C47">
              <w:rPr>
                <w:sz w:val="18"/>
                <w:szCs w:val="18"/>
              </w:rPr>
              <w:t xml:space="preserve"> – This note contains information about the Future operating costs which are currently disclosed as commitments</w:t>
            </w:r>
            <w:r w:rsidR="00294E29">
              <w:rPr>
                <w:sz w:val="18"/>
                <w:szCs w:val="18"/>
              </w:rPr>
              <w:t>.</w:t>
            </w:r>
          </w:p>
        </w:tc>
      </w:tr>
      <w:tr w:rsidR="006B3063" w:rsidRPr="00976DE1" w14:paraId="155595C1" w14:textId="77777777" w:rsidTr="0004564D">
        <w:trPr>
          <w:cantSplit/>
          <w:trHeight w:val="23"/>
        </w:trPr>
        <w:tc>
          <w:tcPr>
            <w:tcW w:w="1561" w:type="dxa"/>
            <w:tcBorders>
              <w:left w:val="single" w:sz="2" w:space="0" w:color="auto"/>
              <w:right w:val="single" w:sz="2" w:space="0" w:color="auto"/>
            </w:tcBorders>
            <w:vAlign w:val="bottom"/>
          </w:tcPr>
          <w:p w14:paraId="719702B5" w14:textId="2A9759FF" w:rsidR="006B3063" w:rsidRPr="00FA0C47" w:rsidRDefault="006B3063" w:rsidP="009A0F2F">
            <w:pPr>
              <w:pStyle w:val="TableReference"/>
              <w:tabs>
                <w:tab w:val="left" w:pos="3306"/>
              </w:tabs>
              <w:spacing w:before="240" w:after="240"/>
              <w:rPr>
                <w:rFonts w:cs="Calibri"/>
                <w:b/>
                <w:color w:val="7030A0"/>
                <w:sz w:val="22"/>
                <w:szCs w:val="22"/>
              </w:rPr>
            </w:pPr>
            <w:bookmarkStart w:id="789" w:name="_Hlk90500150"/>
          </w:p>
        </w:tc>
        <w:tc>
          <w:tcPr>
            <w:tcW w:w="8931" w:type="dxa"/>
            <w:gridSpan w:val="14"/>
            <w:tcBorders>
              <w:left w:val="single" w:sz="2" w:space="0" w:color="auto"/>
            </w:tcBorders>
            <w:shd w:val="clear" w:color="auto" w:fill="auto"/>
            <w:vAlign w:val="bottom"/>
          </w:tcPr>
          <w:p w14:paraId="494FCC18" w14:textId="1416AE6B" w:rsidR="006B3063" w:rsidRPr="00FA0C47" w:rsidRDefault="006B3063" w:rsidP="00D96989">
            <w:pPr>
              <w:pStyle w:val="Heading1"/>
              <w:numPr>
                <w:ilvl w:val="0"/>
                <w:numId w:val="0"/>
              </w:numPr>
              <w:ind w:left="1134" w:hanging="1134"/>
            </w:pPr>
            <w:bookmarkStart w:id="790" w:name="_Toc98763182"/>
            <w:r w:rsidRPr="00FA0C47">
              <w:t>Note 4</w:t>
            </w:r>
            <w:r w:rsidR="00A03437" w:rsidRPr="00FA0C47">
              <w:t>0</w:t>
            </w:r>
            <w:r w:rsidRPr="00FA0C47">
              <w:t>.</w:t>
            </w:r>
            <w:r w:rsidR="00FA7C77">
              <w:t xml:space="preserve"> </w:t>
            </w:r>
            <w:r w:rsidRPr="00FA0C47">
              <w:t xml:space="preserve"> Budgetary Reporting</w:t>
            </w:r>
            <w:bookmarkEnd w:id="790"/>
          </w:p>
        </w:tc>
      </w:tr>
      <w:tr w:rsidR="006B3063" w:rsidRPr="00976DE1" w14:paraId="08B3CFDD" w14:textId="77777777" w:rsidTr="0004564D">
        <w:trPr>
          <w:cantSplit/>
          <w:trHeight w:val="273"/>
        </w:trPr>
        <w:tc>
          <w:tcPr>
            <w:tcW w:w="1561" w:type="dxa"/>
            <w:tcBorders>
              <w:left w:val="single" w:sz="2" w:space="0" w:color="auto"/>
              <w:right w:val="single" w:sz="2" w:space="0" w:color="auto"/>
            </w:tcBorders>
          </w:tcPr>
          <w:p w14:paraId="0F5EC936" w14:textId="5065C46F" w:rsidR="006B3063" w:rsidRPr="00FA0C47" w:rsidRDefault="006B3063" w:rsidP="006B3063">
            <w:pPr>
              <w:pStyle w:val="TableReference"/>
              <w:tabs>
                <w:tab w:val="left" w:pos="3306"/>
              </w:tabs>
              <w:rPr>
                <w:rFonts w:cs="Calibri"/>
                <w:color w:val="7030A0"/>
                <w:sz w:val="14"/>
              </w:rPr>
            </w:pPr>
          </w:p>
        </w:tc>
        <w:tc>
          <w:tcPr>
            <w:tcW w:w="8931" w:type="dxa"/>
            <w:gridSpan w:val="14"/>
            <w:tcBorders>
              <w:left w:val="single" w:sz="2" w:space="0" w:color="auto"/>
            </w:tcBorders>
            <w:shd w:val="clear" w:color="auto" w:fill="auto"/>
          </w:tcPr>
          <w:p w14:paraId="4259C3A8" w14:textId="20C0246B" w:rsidR="006B3063" w:rsidRPr="00FA0C47" w:rsidRDefault="006B3063" w:rsidP="006B3063">
            <w:pPr>
              <w:autoSpaceDE w:val="0"/>
              <w:autoSpaceDN w:val="0"/>
              <w:adjustRightInd w:val="0"/>
              <w:rPr>
                <w:b/>
                <w:bCs/>
                <w:sz w:val="20"/>
                <w:szCs w:val="20"/>
              </w:rPr>
            </w:pPr>
            <w:r w:rsidRPr="00FA0C47">
              <w:rPr>
                <w:b/>
                <w:bCs/>
                <w:sz w:val="18"/>
                <w:szCs w:val="18"/>
              </w:rPr>
              <w:t>Significant Accounting Judgements and Estimates – Budgetary Reporting</w:t>
            </w:r>
          </w:p>
        </w:tc>
      </w:tr>
      <w:tr w:rsidR="006B3063" w:rsidRPr="00976DE1" w14:paraId="7115332F" w14:textId="77777777" w:rsidTr="0004564D">
        <w:trPr>
          <w:cantSplit/>
          <w:trHeight w:val="404"/>
        </w:trPr>
        <w:tc>
          <w:tcPr>
            <w:tcW w:w="1561" w:type="dxa"/>
            <w:tcBorders>
              <w:left w:val="single" w:sz="2" w:space="0" w:color="auto"/>
              <w:right w:val="single" w:sz="2" w:space="0" w:color="auto"/>
            </w:tcBorders>
          </w:tcPr>
          <w:p w14:paraId="7539FDDD" w14:textId="77777777" w:rsidR="006B3063" w:rsidRPr="00FA0C47" w:rsidRDefault="006B3063" w:rsidP="006B3063">
            <w:pPr>
              <w:pStyle w:val="TableReference"/>
              <w:tabs>
                <w:tab w:val="left" w:pos="3306"/>
              </w:tabs>
              <w:rPr>
                <w:rFonts w:cs="Calibri"/>
                <w:color w:val="7030A0"/>
                <w:sz w:val="18"/>
                <w:szCs w:val="18"/>
              </w:rPr>
            </w:pPr>
          </w:p>
        </w:tc>
        <w:tc>
          <w:tcPr>
            <w:tcW w:w="8931" w:type="dxa"/>
            <w:gridSpan w:val="14"/>
            <w:tcBorders>
              <w:left w:val="single" w:sz="2" w:space="0" w:color="auto"/>
            </w:tcBorders>
            <w:shd w:val="clear" w:color="auto" w:fill="auto"/>
          </w:tcPr>
          <w:p w14:paraId="0641F37E" w14:textId="77777777" w:rsidR="006B3063" w:rsidRPr="00FA0C47" w:rsidRDefault="006B3063" w:rsidP="006B3063">
            <w:pPr>
              <w:jc w:val="both"/>
              <w:rPr>
                <w:sz w:val="18"/>
                <w:szCs w:val="18"/>
              </w:rPr>
            </w:pPr>
            <w:r w:rsidRPr="00FA0C47">
              <w:rPr>
                <w:sz w:val="18"/>
                <w:szCs w:val="18"/>
              </w:rPr>
              <w:t>Significant judgements have been applied in determining what variances are considered ‘major variances’. Variances are considered major if both of the following criteria are met:</w:t>
            </w:r>
          </w:p>
          <w:p w14:paraId="024160A9" w14:textId="77777777" w:rsidR="002B22EC" w:rsidRPr="00FA0C47" w:rsidRDefault="006B3063" w:rsidP="007122BC">
            <w:pPr>
              <w:numPr>
                <w:ilvl w:val="0"/>
                <w:numId w:val="42"/>
              </w:numPr>
              <w:ind w:left="284" w:hanging="284"/>
              <w:jc w:val="both"/>
              <w:rPr>
                <w:sz w:val="18"/>
                <w:szCs w:val="18"/>
              </w:rPr>
            </w:pPr>
            <w:r w:rsidRPr="00FA0C47">
              <w:rPr>
                <w:sz w:val="18"/>
                <w:szCs w:val="18"/>
              </w:rPr>
              <w:t xml:space="preserve">The line item is a significant line item: where either the line item actual amount accounts for </w:t>
            </w:r>
            <w:r w:rsidRPr="00FA0C47">
              <w:rPr>
                <w:sz w:val="18"/>
                <w:szCs w:val="18"/>
                <w:u w:val="single"/>
              </w:rPr>
              <w:t>more than</w:t>
            </w:r>
            <w:r w:rsidRPr="00FA0C47">
              <w:rPr>
                <w:sz w:val="18"/>
                <w:szCs w:val="18"/>
              </w:rPr>
              <w:t xml:space="preserve"> 10% of the relevant associated </w:t>
            </w:r>
            <w:r w:rsidR="00E448FC" w:rsidRPr="00FA0C47">
              <w:rPr>
                <w:sz w:val="18"/>
                <w:szCs w:val="18"/>
              </w:rPr>
              <w:t xml:space="preserve">actual category amount (Income, Expenses, Assets, liabilities and Equity totals) </w:t>
            </w:r>
            <w:r w:rsidRPr="00FA0C47">
              <w:rPr>
                <w:sz w:val="18"/>
                <w:szCs w:val="18"/>
              </w:rPr>
              <w:t xml:space="preserve">or </w:t>
            </w:r>
            <w:r w:rsidRPr="00FA0C47">
              <w:rPr>
                <w:sz w:val="18"/>
                <w:szCs w:val="18"/>
                <w:u w:val="single"/>
              </w:rPr>
              <w:t>more than</w:t>
            </w:r>
            <w:r w:rsidRPr="00FA0C47">
              <w:rPr>
                <w:sz w:val="18"/>
                <w:szCs w:val="18"/>
              </w:rPr>
              <w:t xml:space="preserve"> 10% of the sub-element (e.g. Current Liabilities and Receipts from Operating Activities totals) of the financial statements; and</w:t>
            </w:r>
          </w:p>
          <w:p w14:paraId="4CCD0A69" w14:textId="409A8086" w:rsidR="006B3063" w:rsidRPr="00FA0C47" w:rsidRDefault="003330AF" w:rsidP="007122BC">
            <w:pPr>
              <w:numPr>
                <w:ilvl w:val="0"/>
                <w:numId w:val="42"/>
              </w:numPr>
              <w:spacing w:after="120"/>
              <w:ind w:left="284" w:hanging="284"/>
              <w:jc w:val="both"/>
              <w:rPr>
                <w:sz w:val="18"/>
                <w:szCs w:val="18"/>
              </w:rPr>
            </w:pPr>
            <w:r w:rsidRPr="00FA0C47">
              <w:rPr>
                <w:sz w:val="18"/>
                <w:szCs w:val="18"/>
              </w:rPr>
              <w:t xml:space="preserve">The variances (original budget to actual) are greater than plus (+) or minus (-) </w:t>
            </w:r>
            <w:r w:rsidR="008C0EB6" w:rsidRPr="00FA0C47">
              <w:rPr>
                <w:sz w:val="18"/>
                <w:szCs w:val="18"/>
              </w:rPr>
              <w:t>10</w:t>
            </w:r>
            <w:r w:rsidRPr="00FA0C47">
              <w:rPr>
                <w:sz w:val="18"/>
                <w:szCs w:val="18"/>
              </w:rPr>
              <w:t>% and $15 million for the financial statement line item.</w:t>
            </w:r>
            <w:r w:rsidR="00E448FC" w:rsidRPr="00FA0C47">
              <w:rPr>
                <w:sz w:val="18"/>
                <w:szCs w:val="18"/>
              </w:rPr>
              <w:t>[Please see Comm</w:t>
            </w:r>
            <w:r w:rsidR="00C958E9" w:rsidRPr="00FA0C47">
              <w:rPr>
                <w:sz w:val="18"/>
                <w:szCs w:val="18"/>
              </w:rPr>
              <w:t>ent</w:t>
            </w:r>
            <w:r w:rsidR="00E448FC" w:rsidRPr="00FA0C47">
              <w:rPr>
                <w:sz w:val="18"/>
                <w:szCs w:val="18"/>
              </w:rPr>
              <w:t xml:space="preserve">ary below for </w:t>
            </w:r>
            <w:r w:rsidR="00C958E9" w:rsidRPr="00FA0C47">
              <w:rPr>
                <w:sz w:val="18"/>
                <w:szCs w:val="18"/>
              </w:rPr>
              <w:t>thresholds</w:t>
            </w:r>
            <w:r w:rsidR="00E448FC" w:rsidRPr="00FA0C47">
              <w:rPr>
                <w:sz w:val="18"/>
                <w:szCs w:val="18"/>
              </w:rPr>
              <w:t xml:space="preserve"> for Smaller Agencies.]</w:t>
            </w:r>
          </w:p>
        </w:tc>
      </w:tr>
      <w:tr w:rsidR="003F3927" w:rsidRPr="00976DE1" w14:paraId="5E198177" w14:textId="77777777" w:rsidTr="0004564D">
        <w:trPr>
          <w:cantSplit/>
          <w:trHeight w:val="404"/>
        </w:trPr>
        <w:tc>
          <w:tcPr>
            <w:tcW w:w="1561" w:type="dxa"/>
            <w:tcBorders>
              <w:left w:val="single" w:sz="2" w:space="0" w:color="auto"/>
              <w:right w:val="single" w:sz="2" w:space="0" w:color="auto"/>
            </w:tcBorders>
          </w:tcPr>
          <w:p w14:paraId="23922F48" w14:textId="77777777" w:rsidR="003F3927" w:rsidRPr="00FA0C47" w:rsidRDefault="003F3927" w:rsidP="006B3063">
            <w:pPr>
              <w:pStyle w:val="TableReference"/>
              <w:tabs>
                <w:tab w:val="left" w:pos="3306"/>
              </w:tabs>
              <w:rPr>
                <w:rFonts w:cs="Calibri"/>
                <w:color w:val="7030A0"/>
                <w:sz w:val="18"/>
                <w:szCs w:val="18"/>
              </w:rPr>
            </w:pPr>
          </w:p>
        </w:tc>
        <w:tc>
          <w:tcPr>
            <w:tcW w:w="8931" w:type="dxa"/>
            <w:gridSpan w:val="14"/>
            <w:tcBorders>
              <w:left w:val="single" w:sz="2" w:space="0" w:color="auto"/>
            </w:tcBorders>
            <w:shd w:val="clear" w:color="auto" w:fill="auto"/>
          </w:tcPr>
          <w:p w14:paraId="7E5856A7" w14:textId="0F49AB69" w:rsidR="003F3927" w:rsidRPr="00FA0C47" w:rsidRDefault="003F3927" w:rsidP="005B707E">
            <w:pPr>
              <w:spacing w:after="120"/>
              <w:jc w:val="both"/>
              <w:rPr>
                <w:sz w:val="18"/>
                <w:szCs w:val="18"/>
              </w:rPr>
            </w:pPr>
            <w:r w:rsidRPr="00FA0C47">
              <w:rPr>
                <w:sz w:val="18"/>
                <w:szCs w:val="18"/>
              </w:rPr>
              <w:t>Original Budget refers to the amounts presented to the Legislative Assembly in the original budgeted financial statements in respect of the reporting period Budget Statements.</w:t>
            </w:r>
            <w:r w:rsidR="00FA7C77">
              <w:rPr>
                <w:sz w:val="18"/>
                <w:szCs w:val="18"/>
              </w:rPr>
              <w:t xml:space="preserve"> </w:t>
            </w:r>
            <w:r w:rsidRPr="00FA0C47">
              <w:rPr>
                <w:sz w:val="18"/>
                <w:szCs w:val="18"/>
              </w:rPr>
              <w:t>These amounts have not been adjusted to reflect supplementary appropriation or appropriation instruments.</w:t>
            </w:r>
          </w:p>
          <w:p w14:paraId="3A2CA743" w14:textId="0CF00132" w:rsidR="003F3927" w:rsidRPr="00FA0C47" w:rsidRDefault="003F3927" w:rsidP="00BA6793">
            <w:pPr>
              <w:rPr>
                <w:sz w:val="18"/>
                <w:szCs w:val="18"/>
              </w:rPr>
            </w:pPr>
            <w:r w:rsidRPr="00FA0C47">
              <w:rPr>
                <w:sz w:val="18"/>
                <w:szCs w:val="18"/>
              </w:rPr>
              <w:t>Note: # in the Line Item Variance % column represents a variance that is greater than 999 per cent or less than -999 per cent.</w:t>
            </w:r>
          </w:p>
        </w:tc>
      </w:tr>
      <w:tr w:rsidR="008A23AB" w:rsidRPr="00976DE1" w14:paraId="48B28657" w14:textId="77777777" w:rsidTr="0004564D">
        <w:trPr>
          <w:cantSplit/>
          <w:trHeight w:val="45"/>
        </w:trPr>
        <w:tc>
          <w:tcPr>
            <w:tcW w:w="1561" w:type="dxa"/>
            <w:tcBorders>
              <w:left w:val="single" w:sz="2" w:space="0" w:color="auto"/>
              <w:right w:val="single" w:sz="2" w:space="0" w:color="auto"/>
            </w:tcBorders>
          </w:tcPr>
          <w:p w14:paraId="3432C9E7"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1B786CBA" w14:textId="77777777" w:rsidR="008A23AB" w:rsidRPr="00FA0C47" w:rsidRDefault="008A23AB" w:rsidP="006A75E5">
            <w:pPr>
              <w:jc w:val="both"/>
              <w:rPr>
                <w:sz w:val="18"/>
                <w:szCs w:val="18"/>
              </w:rPr>
            </w:pPr>
          </w:p>
        </w:tc>
        <w:tc>
          <w:tcPr>
            <w:tcW w:w="1136" w:type="dxa"/>
          </w:tcPr>
          <w:p w14:paraId="612FD4D5" w14:textId="56F5EBAD" w:rsidR="008A23AB" w:rsidRPr="00FA0C47" w:rsidRDefault="008A23AB" w:rsidP="003F3927">
            <w:pPr>
              <w:jc w:val="center"/>
              <w:rPr>
                <w:b/>
                <w:bCs/>
                <w:sz w:val="18"/>
                <w:szCs w:val="18"/>
                <w:lang w:eastAsia="en-AU"/>
              </w:rPr>
            </w:pPr>
            <w:r w:rsidRPr="00FA0C47">
              <w:rPr>
                <w:b/>
                <w:bCs/>
                <w:sz w:val="18"/>
                <w:szCs w:val="18"/>
                <w:lang w:eastAsia="en-AU"/>
              </w:rPr>
              <w:t>Variance Explanation</w:t>
            </w:r>
          </w:p>
          <w:p w14:paraId="5917DFBD" w14:textId="7D592D67" w:rsidR="008A23AB" w:rsidRPr="00FA0C47" w:rsidRDefault="008A23AB" w:rsidP="003F3927">
            <w:pPr>
              <w:jc w:val="center"/>
              <w:rPr>
                <w:b/>
                <w:bCs/>
                <w:sz w:val="18"/>
                <w:szCs w:val="18"/>
                <w:lang w:eastAsia="en-AU"/>
              </w:rPr>
            </w:pPr>
          </w:p>
        </w:tc>
        <w:tc>
          <w:tcPr>
            <w:tcW w:w="852" w:type="dxa"/>
            <w:gridSpan w:val="2"/>
            <w:shd w:val="clear" w:color="auto" w:fill="auto"/>
            <w:vAlign w:val="bottom"/>
          </w:tcPr>
          <w:p w14:paraId="75EFCBD2" w14:textId="45D34BDA" w:rsidR="008A23AB" w:rsidRPr="00FA0C47" w:rsidRDefault="008A23AB" w:rsidP="006A75E5">
            <w:pPr>
              <w:jc w:val="right"/>
              <w:rPr>
                <w:b/>
                <w:bCs/>
                <w:sz w:val="18"/>
                <w:szCs w:val="18"/>
                <w:lang w:eastAsia="en-AU"/>
              </w:rPr>
            </w:pPr>
            <w:r w:rsidRPr="00FA0C47">
              <w:rPr>
                <w:b/>
                <w:bCs/>
                <w:sz w:val="18"/>
                <w:szCs w:val="18"/>
                <w:lang w:eastAsia="en-AU"/>
              </w:rPr>
              <w:t>Actual 2022</w:t>
            </w:r>
          </w:p>
        </w:tc>
        <w:tc>
          <w:tcPr>
            <w:tcW w:w="850" w:type="dxa"/>
            <w:gridSpan w:val="3"/>
            <w:shd w:val="clear" w:color="auto" w:fill="auto"/>
            <w:vAlign w:val="bottom"/>
          </w:tcPr>
          <w:p w14:paraId="0B6B3699" w14:textId="081B57FF" w:rsidR="008A23AB" w:rsidRPr="00FA0C47" w:rsidRDefault="008A23AB" w:rsidP="006A75E5">
            <w:pPr>
              <w:jc w:val="right"/>
              <w:rPr>
                <w:b/>
                <w:bCs/>
                <w:sz w:val="18"/>
                <w:szCs w:val="18"/>
                <w:lang w:eastAsia="en-AU"/>
              </w:rPr>
            </w:pPr>
            <w:r w:rsidRPr="00FA0C47">
              <w:rPr>
                <w:b/>
                <w:bCs/>
                <w:sz w:val="18"/>
                <w:szCs w:val="18"/>
                <w:lang w:eastAsia="en-AU"/>
              </w:rPr>
              <w:t>Original Budget</w:t>
            </w:r>
            <w:r w:rsidRPr="00FA0C47">
              <w:rPr>
                <w:sz w:val="18"/>
                <w:szCs w:val="18"/>
                <w:vertAlign w:val="superscript"/>
                <w:lang w:eastAsia="en-AU"/>
              </w:rPr>
              <w:t xml:space="preserve">1 </w:t>
            </w:r>
            <w:r w:rsidRPr="00FA0C47">
              <w:rPr>
                <w:b/>
                <w:bCs/>
                <w:sz w:val="18"/>
                <w:szCs w:val="18"/>
                <w:lang w:eastAsia="en-AU"/>
              </w:rPr>
              <w:t>2022</w:t>
            </w:r>
          </w:p>
        </w:tc>
        <w:tc>
          <w:tcPr>
            <w:tcW w:w="996" w:type="dxa"/>
            <w:gridSpan w:val="3"/>
            <w:shd w:val="clear" w:color="auto" w:fill="auto"/>
            <w:vAlign w:val="bottom"/>
          </w:tcPr>
          <w:p w14:paraId="2B1A3013" w14:textId="2F6C11F1" w:rsidR="008A23AB" w:rsidRPr="00FA0C47" w:rsidRDefault="008A23AB" w:rsidP="006A75E5">
            <w:pPr>
              <w:jc w:val="right"/>
              <w:rPr>
                <w:b/>
                <w:bCs/>
                <w:sz w:val="18"/>
                <w:szCs w:val="18"/>
                <w:lang w:eastAsia="en-AU"/>
              </w:rPr>
            </w:pPr>
            <w:r w:rsidRPr="00FA0C47">
              <w:rPr>
                <w:b/>
                <w:bCs/>
                <w:sz w:val="18"/>
                <w:szCs w:val="18"/>
                <w:lang w:eastAsia="en-AU"/>
              </w:rPr>
              <w:t>Variance</w:t>
            </w:r>
          </w:p>
        </w:tc>
        <w:tc>
          <w:tcPr>
            <w:tcW w:w="992" w:type="dxa"/>
            <w:gridSpan w:val="3"/>
            <w:shd w:val="clear" w:color="auto" w:fill="auto"/>
            <w:vAlign w:val="bottom"/>
          </w:tcPr>
          <w:p w14:paraId="26B30DFD" w14:textId="5FF91674" w:rsidR="008A23AB" w:rsidRPr="00FA0C47" w:rsidRDefault="008A23AB" w:rsidP="006A75E5">
            <w:pPr>
              <w:jc w:val="right"/>
              <w:rPr>
                <w:b/>
                <w:bCs/>
                <w:sz w:val="18"/>
                <w:szCs w:val="18"/>
                <w:lang w:eastAsia="en-AU"/>
              </w:rPr>
            </w:pPr>
            <w:r w:rsidRPr="00FA0C47">
              <w:rPr>
                <w:b/>
                <w:bCs/>
                <w:sz w:val="18"/>
                <w:szCs w:val="18"/>
                <w:lang w:eastAsia="en-AU"/>
              </w:rPr>
              <w:t>Variance</w:t>
            </w:r>
          </w:p>
        </w:tc>
      </w:tr>
      <w:tr w:rsidR="008A23AB" w:rsidRPr="00976DE1" w14:paraId="2D7D8EAB" w14:textId="77777777" w:rsidTr="0004564D">
        <w:trPr>
          <w:cantSplit/>
          <w:trHeight w:val="45"/>
        </w:trPr>
        <w:tc>
          <w:tcPr>
            <w:tcW w:w="1561" w:type="dxa"/>
            <w:tcBorders>
              <w:left w:val="single" w:sz="2" w:space="0" w:color="auto"/>
              <w:right w:val="single" w:sz="2" w:space="0" w:color="auto"/>
            </w:tcBorders>
          </w:tcPr>
          <w:p w14:paraId="54A22134"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6AE0AF84" w14:textId="77777777" w:rsidR="008A23AB" w:rsidRPr="00FA0C47" w:rsidRDefault="008A23AB" w:rsidP="006A75E5">
            <w:pPr>
              <w:jc w:val="both"/>
              <w:rPr>
                <w:sz w:val="18"/>
                <w:szCs w:val="18"/>
              </w:rPr>
            </w:pPr>
          </w:p>
        </w:tc>
        <w:tc>
          <w:tcPr>
            <w:tcW w:w="1136" w:type="dxa"/>
          </w:tcPr>
          <w:p w14:paraId="0B7F41D9" w14:textId="77777777" w:rsidR="008A23AB" w:rsidRPr="00FA0C47" w:rsidRDefault="008A23AB" w:rsidP="006A75E5">
            <w:pPr>
              <w:jc w:val="right"/>
              <w:rPr>
                <w:b/>
                <w:bCs/>
                <w:sz w:val="18"/>
                <w:szCs w:val="18"/>
                <w:lang w:eastAsia="en-AU"/>
              </w:rPr>
            </w:pPr>
          </w:p>
        </w:tc>
        <w:tc>
          <w:tcPr>
            <w:tcW w:w="852" w:type="dxa"/>
            <w:gridSpan w:val="2"/>
            <w:shd w:val="clear" w:color="auto" w:fill="auto"/>
            <w:vAlign w:val="bottom"/>
          </w:tcPr>
          <w:p w14:paraId="48BA3CCF" w14:textId="03EF398B" w:rsidR="008A23AB" w:rsidRPr="00FA0C47" w:rsidRDefault="008A23AB" w:rsidP="006A75E5">
            <w:pPr>
              <w:jc w:val="right"/>
              <w:rPr>
                <w:b/>
                <w:bCs/>
                <w:sz w:val="18"/>
                <w:szCs w:val="18"/>
                <w:lang w:eastAsia="en-AU"/>
              </w:rPr>
            </w:pPr>
            <w:r w:rsidRPr="00FA0C47">
              <w:rPr>
                <w:b/>
                <w:bCs/>
                <w:sz w:val="18"/>
                <w:szCs w:val="18"/>
                <w:lang w:eastAsia="en-AU"/>
              </w:rPr>
              <w:t>$’000</w:t>
            </w:r>
          </w:p>
        </w:tc>
        <w:tc>
          <w:tcPr>
            <w:tcW w:w="850" w:type="dxa"/>
            <w:gridSpan w:val="3"/>
            <w:shd w:val="clear" w:color="auto" w:fill="auto"/>
            <w:vAlign w:val="bottom"/>
          </w:tcPr>
          <w:p w14:paraId="2BBBB3BB" w14:textId="6C6B4419" w:rsidR="008A23AB" w:rsidRPr="00FA0C47" w:rsidRDefault="008A23AB" w:rsidP="006A75E5">
            <w:pPr>
              <w:jc w:val="right"/>
              <w:rPr>
                <w:b/>
                <w:bCs/>
                <w:sz w:val="18"/>
                <w:szCs w:val="18"/>
                <w:lang w:eastAsia="en-AU"/>
              </w:rPr>
            </w:pPr>
            <w:r w:rsidRPr="00FA0C47">
              <w:rPr>
                <w:b/>
                <w:bCs/>
                <w:sz w:val="18"/>
                <w:szCs w:val="18"/>
                <w:lang w:eastAsia="en-AU"/>
              </w:rPr>
              <w:t>$’000</w:t>
            </w:r>
          </w:p>
        </w:tc>
        <w:tc>
          <w:tcPr>
            <w:tcW w:w="996" w:type="dxa"/>
            <w:gridSpan w:val="3"/>
            <w:shd w:val="clear" w:color="auto" w:fill="auto"/>
            <w:vAlign w:val="bottom"/>
          </w:tcPr>
          <w:p w14:paraId="5AEAE14D" w14:textId="1BC303BB" w:rsidR="008A23AB" w:rsidRPr="00FA0C47" w:rsidRDefault="008A23AB" w:rsidP="006A75E5">
            <w:pPr>
              <w:jc w:val="right"/>
              <w:rPr>
                <w:b/>
                <w:bCs/>
                <w:sz w:val="18"/>
                <w:szCs w:val="18"/>
                <w:lang w:eastAsia="en-AU"/>
              </w:rPr>
            </w:pPr>
            <w:r w:rsidRPr="00FA0C47">
              <w:rPr>
                <w:b/>
                <w:bCs/>
                <w:sz w:val="18"/>
                <w:szCs w:val="18"/>
                <w:lang w:eastAsia="en-AU"/>
              </w:rPr>
              <w:t>$’000</w:t>
            </w:r>
          </w:p>
        </w:tc>
        <w:tc>
          <w:tcPr>
            <w:tcW w:w="992" w:type="dxa"/>
            <w:gridSpan w:val="3"/>
            <w:shd w:val="clear" w:color="auto" w:fill="auto"/>
            <w:vAlign w:val="bottom"/>
          </w:tcPr>
          <w:p w14:paraId="7FD2350A" w14:textId="2372CBEA" w:rsidR="008A23AB" w:rsidRPr="00FA0C47" w:rsidRDefault="008A23AB" w:rsidP="006A75E5">
            <w:pPr>
              <w:jc w:val="right"/>
              <w:rPr>
                <w:b/>
                <w:bCs/>
                <w:sz w:val="18"/>
                <w:szCs w:val="18"/>
                <w:lang w:eastAsia="en-AU"/>
              </w:rPr>
            </w:pPr>
            <w:r w:rsidRPr="00FA0C47">
              <w:rPr>
                <w:b/>
                <w:bCs/>
                <w:sz w:val="18"/>
                <w:szCs w:val="18"/>
                <w:lang w:eastAsia="en-AU"/>
              </w:rPr>
              <w:t>%</w:t>
            </w:r>
          </w:p>
        </w:tc>
      </w:tr>
      <w:tr w:rsidR="008A23AB" w:rsidRPr="00976DE1" w14:paraId="4399B8E2" w14:textId="77777777" w:rsidTr="0004564D">
        <w:trPr>
          <w:cantSplit/>
          <w:trHeight w:val="45"/>
        </w:trPr>
        <w:tc>
          <w:tcPr>
            <w:tcW w:w="1561" w:type="dxa"/>
            <w:tcBorders>
              <w:left w:val="single" w:sz="2" w:space="0" w:color="auto"/>
              <w:right w:val="single" w:sz="2" w:space="0" w:color="auto"/>
            </w:tcBorders>
          </w:tcPr>
          <w:p w14:paraId="704C8DCD"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3E8D474" w14:textId="0A905DC3" w:rsidR="008A23AB" w:rsidRPr="00FA0C47" w:rsidRDefault="008A23AB" w:rsidP="00D96989">
            <w:pPr>
              <w:spacing w:before="120"/>
              <w:jc w:val="both"/>
              <w:rPr>
                <w:sz w:val="18"/>
                <w:szCs w:val="18"/>
              </w:rPr>
            </w:pPr>
            <w:r w:rsidRPr="00FA0C47">
              <w:rPr>
                <w:b/>
                <w:bCs/>
                <w:sz w:val="18"/>
                <w:szCs w:val="18"/>
                <w:lang w:eastAsia="en-AU"/>
              </w:rPr>
              <w:t>Operating Statement Line Items</w:t>
            </w:r>
          </w:p>
        </w:tc>
        <w:tc>
          <w:tcPr>
            <w:tcW w:w="1136" w:type="dxa"/>
          </w:tcPr>
          <w:p w14:paraId="27672446" w14:textId="77777777" w:rsidR="008A23AB" w:rsidRPr="00FA0C47" w:rsidRDefault="008A23AB" w:rsidP="006A75E5">
            <w:pPr>
              <w:jc w:val="right"/>
              <w:rPr>
                <w:b/>
                <w:bCs/>
                <w:sz w:val="18"/>
                <w:szCs w:val="18"/>
                <w:lang w:eastAsia="en-AU"/>
              </w:rPr>
            </w:pPr>
          </w:p>
        </w:tc>
        <w:tc>
          <w:tcPr>
            <w:tcW w:w="852" w:type="dxa"/>
            <w:gridSpan w:val="2"/>
            <w:shd w:val="clear" w:color="auto" w:fill="auto"/>
            <w:vAlign w:val="bottom"/>
          </w:tcPr>
          <w:p w14:paraId="562B3E08" w14:textId="2C0DC5B9" w:rsidR="008A23AB" w:rsidRPr="00FA0C47" w:rsidRDefault="008A23AB" w:rsidP="006A75E5">
            <w:pPr>
              <w:jc w:val="right"/>
              <w:rPr>
                <w:b/>
                <w:bCs/>
                <w:sz w:val="18"/>
                <w:szCs w:val="18"/>
                <w:lang w:eastAsia="en-AU"/>
              </w:rPr>
            </w:pPr>
          </w:p>
        </w:tc>
        <w:tc>
          <w:tcPr>
            <w:tcW w:w="850" w:type="dxa"/>
            <w:gridSpan w:val="3"/>
            <w:shd w:val="clear" w:color="auto" w:fill="auto"/>
            <w:vAlign w:val="bottom"/>
          </w:tcPr>
          <w:p w14:paraId="53F79538" w14:textId="77777777" w:rsidR="008A23AB" w:rsidRPr="00FA0C47" w:rsidRDefault="008A23AB" w:rsidP="006A75E5">
            <w:pPr>
              <w:jc w:val="right"/>
              <w:rPr>
                <w:b/>
                <w:bCs/>
                <w:sz w:val="18"/>
                <w:szCs w:val="18"/>
                <w:lang w:eastAsia="en-AU"/>
              </w:rPr>
            </w:pPr>
          </w:p>
        </w:tc>
        <w:tc>
          <w:tcPr>
            <w:tcW w:w="996" w:type="dxa"/>
            <w:gridSpan w:val="3"/>
            <w:shd w:val="clear" w:color="auto" w:fill="auto"/>
            <w:vAlign w:val="bottom"/>
          </w:tcPr>
          <w:p w14:paraId="5C2456CA" w14:textId="77777777" w:rsidR="008A23AB" w:rsidRPr="00FA0C47" w:rsidRDefault="008A23AB" w:rsidP="006A75E5">
            <w:pPr>
              <w:jc w:val="right"/>
              <w:rPr>
                <w:b/>
                <w:bCs/>
                <w:sz w:val="18"/>
                <w:szCs w:val="18"/>
                <w:lang w:eastAsia="en-AU"/>
              </w:rPr>
            </w:pPr>
          </w:p>
        </w:tc>
        <w:tc>
          <w:tcPr>
            <w:tcW w:w="992" w:type="dxa"/>
            <w:gridSpan w:val="3"/>
            <w:shd w:val="clear" w:color="auto" w:fill="auto"/>
            <w:vAlign w:val="bottom"/>
          </w:tcPr>
          <w:p w14:paraId="79226E3A" w14:textId="77777777" w:rsidR="008A23AB" w:rsidRPr="00FA0C47" w:rsidRDefault="008A23AB" w:rsidP="006A75E5">
            <w:pPr>
              <w:jc w:val="right"/>
              <w:rPr>
                <w:b/>
                <w:bCs/>
                <w:sz w:val="18"/>
                <w:szCs w:val="18"/>
                <w:lang w:eastAsia="en-AU"/>
              </w:rPr>
            </w:pPr>
          </w:p>
        </w:tc>
      </w:tr>
      <w:tr w:rsidR="008A23AB" w:rsidRPr="00976DE1" w14:paraId="654D408F" w14:textId="77777777" w:rsidTr="0004564D">
        <w:trPr>
          <w:cantSplit/>
          <w:trHeight w:val="45"/>
        </w:trPr>
        <w:tc>
          <w:tcPr>
            <w:tcW w:w="1561" w:type="dxa"/>
            <w:tcBorders>
              <w:left w:val="single" w:sz="2" w:space="0" w:color="auto"/>
              <w:right w:val="single" w:sz="2" w:space="0" w:color="auto"/>
            </w:tcBorders>
          </w:tcPr>
          <w:p w14:paraId="40B38424"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1E13A56" w14:textId="76451D1C" w:rsidR="008A23AB" w:rsidRPr="00FA0C47" w:rsidRDefault="008A23AB" w:rsidP="006A75E5">
            <w:pPr>
              <w:jc w:val="both"/>
              <w:rPr>
                <w:sz w:val="18"/>
                <w:szCs w:val="18"/>
                <w:lang w:eastAsia="en-AU"/>
              </w:rPr>
            </w:pPr>
            <w:r w:rsidRPr="00FA0C47">
              <w:rPr>
                <w:sz w:val="18"/>
                <w:szCs w:val="18"/>
                <w:lang w:eastAsia="en-AU"/>
              </w:rPr>
              <w:t>Supplies and Services</w:t>
            </w:r>
          </w:p>
        </w:tc>
        <w:tc>
          <w:tcPr>
            <w:tcW w:w="1136" w:type="dxa"/>
          </w:tcPr>
          <w:p w14:paraId="5733F3F7" w14:textId="335F3593" w:rsidR="008A23AB" w:rsidRPr="00FA0C47" w:rsidRDefault="008A23AB" w:rsidP="003F3927">
            <w:pPr>
              <w:jc w:val="center"/>
              <w:rPr>
                <w:sz w:val="18"/>
                <w:szCs w:val="18"/>
                <w:lang w:eastAsia="en-AU"/>
              </w:rPr>
            </w:pPr>
            <w:r w:rsidRPr="00FA0C47">
              <w:rPr>
                <w:sz w:val="18"/>
                <w:szCs w:val="18"/>
                <w:lang w:eastAsia="en-AU"/>
              </w:rPr>
              <w:t>1</w:t>
            </w:r>
          </w:p>
        </w:tc>
        <w:tc>
          <w:tcPr>
            <w:tcW w:w="852" w:type="dxa"/>
            <w:gridSpan w:val="2"/>
            <w:shd w:val="clear" w:color="auto" w:fill="auto"/>
          </w:tcPr>
          <w:p w14:paraId="7887C63D" w14:textId="3AE751A5" w:rsidR="008A23AB" w:rsidRPr="00FA0C47" w:rsidRDefault="008A23AB" w:rsidP="00495078">
            <w:pPr>
              <w:jc w:val="right"/>
              <w:rPr>
                <w:b/>
                <w:bCs/>
                <w:sz w:val="18"/>
                <w:szCs w:val="18"/>
                <w:lang w:eastAsia="en-AU"/>
              </w:rPr>
            </w:pPr>
          </w:p>
        </w:tc>
        <w:tc>
          <w:tcPr>
            <w:tcW w:w="850" w:type="dxa"/>
            <w:gridSpan w:val="3"/>
            <w:shd w:val="clear" w:color="auto" w:fill="auto"/>
          </w:tcPr>
          <w:p w14:paraId="0BCCF991" w14:textId="77777777" w:rsidR="008A23AB" w:rsidRPr="00FA0C47" w:rsidRDefault="008A23AB" w:rsidP="00495078">
            <w:pPr>
              <w:jc w:val="right"/>
              <w:rPr>
                <w:b/>
                <w:bCs/>
                <w:sz w:val="18"/>
                <w:szCs w:val="18"/>
                <w:lang w:eastAsia="en-AU"/>
              </w:rPr>
            </w:pPr>
          </w:p>
        </w:tc>
        <w:tc>
          <w:tcPr>
            <w:tcW w:w="996" w:type="dxa"/>
            <w:gridSpan w:val="3"/>
            <w:shd w:val="clear" w:color="auto" w:fill="auto"/>
          </w:tcPr>
          <w:p w14:paraId="518ED643" w14:textId="77777777" w:rsidR="008A23AB" w:rsidRPr="00FA0C47" w:rsidRDefault="008A23AB" w:rsidP="00495078">
            <w:pPr>
              <w:jc w:val="right"/>
              <w:rPr>
                <w:b/>
                <w:bCs/>
                <w:sz w:val="18"/>
                <w:szCs w:val="18"/>
                <w:lang w:eastAsia="en-AU"/>
              </w:rPr>
            </w:pPr>
          </w:p>
        </w:tc>
        <w:tc>
          <w:tcPr>
            <w:tcW w:w="992" w:type="dxa"/>
            <w:gridSpan w:val="3"/>
            <w:shd w:val="clear" w:color="auto" w:fill="auto"/>
          </w:tcPr>
          <w:p w14:paraId="6FBEB715" w14:textId="77777777" w:rsidR="008A23AB" w:rsidRPr="00FA0C47" w:rsidRDefault="008A23AB" w:rsidP="00495078">
            <w:pPr>
              <w:jc w:val="right"/>
              <w:rPr>
                <w:b/>
                <w:bCs/>
                <w:sz w:val="18"/>
                <w:szCs w:val="18"/>
                <w:lang w:eastAsia="en-AU"/>
              </w:rPr>
            </w:pPr>
          </w:p>
        </w:tc>
      </w:tr>
      <w:tr w:rsidR="008A23AB" w:rsidRPr="00976DE1" w14:paraId="30382C85" w14:textId="77777777" w:rsidTr="0004564D">
        <w:trPr>
          <w:cantSplit/>
          <w:trHeight w:val="45"/>
        </w:trPr>
        <w:tc>
          <w:tcPr>
            <w:tcW w:w="1561" w:type="dxa"/>
            <w:tcBorders>
              <w:left w:val="single" w:sz="2" w:space="0" w:color="auto"/>
              <w:right w:val="single" w:sz="2" w:space="0" w:color="auto"/>
            </w:tcBorders>
          </w:tcPr>
          <w:p w14:paraId="6E8DE4FE"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5496DC02" w14:textId="32DC599B" w:rsidR="008A23AB" w:rsidRPr="00FA0C47" w:rsidRDefault="008A23AB" w:rsidP="006A75E5">
            <w:pPr>
              <w:jc w:val="both"/>
              <w:rPr>
                <w:sz w:val="18"/>
                <w:szCs w:val="18"/>
              </w:rPr>
            </w:pPr>
            <w:r w:rsidRPr="00FA0C47">
              <w:rPr>
                <w:sz w:val="18"/>
                <w:szCs w:val="18"/>
                <w:lang w:eastAsia="en-AU"/>
              </w:rPr>
              <w:t>Share Operating Profit Joint Venture using the Equity Method</w:t>
            </w:r>
          </w:p>
        </w:tc>
        <w:tc>
          <w:tcPr>
            <w:tcW w:w="1136" w:type="dxa"/>
          </w:tcPr>
          <w:p w14:paraId="066C169B" w14:textId="66970731" w:rsidR="008A23AB" w:rsidRPr="00FA0C47" w:rsidRDefault="008A23AB" w:rsidP="003F3927">
            <w:pPr>
              <w:jc w:val="center"/>
              <w:rPr>
                <w:sz w:val="18"/>
                <w:szCs w:val="18"/>
                <w:lang w:eastAsia="en-AU"/>
              </w:rPr>
            </w:pPr>
            <w:r w:rsidRPr="00FA0C47">
              <w:rPr>
                <w:sz w:val="18"/>
                <w:szCs w:val="18"/>
                <w:lang w:eastAsia="en-AU"/>
              </w:rPr>
              <w:t>2</w:t>
            </w:r>
          </w:p>
        </w:tc>
        <w:tc>
          <w:tcPr>
            <w:tcW w:w="852" w:type="dxa"/>
            <w:gridSpan w:val="2"/>
            <w:shd w:val="clear" w:color="auto" w:fill="auto"/>
          </w:tcPr>
          <w:p w14:paraId="3A831CC2" w14:textId="7F234070" w:rsidR="008A23AB" w:rsidRPr="00FA0C47" w:rsidRDefault="008A23AB" w:rsidP="00495078">
            <w:pPr>
              <w:jc w:val="right"/>
              <w:rPr>
                <w:b/>
                <w:bCs/>
                <w:sz w:val="18"/>
                <w:szCs w:val="18"/>
                <w:lang w:eastAsia="en-AU"/>
              </w:rPr>
            </w:pPr>
          </w:p>
        </w:tc>
        <w:tc>
          <w:tcPr>
            <w:tcW w:w="850" w:type="dxa"/>
            <w:gridSpan w:val="3"/>
            <w:shd w:val="clear" w:color="auto" w:fill="auto"/>
          </w:tcPr>
          <w:p w14:paraId="52F304C2" w14:textId="77777777" w:rsidR="008A23AB" w:rsidRPr="00FA0C47" w:rsidRDefault="008A23AB" w:rsidP="00495078">
            <w:pPr>
              <w:jc w:val="right"/>
              <w:rPr>
                <w:b/>
                <w:bCs/>
                <w:sz w:val="18"/>
                <w:szCs w:val="18"/>
                <w:lang w:eastAsia="en-AU"/>
              </w:rPr>
            </w:pPr>
          </w:p>
        </w:tc>
        <w:tc>
          <w:tcPr>
            <w:tcW w:w="996" w:type="dxa"/>
            <w:gridSpan w:val="3"/>
            <w:shd w:val="clear" w:color="auto" w:fill="auto"/>
          </w:tcPr>
          <w:p w14:paraId="500A6EDA" w14:textId="77777777" w:rsidR="008A23AB" w:rsidRPr="00FA0C47" w:rsidRDefault="008A23AB" w:rsidP="00495078">
            <w:pPr>
              <w:jc w:val="right"/>
              <w:rPr>
                <w:b/>
                <w:bCs/>
                <w:sz w:val="18"/>
                <w:szCs w:val="18"/>
                <w:lang w:eastAsia="en-AU"/>
              </w:rPr>
            </w:pPr>
          </w:p>
        </w:tc>
        <w:tc>
          <w:tcPr>
            <w:tcW w:w="992" w:type="dxa"/>
            <w:gridSpan w:val="3"/>
            <w:shd w:val="clear" w:color="auto" w:fill="auto"/>
          </w:tcPr>
          <w:p w14:paraId="3B4B7C02" w14:textId="77777777" w:rsidR="008A23AB" w:rsidRPr="00FA0C47" w:rsidRDefault="008A23AB" w:rsidP="00495078">
            <w:pPr>
              <w:jc w:val="right"/>
              <w:rPr>
                <w:b/>
                <w:bCs/>
                <w:sz w:val="18"/>
                <w:szCs w:val="18"/>
                <w:lang w:eastAsia="en-AU"/>
              </w:rPr>
            </w:pPr>
          </w:p>
        </w:tc>
      </w:tr>
      <w:tr w:rsidR="008A23AB" w:rsidRPr="00976DE1" w14:paraId="617B5B2F" w14:textId="77777777" w:rsidTr="0004564D">
        <w:trPr>
          <w:cantSplit/>
          <w:trHeight w:val="45"/>
        </w:trPr>
        <w:tc>
          <w:tcPr>
            <w:tcW w:w="1561" w:type="dxa"/>
            <w:tcBorders>
              <w:left w:val="single" w:sz="2" w:space="0" w:color="auto"/>
              <w:right w:val="single" w:sz="2" w:space="0" w:color="auto"/>
            </w:tcBorders>
          </w:tcPr>
          <w:p w14:paraId="41F65B92"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2323CFA6" w14:textId="4A666194" w:rsidR="008A23AB" w:rsidRPr="00FA0C47" w:rsidRDefault="008A23AB" w:rsidP="006A75E5">
            <w:pPr>
              <w:jc w:val="both"/>
              <w:rPr>
                <w:sz w:val="18"/>
                <w:szCs w:val="18"/>
              </w:rPr>
            </w:pPr>
            <w:r w:rsidRPr="00FA0C47">
              <w:rPr>
                <w:sz w:val="18"/>
                <w:szCs w:val="18"/>
                <w:lang w:eastAsia="en-AU"/>
              </w:rPr>
              <w:t>Increase/ (decrease) in the Asset Revaluation Surplus</w:t>
            </w:r>
          </w:p>
        </w:tc>
        <w:tc>
          <w:tcPr>
            <w:tcW w:w="1136" w:type="dxa"/>
          </w:tcPr>
          <w:p w14:paraId="0DAF4DA0" w14:textId="4AFBC4E2" w:rsidR="008A23AB" w:rsidRPr="00FA0C47" w:rsidRDefault="008A23AB" w:rsidP="003F3927">
            <w:pPr>
              <w:jc w:val="center"/>
              <w:rPr>
                <w:sz w:val="18"/>
                <w:szCs w:val="18"/>
                <w:lang w:eastAsia="en-AU"/>
              </w:rPr>
            </w:pPr>
            <w:r w:rsidRPr="00FA0C47">
              <w:rPr>
                <w:sz w:val="18"/>
                <w:szCs w:val="18"/>
                <w:lang w:eastAsia="en-AU"/>
              </w:rPr>
              <w:t>3</w:t>
            </w:r>
          </w:p>
        </w:tc>
        <w:tc>
          <w:tcPr>
            <w:tcW w:w="852" w:type="dxa"/>
            <w:gridSpan w:val="2"/>
            <w:shd w:val="clear" w:color="auto" w:fill="auto"/>
          </w:tcPr>
          <w:p w14:paraId="2FE1E474" w14:textId="7BABECFB" w:rsidR="008A23AB" w:rsidRPr="00FA0C47" w:rsidRDefault="008A23AB" w:rsidP="00495078">
            <w:pPr>
              <w:jc w:val="right"/>
              <w:rPr>
                <w:b/>
                <w:bCs/>
                <w:sz w:val="18"/>
                <w:szCs w:val="18"/>
                <w:lang w:eastAsia="en-AU"/>
              </w:rPr>
            </w:pPr>
          </w:p>
        </w:tc>
        <w:tc>
          <w:tcPr>
            <w:tcW w:w="850" w:type="dxa"/>
            <w:gridSpan w:val="3"/>
            <w:shd w:val="clear" w:color="auto" w:fill="auto"/>
          </w:tcPr>
          <w:p w14:paraId="0806051E" w14:textId="77777777" w:rsidR="008A23AB" w:rsidRPr="00FA0C47" w:rsidRDefault="008A23AB" w:rsidP="00495078">
            <w:pPr>
              <w:jc w:val="right"/>
              <w:rPr>
                <w:b/>
                <w:bCs/>
                <w:sz w:val="18"/>
                <w:szCs w:val="18"/>
                <w:lang w:eastAsia="en-AU"/>
              </w:rPr>
            </w:pPr>
          </w:p>
        </w:tc>
        <w:tc>
          <w:tcPr>
            <w:tcW w:w="996" w:type="dxa"/>
            <w:gridSpan w:val="3"/>
            <w:shd w:val="clear" w:color="auto" w:fill="auto"/>
          </w:tcPr>
          <w:p w14:paraId="69FF149B" w14:textId="77777777" w:rsidR="008A23AB" w:rsidRPr="00FA0C47" w:rsidRDefault="008A23AB" w:rsidP="00495078">
            <w:pPr>
              <w:jc w:val="right"/>
              <w:rPr>
                <w:b/>
                <w:bCs/>
                <w:sz w:val="18"/>
                <w:szCs w:val="18"/>
                <w:lang w:eastAsia="en-AU"/>
              </w:rPr>
            </w:pPr>
          </w:p>
        </w:tc>
        <w:tc>
          <w:tcPr>
            <w:tcW w:w="992" w:type="dxa"/>
            <w:gridSpan w:val="3"/>
            <w:shd w:val="clear" w:color="auto" w:fill="auto"/>
          </w:tcPr>
          <w:p w14:paraId="79C66DCC" w14:textId="77777777" w:rsidR="008A23AB" w:rsidRPr="00FA0C47" w:rsidRDefault="008A23AB" w:rsidP="00495078">
            <w:pPr>
              <w:jc w:val="right"/>
              <w:rPr>
                <w:b/>
                <w:bCs/>
                <w:sz w:val="18"/>
                <w:szCs w:val="18"/>
                <w:lang w:eastAsia="en-AU"/>
              </w:rPr>
            </w:pPr>
          </w:p>
        </w:tc>
      </w:tr>
      <w:tr w:rsidR="008A23AB" w:rsidRPr="00976DE1" w14:paraId="4EFFD739" w14:textId="77777777" w:rsidTr="0004564D">
        <w:trPr>
          <w:cantSplit/>
          <w:trHeight w:val="45"/>
        </w:trPr>
        <w:tc>
          <w:tcPr>
            <w:tcW w:w="1561" w:type="dxa"/>
            <w:tcBorders>
              <w:left w:val="single" w:sz="2" w:space="0" w:color="auto"/>
              <w:right w:val="single" w:sz="2" w:space="0" w:color="auto"/>
            </w:tcBorders>
          </w:tcPr>
          <w:p w14:paraId="6E7D9536"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62D22915" w14:textId="77777777" w:rsidR="008A23AB" w:rsidRPr="00FA0C47" w:rsidRDefault="008A23AB" w:rsidP="006A75E5">
            <w:pPr>
              <w:jc w:val="both"/>
              <w:rPr>
                <w:sz w:val="18"/>
                <w:szCs w:val="18"/>
              </w:rPr>
            </w:pPr>
          </w:p>
        </w:tc>
        <w:tc>
          <w:tcPr>
            <w:tcW w:w="1136" w:type="dxa"/>
          </w:tcPr>
          <w:p w14:paraId="0833A184" w14:textId="77777777" w:rsidR="008A23AB" w:rsidRPr="00FA0C47" w:rsidRDefault="008A23AB" w:rsidP="003F3927">
            <w:pPr>
              <w:jc w:val="center"/>
              <w:rPr>
                <w:b/>
                <w:bCs/>
                <w:sz w:val="18"/>
                <w:szCs w:val="18"/>
                <w:lang w:eastAsia="en-AU"/>
              </w:rPr>
            </w:pPr>
          </w:p>
        </w:tc>
        <w:tc>
          <w:tcPr>
            <w:tcW w:w="852" w:type="dxa"/>
            <w:gridSpan w:val="2"/>
            <w:shd w:val="clear" w:color="auto" w:fill="auto"/>
            <w:vAlign w:val="bottom"/>
          </w:tcPr>
          <w:p w14:paraId="337EFD32" w14:textId="1941B118" w:rsidR="008A23AB" w:rsidRPr="00FA0C47" w:rsidRDefault="008A23AB" w:rsidP="006A75E5">
            <w:pPr>
              <w:jc w:val="right"/>
              <w:rPr>
                <w:b/>
                <w:bCs/>
                <w:sz w:val="18"/>
                <w:szCs w:val="18"/>
                <w:lang w:eastAsia="en-AU"/>
              </w:rPr>
            </w:pPr>
          </w:p>
        </w:tc>
        <w:tc>
          <w:tcPr>
            <w:tcW w:w="850" w:type="dxa"/>
            <w:gridSpan w:val="3"/>
            <w:shd w:val="clear" w:color="auto" w:fill="auto"/>
            <w:vAlign w:val="bottom"/>
          </w:tcPr>
          <w:p w14:paraId="29C43697" w14:textId="77777777" w:rsidR="008A23AB" w:rsidRPr="00FA0C47" w:rsidRDefault="008A23AB" w:rsidP="006A75E5">
            <w:pPr>
              <w:jc w:val="right"/>
              <w:rPr>
                <w:b/>
                <w:bCs/>
                <w:sz w:val="18"/>
                <w:szCs w:val="18"/>
                <w:lang w:eastAsia="en-AU"/>
              </w:rPr>
            </w:pPr>
          </w:p>
        </w:tc>
        <w:tc>
          <w:tcPr>
            <w:tcW w:w="996" w:type="dxa"/>
            <w:gridSpan w:val="3"/>
            <w:shd w:val="clear" w:color="auto" w:fill="auto"/>
            <w:vAlign w:val="bottom"/>
          </w:tcPr>
          <w:p w14:paraId="676F0702" w14:textId="77777777" w:rsidR="008A23AB" w:rsidRPr="00FA0C47" w:rsidRDefault="008A23AB" w:rsidP="006A75E5">
            <w:pPr>
              <w:jc w:val="right"/>
              <w:rPr>
                <w:b/>
                <w:bCs/>
                <w:sz w:val="18"/>
                <w:szCs w:val="18"/>
                <w:lang w:eastAsia="en-AU"/>
              </w:rPr>
            </w:pPr>
          </w:p>
        </w:tc>
        <w:tc>
          <w:tcPr>
            <w:tcW w:w="992" w:type="dxa"/>
            <w:gridSpan w:val="3"/>
            <w:shd w:val="clear" w:color="auto" w:fill="auto"/>
            <w:vAlign w:val="bottom"/>
          </w:tcPr>
          <w:p w14:paraId="296CD4DC" w14:textId="77777777" w:rsidR="008A23AB" w:rsidRPr="00FA0C47" w:rsidRDefault="008A23AB" w:rsidP="006A75E5">
            <w:pPr>
              <w:jc w:val="right"/>
              <w:rPr>
                <w:b/>
                <w:bCs/>
                <w:sz w:val="18"/>
                <w:szCs w:val="18"/>
                <w:lang w:eastAsia="en-AU"/>
              </w:rPr>
            </w:pPr>
          </w:p>
        </w:tc>
      </w:tr>
      <w:tr w:rsidR="003F3927" w:rsidRPr="00976DE1" w14:paraId="67D1E584" w14:textId="77777777" w:rsidTr="0004564D">
        <w:trPr>
          <w:cantSplit/>
          <w:trHeight w:val="45"/>
        </w:trPr>
        <w:tc>
          <w:tcPr>
            <w:tcW w:w="1561" w:type="dxa"/>
            <w:tcBorders>
              <w:left w:val="single" w:sz="2" w:space="0" w:color="auto"/>
              <w:right w:val="single" w:sz="2" w:space="0" w:color="auto"/>
            </w:tcBorders>
          </w:tcPr>
          <w:p w14:paraId="01634531" w14:textId="77777777" w:rsidR="003F3927" w:rsidRPr="00FA0C47" w:rsidRDefault="003F3927"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58620FFD" w14:textId="6CEAAE40" w:rsidR="003F3927" w:rsidRPr="00FA0C47" w:rsidRDefault="003F3927" w:rsidP="006A75E5">
            <w:pPr>
              <w:jc w:val="both"/>
              <w:rPr>
                <w:sz w:val="18"/>
                <w:szCs w:val="18"/>
              </w:rPr>
            </w:pPr>
            <w:r w:rsidRPr="00FA0C47">
              <w:rPr>
                <w:b/>
                <w:sz w:val="18"/>
                <w:szCs w:val="18"/>
                <w:lang w:eastAsia="en-AU"/>
              </w:rPr>
              <w:t>Variance Explanations</w:t>
            </w:r>
          </w:p>
        </w:tc>
        <w:tc>
          <w:tcPr>
            <w:tcW w:w="1136" w:type="dxa"/>
          </w:tcPr>
          <w:p w14:paraId="450C36AD" w14:textId="77777777" w:rsidR="003F3927" w:rsidRPr="00FA0C47" w:rsidRDefault="003F3927" w:rsidP="003F3927">
            <w:pPr>
              <w:jc w:val="center"/>
              <w:rPr>
                <w:b/>
                <w:bCs/>
                <w:sz w:val="18"/>
                <w:szCs w:val="18"/>
                <w:lang w:eastAsia="en-AU"/>
              </w:rPr>
            </w:pPr>
          </w:p>
        </w:tc>
        <w:tc>
          <w:tcPr>
            <w:tcW w:w="852" w:type="dxa"/>
            <w:gridSpan w:val="2"/>
            <w:shd w:val="clear" w:color="auto" w:fill="auto"/>
            <w:vAlign w:val="bottom"/>
          </w:tcPr>
          <w:p w14:paraId="009A6105" w14:textId="77777777" w:rsidR="003F3927" w:rsidRPr="00FA0C47" w:rsidRDefault="003F3927" w:rsidP="006A75E5">
            <w:pPr>
              <w:jc w:val="right"/>
              <w:rPr>
                <w:b/>
                <w:bCs/>
                <w:sz w:val="18"/>
                <w:szCs w:val="18"/>
                <w:lang w:eastAsia="en-AU"/>
              </w:rPr>
            </w:pPr>
          </w:p>
        </w:tc>
        <w:tc>
          <w:tcPr>
            <w:tcW w:w="850" w:type="dxa"/>
            <w:gridSpan w:val="3"/>
            <w:shd w:val="clear" w:color="auto" w:fill="auto"/>
            <w:vAlign w:val="bottom"/>
          </w:tcPr>
          <w:p w14:paraId="3D88ABF2" w14:textId="77777777" w:rsidR="003F3927" w:rsidRPr="00FA0C47" w:rsidRDefault="003F3927" w:rsidP="006A75E5">
            <w:pPr>
              <w:jc w:val="right"/>
              <w:rPr>
                <w:b/>
                <w:bCs/>
                <w:sz w:val="18"/>
                <w:szCs w:val="18"/>
                <w:lang w:eastAsia="en-AU"/>
              </w:rPr>
            </w:pPr>
          </w:p>
        </w:tc>
        <w:tc>
          <w:tcPr>
            <w:tcW w:w="996" w:type="dxa"/>
            <w:gridSpan w:val="3"/>
            <w:shd w:val="clear" w:color="auto" w:fill="auto"/>
            <w:vAlign w:val="bottom"/>
          </w:tcPr>
          <w:p w14:paraId="3F39466C" w14:textId="77777777" w:rsidR="003F3927" w:rsidRPr="00FA0C47" w:rsidRDefault="003F3927" w:rsidP="006A75E5">
            <w:pPr>
              <w:jc w:val="right"/>
              <w:rPr>
                <w:b/>
                <w:bCs/>
                <w:sz w:val="18"/>
                <w:szCs w:val="18"/>
                <w:lang w:eastAsia="en-AU"/>
              </w:rPr>
            </w:pPr>
          </w:p>
        </w:tc>
        <w:tc>
          <w:tcPr>
            <w:tcW w:w="992" w:type="dxa"/>
            <w:gridSpan w:val="3"/>
            <w:shd w:val="clear" w:color="auto" w:fill="auto"/>
            <w:vAlign w:val="bottom"/>
          </w:tcPr>
          <w:p w14:paraId="134F6492" w14:textId="77777777" w:rsidR="003F3927" w:rsidRPr="00FA0C47" w:rsidRDefault="003F3927" w:rsidP="006A75E5">
            <w:pPr>
              <w:jc w:val="right"/>
              <w:rPr>
                <w:b/>
                <w:bCs/>
                <w:sz w:val="18"/>
                <w:szCs w:val="18"/>
                <w:lang w:eastAsia="en-AU"/>
              </w:rPr>
            </w:pPr>
          </w:p>
        </w:tc>
      </w:tr>
      <w:tr w:rsidR="008A23AB" w:rsidRPr="00976DE1" w14:paraId="62C6B456" w14:textId="31BADE34" w:rsidTr="0004564D">
        <w:trPr>
          <w:cantSplit/>
          <w:trHeight w:val="45"/>
        </w:trPr>
        <w:tc>
          <w:tcPr>
            <w:tcW w:w="1561" w:type="dxa"/>
            <w:tcBorders>
              <w:left w:val="single" w:sz="2" w:space="0" w:color="auto"/>
              <w:right w:val="single" w:sz="2" w:space="0" w:color="auto"/>
            </w:tcBorders>
          </w:tcPr>
          <w:p w14:paraId="0BEE4157"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14"/>
            <w:tcBorders>
              <w:left w:val="single" w:sz="2" w:space="0" w:color="auto"/>
            </w:tcBorders>
            <w:shd w:val="clear" w:color="auto" w:fill="auto"/>
          </w:tcPr>
          <w:p w14:paraId="13133436" w14:textId="1D215F55"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751E8FB9" w14:textId="21630A5D" w:rsidTr="0004564D">
        <w:trPr>
          <w:cantSplit/>
          <w:trHeight w:val="45"/>
        </w:trPr>
        <w:tc>
          <w:tcPr>
            <w:tcW w:w="1561" w:type="dxa"/>
            <w:tcBorders>
              <w:left w:val="single" w:sz="2" w:space="0" w:color="auto"/>
              <w:right w:val="single" w:sz="2" w:space="0" w:color="auto"/>
            </w:tcBorders>
          </w:tcPr>
          <w:p w14:paraId="31004C3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14"/>
            <w:tcBorders>
              <w:left w:val="single" w:sz="2" w:space="0" w:color="auto"/>
            </w:tcBorders>
            <w:shd w:val="clear" w:color="auto" w:fill="auto"/>
          </w:tcPr>
          <w:p w14:paraId="2F3A92CD" w14:textId="6131EDE0"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682BA68A" w14:textId="35E6ACCF" w:rsidTr="0004564D">
        <w:trPr>
          <w:cantSplit/>
          <w:trHeight w:val="45"/>
        </w:trPr>
        <w:tc>
          <w:tcPr>
            <w:tcW w:w="1561" w:type="dxa"/>
            <w:tcBorders>
              <w:left w:val="single" w:sz="2" w:space="0" w:color="auto"/>
              <w:right w:val="single" w:sz="2" w:space="0" w:color="auto"/>
            </w:tcBorders>
          </w:tcPr>
          <w:p w14:paraId="4C1C69B6"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14"/>
            <w:tcBorders>
              <w:left w:val="single" w:sz="2" w:space="0" w:color="auto"/>
            </w:tcBorders>
            <w:shd w:val="clear" w:color="auto" w:fill="auto"/>
          </w:tcPr>
          <w:p w14:paraId="65577B8C" w14:textId="2AFFD7C2"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CA7ECC" w:rsidRPr="00976DE1" w14:paraId="4954CF46" w14:textId="77777777" w:rsidTr="0004564D">
        <w:trPr>
          <w:cantSplit/>
          <w:trHeight w:val="45"/>
        </w:trPr>
        <w:tc>
          <w:tcPr>
            <w:tcW w:w="1561" w:type="dxa"/>
            <w:tcBorders>
              <w:left w:val="single" w:sz="2" w:space="0" w:color="auto"/>
              <w:right w:val="single" w:sz="2" w:space="0" w:color="auto"/>
            </w:tcBorders>
          </w:tcPr>
          <w:p w14:paraId="3B05D928" w14:textId="77777777" w:rsidR="00CA7ECC" w:rsidRPr="00FA0C47" w:rsidRDefault="00CA7ECC" w:rsidP="006A75E5">
            <w:pPr>
              <w:pStyle w:val="TableReference"/>
              <w:tabs>
                <w:tab w:val="left" w:pos="3306"/>
              </w:tabs>
              <w:rPr>
                <w:rFonts w:cs="Calibri"/>
                <w:color w:val="7030A0"/>
                <w:sz w:val="18"/>
                <w:szCs w:val="18"/>
              </w:rPr>
            </w:pPr>
          </w:p>
        </w:tc>
        <w:tc>
          <w:tcPr>
            <w:tcW w:w="8931" w:type="dxa"/>
            <w:gridSpan w:val="14"/>
            <w:tcBorders>
              <w:left w:val="single" w:sz="2" w:space="0" w:color="auto"/>
            </w:tcBorders>
            <w:shd w:val="clear" w:color="auto" w:fill="auto"/>
          </w:tcPr>
          <w:p w14:paraId="6A689624" w14:textId="77777777" w:rsidR="00CA7ECC" w:rsidRPr="00FA0C47" w:rsidRDefault="00CA7ECC" w:rsidP="00CA7ECC">
            <w:pPr>
              <w:pStyle w:val="ListParagraph"/>
              <w:rPr>
                <w:sz w:val="18"/>
                <w:szCs w:val="18"/>
                <w:lang w:eastAsia="en-AU"/>
              </w:rPr>
            </w:pPr>
          </w:p>
        </w:tc>
      </w:tr>
      <w:tr w:rsidR="008A23AB" w:rsidRPr="00976DE1" w14:paraId="6B2CABCE" w14:textId="77777777" w:rsidTr="0004564D">
        <w:trPr>
          <w:cantSplit/>
          <w:trHeight w:val="45"/>
        </w:trPr>
        <w:tc>
          <w:tcPr>
            <w:tcW w:w="1561" w:type="dxa"/>
            <w:tcBorders>
              <w:left w:val="single" w:sz="2" w:space="0" w:color="auto"/>
              <w:right w:val="single" w:sz="2" w:space="0" w:color="auto"/>
            </w:tcBorders>
          </w:tcPr>
          <w:p w14:paraId="5F953546"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7A29B1E4" w14:textId="0D8AF35D" w:rsidR="008A23AB" w:rsidRPr="00FA0C47" w:rsidRDefault="008A23AB" w:rsidP="006A75E5">
            <w:pPr>
              <w:jc w:val="both"/>
              <w:rPr>
                <w:sz w:val="18"/>
                <w:szCs w:val="18"/>
              </w:rPr>
            </w:pPr>
            <w:r w:rsidRPr="00FA0C47">
              <w:rPr>
                <w:b/>
                <w:bCs/>
                <w:sz w:val="18"/>
                <w:szCs w:val="18"/>
                <w:lang w:eastAsia="en-AU"/>
              </w:rPr>
              <w:t>Balance Sheet Line Items</w:t>
            </w:r>
          </w:p>
        </w:tc>
        <w:tc>
          <w:tcPr>
            <w:tcW w:w="1136" w:type="dxa"/>
            <w:shd w:val="clear" w:color="auto" w:fill="auto"/>
            <w:vAlign w:val="bottom"/>
          </w:tcPr>
          <w:p w14:paraId="2C9A7483" w14:textId="77777777" w:rsidR="008A23AB" w:rsidRPr="00FA0C47" w:rsidRDefault="008A23AB" w:rsidP="006A75E5">
            <w:pPr>
              <w:jc w:val="right"/>
              <w:rPr>
                <w:b/>
                <w:bCs/>
                <w:sz w:val="18"/>
                <w:szCs w:val="18"/>
                <w:lang w:eastAsia="en-AU"/>
              </w:rPr>
            </w:pPr>
          </w:p>
        </w:tc>
        <w:tc>
          <w:tcPr>
            <w:tcW w:w="852" w:type="dxa"/>
            <w:gridSpan w:val="2"/>
          </w:tcPr>
          <w:p w14:paraId="2095592B"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3C7482A8" w14:textId="0FF762C8"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5CC5424B"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168D1A3B" w14:textId="77777777" w:rsidR="008A23AB" w:rsidRPr="00FA0C47" w:rsidRDefault="008A23AB" w:rsidP="006A75E5">
            <w:pPr>
              <w:jc w:val="right"/>
              <w:rPr>
                <w:b/>
                <w:bCs/>
                <w:sz w:val="18"/>
                <w:szCs w:val="18"/>
                <w:lang w:eastAsia="en-AU"/>
              </w:rPr>
            </w:pPr>
          </w:p>
        </w:tc>
      </w:tr>
      <w:tr w:rsidR="008A23AB" w:rsidRPr="00976DE1" w14:paraId="082FCF2F" w14:textId="77777777" w:rsidTr="0004564D">
        <w:trPr>
          <w:cantSplit/>
          <w:trHeight w:val="45"/>
        </w:trPr>
        <w:tc>
          <w:tcPr>
            <w:tcW w:w="1561" w:type="dxa"/>
            <w:tcBorders>
              <w:left w:val="single" w:sz="2" w:space="0" w:color="auto"/>
              <w:right w:val="single" w:sz="2" w:space="0" w:color="auto"/>
            </w:tcBorders>
          </w:tcPr>
          <w:p w14:paraId="32D6DB81"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77AFB289" w14:textId="61BD8CF6" w:rsidR="008A23AB" w:rsidRPr="00FA0C47" w:rsidRDefault="008A23AB" w:rsidP="006A75E5">
            <w:pPr>
              <w:jc w:val="both"/>
              <w:rPr>
                <w:sz w:val="18"/>
                <w:szCs w:val="18"/>
              </w:rPr>
            </w:pPr>
            <w:r w:rsidRPr="00FA0C47">
              <w:rPr>
                <w:sz w:val="18"/>
                <w:szCs w:val="18"/>
                <w:lang w:eastAsia="en-AU"/>
              </w:rPr>
              <w:t>Cash and Cash Equivalents</w:t>
            </w:r>
          </w:p>
        </w:tc>
        <w:tc>
          <w:tcPr>
            <w:tcW w:w="1136" w:type="dxa"/>
            <w:shd w:val="clear" w:color="auto" w:fill="auto"/>
          </w:tcPr>
          <w:p w14:paraId="2A612755" w14:textId="37BCE306" w:rsidR="008A23AB" w:rsidRPr="00FA0C47" w:rsidRDefault="008A23AB" w:rsidP="003F3927">
            <w:pPr>
              <w:jc w:val="center"/>
              <w:rPr>
                <w:sz w:val="18"/>
                <w:szCs w:val="18"/>
                <w:lang w:eastAsia="en-AU"/>
              </w:rPr>
            </w:pPr>
            <w:r w:rsidRPr="00FA0C47">
              <w:rPr>
                <w:sz w:val="18"/>
                <w:szCs w:val="18"/>
                <w:lang w:eastAsia="en-AU"/>
              </w:rPr>
              <w:t>4</w:t>
            </w:r>
          </w:p>
        </w:tc>
        <w:tc>
          <w:tcPr>
            <w:tcW w:w="852" w:type="dxa"/>
            <w:gridSpan w:val="2"/>
          </w:tcPr>
          <w:p w14:paraId="070AC7CD"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6C2EC191" w14:textId="1C8A772D"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58C4C1C6"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0F4AAA91" w14:textId="77777777" w:rsidR="008A23AB" w:rsidRPr="00FA0C47" w:rsidRDefault="008A23AB" w:rsidP="006A75E5">
            <w:pPr>
              <w:jc w:val="right"/>
              <w:rPr>
                <w:b/>
                <w:bCs/>
                <w:sz w:val="18"/>
                <w:szCs w:val="18"/>
                <w:lang w:eastAsia="en-AU"/>
              </w:rPr>
            </w:pPr>
          </w:p>
        </w:tc>
      </w:tr>
      <w:tr w:rsidR="008A23AB" w:rsidRPr="00976DE1" w14:paraId="13060125" w14:textId="77777777" w:rsidTr="0004564D">
        <w:trPr>
          <w:cantSplit/>
          <w:trHeight w:val="45"/>
        </w:trPr>
        <w:tc>
          <w:tcPr>
            <w:tcW w:w="1561" w:type="dxa"/>
            <w:tcBorders>
              <w:left w:val="single" w:sz="2" w:space="0" w:color="auto"/>
              <w:right w:val="single" w:sz="2" w:space="0" w:color="auto"/>
            </w:tcBorders>
          </w:tcPr>
          <w:p w14:paraId="0991C79D"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38A38057" w14:textId="76DC7FB4" w:rsidR="008A23AB" w:rsidRPr="00FA0C47" w:rsidRDefault="008A23AB" w:rsidP="006A75E5">
            <w:pPr>
              <w:jc w:val="both"/>
              <w:rPr>
                <w:sz w:val="18"/>
                <w:szCs w:val="18"/>
              </w:rPr>
            </w:pPr>
            <w:r w:rsidRPr="00FA0C47">
              <w:rPr>
                <w:sz w:val="18"/>
                <w:szCs w:val="18"/>
                <w:lang w:eastAsia="en-AU"/>
              </w:rPr>
              <w:t>Current Investment</w:t>
            </w:r>
          </w:p>
        </w:tc>
        <w:tc>
          <w:tcPr>
            <w:tcW w:w="1136" w:type="dxa"/>
            <w:shd w:val="clear" w:color="auto" w:fill="auto"/>
          </w:tcPr>
          <w:p w14:paraId="737F6D2F" w14:textId="645E3D9C" w:rsidR="008A23AB" w:rsidRPr="00FA0C47" w:rsidRDefault="008A23AB" w:rsidP="003F3927">
            <w:pPr>
              <w:jc w:val="center"/>
              <w:rPr>
                <w:sz w:val="18"/>
                <w:szCs w:val="18"/>
                <w:lang w:eastAsia="en-AU"/>
              </w:rPr>
            </w:pPr>
            <w:r w:rsidRPr="00FA0C47">
              <w:rPr>
                <w:sz w:val="18"/>
                <w:szCs w:val="18"/>
                <w:lang w:eastAsia="en-AU"/>
              </w:rPr>
              <w:t>5</w:t>
            </w:r>
          </w:p>
        </w:tc>
        <w:tc>
          <w:tcPr>
            <w:tcW w:w="852" w:type="dxa"/>
            <w:gridSpan w:val="2"/>
          </w:tcPr>
          <w:p w14:paraId="623FEE2E"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7A8C8D45" w14:textId="439FBDC4"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7D14912A"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1911F744" w14:textId="77777777" w:rsidR="008A23AB" w:rsidRPr="00FA0C47" w:rsidRDefault="008A23AB" w:rsidP="006A75E5">
            <w:pPr>
              <w:jc w:val="right"/>
              <w:rPr>
                <w:b/>
                <w:bCs/>
                <w:sz w:val="18"/>
                <w:szCs w:val="18"/>
                <w:lang w:eastAsia="en-AU"/>
              </w:rPr>
            </w:pPr>
          </w:p>
        </w:tc>
      </w:tr>
      <w:tr w:rsidR="008A23AB" w:rsidRPr="00976DE1" w14:paraId="392B7A1F" w14:textId="77777777" w:rsidTr="0004564D">
        <w:trPr>
          <w:cantSplit/>
          <w:trHeight w:val="45"/>
        </w:trPr>
        <w:tc>
          <w:tcPr>
            <w:tcW w:w="1561" w:type="dxa"/>
            <w:tcBorders>
              <w:left w:val="single" w:sz="2" w:space="0" w:color="auto"/>
              <w:right w:val="single" w:sz="2" w:space="0" w:color="auto"/>
            </w:tcBorders>
          </w:tcPr>
          <w:p w14:paraId="1CDC31D4"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670499D" w14:textId="01319B85" w:rsidR="008A23AB" w:rsidRPr="00FA0C47" w:rsidRDefault="008A23AB" w:rsidP="006A75E5">
            <w:pPr>
              <w:jc w:val="both"/>
              <w:rPr>
                <w:sz w:val="18"/>
                <w:szCs w:val="18"/>
              </w:rPr>
            </w:pPr>
            <w:r w:rsidRPr="00FA0C47">
              <w:rPr>
                <w:sz w:val="18"/>
                <w:szCs w:val="18"/>
                <w:lang w:eastAsia="en-AU"/>
              </w:rPr>
              <w:t>Current Receivables</w:t>
            </w:r>
          </w:p>
        </w:tc>
        <w:tc>
          <w:tcPr>
            <w:tcW w:w="1136" w:type="dxa"/>
            <w:shd w:val="clear" w:color="auto" w:fill="auto"/>
          </w:tcPr>
          <w:p w14:paraId="5CC4DD55" w14:textId="0E6E811C" w:rsidR="008A23AB" w:rsidRPr="00FA0C47" w:rsidRDefault="008A23AB" w:rsidP="003F3927">
            <w:pPr>
              <w:jc w:val="center"/>
              <w:rPr>
                <w:sz w:val="18"/>
                <w:szCs w:val="18"/>
                <w:lang w:eastAsia="en-AU"/>
              </w:rPr>
            </w:pPr>
            <w:r w:rsidRPr="00FA0C47">
              <w:rPr>
                <w:sz w:val="18"/>
                <w:szCs w:val="18"/>
                <w:lang w:eastAsia="en-AU"/>
              </w:rPr>
              <w:t>6</w:t>
            </w:r>
          </w:p>
        </w:tc>
        <w:tc>
          <w:tcPr>
            <w:tcW w:w="852" w:type="dxa"/>
            <w:gridSpan w:val="2"/>
          </w:tcPr>
          <w:p w14:paraId="49A328CC"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076BE2CB" w14:textId="49A13CB8"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50E84236"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794101DB" w14:textId="77777777" w:rsidR="008A23AB" w:rsidRPr="00FA0C47" w:rsidRDefault="008A23AB" w:rsidP="006A75E5">
            <w:pPr>
              <w:jc w:val="right"/>
              <w:rPr>
                <w:b/>
                <w:bCs/>
                <w:sz w:val="18"/>
                <w:szCs w:val="18"/>
                <w:lang w:eastAsia="en-AU"/>
              </w:rPr>
            </w:pPr>
          </w:p>
        </w:tc>
      </w:tr>
      <w:tr w:rsidR="008A23AB" w:rsidRPr="00976DE1" w14:paraId="6D21DBC8" w14:textId="77777777" w:rsidTr="0004564D">
        <w:trPr>
          <w:cantSplit/>
          <w:trHeight w:val="45"/>
        </w:trPr>
        <w:tc>
          <w:tcPr>
            <w:tcW w:w="1561" w:type="dxa"/>
            <w:tcBorders>
              <w:left w:val="single" w:sz="2" w:space="0" w:color="auto"/>
              <w:right w:val="single" w:sz="2" w:space="0" w:color="auto"/>
            </w:tcBorders>
          </w:tcPr>
          <w:p w14:paraId="6B4EF230"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EAE07A2" w14:textId="098D4BFD" w:rsidR="008A23AB" w:rsidRPr="00FA0C47" w:rsidRDefault="008A23AB" w:rsidP="006A75E5">
            <w:pPr>
              <w:jc w:val="both"/>
              <w:rPr>
                <w:sz w:val="18"/>
                <w:szCs w:val="18"/>
              </w:rPr>
            </w:pPr>
            <w:r w:rsidRPr="00FA0C47">
              <w:rPr>
                <w:bCs/>
                <w:sz w:val="18"/>
                <w:szCs w:val="18"/>
                <w:lang w:eastAsia="en-AU"/>
              </w:rPr>
              <w:t>Current Assets Held for Sale</w:t>
            </w:r>
          </w:p>
        </w:tc>
        <w:tc>
          <w:tcPr>
            <w:tcW w:w="1136" w:type="dxa"/>
            <w:shd w:val="clear" w:color="auto" w:fill="auto"/>
          </w:tcPr>
          <w:p w14:paraId="0567B6C9" w14:textId="405BD72E" w:rsidR="008A23AB" w:rsidRPr="00FA0C47" w:rsidRDefault="008A23AB" w:rsidP="003F3927">
            <w:pPr>
              <w:jc w:val="center"/>
              <w:rPr>
                <w:sz w:val="18"/>
                <w:szCs w:val="18"/>
                <w:lang w:eastAsia="en-AU"/>
              </w:rPr>
            </w:pPr>
            <w:r w:rsidRPr="00FA0C47">
              <w:rPr>
                <w:sz w:val="18"/>
                <w:szCs w:val="18"/>
                <w:lang w:eastAsia="en-AU"/>
              </w:rPr>
              <w:t>7</w:t>
            </w:r>
          </w:p>
        </w:tc>
        <w:tc>
          <w:tcPr>
            <w:tcW w:w="852" w:type="dxa"/>
            <w:gridSpan w:val="2"/>
          </w:tcPr>
          <w:p w14:paraId="0B169076"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76DBE3D4" w14:textId="1360FEAB"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6CC03FAA"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26573C25" w14:textId="77777777" w:rsidR="008A23AB" w:rsidRPr="00FA0C47" w:rsidRDefault="008A23AB" w:rsidP="006A75E5">
            <w:pPr>
              <w:jc w:val="right"/>
              <w:rPr>
                <w:b/>
                <w:bCs/>
                <w:sz w:val="18"/>
                <w:szCs w:val="18"/>
                <w:lang w:eastAsia="en-AU"/>
              </w:rPr>
            </w:pPr>
          </w:p>
        </w:tc>
      </w:tr>
      <w:tr w:rsidR="008A23AB" w:rsidRPr="00976DE1" w14:paraId="3C0D9034" w14:textId="77777777" w:rsidTr="0004564D">
        <w:trPr>
          <w:cantSplit/>
          <w:trHeight w:val="45"/>
        </w:trPr>
        <w:tc>
          <w:tcPr>
            <w:tcW w:w="1561" w:type="dxa"/>
            <w:tcBorders>
              <w:left w:val="single" w:sz="2" w:space="0" w:color="auto"/>
              <w:right w:val="single" w:sz="2" w:space="0" w:color="auto"/>
            </w:tcBorders>
          </w:tcPr>
          <w:p w14:paraId="3B4AE980"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3ECBA14" w14:textId="6B060929" w:rsidR="008A23AB" w:rsidRPr="00FA0C47" w:rsidRDefault="008A23AB" w:rsidP="006A75E5">
            <w:pPr>
              <w:jc w:val="both"/>
              <w:rPr>
                <w:sz w:val="18"/>
                <w:szCs w:val="18"/>
              </w:rPr>
            </w:pPr>
            <w:r w:rsidRPr="00FA0C47">
              <w:rPr>
                <w:bCs/>
                <w:sz w:val="18"/>
                <w:szCs w:val="18"/>
                <w:lang w:eastAsia="en-AU"/>
              </w:rPr>
              <w:t>Current Payables</w:t>
            </w:r>
          </w:p>
        </w:tc>
        <w:tc>
          <w:tcPr>
            <w:tcW w:w="1136" w:type="dxa"/>
            <w:shd w:val="clear" w:color="auto" w:fill="auto"/>
          </w:tcPr>
          <w:p w14:paraId="6BAB5E4A" w14:textId="1E5AC88B" w:rsidR="008A23AB" w:rsidRPr="00FA0C47" w:rsidRDefault="008A23AB" w:rsidP="003F3927">
            <w:pPr>
              <w:jc w:val="center"/>
              <w:rPr>
                <w:sz w:val="18"/>
                <w:szCs w:val="18"/>
                <w:lang w:eastAsia="en-AU"/>
              </w:rPr>
            </w:pPr>
            <w:r w:rsidRPr="00FA0C47">
              <w:rPr>
                <w:sz w:val="18"/>
                <w:szCs w:val="18"/>
                <w:lang w:eastAsia="en-AU"/>
              </w:rPr>
              <w:t>8</w:t>
            </w:r>
          </w:p>
        </w:tc>
        <w:tc>
          <w:tcPr>
            <w:tcW w:w="852" w:type="dxa"/>
            <w:gridSpan w:val="2"/>
          </w:tcPr>
          <w:p w14:paraId="4291A458"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284D3299" w14:textId="7BB0A407"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349AD8D8"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337DB854" w14:textId="77777777" w:rsidR="008A23AB" w:rsidRPr="00FA0C47" w:rsidRDefault="008A23AB" w:rsidP="006A75E5">
            <w:pPr>
              <w:jc w:val="right"/>
              <w:rPr>
                <w:b/>
                <w:bCs/>
                <w:sz w:val="18"/>
                <w:szCs w:val="18"/>
                <w:lang w:eastAsia="en-AU"/>
              </w:rPr>
            </w:pPr>
          </w:p>
        </w:tc>
      </w:tr>
      <w:tr w:rsidR="008A23AB" w:rsidRPr="00976DE1" w14:paraId="7DD6130E" w14:textId="77777777" w:rsidTr="0004564D">
        <w:trPr>
          <w:cantSplit/>
          <w:trHeight w:val="45"/>
        </w:trPr>
        <w:tc>
          <w:tcPr>
            <w:tcW w:w="1561" w:type="dxa"/>
            <w:tcBorders>
              <w:left w:val="single" w:sz="2" w:space="0" w:color="auto"/>
              <w:right w:val="single" w:sz="2" w:space="0" w:color="auto"/>
            </w:tcBorders>
          </w:tcPr>
          <w:p w14:paraId="6DEA0B72"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46C605DB" w14:textId="529345E9" w:rsidR="008A23AB" w:rsidRPr="00FA0C47" w:rsidRDefault="008A23AB" w:rsidP="006A75E5">
            <w:pPr>
              <w:jc w:val="both"/>
              <w:rPr>
                <w:bCs/>
                <w:sz w:val="18"/>
                <w:szCs w:val="18"/>
                <w:lang w:eastAsia="en-AU"/>
              </w:rPr>
            </w:pPr>
            <w:r w:rsidRPr="00FA0C47">
              <w:rPr>
                <w:bCs/>
                <w:sz w:val="18"/>
                <w:szCs w:val="18"/>
                <w:lang w:eastAsia="en-AU"/>
              </w:rPr>
              <w:t>Current Employee Benefits</w:t>
            </w:r>
          </w:p>
        </w:tc>
        <w:tc>
          <w:tcPr>
            <w:tcW w:w="1136" w:type="dxa"/>
            <w:shd w:val="clear" w:color="auto" w:fill="auto"/>
          </w:tcPr>
          <w:p w14:paraId="35DB7CB3" w14:textId="1BCC4541" w:rsidR="008A23AB" w:rsidRPr="00FA0C47" w:rsidRDefault="008A23AB" w:rsidP="003F3927">
            <w:pPr>
              <w:jc w:val="center"/>
              <w:rPr>
                <w:sz w:val="18"/>
                <w:szCs w:val="18"/>
                <w:lang w:eastAsia="en-AU"/>
              </w:rPr>
            </w:pPr>
            <w:r w:rsidRPr="00FA0C47">
              <w:rPr>
                <w:sz w:val="18"/>
                <w:szCs w:val="18"/>
                <w:lang w:eastAsia="en-AU"/>
              </w:rPr>
              <w:t>9</w:t>
            </w:r>
          </w:p>
        </w:tc>
        <w:tc>
          <w:tcPr>
            <w:tcW w:w="852" w:type="dxa"/>
            <w:gridSpan w:val="2"/>
          </w:tcPr>
          <w:p w14:paraId="74908075"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404BA636" w14:textId="685A8AEC"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31342E86"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39E99A67" w14:textId="77777777" w:rsidR="008A23AB" w:rsidRPr="00FA0C47" w:rsidRDefault="008A23AB" w:rsidP="006A75E5">
            <w:pPr>
              <w:jc w:val="right"/>
              <w:rPr>
                <w:b/>
                <w:bCs/>
                <w:sz w:val="18"/>
                <w:szCs w:val="18"/>
                <w:lang w:eastAsia="en-AU"/>
              </w:rPr>
            </w:pPr>
          </w:p>
        </w:tc>
      </w:tr>
      <w:tr w:rsidR="008A23AB" w:rsidRPr="00976DE1" w14:paraId="6EF8BFE7" w14:textId="77777777" w:rsidTr="0004564D">
        <w:trPr>
          <w:cantSplit/>
          <w:trHeight w:val="45"/>
        </w:trPr>
        <w:tc>
          <w:tcPr>
            <w:tcW w:w="1561" w:type="dxa"/>
            <w:tcBorders>
              <w:left w:val="single" w:sz="2" w:space="0" w:color="auto"/>
              <w:right w:val="single" w:sz="2" w:space="0" w:color="auto"/>
            </w:tcBorders>
          </w:tcPr>
          <w:p w14:paraId="22DC11F4"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6FA98A84" w14:textId="576AC1CA" w:rsidR="008A23AB" w:rsidRPr="00FA0C47" w:rsidRDefault="008A23AB" w:rsidP="006A75E5">
            <w:pPr>
              <w:jc w:val="both"/>
              <w:rPr>
                <w:bCs/>
                <w:sz w:val="18"/>
                <w:szCs w:val="18"/>
                <w:lang w:eastAsia="en-AU"/>
              </w:rPr>
            </w:pPr>
            <w:r w:rsidRPr="00FA0C47">
              <w:rPr>
                <w:sz w:val="18"/>
                <w:szCs w:val="18"/>
                <w:lang w:eastAsia="en-AU"/>
              </w:rPr>
              <w:t>Current Other Liabilities</w:t>
            </w:r>
          </w:p>
        </w:tc>
        <w:tc>
          <w:tcPr>
            <w:tcW w:w="1136" w:type="dxa"/>
            <w:shd w:val="clear" w:color="auto" w:fill="auto"/>
          </w:tcPr>
          <w:p w14:paraId="5633D1BA" w14:textId="66758553" w:rsidR="008A23AB" w:rsidRPr="00FA0C47" w:rsidRDefault="008A23AB" w:rsidP="003F3927">
            <w:pPr>
              <w:jc w:val="center"/>
              <w:rPr>
                <w:sz w:val="18"/>
                <w:szCs w:val="18"/>
                <w:lang w:eastAsia="en-AU"/>
              </w:rPr>
            </w:pPr>
            <w:r w:rsidRPr="00FA0C47">
              <w:rPr>
                <w:sz w:val="18"/>
                <w:szCs w:val="18"/>
                <w:lang w:eastAsia="en-AU"/>
              </w:rPr>
              <w:t>10</w:t>
            </w:r>
          </w:p>
        </w:tc>
        <w:tc>
          <w:tcPr>
            <w:tcW w:w="852" w:type="dxa"/>
            <w:gridSpan w:val="2"/>
          </w:tcPr>
          <w:p w14:paraId="31BA159F"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1D01BC71" w14:textId="669D0AF4"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66A6F5CB"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2E30562C" w14:textId="77777777" w:rsidR="008A23AB" w:rsidRPr="00FA0C47" w:rsidRDefault="008A23AB" w:rsidP="006A75E5">
            <w:pPr>
              <w:jc w:val="right"/>
              <w:rPr>
                <w:b/>
                <w:bCs/>
                <w:sz w:val="18"/>
                <w:szCs w:val="18"/>
                <w:lang w:eastAsia="en-AU"/>
              </w:rPr>
            </w:pPr>
          </w:p>
        </w:tc>
      </w:tr>
      <w:tr w:rsidR="008A23AB" w:rsidRPr="00976DE1" w14:paraId="3705CB2F" w14:textId="77777777" w:rsidTr="0004564D">
        <w:trPr>
          <w:cantSplit/>
          <w:trHeight w:val="45"/>
        </w:trPr>
        <w:tc>
          <w:tcPr>
            <w:tcW w:w="1561" w:type="dxa"/>
            <w:tcBorders>
              <w:left w:val="single" w:sz="2" w:space="0" w:color="auto"/>
              <w:right w:val="single" w:sz="2" w:space="0" w:color="auto"/>
            </w:tcBorders>
          </w:tcPr>
          <w:p w14:paraId="67330DE2"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2CA885FF" w14:textId="218541D8" w:rsidR="008A23AB" w:rsidRPr="00FA0C47" w:rsidRDefault="008A23AB" w:rsidP="006A75E5">
            <w:pPr>
              <w:jc w:val="both"/>
              <w:rPr>
                <w:bCs/>
                <w:sz w:val="18"/>
                <w:szCs w:val="18"/>
                <w:lang w:eastAsia="en-AU"/>
              </w:rPr>
            </w:pPr>
            <w:r w:rsidRPr="00FA0C47">
              <w:rPr>
                <w:sz w:val="18"/>
                <w:szCs w:val="18"/>
                <w:lang w:eastAsia="en-AU"/>
              </w:rPr>
              <w:t>Non-Current Payables</w:t>
            </w:r>
          </w:p>
        </w:tc>
        <w:tc>
          <w:tcPr>
            <w:tcW w:w="1136" w:type="dxa"/>
            <w:shd w:val="clear" w:color="auto" w:fill="auto"/>
          </w:tcPr>
          <w:p w14:paraId="58295AE2" w14:textId="276394C8" w:rsidR="008A23AB" w:rsidRPr="00FA0C47" w:rsidRDefault="008A23AB" w:rsidP="003F3927">
            <w:pPr>
              <w:jc w:val="center"/>
              <w:rPr>
                <w:sz w:val="18"/>
                <w:szCs w:val="18"/>
                <w:lang w:eastAsia="en-AU"/>
              </w:rPr>
            </w:pPr>
            <w:r w:rsidRPr="00FA0C47">
              <w:rPr>
                <w:sz w:val="18"/>
                <w:szCs w:val="18"/>
                <w:lang w:eastAsia="en-AU"/>
              </w:rPr>
              <w:t>11</w:t>
            </w:r>
          </w:p>
        </w:tc>
        <w:tc>
          <w:tcPr>
            <w:tcW w:w="852" w:type="dxa"/>
            <w:gridSpan w:val="2"/>
          </w:tcPr>
          <w:p w14:paraId="00729F1D"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4590625F" w14:textId="4ADC4C94"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4F1AC149"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5075E124" w14:textId="77777777" w:rsidR="008A23AB" w:rsidRPr="00FA0C47" w:rsidRDefault="008A23AB" w:rsidP="006A75E5">
            <w:pPr>
              <w:jc w:val="right"/>
              <w:rPr>
                <w:b/>
                <w:bCs/>
                <w:sz w:val="18"/>
                <w:szCs w:val="18"/>
                <w:lang w:eastAsia="en-AU"/>
              </w:rPr>
            </w:pPr>
          </w:p>
        </w:tc>
      </w:tr>
      <w:tr w:rsidR="008A23AB" w:rsidRPr="00976DE1" w14:paraId="76B4B005" w14:textId="77777777" w:rsidTr="0004564D">
        <w:trPr>
          <w:cantSplit/>
          <w:trHeight w:val="45"/>
        </w:trPr>
        <w:tc>
          <w:tcPr>
            <w:tcW w:w="1561" w:type="dxa"/>
            <w:tcBorders>
              <w:left w:val="single" w:sz="2" w:space="0" w:color="auto"/>
              <w:right w:val="single" w:sz="2" w:space="0" w:color="auto"/>
            </w:tcBorders>
          </w:tcPr>
          <w:p w14:paraId="344AD592"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35F005DA" w14:textId="258D27A9" w:rsidR="008A23AB" w:rsidRPr="00FA0C47" w:rsidRDefault="008A23AB" w:rsidP="006A75E5">
            <w:pPr>
              <w:jc w:val="both"/>
              <w:rPr>
                <w:bCs/>
                <w:sz w:val="18"/>
                <w:szCs w:val="18"/>
                <w:lang w:eastAsia="en-AU"/>
              </w:rPr>
            </w:pPr>
            <w:r w:rsidRPr="00FA0C47">
              <w:rPr>
                <w:sz w:val="18"/>
                <w:szCs w:val="18"/>
                <w:lang w:eastAsia="en-AU"/>
              </w:rPr>
              <w:t xml:space="preserve">Non-Current </w:t>
            </w:r>
            <w:r w:rsidR="00640BD8" w:rsidRPr="00FA0C47">
              <w:rPr>
                <w:sz w:val="18"/>
                <w:szCs w:val="18"/>
                <w:lang w:eastAsia="en-AU"/>
              </w:rPr>
              <w:t>Borrowings</w:t>
            </w:r>
          </w:p>
        </w:tc>
        <w:tc>
          <w:tcPr>
            <w:tcW w:w="1136" w:type="dxa"/>
            <w:shd w:val="clear" w:color="auto" w:fill="auto"/>
          </w:tcPr>
          <w:p w14:paraId="541D3E6E" w14:textId="2D20336E" w:rsidR="008A23AB" w:rsidRPr="00FA0C47" w:rsidRDefault="008A23AB" w:rsidP="003F3927">
            <w:pPr>
              <w:jc w:val="center"/>
              <w:rPr>
                <w:sz w:val="18"/>
                <w:szCs w:val="18"/>
                <w:lang w:eastAsia="en-AU"/>
              </w:rPr>
            </w:pPr>
            <w:r w:rsidRPr="00FA0C47">
              <w:rPr>
                <w:sz w:val="18"/>
                <w:szCs w:val="18"/>
                <w:lang w:eastAsia="en-AU"/>
              </w:rPr>
              <w:t>12</w:t>
            </w:r>
          </w:p>
        </w:tc>
        <w:tc>
          <w:tcPr>
            <w:tcW w:w="852" w:type="dxa"/>
            <w:gridSpan w:val="2"/>
          </w:tcPr>
          <w:p w14:paraId="11C49F23"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00F0F1AF" w14:textId="484ECABD"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36747362"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2C7B41E8" w14:textId="77777777" w:rsidR="008A23AB" w:rsidRPr="00FA0C47" w:rsidRDefault="008A23AB" w:rsidP="006A75E5">
            <w:pPr>
              <w:jc w:val="right"/>
              <w:rPr>
                <w:b/>
                <w:bCs/>
                <w:sz w:val="18"/>
                <w:szCs w:val="18"/>
                <w:lang w:eastAsia="en-AU"/>
              </w:rPr>
            </w:pPr>
          </w:p>
        </w:tc>
      </w:tr>
      <w:tr w:rsidR="008A23AB" w:rsidRPr="00976DE1" w14:paraId="4E530DD7" w14:textId="77777777" w:rsidTr="0004564D">
        <w:trPr>
          <w:cantSplit/>
          <w:trHeight w:val="45"/>
        </w:trPr>
        <w:tc>
          <w:tcPr>
            <w:tcW w:w="1561" w:type="dxa"/>
            <w:tcBorders>
              <w:left w:val="single" w:sz="2" w:space="0" w:color="auto"/>
              <w:right w:val="single" w:sz="2" w:space="0" w:color="auto"/>
            </w:tcBorders>
          </w:tcPr>
          <w:p w14:paraId="78E724FD" w14:textId="77777777" w:rsidR="008A23AB" w:rsidRPr="00FA0C47" w:rsidRDefault="008A23AB" w:rsidP="006A75E5">
            <w:pPr>
              <w:pStyle w:val="TableReference"/>
              <w:tabs>
                <w:tab w:val="left" w:pos="3306"/>
              </w:tabs>
              <w:rPr>
                <w:rFonts w:cs="Calibri"/>
                <w:color w:val="7030A0"/>
                <w:sz w:val="18"/>
                <w:szCs w:val="18"/>
              </w:rPr>
            </w:pPr>
          </w:p>
        </w:tc>
        <w:tc>
          <w:tcPr>
            <w:tcW w:w="4105" w:type="dxa"/>
            <w:gridSpan w:val="2"/>
            <w:tcBorders>
              <w:left w:val="single" w:sz="2" w:space="0" w:color="auto"/>
            </w:tcBorders>
            <w:shd w:val="clear" w:color="auto" w:fill="auto"/>
          </w:tcPr>
          <w:p w14:paraId="5682EBE7" w14:textId="00D3CCB5" w:rsidR="008A23AB" w:rsidRPr="00FA0C47" w:rsidRDefault="008A23AB" w:rsidP="006A75E5">
            <w:pPr>
              <w:jc w:val="both"/>
              <w:rPr>
                <w:bCs/>
                <w:sz w:val="18"/>
                <w:szCs w:val="18"/>
                <w:lang w:eastAsia="en-AU"/>
              </w:rPr>
            </w:pPr>
            <w:r w:rsidRPr="00FA0C47">
              <w:rPr>
                <w:sz w:val="18"/>
                <w:szCs w:val="18"/>
                <w:lang w:eastAsia="en-AU"/>
              </w:rPr>
              <w:t>Non-Current Lease</w:t>
            </w:r>
            <w:r w:rsidR="00BA6793" w:rsidRPr="00FA0C47">
              <w:rPr>
                <w:sz w:val="18"/>
                <w:szCs w:val="18"/>
                <w:lang w:eastAsia="en-AU"/>
              </w:rPr>
              <w:t xml:space="preserve"> Liabilities</w:t>
            </w:r>
          </w:p>
        </w:tc>
        <w:tc>
          <w:tcPr>
            <w:tcW w:w="1136" w:type="dxa"/>
            <w:shd w:val="clear" w:color="auto" w:fill="auto"/>
          </w:tcPr>
          <w:p w14:paraId="77A0EFA1" w14:textId="752E5145" w:rsidR="008A23AB" w:rsidRPr="00FA0C47" w:rsidRDefault="008A23AB" w:rsidP="003F3927">
            <w:pPr>
              <w:jc w:val="center"/>
              <w:rPr>
                <w:sz w:val="18"/>
                <w:szCs w:val="18"/>
                <w:lang w:eastAsia="en-AU"/>
              </w:rPr>
            </w:pPr>
            <w:r w:rsidRPr="00FA0C47">
              <w:rPr>
                <w:sz w:val="18"/>
                <w:szCs w:val="18"/>
                <w:lang w:eastAsia="en-AU"/>
              </w:rPr>
              <w:t>13</w:t>
            </w:r>
          </w:p>
        </w:tc>
        <w:tc>
          <w:tcPr>
            <w:tcW w:w="852" w:type="dxa"/>
            <w:gridSpan w:val="2"/>
          </w:tcPr>
          <w:p w14:paraId="5AA48F50" w14:textId="77777777" w:rsidR="008A23AB" w:rsidRPr="00FA0C47" w:rsidRDefault="008A23AB" w:rsidP="006A75E5">
            <w:pPr>
              <w:jc w:val="right"/>
              <w:rPr>
                <w:b/>
                <w:bCs/>
                <w:sz w:val="18"/>
                <w:szCs w:val="18"/>
                <w:lang w:eastAsia="en-AU"/>
              </w:rPr>
            </w:pPr>
          </w:p>
        </w:tc>
        <w:tc>
          <w:tcPr>
            <w:tcW w:w="566" w:type="dxa"/>
            <w:shd w:val="clear" w:color="auto" w:fill="auto"/>
            <w:vAlign w:val="bottom"/>
          </w:tcPr>
          <w:p w14:paraId="7415F736" w14:textId="3F19C4ED" w:rsidR="008A23AB" w:rsidRPr="00FA0C47" w:rsidRDefault="008A23AB" w:rsidP="006A75E5">
            <w:pPr>
              <w:jc w:val="right"/>
              <w:rPr>
                <w:b/>
                <w:bCs/>
                <w:sz w:val="18"/>
                <w:szCs w:val="18"/>
                <w:lang w:eastAsia="en-AU"/>
              </w:rPr>
            </w:pPr>
          </w:p>
        </w:tc>
        <w:tc>
          <w:tcPr>
            <w:tcW w:w="1418" w:type="dxa"/>
            <w:gridSpan w:val="6"/>
            <w:shd w:val="clear" w:color="auto" w:fill="auto"/>
            <w:vAlign w:val="bottom"/>
          </w:tcPr>
          <w:p w14:paraId="09B9B90C" w14:textId="77777777" w:rsidR="008A23AB" w:rsidRPr="00FA0C47" w:rsidRDefault="008A23AB" w:rsidP="006A75E5">
            <w:pPr>
              <w:jc w:val="right"/>
              <w:rPr>
                <w:b/>
                <w:bCs/>
                <w:sz w:val="18"/>
                <w:szCs w:val="18"/>
                <w:lang w:eastAsia="en-AU"/>
              </w:rPr>
            </w:pPr>
          </w:p>
        </w:tc>
        <w:tc>
          <w:tcPr>
            <w:tcW w:w="854" w:type="dxa"/>
            <w:gridSpan w:val="2"/>
            <w:shd w:val="clear" w:color="auto" w:fill="auto"/>
            <w:vAlign w:val="bottom"/>
          </w:tcPr>
          <w:p w14:paraId="34FCC086" w14:textId="77777777" w:rsidR="008A23AB" w:rsidRPr="00FA0C47" w:rsidRDefault="008A23AB" w:rsidP="006A75E5">
            <w:pPr>
              <w:jc w:val="right"/>
              <w:rPr>
                <w:b/>
                <w:bCs/>
                <w:sz w:val="18"/>
                <w:szCs w:val="18"/>
                <w:lang w:eastAsia="en-AU"/>
              </w:rPr>
            </w:pPr>
          </w:p>
        </w:tc>
      </w:tr>
      <w:tr w:rsidR="003F3927" w:rsidRPr="00976DE1" w14:paraId="4FED10F6" w14:textId="77777777" w:rsidTr="000A1EDA">
        <w:trPr>
          <w:cantSplit/>
          <w:trHeight w:val="45"/>
        </w:trPr>
        <w:tc>
          <w:tcPr>
            <w:tcW w:w="1561" w:type="dxa"/>
            <w:tcBorders>
              <w:left w:val="single" w:sz="2" w:space="0" w:color="7030A0"/>
              <w:right w:val="single" w:sz="2" w:space="0" w:color="7030A0"/>
            </w:tcBorders>
          </w:tcPr>
          <w:p w14:paraId="5B7B6450" w14:textId="77777777" w:rsidR="003F3927" w:rsidRPr="00FA0C47" w:rsidRDefault="003F3927" w:rsidP="006A75E5">
            <w:pPr>
              <w:pStyle w:val="TableReference"/>
              <w:tabs>
                <w:tab w:val="left" w:pos="3306"/>
              </w:tabs>
              <w:rPr>
                <w:rFonts w:cs="Calibri"/>
                <w:color w:val="7030A0"/>
                <w:sz w:val="18"/>
                <w:szCs w:val="18"/>
              </w:rPr>
            </w:pPr>
          </w:p>
        </w:tc>
        <w:tc>
          <w:tcPr>
            <w:tcW w:w="4105" w:type="dxa"/>
            <w:gridSpan w:val="2"/>
            <w:tcBorders>
              <w:left w:val="single" w:sz="2" w:space="0" w:color="7030A0"/>
            </w:tcBorders>
            <w:shd w:val="clear" w:color="auto" w:fill="auto"/>
          </w:tcPr>
          <w:p w14:paraId="27C43E62" w14:textId="77777777" w:rsidR="003F3927" w:rsidRPr="00FA0C47" w:rsidRDefault="003F3927" w:rsidP="006A75E5">
            <w:pPr>
              <w:jc w:val="both"/>
              <w:rPr>
                <w:b/>
                <w:sz w:val="18"/>
                <w:szCs w:val="18"/>
                <w:lang w:eastAsia="en-AU"/>
              </w:rPr>
            </w:pPr>
          </w:p>
        </w:tc>
        <w:tc>
          <w:tcPr>
            <w:tcW w:w="1136" w:type="dxa"/>
            <w:shd w:val="clear" w:color="auto" w:fill="auto"/>
            <w:vAlign w:val="bottom"/>
          </w:tcPr>
          <w:p w14:paraId="2E9A0FF7" w14:textId="77777777" w:rsidR="003F3927" w:rsidRPr="00FA0C47" w:rsidRDefault="003F3927" w:rsidP="006A75E5">
            <w:pPr>
              <w:jc w:val="right"/>
              <w:rPr>
                <w:b/>
                <w:bCs/>
                <w:sz w:val="18"/>
                <w:szCs w:val="18"/>
                <w:lang w:eastAsia="en-AU"/>
              </w:rPr>
            </w:pPr>
          </w:p>
        </w:tc>
        <w:tc>
          <w:tcPr>
            <w:tcW w:w="852" w:type="dxa"/>
            <w:gridSpan w:val="2"/>
            <w:shd w:val="clear" w:color="auto" w:fill="auto"/>
            <w:vAlign w:val="bottom"/>
          </w:tcPr>
          <w:p w14:paraId="676352D1" w14:textId="77777777" w:rsidR="003F3927" w:rsidRPr="00FA0C47" w:rsidRDefault="003F3927" w:rsidP="006A75E5">
            <w:pPr>
              <w:jc w:val="right"/>
              <w:rPr>
                <w:b/>
                <w:bCs/>
                <w:sz w:val="18"/>
                <w:szCs w:val="18"/>
                <w:lang w:eastAsia="en-AU"/>
              </w:rPr>
            </w:pPr>
          </w:p>
        </w:tc>
        <w:tc>
          <w:tcPr>
            <w:tcW w:w="1136" w:type="dxa"/>
            <w:gridSpan w:val="4"/>
            <w:shd w:val="clear" w:color="auto" w:fill="auto"/>
            <w:vAlign w:val="bottom"/>
          </w:tcPr>
          <w:p w14:paraId="686CFED4" w14:textId="77777777" w:rsidR="003F3927" w:rsidRPr="00FA0C47" w:rsidRDefault="003F3927" w:rsidP="006A75E5">
            <w:pPr>
              <w:jc w:val="right"/>
              <w:rPr>
                <w:b/>
                <w:bCs/>
                <w:sz w:val="18"/>
                <w:szCs w:val="18"/>
                <w:lang w:eastAsia="en-AU"/>
              </w:rPr>
            </w:pPr>
          </w:p>
        </w:tc>
        <w:tc>
          <w:tcPr>
            <w:tcW w:w="567" w:type="dxa"/>
            <w:shd w:val="clear" w:color="auto" w:fill="auto"/>
            <w:vAlign w:val="bottom"/>
          </w:tcPr>
          <w:p w14:paraId="3879023A" w14:textId="77777777" w:rsidR="003F3927" w:rsidRPr="00FA0C47" w:rsidRDefault="003F3927" w:rsidP="006A75E5">
            <w:pPr>
              <w:jc w:val="right"/>
              <w:rPr>
                <w:b/>
                <w:bCs/>
                <w:sz w:val="18"/>
                <w:szCs w:val="18"/>
                <w:lang w:eastAsia="en-AU"/>
              </w:rPr>
            </w:pPr>
          </w:p>
        </w:tc>
        <w:tc>
          <w:tcPr>
            <w:tcW w:w="1135" w:type="dxa"/>
            <w:gridSpan w:val="4"/>
            <w:shd w:val="clear" w:color="auto" w:fill="auto"/>
            <w:vAlign w:val="bottom"/>
          </w:tcPr>
          <w:p w14:paraId="1557448A" w14:textId="77777777" w:rsidR="003F3927" w:rsidRPr="00FA0C47" w:rsidRDefault="003F3927" w:rsidP="006A75E5">
            <w:pPr>
              <w:jc w:val="right"/>
              <w:rPr>
                <w:b/>
                <w:bCs/>
                <w:sz w:val="18"/>
                <w:szCs w:val="18"/>
              </w:rPr>
            </w:pPr>
          </w:p>
        </w:tc>
      </w:tr>
    </w:tbl>
    <w:p w14:paraId="3A9B6037" w14:textId="77777777" w:rsidR="000A1EDA" w:rsidRDefault="000A1EDA">
      <w:r>
        <w:br w:type="page"/>
      </w:r>
    </w:p>
    <w:tbl>
      <w:tblPr>
        <w:tblW w:w="10492" w:type="dxa"/>
        <w:tblInd w:w="-5" w:type="dxa"/>
        <w:tblLayout w:type="fixed"/>
        <w:tblLook w:val="00A0" w:firstRow="1" w:lastRow="0" w:firstColumn="1" w:lastColumn="0" w:noHBand="0" w:noVBand="0"/>
      </w:tblPr>
      <w:tblGrid>
        <w:gridCol w:w="1561"/>
        <w:gridCol w:w="4105"/>
        <w:gridCol w:w="1136"/>
        <w:gridCol w:w="852"/>
        <w:gridCol w:w="850"/>
        <w:gridCol w:w="996"/>
        <w:gridCol w:w="992"/>
      </w:tblGrid>
      <w:tr w:rsidR="000A1EDA" w:rsidRPr="00976DE1" w14:paraId="7A9AB092" w14:textId="77777777" w:rsidTr="0004564D">
        <w:trPr>
          <w:cantSplit/>
          <w:trHeight w:val="23"/>
        </w:trPr>
        <w:tc>
          <w:tcPr>
            <w:tcW w:w="1561" w:type="dxa"/>
            <w:tcBorders>
              <w:left w:val="single" w:sz="2" w:space="0" w:color="auto"/>
              <w:right w:val="single" w:sz="2" w:space="0" w:color="auto"/>
            </w:tcBorders>
            <w:vAlign w:val="bottom"/>
          </w:tcPr>
          <w:p w14:paraId="19BD917D" w14:textId="02A4DD7C" w:rsidR="000A1EDA" w:rsidRPr="00FA0C47" w:rsidRDefault="000A1EDA" w:rsidP="00DA5473">
            <w:pPr>
              <w:pStyle w:val="TableReference"/>
              <w:tabs>
                <w:tab w:val="left" w:pos="3306"/>
              </w:tabs>
              <w:spacing w:before="240" w:after="240"/>
              <w:rPr>
                <w:rFonts w:cs="Calibri"/>
                <w:b/>
                <w:color w:val="7030A0"/>
                <w:sz w:val="22"/>
                <w:szCs w:val="22"/>
              </w:rPr>
            </w:pPr>
            <w:r w:rsidRPr="00FA0C47">
              <w:rPr>
                <w:rFonts w:cs="Calibri"/>
                <w:b/>
                <w:color w:val="7030A0"/>
                <w:sz w:val="22"/>
                <w:szCs w:val="22"/>
              </w:rPr>
              <w:t>Reference</w:t>
            </w:r>
          </w:p>
        </w:tc>
        <w:tc>
          <w:tcPr>
            <w:tcW w:w="8931" w:type="dxa"/>
            <w:gridSpan w:val="6"/>
            <w:tcBorders>
              <w:left w:val="single" w:sz="2" w:space="0" w:color="auto"/>
            </w:tcBorders>
            <w:shd w:val="clear" w:color="auto" w:fill="auto"/>
            <w:vAlign w:val="bottom"/>
          </w:tcPr>
          <w:p w14:paraId="188327CD" w14:textId="069E729A" w:rsidR="000A1EDA" w:rsidRPr="00FA0C47" w:rsidRDefault="000A1EDA" w:rsidP="00DA5473">
            <w:pPr>
              <w:pStyle w:val="Heading1"/>
              <w:numPr>
                <w:ilvl w:val="0"/>
                <w:numId w:val="0"/>
              </w:numPr>
              <w:ind w:left="1134" w:hanging="1134"/>
            </w:pPr>
            <w:bookmarkStart w:id="791" w:name="_Toc98763183"/>
            <w:r w:rsidRPr="00FA0C47">
              <w:t>Note 40.</w:t>
            </w:r>
            <w:r>
              <w:t xml:space="preserve"> </w:t>
            </w:r>
            <w:r w:rsidRPr="00FA0C47">
              <w:t xml:space="preserve"> Budgetary Reporting</w:t>
            </w:r>
            <w:r>
              <w:t xml:space="preserve"> – Continued</w:t>
            </w:r>
            <w:bookmarkEnd w:id="791"/>
            <w:r>
              <w:t xml:space="preserve"> </w:t>
            </w:r>
          </w:p>
        </w:tc>
      </w:tr>
      <w:tr w:rsidR="00BB62BB" w:rsidRPr="00976DE1" w14:paraId="0E8100C6" w14:textId="77777777" w:rsidTr="0004564D">
        <w:trPr>
          <w:cantSplit/>
          <w:trHeight w:val="45"/>
        </w:trPr>
        <w:tc>
          <w:tcPr>
            <w:tcW w:w="1561" w:type="dxa"/>
            <w:tcBorders>
              <w:left w:val="single" w:sz="2" w:space="0" w:color="auto"/>
              <w:right w:val="single" w:sz="2" w:space="0" w:color="auto"/>
            </w:tcBorders>
          </w:tcPr>
          <w:p w14:paraId="6D18C67E" w14:textId="66E00136" w:rsidR="00BB62BB" w:rsidRPr="00FA0C47" w:rsidRDefault="00BB62B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4500FF6" w14:textId="260B8DF3" w:rsidR="00BB62BB" w:rsidRPr="00FA0C47" w:rsidRDefault="00BB62BB" w:rsidP="00BB62BB">
            <w:pPr>
              <w:rPr>
                <w:b/>
                <w:bCs/>
                <w:sz w:val="18"/>
                <w:szCs w:val="18"/>
              </w:rPr>
            </w:pPr>
            <w:r w:rsidRPr="00FA0C47">
              <w:rPr>
                <w:b/>
                <w:sz w:val="18"/>
                <w:szCs w:val="18"/>
                <w:lang w:eastAsia="en-AU"/>
              </w:rPr>
              <w:t>Variance Explanations</w:t>
            </w:r>
          </w:p>
        </w:tc>
      </w:tr>
      <w:tr w:rsidR="008A23AB" w:rsidRPr="00976DE1" w14:paraId="354B4354" w14:textId="7195D044" w:rsidTr="0004564D">
        <w:trPr>
          <w:cantSplit/>
          <w:trHeight w:val="45"/>
        </w:trPr>
        <w:tc>
          <w:tcPr>
            <w:tcW w:w="1561" w:type="dxa"/>
            <w:tcBorders>
              <w:left w:val="single" w:sz="2" w:space="0" w:color="auto"/>
              <w:right w:val="single" w:sz="2" w:space="0" w:color="auto"/>
            </w:tcBorders>
          </w:tcPr>
          <w:p w14:paraId="5A74B803"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59B63AB" w14:textId="76CC0ECB"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3404CF03" w14:textId="5B096BC1" w:rsidTr="0004564D">
        <w:trPr>
          <w:cantSplit/>
          <w:trHeight w:val="45"/>
        </w:trPr>
        <w:tc>
          <w:tcPr>
            <w:tcW w:w="1561" w:type="dxa"/>
            <w:tcBorders>
              <w:left w:val="single" w:sz="2" w:space="0" w:color="auto"/>
              <w:right w:val="single" w:sz="2" w:space="0" w:color="auto"/>
            </w:tcBorders>
          </w:tcPr>
          <w:p w14:paraId="750F6E58"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6C0918AE" w14:textId="5416AA9A"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5FECE606" w14:textId="713F07F4" w:rsidTr="0004564D">
        <w:trPr>
          <w:cantSplit/>
          <w:trHeight w:val="45"/>
        </w:trPr>
        <w:tc>
          <w:tcPr>
            <w:tcW w:w="1561" w:type="dxa"/>
            <w:tcBorders>
              <w:left w:val="single" w:sz="2" w:space="0" w:color="auto"/>
              <w:right w:val="single" w:sz="2" w:space="0" w:color="auto"/>
            </w:tcBorders>
          </w:tcPr>
          <w:p w14:paraId="76B81D4D"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0491D12" w14:textId="049BAFDD"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1DAC6C56" w14:textId="0394DAE0" w:rsidTr="0004564D">
        <w:trPr>
          <w:cantSplit/>
          <w:trHeight w:val="45"/>
        </w:trPr>
        <w:tc>
          <w:tcPr>
            <w:tcW w:w="1561" w:type="dxa"/>
            <w:tcBorders>
              <w:left w:val="single" w:sz="2" w:space="0" w:color="auto"/>
              <w:right w:val="single" w:sz="2" w:space="0" w:color="auto"/>
            </w:tcBorders>
          </w:tcPr>
          <w:p w14:paraId="47F82E2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70E6103" w14:textId="63B6638F"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73A2866C" w14:textId="3671DD83" w:rsidTr="0004564D">
        <w:trPr>
          <w:cantSplit/>
          <w:trHeight w:val="45"/>
        </w:trPr>
        <w:tc>
          <w:tcPr>
            <w:tcW w:w="1561" w:type="dxa"/>
            <w:tcBorders>
              <w:left w:val="single" w:sz="2" w:space="0" w:color="auto"/>
              <w:right w:val="single" w:sz="2" w:space="0" w:color="auto"/>
            </w:tcBorders>
          </w:tcPr>
          <w:p w14:paraId="51AD5731"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1F6C9A6" w14:textId="67166094"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0DB7B6CF" w14:textId="77777777" w:rsidTr="0004564D">
        <w:trPr>
          <w:cantSplit/>
          <w:trHeight w:val="45"/>
        </w:trPr>
        <w:tc>
          <w:tcPr>
            <w:tcW w:w="1561" w:type="dxa"/>
            <w:tcBorders>
              <w:left w:val="single" w:sz="2" w:space="0" w:color="auto"/>
              <w:right w:val="single" w:sz="2" w:space="0" w:color="auto"/>
            </w:tcBorders>
          </w:tcPr>
          <w:p w14:paraId="0E6A95B5"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29FDEE9D" w14:textId="608402BA"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50D392C1" w14:textId="77777777" w:rsidTr="0004564D">
        <w:trPr>
          <w:cantSplit/>
          <w:trHeight w:val="45"/>
        </w:trPr>
        <w:tc>
          <w:tcPr>
            <w:tcW w:w="1561" w:type="dxa"/>
            <w:tcBorders>
              <w:left w:val="single" w:sz="2" w:space="0" w:color="auto"/>
              <w:right w:val="single" w:sz="2" w:space="0" w:color="auto"/>
            </w:tcBorders>
          </w:tcPr>
          <w:p w14:paraId="6DEB23DC"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70CBADB3" w14:textId="4369882A"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181CFF1D" w14:textId="77777777" w:rsidTr="0004564D">
        <w:trPr>
          <w:cantSplit/>
          <w:trHeight w:val="45"/>
        </w:trPr>
        <w:tc>
          <w:tcPr>
            <w:tcW w:w="1561" w:type="dxa"/>
            <w:tcBorders>
              <w:left w:val="single" w:sz="2" w:space="0" w:color="auto"/>
              <w:right w:val="single" w:sz="2" w:space="0" w:color="auto"/>
            </w:tcBorders>
          </w:tcPr>
          <w:p w14:paraId="7E96A9B3"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74F9396D" w14:textId="429990FE"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3B15473C" w14:textId="77777777" w:rsidTr="0004564D">
        <w:trPr>
          <w:cantSplit/>
          <w:trHeight w:val="45"/>
        </w:trPr>
        <w:tc>
          <w:tcPr>
            <w:tcW w:w="1561" w:type="dxa"/>
            <w:tcBorders>
              <w:left w:val="single" w:sz="2" w:space="0" w:color="auto"/>
              <w:right w:val="single" w:sz="2" w:space="0" w:color="auto"/>
            </w:tcBorders>
          </w:tcPr>
          <w:p w14:paraId="7485CF1D"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4C678990" w14:textId="185C4308"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39499D52" w14:textId="77777777" w:rsidTr="0004564D">
        <w:trPr>
          <w:cantSplit/>
          <w:trHeight w:val="45"/>
        </w:trPr>
        <w:tc>
          <w:tcPr>
            <w:tcW w:w="1561" w:type="dxa"/>
            <w:tcBorders>
              <w:left w:val="single" w:sz="2" w:space="0" w:color="auto"/>
              <w:right w:val="single" w:sz="2" w:space="0" w:color="auto"/>
            </w:tcBorders>
          </w:tcPr>
          <w:p w14:paraId="3E39FCFE"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51AB7238" w14:textId="26844CD2" w:rsidR="008A23AB" w:rsidRPr="00FA0C47" w:rsidRDefault="008A23AB" w:rsidP="007122BC">
            <w:pPr>
              <w:pStyle w:val="ListParagraph"/>
              <w:numPr>
                <w:ilvl w:val="0"/>
                <w:numId w:val="69"/>
              </w:numPr>
              <w:rPr>
                <w:b/>
                <w:bCs/>
                <w:sz w:val="18"/>
                <w:szCs w:val="18"/>
              </w:rPr>
            </w:pPr>
            <w:r w:rsidRPr="00FA0C47">
              <w:rPr>
                <w:sz w:val="18"/>
                <w:szCs w:val="18"/>
                <w:lang w:eastAsia="en-AU"/>
              </w:rPr>
              <w:t>[Insert major variance explanation]</w:t>
            </w:r>
          </w:p>
        </w:tc>
      </w:tr>
      <w:tr w:rsidR="008A23AB" w:rsidRPr="00976DE1" w14:paraId="072CE55B" w14:textId="77777777" w:rsidTr="0004564D">
        <w:trPr>
          <w:cantSplit/>
          <w:trHeight w:val="45"/>
        </w:trPr>
        <w:tc>
          <w:tcPr>
            <w:tcW w:w="1561" w:type="dxa"/>
            <w:tcBorders>
              <w:left w:val="single" w:sz="2" w:space="0" w:color="auto"/>
              <w:right w:val="single" w:sz="2" w:space="0" w:color="auto"/>
            </w:tcBorders>
          </w:tcPr>
          <w:p w14:paraId="12D1E810"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9C073F3" w14:textId="77777777" w:rsidR="008A23AB" w:rsidRPr="00FA0C47" w:rsidRDefault="008A23AB" w:rsidP="005C2B4F">
            <w:pPr>
              <w:rPr>
                <w:b/>
                <w:bCs/>
                <w:sz w:val="18"/>
                <w:szCs w:val="18"/>
              </w:rPr>
            </w:pPr>
          </w:p>
        </w:tc>
      </w:tr>
      <w:tr w:rsidR="008A23AB" w:rsidRPr="00976DE1" w14:paraId="419813D3" w14:textId="77777777" w:rsidTr="0004564D">
        <w:trPr>
          <w:cantSplit/>
          <w:trHeight w:val="45"/>
        </w:trPr>
        <w:tc>
          <w:tcPr>
            <w:tcW w:w="1561" w:type="dxa"/>
            <w:tcBorders>
              <w:left w:val="single" w:sz="2" w:space="0" w:color="auto"/>
              <w:right w:val="single" w:sz="2" w:space="0" w:color="auto"/>
            </w:tcBorders>
          </w:tcPr>
          <w:p w14:paraId="4372902A" w14:textId="77777777" w:rsidR="008A23AB" w:rsidRPr="00FA0C47" w:rsidRDefault="008A23AB"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D1173E7" w14:textId="29AA27B8" w:rsidR="008A23AB" w:rsidRPr="00FA0C47" w:rsidRDefault="008A23AB" w:rsidP="005C2B4F">
            <w:pPr>
              <w:rPr>
                <w:b/>
                <w:bCs/>
                <w:sz w:val="18"/>
                <w:szCs w:val="18"/>
              </w:rPr>
            </w:pPr>
            <w:r w:rsidRPr="00FA0C47">
              <w:rPr>
                <w:b/>
                <w:sz w:val="18"/>
                <w:szCs w:val="18"/>
              </w:rPr>
              <w:t>Statement of Changes in Equity</w:t>
            </w:r>
            <w:r w:rsidRPr="00FA0C47">
              <w:rPr>
                <w:sz w:val="18"/>
                <w:szCs w:val="18"/>
              </w:rPr>
              <w:t xml:space="preserve"> - these line items are covered in other financial statements</w:t>
            </w:r>
          </w:p>
        </w:tc>
      </w:tr>
      <w:tr w:rsidR="00FA0C47" w:rsidRPr="00FA0C47" w14:paraId="0D3DD758" w14:textId="77777777" w:rsidTr="0004564D">
        <w:trPr>
          <w:cantSplit/>
          <w:trHeight w:val="45"/>
        </w:trPr>
        <w:tc>
          <w:tcPr>
            <w:tcW w:w="1561" w:type="dxa"/>
            <w:tcBorders>
              <w:left w:val="single" w:sz="2" w:space="0" w:color="auto"/>
              <w:right w:val="single" w:sz="2" w:space="0" w:color="auto"/>
            </w:tcBorders>
          </w:tcPr>
          <w:p w14:paraId="17465CEF" w14:textId="77777777" w:rsidR="005C2B4F" w:rsidRPr="00FA0C47" w:rsidRDefault="005C2B4F" w:rsidP="006A75E5">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167FC11" w14:textId="77777777" w:rsidR="005C2B4F" w:rsidRPr="00FA0C47" w:rsidRDefault="005C2B4F" w:rsidP="005C2B4F">
            <w:pPr>
              <w:rPr>
                <w:b/>
                <w:bCs/>
                <w:sz w:val="18"/>
                <w:szCs w:val="18"/>
              </w:rPr>
            </w:pPr>
          </w:p>
        </w:tc>
      </w:tr>
      <w:tr w:rsidR="003F3927" w:rsidRPr="00976DE1" w14:paraId="1F432D9B" w14:textId="77777777" w:rsidTr="0004564D">
        <w:trPr>
          <w:cantSplit/>
          <w:trHeight w:val="45"/>
        </w:trPr>
        <w:tc>
          <w:tcPr>
            <w:tcW w:w="1561" w:type="dxa"/>
            <w:tcBorders>
              <w:left w:val="single" w:sz="2" w:space="0" w:color="auto"/>
              <w:right w:val="single" w:sz="2" w:space="0" w:color="auto"/>
            </w:tcBorders>
          </w:tcPr>
          <w:p w14:paraId="779FE7C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4C8BA1EC" w14:textId="730BDE2B" w:rsidR="003F3927" w:rsidRPr="00FA0C47" w:rsidRDefault="003F3927" w:rsidP="003F3927">
            <w:pPr>
              <w:jc w:val="both"/>
              <w:rPr>
                <w:bCs/>
                <w:sz w:val="18"/>
                <w:szCs w:val="18"/>
                <w:lang w:eastAsia="en-AU"/>
              </w:rPr>
            </w:pPr>
          </w:p>
        </w:tc>
        <w:tc>
          <w:tcPr>
            <w:tcW w:w="1136" w:type="dxa"/>
          </w:tcPr>
          <w:p w14:paraId="51FC665A" w14:textId="77777777" w:rsidR="003F3927" w:rsidRPr="00FA0C47" w:rsidRDefault="003F3927" w:rsidP="003F3927">
            <w:pPr>
              <w:jc w:val="center"/>
              <w:rPr>
                <w:b/>
                <w:bCs/>
                <w:sz w:val="18"/>
                <w:szCs w:val="18"/>
                <w:lang w:eastAsia="en-AU"/>
              </w:rPr>
            </w:pPr>
            <w:r w:rsidRPr="00FA0C47">
              <w:rPr>
                <w:b/>
                <w:bCs/>
                <w:sz w:val="18"/>
                <w:szCs w:val="18"/>
                <w:lang w:eastAsia="en-AU"/>
              </w:rPr>
              <w:t>Variance Explanation</w:t>
            </w:r>
          </w:p>
          <w:p w14:paraId="02877027" w14:textId="77777777" w:rsidR="003F3927" w:rsidRPr="00FA0C47" w:rsidRDefault="003F3927" w:rsidP="003F3927">
            <w:pPr>
              <w:jc w:val="center"/>
              <w:rPr>
                <w:b/>
                <w:bCs/>
                <w:sz w:val="18"/>
                <w:szCs w:val="18"/>
                <w:lang w:eastAsia="en-AU"/>
              </w:rPr>
            </w:pPr>
          </w:p>
        </w:tc>
        <w:tc>
          <w:tcPr>
            <w:tcW w:w="852" w:type="dxa"/>
            <w:shd w:val="clear" w:color="auto" w:fill="auto"/>
            <w:vAlign w:val="bottom"/>
          </w:tcPr>
          <w:p w14:paraId="23CFB27A" w14:textId="0F0B94A5" w:rsidR="003F3927" w:rsidRPr="00FA0C47" w:rsidRDefault="003F3927" w:rsidP="003F3927">
            <w:pPr>
              <w:jc w:val="right"/>
              <w:rPr>
                <w:b/>
                <w:bCs/>
                <w:sz w:val="18"/>
                <w:szCs w:val="18"/>
                <w:lang w:eastAsia="en-AU"/>
              </w:rPr>
            </w:pPr>
            <w:r w:rsidRPr="00FA0C47">
              <w:rPr>
                <w:b/>
                <w:bCs/>
                <w:sz w:val="18"/>
                <w:szCs w:val="18"/>
                <w:lang w:eastAsia="en-AU"/>
              </w:rPr>
              <w:t>Actual 2022</w:t>
            </w:r>
          </w:p>
        </w:tc>
        <w:tc>
          <w:tcPr>
            <w:tcW w:w="850" w:type="dxa"/>
            <w:shd w:val="clear" w:color="auto" w:fill="auto"/>
            <w:vAlign w:val="bottom"/>
          </w:tcPr>
          <w:p w14:paraId="71FEC0B1" w14:textId="313751E6" w:rsidR="003F3927" w:rsidRPr="00FA0C47" w:rsidRDefault="003F3927" w:rsidP="003F3927">
            <w:pPr>
              <w:jc w:val="right"/>
              <w:rPr>
                <w:b/>
                <w:bCs/>
                <w:sz w:val="18"/>
                <w:szCs w:val="18"/>
                <w:lang w:eastAsia="en-AU"/>
              </w:rPr>
            </w:pPr>
            <w:r w:rsidRPr="00FA0C47">
              <w:rPr>
                <w:b/>
                <w:bCs/>
                <w:sz w:val="18"/>
                <w:szCs w:val="18"/>
                <w:lang w:eastAsia="en-AU"/>
              </w:rPr>
              <w:t>Original Budget</w:t>
            </w:r>
            <w:r w:rsidRPr="00FA0C47">
              <w:rPr>
                <w:sz w:val="18"/>
                <w:szCs w:val="18"/>
                <w:vertAlign w:val="superscript"/>
                <w:lang w:eastAsia="en-AU"/>
              </w:rPr>
              <w:t xml:space="preserve">1 </w:t>
            </w:r>
            <w:r w:rsidRPr="00FA0C47">
              <w:rPr>
                <w:b/>
                <w:bCs/>
                <w:sz w:val="18"/>
                <w:szCs w:val="18"/>
                <w:lang w:eastAsia="en-AU"/>
              </w:rPr>
              <w:t>2022</w:t>
            </w:r>
          </w:p>
        </w:tc>
        <w:tc>
          <w:tcPr>
            <w:tcW w:w="996" w:type="dxa"/>
            <w:shd w:val="clear" w:color="auto" w:fill="auto"/>
            <w:vAlign w:val="bottom"/>
          </w:tcPr>
          <w:p w14:paraId="5533465A" w14:textId="64E1B84B" w:rsidR="003F3927" w:rsidRPr="00FA0C47" w:rsidRDefault="003F3927" w:rsidP="003F3927">
            <w:pPr>
              <w:jc w:val="right"/>
              <w:rPr>
                <w:b/>
                <w:bCs/>
                <w:sz w:val="18"/>
                <w:szCs w:val="18"/>
                <w:lang w:eastAsia="en-AU"/>
              </w:rPr>
            </w:pPr>
            <w:r w:rsidRPr="00FA0C47">
              <w:rPr>
                <w:b/>
                <w:bCs/>
                <w:sz w:val="18"/>
                <w:szCs w:val="18"/>
                <w:lang w:eastAsia="en-AU"/>
              </w:rPr>
              <w:t>Variance</w:t>
            </w:r>
          </w:p>
        </w:tc>
        <w:tc>
          <w:tcPr>
            <w:tcW w:w="992" w:type="dxa"/>
            <w:shd w:val="clear" w:color="auto" w:fill="auto"/>
            <w:vAlign w:val="bottom"/>
          </w:tcPr>
          <w:p w14:paraId="2B1ED4DF" w14:textId="42680F4E" w:rsidR="003F3927" w:rsidRPr="00FA0C47" w:rsidRDefault="003F3927" w:rsidP="003F3927">
            <w:pPr>
              <w:jc w:val="right"/>
              <w:rPr>
                <w:b/>
                <w:bCs/>
                <w:sz w:val="18"/>
                <w:szCs w:val="18"/>
                <w:lang w:eastAsia="en-AU"/>
              </w:rPr>
            </w:pPr>
            <w:r w:rsidRPr="00FA0C47">
              <w:rPr>
                <w:b/>
                <w:bCs/>
                <w:sz w:val="18"/>
                <w:szCs w:val="18"/>
                <w:lang w:eastAsia="en-AU"/>
              </w:rPr>
              <w:t>Variance</w:t>
            </w:r>
          </w:p>
        </w:tc>
      </w:tr>
      <w:tr w:rsidR="003F3927" w:rsidRPr="00976DE1" w14:paraId="32437969" w14:textId="77777777" w:rsidTr="0004564D">
        <w:trPr>
          <w:cantSplit/>
          <w:trHeight w:val="45"/>
        </w:trPr>
        <w:tc>
          <w:tcPr>
            <w:tcW w:w="1561" w:type="dxa"/>
            <w:tcBorders>
              <w:left w:val="single" w:sz="2" w:space="0" w:color="auto"/>
              <w:right w:val="single" w:sz="2" w:space="0" w:color="auto"/>
            </w:tcBorders>
          </w:tcPr>
          <w:p w14:paraId="3C4C464C"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5531ACDF" w14:textId="77777777" w:rsidR="003F3927" w:rsidRPr="00FA0C47" w:rsidRDefault="003F3927" w:rsidP="003F3927">
            <w:pPr>
              <w:jc w:val="both"/>
              <w:rPr>
                <w:b/>
                <w:bCs/>
                <w:sz w:val="18"/>
                <w:szCs w:val="18"/>
                <w:lang w:eastAsia="en-AU"/>
              </w:rPr>
            </w:pPr>
          </w:p>
        </w:tc>
        <w:tc>
          <w:tcPr>
            <w:tcW w:w="1136" w:type="dxa"/>
          </w:tcPr>
          <w:p w14:paraId="3E0BFDC7" w14:textId="77777777" w:rsidR="003F3927" w:rsidRPr="00FA0C47" w:rsidRDefault="003F3927" w:rsidP="003F3927">
            <w:pPr>
              <w:jc w:val="center"/>
              <w:rPr>
                <w:b/>
                <w:bCs/>
                <w:sz w:val="18"/>
                <w:szCs w:val="18"/>
                <w:lang w:eastAsia="en-AU"/>
              </w:rPr>
            </w:pPr>
          </w:p>
        </w:tc>
        <w:tc>
          <w:tcPr>
            <w:tcW w:w="852" w:type="dxa"/>
            <w:shd w:val="clear" w:color="auto" w:fill="auto"/>
            <w:vAlign w:val="bottom"/>
          </w:tcPr>
          <w:p w14:paraId="6DC1C9FD" w14:textId="20E64C5B" w:rsidR="003F3927" w:rsidRPr="00FA0C47" w:rsidRDefault="003F3927" w:rsidP="003F3927">
            <w:pPr>
              <w:jc w:val="right"/>
              <w:rPr>
                <w:b/>
                <w:bCs/>
                <w:sz w:val="18"/>
                <w:szCs w:val="18"/>
                <w:lang w:eastAsia="en-AU"/>
              </w:rPr>
            </w:pPr>
            <w:r w:rsidRPr="00FA0C47">
              <w:rPr>
                <w:b/>
                <w:bCs/>
                <w:sz w:val="18"/>
                <w:szCs w:val="18"/>
                <w:lang w:eastAsia="en-AU"/>
              </w:rPr>
              <w:t>$’000</w:t>
            </w:r>
          </w:p>
        </w:tc>
        <w:tc>
          <w:tcPr>
            <w:tcW w:w="850" w:type="dxa"/>
            <w:shd w:val="clear" w:color="auto" w:fill="auto"/>
            <w:vAlign w:val="bottom"/>
          </w:tcPr>
          <w:p w14:paraId="3E6EED17" w14:textId="47EAB80B" w:rsidR="003F3927" w:rsidRPr="00FA0C47" w:rsidRDefault="003F3927" w:rsidP="003F3927">
            <w:pPr>
              <w:jc w:val="right"/>
              <w:rPr>
                <w:b/>
                <w:bCs/>
                <w:sz w:val="18"/>
                <w:szCs w:val="18"/>
                <w:lang w:eastAsia="en-AU"/>
              </w:rPr>
            </w:pPr>
            <w:r w:rsidRPr="00FA0C47">
              <w:rPr>
                <w:b/>
                <w:bCs/>
                <w:sz w:val="18"/>
                <w:szCs w:val="18"/>
                <w:lang w:eastAsia="en-AU"/>
              </w:rPr>
              <w:t>$’000</w:t>
            </w:r>
          </w:p>
        </w:tc>
        <w:tc>
          <w:tcPr>
            <w:tcW w:w="996" w:type="dxa"/>
            <w:shd w:val="clear" w:color="auto" w:fill="auto"/>
            <w:vAlign w:val="bottom"/>
          </w:tcPr>
          <w:p w14:paraId="408A60B3" w14:textId="5B17DF92" w:rsidR="003F3927" w:rsidRPr="00FA0C47" w:rsidRDefault="003F3927" w:rsidP="003F3927">
            <w:pPr>
              <w:jc w:val="right"/>
              <w:rPr>
                <w:b/>
                <w:bCs/>
                <w:sz w:val="18"/>
                <w:szCs w:val="18"/>
                <w:lang w:eastAsia="en-AU"/>
              </w:rPr>
            </w:pPr>
            <w:r w:rsidRPr="00FA0C47">
              <w:rPr>
                <w:b/>
                <w:bCs/>
                <w:sz w:val="18"/>
                <w:szCs w:val="18"/>
                <w:lang w:eastAsia="en-AU"/>
              </w:rPr>
              <w:t>$’000</w:t>
            </w:r>
          </w:p>
        </w:tc>
        <w:tc>
          <w:tcPr>
            <w:tcW w:w="992" w:type="dxa"/>
            <w:shd w:val="clear" w:color="auto" w:fill="auto"/>
            <w:vAlign w:val="bottom"/>
          </w:tcPr>
          <w:p w14:paraId="17AC8899" w14:textId="1840CB14" w:rsidR="003F3927" w:rsidRPr="00FA0C47" w:rsidRDefault="003F3927" w:rsidP="003F3927">
            <w:pPr>
              <w:jc w:val="right"/>
              <w:rPr>
                <w:b/>
                <w:bCs/>
                <w:sz w:val="18"/>
                <w:szCs w:val="18"/>
                <w:lang w:eastAsia="en-AU"/>
              </w:rPr>
            </w:pPr>
            <w:r w:rsidRPr="00FA0C47">
              <w:rPr>
                <w:b/>
                <w:bCs/>
                <w:sz w:val="18"/>
                <w:szCs w:val="18"/>
                <w:lang w:eastAsia="en-AU"/>
              </w:rPr>
              <w:t>%</w:t>
            </w:r>
          </w:p>
        </w:tc>
      </w:tr>
      <w:tr w:rsidR="003F3927" w:rsidRPr="00976DE1" w14:paraId="02173282" w14:textId="77777777" w:rsidTr="0004564D">
        <w:trPr>
          <w:cantSplit/>
          <w:trHeight w:val="45"/>
        </w:trPr>
        <w:tc>
          <w:tcPr>
            <w:tcW w:w="1561" w:type="dxa"/>
            <w:tcBorders>
              <w:left w:val="single" w:sz="2" w:space="0" w:color="auto"/>
              <w:right w:val="single" w:sz="2" w:space="0" w:color="auto"/>
            </w:tcBorders>
          </w:tcPr>
          <w:p w14:paraId="10912B2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2C3103E8" w14:textId="2957034B" w:rsidR="003F3927" w:rsidRPr="00FA0C47" w:rsidRDefault="003F3927" w:rsidP="003F3927">
            <w:pPr>
              <w:spacing w:before="120"/>
              <w:jc w:val="both"/>
              <w:rPr>
                <w:b/>
                <w:bCs/>
                <w:sz w:val="18"/>
                <w:szCs w:val="18"/>
                <w:lang w:eastAsia="en-AU"/>
              </w:rPr>
            </w:pPr>
            <w:r w:rsidRPr="00FA0C47">
              <w:rPr>
                <w:b/>
                <w:bCs/>
                <w:sz w:val="18"/>
                <w:szCs w:val="18"/>
                <w:lang w:eastAsia="en-AU"/>
              </w:rPr>
              <w:t>Statement of Cash Flows Line Items</w:t>
            </w:r>
          </w:p>
        </w:tc>
        <w:tc>
          <w:tcPr>
            <w:tcW w:w="1136" w:type="dxa"/>
          </w:tcPr>
          <w:p w14:paraId="2130A357" w14:textId="77777777" w:rsidR="003F3927" w:rsidRPr="00FA0C47" w:rsidRDefault="003F3927" w:rsidP="003F3927">
            <w:pPr>
              <w:jc w:val="center"/>
              <w:rPr>
                <w:b/>
                <w:bCs/>
                <w:sz w:val="18"/>
                <w:szCs w:val="18"/>
                <w:lang w:eastAsia="en-AU"/>
              </w:rPr>
            </w:pPr>
          </w:p>
        </w:tc>
        <w:tc>
          <w:tcPr>
            <w:tcW w:w="852" w:type="dxa"/>
            <w:shd w:val="clear" w:color="auto" w:fill="auto"/>
            <w:vAlign w:val="bottom"/>
          </w:tcPr>
          <w:p w14:paraId="6F6FB079" w14:textId="6D13870B" w:rsidR="003F3927" w:rsidRPr="00FA0C47" w:rsidRDefault="003F3927" w:rsidP="003F3927">
            <w:pPr>
              <w:jc w:val="right"/>
              <w:rPr>
                <w:b/>
                <w:bCs/>
                <w:sz w:val="18"/>
                <w:szCs w:val="18"/>
                <w:lang w:eastAsia="en-AU"/>
              </w:rPr>
            </w:pPr>
          </w:p>
        </w:tc>
        <w:tc>
          <w:tcPr>
            <w:tcW w:w="850" w:type="dxa"/>
            <w:shd w:val="clear" w:color="auto" w:fill="auto"/>
            <w:vAlign w:val="bottom"/>
          </w:tcPr>
          <w:p w14:paraId="2AD1FFF4"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5554FFFE"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38ED90A3" w14:textId="77777777" w:rsidR="003F3927" w:rsidRPr="00FA0C47" w:rsidRDefault="003F3927" w:rsidP="003F3927">
            <w:pPr>
              <w:jc w:val="right"/>
              <w:rPr>
                <w:b/>
                <w:bCs/>
                <w:sz w:val="18"/>
                <w:szCs w:val="18"/>
                <w:lang w:eastAsia="en-AU"/>
              </w:rPr>
            </w:pPr>
          </w:p>
        </w:tc>
      </w:tr>
      <w:tr w:rsidR="003F3927" w:rsidRPr="00976DE1" w14:paraId="46120530" w14:textId="77777777" w:rsidTr="0004564D">
        <w:trPr>
          <w:cantSplit/>
          <w:trHeight w:val="45"/>
        </w:trPr>
        <w:tc>
          <w:tcPr>
            <w:tcW w:w="1561" w:type="dxa"/>
            <w:tcBorders>
              <w:left w:val="single" w:sz="2" w:space="0" w:color="auto"/>
              <w:right w:val="single" w:sz="2" w:space="0" w:color="auto"/>
            </w:tcBorders>
          </w:tcPr>
          <w:p w14:paraId="49565771"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106561CC" w14:textId="4422BADE" w:rsidR="003F3927" w:rsidRPr="00FA0C47" w:rsidRDefault="003F3927" w:rsidP="003F3927">
            <w:pPr>
              <w:jc w:val="both"/>
              <w:rPr>
                <w:bCs/>
                <w:sz w:val="18"/>
                <w:szCs w:val="18"/>
                <w:lang w:eastAsia="en-AU"/>
              </w:rPr>
            </w:pPr>
            <w:r w:rsidRPr="00FA0C47">
              <w:rPr>
                <w:sz w:val="18"/>
                <w:szCs w:val="18"/>
                <w:lang w:eastAsia="en-AU"/>
              </w:rPr>
              <w:t>Proceeds from Sale of Property, Plant and Equipment</w:t>
            </w:r>
          </w:p>
        </w:tc>
        <w:tc>
          <w:tcPr>
            <w:tcW w:w="1136" w:type="dxa"/>
          </w:tcPr>
          <w:p w14:paraId="5B128EE2" w14:textId="616EF3B4" w:rsidR="003F3927" w:rsidRPr="00FA0C47" w:rsidRDefault="003F3927" w:rsidP="003F3927">
            <w:pPr>
              <w:jc w:val="center"/>
              <w:rPr>
                <w:sz w:val="18"/>
                <w:szCs w:val="18"/>
                <w:lang w:eastAsia="en-AU"/>
              </w:rPr>
            </w:pPr>
            <w:r w:rsidRPr="00FA0C47">
              <w:rPr>
                <w:sz w:val="18"/>
                <w:szCs w:val="18"/>
              </w:rPr>
              <w:t>14</w:t>
            </w:r>
          </w:p>
        </w:tc>
        <w:tc>
          <w:tcPr>
            <w:tcW w:w="852" w:type="dxa"/>
            <w:shd w:val="clear" w:color="auto" w:fill="auto"/>
            <w:vAlign w:val="bottom"/>
          </w:tcPr>
          <w:p w14:paraId="1C657720" w14:textId="61F6FB46" w:rsidR="003F3927" w:rsidRPr="00FA0C47" w:rsidRDefault="003F3927" w:rsidP="003F3927">
            <w:pPr>
              <w:jc w:val="right"/>
              <w:rPr>
                <w:b/>
                <w:bCs/>
                <w:sz w:val="18"/>
                <w:szCs w:val="18"/>
                <w:lang w:eastAsia="en-AU"/>
              </w:rPr>
            </w:pPr>
          </w:p>
        </w:tc>
        <w:tc>
          <w:tcPr>
            <w:tcW w:w="850" w:type="dxa"/>
            <w:shd w:val="clear" w:color="auto" w:fill="auto"/>
            <w:vAlign w:val="bottom"/>
          </w:tcPr>
          <w:p w14:paraId="7B97B9F3" w14:textId="4C287A5A" w:rsidR="003F3927" w:rsidRPr="00FA0C47" w:rsidRDefault="003F3927" w:rsidP="003F3927">
            <w:pPr>
              <w:jc w:val="right"/>
              <w:rPr>
                <w:b/>
                <w:bCs/>
                <w:sz w:val="18"/>
                <w:szCs w:val="18"/>
                <w:lang w:eastAsia="en-AU"/>
              </w:rPr>
            </w:pPr>
          </w:p>
        </w:tc>
        <w:tc>
          <w:tcPr>
            <w:tcW w:w="996" w:type="dxa"/>
            <w:shd w:val="clear" w:color="auto" w:fill="auto"/>
            <w:vAlign w:val="bottom"/>
          </w:tcPr>
          <w:p w14:paraId="06C58961" w14:textId="0667E70F" w:rsidR="003F3927" w:rsidRPr="00FA0C47" w:rsidRDefault="003F3927" w:rsidP="003F3927">
            <w:pPr>
              <w:jc w:val="right"/>
              <w:rPr>
                <w:b/>
                <w:bCs/>
                <w:sz w:val="18"/>
                <w:szCs w:val="18"/>
                <w:lang w:eastAsia="en-AU"/>
              </w:rPr>
            </w:pPr>
          </w:p>
        </w:tc>
        <w:tc>
          <w:tcPr>
            <w:tcW w:w="992" w:type="dxa"/>
            <w:shd w:val="clear" w:color="auto" w:fill="auto"/>
            <w:vAlign w:val="bottom"/>
          </w:tcPr>
          <w:p w14:paraId="63340981" w14:textId="2FFD01F4" w:rsidR="003F3927" w:rsidRPr="00FA0C47" w:rsidRDefault="003F3927" w:rsidP="003F3927">
            <w:pPr>
              <w:jc w:val="right"/>
              <w:rPr>
                <w:b/>
                <w:bCs/>
                <w:sz w:val="18"/>
                <w:szCs w:val="18"/>
                <w:lang w:eastAsia="en-AU"/>
              </w:rPr>
            </w:pPr>
          </w:p>
        </w:tc>
      </w:tr>
      <w:tr w:rsidR="003F3927" w:rsidRPr="00976DE1" w14:paraId="20B0CF46" w14:textId="77777777" w:rsidTr="0004564D">
        <w:trPr>
          <w:cantSplit/>
          <w:trHeight w:val="45"/>
        </w:trPr>
        <w:tc>
          <w:tcPr>
            <w:tcW w:w="1561" w:type="dxa"/>
            <w:tcBorders>
              <w:left w:val="single" w:sz="2" w:space="0" w:color="auto"/>
              <w:right w:val="single" w:sz="2" w:space="0" w:color="auto"/>
            </w:tcBorders>
          </w:tcPr>
          <w:p w14:paraId="759A529A"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3C5FD78E" w14:textId="1413945E" w:rsidR="003F3927" w:rsidRPr="00FA0C47" w:rsidRDefault="003F3927" w:rsidP="003F3927">
            <w:pPr>
              <w:jc w:val="both"/>
              <w:rPr>
                <w:bCs/>
                <w:sz w:val="18"/>
                <w:szCs w:val="18"/>
                <w:lang w:eastAsia="en-AU"/>
              </w:rPr>
            </w:pPr>
            <w:r w:rsidRPr="00FA0C47">
              <w:rPr>
                <w:sz w:val="18"/>
                <w:szCs w:val="18"/>
                <w:lang w:eastAsia="en-AU"/>
              </w:rPr>
              <w:t>Proceeds from Sale/Maturity of Investments</w:t>
            </w:r>
          </w:p>
        </w:tc>
        <w:tc>
          <w:tcPr>
            <w:tcW w:w="1136" w:type="dxa"/>
          </w:tcPr>
          <w:p w14:paraId="149D7B7B" w14:textId="1A2386EF" w:rsidR="003F3927" w:rsidRPr="00FA0C47" w:rsidRDefault="003F3927" w:rsidP="003F3927">
            <w:pPr>
              <w:jc w:val="center"/>
              <w:rPr>
                <w:sz w:val="18"/>
                <w:szCs w:val="18"/>
                <w:lang w:eastAsia="en-AU"/>
              </w:rPr>
            </w:pPr>
            <w:r w:rsidRPr="00FA0C47">
              <w:rPr>
                <w:sz w:val="18"/>
                <w:szCs w:val="18"/>
              </w:rPr>
              <w:t>15</w:t>
            </w:r>
          </w:p>
        </w:tc>
        <w:tc>
          <w:tcPr>
            <w:tcW w:w="852" w:type="dxa"/>
            <w:shd w:val="clear" w:color="auto" w:fill="auto"/>
            <w:vAlign w:val="bottom"/>
          </w:tcPr>
          <w:p w14:paraId="43DD34EF" w14:textId="720067DD" w:rsidR="003F3927" w:rsidRPr="00FA0C47" w:rsidRDefault="003F3927" w:rsidP="003F3927">
            <w:pPr>
              <w:jc w:val="right"/>
              <w:rPr>
                <w:b/>
                <w:bCs/>
                <w:sz w:val="18"/>
                <w:szCs w:val="18"/>
                <w:lang w:eastAsia="en-AU"/>
              </w:rPr>
            </w:pPr>
          </w:p>
        </w:tc>
        <w:tc>
          <w:tcPr>
            <w:tcW w:w="850" w:type="dxa"/>
            <w:shd w:val="clear" w:color="auto" w:fill="auto"/>
            <w:vAlign w:val="bottom"/>
          </w:tcPr>
          <w:p w14:paraId="18448034"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16F71A64"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20BC3D74" w14:textId="77777777" w:rsidR="003F3927" w:rsidRPr="00FA0C47" w:rsidRDefault="003F3927" w:rsidP="003F3927">
            <w:pPr>
              <w:jc w:val="right"/>
              <w:rPr>
                <w:b/>
                <w:bCs/>
                <w:sz w:val="18"/>
                <w:szCs w:val="18"/>
                <w:lang w:eastAsia="en-AU"/>
              </w:rPr>
            </w:pPr>
          </w:p>
        </w:tc>
      </w:tr>
      <w:tr w:rsidR="003F3927" w:rsidRPr="00976DE1" w14:paraId="2062D2DB" w14:textId="77777777" w:rsidTr="0004564D">
        <w:trPr>
          <w:cantSplit/>
          <w:trHeight w:val="45"/>
        </w:trPr>
        <w:tc>
          <w:tcPr>
            <w:tcW w:w="1561" w:type="dxa"/>
            <w:tcBorders>
              <w:left w:val="single" w:sz="2" w:space="0" w:color="auto"/>
              <w:right w:val="single" w:sz="2" w:space="0" w:color="auto"/>
            </w:tcBorders>
          </w:tcPr>
          <w:p w14:paraId="6580200D"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7F5A885B" w14:textId="0E67BC81" w:rsidR="003F3927" w:rsidRPr="00FA0C47" w:rsidRDefault="003F3927" w:rsidP="003F3927">
            <w:pPr>
              <w:jc w:val="both"/>
              <w:rPr>
                <w:bCs/>
                <w:sz w:val="18"/>
                <w:szCs w:val="18"/>
                <w:lang w:eastAsia="en-AU"/>
              </w:rPr>
            </w:pPr>
            <w:r w:rsidRPr="00FA0C47">
              <w:rPr>
                <w:sz w:val="18"/>
                <w:szCs w:val="18"/>
                <w:lang w:eastAsia="en-AU"/>
              </w:rPr>
              <w:t>Loan Receivable Repayment Received</w:t>
            </w:r>
          </w:p>
        </w:tc>
        <w:tc>
          <w:tcPr>
            <w:tcW w:w="1136" w:type="dxa"/>
          </w:tcPr>
          <w:p w14:paraId="4BDA6F77" w14:textId="6A7B7620" w:rsidR="003F3927" w:rsidRPr="00FA0C47" w:rsidRDefault="003F3927" w:rsidP="003F3927">
            <w:pPr>
              <w:jc w:val="center"/>
              <w:rPr>
                <w:sz w:val="18"/>
                <w:szCs w:val="18"/>
                <w:lang w:eastAsia="en-AU"/>
              </w:rPr>
            </w:pPr>
            <w:r w:rsidRPr="00FA0C47">
              <w:rPr>
                <w:sz w:val="18"/>
                <w:szCs w:val="18"/>
              </w:rPr>
              <w:t>16</w:t>
            </w:r>
          </w:p>
        </w:tc>
        <w:tc>
          <w:tcPr>
            <w:tcW w:w="852" w:type="dxa"/>
            <w:shd w:val="clear" w:color="auto" w:fill="auto"/>
            <w:vAlign w:val="bottom"/>
          </w:tcPr>
          <w:p w14:paraId="4F2E1201" w14:textId="7896CA43" w:rsidR="003F3927" w:rsidRPr="00FA0C47" w:rsidRDefault="003F3927" w:rsidP="003F3927">
            <w:pPr>
              <w:jc w:val="right"/>
              <w:rPr>
                <w:b/>
                <w:bCs/>
                <w:sz w:val="18"/>
                <w:szCs w:val="18"/>
                <w:lang w:eastAsia="en-AU"/>
              </w:rPr>
            </w:pPr>
          </w:p>
        </w:tc>
        <w:tc>
          <w:tcPr>
            <w:tcW w:w="850" w:type="dxa"/>
            <w:shd w:val="clear" w:color="auto" w:fill="auto"/>
            <w:vAlign w:val="bottom"/>
          </w:tcPr>
          <w:p w14:paraId="35758F73"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7A0CF582"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5E33680C" w14:textId="77777777" w:rsidR="003F3927" w:rsidRPr="00FA0C47" w:rsidRDefault="003F3927" w:rsidP="003F3927">
            <w:pPr>
              <w:jc w:val="right"/>
              <w:rPr>
                <w:b/>
                <w:bCs/>
                <w:sz w:val="18"/>
                <w:szCs w:val="18"/>
                <w:lang w:eastAsia="en-AU"/>
              </w:rPr>
            </w:pPr>
          </w:p>
        </w:tc>
      </w:tr>
      <w:tr w:rsidR="003F3927" w:rsidRPr="00976DE1" w14:paraId="77E0496C" w14:textId="77777777" w:rsidTr="0004564D">
        <w:trPr>
          <w:cantSplit/>
          <w:trHeight w:val="45"/>
        </w:trPr>
        <w:tc>
          <w:tcPr>
            <w:tcW w:w="1561" w:type="dxa"/>
            <w:tcBorders>
              <w:left w:val="single" w:sz="2" w:space="0" w:color="auto"/>
              <w:right w:val="single" w:sz="2" w:space="0" w:color="auto"/>
            </w:tcBorders>
          </w:tcPr>
          <w:p w14:paraId="2088497A"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277796C0" w14:textId="5966B9AF" w:rsidR="003F3927" w:rsidRPr="00FA0C47" w:rsidRDefault="003F3927" w:rsidP="003F3927">
            <w:pPr>
              <w:jc w:val="both"/>
              <w:rPr>
                <w:bCs/>
                <w:sz w:val="18"/>
                <w:szCs w:val="18"/>
                <w:lang w:eastAsia="en-AU"/>
              </w:rPr>
            </w:pPr>
            <w:r w:rsidRPr="00FA0C47">
              <w:rPr>
                <w:sz w:val="18"/>
                <w:szCs w:val="18"/>
                <w:lang w:eastAsia="en-AU"/>
              </w:rPr>
              <w:t>Purchase of Property, Plant and Equipment</w:t>
            </w:r>
          </w:p>
        </w:tc>
        <w:tc>
          <w:tcPr>
            <w:tcW w:w="1136" w:type="dxa"/>
          </w:tcPr>
          <w:p w14:paraId="25EB467D" w14:textId="1D6F8736" w:rsidR="003F3927" w:rsidRPr="00FA0C47" w:rsidRDefault="003F3927" w:rsidP="003F3927">
            <w:pPr>
              <w:jc w:val="center"/>
              <w:rPr>
                <w:sz w:val="18"/>
                <w:szCs w:val="18"/>
                <w:lang w:eastAsia="en-AU"/>
              </w:rPr>
            </w:pPr>
            <w:r w:rsidRPr="00FA0C47">
              <w:rPr>
                <w:sz w:val="18"/>
                <w:szCs w:val="18"/>
              </w:rPr>
              <w:t>17</w:t>
            </w:r>
          </w:p>
        </w:tc>
        <w:tc>
          <w:tcPr>
            <w:tcW w:w="852" w:type="dxa"/>
            <w:shd w:val="clear" w:color="auto" w:fill="auto"/>
            <w:vAlign w:val="bottom"/>
          </w:tcPr>
          <w:p w14:paraId="31DF1DE4" w14:textId="15F2FD47" w:rsidR="003F3927" w:rsidRPr="00FA0C47" w:rsidRDefault="003F3927" w:rsidP="003F3927">
            <w:pPr>
              <w:jc w:val="right"/>
              <w:rPr>
                <w:b/>
                <w:bCs/>
                <w:sz w:val="18"/>
                <w:szCs w:val="18"/>
                <w:lang w:eastAsia="en-AU"/>
              </w:rPr>
            </w:pPr>
          </w:p>
        </w:tc>
        <w:tc>
          <w:tcPr>
            <w:tcW w:w="850" w:type="dxa"/>
            <w:shd w:val="clear" w:color="auto" w:fill="auto"/>
            <w:vAlign w:val="bottom"/>
          </w:tcPr>
          <w:p w14:paraId="578A7B02"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769DEAFE"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234D085D" w14:textId="77777777" w:rsidR="003F3927" w:rsidRPr="00FA0C47" w:rsidRDefault="003F3927" w:rsidP="003F3927">
            <w:pPr>
              <w:jc w:val="right"/>
              <w:rPr>
                <w:b/>
                <w:bCs/>
                <w:sz w:val="18"/>
                <w:szCs w:val="18"/>
                <w:lang w:eastAsia="en-AU"/>
              </w:rPr>
            </w:pPr>
          </w:p>
        </w:tc>
      </w:tr>
      <w:tr w:rsidR="003F3927" w:rsidRPr="00976DE1" w14:paraId="50B5166F" w14:textId="77777777" w:rsidTr="0004564D">
        <w:trPr>
          <w:cantSplit/>
          <w:trHeight w:val="45"/>
        </w:trPr>
        <w:tc>
          <w:tcPr>
            <w:tcW w:w="1561" w:type="dxa"/>
            <w:tcBorders>
              <w:left w:val="single" w:sz="2" w:space="0" w:color="auto"/>
              <w:right w:val="single" w:sz="2" w:space="0" w:color="auto"/>
            </w:tcBorders>
          </w:tcPr>
          <w:p w14:paraId="13A9A976"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6ED6C6F7" w14:textId="1CA37F2F" w:rsidR="003F3927" w:rsidRPr="00FA0C47" w:rsidRDefault="003F3927" w:rsidP="003F3927">
            <w:pPr>
              <w:jc w:val="both"/>
              <w:rPr>
                <w:bCs/>
                <w:sz w:val="18"/>
                <w:szCs w:val="18"/>
                <w:lang w:eastAsia="en-AU"/>
              </w:rPr>
            </w:pPr>
            <w:r w:rsidRPr="00FA0C47">
              <w:rPr>
                <w:sz w:val="18"/>
                <w:szCs w:val="18"/>
                <w:lang w:eastAsia="en-AU"/>
              </w:rPr>
              <w:t>Loans Receivable</w:t>
            </w:r>
            <w:r w:rsidR="000C1CDA" w:rsidRPr="00FA0C47">
              <w:rPr>
                <w:sz w:val="18"/>
                <w:szCs w:val="18"/>
                <w:lang w:eastAsia="en-AU"/>
              </w:rPr>
              <w:t xml:space="preserve"> Provided</w:t>
            </w:r>
          </w:p>
        </w:tc>
        <w:tc>
          <w:tcPr>
            <w:tcW w:w="1136" w:type="dxa"/>
          </w:tcPr>
          <w:p w14:paraId="574C48F9" w14:textId="5AA2F76F" w:rsidR="003F3927" w:rsidRPr="00FA0C47" w:rsidRDefault="003F3927" w:rsidP="003F3927">
            <w:pPr>
              <w:jc w:val="center"/>
              <w:rPr>
                <w:sz w:val="18"/>
                <w:szCs w:val="18"/>
                <w:lang w:eastAsia="en-AU"/>
              </w:rPr>
            </w:pPr>
            <w:r w:rsidRPr="00FA0C47">
              <w:rPr>
                <w:sz w:val="18"/>
                <w:szCs w:val="18"/>
              </w:rPr>
              <w:t>18</w:t>
            </w:r>
          </w:p>
        </w:tc>
        <w:tc>
          <w:tcPr>
            <w:tcW w:w="852" w:type="dxa"/>
            <w:shd w:val="clear" w:color="auto" w:fill="auto"/>
            <w:vAlign w:val="bottom"/>
          </w:tcPr>
          <w:p w14:paraId="409BED4A" w14:textId="4DFBFE01" w:rsidR="003F3927" w:rsidRPr="00FA0C47" w:rsidRDefault="003F3927" w:rsidP="003F3927">
            <w:pPr>
              <w:jc w:val="right"/>
              <w:rPr>
                <w:b/>
                <w:bCs/>
                <w:sz w:val="18"/>
                <w:szCs w:val="18"/>
                <w:lang w:eastAsia="en-AU"/>
              </w:rPr>
            </w:pPr>
          </w:p>
        </w:tc>
        <w:tc>
          <w:tcPr>
            <w:tcW w:w="850" w:type="dxa"/>
            <w:shd w:val="clear" w:color="auto" w:fill="auto"/>
            <w:vAlign w:val="bottom"/>
          </w:tcPr>
          <w:p w14:paraId="38EAF797"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29292F2D"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2C03AA97" w14:textId="77777777" w:rsidR="003F3927" w:rsidRPr="00FA0C47" w:rsidRDefault="003F3927" w:rsidP="003F3927">
            <w:pPr>
              <w:jc w:val="right"/>
              <w:rPr>
                <w:b/>
                <w:bCs/>
                <w:sz w:val="18"/>
                <w:szCs w:val="18"/>
                <w:lang w:eastAsia="en-AU"/>
              </w:rPr>
            </w:pPr>
          </w:p>
        </w:tc>
      </w:tr>
      <w:tr w:rsidR="003F3927" w:rsidRPr="00976DE1" w14:paraId="23EEBBA4" w14:textId="77777777" w:rsidTr="0004564D">
        <w:trPr>
          <w:cantSplit/>
          <w:trHeight w:val="45"/>
        </w:trPr>
        <w:tc>
          <w:tcPr>
            <w:tcW w:w="1561" w:type="dxa"/>
            <w:tcBorders>
              <w:left w:val="single" w:sz="2" w:space="0" w:color="auto"/>
              <w:right w:val="single" w:sz="2" w:space="0" w:color="auto"/>
            </w:tcBorders>
          </w:tcPr>
          <w:p w14:paraId="4554043F"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4333B8A8" w14:textId="285D2747" w:rsidR="003F3927" w:rsidRPr="00FA0C47" w:rsidRDefault="003F3927" w:rsidP="003F3927">
            <w:pPr>
              <w:jc w:val="both"/>
              <w:rPr>
                <w:bCs/>
                <w:sz w:val="18"/>
                <w:szCs w:val="18"/>
                <w:lang w:eastAsia="en-AU"/>
              </w:rPr>
            </w:pPr>
            <w:r w:rsidRPr="00FA0C47">
              <w:rPr>
                <w:sz w:val="18"/>
                <w:szCs w:val="18"/>
                <w:lang w:eastAsia="en-AU"/>
              </w:rPr>
              <w:t>Capital Injections</w:t>
            </w:r>
          </w:p>
        </w:tc>
        <w:tc>
          <w:tcPr>
            <w:tcW w:w="1136" w:type="dxa"/>
          </w:tcPr>
          <w:p w14:paraId="05855DA9" w14:textId="38FB4ED7" w:rsidR="003F3927" w:rsidRPr="00FA0C47" w:rsidRDefault="003F3927" w:rsidP="003F3927">
            <w:pPr>
              <w:jc w:val="center"/>
              <w:rPr>
                <w:sz w:val="18"/>
                <w:szCs w:val="18"/>
                <w:lang w:eastAsia="en-AU"/>
              </w:rPr>
            </w:pPr>
            <w:r w:rsidRPr="00FA0C47">
              <w:rPr>
                <w:sz w:val="18"/>
                <w:szCs w:val="18"/>
              </w:rPr>
              <w:t>19</w:t>
            </w:r>
          </w:p>
        </w:tc>
        <w:tc>
          <w:tcPr>
            <w:tcW w:w="852" w:type="dxa"/>
            <w:shd w:val="clear" w:color="auto" w:fill="auto"/>
            <w:vAlign w:val="bottom"/>
          </w:tcPr>
          <w:p w14:paraId="323FE1B8" w14:textId="249865C8" w:rsidR="003F3927" w:rsidRPr="00FA0C47" w:rsidRDefault="003F3927" w:rsidP="003F3927">
            <w:pPr>
              <w:jc w:val="right"/>
              <w:rPr>
                <w:b/>
                <w:bCs/>
                <w:sz w:val="18"/>
                <w:szCs w:val="18"/>
                <w:lang w:eastAsia="en-AU"/>
              </w:rPr>
            </w:pPr>
          </w:p>
        </w:tc>
        <w:tc>
          <w:tcPr>
            <w:tcW w:w="850" w:type="dxa"/>
            <w:shd w:val="clear" w:color="auto" w:fill="auto"/>
            <w:vAlign w:val="bottom"/>
          </w:tcPr>
          <w:p w14:paraId="57C31DC5"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7359E4CE"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5AABB5A9" w14:textId="77777777" w:rsidR="003F3927" w:rsidRPr="00FA0C47" w:rsidRDefault="003F3927" w:rsidP="003F3927">
            <w:pPr>
              <w:jc w:val="right"/>
              <w:rPr>
                <w:b/>
                <w:bCs/>
                <w:sz w:val="18"/>
                <w:szCs w:val="18"/>
                <w:lang w:eastAsia="en-AU"/>
              </w:rPr>
            </w:pPr>
          </w:p>
        </w:tc>
      </w:tr>
      <w:tr w:rsidR="003F3927" w:rsidRPr="00976DE1" w14:paraId="1A80109E" w14:textId="77777777" w:rsidTr="0004564D">
        <w:trPr>
          <w:cantSplit/>
          <w:trHeight w:val="45"/>
        </w:trPr>
        <w:tc>
          <w:tcPr>
            <w:tcW w:w="1561" w:type="dxa"/>
            <w:tcBorders>
              <w:left w:val="single" w:sz="2" w:space="0" w:color="auto"/>
              <w:right w:val="single" w:sz="2" w:space="0" w:color="auto"/>
            </w:tcBorders>
          </w:tcPr>
          <w:p w14:paraId="0661071C"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535A8421" w14:textId="58F245E3" w:rsidR="003F3927" w:rsidRPr="00FA0C47" w:rsidRDefault="003F3927" w:rsidP="003F3927">
            <w:pPr>
              <w:jc w:val="both"/>
              <w:rPr>
                <w:bCs/>
                <w:sz w:val="18"/>
                <w:szCs w:val="18"/>
                <w:lang w:eastAsia="en-AU"/>
              </w:rPr>
            </w:pPr>
            <w:r w:rsidRPr="00FA0C47">
              <w:rPr>
                <w:sz w:val="18"/>
                <w:szCs w:val="18"/>
                <w:lang w:eastAsia="en-AU"/>
              </w:rPr>
              <w:t>Receipt of Transferred Cash Balances</w:t>
            </w:r>
          </w:p>
        </w:tc>
        <w:tc>
          <w:tcPr>
            <w:tcW w:w="1136" w:type="dxa"/>
          </w:tcPr>
          <w:p w14:paraId="4B97ABCE" w14:textId="1C0C6F11" w:rsidR="003F3927" w:rsidRPr="00FA0C47" w:rsidRDefault="003F3927" w:rsidP="003F3927">
            <w:pPr>
              <w:jc w:val="center"/>
              <w:rPr>
                <w:sz w:val="18"/>
                <w:szCs w:val="18"/>
                <w:lang w:eastAsia="en-AU"/>
              </w:rPr>
            </w:pPr>
            <w:r w:rsidRPr="00FA0C47">
              <w:rPr>
                <w:sz w:val="18"/>
                <w:szCs w:val="18"/>
              </w:rPr>
              <w:t>20</w:t>
            </w:r>
          </w:p>
        </w:tc>
        <w:tc>
          <w:tcPr>
            <w:tcW w:w="852" w:type="dxa"/>
            <w:shd w:val="clear" w:color="auto" w:fill="auto"/>
            <w:vAlign w:val="bottom"/>
          </w:tcPr>
          <w:p w14:paraId="528BC05A" w14:textId="6866D21E" w:rsidR="003F3927" w:rsidRPr="00FA0C47" w:rsidRDefault="003F3927" w:rsidP="003F3927">
            <w:pPr>
              <w:jc w:val="right"/>
              <w:rPr>
                <w:b/>
                <w:bCs/>
                <w:sz w:val="18"/>
                <w:szCs w:val="18"/>
                <w:lang w:eastAsia="en-AU"/>
              </w:rPr>
            </w:pPr>
          </w:p>
        </w:tc>
        <w:tc>
          <w:tcPr>
            <w:tcW w:w="850" w:type="dxa"/>
            <w:shd w:val="clear" w:color="auto" w:fill="auto"/>
            <w:vAlign w:val="bottom"/>
          </w:tcPr>
          <w:p w14:paraId="565F18C8"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19469390"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4397CC29" w14:textId="77777777" w:rsidR="003F3927" w:rsidRPr="00FA0C47" w:rsidRDefault="003F3927" w:rsidP="003F3927">
            <w:pPr>
              <w:jc w:val="right"/>
              <w:rPr>
                <w:b/>
                <w:bCs/>
                <w:sz w:val="18"/>
                <w:szCs w:val="18"/>
                <w:lang w:eastAsia="en-AU"/>
              </w:rPr>
            </w:pPr>
          </w:p>
        </w:tc>
      </w:tr>
      <w:tr w:rsidR="003F3927" w:rsidRPr="00976DE1" w14:paraId="2202A3CF" w14:textId="77777777" w:rsidTr="0004564D">
        <w:trPr>
          <w:cantSplit/>
          <w:trHeight w:val="45"/>
        </w:trPr>
        <w:tc>
          <w:tcPr>
            <w:tcW w:w="1561" w:type="dxa"/>
            <w:tcBorders>
              <w:left w:val="single" w:sz="2" w:space="0" w:color="auto"/>
              <w:right w:val="single" w:sz="2" w:space="0" w:color="auto"/>
            </w:tcBorders>
          </w:tcPr>
          <w:p w14:paraId="50CB500F"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22CB2325" w14:textId="75E125E9" w:rsidR="003F3927" w:rsidRPr="00FA0C47" w:rsidRDefault="003F3927" w:rsidP="00BA6793">
            <w:pPr>
              <w:ind w:left="29" w:hanging="29"/>
              <w:jc w:val="both"/>
              <w:rPr>
                <w:bCs/>
                <w:sz w:val="18"/>
                <w:szCs w:val="18"/>
                <w:lang w:eastAsia="en-AU"/>
              </w:rPr>
            </w:pPr>
            <w:r w:rsidRPr="00FA0C47">
              <w:rPr>
                <w:sz w:val="18"/>
                <w:szCs w:val="18"/>
                <w:lang w:eastAsia="en-AU"/>
              </w:rPr>
              <w:t>Cash and Cash Equivalents at the Beginning of the Reporting Period</w:t>
            </w:r>
          </w:p>
        </w:tc>
        <w:tc>
          <w:tcPr>
            <w:tcW w:w="1136" w:type="dxa"/>
          </w:tcPr>
          <w:p w14:paraId="5E53E909" w14:textId="240D944D" w:rsidR="003F3927" w:rsidRPr="00FA0C47" w:rsidRDefault="003F3927" w:rsidP="003F3927">
            <w:pPr>
              <w:jc w:val="center"/>
              <w:rPr>
                <w:sz w:val="18"/>
                <w:szCs w:val="18"/>
                <w:lang w:eastAsia="en-AU"/>
              </w:rPr>
            </w:pPr>
            <w:r w:rsidRPr="00FA0C47">
              <w:rPr>
                <w:sz w:val="18"/>
                <w:szCs w:val="18"/>
              </w:rPr>
              <w:t>21</w:t>
            </w:r>
          </w:p>
        </w:tc>
        <w:tc>
          <w:tcPr>
            <w:tcW w:w="852" w:type="dxa"/>
            <w:shd w:val="clear" w:color="auto" w:fill="auto"/>
            <w:vAlign w:val="bottom"/>
          </w:tcPr>
          <w:p w14:paraId="66101828" w14:textId="14A6CEB0" w:rsidR="003F3927" w:rsidRPr="00FA0C47" w:rsidRDefault="003F3927" w:rsidP="003F3927">
            <w:pPr>
              <w:jc w:val="right"/>
              <w:rPr>
                <w:b/>
                <w:bCs/>
                <w:sz w:val="18"/>
                <w:szCs w:val="18"/>
                <w:lang w:eastAsia="en-AU"/>
              </w:rPr>
            </w:pPr>
          </w:p>
        </w:tc>
        <w:tc>
          <w:tcPr>
            <w:tcW w:w="850" w:type="dxa"/>
            <w:shd w:val="clear" w:color="auto" w:fill="auto"/>
            <w:vAlign w:val="bottom"/>
          </w:tcPr>
          <w:p w14:paraId="127BAEF2"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2DF3296C"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6488CDDA" w14:textId="77777777" w:rsidR="003F3927" w:rsidRPr="00FA0C47" w:rsidRDefault="003F3927" w:rsidP="003F3927">
            <w:pPr>
              <w:jc w:val="right"/>
              <w:rPr>
                <w:b/>
                <w:bCs/>
                <w:sz w:val="18"/>
                <w:szCs w:val="18"/>
                <w:lang w:eastAsia="en-AU"/>
              </w:rPr>
            </w:pPr>
          </w:p>
        </w:tc>
      </w:tr>
      <w:tr w:rsidR="003F3927" w:rsidRPr="00976DE1" w14:paraId="701DE6BA" w14:textId="77777777" w:rsidTr="0004564D">
        <w:trPr>
          <w:cantSplit/>
          <w:trHeight w:val="45"/>
        </w:trPr>
        <w:tc>
          <w:tcPr>
            <w:tcW w:w="1561" w:type="dxa"/>
            <w:tcBorders>
              <w:left w:val="single" w:sz="2" w:space="0" w:color="auto"/>
              <w:right w:val="single" w:sz="2" w:space="0" w:color="auto"/>
            </w:tcBorders>
          </w:tcPr>
          <w:p w14:paraId="23B4C7C4"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69607D72" w14:textId="77777777" w:rsidR="003F3927" w:rsidRPr="00FA0C47" w:rsidRDefault="003F3927" w:rsidP="003F3927">
            <w:pPr>
              <w:jc w:val="both"/>
              <w:rPr>
                <w:bCs/>
                <w:sz w:val="18"/>
                <w:szCs w:val="18"/>
                <w:lang w:eastAsia="en-AU"/>
              </w:rPr>
            </w:pPr>
          </w:p>
        </w:tc>
        <w:tc>
          <w:tcPr>
            <w:tcW w:w="1136" w:type="dxa"/>
            <w:vAlign w:val="bottom"/>
          </w:tcPr>
          <w:p w14:paraId="69C001A5" w14:textId="21377553" w:rsidR="003F3927" w:rsidRPr="00FA0C47" w:rsidRDefault="003F3927" w:rsidP="003F3927">
            <w:pPr>
              <w:jc w:val="right"/>
              <w:rPr>
                <w:b/>
                <w:bCs/>
                <w:sz w:val="18"/>
                <w:szCs w:val="18"/>
                <w:lang w:eastAsia="en-AU"/>
              </w:rPr>
            </w:pPr>
          </w:p>
        </w:tc>
        <w:tc>
          <w:tcPr>
            <w:tcW w:w="852" w:type="dxa"/>
            <w:shd w:val="clear" w:color="auto" w:fill="auto"/>
            <w:vAlign w:val="bottom"/>
          </w:tcPr>
          <w:p w14:paraId="35B9770D" w14:textId="541FF9D3" w:rsidR="003F3927" w:rsidRPr="00FA0C47" w:rsidRDefault="003F3927" w:rsidP="003F3927">
            <w:pPr>
              <w:jc w:val="right"/>
              <w:rPr>
                <w:b/>
                <w:bCs/>
                <w:sz w:val="18"/>
                <w:szCs w:val="18"/>
                <w:lang w:eastAsia="en-AU"/>
              </w:rPr>
            </w:pPr>
          </w:p>
        </w:tc>
        <w:tc>
          <w:tcPr>
            <w:tcW w:w="850" w:type="dxa"/>
            <w:shd w:val="clear" w:color="auto" w:fill="auto"/>
            <w:vAlign w:val="bottom"/>
          </w:tcPr>
          <w:p w14:paraId="2718F222"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030DD5FA"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44D68035" w14:textId="77777777" w:rsidR="003F3927" w:rsidRPr="00FA0C47" w:rsidRDefault="003F3927" w:rsidP="003F3927">
            <w:pPr>
              <w:jc w:val="right"/>
              <w:rPr>
                <w:b/>
                <w:bCs/>
                <w:sz w:val="18"/>
                <w:szCs w:val="18"/>
                <w:lang w:eastAsia="en-AU"/>
              </w:rPr>
            </w:pPr>
          </w:p>
        </w:tc>
      </w:tr>
      <w:tr w:rsidR="003F3927" w:rsidRPr="00976DE1" w14:paraId="19E8D875" w14:textId="77777777" w:rsidTr="0004564D">
        <w:trPr>
          <w:cantSplit/>
          <w:trHeight w:val="45"/>
        </w:trPr>
        <w:tc>
          <w:tcPr>
            <w:tcW w:w="1561" w:type="dxa"/>
            <w:tcBorders>
              <w:left w:val="single" w:sz="2" w:space="0" w:color="auto"/>
              <w:right w:val="single" w:sz="2" w:space="0" w:color="auto"/>
            </w:tcBorders>
          </w:tcPr>
          <w:p w14:paraId="20BFE09B" w14:textId="77777777" w:rsidR="003F3927" w:rsidRPr="00FA0C47" w:rsidRDefault="003F3927" w:rsidP="003F3927">
            <w:pPr>
              <w:pStyle w:val="TableReference"/>
              <w:tabs>
                <w:tab w:val="left" w:pos="3306"/>
              </w:tabs>
              <w:rPr>
                <w:rFonts w:cs="Calibri"/>
                <w:color w:val="7030A0"/>
                <w:sz w:val="18"/>
                <w:szCs w:val="18"/>
              </w:rPr>
            </w:pPr>
          </w:p>
        </w:tc>
        <w:tc>
          <w:tcPr>
            <w:tcW w:w="4105" w:type="dxa"/>
            <w:tcBorders>
              <w:left w:val="single" w:sz="2" w:space="0" w:color="auto"/>
            </w:tcBorders>
            <w:shd w:val="clear" w:color="auto" w:fill="auto"/>
          </w:tcPr>
          <w:p w14:paraId="7C18695B" w14:textId="54214414" w:rsidR="003F3927" w:rsidRPr="00FA0C47" w:rsidRDefault="003F3927" w:rsidP="003F3927">
            <w:pPr>
              <w:jc w:val="both"/>
              <w:rPr>
                <w:b/>
                <w:sz w:val="18"/>
                <w:szCs w:val="18"/>
                <w:lang w:eastAsia="en-AU"/>
              </w:rPr>
            </w:pPr>
            <w:r w:rsidRPr="00FA0C47">
              <w:rPr>
                <w:b/>
                <w:sz w:val="18"/>
                <w:szCs w:val="18"/>
                <w:lang w:eastAsia="en-AU"/>
              </w:rPr>
              <w:t>Variance Explanations</w:t>
            </w:r>
          </w:p>
        </w:tc>
        <w:tc>
          <w:tcPr>
            <w:tcW w:w="1136" w:type="dxa"/>
            <w:vAlign w:val="bottom"/>
          </w:tcPr>
          <w:p w14:paraId="4F8EBA19" w14:textId="77777777" w:rsidR="003F3927" w:rsidRPr="00FA0C47" w:rsidRDefault="003F3927" w:rsidP="003F3927">
            <w:pPr>
              <w:jc w:val="right"/>
              <w:rPr>
                <w:b/>
                <w:bCs/>
                <w:sz w:val="18"/>
                <w:szCs w:val="18"/>
                <w:lang w:eastAsia="en-AU"/>
              </w:rPr>
            </w:pPr>
          </w:p>
        </w:tc>
        <w:tc>
          <w:tcPr>
            <w:tcW w:w="852" w:type="dxa"/>
            <w:shd w:val="clear" w:color="auto" w:fill="auto"/>
            <w:vAlign w:val="bottom"/>
          </w:tcPr>
          <w:p w14:paraId="31863C9B" w14:textId="77777777" w:rsidR="003F3927" w:rsidRPr="00FA0C47" w:rsidRDefault="003F3927" w:rsidP="003F3927">
            <w:pPr>
              <w:jc w:val="right"/>
              <w:rPr>
                <w:b/>
                <w:bCs/>
                <w:sz w:val="18"/>
                <w:szCs w:val="18"/>
                <w:lang w:eastAsia="en-AU"/>
              </w:rPr>
            </w:pPr>
          </w:p>
        </w:tc>
        <w:tc>
          <w:tcPr>
            <w:tcW w:w="850" w:type="dxa"/>
            <w:shd w:val="clear" w:color="auto" w:fill="auto"/>
            <w:vAlign w:val="bottom"/>
          </w:tcPr>
          <w:p w14:paraId="05CFD2E4" w14:textId="77777777" w:rsidR="003F3927" w:rsidRPr="00FA0C47" w:rsidRDefault="003F3927" w:rsidP="003F3927">
            <w:pPr>
              <w:jc w:val="right"/>
              <w:rPr>
                <w:b/>
                <w:bCs/>
                <w:sz w:val="18"/>
                <w:szCs w:val="18"/>
                <w:lang w:eastAsia="en-AU"/>
              </w:rPr>
            </w:pPr>
          </w:p>
        </w:tc>
        <w:tc>
          <w:tcPr>
            <w:tcW w:w="996" w:type="dxa"/>
            <w:shd w:val="clear" w:color="auto" w:fill="auto"/>
            <w:vAlign w:val="bottom"/>
          </w:tcPr>
          <w:p w14:paraId="10DA1A5F" w14:textId="77777777" w:rsidR="003F3927" w:rsidRPr="00FA0C47" w:rsidRDefault="003F3927" w:rsidP="003F3927">
            <w:pPr>
              <w:jc w:val="right"/>
              <w:rPr>
                <w:b/>
                <w:bCs/>
                <w:sz w:val="18"/>
                <w:szCs w:val="18"/>
                <w:lang w:eastAsia="en-AU"/>
              </w:rPr>
            </w:pPr>
          </w:p>
        </w:tc>
        <w:tc>
          <w:tcPr>
            <w:tcW w:w="992" w:type="dxa"/>
            <w:shd w:val="clear" w:color="auto" w:fill="auto"/>
            <w:vAlign w:val="bottom"/>
          </w:tcPr>
          <w:p w14:paraId="1A326211" w14:textId="77777777" w:rsidR="003F3927" w:rsidRPr="00FA0C47" w:rsidRDefault="003F3927" w:rsidP="003F3927">
            <w:pPr>
              <w:jc w:val="right"/>
              <w:rPr>
                <w:b/>
                <w:bCs/>
                <w:sz w:val="18"/>
                <w:szCs w:val="18"/>
                <w:lang w:eastAsia="en-AU"/>
              </w:rPr>
            </w:pPr>
          </w:p>
        </w:tc>
      </w:tr>
      <w:tr w:rsidR="003F3927" w:rsidRPr="00976DE1" w14:paraId="3A44D905" w14:textId="77777777" w:rsidTr="0004564D">
        <w:trPr>
          <w:cantSplit/>
          <w:trHeight w:val="45"/>
        </w:trPr>
        <w:tc>
          <w:tcPr>
            <w:tcW w:w="1561" w:type="dxa"/>
            <w:tcBorders>
              <w:left w:val="single" w:sz="2" w:space="0" w:color="auto"/>
              <w:right w:val="single" w:sz="2" w:space="0" w:color="auto"/>
            </w:tcBorders>
          </w:tcPr>
          <w:p w14:paraId="698DA9E5"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C913903" w14:textId="3F31908C" w:rsidR="003F3927" w:rsidRPr="00FA0C47" w:rsidRDefault="003F3927" w:rsidP="007122BC">
            <w:pPr>
              <w:pStyle w:val="ListParagraph"/>
              <w:numPr>
                <w:ilvl w:val="0"/>
                <w:numId w:val="69"/>
              </w:numPr>
              <w:rPr>
                <w:b/>
                <w:bCs/>
                <w:sz w:val="18"/>
                <w:szCs w:val="18"/>
              </w:rPr>
            </w:pPr>
            <w:r w:rsidRPr="00FA0C47">
              <w:rPr>
                <w:sz w:val="18"/>
                <w:szCs w:val="18"/>
                <w:lang w:eastAsia="en-AU"/>
              </w:rPr>
              <w:t>[Insert major variance explanation]</w:t>
            </w:r>
          </w:p>
        </w:tc>
      </w:tr>
      <w:tr w:rsidR="003F3927" w:rsidRPr="00976DE1" w14:paraId="7AAF1D53" w14:textId="77777777" w:rsidTr="0004564D">
        <w:trPr>
          <w:cantSplit/>
          <w:trHeight w:val="45"/>
        </w:trPr>
        <w:tc>
          <w:tcPr>
            <w:tcW w:w="1561" w:type="dxa"/>
            <w:tcBorders>
              <w:left w:val="single" w:sz="2" w:space="0" w:color="auto"/>
              <w:right w:val="single" w:sz="2" w:space="0" w:color="auto"/>
            </w:tcBorders>
          </w:tcPr>
          <w:p w14:paraId="2F6B5659"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43DC6F85" w14:textId="6B8332C8" w:rsidR="003F3927" w:rsidRPr="00FA0C47" w:rsidRDefault="003F3927" w:rsidP="007122BC">
            <w:pPr>
              <w:pStyle w:val="ListParagraph"/>
              <w:numPr>
                <w:ilvl w:val="0"/>
                <w:numId w:val="69"/>
              </w:numPr>
              <w:rPr>
                <w:b/>
                <w:bCs/>
                <w:sz w:val="18"/>
                <w:szCs w:val="18"/>
              </w:rPr>
            </w:pPr>
            <w:r w:rsidRPr="00FA0C47">
              <w:rPr>
                <w:sz w:val="18"/>
                <w:szCs w:val="18"/>
                <w:lang w:eastAsia="en-AU"/>
              </w:rPr>
              <w:t>[Insert major variance explanation]</w:t>
            </w:r>
          </w:p>
        </w:tc>
      </w:tr>
      <w:tr w:rsidR="003F3927" w:rsidRPr="00976DE1" w14:paraId="4964FC3F" w14:textId="77777777" w:rsidTr="0004564D">
        <w:trPr>
          <w:cantSplit/>
          <w:trHeight w:val="45"/>
        </w:trPr>
        <w:tc>
          <w:tcPr>
            <w:tcW w:w="1561" w:type="dxa"/>
            <w:tcBorders>
              <w:left w:val="single" w:sz="2" w:space="0" w:color="auto"/>
              <w:right w:val="single" w:sz="2" w:space="0" w:color="auto"/>
            </w:tcBorders>
          </w:tcPr>
          <w:p w14:paraId="386B4B16"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072C4BCF" w14:textId="23402063" w:rsidR="003F3927" w:rsidRPr="00FA0C47" w:rsidRDefault="003F3927" w:rsidP="007122BC">
            <w:pPr>
              <w:pStyle w:val="ListParagraph"/>
              <w:numPr>
                <w:ilvl w:val="0"/>
                <w:numId w:val="69"/>
              </w:numPr>
              <w:rPr>
                <w:b/>
                <w:bCs/>
                <w:sz w:val="18"/>
                <w:szCs w:val="18"/>
              </w:rPr>
            </w:pPr>
            <w:r w:rsidRPr="00FA0C47">
              <w:rPr>
                <w:sz w:val="18"/>
                <w:szCs w:val="18"/>
                <w:lang w:eastAsia="en-AU"/>
              </w:rPr>
              <w:t>[Insert major variance explanation]</w:t>
            </w:r>
          </w:p>
        </w:tc>
      </w:tr>
      <w:tr w:rsidR="003F3927" w:rsidRPr="00976DE1" w14:paraId="5C3A952D" w14:textId="77777777" w:rsidTr="0004564D">
        <w:trPr>
          <w:cantSplit/>
          <w:trHeight w:val="45"/>
        </w:trPr>
        <w:tc>
          <w:tcPr>
            <w:tcW w:w="1561" w:type="dxa"/>
            <w:tcBorders>
              <w:left w:val="single" w:sz="2" w:space="0" w:color="auto"/>
              <w:right w:val="single" w:sz="2" w:space="0" w:color="auto"/>
            </w:tcBorders>
          </w:tcPr>
          <w:p w14:paraId="26B1F20A"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39F2AD3" w14:textId="6E274802" w:rsidR="003F3927" w:rsidRPr="00FA0C47" w:rsidRDefault="003F3927" w:rsidP="007122BC">
            <w:pPr>
              <w:pStyle w:val="ListParagraph"/>
              <w:numPr>
                <w:ilvl w:val="0"/>
                <w:numId w:val="69"/>
              </w:numPr>
              <w:rPr>
                <w:b/>
                <w:bCs/>
                <w:sz w:val="18"/>
                <w:szCs w:val="18"/>
              </w:rPr>
            </w:pPr>
            <w:r w:rsidRPr="00FA0C47">
              <w:rPr>
                <w:sz w:val="18"/>
                <w:szCs w:val="18"/>
                <w:lang w:eastAsia="en-AU"/>
              </w:rPr>
              <w:t>[Insert major variance explanation]</w:t>
            </w:r>
          </w:p>
        </w:tc>
      </w:tr>
      <w:tr w:rsidR="003F3927" w:rsidRPr="00976DE1" w14:paraId="4C3BBAFD" w14:textId="77777777" w:rsidTr="0004564D">
        <w:trPr>
          <w:cantSplit/>
          <w:trHeight w:val="45"/>
        </w:trPr>
        <w:tc>
          <w:tcPr>
            <w:tcW w:w="1561" w:type="dxa"/>
            <w:tcBorders>
              <w:left w:val="single" w:sz="2" w:space="0" w:color="auto"/>
              <w:right w:val="single" w:sz="2" w:space="0" w:color="auto"/>
            </w:tcBorders>
          </w:tcPr>
          <w:p w14:paraId="2D38915A"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6E2CEAE1" w14:textId="740270F4" w:rsidR="003F3927" w:rsidRPr="00FA0C47" w:rsidRDefault="003F3927" w:rsidP="007122BC">
            <w:pPr>
              <w:pStyle w:val="ListParagraph"/>
              <w:numPr>
                <w:ilvl w:val="0"/>
                <w:numId w:val="69"/>
              </w:numPr>
              <w:rPr>
                <w:b/>
                <w:bCs/>
                <w:sz w:val="18"/>
                <w:szCs w:val="18"/>
              </w:rPr>
            </w:pPr>
            <w:r w:rsidRPr="00FA0C47">
              <w:rPr>
                <w:sz w:val="18"/>
                <w:szCs w:val="18"/>
                <w:lang w:eastAsia="en-AU"/>
              </w:rPr>
              <w:t>[Insert major variance explanation]</w:t>
            </w:r>
          </w:p>
        </w:tc>
      </w:tr>
      <w:tr w:rsidR="003F3927" w:rsidRPr="00976DE1" w14:paraId="4B528E0D" w14:textId="77777777" w:rsidTr="0004564D">
        <w:trPr>
          <w:cantSplit/>
          <w:trHeight w:val="45"/>
        </w:trPr>
        <w:tc>
          <w:tcPr>
            <w:tcW w:w="1561" w:type="dxa"/>
            <w:tcBorders>
              <w:left w:val="single" w:sz="2" w:space="0" w:color="auto"/>
              <w:right w:val="single" w:sz="2" w:space="0" w:color="auto"/>
            </w:tcBorders>
          </w:tcPr>
          <w:p w14:paraId="4198A160"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1773AA22" w14:textId="1CB44724" w:rsidR="003F3927" w:rsidRPr="00FA0C47" w:rsidRDefault="003F3927" w:rsidP="007122BC">
            <w:pPr>
              <w:pStyle w:val="ListParagraph"/>
              <w:numPr>
                <w:ilvl w:val="0"/>
                <w:numId w:val="69"/>
              </w:numPr>
              <w:rPr>
                <w:b/>
                <w:bCs/>
                <w:sz w:val="18"/>
                <w:szCs w:val="18"/>
              </w:rPr>
            </w:pPr>
            <w:r w:rsidRPr="00FA0C47">
              <w:rPr>
                <w:sz w:val="18"/>
                <w:szCs w:val="18"/>
                <w:lang w:eastAsia="en-AU"/>
              </w:rPr>
              <w:t>[Insert major variance explanation]</w:t>
            </w:r>
          </w:p>
        </w:tc>
      </w:tr>
      <w:tr w:rsidR="003F3927" w:rsidRPr="00976DE1" w14:paraId="679785DD" w14:textId="77777777" w:rsidTr="0004564D">
        <w:trPr>
          <w:cantSplit/>
          <w:trHeight w:val="45"/>
        </w:trPr>
        <w:tc>
          <w:tcPr>
            <w:tcW w:w="1561" w:type="dxa"/>
            <w:tcBorders>
              <w:left w:val="single" w:sz="2" w:space="0" w:color="auto"/>
              <w:right w:val="single" w:sz="2" w:space="0" w:color="auto"/>
            </w:tcBorders>
          </w:tcPr>
          <w:p w14:paraId="12A146B9"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5022F17F" w14:textId="4B19E55A" w:rsidR="003F3927" w:rsidRPr="00FA0C47" w:rsidRDefault="003F3927" w:rsidP="007122BC">
            <w:pPr>
              <w:pStyle w:val="ListParagraph"/>
              <w:numPr>
                <w:ilvl w:val="0"/>
                <w:numId w:val="69"/>
              </w:numPr>
              <w:rPr>
                <w:b/>
                <w:bCs/>
                <w:sz w:val="18"/>
                <w:szCs w:val="18"/>
              </w:rPr>
            </w:pPr>
            <w:r w:rsidRPr="00FA0C47">
              <w:rPr>
                <w:sz w:val="18"/>
                <w:szCs w:val="18"/>
                <w:lang w:eastAsia="en-AU"/>
              </w:rPr>
              <w:t>[Insert major variance explanation]</w:t>
            </w:r>
          </w:p>
        </w:tc>
      </w:tr>
      <w:tr w:rsidR="003F3927" w:rsidRPr="00976DE1" w14:paraId="1DA19CBC" w14:textId="77777777" w:rsidTr="0004564D">
        <w:trPr>
          <w:cantSplit/>
          <w:trHeight w:val="45"/>
        </w:trPr>
        <w:tc>
          <w:tcPr>
            <w:tcW w:w="1561" w:type="dxa"/>
            <w:tcBorders>
              <w:left w:val="single" w:sz="2" w:space="0" w:color="auto"/>
              <w:right w:val="single" w:sz="2" w:space="0" w:color="auto"/>
            </w:tcBorders>
          </w:tcPr>
          <w:p w14:paraId="0D87A720" w14:textId="77777777" w:rsidR="003F3927" w:rsidRPr="00FA0C47" w:rsidRDefault="003F3927" w:rsidP="003F3927">
            <w:pPr>
              <w:pStyle w:val="TableReference"/>
              <w:tabs>
                <w:tab w:val="left" w:pos="3306"/>
              </w:tabs>
              <w:rPr>
                <w:rFonts w:cs="Calibri"/>
                <w:color w:val="7030A0"/>
                <w:sz w:val="18"/>
                <w:szCs w:val="18"/>
              </w:rPr>
            </w:pPr>
          </w:p>
        </w:tc>
        <w:tc>
          <w:tcPr>
            <w:tcW w:w="8931" w:type="dxa"/>
            <w:gridSpan w:val="6"/>
            <w:tcBorders>
              <w:left w:val="single" w:sz="2" w:space="0" w:color="auto"/>
            </w:tcBorders>
            <w:shd w:val="clear" w:color="auto" w:fill="auto"/>
          </w:tcPr>
          <w:p w14:paraId="6AE99262" w14:textId="3B808D28" w:rsidR="003F3927" w:rsidRPr="00FA0C47" w:rsidRDefault="003F3927" w:rsidP="007122BC">
            <w:pPr>
              <w:pStyle w:val="ListParagraph"/>
              <w:numPr>
                <w:ilvl w:val="0"/>
                <w:numId w:val="69"/>
              </w:numPr>
              <w:rPr>
                <w:b/>
                <w:bCs/>
                <w:sz w:val="18"/>
                <w:szCs w:val="18"/>
              </w:rPr>
            </w:pPr>
            <w:r w:rsidRPr="00FA0C47">
              <w:rPr>
                <w:sz w:val="18"/>
                <w:szCs w:val="18"/>
                <w:lang w:eastAsia="en-AU"/>
              </w:rPr>
              <w:t>[Insert major variance explanation]</w:t>
            </w:r>
          </w:p>
        </w:tc>
      </w:tr>
      <w:bookmarkEnd w:id="789"/>
    </w:tbl>
    <w:p w14:paraId="600D1978" w14:textId="77777777" w:rsidR="006B3063" w:rsidRDefault="006B3063"/>
    <w:p w14:paraId="24F76D57" w14:textId="30A4194F" w:rsidR="00495078" w:rsidRDefault="00495078">
      <w:pPr>
        <w:sectPr w:rsidR="00495078" w:rsidSect="00527F06">
          <w:headerReference w:type="default" r:id="rId37"/>
          <w:footerReference w:type="even" r:id="rId38"/>
          <w:footerReference w:type="default" r:id="rId39"/>
          <w:footnotePr>
            <w:numRestart w:val="eachPage"/>
          </w:footnotePr>
          <w:pgSz w:w="11907" w:h="16840" w:code="9"/>
          <w:pgMar w:top="680" w:right="680" w:bottom="567" w:left="680" w:header="624" w:footer="284" w:gutter="0"/>
          <w:cols w:space="720"/>
        </w:sectPr>
      </w:pPr>
    </w:p>
    <w:tbl>
      <w:tblPr>
        <w:tblW w:w="10490" w:type="dxa"/>
        <w:tblInd w:w="-3" w:type="dxa"/>
        <w:shd w:val="clear" w:color="auto" w:fill="CCFFCC"/>
        <w:tblLayout w:type="fixed"/>
        <w:tblLook w:val="00A0" w:firstRow="1" w:lastRow="0" w:firstColumn="1" w:lastColumn="0" w:noHBand="0" w:noVBand="0"/>
      </w:tblPr>
      <w:tblGrid>
        <w:gridCol w:w="1560"/>
        <w:gridCol w:w="8930"/>
      </w:tblGrid>
      <w:tr w:rsidR="000D5BC9" w:rsidRPr="00CF7E1B" w14:paraId="7201C488" w14:textId="77777777" w:rsidTr="0004564D">
        <w:trPr>
          <w:cantSplit/>
          <w:trHeight w:val="317"/>
        </w:trPr>
        <w:tc>
          <w:tcPr>
            <w:tcW w:w="1560" w:type="dxa"/>
            <w:tcBorders>
              <w:left w:val="single" w:sz="2" w:space="0" w:color="auto"/>
              <w:right w:val="single" w:sz="2" w:space="0" w:color="auto"/>
            </w:tcBorders>
          </w:tcPr>
          <w:p w14:paraId="128D1E9B" w14:textId="77777777" w:rsidR="000D5BC9" w:rsidRPr="00AC3DDE" w:rsidRDefault="00625085" w:rsidP="000A1EDA">
            <w:pPr>
              <w:pStyle w:val="TableReference"/>
              <w:spacing w:after="240"/>
              <w:rPr>
                <w:rFonts w:cs="Calibri"/>
                <w:color w:val="7030A0"/>
                <w:sz w:val="22"/>
                <w:szCs w:val="22"/>
              </w:rPr>
            </w:pPr>
            <w:r w:rsidRPr="00AC3DDE">
              <w:rPr>
                <w:rFonts w:cs="Calibri"/>
                <w:b/>
                <w:color w:val="7030A0"/>
                <w:sz w:val="22"/>
                <w:szCs w:val="22"/>
              </w:rPr>
              <w:t>Reference</w:t>
            </w:r>
          </w:p>
        </w:tc>
        <w:tc>
          <w:tcPr>
            <w:tcW w:w="8930" w:type="dxa"/>
            <w:tcBorders>
              <w:left w:val="single" w:sz="2" w:space="0" w:color="auto"/>
            </w:tcBorders>
            <w:shd w:val="clear" w:color="auto" w:fill="7030A0"/>
          </w:tcPr>
          <w:p w14:paraId="4ADBEC37" w14:textId="35FB4F58" w:rsidR="000D5BC9" w:rsidRPr="00FA0C47" w:rsidRDefault="009A5C42" w:rsidP="000A1EDA">
            <w:pPr>
              <w:spacing w:after="240"/>
              <w:rPr>
                <w:rFonts w:cs="Calibri"/>
                <w:color w:val="FFFFFF" w:themeColor="background1"/>
                <w:sz w:val="28"/>
                <w:szCs w:val="28"/>
                <w:vertAlign w:val="superscript"/>
              </w:rPr>
            </w:pPr>
            <w:r w:rsidRPr="00FA0C47">
              <w:rPr>
                <w:rFonts w:asciiTheme="minorHAnsi" w:hAnsiTheme="minorHAnsi"/>
                <w:b/>
                <w:color w:val="FFFFFF" w:themeColor="background1"/>
                <w:sz w:val="28"/>
                <w:szCs w:val="28"/>
              </w:rPr>
              <w:t xml:space="preserve">Commentary – Note </w:t>
            </w:r>
            <w:r w:rsidR="00D335D5" w:rsidRPr="00FA0C47">
              <w:rPr>
                <w:rFonts w:asciiTheme="minorHAnsi" w:hAnsiTheme="minorHAnsi"/>
                <w:b/>
                <w:color w:val="FFFFFF" w:themeColor="background1"/>
                <w:sz w:val="28"/>
                <w:szCs w:val="28"/>
              </w:rPr>
              <w:t>4</w:t>
            </w:r>
            <w:r w:rsidR="00A03437" w:rsidRPr="00FA0C47">
              <w:rPr>
                <w:rFonts w:asciiTheme="minorHAnsi" w:hAnsiTheme="minorHAnsi"/>
                <w:b/>
                <w:color w:val="FFFFFF" w:themeColor="background1"/>
                <w:sz w:val="28"/>
                <w:szCs w:val="28"/>
              </w:rPr>
              <w:t>0</w:t>
            </w:r>
            <w:r w:rsidRPr="00FA0C47">
              <w:rPr>
                <w:rFonts w:asciiTheme="minorHAnsi" w:hAnsiTheme="minorHAnsi"/>
                <w:b/>
                <w:color w:val="FFFFFF" w:themeColor="background1"/>
                <w:sz w:val="28"/>
                <w:szCs w:val="28"/>
              </w:rPr>
              <w:t>: Budgetary Reporting</w:t>
            </w:r>
          </w:p>
        </w:tc>
      </w:tr>
      <w:tr w:rsidR="00C2696B" w:rsidRPr="00CF7E1B" w14:paraId="22FC3A96" w14:textId="77777777" w:rsidTr="0004564D">
        <w:trPr>
          <w:cantSplit/>
          <w:trHeight w:val="317"/>
        </w:trPr>
        <w:tc>
          <w:tcPr>
            <w:tcW w:w="1560" w:type="dxa"/>
            <w:tcBorders>
              <w:left w:val="single" w:sz="2" w:space="0" w:color="auto"/>
              <w:right w:val="single" w:sz="2" w:space="0" w:color="auto"/>
            </w:tcBorders>
          </w:tcPr>
          <w:p w14:paraId="48DD8B58" w14:textId="6ADE9854" w:rsidR="00C2696B" w:rsidRPr="00AC3DDE" w:rsidRDefault="00BE2922" w:rsidP="00063FFB">
            <w:pPr>
              <w:pStyle w:val="TableReference"/>
              <w:rPr>
                <w:rFonts w:cs="Calibri"/>
                <w:color w:val="7030A0"/>
                <w:sz w:val="14"/>
              </w:rPr>
            </w:pPr>
            <w:r w:rsidRPr="00AC3DDE">
              <w:rPr>
                <w:rFonts w:cs="Calibri"/>
                <w:color w:val="7030A0"/>
                <w:sz w:val="14"/>
              </w:rPr>
              <w:t>ACT Disclosure Policy</w:t>
            </w:r>
          </w:p>
        </w:tc>
        <w:tc>
          <w:tcPr>
            <w:tcW w:w="8930" w:type="dxa"/>
            <w:tcBorders>
              <w:left w:val="single" w:sz="2" w:space="0" w:color="auto"/>
            </w:tcBorders>
            <w:shd w:val="clear" w:color="auto" w:fill="7030A0"/>
          </w:tcPr>
          <w:p w14:paraId="5ACDC49A" w14:textId="114B2E9E" w:rsidR="00C2696B" w:rsidRPr="00FA0C47" w:rsidRDefault="00723365" w:rsidP="00F01B8C">
            <w:pPr>
              <w:spacing w:after="120"/>
              <w:jc w:val="both"/>
              <w:rPr>
                <w:rFonts w:cs="Calibri"/>
                <w:color w:val="FFFFFF" w:themeColor="background1"/>
                <w:sz w:val="18"/>
                <w:szCs w:val="18"/>
              </w:rPr>
            </w:pPr>
            <w:r w:rsidRPr="00FA0C47">
              <w:rPr>
                <w:rFonts w:cs="Calibri"/>
                <w:color w:val="FFFFFF" w:themeColor="background1"/>
                <w:sz w:val="18"/>
                <w:szCs w:val="18"/>
              </w:rPr>
              <w:t xml:space="preserve">AASB 1055 </w:t>
            </w:r>
            <w:r w:rsidRPr="00FA0C47">
              <w:rPr>
                <w:rFonts w:cs="Calibri"/>
                <w:i/>
                <w:color w:val="FFFFFF" w:themeColor="background1"/>
                <w:sz w:val="18"/>
                <w:szCs w:val="18"/>
              </w:rPr>
              <w:t>Budgetary Reporting</w:t>
            </w:r>
            <w:r w:rsidRPr="00FA0C47">
              <w:rPr>
                <w:rFonts w:cs="Calibri"/>
                <w:color w:val="FFFFFF" w:themeColor="background1"/>
                <w:sz w:val="18"/>
                <w:szCs w:val="18"/>
              </w:rPr>
              <w:t xml:space="preserve"> sets out the budgetary reporting requirements for not-for-profit entities within the General Government Sector (GGS).</w:t>
            </w:r>
            <w:r w:rsidR="00FA7C77">
              <w:rPr>
                <w:rFonts w:cs="Calibri"/>
                <w:color w:val="FFFFFF" w:themeColor="background1"/>
                <w:sz w:val="18"/>
                <w:szCs w:val="18"/>
              </w:rPr>
              <w:t xml:space="preserve"> </w:t>
            </w:r>
          </w:p>
        </w:tc>
      </w:tr>
      <w:tr w:rsidR="00F01B8C" w:rsidRPr="00CF7E1B" w14:paraId="2CBBFF10" w14:textId="77777777" w:rsidTr="0004564D">
        <w:trPr>
          <w:cantSplit/>
          <w:trHeight w:val="317"/>
        </w:trPr>
        <w:tc>
          <w:tcPr>
            <w:tcW w:w="1560" w:type="dxa"/>
            <w:tcBorders>
              <w:left w:val="single" w:sz="2" w:space="0" w:color="auto"/>
              <w:right w:val="single" w:sz="2" w:space="0" w:color="auto"/>
            </w:tcBorders>
          </w:tcPr>
          <w:p w14:paraId="60C1B045"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01942E2C" w14:textId="4F47F9B6"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 xml:space="preserve">Disclosures under AASB 1055 are intended to provide </w:t>
            </w:r>
            <w:r w:rsidR="00BE2922" w:rsidRPr="00FA0C47">
              <w:rPr>
                <w:rFonts w:cs="Calibri"/>
                <w:color w:val="FFFFFF" w:themeColor="background1"/>
                <w:sz w:val="18"/>
                <w:szCs w:val="18"/>
              </w:rPr>
              <w:t xml:space="preserve">primary </w:t>
            </w:r>
            <w:r w:rsidRPr="00FA0C47">
              <w:rPr>
                <w:rFonts w:cs="Calibri"/>
                <w:color w:val="FFFFFF" w:themeColor="background1"/>
                <w:sz w:val="18"/>
                <w:szCs w:val="18"/>
              </w:rPr>
              <w:t>users with information relevant to assessing the financial performance of an agency. The main user is considered to be the Legislative Assembly.</w:t>
            </w:r>
          </w:p>
        </w:tc>
      </w:tr>
      <w:tr w:rsidR="00F01B8C" w:rsidRPr="00CF7E1B" w14:paraId="02C196F1" w14:textId="77777777" w:rsidTr="0004564D">
        <w:trPr>
          <w:cantSplit/>
          <w:trHeight w:val="317"/>
        </w:trPr>
        <w:tc>
          <w:tcPr>
            <w:tcW w:w="1560" w:type="dxa"/>
            <w:tcBorders>
              <w:left w:val="single" w:sz="2" w:space="0" w:color="auto"/>
              <w:right w:val="single" w:sz="2" w:space="0" w:color="auto"/>
            </w:tcBorders>
          </w:tcPr>
          <w:p w14:paraId="5E44CE4A"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0CCA30A" w14:textId="637610A8" w:rsidR="00F01B8C" w:rsidRPr="00FA0C47" w:rsidRDefault="00F01B8C" w:rsidP="00BE2922">
            <w:pPr>
              <w:spacing w:after="40"/>
              <w:jc w:val="both"/>
              <w:rPr>
                <w:rFonts w:cs="Calibri"/>
                <w:color w:val="FFFFFF" w:themeColor="background1"/>
                <w:sz w:val="18"/>
                <w:szCs w:val="18"/>
              </w:rPr>
            </w:pPr>
            <w:r w:rsidRPr="00FA0C47">
              <w:rPr>
                <w:rFonts w:cs="Calibri"/>
                <w:color w:val="FFFFFF" w:themeColor="background1"/>
                <w:sz w:val="18"/>
                <w:szCs w:val="18"/>
              </w:rPr>
              <w:t xml:space="preserve">When a directorate’s or territory authority’s budgeted financial statements are presented to the Legislative Assembly and are separately identified, that directorate or </w:t>
            </w:r>
            <w:r w:rsidR="00BE2922" w:rsidRPr="00FA0C47">
              <w:rPr>
                <w:rFonts w:cs="Calibri"/>
                <w:color w:val="FFFFFF" w:themeColor="background1"/>
                <w:sz w:val="18"/>
                <w:szCs w:val="18"/>
              </w:rPr>
              <w:t>t</w:t>
            </w:r>
            <w:r w:rsidRPr="00FA0C47">
              <w:rPr>
                <w:rFonts w:cs="Calibri"/>
                <w:color w:val="FFFFFF" w:themeColor="background1"/>
                <w:sz w:val="18"/>
                <w:szCs w:val="18"/>
              </w:rPr>
              <w:t xml:space="preserve">erritory </w:t>
            </w:r>
            <w:r w:rsidR="00BE2922" w:rsidRPr="00FA0C47">
              <w:rPr>
                <w:rFonts w:cs="Calibri"/>
                <w:color w:val="FFFFFF" w:themeColor="background1"/>
                <w:sz w:val="18"/>
                <w:szCs w:val="18"/>
              </w:rPr>
              <w:t>a</w:t>
            </w:r>
            <w:r w:rsidRPr="00FA0C47">
              <w:rPr>
                <w:rFonts w:cs="Calibri"/>
                <w:color w:val="FFFFFF" w:themeColor="background1"/>
                <w:sz w:val="18"/>
                <w:szCs w:val="18"/>
              </w:rPr>
              <w:t>uthority will need to disclose for the reporting period:</w:t>
            </w:r>
          </w:p>
          <w:p w14:paraId="05978802" w14:textId="19B0933C" w:rsidR="00F01B8C" w:rsidRPr="00FA0C47" w:rsidRDefault="00F01B8C" w:rsidP="007122BC">
            <w:pPr>
              <w:numPr>
                <w:ilvl w:val="0"/>
                <w:numId w:val="33"/>
              </w:numPr>
              <w:spacing w:after="40"/>
              <w:ind w:left="414" w:hanging="357"/>
              <w:jc w:val="both"/>
              <w:rPr>
                <w:rFonts w:cs="Calibri"/>
                <w:color w:val="FFFFFF" w:themeColor="background1"/>
                <w:sz w:val="18"/>
                <w:szCs w:val="18"/>
              </w:rPr>
            </w:pPr>
            <w:r w:rsidRPr="00FA0C47">
              <w:rPr>
                <w:rFonts w:cs="Calibri"/>
                <w:color w:val="FFFFFF" w:themeColor="background1"/>
                <w:sz w:val="18"/>
                <w:szCs w:val="18"/>
              </w:rPr>
              <w:t>the original budget figures as presented to the Legislative Assembly, in a form that is consistent with the agency’s annual financial statements; and</w:t>
            </w:r>
          </w:p>
          <w:p w14:paraId="10AAC7D9" w14:textId="2149723F" w:rsidR="00F01B8C" w:rsidRPr="00FA0C47" w:rsidRDefault="00F01B8C" w:rsidP="007122BC">
            <w:pPr>
              <w:numPr>
                <w:ilvl w:val="0"/>
                <w:numId w:val="33"/>
              </w:numPr>
              <w:spacing w:after="120"/>
              <w:ind w:left="414" w:hanging="357"/>
              <w:jc w:val="both"/>
              <w:rPr>
                <w:rFonts w:cs="Calibri"/>
                <w:color w:val="FFFFFF" w:themeColor="background1"/>
                <w:sz w:val="18"/>
                <w:szCs w:val="18"/>
              </w:rPr>
            </w:pPr>
            <w:r w:rsidRPr="00FA0C47">
              <w:rPr>
                <w:rFonts w:cs="Calibri"/>
                <w:color w:val="FFFFFF" w:themeColor="background1"/>
                <w:sz w:val="18"/>
                <w:szCs w:val="18"/>
              </w:rPr>
              <w:t>explanations of major variances between actual amounts presented in the financial statements and the corresponding individual original budget amounts.</w:t>
            </w:r>
          </w:p>
        </w:tc>
      </w:tr>
      <w:tr w:rsidR="00F01B8C" w:rsidRPr="00CF7E1B" w14:paraId="30EC2F8B" w14:textId="77777777" w:rsidTr="0004564D">
        <w:trPr>
          <w:cantSplit/>
          <w:trHeight w:val="317"/>
        </w:trPr>
        <w:tc>
          <w:tcPr>
            <w:tcW w:w="1560" w:type="dxa"/>
            <w:tcBorders>
              <w:left w:val="single" w:sz="2" w:space="0" w:color="auto"/>
              <w:right w:val="single" w:sz="2" w:space="0" w:color="auto"/>
            </w:tcBorders>
          </w:tcPr>
          <w:p w14:paraId="3DE33D58" w14:textId="081F296B" w:rsidR="00F01B8C" w:rsidRPr="00AC3DDE" w:rsidRDefault="00BE2922" w:rsidP="00063FFB">
            <w:pPr>
              <w:pStyle w:val="TableReference"/>
              <w:rPr>
                <w:rFonts w:cs="Calibri"/>
                <w:color w:val="7030A0"/>
                <w:sz w:val="14"/>
              </w:rPr>
            </w:pPr>
            <w:r w:rsidRPr="00AC3DDE">
              <w:rPr>
                <w:rFonts w:cs="Calibri"/>
                <w:color w:val="7030A0"/>
                <w:sz w:val="14"/>
              </w:rPr>
              <w:t>ACT Disclosure Policy</w:t>
            </w:r>
          </w:p>
        </w:tc>
        <w:tc>
          <w:tcPr>
            <w:tcW w:w="8930" w:type="dxa"/>
            <w:tcBorders>
              <w:left w:val="single" w:sz="2" w:space="0" w:color="auto"/>
            </w:tcBorders>
            <w:shd w:val="clear" w:color="auto" w:fill="7030A0"/>
          </w:tcPr>
          <w:p w14:paraId="51B53CD9" w14:textId="1FBED25E" w:rsidR="00F01B8C" w:rsidRPr="00FA0C47" w:rsidRDefault="00BE2922" w:rsidP="006D6920">
            <w:pPr>
              <w:spacing w:after="120"/>
              <w:jc w:val="both"/>
              <w:rPr>
                <w:rFonts w:cs="Calibri"/>
                <w:color w:val="FFFFFF" w:themeColor="background1"/>
                <w:sz w:val="18"/>
                <w:szCs w:val="18"/>
              </w:rPr>
            </w:pPr>
            <w:r w:rsidRPr="00FA0C47">
              <w:rPr>
                <w:rFonts w:cs="Calibri"/>
                <w:color w:val="FFFFFF" w:themeColor="background1"/>
                <w:sz w:val="18"/>
                <w:szCs w:val="18"/>
              </w:rPr>
              <w:t>B</w:t>
            </w:r>
            <w:r w:rsidR="00F01B8C" w:rsidRPr="00FA0C47">
              <w:rPr>
                <w:rFonts w:cs="Calibri"/>
                <w:color w:val="FFFFFF" w:themeColor="background1"/>
                <w:sz w:val="18"/>
                <w:szCs w:val="18"/>
              </w:rPr>
              <w:t xml:space="preserve">udgetary reporting </w:t>
            </w:r>
            <w:r w:rsidRPr="00FA0C47">
              <w:rPr>
                <w:rFonts w:cs="Calibri"/>
                <w:color w:val="FFFFFF" w:themeColor="background1"/>
                <w:sz w:val="18"/>
                <w:szCs w:val="18"/>
              </w:rPr>
              <w:t xml:space="preserve">is required to </w:t>
            </w:r>
            <w:r w:rsidR="00F01B8C" w:rsidRPr="00FA0C47">
              <w:rPr>
                <w:rFonts w:cs="Calibri"/>
                <w:color w:val="FFFFFF" w:themeColor="background1"/>
                <w:sz w:val="18"/>
                <w:szCs w:val="18"/>
              </w:rPr>
              <w:t>be disclosed for territorial as well as controlled.</w:t>
            </w:r>
          </w:p>
        </w:tc>
      </w:tr>
      <w:tr w:rsidR="00F01B8C" w:rsidRPr="00CF7E1B" w14:paraId="06EA1909" w14:textId="77777777" w:rsidTr="0004564D">
        <w:trPr>
          <w:cantSplit/>
          <w:trHeight w:val="317"/>
        </w:trPr>
        <w:tc>
          <w:tcPr>
            <w:tcW w:w="1560" w:type="dxa"/>
            <w:tcBorders>
              <w:left w:val="single" w:sz="2" w:space="0" w:color="auto"/>
              <w:right w:val="single" w:sz="2" w:space="0" w:color="auto"/>
            </w:tcBorders>
          </w:tcPr>
          <w:p w14:paraId="66F32F64"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A6DF203" w14:textId="3D93CE58"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Original Budget refers to the amounts presented to the Legislative Assembly in the original budgeted financial statements in respect of the reporting period (</w:t>
            </w:r>
            <w:r w:rsidR="00300197" w:rsidRPr="00FA0C47">
              <w:rPr>
                <w:rFonts w:cs="Calibri"/>
                <w:color w:val="FFFFFF" w:themeColor="background1"/>
                <w:sz w:val="18"/>
                <w:szCs w:val="18"/>
              </w:rPr>
              <w:t>2021-22</w:t>
            </w:r>
            <w:r w:rsidR="00FA0C47" w:rsidRPr="00FA0C47">
              <w:rPr>
                <w:rFonts w:cs="Calibri"/>
                <w:color w:val="FFFFFF" w:themeColor="background1"/>
                <w:sz w:val="18"/>
                <w:szCs w:val="18"/>
              </w:rPr>
              <w:t xml:space="preserve"> </w:t>
            </w:r>
            <w:r w:rsidRPr="00FA0C47">
              <w:rPr>
                <w:rFonts w:cs="Calibri"/>
                <w:color w:val="FFFFFF" w:themeColor="background1"/>
                <w:sz w:val="18"/>
                <w:szCs w:val="18"/>
              </w:rPr>
              <w:t>Budget Statements).</w:t>
            </w:r>
            <w:r w:rsidR="00FA7C77">
              <w:rPr>
                <w:rFonts w:cs="Calibri"/>
                <w:color w:val="FFFFFF" w:themeColor="background1"/>
                <w:sz w:val="18"/>
                <w:szCs w:val="18"/>
              </w:rPr>
              <w:t xml:space="preserve"> </w:t>
            </w:r>
            <w:r w:rsidRPr="00FA0C47">
              <w:rPr>
                <w:rFonts w:cs="Calibri"/>
                <w:color w:val="FFFFFF" w:themeColor="background1"/>
                <w:sz w:val="18"/>
                <w:szCs w:val="18"/>
              </w:rPr>
              <w:t>These amounts are not adjusted to reflect revised budgets</w:t>
            </w:r>
            <w:r w:rsidR="00BE2922" w:rsidRPr="00FA0C47">
              <w:rPr>
                <w:rFonts w:cs="Calibri"/>
                <w:color w:val="FFFFFF" w:themeColor="background1"/>
                <w:sz w:val="18"/>
                <w:szCs w:val="18"/>
              </w:rPr>
              <w:t>,</w:t>
            </w:r>
            <w:r w:rsidRPr="00FA0C47">
              <w:rPr>
                <w:rFonts w:cs="Calibri"/>
                <w:color w:val="FFFFFF" w:themeColor="background1"/>
                <w:sz w:val="18"/>
                <w:szCs w:val="18"/>
              </w:rPr>
              <w:t xml:space="preserve"> resulting from supplementary appropriations or administrative arrangements or other instruments authorised under the provisions of the </w:t>
            </w:r>
            <w:r w:rsidRPr="00FA0C47">
              <w:rPr>
                <w:rFonts w:cs="Calibri"/>
                <w:i/>
                <w:color w:val="FFFFFF" w:themeColor="background1"/>
                <w:sz w:val="18"/>
                <w:szCs w:val="18"/>
              </w:rPr>
              <w:t>Financial Management Act 1996</w:t>
            </w:r>
            <w:r w:rsidRPr="00FA0C47">
              <w:rPr>
                <w:rFonts w:cs="Calibri"/>
                <w:color w:val="FFFFFF" w:themeColor="background1"/>
                <w:sz w:val="18"/>
                <w:szCs w:val="18"/>
              </w:rPr>
              <w:t>.</w:t>
            </w:r>
            <w:r w:rsidR="00FA7C77">
              <w:rPr>
                <w:rFonts w:cs="Calibri"/>
                <w:color w:val="FFFFFF" w:themeColor="background1"/>
                <w:sz w:val="18"/>
                <w:szCs w:val="18"/>
              </w:rPr>
              <w:t xml:space="preserve"> </w:t>
            </w:r>
            <w:r w:rsidRPr="00FA0C47">
              <w:rPr>
                <w:rFonts w:cs="Calibri"/>
                <w:color w:val="FFFFFF" w:themeColor="background1"/>
                <w:sz w:val="18"/>
                <w:szCs w:val="18"/>
              </w:rPr>
              <w:t>Explanations associated with revised budgets, particularly administrative arrangement changes, are to be reflected</w:t>
            </w:r>
            <w:r w:rsidRPr="00FA0C47">
              <w:rPr>
                <w:rFonts w:cs="Calibri"/>
                <w:i/>
                <w:color w:val="FFFFFF" w:themeColor="background1"/>
                <w:sz w:val="18"/>
                <w:szCs w:val="18"/>
              </w:rPr>
              <w:t xml:space="preserve"> </w:t>
            </w:r>
            <w:r w:rsidRPr="00FA0C47">
              <w:rPr>
                <w:rFonts w:cs="Calibri"/>
                <w:color w:val="FFFFFF" w:themeColor="background1"/>
                <w:sz w:val="18"/>
                <w:szCs w:val="18"/>
              </w:rPr>
              <w:t>in the Management Discussion and Analysis,</w:t>
            </w:r>
            <w:r w:rsidRPr="00FA0C47">
              <w:rPr>
                <w:color w:val="FFFFFF" w:themeColor="background1"/>
                <w:sz w:val="18"/>
                <w:szCs w:val="18"/>
              </w:rPr>
              <w:t xml:space="preserve"> which provides</w:t>
            </w:r>
            <w:r w:rsidRPr="00FA0C47">
              <w:rPr>
                <w:color w:val="FFFFFF" w:themeColor="background1"/>
                <w:spacing w:val="-1"/>
                <w:sz w:val="18"/>
                <w:szCs w:val="18"/>
              </w:rPr>
              <w:t xml:space="preserve"> </w:t>
            </w:r>
            <w:r w:rsidRPr="00FA0C47">
              <w:rPr>
                <w:color w:val="FFFFFF" w:themeColor="background1"/>
                <w:sz w:val="18"/>
                <w:szCs w:val="18"/>
              </w:rPr>
              <w:t>a</w:t>
            </w:r>
            <w:r w:rsidRPr="00FA0C47">
              <w:rPr>
                <w:color w:val="FFFFFF" w:themeColor="background1"/>
                <w:spacing w:val="-1"/>
                <w:sz w:val="18"/>
                <w:szCs w:val="18"/>
              </w:rPr>
              <w:t xml:space="preserve"> </w:t>
            </w:r>
            <w:r w:rsidRPr="00FA0C47">
              <w:rPr>
                <w:color w:val="FFFFFF" w:themeColor="background1"/>
                <w:sz w:val="18"/>
                <w:szCs w:val="18"/>
              </w:rPr>
              <w:t>high</w:t>
            </w:r>
            <w:r w:rsidRPr="00FA0C47">
              <w:rPr>
                <w:color w:val="FFFFFF" w:themeColor="background1"/>
                <w:spacing w:val="-1"/>
                <w:sz w:val="18"/>
                <w:szCs w:val="18"/>
              </w:rPr>
              <w:t xml:space="preserve"> </w:t>
            </w:r>
            <w:r w:rsidRPr="00FA0C47">
              <w:rPr>
                <w:color w:val="FFFFFF" w:themeColor="background1"/>
                <w:sz w:val="18"/>
                <w:szCs w:val="18"/>
              </w:rPr>
              <w:t>level</w:t>
            </w:r>
            <w:r w:rsidRPr="00FA0C47">
              <w:rPr>
                <w:color w:val="FFFFFF" w:themeColor="background1"/>
                <w:spacing w:val="-1"/>
                <w:sz w:val="18"/>
                <w:szCs w:val="18"/>
              </w:rPr>
              <w:t xml:space="preserve"> </w:t>
            </w:r>
            <w:r w:rsidRPr="00FA0C47">
              <w:rPr>
                <w:color w:val="FFFFFF" w:themeColor="background1"/>
                <w:sz w:val="18"/>
                <w:szCs w:val="18"/>
              </w:rPr>
              <w:t>overview</w:t>
            </w:r>
            <w:r w:rsidRPr="00FA0C47">
              <w:rPr>
                <w:color w:val="FFFFFF" w:themeColor="background1"/>
                <w:spacing w:val="-1"/>
                <w:sz w:val="18"/>
                <w:szCs w:val="18"/>
              </w:rPr>
              <w:t xml:space="preserve"> </w:t>
            </w:r>
            <w:r w:rsidRPr="00FA0C47">
              <w:rPr>
                <w:color w:val="FFFFFF" w:themeColor="background1"/>
                <w:sz w:val="18"/>
                <w:szCs w:val="18"/>
              </w:rPr>
              <w:t>of</w:t>
            </w:r>
            <w:r w:rsidRPr="00FA0C47">
              <w:rPr>
                <w:color w:val="FFFFFF" w:themeColor="background1"/>
                <w:spacing w:val="-1"/>
                <w:sz w:val="18"/>
                <w:szCs w:val="18"/>
              </w:rPr>
              <w:t xml:space="preserve"> </w:t>
            </w:r>
            <w:r w:rsidRPr="00FA0C47">
              <w:rPr>
                <w:color w:val="FFFFFF" w:themeColor="background1"/>
                <w:sz w:val="18"/>
                <w:szCs w:val="18"/>
              </w:rPr>
              <w:t>the</w:t>
            </w:r>
            <w:r w:rsidRPr="00FA0C47">
              <w:rPr>
                <w:color w:val="FFFFFF" w:themeColor="background1"/>
                <w:spacing w:val="-1"/>
                <w:sz w:val="18"/>
                <w:szCs w:val="18"/>
              </w:rPr>
              <w:t xml:space="preserve"> financial </w:t>
            </w:r>
            <w:r w:rsidRPr="00FA0C47">
              <w:rPr>
                <w:color w:val="FFFFFF" w:themeColor="background1"/>
                <w:sz w:val="18"/>
                <w:szCs w:val="18"/>
              </w:rPr>
              <w:t>results</w:t>
            </w:r>
            <w:r w:rsidRPr="00FA0C47">
              <w:rPr>
                <w:color w:val="FFFFFF" w:themeColor="background1"/>
                <w:spacing w:val="-1"/>
                <w:sz w:val="18"/>
                <w:szCs w:val="18"/>
              </w:rPr>
              <w:t xml:space="preserve"> </w:t>
            </w:r>
            <w:r w:rsidRPr="00FA0C47">
              <w:rPr>
                <w:color w:val="FFFFFF" w:themeColor="background1"/>
                <w:sz w:val="18"/>
                <w:szCs w:val="18"/>
              </w:rPr>
              <w:t>of</w:t>
            </w:r>
            <w:r w:rsidRPr="00FA0C47">
              <w:rPr>
                <w:color w:val="FFFFFF" w:themeColor="background1"/>
                <w:spacing w:val="-1"/>
                <w:sz w:val="18"/>
                <w:szCs w:val="18"/>
              </w:rPr>
              <w:t xml:space="preserve"> </w:t>
            </w:r>
            <w:r w:rsidRPr="00FA0C47">
              <w:rPr>
                <w:color w:val="FFFFFF" w:themeColor="background1"/>
                <w:sz w:val="18"/>
                <w:szCs w:val="18"/>
              </w:rPr>
              <w:t>an</w:t>
            </w:r>
            <w:r w:rsidRPr="00FA0C47">
              <w:rPr>
                <w:color w:val="FFFFFF" w:themeColor="background1"/>
                <w:spacing w:val="-1"/>
                <w:sz w:val="18"/>
                <w:szCs w:val="18"/>
              </w:rPr>
              <w:t xml:space="preserve"> entity</w:t>
            </w:r>
            <w:r w:rsidRPr="00FA0C47">
              <w:rPr>
                <w:color w:val="FFFFFF" w:themeColor="background1"/>
                <w:sz w:val="18"/>
                <w:szCs w:val="18"/>
              </w:rPr>
              <w:t xml:space="preserve"> and</w:t>
            </w:r>
            <w:r w:rsidRPr="00FA0C47">
              <w:rPr>
                <w:color w:val="FFFFFF" w:themeColor="background1"/>
                <w:spacing w:val="-1"/>
                <w:sz w:val="18"/>
                <w:szCs w:val="18"/>
              </w:rPr>
              <w:t xml:space="preserve"> the </w:t>
            </w:r>
            <w:r w:rsidRPr="00FA0C47">
              <w:rPr>
                <w:color w:val="FFFFFF" w:themeColor="background1"/>
                <w:sz w:val="18"/>
                <w:szCs w:val="18"/>
              </w:rPr>
              <w:t>factors</w:t>
            </w:r>
            <w:r w:rsidRPr="00FA0C47">
              <w:rPr>
                <w:color w:val="FFFFFF" w:themeColor="background1"/>
                <w:spacing w:val="-1"/>
                <w:sz w:val="18"/>
                <w:szCs w:val="18"/>
              </w:rPr>
              <w:t xml:space="preserve"> </w:t>
            </w:r>
            <w:r w:rsidRPr="00FA0C47">
              <w:rPr>
                <w:color w:val="FFFFFF" w:themeColor="background1"/>
                <w:sz w:val="18"/>
                <w:szCs w:val="18"/>
              </w:rPr>
              <w:t xml:space="preserve">underlying the </w:t>
            </w:r>
            <w:r w:rsidRPr="00FA0C47">
              <w:rPr>
                <w:color w:val="FFFFFF" w:themeColor="background1"/>
                <w:spacing w:val="-1"/>
                <w:sz w:val="18"/>
                <w:szCs w:val="18"/>
              </w:rPr>
              <w:t>development,</w:t>
            </w:r>
            <w:r w:rsidRPr="00FA0C47">
              <w:rPr>
                <w:color w:val="FFFFFF" w:themeColor="background1"/>
                <w:sz w:val="18"/>
                <w:szCs w:val="18"/>
              </w:rPr>
              <w:t xml:space="preserve"> </w:t>
            </w:r>
            <w:r w:rsidRPr="00FA0C47">
              <w:rPr>
                <w:color w:val="FFFFFF" w:themeColor="background1"/>
                <w:spacing w:val="-1"/>
                <w:sz w:val="18"/>
                <w:szCs w:val="18"/>
              </w:rPr>
              <w:t>performance</w:t>
            </w:r>
            <w:r w:rsidRPr="00FA0C47">
              <w:rPr>
                <w:color w:val="FFFFFF" w:themeColor="background1"/>
                <w:spacing w:val="43"/>
                <w:sz w:val="18"/>
                <w:szCs w:val="18"/>
              </w:rPr>
              <w:t xml:space="preserve"> </w:t>
            </w:r>
            <w:r w:rsidRPr="00FA0C47">
              <w:rPr>
                <w:color w:val="FFFFFF" w:themeColor="background1"/>
                <w:sz w:val="18"/>
                <w:szCs w:val="18"/>
              </w:rPr>
              <w:t xml:space="preserve">and position of the entity’s business during </w:t>
            </w:r>
            <w:r w:rsidRPr="00FA0C47">
              <w:rPr>
                <w:color w:val="FFFFFF" w:themeColor="background1"/>
                <w:spacing w:val="-1"/>
                <w:sz w:val="18"/>
                <w:szCs w:val="18"/>
              </w:rPr>
              <w:t xml:space="preserve">the reporting </w:t>
            </w:r>
            <w:r w:rsidRPr="00FA0C47">
              <w:rPr>
                <w:color w:val="FFFFFF" w:themeColor="background1"/>
                <w:sz w:val="18"/>
                <w:szCs w:val="18"/>
              </w:rPr>
              <w:t>period</w:t>
            </w:r>
            <w:r w:rsidRPr="00FA0C47">
              <w:rPr>
                <w:color w:val="FFFFFF" w:themeColor="background1"/>
                <w:spacing w:val="-1"/>
                <w:sz w:val="18"/>
                <w:szCs w:val="18"/>
              </w:rPr>
              <w:t>.</w:t>
            </w:r>
          </w:p>
        </w:tc>
      </w:tr>
      <w:tr w:rsidR="00F01B8C" w:rsidRPr="00CF7E1B" w14:paraId="042A0E7F" w14:textId="77777777" w:rsidTr="0004564D">
        <w:trPr>
          <w:cantSplit/>
          <w:trHeight w:val="317"/>
        </w:trPr>
        <w:tc>
          <w:tcPr>
            <w:tcW w:w="1560" w:type="dxa"/>
            <w:tcBorders>
              <w:left w:val="single" w:sz="2" w:space="0" w:color="auto"/>
              <w:right w:val="single" w:sz="2" w:space="0" w:color="auto"/>
            </w:tcBorders>
          </w:tcPr>
          <w:p w14:paraId="23E0900D" w14:textId="20936D84" w:rsidR="00F01B8C" w:rsidRPr="00AC3DDE" w:rsidRDefault="00F52BCE" w:rsidP="00063FFB">
            <w:pPr>
              <w:pStyle w:val="TableReference"/>
              <w:rPr>
                <w:rFonts w:cs="Calibri"/>
                <w:color w:val="7030A0"/>
                <w:sz w:val="16"/>
                <w:szCs w:val="16"/>
              </w:rPr>
            </w:pPr>
            <w:r w:rsidRPr="00AC3DDE">
              <w:rPr>
                <w:rFonts w:cs="Calibri"/>
                <w:color w:val="7030A0"/>
                <w:sz w:val="14"/>
              </w:rPr>
              <w:t>ACT Disclosure Policy</w:t>
            </w:r>
          </w:p>
        </w:tc>
        <w:tc>
          <w:tcPr>
            <w:tcW w:w="8930" w:type="dxa"/>
            <w:tcBorders>
              <w:left w:val="single" w:sz="2" w:space="0" w:color="auto"/>
            </w:tcBorders>
            <w:shd w:val="clear" w:color="auto" w:fill="7030A0"/>
          </w:tcPr>
          <w:p w14:paraId="790306D5" w14:textId="7AD4DCF9"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Under the provisions of AASB 1055, where the original budget is revised by a supplementary budget that is presented to the Legislative Assembly, the revised budget may be disclosed in the financial statements in addition to the original budget and might need to be referred to in explanations of major variances.</w:t>
            </w:r>
            <w:r w:rsidR="00FA7C77">
              <w:rPr>
                <w:rFonts w:cs="Calibri"/>
                <w:color w:val="FFFFFF" w:themeColor="background1"/>
                <w:sz w:val="18"/>
                <w:szCs w:val="18"/>
              </w:rPr>
              <w:t xml:space="preserve"> </w:t>
            </w:r>
            <w:r w:rsidR="00F52BCE" w:rsidRPr="00FA0C47">
              <w:rPr>
                <w:rFonts w:cs="Calibri"/>
                <w:color w:val="FFFFFF" w:themeColor="background1"/>
                <w:sz w:val="18"/>
                <w:szCs w:val="18"/>
              </w:rPr>
              <w:t>It is ACT Disclosure Policy that Agencies only include the original budget in its financial statements.</w:t>
            </w:r>
          </w:p>
        </w:tc>
      </w:tr>
      <w:tr w:rsidR="00F01B8C" w:rsidRPr="00CF7E1B" w14:paraId="7A6AA0F2" w14:textId="77777777" w:rsidTr="0004564D">
        <w:trPr>
          <w:cantSplit/>
          <w:trHeight w:val="317"/>
        </w:trPr>
        <w:tc>
          <w:tcPr>
            <w:tcW w:w="1560" w:type="dxa"/>
            <w:tcBorders>
              <w:left w:val="single" w:sz="2" w:space="0" w:color="auto"/>
              <w:right w:val="single" w:sz="2" w:space="0" w:color="auto"/>
            </w:tcBorders>
          </w:tcPr>
          <w:p w14:paraId="326CD02E"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37B409E" w14:textId="0BAD67FD"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The explanations of major variances required to be disclosed are those relevant to an assessment of the discharge of accountability and to an analysis of the performance of an entity, and should not merely focus on the numerical differences between original budget and actual amounts. They include the causes of major variances rather than merely the nature of the variances.</w:t>
            </w:r>
          </w:p>
        </w:tc>
      </w:tr>
      <w:tr w:rsidR="00F01B8C" w:rsidRPr="00CF7E1B" w14:paraId="721B8C48" w14:textId="77777777" w:rsidTr="0004564D">
        <w:trPr>
          <w:cantSplit/>
          <w:trHeight w:val="317"/>
        </w:trPr>
        <w:tc>
          <w:tcPr>
            <w:tcW w:w="1560" w:type="dxa"/>
            <w:tcBorders>
              <w:left w:val="single" w:sz="2" w:space="0" w:color="auto"/>
              <w:right w:val="single" w:sz="2" w:space="0" w:color="auto"/>
            </w:tcBorders>
          </w:tcPr>
          <w:p w14:paraId="0AE692C4"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A9931E2" w14:textId="7C471C3E"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Variances from comparative budget information in respect of the previous period need not be disclosed.</w:t>
            </w:r>
          </w:p>
        </w:tc>
      </w:tr>
      <w:tr w:rsidR="00F01B8C" w:rsidRPr="00CF7E1B" w14:paraId="2DADB060" w14:textId="77777777" w:rsidTr="0004564D">
        <w:trPr>
          <w:cantSplit/>
          <w:trHeight w:val="317"/>
        </w:trPr>
        <w:tc>
          <w:tcPr>
            <w:tcW w:w="1560" w:type="dxa"/>
            <w:tcBorders>
              <w:left w:val="single" w:sz="2" w:space="0" w:color="auto"/>
              <w:right w:val="single" w:sz="2" w:space="0" w:color="auto"/>
            </w:tcBorders>
          </w:tcPr>
          <w:p w14:paraId="646A7F5E"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64A51F46" w14:textId="7A505A43"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Variances for the Statement of Changes in Equity do not have to be disclosed because these line items are also contained in other financial statements.</w:t>
            </w:r>
          </w:p>
        </w:tc>
      </w:tr>
      <w:tr w:rsidR="00F01B8C" w:rsidRPr="00CF7E1B" w14:paraId="1B228B41" w14:textId="77777777" w:rsidTr="0004564D">
        <w:trPr>
          <w:cantSplit/>
          <w:trHeight w:val="317"/>
        </w:trPr>
        <w:tc>
          <w:tcPr>
            <w:tcW w:w="1560" w:type="dxa"/>
            <w:tcBorders>
              <w:left w:val="single" w:sz="2" w:space="0" w:color="auto"/>
              <w:right w:val="single" w:sz="2" w:space="0" w:color="auto"/>
            </w:tcBorders>
          </w:tcPr>
          <w:p w14:paraId="74568271"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35D72E93" w14:textId="38C6AEAA" w:rsidR="00F01B8C" w:rsidRPr="00FA0C47" w:rsidRDefault="00F01B8C" w:rsidP="006D6920">
            <w:pPr>
              <w:spacing w:after="120"/>
              <w:jc w:val="both"/>
              <w:rPr>
                <w:rFonts w:cs="Calibri"/>
                <w:color w:val="FFFFFF" w:themeColor="background1"/>
                <w:sz w:val="18"/>
                <w:szCs w:val="18"/>
              </w:rPr>
            </w:pPr>
            <w:r w:rsidRPr="00FA0C47">
              <w:rPr>
                <w:rFonts w:cs="Calibri"/>
                <w:color w:val="FFFFFF" w:themeColor="background1"/>
                <w:sz w:val="18"/>
                <w:szCs w:val="18"/>
              </w:rPr>
              <w:t>Explanations of major variances at the Output Class level are not required.</w:t>
            </w:r>
          </w:p>
        </w:tc>
      </w:tr>
      <w:tr w:rsidR="00AC3DDE" w:rsidRPr="00CF7E1B" w14:paraId="5C9A93BF" w14:textId="77777777" w:rsidTr="0004564D">
        <w:trPr>
          <w:cantSplit/>
          <w:trHeight w:val="317"/>
        </w:trPr>
        <w:tc>
          <w:tcPr>
            <w:tcW w:w="1560" w:type="dxa"/>
            <w:tcBorders>
              <w:left w:val="single" w:sz="2" w:space="0" w:color="auto"/>
              <w:right w:val="single" w:sz="2" w:space="0" w:color="auto"/>
            </w:tcBorders>
          </w:tcPr>
          <w:p w14:paraId="0893467F"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D3DE726" w14:textId="77777777" w:rsidR="00AC3DDE" w:rsidRPr="00AC3DDE" w:rsidRDefault="00AC3DDE" w:rsidP="00AC3DDE">
            <w:pPr>
              <w:spacing w:after="120"/>
              <w:jc w:val="both"/>
              <w:rPr>
                <w:rFonts w:cs="Calibri"/>
                <w:b/>
                <w:color w:val="FFFFFF" w:themeColor="background1"/>
                <w:sz w:val="18"/>
                <w:szCs w:val="18"/>
              </w:rPr>
            </w:pPr>
            <w:r w:rsidRPr="00AC3DDE">
              <w:rPr>
                <w:rFonts w:cs="Calibri"/>
                <w:b/>
                <w:color w:val="FFFFFF" w:themeColor="background1"/>
                <w:sz w:val="18"/>
                <w:szCs w:val="18"/>
              </w:rPr>
              <w:t>General Guide for Assessing Major Variances</w:t>
            </w:r>
          </w:p>
          <w:p w14:paraId="5AD97478" w14:textId="77777777" w:rsidR="00AC3DDE" w:rsidRPr="00AC3DDE" w:rsidRDefault="00AC3DDE" w:rsidP="00AC3DDE">
            <w:pPr>
              <w:spacing w:after="40"/>
              <w:jc w:val="both"/>
              <w:rPr>
                <w:color w:val="FFFFFF" w:themeColor="background1"/>
                <w:sz w:val="18"/>
                <w:szCs w:val="18"/>
              </w:rPr>
            </w:pPr>
            <w:r w:rsidRPr="00AC3DDE">
              <w:rPr>
                <w:color w:val="FFFFFF" w:themeColor="background1"/>
                <w:sz w:val="18"/>
                <w:szCs w:val="18"/>
              </w:rPr>
              <w:t xml:space="preserve">As a general guide, variances are considered to be major variances if </w:t>
            </w:r>
            <w:r w:rsidRPr="00AC3DDE">
              <w:rPr>
                <w:b/>
                <w:color w:val="FFFFFF" w:themeColor="background1"/>
                <w:sz w:val="18"/>
                <w:szCs w:val="18"/>
              </w:rPr>
              <w:t>both</w:t>
            </w:r>
            <w:r w:rsidRPr="00AC3DDE">
              <w:rPr>
                <w:color w:val="FFFFFF" w:themeColor="background1"/>
                <w:sz w:val="18"/>
                <w:szCs w:val="18"/>
              </w:rPr>
              <w:t xml:space="preserve"> of the following criteria are met:</w:t>
            </w:r>
          </w:p>
          <w:p w14:paraId="15042F63" w14:textId="08650CDE" w:rsidR="00AC3DDE" w:rsidRPr="00AC3DDE" w:rsidRDefault="00AC3DDE" w:rsidP="007122BC">
            <w:pPr>
              <w:pStyle w:val="ListParagraph"/>
              <w:numPr>
                <w:ilvl w:val="0"/>
                <w:numId w:val="76"/>
              </w:numPr>
              <w:spacing w:after="40"/>
              <w:ind w:left="452"/>
              <w:jc w:val="both"/>
              <w:rPr>
                <w:color w:val="FFFFFF" w:themeColor="background1"/>
                <w:sz w:val="18"/>
                <w:szCs w:val="18"/>
              </w:rPr>
            </w:pPr>
            <w:r w:rsidRPr="00AC3DDE">
              <w:rPr>
                <w:color w:val="FFFFFF" w:themeColor="background1"/>
                <w:sz w:val="18"/>
                <w:szCs w:val="18"/>
              </w:rPr>
              <w:t xml:space="preserve">the line item is a significant line item: where either the line item actual amount accounts for </w:t>
            </w:r>
            <w:r w:rsidRPr="00AC3DDE">
              <w:rPr>
                <w:color w:val="FFFFFF" w:themeColor="background1"/>
                <w:sz w:val="18"/>
                <w:szCs w:val="18"/>
                <w:u w:val="single"/>
              </w:rPr>
              <w:t>more than</w:t>
            </w:r>
            <w:r w:rsidRPr="00AC3DDE">
              <w:rPr>
                <w:color w:val="FFFFFF" w:themeColor="background1"/>
                <w:sz w:val="18"/>
                <w:szCs w:val="18"/>
              </w:rPr>
              <w:t xml:space="preserve"> 10% of the relevant associated actual category amount (Income, Expenses, Assets, liabilities and Equity totals) or </w:t>
            </w:r>
            <w:r w:rsidRPr="00AC3DDE">
              <w:rPr>
                <w:color w:val="FFFFFF" w:themeColor="background1"/>
                <w:sz w:val="18"/>
                <w:szCs w:val="18"/>
                <w:u w:val="single"/>
              </w:rPr>
              <w:t>more than</w:t>
            </w:r>
            <w:r w:rsidRPr="00AC3DDE">
              <w:rPr>
                <w:color w:val="FFFFFF" w:themeColor="background1"/>
                <w:sz w:val="18"/>
                <w:szCs w:val="18"/>
              </w:rPr>
              <w:t xml:space="preserve"> 10% of the sub-element (e.g. Current Liabilities and Receipts from Operating Activities totals) of the financial statements; and</w:t>
            </w:r>
          </w:p>
        </w:tc>
      </w:tr>
      <w:tr w:rsidR="00AC3DDE" w:rsidRPr="00CF7E1B" w14:paraId="2AF23DF3" w14:textId="77777777" w:rsidTr="0004564D">
        <w:trPr>
          <w:cantSplit/>
          <w:trHeight w:val="317"/>
        </w:trPr>
        <w:tc>
          <w:tcPr>
            <w:tcW w:w="1560" w:type="dxa"/>
            <w:tcBorders>
              <w:left w:val="single" w:sz="2" w:space="0" w:color="auto"/>
              <w:right w:val="single" w:sz="2" w:space="0" w:color="auto"/>
            </w:tcBorders>
          </w:tcPr>
          <w:p w14:paraId="7C522BF3"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6AAE806B" w14:textId="77777777" w:rsidR="00AC3DDE" w:rsidRDefault="00AC3DDE" w:rsidP="007122BC">
            <w:pPr>
              <w:pStyle w:val="ListParagraph"/>
              <w:numPr>
                <w:ilvl w:val="0"/>
                <w:numId w:val="76"/>
              </w:numPr>
              <w:spacing w:after="40"/>
              <w:ind w:left="452"/>
              <w:jc w:val="both"/>
              <w:rPr>
                <w:color w:val="FFFFFF" w:themeColor="background1"/>
                <w:sz w:val="18"/>
                <w:szCs w:val="18"/>
              </w:rPr>
            </w:pPr>
            <w:r w:rsidRPr="00AC3DDE">
              <w:rPr>
                <w:color w:val="FFFFFF" w:themeColor="background1"/>
                <w:sz w:val="18"/>
                <w:szCs w:val="18"/>
              </w:rPr>
              <w:t xml:space="preserve">the variances (original budget to actual) are </w:t>
            </w:r>
            <w:r w:rsidRPr="00703D62">
              <w:rPr>
                <w:color w:val="FFFFFF" w:themeColor="background1"/>
                <w:sz w:val="18"/>
                <w:szCs w:val="18"/>
              </w:rPr>
              <w:t>greater than</w:t>
            </w:r>
            <w:r w:rsidRPr="00AC3DDE">
              <w:rPr>
                <w:color w:val="FFFFFF" w:themeColor="background1"/>
                <w:sz w:val="18"/>
                <w:szCs w:val="18"/>
              </w:rPr>
              <w:t xml:space="preserve"> plus (+) or minus (-) 10% </w:t>
            </w:r>
            <w:r w:rsidRPr="00703D62">
              <w:rPr>
                <w:color w:val="FFFFFF" w:themeColor="background1"/>
                <w:sz w:val="18"/>
                <w:szCs w:val="18"/>
              </w:rPr>
              <w:t>and</w:t>
            </w:r>
            <w:r w:rsidRPr="00AC3DDE">
              <w:rPr>
                <w:color w:val="FFFFFF" w:themeColor="background1"/>
                <w:sz w:val="18"/>
                <w:szCs w:val="18"/>
              </w:rPr>
              <w:t xml:space="preserve"> $500,000 of the budget for the financial statement line item for smaller agencies and </w:t>
            </w:r>
            <w:r w:rsidRPr="00703D62">
              <w:rPr>
                <w:color w:val="FFFFFF" w:themeColor="background1"/>
                <w:sz w:val="18"/>
                <w:szCs w:val="18"/>
              </w:rPr>
              <w:t>greater than</w:t>
            </w:r>
            <w:r w:rsidRPr="00AC3DDE">
              <w:rPr>
                <w:color w:val="FFFFFF" w:themeColor="background1"/>
                <w:sz w:val="18"/>
                <w:szCs w:val="18"/>
              </w:rPr>
              <w:t xml:space="preserve"> plus (+) or minus (-) 10% </w:t>
            </w:r>
            <w:r w:rsidRPr="00703D62">
              <w:rPr>
                <w:color w:val="FFFFFF" w:themeColor="background1"/>
                <w:sz w:val="18"/>
                <w:szCs w:val="18"/>
              </w:rPr>
              <w:t>and</w:t>
            </w:r>
            <w:r w:rsidRPr="00AC3DDE">
              <w:rPr>
                <w:color w:val="FFFFFF" w:themeColor="background1"/>
                <w:sz w:val="18"/>
                <w:szCs w:val="18"/>
              </w:rPr>
              <w:t xml:space="preserve"> $15 million for large agencies. </w:t>
            </w:r>
          </w:p>
          <w:p w14:paraId="776CFB51" w14:textId="3CD24BB0" w:rsidR="00AC3DDE" w:rsidRPr="00AC3DDE" w:rsidRDefault="00AC3DDE" w:rsidP="007122BC">
            <w:pPr>
              <w:pStyle w:val="ListParagraph"/>
              <w:numPr>
                <w:ilvl w:val="1"/>
                <w:numId w:val="76"/>
              </w:numPr>
              <w:spacing w:after="40"/>
              <w:ind w:left="877"/>
              <w:jc w:val="both"/>
              <w:rPr>
                <w:color w:val="FFFFFF" w:themeColor="background1"/>
                <w:sz w:val="18"/>
                <w:szCs w:val="18"/>
              </w:rPr>
            </w:pPr>
            <w:r w:rsidRPr="00AC3DDE">
              <w:rPr>
                <w:color w:val="FFFFFF" w:themeColor="background1"/>
                <w:sz w:val="18"/>
                <w:szCs w:val="18"/>
              </w:rPr>
              <w:t>Small agencies include Office of the Legislative Assembly, ACT Auditor-General, Legal Aid</w:t>
            </w:r>
            <w:r w:rsidRPr="00AC3DDE">
              <w:rPr>
                <w:rFonts w:asciiTheme="minorHAnsi" w:hAnsiTheme="minorHAnsi" w:cs="Calibri"/>
                <w:color w:val="FFFFFF" w:themeColor="background1"/>
                <w:sz w:val="18"/>
                <w:szCs w:val="18"/>
              </w:rPr>
              <w:t xml:space="preserve"> Commission</w:t>
            </w:r>
            <w:r w:rsidRPr="00AC3DDE">
              <w:rPr>
                <w:color w:val="FFFFFF" w:themeColor="background1"/>
                <w:sz w:val="18"/>
                <w:szCs w:val="18"/>
              </w:rPr>
              <w:t>, Public Trustee and Guardian, Cultural Facilities</w:t>
            </w:r>
            <w:r w:rsidRPr="00AC3DDE">
              <w:rPr>
                <w:rFonts w:asciiTheme="minorHAnsi" w:hAnsiTheme="minorHAnsi" w:cs="Calibri"/>
                <w:color w:val="FFFFFF" w:themeColor="background1"/>
                <w:sz w:val="18"/>
                <w:szCs w:val="18"/>
              </w:rPr>
              <w:t xml:space="preserve"> Corporation</w:t>
            </w:r>
            <w:r w:rsidRPr="00AC3DDE">
              <w:rPr>
                <w:color w:val="FFFFFF" w:themeColor="background1"/>
                <w:sz w:val="18"/>
                <w:szCs w:val="18"/>
              </w:rPr>
              <w:t>, ACT Gambling and Racing Commission, Independent Competition and Regulatory Commission, Motor Accident Injuries</w:t>
            </w:r>
            <w:r w:rsidRPr="00AC3DDE">
              <w:rPr>
                <w:color w:val="FFFFFF" w:themeColor="background1"/>
              </w:rPr>
              <w:t xml:space="preserve"> </w:t>
            </w:r>
            <w:r w:rsidRPr="00AC3DDE">
              <w:rPr>
                <w:color w:val="FFFFFF" w:themeColor="background1"/>
                <w:sz w:val="18"/>
                <w:szCs w:val="18"/>
              </w:rPr>
              <w:t xml:space="preserve">Commission, ACT Electoral Commissioner ACT Integrity Commission, ACT Executive, </w:t>
            </w:r>
            <w:r w:rsidRPr="00AC3DDE">
              <w:rPr>
                <w:rFonts w:asciiTheme="minorHAnsi" w:hAnsiTheme="minorHAnsi" w:cs="Calibri"/>
                <w:color w:val="FFFFFF" w:themeColor="background1"/>
                <w:sz w:val="18"/>
                <w:szCs w:val="18"/>
              </w:rPr>
              <w:t>ACT Local Hospital Network, ACT Long Service Leave Authority, Building and Construction Industry Training Fund Authority, CIT Solutions Pty Ltd, Lifetime Care and Support Fund, and Office of the Work Health and Safety Commissioner</w:t>
            </w:r>
            <w:r w:rsidRPr="00AC3DDE">
              <w:rPr>
                <w:color w:val="FFFFFF" w:themeColor="background1"/>
                <w:sz w:val="18"/>
                <w:szCs w:val="18"/>
              </w:rPr>
              <w:t>.</w:t>
            </w:r>
          </w:p>
        </w:tc>
      </w:tr>
      <w:tr w:rsidR="00AC3DDE" w:rsidRPr="00CF7E1B" w14:paraId="55864FB4" w14:textId="77777777" w:rsidTr="0004564D">
        <w:trPr>
          <w:cantSplit/>
          <w:trHeight w:val="317"/>
        </w:trPr>
        <w:tc>
          <w:tcPr>
            <w:tcW w:w="1560" w:type="dxa"/>
            <w:tcBorders>
              <w:left w:val="single" w:sz="2" w:space="0" w:color="auto"/>
              <w:right w:val="single" w:sz="2" w:space="0" w:color="auto"/>
            </w:tcBorders>
          </w:tcPr>
          <w:p w14:paraId="0518BC9B"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21084686" w14:textId="2BC4E14E" w:rsidR="00AC3DDE" w:rsidRPr="00AC3DDE" w:rsidRDefault="00AC3DDE" w:rsidP="007122BC">
            <w:pPr>
              <w:pStyle w:val="ListParagraph"/>
              <w:numPr>
                <w:ilvl w:val="1"/>
                <w:numId w:val="76"/>
              </w:numPr>
              <w:spacing w:after="40"/>
              <w:ind w:left="877"/>
              <w:jc w:val="both"/>
              <w:rPr>
                <w:color w:val="FFFFFF" w:themeColor="background1"/>
                <w:sz w:val="18"/>
                <w:szCs w:val="18"/>
              </w:rPr>
            </w:pPr>
            <w:r w:rsidRPr="00AC3DDE">
              <w:rPr>
                <w:color w:val="FFFFFF" w:themeColor="background1"/>
                <w:sz w:val="18"/>
                <w:szCs w:val="18"/>
              </w:rPr>
              <w:t xml:space="preserve">Large agencies include Chief Minister, Treasury and Economic Development Directorate, Canberra Health Services, Transport Canberra and City Services Directorate, Housing ACT, Justice and Community Safety Directorate, Education Directorate, Community Services Directorate, Transport Canberra Operations, Environment, Planning and Sustainable Development Directorate, City Renewal Authority, Suburban Land Agency, Health Directorate, Public Sector Workers Compensation Fund Major Projects Canberra, </w:t>
            </w:r>
            <w:r w:rsidRPr="00AC3DDE">
              <w:rPr>
                <w:rFonts w:asciiTheme="minorHAnsi" w:hAnsiTheme="minorHAnsi" w:cs="Calibri"/>
                <w:color w:val="FFFFFF" w:themeColor="background1"/>
                <w:sz w:val="18"/>
                <w:szCs w:val="18"/>
              </w:rPr>
              <w:t>ACT Insurance Authority, Canberra Institute of Technology, and Superannuation Provision Account</w:t>
            </w:r>
            <w:r w:rsidRPr="00AC3DDE">
              <w:rPr>
                <w:color w:val="FFFFFF" w:themeColor="background1"/>
                <w:sz w:val="18"/>
                <w:szCs w:val="18"/>
              </w:rPr>
              <w:t>.</w:t>
            </w:r>
          </w:p>
        </w:tc>
      </w:tr>
      <w:tr w:rsidR="00AC3DDE" w:rsidRPr="00CF7E1B" w14:paraId="1DECE8B3" w14:textId="77777777" w:rsidTr="0004564D">
        <w:trPr>
          <w:cantSplit/>
          <w:trHeight w:val="317"/>
        </w:trPr>
        <w:tc>
          <w:tcPr>
            <w:tcW w:w="1560" w:type="dxa"/>
            <w:tcBorders>
              <w:left w:val="single" w:sz="2" w:space="0" w:color="auto"/>
              <w:right w:val="single" w:sz="2" w:space="0" w:color="auto"/>
            </w:tcBorders>
          </w:tcPr>
          <w:p w14:paraId="64FC1C6D" w14:textId="77777777" w:rsidR="00AC3DDE" w:rsidRPr="00AC3DDE" w:rsidRDefault="00AC3DDE"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36DB80E7" w14:textId="77777777" w:rsidR="00AC3DDE" w:rsidRPr="00AC3DDE" w:rsidRDefault="00AC3DDE" w:rsidP="00AC3DDE">
            <w:pPr>
              <w:spacing w:after="40"/>
              <w:jc w:val="both"/>
              <w:rPr>
                <w:sz w:val="18"/>
                <w:szCs w:val="18"/>
              </w:rPr>
            </w:pPr>
          </w:p>
        </w:tc>
      </w:tr>
    </w:tbl>
    <w:p w14:paraId="02B84FE7" w14:textId="77777777" w:rsidR="00703D62" w:rsidRDefault="00703D62">
      <w:r>
        <w:br w:type="page"/>
      </w:r>
    </w:p>
    <w:tbl>
      <w:tblPr>
        <w:tblW w:w="10490" w:type="dxa"/>
        <w:tblInd w:w="-3" w:type="dxa"/>
        <w:shd w:val="clear" w:color="auto" w:fill="CCFFCC"/>
        <w:tblLayout w:type="fixed"/>
        <w:tblLook w:val="00A0" w:firstRow="1" w:lastRow="0" w:firstColumn="1" w:lastColumn="0" w:noHBand="0" w:noVBand="0"/>
      </w:tblPr>
      <w:tblGrid>
        <w:gridCol w:w="1560"/>
        <w:gridCol w:w="8930"/>
      </w:tblGrid>
      <w:tr w:rsidR="00105BC0" w:rsidRPr="00CF7E1B" w14:paraId="451C2659" w14:textId="77777777" w:rsidTr="0004564D">
        <w:trPr>
          <w:cantSplit/>
          <w:trHeight w:val="317"/>
        </w:trPr>
        <w:tc>
          <w:tcPr>
            <w:tcW w:w="1560" w:type="dxa"/>
            <w:tcBorders>
              <w:left w:val="single" w:sz="2" w:space="0" w:color="auto"/>
              <w:right w:val="single" w:sz="2" w:space="0" w:color="auto"/>
            </w:tcBorders>
          </w:tcPr>
          <w:p w14:paraId="6C11D2BC" w14:textId="21422CAB" w:rsidR="00105BC0" w:rsidRPr="00AC3DDE" w:rsidRDefault="00105BC0" w:rsidP="00703D62">
            <w:pPr>
              <w:pStyle w:val="TableReference"/>
              <w:spacing w:after="240"/>
              <w:rPr>
                <w:rFonts w:cs="Calibri"/>
                <w:color w:val="7030A0"/>
                <w:sz w:val="22"/>
                <w:szCs w:val="22"/>
              </w:rPr>
            </w:pPr>
            <w:r w:rsidRPr="00AC3DDE">
              <w:rPr>
                <w:color w:val="7030A0"/>
              </w:rPr>
              <w:br w:type="page"/>
            </w:r>
            <w:r w:rsidR="00AC3DDE" w:rsidRPr="00AC3DDE">
              <w:rPr>
                <w:rFonts w:cs="Calibri"/>
                <w:b/>
                <w:color w:val="7030A0"/>
                <w:sz w:val="22"/>
                <w:szCs w:val="22"/>
              </w:rPr>
              <w:t>R</w:t>
            </w:r>
            <w:r w:rsidRPr="00AC3DDE">
              <w:rPr>
                <w:rFonts w:cs="Calibri"/>
                <w:b/>
                <w:color w:val="7030A0"/>
                <w:sz w:val="22"/>
                <w:szCs w:val="22"/>
              </w:rPr>
              <w:t>eference</w:t>
            </w:r>
          </w:p>
        </w:tc>
        <w:tc>
          <w:tcPr>
            <w:tcW w:w="8930" w:type="dxa"/>
            <w:tcBorders>
              <w:left w:val="single" w:sz="2" w:space="0" w:color="auto"/>
            </w:tcBorders>
            <w:shd w:val="clear" w:color="auto" w:fill="7030A0"/>
          </w:tcPr>
          <w:p w14:paraId="02CE72F1" w14:textId="71FDE0AA" w:rsidR="00105BC0" w:rsidRPr="00AC3DDE" w:rsidRDefault="00105BC0" w:rsidP="00703D62">
            <w:pPr>
              <w:spacing w:after="240"/>
              <w:jc w:val="both"/>
              <w:rPr>
                <w:rFonts w:cs="Calibri"/>
                <w:b/>
                <w:color w:val="FFFFFF" w:themeColor="background1"/>
                <w:sz w:val="28"/>
                <w:szCs w:val="28"/>
              </w:rPr>
            </w:pPr>
            <w:r w:rsidRPr="00AC3DDE">
              <w:rPr>
                <w:rFonts w:asciiTheme="minorHAnsi" w:hAnsiTheme="minorHAnsi"/>
                <w:b/>
                <w:color w:val="FFFFFF" w:themeColor="background1"/>
                <w:sz w:val="28"/>
                <w:szCs w:val="28"/>
              </w:rPr>
              <w:t xml:space="preserve">Commentary – Note </w:t>
            </w:r>
            <w:r w:rsidR="00D335D5" w:rsidRPr="00AC3DDE">
              <w:rPr>
                <w:rFonts w:asciiTheme="minorHAnsi" w:hAnsiTheme="minorHAnsi"/>
                <w:b/>
                <w:color w:val="FFFFFF" w:themeColor="background1"/>
                <w:sz w:val="28"/>
                <w:szCs w:val="28"/>
              </w:rPr>
              <w:t>4</w:t>
            </w:r>
            <w:r w:rsidR="00A03437" w:rsidRPr="00AC3DDE">
              <w:rPr>
                <w:rFonts w:asciiTheme="minorHAnsi" w:hAnsiTheme="minorHAnsi"/>
                <w:b/>
                <w:color w:val="FFFFFF" w:themeColor="background1"/>
                <w:sz w:val="28"/>
                <w:szCs w:val="28"/>
              </w:rPr>
              <w:t>0</w:t>
            </w:r>
            <w:r w:rsidRPr="00AC3DDE">
              <w:rPr>
                <w:rFonts w:asciiTheme="minorHAnsi" w:hAnsiTheme="minorHAnsi"/>
                <w:b/>
                <w:color w:val="FFFFFF" w:themeColor="background1"/>
                <w:sz w:val="28"/>
                <w:szCs w:val="28"/>
              </w:rPr>
              <w:t xml:space="preserve">: Budgetary Reporting – Continued </w:t>
            </w:r>
          </w:p>
        </w:tc>
      </w:tr>
      <w:tr w:rsidR="00F01B8C" w:rsidRPr="00CF7E1B" w14:paraId="30EDC27E" w14:textId="77777777" w:rsidTr="0004564D">
        <w:trPr>
          <w:cantSplit/>
          <w:trHeight w:val="317"/>
        </w:trPr>
        <w:tc>
          <w:tcPr>
            <w:tcW w:w="1560" w:type="dxa"/>
            <w:tcBorders>
              <w:left w:val="single" w:sz="2" w:space="0" w:color="auto"/>
              <w:right w:val="single" w:sz="2" w:space="0" w:color="auto"/>
            </w:tcBorders>
          </w:tcPr>
          <w:p w14:paraId="5355D0AC"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1E334BC0" w14:textId="699366C6" w:rsidR="00F01B8C" w:rsidRPr="00AC3DDE" w:rsidRDefault="00F01B8C" w:rsidP="006B590F">
            <w:pPr>
              <w:jc w:val="both"/>
              <w:rPr>
                <w:color w:val="FFFFFF" w:themeColor="background1"/>
                <w:sz w:val="18"/>
                <w:szCs w:val="18"/>
              </w:rPr>
            </w:pPr>
            <w:r w:rsidRPr="00AC3DDE">
              <w:rPr>
                <w:color w:val="FFFFFF" w:themeColor="background1"/>
                <w:sz w:val="18"/>
                <w:szCs w:val="18"/>
              </w:rPr>
              <w:t xml:space="preserve">These thresholds are indicative only and are included to assist agencies’ in making judgement on whether a variance explanation is required. Each agency will need to consider this guidance and </w:t>
            </w:r>
            <w:r w:rsidRPr="00AC3DDE">
              <w:rPr>
                <w:color w:val="FFFFFF" w:themeColor="background1"/>
                <w:sz w:val="18"/>
                <w:szCs w:val="18"/>
                <w:lang w:val="en-US" w:eastAsia="en-AU"/>
              </w:rPr>
              <w:t xml:space="preserve">Section 1.2 Materiality Guidance when determining </w:t>
            </w:r>
            <w:r w:rsidRPr="00AC3DDE">
              <w:rPr>
                <w:color w:val="FFFFFF" w:themeColor="background1"/>
                <w:sz w:val="18"/>
                <w:szCs w:val="18"/>
              </w:rPr>
              <w:t>appropriate thresholds for explanations of major variances to be disclosed in their financial statements.</w:t>
            </w:r>
          </w:p>
        </w:tc>
      </w:tr>
      <w:tr w:rsidR="00F01B8C" w:rsidRPr="00CF7E1B" w14:paraId="2286515C" w14:textId="77777777" w:rsidTr="0004564D">
        <w:trPr>
          <w:cantSplit/>
          <w:trHeight w:val="317"/>
        </w:trPr>
        <w:tc>
          <w:tcPr>
            <w:tcW w:w="1560" w:type="dxa"/>
            <w:tcBorders>
              <w:left w:val="single" w:sz="2" w:space="0" w:color="auto"/>
              <w:right w:val="single" w:sz="2" w:space="0" w:color="auto"/>
            </w:tcBorders>
          </w:tcPr>
          <w:p w14:paraId="6715A870"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44EBBB89" w14:textId="2EBA59E1" w:rsidR="00F01B8C" w:rsidRPr="00703D62" w:rsidRDefault="00F01B8C" w:rsidP="00F01B8C">
            <w:pPr>
              <w:spacing w:before="120"/>
              <w:jc w:val="both"/>
              <w:rPr>
                <w:rFonts w:cs="Calibri"/>
                <w:b/>
                <w:color w:val="FFFFFF" w:themeColor="background1"/>
                <w:sz w:val="20"/>
                <w:szCs w:val="20"/>
              </w:rPr>
            </w:pPr>
            <w:bookmarkStart w:id="794" w:name="_Toc43883651"/>
            <w:bookmarkStart w:id="795" w:name="_Toc43899018"/>
            <w:r w:rsidRPr="00703D62">
              <w:rPr>
                <w:rFonts w:cs="Calibri"/>
                <w:b/>
                <w:color w:val="FFFFFF" w:themeColor="background1"/>
                <w:sz w:val="20"/>
                <w:szCs w:val="20"/>
              </w:rPr>
              <w:t>Consultation with Audit Committee and the Audit Office</w:t>
            </w:r>
            <w:bookmarkEnd w:id="794"/>
            <w:bookmarkEnd w:id="795"/>
          </w:p>
        </w:tc>
      </w:tr>
      <w:tr w:rsidR="00F01B8C" w:rsidRPr="00CF7E1B" w14:paraId="2CD04E62" w14:textId="77777777" w:rsidTr="0004564D">
        <w:trPr>
          <w:cantSplit/>
          <w:trHeight w:val="317"/>
        </w:trPr>
        <w:tc>
          <w:tcPr>
            <w:tcW w:w="1560" w:type="dxa"/>
            <w:tcBorders>
              <w:left w:val="single" w:sz="2" w:space="0" w:color="auto"/>
              <w:right w:val="single" w:sz="2" w:space="0" w:color="auto"/>
            </w:tcBorders>
          </w:tcPr>
          <w:p w14:paraId="32C09707" w14:textId="77777777" w:rsidR="00F01B8C" w:rsidRPr="00AC3DDE" w:rsidRDefault="00F01B8C" w:rsidP="00063FFB">
            <w:pPr>
              <w:pStyle w:val="TableReference"/>
              <w:rPr>
                <w:rFonts w:cs="Calibri"/>
                <w:color w:val="7030A0"/>
                <w:sz w:val="16"/>
                <w:szCs w:val="16"/>
              </w:rPr>
            </w:pPr>
          </w:p>
        </w:tc>
        <w:tc>
          <w:tcPr>
            <w:tcW w:w="8930" w:type="dxa"/>
            <w:tcBorders>
              <w:left w:val="single" w:sz="2" w:space="0" w:color="auto"/>
            </w:tcBorders>
            <w:shd w:val="clear" w:color="auto" w:fill="7030A0"/>
          </w:tcPr>
          <w:p w14:paraId="216EA583" w14:textId="2D5BCDDA" w:rsidR="00F01B8C" w:rsidRPr="00AC3DDE" w:rsidRDefault="00F01B8C" w:rsidP="00F01B8C">
            <w:pPr>
              <w:jc w:val="both"/>
              <w:rPr>
                <w:rFonts w:cs="Calibri"/>
                <w:b/>
                <w:color w:val="FFFFFF" w:themeColor="background1"/>
                <w:sz w:val="18"/>
                <w:szCs w:val="18"/>
              </w:rPr>
            </w:pPr>
            <w:r w:rsidRPr="00AC3DDE">
              <w:rPr>
                <w:color w:val="FFFFFF" w:themeColor="background1"/>
                <w:sz w:val="18"/>
                <w:szCs w:val="18"/>
              </w:rPr>
              <w:t>Agencies are encouraged to agree on their specific thresholds for disclosures with their Audit Committee and consult with the Audit Office in the process of preparing their financial statements.</w:t>
            </w:r>
            <w:r w:rsidR="00FA7C77">
              <w:rPr>
                <w:color w:val="FFFFFF" w:themeColor="background1"/>
                <w:sz w:val="18"/>
                <w:szCs w:val="18"/>
              </w:rPr>
              <w:t xml:space="preserve"> </w:t>
            </w:r>
          </w:p>
        </w:tc>
      </w:tr>
      <w:tr w:rsidR="000D5BC9" w:rsidRPr="00CF7E1B" w14:paraId="7608B546" w14:textId="77777777" w:rsidTr="0004564D">
        <w:trPr>
          <w:cantSplit/>
          <w:trHeight w:val="300"/>
        </w:trPr>
        <w:tc>
          <w:tcPr>
            <w:tcW w:w="1560" w:type="dxa"/>
            <w:tcBorders>
              <w:left w:val="single" w:sz="2" w:space="0" w:color="auto"/>
              <w:right w:val="single" w:sz="2" w:space="0" w:color="auto"/>
            </w:tcBorders>
          </w:tcPr>
          <w:p w14:paraId="6DCDD12B"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44C5DEFF" w14:textId="35870B9A" w:rsidR="000D5BC9" w:rsidRPr="00AC3DDE" w:rsidRDefault="00723365" w:rsidP="006B590F">
            <w:pPr>
              <w:spacing w:before="120" w:after="120"/>
              <w:jc w:val="both"/>
              <w:rPr>
                <w:color w:val="FFFFFF" w:themeColor="background1"/>
                <w:sz w:val="18"/>
                <w:szCs w:val="18"/>
              </w:rPr>
            </w:pPr>
            <w:r w:rsidRPr="00AC3DDE">
              <w:rPr>
                <w:color w:val="FFFFFF" w:themeColor="background1"/>
                <w:sz w:val="18"/>
                <w:szCs w:val="18"/>
              </w:rPr>
              <w:t>Explanations are required for line items only.</w:t>
            </w:r>
            <w:r w:rsidR="00FA7C77">
              <w:rPr>
                <w:color w:val="FFFFFF" w:themeColor="background1"/>
                <w:sz w:val="18"/>
                <w:szCs w:val="18"/>
              </w:rPr>
              <w:t xml:space="preserve"> </w:t>
            </w:r>
            <w:r w:rsidRPr="00AC3DDE">
              <w:rPr>
                <w:color w:val="FFFFFF" w:themeColor="background1"/>
                <w:sz w:val="18"/>
                <w:szCs w:val="18"/>
              </w:rPr>
              <w:t>Explanations are not required for totals.</w:t>
            </w:r>
            <w:r w:rsidR="00FA7C77">
              <w:rPr>
                <w:color w:val="FFFFFF" w:themeColor="background1"/>
                <w:sz w:val="18"/>
                <w:szCs w:val="18"/>
              </w:rPr>
              <w:t xml:space="preserve"> </w:t>
            </w:r>
            <w:r w:rsidRPr="00AC3DDE">
              <w:rPr>
                <w:color w:val="FFFFFF" w:themeColor="background1"/>
                <w:sz w:val="18"/>
                <w:szCs w:val="18"/>
              </w:rPr>
              <w:t xml:space="preserve">If a line item is a category in its own right (e.g. only one line item in the category) then criteria (a) is not applicable and an explanation is required if criteria (b) is met. </w:t>
            </w:r>
            <w:r w:rsidRPr="00AC3DDE">
              <w:rPr>
                <w:rFonts w:cs="Calibri"/>
                <w:color w:val="FFFFFF" w:themeColor="background1"/>
                <w:sz w:val="18"/>
                <w:szCs w:val="18"/>
              </w:rPr>
              <w:t>Examples of where a line item is a category in its own right are “</w:t>
            </w:r>
            <w:r w:rsidRPr="00AC3DDE">
              <w:rPr>
                <w:color w:val="FFFFFF" w:themeColor="background1"/>
                <w:sz w:val="18"/>
                <w:szCs w:val="18"/>
              </w:rPr>
              <w:t>Share of Operating Profit from Joint Venture” and “Cash and Cash Equivalents at the Beginning of the Reporting Period</w:t>
            </w:r>
            <w:r w:rsidR="00722BF2">
              <w:rPr>
                <w:color w:val="FFFFFF" w:themeColor="background1"/>
                <w:sz w:val="18"/>
                <w:szCs w:val="18"/>
              </w:rPr>
              <w:t>”</w:t>
            </w:r>
            <w:r w:rsidRPr="00AC3DDE">
              <w:rPr>
                <w:color w:val="FFFFFF" w:themeColor="background1"/>
                <w:sz w:val="18"/>
                <w:szCs w:val="18"/>
              </w:rPr>
              <w:t>.</w:t>
            </w:r>
          </w:p>
        </w:tc>
      </w:tr>
      <w:tr w:rsidR="006B590F" w:rsidRPr="00CF7E1B" w14:paraId="53B74F64" w14:textId="77777777" w:rsidTr="0004564D">
        <w:trPr>
          <w:cantSplit/>
          <w:trHeight w:val="300"/>
        </w:trPr>
        <w:tc>
          <w:tcPr>
            <w:tcW w:w="1560" w:type="dxa"/>
            <w:tcBorders>
              <w:left w:val="single" w:sz="2" w:space="0" w:color="auto"/>
              <w:right w:val="single" w:sz="2" w:space="0" w:color="auto"/>
            </w:tcBorders>
          </w:tcPr>
          <w:p w14:paraId="177464B4"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6748176B" w14:textId="3A70197F" w:rsidR="006B590F" w:rsidRPr="00AC3DDE" w:rsidRDefault="006B590F" w:rsidP="006B590F">
            <w:pPr>
              <w:spacing w:after="120"/>
              <w:jc w:val="both"/>
              <w:rPr>
                <w:color w:val="FFFFFF" w:themeColor="background1"/>
                <w:sz w:val="18"/>
                <w:szCs w:val="18"/>
              </w:rPr>
            </w:pPr>
            <w:r w:rsidRPr="00AC3DDE">
              <w:rPr>
                <w:color w:val="FFFFFF" w:themeColor="background1"/>
                <w:sz w:val="18"/>
                <w:szCs w:val="18"/>
              </w:rPr>
              <w:t>The associated category for the line item is the grouping in the financial statements where the line item appears.</w:t>
            </w:r>
            <w:r w:rsidR="00FA7C77">
              <w:rPr>
                <w:color w:val="FFFFFF" w:themeColor="background1"/>
                <w:sz w:val="18"/>
                <w:szCs w:val="18"/>
              </w:rPr>
              <w:t xml:space="preserve"> </w:t>
            </w:r>
            <w:r w:rsidRPr="00AC3DDE">
              <w:rPr>
                <w:color w:val="FFFFFF" w:themeColor="background1"/>
                <w:sz w:val="18"/>
                <w:szCs w:val="18"/>
              </w:rPr>
              <w:t xml:space="preserve">A grouping will usually start with a </w:t>
            </w:r>
            <w:r w:rsidRPr="00AC3DDE">
              <w:rPr>
                <w:b/>
                <w:color w:val="FFFFFF" w:themeColor="background1"/>
                <w:sz w:val="18"/>
                <w:szCs w:val="18"/>
              </w:rPr>
              <w:t>bolded</w:t>
            </w:r>
            <w:r w:rsidRPr="00AC3DDE">
              <w:rPr>
                <w:color w:val="FFFFFF" w:themeColor="background1"/>
                <w:sz w:val="18"/>
                <w:szCs w:val="18"/>
              </w:rPr>
              <w:t xml:space="preserve"> heading and end with a </w:t>
            </w:r>
            <w:r w:rsidRPr="00AC3DDE">
              <w:rPr>
                <w:b/>
                <w:color w:val="FFFFFF" w:themeColor="background1"/>
                <w:sz w:val="18"/>
                <w:szCs w:val="18"/>
              </w:rPr>
              <w:t>bolded</w:t>
            </w:r>
            <w:r w:rsidRPr="00AC3DDE">
              <w:rPr>
                <w:color w:val="FFFFFF" w:themeColor="background1"/>
                <w:sz w:val="18"/>
                <w:szCs w:val="18"/>
              </w:rPr>
              <w:t xml:space="preserve"> total.</w:t>
            </w:r>
          </w:p>
        </w:tc>
      </w:tr>
      <w:tr w:rsidR="000D5BC9" w:rsidRPr="00CF7E1B" w14:paraId="6D9BBC2D" w14:textId="77777777" w:rsidTr="0004564D">
        <w:trPr>
          <w:cantSplit/>
          <w:trHeight w:val="300"/>
        </w:trPr>
        <w:tc>
          <w:tcPr>
            <w:tcW w:w="1560" w:type="dxa"/>
            <w:tcBorders>
              <w:left w:val="single" w:sz="2" w:space="0" w:color="auto"/>
              <w:right w:val="single" w:sz="2" w:space="0" w:color="auto"/>
            </w:tcBorders>
          </w:tcPr>
          <w:p w14:paraId="471F3A10"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5DD867D6" w14:textId="7603CE9C" w:rsidR="00887060" w:rsidRPr="00887060" w:rsidRDefault="00887060" w:rsidP="00994FF0">
            <w:pPr>
              <w:spacing w:after="40"/>
              <w:ind w:firstLine="11"/>
              <w:jc w:val="both"/>
              <w:rPr>
                <w:bCs/>
                <w:iCs/>
                <w:color w:val="FFFFFF" w:themeColor="background1"/>
                <w:sz w:val="18"/>
                <w:szCs w:val="18"/>
              </w:rPr>
            </w:pPr>
            <w:r w:rsidRPr="00887060">
              <w:rPr>
                <w:bCs/>
                <w:iCs/>
                <w:color w:val="FFFFFF" w:themeColor="background1"/>
                <w:sz w:val="18"/>
                <w:szCs w:val="18"/>
              </w:rPr>
              <w:t>The relevant bolded titles for these criteria are:</w:t>
            </w:r>
          </w:p>
          <w:p w14:paraId="5DAAA50C" w14:textId="7E3F4F76" w:rsidR="006B590F" w:rsidRPr="00703D62" w:rsidRDefault="006B590F" w:rsidP="00994FF0">
            <w:pPr>
              <w:spacing w:after="40"/>
              <w:ind w:firstLine="11"/>
              <w:jc w:val="both"/>
              <w:rPr>
                <w:b/>
                <w:i/>
                <w:color w:val="FFFFFF" w:themeColor="background1"/>
                <w:sz w:val="20"/>
                <w:szCs w:val="20"/>
              </w:rPr>
            </w:pPr>
            <w:r w:rsidRPr="00703D62">
              <w:rPr>
                <w:b/>
                <w:i/>
                <w:color w:val="FFFFFF" w:themeColor="background1"/>
                <w:sz w:val="20"/>
                <w:szCs w:val="20"/>
              </w:rPr>
              <w:t>Operating Statement</w:t>
            </w:r>
          </w:p>
          <w:p w14:paraId="768AAB20" w14:textId="77777777" w:rsidR="006B590F" w:rsidRPr="00AC3DDE" w:rsidRDefault="006B590F" w:rsidP="007122BC">
            <w:pPr>
              <w:numPr>
                <w:ilvl w:val="0"/>
                <w:numId w:val="34"/>
              </w:numPr>
              <w:spacing w:after="40"/>
              <w:ind w:left="596" w:hanging="283"/>
              <w:jc w:val="both"/>
              <w:rPr>
                <w:rFonts w:cs="Calibri"/>
                <w:color w:val="FFFFFF" w:themeColor="background1"/>
                <w:sz w:val="18"/>
                <w:szCs w:val="18"/>
              </w:rPr>
            </w:pPr>
            <w:r w:rsidRPr="00AC3DDE">
              <w:rPr>
                <w:color w:val="FFFFFF" w:themeColor="background1"/>
                <w:sz w:val="18"/>
                <w:szCs w:val="18"/>
              </w:rPr>
              <w:t>Income</w:t>
            </w:r>
          </w:p>
          <w:p w14:paraId="40D3EECC" w14:textId="7AD2C82C" w:rsidR="006B590F" w:rsidRPr="00AC3DDE" w:rsidRDefault="006B590F" w:rsidP="007122BC">
            <w:pPr>
              <w:numPr>
                <w:ilvl w:val="0"/>
                <w:numId w:val="34"/>
              </w:numPr>
              <w:spacing w:after="40"/>
              <w:ind w:left="596" w:hanging="283"/>
              <w:jc w:val="both"/>
              <w:rPr>
                <w:rFonts w:cs="Calibri"/>
                <w:color w:val="FFFFFF" w:themeColor="background1"/>
                <w:sz w:val="18"/>
                <w:szCs w:val="18"/>
              </w:rPr>
            </w:pPr>
            <w:r w:rsidRPr="00AC3DDE">
              <w:rPr>
                <w:color w:val="FFFFFF" w:themeColor="background1"/>
                <w:sz w:val="18"/>
                <w:szCs w:val="18"/>
              </w:rPr>
              <w:t>Expenses</w:t>
            </w:r>
          </w:p>
          <w:p w14:paraId="5CB6D87B" w14:textId="1D7CF1D6" w:rsidR="000D5BC9" w:rsidRPr="00AC3DDE" w:rsidRDefault="006B590F" w:rsidP="007122BC">
            <w:pPr>
              <w:numPr>
                <w:ilvl w:val="0"/>
                <w:numId w:val="34"/>
              </w:numPr>
              <w:ind w:left="596" w:hanging="283"/>
              <w:jc w:val="both"/>
              <w:rPr>
                <w:rFonts w:cs="Calibri"/>
                <w:color w:val="FFFFFF" w:themeColor="background1"/>
                <w:sz w:val="18"/>
                <w:szCs w:val="18"/>
              </w:rPr>
            </w:pPr>
            <w:r w:rsidRPr="00AC3DDE">
              <w:rPr>
                <w:color w:val="FFFFFF" w:themeColor="background1"/>
                <w:sz w:val="18"/>
                <w:szCs w:val="18"/>
              </w:rPr>
              <w:t>Other Comprehensive Income</w:t>
            </w:r>
          </w:p>
        </w:tc>
      </w:tr>
      <w:tr w:rsidR="006B590F" w:rsidRPr="00CF7E1B" w14:paraId="00AD50A5" w14:textId="77777777" w:rsidTr="0004564D">
        <w:trPr>
          <w:cantSplit/>
          <w:trHeight w:val="300"/>
        </w:trPr>
        <w:tc>
          <w:tcPr>
            <w:tcW w:w="1560" w:type="dxa"/>
            <w:tcBorders>
              <w:left w:val="single" w:sz="2" w:space="0" w:color="auto"/>
              <w:right w:val="single" w:sz="2" w:space="0" w:color="auto"/>
            </w:tcBorders>
          </w:tcPr>
          <w:p w14:paraId="7DE48B96"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1D101B91" w14:textId="77777777" w:rsidR="006B590F" w:rsidRPr="00703D62" w:rsidRDefault="006B590F" w:rsidP="00C94E50">
            <w:pPr>
              <w:spacing w:before="120" w:after="40"/>
              <w:ind w:firstLine="11"/>
              <w:jc w:val="both"/>
              <w:rPr>
                <w:b/>
                <w:i/>
                <w:color w:val="FFFFFF" w:themeColor="background1"/>
                <w:sz w:val="20"/>
                <w:szCs w:val="20"/>
              </w:rPr>
            </w:pPr>
            <w:r w:rsidRPr="00703D62">
              <w:rPr>
                <w:b/>
                <w:i/>
                <w:color w:val="FFFFFF" w:themeColor="background1"/>
                <w:sz w:val="20"/>
                <w:szCs w:val="20"/>
              </w:rPr>
              <w:t>Balance Sheet</w:t>
            </w:r>
          </w:p>
          <w:p w14:paraId="0DFE57FB" w14:textId="77777777" w:rsidR="006B590F" w:rsidRPr="00AC3DDE" w:rsidRDefault="006B590F" w:rsidP="007122BC">
            <w:pPr>
              <w:numPr>
                <w:ilvl w:val="0"/>
                <w:numId w:val="35"/>
              </w:numPr>
              <w:spacing w:after="40"/>
              <w:ind w:left="596" w:hanging="283"/>
              <w:jc w:val="both"/>
              <w:rPr>
                <w:color w:val="FFFFFF" w:themeColor="background1"/>
                <w:sz w:val="18"/>
                <w:szCs w:val="18"/>
              </w:rPr>
            </w:pPr>
            <w:r w:rsidRPr="00AC3DDE">
              <w:rPr>
                <w:color w:val="FFFFFF" w:themeColor="background1"/>
                <w:sz w:val="18"/>
                <w:szCs w:val="18"/>
              </w:rPr>
              <w:t>Current Assets</w:t>
            </w:r>
          </w:p>
          <w:p w14:paraId="7181E48A" w14:textId="77777777" w:rsidR="006B590F" w:rsidRPr="00AC3DDE" w:rsidRDefault="006B590F" w:rsidP="007122BC">
            <w:pPr>
              <w:numPr>
                <w:ilvl w:val="0"/>
                <w:numId w:val="35"/>
              </w:numPr>
              <w:spacing w:after="40"/>
              <w:ind w:left="596" w:hanging="283"/>
              <w:jc w:val="both"/>
              <w:rPr>
                <w:color w:val="FFFFFF" w:themeColor="background1"/>
                <w:sz w:val="18"/>
                <w:szCs w:val="18"/>
              </w:rPr>
            </w:pPr>
            <w:r w:rsidRPr="00AC3DDE">
              <w:rPr>
                <w:color w:val="FFFFFF" w:themeColor="background1"/>
                <w:sz w:val="18"/>
                <w:szCs w:val="18"/>
              </w:rPr>
              <w:t>Non-Current Assets</w:t>
            </w:r>
          </w:p>
          <w:p w14:paraId="1F29705B" w14:textId="77777777" w:rsidR="006B590F" w:rsidRPr="00AC3DDE" w:rsidRDefault="006B590F" w:rsidP="007122BC">
            <w:pPr>
              <w:numPr>
                <w:ilvl w:val="0"/>
                <w:numId w:val="35"/>
              </w:numPr>
              <w:spacing w:after="40"/>
              <w:ind w:left="596" w:hanging="283"/>
              <w:jc w:val="both"/>
              <w:rPr>
                <w:color w:val="FFFFFF" w:themeColor="background1"/>
                <w:sz w:val="18"/>
                <w:szCs w:val="18"/>
              </w:rPr>
            </w:pPr>
            <w:r w:rsidRPr="00AC3DDE">
              <w:rPr>
                <w:color w:val="FFFFFF" w:themeColor="background1"/>
                <w:sz w:val="18"/>
                <w:szCs w:val="18"/>
              </w:rPr>
              <w:t>Current Liabilities</w:t>
            </w:r>
          </w:p>
          <w:p w14:paraId="13C80E08" w14:textId="45150893" w:rsidR="006B590F" w:rsidRPr="00AC3DDE" w:rsidRDefault="006B590F" w:rsidP="007122BC">
            <w:pPr>
              <w:numPr>
                <w:ilvl w:val="0"/>
                <w:numId w:val="35"/>
              </w:numPr>
              <w:spacing w:after="40"/>
              <w:ind w:left="596" w:hanging="283"/>
              <w:jc w:val="both"/>
              <w:rPr>
                <w:color w:val="FFFFFF" w:themeColor="background1"/>
                <w:sz w:val="18"/>
                <w:szCs w:val="18"/>
              </w:rPr>
            </w:pPr>
            <w:r w:rsidRPr="00AC3DDE">
              <w:rPr>
                <w:color w:val="FFFFFF" w:themeColor="background1"/>
                <w:sz w:val="18"/>
                <w:szCs w:val="18"/>
              </w:rPr>
              <w:t>Non-Current Liabilities</w:t>
            </w:r>
          </w:p>
          <w:p w14:paraId="43CBE8C3" w14:textId="1B7B8E7C" w:rsidR="006B590F" w:rsidRPr="00AC3DDE" w:rsidRDefault="006B590F" w:rsidP="007122BC">
            <w:pPr>
              <w:numPr>
                <w:ilvl w:val="0"/>
                <w:numId w:val="35"/>
              </w:numPr>
              <w:ind w:left="596" w:hanging="283"/>
              <w:jc w:val="both"/>
              <w:rPr>
                <w:color w:val="FFFFFF" w:themeColor="background1"/>
                <w:sz w:val="18"/>
                <w:szCs w:val="18"/>
              </w:rPr>
            </w:pPr>
            <w:r w:rsidRPr="00AC3DDE">
              <w:rPr>
                <w:color w:val="FFFFFF" w:themeColor="background1"/>
                <w:sz w:val="18"/>
                <w:szCs w:val="18"/>
              </w:rPr>
              <w:t>Equity</w:t>
            </w:r>
          </w:p>
        </w:tc>
      </w:tr>
      <w:tr w:rsidR="006B590F" w:rsidRPr="00CF7E1B" w14:paraId="30ECDFFE" w14:textId="77777777" w:rsidTr="0004564D">
        <w:trPr>
          <w:cantSplit/>
          <w:trHeight w:val="300"/>
        </w:trPr>
        <w:tc>
          <w:tcPr>
            <w:tcW w:w="1560" w:type="dxa"/>
            <w:tcBorders>
              <w:left w:val="single" w:sz="2" w:space="0" w:color="auto"/>
              <w:right w:val="single" w:sz="2" w:space="0" w:color="auto"/>
            </w:tcBorders>
          </w:tcPr>
          <w:p w14:paraId="2547939F"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059B27E4" w14:textId="77777777" w:rsidR="006B590F" w:rsidRPr="00703D62" w:rsidRDefault="006B590F" w:rsidP="00703D62">
            <w:pPr>
              <w:spacing w:before="120"/>
              <w:jc w:val="both"/>
              <w:rPr>
                <w:b/>
                <w:i/>
                <w:color w:val="FFFFFF" w:themeColor="background1"/>
                <w:sz w:val="20"/>
                <w:szCs w:val="20"/>
              </w:rPr>
            </w:pPr>
            <w:r w:rsidRPr="00703D62">
              <w:rPr>
                <w:b/>
                <w:i/>
                <w:color w:val="FFFFFF" w:themeColor="background1"/>
                <w:sz w:val="20"/>
                <w:szCs w:val="20"/>
              </w:rPr>
              <w:t>Statement of Changes in Equity</w:t>
            </w:r>
          </w:p>
          <w:p w14:paraId="45F707A3" w14:textId="2C56051C" w:rsidR="006B590F" w:rsidRPr="00AC3DDE" w:rsidRDefault="006B590F" w:rsidP="00703D62">
            <w:pPr>
              <w:spacing w:after="120"/>
              <w:jc w:val="both"/>
              <w:rPr>
                <w:b/>
                <w:i/>
                <w:color w:val="FFFFFF" w:themeColor="background1"/>
                <w:sz w:val="18"/>
                <w:szCs w:val="18"/>
              </w:rPr>
            </w:pPr>
            <w:r w:rsidRPr="00AC3DDE">
              <w:rPr>
                <w:color w:val="FFFFFF" w:themeColor="background1"/>
                <w:sz w:val="18"/>
                <w:szCs w:val="18"/>
              </w:rPr>
              <w:t>These line items are disclosed in other financial statements.</w:t>
            </w:r>
          </w:p>
        </w:tc>
      </w:tr>
      <w:tr w:rsidR="005B1145" w:rsidRPr="00CF7E1B" w14:paraId="7A601185" w14:textId="77777777" w:rsidTr="0004564D">
        <w:trPr>
          <w:cantSplit/>
          <w:trHeight w:val="189"/>
        </w:trPr>
        <w:tc>
          <w:tcPr>
            <w:tcW w:w="1560" w:type="dxa"/>
            <w:tcBorders>
              <w:left w:val="single" w:sz="2" w:space="0" w:color="auto"/>
              <w:right w:val="single" w:sz="2" w:space="0" w:color="auto"/>
            </w:tcBorders>
          </w:tcPr>
          <w:p w14:paraId="0209D3F0" w14:textId="77777777" w:rsidR="005B1145" w:rsidRPr="00AC3DDE" w:rsidRDefault="005B1145" w:rsidP="005B1145">
            <w:pPr>
              <w:rPr>
                <w:rFonts w:cs="Calibri"/>
                <w:b/>
                <w:color w:val="7030A0"/>
                <w:szCs w:val="22"/>
              </w:rPr>
            </w:pPr>
          </w:p>
        </w:tc>
        <w:tc>
          <w:tcPr>
            <w:tcW w:w="8930" w:type="dxa"/>
            <w:tcBorders>
              <w:left w:val="single" w:sz="2" w:space="0" w:color="auto"/>
            </w:tcBorders>
            <w:shd w:val="clear" w:color="auto" w:fill="7030A0"/>
          </w:tcPr>
          <w:p w14:paraId="4E144320" w14:textId="63A45005" w:rsidR="005B1145" w:rsidRPr="00703D62" w:rsidRDefault="005B1145" w:rsidP="005B1145">
            <w:pPr>
              <w:spacing w:after="40"/>
              <w:jc w:val="both"/>
              <w:rPr>
                <w:b/>
                <w:i/>
                <w:color w:val="FFFFFF" w:themeColor="background1"/>
                <w:sz w:val="20"/>
                <w:szCs w:val="20"/>
              </w:rPr>
            </w:pPr>
            <w:r w:rsidRPr="00703D62">
              <w:rPr>
                <w:rFonts w:cs="Calibri"/>
                <w:b/>
                <w:i/>
                <w:color w:val="FFFFFF" w:themeColor="background1"/>
                <w:sz w:val="20"/>
                <w:szCs w:val="20"/>
              </w:rPr>
              <w:t>Statement of Cash Flows</w:t>
            </w:r>
          </w:p>
        </w:tc>
      </w:tr>
      <w:tr w:rsidR="000D5BC9" w:rsidRPr="00CF7E1B" w14:paraId="47D49837" w14:textId="77777777" w:rsidTr="0004564D">
        <w:trPr>
          <w:cantSplit/>
          <w:trHeight w:val="300"/>
        </w:trPr>
        <w:tc>
          <w:tcPr>
            <w:tcW w:w="1560" w:type="dxa"/>
            <w:tcBorders>
              <w:left w:val="single" w:sz="2" w:space="0" w:color="auto"/>
              <w:right w:val="single" w:sz="2" w:space="0" w:color="auto"/>
            </w:tcBorders>
          </w:tcPr>
          <w:p w14:paraId="0A8EEDDB" w14:textId="77777777" w:rsidR="000D5BC9" w:rsidRPr="00AC3DDE" w:rsidRDefault="000D5BC9" w:rsidP="000D5BC9">
            <w:pPr>
              <w:rPr>
                <w:color w:val="7030A0"/>
              </w:rPr>
            </w:pPr>
          </w:p>
        </w:tc>
        <w:tc>
          <w:tcPr>
            <w:tcW w:w="8930" w:type="dxa"/>
            <w:tcBorders>
              <w:left w:val="single" w:sz="2" w:space="0" w:color="auto"/>
            </w:tcBorders>
            <w:shd w:val="clear" w:color="auto" w:fill="7030A0"/>
          </w:tcPr>
          <w:p w14:paraId="5FC88275" w14:textId="7D5467F9" w:rsidR="000D5BC9" w:rsidRPr="00FF0025" w:rsidRDefault="000D5BC9" w:rsidP="007122BC">
            <w:pPr>
              <w:numPr>
                <w:ilvl w:val="0"/>
                <w:numId w:val="36"/>
              </w:numPr>
              <w:spacing w:after="40"/>
              <w:ind w:left="596" w:hanging="283"/>
              <w:jc w:val="both"/>
              <w:rPr>
                <w:color w:val="FFFFFF" w:themeColor="background1"/>
                <w:sz w:val="18"/>
                <w:szCs w:val="18"/>
              </w:rPr>
            </w:pPr>
            <w:r w:rsidRPr="00FF0025">
              <w:rPr>
                <w:color w:val="FFFFFF" w:themeColor="background1"/>
                <w:sz w:val="18"/>
                <w:szCs w:val="18"/>
              </w:rPr>
              <w:t>Receipts from Operating Activities</w:t>
            </w:r>
          </w:p>
          <w:p w14:paraId="2A419AB2" w14:textId="77777777" w:rsidR="000D5BC9" w:rsidRPr="00FF0025" w:rsidRDefault="000D5BC9" w:rsidP="007122BC">
            <w:pPr>
              <w:numPr>
                <w:ilvl w:val="0"/>
                <w:numId w:val="36"/>
              </w:numPr>
              <w:spacing w:after="40"/>
              <w:ind w:left="596" w:hanging="283"/>
              <w:jc w:val="both"/>
              <w:rPr>
                <w:color w:val="FFFFFF" w:themeColor="background1"/>
                <w:sz w:val="18"/>
                <w:szCs w:val="18"/>
              </w:rPr>
            </w:pPr>
            <w:r w:rsidRPr="00FF0025">
              <w:rPr>
                <w:color w:val="FFFFFF" w:themeColor="background1"/>
                <w:sz w:val="18"/>
                <w:szCs w:val="18"/>
              </w:rPr>
              <w:t>Payments from Operating Activities</w:t>
            </w:r>
          </w:p>
          <w:p w14:paraId="31D8707D" w14:textId="77777777" w:rsidR="000D5BC9" w:rsidRPr="00FF0025" w:rsidRDefault="000D5BC9" w:rsidP="007122BC">
            <w:pPr>
              <w:numPr>
                <w:ilvl w:val="0"/>
                <w:numId w:val="36"/>
              </w:numPr>
              <w:spacing w:after="40"/>
              <w:ind w:left="596" w:hanging="283"/>
              <w:jc w:val="both"/>
              <w:rPr>
                <w:color w:val="FFFFFF" w:themeColor="background1"/>
                <w:sz w:val="18"/>
                <w:szCs w:val="18"/>
              </w:rPr>
            </w:pPr>
            <w:r w:rsidRPr="00FF0025">
              <w:rPr>
                <w:color w:val="FFFFFF" w:themeColor="background1"/>
                <w:sz w:val="18"/>
                <w:szCs w:val="18"/>
              </w:rPr>
              <w:t>Receipts from Investing Activities</w:t>
            </w:r>
          </w:p>
          <w:p w14:paraId="57602C5F" w14:textId="77777777" w:rsidR="000D5BC9" w:rsidRPr="00FF0025" w:rsidRDefault="000D5BC9" w:rsidP="007122BC">
            <w:pPr>
              <w:numPr>
                <w:ilvl w:val="0"/>
                <w:numId w:val="36"/>
              </w:numPr>
              <w:spacing w:after="40"/>
              <w:ind w:left="596" w:hanging="283"/>
              <w:jc w:val="both"/>
              <w:rPr>
                <w:color w:val="FFFFFF" w:themeColor="background1"/>
                <w:sz w:val="18"/>
                <w:szCs w:val="18"/>
              </w:rPr>
            </w:pPr>
            <w:r w:rsidRPr="00FF0025">
              <w:rPr>
                <w:color w:val="FFFFFF" w:themeColor="background1"/>
                <w:sz w:val="18"/>
                <w:szCs w:val="18"/>
              </w:rPr>
              <w:t>Payments from Investing Activities</w:t>
            </w:r>
          </w:p>
          <w:p w14:paraId="1F9324DC" w14:textId="77777777" w:rsidR="000D5BC9" w:rsidRPr="00FF0025" w:rsidRDefault="000D5BC9" w:rsidP="007122BC">
            <w:pPr>
              <w:numPr>
                <w:ilvl w:val="0"/>
                <w:numId w:val="36"/>
              </w:numPr>
              <w:spacing w:after="40"/>
              <w:ind w:left="596" w:hanging="283"/>
              <w:jc w:val="both"/>
              <w:rPr>
                <w:color w:val="FFFFFF" w:themeColor="background1"/>
                <w:sz w:val="18"/>
                <w:szCs w:val="18"/>
              </w:rPr>
            </w:pPr>
            <w:r w:rsidRPr="00FF0025">
              <w:rPr>
                <w:color w:val="FFFFFF" w:themeColor="background1"/>
                <w:sz w:val="18"/>
                <w:szCs w:val="18"/>
              </w:rPr>
              <w:t>Receipts from Financing Activities</w:t>
            </w:r>
          </w:p>
          <w:p w14:paraId="61384C51" w14:textId="0777431D" w:rsidR="000D5BC9" w:rsidRPr="00FF0025" w:rsidRDefault="000D5BC9" w:rsidP="007122BC">
            <w:pPr>
              <w:numPr>
                <w:ilvl w:val="0"/>
                <w:numId w:val="36"/>
              </w:numPr>
              <w:spacing w:after="120"/>
              <w:ind w:left="596" w:hanging="283"/>
              <w:jc w:val="both"/>
              <w:rPr>
                <w:color w:val="FFFFFF" w:themeColor="background1"/>
                <w:sz w:val="18"/>
                <w:szCs w:val="18"/>
              </w:rPr>
            </w:pPr>
            <w:r w:rsidRPr="00FF0025">
              <w:rPr>
                <w:color w:val="FFFFFF" w:themeColor="background1"/>
                <w:sz w:val="18"/>
                <w:szCs w:val="18"/>
              </w:rPr>
              <w:t>Payments from Financing Activities</w:t>
            </w:r>
          </w:p>
        </w:tc>
      </w:tr>
      <w:tr w:rsidR="006B590F" w:rsidRPr="00CF7E1B" w14:paraId="235B3B0E" w14:textId="77777777" w:rsidTr="0004564D">
        <w:trPr>
          <w:cantSplit/>
          <w:trHeight w:val="300"/>
        </w:trPr>
        <w:tc>
          <w:tcPr>
            <w:tcW w:w="1560" w:type="dxa"/>
            <w:tcBorders>
              <w:left w:val="single" w:sz="2" w:space="0" w:color="auto"/>
              <w:right w:val="single" w:sz="2" w:space="0" w:color="auto"/>
            </w:tcBorders>
          </w:tcPr>
          <w:p w14:paraId="0382F78A"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525F0BF9" w14:textId="67E5ABE7" w:rsidR="006B590F" w:rsidRPr="00FF0025" w:rsidRDefault="006B590F" w:rsidP="006B590F">
            <w:pPr>
              <w:spacing w:after="120"/>
              <w:jc w:val="both"/>
              <w:rPr>
                <w:color w:val="FFFFFF" w:themeColor="background1"/>
                <w:sz w:val="18"/>
                <w:szCs w:val="18"/>
              </w:rPr>
            </w:pPr>
            <w:r w:rsidRPr="00FF0025">
              <w:rPr>
                <w:color w:val="FFFFFF" w:themeColor="background1"/>
                <w:sz w:val="18"/>
                <w:szCs w:val="18"/>
              </w:rPr>
              <w:t xml:space="preserve">Not all the above </w:t>
            </w:r>
            <w:r w:rsidRPr="00FF0025">
              <w:rPr>
                <w:b/>
                <w:color w:val="FFFFFF" w:themeColor="background1"/>
                <w:sz w:val="18"/>
                <w:szCs w:val="18"/>
              </w:rPr>
              <w:t>bolded</w:t>
            </w:r>
            <w:r w:rsidRPr="00FF0025">
              <w:rPr>
                <w:color w:val="FFFFFF" w:themeColor="background1"/>
                <w:sz w:val="18"/>
                <w:szCs w:val="18"/>
              </w:rPr>
              <w:t xml:space="preserve"> totals will be applicable to each agency.</w:t>
            </w:r>
          </w:p>
        </w:tc>
      </w:tr>
      <w:tr w:rsidR="006B590F" w:rsidRPr="00CF7E1B" w14:paraId="7C6415B0" w14:textId="77777777" w:rsidTr="0004564D">
        <w:trPr>
          <w:cantSplit/>
          <w:trHeight w:val="300"/>
        </w:trPr>
        <w:tc>
          <w:tcPr>
            <w:tcW w:w="1560" w:type="dxa"/>
            <w:tcBorders>
              <w:left w:val="single" w:sz="2" w:space="0" w:color="auto"/>
              <w:right w:val="single" w:sz="2" w:space="0" w:color="auto"/>
            </w:tcBorders>
          </w:tcPr>
          <w:p w14:paraId="2D789D92" w14:textId="77777777" w:rsidR="006B590F" w:rsidRPr="00AC3DDE" w:rsidRDefault="006B590F" w:rsidP="000D5BC9">
            <w:pPr>
              <w:rPr>
                <w:color w:val="7030A0"/>
              </w:rPr>
            </w:pPr>
          </w:p>
        </w:tc>
        <w:tc>
          <w:tcPr>
            <w:tcW w:w="8930" w:type="dxa"/>
            <w:tcBorders>
              <w:left w:val="single" w:sz="2" w:space="0" w:color="auto"/>
            </w:tcBorders>
            <w:shd w:val="clear" w:color="auto" w:fill="7030A0"/>
          </w:tcPr>
          <w:p w14:paraId="20CD35CC" w14:textId="7A7ADF73" w:rsidR="006B590F" w:rsidRDefault="006B590F" w:rsidP="00105BC0">
            <w:pPr>
              <w:jc w:val="both"/>
              <w:rPr>
                <w:color w:val="FFFFFF" w:themeColor="background1"/>
                <w:sz w:val="18"/>
                <w:szCs w:val="18"/>
              </w:rPr>
            </w:pPr>
            <w:r w:rsidRPr="00FF0025">
              <w:rPr>
                <w:color w:val="FFFFFF" w:themeColor="background1"/>
                <w:sz w:val="18"/>
                <w:szCs w:val="18"/>
              </w:rPr>
              <w:t>Agencies should provide to the Audit Office a work paper calculating all the variances of the financial statements, supporting which items have been disclosed as major variances.</w:t>
            </w:r>
            <w:r w:rsidR="00FA7C77">
              <w:rPr>
                <w:color w:val="FFFFFF" w:themeColor="background1"/>
                <w:sz w:val="18"/>
                <w:szCs w:val="18"/>
              </w:rPr>
              <w:t xml:space="preserve"> </w:t>
            </w:r>
            <w:r w:rsidRPr="00FF0025">
              <w:rPr>
                <w:color w:val="FFFFFF" w:themeColor="background1"/>
                <w:sz w:val="18"/>
                <w:szCs w:val="18"/>
              </w:rPr>
              <w:t>Work papers will also be required supporting the variance explanations.</w:t>
            </w:r>
          </w:p>
          <w:p w14:paraId="777DED4D" w14:textId="77777777" w:rsidR="00722BF2" w:rsidRDefault="00722BF2" w:rsidP="00105BC0">
            <w:pPr>
              <w:jc w:val="both"/>
              <w:rPr>
                <w:color w:val="FFFFFF" w:themeColor="background1"/>
                <w:sz w:val="18"/>
                <w:szCs w:val="18"/>
              </w:rPr>
            </w:pPr>
          </w:p>
          <w:p w14:paraId="3285DBCA" w14:textId="5E06F226" w:rsidR="00722BF2" w:rsidRPr="00703D62" w:rsidRDefault="00722BF2" w:rsidP="00105BC0">
            <w:pPr>
              <w:jc w:val="both"/>
              <w:rPr>
                <w:b/>
                <w:bCs/>
                <w:color w:val="FFFFFF" w:themeColor="background1"/>
                <w:sz w:val="20"/>
                <w:szCs w:val="20"/>
              </w:rPr>
            </w:pPr>
            <w:r w:rsidRPr="00703D62">
              <w:rPr>
                <w:b/>
                <w:bCs/>
                <w:color w:val="FFFFFF" w:themeColor="background1"/>
                <w:sz w:val="20"/>
                <w:szCs w:val="20"/>
              </w:rPr>
              <w:t>Territory Authority Commentary</w:t>
            </w:r>
          </w:p>
          <w:p w14:paraId="0741A503" w14:textId="3273C74C" w:rsidR="00722BF2" w:rsidRPr="00FF0025" w:rsidRDefault="00722BF2" w:rsidP="00703D62">
            <w:pPr>
              <w:spacing w:after="120"/>
              <w:jc w:val="both"/>
              <w:rPr>
                <w:rFonts w:cs="Calibri"/>
                <w:b/>
                <w:i/>
                <w:color w:val="FFFFFF" w:themeColor="background1"/>
                <w:sz w:val="18"/>
                <w:szCs w:val="18"/>
              </w:rPr>
            </w:pPr>
            <w:r w:rsidRPr="00FA0C47">
              <w:rPr>
                <w:rFonts w:cs="Calibri"/>
                <w:color w:val="FFFFFF" w:themeColor="background1"/>
                <w:sz w:val="18"/>
                <w:szCs w:val="18"/>
              </w:rPr>
              <w:t>AASB 1055 does not apply to for-profit agencies.</w:t>
            </w:r>
            <w:r w:rsidR="00FA7C77">
              <w:rPr>
                <w:rFonts w:cs="Calibri"/>
                <w:color w:val="FFFFFF" w:themeColor="background1"/>
                <w:sz w:val="18"/>
                <w:szCs w:val="18"/>
              </w:rPr>
              <w:t xml:space="preserve"> </w:t>
            </w:r>
            <w:r w:rsidRPr="00FA0C47">
              <w:rPr>
                <w:rFonts w:cs="Calibri"/>
                <w:color w:val="FFFFFF" w:themeColor="background1"/>
                <w:sz w:val="18"/>
                <w:szCs w:val="18"/>
              </w:rPr>
              <w:t>However, it is ACT Disclosure Policy that for-profit Territory Authorities also adopt AASB 1055 for reporting purposes.</w:t>
            </w:r>
          </w:p>
        </w:tc>
      </w:tr>
    </w:tbl>
    <w:p w14:paraId="0A192B7D" w14:textId="35AF2350" w:rsidR="00AC3DDE" w:rsidRDefault="00AC3DDE" w:rsidP="0076386D">
      <w:r>
        <w:br w:type="page"/>
      </w:r>
    </w:p>
    <w:tbl>
      <w:tblPr>
        <w:tblW w:w="10490" w:type="dxa"/>
        <w:tblInd w:w="-3" w:type="dxa"/>
        <w:shd w:val="clear" w:color="auto" w:fill="CCFFCC"/>
        <w:tblLayout w:type="fixed"/>
        <w:tblLook w:val="00A0" w:firstRow="1" w:lastRow="0" w:firstColumn="1" w:lastColumn="0" w:noHBand="0" w:noVBand="0"/>
      </w:tblPr>
      <w:tblGrid>
        <w:gridCol w:w="1560"/>
        <w:gridCol w:w="8930"/>
      </w:tblGrid>
      <w:tr w:rsidR="005006D4" w:rsidRPr="00CF7E1B" w14:paraId="109356B4" w14:textId="77777777" w:rsidTr="0004564D">
        <w:trPr>
          <w:cantSplit/>
          <w:trHeight w:val="300"/>
        </w:trPr>
        <w:tc>
          <w:tcPr>
            <w:tcW w:w="1560" w:type="dxa"/>
            <w:tcBorders>
              <w:left w:val="single" w:sz="2" w:space="0" w:color="auto"/>
              <w:right w:val="single" w:sz="2" w:space="0" w:color="auto"/>
            </w:tcBorders>
          </w:tcPr>
          <w:p w14:paraId="62A97B3C" w14:textId="2757BDAE" w:rsidR="005006D4" w:rsidRPr="00AC3DDE" w:rsidRDefault="00AC3DDE" w:rsidP="00703D62">
            <w:pPr>
              <w:spacing w:after="240"/>
              <w:rPr>
                <w:b/>
                <w:bCs/>
                <w:color w:val="7030A0"/>
              </w:rPr>
            </w:pPr>
            <w:r w:rsidRPr="00AC3DDE">
              <w:rPr>
                <w:b/>
                <w:bCs/>
                <w:color w:val="7030A0"/>
              </w:rPr>
              <w:t>Reference</w:t>
            </w:r>
          </w:p>
        </w:tc>
        <w:tc>
          <w:tcPr>
            <w:tcW w:w="8930" w:type="dxa"/>
            <w:tcBorders>
              <w:left w:val="single" w:sz="2" w:space="0" w:color="auto"/>
            </w:tcBorders>
            <w:shd w:val="clear" w:color="auto" w:fill="7030A0"/>
          </w:tcPr>
          <w:p w14:paraId="1AE9A609" w14:textId="77A3EBB3" w:rsidR="005006D4" w:rsidRPr="00FF0025" w:rsidRDefault="00AB3663" w:rsidP="00703D62">
            <w:pPr>
              <w:spacing w:after="240"/>
              <w:jc w:val="both"/>
              <w:rPr>
                <w:color w:val="FFFFFF" w:themeColor="background1"/>
                <w:sz w:val="28"/>
                <w:szCs w:val="28"/>
              </w:rPr>
            </w:pPr>
            <w:r w:rsidRPr="00FF0025">
              <w:rPr>
                <w:rFonts w:asciiTheme="minorHAnsi" w:hAnsiTheme="minorHAnsi"/>
                <w:b/>
                <w:color w:val="FFFFFF" w:themeColor="background1"/>
                <w:sz w:val="28"/>
                <w:szCs w:val="28"/>
              </w:rPr>
              <w:t>Commentary – Discontinuing Operations</w:t>
            </w:r>
          </w:p>
        </w:tc>
      </w:tr>
      <w:tr w:rsidR="005006D4" w:rsidRPr="00CF7E1B" w14:paraId="55474E75" w14:textId="77777777" w:rsidTr="0004564D">
        <w:trPr>
          <w:cantSplit/>
          <w:trHeight w:val="300"/>
        </w:trPr>
        <w:tc>
          <w:tcPr>
            <w:tcW w:w="1560" w:type="dxa"/>
            <w:tcBorders>
              <w:left w:val="single" w:sz="2" w:space="0" w:color="auto"/>
              <w:right w:val="single" w:sz="2" w:space="0" w:color="auto"/>
            </w:tcBorders>
          </w:tcPr>
          <w:p w14:paraId="7F71EA0A" w14:textId="77777777" w:rsidR="005006D4" w:rsidRPr="00FF0025" w:rsidRDefault="005006D4" w:rsidP="00837347">
            <w:pPr>
              <w:pStyle w:val="TableReference"/>
              <w:spacing w:before="60"/>
              <w:rPr>
                <w:rFonts w:cs="Calibri"/>
                <w:color w:val="7030A0"/>
                <w:sz w:val="14"/>
              </w:rPr>
            </w:pPr>
            <w:bookmarkStart w:id="796" w:name="_Hlk41608178"/>
            <w:r w:rsidRPr="00FF0025">
              <w:rPr>
                <w:rFonts w:cs="Calibri"/>
                <w:color w:val="7030A0"/>
                <w:sz w:val="14"/>
              </w:rPr>
              <w:t>AASB 5.32</w:t>
            </w:r>
          </w:p>
        </w:tc>
        <w:tc>
          <w:tcPr>
            <w:tcW w:w="8930" w:type="dxa"/>
            <w:tcBorders>
              <w:left w:val="single" w:sz="2" w:space="0" w:color="auto"/>
            </w:tcBorders>
            <w:shd w:val="clear" w:color="auto" w:fill="7030A0"/>
          </w:tcPr>
          <w:p w14:paraId="502C79BE" w14:textId="187C7B9A" w:rsidR="005006D4" w:rsidRPr="00FF0025" w:rsidRDefault="005006D4" w:rsidP="00837347">
            <w:pPr>
              <w:pStyle w:val="CommentaryText"/>
              <w:rPr>
                <w:rFonts w:cs="Calibri"/>
                <w:color w:val="FFFFFF" w:themeColor="background1"/>
                <w:sz w:val="18"/>
                <w:szCs w:val="18"/>
              </w:rPr>
            </w:pPr>
            <w:r w:rsidRPr="00FF0025">
              <w:rPr>
                <w:rFonts w:cs="Calibri"/>
                <w:color w:val="FFFFFF" w:themeColor="background1"/>
                <w:sz w:val="18"/>
                <w:szCs w:val="18"/>
              </w:rPr>
              <w:t>Discontinuing operations are not expected to occur frequently within agencies, so no pro forma note has been included in the Model.</w:t>
            </w:r>
            <w:r w:rsidR="00FA7C77">
              <w:rPr>
                <w:rFonts w:cs="Calibri"/>
                <w:color w:val="FFFFFF" w:themeColor="background1"/>
                <w:sz w:val="18"/>
                <w:szCs w:val="18"/>
              </w:rPr>
              <w:t xml:space="preserve"> </w:t>
            </w:r>
          </w:p>
        </w:tc>
      </w:tr>
      <w:tr w:rsidR="005006D4" w:rsidRPr="00CF7E1B" w14:paraId="2B1E29AF" w14:textId="77777777" w:rsidTr="0004564D">
        <w:trPr>
          <w:cantSplit/>
          <w:trHeight w:val="300"/>
        </w:trPr>
        <w:tc>
          <w:tcPr>
            <w:tcW w:w="1560" w:type="dxa"/>
            <w:tcBorders>
              <w:left w:val="single" w:sz="2" w:space="0" w:color="auto"/>
              <w:right w:val="single" w:sz="2" w:space="0" w:color="auto"/>
            </w:tcBorders>
          </w:tcPr>
          <w:p w14:paraId="6A18DCC2" w14:textId="1E240AFD" w:rsidR="005006D4" w:rsidRPr="00FF0025" w:rsidRDefault="005006D4" w:rsidP="00837347">
            <w:pPr>
              <w:pStyle w:val="TableReference"/>
              <w:spacing w:before="60"/>
              <w:rPr>
                <w:rFonts w:cs="Calibri"/>
                <w:color w:val="7030A0"/>
                <w:sz w:val="14"/>
              </w:rPr>
            </w:pPr>
            <w:r w:rsidRPr="00FF0025">
              <w:rPr>
                <w:rFonts w:cs="Calibri"/>
                <w:color w:val="7030A0"/>
                <w:sz w:val="14"/>
              </w:rPr>
              <w:t>AASB 5.Aus 2.1</w:t>
            </w:r>
          </w:p>
        </w:tc>
        <w:tc>
          <w:tcPr>
            <w:tcW w:w="8930" w:type="dxa"/>
            <w:tcBorders>
              <w:left w:val="single" w:sz="2" w:space="0" w:color="auto"/>
            </w:tcBorders>
            <w:shd w:val="clear" w:color="auto" w:fill="7030A0"/>
          </w:tcPr>
          <w:p w14:paraId="5345781F" w14:textId="132F718E" w:rsidR="005006D4" w:rsidRPr="00FF0025" w:rsidRDefault="005006D4" w:rsidP="00F117D3">
            <w:pPr>
              <w:pStyle w:val="CommentaryText"/>
              <w:spacing w:after="40"/>
              <w:rPr>
                <w:rFonts w:cs="Calibri"/>
                <w:color w:val="FFFFFF" w:themeColor="background1"/>
                <w:sz w:val="18"/>
                <w:szCs w:val="18"/>
              </w:rPr>
            </w:pPr>
            <w:r w:rsidRPr="00FF0025">
              <w:rPr>
                <w:rFonts w:cs="Calibri"/>
                <w:color w:val="FFFFFF" w:themeColor="background1"/>
                <w:sz w:val="18"/>
                <w:szCs w:val="18"/>
              </w:rPr>
              <w:t xml:space="preserve">A discontinued operation is a component of an agency that either has been disposed of, or is classified as held for sale, and: </w:t>
            </w:r>
          </w:p>
        </w:tc>
      </w:tr>
      <w:tr w:rsidR="009963B2" w:rsidRPr="00CF7E1B" w14:paraId="0C25F516" w14:textId="77777777" w:rsidTr="0004564D">
        <w:trPr>
          <w:cantSplit/>
          <w:trHeight w:val="300"/>
        </w:trPr>
        <w:tc>
          <w:tcPr>
            <w:tcW w:w="1560" w:type="dxa"/>
            <w:tcBorders>
              <w:left w:val="single" w:sz="2" w:space="0" w:color="auto"/>
              <w:right w:val="single" w:sz="2" w:space="0" w:color="auto"/>
            </w:tcBorders>
          </w:tcPr>
          <w:p w14:paraId="5E41BBE5" w14:textId="03489958" w:rsidR="009963B2" w:rsidRPr="00FF0025" w:rsidRDefault="009963B2" w:rsidP="00837347">
            <w:pPr>
              <w:pStyle w:val="TableReference"/>
              <w:spacing w:before="60"/>
              <w:rPr>
                <w:rFonts w:cs="Calibri"/>
                <w:color w:val="7030A0"/>
                <w:sz w:val="14"/>
              </w:rPr>
            </w:pPr>
            <w:r w:rsidRPr="00FF0025">
              <w:rPr>
                <w:rFonts w:cs="Calibri"/>
                <w:color w:val="7030A0"/>
                <w:sz w:val="14"/>
              </w:rPr>
              <w:t>AASB 5.30</w:t>
            </w:r>
          </w:p>
        </w:tc>
        <w:tc>
          <w:tcPr>
            <w:tcW w:w="8930" w:type="dxa"/>
            <w:tcBorders>
              <w:left w:val="single" w:sz="2" w:space="0" w:color="auto"/>
            </w:tcBorders>
            <w:shd w:val="clear" w:color="auto" w:fill="7030A0"/>
          </w:tcPr>
          <w:p w14:paraId="34F97C54" w14:textId="77777777" w:rsidR="009963B2" w:rsidRPr="00FF0025" w:rsidRDefault="009963B2" w:rsidP="007122BC">
            <w:pPr>
              <w:pStyle w:val="CommentaryText"/>
              <w:numPr>
                <w:ilvl w:val="0"/>
                <w:numId w:val="8"/>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represents a separate major line of business; </w:t>
            </w:r>
          </w:p>
          <w:p w14:paraId="6223722A" w14:textId="77777777" w:rsidR="009963B2" w:rsidRPr="00FF0025" w:rsidRDefault="009963B2" w:rsidP="007122BC">
            <w:pPr>
              <w:pStyle w:val="CommentaryText"/>
              <w:numPr>
                <w:ilvl w:val="0"/>
                <w:numId w:val="8"/>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is part of a single co-ordinated plan to dispose of a separate major line of business; or </w:t>
            </w:r>
          </w:p>
          <w:p w14:paraId="1AD22D70" w14:textId="1E1ADF7C" w:rsidR="009963B2" w:rsidRPr="00FF0025" w:rsidRDefault="009963B2" w:rsidP="007122BC">
            <w:pPr>
              <w:pStyle w:val="CommentaryText"/>
              <w:numPr>
                <w:ilvl w:val="0"/>
                <w:numId w:val="8"/>
              </w:numPr>
              <w:tabs>
                <w:tab w:val="clear" w:pos="360"/>
              </w:tabs>
              <w:ind w:left="452" w:hanging="357"/>
              <w:rPr>
                <w:rFonts w:cs="Calibri"/>
                <w:color w:val="FFFFFF" w:themeColor="background1"/>
                <w:sz w:val="18"/>
                <w:szCs w:val="18"/>
              </w:rPr>
            </w:pPr>
            <w:r w:rsidRPr="00FF0025">
              <w:rPr>
                <w:rFonts w:cs="Calibri"/>
                <w:color w:val="FFFFFF" w:themeColor="background1"/>
                <w:sz w:val="18"/>
                <w:szCs w:val="18"/>
              </w:rPr>
              <w:t xml:space="preserve">is a subsidiary acquired exclusively with a view to </w:t>
            </w:r>
            <w:r w:rsidR="006222F7" w:rsidRPr="00FF0025">
              <w:rPr>
                <w:rFonts w:cs="Calibri"/>
                <w:color w:val="FFFFFF" w:themeColor="background1"/>
                <w:sz w:val="18"/>
                <w:szCs w:val="18"/>
              </w:rPr>
              <w:t>resale</w:t>
            </w:r>
            <w:r w:rsidR="00722BF2">
              <w:rPr>
                <w:rFonts w:cs="Calibri"/>
                <w:color w:val="FFFFFF" w:themeColor="background1"/>
                <w:sz w:val="18"/>
                <w:szCs w:val="18"/>
              </w:rPr>
              <w:t>.</w:t>
            </w:r>
          </w:p>
        </w:tc>
      </w:tr>
      <w:tr w:rsidR="00B66BE0" w:rsidRPr="00CF7E1B" w14:paraId="0B66D346" w14:textId="77777777" w:rsidTr="0004564D">
        <w:trPr>
          <w:cantSplit/>
          <w:trHeight w:val="300"/>
        </w:trPr>
        <w:tc>
          <w:tcPr>
            <w:tcW w:w="1560" w:type="dxa"/>
            <w:tcBorders>
              <w:left w:val="single" w:sz="2" w:space="0" w:color="auto"/>
              <w:right w:val="single" w:sz="2" w:space="0" w:color="auto"/>
            </w:tcBorders>
          </w:tcPr>
          <w:p w14:paraId="424A465D" w14:textId="77777777" w:rsidR="00B66BE0" w:rsidRPr="00FF0025" w:rsidRDefault="00B66BE0" w:rsidP="00837347">
            <w:pPr>
              <w:pStyle w:val="TableReference"/>
              <w:spacing w:before="60"/>
              <w:rPr>
                <w:rFonts w:cs="Calibri"/>
                <w:color w:val="7030A0"/>
                <w:sz w:val="14"/>
              </w:rPr>
            </w:pPr>
          </w:p>
        </w:tc>
        <w:tc>
          <w:tcPr>
            <w:tcW w:w="8930" w:type="dxa"/>
            <w:tcBorders>
              <w:left w:val="single" w:sz="2" w:space="0" w:color="auto"/>
            </w:tcBorders>
            <w:shd w:val="clear" w:color="auto" w:fill="7030A0"/>
          </w:tcPr>
          <w:p w14:paraId="367A42F0" w14:textId="4EE7A09A" w:rsidR="00B66BE0" w:rsidRPr="00FF0025" w:rsidRDefault="00B66BE0" w:rsidP="00B66BE0">
            <w:pPr>
              <w:pStyle w:val="CommentaryText"/>
              <w:rPr>
                <w:rFonts w:cs="Calibri"/>
                <w:color w:val="FFFFFF" w:themeColor="background1"/>
                <w:sz w:val="18"/>
                <w:szCs w:val="18"/>
              </w:rPr>
            </w:pPr>
            <w:r w:rsidRPr="00FF0025">
              <w:rPr>
                <w:rFonts w:cs="Calibri"/>
                <w:color w:val="FFFFFF" w:themeColor="background1"/>
                <w:sz w:val="18"/>
                <w:szCs w:val="18"/>
              </w:rPr>
              <w:t xml:space="preserve">AASB 5 </w:t>
            </w:r>
            <w:r w:rsidRPr="00FF0025">
              <w:rPr>
                <w:rFonts w:cs="Calibri"/>
                <w:i/>
                <w:color w:val="FFFFFF" w:themeColor="background1"/>
                <w:sz w:val="18"/>
                <w:szCs w:val="18"/>
              </w:rPr>
              <w:t xml:space="preserve">Non-current Assets Held for Sale and Discontinued Operations </w:t>
            </w:r>
            <w:r w:rsidRPr="00FF0025">
              <w:rPr>
                <w:rFonts w:cs="Calibri"/>
                <w:color w:val="FFFFFF" w:themeColor="background1"/>
                <w:sz w:val="18"/>
                <w:szCs w:val="18"/>
              </w:rPr>
              <w:t>classifies an operation as a discontinued operation at the date when the operation meets the criteria to be classified as held for sale or when the entity has actually disposed of the operation.</w:t>
            </w:r>
          </w:p>
        </w:tc>
      </w:tr>
      <w:bookmarkEnd w:id="796"/>
      <w:tr w:rsidR="005006D4" w:rsidRPr="00CF7E1B" w14:paraId="3B414470" w14:textId="77777777" w:rsidTr="0004564D">
        <w:trPr>
          <w:cantSplit/>
          <w:trHeight w:val="300"/>
        </w:trPr>
        <w:tc>
          <w:tcPr>
            <w:tcW w:w="1560" w:type="dxa"/>
            <w:tcBorders>
              <w:left w:val="single" w:sz="2" w:space="0" w:color="auto"/>
              <w:right w:val="single" w:sz="2" w:space="0" w:color="auto"/>
            </w:tcBorders>
          </w:tcPr>
          <w:p w14:paraId="3F31F20B" w14:textId="77777777" w:rsidR="005006D4" w:rsidRPr="00FF0025" w:rsidRDefault="005006D4" w:rsidP="00A166E8">
            <w:pPr>
              <w:pStyle w:val="TableReference"/>
              <w:spacing w:before="240"/>
              <w:rPr>
                <w:rFonts w:cs="Calibri"/>
                <w:color w:val="7030A0"/>
                <w:sz w:val="14"/>
              </w:rPr>
            </w:pPr>
          </w:p>
        </w:tc>
        <w:tc>
          <w:tcPr>
            <w:tcW w:w="8930" w:type="dxa"/>
            <w:tcBorders>
              <w:left w:val="single" w:sz="2" w:space="0" w:color="auto"/>
            </w:tcBorders>
            <w:shd w:val="clear" w:color="auto" w:fill="7030A0"/>
          </w:tcPr>
          <w:p w14:paraId="242BB165" w14:textId="35E528DA" w:rsidR="005006D4" w:rsidRPr="00FF0025" w:rsidRDefault="005006D4" w:rsidP="00837347">
            <w:pPr>
              <w:pStyle w:val="CommentaryText"/>
              <w:rPr>
                <w:rFonts w:cs="Calibri"/>
                <w:color w:val="FFFFFF" w:themeColor="background1"/>
                <w:sz w:val="18"/>
                <w:szCs w:val="18"/>
              </w:rPr>
            </w:pPr>
            <w:r w:rsidRPr="00FF0025">
              <w:rPr>
                <w:rFonts w:cs="Calibri"/>
                <w:color w:val="FFFFFF" w:themeColor="background1"/>
                <w:sz w:val="18"/>
                <w:szCs w:val="18"/>
              </w:rPr>
              <w:t>AASB 5 does not apply to the restructuring of administrative arrangements of Government agencies.</w:t>
            </w:r>
          </w:p>
        </w:tc>
      </w:tr>
      <w:tr w:rsidR="009963B2" w:rsidRPr="00CF7E1B" w14:paraId="3FF9A373" w14:textId="77777777" w:rsidTr="0004564D">
        <w:trPr>
          <w:cantSplit/>
          <w:trHeight w:val="300"/>
        </w:trPr>
        <w:tc>
          <w:tcPr>
            <w:tcW w:w="1560" w:type="dxa"/>
            <w:tcBorders>
              <w:left w:val="single" w:sz="2" w:space="0" w:color="auto"/>
              <w:right w:val="single" w:sz="2" w:space="0" w:color="auto"/>
            </w:tcBorders>
          </w:tcPr>
          <w:p w14:paraId="376F1841" w14:textId="77777777" w:rsidR="009963B2" w:rsidRPr="00FF0025" w:rsidRDefault="009963B2" w:rsidP="00A166E8">
            <w:pPr>
              <w:pStyle w:val="TableReference"/>
              <w:spacing w:before="240"/>
              <w:rPr>
                <w:rFonts w:cs="Calibri"/>
                <w:color w:val="7030A0"/>
                <w:sz w:val="14"/>
              </w:rPr>
            </w:pPr>
          </w:p>
        </w:tc>
        <w:tc>
          <w:tcPr>
            <w:tcW w:w="8930" w:type="dxa"/>
            <w:tcBorders>
              <w:left w:val="single" w:sz="2" w:space="0" w:color="auto"/>
            </w:tcBorders>
            <w:shd w:val="clear" w:color="auto" w:fill="7030A0"/>
          </w:tcPr>
          <w:p w14:paraId="3C025167" w14:textId="5EE94411" w:rsidR="009963B2" w:rsidRPr="00FF0025" w:rsidRDefault="009963B2" w:rsidP="00837347">
            <w:pPr>
              <w:pStyle w:val="CommentaryText"/>
              <w:rPr>
                <w:rFonts w:cs="Calibri"/>
                <w:color w:val="FFFFFF" w:themeColor="background1"/>
                <w:sz w:val="18"/>
                <w:szCs w:val="18"/>
              </w:rPr>
            </w:pPr>
            <w:r w:rsidRPr="00FF0025">
              <w:rPr>
                <w:rFonts w:cs="Calibri"/>
                <w:color w:val="FFFFFF" w:themeColor="background1"/>
                <w:sz w:val="18"/>
                <w:szCs w:val="18"/>
              </w:rPr>
              <w:t>AASB 5 requires the presentation and disclosure of information to allow evaluation of the effects of discontinued operations.</w:t>
            </w:r>
          </w:p>
        </w:tc>
      </w:tr>
      <w:tr w:rsidR="005006D4" w:rsidRPr="00CF7E1B" w14:paraId="3C4D0F62" w14:textId="77777777" w:rsidTr="0004564D">
        <w:trPr>
          <w:cantSplit/>
          <w:trHeight w:val="300"/>
        </w:trPr>
        <w:tc>
          <w:tcPr>
            <w:tcW w:w="1560" w:type="dxa"/>
            <w:tcBorders>
              <w:left w:val="single" w:sz="2" w:space="0" w:color="auto"/>
              <w:right w:val="single" w:sz="2" w:space="0" w:color="auto"/>
            </w:tcBorders>
          </w:tcPr>
          <w:p w14:paraId="51EB40DF" w14:textId="77777777" w:rsidR="002F3A6D" w:rsidRPr="00FF0025" w:rsidRDefault="002F3A6D" w:rsidP="00837347">
            <w:pPr>
              <w:pStyle w:val="TableReference"/>
              <w:rPr>
                <w:rFonts w:cs="Calibri"/>
                <w:color w:val="7030A0"/>
                <w:sz w:val="14"/>
              </w:rPr>
            </w:pPr>
          </w:p>
          <w:p w14:paraId="49249017" w14:textId="77777777" w:rsidR="005006D4" w:rsidRPr="00FF0025" w:rsidRDefault="005006D4" w:rsidP="00837347">
            <w:pPr>
              <w:pStyle w:val="TableReference"/>
              <w:rPr>
                <w:rFonts w:cs="Calibri"/>
                <w:color w:val="7030A0"/>
                <w:sz w:val="14"/>
              </w:rPr>
            </w:pPr>
            <w:r w:rsidRPr="00FF0025">
              <w:rPr>
                <w:rFonts w:cs="Calibri"/>
                <w:color w:val="7030A0"/>
                <w:sz w:val="14"/>
              </w:rPr>
              <w:t xml:space="preserve">AASB 5.33 </w:t>
            </w:r>
          </w:p>
          <w:p w14:paraId="1AB89D79" w14:textId="77777777" w:rsidR="005006D4" w:rsidRPr="00FF0025" w:rsidRDefault="005006D4" w:rsidP="00837347">
            <w:pPr>
              <w:pStyle w:val="TableReference"/>
              <w:rPr>
                <w:rFonts w:cs="Calibri"/>
                <w:color w:val="7030A0"/>
                <w:sz w:val="14"/>
              </w:rPr>
            </w:pPr>
          </w:p>
          <w:p w14:paraId="14F66C43" w14:textId="77777777" w:rsidR="005006D4" w:rsidRPr="00FF0025" w:rsidRDefault="005006D4" w:rsidP="009963B2">
            <w:pPr>
              <w:pStyle w:val="TableReference"/>
              <w:rPr>
                <w:rFonts w:cs="Calibri"/>
                <w:color w:val="7030A0"/>
                <w:sz w:val="14"/>
              </w:rPr>
            </w:pPr>
          </w:p>
        </w:tc>
        <w:tc>
          <w:tcPr>
            <w:tcW w:w="8930" w:type="dxa"/>
            <w:tcBorders>
              <w:left w:val="single" w:sz="2" w:space="0" w:color="auto"/>
            </w:tcBorders>
            <w:shd w:val="clear" w:color="auto" w:fill="7030A0"/>
          </w:tcPr>
          <w:p w14:paraId="4CA3F7A4" w14:textId="77777777" w:rsidR="002F3A6D" w:rsidRPr="00A84CC0" w:rsidRDefault="005006D4" w:rsidP="002F3A6D">
            <w:pPr>
              <w:pStyle w:val="CommentaryHeading"/>
              <w:spacing w:before="0" w:after="0"/>
              <w:rPr>
                <w:rFonts w:cs="Calibri"/>
                <w:color w:val="FFFFFF" w:themeColor="background1"/>
                <w:szCs w:val="20"/>
              </w:rPr>
            </w:pPr>
            <w:r w:rsidRPr="00A84CC0">
              <w:rPr>
                <w:rFonts w:cs="Calibri"/>
                <w:color w:val="FFFFFF" w:themeColor="background1"/>
                <w:szCs w:val="20"/>
              </w:rPr>
              <w:t>Disclosures</w:t>
            </w:r>
          </w:p>
          <w:p w14:paraId="49603C59" w14:textId="77777777" w:rsidR="005006D4" w:rsidRPr="00FF0025" w:rsidRDefault="005006D4" w:rsidP="002F3A6D">
            <w:pPr>
              <w:pStyle w:val="CommentaryHeading"/>
              <w:spacing w:before="0" w:after="0"/>
              <w:rPr>
                <w:rFonts w:cs="Calibri"/>
                <w:b w:val="0"/>
                <w:bCs w:val="0"/>
                <w:color w:val="FFFFFF" w:themeColor="background1"/>
                <w:sz w:val="18"/>
              </w:rPr>
            </w:pPr>
            <w:r w:rsidRPr="00FF0025">
              <w:rPr>
                <w:rFonts w:cs="Calibri"/>
                <w:b w:val="0"/>
                <w:bCs w:val="0"/>
                <w:color w:val="FFFFFF" w:themeColor="background1"/>
                <w:sz w:val="18"/>
              </w:rPr>
              <w:t>The details of discontinuing operations should be disclosed by way of a note and include:</w:t>
            </w:r>
          </w:p>
          <w:p w14:paraId="0BF80025" w14:textId="77777777" w:rsidR="005006D4" w:rsidRPr="00FF0025" w:rsidRDefault="005006D4" w:rsidP="007122BC">
            <w:pPr>
              <w:pStyle w:val="CommentaryText"/>
              <w:numPr>
                <w:ilvl w:val="0"/>
                <w:numId w:val="8"/>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revenue, expenses and pre-tax profit or loss of discontinued operations;</w:t>
            </w:r>
          </w:p>
          <w:p w14:paraId="442A4ECD" w14:textId="77777777" w:rsidR="005006D4" w:rsidRPr="00FF0025" w:rsidRDefault="005006D4" w:rsidP="007122BC">
            <w:pPr>
              <w:pStyle w:val="CommentaryText"/>
              <w:numPr>
                <w:ilvl w:val="0"/>
                <w:numId w:val="8"/>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related income tax expense; </w:t>
            </w:r>
          </w:p>
          <w:p w14:paraId="261DF3A1" w14:textId="77777777" w:rsidR="005006D4" w:rsidRPr="00FF0025" w:rsidRDefault="005006D4" w:rsidP="007122BC">
            <w:pPr>
              <w:pStyle w:val="CommentaryText"/>
              <w:numPr>
                <w:ilvl w:val="0"/>
                <w:numId w:val="8"/>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 xml:space="preserve">gain or loss recognised on the measurement to fair value less costs to sell; </w:t>
            </w:r>
          </w:p>
          <w:p w14:paraId="66182334" w14:textId="77777777" w:rsidR="005006D4" w:rsidRPr="00FF0025" w:rsidRDefault="005006D4" w:rsidP="007122BC">
            <w:pPr>
              <w:pStyle w:val="CommentaryText"/>
              <w:numPr>
                <w:ilvl w:val="0"/>
                <w:numId w:val="8"/>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net cash flows attributable to operating, investing and financing activities of discontinued operations; and</w:t>
            </w:r>
          </w:p>
          <w:p w14:paraId="08583DF2" w14:textId="0397A2FE" w:rsidR="005006D4" w:rsidRPr="00FF0025" w:rsidRDefault="005006D4" w:rsidP="007122BC">
            <w:pPr>
              <w:pStyle w:val="CommentaryText"/>
              <w:numPr>
                <w:ilvl w:val="0"/>
                <w:numId w:val="8"/>
              </w:numPr>
              <w:tabs>
                <w:tab w:val="clear" w:pos="360"/>
              </w:tabs>
              <w:spacing w:after="40"/>
              <w:ind w:left="452" w:hanging="357"/>
              <w:rPr>
                <w:rFonts w:cs="Calibri"/>
                <w:color w:val="FFFFFF" w:themeColor="background1"/>
                <w:sz w:val="18"/>
                <w:szCs w:val="18"/>
              </w:rPr>
            </w:pPr>
            <w:r w:rsidRPr="00FF0025">
              <w:rPr>
                <w:rFonts w:cs="Calibri"/>
                <w:color w:val="FFFFFF" w:themeColor="background1"/>
                <w:sz w:val="18"/>
                <w:szCs w:val="18"/>
              </w:rPr>
              <w:t>the amount of income from continuing operations and from discontinued operations attributable to the parent, i.e. Example Agency.</w:t>
            </w:r>
          </w:p>
        </w:tc>
      </w:tr>
      <w:tr w:rsidR="009963B2" w:rsidRPr="00CF7E1B" w14:paraId="67736440" w14:textId="77777777" w:rsidTr="0004564D">
        <w:trPr>
          <w:cantSplit/>
          <w:trHeight w:val="300"/>
        </w:trPr>
        <w:tc>
          <w:tcPr>
            <w:tcW w:w="1560" w:type="dxa"/>
            <w:tcBorders>
              <w:left w:val="single" w:sz="2" w:space="0" w:color="auto"/>
              <w:right w:val="single" w:sz="2" w:space="0" w:color="auto"/>
            </w:tcBorders>
          </w:tcPr>
          <w:p w14:paraId="581C21E1" w14:textId="77777777" w:rsidR="009963B2" w:rsidRPr="00FF0025" w:rsidRDefault="009963B2" w:rsidP="009963B2">
            <w:pPr>
              <w:pStyle w:val="TableReference"/>
              <w:spacing w:before="80"/>
              <w:rPr>
                <w:rFonts w:cs="Calibri"/>
                <w:color w:val="7030A0"/>
                <w:sz w:val="14"/>
              </w:rPr>
            </w:pPr>
            <w:r w:rsidRPr="00FF0025">
              <w:rPr>
                <w:rFonts w:cs="Calibri"/>
                <w:color w:val="7030A0"/>
                <w:sz w:val="14"/>
              </w:rPr>
              <w:t>AASB 101.82(ea)</w:t>
            </w:r>
          </w:p>
          <w:p w14:paraId="6C60C4EB" w14:textId="77777777" w:rsidR="009963B2" w:rsidRPr="00FF0025" w:rsidRDefault="009963B2" w:rsidP="00837347">
            <w:pPr>
              <w:pStyle w:val="TableReference"/>
              <w:rPr>
                <w:rFonts w:cs="Calibri"/>
                <w:color w:val="7030A0"/>
                <w:sz w:val="14"/>
              </w:rPr>
            </w:pPr>
          </w:p>
        </w:tc>
        <w:tc>
          <w:tcPr>
            <w:tcW w:w="8930" w:type="dxa"/>
            <w:tcBorders>
              <w:left w:val="single" w:sz="2" w:space="0" w:color="auto"/>
            </w:tcBorders>
            <w:shd w:val="clear" w:color="auto" w:fill="7030A0"/>
          </w:tcPr>
          <w:p w14:paraId="576F649B" w14:textId="042E0776" w:rsidR="009963B2" w:rsidRPr="00FF0025" w:rsidRDefault="009963B2" w:rsidP="009963B2">
            <w:pPr>
              <w:pStyle w:val="BodyText2"/>
              <w:tabs>
                <w:tab w:val="clear" w:pos="3306"/>
              </w:tabs>
              <w:autoSpaceDE w:val="0"/>
              <w:autoSpaceDN w:val="0"/>
              <w:adjustRightInd w:val="0"/>
              <w:spacing w:after="120"/>
              <w:jc w:val="both"/>
              <w:rPr>
                <w:rFonts w:cs="Calibri"/>
                <w:strike/>
                <w:color w:val="FFFFFF" w:themeColor="background1"/>
                <w:sz w:val="18"/>
                <w:szCs w:val="18"/>
              </w:rPr>
            </w:pPr>
            <w:r w:rsidRPr="00FF0025">
              <w:rPr>
                <w:rFonts w:cs="Calibri"/>
                <w:color w:val="FFFFFF" w:themeColor="background1"/>
                <w:sz w:val="18"/>
                <w:szCs w:val="18"/>
              </w:rPr>
              <w:t xml:space="preserve">The operating statement shall include a single amount for the total of discontinued operations. </w:t>
            </w:r>
          </w:p>
        </w:tc>
      </w:tr>
      <w:tr w:rsidR="009963B2" w:rsidRPr="00CF7E1B" w14:paraId="6BF06D79" w14:textId="77777777" w:rsidTr="0004564D">
        <w:trPr>
          <w:cantSplit/>
          <w:trHeight w:val="300"/>
        </w:trPr>
        <w:tc>
          <w:tcPr>
            <w:tcW w:w="1560" w:type="dxa"/>
            <w:tcBorders>
              <w:left w:val="single" w:sz="2" w:space="0" w:color="auto"/>
              <w:right w:val="single" w:sz="2" w:space="0" w:color="auto"/>
            </w:tcBorders>
          </w:tcPr>
          <w:p w14:paraId="00513D10" w14:textId="77777777" w:rsidR="009963B2" w:rsidRPr="00FF0025" w:rsidRDefault="009963B2" w:rsidP="00837347">
            <w:pPr>
              <w:pStyle w:val="TableReference"/>
              <w:rPr>
                <w:rFonts w:cs="Calibri"/>
                <w:color w:val="7030A0"/>
                <w:sz w:val="14"/>
              </w:rPr>
            </w:pPr>
          </w:p>
        </w:tc>
        <w:tc>
          <w:tcPr>
            <w:tcW w:w="8930" w:type="dxa"/>
            <w:tcBorders>
              <w:left w:val="single" w:sz="2" w:space="0" w:color="auto"/>
            </w:tcBorders>
            <w:shd w:val="clear" w:color="auto" w:fill="7030A0"/>
          </w:tcPr>
          <w:p w14:paraId="47A04E80" w14:textId="0089EBFC" w:rsidR="009963B2" w:rsidRPr="00FF0025" w:rsidRDefault="009963B2" w:rsidP="009963B2">
            <w:pPr>
              <w:pStyle w:val="CommentaryText"/>
              <w:rPr>
                <w:rFonts w:cs="Calibri"/>
                <w:color w:val="FFFFFF" w:themeColor="background1"/>
                <w:sz w:val="18"/>
                <w:szCs w:val="18"/>
              </w:rPr>
            </w:pPr>
            <w:r w:rsidRPr="00FF0025">
              <w:rPr>
                <w:rFonts w:cs="Calibri"/>
                <w:color w:val="FFFFFF" w:themeColor="background1"/>
                <w:sz w:val="18"/>
                <w:szCs w:val="18"/>
              </w:rPr>
              <w:t>An agency shall re-present the above disclosures for prior periods presented in the financial statements so that the disclosures relate to all operations that have been discontinued by the reporting date for the latest period presented.</w:t>
            </w:r>
          </w:p>
        </w:tc>
      </w:tr>
      <w:tr w:rsidR="009963B2" w:rsidRPr="00CF7E1B" w14:paraId="335FBA2F" w14:textId="77777777" w:rsidTr="0004564D">
        <w:trPr>
          <w:cantSplit/>
          <w:trHeight w:val="300"/>
        </w:trPr>
        <w:tc>
          <w:tcPr>
            <w:tcW w:w="1560" w:type="dxa"/>
            <w:tcBorders>
              <w:left w:val="single" w:sz="2" w:space="0" w:color="auto"/>
              <w:right w:val="single" w:sz="2" w:space="0" w:color="auto"/>
            </w:tcBorders>
          </w:tcPr>
          <w:p w14:paraId="4D97F2AE" w14:textId="77777777" w:rsidR="009963B2" w:rsidRPr="00FF0025" w:rsidRDefault="009963B2" w:rsidP="009963B2">
            <w:pPr>
              <w:pStyle w:val="TableReference"/>
              <w:rPr>
                <w:rFonts w:cs="Calibri"/>
                <w:color w:val="7030A0"/>
                <w:sz w:val="14"/>
              </w:rPr>
            </w:pPr>
            <w:r w:rsidRPr="00FF0025">
              <w:rPr>
                <w:rFonts w:cs="Calibri"/>
                <w:color w:val="7030A0"/>
                <w:sz w:val="14"/>
              </w:rPr>
              <w:t>AASB 5.34</w:t>
            </w:r>
          </w:p>
          <w:p w14:paraId="0E4BE5D4" w14:textId="77777777" w:rsidR="009963B2" w:rsidRPr="00FF0025" w:rsidRDefault="009963B2" w:rsidP="00837347">
            <w:pPr>
              <w:pStyle w:val="TableReference"/>
              <w:rPr>
                <w:rFonts w:cs="Calibri"/>
                <w:color w:val="7030A0"/>
                <w:sz w:val="14"/>
              </w:rPr>
            </w:pPr>
          </w:p>
        </w:tc>
        <w:tc>
          <w:tcPr>
            <w:tcW w:w="8930" w:type="dxa"/>
            <w:tcBorders>
              <w:left w:val="single" w:sz="2" w:space="0" w:color="auto"/>
            </w:tcBorders>
            <w:shd w:val="clear" w:color="auto" w:fill="7030A0"/>
          </w:tcPr>
          <w:p w14:paraId="10BCBB07" w14:textId="3461F4D1" w:rsidR="009963B2" w:rsidRPr="00FF0025" w:rsidRDefault="00F117D3" w:rsidP="00703D62">
            <w:pPr>
              <w:pStyle w:val="CommentaryHeading"/>
              <w:spacing w:before="0" w:after="120"/>
              <w:rPr>
                <w:rFonts w:cs="Calibri"/>
                <w:color w:val="FFFFFF" w:themeColor="background1"/>
                <w:sz w:val="18"/>
              </w:rPr>
            </w:pPr>
            <w:r w:rsidRPr="00FF0025">
              <w:rPr>
                <w:rFonts w:cs="Calibri"/>
                <w:b w:val="0"/>
                <w:color w:val="FFFFFF" w:themeColor="background1"/>
                <w:sz w:val="18"/>
              </w:rPr>
              <w:t>T</w:t>
            </w:r>
            <w:r w:rsidR="009963B2" w:rsidRPr="00FF0025">
              <w:rPr>
                <w:rFonts w:cs="Calibri"/>
                <w:b w:val="0"/>
                <w:color w:val="FFFFFF" w:themeColor="background1"/>
                <w:sz w:val="18"/>
              </w:rPr>
              <w:t xml:space="preserve">he classification of an operation as discontinued at the reporting date, </w:t>
            </w:r>
            <w:r w:rsidRPr="00FF0025">
              <w:rPr>
                <w:rFonts w:cs="Calibri"/>
                <w:b w:val="0"/>
                <w:color w:val="FFFFFF" w:themeColor="background1"/>
                <w:sz w:val="18"/>
              </w:rPr>
              <w:t xml:space="preserve">is prohibited </w:t>
            </w:r>
            <w:r w:rsidR="009963B2" w:rsidRPr="00FF0025">
              <w:rPr>
                <w:rFonts w:cs="Calibri"/>
                <w:b w:val="0"/>
                <w:color w:val="FFFFFF" w:themeColor="background1"/>
                <w:sz w:val="18"/>
              </w:rPr>
              <w:t>if it did not meet the classification criteria until after the reporting date.</w:t>
            </w:r>
          </w:p>
        </w:tc>
      </w:tr>
    </w:tbl>
    <w:p w14:paraId="77113CB3" w14:textId="6B52A1A0" w:rsidR="00ED1682" w:rsidRDefault="00ED1682"/>
    <w:p w14:paraId="7353EB5B" w14:textId="4F66B0C4" w:rsidR="009F7B79" w:rsidRPr="009F7B79" w:rsidRDefault="009F7B79" w:rsidP="009F7B79">
      <w:pPr>
        <w:sectPr w:rsidR="009F7B79" w:rsidRPr="009F7B79" w:rsidSect="002D4841">
          <w:headerReference w:type="default" r:id="rId40"/>
          <w:footnotePr>
            <w:numRestart w:val="eachPage"/>
          </w:footnotePr>
          <w:pgSz w:w="11907" w:h="16840" w:code="9"/>
          <w:pgMar w:top="680" w:right="1134" w:bottom="896" w:left="680" w:header="624" w:footer="284" w:gutter="0"/>
          <w:cols w:space="720"/>
          <w:docGrid w:linePitch="326"/>
        </w:sectPr>
      </w:pPr>
    </w:p>
    <w:p w14:paraId="7578EA35" w14:textId="77777777" w:rsidR="001632DA" w:rsidRDefault="001632DA"/>
    <w:p w14:paraId="3ABDDFAD" w14:textId="77777777" w:rsidR="001632DA" w:rsidRDefault="001632DA"/>
    <w:p w14:paraId="213AC365" w14:textId="77777777" w:rsidR="00701D94" w:rsidRDefault="00701D94"/>
    <w:p w14:paraId="6666C178" w14:textId="38257D60" w:rsidR="001632DA" w:rsidRPr="00FF0025" w:rsidRDefault="001632DA" w:rsidP="00256E61">
      <w:pPr>
        <w:pStyle w:val="Title"/>
      </w:pPr>
      <w:r w:rsidRPr="00FF0025">
        <w:t>‘</w:t>
      </w:r>
      <w:r w:rsidR="00027610" w:rsidRPr="00FF0025">
        <w:t xml:space="preserve">Burley Griffin </w:t>
      </w:r>
      <w:r w:rsidRPr="00FF0025">
        <w:t>AGENCY’</w:t>
      </w:r>
    </w:p>
    <w:p w14:paraId="0F191940" w14:textId="77777777" w:rsidR="001632DA" w:rsidRPr="00FF0025" w:rsidRDefault="001632DA" w:rsidP="001632DA">
      <w:pPr>
        <w:pStyle w:val="Title"/>
        <w:rPr>
          <w:highlight w:val="yellow"/>
        </w:rPr>
      </w:pPr>
    </w:p>
    <w:p w14:paraId="50EA5B01" w14:textId="77777777" w:rsidR="001632DA" w:rsidRPr="00FF0025" w:rsidRDefault="001632DA" w:rsidP="001632DA">
      <w:pPr>
        <w:pStyle w:val="Title"/>
        <w:rPr>
          <w:highlight w:val="yellow"/>
        </w:rPr>
      </w:pPr>
    </w:p>
    <w:p w14:paraId="49B21C64" w14:textId="77777777" w:rsidR="001632DA" w:rsidRPr="00FF0025" w:rsidRDefault="001632DA" w:rsidP="001632DA">
      <w:pPr>
        <w:pStyle w:val="Title"/>
        <w:rPr>
          <w:highlight w:val="yellow"/>
        </w:rPr>
      </w:pPr>
    </w:p>
    <w:p w14:paraId="50F7F8CD" w14:textId="77777777" w:rsidR="001632DA" w:rsidRPr="00FF0025" w:rsidRDefault="001632DA" w:rsidP="00256E61">
      <w:pPr>
        <w:pStyle w:val="Subtitle"/>
      </w:pPr>
      <w:bookmarkStart w:id="797" w:name="_Toc400627365"/>
      <w:bookmarkStart w:id="798" w:name="_Toc98763184"/>
      <w:r w:rsidRPr="00FF0025">
        <w:t>TERRITORIAL FINANCIAL STATEMENTS</w:t>
      </w:r>
      <w:r w:rsidRPr="00FF0025">
        <w:rPr>
          <w:vertAlign w:val="superscript"/>
        </w:rPr>
        <w:t>1</w:t>
      </w:r>
      <w:bookmarkEnd w:id="797"/>
      <w:bookmarkEnd w:id="798"/>
    </w:p>
    <w:p w14:paraId="5410AD75" w14:textId="77777777" w:rsidR="001632DA" w:rsidRPr="00FF0025" w:rsidRDefault="001632DA" w:rsidP="001632DA">
      <w:pPr>
        <w:pStyle w:val="Title"/>
      </w:pPr>
    </w:p>
    <w:p w14:paraId="1EDB4B4E" w14:textId="77777777" w:rsidR="001632DA" w:rsidRPr="00FF0025" w:rsidRDefault="001632DA" w:rsidP="001632DA">
      <w:pPr>
        <w:pStyle w:val="Title"/>
      </w:pPr>
    </w:p>
    <w:p w14:paraId="5DE4B518" w14:textId="77777777" w:rsidR="001632DA" w:rsidRPr="00FF0025" w:rsidRDefault="001632DA" w:rsidP="001632DA">
      <w:pPr>
        <w:pStyle w:val="Title"/>
      </w:pPr>
    </w:p>
    <w:p w14:paraId="2A0437AE" w14:textId="77777777" w:rsidR="00256E61" w:rsidRPr="00FF0025" w:rsidRDefault="00256E61" w:rsidP="001632DA">
      <w:pPr>
        <w:pStyle w:val="Title"/>
      </w:pPr>
    </w:p>
    <w:p w14:paraId="7ED8DF81" w14:textId="77777777" w:rsidR="00256E61" w:rsidRPr="00FF0025" w:rsidRDefault="00256E61" w:rsidP="001632DA">
      <w:pPr>
        <w:pStyle w:val="Title"/>
      </w:pPr>
    </w:p>
    <w:p w14:paraId="61035B23" w14:textId="3EE16410" w:rsidR="001632DA" w:rsidRPr="00FF0025" w:rsidRDefault="001632DA" w:rsidP="001632DA">
      <w:pPr>
        <w:pStyle w:val="Title"/>
      </w:pPr>
      <w:r w:rsidRPr="00FF0025">
        <w:t xml:space="preserve">FOR THE YEAR ENDED 30 JUNE </w:t>
      </w:r>
      <w:r w:rsidR="00C32BD7" w:rsidRPr="00FF0025">
        <w:t>202</w:t>
      </w:r>
      <w:r w:rsidR="00631FF2" w:rsidRPr="00FF0025">
        <w:t>2</w:t>
      </w:r>
    </w:p>
    <w:p w14:paraId="58CC308B" w14:textId="77777777" w:rsidR="001632DA" w:rsidRPr="00FF0025" w:rsidRDefault="001632DA"/>
    <w:p w14:paraId="2C6F34BD" w14:textId="77777777" w:rsidR="00256E61" w:rsidRPr="00FF0025" w:rsidRDefault="00256E61"/>
    <w:p w14:paraId="4147143F" w14:textId="77777777" w:rsidR="00256E61" w:rsidRDefault="00256E61"/>
    <w:p w14:paraId="5EE089B4" w14:textId="77777777" w:rsidR="00256E61" w:rsidRDefault="00256E61"/>
    <w:p w14:paraId="670FAFE8" w14:textId="77777777" w:rsidR="00256E61" w:rsidRDefault="00256E61"/>
    <w:p w14:paraId="5FDC383D" w14:textId="77777777" w:rsidR="00256E61" w:rsidRDefault="00256E61"/>
    <w:p w14:paraId="1E6657A6" w14:textId="77777777" w:rsidR="00256E61" w:rsidRDefault="00256E61"/>
    <w:p w14:paraId="573D4CD3" w14:textId="77777777" w:rsidR="00256E61" w:rsidRDefault="00256E61"/>
    <w:p w14:paraId="65B92C77" w14:textId="77777777" w:rsidR="001632DA" w:rsidRDefault="001632DA"/>
    <w:p w14:paraId="0BEBCE11" w14:textId="77777777" w:rsidR="001632DA" w:rsidRDefault="001632DA"/>
    <w:p w14:paraId="704D06D0" w14:textId="798AF31E" w:rsidR="001632DA" w:rsidRDefault="001632DA" w:rsidP="001632DA">
      <w:pPr>
        <w:jc w:val="center"/>
        <w:rPr>
          <w:rFonts w:cs="Calibri"/>
          <w:b/>
        </w:rPr>
      </w:pPr>
      <w:r w:rsidRPr="00436E09">
        <w:rPr>
          <w:rFonts w:cs="Calibri"/>
          <w:b/>
        </w:rPr>
        <w:t>1.</w:t>
      </w:r>
      <w:r w:rsidR="00FA7C77">
        <w:rPr>
          <w:rFonts w:cs="Calibri"/>
          <w:b/>
        </w:rPr>
        <w:t xml:space="preserve"> </w:t>
      </w:r>
      <w:r w:rsidRPr="00436E09">
        <w:rPr>
          <w:rFonts w:cs="Calibri"/>
          <w:b/>
        </w:rPr>
        <w:t xml:space="preserve">Territorial Financial Statements are not required by territory authorities. </w:t>
      </w:r>
      <w:r w:rsidRPr="00436E09">
        <w:rPr>
          <w:rFonts w:cs="Calibri"/>
          <w:b/>
        </w:rPr>
        <w:br/>
        <w:t>Any guidance provided in this section will only apply to</w:t>
      </w:r>
      <w:r w:rsidR="00AB3663">
        <w:rPr>
          <w:rFonts w:cs="Calibri"/>
          <w:b/>
        </w:rPr>
        <w:t xml:space="preserve"> ACT D</w:t>
      </w:r>
      <w:r w:rsidRPr="00436E09">
        <w:rPr>
          <w:rFonts w:cs="Calibri"/>
          <w:b/>
        </w:rPr>
        <w:t>irectorates.</w:t>
      </w:r>
    </w:p>
    <w:p w14:paraId="0938EEC4" w14:textId="5C4FE04C" w:rsidR="005D1C4B" w:rsidRDefault="005D1C4B" w:rsidP="001632DA">
      <w:pPr>
        <w:jc w:val="center"/>
      </w:pPr>
    </w:p>
    <w:p w14:paraId="7F5CACE1" w14:textId="63976C99" w:rsidR="005D1C4B" w:rsidRDefault="005D1C4B" w:rsidP="001632DA">
      <w:pPr>
        <w:jc w:val="center"/>
      </w:pPr>
    </w:p>
    <w:p w14:paraId="432E0345" w14:textId="3283DF22" w:rsidR="005D1C4B" w:rsidRDefault="005D1C4B" w:rsidP="001632DA">
      <w:pPr>
        <w:jc w:val="center"/>
      </w:pPr>
    </w:p>
    <w:p w14:paraId="0813EA41" w14:textId="4F2E3EB3" w:rsidR="005D1C4B" w:rsidRDefault="005D1C4B" w:rsidP="001632DA">
      <w:pPr>
        <w:jc w:val="center"/>
      </w:pPr>
    </w:p>
    <w:p w14:paraId="3C2830EB" w14:textId="580A2837" w:rsidR="005D1C4B" w:rsidRDefault="005D1C4B" w:rsidP="001632DA">
      <w:pPr>
        <w:jc w:val="center"/>
      </w:pPr>
    </w:p>
    <w:p w14:paraId="18B5B2DB" w14:textId="06BEF6DF" w:rsidR="005D1C4B" w:rsidRDefault="005D1C4B" w:rsidP="001632DA">
      <w:pPr>
        <w:jc w:val="center"/>
      </w:pPr>
    </w:p>
    <w:p w14:paraId="671184A7" w14:textId="274CEF0C" w:rsidR="005D1C4B" w:rsidRDefault="005D1C4B" w:rsidP="001632DA">
      <w:pPr>
        <w:jc w:val="center"/>
      </w:pPr>
    </w:p>
    <w:p w14:paraId="4D7B5D66" w14:textId="7CADA882" w:rsidR="005D1C4B" w:rsidRDefault="005D1C4B" w:rsidP="001632DA">
      <w:pPr>
        <w:jc w:val="center"/>
      </w:pPr>
    </w:p>
    <w:p w14:paraId="2D2686CD" w14:textId="1AACB91C" w:rsidR="005D1C4B" w:rsidRDefault="005D1C4B" w:rsidP="001632DA">
      <w:pPr>
        <w:jc w:val="center"/>
      </w:pPr>
    </w:p>
    <w:p w14:paraId="6F462CA1" w14:textId="78627681" w:rsidR="005D1C4B" w:rsidRDefault="005D1C4B" w:rsidP="001632DA">
      <w:pPr>
        <w:jc w:val="center"/>
      </w:pPr>
    </w:p>
    <w:p w14:paraId="74692C65" w14:textId="2757181D" w:rsidR="005D1C4B" w:rsidRDefault="005D1C4B" w:rsidP="001632DA">
      <w:pPr>
        <w:jc w:val="center"/>
      </w:pPr>
    </w:p>
    <w:p w14:paraId="5344CC2D" w14:textId="62B13D5E" w:rsidR="005D1C4B" w:rsidRDefault="005D1C4B" w:rsidP="001632DA">
      <w:pPr>
        <w:jc w:val="center"/>
      </w:pPr>
    </w:p>
    <w:p w14:paraId="448C1C96" w14:textId="090AE1F7" w:rsidR="005D1C4B" w:rsidRDefault="005D1C4B" w:rsidP="001632DA">
      <w:pPr>
        <w:jc w:val="center"/>
      </w:pPr>
    </w:p>
    <w:p w14:paraId="018B6EBE" w14:textId="77777777" w:rsidR="005D1C4B" w:rsidRPr="00436E09" w:rsidRDefault="005D1C4B" w:rsidP="001632DA">
      <w:pPr>
        <w:jc w:val="center"/>
      </w:pPr>
    </w:p>
    <w:p w14:paraId="3545E834" w14:textId="00339DF6" w:rsidR="005D1C4B" w:rsidRPr="00AC3DDE" w:rsidRDefault="005D1C4B" w:rsidP="005D1C4B">
      <w:pPr>
        <w:spacing w:line="400" w:lineRule="exact"/>
        <w:jc w:val="center"/>
        <w:rPr>
          <w:rFonts w:asciiTheme="minorHAnsi" w:hAnsiTheme="minorHAnsi"/>
          <w:b/>
          <w:sz w:val="40"/>
          <w:szCs w:val="40"/>
        </w:rPr>
      </w:pPr>
      <w:bookmarkStart w:id="799" w:name="_Hlk90929770"/>
      <w:bookmarkStart w:id="800" w:name="_Toc194918659"/>
      <w:bookmarkStart w:id="801" w:name="_Toc253496235"/>
      <w:r w:rsidRPr="00AC3DDE">
        <w:rPr>
          <w:rFonts w:asciiTheme="minorHAnsi" w:hAnsiTheme="minorHAnsi"/>
          <w:b/>
          <w:sz w:val="40"/>
          <w:szCs w:val="40"/>
        </w:rPr>
        <w:t>‘</w:t>
      </w:r>
      <w:r w:rsidR="00027610" w:rsidRPr="00AC3DDE">
        <w:rPr>
          <w:rFonts w:asciiTheme="minorHAnsi" w:hAnsiTheme="minorHAnsi"/>
          <w:b/>
          <w:sz w:val="40"/>
          <w:szCs w:val="40"/>
        </w:rPr>
        <w:t xml:space="preserve">Burley Griffin </w:t>
      </w:r>
      <w:r w:rsidRPr="00AC3DDE">
        <w:rPr>
          <w:rFonts w:asciiTheme="minorHAnsi" w:hAnsiTheme="minorHAnsi"/>
          <w:b/>
          <w:sz w:val="40"/>
          <w:szCs w:val="40"/>
        </w:rPr>
        <w:t xml:space="preserve">Agency’ </w:t>
      </w:r>
    </w:p>
    <w:p w14:paraId="55E9F26C" w14:textId="54788E9B" w:rsidR="005D1C4B" w:rsidRPr="00AC3DDE" w:rsidRDefault="005D1C4B" w:rsidP="005D1C4B">
      <w:pPr>
        <w:pStyle w:val="Subtitle"/>
        <w:spacing w:line="400" w:lineRule="exact"/>
        <w:rPr>
          <w:rFonts w:asciiTheme="minorHAnsi" w:hAnsiTheme="minorHAnsi" w:cstheme="minorHAnsi"/>
        </w:rPr>
      </w:pPr>
      <w:bookmarkStart w:id="802" w:name="_Toc98763185"/>
      <w:r w:rsidRPr="00AC3DDE">
        <w:rPr>
          <w:rFonts w:asciiTheme="minorHAnsi" w:hAnsiTheme="minorHAnsi" w:cstheme="minorHAnsi"/>
        </w:rPr>
        <w:t xml:space="preserve">Content of Territorial </w:t>
      </w:r>
      <w:r w:rsidRPr="00AC3DDE">
        <w:rPr>
          <w:rFonts w:asciiTheme="minorHAnsi" w:hAnsiTheme="minorHAnsi"/>
          <w:szCs w:val="40"/>
        </w:rPr>
        <w:t>Financial Statements</w:t>
      </w:r>
      <w:bookmarkEnd w:id="802"/>
      <w:r w:rsidRPr="00AC3DDE">
        <w:rPr>
          <w:rFonts w:asciiTheme="minorHAnsi" w:hAnsiTheme="minorHAnsi" w:cstheme="minorHAnsi"/>
        </w:rPr>
        <w:t xml:space="preserve"> </w:t>
      </w:r>
    </w:p>
    <w:tbl>
      <w:tblPr>
        <w:tblW w:w="4986" w:type="pct"/>
        <w:tblInd w:w="-3" w:type="dxa"/>
        <w:tblLayout w:type="fixed"/>
        <w:tblLook w:val="00A0" w:firstRow="1" w:lastRow="0" w:firstColumn="1" w:lastColumn="0" w:noHBand="0" w:noVBand="0"/>
      </w:tblPr>
      <w:tblGrid>
        <w:gridCol w:w="1558"/>
        <w:gridCol w:w="236"/>
        <w:gridCol w:w="7768"/>
        <w:gridCol w:w="103"/>
        <w:gridCol w:w="746"/>
        <w:gridCol w:w="78"/>
        <w:gridCol w:w="25"/>
      </w:tblGrid>
      <w:tr w:rsidR="00AC3DDE" w:rsidRPr="00AC3DDE" w14:paraId="2EC59A8B" w14:textId="77777777" w:rsidTr="0004564D">
        <w:tc>
          <w:tcPr>
            <w:tcW w:w="741" w:type="pct"/>
            <w:tcBorders>
              <w:left w:val="single" w:sz="2" w:space="0" w:color="auto"/>
              <w:right w:val="single" w:sz="2" w:space="0" w:color="auto"/>
            </w:tcBorders>
          </w:tcPr>
          <w:p w14:paraId="01B1EA64" w14:textId="635FF7C1" w:rsidR="005D1C4B" w:rsidRPr="00AC3DDE" w:rsidRDefault="005D1C4B" w:rsidP="009A0F2F">
            <w:pPr>
              <w:pStyle w:val="TableText"/>
              <w:tabs>
                <w:tab w:val="left" w:pos="3306"/>
              </w:tabs>
              <w:spacing w:before="120" w:after="120"/>
              <w:rPr>
                <w:rFonts w:cs="Calibri"/>
                <w:b/>
                <w:strike/>
                <w:snapToGrid w:val="0"/>
                <w:sz w:val="24"/>
                <w:szCs w:val="24"/>
              </w:rPr>
            </w:pPr>
            <w:bookmarkStart w:id="803" w:name="_Hlk89272058"/>
          </w:p>
        </w:tc>
        <w:tc>
          <w:tcPr>
            <w:tcW w:w="112" w:type="pct"/>
            <w:tcBorders>
              <w:left w:val="single" w:sz="2" w:space="0" w:color="auto"/>
              <w:right w:val="nil"/>
            </w:tcBorders>
          </w:tcPr>
          <w:p w14:paraId="2179C2AA" w14:textId="77777777" w:rsidR="005D1C4B" w:rsidRPr="00AC3DDE" w:rsidRDefault="005D1C4B" w:rsidP="009A0F2F">
            <w:pPr>
              <w:pStyle w:val="TableText"/>
              <w:tabs>
                <w:tab w:val="left" w:pos="3306"/>
              </w:tabs>
              <w:spacing w:before="120" w:after="120"/>
              <w:rPr>
                <w:rFonts w:cs="Calibri"/>
                <w:b/>
                <w:strike/>
                <w:snapToGrid w:val="0"/>
                <w:sz w:val="24"/>
                <w:szCs w:val="24"/>
              </w:rPr>
            </w:pPr>
          </w:p>
        </w:tc>
        <w:tc>
          <w:tcPr>
            <w:tcW w:w="3743" w:type="pct"/>
            <w:gridSpan w:val="2"/>
            <w:tcBorders>
              <w:left w:val="nil"/>
            </w:tcBorders>
          </w:tcPr>
          <w:p w14:paraId="572DC069" w14:textId="062F65C5" w:rsidR="005D1C4B" w:rsidRPr="00AC3DDE" w:rsidRDefault="005D1C4B" w:rsidP="009A0F2F">
            <w:pPr>
              <w:pStyle w:val="TableText"/>
              <w:tabs>
                <w:tab w:val="left" w:pos="3306"/>
              </w:tabs>
              <w:spacing w:before="120" w:after="120"/>
              <w:rPr>
                <w:rFonts w:cs="Calibri"/>
                <w:b/>
                <w:strike/>
                <w:snapToGrid w:val="0"/>
                <w:sz w:val="24"/>
                <w:szCs w:val="24"/>
              </w:rPr>
            </w:pPr>
          </w:p>
        </w:tc>
        <w:tc>
          <w:tcPr>
            <w:tcW w:w="404" w:type="pct"/>
            <w:gridSpan w:val="3"/>
          </w:tcPr>
          <w:p w14:paraId="113B6605" w14:textId="77777777" w:rsidR="005D1C4B" w:rsidRPr="00AC3DDE" w:rsidRDefault="005D1C4B" w:rsidP="009A0F2F">
            <w:pPr>
              <w:pStyle w:val="TableText"/>
              <w:tabs>
                <w:tab w:val="left" w:pos="3306"/>
              </w:tabs>
              <w:spacing w:before="120" w:after="120"/>
              <w:jc w:val="right"/>
              <w:rPr>
                <w:rFonts w:cs="Calibri"/>
                <w:b/>
                <w:snapToGrid w:val="0"/>
                <w:sz w:val="24"/>
                <w:szCs w:val="24"/>
              </w:rPr>
            </w:pPr>
            <w:r w:rsidRPr="00AC3DDE">
              <w:rPr>
                <w:rFonts w:cs="Calibri"/>
                <w:b/>
                <w:snapToGrid w:val="0"/>
                <w:sz w:val="24"/>
                <w:szCs w:val="24"/>
              </w:rPr>
              <w:t>Page</w:t>
            </w:r>
          </w:p>
        </w:tc>
      </w:tr>
      <w:tr w:rsidR="00AC3DDE" w:rsidRPr="00AC3DDE" w14:paraId="4C4F82A3" w14:textId="77777777" w:rsidTr="0004564D">
        <w:trPr>
          <w:gridAfter w:val="2"/>
          <w:wAfter w:w="49" w:type="pct"/>
        </w:trPr>
        <w:tc>
          <w:tcPr>
            <w:tcW w:w="741" w:type="pct"/>
            <w:tcBorders>
              <w:left w:val="single" w:sz="2" w:space="0" w:color="auto"/>
              <w:bottom w:val="nil"/>
              <w:right w:val="single" w:sz="2" w:space="0" w:color="auto"/>
            </w:tcBorders>
          </w:tcPr>
          <w:p w14:paraId="6DC6A055" w14:textId="3FD48400" w:rsidR="005D1C4B" w:rsidRPr="00AC3DDE" w:rsidRDefault="005D1C4B" w:rsidP="009A0F2F">
            <w:pPr>
              <w:pStyle w:val="TableText"/>
              <w:tabs>
                <w:tab w:val="left" w:pos="3306"/>
              </w:tabs>
              <w:rPr>
                <w:rFonts w:cs="Calibri"/>
                <w:snapToGrid w:val="0"/>
              </w:rPr>
            </w:pPr>
          </w:p>
        </w:tc>
        <w:tc>
          <w:tcPr>
            <w:tcW w:w="3806" w:type="pct"/>
            <w:gridSpan w:val="2"/>
            <w:tcBorders>
              <w:left w:val="single" w:sz="2" w:space="0" w:color="auto"/>
              <w:bottom w:val="nil"/>
            </w:tcBorders>
          </w:tcPr>
          <w:p w14:paraId="7951EE8B" w14:textId="6F772D47" w:rsidR="005D1C4B" w:rsidRPr="00AC3DDE" w:rsidRDefault="005D1C4B" w:rsidP="009A0F2F">
            <w:pPr>
              <w:pStyle w:val="TableText"/>
              <w:tabs>
                <w:tab w:val="left" w:pos="3306"/>
              </w:tabs>
              <w:rPr>
                <w:rFonts w:cs="Calibri"/>
                <w:snapToGrid w:val="0"/>
              </w:rPr>
            </w:pPr>
            <w:r w:rsidRPr="00AC3DDE">
              <w:rPr>
                <w:b/>
                <w:bCs/>
              </w:rPr>
              <w:t>Financial Statements</w:t>
            </w:r>
          </w:p>
        </w:tc>
        <w:tc>
          <w:tcPr>
            <w:tcW w:w="404" w:type="pct"/>
            <w:gridSpan w:val="2"/>
            <w:tcBorders>
              <w:bottom w:val="nil"/>
            </w:tcBorders>
          </w:tcPr>
          <w:p w14:paraId="57394D18" w14:textId="4D2A19A0" w:rsidR="005D1C4B" w:rsidRPr="00AC3DDE" w:rsidRDefault="005D1C4B" w:rsidP="009A0F2F">
            <w:pPr>
              <w:pStyle w:val="TableText"/>
              <w:tabs>
                <w:tab w:val="left" w:pos="3306"/>
              </w:tabs>
              <w:jc w:val="right"/>
              <w:rPr>
                <w:rFonts w:cs="Calibri"/>
                <w:snapToGrid w:val="0"/>
              </w:rPr>
            </w:pPr>
          </w:p>
        </w:tc>
      </w:tr>
      <w:tr w:rsidR="00AC3DDE" w:rsidRPr="00AC3DDE" w14:paraId="7C947F27" w14:textId="77777777" w:rsidTr="0004564D">
        <w:trPr>
          <w:gridAfter w:val="2"/>
          <w:wAfter w:w="49" w:type="pct"/>
        </w:trPr>
        <w:tc>
          <w:tcPr>
            <w:tcW w:w="741" w:type="pct"/>
            <w:tcBorders>
              <w:left w:val="single" w:sz="2" w:space="0" w:color="auto"/>
              <w:bottom w:val="nil"/>
              <w:right w:val="single" w:sz="2" w:space="0" w:color="auto"/>
            </w:tcBorders>
          </w:tcPr>
          <w:p w14:paraId="79549A1F" w14:textId="77777777" w:rsidR="005D1C4B" w:rsidRPr="00AC3DDE" w:rsidRDefault="005D1C4B" w:rsidP="009A0F2F">
            <w:pPr>
              <w:pStyle w:val="TableText"/>
              <w:tabs>
                <w:tab w:val="left" w:pos="3306"/>
              </w:tabs>
              <w:rPr>
                <w:rFonts w:cs="Calibri"/>
                <w:snapToGrid w:val="0"/>
              </w:rPr>
            </w:pPr>
          </w:p>
        </w:tc>
        <w:tc>
          <w:tcPr>
            <w:tcW w:w="3806" w:type="pct"/>
            <w:gridSpan w:val="2"/>
            <w:tcBorders>
              <w:left w:val="single" w:sz="2" w:space="0" w:color="auto"/>
              <w:bottom w:val="nil"/>
            </w:tcBorders>
          </w:tcPr>
          <w:p w14:paraId="2F2A1649" w14:textId="68BFE976" w:rsidR="005D1C4B" w:rsidRPr="00AC3DDE" w:rsidRDefault="005D1C4B" w:rsidP="009A0F2F">
            <w:pPr>
              <w:pStyle w:val="TableText"/>
              <w:tabs>
                <w:tab w:val="left" w:pos="3306"/>
              </w:tabs>
              <w:rPr>
                <w:rFonts w:cs="Calibri"/>
              </w:rPr>
            </w:pPr>
            <w:r w:rsidRPr="00AC3DDE">
              <w:rPr>
                <w:rFonts w:asciiTheme="minorHAnsi" w:hAnsiTheme="minorHAnsi" w:cstheme="minorHAnsi"/>
              </w:rPr>
              <w:t>Statement of Income and Expenses on Behalf of the Territory</w:t>
            </w:r>
          </w:p>
        </w:tc>
        <w:tc>
          <w:tcPr>
            <w:tcW w:w="404" w:type="pct"/>
            <w:gridSpan w:val="2"/>
            <w:tcBorders>
              <w:bottom w:val="nil"/>
            </w:tcBorders>
          </w:tcPr>
          <w:p w14:paraId="7CA5B819" w14:textId="77777777" w:rsidR="005D1C4B" w:rsidRPr="00AC3DDE" w:rsidRDefault="005D1C4B" w:rsidP="009A0F2F">
            <w:pPr>
              <w:pStyle w:val="TableText"/>
              <w:tabs>
                <w:tab w:val="left" w:pos="3306"/>
              </w:tabs>
              <w:jc w:val="right"/>
              <w:rPr>
                <w:rFonts w:cs="Calibri"/>
                <w:snapToGrid w:val="0"/>
              </w:rPr>
            </w:pPr>
          </w:p>
        </w:tc>
      </w:tr>
      <w:tr w:rsidR="00AC3DDE" w:rsidRPr="00AC3DDE" w14:paraId="051492BA" w14:textId="77777777" w:rsidTr="0004564D">
        <w:trPr>
          <w:gridAfter w:val="2"/>
          <w:wAfter w:w="49" w:type="pct"/>
          <w:trHeight w:val="256"/>
        </w:trPr>
        <w:tc>
          <w:tcPr>
            <w:tcW w:w="741" w:type="pct"/>
            <w:tcBorders>
              <w:left w:val="single" w:sz="2" w:space="0" w:color="auto"/>
              <w:bottom w:val="nil"/>
              <w:right w:val="single" w:sz="2" w:space="0" w:color="auto"/>
            </w:tcBorders>
          </w:tcPr>
          <w:p w14:paraId="350AAE92" w14:textId="77777777" w:rsidR="005D1C4B" w:rsidRPr="00AC3DDE" w:rsidRDefault="005D1C4B" w:rsidP="009A0F2F">
            <w:pPr>
              <w:pStyle w:val="TableText"/>
              <w:tabs>
                <w:tab w:val="left" w:pos="3306"/>
              </w:tabs>
              <w:rPr>
                <w:rFonts w:cs="Calibri"/>
                <w:snapToGrid w:val="0"/>
              </w:rPr>
            </w:pPr>
          </w:p>
        </w:tc>
        <w:tc>
          <w:tcPr>
            <w:tcW w:w="3806" w:type="pct"/>
            <w:gridSpan w:val="2"/>
            <w:tcBorders>
              <w:left w:val="single" w:sz="2" w:space="0" w:color="auto"/>
              <w:bottom w:val="nil"/>
            </w:tcBorders>
          </w:tcPr>
          <w:p w14:paraId="057906C4" w14:textId="77777777" w:rsidR="005D1C4B" w:rsidRPr="00AC3DDE" w:rsidRDefault="005D1C4B" w:rsidP="005D1C4B">
            <w:pPr>
              <w:pStyle w:val="Subtitle"/>
              <w:jc w:val="left"/>
              <w:rPr>
                <w:rFonts w:asciiTheme="minorHAnsi" w:hAnsiTheme="minorHAnsi" w:cstheme="minorHAnsi"/>
                <w:b w:val="0"/>
                <w:sz w:val="18"/>
                <w:szCs w:val="18"/>
              </w:rPr>
            </w:pPr>
            <w:bookmarkStart w:id="804" w:name="_Toc98763186"/>
            <w:r w:rsidRPr="00AC3DDE">
              <w:rPr>
                <w:rFonts w:asciiTheme="minorHAnsi" w:hAnsiTheme="minorHAnsi" w:cstheme="minorHAnsi"/>
                <w:b w:val="0"/>
                <w:sz w:val="18"/>
                <w:szCs w:val="18"/>
              </w:rPr>
              <w:t>Statement of Assets and Liabilities on Behalf of the Territory</w:t>
            </w:r>
            <w:bookmarkEnd w:id="804"/>
          </w:p>
          <w:p w14:paraId="7469A5A3" w14:textId="65181791" w:rsidR="005D1C4B" w:rsidRPr="00AC3DDE" w:rsidRDefault="005D1C4B" w:rsidP="005D1C4B">
            <w:pPr>
              <w:pStyle w:val="TableText"/>
              <w:tabs>
                <w:tab w:val="left" w:pos="3306"/>
              </w:tabs>
              <w:spacing w:before="0"/>
              <w:rPr>
                <w:rFonts w:asciiTheme="minorHAnsi" w:hAnsiTheme="minorHAnsi" w:cstheme="minorHAnsi"/>
              </w:rPr>
            </w:pPr>
            <w:r w:rsidRPr="00AC3DDE">
              <w:rPr>
                <w:rFonts w:asciiTheme="minorHAnsi" w:hAnsiTheme="minorHAnsi" w:cstheme="minorHAnsi"/>
              </w:rPr>
              <w:t>Statement of Changes in Equity on Behalf of the Territory</w:t>
            </w:r>
          </w:p>
        </w:tc>
        <w:tc>
          <w:tcPr>
            <w:tcW w:w="404" w:type="pct"/>
            <w:gridSpan w:val="2"/>
            <w:tcBorders>
              <w:bottom w:val="nil"/>
            </w:tcBorders>
          </w:tcPr>
          <w:p w14:paraId="140453EE" w14:textId="77777777" w:rsidR="005D1C4B" w:rsidRPr="00AC3DDE" w:rsidRDefault="005D1C4B" w:rsidP="009A0F2F">
            <w:pPr>
              <w:pStyle w:val="TableText"/>
              <w:tabs>
                <w:tab w:val="left" w:pos="3306"/>
              </w:tabs>
              <w:jc w:val="right"/>
              <w:rPr>
                <w:rFonts w:cs="Calibri"/>
                <w:snapToGrid w:val="0"/>
              </w:rPr>
            </w:pPr>
          </w:p>
        </w:tc>
      </w:tr>
      <w:tr w:rsidR="00AC3DDE" w:rsidRPr="00AC3DDE" w14:paraId="4BCF5685" w14:textId="77777777" w:rsidTr="0004564D">
        <w:trPr>
          <w:gridAfter w:val="2"/>
          <w:wAfter w:w="49" w:type="pct"/>
        </w:trPr>
        <w:tc>
          <w:tcPr>
            <w:tcW w:w="741" w:type="pct"/>
            <w:tcBorders>
              <w:left w:val="single" w:sz="2" w:space="0" w:color="auto"/>
              <w:bottom w:val="nil"/>
              <w:right w:val="single" w:sz="2" w:space="0" w:color="auto"/>
            </w:tcBorders>
          </w:tcPr>
          <w:p w14:paraId="0E352C9E" w14:textId="77777777" w:rsidR="005D1C4B" w:rsidRPr="00AC3DDE" w:rsidRDefault="005D1C4B" w:rsidP="00FE5846">
            <w:pPr>
              <w:pStyle w:val="TableText"/>
              <w:tabs>
                <w:tab w:val="left" w:pos="3306"/>
              </w:tabs>
              <w:spacing w:before="0"/>
              <w:rPr>
                <w:rFonts w:cs="Calibri"/>
                <w:snapToGrid w:val="0"/>
              </w:rPr>
            </w:pPr>
          </w:p>
        </w:tc>
        <w:tc>
          <w:tcPr>
            <w:tcW w:w="3806" w:type="pct"/>
            <w:gridSpan w:val="2"/>
            <w:tcBorders>
              <w:left w:val="single" w:sz="2" w:space="0" w:color="auto"/>
              <w:bottom w:val="nil"/>
            </w:tcBorders>
          </w:tcPr>
          <w:p w14:paraId="1B764853" w14:textId="7A36D37E" w:rsidR="005D1C4B" w:rsidRPr="00AC3DDE" w:rsidRDefault="00FE5846" w:rsidP="00FE5846">
            <w:pPr>
              <w:pStyle w:val="Subtitle"/>
              <w:jc w:val="left"/>
              <w:rPr>
                <w:rFonts w:asciiTheme="minorHAnsi" w:hAnsiTheme="minorHAnsi" w:cstheme="minorHAnsi"/>
                <w:b w:val="0"/>
                <w:sz w:val="18"/>
                <w:szCs w:val="18"/>
              </w:rPr>
            </w:pPr>
            <w:bookmarkStart w:id="805" w:name="_Toc98763187"/>
            <w:r w:rsidRPr="00AC3DDE">
              <w:rPr>
                <w:rFonts w:asciiTheme="minorHAnsi" w:hAnsiTheme="minorHAnsi" w:cstheme="minorHAnsi"/>
                <w:b w:val="0"/>
                <w:sz w:val="18"/>
                <w:szCs w:val="18"/>
              </w:rPr>
              <w:t>Statement of Cash Flows on Behalf of the Territory</w:t>
            </w:r>
            <w:bookmarkEnd w:id="805"/>
          </w:p>
        </w:tc>
        <w:tc>
          <w:tcPr>
            <w:tcW w:w="404" w:type="pct"/>
            <w:gridSpan w:val="2"/>
            <w:tcBorders>
              <w:bottom w:val="nil"/>
            </w:tcBorders>
          </w:tcPr>
          <w:p w14:paraId="23C15B11" w14:textId="77777777" w:rsidR="005D1C4B" w:rsidRPr="00AC3DDE" w:rsidRDefault="005D1C4B" w:rsidP="00FE5846">
            <w:pPr>
              <w:pStyle w:val="TableText"/>
              <w:tabs>
                <w:tab w:val="left" w:pos="3306"/>
              </w:tabs>
              <w:spacing w:before="0"/>
              <w:jc w:val="right"/>
              <w:rPr>
                <w:rFonts w:cs="Calibri"/>
                <w:snapToGrid w:val="0"/>
              </w:rPr>
            </w:pPr>
          </w:p>
        </w:tc>
      </w:tr>
      <w:tr w:rsidR="00AC3DDE" w:rsidRPr="00AC3DDE" w14:paraId="39E59AF9" w14:textId="77777777" w:rsidTr="0004564D">
        <w:trPr>
          <w:gridAfter w:val="2"/>
          <w:wAfter w:w="49" w:type="pct"/>
        </w:trPr>
        <w:tc>
          <w:tcPr>
            <w:tcW w:w="741" w:type="pct"/>
            <w:tcBorders>
              <w:left w:val="single" w:sz="2" w:space="0" w:color="auto"/>
              <w:bottom w:val="nil"/>
              <w:right w:val="single" w:sz="2" w:space="0" w:color="auto"/>
            </w:tcBorders>
          </w:tcPr>
          <w:p w14:paraId="6CB33FD6" w14:textId="77777777" w:rsidR="005D1C4B" w:rsidRPr="00AC3DDE" w:rsidRDefault="005D1C4B" w:rsidP="005D1C4B">
            <w:pPr>
              <w:pStyle w:val="TableText"/>
              <w:tabs>
                <w:tab w:val="left" w:pos="3306"/>
              </w:tabs>
              <w:spacing w:before="0"/>
              <w:rPr>
                <w:rFonts w:cs="Calibri"/>
                <w:snapToGrid w:val="0"/>
              </w:rPr>
            </w:pPr>
          </w:p>
        </w:tc>
        <w:tc>
          <w:tcPr>
            <w:tcW w:w="3806" w:type="pct"/>
            <w:gridSpan w:val="2"/>
            <w:tcBorders>
              <w:left w:val="single" w:sz="2" w:space="0" w:color="auto"/>
              <w:bottom w:val="nil"/>
            </w:tcBorders>
          </w:tcPr>
          <w:p w14:paraId="55D1D1A3" w14:textId="1E7C6E44" w:rsidR="005D1C4B" w:rsidRPr="00AC3DDE" w:rsidRDefault="005D1C4B" w:rsidP="005D1C4B">
            <w:pPr>
              <w:pStyle w:val="Subtitle"/>
              <w:jc w:val="left"/>
              <w:rPr>
                <w:rFonts w:asciiTheme="minorHAnsi" w:hAnsiTheme="minorHAnsi" w:cstheme="minorHAnsi"/>
                <w:b w:val="0"/>
                <w:sz w:val="18"/>
                <w:szCs w:val="18"/>
              </w:rPr>
            </w:pPr>
            <w:bookmarkStart w:id="806" w:name="_Toc98763188"/>
            <w:r w:rsidRPr="00AC3DDE">
              <w:rPr>
                <w:rFonts w:asciiTheme="minorHAnsi" w:hAnsiTheme="minorHAnsi" w:cstheme="minorHAnsi"/>
                <w:b w:val="0"/>
                <w:sz w:val="18"/>
                <w:szCs w:val="18"/>
              </w:rPr>
              <w:t>Territorial Statement of Appropriation</w:t>
            </w:r>
            <w:bookmarkEnd w:id="806"/>
          </w:p>
        </w:tc>
        <w:tc>
          <w:tcPr>
            <w:tcW w:w="404" w:type="pct"/>
            <w:gridSpan w:val="2"/>
            <w:tcBorders>
              <w:bottom w:val="nil"/>
            </w:tcBorders>
          </w:tcPr>
          <w:p w14:paraId="6D643F84" w14:textId="77777777" w:rsidR="005D1C4B" w:rsidRPr="00AC3DDE" w:rsidRDefault="005D1C4B" w:rsidP="005D1C4B">
            <w:pPr>
              <w:pStyle w:val="TableText"/>
              <w:tabs>
                <w:tab w:val="left" w:pos="3306"/>
              </w:tabs>
              <w:spacing w:before="0"/>
              <w:jc w:val="right"/>
              <w:rPr>
                <w:rFonts w:cs="Calibri"/>
                <w:snapToGrid w:val="0"/>
              </w:rPr>
            </w:pPr>
          </w:p>
        </w:tc>
      </w:tr>
      <w:tr w:rsidR="00AC3DDE" w:rsidRPr="00AC3DDE" w14:paraId="5739B232" w14:textId="77777777" w:rsidTr="0004564D">
        <w:trPr>
          <w:gridAfter w:val="2"/>
          <w:wAfter w:w="49" w:type="pct"/>
        </w:trPr>
        <w:tc>
          <w:tcPr>
            <w:tcW w:w="741" w:type="pct"/>
            <w:tcBorders>
              <w:left w:val="single" w:sz="2" w:space="0" w:color="auto"/>
              <w:bottom w:val="nil"/>
              <w:right w:val="single" w:sz="2" w:space="0" w:color="auto"/>
            </w:tcBorders>
          </w:tcPr>
          <w:p w14:paraId="150AE940" w14:textId="77777777" w:rsidR="005D1C4B" w:rsidRPr="00AC3DDE" w:rsidRDefault="005D1C4B" w:rsidP="009A0F2F">
            <w:pPr>
              <w:pStyle w:val="TableText"/>
              <w:tabs>
                <w:tab w:val="left" w:pos="3306"/>
              </w:tabs>
              <w:rPr>
                <w:rFonts w:cs="Calibri"/>
                <w:snapToGrid w:val="0"/>
              </w:rPr>
            </w:pPr>
          </w:p>
        </w:tc>
        <w:tc>
          <w:tcPr>
            <w:tcW w:w="3806" w:type="pct"/>
            <w:gridSpan w:val="2"/>
            <w:tcBorders>
              <w:left w:val="single" w:sz="2" w:space="0" w:color="auto"/>
              <w:bottom w:val="nil"/>
            </w:tcBorders>
          </w:tcPr>
          <w:p w14:paraId="2EECE08D" w14:textId="7620B29C" w:rsidR="005D1C4B" w:rsidRPr="00AC3DDE" w:rsidRDefault="005D1C4B" w:rsidP="009A0F2F">
            <w:pPr>
              <w:pStyle w:val="TableText"/>
              <w:tabs>
                <w:tab w:val="left" w:pos="3306"/>
              </w:tabs>
              <w:rPr>
                <w:rFonts w:cs="Calibri"/>
              </w:rPr>
            </w:pPr>
          </w:p>
        </w:tc>
        <w:tc>
          <w:tcPr>
            <w:tcW w:w="404" w:type="pct"/>
            <w:gridSpan w:val="2"/>
            <w:tcBorders>
              <w:bottom w:val="nil"/>
            </w:tcBorders>
          </w:tcPr>
          <w:p w14:paraId="506F41BC" w14:textId="77777777" w:rsidR="005D1C4B" w:rsidRPr="00AC3DDE" w:rsidRDefault="005D1C4B" w:rsidP="009A0F2F">
            <w:pPr>
              <w:pStyle w:val="TableText"/>
              <w:tabs>
                <w:tab w:val="left" w:pos="3306"/>
              </w:tabs>
              <w:jc w:val="right"/>
              <w:rPr>
                <w:rFonts w:cs="Calibri"/>
                <w:snapToGrid w:val="0"/>
              </w:rPr>
            </w:pPr>
          </w:p>
        </w:tc>
      </w:tr>
      <w:tr w:rsidR="00C203AE" w:rsidRPr="00AC3DDE" w14:paraId="5913F15A" w14:textId="77777777" w:rsidTr="0004564D">
        <w:trPr>
          <w:gridAfter w:val="2"/>
          <w:wAfter w:w="49" w:type="pct"/>
        </w:trPr>
        <w:tc>
          <w:tcPr>
            <w:tcW w:w="741" w:type="pct"/>
            <w:tcBorders>
              <w:left w:val="single" w:sz="2" w:space="0" w:color="auto"/>
              <w:bottom w:val="nil"/>
              <w:right w:val="single" w:sz="2" w:space="0" w:color="auto"/>
            </w:tcBorders>
          </w:tcPr>
          <w:p w14:paraId="2CA334F3" w14:textId="77777777" w:rsidR="00FF0025" w:rsidRPr="00AC3DDE" w:rsidRDefault="00FF0025" w:rsidP="009A0F2F">
            <w:pPr>
              <w:pStyle w:val="TableText"/>
              <w:tabs>
                <w:tab w:val="left" w:pos="3306"/>
              </w:tabs>
              <w:rPr>
                <w:rFonts w:cs="Calibri"/>
                <w:snapToGrid w:val="0"/>
              </w:rPr>
            </w:pPr>
          </w:p>
        </w:tc>
        <w:tc>
          <w:tcPr>
            <w:tcW w:w="3806" w:type="pct"/>
            <w:gridSpan w:val="2"/>
            <w:tcBorders>
              <w:left w:val="single" w:sz="2" w:space="0" w:color="auto"/>
              <w:bottom w:val="nil"/>
            </w:tcBorders>
          </w:tcPr>
          <w:p w14:paraId="0C330D72" w14:textId="0CFDAB49" w:rsidR="00FF0025" w:rsidRPr="00AC3DDE" w:rsidRDefault="00FF0025" w:rsidP="009A0F2F">
            <w:pPr>
              <w:pStyle w:val="TableText"/>
              <w:tabs>
                <w:tab w:val="left" w:pos="3306"/>
              </w:tabs>
              <w:rPr>
                <w:rFonts w:cs="Calibri"/>
                <w:b/>
                <w:bCs/>
              </w:rPr>
            </w:pPr>
            <w:r w:rsidRPr="00AC3DDE">
              <w:rPr>
                <w:rFonts w:cs="Calibri"/>
                <w:b/>
                <w:bCs/>
              </w:rPr>
              <w:t>Notes</w:t>
            </w:r>
          </w:p>
        </w:tc>
        <w:tc>
          <w:tcPr>
            <w:tcW w:w="404" w:type="pct"/>
            <w:gridSpan w:val="2"/>
            <w:tcBorders>
              <w:bottom w:val="nil"/>
            </w:tcBorders>
          </w:tcPr>
          <w:p w14:paraId="1D97869D" w14:textId="77777777" w:rsidR="00FF0025" w:rsidRPr="00AC3DDE" w:rsidRDefault="00FF0025" w:rsidP="009A0F2F">
            <w:pPr>
              <w:pStyle w:val="TableText"/>
              <w:tabs>
                <w:tab w:val="left" w:pos="3306"/>
              </w:tabs>
              <w:jc w:val="right"/>
              <w:rPr>
                <w:rFonts w:cs="Calibri"/>
                <w:snapToGrid w:val="0"/>
              </w:rPr>
            </w:pPr>
          </w:p>
        </w:tc>
      </w:tr>
      <w:tr w:rsidR="00AC3DDE" w:rsidRPr="00AC3DDE" w14:paraId="49A3970E" w14:textId="77777777" w:rsidTr="0004564D">
        <w:tc>
          <w:tcPr>
            <w:tcW w:w="741" w:type="pct"/>
            <w:tcBorders>
              <w:left w:val="single" w:sz="2" w:space="0" w:color="auto"/>
              <w:bottom w:val="nil"/>
              <w:right w:val="single" w:sz="2" w:space="0" w:color="auto"/>
            </w:tcBorders>
          </w:tcPr>
          <w:p w14:paraId="60EA665C" w14:textId="2B79AE4E" w:rsidR="005D1C4B" w:rsidRPr="00AC3DDE" w:rsidRDefault="005D1C4B" w:rsidP="005D1C4B">
            <w:pPr>
              <w:pStyle w:val="TableText"/>
              <w:tabs>
                <w:tab w:val="left" w:pos="3306"/>
              </w:tabs>
              <w:rPr>
                <w:rFonts w:cs="Calibri"/>
                <w:snapToGrid w:val="0"/>
              </w:rPr>
            </w:pPr>
            <w:r w:rsidRPr="00AC3DDE">
              <w:rPr>
                <w:rFonts w:cs="Calibri"/>
                <w:snapToGrid w:val="0"/>
              </w:rPr>
              <w:t>Note 4</w:t>
            </w:r>
            <w:r w:rsidR="00AE70BA" w:rsidRPr="00AC3DDE">
              <w:rPr>
                <w:rFonts w:cs="Calibri"/>
                <w:snapToGrid w:val="0"/>
              </w:rPr>
              <w:t>1</w:t>
            </w:r>
          </w:p>
        </w:tc>
        <w:tc>
          <w:tcPr>
            <w:tcW w:w="112" w:type="pct"/>
            <w:tcBorders>
              <w:left w:val="single" w:sz="2" w:space="0" w:color="auto"/>
              <w:bottom w:val="nil"/>
              <w:right w:val="nil"/>
            </w:tcBorders>
          </w:tcPr>
          <w:p w14:paraId="1B65C6BB" w14:textId="77777777" w:rsidR="005D1C4B" w:rsidRPr="00AC3DDE" w:rsidRDefault="005D1C4B" w:rsidP="005D1C4B">
            <w:pPr>
              <w:pStyle w:val="TableText"/>
              <w:tabs>
                <w:tab w:val="left" w:pos="3306"/>
              </w:tabs>
              <w:rPr>
                <w:rFonts w:cs="Calibri"/>
                <w:snapToGrid w:val="0"/>
              </w:rPr>
            </w:pPr>
          </w:p>
        </w:tc>
        <w:tc>
          <w:tcPr>
            <w:tcW w:w="3743" w:type="pct"/>
            <w:gridSpan w:val="2"/>
            <w:tcBorders>
              <w:left w:val="nil"/>
              <w:bottom w:val="nil"/>
            </w:tcBorders>
          </w:tcPr>
          <w:p w14:paraId="2A85B3ED" w14:textId="037E9C78" w:rsidR="005D1C4B" w:rsidRPr="00AC3DDE" w:rsidRDefault="00FF0025" w:rsidP="005D1C4B">
            <w:pPr>
              <w:pStyle w:val="TableText"/>
              <w:tabs>
                <w:tab w:val="left" w:pos="3306"/>
              </w:tabs>
              <w:rPr>
                <w:rFonts w:cs="Calibri"/>
                <w:strike/>
              </w:rPr>
            </w:pPr>
            <w:r w:rsidRPr="00AC3DDE">
              <w:t>Basis of Preparation of the Financial Statements</w:t>
            </w:r>
          </w:p>
        </w:tc>
        <w:tc>
          <w:tcPr>
            <w:tcW w:w="404" w:type="pct"/>
            <w:gridSpan w:val="3"/>
            <w:tcBorders>
              <w:bottom w:val="nil"/>
            </w:tcBorders>
          </w:tcPr>
          <w:p w14:paraId="66544338" w14:textId="5F71076D" w:rsidR="005D1C4B" w:rsidRPr="00AC3DDE" w:rsidRDefault="005D1C4B" w:rsidP="005D1C4B">
            <w:pPr>
              <w:pStyle w:val="TableText"/>
              <w:tabs>
                <w:tab w:val="left" w:pos="3306"/>
              </w:tabs>
              <w:jc w:val="right"/>
              <w:rPr>
                <w:rFonts w:cs="Calibri"/>
                <w:strike/>
                <w:snapToGrid w:val="0"/>
              </w:rPr>
            </w:pPr>
          </w:p>
        </w:tc>
      </w:tr>
      <w:tr w:rsidR="00AC3DDE" w:rsidRPr="00AC3DDE" w14:paraId="5B1A0B93" w14:textId="77777777" w:rsidTr="0004564D">
        <w:tc>
          <w:tcPr>
            <w:tcW w:w="741" w:type="pct"/>
            <w:tcBorders>
              <w:top w:val="nil"/>
              <w:left w:val="single" w:sz="2" w:space="0" w:color="auto"/>
              <w:bottom w:val="nil"/>
              <w:right w:val="single" w:sz="2" w:space="0" w:color="auto"/>
            </w:tcBorders>
          </w:tcPr>
          <w:p w14:paraId="215376CA" w14:textId="77777777" w:rsidR="005D1C4B" w:rsidRPr="00AC3DDE" w:rsidRDefault="005D1C4B" w:rsidP="005D1C4B">
            <w:pPr>
              <w:pStyle w:val="TableText"/>
              <w:tabs>
                <w:tab w:val="left" w:pos="3306"/>
              </w:tabs>
              <w:rPr>
                <w:rFonts w:cs="Calibri"/>
                <w:snapToGrid w:val="0"/>
              </w:rPr>
            </w:pPr>
          </w:p>
        </w:tc>
        <w:tc>
          <w:tcPr>
            <w:tcW w:w="112" w:type="pct"/>
            <w:tcBorders>
              <w:top w:val="nil"/>
              <w:left w:val="single" w:sz="2" w:space="0" w:color="auto"/>
              <w:bottom w:val="nil"/>
              <w:right w:val="nil"/>
            </w:tcBorders>
          </w:tcPr>
          <w:p w14:paraId="1A00F97A"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326F8BD9" w14:textId="2C67F4A3" w:rsidR="005D1C4B" w:rsidRPr="00AC3DDE" w:rsidRDefault="00FA7C77" w:rsidP="005D1C4B">
            <w:pPr>
              <w:pStyle w:val="TableText"/>
              <w:tabs>
                <w:tab w:val="left" w:pos="3306"/>
              </w:tabs>
              <w:rPr>
                <w:rFonts w:cs="Calibri"/>
              </w:rPr>
            </w:pPr>
            <w:r>
              <w:rPr>
                <w:rFonts w:cs="Calibri"/>
              </w:rPr>
              <w:t xml:space="preserve">  </w:t>
            </w:r>
          </w:p>
        </w:tc>
        <w:tc>
          <w:tcPr>
            <w:tcW w:w="404" w:type="pct"/>
            <w:gridSpan w:val="3"/>
            <w:tcBorders>
              <w:top w:val="nil"/>
              <w:bottom w:val="nil"/>
            </w:tcBorders>
          </w:tcPr>
          <w:p w14:paraId="7C54C517" w14:textId="515D00F2" w:rsidR="005D1C4B" w:rsidRPr="00AC3DDE" w:rsidRDefault="00AE2AE5" w:rsidP="005D1C4B">
            <w:pPr>
              <w:jc w:val="right"/>
              <w:rPr>
                <w:sz w:val="18"/>
                <w:szCs w:val="18"/>
              </w:rPr>
            </w:pPr>
            <w:r>
              <w:rPr>
                <w:sz w:val="18"/>
                <w:szCs w:val="18"/>
              </w:rPr>
              <w:t>XX</w:t>
            </w:r>
          </w:p>
        </w:tc>
      </w:tr>
      <w:tr w:rsidR="00AC3DDE" w:rsidRPr="00AC3DDE" w14:paraId="26EE5E2E" w14:textId="77777777" w:rsidTr="0004564D">
        <w:trPr>
          <w:gridAfter w:val="2"/>
          <w:wAfter w:w="49" w:type="pct"/>
        </w:trPr>
        <w:tc>
          <w:tcPr>
            <w:tcW w:w="741" w:type="pct"/>
            <w:tcBorders>
              <w:top w:val="nil"/>
              <w:left w:val="single" w:sz="2" w:space="0" w:color="auto"/>
              <w:bottom w:val="nil"/>
              <w:right w:val="single" w:sz="2" w:space="0" w:color="auto"/>
            </w:tcBorders>
          </w:tcPr>
          <w:p w14:paraId="0ABB52EE" w14:textId="77777777" w:rsidR="005D1C4B" w:rsidRPr="00AC3DDE" w:rsidRDefault="005D1C4B" w:rsidP="005D1C4B">
            <w:pPr>
              <w:pStyle w:val="TableText"/>
              <w:tabs>
                <w:tab w:val="left" w:pos="3306"/>
              </w:tabs>
              <w:rPr>
                <w:rFonts w:cs="Calibri"/>
                <w:snapToGrid w:val="0"/>
              </w:rPr>
            </w:pPr>
          </w:p>
        </w:tc>
        <w:tc>
          <w:tcPr>
            <w:tcW w:w="3806" w:type="pct"/>
            <w:gridSpan w:val="2"/>
            <w:tcBorders>
              <w:top w:val="nil"/>
              <w:left w:val="single" w:sz="2" w:space="0" w:color="auto"/>
              <w:bottom w:val="nil"/>
            </w:tcBorders>
          </w:tcPr>
          <w:p w14:paraId="4F6918F3" w14:textId="77777777" w:rsidR="005D1C4B" w:rsidRPr="00AC3DDE" w:rsidRDefault="005D1C4B" w:rsidP="005D1C4B">
            <w:pPr>
              <w:pStyle w:val="TableText"/>
              <w:tabs>
                <w:tab w:val="left" w:pos="3306"/>
              </w:tabs>
              <w:rPr>
                <w:rFonts w:cs="Calibri"/>
                <w:b/>
                <w:bCs/>
                <w:snapToGrid w:val="0"/>
              </w:rPr>
            </w:pPr>
            <w:r w:rsidRPr="00AC3DDE">
              <w:rPr>
                <w:rFonts w:cs="Calibri"/>
                <w:b/>
                <w:bCs/>
              </w:rPr>
              <w:t>Income Notes</w:t>
            </w:r>
          </w:p>
        </w:tc>
        <w:tc>
          <w:tcPr>
            <w:tcW w:w="404" w:type="pct"/>
            <w:gridSpan w:val="2"/>
            <w:tcBorders>
              <w:top w:val="nil"/>
              <w:bottom w:val="nil"/>
            </w:tcBorders>
          </w:tcPr>
          <w:p w14:paraId="0DEF0DBA" w14:textId="77777777" w:rsidR="005D1C4B" w:rsidRPr="00AC3DDE" w:rsidRDefault="005D1C4B" w:rsidP="005D1C4B">
            <w:pPr>
              <w:pStyle w:val="TableText"/>
              <w:tabs>
                <w:tab w:val="left" w:pos="3306"/>
              </w:tabs>
              <w:jc w:val="right"/>
              <w:rPr>
                <w:rFonts w:cs="Calibri"/>
                <w:strike/>
                <w:snapToGrid w:val="0"/>
              </w:rPr>
            </w:pPr>
          </w:p>
        </w:tc>
      </w:tr>
      <w:tr w:rsidR="00AC3DDE" w:rsidRPr="00AC3DDE" w14:paraId="53AC7B8A" w14:textId="77777777" w:rsidTr="0004564D">
        <w:tc>
          <w:tcPr>
            <w:tcW w:w="741" w:type="pct"/>
            <w:tcBorders>
              <w:top w:val="nil"/>
              <w:left w:val="single" w:sz="2" w:space="0" w:color="auto"/>
              <w:bottom w:val="nil"/>
              <w:right w:val="single" w:sz="2" w:space="0" w:color="auto"/>
            </w:tcBorders>
          </w:tcPr>
          <w:p w14:paraId="02BBDACD" w14:textId="6B61FEAE" w:rsidR="005D1C4B" w:rsidRPr="00AC3DDE" w:rsidRDefault="005D1C4B" w:rsidP="005D1C4B">
            <w:pPr>
              <w:pStyle w:val="TableText"/>
              <w:tabs>
                <w:tab w:val="left" w:pos="3306"/>
              </w:tabs>
              <w:rPr>
                <w:rFonts w:cs="Calibri"/>
              </w:rPr>
            </w:pPr>
            <w:r w:rsidRPr="00AC3DDE">
              <w:rPr>
                <w:rFonts w:cs="Calibri"/>
              </w:rPr>
              <w:t>Note 4</w:t>
            </w:r>
            <w:r w:rsidR="00AE70BA" w:rsidRPr="00AC3DDE">
              <w:rPr>
                <w:rFonts w:cs="Calibri"/>
              </w:rPr>
              <w:t>2</w:t>
            </w:r>
          </w:p>
        </w:tc>
        <w:tc>
          <w:tcPr>
            <w:tcW w:w="112" w:type="pct"/>
            <w:tcBorders>
              <w:top w:val="nil"/>
              <w:left w:val="single" w:sz="2" w:space="0" w:color="auto"/>
              <w:bottom w:val="nil"/>
              <w:right w:val="nil"/>
            </w:tcBorders>
          </w:tcPr>
          <w:p w14:paraId="7BC595C7"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660FF30C" w14:textId="77777777" w:rsidR="005D1C4B" w:rsidRPr="00AC3DDE" w:rsidRDefault="005D1C4B" w:rsidP="005D1C4B">
            <w:pPr>
              <w:pStyle w:val="TableText"/>
              <w:tabs>
                <w:tab w:val="left" w:pos="3306"/>
              </w:tabs>
              <w:rPr>
                <w:rFonts w:cs="Calibri"/>
              </w:rPr>
            </w:pPr>
            <w:r w:rsidRPr="00AC3DDE">
              <w:rPr>
                <w:rFonts w:cs="Calibri"/>
              </w:rPr>
              <w:t>Taxes, Licences, Fees and Fines – Territorial</w:t>
            </w:r>
          </w:p>
        </w:tc>
        <w:tc>
          <w:tcPr>
            <w:tcW w:w="404" w:type="pct"/>
            <w:gridSpan w:val="3"/>
            <w:tcBorders>
              <w:top w:val="nil"/>
              <w:bottom w:val="nil"/>
            </w:tcBorders>
          </w:tcPr>
          <w:p w14:paraId="0CEBF897" w14:textId="7071F490"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848E36F" w14:textId="77777777" w:rsidTr="0004564D">
        <w:tc>
          <w:tcPr>
            <w:tcW w:w="741" w:type="pct"/>
            <w:tcBorders>
              <w:top w:val="nil"/>
              <w:left w:val="single" w:sz="2" w:space="0" w:color="auto"/>
              <w:bottom w:val="nil"/>
              <w:right w:val="single" w:sz="2" w:space="0" w:color="auto"/>
            </w:tcBorders>
          </w:tcPr>
          <w:p w14:paraId="0EE22DD4" w14:textId="77CD7752" w:rsidR="007C365B" w:rsidRPr="00AC3DDE" w:rsidRDefault="007C365B" w:rsidP="005D1C4B">
            <w:pPr>
              <w:pStyle w:val="TableText"/>
              <w:tabs>
                <w:tab w:val="left" w:pos="3306"/>
              </w:tabs>
              <w:rPr>
                <w:rFonts w:cs="Calibri"/>
              </w:rPr>
            </w:pPr>
            <w:r w:rsidRPr="00AC3DDE">
              <w:rPr>
                <w:rFonts w:cs="Calibri"/>
              </w:rPr>
              <w:t>Note 4</w:t>
            </w:r>
            <w:r w:rsidR="00AE70BA" w:rsidRPr="00AC3DDE">
              <w:rPr>
                <w:rFonts w:cs="Calibri"/>
              </w:rPr>
              <w:t>3</w:t>
            </w:r>
          </w:p>
        </w:tc>
        <w:tc>
          <w:tcPr>
            <w:tcW w:w="112" w:type="pct"/>
            <w:tcBorders>
              <w:top w:val="nil"/>
              <w:left w:val="single" w:sz="2" w:space="0" w:color="auto"/>
              <w:bottom w:val="nil"/>
              <w:right w:val="nil"/>
            </w:tcBorders>
          </w:tcPr>
          <w:p w14:paraId="1604C5CE" w14:textId="77777777" w:rsidR="007C365B" w:rsidRPr="00AC3DDE" w:rsidRDefault="007C365B" w:rsidP="005D1C4B">
            <w:pPr>
              <w:pStyle w:val="TableText"/>
              <w:tabs>
                <w:tab w:val="left" w:pos="3306"/>
              </w:tabs>
              <w:rPr>
                <w:rFonts w:cs="Calibri"/>
                <w:snapToGrid w:val="0"/>
              </w:rPr>
            </w:pPr>
          </w:p>
        </w:tc>
        <w:tc>
          <w:tcPr>
            <w:tcW w:w="3743" w:type="pct"/>
            <w:gridSpan w:val="2"/>
            <w:tcBorders>
              <w:top w:val="nil"/>
              <w:left w:val="nil"/>
              <w:bottom w:val="nil"/>
            </w:tcBorders>
          </w:tcPr>
          <w:p w14:paraId="5025349F" w14:textId="54064512" w:rsidR="007C365B" w:rsidRPr="00AC3DDE" w:rsidRDefault="007C365B" w:rsidP="005D1C4B">
            <w:pPr>
              <w:pStyle w:val="TableText"/>
              <w:tabs>
                <w:tab w:val="left" w:pos="3306"/>
              </w:tabs>
              <w:rPr>
                <w:rFonts w:cs="Calibri"/>
              </w:rPr>
            </w:pPr>
            <w:r w:rsidRPr="00AC3DDE">
              <w:rPr>
                <w:rFonts w:cs="Calibri"/>
              </w:rPr>
              <w:t xml:space="preserve">Other </w:t>
            </w:r>
            <w:r w:rsidR="00722BF2">
              <w:rPr>
                <w:rFonts w:cs="Calibri"/>
              </w:rPr>
              <w:t xml:space="preserve">Income – Territorial </w:t>
            </w:r>
          </w:p>
        </w:tc>
        <w:tc>
          <w:tcPr>
            <w:tcW w:w="404" w:type="pct"/>
            <w:gridSpan w:val="3"/>
            <w:tcBorders>
              <w:top w:val="nil"/>
              <w:bottom w:val="nil"/>
            </w:tcBorders>
          </w:tcPr>
          <w:p w14:paraId="3E6087DC" w14:textId="77777777" w:rsidR="007C365B" w:rsidRPr="00AC3DDE" w:rsidRDefault="007C365B" w:rsidP="005D1C4B">
            <w:pPr>
              <w:pStyle w:val="TableText"/>
              <w:tabs>
                <w:tab w:val="left" w:pos="3306"/>
              </w:tabs>
              <w:jc w:val="right"/>
              <w:rPr>
                <w:rFonts w:cs="Calibri"/>
                <w:snapToGrid w:val="0"/>
              </w:rPr>
            </w:pPr>
          </w:p>
        </w:tc>
      </w:tr>
      <w:tr w:rsidR="00AC3DDE" w:rsidRPr="00AC3DDE" w14:paraId="1367B9B5" w14:textId="77777777" w:rsidTr="0004564D">
        <w:tc>
          <w:tcPr>
            <w:tcW w:w="741" w:type="pct"/>
            <w:tcBorders>
              <w:top w:val="nil"/>
              <w:left w:val="single" w:sz="2" w:space="0" w:color="auto"/>
              <w:bottom w:val="nil"/>
              <w:right w:val="single" w:sz="2" w:space="0" w:color="auto"/>
            </w:tcBorders>
          </w:tcPr>
          <w:p w14:paraId="1B0C504D" w14:textId="77777777" w:rsidR="005D1C4B" w:rsidRPr="00AC3DDE" w:rsidRDefault="005D1C4B" w:rsidP="005D1C4B">
            <w:pPr>
              <w:pStyle w:val="TableText"/>
              <w:tabs>
                <w:tab w:val="left" w:pos="3306"/>
              </w:tabs>
              <w:rPr>
                <w:rFonts w:cs="Calibri"/>
              </w:rPr>
            </w:pPr>
          </w:p>
        </w:tc>
        <w:tc>
          <w:tcPr>
            <w:tcW w:w="112" w:type="pct"/>
            <w:tcBorders>
              <w:top w:val="nil"/>
              <w:left w:val="single" w:sz="2" w:space="0" w:color="auto"/>
              <w:bottom w:val="nil"/>
              <w:right w:val="nil"/>
            </w:tcBorders>
          </w:tcPr>
          <w:p w14:paraId="4271546B"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10C05A6D" w14:textId="77777777" w:rsidR="005D1C4B" w:rsidRPr="00AC3DDE" w:rsidRDefault="005D1C4B" w:rsidP="005D1C4B">
            <w:pPr>
              <w:pStyle w:val="TableText"/>
              <w:tabs>
                <w:tab w:val="left" w:pos="3306"/>
              </w:tabs>
              <w:rPr>
                <w:rFonts w:cs="Calibri"/>
              </w:rPr>
            </w:pPr>
          </w:p>
        </w:tc>
        <w:tc>
          <w:tcPr>
            <w:tcW w:w="404" w:type="pct"/>
            <w:gridSpan w:val="3"/>
            <w:tcBorders>
              <w:top w:val="nil"/>
              <w:bottom w:val="nil"/>
            </w:tcBorders>
          </w:tcPr>
          <w:p w14:paraId="3E59BB00" w14:textId="77777777" w:rsidR="005D1C4B" w:rsidRPr="00AC3DDE" w:rsidRDefault="005D1C4B" w:rsidP="005D1C4B">
            <w:pPr>
              <w:pStyle w:val="TableText"/>
              <w:tabs>
                <w:tab w:val="left" w:pos="3306"/>
              </w:tabs>
              <w:jc w:val="right"/>
              <w:rPr>
                <w:rFonts w:cs="Calibri"/>
                <w:snapToGrid w:val="0"/>
              </w:rPr>
            </w:pPr>
          </w:p>
        </w:tc>
      </w:tr>
      <w:tr w:rsidR="00AC3DDE" w:rsidRPr="00AC3DDE" w14:paraId="2D53D6B1" w14:textId="77777777" w:rsidTr="0004564D">
        <w:trPr>
          <w:gridAfter w:val="2"/>
          <w:wAfter w:w="49" w:type="pct"/>
        </w:trPr>
        <w:tc>
          <w:tcPr>
            <w:tcW w:w="741" w:type="pct"/>
            <w:tcBorders>
              <w:top w:val="nil"/>
              <w:left w:val="single" w:sz="2" w:space="0" w:color="auto"/>
              <w:bottom w:val="nil"/>
              <w:right w:val="single" w:sz="2" w:space="0" w:color="auto"/>
            </w:tcBorders>
          </w:tcPr>
          <w:p w14:paraId="0D4C0BE8" w14:textId="77777777" w:rsidR="005D1C4B" w:rsidRPr="00AC3DDE" w:rsidRDefault="005D1C4B" w:rsidP="005D1C4B">
            <w:pPr>
              <w:pStyle w:val="TableText"/>
              <w:tabs>
                <w:tab w:val="left" w:pos="3306"/>
              </w:tabs>
              <w:rPr>
                <w:rFonts w:cs="Calibri"/>
              </w:rPr>
            </w:pPr>
          </w:p>
        </w:tc>
        <w:tc>
          <w:tcPr>
            <w:tcW w:w="3806" w:type="pct"/>
            <w:gridSpan w:val="2"/>
            <w:tcBorders>
              <w:top w:val="nil"/>
              <w:left w:val="single" w:sz="2" w:space="0" w:color="auto"/>
              <w:bottom w:val="nil"/>
            </w:tcBorders>
          </w:tcPr>
          <w:p w14:paraId="39716AC5" w14:textId="77777777" w:rsidR="005D1C4B" w:rsidRPr="00AC3DDE" w:rsidRDefault="005D1C4B" w:rsidP="005D1C4B">
            <w:pPr>
              <w:pStyle w:val="TableText"/>
              <w:tabs>
                <w:tab w:val="left" w:pos="3306"/>
              </w:tabs>
              <w:rPr>
                <w:rFonts w:cs="Calibri"/>
                <w:b/>
                <w:bCs/>
              </w:rPr>
            </w:pPr>
            <w:r w:rsidRPr="00AC3DDE">
              <w:rPr>
                <w:rFonts w:cs="Calibri"/>
                <w:b/>
                <w:bCs/>
              </w:rPr>
              <w:t>Expenses Notes</w:t>
            </w:r>
          </w:p>
        </w:tc>
        <w:tc>
          <w:tcPr>
            <w:tcW w:w="404" w:type="pct"/>
            <w:gridSpan w:val="2"/>
            <w:tcBorders>
              <w:top w:val="nil"/>
              <w:bottom w:val="nil"/>
            </w:tcBorders>
          </w:tcPr>
          <w:p w14:paraId="4F19D6D7" w14:textId="77777777" w:rsidR="005D1C4B" w:rsidRPr="00AC3DDE" w:rsidRDefault="005D1C4B" w:rsidP="005D1C4B">
            <w:pPr>
              <w:pStyle w:val="TableText"/>
              <w:tabs>
                <w:tab w:val="left" w:pos="3306"/>
              </w:tabs>
              <w:jc w:val="right"/>
              <w:rPr>
                <w:rFonts w:cs="Calibri"/>
                <w:snapToGrid w:val="0"/>
              </w:rPr>
            </w:pPr>
          </w:p>
        </w:tc>
      </w:tr>
      <w:tr w:rsidR="00AC3DDE" w:rsidRPr="00AC3DDE" w14:paraId="1D1E755E" w14:textId="77777777" w:rsidTr="0004564D">
        <w:tc>
          <w:tcPr>
            <w:tcW w:w="741" w:type="pct"/>
            <w:tcBorders>
              <w:top w:val="nil"/>
              <w:left w:val="single" w:sz="2" w:space="0" w:color="auto"/>
              <w:bottom w:val="nil"/>
              <w:right w:val="single" w:sz="2" w:space="0" w:color="auto"/>
            </w:tcBorders>
          </w:tcPr>
          <w:p w14:paraId="045FFCF3" w14:textId="386F0CE4" w:rsidR="005D1C4B" w:rsidRPr="00AC3DDE" w:rsidRDefault="005D1C4B" w:rsidP="005D1C4B">
            <w:pPr>
              <w:pStyle w:val="TableText"/>
              <w:tabs>
                <w:tab w:val="left" w:pos="3306"/>
              </w:tabs>
              <w:rPr>
                <w:rFonts w:cs="Calibri"/>
              </w:rPr>
            </w:pPr>
            <w:r w:rsidRPr="00AC3DDE">
              <w:rPr>
                <w:rFonts w:cs="Calibri"/>
              </w:rPr>
              <w:t>Note 4</w:t>
            </w:r>
            <w:r w:rsidR="00AE70BA" w:rsidRPr="00AC3DDE">
              <w:rPr>
                <w:rFonts w:cs="Calibri"/>
              </w:rPr>
              <w:t>4</w:t>
            </w:r>
          </w:p>
        </w:tc>
        <w:tc>
          <w:tcPr>
            <w:tcW w:w="112" w:type="pct"/>
            <w:tcBorders>
              <w:top w:val="nil"/>
              <w:left w:val="single" w:sz="2" w:space="0" w:color="auto"/>
              <w:bottom w:val="nil"/>
              <w:right w:val="nil"/>
            </w:tcBorders>
          </w:tcPr>
          <w:p w14:paraId="7177B60A"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188F8D94" w14:textId="77777777" w:rsidR="005D1C4B" w:rsidRPr="00AC3DDE" w:rsidRDefault="005D1C4B" w:rsidP="005D1C4B">
            <w:pPr>
              <w:pStyle w:val="TableText"/>
              <w:tabs>
                <w:tab w:val="left" w:pos="3306"/>
              </w:tabs>
              <w:rPr>
                <w:rFonts w:cs="Calibri"/>
              </w:rPr>
            </w:pPr>
            <w:r w:rsidRPr="00AC3DDE">
              <w:rPr>
                <w:rFonts w:cs="Calibri"/>
              </w:rPr>
              <w:t>Grants and Purchased Services – Territorial</w:t>
            </w:r>
          </w:p>
        </w:tc>
        <w:tc>
          <w:tcPr>
            <w:tcW w:w="404" w:type="pct"/>
            <w:gridSpan w:val="3"/>
            <w:tcBorders>
              <w:top w:val="nil"/>
              <w:bottom w:val="nil"/>
            </w:tcBorders>
          </w:tcPr>
          <w:p w14:paraId="563728A0" w14:textId="2C8CEB50"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3409553B" w14:textId="77777777" w:rsidTr="0004564D">
        <w:tc>
          <w:tcPr>
            <w:tcW w:w="741" w:type="pct"/>
            <w:tcBorders>
              <w:top w:val="nil"/>
              <w:left w:val="single" w:sz="2" w:space="0" w:color="auto"/>
              <w:bottom w:val="nil"/>
              <w:right w:val="single" w:sz="2" w:space="0" w:color="auto"/>
            </w:tcBorders>
          </w:tcPr>
          <w:p w14:paraId="465027BA" w14:textId="36664035" w:rsidR="005D1C4B" w:rsidRPr="00AC3DDE" w:rsidRDefault="005D1C4B" w:rsidP="005D1C4B">
            <w:pPr>
              <w:pStyle w:val="TableText"/>
              <w:tabs>
                <w:tab w:val="left" w:pos="3306"/>
              </w:tabs>
              <w:rPr>
                <w:rFonts w:cs="Calibri"/>
              </w:rPr>
            </w:pPr>
            <w:r w:rsidRPr="00AC3DDE">
              <w:rPr>
                <w:rFonts w:cs="Calibri"/>
              </w:rPr>
              <w:t>Note 4</w:t>
            </w:r>
            <w:r w:rsidR="00AE70BA" w:rsidRPr="00AC3DDE">
              <w:rPr>
                <w:rFonts w:cs="Calibri"/>
              </w:rPr>
              <w:t>5</w:t>
            </w:r>
          </w:p>
        </w:tc>
        <w:tc>
          <w:tcPr>
            <w:tcW w:w="112" w:type="pct"/>
            <w:tcBorders>
              <w:top w:val="nil"/>
              <w:left w:val="single" w:sz="2" w:space="0" w:color="auto"/>
              <w:bottom w:val="nil"/>
              <w:right w:val="nil"/>
            </w:tcBorders>
          </w:tcPr>
          <w:p w14:paraId="0C10EE9A"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009E503B" w14:textId="77777777" w:rsidR="005D1C4B" w:rsidRPr="00AC3DDE" w:rsidRDefault="005D1C4B" w:rsidP="005D1C4B">
            <w:pPr>
              <w:pStyle w:val="TableText"/>
              <w:tabs>
                <w:tab w:val="left" w:pos="3306"/>
              </w:tabs>
              <w:rPr>
                <w:rFonts w:cs="Calibri"/>
              </w:rPr>
            </w:pPr>
            <w:r w:rsidRPr="00AC3DDE">
              <w:rPr>
                <w:rFonts w:cs="Calibri"/>
              </w:rPr>
              <w:t>Other Expenses – Territorial</w:t>
            </w:r>
          </w:p>
        </w:tc>
        <w:tc>
          <w:tcPr>
            <w:tcW w:w="404" w:type="pct"/>
            <w:gridSpan w:val="3"/>
            <w:tcBorders>
              <w:top w:val="nil"/>
              <w:bottom w:val="nil"/>
            </w:tcBorders>
          </w:tcPr>
          <w:p w14:paraId="5478A972" w14:textId="42A1F288"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558E1A18" w14:textId="77777777" w:rsidTr="0004564D">
        <w:tc>
          <w:tcPr>
            <w:tcW w:w="741" w:type="pct"/>
            <w:tcBorders>
              <w:top w:val="nil"/>
              <w:left w:val="single" w:sz="2" w:space="0" w:color="auto"/>
              <w:bottom w:val="nil"/>
              <w:right w:val="single" w:sz="2" w:space="0" w:color="auto"/>
            </w:tcBorders>
          </w:tcPr>
          <w:p w14:paraId="6C21D149" w14:textId="77777777" w:rsidR="005D1C4B" w:rsidRPr="00AC3DDE" w:rsidRDefault="005D1C4B" w:rsidP="005D1C4B">
            <w:pPr>
              <w:pStyle w:val="TableText"/>
              <w:tabs>
                <w:tab w:val="left" w:pos="3306"/>
              </w:tabs>
              <w:rPr>
                <w:rFonts w:cs="Calibri"/>
              </w:rPr>
            </w:pPr>
          </w:p>
        </w:tc>
        <w:tc>
          <w:tcPr>
            <w:tcW w:w="112" w:type="pct"/>
            <w:tcBorders>
              <w:top w:val="nil"/>
              <w:left w:val="single" w:sz="2" w:space="0" w:color="auto"/>
              <w:bottom w:val="nil"/>
              <w:right w:val="nil"/>
            </w:tcBorders>
          </w:tcPr>
          <w:p w14:paraId="6866C55E"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49AE9E0F" w14:textId="77777777" w:rsidR="005D1C4B" w:rsidRPr="00AC3DDE" w:rsidRDefault="005D1C4B" w:rsidP="005D1C4B">
            <w:pPr>
              <w:pStyle w:val="TableText"/>
              <w:tabs>
                <w:tab w:val="left" w:pos="3306"/>
              </w:tabs>
              <w:rPr>
                <w:rFonts w:cs="Calibri"/>
              </w:rPr>
            </w:pPr>
          </w:p>
        </w:tc>
        <w:tc>
          <w:tcPr>
            <w:tcW w:w="404" w:type="pct"/>
            <w:gridSpan w:val="3"/>
            <w:tcBorders>
              <w:top w:val="nil"/>
              <w:bottom w:val="nil"/>
            </w:tcBorders>
          </w:tcPr>
          <w:p w14:paraId="4AF28967" w14:textId="77777777" w:rsidR="005D1C4B" w:rsidRPr="00AC3DDE" w:rsidRDefault="005D1C4B" w:rsidP="005D1C4B">
            <w:pPr>
              <w:pStyle w:val="TableText"/>
              <w:tabs>
                <w:tab w:val="left" w:pos="3306"/>
              </w:tabs>
              <w:jc w:val="right"/>
              <w:rPr>
                <w:rFonts w:cs="Calibri"/>
                <w:snapToGrid w:val="0"/>
              </w:rPr>
            </w:pPr>
          </w:p>
        </w:tc>
      </w:tr>
      <w:tr w:rsidR="00AC3DDE" w:rsidRPr="00AC3DDE" w14:paraId="518F6CE2" w14:textId="77777777" w:rsidTr="0004564D">
        <w:trPr>
          <w:gridAfter w:val="2"/>
          <w:wAfter w:w="49" w:type="pct"/>
        </w:trPr>
        <w:tc>
          <w:tcPr>
            <w:tcW w:w="741" w:type="pct"/>
            <w:tcBorders>
              <w:top w:val="nil"/>
              <w:left w:val="single" w:sz="2" w:space="0" w:color="auto"/>
              <w:bottom w:val="nil"/>
              <w:right w:val="single" w:sz="2" w:space="0" w:color="auto"/>
            </w:tcBorders>
          </w:tcPr>
          <w:p w14:paraId="478BF737" w14:textId="77777777" w:rsidR="005D1C4B" w:rsidRPr="00AC3DDE" w:rsidRDefault="005D1C4B" w:rsidP="005D1C4B">
            <w:pPr>
              <w:pStyle w:val="TableText"/>
              <w:tabs>
                <w:tab w:val="left" w:pos="3306"/>
              </w:tabs>
              <w:rPr>
                <w:rFonts w:cs="Calibri"/>
              </w:rPr>
            </w:pPr>
          </w:p>
        </w:tc>
        <w:tc>
          <w:tcPr>
            <w:tcW w:w="3806" w:type="pct"/>
            <w:gridSpan w:val="2"/>
            <w:tcBorders>
              <w:top w:val="nil"/>
              <w:left w:val="single" w:sz="2" w:space="0" w:color="auto"/>
              <w:bottom w:val="nil"/>
            </w:tcBorders>
          </w:tcPr>
          <w:p w14:paraId="5F97D36B" w14:textId="77777777" w:rsidR="005D1C4B" w:rsidRPr="00AC3DDE" w:rsidRDefault="005D1C4B" w:rsidP="005D1C4B">
            <w:pPr>
              <w:pStyle w:val="TableText"/>
              <w:tabs>
                <w:tab w:val="left" w:pos="3306"/>
              </w:tabs>
              <w:rPr>
                <w:rFonts w:cs="Calibri"/>
                <w:b/>
                <w:bCs/>
              </w:rPr>
            </w:pPr>
            <w:r w:rsidRPr="00AC3DDE">
              <w:rPr>
                <w:rFonts w:cs="Calibri"/>
                <w:b/>
                <w:bCs/>
              </w:rPr>
              <w:t>Assets Notes</w:t>
            </w:r>
          </w:p>
        </w:tc>
        <w:tc>
          <w:tcPr>
            <w:tcW w:w="404" w:type="pct"/>
            <w:gridSpan w:val="2"/>
            <w:tcBorders>
              <w:top w:val="nil"/>
              <w:bottom w:val="nil"/>
            </w:tcBorders>
          </w:tcPr>
          <w:p w14:paraId="5E9692ED" w14:textId="77777777" w:rsidR="005D1C4B" w:rsidRPr="00AC3DDE" w:rsidRDefault="005D1C4B" w:rsidP="005D1C4B">
            <w:pPr>
              <w:pStyle w:val="TableText"/>
              <w:tabs>
                <w:tab w:val="left" w:pos="3306"/>
              </w:tabs>
              <w:jc w:val="right"/>
              <w:rPr>
                <w:rFonts w:cs="Calibri"/>
                <w:snapToGrid w:val="0"/>
              </w:rPr>
            </w:pPr>
          </w:p>
        </w:tc>
      </w:tr>
      <w:tr w:rsidR="00AC3DDE" w:rsidRPr="00AC3DDE" w14:paraId="6EF0AE04" w14:textId="77777777" w:rsidTr="0004564D">
        <w:tc>
          <w:tcPr>
            <w:tcW w:w="741" w:type="pct"/>
            <w:tcBorders>
              <w:top w:val="nil"/>
              <w:left w:val="single" w:sz="2" w:space="0" w:color="auto"/>
              <w:bottom w:val="nil"/>
              <w:right w:val="single" w:sz="2" w:space="0" w:color="auto"/>
            </w:tcBorders>
          </w:tcPr>
          <w:p w14:paraId="0650EB54" w14:textId="77B65283" w:rsidR="005D1C4B" w:rsidRPr="00AC3DDE" w:rsidRDefault="005D1C4B" w:rsidP="005D1C4B">
            <w:pPr>
              <w:pStyle w:val="TableText"/>
              <w:tabs>
                <w:tab w:val="left" w:pos="3306"/>
              </w:tabs>
              <w:rPr>
                <w:rFonts w:cs="Calibri"/>
              </w:rPr>
            </w:pPr>
            <w:r w:rsidRPr="00AC3DDE">
              <w:rPr>
                <w:rFonts w:cs="Calibri"/>
              </w:rPr>
              <w:t>Note 4</w:t>
            </w:r>
            <w:r w:rsidR="00AE70BA" w:rsidRPr="00AC3DDE">
              <w:rPr>
                <w:rFonts w:cs="Calibri"/>
              </w:rPr>
              <w:t>6</w:t>
            </w:r>
          </w:p>
        </w:tc>
        <w:tc>
          <w:tcPr>
            <w:tcW w:w="112" w:type="pct"/>
            <w:tcBorders>
              <w:top w:val="nil"/>
              <w:left w:val="single" w:sz="2" w:space="0" w:color="auto"/>
              <w:bottom w:val="nil"/>
              <w:right w:val="nil"/>
            </w:tcBorders>
          </w:tcPr>
          <w:p w14:paraId="6960A518"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3BAA70AC" w14:textId="463871D4" w:rsidR="005D1C4B" w:rsidRPr="00AC3DDE" w:rsidRDefault="005D1C4B" w:rsidP="005D1C4B">
            <w:pPr>
              <w:pStyle w:val="TableText"/>
              <w:tabs>
                <w:tab w:val="left" w:pos="3306"/>
              </w:tabs>
              <w:rPr>
                <w:rFonts w:cs="Calibri"/>
              </w:rPr>
            </w:pPr>
            <w:bookmarkStart w:id="807" w:name="_Hlk90026525"/>
            <w:r w:rsidRPr="00AC3DDE">
              <w:rPr>
                <w:rFonts w:cs="Calibri"/>
              </w:rPr>
              <w:t xml:space="preserve">Cash and </w:t>
            </w:r>
            <w:r w:rsidR="008D3C9F" w:rsidRPr="00AC3DDE">
              <w:rPr>
                <w:rFonts w:cs="Calibri"/>
              </w:rPr>
              <w:t>Investments</w:t>
            </w:r>
            <w:r w:rsidRPr="00AC3DDE">
              <w:rPr>
                <w:rFonts w:cs="Calibri"/>
              </w:rPr>
              <w:t xml:space="preserve"> – Territorial</w:t>
            </w:r>
            <w:bookmarkEnd w:id="807"/>
          </w:p>
        </w:tc>
        <w:tc>
          <w:tcPr>
            <w:tcW w:w="404" w:type="pct"/>
            <w:gridSpan w:val="3"/>
            <w:tcBorders>
              <w:top w:val="nil"/>
              <w:bottom w:val="nil"/>
            </w:tcBorders>
          </w:tcPr>
          <w:p w14:paraId="14B13FFE" w14:textId="5E6CED05"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5526FEE2" w14:textId="77777777" w:rsidTr="0004564D">
        <w:tc>
          <w:tcPr>
            <w:tcW w:w="741" w:type="pct"/>
            <w:tcBorders>
              <w:top w:val="nil"/>
              <w:left w:val="single" w:sz="2" w:space="0" w:color="auto"/>
              <w:bottom w:val="nil"/>
              <w:right w:val="single" w:sz="2" w:space="0" w:color="auto"/>
            </w:tcBorders>
          </w:tcPr>
          <w:p w14:paraId="2250B8E1" w14:textId="157692AB" w:rsidR="005D1C4B" w:rsidRPr="00AC3DDE" w:rsidRDefault="005D1C4B" w:rsidP="005D1C4B">
            <w:pPr>
              <w:pStyle w:val="TableText"/>
              <w:tabs>
                <w:tab w:val="left" w:pos="3306"/>
              </w:tabs>
              <w:rPr>
                <w:rFonts w:cs="Calibri"/>
              </w:rPr>
            </w:pPr>
            <w:r w:rsidRPr="00AC3DDE">
              <w:rPr>
                <w:rFonts w:cs="Calibri"/>
              </w:rPr>
              <w:t>Note 4</w:t>
            </w:r>
            <w:r w:rsidR="00AE70BA" w:rsidRPr="00AC3DDE">
              <w:rPr>
                <w:rFonts w:cs="Calibri"/>
              </w:rPr>
              <w:t>7</w:t>
            </w:r>
          </w:p>
        </w:tc>
        <w:tc>
          <w:tcPr>
            <w:tcW w:w="112" w:type="pct"/>
            <w:tcBorders>
              <w:top w:val="nil"/>
              <w:left w:val="single" w:sz="2" w:space="0" w:color="auto"/>
              <w:bottom w:val="nil"/>
              <w:right w:val="nil"/>
            </w:tcBorders>
          </w:tcPr>
          <w:p w14:paraId="0DD15919"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3353C0E4" w14:textId="6965E49F" w:rsidR="005D1C4B" w:rsidRPr="00AC3DDE" w:rsidRDefault="005D1C4B" w:rsidP="005D1C4B">
            <w:pPr>
              <w:pStyle w:val="TableText"/>
              <w:tabs>
                <w:tab w:val="left" w:pos="3306"/>
              </w:tabs>
              <w:rPr>
                <w:rFonts w:cs="Calibri"/>
              </w:rPr>
            </w:pPr>
            <w:r w:rsidRPr="00AC3DDE">
              <w:rPr>
                <w:rFonts w:cs="Calibri"/>
              </w:rPr>
              <w:t>Receivables</w:t>
            </w:r>
            <w:r w:rsidR="000C1CDA" w:rsidRPr="00AC3DDE">
              <w:rPr>
                <w:rFonts w:cs="Calibri"/>
              </w:rPr>
              <w:t xml:space="preserve"> and Contract Assets</w:t>
            </w:r>
            <w:r w:rsidRPr="00AC3DDE">
              <w:rPr>
                <w:rFonts w:cs="Calibri"/>
              </w:rPr>
              <w:t xml:space="preserve"> – Territorial</w:t>
            </w:r>
          </w:p>
        </w:tc>
        <w:tc>
          <w:tcPr>
            <w:tcW w:w="404" w:type="pct"/>
            <w:gridSpan w:val="3"/>
            <w:tcBorders>
              <w:top w:val="nil"/>
              <w:bottom w:val="nil"/>
            </w:tcBorders>
          </w:tcPr>
          <w:p w14:paraId="2F1BB622" w14:textId="0D3CF8E3"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00718EFC" w14:textId="77777777" w:rsidTr="0004564D">
        <w:tc>
          <w:tcPr>
            <w:tcW w:w="741" w:type="pct"/>
            <w:tcBorders>
              <w:top w:val="nil"/>
              <w:left w:val="single" w:sz="2" w:space="0" w:color="auto"/>
              <w:bottom w:val="nil"/>
              <w:right w:val="single" w:sz="2" w:space="0" w:color="auto"/>
            </w:tcBorders>
          </w:tcPr>
          <w:p w14:paraId="540CF759" w14:textId="7A4D27DD" w:rsidR="005D1C4B" w:rsidRPr="00AC3DDE" w:rsidRDefault="005D1C4B" w:rsidP="005D1C4B">
            <w:pPr>
              <w:pStyle w:val="TableText"/>
              <w:tabs>
                <w:tab w:val="left" w:pos="3306"/>
              </w:tabs>
              <w:rPr>
                <w:rFonts w:cs="Calibri"/>
              </w:rPr>
            </w:pPr>
            <w:r w:rsidRPr="00AC3DDE">
              <w:rPr>
                <w:rFonts w:cs="Calibri"/>
              </w:rPr>
              <w:t xml:space="preserve">Note </w:t>
            </w:r>
            <w:r w:rsidR="006C5890" w:rsidRPr="00AC3DDE">
              <w:rPr>
                <w:rFonts w:cs="Calibri"/>
              </w:rPr>
              <w:t>4</w:t>
            </w:r>
            <w:r w:rsidR="00AE70BA" w:rsidRPr="00AC3DDE">
              <w:rPr>
                <w:rFonts w:cs="Calibri"/>
              </w:rPr>
              <w:t>8</w:t>
            </w:r>
          </w:p>
        </w:tc>
        <w:tc>
          <w:tcPr>
            <w:tcW w:w="112" w:type="pct"/>
            <w:tcBorders>
              <w:top w:val="nil"/>
              <w:left w:val="single" w:sz="2" w:space="0" w:color="auto"/>
              <w:bottom w:val="nil"/>
              <w:right w:val="nil"/>
            </w:tcBorders>
          </w:tcPr>
          <w:p w14:paraId="1079E39B"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2F1D75B8" w14:textId="77777777" w:rsidR="005D1C4B" w:rsidRPr="00AC3DDE" w:rsidRDefault="005D1C4B" w:rsidP="005D1C4B">
            <w:pPr>
              <w:pStyle w:val="TableText"/>
              <w:tabs>
                <w:tab w:val="left" w:pos="3306"/>
              </w:tabs>
              <w:rPr>
                <w:rFonts w:cs="Calibri"/>
              </w:rPr>
            </w:pPr>
            <w:r w:rsidRPr="00AC3DDE">
              <w:rPr>
                <w:rFonts w:cs="Calibri"/>
              </w:rPr>
              <w:t>Other Assets – Territorial</w:t>
            </w:r>
          </w:p>
        </w:tc>
        <w:tc>
          <w:tcPr>
            <w:tcW w:w="404" w:type="pct"/>
            <w:gridSpan w:val="3"/>
            <w:tcBorders>
              <w:top w:val="nil"/>
              <w:bottom w:val="nil"/>
            </w:tcBorders>
          </w:tcPr>
          <w:p w14:paraId="1839E777" w14:textId="2FF76CEE"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42029FBC" w14:textId="77777777" w:rsidTr="0004564D">
        <w:tc>
          <w:tcPr>
            <w:tcW w:w="741" w:type="pct"/>
            <w:tcBorders>
              <w:top w:val="nil"/>
              <w:left w:val="single" w:sz="2" w:space="0" w:color="auto"/>
              <w:bottom w:val="nil"/>
              <w:right w:val="single" w:sz="2" w:space="0" w:color="auto"/>
            </w:tcBorders>
          </w:tcPr>
          <w:p w14:paraId="1F87095A" w14:textId="77777777" w:rsidR="005D1C4B" w:rsidRPr="00AC3DDE" w:rsidRDefault="005D1C4B" w:rsidP="005D1C4B">
            <w:pPr>
              <w:pStyle w:val="TableText"/>
              <w:tabs>
                <w:tab w:val="left" w:pos="3306"/>
              </w:tabs>
              <w:rPr>
                <w:rFonts w:cs="Calibri"/>
              </w:rPr>
            </w:pPr>
          </w:p>
        </w:tc>
        <w:tc>
          <w:tcPr>
            <w:tcW w:w="112" w:type="pct"/>
            <w:tcBorders>
              <w:top w:val="nil"/>
              <w:left w:val="single" w:sz="2" w:space="0" w:color="auto"/>
              <w:bottom w:val="nil"/>
              <w:right w:val="nil"/>
            </w:tcBorders>
          </w:tcPr>
          <w:p w14:paraId="1A7E9731"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057AFB73" w14:textId="77777777" w:rsidR="005D1C4B" w:rsidRPr="00AC3DDE" w:rsidRDefault="005D1C4B" w:rsidP="005D1C4B">
            <w:pPr>
              <w:pStyle w:val="TableText"/>
              <w:tabs>
                <w:tab w:val="left" w:pos="3306"/>
              </w:tabs>
              <w:rPr>
                <w:rFonts w:cs="Calibri"/>
              </w:rPr>
            </w:pPr>
          </w:p>
        </w:tc>
        <w:tc>
          <w:tcPr>
            <w:tcW w:w="404" w:type="pct"/>
            <w:gridSpan w:val="3"/>
            <w:tcBorders>
              <w:top w:val="nil"/>
              <w:bottom w:val="nil"/>
            </w:tcBorders>
          </w:tcPr>
          <w:p w14:paraId="5A0D0EEE" w14:textId="77777777" w:rsidR="005D1C4B" w:rsidRPr="00AC3DDE" w:rsidRDefault="005D1C4B" w:rsidP="005D1C4B">
            <w:pPr>
              <w:pStyle w:val="TableText"/>
              <w:tabs>
                <w:tab w:val="left" w:pos="3306"/>
              </w:tabs>
              <w:jc w:val="right"/>
              <w:rPr>
                <w:rFonts w:cs="Calibri"/>
                <w:snapToGrid w:val="0"/>
              </w:rPr>
            </w:pPr>
          </w:p>
        </w:tc>
      </w:tr>
      <w:tr w:rsidR="00AC3DDE" w:rsidRPr="00AC3DDE" w14:paraId="5792F8A8" w14:textId="77777777" w:rsidTr="0004564D">
        <w:trPr>
          <w:gridAfter w:val="2"/>
          <w:wAfter w:w="49" w:type="pct"/>
        </w:trPr>
        <w:tc>
          <w:tcPr>
            <w:tcW w:w="741" w:type="pct"/>
            <w:tcBorders>
              <w:top w:val="nil"/>
              <w:left w:val="single" w:sz="2" w:space="0" w:color="auto"/>
              <w:bottom w:val="nil"/>
              <w:right w:val="single" w:sz="2" w:space="0" w:color="auto"/>
            </w:tcBorders>
          </w:tcPr>
          <w:p w14:paraId="79B6B43A" w14:textId="77777777" w:rsidR="005D1C4B" w:rsidRPr="00AC3DDE" w:rsidRDefault="005D1C4B" w:rsidP="005D1C4B">
            <w:pPr>
              <w:pStyle w:val="TableText"/>
              <w:tabs>
                <w:tab w:val="left" w:pos="3306"/>
              </w:tabs>
              <w:rPr>
                <w:rFonts w:cs="Calibri"/>
              </w:rPr>
            </w:pPr>
          </w:p>
        </w:tc>
        <w:tc>
          <w:tcPr>
            <w:tcW w:w="3806" w:type="pct"/>
            <w:gridSpan w:val="2"/>
            <w:tcBorders>
              <w:top w:val="nil"/>
              <w:left w:val="single" w:sz="2" w:space="0" w:color="auto"/>
              <w:bottom w:val="nil"/>
            </w:tcBorders>
          </w:tcPr>
          <w:p w14:paraId="712D1977" w14:textId="77777777" w:rsidR="005D1C4B" w:rsidRPr="00AC3DDE" w:rsidRDefault="005D1C4B" w:rsidP="005D1C4B">
            <w:pPr>
              <w:pStyle w:val="TableText"/>
              <w:tabs>
                <w:tab w:val="left" w:pos="3306"/>
              </w:tabs>
              <w:rPr>
                <w:rFonts w:cs="Calibri"/>
                <w:b/>
                <w:bCs/>
              </w:rPr>
            </w:pPr>
            <w:r w:rsidRPr="00AC3DDE">
              <w:rPr>
                <w:rFonts w:cs="Calibri"/>
                <w:b/>
                <w:bCs/>
              </w:rPr>
              <w:t>Liabilities Notes</w:t>
            </w:r>
          </w:p>
        </w:tc>
        <w:tc>
          <w:tcPr>
            <w:tcW w:w="404" w:type="pct"/>
            <w:gridSpan w:val="2"/>
            <w:tcBorders>
              <w:top w:val="nil"/>
              <w:bottom w:val="nil"/>
            </w:tcBorders>
          </w:tcPr>
          <w:p w14:paraId="6A36E8EF" w14:textId="77777777" w:rsidR="005D1C4B" w:rsidRPr="00AC3DDE" w:rsidRDefault="005D1C4B" w:rsidP="005D1C4B">
            <w:pPr>
              <w:pStyle w:val="TableText"/>
              <w:tabs>
                <w:tab w:val="left" w:pos="3306"/>
              </w:tabs>
              <w:jc w:val="right"/>
              <w:rPr>
                <w:rFonts w:cs="Calibri"/>
                <w:snapToGrid w:val="0"/>
              </w:rPr>
            </w:pPr>
          </w:p>
        </w:tc>
      </w:tr>
      <w:tr w:rsidR="00AC3DDE" w:rsidRPr="00AC3DDE" w14:paraId="141C5CE8" w14:textId="77777777" w:rsidTr="0004564D">
        <w:tc>
          <w:tcPr>
            <w:tcW w:w="741" w:type="pct"/>
            <w:tcBorders>
              <w:top w:val="nil"/>
              <w:left w:val="single" w:sz="2" w:space="0" w:color="auto"/>
              <w:bottom w:val="nil"/>
              <w:right w:val="single" w:sz="2" w:space="0" w:color="auto"/>
            </w:tcBorders>
          </w:tcPr>
          <w:p w14:paraId="3C5A2B16" w14:textId="66C793BC" w:rsidR="005D1C4B" w:rsidRPr="00AC3DDE" w:rsidRDefault="005D1C4B" w:rsidP="005D1C4B">
            <w:pPr>
              <w:pStyle w:val="TableText"/>
              <w:tabs>
                <w:tab w:val="left" w:pos="3306"/>
              </w:tabs>
              <w:rPr>
                <w:rFonts w:cs="Calibri"/>
              </w:rPr>
            </w:pPr>
            <w:r w:rsidRPr="00AC3DDE">
              <w:rPr>
                <w:rFonts w:cs="Calibri"/>
              </w:rPr>
              <w:t xml:space="preserve">Note </w:t>
            </w:r>
            <w:r w:rsidR="00AE70BA" w:rsidRPr="00AC3DDE">
              <w:rPr>
                <w:rFonts w:cs="Calibri"/>
              </w:rPr>
              <w:t>49</w:t>
            </w:r>
          </w:p>
        </w:tc>
        <w:tc>
          <w:tcPr>
            <w:tcW w:w="112" w:type="pct"/>
            <w:tcBorders>
              <w:top w:val="nil"/>
              <w:left w:val="single" w:sz="2" w:space="0" w:color="auto"/>
              <w:bottom w:val="nil"/>
              <w:right w:val="nil"/>
            </w:tcBorders>
          </w:tcPr>
          <w:p w14:paraId="6A33AD9A"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5B97D924" w14:textId="45649FCE" w:rsidR="005D1C4B" w:rsidRPr="00AC3DDE" w:rsidRDefault="005D1C4B" w:rsidP="005D1C4B">
            <w:pPr>
              <w:pStyle w:val="TableText"/>
              <w:tabs>
                <w:tab w:val="left" w:pos="3306"/>
              </w:tabs>
              <w:rPr>
                <w:rFonts w:cs="Calibri"/>
              </w:rPr>
            </w:pPr>
            <w:r w:rsidRPr="00AC3DDE">
              <w:rPr>
                <w:rFonts w:cs="Calibri"/>
              </w:rPr>
              <w:t>Payables</w:t>
            </w:r>
            <w:r w:rsidR="002541C3" w:rsidRPr="00AC3DDE">
              <w:rPr>
                <w:rFonts w:cs="Calibri"/>
              </w:rPr>
              <w:t xml:space="preserve"> and Contract Liabilities</w:t>
            </w:r>
            <w:r w:rsidRPr="00AC3DDE">
              <w:rPr>
                <w:rFonts w:cs="Calibri"/>
              </w:rPr>
              <w:t xml:space="preserve"> – Territorial</w:t>
            </w:r>
          </w:p>
        </w:tc>
        <w:tc>
          <w:tcPr>
            <w:tcW w:w="404" w:type="pct"/>
            <w:gridSpan w:val="3"/>
            <w:tcBorders>
              <w:top w:val="nil"/>
              <w:bottom w:val="nil"/>
            </w:tcBorders>
          </w:tcPr>
          <w:p w14:paraId="6B721F01" w14:textId="0582C3DB"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26DD22EF" w14:textId="77777777" w:rsidTr="0004564D">
        <w:tc>
          <w:tcPr>
            <w:tcW w:w="741" w:type="pct"/>
            <w:tcBorders>
              <w:top w:val="nil"/>
              <w:left w:val="single" w:sz="2" w:space="0" w:color="auto"/>
              <w:bottom w:val="nil"/>
              <w:right w:val="single" w:sz="2" w:space="0" w:color="auto"/>
            </w:tcBorders>
          </w:tcPr>
          <w:p w14:paraId="584047F9" w14:textId="400C7BAC" w:rsidR="000610F9" w:rsidRPr="00AC3DDE" w:rsidRDefault="000610F9" w:rsidP="005D1C4B">
            <w:pPr>
              <w:pStyle w:val="TableText"/>
              <w:tabs>
                <w:tab w:val="left" w:pos="3306"/>
              </w:tabs>
              <w:rPr>
                <w:rFonts w:cs="Calibri"/>
              </w:rPr>
            </w:pPr>
            <w:r w:rsidRPr="00AC3DDE">
              <w:rPr>
                <w:rFonts w:cs="Calibri"/>
              </w:rPr>
              <w:t>Note 5</w:t>
            </w:r>
            <w:r w:rsidR="00AE70BA" w:rsidRPr="00AC3DDE">
              <w:rPr>
                <w:rFonts w:cs="Calibri"/>
              </w:rPr>
              <w:t>0</w:t>
            </w:r>
          </w:p>
        </w:tc>
        <w:tc>
          <w:tcPr>
            <w:tcW w:w="112" w:type="pct"/>
            <w:tcBorders>
              <w:top w:val="nil"/>
              <w:left w:val="single" w:sz="2" w:space="0" w:color="auto"/>
              <w:bottom w:val="nil"/>
              <w:right w:val="nil"/>
            </w:tcBorders>
          </w:tcPr>
          <w:p w14:paraId="351611B2" w14:textId="77777777" w:rsidR="000610F9" w:rsidRPr="00AC3DDE" w:rsidRDefault="000610F9" w:rsidP="005D1C4B">
            <w:pPr>
              <w:pStyle w:val="TableText"/>
              <w:tabs>
                <w:tab w:val="left" w:pos="3306"/>
              </w:tabs>
              <w:rPr>
                <w:rFonts w:cs="Calibri"/>
                <w:snapToGrid w:val="0"/>
              </w:rPr>
            </w:pPr>
          </w:p>
        </w:tc>
        <w:tc>
          <w:tcPr>
            <w:tcW w:w="3743" w:type="pct"/>
            <w:gridSpan w:val="2"/>
            <w:tcBorders>
              <w:top w:val="nil"/>
              <w:left w:val="nil"/>
              <w:bottom w:val="nil"/>
            </w:tcBorders>
          </w:tcPr>
          <w:p w14:paraId="2AB1A545" w14:textId="3136A2E8" w:rsidR="000610F9" w:rsidRPr="00AC3DDE" w:rsidRDefault="000610F9" w:rsidP="005D1C4B">
            <w:pPr>
              <w:pStyle w:val="TableText"/>
              <w:tabs>
                <w:tab w:val="left" w:pos="3306"/>
              </w:tabs>
              <w:rPr>
                <w:rFonts w:cs="Calibri"/>
              </w:rPr>
            </w:pPr>
            <w:r w:rsidRPr="00AC3DDE">
              <w:rPr>
                <w:rFonts w:cs="Calibri"/>
              </w:rPr>
              <w:t xml:space="preserve">Other Provisions – Territorial </w:t>
            </w:r>
          </w:p>
        </w:tc>
        <w:tc>
          <w:tcPr>
            <w:tcW w:w="404" w:type="pct"/>
            <w:gridSpan w:val="3"/>
            <w:tcBorders>
              <w:top w:val="nil"/>
              <w:bottom w:val="nil"/>
            </w:tcBorders>
          </w:tcPr>
          <w:p w14:paraId="7C1E061B" w14:textId="63B5D5EA" w:rsidR="000610F9" w:rsidRPr="00AC3DDE" w:rsidRDefault="000610F9" w:rsidP="005D1C4B">
            <w:pPr>
              <w:pStyle w:val="TableText"/>
              <w:tabs>
                <w:tab w:val="left" w:pos="3306"/>
              </w:tabs>
              <w:jc w:val="right"/>
              <w:rPr>
                <w:rFonts w:cs="Calibri"/>
                <w:snapToGrid w:val="0"/>
              </w:rPr>
            </w:pPr>
            <w:r w:rsidRPr="00AC3DDE">
              <w:rPr>
                <w:rFonts w:cs="Calibri"/>
                <w:snapToGrid w:val="0"/>
              </w:rPr>
              <w:t>XX</w:t>
            </w:r>
          </w:p>
        </w:tc>
      </w:tr>
      <w:tr w:rsidR="00AC3DDE" w:rsidRPr="00AC3DDE" w14:paraId="2C7DAFCB" w14:textId="77777777" w:rsidTr="0004564D">
        <w:tc>
          <w:tcPr>
            <w:tcW w:w="741" w:type="pct"/>
            <w:tcBorders>
              <w:top w:val="nil"/>
              <w:left w:val="single" w:sz="2" w:space="0" w:color="auto"/>
              <w:bottom w:val="nil"/>
              <w:right w:val="single" w:sz="2" w:space="0" w:color="auto"/>
            </w:tcBorders>
          </w:tcPr>
          <w:p w14:paraId="1F24E75B" w14:textId="48FF5367" w:rsidR="005D1C4B" w:rsidRPr="00AC3DDE" w:rsidRDefault="005D1C4B" w:rsidP="005D1C4B">
            <w:pPr>
              <w:pStyle w:val="TableText"/>
              <w:tabs>
                <w:tab w:val="left" w:pos="3306"/>
              </w:tabs>
              <w:rPr>
                <w:rFonts w:cs="Calibri"/>
              </w:rPr>
            </w:pPr>
            <w:r w:rsidRPr="00AC3DDE">
              <w:rPr>
                <w:rFonts w:cs="Calibri"/>
              </w:rPr>
              <w:t>Note 5</w:t>
            </w:r>
            <w:r w:rsidR="00AE70BA" w:rsidRPr="00AC3DDE">
              <w:rPr>
                <w:rFonts w:cs="Calibri"/>
              </w:rPr>
              <w:t>1</w:t>
            </w:r>
          </w:p>
        </w:tc>
        <w:tc>
          <w:tcPr>
            <w:tcW w:w="112" w:type="pct"/>
            <w:tcBorders>
              <w:top w:val="nil"/>
              <w:left w:val="single" w:sz="2" w:space="0" w:color="auto"/>
              <w:bottom w:val="nil"/>
              <w:right w:val="nil"/>
            </w:tcBorders>
          </w:tcPr>
          <w:p w14:paraId="65CC54F0"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6AE374F2" w14:textId="77777777" w:rsidR="005D1C4B" w:rsidRPr="00AC3DDE" w:rsidRDefault="005D1C4B" w:rsidP="005D1C4B">
            <w:pPr>
              <w:pStyle w:val="TableText"/>
              <w:tabs>
                <w:tab w:val="left" w:pos="3306"/>
              </w:tabs>
              <w:rPr>
                <w:rFonts w:cs="Calibri"/>
              </w:rPr>
            </w:pPr>
            <w:r w:rsidRPr="00AC3DDE">
              <w:rPr>
                <w:rFonts w:cs="Calibri"/>
              </w:rPr>
              <w:t>Other Liabilities – Territorial</w:t>
            </w:r>
          </w:p>
        </w:tc>
        <w:tc>
          <w:tcPr>
            <w:tcW w:w="404" w:type="pct"/>
            <w:gridSpan w:val="3"/>
            <w:tcBorders>
              <w:top w:val="nil"/>
              <w:bottom w:val="nil"/>
            </w:tcBorders>
          </w:tcPr>
          <w:p w14:paraId="330A4820" w14:textId="6CEEEF55"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3EAF7B1D" w14:textId="77777777" w:rsidTr="0004564D">
        <w:tc>
          <w:tcPr>
            <w:tcW w:w="741" w:type="pct"/>
            <w:tcBorders>
              <w:top w:val="nil"/>
              <w:left w:val="single" w:sz="2" w:space="0" w:color="auto"/>
              <w:bottom w:val="nil"/>
              <w:right w:val="single" w:sz="2" w:space="0" w:color="auto"/>
            </w:tcBorders>
          </w:tcPr>
          <w:p w14:paraId="6CCDD31D" w14:textId="77777777" w:rsidR="005D1C4B" w:rsidRPr="00AC3DDE" w:rsidRDefault="005D1C4B" w:rsidP="005D1C4B">
            <w:pPr>
              <w:pStyle w:val="TableText"/>
              <w:tabs>
                <w:tab w:val="left" w:pos="3306"/>
              </w:tabs>
              <w:rPr>
                <w:rFonts w:cs="Calibri"/>
              </w:rPr>
            </w:pPr>
          </w:p>
        </w:tc>
        <w:tc>
          <w:tcPr>
            <w:tcW w:w="112" w:type="pct"/>
            <w:tcBorders>
              <w:top w:val="nil"/>
              <w:left w:val="single" w:sz="2" w:space="0" w:color="auto"/>
              <w:bottom w:val="nil"/>
              <w:right w:val="nil"/>
            </w:tcBorders>
          </w:tcPr>
          <w:p w14:paraId="2F28ED9B"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503026B4" w14:textId="77777777" w:rsidR="005D1C4B" w:rsidRPr="00AC3DDE" w:rsidRDefault="005D1C4B" w:rsidP="005D1C4B">
            <w:pPr>
              <w:pStyle w:val="TableText"/>
              <w:tabs>
                <w:tab w:val="left" w:pos="3306"/>
              </w:tabs>
              <w:rPr>
                <w:rFonts w:cs="Calibri"/>
              </w:rPr>
            </w:pPr>
          </w:p>
        </w:tc>
        <w:tc>
          <w:tcPr>
            <w:tcW w:w="404" w:type="pct"/>
            <w:gridSpan w:val="3"/>
            <w:tcBorders>
              <w:top w:val="nil"/>
              <w:bottom w:val="nil"/>
            </w:tcBorders>
          </w:tcPr>
          <w:p w14:paraId="6249A799" w14:textId="77777777" w:rsidR="005D1C4B" w:rsidRPr="00AC3DDE" w:rsidRDefault="005D1C4B" w:rsidP="005D1C4B">
            <w:pPr>
              <w:pStyle w:val="TableText"/>
              <w:tabs>
                <w:tab w:val="left" w:pos="3306"/>
              </w:tabs>
              <w:jc w:val="right"/>
              <w:rPr>
                <w:rFonts w:cs="Calibri"/>
                <w:snapToGrid w:val="0"/>
              </w:rPr>
            </w:pPr>
          </w:p>
        </w:tc>
      </w:tr>
      <w:tr w:rsidR="00AC3DDE" w:rsidRPr="00AC3DDE" w14:paraId="08FEA38C" w14:textId="77777777" w:rsidTr="0004564D">
        <w:trPr>
          <w:gridAfter w:val="2"/>
          <w:wAfter w:w="49" w:type="pct"/>
        </w:trPr>
        <w:tc>
          <w:tcPr>
            <w:tcW w:w="741" w:type="pct"/>
            <w:tcBorders>
              <w:top w:val="nil"/>
              <w:left w:val="single" w:sz="2" w:space="0" w:color="auto"/>
              <w:bottom w:val="nil"/>
              <w:right w:val="single" w:sz="2" w:space="0" w:color="auto"/>
            </w:tcBorders>
          </w:tcPr>
          <w:p w14:paraId="6D12DBE7" w14:textId="77777777" w:rsidR="005D1C4B" w:rsidRPr="00AC3DDE" w:rsidRDefault="005D1C4B" w:rsidP="005D1C4B">
            <w:pPr>
              <w:pStyle w:val="TableText"/>
              <w:tabs>
                <w:tab w:val="left" w:pos="3306"/>
              </w:tabs>
              <w:rPr>
                <w:rFonts w:cs="Calibri"/>
              </w:rPr>
            </w:pPr>
          </w:p>
        </w:tc>
        <w:tc>
          <w:tcPr>
            <w:tcW w:w="3806" w:type="pct"/>
            <w:gridSpan w:val="2"/>
            <w:tcBorders>
              <w:top w:val="nil"/>
              <w:left w:val="single" w:sz="2" w:space="0" w:color="auto"/>
              <w:bottom w:val="nil"/>
            </w:tcBorders>
          </w:tcPr>
          <w:p w14:paraId="078B1AFE" w14:textId="77777777" w:rsidR="005D1C4B" w:rsidRPr="00AC3DDE" w:rsidRDefault="005D1C4B" w:rsidP="005D1C4B">
            <w:pPr>
              <w:pStyle w:val="TableText"/>
              <w:tabs>
                <w:tab w:val="left" w:pos="3306"/>
              </w:tabs>
              <w:rPr>
                <w:rFonts w:cs="Calibri"/>
              </w:rPr>
            </w:pPr>
            <w:r w:rsidRPr="00AC3DDE">
              <w:rPr>
                <w:rFonts w:cs="Calibri"/>
                <w:b/>
                <w:bCs/>
                <w:snapToGrid w:val="0"/>
              </w:rPr>
              <w:t>Other Notes</w:t>
            </w:r>
          </w:p>
        </w:tc>
        <w:tc>
          <w:tcPr>
            <w:tcW w:w="404" w:type="pct"/>
            <w:gridSpan w:val="2"/>
            <w:tcBorders>
              <w:top w:val="nil"/>
              <w:bottom w:val="nil"/>
            </w:tcBorders>
          </w:tcPr>
          <w:p w14:paraId="7E972F4D" w14:textId="77777777" w:rsidR="005D1C4B" w:rsidRPr="00AC3DDE" w:rsidRDefault="005D1C4B" w:rsidP="005D1C4B">
            <w:pPr>
              <w:pStyle w:val="TableText"/>
              <w:tabs>
                <w:tab w:val="left" w:pos="3306"/>
              </w:tabs>
              <w:jc w:val="right"/>
              <w:rPr>
                <w:rFonts w:cs="Calibri"/>
                <w:snapToGrid w:val="0"/>
              </w:rPr>
            </w:pPr>
          </w:p>
        </w:tc>
      </w:tr>
      <w:tr w:rsidR="00AC3DDE" w:rsidRPr="00AC3DDE" w14:paraId="44A0A739" w14:textId="77777777" w:rsidTr="0004564D">
        <w:tc>
          <w:tcPr>
            <w:tcW w:w="741" w:type="pct"/>
            <w:tcBorders>
              <w:top w:val="nil"/>
              <w:left w:val="single" w:sz="2" w:space="0" w:color="auto"/>
              <w:bottom w:val="nil"/>
              <w:right w:val="single" w:sz="2" w:space="0" w:color="auto"/>
            </w:tcBorders>
          </w:tcPr>
          <w:p w14:paraId="4EA9BEC5" w14:textId="54C57CAE" w:rsidR="005D1C4B" w:rsidRPr="00AC3DDE" w:rsidRDefault="005D1C4B" w:rsidP="005D1C4B">
            <w:pPr>
              <w:pStyle w:val="TableText"/>
              <w:tabs>
                <w:tab w:val="left" w:pos="3306"/>
              </w:tabs>
              <w:rPr>
                <w:rFonts w:cs="Calibri"/>
              </w:rPr>
            </w:pPr>
            <w:r w:rsidRPr="00AC3DDE">
              <w:rPr>
                <w:rFonts w:cs="Calibri"/>
              </w:rPr>
              <w:t>Note 5</w:t>
            </w:r>
            <w:r w:rsidR="00AE70BA" w:rsidRPr="00AC3DDE">
              <w:rPr>
                <w:rFonts w:cs="Calibri"/>
              </w:rPr>
              <w:t>2</w:t>
            </w:r>
          </w:p>
        </w:tc>
        <w:tc>
          <w:tcPr>
            <w:tcW w:w="112" w:type="pct"/>
            <w:tcBorders>
              <w:top w:val="nil"/>
              <w:left w:val="single" w:sz="2" w:space="0" w:color="auto"/>
              <w:bottom w:val="nil"/>
              <w:right w:val="nil"/>
            </w:tcBorders>
          </w:tcPr>
          <w:p w14:paraId="61085FB6"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194CA249" w14:textId="77777777" w:rsidR="005D1C4B" w:rsidRPr="00AC3DDE" w:rsidRDefault="005D1C4B" w:rsidP="005D1C4B">
            <w:pPr>
              <w:pStyle w:val="TableText"/>
              <w:tabs>
                <w:tab w:val="left" w:pos="3306"/>
              </w:tabs>
              <w:rPr>
                <w:rFonts w:cs="Calibri"/>
              </w:rPr>
            </w:pPr>
            <w:r w:rsidRPr="00AC3DDE">
              <w:rPr>
                <w:rFonts w:cs="Calibri"/>
              </w:rPr>
              <w:t>Restructure of Administrative Arrangements – Territorial</w:t>
            </w:r>
          </w:p>
        </w:tc>
        <w:tc>
          <w:tcPr>
            <w:tcW w:w="404" w:type="pct"/>
            <w:gridSpan w:val="3"/>
            <w:tcBorders>
              <w:top w:val="nil"/>
              <w:bottom w:val="nil"/>
            </w:tcBorders>
          </w:tcPr>
          <w:p w14:paraId="2BFA83D7" w14:textId="42323454" w:rsidR="005D1C4B" w:rsidRPr="00AC3DDE" w:rsidRDefault="00BC2389" w:rsidP="005D1C4B">
            <w:pPr>
              <w:pStyle w:val="TableText"/>
              <w:tabs>
                <w:tab w:val="left" w:pos="3306"/>
              </w:tabs>
              <w:jc w:val="right"/>
              <w:rPr>
                <w:rFonts w:cs="Calibri"/>
                <w:snapToGrid w:val="0"/>
              </w:rPr>
            </w:pPr>
            <w:r w:rsidRPr="00AC3DDE">
              <w:rPr>
                <w:rFonts w:cs="Calibri"/>
                <w:snapToGrid w:val="0"/>
              </w:rPr>
              <w:t>X</w:t>
            </w:r>
            <w:r w:rsidR="00FF0025" w:rsidRPr="00AC3DDE">
              <w:rPr>
                <w:rFonts w:cs="Calibri"/>
                <w:snapToGrid w:val="0"/>
              </w:rPr>
              <w:t>X</w:t>
            </w:r>
          </w:p>
        </w:tc>
      </w:tr>
      <w:tr w:rsidR="00AC3DDE" w:rsidRPr="00AC3DDE" w14:paraId="2E26F841" w14:textId="77777777" w:rsidTr="0004564D">
        <w:tc>
          <w:tcPr>
            <w:tcW w:w="741" w:type="pct"/>
            <w:tcBorders>
              <w:top w:val="nil"/>
              <w:left w:val="single" w:sz="2" w:space="0" w:color="auto"/>
              <w:bottom w:val="nil"/>
              <w:right w:val="single" w:sz="2" w:space="0" w:color="auto"/>
            </w:tcBorders>
          </w:tcPr>
          <w:p w14:paraId="77A4E466" w14:textId="2DBD64C8" w:rsidR="005D1C4B" w:rsidRPr="00AC3DDE" w:rsidRDefault="005D1C4B" w:rsidP="005D1C4B">
            <w:pPr>
              <w:pStyle w:val="TableText"/>
              <w:tabs>
                <w:tab w:val="left" w:pos="3306"/>
              </w:tabs>
              <w:rPr>
                <w:rFonts w:cs="Calibri"/>
              </w:rPr>
            </w:pPr>
            <w:r w:rsidRPr="00AC3DDE">
              <w:rPr>
                <w:rFonts w:cs="Calibri"/>
              </w:rPr>
              <w:t>Note 5</w:t>
            </w:r>
            <w:r w:rsidR="00A7037A">
              <w:rPr>
                <w:rFonts w:cs="Calibri"/>
              </w:rPr>
              <w:t>3</w:t>
            </w:r>
          </w:p>
        </w:tc>
        <w:tc>
          <w:tcPr>
            <w:tcW w:w="112" w:type="pct"/>
            <w:tcBorders>
              <w:top w:val="nil"/>
              <w:left w:val="single" w:sz="2" w:space="0" w:color="auto"/>
              <w:bottom w:val="nil"/>
              <w:right w:val="nil"/>
            </w:tcBorders>
          </w:tcPr>
          <w:p w14:paraId="0BDB0DE6"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6DB0F94F" w14:textId="77777777" w:rsidR="005D1C4B" w:rsidRPr="00AC3DDE" w:rsidRDefault="005D1C4B" w:rsidP="005D1C4B">
            <w:pPr>
              <w:pStyle w:val="TableText"/>
              <w:tabs>
                <w:tab w:val="left" w:pos="3306"/>
              </w:tabs>
              <w:rPr>
                <w:rFonts w:cs="Calibri"/>
              </w:rPr>
            </w:pPr>
            <w:bookmarkStart w:id="808" w:name="_Hlk90026568"/>
            <w:r w:rsidRPr="00AC3DDE">
              <w:rPr>
                <w:rFonts w:cs="Calibri"/>
              </w:rPr>
              <w:t>Financial Instruments – Territorial</w:t>
            </w:r>
            <w:bookmarkEnd w:id="808"/>
          </w:p>
        </w:tc>
        <w:tc>
          <w:tcPr>
            <w:tcW w:w="404" w:type="pct"/>
            <w:gridSpan w:val="3"/>
            <w:tcBorders>
              <w:top w:val="nil"/>
              <w:bottom w:val="nil"/>
            </w:tcBorders>
          </w:tcPr>
          <w:p w14:paraId="395933DA" w14:textId="04514761"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201B60A" w14:textId="77777777" w:rsidTr="0004564D">
        <w:tc>
          <w:tcPr>
            <w:tcW w:w="741" w:type="pct"/>
            <w:tcBorders>
              <w:top w:val="nil"/>
              <w:left w:val="single" w:sz="2" w:space="0" w:color="auto"/>
              <w:bottom w:val="nil"/>
              <w:right w:val="single" w:sz="2" w:space="0" w:color="auto"/>
            </w:tcBorders>
          </w:tcPr>
          <w:p w14:paraId="280EA916" w14:textId="28E6BB69" w:rsidR="005D1C4B" w:rsidRPr="00AC3DDE" w:rsidRDefault="005D1C4B" w:rsidP="005D1C4B">
            <w:pPr>
              <w:pStyle w:val="TableText"/>
              <w:tabs>
                <w:tab w:val="left" w:pos="3306"/>
              </w:tabs>
              <w:rPr>
                <w:rFonts w:cs="Calibri"/>
              </w:rPr>
            </w:pPr>
            <w:r w:rsidRPr="00AC3DDE">
              <w:rPr>
                <w:rFonts w:cs="Calibri"/>
              </w:rPr>
              <w:t>Note 5</w:t>
            </w:r>
            <w:r w:rsidR="00A7037A">
              <w:rPr>
                <w:rFonts w:cs="Calibri"/>
              </w:rPr>
              <w:t>4</w:t>
            </w:r>
          </w:p>
        </w:tc>
        <w:tc>
          <w:tcPr>
            <w:tcW w:w="112" w:type="pct"/>
            <w:tcBorders>
              <w:top w:val="nil"/>
              <w:left w:val="single" w:sz="2" w:space="0" w:color="auto"/>
              <w:bottom w:val="nil"/>
              <w:right w:val="nil"/>
            </w:tcBorders>
          </w:tcPr>
          <w:p w14:paraId="557971CE"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2F0FCA3F" w14:textId="77777777" w:rsidR="005D1C4B" w:rsidRPr="00AC3DDE" w:rsidRDefault="005D1C4B" w:rsidP="005D1C4B">
            <w:pPr>
              <w:pStyle w:val="TableText"/>
              <w:tabs>
                <w:tab w:val="left" w:pos="3306"/>
              </w:tabs>
              <w:rPr>
                <w:rFonts w:cs="Calibri"/>
              </w:rPr>
            </w:pPr>
            <w:r w:rsidRPr="00AC3DDE">
              <w:rPr>
                <w:rFonts w:cs="Calibri"/>
              </w:rPr>
              <w:t>Commitments – Territorial</w:t>
            </w:r>
          </w:p>
        </w:tc>
        <w:tc>
          <w:tcPr>
            <w:tcW w:w="404" w:type="pct"/>
            <w:gridSpan w:val="3"/>
            <w:tcBorders>
              <w:top w:val="nil"/>
              <w:bottom w:val="nil"/>
            </w:tcBorders>
          </w:tcPr>
          <w:p w14:paraId="0BCEA7A2" w14:textId="34E5EF43"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0277FBE9" w14:textId="77777777" w:rsidTr="0004564D">
        <w:tc>
          <w:tcPr>
            <w:tcW w:w="741" w:type="pct"/>
            <w:tcBorders>
              <w:top w:val="nil"/>
              <w:left w:val="single" w:sz="2" w:space="0" w:color="auto"/>
              <w:bottom w:val="nil"/>
              <w:right w:val="single" w:sz="2" w:space="0" w:color="auto"/>
            </w:tcBorders>
          </w:tcPr>
          <w:p w14:paraId="66B15C59" w14:textId="2C0D332E" w:rsidR="005D1C4B" w:rsidRPr="00AC3DDE" w:rsidRDefault="005D1C4B" w:rsidP="005D1C4B">
            <w:pPr>
              <w:pStyle w:val="TableText"/>
              <w:tabs>
                <w:tab w:val="left" w:pos="3306"/>
              </w:tabs>
              <w:rPr>
                <w:rFonts w:cs="Calibri"/>
              </w:rPr>
            </w:pPr>
            <w:r w:rsidRPr="00AC3DDE">
              <w:rPr>
                <w:rFonts w:cs="Calibri"/>
              </w:rPr>
              <w:t>Note 5</w:t>
            </w:r>
            <w:r w:rsidR="00A7037A">
              <w:rPr>
                <w:rFonts w:cs="Calibri"/>
              </w:rPr>
              <w:t>5</w:t>
            </w:r>
          </w:p>
        </w:tc>
        <w:tc>
          <w:tcPr>
            <w:tcW w:w="112" w:type="pct"/>
            <w:tcBorders>
              <w:top w:val="nil"/>
              <w:left w:val="single" w:sz="2" w:space="0" w:color="auto"/>
              <w:bottom w:val="nil"/>
              <w:right w:val="nil"/>
            </w:tcBorders>
          </w:tcPr>
          <w:p w14:paraId="3D309D72"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bottom w:val="nil"/>
            </w:tcBorders>
          </w:tcPr>
          <w:p w14:paraId="0D14F376" w14:textId="77777777" w:rsidR="005D1C4B" w:rsidRPr="00AC3DDE" w:rsidRDefault="005D1C4B" w:rsidP="005D1C4B">
            <w:pPr>
              <w:pStyle w:val="TableText"/>
              <w:tabs>
                <w:tab w:val="left" w:pos="3306"/>
              </w:tabs>
              <w:rPr>
                <w:rFonts w:cs="Calibri"/>
              </w:rPr>
            </w:pPr>
            <w:r w:rsidRPr="00AC3DDE">
              <w:rPr>
                <w:rFonts w:cs="Calibri"/>
              </w:rPr>
              <w:t>Contingent Liabilities and Contingent Assets – Territorial</w:t>
            </w:r>
          </w:p>
        </w:tc>
        <w:tc>
          <w:tcPr>
            <w:tcW w:w="404" w:type="pct"/>
            <w:gridSpan w:val="3"/>
            <w:tcBorders>
              <w:top w:val="nil"/>
              <w:bottom w:val="nil"/>
            </w:tcBorders>
          </w:tcPr>
          <w:p w14:paraId="77CCAF8F" w14:textId="52A1B33E"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6FEB3289" w14:textId="77777777" w:rsidTr="0004564D">
        <w:tc>
          <w:tcPr>
            <w:tcW w:w="741" w:type="pct"/>
            <w:tcBorders>
              <w:top w:val="nil"/>
              <w:left w:val="single" w:sz="2" w:space="0" w:color="auto"/>
              <w:right w:val="single" w:sz="2" w:space="0" w:color="auto"/>
            </w:tcBorders>
          </w:tcPr>
          <w:p w14:paraId="5007CFF8" w14:textId="3D4494E9" w:rsidR="005D1C4B" w:rsidRPr="00AC3DDE" w:rsidRDefault="005D1C4B" w:rsidP="005D1C4B">
            <w:pPr>
              <w:pStyle w:val="TableText"/>
              <w:tabs>
                <w:tab w:val="left" w:pos="3306"/>
              </w:tabs>
              <w:rPr>
                <w:rFonts w:cs="Calibri"/>
              </w:rPr>
            </w:pPr>
            <w:r w:rsidRPr="00AC3DDE">
              <w:rPr>
                <w:rFonts w:cs="Calibri"/>
              </w:rPr>
              <w:t xml:space="preserve">Note </w:t>
            </w:r>
            <w:r w:rsidR="009658BF" w:rsidRPr="00AC3DDE">
              <w:rPr>
                <w:rFonts w:cs="Calibri"/>
              </w:rPr>
              <w:t>5</w:t>
            </w:r>
            <w:r w:rsidR="00A7037A">
              <w:rPr>
                <w:rFonts w:cs="Calibri"/>
              </w:rPr>
              <w:t>6</w:t>
            </w:r>
          </w:p>
        </w:tc>
        <w:tc>
          <w:tcPr>
            <w:tcW w:w="112" w:type="pct"/>
            <w:tcBorders>
              <w:top w:val="nil"/>
              <w:left w:val="single" w:sz="2" w:space="0" w:color="auto"/>
              <w:right w:val="nil"/>
            </w:tcBorders>
          </w:tcPr>
          <w:p w14:paraId="56C22B05"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left w:val="nil"/>
            </w:tcBorders>
          </w:tcPr>
          <w:p w14:paraId="71F94C0F" w14:textId="77777777" w:rsidR="005D1C4B" w:rsidRPr="00AC3DDE" w:rsidRDefault="005D1C4B" w:rsidP="005D1C4B">
            <w:pPr>
              <w:pStyle w:val="TableText"/>
              <w:tabs>
                <w:tab w:val="left" w:pos="3306"/>
              </w:tabs>
              <w:rPr>
                <w:rFonts w:cs="Calibri"/>
              </w:rPr>
            </w:pPr>
            <w:r w:rsidRPr="00AC3DDE">
              <w:rPr>
                <w:rFonts w:cs="Calibri"/>
              </w:rPr>
              <w:t>Events after the Reporting Period – Territorial</w:t>
            </w:r>
          </w:p>
        </w:tc>
        <w:tc>
          <w:tcPr>
            <w:tcW w:w="404" w:type="pct"/>
            <w:gridSpan w:val="3"/>
            <w:tcBorders>
              <w:top w:val="nil"/>
            </w:tcBorders>
          </w:tcPr>
          <w:p w14:paraId="03E7D536" w14:textId="432D99A2"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11FE12E" w14:textId="77777777" w:rsidTr="0004564D">
        <w:tc>
          <w:tcPr>
            <w:tcW w:w="741" w:type="pct"/>
            <w:tcBorders>
              <w:top w:val="nil"/>
              <w:left w:val="single" w:sz="2" w:space="0" w:color="auto"/>
              <w:right w:val="single" w:sz="2" w:space="0" w:color="auto"/>
            </w:tcBorders>
          </w:tcPr>
          <w:p w14:paraId="2CFE9B45" w14:textId="38F60282" w:rsidR="005D1C4B" w:rsidRPr="00AC3DDE" w:rsidRDefault="005D1C4B" w:rsidP="005D1C4B">
            <w:pPr>
              <w:pStyle w:val="TableText"/>
              <w:tabs>
                <w:tab w:val="left" w:pos="3306"/>
              </w:tabs>
              <w:rPr>
                <w:rFonts w:cs="Calibri"/>
              </w:rPr>
            </w:pPr>
            <w:r w:rsidRPr="00AC3DDE">
              <w:rPr>
                <w:rFonts w:cs="Calibri"/>
              </w:rPr>
              <w:t xml:space="preserve">Note </w:t>
            </w:r>
            <w:r w:rsidR="006C5890" w:rsidRPr="00AC3DDE">
              <w:rPr>
                <w:rFonts w:cs="Calibri"/>
              </w:rPr>
              <w:t>5</w:t>
            </w:r>
            <w:r w:rsidR="00A7037A">
              <w:rPr>
                <w:rFonts w:cs="Calibri"/>
              </w:rPr>
              <w:t>7</w:t>
            </w:r>
          </w:p>
        </w:tc>
        <w:tc>
          <w:tcPr>
            <w:tcW w:w="112" w:type="pct"/>
            <w:tcBorders>
              <w:top w:val="nil"/>
              <w:left w:val="single" w:sz="2" w:space="0" w:color="auto"/>
            </w:tcBorders>
          </w:tcPr>
          <w:p w14:paraId="3E977651" w14:textId="77777777" w:rsidR="005D1C4B" w:rsidRPr="00AC3DDE" w:rsidRDefault="005D1C4B" w:rsidP="005D1C4B">
            <w:pPr>
              <w:pStyle w:val="TableText"/>
              <w:tabs>
                <w:tab w:val="left" w:pos="3306"/>
              </w:tabs>
              <w:rPr>
                <w:rFonts w:cs="Calibri"/>
                <w:snapToGrid w:val="0"/>
              </w:rPr>
            </w:pPr>
          </w:p>
        </w:tc>
        <w:tc>
          <w:tcPr>
            <w:tcW w:w="3743" w:type="pct"/>
            <w:gridSpan w:val="2"/>
            <w:tcBorders>
              <w:top w:val="nil"/>
            </w:tcBorders>
          </w:tcPr>
          <w:p w14:paraId="53A2C982" w14:textId="77777777" w:rsidR="005D1C4B" w:rsidRPr="00AC3DDE" w:rsidRDefault="005D1C4B" w:rsidP="005D1C4B">
            <w:pPr>
              <w:pStyle w:val="TableText"/>
              <w:tabs>
                <w:tab w:val="left" w:pos="3306"/>
              </w:tabs>
              <w:rPr>
                <w:rFonts w:cs="Calibri"/>
              </w:rPr>
            </w:pPr>
            <w:r w:rsidRPr="00AC3DDE">
              <w:rPr>
                <w:rFonts w:cs="Calibri"/>
              </w:rPr>
              <w:t xml:space="preserve">Related Party Disclosures – Territorial </w:t>
            </w:r>
          </w:p>
        </w:tc>
        <w:tc>
          <w:tcPr>
            <w:tcW w:w="404" w:type="pct"/>
            <w:gridSpan w:val="3"/>
            <w:tcBorders>
              <w:top w:val="nil"/>
            </w:tcBorders>
          </w:tcPr>
          <w:p w14:paraId="27195007" w14:textId="03276118"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00730F36" w14:textId="77777777" w:rsidTr="0004564D">
        <w:tc>
          <w:tcPr>
            <w:tcW w:w="741" w:type="pct"/>
            <w:tcBorders>
              <w:left w:val="single" w:sz="2" w:space="0" w:color="auto"/>
              <w:right w:val="single" w:sz="2" w:space="0" w:color="auto"/>
            </w:tcBorders>
          </w:tcPr>
          <w:p w14:paraId="0F0E63E0" w14:textId="15BDD700" w:rsidR="005D1C4B" w:rsidRPr="00AC3DDE" w:rsidRDefault="005D1C4B" w:rsidP="005D1C4B">
            <w:pPr>
              <w:pStyle w:val="TableText"/>
              <w:tabs>
                <w:tab w:val="left" w:pos="3306"/>
              </w:tabs>
              <w:rPr>
                <w:rFonts w:cs="Calibri"/>
              </w:rPr>
            </w:pPr>
            <w:r w:rsidRPr="00AC3DDE">
              <w:rPr>
                <w:rFonts w:cs="Calibri"/>
              </w:rPr>
              <w:t xml:space="preserve">Note </w:t>
            </w:r>
            <w:r w:rsidR="00AE70BA" w:rsidRPr="00AC3DDE">
              <w:rPr>
                <w:rFonts w:cs="Calibri"/>
              </w:rPr>
              <w:t>5</w:t>
            </w:r>
            <w:r w:rsidR="00A7037A">
              <w:rPr>
                <w:rFonts w:cs="Calibri"/>
              </w:rPr>
              <w:t>8</w:t>
            </w:r>
          </w:p>
        </w:tc>
        <w:tc>
          <w:tcPr>
            <w:tcW w:w="112" w:type="pct"/>
            <w:tcBorders>
              <w:left w:val="single" w:sz="2" w:space="0" w:color="auto"/>
              <w:right w:val="nil"/>
            </w:tcBorders>
          </w:tcPr>
          <w:p w14:paraId="361A4AC3" w14:textId="77777777" w:rsidR="005D1C4B" w:rsidRPr="00AC3DDE" w:rsidRDefault="005D1C4B" w:rsidP="005D1C4B">
            <w:pPr>
              <w:pStyle w:val="TableText"/>
              <w:tabs>
                <w:tab w:val="left" w:pos="3306"/>
              </w:tabs>
              <w:rPr>
                <w:rFonts w:cs="Calibri"/>
                <w:snapToGrid w:val="0"/>
              </w:rPr>
            </w:pPr>
          </w:p>
        </w:tc>
        <w:tc>
          <w:tcPr>
            <w:tcW w:w="3743" w:type="pct"/>
            <w:gridSpan w:val="2"/>
            <w:tcBorders>
              <w:left w:val="nil"/>
            </w:tcBorders>
          </w:tcPr>
          <w:p w14:paraId="29B2F222" w14:textId="652872CA" w:rsidR="005D1C4B" w:rsidRPr="00AC3DDE" w:rsidRDefault="005D1C4B" w:rsidP="005D1C4B">
            <w:pPr>
              <w:pStyle w:val="TableText"/>
              <w:tabs>
                <w:tab w:val="left" w:pos="3306"/>
              </w:tabs>
              <w:rPr>
                <w:rFonts w:cs="Calibri"/>
              </w:rPr>
            </w:pPr>
            <w:r w:rsidRPr="00AC3DDE">
              <w:rPr>
                <w:rFonts w:cs="Calibri"/>
              </w:rPr>
              <w:t xml:space="preserve">Budgetary Reporting </w:t>
            </w:r>
            <w:r w:rsidR="00FE5846" w:rsidRPr="00AC3DDE">
              <w:rPr>
                <w:rFonts w:cs="Calibri"/>
              </w:rPr>
              <w:t>– Territorial</w:t>
            </w:r>
          </w:p>
        </w:tc>
        <w:tc>
          <w:tcPr>
            <w:tcW w:w="404" w:type="pct"/>
            <w:gridSpan w:val="3"/>
          </w:tcPr>
          <w:p w14:paraId="50FFCD47" w14:textId="48EEE9C3" w:rsidR="005D1C4B" w:rsidRPr="00AC3DDE" w:rsidRDefault="00BC2389" w:rsidP="005D1C4B">
            <w:pPr>
              <w:pStyle w:val="TableText"/>
              <w:tabs>
                <w:tab w:val="left" w:pos="3306"/>
              </w:tabs>
              <w:jc w:val="right"/>
              <w:rPr>
                <w:rFonts w:cs="Calibri"/>
                <w:snapToGrid w:val="0"/>
              </w:rPr>
            </w:pPr>
            <w:r w:rsidRPr="00AC3DDE">
              <w:rPr>
                <w:rFonts w:cs="Calibri"/>
                <w:snapToGrid w:val="0"/>
              </w:rPr>
              <w:t>XX</w:t>
            </w:r>
          </w:p>
        </w:tc>
      </w:tr>
      <w:tr w:rsidR="00AC3DDE" w:rsidRPr="00AC3DDE" w14:paraId="152A76E9" w14:textId="77777777" w:rsidTr="0004564D">
        <w:tc>
          <w:tcPr>
            <w:tcW w:w="741" w:type="pct"/>
            <w:tcBorders>
              <w:left w:val="single" w:sz="2" w:space="0" w:color="auto"/>
              <w:right w:val="single" w:sz="2" w:space="0" w:color="auto"/>
            </w:tcBorders>
          </w:tcPr>
          <w:p w14:paraId="388639FD" w14:textId="77777777" w:rsidR="00300197" w:rsidRPr="00AC3DDE" w:rsidRDefault="00300197" w:rsidP="005D1C4B">
            <w:pPr>
              <w:pStyle w:val="TableText"/>
              <w:tabs>
                <w:tab w:val="left" w:pos="3306"/>
              </w:tabs>
              <w:rPr>
                <w:rFonts w:cs="Calibri"/>
              </w:rPr>
            </w:pPr>
          </w:p>
        </w:tc>
        <w:tc>
          <w:tcPr>
            <w:tcW w:w="112" w:type="pct"/>
            <w:tcBorders>
              <w:left w:val="single" w:sz="2" w:space="0" w:color="auto"/>
              <w:right w:val="nil"/>
            </w:tcBorders>
          </w:tcPr>
          <w:p w14:paraId="106B6CC4" w14:textId="77777777" w:rsidR="00300197" w:rsidRPr="00AC3DDE" w:rsidRDefault="00300197" w:rsidP="005D1C4B">
            <w:pPr>
              <w:pStyle w:val="TableText"/>
              <w:tabs>
                <w:tab w:val="left" w:pos="3306"/>
              </w:tabs>
              <w:rPr>
                <w:rFonts w:cs="Calibri"/>
                <w:snapToGrid w:val="0"/>
              </w:rPr>
            </w:pPr>
          </w:p>
        </w:tc>
        <w:tc>
          <w:tcPr>
            <w:tcW w:w="3743" w:type="pct"/>
            <w:gridSpan w:val="2"/>
            <w:tcBorders>
              <w:left w:val="nil"/>
            </w:tcBorders>
          </w:tcPr>
          <w:p w14:paraId="0438441E" w14:textId="77777777" w:rsidR="00300197" w:rsidRPr="00AC3DDE" w:rsidRDefault="00300197" w:rsidP="005D1C4B">
            <w:pPr>
              <w:pStyle w:val="TableText"/>
              <w:tabs>
                <w:tab w:val="left" w:pos="3306"/>
              </w:tabs>
              <w:rPr>
                <w:rFonts w:cs="Calibri"/>
              </w:rPr>
            </w:pPr>
          </w:p>
        </w:tc>
        <w:tc>
          <w:tcPr>
            <w:tcW w:w="404" w:type="pct"/>
            <w:gridSpan w:val="3"/>
          </w:tcPr>
          <w:p w14:paraId="7D99ED1D" w14:textId="77777777" w:rsidR="00300197" w:rsidRPr="00AC3DDE" w:rsidRDefault="00300197" w:rsidP="005D1C4B">
            <w:pPr>
              <w:pStyle w:val="TableText"/>
              <w:tabs>
                <w:tab w:val="left" w:pos="3306"/>
              </w:tabs>
              <w:jc w:val="right"/>
              <w:rPr>
                <w:rFonts w:cs="Calibri"/>
                <w:snapToGrid w:val="0"/>
              </w:rPr>
            </w:pPr>
          </w:p>
        </w:tc>
      </w:tr>
      <w:bookmarkEnd w:id="803"/>
      <w:tr w:rsidR="00300197" w:rsidRPr="00300197" w14:paraId="37E4F9AF"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3D6D84ED" w14:textId="500420DA" w:rsidR="00300197" w:rsidRPr="00C203AE" w:rsidRDefault="00300197" w:rsidP="009A0F2F">
            <w:pPr>
              <w:pStyle w:val="TableReference"/>
              <w:tabs>
                <w:tab w:val="left" w:pos="3306"/>
              </w:tabs>
              <w:spacing w:before="120" w:after="240"/>
              <w:rPr>
                <w:rFonts w:cs="Calibri"/>
                <w:b/>
                <w:color w:val="7030A0"/>
                <w:sz w:val="20"/>
                <w:szCs w:val="20"/>
              </w:rPr>
            </w:pPr>
          </w:p>
        </w:tc>
        <w:tc>
          <w:tcPr>
            <w:tcW w:w="4247" w:type="pct"/>
            <w:gridSpan w:val="5"/>
            <w:tcBorders>
              <w:left w:val="single" w:sz="2" w:space="0" w:color="auto"/>
            </w:tcBorders>
            <w:shd w:val="clear" w:color="auto" w:fill="7030A0"/>
          </w:tcPr>
          <w:p w14:paraId="2D913D2F" w14:textId="7CE8A6AB" w:rsidR="00300197" w:rsidRPr="00C203AE" w:rsidRDefault="00300197" w:rsidP="00A84CC0">
            <w:pPr>
              <w:pStyle w:val="CommentaryTitle"/>
              <w:pageBreakBefore w:val="0"/>
              <w:tabs>
                <w:tab w:val="left" w:pos="3306"/>
              </w:tabs>
              <w:spacing w:before="0" w:after="240"/>
              <w:rPr>
                <w:rFonts w:cs="Calibri"/>
                <w:color w:val="FFFFFF" w:themeColor="background1"/>
              </w:rPr>
            </w:pPr>
            <w:r w:rsidRPr="00C203AE">
              <w:rPr>
                <w:rFonts w:asciiTheme="minorHAnsi" w:hAnsiTheme="minorHAnsi"/>
                <w:bCs w:val="0"/>
                <w:color w:val="FFFFFF" w:themeColor="background1"/>
                <w:sz w:val="28"/>
                <w:szCs w:val="28"/>
              </w:rPr>
              <w:t xml:space="preserve">Commentary </w:t>
            </w:r>
            <w:r w:rsidRPr="00C203AE">
              <w:rPr>
                <w:rFonts w:asciiTheme="minorHAnsi" w:hAnsiTheme="minorHAnsi"/>
                <w:bCs w:val="0"/>
                <w:color w:val="FFFFFF" w:themeColor="background1"/>
                <w:sz w:val="28"/>
                <w:szCs w:val="28"/>
              </w:rPr>
              <w:sym w:font="Symbol" w:char="F02D"/>
            </w:r>
            <w:r w:rsidRPr="00C203AE">
              <w:rPr>
                <w:rFonts w:asciiTheme="minorHAnsi" w:hAnsiTheme="minorHAnsi"/>
                <w:bCs w:val="0"/>
                <w:color w:val="FFFFFF" w:themeColor="background1"/>
                <w:sz w:val="28"/>
                <w:szCs w:val="28"/>
              </w:rPr>
              <w:t xml:space="preserve"> Content of Territorial Financial Statements</w:t>
            </w:r>
          </w:p>
        </w:tc>
      </w:tr>
      <w:tr w:rsidR="00300197" w:rsidRPr="00300197" w14:paraId="55E6BA6C"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664B7E98" w14:textId="77777777" w:rsidR="00300197" w:rsidRPr="00C203AE" w:rsidRDefault="00300197" w:rsidP="009A0F2F">
            <w:pPr>
              <w:pStyle w:val="TableReference"/>
              <w:tabs>
                <w:tab w:val="left" w:pos="3306"/>
              </w:tabs>
              <w:rPr>
                <w:rFonts w:cs="Calibri"/>
                <w:color w:val="7030A0"/>
              </w:rPr>
            </w:pPr>
          </w:p>
        </w:tc>
        <w:tc>
          <w:tcPr>
            <w:tcW w:w="4247" w:type="pct"/>
            <w:gridSpan w:val="5"/>
            <w:tcBorders>
              <w:left w:val="single" w:sz="2" w:space="0" w:color="auto"/>
            </w:tcBorders>
            <w:shd w:val="clear" w:color="auto" w:fill="7030A0"/>
          </w:tcPr>
          <w:p w14:paraId="79448D1E" w14:textId="1A1015A4" w:rsidR="00300197" w:rsidRPr="00C203AE" w:rsidRDefault="00300197" w:rsidP="009A0F2F">
            <w:pPr>
              <w:pStyle w:val="CommentaryHeading"/>
              <w:tabs>
                <w:tab w:val="left" w:pos="3306"/>
              </w:tabs>
              <w:spacing w:before="0" w:after="120"/>
              <w:rPr>
                <w:rFonts w:cs="Calibri"/>
                <w:color w:val="FFFFFF" w:themeColor="background1"/>
              </w:rPr>
            </w:pPr>
            <w:r w:rsidRPr="00C203AE">
              <w:rPr>
                <w:rFonts w:cs="Calibri"/>
                <w:color w:val="FFFFFF" w:themeColor="background1"/>
              </w:rPr>
              <w:t xml:space="preserve">Presentation of </w:t>
            </w:r>
            <w:r w:rsidR="003C7A22" w:rsidRPr="00C203AE">
              <w:rPr>
                <w:rFonts w:cs="Calibri"/>
                <w:color w:val="FFFFFF" w:themeColor="background1"/>
              </w:rPr>
              <w:t xml:space="preserve">Statements and </w:t>
            </w:r>
            <w:r w:rsidRPr="00C203AE">
              <w:rPr>
                <w:rFonts w:cs="Calibri"/>
                <w:color w:val="FFFFFF" w:themeColor="background1"/>
              </w:rPr>
              <w:t>Notes</w:t>
            </w:r>
          </w:p>
        </w:tc>
      </w:tr>
      <w:tr w:rsidR="00300197" w:rsidRPr="00300197" w14:paraId="7BBBAE2C"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0F8AAB43" w14:textId="77777777" w:rsidR="00300197" w:rsidRPr="00C203AE" w:rsidRDefault="00300197" w:rsidP="009A0F2F">
            <w:pPr>
              <w:pStyle w:val="TableReference"/>
              <w:tabs>
                <w:tab w:val="left" w:pos="3306"/>
              </w:tabs>
              <w:spacing w:before="60"/>
              <w:rPr>
                <w:rFonts w:cs="Calibri"/>
                <w:color w:val="7030A0"/>
              </w:rPr>
            </w:pPr>
            <w:r w:rsidRPr="00C203AE">
              <w:rPr>
                <w:rFonts w:cs="Calibri"/>
                <w:color w:val="7030A0"/>
              </w:rPr>
              <w:t xml:space="preserve"> </w:t>
            </w:r>
          </w:p>
        </w:tc>
        <w:tc>
          <w:tcPr>
            <w:tcW w:w="4247" w:type="pct"/>
            <w:gridSpan w:val="5"/>
            <w:tcBorders>
              <w:left w:val="single" w:sz="2" w:space="0" w:color="auto"/>
            </w:tcBorders>
            <w:shd w:val="clear" w:color="auto" w:fill="7030A0"/>
          </w:tcPr>
          <w:p w14:paraId="55D8DDA4" w14:textId="23CD4479" w:rsidR="00300197" w:rsidRPr="00C203AE" w:rsidRDefault="00300197" w:rsidP="009A0F2F">
            <w:pPr>
              <w:pStyle w:val="CommentaryText"/>
              <w:tabs>
                <w:tab w:val="left" w:pos="3306"/>
              </w:tabs>
              <w:rPr>
                <w:rFonts w:cs="Calibri"/>
                <w:color w:val="FFFFFF" w:themeColor="background1"/>
                <w:sz w:val="18"/>
                <w:szCs w:val="18"/>
              </w:rPr>
            </w:pPr>
            <w:r w:rsidRPr="00C203AE">
              <w:rPr>
                <w:rFonts w:cs="Calibri"/>
                <w:color w:val="FFFFFF" w:themeColor="background1"/>
                <w:sz w:val="18"/>
                <w:szCs w:val="18"/>
              </w:rPr>
              <w:t xml:space="preserve">It is not compulsory to have an index to the </w:t>
            </w:r>
            <w:r w:rsidR="003C7A22" w:rsidRPr="00C203AE">
              <w:rPr>
                <w:rFonts w:cs="Calibri"/>
                <w:color w:val="FFFFFF" w:themeColor="background1"/>
                <w:sz w:val="18"/>
                <w:szCs w:val="18"/>
              </w:rPr>
              <w:t xml:space="preserve">financial statements and </w:t>
            </w:r>
            <w:r w:rsidRPr="00C203AE">
              <w:rPr>
                <w:rFonts w:cs="Calibri"/>
                <w:color w:val="FFFFFF" w:themeColor="background1"/>
                <w:sz w:val="18"/>
                <w:szCs w:val="18"/>
              </w:rPr>
              <w:t xml:space="preserve">notes to the financial statements, however, it is recommended as this helps users to quickly access a particular </w:t>
            </w:r>
            <w:r w:rsidR="003C7A22" w:rsidRPr="00C203AE">
              <w:rPr>
                <w:rFonts w:cs="Calibri"/>
                <w:color w:val="FFFFFF" w:themeColor="background1"/>
                <w:sz w:val="18"/>
                <w:szCs w:val="18"/>
              </w:rPr>
              <w:t xml:space="preserve">statement or </w:t>
            </w:r>
            <w:r w:rsidRPr="00C203AE">
              <w:rPr>
                <w:rFonts w:cs="Calibri"/>
                <w:color w:val="FFFFFF" w:themeColor="background1"/>
                <w:sz w:val="18"/>
                <w:szCs w:val="18"/>
              </w:rPr>
              <w:t>note.</w:t>
            </w:r>
            <w:r w:rsidR="00FA7C77">
              <w:rPr>
                <w:rFonts w:cs="Calibri"/>
                <w:color w:val="FFFFFF" w:themeColor="background1"/>
                <w:sz w:val="18"/>
                <w:szCs w:val="18"/>
              </w:rPr>
              <w:t xml:space="preserve"> </w:t>
            </w:r>
            <w:r w:rsidRPr="00C203AE">
              <w:rPr>
                <w:rFonts w:cs="Calibri"/>
                <w:color w:val="FFFFFF" w:themeColor="background1"/>
                <w:sz w:val="18"/>
                <w:szCs w:val="18"/>
              </w:rPr>
              <w:t xml:space="preserve">Notes </w:t>
            </w:r>
            <w:r w:rsidR="003C7A22" w:rsidRPr="00C203AE">
              <w:rPr>
                <w:rFonts w:cs="Calibri"/>
                <w:color w:val="FFFFFF" w:themeColor="background1"/>
                <w:sz w:val="18"/>
                <w:szCs w:val="18"/>
              </w:rPr>
              <w:t xml:space="preserve">and </w:t>
            </w:r>
            <w:r w:rsidRPr="00C203AE">
              <w:rPr>
                <w:rFonts w:cs="Calibri"/>
                <w:color w:val="FFFFFF" w:themeColor="background1"/>
                <w:sz w:val="18"/>
                <w:szCs w:val="18"/>
              </w:rPr>
              <w:t>the financial statements must be presented in a systematic manner and each item on a financial statement must be cross-referenced to any directly related information in the notes.</w:t>
            </w:r>
          </w:p>
        </w:tc>
      </w:tr>
      <w:tr w:rsidR="00300197" w:rsidRPr="00300197" w14:paraId="5AC1ED62"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6A15C6C4" w14:textId="77777777" w:rsidR="00300197" w:rsidRPr="00C203AE" w:rsidRDefault="00300197" w:rsidP="009A0F2F">
            <w:pPr>
              <w:pStyle w:val="TableReference"/>
              <w:tabs>
                <w:tab w:val="left" w:pos="3306"/>
              </w:tabs>
              <w:rPr>
                <w:rFonts w:cs="Calibri"/>
                <w:color w:val="7030A0"/>
              </w:rPr>
            </w:pPr>
          </w:p>
        </w:tc>
        <w:tc>
          <w:tcPr>
            <w:tcW w:w="4247" w:type="pct"/>
            <w:gridSpan w:val="5"/>
            <w:tcBorders>
              <w:left w:val="single" w:sz="2" w:space="0" w:color="auto"/>
            </w:tcBorders>
            <w:shd w:val="clear" w:color="auto" w:fill="7030A0"/>
          </w:tcPr>
          <w:p w14:paraId="607745E9" w14:textId="70A886D1" w:rsidR="00300197" w:rsidRPr="00C203AE" w:rsidRDefault="00300197" w:rsidP="009A0F2F">
            <w:pPr>
              <w:pStyle w:val="CommentaryHeading"/>
              <w:tabs>
                <w:tab w:val="left" w:pos="3306"/>
              </w:tabs>
              <w:spacing w:before="0" w:after="120"/>
              <w:jc w:val="both"/>
              <w:rPr>
                <w:rFonts w:cs="Calibri"/>
                <w:b w:val="0"/>
                <w:bCs w:val="0"/>
                <w:color w:val="FFFFFF" w:themeColor="background1"/>
                <w:sz w:val="18"/>
              </w:rPr>
            </w:pPr>
            <w:r w:rsidRPr="00C203AE">
              <w:rPr>
                <w:rFonts w:cs="Calibri"/>
                <w:b w:val="0"/>
                <w:bCs w:val="0"/>
                <w:color w:val="FFFFFF" w:themeColor="background1"/>
                <w:sz w:val="18"/>
              </w:rPr>
              <w:t xml:space="preserve">Page numbers are used in the </w:t>
            </w:r>
            <w:r w:rsidRPr="00C203AE">
              <w:rPr>
                <w:rFonts w:cs="Calibri"/>
                <w:b w:val="0"/>
                <w:color w:val="FFFFFF" w:themeColor="background1"/>
                <w:sz w:val="18"/>
              </w:rPr>
              <w:t xml:space="preserve">Models </w:t>
            </w:r>
            <w:r w:rsidRPr="00C203AE">
              <w:rPr>
                <w:rFonts w:cs="Calibri"/>
                <w:b w:val="0"/>
                <w:bCs w:val="0"/>
                <w:color w:val="FFFFFF" w:themeColor="background1"/>
                <w:sz w:val="18"/>
              </w:rPr>
              <w:t>for ease of reference.</w:t>
            </w:r>
            <w:r w:rsidR="00FA7C77">
              <w:rPr>
                <w:rFonts w:cs="Calibri"/>
                <w:b w:val="0"/>
                <w:bCs w:val="0"/>
                <w:color w:val="FFFFFF" w:themeColor="background1"/>
                <w:sz w:val="18"/>
              </w:rPr>
              <w:t xml:space="preserve"> </w:t>
            </w:r>
            <w:r w:rsidRPr="00C203AE">
              <w:rPr>
                <w:rFonts w:cs="Calibri"/>
                <w:b w:val="0"/>
                <w:color w:val="FFFFFF" w:themeColor="background1"/>
                <w:sz w:val="18"/>
              </w:rPr>
              <w:t>Agencies</w:t>
            </w:r>
            <w:r w:rsidRPr="00C203AE">
              <w:rPr>
                <w:rFonts w:cs="Calibri"/>
                <w:color w:val="FFFFFF" w:themeColor="background1"/>
                <w:sz w:val="18"/>
              </w:rPr>
              <w:t xml:space="preserve"> </w:t>
            </w:r>
            <w:r w:rsidRPr="00C203AE">
              <w:rPr>
                <w:rFonts w:cs="Calibri"/>
                <w:b w:val="0"/>
                <w:bCs w:val="0"/>
                <w:color w:val="FFFFFF" w:themeColor="background1"/>
                <w:sz w:val="18"/>
              </w:rPr>
              <w:t>are not required to include page numbers in the</w:t>
            </w:r>
            <w:r w:rsidR="003C7A22" w:rsidRPr="00C203AE">
              <w:rPr>
                <w:rFonts w:cs="Calibri"/>
                <w:b w:val="0"/>
                <w:bCs w:val="0"/>
                <w:color w:val="FFFFFF" w:themeColor="background1"/>
                <w:sz w:val="18"/>
              </w:rPr>
              <w:t xml:space="preserve"> table of contents</w:t>
            </w:r>
            <w:r w:rsidRPr="00C203AE">
              <w:rPr>
                <w:rFonts w:cs="Calibri"/>
                <w:b w:val="0"/>
                <w:bCs w:val="0"/>
                <w:color w:val="FFFFFF" w:themeColor="background1"/>
                <w:sz w:val="18"/>
              </w:rPr>
              <w:t xml:space="preserve"> due to the difficulty in knowing what page numbers the financial statement will have in the Annual Report.</w:t>
            </w:r>
          </w:p>
        </w:tc>
      </w:tr>
      <w:tr w:rsidR="00300197" w:rsidRPr="00300197" w14:paraId="6C0B37B4" w14:textId="77777777" w:rsidTr="0004564D">
        <w:tblPrEx>
          <w:shd w:val="clear" w:color="auto" w:fill="CCFFCC"/>
        </w:tblPrEx>
        <w:trPr>
          <w:gridAfter w:val="1"/>
          <w:wAfter w:w="12" w:type="pct"/>
          <w:trHeight w:val="283"/>
        </w:trPr>
        <w:tc>
          <w:tcPr>
            <w:tcW w:w="741" w:type="pct"/>
            <w:tcBorders>
              <w:left w:val="single" w:sz="2" w:space="0" w:color="auto"/>
              <w:right w:val="single" w:sz="2" w:space="0" w:color="auto"/>
            </w:tcBorders>
          </w:tcPr>
          <w:p w14:paraId="5CBCBE76" w14:textId="77777777" w:rsidR="00300197" w:rsidRPr="00C203AE" w:rsidRDefault="00300197" w:rsidP="009A0F2F">
            <w:pPr>
              <w:pStyle w:val="TableReference"/>
              <w:tabs>
                <w:tab w:val="left" w:pos="3306"/>
              </w:tabs>
              <w:spacing w:before="60"/>
              <w:rPr>
                <w:rFonts w:cs="Calibri"/>
                <w:color w:val="7030A0"/>
              </w:rPr>
            </w:pPr>
          </w:p>
        </w:tc>
        <w:tc>
          <w:tcPr>
            <w:tcW w:w="4247" w:type="pct"/>
            <w:gridSpan w:val="5"/>
            <w:tcBorders>
              <w:left w:val="single" w:sz="2" w:space="0" w:color="auto"/>
            </w:tcBorders>
            <w:shd w:val="clear" w:color="auto" w:fill="7030A0"/>
          </w:tcPr>
          <w:p w14:paraId="4FE3AA5B" w14:textId="639D3184" w:rsidR="00300197" w:rsidRPr="00C203AE" w:rsidRDefault="00300197" w:rsidP="009A0F2F">
            <w:pPr>
              <w:pStyle w:val="CommentaryText"/>
              <w:tabs>
                <w:tab w:val="left" w:pos="3306"/>
              </w:tabs>
              <w:rPr>
                <w:rFonts w:cs="Calibri"/>
                <w:color w:val="FFFFFF" w:themeColor="background1"/>
                <w:sz w:val="18"/>
                <w:szCs w:val="18"/>
              </w:rPr>
            </w:pPr>
            <w:r w:rsidRPr="00C203AE">
              <w:rPr>
                <w:rFonts w:cs="Calibri"/>
                <w:color w:val="FFFFFF" w:themeColor="background1"/>
                <w:sz w:val="18"/>
                <w:szCs w:val="18"/>
              </w:rPr>
              <w:t>The notes to the financial statements are to provide details of each class of income, expense, asset and liability.</w:t>
            </w:r>
            <w:r w:rsidR="00FA7C77">
              <w:rPr>
                <w:rFonts w:cs="Calibri"/>
                <w:color w:val="FFFFFF" w:themeColor="background1"/>
                <w:sz w:val="18"/>
                <w:szCs w:val="18"/>
              </w:rPr>
              <w:t xml:space="preserve"> </w:t>
            </w:r>
            <w:r w:rsidRPr="00C203AE">
              <w:rPr>
                <w:rFonts w:cs="Calibri"/>
                <w:color w:val="FFFFFF" w:themeColor="background1"/>
                <w:sz w:val="18"/>
                <w:szCs w:val="18"/>
              </w:rPr>
              <w:t>Each note should disclose all material line items within that class.</w:t>
            </w:r>
          </w:p>
        </w:tc>
      </w:tr>
      <w:bookmarkEnd w:id="799"/>
    </w:tbl>
    <w:p w14:paraId="560B52F2" w14:textId="77777777" w:rsidR="00232181" w:rsidRDefault="00232181" w:rsidP="00863311">
      <w:pPr>
        <w:pStyle w:val="Title"/>
        <w:tabs>
          <w:tab w:val="left" w:pos="3306"/>
        </w:tabs>
        <w:spacing w:line="240" w:lineRule="auto"/>
        <w:outlineLvl w:val="0"/>
        <w:rPr>
          <w:rFonts w:cs="Calibri"/>
        </w:rPr>
        <w:sectPr w:rsidR="00232181" w:rsidSect="005006D4">
          <w:headerReference w:type="default" r:id="rId41"/>
          <w:footnotePr>
            <w:numRestart w:val="eachPage"/>
          </w:footnotePr>
          <w:pgSz w:w="11907" w:h="16840" w:code="9"/>
          <w:pgMar w:top="680" w:right="680" w:bottom="896" w:left="680" w:header="624" w:footer="284" w:gutter="0"/>
          <w:cols w:space="720"/>
        </w:sectPr>
      </w:pPr>
    </w:p>
    <w:p w14:paraId="0B79F1A6" w14:textId="17CB72BF" w:rsidR="00863311" w:rsidRPr="00C203AE" w:rsidRDefault="00863311" w:rsidP="00C203AE">
      <w:pPr>
        <w:spacing w:before="240" w:line="400" w:lineRule="exact"/>
        <w:jc w:val="center"/>
        <w:rPr>
          <w:b/>
          <w:sz w:val="40"/>
          <w:szCs w:val="40"/>
        </w:rPr>
      </w:pPr>
      <w:r w:rsidRPr="00C203AE">
        <w:rPr>
          <w:b/>
          <w:sz w:val="40"/>
          <w:szCs w:val="40"/>
        </w:rPr>
        <w:t>‘</w:t>
      </w:r>
      <w:bookmarkStart w:id="809" w:name="OLE_LINK29"/>
      <w:r w:rsidR="00027610" w:rsidRPr="00C203AE">
        <w:rPr>
          <w:b/>
          <w:sz w:val="40"/>
          <w:szCs w:val="40"/>
        </w:rPr>
        <w:t xml:space="preserve">Burley Griffin </w:t>
      </w:r>
      <w:bookmarkStart w:id="810" w:name="TStateIncomeExpenses"/>
      <w:bookmarkEnd w:id="810"/>
      <w:r w:rsidRPr="00C203AE">
        <w:rPr>
          <w:b/>
          <w:sz w:val="40"/>
          <w:szCs w:val="40"/>
        </w:rPr>
        <w:t>Agency’</w:t>
      </w:r>
      <w:bookmarkEnd w:id="800"/>
      <w:bookmarkEnd w:id="801"/>
    </w:p>
    <w:p w14:paraId="603817B6" w14:textId="77777777" w:rsidR="00863311" w:rsidRPr="00C203AE" w:rsidRDefault="00863311" w:rsidP="00226363">
      <w:pPr>
        <w:pStyle w:val="Subtitle"/>
        <w:spacing w:line="400" w:lineRule="exact"/>
        <w:rPr>
          <w:rFonts w:asciiTheme="minorHAnsi" w:hAnsiTheme="minorHAnsi" w:cstheme="minorHAnsi"/>
        </w:rPr>
      </w:pPr>
      <w:bookmarkStart w:id="811" w:name="_Toc49224250"/>
      <w:bookmarkStart w:id="812" w:name="_Toc50440406"/>
      <w:bookmarkStart w:id="813" w:name="_Toc223433218"/>
      <w:bookmarkStart w:id="814" w:name="_Toc400627367"/>
      <w:bookmarkStart w:id="815" w:name="_Toc98763189"/>
      <w:r w:rsidRPr="00C203AE">
        <w:rPr>
          <w:rFonts w:asciiTheme="minorHAnsi" w:hAnsiTheme="minorHAnsi" w:cstheme="minorHAnsi"/>
        </w:rPr>
        <w:t>Statement of Income and Expenses on Behalf of the Territory</w:t>
      </w:r>
      <w:bookmarkEnd w:id="811"/>
      <w:bookmarkEnd w:id="812"/>
      <w:bookmarkEnd w:id="813"/>
      <w:bookmarkEnd w:id="814"/>
      <w:bookmarkEnd w:id="815"/>
    </w:p>
    <w:p w14:paraId="62F299FA" w14:textId="1D96195B" w:rsidR="00863311" w:rsidRPr="007D29FB" w:rsidRDefault="00863311" w:rsidP="00226363">
      <w:pPr>
        <w:spacing w:line="400" w:lineRule="exact"/>
        <w:jc w:val="center"/>
        <w:rPr>
          <w:b/>
          <w:sz w:val="40"/>
          <w:szCs w:val="40"/>
        </w:rPr>
      </w:pPr>
      <w:bookmarkStart w:id="816" w:name="_Toc48468769"/>
      <w:bookmarkStart w:id="817" w:name="_Toc49155840"/>
      <w:r w:rsidRPr="00C203AE">
        <w:rPr>
          <w:b/>
          <w:sz w:val="40"/>
          <w:szCs w:val="40"/>
        </w:rPr>
        <w:t xml:space="preserve">For the Year Ended </w:t>
      </w:r>
      <w:bookmarkEnd w:id="816"/>
      <w:bookmarkEnd w:id="817"/>
      <w:r w:rsidRPr="00C203AE">
        <w:rPr>
          <w:b/>
          <w:sz w:val="40"/>
          <w:szCs w:val="40"/>
        </w:rPr>
        <w:t xml:space="preserve">30 June </w:t>
      </w:r>
      <w:r w:rsidR="00C32BD7" w:rsidRPr="00C203AE">
        <w:rPr>
          <w:b/>
          <w:sz w:val="40"/>
          <w:szCs w:val="40"/>
        </w:rPr>
        <w:t>202</w:t>
      </w:r>
      <w:r w:rsidR="00631FF2" w:rsidRPr="00C203AE">
        <w:rPr>
          <w:b/>
          <w:sz w:val="40"/>
          <w:szCs w:val="40"/>
        </w:rPr>
        <w:t>2</w:t>
      </w:r>
    </w:p>
    <w:tbl>
      <w:tblPr>
        <w:tblW w:w="4922"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3"/>
        <w:gridCol w:w="5044"/>
        <w:gridCol w:w="703"/>
        <w:gridCol w:w="1123"/>
        <w:gridCol w:w="983"/>
        <w:gridCol w:w="984"/>
      </w:tblGrid>
      <w:tr w:rsidR="00863311" w:rsidRPr="00CF7E1B" w14:paraId="1361C0A7" w14:textId="77777777" w:rsidTr="0004564D">
        <w:trPr>
          <w:cantSplit/>
          <w:trHeight w:val="20"/>
        </w:trPr>
        <w:tc>
          <w:tcPr>
            <w:tcW w:w="1543" w:type="dxa"/>
            <w:tcBorders>
              <w:top w:val="nil"/>
              <w:left w:val="single" w:sz="2" w:space="0" w:color="auto"/>
              <w:bottom w:val="nil"/>
              <w:right w:val="single" w:sz="2" w:space="0" w:color="auto"/>
            </w:tcBorders>
          </w:tcPr>
          <w:p w14:paraId="1009E523" w14:textId="77777777" w:rsidR="00863311" w:rsidRPr="00C203AE" w:rsidRDefault="00E35DF1" w:rsidP="00863311">
            <w:pPr>
              <w:pStyle w:val="TableReference"/>
              <w:tabs>
                <w:tab w:val="left" w:pos="3306"/>
              </w:tabs>
              <w:spacing w:before="40"/>
              <w:rPr>
                <w:rFonts w:cs="Calibri"/>
                <w:b/>
                <w:color w:val="7030A0"/>
                <w:sz w:val="22"/>
                <w:szCs w:val="22"/>
              </w:rPr>
            </w:pPr>
            <w:r w:rsidRPr="00C203AE">
              <w:rPr>
                <w:rFonts w:cs="Calibri"/>
                <w:b/>
                <w:color w:val="7030A0"/>
                <w:sz w:val="22"/>
                <w:szCs w:val="22"/>
              </w:rPr>
              <w:t>Reference</w:t>
            </w:r>
          </w:p>
        </w:tc>
        <w:tc>
          <w:tcPr>
            <w:tcW w:w="5044" w:type="dxa"/>
            <w:tcBorders>
              <w:top w:val="nil"/>
              <w:left w:val="single" w:sz="2" w:space="0" w:color="auto"/>
              <w:bottom w:val="nil"/>
              <w:right w:val="nil"/>
            </w:tcBorders>
            <w:vAlign w:val="bottom"/>
          </w:tcPr>
          <w:p w14:paraId="66A836F8"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5E51BE54" w14:textId="77777777" w:rsidR="00863311" w:rsidRPr="00C203AE" w:rsidRDefault="00863311" w:rsidP="00863311">
            <w:pPr>
              <w:pStyle w:val="TableTitle"/>
              <w:tabs>
                <w:tab w:val="left" w:pos="3306"/>
              </w:tabs>
              <w:jc w:val="center"/>
              <w:rPr>
                <w:rFonts w:cs="Calibri"/>
              </w:rPr>
            </w:pPr>
            <w:bookmarkStart w:id="818" w:name="_Toc48468771"/>
            <w:bookmarkStart w:id="819" w:name="_Toc49155842"/>
            <w:bookmarkStart w:id="820" w:name="_Toc49224252"/>
            <w:r w:rsidRPr="00C203AE">
              <w:rPr>
                <w:rFonts w:cs="Calibri"/>
              </w:rPr>
              <w:t>Note No.</w:t>
            </w:r>
            <w:bookmarkEnd w:id="818"/>
            <w:bookmarkEnd w:id="819"/>
            <w:bookmarkEnd w:id="820"/>
          </w:p>
        </w:tc>
        <w:tc>
          <w:tcPr>
            <w:tcW w:w="1123" w:type="dxa"/>
            <w:tcBorders>
              <w:top w:val="nil"/>
              <w:left w:val="nil"/>
              <w:bottom w:val="nil"/>
              <w:right w:val="nil"/>
            </w:tcBorders>
            <w:vAlign w:val="bottom"/>
          </w:tcPr>
          <w:p w14:paraId="00FF8E7C" w14:textId="77777777" w:rsidR="00863311" w:rsidRPr="00C203AE" w:rsidRDefault="00863311" w:rsidP="00863311">
            <w:pPr>
              <w:pStyle w:val="TableTitle"/>
              <w:tabs>
                <w:tab w:val="left" w:pos="3306"/>
              </w:tabs>
              <w:rPr>
                <w:rFonts w:cs="Calibri"/>
              </w:rPr>
            </w:pPr>
            <w:r w:rsidRPr="00C203AE">
              <w:rPr>
                <w:rFonts w:cs="Calibri"/>
              </w:rPr>
              <w:t>Actual</w:t>
            </w:r>
          </w:p>
          <w:p w14:paraId="6709E916" w14:textId="0F54F0B5" w:rsidR="00863311" w:rsidRPr="00C203AE" w:rsidRDefault="00946D6B" w:rsidP="00863311">
            <w:pPr>
              <w:pStyle w:val="TableTitle"/>
              <w:tabs>
                <w:tab w:val="left" w:pos="3306"/>
              </w:tabs>
              <w:rPr>
                <w:rFonts w:cs="Calibri"/>
              </w:rPr>
            </w:pPr>
            <w:r w:rsidRPr="00C203AE">
              <w:rPr>
                <w:rFonts w:cs="Calibri"/>
              </w:rPr>
              <w:t>2022</w:t>
            </w:r>
          </w:p>
          <w:p w14:paraId="023FDA1F" w14:textId="77777777" w:rsidR="00863311" w:rsidRPr="00C203AE" w:rsidRDefault="00863311" w:rsidP="00863311">
            <w:pPr>
              <w:pStyle w:val="TableTitle"/>
              <w:tabs>
                <w:tab w:val="left" w:pos="3306"/>
              </w:tabs>
              <w:rPr>
                <w:rFonts w:cs="Calibri"/>
              </w:rPr>
            </w:pPr>
            <w:r w:rsidRPr="00C203AE">
              <w:rPr>
                <w:rFonts w:cs="Calibri"/>
              </w:rPr>
              <w:t>$’000</w:t>
            </w:r>
          </w:p>
        </w:tc>
        <w:tc>
          <w:tcPr>
            <w:tcW w:w="983" w:type="dxa"/>
            <w:tcBorders>
              <w:top w:val="nil"/>
              <w:left w:val="nil"/>
              <w:bottom w:val="nil"/>
              <w:right w:val="nil"/>
            </w:tcBorders>
            <w:vAlign w:val="bottom"/>
          </w:tcPr>
          <w:p w14:paraId="669F9021" w14:textId="77777777" w:rsidR="00863311" w:rsidRPr="00C203AE" w:rsidRDefault="00863311" w:rsidP="00863311">
            <w:pPr>
              <w:pStyle w:val="TableTitle"/>
              <w:tabs>
                <w:tab w:val="left" w:pos="3306"/>
              </w:tabs>
              <w:rPr>
                <w:rFonts w:cs="Calibri"/>
              </w:rPr>
            </w:pPr>
            <w:r w:rsidRPr="00C203AE">
              <w:rPr>
                <w:rFonts w:cs="Calibri"/>
              </w:rPr>
              <w:t>Original</w:t>
            </w:r>
          </w:p>
          <w:p w14:paraId="12693D07" w14:textId="77777777" w:rsidR="00863311" w:rsidRPr="00C203AE" w:rsidRDefault="00863311" w:rsidP="00863311">
            <w:pPr>
              <w:pStyle w:val="TableTitle"/>
              <w:tabs>
                <w:tab w:val="left" w:pos="3306"/>
              </w:tabs>
              <w:rPr>
                <w:rFonts w:cs="Calibri"/>
              </w:rPr>
            </w:pPr>
            <w:r w:rsidRPr="00C203AE">
              <w:rPr>
                <w:rFonts w:cs="Calibri"/>
              </w:rPr>
              <w:t xml:space="preserve">Budget </w:t>
            </w:r>
          </w:p>
          <w:p w14:paraId="6A56E366" w14:textId="2CFF656A" w:rsidR="00863311" w:rsidRPr="00C203AE" w:rsidRDefault="006C26C2" w:rsidP="00863311">
            <w:pPr>
              <w:pStyle w:val="TableTitle"/>
              <w:tabs>
                <w:tab w:val="left" w:pos="3306"/>
              </w:tabs>
              <w:rPr>
                <w:rFonts w:cs="Calibri"/>
              </w:rPr>
            </w:pPr>
            <w:r w:rsidRPr="00C203AE">
              <w:rPr>
                <w:rFonts w:cs="Calibri"/>
              </w:rPr>
              <w:t>2022</w:t>
            </w:r>
          </w:p>
          <w:p w14:paraId="225EA031" w14:textId="77777777" w:rsidR="00863311" w:rsidRPr="00C203AE" w:rsidRDefault="00863311" w:rsidP="00863311">
            <w:pPr>
              <w:pStyle w:val="TableTitle"/>
              <w:tabs>
                <w:tab w:val="left" w:pos="3306"/>
              </w:tabs>
              <w:rPr>
                <w:rFonts w:cs="Calibri"/>
              </w:rPr>
            </w:pPr>
            <w:r w:rsidRPr="00C203AE">
              <w:rPr>
                <w:rFonts w:cs="Calibri"/>
              </w:rPr>
              <w:t>$’000</w:t>
            </w:r>
          </w:p>
        </w:tc>
        <w:tc>
          <w:tcPr>
            <w:tcW w:w="984" w:type="dxa"/>
            <w:tcBorders>
              <w:top w:val="nil"/>
              <w:left w:val="nil"/>
              <w:bottom w:val="nil"/>
              <w:right w:val="nil"/>
            </w:tcBorders>
            <w:vAlign w:val="bottom"/>
          </w:tcPr>
          <w:p w14:paraId="23342D01" w14:textId="77777777" w:rsidR="00863311" w:rsidRPr="00C203AE" w:rsidRDefault="00863311" w:rsidP="00863311">
            <w:pPr>
              <w:pStyle w:val="TableTitle"/>
              <w:tabs>
                <w:tab w:val="left" w:pos="3306"/>
              </w:tabs>
              <w:rPr>
                <w:rFonts w:cs="Calibri"/>
              </w:rPr>
            </w:pPr>
            <w:r w:rsidRPr="00C203AE">
              <w:rPr>
                <w:rFonts w:cs="Calibri"/>
              </w:rPr>
              <w:t>Actual</w:t>
            </w:r>
          </w:p>
          <w:p w14:paraId="23AF317E" w14:textId="59F8C78E" w:rsidR="00863311" w:rsidRPr="00C203AE" w:rsidRDefault="005709FA" w:rsidP="00863311">
            <w:pPr>
              <w:pStyle w:val="TableTitle"/>
              <w:tabs>
                <w:tab w:val="left" w:pos="3306"/>
              </w:tabs>
              <w:rPr>
                <w:rFonts w:cs="Calibri"/>
              </w:rPr>
            </w:pPr>
            <w:r w:rsidRPr="00C203AE">
              <w:rPr>
                <w:rFonts w:cs="Calibri"/>
              </w:rPr>
              <w:t>2021</w:t>
            </w:r>
          </w:p>
          <w:p w14:paraId="130A761C" w14:textId="77777777" w:rsidR="00863311" w:rsidRPr="00C203AE" w:rsidRDefault="00863311" w:rsidP="00863311">
            <w:pPr>
              <w:pStyle w:val="TableTitle"/>
              <w:tabs>
                <w:tab w:val="left" w:pos="3306"/>
              </w:tabs>
              <w:rPr>
                <w:rFonts w:cs="Calibri"/>
              </w:rPr>
            </w:pPr>
            <w:r w:rsidRPr="00C203AE">
              <w:rPr>
                <w:rFonts w:cs="Calibri"/>
              </w:rPr>
              <w:t>$’000</w:t>
            </w:r>
          </w:p>
        </w:tc>
      </w:tr>
      <w:tr w:rsidR="00863311" w:rsidRPr="00CF7E1B" w14:paraId="4AE26F2C" w14:textId="77777777" w:rsidTr="0004564D">
        <w:trPr>
          <w:cantSplit/>
          <w:trHeight w:val="20"/>
        </w:trPr>
        <w:tc>
          <w:tcPr>
            <w:tcW w:w="1543" w:type="dxa"/>
            <w:tcBorders>
              <w:top w:val="nil"/>
              <w:left w:val="single" w:sz="2" w:space="0" w:color="auto"/>
              <w:bottom w:val="nil"/>
              <w:right w:val="single" w:sz="2" w:space="0" w:color="auto"/>
            </w:tcBorders>
          </w:tcPr>
          <w:p w14:paraId="28288E27"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36E22C96" w14:textId="77777777" w:rsidR="00863311" w:rsidRPr="00C203AE" w:rsidRDefault="00863311" w:rsidP="00863311">
            <w:pPr>
              <w:pStyle w:val="TableText"/>
              <w:tabs>
                <w:tab w:val="left" w:pos="3306"/>
              </w:tabs>
              <w:rPr>
                <w:rFonts w:cs="Calibri"/>
                <w:b/>
                <w:bCs/>
              </w:rPr>
            </w:pPr>
            <w:r w:rsidRPr="00C203AE">
              <w:rPr>
                <w:rFonts w:cs="Calibri"/>
                <w:b/>
                <w:bCs/>
              </w:rPr>
              <w:t>Income</w:t>
            </w:r>
          </w:p>
        </w:tc>
        <w:tc>
          <w:tcPr>
            <w:tcW w:w="703" w:type="dxa"/>
            <w:tcBorders>
              <w:top w:val="nil"/>
              <w:left w:val="nil"/>
              <w:bottom w:val="nil"/>
              <w:right w:val="nil"/>
            </w:tcBorders>
            <w:vAlign w:val="bottom"/>
          </w:tcPr>
          <w:p w14:paraId="1DD535BC"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177B2C77"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6B65896D"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155FD48" w14:textId="77777777" w:rsidR="00863311" w:rsidRPr="00C203AE" w:rsidRDefault="00863311" w:rsidP="00863311">
            <w:pPr>
              <w:pStyle w:val="TableText"/>
              <w:tabs>
                <w:tab w:val="left" w:pos="3306"/>
              </w:tabs>
              <w:jc w:val="right"/>
              <w:rPr>
                <w:rFonts w:cs="Calibri"/>
              </w:rPr>
            </w:pPr>
          </w:p>
        </w:tc>
      </w:tr>
      <w:tr w:rsidR="00863311" w:rsidRPr="00CF7E1B" w14:paraId="12CA6F4D" w14:textId="77777777" w:rsidTr="0004564D">
        <w:trPr>
          <w:cantSplit/>
          <w:trHeight w:val="20"/>
        </w:trPr>
        <w:tc>
          <w:tcPr>
            <w:tcW w:w="1543" w:type="dxa"/>
            <w:tcBorders>
              <w:top w:val="nil"/>
              <w:left w:val="single" w:sz="2" w:space="0" w:color="auto"/>
              <w:bottom w:val="nil"/>
              <w:right w:val="single" w:sz="2" w:space="0" w:color="auto"/>
            </w:tcBorders>
          </w:tcPr>
          <w:p w14:paraId="6BCFD7C7"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1F95E39B" w14:textId="77777777" w:rsidR="00863311" w:rsidRPr="00C203AE" w:rsidRDefault="00863311" w:rsidP="00863311">
            <w:pPr>
              <w:pStyle w:val="TableText"/>
              <w:tabs>
                <w:tab w:val="left" w:pos="3306"/>
              </w:tabs>
              <w:rPr>
                <w:rFonts w:cs="Calibri"/>
                <w:i/>
                <w:iCs/>
              </w:rPr>
            </w:pPr>
            <w:r w:rsidRPr="00C203AE">
              <w:rPr>
                <w:rFonts w:cs="Calibri"/>
                <w:i/>
                <w:iCs/>
              </w:rPr>
              <w:t>Revenue</w:t>
            </w:r>
          </w:p>
        </w:tc>
        <w:tc>
          <w:tcPr>
            <w:tcW w:w="703" w:type="dxa"/>
            <w:tcBorders>
              <w:top w:val="nil"/>
              <w:left w:val="nil"/>
              <w:bottom w:val="nil"/>
              <w:right w:val="nil"/>
            </w:tcBorders>
            <w:vAlign w:val="bottom"/>
          </w:tcPr>
          <w:p w14:paraId="544983F4"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23580EE5"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04402636"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2C068FE1" w14:textId="77777777" w:rsidR="00863311" w:rsidRPr="00C203AE" w:rsidRDefault="00863311" w:rsidP="00863311">
            <w:pPr>
              <w:pStyle w:val="TableText"/>
              <w:tabs>
                <w:tab w:val="left" w:pos="3306"/>
              </w:tabs>
              <w:jc w:val="right"/>
              <w:rPr>
                <w:rFonts w:cs="Calibri"/>
              </w:rPr>
            </w:pPr>
          </w:p>
        </w:tc>
      </w:tr>
      <w:tr w:rsidR="00863311" w:rsidRPr="00CF7E1B" w14:paraId="22B3BAC2" w14:textId="77777777" w:rsidTr="0004564D">
        <w:trPr>
          <w:cantSplit/>
          <w:trHeight w:val="20"/>
        </w:trPr>
        <w:tc>
          <w:tcPr>
            <w:tcW w:w="1543" w:type="dxa"/>
            <w:tcBorders>
              <w:top w:val="nil"/>
              <w:left w:val="single" w:sz="2" w:space="0" w:color="auto"/>
              <w:bottom w:val="nil"/>
              <w:right w:val="single" w:sz="2" w:space="0" w:color="auto"/>
            </w:tcBorders>
          </w:tcPr>
          <w:p w14:paraId="7B1C982A"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7(a)(i)</w:t>
            </w:r>
          </w:p>
        </w:tc>
        <w:tc>
          <w:tcPr>
            <w:tcW w:w="5044" w:type="dxa"/>
            <w:tcBorders>
              <w:top w:val="nil"/>
              <w:left w:val="single" w:sz="2" w:space="0" w:color="auto"/>
              <w:bottom w:val="nil"/>
              <w:right w:val="nil"/>
            </w:tcBorders>
            <w:vAlign w:val="bottom"/>
          </w:tcPr>
          <w:p w14:paraId="13067022" w14:textId="77777777" w:rsidR="00863311" w:rsidRPr="00C203AE" w:rsidRDefault="00863311" w:rsidP="00863311">
            <w:pPr>
              <w:pStyle w:val="TableText"/>
              <w:tabs>
                <w:tab w:val="left" w:pos="3306"/>
              </w:tabs>
              <w:rPr>
                <w:rFonts w:cs="Calibri"/>
              </w:rPr>
            </w:pPr>
            <w:r w:rsidRPr="00C203AE">
              <w:rPr>
                <w:rFonts w:cs="Calibri"/>
              </w:rPr>
              <w:t>Payment for Expenses on Behalf of the Territory</w:t>
            </w:r>
          </w:p>
        </w:tc>
        <w:tc>
          <w:tcPr>
            <w:tcW w:w="703" w:type="dxa"/>
            <w:tcBorders>
              <w:top w:val="nil"/>
              <w:left w:val="nil"/>
              <w:bottom w:val="nil"/>
              <w:right w:val="nil"/>
            </w:tcBorders>
            <w:vAlign w:val="bottom"/>
          </w:tcPr>
          <w:p w14:paraId="790878FA" w14:textId="15A740EA" w:rsidR="00863311" w:rsidRPr="00C203AE" w:rsidRDefault="00E178FE" w:rsidP="00863311">
            <w:pPr>
              <w:pStyle w:val="TableText"/>
              <w:tabs>
                <w:tab w:val="left" w:pos="3306"/>
              </w:tabs>
              <w:jc w:val="center"/>
              <w:rPr>
                <w:rFonts w:cs="Calibri"/>
              </w:rPr>
            </w:pPr>
            <w:r w:rsidRPr="00C203AE">
              <w:rPr>
                <w:rFonts w:cs="Calibri"/>
              </w:rPr>
              <w:t>#</w:t>
            </w:r>
          </w:p>
        </w:tc>
        <w:tc>
          <w:tcPr>
            <w:tcW w:w="1123" w:type="dxa"/>
            <w:tcBorders>
              <w:top w:val="nil"/>
              <w:left w:val="nil"/>
              <w:bottom w:val="nil"/>
              <w:right w:val="nil"/>
            </w:tcBorders>
            <w:vAlign w:val="bottom"/>
          </w:tcPr>
          <w:p w14:paraId="55160A9A" w14:textId="7BA50C6D"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49A1927B" w14:textId="4ACED3ED"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567D5F09" w14:textId="4E1D0828" w:rsidR="00863311" w:rsidRPr="00C203AE" w:rsidRDefault="00863311" w:rsidP="00863311">
            <w:pPr>
              <w:pStyle w:val="TableText"/>
              <w:tabs>
                <w:tab w:val="left" w:pos="3306"/>
              </w:tabs>
              <w:jc w:val="right"/>
              <w:rPr>
                <w:rFonts w:cs="Calibri"/>
              </w:rPr>
            </w:pPr>
          </w:p>
        </w:tc>
      </w:tr>
      <w:tr w:rsidR="00863311" w:rsidRPr="00CF7E1B" w14:paraId="5FACA2EF" w14:textId="77777777" w:rsidTr="0004564D">
        <w:trPr>
          <w:cantSplit/>
          <w:trHeight w:val="20"/>
        </w:trPr>
        <w:tc>
          <w:tcPr>
            <w:tcW w:w="1543" w:type="dxa"/>
            <w:tcBorders>
              <w:top w:val="nil"/>
              <w:left w:val="single" w:sz="2" w:space="0" w:color="auto"/>
              <w:bottom w:val="nil"/>
              <w:right w:val="single" w:sz="2" w:space="0" w:color="auto"/>
            </w:tcBorders>
          </w:tcPr>
          <w:p w14:paraId="641059D3"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7(a)(i)</w:t>
            </w:r>
          </w:p>
        </w:tc>
        <w:tc>
          <w:tcPr>
            <w:tcW w:w="5044" w:type="dxa"/>
            <w:tcBorders>
              <w:top w:val="nil"/>
              <w:left w:val="single" w:sz="2" w:space="0" w:color="auto"/>
              <w:bottom w:val="nil"/>
              <w:right w:val="nil"/>
            </w:tcBorders>
            <w:vAlign w:val="bottom"/>
          </w:tcPr>
          <w:p w14:paraId="6252DA14" w14:textId="25895120" w:rsidR="00863311" w:rsidRPr="00C203AE" w:rsidRDefault="00863311" w:rsidP="00863311">
            <w:pPr>
              <w:pStyle w:val="TableText"/>
              <w:tabs>
                <w:tab w:val="left" w:pos="3306"/>
              </w:tabs>
              <w:rPr>
                <w:rFonts w:cs="Calibri"/>
              </w:rPr>
            </w:pPr>
            <w:r w:rsidRPr="00C203AE">
              <w:rPr>
                <w:rFonts w:cs="Calibri"/>
              </w:rPr>
              <w:t xml:space="preserve">Taxes, </w:t>
            </w:r>
            <w:r w:rsidR="00DC5F22" w:rsidRPr="00C203AE">
              <w:rPr>
                <w:rFonts w:cs="Calibri"/>
              </w:rPr>
              <w:t>Licen</w:t>
            </w:r>
            <w:r w:rsidR="00710302" w:rsidRPr="00C203AE">
              <w:rPr>
                <w:rFonts w:cs="Calibri"/>
              </w:rPr>
              <w:t>c</w:t>
            </w:r>
            <w:r w:rsidR="00DC5F22" w:rsidRPr="00C203AE">
              <w:rPr>
                <w:rFonts w:cs="Calibri"/>
              </w:rPr>
              <w:t xml:space="preserve">es, </w:t>
            </w:r>
            <w:r w:rsidRPr="00C203AE">
              <w:rPr>
                <w:rFonts w:cs="Calibri"/>
              </w:rPr>
              <w:t>Fees and Fines</w:t>
            </w:r>
          </w:p>
        </w:tc>
        <w:tc>
          <w:tcPr>
            <w:tcW w:w="703" w:type="dxa"/>
            <w:tcBorders>
              <w:top w:val="nil"/>
              <w:left w:val="nil"/>
              <w:bottom w:val="nil"/>
              <w:right w:val="nil"/>
            </w:tcBorders>
            <w:vAlign w:val="bottom"/>
          </w:tcPr>
          <w:p w14:paraId="1F8516B9" w14:textId="4FB23D3B" w:rsidR="00863311" w:rsidRPr="00C203AE" w:rsidRDefault="00E178FE" w:rsidP="00863311">
            <w:pPr>
              <w:pStyle w:val="TableText"/>
              <w:tabs>
                <w:tab w:val="left" w:pos="3306"/>
              </w:tabs>
              <w:jc w:val="center"/>
              <w:rPr>
                <w:rFonts w:cs="Calibri"/>
              </w:rPr>
            </w:pPr>
            <w:r w:rsidRPr="00C203AE">
              <w:rPr>
                <w:rFonts w:cs="Calibri"/>
              </w:rPr>
              <w:t>4</w:t>
            </w:r>
            <w:r w:rsidR="00B40325" w:rsidRPr="00C203AE">
              <w:rPr>
                <w:rFonts w:cs="Calibri"/>
              </w:rPr>
              <w:t>2</w:t>
            </w:r>
          </w:p>
        </w:tc>
        <w:tc>
          <w:tcPr>
            <w:tcW w:w="1123" w:type="dxa"/>
            <w:tcBorders>
              <w:top w:val="nil"/>
              <w:left w:val="nil"/>
              <w:bottom w:val="single" w:sz="2" w:space="0" w:color="auto"/>
              <w:right w:val="nil"/>
            </w:tcBorders>
            <w:vAlign w:val="bottom"/>
          </w:tcPr>
          <w:p w14:paraId="4FC5686F" w14:textId="47E6E84E" w:rsidR="00863311" w:rsidRPr="00C203AE" w:rsidRDefault="00863311" w:rsidP="00863311">
            <w:pPr>
              <w:pStyle w:val="TableText"/>
              <w:tabs>
                <w:tab w:val="left" w:pos="3306"/>
              </w:tabs>
              <w:jc w:val="right"/>
              <w:rPr>
                <w:rFonts w:cs="Calibri"/>
              </w:rPr>
            </w:pPr>
          </w:p>
        </w:tc>
        <w:tc>
          <w:tcPr>
            <w:tcW w:w="983" w:type="dxa"/>
            <w:tcBorders>
              <w:top w:val="nil"/>
              <w:left w:val="nil"/>
              <w:bottom w:val="single" w:sz="2" w:space="0" w:color="auto"/>
              <w:right w:val="nil"/>
            </w:tcBorders>
            <w:vAlign w:val="bottom"/>
          </w:tcPr>
          <w:p w14:paraId="63445120" w14:textId="319BFA87" w:rsidR="00863311" w:rsidRPr="00C203AE" w:rsidRDefault="00863311" w:rsidP="00863311">
            <w:pPr>
              <w:pStyle w:val="TableText"/>
              <w:tabs>
                <w:tab w:val="left" w:pos="3306"/>
              </w:tabs>
              <w:jc w:val="right"/>
              <w:rPr>
                <w:rFonts w:cs="Calibri"/>
              </w:rPr>
            </w:pPr>
          </w:p>
        </w:tc>
        <w:tc>
          <w:tcPr>
            <w:tcW w:w="984" w:type="dxa"/>
            <w:tcBorders>
              <w:top w:val="nil"/>
              <w:left w:val="nil"/>
              <w:bottom w:val="single" w:sz="2" w:space="0" w:color="auto"/>
              <w:right w:val="nil"/>
            </w:tcBorders>
            <w:vAlign w:val="bottom"/>
          </w:tcPr>
          <w:p w14:paraId="4EE91A8E" w14:textId="05DAAFEE" w:rsidR="00863311" w:rsidRPr="00C203AE" w:rsidRDefault="00863311" w:rsidP="00863311">
            <w:pPr>
              <w:pStyle w:val="TableText"/>
              <w:tabs>
                <w:tab w:val="left" w:pos="3306"/>
              </w:tabs>
              <w:jc w:val="right"/>
              <w:rPr>
                <w:rFonts w:cs="Calibri"/>
              </w:rPr>
            </w:pPr>
          </w:p>
        </w:tc>
      </w:tr>
      <w:tr w:rsidR="00863311" w:rsidRPr="00CF7E1B" w14:paraId="51C3BB6E" w14:textId="77777777" w:rsidTr="0004564D">
        <w:trPr>
          <w:cantSplit/>
          <w:trHeight w:val="20"/>
        </w:trPr>
        <w:tc>
          <w:tcPr>
            <w:tcW w:w="1543" w:type="dxa"/>
            <w:tcBorders>
              <w:top w:val="nil"/>
              <w:left w:val="single" w:sz="2" w:space="0" w:color="auto"/>
              <w:bottom w:val="nil"/>
              <w:right w:val="single" w:sz="2" w:space="0" w:color="auto"/>
            </w:tcBorders>
          </w:tcPr>
          <w:p w14:paraId="7CF3937F"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276E65D3" w14:textId="77777777" w:rsidR="00863311" w:rsidRPr="00C203AE" w:rsidRDefault="00863311" w:rsidP="00863311">
            <w:pPr>
              <w:pStyle w:val="TableText"/>
              <w:tabs>
                <w:tab w:val="left" w:pos="3306"/>
              </w:tabs>
              <w:rPr>
                <w:rFonts w:cs="Calibri"/>
                <w:i/>
                <w:iCs/>
              </w:rPr>
            </w:pPr>
            <w:r w:rsidRPr="00C203AE">
              <w:rPr>
                <w:rFonts w:cs="Calibri"/>
                <w:i/>
                <w:iCs/>
              </w:rPr>
              <w:t>Total Revenue</w:t>
            </w:r>
          </w:p>
        </w:tc>
        <w:tc>
          <w:tcPr>
            <w:tcW w:w="703" w:type="dxa"/>
            <w:tcBorders>
              <w:top w:val="nil"/>
              <w:left w:val="nil"/>
              <w:bottom w:val="nil"/>
              <w:right w:val="nil"/>
            </w:tcBorders>
            <w:vAlign w:val="bottom"/>
          </w:tcPr>
          <w:p w14:paraId="51451EB3"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nil"/>
              <w:right w:val="nil"/>
            </w:tcBorders>
            <w:vAlign w:val="bottom"/>
          </w:tcPr>
          <w:p w14:paraId="63B7AB11" w14:textId="450041DE" w:rsidR="00863311" w:rsidRPr="00C203AE" w:rsidRDefault="00863311" w:rsidP="00863311">
            <w:pPr>
              <w:pStyle w:val="TableText"/>
              <w:tabs>
                <w:tab w:val="left" w:pos="3306"/>
              </w:tabs>
              <w:jc w:val="right"/>
              <w:rPr>
                <w:rFonts w:cs="Calibri"/>
              </w:rPr>
            </w:pPr>
          </w:p>
        </w:tc>
        <w:tc>
          <w:tcPr>
            <w:tcW w:w="983" w:type="dxa"/>
            <w:tcBorders>
              <w:top w:val="single" w:sz="2" w:space="0" w:color="auto"/>
              <w:left w:val="nil"/>
              <w:bottom w:val="nil"/>
              <w:right w:val="nil"/>
            </w:tcBorders>
            <w:vAlign w:val="bottom"/>
          </w:tcPr>
          <w:p w14:paraId="182A968D" w14:textId="1E6C8A3E" w:rsidR="00863311" w:rsidRPr="00C203AE" w:rsidRDefault="00863311" w:rsidP="00863311">
            <w:pPr>
              <w:pStyle w:val="TableText"/>
              <w:tabs>
                <w:tab w:val="left" w:pos="3306"/>
              </w:tabs>
              <w:jc w:val="right"/>
              <w:rPr>
                <w:rFonts w:cs="Calibri"/>
              </w:rPr>
            </w:pPr>
          </w:p>
        </w:tc>
        <w:tc>
          <w:tcPr>
            <w:tcW w:w="984" w:type="dxa"/>
            <w:tcBorders>
              <w:top w:val="single" w:sz="2" w:space="0" w:color="auto"/>
              <w:left w:val="nil"/>
              <w:bottom w:val="nil"/>
              <w:right w:val="nil"/>
            </w:tcBorders>
            <w:vAlign w:val="bottom"/>
          </w:tcPr>
          <w:p w14:paraId="34DE5DDD" w14:textId="006ADB52" w:rsidR="00863311" w:rsidRPr="00C203AE" w:rsidRDefault="00863311" w:rsidP="00863311">
            <w:pPr>
              <w:pStyle w:val="TableText"/>
              <w:tabs>
                <w:tab w:val="left" w:pos="3306"/>
              </w:tabs>
              <w:jc w:val="right"/>
              <w:rPr>
                <w:rFonts w:cs="Calibri"/>
              </w:rPr>
            </w:pPr>
          </w:p>
        </w:tc>
      </w:tr>
      <w:tr w:rsidR="00863311" w:rsidRPr="00CF7E1B" w14:paraId="5EF08EE0" w14:textId="77777777" w:rsidTr="0004564D">
        <w:trPr>
          <w:cantSplit/>
          <w:trHeight w:val="20"/>
        </w:trPr>
        <w:tc>
          <w:tcPr>
            <w:tcW w:w="1543" w:type="dxa"/>
            <w:tcBorders>
              <w:top w:val="nil"/>
              <w:left w:val="single" w:sz="2" w:space="0" w:color="auto"/>
              <w:bottom w:val="nil"/>
              <w:right w:val="single" w:sz="2" w:space="0" w:color="auto"/>
            </w:tcBorders>
          </w:tcPr>
          <w:p w14:paraId="5CFA4420"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08145F50"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109931D1"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6018E9C7"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36CD62BE"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0051D8A3" w14:textId="77777777" w:rsidR="00863311" w:rsidRPr="00C203AE" w:rsidRDefault="00863311" w:rsidP="00863311">
            <w:pPr>
              <w:pStyle w:val="TableText"/>
              <w:tabs>
                <w:tab w:val="left" w:pos="3306"/>
              </w:tabs>
              <w:jc w:val="right"/>
              <w:rPr>
                <w:rFonts w:cs="Calibri"/>
              </w:rPr>
            </w:pPr>
          </w:p>
        </w:tc>
      </w:tr>
      <w:tr w:rsidR="00863311" w:rsidRPr="00CF7E1B" w14:paraId="7B44543C" w14:textId="77777777" w:rsidTr="0004564D">
        <w:trPr>
          <w:cantSplit/>
          <w:trHeight w:val="20"/>
        </w:trPr>
        <w:tc>
          <w:tcPr>
            <w:tcW w:w="1543" w:type="dxa"/>
            <w:tcBorders>
              <w:top w:val="nil"/>
              <w:left w:val="single" w:sz="2" w:space="0" w:color="auto"/>
              <w:bottom w:val="nil"/>
              <w:right w:val="single" w:sz="2" w:space="0" w:color="auto"/>
            </w:tcBorders>
          </w:tcPr>
          <w:p w14:paraId="4DA600EA"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747DFB8E" w14:textId="77777777" w:rsidR="00863311" w:rsidRPr="00C203AE" w:rsidRDefault="00863311" w:rsidP="00863311">
            <w:pPr>
              <w:pStyle w:val="TableText"/>
              <w:tabs>
                <w:tab w:val="left" w:pos="3306"/>
              </w:tabs>
              <w:rPr>
                <w:rFonts w:cs="Calibri"/>
                <w:i/>
                <w:iCs/>
              </w:rPr>
            </w:pPr>
            <w:r w:rsidRPr="00C203AE">
              <w:rPr>
                <w:rFonts w:cs="Calibri"/>
                <w:i/>
                <w:iCs/>
              </w:rPr>
              <w:t>Gains</w:t>
            </w:r>
          </w:p>
        </w:tc>
        <w:tc>
          <w:tcPr>
            <w:tcW w:w="703" w:type="dxa"/>
            <w:tcBorders>
              <w:top w:val="nil"/>
              <w:left w:val="nil"/>
              <w:bottom w:val="nil"/>
              <w:right w:val="nil"/>
            </w:tcBorders>
            <w:vAlign w:val="bottom"/>
          </w:tcPr>
          <w:p w14:paraId="20285BAB"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475163F2"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87416EE"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8A05E09" w14:textId="77777777" w:rsidR="00863311" w:rsidRPr="00C203AE" w:rsidRDefault="00863311" w:rsidP="00863311">
            <w:pPr>
              <w:pStyle w:val="TableText"/>
              <w:tabs>
                <w:tab w:val="left" w:pos="3306"/>
              </w:tabs>
              <w:jc w:val="right"/>
              <w:rPr>
                <w:rFonts w:cs="Calibri"/>
              </w:rPr>
            </w:pPr>
          </w:p>
        </w:tc>
      </w:tr>
      <w:tr w:rsidR="00863311" w:rsidRPr="00CF7E1B" w14:paraId="51767BAE" w14:textId="77777777" w:rsidTr="0004564D">
        <w:trPr>
          <w:cantSplit/>
          <w:trHeight w:val="20"/>
        </w:trPr>
        <w:tc>
          <w:tcPr>
            <w:tcW w:w="1543" w:type="dxa"/>
            <w:tcBorders>
              <w:top w:val="nil"/>
              <w:left w:val="single" w:sz="2" w:space="0" w:color="auto"/>
              <w:bottom w:val="nil"/>
              <w:right w:val="single" w:sz="2" w:space="0" w:color="auto"/>
            </w:tcBorders>
          </w:tcPr>
          <w:p w14:paraId="07608141" w14:textId="77777777" w:rsidR="00863311" w:rsidRPr="00C203AE" w:rsidRDefault="00863311" w:rsidP="00863311">
            <w:pPr>
              <w:pStyle w:val="TableReference"/>
              <w:tabs>
                <w:tab w:val="left" w:pos="3306"/>
              </w:tabs>
              <w:spacing w:before="40"/>
              <w:rPr>
                <w:rFonts w:cs="Calibri"/>
                <w:color w:val="7030A0"/>
                <w:sz w:val="14"/>
              </w:rPr>
            </w:pPr>
            <w:r w:rsidRPr="00C203AE">
              <w:rPr>
                <w:rFonts w:cs="Calibri"/>
                <w:color w:val="7030A0"/>
                <w:sz w:val="14"/>
              </w:rPr>
              <w:t xml:space="preserve"> </w:t>
            </w:r>
          </w:p>
        </w:tc>
        <w:tc>
          <w:tcPr>
            <w:tcW w:w="5044" w:type="dxa"/>
            <w:tcBorders>
              <w:top w:val="nil"/>
              <w:left w:val="single" w:sz="2" w:space="0" w:color="auto"/>
              <w:bottom w:val="nil"/>
              <w:right w:val="nil"/>
            </w:tcBorders>
            <w:vAlign w:val="bottom"/>
          </w:tcPr>
          <w:p w14:paraId="1C4B4D0B" w14:textId="77777777" w:rsidR="00863311" w:rsidRPr="00C203AE" w:rsidRDefault="00863311" w:rsidP="00863311">
            <w:pPr>
              <w:pStyle w:val="TableText"/>
              <w:tabs>
                <w:tab w:val="left" w:pos="3306"/>
              </w:tabs>
              <w:rPr>
                <w:rFonts w:cs="Calibri"/>
              </w:rPr>
            </w:pPr>
            <w:r w:rsidRPr="00C203AE">
              <w:rPr>
                <w:rFonts w:cs="Calibri"/>
              </w:rPr>
              <w:t>Other Gains</w:t>
            </w:r>
          </w:p>
        </w:tc>
        <w:tc>
          <w:tcPr>
            <w:tcW w:w="703" w:type="dxa"/>
            <w:tcBorders>
              <w:top w:val="nil"/>
              <w:left w:val="nil"/>
              <w:bottom w:val="nil"/>
              <w:right w:val="nil"/>
            </w:tcBorders>
            <w:vAlign w:val="bottom"/>
          </w:tcPr>
          <w:p w14:paraId="0FD75BD7" w14:textId="7254C15A" w:rsidR="00863311" w:rsidRPr="00C203AE" w:rsidRDefault="00B40325" w:rsidP="00863311">
            <w:pPr>
              <w:pStyle w:val="TableText"/>
              <w:tabs>
                <w:tab w:val="left" w:pos="3306"/>
              </w:tabs>
              <w:jc w:val="center"/>
              <w:rPr>
                <w:rFonts w:cs="Calibri"/>
              </w:rPr>
            </w:pPr>
            <w:r w:rsidRPr="00C203AE">
              <w:rPr>
                <w:rFonts w:cs="Calibri"/>
              </w:rPr>
              <w:t>43</w:t>
            </w:r>
          </w:p>
        </w:tc>
        <w:tc>
          <w:tcPr>
            <w:tcW w:w="1123" w:type="dxa"/>
            <w:tcBorders>
              <w:top w:val="nil"/>
              <w:left w:val="nil"/>
              <w:bottom w:val="single" w:sz="4" w:space="0" w:color="auto"/>
              <w:right w:val="nil"/>
            </w:tcBorders>
            <w:vAlign w:val="bottom"/>
          </w:tcPr>
          <w:p w14:paraId="53EB0D76" w14:textId="1A228589" w:rsidR="00863311" w:rsidRPr="00C203AE" w:rsidRDefault="00863311" w:rsidP="00863311">
            <w:pPr>
              <w:pStyle w:val="TableText"/>
              <w:tabs>
                <w:tab w:val="left" w:pos="3306"/>
              </w:tabs>
              <w:jc w:val="right"/>
              <w:rPr>
                <w:rFonts w:cs="Calibri"/>
              </w:rPr>
            </w:pPr>
          </w:p>
        </w:tc>
        <w:tc>
          <w:tcPr>
            <w:tcW w:w="983" w:type="dxa"/>
            <w:tcBorders>
              <w:top w:val="nil"/>
              <w:left w:val="nil"/>
              <w:bottom w:val="single" w:sz="4" w:space="0" w:color="auto"/>
              <w:right w:val="nil"/>
            </w:tcBorders>
            <w:vAlign w:val="bottom"/>
          </w:tcPr>
          <w:p w14:paraId="7B705735" w14:textId="3099DF91" w:rsidR="00863311" w:rsidRPr="00C203AE" w:rsidRDefault="00863311" w:rsidP="00863311">
            <w:pPr>
              <w:pStyle w:val="TableText"/>
              <w:tabs>
                <w:tab w:val="left" w:pos="3306"/>
              </w:tabs>
              <w:jc w:val="right"/>
              <w:rPr>
                <w:rFonts w:cs="Calibri"/>
              </w:rPr>
            </w:pPr>
          </w:p>
        </w:tc>
        <w:tc>
          <w:tcPr>
            <w:tcW w:w="984" w:type="dxa"/>
            <w:tcBorders>
              <w:top w:val="nil"/>
              <w:left w:val="nil"/>
              <w:bottom w:val="single" w:sz="4" w:space="0" w:color="auto"/>
              <w:right w:val="nil"/>
            </w:tcBorders>
            <w:vAlign w:val="bottom"/>
          </w:tcPr>
          <w:p w14:paraId="1FCE8950" w14:textId="35EBC2B8" w:rsidR="00863311" w:rsidRPr="00C203AE" w:rsidRDefault="00863311" w:rsidP="00863311">
            <w:pPr>
              <w:pStyle w:val="TableText"/>
              <w:tabs>
                <w:tab w:val="left" w:pos="3306"/>
              </w:tabs>
              <w:jc w:val="right"/>
              <w:rPr>
                <w:rFonts w:cs="Calibri"/>
              </w:rPr>
            </w:pPr>
          </w:p>
        </w:tc>
      </w:tr>
      <w:tr w:rsidR="00863311" w:rsidRPr="00CF7E1B" w14:paraId="078B6BD4" w14:textId="77777777" w:rsidTr="0004564D">
        <w:trPr>
          <w:cantSplit/>
          <w:trHeight w:val="20"/>
        </w:trPr>
        <w:tc>
          <w:tcPr>
            <w:tcW w:w="1543" w:type="dxa"/>
            <w:tcBorders>
              <w:top w:val="nil"/>
              <w:left w:val="single" w:sz="2" w:space="0" w:color="auto"/>
              <w:bottom w:val="nil"/>
              <w:right w:val="single" w:sz="2" w:space="0" w:color="auto"/>
            </w:tcBorders>
          </w:tcPr>
          <w:p w14:paraId="4973B633"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7721A342" w14:textId="77777777" w:rsidR="00863311" w:rsidRPr="00C203AE" w:rsidRDefault="00863311" w:rsidP="00863311">
            <w:pPr>
              <w:pStyle w:val="TableText"/>
              <w:tabs>
                <w:tab w:val="left" w:pos="3306"/>
              </w:tabs>
              <w:rPr>
                <w:rFonts w:cs="Calibri"/>
                <w:i/>
                <w:iCs/>
              </w:rPr>
            </w:pPr>
            <w:r w:rsidRPr="00C203AE">
              <w:rPr>
                <w:rFonts w:cs="Calibri"/>
                <w:i/>
                <w:iCs/>
              </w:rPr>
              <w:t>Total Gains</w:t>
            </w:r>
          </w:p>
        </w:tc>
        <w:tc>
          <w:tcPr>
            <w:tcW w:w="703" w:type="dxa"/>
            <w:tcBorders>
              <w:top w:val="nil"/>
              <w:left w:val="nil"/>
              <w:bottom w:val="nil"/>
              <w:right w:val="nil"/>
            </w:tcBorders>
            <w:vAlign w:val="bottom"/>
          </w:tcPr>
          <w:p w14:paraId="608107EC" w14:textId="77777777" w:rsidR="00863311" w:rsidRPr="00C203AE" w:rsidRDefault="00863311" w:rsidP="00863311">
            <w:pPr>
              <w:pStyle w:val="TableText"/>
              <w:tabs>
                <w:tab w:val="left" w:pos="3306"/>
              </w:tabs>
              <w:jc w:val="center"/>
              <w:rPr>
                <w:rFonts w:cs="Calibri"/>
              </w:rPr>
            </w:pPr>
          </w:p>
        </w:tc>
        <w:tc>
          <w:tcPr>
            <w:tcW w:w="1123" w:type="dxa"/>
            <w:tcBorders>
              <w:top w:val="single" w:sz="4" w:space="0" w:color="auto"/>
              <w:left w:val="nil"/>
              <w:bottom w:val="single" w:sz="4" w:space="0" w:color="auto"/>
              <w:right w:val="nil"/>
            </w:tcBorders>
            <w:vAlign w:val="bottom"/>
          </w:tcPr>
          <w:p w14:paraId="5119C6C5" w14:textId="597A2083" w:rsidR="00863311" w:rsidRPr="00C203AE" w:rsidRDefault="00863311" w:rsidP="00863311">
            <w:pPr>
              <w:pStyle w:val="TableText"/>
              <w:tabs>
                <w:tab w:val="left" w:pos="3306"/>
              </w:tabs>
              <w:jc w:val="right"/>
              <w:rPr>
                <w:rFonts w:cs="Calibri"/>
              </w:rPr>
            </w:pPr>
          </w:p>
        </w:tc>
        <w:tc>
          <w:tcPr>
            <w:tcW w:w="983" w:type="dxa"/>
            <w:tcBorders>
              <w:top w:val="single" w:sz="4" w:space="0" w:color="auto"/>
              <w:left w:val="nil"/>
              <w:bottom w:val="single" w:sz="4" w:space="0" w:color="auto"/>
              <w:right w:val="nil"/>
            </w:tcBorders>
            <w:vAlign w:val="bottom"/>
          </w:tcPr>
          <w:p w14:paraId="64EB4BD4" w14:textId="2252B1C2" w:rsidR="00863311" w:rsidRPr="00C203AE" w:rsidRDefault="00863311" w:rsidP="00863311">
            <w:pPr>
              <w:pStyle w:val="TableText"/>
              <w:tabs>
                <w:tab w:val="left" w:pos="3306"/>
              </w:tabs>
              <w:jc w:val="right"/>
              <w:rPr>
                <w:rFonts w:cs="Calibri"/>
              </w:rPr>
            </w:pPr>
          </w:p>
        </w:tc>
        <w:tc>
          <w:tcPr>
            <w:tcW w:w="984" w:type="dxa"/>
            <w:tcBorders>
              <w:top w:val="single" w:sz="4" w:space="0" w:color="auto"/>
              <w:left w:val="nil"/>
              <w:bottom w:val="single" w:sz="4" w:space="0" w:color="auto"/>
              <w:right w:val="nil"/>
            </w:tcBorders>
            <w:vAlign w:val="bottom"/>
          </w:tcPr>
          <w:p w14:paraId="31C9032C" w14:textId="396993AA" w:rsidR="00863311" w:rsidRPr="00C203AE" w:rsidRDefault="00863311" w:rsidP="00863311">
            <w:pPr>
              <w:pStyle w:val="TableText"/>
              <w:tabs>
                <w:tab w:val="left" w:pos="3306"/>
              </w:tabs>
              <w:jc w:val="right"/>
              <w:rPr>
                <w:rFonts w:cs="Calibri"/>
              </w:rPr>
            </w:pPr>
          </w:p>
        </w:tc>
      </w:tr>
      <w:tr w:rsidR="00863311" w:rsidRPr="00CF7E1B" w14:paraId="43691AA0" w14:textId="77777777" w:rsidTr="0004564D">
        <w:trPr>
          <w:cantSplit/>
          <w:trHeight w:val="300"/>
        </w:trPr>
        <w:tc>
          <w:tcPr>
            <w:tcW w:w="1543" w:type="dxa"/>
            <w:tcBorders>
              <w:top w:val="nil"/>
              <w:left w:val="single" w:sz="2" w:space="0" w:color="auto"/>
              <w:bottom w:val="nil"/>
              <w:right w:val="single" w:sz="2" w:space="0" w:color="auto"/>
            </w:tcBorders>
          </w:tcPr>
          <w:p w14:paraId="0AB46A60"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661ADDB" w14:textId="77777777" w:rsidR="00863311" w:rsidRPr="00C203AE" w:rsidRDefault="00863311" w:rsidP="00863311">
            <w:pPr>
              <w:pStyle w:val="TableText"/>
              <w:tabs>
                <w:tab w:val="left" w:pos="3306"/>
              </w:tabs>
              <w:rPr>
                <w:rFonts w:cs="Calibri"/>
                <w:b/>
                <w:bCs/>
              </w:rPr>
            </w:pPr>
            <w:r w:rsidRPr="00C203AE">
              <w:rPr>
                <w:rFonts w:cs="Calibri"/>
                <w:b/>
                <w:bCs/>
              </w:rPr>
              <w:t>Total Income</w:t>
            </w:r>
          </w:p>
        </w:tc>
        <w:tc>
          <w:tcPr>
            <w:tcW w:w="703" w:type="dxa"/>
            <w:tcBorders>
              <w:top w:val="nil"/>
              <w:left w:val="nil"/>
              <w:bottom w:val="nil"/>
              <w:right w:val="nil"/>
            </w:tcBorders>
            <w:vAlign w:val="bottom"/>
          </w:tcPr>
          <w:p w14:paraId="2C578141" w14:textId="77777777" w:rsidR="00863311" w:rsidRPr="00C203AE" w:rsidRDefault="00863311" w:rsidP="00863311">
            <w:pPr>
              <w:pStyle w:val="TableText"/>
              <w:tabs>
                <w:tab w:val="left" w:pos="3306"/>
              </w:tabs>
              <w:jc w:val="center"/>
              <w:rPr>
                <w:rFonts w:cs="Calibri"/>
              </w:rPr>
            </w:pPr>
          </w:p>
        </w:tc>
        <w:tc>
          <w:tcPr>
            <w:tcW w:w="1123" w:type="dxa"/>
            <w:tcBorders>
              <w:top w:val="single" w:sz="4" w:space="0" w:color="auto"/>
              <w:left w:val="nil"/>
              <w:bottom w:val="single" w:sz="4" w:space="0" w:color="auto"/>
              <w:right w:val="nil"/>
            </w:tcBorders>
            <w:vAlign w:val="bottom"/>
          </w:tcPr>
          <w:p w14:paraId="34065429" w14:textId="586EEF11" w:rsidR="00863311" w:rsidRPr="00C203AE" w:rsidRDefault="00863311" w:rsidP="00863311">
            <w:pPr>
              <w:pStyle w:val="TableText"/>
              <w:tabs>
                <w:tab w:val="left" w:pos="3306"/>
              </w:tabs>
              <w:jc w:val="right"/>
              <w:rPr>
                <w:rFonts w:cs="Calibri"/>
                <w:b/>
                <w:bCs/>
              </w:rPr>
            </w:pPr>
          </w:p>
        </w:tc>
        <w:tc>
          <w:tcPr>
            <w:tcW w:w="983" w:type="dxa"/>
            <w:tcBorders>
              <w:top w:val="single" w:sz="4" w:space="0" w:color="auto"/>
              <w:left w:val="nil"/>
              <w:bottom w:val="single" w:sz="4" w:space="0" w:color="auto"/>
              <w:right w:val="nil"/>
            </w:tcBorders>
            <w:vAlign w:val="bottom"/>
          </w:tcPr>
          <w:p w14:paraId="71D76F8D" w14:textId="168070AA" w:rsidR="00863311" w:rsidRPr="00C203AE" w:rsidRDefault="00863311" w:rsidP="00863311">
            <w:pPr>
              <w:pStyle w:val="TableText"/>
              <w:tabs>
                <w:tab w:val="left" w:pos="3306"/>
              </w:tabs>
              <w:jc w:val="right"/>
              <w:rPr>
                <w:rFonts w:cs="Calibri"/>
                <w:b/>
                <w:bCs/>
              </w:rPr>
            </w:pPr>
          </w:p>
        </w:tc>
        <w:tc>
          <w:tcPr>
            <w:tcW w:w="984" w:type="dxa"/>
            <w:tcBorders>
              <w:top w:val="single" w:sz="4" w:space="0" w:color="auto"/>
              <w:left w:val="nil"/>
              <w:bottom w:val="single" w:sz="4" w:space="0" w:color="auto"/>
              <w:right w:val="nil"/>
            </w:tcBorders>
            <w:vAlign w:val="bottom"/>
          </w:tcPr>
          <w:p w14:paraId="70DF5913" w14:textId="3D3E34E8" w:rsidR="00863311" w:rsidRPr="00C203AE" w:rsidRDefault="00863311" w:rsidP="00863311">
            <w:pPr>
              <w:pStyle w:val="TableText"/>
              <w:tabs>
                <w:tab w:val="left" w:pos="3306"/>
              </w:tabs>
              <w:jc w:val="right"/>
              <w:rPr>
                <w:rFonts w:cs="Calibri"/>
                <w:b/>
                <w:bCs/>
              </w:rPr>
            </w:pPr>
          </w:p>
        </w:tc>
      </w:tr>
      <w:tr w:rsidR="00863311" w:rsidRPr="00CF7E1B" w14:paraId="76746AC4" w14:textId="77777777" w:rsidTr="0004564D">
        <w:trPr>
          <w:cantSplit/>
          <w:trHeight w:val="20"/>
        </w:trPr>
        <w:tc>
          <w:tcPr>
            <w:tcW w:w="1543" w:type="dxa"/>
            <w:tcBorders>
              <w:top w:val="nil"/>
              <w:left w:val="single" w:sz="2" w:space="0" w:color="auto"/>
              <w:bottom w:val="nil"/>
              <w:right w:val="single" w:sz="2" w:space="0" w:color="auto"/>
            </w:tcBorders>
          </w:tcPr>
          <w:p w14:paraId="322F352E"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5818035F"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2C462F4D" w14:textId="77777777" w:rsidR="00863311" w:rsidRPr="00C203AE" w:rsidRDefault="00863311" w:rsidP="00863311">
            <w:pPr>
              <w:pStyle w:val="TableText"/>
              <w:tabs>
                <w:tab w:val="left" w:pos="3306"/>
              </w:tabs>
              <w:jc w:val="center"/>
              <w:rPr>
                <w:rFonts w:cs="Calibri"/>
              </w:rPr>
            </w:pPr>
          </w:p>
        </w:tc>
        <w:tc>
          <w:tcPr>
            <w:tcW w:w="1123" w:type="dxa"/>
            <w:tcBorders>
              <w:top w:val="single" w:sz="4" w:space="0" w:color="auto"/>
              <w:left w:val="nil"/>
              <w:bottom w:val="nil"/>
              <w:right w:val="nil"/>
            </w:tcBorders>
            <w:vAlign w:val="bottom"/>
          </w:tcPr>
          <w:p w14:paraId="1B916402" w14:textId="77777777" w:rsidR="00863311" w:rsidRPr="00C203AE" w:rsidRDefault="00863311" w:rsidP="00863311">
            <w:pPr>
              <w:pStyle w:val="TableText"/>
              <w:tabs>
                <w:tab w:val="left" w:pos="3306"/>
              </w:tabs>
              <w:jc w:val="right"/>
              <w:rPr>
                <w:rFonts w:cs="Calibri"/>
              </w:rPr>
            </w:pPr>
          </w:p>
        </w:tc>
        <w:tc>
          <w:tcPr>
            <w:tcW w:w="983" w:type="dxa"/>
            <w:tcBorders>
              <w:top w:val="single" w:sz="4" w:space="0" w:color="auto"/>
              <w:left w:val="nil"/>
              <w:bottom w:val="nil"/>
              <w:right w:val="nil"/>
            </w:tcBorders>
            <w:vAlign w:val="bottom"/>
          </w:tcPr>
          <w:p w14:paraId="33B65BB2" w14:textId="77777777" w:rsidR="00863311" w:rsidRPr="00C203AE" w:rsidRDefault="00863311" w:rsidP="00863311">
            <w:pPr>
              <w:pStyle w:val="TableText"/>
              <w:tabs>
                <w:tab w:val="left" w:pos="3306"/>
              </w:tabs>
              <w:jc w:val="right"/>
              <w:rPr>
                <w:rFonts w:cs="Calibri"/>
              </w:rPr>
            </w:pPr>
          </w:p>
        </w:tc>
        <w:tc>
          <w:tcPr>
            <w:tcW w:w="984" w:type="dxa"/>
            <w:tcBorders>
              <w:top w:val="single" w:sz="4" w:space="0" w:color="auto"/>
              <w:left w:val="nil"/>
              <w:bottom w:val="nil"/>
              <w:right w:val="nil"/>
            </w:tcBorders>
            <w:vAlign w:val="bottom"/>
          </w:tcPr>
          <w:p w14:paraId="75E893A0" w14:textId="77777777" w:rsidR="00863311" w:rsidRPr="00C203AE" w:rsidRDefault="00863311" w:rsidP="00863311">
            <w:pPr>
              <w:pStyle w:val="TableText"/>
              <w:tabs>
                <w:tab w:val="left" w:pos="3306"/>
              </w:tabs>
              <w:jc w:val="right"/>
              <w:rPr>
                <w:rFonts w:cs="Calibri"/>
              </w:rPr>
            </w:pPr>
          </w:p>
        </w:tc>
      </w:tr>
      <w:tr w:rsidR="00863311" w:rsidRPr="00CF7E1B" w14:paraId="55580C09" w14:textId="77777777" w:rsidTr="0004564D">
        <w:trPr>
          <w:cantSplit/>
          <w:trHeight w:val="20"/>
        </w:trPr>
        <w:tc>
          <w:tcPr>
            <w:tcW w:w="1543" w:type="dxa"/>
            <w:tcBorders>
              <w:top w:val="nil"/>
              <w:left w:val="single" w:sz="2" w:space="0" w:color="auto"/>
              <w:bottom w:val="nil"/>
              <w:right w:val="single" w:sz="2" w:space="0" w:color="auto"/>
            </w:tcBorders>
          </w:tcPr>
          <w:p w14:paraId="6B30D4F7"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B66F9FF" w14:textId="77777777" w:rsidR="00863311" w:rsidRPr="00C203AE" w:rsidRDefault="00863311" w:rsidP="00863311">
            <w:pPr>
              <w:pStyle w:val="TableText"/>
              <w:tabs>
                <w:tab w:val="left" w:pos="3306"/>
              </w:tabs>
              <w:rPr>
                <w:rFonts w:cs="Calibri"/>
                <w:b/>
                <w:bCs/>
              </w:rPr>
            </w:pPr>
            <w:bookmarkStart w:id="821" w:name="_Toc48468773"/>
            <w:bookmarkStart w:id="822" w:name="_Toc49155844"/>
            <w:bookmarkStart w:id="823" w:name="_Toc49224254"/>
            <w:r w:rsidRPr="00C203AE">
              <w:rPr>
                <w:rFonts w:cs="Calibri"/>
                <w:b/>
                <w:bCs/>
              </w:rPr>
              <w:t xml:space="preserve">Expenses </w:t>
            </w:r>
            <w:bookmarkEnd w:id="821"/>
            <w:bookmarkEnd w:id="822"/>
            <w:bookmarkEnd w:id="823"/>
          </w:p>
        </w:tc>
        <w:tc>
          <w:tcPr>
            <w:tcW w:w="703" w:type="dxa"/>
            <w:tcBorders>
              <w:top w:val="nil"/>
              <w:left w:val="nil"/>
              <w:bottom w:val="nil"/>
              <w:right w:val="nil"/>
            </w:tcBorders>
            <w:vAlign w:val="bottom"/>
          </w:tcPr>
          <w:p w14:paraId="489185A0" w14:textId="77777777" w:rsidR="00863311" w:rsidRPr="00C203AE" w:rsidRDefault="00863311" w:rsidP="00863311">
            <w:pPr>
              <w:pStyle w:val="TableText"/>
              <w:tabs>
                <w:tab w:val="left" w:pos="3306"/>
              </w:tabs>
              <w:jc w:val="center"/>
              <w:rPr>
                <w:rFonts w:cs="Calibri"/>
              </w:rPr>
            </w:pPr>
          </w:p>
        </w:tc>
        <w:tc>
          <w:tcPr>
            <w:tcW w:w="1123" w:type="dxa"/>
            <w:tcBorders>
              <w:top w:val="nil"/>
              <w:left w:val="nil"/>
              <w:bottom w:val="nil"/>
              <w:right w:val="nil"/>
            </w:tcBorders>
            <w:vAlign w:val="bottom"/>
          </w:tcPr>
          <w:p w14:paraId="11C02ABD" w14:textId="7777777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4343F72" w14:textId="77777777"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3372C764" w14:textId="77777777" w:rsidR="00863311" w:rsidRPr="00C203AE" w:rsidRDefault="00863311" w:rsidP="00863311">
            <w:pPr>
              <w:pStyle w:val="TableText"/>
              <w:tabs>
                <w:tab w:val="left" w:pos="3306"/>
              </w:tabs>
              <w:jc w:val="right"/>
              <w:rPr>
                <w:rFonts w:cs="Calibri"/>
              </w:rPr>
            </w:pPr>
          </w:p>
        </w:tc>
      </w:tr>
      <w:tr w:rsidR="00863311" w:rsidRPr="00CF7E1B" w14:paraId="55A2AE9E" w14:textId="77777777" w:rsidTr="0004564D">
        <w:trPr>
          <w:cantSplit/>
          <w:trHeight w:val="20"/>
        </w:trPr>
        <w:tc>
          <w:tcPr>
            <w:tcW w:w="1543" w:type="dxa"/>
            <w:tcBorders>
              <w:top w:val="nil"/>
              <w:left w:val="single" w:sz="2" w:space="0" w:color="auto"/>
              <w:bottom w:val="nil"/>
              <w:right w:val="single" w:sz="2" w:space="0" w:color="auto"/>
            </w:tcBorders>
          </w:tcPr>
          <w:p w14:paraId="2DD2A4C4"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0507B179" w14:textId="77777777" w:rsidR="00863311" w:rsidRPr="00C203AE" w:rsidRDefault="00863311" w:rsidP="00863311">
            <w:pPr>
              <w:pStyle w:val="TableText"/>
              <w:tabs>
                <w:tab w:val="left" w:pos="3306"/>
              </w:tabs>
              <w:rPr>
                <w:rFonts w:cs="Calibri"/>
              </w:rPr>
            </w:pPr>
            <w:r w:rsidRPr="00C203AE">
              <w:rPr>
                <w:rFonts w:cs="Calibri"/>
              </w:rPr>
              <w:t>Grants and Purchased Services</w:t>
            </w:r>
          </w:p>
        </w:tc>
        <w:tc>
          <w:tcPr>
            <w:tcW w:w="703" w:type="dxa"/>
            <w:tcBorders>
              <w:top w:val="nil"/>
              <w:left w:val="nil"/>
              <w:bottom w:val="nil"/>
              <w:right w:val="nil"/>
            </w:tcBorders>
            <w:vAlign w:val="bottom"/>
          </w:tcPr>
          <w:p w14:paraId="13302043" w14:textId="5A13A040" w:rsidR="00863311" w:rsidRPr="00C203AE" w:rsidRDefault="00E178FE" w:rsidP="00AB3663">
            <w:pPr>
              <w:pStyle w:val="TableText"/>
              <w:tabs>
                <w:tab w:val="left" w:pos="3306"/>
              </w:tabs>
              <w:jc w:val="center"/>
              <w:rPr>
                <w:rFonts w:cs="Calibri"/>
                <w:strike/>
              </w:rPr>
            </w:pPr>
            <w:r w:rsidRPr="00C203AE">
              <w:rPr>
                <w:rFonts w:cs="Calibri"/>
              </w:rPr>
              <w:t>4</w:t>
            </w:r>
            <w:r w:rsidR="00B40325" w:rsidRPr="00C203AE">
              <w:rPr>
                <w:rFonts w:cs="Calibri"/>
              </w:rPr>
              <w:t>4</w:t>
            </w:r>
          </w:p>
        </w:tc>
        <w:tc>
          <w:tcPr>
            <w:tcW w:w="1123" w:type="dxa"/>
            <w:tcBorders>
              <w:top w:val="nil"/>
              <w:left w:val="nil"/>
              <w:bottom w:val="nil"/>
              <w:right w:val="nil"/>
            </w:tcBorders>
            <w:vAlign w:val="bottom"/>
          </w:tcPr>
          <w:p w14:paraId="385271BF" w14:textId="6694FE07"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4DE28A32" w14:textId="5F6FFEF6"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06DC89E4" w14:textId="32D639B1" w:rsidR="00863311" w:rsidRPr="00C203AE" w:rsidRDefault="00863311" w:rsidP="00863311">
            <w:pPr>
              <w:pStyle w:val="TableText"/>
              <w:tabs>
                <w:tab w:val="left" w:pos="3306"/>
              </w:tabs>
              <w:jc w:val="right"/>
              <w:rPr>
                <w:rFonts w:cs="Calibri"/>
              </w:rPr>
            </w:pPr>
          </w:p>
        </w:tc>
      </w:tr>
      <w:tr w:rsidR="00863311" w:rsidRPr="00CF7E1B" w14:paraId="7BEBA431" w14:textId="77777777" w:rsidTr="0004564D">
        <w:trPr>
          <w:cantSplit/>
          <w:trHeight w:val="20"/>
        </w:trPr>
        <w:tc>
          <w:tcPr>
            <w:tcW w:w="1543" w:type="dxa"/>
            <w:tcBorders>
              <w:top w:val="nil"/>
              <w:left w:val="single" w:sz="2" w:space="0" w:color="auto"/>
              <w:bottom w:val="nil"/>
              <w:right w:val="single" w:sz="2" w:space="0" w:color="auto"/>
            </w:tcBorders>
          </w:tcPr>
          <w:p w14:paraId="5D11C57A"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0DD1D09C" w14:textId="416C2AE4" w:rsidR="00863311" w:rsidRPr="00C203AE" w:rsidRDefault="00863311" w:rsidP="00863311">
            <w:pPr>
              <w:pStyle w:val="TableText"/>
              <w:tabs>
                <w:tab w:val="left" w:pos="3306"/>
              </w:tabs>
              <w:rPr>
                <w:rFonts w:cs="Calibri"/>
              </w:rPr>
            </w:pPr>
            <w:r w:rsidRPr="00C203AE">
              <w:rPr>
                <w:rFonts w:cs="Calibri"/>
              </w:rPr>
              <w:t xml:space="preserve">Transfer </w:t>
            </w:r>
            <w:r w:rsidR="0051145F" w:rsidRPr="00C203AE">
              <w:rPr>
                <w:rFonts w:cs="Calibri"/>
              </w:rPr>
              <w:t xml:space="preserve">Payments </w:t>
            </w:r>
            <w:r w:rsidRPr="00C203AE">
              <w:rPr>
                <w:rFonts w:cs="Calibri"/>
              </w:rPr>
              <w:t>to Government</w:t>
            </w:r>
          </w:p>
        </w:tc>
        <w:tc>
          <w:tcPr>
            <w:tcW w:w="703" w:type="dxa"/>
            <w:tcBorders>
              <w:top w:val="nil"/>
              <w:left w:val="nil"/>
              <w:bottom w:val="nil"/>
              <w:right w:val="nil"/>
            </w:tcBorders>
            <w:vAlign w:val="bottom"/>
          </w:tcPr>
          <w:p w14:paraId="453CAABE" w14:textId="6190C278" w:rsidR="00863311" w:rsidRPr="00C203AE" w:rsidRDefault="00863311" w:rsidP="00863311">
            <w:pPr>
              <w:pStyle w:val="TableText"/>
              <w:tabs>
                <w:tab w:val="left" w:pos="3306"/>
              </w:tabs>
              <w:jc w:val="center"/>
              <w:rPr>
                <w:rFonts w:cs="Calibri"/>
                <w:strike/>
              </w:rPr>
            </w:pPr>
          </w:p>
        </w:tc>
        <w:tc>
          <w:tcPr>
            <w:tcW w:w="1123" w:type="dxa"/>
            <w:tcBorders>
              <w:top w:val="nil"/>
              <w:left w:val="nil"/>
              <w:bottom w:val="nil"/>
              <w:right w:val="nil"/>
            </w:tcBorders>
            <w:vAlign w:val="bottom"/>
          </w:tcPr>
          <w:p w14:paraId="436F0C19" w14:textId="0FDE07DE" w:rsidR="00863311" w:rsidRPr="00C203AE" w:rsidRDefault="00863311" w:rsidP="00863311">
            <w:pPr>
              <w:pStyle w:val="TableText"/>
              <w:tabs>
                <w:tab w:val="left" w:pos="3306"/>
              </w:tabs>
              <w:jc w:val="right"/>
              <w:rPr>
                <w:rFonts w:cs="Calibri"/>
              </w:rPr>
            </w:pPr>
          </w:p>
        </w:tc>
        <w:tc>
          <w:tcPr>
            <w:tcW w:w="983" w:type="dxa"/>
            <w:tcBorders>
              <w:top w:val="nil"/>
              <w:left w:val="nil"/>
              <w:bottom w:val="nil"/>
              <w:right w:val="nil"/>
            </w:tcBorders>
            <w:vAlign w:val="bottom"/>
          </w:tcPr>
          <w:p w14:paraId="162FE317" w14:textId="1051094A" w:rsidR="00863311" w:rsidRPr="00C203AE" w:rsidRDefault="00863311" w:rsidP="00863311">
            <w:pPr>
              <w:pStyle w:val="TableText"/>
              <w:tabs>
                <w:tab w:val="left" w:pos="3306"/>
              </w:tabs>
              <w:jc w:val="right"/>
              <w:rPr>
                <w:rFonts w:cs="Calibri"/>
              </w:rPr>
            </w:pPr>
          </w:p>
        </w:tc>
        <w:tc>
          <w:tcPr>
            <w:tcW w:w="984" w:type="dxa"/>
            <w:tcBorders>
              <w:top w:val="nil"/>
              <w:left w:val="nil"/>
              <w:bottom w:val="nil"/>
              <w:right w:val="nil"/>
            </w:tcBorders>
            <w:vAlign w:val="bottom"/>
          </w:tcPr>
          <w:p w14:paraId="4627B230" w14:textId="7CE24A80" w:rsidR="00863311" w:rsidRPr="00C203AE" w:rsidRDefault="00863311" w:rsidP="00863311">
            <w:pPr>
              <w:pStyle w:val="TableText"/>
              <w:tabs>
                <w:tab w:val="left" w:pos="3306"/>
              </w:tabs>
              <w:jc w:val="right"/>
              <w:rPr>
                <w:rFonts w:cs="Calibri"/>
              </w:rPr>
            </w:pPr>
          </w:p>
        </w:tc>
      </w:tr>
      <w:tr w:rsidR="00863311" w:rsidRPr="00CF7E1B" w14:paraId="7A8D78A6" w14:textId="77777777" w:rsidTr="0004564D">
        <w:trPr>
          <w:cantSplit/>
          <w:trHeight w:val="20"/>
        </w:trPr>
        <w:tc>
          <w:tcPr>
            <w:tcW w:w="1543" w:type="dxa"/>
            <w:tcBorders>
              <w:top w:val="nil"/>
              <w:left w:val="single" w:sz="2" w:space="0" w:color="auto"/>
              <w:bottom w:val="nil"/>
              <w:right w:val="single" w:sz="2" w:space="0" w:color="auto"/>
            </w:tcBorders>
          </w:tcPr>
          <w:p w14:paraId="1A06D3F4" w14:textId="77777777" w:rsidR="00863311" w:rsidRPr="00C203AE" w:rsidRDefault="00863311" w:rsidP="00863311">
            <w:pPr>
              <w:pStyle w:val="TableReference"/>
              <w:tabs>
                <w:tab w:val="left" w:pos="3306"/>
              </w:tabs>
              <w:spacing w:before="60"/>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7(b)(i)</w:t>
            </w:r>
          </w:p>
        </w:tc>
        <w:tc>
          <w:tcPr>
            <w:tcW w:w="5044" w:type="dxa"/>
            <w:tcBorders>
              <w:top w:val="nil"/>
              <w:left w:val="single" w:sz="2" w:space="0" w:color="auto"/>
              <w:bottom w:val="nil"/>
              <w:right w:val="nil"/>
            </w:tcBorders>
            <w:vAlign w:val="bottom"/>
          </w:tcPr>
          <w:p w14:paraId="12FDFDB4" w14:textId="77777777" w:rsidR="00863311" w:rsidRPr="00C203AE" w:rsidRDefault="00863311" w:rsidP="00863311">
            <w:pPr>
              <w:pStyle w:val="TableText"/>
              <w:tabs>
                <w:tab w:val="left" w:pos="3306"/>
              </w:tabs>
              <w:rPr>
                <w:rFonts w:cs="Calibri"/>
              </w:rPr>
            </w:pPr>
            <w:r w:rsidRPr="00C203AE">
              <w:rPr>
                <w:rFonts w:cs="Calibri"/>
              </w:rPr>
              <w:t>Other Expenses</w:t>
            </w:r>
          </w:p>
        </w:tc>
        <w:tc>
          <w:tcPr>
            <w:tcW w:w="703" w:type="dxa"/>
            <w:tcBorders>
              <w:top w:val="nil"/>
              <w:left w:val="nil"/>
              <w:bottom w:val="nil"/>
              <w:right w:val="nil"/>
            </w:tcBorders>
            <w:vAlign w:val="bottom"/>
          </w:tcPr>
          <w:p w14:paraId="34FA8F80" w14:textId="42A2D20C" w:rsidR="00863311" w:rsidRPr="00C203AE" w:rsidRDefault="00E178FE" w:rsidP="00863311">
            <w:pPr>
              <w:pStyle w:val="TableText"/>
              <w:tabs>
                <w:tab w:val="left" w:pos="3306"/>
              </w:tabs>
              <w:jc w:val="center"/>
              <w:rPr>
                <w:rFonts w:cs="Calibri"/>
                <w:strike/>
              </w:rPr>
            </w:pPr>
            <w:r w:rsidRPr="00C203AE">
              <w:rPr>
                <w:rFonts w:cs="Calibri"/>
              </w:rPr>
              <w:t>4</w:t>
            </w:r>
            <w:r w:rsidR="00B40325" w:rsidRPr="00C203AE">
              <w:rPr>
                <w:rFonts w:cs="Calibri"/>
              </w:rPr>
              <w:t>5</w:t>
            </w:r>
          </w:p>
        </w:tc>
        <w:tc>
          <w:tcPr>
            <w:tcW w:w="1123" w:type="dxa"/>
            <w:tcBorders>
              <w:top w:val="nil"/>
              <w:left w:val="nil"/>
              <w:bottom w:val="single" w:sz="2" w:space="0" w:color="auto"/>
              <w:right w:val="nil"/>
            </w:tcBorders>
            <w:vAlign w:val="bottom"/>
          </w:tcPr>
          <w:p w14:paraId="0B5FE251" w14:textId="5088141F" w:rsidR="00863311" w:rsidRPr="00C203AE" w:rsidRDefault="00863311" w:rsidP="00863311">
            <w:pPr>
              <w:pStyle w:val="TableText"/>
              <w:tabs>
                <w:tab w:val="left" w:pos="3306"/>
              </w:tabs>
              <w:jc w:val="right"/>
              <w:rPr>
                <w:rFonts w:cs="Calibri"/>
              </w:rPr>
            </w:pPr>
          </w:p>
        </w:tc>
        <w:tc>
          <w:tcPr>
            <w:tcW w:w="983" w:type="dxa"/>
            <w:tcBorders>
              <w:top w:val="nil"/>
              <w:left w:val="nil"/>
              <w:bottom w:val="single" w:sz="2" w:space="0" w:color="auto"/>
              <w:right w:val="nil"/>
            </w:tcBorders>
            <w:vAlign w:val="bottom"/>
          </w:tcPr>
          <w:p w14:paraId="7879F578" w14:textId="6AA82B0A" w:rsidR="00863311" w:rsidRPr="00C203AE" w:rsidRDefault="00863311" w:rsidP="00863311">
            <w:pPr>
              <w:pStyle w:val="TableText"/>
              <w:tabs>
                <w:tab w:val="left" w:pos="3306"/>
              </w:tabs>
              <w:jc w:val="right"/>
              <w:rPr>
                <w:rFonts w:cs="Calibri"/>
              </w:rPr>
            </w:pPr>
          </w:p>
        </w:tc>
        <w:tc>
          <w:tcPr>
            <w:tcW w:w="984" w:type="dxa"/>
            <w:tcBorders>
              <w:top w:val="nil"/>
              <w:left w:val="nil"/>
              <w:bottom w:val="single" w:sz="2" w:space="0" w:color="auto"/>
              <w:right w:val="nil"/>
            </w:tcBorders>
            <w:vAlign w:val="bottom"/>
          </w:tcPr>
          <w:p w14:paraId="79CAF7B3" w14:textId="53E09B07" w:rsidR="00863311" w:rsidRPr="00C203AE" w:rsidRDefault="00863311" w:rsidP="00863311">
            <w:pPr>
              <w:pStyle w:val="TableText"/>
              <w:tabs>
                <w:tab w:val="left" w:pos="3306"/>
              </w:tabs>
              <w:jc w:val="right"/>
              <w:rPr>
                <w:rFonts w:cs="Calibri"/>
              </w:rPr>
            </w:pPr>
          </w:p>
        </w:tc>
      </w:tr>
      <w:tr w:rsidR="00863311" w:rsidRPr="00CF7E1B" w14:paraId="78C98673" w14:textId="77777777" w:rsidTr="0004564D">
        <w:trPr>
          <w:cantSplit/>
          <w:trHeight w:val="20"/>
        </w:trPr>
        <w:tc>
          <w:tcPr>
            <w:tcW w:w="1543" w:type="dxa"/>
            <w:tcBorders>
              <w:top w:val="nil"/>
              <w:left w:val="single" w:sz="2" w:space="0" w:color="auto"/>
              <w:bottom w:val="nil"/>
              <w:right w:val="single" w:sz="2" w:space="0" w:color="auto"/>
            </w:tcBorders>
          </w:tcPr>
          <w:p w14:paraId="205A646E" w14:textId="77777777" w:rsidR="00863311" w:rsidRPr="00C203AE" w:rsidRDefault="00863311" w:rsidP="00863311">
            <w:pPr>
              <w:pStyle w:val="TableReference"/>
              <w:tabs>
                <w:tab w:val="left" w:pos="3306"/>
              </w:tabs>
              <w:spacing w:before="40"/>
              <w:rPr>
                <w:rFonts w:cs="Calibri"/>
                <w:color w:val="7030A0"/>
                <w:sz w:val="14"/>
              </w:rPr>
            </w:pPr>
          </w:p>
        </w:tc>
        <w:tc>
          <w:tcPr>
            <w:tcW w:w="5044" w:type="dxa"/>
            <w:tcBorders>
              <w:top w:val="nil"/>
              <w:left w:val="single" w:sz="2" w:space="0" w:color="auto"/>
              <w:bottom w:val="nil"/>
              <w:right w:val="nil"/>
            </w:tcBorders>
            <w:vAlign w:val="bottom"/>
          </w:tcPr>
          <w:p w14:paraId="46CB87A2" w14:textId="77777777" w:rsidR="00863311" w:rsidRPr="00C203AE" w:rsidRDefault="00863311" w:rsidP="00863311">
            <w:pPr>
              <w:pStyle w:val="TableText"/>
              <w:tabs>
                <w:tab w:val="left" w:pos="3306"/>
              </w:tabs>
              <w:rPr>
                <w:rFonts w:cs="Calibri"/>
                <w:b/>
                <w:bCs/>
              </w:rPr>
            </w:pPr>
            <w:r w:rsidRPr="00C203AE">
              <w:rPr>
                <w:rFonts w:cs="Calibri"/>
                <w:b/>
                <w:bCs/>
              </w:rPr>
              <w:t>Total Expenses</w:t>
            </w:r>
          </w:p>
        </w:tc>
        <w:tc>
          <w:tcPr>
            <w:tcW w:w="703" w:type="dxa"/>
            <w:tcBorders>
              <w:top w:val="nil"/>
              <w:left w:val="nil"/>
              <w:bottom w:val="nil"/>
              <w:right w:val="nil"/>
            </w:tcBorders>
            <w:vAlign w:val="bottom"/>
          </w:tcPr>
          <w:p w14:paraId="091F2A1F"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single" w:sz="2" w:space="0" w:color="auto"/>
              <w:right w:val="nil"/>
            </w:tcBorders>
            <w:vAlign w:val="bottom"/>
          </w:tcPr>
          <w:p w14:paraId="0B9F99B1" w14:textId="5BAE38C8" w:rsidR="00863311" w:rsidRPr="00C203AE" w:rsidRDefault="00863311" w:rsidP="00863311">
            <w:pPr>
              <w:pStyle w:val="TableText"/>
              <w:tabs>
                <w:tab w:val="left" w:pos="3306"/>
              </w:tabs>
              <w:jc w:val="right"/>
              <w:rPr>
                <w:rFonts w:cs="Calibri"/>
                <w:b/>
                <w:bCs/>
              </w:rPr>
            </w:pPr>
          </w:p>
        </w:tc>
        <w:tc>
          <w:tcPr>
            <w:tcW w:w="983" w:type="dxa"/>
            <w:tcBorders>
              <w:top w:val="single" w:sz="2" w:space="0" w:color="auto"/>
              <w:left w:val="nil"/>
              <w:bottom w:val="single" w:sz="2" w:space="0" w:color="auto"/>
              <w:right w:val="nil"/>
            </w:tcBorders>
            <w:vAlign w:val="bottom"/>
          </w:tcPr>
          <w:p w14:paraId="04D7D826" w14:textId="25CD9A89" w:rsidR="00863311" w:rsidRPr="00C203AE" w:rsidRDefault="00863311" w:rsidP="00863311">
            <w:pPr>
              <w:pStyle w:val="TableText"/>
              <w:tabs>
                <w:tab w:val="left" w:pos="3306"/>
              </w:tabs>
              <w:jc w:val="right"/>
              <w:rPr>
                <w:rFonts w:cs="Calibri"/>
                <w:b/>
                <w:bCs/>
              </w:rPr>
            </w:pPr>
          </w:p>
        </w:tc>
        <w:tc>
          <w:tcPr>
            <w:tcW w:w="984" w:type="dxa"/>
            <w:tcBorders>
              <w:top w:val="single" w:sz="2" w:space="0" w:color="auto"/>
              <w:left w:val="nil"/>
              <w:bottom w:val="single" w:sz="2" w:space="0" w:color="auto"/>
              <w:right w:val="nil"/>
            </w:tcBorders>
            <w:vAlign w:val="bottom"/>
          </w:tcPr>
          <w:p w14:paraId="678BC9CC" w14:textId="0F78BBE9" w:rsidR="00863311" w:rsidRPr="00C203AE" w:rsidRDefault="00863311" w:rsidP="00863311">
            <w:pPr>
              <w:pStyle w:val="TableText"/>
              <w:tabs>
                <w:tab w:val="left" w:pos="3306"/>
              </w:tabs>
              <w:jc w:val="right"/>
              <w:rPr>
                <w:rFonts w:cs="Calibri"/>
                <w:b/>
                <w:bCs/>
              </w:rPr>
            </w:pPr>
          </w:p>
        </w:tc>
      </w:tr>
      <w:tr w:rsidR="00863311" w:rsidRPr="00CF7E1B" w14:paraId="3FCA8E2D" w14:textId="77777777" w:rsidTr="0004564D">
        <w:trPr>
          <w:cantSplit/>
          <w:trHeight w:val="20"/>
        </w:trPr>
        <w:tc>
          <w:tcPr>
            <w:tcW w:w="1543" w:type="dxa"/>
            <w:tcBorders>
              <w:top w:val="nil"/>
              <w:left w:val="single" w:sz="2" w:space="0" w:color="auto"/>
              <w:bottom w:val="nil"/>
              <w:right w:val="single" w:sz="2" w:space="0" w:color="auto"/>
            </w:tcBorders>
          </w:tcPr>
          <w:p w14:paraId="6637E6D5"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099F595E" w14:textId="77777777" w:rsidR="00863311" w:rsidRPr="00C203AE" w:rsidRDefault="00863311" w:rsidP="00863311">
            <w:pPr>
              <w:pStyle w:val="TableText"/>
              <w:tabs>
                <w:tab w:val="left" w:pos="3306"/>
              </w:tabs>
              <w:rPr>
                <w:rFonts w:cs="Calibri"/>
              </w:rPr>
            </w:pPr>
          </w:p>
        </w:tc>
        <w:tc>
          <w:tcPr>
            <w:tcW w:w="703" w:type="dxa"/>
            <w:tcBorders>
              <w:top w:val="nil"/>
              <w:left w:val="nil"/>
              <w:bottom w:val="nil"/>
              <w:right w:val="nil"/>
            </w:tcBorders>
            <w:vAlign w:val="bottom"/>
          </w:tcPr>
          <w:p w14:paraId="41341269" w14:textId="77777777" w:rsidR="00863311" w:rsidRPr="00C203AE" w:rsidRDefault="00863311" w:rsidP="00863311">
            <w:pPr>
              <w:pStyle w:val="TableText"/>
              <w:tabs>
                <w:tab w:val="left" w:pos="3306"/>
              </w:tabs>
              <w:jc w:val="center"/>
              <w:rPr>
                <w:rFonts w:cs="Calibri"/>
              </w:rPr>
            </w:pPr>
          </w:p>
        </w:tc>
        <w:tc>
          <w:tcPr>
            <w:tcW w:w="1123" w:type="dxa"/>
            <w:tcBorders>
              <w:top w:val="single" w:sz="2" w:space="0" w:color="auto"/>
              <w:left w:val="nil"/>
              <w:bottom w:val="single" w:sz="2" w:space="0" w:color="auto"/>
              <w:right w:val="nil"/>
            </w:tcBorders>
            <w:vAlign w:val="bottom"/>
          </w:tcPr>
          <w:p w14:paraId="05B326E1" w14:textId="77777777" w:rsidR="00863311" w:rsidRPr="00C203AE" w:rsidRDefault="00863311" w:rsidP="00863311">
            <w:pPr>
              <w:pStyle w:val="TableText"/>
              <w:tabs>
                <w:tab w:val="left" w:pos="3306"/>
              </w:tabs>
              <w:jc w:val="right"/>
              <w:rPr>
                <w:rFonts w:cs="Calibri"/>
              </w:rPr>
            </w:pPr>
          </w:p>
        </w:tc>
        <w:tc>
          <w:tcPr>
            <w:tcW w:w="983" w:type="dxa"/>
            <w:tcBorders>
              <w:top w:val="single" w:sz="2" w:space="0" w:color="auto"/>
              <w:left w:val="nil"/>
              <w:bottom w:val="single" w:sz="2" w:space="0" w:color="auto"/>
              <w:right w:val="nil"/>
            </w:tcBorders>
            <w:vAlign w:val="bottom"/>
          </w:tcPr>
          <w:p w14:paraId="44E74C52" w14:textId="77777777" w:rsidR="00863311" w:rsidRPr="00C203AE" w:rsidRDefault="00863311" w:rsidP="00863311">
            <w:pPr>
              <w:pStyle w:val="TableText"/>
              <w:tabs>
                <w:tab w:val="left" w:pos="3306"/>
              </w:tabs>
              <w:jc w:val="right"/>
              <w:rPr>
                <w:rFonts w:cs="Calibri"/>
              </w:rPr>
            </w:pPr>
          </w:p>
        </w:tc>
        <w:tc>
          <w:tcPr>
            <w:tcW w:w="984" w:type="dxa"/>
            <w:tcBorders>
              <w:top w:val="single" w:sz="2" w:space="0" w:color="auto"/>
              <w:left w:val="nil"/>
              <w:bottom w:val="single" w:sz="2" w:space="0" w:color="auto"/>
              <w:right w:val="nil"/>
            </w:tcBorders>
            <w:vAlign w:val="bottom"/>
          </w:tcPr>
          <w:p w14:paraId="7867C3AC" w14:textId="77777777" w:rsidR="00863311" w:rsidRPr="00C203AE" w:rsidRDefault="00863311" w:rsidP="00863311">
            <w:pPr>
              <w:pStyle w:val="TableText"/>
              <w:tabs>
                <w:tab w:val="left" w:pos="3306"/>
              </w:tabs>
              <w:jc w:val="right"/>
              <w:rPr>
                <w:rFonts w:cs="Calibri"/>
              </w:rPr>
            </w:pPr>
          </w:p>
        </w:tc>
      </w:tr>
      <w:tr w:rsidR="00863311" w:rsidRPr="00CF7E1B" w14:paraId="642133B9" w14:textId="77777777" w:rsidTr="0004564D">
        <w:trPr>
          <w:cantSplit/>
          <w:trHeight w:val="20"/>
        </w:trPr>
        <w:tc>
          <w:tcPr>
            <w:tcW w:w="1543" w:type="dxa"/>
            <w:tcBorders>
              <w:top w:val="nil"/>
              <w:left w:val="single" w:sz="2" w:space="0" w:color="auto"/>
              <w:bottom w:val="nil"/>
              <w:right w:val="single" w:sz="2" w:space="0" w:color="auto"/>
            </w:tcBorders>
          </w:tcPr>
          <w:p w14:paraId="58BD3561" w14:textId="77777777" w:rsidR="00863311" w:rsidRPr="00C203AE" w:rsidRDefault="00863311" w:rsidP="00863311">
            <w:pPr>
              <w:pStyle w:val="TableReference"/>
              <w:tabs>
                <w:tab w:val="left" w:pos="3306"/>
              </w:tabs>
              <w:spacing w:before="40"/>
              <w:rPr>
                <w:rFonts w:cs="Calibri"/>
                <w:color w:val="7030A0"/>
                <w:sz w:val="16"/>
                <w:szCs w:val="16"/>
              </w:rPr>
            </w:pPr>
          </w:p>
        </w:tc>
        <w:tc>
          <w:tcPr>
            <w:tcW w:w="5044" w:type="dxa"/>
            <w:tcBorders>
              <w:top w:val="nil"/>
              <w:left w:val="single" w:sz="2" w:space="0" w:color="auto"/>
              <w:bottom w:val="nil"/>
              <w:right w:val="nil"/>
            </w:tcBorders>
            <w:vAlign w:val="bottom"/>
          </w:tcPr>
          <w:p w14:paraId="6DB5ACB1" w14:textId="4597EEC7" w:rsidR="00863311" w:rsidRPr="00C203AE" w:rsidRDefault="00863311" w:rsidP="00863311">
            <w:pPr>
              <w:pStyle w:val="TableText"/>
              <w:tabs>
                <w:tab w:val="left" w:pos="3306"/>
              </w:tabs>
              <w:rPr>
                <w:rFonts w:cs="Calibri"/>
                <w:b/>
                <w:bCs/>
              </w:rPr>
            </w:pPr>
            <w:r w:rsidRPr="00C203AE">
              <w:rPr>
                <w:rFonts w:cs="Calibri"/>
                <w:b/>
                <w:bCs/>
              </w:rPr>
              <w:t xml:space="preserve">Operating </w:t>
            </w:r>
            <w:r w:rsidR="006841A9" w:rsidRPr="00C203AE">
              <w:rPr>
                <w:rFonts w:cs="Calibri"/>
                <w:b/>
                <w:bCs/>
              </w:rPr>
              <w:t>Result</w:t>
            </w:r>
          </w:p>
        </w:tc>
        <w:tc>
          <w:tcPr>
            <w:tcW w:w="703" w:type="dxa"/>
            <w:tcBorders>
              <w:top w:val="nil"/>
              <w:left w:val="nil"/>
              <w:bottom w:val="nil"/>
              <w:right w:val="nil"/>
            </w:tcBorders>
            <w:vAlign w:val="bottom"/>
          </w:tcPr>
          <w:p w14:paraId="6DAEF610" w14:textId="77777777" w:rsidR="00863311" w:rsidRPr="00C203AE" w:rsidRDefault="00863311" w:rsidP="00863311">
            <w:pPr>
              <w:pStyle w:val="TableText"/>
              <w:tabs>
                <w:tab w:val="left" w:pos="3306"/>
              </w:tabs>
              <w:jc w:val="center"/>
              <w:rPr>
                <w:rFonts w:cs="Calibri"/>
                <w:b/>
                <w:bCs/>
              </w:rPr>
            </w:pPr>
          </w:p>
        </w:tc>
        <w:tc>
          <w:tcPr>
            <w:tcW w:w="1123" w:type="dxa"/>
            <w:tcBorders>
              <w:top w:val="single" w:sz="2" w:space="0" w:color="auto"/>
              <w:left w:val="nil"/>
              <w:bottom w:val="double" w:sz="4" w:space="0" w:color="auto"/>
              <w:right w:val="nil"/>
            </w:tcBorders>
            <w:vAlign w:val="bottom"/>
          </w:tcPr>
          <w:p w14:paraId="6C22B613" w14:textId="6EC2950E" w:rsidR="00863311" w:rsidRPr="00C203AE" w:rsidRDefault="00863311" w:rsidP="00863311">
            <w:pPr>
              <w:pStyle w:val="TableText"/>
              <w:tabs>
                <w:tab w:val="left" w:pos="3306"/>
              </w:tabs>
              <w:jc w:val="right"/>
              <w:rPr>
                <w:rFonts w:cs="Calibri"/>
                <w:b/>
                <w:bCs/>
              </w:rPr>
            </w:pPr>
          </w:p>
        </w:tc>
        <w:tc>
          <w:tcPr>
            <w:tcW w:w="983" w:type="dxa"/>
            <w:tcBorders>
              <w:top w:val="single" w:sz="2" w:space="0" w:color="auto"/>
              <w:left w:val="nil"/>
              <w:bottom w:val="double" w:sz="4" w:space="0" w:color="auto"/>
              <w:right w:val="nil"/>
            </w:tcBorders>
            <w:vAlign w:val="bottom"/>
          </w:tcPr>
          <w:p w14:paraId="0AAFF742" w14:textId="3C5A4980" w:rsidR="00863311" w:rsidRPr="00C203AE" w:rsidRDefault="00863311" w:rsidP="00863311">
            <w:pPr>
              <w:pStyle w:val="TableText"/>
              <w:tabs>
                <w:tab w:val="left" w:pos="3306"/>
              </w:tabs>
              <w:jc w:val="right"/>
              <w:rPr>
                <w:rFonts w:cs="Calibri"/>
                <w:b/>
                <w:bCs/>
              </w:rPr>
            </w:pPr>
          </w:p>
        </w:tc>
        <w:tc>
          <w:tcPr>
            <w:tcW w:w="984" w:type="dxa"/>
            <w:tcBorders>
              <w:top w:val="single" w:sz="2" w:space="0" w:color="auto"/>
              <w:left w:val="nil"/>
              <w:bottom w:val="double" w:sz="4" w:space="0" w:color="auto"/>
              <w:right w:val="nil"/>
            </w:tcBorders>
            <w:vAlign w:val="bottom"/>
          </w:tcPr>
          <w:p w14:paraId="1BAD584D" w14:textId="45C547A4" w:rsidR="00863311" w:rsidRPr="00C203AE" w:rsidRDefault="00863311" w:rsidP="00863311">
            <w:pPr>
              <w:pStyle w:val="TableText"/>
              <w:tabs>
                <w:tab w:val="left" w:pos="3306"/>
              </w:tabs>
              <w:jc w:val="right"/>
              <w:rPr>
                <w:rFonts w:cs="Calibri"/>
                <w:b/>
                <w:bCs/>
              </w:rPr>
            </w:pPr>
          </w:p>
        </w:tc>
      </w:tr>
      <w:tr w:rsidR="00863311" w:rsidRPr="00CF7E1B" w14:paraId="6282EA2E" w14:textId="77777777" w:rsidTr="0004564D">
        <w:trPr>
          <w:cantSplit/>
          <w:trHeight w:val="20"/>
        </w:trPr>
        <w:tc>
          <w:tcPr>
            <w:tcW w:w="1543" w:type="dxa"/>
            <w:tcBorders>
              <w:top w:val="nil"/>
              <w:left w:val="single" w:sz="2" w:space="0" w:color="auto"/>
              <w:bottom w:val="nil"/>
              <w:right w:val="single" w:sz="2" w:space="0" w:color="auto"/>
            </w:tcBorders>
          </w:tcPr>
          <w:p w14:paraId="68CA316C"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vAlign w:val="bottom"/>
          </w:tcPr>
          <w:p w14:paraId="2FD6E7AF" w14:textId="77777777" w:rsidR="00863311" w:rsidRPr="00C203AE" w:rsidRDefault="00863311" w:rsidP="00863311">
            <w:pPr>
              <w:pStyle w:val="TableText"/>
              <w:tabs>
                <w:tab w:val="left" w:pos="3306"/>
              </w:tabs>
              <w:rPr>
                <w:rFonts w:cs="Calibri"/>
                <w:sz w:val="12"/>
              </w:rPr>
            </w:pPr>
          </w:p>
        </w:tc>
      </w:tr>
      <w:tr w:rsidR="00863311" w:rsidRPr="00CF7E1B" w14:paraId="48606CEC" w14:textId="77777777" w:rsidTr="0004564D">
        <w:trPr>
          <w:cantSplit/>
          <w:trHeight w:val="20"/>
        </w:trPr>
        <w:tc>
          <w:tcPr>
            <w:tcW w:w="1543" w:type="dxa"/>
            <w:tcBorders>
              <w:top w:val="nil"/>
              <w:left w:val="single" w:sz="2" w:space="0" w:color="auto"/>
              <w:bottom w:val="nil"/>
              <w:right w:val="single" w:sz="2" w:space="0" w:color="auto"/>
            </w:tcBorders>
          </w:tcPr>
          <w:p w14:paraId="535EDD19" w14:textId="77777777" w:rsidR="00863311" w:rsidRPr="00C203AE" w:rsidRDefault="00863311"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7954E19E" w14:textId="2D6A0826" w:rsidR="00863311" w:rsidRPr="00C203AE" w:rsidRDefault="00863311" w:rsidP="009963B2">
            <w:pPr>
              <w:pStyle w:val="CommentaryReference"/>
              <w:spacing w:after="120"/>
              <w:jc w:val="both"/>
              <w:rPr>
                <w:rFonts w:cs="Calibri"/>
                <w:sz w:val="18"/>
                <w:szCs w:val="18"/>
              </w:rPr>
            </w:pPr>
            <w:r w:rsidRPr="00C203AE">
              <w:rPr>
                <w:rFonts w:cs="Calibri"/>
                <w:sz w:val="18"/>
                <w:szCs w:val="18"/>
              </w:rPr>
              <w:t xml:space="preserve">The above Statement of Income and Expenses on Behalf of the Territory </w:t>
            </w:r>
            <w:r w:rsidR="004F4683" w:rsidRPr="00C203AE">
              <w:rPr>
                <w:rFonts w:cs="Calibri"/>
                <w:bCs/>
                <w:sz w:val="18"/>
                <w:szCs w:val="18"/>
              </w:rPr>
              <w:t>is to</w:t>
            </w:r>
            <w:r w:rsidR="004F4683" w:rsidRPr="00C203AE">
              <w:rPr>
                <w:rFonts w:asciiTheme="minorHAnsi" w:hAnsiTheme="minorHAnsi" w:cstheme="minorHAnsi"/>
                <w:sz w:val="18"/>
                <w:szCs w:val="18"/>
              </w:rPr>
              <w:t xml:space="preserve"> </w:t>
            </w:r>
            <w:r w:rsidRPr="00C203AE">
              <w:rPr>
                <w:rFonts w:cs="Calibri"/>
                <w:sz w:val="18"/>
                <w:szCs w:val="18"/>
              </w:rPr>
              <w:t>be read in conjunction with the accompanying notes.</w:t>
            </w:r>
          </w:p>
        </w:tc>
      </w:tr>
      <w:tr w:rsidR="00300197" w:rsidRPr="00CF7E1B" w14:paraId="515F3BA4" w14:textId="77777777" w:rsidTr="0004564D">
        <w:trPr>
          <w:cantSplit/>
          <w:trHeight w:val="20"/>
        </w:trPr>
        <w:tc>
          <w:tcPr>
            <w:tcW w:w="1543" w:type="dxa"/>
            <w:tcBorders>
              <w:top w:val="nil"/>
              <w:left w:val="single" w:sz="2" w:space="0" w:color="auto"/>
              <w:bottom w:val="nil"/>
              <w:right w:val="single" w:sz="2" w:space="0" w:color="auto"/>
            </w:tcBorders>
          </w:tcPr>
          <w:p w14:paraId="4AE5453F" w14:textId="77777777" w:rsidR="00300197" w:rsidRPr="00C203AE" w:rsidRDefault="00300197"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589E70EE" w14:textId="5FBA7A0B" w:rsidR="00300197" w:rsidRPr="00C203AE" w:rsidRDefault="003A4D81" w:rsidP="009963B2">
            <w:pPr>
              <w:pStyle w:val="CommentaryReference"/>
              <w:spacing w:after="120"/>
              <w:jc w:val="both"/>
              <w:rPr>
                <w:rFonts w:cs="Calibri"/>
                <w:sz w:val="18"/>
                <w:szCs w:val="18"/>
              </w:rPr>
            </w:pPr>
            <w:r w:rsidRPr="00C203AE">
              <w:rPr>
                <w:rFonts w:cs="Calibri"/>
                <w:sz w:val="16"/>
              </w:rPr>
              <w:t># Refer to the Territorial Statement of Appropriation.</w:t>
            </w:r>
          </w:p>
        </w:tc>
      </w:tr>
      <w:tr w:rsidR="00354061" w:rsidRPr="00CF7E1B" w14:paraId="6F87F8B6" w14:textId="77777777" w:rsidTr="0004564D">
        <w:trPr>
          <w:cantSplit/>
          <w:trHeight w:val="20"/>
        </w:trPr>
        <w:tc>
          <w:tcPr>
            <w:tcW w:w="1543" w:type="dxa"/>
            <w:tcBorders>
              <w:top w:val="nil"/>
              <w:left w:val="single" w:sz="2" w:space="0" w:color="auto"/>
              <w:bottom w:val="nil"/>
              <w:right w:val="single" w:sz="2" w:space="0" w:color="auto"/>
            </w:tcBorders>
          </w:tcPr>
          <w:p w14:paraId="3239A24E" w14:textId="77777777" w:rsidR="00354061" w:rsidRPr="00C203AE" w:rsidRDefault="00354061" w:rsidP="009963B2">
            <w:pPr>
              <w:pStyle w:val="TableReference"/>
              <w:tabs>
                <w:tab w:val="left" w:pos="3306"/>
              </w:tabs>
              <w:spacing w:after="120"/>
              <w:rPr>
                <w:rFonts w:cs="Calibri"/>
                <w:color w:val="7030A0"/>
                <w:sz w:val="16"/>
                <w:szCs w:val="16"/>
              </w:rPr>
            </w:pPr>
          </w:p>
        </w:tc>
        <w:tc>
          <w:tcPr>
            <w:tcW w:w="8837" w:type="dxa"/>
            <w:gridSpan w:val="5"/>
            <w:tcBorders>
              <w:top w:val="nil"/>
              <w:left w:val="single" w:sz="2" w:space="0" w:color="auto"/>
              <w:bottom w:val="nil"/>
              <w:right w:val="nil"/>
            </w:tcBorders>
            <w:vAlign w:val="bottom"/>
          </w:tcPr>
          <w:p w14:paraId="6814582F" w14:textId="77777777" w:rsidR="00354061" w:rsidRPr="000C06DA" w:rsidRDefault="00354061" w:rsidP="009963B2">
            <w:pPr>
              <w:pStyle w:val="CommentaryReference"/>
              <w:spacing w:after="120"/>
              <w:jc w:val="both"/>
              <w:rPr>
                <w:rFonts w:cs="Calibri"/>
                <w:color w:val="FF0000"/>
                <w:sz w:val="16"/>
              </w:rPr>
            </w:pPr>
          </w:p>
        </w:tc>
      </w:tr>
      <w:tr w:rsidR="00863311" w:rsidRPr="00CF7E1B" w14:paraId="66420144" w14:textId="77777777" w:rsidTr="0004564D">
        <w:trPr>
          <w:cantSplit/>
          <w:trHeight w:val="20"/>
        </w:trPr>
        <w:tc>
          <w:tcPr>
            <w:tcW w:w="1543" w:type="dxa"/>
            <w:tcBorders>
              <w:top w:val="nil"/>
              <w:left w:val="single" w:sz="2" w:space="0" w:color="auto"/>
              <w:bottom w:val="nil"/>
              <w:right w:val="single" w:sz="2" w:space="0" w:color="auto"/>
            </w:tcBorders>
          </w:tcPr>
          <w:p w14:paraId="3DAE8424" w14:textId="660BE4B7" w:rsidR="00863311" w:rsidRPr="00C203AE" w:rsidRDefault="00863311" w:rsidP="00AB3663">
            <w:pPr>
              <w:pStyle w:val="TableReference"/>
              <w:tabs>
                <w:tab w:val="left" w:pos="3306"/>
              </w:tabs>
              <w:spacing w:before="120" w:after="240"/>
              <w:rPr>
                <w:rFonts w:cs="Calibri"/>
                <w:b/>
                <w:strike/>
                <w:color w:val="7030A0"/>
                <w:sz w:val="20"/>
                <w:szCs w:val="20"/>
              </w:rPr>
            </w:pPr>
          </w:p>
        </w:tc>
        <w:tc>
          <w:tcPr>
            <w:tcW w:w="8837" w:type="dxa"/>
            <w:gridSpan w:val="5"/>
            <w:tcBorders>
              <w:top w:val="nil"/>
              <w:left w:val="single" w:sz="2" w:space="0" w:color="auto"/>
              <w:bottom w:val="nil"/>
              <w:right w:val="nil"/>
            </w:tcBorders>
            <w:shd w:val="clear" w:color="auto" w:fill="7030A0"/>
            <w:vAlign w:val="bottom"/>
          </w:tcPr>
          <w:p w14:paraId="6B102AAC" w14:textId="77777777" w:rsidR="00863311" w:rsidRPr="00C203AE" w:rsidRDefault="00863311" w:rsidP="00A84CC0">
            <w:pPr>
              <w:pStyle w:val="CommentaryTitle"/>
              <w:pageBreakBefore w:val="0"/>
              <w:tabs>
                <w:tab w:val="left" w:pos="3306"/>
              </w:tabs>
              <w:spacing w:before="0" w:after="240"/>
              <w:rPr>
                <w:rFonts w:cs="Calibri"/>
                <w:color w:val="FFFFFF" w:themeColor="background1"/>
              </w:rPr>
            </w:pPr>
            <w:r w:rsidRPr="00C203AE">
              <w:rPr>
                <w:rFonts w:asciiTheme="minorHAnsi" w:hAnsiTheme="minorHAnsi"/>
                <w:bCs w:val="0"/>
                <w:color w:val="FFFFFF" w:themeColor="background1"/>
                <w:sz w:val="28"/>
                <w:szCs w:val="28"/>
              </w:rPr>
              <w:t>Commentary – Statement of Income and Expenses on Behalf of the Territory</w:t>
            </w:r>
          </w:p>
        </w:tc>
      </w:tr>
      <w:tr w:rsidR="00863311" w:rsidRPr="00CF7E1B" w14:paraId="39E2E94F" w14:textId="77777777" w:rsidTr="0004564D">
        <w:trPr>
          <w:cantSplit/>
          <w:trHeight w:val="20"/>
        </w:trPr>
        <w:tc>
          <w:tcPr>
            <w:tcW w:w="1543" w:type="dxa"/>
            <w:tcBorders>
              <w:top w:val="nil"/>
              <w:left w:val="single" w:sz="2" w:space="0" w:color="auto"/>
              <w:bottom w:val="nil"/>
              <w:right w:val="single" w:sz="2" w:space="0" w:color="auto"/>
            </w:tcBorders>
          </w:tcPr>
          <w:p w14:paraId="79BE9223" w14:textId="2B3857BE" w:rsidR="00894956" w:rsidRPr="00C203AE" w:rsidRDefault="00894956"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0717DF6C" w14:textId="299DB7DA" w:rsidR="00DF1E5C" w:rsidRPr="00C203AE" w:rsidRDefault="00863311" w:rsidP="00AB3663">
            <w:pPr>
              <w:pStyle w:val="CommentaryText"/>
              <w:rPr>
                <w:rFonts w:cs="Calibri"/>
                <w:color w:val="FFFFFF" w:themeColor="background1"/>
                <w:sz w:val="18"/>
                <w:szCs w:val="18"/>
              </w:rPr>
            </w:pPr>
            <w:r w:rsidRPr="00C203AE">
              <w:rPr>
                <w:rFonts w:cs="Calibri"/>
                <w:color w:val="FFFFFF" w:themeColor="background1"/>
                <w:sz w:val="18"/>
                <w:szCs w:val="18"/>
              </w:rPr>
              <w:t xml:space="preserve">With the exception of the </w:t>
            </w:r>
            <w:r w:rsidRPr="00C203AE">
              <w:rPr>
                <w:rFonts w:cs="Calibri"/>
                <w:bCs/>
                <w:color w:val="FFFFFF" w:themeColor="background1"/>
                <w:sz w:val="18"/>
                <w:szCs w:val="18"/>
              </w:rPr>
              <w:t xml:space="preserve">Operating </w:t>
            </w:r>
            <w:r w:rsidR="006841A9" w:rsidRPr="00C203AE">
              <w:rPr>
                <w:rFonts w:cs="Calibri"/>
                <w:color w:val="FFFFFF" w:themeColor="background1"/>
                <w:sz w:val="18"/>
                <w:szCs w:val="18"/>
              </w:rPr>
              <w:t xml:space="preserve">Result </w:t>
            </w:r>
            <w:r w:rsidRPr="00C203AE">
              <w:rPr>
                <w:rFonts w:cs="Calibri"/>
                <w:color w:val="FFFFFF" w:themeColor="background1"/>
                <w:sz w:val="18"/>
                <w:szCs w:val="18"/>
              </w:rPr>
              <w:t xml:space="preserve">total line, if an </w:t>
            </w:r>
            <w:r w:rsidR="00D65811" w:rsidRPr="00C203AE">
              <w:rPr>
                <w:rFonts w:cs="Calibri"/>
                <w:color w:val="FFFFFF" w:themeColor="background1"/>
                <w:sz w:val="18"/>
                <w:szCs w:val="18"/>
              </w:rPr>
              <w:t>a</w:t>
            </w:r>
            <w:r w:rsidRPr="00C203AE">
              <w:rPr>
                <w:rFonts w:cs="Calibri"/>
                <w:color w:val="FFFFFF" w:themeColor="background1"/>
                <w:sz w:val="18"/>
                <w:szCs w:val="18"/>
              </w:rPr>
              <w:t>gency does not have an amount against a line item it should not be included</w:t>
            </w:r>
            <w:r w:rsidR="00003322" w:rsidRPr="00C203AE">
              <w:rPr>
                <w:rFonts w:cs="Calibri"/>
                <w:color w:val="FFFFFF" w:themeColor="background1"/>
                <w:sz w:val="18"/>
                <w:szCs w:val="18"/>
              </w:rPr>
              <w:t xml:space="preserve"> on the face of the Statement of Income and Expenses on Behalf of the Territory</w:t>
            </w:r>
            <w:r w:rsidRPr="00C203AE">
              <w:rPr>
                <w:rFonts w:cs="Calibri"/>
                <w:color w:val="FFFFFF" w:themeColor="background1"/>
                <w:sz w:val="18"/>
                <w:szCs w:val="18"/>
              </w:rPr>
              <w:t>.</w:t>
            </w:r>
          </w:p>
        </w:tc>
      </w:tr>
      <w:tr w:rsidR="009963B2" w:rsidRPr="00CF7E1B" w14:paraId="3E0D9C5C" w14:textId="77777777" w:rsidTr="0004564D">
        <w:trPr>
          <w:cantSplit/>
          <w:trHeight w:val="20"/>
        </w:trPr>
        <w:tc>
          <w:tcPr>
            <w:tcW w:w="1543" w:type="dxa"/>
            <w:tcBorders>
              <w:top w:val="nil"/>
              <w:left w:val="single" w:sz="2" w:space="0" w:color="auto"/>
              <w:bottom w:val="nil"/>
              <w:right w:val="single" w:sz="2" w:space="0" w:color="auto"/>
            </w:tcBorders>
          </w:tcPr>
          <w:p w14:paraId="2F2C0011" w14:textId="77777777" w:rsidR="009963B2" w:rsidRPr="00C203AE" w:rsidRDefault="009963B2"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460B6424" w14:textId="429633E0" w:rsidR="009963B2" w:rsidRPr="00C203AE" w:rsidRDefault="009963B2" w:rsidP="00863311">
            <w:pPr>
              <w:pStyle w:val="CommentaryText"/>
              <w:rPr>
                <w:rFonts w:cs="Calibri"/>
                <w:color w:val="FFFFFF" w:themeColor="background1"/>
                <w:sz w:val="18"/>
                <w:szCs w:val="18"/>
              </w:rPr>
            </w:pPr>
            <w:r w:rsidRPr="00C203AE">
              <w:rPr>
                <w:rFonts w:cs="Calibri"/>
                <w:color w:val="FFFFFF" w:themeColor="background1"/>
                <w:sz w:val="18"/>
                <w:szCs w:val="18"/>
              </w:rPr>
              <w:t>Agencies that have fair valued Territorial Property, Plant and Equipment may have an increase/(decrease) in the Asset Revaluation Surplus which means that Other Comprehensive Income and Total Comprehensive Income is included in the Statement of Income and Expenses on Behalf of the Territory.</w:t>
            </w:r>
          </w:p>
        </w:tc>
      </w:tr>
      <w:tr w:rsidR="00863311" w:rsidRPr="00CF7E1B" w14:paraId="3662F1E3" w14:textId="77777777" w:rsidTr="0004564D">
        <w:trPr>
          <w:cantSplit/>
          <w:trHeight w:val="20"/>
        </w:trPr>
        <w:tc>
          <w:tcPr>
            <w:tcW w:w="1543" w:type="dxa"/>
            <w:tcBorders>
              <w:top w:val="nil"/>
              <w:left w:val="single" w:sz="2" w:space="0" w:color="auto"/>
              <w:bottom w:val="nil"/>
              <w:right w:val="single" w:sz="2" w:space="0" w:color="auto"/>
            </w:tcBorders>
          </w:tcPr>
          <w:p w14:paraId="511D4295"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6A902186" w14:textId="77777777" w:rsidR="00863311" w:rsidRPr="00A84CC0" w:rsidRDefault="00863311" w:rsidP="009963B2">
            <w:pPr>
              <w:pStyle w:val="CommentaryText"/>
              <w:spacing w:before="120" w:after="0"/>
              <w:rPr>
                <w:rFonts w:cs="Calibri"/>
                <w:b/>
                <w:bCs/>
                <w:color w:val="FFFFFF" w:themeColor="background1"/>
                <w:szCs w:val="20"/>
              </w:rPr>
            </w:pPr>
            <w:r w:rsidRPr="00A84CC0">
              <w:rPr>
                <w:rFonts w:cs="Calibri"/>
                <w:b/>
                <w:bCs/>
                <w:color w:val="FFFFFF" w:themeColor="background1"/>
                <w:szCs w:val="20"/>
              </w:rPr>
              <w:t>Budget</w:t>
            </w:r>
          </w:p>
        </w:tc>
      </w:tr>
      <w:tr w:rsidR="00863311" w:rsidRPr="00CF7E1B" w14:paraId="21115E6F" w14:textId="77777777" w:rsidTr="0004564D">
        <w:trPr>
          <w:cantSplit/>
          <w:trHeight w:val="211"/>
        </w:trPr>
        <w:tc>
          <w:tcPr>
            <w:tcW w:w="1543" w:type="dxa"/>
            <w:tcBorders>
              <w:top w:val="nil"/>
              <w:left w:val="single" w:sz="2" w:space="0" w:color="auto"/>
              <w:bottom w:val="nil"/>
              <w:right w:val="single" w:sz="2" w:space="0" w:color="auto"/>
            </w:tcBorders>
          </w:tcPr>
          <w:p w14:paraId="0CE67400" w14:textId="77777777" w:rsidR="00863311" w:rsidRPr="00C203AE" w:rsidRDefault="00863311" w:rsidP="00863311">
            <w:pPr>
              <w:pStyle w:val="TableReference"/>
              <w:tabs>
                <w:tab w:val="left" w:pos="3306"/>
              </w:tabs>
              <w:spacing w:before="40"/>
              <w:rPr>
                <w:rFonts w:cs="Calibri"/>
                <w:color w:val="7030A0"/>
                <w:sz w:val="16"/>
                <w:szCs w:val="16"/>
              </w:rPr>
            </w:pPr>
          </w:p>
        </w:tc>
        <w:tc>
          <w:tcPr>
            <w:tcW w:w="8837" w:type="dxa"/>
            <w:gridSpan w:val="5"/>
            <w:tcBorders>
              <w:top w:val="nil"/>
              <w:left w:val="single" w:sz="2" w:space="0" w:color="auto"/>
              <w:bottom w:val="nil"/>
              <w:right w:val="nil"/>
            </w:tcBorders>
            <w:shd w:val="clear" w:color="auto" w:fill="7030A0"/>
            <w:vAlign w:val="bottom"/>
          </w:tcPr>
          <w:p w14:paraId="7FFCD201" w14:textId="2C5F7B5A" w:rsidR="00863311" w:rsidRPr="00C203AE" w:rsidRDefault="00863311" w:rsidP="000739BC">
            <w:pPr>
              <w:pStyle w:val="CommentaryText"/>
              <w:rPr>
                <w:rFonts w:cs="Calibri"/>
                <w:color w:val="FFFFFF" w:themeColor="background1"/>
                <w:sz w:val="18"/>
                <w:szCs w:val="18"/>
              </w:rPr>
            </w:pPr>
            <w:r w:rsidRPr="00C203AE">
              <w:rPr>
                <w:rFonts w:cs="Calibri"/>
                <w:color w:val="FFFFFF" w:themeColor="background1"/>
                <w:sz w:val="18"/>
                <w:szCs w:val="18"/>
              </w:rPr>
              <w:t xml:space="preserve">The budget numbers appearing in the above statement are those published in the </w:t>
            </w:r>
            <w:r w:rsidR="00300197" w:rsidRPr="00C203AE">
              <w:rPr>
                <w:rFonts w:cs="Calibri"/>
                <w:color w:val="FFFFFF" w:themeColor="background1"/>
                <w:sz w:val="18"/>
                <w:szCs w:val="18"/>
              </w:rPr>
              <w:t>2021-22</w:t>
            </w:r>
            <w:r w:rsidR="00FF0025" w:rsidRPr="00C203AE">
              <w:rPr>
                <w:rFonts w:cs="Calibri"/>
                <w:color w:val="FFFFFF" w:themeColor="background1"/>
                <w:sz w:val="18"/>
                <w:szCs w:val="18"/>
              </w:rPr>
              <w:t xml:space="preserve"> </w:t>
            </w:r>
            <w:r w:rsidRPr="00C203AE">
              <w:rPr>
                <w:rFonts w:cs="Calibri"/>
                <w:color w:val="FFFFFF" w:themeColor="background1"/>
                <w:sz w:val="18"/>
                <w:szCs w:val="18"/>
              </w:rPr>
              <w:t>Budget Papers.</w:t>
            </w:r>
          </w:p>
        </w:tc>
      </w:tr>
      <w:bookmarkEnd w:id="809"/>
    </w:tbl>
    <w:p w14:paraId="1922D663" w14:textId="77777777" w:rsidR="00EC64D1" w:rsidRDefault="00863311" w:rsidP="00EC64D1">
      <w:pPr>
        <w:spacing w:before="360" w:line="400" w:lineRule="exact"/>
        <w:jc w:val="center"/>
      </w:pPr>
      <w:r w:rsidRPr="00CF7E1B">
        <w:br w:type="page"/>
      </w:r>
      <w:bookmarkStart w:id="824" w:name="_Toc194918660"/>
      <w:bookmarkStart w:id="825" w:name="_Toc253496236"/>
    </w:p>
    <w:p w14:paraId="04BA955A" w14:textId="77777777" w:rsidR="00A2241D" w:rsidRDefault="00A2241D" w:rsidP="00A2241D">
      <w:pPr>
        <w:spacing w:line="400" w:lineRule="exact"/>
        <w:jc w:val="center"/>
        <w:rPr>
          <w:b/>
          <w:sz w:val="40"/>
          <w:szCs w:val="40"/>
        </w:rPr>
      </w:pPr>
    </w:p>
    <w:p w14:paraId="32609BB8" w14:textId="5333C933" w:rsidR="00863311" w:rsidRPr="007D29FB" w:rsidRDefault="00863311" w:rsidP="00A2241D">
      <w:pPr>
        <w:spacing w:line="400" w:lineRule="exact"/>
        <w:jc w:val="center"/>
        <w:rPr>
          <w:b/>
          <w:sz w:val="40"/>
          <w:szCs w:val="40"/>
        </w:rPr>
      </w:pPr>
      <w:r w:rsidRPr="007D29FB">
        <w:rPr>
          <w:b/>
          <w:sz w:val="40"/>
          <w:szCs w:val="40"/>
        </w:rPr>
        <w:t>‘</w:t>
      </w:r>
      <w:r w:rsidR="00027610" w:rsidRPr="00C203AE">
        <w:rPr>
          <w:b/>
          <w:sz w:val="40"/>
          <w:szCs w:val="40"/>
        </w:rPr>
        <w:t xml:space="preserve">Burley Griffin </w:t>
      </w:r>
      <w:r w:rsidRPr="007D29FB">
        <w:rPr>
          <w:b/>
          <w:sz w:val="40"/>
          <w:szCs w:val="40"/>
        </w:rPr>
        <w:t>Agency’</w:t>
      </w:r>
      <w:bookmarkEnd w:id="824"/>
      <w:bookmarkEnd w:id="825"/>
    </w:p>
    <w:p w14:paraId="3F42C20D" w14:textId="77777777" w:rsidR="00863311" w:rsidRPr="00C203AE" w:rsidRDefault="00863311" w:rsidP="00226363">
      <w:pPr>
        <w:pStyle w:val="Subtitle"/>
        <w:spacing w:line="400" w:lineRule="exact"/>
        <w:rPr>
          <w:rFonts w:ascii="Calibri" w:hAnsi="Calibri"/>
          <w:szCs w:val="40"/>
        </w:rPr>
      </w:pPr>
      <w:bookmarkStart w:id="826" w:name="_Toc49224255"/>
      <w:bookmarkStart w:id="827" w:name="_Toc50440407"/>
      <w:bookmarkStart w:id="828" w:name="_Toc194918661"/>
      <w:bookmarkStart w:id="829" w:name="_Toc223433219"/>
      <w:bookmarkStart w:id="830" w:name="_Toc253496237"/>
      <w:bookmarkStart w:id="831" w:name="_Toc400627368"/>
      <w:bookmarkStart w:id="832" w:name="_Toc98763190"/>
      <w:r w:rsidRPr="00C203AE">
        <w:rPr>
          <w:rFonts w:ascii="Calibri" w:hAnsi="Calibri"/>
          <w:szCs w:val="40"/>
        </w:rPr>
        <w:t>Statement of Assets and Liabilities</w:t>
      </w:r>
      <w:r w:rsidR="00027960" w:rsidRPr="00C203AE">
        <w:rPr>
          <w:rFonts w:ascii="Calibri" w:hAnsi="Calibri"/>
          <w:szCs w:val="40"/>
        </w:rPr>
        <w:t xml:space="preserve"> </w:t>
      </w:r>
      <w:r w:rsidRPr="00C203AE">
        <w:rPr>
          <w:rFonts w:ascii="Calibri" w:hAnsi="Calibri"/>
          <w:szCs w:val="40"/>
        </w:rPr>
        <w:t>on Behalf of the Territory</w:t>
      </w:r>
      <w:bookmarkEnd w:id="826"/>
      <w:bookmarkEnd w:id="827"/>
      <w:bookmarkEnd w:id="828"/>
      <w:bookmarkEnd w:id="829"/>
      <w:bookmarkEnd w:id="830"/>
      <w:bookmarkEnd w:id="831"/>
      <w:bookmarkEnd w:id="832"/>
    </w:p>
    <w:p w14:paraId="7F1B4F40" w14:textId="32641260" w:rsidR="00863311" w:rsidRPr="007D29FB" w:rsidRDefault="00863311" w:rsidP="00226363">
      <w:pPr>
        <w:spacing w:line="400" w:lineRule="exact"/>
        <w:jc w:val="center"/>
        <w:rPr>
          <w:b/>
          <w:sz w:val="40"/>
          <w:szCs w:val="40"/>
        </w:rPr>
      </w:pPr>
      <w:r w:rsidRPr="007D29FB">
        <w:rPr>
          <w:b/>
          <w:sz w:val="40"/>
          <w:szCs w:val="40"/>
        </w:rPr>
        <w:t xml:space="preserve">As at 30 June </w:t>
      </w:r>
      <w:r w:rsidR="006973C8" w:rsidRPr="00C203AE">
        <w:rPr>
          <w:b/>
          <w:sz w:val="40"/>
          <w:szCs w:val="40"/>
        </w:rPr>
        <w:t>202</w:t>
      </w:r>
      <w:r w:rsidR="00A37AEC" w:rsidRPr="00C203AE">
        <w:rPr>
          <w:b/>
          <w:sz w:val="40"/>
          <w:szCs w:val="40"/>
        </w:rPr>
        <w:t>2</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4604"/>
        <w:gridCol w:w="672"/>
        <w:gridCol w:w="1113"/>
        <w:gridCol w:w="1234"/>
        <w:gridCol w:w="1201"/>
        <w:gridCol w:w="24"/>
      </w:tblGrid>
      <w:tr w:rsidR="00863311" w:rsidRPr="00CF7E1B" w14:paraId="4E5D9E60" w14:textId="77777777" w:rsidTr="0004564D">
        <w:trPr>
          <w:gridAfter w:val="1"/>
          <w:wAfter w:w="24" w:type="dxa"/>
          <w:cantSplit/>
          <w:trHeight w:val="696"/>
          <w:jc w:val="center"/>
        </w:trPr>
        <w:tc>
          <w:tcPr>
            <w:tcW w:w="1548" w:type="dxa"/>
            <w:tcBorders>
              <w:top w:val="nil"/>
              <w:left w:val="single" w:sz="2" w:space="0" w:color="auto"/>
              <w:bottom w:val="nil"/>
              <w:right w:val="single" w:sz="2" w:space="0" w:color="auto"/>
            </w:tcBorders>
            <w:vAlign w:val="bottom"/>
          </w:tcPr>
          <w:p w14:paraId="55BC44FB" w14:textId="77777777" w:rsidR="00863311" w:rsidRPr="00C203AE" w:rsidRDefault="00E35DF1" w:rsidP="005D3C33">
            <w:pPr>
              <w:pStyle w:val="TableReference"/>
              <w:tabs>
                <w:tab w:val="left" w:pos="3306"/>
              </w:tabs>
              <w:spacing w:before="240" w:after="240"/>
              <w:ind w:left="-272" w:firstLine="272"/>
              <w:rPr>
                <w:rFonts w:asciiTheme="minorHAnsi" w:hAnsiTheme="minorHAnsi" w:cstheme="minorHAnsi"/>
                <w:b/>
                <w:color w:val="7030A0"/>
                <w:sz w:val="22"/>
                <w:szCs w:val="22"/>
              </w:rPr>
            </w:pPr>
            <w:r w:rsidRPr="00C203AE">
              <w:rPr>
                <w:rFonts w:asciiTheme="minorHAnsi" w:hAnsiTheme="minorHAnsi" w:cstheme="minorHAnsi"/>
                <w:b/>
                <w:color w:val="7030A0"/>
                <w:sz w:val="22"/>
                <w:szCs w:val="22"/>
              </w:rPr>
              <w:t>Reference</w:t>
            </w:r>
          </w:p>
        </w:tc>
        <w:tc>
          <w:tcPr>
            <w:tcW w:w="4604" w:type="dxa"/>
            <w:tcBorders>
              <w:top w:val="nil"/>
              <w:left w:val="single" w:sz="2" w:space="0" w:color="auto"/>
              <w:bottom w:val="nil"/>
              <w:right w:val="nil"/>
            </w:tcBorders>
            <w:vAlign w:val="bottom"/>
          </w:tcPr>
          <w:p w14:paraId="32AF3F67"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082033AE" w14:textId="77777777" w:rsidR="00863311" w:rsidRPr="00C203AE" w:rsidRDefault="00863311" w:rsidP="00863311">
            <w:pPr>
              <w:pStyle w:val="TableTitle"/>
              <w:tabs>
                <w:tab w:val="left" w:pos="3306"/>
              </w:tabs>
              <w:jc w:val="center"/>
              <w:rPr>
                <w:rFonts w:cs="Calibri"/>
              </w:rPr>
            </w:pPr>
            <w:bookmarkStart w:id="833" w:name="_Toc48468775"/>
            <w:r w:rsidRPr="00C203AE">
              <w:rPr>
                <w:rFonts w:cs="Calibri"/>
              </w:rPr>
              <w:t>Note</w:t>
            </w:r>
            <w:bookmarkEnd w:id="833"/>
            <w:r w:rsidRPr="00C203AE">
              <w:rPr>
                <w:rFonts w:cs="Calibri"/>
              </w:rPr>
              <w:t xml:space="preserve"> No.</w:t>
            </w:r>
          </w:p>
        </w:tc>
        <w:tc>
          <w:tcPr>
            <w:tcW w:w="1113" w:type="dxa"/>
            <w:tcBorders>
              <w:top w:val="nil"/>
              <w:left w:val="nil"/>
              <w:bottom w:val="nil"/>
              <w:right w:val="nil"/>
            </w:tcBorders>
            <w:vAlign w:val="bottom"/>
          </w:tcPr>
          <w:p w14:paraId="566B44D8" w14:textId="77777777" w:rsidR="00863311" w:rsidRPr="00C203AE" w:rsidRDefault="00863311" w:rsidP="00863311">
            <w:pPr>
              <w:pStyle w:val="TableTitle"/>
              <w:tabs>
                <w:tab w:val="left" w:pos="3306"/>
              </w:tabs>
              <w:rPr>
                <w:rFonts w:cs="Calibri"/>
              </w:rPr>
            </w:pPr>
            <w:r w:rsidRPr="00C203AE">
              <w:rPr>
                <w:rFonts w:cs="Calibri"/>
              </w:rPr>
              <w:t xml:space="preserve">Actual </w:t>
            </w:r>
          </w:p>
          <w:p w14:paraId="6C3CF9DE" w14:textId="44A69E31" w:rsidR="00863311" w:rsidRPr="00C203AE" w:rsidRDefault="006C26C2" w:rsidP="00863311">
            <w:pPr>
              <w:pStyle w:val="TableTitle"/>
              <w:tabs>
                <w:tab w:val="left" w:pos="3306"/>
              </w:tabs>
              <w:rPr>
                <w:rFonts w:cs="Calibri"/>
              </w:rPr>
            </w:pPr>
            <w:r w:rsidRPr="00C203AE">
              <w:rPr>
                <w:rFonts w:cs="Calibri"/>
              </w:rPr>
              <w:t>2022</w:t>
            </w:r>
          </w:p>
          <w:p w14:paraId="7A4AACF6" w14:textId="77777777" w:rsidR="00863311" w:rsidRPr="00C203AE" w:rsidRDefault="00863311" w:rsidP="00863311">
            <w:pPr>
              <w:pStyle w:val="TableTitle"/>
              <w:tabs>
                <w:tab w:val="left" w:pos="3306"/>
              </w:tabs>
              <w:rPr>
                <w:rFonts w:cs="Calibri"/>
              </w:rPr>
            </w:pPr>
            <w:r w:rsidRPr="00C203AE">
              <w:rPr>
                <w:rFonts w:cs="Calibri"/>
              </w:rPr>
              <w:t>$’000</w:t>
            </w:r>
          </w:p>
        </w:tc>
        <w:tc>
          <w:tcPr>
            <w:tcW w:w="1234" w:type="dxa"/>
            <w:tcBorders>
              <w:top w:val="nil"/>
              <w:left w:val="nil"/>
              <w:bottom w:val="nil"/>
              <w:right w:val="nil"/>
            </w:tcBorders>
            <w:vAlign w:val="bottom"/>
          </w:tcPr>
          <w:p w14:paraId="1DDA4830" w14:textId="77777777" w:rsidR="00863311" w:rsidRPr="00C203AE" w:rsidRDefault="00863311" w:rsidP="00863311">
            <w:pPr>
              <w:pStyle w:val="TableTitle"/>
              <w:tabs>
                <w:tab w:val="left" w:pos="3306"/>
              </w:tabs>
              <w:rPr>
                <w:rFonts w:cs="Calibri"/>
              </w:rPr>
            </w:pPr>
            <w:r w:rsidRPr="00C203AE">
              <w:rPr>
                <w:rFonts w:cs="Calibri"/>
              </w:rPr>
              <w:t>Original</w:t>
            </w:r>
          </w:p>
          <w:p w14:paraId="5A1025CA" w14:textId="77777777" w:rsidR="00863311" w:rsidRPr="00C203AE" w:rsidRDefault="00863311" w:rsidP="00863311">
            <w:pPr>
              <w:pStyle w:val="TableTitle"/>
              <w:tabs>
                <w:tab w:val="left" w:pos="3306"/>
              </w:tabs>
              <w:rPr>
                <w:rFonts w:cs="Calibri"/>
              </w:rPr>
            </w:pPr>
            <w:r w:rsidRPr="00C203AE">
              <w:rPr>
                <w:rFonts w:cs="Calibri"/>
              </w:rPr>
              <w:t xml:space="preserve">Budget </w:t>
            </w:r>
          </w:p>
          <w:p w14:paraId="388693BF" w14:textId="66BE5F89" w:rsidR="00863311" w:rsidRPr="00C203AE" w:rsidRDefault="006C26C2" w:rsidP="00863311">
            <w:pPr>
              <w:pStyle w:val="TableTitle"/>
              <w:tabs>
                <w:tab w:val="left" w:pos="3306"/>
              </w:tabs>
              <w:rPr>
                <w:rFonts w:cs="Calibri"/>
              </w:rPr>
            </w:pPr>
            <w:r w:rsidRPr="00C203AE">
              <w:rPr>
                <w:rFonts w:cs="Calibri"/>
              </w:rPr>
              <w:t>2022</w:t>
            </w:r>
          </w:p>
          <w:p w14:paraId="1DDEC64E" w14:textId="77777777" w:rsidR="00863311" w:rsidRPr="00C203AE" w:rsidRDefault="00863311" w:rsidP="00863311">
            <w:pPr>
              <w:pStyle w:val="TableTitle"/>
              <w:tabs>
                <w:tab w:val="left" w:pos="3306"/>
              </w:tabs>
              <w:rPr>
                <w:rFonts w:cs="Calibri"/>
              </w:rPr>
            </w:pPr>
            <w:r w:rsidRPr="00C203AE">
              <w:rPr>
                <w:rFonts w:cs="Calibri"/>
              </w:rPr>
              <w:t>$’000</w:t>
            </w:r>
          </w:p>
        </w:tc>
        <w:tc>
          <w:tcPr>
            <w:tcW w:w="1201" w:type="dxa"/>
            <w:tcBorders>
              <w:top w:val="nil"/>
              <w:left w:val="nil"/>
              <w:bottom w:val="nil"/>
              <w:right w:val="nil"/>
            </w:tcBorders>
            <w:vAlign w:val="bottom"/>
          </w:tcPr>
          <w:p w14:paraId="066A4F7E" w14:textId="77777777" w:rsidR="00863311" w:rsidRPr="00C203AE" w:rsidRDefault="00863311" w:rsidP="00863311">
            <w:pPr>
              <w:pStyle w:val="TableTitle"/>
              <w:tabs>
                <w:tab w:val="left" w:pos="3306"/>
              </w:tabs>
              <w:rPr>
                <w:rFonts w:cs="Calibri"/>
              </w:rPr>
            </w:pPr>
            <w:r w:rsidRPr="00C203AE">
              <w:rPr>
                <w:rFonts w:cs="Calibri"/>
              </w:rPr>
              <w:t>Actual</w:t>
            </w:r>
          </w:p>
          <w:p w14:paraId="37784E3F" w14:textId="06AA11DC" w:rsidR="00863311" w:rsidRPr="00C203AE" w:rsidRDefault="005709FA" w:rsidP="00863311">
            <w:pPr>
              <w:pStyle w:val="TableTitle"/>
              <w:tabs>
                <w:tab w:val="left" w:pos="3306"/>
              </w:tabs>
              <w:rPr>
                <w:rFonts w:cs="Calibri"/>
              </w:rPr>
            </w:pPr>
            <w:r w:rsidRPr="00C203AE">
              <w:rPr>
                <w:rFonts w:cs="Calibri"/>
              </w:rPr>
              <w:t>2021</w:t>
            </w:r>
          </w:p>
          <w:p w14:paraId="1D5E8694" w14:textId="77777777" w:rsidR="00863311" w:rsidRPr="00C203AE" w:rsidRDefault="00863311" w:rsidP="00863311">
            <w:pPr>
              <w:pStyle w:val="TableTitle"/>
              <w:tabs>
                <w:tab w:val="left" w:pos="3306"/>
              </w:tabs>
              <w:rPr>
                <w:rFonts w:cs="Calibri"/>
              </w:rPr>
            </w:pPr>
            <w:r w:rsidRPr="00C203AE">
              <w:rPr>
                <w:rFonts w:cs="Calibri"/>
              </w:rPr>
              <w:t>$’000</w:t>
            </w:r>
          </w:p>
        </w:tc>
      </w:tr>
      <w:tr w:rsidR="00863311" w:rsidRPr="00CF7E1B" w14:paraId="74D0595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891B511"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8DC5879" w14:textId="77777777" w:rsidR="00863311" w:rsidRPr="00C203AE" w:rsidRDefault="00863311" w:rsidP="00863311">
            <w:pPr>
              <w:pStyle w:val="TableText"/>
              <w:tabs>
                <w:tab w:val="left" w:pos="3306"/>
              </w:tabs>
              <w:rPr>
                <w:rFonts w:cs="Calibri"/>
                <w:b/>
                <w:bCs/>
              </w:rPr>
            </w:pPr>
            <w:bookmarkStart w:id="834" w:name="_Toc48468776"/>
            <w:bookmarkStart w:id="835" w:name="_Toc49155846"/>
            <w:bookmarkStart w:id="836" w:name="_Toc49224257"/>
            <w:r w:rsidRPr="00C203AE">
              <w:rPr>
                <w:rFonts w:cs="Calibri"/>
                <w:b/>
                <w:bCs/>
              </w:rPr>
              <w:t>Current Assets</w:t>
            </w:r>
            <w:bookmarkEnd w:id="834"/>
            <w:bookmarkEnd w:id="835"/>
            <w:bookmarkEnd w:id="836"/>
          </w:p>
        </w:tc>
        <w:tc>
          <w:tcPr>
            <w:tcW w:w="672" w:type="dxa"/>
            <w:tcBorders>
              <w:top w:val="nil"/>
              <w:left w:val="nil"/>
              <w:bottom w:val="nil"/>
              <w:right w:val="nil"/>
            </w:tcBorders>
            <w:vAlign w:val="bottom"/>
          </w:tcPr>
          <w:p w14:paraId="083AC0D9"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510502B9"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48464E65"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4C3A54B4" w14:textId="77777777" w:rsidR="00863311" w:rsidRPr="00C203AE" w:rsidRDefault="00863311" w:rsidP="00863311">
            <w:pPr>
              <w:pStyle w:val="TableText"/>
              <w:tabs>
                <w:tab w:val="left" w:pos="3306"/>
              </w:tabs>
              <w:jc w:val="right"/>
              <w:rPr>
                <w:rFonts w:cs="Calibri"/>
              </w:rPr>
            </w:pPr>
          </w:p>
        </w:tc>
      </w:tr>
      <w:tr w:rsidR="00863311" w:rsidRPr="00CF7E1B" w14:paraId="1799B12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7FFC07B" w14:textId="77777777" w:rsidR="00863311" w:rsidRPr="00C203AE" w:rsidRDefault="00863311" w:rsidP="00B66BE0">
            <w:pPr>
              <w:pStyle w:val="TableReference"/>
              <w:tabs>
                <w:tab w:val="left" w:pos="3306"/>
              </w:tabs>
              <w:spacing w:before="40"/>
              <w:rPr>
                <w:rFonts w:cs="Calibri"/>
                <w:color w:val="7030A0"/>
                <w:sz w:val="14"/>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29882E4A" w14:textId="77777777" w:rsidR="00863311" w:rsidRPr="00C203AE" w:rsidRDefault="00863311" w:rsidP="00863311">
            <w:pPr>
              <w:pStyle w:val="TableText"/>
              <w:tabs>
                <w:tab w:val="left" w:pos="3306"/>
              </w:tabs>
              <w:rPr>
                <w:rFonts w:cs="Calibri"/>
              </w:rPr>
            </w:pPr>
            <w:r w:rsidRPr="00C203AE">
              <w:rPr>
                <w:rFonts w:cs="Calibri"/>
              </w:rPr>
              <w:t>Cash and Cash Equivalents</w:t>
            </w:r>
          </w:p>
        </w:tc>
        <w:tc>
          <w:tcPr>
            <w:tcW w:w="672" w:type="dxa"/>
            <w:tcBorders>
              <w:top w:val="nil"/>
              <w:left w:val="nil"/>
              <w:bottom w:val="nil"/>
              <w:right w:val="nil"/>
            </w:tcBorders>
            <w:vAlign w:val="bottom"/>
          </w:tcPr>
          <w:p w14:paraId="68648D3E" w14:textId="604D61CB" w:rsidR="00863311" w:rsidRPr="00C203AE" w:rsidRDefault="00354061" w:rsidP="00A63A28">
            <w:pPr>
              <w:pStyle w:val="TableText"/>
              <w:tabs>
                <w:tab w:val="left" w:pos="3306"/>
              </w:tabs>
              <w:jc w:val="center"/>
              <w:rPr>
                <w:rFonts w:cs="Calibri"/>
                <w:strike/>
              </w:rPr>
            </w:pPr>
            <w:r w:rsidRPr="00C203AE">
              <w:rPr>
                <w:rFonts w:cs="Calibri"/>
              </w:rPr>
              <w:t>4</w:t>
            </w:r>
            <w:r w:rsidR="00B40325" w:rsidRPr="00C203AE">
              <w:rPr>
                <w:rFonts w:cs="Calibri"/>
              </w:rPr>
              <w:t>6</w:t>
            </w:r>
          </w:p>
        </w:tc>
        <w:tc>
          <w:tcPr>
            <w:tcW w:w="1113" w:type="dxa"/>
            <w:tcBorders>
              <w:top w:val="nil"/>
              <w:left w:val="nil"/>
              <w:bottom w:val="nil"/>
              <w:right w:val="nil"/>
            </w:tcBorders>
            <w:vAlign w:val="bottom"/>
          </w:tcPr>
          <w:p w14:paraId="748B84D9" w14:textId="64D21B0E"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2774664E" w14:textId="742C5BFE"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7858059" w14:textId="39DD26F5" w:rsidR="00863311" w:rsidRPr="00C203AE" w:rsidRDefault="00863311" w:rsidP="00863311">
            <w:pPr>
              <w:pStyle w:val="TableText"/>
              <w:tabs>
                <w:tab w:val="left" w:pos="3306"/>
              </w:tabs>
              <w:jc w:val="right"/>
              <w:rPr>
                <w:rFonts w:cs="Calibri"/>
              </w:rPr>
            </w:pPr>
          </w:p>
        </w:tc>
      </w:tr>
      <w:tr w:rsidR="00863311" w:rsidRPr="00CF7E1B" w14:paraId="35F6ABC1"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7E2DB7F9"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3AF7BC00" w14:textId="77777777" w:rsidR="00863311" w:rsidRPr="00C203AE" w:rsidRDefault="00863311" w:rsidP="00863311">
            <w:pPr>
              <w:pStyle w:val="TableText"/>
              <w:tabs>
                <w:tab w:val="left" w:pos="3306"/>
              </w:tabs>
              <w:rPr>
                <w:rFonts w:cs="Calibri"/>
              </w:rPr>
            </w:pPr>
            <w:r w:rsidRPr="00C203AE">
              <w:rPr>
                <w:rFonts w:cs="Calibri"/>
              </w:rPr>
              <w:t>Receivables</w:t>
            </w:r>
          </w:p>
        </w:tc>
        <w:tc>
          <w:tcPr>
            <w:tcW w:w="672" w:type="dxa"/>
            <w:tcBorders>
              <w:top w:val="nil"/>
              <w:left w:val="nil"/>
              <w:bottom w:val="nil"/>
              <w:right w:val="nil"/>
            </w:tcBorders>
            <w:vAlign w:val="bottom"/>
          </w:tcPr>
          <w:p w14:paraId="4CF41F3F" w14:textId="03187EED" w:rsidR="00863311" w:rsidRPr="00C203AE" w:rsidRDefault="00354061" w:rsidP="00863311">
            <w:pPr>
              <w:pStyle w:val="TableText"/>
              <w:tabs>
                <w:tab w:val="left" w:pos="3306"/>
              </w:tabs>
              <w:jc w:val="center"/>
              <w:rPr>
                <w:rFonts w:cs="Calibri"/>
                <w:strike/>
              </w:rPr>
            </w:pPr>
            <w:r w:rsidRPr="00C203AE">
              <w:rPr>
                <w:rFonts w:cs="Calibri"/>
              </w:rPr>
              <w:t>4</w:t>
            </w:r>
            <w:r w:rsidR="00B40325" w:rsidRPr="00C203AE">
              <w:rPr>
                <w:rFonts w:cs="Calibri"/>
              </w:rPr>
              <w:t>7</w:t>
            </w:r>
          </w:p>
        </w:tc>
        <w:tc>
          <w:tcPr>
            <w:tcW w:w="1113" w:type="dxa"/>
            <w:tcBorders>
              <w:top w:val="nil"/>
              <w:left w:val="nil"/>
              <w:bottom w:val="nil"/>
              <w:right w:val="nil"/>
            </w:tcBorders>
            <w:vAlign w:val="bottom"/>
          </w:tcPr>
          <w:p w14:paraId="4C5F8628" w14:textId="5DD6AD2B"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07AA974F" w14:textId="13D7EE1E"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67B5EF5" w14:textId="6B64C49F" w:rsidR="00863311" w:rsidRPr="00C203AE" w:rsidRDefault="00863311" w:rsidP="00863311">
            <w:pPr>
              <w:pStyle w:val="TableText"/>
              <w:tabs>
                <w:tab w:val="left" w:pos="3306"/>
              </w:tabs>
              <w:jc w:val="right"/>
              <w:rPr>
                <w:rFonts w:cs="Calibri"/>
              </w:rPr>
            </w:pPr>
          </w:p>
        </w:tc>
      </w:tr>
      <w:tr w:rsidR="00863311" w:rsidRPr="00CF7E1B" w14:paraId="0889DC82"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5327E148"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7(c)</w:t>
            </w:r>
          </w:p>
        </w:tc>
        <w:tc>
          <w:tcPr>
            <w:tcW w:w="4604" w:type="dxa"/>
            <w:tcBorders>
              <w:top w:val="nil"/>
              <w:left w:val="single" w:sz="2" w:space="0" w:color="auto"/>
              <w:bottom w:val="nil"/>
              <w:right w:val="nil"/>
            </w:tcBorders>
            <w:vAlign w:val="bottom"/>
          </w:tcPr>
          <w:p w14:paraId="3BFA5CA6" w14:textId="77777777" w:rsidR="00863311" w:rsidRPr="00C203AE" w:rsidRDefault="00863311" w:rsidP="00863311">
            <w:pPr>
              <w:pStyle w:val="TableText"/>
              <w:tabs>
                <w:tab w:val="left" w:pos="3306"/>
              </w:tabs>
              <w:rPr>
                <w:rFonts w:cs="Calibri"/>
              </w:rPr>
            </w:pPr>
            <w:r w:rsidRPr="00C203AE">
              <w:rPr>
                <w:rFonts w:cs="Calibri"/>
              </w:rPr>
              <w:t>Other Assets</w:t>
            </w:r>
          </w:p>
        </w:tc>
        <w:tc>
          <w:tcPr>
            <w:tcW w:w="672" w:type="dxa"/>
            <w:tcBorders>
              <w:top w:val="nil"/>
              <w:left w:val="nil"/>
              <w:bottom w:val="nil"/>
              <w:right w:val="nil"/>
            </w:tcBorders>
            <w:vAlign w:val="bottom"/>
          </w:tcPr>
          <w:p w14:paraId="0EC12FD0" w14:textId="28E983E4" w:rsidR="00863311" w:rsidRPr="00C203AE" w:rsidRDefault="00B40325" w:rsidP="00863311">
            <w:pPr>
              <w:pStyle w:val="TableText"/>
              <w:tabs>
                <w:tab w:val="left" w:pos="3306"/>
              </w:tabs>
              <w:jc w:val="center"/>
              <w:rPr>
                <w:rFonts w:cs="Calibri"/>
                <w:strike/>
              </w:rPr>
            </w:pPr>
            <w:r w:rsidRPr="00C203AE">
              <w:rPr>
                <w:rFonts w:cs="Calibri"/>
              </w:rPr>
              <w:t>48</w:t>
            </w:r>
          </w:p>
        </w:tc>
        <w:tc>
          <w:tcPr>
            <w:tcW w:w="1113" w:type="dxa"/>
            <w:tcBorders>
              <w:top w:val="nil"/>
              <w:left w:val="nil"/>
              <w:bottom w:val="single" w:sz="2" w:space="0" w:color="auto"/>
              <w:right w:val="nil"/>
            </w:tcBorders>
            <w:vAlign w:val="bottom"/>
          </w:tcPr>
          <w:p w14:paraId="2453FA6F" w14:textId="791D9273"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44BB2CD2" w14:textId="0EE81941"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5BB34C7A" w14:textId="0FBE3446" w:rsidR="00863311" w:rsidRPr="00C203AE" w:rsidRDefault="00863311" w:rsidP="00863311">
            <w:pPr>
              <w:pStyle w:val="TableText"/>
              <w:tabs>
                <w:tab w:val="left" w:pos="3306"/>
              </w:tabs>
              <w:jc w:val="right"/>
              <w:rPr>
                <w:rFonts w:cs="Calibri"/>
              </w:rPr>
            </w:pPr>
          </w:p>
        </w:tc>
      </w:tr>
      <w:tr w:rsidR="00863311" w:rsidRPr="00CF7E1B" w14:paraId="7437FFA0"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2BDD2831"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5E5BA5C8" w14:textId="77777777" w:rsidR="00863311" w:rsidRPr="00C203AE" w:rsidRDefault="00863311" w:rsidP="00863311">
            <w:pPr>
              <w:pStyle w:val="TableText"/>
              <w:tabs>
                <w:tab w:val="left" w:pos="3306"/>
              </w:tabs>
              <w:rPr>
                <w:rFonts w:cs="Calibri"/>
                <w:b/>
                <w:bCs/>
              </w:rPr>
            </w:pPr>
            <w:bookmarkStart w:id="837" w:name="_Toc48468777"/>
            <w:bookmarkStart w:id="838" w:name="_Toc49155847"/>
            <w:bookmarkStart w:id="839" w:name="_Toc49224258"/>
            <w:r w:rsidRPr="00C203AE">
              <w:rPr>
                <w:rFonts w:cs="Calibri"/>
                <w:b/>
                <w:bCs/>
              </w:rPr>
              <w:t>Total Current Assets</w:t>
            </w:r>
            <w:bookmarkEnd w:id="837"/>
            <w:bookmarkEnd w:id="838"/>
            <w:bookmarkEnd w:id="839"/>
          </w:p>
        </w:tc>
        <w:tc>
          <w:tcPr>
            <w:tcW w:w="672" w:type="dxa"/>
            <w:tcBorders>
              <w:top w:val="nil"/>
              <w:left w:val="nil"/>
              <w:bottom w:val="nil"/>
              <w:right w:val="nil"/>
            </w:tcBorders>
            <w:vAlign w:val="bottom"/>
          </w:tcPr>
          <w:p w14:paraId="7CF3DC85"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325FC59D" w14:textId="7DAA6373"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1F2CF613" w14:textId="4B8D0FF7"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1AE8E8CF" w14:textId="7E883CAF" w:rsidR="00863311" w:rsidRPr="00C203AE" w:rsidRDefault="00863311" w:rsidP="00863311">
            <w:pPr>
              <w:pStyle w:val="TableText"/>
              <w:tabs>
                <w:tab w:val="left" w:pos="3306"/>
              </w:tabs>
              <w:jc w:val="right"/>
              <w:rPr>
                <w:rFonts w:cs="Calibri"/>
                <w:b/>
                <w:bCs/>
              </w:rPr>
            </w:pPr>
          </w:p>
        </w:tc>
      </w:tr>
      <w:tr w:rsidR="00863311" w:rsidRPr="00CF7E1B" w14:paraId="2CE624CB"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FE5AF0E"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49797148" w14:textId="77777777" w:rsidR="00863311" w:rsidRPr="00C203AE" w:rsidRDefault="00863311" w:rsidP="00863311">
            <w:pPr>
              <w:pStyle w:val="TableText"/>
              <w:tabs>
                <w:tab w:val="left" w:pos="3306"/>
              </w:tabs>
              <w:rPr>
                <w:rFonts w:cs="Calibri"/>
                <w:b/>
                <w:bCs/>
              </w:rPr>
            </w:pPr>
            <w:bookmarkStart w:id="840" w:name="_Toc48468780"/>
            <w:bookmarkStart w:id="841" w:name="_Toc49155850"/>
            <w:bookmarkStart w:id="842" w:name="_Toc49224261"/>
            <w:r w:rsidRPr="00C203AE">
              <w:rPr>
                <w:rFonts w:cs="Calibri"/>
                <w:b/>
                <w:bCs/>
              </w:rPr>
              <w:t>Total Assets</w:t>
            </w:r>
            <w:bookmarkEnd w:id="840"/>
            <w:bookmarkEnd w:id="841"/>
            <w:bookmarkEnd w:id="842"/>
          </w:p>
        </w:tc>
        <w:tc>
          <w:tcPr>
            <w:tcW w:w="672" w:type="dxa"/>
            <w:tcBorders>
              <w:top w:val="nil"/>
              <w:left w:val="nil"/>
              <w:bottom w:val="nil"/>
              <w:right w:val="nil"/>
            </w:tcBorders>
            <w:vAlign w:val="bottom"/>
          </w:tcPr>
          <w:p w14:paraId="52FBBA66"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1E2AB81E" w14:textId="58ED914A"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67E6214D" w14:textId="4247D61B"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02986EFA" w14:textId="0CB62220" w:rsidR="00863311" w:rsidRPr="00C203AE" w:rsidRDefault="00863311" w:rsidP="00863311">
            <w:pPr>
              <w:pStyle w:val="TableText"/>
              <w:tabs>
                <w:tab w:val="left" w:pos="3306"/>
              </w:tabs>
              <w:jc w:val="right"/>
              <w:rPr>
                <w:rFonts w:cs="Calibri"/>
                <w:b/>
                <w:bCs/>
              </w:rPr>
            </w:pPr>
          </w:p>
        </w:tc>
      </w:tr>
      <w:tr w:rsidR="00863311" w:rsidRPr="00CF7E1B" w14:paraId="25A6BEF5"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41E4D87"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6990ECFC"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7E0818B"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nil"/>
              <w:right w:val="nil"/>
            </w:tcBorders>
            <w:vAlign w:val="bottom"/>
          </w:tcPr>
          <w:p w14:paraId="7AD6B751" w14:textId="77777777" w:rsidR="00863311" w:rsidRPr="00C203AE" w:rsidRDefault="00863311" w:rsidP="00863311">
            <w:pPr>
              <w:pStyle w:val="TableText"/>
              <w:tabs>
                <w:tab w:val="left" w:pos="3306"/>
              </w:tabs>
              <w:jc w:val="right"/>
              <w:rPr>
                <w:rFonts w:cs="Calibri"/>
              </w:rPr>
            </w:pPr>
          </w:p>
        </w:tc>
        <w:tc>
          <w:tcPr>
            <w:tcW w:w="1234" w:type="dxa"/>
            <w:tcBorders>
              <w:top w:val="single" w:sz="2" w:space="0" w:color="auto"/>
              <w:left w:val="nil"/>
              <w:bottom w:val="nil"/>
              <w:right w:val="nil"/>
            </w:tcBorders>
            <w:vAlign w:val="bottom"/>
          </w:tcPr>
          <w:p w14:paraId="1A438827" w14:textId="77777777" w:rsidR="00863311" w:rsidRPr="00C203AE" w:rsidRDefault="00863311" w:rsidP="00863311">
            <w:pPr>
              <w:pStyle w:val="TableText"/>
              <w:tabs>
                <w:tab w:val="left" w:pos="3306"/>
              </w:tabs>
              <w:jc w:val="right"/>
              <w:rPr>
                <w:rFonts w:cs="Calibri"/>
              </w:rPr>
            </w:pPr>
          </w:p>
        </w:tc>
        <w:tc>
          <w:tcPr>
            <w:tcW w:w="1201" w:type="dxa"/>
            <w:tcBorders>
              <w:top w:val="single" w:sz="2" w:space="0" w:color="auto"/>
              <w:left w:val="nil"/>
              <w:bottom w:val="nil"/>
              <w:right w:val="nil"/>
            </w:tcBorders>
            <w:vAlign w:val="bottom"/>
          </w:tcPr>
          <w:p w14:paraId="2BCAFF09" w14:textId="77777777" w:rsidR="00863311" w:rsidRPr="00C203AE" w:rsidRDefault="00863311" w:rsidP="00863311">
            <w:pPr>
              <w:pStyle w:val="TableText"/>
              <w:tabs>
                <w:tab w:val="left" w:pos="3306"/>
              </w:tabs>
              <w:jc w:val="right"/>
              <w:rPr>
                <w:rFonts w:cs="Calibri"/>
              </w:rPr>
            </w:pPr>
          </w:p>
        </w:tc>
      </w:tr>
      <w:tr w:rsidR="00863311" w:rsidRPr="00CF7E1B" w14:paraId="5CC98868"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8F889CF" w14:textId="77777777" w:rsidR="00863311" w:rsidRPr="00C203AE" w:rsidRDefault="00863311" w:rsidP="00256E61">
            <w:pPr>
              <w:pStyle w:val="TableReference"/>
              <w:tabs>
                <w:tab w:val="left" w:pos="3306"/>
              </w:tabs>
              <w:spacing w:before="40"/>
              <w:ind w:left="-272" w:firstLine="272"/>
              <w:rPr>
                <w:rFonts w:cs="Calibri"/>
                <w:color w:val="7030A0"/>
                <w:sz w:val="14"/>
              </w:rPr>
            </w:pPr>
          </w:p>
        </w:tc>
        <w:tc>
          <w:tcPr>
            <w:tcW w:w="4604" w:type="dxa"/>
            <w:tcBorders>
              <w:top w:val="nil"/>
              <w:left w:val="single" w:sz="2" w:space="0" w:color="auto"/>
              <w:bottom w:val="nil"/>
              <w:right w:val="nil"/>
            </w:tcBorders>
            <w:vAlign w:val="bottom"/>
          </w:tcPr>
          <w:p w14:paraId="41CB84A5" w14:textId="77777777" w:rsidR="00863311" w:rsidRPr="00C203AE" w:rsidRDefault="00863311" w:rsidP="00863311">
            <w:pPr>
              <w:pStyle w:val="TableText"/>
              <w:tabs>
                <w:tab w:val="left" w:pos="3306"/>
              </w:tabs>
              <w:rPr>
                <w:rFonts w:cs="Calibri"/>
                <w:b/>
                <w:bCs/>
              </w:rPr>
            </w:pPr>
            <w:bookmarkStart w:id="843" w:name="_Toc48468781"/>
            <w:bookmarkStart w:id="844" w:name="_Toc49155851"/>
            <w:bookmarkStart w:id="845" w:name="_Toc49224262"/>
            <w:r w:rsidRPr="00C203AE">
              <w:rPr>
                <w:rFonts w:cs="Calibri"/>
                <w:b/>
                <w:bCs/>
              </w:rPr>
              <w:t>Current Liabilities</w:t>
            </w:r>
            <w:bookmarkEnd w:id="843"/>
            <w:bookmarkEnd w:id="844"/>
            <w:bookmarkEnd w:id="845"/>
          </w:p>
        </w:tc>
        <w:tc>
          <w:tcPr>
            <w:tcW w:w="672" w:type="dxa"/>
            <w:tcBorders>
              <w:top w:val="nil"/>
              <w:left w:val="nil"/>
              <w:bottom w:val="nil"/>
              <w:right w:val="nil"/>
            </w:tcBorders>
            <w:vAlign w:val="bottom"/>
          </w:tcPr>
          <w:p w14:paraId="37AC7B7E"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6F0A6A89"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7DA5FAD5"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6394C153" w14:textId="77777777" w:rsidR="00863311" w:rsidRPr="00C203AE" w:rsidRDefault="00863311" w:rsidP="00863311">
            <w:pPr>
              <w:pStyle w:val="TableText"/>
              <w:tabs>
                <w:tab w:val="left" w:pos="3306"/>
              </w:tabs>
              <w:jc w:val="right"/>
              <w:rPr>
                <w:rFonts w:cs="Calibri"/>
              </w:rPr>
            </w:pPr>
          </w:p>
        </w:tc>
      </w:tr>
      <w:tr w:rsidR="00863311" w:rsidRPr="00CF7E1B" w14:paraId="0F8D45F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A82F644"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7(d)</w:t>
            </w:r>
          </w:p>
        </w:tc>
        <w:tc>
          <w:tcPr>
            <w:tcW w:w="4604" w:type="dxa"/>
            <w:tcBorders>
              <w:top w:val="nil"/>
              <w:left w:val="single" w:sz="2" w:space="0" w:color="auto"/>
              <w:bottom w:val="nil"/>
              <w:right w:val="nil"/>
            </w:tcBorders>
            <w:vAlign w:val="bottom"/>
          </w:tcPr>
          <w:p w14:paraId="4D2E6B8A" w14:textId="77777777" w:rsidR="00863311" w:rsidRPr="00C203AE" w:rsidRDefault="00863311" w:rsidP="00863311">
            <w:pPr>
              <w:pStyle w:val="TableText"/>
              <w:tabs>
                <w:tab w:val="left" w:pos="3306"/>
              </w:tabs>
              <w:rPr>
                <w:rFonts w:cs="Calibri"/>
              </w:rPr>
            </w:pPr>
            <w:r w:rsidRPr="00C203AE">
              <w:rPr>
                <w:rFonts w:cs="Calibri"/>
              </w:rPr>
              <w:t>Payables</w:t>
            </w:r>
          </w:p>
        </w:tc>
        <w:tc>
          <w:tcPr>
            <w:tcW w:w="672" w:type="dxa"/>
            <w:tcBorders>
              <w:top w:val="nil"/>
              <w:left w:val="nil"/>
              <w:bottom w:val="nil"/>
              <w:right w:val="nil"/>
            </w:tcBorders>
            <w:vAlign w:val="bottom"/>
          </w:tcPr>
          <w:p w14:paraId="08E06900" w14:textId="32A91CEE" w:rsidR="00863311" w:rsidRPr="00C203AE" w:rsidRDefault="00B40325" w:rsidP="005354D4">
            <w:pPr>
              <w:pStyle w:val="TableText"/>
              <w:tabs>
                <w:tab w:val="left" w:pos="3306"/>
              </w:tabs>
              <w:jc w:val="center"/>
              <w:rPr>
                <w:rFonts w:cs="Calibri"/>
                <w:strike/>
              </w:rPr>
            </w:pPr>
            <w:r w:rsidRPr="00C203AE">
              <w:rPr>
                <w:rFonts w:cs="Calibri"/>
              </w:rPr>
              <w:t>49</w:t>
            </w:r>
          </w:p>
        </w:tc>
        <w:tc>
          <w:tcPr>
            <w:tcW w:w="1113" w:type="dxa"/>
            <w:tcBorders>
              <w:top w:val="nil"/>
              <w:left w:val="nil"/>
              <w:bottom w:val="nil"/>
              <w:right w:val="nil"/>
            </w:tcBorders>
            <w:vAlign w:val="bottom"/>
          </w:tcPr>
          <w:p w14:paraId="2428CCA4" w14:textId="3C745C2A"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4C3F666D" w14:textId="67B240FF"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37493BF0" w14:textId="2CEBA8AA" w:rsidR="00863311" w:rsidRPr="00C203AE" w:rsidRDefault="00863311" w:rsidP="00863311">
            <w:pPr>
              <w:pStyle w:val="TableText"/>
              <w:tabs>
                <w:tab w:val="left" w:pos="3306"/>
              </w:tabs>
              <w:jc w:val="right"/>
              <w:rPr>
                <w:rFonts w:cs="Calibri"/>
              </w:rPr>
            </w:pPr>
          </w:p>
        </w:tc>
      </w:tr>
      <w:tr w:rsidR="000610F9" w:rsidRPr="00CF7E1B" w14:paraId="4D6B94D2"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066B321" w14:textId="64BA4FA3" w:rsidR="000610F9" w:rsidRPr="00C203AE" w:rsidRDefault="000610F9" w:rsidP="00256E61">
            <w:pPr>
              <w:pStyle w:val="TableReference"/>
              <w:tabs>
                <w:tab w:val="left" w:pos="3306"/>
              </w:tabs>
              <w:spacing w:before="40"/>
              <w:ind w:left="-272" w:firstLine="272"/>
              <w:rPr>
                <w:rFonts w:cs="Calibri"/>
                <w:color w:val="7030A0"/>
                <w:sz w:val="14"/>
              </w:rPr>
            </w:pPr>
            <w:r w:rsidRPr="00C203AE">
              <w:rPr>
                <w:rFonts w:cs="Calibri"/>
                <w:color w:val="7030A0"/>
                <w:sz w:val="14"/>
              </w:rPr>
              <w:t>AASB 1050.7(d)</w:t>
            </w:r>
          </w:p>
        </w:tc>
        <w:tc>
          <w:tcPr>
            <w:tcW w:w="4604" w:type="dxa"/>
            <w:tcBorders>
              <w:top w:val="nil"/>
              <w:left w:val="single" w:sz="2" w:space="0" w:color="auto"/>
              <w:bottom w:val="nil"/>
              <w:right w:val="nil"/>
            </w:tcBorders>
            <w:vAlign w:val="bottom"/>
          </w:tcPr>
          <w:p w14:paraId="4EF2A57F" w14:textId="417C07F3" w:rsidR="000610F9" w:rsidRPr="00C203AE" w:rsidRDefault="000610F9" w:rsidP="00863311">
            <w:pPr>
              <w:pStyle w:val="TableText"/>
              <w:tabs>
                <w:tab w:val="left" w:pos="3306"/>
              </w:tabs>
              <w:rPr>
                <w:rFonts w:cs="Calibri"/>
              </w:rPr>
            </w:pPr>
            <w:r w:rsidRPr="00C203AE">
              <w:rPr>
                <w:rFonts w:cs="Calibri"/>
              </w:rPr>
              <w:t>Other Provisions</w:t>
            </w:r>
          </w:p>
        </w:tc>
        <w:tc>
          <w:tcPr>
            <w:tcW w:w="672" w:type="dxa"/>
            <w:tcBorders>
              <w:top w:val="nil"/>
              <w:left w:val="nil"/>
              <w:bottom w:val="nil"/>
              <w:right w:val="nil"/>
            </w:tcBorders>
            <w:vAlign w:val="bottom"/>
          </w:tcPr>
          <w:p w14:paraId="4DC3CEEE" w14:textId="43544502" w:rsidR="000610F9" w:rsidRPr="00C203AE" w:rsidRDefault="001F7F23" w:rsidP="00D91F97">
            <w:pPr>
              <w:pStyle w:val="TableText"/>
              <w:tabs>
                <w:tab w:val="left" w:pos="3306"/>
              </w:tabs>
              <w:jc w:val="center"/>
              <w:rPr>
                <w:rFonts w:cs="Calibri"/>
              </w:rPr>
            </w:pPr>
            <w:r w:rsidRPr="00C203AE">
              <w:rPr>
                <w:rFonts w:cs="Calibri"/>
              </w:rPr>
              <w:t>5</w:t>
            </w:r>
            <w:r w:rsidR="00B40325" w:rsidRPr="00C203AE">
              <w:rPr>
                <w:rFonts w:cs="Calibri"/>
              </w:rPr>
              <w:t>0</w:t>
            </w:r>
          </w:p>
        </w:tc>
        <w:tc>
          <w:tcPr>
            <w:tcW w:w="1113" w:type="dxa"/>
            <w:tcBorders>
              <w:top w:val="nil"/>
              <w:left w:val="nil"/>
              <w:bottom w:val="nil"/>
              <w:right w:val="nil"/>
            </w:tcBorders>
            <w:vAlign w:val="bottom"/>
          </w:tcPr>
          <w:p w14:paraId="6BE65979" w14:textId="77777777" w:rsidR="000610F9" w:rsidRPr="00C203AE" w:rsidRDefault="000610F9"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7F036F10" w14:textId="77777777" w:rsidR="000610F9" w:rsidRPr="00C203AE" w:rsidRDefault="000610F9"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41C8BF9C" w14:textId="77777777" w:rsidR="000610F9" w:rsidRPr="00C203AE" w:rsidRDefault="000610F9" w:rsidP="00863311">
            <w:pPr>
              <w:pStyle w:val="TableText"/>
              <w:tabs>
                <w:tab w:val="left" w:pos="3306"/>
              </w:tabs>
              <w:jc w:val="right"/>
              <w:rPr>
                <w:rFonts w:cs="Calibri"/>
              </w:rPr>
            </w:pPr>
          </w:p>
        </w:tc>
      </w:tr>
      <w:tr w:rsidR="00863311" w:rsidRPr="00CF7E1B" w14:paraId="039EF3E9"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9C13400" w14:textId="77777777" w:rsidR="00863311" w:rsidRPr="00C203AE" w:rsidRDefault="00863311" w:rsidP="00256E61">
            <w:pPr>
              <w:pStyle w:val="TableReference"/>
              <w:tabs>
                <w:tab w:val="left" w:pos="3306"/>
              </w:tabs>
              <w:spacing w:before="40"/>
              <w:ind w:left="-272" w:firstLine="272"/>
              <w:rPr>
                <w:rFonts w:cs="Calibri"/>
                <w:color w:val="7030A0"/>
                <w:sz w:val="14"/>
                <w:highlight w:val="cyan"/>
              </w:rPr>
            </w:pPr>
            <w:r w:rsidRPr="00C203AE">
              <w:rPr>
                <w:rFonts w:cs="Calibri"/>
                <w:color w:val="7030A0"/>
                <w:sz w:val="14"/>
              </w:rPr>
              <w:t>AASB 1050</w:t>
            </w:r>
            <w:r w:rsidR="00D65811" w:rsidRPr="00C203AE">
              <w:rPr>
                <w:rFonts w:cs="Calibri"/>
                <w:color w:val="7030A0"/>
                <w:sz w:val="14"/>
              </w:rPr>
              <w:t>.</w:t>
            </w:r>
            <w:r w:rsidRPr="00C203AE">
              <w:rPr>
                <w:rFonts w:cs="Calibri"/>
                <w:color w:val="7030A0"/>
                <w:sz w:val="14"/>
              </w:rPr>
              <w:t>7(d)</w:t>
            </w:r>
          </w:p>
        </w:tc>
        <w:tc>
          <w:tcPr>
            <w:tcW w:w="4604" w:type="dxa"/>
            <w:tcBorders>
              <w:top w:val="nil"/>
              <w:left w:val="single" w:sz="2" w:space="0" w:color="auto"/>
              <w:bottom w:val="nil"/>
              <w:right w:val="nil"/>
            </w:tcBorders>
            <w:vAlign w:val="bottom"/>
          </w:tcPr>
          <w:p w14:paraId="43F4AABB" w14:textId="77777777" w:rsidR="00863311" w:rsidRPr="00C203AE" w:rsidRDefault="00863311" w:rsidP="00863311">
            <w:pPr>
              <w:pStyle w:val="TableText"/>
              <w:tabs>
                <w:tab w:val="left" w:pos="3306"/>
              </w:tabs>
              <w:rPr>
                <w:rFonts w:cs="Calibri"/>
              </w:rPr>
            </w:pPr>
            <w:r w:rsidRPr="00C203AE">
              <w:rPr>
                <w:rFonts w:cs="Calibri"/>
              </w:rPr>
              <w:t>Other Liabilities</w:t>
            </w:r>
          </w:p>
        </w:tc>
        <w:tc>
          <w:tcPr>
            <w:tcW w:w="672" w:type="dxa"/>
            <w:tcBorders>
              <w:top w:val="nil"/>
              <w:left w:val="nil"/>
              <w:bottom w:val="nil"/>
              <w:right w:val="nil"/>
            </w:tcBorders>
            <w:vAlign w:val="bottom"/>
          </w:tcPr>
          <w:p w14:paraId="1C46B3C2" w14:textId="336A2FA8" w:rsidR="00863311" w:rsidRPr="00C203AE" w:rsidRDefault="00354061" w:rsidP="00D91F97">
            <w:pPr>
              <w:pStyle w:val="TableText"/>
              <w:tabs>
                <w:tab w:val="left" w:pos="3306"/>
              </w:tabs>
              <w:jc w:val="center"/>
              <w:rPr>
                <w:rFonts w:cs="Calibri"/>
                <w:strike/>
              </w:rPr>
            </w:pPr>
            <w:r w:rsidRPr="00C203AE">
              <w:rPr>
                <w:rFonts w:cs="Calibri"/>
              </w:rPr>
              <w:t>5</w:t>
            </w:r>
            <w:r w:rsidR="001220C0" w:rsidRPr="00C203AE">
              <w:rPr>
                <w:rFonts w:cs="Calibri"/>
              </w:rPr>
              <w:t>1</w:t>
            </w:r>
          </w:p>
        </w:tc>
        <w:tc>
          <w:tcPr>
            <w:tcW w:w="1113" w:type="dxa"/>
            <w:tcBorders>
              <w:top w:val="nil"/>
              <w:left w:val="nil"/>
              <w:bottom w:val="single" w:sz="2" w:space="0" w:color="auto"/>
              <w:right w:val="nil"/>
            </w:tcBorders>
            <w:vAlign w:val="bottom"/>
          </w:tcPr>
          <w:p w14:paraId="5F6ADB90" w14:textId="7260FD9D"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21760519" w14:textId="4C80559B"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47AE4522" w14:textId="570095D1" w:rsidR="00863311" w:rsidRPr="00C203AE" w:rsidRDefault="00863311" w:rsidP="00863311">
            <w:pPr>
              <w:pStyle w:val="TableText"/>
              <w:tabs>
                <w:tab w:val="left" w:pos="3306"/>
              </w:tabs>
              <w:jc w:val="right"/>
              <w:rPr>
                <w:rFonts w:cs="Calibri"/>
              </w:rPr>
            </w:pPr>
          </w:p>
        </w:tc>
      </w:tr>
      <w:tr w:rsidR="00863311" w:rsidRPr="00CF7E1B" w14:paraId="47402D01"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3FFDADC"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97BD9A8" w14:textId="77777777" w:rsidR="00863311" w:rsidRPr="00C203AE" w:rsidRDefault="00863311" w:rsidP="00863311">
            <w:pPr>
              <w:pStyle w:val="TableText"/>
              <w:tabs>
                <w:tab w:val="left" w:pos="3306"/>
              </w:tabs>
              <w:rPr>
                <w:rFonts w:cs="Calibri"/>
                <w:b/>
                <w:bCs/>
              </w:rPr>
            </w:pPr>
            <w:bookmarkStart w:id="846" w:name="_Toc48468782"/>
            <w:bookmarkStart w:id="847" w:name="_Toc49155852"/>
            <w:bookmarkStart w:id="848" w:name="_Toc49224263"/>
            <w:r w:rsidRPr="00C203AE">
              <w:rPr>
                <w:rFonts w:cs="Calibri"/>
                <w:b/>
                <w:bCs/>
              </w:rPr>
              <w:t>Total Current Liabilities</w:t>
            </w:r>
            <w:bookmarkEnd w:id="846"/>
            <w:bookmarkEnd w:id="847"/>
            <w:bookmarkEnd w:id="848"/>
          </w:p>
        </w:tc>
        <w:tc>
          <w:tcPr>
            <w:tcW w:w="672" w:type="dxa"/>
            <w:tcBorders>
              <w:top w:val="nil"/>
              <w:left w:val="nil"/>
              <w:bottom w:val="nil"/>
              <w:right w:val="nil"/>
            </w:tcBorders>
            <w:vAlign w:val="bottom"/>
          </w:tcPr>
          <w:p w14:paraId="6F59AA31"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single" w:sz="2" w:space="0" w:color="auto"/>
              <w:right w:val="nil"/>
            </w:tcBorders>
            <w:vAlign w:val="bottom"/>
          </w:tcPr>
          <w:p w14:paraId="5DE3016D" w14:textId="1C9BFC21"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68BA9487" w14:textId="0B60D36F"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58E0E864" w14:textId="0DEE55DE" w:rsidR="00863311" w:rsidRPr="00C203AE" w:rsidRDefault="00863311" w:rsidP="00863311">
            <w:pPr>
              <w:pStyle w:val="TableText"/>
              <w:tabs>
                <w:tab w:val="left" w:pos="3306"/>
              </w:tabs>
              <w:jc w:val="right"/>
              <w:rPr>
                <w:rFonts w:cs="Calibri"/>
                <w:b/>
                <w:bCs/>
              </w:rPr>
            </w:pPr>
          </w:p>
        </w:tc>
      </w:tr>
      <w:tr w:rsidR="00863311" w:rsidRPr="00CF7E1B" w14:paraId="0B34F62F"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609EC170" w14:textId="77777777" w:rsidR="00863311" w:rsidRPr="00C203AE" w:rsidRDefault="00863311" w:rsidP="009116A2">
            <w:pPr>
              <w:pStyle w:val="TableReference"/>
              <w:tabs>
                <w:tab w:val="left" w:pos="3306"/>
              </w:tabs>
              <w:spacing w:before="40"/>
              <w:rPr>
                <w:rFonts w:cs="Calibri"/>
                <w:color w:val="7030A0"/>
                <w:sz w:val="16"/>
                <w:szCs w:val="16"/>
              </w:rPr>
            </w:pPr>
          </w:p>
        </w:tc>
        <w:tc>
          <w:tcPr>
            <w:tcW w:w="4604" w:type="dxa"/>
            <w:tcBorders>
              <w:top w:val="nil"/>
              <w:left w:val="single" w:sz="2" w:space="0" w:color="auto"/>
              <w:bottom w:val="nil"/>
              <w:right w:val="nil"/>
            </w:tcBorders>
            <w:vAlign w:val="bottom"/>
          </w:tcPr>
          <w:p w14:paraId="456FBDCE" w14:textId="77777777" w:rsidR="00863311" w:rsidRPr="00C203AE" w:rsidRDefault="00863311" w:rsidP="00863311">
            <w:pPr>
              <w:pStyle w:val="TableText"/>
              <w:tabs>
                <w:tab w:val="left" w:pos="3306"/>
              </w:tabs>
              <w:rPr>
                <w:rFonts w:cs="Calibri"/>
                <w:b/>
                <w:bCs/>
              </w:rPr>
            </w:pPr>
            <w:r w:rsidRPr="00C203AE">
              <w:rPr>
                <w:rFonts w:cs="Calibri"/>
                <w:b/>
                <w:bCs/>
              </w:rPr>
              <w:t>Total Liabilities</w:t>
            </w:r>
          </w:p>
        </w:tc>
        <w:tc>
          <w:tcPr>
            <w:tcW w:w="672" w:type="dxa"/>
            <w:tcBorders>
              <w:top w:val="nil"/>
              <w:left w:val="nil"/>
              <w:bottom w:val="nil"/>
              <w:right w:val="nil"/>
            </w:tcBorders>
            <w:vAlign w:val="bottom"/>
          </w:tcPr>
          <w:p w14:paraId="6AD169B1"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single" w:sz="2" w:space="0" w:color="auto"/>
              <w:right w:val="nil"/>
            </w:tcBorders>
            <w:vAlign w:val="bottom"/>
          </w:tcPr>
          <w:p w14:paraId="7ED08DAE" w14:textId="1E0181C8"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single" w:sz="2" w:space="0" w:color="auto"/>
              <w:right w:val="nil"/>
            </w:tcBorders>
            <w:vAlign w:val="bottom"/>
          </w:tcPr>
          <w:p w14:paraId="21D83915" w14:textId="336AA9D1"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single" w:sz="2" w:space="0" w:color="auto"/>
              <w:right w:val="nil"/>
            </w:tcBorders>
            <w:vAlign w:val="bottom"/>
          </w:tcPr>
          <w:p w14:paraId="7F12B19E" w14:textId="2724374F" w:rsidR="00863311" w:rsidRPr="00C203AE" w:rsidRDefault="00863311" w:rsidP="00863311">
            <w:pPr>
              <w:pStyle w:val="TableText"/>
              <w:tabs>
                <w:tab w:val="left" w:pos="3306"/>
              </w:tabs>
              <w:jc w:val="right"/>
              <w:rPr>
                <w:rFonts w:cs="Calibri"/>
                <w:b/>
                <w:bCs/>
              </w:rPr>
            </w:pPr>
          </w:p>
        </w:tc>
      </w:tr>
      <w:tr w:rsidR="00863311" w:rsidRPr="00CF7E1B" w14:paraId="49016793"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9D51F40"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01C9A3D"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455F4A4" w14:textId="77777777" w:rsidR="00863311" w:rsidRPr="00C203AE" w:rsidRDefault="00863311" w:rsidP="00863311">
            <w:pPr>
              <w:pStyle w:val="TableText"/>
              <w:tabs>
                <w:tab w:val="left" w:pos="3306"/>
              </w:tabs>
              <w:jc w:val="center"/>
              <w:rPr>
                <w:rFonts w:cs="Calibri"/>
              </w:rPr>
            </w:pPr>
          </w:p>
        </w:tc>
        <w:tc>
          <w:tcPr>
            <w:tcW w:w="1113" w:type="dxa"/>
            <w:tcBorders>
              <w:top w:val="single" w:sz="2" w:space="0" w:color="auto"/>
              <w:left w:val="nil"/>
              <w:bottom w:val="single" w:sz="2" w:space="0" w:color="auto"/>
              <w:right w:val="nil"/>
            </w:tcBorders>
            <w:vAlign w:val="bottom"/>
          </w:tcPr>
          <w:p w14:paraId="209739A8" w14:textId="77777777" w:rsidR="00863311" w:rsidRPr="00C203AE" w:rsidRDefault="00863311" w:rsidP="00863311">
            <w:pPr>
              <w:pStyle w:val="TableText"/>
              <w:tabs>
                <w:tab w:val="left" w:pos="3306"/>
              </w:tabs>
              <w:jc w:val="right"/>
              <w:rPr>
                <w:rFonts w:cs="Calibri"/>
              </w:rPr>
            </w:pPr>
          </w:p>
        </w:tc>
        <w:tc>
          <w:tcPr>
            <w:tcW w:w="1234" w:type="dxa"/>
            <w:tcBorders>
              <w:top w:val="single" w:sz="2" w:space="0" w:color="auto"/>
              <w:left w:val="nil"/>
              <w:bottom w:val="single" w:sz="2" w:space="0" w:color="auto"/>
              <w:right w:val="nil"/>
            </w:tcBorders>
            <w:vAlign w:val="bottom"/>
          </w:tcPr>
          <w:p w14:paraId="648BA218" w14:textId="77777777" w:rsidR="00863311" w:rsidRPr="00C203AE" w:rsidRDefault="00863311" w:rsidP="00863311">
            <w:pPr>
              <w:pStyle w:val="TableText"/>
              <w:tabs>
                <w:tab w:val="left" w:pos="3306"/>
              </w:tabs>
              <w:jc w:val="right"/>
              <w:rPr>
                <w:rFonts w:cs="Calibri"/>
              </w:rPr>
            </w:pPr>
          </w:p>
        </w:tc>
        <w:tc>
          <w:tcPr>
            <w:tcW w:w="1201" w:type="dxa"/>
            <w:tcBorders>
              <w:top w:val="single" w:sz="2" w:space="0" w:color="auto"/>
              <w:left w:val="nil"/>
              <w:bottom w:val="single" w:sz="2" w:space="0" w:color="auto"/>
              <w:right w:val="nil"/>
            </w:tcBorders>
            <w:vAlign w:val="bottom"/>
          </w:tcPr>
          <w:p w14:paraId="5BD6582C" w14:textId="77777777" w:rsidR="00863311" w:rsidRPr="00C203AE" w:rsidRDefault="00863311" w:rsidP="00863311">
            <w:pPr>
              <w:pStyle w:val="TableText"/>
              <w:tabs>
                <w:tab w:val="left" w:pos="3306"/>
              </w:tabs>
              <w:jc w:val="right"/>
              <w:rPr>
                <w:rFonts w:cs="Calibri"/>
              </w:rPr>
            </w:pPr>
          </w:p>
        </w:tc>
      </w:tr>
      <w:tr w:rsidR="00863311" w:rsidRPr="00CF7E1B" w14:paraId="2F5FB50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55EF5934"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A3E01D2" w14:textId="77777777" w:rsidR="00863311" w:rsidRPr="00C203AE" w:rsidRDefault="00863311" w:rsidP="00863311">
            <w:pPr>
              <w:pStyle w:val="TableText"/>
              <w:tabs>
                <w:tab w:val="left" w:pos="3306"/>
              </w:tabs>
              <w:rPr>
                <w:rFonts w:cs="Calibri"/>
                <w:b/>
                <w:bCs/>
              </w:rPr>
            </w:pPr>
            <w:bookmarkStart w:id="849" w:name="_Toc48468786"/>
            <w:bookmarkStart w:id="850" w:name="_Toc49155856"/>
            <w:bookmarkStart w:id="851" w:name="_Toc49224267"/>
            <w:r w:rsidRPr="00C203AE">
              <w:rPr>
                <w:rFonts w:cs="Calibri"/>
                <w:b/>
                <w:bCs/>
              </w:rPr>
              <w:t>Net Assets</w:t>
            </w:r>
            <w:bookmarkEnd w:id="849"/>
            <w:bookmarkEnd w:id="850"/>
            <w:bookmarkEnd w:id="851"/>
          </w:p>
        </w:tc>
        <w:tc>
          <w:tcPr>
            <w:tcW w:w="672" w:type="dxa"/>
            <w:tcBorders>
              <w:top w:val="nil"/>
              <w:left w:val="nil"/>
              <w:bottom w:val="nil"/>
              <w:right w:val="nil"/>
            </w:tcBorders>
            <w:vAlign w:val="bottom"/>
          </w:tcPr>
          <w:p w14:paraId="17D8BEA4"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double" w:sz="4" w:space="0" w:color="auto"/>
              <w:right w:val="nil"/>
            </w:tcBorders>
            <w:vAlign w:val="bottom"/>
          </w:tcPr>
          <w:p w14:paraId="71165BE3" w14:textId="131B6D0F"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double" w:sz="4" w:space="0" w:color="auto"/>
              <w:right w:val="nil"/>
            </w:tcBorders>
            <w:vAlign w:val="bottom"/>
          </w:tcPr>
          <w:p w14:paraId="01D00A28" w14:textId="642FA6B5"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double" w:sz="4" w:space="0" w:color="auto"/>
              <w:right w:val="nil"/>
            </w:tcBorders>
            <w:vAlign w:val="bottom"/>
          </w:tcPr>
          <w:p w14:paraId="25224938" w14:textId="390DDEF8" w:rsidR="00863311" w:rsidRPr="00C203AE" w:rsidRDefault="00863311" w:rsidP="00863311">
            <w:pPr>
              <w:pStyle w:val="TableText"/>
              <w:tabs>
                <w:tab w:val="left" w:pos="3306"/>
              </w:tabs>
              <w:jc w:val="right"/>
              <w:rPr>
                <w:rFonts w:cs="Calibri"/>
                <w:b/>
                <w:bCs/>
              </w:rPr>
            </w:pPr>
          </w:p>
        </w:tc>
      </w:tr>
      <w:tr w:rsidR="00863311" w:rsidRPr="00CF7E1B" w14:paraId="061CE01C"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05B08332"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5FA5CABC" w14:textId="77777777" w:rsidR="00863311" w:rsidRPr="00C203AE" w:rsidRDefault="00863311" w:rsidP="00863311">
            <w:pPr>
              <w:pStyle w:val="TableText"/>
              <w:tabs>
                <w:tab w:val="left" w:pos="3306"/>
              </w:tabs>
              <w:rPr>
                <w:rFonts w:cs="Calibri"/>
              </w:rPr>
            </w:pPr>
          </w:p>
        </w:tc>
        <w:tc>
          <w:tcPr>
            <w:tcW w:w="672" w:type="dxa"/>
            <w:tcBorders>
              <w:top w:val="nil"/>
              <w:left w:val="nil"/>
              <w:bottom w:val="nil"/>
              <w:right w:val="nil"/>
            </w:tcBorders>
            <w:vAlign w:val="bottom"/>
          </w:tcPr>
          <w:p w14:paraId="765F89A0" w14:textId="77777777" w:rsidR="00863311" w:rsidRPr="00C203AE" w:rsidRDefault="00863311" w:rsidP="00863311">
            <w:pPr>
              <w:pStyle w:val="TableText"/>
              <w:tabs>
                <w:tab w:val="left" w:pos="3306"/>
              </w:tabs>
              <w:jc w:val="center"/>
              <w:rPr>
                <w:rFonts w:cs="Calibri"/>
              </w:rPr>
            </w:pPr>
          </w:p>
        </w:tc>
        <w:tc>
          <w:tcPr>
            <w:tcW w:w="1113" w:type="dxa"/>
            <w:tcBorders>
              <w:top w:val="double" w:sz="4" w:space="0" w:color="auto"/>
              <w:left w:val="nil"/>
              <w:bottom w:val="nil"/>
              <w:right w:val="nil"/>
            </w:tcBorders>
            <w:vAlign w:val="bottom"/>
          </w:tcPr>
          <w:p w14:paraId="4A2FBE94" w14:textId="77777777" w:rsidR="00863311" w:rsidRPr="00C203AE" w:rsidRDefault="00863311" w:rsidP="00863311">
            <w:pPr>
              <w:pStyle w:val="TableText"/>
              <w:tabs>
                <w:tab w:val="left" w:pos="3306"/>
              </w:tabs>
              <w:jc w:val="right"/>
              <w:rPr>
                <w:rFonts w:cs="Calibri"/>
              </w:rPr>
            </w:pPr>
          </w:p>
        </w:tc>
        <w:tc>
          <w:tcPr>
            <w:tcW w:w="1234" w:type="dxa"/>
            <w:tcBorders>
              <w:top w:val="double" w:sz="4" w:space="0" w:color="auto"/>
              <w:left w:val="nil"/>
              <w:bottom w:val="nil"/>
              <w:right w:val="nil"/>
            </w:tcBorders>
            <w:vAlign w:val="bottom"/>
          </w:tcPr>
          <w:p w14:paraId="24AF0C8F" w14:textId="77777777" w:rsidR="00863311" w:rsidRPr="00C203AE" w:rsidRDefault="00863311" w:rsidP="00863311">
            <w:pPr>
              <w:pStyle w:val="TableText"/>
              <w:tabs>
                <w:tab w:val="left" w:pos="3306"/>
              </w:tabs>
              <w:jc w:val="right"/>
              <w:rPr>
                <w:rFonts w:cs="Calibri"/>
              </w:rPr>
            </w:pPr>
          </w:p>
        </w:tc>
        <w:tc>
          <w:tcPr>
            <w:tcW w:w="1201" w:type="dxa"/>
            <w:tcBorders>
              <w:top w:val="double" w:sz="4" w:space="0" w:color="auto"/>
              <w:left w:val="nil"/>
              <w:bottom w:val="nil"/>
              <w:right w:val="nil"/>
            </w:tcBorders>
            <w:vAlign w:val="bottom"/>
          </w:tcPr>
          <w:p w14:paraId="6A8186CA" w14:textId="77777777" w:rsidR="00863311" w:rsidRPr="00C203AE" w:rsidRDefault="00863311" w:rsidP="00863311">
            <w:pPr>
              <w:pStyle w:val="TableText"/>
              <w:tabs>
                <w:tab w:val="left" w:pos="3306"/>
              </w:tabs>
              <w:jc w:val="right"/>
              <w:rPr>
                <w:rFonts w:cs="Calibri"/>
              </w:rPr>
            </w:pPr>
          </w:p>
        </w:tc>
      </w:tr>
      <w:tr w:rsidR="00863311" w:rsidRPr="00CF7E1B" w14:paraId="5E8FD2B4"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CCE34CB"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2DCC0014" w14:textId="77777777" w:rsidR="00863311" w:rsidRPr="00C203AE" w:rsidRDefault="00863311" w:rsidP="00863311">
            <w:pPr>
              <w:pStyle w:val="TableText"/>
              <w:tabs>
                <w:tab w:val="left" w:pos="3306"/>
              </w:tabs>
              <w:rPr>
                <w:rFonts w:cs="Calibri"/>
                <w:b/>
                <w:bCs/>
              </w:rPr>
            </w:pPr>
            <w:bookmarkStart w:id="852" w:name="_Toc48468787"/>
            <w:bookmarkStart w:id="853" w:name="_Toc49155857"/>
            <w:bookmarkStart w:id="854" w:name="_Toc49224268"/>
            <w:r w:rsidRPr="00C203AE">
              <w:rPr>
                <w:rFonts w:cs="Calibri"/>
                <w:b/>
                <w:bCs/>
              </w:rPr>
              <w:t>Equity</w:t>
            </w:r>
            <w:bookmarkEnd w:id="852"/>
            <w:bookmarkEnd w:id="853"/>
            <w:bookmarkEnd w:id="854"/>
          </w:p>
        </w:tc>
        <w:tc>
          <w:tcPr>
            <w:tcW w:w="672" w:type="dxa"/>
            <w:tcBorders>
              <w:top w:val="nil"/>
              <w:left w:val="nil"/>
              <w:bottom w:val="nil"/>
              <w:right w:val="nil"/>
            </w:tcBorders>
            <w:vAlign w:val="bottom"/>
          </w:tcPr>
          <w:p w14:paraId="062BB8D0"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nil"/>
              <w:right w:val="nil"/>
            </w:tcBorders>
            <w:vAlign w:val="bottom"/>
          </w:tcPr>
          <w:p w14:paraId="565DCA38" w14:textId="77777777" w:rsidR="00863311" w:rsidRPr="00C203AE" w:rsidRDefault="00863311" w:rsidP="00863311">
            <w:pPr>
              <w:pStyle w:val="TableText"/>
              <w:tabs>
                <w:tab w:val="left" w:pos="3306"/>
              </w:tabs>
              <w:jc w:val="right"/>
              <w:rPr>
                <w:rFonts w:cs="Calibri"/>
              </w:rPr>
            </w:pPr>
          </w:p>
        </w:tc>
        <w:tc>
          <w:tcPr>
            <w:tcW w:w="1234" w:type="dxa"/>
            <w:tcBorders>
              <w:top w:val="nil"/>
              <w:left w:val="nil"/>
              <w:bottom w:val="nil"/>
              <w:right w:val="nil"/>
            </w:tcBorders>
            <w:vAlign w:val="bottom"/>
          </w:tcPr>
          <w:p w14:paraId="6723AB32" w14:textId="77777777" w:rsidR="00863311" w:rsidRPr="00C203AE" w:rsidRDefault="00863311" w:rsidP="00863311">
            <w:pPr>
              <w:pStyle w:val="TableText"/>
              <w:tabs>
                <w:tab w:val="left" w:pos="3306"/>
              </w:tabs>
              <w:jc w:val="right"/>
              <w:rPr>
                <w:rFonts w:cs="Calibri"/>
              </w:rPr>
            </w:pPr>
          </w:p>
        </w:tc>
        <w:tc>
          <w:tcPr>
            <w:tcW w:w="1201" w:type="dxa"/>
            <w:tcBorders>
              <w:top w:val="nil"/>
              <w:left w:val="nil"/>
              <w:bottom w:val="nil"/>
              <w:right w:val="nil"/>
            </w:tcBorders>
            <w:vAlign w:val="bottom"/>
          </w:tcPr>
          <w:p w14:paraId="5E6B89BC" w14:textId="77777777" w:rsidR="00863311" w:rsidRPr="00C203AE" w:rsidRDefault="00863311" w:rsidP="00863311">
            <w:pPr>
              <w:pStyle w:val="TableText"/>
              <w:tabs>
                <w:tab w:val="left" w:pos="3306"/>
              </w:tabs>
              <w:jc w:val="right"/>
              <w:rPr>
                <w:rFonts w:cs="Calibri"/>
              </w:rPr>
            </w:pPr>
          </w:p>
        </w:tc>
      </w:tr>
      <w:tr w:rsidR="00863311" w:rsidRPr="00CF7E1B" w14:paraId="48672DB7"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4E932253"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7D98A94F" w14:textId="77777777" w:rsidR="00863311" w:rsidRPr="00C203AE" w:rsidRDefault="00863311" w:rsidP="00863311">
            <w:pPr>
              <w:pStyle w:val="TableText"/>
              <w:tabs>
                <w:tab w:val="left" w:pos="3306"/>
              </w:tabs>
              <w:rPr>
                <w:rFonts w:cs="Calibri"/>
              </w:rPr>
            </w:pPr>
            <w:r w:rsidRPr="00C203AE">
              <w:rPr>
                <w:rFonts w:cs="Calibri"/>
              </w:rPr>
              <w:t>Accumulated Funds</w:t>
            </w:r>
          </w:p>
        </w:tc>
        <w:tc>
          <w:tcPr>
            <w:tcW w:w="672" w:type="dxa"/>
            <w:tcBorders>
              <w:top w:val="nil"/>
              <w:left w:val="nil"/>
              <w:bottom w:val="nil"/>
              <w:right w:val="nil"/>
            </w:tcBorders>
            <w:vAlign w:val="bottom"/>
          </w:tcPr>
          <w:p w14:paraId="64A42FC3" w14:textId="77777777" w:rsidR="00863311" w:rsidRPr="00C203AE" w:rsidRDefault="00863311" w:rsidP="00863311">
            <w:pPr>
              <w:pStyle w:val="TableText"/>
              <w:tabs>
                <w:tab w:val="left" w:pos="3306"/>
              </w:tabs>
              <w:jc w:val="center"/>
              <w:rPr>
                <w:rFonts w:cs="Calibri"/>
              </w:rPr>
            </w:pPr>
          </w:p>
        </w:tc>
        <w:tc>
          <w:tcPr>
            <w:tcW w:w="1113" w:type="dxa"/>
            <w:tcBorders>
              <w:top w:val="nil"/>
              <w:left w:val="nil"/>
              <w:bottom w:val="single" w:sz="2" w:space="0" w:color="auto"/>
              <w:right w:val="nil"/>
            </w:tcBorders>
            <w:vAlign w:val="bottom"/>
          </w:tcPr>
          <w:p w14:paraId="09C9339F" w14:textId="18F906F4" w:rsidR="00863311" w:rsidRPr="00C203AE" w:rsidRDefault="00863311" w:rsidP="00863311">
            <w:pPr>
              <w:pStyle w:val="TableText"/>
              <w:tabs>
                <w:tab w:val="left" w:pos="3306"/>
              </w:tabs>
              <w:jc w:val="right"/>
              <w:rPr>
                <w:rFonts w:cs="Calibri"/>
              </w:rPr>
            </w:pPr>
          </w:p>
        </w:tc>
        <w:tc>
          <w:tcPr>
            <w:tcW w:w="1234" w:type="dxa"/>
            <w:tcBorders>
              <w:top w:val="nil"/>
              <w:left w:val="nil"/>
              <w:bottom w:val="single" w:sz="2" w:space="0" w:color="auto"/>
              <w:right w:val="nil"/>
            </w:tcBorders>
            <w:vAlign w:val="bottom"/>
          </w:tcPr>
          <w:p w14:paraId="06CDFDD5" w14:textId="3E09CC8D" w:rsidR="00863311" w:rsidRPr="00C203AE" w:rsidRDefault="00863311" w:rsidP="00863311">
            <w:pPr>
              <w:pStyle w:val="TableText"/>
              <w:tabs>
                <w:tab w:val="left" w:pos="3306"/>
              </w:tabs>
              <w:jc w:val="right"/>
              <w:rPr>
                <w:rFonts w:cs="Calibri"/>
              </w:rPr>
            </w:pPr>
          </w:p>
        </w:tc>
        <w:tc>
          <w:tcPr>
            <w:tcW w:w="1201" w:type="dxa"/>
            <w:tcBorders>
              <w:top w:val="nil"/>
              <w:left w:val="nil"/>
              <w:bottom w:val="single" w:sz="2" w:space="0" w:color="auto"/>
              <w:right w:val="nil"/>
            </w:tcBorders>
            <w:vAlign w:val="bottom"/>
          </w:tcPr>
          <w:p w14:paraId="278F8828" w14:textId="1E33A33B" w:rsidR="00863311" w:rsidRPr="00C203AE" w:rsidRDefault="00863311" w:rsidP="00863311">
            <w:pPr>
              <w:pStyle w:val="TableText"/>
              <w:tabs>
                <w:tab w:val="left" w:pos="3306"/>
              </w:tabs>
              <w:jc w:val="right"/>
              <w:rPr>
                <w:rFonts w:cs="Calibri"/>
              </w:rPr>
            </w:pPr>
          </w:p>
        </w:tc>
      </w:tr>
      <w:tr w:rsidR="00863311" w:rsidRPr="00CF7E1B" w14:paraId="0B897438"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9518E63"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4604" w:type="dxa"/>
            <w:tcBorders>
              <w:top w:val="nil"/>
              <w:left w:val="single" w:sz="2" w:space="0" w:color="auto"/>
              <w:bottom w:val="nil"/>
              <w:right w:val="nil"/>
            </w:tcBorders>
            <w:vAlign w:val="bottom"/>
          </w:tcPr>
          <w:p w14:paraId="08D03BB1" w14:textId="77777777" w:rsidR="00863311" w:rsidRPr="00C203AE" w:rsidRDefault="00863311" w:rsidP="00863311">
            <w:pPr>
              <w:pStyle w:val="TableText"/>
              <w:tabs>
                <w:tab w:val="left" w:pos="3306"/>
              </w:tabs>
              <w:rPr>
                <w:rFonts w:cs="Calibri"/>
                <w:b/>
                <w:bCs/>
              </w:rPr>
            </w:pPr>
            <w:bookmarkStart w:id="855" w:name="_Toc48468788"/>
            <w:bookmarkStart w:id="856" w:name="_Toc49155858"/>
            <w:bookmarkStart w:id="857" w:name="_Toc49224269"/>
            <w:r w:rsidRPr="00C203AE">
              <w:rPr>
                <w:rFonts w:cs="Calibri"/>
                <w:b/>
                <w:bCs/>
              </w:rPr>
              <w:t>Total Equity</w:t>
            </w:r>
            <w:bookmarkEnd w:id="855"/>
            <w:bookmarkEnd w:id="856"/>
            <w:bookmarkEnd w:id="857"/>
          </w:p>
        </w:tc>
        <w:tc>
          <w:tcPr>
            <w:tcW w:w="672" w:type="dxa"/>
            <w:tcBorders>
              <w:top w:val="nil"/>
              <w:left w:val="nil"/>
              <w:bottom w:val="nil"/>
              <w:right w:val="nil"/>
            </w:tcBorders>
            <w:vAlign w:val="bottom"/>
          </w:tcPr>
          <w:p w14:paraId="378EB2F8" w14:textId="77777777" w:rsidR="00863311" w:rsidRPr="00C203AE" w:rsidRDefault="00863311" w:rsidP="00863311">
            <w:pPr>
              <w:pStyle w:val="TableText"/>
              <w:tabs>
                <w:tab w:val="left" w:pos="3306"/>
              </w:tabs>
              <w:jc w:val="center"/>
              <w:rPr>
                <w:rFonts w:cs="Calibri"/>
                <w:b/>
                <w:bCs/>
              </w:rPr>
            </w:pPr>
          </w:p>
        </w:tc>
        <w:tc>
          <w:tcPr>
            <w:tcW w:w="1113" w:type="dxa"/>
            <w:tcBorders>
              <w:top w:val="single" w:sz="2" w:space="0" w:color="auto"/>
              <w:left w:val="nil"/>
              <w:bottom w:val="double" w:sz="4" w:space="0" w:color="auto"/>
              <w:right w:val="nil"/>
            </w:tcBorders>
            <w:vAlign w:val="bottom"/>
          </w:tcPr>
          <w:p w14:paraId="78749A60" w14:textId="6A27D351" w:rsidR="00863311" w:rsidRPr="00C203AE" w:rsidRDefault="00863311" w:rsidP="00863311">
            <w:pPr>
              <w:pStyle w:val="TableText"/>
              <w:tabs>
                <w:tab w:val="left" w:pos="3306"/>
              </w:tabs>
              <w:jc w:val="right"/>
              <w:rPr>
                <w:rFonts w:cs="Calibri"/>
                <w:b/>
                <w:bCs/>
              </w:rPr>
            </w:pPr>
          </w:p>
        </w:tc>
        <w:tc>
          <w:tcPr>
            <w:tcW w:w="1234" w:type="dxa"/>
            <w:tcBorders>
              <w:top w:val="single" w:sz="2" w:space="0" w:color="auto"/>
              <w:left w:val="nil"/>
              <w:bottom w:val="double" w:sz="4" w:space="0" w:color="auto"/>
              <w:right w:val="nil"/>
            </w:tcBorders>
            <w:vAlign w:val="bottom"/>
          </w:tcPr>
          <w:p w14:paraId="2C533D40" w14:textId="3F3B89F2" w:rsidR="00863311" w:rsidRPr="00C203AE" w:rsidRDefault="00863311" w:rsidP="00863311">
            <w:pPr>
              <w:pStyle w:val="TableText"/>
              <w:tabs>
                <w:tab w:val="left" w:pos="3306"/>
              </w:tabs>
              <w:jc w:val="right"/>
              <w:rPr>
                <w:rFonts w:cs="Calibri"/>
                <w:b/>
                <w:bCs/>
              </w:rPr>
            </w:pPr>
          </w:p>
        </w:tc>
        <w:tc>
          <w:tcPr>
            <w:tcW w:w="1201" w:type="dxa"/>
            <w:tcBorders>
              <w:top w:val="single" w:sz="2" w:space="0" w:color="auto"/>
              <w:left w:val="nil"/>
              <w:bottom w:val="double" w:sz="4" w:space="0" w:color="auto"/>
              <w:right w:val="nil"/>
            </w:tcBorders>
            <w:vAlign w:val="bottom"/>
          </w:tcPr>
          <w:p w14:paraId="10619B24" w14:textId="248C8E4B" w:rsidR="00863311" w:rsidRPr="00C203AE" w:rsidRDefault="00863311" w:rsidP="00863311">
            <w:pPr>
              <w:pStyle w:val="TableText"/>
              <w:tabs>
                <w:tab w:val="left" w:pos="3306"/>
              </w:tabs>
              <w:jc w:val="right"/>
              <w:rPr>
                <w:rFonts w:cs="Calibri"/>
                <w:b/>
                <w:bCs/>
              </w:rPr>
            </w:pPr>
          </w:p>
        </w:tc>
      </w:tr>
      <w:tr w:rsidR="00E424B9" w:rsidRPr="00CF7E1B" w14:paraId="048176E6"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1A3FD144" w14:textId="77777777" w:rsidR="00E424B9" w:rsidRPr="00C203AE" w:rsidRDefault="00E424B9"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1D4BEAF5" w14:textId="77777777" w:rsidR="00E424B9" w:rsidRPr="00AD31E8" w:rsidRDefault="00E424B9" w:rsidP="00561CDB">
            <w:pPr>
              <w:pStyle w:val="CommentaryReference"/>
              <w:jc w:val="both"/>
              <w:rPr>
                <w:rFonts w:cs="Calibri"/>
                <w:sz w:val="18"/>
                <w:szCs w:val="18"/>
              </w:rPr>
            </w:pPr>
          </w:p>
        </w:tc>
      </w:tr>
      <w:tr w:rsidR="00863311" w:rsidRPr="00CF7E1B" w14:paraId="182E23A5"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333C4E67"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2B9898E4" w14:textId="672B10A2" w:rsidR="00863311" w:rsidRPr="00AD31E8" w:rsidRDefault="004F4683" w:rsidP="00561CDB">
            <w:pPr>
              <w:pStyle w:val="CommentaryReference"/>
              <w:jc w:val="both"/>
              <w:rPr>
                <w:rFonts w:cs="Calibri"/>
                <w:sz w:val="18"/>
                <w:szCs w:val="18"/>
              </w:rPr>
            </w:pPr>
            <w:r w:rsidRPr="00C203AE">
              <w:rPr>
                <w:rFonts w:cs="Calibri"/>
                <w:sz w:val="18"/>
                <w:szCs w:val="18"/>
              </w:rPr>
              <w:t xml:space="preserve">The above Statement of Assets and Liabilities on Behalf of the Territory </w:t>
            </w:r>
            <w:r w:rsidRPr="00C203AE">
              <w:rPr>
                <w:rFonts w:cs="Calibri"/>
                <w:bCs/>
                <w:sz w:val="18"/>
                <w:szCs w:val="18"/>
              </w:rPr>
              <w:t>is to</w:t>
            </w:r>
            <w:r w:rsidRPr="00C203AE">
              <w:rPr>
                <w:rFonts w:asciiTheme="minorHAnsi" w:hAnsiTheme="minorHAnsi" w:cstheme="minorHAnsi"/>
                <w:sz w:val="18"/>
                <w:szCs w:val="18"/>
              </w:rPr>
              <w:t xml:space="preserve"> </w:t>
            </w:r>
            <w:r w:rsidR="00863311" w:rsidRPr="00C203AE">
              <w:rPr>
                <w:rFonts w:cs="Calibri"/>
                <w:sz w:val="18"/>
                <w:szCs w:val="18"/>
              </w:rPr>
              <w:t>be read in conjunction with the accompanying notes.</w:t>
            </w:r>
            <w:r w:rsidR="00FA7C77">
              <w:rPr>
                <w:rFonts w:cs="Calibri"/>
                <w:sz w:val="18"/>
                <w:szCs w:val="18"/>
              </w:rPr>
              <w:t xml:space="preserve">  </w:t>
            </w:r>
          </w:p>
        </w:tc>
      </w:tr>
      <w:tr w:rsidR="00C203AE" w:rsidRPr="00CF7E1B" w14:paraId="1B2CAF8D" w14:textId="77777777" w:rsidTr="0004564D">
        <w:trPr>
          <w:gridAfter w:val="1"/>
          <w:wAfter w:w="24" w:type="dxa"/>
          <w:cantSplit/>
          <w:trHeight w:val="23"/>
          <w:jc w:val="center"/>
        </w:trPr>
        <w:tc>
          <w:tcPr>
            <w:tcW w:w="1548" w:type="dxa"/>
            <w:tcBorders>
              <w:top w:val="nil"/>
              <w:left w:val="single" w:sz="2" w:space="0" w:color="auto"/>
              <w:bottom w:val="nil"/>
              <w:right w:val="single" w:sz="2" w:space="0" w:color="auto"/>
            </w:tcBorders>
          </w:tcPr>
          <w:p w14:paraId="68404584" w14:textId="77777777" w:rsidR="00C203AE" w:rsidRPr="00C203AE" w:rsidRDefault="00C203AE" w:rsidP="00256E61">
            <w:pPr>
              <w:pStyle w:val="TableReference"/>
              <w:tabs>
                <w:tab w:val="left" w:pos="3306"/>
              </w:tabs>
              <w:spacing w:before="40"/>
              <w:ind w:left="-272" w:firstLine="272"/>
              <w:rPr>
                <w:rFonts w:cs="Calibri"/>
                <w:color w:val="7030A0"/>
                <w:sz w:val="16"/>
                <w:szCs w:val="16"/>
              </w:rPr>
            </w:pPr>
          </w:p>
        </w:tc>
        <w:tc>
          <w:tcPr>
            <w:tcW w:w="8824" w:type="dxa"/>
            <w:gridSpan w:val="5"/>
            <w:tcBorders>
              <w:top w:val="nil"/>
              <w:left w:val="single" w:sz="2" w:space="0" w:color="auto"/>
              <w:bottom w:val="nil"/>
              <w:right w:val="nil"/>
            </w:tcBorders>
            <w:vAlign w:val="bottom"/>
          </w:tcPr>
          <w:p w14:paraId="04B7D32A" w14:textId="77777777" w:rsidR="00C203AE" w:rsidRPr="00C203AE" w:rsidRDefault="00C203AE" w:rsidP="00561CDB">
            <w:pPr>
              <w:pStyle w:val="CommentaryReference"/>
              <w:jc w:val="both"/>
              <w:rPr>
                <w:rFonts w:cs="Calibri"/>
                <w:sz w:val="18"/>
                <w:szCs w:val="18"/>
              </w:rPr>
            </w:pPr>
          </w:p>
        </w:tc>
      </w:tr>
      <w:tr w:rsidR="00863311" w:rsidRPr="00CF7E1B" w14:paraId="4583A60F" w14:textId="77777777" w:rsidTr="0004564D">
        <w:trPr>
          <w:cantSplit/>
          <w:trHeight w:val="23"/>
          <w:jc w:val="center"/>
        </w:trPr>
        <w:tc>
          <w:tcPr>
            <w:tcW w:w="1548" w:type="dxa"/>
            <w:tcBorders>
              <w:top w:val="nil"/>
              <w:left w:val="single" w:sz="2" w:space="0" w:color="auto"/>
              <w:bottom w:val="nil"/>
              <w:right w:val="single" w:sz="2" w:space="0" w:color="auto"/>
            </w:tcBorders>
          </w:tcPr>
          <w:p w14:paraId="2FA346A8" w14:textId="34AF5291" w:rsidR="00863311" w:rsidRPr="00C203AE" w:rsidRDefault="00863311" w:rsidP="00C203AE">
            <w:pPr>
              <w:pStyle w:val="TableReference"/>
              <w:tabs>
                <w:tab w:val="left" w:pos="3306"/>
              </w:tabs>
              <w:spacing w:before="240" w:after="240"/>
              <w:rPr>
                <w:rFonts w:asciiTheme="minorHAnsi" w:hAnsiTheme="minorHAnsi" w:cstheme="minorHAnsi"/>
                <w:b/>
                <w:color w:val="7030A0"/>
                <w:sz w:val="22"/>
                <w:szCs w:val="22"/>
              </w:rPr>
            </w:pPr>
          </w:p>
        </w:tc>
        <w:tc>
          <w:tcPr>
            <w:tcW w:w="8848" w:type="dxa"/>
            <w:gridSpan w:val="6"/>
            <w:tcBorders>
              <w:top w:val="nil"/>
              <w:left w:val="single" w:sz="2" w:space="0" w:color="auto"/>
              <w:bottom w:val="nil"/>
              <w:right w:val="nil"/>
            </w:tcBorders>
            <w:shd w:val="clear" w:color="auto" w:fill="7030A0"/>
            <w:vAlign w:val="bottom"/>
          </w:tcPr>
          <w:p w14:paraId="25DA5F38" w14:textId="77777777" w:rsidR="00863311" w:rsidRPr="00C203AE" w:rsidRDefault="00863311" w:rsidP="00AB3663">
            <w:pPr>
              <w:pStyle w:val="CommentaryTitle"/>
              <w:spacing w:after="240"/>
              <w:rPr>
                <w:rFonts w:cs="Calibri"/>
                <w:color w:val="FFFFFF" w:themeColor="background1"/>
                <w:sz w:val="28"/>
                <w:szCs w:val="28"/>
              </w:rPr>
            </w:pPr>
            <w:r w:rsidRPr="00C203AE">
              <w:rPr>
                <w:rFonts w:cs="Calibri"/>
                <w:color w:val="FFFFFF" w:themeColor="background1"/>
                <w:sz w:val="28"/>
                <w:szCs w:val="28"/>
              </w:rPr>
              <w:t>Commentary – Statement of Assets and Liabilities on Behalf of the Territory</w:t>
            </w:r>
          </w:p>
        </w:tc>
      </w:tr>
      <w:tr w:rsidR="00863311" w:rsidRPr="00CF7E1B" w14:paraId="4E5947E4" w14:textId="77777777" w:rsidTr="0004564D">
        <w:trPr>
          <w:cantSplit/>
          <w:trHeight w:val="23"/>
          <w:jc w:val="center"/>
        </w:trPr>
        <w:tc>
          <w:tcPr>
            <w:tcW w:w="1548" w:type="dxa"/>
            <w:tcBorders>
              <w:top w:val="nil"/>
              <w:left w:val="single" w:sz="2" w:space="0" w:color="auto"/>
              <w:bottom w:val="nil"/>
              <w:right w:val="single" w:sz="2" w:space="0" w:color="auto"/>
            </w:tcBorders>
          </w:tcPr>
          <w:p w14:paraId="6686688F" w14:textId="77777777" w:rsidR="00863311" w:rsidRPr="00C203AE" w:rsidRDefault="00863311" w:rsidP="00765EE7">
            <w:pPr>
              <w:pStyle w:val="TableReference"/>
              <w:tabs>
                <w:tab w:val="left" w:pos="3306"/>
              </w:tabs>
              <w:spacing w:before="40"/>
              <w:ind w:left="-5"/>
              <w:rPr>
                <w:rFonts w:cs="Calibri"/>
                <w:color w:val="7030A0"/>
                <w:sz w:val="14"/>
              </w:rPr>
            </w:pPr>
            <w:r w:rsidRPr="00C203AE">
              <w:rPr>
                <w:rFonts w:cs="Calibri"/>
                <w:color w:val="7030A0"/>
                <w:sz w:val="14"/>
              </w:rPr>
              <w:t xml:space="preserve">ACT </w:t>
            </w:r>
            <w:r w:rsidR="000662B0" w:rsidRPr="00C203AE">
              <w:rPr>
                <w:rFonts w:cs="Calibri"/>
                <w:color w:val="7030A0"/>
                <w:sz w:val="14"/>
              </w:rPr>
              <w:t>Disclosure</w:t>
            </w:r>
            <w:r w:rsidRPr="00C203AE">
              <w:rPr>
                <w:rFonts w:cs="Calibri"/>
                <w:color w:val="7030A0"/>
                <w:sz w:val="14"/>
              </w:rPr>
              <w:t xml:space="preserve"> Policy</w:t>
            </w:r>
          </w:p>
          <w:p w14:paraId="48BA5DEC" w14:textId="03E8A5E5" w:rsidR="00863311" w:rsidRPr="00C203AE" w:rsidRDefault="00863311" w:rsidP="00765EE7">
            <w:pPr>
              <w:pStyle w:val="TableReference"/>
              <w:tabs>
                <w:tab w:val="left" w:pos="3306"/>
              </w:tabs>
              <w:spacing w:before="40"/>
              <w:rPr>
                <w:rFonts w:cs="Calibri"/>
                <w:color w:val="7030A0"/>
                <w:sz w:val="16"/>
                <w:szCs w:val="16"/>
              </w:rPr>
            </w:pPr>
          </w:p>
        </w:tc>
        <w:tc>
          <w:tcPr>
            <w:tcW w:w="8848" w:type="dxa"/>
            <w:gridSpan w:val="6"/>
            <w:tcBorders>
              <w:top w:val="nil"/>
              <w:left w:val="single" w:sz="2" w:space="0" w:color="auto"/>
              <w:bottom w:val="nil"/>
              <w:right w:val="nil"/>
            </w:tcBorders>
            <w:shd w:val="clear" w:color="auto" w:fill="7030A0"/>
          </w:tcPr>
          <w:p w14:paraId="4C9D6C87" w14:textId="37AFD4B4" w:rsidR="00863311" w:rsidRPr="00C203AE" w:rsidRDefault="00863311" w:rsidP="00765EE7">
            <w:pPr>
              <w:pStyle w:val="CommentaryText"/>
              <w:jc w:val="left"/>
              <w:rPr>
                <w:rFonts w:cs="Calibri"/>
                <w:color w:val="FFFFFF" w:themeColor="background1"/>
                <w:sz w:val="18"/>
                <w:szCs w:val="18"/>
              </w:rPr>
            </w:pPr>
            <w:r w:rsidRPr="00C203AE">
              <w:rPr>
                <w:rFonts w:cs="Calibri"/>
                <w:color w:val="FFFFFF" w:themeColor="background1"/>
                <w:sz w:val="18"/>
                <w:szCs w:val="18"/>
              </w:rPr>
              <w:t>Agencies must include an Accumulated Funds line item in the Statement of Assets and Liabilities on Behalf of the Territory regardless of whether there are figures against it.</w:t>
            </w:r>
            <w:r w:rsidR="00FA7C77">
              <w:rPr>
                <w:rFonts w:cs="Calibri"/>
                <w:color w:val="FFFFFF" w:themeColor="background1"/>
                <w:sz w:val="18"/>
                <w:szCs w:val="18"/>
              </w:rPr>
              <w:t xml:space="preserve"> </w:t>
            </w:r>
            <w:r w:rsidRPr="00C203AE">
              <w:rPr>
                <w:rFonts w:cs="Calibri"/>
                <w:color w:val="FFFFFF" w:themeColor="background1"/>
                <w:sz w:val="18"/>
                <w:szCs w:val="18"/>
              </w:rPr>
              <w:t xml:space="preserve">Agencies must also include the Net Assets total line and the Total Equity line in the Statement of Assets and Liabilities on Behalf of the Territory regardless of whether there are figures against them. </w:t>
            </w:r>
          </w:p>
        </w:tc>
      </w:tr>
      <w:tr w:rsidR="00765EE7" w:rsidRPr="00CF7E1B" w14:paraId="5B30C334" w14:textId="77777777" w:rsidTr="0004564D">
        <w:trPr>
          <w:cantSplit/>
          <w:trHeight w:val="23"/>
          <w:jc w:val="center"/>
        </w:trPr>
        <w:tc>
          <w:tcPr>
            <w:tcW w:w="1548" w:type="dxa"/>
            <w:tcBorders>
              <w:top w:val="nil"/>
              <w:left w:val="single" w:sz="2" w:space="0" w:color="auto"/>
              <w:bottom w:val="nil"/>
              <w:right w:val="single" w:sz="2" w:space="0" w:color="auto"/>
            </w:tcBorders>
          </w:tcPr>
          <w:p w14:paraId="1B6AC7FE" w14:textId="0F30F2D3" w:rsidR="00765EE7" w:rsidRPr="00C203AE" w:rsidRDefault="00765EE7" w:rsidP="00256E61">
            <w:pPr>
              <w:pStyle w:val="TableReference"/>
              <w:tabs>
                <w:tab w:val="left" w:pos="3306"/>
              </w:tabs>
              <w:spacing w:before="40"/>
              <w:ind w:left="-5"/>
              <w:rPr>
                <w:rFonts w:cs="Calibri"/>
                <w:color w:val="7030A0"/>
                <w:sz w:val="14"/>
              </w:rPr>
            </w:pPr>
            <w:r w:rsidRPr="00C203AE">
              <w:rPr>
                <w:rFonts w:cs="Calibri"/>
                <w:color w:val="7030A0"/>
                <w:sz w:val="14"/>
              </w:rPr>
              <w:t>ACT Disclosure Policy</w:t>
            </w:r>
          </w:p>
        </w:tc>
        <w:tc>
          <w:tcPr>
            <w:tcW w:w="8848" w:type="dxa"/>
            <w:gridSpan w:val="6"/>
            <w:tcBorders>
              <w:top w:val="nil"/>
              <w:left w:val="single" w:sz="2" w:space="0" w:color="auto"/>
              <w:bottom w:val="nil"/>
              <w:right w:val="nil"/>
            </w:tcBorders>
            <w:shd w:val="clear" w:color="auto" w:fill="7030A0"/>
            <w:vAlign w:val="bottom"/>
          </w:tcPr>
          <w:p w14:paraId="6A8714AB" w14:textId="7316C5DE" w:rsidR="00765EE7" w:rsidRPr="00C203AE" w:rsidRDefault="00765EE7" w:rsidP="00765EE7">
            <w:pPr>
              <w:pStyle w:val="CommentaryText"/>
              <w:rPr>
                <w:rFonts w:cs="Calibri"/>
                <w:color w:val="FFFFFF" w:themeColor="background1"/>
                <w:sz w:val="18"/>
                <w:szCs w:val="18"/>
              </w:rPr>
            </w:pPr>
            <w:r w:rsidRPr="00C203AE">
              <w:rPr>
                <w:rFonts w:cs="Calibri"/>
                <w:color w:val="FFFFFF" w:themeColor="background1"/>
                <w:sz w:val="18"/>
                <w:szCs w:val="18"/>
              </w:rPr>
              <w:t xml:space="preserve">Agencies include this statement in order to present administered assets and liabilities as required by AASB 1050 </w:t>
            </w:r>
            <w:r w:rsidRPr="00C203AE">
              <w:rPr>
                <w:rFonts w:cs="Calibri"/>
                <w:i/>
                <w:color w:val="FFFFFF" w:themeColor="background1"/>
                <w:sz w:val="18"/>
                <w:szCs w:val="18"/>
              </w:rPr>
              <w:t>Administered Items.</w:t>
            </w:r>
            <w:r w:rsidR="00FA7C77">
              <w:rPr>
                <w:rFonts w:cs="Calibri"/>
                <w:i/>
                <w:color w:val="FFFFFF" w:themeColor="background1"/>
                <w:sz w:val="18"/>
                <w:szCs w:val="18"/>
              </w:rPr>
              <w:t xml:space="preserve"> </w:t>
            </w:r>
            <w:r w:rsidRPr="00C203AE">
              <w:rPr>
                <w:rFonts w:cs="Calibri"/>
                <w:color w:val="FFFFFF" w:themeColor="background1"/>
                <w:sz w:val="18"/>
                <w:szCs w:val="18"/>
              </w:rPr>
              <w:t>For ease of comparison to the budget, it is ACT Disclosure Policy that Equity items are included.</w:t>
            </w:r>
            <w:r w:rsidR="00FA7C77">
              <w:rPr>
                <w:rFonts w:cs="Calibri"/>
                <w:color w:val="FFFFFF" w:themeColor="background1"/>
                <w:sz w:val="18"/>
                <w:szCs w:val="18"/>
              </w:rPr>
              <w:t xml:space="preserve"> </w:t>
            </w:r>
            <w:r w:rsidRPr="00C203AE">
              <w:rPr>
                <w:rFonts w:cs="Calibri"/>
                <w:color w:val="FFFFFF" w:themeColor="background1"/>
                <w:sz w:val="18"/>
                <w:szCs w:val="18"/>
              </w:rPr>
              <w:t>This statement is not intended to be a Balance Sheet and therefore does not meet all disclosure requirements that a Balance Sheet would.</w:t>
            </w:r>
          </w:p>
        </w:tc>
      </w:tr>
      <w:tr w:rsidR="00B66BE0" w:rsidRPr="00CF7E1B" w14:paraId="48B59EA2" w14:textId="77777777" w:rsidTr="0004564D">
        <w:trPr>
          <w:cantSplit/>
          <w:trHeight w:val="23"/>
          <w:jc w:val="center"/>
        </w:trPr>
        <w:tc>
          <w:tcPr>
            <w:tcW w:w="1548" w:type="dxa"/>
            <w:tcBorders>
              <w:top w:val="nil"/>
              <w:left w:val="single" w:sz="2" w:space="0" w:color="auto"/>
              <w:bottom w:val="nil"/>
              <w:right w:val="single" w:sz="2" w:space="0" w:color="auto"/>
            </w:tcBorders>
          </w:tcPr>
          <w:p w14:paraId="47AC7D88" w14:textId="77777777" w:rsidR="00B66BE0" w:rsidRPr="00C203AE" w:rsidRDefault="00B66BE0" w:rsidP="00256E61">
            <w:pPr>
              <w:pStyle w:val="TableReference"/>
              <w:tabs>
                <w:tab w:val="left" w:pos="3306"/>
              </w:tabs>
              <w:spacing w:before="40"/>
              <w:ind w:left="-5"/>
              <w:rPr>
                <w:rFonts w:cs="Calibri"/>
                <w:color w:val="7030A0"/>
                <w:sz w:val="14"/>
              </w:rPr>
            </w:pPr>
          </w:p>
        </w:tc>
        <w:tc>
          <w:tcPr>
            <w:tcW w:w="8848" w:type="dxa"/>
            <w:gridSpan w:val="6"/>
            <w:tcBorders>
              <w:top w:val="nil"/>
              <w:left w:val="single" w:sz="2" w:space="0" w:color="auto"/>
              <w:bottom w:val="nil"/>
              <w:right w:val="nil"/>
            </w:tcBorders>
            <w:shd w:val="clear" w:color="auto" w:fill="7030A0"/>
            <w:vAlign w:val="bottom"/>
          </w:tcPr>
          <w:p w14:paraId="3F58B21B" w14:textId="295FA821" w:rsidR="00B66BE0" w:rsidRPr="00C203AE" w:rsidRDefault="00B66BE0" w:rsidP="00765EE7">
            <w:pPr>
              <w:pStyle w:val="CommentaryText"/>
              <w:rPr>
                <w:rFonts w:cs="Calibri"/>
                <w:color w:val="FFFFFF" w:themeColor="background1"/>
                <w:sz w:val="18"/>
                <w:szCs w:val="18"/>
              </w:rPr>
            </w:pPr>
            <w:r w:rsidRPr="00C203AE">
              <w:rPr>
                <w:rFonts w:cs="Calibri"/>
                <w:color w:val="FFFFFF" w:themeColor="background1"/>
                <w:sz w:val="18"/>
                <w:szCs w:val="18"/>
              </w:rPr>
              <w:t>Agencies that have fair valued Territorial Property, Plant and Equipment may have an Asset Revaluation Surplus to be included in the Equity section of the table above.</w:t>
            </w:r>
          </w:p>
        </w:tc>
      </w:tr>
      <w:tr w:rsidR="00863311" w:rsidRPr="00CF7E1B" w14:paraId="5B9CC7AE" w14:textId="77777777" w:rsidTr="0004564D">
        <w:trPr>
          <w:cantSplit/>
          <w:trHeight w:val="23"/>
          <w:jc w:val="center"/>
        </w:trPr>
        <w:tc>
          <w:tcPr>
            <w:tcW w:w="1548" w:type="dxa"/>
            <w:tcBorders>
              <w:top w:val="nil"/>
              <w:left w:val="single" w:sz="2" w:space="0" w:color="auto"/>
              <w:bottom w:val="nil"/>
              <w:right w:val="single" w:sz="2" w:space="0" w:color="auto"/>
            </w:tcBorders>
          </w:tcPr>
          <w:p w14:paraId="5227CF4B" w14:textId="77777777" w:rsidR="00863311" w:rsidRPr="00C203AE" w:rsidRDefault="00863311" w:rsidP="00256E61">
            <w:pPr>
              <w:pStyle w:val="TableReference"/>
              <w:tabs>
                <w:tab w:val="left" w:pos="3306"/>
              </w:tabs>
              <w:spacing w:before="40"/>
              <w:ind w:left="-272" w:firstLine="272"/>
              <w:rPr>
                <w:rFonts w:cs="Calibri"/>
                <w:color w:val="7030A0"/>
                <w:sz w:val="16"/>
                <w:szCs w:val="16"/>
              </w:rPr>
            </w:pPr>
          </w:p>
        </w:tc>
        <w:tc>
          <w:tcPr>
            <w:tcW w:w="8848" w:type="dxa"/>
            <w:gridSpan w:val="6"/>
            <w:tcBorders>
              <w:top w:val="nil"/>
              <w:left w:val="single" w:sz="2" w:space="0" w:color="auto"/>
              <w:bottom w:val="nil"/>
              <w:right w:val="nil"/>
            </w:tcBorders>
            <w:shd w:val="clear" w:color="auto" w:fill="7030A0"/>
            <w:vAlign w:val="bottom"/>
          </w:tcPr>
          <w:p w14:paraId="5C484570" w14:textId="77777777" w:rsidR="00863311" w:rsidRPr="00A84CC0" w:rsidRDefault="00863311" w:rsidP="00BA3729">
            <w:pPr>
              <w:pStyle w:val="CommentaryText"/>
              <w:spacing w:after="0"/>
              <w:rPr>
                <w:rFonts w:cs="Calibri"/>
                <w:b/>
                <w:bCs/>
                <w:color w:val="FFFFFF" w:themeColor="background1"/>
                <w:szCs w:val="20"/>
              </w:rPr>
            </w:pPr>
            <w:r w:rsidRPr="00A84CC0">
              <w:rPr>
                <w:rFonts w:cs="Calibri"/>
                <w:b/>
                <w:bCs/>
                <w:color w:val="FFFFFF" w:themeColor="background1"/>
                <w:szCs w:val="20"/>
              </w:rPr>
              <w:t>Budget</w:t>
            </w:r>
          </w:p>
        </w:tc>
      </w:tr>
      <w:tr w:rsidR="00863311" w:rsidRPr="00CF7E1B" w14:paraId="4FF37BC8" w14:textId="77777777" w:rsidTr="0004564D">
        <w:trPr>
          <w:cantSplit/>
          <w:trHeight w:val="23"/>
          <w:jc w:val="center"/>
        </w:trPr>
        <w:tc>
          <w:tcPr>
            <w:tcW w:w="1548" w:type="dxa"/>
            <w:tcBorders>
              <w:top w:val="nil"/>
              <w:left w:val="single" w:sz="2" w:space="0" w:color="auto"/>
              <w:bottom w:val="nil"/>
              <w:right w:val="single" w:sz="2" w:space="0" w:color="auto"/>
            </w:tcBorders>
          </w:tcPr>
          <w:p w14:paraId="28A550EE" w14:textId="77777777" w:rsidR="00863311" w:rsidRPr="00C203AE" w:rsidRDefault="00863311" w:rsidP="00863311">
            <w:pPr>
              <w:pStyle w:val="TableReference"/>
              <w:tabs>
                <w:tab w:val="left" w:pos="3306"/>
              </w:tabs>
              <w:spacing w:before="40"/>
              <w:rPr>
                <w:rFonts w:cs="Calibri"/>
                <w:color w:val="7030A0"/>
              </w:rPr>
            </w:pPr>
          </w:p>
        </w:tc>
        <w:tc>
          <w:tcPr>
            <w:tcW w:w="8848" w:type="dxa"/>
            <w:gridSpan w:val="6"/>
            <w:tcBorders>
              <w:top w:val="nil"/>
              <w:left w:val="single" w:sz="2" w:space="0" w:color="auto"/>
              <w:bottom w:val="nil"/>
              <w:right w:val="nil"/>
            </w:tcBorders>
            <w:shd w:val="clear" w:color="auto" w:fill="7030A0"/>
            <w:vAlign w:val="bottom"/>
          </w:tcPr>
          <w:p w14:paraId="691E7175" w14:textId="4527BC6C" w:rsidR="00863311" w:rsidRPr="00C203AE" w:rsidRDefault="00863311" w:rsidP="000739BC">
            <w:pPr>
              <w:pStyle w:val="CommentaryText"/>
              <w:rPr>
                <w:rFonts w:cs="Calibri"/>
                <w:color w:val="FFFFFF" w:themeColor="background1"/>
                <w:sz w:val="18"/>
                <w:szCs w:val="18"/>
              </w:rPr>
            </w:pPr>
            <w:r w:rsidRPr="00C203AE">
              <w:rPr>
                <w:rFonts w:cs="Calibri"/>
                <w:color w:val="FFFFFF" w:themeColor="background1"/>
                <w:sz w:val="18"/>
                <w:szCs w:val="18"/>
              </w:rPr>
              <w:t xml:space="preserve">The budget numbers appearing in the above Statement are those published in the </w:t>
            </w:r>
            <w:r w:rsidR="00300197" w:rsidRPr="00C203AE">
              <w:rPr>
                <w:rFonts w:cs="Calibri"/>
                <w:color w:val="FFFFFF" w:themeColor="background1"/>
                <w:sz w:val="18"/>
                <w:szCs w:val="18"/>
              </w:rPr>
              <w:t>2021-22</w:t>
            </w:r>
            <w:r w:rsidR="00FF0025" w:rsidRPr="00C203AE">
              <w:rPr>
                <w:rFonts w:cs="Calibri"/>
                <w:color w:val="FFFFFF" w:themeColor="background1"/>
                <w:sz w:val="18"/>
                <w:szCs w:val="18"/>
              </w:rPr>
              <w:t xml:space="preserve"> </w:t>
            </w:r>
            <w:r w:rsidRPr="00C203AE">
              <w:rPr>
                <w:rFonts w:cs="Calibri"/>
                <w:color w:val="FFFFFF" w:themeColor="background1"/>
                <w:sz w:val="18"/>
                <w:szCs w:val="18"/>
              </w:rPr>
              <w:t>Budget Papers.</w:t>
            </w:r>
          </w:p>
        </w:tc>
      </w:tr>
    </w:tbl>
    <w:p w14:paraId="4AE07F2C" w14:textId="77777777" w:rsidR="00863311" w:rsidRPr="00BA3729" w:rsidRDefault="00863311" w:rsidP="00863311">
      <w:pPr>
        <w:tabs>
          <w:tab w:val="left" w:pos="3306"/>
        </w:tabs>
        <w:rPr>
          <w:rFonts w:cs="Calibri"/>
          <w:sz w:val="18"/>
          <w:szCs w:val="18"/>
        </w:rPr>
      </w:pPr>
    </w:p>
    <w:p w14:paraId="3455EE84" w14:textId="77777777" w:rsidR="00EC64D1" w:rsidRDefault="00863311" w:rsidP="00EC64D1">
      <w:pPr>
        <w:spacing w:before="240" w:line="400" w:lineRule="exact"/>
        <w:jc w:val="center"/>
      </w:pPr>
      <w:r w:rsidRPr="00CF7E1B">
        <w:br w:type="page"/>
      </w:r>
      <w:bookmarkStart w:id="858" w:name="_Toc194918662"/>
      <w:bookmarkStart w:id="859" w:name="_Toc253496238"/>
    </w:p>
    <w:p w14:paraId="0AADF319" w14:textId="77777777" w:rsidR="00A2241D" w:rsidRDefault="00A2241D" w:rsidP="00EC64D1">
      <w:pPr>
        <w:spacing w:line="400" w:lineRule="exact"/>
        <w:jc w:val="center"/>
        <w:rPr>
          <w:b/>
          <w:sz w:val="40"/>
          <w:szCs w:val="40"/>
        </w:rPr>
      </w:pPr>
    </w:p>
    <w:p w14:paraId="217B9AD2" w14:textId="17DCBF92" w:rsidR="00863311" w:rsidRPr="00C203AE" w:rsidRDefault="00863311" w:rsidP="00EC64D1">
      <w:pPr>
        <w:spacing w:line="400" w:lineRule="exact"/>
        <w:jc w:val="center"/>
        <w:rPr>
          <w:b/>
          <w:sz w:val="40"/>
          <w:szCs w:val="40"/>
        </w:rPr>
      </w:pPr>
      <w:r w:rsidRPr="00C203AE">
        <w:rPr>
          <w:b/>
          <w:sz w:val="40"/>
          <w:szCs w:val="40"/>
        </w:rPr>
        <w:t>‘</w:t>
      </w:r>
      <w:r w:rsidR="00027610" w:rsidRPr="00C203AE">
        <w:rPr>
          <w:b/>
          <w:sz w:val="40"/>
          <w:szCs w:val="40"/>
        </w:rPr>
        <w:t xml:space="preserve">Burley Griffin </w:t>
      </w:r>
      <w:r w:rsidRPr="00C203AE">
        <w:rPr>
          <w:b/>
          <w:sz w:val="40"/>
          <w:szCs w:val="40"/>
        </w:rPr>
        <w:t>Agency’</w:t>
      </w:r>
      <w:bookmarkEnd w:id="858"/>
      <w:bookmarkEnd w:id="859"/>
    </w:p>
    <w:p w14:paraId="1DEF29FB" w14:textId="77777777" w:rsidR="00863311" w:rsidRPr="00C203AE" w:rsidRDefault="00863311" w:rsidP="00226363">
      <w:pPr>
        <w:pStyle w:val="Subtitle"/>
        <w:spacing w:line="400" w:lineRule="exact"/>
        <w:rPr>
          <w:rFonts w:asciiTheme="minorHAnsi" w:hAnsiTheme="minorHAnsi" w:cstheme="minorHAnsi"/>
        </w:rPr>
      </w:pPr>
      <w:bookmarkStart w:id="860" w:name="_Toc194918663"/>
      <w:bookmarkStart w:id="861" w:name="_Toc223433220"/>
      <w:bookmarkStart w:id="862" w:name="_Toc253496239"/>
      <w:bookmarkStart w:id="863" w:name="_Toc400627369"/>
      <w:bookmarkStart w:id="864" w:name="_Toc98763191"/>
      <w:r w:rsidRPr="00C203AE">
        <w:rPr>
          <w:rFonts w:asciiTheme="minorHAnsi" w:hAnsiTheme="minorHAnsi" w:cstheme="minorHAnsi"/>
        </w:rPr>
        <w:t>Statement of Changes in Equity on Behalf of the Territory</w:t>
      </w:r>
      <w:bookmarkEnd w:id="860"/>
      <w:bookmarkEnd w:id="861"/>
      <w:bookmarkEnd w:id="862"/>
      <w:bookmarkEnd w:id="863"/>
      <w:bookmarkEnd w:id="864"/>
    </w:p>
    <w:p w14:paraId="7B2A44CB" w14:textId="2CCF4A67" w:rsidR="00863311" w:rsidRPr="00C203AE" w:rsidRDefault="00863311" w:rsidP="00226363">
      <w:pPr>
        <w:spacing w:line="400" w:lineRule="exact"/>
        <w:jc w:val="center"/>
        <w:rPr>
          <w:b/>
          <w:sz w:val="40"/>
          <w:szCs w:val="40"/>
        </w:rPr>
      </w:pPr>
      <w:r w:rsidRPr="00C203AE">
        <w:rPr>
          <w:b/>
          <w:sz w:val="40"/>
          <w:szCs w:val="40"/>
        </w:rPr>
        <w:t xml:space="preserve">For the Year Ended 30 June </w:t>
      </w:r>
      <w:r w:rsidR="006973C8" w:rsidRPr="00C203AE">
        <w:rPr>
          <w:b/>
          <w:sz w:val="40"/>
          <w:szCs w:val="40"/>
        </w:rPr>
        <w:t>202</w:t>
      </w:r>
      <w:r w:rsidR="00A37AEC" w:rsidRPr="00C203AE">
        <w:rPr>
          <w:b/>
          <w:sz w:val="40"/>
          <w:szCs w:val="40"/>
        </w:rPr>
        <w:t>2</w:t>
      </w: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7"/>
        <w:gridCol w:w="4968"/>
        <w:gridCol w:w="720"/>
        <w:gridCol w:w="968"/>
        <w:gridCol w:w="1080"/>
        <w:gridCol w:w="1194"/>
      </w:tblGrid>
      <w:tr w:rsidR="00863311" w:rsidRPr="00CF7E1B" w14:paraId="29BB14D2" w14:textId="77777777" w:rsidTr="0004564D">
        <w:trPr>
          <w:cantSplit/>
          <w:trHeight w:val="20"/>
          <w:jc w:val="center"/>
        </w:trPr>
        <w:tc>
          <w:tcPr>
            <w:tcW w:w="1557" w:type="dxa"/>
            <w:tcBorders>
              <w:top w:val="nil"/>
              <w:left w:val="single" w:sz="2" w:space="0" w:color="auto"/>
              <w:bottom w:val="nil"/>
              <w:right w:val="single" w:sz="2" w:space="0" w:color="auto"/>
            </w:tcBorders>
          </w:tcPr>
          <w:p w14:paraId="1F9E0BF2" w14:textId="77777777" w:rsidR="00863311" w:rsidRPr="00A2241D" w:rsidRDefault="00863311" w:rsidP="005D3C33">
            <w:pPr>
              <w:pStyle w:val="Reference"/>
              <w:spacing w:before="240" w:after="240"/>
              <w:rPr>
                <w:rFonts w:asciiTheme="minorHAnsi" w:hAnsiTheme="minorHAnsi" w:cstheme="minorHAnsi"/>
                <w:color w:val="7030A0"/>
                <w:sz w:val="22"/>
                <w:szCs w:val="22"/>
              </w:rPr>
            </w:pPr>
            <w:r w:rsidRPr="00A2241D">
              <w:rPr>
                <w:rFonts w:asciiTheme="minorHAnsi" w:hAnsiTheme="minorHAnsi" w:cstheme="minorHAnsi"/>
                <w:color w:val="7030A0"/>
                <w:sz w:val="22"/>
                <w:szCs w:val="22"/>
              </w:rPr>
              <w:t>Reference</w:t>
            </w:r>
          </w:p>
        </w:tc>
        <w:tc>
          <w:tcPr>
            <w:tcW w:w="4968" w:type="dxa"/>
            <w:tcBorders>
              <w:top w:val="nil"/>
              <w:left w:val="single" w:sz="2" w:space="0" w:color="auto"/>
              <w:bottom w:val="nil"/>
              <w:right w:val="nil"/>
            </w:tcBorders>
            <w:vAlign w:val="bottom"/>
          </w:tcPr>
          <w:p w14:paraId="0D3D017C" w14:textId="77777777" w:rsidR="00863311" w:rsidRPr="00A2241D" w:rsidRDefault="00863311" w:rsidP="00863311">
            <w:pPr>
              <w:tabs>
                <w:tab w:val="left" w:pos="3306"/>
              </w:tabs>
              <w:rPr>
                <w:rFonts w:asciiTheme="minorHAnsi" w:hAnsiTheme="minorHAnsi" w:cstheme="minorHAnsi"/>
                <w:sz w:val="18"/>
                <w:szCs w:val="18"/>
              </w:rPr>
            </w:pPr>
          </w:p>
        </w:tc>
        <w:tc>
          <w:tcPr>
            <w:tcW w:w="1688" w:type="dxa"/>
            <w:gridSpan w:val="2"/>
            <w:tcBorders>
              <w:top w:val="nil"/>
              <w:left w:val="nil"/>
              <w:bottom w:val="nil"/>
              <w:right w:val="nil"/>
            </w:tcBorders>
            <w:vAlign w:val="bottom"/>
          </w:tcPr>
          <w:p w14:paraId="786E98DB"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 xml:space="preserve">Accumulated </w:t>
            </w:r>
            <w:r w:rsidRPr="00A2241D">
              <w:rPr>
                <w:rFonts w:asciiTheme="minorHAnsi" w:hAnsiTheme="minorHAnsi" w:cstheme="minorHAnsi"/>
              </w:rPr>
              <w:br/>
              <w:t>Funds</w:t>
            </w:r>
          </w:p>
        </w:tc>
        <w:tc>
          <w:tcPr>
            <w:tcW w:w="1080" w:type="dxa"/>
            <w:tcBorders>
              <w:top w:val="nil"/>
              <w:left w:val="nil"/>
              <w:bottom w:val="nil"/>
              <w:right w:val="nil"/>
            </w:tcBorders>
            <w:shd w:val="clear" w:color="auto" w:fill="auto"/>
            <w:vAlign w:val="bottom"/>
          </w:tcPr>
          <w:p w14:paraId="45EB0D35"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Total Equity</w:t>
            </w:r>
          </w:p>
        </w:tc>
        <w:tc>
          <w:tcPr>
            <w:tcW w:w="1194" w:type="dxa"/>
            <w:tcBorders>
              <w:top w:val="nil"/>
              <w:left w:val="nil"/>
              <w:bottom w:val="nil"/>
              <w:right w:val="nil"/>
            </w:tcBorders>
            <w:shd w:val="clear" w:color="auto" w:fill="auto"/>
            <w:vAlign w:val="bottom"/>
          </w:tcPr>
          <w:p w14:paraId="656689A3"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Original</w:t>
            </w:r>
          </w:p>
        </w:tc>
      </w:tr>
      <w:tr w:rsidR="00863311" w:rsidRPr="00CF7E1B" w14:paraId="0A670D44" w14:textId="77777777" w:rsidTr="0004564D">
        <w:trPr>
          <w:cantSplit/>
          <w:trHeight w:val="20"/>
          <w:jc w:val="center"/>
        </w:trPr>
        <w:tc>
          <w:tcPr>
            <w:tcW w:w="1557" w:type="dxa"/>
            <w:tcBorders>
              <w:top w:val="nil"/>
              <w:left w:val="single" w:sz="2" w:space="0" w:color="auto"/>
              <w:bottom w:val="nil"/>
              <w:right w:val="single" w:sz="2" w:space="0" w:color="auto"/>
            </w:tcBorders>
          </w:tcPr>
          <w:p w14:paraId="091A97A1" w14:textId="77777777" w:rsidR="00863311" w:rsidRPr="00A2241D" w:rsidRDefault="00863311" w:rsidP="00863311">
            <w:pPr>
              <w:pStyle w:val="Reference"/>
              <w:tabs>
                <w:tab w:val="left" w:pos="3306"/>
              </w:tabs>
              <w:rPr>
                <w:rFonts w:cs="Calibri"/>
                <w:color w:val="7030A0"/>
                <w:sz w:val="14"/>
                <w:szCs w:val="14"/>
              </w:rPr>
            </w:pPr>
          </w:p>
        </w:tc>
        <w:tc>
          <w:tcPr>
            <w:tcW w:w="4968" w:type="dxa"/>
            <w:tcBorders>
              <w:top w:val="nil"/>
              <w:left w:val="single" w:sz="2" w:space="0" w:color="auto"/>
              <w:bottom w:val="nil"/>
              <w:right w:val="nil"/>
            </w:tcBorders>
            <w:vAlign w:val="bottom"/>
          </w:tcPr>
          <w:p w14:paraId="5C37BF12" w14:textId="77777777" w:rsidR="00863311" w:rsidRPr="00A2241D" w:rsidRDefault="00863311" w:rsidP="00863311">
            <w:pPr>
              <w:tabs>
                <w:tab w:val="left" w:pos="3306"/>
              </w:tabs>
              <w:rPr>
                <w:rFonts w:asciiTheme="minorHAnsi" w:hAnsiTheme="minorHAnsi" w:cstheme="minorHAnsi"/>
                <w:sz w:val="18"/>
                <w:szCs w:val="18"/>
              </w:rPr>
            </w:pPr>
          </w:p>
        </w:tc>
        <w:tc>
          <w:tcPr>
            <w:tcW w:w="720" w:type="dxa"/>
            <w:tcBorders>
              <w:top w:val="nil"/>
              <w:left w:val="nil"/>
              <w:bottom w:val="nil"/>
              <w:right w:val="nil"/>
            </w:tcBorders>
            <w:vAlign w:val="bottom"/>
          </w:tcPr>
          <w:p w14:paraId="61AA0F98" w14:textId="77777777" w:rsidR="00863311" w:rsidRPr="00A2241D" w:rsidRDefault="00863311" w:rsidP="00863311">
            <w:pPr>
              <w:pStyle w:val="TableTitle"/>
              <w:tabs>
                <w:tab w:val="left" w:pos="3306"/>
              </w:tabs>
              <w:jc w:val="center"/>
              <w:rPr>
                <w:rFonts w:asciiTheme="minorHAnsi" w:hAnsiTheme="minorHAnsi" w:cstheme="minorHAnsi"/>
              </w:rPr>
            </w:pPr>
            <w:r w:rsidRPr="00A2241D">
              <w:rPr>
                <w:rFonts w:asciiTheme="minorHAnsi" w:hAnsiTheme="minorHAnsi" w:cstheme="minorHAnsi"/>
              </w:rPr>
              <w:t>Note No.</w:t>
            </w:r>
          </w:p>
        </w:tc>
        <w:tc>
          <w:tcPr>
            <w:tcW w:w="968" w:type="dxa"/>
            <w:tcBorders>
              <w:top w:val="nil"/>
              <w:left w:val="nil"/>
              <w:bottom w:val="nil"/>
              <w:right w:val="nil"/>
            </w:tcBorders>
            <w:shd w:val="clear" w:color="auto" w:fill="auto"/>
            <w:vAlign w:val="bottom"/>
          </w:tcPr>
          <w:p w14:paraId="5425364D"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Actual</w:t>
            </w:r>
          </w:p>
          <w:p w14:paraId="32A0FA05" w14:textId="1F9A74E3" w:rsidR="00863311" w:rsidRPr="00A2241D" w:rsidRDefault="006C26C2" w:rsidP="00863311">
            <w:pPr>
              <w:pStyle w:val="TableTitle"/>
              <w:tabs>
                <w:tab w:val="left" w:pos="3306"/>
              </w:tabs>
              <w:rPr>
                <w:rFonts w:asciiTheme="minorHAnsi" w:hAnsiTheme="minorHAnsi" w:cstheme="minorHAnsi"/>
              </w:rPr>
            </w:pPr>
            <w:r w:rsidRPr="00A2241D">
              <w:rPr>
                <w:rFonts w:cs="Calibri"/>
              </w:rPr>
              <w:t>2022</w:t>
            </w:r>
          </w:p>
          <w:p w14:paraId="64A467AF"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c>
          <w:tcPr>
            <w:tcW w:w="1080" w:type="dxa"/>
            <w:tcBorders>
              <w:top w:val="nil"/>
              <w:left w:val="nil"/>
              <w:bottom w:val="nil"/>
              <w:right w:val="nil"/>
            </w:tcBorders>
            <w:shd w:val="clear" w:color="auto" w:fill="auto"/>
            <w:vAlign w:val="bottom"/>
          </w:tcPr>
          <w:p w14:paraId="122A848F"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Actual</w:t>
            </w:r>
          </w:p>
          <w:p w14:paraId="042C2F94" w14:textId="50F51905" w:rsidR="00863311" w:rsidRPr="00A2241D" w:rsidRDefault="006C26C2" w:rsidP="00863311">
            <w:pPr>
              <w:pStyle w:val="TableTitle"/>
              <w:tabs>
                <w:tab w:val="left" w:pos="3306"/>
              </w:tabs>
              <w:rPr>
                <w:rFonts w:asciiTheme="minorHAnsi" w:hAnsiTheme="minorHAnsi" w:cstheme="minorHAnsi"/>
              </w:rPr>
            </w:pPr>
            <w:r w:rsidRPr="00A2241D">
              <w:rPr>
                <w:rFonts w:cs="Calibri"/>
              </w:rPr>
              <w:t>2022</w:t>
            </w:r>
          </w:p>
          <w:p w14:paraId="2E29FB23"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c>
          <w:tcPr>
            <w:tcW w:w="1194" w:type="dxa"/>
            <w:tcBorders>
              <w:top w:val="nil"/>
              <w:left w:val="nil"/>
              <w:bottom w:val="nil"/>
              <w:right w:val="nil"/>
            </w:tcBorders>
            <w:shd w:val="clear" w:color="auto" w:fill="auto"/>
            <w:vAlign w:val="bottom"/>
          </w:tcPr>
          <w:p w14:paraId="1B94344D"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Budget</w:t>
            </w:r>
          </w:p>
          <w:p w14:paraId="1FA7257F" w14:textId="40DDBE84" w:rsidR="00863311" w:rsidRPr="00A2241D" w:rsidRDefault="006C26C2" w:rsidP="00863311">
            <w:pPr>
              <w:pStyle w:val="TableTitle"/>
              <w:tabs>
                <w:tab w:val="left" w:pos="3306"/>
              </w:tabs>
              <w:rPr>
                <w:rFonts w:asciiTheme="minorHAnsi" w:hAnsiTheme="minorHAnsi" w:cstheme="minorHAnsi"/>
              </w:rPr>
            </w:pPr>
            <w:r w:rsidRPr="00A2241D">
              <w:rPr>
                <w:rFonts w:cs="Calibri"/>
              </w:rPr>
              <w:t>2022</w:t>
            </w:r>
          </w:p>
          <w:p w14:paraId="6A564377" w14:textId="77777777" w:rsidR="00863311" w:rsidRPr="00A2241D" w:rsidRDefault="00863311" w:rsidP="00863311">
            <w:pPr>
              <w:pStyle w:val="TableTitle"/>
              <w:tabs>
                <w:tab w:val="left" w:pos="3306"/>
              </w:tabs>
              <w:rPr>
                <w:rFonts w:asciiTheme="minorHAnsi" w:hAnsiTheme="minorHAnsi" w:cstheme="minorHAnsi"/>
              </w:rPr>
            </w:pPr>
            <w:r w:rsidRPr="00A2241D">
              <w:rPr>
                <w:rFonts w:asciiTheme="minorHAnsi" w:hAnsiTheme="minorHAnsi" w:cstheme="minorHAnsi"/>
              </w:rPr>
              <w:t>$’000</w:t>
            </w:r>
          </w:p>
        </w:tc>
      </w:tr>
      <w:tr w:rsidR="00863311" w:rsidRPr="00CF7E1B" w14:paraId="10241394" w14:textId="77777777" w:rsidTr="0004564D">
        <w:trPr>
          <w:cantSplit/>
          <w:trHeight w:val="20"/>
          <w:jc w:val="center"/>
        </w:trPr>
        <w:tc>
          <w:tcPr>
            <w:tcW w:w="1557" w:type="dxa"/>
            <w:tcBorders>
              <w:top w:val="nil"/>
              <w:left w:val="single" w:sz="2" w:space="0" w:color="auto"/>
              <w:bottom w:val="nil"/>
              <w:right w:val="single" w:sz="2" w:space="0" w:color="auto"/>
            </w:tcBorders>
          </w:tcPr>
          <w:p w14:paraId="2E74A5CC"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vAlign w:val="bottom"/>
          </w:tcPr>
          <w:p w14:paraId="4C095083" w14:textId="77777777" w:rsidR="00863311" w:rsidRPr="00A2241D" w:rsidRDefault="00863311" w:rsidP="00863311">
            <w:pPr>
              <w:pStyle w:val="TableText"/>
              <w:tabs>
                <w:tab w:val="left" w:pos="3306"/>
              </w:tabs>
              <w:rPr>
                <w:rFonts w:asciiTheme="minorHAnsi" w:hAnsiTheme="minorHAnsi" w:cstheme="minorHAnsi"/>
                <w:b/>
                <w:bCs/>
              </w:rPr>
            </w:pPr>
          </w:p>
        </w:tc>
        <w:tc>
          <w:tcPr>
            <w:tcW w:w="720" w:type="dxa"/>
            <w:tcBorders>
              <w:top w:val="nil"/>
              <w:left w:val="nil"/>
              <w:bottom w:val="nil"/>
              <w:right w:val="nil"/>
            </w:tcBorders>
            <w:vAlign w:val="bottom"/>
          </w:tcPr>
          <w:p w14:paraId="1C627D6B"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097244D2"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7FC6E2AF"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0BF34ED6"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7D0DCAD7" w14:textId="77777777" w:rsidTr="0004564D">
        <w:trPr>
          <w:cantSplit/>
          <w:trHeight w:val="20"/>
          <w:jc w:val="center"/>
        </w:trPr>
        <w:tc>
          <w:tcPr>
            <w:tcW w:w="1557" w:type="dxa"/>
            <w:tcBorders>
              <w:top w:val="nil"/>
              <w:left w:val="single" w:sz="2" w:space="0" w:color="auto"/>
              <w:bottom w:val="nil"/>
              <w:right w:val="single" w:sz="2" w:space="0" w:color="auto"/>
            </w:tcBorders>
          </w:tcPr>
          <w:p w14:paraId="530FD235"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68" w:type="dxa"/>
            <w:tcBorders>
              <w:top w:val="nil"/>
              <w:left w:val="single" w:sz="2" w:space="0" w:color="auto"/>
              <w:bottom w:val="nil"/>
              <w:right w:val="nil"/>
            </w:tcBorders>
            <w:vAlign w:val="bottom"/>
          </w:tcPr>
          <w:p w14:paraId="210012FF" w14:textId="755D2D6A" w:rsidR="00863311" w:rsidRPr="00A2241D" w:rsidRDefault="00376863" w:rsidP="008002BA">
            <w:pPr>
              <w:pStyle w:val="TableText"/>
              <w:tabs>
                <w:tab w:val="left" w:pos="3306"/>
              </w:tabs>
              <w:rPr>
                <w:rFonts w:asciiTheme="minorHAnsi" w:hAnsiTheme="minorHAnsi" w:cstheme="minorHAnsi"/>
                <w:b/>
                <w:bCs/>
              </w:rPr>
            </w:pPr>
            <w:r w:rsidRPr="00A2241D">
              <w:rPr>
                <w:rFonts w:cs="Calibri"/>
                <w:b/>
                <w:bCs/>
              </w:rPr>
              <w:t>Balance at 1 July 2021</w:t>
            </w:r>
          </w:p>
        </w:tc>
        <w:tc>
          <w:tcPr>
            <w:tcW w:w="720" w:type="dxa"/>
            <w:tcBorders>
              <w:top w:val="nil"/>
              <w:left w:val="nil"/>
              <w:bottom w:val="nil"/>
              <w:right w:val="nil"/>
            </w:tcBorders>
            <w:vAlign w:val="bottom"/>
          </w:tcPr>
          <w:p w14:paraId="1AE58F04"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single" w:sz="4" w:space="0" w:color="auto"/>
              <w:right w:val="nil"/>
            </w:tcBorders>
            <w:shd w:val="clear" w:color="auto" w:fill="auto"/>
            <w:vAlign w:val="bottom"/>
          </w:tcPr>
          <w:p w14:paraId="73AC3FC7" w14:textId="442B6048" w:rsidR="00863311" w:rsidRPr="00A2241D" w:rsidRDefault="00863311" w:rsidP="00863311">
            <w:pPr>
              <w:pStyle w:val="TableText"/>
              <w:tabs>
                <w:tab w:val="left" w:pos="3306"/>
              </w:tabs>
              <w:jc w:val="right"/>
              <w:rPr>
                <w:rFonts w:asciiTheme="minorHAnsi" w:hAnsiTheme="minorHAnsi" w:cstheme="minorHAnsi"/>
                <w:b/>
              </w:rPr>
            </w:pPr>
          </w:p>
        </w:tc>
        <w:tc>
          <w:tcPr>
            <w:tcW w:w="1080" w:type="dxa"/>
            <w:tcBorders>
              <w:top w:val="nil"/>
              <w:left w:val="nil"/>
              <w:bottom w:val="single" w:sz="4" w:space="0" w:color="auto"/>
              <w:right w:val="nil"/>
            </w:tcBorders>
            <w:shd w:val="clear" w:color="auto" w:fill="auto"/>
            <w:vAlign w:val="bottom"/>
          </w:tcPr>
          <w:p w14:paraId="32179F65" w14:textId="117EAFCF" w:rsidR="00863311" w:rsidRPr="00A2241D" w:rsidRDefault="00863311" w:rsidP="00863311">
            <w:pPr>
              <w:pStyle w:val="TableText"/>
              <w:tabs>
                <w:tab w:val="left" w:pos="3306"/>
              </w:tabs>
              <w:jc w:val="right"/>
              <w:rPr>
                <w:rFonts w:asciiTheme="minorHAnsi" w:hAnsiTheme="minorHAnsi" w:cstheme="minorHAnsi"/>
                <w:b/>
              </w:rPr>
            </w:pPr>
          </w:p>
        </w:tc>
        <w:tc>
          <w:tcPr>
            <w:tcW w:w="1194" w:type="dxa"/>
            <w:tcBorders>
              <w:top w:val="nil"/>
              <w:left w:val="nil"/>
              <w:bottom w:val="single" w:sz="4" w:space="0" w:color="auto"/>
              <w:right w:val="nil"/>
            </w:tcBorders>
            <w:shd w:val="clear" w:color="auto" w:fill="auto"/>
            <w:vAlign w:val="bottom"/>
          </w:tcPr>
          <w:p w14:paraId="4F4AA0F6" w14:textId="02A866DC" w:rsidR="00863311" w:rsidRPr="00A2241D" w:rsidRDefault="00863311" w:rsidP="00863311">
            <w:pPr>
              <w:pStyle w:val="TableText"/>
              <w:tabs>
                <w:tab w:val="left" w:pos="3306"/>
              </w:tabs>
              <w:jc w:val="right"/>
              <w:rPr>
                <w:rFonts w:asciiTheme="minorHAnsi" w:hAnsiTheme="minorHAnsi" w:cstheme="minorHAnsi"/>
                <w:b/>
              </w:rPr>
            </w:pPr>
          </w:p>
        </w:tc>
      </w:tr>
      <w:tr w:rsidR="00863311" w:rsidRPr="00CF7E1B" w14:paraId="604DBE16" w14:textId="77777777" w:rsidTr="0004564D">
        <w:trPr>
          <w:cantSplit/>
          <w:trHeight w:val="20"/>
          <w:jc w:val="center"/>
        </w:trPr>
        <w:tc>
          <w:tcPr>
            <w:tcW w:w="1557" w:type="dxa"/>
            <w:tcBorders>
              <w:top w:val="nil"/>
              <w:left w:val="single" w:sz="2" w:space="0" w:color="auto"/>
              <w:bottom w:val="nil"/>
              <w:right w:val="single" w:sz="2" w:space="0" w:color="auto"/>
            </w:tcBorders>
          </w:tcPr>
          <w:p w14:paraId="152B9344"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3BD669A" w14:textId="77777777" w:rsidR="00863311" w:rsidRPr="00A2241D" w:rsidRDefault="00863311" w:rsidP="00863311">
            <w:pPr>
              <w:tabs>
                <w:tab w:val="left" w:pos="3306"/>
              </w:tabs>
              <w:spacing w:before="60" w:after="60"/>
              <w:rPr>
                <w:rFonts w:asciiTheme="minorHAnsi" w:hAnsiTheme="minorHAnsi" w:cstheme="minorHAnsi"/>
                <w:b/>
                <w:sz w:val="18"/>
                <w:szCs w:val="18"/>
              </w:rPr>
            </w:pPr>
            <w:r w:rsidRPr="00A2241D">
              <w:rPr>
                <w:rFonts w:asciiTheme="minorHAnsi" w:hAnsiTheme="minorHAnsi" w:cstheme="minorHAnsi"/>
                <w:b/>
                <w:sz w:val="18"/>
                <w:szCs w:val="18"/>
              </w:rPr>
              <w:t>Comprehensive Income</w:t>
            </w:r>
          </w:p>
        </w:tc>
        <w:tc>
          <w:tcPr>
            <w:tcW w:w="720" w:type="dxa"/>
            <w:tcBorders>
              <w:top w:val="nil"/>
              <w:left w:val="nil"/>
              <w:bottom w:val="nil"/>
              <w:right w:val="nil"/>
            </w:tcBorders>
            <w:vAlign w:val="bottom"/>
          </w:tcPr>
          <w:p w14:paraId="5416060C"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nil"/>
              <w:right w:val="nil"/>
            </w:tcBorders>
            <w:shd w:val="clear" w:color="auto" w:fill="auto"/>
            <w:vAlign w:val="bottom"/>
          </w:tcPr>
          <w:p w14:paraId="6BF2EDF9"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single" w:sz="4" w:space="0" w:color="auto"/>
              <w:left w:val="nil"/>
              <w:bottom w:val="nil"/>
              <w:right w:val="nil"/>
            </w:tcBorders>
            <w:shd w:val="clear" w:color="auto" w:fill="auto"/>
            <w:vAlign w:val="bottom"/>
          </w:tcPr>
          <w:p w14:paraId="61A04DB6"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single" w:sz="4" w:space="0" w:color="auto"/>
              <w:left w:val="nil"/>
              <w:bottom w:val="nil"/>
              <w:right w:val="nil"/>
            </w:tcBorders>
            <w:shd w:val="clear" w:color="auto" w:fill="auto"/>
            <w:vAlign w:val="bottom"/>
          </w:tcPr>
          <w:p w14:paraId="5DD21A74"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73AA2276" w14:textId="77777777" w:rsidTr="0004564D">
        <w:trPr>
          <w:cantSplit/>
          <w:trHeight w:val="20"/>
          <w:jc w:val="center"/>
        </w:trPr>
        <w:tc>
          <w:tcPr>
            <w:tcW w:w="1557" w:type="dxa"/>
            <w:tcBorders>
              <w:top w:val="nil"/>
              <w:left w:val="single" w:sz="2" w:space="0" w:color="auto"/>
              <w:bottom w:val="nil"/>
              <w:right w:val="single" w:sz="2" w:space="0" w:color="auto"/>
            </w:tcBorders>
          </w:tcPr>
          <w:p w14:paraId="21824C0D"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106(d)(i)</w:t>
            </w:r>
          </w:p>
        </w:tc>
        <w:tc>
          <w:tcPr>
            <w:tcW w:w="4968" w:type="dxa"/>
            <w:tcBorders>
              <w:top w:val="nil"/>
              <w:left w:val="single" w:sz="2" w:space="0" w:color="auto"/>
              <w:bottom w:val="nil"/>
              <w:right w:val="nil"/>
            </w:tcBorders>
          </w:tcPr>
          <w:p w14:paraId="1EAC6471" w14:textId="67EDB3C0"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Operating </w:t>
            </w:r>
            <w:r w:rsidR="00A164A4" w:rsidRPr="00A2241D">
              <w:rPr>
                <w:rFonts w:cs="Calibri"/>
                <w:sz w:val="18"/>
                <w:szCs w:val="18"/>
              </w:rPr>
              <w:t>Result</w:t>
            </w:r>
          </w:p>
        </w:tc>
        <w:tc>
          <w:tcPr>
            <w:tcW w:w="720" w:type="dxa"/>
            <w:tcBorders>
              <w:top w:val="nil"/>
              <w:left w:val="nil"/>
              <w:bottom w:val="nil"/>
              <w:right w:val="nil"/>
            </w:tcBorders>
            <w:vAlign w:val="bottom"/>
          </w:tcPr>
          <w:p w14:paraId="56961519"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56B435F3" w14:textId="4327022C"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5A868B42" w14:textId="22DAE8F0"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769956F6" w14:textId="4F1990F5"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21EF4664" w14:textId="77777777" w:rsidTr="0004564D">
        <w:trPr>
          <w:cantSplit/>
          <w:trHeight w:val="20"/>
          <w:jc w:val="center"/>
        </w:trPr>
        <w:tc>
          <w:tcPr>
            <w:tcW w:w="1557" w:type="dxa"/>
            <w:tcBorders>
              <w:top w:val="nil"/>
              <w:left w:val="single" w:sz="2" w:space="0" w:color="auto"/>
              <w:bottom w:val="nil"/>
              <w:right w:val="single" w:sz="2" w:space="0" w:color="auto"/>
            </w:tcBorders>
          </w:tcPr>
          <w:p w14:paraId="7E924DB8"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DBC896C" w14:textId="77777777"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Other Comprehensive Income</w:t>
            </w:r>
          </w:p>
        </w:tc>
        <w:tc>
          <w:tcPr>
            <w:tcW w:w="720" w:type="dxa"/>
            <w:tcBorders>
              <w:top w:val="nil"/>
              <w:left w:val="nil"/>
              <w:bottom w:val="nil"/>
              <w:right w:val="nil"/>
            </w:tcBorders>
            <w:vAlign w:val="bottom"/>
          </w:tcPr>
          <w:p w14:paraId="54F0DE8F"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single" w:sz="4" w:space="0" w:color="auto"/>
              <w:right w:val="nil"/>
            </w:tcBorders>
            <w:shd w:val="clear" w:color="auto" w:fill="auto"/>
            <w:vAlign w:val="bottom"/>
          </w:tcPr>
          <w:p w14:paraId="3796E420" w14:textId="6FE43AD1"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single" w:sz="4" w:space="0" w:color="auto"/>
              <w:right w:val="nil"/>
            </w:tcBorders>
            <w:shd w:val="clear" w:color="auto" w:fill="auto"/>
            <w:vAlign w:val="bottom"/>
          </w:tcPr>
          <w:p w14:paraId="32BA60BD" w14:textId="46DB8E05"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single" w:sz="4" w:space="0" w:color="auto"/>
              <w:right w:val="nil"/>
            </w:tcBorders>
            <w:shd w:val="clear" w:color="auto" w:fill="auto"/>
            <w:vAlign w:val="bottom"/>
          </w:tcPr>
          <w:p w14:paraId="331E0695" w14:textId="1510F6DF"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48F28E44" w14:textId="77777777" w:rsidTr="0004564D">
        <w:trPr>
          <w:cantSplit/>
          <w:trHeight w:val="20"/>
          <w:jc w:val="center"/>
        </w:trPr>
        <w:tc>
          <w:tcPr>
            <w:tcW w:w="1557" w:type="dxa"/>
            <w:tcBorders>
              <w:top w:val="nil"/>
              <w:left w:val="single" w:sz="2" w:space="0" w:color="auto"/>
              <w:bottom w:val="nil"/>
              <w:right w:val="single" w:sz="2" w:space="0" w:color="auto"/>
            </w:tcBorders>
          </w:tcPr>
          <w:p w14:paraId="736C3002" w14:textId="77777777" w:rsidR="00863311" w:rsidRPr="00A2241D" w:rsidRDefault="00863311" w:rsidP="00B945AA">
            <w:pPr>
              <w:pStyle w:val="TableReference"/>
              <w:tabs>
                <w:tab w:val="left" w:pos="3306"/>
              </w:tabs>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w:t>
            </w:r>
            <w:r w:rsidR="00D001B7" w:rsidRPr="00A2241D">
              <w:rPr>
                <w:rFonts w:cs="Calibri"/>
                <w:color w:val="7030A0"/>
                <w:sz w:val="14"/>
              </w:rPr>
              <w:t>(</w:t>
            </w:r>
            <w:r w:rsidRPr="00A2241D">
              <w:rPr>
                <w:rFonts w:cs="Calibri"/>
                <w:color w:val="7030A0"/>
                <w:sz w:val="14"/>
              </w:rPr>
              <w:t>a)</w:t>
            </w:r>
          </w:p>
        </w:tc>
        <w:tc>
          <w:tcPr>
            <w:tcW w:w="4968" w:type="dxa"/>
            <w:tcBorders>
              <w:top w:val="nil"/>
              <w:left w:val="single" w:sz="2" w:space="0" w:color="auto"/>
              <w:bottom w:val="nil"/>
              <w:right w:val="nil"/>
            </w:tcBorders>
          </w:tcPr>
          <w:p w14:paraId="187ABA16" w14:textId="155ECF11" w:rsidR="00863311" w:rsidRPr="00A2241D" w:rsidRDefault="00863311" w:rsidP="00B945AA">
            <w:pPr>
              <w:tabs>
                <w:tab w:val="left" w:pos="3306"/>
              </w:tabs>
              <w:rPr>
                <w:rFonts w:asciiTheme="minorHAnsi" w:hAnsiTheme="minorHAnsi" w:cstheme="minorHAnsi"/>
                <w:b/>
                <w:strike/>
                <w:sz w:val="18"/>
                <w:szCs w:val="18"/>
              </w:rPr>
            </w:pPr>
            <w:r w:rsidRPr="00A2241D">
              <w:rPr>
                <w:rFonts w:asciiTheme="minorHAnsi" w:hAnsiTheme="minorHAnsi" w:cstheme="minorHAnsi"/>
                <w:b/>
                <w:sz w:val="18"/>
                <w:szCs w:val="18"/>
              </w:rPr>
              <w:t>Total Comprehensive Income</w:t>
            </w:r>
          </w:p>
        </w:tc>
        <w:tc>
          <w:tcPr>
            <w:tcW w:w="720" w:type="dxa"/>
            <w:tcBorders>
              <w:top w:val="nil"/>
              <w:left w:val="nil"/>
              <w:bottom w:val="nil"/>
              <w:right w:val="nil"/>
            </w:tcBorders>
            <w:vAlign w:val="bottom"/>
          </w:tcPr>
          <w:p w14:paraId="37418D1F" w14:textId="77777777" w:rsidR="00863311" w:rsidRPr="00A2241D" w:rsidRDefault="00863311" w:rsidP="00B945AA">
            <w:pPr>
              <w:pStyle w:val="TableText"/>
              <w:tabs>
                <w:tab w:val="left" w:pos="3306"/>
              </w:tabs>
              <w:spacing w:before="0"/>
              <w:jc w:val="center"/>
              <w:rPr>
                <w:rFonts w:asciiTheme="minorHAnsi" w:hAnsiTheme="minorHAnsi" w:cstheme="minorHAnsi"/>
              </w:rPr>
            </w:pPr>
          </w:p>
        </w:tc>
        <w:tc>
          <w:tcPr>
            <w:tcW w:w="968" w:type="dxa"/>
            <w:tcBorders>
              <w:top w:val="single" w:sz="4" w:space="0" w:color="auto"/>
              <w:left w:val="nil"/>
              <w:bottom w:val="single" w:sz="4" w:space="0" w:color="auto"/>
              <w:right w:val="nil"/>
            </w:tcBorders>
            <w:shd w:val="clear" w:color="auto" w:fill="auto"/>
            <w:vAlign w:val="bottom"/>
          </w:tcPr>
          <w:p w14:paraId="68CFC1C4" w14:textId="5DC2F7F6" w:rsidR="00863311" w:rsidRPr="00A2241D" w:rsidRDefault="00863311" w:rsidP="00B945AA">
            <w:pPr>
              <w:pStyle w:val="TableText"/>
              <w:tabs>
                <w:tab w:val="left" w:pos="3306"/>
              </w:tabs>
              <w:spacing w:before="0"/>
              <w:jc w:val="right"/>
              <w:rPr>
                <w:rFonts w:asciiTheme="minorHAnsi" w:hAnsiTheme="minorHAnsi" w:cstheme="minorHAnsi"/>
              </w:rPr>
            </w:pPr>
          </w:p>
        </w:tc>
        <w:tc>
          <w:tcPr>
            <w:tcW w:w="1080" w:type="dxa"/>
            <w:tcBorders>
              <w:top w:val="single" w:sz="4" w:space="0" w:color="auto"/>
              <w:left w:val="nil"/>
              <w:bottom w:val="single" w:sz="4" w:space="0" w:color="auto"/>
              <w:right w:val="nil"/>
            </w:tcBorders>
            <w:shd w:val="clear" w:color="auto" w:fill="auto"/>
            <w:vAlign w:val="bottom"/>
          </w:tcPr>
          <w:p w14:paraId="05495E70" w14:textId="2C80A191" w:rsidR="00863311" w:rsidRPr="00A2241D" w:rsidRDefault="00863311" w:rsidP="00B945AA">
            <w:pPr>
              <w:pStyle w:val="TableText"/>
              <w:tabs>
                <w:tab w:val="left" w:pos="3306"/>
              </w:tabs>
              <w:spacing w:before="0"/>
              <w:jc w:val="right"/>
              <w:rPr>
                <w:rFonts w:asciiTheme="minorHAnsi" w:hAnsiTheme="minorHAnsi" w:cstheme="minorHAnsi"/>
              </w:rPr>
            </w:pPr>
          </w:p>
        </w:tc>
        <w:tc>
          <w:tcPr>
            <w:tcW w:w="1194" w:type="dxa"/>
            <w:tcBorders>
              <w:top w:val="single" w:sz="4" w:space="0" w:color="auto"/>
              <w:left w:val="nil"/>
              <w:bottom w:val="single" w:sz="4" w:space="0" w:color="auto"/>
              <w:right w:val="nil"/>
            </w:tcBorders>
            <w:shd w:val="clear" w:color="auto" w:fill="auto"/>
            <w:vAlign w:val="bottom"/>
          </w:tcPr>
          <w:p w14:paraId="6AB8A72E" w14:textId="21B15E70" w:rsidR="00863311" w:rsidRPr="00A2241D" w:rsidRDefault="00863311" w:rsidP="00B945AA">
            <w:pPr>
              <w:pStyle w:val="TableText"/>
              <w:tabs>
                <w:tab w:val="left" w:pos="3306"/>
              </w:tabs>
              <w:spacing w:before="0"/>
              <w:jc w:val="right"/>
              <w:rPr>
                <w:rFonts w:asciiTheme="minorHAnsi" w:hAnsiTheme="minorHAnsi" w:cstheme="minorHAnsi"/>
              </w:rPr>
            </w:pPr>
          </w:p>
        </w:tc>
      </w:tr>
      <w:tr w:rsidR="00863311" w:rsidRPr="00CF7E1B" w14:paraId="2BE6554B" w14:textId="77777777" w:rsidTr="0004564D">
        <w:trPr>
          <w:cantSplit/>
          <w:trHeight w:val="20"/>
          <w:jc w:val="center"/>
        </w:trPr>
        <w:tc>
          <w:tcPr>
            <w:tcW w:w="1557" w:type="dxa"/>
            <w:tcBorders>
              <w:top w:val="nil"/>
              <w:left w:val="single" w:sz="2" w:space="0" w:color="auto"/>
              <w:bottom w:val="nil"/>
              <w:right w:val="single" w:sz="2" w:space="0" w:color="auto"/>
            </w:tcBorders>
          </w:tcPr>
          <w:p w14:paraId="1C489887"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28103402" w14:textId="77777777" w:rsidR="00863311" w:rsidRPr="00A2241D" w:rsidRDefault="00863311" w:rsidP="001F661B">
            <w:pPr>
              <w:tabs>
                <w:tab w:val="left" w:pos="3306"/>
              </w:tabs>
              <w:spacing w:before="180" w:after="180"/>
              <w:rPr>
                <w:rFonts w:asciiTheme="minorHAnsi" w:hAnsiTheme="minorHAnsi" w:cstheme="minorHAnsi"/>
                <w:strike/>
                <w:sz w:val="18"/>
                <w:szCs w:val="18"/>
              </w:rPr>
            </w:pPr>
            <w:r w:rsidRPr="00A2241D">
              <w:rPr>
                <w:rFonts w:asciiTheme="minorHAnsi" w:hAnsiTheme="minorHAnsi" w:cstheme="minorHAnsi"/>
                <w:sz w:val="18"/>
                <w:szCs w:val="18"/>
              </w:rPr>
              <w:t>Transfers to/(from) reserves</w:t>
            </w:r>
          </w:p>
        </w:tc>
        <w:tc>
          <w:tcPr>
            <w:tcW w:w="720" w:type="dxa"/>
            <w:tcBorders>
              <w:top w:val="nil"/>
              <w:left w:val="nil"/>
              <w:bottom w:val="nil"/>
              <w:right w:val="nil"/>
            </w:tcBorders>
            <w:vAlign w:val="bottom"/>
          </w:tcPr>
          <w:p w14:paraId="10A7F6B6"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nil"/>
              <w:right w:val="nil"/>
            </w:tcBorders>
            <w:shd w:val="clear" w:color="auto" w:fill="auto"/>
            <w:vAlign w:val="bottom"/>
          </w:tcPr>
          <w:p w14:paraId="16B0709F" w14:textId="4BD0DE09"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single" w:sz="4" w:space="0" w:color="auto"/>
              <w:left w:val="nil"/>
              <w:bottom w:val="nil"/>
              <w:right w:val="nil"/>
            </w:tcBorders>
            <w:shd w:val="clear" w:color="auto" w:fill="auto"/>
            <w:vAlign w:val="bottom"/>
          </w:tcPr>
          <w:p w14:paraId="09DD48B3" w14:textId="399CB4CD"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single" w:sz="4" w:space="0" w:color="auto"/>
              <w:left w:val="nil"/>
              <w:bottom w:val="nil"/>
              <w:right w:val="nil"/>
            </w:tcBorders>
            <w:shd w:val="clear" w:color="auto" w:fill="auto"/>
            <w:vAlign w:val="bottom"/>
          </w:tcPr>
          <w:p w14:paraId="093AB2B4" w14:textId="1BAF92BA"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5386B688" w14:textId="77777777" w:rsidTr="0004564D">
        <w:trPr>
          <w:cantSplit/>
          <w:trHeight w:val="20"/>
          <w:jc w:val="center"/>
        </w:trPr>
        <w:tc>
          <w:tcPr>
            <w:tcW w:w="1557" w:type="dxa"/>
            <w:tcBorders>
              <w:top w:val="nil"/>
              <w:left w:val="single" w:sz="2" w:space="0" w:color="auto"/>
              <w:bottom w:val="nil"/>
              <w:right w:val="single" w:sz="2" w:space="0" w:color="auto"/>
            </w:tcBorders>
          </w:tcPr>
          <w:p w14:paraId="7F62B3A7"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08930C00" w14:textId="1F097EAB" w:rsidR="00863311" w:rsidRPr="00A2241D" w:rsidRDefault="00863311" w:rsidP="00561CDB">
            <w:pPr>
              <w:tabs>
                <w:tab w:val="left" w:pos="3306"/>
              </w:tabs>
              <w:spacing w:before="60" w:after="60"/>
              <w:rPr>
                <w:rFonts w:asciiTheme="minorHAnsi" w:hAnsiTheme="minorHAnsi" w:cstheme="minorHAnsi"/>
                <w:b/>
                <w:iCs/>
                <w:sz w:val="18"/>
                <w:szCs w:val="18"/>
              </w:rPr>
            </w:pPr>
            <w:r w:rsidRPr="00A2241D">
              <w:rPr>
                <w:rFonts w:asciiTheme="minorHAnsi" w:hAnsiTheme="minorHAnsi" w:cstheme="minorHAnsi"/>
                <w:b/>
                <w:iCs/>
                <w:sz w:val="18"/>
                <w:szCs w:val="18"/>
              </w:rPr>
              <w:t xml:space="preserve">Transactions </w:t>
            </w:r>
            <w:r w:rsidR="001F661B" w:rsidRPr="00A2241D">
              <w:rPr>
                <w:rFonts w:cs="Calibri"/>
                <w:b/>
                <w:iCs/>
                <w:sz w:val="18"/>
              </w:rPr>
              <w:t>Involving</w:t>
            </w:r>
            <w:r w:rsidR="001F661B" w:rsidRPr="00A2241D">
              <w:rPr>
                <w:rFonts w:asciiTheme="minorHAnsi" w:hAnsiTheme="minorHAnsi" w:cstheme="minorHAnsi"/>
                <w:b/>
                <w:iCs/>
                <w:sz w:val="18"/>
                <w:szCs w:val="18"/>
              </w:rPr>
              <w:t xml:space="preserve"> </w:t>
            </w:r>
            <w:r w:rsidRPr="00A2241D">
              <w:rPr>
                <w:rFonts w:asciiTheme="minorHAnsi" w:hAnsiTheme="minorHAnsi" w:cstheme="minorHAnsi"/>
                <w:b/>
                <w:iCs/>
                <w:sz w:val="18"/>
                <w:szCs w:val="18"/>
              </w:rPr>
              <w:t>Owners Affecting Accumulated Funds</w:t>
            </w:r>
          </w:p>
        </w:tc>
        <w:tc>
          <w:tcPr>
            <w:tcW w:w="720" w:type="dxa"/>
            <w:tcBorders>
              <w:top w:val="nil"/>
              <w:left w:val="nil"/>
              <w:bottom w:val="nil"/>
              <w:right w:val="nil"/>
            </w:tcBorders>
            <w:vAlign w:val="bottom"/>
          </w:tcPr>
          <w:p w14:paraId="0C401912"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120E7C71" w14:textId="77777777"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50C8B7AB" w14:textId="77777777"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3F3AF2F0" w14:textId="77777777"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5928FE1D" w14:textId="77777777" w:rsidTr="0004564D">
        <w:trPr>
          <w:cantSplit/>
          <w:trHeight w:val="20"/>
          <w:jc w:val="center"/>
        </w:trPr>
        <w:tc>
          <w:tcPr>
            <w:tcW w:w="1557" w:type="dxa"/>
            <w:tcBorders>
              <w:top w:val="nil"/>
              <w:left w:val="single" w:sz="2" w:space="0" w:color="auto"/>
              <w:bottom w:val="nil"/>
              <w:right w:val="single" w:sz="2" w:space="0" w:color="auto"/>
            </w:tcBorders>
          </w:tcPr>
          <w:p w14:paraId="721554F9"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3769BEEE" w14:textId="77777777"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Capital Injections</w:t>
            </w:r>
          </w:p>
        </w:tc>
        <w:tc>
          <w:tcPr>
            <w:tcW w:w="720" w:type="dxa"/>
            <w:tcBorders>
              <w:top w:val="nil"/>
              <w:left w:val="nil"/>
              <w:bottom w:val="nil"/>
              <w:right w:val="nil"/>
            </w:tcBorders>
            <w:vAlign w:val="bottom"/>
          </w:tcPr>
          <w:p w14:paraId="6ECE8EA5"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05433626" w14:textId="290B0978"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7E80F9FC" w14:textId="6750FD1C"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350342DE" w14:textId="26E2D6A3" w:rsidR="00863311" w:rsidRPr="00A2241D" w:rsidRDefault="00863311" w:rsidP="00863311">
            <w:pPr>
              <w:pStyle w:val="TableText"/>
              <w:tabs>
                <w:tab w:val="left" w:pos="3306"/>
              </w:tabs>
              <w:jc w:val="right"/>
              <w:rPr>
                <w:rFonts w:asciiTheme="minorHAnsi" w:hAnsiTheme="minorHAnsi" w:cstheme="minorHAnsi"/>
              </w:rPr>
            </w:pPr>
          </w:p>
        </w:tc>
      </w:tr>
      <w:tr w:rsidR="00863311" w:rsidRPr="00CF7E1B" w14:paraId="66CFFDCD" w14:textId="77777777" w:rsidTr="0004564D">
        <w:trPr>
          <w:cantSplit/>
          <w:trHeight w:val="20"/>
          <w:jc w:val="center"/>
        </w:trPr>
        <w:tc>
          <w:tcPr>
            <w:tcW w:w="1557" w:type="dxa"/>
            <w:tcBorders>
              <w:top w:val="nil"/>
              <w:left w:val="single" w:sz="2" w:space="0" w:color="auto"/>
              <w:bottom w:val="nil"/>
              <w:right w:val="single" w:sz="2" w:space="0" w:color="auto"/>
            </w:tcBorders>
          </w:tcPr>
          <w:p w14:paraId="14A9729C" w14:textId="77777777" w:rsidR="00863311" w:rsidRPr="00A2241D" w:rsidRDefault="00863311" w:rsidP="00863311">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439E7681" w14:textId="77777777" w:rsidR="00863311" w:rsidRPr="00A2241D" w:rsidRDefault="00863311" w:rsidP="00863311">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Capital (Distributions) </w:t>
            </w:r>
          </w:p>
        </w:tc>
        <w:tc>
          <w:tcPr>
            <w:tcW w:w="720" w:type="dxa"/>
            <w:tcBorders>
              <w:top w:val="nil"/>
              <w:left w:val="nil"/>
              <w:bottom w:val="nil"/>
              <w:right w:val="nil"/>
            </w:tcBorders>
            <w:vAlign w:val="bottom"/>
          </w:tcPr>
          <w:p w14:paraId="313516AB"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nil"/>
              <w:left w:val="nil"/>
              <w:bottom w:val="nil"/>
              <w:right w:val="nil"/>
            </w:tcBorders>
            <w:shd w:val="clear" w:color="auto" w:fill="auto"/>
            <w:vAlign w:val="bottom"/>
          </w:tcPr>
          <w:p w14:paraId="5CB375DC" w14:textId="4CA8E403" w:rsidR="00863311" w:rsidRPr="00A2241D" w:rsidRDefault="00863311" w:rsidP="00863311">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6BBD6DA8" w14:textId="1BA60F62" w:rsidR="00863311" w:rsidRPr="00A2241D" w:rsidRDefault="00863311" w:rsidP="00863311">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5D24C615" w14:textId="27770275" w:rsidR="00863311" w:rsidRPr="00A2241D" w:rsidRDefault="00863311" w:rsidP="00863311">
            <w:pPr>
              <w:pStyle w:val="TableText"/>
              <w:tabs>
                <w:tab w:val="left" w:pos="3306"/>
              </w:tabs>
              <w:jc w:val="right"/>
              <w:rPr>
                <w:rFonts w:asciiTheme="minorHAnsi" w:hAnsiTheme="minorHAnsi" w:cstheme="minorHAnsi"/>
              </w:rPr>
            </w:pPr>
          </w:p>
        </w:tc>
      </w:tr>
      <w:tr w:rsidR="00104AEF" w:rsidRPr="00CF7E1B" w14:paraId="477EFBC8" w14:textId="77777777" w:rsidTr="0004564D">
        <w:trPr>
          <w:cantSplit/>
          <w:trHeight w:val="20"/>
          <w:jc w:val="center"/>
        </w:trPr>
        <w:tc>
          <w:tcPr>
            <w:tcW w:w="1557" w:type="dxa"/>
            <w:tcBorders>
              <w:top w:val="nil"/>
              <w:left w:val="single" w:sz="2" w:space="0" w:color="auto"/>
              <w:bottom w:val="nil"/>
              <w:right w:val="single" w:sz="2" w:space="0" w:color="auto"/>
            </w:tcBorders>
          </w:tcPr>
          <w:p w14:paraId="54488A12" w14:textId="77777777" w:rsidR="00104AEF" w:rsidRPr="00A2241D" w:rsidRDefault="00104AEF" w:rsidP="00104AEF">
            <w:pPr>
              <w:pStyle w:val="TableReference"/>
              <w:tabs>
                <w:tab w:val="left" w:pos="3306"/>
              </w:tabs>
              <w:spacing w:before="60"/>
              <w:rPr>
                <w:rFonts w:cs="Calibri"/>
                <w:color w:val="7030A0"/>
                <w:sz w:val="14"/>
              </w:rPr>
            </w:pPr>
          </w:p>
        </w:tc>
        <w:tc>
          <w:tcPr>
            <w:tcW w:w="4968" w:type="dxa"/>
            <w:tcBorders>
              <w:top w:val="nil"/>
              <w:left w:val="single" w:sz="2" w:space="0" w:color="auto"/>
              <w:bottom w:val="nil"/>
              <w:right w:val="nil"/>
            </w:tcBorders>
          </w:tcPr>
          <w:p w14:paraId="7DE5C441" w14:textId="2263F80A" w:rsidR="00104AEF" w:rsidRPr="00A2241D" w:rsidRDefault="00104AEF" w:rsidP="00104AEF">
            <w:pPr>
              <w:tabs>
                <w:tab w:val="left" w:pos="3306"/>
              </w:tabs>
              <w:spacing w:before="60" w:after="60"/>
              <w:rPr>
                <w:rFonts w:asciiTheme="minorHAnsi" w:hAnsiTheme="minorHAnsi" w:cstheme="minorHAnsi"/>
                <w:sz w:val="18"/>
                <w:szCs w:val="18"/>
              </w:rPr>
            </w:pPr>
            <w:r w:rsidRPr="00A2241D">
              <w:rPr>
                <w:rFonts w:asciiTheme="minorHAnsi" w:hAnsiTheme="minorHAnsi" w:cstheme="minorHAnsi"/>
                <w:sz w:val="18"/>
                <w:szCs w:val="18"/>
              </w:rPr>
              <w:t xml:space="preserve">Net Assets transferred in </w:t>
            </w:r>
            <w:r w:rsidR="00B945AA" w:rsidRPr="00A2241D">
              <w:rPr>
                <w:rFonts w:cs="Calibri"/>
                <w:sz w:val="18"/>
              </w:rPr>
              <w:t>as part of</w:t>
            </w:r>
            <w:r w:rsidR="00B945AA" w:rsidRPr="00A2241D">
              <w:rPr>
                <w:rFonts w:asciiTheme="minorHAnsi" w:hAnsiTheme="minorHAnsi" w:cstheme="minorHAnsi"/>
                <w:sz w:val="18"/>
                <w:szCs w:val="18"/>
              </w:rPr>
              <w:t xml:space="preserve"> </w:t>
            </w:r>
            <w:r w:rsidR="006222F7" w:rsidRPr="00A2241D">
              <w:rPr>
                <w:rFonts w:asciiTheme="minorHAnsi" w:hAnsiTheme="minorHAnsi" w:cstheme="minorHAnsi"/>
                <w:sz w:val="18"/>
                <w:szCs w:val="18"/>
              </w:rPr>
              <w:t>a</w:t>
            </w:r>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Administrative Restructure</w:t>
            </w:r>
          </w:p>
        </w:tc>
        <w:tc>
          <w:tcPr>
            <w:tcW w:w="720" w:type="dxa"/>
            <w:tcBorders>
              <w:top w:val="nil"/>
              <w:left w:val="nil"/>
              <w:bottom w:val="nil"/>
              <w:right w:val="nil"/>
            </w:tcBorders>
          </w:tcPr>
          <w:p w14:paraId="72A6EB25" w14:textId="01463601" w:rsidR="00104AEF" w:rsidRPr="00A2241D" w:rsidRDefault="001F7F23" w:rsidP="001220C0">
            <w:pPr>
              <w:pStyle w:val="TableText"/>
              <w:tabs>
                <w:tab w:val="left" w:pos="3306"/>
              </w:tabs>
              <w:jc w:val="center"/>
              <w:rPr>
                <w:rFonts w:asciiTheme="minorHAnsi" w:hAnsiTheme="minorHAnsi" w:cstheme="minorHAnsi"/>
                <w:strike/>
              </w:rPr>
            </w:pPr>
            <w:r w:rsidRPr="00A2241D">
              <w:rPr>
                <w:rFonts w:cs="Calibri"/>
              </w:rPr>
              <w:t>5</w:t>
            </w:r>
            <w:r w:rsidR="001220C0" w:rsidRPr="00A2241D">
              <w:rPr>
                <w:rFonts w:cs="Calibri"/>
              </w:rPr>
              <w:t>2</w:t>
            </w:r>
          </w:p>
        </w:tc>
        <w:tc>
          <w:tcPr>
            <w:tcW w:w="968" w:type="dxa"/>
            <w:tcBorders>
              <w:top w:val="nil"/>
              <w:left w:val="nil"/>
              <w:bottom w:val="nil"/>
              <w:right w:val="nil"/>
            </w:tcBorders>
            <w:shd w:val="clear" w:color="auto" w:fill="auto"/>
            <w:vAlign w:val="bottom"/>
          </w:tcPr>
          <w:p w14:paraId="0897DC43" w14:textId="04A74FB6" w:rsidR="00104AEF" w:rsidRPr="00A2241D" w:rsidRDefault="00104AEF" w:rsidP="00104AEF">
            <w:pPr>
              <w:pStyle w:val="TableText"/>
              <w:tabs>
                <w:tab w:val="left" w:pos="3306"/>
              </w:tabs>
              <w:jc w:val="right"/>
              <w:rPr>
                <w:rFonts w:asciiTheme="minorHAnsi" w:hAnsiTheme="minorHAnsi" w:cstheme="minorHAnsi"/>
              </w:rPr>
            </w:pPr>
          </w:p>
        </w:tc>
        <w:tc>
          <w:tcPr>
            <w:tcW w:w="1080" w:type="dxa"/>
            <w:tcBorders>
              <w:top w:val="nil"/>
              <w:left w:val="nil"/>
              <w:bottom w:val="nil"/>
              <w:right w:val="nil"/>
            </w:tcBorders>
            <w:shd w:val="clear" w:color="auto" w:fill="auto"/>
            <w:vAlign w:val="bottom"/>
          </w:tcPr>
          <w:p w14:paraId="44E9A685" w14:textId="6886563D" w:rsidR="00104AEF" w:rsidRPr="00A2241D" w:rsidRDefault="00104AEF" w:rsidP="00104AEF">
            <w:pPr>
              <w:pStyle w:val="TableText"/>
              <w:tabs>
                <w:tab w:val="left" w:pos="3306"/>
              </w:tabs>
              <w:jc w:val="right"/>
              <w:rPr>
                <w:rFonts w:asciiTheme="minorHAnsi" w:hAnsiTheme="minorHAnsi" w:cstheme="minorHAnsi"/>
              </w:rPr>
            </w:pPr>
          </w:p>
        </w:tc>
        <w:tc>
          <w:tcPr>
            <w:tcW w:w="1194" w:type="dxa"/>
            <w:tcBorders>
              <w:top w:val="nil"/>
              <w:left w:val="nil"/>
              <w:bottom w:val="nil"/>
              <w:right w:val="nil"/>
            </w:tcBorders>
            <w:shd w:val="clear" w:color="auto" w:fill="auto"/>
            <w:vAlign w:val="bottom"/>
          </w:tcPr>
          <w:p w14:paraId="52A60E4A" w14:textId="064036E3" w:rsidR="00104AEF" w:rsidRPr="00A2241D" w:rsidRDefault="00104AEF" w:rsidP="00104AEF">
            <w:pPr>
              <w:pStyle w:val="TableText"/>
              <w:tabs>
                <w:tab w:val="left" w:pos="3306"/>
              </w:tabs>
              <w:jc w:val="right"/>
              <w:rPr>
                <w:rFonts w:asciiTheme="minorHAnsi" w:hAnsiTheme="minorHAnsi" w:cstheme="minorHAnsi"/>
              </w:rPr>
            </w:pPr>
          </w:p>
        </w:tc>
      </w:tr>
      <w:tr w:rsidR="00104AEF" w:rsidRPr="00CF7E1B" w14:paraId="22EB5A62" w14:textId="77777777" w:rsidTr="0004564D">
        <w:trPr>
          <w:cantSplit/>
          <w:trHeight w:val="20"/>
          <w:jc w:val="center"/>
        </w:trPr>
        <w:tc>
          <w:tcPr>
            <w:tcW w:w="1557" w:type="dxa"/>
            <w:tcBorders>
              <w:top w:val="nil"/>
              <w:left w:val="single" w:sz="2" w:space="0" w:color="auto"/>
              <w:bottom w:val="nil"/>
              <w:right w:val="single" w:sz="2" w:space="0" w:color="auto"/>
            </w:tcBorders>
          </w:tcPr>
          <w:p w14:paraId="6D8E0BC2" w14:textId="77777777" w:rsidR="00104AEF" w:rsidRPr="00A2241D" w:rsidRDefault="00104AEF" w:rsidP="00104AEF">
            <w:pPr>
              <w:pStyle w:val="TableReference"/>
              <w:tabs>
                <w:tab w:val="left" w:pos="3306"/>
              </w:tabs>
              <w:spacing w:before="60"/>
              <w:rPr>
                <w:rFonts w:cs="Calibri"/>
                <w:color w:val="7030A0"/>
                <w:sz w:val="14"/>
                <w:highlight w:val="cyan"/>
              </w:rPr>
            </w:pPr>
          </w:p>
        </w:tc>
        <w:tc>
          <w:tcPr>
            <w:tcW w:w="4968" w:type="dxa"/>
            <w:tcBorders>
              <w:top w:val="nil"/>
              <w:left w:val="single" w:sz="2" w:space="0" w:color="auto"/>
              <w:bottom w:val="nil"/>
              <w:right w:val="nil"/>
            </w:tcBorders>
          </w:tcPr>
          <w:p w14:paraId="7D660516" w14:textId="6D8DE5A8" w:rsidR="00104AEF" w:rsidRPr="00A2241D" w:rsidRDefault="00104AEF" w:rsidP="00104AEF">
            <w:pPr>
              <w:tabs>
                <w:tab w:val="left" w:pos="3306"/>
              </w:tabs>
              <w:spacing w:before="60" w:after="60"/>
              <w:rPr>
                <w:rFonts w:asciiTheme="minorHAnsi" w:hAnsiTheme="minorHAnsi" w:cstheme="minorHAnsi"/>
                <w:sz w:val="18"/>
                <w:szCs w:val="18"/>
                <w:highlight w:val="cyan"/>
              </w:rPr>
            </w:pPr>
            <w:r w:rsidRPr="00A2241D">
              <w:rPr>
                <w:rFonts w:asciiTheme="minorHAnsi" w:hAnsiTheme="minorHAnsi" w:cstheme="minorHAnsi"/>
                <w:sz w:val="18"/>
                <w:szCs w:val="18"/>
              </w:rPr>
              <w:t xml:space="preserve">Net Assets transferred out </w:t>
            </w:r>
            <w:r w:rsidR="004F4683" w:rsidRPr="00A2241D">
              <w:rPr>
                <w:rFonts w:cs="Calibri"/>
                <w:sz w:val="18"/>
              </w:rPr>
              <w:t>as part of</w:t>
            </w:r>
            <w:r w:rsidR="004F4683" w:rsidRPr="00A2241D">
              <w:rPr>
                <w:rFonts w:asciiTheme="minorHAnsi" w:hAnsiTheme="minorHAnsi" w:cstheme="minorHAnsi"/>
                <w:sz w:val="18"/>
                <w:szCs w:val="18"/>
              </w:rPr>
              <w:t xml:space="preserve"> </w:t>
            </w:r>
            <w:r w:rsidR="006222F7" w:rsidRPr="00A2241D">
              <w:rPr>
                <w:rFonts w:asciiTheme="minorHAnsi" w:hAnsiTheme="minorHAnsi" w:cstheme="minorHAnsi"/>
                <w:sz w:val="18"/>
                <w:szCs w:val="18"/>
              </w:rPr>
              <w:t>a</w:t>
            </w:r>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Administrative Restructure</w:t>
            </w:r>
          </w:p>
        </w:tc>
        <w:tc>
          <w:tcPr>
            <w:tcW w:w="720" w:type="dxa"/>
            <w:tcBorders>
              <w:top w:val="nil"/>
              <w:left w:val="nil"/>
              <w:bottom w:val="nil"/>
              <w:right w:val="nil"/>
            </w:tcBorders>
          </w:tcPr>
          <w:p w14:paraId="4DDE27AF" w14:textId="78A47269" w:rsidR="00104AEF" w:rsidRPr="00A2241D" w:rsidRDefault="001F7F23" w:rsidP="001220C0">
            <w:pPr>
              <w:pStyle w:val="TableText"/>
              <w:tabs>
                <w:tab w:val="left" w:pos="3306"/>
              </w:tabs>
              <w:jc w:val="center"/>
              <w:rPr>
                <w:rFonts w:asciiTheme="minorHAnsi" w:hAnsiTheme="minorHAnsi" w:cstheme="minorHAnsi"/>
                <w:strike/>
                <w:highlight w:val="cyan"/>
              </w:rPr>
            </w:pPr>
            <w:r w:rsidRPr="00A2241D">
              <w:rPr>
                <w:rFonts w:cs="Calibri"/>
              </w:rPr>
              <w:t>5</w:t>
            </w:r>
            <w:r w:rsidR="001220C0" w:rsidRPr="00A2241D">
              <w:rPr>
                <w:rFonts w:cs="Calibri"/>
              </w:rPr>
              <w:t>2</w:t>
            </w:r>
          </w:p>
        </w:tc>
        <w:tc>
          <w:tcPr>
            <w:tcW w:w="968" w:type="dxa"/>
            <w:tcBorders>
              <w:top w:val="nil"/>
              <w:left w:val="nil"/>
              <w:bottom w:val="nil"/>
              <w:right w:val="nil"/>
            </w:tcBorders>
            <w:shd w:val="clear" w:color="auto" w:fill="auto"/>
            <w:vAlign w:val="bottom"/>
          </w:tcPr>
          <w:p w14:paraId="5EA546CE" w14:textId="6BB7CCED" w:rsidR="00104AEF" w:rsidRPr="00A2241D" w:rsidRDefault="00104AEF" w:rsidP="00104AEF">
            <w:pPr>
              <w:pStyle w:val="TableText"/>
              <w:tabs>
                <w:tab w:val="left" w:pos="3306"/>
              </w:tabs>
              <w:jc w:val="right"/>
              <w:rPr>
                <w:rFonts w:asciiTheme="minorHAnsi" w:hAnsiTheme="minorHAnsi" w:cstheme="minorHAnsi"/>
                <w:highlight w:val="cyan"/>
              </w:rPr>
            </w:pPr>
          </w:p>
        </w:tc>
        <w:tc>
          <w:tcPr>
            <w:tcW w:w="1080" w:type="dxa"/>
            <w:tcBorders>
              <w:top w:val="nil"/>
              <w:left w:val="nil"/>
              <w:bottom w:val="nil"/>
              <w:right w:val="nil"/>
            </w:tcBorders>
            <w:shd w:val="clear" w:color="auto" w:fill="auto"/>
            <w:vAlign w:val="bottom"/>
          </w:tcPr>
          <w:p w14:paraId="059A2BB3" w14:textId="02C5721F" w:rsidR="00104AEF" w:rsidRPr="00A2241D" w:rsidRDefault="00104AEF" w:rsidP="00104AEF">
            <w:pPr>
              <w:pStyle w:val="TableText"/>
              <w:tabs>
                <w:tab w:val="left" w:pos="3306"/>
              </w:tabs>
              <w:jc w:val="right"/>
              <w:rPr>
                <w:rFonts w:asciiTheme="minorHAnsi" w:hAnsiTheme="minorHAnsi" w:cstheme="minorHAnsi"/>
                <w:highlight w:val="cyan"/>
              </w:rPr>
            </w:pPr>
          </w:p>
        </w:tc>
        <w:tc>
          <w:tcPr>
            <w:tcW w:w="1194" w:type="dxa"/>
            <w:tcBorders>
              <w:top w:val="nil"/>
              <w:left w:val="nil"/>
              <w:bottom w:val="nil"/>
              <w:right w:val="nil"/>
            </w:tcBorders>
            <w:shd w:val="clear" w:color="auto" w:fill="auto"/>
            <w:vAlign w:val="bottom"/>
          </w:tcPr>
          <w:p w14:paraId="068B23DC" w14:textId="21A99BA9" w:rsidR="00104AEF" w:rsidRPr="00A2241D" w:rsidRDefault="00104AEF" w:rsidP="00104AEF">
            <w:pPr>
              <w:pStyle w:val="TableText"/>
              <w:tabs>
                <w:tab w:val="left" w:pos="3306"/>
              </w:tabs>
              <w:jc w:val="right"/>
              <w:rPr>
                <w:rFonts w:asciiTheme="minorHAnsi" w:hAnsiTheme="minorHAnsi" w:cstheme="minorHAnsi"/>
                <w:highlight w:val="cyan"/>
              </w:rPr>
            </w:pPr>
          </w:p>
        </w:tc>
      </w:tr>
      <w:tr w:rsidR="00863311" w:rsidRPr="00F00A16" w14:paraId="040F7301" w14:textId="77777777" w:rsidTr="0004564D">
        <w:trPr>
          <w:cantSplit/>
          <w:trHeight w:val="20"/>
          <w:jc w:val="center"/>
        </w:trPr>
        <w:tc>
          <w:tcPr>
            <w:tcW w:w="1557" w:type="dxa"/>
            <w:tcBorders>
              <w:top w:val="nil"/>
              <w:left w:val="single" w:sz="2" w:space="0" w:color="auto"/>
              <w:bottom w:val="nil"/>
              <w:right w:val="single" w:sz="2" w:space="0" w:color="auto"/>
            </w:tcBorders>
          </w:tcPr>
          <w:p w14:paraId="39F72291"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58F5DAA8" w14:textId="77777777" w:rsidR="00863311" w:rsidRPr="00A2241D" w:rsidRDefault="00863311" w:rsidP="00863311">
            <w:pPr>
              <w:pStyle w:val="TableReference"/>
              <w:rPr>
                <w:rFonts w:asciiTheme="minorHAnsi" w:hAnsiTheme="minorHAnsi" w:cstheme="minorHAnsi"/>
                <w:color w:val="auto"/>
                <w:sz w:val="18"/>
                <w:szCs w:val="18"/>
              </w:rPr>
            </w:pPr>
          </w:p>
        </w:tc>
        <w:tc>
          <w:tcPr>
            <w:tcW w:w="720" w:type="dxa"/>
            <w:tcBorders>
              <w:top w:val="nil"/>
              <w:left w:val="nil"/>
              <w:bottom w:val="nil"/>
              <w:right w:val="nil"/>
            </w:tcBorders>
            <w:vAlign w:val="bottom"/>
          </w:tcPr>
          <w:p w14:paraId="6AD251E5" w14:textId="77777777" w:rsidR="00863311" w:rsidRPr="00A2241D" w:rsidRDefault="00863311" w:rsidP="00863311">
            <w:pPr>
              <w:pStyle w:val="TableReference"/>
              <w:rPr>
                <w:rFonts w:asciiTheme="minorHAnsi" w:hAnsiTheme="minorHAnsi" w:cstheme="minorHAnsi"/>
                <w:color w:val="auto"/>
                <w:sz w:val="18"/>
                <w:szCs w:val="18"/>
              </w:rPr>
            </w:pPr>
          </w:p>
        </w:tc>
        <w:tc>
          <w:tcPr>
            <w:tcW w:w="968" w:type="dxa"/>
            <w:tcBorders>
              <w:top w:val="nil"/>
              <w:left w:val="nil"/>
              <w:bottom w:val="single" w:sz="4" w:space="0" w:color="auto"/>
              <w:right w:val="nil"/>
            </w:tcBorders>
            <w:shd w:val="clear" w:color="auto" w:fill="auto"/>
            <w:vAlign w:val="bottom"/>
          </w:tcPr>
          <w:p w14:paraId="219CA97E" w14:textId="77777777" w:rsidR="00863311" w:rsidRPr="00A2241D" w:rsidRDefault="00863311" w:rsidP="00863311">
            <w:pPr>
              <w:pStyle w:val="TableReference"/>
              <w:rPr>
                <w:rFonts w:asciiTheme="minorHAnsi" w:hAnsiTheme="minorHAnsi" w:cstheme="minorHAnsi"/>
                <w:color w:val="auto"/>
                <w:sz w:val="18"/>
                <w:szCs w:val="18"/>
              </w:rPr>
            </w:pPr>
          </w:p>
        </w:tc>
        <w:tc>
          <w:tcPr>
            <w:tcW w:w="1080" w:type="dxa"/>
            <w:tcBorders>
              <w:top w:val="nil"/>
              <w:left w:val="nil"/>
              <w:bottom w:val="single" w:sz="4" w:space="0" w:color="auto"/>
              <w:right w:val="nil"/>
            </w:tcBorders>
            <w:shd w:val="clear" w:color="auto" w:fill="auto"/>
            <w:vAlign w:val="bottom"/>
          </w:tcPr>
          <w:p w14:paraId="121EFE73" w14:textId="77777777" w:rsidR="00863311" w:rsidRPr="00A2241D" w:rsidRDefault="00863311" w:rsidP="00863311">
            <w:pPr>
              <w:pStyle w:val="TableReference"/>
              <w:rPr>
                <w:rFonts w:asciiTheme="minorHAnsi" w:hAnsiTheme="minorHAnsi" w:cstheme="minorHAnsi"/>
                <w:color w:val="auto"/>
                <w:sz w:val="18"/>
                <w:szCs w:val="18"/>
              </w:rPr>
            </w:pPr>
          </w:p>
        </w:tc>
        <w:tc>
          <w:tcPr>
            <w:tcW w:w="1194" w:type="dxa"/>
            <w:tcBorders>
              <w:top w:val="nil"/>
              <w:left w:val="nil"/>
              <w:bottom w:val="single" w:sz="4" w:space="0" w:color="auto"/>
              <w:right w:val="nil"/>
            </w:tcBorders>
            <w:shd w:val="clear" w:color="auto" w:fill="auto"/>
            <w:vAlign w:val="bottom"/>
          </w:tcPr>
          <w:p w14:paraId="4A1433AE" w14:textId="77777777" w:rsidR="00863311" w:rsidRPr="00A2241D" w:rsidRDefault="00863311" w:rsidP="00863311">
            <w:pPr>
              <w:pStyle w:val="TableReference"/>
              <w:rPr>
                <w:rFonts w:asciiTheme="minorHAnsi" w:hAnsiTheme="minorHAnsi" w:cstheme="minorHAnsi"/>
                <w:color w:val="auto"/>
                <w:sz w:val="18"/>
                <w:szCs w:val="18"/>
              </w:rPr>
            </w:pPr>
          </w:p>
        </w:tc>
      </w:tr>
      <w:tr w:rsidR="00863311" w:rsidRPr="00F00A16" w14:paraId="74A9408C" w14:textId="77777777" w:rsidTr="0004564D">
        <w:trPr>
          <w:cantSplit/>
          <w:trHeight w:val="156"/>
          <w:jc w:val="center"/>
        </w:trPr>
        <w:tc>
          <w:tcPr>
            <w:tcW w:w="1557" w:type="dxa"/>
            <w:tcBorders>
              <w:top w:val="nil"/>
              <w:left w:val="single" w:sz="2" w:space="0" w:color="auto"/>
              <w:bottom w:val="nil"/>
              <w:right w:val="single" w:sz="2" w:space="0" w:color="auto"/>
            </w:tcBorders>
          </w:tcPr>
          <w:p w14:paraId="5FBBAA34" w14:textId="77777777" w:rsidR="00863311" w:rsidRPr="00A2241D" w:rsidRDefault="00863311" w:rsidP="003014F3">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tcPr>
          <w:p w14:paraId="3D7D799D" w14:textId="1D41512E" w:rsidR="00863311" w:rsidRPr="00A2241D" w:rsidRDefault="00863311" w:rsidP="003014F3">
            <w:pPr>
              <w:pStyle w:val="TableReference"/>
              <w:rPr>
                <w:rFonts w:asciiTheme="minorHAnsi" w:hAnsiTheme="minorHAnsi" w:cstheme="minorHAnsi"/>
                <w:color w:val="auto"/>
                <w:sz w:val="18"/>
                <w:szCs w:val="18"/>
              </w:rPr>
            </w:pPr>
            <w:r w:rsidRPr="00A2241D">
              <w:rPr>
                <w:rFonts w:asciiTheme="minorHAnsi" w:hAnsiTheme="minorHAnsi" w:cstheme="minorHAnsi"/>
                <w:b/>
                <w:iCs/>
                <w:color w:val="auto"/>
                <w:sz w:val="18"/>
                <w:szCs w:val="18"/>
              </w:rPr>
              <w:t xml:space="preserve">Total Transactions </w:t>
            </w:r>
            <w:r w:rsidR="004F4683" w:rsidRPr="00A2241D">
              <w:rPr>
                <w:rFonts w:cs="Calibri"/>
                <w:b/>
                <w:iCs/>
                <w:color w:val="auto"/>
                <w:sz w:val="18"/>
              </w:rPr>
              <w:t>Involving</w:t>
            </w:r>
            <w:r w:rsidR="004F4683" w:rsidRPr="00A2241D">
              <w:rPr>
                <w:rFonts w:asciiTheme="minorHAnsi" w:hAnsiTheme="minorHAnsi" w:cstheme="minorHAnsi"/>
                <w:b/>
                <w:iCs/>
                <w:color w:val="auto"/>
                <w:sz w:val="18"/>
                <w:szCs w:val="18"/>
              </w:rPr>
              <w:t xml:space="preserve"> </w:t>
            </w:r>
            <w:r w:rsidRPr="00A2241D">
              <w:rPr>
                <w:rFonts w:asciiTheme="minorHAnsi" w:hAnsiTheme="minorHAnsi" w:cstheme="minorHAnsi"/>
                <w:b/>
                <w:iCs/>
                <w:color w:val="auto"/>
                <w:sz w:val="18"/>
                <w:szCs w:val="18"/>
              </w:rPr>
              <w:t>Owners Affecting Accumulated Funds</w:t>
            </w:r>
          </w:p>
        </w:tc>
        <w:tc>
          <w:tcPr>
            <w:tcW w:w="720" w:type="dxa"/>
            <w:tcBorders>
              <w:top w:val="nil"/>
              <w:left w:val="nil"/>
              <w:bottom w:val="nil"/>
              <w:right w:val="nil"/>
            </w:tcBorders>
          </w:tcPr>
          <w:p w14:paraId="11AF4505" w14:textId="77777777" w:rsidR="00863311" w:rsidRPr="00A2241D" w:rsidRDefault="00863311" w:rsidP="003014F3">
            <w:pPr>
              <w:pStyle w:val="TableReference"/>
              <w:rPr>
                <w:rFonts w:asciiTheme="minorHAnsi" w:hAnsiTheme="minorHAnsi" w:cstheme="minorHAnsi"/>
                <w:color w:val="auto"/>
                <w:sz w:val="18"/>
                <w:szCs w:val="18"/>
              </w:rPr>
            </w:pPr>
          </w:p>
        </w:tc>
        <w:tc>
          <w:tcPr>
            <w:tcW w:w="968" w:type="dxa"/>
            <w:tcBorders>
              <w:top w:val="single" w:sz="4" w:space="0" w:color="auto"/>
              <w:left w:val="nil"/>
              <w:bottom w:val="single" w:sz="4" w:space="0" w:color="auto"/>
              <w:right w:val="nil"/>
            </w:tcBorders>
            <w:shd w:val="clear" w:color="auto" w:fill="auto"/>
          </w:tcPr>
          <w:p w14:paraId="0BF78126" w14:textId="22AEA50A" w:rsidR="00863311" w:rsidRPr="00A2241D" w:rsidRDefault="00863311" w:rsidP="003014F3">
            <w:pPr>
              <w:pStyle w:val="TableText"/>
              <w:tabs>
                <w:tab w:val="left" w:pos="3306"/>
              </w:tabs>
              <w:spacing w:before="0"/>
              <w:rPr>
                <w:rFonts w:asciiTheme="minorHAnsi" w:hAnsiTheme="minorHAnsi" w:cstheme="minorHAnsi"/>
                <w:b/>
                <w:highlight w:val="cyan"/>
              </w:rPr>
            </w:pPr>
          </w:p>
        </w:tc>
        <w:tc>
          <w:tcPr>
            <w:tcW w:w="1080" w:type="dxa"/>
            <w:tcBorders>
              <w:top w:val="single" w:sz="4" w:space="0" w:color="auto"/>
              <w:left w:val="nil"/>
              <w:bottom w:val="single" w:sz="4" w:space="0" w:color="auto"/>
              <w:right w:val="nil"/>
            </w:tcBorders>
            <w:shd w:val="clear" w:color="auto" w:fill="auto"/>
          </w:tcPr>
          <w:p w14:paraId="3122485A" w14:textId="254D547A" w:rsidR="00863311" w:rsidRPr="00A2241D" w:rsidRDefault="00863311" w:rsidP="003014F3">
            <w:pPr>
              <w:pStyle w:val="TableText"/>
              <w:tabs>
                <w:tab w:val="left" w:pos="3306"/>
              </w:tabs>
              <w:spacing w:before="0"/>
              <w:rPr>
                <w:rFonts w:asciiTheme="minorHAnsi" w:hAnsiTheme="minorHAnsi" w:cstheme="minorHAnsi"/>
                <w:b/>
                <w:highlight w:val="cyan"/>
              </w:rPr>
            </w:pPr>
          </w:p>
        </w:tc>
        <w:tc>
          <w:tcPr>
            <w:tcW w:w="1194" w:type="dxa"/>
            <w:tcBorders>
              <w:top w:val="single" w:sz="4" w:space="0" w:color="auto"/>
              <w:left w:val="nil"/>
              <w:bottom w:val="single" w:sz="4" w:space="0" w:color="auto"/>
              <w:right w:val="nil"/>
            </w:tcBorders>
            <w:shd w:val="clear" w:color="auto" w:fill="auto"/>
          </w:tcPr>
          <w:p w14:paraId="0B3E6B5B" w14:textId="053D8CC0" w:rsidR="00863311" w:rsidRPr="00A2241D" w:rsidRDefault="00863311" w:rsidP="003014F3">
            <w:pPr>
              <w:pStyle w:val="TableText"/>
              <w:tabs>
                <w:tab w:val="left" w:pos="3306"/>
              </w:tabs>
              <w:spacing w:before="0"/>
              <w:rPr>
                <w:rFonts w:asciiTheme="minorHAnsi" w:hAnsiTheme="minorHAnsi" w:cstheme="minorHAnsi"/>
                <w:b/>
                <w:highlight w:val="cyan"/>
              </w:rPr>
            </w:pPr>
          </w:p>
        </w:tc>
      </w:tr>
      <w:tr w:rsidR="00863311" w:rsidRPr="00F00A16" w14:paraId="3B4326FD" w14:textId="77777777" w:rsidTr="0004564D">
        <w:trPr>
          <w:cantSplit/>
          <w:trHeight w:val="20"/>
          <w:jc w:val="center"/>
        </w:trPr>
        <w:tc>
          <w:tcPr>
            <w:tcW w:w="1557" w:type="dxa"/>
            <w:tcBorders>
              <w:top w:val="nil"/>
              <w:left w:val="single" w:sz="2" w:space="0" w:color="auto"/>
              <w:bottom w:val="nil"/>
              <w:right w:val="single" w:sz="2" w:space="0" w:color="auto"/>
            </w:tcBorders>
          </w:tcPr>
          <w:p w14:paraId="1C1E276F" w14:textId="77777777" w:rsidR="00863311" w:rsidRPr="00A2241D" w:rsidRDefault="00863311" w:rsidP="00863311">
            <w:pPr>
              <w:pStyle w:val="TableReference"/>
              <w:tabs>
                <w:tab w:val="left" w:pos="3306"/>
              </w:tabs>
              <w:spacing w:before="40"/>
              <w:rPr>
                <w:rFonts w:cs="Calibri"/>
                <w:color w:val="7030A0"/>
                <w:sz w:val="14"/>
              </w:rPr>
            </w:pPr>
          </w:p>
        </w:tc>
        <w:tc>
          <w:tcPr>
            <w:tcW w:w="4968" w:type="dxa"/>
            <w:tcBorders>
              <w:top w:val="nil"/>
              <w:left w:val="single" w:sz="2" w:space="0" w:color="auto"/>
              <w:bottom w:val="nil"/>
              <w:right w:val="nil"/>
            </w:tcBorders>
            <w:vAlign w:val="bottom"/>
          </w:tcPr>
          <w:p w14:paraId="4BDB8871" w14:textId="77777777" w:rsidR="00863311" w:rsidRPr="00A2241D" w:rsidRDefault="00863311" w:rsidP="00863311">
            <w:pPr>
              <w:pStyle w:val="TableText"/>
              <w:tabs>
                <w:tab w:val="left" w:pos="3306"/>
              </w:tabs>
              <w:rPr>
                <w:rFonts w:asciiTheme="minorHAnsi" w:hAnsiTheme="minorHAnsi" w:cstheme="minorHAnsi"/>
                <w:b/>
                <w:bCs/>
                <w:highlight w:val="cyan"/>
              </w:rPr>
            </w:pPr>
          </w:p>
        </w:tc>
        <w:tc>
          <w:tcPr>
            <w:tcW w:w="720" w:type="dxa"/>
            <w:tcBorders>
              <w:top w:val="nil"/>
              <w:left w:val="nil"/>
              <w:bottom w:val="nil"/>
              <w:right w:val="nil"/>
            </w:tcBorders>
            <w:vAlign w:val="bottom"/>
          </w:tcPr>
          <w:p w14:paraId="400E3CF4" w14:textId="77777777" w:rsidR="00863311" w:rsidRPr="00A2241D" w:rsidRDefault="00863311" w:rsidP="00863311">
            <w:pPr>
              <w:pStyle w:val="TableText"/>
              <w:tabs>
                <w:tab w:val="left" w:pos="3306"/>
              </w:tabs>
              <w:jc w:val="center"/>
              <w:rPr>
                <w:rFonts w:asciiTheme="minorHAnsi" w:hAnsiTheme="minorHAnsi" w:cstheme="minorHAnsi"/>
              </w:rPr>
            </w:pPr>
          </w:p>
        </w:tc>
        <w:tc>
          <w:tcPr>
            <w:tcW w:w="968" w:type="dxa"/>
            <w:tcBorders>
              <w:top w:val="single" w:sz="4" w:space="0" w:color="auto"/>
              <w:left w:val="nil"/>
              <w:bottom w:val="single" w:sz="4" w:space="0" w:color="auto"/>
              <w:right w:val="nil"/>
            </w:tcBorders>
            <w:shd w:val="clear" w:color="auto" w:fill="auto"/>
            <w:vAlign w:val="bottom"/>
          </w:tcPr>
          <w:p w14:paraId="7D4537AD" w14:textId="77777777" w:rsidR="00863311" w:rsidRPr="00A2241D" w:rsidRDefault="00863311" w:rsidP="00863311">
            <w:pPr>
              <w:pStyle w:val="TableText"/>
              <w:tabs>
                <w:tab w:val="left" w:pos="3306"/>
              </w:tabs>
              <w:jc w:val="right"/>
              <w:rPr>
                <w:rFonts w:asciiTheme="minorHAnsi" w:hAnsiTheme="minorHAnsi" w:cstheme="minorHAnsi"/>
                <w:b/>
                <w:bCs/>
                <w:highlight w:val="cyan"/>
              </w:rPr>
            </w:pPr>
          </w:p>
        </w:tc>
        <w:tc>
          <w:tcPr>
            <w:tcW w:w="1080" w:type="dxa"/>
            <w:tcBorders>
              <w:top w:val="single" w:sz="4" w:space="0" w:color="auto"/>
              <w:left w:val="nil"/>
              <w:bottom w:val="single" w:sz="4" w:space="0" w:color="auto"/>
              <w:right w:val="nil"/>
            </w:tcBorders>
            <w:shd w:val="clear" w:color="auto" w:fill="auto"/>
            <w:vAlign w:val="bottom"/>
          </w:tcPr>
          <w:p w14:paraId="6375DC49" w14:textId="77777777" w:rsidR="00863311" w:rsidRPr="00A2241D" w:rsidRDefault="00863311" w:rsidP="00863311">
            <w:pPr>
              <w:pStyle w:val="TableText"/>
              <w:tabs>
                <w:tab w:val="left" w:pos="3306"/>
              </w:tabs>
              <w:jc w:val="right"/>
              <w:rPr>
                <w:rFonts w:asciiTheme="minorHAnsi" w:hAnsiTheme="minorHAnsi" w:cstheme="minorHAnsi"/>
                <w:b/>
                <w:bCs/>
                <w:highlight w:val="cyan"/>
              </w:rPr>
            </w:pPr>
          </w:p>
        </w:tc>
        <w:tc>
          <w:tcPr>
            <w:tcW w:w="1194" w:type="dxa"/>
            <w:tcBorders>
              <w:top w:val="single" w:sz="4" w:space="0" w:color="auto"/>
              <w:left w:val="nil"/>
              <w:bottom w:val="single" w:sz="4" w:space="0" w:color="auto"/>
              <w:right w:val="nil"/>
            </w:tcBorders>
            <w:shd w:val="clear" w:color="auto" w:fill="auto"/>
            <w:vAlign w:val="bottom"/>
          </w:tcPr>
          <w:p w14:paraId="3B90C0D9" w14:textId="77777777" w:rsidR="00863311" w:rsidRPr="00A2241D" w:rsidRDefault="00863311" w:rsidP="00863311">
            <w:pPr>
              <w:pStyle w:val="TableText"/>
              <w:tabs>
                <w:tab w:val="left" w:pos="3306"/>
              </w:tabs>
              <w:jc w:val="right"/>
              <w:rPr>
                <w:rFonts w:asciiTheme="minorHAnsi" w:hAnsiTheme="minorHAnsi" w:cstheme="minorHAnsi"/>
                <w:b/>
                <w:bCs/>
              </w:rPr>
            </w:pPr>
          </w:p>
        </w:tc>
      </w:tr>
      <w:tr w:rsidR="008A5268" w:rsidRPr="00CF7E1B" w14:paraId="2118688C" w14:textId="77777777" w:rsidTr="0004564D">
        <w:trPr>
          <w:cantSplit/>
          <w:trHeight w:val="20"/>
          <w:jc w:val="center"/>
        </w:trPr>
        <w:tc>
          <w:tcPr>
            <w:tcW w:w="1557" w:type="dxa"/>
            <w:tcBorders>
              <w:top w:val="nil"/>
              <w:left w:val="single" w:sz="2" w:space="0" w:color="auto"/>
              <w:bottom w:val="nil"/>
              <w:right w:val="single" w:sz="2" w:space="0" w:color="auto"/>
            </w:tcBorders>
          </w:tcPr>
          <w:p w14:paraId="69D98965" w14:textId="77777777" w:rsidR="008A5268" w:rsidRPr="00A2241D" w:rsidRDefault="008A5268" w:rsidP="008A5268">
            <w:pPr>
              <w:pStyle w:val="TableReference"/>
              <w:tabs>
                <w:tab w:val="left" w:pos="3306"/>
              </w:tabs>
              <w:rPr>
                <w:rFonts w:cs="Calibri"/>
                <w:color w:val="7030A0"/>
                <w:sz w:val="14"/>
              </w:rPr>
            </w:pPr>
          </w:p>
        </w:tc>
        <w:tc>
          <w:tcPr>
            <w:tcW w:w="4968" w:type="dxa"/>
            <w:tcBorders>
              <w:top w:val="nil"/>
              <w:left w:val="single" w:sz="2" w:space="0" w:color="auto"/>
              <w:bottom w:val="nil"/>
              <w:right w:val="nil"/>
            </w:tcBorders>
            <w:vAlign w:val="bottom"/>
          </w:tcPr>
          <w:p w14:paraId="5978C43A" w14:textId="6DD40FE6" w:rsidR="008A5268" w:rsidRPr="00A2241D" w:rsidRDefault="004F4683" w:rsidP="008A5268">
            <w:pPr>
              <w:pStyle w:val="TableText"/>
              <w:tabs>
                <w:tab w:val="left" w:pos="3306"/>
              </w:tabs>
              <w:spacing w:before="0"/>
              <w:rPr>
                <w:rFonts w:asciiTheme="minorHAnsi" w:hAnsiTheme="minorHAnsi" w:cstheme="minorHAnsi"/>
                <w:b/>
                <w:bCs/>
              </w:rPr>
            </w:pPr>
            <w:r w:rsidRPr="00A2241D">
              <w:rPr>
                <w:rFonts w:cs="Calibri"/>
                <w:b/>
                <w:bCs/>
              </w:rPr>
              <w:t xml:space="preserve">Balance at 30 June 2022 </w:t>
            </w:r>
          </w:p>
        </w:tc>
        <w:tc>
          <w:tcPr>
            <w:tcW w:w="720" w:type="dxa"/>
            <w:tcBorders>
              <w:top w:val="nil"/>
              <w:left w:val="nil"/>
              <w:bottom w:val="nil"/>
              <w:right w:val="nil"/>
            </w:tcBorders>
            <w:vAlign w:val="bottom"/>
          </w:tcPr>
          <w:p w14:paraId="090CCB6D" w14:textId="77777777" w:rsidR="008A5268" w:rsidRPr="00A2241D" w:rsidRDefault="008A5268" w:rsidP="008A5268">
            <w:pPr>
              <w:pStyle w:val="TableText"/>
              <w:tabs>
                <w:tab w:val="left" w:pos="3306"/>
              </w:tabs>
              <w:spacing w:before="0"/>
              <w:jc w:val="center"/>
              <w:rPr>
                <w:rFonts w:asciiTheme="minorHAnsi" w:hAnsiTheme="minorHAnsi" w:cstheme="minorHAnsi"/>
              </w:rPr>
            </w:pPr>
          </w:p>
        </w:tc>
        <w:tc>
          <w:tcPr>
            <w:tcW w:w="968" w:type="dxa"/>
            <w:tcBorders>
              <w:top w:val="single" w:sz="4" w:space="0" w:color="auto"/>
              <w:left w:val="nil"/>
              <w:bottom w:val="double" w:sz="4" w:space="0" w:color="auto"/>
              <w:right w:val="nil"/>
            </w:tcBorders>
            <w:shd w:val="clear" w:color="auto" w:fill="auto"/>
            <w:vAlign w:val="bottom"/>
          </w:tcPr>
          <w:p w14:paraId="4AE4CCB8"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c>
          <w:tcPr>
            <w:tcW w:w="1080" w:type="dxa"/>
            <w:tcBorders>
              <w:top w:val="single" w:sz="4" w:space="0" w:color="auto"/>
              <w:left w:val="nil"/>
              <w:bottom w:val="double" w:sz="4" w:space="0" w:color="auto"/>
              <w:right w:val="nil"/>
            </w:tcBorders>
            <w:shd w:val="clear" w:color="auto" w:fill="auto"/>
            <w:vAlign w:val="bottom"/>
          </w:tcPr>
          <w:p w14:paraId="468E8A8E"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c>
          <w:tcPr>
            <w:tcW w:w="1194" w:type="dxa"/>
            <w:tcBorders>
              <w:top w:val="single" w:sz="4" w:space="0" w:color="auto"/>
              <w:left w:val="nil"/>
              <w:bottom w:val="double" w:sz="4" w:space="0" w:color="auto"/>
              <w:right w:val="nil"/>
            </w:tcBorders>
            <w:shd w:val="clear" w:color="auto" w:fill="auto"/>
            <w:vAlign w:val="bottom"/>
          </w:tcPr>
          <w:p w14:paraId="65665003" w14:textId="77777777" w:rsidR="008A5268" w:rsidRPr="00A2241D" w:rsidRDefault="008A5268" w:rsidP="008A5268">
            <w:pPr>
              <w:pStyle w:val="TableText"/>
              <w:tabs>
                <w:tab w:val="left" w:pos="3306"/>
              </w:tabs>
              <w:spacing w:before="0"/>
              <w:jc w:val="right"/>
              <w:rPr>
                <w:rFonts w:asciiTheme="minorHAnsi" w:hAnsiTheme="minorHAnsi" w:cstheme="minorHAnsi"/>
                <w:b/>
                <w:bCs/>
              </w:rPr>
            </w:pPr>
          </w:p>
        </w:tc>
      </w:tr>
      <w:tr w:rsidR="008A5268" w:rsidRPr="00CF7E1B" w14:paraId="439F8BAD" w14:textId="77777777" w:rsidTr="0004564D">
        <w:trPr>
          <w:cantSplit/>
          <w:trHeight w:val="23"/>
          <w:jc w:val="center"/>
        </w:trPr>
        <w:tc>
          <w:tcPr>
            <w:tcW w:w="1557" w:type="dxa"/>
            <w:tcBorders>
              <w:top w:val="nil"/>
              <w:left w:val="single" w:sz="2" w:space="0" w:color="auto"/>
              <w:bottom w:val="nil"/>
              <w:right w:val="single" w:sz="2" w:space="0" w:color="auto"/>
            </w:tcBorders>
          </w:tcPr>
          <w:p w14:paraId="406F7416" w14:textId="77777777" w:rsidR="008A5268" w:rsidRPr="00A2241D" w:rsidRDefault="008A5268" w:rsidP="008A5268">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0EC556CC" w14:textId="77777777" w:rsidR="008A5268" w:rsidRPr="00A2241D" w:rsidRDefault="008A5268" w:rsidP="008A5268">
            <w:pPr>
              <w:pStyle w:val="CommentaryReference"/>
              <w:jc w:val="both"/>
              <w:rPr>
                <w:rFonts w:asciiTheme="minorHAnsi" w:hAnsiTheme="minorHAnsi" w:cstheme="minorHAnsi"/>
                <w:sz w:val="18"/>
                <w:szCs w:val="18"/>
              </w:rPr>
            </w:pPr>
          </w:p>
        </w:tc>
      </w:tr>
      <w:tr w:rsidR="008A5268" w:rsidRPr="00CF7E1B" w14:paraId="27EBD36E" w14:textId="77777777" w:rsidTr="0004564D">
        <w:trPr>
          <w:cantSplit/>
          <w:trHeight w:val="23"/>
          <w:jc w:val="center"/>
        </w:trPr>
        <w:tc>
          <w:tcPr>
            <w:tcW w:w="1557" w:type="dxa"/>
            <w:tcBorders>
              <w:top w:val="nil"/>
              <w:left w:val="single" w:sz="2" w:space="0" w:color="auto"/>
              <w:bottom w:val="nil"/>
              <w:right w:val="single" w:sz="2" w:space="0" w:color="auto"/>
            </w:tcBorders>
          </w:tcPr>
          <w:p w14:paraId="5ABE5532" w14:textId="77777777" w:rsidR="008A5268" w:rsidRPr="00A2241D" w:rsidRDefault="008A5268" w:rsidP="008A5268">
            <w:pPr>
              <w:pStyle w:val="TableReference"/>
              <w:tabs>
                <w:tab w:val="left" w:pos="3306"/>
              </w:tabs>
              <w:spacing w:before="40"/>
              <w:rPr>
                <w:rFonts w:cs="Calibri"/>
                <w:color w:val="7030A0"/>
                <w:sz w:val="14"/>
              </w:rPr>
            </w:pPr>
          </w:p>
        </w:tc>
        <w:tc>
          <w:tcPr>
            <w:tcW w:w="8930" w:type="dxa"/>
            <w:gridSpan w:val="5"/>
            <w:tcBorders>
              <w:top w:val="nil"/>
              <w:left w:val="single" w:sz="2" w:space="0" w:color="auto"/>
              <w:bottom w:val="nil"/>
              <w:right w:val="nil"/>
            </w:tcBorders>
            <w:vAlign w:val="bottom"/>
          </w:tcPr>
          <w:p w14:paraId="52D747D7" w14:textId="29ED9291" w:rsidR="008A5268" w:rsidRPr="00A2241D" w:rsidRDefault="008A5268" w:rsidP="008A5268">
            <w:pPr>
              <w:pStyle w:val="CommentaryReference"/>
              <w:jc w:val="both"/>
              <w:rPr>
                <w:rFonts w:asciiTheme="minorHAnsi" w:hAnsiTheme="minorHAnsi" w:cstheme="minorHAnsi"/>
                <w:sz w:val="18"/>
                <w:szCs w:val="18"/>
              </w:rPr>
            </w:pPr>
            <w:r w:rsidRPr="00A2241D">
              <w:rPr>
                <w:rFonts w:asciiTheme="minorHAnsi" w:hAnsiTheme="minorHAnsi" w:cstheme="minorHAnsi"/>
                <w:sz w:val="18"/>
                <w:szCs w:val="18"/>
              </w:rPr>
              <w:t xml:space="preserve">The above Statement of Changes in Equity on Behalf of the Territory </w:t>
            </w:r>
            <w:r w:rsidR="004F4683" w:rsidRPr="00A2241D">
              <w:rPr>
                <w:rFonts w:cs="Calibri"/>
                <w:bCs/>
                <w:sz w:val="18"/>
                <w:szCs w:val="18"/>
              </w:rPr>
              <w:t>is to</w:t>
            </w:r>
            <w:r w:rsidR="004F4683" w:rsidRPr="00A2241D">
              <w:rPr>
                <w:rFonts w:asciiTheme="minorHAnsi" w:hAnsiTheme="minorHAnsi" w:cstheme="minorHAnsi"/>
                <w:sz w:val="18"/>
                <w:szCs w:val="18"/>
              </w:rPr>
              <w:t xml:space="preserve"> </w:t>
            </w:r>
            <w:r w:rsidRPr="00A2241D">
              <w:rPr>
                <w:rFonts w:asciiTheme="minorHAnsi" w:hAnsiTheme="minorHAnsi" w:cstheme="minorHAnsi"/>
                <w:sz w:val="18"/>
                <w:szCs w:val="18"/>
              </w:rPr>
              <w:t>be read in conjunction with the accompanying notes.</w:t>
            </w:r>
            <w:r w:rsidR="00FA7C77">
              <w:rPr>
                <w:rFonts w:asciiTheme="minorHAnsi" w:hAnsiTheme="minorHAnsi" w:cstheme="minorHAnsi"/>
                <w:sz w:val="18"/>
                <w:szCs w:val="18"/>
              </w:rPr>
              <w:t xml:space="preserve">  </w:t>
            </w:r>
          </w:p>
        </w:tc>
      </w:tr>
    </w:tbl>
    <w:p w14:paraId="36483044" w14:textId="77777777" w:rsidR="00376863" w:rsidRDefault="00863311" w:rsidP="00376863">
      <w:pPr>
        <w:spacing w:before="240" w:line="400" w:lineRule="exact"/>
        <w:jc w:val="center"/>
      </w:pPr>
      <w:r w:rsidRPr="00CF7E1B">
        <w:br w:type="page"/>
      </w:r>
      <w:bookmarkStart w:id="865" w:name="_Toc253496240"/>
    </w:p>
    <w:p w14:paraId="18F74E36" w14:textId="77777777" w:rsidR="00376863" w:rsidRPr="00376863" w:rsidRDefault="00376863" w:rsidP="00376863">
      <w:pPr>
        <w:jc w:val="center"/>
        <w:rPr>
          <w:b/>
          <w:sz w:val="24"/>
          <w:szCs w:val="24"/>
        </w:rPr>
      </w:pPr>
    </w:p>
    <w:p w14:paraId="1D1AF203" w14:textId="2A38A077" w:rsidR="00863311" w:rsidRPr="00A2241D" w:rsidRDefault="00863311" w:rsidP="00376863">
      <w:pPr>
        <w:spacing w:line="400" w:lineRule="exact"/>
        <w:jc w:val="center"/>
        <w:rPr>
          <w:b/>
          <w:sz w:val="40"/>
          <w:szCs w:val="40"/>
        </w:rPr>
      </w:pPr>
      <w:r w:rsidRPr="00A2241D">
        <w:rPr>
          <w:b/>
          <w:sz w:val="40"/>
          <w:szCs w:val="40"/>
        </w:rPr>
        <w:t>‘</w:t>
      </w:r>
      <w:r w:rsidR="00027610" w:rsidRPr="00A2241D">
        <w:rPr>
          <w:b/>
          <w:sz w:val="40"/>
          <w:szCs w:val="40"/>
        </w:rPr>
        <w:t xml:space="preserve">Burley Griffin </w:t>
      </w:r>
      <w:r w:rsidRPr="00A2241D">
        <w:rPr>
          <w:b/>
          <w:sz w:val="40"/>
          <w:szCs w:val="40"/>
        </w:rPr>
        <w:t>Agency’</w:t>
      </w:r>
      <w:bookmarkEnd w:id="865"/>
    </w:p>
    <w:p w14:paraId="2DC328C5" w14:textId="77777777" w:rsidR="00863311" w:rsidRPr="00A2241D" w:rsidRDefault="00863311" w:rsidP="00226363">
      <w:pPr>
        <w:spacing w:line="400" w:lineRule="exact"/>
        <w:jc w:val="center"/>
        <w:rPr>
          <w:b/>
          <w:sz w:val="40"/>
          <w:szCs w:val="40"/>
        </w:rPr>
      </w:pPr>
      <w:bookmarkStart w:id="866" w:name="_Toc253496241"/>
      <w:r w:rsidRPr="00A2241D">
        <w:rPr>
          <w:b/>
          <w:sz w:val="40"/>
          <w:szCs w:val="40"/>
        </w:rPr>
        <w:t>Statement of Changes in Equity</w:t>
      </w:r>
      <w:bookmarkEnd w:id="866"/>
      <w:r w:rsidRPr="00A2241D">
        <w:rPr>
          <w:b/>
          <w:sz w:val="40"/>
          <w:szCs w:val="40"/>
        </w:rPr>
        <w:t xml:space="preserve"> on Behalf of the Territory</w:t>
      </w:r>
    </w:p>
    <w:p w14:paraId="1B3E3669" w14:textId="0A7B4D26" w:rsidR="00863311" w:rsidRPr="00A2241D" w:rsidRDefault="00863311" w:rsidP="00226363">
      <w:pPr>
        <w:spacing w:line="400" w:lineRule="exact"/>
        <w:jc w:val="center"/>
        <w:rPr>
          <w:b/>
          <w:sz w:val="40"/>
          <w:szCs w:val="40"/>
        </w:rPr>
      </w:pPr>
      <w:r w:rsidRPr="00A2241D">
        <w:rPr>
          <w:b/>
          <w:sz w:val="40"/>
          <w:szCs w:val="40"/>
        </w:rPr>
        <w:t xml:space="preserve">For the Year Ended 30 June </w:t>
      </w:r>
      <w:r w:rsidR="006973C8" w:rsidRPr="00A2241D">
        <w:rPr>
          <w:b/>
          <w:sz w:val="40"/>
          <w:szCs w:val="40"/>
        </w:rPr>
        <w:t>202</w:t>
      </w:r>
      <w:r w:rsidR="00A37AEC" w:rsidRPr="00A2241D">
        <w:rPr>
          <w:b/>
          <w:sz w:val="40"/>
          <w:szCs w:val="40"/>
        </w:rPr>
        <w:t>2</w:t>
      </w:r>
    </w:p>
    <w:tbl>
      <w:tblPr>
        <w:tblW w:w="1055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4992"/>
        <w:gridCol w:w="1103"/>
        <w:gridCol w:w="1417"/>
        <w:gridCol w:w="1418"/>
      </w:tblGrid>
      <w:tr w:rsidR="00863311" w:rsidRPr="00CF7E1B" w14:paraId="5A517850" w14:textId="77777777" w:rsidTr="0004564D">
        <w:trPr>
          <w:cantSplit/>
          <w:trHeight w:val="20"/>
        </w:trPr>
        <w:tc>
          <w:tcPr>
            <w:tcW w:w="1620" w:type="dxa"/>
            <w:tcBorders>
              <w:top w:val="nil"/>
              <w:left w:val="single" w:sz="2" w:space="0" w:color="auto"/>
              <w:bottom w:val="nil"/>
              <w:right w:val="single" w:sz="2" w:space="0" w:color="auto"/>
            </w:tcBorders>
          </w:tcPr>
          <w:p w14:paraId="3CBA07ED" w14:textId="77777777" w:rsidR="00863311" w:rsidRPr="00A2241D" w:rsidRDefault="00863311" w:rsidP="005D3C33">
            <w:pPr>
              <w:pStyle w:val="Reference"/>
              <w:tabs>
                <w:tab w:val="left" w:pos="3306"/>
              </w:tabs>
              <w:spacing w:before="240" w:after="240"/>
              <w:rPr>
                <w:rFonts w:asciiTheme="minorHAnsi" w:hAnsiTheme="minorHAnsi" w:cstheme="minorHAnsi"/>
                <w:color w:val="7030A0"/>
                <w:sz w:val="22"/>
                <w:szCs w:val="22"/>
              </w:rPr>
            </w:pPr>
            <w:r w:rsidRPr="00A2241D">
              <w:rPr>
                <w:rFonts w:asciiTheme="minorHAnsi" w:hAnsiTheme="minorHAnsi" w:cstheme="minorHAnsi"/>
                <w:color w:val="7030A0"/>
                <w:sz w:val="22"/>
                <w:szCs w:val="22"/>
              </w:rPr>
              <w:t>Reference</w:t>
            </w:r>
          </w:p>
        </w:tc>
        <w:tc>
          <w:tcPr>
            <w:tcW w:w="4992" w:type="dxa"/>
            <w:tcBorders>
              <w:top w:val="nil"/>
              <w:left w:val="single" w:sz="2" w:space="0" w:color="auto"/>
              <w:bottom w:val="nil"/>
              <w:right w:val="nil"/>
            </w:tcBorders>
            <w:vAlign w:val="bottom"/>
          </w:tcPr>
          <w:p w14:paraId="47CEE843" w14:textId="77777777" w:rsidR="00863311" w:rsidRPr="00A2241D" w:rsidRDefault="00863311" w:rsidP="00863311">
            <w:pPr>
              <w:tabs>
                <w:tab w:val="left" w:pos="3306"/>
              </w:tabs>
              <w:rPr>
                <w:rFonts w:cs="Calibri"/>
              </w:rPr>
            </w:pPr>
          </w:p>
        </w:tc>
        <w:tc>
          <w:tcPr>
            <w:tcW w:w="1103" w:type="dxa"/>
            <w:tcBorders>
              <w:top w:val="nil"/>
              <w:left w:val="nil"/>
              <w:bottom w:val="nil"/>
              <w:right w:val="nil"/>
            </w:tcBorders>
            <w:vAlign w:val="bottom"/>
          </w:tcPr>
          <w:p w14:paraId="67B13205" w14:textId="77777777" w:rsidR="00863311" w:rsidRPr="00A2241D" w:rsidRDefault="00863311" w:rsidP="00863311">
            <w:pPr>
              <w:pStyle w:val="TableTitle"/>
              <w:tabs>
                <w:tab w:val="left" w:pos="3306"/>
              </w:tabs>
              <w:jc w:val="center"/>
              <w:rPr>
                <w:rFonts w:cs="Calibri"/>
              </w:rPr>
            </w:pPr>
          </w:p>
        </w:tc>
        <w:tc>
          <w:tcPr>
            <w:tcW w:w="1417" w:type="dxa"/>
            <w:tcBorders>
              <w:top w:val="nil"/>
              <w:left w:val="nil"/>
              <w:bottom w:val="nil"/>
              <w:right w:val="nil"/>
            </w:tcBorders>
            <w:shd w:val="clear" w:color="auto" w:fill="auto"/>
            <w:vAlign w:val="bottom"/>
          </w:tcPr>
          <w:p w14:paraId="13D8E84C" w14:textId="77777777" w:rsidR="00863311" w:rsidRPr="00A2241D" w:rsidRDefault="00863311" w:rsidP="00863311">
            <w:pPr>
              <w:pStyle w:val="TableTitle"/>
              <w:tabs>
                <w:tab w:val="left" w:pos="3306"/>
              </w:tabs>
              <w:rPr>
                <w:rFonts w:cs="Calibri"/>
              </w:rPr>
            </w:pPr>
            <w:r w:rsidRPr="00A2241D">
              <w:rPr>
                <w:rFonts w:cs="Calibri"/>
              </w:rPr>
              <w:t>Accumulated Funds</w:t>
            </w:r>
          </w:p>
        </w:tc>
        <w:tc>
          <w:tcPr>
            <w:tcW w:w="1418" w:type="dxa"/>
            <w:tcBorders>
              <w:top w:val="nil"/>
              <w:left w:val="nil"/>
              <w:bottom w:val="nil"/>
              <w:right w:val="nil"/>
            </w:tcBorders>
            <w:shd w:val="clear" w:color="auto" w:fill="auto"/>
            <w:vAlign w:val="bottom"/>
          </w:tcPr>
          <w:p w14:paraId="03547677" w14:textId="77777777" w:rsidR="00863311" w:rsidRPr="00A2241D" w:rsidRDefault="00863311" w:rsidP="00863311">
            <w:pPr>
              <w:pStyle w:val="TableTitle"/>
              <w:tabs>
                <w:tab w:val="left" w:pos="3306"/>
              </w:tabs>
              <w:rPr>
                <w:rFonts w:cs="Calibri"/>
              </w:rPr>
            </w:pPr>
            <w:r w:rsidRPr="00A2241D">
              <w:rPr>
                <w:rFonts w:cs="Calibri"/>
              </w:rPr>
              <w:t>Total Equity</w:t>
            </w:r>
          </w:p>
        </w:tc>
      </w:tr>
      <w:tr w:rsidR="00863311" w:rsidRPr="00CF7E1B" w14:paraId="5F019259" w14:textId="77777777" w:rsidTr="0004564D">
        <w:trPr>
          <w:cantSplit/>
          <w:trHeight w:val="20"/>
        </w:trPr>
        <w:tc>
          <w:tcPr>
            <w:tcW w:w="1620" w:type="dxa"/>
            <w:tcBorders>
              <w:top w:val="nil"/>
              <w:left w:val="single" w:sz="2" w:space="0" w:color="auto"/>
              <w:bottom w:val="nil"/>
              <w:right w:val="single" w:sz="2" w:space="0" w:color="auto"/>
            </w:tcBorders>
          </w:tcPr>
          <w:p w14:paraId="0281810A" w14:textId="77777777" w:rsidR="00863311" w:rsidRPr="00A2241D" w:rsidRDefault="00863311" w:rsidP="00863311">
            <w:pPr>
              <w:pStyle w:val="Reference"/>
              <w:tabs>
                <w:tab w:val="left" w:pos="3306"/>
              </w:tabs>
              <w:rPr>
                <w:rFonts w:cs="Calibri"/>
                <w:color w:val="7030A0"/>
                <w:sz w:val="14"/>
                <w:szCs w:val="14"/>
              </w:rPr>
            </w:pPr>
          </w:p>
        </w:tc>
        <w:tc>
          <w:tcPr>
            <w:tcW w:w="4992" w:type="dxa"/>
            <w:tcBorders>
              <w:top w:val="nil"/>
              <w:left w:val="single" w:sz="2" w:space="0" w:color="auto"/>
              <w:bottom w:val="nil"/>
              <w:right w:val="nil"/>
            </w:tcBorders>
            <w:vAlign w:val="bottom"/>
          </w:tcPr>
          <w:p w14:paraId="3D401D4C" w14:textId="77777777" w:rsidR="00863311" w:rsidRPr="00A2241D" w:rsidRDefault="00863311" w:rsidP="00863311">
            <w:pPr>
              <w:tabs>
                <w:tab w:val="left" w:pos="3306"/>
              </w:tabs>
              <w:rPr>
                <w:rFonts w:cs="Calibri"/>
              </w:rPr>
            </w:pPr>
          </w:p>
        </w:tc>
        <w:tc>
          <w:tcPr>
            <w:tcW w:w="1103" w:type="dxa"/>
            <w:tcBorders>
              <w:top w:val="nil"/>
              <w:left w:val="nil"/>
              <w:bottom w:val="nil"/>
              <w:right w:val="nil"/>
            </w:tcBorders>
            <w:vAlign w:val="bottom"/>
          </w:tcPr>
          <w:p w14:paraId="5FB0BD15" w14:textId="77777777" w:rsidR="00863311" w:rsidRPr="00A2241D" w:rsidRDefault="00863311" w:rsidP="00863311">
            <w:pPr>
              <w:pStyle w:val="TableTitle"/>
              <w:tabs>
                <w:tab w:val="left" w:pos="3306"/>
              </w:tabs>
              <w:jc w:val="center"/>
              <w:rPr>
                <w:rFonts w:cs="Calibri"/>
              </w:rPr>
            </w:pPr>
            <w:r w:rsidRPr="00A2241D">
              <w:rPr>
                <w:rFonts w:cs="Calibri"/>
              </w:rPr>
              <w:t>Note No.</w:t>
            </w:r>
          </w:p>
        </w:tc>
        <w:tc>
          <w:tcPr>
            <w:tcW w:w="1417" w:type="dxa"/>
            <w:tcBorders>
              <w:top w:val="nil"/>
              <w:left w:val="nil"/>
              <w:bottom w:val="nil"/>
              <w:right w:val="nil"/>
            </w:tcBorders>
            <w:shd w:val="clear" w:color="auto" w:fill="auto"/>
            <w:vAlign w:val="bottom"/>
          </w:tcPr>
          <w:p w14:paraId="1A52C29F" w14:textId="77777777" w:rsidR="00863311" w:rsidRPr="00A2241D" w:rsidRDefault="00863311" w:rsidP="00863311">
            <w:pPr>
              <w:pStyle w:val="TableTitle"/>
              <w:tabs>
                <w:tab w:val="left" w:pos="3306"/>
              </w:tabs>
              <w:rPr>
                <w:rFonts w:cs="Calibri"/>
              </w:rPr>
            </w:pPr>
            <w:r w:rsidRPr="00A2241D">
              <w:rPr>
                <w:rFonts w:cs="Calibri"/>
              </w:rPr>
              <w:t>Actual</w:t>
            </w:r>
          </w:p>
          <w:p w14:paraId="74010821" w14:textId="76F07E98" w:rsidR="00863311" w:rsidRPr="00A2241D" w:rsidRDefault="005709FA" w:rsidP="00863311">
            <w:pPr>
              <w:pStyle w:val="TableTitle"/>
              <w:tabs>
                <w:tab w:val="left" w:pos="3306"/>
              </w:tabs>
              <w:rPr>
                <w:rFonts w:cs="Calibri"/>
              </w:rPr>
            </w:pPr>
            <w:r w:rsidRPr="00A2241D">
              <w:rPr>
                <w:rFonts w:cs="Calibri"/>
              </w:rPr>
              <w:t>2021</w:t>
            </w:r>
          </w:p>
          <w:p w14:paraId="66A1C6EF" w14:textId="77777777" w:rsidR="00863311" w:rsidRPr="00A2241D" w:rsidRDefault="00863311" w:rsidP="00863311">
            <w:pPr>
              <w:pStyle w:val="TableTitle"/>
              <w:tabs>
                <w:tab w:val="left" w:pos="3306"/>
              </w:tabs>
              <w:rPr>
                <w:rFonts w:cs="Calibri"/>
              </w:rPr>
            </w:pPr>
            <w:r w:rsidRPr="00A2241D">
              <w:rPr>
                <w:rFonts w:cs="Calibri"/>
              </w:rPr>
              <w:t>$’000</w:t>
            </w:r>
          </w:p>
        </w:tc>
        <w:tc>
          <w:tcPr>
            <w:tcW w:w="1418" w:type="dxa"/>
            <w:tcBorders>
              <w:top w:val="nil"/>
              <w:left w:val="nil"/>
              <w:bottom w:val="nil"/>
              <w:right w:val="nil"/>
            </w:tcBorders>
            <w:shd w:val="clear" w:color="auto" w:fill="auto"/>
            <w:vAlign w:val="bottom"/>
          </w:tcPr>
          <w:p w14:paraId="67599CDB" w14:textId="77777777" w:rsidR="00863311" w:rsidRPr="00A2241D" w:rsidRDefault="00863311" w:rsidP="00863311">
            <w:pPr>
              <w:pStyle w:val="TableTitle"/>
              <w:tabs>
                <w:tab w:val="left" w:pos="3306"/>
              </w:tabs>
              <w:rPr>
                <w:rFonts w:cs="Calibri"/>
              </w:rPr>
            </w:pPr>
            <w:r w:rsidRPr="00A2241D">
              <w:rPr>
                <w:rFonts w:cs="Calibri"/>
              </w:rPr>
              <w:t>Actual</w:t>
            </w:r>
          </w:p>
          <w:p w14:paraId="73E37C2F" w14:textId="30CDD7E0" w:rsidR="00863311" w:rsidRPr="00A2241D" w:rsidRDefault="005709FA" w:rsidP="00863311">
            <w:pPr>
              <w:pStyle w:val="TableTitle"/>
              <w:tabs>
                <w:tab w:val="left" w:pos="3306"/>
              </w:tabs>
              <w:rPr>
                <w:rFonts w:cs="Calibri"/>
              </w:rPr>
            </w:pPr>
            <w:r w:rsidRPr="00A2241D">
              <w:rPr>
                <w:rFonts w:cs="Calibri"/>
              </w:rPr>
              <w:t>2021</w:t>
            </w:r>
          </w:p>
          <w:p w14:paraId="79201639" w14:textId="77777777" w:rsidR="00863311" w:rsidRPr="00A2241D" w:rsidRDefault="00863311" w:rsidP="00863311">
            <w:pPr>
              <w:pStyle w:val="TableTitle"/>
              <w:tabs>
                <w:tab w:val="left" w:pos="3306"/>
              </w:tabs>
              <w:rPr>
                <w:rFonts w:cs="Calibri"/>
              </w:rPr>
            </w:pPr>
            <w:r w:rsidRPr="00A2241D">
              <w:rPr>
                <w:rFonts w:cs="Calibri"/>
              </w:rPr>
              <w:t>$’000</w:t>
            </w:r>
          </w:p>
        </w:tc>
      </w:tr>
      <w:tr w:rsidR="00863311" w:rsidRPr="00CF7E1B" w14:paraId="5BE08D71" w14:textId="77777777" w:rsidTr="0004564D">
        <w:trPr>
          <w:cantSplit/>
          <w:trHeight w:val="20"/>
        </w:trPr>
        <w:tc>
          <w:tcPr>
            <w:tcW w:w="1620" w:type="dxa"/>
            <w:tcBorders>
              <w:top w:val="nil"/>
              <w:left w:val="single" w:sz="2" w:space="0" w:color="auto"/>
              <w:bottom w:val="nil"/>
              <w:right w:val="single" w:sz="2" w:space="0" w:color="auto"/>
            </w:tcBorders>
          </w:tcPr>
          <w:p w14:paraId="5A585418"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099F0EEA" w14:textId="77777777" w:rsidR="00863311" w:rsidRPr="00A2241D" w:rsidRDefault="00863311" w:rsidP="00863311">
            <w:pPr>
              <w:pStyle w:val="TableText"/>
              <w:tabs>
                <w:tab w:val="left" w:pos="3306"/>
              </w:tabs>
              <w:rPr>
                <w:rFonts w:cs="Calibri"/>
                <w:b/>
                <w:bCs/>
              </w:rPr>
            </w:pPr>
          </w:p>
        </w:tc>
        <w:tc>
          <w:tcPr>
            <w:tcW w:w="1103" w:type="dxa"/>
            <w:tcBorders>
              <w:top w:val="nil"/>
              <w:left w:val="nil"/>
              <w:bottom w:val="nil"/>
              <w:right w:val="nil"/>
            </w:tcBorders>
            <w:vAlign w:val="bottom"/>
          </w:tcPr>
          <w:p w14:paraId="360BD397"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7EC1249D"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52A6964B" w14:textId="77777777" w:rsidR="00863311" w:rsidRPr="00A2241D" w:rsidRDefault="00863311" w:rsidP="00863311">
            <w:pPr>
              <w:pStyle w:val="TableText"/>
              <w:tabs>
                <w:tab w:val="left" w:pos="3306"/>
              </w:tabs>
              <w:jc w:val="right"/>
              <w:rPr>
                <w:rFonts w:cs="Calibri"/>
              </w:rPr>
            </w:pPr>
          </w:p>
        </w:tc>
      </w:tr>
      <w:tr w:rsidR="00863311" w:rsidRPr="00CF7E1B" w14:paraId="11C623CA" w14:textId="77777777" w:rsidTr="0004564D">
        <w:trPr>
          <w:cantSplit/>
          <w:trHeight w:val="20"/>
        </w:trPr>
        <w:tc>
          <w:tcPr>
            <w:tcW w:w="1620" w:type="dxa"/>
            <w:tcBorders>
              <w:top w:val="nil"/>
              <w:left w:val="single" w:sz="2" w:space="0" w:color="auto"/>
              <w:bottom w:val="nil"/>
              <w:right w:val="single" w:sz="2" w:space="0" w:color="auto"/>
            </w:tcBorders>
          </w:tcPr>
          <w:p w14:paraId="509F0BDB"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92" w:type="dxa"/>
            <w:tcBorders>
              <w:top w:val="nil"/>
              <w:left w:val="single" w:sz="2" w:space="0" w:color="auto"/>
              <w:bottom w:val="nil"/>
              <w:right w:val="nil"/>
            </w:tcBorders>
            <w:vAlign w:val="bottom"/>
          </w:tcPr>
          <w:p w14:paraId="0096A84E" w14:textId="63F98DCC" w:rsidR="00863311" w:rsidRPr="00A2241D" w:rsidRDefault="004F4683" w:rsidP="008002BA">
            <w:pPr>
              <w:pStyle w:val="TableText"/>
              <w:tabs>
                <w:tab w:val="left" w:pos="3306"/>
              </w:tabs>
              <w:rPr>
                <w:rFonts w:cs="Calibri"/>
                <w:b/>
                <w:bCs/>
              </w:rPr>
            </w:pPr>
            <w:r w:rsidRPr="00A2241D">
              <w:rPr>
                <w:rFonts w:cs="Calibri"/>
                <w:b/>
                <w:bCs/>
              </w:rPr>
              <w:t>Balance at 1 July 2020</w:t>
            </w:r>
          </w:p>
        </w:tc>
        <w:tc>
          <w:tcPr>
            <w:tcW w:w="1103" w:type="dxa"/>
            <w:tcBorders>
              <w:top w:val="nil"/>
              <w:left w:val="nil"/>
              <w:bottom w:val="nil"/>
              <w:right w:val="nil"/>
            </w:tcBorders>
            <w:vAlign w:val="bottom"/>
          </w:tcPr>
          <w:p w14:paraId="2EC36059"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single" w:sz="4" w:space="0" w:color="auto"/>
              <w:right w:val="nil"/>
            </w:tcBorders>
            <w:shd w:val="clear" w:color="auto" w:fill="auto"/>
            <w:vAlign w:val="bottom"/>
          </w:tcPr>
          <w:p w14:paraId="18541006" w14:textId="4AB0BCD5" w:rsidR="00863311" w:rsidRPr="00A2241D" w:rsidRDefault="00863311" w:rsidP="00863311">
            <w:pPr>
              <w:pStyle w:val="TableText"/>
              <w:tabs>
                <w:tab w:val="left" w:pos="3306"/>
              </w:tabs>
              <w:jc w:val="right"/>
              <w:rPr>
                <w:rFonts w:cs="Calibri"/>
                <w:b/>
              </w:rPr>
            </w:pPr>
          </w:p>
        </w:tc>
        <w:tc>
          <w:tcPr>
            <w:tcW w:w="1418" w:type="dxa"/>
            <w:tcBorders>
              <w:top w:val="nil"/>
              <w:left w:val="nil"/>
              <w:bottom w:val="single" w:sz="4" w:space="0" w:color="auto"/>
              <w:right w:val="nil"/>
            </w:tcBorders>
            <w:shd w:val="clear" w:color="auto" w:fill="auto"/>
            <w:vAlign w:val="bottom"/>
          </w:tcPr>
          <w:p w14:paraId="6BF7856A" w14:textId="28CC8FAE" w:rsidR="00863311" w:rsidRPr="00A2241D" w:rsidRDefault="00863311" w:rsidP="00863311">
            <w:pPr>
              <w:pStyle w:val="TableText"/>
              <w:tabs>
                <w:tab w:val="left" w:pos="3306"/>
              </w:tabs>
              <w:jc w:val="right"/>
              <w:rPr>
                <w:rFonts w:cs="Calibri"/>
                <w:b/>
              </w:rPr>
            </w:pPr>
          </w:p>
        </w:tc>
      </w:tr>
      <w:tr w:rsidR="00863311" w:rsidRPr="00CF7E1B" w14:paraId="199FD88F" w14:textId="77777777" w:rsidTr="0004564D">
        <w:trPr>
          <w:cantSplit/>
          <w:trHeight w:val="20"/>
        </w:trPr>
        <w:tc>
          <w:tcPr>
            <w:tcW w:w="1620" w:type="dxa"/>
            <w:tcBorders>
              <w:top w:val="nil"/>
              <w:left w:val="single" w:sz="2" w:space="0" w:color="auto"/>
              <w:bottom w:val="nil"/>
              <w:right w:val="single" w:sz="2" w:space="0" w:color="auto"/>
            </w:tcBorders>
          </w:tcPr>
          <w:p w14:paraId="7957CA61"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7FBEED0" w14:textId="77777777" w:rsidR="00863311" w:rsidRPr="00A2241D" w:rsidRDefault="00863311" w:rsidP="00863311">
            <w:pPr>
              <w:tabs>
                <w:tab w:val="left" w:pos="3306"/>
              </w:tabs>
              <w:spacing w:before="60" w:after="60"/>
              <w:rPr>
                <w:rFonts w:cs="Calibri"/>
                <w:b/>
                <w:sz w:val="18"/>
              </w:rPr>
            </w:pPr>
            <w:r w:rsidRPr="00A2241D">
              <w:rPr>
                <w:rFonts w:cs="Calibri"/>
                <w:b/>
                <w:sz w:val="18"/>
              </w:rPr>
              <w:t>Comprehensive Income</w:t>
            </w:r>
          </w:p>
        </w:tc>
        <w:tc>
          <w:tcPr>
            <w:tcW w:w="1103" w:type="dxa"/>
            <w:tcBorders>
              <w:top w:val="nil"/>
              <w:left w:val="nil"/>
              <w:bottom w:val="nil"/>
              <w:right w:val="nil"/>
            </w:tcBorders>
            <w:vAlign w:val="bottom"/>
          </w:tcPr>
          <w:p w14:paraId="570579E7"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nil"/>
              <w:right w:val="nil"/>
            </w:tcBorders>
            <w:shd w:val="clear" w:color="auto" w:fill="auto"/>
            <w:vAlign w:val="bottom"/>
          </w:tcPr>
          <w:p w14:paraId="082272AE"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nil"/>
              <w:right w:val="nil"/>
            </w:tcBorders>
            <w:shd w:val="clear" w:color="auto" w:fill="auto"/>
            <w:vAlign w:val="bottom"/>
          </w:tcPr>
          <w:p w14:paraId="2C9635EF" w14:textId="77777777" w:rsidR="00863311" w:rsidRPr="00A2241D" w:rsidRDefault="00863311" w:rsidP="00863311">
            <w:pPr>
              <w:pStyle w:val="TableText"/>
              <w:tabs>
                <w:tab w:val="left" w:pos="3306"/>
              </w:tabs>
              <w:jc w:val="right"/>
              <w:rPr>
                <w:rFonts w:cs="Calibri"/>
              </w:rPr>
            </w:pPr>
          </w:p>
        </w:tc>
      </w:tr>
      <w:tr w:rsidR="00863311" w:rsidRPr="00CF7E1B" w14:paraId="6991C475" w14:textId="77777777" w:rsidTr="0004564D">
        <w:trPr>
          <w:cantSplit/>
          <w:trHeight w:val="20"/>
        </w:trPr>
        <w:tc>
          <w:tcPr>
            <w:tcW w:w="1620" w:type="dxa"/>
            <w:tcBorders>
              <w:top w:val="nil"/>
              <w:left w:val="single" w:sz="2" w:space="0" w:color="auto"/>
              <w:bottom w:val="nil"/>
              <w:right w:val="single" w:sz="2" w:space="0" w:color="auto"/>
            </w:tcBorders>
          </w:tcPr>
          <w:p w14:paraId="2443AB69"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106(d)(i)</w:t>
            </w:r>
          </w:p>
        </w:tc>
        <w:tc>
          <w:tcPr>
            <w:tcW w:w="4992" w:type="dxa"/>
            <w:tcBorders>
              <w:top w:val="nil"/>
              <w:left w:val="single" w:sz="2" w:space="0" w:color="auto"/>
              <w:bottom w:val="nil"/>
              <w:right w:val="nil"/>
            </w:tcBorders>
          </w:tcPr>
          <w:p w14:paraId="53139D3B" w14:textId="3649B827" w:rsidR="00863311" w:rsidRPr="00A2241D" w:rsidRDefault="00863311" w:rsidP="00863311">
            <w:pPr>
              <w:tabs>
                <w:tab w:val="left" w:pos="3306"/>
              </w:tabs>
              <w:spacing w:before="60" w:after="60"/>
              <w:rPr>
                <w:rFonts w:cs="Calibri"/>
                <w:sz w:val="18"/>
              </w:rPr>
            </w:pPr>
            <w:r w:rsidRPr="00A2241D">
              <w:rPr>
                <w:rFonts w:cs="Calibri"/>
                <w:sz w:val="18"/>
              </w:rPr>
              <w:t xml:space="preserve">Operating </w:t>
            </w:r>
            <w:r w:rsidR="00A164A4" w:rsidRPr="00A2241D">
              <w:rPr>
                <w:rFonts w:cs="Calibri"/>
                <w:sz w:val="18"/>
                <w:szCs w:val="18"/>
              </w:rPr>
              <w:t xml:space="preserve">Result </w:t>
            </w:r>
          </w:p>
        </w:tc>
        <w:tc>
          <w:tcPr>
            <w:tcW w:w="1103" w:type="dxa"/>
            <w:tcBorders>
              <w:top w:val="nil"/>
              <w:left w:val="nil"/>
              <w:bottom w:val="nil"/>
              <w:right w:val="nil"/>
            </w:tcBorders>
            <w:vAlign w:val="bottom"/>
          </w:tcPr>
          <w:p w14:paraId="3283C237"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03BE9366" w14:textId="058AA779"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4129543F" w14:textId="7949212D" w:rsidR="00863311" w:rsidRPr="00A2241D" w:rsidRDefault="00863311" w:rsidP="00863311">
            <w:pPr>
              <w:pStyle w:val="TableText"/>
              <w:tabs>
                <w:tab w:val="left" w:pos="3306"/>
              </w:tabs>
              <w:jc w:val="right"/>
              <w:rPr>
                <w:rFonts w:cs="Calibri"/>
              </w:rPr>
            </w:pPr>
          </w:p>
        </w:tc>
      </w:tr>
      <w:tr w:rsidR="00863311" w:rsidRPr="00CF7E1B" w14:paraId="351036CC" w14:textId="77777777" w:rsidTr="0004564D">
        <w:trPr>
          <w:cantSplit/>
          <w:trHeight w:val="20"/>
        </w:trPr>
        <w:tc>
          <w:tcPr>
            <w:tcW w:w="1620" w:type="dxa"/>
            <w:tcBorders>
              <w:top w:val="nil"/>
              <w:left w:val="single" w:sz="2" w:space="0" w:color="auto"/>
              <w:bottom w:val="nil"/>
              <w:right w:val="single" w:sz="2" w:space="0" w:color="auto"/>
            </w:tcBorders>
          </w:tcPr>
          <w:p w14:paraId="7D4DFE32"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41DBD19" w14:textId="77777777" w:rsidR="00863311" w:rsidRPr="00A2241D" w:rsidRDefault="00863311" w:rsidP="00863311">
            <w:pPr>
              <w:tabs>
                <w:tab w:val="left" w:pos="3306"/>
              </w:tabs>
              <w:spacing w:before="60" w:after="60"/>
              <w:rPr>
                <w:rFonts w:cs="Calibri"/>
                <w:sz w:val="18"/>
              </w:rPr>
            </w:pPr>
            <w:r w:rsidRPr="00A2241D">
              <w:rPr>
                <w:rFonts w:cs="Calibri"/>
                <w:sz w:val="18"/>
              </w:rPr>
              <w:t>Other Comprehensive Income</w:t>
            </w:r>
          </w:p>
        </w:tc>
        <w:tc>
          <w:tcPr>
            <w:tcW w:w="1103" w:type="dxa"/>
            <w:tcBorders>
              <w:top w:val="nil"/>
              <w:left w:val="nil"/>
              <w:bottom w:val="nil"/>
              <w:right w:val="nil"/>
            </w:tcBorders>
            <w:vAlign w:val="bottom"/>
          </w:tcPr>
          <w:p w14:paraId="73EC488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single" w:sz="4" w:space="0" w:color="auto"/>
              <w:right w:val="nil"/>
            </w:tcBorders>
            <w:shd w:val="clear" w:color="auto" w:fill="auto"/>
            <w:vAlign w:val="bottom"/>
          </w:tcPr>
          <w:p w14:paraId="4AA6C106" w14:textId="7B18011F" w:rsidR="00863311" w:rsidRPr="00A2241D" w:rsidRDefault="00863311" w:rsidP="00863311">
            <w:pPr>
              <w:pStyle w:val="TableText"/>
              <w:tabs>
                <w:tab w:val="left" w:pos="3306"/>
              </w:tabs>
              <w:jc w:val="right"/>
              <w:rPr>
                <w:rFonts w:cs="Calibri"/>
              </w:rPr>
            </w:pPr>
          </w:p>
        </w:tc>
        <w:tc>
          <w:tcPr>
            <w:tcW w:w="1418" w:type="dxa"/>
            <w:tcBorders>
              <w:top w:val="nil"/>
              <w:left w:val="nil"/>
              <w:bottom w:val="single" w:sz="4" w:space="0" w:color="auto"/>
              <w:right w:val="nil"/>
            </w:tcBorders>
            <w:shd w:val="clear" w:color="auto" w:fill="auto"/>
            <w:vAlign w:val="bottom"/>
          </w:tcPr>
          <w:p w14:paraId="7A47F1B2" w14:textId="000280E8" w:rsidR="00863311" w:rsidRPr="00A2241D" w:rsidRDefault="00863311" w:rsidP="00863311">
            <w:pPr>
              <w:pStyle w:val="TableText"/>
              <w:tabs>
                <w:tab w:val="left" w:pos="3306"/>
              </w:tabs>
              <w:jc w:val="right"/>
              <w:rPr>
                <w:rFonts w:cs="Calibri"/>
              </w:rPr>
            </w:pPr>
          </w:p>
        </w:tc>
      </w:tr>
      <w:tr w:rsidR="00863311" w:rsidRPr="00CF7E1B" w14:paraId="5C3CCE7B" w14:textId="77777777" w:rsidTr="0004564D">
        <w:trPr>
          <w:cantSplit/>
          <w:trHeight w:val="20"/>
        </w:trPr>
        <w:tc>
          <w:tcPr>
            <w:tcW w:w="1620" w:type="dxa"/>
            <w:tcBorders>
              <w:top w:val="nil"/>
              <w:left w:val="single" w:sz="2" w:space="0" w:color="auto"/>
              <w:bottom w:val="nil"/>
              <w:right w:val="single" w:sz="2" w:space="0" w:color="auto"/>
            </w:tcBorders>
          </w:tcPr>
          <w:p w14:paraId="4A12F0C6" w14:textId="77777777" w:rsidR="00863311" w:rsidRPr="00A2241D" w:rsidRDefault="00863311" w:rsidP="00863311">
            <w:pPr>
              <w:pStyle w:val="TableReference"/>
              <w:tabs>
                <w:tab w:val="left" w:pos="3306"/>
              </w:tabs>
              <w:spacing w:before="60"/>
              <w:rPr>
                <w:rFonts w:cs="Calibri"/>
                <w:color w:val="7030A0"/>
                <w:sz w:val="14"/>
              </w:rPr>
            </w:pPr>
            <w:r w:rsidRPr="00A2241D">
              <w:rPr>
                <w:rFonts w:cs="Calibri"/>
                <w:color w:val="7030A0"/>
                <w:sz w:val="14"/>
              </w:rPr>
              <w:t>AASB 101</w:t>
            </w:r>
            <w:r w:rsidR="00D65811" w:rsidRPr="00A2241D">
              <w:rPr>
                <w:rFonts w:cs="Calibri"/>
                <w:color w:val="7030A0"/>
                <w:sz w:val="14"/>
              </w:rPr>
              <w:t>.</w:t>
            </w:r>
            <w:r w:rsidRPr="00A2241D">
              <w:rPr>
                <w:rFonts w:cs="Calibri"/>
                <w:color w:val="7030A0"/>
                <w:sz w:val="14"/>
              </w:rPr>
              <w:t>106</w:t>
            </w:r>
            <w:r w:rsidR="00D001B7" w:rsidRPr="00A2241D">
              <w:rPr>
                <w:rFonts w:cs="Calibri"/>
                <w:color w:val="7030A0"/>
                <w:sz w:val="14"/>
              </w:rPr>
              <w:t>(</w:t>
            </w:r>
            <w:r w:rsidRPr="00A2241D">
              <w:rPr>
                <w:rFonts w:cs="Calibri"/>
                <w:color w:val="7030A0"/>
                <w:sz w:val="14"/>
              </w:rPr>
              <w:t>a)</w:t>
            </w:r>
          </w:p>
        </w:tc>
        <w:tc>
          <w:tcPr>
            <w:tcW w:w="4992" w:type="dxa"/>
            <w:tcBorders>
              <w:top w:val="nil"/>
              <w:left w:val="single" w:sz="2" w:space="0" w:color="auto"/>
              <w:bottom w:val="nil"/>
              <w:right w:val="nil"/>
            </w:tcBorders>
          </w:tcPr>
          <w:p w14:paraId="53ABAC67" w14:textId="77777777" w:rsidR="00863311" w:rsidRPr="00A2241D" w:rsidRDefault="00863311" w:rsidP="00863311">
            <w:pPr>
              <w:tabs>
                <w:tab w:val="left" w:pos="3306"/>
              </w:tabs>
              <w:spacing w:before="60" w:after="60"/>
              <w:rPr>
                <w:rFonts w:cs="Calibri"/>
                <w:b/>
                <w:strike/>
                <w:sz w:val="18"/>
              </w:rPr>
            </w:pPr>
            <w:r w:rsidRPr="00A2241D">
              <w:rPr>
                <w:rFonts w:cs="Calibri"/>
                <w:b/>
                <w:sz w:val="18"/>
              </w:rPr>
              <w:t>Total Comprehensive Income</w:t>
            </w:r>
          </w:p>
        </w:tc>
        <w:tc>
          <w:tcPr>
            <w:tcW w:w="1103" w:type="dxa"/>
            <w:tcBorders>
              <w:top w:val="nil"/>
              <w:left w:val="nil"/>
              <w:bottom w:val="nil"/>
              <w:right w:val="nil"/>
            </w:tcBorders>
            <w:vAlign w:val="bottom"/>
          </w:tcPr>
          <w:p w14:paraId="7C01C867"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single" w:sz="4" w:space="0" w:color="auto"/>
              <w:right w:val="nil"/>
            </w:tcBorders>
            <w:shd w:val="clear" w:color="auto" w:fill="auto"/>
            <w:vAlign w:val="bottom"/>
          </w:tcPr>
          <w:p w14:paraId="6B720137"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single" w:sz="4" w:space="0" w:color="auto"/>
              <w:right w:val="nil"/>
            </w:tcBorders>
            <w:shd w:val="clear" w:color="auto" w:fill="auto"/>
            <w:vAlign w:val="bottom"/>
          </w:tcPr>
          <w:p w14:paraId="0FA5871B" w14:textId="77777777" w:rsidR="00863311" w:rsidRPr="00A2241D" w:rsidRDefault="00863311" w:rsidP="00863311">
            <w:pPr>
              <w:pStyle w:val="TableText"/>
              <w:tabs>
                <w:tab w:val="left" w:pos="3306"/>
              </w:tabs>
              <w:jc w:val="right"/>
              <w:rPr>
                <w:rFonts w:cs="Calibri"/>
              </w:rPr>
            </w:pPr>
          </w:p>
        </w:tc>
      </w:tr>
      <w:tr w:rsidR="00863311" w:rsidRPr="00CF7E1B" w14:paraId="42953069" w14:textId="77777777" w:rsidTr="0004564D">
        <w:trPr>
          <w:cantSplit/>
          <w:trHeight w:val="20"/>
        </w:trPr>
        <w:tc>
          <w:tcPr>
            <w:tcW w:w="1620" w:type="dxa"/>
            <w:tcBorders>
              <w:top w:val="nil"/>
              <w:left w:val="single" w:sz="2" w:space="0" w:color="auto"/>
              <w:bottom w:val="nil"/>
              <w:right w:val="single" w:sz="2" w:space="0" w:color="auto"/>
            </w:tcBorders>
          </w:tcPr>
          <w:p w14:paraId="23CA1CF3"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1BC56F12" w14:textId="77777777" w:rsidR="00863311" w:rsidRPr="00A2241D" w:rsidRDefault="00863311" w:rsidP="00863311">
            <w:pPr>
              <w:tabs>
                <w:tab w:val="left" w:pos="3306"/>
              </w:tabs>
              <w:spacing w:before="60" w:after="60"/>
              <w:rPr>
                <w:rFonts w:cs="Calibri"/>
                <w:sz w:val="18"/>
              </w:rPr>
            </w:pPr>
          </w:p>
        </w:tc>
        <w:tc>
          <w:tcPr>
            <w:tcW w:w="1103" w:type="dxa"/>
            <w:tcBorders>
              <w:top w:val="nil"/>
              <w:left w:val="nil"/>
              <w:bottom w:val="nil"/>
              <w:right w:val="nil"/>
            </w:tcBorders>
            <w:vAlign w:val="bottom"/>
          </w:tcPr>
          <w:p w14:paraId="0042C263"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nil"/>
              <w:right w:val="nil"/>
            </w:tcBorders>
            <w:shd w:val="clear" w:color="auto" w:fill="auto"/>
            <w:vAlign w:val="bottom"/>
          </w:tcPr>
          <w:p w14:paraId="1C27EFF6" w14:textId="77777777" w:rsidR="00863311" w:rsidRPr="00A2241D" w:rsidRDefault="00863311" w:rsidP="00863311">
            <w:pPr>
              <w:pStyle w:val="TableText"/>
              <w:tabs>
                <w:tab w:val="left" w:pos="3306"/>
              </w:tabs>
              <w:jc w:val="right"/>
              <w:rPr>
                <w:rFonts w:cs="Calibri"/>
              </w:rPr>
            </w:pPr>
          </w:p>
        </w:tc>
        <w:tc>
          <w:tcPr>
            <w:tcW w:w="1418" w:type="dxa"/>
            <w:tcBorders>
              <w:top w:val="single" w:sz="4" w:space="0" w:color="auto"/>
              <w:left w:val="nil"/>
              <w:bottom w:val="nil"/>
              <w:right w:val="nil"/>
            </w:tcBorders>
            <w:shd w:val="clear" w:color="auto" w:fill="auto"/>
            <w:vAlign w:val="bottom"/>
          </w:tcPr>
          <w:p w14:paraId="432D7959" w14:textId="77777777" w:rsidR="00863311" w:rsidRPr="00A2241D" w:rsidRDefault="00863311" w:rsidP="00863311">
            <w:pPr>
              <w:pStyle w:val="TableText"/>
              <w:tabs>
                <w:tab w:val="left" w:pos="3306"/>
              </w:tabs>
              <w:jc w:val="right"/>
              <w:rPr>
                <w:rFonts w:cs="Calibri"/>
              </w:rPr>
            </w:pPr>
          </w:p>
        </w:tc>
      </w:tr>
      <w:tr w:rsidR="00863311" w:rsidRPr="00CF7E1B" w14:paraId="4A2EBACE" w14:textId="77777777" w:rsidTr="0004564D">
        <w:trPr>
          <w:cantSplit/>
          <w:trHeight w:val="20"/>
        </w:trPr>
        <w:tc>
          <w:tcPr>
            <w:tcW w:w="1620" w:type="dxa"/>
            <w:tcBorders>
              <w:top w:val="nil"/>
              <w:left w:val="single" w:sz="2" w:space="0" w:color="auto"/>
              <w:bottom w:val="nil"/>
              <w:right w:val="single" w:sz="2" w:space="0" w:color="auto"/>
            </w:tcBorders>
          </w:tcPr>
          <w:p w14:paraId="706F0741"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6E764405" w14:textId="77777777" w:rsidR="00863311" w:rsidRPr="00A2241D" w:rsidRDefault="00863311" w:rsidP="00863311">
            <w:pPr>
              <w:tabs>
                <w:tab w:val="left" w:pos="3306"/>
              </w:tabs>
              <w:spacing w:before="60" w:after="60"/>
              <w:rPr>
                <w:rFonts w:cs="Calibri"/>
                <w:strike/>
                <w:sz w:val="18"/>
              </w:rPr>
            </w:pPr>
            <w:r w:rsidRPr="00A2241D">
              <w:rPr>
                <w:rFonts w:cs="Calibri"/>
                <w:sz w:val="18"/>
              </w:rPr>
              <w:t>Transfers to/(from) reserves</w:t>
            </w:r>
          </w:p>
        </w:tc>
        <w:tc>
          <w:tcPr>
            <w:tcW w:w="1103" w:type="dxa"/>
            <w:tcBorders>
              <w:top w:val="nil"/>
              <w:left w:val="nil"/>
              <w:bottom w:val="nil"/>
              <w:right w:val="nil"/>
            </w:tcBorders>
            <w:vAlign w:val="bottom"/>
          </w:tcPr>
          <w:p w14:paraId="4A1C53F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3BCD6CEA" w14:textId="29B01064"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52D82C77" w14:textId="62EFEEFB" w:rsidR="00863311" w:rsidRPr="00A2241D" w:rsidRDefault="00863311" w:rsidP="00863311">
            <w:pPr>
              <w:pStyle w:val="TableText"/>
              <w:tabs>
                <w:tab w:val="left" w:pos="3306"/>
              </w:tabs>
              <w:jc w:val="right"/>
              <w:rPr>
                <w:rFonts w:cs="Calibri"/>
              </w:rPr>
            </w:pPr>
          </w:p>
        </w:tc>
      </w:tr>
      <w:tr w:rsidR="00863311" w:rsidRPr="00CF7E1B" w14:paraId="7652B788" w14:textId="77777777" w:rsidTr="0004564D">
        <w:trPr>
          <w:cantSplit/>
          <w:trHeight w:val="197"/>
        </w:trPr>
        <w:tc>
          <w:tcPr>
            <w:tcW w:w="1620" w:type="dxa"/>
            <w:tcBorders>
              <w:top w:val="nil"/>
              <w:left w:val="single" w:sz="2" w:space="0" w:color="auto"/>
              <w:bottom w:val="nil"/>
              <w:right w:val="single" w:sz="2" w:space="0" w:color="auto"/>
            </w:tcBorders>
          </w:tcPr>
          <w:p w14:paraId="7DC1480D"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7AF6050B" w14:textId="77777777" w:rsidR="00863311" w:rsidRPr="00A2241D" w:rsidRDefault="00863311" w:rsidP="00863311">
            <w:pPr>
              <w:tabs>
                <w:tab w:val="left" w:pos="3306"/>
              </w:tabs>
              <w:spacing w:before="60" w:after="60"/>
              <w:rPr>
                <w:rFonts w:cs="Calibri"/>
                <w:b/>
                <w:bCs/>
                <w:sz w:val="18"/>
              </w:rPr>
            </w:pPr>
          </w:p>
        </w:tc>
        <w:tc>
          <w:tcPr>
            <w:tcW w:w="1103" w:type="dxa"/>
            <w:tcBorders>
              <w:top w:val="nil"/>
              <w:left w:val="nil"/>
              <w:bottom w:val="nil"/>
              <w:right w:val="nil"/>
            </w:tcBorders>
            <w:vAlign w:val="bottom"/>
          </w:tcPr>
          <w:p w14:paraId="4B2C6D9B"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0275C1D5"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7A99B8C8" w14:textId="77777777" w:rsidR="00863311" w:rsidRPr="00A2241D" w:rsidRDefault="00863311" w:rsidP="00863311">
            <w:pPr>
              <w:pStyle w:val="TableText"/>
              <w:tabs>
                <w:tab w:val="left" w:pos="3306"/>
              </w:tabs>
              <w:jc w:val="right"/>
              <w:rPr>
                <w:rFonts w:cs="Calibri"/>
              </w:rPr>
            </w:pPr>
          </w:p>
        </w:tc>
      </w:tr>
      <w:tr w:rsidR="00863311" w:rsidRPr="00CF7E1B" w14:paraId="0A5260F4" w14:textId="77777777" w:rsidTr="0004564D">
        <w:trPr>
          <w:cantSplit/>
          <w:trHeight w:val="20"/>
        </w:trPr>
        <w:tc>
          <w:tcPr>
            <w:tcW w:w="1620" w:type="dxa"/>
            <w:tcBorders>
              <w:top w:val="nil"/>
              <w:left w:val="single" w:sz="2" w:space="0" w:color="auto"/>
              <w:bottom w:val="nil"/>
              <w:right w:val="single" w:sz="2" w:space="0" w:color="auto"/>
            </w:tcBorders>
          </w:tcPr>
          <w:p w14:paraId="5E57DC4F"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6BAB9EEF" w14:textId="77777777" w:rsidR="00863311" w:rsidRPr="00A2241D" w:rsidRDefault="00863311" w:rsidP="00863311">
            <w:pPr>
              <w:tabs>
                <w:tab w:val="left" w:pos="3306"/>
              </w:tabs>
              <w:spacing w:before="60" w:after="60"/>
              <w:rPr>
                <w:rFonts w:cs="Calibri"/>
                <w:b/>
                <w:iCs/>
                <w:sz w:val="18"/>
              </w:rPr>
            </w:pPr>
            <w:r w:rsidRPr="00A2241D">
              <w:rPr>
                <w:rFonts w:cs="Calibri"/>
                <w:b/>
                <w:iCs/>
                <w:sz w:val="18"/>
              </w:rPr>
              <w:t>Transactions Involving Owners Affecting Accumulated Funds</w:t>
            </w:r>
          </w:p>
        </w:tc>
        <w:tc>
          <w:tcPr>
            <w:tcW w:w="1103" w:type="dxa"/>
            <w:tcBorders>
              <w:top w:val="nil"/>
              <w:left w:val="nil"/>
              <w:bottom w:val="nil"/>
              <w:right w:val="nil"/>
            </w:tcBorders>
            <w:vAlign w:val="bottom"/>
          </w:tcPr>
          <w:p w14:paraId="31FD27AB"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57E793E0" w14:textId="77777777"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6A20E086" w14:textId="77777777" w:rsidR="00863311" w:rsidRPr="00A2241D" w:rsidRDefault="00863311" w:rsidP="00863311">
            <w:pPr>
              <w:pStyle w:val="TableText"/>
              <w:tabs>
                <w:tab w:val="left" w:pos="3306"/>
              </w:tabs>
              <w:jc w:val="right"/>
              <w:rPr>
                <w:rFonts w:cs="Calibri"/>
              </w:rPr>
            </w:pPr>
          </w:p>
        </w:tc>
      </w:tr>
      <w:tr w:rsidR="00863311" w:rsidRPr="00CF7E1B" w14:paraId="1AB5491B" w14:textId="77777777" w:rsidTr="0004564D">
        <w:trPr>
          <w:cantSplit/>
          <w:trHeight w:val="20"/>
        </w:trPr>
        <w:tc>
          <w:tcPr>
            <w:tcW w:w="1620" w:type="dxa"/>
            <w:tcBorders>
              <w:top w:val="nil"/>
              <w:left w:val="single" w:sz="2" w:space="0" w:color="auto"/>
              <w:bottom w:val="nil"/>
              <w:right w:val="single" w:sz="2" w:space="0" w:color="auto"/>
            </w:tcBorders>
          </w:tcPr>
          <w:p w14:paraId="155E362D"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5A512567" w14:textId="77777777" w:rsidR="00863311" w:rsidRPr="00A2241D" w:rsidRDefault="00863311" w:rsidP="00863311">
            <w:pPr>
              <w:tabs>
                <w:tab w:val="left" w:pos="3306"/>
              </w:tabs>
              <w:spacing w:before="60" w:after="60"/>
              <w:rPr>
                <w:rFonts w:cs="Calibri"/>
                <w:sz w:val="18"/>
              </w:rPr>
            </w:pPr>
            <w:r w:rsidRPr="00A2241D">
              <w:rPr>
                <w:rFonts w:cs="Calibri"/>
                <w:sz w:val="18"/>
              </w:rPr>
              <w:t>Capital Injections</w:t>
            </w:r>
          </w:p>
        </w:tc>
        <w:tc>
          <w:tcPr>
            <w:tcW w:w="1103" w:type="dxa"/>
            <w:tcBorders>
              <w:top w:val="nil"/>
              <w:left w:val="nil"/>
              <w:bottom w:val="nil"/>
              <w:right w:val="nil"/>
            </w:tcBorders>
            <w:vAlign w:val="bottom"/>
          </w:tcPr>
          <w:p w14:paraId="7614BE13"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14CCE10E" w14:textId="3A4050FA"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12E29D32" w14:textId="627193CF" w:rsidR="00863311" w:rsidRPr="00A2241D" w:rsidRDefault="00863311" w:rsidP="00863311">
            <w:pPr>
              <w:pStyle w:val="TableText"/>
              <w:tabs>
                <w:tab w:val="left" w:pos="3306"/>
              </w:tabs>
              <w:jc w:val="right"/>
              <w:rPr>
                <w:rFonts w:cs="Calibri"/>
              </w:rPr>
            </w:pPr>
          </w:p>
        </w:tc>
      </w:tr>
      <w:tr w:rsidR="00863311" w:rsidRPr="00CF7E1B" w14:paraId="7903E011" w14:textId="77777777" w:rsidTr="0004564D">
        <w:trPr>
          <w:cantSplit/>
          <w:trHeight w:val="20"/>
        </w:trPr>
        <w:tc>
          <w:tcPr>
            <w:tcW w:w="1620" w:type="dxa"/>
            <w:tcBorders>
              <w:top w:val="nil"/>
              <w:left w:val="single" w:sz="2" w:space="0" w:color="auto"/>
              <w:bottom w:val="nil"/>
              <w:right w:val="single" w:sz="2" w:space="0" w:color="auto"/>
            </w:tcBorders>
          </w:tcPr>
          <w:p w14:paraId="37C23E4A"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31DC808A" w14:textId="77777777" w:rsidR="00863311" w:rsidRPr="00A2241D" w:rsidRDefault="00863311" w:rsidP="00863311">
            <w:pPr>
              <w:tabs>
                <w:tab w:val="left" w:pos="3306"/>
              </w:tabs>
              <w:spacing w:before="60" w:after="60"/>
              <w:rPr>
                <w:rFonts w:cs="Calibri"/>
                <w:sz w:val="18"/>
              </w:rPr>
            </w:pPr>
            <w:r w:rsidRPr="00A2241D">
              <w:rPr>
                <w:rFonts w:cs="Calibri"/>
                <w:sz w:val="18"/>
              </w:rPr>
              <w:t>Capital (Distributions)</w:t>
            </w:r>
          </w:p>
        </w:tc>
        <w:tc>
          <w:tcPr>
            <w:tcW w:w="1103" w:type="dxa"/>
            <w:tcBorders>
              <w:top w:val="nil"/>
              <w:left w:val="nil"/>
              <w:bottom w:val="nil"/>
              <w:right w:val="nil"/>
            </w:tcBorders>
            <w:vAlign w:val="bottom"/>
          </w:tcPr>
          <w:p w14:paraId="733BF7EF" w14:textId="77777777" w:rsidR="00863311" w:rsidRPr="00A2241D" w:rsidRDefault="00863311" w:rsidP="00863311">
            <w:pPr>
              <w:pStyle w:val="TableText"/>
              <w:tabs>
                <w:tab w:val="left" w:pos="3306"/>
              </w:tabs>
              <w:jc w:val="center"/>
              <w:rPr>
                <w:rFonts w:cs="Calibri"/>
              </w:rPr>
            </w:pPr>
          </w:p>
        </w:tc>
        <w:tc>
          <w:tcPr>
            <w:tcW w:w="1417" w:type="dxa"/>
            <w:tcBorders>
              <w:top w:val="nil"/>
              <w:left w:val="nil"/>
              <w:bottom w:val="nil"/>
              <w:right w:val="nil"/>
            </w:tcBorders>
            <w:shd w:val="clear" w:color="auto" w:fill="auto"/>
            <w:vAlign w:val="bottom"/>
          </w:tcPr>
          <w:p w14:paraId="5EA388CE" w14:textId="5D9F50C3"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42C41FC7" w14:textId="506F6C6C" w:rsidR="00863311" w:rsidRPr="00A2241D" w:rsidRDefault="00863311" w:rsidP="00863311">
            <w:pPr>
              <w:pStyle w:val="TableText"/>
              <w:tabs>
                <w:tab w:val="left" w:pos="3306"/>
              </w:tabs>
              <w:jc w:val="right"/>
              <w:rPr>
                <w:rFonts w:cs="Calibri"/>
              </w:rPr>
            </w:pPr>
          </w:p>
        </w:tc>
      </w:tr>
      <w:tr w:rsidR="00863311" w:rsidRPr="00CF7E1B" w14:paraId="6780FAE3" w14:textId="77777777" w:rsidTr="0004564D">
        <w:trPr>
          <w:cantSplit/>
          <w:trHeight w:val="20"/>
        </w:trPr>
        <w:tc>
          <w:tcPr>
            <w:tcW w:w="1620" w:type="dxa"/>
            <w:tcBorders>
              <w:top w:val="nil"/>
              <w:left w:val="single" w:sz="2" w:space="0" w:color="auto"/>
              <w:bottom w:val="nil"/>
              <w:right w:val="single" w:sz="2" w:space="0" w:color="auto"/>
            </w:tcBorders>
          </w:tcPr>
          <w:p w14:paraId="24B7F705" w14:textId="77777777" w:rsidR="00863311" w:rsidRPr="00A2241D" w:rsidRDefault="00863311" w:rsidP="00863311">
            <w:pPr>
              <w:pStyle w:val="TableReference"/>
              <w:tabs>
                <w:tab w:val="left" w:pos="3306"/>
              </w:tabs>
              <w:spacing w:before="60"/>
              <w:rPr>
                <w:rFonts w:cs="Calibri"/>
                <w:color w:val="7030A0"/>
                <w:sz w:val="14"/>
              </w:rPr>
            </w:pPr>
          </w:p>
        </w:tc>
        <w:tc>
          <w:tcPr>
            <w:tcW w:w="4992" w:type="dxa"/>
            <w:tcBorders>
              <w:top w:val="nil"/>
              <w:left w:val="single" w:sz="2" w:space="0" w:color="auto"/>
              <w:bottom w:val="nil"/>
              <w:right w:val="nil"/>
            </w:tcBorders>
          </w:tcPr>
          <w:p w14:paraId="408C449F" w14:textId="7395BF9F" w:rsidR="00863311" w:rsidRPr="00A2241D" w:rsidRDefault="00863311" w:rsidP="008002BA">
            <w:pPr>
              <w:tabs>
                <w:tab w:val="left" w:pos="3306"/>
              </w:tabs>
              <w:spacing w:before="60" w:after="60"/>
              <w:rPr>
                <w:rFonts w:cs="Calibri"/>
                <w:sz w:val="18"/>
              </w:rPr>
            </w:pPr>
            <w:r w:rsidRPr="00A2241D">
              <w:rPr>
                <w:rFonts w:cs="Calibri"/>
                <w:sz w:val="18"/>
              </w:rPr>
              <w:t xml:space="preserve">Net Assets transferred in </w:t>
            </w:r>
            <w:r w:rsidR="00647008" w:rsidRPr="00A2241D">
              <w:rPr>
                <w:rFonts w:cs="Calibri"/>
                <w:sz w:val="18"/>
              </w:rPr>
              <w:t>as part of</w:t>
            </w:r>
            <w:r w:rsidR="00647008" w:rsidRPr="00A2241D">
              <w:rPr>
                <w:rFonts w:asciiTheme="minorHAnsi" w:hAnsiTheme="minorHAnsi" w:cstheme="minorHAnsi"/>
                <w:sz w:val="18"/>
                <w:szCs w:val="18"/>
              </w:rPr>
              <w:t xml:space="preserve"> </w:t>
            </w:r>
            <w:r w:rsidR="006222F7" w:rsidRPr="00A2241D">
              <w:rPr>
                <w:rFonts w:asciiTheme="minorHAnsi" w:hAnsiTheme="minorHAnsi" w:cstheme="minorHAnsi"/>
                <w:sz w:val="18"/>
                <w:szCs w:val="18"/>
              </w:rPr>
              <w:t>a</w:t>
            </w:r>
            <w:r w:rsidR="0004485F" w:rsidRPr="00A2241D">
              <w:rPr>
                <w:rFonts w:asciiTheme="minorHAnsi" w:hAnsiTheme="minorHAnsi" w:cstheme="minorHAnsi"/>
                <w:sz w:val="18"/>
                <w:szCs w:val="18"/>
              </w:rPr>
              <w:t xml:space="preserve"> </w:t>
            </w:r>
            <w:r w:rsidRPr="00A2241D">
              <w:rPr>
                <w:rFonts w:cs="Calibri"/>
                <w:sz w:val="18"/>
              </w:rPr>
              <w:t>Administrative Restructure</w:t>
            </w:r>
          </w:p>
        </w:tc>
        <w:tc>
          <w:tcPr>
            <w:tcW w:w="1103" w:type="dxa"/>
            <w:tcBorders>
              <w:top w:val="nil"/>
              <w:left w:val="nil"/>
              <w:bottom w:val="nil"/>
              <w:right w:val="nil"/>
            </w:tcBorders>
          </w:tcPr>
          <w:p w14:paraId="60315E61" w14:textId="2CD3C531" w:rsidR="00863311" w:rsidRPr="00A2241D" w:rsidRDefault="001F7F23" w:rsidP="001220C0">
            <w:pPr>
              <w:pStyle w:val="TableText"/>
              <w:tabs>
                <w:tab w:val="left" w:pos="3306"/>
              </w:tabs>
              <w:jc w:val="center"/>
              <w:rPr>
                <w:rFonts w:cs="Calibri"/>
                <w:strike/>
              </w:rPr>
            </w:pPr>
            <w:r w:rsidRPr="00A2241D">
              <w:rPr>
                <w:rFonts w:cs="Calibri"/>
              </w:rPr>
              <w:t>5</w:t>
            </w:r>
            <w:r w:rsidR="001220C0" w:rsidRPr="00A2241D">
              <w:rPr>
                <w:rFonts w:cs="Calibri"/>
              </w:rPr>
              <w:t>2</w:t>
            </w:r>
          </w:p>
        </w:tc>
        <w:tc>
          <w:tcPr>
            <w:tcW w:w="1417" w:type="dxa"/>
            <w:tcBorders>
              <w:top w:val="nil"/>
              <w:left w:val="nil"/>
              <w:bottom w:val="nil"/>
              <w:right w:val="nil"/>
            </w:tcBorders>
            <w:shd w:val="clear" w:color="auto" w:fill="auto"/>
            <w:vAlign w:val="bottom"/>
          </w:tcPr>
          <w:p w14:paraId="60FE882D" w14:textId="08F656BD" w:rsidR="00863311" w:rsidRPr="00A2241D" w:rsidRDefault="00863311" w:rsidP="00863311">
            <w:pPr>
              <w:pStyle w:val="TableText"/>
              <w:tabs>
                <w:tab w:val="left" w:pos="3306"/>
              </w:tabs>
              <w:jc w:val="right"/>
              <w:rPr>
                <w:rFonts w:cs="Calibri"/>
              </w:rPr>
            </w:pPr>
          </w:p>
        </w:tc>
        <w:tc>
          <w:tcPr>
            <w:tcW w:w="1418" w:type="dxa"/>
            <w:tcBorders>
              <w:top w:val="nil"/>
              <w:left w:val="nil"/>
              <w:bottom w:val="nil"/>
              <w:right w:val="nil"/>
            </w:tcBorders>
            <w:shd w:val="clear" w:color="auto" w:fill="auto"/>
            <w:vAlign w:val="bottom"/>
          </w:tcPr>
          <w:p w14:paraId="1FBB177E" w14:textId="43EA2766" w:rsidR="00863311" w:rsidRPr="00A2241D" w:rsidRDefault="00863311" w:rsidP="00863311">
            <w:pPr>
              <w:pStyle w:val="TableText"/>
              <w:tabs>
                <w:tab w:val="left" w:pos="3306"/>
              </w:tabs>
              <w:jc w:val="right"/>
              <w:rPr>
                <w:rFonts w:cs="Calibri"/>
              </w:rPr>
            </w:pPr>
          </w:p>
        </w:tc>
      </w:tr>
      <w:tr w:rsidR="00863311" w:rsidRPr="00CF7E1B" w14:paraId="7DF0C814" w14:textId="77777777" w:rsidTr="0004564D">
        <w:trPr>
          <w:cantSplit/>
          <w:trHeight w:val="20"/>
        </w:trPr>
        <w:tc>
          <w:tcPr>
            <w:tcW w:w="1620" w:type="dxa"/>
            <w:tcBorders>
              <w:top w:val="nil"/>
              <w:left w:val="single" w:sz="2" w:space="0" w:color="auto"/>
              <w:bottom w:val="nil"/>
              <w:right w:val="single" w:sz="2" w:space="0" w:color="auto"/>
            </w:tcBorders>
          </w:tcPr>
          <w:p w14:paraId="5A25C68E" w14:textId="77777777" w:rsidR="00863311" w:rsidRPr="00A2241D" w:rsidRDefault="00863311" w:rsidP="00863311">
            <w:pPr>
              <w:pStyle w:val="TableReference"/>
              <w:tabs>
                <w:tab w:val="left" w:pos="3306"/>
              </w:tabs>
              <w:spacing w:before="60"/>
              <w:rPr>
                <w:rFonts w:cs="Calibri"/>
                <w:color w:val="7030A0"/>
                <w:sz w:val="14"/>
                <w:highlight w:val="cyan"/>
              </w:rPr>
            </w:pPr>
          </w:p>
        </w:tc>
        <w:tc>
          <w:tcPr>
            <w:tcW w:w="4992" w:type="dxa"/>
            <w:tcBorders>
              <w:top w:val="nil"/>
              <w:left w:val="single" w:sz="2" w:space="0" w:color="auto"/>
              <w:bottom w:val="nil"/>
              <w:right w:val="nil"/>
            </w:tcBorders>
          </w:tcPr>
          <w:p w14:paraId="763F2B98" w14:textId="17A84AB2" w:rsidR="00863311" w:rsidRPr="00A2241D" w:rsidRDefault="00863311" w:rsidP="008002BA">
            <w:pPr>
              <w:tabs>
                <w:tab w:val="left" w:pos="3306"/>
              </w:tabs>
              <w:spacing w:before="60" w:after="60"/>
              <w:rPr>
                <w:rFonts w:cs="Calibri"/>
                <w:sz w:val="18"/>
                <w:highlight w:val="cyan"/>
              </w:rPr>
            </w:pPr>
            <w:r w:rsidRPr="00A2241D">
              <w:rPr>
                <w:rFonts w:cs="Calibri"/>
                <w:sz w:val="18"/>
              </w:rPr>
              <w:t xml:space="preserve">Net Assets transferred out </w:t>
            </w:r>
            <w:r w:rsidR="00647008" w:rsidRPr="00A2241D">
              <w:rPr>
                <w:rFonts w:cs="Calibri"/>
                <w:sz w:val="18"/>
              </w:rPr>
              <w:t>as part of</w:t>
            </w:r>
            <w:r w:rsidR="00647008" w:rsidRPr="00A2241D">
              <w:rPr>
                <w:rFonts w:asciiTheme="minorHAnsi" w:hAnsiTheme="minorHAnsi" w:cstheme="minorHAnsi"/>
                <w:sz w:val="18"/>
                <w:szCs w:val="18"/>
              </w:rPr>
              <w:t xml:space="preserve"> </w:t>
            </w:r>
            <w:r w:rsidR="006222F7" w:rsidRPr="00A2241D">
              <w:rPr>
                <w:rFonts w:asciiTheme="minorHAnsi" w:hAnsiTheme="minorHAnsi" w:cstheme="minorHAnsi"/>
                <w:sz w:val="18"/>
                <w:szCs w:val="18"/>
              </w:rPr>
              <w:t>a</w:t>
            </w:r>
            <w:r w:rsidRPr="00A2241D">
              <w:rPr>
                <w:rFonts w:cs="Calibri"/>
                <w:sz w:val="18"/>
              </w:rPr>
              <w:t xml:space="preserve"> Administrative Restructure</w:t>
            </w:r>
          </w:p>
        </w:tc>
        <w:tc>
          <w:tcPr>
            <w:tcW w:w="1103" w:type="dxa"/>
            <w:tcBorders>
              <w:top w:val="nil"/>
              <w:left w:val="nil"/>
              <w:bottom w:val="nil"/>
              <w:right w:val="nil"/>
            </w:tcBorders>
          </w:tcPr>
          <w:p w14:paraId="707869A4" w14:textId="72F9E778" w:rsidR="00863311" w:rsidRPr="00A2241D" w:rsidRDefault="001F7F23" w:rsidP="001220C0">
            <w:pPr>
              <w:pStyle w:val="TableText"/>
              <w:tabs>
                <w:tab w:val="left" w:pos="3306"/>
              </w:tabs>
              <w:jc w:val="center"/>
              <w:rPr>
                <w:rFonts w:cs="Calibri"/>
                <w:strike/>
                <w:highlight w:val="cyan"/>
              </w:rPr>
            </w:pPr>
            <w:r w:rsidRPr="00A2241D">
              <w:rPr>
                <w:rFonts w:cs="Calibri"/>
              </w:rPr>
              <w:t>5</w:t>
            </w:r>
            <w:r w:rsidR="001220C0" w:rsidRPr="00A2241D">
              <w:rPr>
                <w:rFonts w:cs="Calibri"/>
              </w:rPr>
              <w:t>2</w:t>
            </w:r>
          </w:p>
        </w:tc>
        <w:tc>
          <w:tcPr>
            <w:tcW w:w="1417" w:type="dxa"/>
            <w:tcBorders>
              <w:top w:val="nil"/>
              <w:left w:val="nil"/>
              <w:bottom w:val="single" w:sz="4" w:space="0" w:color="auto"/>
              <w:right w:val="nil"/>
            </w:tcBorders>
            <w:shd w:val="clear" w:color="auto" w:fill="auto"/>
            <w:vAlign w:val="bottom"/>
          </w:tcPr>
          <w:p w14:paraId="5679A97E" w14:textId="220995C6" w:rsidR="00863311" w:rsidRPr="00A2241D" w:rsidRDefault="00863311" w:rsidP="00863311">
            <w:pPr>
              <w:pStyle w:val="TableText"/>
              <w:tabs>
                <w:tab w:val="left" w:pos="3306"/>
              </w:tabs>
              <w:jc w:val="right"/>
              <w:rPr>
                <w:rFonts w:cs="Calibri"/>
              </w:rPr>
            </w:pPr>
          </w:p>
        </w:tc>
        <w:tc>
          <w:tcPr>
            <w:tcW w:w="1418" w:type="dxa"/>
            <w:tcBorders>
              <w:top w:val="nil"/>
              <w:left w:val="nil"/>
              <w:bottom w:val="single" w:sz="4" w:space="0" w:color="auto"/>
              <w:right w:val="nil"/>
            </w:tcBorders>
            <w:shd w:val="clear" w:color="auto" w:fill="auto"/>
            <w:vAlign w:val="bottom"/>
          </w:tcPr>
          <w:p w14:paraId="14683CCA" w14:textId="6D6A4C9A" w:rsidR="00863311" w:rsidRPr="00A2241D" w:rsidRDefault="00863311" w:rsidP="00863311">
            <w:pPr>
              <w:pStyle w:val="TableText"/>
              <w:tabs>
                <w:tab w:val="left" w:pos="3306"/>
              </w:tabs>
              <w:jc w:val="right"/>
              <w:rPr>
                <w:rFonts w:cs="Calibri"/>
              </w:rPr>
            </w:pPr>
          </w:p>
        </w:tc>
      </w:tr>
      <w:tr w:rsidR="00863311" w:rsidRPr="00CF7E1B" w14:paraId="5986AD20" w14:textId="77777777" w:rsidTr="0004564D">
        <w:trPr>
          <w:cantSplit/>
          <w:trHeight w:val="383"/>
        </w:trPr>
        <w:tc>
          <w:tcPr>
            <w:tcW w:w="1620" w:type="dxa"/>
            <w:tcBorders>
              <w:top w:val="nil"/>
              <w:left w:val="single" w:sz="2" w:space="0" w:color="auto"/>
              <w:bottom w:val="nil"/>
              <w:right w:val="single" w:sz="2" w:space="0" w:color="auto"/>
            </w:tcBorders>
          </w:tcPr>
          <w:p w14:paraId="0978860E"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tcPr>
          <w:p w14:paraId="6FBB8C3E" w14:textId="77777777" w:rsidR="00863311" w:rsidRPr="00A2241D" w:rsidRDefault="00863311" w:rsidP="00863311">
            <w:pPr>
              <w:pStyle w:val="TableReference"/>
              <w:rPr>
                <w:rFonts w:cs="Calibri"/>
                <w:color w:val="auto"/>
                <w:sz w:val="18"/>
                <w:szCs w:val="18"/>
              </w:rPr>
            </w:pPr>
            <w:r w:rsidRPr="00A2241D">
              <w:rPr>
                <w:rFonts w:cs="Calibri"/>
                <w:b/>
                <w:iCs/>
                <w:color w:val="auto"/>
                <w:sz w:val="18"/>
                <w:szCs w:val="16"/>
              </w:rPr>
              <w:t>Total Transactions Involving Owners Affecting Accumulated Funds</w:t>
            </w:r>
          </w:p>
        </w:tc>
        <w:tc>
          <w:tcPr>
            <w:tcW w:w="1103" w:type="dxa"/>
            <w:tcBorders>
              <w:top w:val="nil"/>
              <w:left w:val="nil"/>
              <w:bottom w:val="nil"/>
              <w:right w:val="nil"/>
            </w:tcBorders>
            <w:vAlign w:val="bottom"/>
          </w:tcPr>
          <w:p w14:paraId="09001978" w14:textId="77777777" w:rsidR="00863311" w:rsidRPr="00A2241D" w:rsidRDefault="00863311" w:rsidP="00863311">
            <w:pPr>
              <w:pStyle w:val="TableReference"/>
              <w:rPr>
                <w:rFonts w:cs="Calibri"/>
                <w:color w:val="auto"/>
              </w:rPr>
            </w:pPr>
          </w:p>
        </w:tc>
        <w:tc>
          <w:tcPr>
            <w:tcW w:w="1417" w:type="dxa"/>
            <w:tcBorders>
              <w:top w:val="single" w:sz="4" w:space="0" w:color="auto"/>
              <w:left w:val="nil"/>
              <w:bottom w:val="single" w:sz="4" w:space="0" w:color="auto"/>
              <w:right w:val="nil"/>
            </w:tcBorders>
            <w:shd w:val="clear" w:color="auto" w:fill="auto"/>
            <w:vAlign w:val="bottom"/>
          </w:tcPr>
          <w:p w14:paraId="63DDB648" w14:textId="40072F11" w:rsidR="00863311" w:rsidRPr="00A2241D" w:rsidRDefault="00863311" w:rsidP="00863311">
            <w:pPr>
              <w:pStyle w:val="TableText"/>
              <w:tabs>
                <w:tab w:val="left" w:pos="3306"/>
              </w:tabs>
              <w:spacing w:before="0"/>
              <w:jc w:val="right"/>
              <w:rPr>
                <w:rFonts w:cs="Calibri"/>
                <w:b/>
                <w:highlight w:val="cyan"/>
              </w:rPr>
            </w:pPr>
          </w:p>
        </w:tc>
        <w:tc>
          <w:tcPr>
            <w:tcW w:w="1418" w:type="dxa"/>
            <w:tcBorders>
              <w:top w:val="single" w:sz="4" w:space="0" w:color="auto"/>
              <w:left w:val="nil"/>
              <w:bottom w:val="single" w:sz="4" w:space="0" w:color="auto"/>
              <w:right w:val="nil"/>
            </w:tcBorders>
            <w:shd w:val="clear" w:color="auto" w:fill="auto"/>
            <w:vAlign w:val="bottom"/>
          </w:tcPr>
          <w:p w14:paraId="4BA6D002" w14:textId="64C3A112" w:rsidR="00863311" w:rsidRPr="00A2241D" w:rsidRDefault="00863311" w:rsidP="00863311">
            <w:pPr>
              <w:pStyle w:val="TableText"/>
              <w:tabs>
                <w:tab w:val="left" w:pos="3306"/>
              </w:tabs>
              <w:spacing w:before="0"/>
              <w:jc w:val="right"/>
              <w:rPr>
                <w:rFonts w:cs="Calibri"/>
                <w:b/>
                <w:highlight w:val="cyan"/>
              </w:rPr>
            </w:pPr>
          </w:p>
        </w:tc>
      </w:tr>
      <w:tr w:rsidR="00863311" w:rsidRPr="00CF7E1B" w14:paraId="2F71F8D1" w14:textId="77777777" w:rsidTr="0004564D">
        <w:trPr>
          <w:cantSplit/>
          <w:trHeight w:val="20"/>
        </w:trPr>
        <w:tc>
          <w:tcPr>
            <w:tcW w:w="1620" w:type="dxa"/>
            <w:tcBorders>
              <w:top w:val="nil"/>
              <w:left w:val="single" w:sz="2" w:space="0" w:color="auto"/>
              <w:bottom w:val="nil"/>
              <w:right w:val="single" w:sz="2" w:space="0" w:color="auto"/>
            </w:tcBorders>
          </w:tcPr>
          <w:p w14:paraId="1EAC7AA5" w14:textId="77777777" w:rsidR="00863311" w:rsidRPr="00A2241D" w:rsidRDefault="00863311"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59E9D37F" w14:textId="77777777" w:rsidR="00863311" w:rsidRPr="00A2241D" w:rsidRDefault="00863311" w:rsidP="00863311">
            <w:pPr>
              <w:pStyle w:val="TableText"/>
              <w:tabs>
                <w:tab w:val="left" w:pos="3306"/>
              </w:tabs>
              <w:rPr>
                <w:rFonts w:cs="Calibri"/>
                <w:b/>
                <w:bCs/>
                <w:highlight w:val="cyan"/>
              </w:rPr>
            </w:pPr>
          </w:p>
        </w:tc>
        <w:tc>
          <w:tcPr>
            <w:tcW w:w="1103" w:type="dxa"/>
            <w:tcBorders>
              <w:top w:val="nil"/>
              <w:left w:val="nil"/>
              <w:bottom w:val="nil"/>
              <w:right w:val="nil"/>
            </w:tcBorders>
            <w:vAlign w:val="bottom"/>
          </w:tcPr>
          <w:p w14:paraId="7A639AE1"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single" w:sz="4" w:space="0" w:color="auto"/>
              <w:right w:val="nil"/>
            </w:tcBorders>
            <w:shd w:val="clear" w:color="auto" w:fill="auto"/>
            <w:vAlign w:val="bottom"/>
          </w:tcPr>
          <w:p w14:paraId="5A39B195" w14:textId="77777777" w:rsidR="00863311" w:rsidRPr="00A2241D" w:rsidRDefault="00863311" w:rsidP="00863311">
            <w:pPr>
              <w:pStyle w:val="TableText"/>
              <w:tabs>
                <w:tab w:val="left" w:pos="3306"/>
              </w:tabs>
              <w:jc w:val="right"/>
              <w:rPr>
                <w:rFonts w:cs="Calibri"/>
                <w:b/>
                <w:bCs/>
                <w:highlight w:val="cyan"/>
              </w:rPr>
            </w:pPr>
          </w:p>
        </w:tc>
        <w:tc>
          <w:tcPr>
            <w:tcW w:w="1418" w:type="dxa"/>
            <w:tcBorders>
              <w:top w:val="single" w:sz="4" w:space="0" w:color="auto"/>
              <w:left w:val="nil"/>
              <w:bottom w:val="single" w:sz="4" w:space="0" w:color="auto"/>
              <w:right w:val="nil"/>
            </w:tcBorders>
            <w:shd w:val="clear" w:color="auto" w:fill="auto"/>
            <w:vAlign w:val="bottom"/>
          </w:tcPr>
          <w:p w14:paraId="725E871B" w14:textId="77777777" w:rsidR="00863311" w:rsidRPr="00A2241D" w:rsidRDefault="00863311" w:rsidP="00863311">
            <w:pPr>
              <w:pStyle w:val="TableText"/>
              <w:tabs>
                <w:tab w:val="left" w:pos="3306"/>
              </w:tabs>
              <w:jc w:val="right"/>
              <w:rPr>
                <w:rFonts w:cs="Calibri"/>
                <w:b/>
                <w:bCs/>
                <w:highlight w:val="cyan"/>
              </w:rPr>
            </w:pPr>
          </w:p>
        </w:tc>
      </w:tr>
      <w:tr w:rsidR="00863311" w:rsidRPr="00CF7E1B" w14:paraId="05D4A330" w14:textId="77777777" w:rsidTr="0004564D">
        <w:trPr>
          <w:cantSplit/>
          <w:trHeight w:val="20"/>
        </w:trPr>
        <w:tc>
          <w:tcPr>
            <w:tcW w:w="1620" w:type="dxa"/>
            <w:tcBorders>
              <w:top w:val="nil"/>
              <w:left w:val="single" w:sz="2" w:space="0" w:color="auto"/>
              <w:bottom w:val="nil"/>
              <w:right w:val="single" w:sz="2" w:space="0" w:color="auto"/>
            </w:tcBorders>
          </w:tcPr>
          <w:p w14:paraId="426333E1" w14:textId="77777777" w:rsidR="00863311" w:rsidRPr="00A2241D" w:rsidRDefault="00863311" w:rsidP="00863311">
            <w:pPr>
              <w:pStyle w:val="TableReference"/>
              <w:tabs>
                <w:tab w:val="left" w:pos="3306"/>
              </w:tabs>
              <w:spacing w:before="40"/>
              <w:rPr>
                <w:rFonts w:cs="Calibri"/>
                <w:color w:val="7030A0"/>
                <w:sz w:val="14"/>
              </w:rPr>
            </w:pPr>
            <w:r w:rsidRPr="00A2241D">
              <w:rPr>
                <w:rFonts w:cs="Calibri"/>
                <w:color w:val="7030A0"/>
                <w:sz w:val="14"/>
              </w:rPr>
              <w:t xml:space="preserve"> </w:t>
            </w:r>
          </w:p>
        </w:tc>
        <w:tc>
          <w:tcPr>
            <w:tcW w:w="4992" w:type="dxa"/>
            <w:tcBorders>
              <w:top w:val="nil"/>
              <w:left w:val="single" w:sz="2" w:space="0" w:color="auto"/>
              <w:bottom w:val="nil"/>
              <w:right w:val="nil"/>
            </w:tcBorders>
            <w:vAlign w:val="bottom"/>
          </w:tcPr>
          <w:p w14:paraId="72CA234A" w14:textId="4ECAF90B" w:rsidR="00863311" w:rsidRPr="00A2241D" w:rsidRDefault="004F4683" w:rsidP="008002BA">
            <w:pPr>
              <w:pStyle w:val="TableText"/>
              <w:tabs>
                <w:tab w:val="left" w:pos="3306"/>
              </w:tabs>
              <w:rPr>
                <w:rFonts w:cs="Calibri"/>
                <w:b/>
                <w:bCs/>
              </w:rPr>
            </w:pPr>
            <w:r w:rsidRPr="00A2241D">
              <w:rPr>
                <w:rFonts w:cs="Calibri"/>
                <w:b/>
                <w:bCs/>
              </w:rPr>
              <w:t>Balance at 30 June 2021</w:t>
            </w:r>
          </w:p>
        </w:tc>
        <w:tc>
          <w:tcPr>
            <w:tcW w:w="1103" w:type="dxa"/>
            <w:tcBorders>
              <w:top w:val="nil"/>
              <w:left w:val="nil"/>
              <w:bottom w:val="nil"/>
              <w:right w:val="nil"/>
            </w:tcBorders>
            <w:vAlign w:val="bottom"/>
          </w:tcPr>
          <w:p w14:paraId="4FB8C4F1" w14:textId="77777777" w:rsidR="00863311" w:rsidRPr="00A2241D" w:rsidRDefault="00863311" w:rsidP="00863311">
            <w:pPr>
              <w:pStyle w:val="TableText"/>
              <w:tabs>
                <w:tab w:val="left" w:pos="3306"/>
              </w:tabs>
              <w:jc w:val="center"/>
              <w:rPr>
                <w:rFonts w:cs="Calibri"/>
              </w:rPr>
            </w:pPr>
          </w:p>
        </w:tc>
        <w:tc>
          <w:tcPr>
            <w:tcW w:w="1417" w:type="dxa"/>
            <w:tcBorders>
              <w:top w:val="single" w:sz="4" w:space="0" w:color="auto"/>
              <w:left w:val="nil"/>
              <w:bottom w:val="double" w:sz="4" w:space="0" w:color="auto"/>
              <w:right w:val="nil"/>
            </w:tcBorders>
            <w:shd w:val="clear" w:color="auto" w:fill="auto"/>
            <w:vAlign w:val="bottom"/>
          </w:tcPr>
          <w:p w14:paraId="7E684383" w14:textId="5E009609" w:rsidR="00863311" w:rsidRPr="00A2241D" w:rsidRDefault="00863311" w:rsidP="00863311">
            <w:pPr>
              <w:pStyle w:val="TableText"/>
              <w:tabs>
                <w:tab w:val="left" w:pos="3306"/>
              </w:tabs>
              <w:jc w:val="right"/>
              <w:rPr>
                <w:rFonts w:cs="Calibri"/>
                <w:b/>
                <w:bCs/>
              </w:rPr>
            </w:pPr>
          </w:p>
        </w:tc>
        <w:tc>
          <w:tcPr>
            <w:tcW w:w="1418" w:type="dxa"/>
            <w:tcBorders>
              <w:top w:val="single" w:sz="4" w:space="0" w:color="auto"/>
              <w:left w:val="nil"/>
              <w:bottom w:val="double" w:sz="4" w:space="0" w:color="auto"/>
              <w:right w:val="nil"/>
            </w:tcBorders>
            <w:shd w:val="clear" w:color="auto" w:fill="auto"/>
            <w:vAlign w:val="bottom"/>
          </w:tcPr>
          <w:p w14:paraId="00F3035C" w14:textId="6EA57EDB" w:rsidR="00863311" w:rsidRPr="00A2241D" w:rsidRDefault="00863311" w:rsidP="00863311">
            <w:pPr>
              <w:pStyle w:val="TableText"/>
              <w:tabs>
                <w:tab w:val="left" w:pos="3306"/>
              </w:tabs>
              <w:jc w:val="right"/>
              <w:rPr>
                <w:rFonts w:cs="Calibri"/>
                <w:b/>
                <w:bCs/>
              </w:rPr>
            </w:pPr>
          </w:p>
        </w:tc>
      </w:tr>
      <w:tr w:rsidR="00647008" w:rsidRPr="00CF7E1B" w14:paraId="7F84A115" w14:textId="77777777" w:rsidTr="0004564D">
        <w:trPr>
          <w:cantSplit/>
          <w:trHeight w:val="20"/>
        </w:trPr>
        <w:tc>
          <w:tcPr>
            <w:tcW w:w="1620" w:type="dxa"/>
            <w:tcBorders>
              <w:top w:val="nil"/>
              <w:left w:val="single" w:sz="2" w:space="0" w:color="auto"/>
              <w:bottom w:val="nil"/>
              <w:right w:val="single" w:sz="2" w:space="0" w:color="auto"/>
            </w:tcBorders>
          </w:tcPr>
          <w:p w14:paraId="01A00A0F" w14:textId="77777777" w:rsidR="00647008" w:rsidRPr="00A2241D" w:rsidRDefault="00647008" w:rsidP="00863311">
            <w:pPr>
              <w:pStyle w:val="TableReference"/>
              <w:tabs>
                <w:tab w:val="left" w:pos="3306"/>
              </w:tabs>
              <w:spacing w:before="40"/>
              <w:rPr>
                <w:rFonts w:cs="Calibri"/>
                <w:color w:val="7030A0"/>
                <w:sz w:val="14"/>
              </w:rPr>
            </w:pPr>
          </w:p>
        </w:tc>
        <w:tc>
          <w:tcPr>
            <w:tcW w:w="4992" w:type="dxa"/>
            <w:tcBorders>
              <w:top w:val="nil"/>
              <w:left w:val="single" w:sz="2" w:space="0" w:color="auto"/>
              <w:bottom w:val="nil"/>
              <w:right w:val="nil"/>
            </w:tcBorders>
            <w:vAlign w:val="bottom"/>
          </w:tcPr>
          <w:p w14:paraId="73AE9512" w14:textId="77777777" w:rsidR="00647008" w:rsidRPr="00A2241D" w:rsidRDefault="00647008" w:rsidP="008002BA">
            <w:pPr>
              <w:pStyle w:val="TableText"/>
              <w:tabs>
                <w:tab w:val="left" w:pos="3306"/>
              </w:tabs>
              <w:rPr>
                <w:rFonts w:cs="Calibri"/>
                <w:b/>
                <w:bCs/>
                <w:strike/>
              </w:rPr>
            </w:pPr>
          </w:p>
        </w:tc>
        <w:tc>
          <w:tcPr>
            <w:tcW w:w="1103" w:type="dxa"/>
            <w:tcBorders>
              <w:top w:val="nil"/>
              <w:left w:val="nil"/>
              <w:bottom w:val="nil"/>
              <w:right w:val="nil"/>
            </w:tcBorders>
            <w:vAlign w:val="bottom"/>
          </w:tcPr>
          <w:p w14:paraId="0B99D984" w14:textId="77777777" w:rsidR="00647008" w:rsidRPr="00A2241D" w:rsidRDefault="00647008" w:rsidP="00863311">
            <w:pPr>
              <w:pStyle w:val="TableText"/>
              <w:tabs>
                <w:tab w:val="left" w:pos="3306"/>
              </w:tabs>
              <w:jc w:val="center"/>
              <w:rPr>
                <w:rFonts w:cs="Calibri"/>
              </w:rPr>
            </w:pPr>
          </w:p>
        </w:tc>
        <w:tc>
          <w:tcPr>
            <w:tcW w:w="1417" w:type="dxa"/>
            <w:tcBorders>
              <w:top w:val="double" w:sz="4" w:space="0" w:color="auto"/>
              <w:left w:val="nil"/>
              <w:bottom w:val="nil"/>
              <w:right w:val="nil"/>
            </w:tcBorders>
            <w:shd w:val="clear" w:color="auto" w:fill="auto"/>
            <w:vAlign w:val="bottom"/>
          </w:tcPr>
          <w:p w14:paraId="283A5347" w14:textId="77777777" w:rsidR="00647008" w:rsidRPr="00A2241D" w:rsidRDefault="00647008" w:rsidP="00863311">
            <w:pPr>
              <w:pStyle w:val="TableText"/>
              <w:tabs>
                <w:tab w:val="left" w:pos="3306"/>
              </w:tabs>
              <w:jc w:val="right"/>
              <w:rPr>
                <w:rFonts w:cs="Calibri"/>
                <w:b/>
                <w:bCs/>
              </w:rPr>
            </w:pPr>
          </w:p>
        </w:tc>
        <w:tc>
          <w:tcPr>
            <w:tcW w:w="1418" w:type="dxa"/>
            <w:tcBorders>
              <w:top w:val="double" w:sz="4" w:space="0" w:color="auto"/>
              <w:left w:val="nil"/>
              <w:bottom w:val="nil"/>
              <w:right w:val="nil"/>
            </w:tcBorders>
            <w:shd w:val="clear" w:color="auto" w:fill="auto"/>
            <w:vAlign w:val="bottom"/>
          </w:tcPr>
          <w:p w14:paraId="609998B7" w14:textId="77777777" w:rsidR="00647008" w:rsidRPr="00A2241D" w:rsidRDefault="00647008" w:rsidP="00863311">
            <w:pPr>
              <w:pStyle w:val="TableText"/>
              <w:tabs>
                <w:tab w:val="left" w:pos="3306"/>
              </w:tabs>
              <w:jc w:val="right"/>
              <w:rPr>
                <w:rFonts w:cs="Calibri"/>
                <w:b/>
                <w:bCs/>
              </w:rPr>
            </w:pPr>
          </w:p>
        </w:tc>
      </w:tr>
      <w:tr w:rsidR="00863311" w:rsidRPr="00CF7E1B" w14:paraId="57FAC6A3" w14:textId="77777777" w:rsidTr="0004564D">
        <w:trPr>
          <w:cantSplit/>
          <w:trHeight w:val="451"/>
        </w:trPr>
        <w:tc>
          <w:tcPr>
            <w:tcW w:w="1620" w:type="dxa"/>
            <w:tcBorders>
              <w:top w:val="nil"/>
              <w:left w:val="single" w:sz="2" w:space="0" w:color="auto"/>
              <w:bottom w:val="nil"/>
              <w:right w:val="single" w:sz="2" w:space="0" w:color="auto"/>
            </w:tcBorders>
          </w:tcPr>
          <w:p w14:paraId="498515D8" w14:textId="77777777" w:rsidR="00863311" w:rsidRPr="00A2241D" w:rsidRDefault="00863311" w:rsidP="00863311">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11A3E7A8" w14:textId="2094FDE0" w:rsidR="00863311" w:rsidRPr="00A2241D" w:rsidRDefault="00647008" w:rsidP="008002BA">
            <w:pPr>
              <w:pStyle w:val="TableText"/>
              <w:tabs>
                <w:tab w:val="left" w:pos="3306"/>
              </w:tabs>
              <w:spacing w:before="0"/>
              <w:rPr>
                <w:rFonts w:cs="Calibri"/>
                <w:b/>
                <w:bCs/>
              </w:rPr>
            </w:pPr>
            <w:r w:rsidRPr="00A2241D">
              <w:rPr>
                <w:rFonts w:cs="Calibri"/>
              </w:rPr>
              <w:t xml:space="preserve">The above </w:t>
            </w:r>
            <w:r w:rsidRPr="00A2241D">
              <w:rPr>
                <w:rFonts w:asciiTheme="minorHAnsi" w:hAnsiTheme="minorHAnsi" w:cstheme="minorHAnsi"/>
              </w:rPr>
              <w:t xml:space="preserve">Statement of Changes in Equity on Behalf of the Territory </w:t>
            </w:r>
            <w:r w:rsidRPr="00A2241D">
              <w:rPr>
                <w:rFonts w:cs="Calibri"/>
                <w:bCs/>
              </w:rPr>
              <w:t>is to</w:t>
            </w:r>
            <w:r w:rsidRPr="00A2241D">
              <w:rPr>
                <w:rFonts w:asciiTheme="minorHAnsi" w:hAnsiTheme="minorHAnsi" w:cstheme="minorHAnsi"/>
              </w:rPr>
              <w:t xml:space="preserve"> </w:t>
            </w:r>
            <w:r w:rsidR="00863311" w:rsidRPr="00A2241D">
              <w:rPr>
                <w:rFonts w:cs="Calibri"/>
              </w:rPr>
              <w:t>be read in conjunction with the accompanying notes.</w:t>
            </w:r>
            <w:r w:rsidR="00FA7C77">
              <w:rPr>
                <w:rFonts w:cs="Calibri"/>
              </w:rPr>
              <w:t xml:space="preserve">  </w:t>
            </w:r>
          </w:p>
        </w:tc>
      </w:tr>
      <w:tr w:rsidR="00A2241D" w:rsidRPr="00CF7E1B" w14:paraId="5D7B0BD9" w14:textId="77777777" w:rsidTr="0004564D">
        <w:trPr>
          <w:cantSplit/>
          <w:trHeight w:val="156"/>
        </w:trPr>
        <w:tc>
          <w:tcPr>
            <w:tcW w:w="1620" w:type="dxa"/>
            <w:tcBorders>
              <w:top w:val="nil"/>
              <w:left w:val="single" w:sz="2" w:space="0" w:color="auto"/>
              <w:bottom w:val="nil"/>
              <w:right w:val="single" w:sz="2" w:space="0" w:color="auto"/>
            </w:tcBorders>
          </w:tcPr>
          <w:p w14:paraId="3FBE2C91" w14:textId="77777777" w:rsidR="00A2241D" w:rsidRPr="00A2241D" w:rsidRDefault="00A2241D" w:rsidP="00863311">
            <w:pPr>
              <w:pStyle w:val="TableReference"/>
              <w:tabs>
                <w:tab w:val="left" w:pos="3306"/>
              </w:tabs>
              <w:rPr>
                <w:rFonts w:cs="Calibri"/>
                <w:color w:val="7030A0"/>
                <w:sz w:val="14"/>
              </w:rPr>
            </w:pPr>
          </w:p>
        </w:tc>
        <w:tc>
          <w:tcPr>
            <w:tcW w:w="8930" w:type="dxa"/>
            <w:gridSpan w:val="4"/>
            <w:tcBorders>
              <w:top w:val="nil"/>
              <w:left w:val="single" w:sz="2" w:space="0" w:color="auto"/>
              <w:bottom w:val="nil"/>
              <w:right w:val="nil"/>
            </w:tcBorders>
            <w:vAlign w:val="bottom"/>
          </w:tcPr>
          <w:p w14:paraId="7DC08353" w14:textId="77777777" w:rsidR="00A2241D" w:rsidRPr="00A2241D" w:rsidRDefault="00A2241D" w:rsidP="008002BA">
            <w:pPr>
              <w:pStyle w:val="TableText"/>
              <w:tabs>
                <w:tab w:val="left" w:pos="3306"/>
              </w:tabs>
              <w:spacing w:before="0"/>
              <w:rPr>
                <w:rFonts w:cs="Calibri"/>
              </w:rPr>
            </w:pPr>
          </w:p>
        </w:tc>
      </w:tr>
      <w:tr w:rsidR="00863311" w:rsidRPr="00CF7E1B" w14:paraId="0E5F12ED"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721A6D0C" w14:textId="3A5AFC4F" w:rsidR="00863311" w:rsidRPr="005D3C33" w:rsidRDefault="00863311" w:rsidP="005D3C33">
            <w:pPr>
              <w:pStyle w:val="TableReference"/>
              <w:tabs>
                <w:tab w:val="left" w:pos="3306"/>
              </w:tabs>
              <w:spacing w:before="240" w:after="240"/>
              <w:rPr>
                <w:rFonts w:asciiTheme="minorHAnsi" w:hAnsiTheme="minorHAnsi" w:cstheme="minorHAnsi"/>
                <w:b/>
                <w:color w:val="auto"/>
                <w:sz w:val="22"/>
                <w:szCs w:val="22"/>
              </w:rPr>
            </w:pPr>
          </w:p>
        </w:tc>
        <w:tc>
          <w:tcPr>
            <w:tcW w:w="8930" w:type="dxa"/>
            <w:gridSpan w:val="4"/>
            <w:tcBorders>
              <w:top w:val="nil"/>
              <w:left w:val="single" w:sz="2" w:space="0" w:color="auto"/>
              <w:bottom w:val="nil"/>
              <w:right w:val="nil"/>
            </w:tcBorders>
            <w:shd w:val="clear" w:color="auto" w:fill="7030A0"/>
            <w:vAlign w:val="bottom"/>
          </w:tcPr>
          <w:p w14:paraId="7AD667F5" w14:textId="77777777" w:rsidR="00863311" w:rsidRPr="00A2241D" w:rsidRDefault="00863311" w:rsidP="00A84CC0">
            <w:pPr>
              <w:pStyle w:val="CommentaryTitle"/>
              <w:spacing w:before="0" w:after="240"/>
              <w:rPr>
                <w:rFonts w:cs="Calibri"/>
                <w:color w:val="FFFFFF" w:themeColor="background1"/>
                <w:sz w:val="28"/>
                <w:szCs w:val="28"/>
              </w:rPr>
            </w:pPr>
            <w:r w:rsidRPr="00A2241D">
              <w:rPr>
                <w:rFonts w:cs="Calibri"/>
                <w:color w:val="FFFFFF" w:themeColor="background1"/>
                <w:sz w:val="28"/>
                <w:szCs w:val="28"/>
              </w:rPr>
              <w:t>Commentary – Statement of Changes in Equity on Behalf of the Territory</w:t>
            </w:r>
          </w:p>
        </w:tc>
      </w:tr>
      <w:tr w:rsidR="00863311" w:rsidRPr="00CF7E1B" w14:paraId="6BE7CF4F"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7065B761"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093907AB" w14:textId="3410A53E" w:rsidR="00863311" w:rsidRPr="00A2241D" w:rsidRDefault="00863311" w:rsidP="008A5268">
            <w:pPr>
              <w:pStyle w:val="CommentaryText"/>
              <w:rPr>
                <w:rFonts w:cs="Calibri"/>
                <w:color w:val="FFFFFF" w:themeColor="background1"/>
                <w:sz w:val="18"/>
                <w:szCs w:val="18"/>
              </w:rPr>
            </w:pPr>
            <w:r w:rsidRPr="00A2241D">
              <w:rPr>
                <w:rFonts w:cs="Calibri"/>
                <w:color w:val="FFFFFF" w:themeColor="background1"/>
                <w:sz w:val="18"/>
                <w:szCs w:val="18"/>
              </w:rPr>
              <w:t>Agencies must include a Statement of Changes in Equity on Behalf of the Territory regardless of whether there are any amounts against the line items in this Statement.</w:t>
            </w:r>
            <w:r w:rsidR="00FA7C77">
              <w:rPr>
                <w:rFonts w:cs="Calibri"/>
                <w:color w:val="FFFFFF" w:themeColor="background1"/>
                <w:sz w:val="18"/>
                <w:szCs w:val="18"/>
              </w:rPr>
              <w:t xml:space="preserve"> </w:t>
            </w:r>
            <w:r w:rsidR="00D872FB" w:rsidRPr="00A2241D">
              <w:rPr>
                <w:rFonts w:cs="Calibri"/>
                <w:color w:val="FFFFFF" w:themeColor="background1"/>
                <w:sz w:val="18"/>
                <w:szCs w:val="18"/>
              </w:rPr>
              <w:t xml:space="preserve">In this case just the headings (bolded above) and not the line items </w:t>
            </w:r>
            <w:r w:rsidR="00647008" w:rsidRPr="00A2241D">
              <w:rPr>
                <w:rFonts w:cs="Calibri"/>
                <w:color w:val="FFFFFF" w:themeColor="background1"/>
                <w:sz w:val="18"/>
                <w:szCs w:val="18"/>
              </w:rPr>
              <w:t xml:space="preserve">should </w:t>
            </w:r>
            <w:r w:rsidR="00D872FB" w:rsidRPr="00A2241D">
              <w:rPr>
                <w:rFonts w:cs="Calibri"/>
                <w:color w:val="FFFFFF" w:themeColor="background1"/>
                <w:sz w:val="18"/>
                <w:szCs w:val="18"/>
              </w:rPr>
              <w:t>be included.</w:t>
            </w:r>
          </w:p>
        </w:tc>
      </w:tr>
      <w:tr w:rsidR="00863311" w:rsidRPr="00CF7E1B" w14:paraId="01167834"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0F31CD44"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049C73E3" w14:textId="7F103D18" w:rsidR="00863311" w:rsidRPr="00A2241D" w:rsidRDefault="00863311" w:rsidP="008A5268">
            <w:pPr>
              <w:pStyle w:val="CommentaryReference"/>
              <w:spacing w:after="120"/>
              <w:jc w:val="both"/>
              <w:rPr>
                <w:rFonts w:cs="Calibri"/>
                <w:color w:val="FFFFFF" w:themeColor="background1"/>
                <w:sz w:val="18"/>
                <w:szCs w:val="18"/>
              </w:rPr>
            </w:pPr>
            <w:r w:rsidRPr="00A2241D">
              <w:rPr>
                <w:rFonts w:cs="Calibri"/>
                <w:color w:val="FFFFFF" w:themeColor="background1"/>
                <w:sz w:val="18"/>
                <w:szCs w:val="18"/>
              </w:rPr>
              <w:t>Agencies are free to combine, where possible, the Statement of Changes in Equity</w:t>
            </w:r>
            <w:r w:rsidR="00647008" w:rsidRPr="00A2241D">
              <w:rPr>
                <w:rFonts w:cs="Calibri"/>
                <w:color w:val="FFFFFF" w:themeColor="background1"/>
                <w:sz w:val="18"/>
                <w:szCs w:val="18"/>
              </w:rPr>
              <w:t xml:space="preserve"> on Behalf of the Territory</w:t>
            </w:r>
            <w:r w:rsidRPr="00A2241D">
              <w:rPr>
                <w:rFonts w:cs="Calibri"/>
                <w:color w:val="FFFFFF" w:themeColor="background1"/>
                <w:sz w:val="18"/>
                <w:szCs w:val="18"/>
              </w:rPr>
              <w:t xml:space="preserve"> onto one page.</w:t>
            </w:r>
            <w:r w:rsidR="00FA7C77">
              <w:rPr>
                <w:rFonts w:cs="Calibri"/>
                <w:color w:val="FFFFFF" w:themeColor="background1"/>
                <w:sz w:val="18"/>
                <w:szCs w:val="18"/>
              </w:rPr>
              <w:t xml:space="preserve"> </w:t>
            </w:r>
          </w:p>
        </w:tc>
      </w:tr>
      <w:tr w:rsidR="00863311" w:rsidRPr="00CF7E1B" w14:paraId="2C90FD88"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560E00DC"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3298D786" w14:textId="2B3CC4B9" w:rsidR="008002BA" w:rsidRPr="00A2241D" w:rsidRDefault="00B61281" w:rsidP="008A5268">
            <w:pPr>
              <w:pStyle w:val="CommentaryReference"/>
              <w:spacing w:after="120"/>
              <w:jc w:val="both"/>
              <w:rPr>
                <w:rFonts w:cs="Calibri"/>
                <w:color w:val="FFFFFF" w:themeColor="background1"/>
                <w:sz w:val="18"/>
                <w:szCs w:val="18"/>
              </w:rPr>
            </w:pPr>
            <w:r w:rsidRPr="00A2241D">
              <w:rPr>
                <w:rFonts w:cs="Calibri"/>
                <w:color w:val="FFFFFF" w:themeColor="background1"/>
                <w:sz w:val="18"/>
                <w:szCs w:val="18"/>
              </w:rPr>
              <w:t>Agencies that have Territorial Property, Plant and Equipment</w:t>
            </w:r>
            <w:r w:rsidR="00722BF2">
              <w:rPr>
                <w:rFonts w:cs="Calibri"/>
                <w:color w:val="FFFFFF" w:themeColor="background1"/>
                <w:sz w:val="18"/>
                <w:szCs w:val="18"/>
              </w:rPr>
              <w:t xml:space="preserve"> at fair value</w:t>
            </w:r>
            <w:r w:rsidRPr="00A2241D">
              <w:rPr>
                <w:rFonts w:cs="Calibri"/>
                <w:color w:val="FFFFFF" w:themeColor="background1"/>
                <w:sz w:val="18"/>
                <w:szCs w:val="18"/>
              </w:rPr>
              <w:t xml:space="preserve"> may have an Asset Revaluation Surplus </w:t>
            </w:r>
            <w:r w:rsidR="00647008" w:rsidRPr="00A2241D">
              <w:rPr>
                <w:rFonts w:cs="Calibri"/>
                <w:color w:val="FFFFFF" w:themeColor="background1"/>
                <w:sz w:val="18"/>
                <w:szCs w:val="18"/>
              </w:rPr>
              <w:t xml:space="preserve">line and </w:t>
            </w:r>
            <w:r w:rsidRPr="00A2241D">
              <w:rPr>
                <w:rFonts w:cs="Calibri"/>
                <w:color w:val="FFFFFF" w:themeColor="background1"/>
                <w:sz w:val="18"/>
                <w:szCs w:val="18"/>
              </w:rPr>
              <w:t>column to be included in the Statement of Changes in Equity on Behalf of the Territory.</w:t>
            </w:r>
            <w:r w:rsidR="00FA7C77">
              <w:rPr>
                <w:rFonts w:cs="Calibri"/>
                <w:color w:val="FFFFFF" w:themeColor="background1"/>
                <w:sz w:val="18"/>
                <w:szCs w:val="18"/>
              </w:rPr>
              <w:t xml:space="preserve"> </w:t>
            </w:r>
          </w:p>
        </w:tc>
      </w:tr>
      <w:tr w:rsidR="00863311" w:rsidRPr="00CF7E1B" w14:paraId="095F32C2"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515B19AE" w14:textId="77777777" w:rsidR="00863311" w:rsidRPr="00F00A16" w:rsidRDefault="00863311" w:rsidP="00863311">
            <w:pPr>
              <w:pStyle w:val="TableReference"/>
              <w:tabs>
                <w:tab w:val="left" w:pos="3306"/>
              </w:tabs>
              <w:rPr>
                <w:rFonts w:cs="Calibri"/>
                <w:color w:val="auto"/>
                <w:sz w:val="16"/>
                <w:szCs w:val="16"/>
              </w:rPr>
            </w:pPr>
            <w:r w:rsidRPr="00F00A16">
              <w:rPr>
                <w:rFonts w:cs="Calibri"/>
                <w:color w:val="auto"/>
                <w:sz w:val="16"/>
                <w:szCs w:val="16"/>
              </w:rPr>
              <w:t xml:space="preserve"> </w:t>
            </w:r>
          </w:p>
        </w:tc>
        <w:tc>
          <w:tcPr>
            <w:tcW w:w="8930" w:type="dxa"/>
            <w:gridSpan w:val="4"/>
            <w:tcBorders>
              <w:top w:val="nil"/>
              <w:left w:val="single" w:sz="2" w:space="0" w:color="auto"/>
              <w:bottom w:val="nil"/>
              <w:right w:val="nil"/>
            </w:tcBorders>
            <w:shd w:val="clear" w:color="auto" w:fill="7030A0"/>
            <w:vAlign w:val="bottom"/>
          </w:tcPr>
          <w:p w14:paraId="2EF508CB" w14:textId="77777777" w:rsidR="00863311" w:rsidRPr="00A84CC0" w:rsidRDefault="00863311" w:rsidP="008A5268">
            <w:pPr>
              <w:pStyle w:val="CommentaryText"/>
              <w:rPr>
                <w:rFonts w:cs="Calibri"/>
                <w:b/>
                <w:bCs/>
                <w:color w:val="FFFFFF" w:themeColor="background1"/>
                <w:szCs w:val="20"/>
              </w:rPr>
            </w:pPr>
            <w:r w:rsidRPr="00A84CC0">
              <w:rPr>
                <w:rFonts w:cs="Calibri"/>
                <w:b/>
                <w:bCs/>
                <w:color w:val="FFFFFF" w:themeColor="background1"/>
                <w:szCs w:val="20"/>
              </w:rPr>
              <w:t>Budget</w:t>
            </w:r>
          </w:p>
        </w:tc>
      </w:tr>
      <w:tr w:rsidR="00863311" w:rsidRPr="00CF7E1B" w14:paraId="5ED9ED85" w14:textId="77777777" w:rsidTr="0004564D">
        <w:tblPrEx>
          <w:tblLook w:val="00A0" w:firstRow="1" w:lastRow="0" w:firstColumn="1" w:lastColumn="0" w:noHBand="0" w:noVBand="0"/>
        </w:tblPrEx>
        <w:trPr>
          <w:cantSplit/>
          <w:trHeight w:val="20"/>
        </w:trPr>
        <w:tc>
          <w:tcPr>
            <w:tcW w:w="1620" w:type="dxa"/>
            <w:tcBorders>
              <w:top w:val="nil"/>
              <w:left w:val="single" w:sz="2" w:space="0" w:color="auto"/>
              <w:bottom w:val="nil"/>
              <w:right w:val="single" w:sz="2" w:space="0" w:color="auto"/>
            </w:tcBorders>
          </w:tcPr>
          <w:p w14:paraId="242AFC3E" w14:textId="77777777" w:rsidR="00863311" w:rsidRPr="00F00A16" w:rsidRDefault="00863311" w:rsidP="00863311">
            <w:pPr>
              <w:pStyle w:val="TableReference"/>
              <w:tabs>
                <w:tab w:val="left" w:pos="3306"/>
              </w:tabs>
              <w:rPr>
                <w:rFonts w:cs="Calibri"/>
                <w:color w:val="auto"/>
                <w:sz w:val="16"/>
                <w:szCs w:val="16"/>
              </w:rPr>
            </w:pPr>
          </w:p>
        </w:tc>
        <w:tc>
          <w:tcPr>
            <w:tcW w:w="8930" w:type="dxa"/>
            <w:gridSpan w:val="4"/>
            <w:tcBorders>
              <w:top w:val="nil"/>
              <w:left w:val="single" w:sz="2" w:space="0" w:color="auto"/>
              <w:bottom w:val="nil"/>
              <w:right w:val="nil"/>
            </w:tcBorders>
            <w:shd w:val="clear" w:color="auto" w:fill="7030A0"/>
            <w:vAlign w:val="bottom"/>
          </w:tcPr>
          <w:p w14:paraId="201BA01B" w14:textId="2273CDAF" w:rsidR="00863311" w:rsidRPr="00A2241D" w:rsidRDefault="00863311" w:rsidP="008A5268">
            <w:pPr>
              <w:pStyle w:val="CommentaryText"/>
              <w:rPr>
                <w:rFonts w:cs="Calibri"/>
                <w:color w:val="FFFFFF" w:themeColor="background1"/>
                <w:sz w:val="18"/>
                <w:szCs w:val="18"/>
              </w:rPr>
            </w:pPr>
            <w:r w:rsidRPr="00A2241D">
              <w:rPr>
                <w:rFonts w:cs="Calibri"/>
                <w:color w:val="FFFFFF" w:themeColor="background1"/>
                <w:sz w:val="18"/>
                <w:szCs w:val="18"/>
              </w:rPr>
              <w:t xml:space="preserve">The budget numbers appearing in the above statement are those published in the </w:t>
            </w:r>
            <w:r w:rsidR="00FE5846" w:rsidRPr="00A2241D">
              <w:rPr>
                <w:rFonts w:cs="Calibri"/>
                <w:color w:val="FFFFFF" w:themeColor="background1"/>
                <w:sz w:val="18"/>
                <w:szCs w:val="18"/>
              </w:rPr>
              <w:t>2021-22</w:t>
            </w:r>
            <w:r w:rsidRPr="00A2241D">
              <w:rPr>
                <w:rFonts w:cs="Calibri"/>
                <w:color w:val="FFFFFF" w:themeColor="background1"/>
                <w:sz w:val="18"/>
                <w:szCs w:val="18"/>
              </w:rPr>
              <w:t xml:space="preserve"> Budget Papers.</w:t>
            </w:r>
          </w:p>
        </w:tc>
      </w:tr>
    </w:tbl>
    <w:p w14:paraId="4DFA192C" w14:textId="77777777" w:rsidR="009116A2" w:rsidRDefault="00863311" w:rsidP="00302D48">
      <w:pPr>
        <w:spacing w:line="400" w:lineRule="exact"/>
        <w:jc w:val="center"/>
      </w:pPr>
      <w:r w:rsidRPr="00CF7E1B">
        <w:br w:type="page"/>
      </w:r>
      <w:bookmarkStart w:id="867" w:name="_Toc194918664"/>
      <w:bookmarkStart w:id="868" w:name="_Toc253496242"/>
    </w:p>
    <w:p w14:paraId="570C12E3" w14:textId="77777777" w:rsidR="009116A2" w:rsidRPr="009116A2" w:rsidRDefault="009116A2" w:rsidP="009116A2">
      <w:pPr>
        <w:jc w:val="center"/>
        <w:rPr>
          <w:b/>
          <w:sz w:val="24"/>
          <w:szCs w:val="24"/>
        </w:rPr>
      </w:pPr>
    </w:p>
    <w:p w14:paraId="6979EC9E" w14:textId="5CA3229C" w:rsidR="00863311" w:rsidRPr="00A2241D" w:rsidRDefault="00863311" w:rsidP="00302D48">
      <w:pPr>
        <w:spacing w:line="400" w:lineRule="exact"/>
        <w:jc w:val="center"/>
        <w:rPr>
          <w:b/>
          <w:sz w:val="40"/>
          <w:szCs w:val="40"/>
        </w:rPr>
      </w:pPr>
      <w:r w:rsidRPr="00A2241D">
        <w:rPr>
          <w:b/>
          <w:sz w:val="40"/>
          <w:szCs w:val="40"/>
        </w:rPr>
        <w:t>‘</w:t>
      </w:r>
      <w:r w:rsidR="00027610" w:rsidRPr="00A2241D">
        <w:rPr>
          <w:b/>
          <w:sz w:val="40"/>
          <w:szCs w:val="40"/>
        </w:rPr>
        <w:t xml:space="preserve">Burley Griffin </w:t>
      </w:r>
      <w:r w:rsidRPr="00A2241D">
        <w:rPr>
          <w:b/>
          <w:sz w:val="40"/>
          <w:szCs w:val="40"/>
        </w:rPr>
        <w:t>Agency’</w:t>
      </w:r>
      <w:bookmarkEnd w:id="867"/>
      <w:bookmarkEnd w:id="868"/>
    </w:p>
    <w:p w14:paraId="0577596C" w14:textId="44204806" w:rsidR="00863311" w:rsidRPr="00A2241D" w:rsidRDefault="005F62CB" w:rsidP="00302D48">
      <w:pPr>
        <w:pStyle w:val="Subtitle"/>
        <w:spacing w:line="400" w:lineRule="exact"/>
        <w:rPr>
          <w:rFonts w:asciiTheme="minorHAnsi" w:hAnsiTheme="minorHAnsi" w:cstheme="minorHAnsi"/>
        </w:rPr>
      </w:pPr>
      <w:bookmarkStart w:id="869" w:name="_Toc49224270"/>
      <w:bookmarkStart w:id="870" w:name="_Toc50440408"/>
      <w:bookmarkStart w:id="871" w:name="_Toc194918665"/>
      <w:bookmarkStart w:id="872" w:name="_Toc223433221"/>
      <w:bookmarkStart w:id="873" w:name="_Toc253496243"/>
      <w:bookmarkStart w:id="874" w:name="_Toc400627370"/>
      <w:bookmarkStart w:id="875" w:name="_Toc98763192"/>
      <w:r w:rsidRPr="00A2241D">
        <w:rPr>
          <w:rFonts w:asciiTheme="minorHAnsi" w:hAnsiTheme="minorHAnsi" w:cstheme="minorHAnsi"/>
        </w:rPr>
        <w:t>Statement of Cash Flows</w:t>
      </w:r>
      <w:r w:rsidR="00863311" w:rsidRPr="00A2241D">
        <w:rPr>
          <w:rFonts w:asciiTheme="minorHAnsi" w:hAnsiTheme="minorHAnsi" w:cstheme="minorHAnsi"/>
        </w:rPr>
        <w:t xml:space="preserve"> on Behalf of the Territory</w:t>
      </w:r>
      <w:bookmarkEnd w:id="869"/>
      <w:bookmarkEnd w:id="870"/>
      <w:bookmarkEnd w:id="871"/>
      <w:bookmarkEnd w:id="872"/>
      <w:bookmarkEnd w:id="873"/>
      <w:bookmarkEnd w:id="874"/>
      <w:bookmarkEnd w:id="875"/>
    </w:p>
    <w:p w14:paraId="4EAE268D" w14:textId="081C0950" w:rsidR="00863311" w:rsidRPr="00A2241D" w:rsidRDefault="00863311" w:rsidP="00302D48">
      <w:pPr>
        <w:spacing w:line="400" w:lineRule="exact"/>
        <w:jc w:val="center"/>
        <w:rPr>
          <w:b/>
          <w:sz w:val="40"/>
          <w:szCs w:val="40"/>
        </w:rPr>
      </w:pPr>
      <w:bookmarkStart w:id="876" w:name="_Toc48468789"/>
      <w:bookmarkStart w:id="877" w:name="_Toc49155859"/>
      <w:r w:rsidRPr="00A2241D">
        <w:rPr>
          <w:b/>
          <w:sz w:val="40"/>
          <w:szCs w:val="40"/>
        </w:rPr>
        <w:t xml:space="preserve">For the Year Ended </w:t>
      </w:r>
      <w:bookmarkEnd w:id="876"/>
      <w:bookmarkEnd w:id="877"/>
      <w:r w:rsidRPr="00A2241D">
        <w:rPr>
          <w:b/>
          <w:sz w:val="40"/>
          <w:szCs w:val="40"/>
        </w:rPr>
        <w:t xml:space="preserve">30 June </w:t>
      </w:r>
      <w:r w:rsidR="006973C8" w:rsidRPr="00A2241D">
        <w:rPr>
          <w:b/>
          <w:sz w:val="40"/>
          <w:szCs w:val="40"/>
        </w:rPr>
        <w:t>202</w:t>
      </w:r>
      <w:r w:rsidR="00A37AEC" w:rsidRPr="00A2241D">
        <w:rPr>
          <w:b/>
          <w:sz w:val="40"/>
          <w:szCs w:val="40"/>
        </w:rPr>
        <w:t>2</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7"/>
        <w:gridCol w:w="4858"/>
        <w:gridCol w:w="639"/>
        <w:gridCol w:w="1174"/>
        <w:gridCol w:w="1231"/>
        <w:gridCol w:w="926"/>
      </w:tblGrid>
      <w:tr w:rsidR="00863311" w:rsidRPr="00CF7E1B" w14:paraId="0BEF968C" w14:textId="77777777" w:rsidTr="00D919F2">
        <w:trPr>
          <w:cantSplit/>
          <w:trHeight w:val="832"/>
          <w:tblHeader/>
        </w:trPr>
        <w:tc>
          <w:tcPr>
            <w:tcW w:w="1547" w:type="dxa"/>
            <w:tcBorders>
              <w:top w:val="nil"/>
              <w:left w:val="single" w:sz="2" w:space="0" w:color="auto"/>
              <w:bottom w:val="nil"/>
              <w:right w:val="single" w:sz="2" w:space="0" w:color="auto"/>
            </w:tcBorders>
          </w:tcPr>
          <w:p w14:paraId="0A09D069" w14:textId="77777777" w:rsidR="00863311" w:rsidRPr="00A2241D" w:rsidRDefault="00AD31E8" w:rsidP="005D3C33">
            <w:pPr>
              <w:pStyle w:val="TableReference"/>
              <w:tabs>
                <w:tab w:val="left" w:pos="3306"/>
              </w:tabs>
              <w:spacing w:before="240" w:after="240"/>
              <w:rPr>
                <w:rFonts w:asciiTheme="minorHAnsi" w:hAnsiTheme="minorHAnsi" w:cstheme="minorHAnsi"/>
                <w:b/>
                <w:color w:val="7030A0"/>
                <w:sz w:val="22"/>
                <w:szCs w:val="22"/>
              </w:rPr>
            </w:pPr>
            <w:r w:rsidRPr="00A2241D">
              <w:rPr>
                <w:rFonts w:asciiTheme="minorHAnsi" w:hAnsiTheme="minorHAnsi" w:cstheme="minorHAnsi"/>
                <w:b/>
                <w:color w:val="7030A0"/>
                <w:sz w:val="22"/>
                <w:szCs w:val="22"/>
              </w:rPr>
              <w:t>Reference</w:t>
            </w:r>
          </w:p>
        </w:tc>
        <w:tc>
          <w:tcPr>
            <w:tcW w:w="4858" w:type="dxa"/>
            <w:tcBorders>
              <w:top w:val="nil"/>
              <w:left w:val="single" w:sz="2" w:space="0" w:color="auto"/>
              <w:bottom w:val="nil"/>
              <w:right w:val="nil"/>
            </w:tcBorders>
            <w:vAlign w:val="bottom"/>
          </w:tcPr>
          <w:p w14:paraId="358CEFD0"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7AD8C3B8" w14:textId="77777777" w:rsidR="00863311" w:rsidRPr="00A2241D" w:rsidRDefault="00863311" w:rsidP="00863311">
            <w:pPr>
              <w:pStyle w:val="TableTitle"/>
              <w:tabs>
                <w:tab w:val="left" w:pos="3306"/>
              </w:tabs>
              <w:jc w:val="center"/>
              <w:rPr>
                <w:rFonts w:cs="Calibri"/>
              </w:rPr>
            </w:pPr>
            <w:bookmarkStart w:id="878" w:name="_Toc48468791"/>
            <w:r w:rsidRPr="00A2241D">
              <w:rPr>
                <w:rFonts w:cs="Calibri"/>
              </w:rPr>
              <w:t>Note No.</w:t>
            </w:r>
            <w:bookmarkEnd w:id="878"/>
          </w:p>
        </w:tc>
        <w:tc>
          <w:tcPr>
            <w:tcW w:w="1174" w:type="dxa"/>
            <w:tcBorders>
              <w:top w:val="nil"/>
              <w:left w:val="nil"/>
              <w:bottom w:val="nil"/>
              <w:right w:val="nil"/>
            </w:tcBorders>
            <w:vAlign w:val="bottom"/>
          </w:tcPr>
          <w:p w14:paraId="68D95CC8" w14:textId="77777777" w:rsidR="00863311" w:rsidRPr="00A2241D" w:rsidRDefault="00863311" w:rsidP="00863311">
            <w:pPr>
              <w:pStyle w:val="TableTitle"/>
              <w:tabs>
                <w:tab w:val="left" w:pos="3306"/>
              </w:tabs>
              <w:rPr>
                <w:rFonts w:cs="Calibri"/>
              </w:rPr>
            </w:pPr>
            <w:r w:rsidRPr="00A2241D">
              <w:rPr>
                <w:rFonts w:cs="Calibri"/>
              </w:rPr>
              <w:t>Actual</w:t>
            </w:r>
          </w:p>
          <w:p w14:paraId="75C95712" w14:textId="1133A520" w:rsidR="00863311" w:rsidRPr="00A2241D" w:rsidRDefault="006C26C2" w:rsidP="00863311">
            <w:pPr>
              <w:pStyle w:val="TableTitle"/>
              <w:tabs>
                <w:tab w:val="left" w:pos="3306"/>
              </w:tabs>
              <w:rPr>
                <w:rFonts w:cs="Calibri"/>
              </w:rPr>
            </w:pPr>
            <w:r w:rsidRPr="00A2241D">
              <w:rPr>
                <w:rFonts w:cs="Calibri"/>
              </w:rPr>
              <w:t>2022</w:t>
            </w:r>
          </w:p>
          <w:p w14:paraId="481E3564" w14:textId="77777777" w:rsidR="00863311" w:rsidRPr="00A2241D" w:rsidRDefault="00863311" w:rsidP="00863311">
            <w:pPr>
              <w:pStyle w:val="TableTitle"/>
              <w:tabs>
                <w:tab w:val="left" w:pos="3306"/>
              </w:tabs>
              <w:rPr>
                <w:rFonts w:cs="Calibri"/>
              </w:rPr>
            </w:pPr>
            <w:r w:rsidRPr="00A2241D">
              <w:rPr>
                <w:rFonts w:cs="Calibri"/>
              </w:rPr>
              <w:t>$’000</w:t>
            </w:r>
          </w:p>
        </w:tc>
        <w:tc>
          <w:tcPr>
            <w:tcW w:w="1231" w:type="dxa"/>
            <w:tcBorders>
              <w:top w:val="nil"/>
              <w:left w:val="nil"/>
              <w:bottom w:val="nil"/>
              <w:right w:val="nil"/>
            </w:tcBorders>
            <w:vAlign w:val="bottom"/>
          </w:tcPr>
          <w:p w14:paraId="49F30DE0" w14:textId="77777777" w:rsidR="00863311" w:rsidRPr="00A2241D" w:rsidRDefault="00863311" w:rsidP="00863311">
            <w:pPr>
              <w:pStyle w:val="TableTitle"/>
              <w:tabs>
                <w:tab w:val="left" w:pos="3306"/>
              </w:tabs>
              <w:rPr>
                <w:rFonts w:cs="Calibri"/>
              </w:rPr>
            </w:pPr>
            <w:r w:rsidRPr="00A2241D">
              <w:rPr>
                <w:rFonts w:cs="Calibri"/>
              </w:rPr>
              <w:t>Original</w:t>
            </w:r>
          </w:p>
          <w:p w14:paraId="0C682E55" w14:textId="77777777" w:rsidR="00863311" w:rsidRPr="00A2241D" w:rsidRDefault="00863311" w:rsidP="00863311">
            <w:pPr>
              <w:pStyle w:val="TableTitle"/>
              <w:tabs>
                <w:tab w:val="left" w:pos="3306"/>
              </w:tabs>
              <w:rPr>
                <w:rFonts w:cs="Calibri"/>
              </w:rPr>
            </w:pPr>
            <w:r w:rsidRPr="00A2241D">
              <w:rPr>
                <w:rFonts w:cs="Calibri"/>
              </w:rPr>
              <w:t xml:space="preserve">Budget </w:t>
            </w:r>
          </w:p>
          <w:p w14:paraId="13C63232" w14:textId="36819059" w:rsidR="00863311" w:rsidRPr="00A2241D" w:rsidRDefault="006C26C2" w:rsidP="00863311">
            <w:pPr>
              <w:pStyle w:val="TableTitle"/>
              <w:tabs>
                <w:tab w:val="left" w:pos="3306"/>
              </w:tabs>
              <w:rPr>
                <w:rFonts w:cs="Calibri"/>
              </w:rPr>
            </w:pPr>
            <w:r w:rsidRPr="00A2241D">
              <w:rPr>
                <w:rFonts w:cs="Calibri"/>
              </w:rPr>
              <w:t>2022</w:t>
            </w:r>
          </w:p>
          <w:p w14:paraId="35806E4C" w14:textId="77777777" w:rsidR="00863311" w:rsidRPr="00A2241D" w:rsidRDefault="00863311" w:rsidP="00863311">
            <w:pPr>
              <w:pStyle w:val="TableTitle"/>
              <w:tabs>
                <w:tab w:val="left" w:pos="3306"/>
              </w:tabs>
              <w:rPr>
                <w:rFonts w:cs="Calibri"/>
              </w:rPr>
            </w:pPr>
            <w:r w:rsidRPr="00A2241D">
              <w:rPr>
                <w:rFonts w:cs="Calibri"/>
              </w:rPr>
              <w:t>$’000</w:t>
            </w:r>
          </w:p>
        </w:tc>
        <w:tc>
          <w:tcPr>
            <w:tcW w:w="926" w:type="dxa"/>
            <w:tcBorders>
              <w:top w:val="nil"/>
              <w:left w:val="nil"/>
              <w:bottom w:val="nil"/>
              <w:right w:val="nil"/>
            </w:tcBorders>
            <w:vAlign w:val="bottom"/>
          </w:tcPr>
          <w:p w14:paraId="1B14340D" w14:textId="77777777" w:rsidR="00863311" w:rsidRPr="00A2241D" w:rsidRDefault="00863311" w:rsidP="00863311">
            <w:pPr>
              <w:pStyle w:val="TableTitle"/>
              <w:tabs>
                <w:tab w:val="left" w:pos="3306"/>
              </w:tabs>
              <w:rPr>
                <w:rFonts w:cs="Calibri"/>
              </w:rPr>
            </w:pPr>
            <w:r w:rsidRPr="00A2241D">
              <w:rPr>
                <w:rFonts w:cs="Calibri"/>
              </w:rPr>
              <w:t>Actual</w:t>
            </w:r>
          </w:p>
          <w:p w14:paraId="711D9369" w14:textId="6FBE37FF" w:rsidR="00863311" w:rsidRPr="00A2241D" w:rsidRDefault="005709FA" w:rsidP="00863311">
            <w:pPr>
              <w:pStyle w:val="TableTitle"/>
              <w:tabs>
                <w:tab w:val="left" w:pos="3306"/>
              </w:tabs>
              <w:rPr>
                <w:rFonts w:cs="Calibri"/>
              </w:rPr>
            </w:pPr>
            <w:r w:rsidRPr="00A2241D">
              <w:rPr>
                <w:rFonts w:cs="Calibri"/>
              </w:rPr>
              <w:t>2021</w:t>
            </w:r>
          </w:p>
          <w:p w14:paraId="16AD284C" w14:textId="77777777" w:rsidR="00863311" w:rsidRPr="00A2241D" w:rsidRDefault="00863311" w:rsidP="00863311">
            <w:pPr>
              <w:pStyle w:val="TableTitle"/>
              <w:tabs>
                <w:tab w:val="left" w:pos="3306"/>
              </w:tabs>
              <w:rPr>
                <w:rFonts w:cs="Calibri"/>
              </w:rPr>
            </w:pPr>
            <w:r w:rsidRPr="00A2241D">
              <w:rPr>
                <w:rFonts w:cs="Calibri"/>
              </w:rPr>
              <w:t>$’000</w:t>
            </w:r>
          </w:p>
        </w:tc>
      </w:tr>
      <w:tr w:rsidR="00863311" w:rsidRPr="00CF7E1B" w14:paraId="4A60B8F0" w14:textId="77777777" w:rsidTr="00D919F2">
        <w:trPr>
          <w:cantSplit/>
          <w:trHeight w:val="23"/>
        </w:trPr>
        <w:tc>
          <w:tcPr>
            <w:tcW w:w="1547" w:type="dxa"/>
            <w:tcBorders>
              <w:top w:val="nil"/>
              <w:left w:val="single" w:sz="2" w:space="0" w:color="auto"/>
              <w:bottom w:val="nil"/>
              <w:right w:val="single" w:sz="2" w:space="0" w:color="auto"/>
            </w:tcBorders>
          </w:tcPr>
          <w:p w14:paraId="016F2F69" w14:textId="77777777" w:rsidR="00863311" w:rsidRPr="00A2241D" w:rsidRDefault="00863311" w:rsidP="00863311">
            <w:pPr>
              <w:pStyle w:val="TableReference"/>
              <w:tabs>
                <w:tab w:val="left" w:pos="3306"/>
              </w:tabs>
              <w:spacing w:before="60"/>
              <w:rPr>
                <w:rFonts w:cs="Calibri"/>
                <w:color w:val="7030A0"/>
                <w:sz w:val="16"/>
                <w:szCs w:val="16"/>
              </w:rPr>
            </w:pPr>
            <w:r w:rsidRPr="00A2241D">
              <w:rPr>
                <w:rFonts w:cs="Calibri"/>
                <w:color w:val="7030A0"/>
                <w:sz w:val="16"/>
                <w:szCs w:val="16"/>
              </w:rPr>
              <w:t xml:space="preserve"> </w:t>
            </w:r>
          </w:p>
        </w:tc>
        <w:tc>
          <w:tcPr>
            <w:tcW w:w="4858" w:type="dxa"/>
            <w:tcBorders>
              <w:top w:val="nil"/>
              <w:left w:val="single" w:sz="2" w:space="0" w:color="auto"/>
              <w:bottom w:val="nil"/>
              <w:right w:val="nil"/>
            </w:tcBorders>
            <w:vAlign w:val="bottom"/>
          </w:tcPr>
          <w:p w14:paraId="217A8B9D" w14:textId="77777777" w:rsidR="00863311" w:rsidRPr="00A2241D" w:rsidRDefault="00863311" w:rsidP="00863311">
            <w:pPr>
              <w:pStyle w:val="TableText"/>
              <w:tabs>
                <w:tab w:val="left" w:pos="3306"/>
              </w:tabs>
              <w:rPr>
                <w:rFonts w:cs="Calibri"/>
                <w:b/>
                <w:bCs/>
              </w:rPr>
            </w:pPr>
            <w:bookmarkStart w:id="879" w:name="_Toc48468792"/>
            <w:bookmarkStart w:id="880" w:name="_Toc49155861"/>
            <w:bookmarkStart w:id="881" w:name="_Toc49224272"/>
            <w:r w:rsidRPr="00A2241D">
              <w:rPr>
                <w:rFonts w:cs="Calibri"/>
                <w:b/>
                <w:bCs/>
              </w:rPr>
              <w:t>Cash Flows from Operating Activities</w:t>
            </w:r>
            <w:bookmarkEnd w:id="879"/>
            <w:bookmarkEnd w:id="880"/>
            <w:bookmarkEnd w:id="881"/>
          </w:p>
        </w:tc>
        <w:tc>
          <w:tcPr>
            <w:tcW w:w="639" w:type="dxa"/>
            <w:tcBorders>
              <w:top w:val="nil"/>
              <w:left w:val="nil"/>
              <w:bottom w:val="nil"/>
              <w:right w:val="nil"/>
            </w:tcBorders>
            <w:vAlign w:val="bottom"/>
          </w:tcPr>
          <w:p w14:paraId="754ACFEA"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2172D18" w14:textId="77777777"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5E29D54C" w14:textId="77777777"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05E8ADD0" w14:textId="77777777" w:rsidR="00863311" w:rsidRPr="00A2241D" w:rsidRDefault="00863311" w:rsidP="00863311">
            <w:pPr>
              <w:pStyle w:val="TableText"/>
              <w:tabs>
                <w:tab w:val="left" w:pos="3306"/>
              </w:tabs>
              <w:jc w:val="right"/>
              <w:rPr>
                <w:rFonts w:cs="Calibri"/>
              </w:rPr>
            </w:pPr>
          </w:p>
        </w:tc>
      </w:tr>
      <w:tr w:rsidR="00863311" w:rsidRPr="00CF7E1B" w14:paraId="77074EAB" w14:textId="77777777" w:rsidTr="00D919F2">
        <w:trPr>
          <w:cantSplit/>
          <w:trHeight w:val="23"/>
        </w:trPr>
        <w:tc>
          <w:tcPr>
            <w:tcW w:w="1547" w:type="dxa"/>
            <w:tcBorders>
              <w:top w:val="nil"/>
              <w:left w:val="single" w:sz="2" w:space="0" w:color="auto"/>
              <w:bottom w:val="nil"/>
              <w:right w:val="single" w:sz="2" w:space="0" w:color="auto"/>
            </w:tcBorders>
          </w:tcPr>
          <w:p w14:paraId="7BA3A7C0"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067656A" w14:textId="77777777" w:rsidR="00863311" w:rsidRPr="00A2241D" w:rsidRDefault="00863311" w:rsidP="00863311">
            <w:pPr>
              <w:pStyle w:val="TableText"/>
              <w:tabs>
                <w:tab w:val="left" w:pos="3306"/>
              </w:tabs>
              <w:rPr>
                <w:rFonts w:cs="Calibri"/>
                <w:b/>
                <w:bCs/>
              </w:rPr>
            </w:pPr>
            <w:bookmarkStart w:id="882" w:name="_Toc48468793"/>
            <w:bookmarkStart w:id="883" w:name="_Toc49155862"/>
            <w:bookmarkStart w:id="884" w:name="_Toc49224273"/>
            <w:r w:rsidRPr="00A2241D">
              <w:rPr>
                <w:rFonts w:cs="Calibri"/>
                <w:b/>
                <w:bCs/>
              </w:rPr>
              <w:t>Receipts</w:t>
            </w:r>
            <w:bookmarkEnd w:id="882"/>
            <w:bookmarkEnd w:id="883"/>
            <w:bookmarkEnd w:id="884"/>
          </w:p>
        </w:tc>
        <w:tc>
          <w:tcPr>
            <w:tcW w:w="639" w:type="dxa"/>
            <w:tcBorders>
              <w:top w:val="nil"/>
              <w:left w:val="nil"/>
              <w:bottom w:val="nil"/>
              <w:right w:val="nil"/>
            </w:tcBorders>
            <w:vAlign w:val="bottom"/>
          </w:tcPr>
          <w:p w14:paraId="29AA664E"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09238D2A" w14:textId="77777777"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33EB3B08" w14:textId="77777777"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62447347" w14:textId="77777777" w:rsidR="00863311" w:rsidRPr="00A2241D" w:rsidRDefault="00863311" w:rsidP="00863311">
            <w:pPr>
              <w:pStyle w:val="TableText"/>
              <w:tabs>
                <w:tab w:val="left" w:pos="3306"/>
              </w:tabs>
              <w:jc w:val="right"/>
              <w:rPr>
                <w:rFonts w:cs="Calibri"/>
              </w:rPr>
            </w:pPr>
          </w:p>
        </w:tc>
      </w:tr>
      <w:tr w:rsidR="00863311" w:rsidRPr="00CF7E1B" w14:paraId="6F8C27C2" w14:textId="77777777" w:rsidTr="00D919F2">
        <w:trPr>
          <w:cantSplit/>
          <w:trHeight w:val="23"/>
        </w:trPr>
        <w:tc>
          <w:tcPr>
            <w:tcW w:w="1547" w:type="dxa"/>
            <w:tcBorders>
              <w:top w:val="nil"/>
              <w:left w:val="single" w:sz="2" w:space="0" w:color="auto"/>
              <w:bottom w:val="nil"/>
              <w:right w:val="single" w:sz="2" w:space="0" w:color="auto"/>
            </w:tcBorders>
          </w:tcPr>
          <w:p w14:paraId="6E61FB31" w14:textId="77777777" w:rsidR="00863311" w:rsidRPr="00A2241D" w:rsidRDefault="00863311" w:rsidP="00863311">
            <w:pPr>
              <w:pStyle w:val="TableReference"/>
              <w:tabs>
                <w:tab w:val="left" w:pos="3306"/>
              </w:tabs>
              <w:spacing w:before="60"/>
              <w:rPr>
                <w:rFonts w:cs="Calibri"/>
                <w:color w:val="7030A0"/>
                <w:sz w:val="16"/>
                <w:szCs w:val="16"/>
              </w:rPr>
            </w:pPr>
          </w:p>
        </w:tc>
        <w:tc>
          <w:tcPr>
            <w:tcW w:w="4858" w:type="dxa"/>
            <w:tcBorders>
              <w:top w:val="nil"/>
              <w:left w:val="single" w:sz="2" w:space="0" w:color="auto"/>
              <w:bottom w:val="nil"/>
              <w:right w:val="nil"/>
            </w:tcBorders>
            <w:vAlign w:val="bottom"/>
          </w:tcPr>
          <w:p w14:paraId="3FEE776B" w14:textId="0B5C05A6" w:rsidR="00863311" w:rsidRPr="00A2241D" w:rsidRDefault="00647008" w:rsidP="00863311">
            <w:pPr>
              <w:pStyle w:val="TableText"/>
              <w:tabs>
                <w:tab w:val="left" w:pos="3306"/>
              </w:tabs>
              <w:rPr>
                <w:rFonts w:cs="Calibri"/>
              </w:rPr>
            </w:pPr>
            <w:r w:rsidRPr="00A2241D">
              <w:rPr>
                <w:rFonts w:cs="Calibri"/>
              </w:rPr>
              <w:t>Payment</w:t>
            </w:r>
            <w:r w:rsidR="00863311" w:rsidRPr="00A2241D">
              <w:rPr>
                <w:rFonts w:cs="Calibri"/>
              </w:rPr>
              <w:t xml:space="preserve"> for Expenses on Behalf of the Territory</w:t>
            </w:r>
          </w:p>
        </w:tc>
        <w:tc>
          <w:tcPr>
            <w:tcW w:w="639" w:type="dxa"/>
            <w:tcBorders>
              <w:top w:val="nil"/>
              <w:left w:val="nil"/>
              <w:bottom w:val="nil"/>
              <w:right w:val="nil"/>
            </w:tcBorders>
            <w:vAlign w:val="bottom"/>
          </w:tcPr>
          <w:p w14:paraId="3A681E03"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47542046" w14:textId="133B86E1"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0166E657" w14:textId="3C2930A2"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639F40F7" w14:textId="3ADC9ABE" w:rsidR="00863311" w:rsidRPr="00A2241D" w:rsidRDefault="00863311" w:rsidP="00863311">
            <w:pPr>
              <w:pStyle w:val="TableText"/>
              <w:tabs>
                <w:tab w:val="left" w:pos="3306"/>
              </w:tabs>
              <w:jc w:val="right"/>
              <w:rPr>
                <w:rFonts w:cs="Calibri"/>
              </w:rPr>
            </w:pPr>
          </w:p>
        </w:tc>
      </w:tr>
      <w:tr w:rsidR="00863311" w:rsidRPr="00CF7E1B" w14:paraId="275077D5" w14:textId="77777777" w:rsidTr="00D919F2">
        <w:trPr>
          <w:cantSplit/>
          <w:trHeight w:val="23"/>
        </w:trPr>
        <w:tc>
          <w:tcPr>
            <w:tcW w:w="1547" w:type="dxa"/>
            <w:tcBorders>
              <w:top w:val="nil"/>
              <w:left w:val="single" w:sz="2" w:space="0" w:color="auto"/>
              <w:bottom w:val="nil"/>
              <w:right w:val="single" w:sz="2" w:space="0" w:color="auto"/>
            </w:tcBorders>
          </w:tcPr>
          <w:p w14:paraId="6EDE359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DBA9BEC" w14:textId="77777777" w:rsidR="00863311" w:rsidRPr="00A2241D" w:rsidRDefault="00863311" w:rsidP="00863311">
            <w:pPr>
              <w:pStyle w:val="TableText"/>
              <w:tabs>
                <w:tab w:val="left" w:pos="3306"/>
              </w:tabs>
              <w:rPr>
                <w:rFonts w:cs="Calibri"/>
              </w:rPr>
            </w:pPr>
            <w:r w:rsidRPr="00A2241D">
              <w:rPr>
                <w:rFonts w:cs="Calibri"/>
              </w:rPr>
              <w:t>Taxes, Fees and Fines</w:t>
            </w:r>
          </w:p>
        </w:tc>
        <w:tc>
          <w:tcPr>
            <w:tcW w:w="639" w:type="dxa"/>
            <w:tcBorders>
              <w:top w:val="nil"/>
              <w:left w:val="nil"/>
              <w:bottom w:val="nil"/>
              <w:right w:val="nil"/>
            </w:tcBorders>
            <w:vAlign w:val="bottom"/>
          </w:tcPr>
          <w:p w14:paraId="5AFCA43E"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2935D3DD" w14:textId="1D374CA6"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110D89FF" w14:textId="6472A52B"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4F73C4C4" w14:textId="6DB218E9" w:rsidR="00863311" w:rsidRPr="00A2241D" w:rsidRDefault="00863311" w:rsidP="00863311">
            <w:pPr>
              <w:pStyle w:val="TableText"/>
              <w:tabs>
                <w:tab w:val="left" w:pos="3306"/>
              </w:tabs>
              <w:jc w:val="right"/>
              <w:rPr>
                <w:rFonts w:cs="Calibri"/>
              </w:rPr>
            </w:pPr>
          </w:p>
        </w:tc>
      </w:tr>
      <w:tr w:rsidR="00863311" w:rsidRPr="00D828C2" w14:paraId="6686890D" w14:textId="77777777" w:rsidTr="00D919F2">
        <w:trPr>
          <w:cantSplit/>
          <w:trHeight w:val="23"/>
        </w:trPr>
        <w:tc>
          <w:tcPr>
            <w:tcW w:w="1547" w:type="dxa"/>
            <w:tcBorders>
              <w:top w:val="nil"/>
              <w:left w:val="single" w:sz="2" w:space="0" w:color="auto"/>
              <w:bottom w:val="nil"/>
              <w:right w:val="single" w:sz="2" w:space="0" w:color="auto"/>
            </w:tcBorders>
          </w:tcPr>
          <w:p w14:paraId="5511FE0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E4BD9C4" w14:textId="77777777" w:rsidR="00863311" w:rsidRPr="00A2241D" w:rsidRDefault="00863311" w:rsidP="00863311">
            <w:pPr>
              <w:pStyle w:val="TableText"/>
              <w:tabs>
                <w:tab w:val="left" w:pos="3306"/>
              </w:tabs>
              <w:rPr>
                <w:rFonts w:cs="Calibri"/>
                <w:b/>
                <w:bCs/>
              </w:rPr>
            </w:pPr>
            <w:bookmarkStart w:id="885" w:name="_Toc48468795"/>
            <w:bookmarkStart w:id="886" w:name="_Toc49155864"/>
            <w:bookmarkStart w:id="887" w:name="_Toc49224275"/>
            <w:r w:rsidRPr="00A2241D">
              <w:rPr>
                <w:rFonts w:cs="Calibri"/>
                <w:b/>
                <w:bCs/>
              </w:rPr>
              <w:t>Total Receipts from Operating Activities</w:t>
            </w:r>
            <w:bookmarkEnd w:id="885"/>
            <w:bookmarkEnd w:id="886"/>
            <w:bookmarkEnd w:id="887"/>
          </w:p>
        </w:tc>
        <w:tc>
          <w:tcPr>
            <w:tcW w:w="639" w:type="dxa"/>
            <w:tcBorders>
              <w:top w:val="nil"/>
              <w:left w:val="nil"/>
              <w:bottom w:val="nil"/>
              <w:right w:val="nil"/>
            </w:tcBorders>
            <w:vAlign w:val="bottom"/>
          </w:tcPr>
          <w:p w14:paraId="2EEE1204"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7E35E6CF" w14:textId="352345C7"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74E49EB6" w14:textId="03497BE9"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1A9B4B7" w14:textId="6D84309A" w:rsidR="00863311" w:rsidRPr="00A2241D" w:rsidRDefault="00863311" w:rsidP="00863311">
            <w:pPr>
              <w:pStyle w:val="TableText"/>
              <w:tabs>
                <w:tab w:val="left" w:pos="3306"/>
              </w:tabs>
              <w:jc w:val="right"/>
              <w:rPr>
                <w:rFonts w:cs="Calibri"/>
                <w:b/>
                <w:bCs/>
              </w:rPr>
            </w:pPr>
          </w:p>
        </w:tc>
      </w:tr>
      <w:tr w:rsidR="00863311" w:rsidRPr="00D828C2" w14:paraId="327986F6" w14:textId="77777777" w:rsidTr="00D919F2">
        <w:trPr>
          <w:cantSplit/>
          <w:trHeight w:val="23"/>
        </w:trPr>
        <w:tc>
          <w:tcPr>
            <w:tcW w:w="1547" w:type="dxa"/>
            <w:tcBorders>
              <w:top w:val="nil"/>
              <w:left w:val="single" w:sz="2" w:space="0" w:color="auto"/>
              <w:bottom w:val="nil"/>
              <w:right w:val="single" w:sz="2" w:space="0" w:color="auto"/>
            </w:tcBorders>
          </w:tcPr>
          <w:p w14:paraId="524496E2"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C5D3545" w14:textId="77777777" w:rsidR="00863311" w:rsidRPr="00A2241D" w:rsidRDefault="00863311" w:rsidP="00863311">
            <w:pPr>
              <w:pStyle w:val="TableText"/>
              <w:tabs>
                <w:tab w:val="left" w:pos="3306"/>
              </w:tabs>
              <w:rPr>
                <w:rFonts w:cs="Calibri"/>
                <w:b/>
                <w:bCs/>
              </w:rPr>
            </w:pPr>
            <w:bookmarkStart w:id="888" w:name="_Toc48468796"/>
            <w:bookmarkStart w:id="889" w:name="_Toc49155865"/>
            <w:bookmarkStart w:id="890" w:name="_Toc49224276"/>
            <w:r w:rsidRPr="00A2241D">
              <w:rPr>
                <w:rFonts w:cs="Calibri"/>
                <w:b/>
                <w:bCs/>
              </w:rPr>
              <w:t>Payments</w:t>
            </w:r>
            <w:bookmarkEnd w:id="888"/>
            <w:bookmarkEnd w:id="889"/>
            <w:bookmarkEnd w:id="890"/>
            <w:r w:rsidRPr="00A2241D">
              <w:rPr>
                <w:rFonts w:cs="Calibri"/>
                <w:b/>
                <w:bCs/>
              </w:rPr>
              <w:t xml:space="preserve"> </w:t>
            </w:r>
          </w:p>
        </w:tc>
        <w:tc>
          <w:tcPr>
            <w:tcW w:w="639" w:type="dxa"/>
            <w:tcBorders>
              <w:top w:val="nil"/>
              <w:left w:val="nil"/>
              <w:bottom w:val="nil"/>
              <w:right w:val="nil"/>
            </w:tcBorders>
            <w:vAlign w:val="bottom"/>
          </w:tcPr>
          <w:p w14:paraId="0ED15164"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nil"/>
              <w:right w:val="nil"/>
            </w:tcBorders>
            <w:vAlign w:val="bottom"/>
          </w:tcPr>
          <w:p w14:paraId="0F2C1B1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nil"/>
              <w:right w:val="nil"/>
            </w:tcBorders>
            <w:vAlign w:val="bottom"/>
          </w:tcPr>
          <w:p w14:paraId="2A17BF7C"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nil"/>
              <w:right w:val="nil"/>
            </w:tcBorders>
            <w:vAlign w:val="bottom"/>
          </w:tcPr>
          <w:p w14:paraId="6C19BD21" w14:textId="77777777" w:rsidR="00863311" w:rsidRPr="00A2241D" w:rsidRDefault="00863311" w:rsidP="00863311">
            <w:pPr>
              <w:pStyle w:val="TableText"/>
              <w:tabs>
                <w:tab w:val="left" w:pos="3306"/>
              </w:tabs>
              <w:jc w:val="right"/>
              <w:rPr>
                <w:rFonts w:cs="Calibri"/>
              </w:rPr>
            </w:pPr>
          </w:p>
        </w:tc>
      </w:tr>
      <w:tr w:rsidR="00863311" w:rsidRPr="00D828C2" w14:paraId="23673A46" w14:textId="77777777" w:rsidTr="00D919F2">
        <w:trPr>
          <w:cantSplit/>
          <w:trHeight w:val="23"/>
        </w:trPr>
        <w:tc>
          <w:tcPr>
            <w:tcW w:w="1547" w:type="dxa"/>
            <w:tcBorders>
              <w:top w:val="nil"/>
              <w:left w:val="single" w:sz="2" w:space="0" w:color="auto"/>
              <w:bottom w:val="nil"/>
              <w:right w:val="single" w:sz="2" w:space="0" w:color="auto"/>
            </w:tcBorders>
          </w:tcPr>
          <w:p w14:paraId="7B3B5B7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F30C4BD" w14:textId="77777777" w:rsidR="00863311" w:rsidRPr="00A2241D" w:rsidRDefault="00863311" w:rsidP="00863311">
            <w:pPr>
              <w:pStyle w:val="TableText"/>
              <w:tabs>
                <w:tab w:val="left" w:pos="3306"/>
              </w:tabs>
              <w:rPr>
                <w:rFonts w:cs="Calibri"/>
              </w:rPr>
            </w:pPr>
            <w:r w:rsidRPr="00A2241D">
              <w:rPr>
                <w:rFonts w:cs="Calibri"/>
              </w:rPr>
              <w:t xml:space="preserve">Grants and Purchased Services </w:t>
            </w:r>
          </w:p>
        </w:tc>
        <w:tc>
          <w:tcPr>
            <w:tcW w:w="639" w:type="dxa"/>
            <w:tcBorders>
              <w:top w:val="nil"/>
              <w:left w:val="nil"/>
              <w:bottom w:val="nil"/>
              <w:right w:val="nil"/>
            </w:tcBorders>
            <w:vAlign w:val="bottom"/>
          </w:tcPr>
          <w:p w14:paraId="7CF85EB3"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F55E346" w14:textId="38E6B9A2"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7CFCE425" w14:textId="0CA88AEF"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0CC958FB" w14:textId="2538BC9D" w:rsidR="00863311" w:rsidRPr="00A2241D" w:rsidRDefault="00863311" w:rsidP="00863311">
            <w:pPr>
              <w:pStyle w:val="TableText"/>
              <w:tabs>
                <w:tab w:val="left" w:pos="3306"/>
              </w:tabs>
              <w:jc w:val="right"/>
              <w:rPr>
                <w:rFonts w:cs="Calibri"/>
              </w:rPr>
            </w:pPr>
          </w:p>
        </w:tc>
      </w:tr>
      <w:tr w:rsidR="00863311" w:rsidRPr="00D828C2" w14:paraId="3A93991C" w14:textId="77777777" w:rsidTr="00D919F2">
        <w:trPr>
          <w:cantSplit/>
          <w:trHeight w:val="23"/>
        </w:trPr>
        <w:tc>
          <w:tcPr>
            <w:tcW w:w="1547" w:type="dxa"/>
            <w:tcBorders>
              <w:top w:val="nil"/>
              <w:left w:val="single" w:sz="2" w:space="0" w:color="auto"/>
              <w:bottom w:val="nil"/>
              <w:right w:val="single" w:sz="2" w:space="0" w:color="auto"/>
            </w:tcBorders>
          </w:tcPr>
          <w:p w14:paraId="4A3365E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0D8F38F" w14:textId="77777777" w:rsidR="00863311" w:rsidRPr="00A2241D" w:rsidRDefault="00863311" w:rsidP="00863311">
            <w:pPr>
              <w:pStyle w:val="TableText"/>
              <w:tabs>
                <w:tab w:val="left" w:pos="3306"/>
              </w:tabs>
              <w:rPr>
                <w:rFonts w:cs="Calibri"/>
              </w:rPr>
            </w:pPr>
            <w:r w:rsidRPr="00A2241D">
              <w:rPr>
                <w:rFonts w:cs="Calibri"/>
              </w:rPr>
              <w:t xml:space="preserve">Transfer of Territory Receipts to the ACT Government </w:t>
            </w:r>
          </w:p>
        </w:tc>
        <w:tc>
          <w:tcPr>
            <w:tcW w:w="639" w:type="dxa"/>
            <w:tcBorders>
              <w:top w:val="nil"/>
              <w:left w:val="nil"/>
              <w:bottom w:val="nil"/>
              <w:right w:val="nil"/>
            </w:tcBorders>
            <w:vAlign w:val="bottom"/>
          </w:tcPr>
          <w:p w14:paraId="0E0487F9"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EE118D2" w14:textId="24FA776B" w:rsidR="00863311" w:rsidRPr="00A2241D" w:rsidRDefault="00863311" w:rsidP="00863311">
            <w:pPr>
              <w:pStyle w:val="TableText"/>
              <w:tabs>
                <w:tab w:val="left" w:pos="3306"/>
              </w:tabs>
              <w:jc w:val="right"/>
              <w:rPr>
                <w:rFonts w:cs="Calibri"/>
              </w:rPr>
            </w:pPr>
          </w:p>
        </w:tc>
        <w:tc>
          <w:tcPr>
            <w:tcW w:w="1231" w:type="dxa"/>
            <w:tcBorders>
              <w:top w:val="nil"/>
              <w:left w:val="nil"/>
              <w:bottom w:val="nil"/>
              <w:right w:val="nil"/>
            </w:tcBorders>
            <w:vAlign w:val="bottom"/>
          </w:tcPr>
          <w:p w14:paraId="7C82276C" w14:textId="031DB020" w:rsidR="00863311" w:rsidRPr="00A2241D" w:rsidRDefault="00863311" w:rsidP="00863311">
            <w:pPr>
              <w:pStyle w:val="TableText"/>
              <w:tabs>
                <w:tab w:val="left" w:pos="3306"/>
              </w:tabs>
              <w:jc w:val="right"/>
              <w:rPr>
                <w:rFonts w:cs="Calibri"/>
              </w:rPr>
            </w:pPr>
          </w:p>
        </w:tc>
        <w:tc>
          <w:tcPr>
            <w:tcW w:w="926" w:type="dxa"/>
            <w:tcBorders>
              <w:top w:val="nil"/>
              <w:left w:val="nil"/>
              <w:bottom w:val="nil"/>
              <w:right w:val="nil"/>
            </w:tcBorders>
            <w:vAlign w:val="bottom"/>
          </w:tcPr>
          <w:p w14:paraId="282F5318" w14:textId="066C4848" w:rsidR="00863311" w:rsidRPr="00A2241D" w:rsidRDefault="00863311" w:rsidP="00863311">
            <w:pPr>
              <w:pStyle w:val="TableText"/>
              <w:tabs>
                <w:tab w:val="left" w:pos="3306"/>
              </w:tabs>
              <w:jc w:val="right"/>
              <w:rPr>
                <w:rFonts w:cs="Calibri"/>
              </w:rPr>
            </w:pPr>
          </w:p>
        </w:tc>
      </w:tr>
      <w:tr w:rsidR="00863311" w:rsidRPr="00D828C2" w14:paraId="0ED7437E" w14:textId="77777777" w:rsidTr="00D919F2">
        <w:trPr>
          <w:cantSplit/>
          <w:trHeight w:val="23"/>
        </w:trPr>
        <w:tc>
          <w:tcPr>
            <w:tcW w:w="1547" w:type="dxa"/>
            <w:tcBorders>
              <w:top w:val="nil"/>
              <w:left w:val="single" w:sz="2" w:space="0" w:color="auto"/>
              <w:bottom w:val="nil"/>
              <w:right w:val="single" w:sz="2" w:space="0" w:color="auto"/>
            </w:tcBorders>
          </w:tcPr>
          <w:p w14:paraId="4B659566"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32135CF" w14:textId="77777777" w:rsidR="00863311" w:rsidRPr="00A2241D" w:rsidRDefault="00863311" w:rsidP="00863311">
            <w:pPr>
              <w:pStyle w:val="TableText"/>
              <w:tabs>
                <w:tab w:val="left" w:pos="3306"/>
              </w:tabs>
              <w:rPr>
                <w:rFonts w:cs="Calibri"/>
              </w:rPr>
            </w:pPr>
            <w:r w:rsidRPr="00A2241D">
              <w:rPr>
                <w:rFonts w:cs="Calibri"/>
              </w:rPr>
              <w:t>Other</w:t>
            </w:r>
          </w:p>
        </w:tc>
        <w:tc>
          <w:tcPr>
            <w:tcW w:w="639" w:type="dxa"/>
            <w:tcBorders>
              <w:top w:val="nil"/>
              <w:left w:val="nil"/>
              <w:bottom w:val="nil"/>
              <w:right w:val="nil"/>
            </w:tcBorders>
            <w:vAlign w:val="bottom"/>
          </w:tcPr>
          <w:p w14:paraId="7C1A122C"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0F38293C" w14:textId="71D4F5E9"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78929106" w14:textId="7969FB27"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29D29628" w14:textId="37C41BC4" w:rsidR="00863311" w:rsidRPr="00A2241D" w:rsidRDefault="00863311" w:rsidP="00863311">
            <w:pPr>
              <w:pStyle w:val="TableText"/>
              <w:tabs>
                <w:tab w:val="left" w:pos="3306"/>
              </w:tabs>
              <w:jc w:val="right"/>
              <w:rPr>
                <w:rFonts w:cs="Calibri"/>
              </w:rPr>
            </w:pPr>
          </w:p>
        </w:tc>
      </w:tr>
      <w:tr w:rsidR="00863311" w:rsidRPr="00D828C2" w14:paraId="0EF432F3" w14:textId="77777777" w:rsidTr="00D919F2">
        <w:trPr>
          <w:cantSplit/>
          <w:trHeight w:val="23"/>
        </w:trPr>
        <w:tc>
          <w:tcPr>
            <w:tcW w:w="1547" w:type="dxa"/>
            <w:tcBorders>
              <w:top w:val="nil"/>
              <w:left w:val="single" w:sz="2" w:space="0" w:color="auto"/>
              <w:bottom w:val="nil"/>
              <w:right w:val="single" w:sz="2" w:space="0" w:color="auto"/>
            </w:tcBorders>
          </w:tcPr>
          <w:p w14:paraId="7344ECC5"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63C4404" w14:textId="77777777" w:rsidR="00863311" w:rsidRPr="00A2241D" w:rsidRDefault="00863311" w:rsidP="00863311">
            <w:pPr>
              <w:pStyle w:val="TableText"/>
              <w:tabs>
                <w:tab w:val="left" w:pos="3306"/>
              </w:tabs>
              <w:rPr>
                <w:rFonts w:cs="Calibri"/>
                <w:b/>
                <w:bCs/>
              </w:rPr>
            </w:pPr>
            <w:bookmarkStart w:id="891" w:name="_Toc48468798"/>
            <w:bookmarkStart w:id="892" w:name="_Toc49155867"/>
            <w:bookmarkStart w:id="893" w:name="_Toc49224278"/>
            <w:r w:rsidRPr="00A2241D">
              <w:rPr>
                <w:rFonts w:cs="Calibri"/>
                <w:b/>
                <w:bCs/>
              </w:rPr>
              <w:t>Total Payments from Operating Activities</w:t>
            </w:r>
            <w:bookmarkEnd w:id="891"/>
            <w:bookmarkEnd w:id="892"/>
            <w:bookmarkEnd w:id="893"/>
          </w:p>
        </w:tc>
        <w:tc>
          <w:tcPr>
            <w:tcW w:w="639" w:type="dxa"/>
            <w:tcBorders>
              <w:top w:val="nil"/>
              <w:left w:val="nil"/>
              <w:bottom w:val="nil"/>
              <w:right w:val="nil"/>
            </w:tcBorders>
            <w:vAlign w:val="bottom"/>
          </w:tcPr>
          <w:p w14:paraId="410A306F" w14:textId="77777777" w:rsidR="00863311" w:rsidRPr="00A2241D" w:rsidRDefault="00863311" w:rsidP="00863311">
            <w:pPr>
              <w:pStyle w:val="TableText"/>
              <w:tabs>
                <w:tab w:val="left" w:pos="3306"/>
              </w:tabs>
              <w:jc w:val="center"/>
              <w:rPr>
                <w:rFonts w:cs="Calibri"/>
                <w:b/>
                <w:bCs/>
              </w:rPr>
            </w:pPr>
          </w:p>
        </w:tc>
        <w:tc>
          <w:tcPr>
            <w:tcW w:w="1174" w:type="dxa"/>
            <w:tcBorders>
              <w:top w:val="single" w:sz="2" w:space="0" w:color="auto"/>
              <w:left w:val="nil"/>
              <w:bottom w:val="single" w:sz="2" w:space="0" w:color="auto"/>
              <w:right w:val="nil"/>
            </w:tcBorders>
            <w:vAlign w:val="bottom"/>
          </w:tcPr>
          <w:p w14:paraId="3EF0EA24" w14:textId="60804CDD"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3B533C6C" w14:textId="7958D8C1"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341D0CE" w14:textId="11EAD778" w:rsidR="00863311" w:rsidRPr="00A2241D" w:rsidRDefault="00863311" w:rsidP="00863311">
            <w:pPr>
              <w:pStyle w:val="TableText"/>
              <w:tabs>
                <w:tab w:val="left" w:pos="3306"/>
              </w:tabs>
              <w:jc w:val="right"/>
              <w:rPr>
                <w:rFonts w:cs="Calibri"/>
                <w:b/>
                <w:bCs/>
              </w:rPr>
            </w:pPr>
          </w:p>
        </w:tc>
      </w:tr>
      <w:tr w:rsidR="005B695A" w:rsidRPr="00D828C2" w14:paraId="16C75A1D" w14:textId="77777777" w:rsidTr="00D919F2">
        <w:trPr>
          <w:cantSplit/>
          <w:trHeight w:val="23"/>
        </w:trPr>
        <w:tc>
          <w:tcPr>
            <w:tcW w:w="1547" w:type="dxa"/>
            <w:tcBorders>
              <w:top w:val="nil"/>
              <w:left w:val="single" w:sz="2" w:space="0" w:color="auto"/>
              <w:bottom w:val="nil"/>
              <w:right w:val="single" w:sz="2" w:space="0" w:color="auto"/>
            </w:tcBorders>
          </w:tcPr>
          <w:p w14:paraId="44325100" w14:textId="77777777" w:rsidR="005B695A" w:rsidRPr="00A2241D" w:rsidRDefault="005B695A"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595A3AC6" w14:textId="77777777" w:rsidR="005B695A" w:rsidRPr="00A2241D" w:rsidRDefault="005B695A" w:rsidP="00863311">
            <w:pPr>
              <w:pStyle w:val="TableText"/>
              <w:tabs>
                <w:tab w:val="left" w:pos="3306"/>
              </w:tabs>
              <w:rPr>
                <w:rFonts w:cs="Calibri"/>
                <w:b/>
                <w:bCs/>
              </w:rPr>
            </w:pPr>
          </w:p>
        </w:tc>
        <w:tc>
          <w:tcPr>
            <w:tcW w:w="639" w:type="dxa"/>
            <w:tcBorders>
              <w:top w:val="nil"/>
              <w:left w:val="nil"/>
              <w:bottom w:val="nil"/>
              <w:right w:val="nil"/>
            </w:tcBorders>
            <w:vAlign w:val="bottom"/>
          </w:tcPr>
          <w:p w14:paraId="758DAC99" w14:textId="77777777" w:rsidR="005B695A" w:rsidRPr="00A2241D" w:rsidRDefault="005B695A" w:rsidP="00863311">
            <w:pPr>
              <w:pStyle w:val="TableText"/>
              <w:tabs>
                <w:tab w:val="left" w:pos="3306"/>
              </w:tabs>
              <w:jc w:val="center"/>
              <w:rPr>
                <w:rFonts w:cs="Calibri"/>
                <w:b/>
                <w:bCs/>
              </w:rPr>
            </w:pPr>
          </w:p>
        </w:tc>
        <w:tc>
          <w:tcPr>
            <w:tcW w:w="1174" w:type="dxa"/>
            <w:tcBorders>
              <w:top w:val="single" w:sz="2" w:space="0" w:color="auto"/>
              <w:left w:val="nil"/>
              <w:bottom w:val="single" w:sz="2" w:space="0" w:color="auto"/>
              <w:right w:val="nil"/>
            </w:tcBorders>
            <w:vAlign w:val="bottom"/>
          </w:tcPr>
          <w:p w14:paraId="57234E49" w14:textId="77777777" w:rsidR="005B695A" w:rsidRPr="00A2241D" w:rsidRDefault="005B695A"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007F2528" w14:textId="77777777" w:rsidR="005B695A" w:rsidRPr="00A2241D" w:rsidRDefault="005B695A"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28C132D2" w14:textId="77777777" w:rsidR="005B695A" w:rsidRPr="00A2241D" w:rsidRDefault="005B695A" w:rsidP="00863311">
            <w:pPr>
              <w:pStyle w:val="TableText"/>
              <w:tabs>
                <w:tab w:val="left" w:pos="3306"/>
              </w:tabs>
              <w:jc w:val="right"/>
              <w:rPr>
                <w:rFonts w:cs="Calibri"/>
                <w:b/>
                <w:bCs/>
              </w:rPr>
            </w:pPr>
          </w:p>
        </w:tc>
      </w:tr>
      <w:tr w:rsidR="00863311" w:rsidRPr="00D828C2" w14:paraId="4CCABF0B" w14:textId="77777777" w:rsidTr="00D919F2">
        <w:trPr>
          <w:cantSplit/>
          <w:trHeight w:val="23"/>
        </w:trPr>
        <w:tc>
          <w:tcPr>
            <w:tcW w:w="1547" w:type="dxa"/>
            <w:tcBorders>
              <w:top w:val="nil"/>
              <w:left w:val="single" w:sz="2" w:space="0" w:color="auto"/>
              <w:bottom w:val="nil"/>
              <w:right w:val="single" w:sz="2" w:space="0" w:color="auto"/>
            </w:tcBorders>
          </w:tcPr>
          <w:p w14:paraId="49534C07"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B98786B" w14:textId="77777777" w:rsidR="00863311" w:rsidRPr="00A2241D" w:rsidRDefault="00863311" w:rsidP="00863311">
            <w:pPr>
              <w:pStyle w:val="TableText"/>
              <w:tabs>
                <w:tab w:val="left" w:pos="3306"/>
              </w:tabs>
              <w:rPr>
                <w:rFonts w:cs="Calibri"/>
                <w:b/>
                <w:bCs/>
              </w:rPr>
            </w:pPr>
            <w:bookmarkStart w:id="894" w:name="_Toc48468799"/>
            <w:bookmarkStart w:id="895" w:name="_Toc49155868"/>
            <w:bookmarkStart w:id="896" w:name="_Toc49224279"/>
            <w:r w:rsidRPr="00A2241D">
              <w:rPr>
                <w:rFonts w:cs="Calibri"/>
                <w:b/>
                <w:bCs/>
              </w:rPr>
              <w:t>Net Cash Inflows/(Outflows) from Operating Activities</w:t>
            </w:r>
            <w:bookmarkEnd w:id="894"/>
            <w:bookmarkEnd w:id="895"/>
            <w:bookmarkEnd w:id="896"/>
          </w:p>
        </w:tc>
        <w:tc>
          <w:tcPr>
            <w:tcW w:w="639" w:type="dxa"/>
            <w:tcBorders>
              <w:top w:val="nil"/>
              <w:left w:val="nil"/>
              <w:bottom w:val="nil"/>
              <w:right w:val="nil"/>
            </w:tcBorders>
            <w:vAlign w:val="bottom"/>
          </w:tcPr>
          <w:p w14:paraId="43506C79" w14:textId="42A992DD" w:rsidR="00863311" w:rsidRPr="00A2241D" w:rsidRDefault="00722BF2" w:rsidP="00FA518B">
            <w:pPr>
              <w:pStyle w:val="TableText"/>
              <w:tabs>
                <w:tab w:val="left" w:pos="3306"/>
              </w:tabs>
              <w:jc w:val="center"/>
              <w:rPr>
                <w:rFonts w:cs="Calibri"/>
                <w:strike/>
              </w:rPr>
            </w:pPr>
            <w:r>
              <w:rPr>
                <w:rFonts w:cs="Calibri"/>
              </w:rPr>
              <w:t>46</w:t>
            </w:r>
          </w:p>
        </w:tc>
        <w:tc>
          <w:tcPr>
            <w:tcW w:w="1174" w:type="dxa"/>
            <w:tcBorders>
              <w:top w:val="single" w:sz="2" w:space="0" w:color="auto"/>
              <w:left w:val="nil"/>
              <w:bottom w:val="single" w:sz="2" w:space="0" w:color="auto"/>
              <w:right w:val="nil"/>
            </w:tcBorders>
            <w:vAlign w:val="bottom"/>
          </w:tcPr>
          <w:p w14:paraId="7F5E425B" w14:textId="56103D7F"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5E24AC8B" w14:textId="7E10656F"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3FFC4AB4" w14:textId="351191BA" w:rsidR="00863311" w:rsidRPr="00A2241D" w:rsidRDefault="00863311" w:rsidP="00863311">
            <w:pPr>
              <w:pStyle w:val="TableText"/>
              <w:tabs>
                <w:tab w:val="left" w:pos="3306"/>
              </w:tabs>
              <w:jc w:val="right"/>
              <w:rPr>
                <w:rFonts w:cs="Calibri"/>
                <w:b/>
                <w:bCs/>
              </w:rPr>
            </w:pPr>
          </w:p>
        </w:tc>
      </w:tr>
      <w:tr w:rsidR="00863311" w:rsidRPr="00D828C2" w14:paraId="2E03BD2C" w14:textId="77777777" w:rsidTr="00D919F2">
        <w:trPr>
          <w:cantSplit/>
          <w:trHeight w:val="23"/>
        </w:trPr>
        <w:tc>
          <w:tcPr>
            <w:tcW w:w="1547" w:type="dxa"/>
            <w:tcBorders>
              <w:top w:val="nil"/>
              <w:left w:val="single" w:sz="2" w:space="0" w:color="auto"/>
              <w:bottom w:val="nil"/>
              <w:right w:val="single" w:sz="2" w:space="0" w:color="auto"/>
            </w:tcBorders>
          </w:tcPr>
          <w:p w14:paraId="190FF92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4D696E1"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0766E852"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11EB363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078B4D60"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0623FF3F" w14:textId="77777777" w:rsidR="00863311" w:rsidRPr="00A2241D" w:rsidRDefault="00863311" w:rsidP="00863311">
            <w:pPr>
              <w:pStyle w:val="TableText"/>
              <w:tabs>
                <w:tab w:val="left" w:pos="3306"/>
              </w:tabs>
              <w:jc w:val="right"/>
              <w:rPr>
                <w:rFonts w:cs="Calibri"/>
              </w:rPr>
            </w:pPr>
          </w:p>
        </w:tc>
      </w:tr>
      <w:tr w:rsidR="00863311" w:rsidRPr="00D828C2" w14:paraId="7DF1747E" w14:textId="77777777" w:rsidTr="00D919F2">
        <w:trPr>
          <w:cantSplit/>
          <w:trHeight w:val="23"/>
        </w:trPr>
        <w:tc>
          <w:tcPr>
            <w:tcW w:w="1547" w:type="dxa"/>
            <w:tcBorders>
              <w:top w:val="nil"/>
              <w:left w:val="single" w:sz="2" w:space="0" w:color="auto"/>
              <w:bottom w:val="nil"/>
              <w:right w:val="single" w:sz="2" w:space="0" w:color="auto"/>
            </w:tcBorders>
          </w:tcPr>
          <w:p w14:paraId="607D1E0B"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AF67CC4" w14:textId="77777777" w:rsidR="00863311" w:rsidRPr="00A2241D" w:rsidRDefault="00863311" w:rsidP="00863311">
            <w:pPr>
              <w:pStyle w:val="TableText"/>
              <w:tabs>
                <w:tab w:val="left" w:pos="3306"/>
              </w:tabs>
              <w:rPr>
                <w:rFonts w:cs="Calibri"/>
                <w:b/>
                <w:bCs/>
              </w:rPr>
            </w:pPr>
            <w:r w:rsidRPr="00A2241D">
              <w:rPr>
                <w:rFonts w:cs="Calibri"/>
                <w:b/>
                <w:bCs/>
              </w:rPr>
              <w:t>Net Cash Inflows/(Outflows) from Investing Activities</w:t>
            </w:r>
          </w:p>
        </w:tc>
        <w:tc>
          <w:tcPr>
            <w:tcW w:w="639" w:type="dxa"/>
            <w:tcBorders>
              <w:top w:val="nil"/>
              <w:left w:val="nil"/>
              <w:bottom w:val="nil"/>
              <w:right w:val="nil"/>
            </w:tcBorders>
            <w:vAlign w:val="bottom"/>
          </w:tcPr>
          <w:p w14:paraId="1D1D2CD8"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034E1272" w14:textId="16A7A384"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single" w:sz="2" w:space="0" w:color="auto"/>
              <w:right w:val="nil"/>
            </w:tcBorders>
            <w:vAlign w:val="bottom"/>
          </w:tcPr>
          <w:p w14:paraId="652646D3" w14:textId="462F10E3"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single" w:sz="2" w:space="0" w:color="auto"/>
              <w:right w:val="nil"/>
            </w:tcBorders>
            <w:vAlign w:val="bottom"/>
          </w:tcPr>
          <w:p w14:paraId="0877FB54" w14:textId="481419D0" w:rsidR="00863311" w:rsidRPr="00A2241D" w:rsidRDefault="00863311" w:rsidP="00863311">
            <w:pPr>
              <w:pStyle w:val="TableText"/>
              <w:tabs>
                <w:tab w:val="left" w:pos="3306"/>
              </w:tabs>
              <w:jc w:val="right"/>
              <w:rPr>
                <w:rFonts w:cs="Calibri"/>
                <w:b/>
                <w:bCs/>
              </w:rPr>
            </w:pPr>
          </w:p>
        </w:tc>
      </w:tr>
      <w:tr w:rsidR="00863311" w:rsidRPr="00D828C2" w14:paraId="59357AAB" w14:textId="77777777" w:rsidTr="00D919F2">
        <w:trPr>
          <w:cantSplit/>
          <w:trHeight w:val="23"/>
        </w:trPr>
        <w:tc>
          <w:tcPr>
            <w:tcW w:w="1547" w:type="dxa"/>
            <w:tcBorders>
              <w:top w:val="nil"/>
              <w:left w:val="single" w:sz="2" w:space="0" w:color="auto"/>
              <w:bottom w:val="nil"/>
              <w:right w:val="single" w:sz="2" w:space="0" w:color="auto"/>
            </w:tcBorders>
          </w:tcPr>
          <w:p w14:paraId="330F01B5"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61C14103"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4DE7FC23"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57C0A1B5"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1408722D"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2310DE86" w14:textId="77777777" w:rsidR="00863311" w:rsidRPr="00A2241D" w:rsidRDefault="00863311" w:rsidP="00863311">
            <w:pPr>
              <w:pStyle w:val="TableText"/>
              <w:tabs>
                <w:tab w:val="left" w:pos="3306"/>
              </w:tabs>
              <w:jc w:val="right"/>
              <w:rPr>
                <w:rFonts w:cs="Calibri"/>
              </w:rPr>
            </w:pPr>
          </w:p>
        </w:tc>
      </w:tr>
      <w:tr w:rsidR="00863311" w:rsidRPr="00D828C2" w14:paraId="1B8A5CD9" w14:textId="77777777" w:rsidTr="00D919F2">
        <w:trPr>
          <w:cantSplit/>
          <w:trHeight w:val="23"/>
        </w:trPr>
        <w:tc>
          <w:tcPr>
            <w:tcW w:w="1547" w:type="dxa"/>
            <w:tcBorders>
              <w:top w:val="nil"/>
              <w:left w:val="single" w:sz="2" w:space="0" w:color="auto"/>
              <w:bottom w:val="nil"/>
              <w:right w:val="single" w:sz="2" w:space="0" w:color="auto"/>
            </w:tcBorders>
          </w:tcPr>
          <w:p w14:paraId="73AFD09A"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3AE2A605" w14:textId="77777777" w:rsidR="00863311" w:rsidRPr="00A2241D" w:rsidRDefault="00863311" w:rsidP="00863311">
            <w:pPr>
              <w:pStyle w:val="TableText"/>
              <w:tabs>
                <w:tab w:val="left" w:pos="3306"/>
              </w:tabs>
              <w:rPr>
                <w:rFonts w:cs="Calibri"/>
                <w:b/>
                <w:bCs/>
              </w:rPr>
            </w:pPr>
            <w:r w:rsidRPr="00A2241D">
              <w:rPr>
                <w:rFonts w:cs="Calibri"/>
                <w:b/>
                <w:bCs/>
              </w:rPr>
              <w:t>Net Cash Inflows/(Outflows) from Financing Activities</w:t>
            </w:r>
          </w:p>
        </w:tc>
        <w:tc>
          <w:tcPr>
            <w:tcW w:w="639" w:type="dxa"/>
            <w:tcBorders>
              <w:top w:val="nil"/>
              <w:left w:val="nil"/>
              <w:bottom w:val="nil"/>
              <w:right w:val="nil"/>
            </w:tcBorders>
            <w:vAlign w:val="bottom"/>
          </w:tcPr>
          <w:p w14:paraId="2407F43F"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single" w:sz="2" w:space="0" w:color="auto"/>
              <w:right w:val="nil"/>
            </w:tcBorders>
            <w:vAlign w:val="bottom"/>
          </w:tcPr>
          <w:p w14:paraId="6031D3FA" w14:textId="3EFD75ED"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single" w:sz="2" w:space="0" w:color="auto"/>
              <w:right w:val="nil"/>
            </w:tcBorders>
            <w:vAlign w:val="bottom"/>
          </w:tcPr>
          <w:p w14:paraId="729DF569" w14:textId="75C26DDC"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single" w:sz="2" w:space="0" w:color="auto"/>
              <w:right w:val="nil"/>
            </w:tcBorders>
            <w:vAlign w:val="bottom"/>
          </w:tcPr>
          <w:p w14:paraId="30DCA3F3" w14:textId="3838CAA2" w:rsidR="00863311" w:rsidRPr="00A2241D" w:rsidRDefault="00863311" w:rsidP="00863311">
            <w:pPr>
              <w:pStyle w:val="TableText"/>
              <w:tabs>
                <w:tab w:val="left" w:pos="3306"/>
              </w:tabs>
              <w:jc w:val="right"/>
              <w:rPr>
                <w:rFonts w:cs="Calibri"/>
              </w:rPr>
            </w:pPr>
          </w:p>
        </w:tc>
      </w:tr>
      <w:tr w:rsidR="00863311" w:rsidRPr="00D828C2" w14:paraId="408DA3EF" w14:textId="77777777" w:rsidTr="00D919F2">
        <w:trPr>
          <w:cantSplit/>
          <w:trHeight w:val="23"/>
        </w:trPr>
        <w:tc>
          <w:tcPr>
            <w:tcW w:w="1547" w:type="dxa"/>
            <w:tcBorders>
              <w:top w:val="nil"/>
              <w:left w:val="single" w:sz="2" w:space="0" w:color="auto"/>
              <w:bottom w:val="nil"/>
              <w:right w:val="single" w:sz="2" w:space="0" w:color="auto"/>
            </w:tcBorders>
          </w:tcPr>
          <w:p w14:paraId="2618B3D2"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CB7419A" w14:textId="77777777" w:rsidR="00863311" w:rsidRPr="00A2241D" w:rsidRDefault="00863311" w:rsidP="00863311">
            <w:pPr>
              <w:pStyle w:val="TableText"/>
              <w:tabs>
                <w:tab w:val="left" w:pos="3306"/>
              </w:tabs>
              <w:rPr>
                <w:rFonts w:cs="Calibri"/>
              </w:rPr>
            </w:pPr>
          </w:p>
        </w:tc>
        <w:tc>
          <w:tcPr>
            <w:tcW w:w="639" w:type="dxa"/>
            <w:tcBorders>
              <w:top w:val="nil"/>
              <w:left w:val="nil"/>
              <w:bottom w:val="nil"/>
              <w:right w:val="nil"/>
            </w:tcBorders>
            <w:vAlign w:val="bottom"/>
          </w:tcPr>
          <w:p w14:paraId="3D5C8145" w14:textId="77777777" w:rsidR="00863311" w:rsidRPr="00A2241D" w:rsidRDefault="00863311" w:rsidP="00863311">
            <w:pPr>
              <w:pStyle w:val="TableText"/>
              <w:tabs>
                <w:tab w:val="left" w:pos="3306"/>
              </w:tabs>
              <w:jc w:val="center"/>
              <w:rPr>
                <w:rFonts w:cs="Calibri"/>
              </w:rPr>
            </w:pPr>
          </w:p>
        </w:tc>
        <w:tc>
          <w:tcPr>
            <w:tcW w:w="1174" w:type="dxa"/>
            <w:tcBorders>
              <w:top w:val="single" w:sz="2" w:space="0" w:color="auto"/>
              <w:left w:val="nil"/>
              <w:bottom w:val="nil"/>
              <w:right w:val="nil"/>
            </w:tcBorders>
            <w:vAlign w:val="bottom"/>
          </w:tcPr>
          <w:p w14:paraId="20D8031E" w14:textId="77777777" w:rsidR="00863311" w:rsidRPr="00A2241D" w:rsidRDefault="00863311" w:rsidP="00863311">
            <w:pPr>
              <w:pStyle w:val="TableText"/>
              <w:tabs>
                <w:tab w:val="left" w:pos="3306"/>
              </w:tabs>
              <w:jc w:val="right"/>
              <w:rPr>
                <w:rFonts w:cs="Calibri"/>
              </w:rPr>
            </w:pPr>
          </w:p>
        </w:tc>
        <w:tc>
          <w:tcPr>
            <w:tcW w:w="1231" w:type="dxa"/>
            <w:tcBorders>
              <w:top w:val="single" w:sz="2" w:space="0" w:color="auto"/>
              <w:left w:val="nil"/>
              <w:bottom w:val="nil"/>
              <w:right w:val="nil"/>
            </w:tcBorders>
            <w:vAlign w:val="bottom"/>
          </w:tcPr>
          <w:p w14:paraId="19FC6194" w14:textId="77777777" w:rsidR="00863311" w:rsidRPr="00A2241D" w:rsidRDefault="00863311" w:rsidP="00863311">
            <w:pPr>
              <w:pStyle w:val="TableText"/>
              <w:tabs>
                <w:tab w:val="left" w:pos="3306"/>
              </w:tabs>
              <w:jc w:val="right"/>
              <w:rPr>
                <w:rFonts w:cs="Calibri"/>
              </w:rPr>
            </w:pPr>
          </w:p>
        </w:tc>
        <w:tc>
          <w:tcPr>
            <w:tcW w:w="926" w:type="dxa"/>
            <w:tcBorders>
              <w:top w:val="single" w:sz="2" w:space="0" w:color="auto"/>
              <w:left w:val="nil"/>
              <w:bottom w:val="nil"/>
              <w:right w:val="nil"/>
            </w:tcBorders>
            <w:vAlign w:val="bottom"/>
          </w:tcPr>
          <w:p w14:paraId="02382FC7" w14:textId="77777777" w:rsidR="00863311" w:rsidRPr="00A2241D" w:rsidRDefault="00863311" w:rsidP="00863311">
            <w:pPr>
              <w:pStyle w:val="TableText"/>
              <w:tabs>
                <w:tab w:val="left" w:pos="3306"/>
              </w:tabs>
              <w:jc w:val="right"/>
              <w:rPr>
                <w:rFonts w:cs="Calibri"/>
              </w:rPr>
            </w:pPr>
          </w:p>
        </w:tc>
      </w:tr>
      <w:tr w:rsidR="00863311" w:rsidRPr="00D828C2" w14:paraId="49F46263" w14:textId="77777777" w:rsidTr="00D919F2">
        <w:trPr>
          <w:cantSplit/>
          <w:trHeight w:val="23"/>
        </w:trPr>
        <w:tc>
          <w:tcPr>
            <w:tcW w:w="1547" w:type="dxa"/>
            <w:tcBorders>
              <w:top w:val="nil"/>
              <w:left w:val="single" w:sz="2" w:space="0" w:color="auto"/>
              <w:bottom w:val="nil"/>
              <w:right w:val="single" w:sz="2" w:space="0" w:color="auto"/>
            </w:tcBorders>
          </w:tcPr>
          <w:p w14:paraId="14D6DBF9"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11C1A944" w14:textId="77777777" w:rsidR="00863311" w:rsidRPr="00A2241D" w:rsidRDefault="00863311" w:rsidP="0013780F">
            <w:pPr>
              <w:pStyle w:val="TableText"/>
              <w:tabs>
                <w:tab w:val="left" w:pos="3306"/>
              </w:tabs>
              <w:rPr>
                <w:rFonts w:cs="Calibri"/>
                <w:b/>
                <w:bCs/>
              </w:rPr>
            </w:pPr>
            <w:bookmarkStart w:id="897" w:name="_Toc48468811"/>
            <w:bookmarkStart w:id="898" w:name="_Toc49155879"/>
            <w:bookmarkStart w:id="899" w:name="_Toc49224289"/>
            <w:r w:rsidRPr="00A2241D">
              <w:rPr>
                <w:rFonts w:cs="Calibri"/>
                <w:b/>
                <w:bCs/>
              </w:rPr>
              <w:t xml:space="preserve">Net Increase /(Decrease) in Cash and Cash Equivalents </w:t>
            </w:r>
            <w:bookmarkEnd w:id="897"/>
            <w:bookmarkEnd w:id="898"/>
            <w:bookmarkEnd w:id="899"/>
          </w:p>
        </w:tc>
        <w:tc>
          <w:tcPr>
            <w:tcW w:w="639" w:type="dxa"/>
            <w:tcBorders>
              <w:top w:val="nil"/>
              <w:left w:val="nil"/>
              <w:bottom w:val="nil"/>
              <w:right w:val="nil"/>
            </w:tcBorders>
            <w:vAlign w:val="bottom"/>
          </w:tcPr>
          <w:p w14:paraId="4D8745F5"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nil"/>
              <w:right w:val="nil"/>
            </w:tcBorders>
            <w:vAlign w:val="bottom"/>
          </w:tcPr>
          <w:p w14:paraId="5993A0F1" w14:textId="1AAC57A0" w:rsidR="00863311" w:rsidRPr="00A2241D" w:rsidRDefault="00863311" w:rsidP="00863311">
            <w:pPr>
              <w:pStyle w:val="TableText"/>
              <w:tabs>
                <w:tab w:val="left" w:pos="3306"/>
              </w:tabs>
              <w:jc w:val="right"/>
              <w:rPr>
                <w:rFonts w:cs="Calibri"/>
                <w:b/>
                <w:bCs/>
              </w:rPr>
            </w:pPr>
          </w:p>
        </w:tc>
        <w:tc>
          <w:tcPr>
            <w:tcW w:w="1231" w:type="dxa"/>
            <w:tcBorders>
              <w:top w:val="nil"/>
              <w:left w:val="nil"/>
              <w:bottom w:val="nil"/>
              <w:right w:val="nil"/>
            </w:tcBorders>
            <w:vAlign w:val="bottom"/>
          </w:tcPr>
          <w:p w14:paraId="0F922EB2" w14:textId="0817F8B1" w:rsidR="00863311" w:rsidRPr="00A2241D" w:rsidRDefault="00863311" w:rsidP="00863311">
            <w:pPr>
              <w:pStyle w:val="TableText"/>
              <w:tabs>
                <w:tab w:val="left" w:pos="3306"/>
              </w:tabs>
              <w:jc w:val="right"/>
              <w:rPr>
                <w:rFonts w:cs="Calibri"/>
                <w:b/>
                <w:bCs/>
              </w:rPr>
            </w:pPr>
          </w:p>
        </w:tc>
        <w:tc>
          <w:tcPr>
            <w:tcW w:w="926" w:type="dxa"/>
            <w:tcBorders>
              <w:top w:val="nil"/>
              <w:left w:val="nil"/>
              <w:bottom w:val="nil"/>
              <w:right w:val="nil"/>
            </w:tcBorders>
            <w:vAlign w:val="bottom"/>
          </w:tcPr>
          <w:p w14:paraId="761620C7" w14:textId="1CA1D93F" w:rsidR="00863311" w:rsidRPr="00A2241D" w:rsidRDefault="00863311" w:rsidP="00863311">
            <w:pPr>
              <w:pStyle w:val="TableText"/>
              <w:tabs>
                <w:tab w:val="left" w:pos="3306"/>
              </w:tabs>
              <w:jc w:val="right"/>
              <w:rPr>
                <w:rFonts w:cs="Calibri"/>
                <w:b/>
                <w:bCs/>
              </w:rPr>
            </w:pPr>
          </w:p>
        </w:tc>
      </w:tr>
      <w:tr w:rsidR="00863311" w:rsidRPr="00D828C2" w14:paraId="66A8885B" w14:textId="77777777" w:rsidTr="00D919F2">
        <w:trPr>
          <w:cantSplit/>
          <w:trHeight w:val="23"/>
        </w:trPr>
        <w:tc>
          <w:tcPr>
            <w:tcW w:w="1547" w:type="dxa"/>
            <w:tcBorders>
              <w:top w:val="nil"/>
              <w:left w:val="single" w:sz="2" w:space="0" w:color="auto"/>
              <w:bottom w:val="nil"/>
              <w:right w:val="single" w:sz="2" w:space="0" w:color="auto"/>
            </w:tcBorders>
          </w:tcPr>
          <w:p w14:paraId="3F6F3F9D"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29E84719" w14:textId="77777777" w:rsidR="00863311" w:rsidRPr="00A2241D" w:rsidRDefault="00863311" w:rsidP="00863311">
            <w:pPr>
              <w:pStyle w:val="TableText"/>
              <w:tabs>
                <w:tab w:val="left" w:pos="3306"/>
              </w:tabs>
              <w:rPr>
                <w:rFonts w:cs="Calibri"/>
              </w:rPr>
            </w:pPr>
            <w:r w:rsidRPr="00A2241D">
              <w:rPr>
                <w:rFonts w:cs="Calibri"/>
              </w:rPr>
              <w:t>Cash and Cash Equivalents at the Beginning of the Reporting Period</w:t>
            </w:r>
          </w:p>
        </w:tc>
        <w:tc>
          <w:tcPr>
            <w:tcW w:w="639" w:type="dxa"/>
            <w:tcBorders>
              <w:top w:val="nil"/>
              <w:left w:val="nil"/>
              <w:bottom w:val="nil"/>
              <w:right w:val="nil"/>
            </w:tcBorders>
            <w:vAlign w:val="bottom"/>
          </w:tcPr>
          <w:p w14:paraId="4EFC547C" w14:textId="77777777" w:rsidR="00863311" w:rsidRPr="00A2241D" w:rsidRDefault="00863311" w:rsidP="00863311">
            <w:pPr>
              <w:pStyle w:val="TableText"/>
              <w:tabs>
                <w:tab w:val="left" w:pos="3306"/>
              </w:tabs>
              <w:jc w:val="center"/>
              <w:rPr>
                <w:rFonts w:cs="Calibri"/>
              </w:rPr>
            </w:pPr>
          </w:p>
        </w:tc>
        <w:tc>
          <w:tcPr>
            <w:tcW w:w="1174" w:type="dxa"/>
            <w:tcBorders>
              <w:top w:val="nil"/>
              <w:left w:val="nil"/>
              <w:bottom w:val="single" w:sz="2" w:space="0" w:color="auto"/>
              <w:right w:val="nil"/>
            </w:tcBorders>
            <w:vAlign w:val="bottom"/>
          </w:tcPr>
          <w:p w14:paraId="4142010C" w14:textId="37B3BC4E" w:rsidR="00863311" w:rsidRPr="00A2241D" w:rsidRDefault="00863311" w:rsidP="00863311">
            <w:pPr>
              <w:pStyle w:val="TableText"/>
              <w:tabs>
                <w:tab w:val="left" w:pos="3306"/>
              </w:tabs>
              <w:jc w:val="right"/>
              <w:rPr>
                <w:rFonts w:cs="Calibri"/>
              </w:rPr>
            </w:pPr>
          </w:p>
        </w:tc>
        <w:tc>
          <w:tcPr>
            <w:tcW w:w="1231" w:type="dxa"/>
            <w:tcBorders>
              <w:top w:val="nil"/>
              <w:left w:val="nil"/>
              <w:bottom w:val="single" w:sz="2" w:space="0" w:color="auto"/>
              <w:right w:val="nil"/>
            </w:tcBorders>
            <w:vAlign w:val="bottom"/>
          </w:tcPr>
          <w:p w14:paraId="1C2F07B2" w14:textId="7F6DF097" w:rsidR="00863311" w:rsidRPr="00A2241D" w:rsidRDefault="00863311" w:rsidP="00863311">
            <w:pPr>
              <w:pStyle w:val="TableText"/>
              <w:tabs>
                <w:tab w:val="left" w:pos="3306"/>
              </w:tabs>
              <w:jc w:val="right"/>
              <w:rPr>
                <w:rFonts w:cs="Calibri"/>
              </w:rPr>
            </w:pPr>
          </w:p>
        </w:tc>
        <w:tc>
          <w:tcPr>
            <w:tcW w:w="926" w:type="dxa"/>
            <w:tcBorders>
              <w:top w:val="nil"/>
              <w:left w:val="nil"/>
              <w:bottom w:val="single" w:sz="2" w:space="0" w:color="auto"/>
              <w:right w:val="nil"/>
            </w:tcBorders>
            <w:vAlign w:val="bottom"/>
          </w:tcPr>
          <w:p w14:paraId="53470570" w14:textId="60AA46E0" w:rsidR="00863311" w:rsidRPr="00A2241D" w:rsidRDefault="00863311" w:rsidP="00863311">
            <w:pPr>
              <w:pStyle w:val="TableText"/>
              <w:tabs>
                <w:tab w:val="left" w:pos="3306"/>
              </w:tabs>
              <w:jc w:val="right"/>
              <w:rPr>
                <w:rFonts w:cs="Calibri"/>
              </w:rPr>
            </w:pPr>
          </w:p>
        </w:tc>
      </w:tr>
      <w:tr w:rsidR="00863311" w:rsidRPr="00D828C2" w14:paraId="26EE191B" w14:textId="77777777" w:rsidTr="00D919F2">
        <w:trPr>
          <w:cantSplit/>
          <w:trHeight w:val="23"/>
        </w:trPr>
        <w:tc>
          <w:tcPr>
            <w:tcW w:w="1547" w:type="dxa"/>
            <w:tcBorders>
              <w:top w:val="nil"/>
              <w:left w:val="single" w:sz="2" w:space="0" w:color="auto"/>
              <w:bottom w:val="nil"/>
              <w:right w:val="single" w:sz="2" w:space="0" w:color="auto"/>
            </w:tcBorders>
          </w:tcPr>
          <w:p w14:paraId="6A83EFC3" w14:textId="77777777" w:rsidR="00863311" w:rsidRPr="00A2241D" w:rsidRDefault="00863311" w:rsidP="00863311">
            <w:pPr>
              <w:pStyle w:val="TableReference"/>
              <w:tabs>
                <w:tab w:val="left" w:pos="3306"/>
              </w:tabs>
              <w:spacing w:before="40"/>
              <w:rPr>
                <w:rFonts w:cs="Calibri"/>
                <w:color w:val="7030A0"/>
                <w:sz w:val="16"/>
                <w:szCs w:val="16"/>
              </w:rPr>
            </w:pPr>
          </w:p>
        </w:tc>
        <w:tc>
          <w:tcPr>
            <w:tcW w:w="4858" w:type="dxa"/>
            <w:tcBorders>
              <w:top w:val="nil"/>
              <w:left w:val="single" w:sz="2" w:space="0" w:color="auto"/>
              <w:bottom w:val="nil"/>
              <w:right w:val="nil"/>
            </w:tcBorders>
            <w:vAlign w:val="bottom"/>
          </w:tcPr>
          <w:p w14:paraId="6291EA79" w14:textId="77777777" w:rsidR="00863311" w:rsidRPr="00A2241D" w:rsidRDefault="00863311" w:rsidP="00863311">
            <w:pPr>
              <w:pStyle w:val="TableText"/>
              <w:tabs>
                <w:tab w:val="left" w:pos="3306"/>
              </w:tabs>
              <w:rPr>
                <w:rFonts w:cs="Calibri"/>
                <w:b/>
                <w:bCs/>
              </w:rPr>
            </w:pPr>
            <w:bookmarkStart w:id="900" w:name="_Toc48468812"/>
            <w:bookmarkStart w:id="901" w:name="_Toc49155880"/>
            <w:bookmarkStart w:id="902" w:name="_Toc49224290"/>
            <w:r w:rsidRPr="00A2241D">
              <w:rPr>
                <w:rFonts w:cs="Calibri"/>
                <w:b/>
                <w:bCs/>
              </w:rPr>
              <w:t>Cash and Cash Equivalents at the End of the Reporting Period</w:t>
            </w:r>
            <w:bookmarkEnd w:id="900"/>
            <w:bookmarkEnd w:id="901"/>
            <w:bookmarkEnd w:id="902"/>
          </w:p>
        </w:tc>
        <w:tc>
          <w:tcPr>
            <w:tcW w:w="639" w:type="dxa"/>
            <w:tcBorders>
              <w:top w:val="nil"/>
              <w:left w:val="nil"/>
              <w:bottom w:val="nil"/>
              <w:right w:val="nil"/>
            </w:tcBorders>
            <w:vAlign w:val="bottom"/>
          </w:tcPr>
          <w:p w14:paraId="12DD0D9C" w14:textId="015D268E" w:rsidR="00863311" w:rsidRPr="00A2241D" w:rsidRDefault="002B3D78" w:rsidP="00FA518B">
            <w:pPr>
              <w:pStyle w:val="TableText"/>
              <w:tabs>
                <w:tab w:val="left" w:pos="3306"/>
              </w:tabs>
              <w:jc w:val="center"/>
              <w:rPr>
                <w:rFonts w:cs="Calibri"/>
                <w:strike/>
              </w:rPr>
            </w:pPr>
            <w:r w:rsidRPr="00A2241D">
              <w:rPr>
                <w:rFonts w:cs="Calibri"/>
              </w:rPr>
              <w:t>4</w:t>
            </w:r>
            <w:r w:rsidR="001220C0" w:rsidRPr="00A2241D">
              <w:rPr>
                <w:rFonts w:cs="Calibri"/>
              </w:rPr>
              <w:t>6</w:t>
            </w:r>
          </w:p>
        </w:tc>
        <w:tc>
          <w:tcPr>
            <w:tcW w:w="1174" w:type="dxa"/>
            <w:tcBorders>
              <w:top w:val="single" w:sz="2" w:space="0" w:color="auto"/>
              <w:left w:val="nil"/>
              <w:bottom w:val="double" w:sz="4" w:space="0" w:color="auto"/>
              <w:right w:val="nil"/>
            </w:tcBorders>
            <w:vAlign w:val="bottom"/>
          </w:tcPr>
          <w:p w14:paraId="455FD17E" w14:textId="365B1482" w:rsidR="00863311" w:rsidRPr="00A2241D" w:rsidRDefault="00863311" w:rsidP="00863311">
            <w:pPr>
              <w:pStyle w:val="TableText"/>
              <w:tabs>
                <w:tab w:val="left" w:pos="3306"/>
              </w:tabs>
              <w:jc w:val="right"/>
              <w:rPr>
                <w:rFonts w:cs="Calibri"/>
                <w:b/>
                <w:bCs/>
              </w:rPr>
            </w:pPr>
          </w:p>
        </w:tc>
        <w:tc>
          <w:tcPr>
            <w:tcW w:w="1231" w:type="dxa"/>
            <w:tcBorders>
              <w:top w:val="single" w:sz="2" w:space="0" w:color="auto"/>
              <w:left w:val="nil"/>
              <w:bottom w:val="double" w:sz="4" w:space="0" w:color="auto"/>
              <w:right w:val="nil"/>
            </w:tcBorders>
            <w:vAlign w:val="bottom"/>
          </w:tcPr>
          <w:p w14:paraId="07F4B4FB" w14:textId="4661F0AE" w:rsidR="00863311" w:rsidRPr="00A2241D" w:rsidRDefault="00863311" w:rsidP="00863311">
            <w:pPr>
              <w:pStyle w:val="TableText"/>
              <w:tabs>
                <w:tab w:val="left" w:pos="3306"/>
              </w:tabs>
              <w:jc w:val="right"/>
              <w:rPr>
                <w:rFonts w:cs="Calibri"/>
                <w:b/>
                <w:bCs/>
              </w:rPr>
            </w:pPr>
          </w:p>
        </w:tc>
        <w:tc>
          <w:tcPr>
            <w:tcW w:w="926" w:type="dxa"/>
            <w:tcBorders>
              <w:top w:val="single" w:sz="2" w:space="0" w:color="auto"/>
              <w:left w:val="nil"/>
              <w:bottom w:val="double" w:sz="4" w:space="0" w:color="auto"/>
              <w:right w:val="nil"/>
            </w:tcBorders>
            <w:vAlign w:val="bottom"/>
          </w:tcPr>
          <w:p w14:paraId="51CFAB5E" w14:textId="054BC219" w:rsidR="00863311" w:rsidRPr="00A2241D" w:rsidRDefault="00863311" w:rsidP="00863311">
            <w:pPr>
              <w:pStyle w:val="TableText"/>
              <w:tabs>
                <w:tab w:val="left" w:pos="3306"/>
              </w:tabs>
              <w:jc w:val="right"/>
              <w:rPr>
                <w:rFonts w:cs="Calibri"/>
                <w:b/>
                <w:bCs/>
              </w:rPr>
            </w:pPr>
          </w:p>
        </w:tc>
      </w:tr>
      <w:tr w:rsidR="00863311" w:rsidRPr="00D828C2" w14:paraId="084E79EB" w14:textId="77777777" w:rsidTr="00D919F2">
        <w:trPr>
          <w:cantSplit/>
          <w:trHeight w:val="23"/>
        </w:trPr>
        <w:tc>
          <w:tcPr>
            <w:tcW w:w="1547" w:type="dxa"/>
            <w:tcBorders>
              <w:top w:val="nil"/>
              <w:left w:val="single" w:sz="2" w:space="0" w:color="auto"/>
              <w:bottom w:val="nil"/>
              <w:right w:val="single" w:sz="2" w:space="0" w:color="auto"/>
            </w:tcBorders>
          </w:tcPr>
          <w:p w14:paraId="1745E020"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6EB3F1C1" w14:textId="77777777" w:rsidR="00863311" w:rsidRPr="00A2241D" w:rsidRDefault="00863311" w:rsidP="00863311">
            <w:pPr>
              <w:pStyle w:val="TableText"/>
              <w:tabs>
                <w:tab w:val="left" w:pos="3306"/>
              </w:tabs>
              <w:rPr>
                <w:rFonts w:cs="Calibri"/>
              </w:rPr>
            </w:pPr>
          </w:p>
        </w:tc>
      </w:tr>
      <w:tr w:rsidR="00D828C2" w:rsidRPr="00D828C2" w14:paraId="20E8CDB2" w14:textId="77777777" w:rsidTr="00D919F2">
        <w:trPr>
          <w:cantSplit/>
          <w:trHeight w:val="23"/>
        </w:trPr>
        <w:tc>
          <w:tcPr>
            <w:tcW w:w="1547" w:type="dxa"/>
            <w:tcBorders>
              <w:top w:val="nil"/>
              <w:left w:val="single" w:sz="2" w:space="0" w:color="auto"/>
              <w:bottom w:val="nil"/>
              <w:right w:val="single" w:sz="2" w:space="0" w:color="auto"/>
            </w:tcBorders>
          </w:tcPr>
          <w:p w14:paraId="45A7E923"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55A7C977" w14:textId="08729B45" w:rsidR="00863311" w:rsidRPr="00A2241D" w:rsidRDefault="00863311" w:rsidP="00D828C2">
            <w:pPr>
              <w:pStyle w:val="CommentaryReference"/>
              <w:rPr>
                <w:rFonts w:cs="Calibri"/>
                <w:b/>
                <w:bCs/>
                <w:sz w:val="18"/>
                <w:szCs w:val="18"/>
              </w:rPr>
            </w:pPr>
            <w:r w:rsidRPr="00A2241D">
              <w:rPr>
                <w:rFonts w:cs="Calibri"/>
                <w:sz w:val="18"/>
                <w:szCs w:val="18"/>
              </w:rPr>
              <w:t xml:space="preserve">The above </w:t>
            </w:r>
            <w:r w:rsidR="005F62CB" w:rsidRPr="00A2241D">
              <w:rPr>
                <w:rFonts w:cs="Calibri"/>
                <w:sz w:val="18"/>
                <w:szCs w:val="18"/>
              </w:rPr>
              <w:t xml:space="preserve">Statement of Cash Flows </w:t>
            </w:r>
            <w:r w:rsidRPr="00A2241D">
              <w:rPr>
                <w:rFonts w:cs="Calibri"/>
                <w:sz w:val="18"/>
                <w:szCs w:val="18"/>
              </w:rPr>
              <w:t xml:space="preserve">on Behalf of the Territory </w:t>
            </w:r>
            <w:r w:rsidR="00E31574" w:rsidRPr="00A2241D">
              <w:rPr>
                <w:rFonts w:cs="Calibri"/>
                <w:sz w:val="18"/>
                <w:szCs w:val="18"/>
              </w:rPr>
              <w:t xml:space="preserve">is to </w:t>
            </w:r>
            <w:r w:rsidRPr="00A2241D">
              <w:rPr>
                <w:rFonts w:cs="Calibri"/>
                <w:sz w:val="18"/>
                <w:szCs w:val="18"/>
              </w:rPr>
              <w:t>be read in conjunction with the accompanying notes.</w:t>
            </w:r>
            <w:r w:rsidR="00FA7C77">
              <w:rPr>
                <w:rFonts w:cs="Calibri"/>
                <w:sz w:val="18"/>
                <w:szCs w:val="18"/>
              </w:rPr>
              <w:t xml:space="preserve"> </w:t>
            </w:r>
            <w:r w:rsidRPr="00A2241D">
              <w:rPr>
                <w:rFonts w:cs="Calibri"/>
                <w:sz w:val="18"/>
                <w:szCs w:val="18"/>
              </w:rPr>
              <w:t xml:space="preserve"> </w:t>
            </w:r>
          </w:p>
        </w:tc>
      </w:tr>
      <w:tr w:rsidR="00104AEF" w:rsidRPr="00D828C2" w14:paraId="1B517B01" w14:textId="77777777" w:rsidTr="00D919F2">
        <w:trPr>
          <w:cantSplit/>
          <w:trHeight w:val="23"/>
        </w:trPr>
        <w:tc>
          <w:tcPr>
            <w:tcW w:w="1547" w:type="dxa"/>
            <w:tcBorders>
              <w:top w:val="nil"/>
              <w:left w:val="single" w:sz="2" w:space="0" w:color="auto"/>
              <w:bottom w:val="nil"/>
              <w:right w:val="single" w:sz="2" w:space="0" w:color="auto"/>
            </w:tcBorders>
          </w:tcPr>
          <w:p w14:paraId="1A8A54CF" w14:textId="77777777" w:rsidR="00104AEF" w:rsidRPr="00A2241D" w:rsidRDefault="00104AEF"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auto"/>
              <w:bottom w:val="nil"/>
              <w:right w:val="nil"/>
            </w:tcBorders>
            <w:vAlign w:val="bottom"/>
          </w:tcPr>
          <w:p w14:paraId="47E445AB" w14:textId="77777777" w:rsidR="00104AEF" w:rsidRPr="00A2241D" w:rsidRDefault="00104AEF" w:rsidP="00D828C2">
            <w:pPr>
              <w:pStyle w:val="CommentaryReference"/>
              <w:rPr>
                <w:rFonts w:cs="Calibri"/>
                <w:sz w:val="18"/>
                <w:szCs w:val="18"/>
              </w:rPr>
            </w:pPr>
          </w:p>
        </w:tc>
      </w:tr>
      <w:tr w:rsidR="00D828C2" w:rsidRPr="00D828C2" w14:paraId="67E7037C" w14:textId="77777777" w:rsidTr="00D919F2">
        <w:trPr>
          <w:cantSplit/>
          <w:trHeight w:val="23"/>
        </w:trPr>
        <w:tc>
          <w:tcPr>
            <w:tcW w:w="1547" w:type="dxa"/>
            <w:tcBorders>
              <w:top w:val="nil"/>
              <w:left w:val="single" w:sz="2" w:space="0" w:color="auto"/>
              <w:bottom w:val="nil"/>
              <w:right w:val="single" w:sz="2" w:space="0" w:color="auto"/>
            </w:tcBorders>
          </w:tcPr>
          <w:p w14:paraId="722FF54C" w14:textId="3AE5E698" w:rsidR="00863311" w:rsidRPr="00A2241D" w:rsidRDefault="00863311" w:rsidP="005D3C33">
            <w:pPr>
              <w:pStyle w:val="TableReference"/>
              <w:tabs>
                <w:tab w:val="left" w:pos="3306"/>
              </w:tabs>
              <w:spacing w:before="240" w:after="240"/>
              <w:rPr>
                <w:rFonts w:asciiTheme="minorHAnsi" w:hAnsiTheme="minorHAnsi" w:cstheme="minorHAnsi"/>
                <w:b/>
                <w:strike/>
                <w:color w:val="7030A0"/>
                <w:sz w:val="22"/>
                <w:szCs w:val="22"/>
              </w:rPr>
            </w:pPr>
          </w:p>
        </w:tc>
        <w:tc>
          <w:tcPr>
            <w:tcW w:w="8828" w:type="dxa"/>
            <w:gridSpan w:val="5"/>
            <w:tcBorders>
              <w:top w:val="nil"/>
              <w:left w:val="single" w:sz="2" w:space="0" w:color="auto"/>
              <w:bottom w:val="nil"/>
              <w:right w:val="nil"/>
            </w:tcBorders>
            <w:shd w:val="clear" w:color="auto" w:fill="7030A0"/>
            <w:vAlign w:val="bottom"/>
          </w:tcPr>
          <w:p w14:paraId="34E247BE" w14:textId="548DFD9D" w:rsidR="00863311" w:rsidRPr="00A2241D" w:rsidRDefault="00863311" w:rsidP="00F22D61">
            <w:pPr>
              <w:pStyle w:val="CommentaryTitle"/>
              <w:spacing w:before="0" w:after="240"/>
              <w:rPr>
                <w:rFonts w:cs="Calibri"/>
                <w:color w:val="FFFFFF" w:themeColor="background1"/>
                <w:sz w:val="28"/>
                <w:szCs w:val="28"/>
              </w:rPr>
            </w:pPr>
            <w:r w:rsidRPr="00A2241D">
              <w:rPr>
                <w:rFonts w:cs="Calibri"/>
                <w:color w:val="FFFFFF" w:themeColor="background1"/>
                <w:sz w:val="28"/>
                <w:szCs w:val="28"/>
              </w:rPr>
              <w:t>Commentary –</w:t>
            </w:r>
            <w:r w:rsidR="00D828C2" w:rsidRPr="00A2241D">
              <w:rPr>
                <w:rFonts w:cs="Calibri"/>
                <w:color w:val="FFFFFF" w:themeColor="background1"/>
                <w:sz w:val="28"/>
                <w:szCs w:val="28"/>
              </w:rPr>
              <w:t xml:space="preserve"> </w:t>
            </w:r>
            <w:r w:rsidR="005F62CB" w:rsidRPr="00A2241D">
              <w:rPr>
                <w:rFonts w:cs="Calibri"/>
                <w:color w:val="FFFFFF" w:themeColor="background1"/>
                <w:sz w:val="28"/>
                <w:szCs w:val="28"/>
              </w:rPr>
              <w:t>Statement of Cash Flows</w:t>
            </w:r>
            <w:r w:rsidRPr="00A2241D">
              <w:rPr>
                <w:rFonts w:cs="Calibri"/>
                <w:color w:val="FFFFFF" w:themeColor="background1"/>
                <w:sz w:val="28"/>
                <w:szCs w:val="28"/>
              </w:rPr>
              <w:t xml:space="preserve"> on Behalf of the Territory</w:t>
            </w:r>
          </w:p>
        </w:tc>
      </w:tr>
      <w:tr w:rsidR="00863311" w:rsidRPr="00D828C2" w14:paraId="7CF14C75" w14:textId="77777777" w:rsidTr="00D919F2">
        <w:trPr>
          <w:cantSplit/>
          <w:trHeight w:val="23"/>
        </w:trPr>
        <w:tc>
          <w:tcPr>
            <w:tcW w:w="1547" w:type="dxa"/>
            <w:tcBorders>
              <w:top w:val="nil"/>
              <w:left w:val="single" w:sz="2" w:space="0" w:color="auto"/>
              <w:bottom w:val="nil"/>
              <w:right w:val="single" w:sz="2" w:space="0" w:color="auto"/>
            </w:tcBorders>
          </w:tcPr>
          <w:p w14:paraId="247DA67B" w14:textId="77777777" w:rsidR="00863311" w:rsidRPr="00A2241D" w:rsidRDefault="00863311" w:rsidP="00AD31E8">
            <w:pPr>
              <w:pStyle w:val="TableReference"/>
              <w:tabs>
                <w:tab w:val="left" w:pos="3306"/>
              </w:tabs>
              <w:spacing w:before="240"/>
              <w:rPr>
                <w:rFonts w:cs="Calibri"/>
                <w:color w:val="7030A0"/>
                <w:sz w:val="16"/>
                <w:szCs w:val="16"/>
              </w:rPr>
            </w:pPr>
          </w:p>
        </w:tc>
        <w:tc>
          <w:tcPr>
            <w:tcW w:w="8828" w:type="dxa"/>
            <w:gridSpan w:val="5"/>
            <w:tcBorders>
              <w:top w:val="nil"/>
              <w:left w:val="single" w:sz="2" w:space="0" w:color="auto"/>
              <w:bottom w:val="nil"/>
              <w:right w:val="nil"/>
            </w:tcBorders>
            <w:shd w:val="clear" w:color="auto" w:fill="7030A0"/>
            <w:vAlign w:val="bottom"/>
          </w:tcPr>
          <w:p w14:paraId="03688EE2" w14:textId="422D523F" w:rsidR="00863311" w:rsidRPr="00A2241D" w:rsidRDefault="00863311" w:rsidP="00863311">
            <w:pPr>
              <w:pStyle w:val="CommentaryText"/>
              <w:rPr>
                <w:rFonts w:cs="Calibri"/>
                <w:color w:val="FFFFFF" w:themeColor="background1"/>
                <w:sz w:val="18"/>
                <w:szCs w:val="18"/>
              </w:rPr>
            </w:pPr>
            <w:r w:rsidRPr="00A2241D">
              <w:rPr>
                <w:rFonts w:cs="Calibri"/>
                <w:color w:val="FFFFFF" w:themeColor="background1"/>
                <w:sz w:val="18"/>
                <w:szCs w:val="18"/>
              </w:rPr>
              <w:t xml:space="preserve">Where </w:t>
            </w:r>
            <w:r w:rsidR="00D65811" w:rsidRPr="00A2241D">
              <w:rPr>
                <w:rFonts w:cs="Calibri"/>
                <w:color w:val="FFFFFF" w:themeColor="background1"/>
                <w:sz w:val="18"/>
                <w:szCs w:val="18"/>
              </w:rPr>
              <w:t>a</w:t>
            </w:r>
            <w:r w:rsidRPr="00A2241D">
              <w:rPr>
                <w:rFonts w:cs="Calibri"/>
                <w:color w:val="FFFFFF" w:themeColor="background1"/>
                <w:sz w:val="18"/>
                <w:szCs w:val="18"/>
              </w:rPr>
              <w:t xml:space="preserve">gencies have investing and/or financing cash flows, details of these items must be disclosed in the Investing Activities and/or Financing Activities section within the </w:t>
            </w:r>
            <w:r w:rsidR="005F62CB" w:rsidRPr="00A2241D">
              <w:rPr>
                <w:rFonts w:cs="Calibri"/>
                <w:color w:val="FFFFFF" w:themeColor="background1"/>
                <w:sz w:val="18"/>
                <w:szCs w:val="18"/>
              </w:rPr>
              <w:t>Statement of Cash Flows</w:t>
            </w:r>
            <w:r w:rsidR="00E31574" w:rsidRPr="00A2241D">
              <w:rPr>
                <w:rFonts w:cs="Calibri"/>
                <w:color w:val="FFFFFF" w:themeColor="background1"/>
                <w:sz w:val="18"/>
                <w:szCs w:val="18"/>
              </w:rPr>
              <w:t xml:space="preserve"> on Behalf of the Territory</w:t>
            </w:r>
            <w:r w:rsidRPr="00A2241D">
              <w:rPr>
                <w:rFonts w:cs="Calibri"/>
                <w:color w:val="FFFFFF" w:themeColor="background1"/>
                <w:sz w:val="18"/>
                <w:szCs w:val="18"/>
              </w:rPr>
              <w:t>.</w:t>
            </w:r>
            <w:r w:rsidR="00FA7C77">
              <w:rPr>
                <w:rFonts w:cs="Calibri"/>
                <w:color w:val="FFFFFF" w:themeColor="background1"/>
                <w:sz w:val="18"/>
                <w:szCs w:val="18"/>
              </w:rPr>
              <w:t xml:space="preserve"> </w:t>
            </w:r>
            <w:r w:rsidRPr="00A2241D">
              <w:rPr>
                <w:rFonts w:cs="Calibri"/>
                <w:color w:val="FFFFFF" w:themeColor="background1"/>
                <w:sz w:val="18"/>
                <w:szCs w:val="18"/>
              </w:rPr>
              <w:t xml:space="preserve">Where there are no Investing or Financing items: </w:t>
            </w:r>
          </w:p>
          <w:p w14:paraId="5D3E318B" w14:textId="77777777" w:rsidR="00863311" w:rsidRPr="00A2241D" w:rsidRDefault="00863311" w:rsidP="007122BC">
            <w:pPr>
              <w:pStyle w:val="CommentaryText"/>
              <w:numPr>
                <w:ilvl w:val="0"/>
                <w:numId w:val="28"/>
              </w:numPr>
              <w:rPr>
                <w:rFonts w:cs="Calibri"/>
                <w:color w:val="FFFFFF" w:themeColor="background1"/>
                <w:sz w:val="18"/>
                <w:szCs w:val="18"/>
              </w:rPr>
            </w:pPr>
            <w:r w:rsidRPr="00A2241D">
              <w:rPr>
                <w:rFonts w:cs="Calibri"/>
                <w:color w:val="FFFFFF" w:themeColor="background1"/>
                <w:sz w:val="18"/>
                <w:szCs w:val="18"/>
              </w:rPr>
              <w:t xml:space="preserve">the Net Cash Inflows/(Outflows) from Investing Activities total line; and </w:t>
            </w:r>
          </w:p>
          <w:p w14:paraId="35FF793D" w14:textId="2A392AC4" w:rsidR="00863311" w:rsidRPr="00A2241D" w:rsidRDefault="00863311" w:rsidP="007122BC">
            <w:pPr>
              <w:pStyle w:val="CommentaryText"/>
              <w:numPr>
                <w:ilvl w:val="0"/>
                <w:numId w:val="28"/>
              </w:numPr>
              <w:rPr>
                <w:rFonts w:cs="Calibri"/>
                <w:color w:val="FFFFFF" w:themeColor="background1"/>
                <w:sz w:val="18"/>
                <w:szCs w:val="18"/>
              </w:rPr>
            </w:pPr>
            <w:r w:rsidRPr="00A2241D">
              <w:rPr>
                <w:rFonts w:cs="Calibri"/>
                <w:color w:val="FFFFFF" w:themeColor="background1"/>
                <w:sz w:val="18"/>
                <w:szCs w:val="18"/>
              </w:rPr>
              <w:t>the Net Cash Inflows/(Outflows) from Financing Activities total line</w:t>
            </w:r>
            <w:r w:rsidR="00722BF2">
              <w:rPr>
                <w:rFonts w:cs="Calibri"/>
                <w:color w:val="FFFFFF" w:themeColor="background1"/>
                <w:sz w:val="18"/>
                <w:szCs w:val="18"/>
              </w:rPr>
              <w:t>.</w:t>
            </w:r>
            <w:r w:rsidRPr="00A2241D">
              <w:rPr>
                <w:rFonts w:cs="Calibri"/>
                <w:color w:val="FFFFFF" w:themeColor="background1"/>
                <w:sz w:val="18"/>
                <w:szCs w:val="18"/>
              </w:rPr>
              <w:t xml:space="preserve"> </w:t>
            </w:r>
          </w:p>
          <w:p w14:paraId="24DAE78A" w14:textId="77777777" w:rsidR="00863311" w:rsidRPr="00A2241D" w:rsidRDefault="00863311" w:rsidP="00354061">
            <w:pPr>
              <w:pStyle w:val="CommentaryText"/>
              <w:ind w:left="441" w:hanging="441"/>
              <w:rPr>
                <w:rFonts w:cs="Calibri"/>
                <w:color w:val="FFFFFF" w:themeColor="background1"/>
                <w:sz w:val="18"/>
                <w:szCs w:val="18"/>
              </w:rPr>
            </w:pPr>
            <w:r w:rsidRPr="00A2241D">
              <w:rPr>
                <w:rFonts w:cs="Calibri"/>
                <w:color w:val="FFFFFF" w:themeColor="background1"/>
                <w:sz w:val="18"/>
                <w:szCs w:val="18"/>
              </w:rPr>
              <w:t xml:space="preserve">should still be disclosed as in the above example. </w:t>
            </w:r>
          </w:p>
        </w:tc>
      </w:tr>
      <w:tr w:rsidR="00863311" w:rsidRPr="00D828C2" w14:paraId="38B8FA3E" w14:textId="77777777" w:rsidTr="00BB62BB">
        <w:trPr>
          <w:cantSplit/>
          <w:trHeight w:val="23"/>
        </w:trPr>
        <w:tc>
          <w:tcPr>
            <w:tcW w:w="1547" w:type="dxa"/>
            <w:tcBorders>
              <w:top w:val="nil"/>
              <w:left w:val="single" w:sz="2" w:space="0" w:color="7030A0"/>
              <w:bottom w:val="nil"/>
              <w:right w:val="single" w:sz="2" w:space="0" w:color="7030A0"/>
            </w:tcBorders>
          </w:tcPr>
          <w:p w14:paraId="500F0E9A" w14:textId="77777777" w:rsidR="00863311" w:rsidRPr="00A2241D" w:rsidRDefault="00863311" w:rsidP="00863311">
            <w:pPr>
              <w:pStyle w:val="TableReference"/>
              <w:tabs>
                <w:tab w:val="left" w:pos="3306"/>
              </w:tabs>
              <w:spacing w:before="40"/>
              <w:rPr>
                <w:rFonts w:cs="Calibri"/>
                <w:color w:val="7030A0"/>
                <w:sz w:val="16"/>
                <w:szCs w:val="16"/>
              </w:rPr>
            </w:pPr>
          </w:p>
        </w:tc>
        <w:tc>
          <w:tcPr>
            <w:tcW w:w="8828" w:type="dxa"/>
            <w:gridSpan w:val="5"/>
            <w:tcBorders>
              <w:top w:val="nil"/>
              <w:left w:val="single" w:sz="2" w:space="0" w:color="7030A0"/>
              <w:bottom w:val="nil"/>
              <w:right w:val="nil"/>
            </w:tcBorders>
            <w:shd w:val="clear" w:color="auto" w:fill="7030A0"/>
            <w:vAlign w:val="bottom"/>
          </w:tcPr>
          <w:p w14:paraId="6CB00B93" w14:textId="77777777" w:rsidR="00863311" w:rsidRPr="00A84CC0" w:rsidRDefault="00863311" w:rsidP="00863311">
            <w:pPr>
              <w:pStyle w:val="CommentaryText"/>
              <w:rPr>
                <w:rFonts w:cs="Calibri"/>
                <w:b/>
                <w:bCs/>
                <w:color w:val="FFFFFF" w:themeColor="background1"/>
                <w:szCs w:val="20"/>
              </w:rPr>
            </w:pPr>
            <w:r w:rsidRPr="00A84CC0">
              <w:rPr>
                <w:rFonts w:cs="Calibri"/>
                <w:b/>
                <w:bCs/>
                <w:color w:val="FFFFFF" w:themeColor="background1"/>
                <w:szCs w:val="20"/>
              </w:rPr>
              <w:t>Budget</w:t>
            </w:r>
          </w:p>
        </w:tc>
      </w:tr>
      <w:tr w:rsidR="00863311" w:rsidRPr="00D828C2" w14:paraId="711196F3" w14:textId="77777777" w:rsidTr="00BB62BB">
        <w:trPr>
          <w:cantSplit/>
          <w:trHeight w:val="247"/>
        </w:trPr>
        <w:tc>
          <w:tcPr>
            <w:tcW w:w="1547" w:type="dxa"/>
            <w:tcBorders>
              <w:top w:val="nil"/>
              <w:left w:val="single" w:sz="2" w:space="0" w:color="7030A0"/>
              <w:bottom w:val="nil"/>
              <w:right w:val="single" w:sz="2" w:space="0" w:color="7030A0"/>
            </w:tcBorders>
          </w:tcPr>
          <w:p w14:paraId="2B64EF78" w14:textId="77777777" w:rsidR="00863311" w:rsidRPr="00A2241D" w:rsidRDefault="00863311" w:rsidP="00863311">
            <w:pPr>
              <w:pStyle w:val="TableReference"/>
              <w:tabs>
                <w:tab w:val="left" w:pos="3306"/>
              </w:tabs>
              <w:spacing w:before="40"/>
              <w:rPr>
                <w:rFonts w:cs="Calibri"/>
                <w:color w:val="7030A0"/>
              </w:rPr>
            </w:pPr>
          </w:p>
        </w:tc>
        <w:tc>
          <w:tcPr>
            <w:tcW w:w="8828" w:type="dxa"/>
            <w:gridSpan w:val="5"/>
            <w:tcBorders>
              <w:top w:val="nil"/>
              <w:left w:val="single" w:sz="2" w:space="0" w:color="7030A0"/>
              <w:bottom w:val="nil"/>
              <w:right w:val="nil"/>
            </w:tcBorders>
            <w:shd w:val="clear" w:color="auto" w:fill="7030A0"/>
            <w:vAlign w:val="bottom"/>
          </w:tcPr>
          <w:p w14:paraId="5A43AB5B" w14:textId="0C993EB8" w:rsidR="00863311" w:rsidRPr="00A2241D" w:rsidRDefault="00863311" w:rsidP="00E04F3C">
            <w:pPr>
              <w:pStyle w:val="CommentaryText"/>
              <w:rPr>
                <w:rFonts w:cs="Calibri"/>
                <w:color w:val="FFFFFF" w:themeColor="background1"/>
                <w:sz w:val="18"/>
                <w:szCs w:val="18"/>
              </w:rPr>
            </w:pPr>
            <w:r w:rsidRPr="00A2241D">
              <w:rPr>
                <w:rFonts w:cs="Calibri"/>
                <w:color w:val="FFFFFF" w:themeColor="background1"/>
                <w:sz w:val="18"/>
                <w:szCs w:val="18"/>
              </w:rPr>
              <w:t xml:space="preserve">The budget numbers appearing in the above statement are those published in the </w:t>
            </w:r>
            <w:r w:rsidR="00300197" w:rsidRPr="00A2241D">
              <w:rPr>
                <w:rFonts w:cs="Calibri"/>
                <w:color w:val="FFFFFF" w:themeColor="background1"/>
                <w:sz w:val="18"/>
                <w:szCs w:val="18"/>
              </w:rPr>
              <w:t>2021-22</w:t>
            </w:r>
            <w:r w:rsidR="0004485F" w:rsidRPr="00A2241D">
              <w:rPr>
                <w:rFonts w:cs="Calibri"/>
                <w:color w:val="FFFFFF" w:themeColor="background1"/>
                <w:sz w:val="18"/>
                <w:szCs w:val="18"/>
              </w:rPr>
              <w:t xml:space="preserve"> </w:t>
            </w:r>
            <w:r w:rsidRPr="00A2241D">
              <w:rPr>
                <w:rFonts w:cs="Calibri"/>
                <w:color w:val="FFFFFF" w:themeColor="background1"/>
                <w:sz w:val="18"/>
                <w:szCs w:val="18"/>
              </w:rPr>
              <w:t>Budget Papers.</w:t>
            </w:r>
          </w:p>
        </w:tc>
      </w:tr>
    </w:tbl>
    <w:p w14:paraId="3E38CF88" w14:textId="77777777" w:rsidR="00E31574" w:rsidRDefault="00863311" w:rsidP="00302D48">
      <w:pPr>
        <w:spacing w:line="400" w:lineRule="exact"/>
        <w:jc w:val="center"/>
      </w:pPr>
      <w:r w:rsidRPr="00CF7E1B">
        <w:br w:type="page"/>
      </w:r>
      <w:bookmarkStart w:id="903" w:name="_Toc194918666"/>
      <w:bookmarkStart w:id="904" w:name="_Toc253496244"/>
    </w:p>
    <w:p w14:paraId="4AD8E0C3" w14:textId="5D54FF3D" w:rsidR="00863311" w:rsidRPr="00A2241D" w:rsidRDefault="00863311" w:rsidP="00302D48">
      <w:pPr>
        <w:spacing w:line="400" w:lineRule="exact"/>
        <w:jc w:val="center"/>
        <w:rPr>
          <w:b/>
          <w:sz w:val="40"/>
          <w:szCs w:val="40"/>
        </w:rPr>
      </w:pPr>
      <w:r w:rsidRPr="00A2241D">
        <w:rPr>
          <w:b/>
          <w:sz w:val="40"/>
          <w:szCs w:val="40"/>
        </w:rPr>
        <w:t>‘</w:t>
      </w:r>
      <w:r w:rsidR="00027610" w:rsidRPr="00A2241D">
        <w:rPr>
          <w:b/>
          <w:sz w:val="40"/>
          <w:szCs w:val="40"/>
        </w:rPr>
        <w:t xml:space="preserve">Burley Griffin </w:t>
      </w:r>
      <w:r w:rsidRPr="00A2241D">
        <w:rPr>
          <w:b/>
          <w:sz w:val="40"/>
          <w:szCs w:val="40"/>
        </w:rPr>
        <w:t>Agency’</w:t>
      </w:r>
      <w:bookmarkEnd w:id="903"/>
      <w:bookmarkEnd w:id="904"/>
    </w:p>
    <w:p w14:paraId="7D3375AC" w14:textId="77777777" w:rsidR="00863311" w:rsidRPr="00A2241D" w:rsidRDefault="00863311" w:rsidP="00302D48">
      <w:pPr>
        <w:pStyle w:val="Subtitle"/>
        <w:spacing w:line="400" w:lineRule="exact"/>
        <w:rPr>
          <w:rFonts w:asciiTheme="minorHAnsi" w:hAnsiTheme="minorHAnsi" w:cstheme="minorHAnsi"/>
          <w:snapToGrid w:val="0"/>
        </w:rPr>
      </w:pPr>
      <w:bookmarkStart w:id="905" w:name="_Toc50440410"/>
      <w:bookmarkStart w:id="906" w:name="_Toc194918667"/>
      <w:bookmarkStart w:id="907" w:name="_Toc223433222"/>
      <w:bookmarkStart w:id="908" w:name="_Toc253496245"/>
      <w:bookmarkStart w:id="909" w:name="_Toc400627371"/>
      <w:bookmarkStart w:id="910" w:name="_Toc98763193"/>
      <w:r w:rsidRPr="00A2241D">
        <w:rPr>
          <w:rFonts w:asciiTheme="minorHAnsi" w:hAnsiTheme="minorHAnsi" w:cstheme="minorHAnsi"/>
          <w:snapToGrid w:val="0"/>
        </w:rPr>
        <w:t>Territorial Statement of Appropriation</w:t>
      </w:r>
      <w:bookmarkEnd w:id="905"/>
      <w:bookmarkEnd w:id="906"/>
      <w:bookmarkEnd w:id="907"/>
      <w:bookmarkEnd w:id="908"/>
      <w:bookmarkEnd w:id="909"/>
      <w:bookmarkEnd w:id="910"/>
    </w:p>
    <w:p w14:paraId="3A3649B6" w14:textId="4A6CA17D" w:rsidR="00863311" w:rsidRPr="00A2241D" w:rsidRDefault="00863311" w:rsidP="00302D48">
      <w:pPr>
        <w:spacing w:after="240" w:line="400" w:lineRule="exact"/>
        <w:jc w:val="center"/>
        <w:rPr>
          <w:b/>
          <w:snapToGrid w:val="0"/>
          <w:sz w:val="40"/>
          <w:szCs w:val="40"/>
        </w:rPr>
      </w:pPr>
      <w:r w:rsidRPr="00A2241D">
        <w:rPr>
          <w:b/>
          <w:snapToGrid w:val="0"/>
          <w:sz w:val="40"/>
          <w:szCs w:val="40"/>
        </w:rPr>
        <w:t xml:space="preserve">For the Year Ended 30 June </w:t>
      </w:r>
      <w:r w:rsidR="006973C8" w:rsidRPr="00A2241D">
        <w:rPr>
          <w:b/>
          <w:sz w:val="40"/>
          <w:szCs w:val="40"/>
        </w:rPr>
        <w:t>202</w:t>
      </w:r>
      <w:r w:rsidR="00A37AEC" w:rsidRPr="00A2241D">
        <w:rPr>
          <w:b/>
          <w:sz w:val="40"/>
          <w:szCs w:val="40"/>
        </w:rPr>
        <w:t>2</w:t>
      </w:r>
    </w:p>
    <w:tbl>
      <w:tblPr>
        <w:tblW w:w="4973" w:type="pct"/>
        <w:tblInd w:w="-1" w:type="dxa"/>
        <w:tblLayout w:type="fixed"/>
        <w:tblCellMar>
          <w:left w:w="0" w:type="dxa"/>
          <w:right w:w="0" w:type="dxa"/>
        </w:tblCellMar>
        <w:tblLook w:val="00A0" w:firstRow="1" w:lastRow="0" w:firstColumn="1" w:lastColumn="0" w:noHBand="0" w:noVBand="0"/>
      </w:tblPr>
      <w:tblGrid>
        <w:gridCol w:w="1558"/>
        <w:gridCol w:w="3206"/>
        <w:gridCol w:w="1330"/>
        <w:gridCol w:w="60"/>
        <w:gridCol w:w="1415"/>
        <w:gridCol w:w="92"/>
        <w:gridCol w:w="1270"/>
        <w:gridCol w:w="42"/>
        <w:gridCol w:w="1402"/>
        <w:gridCol w:w="112"/>
      </w:tblGrid>
      <w:tr w:rsidR="00B02277" w:rsidRPr="00CF7E1B" w14:paraId="64968762"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6CD07CC" w14:textId="73EAD253" w:rsidR="00B02277" w:rsidRPr="00A2241D" w:rsidRDefault="00E31574" w:rsidP="00B02277">
            <w:pPr>
              <w:pStyle w:val="Reference"/>
              <w:tabs>
                <w:tab w:val="left" w:pos="3306"/>
              </w:tabs>
              <w:rPr>
                <w:rFonts w:cs="Calibri"/>
                <w:color w:val="7030A0"/>
              </w:rPr>
            </w:pPr>
            <w:r w:rsidRPr="00A2241D">
              <w:rPr>
                <w:rFonts w:asciiTheme="minorHAnsi" w:hAnsiTheme="minorHAnsi" w:cstheme="minorHAnsi"/>
                <w:color w:val="7030A0"/>
                <w:sz w:val="22"/>
                <w:szCs w:val="22"/>
              </w:rPr>
              <w:t>Reference</w:t>
            </w:r>
          </w:p>
        </w:tc>
        <w:tc>
          <w:tcPr>
            <w:tcW w:w="8817" w:type="dxa"/>
            <w:gridSpan w:val="8"/>
            <w:tcBorders>
              <w:left w:val="single" w:sz="2" w:space="0" w:color="auto"/>
            </w:tcBorders>
            <w:tcMar>
              <w:left w:w="108" w:type="dxa"/>
              <w:right w:w="108" w:type="dxa"/>
            </w:tcMar>
            <w:vAlign w:val="bottom"/>
          </w:tcPr>
          <w:p w14:paraId="6842C543" w14:textId="63F6C615" w:rsidR="00B02277" w:rsidRPr="00A2241D" w:rsidRDefault="00B02277" w:rsidP="00B02277">
            <w:pPr>
              <w:pStyle w:val="TableTitle"/>
              <w:tabs>
                <w:tab w:val="left" w:pos="3306"/>
              </w:tabs>
              <w:jc w:val="left"/>
              <w:rPr>
                <w:rFonts w:cs="Calibri"/>
                <w:sz w:val="16"/>
                <w:szCs w:val="16"/>
              </w:rPr>
            </w:pPr>
            <w:r w:rsidRPr="00A2241D">
              <w:t xml:space="preserve">Description and Material Accounting Policies relating to </w:t>
            </w:r>
            <w:r w:rsidR="00786A39" w:rsidRPr="00A2241D">
              <w:rPr>
                <w:rFonts w:cs="Calibri"/>
              </w:rPr>
              <w:t>Payment for Expenses on Behalf of the Territory</w:t>
            </w:r>
          </w:p>
        </w:tc>
      </w:tr>
      <w:tr w:rsidR="00B02277" w:rsidRPr="00CF7E1B" w14:paraId="1419E285"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BC2AB11" w14:textId="77777777" w:rsidR="00B02277" w:rsidRPr="00A2241D" w:rsidRDefault="00B02277" w:rsidP="00B02277">
            <w:pPr>
              <w:pStyle w:val="Reference"/>
              <w:tabs>
                <w:tab w:val="left" w:pos="3306"/>
              </w:tabs>
              <w:spacing w:after="120"/>
              <w:rPr>
                <w:rFonts w:cs="Calibri"/>
                <w:color w:val="7030A0"/>
              </w:rPr>
            </w:pPr>
          </w:p>
        </w:tc>
        <w:tc>
          <w:tcPr>
            <w:tcW w:w="8817" w:type="dxa"/>
            <w:gridSpan w:val="8"/>
            <w:tcBorders>
              <w:left w:val="single" w:sz="2" w:space="0" w:color="auto"/>
            </w:tcBorders>
            <w:tcMar>
              <w:left w:w="108" w:type="dxa"/>
              <w:right w:w="108" w:type="dxa"/>
            </w:tcMar>
            <w:vAlign w:val="bottom"/>
          </w:tcPr>
          <w:p w14:paraId="562993D9" w14:textId="1C92A988" w:rsidR="00B02277" w:rsidRPr="00A2241D" w:rsidRDefault="006222F7" w:rsidP="00E178FE">
            <w:pPr>
              <w:pStyle w:val="TableTitle"/>
              <w:tabs>
                <w:tab w:val="left" w:pos="3306"/>
              </w:tabs>
              <w:spacing w:after="120"/>
              <w:jc w:val="both"/>
              <w:rPr>
                <w:rFonts w:cs="Calibri"/>
                <w:b w:val="0"/>
                <w:bCs w:val="0"/>
                <w:sz w:val="16"/>
                <w:szCs w:val="16"/>
              </w:rPr>
            </w:pPr>
            <w:r w:rsidRPr="00A2241D">
              <w:rPr>
                <w:rFonts w:cs="Calibri"/>
                <w:b w:val="0"/>
                <w:bCs w:val="0"/>
              </w:rPr>
              <w:t>The</w:t>
            </w:r>
            <w:r w:rsidR="00B02277" w:rsidRPr="00A2241D">
              <w:rPr>
                <w:rFonts w:cs="Calibri"/>
                <w:b w:val="0"/>
                <w:bCs w:val="0"/>
              </w:rPr>
              <w:t xml:space="preserve"> Agency receives appropriation to fund a number of expenses incurred on behalf of the Territory, the main one being the payment of grants to various non-government organisations (See Note </w:t>
            </w:r>
            <w:r w:rsidR="00722BF2">
              <w:rPr>
                <w:rFonts w:cs="Calibri"/>
                <w:b w:val="0"/>
                <w:bCs w:val="0"/>
              </w:rPr>
              <w:t>44</w:t>
            </w:r>
            <w:r w:rsidR="002B3D78" w:rsidRPr="00A2241D">
              <w:rPr>
                <w:rFonts w:cs="Calibri"/>
                <w:b w:val="0"/>
                <w:bCs w:val="0"/>
              </w:rPr>
              <w:t xml:space="preserve"> </w:t>
            </w:r>
            <w:r w:rsidR="00B02277" w:rsidRPr="00A2241D">
              <w:rPr>
                <w:rFonts w:cs="Calibri"/>
                <w:b w:val="0"/>
                <w:bCs w:val="0"/>
                <w:i/>
              </w:rPr>
              <w:t>Grants and Purchased Services - Territorial</w:t>
            </w:r>
            <w:r w:rsidR="00B02277" w:rsidRPr="00A2241D">
              <w:rPr>
                <w:rFonts w:cs="Calibri"/>
                <w:b w:val="0"/>
                <w:bCs w:val="0"/>
              </w:rPr>
              <w:t>).</w:t>
            </w:r>
          </w:p>
        </w:tc>
      </w:tr>
      <w:tr w:rsidR="00B02277" w:rsidRPr="00CF7E1B" w14:paraId="37452D90"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2E220BED" w14:textId="77777777" w:rsidR="00B02277" w:rsidRPr="00A2241D" w:rsidRDefault="00B02277" w:rsidP="00B02277">
            <w:pPr>
              <w:pStyle w:val="Reference"/>
              <w:tabs>
                <w:tab w:val="left" w:pos="3306"/>
              </w:tabs>
              <w:spacing w:after="120"/>
              <w:rPr>
                <w:rFonts w:cs="Calibri"/>
                <w:color w:val="7030A0"/>
              </w:rPr>
            </w:pPr>
          </w:p>
        </w:tc>
        <w:tc>
          <w:tcPr>
            <w:tcW w:w="8817" w:type="dxa"/>
            <w:gridSpan w:val="8"/>
            <w:tcBorders>
              <w:left w:val="single" w:sz="2" w:space="0" w:color="auto"/>
            </w:tcBorders>
            <w:tcMar>
              <w:left w:w="108" w:type="dxa"/>
              <w:right w:w="108" w:type="dxa"/>
            </w:tcMar>
            <w:vAlign w:val="bottom"/>
          </w:tcPr>
          <w:p w14:paraId="6B304EA0" w14:textId="65576246" w:rsidR="00B02277" w:rsidRPr="00A2241D" w:rsidRDefault="00B02277" w:rsidP="00E178FE">
            <w:pPr>
              <w:pStyle w:val="TableTitle"/>
              <w:tabs>
                <w:tab w:val="left" w:pos="3306"/>
              </w:tabs>
              <w:spacing w:after="120"/>
              <w:jc w:val="both"/>
              <w:rPr>
                <w:rFonts w:cs="Calibri"/>
                <w:b w:val="0"/>
                <w:bCs w:val="0"/>
              </w:rPr>
            </w:pPr>
            <w:r w:rsidRPr="00A2241D">
              <w:rPr>
                <w:rFonts w:cs="Calibri"/>
                <w:b w:val="0"/>
                <w:bCs w:val="0"/>
              </w:rPr>
              <w:t xml:space="preserve">Payment for Expenses on behalf of the Territory </w:t>
            </w:r>
            <w:r w:rsidR="00786A39" w:rsidRPr="00A2241D">
              <w:rPr>
                <w:rFonts w:cs="Calibri"/>
                <w:b w:val="0"/>
                <w:bCs w:val="0"/>
              </w:rPr>
              <w:t>is</w:t>
            </w:r>
            <w:r w:rsidRPr="00A2241D">
              <w:rPr>
                <w:rFonts w:cs="Calibri"/>
                <w:b w:val="0"/>
                <w:bCs w:val="0"/>
              </w:rPr>
              <w:t xml:space="preserve"> recognised </w:t>
            </w:r>
            <w:r w:rsidR="00786A39" w:rsidRPr="00A2241D">
              <w:rPr>
                <w:rFonts w:cs="Calibri"/>
                <w:b w:val="0"/>
                <w:bCs w:val="0"/>
              </w:rPr>
              <w:t>when the Agency gains control over the funding which is normally obtained upon the receipt of cash, given they do not contain enforceable and sufficiently specific performance obligations as defined by AASB 15</w:t>
            </w:r>
            <w:r w:rsidR="0004485F" w:rsidRPr="00A2241D">
              <w:rPr>
                <w:rFonts w:cs="Calibri"/>
                <w:b w:val="0"/>
                <w:bCs w:val="0"/>
              </w:rPr>
              <w:t>.</w:t>
            </w:r>
          </w:p>
        </w:tc>
      </w:tr>
      <w:tr w:rsidR="00B02277" w:rsidRPr="00CF7E1B" w14:paraId="2E0C50AA"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D89737C" w14:textId="77777777" w:rsidR="00B02277" w:rsidRPr="00A2241D" w:rsidRDefault="00B02277" w:rsidP="00B02277">
            <w:pPr>
              <w:pStyle w:val="Reference"/>
              <w:tabs>
                <w:tab w:val="left" w:pos="3306"/>
              </w:tabs>
              <w:spacing w:before="240"/>
              <w:rPr>
                <w:rFonts w:cs="Calibri"/>
                <w:color w:val="7030A0"/>
              </w:rPr>
            </w:pPr>
          </w:p>
        </w:tc>
        <w:tc>
          <w:tcPr>
            <w:tcW w:w="3206" w:type="dxa"/>
            <w:tcBorders>
              <w:left w:val="single" w:sz="2" w:space="0" w:color="auto"/>
            </w:tcBorders>
            <w:tcMar>
              <w:left w:w="108" w:type="dxa"/>
              <w:right w:w="108" w:type="dxa"/>
            </w:tcMar>
            <w:vAlign w:val="bottom"/>
          </w:tcPr>
          <w:p w14:paraId="5265A413" w14:textId="77777777" w:rsidR="00B02277" w:rsidRPr="00A2241D" w:rsidRDefault="00B02277" w:rsidP="00B02277">
            <w:pPr>
              <w:pStyle w:val="TableTitle"/>
              <w:tabs>
                <w:tab w:val="left" w:pos="3306"/>
              </w:tabs>
              <w:jc w:val="left"/>
              <w:rPr>
                <w:rFonts w:cs="Calibri"/>
                <w:sz w:val="16"/>
                <w:szCs w:val="16"/>
              </w:rPr>
            </w:pPr>
          </w:p>
        </w:tc>
        <w:tc>
          <w:tcPr>
            <w:tcW w:w="1330" w:type="dxa"/>
          </w:tcPr>
          <w:p w14:paraId="03BB320C" w14:textId="77777777" w:rsidR="00B02277" w:rsidRPr="00A2241D" w:rsidRDefault="00B02277" w:rsidP="00B02277">
            <w:pPr>
              <w:pStyle w:val="TableTitle"/>
              <w:tabs>
                <w:tab w:val="left" w:pos="3306"/>
              </w:tabs>
              <w:rPr>
                <w:rFonts w:cs="Calibri"/>
              </w:rPr>
            </w:pPr>
            <w:r w:rsidRPr="00A2241D">
              <w:rPr>
                <w:rFonts w:cs="Calibri"/>
              </w:rPr>
              <w:t>Original</w:t>
            </w:r>
          </w:p>
          <w:p w14:paraId="3F7B9DEC" w14:textId="77777777" w:rsidR="00B02277" w:rsidRPr="00A2241D" w:rsidRDefault="00B02277" w:rsidP="00B02277">
            <w:pPr>
              <w:pStyle w:val="TableTitle"/>
              <w:tabs>
                <w:tab w:val="left" w:pos="3306"/>
              </w:tabs>
              <w:rPr>
                <w:rFonts w:cs="Calibri"/>
              </w:rPr>
            </w:pPr>
            <w:r w:rsidRPr="00A2241D">
              <w:rPr>
                <w:rFonts w:cs="Calibri"/>
              </w:rPr>
              <w:t>Budget</w:t>
            </w:r>
          </w:p>
          <w:p w14:paraId="04663CFB" w14:textId="7CDAB057" w:rsidR="00B02277" w:rsidRPr="00A2241D" w:rsidRDefault="00B02277" w:rsidP="00B02277">
            <w:pPr>
              <w:pStyle w:val="TableTitle"/>
              <w:tabs>
                <w:tab w:val="left" w:pos="3306"/>
              </w:tabs>
              <w:rPr>
                <w:rFonts w:cs="Calibri"/>
              </w:rPr>
            </w:pPr>
            <w:r w:rsidRPr="00A2241D">
              <w:rPr>
                <w:rFonts w:cs="Calibri"/>
              </w:rPr>
              <w:t>2022</w:t>
            </w:r>
          </w:p>
          <w:p w14:paraId="20544CBD" w14:textId="613E1F48" w:rsidR="00B02277" w:rsidRPr="00A2241D" w:rsidRDefault="00B02277" w:rsidP="00B02277">
            <w:pPr>
              <w:pStyle w:val="TableTitle"/>
              <w:tabs>
                <w:tab w:val="left" w:pos="3306"/>
              </w:tabs>
              <w:rPr>
                <w:rFonts w:cs="Calibri"/>
              </w:rPr>
            </w:pPr>
            <w:r w:rsidRPr="00A2241D">
              <w:rPr>
                <w:rFonts w:cs="Calibri"/>
              </w:rPr>
              <w:t>$’000</w:t>
            </w:r>
          </w:p>
        </w:tc>
        <w:tc>
          <w:tcPr>
            <w:tcW w:w="1475" w:type="dxa"/>
            <w:gridSpan w:val="2"/>
          </w:tcPr>
          <w:p w14:paraId="43A85110" w14:textId="77777777" w:rsidR="00B02277" w:rsidRPr="00A2241D" w:rsidRDefault="00B02277" w:rsidP="00B02277">
            <w:pPr>
              <w:pStyle w:val="TableTitle"/>
              <w:tabs>
                <w:tab w:val="left" w:pos="3306"/>
              </w:tabs>
              <w:rPr>
                <w:rFonts w:cs="Calibri"/>
              </w:rPr>
            </w:pPr>
            <w:r w:rsidRPr="00A2241D">
              <w:rPr>
                <w:rFonts w:cs="Calibri"/>
              </w:rPr>
              <w:t>Total</w:t>
            </w:r>
          </w:p>
          <w:p w14:paraId="2B3AB56B" w14:textId="77777777" w:rsidR="00B02277" w:rsidRPr="00A2241D" w:rsidRDefault="00B02277" w:rsidP="00B02277">
            <w:pPr>
              <w:pStyle w:val="TableTitle"/>
              <w:tabs>
                <w:tab w:val="left" w:pos="3306"/>
              </w:tabs>
              <w:rPr>
                <w:rFonts w:cs="Calibri"/>
              </w:rPr>
            </w:pPr>
            <w:r w:rsidRPr="00A2241D">
              <w:rPr>
                <w:rFonts w:cs="Calibri"/>
              </w:rPr>
              <w:t>Appropriated</w:t>
            </w:r>
          </w:p>
          <w:p w14:paraId="064EA536" w14:textId="3909A4DB" w:rsidR="00B02277" w:rsidRPr="00A2241D" w:rsidRDefault="00B02277" w:rsidP="00B02277">
            <w:pPr>
              <w:pStyle w:val="TableTitle"/>
              <w:tabs>
                <w:tab w:val="left" w:pos="3306"/>
              </w:tabs>
              <w:rPr>
                <w:rFonts w:cs="Calibri"/>
              </w:rPr>
            </w:pPr>
            <w:r w:rsidRPr="00A2241D">
              <w:rPr>
                <w:rFonts w:cs="Calibri"/>
              </w:rPr>
              <w:t>2022</w:t>
            </w:r>
          </w:p>
          <w:p w14:paraId="5D10AE59" w14:textId="1224CC35" w:rsidR="00B02277" w:rsidRPr="00A2241D" w:rsidRDefault="00B02277" w:rsidP="00B02277">
            <w:pPr>
              <w:pStyle w:val="TableTitle"/>
              <w:tabs>
                <w:tab w:val="left" w:pos="3306"/>
              </w:tabs>
              <w:rPr>
                <w:rFonts w:cs="Calibri"/>
              </w:rPr>
            </w:pPr>
            <w:r w:rsidRPr="00A2241D">
              <w:rPr>
                <w:rFonts w:cs="Calibri"/>
              </w:rPr>
              <w:t>$’000</w:t>
            </w:r>
          </w:p>
        </w:tc>
        <w:tc>
          <w:tcPr>
            <w:tcW w:w="1404" w:type="dxa"/>
            <w:gridSpan w:val="3"/>
          </w:tcPr>
          <w:p w14:paraId="3BDAF716" w14:textId="77777777" w:rsidR="00B02277" w:rsidRPr="00A2241D" w:rsidRDefault="00B02277" w:rsidP="00B02277">
            <w:pPr>
              <w:pStyle w:val="TableTitle"/>
              <w:tabs>
                <w:tab w:val="left" w:pos="3306"/>
              </w:tabs>
              <w:rPr>
                <w:rFonts w:cs="Calibri"/>
              </w:rPr>
            </w:pPr>
            <w:r w:rsidRPr="00A2241D">
              <w:rPr>
                <w:rFonts w:cs="Calibri"/>
              </w:rPr>
              <w:t>Appropriation</w:t>
            </w:r>
          </w:p>
          <w:p w14:paraId="5A45D9F0" w14:textId="77777777" w:rsidR="00B02277" w:rsidRPr="00A2241D" w:rsidRDefault="00B02277" w:rsidP="00B02277">
            <w:pPr>
              <w:pStyle w:val="TableTitle"/>
              <w:tabs>
                <w:tab w:val="left" w:pos="3306"/>
              </w:tabs>
              <w:rPr>
                <w:rFonts w:cs="Calibri"/>
              </w:rPr>
            </w:pPr>
            <w:r w:rsidRPr="00A2241D">
              <w:rPr>
                <w:rFonts w:cs="Calibri"/>
              </w:rPr>
              <w:t>Drawn</w:t>
            </w:r>
          </w:p>
          <w:p w14:paraId="44C6A8F3" w14:textId="36667323" w:rsidR="00B02277" w:rsidRPr="00A2241D" w:rsidRDefault="00B02277" w:rsidP="00B02277">
            <w:pPr>
              <w:pStyle w:val="TableTitle"/>
              <w:tabs>
                <w:tab w:val="left" w:pos="3306"/>
              </w:tabs>
              <w:rPr>
                <w:rFonts w:cs="Calibri"/>
              </w:rPr>
            </w:pPr>
            <w:r w:rsidRPr="00A2241D">
              <w:rPr>
                <w:rFonts w:cs="Calibri"/>
              </w:rPr>
              <w:t>2022</w:t>
            </w:r>
          </w:p>
          <w:p w14:paraId="63FD754E" w14:textId="144C472D" w:rsidR="00B02277" w:rsidRPr="00A2241D" w:rsidRDefault="00B02277" w:rsidP="00B02277">
            <w:pPr>
              <w:pStyle w:val="TableTitle"/>
              <w:tabs>
                <w:tab w:val="left" w:pos="3306"/>
              </w:tabs>
              <w:rPr>
                <w:rFonts w:cs="Calibri"/>
              </w:rPr>
            </w:pPr>
            <w:r w:rsidRPr="00A2241D">
              <w:rPr>
                <w:rFonts w:cs="Calibri"/>
              </w:rPr>
              <w:t>$’000</w:t>
            </w:r>
          </w:p>
        </w:tc>
        <w:tc>
          <w:tcPr>
            <w:tcW w:w="1402" w:type="dxa"/>
          </w:tcPr>
          <w:p w14:paraId="690D6EF0" w14:textId="77777777" w:rsidR="00B02277" w:rsidRPr="00A2241D" w:rsidRDefault="00B02277" w:rsidP="00B02277">
            <w:pPr>
              <w:pStyle w:val="TableTitle"/>
              <w:tabs>
                <w:tab w:val="left" w:pos="3306"/>
              </w:tabs>
              <w:rPr>
                <w:rFonts w:cs="Calibri"/>
              </w:rPr>
            </w:pPr>
            <w:r w:rsidRPr="00A2241D">
              <w:rPr>
                <w:rFonts w:cs="Calibri"/>
              </w:rPr>
              <w:t>Appropriation</w:t>
            </w:r>
          </w:p>
          <w:p w14:paraId="4365D783" w14:textId="77777777" w:rsidR="00B02277" w:rsidRPr="00A2241D" w:rsidRDefault="00B02277" w:rsidP="00B02277">
            <w:pPr>
              <w:pStyle w:val="TableTitle"/>
              <w:tabs>
                <w:tab w:val="left" w:pos="3306"/>
              </w:tabs>
              <w:rPr>
                <w:rFonts w:cs="Calibri"/>
              </w:rPr>
            </w:pPr>
            <w:r w:rsidRPr="00A2241D">
              <w:rPr>
                <w:rFonts w:cs="Calibri"/>
              </w:rPr>
              <w:t>Drawn</w:t>
            </w:r>
          </w:p>
          <w:p w14:paraId="35098CC4" w14:textId="128ADB06" w:rsidR="00B02277" w:rsidRPr="00A2241D" w:rsidRDefault="00B02277" w:rsidP="00B02277">
            <w:pPr>
              <w:pStyle w:val="TableTitle"/>
              <w:tabs>
                <w:tab w:val="left" w:pos="3306"/>
              </w:tabs>
              <w:rPr>
                <w:rFonts w:cs="Calibri"/>
              </w:rPr>
            </w:pPr>
            <w:r w:rsidRPr="00A2241D">
              <w:rPr>
                <w:rFonts w:cs="Calibri"/>
              </w:rPr>
              <w:t xml:space="preserve">2021 </w:t>
            </w:r>
          </w:p>
          <w:p w14:paraId="013D7709" w14:textId="4A69FC51" w:rsidR="00B02277" w:rsidRPr="00A2241D" w:rsidRDefault="00B02277" w:rsidP="00B02277">
            <w:pPr>
              <w:pStyle w:val="TableTitle"/>
              <w:tabs>
                <w:tab w:val="left" w:pos="3306"/>
              </w:tabs>
              <w:rPr>
                <w:rFonts w:cs="Calibri"/>
              </w:rPr>
            </w:pPr>
            <w:r w:rsidRPr="00A2241D">
              <w:rPr>
                <w:rFonts w:cs="Calibri"/>
              </w:rPr>
              <w:t>$’000</w:t>
            </w:r>
          </w:p>
        </w:tc>
      </w:tr>
      <w:tr w:rsidR="00B02277" w:rsidRPr="00CF7E1B" w14:paraId="508E6CE4"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6653B601" w14:textId="77777777" w:rsidR="00B02277" w:rsidRPr="00A2241D" w:rsidRDefault="00B02277" w:rsidP="00B02277">
            <w:pPr>
              <w:pStyle w:val="Reference"/>
              <w:tabs>
                <w:tab w:val="left" w:pos="3306"/>
              </w:tabs>
              <w:spacing w:before="240"/>
              <w:rPr>
                <w:rFonts w:cs="Calibri"/>
                <w:color w:val="7030A0"/>
              </w:rPr>
            </w:pPr>
          </w:p>
        </w:tc>
        <w:tc>
          <w:tcPr>
            <w:tcW w:w="8817" w:type="dxa"/>
            <w:gridSpan w:val="8"/>
            <w:tcBorders>
              <w:left w:val="single" w:sz="2" w:space="0" w:color="auto"/>
            </w:tcBorders>
            <w:tcMar>
              <w:left w:w="108" w:type="dxa"/>
              <w:right w:w="108" w:type="dxa"/>
            </w:tcMar>
            <w:vAlign w:val="bottom"/>
          </w:tcPr>
          <w:p w14:paraId="347A3D4C" w14:textId="77777777" w:rsidR="00B02277" w:rsidRPr="00A2241D" w:rsidRDefault="00B02277" w:rsidP="00B02277">
            <w:pPr>
              <w:pStyle w:val="TableTitle"/>
              <w:tabs>
                <w:tab w:val="left" w:pos="3306"/>
              </w:tabs>
              <w:rPr>
                <w:rFonts w:cs="Calibri"/>
                <w:sz w:val="16"/>
                <w:szCs w:val="16"/>
              </w:rPr>
            </w:pPr>
          </w:p>
        </w:tc>
      </w:tr>
      <w:tr w:rsidR="00B02277" w:rsidRPr="00CF7E1B" w14:paraId="7926A6CD"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0994C68C" w14:textId="77777777" w:rsidR="00B02277" w:rsidRPr="00A2241D" w:rsidRDefault="00B02277" w:rsidP="00B02277">
            <w:pPr>
              <w:pStyle w:val="TableReference"/>
              <w:tabs>
                <w:tab w:val="left" w:pos="3306"/>
              </w:tabs>
              <w:spacing w:before="40"/>
              <w:rPr>
                <w:rFonts w:cs="Calibri"/>
                <w:color w:val="7030A0"/>
                <w:sz w:val="16"/>
                <w:szCs w:val="16"/>
              </w:rPr>
            </w:pPr>
          </w:p>
        </w:tc>
        <w:tc>
          <w:tcPr>
            <w:tcW w:w="3206" w:type="dxa"/>
            <w:tcBorders>
              <w:left w:val="single" w:sz="2" w:space="0" w:color="auto"/>
            </w:tcBorders>
            <w:tcMar>
              <w:left w:w="108" w:type="dxa"/>
              <w:right w:w="108" w:type="dxa"/>
            </w:tcMar>
            <w:vAlign w:val="bottom"/>
          </w:tcPr>
          <w:p w14:paraId="2B91A69A" w14:textId="77777777" w:rsidR="00B02277" w:rsidRPr="00A2241D" w:rsidRDefault="00B02277" w:rsidP="00B02277">
            <w:pPr>
              <w:pStyle w:val="TableText"/>
              <w:tabs>
                <w:tab w:val="left" w:pos="3306"/>
              </w:tabs>
              <w:rPr>
                <w:rFonts w:cs="Calibri"/>
                <w:b/>
                <w:bCs/>
              </w:rPr>
            </w:pPr>
            <w:bookmarkStart w:id="911" w:name="_Toc48468814"/>
            <w:bookmarkStart w:id="912" w:name="_Toc49155882"/>
            <w:bookmarkStart w:id="913" w:name="_Toc49224292"/>
            <w:r w:rsidRPr="00A2241D">
              <w:rPr>
                <w:rFonts w:cs="Calibri"/>
                <w:b/>
                <w:bCs/>
              </w:rPr>
              <w:t>Territorial</w:t>
            </w:r>
            <w:bookmarkEnd w:id="911"/>
            <w:bookmarkEnd w:id="912"/>
            <w:bookmarkEnd w:id="913"/>
          </w:p>
        </w:tc>
        <w:tc>
          <w:tcPr>
            <w:tcW w:w="1390" w:type="dxa"/>
            <w:gridSpan w:val="2"/>
            <w:tcMar>
              <w:left w:w="108" w:type="dxa"/>
              <w:right w:w="108" w:type="dxa"/>
            </w:tcMar>
            <w:vAlign w:val="bottom"/>
          </w:tcPr>
          <w:p w14:paraId="0DB12F33" w14:textId="77777777" w:rsidR="00B02277" w:rsidRPr="00A2241D" w:rsidRDefault="00B02277" w:rsidP="00B02277">
            <w:pPr>
              <w:pStyle w:val="TableText"/>
              <w:tabs>
                <w:tab w:val="left" w:pos="3306"/>
              </w:tabs>
              <w:jc w:val="right"/>
              <w:rPr>
                <w:rFonts w:cs="Calibri"/>
              </w:rPr>
            </w:pPr>
          </w:p>
        </w:tc>
        <w:tc>
          <w:tcPr>
            <w:tcW w:w="1507" w:type="dxa"/>
            <w:gridSpan w:val="2"/>
            <w:tcMar>
              <w:left w:w="108" w:type="dxa"/>
              <w:right w:w="108" w:type="dxa"/>
            </w:tcMar>
            <w:vAlign w:val="bottom"/>
          </w:tcPr>
          <w:p w14:paraId="616C756B" w14:textId="77777777" w:rsidR="00B02277" w:rsidRPr="00A2241D" w:rsidRDefault="00B02277" w:rsidP="00B02277">
            <w:pPr>
              <w:pStyle w:val="TableText"/>
              <w:tabs>
                <w:tab w:val="left" w:pos="3306"/>
              </w:tabs>
              <w:jc w:val="right"/>
              <w:rPr>
                <w:rFonts w:cs="Calibri"/>
              </w:rPr>
            </w:pPr>
          </w:p>
        </w:tc>
        <w:tc>
          <w:tcPr>
            <w:tcW w:w="1270" w:type="dxa"/>
            <w:tcMar>
              <w:left w:w="108" w:type="dxa"/>
              <w:right w:w="108" w:type="dxa"/>
            </w:tcMar>
            <w:vAlign w:val="bottom"/>
          </w:tcPr>
          <w:p w14:paraId="18E16510" w14:textId="77777777" w:rsidR="00B02277" w:rsidRPr="00A2241D" w:rsidRDefault="00B02277" w:rsidP="00B02277">
            <w:pPr>
              <w:pStyle w:val="TableText"/>
              <w:tabs>
                <w:tab w:val="left" w:pos="3306"/>
              </w:tabs>
              <w:jc w:val="right"/>
              <w:rPr>
                <w:rFonts w:cs="Calibri"/>
              </w:rPr>
            </w:pPr>
          </w:p>
        </w:tc>
        <w:tc>
          <w:tcPr>
            <w:tcW w:w="1444" w:type="dxa"/>
            <w:gridSpan w:val="2"/>
            <w:tcMar>
              <w:left w:w="108" w:type="dxa"/>
              <w:right w:w="108" w:type="dxa"/>
            </w:tcMar>
            <w:vAlign w:val="bottom"/>
          </w:tcPr>
          <w:p w14:paraId="19EECC77" w14:textId="77777777" w:rsidR="00B02277" w:rsidRPr="00A2241D" w:rsidRDefault="00B02277" w:rsidP="00B02277">
            <w:pPr>
              <w:pStyle w:val="TableText"/>
              <w:tabs>
                <w:tab w:val="left" w:pos="3306"/>
              </w:tabs>
              <w:jc w:val="right"/>
              <w:rPr>
                <w:rFonts w:cs="Calibri"/>
              </w:rPr>
            </w:pPr>
          </w:p>
        </w:tc>
      </w:tr>
      <w:tr w:rsidR="00B02277" w:rsidRPr="00CF7E1B" w14:paraId="49D20536"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5ADA01CE" w14:textId="77777777" w:rsidR="00B02277" w:rsidRPr="00A2241D" w:rsidRDefault="00B02277" w:rsidP="00B02277">
            <w:pPr>
              <w:pStyle w:val="TableReference"/>
              <w:tabs>
                <w:tab w:val="left" w:pos="3306"/>
              </w:tabs>
              <w:spacing w:before="40"/>
              <w:rPr>
                <w:rFonts w:cs="Calibri"/>
                <w:color w:val="7030A0"/>
                <w:sz w:val="14"/>
              </w:rPr>
            </w:pPr>
          </w:p>
        </w:tc>
        <w:tc>
          <w:tcPr>
            <w:tcW w:w="3206" w:type="dxa"/>
            <w:tcBorders>
              <w:left w:val="single" w:sz="2" w:space="0" w:color="auto"/>
            </w:tcBorders>
            <w:tcMar>
              <w:left w:w="108" w:type="dxa"/>
              <w:right w:w="108" w:type="dxa"/>
            </w:tcMar>
            <w:vAlign w:val="bottom"/>
          </w:tcPr>
          <w:p w14:paraId="78841513" w14:textId="77777777" w:rsidR="00B02277" w:rsidRPr="00A2241D" w:rsidRDefault="00B02277" w:rsidP="00B02277">
            <w:pPr>
              <w:pStyle w:val="TableText"/>
              <w:tabs>
                <w:tab w:val="left" w:pos="3306"/>
              </w:tabs>
              <w:rPr>
                <w:rFonts w:cs="Calibri"/>
              </w:rPr>
            </w:pPr>
            <w:r w:rsidRPr="00A2241D">
              <w:rPr>
                <w:rFonts w:cs="Calibri"/>
              </w:rPr>
              <w:t>Expenses on Behalf of the Territory</w:t>
            </w:r>
          </w:p>
        </w:tc>
        <w:tc>
          <w:tcPr>
            <w:tcW w:w="1390" w:type="dxa"/>
            <w:gridSpan w:val="2"/>
            <w:tcBorders>
              <w:bottom w:val="single" w:sz="2" w:space="0" w:color="auto"/>
            </w:tcBorders>
            <w:tcMar>
              <w:left w:w="108" w:type="dxa"/>
              <w:right w:w="108" w:type="dxa"/>
            </w:tcMar>
            <w:vAlign w:val="bottom"/>
          </w:tcPr>
          <w:p w14:paraId="7E29608D" w14:textId="15E75940" w:rsidR="00B02277" w:rsidRPr="00A2241D" w:rsidRDefault="00B02277" w:rsidP="00B02277">
            <w:pPr>
              <w:pStyle w:val="TableText"/>
              <w:tabs>
                <w:tab w:val="left" w:pos="3306"/>
              </w:tabs>
              <w:jc w:val="right"/>
              <w:rPr>
                <w:rFonts w:cs="Calibri"/>
              </w:rPr>
            </w:pPr>
          </w:p>
        </w:tc>
        <w:tc>
          <w:tcPr>
            <w:tcW w:w="1507" w:type="dxa"/>
            <w:gridSpan w:val="2"/>
            <w:tcBorders>
              <w:bottom w:val="single" w:sz="2" w:space="0" w:color="auto"/>
            </w:tcBorders>
            <w:tcMar>
              <w:left w:w="108" w:type="dxa"/>
              <w:right w:w="108" w:type="dxa"/>
            </w:tcMar>
            <w:vAlign w:val="bottom"/>
          </w:tcPr>
          <w:p w14:paraId="1469FBBC" w14:textId="2A623DBE" w:rsidR="00B02277" w:rsidRPr="00A2241D" w:rsidRDefault="00B02277" w:rsidP="00B02277">
            <w:pPr>
              <w:pStyle w:val="TableText"/>
              <w:tabs>
                <w:tab w:val="left" w:pos="3306"/>
              </w:tabs>
              <w:jc w:val="right"/>
              <w:rPr>
                <w:rFonts w:cs="Calibri"/>
              </w:rPr>
            </w:pPr>
          </w:p>
        </w:tc>
        <w:tc>
          <w:tcPr>
            <w:tcW w:w="1270" w:type="dxa"/>
            <w:tcBorders>
              <w:bottom w:val="single" w:sz="2" w:space="0" w:color="auto"/>
            </w:tcBorders>
            <w:tcMar>
              <w:left w:w="108" w:type="dxa"/>
              <w:right w:w="108" w:type="dxa"/>
            </w:tcMar>
            <w:vAlign w:val="bottom"/>
          </w:tcPr>
          <w:p w14:paraId="40EB0E2C" w14:textId="1A28CD8C" w:rsidR="00B02277" w:rsidRPr="00A2241D" w:rsidRDefault="00B02277" w:rsidP="00B02277">
            <w:pPr>
              <w:pStyle w:val="TableText"/>
              <w:tabs>
                <w:tab w:val="left" w:pos="3306"/>
              </w:tabs>
              <w:ind w:right="176"/>
              <w:jc w:val="right"/>
              <w:rPr>
                <w:rFonts w:cs="Calibri"/>
              </w:rPr>
            </w:pPr>
          </w:p>
        </w:tc>
        <w:tc>
          <w:tcPr>
            <w:tcW w:w="1444" w:type="dxa"/>
            <w:gridSpan w:val="2"/>
            <w:tcBorders>
              <w:bottom w:val="single" w:sz="2" w:space="0" w:color="auto"/>
            </w:tcBorders>
            <w:tcMar>
              <w:left w:w="108" w:type="dxa"/>
              <w:right w:w="108" w:type="dxa"/>
            </w:tcMar>
            <w:vAlign w:val="bottom"/>
          </w:tcPr>
          <w:p w14:paraId="148B94A4" w14:textId="5F2E9C23" w:rsidR="00B02277" w:rsidRPr="00A2241D" w:rsidRDefault="00B02277" w:rsidP="00B02277">
            <w:pPr>
              <w:pStyle w:val="TableText"/>
              <w:tabs>
                <w:tab w:val="left" w:pos="3306"/>
              </w:tabs>
              <w:jc w:val="right"/>
              <w:rPr>
                <w:rFonts w:cs="Calibri"/>
              </w:rPr>
            </w:pPr>
          </w:p>
        </w:tc>
      </w:tr>
      <w:tr w:rsidR="00B02277" w:rsidRPr="00CF7E1B" w14:paraId="6802999D"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320A63F2" w14:textId="60BAB5CE" w:rsidR="00B02277" w:rsidRPr="00A2241D" w:rsidRDefault="00B02277" w:rsidP="00B02277">
            <w:pPr>
              <w:pStyle w:val="TableReference"/>
              <w:tabs>
                <w:tab w:val="left" w:pos="3306"/>
              </w:tabs>
              <w:spacing w:before="40"/>
              <w:rPr>
                <w:rFonts w:cs="Calibri"/>
                <w:color w:val="7030A0"/>
                <w:sz w:val="14"/>
              </w:rPr>
            </w:pPr>
          </w:p>
        </w:tc>
        <w:tc>
          <w:tcPr>
            <w:tcW w:w="3206" w:type="dxa"/>
            <w:tcBorders>
              <w:left w:val="single" w:sz="2" w:space="0" w:color="auto"/>
            </w:tcBorders>
            <w:tcMar>
              <w:left w:w="108" w:type="dxa"/>
              <w:right w:w="108" w:type="dxa"/>
            </w:tcMar>
            <w:vAlign w:val="bottom"/>
          </w:tcPr>
          <w:p w14:paraId="53A90731" w14:textId="77777777" w:rsidR="00B02277" w:rsidRPr="00A2241D" w:rsidRDefault="00B02277" w:rsidP="00B02277">
            <w:pPr>
              <w:pStyle w:val="TableText"/>
              <w:tabs>
                <w:tab w:val="left" w:pos="3306"/>
              </w:tabs>
              <w:rPr>
                <w:rFonts w:cs="Calibri"/>
                <w:b/>
                <w:bCs/>
              </w:rPr>
            </w:pPr>
            <w:r w:rsidRPr="00A2241D">
              <w:rPr>
                <w:rFonts w:cs="Calibri"/>
                <w:b/>
                <w:bCs/>
              </w:rPr>
              <w:t>Total Territorial Appropriation</w:t>
            </w:r>
          </w:p>
        </w:tc>
        <w:tc>
          <w:tcPr>
            <w:tcW w:w="1390" w:type="dxa"/>
            <w:gridSpan w:val="2"/>
            <w:tcBorders>
              <w:top w:val="single" w:sz="2" w:space="0" w:color="auto"/>
              <w:bottom w:val="double" w:sz="4" w:space="0" w:color="auto"/>
            </w:tcBorders>
            <w:tcMar>
              <w:left w:w="108" w:type="dxa"/>
              <w:right w:w="108" w:type="dxa"/>
            </w:tcMar>
            <w:vAlign w:val="bottom"/>
          </w:tcPr>
          <w:p w14:paraId="1685B932" w14:textId="60506BD0" w:rsidR="00B02277" w:rsidRPr="00A2241D" w:rsidRDefault="00B02277" w:rsidP="00B02277">
            <w:pPr>
              <w:pStyle w:val="TableText"/>
              <w:tabs>
                <w:tab w:val="left" w:pos="3306"/>
              </w:tabs>
              <w:jc w:val="right"/>
              <w:rPr>
                <w:rFonts w:cs="Calibri"/>
                <w:b/>
                <w:bCs/>
              </w:rPr>
            </w:pPr>
          </w:p>
        </w:tc>
        <w:tc>
          <w:tcPr>
            <w:tcW w:w="1507" w:type="dxa"/>
            <w:gridSpan w:val="2"/>
            <w:tcBorders>
              <w:top w:val="single" w:sz="2" w:space="0" w:color="auto"/>
              <w:bottom w:val="double" w:sz="4" w:space="0" w:color="auto"/>
            </w:tcBorders>
            <w:tcMar>
              <w:left w:w="108" w:type="dxa"/>
              <w:right w:w="108" w:type="dxa"/>
            </w:tcMar>
            <w:vAlign w:val="bottom"/>
          </w:tcPr>
          <w:p w14:paraId="231E7733" w14:textId="725C770F" w:rsidR="00B02277" w:rsidRPr="00A2241D" w:rsidRDefault="00B02277" w:rsidP="00B02277">
            <w:pPr>
              <w:pStyle w:val="TableText"/>
              <w:tabs>
                <w:tab w:val="left" w:pos="3306"/>
              </w:tabs>
              <w:jc w:val="right"/>
              <w:rPr>
                <w:rFonts w:cs="Calibri"/>
                <w:b/>
                <w:bCs/>
              </w:rPr>
            </w:pPr>
          </w:p>
        </w:tc>
        <w:tc>
          <w:tcPr>
            <w:tcW w:w="1270" w:type="dxa"/>
            <w:tcBorders>
              <w:top w:val="single" w:sz="2" w:space="0" w:color="auto"/>
              <w:bottom w:val="double" w:sz="4" w:space="0" w:color="auto"/>
            </w:tcBorders>
            <w:tcMar>
              <w:left w:w="108" w:type="dxa"/>
              <w:right w:w="108" w:type="dxa"/>
            </w:tcMar>
            <w:vAlign w:val="bottom"/>
          </w:tcPr>
          <w:p w14:paraId="62CFB6AB" w14:textId="3A6FE978" w:rsidR="00B02277" w:rsidRPr="00A2241D" w:rsidRDefault="00B02277" w:rsidP="00B02277">
            <w:pPr>
              <w:pStyle w:val="TableText"/>
              <w:tabs>
                <w:tab w:val="left" w:pos="3306"/>
              </w:tabs>
              <w:jc w:val="right"/>
              <w:rPr>
                <w:rFonts w:cs="Calibri"/>
                <w:b/>
                <w:bCs/>
              </w:rPr>
            </w:pPr>
          </w:p>
        </w:tc>
        <w:tc>
          <w:tcPr>
            <w:tcW w:w="1444" w:type="dxa"/>
            <w:gridSpan w:val="2"/>
            <w:tcBorders>
              <w:top w:val="single" w:sz="2" w:space="0" w:color="auto"/>
              <w:bottom w:val="double" w:sz="4" w:space="0" w:color="auto"/>
            </w:tcBorders>
            <w:tcMar>
              <w:left w:w="108" w:type="dxa"/>
              <w:right w:w="108" w:type="dxa"/>
            </w:tcMar>
            <w:vAlign w:val="bottom"/>
          </w:tcPr>
          <w:p w14:paraId="559FA17A" w14:textId="48492DD4" w:rsidR="00B02277" w:rsidRPr="00A2241D" w:rsidRDefault="00B02277" w:rsidP="00B02277">
            <w:pPr>
              <w:pStyle w:val="TableText"/>
              <w:tabs>
                <w:tab w:val="left" w:pos="3306"/>
              </w:tabs>
              <w:jc w:val="right"/>
              <w:rPr>
                <w:rFonts w:cs="Calibri"/>
                <w:b/>
                <w:bCs/>
              </w:rPr>
            </w:pPr>
          </w:p>
        </w:tc>
      </w:tr>
      <w:tr w:rsidR="00B02277" w:rsidRPr="00CF7E1B" w14:paraId="114E3066" w14:textId="77777777" w:rsidTr="00D919F2">
        <w:trPr>
          <w:gridAfter w:val="1"/>
          <w:wAfter w:w="112" w:type="dxa"/>
          <w:trHeight w:val="23"/>
        </w:trPr>
        <w:tc>
          <w:tcPr>
            <w:tcW w:w="1558" w:type="dxa"/>
            <w:tcBorders>
              <w:left w:val="single" w:sz="2" w:space="0" w:color="auto"/>
              <w:right w:val="single" w:sz="2" w:space="0" w:color="auto"/>
            </w:tcBorders>
            <w:tcMar>
              <w:left w:w="108" w:type="dxa"/>
              <w:right w:w="108" w:type="dxa"/>
            </w:tcMar>
          </w:tcPr>
          <w:p w14:paraId="46CC0323" w14:textId="77777777" w:rsidR="00B02277" w:rsidRPr="00A2241D" w:rsidRDefault="00B02277" w:rsidP="00B02277">
            <w:pPr>
              <w:pStyle w:val="TableReference"/>
              <w:tabs>
                <w:tab w:val="left" w:pos="3306"/>
              </w:tabs>
              <w:spacing w:before="40"/>
              <w:rPr>
                <w:rFonts w:cs="Calibri"/>
                <w:color w:val="7030A0"/>
                <w:sz w:val="14"/>
              </w:rPr>
            </w:pPr>
          </w:p>
        </w:tc>
        <w:tc>
          <w:tcPr>
            <w:tcW w:w="8817" w:type="dxa"/>
            <w:gridSpan w:val="8"/>
            <w:tcBorders>
              <w:left w:val="single" w:sz="2" w:space="0" w:color="auto"/>
            </w:tcBorders>
            <w:tcMar>
              <w:left w:w="108" w:type="dxa"/>
              <w:right w:w="108" w:type="dxa"/>
            </w:tcMar>
            <w:vAlign w:val="bottom"/>
          </w:tcPr>
          <w:p w14:paraId="1BA12D29" w14:textId="7AAD1095" w:rsidR="00B02277" w:rsidRPr="00A2241D" w:rsidRDefault="00FC1C4A" w:rsidP="00FC1C4A">
            <w:pPr>
              <w:pStyle w:val="TableText"/>
              <w:tabs>
                <w:tab w:val="left" w:pos="3306"/>
              </w:tabs>
              <w:spacing w:before="120"/>
              <w:rPr>
                <w:rFonts w:cs="Calibri"/>
                <w:b/>
                <w:bCs/>
              </w:rPr>
            </w:pPr>
            <w:r w:rsidRPr="00A2241D">
              <w:t xml:space="preserve">The above Territorial Statement of Appropriation </w:t>
            </w:r>
            <w:r w:rsidR="00420AE1" w:rsidRPr="00A2241D">
              <w:t xml:space="preserve">is to </w:t>
            </w:r>
            <w:r w:rsidR="00B02277" w:rsidRPr="00A2241D">
              <w:rPr>
                <w:rFonts w:cs="Calibri"/>
              </w:rPr>
              <w:t>be read in conjunction with the accompanying notes.</w:t>
            </w:r>
          </w:p>
        </w:tc>
      </w:tr>
      <w:tr w:rsidR="00B02277" w:rsidRPr="00B235BD" w14:paraId="7571D0AD"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80"/>
        </w:trPr>
        <w:tc>
          <w:tcPr>
            <w:tcW w:w="1558" w:type="dxa"/>
            <w:tcBorders>
              <w:top w:val="nil"/>
              <w:left w:val="single" w:sz="2" w:space="0" w:color="auto"/>
              <w:bottom w:val="nil"/>
              <w:right w:val="single" w:sz="2" w:space="0" w:color="auto"/>
            </w:tcBorders>
          </w:tcPr>
          <w:p w14:paraId="6CB53861" w14:textId="77777777" w:rsidR="00B02277" w:rsidRPr="00B235BD" w:rsidRDefault="00B02277" w:rsidP="00B235BD">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tcPr>
          <w:p w14:paraId="7F40D67F" w14:textId="77777777" w:rsidR="00B02277" w:rsidRPr="00B235BD" w:rsidRDefault="00B02277" w:rsidP="00B235BD">
            <w:pPr>
              <w:pStyle w:val="TableText"/>
              <w:tabs>
                <w:tab w:val="left" w:pos="3306"/>
              </w:tabs>
              <w:spacing w:before="0"/>
              <w:rPr>
                <w:rFonts w:cs="Calibri"/>
                <w:sz w:val="14"/>
                <w:szCs w:val="14"/>
              </w:rPr>
            </w:pPr>
          </w:p>
        </w:tc>
      </w:tr>
      <w:tr w:rsidR="00B02277" w:rsidRPr="00CF7E1B" w14:paraId="7EE04883"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243CE676"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4F62082B" w14:textId="77777777" w:rsidR="00B02277" w:rsidRPr="00A2241D" w:rsidRDefault="00B02277" w:rsidP="00B02277">
            <w:pPr>
              <w:pStyle w:val="TableText"/>
              <w:tabs>
                <w:tab w:val="left" w:pos="3306"/>
              </w:tabs>
              <w:rPr>
                <w:rFonts w:cs="Calibri"/>
              </w:rPr>
            </w:pPr>
            <w:bookmarkStart w:id="914" w:name="_Toc48468815"/>
            <w:bookmarkStart w:id="915" w:name="_Toc49155883"/>
            <w:r w:rsidRPr="00A2241D">
              <w:rPr>
                <w:rFonts w:cs="Calibri"/>
                <w:b/>
                <w:bCs/>
              </w:rPr>
              <w:t>Column Heading Explanations</w:t>
            </w:r>
            <w:bookmarkEnd w:id="914"/>
            <w:bookmarkEnd w:id="915"/>
          </w:p>
        </w:tc>
      </w:tr>
      <w:tr w:rsidR="00B02277" w:rsidRPr="00CF7E1B" w14:paraId="09CB55D5"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7D4AC332"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382F4DE0" w14:textId="154E84BD"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Original Budget</w:t>
            </w:r>
            <w:r w:rsidRPr="00A2241D">
              <w:rPr>
                <w:rFonts w:cs="Calibri"/>
              </w:rPr>
              <w:t xml:space="preserve"> column shows the amounts that appear in the Statement of Cash Flows in the Budget Papers.</w:t>
            </w:r>
            <w:r w:rsidR="000773AB" w:rsidRPr="00A2241D">
              <w:rPr>
                <w:rFonts w:cs="Calibri"/>
              </w:rPr>
              <w:t xml:space="preserve"> </w:t>
            </w:r>
            <w:r w:rsidR="000773AB" w:rsidRPr="00A2241D">
              <w:t xml:space="preserve">This amount also appears in the </w:t>
            </w:r>
            <w:r w:rsidR="000773AB" w:rsidRPr="00A2241D">
              <w:rPr>
                <w:rFonts w:cs="Calibri"/>
              </w:rPr>
              <w:t>Statement of Cash Flows.</w:t>
            </w:r>
          </w:p>
        </w:tc>
      </w:tr>
      <w:tr w:rsidR="00B02277" w:rsidRPr="00CF7E1B" w14:paraId="218A01BF"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58A87C7B"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52BC6C0D" w14:textId="57ED314E"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Total Appropriated</w:t>
            </w:r>
            <w:r w:rsidRPr="00A2241D">
              <w:rPr>
                <w:rFonts w:cs="Calibri"/>
              </w:rPr>
              <w:t xml:space="preserve"> column is inclusive of all appropriation variations occurring after the Original Budget.</w:t>
            </w:r>
            <w:r w:rsidR="00FA7C77">
              <w:rPr>
                <w:rFonts w:cs="Calibri"/>
              </w:rPr>
              <w:t xml:space="preserve"> </w:t>
            </w:r>
          </w:p>
        </w:tc>
      </w:tr>
      <w:tr w:rsidR="00B02277" w:rsidRPr="00CF7E1B" w14:paraId="771F63F5"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4671B9C1" w14:textId="77777777" w:rsidR="00B02277" w:rsidRPr="00A2241D" w:rsidRDefault="00B02277"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13EFF1E4" w14:textId="4E99F73B" w:rsidR="00B02277" w:rsidRPr="00A2241D" w:rsidRDefault="00B02277" w:rsidP="00B02277">
            <w:pPr>
              <w:pStyle w:val="TableText"/>
              <w:tabs>
                <w:tab w:val="left" w:pos="3306"/>
              </w:tabs>
              <w:spacing w:before="0" w:after="120"/>
              <w:jc w:val="both"/>
              <w:rPr>
                <w:rFonts w:cs="Calibri"/>
              </w:rPr>
            </w:pPr>
            <w:r w:rsidRPr="00A2241D">
              <w:rPr>
                <w:rFonts w:cs="Calibri"/>
              </w:rPr>
              <w:t xml:space="preserve">The </w:t>
            </w:r>
            <w:r w:rsidRPr="00A2241D">
              <w:rPr>
                <w:rFonts w:cs="Calibri"/>
                <w:i/>
                <w:iCs/>
              </w:rPr>
              <w:t>Appropriation Drawn</w:t>
            </w:r>
            <w:r w:rsidRPr="00A2241D">
              <w:rPr>
                <w:rFonts w:cs="Calibri"/>
              </w:rPr>
              <w:t xml:space="preserve"> is the total amount </w:t>
            </w:r>
            <w:r w:rsidR="000773AB" w:rsidRPr="00A2241D">
              <w:rPr>
                <w:rFonts w:cs="Calibri"/>
              </w:rPr>
              <w:t xml:space="preserve">of appropriation </w:t>
            </w:r>
            <w:r w:rsidRPr="00A2241D">
              <w:rPr>
                <w:rFonts w:cs="Calibri"/>
              </w:rPr>
              <w:t>received by the Agency during the year.</w:t>
            </w:r>
            <w:r w:rsidR="00FA7C77">
              <w:rPr>
                <w:rFonts w:cs="Calibri"/>
              </w:rPr>
              <w:t xml:space="preserve"> </w:t>
            </w:r>
            <w:r w:rsidRPr="00A2241D">
              <w:rPr>
                <w:rFonts w:cs="Calibri"/>
              </w:rPr>
              <w:t xml:space="preserve">These amounts appear in the Statement of Cash Flows on Behalf of the Territory. </w:t>
            </w:r>
          </w:p>
        </w:tc>
      </w:tr>
      <w:tr w:rsidR="00A84CC0" w:rsidRPr="00CF7E1B" w14:paraId="13C308FF"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79"/>
        </w:trPr>
        <w:tc>
          <w:tcPr>
            <w:tcW w:w="1558" w:type="dxa"/>
            <w:tcBorders>
              <w:top w:val="nil"/>
              <w:left w:val="single" w:sz="2" w:space="0" w:color="auto"/>
              <w:bottom w:val="nil"/>
              <w:right w:val="single" w:sz="2" w:space="0" w:color="auto"/>
            </w:tcBorders>
          </w:tcPr>
          <w:p w14:paraId="79CC2601" w14:textId="77777777" w:rsidR="00A84CC0" w:rsidRPr="00A2241D" w:rsidRDefault="00A84CC0" w:rsidP="00B02277">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vAlign w:val="bottom"/>
          </w:tcPr>
          <w:p w14:paraId="27DAE655" w14:textId="77777777" w:rsidR="00A84CC0" w:rsidRPr="00A2241D" w:rsidRDefault="00A84CC0" w:rsidP="00B02277">
            <w:pPr>
              <w:pStyle w:val="TableText"/>
              <w:tabs>
                <w:tab w:val="left" w:pos="3306"/>
              </w:tabs>
              <w:spacing w:before="0" w:after="120"/>
              <w:jc w:val="both"/>
              <w:rPr>
                <w:rFonts w:cs="Calibri"/>
              </w:rPr>
            </w:pPr>
          </w:p>
        </w:tc>
      </w:tr>
      <w:tr w:rsidR="00863311" w:rsidRPr="00CF7E1B" w14:paraId="0BB29042"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0A4AADAF" w14:textId="77777777" w:rsidR="00863311" w:rsidRPr="00A2241D" w:rsidRDefault="00863311" w:rsidP="00863311">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6DF5D9D4" w14:textId="77777777" w:rsidR="00863311" w:rsidRPr="00A2241D" w:rsidRDefault="00863311" w:rsidP="00A84CC0">
            <w:pPr>
              <w:pStyle w:val="CommentaryTitle"/>
              <w:spacing w:before="0" w:after="240"/>
              <w:rPr>
                <w:rFonts w:cs="Calibri"/>
                <w:color w:val="FFFFFF" w:themeColor="background1"/>
                <w:sz w:val="28"/>
                <w:szCs w:val="28"/>
              </w:rPr>
            </w:pPr>
            <w:r w:rsidRPr="00A2241D">
              <w:rPr>
                <w:rFonts w:cs="Calibri"/>
                <w:color w:val="FFFFFF" w:themeColor="background1"/>
                <w:sz w:val="28"/>
                <w:szCs w:val="28"/>
              </w:rPr>
              <w:t>Commentary – Territorial Statement of Appropriation</w:t>
            </w:r>
          </w:p>
        </w:tc>
      </w:tr>
      <w:tr w:rsidR="00B274F9" w:rsidRPr="00CF7E1B" w14:paraId="46196F1D"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6C0A9774" w14:textId="51271ADD" w:rsidR="00B274F9" w:rsidRPr="00A2241D" w:rsidRDefault="00B274F9" w:rsidP="00B274F9">
            <w:pPr>
              <w:pStyle w:val="TableReference"/>
              <w:tabs>
                <w:tab w:val="left" w:pos="3306"/>
              </w:tabs>
              <w:rPr>
                <w:rFonts w:cs="Calibri"/>
                <w:color w:val="7030A0"/>
                <w:sz w:val="14"/>
              </w:rPr>
            </w:pPr>
            <w:r w:rsidRPr="00A2241D">
              <w:rPr>
                <w:rFonts w:cs="Calibri"/>
                <w:color w:val="7030A0"/>
                <w:sz w:val="14"/>
              </w:rPr>
              <w:t>FMA Section 8</w:t>
            </w:r>
          </w:p>
        </w:tc>
        <w:tc>
          <w:tcPr>
            <w:tcW w:w="8817" w:type="dxa"/>
            <w:gridSpan w:val="8"/>
            <w:tcBorders>
              <w:top w:val="nil"/>
              <w:left w:val="single" w:sz="2" w:space="0" w:color="auto"/>
              <w:bottom w:val="nil"/>
              <w:right w:val="nil"/>
            </w:tcBorders>
            <w:shd w:val="clear" w:color="auto" w:fill="7030A0"/>
            <w:vAlign w:val="bottom"/>
          </w:tcPr>
          <w:p w14:paraId="6D613ACB" w14:textId="191587DB" w:rsidR="00B274F9" w:rsidRPr="00A2241D" w:rsidRDefault="00B274F9" w:rsidP="00A2241D">
            <w:pPr>
              <w:spacing w:after="40"/>
              <w:jc w:val="both"/>
              <w:rPr>
                <w:rFonts w:cs="Calibri"/>
                <w:color w:val="FFFFFF" w:themeColor="background1"/>
                <w:sz w:val="18"/>
                <w:szCs w:val="18"/>
              </w:rPr>
            </w:pPr>
            <w:r w:rsidRPr="00A2241D">
              <w:rPr>
                <w:rFonts w:cs="Calibri"/>
                <w:color w:val="FFFFFF" w:themeColor="background1"/>
                <w:sz w:val="18"/>
                <w:szCs w:val="18"/>
              </w:rPr>
              <w:t>An Appropriation Act must make separate appropriations in relation to each Directorate for</w:t>
            </w:r>
            <w:r w:rsidR="00F11728" w:rsidRPr="00A2241D">
              <w:rPr>
                <w:rFonts w:cs="Calibri"/>
                <w:color w:val="FFFFFF" w:themeColor="background1"/>
                <w:sz w:val="18"/>
                <w:szCs w:val="18"/>
              </w:rPr>
              <w:t xml:space="preserve"> </w:t>
            </w:r>
            <w:r w:rsidRPr="00A2241D">
              <w:rPr>
                <w:rFonts w:cs="Calibri"/>
                <w:color w:val="FFFFFF" w:themeColor="background1"/>
                <w:sz w:val="18"/>
                <w:szCs w:val="18"/>
              </w:rPr>
              <w:t xml:space="preserve">any payments to be made by the Directorate on Behalf of the Territory (i.e. </w:t>
            </w:r>
            <w:r w:rsidR="007E638B" w:rsidRPr="00A2241D">
              <w:rPr>
                <w:rFonts w:cs="Calibri"/>
                <w:color w:val="FFFFFF" w:themeColor="background1"/>
                <w:sz w:val="18"/>
                <w:szCs w:val="18"/>
              </w:rPr>
              <w:t xml:space="preserve">for </w:t>
            </w:r>
            <w:r w:rsidRPr="00A2241D">
              <w:rPr>
                <w:rFonts w:cs="Calibri"/>
                <w:color w:val="FFFFFF" w:themeColor="background1"/>
                <w:sz w:val="18"/>
                <w:szCs w:val="18"/>
              </w:rPr>
              <w:t>territorial expenses)</w:t>
            </w:r>
          </w:p>
        </w:tc>
      </w:tr>
      <w:tr w:rsidR="00B274F9" w:rsidRPr="00CF7E1B" w14:paraId="5C5416F7"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41D57263" w14:textId="77777777" w:rsidR="00B274F9" w:rsidRPr="00A2241D" w:rsidRDefault="00B274F9" w:rsidP="00B274F9">
            <w:pPr>
              <w:pStyle w:val="TableReference"/>
              <w:tabs>
                <w:tab w:val="left" w:pos="3306"/>
              </w:tabs>
              <w:rPr>
                <w:rFonts w:cs="Calibri"/>
                <w:color w:val="7030A0"/>
                <w:sz w:val="14"/>
              </w:rPr>
            </w:pPr>
          </w:p>
          <w:p w14:paraId="6253F842" w14:textId="77777777" w:rsidR="00B274F9" w:rsidRPr="00A2241D" w:rsidRDefault="00B274F9" w:rsidP="00B274F9">
            <w:pPr>
              <w:pStyle w:val="TableReference1"/>
              <w:rPr>
                <w:rFonts w:cs="Calibri"/>
                <w:color w:val="7030A0"/>
                <w:sz w:val="14"/>
              </w:rPr>
            </w:pPr>
          </w:p>
        </w:tc>
        <w:tc>
          <w:tcPr>
            <w:tcW w:w="8817" w:type="dxa"/>
            <w:gridSpan w:val="8"/>
            <w:tcBorders>
              <w:top w:val="nil"/>
              <w:left w:val="single" w:sz="2" w:space="0" w:color="auto"/>
              <w:bottom w:val="nil"/>
              <w:right w:val="nil"/>
            </w:tcBorders>
            <w:shd w:val="clear" w:color="auto" w:fill="7030A0"/>
          </w:tcPr>
          <w:p w14:paraId="29A93B49" w14:textId="209DB717"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Where an agency has a material difference between ‘Total Appropriated’ and ‘Appropriation Drawn’ it should explain why there is a variance. Further, it is recommended that agencies provide explanatory details of significant approved appropriation variations (i.e. variance between the ‘Original Budget’ and ‘Total Appropriated’). A tabular presentation of the variance explanation similar to that shown in the Statement of Appropriation (Controlled Statements) should be used if it would assist understanding the reasons for the variance.</w:t>
            </w:r>
          </w:p>
        </w:tc>
      </w:tr>
      <w:tr w:rsidR="00B274F9" w:rsidRPr="00CF7E1B" w14:paraId="1E2B4679"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10C8796D" w14:textId="77777777" w:rsidR="00B274F9" w:rsidRPr="00A2241D" w:rsidRDefault="00B274F9" w:rsidP="00B274F9">
            <w:pPr>
              <w:pStyle w:val="TableReference1"/>
              <w:rPr>
                <w:rFonts w:cs="Calibri"/>
                <w:color w:val="7030A0"/>
                <w:sz w:val="14"/>
              </w:rPr>
            </w:pPr>
            <w:r w:rsidRPr="00A2241D">
              <w:rPr>
                <w:rFonts w:cs="Calibri"/>
                <w:color w:val="7030A0"/>
                <w:sz w:val="14"/>
              </w:rPr>
              <w:t>FMA Section 37A</w:t>
            </w:r>
          </w:p>
          <w:p w14:paraId="0813AEE3" w14:textId="77777777" w:rsidR="00B274F9" w:rsidRPr="00A2241D" w:rsidRDefault="00B274F9" w:rsidP="00B274F9">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7629017E" w14:textId="583AB259"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If a directorate receives an amount of territorial appropriation (Payment for Expenses on Behalf of the Territory or a Capital Injection) that is excess to its requirements, it may repay the excess amount, or part of the excess amount, to the Territory Banking Account.</w:t>
            </w:r>
            <w:r w:rsidR="00FA7C77">
              <w:rPr>
                <w:rFonts w:cs="Calibri"/>
                <w:color w:val="FFFFFF" w:themeColor="background1"/>
                <w:sz w:val="18"/>
                <w:szCs w:val="18"/>
              </w:rPr>
              <w:t xml:space="preserve"> </w:t>
            </w:r>
            <w:r w:rsidRPr="00A2241D">
              <w:rPr>
                <w:rFonts w:cs="Calibri"/>
                <w:color w:val="FFFFFF" w:themeColor="background1"/>
                <w:sz w:val="18"/>
                <w:szCs w:val="18"/>
              </w:rPr>
              <w:t>The appropriation from which the excess was paid to the directorate is restored by the amount it repaid to the Territory Banking Account.</w:t>
            </w:r>
            <w:r w:rsidR="00FA7C77">
              <w:rPr>
                <w:rFonts w:cs="Calibri"/>
                <w:color w:val="FFFFFF" w:themeColor="background1"/>
                <w:sz w:val="18"/>
                <w:szCs w:val="18"/>
              </w:rPr>
              <w:t xml:space="preserve"> </w:t>
            </w:r>
            <w:r w:rsidRPr="00A2241D">
              <w:rPr>
                <w:rFonts w:cs="Calibri"/>
                <w:color w:val="FFFFFF" w:themeColor="background1"/>
                <w:sz w:val="18"/>
                <w:szCs w:val="18"/>
              </w:rPr>
              <w:t>The balance of the appropriation, including the amount repaid, may be applied for the purposes for which it was appropriated.</w:t>
            </w:r>
          </w:p>
        </w:tc>
      </w:tr>
      <w:tr w:rsidR="00B274F9" w:rsidRPr="00CF7E1B" w14:paraId="260DA1B1" w14:textId="77777777" w:rsidTr="00D919F2">
        <w:tblPrEx>
          <w:tblBorders>
            <w:top w:val="single" w:sz="2" w:space="0" w:color="003366"/>
            <w:left w:val="single" w:sz="2" w:space="0" w:color="003366"/>
            <w:bottom w:val="single" w:sz="2" w:space="0" w:color="003366"/>
            <w:right w:val="single" w:sz="2" w:space="0" w:color="003366"/>
          </w:tblBorders>
          <w:tblCellMar>
            <w:left w:w="108" w:type="dxa"/>
            <w:right w:w="108" w:type="dxa"/>
          </w:tblCellMar>
        </w:tblPrEx>
        <w:trPr>
          <w:gridAfter w:val="1"/>
          <w:wAfter w:w="112" w:type="dxa"/>
          <w:trHeight w:val="288"/>
        </w:trPr>
        <w:tc>
          <w:tcPr>
            <w:tcW w:w="1558" w:type="dxa"/>
            <w:tcBorders>
              <w:top w:val="nil"/>
              <w:left w:val="single" w:sz="2" w:space="0" w:color="auto"/>
              <w:bottom w:val="nil"/>
              <w:right w:val="single" w:sz="2" w:space="0" w:color="auto"/>
            </w:tcBorders>
          </w:tcPr>
          <w:p w14:paraId="67D2204F" w14:textId="77777777" w:rsidR="00B274F9" w:rsidRPr="00A2241D" w:rsidRDefault="00B274F9" w:rsidP="00B274F9">
            <w:pPr>
              <w:pStyle w:val="TableReference"/>
              <w:tabs>
                <w:tab w:val="left" w:pos="3306"/>
              </w:tabs>
              <w:rPr>
                <w:rFonts w:cs="Calibri"/>
                <w:color w:val="7030A0"/>
                <w:sz w:val="14"/>
              </w:rPr>
            </w:pPr>
          </w:p>
        </w:tc>
        <w:tc>
          <w:tcPr>
            <w:tcW w:w="8817" w:type="dxa"/>
            <w:gridSpan w:val="8"/>
            <w:tcBorders>
              <w:top w:val="nil"/>
              <w:left w:val="single" w:sz="2" w:space="0" w:color="auto"/>
              <w:bottom w:val="nil"/>
              <w:right w:val="nil"/>
            </w:tcBorders>
            <w:shd w:val="clear" w:color="auto" w:fill="7030A0"/>
            <w:vAlign w:val="bottom"/>
          </w:tcPr>
          <w:p w14:paraId="032E660D" w14:textId="43F99055" w:rsidR="00B274F9" w:rsidRPr="00A2241D" w:rsidRDefault="00B274F9" w:rsidP="00B274F9">
            <w:pPr>
              <w:pStyle w:val="CommentaryText"/>
              <w:rPr>
                <w:rFonts w:cs="Calibri"/>
                <w:color w:val="FFFFFF" w:themeColor="background1"/>
                <w:sz w:val="18"/>
                <w:szCs w:val="18"/>
              </w:rPr>
            </w:pPr>
            <w:r w:rsidRPr="00A2241D">
              <w:rPr>
                <w:rFonts w:cs="Calibri"/>
                <w:color w:val="FFFFFF" w:themeColor="background1"/>
                <w:sz w:val="18"/>
                <w:szCs w:val="18"/>
              </w:rPr>
              <w:t>Agencies should disclose appropriation amounts returned (if any) in a footnote to the ‘Appropriation Drawn’ in the Territorial Statement of Appropriation.</w:t>
            </w:r>
            <w:r w:rsidR="00FA7C77">
              <w:rPr>
                <w:rFonts w:cs="Calibri"/>
                <w:color w:val="FFFFFF" w:themeColor="background1"/>
                <w:szCs w:val="20"/>
              </w:rPr>
              <w:t xml:space="preserve"> </w:t>
            </w:r>
          </w:p>
        </w:tc>
      </w:tr>
      <w:tr w:rsidR="00170787" w:rsidRPr="00CF7E1B" w14:paraId="65B8131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056C856E" w14:textId="1EFAB518" w:rsidR="00170787" w:rsidRPr="00D56952" w:rsidRDefault="00170787" w:rsidP="009A0F2F">
            <w:pPr>
              <w:pStyle w:val="TableReference"/>
              <w:tabs>
                <w:tab w:val="left" w:pos="3306"/>
              </w:tabs>
              <w:spacing w:before="240" w:after="240"/>
              <w:rPr>
                <w:rFonts w:cs="Calibri"/>
                <w:b/>
                <w:color w:val="auto"/>
                <w:sz w:val="22"/>
                <w:szCs w:val="22"/>
              </w:rPr>
            </w:pPr>
          </w:p>
        </w:tc>
        <w:tc>
          <w:tcPr>
            <w:tcW w:w="8929" w:type="dxa"/>
            <w:gridSpan w:val="9"/>
            <w:tcBorders>
              <w:top w:val="nil"/>
              <w:left w:val="single" w:sz="2" w:space="0" w:color="auto"/>
              <w:bottom w:val="nil"/>
              <w:right w:val="nil"/>
            </w:tcBorders>
            <w:vAlign w:val="bottom"/>
          </w:tcPr>
          <w:p w14:paraId="2F4784A2" w14:textId="4DFCD263" w:rsidR="00170787" w:rsidRPr="00D56952" w:rsidRDefault="00170787" w:rsidP="009A0F2F">
            <w:pPr>
              <w:pStyle w:val="Heading1"/>
              <w:numPr>
                <w:ilvl w:val="0"/>
                <w:numId w:val="0"/>
              </w:numPr>
            </w:pPr>
            <w:bookmarkStart w:id="916" w:name="_Toc98763194"/>
            <w:r w:rsidRPr="00D56952">
              <w:t xml:space="preserve">Note </w:t>
            </w:r>
            <w:r w:rsidR="00E86853" w:rsidRPr="00D56952">
              <w:t>41</w:t>
            </w:r>
            <w:r w:rsidRPr="00D56952">
              <w:t>.</w:t>
            </w:r>
            <w:r w:rsidR="00FA7C77">
              <w:t xml:space="preserve"> </w:t>
            </w:r>
            <w:r w:rsidRPr="00D56952">
              <w:t xml:space="preserve"> </w:t>
            </w:r>
            <w:r w:rsidR="008C1E5E" w:rsidRPr="00D56952">
              <w:t xml:space="preserve">Basis of Preparation of the Financial Statements </w:t>
            </w:r>
            <w:r w:rsidRPr="00D56952">
              <w:t>– Territorial</w:t>
            </w:r>
            <w:bookmarkEnd w:id="916"/>
          </w:p>
        </w:tc>
      </w:tr>
      <w:tr w:rsidR="00170787" w:rsidRPr="00CF7E1B" w14:paraId="379056C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
        </w:trPr>
        <w:tc>
          <w:tcPr>
            <w:tcW w:w="1558" w:type="dxa"/>
            <w:tcBorders>
              <w:top w:val="nil"/>
              <w:left w:val="single" w:sz="2" w:space="0" w:color="auto"/>
              <w:bottom w:val="nil"/>
              <w:right w:val="single" w:sz="2" w:space="0" w:color="auto"/>
            </w:tcBorders>
          </w:tcPr>
          <w:p w14:paraId="61C23EB0" w14:textId="77777777" w:rsidR="00170787" w:rsidRPr="00D56952" w:rsidRDefault="00170787" w:rsidP="009A0F2F">
            <w:pPr>
              <w:pStyle w:val="TableReference"/>
              <w:tabs>
                <w:tab w:val="left" w:pos="3306"/>
              </w:tabs>
              <w:spacing w:before="40"/>
              <w:rPr>
                <w:rFonts w:cs="Calibri"/>
                <w:color w:val="auto"/>
                <w:sz w:val="16"/>
                <w:szCs w:val="16"/>
              </w:rPr>
            </w:pPr>
          </w:p>
        </w:tc>
        <w:tc>
          <w:tcPr>
            <w:tcW w:w="8929" w:type="dxa"/>
            <w:gridSpan w:val="9"/>
            <w:tcBorders>
              <w:top w:val="nil"/>
              <w:left w:val="single" w:sz="2" w:space="0" w:color="auto"/>
              <w:bottom w:val="nil"/>
              <w:right w:val="nil"/>
            </w:tcBorders>
            <w:vAlign w:val="bottom"/>
          </w:tcPr>
          <w:p w14:paraId="73EBC924" w14:textId="1DD664D3" w:rsidR="00170787" w:rsidRPr="00D56952" w:rsidRDefault="008C1E5E" w:rsidP="009A0F2F">
            <w:pPr>
              <w:pStyle w:val="CommentaryText"/>
              <w:tabs>
                <w:tab w:val="left" w:pos="3306"/>
              </w:tabs>
              <w:rPr>
                <w:rFonts w:cs="Calibri"/>
                <w:sz w:val="18"/>
                <w:szCs w:val="18"/>
              </w:rPr>
            </w:pPr>
            <w:r w:rsidRPr="00D56952">
              <w:rPr>
                <w:rFonts w:cs="Calibri"/>
                <w:sz w:val="18"/>
                <w:szCs w:val="18"/>
              </w:rPr>
              <w:t xml:space="preserve">The basis of preparation of ‘Burley Griffin’s Agency’ are contained in Note 2 </w:t>
            </w:r>
            <w:r w:rsidRPr="00D56952">
              <w:rPr>
                <w:i/>
                <w:iCs/>
                <w:sz w:val="18"/>
                <w:szCs w:val="18"/>
              </w:rPr>
              <w:t xml:space="preserve">Basis of Preparation of the Financial Statements </w:t>
            </w:r>
            <w:r w:rsidRPr="00D56952">
              <w:rPr>
                <w:sz w:val="18"/>
                <w:szCs w:val="18"/>
              </w:rPr>
              <w:t>and</w:t>
            </w:r>
            <w:r w:rsidRPr="00D56952">
              <w:rPr>
                <w:rFonts w:cs="Calibri"/>
                <w:sz w:val="18"/>
                <w:szCs w:val="18"/>
              </w:rPr>
              <w:t xml:space="preserve"> apply to both the Controlled and Territorial financial statements.</w:t>
            </w:r>
          </w:p>
        </w:tc>
      </w:tr>
    </w:tbl>
    <w:p w14:paraId="7082FC6F" w14:textId="77777777" w:rsidR="00F22D61" w:rsidRDefault="00F22D61">
      <w:r>
        <w:br w:type="page"/>
      </w:r>
    </w:p>
    <w:tbl>
      <w:tblPr>
        <w:tblW w:w="497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6237"/>
        <w:gridCol w:w="1236"/>
        <w:gridCol w:w="1456"/>
      </w:tblGrid>
      <w:tr w:rsidR="00863311" w:rsidRPr="00CF7E1B" w14:paraId="6162666E" w14:textId="77777777" w:rsidTr="00D919F2">
        <w:trPr>
          <w:cantSplit/>
          <w:trHeight w:val="23"/>
        </w:trPr>
        <w:tc>
          <w:tcPr>
            <w:tcW w:w="1558" w:type="dxa"/>
            <w:tcBorders>
              <w:top w:val="nil"/>
              <w:left w:val="single" w:sz="2" w:space="0" w:color="auto"/>
              <w:bottom w:val="nil"/>
              <w:right w:val="single" w:sz="2" w:space="0" w:color="auto"/>
            </w:tcBorders>
          </w:tcPr>
          <w:p w14:paraId="42F7DB30" w14:textId="5EBC151E" w:rsidR="00863311" w:rsidRPr="00B235BD" w:rsidRDefault="00B235BD" w:rsidP="005D3C33">
            <w:pPr>
              <w:pStyle w:val="TableReference"/>
              <w:tabs>
                <w:tab w:val="left" w:pos="3306"/>
              </w:tabs>
              <w:spacing w:before="240" w:after="240"/>
              <w:rPr>
                <w:rFonts w:asciiTheme="minorHAnsi" w:hAnsiTheme="minorHAnsi" w:cstheme="minorHAnsi"/>
                <w:b/>
                <w:bCs/>
                <w:color w:val="7030A0"/>
                <w:sz w:val="22"/>
                <w:szCs w:val="22"/>
              </w:rPr>
            </w:pPr>
            <w:r w:rsidRPr="00B235BD">
              <w:rPr>
                <w:rFonts w:asciiTheme="minorHAnsi" w:hAnsiTheme="minorHAnsi" w:cstheme="minorHAnsi"/>
                <w:b/>
                <w:bCs/>
                <w:color w:val="7030A0"/>
                <w:sz w:val="22"/>
                <w:szCs w:val="22"/>
              </w:rPr>
              <w:t>Reference</w:t>
            </w:r>
          </w:p>
        </w:tc>
        <w:tc>
          <w:tcPr>
            <w:tcW w:w="8929" w:type="dxa"/>
            <w:gridSpan w:val="3"/>
            <w:tcBorders>
              <w:top w:val="nil"/>
              <w:left w:val="single" w:sz="2" w:space="0" w:color="auto"/>
              <w:bottom w:val="nil"/>
              <w:right w:val="nil"/>
            </w:tcBorders>
            <w:vAlign w:val="bottom"/>
          </w:tcPr>
          <w:p w14:paraId="39A09AE0" w14:textId="200FCD66" w:rsidR="00863311" w:rsidRPr="00B235BD" w:rsidRDefault="00307DD6" w:rsidP="008A5268">
            <w:pPr>
              <w:pStyle w:val="Heading1"/>
              <w:numPr>
                <w:ilvl w:val="0"/>
                <w:numId w:val="0"/>
              </w:numPr>
            </w:pPr>
            <w:bookmarkStart w:id="917" w:name="_Toc49224333"/>
            <w:bookmarkStart w:id="918" w:name="_Ref50365838"/>
            <w:bookmarkStart w:id="919" w:name="_Toc50440420"/>
            <w:bookmarkStart w:id="920" w:name="_Ref50524372"/>
            <w:bookmarkStart w:id="921" w:name="_Toc223433226"/>
            <w:bookmarkStart w:id="922" w:name="_Toc400627375"/>
            <w:bookmarkStart w:id="923" w:name="_Toc98763195"/>
            <w:r w:rsidRPr="00B235BD">
              <w:t xml:space="preserve">Note </w:t>
            </w:r>
            <w:r w:rsidR="00E86853" w:rsidRPr="00B235BD">
              <w:t>42</w:t>
            </w:r>
            <w:r w:rsidR="00863311" w:rsidRPr="00B235BD">
              <w:t>.</w:t>
            </w:r>
            <w:r w:rsidR="00FA7C77">
              <w:t xml:space="preserve"> </w:t>
            </w:r>
            <w:r w:rsidR="00570A07" w:rsidRPr="00B235BD">
              <w:t xml:space="preserve"> </w:t>
            </w:r>
            <w:bookmarkStart w:id="924" w:name="TStaxfeefine"/>
            <w:r w:rsidR="00863311" w:rsidRPr="00B235BD">
              <w:t xml:space="preserve">Taxes, </w:t>
            </w:r>
            <w:r w:rsidR="00BE195A" w:rsidRPr="00B235BD">
              <w:t>Licen</w:t>
            </w:r>
            <w:r w:rsidR="00710302" w:rsidRPr="00B235BD">
              <w:t>c</w:t>
            </w:r>
            <w:r w:rsidR="00BE195A" w:rsidRPr="00B235BD">
              <w:t>es</w:t>
            </w:r>
            <w:r w:rsidR="004012A2" w:rsidRPr="00B235BD">
              <w:t xml:space="preserve">, </w:t>
            </w:r>
            <w:r w:rsidR="00863311" w:rsidRPr="00B235BD">
              <w:t>Fees and Fines – Territorial</w:t>
            </w:r>
            <w:bookmarkEnd w:id="917"/>
            <w:bookmarkEnd w:id="918"/>
            <w:bookmarkEnd w:id="919"/>
            <w:bookmarkEnd w:id="920"/>
            <w:bookmarkEnd w:id="921"/>
            <w:bookmarkEnd w:id="922"/>
            <w:bookmarkEnd w:id="924"/>
            <w:bookmarkEnd w:id="923"/>
          </w:p>
        </w:tc>
      </w:tr>
      <w:tr w:rsidR="00DB02DF" w:rsidRPr="00CF7E1B" w14:paraId="4279AF28" w14:textId="77777777" w:rsidTr="00D919F2">
        <w:trPr>
          <w:cantSplit/>
          <w:trHeight w:val="23"/>
        </w:trPr>
        <w:tc>
          <w:tcPr>
            <w:tcW w:w="1558" w:type="dxa"/>
            <w:tcBorders>
              <w:top w:val="nil"/>
              <w:left w:val="single" w:sz="2" w:space="0" w:color="auto"/>
              <w:bottom w:val="nil"/>
              <w:right w:val="single" w:sz="2" w:space="0" w:color="auto"/>
            </w:tcBorders>
          </w:tcPr>
          <w:p w14:paraId="7EDA5B09"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19E35D29" w14:textId="07F64445" w:rsidR="00DB02DF" w:rsidRPr="00B235BD" w:rsidRDefault="00354061" w:rsidP="00D56952">
            <w:pPr>
              <w:pStyle w:val="Heading1"/>
              <w:numPr>
                <w:ilvl w:val="0"/>
                <w:numId w:val="0"/>
              </w:numPr>
              <w:spacing w:before="0" w:after="0"/>
            </w:pPr>
            <w:bookmarkStart w:id="925" w:name="_Toc98763196"/>
            <w:r w:rsidRPr="00B235BD">
              <w:rPr>
                <w:rFonts w:ascii="Calibri" w:hAnsi="Calibri" w:cs="Calibri"/>
                <w:iCs/>
                <w:caps w:val="0"/>
                <w:sz w:val="18"/>
                <w:szCs w:val="18"/>
              </w:rPr>
              <w:t xml:space="preserve">Description and </w:t>
            </w:r>
            <w:r w:rsidR="00DB02DF" w:rsidRPr="00B235BD">
              <w:rPr>
                <w:rFonts w:ascii="Calibri" w:hAnsi="Calibri" w:cs="Calibri"/>
                <w:iCs/>
                <w:caps w:val="0"/>
                <w:sz w:val="18"/>
                <w:szCs w:val="18"/>
              </w:rPr>
              <w:t>Material Accounting Policies Relating to Taxes, Licences, Fees and Fines</w:t>
            </w:r>
            <w:r w:rsidR="00384538" w:rsidRPr="00B235BD">
              <w:rPr>
                <w:rFonts w:ascii="Calibri" w:hAnsi="Calibri" w:cs="Calibri"/>
                <w:iCs/>
                <w:caps w:val="0"/>
                <w:sz w:val="18"/>
                <w:szCs w:val="18"/>
              </w:rPr>
              <w:t xml:space="preserve"> - Territorial</w:t>
            </w:r>
            <w:bookmarkEnd w:id="925"/>
          </w:p>
        </w:tc>
      </w:tr>
      <w:tr w:rsidR="00DB02DF" w:rsidRPr="00CF7E1B" w14:paraId="0981115B" w14:textId="77777777" w:rsidTr="00D919F2">
        <w:trPr>
          <w:cantSplit/>
          <w:trHeight w:val="23"/>
        </w:trPr>
        <w:tc>
          <w:tcPr>
            <w:tcW w:w="1558" w:type="dxa"/>
            <w:tcBorders>
              <w:top w:val="nil"/>
              <w:left w:val="single" w:sz="2" w:space="0" w:color="auto"/>
              <w:bottom w:val="nil"/>
              <w:right w:val="single" w:sz="2" w:space="0" w:color="auto"/>
            </w:tcBorders>
          </w:tcPr>
          <w:p w14:paraId="4338F0C0"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7A78DB46" w14:textId="6892397C" w:rsidR="00DB02DF" w:rsidRPr="00B235BD" w:rsidRDefault="00DB02DF" w:rsidP="00E178FE">
            <w:pPr>
              <w:pStyle w:val="TableTitle"/>
              <w:tabs>
                <w:tab w:val="left" w:pos="3306"/>
              </w:tabs>
              <w:spacing w:after="120"/>
              <w:jc w:val="both"/>
              <w:rPr>
                <w:b w:val="0"/>
                <w:bCs w:val="0"/>
              </w:rPr>
            </w:pPr>
            <w:r w:rsidRPr="00B235BD">
              <w:rPr>
                <w:b w:val="0"/>
                <w:bCs w:val="0"/>
              </w:rPr>
              <w:t>‘</w:t>
            </w:r>
            <w:r w:rsidR="00027610" w:rsidRPr="00B235BD">
              <w:rPr>
                <w:b w:val="0"/>
                <w:bCs w:val="0"/>
              </w:rPr>
              <w:t xml:space="preserve">Burley </w:t>
            </w:r>
            <w:r w:rsidR="00347866" w:rsidRPr="00B235BD">
              <w:rPr>
                <w:b w:val="0"/>
                <w:bCs w:val="0"/>
              </w:rPr>
              <w:t xml:space="preserve">Griffin </w:t>
            </w:r>
            <w:r w:rsidRPr="00B235BD">
              <w:rPr>
                <w:b w:val="0"/>
                <w:bCs w:val="0"/>
              </w:rPr>
              <w:t>Agency’ collects taxes, licences, fees and fines on behalf of the Territory.</w:t>
            </w:r>
          </w:p>
        </w:tc>
      </w:tr>
      <w:tr w:rsidR="00384538" w:rsidRPr="00CF7E1B" w14:paraId="07B04A0D" w14:textId="77777777" w:rsidTr="00D919F2">
        <w:trPr>
          <w:cantSplit/>
          <w:trHeight w:val="23"/>
        </w:trPr>
        <w:tc>
          <w:tcPr>
            <w:tcW w:w="1558" w:type="dxa"/>
            <w:tcBorders>
              <w:top w:val="nil"/>
              <w:left w:val="single" w:sz="2" w:space="0" w:color="auto"/>
              <w:bottom w:val="nil"/>
              <w:right w:val="single" w:sz="2" w:space="0" w:color="auto"/>
            </w:tcBorders>
          </w:tcPr>
          <w:p w14:paraId="5E9BE9DD"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1E679AF4" w14:textId="7EEBC433" w:rsidR="00384538" w:rsidRPr="00B235BD" w:rsidRDefault="00384538" w:rsidP="00384538">
            <w:pPr>
              <w:pStyle w:val="TableTitle"/>
              <w:tabs>
                <w:tab w:val="left" w:pos="3306"/>
              </w:tabs>
              <w:spacing w:after="40"/>
              <w:jc w:val="both"/>
              <w:rPr>
                <w:b w:val="0"/>
                <w:bCs w:val="0"/>
                <w:i/>
                <w:iCs/>
              </w:rPr>
            </w:pPr>
            <w:r w:rsidRPr="00B235BD">
              <w:rPr>
                <w:b w:val="0"/>
                <w:bCs w:val="0"/>
                <w:i/>
                <w:iCs/>
              </w:rPr>
              <w:t>Motor Vehicle Registration Duty</w:t>
            </w:r>
          </w:p>
        </w:tc>
      </w:tr>
      <w:tr w:rsidR="00DB02DF" w:rsidRPr="00CF7E1B" w14:paraId="29C536C6" w14:textId="77777777" w:rsidTr="00D919F2">
        <w:trPr>
          <w:cantSplit/>
          <w:trHeight w:val="23"/>
        </w:trPr>
        <w:tc>
          <w:tcPr>
            <w:tcW w:w="1558" w:type="dxa"/>
            <w:tcBorders>
              <w:top w:val="nil"/>
              <w:left w:val="single" w:sz="2" w:space="0" w:color="auto"/>
              <w:bottom w:val="nil"/>
              <w:right w:val="single" w:sz="2" w:space="0" w:color="auto"/>
            </w:tcBorders>
          </w:tcPr>
          <w:p w14:paraId="61A0C4FF"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6FB26478" w14:textId="267EF761" w:rsidR="00DB02DF" w:rsidRPr="00B235BD" w:rsidRDefault="00DB02DF" w:rsidP="00E178FE">
            <w:pPr>
              <w:spacing w:after="120"/>
              <w:jc w:val="both"/>
              <w:rPr>
                <w:sz w:val="18"/>
                <w:szCs w:val="18"/>
              </w:rPr>
            </w:pPr>
            <w:r w:rsidRPr="00B235BD">
              <w:rPr>
                <w:sz w:val="18"/>
                <w:szCs w:val="18"/>
              </w:rPr>
              <w:t>Revenue from motor vehicle registration duty arises when a member of the public registers a new vehicle for the first time, transfers a vehicle’s registration to another person or registers an imported second-hand vehicle for the first time.</w:t>
            </w:r>
            <w:r w:rsidR="00FA7C77">
              <w:rPr>
                <w:sz w:val="18"/>
                <w:szCs w:val="18"/>
              </w:rPr>
              <w:t xml:space="preserve"> </w:t>
            </w:r>
            <w:r w:rsidRPr="00B235BD">
              <w:rPr>
                <w:sz w:val="18"/>
                <w:szCs w:val="18"/>
              </w:rPr>
              <w:t>The amount of duty payable depends on the type of vehicle and its dutiable value being the higher of the purchase price and the market value of the vehicle.</w:t>
            </w:r>
            <w:r w:rsidR="00FA7C77">
              <w:rPr>
                <w:sz w:val="18"/>
                <w:szCs w:val="18"/>
              </w:rPr>
              <w:t xml:space="preserve"> </w:t>
            </w:r>
            <w:r w:rsidRPr="00B235BD">
              <w:rPr>
                <w:sz w:val="18"/>
                <w:szCs w:val="18"/>
              </w:rPr>
              <w:t>Revenue is recognised at the time of payment.</w:t>
            </w:r>
          </w:p>
        </w:tc>
      </w:tr>
      <w:tr w:rsidR="00384538" w:rsidRPr="00CF7E1B" w14:paraId="03E1B2E6" w14:textId="77777777" w:rsidTr="00D919F2">
        <w:trPr>
          <w:cantSplit/>
          <w:trHeight w:val="23"/>
        </w:trPr>
        <w:tc>
          <w:tcPr>
            <w:tcW w:w="1558" w:type="dxa"/>
            <w:tcBorders>
              <w:top w:val="nil"/>
              <w:left w:val="single" w:sz="2" w:space="0" w:color="auto"/>
              <w:bottom w:val="nil"/>
              <w:right w:val="single" w:sz="2" w:space="0" w:color="auto"/>
            </w:tcBorders>
          </w:tcPr>
          <w:p w14:paraId="16EB1020"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52D65758" w14:textId="036D1F1A" w:rsidR="00384538" w:rsidRPr="00B235BD" w:rsidRDefault="00384538" w:rsidP="00384538">
            <w:pPr>
              <w:pStyle w:val="Heading1"/>
              <w:numPr>
                <w:ilvl w:val="0"/>
                <w:numId w:val="0"/>
              </w:numPr>
              <w:spacing w:before="0" w:after="40"/>
              <w:jc w:val="both"/>
              <w:rPr>
                <w:rFonts w:ascii="Calibri" w:hAnsi="Calibri"/>
                <w:b w:val="0"/>
                <w:bCs w:val="0"/>
                <w:i/>
                <w:iCs/>
                <w:caps w:val="0"/>
                <w:sz w:val="18"/>
                <w:szCs w:val="18"/>
              </w:rPr>
            </w:pPr>
            <w:bookmarkStart w:id="926" w:name="_Toc98763197"/>
            <w:r w:rsidRPr="00B235BD">
              <w:rPr>
                <w:rFonts w:ascii="Calibri" w:hAnsi="Calibri"/>
                <w:b w:val="0"/>
                <w:bCs w:val="0"/>
                <w:i/>
                <w:iCs/>
                <w:caps w:val="0"/>
                <w:sz w:val="18"/>
                <w:szCs w:val="18"/>
              </w:rPr>
              <w:t>Drivers’ Licence Revenue</w:t>
            </w:r>
            <w:bookmarkEnd w:id="926"/>
          </w:p>
        </w:tc>
      </w:tr>
      <w:tr w:rsidR="00DB02DF" w:rsidRPr="00CF7E1B" w14:paraId="77B4EA70" w14:textId="77777777" w:rsidTr="00D919F2">
        <w:trPr>
          <w:cantSplit/>
          <w:trHeight w:val="23"/>
        </w:trPr>
        <w:tc>
          <w:tcPr>
            <w:tcW w:w="1558" w:type="dxa"/>
            <w:tcBorders>
              <w:top w:val="nil"/>
              <w:left w:val="single" w:sz="2" w:space="0" w:color="auto"/>
              <w:bottom w:val="nil"/>
              <w:right w:val="single" w:sz="2" w:space="0" w:color="auto"/>
            </w:tcBorders>
          </w:tcPr>
          <w:p w14:paraId="3C4093DD"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14756BCA" w14:textId="4360DB35" w:rsidR="00DB02DF" w:rsidRPr="00B235BD" w:rsidRDefault="00DB02DF" w:rsidP="00E178FE">
            <w:pPr>
              <w:pStyle w:val="Heading1"/>
              <w:numPr>
                <w:ilvl w:val="0"/>
                <w:numId w:val="0"/>
              </w:numPr>
              <w:spacing w:before="0" w:after="120"/>
              <w:jc w:val="both"/>
              <w:rPr>
                <w:rFonts w:ascii="Calibri" w:hAnsi="Calibri"/>
                <w:b w:val="0"/>
                <w:bCs w:val="0"/>
                <w:caps w:val="0"/>
                <w:sz w:val="18"/>
                <w:szCs w:val="18"/>
              </w:rPr>
            </w:pPr>
            <w:bookmarkStart w:id="927" w:name="_Toc98763198"/>
            <w:r w:rsidRPr="00B235BD">
              <w:rPr>
                <w:rFonts w:ascii="Calibri" w:hAnsi="Calibri"/>
                <w:b w:val="0"/>
                <w:bCs w:val="0"/>
                <w:caps w:val="0"/>
                <w:sz w:val="18"/>
                <w:szCs w:val="18"/>
              </w:rPr>
              <w:t>Drivers’ licence revenue relates to members of the public paying for a licence to operate or seek to operate a vehicle within the ACT.</w:t>
            </w:r>
            <w:r w:rsidR="00FA7C77">
              <w:rPr>
                <w:rFonts w:ascii="Calibri" w:hAnsi="Calibri"/>
                <w:b w:val="0"/>
                <w:bCs w:val="0"/>
                <w:caps w:val="0"/>
                <w:sz w:val="18"/>
                <w:szCs w:val="18"/>
              </w:rPr>
              <w:t xml:space="preserve"> </w:t>
            </w:r>
            <w:r w:rsidRPr="00B235BD">
              <w:rPr>
                <w:rFonts w:ascii="Calibri" w:hAnsi="Calibri"/>
                <w:b w:val="0"/>
                <w:bCs w:val="0"/>
                <w:caps w:val="0"/>
                <w:sz w:val="18"/>
                <w:szCs w:val="18"/>
              </w:rPr>
              <w:t>Licences can generally be obtained for either a 5 or 10 year period. Given each licence is less than the ACT low-transaction licence threshold of $10,000, the drivers licence revenue is recognised upon issue of the licence rather than evenly over the term of the licence.</w:t>
            </w:r>
            <w:bookmarkEnd w:id="927"/>
          </w:p>
        </w:tc>
      </w:tr>
      <w:tr w:rsidR="00384538" w:rsidRPr="00CF7E1B" w14:paraId="6914AF0D" w14:textId="77777777" w:rsidTr="00D919F2">
        <w:trPr>
          <w:cantSplit/>
          <w:trHeight w:val="23"/>
        </w:trPr>
        <w:tc>
          <w:tcPr>
            <w:tcW w:w="1558" w:type="dxa"/>
            <w:tcBorders>
              <w:top w:val="nil"/>
              <w:left w:val="single" w:sz="2" w:space="0" w:color="auto"/>
              <w:bottom w:val="nil"/>
              <w:right w:val="single" w:sz="2" w:space="0" w:color="auto"/>
            </w:tcBorders>
          </w:tcPr>
          <w:p w14:paraId="28FF11C4"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5C594E10" w14:textId="4919EC0A" w:rsidR="00384538" w:rsidRPr="00B235BD" w:rsidRDefault="00384538" w:rsidP="00384538">
            <w:pPr>
              <w:pStyle w:val="Heading1"/>
              <w:numPr>
                <w:ilvl w:val="0"/>
                <w:numId w:val="0"/>
              </w:numPr>
              <w:spacing w:before="0" w:after="40"/>
              <w:jc w:val="both"/>
              <w:rPr>
                <w:rFonts w:ascii="Calibri" w:hAnsi="Calibri"/>
                <w:b w:val="0"/>
                <w:bCs w:val="0"/>
                <w:i/>
                <w:iCs/>
                <w:caps w:val="0"/>
                <w:sz w:val="18"/>
                <w:szCs w:val="18"/>
              </w:rPr>
            </w:pPr>
            <w:bookmarkStart w:id="928" w:name="_Toc98763199"/>
            <w:r w:rsidRPr="00B235BD">
              <w:rPr>
                <w:rFonts w:ascii="Calibri" w:hAnsi="Calibri"/>
                <w:b w:val="0"/>
                <w:bCs w:val="0"/>
                <w:i/>
                <w:iCs/>
                <w:caps w:val="0"/>
                <w:sz w:val="18"/>
                <w:szCs w:val="18"/>
              </w:rPr>
              <w:t>Fees for Regulatory Services</w:t>
            </w:r>
            <w:bookmarkEnd w:id="928"/>
          </w:p>
        </w:tc>
      </w:tr>
      <w:tr w:rsidR="00DB02DF" w:rsidRPr="00CF7E1B" w14:paraId="2727D560" w14:textId="77777777" w:rsidTr="00D919F2">
        <w:trPr>
          <w:cantSplit/>
          <w:trHeight w:val="23"/>
        </w:trPr>
        <w:tc>
          <w:tcPr>
            <w:tcW w:w="1558" w:type="dxa"/>
            <w:tcBorders>
              <w:top w:val="nil"/>
              <w:left w:val="single" w:sz="2" w:space="0" w:color="auto"/>
              <w:bottom w:val="nil"/>
              <w:right w:val="single" w:sz="2" w:space="0" w:color="auto"/>
            </w:tcBorders>
          </w:tcPr>
          <w:p w14:paraId="69A500F7"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7A22E13D" w14:textId="52CEFB2B" w:rsidR="00DB02DF" w:rsidRPr="00B235BD" w:rsidRDefault="00DB02DF" w:rsidP="00E178FE">
            <w:pPr>
              <w:spacing w:after="120"/>
              <w:jc w:val="both"/>
              <w:rPr>
                <w:sz w:val="18"/>
                <w:szCs w:val="18"/>
              </w:rPr>
            </w:pPr>
            <w:r w:rsidRPr="00B235BD">
              <w:rPr>
                <w:sz w:val="18"/>
                <w:szCs w:val="18"/>
              </w:rPr>
              <w:t>Fees for regulatory services relate to ‘</w:t>
            </w:r>
            <w:r w:rsidR="00347866" w:rsidRPr="00B235BD">
              <w:rPr>
                <w:sz w:val="18"/>
                <w:szCs w:val="18"/>
              </w:rPr>
              <w:t>Burley Griffin</w:t>
            </w:r>
            <w:r w:rsidRPr="00B235BD">
              <w:rPr>
                <w:sz w:val="18"/>
                <w:szCs w:val="18"/>
              </w:rPr>
              <w:t xml:space="preserve"> Agency’ collecting all fees and charges under the Work Safety Act.</w:t>
            </w:r>
            <w:r w:rsidR="00FA7C77">
              <w:rPr>
                <w:sz w:val="18"/>
                <w:szCs w:val="18"/>
              </w:rPr>
              <w:t xml:space="preserve"> </w:t>
            </w:r>
            <w:r w:rsidRPr="00B235BD">
              <w:rPr>
                <w:sz w:val="18"/>
                <w:szCs w:val="18"/>
              </w:rPr>
              <w:t>Fees are generally either recognised as revenue at the time of receipt or when the fee is incurred.</w:t>
            </w:r>
          </w:p>
        </w:tc>
      </w:tr>
      <w:tr w:rsidR="00384538" w:rsidRPr="00CF7E1B" w14:paraId="41409DC4" w14:textId="77777777" w:rsidTr="00D919F2">
        <w:trPr>
          <w:cantSplit/>
          <w:trHeight w:val="23"/>
        </w:trPr>
        <w:tc>
          <w:tcPr>
            <w:tcW w:w="1558" w:type="dxa"/>
            <w:tcBorders>
              <w:top w:val="nil"/>
              <w:left w:val="single" w:sz="2" w:space="0" w:color="auto"/>
              <w:bottom w:val="nil"/>
              <w:right w:val="single" w:sz="2" w:space="0" w:color="auto"/>
            </w:tcBorders>
          </w:tcPr>
          <w:p w14:paraId="0331D49B" w14:textId="77777777" w:rsidR="00384538" w:rsidRPr="00B235BD" w:rsidRDefault="00384538"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29B5DF34" w14:textId="6CBBCBA3" w:rsidR="00384538" w:rsidRPr="00B235BD" w:rsidRDefault="00384538" w:rsidP="00384538">
            <w:pPr>
              <w:spacing w:after="40"/>
              <w:jc w:val="both"/>
              <w:rPr>
                <w:i/>
                <w:iCs/>
                <w:sz w:val="18"/>
                <w:szCs w:val="18"/>
              </w:rPr>
            </w:pPr>
            <w:r w:rsidRPr="00B235BD">
              <w:rPr>
                <w:i/>
                <w:iCs/>
                <w:sz w:val="18"/>
                <w:szCs w:val="18"/>
              </w:rPr>
              <w:t>Traffic Fines and Parking Fines</w:t>
            </w:r>
          </w:p>
        </w:tc>
      </w:tr>
      <w:tr w:rsidR="00DB02DF" w:rsidRPr="00CF7E1B" w14:paraId="6815B111" w14:textId="77777777" w:rsidTr="00D919F2">
        <w:trPr>
          <w:cantSplit/>
          <w:trHeight w:val="23"/>
        </w:trPr>
        <w:tc>
          <w:tcPr>
            <w:tcW w:w="1558" w:type="dxa"/>
            <w:tcBorders>
              <w:top w:val="nil"/>
              <w:left w:val="single" w:sz="2" w:space="0" w:color="auto"/>
              <w:bottom w:val="nil"/>
              <w:right w:val="single" w:sz="2" w:space="0" w:color="auto"/>
            </w:tcBorders>
          </w:tcPr>
          <w:p w14:paraId="5DBC3A79" w14:textId="77777777" w:rsidR="00DB02DF" w:rsidRPr="00B235BD" w:rsidRDefault="00DB02DF"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191C2720" w14:textId="1564C97E" w:rsidR="00DB02DF" w:rsidRPr="00B235BD" w:rsidRDefault="00DB02DF" w:rsidP="00E178FE">
            <w:pPr>
              <w:pStyle w:val="Heading1"/>
              <w:numPr>
                <w:ilvl w:val="0"/>
                <w:numId w:val="0"/>
              </w:numPr>
              <w:spacing w:before="0" w:after="120"/>
              <w:jc w:val="both"/>
              <w:rPr>
                <w:rFonts w:ascii="Calibri" w:hAnsi="Calibri"/>
                <w:b w:val="0"/>
                <w:bCs w:val="0"/>
                <w:caps w:val="0"/>
                <w:sz w:val="18"/>
                <w:szCs w:val="18"/>
              </w:rPr>
            </w:pPr>
            <w:bookmarkStart w:id="929" w:name="_Toc98763200"/>
            <w:r w:rsidRPr="00B235BD">
              <w:rPr>
                <w:rFonts w:ascii="Calibri" w:hAnsi="Calibri"/>
                <w:b w:val="0"/>
                <w:bCs w:val="0"/>
                <w:caps w:val="0"/>
                <w:sz w:val="18"/>
                <w:szCs w:val="18"/>
              </w:rPr>
              <w:t>Traffic fines and parking fines are issued upon an infringement event occurring and are recognised as revenue on the issue of the relevant infringement notice.</w:t>
            </w:r>
            <w:r w:rsidR="00FA7C77">
              <w:rPr>
                <w:rFonts w:ascii="Calibri" w:hAnsi="Calibri"/>
                <w:b w:val="0"/>
                <w:bCs w:val="0"/>
                <w:caps w:val="0"/>
                <w:sz w:val="18"/>
                <w:szCs w:val="18"/>
              </w:rPr>
              <w:t xml:space="preserve"> </w:t>
            </w:r>
            <w:r w:rsidRPr="00B235BD">
              <w:rPr>
                <w:rFonts w:ascii="Calibri" w:hAnsi="Calibri"/>
                <w:b w:val="0"/>
                <w:bCs w:val="0"/>
                <w:caps w:val="0"/>
                <w:sz w:val="18"/>
                <w:szCs w:val="18"/>
              </w:rPr>
              <w:t xml:space="preserve"> However, the revenue recognised is adjusted for the expected disputes, which are estimated based on historical data. Historical data shows that there is approximately </w:t>
            </w:r>
            <w:r w:rsidR="00722BF2" w:rsidRPr="00722BF2">
              <w:rPr>
                <w:rFonts w:ascii="Calibri" w:hAnsi="Calibri"/>
                <w:b w:val="0"/>
                <w:bCs w:val="0"/>
                <w:caps w:val="0"/>
                <w:color w:val="C45911" w:themeColor="accent2" w:themeShade="BF"/>
                <w:sz w:val="18"/>
                <w:szCs w:val="18"/>
              </w:rPr>
              <w:t>&lt;</w:t>
            </w:r>
            <w:r w:rsidRPr="00722BF2">
              <w:rPr>
                <w:rFonts w:ascii="Calibri" w:hAnsi="Calibri"/>
                <w:b w:val="0"/>
                <w:bCs w:val="0"/>
                <w:caps w:val="0"/>
                <w:color w:val="C45911" w:themeColor="accent2" w:themeShade="BF"/>
                <w:sz w:val="18"/>
                <w:szCs w:val="18"/>
              </w:rPr>
              <w:t>5%</w:t>
            </w:r>
            <w:r w:rsidR="00722BF2" w:rsidRPr="00722BF2">
              <w:rPr>
                <w:rFonts w:ascii="Calibri" w:hAnsi="Calibri"/>
                <w:b w:val="0"/>
                <w:bCs w:val="0"/>
                <w:caps w:val="0"/>
                <w:color w:val="C45911" w:themeColor="accent2" w:themeShade="BF"/>
                <w:sz w:val="18"/>
                <w:szCs w:val="18"/>
              </w:rPr>
              <w:t>&gt;</w:t>
            </w:r>
            <w:r w:rsidRPr="00B235BD">
              <w:rPr>
                <w:rFonts w:ascii="Calibri" w:hAnsi="Calibri"/>
                <w:b w:val="0"/>
                <w:bCs w:val="0"/>
                <w:caps w:val="0"/>
                <w:sz w:val="18"/>
                <w:szCs w:val="18"/>
              </w:rPr>
              <w:t xml:space="preserve"> of </w:t>
            </w:r>
            <w:r w:rsidR="00384538" w:rsidRPr="00B235BD">
              <w:rPr>
                <w:rFonts w:ascii="Calibri" w:hAnsi="Calibri"/>
                <w:b w:val="0"/>
                <w:bCs w:val="0"/>
                <w:caps w:val="0"/>
                <w:sz w:val="18"/>
                <w:szCs w:val="18"/>
              </w:rPr>
              <w:t xml:space="preserve">fines </w:t>
            </w:r>
            <w:r w:rsidRPr="00B235BD">
              <w:rPr>
                <w:rFonts w:ascii="Calibri" w:hAnsi="Calibri"/>
                <w:b w:val="0"/>
                <w:bCs w:val="0"/>
                <w:caps w:val="0"/>
                <w:sz w:val="18"/>
                <w:szCs w:val="18"/>
              </w:rPr>
              <w:t>that are successfully disputed.</w:t>
            </w:r>
            <w:r w:rsidR="00FA7C77">
              <w:rPr>
                <w:rFonts w:ascii="Calibri" w:hAnsi="Calibri"/>
                <w:b w:val="0"/>
                <w:bCs w:val="0"/>
                <w:caps w:val="0"/>
                <w:sz w:val="18"/>
                <w:szCs w:val="18"/>
              </w:rPr>
              <w:t xml:space="preserve"> </w:t>
            </w:r>
            <w:r w:rsidRPr="00B235BD">
              <w:rPr>
                <w:rFonts w:ascii="Calibri" w:hAnsi="Calibri"/>
                <w:b w:val="0"/>
                <w:bCs w:val="0"/>
                <w:caps w:val="0"/>
                <w:sz w:val="18"/>
                <w:szCs w:val="18"/>
              </w:rPr>
              <w:t>Where the fine attracts a penalty for late payment, the penalty amount is recognised as revenue on issue of the late payment notice.</w:t>
            </w:r>
            <w:bookmarkEnd w:id="929"/>
          </w:p>
        </w:tc>
      </w:tr>
      <w:tr w:rsidR="00B45A62" w:rsidRPr="00CF7E1B" w14:paraId="0AFE1734" w14:textId="77777777" w:rsidTr="00D919F2">
        <w:trPr>
          <w:cantSplit/>
          <w:trHeight w:val="23"/>
        </w:trPr>
        <w:tc>
          <w:tcPr>
            <w:tcW w:w="1558" w:type="dxa"/>
            <w:tcBorders>
              <w:top w:val="nil"/>
              <w:left w:val="single" w:sz="2" w:space="0" w:color="auto"/>
              <w:bottom w:val="nil"/>
              <w:right w:val="single" w:sz="2" w:space="0" w:color="auto"/>
            </w:tcBorders>
          </w:tcPr>
          <w:p w14:paraId="4FCCAAE3" w14:textId="77777777" w:rsidR="00B45A62" w:rsidRPr="00B235BD" w:rsidRDefault="00B45A62"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79C4B91A" w14:textId="6039E01C" w:rsidR="00B45A62" w:rsidRPr="00B235BD" w:rsidRDefault="00B45A62" w:rsidP="00B45A62">
            <w:pPr>
              <w:rPr>
                <w:b/>
                <w:bCs/>
                <w:sz w:val="18"/>
                <w:szCs w:val="18"/>
              </w:rPr>
            </w:pPr>
            <w:r w:rsidRPr="00B235BD">
              <w:rPr>
                <w:b/>
                <w:bCs/>
                <w:sz w:val="18"/>
                <w:szCs w:val="18"/>
              </w:rPr>
              <w:t>Impact of COVID-19</w:t>
            </w:r>
          </w:p>
        </w:tc>
      </w:tr>
      <w:tr w:rsidR="00B45A62" w:rsidRPr="00CF7E1B" w14:paraId="412DAC73" w14:textId="77777777" w:rsidTr="00D919F2">
        <w:trPr>
          <w:cantSplit/>
          <w:trHeight w:val="23"/>
        </w:trPr>
        <w:tc>
          <w:tcPr>
            <w:tcW w:w="1558" w:type="dxa"/>
            <w:tcBorders>
              <w:top w:val="nil"/>
              <w:left w:val="single" w:sz="2" w:space="0" w:color="auto"/>
              <w:bottom w:val="nil"/>
              <w:right w:val="single" w:sz="2" w:space="0" w:color="auto"/>
            </w:tcBorders>
          </w:tcPr>
          <w:p w14:paraId="0A627E9E" w14:textId="77777777" w:rsidR="00B45A62" w:rsidRPr="00B235BD" w:rsidRDefault="00B45A62" w:rsidP="00DB02DF">
            <w:pPr>
              <w:pStyle w:val="TableReference"/>
              <w:tabs>
                <w:tab w:val="left" w:pos="3306"/>
              </w:tabs>
              <w:spacing w:after="120"/>
              <w:rPr>
                <w:rFonts w:cs="Calibri"/>
                <w:color w:val="7030A0"/>
                <w:sz w:val="16"/>
                <w:szCs w:val="16"/>
              </w:rPr>
            </w:pPr>
          </w:p>
        </w:tc>
        <w:tc>
          <w:tcPr>
            <w:tcW w:w="8929" w:type="dxa"/>
            <w:gridSpan w:val="3"/>
            <w:tcBorders>
              <w:top w:val="nil"/>
              <w:left w:val="single" w:sz="2" w:space="0" w:color="auto"/>
              <w:bottom w:val="nil"/>
              <w:right w:val="nil"/>
            </w:tcBorders>
            <w:vAlign w:val="bottom"/>
          </w:tcPr>
          <w:p w14:paraId="7FA03C13" w14:textId="36E7074F" w:rsidR="00B45A62" w:rsidRPr="00B235BD" w:rsidRDefault="00B45A62" w:rsidP="00BD3C22">
            <w:pPr>
              <w:jc w:val="both"/>
              <w:rPr>
                <w:sz w:val="18"/>
                <w:szCs w:val="18"/>
              </w:rPr>
            </w:pPr>
            <w:r w:rsidRPr="00B235BD">
              <w:rPr>
                <w:sz w:val="18"/>
                <w:szCs w:val="18"/>
              </w:rPr>
              <w:t>Since the commencement of the COVID-19 pandemic ‘Burley Griffin Agency’ has lost a material amount of traffic fine and parking fine revenue.</w:t>
            </w:r>
            <w:r w:rsidR="00FA7C77">
              <w:rPr>
                <w:sz w:val="18"/>
                <w:szCs w:val="18"/>
              </w:rPr>
              <w:t xml:space="preserve"> </w:t>
            </w:r>
            <w:r w:rsidR="00BD3C22" w:rsidRPr="00B235BD">
              <w:rPr>
                <w:sz w:val="18"/>
                <w:szCs w:val="18"/>
              </w:rPr>
              <w:t xml:space="preserve">It is </w:t>
            </w:r>
            <w:r w:rsidRPr="00B235BD">
              <w:rPr>
                <w:sz w:val="18"/>
                <w:szCs w:val="18"/>
              </w:rPr>
              <w:t xml:space="preserve">estimated </w:t>
            </w:r>
            <w:r w:rsidR="00BD3C22" w:rsidRPr="00B235BD">
              <w:rPr>
                <w:sz w:val="18"/>
                <w:szCs w:val="18"/>
              </w:rPr>
              <w:t>that there was only 10</w:t>
            </w:r>
            <w:r w:rsidRPr="00B235BD">
              <w:rPr>
                <w:sz w:val="18"/>
                <w:szCs w:val="18"/>
              </w:rPr>
              <w:t>% of pre COVID</w:t>
            </w:r>
            <w:r w:rsidRPr="00B235BD">
              <w:rPr>
                <w:sz w:val="18"/>
                <w:szCs w:val="18"/>
              </w:rPr>
              <w:noBreakHyphen/>
              <w:t xml:space="preserve">19 levels </w:t>
            </w:r>
            <w:r w:rsidR="00BD3C22" w:rsidRPr="00B235BD">
              <w:rPr>
                <w:sz w:val="18"/>
                <w:szCs w:val="18"/>
              </w:rPr>
              <w:t xml:space="preserve">of traffic on Canberra roads during the </w:t>
            </w:r>
            <w:r w:rsidRPr="00B235BD">
              <w:rPr>
                <w:sz w:val="18"/>
                <w:szCs w:val="18"/>
              </w:rPr>
              <w:t xml:space="preserve">lock down introduced by the ACT Government </w:t>
            </w:r>
            <w:r w:rsidR="00BD3C22" w:rsidRPr="00B235BD">
              <w:rPr>
                <w:sz w:val="18"/>
                <w:szCs w:val="18"/>
              </w:rPr>
              <w:t xml:space="preserve">during August 2021 to November 2021, </w:t>
            </w:r>
            <w:r w:rsidRPr="00B235BD">
              <w:rPr>
                <w:sz w:val="18"/>
                <w:szCs w:val="18"/>
              </w:rPr>
              <w:t>i</w:t>
            </w:r>
            <w:r w:rsidR="00722BF2">
              <w:rPr>
                <w:sz w:val="18"/>
                <w:szCs w:val="18"/>
              </w:rPr>
              <w:t>n</w:t>
            </w:r>
            <w:r w:rsidRPr="00B235BD">
              <w:rPr>
                <w:sz w:val="18"/>
                <w:szCs w:val="18"/>
              </w:rPr>
              <w:t xml:space="preserve"> response to the Delta outbreak.</w:t>
            </w:r>
            <w:r w:rsidR="00FA7C77">
              <w:rPr>
                <w:sz w:val="18"/>
                <w:szCs w:val="18"/>
              </w:rPr>
              <w:t xml:space="preserve"> </w:t>
            </w:r>
            <w:r w:rsidRPr="00B235BD">
              <w:rPr>
                <w:sz w:val="18"/>
                <w:szCs w:val="18"/>
              </w:rPr>
              <w:t xml:space="preserve">Since the lockdown ended </w:t>
            </w:r>
            <w:r w:rsidR="00BD3C22" w:rsidRPr="00B235BD">
              <w:rPr>
                <w:sz w:val="18"/>
                <w:szCs w:val="18"/>
              </w:rPr>
              <w:t>and people have returned to school and work</w:t>
            </w:r>
            <w:r w:rsidRPr="00B235BD">
              <w:rPr>
                <w:sz w:val="18"/>
                <w:szCs w:val="18"/>
              </w:rPr>
              <w:t xml:space="preserve">, </w:t>
            </w:r>
            <w:r w:rsidR="00BD3C22" w:rsidRPr="00B235BD">
              <w:rPr>
                <w:sz w:val="18"/>
                <w:szCs w:val="18"/>
              </w:rPr>
              <w:t xml:space="preserve">the amount of traffic </w:t>
            </w:r>
            <w:r w:rsidRPr="00B235BD">
              <w:rPr>
                <w:sz w:val="18"/>
                <w:szCs w:val="18"/>
              </w:rPr>
              <w:t xml:space="preserve">has slowly recovered and is now estimated to be at </w:t>
            </w:r>
            <w:r w:rsidR="00BD3C22" w:rsidRPr="00B235BD">
              <w:rPr>
                <w:sz w:val="18"/>
                <w:szCs w:val="18"/>
              </w:rPr>
              <w:t>75</w:t>
            </w:r>
            <w:r w:rsidRPr="00B235BD">
              <w:rPr>
                <w:sz w:val="18"/>
                <w:szCs w:val="18"/>
              </w:rPr>
              <w:t>% of pre COVID-19 levels.</w:t>
            </w:r>
            <w:r w:rsidR="00FA7C77">
              <w:rPr>
                <w:sz w:val="18"/>
                <w:szCs w:val="18"/>
              </w:rPr>
              <w:t xml:space="preserve"> </w:t>
            </w:r>
            <w:r w:rsidRPr="00B235BD">
              <w:rPr>
                <w:sz w:val="18"/>
                <w:szCs w:val="18"/>
              </w:rPr>
              <w:t xml:space="preserve">The reduction in </w:t>
            </w:r>
            <w:r w:rsidR="00BD3C22" w:rsidRPr="00B235BD">
              <w:rPr>
                <w:sz w:val="18"/>
                <w:szCs w:val="18"/>
              </w:rPr>
              <w:t xml:space="preserve">traffic </w:t>
            </w:r>
            <w:r w:rsidRPr="00B235BD">
              <w:rPr>
                <w:sz w:val="18"/>
                <w:szCs w:val="18"/>
              </w:rPr>
              <w:t xml:space="preserve">over the current financial year has resulted in lower </w:t>
            </w:r>
            <w:r w:rsidR="00BD3C22" w:rsidRPr="00B235BD">
              <w:rPr>
                <w:sz w:val="18"/>
                <w:szCs w:val="18"/>
              </w:rPr>
              <w:t xml:space="preserve">traffic fines </w:t>
            </w:r>
            <w:r w:rsidRPr="00B235BD">
              <w:rPr>
                <w:sz w:val="18"/>
                <w:szCs w:val="18"/>
              </w:rPr>
              <w:t>of approximately $</w:t>
            </w:r>
            <w:r w:rsidR="00BD3C22" w:rsidRPr="00B235BD">
              <w:rPr>
                <w:sz w:val="18"/>
                <w:szCs w:val="18"/>
              </w:rPr>
              <w:t>xxx</w:t>
            </w:r>
            <w:r w:rsidRPr="00B235BD">
              <w:rPr>
                <w:sz w:val="18"/>
                <w:szCs w:val="18"/>
              </w:rPr>
              <w:t xml:space="preserve"> million</w:t>
            </w:r>
            <w:r w:rsidR="00BD3C22" w:rsidRPr="00B235BD">
              <w:rPr>
                <w:sz w:val="18"/>
                <w:szCs w:val="18"/>
              </w:rPr>
              <w:t xml:space="preserve"> and lower parking fines of approximately $xxx million</w:t>
            </w:r>
            <w:r w:rsidRPr="00B235BD">
              <w:rPr>
                <w:sz w:val="18"/>
                <w:szCs w:val="18"/>
              </w:rPr>
              <w:t xml:space="preserve"> when compared to pre-pandemic levels.</w:t>
            </w:r>
          </w:p>
        </w:tc>
      </w:tr>
      <w:tr w:rsidR="00354061" w:rsidRPr="00CF7E1B" w14:paraId="17A26384" w14:textId="77777777" w:rsidTr="00D919F2">
        <w:trPr>
          <w:cantSplit/>
          <w:trHeight w:val="23"/>
        </w:trPr>
        <w:tc>
          <w:tcPr>
            <w:tcW w:w="1558" w:type="dxa"/>
            <w:tcBorders>
              <w:top w:val="nil"/>
              <w:left w:val="single" w:sz="2" w:space="0" w:color="auto"/>
              <w:bottom w:val="nil"/>
              <w:right w:val="single" w:sz="2" w:space="0" w:color="auto"/>
            </w:tcBorders>
          </w:tcPr>
          <w:p w14:paraId="6A3188E3"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095D610F" w14:textId="77777777" w:rsidR="00354061" w:rsidRPr="00B235BD" w:rsidRDefault="00354061" w:rsidP="00354061">
            <w:pPr>
              <w:pStyle w:val="TableText"/>
              <w:tabs>
                <w:tab w:val="left" w:pos="3306"/>
              </w:tabs>
              <w:rPr>
                <w:rFonts w:cs="Calibri"/>
                <w:b/>
                <w:bCs/>
              </w:rPr>
            </w:pPr>
          </w:p>
        </w:tc>
        <w:tc>
          <w:tcPr>
            <w:tcW w:w="1236" w:type="dxa"/>
            <w:tcBorders>
              <w:top w:val="nil"/>
              <w:left w:val="nil"/>
              <w:bottom w:val="nil"/>
              <w:right w:val="nil"/>
            </w:tcBorders>
            <w:vAlign w:val="bottom"/>
          </w:tcPr>
          <w:p w14:paraId="704017D0" w14:textId="27032A1E" w:rsidR="00354061" w:rsidRPr="00B235BD" w:rsidRDefault="00354061" w:rsidP="00354061">
            <w:pPr>
              <w:pStyle w:val="TableTitle"/>
              <w:tabs>
                <w:tab w:val="left" w:pos="3306"/>
              </w:tabs>
              <w:rPr>
                <w:rFonts w:cs="Calibri"/>
              </w:rPr>
            </w:pPr>
            <w:r w:rsidRPr="00B235BD">
              <w:rPr>
                <w:rFonts w:cs="Calibri"/>
              </w:rPr>
              <w:t>2022</w:t>
            </w:r>
          </w:p>
          <w:p w14:paraId="5E6121D6" w14:textId="65DE89D6" w:rsidR="00354061" w:rsidRPr="00B235BD" w:rsidRDefault="00354061" w:rsidP="00354061">
            <w:pPr>
              <w:pStyle w:val="TableText"/>
              <w:tabs>
                <w:tab w:val="left" w:pos="3306"/>
              </w:tabs>
              <w:jc w:val="right"/>
              <w:rPr>
                <w:rFonts w:cs="Calibri"/>
                <w:b/>
                <w:bCs/>
              </w:rPr>
            </w:pPr>
            <w:r w:rsidRPr="00B235BD">
              <w:rPr>
                <w:rFonts w:cs="Calibri"/>
                <w:b/>
                <w:bCs/>
              </w:rPr>
              <w:t>$’000</w:t>
            </w:r>
          </w:p>
        </w:tc>
        <w:tc>
          <w:tcPr>
            <w:tcW w:w="1456" w:type="dxa"/>
            <w:tcBorders>
              <w:top w:val="nil"/>
              <w:left w:val="nil"/>
              <w:bottom w:val="nil"/>
              <w:right w:val="nil"/>
            </w:tcBorders>
            <w:vAlign w:val="bottom"/>
          </w:tcPr>
          <w:p w14:paraId="255AB993" w14:textId="1604DBC2" w:rsidR="00354061" w:rsidRPr="00B235BD" w:rsidRDefault="00354061" w:rsidP="00354061">
            <w:pPr>
              <w:pStyle w:val="TableTitle"/>
              <w:tabs>
                <w:tab w:val="left" w:pos="3306"/>
              </w:tabs>
              <w:rPr>
                <w:rFonts w:cs="Calibri"/>
              </w:rPr>
            </w:pPr>
            <w:r w:rsidRPr="00B235BD">
              <w:rPr>
                <w:rFonts w:cs="Calibri"/>
              </w:rPr>
              <w:t>2021</w:t>
            </w:r>
          </w:p>
          <w:p w14:paraId="4F5C0115" w14:textId="248E0649" w:rsidR="00354061" w:rsidRPr="00B235BD" w:rsidRDefault="00354061" w:rsidP="00354061">
            <w:pPr>
              <w:pStyle w:val="TableText"/>
              <w:tabs>
                <w:tab w:val="left" w:pos="3306"/>
              </w:tabs>
              <w:jc w:val="right"/>
              <w:rPr>
                <w:rFonts w:cs="Calibri"/>
                <w:b/>
                <w:bCs/>
              </w:rPr>
            </w:pPr>
            <w:r w:rsidRPr="00B235BD">
              <w:rPr>
                <w:rFonts w:cs="Calibri"/>
                <w:b/>
                <w:bCs/>
              </w:rPr>
              <w:t>$’000</w:t>
            </w:r>
          </w:p>
        </w:tc>
      </w:tr>
      <w:tr w:rsidR="00354061" w:rsidRPr="00CF7E1B" w14:paraId="5D64CA6A" w14:textId="77777777" w:rsidTr="00D919F2">
        <w:trPr>
          <w:cantSplit/>
          <w:trHeight w:val="23"/>
        </w:trPr>
        <w:tc>
          <w:tcPr>
            <w:tcW w:w="1558" w:type="dxa"/>
            <w:tcBorders>
              <w:top w:val="nil"/>
              <w:left w:val="single" w:sz="2" w:space="0" w:color="auto"/>
              <w:bottom w:val="nil"/>
              <w:right w:val="single" w:sz="2" w:space="0" w:color="auto"/>
            </w:tcBorders>
          </w:tcPr>
          <w:p w14:paraId="170068C0"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05BF389D" w14:textId="77777777" w:rsidR="00354061" w:rsidRPr="00B235BD" w:rsidRDefault="00354061" w:rsidP="00354061">
            <w:pPr>
              <w:pStyle w:val="TableText"/>
              <w:tabs>
                <w:tab w:val="left" w:pos="3306"/>
              </w:tabs>
              <w:rPr>
                <w:rFonts w:cs="Calibri"/>
              </w:rPr>
            </w:pPr>
            <w:bookmarkStart w:id="930" w:name="_Toc48468860"/>
            <w:bookmarkStart w:id="931" w:name="_Toc49155920"/>
            <w:bookmarkStart w:id="932" w:name="_Toc49224334"/>
            <w:r w:rsidRPr="00B235BD">
              <w:rPr>
                <w:rFonts w:cs="Calibri"/>
                <w:b/>
                <w:bCs/>
              </w:rPr>
              <w:t>Taxes</w:t>
            </w:r>
            <w:bookmarkEnd w:id="930"/>
            <w:bookmarkEnd w:id="931"/>
            <w:bookmarkEnd w:id="932"/>
          </w:p>
        </w:tc>
        <w:tc>
          <w:tcPr>
            <w:tcW w:w="1236" w:type="dxa"/>
            <w:tcBorders>
              <w:top w:val="nil"/>
              <w:left w:val="nil"/>
              <w:bottom w:val="nil"/>
              <w:right w:val="nil"/>
            </w:tcBorders>
            <w:vAlign w:val="bottom"/>
          </w:tcPr>
          <w:p w14:paraId="13EB8E9E" w14:textId="77777777" w:rsidR="00354061" w:rsidRPr="00B235BD" w:rsidRDefault="00354061" w:rsidP="00354061">
            <w:pPr>
              <w:pStyle w:val="TableText"/>
              <w:tabs>
                <w:tab w:val="left" w:pos="3306"/>
              </w:tabs>
              <w:jc w:val="right"/>
              <w:rPr>
                <w:rFonts w:cs="Calibri"/>
              </w:rPr>
            </w:pPr>
          </w:p>
        </w:tc>
        <w:tc>
          <w:tcPr>
            <w:tcW w:w="1456" w:type="dxa"/>
            <w:tcBorders>
              <w:top w:val="nil"/>
              <w:left w:val="nil"/>
              <w:bottom w:val="nil"/>
              <w:right w:val="nil"/>
            </w:tcBorders>
            <w:vAlign w:val="bottom"/>
          </w:tcPr>
          <w:p w14:paraId="4ECB03FC" w14:textId="77777777" w:rsidR="00354061" w:rsidRPr="00B235BD" w:rsidRDefault="00354061" w:rsidP="00354061">
            <w:pPr>
              <w:pStyle w:val="TableText"/>
              <w:tabs>
                <w:tab w:val="left" w:pos="3306"/>
              </w:tabs>
              <w:jc w:val="right"/>
              <w:rPr>
                <w:rFonts w:cs="Calibri"/>
              </w:rPr>
            </w:pPr>
          </w:p>
        </w:tc>
      </w:tr>
      <w:tr w:rsidR="00354061" w:rsidRPr="00CF7E1B" w14:paraId="1A10E932" w14:textId="77777777" w:rsidTr="00D919F2">
        <w:trPr>
          <w:cantSplit/>
          <w:trHeight w:val="23"/>
        </w:trPr>
        <w:tc>
          <w:tcPr>
            <w:tcW w:w="1558" w:type="dxa"/>
            <w:tcBorders>
              <w:top w:val="nil"/>
              <w:left w:val="single" w:sz="2" w:space="0" w:color="auto"/>
              <w:bottom w:val="nil"/>
              <w:right w:val="single" w:sz="2" w:space="0" w:color="auto"/>
            </w:tcBorders>
          </w:tcPr>
          <w:p w14:paraId="7EB6259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2CCDE176" w14:textId="30EE111D" w:rsidR="00354061" w:rsidRPr="00B235BD" w:rsidRDefault="00354061" w:rsidP="00354061">
            <w:pPr>
              <w:pStyle w:val="TableText"/>
              <w:tabs>
                <w:tab w:val="left" w:pos="3306"/>
              </w:tabs>
              <w:rPr>
                <w:rFonts w:cs="Calibri"/>
              </w:rPr>
            </w:pPr>
            <w:r w:rsidRPr="00B235BD">
              <w:rPr>
                <w:rFonts w:cs="Calibri"/>
              </w:rPr>
              <w:t>Motor Vehicle Registration Duty</w:t>
            </w:r>
          </w:p>
        </w:tc>
        <w:tc>
          <w:tcPr>
            <w:tcW w:w="1236" w:type="dxa"/>
            <w:tcBorders>
              <w:top w:val="nil"/>
              <w:left w:val="nil"/>
              <w:bottom w:val="nil"/>
              <w:right w:val="nil"/>
            </w:tcBorders>
            <w:vAlign w:val="bottom"/>
          </w:tcPr>
          <w:p w14:paraId="714F3538" w14:textId="639069DC" w:rsidR="00354061" w:rsidRPr="00B235BD" w:rsidRDefault="00354061" w:rsidP="00354061">
            <w:pPr>
              <w:pStyle w:val="TableText"/>
              <w:tabs>
                <w:tab w:val="left" w:pos="3306"/>
              </w:tabs>
              <w:jc w:val="right"/>
              <w:rPr>
                <w:rFonts w:cs="Calibri"/>
              </w:rPr>
            </w:pPr>
          </w:p>
        </w:tc>
        <w:tc>
          <w:tcPr>
            <w:tcW w:w="1456" w:type="dxa"/>
            <w:tcBorders>
              <w:top w:val="nil"/>
              <w:left w:val="nil"/>
              <w:bottom w:val="nil"/>
              <w:right w:val="nil"/>
            </w:tcBorders>
            <w:vAlign w:val="bottom"/>
          </w:tcPr>
          <w:p w14:paraId="06B99EE2" w14:textId="0BD0C7DF" w:rsidR="00354061" w:rsidRPr="00B235BD" w:rsidRDefault="00354061" w:rsidP="00354061">
            <w:pPr>
              <w:pStyle w:val="TableText"/>
              <w:tabs>
                <w:tab w:val="left" w:pos="3306"/>
              </w:tabs>
              <w:jc w:val="right"/>
              <w:rPr>
                <w:rFonts w:cs="Calibri"/>
              </w:rPr>
            </w:pPr>
          </w:p>
        </w:tc>
      </w:tr>
      <w:tr w:rsidR="00354061" w:rsidRPr="00CF7E1B" w14:paraId="4C6E4D89" w14:textId="77777777" w:rsidTr="00D919F2">
        <w:trPr>
          <w:cantSplit/>
          <w:trHeight w:val="23"/>
        </w:trPr>
        <w:tc>
          <w:tcPr>
            <w:tcW w:w="1558" w:type="dxa"/>
            <w:tcBorders>
              <w:top w:val="nil"/>
              <w:left w:val="single" w:sz="2" w:space="0" w:color="auto"/>
              <w:bottom w:val="nil"/>
              <w:right w:val="single" w:sz="2" w:space="0" w:color="auto"/>
            </w:tcBorders>
          </w:tcPr>
          <w:p w14:paraId="40F7580B"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6BF97750" w14:textId="77777777" w:rsidR="00354061" w:rsidRPr="00B235BD" w:rsidRDefault="00354061" w:rsidP="00354061">
            <w:pPr>
              <w:pStyle w:val="TableText"/>
              <w:tabs>
                <w:tab w:val="left" w:pos="3306"/>
              </w:tabs>
              <w:rPr>
                <w:rFonts w:cs="Calibri"/>
              </w:rPr>
            </w:pPr>
            <w:r w:rsidRPr="00B235BD">
              <w:rPr>
                <w:rFonts w:cs="Calibri"/>
              </w:rPr>
              <w:t>Other Taxes</w:t>
            </w:r>
          </w:p>
        </w:tc>
        <w:tc>
          <w:tcPr>
            <w:tcW w:w="1236" w:type="dxa"/>
            <w:tcBorders>
              <w:top w:val="nil"/>
              <w:left w:val="nil"/>
              <w:bottom w:val="single" w:sz="2" w:space="0" w:color="auto"/>
              <w:right w:val="nil"/>
            </w:tcBorders>
            <w:vAlign w:val="bottom"/>
          </w:tcPr>
          <w:p w14:paraId="5C631652" w14:textId="4AEFEDAB" w:rsidR="00354061" w:rsidRPr="00B235BD" w:rsidRDefault="00354061" w:rsidP="00354061">
            <w:pPr>
              <w:pStyle w:val="TableText"/>
              <w:tabs>
                <w:tab w:val="left" w:pos="3306"/>
              </w:tabs>
              <w:jc w:val="right"/>
              <w:rPr>
                <w:rFonts w:cs="Calibri"/>
              </w:rPr>
            </w:pPr>
          </w:p>
        </w:tc>
        <w:tc>
          <w:tcPr>
            <w:tcW w:w="1456" w:type="dxa"/>
            <w:tcBorders>
              <w:top w:val="nil"/>
              <w:left w:val="nil"/>
              <w:bottom w:val="single" w:sz="2" w:space="0" w:color="auto"/>
              <w:right w:val="nil"/>
            </w:tcBorders>
            <w:vAlign w:val="bottom"/>
          </w:tcPr>
          <w:p w14:paraId="605C351C" w14:textId="78ED840D" w:rsidR="00354061" w:rsidRPr="00B235BD" w:rsidRDefault="00354061" w:rsidP="00354061">
            <w:pPr>
              <w:pStyle w:val="TableText"/>
              <w:tabs>
                <w:tab w:val="left" w:pos="3306"/>
              </w:tabs>
              <w:jc w:val="right"/>
              <w:rPr>
                <w:rFonts w:cs="Calibri"/>
              </w:rPr>
            </w:pPr>
          </w:p>
        </w:tc>
      </w:tr>
      <w:tr w:rsidR="00354061" w:rsidRPr="00CF7E1B" w14:paraId="35DD4921" w14:textId="77777777" w:rsidTr="00D919F2">
        <w:trPr>
          <w:cantSplit/>
          <w:trHeight w:val="23"/>
        </w:trPr>
        <w:tc>
          <w:tcPr>
            <w:tcW w:w="1558" w:type="dxa"/>
            <w:tcBorders>
              <w:top w:val="nil"/>
              <w:left w:val="single" w:sz="2" w:space="0" w:color="auto"/>
              <w:bottom w:val="nil"/>
              <w:right w:val="single" w:sz="2" w:space="0" w:color="auto"/>
            </w:tcBorders>
          </w:tcPr>
          <w:p w14:paraId="3EA15CDB"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4F742077" w14:textId="77777777" w:rsidR="00354061" w:rsidRPr="00B235BD" w:rsidRDefault="00354061" w:rsidP="00354061">
            <w:pPr>
              <w:pStyle w:val="TableText"/>
              <w:tabs>
                <w:tab w:val="left" w:pos="3306"/>
              </w:tabs>
              <w:rPr>
                <w:rFonts w:cs="Calibri"/>
                <w:b/>
                <w:bCs/>
              </w:rPr>
            </w:pPr>
            <w:r w:rsidRPr="00B235BD">
              <w:rPr>
                <w:rFonts w:cs="Calibri"/>
                <w:b/>
                <w:bCs/>
              </w:rPr>
              <w:t>Total Taxes</w:t>
            </w:r>
          </w:p>
        </w:tc>
        <w:tc>
          <w:tcPr>
            <w:tcW w:w="1236" w:type="dxa"/>
            <w:tcBorders>
              <w:top w:val="single" w:sz="2" w:space="0" w:color="auto"/>
              <w:left w:val="nil"/>
              <w:bottom w:val="single" w:sz="2" w:space="0" w:color="auto"/>
              <w:right w:val="nil"/>
            </w:tcBorders>
            <w:vAlign w:val="bottom"/>
          </w:tcPr>
          <w:p w14:paraId="350E4614" w14:textId="7A44EFFC" w:rsidR="00354061" w:rsidRPr="00B235BD" w:rsidRDefault="00354061" w:rsidP="00354061">
            <w:pPr>
              <w:pStyle w:val="TableText"/>
              <w:tabs>
                <w:tab w:val="left" w:pos="3306"/>
              </w:tabs>
              <w:jc w:val="right"/>
              <w:rPr>
                <w:rFonts w:cs="Calibri"/>
                <w:b/>
                <w:bCs/>
                <w:strike/>
              </w:rPr>
            </w:pPr>
          </w:p>
        </w:tc>
        <w:tc>
          <w:tcPr>
            <w:tcW w:w="1456" w:type="dxa"/>
            <w:tcBorders>
              <w:top w:val="single" w:sz="2" w:space="0" w:color="auto"/>
              <w:left w:val="nil"/>
              <w:bottom w:val="single" w:sz="2" w:space="0" w:color="auto"/>
              <w:right w:val="nil"/>
            </w:tcBorders>
            <w:vAlign w:val="bottom"/>
          </w:tcPr>
          <w:p w14:paraId="7FA346BA" w14:textId="717D9834" w:rsidR="00354061" w:rsidRPr="00B235BD" w:rsidRDefault="00354061" w:rsidP="00354061">
            <w:pPr>
              <w:pStyle w:val="TableText"/>
              <w:tabs>
                <w:tab w:val="left" w:pos="3306"/>
              </w:tabs>
              <w:jc w:val="right"/>
              <w:rPr>
                <w:rFonts w:cs="Calibri"/>
                <w:b/>
                <w:bCs/>
                <w:strike/>
              </w:rPr>
            </w:pPr>
          </w:p>
        </w:tc>
      </w:tr>
      <w:tr w:rsidR="00354061" w:rsidRPr="00CF7E1B" w14:paraId="60CB007A" w14:textId="77777777" w:rsidTr="00D919F2">
        <w:trPr>
          <w:cantSplit/>
          <w:trHeight w:val="23"/>
        </w:trPr>
        <w:tc>
          <w:tcPr>
            <w:tcW w:w="1558" w:type="dxa"/>
            <w:tcBorders>
              <w:top w:val="nil"/>
              <w:left w:val="single" w:sz="2" w:space="0" w:color="auto"/>
              <w:bottom w:val="nil"/>
              <w:right w:val="single" w:sz="2" w:space="0" w:color="auto"/>
            </w:tcBorders>
          </w:tcPr>
          <w:p w14:paraId="054B3EB3"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32B105FC" w14:textId="77777777" w:rsidR="00354061" w:rsidRPr="00B235BD" w:rsidRDefault="00354061" w:rsidP="00354061">
            <w:pPr>
              <w:pStyle w:val="TableText"/>
              <w:tabs>
                <w:tab w:val="left" w:pos="3306"/>
              </w:tabs>
              <w:rPr>
                <w:rFonts w:cs="Calibri"/>
                <w:b/>
                <w:bCs/>
              </w:rPr>
            </w:pPr>
          </w:p>
        </w:tc>
        <w:tc>
          <w:tcPr>
            <w:tcW w:w="1236" w:type="dxa"/>
            <w:tcBorders>
              <w:top w:val="single" w:sz="2" w:space="0" w:color="auto"/>
              <w:left w:val="nil"/>
              <w:bottom w:val="nil"/>
              <w:right w:val="nil"/>
            </w:tcBorders>
            <w:vAlign w:val="bottom"/>
          </w:tcPr>
          <w:p w14:paraId="4C3F6DC9" w14:textId="77777777" w:rsidR="00354061" w:rsidRPr="00B235BD" w:rsidRDefault="00354061" w:rsidP="00354061">
            <w:pPr>
              <w:pStyle w:val="TableText"/>
              <w:tabs>
                <w:tab w:val="left" w:pos="3306"/>
              </w:tabs>
              <w:jc w:val="right"/>
              <w:rPr>
                <w:rFonts w:cs="Calibri"/>
              </w:rPr>
            </w:pPr>
          </w:p>
        </w:tc>
        <w:tc>
          <w:tcPr>
            <w:tcW w:w="1456" w:type="dxa"/>
            <w:tcBorders>
              <w:top w:val="single" w:sz="2" w:space="0" w:color="auto"/>
              <w:left w:val="nil"/>
              <w:bottom w:val="nil"/>
              <w:right w:val="nil"/>
            </w:tcBorders>
            <w:vAlign w:val="bottom"/>
          </w:tcPr>
          <w:p w14:paraId="38639EAC" w14:textId="77777777" w:rsidR="00354061" w:rsidRPr="00B235BD" w:rsidRDefault="00354061" w:rsidP="00354061">
            <w:pPr>
              <w:pStyle w:val="TableText"/>
              <w:tabs>
                <w:tab w:val="left" w:pos="3306"/>
              </w:tabs>
              <w:jc w:val="right"/>
              <w:rPr>
                <w:rFonts w:cs="Calibri"/>
              </w:rPr>
            </w:pPr>
          </w:p>
        </w:tc>
      </w:tr>
      <w:tr w:rsidR="00354061" w:rsidRPr="00CF7E1B" w14:paraId="623D20F5" w14:textId="77777777" w:rsidTr="00D919F2">
        <w:trPr>
          <w:cantSplit/>
          <w:trHeight w:val="23"/>
        </w:trPr>
        <w:tc>
          <w:tcPr>
            <w:tcW w:w="1558" w:type="dxa"/>
            <w:tcBorders>
              <w:top w:val="nil"/>
              <w:left w:val="single" w:sz="2" w:space="0" w:color="auto"/>
              <w:bottom w:val="nil"/>
              <w:right w:val="single" w:sz="2" w:space="0" w:color="auto"/>
            </w:tcBorders>
          </w:tcPr>
          <w:p w14:paraId="66DE39E9"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76608791" w14:textId="77777777" w:rsidR="00354061" w:rsidRPr="00B235BD" w:rsidRDefault="00354061" w:rsidP="00354061">
            <w:pPr>
              <w:pStyle w:val="TableText"/>
              <w:tabs>
                <w:tab w:val="left" w:pos="3306"/>
              </w:tabs>
              <w:rPr>
                <w:rFonts w:cs="Calibri"/>
                <w:b/>
                <w:bCs/>
              </w:rPr>
            </w:pPr>
            <w:r w:rsidRPr="00B235BD">
              <w:rPr>
                <w:rFonts w:cs="Calibri"/>
                <w:b/>
                <w:bCs/>
              </w:rPr>
              <w:t>Licences</w:t>
            </w:r>
          </w:p>
        </w:tc>
        <w:tc>
          <w:tcPr>
            <w:tcW w:w="1236" w:type="dxa"/>
            <w:tcBorders>
              <w:top w:val="nil"/>
              <w:left w:val="nil"/>
              <w:bottom w:val="nil"/>
              <w:right w:val="nil"/>
            </w:tcBorders>
            <w:vAlign w:val="bottom"/>
          </w:tcPr>
          <w:p w14:paraId="703DC367" w14:textId="77777777" w:rsidR="00354061" w:rsidRPr="00B235BD" w:rsidRDefault="00354061" w:rsidP="00354061">
            <w:pPr>
              <w:pStyle w:val="TableText"/>
              <w:tabs>
                <w:tab w:val="left" w:pos="3306"/>
              </w:tabs>
              <w:jc w:val="right"/>
              <w:rPr>
                <w:rFonts w:cs="Calibri"/>
              </w:rPr>
            </w:pPr>
          </w:p>
        </w:tc>
        <w:tc>
          <w:tcPr>
            <w:tcW w:w="1456" w:type="dxa"/>
            <w:tcBorders>
              <w:top w:val="nil"/>
              <w:left w:val="nil"/>
              <w:bottom w:val="nil"/>
              <w:right w:val="nil"/>
            </w:tcBorders>
            <w:vAlign w:val="bottom"/>
          </w:tcPr>
          <w:p w14:paraId="0C7E3ED5" w14:textId="77777777" w:rsidR="00354061" w:rsidRPr="00B235BD" w:rsidRDefault="00354061" w:rsidP="00354061">
            <w:pPr>
              <w:pStyle w:val="TableText"/>
              <w:tabs>
                <w:tab w:val="left" w:pos="3306"/>
              </w:tabs>
              <w:jc w:val="right"/>
              <w:rPr>
                <w:rFonts w:cs="Calibri"/>
              </w:rPr>
            </w:pPr>
          </w:p>
        </w:tc>
      </w:tr>
      <w:tr w:rsidR="00354061" w:rsidRPr="00CF7E1B" w14:paraId="2A1C50B1" w14:textId="77777777" w:rsidTr="00D919F2">
        <w:trPr>
          <w:cantSplit/>
          <w:trHeight w:val="23"/>
        </w:trPr>
        <w:tc>
          <w:tcPr>
            <w:tcW w:w="1558" w:type="dxa"/>
            <w:tcBorders>
              <w:top w:val="nil"/>
              <w:left w:val="single" w:sz="2" w:space="0" w:color="auto"/>
              <w:bottom w:val="nil"/>
              <w:right w:val="single" w:sz="2" w:space="0" w:color="auto"/>
            </w:tcBorders>
          </w:tcPr>
          <w:p w14:paraId="5E263DF4"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7C23A981" w14:textId="77777777" w:rsidR="00354061" w:rsidRPr="00B235BD" w:rsidRDefault="00354061" w:rsidP="00354061">
            <w:pPr>
              <w:pStyle w:val="TableText"/>
              <w:tabs>
                <w:tab w:val="left" w:pos="3306"/>
              </w:tabs>
              <w:rPr>
                <w:rFonts w:cs="Calibri"/>
              </w:rPr>
            </w:pPr>
            <w:r w:rsidRPr="00B235BD">
              <w:rPr>
                <w:rFonts w:cs="Calibri"/>
              </w:rPr>
              <w:t>Drivers’ Licences</w:t>
            </w:r>
          </w:p>
        </w:tc>
        <w:tc>
          <w:tcPr>
            <w:tcW w:w="1236" w:type="dxa"/>
            <w:tcBorders>
              <w:top w:val="nil"/>
              <w:left w:val="nil"/>
              <w:bottom w:val="single" w:sz="4" w:space="0" w:color="auto"/>
              <w:right w:val="nil"/>
            </w:tcBorders>
            <w:vAlign w:val="bottom"/>
          </w:tcPr>
          <w:p w14:paraId="7F2AC155" w14:textId="381138AD" w:rsidR="00354061" w:rsidRPr="00B235BD" w:rsidRDefault="00354061" w:rsidP="00354061">
            <w:pPr>
              <w:pStyle w:val="TableText"/>
              <w:tabs>
                <w:tab w:val="left" w:pos="3306"/>
              </w:tabs>
              <w:jc w:val="right"/>
              <w:rPr>
                <w:rFonts w:cs="Calibri"/>
              </w:rPr>
            </w:pPr>
          </w:p>
        </w:tc>
        <w:tc>
          <w:tcPr>
            <w:tcW w:w="1456" w:type="dxa"/>
            <w:tcBorders>
              <w:top w:val="nil"/>
              <w:left w:val="nil"/>
              <w:bottom w:val="single" w:sz="4" w:space="0" w:color="auto"/>
              <w:right w:val="nil"/>
            </w:tcBorders>
            <w:vAlign w:val="bottom"/>
          </w:tcPr>
          <w:p w14:paraId="2647C34E" w14:textId="41B7825E" w:rsidR="00354061" w:rsidRPr="00B235BD" w:rsidRDefault="00354061" w:rsidP="00354061">
            <w:pPr>
              <w:pStyle w:val="TableText"/>
              <w:tabs>
                <w:tab w:val="left" w:pos="3306"/>
              </w:tabs>
              <w:jc w:val="right"/>
              <w:rPr>
                <w:rFonts w:cs="Calibri"/>
              </w:rPr>
            </w:pPr>
          </w:p>
        </w:tc>
      </w:tr>
      <w:tr w:rsidR="00354061" w:rsidRPr="00CF7E1B" w14:paraId="72B3783F" w14:textId="77777777" w:rsidTr="00D919F2">
        <w:trPr>
          <w:cantSplit/>
          <w:trHeight w:val="23"/>
        </w:trPr>
        <w:tc>
          <w:tcPr>
            <w:tcW w:w="1558" w:type="dxa"/>
            <w:tcBorders>
              <w:top w:val="nil"/>
              <w:left w:val="single" w:sz="2" w:space="0" w:color="auto"/>
              <w:bottom w:val="nil"/>
              <w:right w:val="single" w:sz="2" w:space="0" w:color="auto"/>
            </w:tcBorders>
          </w:tcPr>
          <w:p w14:paraId="1B506979"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76EB1242" w14:textId="77777777" w:rsidR="00354061" w:rsidRPr="00B235BD" w:rsidRDefault="00354061" w:rsidP="00354061">
            <w:pPr>
              <w:pStyle w:val="TableText"/>
              <w:tabs>
                <w:tab w:val="left" w:pos="3306"/>
              </w:tabs>
              <w:rPr>
                <w:rFonts w:cs="Calibri"/>
                <w:b/>
                <w:bCs/>
              </w:rPr>
            </w:pPr>
            <w:r w:rsidRPr="00B235BD">
              <w:rPr>
                <w:rFonts w:cs="Calibri"/>
                <w:b/>
                <w:bCs/>
              </w:rPr>
              <w:t>Total Licences</w:t>
            </w:r>
          </w:p>
        </w:tc>
        <w:tc>
          <w:tcPr>
            <w:tcW w:w="1236" w:type="dxa"/>
            <w:tcBorders>
              <w:top w:val="single" w:sz="4" w:space="0" w:color="auto"/>
              <w:left w:val="nil"/>
              <w:bottom w:val="single" w:sz="4" w:space="0" w:color="auto"/>
              <w:right w:val="nil"/>
            </w:tcBorders>
            <w:vAlign w:val="bottom"/>
          </w:tcPr>
          <w:p w14:paraId="33285CDF" w14:textId="39FA6017" w:rsidR="00354061" w:rsidRPr="00B235BD" w:rsidRDefault="00354061" w:rsidP="00354061">
            <w:pPr>
              <w:pStyle w:val="TableText"/>
              <w:tabs>
                <w:tab w:val="left" w:pos="3306"/>
              </w:tabs>
              <w:jc w:val="right"/>
              <w:rPr>
                <w:rFonts w:cs="Calibri"/>
                <w:b/>
                <w:bCs/>
              </w:rPr>
            </w:pPr>
          </w:p>
        </w:tc>
        <w:tc>
          <w:tcPr>
            <w:tcW w:w="1456" w:type="dxa"/>
            <w:tcBorders>
              <w:top w:val="single" w:sz="4" w:space="0" w:color="auto"/>
              <w:left w:val="nil"/>
              <w:bottom w:val="single" w:sz="4" w:space="0" w:color="auto"/>
              <w:right w:val="nil"/>
            </w:tcBorders>
            <w:vAlign w:val="bottom"/>
          </w:tcPr>
          <w:p w14:paraId="2E7FAA42" w14:textId="07B8073D" w:rsidR="00354061" w:rsidRPr="00B235BD" w:rsidRDefault="00354061" w:rsidP="00354061">
            <w:pPr>
              <w:pStyle w:val="TableText"/>
              <w:tabs>
                <w:tab w:val="left" w:pos="3306"/>
              </w:tabs>
              <w:jc w:val="right"/>
              <w:rPr>
                <w:rFonts w:cs="Calibri"/>
                <w:b/>
                <w:bCs/>
              </w:rPr>
            </w:pPr>
          </w:p>
        </w:tc>
      </w:tr>
      <w:tr w:rsidR="00D262BA" w:rsidRPr="00D262BA" w14:paraId="7286A894" w14:textId="77777777" w:rsidTr="00D919F2">
        <w:trPr>
          <w:cantSplit/>
          <w:trHeight w:val="23"/>
        </w:trPr>
        <w:tc>
          <w:tcPr>
            <w:tcW w:w="1558" w:type="dxa"/>
            <w:tcBorders>
              <w:top w:val="nil"/>
              <w:left w:val="single" w:sz="2" w:space="0" w:color="auto"/>
              <w:bottom w:val="nil"/>
              <w:right w:val="single" w:sz="2" w:space="0" w:color="auto"/>
            </w:tcBorders>
          </w:tcPr>
          <w:p w14:paraId="25A4BABB" w14:textId="77777777" w:rsidR="00D262BA" w:rsidRPr="00B235BD" w:rsidRDefault="00D262BA" w:rsidP="00D262BA">
            <w:pPr>
              <w:pStyle w:val="TableReference"/>
              <w:tabs>
                <w:tab w:val="left" w:pos="3306"/>
              </w:tabs>
              <w:rPr>
                <w:rFonts w:cs="Calibri"/>
                <w:color w:val="7030A0"/>
                <w:sz w:val="14"/>
              </w:rPr>
            </w:pPr>
          </w:p>
        </w:tc>
        <w:tc>
          <w:tcPr>
            <w:tcW w:w="6237" w:type="dxa"/>
            <w:tcBorders>
              <w:top w:val="nil"/>
              <w:left w:val="single" w:sz="2" w:space="0" w:color="auto"/>
              <w:bottom w:val="nil"/>
              <w:right w:val="nil"/>
            </w:tcBorders>
            <w:vAlign w:val="bottom"/>
          </w:tcPr>
          <w:p w14:paraId="3B9C55AD" w14:textId="77777777" w:rsidR="00D262BA" w:rsidRPr="00B235BD" w:rsidRDefault="00D262BA" w:rsidP="00D262BA">
            <w:pPr>
              <w:pStyle w:val="TableText"/>
              <w:tabs>
                <w:tab w:val="left" w:pos="3306"/>
              </w:tabs>
              <w:spacing w:before="0"/>
              <w:rPr>
                <w:rFonts w:cs="Calibri"/>
                <w:b/>
                <w:bCs/>
                <w:sz w:val="14"/>
                <w:szCs w:val="14"/>
              </w:rPr>
            </w:pPr>
          </w:p>
        </w:tc>
        <w:tc>
          <w:tcPr>
            <w:tcW w:w="1236" w:type="dxa"/>
            <w:tcBorders>
              <w:top w:val="single" w:sz="4" w:space="0" w:color="auto"/>
              <w:left w:val="nil"/>
              <w:bottom w:val="nil"/>
              <w:right w:val="nil"/>
            </w:tcBorders>
            <w:vAlign w:val="bottom"/>
          </w:tcPr>
          <w:p w14:paraId="778F9B18" w14:textId="77777777" w:rsidR="00D262BA" w:rsidRPr="00B235BD" w:rsidRDefault="00D262BA" w:rsidP="00D262BA">
            <w:pPr>
              <w:pStyle w:val="TableText"/>
              <w:tabs>
                <w:tab w:val="left" w:pos="3306"/>
              </w:tabs>
              <w:spacing w:before="0"/>
              <w:jc w:val="right"/>
              <w:rPr>
                <w:rFonts w:cs="Calibri"/>
                <w:b/>
                <w:bCs/>
                <w:sz w:val="14"/>
                <w:szCs w:val="14"/>
              </w:rPr>
            </w:pPr>
          </w:p>
        </w:tc>
        <w:tc>
          <w:tcPr>
            <w:tcW w:w="1456" w:type="dxa"/>
            <w:tcBorders>
              <w:top w:val="single" w:sz="4" w:space="0" w:color="auto"/>
              <w:left w:val="nil"/>
              <w:bottom w:val="nil"/>
              <w:right w:val="nil"/>
            </w:tcBorders>
            <w:vAlign w:val="bottom"/>
          </w:tcPr>
          <w:p w14:paraId="5B3DF256" w14:textId="77777777" w:rsidR="00D262BA" w:rsidRPr="00B235BD" w:rsidRDefault="00D262BA" w:rsidP="00D262BA">
            <w:pPr>
              <w:pStyle w:val="TableText"/>
              <w:tabs>
                <w:tab w:val="left" w:pos="3306"/>
              </w:tabs>
              <w:spacing w:before="0"/>
              <w:jc w:val="right"/>
              <w:rPr>
                <w:rFonts w:cs="Calibri"/>
                <w:b/>
                <w:bCs/>
                <w:sz w:val="14"/>
                <w:szCs w:val="14"/>
              </w:rPr>
            </w:pPr>
          </w:p>
        </w:tc>
      </w:tr>
      <w:tr w:rsidR="00354061" w:rsidRPr="00CF7E1B" w14:paraId="4368B025" w14:textId="77777777" w:rsidTr="00D919F2">
        <w:trPr>
          <w:cantSplit/>
          <w:trHeight w:val="23"/>
        </w:trPr>
        <w:tc>
          <w:tcPr>
            <w:tcW w:w="1558" w:type="dxa"/>
            <w:tcBorders>
              <w:top w:val="nil"/>
              <w:left w:val="single" w:sz="2" w:space="0" w:color="auto"/>
              <w:bottom w:val="nil"/>
              <w:right w:val="single" w:sz="2" w:space="0" w:color="auto"/>
            </w:tcBorders>
          </w:tcPr>
          <w:p w14:paraId="6A18F3A8"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5A486E17" w14:textId="77777777" w:rsidR="00354061" w:rsidRPr="00B235BD" w:rsidRDefault="00354061" w:rsidP="00354061">
            <w:pPr>
              <w:pStyle w:val="TableText"/>
              <w:tabs>
                <w:tab w:val="left" w:pos="3306"/>
              </w:tabs>
              <w:rPr>
                <w:rFonts w:cs="Calibri"/>
                <w:b/>
                <w:bCs/>
              </w:rPr>
            </w:pPr>
            <w:r w:rsidRPr="00B235BD">
              <w:rPr>
                <w:rFonts w:cs="Calibri"/>
                <w:b/>
                <w:bCs/>
              </w:rPr>
              <w:t>Fees</w:t>
            </w:r>
          </w:p>
        </w:tc>
        <w:tc>
          <w:tcPr>
            <w:tcW w:w="1236" w:type="dxa"/>
            <w:tcBorders>
              <w:top w:val="nil"/>
              <w:left w:val="nil"/>
              <w:bottom w:val="nil"/>
              <w:right w:val="nil"/>
            </w:tcBorders>
            <w:vAlign w:val="bottom"/>
          </w:tcPr>
          <w:p w14:paraId="27B43E13" w14:textId="77777777" w:rsidR="00354061" w:rsidRPr="00B235BD" w:rsidRDefault="00354061" w:rsidP="00354061">
            <w:pPr>
              <w:pStyle w:val="TableText"/>
              <w:tabs>
                <w:tab w:val="left" w:pos="3306"/>
              </w:tabs>
              <w:jc w:val="right"/>
              <w:rPr>
                <w:rFonts w:cs="Calibri"/>
              </w:rPr>
            </w:pPr>
          </w:p>
        </w:tc>
        <w:tc>
          <w:tcPr>
            <w:tcW w:w="1456" w:type="dxa"/>
            <w:tcBorders>
              <w:top w:val="nil"/>
              <w:left w:val="nil"/>
              <w:bottom w:val="nil"/>
              <w:right w:val="nil"/>
            </w:tcBorders>
            <w:vAlign w:val="bottom"/>
          </w:tcPr>
          <w:p w14:paraId="48BE30F3" w14:textId="77777777" w:rsidR="00354061" w:rsidRPr="00B235BD" w:rsidRDefault="00354061" w:rsidP="00354061">
            <w:pPr>
              <w:pStyle w:val="TableText"/>
              <w:tabs>
                <w:tab w:val="left" w:pos="3306"/>
              </w:tabs>
              <w:jc w:val="right"/>
              <w:rPr>
                <w:rFonts w:cs="Calibri"/>
              </w:rPr>
            </w:pPr>
          </w:p>
        </w:tc>
      </w:tr>
      <w:tr w:rsidR="00354061" w:rsidRPr="00CF7E1B" w14:paraId="36C8E2BD" w14:textId="77777777" w:rsidTr="00D919F2">
        <w:trPr>
          <w:cantSplit/>
          <w:trHeight w:val="23"/>
        </w:trPr>
        <w:tc>
          <w:tcPr>
            <w:tcW w:w="1558" w:type="dxa"/>
            <w:tcBorders>
              <w:top w:val="nil"/>
              <w:left w:val="single" w:sz="2" w:space="0" w:color="auto"/>
              <w:bottom w:val="nil"/>
              <w:right w:val="single" w:sz="2" w:space="0" w:color="auto"/>
            </w:tcBorders>
          </w:tcPr>
          <w:p w14:paraId="223A5B6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33D23239" w14:textId="77777777" w:rsidR="00354061" w:rsidRPr="00B235BD" w:rsidRDefault="00354061" w:rsidP="00354061">
            <w:pPr>
              <w:pStyle w:val="TableText"/>
              <w:tabs>
                <w:tab w:val="left" w:pos="3306"/>
              </w:tabs>
              <w:rPr>
                <w:rFonts w:cs="Calibri"/>
              </w:rPr>
            </w:pPr>
            <w:r w:rsidRPr="00B235BD">
              <w:rPr>
                <w:rFonts w:cs="Calibri"/>
              </w:rPr>
              <w:t>Fees for Regulatory Services</w:t>
            </w:r>
          </w:p>
        </w:tc>
        <w:tc>
          <w:tcPr>
            <w:tcW w:w="1236" w:type="dxa"/>
            <w:tcBorders>
              <w:top w:val="nil"/>
              <w:left w:val="nil"/>
              <w:bottom w:val="nil"/>
              <w:right w:val="nil"/>
            </w:tcBorders>
            <w:vAlign w:val="bottom"/>
          </w:tcPr>
          <w:p w14:paraId="21DD9571" w14:textId="57814592" w:rsidR="00354061" w:rsidRPr="00B235BD" w:rsidRDefault="00354061" w:rsidP="00354061">
            <w:pPr>
              <w:pStyle w:val="TableText"/>
              <w:tabs>
                <w:tab w:val="left" w:pos="3306"/>
              </w:tabs>
              <w:jc w:val="right"/>
              <w:rPr>
                <w:rFonts w:cs="Calibri"/>
              </w:rPr>
            </w:pPr>
          </w:p>
        </w:tc>
        <w:tc>
          <w:tcPr>
            <w:tcW w:w="1456" w:type="dxa"/>
            <w:tcBorders>
              <w:top w:val="nil"/>
              <w:left w:val="nil"/>
              <w:bottom w:val="nil"/>
              <w:right w:val="nil"/>
            </w:tcBorders>
            <w:vAlign w:val="bottom"/>
          </w:tcPr>
          <w:p w14:paraId="4CBAD6A2" w14:textId="55451D48" w:rsidR="00354061" w:rsidRPr="00B235BD" w:rsidRDefault="00354061" w:rsidP="00354061">
            <w:pPr>
              <w:pStyle w:val="TableText"/>
              <w:tabs>
                <w:tab w:val="left" w:pos="3306"/>
              </w:tabs>
              <w:jc w:val="right"/>
              <w:rPr>
                <w:rFonts w:cs="Calibri"/>
              </w:rPr>
            </w:pPr>
          </w:p>
        </w:tc>
      </w:tr>
      <w:tr w:rsidR="00354061" w:rsidRPr="00CF7E1B" w14:paraId="2BBC37D1" w14:textId="77777777" w:rsidTr="00D919F2">
        <w:trPr>
          <w:cantSplit/>
          <w:trHeight w:val="23"/>
        </w:trPr>
        <w:tc>
          <w:tcPr>
            <w:tcW w:w="1558" w:type="dxa"/>
            <w:tcBorders>
              <w:top w:val="nil"/>
              <w:left w:val="single" w:sz="2" w:space="0" w:color="auto"/>
              <w:bottom w:val="nil"/>
              <w:right w:val="single" w:sz="2" w:space="0" w:color="auto"/>
            </w:tcBorders>
          </w:tcPr>
          <w:p w14:paraId="53AF36FD"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03DD68F2" w14:textId="77777777" w:rsidR="00354061" w:rsidRPr="00B235BD" w:rsidRDefault="00354061" w:rsidP="00354061">
            <w:pPr>
              <w:pStyle w:val="TableText"/>
              <w:tabs>
                <w:tab w:val="left" w:pos="3306"/>
              </w:tabs>
              <w:rPr>
                <w:rFonts w:cs="Calibri"/>
              </w:rPr>
            </w:pPr>
            <w:r w:rsidRPr="00B235BD">
              <w:rPr>
                <w:rFonts w:cs="Calibri"/>
              </w:rPr>
              <w:t>Other Fees</w:t>
            </w:r>
          </w:p>
        </w:tc>
        <w:tc>
          <w:tcPr>
            <w:tcW w:w="1236" w:type="dxa"/>
            <w:tcBorders>
              <w:top w:val="nil"/>
              <w:left w:val="nil"/>
              <w:bottom w:val="single" w:sz="2" w:space="0" w:color="auto"/>
              <w:right w:val="nil"/>
            </w:tcBorders>
            <w:vAlign w:val="bottom"/>
          </w:tcPr>
          <w:p w14:paraId="600FC801" w14:textId="3FF1D03A" w:rsidR="00354061" w:rsidRPr="00B235BD" w:rsidRDefault="00354061" w:rsidP="00354061">
            <w:pPr>
              <w:pStyle w:val="TableText"/>
              <w:tabs>
                <w:tab w:val="left" w:pos="3306"/>
              </w:tabs>
              <w:jc w:val="right"/>
              <w:rPr>
                <w:rFonts w:cs="Calibri"/>
              </w:rPr>
            </w:pPr>
          </w:p>
        </w:tc>
        <w:tc>
          <w:tcPr>
            <w:tcW w:w="1456" w:type="dxa"/>
            <w:tcBorders>
              <w:top w:val="nil"/>
              <w:left w:val="nil"/>
              <w:bottom w:val="single" w:sz="2" w:space="0" w:color="auto"/>
              <w:right w:val="nil"/>
            </w:tcBorders>
            <w:vAlign w:val="bottom"/>
          </w:tcPr>
          <w:p w14:paraId="5878C220" w14:textId="1556D9E5" w:rsidR="00354061" w:rsidRPr="00B235BD" w:rsidRDefault="00354061" w:rsidP="00354061">
            <w:pPr>
              <w:pStyle w:val="TableText"/>
              <w:tabs>
                <w:tab w:val="left" w:pos="3306"/>
              </w:tabs>
              <w:jc w:val="right"/>
              <w:rPr>
                <w:rFonts w:cs="Calibri"/>
              </w:rPr>
            </w:pPr>
          </w:p>
        </w:tc>
      </w:tr>
      <w:tr w:rsidR="00354061" w:rsidRPr="00CF7E1B" w14:paraId="61E23E8C" w14:textId="77777777" w:rsidTr="00D919F2">
        <w:trPr>
          <w:cantSplit/>
          <w:trHeight w:val="23"/>
        </w:trPr>
        <w:tc>
          <w:tcPr>
            <w:tcW w:w="1558" w:type="dxa"/>
            <w:tcBorders>
              <w:top w:val="nil"/>
              <w:left w:val="single" w:sz="2" w:space="0" w:color="auto"/>
              <w:bottom w:val="nil"/>
              <w:right w:val="single" w:sz="2" w:space="0" w:color="auto"/>
            </w:tcBorders>
          </w:tcPr>
          <w:p w14:paraId="6EB61FDE"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5BF18AC6" w14:textId="77777777" w:rsidR="00354061" w:rsidRPr="00B235BD" w:rsidRDefault="00354061" w:rsidP="00354061">
            <w:pPr>
              <w:pStyle w:val="TableText"/>
              <w:tabs>
                <w:tab w:val="left" w:pos="3306"/>
              </w:tabs>
              <w:rPr>
                <w:rFonts w:cs="Calibri"/>
                <w:b/>
                <w:bCs/>
              </w:rPr>
            </w:pPr>
            <w:r w:rsidRPr="00B235BD">
              <w:rPr>
                <w:rFonts w:cs="Calibri"/>
                <w:b/>
                <w:bCs/>
              </w:rPr>
              <w:t>Total Fees</w:t>
            </w:r>
          </w:p>
        </w:tc>
        <w:tc>
          <w:tcPr>
            <w:tcW w:w="1236" w:type="dxa"/>
            <w:tcBorders>
              <w:top w:val="single" w:sz="2" w:space="0" w:color="auto"/>
              <w:left w:val="nil"/>
              <w:bottom w:val="single" w:sz="2" w:space="0" w:color="auto"/>
              <w:right w:val="nil"/>
            </w:tcBorders>
            <w:vAlign w:val="bottom"/>
          </w:tcPr>
          <w:p w14:paraId="5C65A2F9" w14:textId="0F5894EA" w:rsidR="00354061" w:rsidRPr="00B235BD" w:rsidRDefault="00354061" w:rsidP="00354061">
            <w:pPr>
              <w:pStyle w:val="TableText"/>
              <w:tabs>
                <w:tab w:val="left" w:pos="3306"/>
              </w:tabs>
              <w:jc w:val="right"/>
              <w:rPr>
                <w:rFonts w:cs="Calibri"/>
                <w:b/>
                <w:bCs/>
              </w:rPr>
            </w:pPr>
          </w:p>
        </w:tc>
        <w:tc>
          <w:tcPr>
            <w:tcW w:w="1456" w:type="dxa"/>
            <w:tcBorders>
              <w:top w:val="single" w:sz="2" w:space="0" w:color="auto"/>
              <w:left w:val="nil"/>
              <w:bottom w:val="single" w:sz="2" w:space="0" w:color="auto"/>
              <w:right w:val="nil"/>
            </w:tcBorders>
            <w:vAlign w:val="bottom"/>
          </w:tcPr>
          <w:p w14:paraId="422A0A84" w14:textId="3ACE1717" w:rsidR="00354061" w:rsidRPr="00B235BD" w:rsidRDefault="00354061" w:rsidP="00354061">
            <w:pPr>
              <w:pStyle w:val="TableText"/>
              <w:tabs>
                <w:tab w:val="left" w:pos="3306"/>
              </w:tabs>
              <w:jc w:val="right"/>
              <w:rPr>
                <w:rFonts w:cs="Calibri"/>
                <w:b/>
                <w:bCs/>
              </w:rPr>
            </w:pPr>
          </w:p>
        </w:tc>
      </w:tr>
      <w:tr w:rsidR="00354061" w:rsidRPr="00CF7E1B" w14:paraId="78A1807D" w14:textId="77777777" w:rsidTr="00D919F2">
        <w:trPr>
          <w:cantSplit/>
          <w:trHeight w:val="23"/>
        </w:trPr>
        <w:tc>
          <w:tcPr>
            <w:tcW w:w="1558" w:type="dxa"/>
            <w:tcBorders>
              <w:top w:val="nil"/>
              <w:left w:val="single" w:sz="2" w:space="0" w:color="auto"/>
              <w:bottom w:val="nil"/>
              <w:right w:val="single" w:sz="2" w:space="0" w:color="auto"/>
            </w:tcBorders>
          </w:tcPr>
          <w:p w14:paraId="3F865D79"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20BCB1EB" w14:textId="77777777" w:rsidR="00354061" w:rsidRPr="00B235BD" w:rsidRDefault="00354061" w:rsidP="00354061">
            <w:pPr>
              <w:pStyle w:val="TableText"/>
              <w:tabs>
                <w:tab w:val="left" w:pos="3306"/>
              </w:tabs>
              <w:rPr>
                <w:rFonts w:cs="Calibri"/>
              </w:rPr>
            </w:pPr>
          </w:p>
        </w:tc>
        <w:tc>
          <w:tcPr>
            <w:tcW w:w="1236" w:type="dxa"/>
            <w:tcBorders>
              <w:top w:val="single" w:sz="2" w:space="0" w:color="auto"/>
              <w:left w:val="nil"/>
              <w:bottom w:val="nil"/>
              <w:right w:val="nil"/>
            </w:tcBorders>
            <w:vAlign w:val="bottom"/>
          </w:tcPr>
          <w:p w14:paraId="02023860" w14:textId="77777777" w:rsidR="00354061" w:rsidRPr="00B235BD" w:rsidRDefault="00354061" w:rsidP="00354061">
            <w:pPr>
              <w:pStyle w:val="TableText"/>
              <w:tabs>
                <w:tab w:val="left" w:pos="3306"/>
              </w:tabs>
              <w:jc w:val="right"/>
              <w:rPr>
                <w:rFonts w:cs="Calibri"/>
              </w:rPr>
            </w:pPr>
          </w:p>
        </w:tc>
        <w:tc>
          <w:tcPr>
            <w:tcW w:w="1456" w:type="dxa"/>
            <w:tcBorders>
              <w:top w:val="single" w:sz="2" w:space="0" w:color="auto"/>
              <w:left w:val="nil"/>
              <w:bottom w:val="nil"/>
              <w:right w:val="nil"/>
            </w:tcBorders>
            <w:vAlign w:val="bottom"/>
          </w:tcPr>
          <w:p w14:paraId="2A39709A" w14:textId="77777777" w:rsidR="00354061" w:rsidRPr="00B235BD" w:rsidRDefault="00354061" w:rsidP="00354061">
            <w:pPr>
              <w:pStyle w:val="TableText"/>
              <w:tabs>
                <w:tab w:val="left" w:pos="3306"/>
              </w:tabs>
              <w:jc w:val="right"/>
              <w:rPr>
                <w:rFonts w:cs="Calibri"/>
              </w:rPr>
            </w:pPr>
          </w:p>
        </w:tc>
      </w:tr>
      <w:tr w:rsidR="00354061" w:rsidRPr="00CF7E1B" w14:paraId="67C35A5A" w14:textId="77777777" w:rsidTr="00D919F2">
        <w:trPr>
          <w:cantSplit/>
          <w:trHeight w:val="23"/>
        </w:trPr>
        <w:tc>
          <w:tcPr>
            <w:tcW w:w="1558" w:type="dxa"/>
            <w:tcBorders>
              <w:top w:val="nil"/>
              <w:left w:val="single" w:sz="2" w:space="0" w:color="auto"/>
              <w:bottom w:val="nil"/>
              <w:right w:val="single" w:sz="2" w:space="0" w:color="auto"/>
            </w:tcBorders>
          </w:tcPr>
          <w:p w14:paraId="66CB2342"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1A1491E4" w14:textId="77777777" w:rsidR="00354061" w:rsidRPr="00B235BD" w:rsidRDefault="00354061" w:rsidP="00354061">
            <w:pPr>
              <w:pStyle w:val="TableText"/>
              <w:tabs>
                <w:tab w:val="left" w:pos="3306"/>
              </w:tabs>
              <w:rPr>
                <w:rFonts w:cs="Calibri"/>
                <w:b/>
                <w:bCs/>
              </w:rPr>
            </w:pPr>
            <w:r w:rsidRPr="00B235BD">
              <w:rPr>
                <w:rFonts w:cs="Calibri"/>
                <w:b/>
                <w:bCs/>
              </w:rPr>
              <w:t>Fines</w:t>
            </w:r>
          </w:p>
        </w:tc>
        <w:tc>
          <w:tcPr>
            <w:tcW w:w="1236" w:type="dxa"/>
            <w:tcBorders>
              <w:top w:val="nil"/>
              <w:left w:val="nil"/>
              <w:bottom w:val="nil"/>
              <w:right w:val="nil"/>
            </w:tcBorders>
            <w:vAlign w:val="bottom"/>
          </w:tcPr>
          <w:p w14:paraId="222D956C" w14:textId="77777777" w:rsidR="00354061" w:rsidRPr="00B235BD" w:rsidRDefault="00354061" w:rsidP="00354061">
            <w:pPr>
              <w:pStyle w:val="TableText"/>
              <w:tabs>
                <w:tab w:val="left" w:pos="3306"/>
              </w:tabs>
              <w:jc w:val="right"/>
              <w:rPr>
                <w:rFonts w:cs="Calibri"/>
              </w:rPr>
            </w:pPr>
          </w:p>
        </w:tc>
        <w:tc>
          <w:tcPr>
            <w:tcW w:w="1456" w:type="dxa"/>
            <w:tcBorders>
              <w:top w:val="nil"/>
              <w:left w:val="nil"/>
              <w:bottom w:val="nil"/>
              <w:right w:val="nil"/>
            </w:tcBorders>
            <w:vAlign w:val="bottom"/>
          </w:tcPr>
          <w:p w14:paraId="49CA0F8C" w14:textId="77777777" w:rsidR="00354061" w:rsidRPr="00B235BD" w:rsidRDefault="00354061" w:rsidP="00354061">
            <w:pPr>
              <w:pStyle w:val="TableText"/>
              <w:tabs>
                <w:tab w:val="left" w:pos="3306"/>
              </w:tabs>
              <w:jc w:val="right"/>
              <w:rPr>
                <w:rFonts w:cs="Calibri"/>
              </w:rPr>
            </w:pPr>
          </w:p>
        </w:tc>
      </w:tr>
      <w:tr w:rsidR="00354061" w:rsidRPr="00CF7E1B" w14:paraId="6FEDDD6C" w14:textId="77777777" w:rsidTr="00D919F2">
        <w:trPr>
          <w:cantSplit/>
          <w:trHeight w:val="23"/>
        </w:trPr>
        <w:tc>
          <w:tcPr>
            <w:tcW w:w="1558" w:type="dxa"/>
            <w:tcBorders>
              <w:top w:val="nil"/>
              <w:left w:val="single" w:sz="2" w:space="0" w:color="auto"/>
              <w:bottom w:val="nil"/>
              <w:right w:val="single" w:sz="2" w:space="0" w:color="auto"/>
            </w:tcBorders>
          </w:tcPr>
          <w:p w14:paraId="4C6E2F7F"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3A20FE31" w14:textId="77777777" w:rsidR="00354061" w:rsidRPr="00B235BD" w:rsidRDefault="00354061" w:rsidP="00354061">
            <w:pPr>
              <w:pStyle w:val="TableText"/>
              <w:tabs>
                <w:tab w:val="left" w:pos="3306"/>
              </w:tabs>
              <w:rPr>
                <w:rFonts w:cs="Calibri"/>
              </w:rPr>
            </w:pPr>
            <w:r w:rsidRPr="00B235BD">
              <w:rPr>
                <w:rFonts w:cs="Calibri"/>
              </w:rPr>
              <w:t xml:space="preserve">Traffic Fines </w:t>
            </w:r>
          </w:p>
        </w:tc>
        <w:tc>
          <w:tcPr>
            <w:tcW w:w="1236" w:type="dxa"/>
            <w:tcBorders>
              <w:top w:val="nil"/>
              <w:left w:val="nil"/>
              <w:bottom w:val="nil"/>
              <w:right w:val="nil"/>
            </w:tcBorders>
            <w:vAlign w:val="bottom"/>
          </w:tcPr>
          <w:p w14:paraId="1EC47C96" w14:textId="7310CFCF" w:rsidR="00354061" w:rsidRPr="00B235BD" w:rsidRDefault="00354061" w:rsidP="00354061">
            <w:pPr>
              <w:pStyle w:val="TableText"/>
              <w:tabs>
                <w:tab w:val="left" w:pos="3306"/>
              </w:tabs>
              <w:jc w:val="right"/>
              <w:rPr>
                <w:rFonts w:cs="Calibri"/>
              </w:rPr>
            </w:pPr>
          </w:p>
        </w:tc>
        <w:tc>
          <w:tcPr>
            <w:tcW w:w="1456" w:type="dxa"/>
            <w:tcBorders>
              <w:top w:val="nil"/>
              <w:left w:val="nil"/>
              <w:bottom w:val="nil"/>
              <w:right w:val="nil"/>
            </w:tcBorders>
            <w:vAlign w:val="bottom"/>
          </w:tcPr>
          <w:p w14:paraId="72EC57B6" w14:textId="54559A64" w:rsidR="00354061" w:rsidRPr="00B235BD" w:rsidRDefault="00354061" w:rsidP="00354061">
            <w:pPr>
              <w:pStyle w:val="TableText"/>
              <w:tabs>
                <w:tab w:val="left" w:pos="3306"/>
              </w:tabs>
              <w:jc w:val="right"/>
              <w:rPr>
                <w:rFonts w:cs="Calibri"/>
              </w:rPr>
            </w:pPr>
          </w:p>
        </w:tc>
      </w:tr>
      <w:tr w:rsidR="00354061" w:rsidRPr="00CF7E1B" w14:paraId="7AF1565A" w14:textId="77777777" w:rsidTr="00D919F2">
        <w:trPr>
          <w:cantSplit/>
          <w:trHeight w:val="23"/>
        </w:trPr>
        <w:tc>
          <w:tcPr>
            <w:tcW w:w="1558" w:type="dxa"/>
            <w:tcBorders>
              <w:top w:val="nil"/>
              <w:left w:val="single" w:sz="2" w:space="0" w:color="auto"/>
              <w:bottom w:val="nil"/>
              <w:right w:val="single" w:sz="2" w:space="0" w:color="auto"/>
            </w:tcBorders>
          </w:tcPr>
          <w:p w14:paraId="13545F44"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26D75DE4" w14:textId="77777777" w:rsidR="00354061" w:rsidRPr="00B235BD" w:rsidRDefault="00354061" w:rsidP="00354061">
            <w:pPr>
              <w:pStyle w:val="TableText"/>
              <w:tabs>
                <w:tab w:val="left" w:pos="3306"/>
              </w:tabs>
              <w:rPr>
                <w:rFonts w:cs="Calibri"/>
              </w:rPr>
            </w:pPr>
            <w:r w:rsidRPr="00B235BD">
              <w:rPr>
                <w:rFonts w:cs="Calibri"/>
              </w:rPr>
              <w:t xml:space="preserve">Parking Fines </w:t>
            </w:r>
          </w:p>
        </w:tc>
        <w:tc>
          <w:tcPr>
            <w:tcW w:w="1236" w:type="dxa"/>
            <w:tcBorders>
              <w:top w:val="nil"/>
              <w:left w:val="nil"/>
              <w:bottom w:val="single" w:sz="2" w:space="0" w:color="auto"/>
              <w:right w:val="nil"/>
            </w:tcBorders>
            <w:vAlign w:val="bottom"/>
          </w:tcPr>
          <w:p w14:paraId="2F39B16C" w14:textId="30ECA67C" w:rsidR="00354061" w:rsidRPr="00B235BD" w:rsidRDefault="00354061" w:rsidP="00354061">
            <w:pPr>
              <w:pStyle w:val="TableText"/>
              <w:tabs>
                <w:tab w:val="left" w:pos="3306"/>
              </w:tabs>
              <w:jc w:val="right"/>
              <w:rPr>
                <w:rFonts w:cs="Calibri"/>
              </w:rPr>
            </w:pPr>
          </w:p>
        </w:tc>
        <w:tc>
          <w:tcPr>
            <w:tcW w:w="1456" w:type="dxa"/>
            <w:tcBorders>
              <w:top w:val="nil"/>
              <w:left w:val="nil"/>
              <w:bottom w:val="single" w:sz="2" w:space="0" w:color="auto"/>
              <w:right w:val="nil"/>
            </w:tcBorders>
            <w:vAlign w:val="bottom"/>
          </w:tcPr>
          <w:p w14:paraId="53583B8C" w14:textId="67011E1A" w:rsidR="00354061" w:rsidRPr="00B235BD" w:rsidRDefault="00354061" w:rsidP="00354061">
            <w:pPr>
              <w:pStyle w:val="TableText"/>
              <w:tabs>
                <w:tab w:val="left" w:pos="3306"/>
              </w:tabs>
              <w:jc w:val="right"/>
              <w:rPr>
                <w:rFonts w:cs="Calibri"/>
              </w:rPr>
            </w:pPr>
          </w:p>
        </w:tc>
      </w:tr>
      <w:tr w:rsidR="00354061" w:rsidRPr="00CF7E1B" w14:paraId="41DC79A0" w14:textId="77777777" w:rsidTr="00D919F2">
        <w:trPr>
          <w:cantSplit/>
          <w:trHeight w:val="23"/>
        </w:trPr>
        <w:tc>
          <w:tcPr>
            <w:tcW w:w="1558" w:type="dxa"/>
            <w:tcBorders>
              <w:top w:val="nil"/>
              <w:left w:val="single" w:sz="2" w:space="0" w:color="auto"/>
              <w:bottom w:val="nil"/>
              <w:right w:val="single" w:sz="2" w:space="0" w:color="auto"/>
            </w:tcBorders>
          </w:tcPr>
          <w:p w14:paraId="178ABB80"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4047DA44" w14:textId="77777777" w:rsidR="00354061" w:rsidRPr="00B235BD" w:rsidRDefault="00354061" w:rsidP="00354061">
            <w:pPr>
              <w:pStyle w:val="TableText"/>
              <w:tabs>
                <w:tab w:val="left" w:pos="3306"/>
              </w:tabs>
              <w:rPr>
                <w:rFonts w:cs="Calibri"/>
                <w:b/>
                <w:bCs/>
              </w:rPr>
            </w:pPr>
            <w:r w:rsidRPr="00B235BD">
              <w:rPr>
                <w:rFonts w:cs="Calibri"/>
                <w:b/>
                <w:bCs/>
              </w:rPr>
              <w:t>Total Fines</w:t>
            </w:r>
          </w:p>
        </w:tc>
        <w:tc>
          <w:tcPr>
            <w:tcW w:w="1236" w:type="dxa"/>
            <w:tcBorders>
              <w:top w:val="single" w:sz="2" w:space="0" w:color="auto"/>
              <w:left w:val="nil"/>
              <w:bottom w:val="single" w:sz="2" w:space="0" w:color="auto"/>
              <w:right w:val="nil"/>
            </w:tcBorders>
            <w:vAlign w:val="bottom"/>
          </w:tcPr>
          <w:p w14:paraId="1F8D4875" w14:textId="1886D672" w:rsidR="00354061" w:rsidRPr="00B235BD" w:rsidRDefault="00354061" w:rsidP="00354061">
            <w:pPr>
              <w:pStyle w:val="TableText"/>
              <w:tabs>
                <w:tab w:val="left" w:pos="3306"/>
              </w:tabs>
              <w:jc w:val="right"/>
              <w:rPr>
                <w:rFonts w:cs="Calibri"/>
                <w:b/>
                <w:bCs/>
              </w:rPr>
            </w:pPr>
          </w:p>
        </w:tc>
        <w:tc>
          <w:tcPr>
            <w:tcW w:w="1456" w:type="dxa"/>
            <w:tcBorders>
              <w:top w:val="single" w:sz="2" w:space="0" w:color="auto"/>
              <w:left w:val="nil"/>
              <w:bottom w:val="single" w:sz="2" w:space="0" w:color="auto"/>
              <w:right w:val="nil"/>
            </w:tcBorders>
            <w:vAlign w:val="bottom"/>
          </w:tcPr>
          <w:p w14:paraId="0A217D9C" w14:textId="01BBB120" w:rsidR="00354061" w:rsidRPr="00B235BD" w:rsidRDefault="00354061" w:rsidP="00354061">
            <w:pPr>
              <w:pStyle w:val="TableText"/>
              <w:tabs>
                <w:tab w:val="left" w:pos="3306"/>
              </w:tabs>
              <w:jc w:val="right"/>
              <w:rPr>
                <w:rFonts w:cs="Calibri"/>
                <w:b/>
                <w:bCs/>
              </w:rPr>
            </w:pPr>
          </w:p>
        </w:tc>
      </w:tr>
      <w:tr w:rsidR="00354061" w:rsidRPr="00CF7E1B" w14:paraId="2D717095" w14:textId="77777777" w:rsidTr="00D919F2">
        <w:trPr>
          <w:cantSplit/>
          <w:trHeight w:val="146"/>
        </w:trPr>
        <w:tc>
          <w:tcPr>
            <w:tcW w:w="1558" w:type="dxa"/>
            <w:tcBorders>
              <w:top w:val="nil"/>
              <w:left w:val="single" w:sz="2" w:space="0" w:color="auto"/>
              <w:bottom w:val="nil"/>
              <w:right w:val="single" w:sz="2" w:space="0" w:color="auto"/>
            </w:tcBorders>
          </w:tcPr>
          <w:p w14:paraId="4232D28E"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32C46CDA" w14:textId="77777777" w:rsidR="00354061" w:rsidRPr="00B235BD" w:rsidRDefault="00354061" w:rsidP="00354061">
            <w:pPr>
              <w:pStyle w:val="TableText"/>
              <w:tabs>
                <w:tab w:val="left" w:pos="3306"/>
              </w:tabs>
              <w:rPr>
                <w:rFonts w:cs="Calibri"/>
              </w:rPr>
            </w:pPr>
          </w:p>
        </w:tc>
        <w:tc>
          <w:tcPr>
            <w:tcW w:w="1236" w:type="dxa"/>
            <w:tcBorders>
              <w:top w:val="single" w:sz="2" w:space="0" w:color="auto"/>
              <w:left w:val="nil"/>
              <w:bottom w:val="single" w:sz="2" w:space="0" w:color="auto"/>
              <w:right w:val="nil"/>
            </w:tcBorders>
            <w:vAlign w:val="bottom"/>
          </w:tcPr>
          <w:p w14:paraId="3490A3D0" w14:textId="77777777" w:rsidR="00354061" w:rsidRPr="00B235BD" w:rsidRDefault="00354061" w:rsidP="00354061">
            <w:pPr>
              <w:pStyle w:val="TableText"/>
              <w:tabs>
                <w:tab w:val="left" w:pos="3306"/>
              </w:tabs>
              <w:jc w:val="right"/>
              <w:rPr>
                <w:rFonts w:cs="Calibri"/>
              </w:rPr>
            </w:pPr>
          </w:p>
        </w:tc>
        <w:tc>
          <w:tcPr>
            <w:tcW w:w="1456" w:type="dxa"/>
            <w:tcBorders>
              <w:top w:val="single" w:sz="2" w:space="0" w:color="auto"/>
              <w:left w:val="nil"/>
              <w:bottom w:val="single" w:sz="2" w:space="0" w:color="auto"/>
              <w:right w:val="nil"/>
            </w:tcBorders>
            <w:vAlign w:val="bottom"/>
          </w:tcPr>
          <w:p w14:paraId="2BE93A61" w14:textId="77777777" w:rsidR="00354061" w:rsidRPr="00B235BD" w:rsidRDefault="00354061" w:rsidP="00354061">
            <w:pPr>
              <w:pStyle w:val="TableText"/>
              <w:tabs>
                <w:tab w:val="left" w:pos="3306"/>
              </w:tabs>
              <w:jc w:val="right"/>
              <w:rPr>
                <w:rFonts w:cs="Calibri"/>
              </w:rPr>
            </w:pPr>
          </w:p>
        </w:tc>
      </w:tr>
      <w:tr w:rsidR="00354061" w:rsidRPr="00CF7E1B" w14:paraId="5F46C406" w14:textId="77777777" w:rsidTr="00D919F2">
        <w:trPr>
          <w:cantSplit/>
          <w:trHeight w:val="23"/>
        </w:trPr>
        <w:tc>
          <w:tcPr>
            <w:tcW w:w="1558" w:type="dxa"/>
            <w:tcBorders>
              <w:top w:val="nil"/>
              <w:left w:val="single" w:sz="2" w:space="0" w:color="auto"/>
              <w:bottom w:val="nil"/>
              <w:right w:val="single" w:sz="2" w:space="0" w:color="auto"/>
            </w:tcBorders>
          </w:tcPr>
          <w:p w14:paraId="73F8D9B2" w14:textId="77777777" w:rsidR="00354061" w:rsidRPr="00B235BD" w:rsidRDefault="00354061" w:rsidP="00354061">
            <w:pPr>
              <w:pStyle w:val="TableReference"/>
              <w:tabs>
                <w:tab w:val="left" w:pos="3306"/>
              </w:tabs>
              <w:spacing w:before="40"/>
              <w:rPr>
                <w:rFonts w:cs="Calibri"/>
                <w:color w:val="7030A0"/>
                <w:sz w:val="16"/>
                <w:szCs w:val="16"/>
              </w:rPr>
            </w:pPr>
          </w:p>
        </w:tc>
        <w:tc>
          <w:tcPr>
            <w:tcW w:w="6237" w:type="dxa"/>
            <w:tcBorders>
              <w:top w:val="nil"/>
              <w:left w:val="single" w:sz="2" w:space="0" w:color="auto"/>
              <w:bottom w:val="nil"/>
              <w:right w:val="nil"/>
            </w:tcBorders>
            <w:vAlign w:val="bottom"/>
          </w:tcPr>
          <w:p w14:paraId="2CC46C23" w14:textId="1B0A7507" w:rsidR="00354061" w:rsidRPr="00B235BD" w:rsidRDefault="00354061" w:rsidP="00354061">
            <w:pPr>
              <w:pStyle w:val="TableText"/>
              <w:tabs>
                <w:tab w:val="left" w:pos="3306"/>
              </w:tabs>
              <w:rPr>
                <w:rFonts w:cs="Calibri"/>
                <w:b/>
                <w:bCs/>
              </w:rPr>
            </w:pPr>
            <w:r w:rsidRPr="00B235BD">
              <w:rPr>
                <w:rFonts w:cs="Calibri"/>
                <w:b/>
                <w:bCs/>
              </w:rPr>
              <w:t xml:space="preserve">Total Taxes, </w:t>
            </w:r>
            <w:r w:rsidR="00D262BA" w:rsidRPr="00B235BD">
              <w:rPr>
                <w:rFonts w:cs="Calibri"/>
                <w:b/>
                <w:bCs/>
              </w:rPr>
              <w:t xml:space="preserve">Licences, </w:t>
            </w:r>
            <w:r w:rsidRPr="00B235BD">
              <w:rPr>
                <w:rFonts w:cs="Calibri"/>
                <w:b/>
                <w:bCs/>
              </w:rPr>
              <w:t>Fees and Fines</w:t>
            </w:r>
          </w:p>
        </w:tc>
        <w:tc>
          <w:tcPr>
            <w:tcW w:w="1236" w:type="dxa"/>
            <w:tcBorders>
              <w:top w:val="single" w:sz="2" w:space="0" w:color="auto"/>
              <w:left w:val="nil"/>
              <w:bottom w:val="double" w:sz="4" w:space="0" w:color="auto"/>
              <w:right w:val="nil"/>
            </w:tcBorders>
            <w:vAlign w:val="bottom"/>
          </w:tcPr>
          <w:p w14:paraId="067558E7" w14:textId="57B52B34" w:rsidR="00354061" w:rsidRPr="00B235BD" w:rsidRDefault="00354061" w:rsidP="00354061">
            <w:pPr>
              <w:pStyle w:val="TableText"/>
              <w:tabs>
                <w:tab w:val="left" w:pos="3306"/>
              </w:tabs>
              <w:jc w:val="right"/>
              <w:rPr>
                <w:rFonts w:cs="Calibri"/>
                <w:b/>
                <w:bCs/>
              </w:rPr>
            </w:pPr>
          </w:p>
        </w:tc>
        <w:tc>
          <w:tcPr>
            <w:tcW w:w="1456" w:type="dxa"/>
            <w:tcBorders>
              <w:top w:val="single" w:sz="2" w:space="0" w:color="auto"/>
              <w:left w:val="nil"/>
              <w:bottom w:val="double" w:sz="4" w:space="0" w:color="auto"/>
              <w:right w:val="nil"/>
            </w:tcBorders>
            <w:vAlign w:val="bottom"/>
          </w:tcPr>
          <w:p w14:paraId="5EE055C1" w14:textId="07DD8147" w:rsidR="00354061" w:rsidRPr="00B235BD" w:rsidRDefault="00354061" w:rsidP="00354061">
            <w:pPr>
              <w:pStyle w:val="TableText"/>
              <w:tabs>
                <w:tab w:val="left" w:pos="3306"/>
              </w:tabs>
              <w:jc w:val="right"/>
              <w:rPr>
                <w:rFonts w:cs="Calibri"/>
                <w:b/>
                <w:bCs/>
              </w:rPr>
            </w:pPr>
          </w:p>
        </w:tc>
      </w:tr>
    </w:tbl>
    <w:p w14:paraId="16087D50" w14:textId="77777777" w:rsidR="00F22D61" w:rsidRDefault="00F22D61">
      <w:r>
        <w:br w:type="page"/>
      </w:r>
    </w:p>
    <w:tbl>
      <w:tblPr>
        <w:tblW w:w="4973" w:type="pct"/>
        <w:tblInd w:w="-1" w:type="dxa"/>
        <w:shd w:val="clear" w:color="auto" w:fill="CCFFCC"/>
        <w:tblLayout w:type="fixed"/>
        <w:tblLook w:val="00A0" w:firstRow="1" w:lastRow="0" w:firstColumn="1" w:lastColumn="0" w:noHBand="0" w:noVBand="0"/>
      </w:tblPr>
      <w:tblGrid>
        <w:gridCol w:w="1558"/>
        <w:gridCol w:w="5999"/>
        <w:gridCol w:w="1655"/>
        <w:gridCol w:w="1275"/>
      </w:tblGrid>
      <w:tr w:rsidR="00854776" w:rsidRPr="00CF7E1B" w14:paraId="7D443DA2" w14:textId="77777777" w:rsidTr="00D919F2">
        <w:trPr>
          <w:trHeight w:val="283"/>
        </w:trPr>
        <w:tc>
          <w:tcPr>
            <w:tcW w:w="1558" w:type="dxa"/>
            <w:tcBorders>
              <w:left w:val="single" w:sz="2" w:space="0" w:color="auto"/>
              <w:right w:val="single" w:sz="2" w:space="0" w:color="auto"/>
            </w:tcBorders>
          </w:tcPr>
          <w:p w14:paraId="1999B1E0" w14:textId="619B1884" w:rsidR="00854776" w:rsidRPr="00B235BD" w:rsidRDefault="008A5268" w:rsidP="00A84CC0">
            <w:pPr>
              <w:pStyle w:val="TableReference"/>
              <w:tabs>
                <w:tab w:val="left" w:pos="3306"/>
              </w:tabs>
              <w:spacing w:after="240"/>
              <w:rPr>
                <w:rFonts w:cs="Calibri"/>
                <w:b/>
                <w:color w:val="7030A0"/>
                <w:sz w:val="20"/>
                <w:szCs w:val="20"/>
              </w:rPr>
            </w:pPr>
            <w:r w:rsidRPr="00B235BD">
              <w:rPr>
                <w:color w:val="7030A0"/>
              </w:rPr>
              <w:br w:type="page"/>
            </w:r>
            <w:r w:rsidR="00854776" w:rsidRPr="00B235BD">
              <w:rPr>
                <w:rFonts w:cs="Calibri"/>
                <w:color w:val="7030A0"/>
              </w:rPr>
              <w:br w:type="page"/>
            </w:r>
            <w:r w:rsidR="00B235BD" w:rsidRPr="00B235BD">
              <w:rPr>
                <w:rFonts w:asciiTheme="minorHAnsi" w:hAnsiTheme="minorHAnsi" w:cstheme="minorHAnsi"/>
                <w:b/>
                <w:bCs/>
                <w:color w:val="7030A0"/>
                <w:sz w:val="22"/>
                <w:szCs w:val="22"/>
              </w:rPr>
              <w:t>Reference</w:t>
            </w:r>
          </w:p>
        </w:tc>
        <w:tc>
          <w:tcPr>
            <w:tcW w:w="8929" w:type="dxa"/>
            <w:gridSpan w:val="3"/>
            <w:tcBorders>
              <w:left w:val="single" w:sz="2" w:space="0" w:color="auto"/>
            </w:tcBorders>
            <w:shd w:val="clear" w:color="auto" w:fill="7030A0"/>
          </w:tcPr>
          <w:p w14:paraId="3849AB7A" w14:textId="5B3D1C1A" w:rsidR="00854776" w:rsidRPr="00B235BD" w:rsidRDefault="00854776" w:rsidP="00A84CC0">
            <w:pPr>
              <w:pStyle w:val="CommentaryTitle"/>
              <w:pageBreakBefore w:val="0"/>
              <w:tabs>
                <w:tab w:val="left" w:pos="3306"/>
              </w:tabs>
              <w:spacing w:before="0" w:after="240"/>
              <w:rPr>
                <w:rFonts w:cs="Calibri"/>
                <w:color w:val="FFFFFF" w:themeColor="background1"/>
                <w:sz w:val="28"/>
                <w:szCs w:val="28"/>
              </w:rPr>
            </w:pPr>
            <w:bookmarkStart w:id="933" w:name="_Toc163106413"/>
            <w:r w:rsidRPr="00B235BD">
              <w:rPr>
                <w:rFonts w:cs="Calibri"/>
                <w:color w:val="FFFFFF" w:themeColor="background1"/>
                <w:sz w:val="28"/>
                <w:szCs w:val="28"/>
              </w:rPr>
              <w:t xml:space="preserve">Commentary – Note </w:t>
            </w:r>
            <w:r w:rsidR="00563F4A" w:rsidRPr="00B235BD">
              <w:rPr>
                <w:rFonts w:cs="Calibri"/>
                <w:color w:val="FFFFFF" w:themeColor="background1"/>
                <w:sz w:val="28"/>
                <w:szCs w:val="28"/>
              </w:rPr>
              <w:t>4</w:t>
            </w:r>
            <w:r w:rsidR="00E86853" w:rsidRPr="00B235BD">
              <w:rPr>
                <w:rFonts w:cs="Calibri"/>
                <w:color w:val="FFFFFF" w:themeColor="background1"/>
                <w:sz w:val="28"/>
                <w:szCs w:val="28"/>
              </w:rPr>
              <w:t>2</w:t>
            </w:r>
            <w:r w:rsidRPr="00B235BD">
              <w:rPr>
                <w:rFonts w:cs="Calibri"/>
                <w:color w:val="FFFFFF" w:themeColor="background1"/>
                <w:sz w:val="28"/>
                <w:szCs w:val="28"/>
              </w:rPr>
              <w:t>: Taxes,</w:t>
            </w:r>
            <w:r w:rsidR="00BE195A" w:rsidRPr="00B235BD">
              <w:rPr>
                <w:rFonts w:cs="Calibri"/>
                <w:color w:val="FFFFFF" w:themeColor="background1"/>
                <w:sz w:val="28"/>
                <w:szCs w:val="28"/>
              </w:rPr>
              <w:t xml:space="preserve"> Licences,</w:t>
            </w:r>
            <w:r w:rsidRPr="00B235BD">
              <w:rPr>
                <w:rFonts w:cs="Calibri"/>
                <w:color w:val="FFFFFF" w:themeColor="background1"/>
                <w:sz w:val="28"/>
                <w:szCs w:val="28"/>
              </w:rPr>
              <w:t xml:space="preserve"> Fees and Fines – Territorial</w:t>
            </w:r>
            <w:bookmarkEnd w:id="933"/>
          </w:p>
        </w:tc>
      </w:tr>
      <w:tr w:rsidR="00854776" w:rsidRPr="00CF7E1B" w14:paraId="46F245D0" w14:textId="77777777" w:rsidTr="00D919F2">
        <w:trPr>
          <w:trHeight w:val="283"/>
        </w:trPr>
        <w:tc>
          <w:tcPr>
            <w:tcW w:w="1558" w:type="dxa"/>
            <w:tcBorders>
              <w:left w:val="single" w:sz="2" w:space="0" w:color="auto"/>
              <w:right w:val="single" w:sz="2" w:space="0" w:color="auto"/>
            </w:tcBorders>
          </w:tcPr>
          <w:p w14:paraId="3DFD79A5" w14:textId="77777777" w:rsidR="00854776" w:rsidRPr="00B235BD" w:rsidRDefault="00854776" w:rsidP="00854776">
            <w:pPr>
              <w:pStyle w:val="TableReference"/>
              <w:tabs>
                <w:tab w:val="left" w:pos="3306"/>
              </w:tabs>
              <w:rPr>
                <w:rFonts w:cs="Calibri"/>
                <w:color w:val="7030A0"/>
                <w:sz w:val="14"/>
              </w:rPr>
            </w:pPr>
            <w:r w:rsidRPr="00B235BD">
              <w:rPr>
                <w:rFonts w:cs="Calibri"/>
                <w:color w:val="7030A0"/>
                <w:sz w:val="14"/>
              </w:rPr>
              <w:t>ACT Disclosure Policy</w:t>
            </w:r>
          </w:p>
          <w:p w14:paraId="40308A48" w14:textId="77777777" w:rsidR="00854776" w:rsidRPr="00B235BD" w:rsidRDefault="00854776" w:rsidP="00854776">
            <w:pPr>
              <w:pStyle w:val="TableReference"/>
              <w:tabs>
                <w:tab w:val="left" w:pos="3306"/>
              </w:tabs>
              <w:rPr>
                <w:rFonts w:cs="Calibri"/>
                <w:color w:val="7030A0"/>
                <w:sz w:val="14"/>
              </w:rPr>
            </w:pPr>
          </w:p>
          <w:p w14:paraId="1C4F8C11" w14:textId="77777777" w:rsidR="00854776" w:rsidRPr="00B235BD" w:rsidRDefault="00854776" w:rsidP="00854776">
            <w:pPr>
              <w:pStyle w:val="TableReference"/>
              <w:tabs>
                <w:tab w:val="left" w:pos="3306"/>
              </w:tabs>
              <w:rPr>
                <w:rFonts w:cs="Calibri"/>
                <w:color w:val="7030A0"/>
                <w:sz w:val="14"/>
              </w:rPr>
            </w:pPr>
          </w:p>
          <w:p w14:paraId="79C25979" w14:textId="4F8C2BD6" w:rsidR="00854776" w:rsidRPr="00B235BD" w:rsidRDefault="00854776" w:rsidP="00854776">
            <w:pPr>
              <w:pStyle w:val="TableReference"/>
              <w:tabs>
                <w:tab w:val="left" w:pos="3306"/>
              </w:tabs>
              <w:rPr>
                <w:rFonts w:cs="Calibri"/>
                <w:color w:val="7030A0"/>
                <w:sz w:val="14"/>
              </w:rPr>
            </w:pPr>
          </w:p>
        </w:tc>
        <w:tc>
          <w:tcPr>
            <w:tcW w:w="8929" w:type="dxa"/>
            <w:gridSpan w:val="3"/>
            <w:tcBorders>
              <w:left w:val="single" w:sz="2" w:space="0" w:color="auto"/>
            </w:tcBorders>
            <w:shd w:val="clear" w:color="auto" w:fill="7030A0"/>
          </w:tcPr>
          <w:p w14:paraId="03113A32" w14:textId="77AFD245" w:rsidR="00854776" w:rsidRPr="00B235BD" w:rsidRDefault="00854776" w:rsidP="00B66BE0">
            <w:pPr>
              <w:pStyle w:val="CommentaryText"/>
              <w:spacing w:after="60"/>
              <w:rPr>
                <w:rFonts w:cs="Calibri"/>
                <w:color w:val="FFFFFF" w:themeColor="background1"/>
                <w:sz w:val="18"/>
                <w:szCs w:val="18"/>
              </w:rPr>
            </w:pPr>
            <w:r w:rsidRPr="00B235BD">
              <w:rPr>
                <w:rFonts w:cs="Calibri"/>
                <w:color w:val="FFFFFF" w:themeColor="background1"/>
                <w:sz w:val="18"/>
                <w:szCs w:val="18"/>
              </w:rPr>
              <w:t xml:space="preserve">The break-up of Taxes, </w:t>
            </w:r>
            <w:r w:rsidR="00D262BA" w:rsidRPr="00B235BD">
              <w:rPr>
                <w:rFonts w:cs="Calibri"/>
                <w:color w:val="FFFFFF" w:themeColor="background1"/>
                <w:sz w:val="18"/>
                <w:szCs w:val="18"/>
              </w:rPr>
              <w:t xml:space="preserve">Licences, </w:t>
            </w:r>
            <w:r w:rsidRPr="00B235BD">
              <w:rPr>
                <w:rFonts w:cs="Calibri"/>
                <w:color w:val="FFFFFF" w:themeColor="background1"/>
                <w:sz w:val="18"/>
                <w:szCs w:val="18"/>
              </w:rPr>
              <w:t>Fees and Fines shown here is an example only.</w:t>
            </w:r>
            <w:r w:rsidR="00FA7C77">
              <w:rPr>
                <w:rFonts w:cs="Calibri"/>
                <w:color w:val="FFFFFF" w:themeColor="background1"/>
                <w:sz w:val="18"/>
                <w:szCs w:val="18"/>
              </w:rPr>
              <w:t xml:space="preserve"> </w:t>
            </w:r>
            <w:r w:rsidRPr="00B235BD">
              <w:rPr>
                <w:rFonts w:cs="Calibri"/>
                <w:color w:val="FFFFFF" w:themeColor="background1"/>
                <w:sz w:val="18"/>
                <w:szCs w:val="18"/>
              </w:rPr>
              <w:t xml:space="preserve">As Taxes, </w:t>
            </w:r>
            <w:r w:rsidR="00D262BA" w:rsidRPr="00B235BD">
              <w:rPr>
                <w:rFonts w:cs="Calibri"/>
                <w:color w:val="FFFFFF" w:themeColor="background1"/>
                <w:sz w:val="18"/>
                <w:szCs w:val="18"/>
              </w:rPr>
              <w:t>Licences,</w:t>
            </w:r>
            <w:r w:rsidR="007E638B" w:rsidRPr="00B235BD">
              <w:rPr>
                <w:rFonts w:cs="Calibri"/>
                <w:color w:val="FFFFFF" w:themeColor="background1"/>
                <w:sz w:val="18"/>
                <w:szCs w:val="18"/>
              </w:rPr>
              <w:t xml:space="preserve"> </w:t>
            </w:r>
            <w:r w:rsidRPr="00B235BD">
              <w:rPr>
                <w:rFonts w:cs="Calibri"/>
                <w:color w:val="FFFFFF" w:themeColor="background1"/>
                <w:sz w:val="18"/>
                <w:szCs w:val="18"/>
              </w:rPr>
              <w:t>Fees and Fines collected are generally unique to each agency, the break-up of this note disclosure will differ between agencies.</w:t>
            </w:r>
            <w:r w:rsidR="00FA7C77">
              <w:rPr>
                <w:rFonts w:cs="Calibri"/>
                <w:color w:val="FFFFFF" w:themeColor="background1"/>
                <w:sz w:val="18"/>
                <w:szCs w:val="18"/>
              </w:rPr>
              <w:t xml:space="preserve"> </w:t>
            </w:r>
            <w:r w:rsidRPr="00B235BD">
              <w:rPr>
                <w:rFonts w:cs="Calibri"/>
                <w:color w:val="FFFFFF" w:themeColor="background1"/>
                <w:sz w:val="18"/>
                <w:szCs w:val="18"/>
              </w:rPr>
              <w:t xml:space="preserve">Agencies will need to disclose relevant line items of Taxes, </w:t>
            </w:r>
            <w:r w:rsidR="00D262BA" w:rsidRPr="00B235BD">
              <w:rPr>
                <w:rFonts w:cs="Calibri"/>
                <w:color w:val="FFFFFF" w:themeColor="background1"/>
                <w:sz w:val="18"/>
                <w:szCs w:val="18"/>
              </w:rPr>
              <w:t xml:space="preserve">Licences, </w:t>
            </w:r>
            <w:r w:rsidRPr="00B235BD">
              <w:rPr>
                <w:rFonts w:cs="Calibri"/>
                <w:color w:val="FFFFFF" w:themeColor="background1"/>
                <w:sz w:val="18"/>
                <w:szCs w:val="18"/>
              </w:rPr>
              <w:t>Fees and Fines that apply to them.</w:t>
            </w:r>
            <w:r w:rsidR="00FA7C77">
              <w:rPr>
                <w:rFonts w:cs="Calibri"/>
                <w:color w:val="FFFFFF" w:themeColor="background1"/>
                <w:sz w:val="18"/>
                <w:szCs w:val="18"/>
              </w:rPr>
              <w:t xml:space="preserve"> </w:t>
            </w:r>
            <w:r w:rsidRPr="00B235BD">
              <w:rPr>
                <w:rFonts w:cs="Calibri"/>
                <w:color w:val="FFFFFF" w:themeColor="background1"/>
                <w:sz w:val="18"/>
                <w:szCs w:val="18"/>
              </w:rPr>
              <w:t>It is ACT Disclosure policy that all material line items within Taxes,</w:t>
            </w:r>
            <w:r w:rsidR="00D262BA" w:rsidRPr="00B235BD">
              <w:rPr>
                <w:rFonts w:cs="Calibri"/>
                <w:color w:val="FFFFFF" w:themeColor="background1"/>
                <w:sz w:val="18"/>
                <w:szCs w:val="18"/>
              </w:rPr>
              <w:t xml:space="preserve"> Licences,</w:t>
            </w:r>
            <w:r w:rsidRPr="00B235BD">
              <w:rPr>
                <w:rFonts w:cs="Calibri"/>
                <w:color w:val="FFFFFF" w:themeColor="background1"/>
                <w:sz w:val="18"/>
                <w:szCs w:val="18"/>
              </w:rPr>
              <w:t xml:space="preserve"> Fees and Fines be separately disclosed in this note.</w:t>
            </w:r>
          </w:p>
        </w:tc>
      </w:tr>
      <w:tr w:rsidR="00170787" w:rsidRPr="00CF7E1B" w14:paraId="11B6EFEB" w14:textId="77777777" w:rsidTr="00D919F2">
        <w:trPr>
          <w:trHeight w:val="283"/>
        </w:trPr>
        <w:tc>
          <w:tcPr>
            <w:tcW w:w="1558" w:type="dxa"/>
            <w:tcBorders>
              <w:left w:val="single" w:sz="2" w:space="0" w:color="auto"/>
              <w:right w:val="single" w:sz="2" w:space="0" w:color="auto"/>
            </w:tcBorders>
          </w:tcPr>
          <w:p w14:paraId="10C3DCAC" w14:textId="77777777" w:rsidR="00170787" w:rsidRPr="00B235BD" w:rsidRDefault="00170787" w:rsidP="00170787">
            <w:pPr>
              <w:pStyle w:val="TableReference"/>
              <w:tabs>
                <w:tab w:val="left" w:pos="3306"/>
              </w:tabs>
              <w:spacing w:before="60"/>
              <w:rPr>
                <w:rFonts w:cs="Calibri"/>
                <w:color w:val="7030A0"/>
                <w:sz w:val="14"/>
              </w:rPr>
            </w:pPr>
            <w:r w:rsidRPr="00B235BD">
              <w:rPr>
                <w:rFonts w:cs="Calibri"/>
                <w:color w:val="7030A0"/>
                <w:sz w:val="14"/>
              </w:rPr>
              <w:t>ACT Disclosure Policy</w:t>
            </w:r>
          </w:p>
          <w:p w14:paraId="265FF24D" w14:textId="77777777" w:rsidR="00170787" w:rsidRPr="00B235BD" w:rsidRDefault="00170787" w:rsidP="00170787">
            <w:pPr>
              <w:pStyle w:val="TableReference"/>
              <w:tabs>
                <w:tab w:val="left" w:pos="3306"/>
              </w:tabs>
              <w:rPr>
                <w:rFonts w:cs="Calibri"/>
                <w:color w:val="7030A0"/>
                <w:sz w:val="14"/>
              </w:rPr>
            </w:pPr>
          </w:p>
        </w:tc>
        <w:tc>
          <w:tcPr>
            <w:tcW w:w="8929" w:type="dxa"/>
            <w:gridSpan w:val="3"/>
            <w:tcBorders>
              <w:left w:val="single" w:sz="2" w:space="0" w:color="auto"/>
            </w:tcBorders>
            <w:shd w:val="clear" w:color="auto" w:fill="7030A0"/>
          </w:tcPr>
          <w:p w14:paraId="49DF2C65" w14:textId="2C36F155" w:rsidR="00170787" w:rsidRPr="00B235BD" w:rsidRDefault="00170787" w:rsidP="00170787">
            <w:pPr>
              <w:pStyle w:val="CommentaryText"/>
              <w:spacing w:after="60"/>
              <w:rPr>
                <w:rFonts w:cs="Calibri"/>
                <w:color w:val="FFFFFF" w:themeColor="background1"/>
                <w:sz w:val="18"/>
                <w:szCs w:val="18"/>
              </w:rPr>
            </w:pPr>
            <w:r w:rsidRPr="00B235BD">
              <w:rPr>
                <w:rFonts w:cs="Calibri"/>
                <w:color w:val="FFFFFF" w:themeColor="background1"/>
                <w:sz w:val="18"/>
                <w:szCs w:val="18"/>
              </w:rPr>
              <w:t>In addition, agencies should modify the length of the description and material accounting policies provided for each revenue type based on the materiality and complexity of that revenue type.</w:t>
            </w:r>
            <w:r w:rsidR="00FA7C77">
              <w:rPr>
                <w:rFonts w:cs="Calibri"/>
                <w:color w:val="FFFFFF" w:themeColor="background1"/>
                <w:sz w:val="18"/>
                <w:szCs w:val="18"/>
              </w:rPr>
              <w:t xml:space="preserve"> </w:t>
            </w:r>
            <w:r w:rsidRPr="00B235BD">
              <w:rPr>
                <w:rFonts w:cs="Calibri"/>
                <w:color w:val="FFFFFF" w:themeColor="background1"/>
                <w:sz w:val="18"/>
                <w:szCs w:val="18"/>
              </w:rPr>
              <w:t>That is, the more material and complex the revenue type, the longer the description and accounting policy should be for that revenue type.</w:t>
            </w:r>
            <w:r w:rsidR="00FA7C77">
              <w:rPr>
                <w:rFonts w:cs="Calibri"/>
                <w:color w:val="FFFFFF" w:themeColor="background1"/>
                <w:sz w:val="18"/>
                <w:szCs w:val="18"/>
              </w:rPr>
              <w:t xml:space="preserve"> </w:t>
            </w:r>
            <w:r w:rsidRPr="00B235BD">
              <w:rPr>
                <w:rFonts w:cs="Calibri"/>
                <w:color w:val="FFFFFF" w:themeColor="background1"/>
                <w:sz w:val="18"/>
                <w:szCs w:val="18"/>
              </w:rPr>
              <w:t>The less material and complex the revenue type, the shorter the description and accounting policy should be for that revenue type.</w:t>
            </w:r>
          </w:p>
        </w:tc>
      </w:tr>
      <w:tr w:rsidR="00170787" w:rsidRPr="00CF7E1B" w14:paraId="0CF05851" w14:textId="77777777" w:rsidTr="00D919F2">
        <w:trPr>
          <w:trHeight w:val="283"/>
        </w:trPr>
        <w:tc>
          <w:tcPr>
            <w:tcW w:w="1558" w:type="dxa"/>
            <w:tcBorders>
              <w:left w:val="single" w:sz="2" w:space="0" w:color="auto"/>
              <w:right w:val="single" w:sz="2" w:space="0" w:color="auto"/>
            </w:tcBorders>
          </w:tcPr>
          <w:p w14:paraId="3A2AEF01" w14:textId="77777777" w:rsidR="00170787" w:rsidRPr="00B235BD" w:rsidRDefault="00170787" w:rsidP="00170787">
            <w:pPr>
              <w:pStyle w:val="TableReference"/>
              <w:tabs>
                <w:tab w:val="left" w:pos="3306"/>
              </w:tabs>
              <w:rPr>
                <w:rFonts w:cs="Calibri"/>
                <w:color w:val="7030A0"/>
                <w:sz w:val="14"/>
              </w:rPr>
            </w:pPr>
          </w:p>
        </w:tc>
        <w:tc>
          <w:tcPr>
            <w:tcW w:w="8929" w:type="dxa"/>
            <w:gridSpan w:val="3"/>
            <w:tcBorders>
              <w:left w:val="single" w:sz="2" w:space="0" w:color="auto"/>
            </w:tcBorders>
            <w:shd w:val="clear" w:color="auto" w:fill="7030A0"/>
          </w:tcPr>
          <w:p w14:paraId="1C1FD9B9" w14:textId="25D4FDCF" w:rsidR="00170787" w:rsidRPr="00B235BD" w:rsidRDefault="00170787" w:rsidP="00170787">
            <w:pPr>
              <w:pStyle w:val="CommentaryText"/>
              <w:spacing w:after="60"/>
              <w:rPr>
                <w:rFonts w:cs="Calibri"/>
                <w:color w:val="FFFFFF" w:themeColor="background1"/>
                <w:sz w:val="18"/>
                <w:szCs w:val="18"/>
              </w:rPr>
            </w:pPr>
            <w:r w:rsidRPr="00B235BD">
              <w:rPr>
                <w:rFonts w:cs="Calibri"/>
                <w:color w:val="FFFFFF" w:themeColor="background1"/>
                <w:sz w:val="18"/>
                <w:szCs w:val="18"/>
              </w:rPr>
              <w:t xml:space="preserve">Revenue from licences </w:t>
            </w:r>
            <w:r w:rsidR="006222F7" w:rsidRPr="00B235BD">
              <w:rPr>
                <w:rFonts w:cs="Calibri"/>
                <w:color w:val="FFFFFF" w:themeColor="background1"/>
                <w:sz w:val="18"/>
                <w:szCs w:val="18"/>
              </w:rPr>
              <w:t>is</w:t>
            </w:r>
            <w:r w:rsidRPr="00B235BD">
              <w:rPr>
                <w:rFonts w:cs="Calibri"/>
                <w:color w:val="FFFFFF" w:themeColor="background1"/>
                <w:sz w:val="18"/>
                <w:szCs w:val="18"/>
              </w:rPr>
              <w:t xml:space="preserve"> accounted for under AASB 15 (see exemptions below), while income from taxes </w:t>
            </w:r>
            <w:r w:rsidR="006222F7" w:rsidRPr="00B235BD">
              <w:rPr>
                <w:rFonts w:cs="Calibri"/>
                <w:color w:val="FFFFFF" w:themeColor="background1"/>
                <w:sz w:val="18"/>
                <w:szCs w:val="18"/>
              </w:rPr>
              <w:t>is</w:t>
            </w:r>
            <w:r w:rsidRPr="00B235BD">
              <w:rPr>
                <w:rFonts w:cs="Calibri"/>
                <w:color w:val="FFFFFF" w:themeColor="background1"/>
                <w:sz w:val="18"/>
                <w:szCs w:val="18"/>
              </w:rPr>
              <w:t xml:space="preserve"> accounted for under AASB 1058.</w:t>
            </w:r>
          </w:p>
        </w:tc>
      </w:tr>
      <w:tr w:rsidR="00170787" w:rsidRPr="00CF7E1B" w14:paraId="4DE9F781" w14:textId="77777777" w:rsidTr="00D919F2">
        <w:trPr>
          <w:trHeight w:val="283"/>
        </w:trPr>
        <w:tc>
          <w:tcPr>
            <w:tcW w:w="1558" w:type="dxa"/>
            <w:tcBorders>
              <w:left w:val="single" w:sz="2" w:space="0" w:color="auto"/>
              <w:right w:val="single" w:sz="2" w:space="0" w:color="auto"/>
            </w:tcBorders>
          </w:tcPr>
          <w:p w14:paraId="16289FF3" w14:textId="77777777" w:rsidR="00170787" w:rsidRPr="00B235BD" w:rsidRDefault="00170787" w:rsidP="00114653">
            <w:pPr>
              <w:pStyle w:val="TableReference"/>
              <w:tabs>
                <w:tab w:val="left" w:pos="3306"/>
              </w:tabs>
              <w:rPr>
                <w:rFonts w:cs="Calibri"/>
                <w:color w:val="7030A0"/>
                <w:sz w:val="14"/>
              </w:rPr>
            </w:pPr>
          </w:p>
        </w:tc>
        <w:tc>
          <w:tcPr>
            <w:tcW w:w="8929" w:type="dxa"/>
            <w:gridSpan w:val="3"/>
            <w:tcBorders>
              <w:left w:val="single" w:sz="2" w:space="0" w:color="auto"/>
            </w:tcBorders>
            <w:shd w:val="clear" w:color="auto" w:fill="7030A0"/>
          </w:tcPr>
          <w:p w14:paraId="02DB813D" w14:textId="68615B66" w:rsidR="00170787" w:rsidRPr="00B235BD" w:rsidRDefault="00170787" w:rsidP="00170787">
            <w:pPr>
              <w:pStyle w:val="CommentaryText"/>
              <w:spacing w:after="40"/>
              <w:rPr>
                <w:rFonts w:cs="Calibri"/>
                <w:color w:val="FFFFFF" w:themeColor="background1"/>
                <w:sz w:val="18"/>
                <w:szCs w:val="18"/>
              </w:rPr>
            </w:pPr>
            <w:r w:rsidRPr="00B235BD">
              <w:rPr>
                <w:rFonts w:cs="Calibri"/>
                <w:color w:val="FFFFFF" w:themeColor="background1"/>
                <w:sz w:val="18"/>
                <w:szCs w:val="18"/>
              </w:rPr>
              <w:t xml:space="preserve">AASB 15 contains guidance for application by not-for-profit public sector licensors including: </w:t>
            </w:r>
          </w:p>
          <w:p w14:paraId="39F9AFD7" w14:textId="6C4B6F57" w:rsidR="00170787" w:rsidRPr="00B235BD" w:rsidRDefault="00854F9A" w:rsidP="007122BC">
            <w:pPr>
              <w:pStyle w:val="CommentaryText"/>
              <w:numPr>
                <w:ilvl w:val="1"/>
                <w:numId w:val="34"/>
              </w:numPr>
              <w:spacing w:after="40"/>
              <w:ind w:left="452"/>
              <w:rPr>
                <w:rFonts w:cs="Calibri"/>
                <w:color w:val="FFFFFF" w:themeColor="background1"/>
                <w:sz w:val="18"/>
                <w:szCs w:val="18"/>
              </w:rPr>
            </w:pPr>
            <w:r w:rsidRPr="00B235BD">
              <w:rPr>
                <w:rFonts w:cs="Calibri"/>
                <w:color w:val="FFFFFF" w:themeColor="background1"/>
                <w:sz w:val="18"/>
                <w:szCs w:val="18"/>
              </w:rPr>
              <w:t xml:space="preserve">for </w:t>
            </w:r>
            <w:r w:rsidR="00170787" w:rsidRPr="00B235BD">
              <w:rPr>
                <w:rFonts w:cs="Calibri"/>
                <w:color w:val="FFFFFF" w:themeColor="background1"/>
                <w:sz w:val="18"/>
                <w:szCs w:val="18"/>
              </w:rPr>
              <w:t xml:space="preserve">non-contractual licences; </w:t>
            </w:r>
          </w:p>
          <w:p w14:paraId="3ADBAB2B" w14:textId="58F2D074" w:rsidR="00170787" w:rsidRPr="00B235BD" w:rsidRDefault="00170787" w:rsidP="007122BC">
            <w:pPr>
              <w:pStyle w:val="CommentaryText"/>
              <w:numPr>
                <w:ilvl w:val="1"/>
                <w:numId w:val="34"/>
              </w:numPr>
              <w:spacing w:after="40"/>
              <w:ind w:left="452"/>
              <w:rPr>
                <w:rFonts w:cs="Calibri"/>
                <w:color w:val="FFFFFF" w:themeColor="background1"/>
                <w:sz w:val="18"/>
                <w:szCs w:val="18"/>
              </w:rPr>
            </w:pPr>
            <w:r w:rsidRPr="00B235BD">
              <w:rPr>
                <w:rFonts w:cs="Calibri"/>
                <w:color w:val="FFFFFF" w:themeColor="background1"/>
                <w:sz w:val="18"/>
                <w:szCs w:val="18"/>
              </w:rPr>
              <w:t>distinguishing a licence from a tax;</w:t>
            </w:r>
          </w:p>
          <w:p w14:paraId="184255DC" w14:textId="644258C3" w:rsidR="00170787" w:rsidRPr="00B235BD" w:rsidRDefault="00170787" w:rsidP="007122BC">
            <w:pPr>
              <w:pStyle w:val="CommentaryText"/>
              <w:numPr>
                <w:ilvl w:val="1"/>
                <w:numId w:val="34"/>
              </w:numPr>
              <w:spacing w:after="40"/>
              <w:ind w:left="452"/>
              <w:rPr>
                <w:rFonts w:cs="Calibri"/>
                <w:color w:val="FFFFFF" w:themeColor="background1"/>
                <w:sz w:val="18"/>
                <w:szCs w:val="18"/>
              </w:rPr>
            </w:pPr>
            <w:r w:rsidRPr="00B235BD">
              <w:rPr>
                <w:rFonts w:cs="Calibri"/>
                <w:color w:val="FFFFFF" w:themeColor="background1"/>
                <w:sz w:val="18"/>
                <w:szCs w:val="18"/>
              </w:rPr>
              <w:t xml:space="preserve">clarifying the types of licences issued by not-for-profit public sector licensors; </w:t>
            </w:r>
          </w:p>
          <w:p w14:paraId="43E4861B" w14:textId="1ECE4DB7" w:rsidR="00170787" w:rsidRPr="00B235BD" w:rsidRDefault="00170787" w:rsidP="007122BC">
            <w:pPr>
              <w:pStyle w:val="CommentaryText"/>
              <w:numPr>
                <w:ilvl w:val="1"/>
                <w:numId w:val="34"/>
              </w:numPr>
              <w:spacing w:after="40"/>
              <w:ind w:left="452"/>
              <w:rPr>
                <w:rFonts w:cs="Calibri"/>
                <w:color w:val="FFFFFF" w:themeColor="background1"/>
                <w:sz w:val="18"/>
                <w:szCs w:val="18"/>
              </w:rPr>
            </w:pPr>
            <w:r w:rsidRPr="00B235BD">
              <w:rPr>
                <w:rFonts w:cs="Calibri"/>
                <w:color w:val="FFFFFF" w:themeColor="background1"/>
                <w:sz w:val="18"/>
                <w:szCs w:val="18"/>
              </w:rPr>
              <w:t xml:space="preserve">clarifying the application of its principles to licences that are not within the scope of other Australian Accounting Standards; and </w:t>
            </w:r>
          </w:p>
          <w:p w14:paraId="2F8CF6EF" w14:textId="545B0BF0" w:rsidR="00170787" w:rsidRPr="00B235BD" w:rsidRDefault="00170787" w:rsidP="007122BC">
            <w:pPr>
              <w:pStyle w:val="CommentaryText"/>
              <w:numPr>
                <w:ilvl w:val="1"/>
                <w:numId w:val="34"/>
              </w:numPr>
              <w:ind w:left="452" w:hanging="357"/>
              <w:rPr>
                <w:rFonts w:cs="Calibri"/>
                <w:color w:val="FFFFFF" w:themeColor="background1"/>
                <w:sz w:val="18"/>
                <w:szCs w:val="18"/>
              </w:rPr>
            </w:pPr>
            <w:r w:rsidRPr="00B235BD">
              <w:rPr>
                <w:rFonts w:cs="Calibri"/>
                <w:color w:val="FFFFFF" w:themeColor="background1"/>
                <w:sz w:val="18"/>
                <w:szCs w:val="18"/>
              </w:rPr>
              <w:t>providing recognition exemptions for short-term licences (a term of 12 months or less) and licences issued for a low transaction price (ACT Government agencies will apply a threshold of $10,000 to determine whether a licence has a low-transaction price).</w:t>
            </w:r>
            <w:r w:rsidR="00FA7C77">
              <w:rPr>
                <w:rFonts w:cs="Calibri"/>
                <w:color w:val="FFFFFF" w:themeColor="background1"/>
                <w:sz w:val="18"/>
                <w:szCs w:val="18"/>
              </w:rPr>
              <w:t xml:space="preserve"> </w:t>
            </w:r>
            <w:r w:rsidRPr="00B235BD">
              <w:rPr>
                <w:rFonts w:cs="Calibri"/>
                <w:color w:val="FFFFFF" w:themeColor="background1"/>
                <w:sz w:val="18"/>
                <w:szCs w:val="18"/>
              </w:rPr>
              <w:t>In these cases, revenue is recognised either at the point in time the licence is issued, or on a straight-line basis over the licence term or another systematic basis.</w:t>
            </w:r>
          </w:p>
        </w:tc>
      </w:tr>
      <w:tr w:rsidR="00170787" w:rsidRPr="00CF7E1B" w14:paraId="65B0E681" w14:textId="77777777" w:rsidTr="00D919F2">
        <w:trPr>
          <w:trHeight w:val="283"/>
        </w:trPr>
        <w:tc>
          <w:tcPr>
            <w:tcW w:w="1558" w:type="dxa"/>
            <w:tcBorders>
              <w:left w:val="single" w:sz="2" w:space="0" w:color="auto"/>
              <w:right w:val="single" w:sz="2" w:space="0" w:color="auto"/>
            </w:tcBorders>
          </w:tcPr>
          <w:p w14:paraId="60A20F34" w14:textId="77777777" w:rsidR="00170787" w:rsidRPr="00B235BD" w:rsidRDefault="00170787" w:rsidP="00170787">
            <w:pPr>
              <w:pStyle w:val="TableReference"/>
              <w:tabs>
                <w:tab w:val="left" w:pos="3306"/>
              </w:tabs>
              <w:rPr>
                <w:rFonts w:cs="Calibri"/>
                <w:color w:val="7030A0"/>
                <w:sz w:val="14"/>
              </w:rPr>
            </w:pPr>
            <w:r w:rsidRPr="00B235BD">
              <w:rPr>
                <w:rFonts w:cs="Calibri"/>
                <w:color w:val="7030A0"/>
                <w:sz w:val="14"/>
              </w:rPr>
              <w:t>AASB 15.Aus8.3</w:t>
            </w:r>
          </w:p>
          <w:p w14:paraId="7BCB9110" w14:textId="77777777" w:rsidR="00170787" w:rsidRPr="00B235BD" w:rsidRDefault="00170787" w:rsidP="00170787">
            <w:pPr>
              <w:pStyle w:val="TableReference"/>
              <w:tabs>
                <w:tab w:val="left" w:pos="3306"/>
              </w:tabs>
              <w:rPr>
                <w:rFonts w:cs="Calibri"/>
                <w:color w:val="7030A0"/>
                <w:sz w:val="14"/>
              </w:rPr>
            </w:pPr>
          </w:p>
        </w:tc>
        <w:tc>
          <w:tcPr>
            <w:tcW w:w="8929" w:type="dxa"/>
            <w:gridSpan w:val="3"/>
            <w:tcBorders>
              <w:left w:val="single" w:sz="2" w:space="0" w:color="auto"/>
            </w:tcBorders>
            <w:shd w:val="clear" w:color="auto" w:fill="7030A0"/>
          </w:tcPr>
          <w:p w14:paraId="4B8919D5" w14:textId="660AE471" w:rsidR="00170787" w:rsidRPr="00B235BD" w:rsidRDefault="00170787" w:rsidP="00170787">
            <w:pPr>
              <w:pStyle w:val="CommentaryText"/>
              <w:rPr>
                <w:rFonts w:cs="Calibri"/>
                <w:color w:val="FFFFFF" w:themeColor="background1"/>
                <w:sz w:val="18"/>
                <w:szCs w:val="18"/>
              </w:rPr>
            </w:pPr>
            <w:r w:rsidRPr="00B235BD">
              <w:rPr>
                <w:rFonts w:cs="Calibri"/>
                <w:color w:val="FFFFFF" w:themeColor="background1"/>
                <w:sz w:val="18"/>
                <w:szCs w:val="18"/>
              </w:rPr>
              <w:t>AASB 16 states licences that are in substance leases or contain leases, except licences of intellectual property, fall within the scope of AASB 16.</w:t>
            </w:r>
            <w:r w:rsidR="00FA7C77">
              <w:rPr>
                <w:rFonts w:cs="Calibri"/>
                <w:color w:val="FFFFFF" w:themeColor="background1"/>
                <w:sz w:val="18"/>
                <w:szCs w:val="18"/>
              </w:rPr>
              <w:t xml:space="preserve"> </w:t>
            </w:r>
          </w:p>
        </w:tc>
      </w:tr>
      <w:tr w:rsidR="00170787" w:rsidRPr="00CF7E1B" w14:paraId="7692D591" w14:textId="77777777" w:rsidTr="00D919F2">
        <w:trPr>
          <w:trHeight w:val="283"/>
        </w:trPr>
        <w:tc>
          <w:tcPr>
            <w:tcW w:w="1558" w:type="dxa"/>
            <w:tcBorders>
              <w:left w:val="single" w:sz="2" w:space="0" w:color="auto"/>
              <w:right w:val="single" w:sz="2" w:space="0" w:color="auto"/>
            </w:tcBorders>
          </w:tcPr>
          <w:p w14:paraId="01880D7D" w14:textId="4F7A9AD7" w:rsidR="00170787" w:rsidRPr="00B235BD" w:rsidRDefault="00170787" w:rsidP="00170787">
            <w:pPr>
              <w:pStyle w:val="TableReference"/>
              <w:tabs>
                <w:tab w:val="left" w:pos="3306"/>
              </w:tabs>
              <w:rPr>
                <w:rFonts w:cs="Calibri"/>
                <w:color w:val="7030A0"/>
                <w:sz w:val="14"/>
              </w:rPr>
            </w:pPr>
            <w:r w:rsidRPr="00B235BD">
              <w:rPr>
                <w:rFonts w:cs="Calibri"/>
                <w:color w:val="7030A0"/>
                <w:sz w:val="14"/>
              </w:rPr>
              <w:t>AASB 15G.26</w:t>
            </w:r>
          </w:p>
        </w:tc>
        <w:tc>
          <w:tcPr>
            <w:tcW w:w="8929" w:type="dxa"/>
            <w:gridSpan w:val="3"/>
            <w:tcBorders>
              <w:left w:val="single" w:sz="2" w:space="0" w:color="auto"/>
            </w:tcBorders>
            <w:shd w:val="clear" w:color="auto" w:fill="7030A0"/>
          </w:tcPr>
          <w:p w14:paraId="5B7A1C0C" w14:textId="7ADB257B" w:rsidR="00170787" w:rsidRPr="00B235BD" w:rsidRDefault="00170787" w:rsidP="00A84CC0">
            <w:pPr>
              <w:pStyle w:val="CommentaryText"/>
              <w:rPr>
                <w:rFonts w:cs="Calibri"/>
                <w:color w:val="FFFFFF" w:themeColor="background1"/>
                <w:sz w:val="18"/>
                <w:szCs w:val="18"/>
              </w:rPr>
            </w:pPr>
            <w:r w:rsidRPr="00B235BD">
              <w:rPr>
                <w:rFonts w:cs="Calibri"/>
                <w:color w:val="FFFFFF" w:themeColor="background1"/>
                <w:sz w:val="18"/>
                <w:szCs w:val="18"/>
              </w:rPr>
              <w:t xml:space="preserve">Examples of low-value licences include driver licences, marriage licences and working with </w:t>
            </w:r>
            <w:r w:rsidR="00722BF2">
              <w:rPr>
                <w:rFonts w:cs="Calibri"/>
                <w:color w:val="FFFFFF" w:themeColor="background1"/>
                <w:sz w:val="18"/>
                <w:szCs w:val="18"/>
              </w:rPr>
              <w:t>vulnerable people checks</w:t>
            </w:r>
            <w:r w:rsidRPr="00B235BD">
              <w:rPr>
                <w:rFonts w:cs="Calibri"/>
                <w:color w:val="FFFFFF" w:themeColor="background1"/>
                <w:sz w:val="18"/>
                <w:szCs w:val="18"/>
              </w:rPr>
              <w:t>.</w:t>
            </w:r>
          </w:p>
        </w:tc>
      </w:tr>
      <w:tr w:rsidR="00EA0E19" w:rsidRPr="00CF7E1B" w14:paraId="61BC104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58" w:type="dxa"/>
            <w:tcBorders>
              <w:top w:val="nil"/>
              <w:left w:val="single" w:sz="2" w:space="0" w:color="auto"/>
              <w:bottom w:val="nil"/>
              <w:right w:val="single" w:sz="2" w:space="0" w:color="auto"/>
            </w:tcBorders>
          </w:tcPr>
          <w:p w14:paraId="2F6E1EE4" w14:textId="38D895C7" w:rsidR="00EA0E19" w:rsidRPr="00EA0E19" w:rsidRDefault="00EA0E19" w:rsidP="009A0F2F">
            <w:pPr>
              <w:pStyle w:val="TableReference"/>
              <w:tabs>
                <w:tab w:val="left" w:pos="3306"/>
              </w:tabs>
              <w:spacing w:before="240" w:after="240"/>
              <w:rPr>
                <w:rFonts w:asciiTheme="minorHAnsi" w:hAnsiTheme="minorHAnsi" w:cstheme="minorHAnsi"/>
                <w:color w:val="FF0000"/>
                <w:sz w:val="22"/>
                <w:szCs w:val="22"/>
              </w:rPr>
            </w:pPr>
          </w:p>
        </w:tc>
        <w:tc>
          <w:tcPr>
            <w:tcW w:w="8929" w:type="dxa"/>
            <w:gridSpan w:val="3"/>
            <w:tcBorders>
              <w:top w:val="nil"/>
              <w:left w:val="single" w:sz="2" w:space="0" w:color="auto"/>
              <w:bottom w:val="nil"/>
              <w:right w:val="nil"/>
            </w:tcBorders>
            <w:vAlign w:val="bottom"/>
          </w:tcPr>
          <w:p w14:paraId="2EA3ECB1" w14:textId="273DF53B" w:rsidR="00EA0E19" w:rsidRPr="009F3C52" w:rsidRDefault="00EA0E19" w:rsidP="009A0F2F">
            <w:pPr>
              <w:pStyle w:val="Heading1"/>
              <w:numPr>
                <w:ilvl w:val="0"/>
                <w:numId w:val="0"/>
              </w:numPr>
            </w:pPr>
            <w:bookmarkStart w:id="934" w:name="_Toc98763201"/>
            <w:r w:rsidRPr="009F3C52">
              <w:t>Note 4</w:t>
            </w:r>
            <w:r w:rsidR="00E86853" w:rsidRPr="009F3C52">
              <w:t>3</w:t>
            </w:r>
            <w:r w:rsidRPr="009F3C52">
              <w:t>.</w:t>
            </w:r>
            <w:r w:rsidR="00FA7C77">
              <w:t xml:space="preserve"> </w:t>
            </w:r>
            <w:r w:rsidRPr="009F3C52">
              <w:t>Other Income – Territorial</w:t>
            </w:r>
            <w:bookmarkEnd w:id="934"/>
          </w:p>
        </w:tc>
      </w:tr>
      <w:tr w:rsidR="00EA0E19" w:rsidRPr="00354061" w14:paraId="0D686845"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58" w:type="dxa"/>
            <w:tcBorders>
              <w:top w:val="nil"/>
              <w:left w:val="single" w:sz="2" w:space="0" w:color="auto"/>
              <w:bottom w:val="nil"/>
              <w:right w:val="single" w:sz="2" w:space="0" w:color="auto"/>
            </w:tcBorders>
          </w:tcPr>
          <w:p w14:paraId="06CA3730" w14:textId="77777777" w:rsidR="00EA0E19" w:rsidRPr="00315184" w:rsidRDefault="00EA0E19" w:rsidP="009A0F2F">
            <w:pPr>
              <w:pStyle w:val="TableReference"/>
              <w:tabs>
                <w:tab w:val="left" w:pos="3306"/>
              </w:tabs>
              <w:rPr>
                <w:rFonts w:cs="Calibri"/>
                <w:b/>
                <w:color w:val="auto"/>
                <w:sz w:val="20"/>
                <w:szCs w:val="20"/>
              </w:rPr>
            </w:pPr>
          </w:p>
        </w:tc>
        <w:tc>
          <w:tcPr>
            <w:tcW w:w="8929" w:type="dxa"/>
            <w:gridSpan w:val="3"/>
            <w:tcBorders>
              <w:top w:val="nil"/>
              <w:left w:val="single" w:sz="2" w:space="0" w:color="auto"/>
              <w:bottom w:val="nil"/>
              <w:right w:val="nil"/>
            </w:tcBorders>
            <w:vAlign w:val="bottom"/>
          </w:tcPr>
          <w:p w14:paraId="16B3DE6B" w14:textId="181FB973" w:rsidR="00EA0E19" w:rsidRPr="009F3C52" w:rsidRDefault="00EA0E19" w:rsidP="009A0F2F">
            <w:pPr>
              <w:spacing w:after="40"/>
              <w:rPr>
                <w:b/>
                <w:bCs/>
                <w:sz w:val="18"/>
                <w:szCs w:val="18"/>
              </w:rPr>
            </w:pPr>
            <w:r w:rsidRPr="009F3C52">
              <w:rPr>
                <w:b/>
                <w:bCs/>
                <w:sz w:val="18"/>
                <w:szCs w:val="18"/>
              </w:rPr>
              <w:t>Description and</w:t>
            </w:r>
            <w:r w:rsidRPr="009F3C52">
              <w:rPr>
                <w:b/>
                <w:bCs/>
                <w:caps/>
                <w:sz w:val="18"/>
                <w:szCs w:val="18"/>
              </w:rPr>
              <w:t xml:space="preserve"> </w:t>
            </w:r>
            <w:r w:rsidRPr="009F3C52">
              <w:rPr>
                <w:b/>
                <w:bCs/>
                <w:sz w:val="18"/>
                <w:szCs w:val="18"/>
              </w:rPr>
              <w:t>Material Accounting Policies Relating to Other Gains - Territorial</w:t>
            </w:r>
          </w:p>
        </w:tc>
      </w:tr>
      <w:tr w:rsidR="00EA0E19" w:rsidRPr="00D828C2" w14:paraId="65F46F5B"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58" w:type="dxa"/>
            <w:tcBorders>
              <w:top w:val="nil"/>
              <w:left w:val="single" w:sz="2" w:space="0" w:color="auto"/>
              <w:bottom w:val="nil"/>
              <w:right w:val="single" w:sz="2" w:space="0" w:color="auto"/>
            </w:tcBorders>
          </w:tcPr>
          <w:p w14:paraId="7974D7C9" w14:textId="77777777" w:rsidR="00EA0E19" w:rsidRPr="00315184" w:rsidRDefault="00EA0E19" w:rsidP="00EA0E19">
            <w:pPr>
              <w:pStyle w:val="TableReference"/>
              <w:tabs>
                <w:tab w:val="left" w:pos="3306"/>
              </w:tabs>
              <w:spacing w:before="40"/>
              <w:rPr>
                <w:rFonts w:cs="Calibri"/>
                <w:color w:val="auto"/>
                <w:sz w:val="16"/>
                <w:szCs w:val="16"/>
              </w:rPr>
            </w:pPr>
          </w:p>
        </w:tc>
        <w:tc>
          <w:tcPr>
            <w:tcW w:w="8929" w:type="dxa"/>
            <w:gridSpan w:val="3"/>
            <w:tcBorders>
              <w:top w:val="nil"/>
              <w:left w:val="single" w:sz="2" w:space="0" w:color="auto"/>
              <w:bottom w:val="nil"/>
              <w:right w:val="nil"/>
            </w:tcBorders>
          </w:tcPr>
          <w:p w14:paraId="1287271E" w14:textId="247AC60B" w:rsidR="00EA0E19" w:rsidRPr="009F3C52" w:rsidRDefault="00EA0E19" w:rsidP="00EA0E19">
            <w:pPr>
              <w:pStyle w:val="CommentaryText"/>
              <w:tabs>
                <w:tab w:val="left" w:pos="3306"/>
              </w:tabs>
              <w:spacing w:before="120" w:after="40"/>
              <w:rPr>
                <w:rFonts w:cs="Calibri"/>
                <w:sz w:val="18"/>
              </w:rPr>
            </w:pPr>
            <w:r w:rsidRPr="009F3C52">
              <w:rPr>
                <w:rFonts w:cs="Calibri"/>
                <w:i/>
                <w:iCs/>
                <w:sz w:val="18"/>
                <w:szCs w:val="18"/>
              </w:rPr>
              <w:t>Other Revenue and Other Gains</w:t>
            </w:r>
          </w:p>
        </w:tc>
      </w:tr>
      <w:tr w:rsidR="00EA0E19" w:rsidRPr="00D828C2" w14:paraId="4A913F37"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17"/>
        </w:trPr>
        <w:tc>
          <w:tcPr>
            <w:tcW w:w="1558" w:type="dxa"/>
            <w:tcBorders>
              <w:top w:val="nil"/>
              <w:left w:val="single" w:sz="2" w:space="0" w:color="auto"/>
              <w:bottom w:val="nil"/>
              <w:right w:val="single" w:sz="2" w:space="0" w:color="auto"/>
            </w:tcBorders>
          </w:tcPr>
          <w:p w14:paraId="6D60DE82" w14:textId="77777777" w:rsidR="00EA0E19" w:rsidRPr="00315184" w:rsidRDefault="00EA0E19" w:rsidP="00EA0E19">
            <w:pPr>
              <w:pStyle w:val="TableText"/>
              <w:rPr>
                <w:rFonts w:cs="Calibri"/>
                <w:sz w:val="16"/>
                <w:szCs w:val="16"/>
              </w:rPr>
            </w:pPr>
          </w:p>
        </w:tc>
        <w:tc>
          <w:tcPr>
            <w:tcW w:w="8929" w:type="dxa"/>
            <w:gridSpan w:val="3"/>
            <w:tcBorders>
              <w:top w:val="nil"/>
              <w:left w:val="single" w:sz="2" w:space="0" w:color="auto"/>
              <w:bottom w:val="nil"/>
              <w:right w:val="nil"/>
            </w:tcBorders>
          </w:tcPr>
          <w:p w14:paraId="38450302" w14:textId="02AB1A45" w:rsidR="00EA0E19" w:rsidRPr="009F3C52" w:rsidRDefault="00EA0E19" w:rsidP="00EA0E19">
            <w:pPr>
              <w:pStyle w:val="TableText"/>
              <w:spacing w:before="0"/>
              <w:jc w:val="both"/>
              <w:rPr>
                <w:rFonts w:cs="Calibri"/>
                <w:b/>
                <w:bCs/>
              </w:rPr>
            </w:pPr>
            <w:r w:rsidRPr="009F3C52">
              <w:rPr>
                <w:rFonts w:cs="Calibri"/>
              </w:rPr>
              <w:t xml:space="preserve">Other Revenue arises from the core activities of ‘Burley Griffin Agency’, </w:t>
            </w:r>
            <w:r w:rsidR="006222F7" w:rsidRPr="009F3C52">
              <w:rPr>
                <w:rFonts w:cs="Calibri"/>
              </w:rPr>
              <w:t>whereas</w:t>
            </w:r>
            <w:r w:rsidRPr="009F3C52">
              <w:rPr>
                <w:rFonts w:cs="Calibri"/>
              </w:rPr>
              <w:t xml:space="preserve"> Other Gains are transactions that are not part of the Agency’s core activities and tend to be one off, more </w:t>
            </w:r>
            <w:r w:rsidR="00722BF2">
              <w:rPr>
                <w:rFonts w:cs="Calibri"/>
              </w:rPr>
              <w:t>un</w:t>
            </w:r>
            <w:r w:rsidRPr="009F3C52">
              <w:rPr>
                <w:rFonts w:cs="Calibri"/>
              </w:rPr>
              <w:t>usual transactions.</w:t>
            </w:r>
            <w:r w:rsidR="00FA7C77">
              <w:rPr>
                <w:rFonts w:cs="Calibri"/>
              </w:rPr>
              <w:t xml:space="preserve"> </w:t>
            </w:r>
          </w:p>
        </w:tc>
      </w:tr>
      <w:tr w:rsidR="00EA0E19" w:rsidRPr="00CF7E1B" w14:paraId="7160302F"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17"/>
        </w:trPr>
        <w:tc>
          <w:tcPr>
            <w:tcW w:w="1558" w:type="dxa"/>
            <w:tcBorders>
              <w:top w:val="nil"/>
              <w:left w:val="single" w:sz="2" w:space="0" w:color="auto"/>
              <w:bottom w:val="nil"/>
              <w:right w:val="single" w:sz="2" w:space="0" w:color="auto"/>
            </w:tcBorders>
          </w:tcPr>
          <w:p w14:paraId="4132F281" w14:textId="77777777" w:rsidR="00EA0E19" w:rsidRPr="00315184" w:rsidRDefault="00EA0E19" w:rsidP="00EA0E19">
            <w:pPr>
              <w:pStyle w:val="TableText"/>
              <w:rPr>
                <w:rFonts w:cs="Calibri"/>
                <w:sz w:val="16"/>
                <w:szCs w:val="16"/>
              </w:rPr>
            </w:pPr>
          </w:p>
        </w:tc>
        <w:tc>
          <w:tcPr>
            <w:tcW w:w="5999" w:type="dxa"/>
            <w:tcBorders>
              <w:top w:val="nil"/>
              <w:left w:val="single" w:sz="2" w:space="0" w:color="auto"/>
              <w:bottom w:val="nil"/>
              <w:right w:val="nil"/>
            </w:tcBorders>
            <w:vAlign w:val="bottom"/>
          </w:tcPr>
          <w:p w14:paraId="5A8E0A51" w14:textId="77777777" w:rsidR="00EA0E19" w:rsidRPr="009F3C52" w:rsidRDefault="00EA0E19" w:rsidP="00EA0E19">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162E9BE5" w14:textId="77777777" w:rsidR="00EA0E19" w:rsidRPr="009F3C52" w:rsidRDefault="00EA0E19" w:rsidP="00EA0E19">
            <w:pPr>
              <w:pStyle w:val="TableText"/>
              <w:jc w:val="right"/>
              <w:rPr>
                <w:rFonts w:cs="Calibri"/>
                <w:b/>
                <w:bCs/>
              </w:rPr>
            </w:pPr>
          </w:p>
        </w:tc>
        <w:tc>
          <w:tcPr>
            <w:tcW w:w="1275" w:type="dxa"/>
            <w:tcBorders>
              <w:top w:val="nil"/>
              <w:left w:val="nil"/>
              <w:bottom w:val="nil"/>
              <w:right w:val="nil"/>
            </w:tcBorders>
            <w:vAlign w:val="bottom"/>
          </w:tcPr>
          <w:p w14:paraId="151F6B33" w14:textId="77777777" w:rsidR="00EA0E19" w:rsidRPr="009F3C52" w:rsidRDefault="00EA0E19" w:rsidP="00EA0E19">
            <w:pPr>
              <w:pStyle w:val="TableText"/>
              <w:jc w:val="right"/>
              <w:rPr>
                <w:rFonts w:cs="Calibri"/>
                <w:b/>
                <w:bCs/>
              </w:rPr>
            </w:pPr>
          </w:p>
        </w:tc>
      </w:tr>
      <w:tr w:rsidR="00EA0E19" w:rsidRPr="00CF7E1B" w14:paraId="10B1A09B"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17"/>
        </w:trPr>
        <w:tc>
          <w:tcPr>
            <w:tcW w:w="1558" w:type="dxa"/>
            <w:tcBorders>
              <w:top w:val="nil"/>
              <w:left w:val="single" w:sz="2" w:space="0" w:color="auto"/>
              <w:bottom w:val="nil"/>
              <w:right w:val="single" w:sz="2" w:space="0" w:color="auto"/>
            </w:tcBorders>
          </w:tcPr>
          <w:p w14:paraId="12255ECF" w14:textId="77777777" w:rsidR="00EA0E19" w:rsidRPr="00315184" w:rsidRDefault="00EA0E19" w:rsidP="00EA0E19">
            <w:pPr>
              <w:pStyle w:val="TableText"/>
              <w:rPr>
                <w:rFonts w:cs="Calibri"/>
                <w:sz w:val="16"/>
                <w:szCs w:val="16"/>
              </w:rPr>
            </w:pPr>
          </w:p>
        </w:tc>
        <w:tc>
          <w:tcPr>
            <w:tcW w:w="5999" w:type="dxa"/>
            <w:tcBorders>
              <w:top w:val="nil"/>
              <w:left w:val="single" w:sz="2" w:space="0" w:color="auto"/>
              <w:bottom w:val="nil"/>
              <w:right w:val="nil"/>
            </w:tcBorders>
            <w:vAlign w:val="bottom"/>
          </w:tcPr>
          <w:p w14:paraId="3EB2D5AF" w14:textId="77777777" w:rsidR="00EA0E19" w:rsidRPr="009F3C52" w:rsidRDefault="00EA0E19" w:rsidP="00EA0E19">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6DBC7409" w14:textId="2AB7C217" w:rsidR="00EA0E19" w:rsidRPr="009F3C52" w:rsidRDefault="00EA0E19" w:rsidP="00EA0E19">
            <w:pPr>
              <w:pStyle w:val="TableText"/>
              <w:jc w:val="right"/>
              <w:rPr>
                <w:rFonts w:cs="Calibri"/>
                <w:b/>
                <w:bCs/>
              </w:rPr>
            </w:pPr>
            <w:r w:rsidRPr="009F3C52">
              <w:rPr>
                <w:rFonts w:cs="Calibri"/>
                <w:b/>
                <w:bCs/>
              </w:rPr>
              <w:t>2022</w:t>
            </w:r>
          </w:p>
          <w:p w14:paraId="71BC78D3" w14:textId="77777777" w:rsidR="00EA0E19" w:rsidRPr="009F3C52" w:rsidRDefault="00EA0E19" w:rsidP="00EA0E19">
            <w:pPr>
              <w:pStyle w:val="TableText"/>
              <w:spacing w:before="0"/>
              <w:jc w:val="right"/>
              <w:rPr>
                <w:rFonts w:cs="Calibri"/>
                <w:b/>
                <w:bCs/>
              </w:rPr>
            </w:pPr>
            <w:r w:rsidRPr="009F3C52">
              <w:rPr>
                <w:rFonts w:cs="Calibri"/>
                <w:b/>
                <w:bCs/>
              </w:rPr>
              <w:t>$’000</w:t>
            </w:r>
          </w:p>
        </w:tc>
        <w:tc>
          <w:tcPr>
            <w:tcW w:w="1275" w:type="dxa"/>
            <w:tcBorders>
              <w:top w:val="nil"/>
              <w:left w:val="nil"/>
              <w:bottom w:val="nil"/>
              <w:right w:val="nil"/>
            </w:tcBorders>
            <w:vAlign w:val="bottom"/>
          </w:tcPr>
          <w:p w14:paraId="12446F70" w14:textId="77777777" w:rsidR="00A84CC0" w:rsidRDefault="00EA0E19" w:rsidP="00EA0E19">
            <w:pPr>
              <w:pStyle w:val="TableText"/>
              <w:jc w:val="right"/>
              <w:rPr>
                <w:rFonts w:cs="Calibri"/>
                <w:b/>
                <w:bCs/>
              </w:rPr>
            </w:pPr>
            <w:r w:rsidRPr="009F3C52">
              <w:rPr>
                <w:rFonts w:cs="Calibri"/>
                <w:b/>
                <w:bCs/>
              </w:rPr>
              <w:t>2021</w:t>
            </w:r>
            <w:r w:rsidR="00FA7C77">
              <w:rPr>
                <w:rFonts w:cs="Calibri"/>
                <w:b/>
                <w:bCs/>
              </w:rPr>
              <w:t xml:space="preserve">   </w:t>
            </w:r>
          </w:p>
          <w:p w14:paraId="667424B8" w14:textId="4C9F31C0" w:rsidR="00EA0E19" w:rsidRPr="009F3C52" w:rsidRDefault="009F3C52" w:rsidP="00EA0E19">
            <w:pPr>
              <w:pStyle w:val="TableText"/>
              <w:jc w:val="right"/>
              <w:rPr>
                <w:rFonts w:cs="Calibri"/>
                <w:b/>
                <w:bCs/>
              </w:rPr>
            </w:pPr>
            <w:r w:rsidRPr="009F3C52">
              <w:rPr>
                <w:rFonts w:cs="Calibri"/>
                <w:b/>
                <w:bCs/>
              </w:rPr>
              <w:t xml:space="preserve"> </w:t>
            </w:r>
            <w:r w:rsidR="00EA0E19" w:rsidRPr="009F3C52">
              <w:rPr>
                <w:rFonts w:cs="Calibri"/>
                <w:b/>
                <w:bCs/>
              </w:rPr>
              <w:t>$’000</w:t>
            </w:r>
          </w:p>
        </w:tc>
      </w:tr>
      <w:tr w:rsidR="00EA0E19" w:rsidRPr="00CF7E1B" w14:paraId="0C53B0E8"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58" w:type="dxa"/>
            <w:tcBorders>
              <w:top w:val="nil"/>
              <w:left w:val="single" w:sz="2" w:space="0" w:color="auto"/>
              <w:bottom w:val="nil"/>
              <w:right w:val="single" w:sz="2" w:space="0" w:color="auto"/>
            </w:tcBorders>
          </w:tcPr>
          <w:p w14:paraId="096B1428" w14:textId="77777777" w:rsidR="00EA0E19" w:rsidRPr="00315184" w:rsidRDefault="00EA0E19" w:rsidP="00EA0E19">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6BF0FEB2" w14:textId="09BDC6B4" w:rsidR="00EA0E19" w:rsidRPr="009F3C52" w:rsidRDefault="00C93CD6" w:rsidP="00EA0E19">
            <w:pPr>
              <w:pStyle w:val="TableText"/>
              <w:tabs>
                <w:tab w:val="left" w:pos="3306"/>
              </w:tabs>
              <w:rPr>
                <w:rFonts w:cs="Calibri"/>
                <w:b/>
                <w:bCs/>
              </w:rPr>
            </w:pPr>
            <w:r w:rsidRPr="009F3C52">
              <w:rPr>
                <w:rFonts w:cs="Calibri"/>
                <w:b/>
                <w:bCs/>
              </w:rPr>
              <w:t>Other Income</w:t>
            </w:r>
          </w:p>
        </w:tc>
        <w:tc>
          <w:tcPr>
            <w:tcW w:w="1655" w:type="dxa"/>
            <w:tcBorders>
              <w:top w:val="nil"/>
              <w:left w:val="nil"/>
              <w:bottom w:val="nil"/>
              <w:right w:val="nil"/>
            </w:tcBorders>
            <w:vAlign w:val="bottom"/>
          </w:tcPr>
          <w:p w14:paraId="1767ED66" w14:textId="77777777" w:rsidR="00EA0E19" w:rsidRPr="009F3C52" w:rsidRDefault="00EA0E19" w:rsidP="00EA0E19">
            <w:pPr>
              <w:pStyle w:val="TableText"/>
              <w:tabs>
                <w:tab w:val="left" w:pos="3306"/>
              </w:tabs>
              <w:jc w:val="right"/>
              <w:rPr>
                <w:rFonts w:cs="Calibri"/>
              </w:rPr>
            </w:pPr>
          </w:p>
        </w:tc>
        <w:tc>
          <w:tcPr>
            <w:tcW w:w="1275" w:type="dxa"/>
            <w:tcBorders>
              <w:top w:val="nil"/>
              <w:left w:val="nil"/>
              <w:bottom w:val="nil"/>
              <w:right w:val="nil"/>
            </w:tcBorders>
            <w:vAlign w:val="bottom"/>
          </w:tcPr>
          <w:p w14:paraId="090B29EA" w14:textId="77777777" w:rsidR="00EA0E19" w:rsidRPr="009F3C52" w:rsidRDefault="00EA0E19" w:rsidP="00EA0E19">
            <w:pPr>
              <w:pStyle w:val="TableText"/>
              <w:tabs>
                <w:tab w:val="left" w:pos="3306"/>
              </w:tabs>
              <w:jc w:val="right"/>
              <w:rPr>
                <w:rFonts w:cs="Calibri"/>
              </w:rPr>
            </w:pPr>
          </w:p>
        </w:tc>
      </w:tr>
      <w:tr w:rsidR="00C93CD6" w:rsidRPr="00CF7E1B" w14:paraId="688D44D5"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58" w:type="dxa"/>
            <w:tcBorders>
              <w:top w:val="nil"/>
              <w:left w:val="single" w:sz="2" w:space="0" w:color="auto"/>
              <w:bottom w:val="nil"/>
              <w:right w:val="single" w:sz="2" w:space="0" w:color="auto"/>
            </w:tcBorders>
          </w:tcPr>
          <w:p w14:paraId="01B65EEB" w14:textId="77777777" w:rsidR="00C93CD6" w:rsidRPr="00C93CD6" w:rsidRDefault="00C93CD6" w:rsidP="00C93CD6">
            <w:pPr>
              <w:pStyle w:val="TableReference"/>
              <w:tabs>
                <w:tab w:val="left" w:pos="3306"/>
              </w:tabs>
              <w:spacing w:before="40"/>
              <w:rPr>
                <w:rFonts w:cs="Calibri"/>
                <w:color w:val="FF0000"/>
                <w:sz w:val="16"/>
                <w:szCs w:val="16"/>
              </w:rPr>
            </w:pPr>
          </w:p>
        </w:tc>
        <w:tc>
          <w:tcPr>
            <w:tcW w:w="5999" w:type="dxa"/>
            <w:tcBorders>
              <w:top w:val="nil"/>
              <w:left w:val="single" w:sz="2" w:space="0" w:color="auto"/>
              <w:bottom w:val="nil"/>
              <w:right w:val="nil"/>
            </w:tcBorders>
            <w:vAlign w:val="bottom"/>
          </w:tcPr>
          <w:p w14:paraId="4C641E69" w14:textId="563061B1" w:rsidR="00C93CD6" w:rsidRPr="009F3C52" w:rsidRDefault="00C93CD6" w:rsidP="00C93CD6">
            <w:pPr>
              <w:pStyle w:val="TableText"/>
              <w:tabs>
                <w:tab w:val="left" w:pos="3306"/>
              </w:tabs>
              <w:rPr>
                <w:rFonts w:cs="Calibri"/>
                <w:b/>
                <w:bCs/>
              </w:rPr>
            </w:pPr>
            <w:r w:rsidRPr="009F3C52">
              <w:rPr>
                <w:rFonts w:cs="Calibri"/>
                <w:b/>
                <w:bCs/>
              </w:rPr>
              <w:t>Other Gains</w:t>
            </w:r>
          </w:p>
        </w:tc>
        <w:tc>
          <w:tcPr>
            <w:tcW w:w="1655" w:type="dxa"/>
            <w:tcBorders>
              <w:top w:val="nil"/>
              <w:left w:val="nil"/>
              <w:bottom w:val="nil"/>
              <w:right w:val="nil"/>
            </w:tcBorders>
            <w:vAlign w:val="bottom"/>
          </w:tcPr>
          <w:p w14:paraId="37EF6F19" w14:textId="77777777" w:rsidR="00C93CD6" w:rsidRPr="009F3C52" w:rsidRDefault="00C93CD6" w:rsidP="00C93CD6">
            <w:pPr>
              <w:pStyle w:val="TableText"/>
              <w:tabs>
                <w:tab w:val="left" w:pos="3306"/>
              </w:tabs>
              <w:jc w:val="right"/>
              <w:rPr>
                <w:rFonts w:cs="Calibri"/>
              </w:rPr>
            </w:pPr>
          </w:p>
        </w:tc>
        <w:tc>
          <w:tcPr>
            <w:tcW w:w="1275" w:type="dxa"/>
            <w:tcBorders>
              <w:top w:val="nil"/>
              <w:left w:val="nil"/>
              <w:bottom w:val="nil"/>
              <w:right w:val="nil"/>
            </w:tcBorders>
            <w:vAlign w:val="bottom"/>
          </w:tcPr>
          <w:p w14:paraId="7785F176" w14:textId="77777777" w:rsidR="00C93CD6" w:rsidRPr="009F3C52" w:rsidRDefault="00C93CD6" w:rsidP="00C93CD6">
            <w:pPr>
              <w:pStyle w:val="TableText"/>
              <w:tabs>
                <w:tab w:val="left" w:pos="3306"/>
              </w:tabs>
              <w:jc w:val="right"/>
              <w:rPr>
                <w:rFonts w:cs="Calibri"/>
              </w:rPr>
            </w:pPr>
          </w:p>
        </w:tc>
      </w:tr>
      <w:tr w:rsidR="00AD6F6D" w:rsidRPr="00CF7E1B" w14:paraId="05B3A5FF"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58" w:type="dxa"/>
            <w:tcBorders>
              <w:top w:val="nil"/>
              <w:left w:val="single" w:sz="2" w:space="0" w:color="auto"/>
              <w:bottom w:val="nil"/>
              <w:right w:val="single" w:sz="2" w:space="0" w:color="auto"/>
            </w:tcBorders>
          </w:tcPr>
          <w:p w14:paraId="00EBE755" w14:textId="77777777" w:rsidR="00AD6F6D" w:rsidRPr="00C93CD6" w:rsidRDefault="00AD6F6D" w:rsidP="00C93CD6">
            <w:pPr>
              <w:pStyle w:val="TableReference"/>
              <w:tabs>
                <w:tab w:val="left" w:pos="3306"/>
              </w:tabs>
              <w:spacing w:before="40"/>
              <w:rPr>
                <w:rFonts w:cs="Calibri"/>
                <w:color w:val="FF0000"/>
                <w:sz w:val="14"/>
              </w:rPr>
            </w:pPr>
          </w:p>
        </w:tc>
        <w:tc>
          <w:tcPr>
            <w:tcW w:w="5999" w:type="dxa"/>
            <w:tcBorders>
              <w:top w:val="nil"/>
              <w:left w:val="single" w:sz="2" w:space="0" w:color="auto"/>
              <w:bottom w:val="nil"/>
              <w:right w:val="nil"/>
            </w:tcBorders>
          </w:tcPr>
          <w:p w14:paraId="7516605F" w14:textId="248BCF12" w:rsidR="00AD6F6D" w:rsidRPr="009F3C52" w:rsidRDefault="00AD6F6D" w:rsidP="00C93CD6">
            <w:pPr>
              <w:pStyle w:val="TableText"/>
              <w:tabs>
                <w:tab w:val="left" w:pos="3306"/>
              </w:tabs>
              <w:rPr>
                <w:rFonts w:cs="Calibri"/>
                <w:highlight w:val="yellow"/>
              </w:rPr>
            </w:pPr>
            <w:r w:rsidRPr="009F3C52">
              <w:t>Reversal of provision of receivables written off during the year as uncollectible</w:t>
            </w:r>
          </w:p>
        </w:tc>
        <w:tc>
          <w:tcPr>
            <w:tcW w:w="1655" w:type="dxa"/>
            <w:tcBorders>
              <w:top w:val="nil"/>
              <w:left w:val="nil"/>
              <w:bottom w:val="nil"/>
              <w:right w:val="nil"/>
            </w:tcBorders>
            <w:vAlign w:val="bottom"/>
          </w:tcPr>
          <w:p w14:paraId="767C1B10" w14:textId="77777777" w:rsidR="00AD6F6D" w:rsidRPr="009F3C52" w:rsidRDefault="00AD6F6D" w:rsidP="00C93CD6">
            <w:pPr>
              <w:pStyle w:val="TableText"/>
              <w:tabs>
                <w:tab w:val="left" w:pos="3306"/>
              </w:tabs>
              <w:jc w:val="right"/>
              <w:rPr>
                <w:rFonts w:cs="Calibri"/>
              </w:rPr>
            </w:pPr>
          </w:p>
        </w:tc>
        <w:tc>
          <w:tcPr>
            <w:tcW w:w="1275" w:type="dxa"/>
            <w:tcBorders>
              <w:top w:val="nil"/>
              <w:left w:val="nil"/>
              <w:bottom w:val="nil"/>
              <w:right w:val="nil"/>
            </w:tcBorders>
            <w:vAlign w:val="bottom"/>
          </w:tcPr>
          <w:p w14:paraId="1227389D" w14:textId="77777777" w:rsidR="00AD6F6D" w:rsidRPr="009F3C52" w:rsidRDefault="00AD6F6D" w:rsidP="00C93CD6">
            <w:pPr>
              <w:pStyle w:val="TableText"/>
              <w:tabs>
                <w:tab w:val="left" w:pos="3306"/>
              </w:tabs>
              <w:jc w:val="right"/>
              <w:rPr>
                <w:rFonts w:cs="Calibri"/>
              </w:rPr>
            </w:pPr>
          </w:p>
        </w:tc>
      </w:tr>
      <w:tr w:rsidR="00C93CD6" w:rsidRPr="00CF7E1B" w14:paraId="5D325DB9"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58" w:type="dxa"/>
            <w:tcBorders>
              <w:top w:val="nil"/>
              <w:left w:val="single" w:sz="2" w:space="0" w:color="auto"/>
              <w:bottom w:val="nil"/>
              <w:right w:val="single" w:sz="2" w:space="0" w:color="auto"/>
            </w:tcBorders>
          </w:tcPr>
          <w:p w14:paraId="0E96A115" w14:textId="77777777" w:rsidR="00C93CD6" w:rsidRPr="00315184" w:rsidRDefault="00C93CD6" w:rsidP="00C93CD6">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43AE6637" w14:textId="6492E974" w:rsidR="00C93CD6" w:rsidRPr="009F3C52" w:rsidRDefault="00C93CD6" w:rsidP="00C93CD6">
            <w:pPr>
              <w:pStyle w:val="TableText"/>
              <w:tabs>
                <w:tab w:val="left" w:pos="3306"/>
              </w:tabs>
              <w:rPr>
                <w:rFonts w:cs="Calibri"/>
              </w:rPr>
            </w:pPr>
            <w:r w:rsidRPr="009F3C52">
              <w:rPr>
                <w:rFonts w:cs="Calibri"/>
              </w:rPr>
              <w:t xml:space="preserve">Other </w:t>
            </w:r>
          </w:p>
        </w:tc>
        <w:tc>
          <w:tcPr>
            <w:tcW w:w="1655" w:type="dxa"/>
            <w:tcBorders>
              <w:top w:val="nil"/>
              <w:left w:val="nil"/>
              <w:bottom w:val="nil"/>
              <w:right w:val="nil"/>
            </w:tcBorders>
            <w:vAlign w:val="bottom"/>
          </w:tcPr>
          <w:p w14:paraId="14941FAE" w14:textId="77777777" w:rsidR="00C93CD6" w:rsidRPr="009F3C52" w:rsidRDefault="00C93CD6" w:rsidP="00C93CD6">
            <w:pPr>
              <w:pStyle w:val="TableText"/>
              <w:tabs>
                <w:tab w:val="left" w:pos="3306"/>
              </w:tabs>
              <w:jc w:val="right"/>
              <w:rPr>
                <w:rFonts w:cs="Calibri"/>
              </w:rPr>
            </w:pPr>
          </w:p>
        </w:tc>
        <w:tc>
          <w:tcPr>
            <w:tcW w:w="1275" w:type="dxa"/>
            <w:tcBorders>
              <w:top w:val="nil"/>
              <w:left w:val="nil"/>
              <w:bottom w:val="nil"/>
              <w:right w:val="nil"/>
            </w:tcBorders>
            <w:vAlign w:val="bottom"/>
          </w:tcPr>
          <w:p w14:paraId="11900592" w14:textId="77777777" w:rsidR="00C93CD6" w:rsidRPr="009F3C52" w:rsidRDefault="00C93CD6" w:rsidP="00C93CD6">
            <w:pPr>
              <w:pStyle w:val="TableText"/>
              <w:tabs>
                <w:tab w:val="left" w:pos="3306"/>
              </w:tabs>
              <w:jc w:val="right"/>
              <w:rPr>
                <w:rFonts w:cs="Calibri"/>
              </w:rPr>
            </w:pPr>
          </w:p>
        </w:tc>
      </w:tr>
      <w:tr w:rsidR="00C93CD6" w:rsidRPr="00CF7E1B" w14:paraId="30041BD4"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hRule="exact" w:val="265"/>
        </w:trPr>
        <w:tc>
          <w:tcPr>
            <w:tcW w:w="1558" w:type="dxa"/>
            <w:tcBorders>
              <w:top w:val="nil"/>
              <w:left w:val="single" w:sz="2" w:space="0" w:color="auto"/>
              <w:bottom w:val="nil"/>
              <w:right w:val="single" w:sz="2" w:space="0" w:color="auto"/>
            </w:tcBorders>
          </w:tcPr>
          <w:p w14:paraId="70425812" w14:textId="77777777" w:rsidR="00C93CD6" w:rsidRPr="00315184" w:rsidRDefault="00C93CD6" w:rsidP="00C93CD6">
            <w:pPr>
              <w:pStyle w:val="TableReference"/>
              <w:tabs>
                <w:tab w:val="left" w:pos="3306"/>
              </w:tabs>
              <w:rPr>
                <w:rFonts w:cs="Calibri"/>
                <w:color w:val="auto"/>
                <w:sz w:val="16"/>
                <w:szCs w:val="16"/>
              </w:rPr>
            </w:pPr>
          </w:p>
        </w:tc>
        <w:tc>
          <w:tcPr>
            <w:tcW w:w="5999" w:type="dxa"/>
            <w:tcBorders>
              <w:top w:val="nil"/>
              <w:left w:val="single" w:sz="2" w:space="0" w:color="auto"/>
              <w:bottom w:val="nil"/>
              <w:right w:val="nil"/>
            </w:tcBorders>
            <w:vAlign w:val="bottom"/>
          </w:tcPr>
          <w:p w14:paraId="3C39B0E3" w14:textId="7312F5E2" w:rsidR="00C93CD6" w:rsidRPr="009F3C52" w:rsidRDefault="00C93CD6" w:rsidP="00C93CD6">
            <w:pPr>
              <w:pStyle w:val="TableText"/>
              <w:tabs>
                <w:tab w:val="left" w:pos="3306"/>
              </w:tabs>
              <w:rPr>
                <w:rFonts w:cs="Calibri"/>
              </w:rPr>
            </w:pPr>
            <w:r w:rsidRPr="009F3C52">
              <w:rPr>
                <w:rFonts w:cs="Calibri"/>
                <w:b/>
                <w:bCs/>
              </w:rPr>
              <w:t>Total Other Gains</w:t>
            </w:r>
          </w:p>
        </w:tc>
        <w:tc>
          <w:tcPr>
            <w:tcW w:w="1655" w:type="dxa"/>
            <w:tcBorders>
              <w:top w:val="nil"/>
              <w:left w:val="nil"/>
              <w:bottom w:val="single" w:sz="2" w:space="0" w:color="auto"/>
              <w:right w:val="nil"/>
            </w:tcBorders>
            <w:vAlign w:val="bottom"/>
          </w:tcPr>
          <w:p w14:paraId="0C43C22B" w14:textId="77777777" w:rsidR="00C93CD6" w:rsidRPr="009F3C52" w:rsidRDefault="00C93CD6" w:rsidP="00C93CD6">
            <w:pPr>
              <w:pStyle w:val="TableText"/>
              <w:tabs>
                <w:tab w:val="left" w:pos="3306"/>
              </w:tabs>
              <w:spacing w:before="0"/>
              <w:jc w:val="right"/>
              <w:rPr>
                <w:rFonts w:cs="Calibri"/>
                <w:sz w:val="12"/>
                <w:szCs w:val="12"/>
              </w:rPr>
            </w:pPr>
          </w:p>
        </w:tc>
        <w:tc>
          <w:tcPr>
            <w:tcW w:w="1275" w:type="dxa"/>
            <w:tcBorders>
              <w:top w:val="nil"/>
              <w:left w:val="nil"/>
              <w:bottom w:val="single" w:sz="2" w:space="0" w:color="auto"/>
              <w:right w:val="nil"/>
            </w:tcBorders>
            <w:vAlign w:val="bottom"/>
          </w:tcPr>
          <w:p w14:paraId="1E7CACF6" w14:textId="77777777" w:rsidR="00C93CD6" w:rsidRPr="009F3C52" w:rsidRDefault="00C93CD6" w:rsidP="00C93CD6">
            <w:pPr>
              <w:pStyle w:val="TableText"/>
              <w:tabs>
                <w:tab w:val="left" w:pos="3306"/>
              </w:tabs>
              <w:spacing w:before="0"/>
              <w:jc w:val="right"/>
              <w:rPr>
                <w:rFonts w:cs="Calibri"/>
                <w:sz w:val="12"/>
                <w:szCs w:val="12"/>
              </w:rPr>
            </w:pPr>
          </w:p>
        </w:tc>
      </w:tr>
      <w:tr w:rsidR="00C93CD6" w:rsidRPr="00CF7E1B" w14:paraId="6D3EBE42"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58" w:type="dxa"/>
            <w:tcBorders>
              <w:top w:val="nil"/>
              <w:left w:val="single" w:sz="2" w:space="0" w:color="auto"/>
              <w:bottom w:val="nil"/>
              <w:right w:val="single" w:sz="2" w:space="0" w:color="auto"/>
            </w:tcBorders>
          </w:tcPr>
          <w:p w14:paraId="28AC7247" w14:textId="77777777" w:rsidR="00C93CD6" w:rsidRPr="00315184" w:rsidRDefault="00C93CD6" w:rsidP="00C93CD6">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7AA8D499" w14:textId="2D6B4C5F" w:rsidR="00C93CD6" w:rsidRPr="009F3C52" w:rsidRDefault="00C93CD6" w:rsidP="00C93CD6">
            <w:pPr>
              <w:pStyle w:val="TableText"/>
              <w:tabs>
                <w:tab w:val="left" w:pos="3306"/>
              </w:tabs>
              <w:rPr>
                <w:rFonts w:cs="Calibri"/>
                <w:b/>
              </w:rPr>
            </w:pPr>
          </w:p>
        </w:tc>
        <w:tc>
          <w:tcPr>
            <w:tcW w:w="1655" w:type="dxa"/>
            <w:tcBorders>
              <w:top w:val="single" w:sz="2" w:space="0" w:color="auto"/>
              <w:left w:val="nil"/>
              <w:bottom w:val="single" w:sz="2" w:space="0" w:color="auto"/>
              <w:right w:val="nil"/>
            </w:tcBorders>
            <w:vAlign w:val="bottom"/>
          </w:tcPr>
          <w:p w14:paraId="39F0E45F" w14:textId="77777777" w:rsidR="00C93CD6" w:rsidRPr="009F3C52" w:rsidRDefault="00C93CD6" w:rsidP="00C93CD6">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6975F4D7" w14:textId="77777777" w:rsidR="00C93CD6" w:rsidRPr="009F3C52" w:rsidRDefault="00C93CD6" w:rsidP="00C93CD6">
            <w:pPr>
              <w:pStyle w:val="TableText"/>
              <w:tabs>
                <w:tab w:val="left" w:pos="3306"/>
              </w:tabs>
              <w:jc w:val="right"/>
              <w:rPr>
                <w:rFonts w:cs="Calibri"/>
                <w:b/>
              </w:rPr>
            </w:pPr>
          </w:p>
        </w:tc>
      </w:tr>
      <w:tr w:rsidR="00C93CD6" w:rsidRPr="00CF7E1B" w14:paraId="44285D34"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3"/>
        </w:trPr>
        <w:tc>
          <w:tcPr>
            <w:tcW w:w="1558" w:type="dxa"/>
            <w:tcBorders>
              <w:top w:val="nil"/>
              <w:left w:val="single" w:sz="2" w:space="0" w:color="auto"/>
              <w:bottom w:val="nil"/>
              <w:right w:val="single" w:sz="2" w:space="0" w:color="auto"/>
            </w:tcBorders>
          </w:tcPr>
          <w:p w14:paraId="5367CC7A" w14:textId="77777777" w:rsidR="00C93CD6" w:rsidRPr="00315184" w:rsidRDefault="00C93CD6" w:rsidP="00C93CD6">
            <w:pPr>
              <w:pStyle w:val="TableReference"/>
              <w:tabs>
                <w:tab w:val="left" w:pos="3306"/>
              </w:tabs>
              <w:spacing w:before="40"/>
              <w:rPr>
                <w:rFonts w:cs="Calibri"/>
                <w:color w:val="auto"/>
                <w:sz w:val="16"/>
                <w:szCs w:val="16"/>
              </w:rPr>
            </w:pPr>
          </w:p>
        </w:tc>
        <w:tc>
          <w:tcPr>
            <w:tcW w:w="5999" w:type="dxa"/>
            <w:tcBorders>
              <w:top w:val="nil"/>
              <w:left w:val="single" w:sz="2" w:space="0" w:color="auto"/>
              <w:bottom w:val="nil"/>
              <w:right w:val="nil"/>
            </w:tcBorders>
            <w:vAlign w:val="bottom"/>
          </w:tcPr>
          <w:p w14:paraId="501C335E" w14:textId="5B8C6809" w:rsidR="00C93CD6" w:rsidRPr="009F3C52" w:rsidRDefault="00C93CD6" w:rsidP="00C93CD6">
            <w:pPr>
              <w:pStyle w:val="TableText"/>
              <w:tabs>
                <w:tab w:val="left" w:pos="3306"/>
              </w:tabs>
              <w:rPr>
                <w:rFonts w:cs="Calibri"/>
                <w:b/>
              </w:rPr>
            </w:pPr>
            <w:r w:rsidRPr="009F3C52">
              <w:rPr>
                <w:rFonts w:cs="Calibri"/>
                <w:b/>
                <w:bCs/>
              </w:rPr>
              <w:t>Total Other Income</w:t>
            </w:r>
          </w:p>
        </w:tc>
        <w:tc>
          <w:tcPr>
            <w:tcW w:w="1655" w:type="dxa"/>
            <w:tcBorders>
              <w:top w:val="single" w:sz="2" w:space="0" w:color="auto"/>
              <w:left w:val="nil"/>
              <w:bottom w:val="double" w:sz="4" w:space="0" w:color="auto"/>
              <w:right w:val="nil"/>
            </w:tcBorders>
            <w:vAlign w:val="bottom"/>
          </w:tcPr>
          <w:p w14:paraId="64EB8F30" w14:textId="77777777" w:rsidR="00C93CD6" w:rsidRPr="009F3C52" w:rsidRDefault="00C93CD6" w:rsidP="00C93CD6">
            <w:pPr>
              <w:pStyle w:val="TableText"/>
              <w:tabs>
                <w:tab w:val="left" w:pos="3306"/>
              </w:tabs>
              <w:jc w:val="right"/>
              <w:rPr>
                <w:rFonts w:cs="Calibri"/>
                <w:b/>
              </w:rPr>
            </w:pPr>
          </w:p>
        </w:tc>
        <w:tc>
          <w:tcPr>
            <w:tcW w:w="1275" w:type="dxa"/>
            <w:tcBorders>
              <w:top w:val="single" w:sz="2" w:space="0" w:color="auto"/>
              <w:left w:val="nil"/>
              <w:bottom w:val="double" w:sz="4" w:space="0" w:color="auto"/>
              <w:right w:val="nil"/>
            </w:tcBorders>
            <w:vAlign w:val="bottom"/>
          </w:tcPr>
          <w:p w14:paraId="3BE10FCF" w14:textId="77777777" w:rsidR="00C93CD6" w:rsidRPr="009F3C52" w:rsidRDefault="00C93CD6" w:rsidP="00C93CD6">
            <w:pPr>
              <w:pStyle w:val="TableText"/>
              <w:tabs>
                <w:tab w:val="left" w:pos="3306"/>
              </w:tabs>
              <w:jc w:val="right"/>
              <w:rPr>
                <w:rFonts w:cs="Calibri"/>
                <w:b/>
              </w:rPr>
            </w:pPr>
          </w:p>
        </w:tc>
      </w:tr>
      <w:tr w:rsidR="009F3C52" w:rsidRPr="0013456C" w14:paraId="39C8301E" w14:textId="77777777" w:rsidTr="00D919F2">
        <w:trPr>
          <w:trHeight w:val="74"/>
        </w:trPr>
        <w:tc>
          <w:tcPr>
            <w:tcW w:w="1558" w:type="dxa"/>
            <w:tcBorders>
              <w:left w:val="single" w:sz="2" w:space="0" w:color="auto"/>
              <w:right w:val="single" w:sz="2" w:space="0" w:color="auto"/>
            </w:tcBorders>
          </w:tcPr>
          <w:p w14:paraId="49AA2E89" w14:textId="77777777" w:rsidR="009F3C52" w:rsidRPr="00CF7E1B" w:rsidRDefault="009F3C52" w:rsidP="009A0F2F">
            <w:pPr>
              <w:pStyle w:val="TableReference"/>
              <w:tabs>
                <w:tab w:val="left" w:pos="3306"/>
              </w:tabs>
              <w:rPr>
                <w:rFonts w:cs="Calibri"/>
              </w:rPr>
            </w:pPr>
          </w:p>
        </w:tc>
        <w:tc>
          <w:tcPr>
            <w:tcW w:w="8929" w:type="dxa"/>
            <w:gridSpan w:val="3"/>
            <w:tcBorders>
              <w:left w:val="single" w:sz="2" w:space="0" w:color="auto"/>
            </w:tcBorders>
            <w:shd w:val="clear" w:color="auto" w:fill="auto"/>
          </w:tcPr>
          <w:p w14:paraId="20C8288B" w14:textId="77777777" w:rsidR="009F3C52" w:rsidRPr="00A84CC0" w:rsidRDefault="009F3C52" w:rsidP="00A84CC0">
            <w:pPr>
              <w:pStyle w:val="CommentaryTitle"/>
              <w:pageBreakBefore w:val="0"/>
              <w:tabs>
                <w:tab w:val="left" w:pos="3306"/>
              </w:tabs>
              <w:spacing w:before="0" w:after="0"/>
              <w:rPr>
                <w:rFonts w:cs="Calibri"/>
                <w:color w:val="FF0000"/>
                <w:sz w:val="24"/>
              </w:rPr>
            </w:pPr>
          </w:p>
        </w:tc>
      </w:tr>
      <w:tr w:rsidR="00C93CD6" w:rsidRPr="0013456C" w14:paraId="296594CC" w14:textId="77777777" w:rsidTr="00D919F2">
        <w:trPr>
          <w:trHeight w:val="283"/>
        </w:trPr>
        <w:tc>
          <w:tcPr>
            <w:tcW w:w="1558" w:type="dxa"/>
            <w:tcBorders>
              <w:left w:val="single" w:sz="2" w:space="0" w:color="auto"/>
              <w:right w:val="single" w:sz="2" w:space="0" w:color="auto"/>
            </w:tcBorders>
          </w:tcPr>
          <w:p w14:paraId="47C4FA87" w14:textId="77777777" w:rsidR="00C93CD6" w:rsidRPr="00315184" w:rsidRDefault="00C93CD6" w:rsidP="009A0F2F">
            <w:pPr>
              <w:pStyle w:val="TableReference"/>
              <w:tabs>
                <w:tab w:val="left" w:pos="3306"/>
              </w:tabs>
              <w:rPr>
                <w:rFonts w:cs="Calibri"/>
                <w:b/>
                <w:color w:val="auto"/>
                <w:sz w:val="20"/>
                <w:szCs w:val="20"/>
              </w:rPr>
            </w:pPr>
            <w:r w:rsidRPr="00CF7E1B">
              <w:rPr>
                <w:rFonts w:cs="Calibri"/>
              </w:rPr>
              <w:br w:type="page"/>
            </w:r>
          </w:p>
        </w:tc>
        <w:tc>
          <w:tcPr>
            <w:tcW w:w="8929" w:type="dxa"/>
            <w:gridSpan w:val="3"/>
            <w:tcBorders>
              <w:left w:val="single" w:sz="2" w:space="0" w:color="auto"/>
            </w:tcBorders>
            <w:shd w:val="clear" w:color="auto" w:fill="7030A0"/>
          </w:tcPr>
          <w:p w14:paraId="6ACBD98B" w14:textId="55C563E1" w:rsidR="00C93CD6" w:rsidRPr="009F3C52" w:rsidRDefault="00C93CD6" w:rsidP="00A84CC0">
            <w:pPr>
              <w:pStyle w:val="CommentaryTitle"/>
              <w:pageBreakBefore w:val="0"/>
              <w:tabs>
                <w:tab w:val="left" w:pos="3306"/>
              </w:tabs>
              <w:spacing w:before="0" w:after="240"/>
              <w:rPr>
                <w:rFonts w:cs="Calibri"/>
                <w:color w:val="FFFFFF" w:themeColor="background1"/>
                <w:sz w:val="28"/>
                <w:szCs w:val="28"/>
              </w:rPr>
            </w:pPr>
            <w:r w:rsidRPr="009F3C52">
              <w:rPr>
                <w:rFonts w:cs="Calibri"/>
                <w:color w:val="FFFFFF" w:themeColor="background1"/>
                <w:sz w:val="28"/>
                <w:szCs w:val="28"/>
              </w:rPr>
              <w:t>Commentary – Note 4</w:t>
            </w:r>
            <w:r w:rsidR="00E86853" w:rsidRPr="009F3C52">
              <w:rPr>
                <w:rFonts w:cs="Calibri"/>
                <w:color w:val="FFFFFF" w:themeColor="background1"/>
                <w:sz w:val="28"/>
                <w:szCs w:val="28"/>
              </w:rPr>
              <w:t>3</w:t>
            </w:r>
            <w:r w:rsidRPr="009F3C52">
              <w:rPr>
                <w:rFonts w:cs="Calibri"/>
                <w:color w:val="FFFFFF" w:themeColor="background1"/>
                <w:sz w:val="28"/>
                <w:szCs w:val="28"/>
              </w:rPr>
              <w:t>: Other Income – Territorial</w:t>
            </w:r>
          </w:p>
        </w:tc>
      </w:tr>
      <w:tr w:rsidR="00C93CD6" w:rsidRPr="00B66BE0" w14:paraId="357F5E6B" w14:textId="77777777" w:rsidTr="00D919F2">
        <w:trPr>
          <w:trHeight w:val="283"/>
        </w:trPr>
        <w:tc>
          <w:tcPr>
            <w:tcW w:w="1558" w:type="dxa"/>
            <w:tcBorders>
              <w:left w:val="single" w:sz="2" w:space="0" w:color="auto"/>
              <w:right w:val="single" w:sz="2" w:space="0" w:color="auto"/>
            </w:tcBorders>
          </w:tcPr>
          <w:p w14:paraId="60B2225C" w14:textId="77777777" w:rsidR="00C93CD6" w:rsidRPr="00C93CD6" w:rsidRDefault="00C93CD6" w:rsidP="00C93CD6">
            <w:pPr>
              <w:pStyle w:val="TableReference"/>
              <w:tabs>
                <w:tab w:val="left" w:pos="3306"/>
              </w:tabs>
              <w:rPr>
                <w:rFonts w:cs="Calibri"/>
                <w:color w:val="FF0000"/>
                <w:sz w:val="14"/>
              </w:rPr>
            </w:pPr>
          </w:p>
        </w:tc>
        <w:tc>
          <w:tcPr>
            <w:tcW w:w="8929" w:type="dxa"/>
            <w:gridSpan w:val="3"/>
            <w:tcBorders>
              <w:left w:val="single" w:sz="2" w:space="0" w:color="auto"/>
            </w:tcBorders>
            <w:shd w:val="clear" w:color="auto" w:fill="7030A0"/>
          </w:tcPr>
          <w:p w14:paraId="2CDD0115" w14:textId="6159FCDA" w:rsidR="00C93CD6" w:rsidRPr="009F3C52" w:rsidRDefault="00C93CD6" w:rsidP="00C93CD6">
            <w:pPr>
              <w:pStyle w:val="CommentaryText"/>
              <w:spacing w:after="60"/>
              <w:rPr>
                <w:rFonts w:cs="Calibri"/>
                <w:color w:val="FFFFFF" w:themeColor="background1"/>
                <w:sz w:val="18"/>
                <w:szCs w:val="18"/>
              </w:rPr>
            </w:pPr>
            <w:r w:rsidRPr="009F3C52">
              <w:rPr>
                <w:color w:val="FFFFFF" w:themeColor="background1"/>
                <w:sz w:val="18"/>
                <w:szCs w:val="18"/>
              </w:rPr>
              <w:t>The breakdown shown in this note disclosure is an example only.</w:t>
            </w:r>
            <w:r w:rsidR="00FA7C77">
              <w:rPr>
                <w:color w:val="FFFFFF" w:themeColor="background1"/>
                <w:sz w:val="18"/>
                <w:szCs w:val="18"/>
              </w:rPr>
              <w:t xml:space="preserve"> </w:t>
            </w:r>
            <w:r w:rsidRPr="009F3C52">
              <w:rPr>
                <w:color w:val="FFFFFF" w:themeColor="background1"/>
                <w:sz w:val="18"/>
                <w:szCs w:val="18"/>
              </w:rPr>
              <w:t>Directorates should only include line items that are applicable to them where material.</w:t>
            </w:r>
          </w:p>
        </w:tc>
      </w:tr>
      <w:tr w:rsidR="00C93CD6" w:rsidRPr="00B66BE0" w14:paraId="38EA78B1" w14:textId="77777777" w:rsidTr="00D919F2">
        <w:trPr>
          <w:trHeight w:val="283"/>
        </w:trPr>
        <w:tc>
          <w:tcPr>
            <w:tcW w:w="1558" w:type="dxa"/>
            <w:tcBorders>
              <w:left w:val="single" w:sz="2" w:space="0" w:color="auto"/>
              <w:right w:val="single" w:sz="2" w:space="0" w:color="auto"/>
            </w:tcBorders>
          </w:tcPr>
          <w:p w14:paraId="6CD6EE17" w14:textId="77777777" w:rsidR="00C93CD6" w:rsidRPr="00AE2AE5" w:rsidRDefault="00C93CD6" w:rsidP="00C93CD6">
            <w:pPr>
              <w:pStyle w:val="TableReference"/>
              <w:tabs>
                <w:tab w:val="left" w:pos="3306"/>
              </w:tabs>
              <w:rPr>
                <w:rFonts w:cs="Calibri"/>
                <w:color w:val="7030A0"/>
                <w:sz w:val="14"/>
              </w:rPr>
            </w:pPr>
            <w:r w:rsidRPr="00AE2AE5">
              <w:rPr>
                <w:rFonts w:cs="Calibri"/>
                <w:color w:val="7030A0"/>
                <w:sz w:val="14"/>
              </w:rPr>
              <w:t>AASB 101.7</w:t>
            </w:r>
          </w:p>
          <w:p w14:paraId="0C78E916" w14:textId="77777777" w:rsidR="00C93CD6" w:rsidRPr="00AE2AE5" w:rsidRDefault="00C93CD6" w:rsidP="00C93CD6">
            <w:pPr>
              <w:pStyle w:val="TableReference"/>
              <w:tabs>
                <w:tab w:val="left" w:pos="3306"/>
              </w:tabs>
              <w:rPr>
                <w:rFonts w:cs="Calibri"/>
                <w:color w:val="7030A0"/>
                <w:sz w:val="14"/>
              </w:rPr>
            </w:pPr>
            <w:r w:rsidRPr="00AE2AE5">
              <w:rPr>
                <w:rFonts w:cs="Calibri"/>
                <w:color w:val="7030A0"/>
                <w:sz w:val="14"/>
              </w:rPr>
              <w:t>AASB 108.5</w:t>
            </w:r>
          </w:p>
          <w:p w14:paraId="4B6C7E72" w14:textId="1592A6DE" w:rsidR="00C93CD6" w:rsidRPr="00C93CD6" w:rsidRDefault="00C93CD6" w:rsidP="00C93CD6">
            <w:pPr>
              <w:pStyle w:val="TableReference"/>
              <w:tabs>
                <w:tab w:val="left" w:pos="3306"/>
              </w:tabs>
              <w:rPr>
                <w:rFonts w:cs="Calibri"/>
                <w:color w:val="FF0000"/>
                <w:sz w:val="14"/>
              </w:rPr>
            </w:pPr>
            <w:r w:rsidRPr="00AE2AE5">
              <w:rPr>
                <w:rFonts w:cs="Calibri"/>
                <w:color w:val="7030A0"/>
                <w:sz w:val="14"/>
              </w:rPr>
              <w:t>ACT Disclosure Policy</w:t>
            </w:r>
          </w:p>
        </w:tc>
        <w:tc>
          <w:tcPr>
            <w:tcW w:w="8929" w:type="dxa"/>
            <w:gridSpan w:val="3"/>
            <w:tcBorders>
              <w:left w:val="single" w:sz="2" w:space="0" w:color="auto"/>
            </w:tcBorders>
            <w:shd w:val="clear" w:color="auto" w:fill="7030A0"/>
          </w:tcPr>
          <w:p w14:paraId="1C3BB063" w14:textId="763D9C17" w:rsidR="00C93CD6" w:rsidRPr="009F3C52" w:rsidRDefault="00C93CD6" w:rsidP="00A84CC0">
            <w:pPr>
              <w:pStyle w:val="CommentaryText"/>
              <w:rPr>
                <w:rFonts w:cs="Calibri"/>
                <w:color w:val="FFFFFF" w:themeColor="background1"/>
                <w:sz w:val="18"/>
                <w:szCs w:val="18"/>
              </w:rPr>
            </w:pPr>
            <w:r w:rsidRPr="009F3C52">
              <w:rPr>
                <w:color w:val="FFFFFF" w:themeColor="background1"/>
                <w:sz w:val="18"/>
                <w:szCs w:val="18"/>
              </w:rPr>
              <w:t>The notion of materiality applies to the classification of other income.</w:t>
            </w:r>
            <w:r w:rsidR="00FA7C77">
              <w:rPr>
                <w:color w:val="FFFFFF" w:themeColor="background1"/>
                <w:sz w:val="18"/>
                <w:szCs w:val="18"/>
              </w:rPr>
              <w:t xml:space="preserve"> </w:t>
            </w:r>
            <w:r w:rsidRPr="009F3C52">
              <w:rPr>
                <w:color w:val="FFFFFF" w:themeColor="background1"/>
                <w:sz w:val="18"/>
                <w:szCs w:val="18"/>
              </w:rPr>
              <w:t>Each material class of gains must be disclosed separately and the total of unclassified gains must not exceed 10% of total gains disclosed in the note.</w:t>
            </w:r>
            <w:r w:rsidR="00FA7C77">
              <w:rPr>
                <w:color w:val="FFFFFF" w:themeColor="background1"/>
                <w:sz w:val="18"/>
                <w:szCs w:val="18"/>
              </w:rPr>
              <w:t xml:space="preserve"> </w:t>
            </w:r>
          </w:p>
        </w:tc>
      </w:tr>
    </w:tbl>
    <w:p w14:paraId="6D963C4C" w14:textId="77777777" w:rsidR="00A84CC0" w:rsidRDefault="00A84CC0">
      <w:r>
        <w:br w:type="page"/>
      </w:r>
    </w:p>
    <w:tbl>
      <w:tblPr>
        <w:tblW w:w="497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5999"/>
        <w:gridCol w:w="1655"/>
        <w:gridCol w:w="1275"/>
      </w:tblGrid>
      <w:tr w:rsidR="00863311" w:rsidRPr="00CF7E1B" w14:paraId="3AE2C65F" w14:textId="77777777" w:rsidTr="00D919F2">
        <w:trPr>
          <w:cantSplit/>
          <w:trHeight w:val="23"/>
        </w:trPr>
        <w:tc>
          <w:tcPr>
            <w:tcW w:w="1558" w:type="dxa"/>
            <w:tcBorders>
              <w:top w:val="nil"/>
              <w:left w:val="single" w:sz="2" w:space="0" w:color="auto"/>
              <w:bottom w:val="nil"/>
              <w:right w:val="single" w:sz="2" w:space="0" w:color="auto"/>
            </w:tcBorders>
          </w:tcPr>
          <w:p w14:paraId="51043BFB" w14:textId="66448459" w:rsidR="00863311" w:rsidRPr="009F3C52" w:rsidRDefault="005C5553" w:rsidP="005D3C33">
            <w:pPr>
              <w:pStyle w:val="TableReference"/>
              <w:tabs>
                <w:tab w:val="left" w:pos="3306"/>
              </w:tabs>
              <w:spacing w:before="240" w:after="240"/>
              <w:rPr>
                <w:rFonts w:asciiTheme="minorHAnsi" w:hAnsiTheme="minorHAnsi" w:cstheme="minorHAnsi"/>
                <w:color w:val="7030A0"/>
                <w:sz w:val="22"/>
                <w:szCs w:val="22"/>
              </w:rPr>
            </w:pPr>
            <w:r w:rsidRPr="009F3C52">
              <w:rPr>
                <w:color w:val="7030A0"/>
              </w:rPr>
              <w:br w:type="page"/>
            </w:r>
            <w:r w:rsidRPr="009F3C52">
              <w:rPr>
                <w:rFonts w:asciiTheme="minorHAnsi" w:hAnsiTheme="minorHAnsi" w:cstheme="minorHAnsi"/>
                <w:b/>
                <w:color w:val="7030A0"/>
                <w:sz w:val="22"/>
                <w:szCs w:val="22"/>
              </w:rPr>
              <w:t>Reference</w:t>
            </w:r>
          </w:p>
        </w:tc>
        <w:tc>
          <w:tcPr>
            <w:tcW w:w="8929" w:type="dxa"/>
            <w:gridSpan w:val="3"/>
            <w:tcBorders>
              <w:top w:val="nil"/>
              <w:left w:val="single" w:sz="2" w:space="0" w:color="auto"/>
              <w:bottom w:val="nil"/>
              <w:right w:val="nil"/>
            </w:tcBorders>
            <w:vAlign w:val="bottom"/>
          </w:tcPr>
          <w:p w14:paraId="2A7DE5B9" w14:textId="18791B5A" w:rsidR="00863311" w:rsidRPr="009F3C52" w:rsidRDefault="00307DD6" w:rsidP="008A5268">
            <w:pPr>
              <w:pStyle w:val="Heading1"/>
              <w:numPr>
                <w:ilvl w:val="0"/>
                <w:numId w:val="0"/>
              </w:numPr>
            </w:pPr>
            <w:bookmarkStart w:id="935" w:name="_Toc49224347"/>
            <w:bookmarkStart w:id="936" w:name="_Ref50365919"/>
            <w:bookmarkStart w:id="937" w:name="_Toc50440428"/>
            <w:bookmarkStart w:id="938" w:name="_Ref50524451"/>
            <w:bookmarkStart w:id="939" w:name="_Toc223433228"/>
            <w:bookmarkStart w:id="940" w:name="_Toc400627376"/>
            <w:bookmarkStart w:id="941" w:name="_Toc98763202"/>
            <w:r w:rsidRPr="009F3C52">
              <w:t xml:space="preserve">Note </w:t>
            </w:r>
            <w:r w:rsidR="00563F4A" w:rsidRPr="009F3C52">
              <w:t>4</w:t>
            </w:r>
            <w:r w:rsidR="00E86853" w:rsidRPr="009F3C52">
              <w:t>4</w:t>
            </w:r>
            <w:r w:rsidR="00863311" w:rsidRPr="009F3C52">
              <w:t>.</w:t>
            </w:r>
            <w:r w:rsidR="00FA7C77">
              <w:t xml:space="preserve"> </w:t>
            </w:r>
            <w:bookmarkStart w:id="942" w:name="TSgrantpurchserv"/>
            <w:r w:rsidR="00863311" w:rsidRPr="009F3C52">
              <w:t>Grants and Purchased Services</w:t>
            </w:r>
            <w:bookmarkEnd w:id="935"/>
            <w:bookmarkEnd w:id="936"/>
            <w:bookmarkEnd w:id="937"/>
            <w:r w:rsidR="00863311" w:rsidRPr="009F3C52">
              <w:t xml:space="preserve"> – Territorial</w:t>
            </w:r>
            <w:bookmarkEnd w:id="938"/>
            <w:bookmarkEnd w:id="939"/>
            <w:bookmarkEnd w:id="940"/>
            <w:bookmarkEnd w:id="942"/>
            <w:bookmarkEnd w:id="941"/>
          </w:p>
        </w:tc>
      </w:tr>
      <w:tr w:rsidR="00354061" w:rsidRPr="00CF7E1B" w14:paraId="317EEA5A" w14:textId="77777777" w:rsidTr="00D919F2">
        <w:trPr>
          <w:cantSplit/>
          <w:trHeight w:val="23"/>
        </w:trPr>
        <w:tc>
          <w:tcPr>
            <w:tcW w:w="1558" w:type="dxa"/>
            <w:tcBorders>
              <w:top w:val="nil"/>
              <w:left w:val="single" w:sz="2" w:space="0" w:color="auto"/>
              <w:bottom w:val="nil"/>
              <w:right w:val="single" w:sz="2" w:space="0" w:color="auto"/>
            </w:tcBorders>
          </w:tcPr>
          <w:p w14:paraId="5687B134" w14:textId="77777777" w:rsidR="00354061" w:rsidRPr="009F3C52" w:rsidRDefault="00354061" w:rsidP="00354061">
            <w:pPr>
              <w:pStyle w:val="TableReference"/>
              <w:tabs>
                <w:tab w:val="left" w:pos="3306"/>
              </w:tabs>
              <w:rPr>
                <w:rFonts w:cs="Calibri"/>
                <w:b/>
                <w:color w:val="7030A0"/>
                <w:sz w:val="20"/>
                <w:szCs w:val="20"/>
              </w:rPr>
            </w:pPr>
          </w:p>
        </w:tc>
        <w:tc>
          <w:tcPr>
            <w:tcW w:w="8929" w:type="dxa"/>
            <w:gridSpan w:val="3"/>
            <w:tcBorders>
              <w:top w:val="nil"/>
              <w:left w:val="single" w:sz="2" w:space="0" w:color="auto"/>
              <w:bottom w:val="nil"/>
              <w:right w:val="nil"/>
            </w:tcBorders>
            <w:vAlign w:val="bottom"/>
          </w:tcPr>
          <w:p w14:paraId="2EA600F1" w14:textId="5855E22A" w:rsidR="00354061" w:rsidRPr="009F3C52" w:rsidRDefault="00354061" w:rsidP="000A5AE9">
            <w:pPr>
              <w:spacing w:after="40"/>
              <w:rPr>
                <w:b/>
                <w:bCs/>
                <w:sz w:val="18"/>
                <w:szCs w:val="18"/>
              </w:rPr>
            </w:pPr>
            <w:r w:rsidRPr="009F3C52">
              <w:rPr>
                <w:b/>
                <w:bCs/>
                <w:sz w:val="18"/>
                <w:szCs w:val="18"/>
              </w:rPr>
              <w:t>Description and</w:t>
            </w:r>
            <w:r w:rsidRPr="009F3C52">
              <w:rPr>
                <w:b/>
                <w:bCs/>
                <w:caps/>
                <w:sz w:val="18"/>
                <w:szCs w:val="18"/>
              </w:rPr>
              <w:t xml:space="preserve"> </w:t>
            </w:r>
            <w:r w:rsidRPr="009F3C52">
              <w:rPr>
                <w:b/>
                <w:bCs/>
                <w:sz w:val="18"/>
                <w:szCs w:val="18"/>
              </w:rPr>
              <w:t xml:space="preserve">Material Accounting Policies Relating to </w:t>
            </w:r>
            <w:r w:rsidR="00956A70" w:rsidRPr="009F3C52">
              <w:rPr>
                <w:b/>
                <w:bCs/>
                <w:sz w:val="18"/>
                <w:szCs w:val="18"/>
              </w:rPr>
              <w:t>Grants and Purchased Services</w:t>
            </w:r>
            <w:r w:rsidR="0013456C" w:rsidRPr="009F3C52">
              <w:rPr>
                <w:b/>
                <w:bCs/>
                <w:sz w:val="18"/>
                <w:szCs w:val="18"/>
              </w:rPr>
              <w:t xml:space="preserve"> - Territorial</w:t>
            </w:r>
          </w:p>
        </w:tc>
      </w:tr>
      <w:tr w:rsidR="00863311" w:rsidRPr="00CF7E1B" w14:paraId="655144EE" w14:textId="77777777" w:rsidTr="00D919F2">
        <w:trPr>
          <w:cantSplit/>
          <w:trHeight w:val="23"/>
        </w:trPr>
        <w:tc>
          <w:tcPr>
            <w:tcW w:w="1558" w:type="dxa"/>
            <w:tcBorders>
              <w:top w:val="nil"/>
              <w:left w:val="single" w:sz="2" w:space="0" w:color="auto"/>
              <w:bottom w:val="nil"/>
              <w:right w:val="single" w:sz="2" w:space="0" w:color="auto"/>
            </w:tcBorders>
          </w:tcPr>
          <w:p w14:paraId="28E0EE06" w14:textId="77777777" w:rsidR="00863311" w:rsidRPr="009F3C52" w:rsidRDefault="00863311" w:rsidP="00863311">
            <w:pPr>
              <w:pStyle w:val="TableReference"/>
              <w:tabs>
                <w:tab w:val="left" w:pos="3306"/>
              </w:tabs>
              <w:spacing w:before="40"/>
              <w:rPr>
                <w:rFonts w:cs="Calibri"/>
                <w:color w:val="7030A0"/>
                <w:sz w:val="16"/>
                <w:szCs w:val="16"/>
              </w:rPr>
            </w:pPr>
          </w:p>
        </w:tc>
        <w:tc>
          <w:tcPr>
            <w:tcW w:w="8929" w:type="dxa"/>
            <w:gridSpan w:val="3"/>
            <w:tcBorders>
              <w:top w:val="nil"/>
              <w:left w:val="single" w:sz="2" w:space="0" w:color="auto"/>
              <w:bottom w:val="nil"/>
              <w:right w:val="nil"/>
            </w:tcBorders>
            <w:vAlign w:val="bottom"/>
          </w:tcPr>
          <w:p w14:paraId="31E6261F" w14:textId="02834657" w:rsidR="00863311" w:rsidRPr="009F3C52" w:rsidRDefault="00863311" w:rsidP="00863311">
            <w:pPr>
              <w:pStyle w:val="CommentaryText"/>
              <w:tabs>
                <w:tab w:val="left" w:pos="3306"/>
              </w:tabs>
              <w:rPr>
                <w:rFonts w:cs="Calibri"/>
                <w:sz w:val="18"/>
              </w:rPr>
            </w:pPr>
            <w:r w:rsidRPr="009F3C52">
              <w:rPr>
                <w:rFonts w:cs="Calibri"/>
                <w:sz w:val="18"/>
              </w:rPr>
              <w:t>Grants are amounts provided, by the Agency, to non</w:t>
            </w:r>
            <w:r w:rsidRPr="009F3C52">
              <w:rPr>
                <w:rFonts w:cs="Calibri"/>
                <w:sz w:val="18"/>
              </w:rPr>
              <w:noBreakHyphen/>
              <w:t>ACT Government agencies for general assistance or for a particular purpose.</w:t>
            </w:r>
            <w:r w:rsidR="00FA7C77">
              <w:rPr>
                <w:rFonts w:cs="Calibri"/>
                <w:sz w:val="18"/>
              </w:rPr>
              <w:t xml:space="preserve"> </w:t>
            </w:r>
            <w:r w:rsidRPr="009F3C52">
              <w:rPr>
                <w:rFonts w:cs="Calibri"/>
                <w:sz w:val="18"/>
              </w:rPr>
              <w:t>Grants may be for capital, current or recurrent purposes and the category reflects the use of the grant.</w:t>
            </w:r>
            <w:r w:rsidR="00FA7C77">
              <w:rPr>
                <w:rFonts w:cs="Calibri"/>
                <w:sz w:val="18"/>
              </w:rPr>
              <w:t xml:space="preserve"> </w:t>
            </w:r>
            <w:r w:rsidRPr="009F3C52">
              <w:rPr>
                <w:rFonts w:cs="Calibri"/>
                <w:sz w:val="18"/>
              </w:rPr>
              <w:t>The grants given are usually subject to terms and conditions set out in the contract, correspondence, or by legislation.</w:t>
            </w:r>
            <w:r w:rsidR="00FA7C77">
              <w:rPr>
                <w:rFonts w:cs="Calibri"/>
                <w:sz w:val="18"/>
              </w:rPr>
              <w:t xml:space="preserve">  </w:t>
            </w:r>
          </w:p>
        </w:tc>
      </w:tr>
      <w:tr w:rsidR="0080003B" w:rsidRPr="00CF7E1B" w14:paraId="0C63D126" w14:textId="77777777" w:rsidTr="00D919F2">
        <w:trPr>
          <w:cantSplit/>
          <w:trHeight w:val="217"/>
        </w:trPr>
        <w:tc>
          <w:tcPr>
            <w:tcW w:w="1558" w:type="dxa"/>
            <w:tcBorders>
              <w:top w:val="nil"/>
              <w:left w:val="single" w:sz="2" w:space="0" w:color="auto"/>
              <w:bottom w:val="nil"/>
              <w:right w:val="single" w:sz="2" w:space="0" w:color="auto"/>
            </w:tcBorders>
          </w:tcPr>
          <w:p w14:paraId="79CE5E36" w14:textId="77777777" w:rsidR="0080003B" w:rsidRPr="009F3C52" w:rsidRDefault="0080003B" w:rsidP="00863311">
            <w:pPr>
              <w:pStyle w:val="TableText"/>
              <w:rPr>
                <w:rFonts w:cs="Calibri"/>
                <w:color w:val="7030A0"/>
                <w:sz w:val="16"/>
                <w:szCs w:val="16"/>
              </w:rPr>
            </w:pPr>
          </w:p>
        </w:tc>
        <w:tc>
          <w:tcPr>
            <w:tcW w:w="8929" w:type="dxa"/>
            <w:gridSpan w:val="3"/>
            <w:tcBorders>
              <w:top w:val="nil"/>
              <w:left w:val="single" w:sz="2" w:space="0" w:color="auto"/>
              <w:bottom w:val="nil"/>
              <w:right w:val="nil"/>
            </w:tcBorders>
            <w:vAlign w:val="bottom"/>
          </w:tcPr>
          <w:p w14:paraId="5B7E03C7" w14:textId="6137ED52" w:rsidR="0080003B" w:rsidRPr="009F3C52" w:rsidRDefault="0080003B" w:rsidP="0080003B">
            <w:pPr>
              <w:pStyle w:val="TableText"/>
              <w:jc w:val="both"/>
              <w:rPr>
                <w:rFonts w:cs="Calibri"/>
                <w:b/>
                <w:bCs/>
              </w:rPr>
            </w:pPr>
            <w:r w:rsidRPr="009F3C52">
              <w:rPr>
                <w:rFonts w:cs="Calibri"/>
              </w:rPr>
              <w:t>Purchased services are amounts paid to obtain services from other ACT Government agencies and external parties.</w:t>
            </w:r>
            <w:r w:rsidR="00FA7C77">
              <w:rPr>
                <w:rFonts w:cs="Calibri"/>
              </w:rPr>
              <w:t xml:space="preserve"> </w:t>
            </w:r>
            <w:r w:rsidR="000A5AE9" w:rsidRPr="009F3C52">
              <w:rPr>
                <w:rFonts w:cs="Calibri"/>
              </w:rPr>
              <w:t xml:space="preserve">‘Burley Griffin Agency’ has only purchased services from other ACT Government Agencies. </w:t>
            </w:r>
          </w:p>
        </w:tc>
      </w:tr>
      <w:tr w:rsidR="001C75E3" w:rsidRPr="00CF7E1B" w14:paraId="707F5DAB" w14:textId="77777777" w:rsidTr="00D919F2">
        <w:trPr>
          <w:cantSplit/>
          <w:trHeight w:val="217"/>
        </w:trPr>
        <w:tc>
          <w:tcPr>
            <w:tcW w:w="1558" w:type="dxa"/>
            <w:tcBorders>
              <w:top w:val="nil"/>
              <w:left w:val="single" w:sz="2" w:space="0" w:color="auto"/>
              <w:bottom w:val="nil"/>
              <w:right w:val="single" w:sz="2" w:space="0" w:color="auto"/>
            </w:tcBorders>
          </w:tcPr>
          <w:p w14:paraId="50EF1373" w14:textId="77777777" w:rsidR="001C75E3" w:rsidRPr="009F3C52" w:rsidRDefault="001C75E3" w:rsidP="00863311">
            <w:pPr>
              <w:pStyle w:val="TableText"/>
              <w:rPr>
                <w:rFonts w:cs="Calibri"/>
                <w:color w:val="7030A0"/>
                <w:sz w:val="16"/>
                <w:szCs w:val="16"/>
              </w:rPr>
            </w:pPr>
          </w:p>
        </w:tc>
        <w:tc>
          <w:tcPr>
            <w:tcW w:w="5999" w:type="dxa"/>
            <w:tcBorders>
              <w:top w:val="nil"/>
              <w:left w:val="single" w:sz="2" w:space="0" w:color="auto"/>
              <w:bottom w:val="nil"/>
              <w:right w:val="nil"/>
            </w:tcBorders>
            <w:vAlign w:val="bottom"/>
          </w:tcPr>
          <w:p w14:paraId="7EC9FDD0" w14:textId="77777777" w:rsidR="001C75E3" w:rsidRPr="009F3C52" w:rsidRDefault="001C75E3" w:rsidP="00863311">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261B0901" w14:textId="77777777" w:rsidR="001C75E3" w:rsidRPr="009F3C52" w:rsidRDefault="001C75E3" w:rsidP="00863311">
            <w:pPr>
              <w:pStyle w:val="TableText"/>
              <w:jc w:val="right"/>
              <w:rPr>
                <w:rFonts w:cs="Calibri"/>
                <w:b/>
                <w:bCs/>
              </w:rPr>
            </w:pPr>
          </w:p>
        </w:tc>
        <w:tc>
          <w:tcPr>
            <w:tcW w:w="1275" w:type="dxa"/>
            <w:tcBorders>
              <w:top w:val="nil"/>
              <w:left w:val="nil"/>
              <w:bottom w:val="nil"/>
              <w:right w:val="nil"/>
            </w:tcBorders>
            <w:vAlign w:val="bottom"/>
          </w:tcPr>
          <w:p w14:paraId="76352953" w14:textId="77777777" w:rsidR="001C75E3" w:rsidRPr="009F3C52" w:rsidRDefault="001C75E3" w:rsidP="00863311">
            <w:pPr>
              <w:pStyle w:val="TableText"/>
              <w:jc w:val="right"/>
              <w:rPr>
                <w:rFonts w:cs="Calibri"/>
                <w:b/>
                <w:bCs/>
              </w:rPr>
            </w:pPr>
          </w:p>
        </w:tc>
      </w:tr>
      <w:tr w:rsidR="00863311" w:rsidRPr="00CF7E1B" w14:paraId="5F740AD8" w14:textId="77777777" w:rsidTr="00D919F2">
        <w:trPr>
          <w:cantSplit/>
          <w:trHeight w:val="217"/>
        </w:trPr>
        <w:tc>
          <w:tcPr>
            <w:tcW w:w="1558" w:type="dxa"/>
            <w:tcBorders>
              <w:top w:val="nil"/>
              <w:left w:val="single" w:sz="2" w:space="0" w:color="auto"/>
              <w:bottom w:val="nil"/>
              <w:right w:val="single" w:sz="2" w:space="0" w:color="auto"/>
            </w:tcBorders>
          </w:tcPr>
          <w:p w14:paraId="61396786" w14:textId="77777777" w:rsidR="00863311" w:rsidRPr="009F3C52" w:rsidRDefault="00863311" w:rsidP="00863311">
            <w:pPr>
              <w:pStyle w:val="TableText"/>
              <w:rPr>
                <w:rFonts w:cs="Calibri"/>
                <w:color w:val="7030A0"/>
                <w:sz w:val="16"/>
                <w:szCs w:val="16"/>
              </w:rPr>
            </w:pPr>
          </w:p>
        </w:tc>
        <w:tc>
          <w:tcPr>
            <w:tcW w:w="5999" w:type="dxa"/>
            <w:tcBorders>
              <w:top w:val="nil"/>
              <w:left w:val="single" w:sz="2" w:space="0" w:color="auto"/>
              <w:bottom w:val="nil"/>
              <w:right w:val="nil"/>
            </w:tcBorders>
            <w:vAlign w:val="bottom"/>
          </w:tcPr>
          <w:p w14:paraId="72456A00" w14:textId="77777777" w:rsidR="00863311" w:rsidRPr="009F3C52" w:rsidRDefault="00863311" w:rsidP="00863311">
            <w:pPr>
              <w:pStyle w:val="Header"/>
              <w:tabs>
                <w:tab w:val="clear" w:pos="4153"/>
                <w:tab w:val="clear" w:pos="8306"/>
              </w:tabs>
              <w:rPr>
                <w:rFonts w:cs="Calibri"/>
                <w:szCs w:val="16"/>
              </w:rPr>
            </w:pPr>
          </w:p>
        </w:tc>
        <w:tc>
          <w:tcPr>
            <w:tcW w:w="1655" w:type="dxa"/>
            <w:tcBorders>
              <w:top w:val="nil"/>
              <w:left w:val="nil"/>
              <w:bottom w:val="nil"/>
              <w:right w:val="nil"/>
            </w:tcBorders>
            <w:vAlign w:val="bottom"/>
          </w:tcPr>
          <w:p w14:paraId="6C007889" w14:textId="080CE217" w:rsidR="00863311" w:rsidRPr="009F3C52" w:rsidRDefault="006C26C2" w:rsidP="00863311">
            <w:pPr>
              <w:pStyle w:val="TableText"/>
              <w:jc w:val="right"/>
              <w:rPr>
                <w:rFonts w:cs="Calibri"/>
                <w:b/>
                <w:bCs/>
              </w:rPr>
            </w:pPr>
            <w:r w:rsidRPr="009F3C52">
              <w:rPr>
                <w:rFonts w:cs="Calibri"/>
                <w:b/>
                <w:bCs/>
              </w:rPr>
              <w:t>2022</w:t>
            </w:r>
          </w:p>
          <w:p w14:paraId="691D0765" w14:textId="77777777" w:rsidR="00863311" w:rsidRPr="009F3C52" w:rsidRDefault="00863311" w:rsidP="00354061">
            <w:pPr>
              <w:pStyle w:val="TableText"/>
              <w:spacing w:before="0"/>
              <w:jc w:val="right"/>
              <w:rPr>
                <w:rFonts w:cs="Calibri"/>
                <w:b/>
                <w:bCs/>
              </w:rPr>
            </w:pPr>
            <w:r w:rsidRPr="009F3C52">
              <w:rPr>
                <w:rFonts w:cs="Calibri"/>
                <w:b/>
                <w:bCs/>
              </w:rPr>
              <w:t>$’000</w:t>
            </w:r>
          </w:p>
        </w:tc>
        <w:tc>
          <w:tcPr>
            <w:tcW w:w="1275" w:type="dxa"/>
            <w:tcBorders>
              <w:top w:val="nil"/>
              <w:left w:val="nil"/>
              <w:bottom w:val="nil"/>
              <w:right w:val="nil"/>
            </w:tcBorders>
            <w:vAlign w:val="bottom"/>
          </w:tcPr>
          <w:p w14:paraId="1043D8DD" w14:textId="77777777" w:rsidR="00A84CC0" w:rsidRDefault="005709FA" w:rsidP="00863311">
            <w:pPr>
              <w:pStyle w:val="TableText"/>
              <w:jc w:val="right"/>
              <w:rPr>
                <w:rFonts w:cs="Calibri"/>
                <w:b/>
                <w:bCs/>
              </w:rPr>
            </w:pPr>
            <w:r w:rsidRPr="009F3C52">
              <w:rPr>
                <w:rFonts w:cs="Calibri"/>
                <w:b/>
                <w:bCs/>
              </w:rPr>
              <w:t>2021</w:t>
            </w:r>
            <w:r w:rsidR="00FA7C77">
              <w:rPr>
                <w:rFonts w:cs="Calibri"/>
                <w:b/>
                <w:bCs/>
              </w:rPr>
              <w:t xml:space="preserve">   </w:t>
            </w:r>
            <w:r w:rsidR="009F3C52" w:rsidRPr="009F3C52">
              <w:rPr>
                <w:rFonts w:cs="Calibri"/>
                <w:b/>
                <w:bCs/>
              </w:rPr>
              <w:t xml:space="preserve"> </w:t>
            </w:r>
          </w:p>
          <w:p w14:paraId="4BDFB01C" w14:textId="6B434F3D" w:rsidR="00863311" w:rsidRPr="009F3C52" w:rsidRDefault="00863311" w:rsidP="00863311">
            <w:pPr>
              <w:pStyle w:val="TableText"/>
              <w:jc w:val="right"/>
              <w:rPr>
                <w:rFonts w:cs="Calibri"/>
                <w:b/>
                <w:bCs/>
              </w:rPr>
            </w:pPr>
            <w:r w:rsidRPr="009F3C52">
              <w:rPr>
                <w:rFonts w:cs="Calibri"/>
                <w:b/>
                <w:bCs/>
              </w:rPr>
              <w:t>$’000</w:t>
            </w:r>
          </w:p>
        </w:tc>
      </w:tr>
      <w:tr w:rsidR="00863311" w:rsidRPr="00CF7E1B" w14:paraId="674D4168" w14:textId="77777777" w:rsidTr="00D919F2">
        <w:trPr>
          <w:cantSplit/>
          <w:trHeight w:val="23"/>
        </w:trPr>
        <w:tc>
          <w:tcPr>
            <w:tcW w:w="1558" w:type="dxa"/>
            <w:tcBorders>
              <w:top w:val="nil"/>
              <w:left w:val="single" w:sz="2" w:space="0" w:color="auto"/>
              <w:bottom w:val="nil"/>
              <w:right w:val="single" w:sz="2" w:space="0" w:color="auto"/>
            </w:tcBorders>
          </w:tcPr>
          <w:p w14:paraId="7D943C4A"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AD9D839" w14:textId="071E8808" w:rsidR="00863311" w:rsidRPr="009F3C52" w:rsidRDefault="00863311" w:rsidP="00C61ACE">
            <w:pPr>
              <w:pStyle w:val="TableText"/>
              <w:tabs>
                <w:tab w:val="left" w:pos="3306"/>
              </w:tabs>
              <w:rPr>
                <w:rFonts w:cs="Calibri"/>
              </w:rPr>
            </w:pPr>
            <w:r w:rsidRPr="009F3C52">
              <w:rPr>
                <w:rFonts w:cs="Calibri"/>
                <w:b/>
                <w:bCs/>
              </w:rPr>
              <w:t>Recurrent Grants</w:t>
            </w:r>
          </w:p>
        </w:tc>
        <w:tc>
          <w:tcPr>
            <w:tcW w:w="1655" w:type="dxa"/>
            <w:tcBorders>
              <w:top w:val="nil"/>
              <w:left w:val="nil"/>
              <w:bottom w:val="nil"/>
              <w:right w:val="nil"/>
            </w:tcBorders>
            <w:vAlign w:val="bottom"/>
          </w:tcPr>
          <w:p w14:paraId="5248C791" w14:textId="77777777"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4D1CDCBE" w14:textId="77777777" w:rsidR="00863311" w:rsidRPr="009F3C52" w:rsidRDefault="00863311" w:rsidP="00863311">
            <w:pPr>
              <w:pStyle w:val="TableText"/>
              <w:tabs>
                <w:tab w:val="left" w:pos="3306"/>
              </w:tabs>
              <w:jc w:val="right"/>
              <w:rPr>
                <w:rFonts w:cs="Calibri"/>
              </w:rPr>
            </w:pPr>
          </w:p>
        </w:tc>
      </w:tr>
      <w:tr w:rsidR="00863311" w:rsidRPr="00CF7E1B" w14:paraId="2ED4566C" w14:textId="77777777" w:rsidTr="00D919F2">
        <w:trPr>
          <w:cantSplit/>
          <w:trHeight w:val="23"/>
        </w:trPr>
        <w:tc>
          <w:tcPr>
            <w:tcW w:w="1558" w:type="dxa"/>
            <w:tcBorders>
              <w:top w:val="nil"/>
              <w:left w:val="single" w:sz="2" w:space="0" w:color="auto"/>
              <w:bottom w:val="nil"/>
              <w:right w:val="single" w:sz="2" w:space="0" w:color="auto"/>
            </w:tcBorders>
          </w:tcPr>
          <w:p w14:paraId="19D33190"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562121AD" w14:textId="2034C072"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Environment Management Organisations</w:t>
            </w:r>
          </w:p>
        </w:tc>
        <w:tc>
          <w:tcPr>
            <w:tcW w:w="1655" w:type="dxa"/>
            <w:tcBorders>
              <w:top w:val="nil"/>
              <w:left w:val="nil"/>
              <w:bottom w:val="nil"/>
              <w:right w:val="nil"/>
            </w:tcBorders>
            <w:vAlign w:val="bottom"/>
          </w:tcPr>
          <w:p w14:paraId="5015C4CF" w14:textId="3869C06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6E2C26AB" w14:textId="15D8C77D" w:rsidR="00863311" w:rsidRPr="009F3C52" w:rsidRDefault="00863311" w:rsidP="00863311">
            <w:pPr>
              <w:pStyle w:val="TableText"/>
              <w:tabs>
                <w:tab w:val="left" w:pos="3306"/>
              </w:tabs>
              <w:jc w:val="right"/>
              <w:rPr>
                <w:rFonts w:cs="Calibri"/>
              </w:rPr>
            </w:pPr>
          </w:p>
        </w:tc>
      </w:tr>
      <w:tr w:rsidR="00863311" w:rsidRPr="00CF7E1B" w14:paraId="110A8CA4" w14:textId="77777777" w:rsidTr="00D919F2">
        <w:trPr>
          <w:cantSplit/>
          <w:trHeight w:val="23"/>
        </w:trPr>
        <w:tc>
          <w:tcPr>
            <w:tcW w:w="1558" w:type="dxa"/>
            <w:tcBorders>
              <w:top w:val="nil"/>
              <w:left w:val="single" w:sz="2" w:space="0" w:color="auto"/>
              <w:bottom w:val="nil"/>
              <w:right w:val="single" w:sz="2" w:space="0" w:color="auto"/>
            </w:tcBorders>
          </w:tcPr>
          <w:p w14:paraId="23044115"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75417FEB" w14:textId="5B99B1CA"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Community Heritage Organisations</w:t>
            </w:r>
          </w:p>
        </w:tc>
        <w:tc>
          <w:tcPr>
            <w:tcW w:w="1655" w:type="dxa"/>
            <w:tcBorders>
              <w:top w:val="nil"/>
              <w:left w:val="nil"/>
              <w:bottom w:val="nil"/>
              <w:right w:val="nil"/>
            </w:tcBorders>
            <w:vAlign w:val="bottom"/>
          </w:tcPr>
          <w:p w14:paraId="6CD54A89" w14:textId="485F139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4D9966D3" w14:textId="4C071FE3" w:rsidR="00863311" w:rsidRPr="009F3C52" w:rsidRDefault="00863311" w:rsidP="00863311">
            <w:pPr>
              <w:pStyle w:val="TableText"/>
              <w:tabs>
                <w:tab w:val="left" w:pos="3306"/>
              </w:tabs>
              <w:jc w:val="right"/>
              <w:rPr>
                <w:rFonts w:cs="Calibri"/>
              </w:rPr>
            </w:pPr>
          </w:p>
        </w:tc>
      </w:tr>
      <w:tr w:rsidR="00863311" w:rsidRPr="00CF7E1B" w14:paraId="77446DFA" w14:textId="77777777" w:rsidTr="00D919F2">
        <w:trPr>
          <w:cantSplit/>
          <w:trHeight w:hRule="exact" w:val="113"/>
        </w:trPr>
        <w:tc>
          <w:tcPr>
            <w:tcW w:w="1558" w:type="dxa"/>
            <w:tcBorders>
              <w:top w:val="nil"/>
              <w:left w:val="single" w:sz="2" w:space="0" w:color="auto"/>
              <w:bottom w:val="nil"/>
              <w:right w:val="single" w:sz="2" w:space="0" w:color="auto"/>
            </w:tcBorders>
          </w:tcPr>
          <w:p w14:paraId="5CC216D7" w14:textId="77777777" w:rsidR="00863311" w:rsidRPr="009F3C52" w:rsidRDefault="00863311" w:rsidP="00863311">
            <w:pPr>
              <w:pStyle w:val="TableReference"/>
              <w:tabs>
                <w:tab w:val="left" w:pos="3306"/>
              </w:tabs>
              <w:rPr>
                <w:rFonts w:cs="Calibri"/>
                <w:color w:val="7030A0"/>
                <w:sz w:val="16"/>
                <w:szCs w:val="16"/>
              </w:rPr>
            </w:pPr>
          </w:p>
        </w:tc>
        <w:tc>
          <w:tcPr>
            <w:tcW w:w="5999" w:type="dxa"/>
            <w:tcBorders>
              <w:top w:val="nil"/>
              <w:left w:val="single" w:sz="2" w:space="0" w:color="auto"/>
              <w:bottom w:val="nil"/>
              <w:right w:val="nil"/>
            </w:tcBorders>
            <w:vAlign w:val="bottom"/>
          </w:tcPr>
          <w:p w14:paraId="1CF316D7" w14:textId="77777777" w:rsidR="00863311" w:rsidRPr="009F3C52" w:rsidRDefault="00863311" w:rsidP="00C61ACE">
            <w:pPr>
              <w:pStyle w:val="TableText"/>
              <w:tabs>
                <w:tab w:val="left" w:pos="3306"/>
              </w:tabs>
              <w:rPr>
                <w:rFonts w:cs="Calibri"/>
              </w:rPr>
            </w:pPr>
          </w:p>
        </w:tc>
        <w:tc>
          <w:tcPr>
            <w:tcW w:w="1655" w:type="dxa"/>
            <w:tcBorders>
              <w:top w:val="nil"/>
              <w:left w:val="nil"/>
              <w:bottom w:val="single" w:sz="2" w:space="0" w:color="auto"/>
              <w:right w:val="nil"/>
            </w:tcBorders>
            <w:vAlign w:val="bottom"/>
          </w:tcPr>
          <w:p w14:paraId="34BFFCB0" w14:textId="77777777" w:rsidR="00863311" w:rsidRPr="009F3C52" w:rsidRDefault="00863311" w:rsidP="00863311">
            <w:pPr>
              <w:pStyle w:val="TableText"/>
              <w:tabs>
                <w:tab w:val="left" w:pos="3306"/>
              </w:tabs>
              <w:spacing w:before="0"/>
              <w:jc w:val="right"/>
              <w:rPr>
                <w:rFonts w:cs="Calibri"/>
                <w:sz w:val="12"/>
                <w:szCs w:val="12"/>
              </w:rPr>
            </w:pPr>
          </w:p>
        </w:tc>
        <w:tc>
          <w:tcPr>
            <w:tcW w:w="1275" w:type="dxa"/>
            <w:tcBorders>
              <w:top w:val="nil"/>
              <w:left w:val="nil"/>
              <w:bottom w:val="single" w:sz="2" w:space="0" w:color="auto"/>
              <w:right w:val="nil"/>
            </w:tcBorders>
            <w:vAlign w:val="bottom"/>
          </w:tcPr>
          <w:p w14:paraId="444DC9D3" w14:textId="77777777" w:rsidR="00863311" w:rsidRPr="009F3C52" w:rsidRDefault="00863311" w:rsidP="00863311">
            <w:pPr>
              <w:pStyle w:val="TableText"/>
              <w:tabs>
                <w:tab w:val="left" w:pos="3306"/>
              </w:tabs>
              <w:spacing w:before="0"/>
              <w:jc w:val="right"/>
              <w:rPr>
                <w:rFonts w:cs="Calibri"/>
                <w:sz w:val="12"/>
                <w:szCs w:val="12"/>
              </w:rPr>
            </w:pPr>
          </w:p>
        </w:tc>
      </w:tr>
      <w:tr w:rsidR="00863311" w:rsidRPr="00CF7E1B" w14:paraId="5632A0F7" w14:textId="77777777" w:rsidTr="00D919F2">
        <w:trPr>
          <w:cantSplit/>
          <w:trHeight w:val="23"/>
        </w:trPr>
        <w:tc>
          <w:tcPr>
            <w:tcW w:w="1558" w:type="dxa"/>
            <w:tcBorders>
              <w:top w:val="nil"/>
              <w:left w:val="single" w:sz="2" w:space="0" w:color="auto"/>
              <w:bottom w:val="nil"/>
              <w:right w:val="single" w:sz="2" w:space="0" w:color="auto"/>
            </w:tcBorders>
          </w:tcPr>
          <w:p w14:paraId="173C1738"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77537B82" w14:textId="0940F42E" w:rsidR="00863311" w:rsidRPr="009F3C52" w:rsidRDefault="00863311" w:rsidP="00C61ACE">
            <w:pPr>
              <w:pStyle w:val="TableText"/>
              <w:tabs>
                <w:tab w:val="left" w:pos="3306"/>
              </w:tabs>
              <w:rPr>
                <w:rFonts w:cs="Calibri"/>
                <w:b/>
              </w:rPr>
            </w:pPr>
            <w:r w:rsidRPr="009F3C52">
              <w:rPr>
                <w:rFonts w:cs="Calibri"/>
                <w:b/>
              </w:rPr>
              <w:t>Total Recurrent Grants</w:t>
            </w:r>
          </w:p>
        </w:tc>
        <w:tc>
          <w:tcPr>
            <w:tcW w:w="1655" w:type="dxa"/>
            <w:tcBorders>
              <w:top w:val="single" w:sz="2" w:space="0" w:color="auto"/>
              <w:left w:val="nil"/>
              <w:bottom w:val="single" w:sz="2" w:space="0" w:color="auto"/>
              <w:right w:val="nil"/>
            </w:tcBorders>
            <w:vAlign w:val="bottom"/>
          </w:tcPr>
          <w:p w14:paraId="58B624F5" w14:textId="6EF8971F" w:rsidR="00863311" w:rsidRPr="009F3C52" w:rsidRDefault="00863311" w:rsidP="00863311">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5EB4B939" w14:textId="027F76AE" w:rsidR="00863311" w:rsidRPr="009F3C52" w:rsidRDefault="00863311" w:rsidP="00863311">
            <w:pPr>
              <w:pStyle w:val="TableText"/>
              <w:tabs>
                <w:tab w:val="left" w:pos="3306"/>
              </w:tabs>
              <w:jc w:val="right"/>
              <w:rPr>
                <w:rFonts w:cs="Calibri"/>
                <w:b/>
              </w:rPr>
            </w:pPr>
          </w:p>
        </w:tc>
      </w:tr>
      <w:tr w:rsidR="00863311" w:rsidRPr="00CF7E1B" w14:paraId="3BAACB81" w14:textId="77777777" w:rsidTr="00D919F2">
        <w:trPr>
          <w:cantSplit/>
          <w:trHeight w:val="23"/>
        </w:trPr>
        <w:tc>
          <w:tcPr>
            <w:tcW w:w="1558" w:type="dxa"/>
            <w:tcBorders>
              <w:top w:val="nil"/>
              <w:left w:val="single" w:sz="2" w:space="0" w:color="auto"/>
              <w:bottom w:val="nil"/>
              <w:right w:val="single" w:sz="2" w:space="0" w:color="auto"/>
            </w:tcBorders>
          </w:tcPr>
          <w:p w14:paraId="6F55F4BA"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4F9A6AF9" w14:textId="77777777" w:rsidR="00863311" w:rsidRPr="009F3C52" w:rsidRDefault="00863311" w:rsidP="00863311">
            <w:pPr>
              <w:pStyle w:val="TableText"/>
              <w:tabs>
                <w:tab w:val="left" w:pos="3306"/>
              </w:tabs>
              <w:rPr>
                <w:rFonts w:cs="Calibri"/>
              </w:rPr>
            </w:pPr>
          </w:p>
        </w:tc>
        <w:tc>
          <w:tcPr>
            <w:tcW w:w="1655" w:type="dxa"/>
            <w:tcBorders>
              <w:top w:val="single" w:sz="2" w:space="0" w:color="auto"/>
              <w:left w:val="nil"/>
              <w:bottom w:val="nil"/>
              <w:right w:val="nil"/>
            </w:tcBorders>
            <w:vAlign w:val="bottom"/>
          </w:tcPr>
          <w:p w14:paraId="72069F68" w14:textId="77777777" w:rsidR="00863311" w:rsidRPr="009F3C52" w:rsidRDefault="00863311" w:rsidP="00863311">
            <w:pPr>
              <w:pStyle w:val="TableText"/>
              <w:tabs>
                <w:tab w:val="left" w:pos="3306"/>
              </w:tabs>
              <w:jc w:val="right"/>
              <w:rPr>
                <w:rFonts w:cs="Calibri"/>
              </w:rPr>
            </w:pPr>
          </w:p>
        </w:tc>
        <w:tc>
          <w:tcPr>
            <w:tcW w:w="1275" w:type="dxa"/>
            <w:tcBorders>
              <w:top w:val="single" w:sz="2" w:space="0" w:color="auto"/>
              <w:left w:val="nil"/>
              <w:bottom w:val="nil"/>
              <w:right w:val="nil"/>
            </w:tcBorders>
            <w:vAlign w:val="bottom"/>
          </w:tcPr>
          <w:p w14:paraId="031E4788" w14:textId="77777777" w:rsidR="00863311" w:rsidRPr="009F3C52" w:rsidRDefault="00863311" w:rsidP="00863311">
            <w:pPr>
              <w:pStyle w:val="TableText"/>
              <w:tabs>
                <w:tab w:val="left" w:pos="3306"/>
              </w:tabs>
              <w:jc w:val="right"/>
              <w:rPr>
                <w:rFonts w:cs="Calibri"/>
              </w:rPr>
            </w:pPr>
          </w:p>
        </w:tc>
      </w:tr>
      <w:tr w:rsidR="00863311" w:rsidRPr="00CF7E1B" w14:paraId="2C7048EE" w14:textId="77777777" w:rsidTr="00D919F2">
        <w:trPr>
          <w:cantSplit/>
          <w:trHeight w:val="23"/>
        </w:trPr>
        <w:tc>
          <w:tcPr>
            <w:tcW w:w="1558" w:type="dxa"/>
            <w:tcBorders>
              <w:top w:val="nil"/>
              <w:left w:val="single" w:sz="2" w:space="0" w:color="auto"/>
              <w:bottom w:val="nil"/>
              <w:right w:val="single" w:sz="2" w:space="0" w:color="auto"/>
            </w:tcBorders>
          </w:tcPr>
          <w:p w14:paraId="224DD5F4"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1F15C410" w14:textId="112B486A" w:rsidR="00863311" w:rsidRPr="009F3C52" w:rsidRDefault="00863311" w:rsidP="00C61ACE">
            <w:pPr>
              <w:pStyle w:val="TableText"/>
              <w:tabs>
                <w:tab w:val="left" w:pos="3306"/>
              </w:tabs>
              <w:rPr>
                <w:rFonts w:cs="Calibri"/>
              </w:rPr>
            </w:pPr>
            <w:r w:rsidRPr="009F3C52">
              <w:rPr>
                <w:rFonts w:cs="Calibri"/>
                <w:b/>
                <w:bCs/>
              </w:rPr>
              <w:t>Capital Grants</w:t>
            </w:r>
          </w:p>
        </w:tc>
        <w:tc>
          <w:tcPr>
            <w:tcW w:w="1655" w:type="dxa"/>
            <w:tcBorders>
              <w:top w:val="nil"/>
              <w:left w:val="nil"/>
              <w:bottom w:val="nil"/>
              <w:right w:val="nil"/>
            </w:tcBorders>
            <w:vAlign w:val="bottom"/>
          </w:tcPr>
          <w:p w14:paraId="210F6C29" w14:textId="77777777"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67B52C45" w14:textId="77777777" w:rsidR="00863311" w:rsidRPr="009F3C52" w:rsidRDefault="00863311" w:rsidP="00863311">
            <w:pPr>
              <w:pStyle w:val="TableText"/>
              <w:tabs>
                <w:tab w:val="left" w:pos="3306"/>
              </w:tabs>
              <w:jc w:val="right"/>
              <w:rPr>
                <w:rFonts w:cs="Calibri"/>
              </w:rPr>
            </w:pPr>
          </w:p>
        </w:tc>
      </w:tr>
      <w:tr w:rsidR="00863311" w:rsidRPr="00CF7E1B" w14:paraId="1545A6CC" w14:textId="77777777" w:rsidTr="00D919F2">
        <w:trPr>
          <w:cantSplit/>
          <w:trHeight w:val="23"/>
        </w:trPr>
        <w:tc>
          <w:tcPr>
            <w:tcW w:w="1558" w:type="dxa"/>
            <w:tcBorders>
              <w:top w:val="nil"/>
              <w:left w:val="single" w:sz="2" w:space="0" w:color="auto"/>
              <w:bottom w:val="nil"/>
              <w:right w:val="single" w:sz="2" w:space="0" w:color="auto"/>
            </w:tcBorders>
          </w:tcPr>
          <w:p w14:paraId="6AAAA195"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2F05CA24" w14:textId="7A682958"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Environment Management Organisations</w:t>
            </w:r>
          </w:p>
        </w:tc>
        <w:tc>
          <w:tcPr>
            <w:tcW w:w="1655" w:type="dxa"/>
            <w:tcBorders>
              <w:top w:val="nil"/>
              <w:left w:val="nil"/>
              <w:bottom w:val="nil"/>
              <w:right w:val="nil"/>
            </w:tcBorders>
            <w:vAlign w:val="bottom"/>
          </w:tcPr>
          <w:p w14:paraId="0C2887F8" w14:textId="602B03DA"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09F4F41D" w14:textId="51CA7D05" w:rsidR="00863311" w:rsidRPr="009F3C52" w:rsidRDefault="00863311" w:rsidP="00863311">
            <w:pPr>
              <w:pStyle w:val="TableText"/>
              <w:tabs>
                <w:tab w:val="left" w:pos="3306"/>
              </w:tabs>
              <w:jc w:val="right"/>
              <w:rPr>
                <w:rFonts w:cs="Calibri"/>
              </w:rPr>
            </w:pPr>
          </w:p>
        </w:tc>
      </w:tr>
      <w:tr w:rsidR="00863311" w:rsidRPr="00CF7E1B" w14:paraId="5809F64A" w14:textId="77777777" w:rsidTr="00D919F2">
        <w:trPr>
          <w:cantSplit/>
          <w:trHeight w:val="23"/>
        </w:trPr>
        <w:tc>
          <w:tcPr>
            <w:tcW w:w="1558" w:type="dxa"/>
            <w:tcBorders>
              <w:top w:val="nil"/>
              <w:left w:val="single" w:sz="2" w:space="0" w:color="auto"/>
              <w:bottom w:val="nil"/>
              <w:right w:val="single" w:sz="2" w:space="0" w:color="auto"/>
            </w:tcBorders>
          </w:tcPr>
          <w:p w14:paraId="2C1CA4AC"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61E615AD" w14:textId="04303403" w:rsidR="00863311" w:rsidRPr="009F3C52" w:rsidRDefault="00FA7C77" w:rsidP="00863311">
            <w:pPr>
              <w:pStyle w:val="TableText"/>
              <w:tabs>
                <w:tab w:val="left" w:pos="3306"/>
              </w:tabs>
              <w:rPr>
                <w:rFonts w:cs="Calibri"/>
              </w:rPr>
            </w:pPr>
            <w:r>
              <w:rPr>
                <w:rFonts w:cs="Calibri"/>
              </w:rPr>
              <w:t xml:space="preserve">     </w:t>
            </w:r>
            <w:r w:rsidR="00863311" w:rsidRPr="009F3C52">
              <w:rPr>
                <w:rFonts w:cs="Calibri"/>
              </w:rPr>
              <w:t>Community Heritage Organisations</w:t>
            </w:r>
          </w:p>
        </w:tc>
        <w:tc>
          <w:tcPr>
            <w:tcW w:w="1655" w:type="dxa"/>
            <w:tcBorders>
              <w:top w:val="nil"/>
              <w:left w:val="nil"/>
              <w:bottom w:val="nil"/>
              <w:right w:val="nil"/>
            </w:tcBorders>
            <w:vAlign w:val="bottom"/>
          </w:tcPr>
          <w:p w14:paraId="52DA7AB8" w14:textId="404E4908" w:rsidR="00863311" w:rsidRPr="009F3C52" w:rsidRDefault="00863311" w:rsidP="00863311">
            <w:pPr>
              <w:pStyle w:val="TableText"/>
              <w:tabs>
                <w:tab w:val="left" w:pos="3306"/>
              </w:tabs>
              <w:jc w:val="right"/>
              <w:rPr>
                <w:rFonts w:cs="Calibri"/>
              </w:rPr>
            </w:pPr>
          </w:p>
        </w:tc>
        <w:tc>
          <w:tcPr>
            <w:tcW w:w="1275" w:type="dxa"/>
            <w:tcBorders>
              <w:top w:val="nil"/>
              <w:left w:val="nil"/>
              <w:bottom w:val="nil"/>
              <w:right w:val="nil"/>
            </w:tcBorders>
            <w:vAlign w:val="bottom"/>
          </w:tcPr>
          <w:p w14:paraId="22A2BBC3" w14:textId="6D3FB6A2" w:rsidR="00863311" w:rsidRPr="009F3C52" w:rsidRDefault="00863311" w:rsidP="00863311">
            <w:pPr>
              <w:pStyle w:val="TableText"/>
              <w:tabs>
                <w:tab w:val="left" w:pos="3306"/>
              </w:tabs>
              <w:jc w:val="right"/>
              <w:rPr>
                <w:rFonts w:cs="Calibri"/>
              </w:rPr>
            </w:pPr>
          </w:p>
        </w:tc>
      </w:tr>
      <w:tr w:rsidR="00863311" w:rsidRPr="00CF7E1B" w14:paraId="0D679164" w14:textId="77777777" w:rsidTr="00D919F2">
        <w:trPr>
          <w:cantSplit/>
          <w:trHeight w:hRule="exact" w:val="113"/>
        </w:trPr>
        <w:tc>
          <w:tcPr>
            <w:tcW w:w="1558" w:type="dxa"/>
            <w:tcBorders>
              <w:top w:val="nil"/>
              <w:left w:val="single" w:sz="2" w:space="0" w:color="auto"/>
              <w:bottom w:val="nil"/>
              <w:right w:val="single" w:sz="2" w:space="0" w:color="auto"/>
            </w:tcBorders>
          </w:tcPr>
          <w:p w14:paraId="113A558B" w14:textId="77777777" w:rsidR="00863311" w:rsidRPr="009F3C52" w:rsidRDefault="00863311" w:rsidP="00863311">
            <w:pPr>
              <w:pStyle w:val="TableReference"/>
              <w:tabs>
                <w:tab w:val="left" w:pos="3306"/>
              </w:tabs>
              <w:rPr>
                <w:rFonts w:cs="Calibri"/>
                <w:color w:val="7030A0"/>
                <w:sz w:val="16"/>
                <w:szCs w:val="16"/>
              </w:rPr>
            </w:pPr>
          </w:p>
        </w:tc>
        <w:tc>
          <w:tcPr>
            <w:tcW w:w="5999" w:type="dxa"/>
            <w:tcBorders>
              <w:top w:val="nil"/>
              <w:left w:val="single" w:sz="2" w:space="0" w:color="auto"/>
              <w:bottom w:val="nil"/>
              <w:right w:val="nil"/>
            </w:tcBorders>
            <w:vAlign w:val="bottom"/>
          </w:tcPr>
          <w:p w14:paraId="05F0751D" w14:textId="77777777" w:rsidR="00863311" w:rsidRPr="009F3C52" w:rsidRDefault="00863311" w:rsidP="00C61ACE">
            <w:pPr>
              <w:pStyle w:val="TableText"/>
              <w:tabs>
                <w:tab w:val="left" w:pos="3306"/>
              </w:tabs>
              <w:rPr>
                <w:rFonts w:cs="Calibri"/>
              </w:rPr>
            </w:pPr>
          </w:p>
        </w:tc>
        <w:tc>
          <w:tcPr>
            <w:tcW w:w="1655" w:type="dxa"/>
            <w:tcBorders>
              <w:top w:val="nil"/>
              <w:left w:val="nil"/>
              <w:bottom w:val="single" w:sz="2" w:space="0" w:color="auto"/>
              <w:right w:val="nil"/>
            </w:tcBorders>
            <w:vAlign w:val="bottom"/>
          </w:tcPr>
          <w:p w14:paraId="74C9952D" w14:textId="77777777" w:rsidR="00863311" w:rsidRPr="009F3C52" w:rsidRDefault="00863311" w:rsidP="00863311">
            <w:pPr>
              <w:pStyle w:val="TableText"/>
              <w:tabs>
                <w:tab w:val="left" w:pos="3306"/>
              </w:tabs>
              <w:spacing w:before="0"/>
              <w:jc w:val="right"/>
              <w:rPr>
                <w:rFonts w:cs="Calibri"/>
                <w:sz w:val="12"/>
                <w:szCs w:val="12"/>
              </w:rPr>
            </w:pPr>
          </w:p>
        </w:tc>
        <w:tc>
          <w:tcPr>
            <w:tcW w:w="1275" w:type="dxa"/>
            <w:tcBorders>
              <w:top w:val="nil"/>
              <w:left w:val="nil"/>
              <w:bottom w:val="single" w:sz="2" w:space="0" w:color="auto"/>
              <w:right w:val="nil"/>
            </w:tcBorders>
            <w:vAlign w:val="bottom"/>
          </w:tcPr>
          <w:p w14:paraId="746CCFAA" w14:textId="77777777" w:rsidR="00863311" w:rsidRPr="009F3C52" w:rsidRDefault="00863311" w:rsidP="00863311">
            <w:pPr>
              <w:pStyle w:val="TableText"/>
              <w:tabs>
                <w:tab w:val="left" w:pos="3306"/>
              </w:tabs>
              <w:spacing w:before="0"/>
              <w:jc w:val="right"/>
              <w:rPr>
                <w:rFonts w:cs="Calibri"/>
                <w:sz w:val="12"/>
                <w:szCs w:val="12"/>
              </w:rPr>
            </w:pPr>
          </w:p>
        </w:tc>
      </w:tr>
      <w:tr w:rsidR="00863311" w:rsidRPr="00CF7E1B" w14:paraId="6230668B" w14:textId="77777777" w:rsidTr="00D919F2">
        <w:trPr>
          <w:cantSplit/>
          <w:trHeight w:val="267"/>
        </w:trPr>
        <w:tc>
          <w:tcPr>
            <w:tcW w:w="1558" w:type="dxa"/>
            <w:tcBorders>
              <w:top w:val="nil"/>
              <w:left w:val="single" w:sz="2" w:space="0" w:color="auto"/>
              <w:bottom w:val="nil"/>
              <w:right w:val="single" w:sz="2" w:space="0" w:color="auto"/>
            </w:tcBorders>
          </w:tcPr>
          <w:p w14:paraId="59415AB4" w14:textId="77777777" w:rsidR="00863311" w:rsidRPr="009F3C52" w:rsidRDefault="00863311" w:rsidP="00863311">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B41A021" w14:textId="27BFD11A" w:rsidR="00863311" w:rsidRPr="009F3C52" w:rsidRDefault="00863311" w:rsidP="00C61ACE">
            <w:pPr>
              <w:pStyle w:val="TableText"/>
              <w:tabs>
                <w:tab w:val="left" w:pos="3306"/>
              </w:tabs>
              <w:rPr>
                <w:rFonts w:cs="Calibri"/>
                <w:b/>
              </w:rPr>
            </w:pPr>
            <w:r w:rsidRPr="009F3C52">
              <w:rPr>
                <w:rFonts w:cs="Calibri"/>
                <w:b/>
              </w:rPr>
              <w:t>Total Capital Grants</w:t>
            </w:r>
          </w:p>
        </w:tc>
        <w:tc>
          <w:tcPr>
            <w:tcW w:w="1655" w:type="dxa"/>
            <w:tcBorders>
              <w:top w:val="single" w:sz="2" w:space="0" w:color="auto"/>
              <w:left w:val="nil"/>
              <w:bottom w:val="single" w:sz="2" w:space="0" w:color="auto"/>
              <w:right w:val="nil"/>
            </w:tcBorders>
            <w:vAlign w:val="bottom"/>
          </w:tcPr>
          <w:p w14:paraId="5FA8EBAD" w14:textId="449367A1" w:rsidR="00863311" w:rsidRPr="009F3C52" w:rsidRDefault="00863311" w:rsidP="00863311">
            <w:pPr>
              <w:pStyle w:val="TableText"/>
              <w:tabs>
                <w:tab w:val="left" w:pos="3306"/>
              </w:tabs>
              <w:jc w:val="right"/>
              <w:rPr>
                <w:rFonts w:cs="Calibri"/>
                <w:b/>
              </w:rPr>
            </w:pPr>
          </w:p>
        </w:tc>
        <w:tc>
          <w:tcPr>
            <w:tcW w:w="1275" w:type="dxa"/>
            <w:tcBorders>
              <w:top w:val="single" w:sz="2" w:space="0" w:color="auto"/>
              <w:left w:val="nil"/>
              <w:bottom w:val="single" w:sz="2" w:space="0" w:color="auto"/>
              <w:right w:val="nil"/>
            </w:tcBorders>
            <w:vAlign w:val="bottom"/>
          </w:tcPr>
          <w:p w14:paraId="6E6635F2" w14:textId="16548C34" w:rsidR="00863311" w:rsidRPr="009F3C52" w:rsidRDefault="00863311" w:rsidP="00863311">
            <w:pPr>
              <w:pStyle w:val="TableText"/>
              <w:tabs>
                <w:tab w:val="left" w:pos="3306"/>
              </w:tabs>
              <w:jc w:val="right"/>
              <w:rPr>
                <w:rFonts w:cs="Calibri"/>
                <w:b/>
              </w:rPr>
            </w:pPr>
          </w:p>
        </w:tc>
      </w:tr>
      <w:tr w:rsidR="00863311" w:rsidRPr="00CF7E1B" w14:paraId="7EA0433F" w14:textId="77777777" w:rsidTr="00D919F2">
        <w:trPr>
          <w:cantSplit/>
          <w:trHeight w:hRule="exact" w:val="222"/>
        </w:trPr>
        <w:tc>
          <w:tcPr>
            <w:tcW w:w="1558" w:type="dxa"/>
            <w:tcBorders>
              <w:top w:val="nil"/>
              <w:left w:val="single" w:sz="2" w:space="0" w:color="auto"/>
              <w:bottom w:val="nil"/>
              <w:right w:val="single" w:sz="2" w:space="0" w:color="auto"/>
            </w:tcBorders>
          </w:tcPr>
          <w:p w14:paraId="75DAD668" w14:textId="77777777" w:rsidR="00863311" w:rsidRPr="009F3C52" w:rsidRDefault="00863311" w:rsidP="00863311">
            <w:pPr>
              <w:pStyle w:val="CommentaryReference"/>
              <w:rPr>
                <w:rFonts w:cs="Calibri"/>
                <w:color w:val="7030A0"/>
                <w:sz w:val="16"/>
              </w:rPr>
            </w:pPr>
          </w:p>
        </w:tc>
        <w:tc>
          <w:tcPr>
            <w:tcW w:w="5999" w:type="dxa"/>
            <w:tcBorders>
              <w:top w:val="nil"/>
              <w:left w:val="single" w:sz="2" w:space="0" w:color="auto"/>
              <w:bottom w:val="nil"/>
              <w:right w:val="nil"/>
            </w:tcBorders>
            <w:vAlign w:val="bottom"/>
          </w:tcPr>
          <w:p w14:paraId="676053E8" w14:textId="77777777" w:rsidR="00863311" w:rsidRPr="009F3C52" w:rsidRDefault="00863311" w:rsidP="00863311">
            <w:pPr>
              <w:pStyle w:val="CommentaryReference"/>
              <w:rPr>
                <w:rFonts w:cs="Calibri"/>
              </w:rPr>
            </w:pPr>
          </w:p>
        </w:tc>
        <w:tc>
          <w:tcPr>
            <w:tcW w:w="1655" w:type="dxa"/>
            <w:tcBorders>
              <w:top w:val="single" w:sz="2" w:space="0" w:color="auto"/>
              <w:left w:val="nil"/>
              <w:bottom w:val="nil"/>
              <w:right w:val="nil"/>
            </w:tcBorders>
            <w:vAlign w:val="bottom"/>
          </w:tcPr>
          <w:p w14:paraId="757FDC7F" w14:textId="77777777" w:rsidR="00863311" w:rsidRPr="009F3C52" w:rsidRDefault="00863311" w:rsidP="00863311">
            <w:pPr>
              <w:pStyle w:val="CommentaryReference"/>
              <w:rPr>
                <w:rFonts w:cs="Calibri"/>
              </w:rPr>
            </w:pPr>
          </w:p>
        </w:tc>
        <w:tc>
          <w:tcPr>
            <w:tcW w:w="1275" w:type="dxa"/>
            <w:tcBorders>
              <w:top w:val="single" w:sz="2" w:space="0" w:color="auto"/>
              <w:left w:val="nil"/>
              <w:bottom w:val="nil"/>
              <w:right w:val="nil"/>
            </w:tcBorders>
            <w:vAlign w:val="bottom"/>
          </w:tcPr>
          <w:p w14:paraId="453ADF95" w14:textId="77777777" w:rsidR="00863311" w:rsidRPr="009F3C52" w:rsidRDefault="00863311" w:rsidP="00863311">
            <w:pPr>
              <w:pStyle w:val="CommentaryReference"/>
              <w:rPr>
                <w:rFonts w:cs="Calibri"/>
              </w:rPr>
            </w:pPr>
          </w:p>
        </w:tc>
      </w:tr>
      <w:tr w:rsidR="00D828C2" w:rsidRPr="00D828C2" w14:paraId="043FE72F" w14:textId="77777777" w:rsidTr="00D919F2">
        <w:trPr>
          <w:cantSplit/>
          <w:trHeight w:val="23"/>
        </w:trPr>
        <w:tc>
          <w:tcPr>
            <w:tcW w:w="1558" w:type="dxa"/>
            <w:tcBorders>
              <w:top w:val="nil"/>
              <w:left w:val="single" w:sz="2" w:space="0" w:color="auto"/>
              <w:bottom w:val="nil"/>
              <w:right w:val="single" w:sz="2" w:space="0" w:color="auto"/>
            </w:tcBorders>
          </w:tcPr>
          <w:p w14:paraId="6540CC35"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01E70511" w14:textId="3664E34E" w:rsidR="001C75E3" w:rsidRPr="009F3C52" w:rsidRDefault="001C75E3" w:rsidP="001C75E3">
            <w:pPr>
              <w:pStyle w:val="TableText"/>
              <w:tabs>
                <w:tab w:val="left" w:pos="3306"/>
              </w:tabs>
              <w:rPr>
                <w:rFonts w:cs="Calibri"/>
              </w:rPr>
            </w:pPr>
            <w:r w:rsidRPr="009F3C52">
              <w:rPr>
                <w:rFonts w:cs="Calibri"/>
                <w:b/>
                <w:bCs/>
              </w:rPr>
              <w:t>Purchased Services</w:t>
            </w:r>
            <w:r w:rsidRPr="009F3C52">
              <w:rPr>
                <w:rFonts w:cs="Calibri"/>
              </w:rPr>
              <w:t xml:space="preserve"> </w:t>
            </w:r>
            <w:r w:rsidRPr="009F3C52">
              <w:rPr>
                <w:rFonts w:cs="Calibri"/>
                <w:b/>
                <w:bCs/>
              </w:rPr>
              <w:t>Payments</w:t>
            </w:r>
            <w:r w:rsidRPr="009F3C52">
              <w:rPr>
                <w:rFonts w:cs="Calibri"/>
              </w:rPr>
              <w:t xml:space="preserve"> </w:t>
            </w:r>
          </w:p>
        </w:tc>
        <w:tc>
          <w:tcPr>
            <w:tcW w:w="1655" w:type="dxa"/>
            <w:tcBorders>
              <w:top w:val="nil"/>
              <w:left w:val="nil"/>
              <w:bottom w:val="nil"/>
              <w:right w:val="nil"/>
            </w:tcBorders>
            <w:vAlign w:val="bottom"/>
          </w:tcPr>
          <w:p w14:paraId="16BA21AA" w14:textId="77777777" w:rsidR="001C75E3" w:rsidRPr="009F3C52" w:rsidRDefault="001C75E3" w:rsidP="001C75E3">
            <w:pPr>
              <w:pStyle w:val="TableText"/>
              <w:tabs>
                <w:tab w:val="left" w:pos="3306"/>
              </w:tabs>
              <w:jc w:val="right"/>
              <w:rPr>
                <w:rFonts w:cs="Calibri"/>
              </w:rPr>
            </w:pPr>
          </w:p>
        </w:tc>
        <w:tc>
          <w:tcPr>
            <w:tcW w:w="1275" w:type="dxa"/>
            <w:tcBorders>
              <w:top w:val="nil"/>
              <w:left w:val="nil"/>
              <w:bottom w:val="nil"/>
              <w:right w:val="nil"/>
            </w:tcBorders>
            <w:vAlign w:val="bottom"/>
          </w:tcPr>
          <w:p w14:paraId="7DAA2AFB" w14:textId="77777777" w:rsidR="001C75E3" w:rsidRPr="009F3C52" w:rsidRDefault="001C75E3" w:rsidP="001C75E3">
            <w:pPr>
              <w:pStyle w:val="TableText"/>
              <w:tabs>
                <w:tab w:val="left" w:pos="3306"/>
              </w:tabs>
              <w:jc w:val="right"/>
              <w:rPr>
                <w:rFonts w:cs="Calibri"/>
              </w:rPr>
            </w:pPr>
          </w:p>
        </w:tc>
      </w:tr>
      <w:tr w:rsidR="00D828C2" w:rsidRPr="00D828C2" w14:paraId="1D007D4C" w14:textId="77777777" w:rsidTr="00D919F2">
        <w:trPr>
          <w:cantSplit/>
          <w:trHeight w:val="23"/>
        </w:trPr>
        <w:tc>
          <w:tcPr>
            <w:tcW w:w="1558" w:type="dxa"/>
            <w:tcBorders>
              <w:top w:val="nil"/>
              <w:left w:val="single" w:sz="2" w:space="0" w:color="auto"/>
              <w:bottom w:val="nil"/>
              <w:right w:val="single" w:sz="2" w:space="0" w:color="auto"/>
            </w:tcBorders>
          </w:tcPr>
          <w:p w14:paraId="22949D44"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3A61ED1B" w14:textId="7C1D5082" w:rsidR="001C75E3" w:rsidRPr="009F3C52" w:rsidRDefault="00FA7C77" w:rsidP="001C75E3">
            <w:pPr>
              <w:pStyle w:val="TableText"/>
              <w:tabs>
                <w:tab w:val="left" w:pos="3306"/>
              </w:tabs>
              <w:rPr>
                <w:rFonts w:cs="Calibri"/>
              </w:rPr>
            </w:pPr>
            <w:r>
              <w:rPr>
                <w:rFonts w:cs="Calibri"/>
              </w:rPr>
              <w:t xml:space="preserve">     </w:t>
            </w:r>
            <w:r w:rsidR="001C75E3" w:rsidRPr="009F3C52">
              <w:rPr>
                <w:rFonts w:cs="Calibri"/>
              </w:rPr>
              <w:t>‘Example Heritage Authority’</w:t>
            </w:r>
          </w:p>
        </w:tc>
        <w:tc>
          <w:tcPr>
            <w:tcW w:w="1655" w:type="dxa"/>
            <w:tcBorders>
              <w:top w:val="nil"/>
              <w:left w:val="nil"/>
              <w:bottom w:val="nil"/>
              <w:right w:val="nil"/>
            </w:tcBorders>
            <w:vAlign w:val="bottom"/>
          </w:tcPr>
          <w:p w14:paraId="59D1EF83" w14:textId="780F1D53" w:rsidR="001C75E3" w:rsidRPr="009F3C52" w:rsidRDefault="001C75E3" w:rsidP="001C75E3">
            <w:pPr>
              <w:pStyle w:val="TableText"/>
              <w:tabs>
                <w:tab w:val="left" w:pos="3306"/>
              </w:tabs>
              <w:jc w:val="right"/>
              <w:rPr>
                <w:rFonts w:cs="Calibri"/>
              </w:rPr>
            </w:pPr>
          </w:p>
        </w:tc>
        <w:tc>
          <w:tcPr>
            <w:tcW w:w="1275" w:type="dxa"/>
            <w:tcBorders>
              <w:top w:val="nil"/>
              <w:left w:val="nil"/>
              <w:bottom w:val="nil"/>
              <w:right w:val="nil"/>
            </w:tcBorders>
            <w:vAlign w:val="bottom"/>
          </w:tcPr>
          <w:p w14:paraId="65DE5219" w14:textId="65FB62ED" w:rsidR="001C75E3" w:rsidRPr="009F3C52" w:rsidRDefault="001C75E3" w:rsidP="001C75E3">
            <w:pPr>
              <w:pStyle w:val="TableText"/>
              <w:tabs>
                <w:tab w:val="left" w:pos="3306"/>
              </w:tabs>
              <w:jc w:val="right"/>
              <w:rPr>
                <w:rFonts w:cs="Calibri"/>
              </w:rPr>
            </w:pPr>
          </w:p>
        </w:tc>
      </w:tr>
      <w:tr w:rsidR="00D828C2" w:rsidRPr="00D828C2" w14:paraId="3460D88F" w14:textId="77777777" w:rsidTr="00D919F2">
        <w:trPr>
          <w:cantSplit/>
          <w:trHeight w:val="23"/>
        </w:trPr>
        <w:tc>
          <w:tcPr>
            <w:tcW w:w="1558" w:type="dxa"/>
            <w:tcBorders>
              <w:top w:val="nil"/>
              <w:left w:val="single" w:sz="2" w:space="0" w:color="auto"/>
              <w:bottom w:val="nil"/>
              <w:right w:val="single" w:sz="2" w:space="0" w:color="auto"/>
            </w:tcBorders>
          </w:tcPr>
          <w:p w14:paraId="36D39BE2" w14:textId="77777777" w:rsidR="001C75E3" w:rsidRPr="009F3C52" w:rsidRDefault="001C75E3" w:rsidP="001C75E3">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6F100DAE" w14:textId="1C4DA27C" w:rsidR="001C75E3" w:rsidRPr="009F3C52" w:rsidRDefault="00FA7C77" w:rsidP="001C75E3">
            <w:pPr>
              <w:pStyle w:val="TableText"/>
              <w:tabs>
                <w:tab w:val="left" w:pos="3306"/>
              </w:tabs>
              <w:rPr>
                <w:rFonts w:cs="Calibri"/>
              </w:rPr>
            </w:pPr>
            <w:r>
              <w:rPr>
                <w:rFonts w:cs="Calibri"/>
              </w:rPr>
              <w:t xml:space="preserve">     </w:t>
            </w:r>
            <w:r w:rsidR="001C75E3" w:rsidRPr="009F3C52">
              <w:rPr>
                <w:rFonts w:cs="Calibri"/>
              </w:rPr>
              <w:t>‘</w:t>
            </w:r>
            <w:smartTag w:uri="urn:schemas-microsoft-com:office:smarttags" w:element="place">
              <w:smartTag w:uri="urn:schemas-microsoft-com:office:smarttags" w:element="PlaceName">
                <w:r w:rsidR="001C75E3" w:rsidRPr="009F3C52">
                  <w:rPr>
                    <w:rFonts w:cs="Calibri"/>
                  </w:rPr>
                  <w:t>Example</w:t>
                </w:r>
              </w:smartTag>
              <w:r w:rsidR="001C75E3" w:rsidRPr="009F3C52">
                <w:rPr>
                  <w:rFonts w:cs="Calibri"/>
                </w:rPr>
                <w:t xml:space="preserve"> </w:t>
              </w:r>
              <w:smartTag w:uri="urn:schemas-microsoft-com:office:smarttags" w:element="PlaceType">
                <w:r w:rsidR="001C75E3" w:rsidRPr="009F3C52">
                  <w:rPr>
                    <w:rFonts w:cs="Calibri"/>
                  </w:rPr>
                  <w:t>Land</w:t>
                </w:r>
              </w:smartTag>
            </w:smartTag>
            <w:r w:rsidR="001C75E3" w:rsidRPr="009F3C52">
              <w:rPr>
                <w:rFonts w:cs="Calibri"/>
              </w:rPr>
              <w:t xml:space="preserve"> Management Authority’</w:t>
            </w:r>
          </w:p>
        </w:tc>
        <w:tc>
          <w:tcPr>
            <w:tcW w:w="1655" w:type="dxa"/>
            <w:tcBorders>
              <w:top w:val="nil"/>
              <w:left w:val="nil"/>
              <w:bottom w:val="single" w:sz="4" w:space="0" w:color="auto"/>
              <w:right w:val="nil"/>
            </w:tcBorders>
            <w:vAlign w:val="bottom"/>
          </w:tcPr>
          <w:p w14:paraId="55E9D195" w14:textId="45F1CFD4" w:rsidR="001C75E3" w:rsidRPr="009F3C52" w:rsidRDefault="001C75E3" w:rsidP="001C75E3">
            <w:pPr>
              <w:pStyle w:val="TableText"/>
              <w:tabs>
                <w:tab w:val="left" w:pos="3306"/>
              </w:tabs>
              <w:jc w:val="right"/>
              <w:rPr>
                <w:rFonts w:cs="Calibri"/>
              </w:rPr>
            </w:pPr>
          </w:p>
        </w:tc>
        <w:tc>
          <w:tcPr>
            <w:tcW w:w="1275" w:type="dxa"/>
            <w:tcBorders>
              <w:top w:val="nil"/>
              <w:left w:val="nil"/>
              <w:bottom w:val="single" w:sz="4" w:space="0" w:color="auto"/>
              <w:right w:val="nil"/>
            </w:tcBorders>
            <w:vAlign w:val="bottom"/>
          </w:tcPr>
          <w:p w14:paraId="061A2743" w14:textId="76E4E353" w:rsidR="001C75E3" w:rsidRPr="009F3C52" w:rsidRDefault="001C75E3" w:rsidP="001C75E3">
            <w:pPr>
              <w:pStyle w:val="TableText"/>
              <w:tabs>
                <w:tab w:val="left" w:pos="3306"/>
              </w:tabs>
              <w:jc w:val="right"/>
              <w:rPr>
                <w:rFonts w:cs="Calibri"/>
              </w:rPr>
            </w:pPr>
          </w:p>
        </w:tc>
      </w:tr>
      <w:tr w:rsidR="00D828C2" w:rsidRPr="00D828C2" w14:paraId="79DEBC2A" w14:textId="77777777" w:rsidTr="00D919F2">
        <w:trPr>
          <w:cantSplit/>
          <w:trHeight w:val="23"/>
        </w:trPr>
        <w:tc>
          <w:tcPr>
            <w:tcW w:w="1558" w:type="dxa"/>
            <w:tcBorders>
              <w:top w:val="nil"/>
              <w:left w:val="single" w:sz="2" w:space="0" w:color="auto"/>
              <w:bottom w:val="nil"/>
              <w:right w:val="single" w:sz="2" w:space="0" w:color="auto"/>
            </w:tcBorders>
          </w:tcPr>
          <w:p w14:paraId="0260A7AA" w14:textId="77777777" w:rsidR="00C95C62" w:rsidRPr="009F3C52" w:rsidRDefault="00C95C62" w:rsidP="00C95C62">
            <w:pPr>
              <w:pStyle w:val="TableReference"/>
              <w:tabs>
                <w:tab w:val="left" w:pos="3306"/>
              </w:tabs>
              <w:spacing w:before="40"/>
              <w:rPr>
                <w:rFonts w:cs="Calibri"/>
                <w:color w:val="7030A0"/>
                <w:sz w:val="16"/>
                <w:szCs w:val="16"/>
              </w:rPr>
            </w:pPr>
          </w:p>
        </w:tc>
        <w:tc>
          <w:tcPr>
            <w:tcW w:w="5999" w:type="dxa"/>
            <w:tcBorders>
              <w:top w:val="nil"/>
              <w:left w:val="single" w:sz="2" w:space="0" w:color="auto"/>
              <w:bottom w:val="nil"/>
              <w:right w:val="nil"/>
            </w:tcBorders>
            <w:vAlign w:val="bottom"/>
          </w:tcPr>
          <w:p w14:paraId="510CE3B2" w14:textId="6B6D3A8F" w:rsidR="00C95C62" w:rsidRPr="009F3C52" w:rsidRDefault="00C95C62" w:rsidP="00C95C62">
            <w:pPr>
              <w:pStyle w:val="TableText"/>
              <w:tabs>
                <w:tab w:val="left" w:pos="3306"/>
              </w:tabs>
              <w:rPr>
                <w:rFonts w:cs="Calibri"/>
                <w:b/>
              </w:rPr>
            </w:pPr>
            <w:r w:rsidRPr="009F3C52">
              <w:rPr>
                <w:rFonts w:cs="Calibri"/>
                <w:b/>
              </w:rPr>
              <w:t>Total Purchased Services Payments</w:t>
            </w:r>
          </w:p>
        </w:tc>
        <w:tc>
          <w:tcPr>
            <w:tcW w:w="1655" w:type="dxa"/>
            <w:tcBorders>
              <w:top w:val="single" w:sz="4" w:space="0" w:color="auto"/>
              <w:left w:val="nil"/>
              <w:bottom w:val="single" w:sz="4" w:space="0" w:color="auto"/>
              <w:right w:val="nil"/>
            </w:tcBorders>
            <w:vAlign w:val="bottom"/>
          </w:tcPr>
          <w:p w14:paraId="768813AE" w14:textId="7A1B6086" w:rsidR="00C95C62" w:rsidRPr="009F3C52" w:rsidRDefault="00C95C62" w:rsidP="00C95C62">
            <w:pPr>
              <w:pStyle w:val="TableText"/>
              <w:tabs>
                <w:tab w:val="left" w:pos="3306"/>
              </w:tabs>
              <w:jc w:val="right"/>
              <w:rPr>
                <w:rFonts w:cs="Calibri"/>
                <w:b/>
              </w:rPr>
            </w:pPr>
          </w:p>
        </w:tc>
        <w:tc>
          <w:tcPr>
            <w:tcW w:w="1275" w:type="dxa"/>
            <w:tcBorders>
              <w:top w:val="single" w:sz="4" w:space="0" w:color="auto"/>
              <w:left w:val="nil"/>
              <w:bottom w:val="single" w:sz="4" w:space="0" w:color="auto"/>
              <w:right w:val="nil"/>
            </w:tcBorders>
            <w:vAlign w:val="bottom"/>
          </w:tcPr>
          <w:p w14:paraId="5D680042" w14:textId="68BEC869" w:rsidR="00C95C62" w:rsidRPr="009F3C52" w:rsidRDefault="00C95C62" w:rsidP="00C95C62">
            <w:pPr>
              <w:pStyle w:val="TableText"/>
              <w:tabs>
                <w:tab w:val="left" w:pos="3306"/>
              </w:tabs>
              <w:jc w:val="right"/>
              <w:rPr>
                <w:rFonts w:cs="Calibri"/>
                <w:b/>
              </w:rPr>
            </w:pPr>
          </w:p>
        </w:tc>
      </w:tr>
      <w:tr w:rsidR="0051145F" w:rsidRPr="0051145F" w14:paraId="71F3E432" w14:textId="77777777" w:rsidTr="00D919F2">
        <w:trPr>
          <w:cantSplit/>
          <w:trHeight w:val="23"/>
        </w:trPr>
        <w:tc>
          <w:tcPr>
            <w:tcW w:w="1558" w:type="dxa"/>
            <w:tcBorders>
              <w:top w:val="nil"/>
              <w:left w:val="single" w:sz="2" w:space="0" w:color="auto"/>
              <w:bottom w:val="nil"/>
              <w:right w:val="single" w:sz="2" w:space="0" w:color="auto"/>
            </w:tcBorders>
          </w:tcPr>
          <w:p w14:paraId="37DBC96A" w14:textId="77777777" w:rsidR="0051145F" w:rsidRPr="009F3C52" w:rsidRDefault="0051145F" w:rsidP="0051145F">
            <w:pPr>
              <w:pStyle w:val="TableReference"/>
              <w:tabs>
                <w:tab w:val="left" w:pos="3306"/>
              </w:tabs>
              <w:rPr>
                <w:rFonts w:cs="Calibri"/>
                <w:color w:val="7030A0"/>
                <w:szCs w:val="12"/>
              </w:rPr>
            </w:pPr>
          </w:p>
        </w:tc>
        <w:tc>
          <w:tcPr>
            <w:tcW w:w="5999" w:type="dxa"/>
            <w:tcBorders>
              <w:top w:val="nil"/>
              <w:left w:val="single" w:sz="2" w:space="0" w:color="auto"/>
              <w:bottom w:val="nil"/>
              <w:right w:val="nil"/>
            </w:tcBorders>
            <w:vAlign w:val="bottom"/>
          </w:tcPr>
          <w:p w14:paraId="05CAAD58" w14:textId="77777777" w:rsidR="0051145F" w:rsidRPr="009F3C52" w:rsidRDefault="0051145F" w:rsidP="0051145F">
            <w:pPr>
              <w:pStyle w:val="TableText"/>
              <w:tabs>
                <w:tab w:val="left" w:pos="3306"/>
              </w:tabs>
              <w:spacing w:before="0"/>
              <w:rPr>
                <w:rFonts w:cs="Calibri"/>
                <w:b/>
                <w:sz w:val="12"/>
                <w:szCs w:val="12"/>
              </w:rPr>
            </w:pPr>
          </w:p>
        </w:tc>
        <w:tc>
          <w:tcPr>
            <w:tcW w:w="1655" w:type="dxa"/>
            <w:tcBorders>
              <w:top w:val="single" w:sz="4" w:space="0" w:color="auto"/>
              <w:left w:val="nil"/>
              <w:bottom w:val="single" w:sz="4" w:space="0" w:color="auto"/>
              <w:right w:val="nil"/>
            </w:tcBorders>
            <w:vAlign w:val="bottom"/>
          </w:tcPr>
          <w:p w14:paraId="4B68C789" w14:textId="77777777" w:rsidR="0051145F" w:rsidRPr="009F3C52" w:rsidRDefault="0051145F" w:rsidP="0051145F">
            <w:pPr>
              <w:pStyle w:val="TableText"/>
              <w:tabs>
                <w:tab w:val="left" w:pos="3306"/>
              </w:tabs>
              <w:spacing w:before="0"/>
              <w:jc w:val="right"/>
              <w:rPr>
                <w:rFonts w:cs="Calibri"/>
                <w:b/>
                <w:sz w:val="12"/>
                <w:szCs w:val="12"/>
              </w:rPr>
            </w:pPr>
          </w:p>
        </w:tc>
        <w:tc>
          <w:tcPr>
            <w:tcW w:w="1275" w:type="dxa"/>
            <w:tcBorders>
              <w:top w:val="single" w:sz="4" w:space="0" w:color="auto"/>
              <w:left w:val="nil"/>
              <w:bottom w:val="single" w:sz="4" w:space="0" w:color="auto"/>
              <w:right w:val="nil"/>
            </w:tcBorders>
            <w:vAlign w:val="bottom"/>
          </w:tcPr>
          <w:p w14:paraId="0DBB9FF3" w14:textId="77777777" w:rsidR="0051145F" w:rsidRPr="009F3C52" w:rsidRDefault="0051145F" w:rsidP="0051145F">
            <w:pPr>
              <w:pStyle w:val="TableText"/>
              <w:tabs>
                <w:tab w:val="left" w:pos="3306"/>
              </w:tabs>
              <w:spacing w:before="0"/>
              <w:jc w:val="right"/>
              <w:rPr>
                <w:rFonts w:cs="Calibri"/>
                <w:b/>
                <w:sz w:val="12"/>
                <w:szCs w:val="12"/>
              </w:rPr>
            </w:pPr>
          </w:p>
        </w:tc>
      </w:tr>
      <w:tr w:rsidR="00C95C62" w:rsidRPr="00CF7E1B" w14:paraId="0E81D572" w14:textId="77777777" w:rsidTr="00D919F2">
        <w:trPr>
          <w:cantSplit/>
          <w:trHeight w:val="23"/>
        </w:trPr>
        <w:tc>
          <w:tcPr>
            <w:tcW w:w="1558" w:type="dxa"/>
            <w:tcBorders>
              <w:top w:val="nil"/>
              <w:left w:val="single" w:sz="2" w:space="0" w:color="auto"/>
              <w:bottom w:val="nil"/>
              <w:right w:val="single" w:sz="2" w:space="0" w:color="auto"/>
            </w:tcBorders>
          </w:tcPr>
          <w:p w14:paraId="70E58F71" w14:textId="77777777" w:rsidR="00C95C62" w:rsidRPr="009F3C52" w:rsidRDefault="00C95C62" w:rsidP="0051145F">
            <w:pPr>
              <w:pStyle w:val="TableReference"/>
              <w:tabs>
                <w:tab w:val="left" w:pos="3306"/>
              </w:tabs>
              <w:rPr>
                <w:rFonts w:cs="Calibri"/>
                <w:color w:val="7030A0"/>
                <w:sz w:val="16"/>
                <w:szCs w:val="16"/>
              </w:rPr>
            </w:pPr>
          </w:p>
        </w:tc>
        <w:tc>
          <w:tcPr>
            <w:tcW w:w="5999" w:type="dxa"/>
            <w:tcBorders>
              <w:top w:val="nil"/>
              <w:left w:val="single" w:sz="2" w:space="0" w:color="auto"/>
              <w:bottom w:val="nil"/>
              <w:right w:val="nil"/>
            </w:tcBorders>
            <w:vAlign w:val="bottom"/>
          </w:tcPr>
          <w:p w14:paraId="31BCC961" w14:textId="77777777" w:rsidR="00C95C62" w:rsidRPr="009F3C52" w:rsidRDefault="00C95C62" w:rsidP="0051145F">
            <w:pPr>
              <w:pStyle w:val="TableText"/>
              <w:tabs>
                <w:tab w:val="left" w:pos="3306"/>
              </w:tabs>
              <w:spacing w:before="0"/>
              <w:rPr>
                <w:rFonts w:cs="Calibri"/>
                <w:b/>
                <w:bCs/>
              </w:rPr>
            </w:pPr>
            <w:r w:rsidRPr="009F3C52">
              <w:rPr>
                <w:rFonts w:cs="Calibri"/>
                <w:b/>
                <w:bCs/>
              </w:rPr>
              <w:t>Total Grants and Purchased Services</w:t>
            </w:r>
          </w:p>
        </w:tc>
        <w:tc>
          <w:tcPr>
            <w:tcW w:w="1655" w:type="dxa"/>
            <w:tcBorders>
              <w:top w:val="single" w:sz="4" w:space="0" w:color="auto"/>
              <w:left w:val="nil"/>
              <w:bottom w:val="double" w:sz="4" w:space="0" w:color="auto"/>
              <w:right w:val="nil"/>
            </w:tcBorders>
            <w:vAlign w:val="bottom"/>
          </w:tcPr>
          <w:p w14:paraId="3286544C" w14:textId="11CBF368" w:rsidR="00C95C62" w:rsidRPr="009F3C52" w:rsidRDefault="00C95C62" w:rsidP="0051145F">
            <w:pPr>
              <w:pStyle w:val="TableText"/>
              <w:tabs>
                <w:tab w:val="left" w:pos="3306"/>
              </w:tabs>
              <w:spacing w:before="0"/>
              <w:jc w:val="right"/>
              <w:rPr>
                <w:rFonts w:cs="Calibri"/>
                <w:b/>
                <w:bCs/>
              </w:rPr>
            </w:pPr>
          </w:p>
        </w:tc>
        <w:tc>
          <w:tcPr>
            <w:tcW w:w="1275" w:type="dxa"/>
            <w:tcBorders>
              <w:top w:val="single" w:sz="4" w:space="0" w:color="auto"/>
              <w:left w:val="nil"/>
              <w:bottom w:val="double" w:sz="4" w:space="0" w:color="auto"/>
              <w:right w:val="nil"/>
            </w:tcBorders>
            <w:vAlign w:val="bottom"/>
          </w:tcPr>
          <w:p w14:paraId="665CBB14" w14:textId="0752E29A" w:rsidR="00C95C62" w:rsidRPr="009F3C52" w:rsidRDefault="00C95C62" w:rsidP="0051145F">
            <w:pPr>
              <w:pStyle w:val="TableText"/>
              <w:tabs>
                <w:tab w:val="left" w:pos="3306"/>
              </w:tabs>
              <w:spacing w:before="0"/>
              <w:jc w:val="right"/>
              <w:rPr>
                <w:rFonts w:cs="Calibri"/>
                <w:b/>
                <w:bCs/>
              </w:rPr>
            </w:pPr>
          </w:p>
        </w:tc>
      </w:tr>
      <w:tr w:rsidR="009F3C52" w:rsidRPr="00CF7E1B" w14:paraId="3C533BF0" w14:textId="77777777" w:rsidTr="00D919F2">
        <w:trPr>
          <w:cantSplit/>
          <w:trHeight w:val="181"/>
        </w:trPr>
        <w:tc>
          <w:tcPr>
            <w:tcW w:w="1558" w:type="dxa"/>
            <w:tcBorders>
              <w:top w:val="nil"/>
              <w:left w:val="single" w:sz="2" w:space="0" w:color="auto"/>
              <w:bottom w:val="nil"/>
              <w:right w:val="single" w:sz="2" w:space="0" w:color="auto"/>
            </w:tcBorders>
          </w:tcPr>
          <w:p w14:paraId="1962C5CC" w14:textId="77777777" w:rsidR="009F3C52" w:rsidRPr="009F3C52" w:rsidRDefault="009F3C52" w:rsidP="00C95C62">
            <w:pPr>
              <w:pStyle w:val="TableReference"/>
              <w:tabs>
                <w:tab w:val="left" w:pos="3306"/>
              </w:tabs>
              <w:spacing w:before="40"/>
              <w:rPr>
                <w:rFonts w:cs="Calibri"/>
                <w:color w:val="7030A0"/>
                <w:sz w:val="16"/>
                <w:szCs w:val="16"/>
              </w:rPr>
            </w:pPr>
          </w:p>
        </w:tc>
        <w:tc>
          <w:tcPr>
            <w:tcW w:w="8929" w:type="dxa"/>
            <w:gridSpan w:val="3"/>
            <w:tcBorders>
              <w:top w:val="nil"/>
              <w:left w:val="single" w:sz="2" w:space="0" w:color="auto"/>
              <w:bottom w:val="nil"/>
              <w:right w:val="nil"/>
            </w:tcBorders>
            <w:vAlign w:val="bottom"/>
          </w:tcPr>
          <w:p w14:paraId="7D4ADED3" w14:textId="77777777" w:rsidR="009F3C52" w:rsidRPr="00CF7E1B" w:rsidRDefault="009F3C52" w:rsidP="00C95C62">
            <w:pPr>
              <w:pStyle w:val="TableText"/>
              <w:tabs>
                <w:tab w:val="left" w:pos="3306"/>
              </w:tabs>
              <w:rPr>
                <w:rFonts w:cs="Calibri"/>
              </w:rPr>
            </w:pPr>
          </w:p>
        </w:tc>
      </w:tr>
      <w:tr w:rsidR="00C95C62" w:rsidRPr="00CF7E1B" w14:paraId="0A4A986E" w14:textId="77777777" w:rsidTr="00D919F2">
        <w:trPr>
          <w:cantSplit/>
          <w:trHeight w:val="23"/>
        </w:trPr>
        <w:tc>
          <w:tcPr>
            <w:tcW w:w="1558" w:type="dxa"/>
            <w:tcBorders>
              <w:top w:val="nil"/>
              <w:left w:val="single" w:sz="2" w:space="0" w:color="auto"/>
              <w:bottom w:val="nil"/>
              <w:right w:val="single" w:sz="2" w:space="0" w:color="auto"/>
            </w:tcBorders>
          </w:tcPr>
          <w:p w14:paraId="178A2CC4" w14:textId="77777777" w:rsidR="00C95C62" w:rsidRPr="009F3C52" w:rsidRDefault="00C95C62" w:rsidP="00C95C62">
            <w:pPr>
              <w:pStyle w:val="TableReference"/>
              <w:tabs>
                <w:tab w:val="left" w:pos="3306"/>
              </w:tabs>
              <w:spacing w:before="40"/>
              <w:rPr>
                <w:rFonts w:cs="Calibri"/>
                <w:color w:val="7030A0"/>
                <w:sz w:val="16"/>
                <w:szCs w:val="16"/>
              </w:rPr>
            </w:pPr>
          </w:p>
        </w:tc>
        <w:tc>
          <w:tcPr>
            <w:tcW w:w="8929" w:type="dxa"/>
            <w:gridSpan w:val="3"/>
            <w:tcBorders>
              <w:top w:val="nil"/>
              <w:left w:val="single" w:sz="2" w:space="0" w:color="auto"/>
              <w:bottom w:val="nil"/>
              <w:right w:val="nil"/>
            </w:tcBorders>
            <w:shd w:val="clear" w:color="auto" w:fill="7030A0"/>
            <w:vAlign w:val="bottom"/>
          </w:tcPr>
          <w:p w14:paraId="2AE4101B" w14:textId="54D9515C" w:rsidR="00C95C62" w:rsidRPr="009F3C52" w:rsidRDefault="00C95C62" w:rsidP="00A84CC0">
            <w:pPr>
              <w:pStyle w:val="CommentaryTitle"/>
              <w:spacing w:before="0" w:after="240"/>
              <w:rPr>
                <w:rFonts w:cs="Calibri"/>
                <w:color w:val="FFFFFF" w:themeColor="background1"/>
                <w:sz w:val="28"/>
                <w:szCs w:val="28"/>
              </w:rPr>
            </w:pPr>
            <w:bookmarkStart w:id="943" w:name="_Toc163106417"/>
            <w:r w:rsidRPr="009F3C52">
              <w:rPr>
                <w:rFonts w:cs="Calibri"/>
                <w:color w:val="FFFFFF" w:themeColor="background1"/>
                <w:sz w:val="28"/>
                <w:szCs w:val="28"/>
              </w:rPr>
              <w:t xml:space="preserve">Commentary – Note </w:t>
            </w:r>
            <w:r w:rsidR="005C675F" w:rsidRPr="009F3C52">
              <w:rPr>
                <w:rFonts w:cs="Calibri"/>
                <w:color w:val="FFFFFF" w:themeColor="background1"/>
                <w:sz w:val="28"/>
                <w:szCs w:val="28"/>
              </w:rPr>
              <w:t>4</w:t>
            </w:r>
            <w:r w:rsidR="00E86853" w:rsidRPr="009F3C52">
              <w:rPr>
                <w:rFonts w:cs="Calibri"/>
                <w:color w:val="FFFFFF" w:themeColor="background1"/>
                <w:sz w:val="28"/>
                <w:szCs w:val="28"/>
              </w:rPr>
              <w:t>4</w:t>
            </w:r>
            <w:r w:rsidRPr="009F3C52">
              <w:rPr>
                <w:rFonts w:cs="Calibri"/>
                <w:color w:val="FFFFFF" w:themeColor="background1"/>
                <w:sz w:val="28"/>
                <w:szCs w:val="28"/>
              </w:rPr>
              <w:t>: Grants and Purchased Services – Territorial</w:t>
            </w:r>
            <w:bookmarkEnd w:id="943"/>
          </w:p>
        </w:tc>
      </w:tr>
      <w:tr w:rsidR="00C95C62" w:rsidRPr="00CF7E1B" w14:paraId="013C8411" w14:textId="77777777" w:rsidTr="00D919F2">
        <w:trPr>
          <w:cantSplit/>
          <w:trHeight w:val="23"/>
        </w:trPr>
        <w:tc>
          <w:tcPr>
            <w:tcW w:w="1558" w:type="dxa"/>
            <w:tcBorders>
              <w:top w:val="nil"/>
              <w:left w:val="single" w:sz="2" w:space="0" w:color="auto"/>
              <w:bottom w:val="nil"/>
              <w:right w:val="single" w:sz="2" w:space="0" w:color="auto"/>
            </w:tcBorders>
          </w:tcPr>
          <w:p w14:paraId="611C48D6" w14:textId="77777777" w:rsidR="00C95C62" w:rsidRPr="009F3C52" w:rsidRDefault="00C95C62" w:rsidP="00C95C62">
            <w:pPr>
              <w:pStyle w:val="TableReference"/>
              <w:tabs>
                <w:tab w:val="left" w:pos="3306"/>
              </w:tabs>
              <w:spacing w:before="40"/>
              <w:rPr>
                <w:rFonts w:cs="Calibri"/>
                <w:color w:val="7030A0"/>
                <w:sz w:val="14"/>
              </w:rPr>
            </w:pPr>
            <w:r w:rsidRPr="009F3C52">
              <w:rPr>
                <w:rFonts w:cs="Calibri"/>
                <w:color w:val="7030A0"/>
                <w:sz w:val="14"/>
              </w:rPr>
              <w:t>AASB 1050.22</w:t>
            </w:r>
          </w:p>
        </w:tc>
        <w:tc>
          <w:tcPr>
            <w:tcW w:w="8929" w:type="dxa"/>
            <w:gridSpan w:val="3"/>
            <w:tcBorders>
              <w:top w:val="nil"/>
              <w:left w:val="single" w:sz="2" w:space="0" w:color="auto"/>
              <w:bottom w:val="nil"/>
              <w:right w:val="nil"/>
            </w:tcBorders>
            <w:shd w:val="clear" w:color="auto" w:fill="7030A0"/>
            <w:vAlign w:val="bottom"/>
          </w:tcPr>
          <w:p w14:paraId="15232B30" w14:textId="7037EC7B" w:rsidR="00C95C62" w:rsidRPr="009F3C52" w:rsidRDefault="00C95C62" w:rsidP="00C95C62">
            <w:pPr>
              <w:pStyle w:val="CommentaryText"/>
              <w:rPr>
                <w:rFonts w:cs="Calibri"/>
                <w:color w:val="FFFFFF" w:themeColor="background1"/>
                <w:sz w:val="18"/>
                <w:szCs w:val="18"/>
              </w:rPr>
            </w:pPr>
            <w:r w:rsidRPr="009F3C52">
              <w:rPr>
                <w:rFonts w:cs="Calibri"/>
                <w:color w:val="FFFFFF" w:themeColor="background1"/>
                <w:sz w:val="18"/>
                <w:szCs w:val="18"/>
              </w:rPr>
              <w:t>The breakup of grants and purchased services included here are of a general nature, as they will differ between each agency.</w:t>
            </w:r>
            <w:r w:rsidR="00FA7C77">
              <w:rPr>
                <w:rFonts w:cs="Calibri"/>
                <w:color w:val="FFFFFF" w:themeColor="background1"/>
                <w:sz w:val="18"/>
                <w:szCs w:val="18"/>
              </w:rPr>
              <w:t xml:space="preserve"> </w:t>
            </w:r>
            <w:r w:rsidRPr="009F3C52">
              <w:rPr>
                <w:rFonts w:cs="Calibri"/>
                <w:color w:val="FFFFFF" w:themeColor="background1"/>
                <w:sz w:val="18"/>
                <w:szCs w:val="18"/>
              </w:rPr>
              <w:t xml:space="preserve">Under AASB 1050 </w:t>
            </w:r>
            <w:r w:rsidRPr="009F3C52">
              <w:rPr>
                <w:rFonts w:cs="Calibri"/>
                <w:i/>
                <w:color w:val="FFFFFF" w:themeColor="background1"/>
                <w:sz w:val="18"/>
                <w:szCs w:val="18"/>
              </w:rPr>
              <w:t xml:space="preserve">Administered Items, </w:t>
            </w:r>
            <w:r w:rsidRPr="009F3C52">
              <w:rPr>
                <w:rFonts w:cs="Calibri"/>
                <w:color w:val="FFFFFF" w:themeColor="background1"/>
                <w:sz w:val="18"/>
                <w:szCs w:val="18"/>
              </w:rPr>
              <w:t>details of the broad categories of recipients and the amounts transferred to those recipients need to be disclosed in this note.</w:t>
            </w:r>
            <w:r w:rsidR="00FA7C77">
              <w:rPr>
                <w:rFonts w:cs="Calibri"/>
                <w:color w:val="FFFFFF" w:themeColor="background1"/>
                <w:sz w:val="18"/>
                <w:szCs w:val="18"/>
              </w:rPr>
              <w:t xml:space="preserve"> </w:t>
            </w:r>
            <w:r w:rsidRPr="009F3C52">
              <w:rPr>
                <w:rFonts w:cs="Calibri"/>
                <w:color w:val="FFFFFF" w:themeColor="background1"/>
                <w:sz w:val="18"/>
                <w:szCs w:val="18"/>
              </w:rPr>
              <w:t>Individual names of grant recipients are not required, however, an appropriate broad category description should be provided so that the users of the financial statements can understand the nature and amount of grants being administered by ‘</w:t>
            </w:r>
            <w:r w:rsidR="00347866" w:rsidRPr="009F3C52">
              <w:rPr>
                <w:color w:val="FFFFFF" w:themeColor="background1"/>
                <w:sz w:val="18"/>
                <w:szCs w:val="18"/>
              </w:rPr>
              <w:t>Burley Griffin</w:t>
            </w:r>
            <w:r w:rsidRPr="009F3C52">
              <w:rPr>
                <w:rFonts w:cs="Calibri"/>
                <w:color w:val="FFFFFF" w:themeColor="background1"/>
                <w:sz w:val="18"/>
                <w:szCs w:val="18"/>
              </w:rPr>
              <w:t xml:space="preserve"> Agency’.</w:t>
            </w:r>
            <w:r w:rsidR="00FA7C77">
              <w:rPr>
                <w:rFonts w:cs="Calibri"/>
                <w:color w:val="FFFFFF" w:themeColor="background1"/>
                <w:sz w:val="18"/>
                <w:szCs w:val="18"/>
              </w:rPr>
              <w:t xml:space="preserve"> </w:t>
            </w:r>
            <w:r w:rsidRPr="009F3C52">
              <w:rPr>
                <w:rFonts w:cs="Calibri"/>
                <w:color w:val="FFFFFF" w:themeColor="background1"/>
                <w:sz w:val="18"/>
                <w:szCs w:val="18"/>
              </w:rPr>
              <w:t>For example, the Model identifies a broad category titled ‘Environment Management Organisations’ rather than disclosing the numerous individual organisations which are in this category.</w:t>
            </w:r>
          </w:p>
        </w:tc>
      </w:tr>
    </w:tbl>
    <w:p w14:paraId="09A3396D" w14:textId="77777777" w:rsidR="00315184" w:rsidRDefault="00315184" w:rsidP="00863311">
      <w:pPr>
        <w:rPr>
          <w:rFonts w:cs="Calibri"/>
        </w:rPr>
      </w:pPr>
    </w:p>
    <w:p w14:paraId="55DEB562" w14:textId="77777777" w:rsidR="00863311" w:rsidRDefault="00315184" w:rsidP="00863311">
      <w:pPr>
        <w:rPr>
          <w:rFonts w:cs="Calibri"/>
        </w:rPr>
      </w:pPr>
      <w:r>
        <w:rPr>
          <w:rFonts w:cs="Calibri"/>
        </w:rPr>
        <w:br w:type="page"/>
      </w:r>
    </w:p>
    <w:tbl>
      <w:tblPr>
        <w:tblW w:w="4975"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4342"/>
        <w:gridCol w:w="622"/>
        <w:gridCol w:w="1007"/>
        <w:gridCol w:w="490"/>
        <w:gridCol w:w="753"/>
        <w:gridCol w:w="319"/>
        <w:gridCol w:w="1392"/>
      </w:tblGrid>
      <w:tr w:rsidR="00863311" w:rsidRPr="00CF7E1B" w14:paraId="79A6B097" w14:textId="77777777" w:rsidTr="00D919F2">
        <w:trPr>
          <w:trHeight w:val="23"/>
        </w:trPr>
        <w:tc>
          <w:tcPr>
            <w:tcW w:w="1564" w:type="dxa"/>
            <w:tcBorders>
              <w:top w:val="nil"/>
              <w:left w:val="single" w:sz="4" w:space="0" w:color="auto"/>
              <w:bottom w:val="nil"/>
              <w:right w:val="single" w:sz="4" w:space="0" w:color="auto"/>
            </w:tcBorders>
          </w:tcPr>
          <w:p w14:paraId="179BBA11" w14:textId="1B238D9C" w:rsidR="00863311" w:rsidRPr="00A05D1E" w:rsidRDefault="00A05D1E" w:rsidP="00A05D1E">
            <w:pPr>
              <w:pStyle w:val="TableReference"/>
              <w:tabs>
                <w:tab w:val="left" w:pos="3306"/>
              </w:tabs>
              <w:spacing w:before="240" w:after="240"/>
              <w:rPr>
                <w:rFonts w:cs="Calibri"/>
                <w:b/>
                <w:bCs/>
                <w:color w:val="7030A0"/>
                <w:sz w:val="16"/>
                <w:szCs w:val="16"/>
              </w:rPr>
            </w:pPr>
            <w:r w:rsidRPr="00A05D1E">
              <w:rPr>
                <w:rFonts w:asciiTheme="minorHAnsi" w:hAnsiTheme="minorHAnsi" w:cstheme="minorHAnsi"/>
                <w:b/>
                <w:bCs/>
                <w:color w:val="7030A0"/>
                <w:sz w:val="22"/>
                <w:szCs w:val="22"/>
              </w:rPr>
              <w:t>Reference</w:t>
            </w:r>
          </w:p>
        </w:tc>
        <w:tc>
          <w:tcPr>
            <w:tcW w:w="8925" w:type="dxa"/>
            <w:gridSpan w:val="7"/>
            <w:tcBorders>
              <w:top w:val="nil"/>
              <w:left w:val="single" w:sz="4" w:space="0" w:color="auto"/>
              <w:bottom w:val="nil"/>
              <w:right w:val="nil"/>
            </w:tcBorders>
            <w:vAlign w:val="bottom"/>
          </w:tcPr>
          <w:p w14:paraId="4C3DCB22" w14:textId="195CD4DA" w:rsidR="00863311" w:rsidRPr="00A05D1E" w:rsidRDefault="00307DD6" w:rsidP="0051145F">
            <w:pPr>
              <w:pStyle w:val="Heading1"/>
              <w:numPr>
                <w:ilvl w:val="0"/>
                <w:numId w:val="0"/>
              </w:numPr>
            </w:pPr>
            <w:bookmarkStart w:id="944" w:name="_Toc49224355"/>
            <w:bookmarkStart w:id="945" w:name="_Ref50365951"/>
            <w:bookmarkStart w:id="946" w:name="_Toc50440432"/>
            <w:bookmarkStart w:id="947" w:name="_Ref50524486"/>
            <w:bookmarkStart w:id="948" w:name="_Toc223433230"/>
            <w:bookmarkStart w:id="949" w:name="_Toc400627378"/>
            <w:bookmarkStart w:id="950" w:name="_Toc98763203"/>
            <w:r w:rsidRPr="00A05D1E">
              <w:t>Note</w:t>
            </w:r>
            <w:r w:rsidR="00863311" w:rsidRPr="00A05D1E">
              <w:t xml:space="preserve"> </w:t>
            </w:r>
            <w:r w:rsidR="005C675F" w:rsidRPr="00A05D1E">
              <w:t>4</w:t>
            </w:r>
            <w:r w:rsidR="00E86853" w:rsidRPr="00A05D1E">
              <w:t>5</w:t>
            </w:r>
            <w:r w:rsidR="00863311" w:rsidRPr="00A05D1E">
              <w:t>.</w:t>
            </w:r>
            <w:r w:rsidR="00FA7C77">
              <w:t xml:space="preserve"> </w:t>
            </w:r>
            <w:r w:rsidR="00570A07" w:rsidRPr="00A05D1E">
              <w:t xml:space="preserve"> </w:t>
            </w:r>
            <w:bookmarkStart w:id="951" w:name="TSotherexp"/>
            <w:r w:rsidR="00863311" w:rsidRPr="00A05D1E">
              <w:t>Other Expenses – Territorial</w:t>
            </w:r>
            <w:bookmarkEnd w:id="944"/>
            <w:bookmarkEnd w:id="945"/>
            <w:bookmarkEnd w:id="946"/>
            <w:bookmarkEnd w:id="947"/>
            <w:bookmarkEnd w:id="948"/>
            <w:bookmarkEnd w:id="949"/>
            <w:bookmarkEnd w:id="951"/>
            <w:bookmarkEnd w:id="950"/>
          </w:p>
        </w:tc>
      </w:tr>
      <w:tr w:rsidR="008D14EE" w:rsidRPr="008D0D6F" w14:paraId="762A09E3" w14:textId="77777777" w:rsidTr="00D919F2">
        <w:trPr>
          <w:trHeight w:val="23"/>
        </w:trPr>
        <w:tc>
          <w:tcPr>
            <w:tcW w:w="1564" w:type="dxa"/>
            <w:tcBorders>
              <w:top w:val="nil"/>
              <w:left w:val="single" w:sz="4" w:space="0" w:color="auto"/>
              <w:bottom w:val="nil"/>
              <w:right w:val="single" w:sz="4" w:space="0" w:color="auto"/>
            </w:tcBorders>
          </w:tcPr>
          <w:p w14:paraId="06073B22" w14:textId="77777777" w:rsidR="008D14EE" w:rsidRPr="00A05D1E" w:rsidRDefault="008D14EE" w:rsidP="00863311">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vAlign w:val="bottom"/>
          </w:tcPr>
          <w:p w14:paraId="212727AE" w14:textId="765BC09E" w:rsidR="008D14EE" w:rsidRPr="00A05D1E" w:rsidRDefault="008D14EE" w:rsidP="0051145F">
            <w:pPr>
              <w:pStyle w:val="TableText"/>
              <w:tabs>
                <w:tab w:val="left" w:pos="3306"/>
              </w:tabs>
              <w:spacing w:after="40"/>
              <w:rPr>
                <w:rFonts w:cs="Calibri"/>
                <w:b/>
                <w:bCs/>
                <w:strike/>
              </w:rPr>
            </w:pPr>
            <w:r w:rsidRPr="00A05D1E">
              <w:rPr>
                <w:rFonts w:cs="Calibri"/>
                <w:b/>
                <w:bCs/>
              </w:rPr>
              <w:t>Description and Material Accounting Policies Relating to Other Expenses</w:t>
            </w:r>
            <w:r w:rsidR="0051145F" w:rsidRPr="00A05D1E">
              <w:rPr>
                <w:rFonts w:cs="Calibri"/>
                <w:b/>
                <w:bCs/>
              </w:rPr>
              <w:t xml:space="preserve"> - Territorial</w:t>
            </w:r>
          </w:p>
        </w:tc>
      </w:tr>
      <w:tr w:rsidR="00FF2606" w:rsidRPr="008D0D6F" w14:paraId="1B7F22E4" w14:textId="77777777" w:rsidTr="00D919F2">
        <w:trPr>
          <w:trHeight w:val="23"/>
        </w:trPr>
        <w:tc>
          <w:tcPr>
            <w:tcW w:w="1564" w:type="dxa"/>
            <w:tcBorders>
              <w:top w:val="nil"/>
              <w:left w:val="single" w:sz="4" w:space="0" w:color="auto"/>
              <w:bottom w:val="nil"/>
              <w:right w:val="single" w:sz="4" w:space="0" w:color="auto"/>
            </w:tcBorders>
          </w:tcPr>
          <w:p w14:paraId="19AA4878" w14:textId="77777777" w:rsidR="00FF2606" w:rsidRPr="00A05D1E" w:rsidRDefault="00FF2606" w:rsidP="008D14EE">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tcPr>
          <w:p w14:paraId="34AAE77B" w14:textId="609A8811" w:rsidR="00FF2606" w:rsidRPr="00A05D1E" w:rsidRDefault="00FF2606" w:rsidP="008D14EE">
            <w:pPr>
              <w:pStyle w:val="TableText"/>
              <w:tabs>
                <w:tab w:val="left" w:pos="3306"/>
              </w:tabs>
              <w:rPr>
                <w:rFonts w:cs="Calibri"/>
                <w:i/>
                <w:iCs/>
              </w:rPr>
            </w:pPr>
            <w:r w:rsidRPr="00A05D1E">
              <w:rPr>
                <w:rFonts w:cs="Calibri"/>
                <w:i/>
                <w:iCs/>
              </w:rPr>
              <w:t>Waivers</w:t>
            </w:r>
          </w:p>
        </w:tc>
      </w:tr>
      <w:tr w:rsidR="00FF2606" w:rsidRPr="008D0D6F" w14:paraId="2EAFC8EA" w14:textId="77777777" w:rsidTr="00D919F2">
        <w:trPr>
          <w:trHeight w:val="23"/>
        </w:trPr>
        <w:tc>
          <w:tcPr>
            <w:tcW w:w="1564" w:type="dxa"/>
            <w:tcBorders>
              <w:top w:val="nil"/>
              <w:left w:val="single" w:sz="4" w:space="0" w:color="auto"/>
              <w:bottom w:val="nil"/>
              <w:right w:val="single" w:sz="4" w:space="0" w:color="auto"/>
            </w:tcBorders>
          </w:tcPr>
          <w:p w14:paraId="5BB56945" w14:textId="16EC8698" w:rsidR="00FF2606" w:rsidRPr="00A05D1E" w:rsidRDefault="00906E7B" w:rsidP="00FF2606">
            <w:pPr>
              <w:pStyle w:val="TableReference"/>
              <w:tabs>
                <w:tab w:val="left" w:pos="3306"/>
              </w:tabs>
              <w:spacing w:before="40"/>
              <w:rPr>
                <w:rFonts w:cs="Calibri"/>
                <w:color w:val="7030A0"/>
                <w:sz w:val="16"/>
                <w:szCs w:val="16"/>
              </w:rPr>
            </w:pPr>
            <w:r w:rsidRPr="00A05D1E">
              <w:rPr>
                <w:rFonts w:cs="Calibri"/>
                <w:color w:val="7030A0"/>
                <w:sz w:val="14"/>
              </w:rPr>
              <w:t>FMA Section 131 (1)(a)</w:t>
            </w:r>
          </w:p>
        </w:tc>
        <w:tc>
          <w:tcPr>
            <w:tcW w:w="8925" w:type="dxa"/>
            <w:gridSpan w:val="7"/>
            <w:tcBorders>
              <w:top w:val="nil"/>
              <w:left w:val="single" w:sz="4" w:space="0" w:color="auto"/>
              <w:bottom w:val="nil"/>
              <w:right w:val="nil"/>
            </w:tcBorders>
            <w:vAlign w:val="bottom"/>
          </w:tcPr>
          <w:p w14:paraId="59947094" w14:textId="7947863E" w:rsidR="00FF2606" w:rsidRPr="00A05D1E" w:rsidRDefault="0051145F" w:rsidP="006E4DBA">
            <w:pPr>
              <w:pStyle w:val="TableText"/>
              <w:tabs>
                <w:tab w:val="left" w:pos="3306"/>
              </w:tabs>
              <w:jc w:val="both"/>
              <w:rPr>
                <w:rFonts w:cs="Calibri"/>
                <w:i/>
                <w:iCs/>
              </w:rPr>
            </w:pPr>
            <w:r w:rsidRPr="00A05D1E">
              <w:rPr>
                <w:rFonts w:cs="Calibri"/>
              </w:rPr>
              <w:t>T</w:t>
            </w:r>
            <w:r w:rsidR="00FF2606" w:rsidRPr="00A05D1E">
              <w:rPr>
                <w:rFonts w:cs="Calibri"/>
              </w:rPr>
              <w:t xml:space="preserve">he Treasurer may, in writing, waive the right to payment of an amount payable to the Territory. The Treasurer </w:t>
            </w:r>
            <w:r w:rsidR="00BC3D87" w:rsidRPr="00A05D1E">
              <w:rPr>
                <w:rFonts w:cs="Calibri"/>
              </w:rPr>
              <w:t xml:space="preserve">has </w:t>
            </w:r>
            <w:r w:rsidR="00FF2606" w:rsidRPr="00A05D1E">
              <w:rPr>
                <w:rFonts w:cs="Calibri"/>
              </w:rPr>
              <w:t xml:space="preserve">waived loans owing to </w:t>
            </w:r>
            <w:r w:rsidR="00BC3D87" w:rsidRPr="00A05D1E">
              <w:rPr>
                <w:rFonts w:cs="Calibri"/>
              </w:rPr>
              <w:t xml:space="preserve">‘Burley Griffin </w:t>
            </w:r>
            <w:r w:rsidR="00FF2606" w:rsidRPr="00A05D1E">
              <w:rPr>
                <w:rFonts w:cs="Calibri"/>
              </w:rPr>
              <w:t>Agency</w:t>
            </w:r>
            <w:r w:rsidR="00BC3D87" w:rsidRPr="00A05D1E">
              <w:rPr>
                <w:rFonts w:cs="Calibri"/>
              </w:rPr>
              <w:t>’</w:t>
            </w:r>
            <w:r w:rsidR="00FF2606" w:rsidRPr="00A05D1E">
              <w:rPr>
                <w:rFonts w:cs="Calibri"/>
              </w:rPr>
              <w:t xml:space="preserve"> from third parties.</w:t>
            </w:r>
          </w:p>
        </w:tc>
      </w:tr>
      <w:tr w:rsidR="00FF2606" w:rsidRPr="008D0D6F" w14:paraId="2B5E15FC" w14:textId="77777777" w:rsidTr="00D919F2">
        <w:trPr>
          <w:trHeight w:val="23"/>
        </w:trPr>
        <w:tc>
          <w:tcPr>
            <w:tcW w:w="1564" w:type="dxa"/>
            <w:tcBorders>
              <w:top w:val="nil"/>
              <w:left w:val="single" w:sz="4" w:space="0" w:color="auto"/>
              <w:bottom w:val="nil"/>
              <w:right w:val="single" w:sz="4" w:space="0" w:color="auto"/>
            </w:tcBorders>
          </w:tcPr>
          <w:p w14:paraId="1931B3AA" w14:textId="77777777" w:rsidR="00FF2606" w:rsidRPr="00A05D1E" w:rsidRDefault="00FF2606" w:rsidP="00FF2606">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vAlign w:val="bottom"/>
          </w:tcPr>
          <w:p w14:paraId="22C64552" w14:textId="63BEBE04" w:rsidR="00FF2606" w:rsidRPr="00A05D1E" w:rsidRDefault="00FF2606" w:rsidP="00FF2606">
            <w:pPr>
              <w:pStyle w:val="TableText"/>
              <w:tabs>
                <w:tab w:val="left" w:pos="3306"/>
              </w:tabs>
              <w:spacing w:after="120"/>
              <w:rPr>
                <w:rFonts w:cs="Calibri"/>
              </w:rPr>
            </w:pPr>
            <w:r w:rsidRPr="00A05D1E">
              <w:rPr>
                <w:rFonts w:cs="Calibri"/>
              </w:rPr>
              <w:t>Debts are expensed during the year in which the right to payment was waived.</w:t>
            </w:r>
          </w:p>
        </w:tc>
      </w:tr>
      <w:tr w:rsidR="00FF2606" w:rsidRPr="008D0D6F" w14:paraId="7F036D2B" w14:textId="77777777" w:rsidTr="00D919F2">
        <w:trPr>
          <w:trHeight w:val="23"/>
        </w:trPr>
        <w:tc>
          <w:tcPr>
            <w:tcW w:w="1564" w:type="dxa"/>
            <w:tcBorders>
              <w:top w:val="nil"/>
              <w:left w:val="single" w:sz="4" w:space="0" w:color="auto"/>
              <w:bottom w:val="nil"/>
              <w:right w:val="single" w:sz="4" w:space="0" w:color="auto"/>
            </w:tcBorders>
          </w:tcPr>
          <w:p w14:paraId="4C6D4A38" w14:textId="77777777" w:rsidR="00FF2606" w:rsidRPr="00A05D1E" w:rsidRDefault="00FF2606" w:rsidP="00FF2606">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tcPr>
          <w:p w14:paraId="17C516AB" w14:textId="6673A107" w:rsidR="00FF2606" w:rsidRPr="00A05D1E" w:rsidRDefault="00FF2606" w:rsidP="00FF2606">
            <w:pPr>
              <w:pStyle w:val="TableText"/>
              <w:tabs>
                <w:tab w:val="left" w:pos="3306"/>
              </w:tabs>
              <w:rPr>
                <w:rFonts w:cs="Calibri"/>
                <w:b/>
                <w:bCs/>
                <w:strike/>
              </w:rPr>
            </w:pPr>
            <w:r w:rsidRPr="00A05D1E">
              <w:rPr>
                <w:rFonts w:cs="Calibri"/>
                <w:i/>
                <w:iCs/>
              </w:rPr>
              <w:t>Impairment Losses – Receivables</w:t>
            </w:r>
          </w:p>
        </w:tc>
      </w:tr>
      <w:tr w:rsidR="00FF2606" w:rsidRPr="008D0D6F" w14:paraId="3C588278" w14:textId="77777777" w:rsidTr="00D919F2">
        <w:trPr>
          <w:trHeight w:val="23"/>
        </w:trPr>
        <w:tc>
          <w:tcPr>
            <w:tcW w:w="1564" w:type="dxa"/>
            <w:tcBorders>
              <w:top w:val="nil"/>
              <w:left w:val="single" w:sz="4" w:space="0" w:color="auto"/>
              <w:bottom w:val="nil"/>
              <w:right w:val="single" w:sz="4" w:space="0" w:color="auto"/>
            </w:tcBorders>
          </w:tcPr>
          <w:p w14:paraId="031AE486" w14:textId="77777777" w:rsidR="00FF2606" w:rsidRPr="00A05D1E" w:rsidRDefault="00FF2606" w:rsidP="00FF2606">
            <w:pPr>
              <w:pStyle w:val="TableReference"/>
              <w:tabs>
                <w:tab w:val="left" w:pos="3306"/>
              </w:tabs>
              <w:spacing w:before="40"/>
              <w:rPr>
                <w:rFonts w:cs="Calibri"/>
                <w:color w:val="7030A0"/>
                <w:sz w:val="16"/>
                <w:szCs w:val="16"/>
              </w:rPr>
            </w:pPr>
          </w:p>
        </w:tc>
        <w:tc>
          <w:tcPr>
            <w:tcW w:w="8925" w:type="dxa"/>
            <w:gridSpan w:val="7"/>
            <w:tcBorders>
              <w:top w:val="nil"/>
              <w:left w:val="single" w:sz="4" w:space="0" w:color="auto"/>
              <w:bottom w:val="nil"/>
              <w:right w:val="nil"/>
            </w:tcBorders>
          </w:tcPr>
          <w:p w14:paraId="39BDAB11" w14:textId="55A8E7F2" w:rsidR="00FF2606" w:rsidRPr="00A05D1E" w:rsidRDefault="00FF2606" w:rsidP="006E4DBA">
            <w:pPr>
              <w:pStyle w:val="TableText"/>
              <w:tabs>
                <w:tab w:val="left" w:pos="3306"/>
              </w:tabs>
              <w:jc w:val="both"/>
              <w:rPr>
                <w:rFonts w:cs="Calibri"/>
                <w:b/>
                <w:bCs/>
                <w:strike/>
              </w:rPr>
            </w:pPr>
            <w:r w:rsidRPr="00A05D1E">
              <w:t>A matrix is used to calculate the amount of lifetime expected credit loss which factors practical and justifiable forward-looking information, including forecast economic changes expected to impact ‘</w:t>
            </w:r>
            <w:r w:rsidR="00347866" w:rsidRPr="00A05D1E">
              <w:t>Burley Griffin</w:t>
            </w:r>
            <w:r w:rsidRPr="00A05D1E">
              <w:t xml:space="preserve"> Agency’s’ receivables (See Note </w:t>
            </w:r>
            <w:r w:rsidR="003C6503" w:rsidRPr="00A05D1E">
              <w:t>4</w:t>
            </w:r>
            <w:r w:rsidR="00E86853" w:rsidRPr="00A05D1E">
              <w:t>7</w:t>
            </w:r>
            <w:r w:rsidRPr="00A05D1E">
              <w:t xml:space="preserve"> </w:t>
            </w:r>
            <w:r w:rsidRPr="00722BF2">
              <w:rPr>
                <w:i/>
                <w:iCs/>
              </w:rPr>
              <w:t>Receivables</w:t>
            </w:r>
            <w:r w:rsidRPr="00A05D1E">
              <w:t>).</w:t>
            </w:r>
          </w:p>
        </w:tc>
      </w:tr>
      <w:tr w:rsidR="00FF2606" w:rsidRPr="008D0D6F" w14:paraId="29405B27" w14:textId="77777777" w:rsidTr="00D919F2">
        <w:trPr>
          <w:trHeight w:val="23"/>
        </w:trPr>
        <w:tc>
          <w:tcPr>
            <w:tcW w:w="1564" w:type="dxa"/>
            <w:tcBorders>
              <w:top w:val="nil"/>
              <w:left w:val="single" w:sz="4" w:space="0" w:color="auto"/>
              <w:bottom w:val="nil"/>
              <w:right w:val="single" w:sz="4" w:space="0" w:color="auto"/>
            </w:tcBorders>
          </w:tcPr>
          <w:p w14:paraId="2C5E2AF4"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33A2AA9C" w14:textId="77777777" w:rsidR="00FF2606" w:rsidRPr="00A05D1E" w:rsidRDefault="00FF2606" w:rsidP="00FF2606">
            <w:pPr>
              <w:pStyle w:val="TableText"/>
              <w:tabs>
                <w:tab w:val="left" w:pos="3306"/>
              </w:tabs>
              <w:rPr>
                <w:rFonts w:cs="Calibri"/>
              </w:rPr>
            </w:pPr>
          </w:p>
        </w:tc>
        <w:tc>
          <w:tcPr>
            <w:tcW w:w="1243" w:type="dxa"/>
            <w:gridSpan w:val="2"/>
            <w:tcBorders>
              <w:top w:val="nil"/>
              <w:left w:val="nil"/>
              <w:bottom w:val="nil"/>
              <w:right w:val="nil"/>
            </w:tcBorders>
            <w:vAlign w:val="bottom"/>
          </w:tcPr>
          <w:p w14:paraId="0DD55164" w14:textId="0EF6F602" w:rsidR="00FF2606" w:rsidRPr="00A05D1E" w:rsidRDefault="00FF2606" w:rsidP="00FF2606">
            <w:pPr>
              <w:pStyle w:val="TableText"/>
              <w:tabs>
                <w:tab w:val="left" w:pos="3306"/>
              </w:tabs>
              <w:jc w:val="right"/>
              <w:rPr>
                <w:rFonts w:cs="Calibri"/>
                <w:b/>
                <w:bCs/>
              </w:rPr>
            </w:pPr>
            <w:r w:rsidRPr="00A05D1E">
              <w:rPr>
                <w:rFonts w:cs="Calibri"/>
                <w:b/>
                <w:bCs/>
              </w:rPr>
              <w:t>202</w:t>
            </w:r>
            <w:r w:rsidR="00D56952" w:rsidRPr="00A05D1E">
              <w:rPr>
                <w:rFonts w:cs="Calibri"/>
                <w:b/>
                <w:bCs/>
              </w:rPr>
              <w:t>2</w:t>
            </w:r>
          </w:p>
          <w:p w14:paraId="0277EB18" w14:textId="4BA01217" w:rsidR="00FF2606" w:rsidRPr="00A05D1E" w:rsidRDefault="00FF2606" w:rsidP="00FF2606">
            <w:pPr>
              <w:pStyle w:val="TableText"/>
              <w:tabs>
                <w:tab w:val="left" w:pos="3306"/>
              </w:tabs>
              <w:jc w:val="right"/>
              <w:rPr>
                <w:rFonts w:cs="Calibri"/>
                <w:b/>
                <w:bCs/>
              </w:rPr>
            </w:pPr>
            <w:r w:rsidRPr="00A05D1E">
              <w:rPr>
                <w:rFonts w:cs="Calibri"/>
                <w:b/>
                <w:bCs/>
              </w:rPr>
              <w:t>$’000</w:t>
            </w:r>
          </w:p>
        </w:tc>
        <w:tc>
          <w:tcPr>
            <w:tcW w:w="1711" w:type="dxa"/>
            <w:gridSpan w:val="2"/>
            <w:tcBorders>
              <w:top w:val="nil"/>
              <w:left w:val="nil"/>
              <w:bottom w:val="nil"/>
              <w:right w:val="nil"/>
            </w:tcBorders>
            <w:vAlign w:val="bottom"/>
          </w:tcPr>
          <w:p w14:paraId="42E02CE7" w14:textId="53E55800" w:rsidR="00FF2606" w:rsidRPr="00A05D1E" w:rsidRDefault="00FF2606" w:rsidP="00FF2606">
            <w:pPr>
              <w:pStyle w:val="TableText"/>
              <w:tabs>
                <w:tab w:val="left" w:pos="3306"/>
              </w:tabs>
              <w:jc w:val="right"/>
              <w:rPr>
                <w:rFonts w:cs="Calibri"/>
                <w:b/>
                <w:bCs/>
              </w:rPr>
            </w:pPr>
            <w:r w:rsidRPr="00A05D1E">
              <w:rPr>
                <w:rFonts w:cs="Calibri"/>
                <w:b/>
                <w:bCs/>
              </w:rPr>
              <w:t>20</w:t>
            </w:r>
            <w:r w:rsidR="00D56952" w:rsidRPr="00A05D1E">
              <w:rPr>
                <w:rFonts w:cs="Calibri"/>
                <w:b/>
                <w:bCs/>
              </w:rPr>
              <w:t>21</w:t>
            </w:r>
          </w:p>
          <w:p w14:paraId="4D82AD54" w14:textId="2D277C61" w:rsidR="00FF2606" w:rsidRPr="00A05D1E" w:rsidRDefault="00FF2606" w:rsidP="00FF2606">
            <w:pPr>
              <w:pStyle w:val="TableText"/>
              <w:tabs>
                <w:tab w:val="left" w:pos="3306"/>
              </w:tabs>
              <w:jc w:val="right"/>
              <w:rPr>
                <w:rFonts w:cs="Calibri"/>
                <w:b/>
                <w:bCs/>
              </w:rPr>
            </w:pPr>
            <w:r w:rsidRPr="00A05D1E">
              <w:rPr>
                <w:rFonts w:cs="Calibri"/>
                <w:b/>
                <w:bCs/>
              </w:rPr>
              <w:t>$’000</w:t>
            </w:r>
          </w:p>
        </w:tc>
      </w:tr>
      <w:tr w:rsidR="00FF2606" w:rsidRPr="00CF7E1B" w14:paraId="7A1A9FAA" w14:textId="77777777" w:rsidTr="00D919F2">
        <w:trPr>
          <w:trHeight w:val="23"/>
        </w:trPr>
        <w:tc>
          <w:tcPr>
            <w:tcW w:w="1564" w:type="dxa"/>
            <w:tcBorders>
              <w:top w:val="nil"/>
              <w:left w:val="single" w:sz="4" w:space="0" w:color="auto"/>
              <w:bottom w:val="nil"/>
              <w:right w:val="single" w:sz="4" w:space="0" w:color="auto"/>
            </w:tcBorders>
          </w:tcPr>
          <w:p w14:paraId="29747440"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739C788A" w14:textId="0448A520" w:rsidR="00FF2606" w:rsidRPr="00A05D1E" w:rsidRDefault="00FF2606" w:rsidP="00FF2606">
            <w:pPr>
              <w:pStyle w:val="TableText"/>
              <w:tabs>
                <w:tab w:val="left" w:pos="3306"/>
              </w:tabs>
              <w:rPr>
                <w:rFonts w:cs="Calibri"/>
              </w:rPr>
            </w:pPr>
            <w:r w:rsidRPr="00A05D1E">
              <w:rPr>
                <w:rFonts w:cs="Calibri"/>
              </w:rPr>
              <w:t>Waivers (see below for further information about Wa</w:t>
            </w:r>
            <w:r w:rsidR="00C94AC5" w:rsidRPr="00A05D1E">
              <w:rPr>
                <w:rFonts w:cs="Calibri"/>
              </w:rPr>
              <w:t>i</w:t>
            </w:r>
            <w:r w:rsidRPr="00A05D1E">
              <w:rPr>
                <w:rFonts w:cs="Calibri"/>
              </w:rPr>
              <w:t>vers)</w:t>
            </w:r>
          </w:p>
        </w:tc>
        <w:tc>
          <w:tcPr>
            <w:tcW w:w="1243" w:type="dxa"/>
            <w:gridSpan w:val="2"/>
            <w:tcBorders>
              <w:top w:val="nil"/>
              <w:left w:val="nil"/>
              <w:bottom w:val="nil"/>
              <w:right w:val="nil"/>
            </w:tcBorders>
            <w:vAlign w:val="bottom"/>
          </w:tcPr>
          <w:p w14:paraId="54C9364D"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4634FEAA" w14:textId="77777777" w:rsidR="00FF2606" w:rsidRPr="00A05D1E" w:rsidRDefault="00FF2606" w:rsidP="00FF2606">
            <w:pPr>
              <w:pStyle w:val="TableText"/>
              <w:tabs>
                <w:tab w:val="left" w:pos="3306"/>
              </w:tabs>
              <w:jc w:val="right"/>
              <w:rPr>
                <w:rFonts w:cs="Calibri"/>
              </w:rPr>
            </w:pPr>
          </w:p>
        </w:tc>
      </w:tr>
      <w:tr w:rsidR="00FF2606" w:rsidRPr="00CF7E1B" w14:paraId="240921B2" w14:textId="77777777" w:rsidTr="00D919F2">
        <w:trPr>
          <w:trHeight w:val="23"/>
        </w:trPr>
        <w:tc>
          <w:tcPr>
            <w:tcW w:w="1564" w:type="dxa"/>
            <w:tcBorders>
              <w:top w:val="nil"/>
              <w:left w:val="single" w:sz="4" w:space="0" w:color="auto"/>
              <w:bottom w:val="nil"/>
              <w:right w:val="single" w:sz="4" w:space="0" w:color="auto"/>
            </w:tcBorders>
          </w:tcPr>
          <w:p w14:paraId="4A99331D"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724AB195" w14:textId="5F9CE3CE" w:rsidR="00FF2606" w:rsidRPr="00A05D1E" w:rsidRDefault="00FF2606" w:rsidP="00FF2606">
            <w:pPr>
              <w:pStyle w:val="TableText"/>
              <w:tabs>
                <w:tab w:val="left" w:pos="3306"/>
              </w:tabs>
              <w:rPr>
                <w:rFonts w:cs="Calibri"/>
              </w:rPr>
            </w:pPr>
            <w:r w:rsidRPr="00A05D1E">
              <w:rPr>
                <w:rFonts w:cs="Calibri"/>
              </w:rPr>
              <w:t xml:space="preserve">Impairment Loss </w:t>
            </w:r>
          </w:p>
        </w:tc>
        <w:tc>
          <w:tcPr>
            <w:tcW w:w="1243" w:type="dxa"/>
            <w:gridSpan w:val="2"/>
            <w:tcBorders>
              <w:top w:val="nil"/>
              <w:left w:val="nil"/>
              <w:bottom w:val="nil"/>
              <w:right w:val="nil"/>
            </w:tcBorders>
            <w:vAlign w:val="bottom"/>
          </w:tcPr>
          <w:p w14:paraId="368B8E00"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22D36CFE" w14:textId="77777777" w:rsidR="00FF2606" w:rsidRPr="00A05D1E" w:rsidRDefault="00FF2606" w:rsidP="00FF2606">
            <w:pPr>
              <w:pStyle w:val="TableText"/>
              <w:tabs>
                <w:tab w:val="left" w:pos="3306"/>
              </w:tabs>
              <w:jc w:val="right"/>
              <w:rPr>
                <w:rFonts w:cs="Calibri"/>
              </w:rPr>
            </w:pPr>
          </w:p>
        </w:tc>
      </w:tr>
      <w:tr w:rsidR="00FF2606" w:rsidRPr="00CF7E1B" w14:paraId="753C8015" w14:textId="77777777" w:rsidTr="00D919F2">
        <w:trPr>
          <w:trHeight w:val="23"/>
        </w:trPr>
        <w:tc>
          <w:tcPr>
            <w:tcW w:w="1564" w:type="dxa"/>
            <w:tcBorders>
              <w:top w:val="nil"/>
              <w:left w:val="single" w:sz="4" w:space="0" w:color="auto"/>
              <w:bottom w:val="nil"/>
              <w:right w:val="single" w:sz="4" w:space="0" w:color="auto"/>
            </w:tcBorders>
          </w:tcPr>
          <w:p w14:paraId="5B46EEC1"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4B423F2D" w14:textId="741C1790"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Expected Credit Loss Expense – Accounts Receivables</w:t>
            </w:r>
          </w:p>
        </w:tc>
        <w:tc>
          <w:tcPr>
            <w:tcW w:w="1243" w:type="dxa"/>
            <w:gridSpan w:val="2"/>
            <w:tcBorders>
              <w:top w:val="nil"/>
              <w:left w:val="nil"/>
              <w:bottom w:val="nil"/>
              <w:right w:val="nil"/>
            </w:tcBorders>
            <w:vAlign w:val="bottom"/>
          </w:tcPr>
          <w:p w14:paraId="477E6BC0"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57F88CC0" w14:textId="77777777" w:rsidR="00FF2606" w:rsidRPr="00A05D1E" w:rsidRDefault="00FF2606" w:rsidP="00FF2606">
            <w:pPr>
              <w:pStyle w:val="TableText"/>
              <w:tabs>
                <w:tab w:val="left" w:pos="3306"/>
              </w:tabs>
              <w:jc w:val="right"/>
              <w:rPr>
                <w:rFonts w:cs="Calibri"/>
              </w:rPr>
            </w:pPr>
          </w:p>
        </w:tc>
      </w:tr>
      <w:tr w:rsidR="00FF2606" w:rsidRPr="00CF7E1B" w14:paraId="508855DF" w14:textId="77777777" w:rsidTr="00D919F2">
        <w:trPr>
          <w:trHeight w:val="23"/>
        </w:trPr>
        <w:tc>
          <w:tcPr>
            <w:tcW w:w="1564" w:type="dxa"/>
            <w:tcBorders>
              <w:top w:val="nil"/>
              <w:left w:val="single" w:sz="4" w:space="0" w:color="auto"/>
              <w:bottom w:val="nil"/>
              <w:right w:val="single" w:sz="4" w:space="0" w:color="auto"/>
            </w:tcBorders>
          </w:tcPr>
          <w:p w14:paraId="1021FEAC"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0333C728" w14:textId="718A1DCC" w:rsidR="00FF2606" w:rsidRPr="00A05D1E" w:rsidRDefault="00FF2606" w:rsidP="006E4DBA">
            <w:pPr>
              <w:pStyle w:val="TableText"/>
              <w:tabs>
                <w:tab w:val="left" w:pos="3306"/>
              </w:tabs>
              <w:rPr>
                <w:rFonts w:cs="Calibri"/>
                <w:bCs/>
              </w:rPr>
            </w:pPr>
            <w:r w:rsidRPr="00A05D1E">
              <w:rPr>
                <w:rFonts w:cs="Calibri"/>
                <w:bCs/>
              </w:rPr>
              <w:t>Write-offs</w:t>
            </w:r>
          </w:p>
        </w:tc>
        <w:tc>
          <w:tcPr>
            <w:tcW w:w="1243" w:type="dxa"/>
            <w:gridSpan w:val="2"/>
            <w:tcBorders>
              <w:top w:val="nil"/>
              <w:left w:val="nil"/>
              <w:bottom w:val="nil"/>
              <w:right w:val="nil"/>
            </w:tcBorders>
            <w:vAlign w:val="bottom"/>
          </w:tcPr>
          <w:p w14:paraId="746C059F"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6F209887" w14:textId="77777777" w:rsidR="00FF2606" w:rsidRPr="00A05D1E" w:rsidRDefault="00FF2606" w:rsidP="00FF2606">
            <w:pPr>
              <w:pStyle w:val="TableText"/>
              <w:tabs>
                <w:tab w:val="left" w:pos="3306"/>
              </w:tabs>
              <w:jc w:val="right"/>
              <w:rPr>
                <w:rFonts w:cs="Calibri"/>
              </w:rPr>
            </w:pPr>
          </w:p>
        </w:tc>
      </w:tr>
      <w:tr w:rsidR="00FF2606" w:rsidRPr="00CF7E1B" w14:paraId="76830923" w14:textId="77777777" w:rsidTr="00D919F2">
        <w:trPr>
          <w:trHeight w:val="23"/>
        </w:trPr>
        <w:tc>
          <w:tcPr>
            <w:tcW w:w="1564" w:type="dxa"/>
            <w:tcBorders>
              <w:top w:val="nil"/>
              <w:left w:val="single" w:sz="4" w:space="0" w:color="auto"/>
              <w:bottom w:val="nil"/>
              <w:right w:val="single" w:sz="4" w:space="0" w:color="auto"/>
            </w:tcBorders>
          </w:tcPr>
          <w:p w14:paraId="6501DD76" w14:textId="5AA607E7" w:rsidR="00FF2606" w:rsidRPr="00A05D1E" w:rsidRDefault="00FF2606" w:rsidP="00FF2606">
            <w:pPr>
              <w:pStyle w:val="TableReference"/>
              <w:tabs>
                <w:tab w:val="left" w:pos="3306"/>
              </w:tabs>
              <w:spacing w:before="40"/>
              <w:rPr>
                <w:rFonts w:cs="Calibri"/>
                <w:color w:val="7030A0"/>
                <w:sz w:val="16"/>
                <w:szCs w:val="16"/>
              </w:rPr>
            </w:pPr>
            <w:r w:rsidRPr="00A05D1E">
              <w:rPr>
                <w:rFonts w:cs="Calibri"/>
                <w:color w:val="7030A0"/>
                <w:sz w:val="14"/>
              </w:rPr>
              <w:t>ACT Disclosure Policy</w:t>
            </w:r>
          </w:p>
        </w:tc>
        <w:tc>
          <w:tcPr>
            <w:tcW w:w="5971" w:type="dxa"/>
            <w:gridSpan w:val="3"/>
            <w:tcBorders>
              <w:top w:val="nil"/>
              <w:left w:val="single" w:sz="4" w:space="0" w:color="auto"/>
              <w:bottom w:val="nil"/>
              <w:right w:val="nil"/>
            </w:tcBorders>
          </w:tcPr>
          <w:p w14:paraId="1399DF59" w14:textId="73DAFD00"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Losses or Deficiencies in Public Monies</w:t>
            </w:r>
          </w:p>
        </w:tc>
        <w:tc>
          <w:tcPr>
            <w:tcW w:w="1243" w:type="dxa"/>
            <w:gridSpan w:val="2"/>
            <w:tcBorders>
              <w:top w:val="nil"/>
              <w:left w:val="nil"/>
              <w:bottom w:val="nil"/>
              <w:right w:val="nil"/>
            </w:tcBorders>
            <w:vAlign w:val="bottom"/>
          </w:tcPr>
          <w:p w14:paraId="111A1487"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3092458D" w14:textId="77777777" w:rsidR="00FF2606" w:rsidRPr="00A05D1E" w:rsidRDefault="00FF2606" w:rsidP="00FF2606">
            <w:pPr>
              <w:pStyle w:val="TableText"/>
              <w:tabs>
                <w:tab w:val="left" w:pos="3306"/>
              </w:tabs>
              <w:jc w:val="right"/>
              <w:rPr>
                <w:rFonts w:cs="Calibri"/>
              </w:rPr>
            </w:pPr>
          </w:p>
        </w:tc>
      </w:tr>
      <w:tr w:rsidR="00FF2606" w:rsidRPr="00CF7E1B" w14:paraId="19C08CD1" w14:textId="77777777" w:rsidTr="00D919F2">
        <w:trPr>
          <w:trHeight w:val="23"/>
        </w:trPr>
        <w:tc>
          <w:tcPr>
            <w:tcW w:w="1564" w:type="dxa"/>
            <w:tcBorders>
              <w:top w:val="nil"/>
              <w:left w:val="single" w:sz="4" w:space="0" w:color="auto"/>
              <w:bottom w:val="nil"/>
              <w:right w:val="single" w:sz="4" w:space="0" w:color="auto"/>
            </w:tcBorders>
          </w:tcPr>
          <w:p w14:paraId="588483F8" w14:textId="03DCED02" w:rsidR="00FF2606" w:rsidRPr="00A05D1E" w:rsidRDefault="00FF2606" w:rsidP="00FF2606">
            <w:pPr>
              <w:pStyle w:val="TableReference"/>
              <w:tabs>
                <w:tab w:val="left" w:pos="3306"/>
              </w:tabs>
              <w:spacing w:before="40"/>
              <w:rPr>
                <w:rFonts w:cs="Calibri"/>
                <w:color w:val="7030A0"/>
                <w:sz w:val="16"/>
                <w:szCs w:val="16"/>
              </w:rPr>
            </w:pPr>
            <w:r w:rsidRPr="00A05D1E">
              <w:rPr>
                <w:rFonts w:cs="Calibri"/>
                <w:color w:val="7030A0"/>
                <w:sz w:val="14"/>
              </w:rPr>
              <w:t>ACT Disclosure Policy</w:t>
            </w:r>
          </w:p>
        </w:tc>
        <w:tc>
          <w:tcPr>
            <w:tcW w:w="5971" w:type="dxa"/>
            <w:gridSpan w:val="3"/>
            <w:tcBorders>
              <w:top w:val="nil"/>
              <w:left w:val="single" w:sz="4" w:space="0" w:color="auto"/>
              <w:bottom w:val="nil"/>
              <w:right w:val="nil"/>
            </w:tcBorders>
          </w:tcPr>
          <w:p w14:paraId="6EC7B980" w14:textId="11254EA5" w:rsidR="00FF2606" w:rsidRPr="00A05D1E" w:rsidRDefault="00FA7C77" w:rsidP="00FF2606">
            <w:pPr>
              <w:pStyle w:val="TableText"/>
              <w:tabs>
                <w:tab w:val="left" w:pos="3306"/>
              </w:tabs>
              <w:rPr>
                <w:rFonts w:cs="Calibri"/>
              </w:rPr>
            </w:pPr>
            <w:r>
              <w:rPr>
                <w:rFonts w:cs="Calibri"/>
              </w:rPr>
              <w:t xml:space="preserve">  </w:t>
            </w:r>
            <w:r w:rsidR="00FF2606" w:rsidRPr="00A05D1E">
              <w:rPr>
                <w:rFonts w:cs="Calibri"/>
              </w:rPr>
              <w:t xml:space="preserve"> - Irrecoverable Debts</w:t>
            </w:r>
          </w:p>
        </w:tc>
        <w:tc>
          <w:tcPr>
            <w:tcW w:w="1243" w:type="dxa"/>
            <w:gridSpan w:val="2"/>
            <w:tcBorders>
              <w:top w:val="nil"/>
              <w:left w:val="nil"/>
              <w:bottom w:val="nil"/>
              <w:right w:val="nil"/>
            </w:tcBorders>
            <w:vAlign w:val="bottom"/>
          </w:tcPr>
          <w:p w14:paraId="7F245FBA"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31796911" w14:textId="77777777" w:rsidR="00FF2606" w:rsidRPr="00A05D1E" w:rsidRDefault="00FF2606" w:rsidP="00FF2606">
            <w:pPr>
              <w:pStyle w:val="TableText"/>
              <w:tabs>
                <w:tab w:val="left" w:pos="3306"/>
              </w:tabs>
              <w:jc w:val="right"/>
              <w:rPr>
                <w:rFonts w:cs="Calibri"/>
              </w:rPr>
            </w:pPr>
          </w:p>
        </w:tc>
      </w:tr>
      <w:tr w:rsidR="00FF2606" w:rsidRPr="00CF7E1B" w14:paraId="60ED520F" w14:textId="77777777" w:rsidTr="00D919F2">
        <w:trPr>
          <w:trHeight w:val="23"/>
        </w:trPr>
        <w:tc>
          <w:tcPr>
            <w:tcW w:w="1564" w:type="dxa"/>
            <w:tcBorders>
              <w:top w:val="nil"/>
              <w:left w:val="single" w:sz="4" w:space="0" w:color="auto"/>
              <w:bottom w:val="nil"/>
              <w:right w:val="single" w:sz="4" w:space="0" w:color="auto"/>
            </w:tcBorders>
          </w:tcPr>
          <w:p w14:paraId="0F6CE0EA"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5EFD3052" w14:textId="6B6A2BCD" w:rsidR="00FF2606" w:rsidRPr="00A05D1E" w:rsidRDefault="00FF2606" w:rsidP="00FF2606">
            <w:pPr>
              <w:pStyle w:val="TableText"/>
              <w:tabs>
                <w:tab w:val="left" w:pos="3306"/>
              </w:tabs>
              <w:rPr>
                <w:rFonts w:cs="Calibri"/>
                <w:bCs/>
              </w:rPr>
            </w:pPr>
            <w:r w:rsidRPr="00A05D1E">
              <w:rPr>
                <w:rFonts w:cs="Calibri"/>
                <w:bCs/>
              </w:rPr>
              <w:t xml:space="preserve">Other </w:t>
            </w:r>
            <w:r w:rsidRPr="00A05D1E">
              <w:rPr>
                <w:rFonts w:cs="Calibri"/>
              </w:rPr>
              <w:t>Expenses</w:t>
            </w:r>
          </w:p>
        </w:tc>
        <w:tc>
          <w:tcPr>
            <w:tcW w:w="1243" w:type="dxa"/>
            <w:gridSpan w:val="2"/>
            <w:tcBorders>
              <w:top w:val="nil"/>
              <w:left w:val="nil"/>
              <w:bottom w:val="nil"/>
              <w:right w:val="nil"/>
            </w:tcBorders>
            <w:vAlign w:val="bottom"/>
          </w:tcPr>
          <w:p w14:paraId="3233A649"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nil"/>
              <w:right w:val="nil"/>
            </w:tcBorders>
            <w:vAlign w:val="bottom"/>
          </w:tcPr>
          <w:p w14:paraId="027F18F6" w14:textId="77777777" w:rsidR="00FF2606" w:rsidRPr="00A05D1E" w:rsidRDefault="00FF2606" w:rsidP="00FF2606">
            <w:pPr>
              <w:pStyle w:val="TableText"/>
              <w:tabs>
                <w:tab w:val="left" w:pos="3306"/>
              </w:tabs>
              <w:jc w:val="right"/>
              <w:rPr>
                <w:rFonts w:cs="Calibri"/>
              </w:rPr>
            </w:pPr>
          </w:p>
        </w:tc>
      </w:tr>
      <w:tr w:rsidR="00FF2606" w:rsidRPr="00CF7E1B" w14:paraId="25DBEB0E" w14:textId="77777777" w:rsidTr="00D919F2">
        <w:trPr>
          <w:trHeight w:val="23"/>
        </w:trPr>
        <w:tc>
          <w:tcPr>
            <w:tcW w:w="1564" w:type="dxa"/>
            <w:tcBorders>
              <w:top w:val="nil"/>
              <w:left w:val="single" w:sz="4" w:space="0" w:color="auto"/>
              <w:bottom w:val="nil"/>
              <w:right w:val="single" w:sz="4" w:space="0" w:color="auto"/>
            </w:tcBorders>
          </w:tcPr>
          <w:p w14:paraId="52499FEC"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6D891339" w14:textId="77777777" w:rsidR="00FF2606" w:rsidRPr="00A05D1E" w:rsidRDefault="00FF2606" w:rsidP="00FF2606">
            <w:pPr>
              <w:pStyle w:val="TableText"/>
              <w:tabs>
                <w:tab w:val="left" w:pos="3306"/>
              </w:tabs>
              <w:rPr>
                <w:rFonts w:cs="Calibri"/>
                <w:b/>
              </w:rPr>
            </w:pPr>
          </w:p>
        </w:tc>
        <w:tc>
          <w:tcPr>
            <w:tcW w:w="1243" w:type="dxa"/>
            <w:gridSpan w:val="2"/>
            <w:tcBorders>
              <w:top w:val="nil"/>
              <w:left w:val="nil"/>
              <w:bottom w:val="single" w:sz="2" w:space="0" w:color="auto"/>
              <w:right w:val="nil"/>
            </w:tcBorders>
            <w:vAlign w:val="bottom"/>
          </w:tcPr>
          <w:p w14:paraId="3EB36087" w14:textId="77777777" w:rsidR="00FF2606" w:rsidRPr="00A05D1E" w:rsidRDefault="00FF2606" w:rsidP="00FF2606">
            <w:pPr>
              <w:pStyle w:val="TableText"/>
              <w:tabs>
                <w:tab w:val="left" w:pos="3306"/>
              </w:tabs>
              <w:jc w:val="right"/>
              <w:rPr>
                <w:rFonts w:cs="Calibri"/>
              </w:rPr>
            </w:pPr>
          </w:p>
        </w:tc>
        <w:tc>
          <w:tcPr>
            <w:tcW w:w="1711" w:type="dxa"/>
            <w:gridSpan w:val="2"/>
            <w:tcBorders>
              <w:top w:val="nil"/>
              <w:left w:val="nil"/>
              <w:bottom w:val="single" w:sz="2" w:space="0" w:color="auto"/>
              <w:right w:val="nil"/>
            </w:tcBorders>
            <w:vAlign w:val="bottom"/>
          </w:tcPr>
          <w:p w14:paraId="028AE766" w14:textId="77777777" w:rsidR="00FF2606" w:rsidRPr="00A05D1E" w:rsidRDefault="00FF2606" w:rsidP="00FF2606">
            <w:pPr>
              <w:pStyle w:val="TableText"/>
              <w:tabs>
                <w:tab w:val="left" w:pos="3306"/>
              </w:tabs>
              <w:jc w:val="right"/>
              <w:rPr>
                <w:rFonts w:cs="Calibri"/>
              </w:rPr>
            </w:pPr>
          </w:p>
        </w:tc>
      </w:tr>
      <w:tr w:rsidR="00FF2606" w:rsidRPr="00CF7E1B" w14:paraId="6917D97F" w14:textId="77777777" w:rsidTr="00D919F2">
        <w:trPr>
          <w:trHeight w:val="23"/>
        </w:trPr>
        <w:tc>
          <w:tcPr>
            <w:tcW w:w="1564" w:type="dxa"/>
            <w:tcBorders>
              <w:top w:val="nil"/>
              <w:left w:val="single" w:sz="4" w:space="0" w:color="auto"/>
              <w:bottom w:val="nil"/>
              <w:right w:val="single" w:sz="4" w:space="0" w:color="auto"/>
            </w:tcBorders>
          </w:tcPr>
          <w:p w14:paraId="59F350FA"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6676641B" w14:textId="77777777" w:rsidR="00FF2606" w:rsidRPr="00A05D1E" w:rsidRDefault="00FF2606" w:rsidP="00FF2606">
            <w:pPr>
              <w:pStyle w:val="TableText"/>
              <w:tabs>
                <w:tab w:val="left" w:pos="3306"/>
              </w:tabs>
              <w:rPr>
                <w:rFonts w:cs="Calibri"/>
                <w:b/>
                <w:bCs/>
              </w:rPr>
            </w:pPr>
            <w:r w:rsidRPr="00A05D1E">
              <w:rPr>
                <w:rFonts w:cs="Calibri"/>
                <w:b/>
                <w:bCs/>
              </w:rPr>
              <w:t>Total Other Expenses</w:t>
            </w:r>
          </w:p>
        </w:tc>
        <w:tc>
          <w:tcPr>
            <w:tcW w:w="1243" w:type="dxa"/>
            <w:gridSpan w:val="2"/>
            <w:tcBorders>
              <w:top w:val="single" w:sz="2" w:space="0" w:color="auto"/>
              <w:left w:val="nil"/>
              <w:bottom w:val="double" w:sz="4" w:space="0" w:color="auto"/>
              <w:right w:val="nil"/>
            </w:tcBorders>
            <w:vAlign w:val="bottom"/>
          </w:tcPr>
          <w:p w14:paraId="66EB4A94" w14:textId="21F6FECF" w:rsidR="00FF2606" w:rsidRPr="00A05D1E" w:rsidRDefault="00FF2606" w:rsidP="00FF2606">
            <w:pPr>
              <w:pStyle w:val="TableText"/>
              <w:tabs>
                <w:tab w:val="left" w:pos="3306"/>
              </w:tabs>
              <w:jc w:val="right"/>
              <w:rPr>
                <w:rFonts w:cs="Calibri"/>
                <w:b/>
                <w:bCs/>
              </w:rPr>
            </w:pPr>
          </w:p>
        </w:tc>
        <w:tc>
          <w:tcPr>
            <w:tcW w:w="1711" w:type="dxa"/>
            <w:gridSpan w:val="2"/>
            <w:tcBorders>
              <w:top w:val="single" w:sz="2" w:space="0" w:color="auto"/>
              <w:left w:val="nil"/>
              <w:bottom w:val="double" w:sz="4" w:space="0" w:color="auto"/>
              <w:right w:val="nil"/>
            </w:tcBorders>
            <w:vAlign w:val="bottom"/>
          </w:tcPr>
          <w:p w14:paraId="6B9909BF" w14:textId="155611D6" w:rsidR="00FF2606" w:rsidRPr="00A05D1E" w:rsidRDefault="00FF2606" w:rsidP="00FF2606">
            <w:pPr>
              <w:pStyle w:val="TableText"/>
              <w:tabs>
                <w:tab w:val="left" w:pos="3306"/>
              </w:tabs>
              <w:jc w:val="right"/>
              <w:rPr>
                <w:rFonts w:cs="Calibri"/>
                <w:b/>
                <w:bCs/>
              </w:rPr>
            </w:pPr>
          </w:p>
        </w:tc>
      </w:tr>
      <w:tr w:rsidR="00FF2606" w:rsidRPr="00CF7E1B" w14:paraId="2BC939FF" w14:textId="77777777" w:rsidTr="00D919F2">
        <w:trPr>
          <w:trHeight w:val="23"/>
        </w:trPr>
        <w:tc>
          <w:tcPr>
            <w:tcW w:w="1564" w:type="dxa"/>
            <w:tcBorders>
              <w:top w:val="nil"/>
              <w:left w:val="single" w:sz="4" w:space="0" w:color="auto"/>
              <w:bottom w:val="nil"/>
              <w:right w:val="single" w:sz="4" w:space="0" w:color="auto"/>
            </w:tcBorders>
          </w:tcPr>
          <w:p w14:paraId="28672FCC"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19A15FC8" w14:textId="77777777" w:rsidR="00FF2606" w:rsidRPr="00A05D1E" w:rsidRDefault="00FF2606" w:rsidP="00FF2606">
            <w:pPr>
              <w:pStyle w:val="TableText"/>
              <w:tabs>
                <w:tab w:val="left" w:pos="3306"/>
              </w:tabs>
              <w:rPr>
                <w:rFonts w:cs="Calibri"/>
                <w:b/>
                <w:bCs/>
              </w:rPr>
            </w:pPr>
          </w:p>
        </w:tc>
        <w:tc>
          <w:tcPr>
            <w:tcW w:w="1243" w:type="dxa"/>
            <w:gridSpan w:val="2"/>
            <w:tcBorders>
              <w:top w:val="double" w:sz="4" w:space="0" w:color="auto"/>
              <w:left w:val="nil"/>
              <w:bottom w:val="nil"/>
              <w:right w:val="nil"/>
            </w:tcBorders>
            <w:vAlign w:val="bottom"/>
          </w:tcPr>
          <w:p w14:paraId="5EE437BF" w14:textId="77777777" w:rsidR="00FF2606" w:rsidRPr="00A05D1E" w:rsidRDefault="00FF2606" w:rsidP="00FF2606">
            <w:pPr>
              <w:pStyle w:val="TableText"/>
              <w:tabs>
                <w:tab w:val="left" w:pos="3306"/>
              </w:tabs>
              <w:jc w:val="right"/>
              <w:rPr>
                <w:rFonts w:cs="Calibri"/>
                <w:b/>
                <w:bCs/>
              </w:rPr>
            </w:pPr>
          </w:p>
        </w:tc>
        <w:tc>
          <w:tcPr>
            <w:tcW w:w="1711" w:type="dxa"/>
            <w:gridSpan w:val="2"/>
            <w:tcBorders>
              <w:top w:val="double" w:sz="4" w:space="0" w:color="auto"/>
              <w:left w:val="nil"/>
              <w:bottom w:val="nil"/>
              <w:right w:val="nil"/>
            </w:tcBorders>
            <w:vAlign w:val="bottom"/>
          </w:tcPr>
          <w:p w14:paraId="743B8E26" w14:textId="77777777" w:rsidR="00FF2606" w:rsidRPr="00A05D1E" w:rsidRDefault="00FF2606" w:rsidP="00FF2606">
            <w:pPr>
              <w:pStyle w:val="TableText"/>
              <w:tabs>
                <w:tab w:val="left" w:pos="3306"/>
              </w:tabs>
              <w:jc w:val="right"/>
              <w:rPr>
                <w:rFonts w:cs="Calibri"/>
                <w:b/>
                <w:bCs/>
              </w:rPr>
            </w:pPr>
          </w:p>
        </w:tc>
      </w:tr>
      <w:tr w:rsidR="00FF2606" w:rsidRPr="00CF7E1B" w14:paraId="2DA6BDE1" w14:textId="77777777" w:rsidTr="00D919F2">
        <w:trPr>
          <w:trHeight w:val="23"/>
        </w:trPr>
        <w:tc>
          <w:tcPr>
            <w:tcW w:w="1564" w:type="dxa"/>
            <w:tcBorders>
              <w:top w:val="nil"/>
              <w:left w:val="single" w:sz="4" w:space="0" w:color="auto"/>
              <w:bottom w:val="nil"/>
              <w:right w:val="single" w:sz="4" w:space="0" w:color="auto"/>
            </w:tcBorders>
          </w:tcPr>
          <w:p w14:paraId="5967AD21" w14:textId="77777777" w:rsidR="00FF2606" w:rsidRPr="00A05D1E" w:rsidRDefault="00FF2606" w:rsidP="00FF2606">
            <w:pPr>
              <w:pStyle w:val="TableReference"/>
              <w:tabs>
                <w:tab w:val="left" w:pos="3306"/>
              </w:tabs>
              <w:spacing w:before="40"/>
              <w:rPr>
                <w:rFonts w:cs="Calibri"/>
                <w:color w:val="7030A0"/>
                <w:sz w:val="16"/>
                <w:szCs w:val="16"/>
              </w:rPr>
            </w:pPr>
          </w:p>
        </w:tc>
        <w:tc>
          <w:tcPr>
            <w:tcW w:w="5971" w:type="dxa"/>
            <w:gridSpan w:val="3"/>
            <w:tcBorders>
              <w:top w:val="nil"/>
              <w:left w:val="single" w:sz="4" w:space="0" w:color="auto"/>
              <w:bottom w:val="nil"/>
              <w:right w:val="nil"/>
            </w:tcBorders>
            <w:vAlign w:val="bottom"/>
          </w:tcPr>
          <w:p w14:paraId="7969A892" w14:textId="77777777" w:rsidR="00FF2606" w:rsidRPr="00A05D1E" w:rsidRDefault="00FF2606" w:rsidP="00FF2606">
            <w:pPr>
              <w:pStyle w:val="TableText"/>
              <w:tabs>
                <w:tab w:val="left" w:pos="3306"/>
              </w:tabs>
              <w:rPr>
                <w:rFonts w:cs="Calibri"/>
                <w:b/>
                <w:bCs/>
              </w:rPr>
            </w:pPr>
          </w:p>
        </w:tc>
        <w:tc>
          <w:tcPr>
            <w:tcW w:w="1243" w:type="dxa"/>
            <w:gridSpan w:val="2"/>
            <w:tcBorders>
              <w:top w:val="nil"/>
              <w:left w:val="nil"/>
              <w:bottom w:val="nil"/>
              <w:right w:val="nil"/>
            </w:tcBorders>
            <w:vAlign w:val="bottom"/>
          </w:tcPr>
          <w:p w14:paraId="6574E438" w14:textId="77777777" w:rsidR="00FF2606" w:rsidRPr="00A05D1E" w:rsidRDefault="00FF2606" w:rsidP="00FF2606">
            <w:pPr>
              <w:pStyle w:val="TableText"/>
              <w:tabs>
                <w:tab w:val="left" w:pos="3306"/>
              </w:tabs>
              <w:jc w:val="right"/>
              <w:rPr>
                <w:rFonts w:cs="Calibri"/>
                <w:b/>
                <w:bCs/>
              </w:rPr>
            </w:pPr>
          </w:p>
        </w:tc>
        <w:tc>
          <w:tcPr>
            <w:tcW w:w="1711" w:type="dxa"/>
            <w:gridSpan w:val="2"/>
            <w:tcBorders>
              <w:top w:val="nil"/>
              <w:left w:val="nil"/>
              <w:bottom w:val="nil"/>
              <w:right w:val="nil"/>
            </w:tcBorders>
            <w:vAlign w:val="bottom"/>
          </w:tcPr>
          <w:p w14:paraId="506429DC" w14:textId="77777777" w:rsidR="00FF2606" w:rsidRPr="00A05D1E" w:rsidRDefault="00FF2606" w:rsidP="00FF2606">
            <w:pPr>
              <w:pStyle w:val="TableText"/>
              <w:tabs>
                <w:tab w:val="left" w:pos="3306"/>
              </w:tabs>
              <w:jc w:val="right"/>
              <w:rPr>
                <w:rFonts w:cs="Calibri"/>
                <w:b/>
                <w:bCs/>
              </w:rPr>
            </w:pPr>
          </w:p>
        </w:tc>
      </w:tr>
      <w:tr w:rsidR="008D14EE" w:rsidRPr="00157196" w14:paraId="7BC47791" w14:textId="77777777" w:rsidTr="00D919F2">
        <w:trPr>
          <w:trHeight w:val="23"/>
        </w:trPr>
        <w:tc>
          <w:tcPr>
            <w:tcW w:w="1564" w:type="dxa"/>
            <w:tcBorders>
              <w:top w:val="nil"/>
              <w:left w:val="single" w:sz="4" w:space="0" w:color="auto"/>
              <w:bottom w:val="nil"/>
              <w:right w:val="single" w:sz="4" w:space="0" w:color="auto"/>
            </w:tcBorders>
          </w:tcPr>
          <w:p w14:paraId="0482FC78"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301C31A1" w14:textId="77777777" w:rsidR="008D14EE" w:rsidRPr="00A05D1E" w:rsidRDefault="008D14EE" w:rsidP="009A0F2F">
            <w:pPr>
              <w:pStyle w:val="TableTitle"/>
              <w:tabs>
                <w:tab w:val="left" w:pos="3306"/>
              </w:tabs>
              <w:rPr>
                <w:rFonts w:cs="Calibri"/>
                <w:b w:val="0"/>
                <w:bCs w:val="0"/>
              </w:rPr>
            </w:pPr>
          </w:p>
        </w:tc>
        <w:tc>
          <w:tcPr>
            <w:tcW w:w="622" w:type="dxa"/>
            <w:tcBorders>
              <w:top w:val="nil"/>
              <w:left w:val="nil"/>
              <w:bottom w:val="nil"/>
              <w:right w:val="nil"/>
            </w:tcBorders>
            <w:vAlign w:val="bottom"/>
          </w:tcPr>
          <w:p w14:paraId="44A8C382" w14:textId="77777777" w:rsidR="008D14EE" w:rsidRPr="00A05D1E" w:rsidRDefault="008D14EE" w:rsidP="009A0F2F">
            <w:pPr>
              <w:pStyle w:val="TableText"/>
              <w:jc w:val="right"/>
              <w:rPr>
                <w:rFonts w:cs="Calibri"/>
                <w:b/>
              </w:rPr>
            </w:pPr>
            <w:r w:rsidRPr="00A05D1E">
              <w:rPr>
                <w:rFonts w:cs="Calibri"/>
                <w:b/>
              </w:rPr>
              <w:t>No.</w:t>
            </w:r>
          </w:p>
        </w:tc>
        <w:tc>
          <w:tcPr>
            <w:tcW w:w="1497" w:type="dxa"/>
            <w:gridSpan w:val="2"/>
            <w:tcBorders>
              <w:top w:val="nil"/>
              <w:left w:val="nil"/>
              <w:bottom w:val="nil"/>
              <w:right w:val="nil"/>
            </w:tcBorders>
            <w:vAlign w:val="bottom"/>
          </w:tcPr>
          <w:p w14:paraId="196119C9" w14:textId="42E32054" w:rsidR="008D14EE" w:rsidRPr="00A05D1E" w:rsidRDefault="008D14EE" w:rsidP="009A0F2F">
            <w:pPr>
              <w:pStyle w:val="TableText"/>
              <w:jc w:val="right"/>
              <w:rPr>
                <w:rFonts w:cs="Calibri"/>
                <w:b/>
              </w:rPr>
            </w:pPr>
            <w:r w:rsidRPr="00A05D1E">
              <w:rPr>
                <w:rFonts w:cs="Calibri"/>
                <w:b/>
                <w:bCs/>
              </w:rPr>
              <w:t>2022</w:t>
            </w:r>
          </w:p>
          <w:p w14:paraId="3D26F967" w14:textId="77777777" w:rsidR="008D14EE" w:rsidRPr="00A05D1E" w:rsidRDefault="008D14EE" w:rsidP="009A0F2F">
            <w:pPr>
              <w:pStyle w:val="TableText"/>
              <w:jc w:val="right"/>
              <w:rPr>
                <w:rFonts w:cs="Calibri"/>
                <w:b/>
              </w:rPr>
            </w:pPr>
            <w:r w:rsidRPr="00A05D1E">
              <w:rPr>
                <w:rFonts w:cs="Calibri"/>
                <w:b/>
              </w:rPr>
              <w:t>$’000</w:t>
            </w:r>
          </w:p>
        </w:tc>
        <w:tc>
          <w:tcPr>
            <w:tcW w:w="1072" w:type="dxa"/>
            <w:gridSpan w:val="2"/>
            <w:tcBorders>
              <w:top w:val="nil"/>
              <w:left w:val="nil"/>
              <w:bottom w:val="nil"/>
              <w:right w:val="nil"/>
            </w:tcBorders>
            <w:vAlign w:val="bottom"/>
          </w:tcPr>
          <w:p w14:paraId="1B3AC5E7" w14:textId="77777777" w:rsidR="008D14EE" w:rsidRPr="00A05D1E" w:rsidRDefault="008D14EE" w:rsidP="009A0F2F">
            <w:pPr>
              <w:pStyle w:val="TableText"/>
              <w:jc w:val="right"/>
              <w:rPr>
                <w:rFonts w:cs="Calibri"/>
                <w:b/>
              </w:rPr>
            </w:pPr>
            <w:r w:rsidRPr="00A05D1E">
              <w:rPr>
                <w:rFonts w:cs="Calibri"/>
                <w:b/>
              </w:rPr>
              <w:t>No.</w:t>
            </w:r>
          </w:p>
        </w:tc>
        <w:tc>
          <w:tcPr>
            <w:tcW w:w="1392" w:type="dxa"/>
            <w:tcBorders>
              <w:top w:val="nil"/>
              <w:left w:val="nil"/>
              <w:bottom w:val="nil"/>
              <w:right w:val="nil"/>
            </w:tcBorders>
            <w:vAlign w:val="bottom"/>
          </w:tcPr>
          <w:p w14:paraId="38C6EE75" w14:textId="7851841A" w:rsidR="008D14EE" w:rsidRPr="00A05D1E" w:rsidRDefault="008D14EE" w:rsidP="009A0F2F">
            <w:pPr>
              <w:pStyle w:val="TableText"/>
              <w:jc w:val="right"/>
              <w:rPr>
                <w:rFonts w:cs="Calibri"/>
                <w:b/>
                <w:bCs/>
              </w:rPr>
            </w:pPr>
            <w:r w:rsidRPr="00A05D1E">
              <w:rPr>
                <w:rFonts w:cs="Calibri"/>
                <w:b/>
                <w:bCs/>
              </w:rPr>
              <w:t>2021</w:t>
            </w:r>
          </w:p>
          <w:p w14:paraId="42B6D98B" w14:textId="77777777" w:rsidR="008D14EE" w:rsidRPr="00A05D1E" w:rsidRDefault="008D14EE" w:rsidP="009A0F2F">
            <w:pPr>
              <w:pStyle w:val="TableText"/>
              <w:jc w:val="right"/>
              <w:rPr>
                <w:rFonts w:cs="Calibri"/>
                <w:b/>
              </w:rPr>
            </w:pPr>
            <w:r w:rsidRPr="00A05D1E">
              <w:rPr>
                <w:rFonts w:cs="Calibri"/>
                <w:b/>
              </w:rPr>
              <w:t>$’000</w:t>
            </w:r>
          </w:p>
        </w:tc>
      </w:tr>
      <w:tr w:rsidR="008D14EE" w:rsidRPr="00157196" w14:paraId="565FB383" w14:textId="77777777" w:rsidTr="00D919F2">
        <w:trPr>
          <w:trHeight w:val="23"/>
        </w:trPr>
        <w:tc>
          <w:tcPr>
            <w:tcW w:w="1564" w:type="dxa"/>
            <w:tcBorders>
              <w:top w:val="nil"/>
              <w:left w:val="single" w:sz="4" w:space="0" w:color="auto"/>
              <w:bottom w:val="nil"/>
              <w:right w:val="single" w:sz="4" w:space="0" w:color="auto"/>
            </w:tcBorders>
          </w:tcPr>
          <w:p w14:paraId="3B2C0038"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221138A4" w14:textId="126703F8" w:rsidR="008D14EE" w:rsidRPr="00A05D1E" w:rsidRDefault="00FF2606" w:rsidP="009A0F2F">
            <w:pPr>
              <w:pStyle w:val="TableText"/>
              <w:tabs>
                <w:tab w:val="left" w:pos="3306"/>
              </w:tabs>
              <w:rPr>
                <w:rFonts w:cs="Calibri"/>
                <w:b/>
              </w:rPr>
            </w:pPr>
            <w:r w:rsidRPr="00A05D1E">
              <w:rPr>
                <w:rFonts w:cs="Calibri"/>
                <w:b/>
                <w:bCs/>
                <w:szCs w:val="20"/>
              </w:rPr>
              <w:t>Breakdown of</w:t>
            </w:r>
            <w:r w:rsidRPr="00A05D1E">
              <w:rPr>
                <w:rFonts w:cs="Calibri"/>
                <w:b/>
              </w:rPr>
              <w:t xml:space="preserve"> </w:t>
            </w:r>
            <w:r w:rsidR="008D14EE" w:rsidRPr="00A05D1E">
              <w:rPr>
                <w:rFonts w:cs="Calibri"/>
                <w:b/>
              </w:rPr>
              <w:t>Waivers</w:t>
            </w:r>
          </w:p>
        </w:tc>
        <w:tc>
          <w:tcPr>
            <w:tcW w:w="622" w:type="dxa"/>
            <w:tcBorders>
              <w:top w:val="nil"/>
              <w:left w:val="nil"/>
              <w:bottom w:val="nil"/>
              <w:right w:val="nil"/>
            </w:tcBorders>
            <w:vAlign w:val="bottom"/>
          </w:tcPr>
          <w:p w14:paraId="09B6AC52" w14:textId="77777777" w:rsidR="008D14EE" w:rsidRPr="00A05D1E" w:rsidRDefault="008D14EE" w:rsidP="009A0F2F">
            <w:pPr>
              <w:pStyle w:val="TableText"/>
              <w:tabs>
                <w:tab w:val="left" w:pos="3306"/>
              </w:tabs>
              <w:jc w:val="right"/>
              <w:rPr>
                <w:rFonts w:cs="Calibri"/>
              </w:rPr>
            </w:pPr>
          </w:p>
        </w:tc>
        <w:tc>
          <w:tcPr>
            <w:tcW w:w="1497" w:type="dxa"/>
            <w:gridSpan w:val="2"/>
            <w:tcBorders>
              <w:top w:val="nil"/>
              <w:left w:val="nil"/>
              <w:bottom w:val="nil"/>
              <w:right w:val="nil"/>
            </w:tcBorders>
            <w:vAlign w:val="bottom"/>
          </w:tcPr>
          <w:p w14:paraId="3FFD76DE" w14:textId="77777777" w:rsidR="008D14EE" w:rsidRPr="00A05D1E" w:rsidRDefault="008D14EE" w:rsidP="009A0F2F">
            <w:pPr>
              <w:pStyle w:val="TableText"/>
              <w:tabs>
                <w:tab w:val="left" w:pos="3306"/>
              </w:tabs>
              <w:jc w:val="right"/>
              <w:rPr>
                <w:rFonts w:cs="Calibri"/>
              </w:rPr>
            </w:pPr>
          </w:p>
        </w:tc>
        <w:tc>
          <w:tcPr>
            <w:tcW w:w="1072" w:type="dxa"/>
            <w:gridSpan w:val="2"/>
            <w:tcBorders>
              <w:top w:val="nil"/>
              <w:left w:val="nil"/>
              <w:bottom w:val="nil"/>
              <w:right w:val="nil"/>
            </w:tcBorders>
            <w:vAlign w:val="bottom"/>
          </w:tcPr>
          <w:p w14:paraId="79C5FB83" w14:textId="77777777" w:rsidR="008D14EE" w:rsidRPr="00A05D1E" w:rsidRDefault="008D14EE" w:rsidP="009A0F2F">
            <w:pPr>
              <w:pStyle w:val="TableText"/>
              <w:tabs>
                <w:tab w:val="left" w:pos="3306"/>
              </w:tabs>
              <w:jc w:val="right"/>
              <w:rPr>
                <w:rFonts w:cs="Calibri"/>
              </w:rPr>
            </w:pPr>
          </w:p>
        </w:tc>
        <w:tc>
          <w:tcPr>
            <w:tcW w:w="1392" w:type="dxa"/>
            <w:tcBorders>
              <w:top w:val="nil"/>
              <w:left w:val="nil"/>
              <w:bottom w:val="nil"/>
              <w:right w:val="nil"/>
            </w:tcBorders>
            <w:vAlign w:val="bottom"/>
          </w:tcPr>
          <w:p w14:paraId="3B4EBAC4" w14:textId="77777777" w:rsidR="008D14EE" w:rsidRPr="00A05D1E" w:rsidRDefault="008D14EE" w:rsidP="009A0F2F">
            <w:pPr>
              <w:pStyle w:val="TableText"/>
              <w:tabs>
                <w:tab w:val="left" w:pos="3306"/>
              </w:tabs>
              <w:jc w:val="right"/>
              <w:rPr>
                <w:rFonts w:cs="Calibri"/>
              </w:rPr>
            </w:pPr>
          </w:p>
        </w:tc>
      </w:tr>
      <w:tr w:rsidR="008D14EE" w:rsidRPr="00C373FF" w14:paraId="36BA2074" w14:textId="77777777" w:rsidTr="00D919F2">
        <w:trPr>
          <w:trHeight w:val="23"/>
        </w:trPr>
        <w:tc>
          <w:tcPr>
            <w:tcW w:w="1564" w:type="dxa"/>
            <w:tcBorders>
              <w:top w:val="nil"/>
              <w:left w:val="single" w:sz="4" w:space="0" w:color="auto"/>
              <w:bottom w:val="nil"/>
              <w:right w:val="single" w:sz="4" w:space="0" w:color="auto"/>
            </w:tcBorders>
          </w:tcPr>
          <w:p w14:paraId="30769F47"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51C935D7" w14:textId="77777777" w:rsidR="008D14EE" w:rsidRPr="00A05D1E" w:rsidRDefault="008D14EE" w:rsidP="009A0F2F">
            <w:pPr>
              <w:pStyle w:val="TableText"/>
              <w:tabs>
                <w:tab w:val="left" w:pos="3306"/>
              </w:tabs>
              <w:rPr>
                <w:rFonts w:cs="Calibri"/>
              </w:rPr>
            </w:pPr>
            <w:r w:rsidRPr="00A05D1E">
              <w:rPr>
                <w:rFonts w:cs="Calibri"/>
              </w:rPr>
              <w:t>Stimulus Waivers</w:t>
            </w:r>
          </w:p>
        </w:tc>
        <w:tc>
          <w:tcPr>
            <w:tcW w:w="622" w:type="dxa"/>
            <w:tcBorders>
              <w:top w:val="nil"/>
              <w:left w:val="nil"/>
              <w:bottom w:val="nil"/>
              <w:right w:val="nil"/>
            </w:tcBorders>
            <w:vAlign w:val="bottom"/>
          </w:tcPr>
          <w:p w14:paraId="2F236B26" w14:textId="77777777" w:rsidR="008D14EE" w:rsidRPr="00A05D1E" w:rsidRDefault="008D14EE" w:rsidP="009A0F2F">
            <w:pPr>
              <w:pStyle w:val="TableText"/>
              <w:tabs>
                <w:tab w:val="left" w:pos="3306"/>
              </w:tabs>
              <w:jc w:val="right"/>
              <w:rPr>
                <w:rFonts w:cs="Calibri"/>
                <w:strike/>
              </w:rPr>
            </w:pPr>
          </w:p>
        </w:tc>
        <w:tc>
          <w:tcPr>
            <w:tcW w:w="1497" w:type="dxa"/>
            <w:gridSpan w:val="2"/>
            <w:tcBorders>
              <w:top w:val="nil"/>
              <w:left w:val="nil"/>
              <w:bottom w:val="nil"/>
              <w:right w:val="nil"/>
            </w:tcBorders>
            <w:vAlign w:val="bottom"/>
          </w:tcPr>
          <w:p w14:paraId="7CD255CF" w14:textId="77777777" w:rsidR="008D14EE" w:rsidRPr="00A05D1E" w:rsidRDefault="008D14EE" w:rsidP="009A0F2F">
            <w:pPr>
              <w:pStyle w:val="TableText"/>
              <w:tabs>
                <w:tab w:val="left" w:pos="3306"/>
              </w:tabs>
              <w:jc w:val="right"/>
              <w:rPr>
                <w:rFonts w:cs="Calibri"/>
                <w:strike/>
              </w:rPr>
            </w:pPr>
          </w:p>
        </w:tc>
        <w:tc>
          <w:tcPr>
            <w:tcW w:w="1072" w:type="dxa"/>
            <w:gridSpan w:val="2"/>
            <w:tcBorders>
              <w:top w:val="nil"/>
              <w:left w:val="nil"/>
              <w:bottom w:val="nil"/>
              <w:right w:val="nil"/>
            </w:tcBorders>
            <w:vAlign w:val="bottom"/>
          </w:tcPr>
          <w:p w14:paraId="2C32F191" w14:textId="77777777" w:rsidR="008D14EE" w:rsidRPr="00A05D1E" w:rsidRDefault="008D14EE" w:rsidP="009A0F2F">
            <w:pPr>
              <w:pStyle w:val="TableText"/>
              <w:tabs>
                <w:tab w:val="left" w:pos="3306"/>
              </w:tabs>
              <w:jc w:val="right"/>
              <w:rPr>
                <w:rFonts w:cs="Calibri"/>
              </w:rPr>
            </w:pPr>
          </w:p>
        </w:tc>
        <w:tc>
          <w:tcPr>
            <w:tcW w:w="1392" w:type="dxa"/>
            <w:tcBorders>
              <w:top w:val="nil"/>
              <w:left w:val="nil"/>
              <w:bottom w:val="nil"/>
              <w:right w:val="nil"/>
            </w:tcBorders>
            <w:vAlign w:val="bottom"/>
          </w:tcPr>
          <w:p w14:paraId="396A1BD2" w14:textId="77777777" w:rsidR="008D14EE" w:rsidRPr="00A05D1E" w:rsidRDefault="008D14EE" w:rsidP="009A0F2F">
            <w:pPr>
              <w:pStyle w:val="TableText"/>
              <w:tabs>
                <w:tab w:val="left" w:pos="3306"/>
              </w:tabs>
              <w:jc w:val="right"/>
              <w:rPr>
                <w:rFonts w:cs="Calibri"/>
              </w:rPr>
            </w:pPr>
          </w:p>
        </w:tc>
      </w:tr>
      <w:tr w:rsidR="008D14EE" w:rsidRPr="00C373FF" w14:paraId="7D60FFCD" w14:textId="77777777" w:rsidTr="00D919F2">
        <w:trPr>
          <w:trHeight w:val="23"/>
        </w:trPr>
        <w:tc>
          <w:tcPr>
            <w:tcW w:w="1564" w:type="dxa"/>
            <w:tcBorders>
              <w:top w:val="nil"/>
              <w:left w:val="single" w:sz="4" w:space="0" w:color="auto"/>
              <w:bottom w:val="nil"/>
              <w:right w:val="single" w:sz="4" w:space="0" w:color="auto"/>
            </w:tcBorders>
          </w:tcPr>
          <w:p w14:paraId="1D7BE1D4"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349333C5" w14:textId="77777777" w:rsidR="008D14EE" w:rsidRPr="00A05D1E" w:rsidRDefault="008D14EE" w:rsidP="009A0F2F">
            <w:pPr>
              <w:pStyle w:val="CommentaryReference"/>
              <w:rPr>
                <w:rFonts w:cs="Calibri"/>
                <w:sz w:val="18"/>
                <w:szCs w:val="18"/>
              </w:rPr>
            </w:pPr>
            <w:r w:rsidRPr="00A05D1E">
              <w:rPr>
                <w:rFonts w:cs="Calibri"/>
                <w:sz w:val="18"/>
                <w:szCs w:val="18"/>
              </w:rPr>
              <w:t>Other Waivers</w:t>
            </w:r>
          </w:p>
        </w:tc>
        <w:tc>
          <w:tcPr>
            <w:tcW w:w="622" w:type="dxa"/>
            <w:tcBorders>
              <w:top w:val="nil"/>
              <w:left w:val="nil"/>
              <w:bottom w:val="single" w:sz="4" w:space="0" w:color="auto"/>
              <w:right w:val="nil"/>
            </w:tcBorders>
            <w:vAlign w:val="bottom"/>
          </w:tcPr>
          <w:p w14:paraId="0E35D76C" w14:textId="77777777" w:rsidR="008D14EE" w:rsidRPr="00A05D1E" w:rsidRDefault="008D14EE" w:rsidP="009A0F2F">
            <w:pPr>
              <w:pStyle w:val="TableText"/>
              <w:tabs>
                <w:tab w:val="left" w:pos="3306"/>
              </w:tabs>
              <w:jc w:val="right"/>
              <w:rPr>
                <w:rFonts w:cs="Calibri"/>
              </w:rPr>
            </w:pPr>
          </w:p>
        </w:tc>
        <w:tc>
          <w:tcPr>
            <w:tcW w:w="1497" w:type="dxa"/>
            <w:gridSpan w:val="2"/>
            <w:tcBorders>
              <w:top w:val="nil"/>
              <w:left w:val="nil"/>
              <w:bottom w:val="single" w:sz="4" w:space="0" w:color="auto"/>
              <w:right w:val="nil"/>
            </w:tcBorders>
            <w:vAlign w:val="bottom"/>
          </w:tcPr>
          <w:p w14:paraId="42960F52" w14:textId="77777777" w:rsidR="008D14EE" w:rsidRPr="00A05D1E" w:rsidRDefault="008D14EE" w:rsidP="009A0F2F">
            <w:pPr>
              <w:pStyle w:val="TableText"/>
              <w:tabs>
                <w:tab w:val="left" w:pos="3306"/>
              </w:tabs>
              <w:jc w:val="right"/>
              <w:rPr>
                <w:rFonts w:cs="Calibri"/>
              </w:rPr>
            </w:pPr>
          </w:p>
        </w:tc>
        <w:tc>
          <w:tcPr>
            <w:tcW w:w="1072" w:type="dxa"/>
            <w:gridSpan w:val="2"/>
            <w:tcBorders>
              <w:top w:val="nil"/>
              <w:left w:val="nil"/>
              <w:bottom w:val="single" w:sz="4" w:space="0" w:color="auto"/>
              <w:right w:val="nil"/>
            </w:tcBorders>
            <w:vAlign w:val="bottom"/>
          </w:tcPr>
          <w:p w14:paraId="11D68267" w14:textId="77777777" w:rsidR="008D14EE" w:rsidRPr="00A05D1E" w:rsidRDefault="008D14EE" w:rsidP="009A0F2F">
            <w:pPr>
              <w:pStyle w:val="TableText"/>
              <w:tabs>
                <w:tab w:val="left" w:pos="3306"/>
              </w:tabs>
              <w:jc w:val="right"/>
              <w:rPr>
                <w:rFonts w:cs="Calibri"/>
              </w:rPr>
            </w:pPr>
          </w:p>
        </w:tc>
        <w:tc>
          <w:tcPr>
            <w:tcW w:w="1392" w:type="dxa"/>
            <w:tcBorders>
              <w:top w:val="nil"/>
              <w:left w:val="nil"/>
              <w:bottom w:val="single" w:sz="4" w:space="0" w:color="auto"/>
              <w:right w:val="nil"/>
            </w:tcBorders>
            <w:vAlign w:val="bottom"/>
          </w:tcPr>
          <w:p w14:paraId="6D555313" w14:textId="77777777" w:rsidR="008D14EE" w:rsidRPr="00A05D1E" w:rsidRDefault="008D14EE" w:rsidP="009A0F2F">
            <w:pPr>
              <w:pStyle w:val="TableText"/>
              <w:tabs>
                <w:tab w:val="left" w:pos="3306"/>
              </w:tabs>
              <w:jc w:val="right"/>
              <w:rPr>
                <w:rFonts w:cs="Calibri"/>
              </w:rPr>
            </w:pPr>
          </w:p>
        </w:tc>
      </w:tr>
      <w:tr w:rsidR="008D14EE" w:rsidRPr="00157196" w14:paraId="09A9D3FF" w14:textId="77777777" w:rsidTr="00D919F2">
        <w:trPr>
          <w:trHeight w:val="23"/>
        </w:trPr>
        <w:tc>
          <w:tcPr>
            <w:tcW w:w="1564" w:type="dxa"/>
            <w:tcBorders>
              <w:top w:val="nil"/>
              <w:left w:val="single" w:sz="4" w:space="0" w:color="auto"/>
              <w:bottom w:val="nil"/>
              <w:right w:val="single" w:sz="4" w:space="0" w:color="auto"/>
            </w:tcBorders>
          </w:tcPr>
          <w:p w14:paraId="0D425E13" w14:textId="77777777" w:rsidR="008D14EE" w:rsidRPr="00A05D1E" w:rsidRDefault="008D14EE"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461FC975" w14:textId="77777777" w:rsidR="008D14EE" w:rsidRPr="00A05D1E" w:rsidRDefault="008D14EE" w:rsidP="009A0F2F">
            <w:pPr>
              <w:pStyle w:val="TableText"/>
              <w:tabs>
                <w:tab w:val="left" w:pos="3306"/>
              </w:tabs>
              <w:rPr>
                <w:rFonts w:cs="Calibri"/>
                <w:b/>
              </w:rPr>
            </w:pPr>
            <w:r w:rsidRPr="00A05D1E">
              <w:rPr>
                <w:rFonts w:cs="Calibri"/>
                <w:b/>
              </w:rPr>
              <w:t>Total Waivers</w:t>
            </w:r>
          </w:p>
        </w:tc>
        <w:tc>
          <w:tcPr>
            <w:tcW w:w="622" w:type="dxa"/>
            <w:tcBorders>
              <w:top w:val="single" w:sz="4" w:space="0" w:color="auto"/>
              <w:left w:val="nil"/>
              <w:bottom w:val="double" w:sz="4" w:space="0" w:color="auto"/>
              <w:right w:val="nil"/>
            </w:tcBorders>
            <w:vAlign w:val="bottom"/>
          </w:tcPr>
          <w:p w14:paraId="4C805D14" w14:textId="77777777" w:rsidR="008D14EE" w:rsidRPr="00A05D1E" w:rsidRDefault="008D14EE" w:rsidP="009A0F2F">
            <w:pPr>
              <w:pStyle w:val="TableText"/>
              <w:tabs>
                <w:tab w:val="left" w:pos="3306"/>
              </w:tabs>
              <w:jc w:val="right"/>
              <w:rPr>
                <w:rFonts w:cs="Calibri"/>
              </w:rPr>
            </w:pPr>
          </w:p>
        </w:tc>
        <w:tc>
          <w:tcPr>
            <w:tcW w:w="1497" w:type="dxa"/>
            <w:gridSpan w:val="2"/>
            <w:tcBorders>
              <w:top w:val="single" w:sz="4" w:space="0" w:color="auto"/>
              <w:left w:val="nil"/>
              <w:bottom w:val="double" w:sz="4" w:space="0" w:color="auto"/>
              <w:right w:val="nil"/>
            </w:tcBorders>
            <w:vAlign w:val="bottom"/>
          </w:tcPr>
          <w:p w14:paraId="737F9E5B" w14:textId="77777777" w:rsidR="008D14EE" w:rsidRPr="00A05D1E" w:rsidRDefault="008D14EE" w:rsidP="009A0F2F">
            <w:pPr>
              <w:pStyle w:val="TableText"/>
              <w:tabs>
                <w:tab w:val="left" w:pos="3306"/>
              </w:tabs>
              <w:jc w:val="right"/>
              <w:rPr>
                <w:rFonts w:cs="Calibri"/>
              </w:rPr>
            </w:pPr>
          </w:p>
        </w:tc>
        <w:tc>
          <w:tcPr>
            <w:tcW w:w="1072" w:type="dxa"/>
            <w:gridSpan w:val="2"/>
            <w:tcBorders>
              <w:top w:val="single" w:sz="4" w:space="0" w:color="auto"/>
              <w:left w:val="nil"/>
              <w:bottom w:val="double" w:sz="4" w:space="0" w:color="auto"/>
              <w:right w:val="nil"/>
            </w:tcBorders>
            <w:vAlign w:val="bottom"/>
          </w:tcPr>
          <w:p w14:paraId="01EAFDF3" w14:textId="77777777" w:rsidR="008D14EE" w:rsidRPr="00A05D1E" w:rsidRDefault="008D14EE" w:rsidP="009A0F2F">
            <w:pPr>
              <w:pStyle w:val="TableText"/>
              <w:tabs>
                <w:tab w:val="left" w:pos="3306"/>
              </w:tabs>
              <w:jc w:val="right"/>
              <w:rPr>
                <w:rFonts w:cs="Calibri"/>
              </w:rPr>
            </w:pPr>
          </w:p>
        </w:tc>
        <w:tc>
          <w:tcPr>
            <w:tcW w:w="1392" w:type="dxa"/>
            <w:tcBorders>
              <w:top w:val="single" w:sz="4" w:space="0" w:color="auto"/>
              <w:left w:val="nil"/>
              <w:bottom w:val="double" w:sz="4" w:space="0" w:color="auto"/>
              <w:right w:val="nil"/>
            </w:tcBorders>
            <w:vAlign w:val="bottom"/>
          </w:tcPr>
          <w:p w14:paraId="2F1D148B" w14:textId="77777777" w:rsidR="008D14EE" w:rsidRPr="00A05D1E" w:rsidRDefault="008D14EE" w:rsidP="009A0F2F">
            <w:pPr>
              <w:pStyle w:val="TableText"/>
              <w:tabs>
                <w:tab w:val="left" w:pos="3306"/>
              </w:tabs>
              <w:jc w:val="right"/>
              <w:rPr>
                <w:rFonts w:cs="Calibri"/>
              </w:rPr>
            </w:pPr>
          </w:p>
        </w:tc>
      </w:tr>
      <w:tr w:rsidR="00FF2606" w:rsidRPr="00157196" w14:paraId="2ED77AAE" w14:textId="77777777" w:rsidTr="00D919F2">
        <w:trPr>
          <w:trHeight w:val="23"/>
        </w:trPr>
        <w:tc>
          <w:tcPr>
            <w:tcW w:w="1564" w:type="dxa"/>
            <w:tcBorders>
              <w:top w:val="nil"/>
              <w:left w:val="single" w:sz="4" w:space="0" w:color="auto"/>
              <w:bottom w:val="nil"/>
              <w:right w:val="single" w:sz="4" w:space="0" w:color="auto"/>
            </w:tcBorders>
          </w:tcPr>
          <w:p w14:paraId="292654D6" w14:textId="77777777" w:rsidR="00FF2606" w:rsidRPr="00A05D1E" w:rsidRDefault="00FF2606" w:rsidP="009A0F2F">
            <w:pPr>
              <w:pStyle w:val="TableReference"/>
              <w:tabs>
                <w:tab w:val="left" w:pos="3306"/>
              </w:tabs>
              <w:spacing w:before="40"/>
              <w:rPr>
                <w:rFonts w:cs="Calibri"/>
                <w:color w:val="7030A0"/>
                <w:sz w:val="14"/>
              </w:rPr>
            </w:pPr>
          </w:p>
        </w:tc>
        <w:tc>
          <w:tcPr>
            <w:tcW w:w="4342" w:type="dxa"/>
            <w:tcBorders>
              <w:top w:val="nil"/>
              <w:left w:val="single" w:sz="4" w:space="0" w:color="auto"/>
              <w:bottom w:val="nil"/>
              <w:right w:val="nil"/>
            </w:tcBorders>
            <w:vAlign w:val="bottom"/>
          </w:tcPr>
          <w:p w14:paraId="3E915090" w14:textId="77777777" w:rsidR="00FF2606" w:rsidRPr="00A05D1E" w:rsidRDefault="00FF2606" w:rsidP="009A0F2F">
            <w:pPr>
              <w:pStyle w:val="TableText"/>
              <w:tabs>
                <w:tab w:val="left" w:pos="3306"/>
              </w:tabs>
              <w:rPr>
                <w:rFonts w:cs="Calibri"/>
                <w:b/>
              </w:rPr>
            </w:pPr>
          </w:p>
        </w:tc>
        <w:tc>
          <w:tcPr>
            <w:tcW w:w="622" w:type="dxa"/>
            <w:tcBorders>
              <w:top w:val="double" w:sz="4" w:space="0" w:color="auto"/>
              <w:left w:val="nil"/>
              <w:bottom w:val="nil"/>
              <w:right w:val="nil"/>
            </w:tcBorders>
            <w:vAlign w:val="bottom"/>
          </w:tcPr>
          <w:p w14:paraId="67CC6E57" w14:textId="77777777" w:rsidR="00FF2606" w:rsidRPr="00A05D1E" w:rsidRDefault="00FF2606" w:rsidP="009A0F2F">
            <w:pPr>
              <w:pStyle w:val="TableText"/>
              <w:tabs>
                <w:tab w:val="left" w:pos="3306"/>
              </w:tabs>
              <w:jc w:val="right"/>
              <w:rPr>
                <w:rFonts w:cs="Calibri"/>
              </w:rPr>
            </w:pPr>
          </w:p>
        </w:tc>
        <w:tc>
          <w:tcPr>
            <w:tcW w:w="1497" w:type="dxa"/>
            <w:gridSpan w:val="2"/>
            <w:tcBorders>
              <w:top w:val="double" w:sz="4" w:space="0" w:color="auto"/>
              <w:left w:val="nil"/>
              <w:bottom w:val="nil"/>
              <w:right w:val="nil"/>
            </w:tcBorders>
            <w:vAlign w:val="bottom"/>
          </w:tcPr>
          <w:p w14:paraId="28B1EB21" w14:textId="77777777" w:rsidR="00FF2606" w:rsidRPr="00A05D1E" w:rsidRDefault="00FF2606" w:rsidP="009A0F2F">
            <w:pPr>
              <w:pStyle w:val="TableText"/>
              <w:tabs>
                <w:tab w:val="left" w:pos="3306"/>
              </w:tabs>
              <w:jc w:val="right"/>
              <w:rPr>
                <w:rFonts w:cs="Calibri"/>
              </w:rPr>
            </w:pPr>
          </w:p>
        </w:tc>
        <w:tc>
          <w:tcPr>
            <w:tcW w:w="1072" w:type="dxa"/>
            <w:gridSpan w:val="2"/>
            <w:tcBorders>
              <w:top w:val="double" w:sz="4" w:space="0" w:color="auto"/>
              <w:left w:val="nil"/>
              <w:bottom w:val="nil"/>
              <w:right w:val="nil"/>
            </w:tcBorders>
            <w:vAlign w:val="bottom"/>
          </w:tcPr>
          <w:p w14:paraId="4C961D91" w14:textId="77777777" w:rsidR="00FF2606" w:rsidRPr="00A05D1E" w:rsidRDefault="00FF2606" w:rsidP="009A0F2F">
            <w:pPr>
              <w:pStyle w:val="TableText"/>
              <w:tabs>
                <w:tab w:val="left" w:pos="3306"/>
              </w:tabs>
              <w:jc w:val="right"/>
              <w:rPr>
                <w:rFonts w:cs="Calibri"/>
              </w:rPr>
            </w:pPr>
          </w:p>
        </w:tc>
        <w:tc>
          <w:tcPr>
            <w:tcW w:w="1392" w:type="dxa"/>
            <w:tcBorders>
              <w:top w:val="double" w:sz="4" w:space="0" w:color="auto"/>
              <w:left w:val="nil"/>
              <w:bottom w:val="nil"/>
              <w:right w:val="nil"/>
            </w:tcBorders>
            <w:vAlign w:val="bottom"/>
          </w:tcPr>
          <w:p w14:paraId="35F90F94" w14:textId="77777777" w:rsidR="00FF2606" w:rsidRPr="00A05D1E" w:rsidRDefault="00FF2606" w:rsidP="009A0F2F">
            <w:pPr>
              <w:pStyle w:val="TableText"/>
              <w:tabs>
                <w:tab w:val="left" w:pos="3306"/>
              </w:tabs>
              <w:jc w:val="right"/>
              <w:rPr>
                <w:rFonts w:cs="Calibri"/>
              </w:rPr>
            </w:pPr>
          </w:p>
        </w:tc>
      </w:tr>
      <w:tr w:rsidR="00FF2606" w:rsidRPr="00E80D67" w14:paraId="078062BE" w14:textId="77777777" w:rsidTr="00D919F2">
        <w:trPr>
          <w:trHeight w:val="23"/>
        </w:trPr>
        <w:tc>
          <w:tcPr>
            <w:tcW w:w="1564" w:type="dxa"/>
            <w:tcBorders>
              <w:top w:val="nil"/>
              <w:left w:val="single" w:sz="4" w:space="0" w:color="auto"/>
              <w:bottom w:val="nil"/>
              <w:right w:val="single" w:sz="4" w:space="0" w:color="auto"/>
            </w:tcBorders>
          </w:tcPr>
          <w:p w14:paraId="05EE0669" w14:textId="4AC250E5" w:rsidR="00FF2606" w:rsidRPr="00A05D1E" w:rsidRDefault="00FF2606" w:rsidP="005D3C33">
            <w:pPr>
              <w:pStyle w:val="Reference"/>
              <w:spacing w:before="240" w:after="240"/>
              <w:rPr>
                <w:rFonts w:asciiTheme="minorHAnsi" w:hAnsiTheme="minorHAnsi" w:cstheme="minorHAnsi"/>
                <w:color w:val="7030A0"/>
                <w:sz w:val="22"/>
                <w:szCs w:val="22"/>
              </w:rPr>
            </w:pPr>
            <w:r w:rsidRPr="00A05D1E">
              <w:rPr>
                <w:b w:val="0"/>
                <w:bCs w:val="0"/>
                <w:color w:val="7030A0"/>
              </w:rPr>
              <w:br w:type="page"/>
            </w:r>
          </w:p>
        </w:tc>
        <w:tc>
          <w:tcPr>
            <w:tcW w:w="8925" w:type="dxa"/>
            <w:gridSpan w:val="7"/>
            <w:tcBorders>
              <w:top w:val="nil"/>
              <w:left w:val="single" w:sz="4" w:space="0" w:color="auto"/>
              <w:bottom w:val="nil"/>
              <w:right w:val="nil"/>
            </w:tcBorders>
            <w:shd w:val="clear" w:color="auto" w:fill="7030A0"/>
            <w:vAlign w:val="bottom"/>
          </w:tcPr>
          <w:p w14:paraId="177891DC" w14:textId="3F93C894" w:rsidR="00FF2606" w:rsidRPr="00A05D1E" w:rsidRDefault="00FF2606" w:rsidP="00F22D61">
            <w:pPr>
              <w:pStyle w:val="TableText"/>
              <w:spacing w:before="0" w:after="240"/>
              <w:jc w:val="both"/>
              <w:rPr>
                <w:rFonts w:cs="Calibri"/>
                <w:b/>
                <w:color w:val="FFFFFF" w:themeColor="background1"/>
                <w:sz w:val="28"/>
                <w:szCs w:val="28"/>
              </w:rPr>
            </w:pPr>
            <w:r w:rsidRPr="00A05D1E">
              <w:rPr>
                <w:rFonts w:cs="Calibri"/>
                <w:b/>
                <w:color w:val="FFFFFF" w:themeColor="background1"/>
                <w:sz w:val="28"/>
                <w:szCs w:val="28"/>
              </w:rPr>
              <w:t xml:space="preserve">Commentary </w:t>
            </w:r>
            <w:r w:rsidRPr="00A05D1E">
              <w:rPr>
                <w:rFonts w:cs="Calibri"/>
                <w:b/>
                <w:color w:val="FFFFFF" w:themeColor="background1"/>
                <w:sz w:val="28"/>
                <w:szCs w:val="28"/>
              </w:rPr>
              <w:sym w:font="Symbol" w:char="F02D"/>
            </w:r>
            <w:r w:rsidRPr="00A05D1E">
              <w:rPr>
                <w:rFonts w:cs="Calibri"/>
                <w:b/>
                <w:color w:val="FFFFFF" w:themeColor="background1"/>
                <w:sz w:val="28"/>
                <w:szCs w:val="28"/>
              </w:rPr>
              <w:t xml:space="preserve"> Note </w:t>
            </w:r>
            <w:r w:rsidR="003C6503" w:rsidRPr="00A05D1E">
              <w:rPr>
                <w:rFonts w:cs="Calibri"/>
                <w:b/>
                <w:color w:val="FFFFFF" w:themeColor="background1"/>
                <w:sz w:val="28"/>
                <w:szCs w:val="28"/>
              </w:rPr>
              <w:t>4</w:t>
            </w:r>
            <w:r w:rsidR="00E86853" w:rsidRPr="00A05D1E">
              <w:rPr>
                <w:rFonts w:cs="Calibri"/>
                <w:b/>
                <w:color w:val="FFFFFF" w:themeColor="background1"/>
                <w:sz w:val="28"/>
                <w:szCs w:val="28"/>
              </w:rPr>
              <w:t>5</w:t>
            </w:r>
            <w:r w:rsidRPr="00A05D1E">
              <w:rPr>
                <w:rFonts w:cs="Calibri"/>
                <w:b/>
                <w:color w:val="FFFFFF" w:themeColor="background1"/>
                <w:sz w:val="28"/>
                <w:szCs w:val="28"/>
              </w:rPr>
              <w:t xml:space="preserve">: </w:t>
            </w:r>
            <w:r w:rsidR="00313BCC" w:rsidRPr="00A05D1E">
              <w:rPr>
                <w:rFonts w:cs="Calibri"/>
                <w:b/>
                <w:color w:val="FFFFFF" w:themeColor="background1"/>
                <w:sz w:val="28"/>
                <w:szCs w:val="28"/>
              </w:rPr>
              <w:t>Other Expenses</w:t>
            </w:r>
            <w:r w:rsidR="003C6503" w:rsidRPr="00A05D1E">
              <w:rPr>
                <w:rFonts w:cs="Calibri"/>
                <w:b/>
                <w:color w:val="FFFFFF" w:themeColor="background1"/>
                <w:sz w:val="28"/>
                <w:szCs w:val="28"/>
              </w:rPr>
              <w:t xml:space="preserve"> </w:t>
            </w:r>
            <w:r w:rsidR="00546BB1">
              <w:rPr>
                <w:rFonts w:cs="Calibri"/>
                <w:b/>
                <w:color w:val="FFFFFF" w:themeColor="background1"/>
                <w:sz w:val="28"/>
                <w:szCs w:val="28"/>
              </w:rPr>
              <w:t>–</w:t>
            </w:r>
            <w:r w:rsidR="003C6503" w:rsidRPr="00A05D1E">
              <w:rPr>
                <w:rFonts w:cs="Calibri"/>
                <w:b/>
                <w:color w:val="FFFFFF" w:themeColor="background1"/>
                <w:sz w:val="28"/>
                <w:szCs w:val="28"/>
              </w:rPr>
              <w:t xml:space="preserve"> Territorial</w:t>
            </w:r>
            <w:r w:rsidR="00546BB1">
              <w:rPr>
                <w:rFonts w:cs="Calibri"/>
                <w:b/>
                <w:color w:val="FFFFFF" w:themeColor="background1"/>
                <w:sz w:val="28"/>
                <w:szCs w:val="28"/>
              </w:rPr>
              <w:t xml:space="preserve"> </w:t>
            </w:r>
          </w:p>
        </w:tc>
      </w:tr>
      <w:tr w:rsidR="00FF2606" w:rsidRPr="00F85282" w14:paraId="2BF3E193"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6358C0E1" w14:textId="77777777" w:rsidR="00FF2606" w:rsidRPr="00A05D1E" w:rsidRDefault="00FF2606" w:rsidP="009A0F2F">
            <w:pPr>
              <w:pStyle w:val="TableReference"/>
              <w:tabs>
                <w:tab w:val="left" w:pos="3306"/>
              </w:tabs>
              <w:spacing w:before="40"/>
              <w:rPr>
                <w:rFonts w:cs="Calibri"/>
                <w:color w:val="7030A0"/>
                <w:sz w:val="14"/>
              </w:rPr>
            </w:pPr>
          </w:p>
        </w:tc>
        <w:tc>
          <w:tcPr>
            <w:tcW w:w="8925" w:type="dxa"/>
            <w:gridSpan w:val="7"/>
            <w:tcBorders>
              <w:left w:val="single" w:sz="4" w:space="0" w:color="auto"/>
            </w:tcBorders>
            <w:shd w:val="clear" w:color="auto" w:fill="7030A0"/>
          </w:tcPr>
          <w:p w14:paraId="5EEC57DF" w14:textId="0BDEE4AD" w:rsidR="00FF2606" w:rsidRPr="00A05D1E" w:rsidRDefault="00FF2606" w:rsidP="009A0F2F">
            <w:pPr>
              <w:pStyle w:val="TableText"/>
              <w:spacing w:before="0" w:after="120"/>
              <w:jc w:val="both"/>
              <w:rPr>
                <w:rFonts w:cs="Calibri"/>
                <w:color w:val="FFFFFF" w:themeColor="background1"/>
              </w:rPr>
            </w:pPr>
            <w:r w:rsidRPr="00A05D1E">
              <w:rPr>
                <w:rFonts w:cs="Calibri"/>
                <w:color w:val="FFFFFF" w:themeColor="background1"/>
              </w:rPr>
              <w:t>A waiver is the relinquishment of a legal claim to a debt.</w:t>
            </w:r>
            <w:r w:rsidR="00FA7C77">
              <w:rPr>
                <w:rFonts w:cs="Calibri"/>
                <w:color w:val="FFFFFF" w:themeColor="background1"/>
              </w:rPr>
              <w:t xml:space="preserve"> </w:t>
            </w:r>
            <w:r w:rsidRPr="00A05D1E">
              <w:rPr>
                <w:rFonts w:cs="Calibri"/>
                <w:color w:val="FFFFFF" w:themeColor="background1"/>
              </w:rPr>
              <w:t>The write-off of a debt is the accounting action taken to remove a debt from the books but does not relinquish the legal right of the Agency to recover the amount.</w:t>
            </w:r>
            <w:r w:rsidR="00FA7C77">
              <w:rPr>
                <w:rFonts w:cs="Calibri"/>
                <w:color w:val="FFFFFF" w:themeColor="background1"/>
              </w:rPr>
              <w:t xml:space="preserve"> </w:t>
            </w:r>
            <w:r w:rsidRPr="00A05D1E">
              <w:rPr>
                <w:rFonts w:cs="Calibri"/>
                <w:color w:val="FFFFFF" w:themeColor="background1"/>
              </w:rPr>
              <w:t>The write-off of debts may occur for reasons other than waivers.</w:t>
            </w:r>
          </w:p>
        </w:tc>
      </w:tr>
      <w:tr w:rsidR="00FF2606" w:rsidRPr="00F85282" w14:paraId="2FA44817"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12321F2A" w14:textId="08CCFEE9"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FMA Section 131 (3)</w:t>
            </w:r>
          </w:p>
        </w:tc>
        <w:tc>
          <w:tcPr>
            <w:tcW w:w="8925" w:type="dxa"/>
            <w:gridSpan w:val="7"/>
            <w:tcBorders>
              <w:left w:val="single" w:sz="4" w:space="0" w:color="auto"/>
            </w:tcBorders>
            <w:shd w:val="clear" w:color="auto" w:fill="7030A0"/>
          </w:tcPr>
          <w:p w14:paraId="27E24CAD" w14:textId="561A333E" w:rsidR="00FF2606" w:rsidRPr="00A05D1E" w:rsidRDefault="00BC3D87" w:rsidP="009A0F2F">
            <w:pPr>
              <w:pStyle w:val="CommentaryText"/>
              <w:rPr>
                <w:rFonts w:cs="Calibri"/>
                <w:color w:val="FFFFFF" w:themeColor="background1"/>
                <w:sz w:val="18"/>
                <w:szCs w:val="18"/>
              </w:rPr>
            </w:pPr>
            <w:r w:rsidRPr="00A05D1E">
              <w:rPr>
                <w:rFonts w:cs="Calibri"/>
                <w:color w:val="FFFFFF" w:themeColor="background1"/>
                <w:sz w:val="18"/>
                <w:szCs w:val="18"/>
              </w:rPr>
              <w:t>A</w:t>
            </w:r>
            <w:r w:rsidR="00FF2606" w:rsidRPr="00A05D1E">
              <w:rPr>
                <w:rFonts w:cs="Calibri"/>
                <w:color w:val="FFFFFF" w:themeColor="background1"/>
                <w:sz w:val="18"/>
                <w:szCs w:val="18"/>
              </w:rPr>
              <w:t xml:space="preserve"> waiver relating to an amount payable to the Territory shall be reported in the notes to the financial statements of the relevant agency that relate to the year in which the right to payment was waived.</w:t>
            </w:r>
          </w:p>
        </w:tc>
      </w:tr>
      <w:tr w:rsidR="00FF2606" w:rsidRPr="00F85282" w14:paraId="26330865"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4C6E5985"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p w14:paraId="406D21E0" w14:textId="77777777" w:rsidR="00FF2606" w:rsidRPr="00A05D1E" w:rsidRDefault="00FF2606" w:rsidP="009A0F2F">
            <w:pPr>
              <w:pStyle w:val="TableReference"/>
              <w:tabs>
                <w:tab w:val="left" w:pos="3306"/>
              </w:tabs>
              <w:spacing w:before="40"/>
              <w:rPr>
                <w:rFonts w:cs="Calibri"/>
                <w:color w:val="7030A0"/>
                <w:sz w:val="14"/>
              </w:rPr>
            </w:pPr>
          </w:p>
        </w:tc>
        <w:tc>
          <w:tcPr>
            <w:tcW w:w="8925" w:type="dxa"/>
            <w:gridSpan w:val="7"/>
            <w:tcBorders>
              <w:left w:val="single" w:sz="4" w:space="0" w:color="auto"/>
            </w:tcBorders>
            <w:shd w:val="clear" w:color="auto" w:fill="7030A0"/>
          </w:tcPr>
          <w:p w14:paraId="35B9710E" w14:textId="2FB5E8C3" w:rsidR="00FF2606" w:rsidRPr="00A05D1E" w:rsidRDefault="00FF2606" w:rsidP="009A0F2F">
            <w:pPr>
              <w:pStyle w:val="CommentaryText"/>
              <w:rPr>
                <w:rFonts w:cs="Calibri"/>
                <w:color w:val="FFFFFF" w:themeColor="background1"/>
                <w:sz w:val="18"/>
                <w:szCs w:val="18"/>
              </w:rPr>
            </w:pPr>
            <w:r w:rsidRPr="00A05D1E">
              <w:rPr>
                <w:rFonts w:cs="Calibri"/>
                <w:color w:val="FFFFFF" w:themeColor="background1"/>
                <w:sz w:val="18"/>
                <w:szCs w:val="18"/>
              </w:rPr>
              <w:t xml:space="preserve">The </w:t>
            </w:r>
            <w:r w:rsidR="00175DEB" w:rsidRPr="00A05D1E">
              <w:rPr>
                <w:rFonts w:cs="Calibri"/>
                <w:color w:val="FFFFFF" w:themeColor="background1"/>
                <w:sz w:val="18"/>
                <w:szCs w:val="18"/>
              </w:rPr>
              <w:t xml:space="preserve">wavier and write-off </w:t>
            </w:r>
            <w:r w:rsidRPr="00A05D1E">
              <w:rPr>
                <w:rFonts w:cs="Calibri"/>
                <w:color w:val="FFFFFF" w:themeColor="background1"/>
                <w:sz w:val="18"/>
                <w:szCs w:val="18"/>
              </w:rPr>
              <w:t xml:space="preserve">disclosures required by this note are material by nature </w:t>
            </w:r>
            <w:r w:rsidR="00175DEB" w:rsidRPr="00A05D1E">
              <w:rPr>
                <w:rFonts w:cs="Calibri"/>
                <w:color w:val="FFFFFF" w:themeColor="background1"/>
                <w:sz w:val="18"/>
                <w:szCs w:val="18"/>
              </w:rPr>
              <w:t xml:space="preserve">so </w:t>
            </w:r>
            <w:r w:rsidRPr="00A05D1E">
              <w:rPr>
                <w:rFonts w:cs="Calibri"/>
                <w:color w:val="FFFFFF" w:themeColor="background1"/>
                <w:sz w:val="18"/>
                <w:szCs w:val="18"/>
              </w:rPr>
              <w:t>disclosure is required regardless of the amount of the</w:t>
            </w:r>
            <w:r w:rsidR="00175DEB" w:rsidRPr="00A05D1E">
              <w:rPr>
                <w:rFonts w:cs="Calibri"/>
                <w:color w:val="FFFFFF" w:themeColor="background1"/>
                <w:sz w:val="18"/>
                <w:szCs w:val="18"/>
              </w:rPr>
              <w:t>se</w:t>
            </w:r>
            <w:r w:rsidRPr="00A05D1E">
              <w:rPr>
                <w:rFonts w:cs="Calibri"/>
                <w:color w:val="FFFFFF" w:themeColor="background1"/>
                <w:sz w:val="18"/>
                <w:szCs w:val="18"/>
              </w:rPr>
              <w:t xml:space="preserve"> </w:t>
            </w:r>
            <w:r w:rsidR="00175DEB" w:rsidRPr="00A05D1E">
              <w:rPr>
                <w:rFonts w:cs="Calibri"/>
                <w:color w:val="FFFFFF" w:themeColor="background1"/>
                <w:sz w:val="18"/>
                <w:szCs w:val="18"/>
              </w:rPr>
              <w:t>items</w:t>
            </w:r>
            <w:r w:rsidRPr="00A05D1E">
              <w:rPr>
                <w:rFonts w:cs="Calibri"/>
                <w:color w:val="FFFFFF" w:themeColor="background1"/>
                <w:sz w:val="18"/>
                <w:szCs w:val="18"/>
              </w:rPr>
              <w:t>.</w:t>
            </w:r>
            <w:r w:rsidR="00FA7C77">
              <w:rPr>
                <w:rFonts w:cs="Calibri"/>
                <w:color w:val="FFFFFF" w:themeColor="background1"/>
                <w:sz w:val="18"/>
                <w:szCs w:val="18"/>
              </w:rPr>
              <w:t xml:space="preserve"> </w:t>
            </w:r>
            <w:r w:rsidR="00175DEB" w:rsidRPr="00A05D1E">
              <w:rPr>
                <w:rFonts w:cs="Calibri"/>
                <w:color w:val="FFFFFF" w:themeColor="background1"/>
                <w:sz w:val="18"/>
                <w:szCs w:val="18"/>
              </w:rPr>
              <w:t xml:space="preserve">However, where </w:t>
            </w:r>
            <w:r w:rsidR="005E333B" w:rsidRPr="00A05D1E">
              <w:rPr>
                <w:rFonts w:cs="Calibri"/>
                <w:color w:val="FFFFFF" w:themeColor="background1"/>
                <w:sz w:val="18"/>
                <w:szCs w:val="18"/>
              </w:rPr>
              <w:t xml:space="preserve">a prior period error </w:t>
            </w:r>
            <w:r w:rsidR="00175DEB" w:rsidRPr="00A05D1E">
              <w:rPr>
                <w:rFonts w:cs="Calibri"/>
                <w:color w:val="FFFFFF" w:themeColor="background1"/>
                <w:sz w:val="18"/>
                <w:szCs w:val="18"/>
              </w:rPr>
              <w:t>i</w:t>
            </w:r>
            <w:r w:rsidR="005E333B" w:rsidRPr="00A05D1E">
              <w:rPr>
                <w:rFonts w:cs="Calibri"/>
                <w:color w:val="FFFFFF" w:themeColor="background1"/>
                <w:sz w:val="18"/>
                <w:szCs w:val="18"/>
              </w:rPr>
              <w:t>s discovered in</w:t>
            </w:r>
            <w:r w:rsidR="00175DEB" w:rsidRPr="00A05D1E">
              <w:rPr>
                <w:rFonts w:cs="Calibri"/>
                <w:color w:val="FFFFFF" w:themeColor="background1"/>
                <w:sz w:val="18"/>
                <w:szCs w:val="18"/>
              </w:rPr>
              <w:t xml:space="preserve"> relation to a wavier or write-off, the</w:t>
            </w:r>
            <w:r w:rsidR="005E333B" w:rsidRPr="00A05D1E">
              <w:rPr>
                <w:rFonts w:cs="Calibri"/>
                <w:color w:val="FFFFFF" w:themeColor="background1"/>
                <w:sz w:val="18"/>
                <w:szCs w:val="18"/>
              </w:rPr>
              <w:t>n the error would have to be material by amount for a ‘</w:t>
            </w:r>
            <w:r w:rsidR="00175DEB" w:rsidRPr="00A05D1E">
              <w:rPr>
                <w:rFonts w:cs="Calibri"/>
                <w:color w:val="FFFFFF" w:themeColor="background1"/>
                <w:sz w:val="18"/>
                <w:szCs w:val="18"/>
              </w:rPr>
              <w:t>Change in Accounting Policy and Accounting Estimates, and Correction of a Prior Period Error</w:t>
            </w:r>
            <w:r w:rsidR="005E333B" w:rsidRPr="00A05D1E">
              <w:rPr>
                <w:rFonts w:cs="Calibri"/>
                <w:color w:val="FFFFFF" w:themeColor="background1"/>
                <w:sz w:val="18"/>
                <w:szCs w:val="18"/>
              </w:rPr>
              <w:t>’ Note disclosure to be warranted.</w:t>
            </w:r>
            <w:r w:rsidR="00FA7C77">
              <w:rPr>
                <w:rFonts w:cs="Calibri"/>
                <w:color w:val="FFFFFF" w:themeColor="background1"/>
                <w:sz w:val="18"/>
                <w:szCs w:val="18"/>
              </w:rPr>
              <w:t xml:space="preserve"> </w:t>
            </w:r>
          </w:p>
        </w:tc>
      </w:tr>
      <w:tr w:rsidR="00FF2606" w:rsidRPr="00F85282" w14:paraId="6E23CA24"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0ED5CA29"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tc>
        <w:tc>
          <w:tcPr>
            <w:tcW w:w="8925" w:type="dxa"/>
            <w:gridSpan w:val="7"/>
            <w:tcBorders>
              <w:left w:val="single" w:sz="4" w:space="0" w:color="auto"/>
            </w:tcBorders>
            <w:shd w:val="clear" w:color="auto" w:fill="7030A0"/>
          </w:tcPr>
          <w:p w14:paraId="3AB9349A" w14:textId="0EF21C85" w:rsidR="00FF2606" w:rsidRPr="00A05D1E" w:rsidRDefault="00FF2606" w:rsidP="009A0F2F">
            <w:pPr>
              <w:pStyle w:val="CommentaryText"/>
              <w:rPr>
                <w:rFonts w:cs="Calibri"/>
                <w:color w:val="FFFFFF" w:themeColor="background1"/>
                <w:sz w:val="18"/>
                <w:szCs w:val="18"/>
              </w:rPr>
            </w:pPr>
            <w:r w:rsidRPr="00A05D1E">
              <w:rPr>
                <w:rFonts w:cs="Calibri"/>
                <w:color w:val="FFFFFF" w:themeColor="background1"/>
                <w:sz w:val="18"/>
                <w:szCs w:val="18"/>
              </w:rPr>
              <w:t xml:space="preserve">If an agency has waivers associated with a government policy, then the note should provide details </w:t>
            </w:r>
            <w:r w:rsidR="005E333B" w:rsidRPr="00A05D1E">
              <w:rPr>
                <w:rFonts w:cs="Calibri"/>
                <w:color w:val="FFFFFF" w:themeColor="background1"/>
                <w:sz w:val="18"/>
                <w:szCs w:val="18"/>
              </w:rPr>
              <w:t>of wa</w:t>
            </w:r>
            <w:r w:rsidR="00C94AC5" w:rsidRPr="00A05D1E">
              <w:rPr>
                <w:rFonts w:cs="Calibri"/>
                <w:color w:val="FFFFFF" w:themeColor="background1"/>
                <w:sz w:val="18"/>
                <w:szCs w:val="18"/>
              </w:rPr>
              <w:t>i</w:t>
            </w:r>
            <w:r w:rsidR="005E333B" w:rsidRPr="00A05D1E">
              <w:rPr>
                <w:rFonts w:cs="Calibri"/>
                <w:color w:val="FFFFFF" w:themeColor="background1"/>
                <w:sz w:val="18"/>
                <w:szCs w:val="18"/>
              </w:rPr>
              <w:t>v</w:t>
            </w:r>
            <w:r w:rsidR="00C94AC5" w:rsidRPr="00A05D1E">
              <w:rPr>
                <w:rFonts w:cs="Calibri"/>
                <w:color w:val="FFFFFF" w:themeColor="background1"/>
                <w:sz w:val="18"/>
                <w:szCs w:val="18"/>
              </w:rPr>
              <w:t>e</w:t>
            </w:r>
            <w:r w:rsidR="005E333B" w:rsidRPr="00A05D1E">
              <w:rPr>
                <w:rFonts w:cs="Calibri"/>
                <w:color w:val="FFFFFF" w:themeColor="background1"/>
                <w:sz w:val="18"/>
                <w:szCs w:val="18"/>
              </w:rPr>
              <w:t xml:space="preserve">rs </w:t>
            </w:r>
            <w:r w:rsidRPr="00A05D1E">
              <w:rPr>
                <w:rFonts w:cs="Calibri"/>
                <w:color w:val="FFFFFF" w:themeColor="background1"/>
                <w:sz w:val="18"/>
                <w:szCs w:val="18"/>
              </w:rPr>
              <w:t>by policy type.</w:t>
            </w:r>
            <w:r w:rsidR="00FA7C77">
              <w:rPr>
                <w:rFonts w:cs="Calibri"/>
                <w:color w:val="FFFFFF" w:themeColor="background1"/>
                <w:sz w:val="18"/>
                <w:szCs w:val="18"/>
              </w:rPr>
              <w:t xml:space="preserve"> </w:t>
            </w:r>
            <w:r w:rsidRPr="00A05D1E">
              <w:rPr>
                <w:rFonts w:cs="Calibri"/>
                <w:color w:val="FFFFFF" w:themeColor="background1"/>
                <w:sz w:val="18"/>
                <w:szCs w:val="18"/>
              </w:rPr>
              <w:t>Individual recipients of waivers should not be identified unless they have agreed to such disclosure.</w:t>
            </w:r>
          </w:p>
        </w:tc>
      </w:tr>
      <w:tr w:rsidR="00FF2606" w:rsidRPr="00F85282" w14:paraId="7D0867EA"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83"/>
        </w:trPr>
        <w:tc>
          <w:tcPr>
            <w:tcW w:w="1564" w:type="dxa"/>
            <w:tcBorders>
              <w:left w:val="single" w:sz="4" w:space="0" w:color="auto"/>
              <w:right w:val="single" w:sz="4" w:space="0" w:color="auto"/>
            </w:tcBorders>
          </w:tcPr>
          <w:p w14:paraId="6E0EAAE1" w14:textId="77777777" w:rsidR="00FF2606" w:rsidRPr="00A05D1E" w:rsidRDefault="00FF2606" w:rsidP="009A0F2F">
            <w:pPr>
              <w:pStyle w:val="TableReference"/>
              <w:tabs>
                <w:tab w:val="left" w:pos="3306"/>
              </w:tabs>
              <w:spacing w:before="40"/>
              <w:rPr>
                <w:rFonts w:cs="Calibri"/>
                <w:color w:val="7030A0"/>
                <w:sz w:val="14"/>
              </w:rPr>
            </w:pPr>
          </w:p>
        </w:tc>
        <w:tc>
          <w:tcPr>
            <w:tcW w:w="8925" w:type="dxa"/>
            <w:gridSpan w:val="7"/>
            <w:tcBorders>
              <w:left w:val="single" w:sz="4" w:space="0" w:color="auto"/>
            </w:tcBorders>
            <w:shd w:val="clear" w:color="auto" w:fill="7030A0"/>
          </w:tcPr>
          <w:p w14:paraId="43BE77D8" w14:textId="77777777" w:rsidR="00FF2606" w:rsidRPr="00A84CC0" w:rsidRDefault="00FF2606" w:rsidP="009A0F2F">
            <w:pPr>
              <w:pStyle w:val="CommentaryText"/>
              <w:spacing w:after="0"/>
              <w:rPr>
                <w:rFonts w:cs="Calibri"/>
                <w:b/>
                <w:color w:val="FFFFFF" w:themeColor="background1"/>
                <w:szCs w:val="20"/>
              </w:rPr>
            </w:pPr>
            <w:r w:rsidRPr="00A84CC0">
              <w:rPr>
                <w:rFonts w:cs="Calibri"/>
                <w:b/>
                <w:color w:val="FFFFFF" w:themeColor="background1"/>
                <w:szCs w:val="20"/>
              </w:rPr>
              <w:t xml:space="preserve">Losses or Deficiencies in Public Monies </w:t>
            </w:r>
          </w:p>
        </w:tc>
      </w:tr>
      <w:tr w:rsidR="00FF2606" w:rsidRPr="00F85282" w14:paraId="2A405511"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65"/>
        </w:trPr>
        <w:tc>
          <w:tcPr>
            <w:tcW w:w="1564" w:type="dxa"/>
            <w:tcBorders>
              <w:left w:val="single" w:sz="4" w:space="0" w:color="auto"/>
              <w:right w:val="single" w:sz="4" w:space="0" w:color="auto"/>
            </w:tcBorders>
          </w:tcPr>
          <w:p w14:paraId="46878307"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ACT Disclosure Policy</w:t>
            </w:r>
          </w:p>
        </w:tc>
        <w:tc>
          <w:tcPr>
            <w:tcW w:w="8925" w:type="dxa"/>
            <w:gridSpan w:val="7"/>
            <w:tcBorders>
              <w:left w:val="single" w:sz="4" w:space="0" w:color="auto"/>
            </w:tcBorders>
            <w:shd w:val="clear" w:color="auto" w:fill="7030A0"/>
          </w:tcPr>
          <w:p w14:paraId="57BA89AB" w14:textId="77777777" w:rsidR="00FF2606" w:rsidRPr="00A05D1E" w:rsidRDefault="00FF2606" w:rsidP="0013456C">
            <w:pPr>
              <w:pStyle w:val="CommentaryText"/>
              <w:spacing w:after="40"/>
              <w:rPr>
                <w:rFonts w:cs="Calibri"/>
                <w:color w:val="FFFFFF" w:themeColor="background1"/>
                <w:sz w:val="18"/>
                <w:szCs w:val="18"/>
              </w:rPr>
            </w:pPr>
            <w:r w:rsidRPr="00A05D1E">
              <w:rPr>
                <w:rFonts w:cs="Calibri"/>
                <w:color w:val="FFFFFF" w:themeColor="background1"/>
                <w:sz w:val="18"/>
                <w:szCs w:val="18"/>
              </w:rPr>
              <w:t>The ‘Losses or Deficiencies in Public Monies’ line item will include a number of different items including, but not limited to, the following:</w:t>
            </w:r>
          </w:p>
        </w:tc>
      </w:tr>
      <w:tr w:rsidR="00FF2606" w:rsidRPr="00F85282" w14:paraId="3F57BFCD"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CC"/>
        </w:tblPrEx>
        <w:trPr>
          <w:trHeight w:val="265"/>
        </w:trPr>
        <w:tc>
          <w:tcPr>
            <w:tcW w:w="1564" w:type="dxa"/>
            <w:tcBorders>
              <w:left w:val="single" w:sz="4" w:space="0" w:color="auto"/>
              <w:right w:val="single" w:sz="4" w:space="0" w:color="auto"/>
            </w:tcBorders>
          </w:tcPr>
          <w:p w14:paraId="010C2EE4" w14:textId="77777777" w:rsidR="00FF2606" w:rsidRPr="00A05D1E" w:rsidRDefault="00FF2606" w:rsidP="009A0F2F">
            <w:pPr>
              <w:pStyle w:val="TableReference"/>
              <w:tabs>
                <w:tab w:val="left" w:pos="3306"/>
              </w:tabs>
              <w:spacing w:before="40"/>
              <w:rPr>
                <w:rFonts w:cs="Calibri"/>
                <w:color w:val="7030A0"/>
                <w:sz w:val="14"/>
              </w:rPr>
            </w:pPr>
          </w:p>
          <w:p w14:paraId="4B6F9FC4" w14:textId="77777777" w:rsidR="00FF2606" w:rsidRPr="00A05D1E" w:rsidRDefault="00FF2606" w:rsidP="009A0F2F">
            <w:pPr>
              <w:pStyle w:val="TableReference"/>
              <w:tabs>
                <w:tab w:val="left" w:pos="3306"/>
              </w:tabs>
              <w:spacing w:before="40"/>
              <w:rPr>
                <w:rFonts w:cs="Calibri"/>
                <w:color w:val="7030A0"/>
                <w:sz w:val="14"/>
              </w:rPr>
            </w:pPr>
          </w:p>
          <w:p w14:paraId="1451123A" w14:textId="77777777" w:rsidR="00FF2606" w:rsidRPr="00A05D1E" w:rsidRDefault="00FF2606" w:rsidP="009A0F2F">
            <w:pPr>
              <w:pStyle w:val="TableReference"/>
              <w:tabs>
                <w:tab w:val="left" w:pos="3306"/>
              </w:tabs>
              <w:spacing w:before="40"/>
              <w:rPr>
                <w:rFonts w:cs="Calibri"/>
                <w:color w:val="7030A0"/>
                <w:sz w:val="14"/>
              </w:rPr>
            </w:pPr>
          </w:p>
          <w:p w14:paraId="0534E8DB" w14:textId="77777777" w:rsidR="00FF2606" w:rsidRPr="00A05D1E" w:rsidRDefault="00FF2606" w:rsidP="009A0F2F">
            <w:pPr>
              <w:pStyle w:val="TableReference"/>
              <w:tabs>
                <w:tab w:val="left" w:pos="3306"/>
              </w:tabs>
              <w:spacing w:before="40"/>
              <w:rPr>
                <w:rFonts w:cs="Calibri"/>
                <w:color w:val="7030A0"/>
                <w:sz w:val="14"/>
              </w:rPr>
            </w:pPr>
            <w:r w:rsidRPr="00A05D1E">
              <w:rPr>
                <w:rFonts w:cs="Calibri"/>
                <w:color w:val="7030A0"/>
                <w:sz w:val="14"/>
              </w:rPr>
              <w:t>Chief Minister’s Annual Report Directions</w:t>
            </w:r>
          </w:p>
        </w:tc>
        <w:tc>
          <w:tcPr>
            <w:tcW w:w="8925" w:type="dxa"/>
            <w:gridSpan w:val="7"/>
            <w:tcBorders>
              <w:left w:val="single" w:sz="4" w:space="0" w:color="auto"/>
            </w:tcBorders>
            <w:shd w:val="clear" w:color="auto" w:fill="7030A0"/>
          </w:tcPr>
          <w:p w14:paraId="59D5CC5C" w14:textId="77777777" w:rsidR="00FF2606" w:rsidRPr="00A05D1E" w:rsidRDefault="00FF2606" w:rsidP="007122BC">
            <w:pPr>
              <w:pStyle w:val="CommentaryText"/>
              <w:numPr>
                <w:ilvl w:val="0"/>
                <w:numId w:val="29"/>
              </w:numPr>
              <w:spacing w:after="40"/>
              <w:ind w:left="452" w:hanging="357"/>
              <w:rPr>
                <w:rFonts w:cs="Calibri"/>
                <w:color w:val="FFFFFF" w:themeColor="background1"/>
                <w:sz w:val="18"/>
                <w:szCs w:val="18"/>
              </w:rPr>
            </w:pPr>
            <w:r w:rsidRPr="00A05D1E">
              <w:rPr>
                <w:rFonts w:cs="Calibri"/>
                <w:color w:val="FFFFFF" w:themeColor="background1"/>
                <w:sz w:val="18"/>
                <w:szCs w:val="18"/>
              </w:rPr>
              <w:t>decrease in monies due to fraud;</w:t>
            </w:r>
          </w:p>
          <w:p w14:paraId="7A0DC51A" w14:textId="77777777" w:rsidR="00FF2606" w:rsidRPr="00A05D1E" w:rsidRDefault="00FF2606" w:rsidP="007122BC">
            <w:pPr>
              <w:pStyle w:val="CommentaryText"/>
              <w:numPr>
                <w:ilvl w:val="0"/>
                <w:numId w:val="29"/>
              </w:numPr>
              <w:spacing w:after="40"/>
              <w:ind w:left="452" w:hanging="357"/>
              <w:rPr>
                <w:rFonts w:cs="Calibri"/>
                <w:color w:val="FFFFFF" w:themeColor="background1"/>
                <w:sz w:val="18"/>
                <w:szCs w:val="18"/>
              </w:rPr>
            </w:pPr>
            <w:r w:rsidRPr="00A05D1E">
              <w:rPr>
                <w:rFonts w:cs="Calibri"/>
                <w:color w:val="FFFFFF" w:themeColor="background1"/>
                <w:sz w:val="18"/>
                <w:szCs w:val="18"/>
              </w:rPr>
              <w:t>monies which cannot be accounted for; and</w:t>
            </w:r>
          </w:p>
          <w:p w14:paraId="7D4F74EC" w14:textId="77777777" w:rsidR="00FF2606" w:rsidRPr="00A05D1E" w:rsidRDefault="00FF2606" w:rsidP="007122BC">
            <w:pPr>
              <w:pStyle w:val="CommentaryText"/>
              <w:numPr>
                <w:ilvl w:val="0"/>
                <w:numId w:val="29"/>
              </w:numPr>
              <w:ind w:left="452" w:hanging="357"/>
              <w:rPr>
                <w:rFonts w:cs="Calibri"/>
                <w:color w:val="FFFFFF" w:themeColor="background1"/>
                <w:sz w:val="18"/>
                <w:szCs w:val="18"/>
              </w:rPr>
            </w:pPr>
            <w:r w:rsidRPr="00A05D1E">
              <w:rPr>
                <w:rFonts w:cs="Calibri"/>
                <w:color w:val="FFFFFF" w:themeColor="background1"/>
                <w:sz w:val="18"/>
                <w:szCs w:val="18"/>
              </w:rPr>
              <w:t>monies which have been lost.</w:t>
            </w:r>
          </w:p>
          <w:p w14:paraId="6C4572F3" w14:textId="77777777" w:rsidR="00FF2606" w:rsidRPr="00A05D1E" w:rsidRDefault="00FF2606" w:rsidP="009A0F2F">
            <w:pPr>
              <w:pStyle w:val="CommentaryText"/>
              <w:tabs>
                <w:tab w:val="left" w:pos="3306"/>
              </w:tabs>
              <w:rPr>
                <w:rFonts w:cs="Calibri"/>
                <w:color w:val="FFFFFF" w:themeColor="background1"/>
                <w:sz w:val="18"/>
                <w:szCs w:val="18"/>
              </w:rPr>
            </w:pPr>
            <w:r w:rsidRPr="00A05D1E">
              <w:rPr>
                <w:rFonts w:cs="Calibri"/>
                <w:color w:val="FFFFFF" w:themeColor="background1"/>
                <w:sz w:val="18"/>
                <w:szCs w:val="18"/>
              </w:rPr>
              <w:t xml:space="preserve">The Chief Minister’s Annual Report Directions requires further disclosure of fraud in the Annual Report. </w:t>
            </w:r>
          </w:p>
        </w:tc>
      </w:tr>
    </w:tbl>
    <w:p w14:paraId="470B39EF" w14:textId="77777777" w:rsidR="00F22D61" w:rsidRDefault="00F22D61">
      <w:r>
        <w:br w:type="page"/>
      </w:r>
    </w:p>
    <w:tbl>
      <w:tblPr>
        <w:tblW w:w="4999"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6091"/>
        <w:gridCol w:w="16"/>
        <w:gridCol w:w="1260"/>
        <w:gridCol w:w="44"/>
        <w:gridCol w:w="19"/>
        <w:gridCol w:w="1495"/>
        <w:gridCol w:w="53"/>
      </w:tblGrid>
      <w:tr w:rsidR="005C5553" w:rsidRPr="00CF7E1B" w14:paraId="4D426326" w14:textId="77777777" w:rsidTr="00D919F2">
        <w:trPr>
          <w:gridAfter w:val="1"/>
          <w:wAfter w:w="53" w:type="dxa"/>
          <w:cantSplit/>
          <w:trHeight w:val="882"/>
        </w:trPr>
        <w:tc>
          <w:tcPr>
            <w:tcW w:w="1564" w:type="dxa"/>
            <w:tcBorders>
              <w:top w:val="nil"/>
              <w:left w:val="single" w:sz="2" w:space="0" w:color="auto"/>
              <w:bottom w:val="nil"/>
              <w:right w:val="single" w:sz="2" w:space="0" w:color="auto"/>
            </w:tcBorders>
          </w:tcPr>
          <w:p w14:paraId="14D4FA7F" w14:textId="055FCB69" w:rsidR="005C5553" w:rsidRPr="00A05D1E" w:rsidRDefault="00CD4214" w:rsidP="005D3C33">
            <w:pPr>
              <w:pStyle w:val="TableReference"/>
              <w:tabs>
                <w:tab w:val="left" w:pos="3306"/>
              </w:tabs>
              <w:spacing w:before="240" w:after="240"/>
              <w:rPr>
                <w:rFonts w:asciiTheme="minorHAnsi" w:hAnsiTheme="minorHAnsi" w:cstheme="minorHAnsi"/>
                <w:b/>
                <w:color w:val="7030A0"/>
                <w:sz w:val="22"/>
                <w:szCs w:val="22"/>
              </w:rPr>
            </w:pPr>
            <w:r w:rsidRPr="00A05D1E">
              <w:rPr>
                <w:rFonts w:asciiTheme="minorHAnsi" w:hAnsiTheme="minorHAnsi" w:cstheme="minorHAnsi"/>
                <w:b/>
                <w:color w:val="7030A0"/>
                <w:sz w:val="22"/>
                <w:szCs w:val="22"/>
              </w:rPr>
              <w:t>Reference</w:t>
            </w:r>
          </w:p>
        </w:tc>
        <w:tc>
          <w:tcPr>
            <w:tcW w:w="8925" w:type="dxa"/>
            <w:gridSpan w:val="6"/>
            <w:tcBorders>
              <w:top w:val="nil"/>
              <w:left w:val="single" w:sz="2" w:space="0" w:color="auto"/>
              <w:bottom w:val="nil"/>
              <w:right w:val="nil"/>
            </w:tcBorders>
            <w:vAlign w:val="bottom"/>
          </w:tcPr>
          <w:p w14:paraId="499AA896" w14:textId="2E1FA5DE" w:rsidR="005C5553" w:rsidRPr="00A05D1E" w:rsidRDefault="00EE0C18" w:rsidP="006B468D">
            <w:pPr>
              <w:pStyle w:val="Heading1"/>
              <w:numPr>
                <w:ilvl w:val="0"/>
                <w:numId w:val="0"/>
              </w:numPr>
            </w:pPr>
            <w:bookmarkStart w:id="952" w:name="_Toc49224358"/>
            <w:bookmarkStart w:id="953" w:name="_Ref50365968"/>
            <w:bookmarkStart w:id="954" w:name="_Toc50440435"/>
            <w:bookmarkStart w:id="955" w:name="_Ref50524505"/>
            <w:bookmarkStart w:id="956" w:name="_Toc223433231"/>
            <w:bookmarkStart w:id="957" w:name="_Toc400627380"/>
            <w:bookmarkStart w:id="958" w:name="TScashandcashequvilant"/>
            <w:bookmarkStart w:id="959" w:name="_Toc98763204"/>
            <w:r w:rsidRPr="00A05D1E">
              <w:t xml:space="preserve">Note </w:t>
            </w:r>
            <w:r w:rsidR="003C6503" w:rsidRPr="00A05D1E">
              <w:t>4</w:t>
            </w:r>
            <w:r w:rsidR="00E86853" w:rsidRPr="00A05D1E">
              <w:t>6</w:t>
            </w:r>
            <w:r w:rsidR="005C5553" w:rsidRPr="00A05D1E">
              <w:t>.</w:t>
            </w:r>
            <w:r w:rsidR="00FA7C77">
              <w:t xml:space="preserve"> </w:t>
            </w:r>
            <w:r w:rsidRPr="00A05D1E">
              <w:t xml:space="preserve"> </w:t>
            </w:r>
            <w:r w:rsidR="005C5553" w:rsidRPr="00A05D1E">
              <w:t xml:space="preserve">Cash and </w:t>
            </w:r>
            <w:r w:rsidR="00313BCC" w:rsidRPr="00A05D1E">
              <w:t>Investments</w:t>
            </w:r>
            <w:r w:rsidR="005C5553" w:rsidRPr="00A05D1E">
              <w:t xml:space="preserve"> – T</w:t>
            </w:r>
            <w:r w:rsidRPr="00A05D1E">
              <w:t>erritorial</w:t>
            </w:r>
            <w:bookmarkEnd w:id="952"/>
            <w:bookmarkEnd w:id="953"/>
            <w:bookmarkEnd w:id="954"/>
            <w:bookmarkEnd w:id="955"/>
            <w:bookmarkEnd w:id="956"/>
            <w:bookmarkEnd w:id="957"/>
            <w:bookmarkEnd w:id="958"/>
            <w:bookmarkEnd w:id="959"/>
          </w:p>
        </w:tc>
      </w:tr>
      <w:tr w:rsidR="009E2543" w:rsidRPr="00CF7E1B" w14:paraId="355B34A8"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51057F6D" w14:textId="77777777" w:rsidR="009E2543" w:rsidRPr="00A05D1E" w:rsidRDefault="009E2543" w:rsidP="00DA1174">
            <w:pPr>
              <w:pStyle w:val="TableReference"/>
              <w:tabs>
                <w:tab w:val="left" w:pos="3306"/>
              </w:tabs>
              <w:spacing w:before="40"/>
              <w:rPr>
                <w:rFonts w:cs="Calibri"/>
                <w:color w:val="7030A0"/>
                <w:sz w:val="16"/>
                <w:szCs w:val="16"/>
              </w:rPr>
            </w:pPr>
          </w:p>
        </w:tc>
        <w:tc>
          <w:tcPr>
            <w:tcW w:w="8925" w:type="dxa"/>
            <w:gridSpan w:val="6"/>
            <w:tcBorders>
              <w:top w:val="nil"/>
              <w:left w:val="single" w:sz="2" w:space="0" w:color="auto"/>
              <w:bottom w:val="nil"/>
              <w:right w:val="nil"/>
            </w:tcBorders>
          </w:tcPr>
          <w:p w14:paraId="5AF648FF" w14:textId="200477F4" w:rsidR="009E2543" w:rsidRPr="00A05D1E" w:rsidRDefault="006E4DBA" w:rsidP="009E2543">
            <w:pPr>
              <w:pStyle w:val="TableText"/>
              <w:rPr>
                <w:rFonts w:cs="Calibri"/>
              </w:rPr>
            </w:pPr>
            <w:r w:rsidRPr="00A05D1E">
              <w:rPr>
                <w:rFonts w:cs="Calibri"/>
                <w:b/>
                <w:bCs/>
              </w:rPr>
              <w:t>Description and Material Accounting Policies Relating to Cash and Investment</w:t>
            </w:r>
            <w:r w:rsidR="000610F9" w:rsidRPr="00A05D1E">
              <w:rPr>
                <w:rFonts w:cs="Calibri"/>
                <w:b/>
                <w:bCs/>
              </w:rPr>
              <w:t xml:space="preserve"> - Territorial</w:t>
            </w:r>
          </w:p>
        </w:tc>
      </w:tr>
      <w:tr w:rsidR="009E2543" w:rsidRPr="00CF7E1B" w14:paraId="6453ABCD"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71AE7462" w14:textId="77777777" w:rsidR="009E2543" w:rsidRPr="00A05D1E" w:rsidRDefault="009E2543" w:rsidP="00DA1174">
            <w:pPr>
              <w:pStyle w:val="TableReference"/>
              <w:tabs>
                <w:tab w:val="left" w:pos="3306"/>
              </w:tabs>
              <w:spacing w:before="40"/>
              <w:rPr>
                <w:rFonts w:cs="Calibri"/>
                <w:color w:val="7030A0"/>
                <w:sz w:val="16"/>
                <w:szCs w:val="16"/>
              </w:rPr>
            </w:pPr>
          </w:p>
        </w:tc>
        <w:tc>
          <w:tcPr>
            <w:tcW w:w="8925" w:type="dxa"/>
            <w:gridSpan w:val="6"/>
            <w:tcBorders>
              <w:top w:val="nil"/>
              <w:left w:val="single" w:sz="2" w:space="0" w:color="auto"/>
              <w:bottom w:val="nil"/>
              <w:right w:val="nil"/>
            </w:tcBorders>
          </w:tcPr>
          <w:p w14:paraId="5EF7D282" w14:textId="496E288D" w:rsidR="009E2543" w:rsidRPr="00A05D1E" w:rsidRDefault="009E2543" w:rsidP="009E2543">
            <w:pPr>
              <w:pStyle w:val="TableText"/>
              <w:rPr>
                <w:rFonts w:cs="Calibri"/>
                <w:b/>
                <w:bCs/>
              </w:rPr>
            </w:pPr>
            <w:r w:rsidRPr="00A05D1E">
              <w:rPr>
                <w:rFonts w:cs="Calibri"/>
              </w:rPr>
              <w:t xml:space="preserve">Under </w:t>
            </w:r>
            <w:r w:rsidR="00EC2EBB" w:rsidRPr="00A05D1E">
              <w:rPr>
                <w:rFonts w:cs="Calibri"/>
              </w:rPr>
              <w:t xml:space="preserve">the </w:t>
            </w:r>
            <w:r w:rsidRPr="00A05D1E">
              <w:rPr>
                <w:rFonts w:cs="Calibri"/>
              </w:rPr>
              <w:t xml:space="preserve">whole-of-government banking arrangements, </w:t>
            </w:r>
            <w:r w:rsidR="00EC2EBB" w:rsidRPr="00A05D1E">
              <w:rPr>
                <w:rFonts w:cs="Calibri"/>
              </w:rPr>
              <w:t xml:space="preserve">given the agency holds a Set-Off Bank account, </w:t>
            </w:r>
            <w:r w:rsidRPr="00A05D1E">
              <w:rPr>
                <w:rFonts w:cs="Calibri"/>
              </w:rPr>
              <w:t xml:space="preserve">interest is not earned on </w:t>
            </w:r>
            <w:r w:rsidR="00EC2EBB" w:rsidRPr="00A05D1E">
              <w:rPr>
                <w:rFonts w:cs="Calibri"/>
              </w:rPr>
              <w:t>‘</w:t>
            </w:r>
            <w:r w:rsidR="00EC2EBB" w:rsidRPr="00A05D1E">
              <w:t>Deposits Held at Call with a Financial Institution’</w:t>
            </w:r>
            <w:r w:rsidRPr="00A05D1E">
              <w:rPr>
                <w:rFonts w:cs="Calibri"/>
              </w:rPr>
              <w:t>.</w:t>
            </w:r>
          </w:p>
        </w:tc>
      </w:tr>
      <w:tr w:rsidR="005C5553" w:rsidRPr="00CF7E1B" w14:paraId="7D822708"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06E28EC9" w14:textId="77777777" w:rsidR="005C5553" w:rsidRPr="00A05D1E" w:rsidRDefault="005C5553" w:rsidP="00DA1174">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3C8C70AA" w14:textId="77777777" w:rsidR="005C5553" w:rsidRPr="00A05D1E" w:rsidRDefault="005C5553" w:rsidP="00DA1174">
            <w:pPr>
              <w:pStyle w:val="TableText"/>
              <w:tabs>
                <w:tab w:val="left" w:pos="3306"/>
              </w:tabs>
              <w:rPr>
                <w:rFonts w:cs="Calibri"/>
              </w:rPr>
            </w:pPr>
          </w:p>
        </w:tc>
        <w:tc>
          <w:tcPr>
            <w:tcW w:w="1276" w:type="dxa"/>
            <w:gridSpan w:val="2"/>
            <w:tcBorders>
              <w:top w:val="nil"/>
              <w:left w:val="nil"/>
              <w:bottom w:val="nil"/>
              <w:right w:val="nil"/>
            </w:tcBorders>
            <w:vAlign w:val="bottom"/>
          </w:tcPr>
          <w:p w14:paraId="72CAF3B6" w14:textId="0B337517" w:rsidR="005C5553" w:rsidRPr="00A05D1E" w:rsidRDefault="006C26C2" w:rsidP="005709FA">
            <w:pPr>
              <w:pStyle w:val="TableText"/>
              <w:jc w:val="right"/>
              <w:rPr>
                <w:rFonts w:cs="Calibri"/>
                <w:b/>
                <w:bCs/>
              </w:rPr>
            </w:pPr>
            <w:r w:rsidRPr="00A05D1E">
              <w:rPr>
                <w:rFonts w:cs="Calibri"/>
                <w:b/>
                <w:bCs/>
              </w:rPr>
              <w:t>2022</w:t>
            </w:r>
            <w:r w:rsidR="005C5553" w:rsidRPr="00A05D1E">
              <w:rPr>
                <w:rFonts w:cs="Calibri"/>
                <w:b/>
                <w:bCs/>
              </w:rPr>
              <w:t xml:space="preserve"> </w:t>
            </w:r>
          </w:p>
          <w:p w14:paraId="6EF471AB" w14:textId="77777777" w:rsidR="005C5553" w:rsidRPr="00A05D1E" w:rsidRDefault="005C5553" w:rsidP="005709FA">
            <w:pPr>
              <w:pStyle w:val="TableText"/>
              <w:jc w:val="right"/>
              <w:rPr>
                <w:rFonts w:cs="Calibri"/>
                <w:b/>
                <w:bCs/>
              </w:rPr>
            </w:pPr>
            <w:r w:rsidRPr="00A05D1E">
              <w:rPr>
                <w:rFonts w:cs="Calibri"/>
                <w:b/>
                <w:bCs/>
              </w:rPr>
              <w:t>$’000</w:t>
            </w:r>
          </w:p>
        </w:tc>
        <w:tc>
          <w:tcPr>
            <w:tcW w:w="1558" w:type="dxa"/>
            <w:gridSpan w:val="3"/>
            <w:tcBorders>
              <w:top w:val="nil"/>
              <w:left w:val="nil"/>
              <w:bottom w:val="nil"/>
              <w:right w:val="nil"/>
            </w:tcBorders>
            <w:vAlign w:val="bottom"/>
          </w:tcPr>
          <w:p w14:paraId="0CA2B03A" w14:textId="2CF75DCD" w:rsidR="00B03210" w:rsidRPr="0009580B" w:rsidRDefault="005709FA" w:rsidP="005709FA">
            <w:pPr>
              <w:pStyle w:val="TableText"/>
              <w:jc w:val="right"/>
              <w:rPr>
                <w:rFonts w:cs="Calibri"/>
                <w:b/>
                <w:bCs/>
              </w:rPr>
            </w:pPr>
            <w:r w:rsidRPr="00A05D1E">
              <w:rPr>
                <w:rFonts w:cs="Calibri"/>
                <w:b/>
                <w:bCs/>
              </w:rPr>
              <w:t>2021</w:t>
            </w:r>
          </w:p>
          <w:p w14:paraId="16E22A6C" w14:textId="0348763F" w:rsidR="005C5553" w:rsidRPr="00A05D1E" w:rsidRDefault="005C5553" w:rsidP="005709FA">
            <w:pPr>
              <w:pStyle w:val="TableText"/>
              <w:jc w:val="right"/>
              <w:rPr>
                <w:rFonts w:cs="Calibri"/>
                <w:b/>
                <w:bCs/>
              </w:rPr>
            </w:pPr>
            <w:r w:rsidRPr="00A05D1E">
              <w:rPr>
                <w:rFonts w:cs="Calibri"/>
                <w:b/>
                <w:bCs/>
              </w:rPr>
              <w:t>$’000</w:t>
            </w:r>
          </w:p>
        </w:tc>
      </w:tr>
      <w:tr w:rsidR="008B46D1" w:rsidRPr="00CF7E1B" w14:paraId="6CEC2F5D"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2C0F1265" w14:textId="77777777" w:rsidR="008B46D1" w:rsidRPr="00A05D1E" w:rsidRDefault="008B46D1" w:rsidP="00DA1174">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59417C7D" w14:textId="0DC317A8" w:rsidR="008B46D1" w:rsidRPr="00A05D1E" w:rsidRDefault="008B46D1" w:rsidP="008B46D1">
            <w:pPr>
              <w:pStyle w:val="TableText"/>
              <w:tabs>
                <w:tab w:val="left" w:pos="3306"/>
              </w:tabs>
              <w:spacing w:after="120"/>
              <w:rPr>
                <w:rFonts w:cs="Calibri"/>
              </w:rPr>
            </w:pPr>
            <w:r w:rsidRPr="00D6550C">
              <w:rPr>
                <w:rFonts w:cs="Calibri"/>
                <w:b/>
                <w:bCs/>
              </w:rPr>
              <w:t>(a) Cash and Investment Balances</w:t>
            </w:r>
          </w:p>
        </w:tc>
        <w:tc>
          <w:tcPr>
            <w:tcW w:w="1276" w:type="dxa"/>
            <w:gridSpan w:val="2"/>
            <w:tcBorders>
              <w:top w:val="nil"/>
              <w:left w:val="nil"/>
              <w:bottom w:val="nil"/>
              <w:right w:val="nil"/>
            </w:tcBorders>
            <w:vAlign w:val="bottom"/>
          </w:tcPr>
          <w:p w14:paraId="4051BDE9" w14:textId="77777777" w:rsidR="008B46D1" w:rsidRPr="00A05D1E" w:rsidRDefault="008B46D1" w:rsidP="005709FA">
            <w:pPr>
              <w:pStyle w:val="TableText"/>
              <w:jc w:val="right"/>
              <w:rPr>
                <w:rFonts w:cs="Calibri"/>
                <w:b/>
                <w:bCs/>
              </w:rPr>
            </w:pPr>
          </w:p>
        </w:tc>
        <w:tc>
          <w:tcPr>
            <w:tcW w:w="1558" w:type="dxa"/>
            <w:gridSpan w:val="3"/>
            <w:tcBorders>
              <w:top w:val="nil"/>
              <w:left w:val="nil"/>
              <w:bottom w:val="nil"/>
              <w:right w:val="nil"/>
            </w:tcBorders>
            <w:vAlign w:val="bottom"/>
          </w:tcPr>
          <w:p w14:paraId="1AEF646B" w14:textId="77777777" w:rsidR="008B46D1" w:rsidRPr="00A05D1E" w:rsidRDefault="008B46D1" w:rsidP="005709FA">
            <w:pPr>
              <w:pStyle w:val="TableText"/>
              <w:jc w:val="right"/>
              <w:rPr>
                <w:rFonts w:cs="Calibri"/>
                <w:b/>
                <w:bCs/>
              </w:rPr>
            </w:pPr>
          </w:p>
        </w:tc>
      </w:tr>
      <w:tr w:rsidR="00313BCC" w:rsidRPr="00CF7E1B" w14:paraId="2FDE05DD"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65291794" w14:textId="77777777" w:rsidR="00313BCC" w:rsidRPr="00A05D1E" w:rsidRDefault="00313BCC" w:rsidP="00DA1174">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747A8226" w14:textId="6FFC4B4C" w:rsidR="00313BCC" w:rsidRPr="00A05D1E" w:rsidRDefault="00313BCC" w:rsidP="00DA1174">
            <w:pPr>
              <w:pStyle w:val="TableText"/>
              <w:tabs>
                <w:tab w:val="left" w:pos="3306"/>
              </w:tabs>
              <w:rPr>
                <w:rFonts w:cs="Calibri"/>
              </w:rPr>
            </w:pPr>
            <w:r w:rsidRPr="00A05D1E">
              <w:rPr>
                <w:rFonts w:cs="Calibri"/>
                <w:b/>
                <w:bCs/>
              </w:rPr>
              <w:t>Cash and Investme</w:t>
            </w:r>
            <w:r w:rsidR="008D3C9F" w:rsidRPr="00A05D1E">
              <w:rPr>
                <w:rFonts w:cs="Calibri"/>
                <w:b/>
                <w:bCs/>
              </w:rPr>
              <w:t>n</w:t>
            </w:r>
            <w:r w:rsidRPr="00A05D1E">
              <w:rPr>
                <w:rFonts w:cs="Calibri"/>
                <w:b/>
                <w:bCs/>
              </w:rPr>
              <w:t>ts</w:t>
            </w:r>
          </w:p>
        </w:tc>
        <w:tc>
          <w:tcPr>
            <w:tcW w:w="1276" w:type="dxa"/>
            <w:gridSpan w:val="2"/>
            <w:tcBorders>
              <w:top w:val="nil"/>
              <w:left w:val="nil"/>
              <w:bottom w:val="nil"/>
              <w:right w:val="nil"/>
            </w:tcBorders>
            <w:vAlign w:val="bottom"/>
          </w:tcPr>
          <w:p w14:paraId="1ADFCF89" w14:textId="77777777" w:rsidR="00313BCC" w:rsidRPr="00A05D1E" w:rsidRDefault="00313BCC" w:rsidP="005709FA">
            <w:pPr>
              <w:pStyle w:val="TableText"/>
              <w:jc w:val="right"/>
              <w:rPr>
                <w:rFonts w:cs="Calibri"/>
                <w:b/>
                <w:bCs/>
              </w:rPr>
            </w:pPr>
          </w:p>
        </w:tc>
        <w:tc>
          <w:tcPr>
            <w:tcW w:w="1558" w:type="dxa"/>
            <w:gridSpan w:val="3"/>
            <w:tcBorders>
              <w:top w:val="nil"/>
              <w:left w:val="nil"/>
              <w:bottom w:val="nil"/>
              <w:right w:val="nil"/>
            </w:tcBorders>
            <w:vAlign w:val="bottom"/>
          </w:tcPr>
          <w:p w14:paraId="17298B9F" w14:textId="77777777" w:rsidR="00313BCC" w:rsidRPr="00A05D1E" w:rsidRDefault="00313BCC" w:rsidP="005709FA">
            <w:pPr>
              <w:pStyle w:val="TableText"/>
              <w:jc w:val="right"/>
              <w:rPr>
                <w:rFonts w:cs="Calibri"/>
                <w:b/>
                <w:bCs/>
              </w:rPr>
            </w:pPr>
          </w:p>
        </w:tc>
      </w:tr>
      <w:tr w:rsidR="00313BCC" w:rsidRPr="00CF7E1B" w14:paraId="6B13C83C"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20EFA08B" w14:textId="77777777" w:rsidR="00313BCC" w:rsidRPr="00A05D1E" w:rsidRDefault="00313BCC" w:rsidP="00DA1174">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23EEACB2" w14:textId="06E56A52" w:rsidR="00313BCC" w:rsidRPr="00A05D1E" w:rsidRDefault="00313BCC" w:rsidP="00DA1174">
            <w:pPr>
              <w:pStyle w:val="TableText"/>
              <w:tabs>
                <w:tab w:val="left" w:pos="3306"/>
              </w:tabs>
              <w:rPr>
                <w:rFonts w:cs="Calibri"/>
                <w:b/>
                <w:bCs/>
              </w:rPr>
            </w:pPr>
            <w:r w:rsidRPr="00A05D1E">
              <w:rPr>
                <w:rFonts w:cs="Calibri"/>
                <w:b/>
                <w:bCs/>
              </w:rPr>
              <w:t>Cash and Cash Equivalents</w:t>
            </w:r>
          </w:p>
        </w:tc>
        <w:tc>
          <w:tcPr>
            <w:tcW w:w="1276" w:type="dxa"/>
            <w:gridSpan w:val="2"/>
            <w:tcBorders>
              <w:top w:val="nil"/>
              <w:left w:val="nil"/>
              <w:bottom w:val="nil"/>
              <w:right w:val="nil"/>
            </w:tcBorders>
            <w:vAlign w:val="bottom"/>
          </w:tcPr>
          <w:p w14:paraId="1663E4FC" w14:textId="77777777" w:rsidR="00313BCC" w:rsidRPr="00A05D1E" w:rsidRDefault="00313BCC" w:rsidP="005709FA">
            <w:pPr>
              <w:pStyle w:val="TableText"/>
              <w:jc w:val="right"/>
              <w:rPr>
                <w:rFonts w:cs="Calibri"/>
                <w:b/>
                <w:bCs/>
              </w:rPr>
            </w:pPr>
          </w:p>
        </w:tc>
        <w:tc>
          <w:tcPr>
            <w:tcW w:w="1558" w:type="dxa"/>
            <w:gridSpan w:val="3"/>
            <w:tcBorders>
              <w:top w:val="nil"/>
              <w:left w:val="nil"/>
              <w:bottom w:val="nil"/>
              <w:right w:val="nil"/>
            </w:tcBorders>
            <w:vAlign w:val="bottom"/>
          </w:tcPr>
          <w:p w14:paraId="1154537E" w14:textId="77777777" w:rsidR="00313BCC" w:rsidRPr="00A05D1E" w:rsidRDefault="00313BCC" w:rsidP="005709FA">
            <w:pPr>
              <w:pStyle w:val="TableText"/>
              <w:jc w:val="right"/>
              <w:rPr>
                <w:rFonts w:cs="Calibri"/>
                <w:b/>
                <w:bCs/>
              </w:rPr>
            </w:pPr>
          </w:p>
        </w:tc>
      </w:tr>
      <w:tr w:rsidR="005C5553" w:rsidRPr="00CF7E1B" w14:paraId="133003CD"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052047C9" w14:textId="77777777" w:rsidR="005C5553" w:rsidRPr="00A05D1E" w:rsidRDefault="005C5553" w:rsidP="00863311">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426E9075" w14:textId="77777777" w:rsidR="005C5553" w:rsidRPr="00A05D1E" w:rsidRDefault="005C5553" w:rsidP="00863311">
            <w:pPr>
              <w:pStyle w:val="TableText"/>
              <w:tabs>
                <w:tab w:val="left" w:pos="3306"/>
              </w:tabs>
              <w:rPr>
                <w:rFonts w:cs="Calibri"/>
              </w:rPr>
            </w:pPr>
            <w:r w:rsidRPr="00A05D1E">
              <w:rPr>
                <w:rFonts w:cs="Calibri"/>
              </w:rPr>
              <w:t>Cash on Hand</w:t>
            </w:r>
          </w:p>
        </w:tc>
        <w:tc>
          <w:tcPr>
            <w:tcW w:w="1276" w:type="dxa"/>
            <w:gridSpan w:val="2"/>
            <w:tcBorders>
              <w:top w:val="nil"/>
              <w:left w:val="nil"/>
              <w:bottom w:val="nil"/>
              <w:right w:val="nil"/>
            </w:tcBorders>
            <w:vAlign w:val="bottom"/>
          </w:tcPr>
          <w:p w14:paraId="26A8B950" w14:textId="4D8DDEEB" w:rsidR="005C5553" w:rsidRPr="00A05D1E" w:rsidRDefault="005C5553" w:rsidP="00863311">
            <w:pPr>
              <w:pStyle w:val="TableText"/>
              <w:tabs>
                <w:tab w:val="left" w:pos="3306"/>
              </w:tabs>
              <w:jc w:val="right"/>
              <w:rPr>
                <w:rFonts w:cs="Calibri"/>
              </w:rPr>
            </w:pPr>
          </w:p>
        </w:tc>
        <w:tc>
          <w:tcPr>
            <w:tcW w:w="1558" w:type="dxa"/>
            <w:gridSpan w:val="3"/>
            <w:tcBorders>
              <w:top w:val="nil"/>
              <w:left w:val="nil"/>
              <w:bottom w:val="nil"/>
              <w:right w:val="nil"/>
            </w:tcBorders>
            <w:vAlign w:val="bottom"/>
          </w:tcPr>
          <w:p w14:paraId="31D9FF9D" w14:textId="7C25B496" w:rsidR="005C5553" w:rsidRPr="00A05D1E" w:rsidRDefault="005C5553" w:rsidP="00863311">
            <w:pPr>
              <w:pStyle w:val="TableText"/>
              <w:tabs>
                <w:tab w:val="left" w:pos="3306"/>
              </w:tabs>
              <w:jc w:val="right"/>
              <w:rPr>
                <w:rFonts w:cs="Calibri"/>
              </w:rPr>
            </w:pPr>
          </w:p>
        </w:tc>
      </w:tr>
      <w:tr w:rsidR="005C5553" w:rsidRPr="00CF7E1B" w14:paraId="1D81C87A"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340E9A2D" w14:textId="77777777" w:rsidR="005C5553" w:rsidRPr="00A05D1E" w:rsidRDefault="005C5553" w:rsidP="00863311">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2F3D8DDC" w14:textId="719D9C83" w:rsidR="005C5553" w:rsidRPr="00A05D1E" w:rsidRDefault="005C162A" w:rsidP="00863311">
            <w:pPr>
              <w:pStyle w:val="TableText"/>
              <w:tabs>
                <w:tab w:val="left" w:pos="3306"/>
              </w:tabs>
              <w:rPr>
                <w:rFonts w:cs="Calibri"/>
                <w:strike/>
              </w:rPr>
            </w:pPr>
            <w:r w:rsidRPr="00A05D1E">
              <w:t>Deposits Held at Call with a Financial Institution</w:t>
            </w:r>
          </w:p>
        </w:tc>
        <w:tc>
          <w:tcPr>
            <w:tcW w:w="1276" w:type="dxa"/>
            <w:gridSpan w:val="2"/>
            <w:tcBorders>
              <w:top w:val="nil"/>
              <w:left w:val="nil"/>
              <w:bottom w:val="single" w:sz="2" w:space="0" w:color="auto"/>
              <w:right w:val="nil"/>
            </w:tcBorders>
            <w:vAlign w:val="bottom"/>
          </w:tcPr>
          <w:p w14:paraId="6777FEC5" w14:textId="6348CE0B" w:rsidR="005C5553" w:rsidRPr="00A05D1E" w:rsidRDefault="005C5553" w:rsidP="00863311">
            <w:pPr>
              <w:pStyle w:val="TableText"/>
              <w:tabs>
                <w:tab w:val="left" w:pos="3306"/>
              </w:tabs>
              <w:jc w:val="right"/>
              <w:rPr>
                <w:rFonts w:cs="Calibri"/>
              </w:rPr>
            </w:pPr>
          </w:p>
        </w:tc>
        <w:tc>
          <w:tcPr>
            <w:tcW w:w="1558" w:type="dxa"/>
            <w:gridSpan w:val="3"/>
            <w:tcBorders>
              <w:top w:val="nil"/>
              <w:left w:val="nil"/>
              <w:bottom w:val="single" w:sz="2" w:space="0" w:color="auto"/>
              <w:right w:val="nil"/>
            </w:tcBorders>
            <w:vAlign w:val="bottom"/>
          </w:tcPr>
          <w:p w14:paraId="0175C135" w14:textId="56ADC419" w:rsidR="005C5553" w:rsidRPr="00A05D1E" w:rsidRDefault="005C5553" w:rsidP="00863311">
            <w:pPr>
              <w:pStyle w:val="TableText"/>
              <w:tabs>
                <w:tab w:val="left" w:pos="3306"/>
              </w:tabs>
              <w:jc w:val="right"/>
              <w:rPr>
                <w:rFonts w:cs="Calibri"/>
              </w:rPr>
            </w:pPr>
          </w:p>
        </w:tc>
      </w:tr>
      <w:tr w:rsidR="005C5553" w:rsidRPr="00CF7E1B" w14:paraId="4F0FCFE5"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16F4A8F8" w14:textId="77777777" w:rsidR="005C5553" w:rsidRPr="00A05D1E" w:rsidRDefault="005C5553" w:rsidP="00863311">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4302FD5C" w14:textId="77777777" w:rsidR="005C5553" w:rsidRPr="00A05D1E" w:rsidRDefault="005C5553" w:rsidP="00863311">
            <w:pPr>
              <w:pStyle w:val="TableText"/>
              <w:tabs>
                <w:tab w:val="left" w:pos="3306"/>
              </w:tabs>
              <w:rPr>
                <w:rFonts w:cs="Calibri"/>
                <w:b/>
                <w:bCs/>
              </w:rPr>
            </w:pPr>
            <w:r w:rsidRPr="00A05D1E">
              <w:rPr>
                <w:rFonts w:cs="Calibri"/>
                <w:b/>
                <w:bCs/>
              </w:rPr>
              <w:t>Total Cash and Cash Equivalents</w:t>
            </w:r>
          </w:p>
        </w:tc>
        <w:tc>
          <w:tcPr>
            <w:tcW w:w="1276" w:type="dxa"/>
            <w:gridSpan w:val="2"/>
            <w:tcBorders>
              <w:top w:val="single" w:sz="2" w:space="0" w:color="auto"/>
              <w:left w:val="nil"/>
              <w:bottom w:val="single" w:sz="2" w:space="0" w:color="auto"/>
              <w:right w:val="nil"/>
            </w:tcBorders>
            <w:vAlign w:val="bottom"/>
          </w:tcPr>
          <w:p w14:paraId="64BE8AA6" w14:textId="7F7BE287" w:rsidR="005C5553" w:rsidRPr="00A05D1E" w:rsidRDefault="005C5553" w:rsidP="00863311">
            <w:pPr>
              <w:pStyle w:val="TableText"/>
              <w:tabs>
                <w:tab w:val="left" w:pos="3306"/>
              </w:tabs>
              <w:jc w:val="right"/>
              <w:rPr>
                <w:rFonts w:cs="Calibri"/>
                <w:b/>
                <w:bCs/>
              </w:rPr>
            </w:pPr>
          </w:p>
        </w:tc>
        <w:tc>
          <w:tcPr>
            <w:tcW w:w="1558" w:type="dxa"/>
            <w:gridSpan w:val="3"/>
            <w:tcBorders>
              <w:top w:val="single" w:sz="2" w:space="0" w:color="auto"/>
              <w:left w:val="nil"/>
              <w:bottom w:val="single" w:sz="2" w:space="0" w:color="auto"/>
              <w:right w:val="nil"/>
            </w:tcBorders>
            <w:vAlign w:val="bottom"/>
          </w:tcPr>
          <w:p w14:paraId="7CD9EAC0" w14:textId="7B156977" w:rsidR="005C5553" w:rsidRPr="00A05D1E" w:rsidRDefault="005C5553" w:rsidP="00863311">
            <w:pPr>
              <w:pStyle w:val="TableText"/>
              <w:tabs>
                <w:tab w:val="left" w:pos="3306"/>
              </w:tabs>
              <w:jc w:val="right"/>
              <w:rPr>
                <w:rFonts w:cs="Calibri"/>
                <w:b/>
                <w:bCs/>
              </w:rPr>
            </w:pPr>
          </w:p>
        </w:tc>
      </w:tr>
      <w:tr w:rsidR="00313BCC" w:rsidRPr="00CF7E1B" w14:paraId="1B3CCE50" w14:textId="77777777" w:rsidTr="00D919F2">
        <w:trPr>
          <w:gridAfter w:val="1"/>
          <w:wAfter w:w="53" w:type="dxa"/>
          <w:cantSplit/>
          <w:trHeight w:val="23"/>
        </w:trPr>
        <w:tc>
          <w:tcPr>
            <w:tcW w:w="1564" w:type="dxa"/>
            <w:tcBorders>
              <w:top w:val="nil"/>
              <w:left w:val="single" w:sz="2" w:space="0" w:color="auto"/>
              <w:bottom w:val="nil"/>
              <w:right w:val="single" w:sz="2" w:space="0" w:color="auto"/>
            </w:tcBorders>
          </w:tcPr>
          <w:p w14:paraId="17A4DB07" w14:textId="77777777" w:rsidR="00313BCC" w:rsidRPr="00A05D1E" w:rsidRDefault="00313BCC" w:rsidP="00863311">
            <w:pPr>
              <w:pStyle w:val="TableReference"/>
              <w:tabs>
                <w:tab w:val="left" w:pos="3306"/>
              </w:tabs>
              <w:spacing w:before="40"/>
              <w:rPr>
                <w:rFonts w:cs="Calibri"/>
                <w:color w:val="7030A0"/>
                <w:sz w:val="16"/>
                <w:szCs w:val="16"/>
              </w:rPr>
            </w:pPr>
          </w:p>
        </w:tc>
        <w:tc>
          <w:tcPr>
            <w:tcW w:w="6091" w:type="dxa"/>
            <w:tcBorders>
              <w:top w:val="nil"/>
              <w:left w:val="single" w:sz="2" w:space="0" w:color="auto"/>
              <w:bottom w:val="nil"/>
              <w:right w:val="nil"/>
            </w:tcBorders>
            <w:vAlign w:val="bottom"/>
          </w:tcPr>
          <w:p w14:paraId="2A7354CA" w14:textId="719FDDA1" w:rsidR="00313BCC" w:rsidRPr="00A05D1E" w:rsidRDefault="00313BCC" w:rsidP="00863311">
            <w:pPr>
              <w:pStyle w:val="TableText"/>
              <w:tabs>
                <w:tab w:val="left" w:pos="3306"/>
              </w:tabs>
              <w:rPr>
                <w:rFonts w:cs="Calibri"/>
                <w:b/>
                <w:bCs/>
              </w:rPr>
            </w:pPr>
            <w:r w:rsidRPr="00A05D1E">
              <w:rPr>
                <w:rFonts w:cs="Calibri"/>
                <w:b/>
                <w:bCs/>
              </w:rPr>
              <w:t>Total Cash and Investme</w:t>
            </w:r>
            <w:r w:rsidR="006246E6" w:rsidRPr="00A05D1E">
              <w:rPr>
                <w:rFonts w:cs="Calibri"/>
                <w:b/>
                <w:bCs/>
              </w:rPr>
              <w:t>nt</w:t>
            </w:r>
            <w:r w:rsidRPr="00A05D1E">
              <w:rPr>
                <w:rFonts w:cs="Calibri"/>
                <w:b/>
                <w:bCs/>
              </w:rPr>
              <w:t>s</w:t>
            </w:r>
          </w:p>
        </w:tc>
        <w:tc>
          <w:tcPr>
            <w:tcW w:w="1276" w:type="dxa"/>
            <w:gridSpan w:val="2"/>
            <w:tcBorders>
              <w:top w:val="single" w:sz="2" w:space="0" w:color="auto"/>
              <w:left w:val="nil"/>
              <w:bottom w:val="nil"/>
              <w:right w:val="nil"/>
            </w:tcBorders>
            <w:vAlign w:val="bottom"/>
          </w:tcPr>
          <w:p w14:paraId="25889A88" w14:textId="77777777" w:rsidR="00313BCC" w:rsidRPr="00A05D1E" w:rsidRDefault="00313BCC" w:rsidP="00863311">
            <w:pPr>
              <w:pStyle w:val="TableText"/>
              <w:tabs>
                <w:tab w:val="left" w:pos="3306"/>
              </w:tabs>
              <w:jc w:val="right"/>
              <w:rPr>
                <w:rFonts w:cs="Calibri"/>
              </w:rPr>
            </w:pPr>
          </w:p>
        </w:tc>
        <w:tc>
          <w:tcPr>
            <w:tcW w:w="1558" w:type="dxa"/>
            <w:gridSpan w:val="3"/>
            <w:tcBorders>
              <w:top w:val="single" w:sz="2" w:space="0" w:color="auto"/>
              <w:left w:val="nil"/>
              <w:bottom w:val="nil"/>
              <w:right w:val="nil"/>
            </w:tcBorders>
            <w:vAlign w:val="bottom"/>
          </w:tcPr>
          <w:p w14:paraId="049D2262" w14:textId="77777777" w:rsidR="00313BCC" w:rsidRPr="00A05D1E" w:rsidRDefault="00313BCC" w:rsidP="00863311">
            <w:pPr>
              <w:pStyle w:val="TableText"/>
              <w:tabs>
                <w:tab w:val="left" w:pos="3306"/>
              </w:tabs>
              <w:jc w:val="right"/>
              <w:rPr>
                <w:rFonts w:cs="Calibri"/>
              </w:rPr>
            </w:pPr>
          </w:p>
        </w:tc>
      </w:tr>
      <w:tr w:rsidR="008B46D1" w:rsidRPr="00600805" w14:paraId="494E05C8" w14:textId="77777777" w:rsidTr="00D919F2">
        <w:trPr>
          <w:cantSplit/>
          <w:trHeight w:val="23"/>
        </w:trPr>
        <w:tc>
          <w:tcPr>
            <w:tcW w:w="1564" w:type="dxa"/>
            <w:tcBorders>
              <w:top w:val="nil"/>
              <w:left w:val="single" w:sz="2" w:space="0" w:color="auto"/>
              <w:bottom w:val="nil"/>
              <w:right w:val="single" w:sz="2" w:space="0" w:color="auto"/>
            </w:tcBorders>
          </w:tcPr>
          <w:p w14:paraId="6260FBAA" w14:textId="77777777" w:rsidR="008B46D1" w:rsidRPr="004D4028" w:rsidRDefault="008B46D1" w:rsidP="009A0F2F">
            <w:pPr>
              <w:pStyle w:val="TableReference"/>
              <w:tabs>
                <w:tab w:val="left" w:pos="3306"/>
              </w:tabs>
              <w:rPr>
                <w:rFonts w:cs="Calibri"/>
                <w:b/>
                <w:color w:val="auto"/>
                <w:sz w:val="14"/>
              </w:rPr>
            </w:pPr>
          </w:p>
        </w:tc>
        <w:tc>
          <w:tcPr>
            <w:tcW w:w="8978" w:type="dxa"/>
            <w:gridSpan w:val="7"/>
            <w:tcBorders>
              <w:top w:val="nil"/>
              <w:left w:val="single" w:sz="2" w:space="0" w:color="auto"/>
              <w:bottom w:val="nil"/>
              <w:right w:val="nil"/>
            </w:tcBorders>
            <w:vAlign w:val="bottom"/>
          </w:tcPr>
          <w:p w14:paraId="3DA3A06B" w14:textId="77777777" w:rsidR="008B46D1" w:rsidRPr="00600805" w:rsidRDefault="008B46D1" w:rsidP="009A0F2F">
            <w:pPr>
              <w:pStyle w:val="Heading1"/>
              <w:numPr>
                <w:ilvl w:val="0"/>
                <w:numId w:val="0"/>
              </w:numPr>
              <w:spacing w:before="0" w:after="0"/>
              <w:rPr>
                <w:color w:val="000000"/>
              </w:rPr>
            </w:pPr>
          </w:p>
        </w:tc>
      </w:tr>
      <w:tr w:rsidR="008B46D1" w:rsidRPr="007D13DF" w14:paraId="020C5179" w14:textId="77777777" w:rsidTr="00D919F2">
        <w:trPr>
          <w:cantSplit/>
          <w:trHeight w:val="23"/>
        </w:trPr>
        <w:tc>
          <w:tcPr>
            <w:tcW w:w="1564" w:type="dxa"/>
            <w:tcBorders>
              <w:top w:val="nil"/>
              <w:left w:val="single" w:sz="2" w:space="0" w:color="auto"/>
              <w:bottom w:val="nil"/>
              <w:right w:val="single" w:sz="2" w:space="0" w:color="auto"/>
            </w:tcBorders>
          </w:tcPr>
          <w:p w14:paraId="5140AC7C"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7"/>
            <w:tcBorders>
              <w:top w:val="nil"/>
              <w:left w:val="single" w:sz="2" w:space="0" w:color="auto"/>
              <w:bottom w:val="nil"/>
              <w:right w:val="nil"/>
            </w:tcBorders>
            <w:vAlign w:val="bottom"/>
          </w:tcPr>
          <w:p w14:paraId="3926014A" w14:textId="7A483E85" w:rsidR="008B46D1" w:rsidRPr="008B46D1" w:rsidRDefault="008B46D1" w:rsidP="009A0F2F">
            <w:pPr>
              <w:pStyle w:val="TableText"/>
              <w:tabs>
                <w:tab w:val="left" w:pos="3306"/>
              </w:tabs>
              <w:spacing w:after="120"/>
              <w:ind w:left="261" w:hanging="261"/>
              <w:jc w:val="both"/>
              <w:rPr>
                <w:b/>
              </w:rPr>
            </w:pPr>
            <w:r w:rsidRPr="008B46D1">
              <w:rPr>
                <w:rFonts w:cs="Calibri"/>
                <w:b/>
              </w:rPr>
              <w:t>(b)</w:t>
            </w:r>
            <w:r w:rsidRPr="008B46D1">
              <w:rPr>
                <w:rFonts w:cs="Calibri"/>
                <w:b/>
              </w:rPr>
              <w:tab/>
              <w:t>Reconciliation of Cash and Cash Equivalents at the end of the Reporting Period in the Statement of Cash Flows on Behalf of the Territory to the Related Items in the Statement of Assets and Liabilities on Behalf of the Territory</w:t>
            </w:r>
          </w:p>
        </w:tc>
      </w:tr>
      <w:tr w:rsidR="008B46D1" w:rsidRPr="007D13DF" w14:paraId="5AC6A6AA" w14:textId="77777777" w:rsidTr="00D919F2">
        <w:trPr>
          <w:cantSplit/>
          <w:trHeight w:val="23"/>
        </w:trPr>
        <w:tc>
          <w:tcPr>
            <w:tcW w:w="1564" w:type="dxa"/>
            <w:tcBorders>
              <w:top w:val="nil"/>
              <w:left w:val="single" w:sz="2" w:space="0" w:color="auto"/>
              <w:bottom w:val="nil"/>
              <w:right w:val="single" w:sz="2" w:space="0" w:color="auto"/>
            </w:tcBorders>
          </w:tcPr>
          <w:p w14:paraId="5E53C948" w14:textId="77777777" w:rsidR="008B46D1" w:rsidRPr="004D4028" w:rsidRDefault="008B46D1" w:rsidP="008B46D1">
            <w:pPr>
              <w:pStyle w:val="TableReference"/>
              <w:tabs>
                <w:tab w:val="left" w:pos="3306"/>
              </w:tabs>
              <w:spacing w:before="40"/>
              <w:rPr>
                <w:rFonts w:cs="Calibri"/>
                <w:color w:val="auto"/>
                <w:sz w:val="14"/>
              </w:rPr>
            </w:pPr>
          </w:p>
        </w:tc>
        <w:tc>
          <w:tcPr>
            <w:tcW w:w="8978" w:type="dxa"/>
            <w:gridSpan w:val="7"/>
            <w:tcBorders>
              <w:top w:val="nil"/>
              <w:left w:val="single" w:sz="2" w:space="0" w:color="auto"/>
              <w:bottom w:val="nil"/>
              <w:right w:val="nil"/>
            </w:tcBorders>
            <w:vAlign w:val="bottom"/>
          </w:tcPr>
          <w:p w14:paraId="4F5DC11F" w14:textId="77777777" w:rsidR="008B46D1" w:rsidRPr="008B46D1" w:rsidRDefault="008B46D1" w:rsidP="008B46D1">
            <w:pPr>
              <w:pStyle w:val="TableText"/>
              <w:tabs>
                <w:tab w:val="left" w:pos="3306"/>
              </w:tabs>
              <w:ind w:left="261" w:hanging="261"/>
              <w:jc w:val="both"/>
              <w:rPr>
                <w:rFonts w:cs="Calibri"/>
                <w:b/>
              </w:rPr>
            </w:pPr>
          </w:p>
        </w:tc>
      </w:tr>
      <w:tr w:rsidR="008B46D1" w:rsidRPr="00D828C2" w14:paraId="5363EB39" w14:textId="77777777" w:rsidTr="00D919F2">
        <w:trPr>
          <w:cantSplit/>
          <w:trHeight w:val="23"/>
        </w:trPr>
        <w:tc>
          <w:tcPr>
            <w:tcW w:w="1564" w:type="dxa"/>
            <w:tcBorders>
              <w:top w:val="nil"/>
              <w:left w:val="single" w:sz="2" w:space="0" w:color="auto"/>
              <w:bottom w:val="nil"/>
              <w:right w:val="single" w:sz="2" w:space="0" w:color="auto"/>
            </w:tcBorders>
          </w:tcPr>
          <w:p w14:paraId="08BD25B5"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5B5C394A" w14:textId="77777777" w:rsidR="008B46D1" w:rsidRPr="008B46D1" w:rsidRDefault="008B46D1" w:rsidP="009A0F2F">
            <w:pPr>
              <w:pStyle w:val="TableText"/>
              <w:tabs>
                <w:tab w:val="left" w:pos="3306"/>
              </w:tabs>
              <w:rPr>
                <w:rFonts w:cs="Calibri"/>
              </w:rPr>
            </w:pPr>
            <w:r w:rsidRPr="008B46D1">
              <w:rPr>
                <w:rFonts w:cs="Calibri"/>
              </w:rPr>
              <w:t>Total Cash and Cash Equivalents Recorded in the Statement of Assets and Liabilities on Behalf of the Territory</w:t>
            </w:r>
          </w:p>
        </w:tc>
        <w:tc>
          <w:tcPr>
            <w:tcW w:w="1304" w:type="dxa"/>
            <w:gridSpan w:val="2"/>
            <w:tcBorders>
              <w:top w:val="nil"/>
              <w:left w:val="nil"/>
              <w:bottom w:val="nil"/>
              <w:right w:val="nil"/>
            </w:tcBorders>
            <w:vAlign w:val="bottom"/>
          </w:tcPr>
          <w:p w14:paraId="7C0EAFFC" w14:textId="77777777" w:rsidR="008B46D1" w:rsidRPr="008B46D1" w:rsidRDefault="008B46D1" w:rsidP="009A0F2F">
            <w:pPr>
              <w:pStyle w:val="TableText"/>
              <w:tabs>
                <w:tab w:val="left" w:pos="3306"/>
              </w:tabs>
              <w:jc w:val="right"/>
              <w:rPr>
                <w:rFonts w:cs="Calibri"/>
              </w:rPr>
            </w:pPr>
          </w:p>
        </w:tc>
        <w:tc>
          <w:tcPr>
            <w:tcW w:w="1567" w:type="dxa"/>
            <w:gridSpan w:val="3"/>
            <w:tcBorders>
              <w:top w:val="nil"/>
              <w:left w:val="nil"/>
              <w:bottom w:val="nil"/>
              <w:right w:val="nil"/>
            </w:tcBorders>
            <w:vAlign w:val="bottom"/>
          </w:tcPr>
          <w:p w14:paraId="5A824A29" w14:textId="77777777" w:rsidR="008B46D1" w:rsidRPr="008B46D1" w:rsidRDefault="008B46D1" w:rsidP="009A0F2F">
            <w:pPr>
              <w:pStyle w:val="TableText"/>
              <w:tabs>
                <w:tab w:val="left" w:pos="3306"/>
              </w:tabs>
              <w:jc w:val="right"/>
              <w:rPr>
                <w:rFonts w:cs="Calibri"/>
              </w:rPr>
            </w:pPr>
          </w:p>
        </w:tc>
      </w:tr>
      <w:tr w:rsidR="008B46D1" w:rsidRPr="00D828C2" w14:paraId="7D91A9F3" w14:textId="77777777" w:rsidTr="00D919F2">
        <w:trPr>
          <w:cantSplit/>
          <w:trHeight w:val="23"/>
        </w:trPr>
        <w:tc>
          <w:tcPr>
            <w:tcW w:w="1564" w:type="dxa"/>
            <w:tcBorders>
              <w:top w:val="nil"/>
              <w:left w:val="single" w:sz="2" w:space="0" w:color="auto"/>
              <w:bottom w:val="nil"/>
              <w:right w:val="single" w:sz="2" w:space="0" w:color="auto"/>
            </w:tcBorders>
          </w:tcPr>
          <w:p w14:paraId="3B43CBDD"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32F0B52D" w14:textId="77777777" w:rsidR="008B46D1" w:rsidRPr="008B46D1" w:rsidRDefault="008B46D1" w:rsidP="009A0F2F">
            <w:pPr>
              <w:pStyle w:val="TableText"/>
              <w:tabs>
                <w:tab w:val="left" w:pos="3306"/>
              </w:tabs>
              <w:rPr>
                <w:rFonts w:cs="Calibri"/>
              </w:rPr>
            </w:pPr>
            <w:r w:rsidRPr="008B46D1">
              <w:rPr>
                <w:rFonts w:cs="Calibri"/>
              </w:rPr>
              <w:t>Bank Overdraft</w:t>
            </w:r>
          </w:p>
        </w:tc>
        <w:tc>
          <w:tcPr>
            <w:tcW w:w="1304" w:type="dxa"/>
            <w:gridSpan w:val="2"/>
            <w:tcBorders>
              <w:top w:val="nil"/>
              <w:left w:val="nil"/>
              <w:bottom w:val="single" w:sz="2" w:space="0" w:color="auto"/>
              <w:right w:val="nil"/>
            </w:tcBorders>
            <w:vAlign w:val="bottom"/>
          </w:tcPr>
          <w:p w14:paraId="57635BA9" w14:textId="77777777" w:rsidR="008B46D1" w:rsidRPr="008B46D1" w:rsidRDefault="008B46D1" w:rsidP="009A0F2F">
            <w:pPr>
              <w:pStyle w:val="TableText"/>
              <w:tabs>
                <w:tab w:val="left" w:pos="3306"/>
              </w:tabs>
              <w:jc w:val="right"/>
              <w:rPr>
                <w:rFonts w:cs="Calibri"/>
              </w:rPr>
            </w:pPr>
          </w:p>
        </w:tc>
        <w:tc>
          <w:tcPr>
            <w:tcW w:w="1567" w:type="dxa"/>
            <w:gridSpan w:val="3"/>
            <w:tcBorders>
              <w:top w:val="nil"/>
              <w:left w:val="nil"/>
              <w:bottom w:val="single" w:sz="2" w:space="0" w:color="auto"/>
              <w:right w:val="nil"/>
            </w:tcBorders>
            <w:vAlign w:val="bottom"/>
          </w:tcPr>
          <w:p w14:paraId="19C033D8" w14:textId="77777777" w:rsidR="008B46D1" w:rsidRPr="008B46D1" w:rsidRDefault="008B46D1" w:rsidP="009A0F2F">
            <w:pPr>
              <w:pStyle w:val="TableText"/>
              <w:tabs>
                <w:tab w:val="left" w:pos="3306"/>
              </w:tabs>
              <w:jc w:val="right"/>
              <w:rPr>
                <w:rFonts w:cs="Calibri"/>
              </w:rPr>
            </w:pPr>
          </w:p>
        </w:tc>
      </w:tr>
      <w:tr w:rsidR="008B46D1" w:rsidRPr="00D828C2" w14:paraId="25EDE903" w14:textId="77777777" w:rsidTr="00D919F2">
        <w:trPr>
          <w:cantSplit/>
          <w:trHeight w:val="23"/>
        </w:trPr>
        <w:tc>
          <w:tcPr>
            <w:tcW w:w="1564" w:type="dxa"/>
            <w:tcBorders>
              <w:top w:val="nil"/>
              <w:left w:val="single" w:sz="2" w:space="0" w:color="auto"/>
              <w:bottom w:val="nil"/>
              <w:right w:val="single" w:sz="2" w:space="0" w:color="auto"/>
            </w:tcBorders>
          </w:tcPr>
          <w:p w14:paraId="5831D03A"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0A0E3224" w14:textId="77777777" w:rsidR="008B46D1" w:rsidRPr="008B46D1" w:rsidRDefault="008B46D1" w:rsidP="009A0F2F">
            <w:pPr>
              <w:pStyle w:val="TableText"/>
              <w:tabs>
                <w:tab w:val="left" w:pos="3306"/>
              </w:tabs>
              <w:rPr>
                <w:rFonts w:cs="Calibri"/>
                <w:b/>
                <w:bCs/>
              </w:rPr>
            </w:pPr>
            <w:r w:rsidRPr="008B46D1">
              <w:rPr>
                <w:rFonts w:cs="Calibri"/>
                <w:b/>
                <w:bCs/>
              </w:rPr>
              <w:t xml:space="preserve">Cash and Cash Equivalents at the End of the Reporting Period as Recorded in the </w:t>
            </w:r>
            <w:r w:rsidRPr="008B46D1">
              <w:rPr>
                <w:rFonts w:cs="Calibri"/>
                <w:b/>
              </w:rPr>
              <w:t>Statement of Cash Flows</w:t>
            </w:r>
            <w:r w:rsidRPr="008B46D1">
              <w:rPr>
                <w:rFonts w:cs="Calibri"/>
              </w:rPr>
              <w:t xml:space="preserve"> </w:t>
            </w:r>
            <w:r w:rsidRPr="008B46D1">
              <w:rPr>
                <w:rFonts w:cs="Calibri"/>
                <w:b/>
                <w:bCs/>
              </w:rPr>
              <w:t>on Behalf of the Territory</w:t>
            </w:r>
          </w:p>
        </w:tc>
        <w:tc>
          <w:tcPr>
            <w:tcW w:w="1304" w:type="dxa"/>
            <w:gridSpan w:val="2"/>
            <w:tcBorders>
              <w:top w:val="single" w:sz="2" w:space="0" w:color="auto"/>
              <w:left w:val="nil"/>
              <w:bottom w:val="double" w:sz="4" w:space="0" w:color="auto"/>
              <w:right w:val="nil"/>
            </w:tcBorders>
            <w:vAlign w:val="bottom"/>
          </w:tcPr>
          <w:p w14:paraId="5DA64639" w14:textId="77777777" w:rsidR="008B46D1" w:rsidRPr="008B46D1" w:rsidRDefault="008B46D1" w:rsidP="009A0F2F">
            <w:pPr>
              <w:pStyle w:val="TableText"/>
              <w:tabs>
                <w:tab w:val="left" w:pos="3306"/>
              </w:tabs>
              <w:jc w:val="right"/>
              <w:rPr>
                <w:rFonts w:cs="Calibri"/>
                <w:b/>
                <w:bCs/>
              </w:rPr>
            </w:pPr>
          </w:p>
        </w:tc>
        <w:tc>
          <w:tcPr>
            <w:tcW w:w="1567" w:type="dxa"/>
            <w:gridSpan w:val="3"/>
            <w:tcBorders>
              <w:top w:val="single" w:sz="2" w:space="0" w:color="auto"/>
              <w:left w:val="nil"/>
              <w:bottom w:val="double" w:sz="4" w:space="0" w:color="auto"/>
              <w:right w:val="nil"/>
            </w:tcBorders>
            <w:vAlign w:val="bottom"/>
          </w:tcPr>
          <w:p w14:paraId="4EE0ECEC" w14:textId="77777777" w:rsidR="008B46D1" w:rsidRPr="008B46D1" w:rsidRDefault="008B46D1" w:rsidP="009A0F2F">
            <w:pPr>
              <w:pStyle w:val="TableText"/>
              <w:tabs>
                <w:tab w:val="left" w:pos="3306"/>
              </w:tabs>
              <w:jc w:val="right"/>
              <w:rPr>
                <w:rFonts w:cs="Calibri"/>
                <w:b/>
                <w:bCs/>
              </w:rPr>
            </w:pPr>
          </w:p>
        </w:tc>
      </w:tr>
      <w:tr w:rsidR="008B46D1" w:rsidRPr="00D828C2" w14:paraId="3A1D8E49" w14:textId="77777777" w:rsidTr="00D919F2">
        <w:trPr>
          <w:cantSplit/>
          <w:trHeight w:val="23"/>
        </w:trPr>
        <w:tc>
          <w:tcPr>
            <w:tcW w:w="1564" w:type="dxa"/>
            <w:tcBorders>
              <w:top w:val="nil"/>
              <w:left w:val="single" w:sz="2" w:space="0" w:color="auto"/>
              <w:bottom w:val="nil"/>
              <w:right w:val="single" w:sz="2" w:space="0" w:color="auto"/>
            </w:tcBorders>
          </w:tcPr>
          <w:p w14:paraId="3310D24F" w14:textId="77777777" w:rsidR="008B46D1" w:rsidRPr="004D4028" w:rsidRDefault="008B46D1" w:rsidP="009A0F2F">
            <w:pPr>
              <w:pStyle w:val="TableReference"/>
              <w:tabs>
                <w:tab w:val="left" w:pos="3306"/>
              </w:tabs>
              <w:rPr>
                <w:rFonts w:cs="Calibri"/>
                <w:color w:val="auto"/>
                <w:sz w:val="14"/>
              </w:rPr>
            </w:pPr>
          </w:p>
        </w:tc>
        <w:tc>
          <w:tcPr>
            <w:tcW w:w="6107" w:type="dxa"/>
            <w:gridSpan w:val="2"/>
            <w:tcBorders>
              <w:top w:val="nil"/>
              <w:left w:val="single" w:sz="2" w:space="0" w:color="auto"/>
              <w:bottom w:val="nil"/>
              <w:right w:val="nil"/>
            </w:tcBorders>
            <w:vAlign w:val="bottom"/>
          </w:tcPr>
          <w:p w14:paraId="2760FFB6" w14:textId="77777777" w:rsidR="008B46D1" w:rsidRPr="008B46D1" w:rsidRDefault="008B46D1" w:rsidP="009A0F2F">
            <w:pPr>
              <w:pStyle w:val="TableText"/>
              <w:tabs>
                <w:tab w:val="left" w:pos="3306"/>
              </w:tabs>
              <w:spacing w:before="0"/>
              <w:rPr>
                <w:rFonts w:cs="Calibri"/>
              </w:rPr>
            </w:pPr>
          </w:p>
        </w:tc>
        <w:tc>
          <w:tcPr>
            <w:tcW w:w="1304" w:type="dxa"/>
            <w:gridSpan w:val="2"/>
            <w:tcBorders>
              <w:top w:val="double" w:sz="4" w:space="0" w:color="auto"/>
              <w:left w:val="nil"/>
              <w:bottom w:val="nil"/>
              <w:right w:val="nil"/>
            </w:tcBorders>
            <w:vAlign w:val="bottom"/>
          </w:tcPr>
          <w:p w14:paraId="4F3EA8E1" w14:textId="77777777" w:rsidR="008B46D1" w:rsidRPr="008B46D1" w:rsidRDefault="008B46D1" w:rsidP="009A0F2F">
            <w:pPr>
              <w:pStyle w:val="TableText"/>
              <w:tabs>
                <w:tab w:val="left" w:pos="3306"/>
              </w:tabs>
              <w:spacing w:before="0"/>
              <w:jc w:val="right"/>
              <w:rPr>
                <w:rFonts w:cs="Calibri"/>
              </w:rPr>
            </w:pPr>
          </w:p>
        </w:tc>
        <w:tc>
          <w:tcPr>
            <w:tcW w:w="1567" w:type="dxa"/>
            <w:gridSpan w:val="3"/>
            <w:tcBorders>
              <w:top w:val="double" w:sz="4" w:space="0" w:color="auto"/>
              <w:left w:val="nil"/>
              <w:bottom w:val="nil"/>
              <w:right w:val="nil"/>
            </w:tcBorders>
            <w:vAlign w:val="bottom"/>
          </w:tcPr>
          <w:p w14:paraId="31E1AFAF" w14:textId="77777777" w:rsidR="008B46D1" w:rsidRPr="008B46D1" w:rsidRDefault="008B46D1" w:rsidP="009A0F2F">
            <w:pPr>
              <w:pStyle w:val="TableText"/>
              <w:tabs>
                <w:tab w:val="left" w:pos="3306"/>
              </w:tabs>
              <w:spacing w:before="0"/>
              <w:jc w:val="right"/>
              <w:rPr>
                <w:rFonts w:cs="Calibri"/>
              </w:rPr>
            </w:pPr>
          </w:p>
        </w:tc>
      </w:tr>
      <w:tr w:rsidR="008B46D1" w:rsidRPr="00D828C2" w14:paraId="1E256A62" w14:textId="77777777" w:rsidTr="00D919F2">
        <w:trPr>
          <w:cantSplit/>
          <w:trHeight w:val="23"/>
        </w:trPr>
        <w:tc>
          <w:tcPr>
            <w:tcW w:w="1564" w:type="dxa"/>
            <w:tcBorders>
              <w:top w:val="nil"/>
              <w:left w:val="single" w:sz="2" w:space="0" w:color="auto"/>
              <w:bottom w:val="nil"/>
              <w:right w:val="single" w:sz="2" w:space="0" w:color="auto"/>
            </w:tcBorders>
          </w:tcPr>
          <w:p w14:paraId="1AE86BD3" w14:textId="77777777" w:rsidR="008B46D1" w:rsidRPr="004D4028" w:rsidRDefault="008B46D1" w:rsidP="009A0F2F">
            <w:pPr>
              <w:pStyle w:val="TableReference"/>
              <w:tabs>
                <w:tab w:val="left" w:pos="3306"/>
              </w:tabs>
              <w:spacing w:before="40"/>
              <w:rPr>
                <w:rFonts w:cs="Calibri"/>
                <w:strike/>
                <w:color w:val="auto"/>
                <w:sz w:val="14"/>
              </w:rPr>
            </w:pPr>
          </w:p>
        </w:tc>
        <w:tc>
          <w:tcPr>
            <w:tcW w:w="8978" w:type="dxa"/>
            <w:gridSpan w:val="7"/>
            <w:tcBorders>
              <w:top w:val="nil"/>
              <w:left w:val="single" w:sz="2" w:space="0" w:color="auto"/>
              <w:bottom w:val="nil"/>
              <w:right w:val="nil"/>
            </w:tcBorders>
            <w:vAlign w:val="bottom"/>
          </w:tcPr>
          <w:p w14:paraId="617D474E" w14:textId="37BDC031" w:rsidR="008B46D1" w:rsidRPr="008B46D1" w:rsidRDefault="008B46D1" w:rsidP="009A0F2F">
            <w:pPr>
              <w:pStyle w:val="TableText"/>
              <w:tabs>
                <w:tab w:val="left" w:pos="3306"/>
              </w:tabs>
              <w:rPr>
                <w:rFonts w:cs="Calibri"/>
                <w:b/>
                <w:bCs/>
              </w:rPr>
            </w:pPr>
            <w:r w:rsidRPr="008B46D1">
              <w:rPr>
                <w:rFonts w:cs="Calibri"/>
                <w:b/>
                <w:bCs/>
              </w:rPr>
              <w:t>(</w:t>
            </w:r>
            <w:r w:rsidR="00051E8D">
              <w:rPr>
                <w:rFonts w:cs="Calibri"/>
                <w:b/>
                <w:bCs/>
              </w:rPr>
              <w:t>c</w:t>
            </w:r>
            <w:r w:rsidRPr="008B46D1">
              <w:rPr>
                <w:rFonts w:cs="Calibri"/>
                <w:b/>
                <w:bCs/>
              </w:rPr>
              <w:t xml:space="preserve">) Reconciliation of the Operating Result to Net Cash Inflows from Operating Activities </w:t>
            </w:r>
          </w:p>
        </w:tc>
      </w:tr>
      <w:tr w:rsidR="008B46D1" w:rsidRPr="00D828C2" w14:paraId="0B1AD231" w14:textId="77777777" w:rsidTr="00D919F2">
        <w:trPr>
          <w:cantSplit/>
          <w:trHeight w:val="23"/>
        </w:trPr>
        <w:tc>
          <w:tcPr>
            <w:tcW w:w="1564" w:type="dxa"/>
            <w:tcBorders>
              <w:top w:val="nil"/>
              <w:left w:val="single" w:sz="2" w:space="0" w:color="auto"/>
              <w:bottom w:val="nil"/>
              <w:right w:val="single" w:sz="2" w:space="0" w:color="auto"/>
            </w:tcBorders>
          </w:tcPr>
          <w:p w14:paraId="1C6EEC6C"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6670B543" w14:textId="77777777" w:rsidR="008B46D1" w:rsidRPr="008B46D1" w:rsidRDefault="008B46D1" w:rsidP="009A0F2F">
            <w:pPr>
              <w:pStyle w:val="TableText"/>
              <w:tabs>
                <w:tab w:val="left" w:pos="3306"/>
              </w:tabs>
              <w:rPr>
                <w:rFonts w:cs="Calibri"/>
              </w:rPr>
            </w:pPr>
            <w:r w:rsidRPr="008B46D1">
              <w:rPr>
                <w:rFonts w:cs="Calibri"/>
              </w:rPr>
              <w:t>Operating Result</w:t>
            </w:r>
          </w:p>
        </w:tc>
        <w:tc>
          <w:tcPr>
            <w:tcW w:w="1323" w:type="dxa"/>
            <w:gridSpan w:val="3"/>
            <w:tcBorders>
              <w:top w:val="nil"/>
              <w:left w:val="nil"/>
              <w:bottom w:val="nil"/>
              <w:right w:val="nil"/>
            </w:tcBorders>
            <w:vAlign w:val="bottom"/>
          </w:tcPr>
          <w:p w14:paraId="0CE6B6DE"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0A0208DE" w14:textId="77777777" w:rsidR="008B46D1" w:rsidRPr="008B46D1" w:rsidRDefault="008B46D1" w:rsidP="009A0F2F">
            <w:pPr>
              <w:pStyle w:val="TableText"/>
              <w:tabs>
                <w:tab w:val="left" w:pos="3306"/>
              </w:tabs>
              <w:jc w:val="right"/>
              <w:rPr>
                <w:rFonts w:cs="Calibri"/>
              </w:rPr>
            </w:pPr>
          </w:p>
        </w:tc>
      </w:tr>
      <w:tr w:rsidR="008B46D1" w:rsidRPr="00D828C2" w14:paraId="3D485608" w14:textId="77777777" w:rsidTr="00D919F2">
        <w:trPr>
          <w:cantSplit/>
          <w:trHeight w:val="23"/>
        </w:trPr>
        <w:tc>
          <w:tcPr>
            <w:tcW w:w="1564" w:type="dxa"/>
            <w:tcBorders>
              <w:top w:val="nil"/>
              <w:left w:val="single" w:sz="2" w:space="0" w:color="auto"/>
              <w:bottom w:val="nil"/>
              <w:right w:val="single" w:sz="2" w:space="0" w:color="auto"/>
            </w:tcBorders>
          </w:tcPr>
          <w:p w14:paraId="1EFE555B"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1E1D3656" w14:textId="77777777" w:rsidR="008B46D1" w:rsidRPr="008B46D1" w:rsidRDefault="008B46D1" w:rsidP="009A0F2F">
            <w:pPr>
              <w:pStyle w:val="TableText"/>
              <w:tabs>
                <w:tab w:val="left" w:pos="3306"/>
              </w:tabs>
              <w:rPr>
                <w:rFonts w:cs="Calibri"/>
                <w:b/>
                <w:bCs/>
              </w:rPr>
            </w:pPr>
            <w:r w:rsidRPr="008B46D1">
              <w:rPr>
                <w:rFonts w:cs="Calibri"/>
                <w:b/>
                <w:bCs/>
              </w:rPr>
              <w:t>Add/(Less) Non-Cash Items</w:t>
            </w:r>
          </w:p>
        </w:tc>
        <w:tc>
          <w:tcPr>
            <w:tcW w:w="1323" w:type="dxa"/>
            <w:gridSpan w:val="3"/>
            <w:tcBorders>
              <w:top w:val="nil"/>
              <w:left w:val="nil"/>
              <w:bottom w:val="nil"/>
              <w:right w:val="nil"/>
            </w:tcBorders>
            <w:vAlign w:val="bottom"/>
          </w:tcPr>
          <w:p w14:paraId="61BA5682"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4495AE31" w14:textId="77777777" w:rsidR="008B46D1" w:rsidRPr="008B46D1" w:rsidRDefault="008B46D1" w:rsidP="009A0F2F">
            <w:pPr>
              <w:pStyle w:val="TableText"/>
              <w:tabs>
                <w:tab w:val="left" w:pos="3306"/>
              </w:tabs>
              <w:jc w:val="right"/>
              <w:rPr>
                <w:rFonts w:cs="Calibri"/>
              </w:rPr>
            </w:pPr>
          </w:p>
        </w:tc>
      </w:tr>
      <w:tr w:rsidR="008B46D1" w:rsidRPr="00D828C2" w14:paraId="6518ECD1" w14:textId="77777777" w:rsidTr="00D919F2">
        <w:trPr>
          <w:cantSplit/>
          <w:trHeight w:val="23"/>
        </w:trPr>
        <w:tc>
          <w:tcPr>
            <w:tcW w:w="1564" w:type="dxa"/>
            <w:tcBorders>
              <w:top w:val="nil"/>
              <w:left w:val="single" w:sz="2" w:space="0" w:color="auto"/>
              <w:bottom w:val="nil"/>
              <w:right w:val="single" w:sz="2" w:space="0" w:color="auto"/>
            </w:tcBorders>
          </w:tcPr>
          <w:p w14:paraId="1B194EA5"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34EACC56" w14:textId="77777777" w:rsidR="008B46D1" w:rsidRPr="008B46D1" w:rsidRDefault="008B46D1" w:rsidP="009A0F2F">
            <w:pPr>
              <w:pStyle w:val="TableText"/>
              <w:tabs>
                <w:tab w:val="left" w:pos="3306"/>
              </w:tabs>
              <w:rPr>
                <w:rFonts w:cs="Calibri"/>
              </w:rPr>
            </w:pPr>
            <w:r w:rsidRPr="008B46D1">
              <w:rPr>
                <w:rFonts w:cs="Calibri"/>
              </w:rPr>
              <w:t>Forgiveness of Liabilities</w:t>
            </w:r>
          </w:p>
        </w:tc>
        <w:tc>
          <w:tcPr>
            <w:tcW w:w="1323" w:type="dxa"/>
            <w:gridSpan w:val="3"/>
            <w:tcBorders>
              <w:top w:val="nil"/>
              <w:left w:val="nil"/>
              <w:bottom w:val="single" w:sz="2" w:space="0" w:color="auto"/>
              <w:right w:val="nil"/>
            </w:tcBorders>
            <w:vAlign w:val="bottom"/>
          </w:tcPr>
          <w:p w14:paraId="2EADC228"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single" w:sz="2" w:space="0" w:color="auto"/>
              <w:right w:val="nil"/>
            </w:tcBorders>
            <w:vAlign w:val="bottom"/>
          </w:tcPr>
          <w:p w14:paraId="5AFE33E0" w14:textId="77777777" w:rsidR="008B46D1" w:rsidRPr="008B46D1" w:rsidRDefault="008B46D1" w:rsidP="009A0F2F">
            <w:pPr>
              <w:pStyle w:val="TableText"/>
              <w:tabs>
                <w:tab w:val="left" w:pos="3306"/>
              </w:tabs>
              <w:jc w:val="right"/>
              <w:rPr>
                <w:rFonts w:cs="Calibri"/>
              </w:rPr>
            </w:pPr>
          </w:p>
        </w:tc>
      </w:tr>
      <w:tr w:rsidR="008B46D1" w:rsidRPr="00D828C2" w14:paraId="02F3C4AA" w14:textId="77777777" w:rsidTr="00D919F2">
        <w:trPr>
          <w:cantSplit/>
          <w:trHeight w:val="23"/>
        </w:trPr>
        <w:tc>
          <w:tcPr>
            <w:tcW w:w="1564" w:type="dxa"/>
            <w:tcBorders>
              <w:top w:val="nil"/>
              <w:left w:val="single" w:sz="2" w:space="0" w:color="auto"/>
              <w:bottom w:val="nil"/>
              <w:right w:val="single" w:sz="2" w:space="0" w:color="auto"/>
            </w:tcBorders>
          </w:tcPr>
          <w:p w14:paraId="084202F8"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67788CED" w14:textId="77777777" w:rsidR="008B46D1" w:rsidRPr="008B46D1" w:rsidRDefault="008B46D1" w:rsidP="009A0F2F">
            <w:pPr>
              <w:pStyle w:val="TableText"/>
              <w:tabs>
                <w:tab w:val="left" w:pos="3306"/>
              </w:tabs>
              <w:rPr>
                <w:rFonts w:cs="Calibri"/>
                <w:b/>
                <w:bCs/>
              </w:rPr>
            </w:pPr>
            <w:r w:rsidRPr="008B46D1">
              <w:rPr>
                <w:rFonts w:cs="Calibri"/>
                <w:b/>
                <w:bCs/>
              </w:rPr>
              <w:t>Cash Before Changes in Operating Assets and Liabilities</w:t>
            </w:r>
          </w:p>
        </w:tc>
        <w:tc>
          <w:tcPr>
            <w:tcW w:w="1323" w:type="dxa"/>
            <w:gridSpan w:val="3"/>
            <w:tcBorders>
              <w:top w:val="single" w:sz="2" w:space="0" w:color="auto"/>
              <w:left w:val="nil"/>
              <w:bottom w:val="single" w:sz="2" w:space="0" w:color="auto"/>
              <w:right w:val="nil"/>
            </w:tcBorders>
            <w:vAlign w:val="bottom"/>
          </w:tcPr>
          <w:p w14:paraId="16C36014" w14:textId="77777777" w:rsidR="008B46D1" w:rsidRPr="008B46D1" w:rsidRDefault="008B46D1" w:rsidP="009A0F2F">
            <w:pPr>
              <w:pStyle w:val="TableText"/>
              <w:tabs>
                <w:tab w:val="left" w:pos="3306"/>
              </w:tabs>
              <w:jc w:val="right"/>
              <w:rPr>
                <w:rFonts w:cs="Calibri"/>
                <w:b/>
                <w:bCs/>
              </w:rPr>
            </w:pPr>
          </w:p>
        </w:tc>
        <w:tc>
          <w:tcPr>
            <w:tcW w:w="1548" w:type="dxa"/>
            <w:gridSpan w:val="2"/>
            <w:tcBorders>
              <w:top w:val="single" w:sz="2" w:space="0" w:color="auto"/>
              <w:left w:val="nil"/>
              <w:bottom w:val="single" w:sz="2" w:space="0" w:color="auto"/>
              <w:right w:val="nil"/>
            </w:tcBorders>
            <w:vAlign w:val="bottom"/>
          </w:tcPr>
          <w:p w14:paraId="60499C08" w14:textId="77777777" w:rsidR="008B46D1" w:rsidRPr="008B46D1" w:rsidRDefault="008B46D1" w:rsidP="009A0F2F">
            <w:pPr>
              <w:pStyle w:val="TableText"/>
              <w:tabs>
                <w:tab w:val="left" w:pos="3306"/>
              </w:tabs>
              <w:jc w:val="right"/>
              <w:rPr>
                <w:rFonts w:cs="Calibri"/>
                <w:b/>
                <w:bCs/>
              </w:rPr>
            </w:pPr>
          </w:p>
        </w:tc>
      </w:tr>
      <w:tr w:rsidR="008B46D1" w:rsidRPr="00D828C2" w14:paraId="5B70CC63" w14:textId="77777777" w:rsidTr="00D919F2">
        <w:trPr>
          <w:cantSplit/>
          <w:trHeight w:val="23"/>
        </w:trPr>
        <w:tc>
          <w:tcPr>
            <w:tcW w:w="1564" w:type="dxa"/>
            <w:tcBorders>
              <w:top w:val="nil"/>
              <w:left w:val="single" w:sz="2" w:space="0" w:color="auto"/>
              <w:bottom w:val="nil"/>
              <w:right w:val="single" w:sz="2" w:space="0" w:color="auto"/>
            </w:tcBorders>
          </w:tcPr>
          <w:p w14:paraId="5CCC547F" w14:textId="77777777" w:rsidR="008B46D1" w:rsidRPr="004D4028" w:rsidRDefault="008B46D1" w:rsidP="009A0F2F">
            <w:pPr>
              <w:pStyle w:val="TableReference"/>
              <w:tabs>
                <w:tab w:val="left" w:pos="3306"/>
              </w:tabs>
              <w:rPr>
                <w:rFonts w:cs="Calibri"/>
                <w:color w:val="auto"/>
                <w:sz w:val="14"/>
              </w:rPr>
            </w:pPr>
          </w:p>
        </w:tc>
        <w:tc>
          <w:tcPr>
            <w:tcW w:w="6107" w:type="dxa"/>
            <w:gridSpan w:val="2"/>
            <w:tcBorders>
              <w:top w:val="nil"/>
              <w:left w:val="single" w:sz="2" w:space="0" w:color="auto"/>
              <w:bottom w:val="nil"/>
              <w:right w:val="nil"/>
            </w:tcBorders>
            <w:vAlign w:val="bottom"/>
          </w:tcPr>
          <w:p w14:paraId="25D26275" w14:textId="77777777" w:rsidR="008B46D1" w:rsidRPr="008B46D1" w:rsidRDefault="008B46D1" w:rsidP="009A0F2F">
            <w:pPr>
              <w:pStyle w:val="TableText"/>
              <w:tabs>
                <w:tab w:val="left" w:pos="3306"/>
              </w:tabs>
              <w:spacing w:before="0"/>
              <w:rPr>
                <w:rFonts w:cs="Calibri"/>
              </w:rPr>
            </w:pPr>
          </w:p>
        </w:tc>
        <w:tc>
          <w:tcPr>
            <w:tcW w:w="1323" w:type="dxa"/>
            <w:gridSpan w:val="3"/>
            <w:tcBorders>
              <w:top w:val="single" w:sz="2" w:space="0" w:color="auto"/>
              <w:left w:val="nil"/>
              <w:bottom w:val="nil"/>
              <w:right w:val="nil"/>
            </w:tcBorders>
            <w:vAlign w:val="bottom"/>
          </w:tcPr>
          <w:p w14:paraId="1317F694" w14:textId="77777777" w:rsidR="008B46D1" w:rsidRPr="008B46D1" w:rsidRDefault="008B46D1" w:rsidP="009A0F2F">
            <w:pPr>
              <w:pStyle w:val="TableText"/>
              <w:tabs>
                <w:tab w:val="left" w:pos="3306"/>
              </w:tabs>
              <w:spacing w:before="0"/>
              <w:jc w:val="right"/>
              <w:rPr>
                <w:rFonts w:cs="Calibri"/>
              </w:rPr>
            </w:pPr>
          </w:p>
        </w:tc>
        <w:tc>
          <w:tcPr>
            <w:tcW w:w="1548" w:type="dxa"/>
            <w:gridSpan w:val="2"/>
            <w:tcBorders>
              <w:top w:val="single" w:sz="2" w:space="0" w:color="auto"/>
              <w:left w:val="nil"/>
              <w:bottom w:val="nil"/>
              <w:right w:val="nil"/>
            </w:tcBorders>
            <w:vAlign w:val="bottom"/>
          </w:tcPr>
          <w:p w14:paraId="195B379A" w14:textId="77777777" w:rsidR="008B46D1" w:rsidRPr="008B46D1" w:rsidRDefault="008B46D1" w:rsidP="009A0F2F">
            <w:pPr>
              <w:pStyle w:val="TableText"/>
              <w:tabs>
                <w:tab w:val="left" w:pos="3306"/>
              </w:tabs>
              <w:spacing w:before="0"/>
              <w:jc w:val="right"/>
              <w:rPr>
                <w:rFonts w:cs="Calibri"/>
                <w:sz w:val="12"/>
              </w:rPr>
            </w:pPr>
          </w:p>
        </w:tc>
      </w:tr>
      <w:tr w:rsidR="008B46D1" w:rsidRPr="00D828C2" w14:paraId="0210058D" w14:textId="77777777" w:rsidTr="00D919F2">
        <w:trPr>
          <w:cantSplit/>
          <w:trHeight w:val="23"/>
        </w:trPr>
        <w:tc>
          <w:tcPr>
            <w:tcW w:w="1564" w:type="dxa"/>
            <w:tcBorders>
              <w:top w:val="nil"/>
              <w:left w:val="single" w:sz="2" w:space="0" w:color="auto"/>
              <w:bottom w:val="nil"/>
              <w:right w:val="single" w:sz="2" w:space="0" w:color="auto"/>
            </w:tcBorders>
          </w:tcPr>
          <w:p w14:paraId="115DC9B6"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560FF321" w14:textId="77777777" w:rsidR="008B46D1" w:rsidRPr="008B46D1" w:rsidRDefault="008B46D1" w:rsidP="009A0F2F">
            <w:pPr>
              <w:pStyle w:val="TableText"/>
              <w:tabs>
                <w:tab w:val="left" w:pos="3306"/>
              </w:tabs>
              <w:rPr>
                <w:rFonts w:cs="Calibri"/>
                <w:b/>
                <w:bCs/>
              </w:rPr>
            </w:pPr>
            <w:r w:rsidRPr="008B46D1">
              <w:rPr>
                <w:rFonts w:cs="Calibri"/>
                <w:b/>
                <w:bCs/>
              </w:rPr>
              <w:t xml:space="preserve">Changes in Operating Assets and Liabilities </w:t>
            </w:r>
          </w:p>
        </w:tc>
        <w:tc>
          <w:tcPr>
            <w:tcW w:w="1323" w:type="dxa"/>
            <w:gridSpan w:val="3"/>
            <w:tcBorders>
              <w:top w:val="nil"/>
              <w:left w:val="nil"/>
              <w:bottom w:val="nil"/>
              <w:right w:val="nil"/>
            </w:tcBorders>
            <w:vAlign w:val="bottom"/>
          </w:tcPr>
          <w:p w14:paraId="3CEF12AE"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3AAC60F2" w14:textId="77777777" w:rsidR="008B46D1" w:rsidRPr="008B46D1" w:rsidRDefault="008B46D1" w:rsidP="009A0F2F">
            <w:pPr>
              <w:pStyle w:val="TableText"/>
              <w:tabs>
                <w:tab w:val="left" w:pos="3306"/>
              </w:tabs>
              <w:jc w:val="right"/>
              <w:rPr>
                <w:rFonts w:cs="Calibri"/>
              </w:rPr>
            </w:pPr>
          </w:p>
        </w:tc>
      </w:tr>
      <w:tr w:rsidR="008B46D1" w:rsidRPr="00D828C2" w14:paraId="26ADC763" w14:textId="77777777" w:rsidTr="00D919F2">
        <w:trPr>
          <w:cantSplit/>
          <w:trHeight w:val="23"/>
        </w:trPr>
        <w:tc>
          <w:tcPr>
            <w:tcW w:w="1564" w:type="dxa"/>
            <w:tcBorders>
              <w:top w:val="nil"/>
              <w:left w:val="single" w:sz="2" w:space="0" w:color="auto"/>
              <w:bottom w:val="nil"/>
              <w:right w:val="single" w:sz="2" w:space="0" w:color="auto"/>
            </w:tcBorders>
          </w:tcPr>
          <w:p w14:paraId="3BB19956"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27544B0B" w14:textId="77777777" w:rsidR="008B46D1" w:rsidRPr="008B46D1" w:rsidRDefault="008B46D1" w:rsidP="009A0F2F">
            <w:pPr>
              <w:pStyle w:val="TableText"/>
              <w:tabs>
                <w:tab w:val="left" w:pos="3306"/>
              </w:tabs>
              <w:rPr>
                <w:rFonts w:cs="Calibri"/>
              </w:rPr>
            </w:pPr>
            <w:r w:rsidRPr="008B46D1">
              <w:rPr>
                <w:rFonts w:cs="Calibri"/>
              </w:rPr>
              <w:t>(Increase)/Decrease in Receivables</w:t>
            </w:r>
          </w:p>
        </w:tc>
        <w:tc>
          <w:tcPr>
            <w:tcW w:w="1323" w:type="dxa"/>
            <w:gridSpan w:val="3"/>
            <w:tcBorders>
              <w:top w:val="nil"/>
              <w:left w:val="nil"/>
              <w:bottom w:val="nil"/>
              <w:right w:val="nil"/>
            </w:tcBorders>
            <w:vAlign w:val="bottom"/>
          </w:tcPr>
          <w:p w14:paraId="67CFA475"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23E516F0" w14:textId="77777777" w:rsidR="008B46D1" w:rsidRPr="008B46D1" w:rsidRDefault="008B46D1" w:rsidP="009A0F2F">
            <w:pPr>
              <w:pStyle w:val="TableText"/>
              <w:tabs>
                <w:tab w:val="left" w:pos="3306"/>
              </w:tabs>
              <w:jc w:val="right"/>
              <w:rPr>
                <w:rFonts w:cs="Calibri"/>
              </w:rPr>
            </w:pPr>
          </w:p>
        </w:tc>
      </w:tr>
      <w:tr w:rsidR="008B46D1" w:rsidRPr="00D828C2" w14:paraId="639783EB" w14:textId="77777777" w:rsidTr="00D919F2">
        <w:trPr>
          <w:cantSplit/>
          <w:trHeight w:val="23"/>
        </w:trPr>
        <w:tc>
          <w:tcPr>
            <w:tcW w:w="1564" w:type="dxa"/>
            <w:tcBorders>
              <w:top w:val="nil"/>
              <w:left w:val="single" w:sz="2" w:space="0" w:color="auto"/>
              <w:bottom w:val="nil"/>
              <w:right w:val="single" w:sz="2" w:space="0" w:color="auto"/>
            </w:tcBorders>
          </w:tcPr>
          <w:p w14:paraId="73C6DE67"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2F4F1386" w14:textId="77777777" w:rsidR="008B46D1" w:rsidRPr="008B46D1" w:rsidRDefault="008B46D1" w:rsidP="009A0F2F">
            <w:pPr>
              <w:pStyle w:val="TableText"/>
              <w:tabs>
                <w:tab w:val="left" w:pos="3306"/>
              </w:tabs>
              <w:rPr>
                <w:rFonts w:cs="Calibri"/>
              </w:rPr>
            </w:pPr>
            <w:r w:rsidRPr="008B46D1">
              <w:rPr>
                <w:rFonts w:cs="Calibri"/>
              </w:rPr>
              <w:t>(Increase)/Decrease in Other Assets</w:t>
            </w:r>
          </w:p>
        </w:tc>
        <w:tc>
          <w:tcPr>
            <w:tcW w:w="1323" w:type="dxa"/>
            <w:gridSpan w:val="3"/>
            <w:tcBorders>
              <w:top w:val="nil"/>
              <w:left w:val="nil"/>
              <w:bottom w:val="nil"/>
              <w:right w:val="nil"/>
            </w:tcBorders>
            <w:vAlign w:val="bottom"/>
          </w:tcPr>
          <w:p w14:paraId="07ACCA22"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0AD334A6" w14:textId="77777777" w:rsidR="008B46D1" w:rsidRPr="008B46D1" w:rsidRDefault="008B46D1" w:rsidP="009A0F2F">
            <w:pPr>
              <w:pStyle w:val="TableText"/>
              <w:tabs>
                <w:tab w:val="left" w:pos="3306"/>
              </w:tabs>
              <w:jc w:val="right"/>
              <w:rPr>
                <w:rFonts w:cs="Calibri"/>
              </w:rPr>
            </w:pPr>
          </w:p>
        </w:tc>
      </w:tr>
      <w:tr w:rsidR="008B46D1" w:rsidRPr="00D828C2" w14:paraId="74F9D3CC" w14:textId="77777777" w:rsidTr="00D919F2">
        <w:trPr>
          <w:cantSplit/>
          <w:trHeight w:val="23"/>
        </w:trPr>
        <w:tc>
          <w:tcPr>
            <w:tcW w:w="1564" w:type="dxa"/>
            <w:tcBorders>
              <w:top w:val="nil"/>
              <w:left w:val="single" w:sz="2" w:space="0" w:color="auto"/>
              <w:bottom w:val="nil"/>
              <w:right w:val="single" w:sz="2" w:space="0" w:color="auto"/>
            </w:tcBorders>
          </w:tcPr>
          <w:p w14:paraId="46ACB061"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69F74331" w14:textId="77777777" w:rsidR="008B46D1" w:rsidRPr="008B46D1" w:rsidRDefault="008B46D1" w:rsidP="009A0F2F">
            <w:pPr>
              <w:pStyle w:val="TableText"/>
              <w:tabs>
                <w:tab w:val="left" w:pos="3306"/>
              </w:tabs>
              <w:rPr>
                <w:rFonts w:cs="Calibri"/>
              </w:rPr>
            </w:pPr>
            <w:r w:rsidRPr="008B46D1">
              <w:rPr>
                <w:rFonts w:cs="Calibri"/>
              </w:rPr>
              <w:t>Increase/(Decrease) in Payables</w:t>
            </w:r>
          </w:p>
        </w:tc>
        <w:tc>
          <w:tcPr>
            <w:tcW w:w="1323" w:type="dxa"/>
            <w:gridSpan w:val="3"/>
            <w:tcBorders>
              <w:top w:val="nil"/>
              <w:left w:val="nil"/>
              <w:bottom w:val="nil"/>
              <w:right w:val="nil"/>
            </w:tcBorders>
            <w:vAlign w:val="bottom"/>
          </w:tcPr>
          <w:p w14:paraId="4DD9935B"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4F331001" w14:textId="77777777" w:rsidR="008B46D1" w:rsidRPr="008B46D1" w:rsidRDefault="008B46D1" w:rsidP="009A0F2F">
            <w:pPr>
              <w:pStyle w:val="TableText"/>
              <w:tabs>
                <w:tab w:val="left" w:pos="3306"/>
              </w:tabs>
              <w:jc w:val="right"/>
              <w:rPr>
                <w:rFonts w:cs="Calibri"/>
              </w:rPr>
            </w:pPr>
          </w:p>
        </w:tc>
      </w:tr>
      <w:tr w:rsidR="008B46D1" w:rsidRPr="00D828C2" w14:paraId="6EA51122" w14:textId="77777777" w:rsidTr="00D919F2">
        <w:trPr>
          <w:cantSplit/>
          <w:trHeight w:val="23"/>
        </w:trPr>
        <w:tc>
          <w:tcPr>
            <w:tcW w:w="1564" w:type="dxa"/>
            <w:tcBorders>
              <w:top w:val="nil"/>
              <w:left w:val="single" w:sz="2" w:space="0" w:color="auto"/>
              <w:bottom w:val="nil"/>
              <w:right w:val="single" w:sz="2" w:space="0" w:color="auto"/>
            </w:tcBorders>
          </w:tcPr>
          <w:p w14:paraId="2F3F265B"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24AF449B" w14:textId="77777777" w:rsidR="008B46D1" w:rsidRPr="008B46D1" w:rsidRDefault="008B46D1" w:rsidP="009A0F2F">
            <w:pPr>
              <w:pStyle w:val="TableText"/>
              <w:tabs>
                <w:tab w:val="left" w:pos="3306"/>
              </w:tabs>
              <w:rPr>
                <w:rFonts w:cs="Calibri"/>
              </w:rPr>
            </w:pPr>
            <w:r w:rsidRPr="008B46D1">
              <w:rPr>
                <w:rFonts w:cs="Calibri"/>
              </w:rPr>
              <w:t>Increase/(Decrease) in Other Provision</w:t>
            </w:r>
          </w:p>
        </w:tc>
        <w:tc>
          <w:tcPr>
            <w:tcW w:w="1323" w:type="dxa"/>
            <w:gridSpan w:val="3"/>
            <w:tcBorders>
              <w:top w:val="nil"/>
              <w:left w:val="nil"/>
              <w:bottom w:val="nil"/>
              <w:right w:val="nil"/>
            </w:tcBorders>
            <w:vAlign w:val="bottom"/>
          </w:tcPr>
          <w:p w14:paraId="72E7B616"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nil"/>
              <w:right w:val="nil"/>
            </w:tcBorders>
            <w:vAlign w:val="bottom"/>
          </w:tcPr>
          <w:p w14:paraId="3E416AA5" w14:textId="77777777" w:rsidR="008B46D1" w:rsidRPr="008B46D1" w:rsidRDefault="008B46D1" w:rsidP="009A0F2F">
            <w:pPr>
              <w:pStyle w:val="TableText"/>
              <w:tabs>
                <w:tab w:val="left" w:pos="3306"/>
              </w:tabs>
              <w:jc w:val="right"/>
              <w:rPr>
                <w:rFonts w:cs="Calibri"/>
              </w:rPr>
            </w:pPr>
          </w:p>
        </w:tc>
      </w:tr>
      <w:tr w:rsidR="008B46D1" w:rsidRPr="00D828C2" w14:paraId="155BCB0A" w14:textId="77777777" w:rsidTr="00D919F2">
        <w:trPr>
          <w:cantSplit/>
          <w:trHeight w:val="23"/>
        </w:trPr>
        <w:tc>
          <w:tcPr>
            <w:tcW w:w="1564" w:type="dxa"/>
            <w:tcBorders>
              <w:top w:val="nil"/>
              <w:left w:val="single" w:sz="2" w:space="0" w:color="auto"/>
              <w:bottom w:val="nil"/>
              <w:right w:val="single" w:sz="2" w:space="0" w:color="auto"/>
            </w:tcBorders>
          </w:tcPr>
          <w:p w14:paraId="4D8F3359"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09B1A9B0" w14:textId="77777777" w:rsidR="008B46D1" w:rsidRPr="008B46D1" w:rsidRDefault="008B46D1" w:rsidP="009A0F2F">
            <w:pPr>
              <w:pStyle w:val="TableText"/>
              <w:tabs>
                <w:tab w:val="left" w:pos="3306"/>
              </w:tabs>
              <w:rPr>
                <w:rFonts w:cs="Calibri"/>
              </w:rPr>
            </w:pPr>
            <w:r w:rsidRPr="008B46D1">
              <w:rPr>
                <w:rFonts w:cs="Calibri"/>
              </w:rPr>
              <w:t>Increase/(Decrease) in Other Liabilities</w:t>
            </w:r>
          </w:p>
        </w:tc>
        <w:tc>
          <w:tcPr>
            <w:tcW w:w="1323" w:type="dxa"/>
            <w:gridSpan w:val="3"/>
            <w:tcBorders>
              <w:top w:val="nil"/>
              <w:left w:val="nil"/>
              <w:bottom w:val="single" w:sz="2" w:space="0" w:color="auto"/>
              <w:right w:val="nil"/>
            </w:tcBorders>
            <w:vAlign w:val="bottom"/>
          </w:tcPr>
          <w:p w14:paraId="7FC77BEE" w14:textId="77777777" w:rsidR="008B46D1" w:rsidRPr="008B46D1" w:rsidRDefault="008B46D1" w:rsidP="009A0F2F">
            <w:pPr>
              <w:pStyle w:val="TableText"/>
              <w:tabs>
                <w:tab w:val="left" w:pos="3306"/>
              </w:tabs>
              <w:jc w:val="right"/>
              <w:rPr>
                <w:rFonts w:cs="Calibri"/>
              </w:rPr>
            </w:pPr>
          </w:p>
        </w:tc>
        <w:tc>
          <w:tcPr>
            <w:tcW w:w="1548" w:type="dxa"/>
            <w:gridSpan w:val="2"/>
            <w:tcBorders>
              <w:top w:val="nil"/>
              <w:left w:val="nil"/>
              <w:bottom w:val="single" w:sz="2" w:space="0" w:color="auto"/>
              <w:right w:val="nil"/>
            </w:tcBorders>
            <w:vAlign w:val="bottom"/>
          </w:tcPr>
          <w:p w14:paraId="22EA661A" w14:textId="77777777" w:rsidR="008B46D1" w:rsidRPr="008B46D1" w:rsidRDefault="008B46D1" w:rsidP="009A0F2F">
            <w:pPr>
              <w:pStyle w:val="TableText"/>
              <w:tabs>
                <w:tab w:val="left" w:pos="3306"/>
              </w:tabs>
              <w:jc w:val="right"/>
              <w:rPr>
                <w:rFonts w:cs="Calibri"/>
              </w:rPr>
            </w:pPr>
          </w:p>
        </w:tc>
      </w:tr>
      <w:tr w:rsidR="008B46D1" w:rsidRPr="00D828C2" w14:paraId="1103304A" w14:textId="77777777" w:rsidTr="00D919F2">
        <w:trPr>
          <w:cantSplit/>
          <w:trHeight w:val="23"/>
        </w:trPr>
        <w:tc>
          <w:tcPr>
            <w:tcW w:w="1564" w:type="dxa"/>
            <w:tcBorders>
              <w:top w:val="nil"/>
              <w:left w:val="single" w:sz="2" w:space="0" w:color="auto"/>
              <w:bottom w:val="nil"/>
              <w:right w:val="single" w:sz="2" w:space="0" w:color="auto"/>
            </w:tcBorders>
          </w:tcPr>
          <w:p w14:paraId="7D88FF11"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0BAE3779" w14:textId="77777777" w:rsidR="008B46D1" w:rsidRPr="008B46D1" w:rsidRDefault="008B46D1" w:rsidP="009A0F2F">
            <w:pPr>
              <w:pStyle w:val="TableText"/>
              <w:tabs>
                <w:tab w:val="left" w:pos="3306"/>
              </w:tabs>
              <w:rPr>
                <w:rFonts w:cs="Calibri"/>
                <w:b/>
                <w:bCs/>
              </w:rPr>
            </w:pPr>
            <w:r w:rsidRPr="008B46D1">
              <w:rPr>
                <w:rFonts w:cs="Calibri"/>
                <w:b/>
                <w:bCs/>
              </w:rPr>
              <w:t>Net Changes in Operating Assets and Liabilities</w:t>
            </w:r>
          </w:p>
        </w:tc>
        <w:tc>
          <w:tcPr>
            <w:tcW w:w="1323" w:type="dxa"/>
            <w:gridSpan w:val="3"/>
            <w:tcBorders>
              <w:top w:val="single" w:sz="2" w:space="0" w:color="auto"/>
              <w:left w:val="nil"/>
              <w:bottom w:val="single" w:sz="2" w:space="0" w:color="auto"/>
              <w:right w:val="nil"/>
            </w:tcBorders>
            <w:vAlign w:val="bottom"/>
          </w:tcPr>
          <w:p w14:paraId="3592E005" w14:textId="77777777" w:rsidR="008B46D1" w:rsidRPr="008B46D1" w:rsidRDefault="008B46D1" w:rsidP="009A0F2F">
            <w:pPr>
              <w:pStyle w:val="TableText"/>
              <w:tabs>
                <w:tab w:val="left" w:pos="3306"/>
              </w:tabs>
              <w:jc w:val="right"/>
              <w:rPr>
                <w:rFonts w:cs="Calibri"/>
                <w:b/>
                <w:bCs/>
              </w:rPr>
            </w:pPr>
          </w:p>
        </w:tc>
        <w:tc>
          <w:tcPr>
            <w:tcW w:w="1548" w:type="dxa"/>
            <w:gridSpan w:val="2"/>
            <w:tcBorders>
              <w:top w:val="single" w:sz="2" w:space="0" w:color="auto"/>
              <w:left w:val="nil"/>
              <w:bottom w:val="single" w:sz="2" w:space="0" w:color="auto"/>
              <w:right w:val="nil"/>
            </w:tcBorders>
            <w:vAlign w:val="bottom"/>
          </w:tcPr>
          <w:p w14:paraId="5EA8E918" w14:textId="77777777" w:rsidR="008B46D1" w:rsidRPr="008B46D1" w:rsidRDefault="008B46D1" w:rsidP="009A0F2F">
            <w:pPr>
              <w:pStyle w:val="TableText"/>
              <w:tabs>
                <w:tab w:val="left" w:pos="3306"/>
              </w:tabs>
              <w:jc w:val="right"/>
              <w:rPr>
                <w:rFonts w:cs="Calibri"/>
                <w:b/>
                <w:bCs/>
              </w:rPr>
            </w:pPr>
          </w:p>
        </w:tc>
      </w:tr>
      <w:tr w:rsidR="008B46D1" w:rsidRPr="00D828C2" w14:paraId="088FC756" w14:textId="77777777" w:rsidTr="00D919F2">
        <w:trPr>
          <w:cantSplit/>
          <w:trHeight w:val="23"/>
        </w:trPr>
        <w:tc>
          <w:tcPr>
            <w:tcW w:w="1564" w:type="dxa"/>
            <w:tcBorders>
              <w:top w:val="nil"/>
              <w:left w:val="single" w:sz="2" w:space="0" w:color="auto"/>
              <w:bottom w:val="nil"/>
              <w:right w:val="single" w:sz="2" w:space="0" w:color="auto"/>
            </w:tcBorders>
          </w:tcPr>
          <w:p w14:paraId="42602FF2" w14:textId="77777777" w:rsidR="008B46D1" w:rsidRPr="004D4028" w:rsidRDefault="008B46D1" w:rsidP="009A0F2F">
            <w:pPr>
              <w:pStyle w:val="TableReference"/>
              <w:tabs>
                <w:tab w:val="left" w:pos="3306"/>
              </w:tabs>
              <w:spacing w:before="40"/>
              <w:rPr>
                <w:rFonts w:cs="Calibri"/>
                <w:color w:val="auto"/>
                <w:sz w:val="14"/>
              </w:rPr>
            </w:pPr>
          </w:p>
        </w:tc>
        <w:tc>
          <w:tcPr>
            <w:tcW w:w="6107" w:type="dxa"/>
            <w:gridSpan w:val="2"/>
            <w:tcBorders>
              <w:top w:val="nil"/>
              <w:left w:val="single" w:sz="2" w:space="0" w:color="auto"/>
              <w:bottom w:val="nil"/>
              <w:right w:val="nil"/>
            </w:tcBorders>
            <w:vAlign w:val="bottom"/>
          </w:tcPr>
          <w:p w14:paraId="7F1C1F11" w14:textId="77777777" w:rsidR="008B46D1" w:rsidRPr="008B46D1" w:rsidRDefault="008B46D1" w:rsidP="009A0F2F">
            <w:pPr>
              <w:pStyle w:val="TableText"/>
              <w:tabs>
                <w:tab w:val="left" w:pos="3306"/>
              </w:tabs>
              <w:rPr>
                <w:rFonts w:cs="Calibri"/>
                <w:b/>
                <w:bCs/>
              </w:rPr>
            </w:pPr>
            <w:r w:rsidRPr="008B46D1">
              <w:rPr>
                <w:rFonts w:cs="Calibri"/>
                <w:b/>
                <w:bCs/>
              </w:rPr>
              <w:t>Net Cash Inflows from Operating Activities</w:t>
            </w:r>
          </w:p>
        </w:tc>
        <w:tc>
          <w:tcPr>
            <w:tcW w:w="1323" w:type="dxa"/>
            <w:gridSpan w:val="3"/>
            <w:tcBorders>
              <w:top w:val="single" w:sz="2" w:space="0" w:color="auto"/>
              <w:left w:val="nil"/>
              <w:bottom w:val="double" w:sz="4" w:space="0" w:color="auto"/>
              <w:right w:val="nil"/>
            </w:tcBorders>
            <w:vAlign w:val="bottom"/>
          </w:tcPr>
          <w:p w14:paraId="74E0CC4E" w14:textId="77777777" w:rsidR="008B46D1" w:rsidRPr="008B46D1" w:rsidRDefault="008B46D1" w:rsidP="009A0F2F">
            <w:pPr>
              <w:pStyle w:val="TableText"/>
              <w:tabs>
                <w:tab w:val="left" w:pos="3306"/>
              </w:tabs>
              <w:jc w:val="right"/>
              <w:rPr>
                <w:rFonts w:cs="Calibri"/>
                <w:b/>
                <w:bCs/>
              </w:rPr>
            </w:pPr>
          </w:p>
        </w:tc>
        <w:tc>
          <w:tcPr>
            <w:tcW w:w="1548" w:type="dxa"/>
            <w:gridSpan w:val="2"/>
            <w:tcBorders>
              <w:top w:val="single" w:sz="2" w:space="0" w:color="auto"/>
              <w:left w:val="nil"/>
              <w:bottom w:val="double" w:sz="4" w:space="0" w:color="auto"/>
              <w:right w:val="nil"/>
            </w:tcBorders>
            <w:vAlign w:val="bottom"/>
          </w:tcPr>
          <w:p w14:paraId="6F0AB35C" w14:textId="77777777" w:rsidR="008B46D1" w:rsidRPr="008B46D1" w:rsidRDefault="008B46D1" w:rsidP="009A0F2F">
            <w:pPr>
              <w:pStyle w:val="TableText"/>
              <w:tabs>
                <w:tab w:val="left" w:pos="3306"/>
              </w:tabs>
              <w:jc w:val="right"/>
              <w:rPr>
                <w:rFonts w:cs="Calibri"/>
                <w:b/>
                <w:bCs/>
              </w:rPr>
            </w:pPr>
          </w:p>
        </w:tc>
      </w:tr>
      <w:tr w:rsidR="008B46D1" w:rsidRPr="00D828C2" w14:paraId="2528DF7A" w14:textId="77777777" w:rsidTr="00D919F2">
        <w:trPr>
          <w:cantSplit/>
          <w:trHeight w:val="23"/>
        </w:trPr>
        <w:tc>
          <w:tcPr>
            <w:tcW w:w="1564" w:type="dxa"/>
            <w:tcBorders>
              <w:top w:val="nil"/>
              <w:left w:val="single" w:sz="2" w:space="0" w:color="auto"/>
              <w:bottom w:val="nil"/>
              <w:right w:val="single" w:sz="2" w:space="0" w:color="auto"/>
            </w:tcBorders>
          </w:tcPr>
          <w:p w14:paraId="0EDEEBE9"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7"/>
            <w:tcBorders>
              <w:top w:val="nil"/>
              <w:left w:val="single" w:sz="2" w:space="0" w:color="auto"/>
              <w:bottom w:val="nil"/>
              <w:right w:val="nil"/>
            </w:tcBorders>
            <w:vAlign w:val="bottom"/>
          </w:tcPr>
          <w:p w14:paraId="190D0FEE" w14:textId="77777777" w:rsidR="008B46D1" w:rsidRPr="00D828C2" w:rsidRDefault="008B46D1" w:rsidP="009A0F2F">
            <w:pPr>
              <w:pStyle w:val="TableText"/>
              <w:tabs>
                <w:tab w:val="left" w:pos="3306"/>
              </w:tabs>
              <w:jc w:val="right"/>
              <w:rPr>
                <w:rFonts w:cs="Calibri"/>
                <w:b/>
                <w:bCs/>
              </w:rPr>
            </w:pPr>
          </w:p>
        </w:tc>
      </w:tr>
      <w:tr w:rsidR="008B46D1" w:rsidRPr="003F416F" w14:paraId="68D9979F" w14:textId="77777777" w:rsidTr="00D919F2">
        <w:trPr>
          <w:cantSplit/>
          <w:trHeight w:val="209"/>
        </w:trPr>
        <w:tc>
          <w:tcPr>
            <w:tcW w:w="1564" w:type="dxa"/>
            <w:tcBorders>
              <w:top w:val="nil"/>
              <w:left w:val="single" w:sz="2" w:space="0" w:color="auto"/>
              <w:bottom w:val="nil"/>
              <w:right w:val="single" w:sz="2" w:space="0" w:color="auto"/>
            </w:tcBorders>
          </w:tcPr>
          <w:p w14:paraId="2C11FFC6"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7"/>
            <w:tcBorders>
              <w:top w:val="nil"/>
              <w:left w:val="single" w:sz="2" w:space="0" w:color="auto"/>
              <w:bottom w:val="nil"/>
              <w:right w:val="nil"/>
            </w:tcBorders>
            <w:shd w:val="clear" w:color="auto" w:fill="7030A0"/>
            <w:vAlign w:val="bottom"/>
          </w:tcPr>
          <w:p w14:paraId="498E081A" w14:textId="0AEA0F04" w:rsidR="008B46D1" w:rsidRPr="008B46D1" w:rsidRDefault="008B46D1" w:rsidP="006B468D">
            <w:pPr>
              <w:pStyle w:val="CommentaryTitle"/>
              <w:spacing w:before="0" w:after="240"/>
              <w:rPr>
                <w:rFonts w:cs="Calibri"/>
                <w:b w:val="0"/>
                <w:bCs w:val="0"/>
                <w:color w:val="FFFFFF" w:themeColor="background1"/>
                <w:sz w:val="28"/>
                <w:szCs w:val="28"/>
              </w:rPr>
            </w:pPr>
            <w:r w:rsidRPr="008B46D1">
              <w:rPr>
                <w:rFonts w:cs="Calibri"/>
                <w:color w:val="FFFFFF" w:themeColor="background1"/>
                <w:sz w:val="28"/>
                <w:szCs w:val="28"/>
              </w:rPr>
              <w:t>Commentary – Note 46: Cash and Investments – Territorial</w:t>
            </w:r>
          </w:p>
        </w:tc>
      </w:tr>
      <w:tr w:rsidR="008B46D1" w:rsidRPr="008B46D1" w14:paraId="0226EAB3" w14:textId="77777777" w:rsidTr="00D919F2">
        <w:trPr>
          <w:cantSplit/>
          <w:trHeight w:val="209"/>
        </w:trPr>
        <w:tc>
          <w:tcPr>
            <w:tcW w:w="1564" w:type="dxa"/>
            <w:tcBorders>
              <w:top w:val="nil"/>
              <w:left w:val="single" w:sz="2" w:space="0" w:color="auto"/>
              <w:bottom w:val="nil"/>
              <w:right w:val="single" w:sz="2" w:space="0" w:color="auto"/>
            </w:tcBorders>
          </w:tcPr>
          <w:p w14:paraId="44B1EA50" w14:textId="77777777" w:rsidR="008B46D1" w:rsidRPr="008B46D1" w:rsidRDefault="008B46D1" w:rsidP="009A0F2F">
            <w:pPr>
              <w:pStyle w:val="TableReference"/>
              <w:tabs>
                <w:tab w:val="left" w:pos="3306"/>
              </w:tabs>
              <w:spacing w:before="40"/>
              <w:rPr>
                <w:rFonts w:cs="Calibri"/>
                <w:color w:val="auto"/>
                <w:sz w:val="18"/>
                <w:szCs w:val="18"/>
              </w:rPr>
            </w:pPr>
          </w:p>
        </w:tc>
        <w:tc>
          <w:tcPr>
            <w:tcW w:w="8978" w:type="dxa"/>
            <w:gridSpan w:val="7"/>
            <w:tcBorders>
              <w:top w:val="nil"/>
              <w:left w:val="single" w:sz="2" w:space="0" w:color="auto"/>
              <w:bottom w:val="nil"/>
              <w:right w:val="nil"/>
            </w:tcBorders>
            <w:shd w:val="clear" w:color="auto" w:fill="7030A0"/>
            <w:vAlign w:val="bottom"/>
          </w:tcPr>
          <w:p w14:paraId="7876D71A" w14:textId="12E42BB4" w:rsidR="008B46D1" w:rsidRPr="006B468D" w:rsidRDefault="008B46D1" w:rsidP="008B46D1">
            <w:pPr>
              <w:pStyle w:val="CommentaryTitle"/>
              <w:spacing w:before="0" w:after="120"/>
              <w:rPr>
                <w:rFonts w:cs="Calibri"/>
                <w:color w:val="FFFFFF" w:themeColor="background1"/>
                <w:sz w:val="20"/>
                <w:szCs w:val="20"/>
              </w:rPr>
            </w:pPr>
            <w:r w:rsidRPr="006B468D">
              <w:rPr>
                <w:rFonts w:cs="Calibri"/>
                <w:color w:val="FFFFFF" w:themeColor="background1"/>
                <w:sz w:val="20"/>
                <w:szCs w:val="20"/>
              </w:rPr>
              <w:t>Cashflow Reconciliation</w:t>
            </w:r>
          </w:p>
        </w:tc>
      </w:tr>
      <w:tr w:rsidR="008B46D1" w:rsidRPr="00D828C2" w14:paraId="2C1E4078" w14:textId="77777777" w:rsidTr="00D919F2">
        <w:trPr>
          <w:cantSplit/>
          <w:trHeight w:val="23"/>
        </w:trPr>
        <w:tc>
          <w:tcPr>
            <w:tcW w:w="1564" w:type="dxa"/>
            <w:tcBorders>
              <w:top w:val="nil"/>
              <w:left w:val="single" w:sz="2" w:space="0" w:color="auto"/>
              <w:bottom w:val="nil"/>
              <w:right w:val="single" w:sz="2" w:space="0" w:color="auto"/>
            </w:tcBorders>
          </w:tcPr>
          <w:p w14:paraId="7E9AA838" w14:textId="77777777" w:rsidR="008B46D1" w:rsidRPr="004D4028" w:rsidRDefault="008B46D1" w:rsidP="009A0F2F">
            <w:pPr>
              <w:pStyle w:val="TableReference"/>
              <w:tabs>
                <w:tab w:val="left" w:pos="3306"/>
              </w:tabs>
              <w:spacing w:before="40"/>
              <w:rPr>
                <w:rFonts w:cs="Calibri"/>
                <w:color w:val="auto"/>
                <w:sz w:val="14"/>
              </w:rPr>
            </w:pPr>
          </w:p>
        </w:tc>
        <w:tc>
          <w:tcPr>
            <w:tcW w:w="8978" w:type="dxa"/>
            <w:gridSpan w:val="7"/>
            <w:tcBorders>
              <w:top w:val="nil"/>
              <w:left w:val="single" w:sz="2" w:space="0" w:color="auto"/>
              <w:bottom w:val="nil"/>
              <w:right w:val="nil"/>
            </w:tcBorders>
            <w:shd w:val="clear" w:color="auto" w:fill="7030A0"/>
            <w:vAlign w:val="bottom"/>
          </w:tcPr>
          <w:p w14:paraId="0E34570C" w14:textId="77777777" w:rsidR="008B46D1" w:rsidRPr="008B46D1" w:rsidRDefault="008B46D1" w:rsidP="009A0F2F">
            <w:pPr>
              <w:pStyle w:val="CommentaryText"/>
              <w:spacing w:after="40"/>
              <w:rPr>
                <w:rFonts w:cs="Calibri"/>
                <w:color w:val="FFFFFF" w:themeColor="background1"/>
                <w:sz w:val="18"/>
                <w:szCs w:val="18"/>
              </w:rPr>
            </w:pPr>
            <w:r w:rsidRPr="008B46D1">
              <w:rPr>
                <w:rFonts w:cs="Calibri"/>
                <w:color w:val="FFFFFF" w:themeColor="background1"/>
                <w:sz w:val="18"/>
                <w:szCs w:val="18"/>
              </w:rPr>
              <w:t>Agencies must include the:</w:t>
            </w:r>
          </w:p>
          <w:p w14:paraId="08FC0DA7" w14:textId="77777777" w:rsidR="008B46D1" w:rsidRPr="008B46D1" w:rsidRDefault="008B46D1" w:rsidP="007122BC">
            <w:pPr>
              <w:pStyle w:val="CommentaryText"/>
              <w:numPr>
                <w:ilvl w:val="0"/>
                <w:numId w:val="27"/>
              </w:numPr>
              <w:tabs>
                <w:tab w:val="clear" w:pos="360"/>
              </w:tabs>
              <w:spacing w:after="40"/>
              <w:ind w:left="452"/>
              <w:rPr>
                <w:rFonts w:cs="Calibri"/>
                <w:color w:val="FFFFFF" w:themeColor="background1"/>
                <w:sz w:val="18"/>
                <w:szCs w:val="18"/>
              </w:rPr>
            </w:pPr>
            <w:r w:rsidRPr="008B46D1">
              <w:rPr>
                <w:rFonts w:cs="Calibri"/>
                <w:color w:val="FFFFFF" w:themeColor="background1"/>
                <w:sz w:val="18"/>
                <w:szCs w:val="18"/>
              </w:rPr>
              <w:t>‘Operating Result’ line item;</w:t>
            </w:r>
          </w:p>
          <w:p w14:paraId="48A46C2D" w14:textId="77777777" w:rsidR="008B46D1" w:rsidRPr="008B46D1" w:rsidRDefault="008B46D1" w:rsidP="007122BC">
            <w:pPr>
              <w:pStyle w:val="CommentaryText"/>
              <w:numPr>
                <w:ilvl w:val="0"/>
                <w:numId w:val="27"/>
              </w:numPr>
              <w:tabs>
                <w:tab w:val="clear" w:pos="360"/>
              </w:tabs>
              <w:spacing w:after="40"/>
              <w:ind w:left="452"/>
              <w:rPr>
                <w:rFonts w:cs="Calibri"/>
                <w:color w:val="FFFFFF" w:themeColor="background1"/>
                <w:sz w:val="18"/>
                <w:szCs w:val="18"/>
              </w:rPr>
            </w:pPr>
            <w:r w:rsidRPr="008B46D1">
              <w:rPr>
                <w:rFonts w:cs="Calibri"/>
                <w:color w:val="FFFFFF" w:themeColor="background1"/>
                <w:sz w:val="18"/>
                <w:szCs w:val="18"/>
              </w:rPr>
              <w:t>‘Add/(Less) Non-Cash Items’ line item; and</w:t>
            </w:r>
          </w:p>
          <w:p w14:paraId="66D6D023" w14:textId="1EBE8B52" w:rsidR="008B46D1" w:rsidRPr="008B46D1" w:rsidRDefault="008B46D1" w:rsidP="007122BC">
            <w:pPr>
              <w:pStyle w:val="CommentaryText"/>
              <w:numPr>
                <w:ilvl w:val="0"/>
                <w:numId w:val="27"/>
              </w:numPr>
              <w:tabs>
                <w:tab w:val="clear" w:pos="360"/>
              </w:tabs>
              <w:ind w:left="452" w:hanging="357"/>
              <w:rPr>
                <w:rFonts w:cs="Calibri"/>
                <w:color w:val="FFFFFF" w:themeColor="background1"/>
                <w:sz w:val="18"/>
                <w:szCs w:val="18"/>
              </w:rPr>
            </w:pPr>
            <w:r w:rsidRPr="008B46D1">
              <w:rPr>
                <w:rFonts w:cs="Calibri"/>
                <w:color w:val="FFFFFF" w:themeColor="background1"/>
                <w:sz w:val="18"/>
                <w:szCs w:val="18"/>
              </w:rPr>
              <w:t>‘Cash Before Changes in Operating Assets and Liabilities’ line item</w:t>
            </w:r>
            <w:r w:rsidR="006B468D">
              <w:rPr>
                <w:rFonts w:cs="Calibri"/>
                <w:color w:val="FFFFFF" w:themeColor="background1"/>
                <w:sz w:val="18"/>
                <w:szCs w:val="18"/>
              </w:rPr>
              <w:t>.</w:t>
            </w:r>
          </w:p>
          <w:p w14:paraId="59FBCE17" w14:textId="77777777" w:rsidR="008B46D1" w:rsidRPr="008B46D1" w:rsidRDefault="008B46D1" w:rsidP="006B468D">
            <w:pPr>
              <w:pStyle w:val="CommentaryText"/>
              <w:rPr>
                <w:rFonts w:cs="Calibri"/>
                <w:b/>
                <w:bCs/>
                <w:color w:val="FFFFFF" w:themeColor="background1"/>
                <w:szCs w:val="20"/>
              </w:rPr>
            </w:pPr>
            <w:r w:rsidRPr="008B46D1">
              <w:rPr>
                <w:rFonts w:cs="Calibri"/>
                <w:color w:val="FFFFFF" w:themeColor="background1"/>
                <w:sz w:val="18"/>
                <w:szCs w:val="18"/>
              </w:rPr>
              <w:t>in the cash flow reconciliation regardless of whether there are figures against them.</w:t>
            </w:r>
          </w:p>
        </w:tc>
      </w:tr>
    </w:tbl>
    <w:p w14:paraId="7ED9DF4D" w14:textId="49853B0D" w:rsidR="00B35866" w:rsidRDefault="00B35866">
      <w:r>
        <w:br w:type="page"/>
      </w:r>
    </w:p>
    <w:tbl>
      <w:tblPr>
        <w:tblW w:w="49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2835"/>
        <w:gridCol w:w="1842"/>
        <w:gridCol w:w="1843"/>
        <w:gridCol w:w="425"/>
        <w:gridCol w:w="709"/>
        <w:gridCol w:w="142"/>
        <w:gridCol w:w="1134"/>
      </w:tblGrid>
      <w:tr w:rsidR="00B35866" w:rsidRPr="00CF7E1B" w14:paraId="1CC1D055" w14:textId="77777777" w:rsidTr="00D919F2">
        <w:trPr>
          <w:cantSplit/>
          <w:trHeight w:val="23"/>
        </w:trPr>
        <w:tc>
          <w:tcPr>
            <w:tcW w:w="1563" w:type="dxa"/>
            <w:tcBorders>
              <w:top w:val="nil"/>
              <w:left w:val="single" w:sz="2" w:space="0" w:color="auto"/>
              <w:bottom w:val="nil"/>
              <w:right w:val="single" w:sz="2" w:space="0" w:color="auto"/>
            </w:tcBorders>
          </w:tcPr>
          <w:p w14:paraId="6B384893" w14:textId="77777777" w:rsidR="00B35866" w:rsidRPr="008B46D1" w:rsidRDefault="00B35866" w:rsidP="005D3C33">
            <w:pPr>
              <w:pStyle w:val="TableReference"/>
              <w:tabs>
                <w:tab w:val="left" w:pos="3306"/>
              </w:tabs>
              <w:spacing w:before="240" w:after="240"/>
              <w:rPr>
                <w:rFonts w:asciiTheme="minorHAnsi" w:hAnsiTheme="minorHAnsi" w:cstheme="minorHAnsi"/>
                <w:color w:val="7030A0"/>
                <w:sz w:val="22"/>
                <w:szCs w:val="22"/>
              </w:rPr>
            </w:pPr>
            <w:r w:rsidRPr="008B46D1">
              <w:rPr>
                <w:rFonts w:asciiTheme="minorHAnsi" w:hAnsiTheme="minorHAnsi" w:cstheme="minorHAnsi"/>
                <w:b/>
                <w:bCs/>
                <w:color w:val="7030A0"/>
                <w:sz w:val="22"/>
                <w:szCs w:val="22"/>
              </w:rPr>
              <w:t>Reference</w:t>
            </w:r>
          </w:p>
        </w:tc>
        <w:tc>
          <w:tcPr>
            <w:tcW w:w="8930" w:type="dxa"/>
            <w:gridSpan w:val="7"/>
            <w:tcBorders>
              <w:top w:val="nil"/>
              <w:left w:val="single" w:sz="2" w:space="0" w:color="auto"/>
              <w:bottom w:val="nil"/>
              <w:right w:val="nil"/>
            </w:tcBorders>
            <w:vAlign w:val="bottom"/>
          </w:tcPr>
          <w:p w14:paraId="694525A3" w14:textId="61F7F340" w:rsidR="00B35866" w:rsidRPr="008B46D1" w:rsidRDefault="00EE0C18" w:rsidP="00556C11">
            <w:pPr>
              <w:pStyle w:val="Heading1"/>
              <w:numPr>
                <w:ilvl w:val="0"/>
                <w:numId w:val="0"/>
              </w:numPr>
            </w:pPr>
            <w:bookmarkStart w:id="960" w:name="_Toc98763205"/>
            <w:bookmarkStart w:id="961" w:name="Treceivables"/>
            <w:r w:rsidRPr="008B46D1">
              <w:t>Note</w:t>
            </w:r>
            <w:r w:rsidR="00A623EC" w:rsidRPr="008B46D1">
              <w:t xml:space="preserve"> </w:t>
            </w:r>
            <w:r w:rsidR="00DD6620" w:rsidRPr="008B46D1">
              <w:t>4</w:t>
            </w:r>
            <w:r w:rsidR="00E86853" w:rsidRPr="008B46D1">
              <w:t>7</w:t>
            </w:r>
            <w:r w:rsidR="00A623EC" w:rsidRPr="008B46D1">
              <w:t>.</w:t>
            </w:r>
            <w:r w:rsidR="00FA7C77">
              <w:t xml:space="preserve"> </w:t>
            </w:r>
            <w:r w:rsidRPr="008B46D1">
              <w:t xml:space="preserve"> Receivables</w:t>
            </w:r>
            <w:r w:rsidR="000C1CDA" w:rsidRPr="008B46D1">
              <w:t xml:space="preserve"> and Contract Assets</w:t>
            </w:r>
            <w:r w:rsidRPr="008B46D1">
              <w:t xml:space="preserve"> </w:t>
            </w:r>
            <w:r w:rsidR="00E80D67" w:rsidRPr="008B46D1">
              <w:t>–</w:t>
            </w:r>
            <w:r w:rsidRPr="008B46D1">
              <w:t>Territorial</w:t>
            </w:r>
            <w:bookmarkEnd w:id="960"/>
            <w:r w:rsidRPr="008B46D1">
              <w:t xml:space="preserve"> </w:t>
            </w:r>
            <w:bookmarkEnd w:id="961"/>
          </w:p>
        </w:tc>
      </w:tr>
      <w:tr w:rsidR="00BA5DE9" w:rsidRPr="00CF7E1B" w14:paraId="77C048B5" w14:textId="77777777" w:rsidTr="00D919F2">
        <w:trPr>
          <w:cantSplit/>
          <w:trHeight w:val="23"/>
        </w:trPr>
        <w:tc>
          <w:tcPr>
            <w:tcW w:w="1563" w:type="dxa"/>
            <w:tcBorders>
              <w:top w:val="nil"/>
              <w:left w:val="single" w:sz="2" w:space="0" w:color="auto"/>
              <w:bottom w:val="nil"/>
              <w:right w:val="single" w:sz="2" w:space="0" w:color="auto"/>
            </w:tcBorders>
          </w:tcPr>
          <w:p w14:paraId="6FFCB319" w14:textId="77777777" w:rsidR="00BA5DE9" w:rsidRPr="008B46D1" w:rsidRDefault="00BA5DE9" w:rsidP="00BA5DE9">
            <w:pPr>
              <w:pStyle w:val="TableReference"/>
              <w:tabs>
                <w:tab w:val="left" w:pos="3306"/>
              </w:tabs>
              <w:spacing w:before="40"/>
              <w:rPr>
                <w:rFonts w:cs="Calibri"/>
                <w:color w:val="7030A0"/>
                <w:sz w:val="16"/>
                <w:szCs w:val="16"/>
              </w:rPr>
            </w:pPr>
          </w:p>
        </w:tc>
        <w:tc>
          <w:tcPr>
            <w:tcW w:w="8930" w:type="dxa"/>
            <w:gridSpan w:val="7"/>
            <w:tcBorders>
              <w:top w:val="nil"/>
              <w:left w:val="single" w:sz="2" w:space="0" w:color="auto"/>
              <w:bottom w:val="nil"/>
              <w:right w:val="nil"/>
            </w:tcBorders>
            <w:vAlign w:val="bottom"/>
          </w:tcPr>
          <w:p w14:paraId="4C6FCAB4" w14:textId="242C7C89" w:rsidR="00BA5DE9" w:rsidRPr="008B46D1" w:rsidRDefault="000610F9" w:rsidP="00BA5DE9">
            <w:pPr>
              <w:pStyle w:val="TableText"/>
              <w:rPr>
                <w:rFonts w:cs="Calibri"/>
                <w:b/>
                <w:bCs/>
              </w:rPr>
            </w:pPr>
            <w:r w:rsidRPr="008B46D1">
              <w:rPr>
                <w:rFonts w:cs="Calibri"/>
                <w:b/>
                <w:bCs/>
              </w:rPr>
              <w:t>Description and Material Accounting Policies Relating to Receivables</w:t>
            </w:r>
            <w:r w:rsidR="000C1CDA" w:rsidRPr="008B46D1">
              <w:rPr>
                <w:rFonts w:cs="Calibri"/>
                <w:b/>
                <w:bCs/>
              </w:rPr>
              <w:t xml:space="preserve"> and Contract Assets</w:t>
            </w:r>
            <w:r w:rsidRPr="008B46D1">
              <w:rPr>
                <w:rFonts w:cs="Calibri"/>
                <w:b/>
                <w:bCs/>
              </w:rPr>
              <w:t xml:space="preserve"> - Territorial</w:t>
            </w:r>
          </w:p>
        </w:tc>
      </w:tr>
      <w:tr w:rsidR="00BA5DE9" w:rsidRPr="00CF7E1B" w14:paraId="53AC9236" w14:textId="77777777" w:rsidTr="00D919F2">
        <w:trPr>
          <w:cantSplit/>
          <w:trHeight w:val="23"/>
        </w:trPr>
        <w:tc>
          <w:tcPr>
            <w:tcW w:w="1563" w:type="dxa"/>
            <w:tcBorders>
              <w:top w:val="nil"/>
              <w:left w:val="single" w:sz="2" w:space="0" w:color="auto"/>
              <w:bottom w:val="nil"/>
              <w:right w:val="single" w:sz="2" w:space="0" w:color="auto"/>
            </w:tcBorders>
          </w:tcPr>
          <w:p w14:paraId="26B2487C" w14:textId="77777777" w:rsidR="00BA5DE9" w:rsidRPr="008B46D1" w:rsidRDefault="00BA5DE9" w:rsidP="00BA5DE9">
            <w:pPr>
              <w:pStyle w:val="TableReference"/>
              <w:tabs>
                <w:tab w:val="left" w:pos="3306"/>
              </w:tabs>
              <w:spacing w:before="40"/>
              <w:rPr>
                <w:rFonts w:cs="Calibri"/>
                <w:color w:val="7030A0"/>
                <w:sz w:val="16"/>
                <w:szCs w:val="16"/>
              </w:rPr>
            </w:pPr>
          </w:p>
        </w:tc>
        <w:tc>
          <w:tcPr>
            <w:tcW w:w="8930" w:type="dxa"/>
            <w:gridSpan w:val="7"/>
            <w:tcBorders>
              <w:top w:val="nil"/>
              <w:left w:val="single" w:sz="2" w:space="0" w:color="auto"/>
              <w:bottom w:val="nil"/>
              <w:right w:val="nil"/>
            </w:tcBorders>
            <w:vAlign w:val="bottom"/>
          </w:tcPr>
          <w:p w14:paraId="209372EC" w14:textId="03ED2F4F" w:rsidR="00BA5DE9" w:rsidRPr="008B46D1" w:rsidRDefault="000610F9" w:rsidP="008B2204">
            <w:pPr>
              <w:pStyle w:val="TableText"/>
              <w:spacing w:after="120"/>
              <w:jc w:val="both"/>
              <w:rPr>
                <w:rFonts w:cs="Calibri"/>
              </w:rPr>
            </w:pPr>
            <w:r w:rsidRPr="008B46D1">
              <w:rPr>
                <w:rFonts w:cs="Calibri"/>
              </w:rPr>
              <w:t>‘</w:t>
            </w:r>
            <w:r w:rsidR="00347866" w:rsidRPr="008B46D1">
              <w:t xml:space="preserve">Burley Griffin </w:t>
            </w:r>
            <w:r w:rsidRPr="008B46D1">
              <w:rPr>
                <w:rFonts w:cs="Calibri"/>
              </w:rPr>
              <w:t xml:space="preserve">Agency’s’ territorial receivables arise from the collection of fees and fines. </w:t>
            </w:r>
            <w:r w:rsidR="00D823DA" w:rsidRPr="008B46D1">
              <w:rPr>
                <w:rFonts w:cs="Calibri"/>
              </w:rPr>
              <w:t xml:space="preserve">Receivables relating to the fees are recognised when the fee is incurred and receivables relating to fines are recognised when the infringement notice is issued. These are generally due within </w:t>
            </w:r>
            <w:r w:rsidR="00D823DA" w:rsidRPr="00722BF2">
              <w:rPr>
                <w:rFonts w:cs="Calibri"/>
                <w:color w:val="C45911" w:themeColor="accent2" w:themeShade="BF"/>
              </w:rPr>
              <w:t xml:space="preserve">&lt;30&gt; </w:t>
            </w:r>
            <w:r w:rsidR="00D823DA" w:rsidRPr="008B46D1">
              <w:rPr>
                <w:rFonts w:cs="Calibri"/>
              </w:rPr>
              <w:t xml:space="preserve">days after the fee is incurred or the notice is issued. </w:t>
            </w:r>
          </w:p>
        </w:tc>
      </w:tr>
      <w:tr w:rsidR="007E373A" w:rsidRPr="00CF7E1B" w14:paraId="33D61BD7" w14:textId="77777777" w:rsidTr="00D919F2">
        <w:trPr>
          <w:cantSplit/>
          <w:trHeight w:val="23"/>
        </w:trPr>
        <w:tc>
          <w:tcPr>
            <w:tcW w:w="1563" w:type="dxa"/>
            <w:tcBorders>
              <w:top w:val="nil"/>
              <w:left w:val="single" w:sz="2" w:space="0" w:color="auto"/>
              <w:bottom w:val="nil"/>
              <w:right w:val="single" w:sz="2" w:space="0" w:color="auto"/>
            </w:tcBorders>
          </w:tcPr>
          <w:p w14:paraId="46D6E764" w14:textId="77777777" w:rsidR="007E373A" w:rsidRPr="008B46D1" w:rsidRDefault="007E373A" w:rsidP="007E373A">
            <w:pPr>
              <w:pStyle w:val="TableReference"/>
              <w:tabs>
                <w:tab w:val="left" w:pos="3306"/>
              </w:tabs>
              <w:spacing w:before="40"/>
              <w:rPr>
                <w:rFonts w:cs="Calibri"/>
                <w:color w:val="7030A0"/>
                <w:sz w:val="16"/>
                <w:szCs w:val="16"/>
              </w:rPr>
            </w:pPr>
          </w:p>
        </w:tc>
        <w:tc>
          <w:tcPr>
            <w:tcW w:w="8930" w:type="dxa"/>
            <w:gridSpan w:val="7"/>
            <w:tcBorders>
              <w:top w:val="nil"/>
              <w:left w:val="single" w:sz="2" w:space="0" w:color="auto"/>
              <w:bottom w:val="nil"/>
              <w:right w:val="nil"/>
            </w:tcBorders>
          </w:tcPr>
          <w:p w14:paraId="3D77B135" w14:textId="36784622" w:rsidR="007E373A" w:rsidRPr="008B46D1" w:rsidRDefault="007E373A" w:rsidP="007E373A">
            <w:pPr>
              <w:pStyle w:val="TableText"/>
              <w:rPr>
                <w:rFonts w:cs="Calibri"/>
                <w:b/>
                <w:bCs/>
              </w:rPr>
            </w:pPr>
            <w:r w:rsidRPr="008B46D1">
              <w:rPr>
                <w:rFonts w:cs="Calibri"/>
                <w:i/>
                <w:iCs/>
              </w:rPr>
              <w:t xml:space="preserve">Impairment loss – </w:t>
            </w:r>
            <w:r w:rsidR="005C675F" w:rsidRPr="008B46D1">
              <w:rPr>
                <w:rFonts w:cs="Calibri"/>
                <w:i/>
                <w:iCs/>
              </w:rPr>
              <w:t>Fees and Fines</w:t>
            </w:r>
            <w:r w:rsidRPr="008B46D1">
              <w:rPr>
                <w:rFonts w:cs="Calibri"/>
                <w:i/>
                <w:iCs/>
              </w:rPr>
              <w:t xml:space="preserve"> Receivable </w:t>
            </w:r>
          </w:p>
        </w:tc>
      </w:tr>
      <w:tr w:rsidR="007E373A" w:rsidRPr="00CF7E1B" w14:paraId="096E02A7" w14:textId="77777777" w:rsidTr="00D919F2">
        <w:trPr>
          <w:cantSplit/>
          <w:trHeight w:val="23"/>
        </w:trPr>
        <w:tc>
          <w:tcPr>
            <w:tcW w:w="1563" w:type="dxa"/>
            <w:tcBorders>
              <w:top w:val="nil"/>
              <w:left w:val="single" w:sz="2" w:space="0" w:color="auto"/>
              <w:bottom w:val="nil"/>
              <w:right w:val="single" w:sz="2" w:space="0" w:color="auto"/>
            </w:tcBorders>
          </w:tcPr>
          <w:p w14:paraId="2428DA86" w14:textId="77777777" w:rsidR="007E373A" w:rsidRPr="008B46D1" w:rsidRDefault="007E373A" w:rsidP="007E373A">
            <w:pPr>
              <w:pStyle w:val="TableReference"/>
              <w:tabs>
                <w:tab w:val="left" w:pos="3306"/>
              </w:tabs>
              <w:spacing w:before="40"/>
              <w:rPr>
                <w:rFonts w:cs="Calibri"/>
                <w:color w:val="7030A0"/>
                <w:sz w:val="16"/>
                <w:szCs w:val="16"/>
              </w:rPr>
            </w:pPr>
          </w:p>
        </w:tc>
        <w:tc>
          <w:tcPr>
            <w:tcW w:w="8930" w:type="dxa"/>
            <w:gridSpan w:val="7"/>
            <w:tcBorders>
              <w:top w:val="nil"/>
              <w:left w:val="single" w:sz="2" w:space="0" w:color="auto"/>
              <w:bottom w:val="nil"/>
              <w:right w:val="nil"/>
            </w:tcBorders>
          </w:tcPr>
          <w:p w14:paraId="4E540C70" w14:textId="2A104E02" w:rsidR="007E373A" w:rsidRPr="008B46D1" w:rsidRDefault="007E373A" w:rsidP="002A2C5F">
            <w:pPr>
              <w:spacing w:after="120"/>
              <w:jc w:val="both"/>
              <w:rPr>
                <w:rFonts w:cs="Calibri"/>
                <w:b/>
                <w:bCs/>
              </w:rPr>
            </w:pPr>
            <w:r w:rsidRPr="008B46D1">
              <w:rPr>
                <w:sz w:val="18"/>
                <w:szCs w:val="18"/>
              </w:rPr>
              <w:t xml:space="preserve">The allowance for expected credit losses represents the amount of </w:t>
            </w:r>
            <w:r w:rsidR="008B2204" w:rsidRPr="008B46D1">
              <w:rPr>
                <w:sz w:val="18"/>
                <w:szCs w:val="18"/>
              </w:rPr>
              <w:t>fees and fines</w:t>
            </w:r>
            <w:r w:rsidRPr="008B46D1">
              <w:rPr>
                <w:sz w:val="18"/>
                <w:szCs w:val="18"/>
              </w:rPr>
              <w:t xml:space="preserve"> receivable the Agency estimates will not be repaid.</w:t>
            </w:r>
            <w:r w:rsidR="00FA7C77">
              <w:rPr>
                <w:sz w:val="18"/>
                <w:szCs w:val="18"/>
              </w:rPr>
              <w:t xml:space="preserve"> </w:t>
            </w:r>
            <w:r w:rsidRPr="008B46D1">
              <w:rPr>
                <w:sz w:val="18"/>
                <w:szCs w:val="18"/>
              </w:rPr>
              <w:t xml:space="preserve">The allowance for impairment losses is </w:t>
            </w:r>
            <w:r w:rsidR="008B2204" w:rsidRPr="008B46D1">
              <w:rPr>
                <w:sz w:val="18"/>
                <w:szCs w:val="18"/>
              </w:rPr>
              <w:t xml:space="preserve">calculated using a </w:t>
            </w:r>
            <w:r w:rsidR="003C6503" w:rsidRPr="008B46D1">
              <w:rPr>
                <w:sz w:val="18"/>
                <w:szCs w:val="18"/>
              </w:rPr>
              <w:t xml:space="preserve">lifetime </w:t>
            </w:r>
            <w:r w:rsidR="008B2204" w:rsidRPr="008B46D1">
              <w:rPr>
                <w:sz w:val="18"/>
                <w:szCs w:val="18"/>
              </w:rPr>
              <w:t xml:space="preserve">expected credit loss provision matrix which is </w:t>
            </w:r>
            <w:r w:rsidRPr="008B46D1">
              <w:rPr>
                <w:sz w:val="18"/>
                <w:szCs w:val="18"/>
              </w:rPr>
              <w:t xml:space="preserve">based </w:t>
            </w:r>
            <w:r w:rsidR="005C675F" w:rsidRPr="008B46D1">
              <w:rPr>
                <w:sz w:val="18"/>
                <w:szCs w:val="18"/>
              </w:rPr>
              <w:t>on several categorisations of receivables</w:t>
            </w:r>
            <w:r w:rsidR="008B2204" w:rsidRPr="008B46D1">
              <w:rPr>
                <w:sz w:val="18"/>
                <w:szCs w:val="18"/>
              </w:rPr>
              <w:t xml:space="preserve">. The calculation factors in </w:t>
            </w:r>
            <w:r w:rsidRPr="008B46D1">
              <w:rPr>
                <w:sz w:val="18"/>
                <w:szCs w:val="18"/>
              </w:rPr>
              <w:t xml:space="preserve">objective evidence </w:t>
            </w:r>
            <w:r w:rsidR="008B2204" w:rsidRPr="008B46D1">
              <w:rPr>
                <w:sz w:val="18"/>
                <w:szCs w:val="18"/>
              </w:rPr>
              <w:t xml:space="preserve">available to the agency </w:t>
            </w:r>
            <w:r w:rsidRPr="008B46D1">
              <w:rPr>
                <w:sz w:val="18"/>
                <w:szCs w:val="18"/>
              </w:rPr>
              <w:t>and a review of overdue balances.</w:t>
            </w:r>
            <w:r w:rsidR="008B2204" w:rsidRPr="008B46D1">
              <w:rPr>
                <w:sz w:val="18"/>
                <w:szCs w:val="18"/>
              </w:rPr>
              <w:t xml:space="preserve"> The categorisations are based upon the demonstrated pattern of collections over the past </w:t>
            </w:r>
            <w:r w:rsidR="008B2204" w:rsidRPr="00722BF2">
              <w:rPr>
                <w:color w:val="C45911" w:themeColor="accent2" w:themeShade="BF"/>
                <w:sz w:val="18"/>
                <w:szCs w:val="18"/>
              </w:rPr>
              <w:t xml:space="preserve">&lt;3&gt; </w:t>
            </w:r>
            <w:r w:rsidR="008B2204" w:rsidRPr="008B46D1">
              <w:rPr>
                <w:sz w:val="18"/>
                <w:szCs w:val="18"/>
              </w:rPr>
              <w:t xml:space="preserve">years adjusted for </w:t>
            </w:r>
            <w:r w:rsidR="003C6503" w:rsidRPr="008B46D1">
              <w:rPr>
                <w:sz w:val="18"/>
                <w:szCs w:val="18"/>
              </w:rPr>
              <w:t>justifiable forward-looking information, including forecast economic changes expected to impact on receivables.</w:t>
            </w:r>
          </w:p>
        </w:tc>
      </w:tr>
      <w:tr w:rsidR="007E373A" w:rsidRPr="00CF7E1B" w14:paraId="23FB61EA" w14:textId="77777777" w:rsidTr="00D919F2">
        <w:trPr>
          <w:cantSplit/>
          <w:trHeight w:val="23"/>
        </w:trPr>
        <w:tc>
          <w:tcPr>
            <w:tcW w:w="1563" w:type="dxa"/>
            <w:tcBorders>
              <w:top w:val="nil"/>
              <w:left w:val="single" w:sz="2" w:space="0" w:color="auto"/>
              <w:bottom w:val="nil"/>
              <w:right w:val="single" w:sz="2" w:space="0" w:color="auto"/>
            </w:tcBorders>
          </w:tcPr>
          <w:p w14:paraId="3843D532" w14:textId="77777777" w:rsidR="007E373A" w:rsidRPr="008B46D1" w:rsidRDefault="007E373A" w:rsidP="007E373A">
            <w:pPr>
              <w:pStyle w:val="TableReference"/>
              <w:tabs>
                <w:tab w:val="left" w:pos="3306"/>
              </w:tabs>
              <w:spacing w:before="40"/>
              <w:rPr>
                <w:rFonts w:cs="Calibri"/>
                <w:color w:val="7030A0"/>
                <w:sz w:val="16"/>
                <w:szCs w:val="16"/>
              </w:rPr>
            </w:pPr>
          </w:p>
        </w:tc>
        <w:tc>
          <w:tcPr>
            <w:tcW w:w="8930" w:type="dxa"/>
            <w:gridSpan w:val="7"/>
            <w:tcBorders>
              <w:top w:val="nil"/>
              <w:left w:val="single" w:sz="2" w:space="0" w:color="auto"/>
              <w:bottom w:val="nil"/>
              <w:right w:val="nil"/>
            </w:tcBorders>
            <w:vAlign w:val="bottom"/>
          </w:tcPr>
          <w:p w14:paraId="1D56BF73" w14:textId="68E62E6D" w:rsidR="007E373A" w:rsidRPr="008B46D1" w:rsidRDefault="002A2C5F" w:rsidP="007E373A">
            <w:pPr>
              <w:pStyle w:val="TableText"/>
              <w:rPr>
                <w:rFonts w:cs="Calibri"/>
                <w:b/>
                <w:bCs/>
              </w:rPr>
            </w:pPr>
            <w:r w:rsidRPr="008B46D1">
              <w:rPr>
                <w:rFonts w:asciiTheme="minorHAnsi" w:hAnsiTheme="minorHAnsi" w:cstheme="minorHAnsi"/>
                <w:b/>
                <w:bCs/>
              </w:rPr>
              <w:t>Impact of COVID-19</w:t>
            </w:r>
          </w:p>
        </w:tc>
      </w:tr>
      <w:tr w:rsidR="002A2C5F" w:rsidRPr="00CF7E1B" w14:paraId="6A49C3F9" w14:textId="77777777" w:rsidTr="00D919F2">
        <w:trPr>
          <w:cantSplit/>
          <w:trHeight w:val="23"/>
        </w:trPr>
        <w:tc>
          <w:tcPr>
            <w:tcW w:w="1563" w:type="dxa"/>
            <w:tcBorders>
              <w:top w:val="nil"/>
              <w:left w:val="single" w:sz="2" w:space="0" w:color="auto"/>
              <w:bottom w:val="nil"/>
              <w:right w:val="single" w:sz="2" w:space="0" w:color="auto"/>
            </w:tcBorders>
          </w:tcPr>
          <w:p w14:paraId="379EDDD3" w14:textId="77777777" w:rsidR="002A2C5F" w:rsidRPr="008B46D1" w:rsidRDefault="002A2C5F" w:rsidP="007E373A">
            <w:pPr>
              <w:pStyle w:val="TableReference"/>
              <w:tabs>
                <w:tab w:val="left" w:pos="3306"/>
              </w:tabs>
              <w:spacing w:before="40"/>
              <w:rPr>
                <w:rFonts w:cs="Calibri"/>
                <w:color w:val="7030A0"/>
                <w:sz w:val="16"/>
                <w:szCs w:val="16"/>
              </w:rPr>
            </w:pPr>
          </w:p>
        </w:tc>
        <w:tc>
          <w:tcPr>
            <w:tcW w:w="8930" w:type="dxa"/>
            <w:gridSpan w:val="7"/>
            <w:tcBorders>
              <w:top w:val="nil"/>
              <w:left w:val="single" w:sz="2" w:space="0" w:color="auto"/>
              <w:bottom w:val="nil"/>
              <w:right w:val="nil"/>
            </w:tcBorders>
            <w:vAlign w:val="bottom"/>
          </w:tcPr>
          <w:p w14:paraId="64B0B62D" w14:textId="4C6A78E6" w:rsidR="002A2C5F" w:rsidRPr="008B46D1" w:rsidRDefault="002A2C5F" w:rsidP="002A2C5F">
            <w:pPr>
              <w:pStyle w:val="TableText"/>
              <w:jc w:val="both"/>
              <w:rPr>
                <w:rFonts w:cs="Calibri"/>
                <w:b/>
                <w:bCs/>
              </w:rPr>
            </w:pPr>
            <w:r w:rsidRPr="008B46D1">
              <w:t xml:space="preserve">‘Burley Griffin </w:t>
            </w:r>
            <w:r w:rsidRPr="008B46D1">
              <w:rPr>
                <w:rFonts w:asciiTheme="minorHAnsi" w:hAnsiTheme="minorHAnsi" w:cstheme="minorHAnsi"/>
              </w:rPr>
              <w:t>Agency’s’ Expected Credit Losses have increased reflecting changes in the ability of people to settle their debts.</w:t>
            </w:r>
          </w:p>
        </w:tc>
      </w:tr>
      <w:tr w:rsidR="008B2204" w:rsidRPr="00CF7E1B" w14:paraId="676C88E4" w14:textId="77777777" w:rsidTr="00D919F2">
        <w:trPr>
          <w:cantSplit/>
          <w:trHeight w:val="23"/>
        </w:trPr>
        <w:tc>
          <w:tcPr>
            <w:tcW w:w="1563" w:type="dxa"/>
            <w:tcBorders>
              <w:top w:val="nil"/>
              <w:left w:val="single" w:sz="2" w:space="0" w:color="auto"/>
              <w:bottom w:val="nil"/>
              <w:right w:val="single" w:sz="2" w:space="0" w:color="auto"/>
            </w:tcBorders>
          </w:tcPr>
          <w:p w14:paraId="067419B9" w14:textId="77777777" w:rsidR="008B2204" w:rsidRPr="008B46D1" w:rsidRDefault="008B2204"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0066A9C0" w14:textId="77777777" w:rsidR="008B2204" w:rsidRPr="008B46D1" w:rsidRDefault="008B2204" w:rsidP="007E373A">
            <w:pPr>
              <w:pStyle w:val="TableText"/>
              <w:rPr>
                <w:rFonts w:cs="Calibri"/>
                <w:b/>
                <w:bCs/>
              </w:rPr>
            </w:pPr>
          </w:p>
        </w:tc>
        <w:tc>
          <w:tcPr>
            <w:tcW w:w="1276" w:type="dxa"/>
            <w:gridSpan w:val="3"/>
            <w:tcBorders>
              <w:top w:val="nil"/>
              <w:left w:val="nil"/>
              <w:bottom w:val="nil"/>
              <w:right w:val="nil"/>
            </w:tcBorders>
          </w:tcPr>
          <w:p w14:paraId="7D8AD036" w14:textId="6D385BF7" w:rsidR="008B2204" w:rsidRPr="008B46D1" w:rsidRDefault="008B2204" w:rsidP="008B2204">
            <w:pPr>
              <w:pStyle w:val="TableText"/>
              <w:jc w:val="right"/>
              <w:rPr>
                <w:rFonts w:cs="Calibri"/>
                <w:b/>
                <w:bCs/>
              </w:rPr>
            </w:pPr>
            <w:r w:rsidRPr="008B46D1">
              <w:rPr>
                <w:rFonts w:cs="Calibri"/>
                <w:b/>
                <w:bCs/>
              </w:rPr>
              <w:t xml:space="preserve">2022 </w:t>
            </w:r>
          </w:p>
        </w:tc>
        <w:tc>
          <w:tcPr>
            <w:tcW w:w="1134" w:type="dxa"/>
            <w:tcBorders>
              <w:top w:val="nil"/>
              <w:left w:val="nil"/>
              <w:bottom w:val="nil"/>
              <w:right w:val="nil"/>
            </w:tcBorders>
            <w:vAlign w:val="bottom"/>
          </w:tcPr>
          <w:p w14:paraId="2F0B814F" w14:textId="0BF877D7" w:rsidR="008B2204" w:rsidRPr="008B46D1" w:rsidRDefault="008B2204" w:rsidP="008B2204">
            <w:pPr>
              <w:pStyle w:val="TableText"/>
              <w:jc w:val="right"/>
              <w:rPr>
                <w:rFonts w:cs="Calibri"/>
                <w:b/>
                <w:bCs/>
              </w:rPr>
            </w:pPr>
            <w:r w:rsidRPr="008B46D1">
              <w:rPr>
                <w:rFonts w:cs="Calibri"/>
                <w:b/>
                <w:bCs/>
              </w:rPr>
              <w:t>2021</w:t>
            </w:r>
          </w:p>
        </w:tc>
      </w:tr>
      <w:tr w:rsidR="008B2204" w:rsidRPr="00CF7E1B" w14:paraId="1E9DFF71" w14:textId="77777777" w:rsidTr="00D919F2">
        <w:trPr>
          <w:cantSplit/>
          <w:trHeight w:val="23"/>
        </w:trPr>
        <w:tc>
          <w:tcPr>
            <w:tcW w:w="1563" w:type="dxa"/>
            <w:tcBorders>
              <w:top w:val="nil"/>
              <w:left w:val="single" w:sz="2" w:space="0" w:color="auto"/>
              <w:bottom w:val="nil"/>
              <w:right w:val="single" w:sz="2" w:space="0" w:color="auto"/>
            </w:tcBorders>
          </w:tcPr>
          <w:p w14:paraId="7FDC4109" w14:textId="77777777" w:rsidR="008B2204" w:rsidRPr="008B46D1" w:rsidRDefault="008B2204"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3FB7EB3C" w14:textId="77777777" w:rsidR="008B2204" w:rsidRPr="008B46D1" w:rsidRDefault="008B2204" w:rsidP="007E373A">
            <w:pPr>
              <w:pStyle w:val="TableText"/>
              <w:rPr>
                <w:rFonts w:cs="Calibri"/>
                <w:b/>
                <w:bCs/>
              </w:rPr>
            </w:pPr>
          </w:p>
        </w:tc>
        <w:tc>
          <w:tcPr>
            <w:tcW w:w="1276" w:type="dxa"/>
            <w:gridSpan w:val="3"/>
            <w:tcBorders>
              <w:top w:val="nil"/>
              <w:left w:val="nil"/>
              <w:bottom w:val="nil"/>
              <w:right w:val="nil"/>
            </w:tcBorders>
          </w:tcPr>
          <w:p w14:paraId="0DC8251B" w14:textId="46D35876" w:rsidR="008B2204" w:rsidRPr="008B46D1" w:rsidRDefault="008B2204" w:rsidP="008B2204">
            <w:pPr>
              <w:pStyle w:val="TableText"/>
              <w:jc w:val="right"/>
              <w:rPr>
                <w:rFonts w:cs="Calibri"/>
                <w:b/>
                <w:bCs/>
              </w:rPr>
            </w:pPr>
            <w:r w:rsidRPr="008B46D1">
              <w:rPr>
                <w:rFonts w:cs="Calibri"/>
                <w:b/>
                <w:bCs/>
              </w:rPr>
              <w:t>$’000</w:t>
            </w:r>
          </w:p>
        </w:tc>
        <w:tc>
          <w:tcPr>
            <w:tcW w:w="1134" w:type="dxa"/>
            <w:tcBorders>
              <w:top w:val="nil"/>
              <w:left w:val="nil"/>
              <w:bottom w:val="nil"/>
              <w:right w:val="nil"/>
            </w:tcBorders>
            <w:vAlign w:val="bottom"/>
          </w:tcPr>
          <w:p w14:paraId="52443B26" w14:textId="2FCAD1A3" w:rsidR="008B2204" w:rsidRPr="008B46D1" w:rsidRDefault="008B2204" w:rsidP="008B2204">
            <w:pPr>
              <w:pStyle w:val="TableText"/>
              <w:jc w:val="right"/>
              <w:rPr>
                <w:rFonts w:cs="Calibri"/>
                <w:b/>
                <w:bCs/>
              </w:rPr>
            </w:pPr>
            <w:r w:rsidRPr="008B46D1">
              <w:rPr>
                <w:rFonts w:cs="Calibri"/>
                <w:b/>
                <w:bCs/>
              </w:rPr>
              <w:t>$’000</w:t>
            </w:r>
          </w:p>
        </w:tc>
      </w:tr>
      <w:tr w:rsidR="007E373A" w:rsidRPr="00CF7E1B" w14:paraId="0A7D642F" w14:textId="77777777" w:rsidTr="00D919F2">
        <w:trPr>
          <w:cantSplit/>
          <w:trHeight w:val="23"/>
        </w:trPr>
        <w:tc>
          <w:tcPr>
            <w:tcW w:w="1563" w:type="dxa"/>
            <w:tcBorders>
              <w:top w:val="nil"/>
              <w:left w:val="single" w:sz="2" w:space="0" w:color="auto"/>
              <w:bottom w:val="nil"/>
              <w:right w:val="single" w:sz="2" w:space="0" w:color="auto"/>
            </w:tcBorders>
          </w:tcPr>
          <w:p w14:paraId="7B9C2BB9"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31464D8C" w14:textId="77777777" w:rsidR="007E373A" w:rsidRPr="008B46D1" w:rsidRDefault="007E373A" w:rsidP="007E373A">
            <w:pPr>
              <w:pStyle w:val="TableText"/>
              <w:tabs>
                <w:tab w:val="left" w:pos="3306"/>
              </w:tabs>
              <w:rPr>
                <w:rFonts w:cs="Calibri"/>
                <w:b/>
                <w:bCs/>
              </w:rPr>
            </w:pPr>
            <w:bookmarkStart w:id="962" w:name="_Toc48468882"/>
            <w:bookmarkStart w:id="963" w:name="_Toc49155942"/>
            <w:bookmarkStart w:id="964" w:name="_Toc49224360"/>
            <w:r w:rsidRPr="008B46D1">
              <w:rPr>
                <w:rFonts w:cs="Calibri"/>
                <w:b/>
                <w:bCs/>
              </w:rPr>
              <w:t>Current Receivables</w:t>
            </w:r>
            <w:bookmarkEnd w:id="962"/>
            <w:bookmarkEnd w:id="963"/>
            <w:bookmarkEnd w:id="964"/>
          </w:p>
        </w:tc>
        <w:tc>
          <w:tcPr>
            <w:tcW w:w="1134" w:type="dxa"/>
            <w:gridSpan w:val="2"/>
            <w:tcBorders>
              <w:top w:val="nil"/>
              <w:left w:val="nil"/>
              <w:bottom w:val="nil"/>
              <w:right w:val="nil"/>
            </w:tcBorders>
            <w:vAlign w:val="bottom"/>
          </w:tcPr>
          <w:p w14:paraId="7119B8B7" w14:textId="77777777" w:rsidR="007E373A" w:rsidRPr="008B46D1" w:rsidRDefault="007E373A" w:rsidP="007E373A">
            <w:pPr>
              <w:pStyle w:val="TableText"/>
              <w:jc w:val="right"/>
              <w:rPr>
                <w:rFonts w:cs="Calibri"/>
                <w:b/>
                <w:bCs/>
              </w:rPr>
            </w:pPr>
          </w:p>
        </w:tc>
        <w:tc>
          <w:tcPr>
            <w:tcW w:w="1276" w:type="dxa"/>
            <w:gridSpan w:val="2"/>
            <w:tcBorders>
              <w:top w:val="nil"/>
              <w:left w:val="nil"/>
              <w:bottom w:val="nil"/>
              <w:right w:val="nil"/>
            </w:tcBorders>
            <w:vAlign w:val="bottom"/>
          </w:tcPr>
          <w:p w14:paraId="02D041EA" w14:textId="77777777" w:rsidR="007E373A" w:rsidRPr="008B46D1" w:rsidRDefault="007E373A" w:rsidP="007E373A">
            <w:pPr>
              <w:pStyle w:val="TableText"/>
              <w:jc w:val="right"/>
              <w:rPr>
                <w:rFonts w:cs="Calibri"/>
                <w:b/>
                <w:bCs/>
              </w:rPr>
            </w:pPr>
          </w:p>
        </w:tc>
      </w:tr>
      <w:tr w:rsidR="007E373A" w:rsidRPr="00CF7E1B" w14:paraId="37CAADA4" w14:textId="77777777" w:rsidTr="00D919F2">
        <w:trPr>
          <w:cantSplit/>
          <w:trHeight w:val="23"/>
        </w:trPr>
        <w:tc>
          <w:tcPr>
            <w:tcW w:w="1563" w:type="dxa"/>
            <w:tcBorders>
              <w:top w:val="nil"/>
              <w:left w:val="single" w:sz="2" w:space="0" w:color="auto"/>
              <w:bottom w:val="nil"/>
              <w:right w:val="single" w:sz="2" w:space="0" w:color="auto"/>
            </w:tcBorders>
          </w:tcPr>
          <w:p w14:paraId="07791F12"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4CA99E4A" w14:textId="480EEF01" w:rsidR="007E373A" w:rsidRPr="008B46D1" w:rsidRDefault="00386482" w:rsidP="007E373A">
            <w:pPr>
              <w:pStyle w:val="TableText"/>
              <w:tabs>
                <w:tab w:val="left" w:pos="3306"/>
              </w:tabs>
              <w:rPr>
                <w:rFonts w:cs="Calibri"/>
                <w:strike/>
              </w:rPr>
            </w:pPr>
            <w:r w:rsidRPr="008B46D1">
              <w:rPr>
                <w:rFonts w:cs="Calibri"/>
              </w:rPr>
              <w:t xml:space="preserve">Fees for Regulatory Services </w:t>
            </w:r>
            <w:r w:rsidR="007E373A" w:rsidRPr="008B46D1">
              <w:rPr>
                <w:rFonts w:cs="Calibri"/>
              </w:rPr>
              <w:t>Receivable</w:t>
            </w:r>
          </w:p>
        </w:tc>
        <w:tc>
          <w:tcPr>
            <w:tcW w:w="1134" w:type="dxa"/>
            <w:gridSpan w:val="2"/>
            <w:tcBorders>
              <w:top w:val="nil"/>
              <w:left w:val="nil"/>
              <w:bottom w:val="nil"/>
              <w:right w:val="nil"/>
            </w:tcBorders>
            <w:vAlign w:val="bottom"/>
          </w:tcPr>
          <w:p w14:paraId="222A66A3" w14:textId="10232DFC" w:rsidR="007E373A" w:rsidRPr="008B46D1" w:rsidRDefault="007E373A" w:rsidP="007E373A">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FB0416C" w14:textId="4EAE4F40" w:rsidR="007E373A" w:rsidRPr="008B46D1" w:rsidRDefault="007E373A" w:rsidP="007E373A">
            <w:pPr>
              <w:pStyle w:val="TableText"/>
              <w:tabs>
                <w:tab w:val="left" w:pos="3306"/>
              </w:tabs>
              <w:jc w:val="right"/>
              <w:rPr>
                <w:rFonts w:cs="Calibri"/>
              </w:rPr>
            </w:pPr>
          </w:p>
        </w:tc>
      </w:tr>
      <w:tr w:rsidR="007E373A" w:rsidRPr="00CF7E1B" w14:paraId="76BCE1EC" w14:textId="77777777" w:rsidTr="00D919F2">
        <w:trPr>
          <w:cantSplit/>
          <w:trHeight w:val="23"/>
        </w:trPr>
        <w:tc>
          <w:tcPr>
            <w:tcW w:w="1563" w:type="dxa"/>
            <w:tcBorders>
              <w:top w:val="nil"/>
              <w:left w:val="single" w:sz="2" w:space="0" w:color="auto"/>
              <w:bottom w:val="nil"/>
              <w:right w:val="single" w:sz="2" w:space="0" w:color="auto"/>
            </w:tcBorders>
          </w:tcPr>
          <w:p w14:paraId="75744B82"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0981BFC1" w14:textId="77777777" w:rsidR="007E373A" w:rsidRPr="008B46D1" w:rsidRDefault="007E373A" w:rsidP="008B5477">
            <w:pPr>
              <w:pStyle w:val="TableText"/>
              <w:tabs>
                <w:tab w:val="left" w:pos="3306"/>
              </w:tabs>
              <w:spacing w:after="120"/>
              <w:rPr>
                <w:rFonts w:cs="Calibri"/>
              </w:rPr>
            </w:pPr>
            <w:r w:rsidRPr="008B46D1">
              <w:rPr>
                <w:rFonts w:cs="Calibri"/>
              </w:rPr>
              <w:t>Less: Allowance for Impairment Losses</w:t>
            </w:r>
          </w:p>
        </w:tc>
        <w:tc>
          <w:tcPr>
            <w:tcW w:w="1134" w:type="dxa"/>
            <w:gridSpan w:val="2"/>
            <w:tcBorders>
              <w:top w:val="nil"/>
              <w:left w:val="nil"/>
              <w:bottom w:val="nil"/>
              <w:right w:val="nil"/>
            </w:tcBorders>
            <w:vAlign w:val="bottom"/>
          </w:tcPr>
          <w:p w14:paraId="51A5F69A" w14:textId="2F887780" w:rsidR="007E373A" w:rsidRPr="008B46D1" w:rsidRDefault="007E373A" w:rsidP="007E373A">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66F24138" w14:textId="30A7C6F5" w:rsidR="007E373A" w:rsidRPr="008B46D1" w:rsidRDefault="007E373A" w:rsidP="007E373A">
            <w:pPr>
              <w:pStyle w:val="TableText"/>
              <w:tabs>
                <w:tab w:val="left" w:pos="3306"/>
              </w:tabs>
              <w:jc w:val="right"/>
              <w:rPr>
                <w:rFonts w:cs="Calibri"/>
              </w:rPr>
            </w:pPr>
          </w:p>
        </w:tc>
      </w:tr>
      <w:tr w:rsidR="007E373A" w:rsidRPr="00CF7E1B" w14:paraId="591C18AA" w14:textId="77777777" w:rsidTr="00D919F2">
        <w:trPr>
          <w:cantSplit/>
          <w:trHeight w:val="23"/>
        </w:trPr>
        <w:tc>
          <w:tcPr>
            <w:tcW w:w="1563" w:type="dxa"/>
            <w:tcBorders>
              <w:top w:val="nil"/>
              <w:left w:val="single" w:sz="2" w:space="0" w:color="auto"/>
              <w:bottom w:val="nil"/>
              <w:right w:val="single" w:sz="2" w:space="0" w:color="auto"/>
            </w:tcBorders>
          </w:tcPr>
          <w:p w14:paraId="4F112DBC"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61147457" w14:textId="6B90A9FB" w:rsidR="007E373A" w:rsidRPr="008B46D1" w:rsidRDefault="008B5477" w:rsidP="007E373A">
            <w:pPr>
              <w:pStyle w:val="TableText"/>
              <w:tabs>
                <w:tab w:val="left" w:pos="3306"/>
              </w:tabs>
              <w:rPr>
                <w:rFonts w:cs="Calibri"/>
              </w:rPr>
            </w:pPr>
            <w:r w:rsidRPr="008B46D1">
              <w:rPr>
                <w:rFonts w:cs="Calibri"/>
              </w:rPr>
              <w:t>Traffic Fines</w:t>
            </w:r>
            <w:r w:rsidR="007E373A" w:rsidRPr="008B46D1">
              <w:rPr>
                <w:rFonts w:cs="Calibri"/>
              </w:rPr>
              <w:t xml:space="preserve"> Receivables</w:t>
            </w:r>
          </w:p>
        </w:tc>
        <w:tc>
          <w:tcPr>
            <w:tcW w:w="1134" w:type="dxa"/>
            <w:gridSpan w:val="2"/>
            <w:tcBorders>
              <w:top w:val="nil"/>
              <w:left w:val="nil"/>
              <w:bottom w:val="nil"/>
              <w:right w:val="nil"/>
            </w:tcBorders>
            <w:vAlign w:val="bottom"/>
          </w:tcPr>
          <w:p w14:paraId="68C00EC9" w14:textId="573A52E1" w:rsidR="007E373A" w:rsidRPr="008B46D1" w:rsidRDefault="007E373A" w:rsidP="007E373A">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2B04256A" w14:textId="4FC1C1F2" w:rsidR="007E373A" w:rsidRPr="008B46D1" w:rsidRDefault="007E373A" w:rsidP="007E373A">
            <w:pPr>
              <w:pStyle w:val="TableText"/>
              <w:tabs>
                <w:tab w:val="left" w:pos="3306"/>
              </w:tabs>
              <w:jc w:val="right"/>
              <w:rPr>
                <w:rFonts w:cs="Calibri"/>
              </w:rPr>
            </w:pPr>
          </w:p>
        </w:tc>
      </w:tr>
      <w:tr w:rsidR="007E373A" w:rsidRPr="00CF7E1B" w14:paraId="6AFD2A38" w14:textId="77777777" w:rsidTr="00D919F2">
        <w:trPr>
          <w:cantSplit/>
          <w:trHeight w:val="23"/>
        </w:trPr>
        <w:tc>
          <w:tcPr>
            <w:tcW w:w="1563" w:type="dxa"/>
            <w:tcBorders>
              <w:top w:val="nil"/>
              <w:left w:val="single" w:sz="2" w:space="0" w:color="auto"/>
              <w:bottom w:val="nil"/>
              <w:right w:val="single" w:sz="2" w:space="0" w:color="auto"/>
            </w:tcBorders>
          </w:tcPr>
          <w:p w14:paraId="25EB24B3"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48EBB2EE" w14:textId="77777777" w:rsidR="007E373A" w:rsidRPr="008B46D1" w:rsidRDefault="007E373A" w:rsidP="008B5477">
            <w:pPr>
              <w:pStyle w:val="TableText"/>
              <w:tabs>
                <w:tab w:val="left" w:pos="3306"/>
              </w:tabs>
              <w:spacing w:after="120"/>
              <w:rPr>
                <w:rFonts w:cs="Calibri"/>
              </w:rPr>
            </w:pPr>
            <w:r w:rsidRPr="008B46D1">
              <w:rPr>
                <w:rFonts w:cs="Calibri"/>
              </w:rPr>
              <w:t>Less: Allowance for Impairment Losses</w:t>
            </w:r>
          </w:p>
        </w:tc>
        <w:tc>
          <w:tcPr>
            <w:tcW w:w="1134" w:type="dxa"/>
            <w:gridSpan w:val="2"/>
            <w:tcBorders>
              <w:top w:val="nil"/>
              <w:left w:val="nil"/>
              <w:bottom w:val="nil"/>
              <w:right w:val="nil"/>
            </w:tcBorders>
            <w:vAlign w:val="bottom"/>
          </w:tcPr>
          <w:p w14:paraId="153C2E61" w14:textId="1F7D5C34" w:rsidR="007E373A" w:rsidRPr="008B46D1" w:rsidRDefault="007E373A" w:rsidP="007E373A">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0CBF184" w14:textId="738A6624" w:rsidR="007E373A" w:rsidRPr="008B46D1" w:rsidRDefault="007E373A" w:rsidP="007E373A">
            <w:pPr>
              <w:pStyle w:val="TableText"/>
              <w:tabs>
                <w:tab w:val="left" w:pos="3306"/>
              </w:tabs>
              <w:jc w:val="right"/>
              <w:rPr>
                <w:rFonts w:cs="Calibri"/>
              </w:rPr>
            </w:pPr>
          </w:p>
        </w:tc>
      </w:tr>
      <w:tr w:rsidR="007E373A" w:rsidRPr="00CF7E1B" w14:paraId="73BFABD7" w14:textId="77777777" w:rsidTr="00D919F2">
        <w:trPr>
          <w:cantSplit/>
          <w:trHeight w:val="23"/>
        </w:trPr>
        <w:tc>
          <w:tcPr>
            <w:tcW w:w="1563" w:type="dxa"/>
            <w:tcBorders>
              <w:top w:val="nil"/>
              <w:left w:val="single" w:sz="2" w:space="0" w:color="auto"/>
              <w:bottom w:val="nil"/>
              <w:right w:val="single" w:sz="2" w:space="0" w:color="auto"/>
            </w:tcBorders>
          </w:tcPr>
          <w:p w14:paraId="112DC481"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23D8403D" w14:textId="0E4119DA" w:rsidR="007E373A" w:rsidRPr="008B46D1" w:rsidRDefault="007E373A" w:rsidP="007E373A">
            <w:pPr>
              <w:pStyle w:val="TableText"/>
              <w:tabs>
                <w:tab w:val="left" w:pos="3306"/>
              </w:tabs>
              <w:rPr>
                <w:rFonts w:cs="Calibri"/>
              </w:rPr>
            </w:pPr>
            <w:r w:rsidRPr="008B46D1">
              <w:rPr>
                <w:rFonts w:cs="Calibri"/>
              </w:rPr>
              <w:t>Parking Fines</w:t>
            </w:r>
            <w:r w:rsidR="00713BE5" w:rsidRPr="008B46D1">
              <w:rPr>
                <w:rFonts w:cs="Calibri"/>
              </w:rPr>
              <w:t xml:space="preserve"> Receivable</w:t>
            </w:r>
          </w:p>
        </w:tc>
        <w:tc>
          <w:tcPr>
            <w:tcW w:w="1134" w:type="dxa"/>
            <w:gridSpan w:val="2"/>
            <w:tcBorders>
              <w:top w:val="nil"/>
              <w:left w:val="nil"/>
              <w:bottom w:val="nil"/>
              <w:right w:val="nil"/>
            </w:tcBorders>
            <w:vAlign w:val="bottom"/>
          </w:tcPr>
          <w:p w14:paraId="3A25208E" w14:textId="77777777" w:rsidR="007E373A" w:rsidRPr="008B46D1" w:rsidRDefault="007E373A" w:rsidP="007E373A">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3D5EAA7F" w14:textId="77777777" w:rsidR="007E373A" w:rsidRPr="008B46D1" w:rsidRDefault="007E373A" w:rsidP="007E373A">
            <w:pPr>
              <w:pStyle w:val="TableText"/>
              <w:tabs>
                <w:tab w:val="left" w:pos="3306"/>
              </w:tabs>
              <w:jc w:val="right"/>
              <w:rPr>
                <w:rFonts w:cs="Calibri"/>
              </w:rPr>
            </w:pPr>
          </w:p>
        </w:tc>
      </w:tr>
      <w:tr w:rsidR="007E373A" w:rsidRPr="00CF7E1B" w14:paraId="0CA47908" w14:textId="77777777" w:rsidTr="00D919F2">
        <w:trPr>
          <w:cantSplit/>
          <w:trHeight w:val="23"/>
        </w:trPr>
        <w:tc>
          <w:tcPr>
            <w:tcW w:w="1563" w:type="dxa"/>
            <w:tcBorders>
              <w:top w:val="nil"/>
              <w:left w:val="single" w:sz="2" w:space="0" w:color="auto"/>
              <w:bottom w:val="nil"/>
              <w:right w:val="single" w:sz="2" w:space="0" w:color="auto"/>
            </w:tcBorders>
          </w:tcPr>
          <w:p w14:paraId="46A5B64B"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5E4F24D3" w14:textId="67A24235" w:rsidR="007E373A" w:rsidRPr="008B46D1" w:rsidRDefault="007E373A" w:rsidP="00D823DA">
            <w:pPr>
              <w:pStyle w:val="TableText"/>
              <w:tabs>
                <w:tab w:val="left" w:pos="3306"/>
              </w:tabs>
              <w:spacing w:after="120"/>
              <w:rPr>
                <w:rFonts w:cs="Calibri"/>
              </w:rPr>
            </w:pPr>
            <w:r w:rsidRPr="008B46D1">
              <w:rPr>
                <w:rFonts w:cs="Calibri"/>
              </w:rPr>
              <w:t>Less: Allowance for Impairment Losses</w:t>
            </w:r>
          </w:p>
        </w:tc>
        <w:tc>
          <w:tcPr>
            <w:tcW w:w="1134" w:type="dxa"/>
            <w:gridSpan w:val="2"/>
            <w:tcBorders>
              <w:top w:val="nil"/>
              <w:left w:val="nil"/>
              <w:bottom w:val="nil"/>
              <w:right w:val="nil"/>
            </w:tcBorders>
            <w:vAlign w:val="bottom"/>
          </w:tcPr>
          <w:p w14:paraId="1D449ABB" w14:textId="77777777" w:rsidR="007E373A" w:rsidRPr="008B46D1" w:rsidRDefault="007E373A" w:rsidP="007E373A">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6BF0B6DF" w14:textId="77777777" w:rsidR="007E373A" w:rsidRPr="008B46D1" w:rsidRDefault="007E373A" w:rsidP="007E373A">
            <w:pPr>
              <w:pStyle w:val="TableText"/>
              <w:tabs>
                <w:tab w:val="left" w:pos="3306"/>
              </w:tabs>
              <w:jc w:val="right"/>
              <w:rPr>
                <w:rFonts w:cs="Calibri"/>
              </w:rPr>
            </w:pPr>
          </w:p>
        </w:tc>
      </w:tr>
      <w:tr w:rsidR="007E373A" w:rsidRPr="00CF7E1B" w14:paraId="491CDC76" w14:textId="77777777" w:rsidTr="00D919F2">
        <w:trPr>
          <w:cantSplit/>
          <w:trHeight w:val="23"/>
        </w:trPr>
        <w:tc>
          <w:tcPr>
            <w:tcW w:w="1563" w:type="dxa"/>
            <w:tcBorders>
              <w:top w:val="nil"/>
              <w:left w:val="single" w:sz="2" w:space="0" w:color="auto"/>
              <w:bottom w:val="nil"/>
              <w:right w:val="single" w:sz="2" w:space="0" w:color="auto"/>
            </w:tcBorders>
          </w:tcPr>
          <w:p w14:paraId="1AB7982B"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1055777A" w14:textId="77777777" w:rsidR="007E373A" w:rsidRPr="008B46D1" w:rsidRDefault="007E373A" w:rsidP="007E373A">
            <w:pPr>
              <w:pStyle w:val="TableText"/>
              <w:tabs>
                <w:tab w:val="left" w:pos="3306"/>
              </w:tabs>
              <w:rPr>
                <w:rFonts w:cs="Calibri"/>
              </w:rPr>
            </w:pPr>
            <w:r w:rsidRPr="008B46D1">
              <w:rPr>
                <w:rFonts w:cs="Calibri"/>
              </w:rPr>
              <w:t>Net GST Receivable</w:t>
            </w:r>
          </w:p>
        </w:tc>
        <w:tc>
          <w:tcPr>
            <w:tcW w:w="1134" w:type="dxa"/>
            <w:gridSpan w:val="2"/>
            <w:tcBorders>
              <w:top w:val="nil"/>
              <w:left w:val="nil"/>
              <w:bottom w:val="nil"/>
              <w:right w:val="nil"/>
            </w:tcBorders>
            <w:vAlign w:val="bottom"/>
          </w:tcPr>
          <w:p w14:paraId="39D52C3B" w14:textId="25EA971C" w:rsidR="007E373A" w:rsidRPr="008B46D1" w:rsidRDefault="007E373A" w:rsidP="007E373A">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420EB404" w14:textId="507EA772" w:rsidR="007E373A" w:rsidRPr="008B46D1" w:rsidRDefault="007E373A" w:rsidP="007E373A">
            <w:pPr>
              <w:pStyle w:val="TableText"/>
              <w:tabs>
                <w:tab w:val="left" w:pos="3306"/>
              </w:tabs>
              <w:jc w:val="right"/>
              <w:rPr>
                <w:rFonts w:cs="Calibri"/>
              </w:rPr>
            </w:pPr>
          </w:p>
        </w:tc>
      </w:tr>
      <w:tr w:rsidR="007E373A" w:rsidRPr="00CF7E1B" w14:paraId="7B4135C3" w14:textId="77777777" w:rsidTr="00D919F2">
        <w:trPr>
          <w:cantSplit/>
          <w:trHeight w:val="23"/>
        </w:trPr>
        <w:tc>
          <w:tcPr>
            <w:tcW w:w="1563" w:type="dxa"/>
            <w:tcBorders>
              <w:top w:val="nil"/>
              <w:left w:val="single" w:sz="2" w:space="0" w:color="auto"/>
              <w:bottom w:val="nil"/>
              <w:right w:val="single" w:sz="2" w:space="0" w:color="auto"/>
            </w:tcBorders>
          </w:tcPr>
          <w:p w14:paraId="734280FE"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595B8037" w14:textId="77777777" w:rsidR="007E373A" w:rsidRPr="008B46D1" w:rsidRDefault="007E373A" w:rsidP="007E373A">
            <w:pPr>
              <w:pStyle w:val="TableText"/>
              <w:tabs>
                <w:tab w:val="left" w:pos="3306"/>
              </w:tabs>
              <w:rPr>
                <w:rFonts w:cs="Calibri"/>
              </w:rPr>
            </w:pPr>
            <w:r w:rsidRPr="008B46D1">
              <w:rPr>
                <w:rFonts w:cs="Calibri"/>
              </w:rPr>
              <w:t>Other Current Receivables</w:t>
            </w:r>
          </w:p>
        </w:tc>
        <w:tc>
          <w:tcPr>
            <w:tcW w:w="1134" w:type="dxa"/>
            <w:gridSpan w:val="2"/>
            <w:tcBorders>
              <w:top w:val="nil"/>
              <w:left w:val="nil"/>
              <w:bottom w:val="single" w:sz="2" w:space="0" w:color="auto"/>
              <w:right w:val="nil"/>
            </w:tcBorders>
            <w:vAlign w:val="bottom"/>
          </w:tcPr>
          <w:p w14:paraId="2652A635" w14:textId="12DB4781" w:rsidR="007E373A" w:rsidRPr="008B46D1" w:rsidRDefault="007E373A" w:rsidP="007E373A">
            <w:pPr>
              <w:pStyle w:val="TableText"/>
              <w:tabs>
                <w:tab w:val="left" w:pos="3306"/>
              </w:tabs>
              <w:jc w:val="right"/>
              <w:rPr>
                <w:rFonts w:cs="Calibri"/>
              </w:rPr>
            </w:pPr>
          </w:p>
        </w:tc>
        <w:tc>
          <w:tcPr>
            <w:tcW w:w="1276" w:type="dxa"/>
            <w:gridSpan w:val="2"/>
            <w:tcBorders>
              <w:top w:val="nil"/>
              <w:left w:val="nil"/>
              <w:bottom w:val="single" w:sz="2" w:space="0" w:color="auto"/>
              <w:right w:val="nil"/>
            </w:tcBorders>
            <w:vAlign w:val="bottom"/>
          </w:tcPr>
          <w:p w14:paraId="4BBF0C21" w14:textId="33B3C6B8" w:rsidR="007E373A" w:rsidRPr="008B46D1" w:rsidRDefault="007E373A" w:rsidP="007E373A">
            <w:pPr>
              <w:pStyle w:val="TableText"/>
              <w:tabs>
                <w:tab w:val="left" w:pos="3306"/>
              </w:tabs>
              <w:jc w:val="right"/>
              <w:rPr>
                <w:rFonts w:cs="Calibri"/>
              </w:rPr>
            </w:pPr>
          </w:p>
        </w:tc>
      </w:tr>
      <w:tr w:rsidR="007E373A" w:rsidRPr="00CF7E1B" w14:paraId="525220DE" w14:textId="77777777" w:rsidTr="00D919F2">
        <w:trPr>
          <w:cantSplit/>
          <w:trHeight w:val="23"/>
        </w:trPr>
        <w:tc>
          <w:tcPr>
            <w:tcW w:w="1563" w:type="dxa"/>
            <w:tcBorders>
              <w:top w:val="nil"/>
              <w:left w:val="single" w:sz="2" w:space="0" w:color="auto"/>
              <w:bottom w:val="nil"/>
              <w:right w:val="single" w:sz="2" w:space="0" w:color="auto"/>
            </w:tcBorders>
          </w:tcPr>
          <w:p w14:paraId="0FB869A3"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30B945FE" w14:textId="77777777" w:rsidR="007E373A" w:rsidRPr="008B46D1" w:rsidRDefault="007E373A" w:rsidP="007E373A">
            <w:pPr>
              <w:pStyle w:val="TableText"/>
              <w:tabs>
                <w:tab w:val="left" w:pos="3306"/>
              </w:tabs>
              <w:rPr>
                <w:rFonts w:cs="Calibri"/>
                <w:b/>
                <w:bCs/>
              </w:rPr>
            </w:pPr>
            <w:r w:rsidRPr="008B46D1">
              <w:rPr>
                <w:rFonts w:cs="Calibri"/>
                <w:b/>
                <w:bCs/>
              </w:rPr>
              <w:t>Total Current Receivables</w:t>
            </w:r>
          </w:p>
        </w:tc>
        <w:tc>
          <w:tcPr>
            <w:tcW w:w="1134" w:type="dxa"/>
            <w:gridSpan w:val="2"/>
            <w:tcBorders>
              <w:top w:val="single" w:sz="2" w:space="0" w:color="auto"/>
              <w:left w:val="nil"/>
              <w:bottom w:val="single" w:sz="2" w:space="0" w:color="auto"/>
              <w:right w:val="nil"/>
            </w:tcBorders>
            <w:vAlign w:val="bottom"/>
          </w:tcPr>
          <w:p w14:paraId="4EBEE874" w14:textId="63290F44" w:rsidR="007E373A" w:rsidRPr="008B46D1" w:rsidRDefault="007E373A" w:rsidP="007E373A">
            <w:pPr>
              <w:pStyle w:val="TableText"/>
              <w:tabs>
                <w:tab w:val="left" w:pos="3306"/>
              </w:tabs>
              <w:jc w:val="right"/>
              <w:rPr>
                <w:rFonts w:cs="Calibri"/>
                <w:b/>
                <w:bCs/>
              </w:rPr>
            </w:pPr>
          </w:p>
        </w:tc>
        <w:tc>
          <w:tcPr>
            <w:tcW w:w="1276" w:type="dxa"/>
            <w:gridSpan w:val="2"/>
            <w:tcBorders>
              <w:top w:val="single" w:sz="2" w:space="0" w:color="auto"/>
              <w:left w:val="nil"/>
              <w:bottom w:val="single" w:sz="2" w:space="0" w:color="auto"/>
              <w:right w:val="nil"/>
            </w:tcBorders>
            <w:vAlign w:val="bottom"/>
          </w:tcPr>
          <w:p w14:paraId="0CE8996A" w14:textId="0152DE5C" w:rsidR="007E373A" w:rsidRPr="008B46D1" w:rsidRDefault="007E373A" w:rsidP="007E373A">
            <w:pPr>
              <w:pStyle w:val="TableText"/>
              <w:tabs>
                <w:tab w:val="left" w:pos="3306"/>
              </w:tabs>
              <w:jc w:val="right"/>
              <w:rPr>
                <w:rFonts w:cs="Calibri"/>
                <w:b/>
                <w:bCs/>
              </w:rPr>
            </w:pPr>
          </w:p>
        </w:tc>
      </w:tr>
      <w:tr w:rsidR="007E373A" w:rsidRPr="00CF7E1B" w14:paraId="1B1140BA" w14:textId="77777777" w:rsidTr="00D919F2">
        <w:trPr>
          <w:cantSplit/>
          <w:trHeight w:val="23"/>
        </w:trPr>
        <w:tc>
          <w:tcPr>
            <w:tcW w:w="1563" w:type="dxa"/>
            <w:tcBorders>
              <w:top w:val="nil"/>
              <w:left w:val="single" w:sz="2" w:space="0" w:color="auto"/>
              <w:bottom w:val="nil"/>
              <w:right w:val="single" w:sz="2" w:space="0" w:color="auto"/>
            </w:tcBorders>
          </w:tcPr>
          <w:p w14:paraId="24070FE5"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3DF997BD" w14:textId="051E3829" w:rsidR="007E373A" w:rsidRPr="008B46D1" w:rsidRDefault="007E373A" w:rsidP="007E373A">
            <w:pPr>
              <w:pStyle w:val="TableText"/>
              <w:tabs>
                <w:tab w:val="left" w:pos="3306"/>
              </w:tabs>
              <w:rPr>
                <w:rFonts w:cs="Calibri"/>
                <w:b/>
                <w:bCs/>
              </w:rPr>
            </w:pPr>
            <w:r w:rsidRPr="008B46D1">
              <w:rPr>
                <w:rFonts w:cs="Calibri"/>
                <w:b/>
                <w:bCs/>
              </w:rPr>
              <w:t>Total Receivables</w:t>
            </w:r>
            <w:r w:rsidR="000C1CDA" w:rsidRPr="008B46D1">
              <w:rPr>
                <w:rFonts w:cs="Calibri"/>
                <w:b/>
                <w:bCs/>
              </w:rPr>
              <w:t xml:space="preserve"> and Contract Assets</w:t>
            </w:r>
          </w:p>
        </w:tc>
        <w:tc>
          <w:tcPr>
            <w:tcW w:w="1134" w:type="dxa"/>
            <w:gridSpan w:val="2"/>
            <w:tcBorders>
              <w:top w:val="single" w:sz="2" w:space="0" w:color="auto"/>
              <w:left w:val="nil"/>
              <w:bottom w:val="double" w:sz="4" w:space="0" w:color="auto"/>
              <w:right w:val="nil"/>
            </w:tcBorders>
            <w:vAlign w:val="bottom"/>
          </w:tcPr>
          <w:p w14:paraId="2B3EF571" w14:textId="3B6E6D92" w:rsidR="007E373A" w:rsidRPr="008B46D1" w:rsidRDefault="007E373A" w:rsidP="007E373A">
            <w:pPr>
              <w:pStyle w:val="TableText"/>
              <w:tabs>
                <w:tab w:val="left" w:pos="3306"/>
              </w:tabs>
              <w:jc w:val="right"/>
              <w:rPr>
                <w:rFonts w:cs="Calibri"/>
                <w:b/>
                <w:bCs/>
              </w:rPr>
            </w:pPr>
          </w:p>
        </w:tc>
        <w:tc>
          <w:tcPr>
            <w:tcW w:w="1276" w:type="dxa"/>
            <w:gridSpan w:val="2"/>
            <w:tcBorders>
              <w:top w:val="single" w:sz="2" w:space="0" w:color="auto"/>
              <w:left w:val="nil"/>
              <w:bottom w:val="double" w:sz="4" w:space="0" w:color="auto"/>
              <w:right w:val="nil"/>
            </w:tcBorders>
            <w:vAlign w:val="bottom"/>
          </w:tcPr>
          <w:p w14:paraId="295ACA57" w14:textId="393B851D" w:rsidR="007E373A" w:rsidRPr="008B46D1" w:rsidRDefault="007E373A" w:rsidP="007E373A">
            <w:pPr>
              <w:pStyle w:val="TableText"/>
              <w:tabs>
                <w:tab w:val="left" w:pos="3306"/>
              </w:tabs>
              <w:jc w:val="right"/>
              <w:rPr>
                <w:rFonts w:cs="Calibri"/>
                <w:b/>
                <w:bCs/>
              </w:rPr>
            </w:pPr>
          </w:p>
        </w:tc>
      </w:tr>
      <w:tr w:rsidR="007E373A" w:rsidRPr="00CF7E1B" w14:paraId="4C375438" w14:textId="77777777" w:rsidTr="00D919F2">
        <w:trPr>
          <w:cantSplit/>
          <w:trHeight w:val="23"/>
        </w:trPr>
        <w:tc>
          <w:tcPr>
            <w:tcW w:w="1563" w:type="dxa"/>
            <w:tcBorders>
              <w:top w:val="nil"/>
              <w:left w:val="single" w:sz="2" w:space="0" w:color="auto"/>
              <w:bottom w:val="nil"/>
              <w:right w:val="single" w:sz="2" w:space="0" w:color="auto"/>
            </w:tcBorders>
          </w:tcPr>
          <w:p w14:paraId="7FECE03B" w14:textId="77777777" w:rsidR="007E373A" w:rsidRPr="008B46D1" w:rsidRDefault="007E373A" w:rsidP="007E373A">
            <w:pPr>
              <w:pStyle w:val="TableReference"/>
              <w:tabs>
                <w:tab w:val="left" w:pos="3306"/>
              </w:tabs>
              <w:spacing w:before="40"/>
              <w:rPr>
                <w:rFonts w:cs="Calibri"/>
                <w:color w:val="7030A0"/>
                <w:sz w:val="16"/>
                <w:szCs w:val="16"/>
              </w:rPr>
            </w:pPr>
          </w:p>
        </w:tc>
        <w:tc>
          <w:tcPr>
            <w:tcW w:w="6520" w:type="dxa"/>
            <w:gridSpan w:val="3"/>
            <w:tcBorders>
              <w:top w:val="nil"/>
              <w:left w:val="single" w:sz="2" w:space="0" w:color="auto"/>
              <w:bottom w:val="nil"/>
              <w:right w:val="nil"/>
            </w:tcBorders>
            <w:vAlign w:val="bottom"/>
          </w:tcPr>
          <w:p w14:paraId="3D632E45" w14:textId="77777777" w:rsidR="007E373A" w:rsidRPr="008B46D1" w:rsidRDefault="007E373A" w:rsidP="007E373A">
            <w:pPr>
              <w:pStyle w:val="TableText"/>
              <w:tabs>
                <w:tab w:val="left" w:pos="3306"/>
              </w:tabs>
              <w:rPr>
                <w:rFonts w:cs="Calibri"/>
              </w:rPr>
            </w:pPr>
          </w:p>
        </w:tc>
        <w:tc>
          <w:tcPr>
            <w:tcW w:w="1134" w:type="dxa"/>
            <w:gridSpan w:val="2"/>
            <w:tcBorders>
              <w:top w:val="double" w:sz="4" w:space="0" w:color="auto"/>
              <w:left w:val="nil"/>
              <w:bottom w:val="nil"/>
              <w:right w:val="nil"/>
            </w:tcBorders>
            <w:vAlign w:val="bottom"/>
          </w:tcPr>
          <w:p w14:paraId="20F2EA34" w14:textId="77777777" w:rsidR="007E373A" w:rsidRPr="008B46D1" w:rsidRDefault="007E373A" w:rsidP="007E373A">
            <w:pPr>
              <w:pStyle w:val="TableText"/>
              <w:tabs>
                <w:tab w:val="left" w:pos="3306"/>
              </w:tabs>
              <w:jc w:val="right"/>
              <w:rPr>
                <w:rFonts w:cs="Calibri"/>
              </w:rPr>
            </w:pPr>
          </w:p>
        </w:tc>
        <w:tc>
          <w:tcPr>
            <w:tcW w:w="1276" w:type="dxa"/>
            <w:gridSpan w:val="2"/>
            <w:tcBorders>
              <w:top w:val="double" w:sz="4" w:space="0" w:color="auto"/>
              <w:left w:val="nil"/>
              <w:bottom w:val="nil"/>
              <w:right w:val="nil"/>
            </w:tcBorders>
            <w:vAlign w:val="bottom"/>
          </w:tcPr>
          <w:p w14:paraId="220F9E44" w14:textId="77777777" w:rsidR="007E373A" w:rsidRPr="008B46D1" w:rsidRDefault="007E373A" w:rsidP="007E373A">
            <w:pPr>
              <w:pStyle w:val="TableText"/>
              <w:tabs>
                <w:tab w:val="left" w:pos="3306"/>
              </w:tabs>
              <w:jc w:val="right"/>
              <w:rPr>
                <w:rFonts w:cs="Calibri"/>
              </w:rPr>
            </w:pPr>
          </w:p>
        </w:tc>
      </w:tr>
      <w:tr w:rsidR="007824EB" w:rsidRPr="00CF7E1B" w14:paraId="60D214CD" w14:textId="77777777" w:rsidTr="00D919F2">
        <w:trPr>
          <w:cantSplit/>
          <w:trHeight w:val="140"/>
        </w:trPr>
        <w:tc>
          <w:tcPr>
            <w:tcW w:w="1563" w:type="dxa"/>
            <w:tcBorders>
              <w:top w:val="nil"/>
              <w:left w:val="single" w:sz="2" w:space="0" w:color="auto"/>
              <w:bottom w:val="nil"/>
              <w:right w:val="single" w:sz="2" w:space="0" w:color="auto"/>
            </w:tcBorders>
          </w:tcPr>
          <w:p w14:paraId="7EEE2399" w14:textId="77777777" w:rsidR="007824EB" w:rsidRPr="008B46D1" w:rsidRDefault="007824EB" w:rsidP="007E373A">
            <w:pPr>
              <w:pStyle w:val="TableText"/>
              <w:tabs>
                <w:tab w:val="left" w:pos="3306"/>
              </w:tabs>
              <w:jc w:val="right"/>
              <w:rPr>
                <w:rFonts w:cs="Calibri"/>
                <w:color w:val="7030A0"/>
              </w:rPr>
            </w:pPr>
          </w:p>
        </w:tc>
        <w:tc>
          <w:tcPr>
            <w:tcW w:w="8930" w:type="dxa"/>
            <w:gridSpan w:val="7"/>
            <w:tcBorders>
              <w:top w:val="nil"/>
              <w:left w:val="single" w:sz="2" w:space="0" w:color="auto"/>
              <w:bottom w:val="nil"/>
              <w:right w:val="nil"/>
            </w:tcBorders>
            <w:vAlign w:val="bottom"/>
          </w:tcPr>
          <w:p w14:paraId="10D89B7F" w14:textId="7674E91E" w:rsidR="007824EB" w:rsidRPr="008B46D1" w:rsidRDefault="007824EB" w:rsidP="007E373A">
            <w:pPr>
              <w:pStyle w:val="TableText"/>
              <w:tabs>
                <w:tab w:val="left" w:pos="3306"/>
              </w:tabs>
              <w:rPr>
                <w:rFonts w:cs="Calibri"/>
                <w:b/>
              </w:rPr>
            </w:pPr>
            <w:r w:rsidRPr="008B46D1">
              <w:rPr>
                <w:rFonts w:cs="Calibri"/>
                <w:b/>
                <w:bCs/>
              </w:rPr>
              <w:t>Expected Credit Loss Allowance Provision Matrix</w:t>
            </w:r>
          </w:p>
        </w:tc>
      </w:tr>
      <w:tr w:rsidR="007E373A" w:rsidRPr="00CF7E1B" w14:paraId="0B1199AD" w14:textId="77777777" w:rsidTr="00D919F2">
        <w:trPr>
          <w:cantSplit/>
          <w:trHeight w:val="140"/>
        </w:trPr>
        <w:tc>
          <w:tcPr>
            <w:tcW w:w="1563" w:type="dxa"/>
            <w:tcBorders>
              <w:top w:val="nil"/>
              <w:left w:val="single" w:sz="2" w:space="0" w:color="auto"/>
              <w:bottom w:val="nil"/>
              <w:right w:val="single" w:sz="2" w:space="0" w:color="auto"/>
            </w:tcBorders>
          </w:tcPr>
          <w:p w14:paraId="01A6C70F" w14:textId="77777777" w:rsidR="007E373A" w:rsidRPr="008B46D1" w:rsidRDefault="007E373A" w:rsidP="007E373A">
            <w:pPr>
              <w:pStyle w:val="TableText"/>
              <w:tabs>
                <w:tab w:val="left" w:pos="3306"/>
              </w:tabs>
              <w:jc w:val="right"/>
              <w:rPr>
                <w:rFonts w:cs="Calibri"/>
                <w:color w:val="7030A0"/>
              </w:rPr>
            </w:pPr>
          </w:p>
        </w:tc>
        <w:tc>
          <w:tcPr>
            <w:tcW w:w="8930" w:type="dxa"/>
            <w:gridSpan w:val="7"/>
            <w:tcBorders>
              <w:top w:val="nil"/>
              <w:left w:val="single" w:sz="2" w:space="0" w:color="auto"/>
              <w:bottom w:val="nil"/>
              <w:right w:val="nil"/>
            </w:tcBorders>
            <w:vAlign w:val="bottom"/>
          </w:tcPr>
          <w:p w14:paraId="762F2E56" w14:textId="77777777" w:rsidR="007E373A" w:rsidRPr="008B46D1" w:rsidRDefault="007E373A" w:rsidP="007E373A">
            <w:pPr>
              <w:pStyle w:val="TableText"/>
              <w:tabs>
                <w:tab w:val="left" w:pos="3306"/>
              </w:tabs>
              <w:rPr>
                <w:rFonts w:cs="Calibri"/>
                <w:b/>
              </w:rPr>
            </w:pPr>
            <w:r w:rsidRPr="008B46D1">
              <w:rPr>
                <w:rFonts w:cs="Calibri"/>
                <w:b/>
              </w:rPr>
              <w:t>Ageing of Receivables</w:t>
            </w:r>
          </w:p>
        </w:tc>
      </w:tr>
      <w:tr w:rsidR="00260C36" w:rsidRPr="00CF7E1B" w14:paraId="0F91F098" w14:textId="77777777" w:rsidTr="00D919F2">
        <w:trPr>
          <w:cantSplit/>
          <w:trHeight w:val="21"/>
        </w:trPr>
        <w:tc>
          <w:tcPr>
            <w:tcW w:w="1563" w:type="dxa"/>
            <w:tcBorders>
              <w:top w:val="nil"/>
              <w:left w:val="single" w:sz="2" w:space="0" w:color="auto"/>
              <w:bottom w:val="nil"/>
              <w:right w:val="single" w:sz="2" w:space="0" w:color="auto"/>
            </w:tcBorders>
          </w:tcPr>
          <w:p w14:paraId="5B1113EE"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393679E9" w14:textId="77777777" w:rsidR="00260C36" w:rsidRPr="008B46D1" w:rsidRDefault="00260C36" w:rsidP="00260C36">
            <w:pPr>
              <w:pStyle w:val="TableText"/>
              <w:tabs>
                <w:tab w:val="left" w:pos="3306"/>
              </w:tabs>
              <w:jc w:val="right"/>
              <w:rPr>
                <w:rFonts w:cs="Calibri"/>
                <w:b/>
              </w:rPr>
            </w:pPr>
          </w:p>
        </w:tc>
        <w:tc>
          <w:tcPr>
            <w:tcW w:w="1842" w:type="dxa"/>
            <w:tcBorders>
              <w:top w:val="nil"/>
              <w:left w:val="nil"/>
              <w:bottom w:val="nil"/>
              <w:right w:val="nil"/>
            </w:tcBorders>
          </w:tcPr>
          <w:p w14:paraId="79EFC16C" w14:textId="7E3D4B4B" w:rsidR="00260C36" w:rsidRPr="008B46D1" w:rsidRDefault="00260C36" w:rsidP="00260C36">
            <w:pPr>
              <w:pStyle w:val="TableText"/>
              <w:tabs>
                <w:tab w:val="left" w:pos="3306"/>
              </w:tabs>
              <w:jc w:val="center"/>
              <w:rPr>
                <w:rFonts w:cs="Calibri"/>
                <w:b/>
                <w:bCs/>
              </w:rPr>
            </w:pPr>
            <w:r w:rsidRPr="008B46D1">
              <w:rPr>
                <w:rFonts w:cs="Calibri"/>
                <w:b/>
                <w:bCs/>
              </w:rPr>
              <w:t>Expected credit loss rate</w:t>
            </w:r>
          </w:p>
        </w:tc>
        <w:tc>
          <w:tcPr>
            <w:tcW w:w="2268" w:type="dxa"/>
            <w:gridSpan w:val="2"/>
            <w:tcBorders>
              <w:top w:val="nil"/>
              <w:left w:val="nil"/>
              <w:bottom w:val="nil"/>
              <w:right w:val="nil"/>
            </w:tcBorders>
          </w:tcPr>
          <w:p w14:paraId="7DDC4E02" w14:textId="65DF3A5A" w:rsidR="00260C36" w:rsidRPr="008B46D1" w:rsidRDefault="00260C36" w:rsidP="00260C36">
            <w:pPr>
              <w:pStyle w:val="TableText"/>
              <w:tabs>
                <w:tab w:val="left" w:pos="3306"/>
              </w:tabs>
              <w:jc w:val="center"/>
              <w:rPr>
                <w:rFonts w:cs="Calibri"/>
                <w:b/>
                <w:bCs/>
              </w:rPr>
            </w:pPr>
            <w:r w:rsidRPr="008B46D1">
              <w:rPr>
                <w:rFonts w:cs="Calibri"/>
                <w:b/>
                <w:bCs/>
              </w:rPr>
              <w:t>Estimated total gross carrying amount at default</w:t>
            </w:r>
          </w:p>
        </w:tc>
        <w:tc>
          <w:tcPr>
            <w:tcW w:w="1985" w:type="dxa"/>
            <w:gridSpan w:val="3"/>
            <w:tcBorders>
              <w:top w:val="nil"/>
              <w:left w:val="nil"/>
              <w:bottom w:val="nil"/>
              <w:right w:val="nil"/>
            </w:tcBorders>
          </w:tcPr>
          <w:p w14:paraId="0D7C2E98" w14:textId="1C8C1275" w:rsidR="00260C36" w:rsidRPr="008B46D1" w:rsidRDefault="00260C36" w:rsidP="00260C36">
            <w:pPr>
              <w:pStyle w:val="TableText"/>
              <w:tabs>
                <w:tab w:val="left" w:pos="3306"/>
              </w:tabs>
              <w:spacing w:before="0"/>
              <w:jc w:val="center"/>
              <w:rPr>
                <w:rFonts w:cs="Calibri"/>
                <w:b/>
                <w:bCs/>
              </w:rPr>
            </w:pPr>
            <w:r w:rsidRPr="008B46D1">
              <w:rPr>
                <w:rFonts w:cs="Calibri"/>
                <w:b/>
                <w:bCs/>
              </w:rPr>
              <w:t>Expected credit loss</w:t>
            </w:r>
          </w:p>
          <w:p w14:paraId="07A993A6" w14:textId="70144440" w:rsidR="00260C36" w:rsidRPr="008B46D1" w:rsidRDefault="00260C36" w:rsidP="00260C36">
            <w:pPr>
              <w:pStyle w:val="TableText"/>
              <w:tabs>
                <w:tab w:val="left" w:pos="3306"/>
              </w:tabs>
              <w:spacing w:before="0"/>
              <w:jc w:val="center"/>
              <w:rPr>
                <w:rFonts w:cs="Calibri"/>
                <w:b/>
                <w:bCs/>
              </w:rPr>
            </w:pPr>
            <w:r w:rsidRPr="008B46D1">
              <w:rPr>
                <w:rFonts w:cs="Calibri"/>
                <w:b/>
                <w:bCs/>
              </w:rPr>
              <w:t>Allowance</w:t>
            </w:r>
          </w:p>
        </w:tc>
      </w:tr>
      <w:tr w:rsidR="00260C36" w:rsidRPr="00CF7E1B" w14:paraId="25D0AEF6" w14:textId="77777777" w:rsidTr="00D919F2">
        <w:trPr>
          <w:cantSplit/>
          <w:trHeight w:val="21"/>
        </w:trPr>
        <w:tc>
          <w:tcPr>
            <w:tcW w:w="1563" w:type="dxa"/>
            <w:tcBorders>
              <w:top w:val="nil"/>
              <w:left w:val="single" w:sz="2" w:space="0" w:color="auto"/>
              <w:bottom w:val="nil"/>
              <w:right w:val="single" w:sz="2" w:space="0" w:color="auto"/>
            </w:tcBorders>
          </w:tcPr>
          <w:p w14:paraId="2898D7B7"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0A9845F9" w14:textId="77777777" w:rsidR="00260C36" w:rsidRPr="008B46D1" w:rsidRDefault="00260C36" w:rsidP="00260C36">
            <w:pPr>
              <w:pStyle w:val="TableText"/>
              <w:tabs>
                <w:tab w:val="left" w:pos="3306"/>
              </w:tabs>
              <w:jc w:val="right"/>
              <w:rPr>
                <w:rFonts w:cs="Calibri"/>
                <w:b/>
              </w:rPr>
            </w:pPr>
          </w:p>
        </w:tc>
        <w:tc>
          <w:tcPr>
            <w:tcW w:w="1842" w:type="dxa"/>
            <w:tcBorders>
              <w:top w:val="nil"/>
              <w:left w:val="nil"/>
              <w:bottom w:val="nil"/>
              <w:right w:val="nil"/>
            </w:tcBorders>
          </w:tcPr>
          <w:p w14:paraId="0EC127AB" w14:textId="2177DDEF" w:rsidR="00260C36" w:rsidRPr="008B46D1" w:rsidRDefault="00260C36" w:rsidP="00260C36">
            <w:pPr>
              <w:pStyle w:val="TableText"/>
              <w:tabs>
                <w:tab w:val="left" w:pos="3306"/>
              </w:tabs>
              <w:jc w:val="center"/>
              <w:rPr>
                <w:rFonts w:cs="Calibri"/>
                <w:b/>
                <w:bCs/>
              </w:rPr>
            </w:pPr>
            <w:r w:rsidRPr="008B46D1">
              <w:rPr>
                <w:rFonts w:cs="Calibri"/>
                <w:b/>
                <w:bCs/>
              </w:rPr>
              <w:t>%</w:t>
            </w:r>
          </w:p>
        </w:tc>
        <w:tc>
          <w:tcPr>
            <w:tcW w:w="2268" w:type="dxa"/>
            <w:gridSpan w:val="2"/>
            <w:tcBorders>
              <w:top w:val="nil"/>
              <w:left w:val="nil"/>
              <w:bottom w:val="nil"/>
              <w:right w:val="nil"/>
            </w:tcBorders>
          </w:tcPr>
          <w:p w14:paraId="231B862B" w14:textId="5E6F0B0C" w:rsidR="00260C36" w:rsidRPr="008B46D1" w:rsidRDefault="00260C36" w:rsidP="00260C36">
            <w:pPr>
              <w:pStyle w:val="TableText"/>
              <w:tabs>
                <w:tab w:val="left" w:pos="3306"/>
              </w:tabs>
              <w:jc w:val="center"/>
              <w:rPr>
                <w:rFonts w:cs="Calibri"/>
                <w:b/>
                <w:bCs/>
              </w:rPr>
            </w:pPr>
            <w:r w:rsidRPr="008B46D1">
              <w:rPr>
                <w:rFonts w:cs="Calibri"/>
                <w:b/>
                <w:bCs/>
              </w:rPr>
              <w:t>‘$000</w:t>
            </w:r>
          </w:p>
        </w:tc>
        <w:tc>
          <w:tcPr>
            <w:tcW w:w="1985" w:type="dxa"/>
            <w:gridSpan w:val="3"/>
            <w:tcBorders>
              <w:top w:val="nil"/>
              <w:left w:val="nil"/>
              <w:bottom w:val="nil"/>
              <w:right w:val="nil"/>
            </w:tcBorders>
          </w:tcPr>
          <w:p w14:paraId="71F6D830" w14:textId="6ECAAD34" w:rsidR="00260C36" w:rsidRPr="008B46D1" w:rsidRDefault="00260C36" w:rsidP="00260C36">
            <w:pPr>
              <w:pStyle w:val="TableText"/>
              <w:tabs>
                <w:tab w:val="left" w:pos="3306"/>
              </w:tabs>
              <w:spacing w:before="0"/>
              <w:jc w:val="center"/>
              <w:rPr>
                <w:rFonts w:cs="Calibri"/>
                <w:b/>
                <w:bCs/>
              </w:rPr>
            </w:pPr>
            <w:r w:rsidRPr="008B46D1">
              <w:rPr>
                <w:rFonts w:cs="Calibri"/>
                <w:b/>
                <w:bCs/>
              </w:rPr>
              <w:t>‘$000</w:t>
            </w:r>
          </w:p>
        </w:tc>
      </w:tr>
      <w:tr w:rsidR="00260C36" w:rsidRPr="00CF7E1B" w14:paraId="7F932CCC" w14:textId="77777777" w:rsidTr="00D919F2">
        <w:trPr>
          <w:cantSplit/>
          <w:trHeight w:val="21"/>
        </w:trPr>
        <w:tc>
          <w:tcPr>
            <w:tcW w:w="1563" w:type="dxa"/>
            <w:tcBorders>
              <w:top w:val="nil"/>
              <w:left w:val="single" w:sz="2" w:space="0" w:color="auto"/>
              <w:bottom w:val="nil"/>
              <w:right w:val="single" w:sz="2" w:space="0" w:color="auto"/>
            </w:tcBorders>
          </w:tcPr>
          <w:p w14:paraId="75A1F19F"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60BF5161" w14:textId="0A910FA1" w:rsidR="00260C36" w:rsidRPr="008B46D1" w:rsidRDefault="00260C36" w:rsidP="00260C36">
            <w:pPr>
              <w:pStyle w:val="TableText"/>
              <w:tabs>
                <w:tab w:val="left" w:pos="3306"/>
              </w:tabs>
              <w:rPr>
                <w:rFonts w:cs="Calibri"/>
                <w:b/>
              </w:rPr>
            </w:pPr>
            <w:r w:rsidRPr="008B46D1">
              <w:rPr>
                <w:rFonts w:cs="Calibri"/>
                <w:b/>
              </w:rPr>
              <w:t>30 June 2022</w:t>
            </w:r>
          </w:p>
        </w:tc>
        <w:tc>
          <w:tcPr>
            <w:tcW w:w="1842" w:type="dxa"/>
            <w:tcBorders>
              <w:top w:val="nil"/>
              <w:left w:val="nil"/>
              <w:bottom w:val="nil"/>
              <w:right w:val="nil"/>
            </w:tcBorders>
          </w:tcPr>
          <w:p w14:paraId="26A1D061"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28C3E06C"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7D855823"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79B7926F" w14:textId="77777777" w:rsidTr="00D919F2">
        <w:trPr>
          <w:cantSplit/>
          <w:trHeight w:val="21"/>
        </w:trPr>
        <w:tc>
          <w:tcPr>
            <w:tcW w:w="1563" w:type="dxa"/>
            <w:tcBorders>
              <w:top w:val="nil"/>
              <w:left w:val="single" w:sz="2" w:space="0" w:color="auto"/>
              <w:bottom w:val="nil"/>
              <w:right w:val="single" w:sz="2" w:space="0" w:color="auto"/>
            </w:tcBorders>
          </w:tcPr>
          <w:p w14:paraId="2FFFCF59"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03C244AE" w14:textId="4A510F93" w:rsidR="00260C36" w:rsidRPr="008B46D1" w:rsidRDefault="00260C36" w:rsidP="00260C36">
            <w:pPr>
              <w:pStyle w:val="TableText"/>
              <w:tabs>
                <w:tab w:val="left" w:pos="3306"/>
              </w:tabs>
              <w:rPr>
                <w:rFonts w:cs="Calibri"/>
                <w:b/>
              </w:rPr>
            </w:pPr>
            <w:r w:rsidRPr="008B46D1">
              <w:rPr>
                <w:rFonts w:cs="Calibri"/>
                <w:bCs/>
              </w:rPr>
              <w:t>Not Overdue</w:t>
            </w:r>
          </w:p>
        </w:tc>
        <w:tc>
          <w:tcPr>
            <w:tcW w:w="1842" w:type="dxa"/>
            <w:tcBorders>
              <w:top w:val="nil"/>
              <w:left w:val="nil"/>
              <w:bottom w:val="nil"/>
              <w:right w:val="nil"/>
            </w:tcBorders>
          </w:tcPr>
          <w:p w14:paraId="4ED1754B"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548D8CEB"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556408EF"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099C1F30" w14:textId="77777777" w:rsidTr="00D919F2">
        <w:trPr>
          <w:cantSplit/>
          <w:trHeight w:val="21"/>
        </w:trPr>
        <w:tc>
          <w:tcPr>
            <w:tcW w:w="1563" w:type="dxa"/>
            <w:tcBorders>
              <w:top w:val="nil"/>
              <w:left w:val="single" w:sz="2" w:space="0" w:color="auto"/>
              <w:bottom w:val="nil"/>
              <w:right w:val="single" w:sz="2" w:space="0" w:color="auto"/>
            </w:tcBorders>
          </w:tcPr>
          <w:p w14:paraId="5303FF60"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5B68F165" w14:textId="439CB34E" w:rsidR="00260C36" w:rsidRPr="008B46D1" w:rsidRDefault="00260C36" w:rsidP="00260C36">
            <w:pPr>
              <w:pStyle w:val="TableText"/>
              <w:tabs>
                <w:tab w:val="left" w:pos="3306"/>
              </w:tabs>
              <w:rPr>
                <w:rFonts w:cs="Calibri"/>
                <w:b/>
              </w:rPr>
            </w:pPr>
            <w:r w:rsidRPr="008B46D1">
              <w:rPr>
                <w:rFonts w:cs="Calibri"/>
                <w:bCs/>
              </w:rPr>
              <w:t>1-30 Days Past Due</w:t>
            </w:r>
          </w:p>
        </w:tc>
        <w:tc>
          <w:tcPr>
            <w:tcW w:w="1842" w:type="dxa"/>
            <w:tcBorders>
              <w:top w:val="nil"/>
              <w:left w:val="nil"/>
              <w:bottom w:val="nil"/>
              <w:right w:val="nil"/>
            </w:tcBorders>
          </w:tcPr>
          <w:p w14:paraId="6401A2A1"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2DC8ECC1"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102F8208"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4133B9CC" w14:textId="77777777" w:rsidTr="00D919F2">
        <w:trPr>
          <w:cantSplit/>
          <w:trHeight w:val="21"/>
        </w:trPr>
        <w:tc>
          <w:tcPr>
            <w:tcW w:w="1563" w:type="dxa"/>
            <w:tcBorders>
              <w:top w:val="nil"/>
              <w:left w:val="single" w:sz="2" w:space="0" w:color="auto"/>
              <w:bottom w:val="nil"/>
              <w:right w:val="single" w:sz="2" w:space="0" w:color="auto"/>
            </w:tcBorders>
          </w:tcPr>
          <w:p w14:paraId="036A0998"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15FEB788" w14:textId="76BD1411" w:rsidR="00260C36" w:rsidRPr="008B46D1" w:rsidRDefault="00260C36" w:rsidP="00260C36">
            <w:pPr>
              <w:pStyle w:val="TableText"/>
              <w:tabs>
                <w:tab w:val="left" w:pos="3306"/>
              </w:tabs>
              <w:rPr>
                <w:rFonts w:cs="Calibri"/>
                <w:b/>
              </w:rPr>
            </w:pPr>
            <w:r w:rsidRPr="008B46D1">
              <w:rPr>
                <w:rFonts w:cs="Calibri"/>
                <w:bCs/>
              </w:rPr>
              <w:t>31-60 Days Past Due</w:t>
            </w:r>
          </w:p>
        </w:tc>
        <w:tc>
          <w:tcPr>
            <w:tcW w:w="1842" w:type="dxa"/>
            <w:tcBorders>
              <w:top w:val="nil"/>
              <w:left w:val="nil"/>
              <w:bottom w:val="nil"/>
              <w:right w:val="nil"/>
            </w:tcBorders>
          </w:tcPr>
          <w:p w14:paraId="67D38F6E"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3A32638D"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3A21E3FA"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7D8CEFC1" w14:textId="77777777" w:rsidTr="00D919F2">
        <w:trPr>
          <w:cantSplit/>
          <w:trHeight w:val="21"/>
        </w:trPr>
        <w:tc>
          <w:tcPr>
            <w:tcW w:w="1563" w:type="dxa"/>
            <w:tcBorders>
              <w:top w:val="nil"/>
              <w:left w:val="single" w:sz="2" w:space="0" w:color="auto"/>
              <w:bottom w:val="nil"/>
              <w:right w:val="single" w:sz="2" w:space="0" w:color="auto"/>
            </w:tcBorders>
          </w:tcPr>
          <w:p w14:paraId="7B3BD655"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419A7EAE" w14:textId="22BF5D3A" w:rsidR="00260C36" w:rsidRPr="008B46D1" w:rsidRDefault="00260C36" w:rsidP="00260C36">
            <w:pPr>
              <w:pStyle w:val="TableText"/>
              <w:tabs>
                <w:tab w:val="left" w:pos="3306"/>
              </w:tabs>
              <w:rPr>
                <w:rFonts w:cs="Calibri"/>
                <w:b/>
              </w:rPr>
            </w:pPr>
            <w:r w:rsidRPr="008B46D1">
              <w:rPr>
                <w:rFonts w:cs="Calibri"/>
                <w:bCs/>
              </w:rPr>
              <w:t>61-90 Days Past Due</w:t>
            </w:r>
          </w:p>
        </w:tc>
        <w:tc>
          <w:tcPr>
            <w:tcW w:w="1842" w:type="dxa"/>
            <w:tcBorders>
              <w:top w:val="nil"/>
              <w:left w:val="nil"/>
              <w:bottom w:val="nil"/>
              <w:right w:val="nil"/>
            </w:tcBorders>
          </w:tcPr>
          <w:p w14:paraId="5EFAA02B"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4FDF6BFC"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493E7EA2"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45060FB6" w14:textId="77777777" w:rsidTr="00D919F2">
        <w:trPr>
          <w:cantSplit/>
          <w:trHeight w:val="21"/>
        </w:trPr>
        <w:tc>
          <w:tcPr>
            <w:tcW w:w="1563" w:type="dxa"/>
            <w:tcBorders>
              <w:top w:val="nil"/>
              <w:left w:val="single" w:sz="2" w:space="0" w:color="auto"/>
              <w:bottom w:val="nil"/>
              <w:right w:val="single" w:sz="2" w:space="0" w:color="auto"/>
            </w:tcBorders>
          </w:tcPr>
          <w:p w14:paraId="65B490E2"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5B271C18" w14:textId="40F3E9E6" w:rsidR="00260C36" w:rsidRPr="008B46D1" w:rsidRDefault="00260C36" w:rsidP="00260C36">
            <w:pPr>
              <w:pStyle w:val="TableText"/>
              <w:tabs>
                <w:tab w:val="left" w:pos="3306"/>
              </w:tabs>
              <w:rPr>
                <w:rFonts w:cs="Calibri"/>
                <w:b/>
              </w:rPr>
            </w:pPr>
            <w:r w:rsidRPr="008B46D1">
              <w:rPr>
                <w:rFonts w:cs="Calibri"/>
                <w:bCs/>
              </w:rPr>
              <w:t>&gt;91 Days Past Due</w:t>
            </w:r>
          </w:p>
        </w:tc>
        <w:tc>
          <w:tcPr>
            <w:tcW w:w="1842" w:type="dxa"/>
            <w:tcBorders>
              <w:top w:val="nil"/>
              <w:left w:val="nil"/>
              <w:bottom w:val="single" w:sz="4" w:space="0" w:color="auto"/>
              <w:right w:val="nil"/>
            </w:tcBorders>
          </w:tcPr>
          <w:p w14:paraId="066DB770"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single" w:sz="4" w:space="0" w:color="auto"/>
              <w:right w:val="nil"/>
            </w:tcBorders>
          </w:tcPr>
          <w:p w14:paraId="3A22FAB0"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single" w:sz="4" w:space="0" w:color="auto"/>
              <w:right w:val="nil"/>
            </w:tcBorders>
          </w:tcPr>
          <w:p w14:paraId="6AF7F1D9"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0032B282" w14:textId="77777777" w:rsidTr="00D919F2">
        <w:trPr>
          <w:cantSplit/>
          <w:trHeight w:val="21"/>
        </w:trPr>
        <w:tc>
          <w:tcPr>
            <w:tcW w:w="1563" w:type="dxa"/>
            <w:tcBorders>
              <w:top w:val="nil"/>
              <w:left w:val="single" w:sz="2" w:space="0" w:color="auto"/>
              <w:bottom w:val="nil"/>
              <w:right w:val="single" w:sz="2" w:space="0" w:color="auto"/>
            </w:tcBorders>
          </w:tcPr>
          <w:p w14:paraId="57033183"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308F486E" w14:textId="2C92389B" w:rsidR="00260C36" w:rsidRPr="008B46D1" w:rsidRDefault="00260C36" w:rsidP="00260C36">
            <w:pPr>
              <w:pStyle w:val="TableText"/>
              <w:tabs>
                <w:tab w:val="left" w:pos="3306"/>
              </w:tabs>
              <w:rPr>
                <w:rFonts w:cs="Calibri"/>
                <w:b/>
              </w:rPr>
            </w:pPr>
            <w:r w:rsidRPr="008B46D1">
              <w:rPr>
                <w:rFonts w:cs="Calibri"/>
                <w:b/>
              </w:rPr>
              <w:t>Total</w:t>
            </w:r>
          </w:p>
        </w:tc>
        <w:tc>
          <w:tcPr>
            <w:tcW w:w="1842" w:type="dxa"/>
            <w:tcBorders>
              <w:top w:val="single" w:sz="4" w:space="0" w:color="auto"/>
              <w:left w:val="nil"/>
              <w:bottom w:val="double" w:sz="4" w:space="0" w:color="auto"/>
              <w:right w:val="nil"/>
            </w:tcBorders>
          </w:tcPr>
          <w:p w14:paraId="03DA75A3"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single" w:sz="4" w:space="0" w:color="auto"/>
              <w:left w:val="nil"/>
              <w:bottom w:val="double" w:sz="4" w:space="0" w:color="auto"/>
              <w:right w:val="nil"/>
            </w:tcBorders>
          </w:tcPr>
          <w:p w14:paraId="6EDFA13D"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single" w:sz="4" w:space="0" w:color="auto"/>
              <w:left w:val="nil"/>
              <w:bottom w:val="double" w:sz="4" w:space="0" w:color="auto"/>
              <w:right w:val="nil"/>
            </w:tcBorders>
          </w:tcPr>
          <w:p w14:paraId="143995C0"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7CEEAFDC" w14:textId="77777777" w:rsidTr="00D919F2">
        <w:trPr>
          <w:cantSplit/>
          <w:trHeight w:val="21"/>
        </w:trPr>
        <w:tc>
          <w:tcPr>
            <w:tcW w:w="1563" w:type="dxa"/>
            <w:tcBorders>
              <w:top w:val="nil"/>
              <w:left w:val="single" w:sz="2" w:space="0" w:color="auto"/>
              <w:bottom w:val="nil"/>
              <w:right w:val="single" w:sz="2" w:space="0" w:color="auto"/>
            </w:tcBorders>
          </w:tcPr>
          <w:p w14:paraId="777C14E1"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6E39EDA0" w14:textId="77777777" w:rsidR="00260C36" w:rsidRPr="008B46D1" w:rsidRDefault="00260C36" w:rsidP="00260C36">
            <w:pPr>
              <w:pStyle w:val="TableText"/>
              <w:tabs>
                <w:tab w:val="left" w:pos="3306"/>
              </w:tabs>
              <w:rPr>
                <w:rFonts w:cs="Calibri"/>
                <w:b/>
              </w:rPr>
            </w:pPr>
          </w:p>
        </w:tc>
        <w:tc>
          <w:tcPr>
            <w:tcW w:w="1842" w:type="dxa"/>
            <w:tcBorders>
              <w:top w:val="double" w:sz="4" w:space="0" w:color="auto"/>
              <w:left w:val="nil"/>
              <w:bottom w:val="nil"/>
              <w:right w:val="nil"/>
            </w:tcBorders>
          </w:tcPr>
          <w:p w14:paraId="3F5E16ED"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double" w:sz="4" w:space="0" w:color="auto"/>
              <w:left w:val="nil"/>
              <w:bottom w:val="nil"/>
              <w:right w:val="nil"/>
            </w:tcBorders>
          </w:tcPr>
          <w:p w14:paraId="17A2490F"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double" w:sz="4" w:space="0" w:color="auto"/>
              <w:left w:val="nil"/>
              <w:bottom w:val="nil"/>
              <w:right w:val="nil"/>
            </w:tcBorders>
          </w:tcPr>
          <w:p w14:paraId="47D97873"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1970577D" w14:textId="77777777" w:rsidTr="00D919F2">
        <w:trPr>
          <w:cantSplit/>
          <w:trHeight w:val="21"/>
        </w:trPr>
        <w:tc>
          <w:tcPr>
            <w:tcW w:w="1563" w:type="dxa"/>
            <w:tcBorders>
              <w:top w:val="nil"/>
              <w:left w:val="single" w:sz="2" w:space="0" w:color="auto"/>
              <w:bottom w:val="nil"/>
              <w:right w:val="single" w:sz="2" w:space="0" w:color="auto"/>
            </w:tcBorders>
          </w:tcPr>
          <w:p w14:paraId="1E01060B"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28519988" w14:textId="64551292" w:rsidR="00260C36" w:rsidRPr="008B46D1" w:rsidRDefault="00260C36" w:rsidP="00260C36">
            <w:pPr>
              <w:pStyle w:val="TableText"/>
              <w:tabs>
                <w:tab w:val="left" w:pos="3306"/>
              </w:tabs>
              <w:rPr>
                <w:rFonts w:cs="Calibri"/>
                <w:b/>
              </w:rPr>
            </w:pPr>
            <w:r w:rsidRPr="008B46D1">
              <w:rPr>
                <w:rFonts w:cs="Calibri"/>
                <w:b/>
              </w:rPr>
              <w:t>30 June 2021</w:t>
            </w:r>
          </w:p>
        </w:tc>
        <w:tc>
          <w:tcPr>
            <w:tcW w:w="1842" w:type="dxa"/>
            <w:tcBorders>
              <w:top w:val="nil"/>
              <w:left w:val="nil"/>
              <w:bottom w:val="nil"/>
              <w:right w:val="nil"/>
            </w:tcBorders>
          </w:tcPr>
          <w:p w14:paraId="5D7BBF76"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6F6CEF86"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412DE9D5"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3E5ACC62" w14:textId="77777777" w:rsidTr="00D919F2">
        <w:trPr>
          <w:cantSplit/>
          <w:trHeight w:val="21"/>
        </w:trPr>
        <w:tc>
          <w:tcPr>
            <w:tcW w:w="1563" w:type="dxa"/>
            <w:tcBorders>
              <w:top w:val="nil"/>
              <w:left w:val="single" w:sz="2" w:space="0" w:color="auto"/>
              <w:bottom w:val="nil"/>
              <w:right w:val="single" w:sz="2" w:space="0" w:color="auto"/>
            </w:tcBorders>
          </w:tcPr>
          <w:p w14:paraId="748CC586"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57828B0E" w14:textId="74BEAF71" w:rsidR="00260C36" w:rsidRPr="008B46D1" w:rsidRDefault="00260C36" w:rsidP="00260C36">
            <w:pPr>
              <w:pStyle w:val="TableText"/>
              <w:tabs>
                <w:tab w:val="left" w:pos="3306"/>
              </w:tabs>
              <w:rPr>
                <w:rFonts w:cs="Calibri"/>
                <w:b/>
              </w:rPr>
            </w:pPr>
            <w:r w:rsidRPr="008B46D1">
              <w:rPr>
                <w:rFonts w:cs="Calibri"/>
                <w:bCs/>
              </w:rPr>
              <w:t>Not Overdue</w:t>
            </w:r>
          </w:p>
        </w:tc>
        <w:tc>
          <w:tcPr>
            <w:tcW w:w="1842" w:type="dxa"/>
            <w:tcBorders>
              <w:top w:val="nil"/>
              <w:left w:val="nil"/>
              <w:bottom w:val="nil"/>
              <w:right w:val="nil"/>
            </w:tcBorders>
          </w:tcPr>
          <w:p w14:paraId="461D8F26"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77097054"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40274A51"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45A9D3F7" w14:textId="77777777" w:rsidTr="00D919F2">
        <w:trPr>
          <w:cantSplit/>
          <w:trHeight w:val="21"/>
        </w:trPr>
        <w:tc>
          <w:tcPr>
            <w:tcW w:w="1563" w:type="dxa"/>
            <w:tcBorders>
              <w:top w:val="nil"/>
              <w:left w:val="single" w:sz="2" w:space="0" w:color="auto"/>
              <w:bottom w:val="nil"/>
              <w:right w:val="single" w:sz="2" w:space="0" w:color="auto"/>
            </w:tcBorders>
          </w:tcPr>
          <w:p w14:paraId="438DE7B6"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35FF0FAD" w14:textId="525D8806" w:rsidR="00260C36" w:rsidRPr="008B46D1" w:rsidRDefault="00260C36" w:rsidP="00260C36">
            <w:pPr>
              <w:pStyle w:val="TableText"/>
              <w:tabs>
                <w:tab w:val="left" w:pos="3306"/>
              </w:tabs>
              <w:rPr>
                <w:rFonts w:cs="Calibri"/>
                <w:b/>
              </w:rPr>
            </w:pPr>
            <w:r w:rsidRPr="008B46D1">
              <w:rPr>
                <w:rFonts w:cs="Calibri"/>
                <w:bCs/>
              </w:rPr>
              <w:t>1-30 Days Past Due</w:t>
            </w:r>
          </w:p>
        </w:tc>
        <w:tc>
          <w:tcPr>
            <w:tcW w:w="1842" w:type="dxa"/>
            <w:tcBorders>
              <w:top w:val="nil"/>
              <w:left w:val="nil"/>
              <w:bottom w:val="nil"/>
              <w:right w:val="nil"/>
            </w:tcBorders>
          </w:tcPr>
          <w:p w14:paraId="15094288"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1F4A175A"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786E9728"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1A8276E0" w14:textId="77777777" w:rsidTr="00D919F2">
        <w:trPr>
          <w:cantSplit/>
          <w:trHeight w:val="21"/>
        </w:trPr>
        <w:tc>
          <w:tcPr>
            <w:tcW w:w="1563" w:type="dxa"/>
            <w:tcBorders>
              <w:top w:val="nil"/>
              <w:left w:val="single" w:sz="2" w:space="0" w:color="auto"/>
              <w:bottom w:val="nil"/>
              <w:right w:val="single" w:sz="2" w:space="0" w:color="auto"/>
            </w:tcBorders>
          </w:tcPr>
          <w:p w14:paraId="170557F8"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430C8DF6" w14:textId="69381F53" w:rsidR="00260C36" w:rsidRPr="008B46D1" w:rsidRDefault="00260C36" w:rsidP="00260C36">
            <w:pPr>
              <w:pStyle w:val="TableText"/>
              <w:tabs>
                <w:tab w:val="left" w:pos="3306"/>
              </w:tabs>
              <w:rPr>
                <w:rFonts w:cs="Calibri"/>
                <w:b/>
              </w:rPr>
            </w:pPr>
            <w:r w:rsidRPr="008B46D1">
              <w:rPr>
                <w:rFonts w:cs="Calibri"/>
                <w:bCs/>
              </w:rPr>
              <w:t>31-60 Days Past Due</w:t>
            </w:r>
          </w:p>
        </w:tc>
        <w:tc>
          <w:tcPr>
            <w:tcW w:w="1842" w:type="dxa"/>
            <w:tcBorders>
              <w:top w:val="nil"/>
              <w:left w:val="nil"/>
              <w:bottom w:val="nil"/>
              <w:right w:val="nil"/>
            </w:tcBorders>
          </w:tcPr>
          <w:p w14:paraId="53AEF5CA"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7A181940"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098DA869"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4E8D653A" w14:textId="77777777" w:rsidTr="00D919F2">
        <w:trPr>
          <w:cantSplit/>
          <w:trHeight w:val="21"/>
        </w:trPr>
        <w:tc>
          <w:tcPr>
            <w:tcW w:w="1563" w:type="dxa"/>
            <w:tcBorders>
              <w:top w:val="nil"/>
              <w:left w:val="single" w:sz="2" w:space="0" w:color="auto"/>
              <w:bottom w:val="nil"/>
              <w:right w:val="single" w:sz="2" w:space="0" w:color="auto"/>
            </w:tcBorders>
          </w:tcPr>
          <w:p w14:paraId="1A1721BB"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0475B8D0" w14:textId="2916A87E" w:rsidR="00260C36" w:rsidRPr="008B46D1" w:rsidRDefault="00260C36" w:rsidP="00260C36">
            <w:pPr>
              <w:pStyle w:val="TableText"/>
              <w:tabs>
                <w:tab w:val="left" w:pos="3306"/>
              </w:tabs>
              <w:rPr>
                <w:rFonts w:cs="Calibri"/>
                <w:b/>
              </w:rPr>
            </w:pPr>
            <w:r w:rsidRPr="008B46D1">
              <w:rPr>
                <w:rFonts w:cs="Calibri"/>
                <w:bCs/>
              </w:rPr>
              <w:t>61-90 Days Past Due</w:t>
            </w:r>
          </w:p>
        </w:tc>
        <w:tc>
          <w:tcPr>
            <w:tcW w:w="1842" w:type="dxa"/>
            <w:tcBorders>
              <w:top w:val="nil"/>
              <w:left w:val="nil"/>
              <w:bottom w:val="nil"/>
              <w:right w:val="nil"/>
            </w:tcBorders>
          </w:tcPr>
          <w:p w14:paraId="333FA7AE"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nil"/>
              <w:right w:val="nil"/>
            </w:tcBorders>
          </w:tcPr>
          <w:p w14:paraId="2C1086D1"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nil"/>
              <w:right w:val="nil"/>
            </w:tcBorders>
          </w:tcPr>
          <w:p w14:paraId="1110DA25"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30D6C6F9" w14:textId="77777777" w:rsidTr="00D919F2">
        <w:trPr>
          <w:cantSplit/>
          <w:trHeight w:val="21"/>
        </w:trPr>
        <w:tc>
          <w:tcPr>
            <w:tcW w:w="1563" w:type="dxa"/>
            <w:tcBorders>
              <w:top w:val="nil"/>
              <w:left w:val="single" w:sz="2" w:space="0" w:color="auto"/>
              <w:bottom w:val="nil"/>
              <w:right w:val="single" w:sz="2" w:space="0" w:color="auto"/>
            </w:tcBorders>
          </w:tcPr>
          <w:p w14:paraId="21714D38"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12AC2D72" w14:textId="654AAE7B" w:rsidR="00260C36" w:rsidRPr="008B46D1" w:rsidRDefault="00260C36" w:rsidP="00260C36">
            <w:pPr>
              <w:pStyle w:val="TableText"/>
              <w:tabs>
                <w:tab w:val="left" w:pos="3306"/>
              </w:tabs>
              <w:rPr>
                <w:rFonts w:cs="Calibri"/>
                <w:b/>
              </w:rPr>
            </w:pPr>
            <w:r w:rsidRPr="008B46D1">
              <w:rPr>
                <w:rFonts w:cs="Calibri"/>
                <w:bCs/>
              </w:rPr>
              <w:t>&gt;91 Days Past Due</w:t>
            </w:r>
          </w:p>
        </w:tc>
        <w:tc>
          <w:tcPr>
            <w:tcW w:w="1842" w:type="dxa"/>
            <w:tcBorders>
              <w:top w:val="nil"/>
              <w:left w:val="nil"/>
              <w:bottom w:val="single" w:sz="4" w:space="0" w:color="auto"/>
              <w:right w:val="nil"/>
            </w:tcBorders>
          </w:tcPr>
          <w:p w14:paraId="7258288E"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nil"/>
              <w:left w:val="nil"/>
              <w:bottom w:val="single" w:sz="4" w:space="0" w:color="auto"/>
              <w:right w:val="nil"/>
            </w:tcBorders>
          </w:tcPr>
          <w:p w14:paraId="3B18CDFE"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nil"/>
              <w:left w:val="nil"/>
              <w:bottom w:val="single" w:sz="4" w:space="0" w:color="auto"/>
              <w:right w:val="nil"/>
            </w:tcBorders>
          </w:tcPr>
          <w:p w14:paraId="41A34D3C" w14:textId="77777777" w:rsidR="00260C36" w:rsidRPr="008B46D1" w:rsidRDefault="00260C36" w:rsidP="00260C36">
            <w:pPr>
              <w:pStyle w:val="TableText"/>
              <w:tabs>
                <w:tab w:val="left" w:pos="3306"/>
              </w:tabs>
              <w:spacing w:before="0"/>
              <w:jc w:val="right"/>
              <w:rPr>
                <w:rFonts w:cs="Calibri"/>
                <w:b/>
                <w:bCs/>
              </w:rPr>
            </w:pPr>
          </w:p>
        </w:tc>
      </w:tr>
      <w:tr w:rsidR="00260C36" w:rsidRPr="00CF7E1B" w14:paraId="3D8C043D" w14:textId="77777777" w:rsidTr="00D919F2">
        <w:trPr>
          <w:cantSplit/>
          <w:trHeight w:val="21"/>
        </w:trPr>
        <w:tc>
          <w:tcPr>
            <w:tcW w:w="1563" w:type="dxa"/>
            <w:tcBorders>
              <w:top w:val="nil"/>
              <w:left w:val="single" w:sz="2" w:space="0" w:color="auto"/>
              <w:bottom w:val="nil"/>
              <w:right w:val="single" w:sz="2" w:space="0" w:color="auto"/>
            </w:tcBorders>
          </w:tcPr>
          <w:p w14:paraId="3A9BFF92" w14:textId="77777777" w:rsidR="00260C36" w:rsidRPr="008B46D1" w:rsidRDefault="00260C36" w:rsidP="00260C36">
            <w:pPr>
              <w:pStyle w:val="TableText"/>
              <w:tabs>
                <w:tab w:val="left" w:pos="3306"/>
              </w:tabs>
              <w:jc w:val="right"/>
              <w:rPr>
                <w:rFonts w:cs="Calibri"/>
                <w:color w:val="7030A0"/>
              </w:rPr>
            </w:pPr>
          </w:p>
        </w:tc>
        <w:tc>
          <w:tcPr>
            <w:tcW w:w="2835" w:type="dxa"/>
            <w:tcBorders>
              <w:top w:val="nil"/>
              <w:left w:val="single" w:sz="2" w:space="0" w:color="auto"/>
              <w:bottom w:val="nil"/>
              <w:right w:val="nil"/>
            </w:tcBorders>
          </w:tcPr>
          <w:p w14:paraId="0DA857F6" w14:textId="7D14942C" w:rsidR="00260C36" w:rsidRPr="008B46D1" w:rsidRDefault="00260C36" w:rsidP="00260C36">
            <w:pPr>
              <w:pStyle w:val="TableText"/>
              <w:tabs>
                <w:tab w:val="left" w:pos="3306"/>
              </w:tabs>
              <w:rPr>
                <w:rFonts w:cs="Calibri"/>
                <w:b/>
              </w:rPr>
            </w:pPr>
            <w:r w:rsidRPr="008B46D1">
              <w:rPr>
                <w:rFonts w:cs="Calibri"/>
                <w:b/>
              </w:rPr>
              <w:t>Total</w:t>
            </w:r>
          </w:p>
        </w:tc>
        <w:tc>
          <w:tcPr>
            <w:tcW w:w="1842" w:type="dxa"/>
            <w:tcBorders>
              <w:top w:val="single" w:sz="4" w:space="0" w:color="auto"/>
              <w:left w:val="nil"/>
              <w:bottom w:val="double" w:sz="4" w:space="0" w:color="auto"/>
              <w:right w:val="nil"/>
            </w:tcBorders>
          </w:tcPr>
          <w:p w14:paraId="0E433CA1" w14:textId="77777777" w:rsidR="00260C36" w:rsidRPr="008B46D1" w:rsidRDefault="00260C36" w:rsidP="00260C36">
            <w:pPr>
              <w:pStyle w:val="TableText"/>
              <w:tabs>
                <w:tab w:val="left" w:pos="3306"/>
              </w:tabs>
              <w:jc w:val="right"/>
              <w:rPr>
                <w:rFonts w:cs="Calibri"/>
                <w:b/>
                <w:bCs/>
              </w:rPr>
            </w:pPr>
          </w:p>
        </w:tc>
        <w:tc>
          <w:tcPr>
            <w:tcW w:w="2268" w:type="dxa"/>
            <w:gridSpan w:val="2"/>
            <w:tcBorders>
              <w:top w:val="single" w:sz="4" w:space="0" w:color="auto"/>
              <w:left w:val="nil"/>
              <w:bottom w:val="double" w:sz="4" w:space="0" w:color="auto"/>
              <w:right w:val="nil"/>
            </w:tcBorders>
          </w:tcPr>
          <w:p w14:paraId="4479B22C" w14:textId="77777777" w:rsidR="00260C36" w:rsidRPr="008B46D1" w:rsidRDefault="00260C36" w:rsidP="00260C36">
            <w:pPr>
              <w:pStyle w:val="TableText"/>
              <w:tabs>
                <w:tab w:val="left" w:pos="3306"/>
              </w:tabs>
              <w:jc w:val="right"/>
              <w:rPr>
                <w:rFonts w:cs="Calibri"/>
                <w:b/>
                <w:bCs/>
              </w:rPr>
            </w:pPr>
          </w:p>
        </w:tc>
        <w:tc>
          <w:tcPr>
            <w:tcW w:w="1985" w:type="dxa"/>
            <w:gridSpan w:val="3"/>
            <w:tcBorders>
              <w:top w:val="single" w:sz="4" w:space="0" w:color="auto"/>
              <w:left w:val="nil"/>
              <w:bottom w:val="double" w:sz="4" w:space="0" w:color="auto"/>
              <w:right w:val="nil"/>
            </w:tcBorders>
          </w:tcPr>
          <w:p w14:paraId="0BB518FB" w14:textId="77777777" w:rsidR="00260C36" w:rsidRPr="008B46D1" w:rsidRDefault="00260C36" w:rsidP="00260C36">
            <w:pPr>
              <w:pStyle w:val="TableText"/>
              <w:tabs>
                <w:tab w:val="left" w:pos="3306"/>
              </w:tabs>
              <w:spacing w:before="0"/>
              <w:jc w:val="right"/>
              <w:rPr>
                <w:rFonts w:cs="Calibri"/>
                <w:b/>
                <w:bCs/>
              </w:rPr>
            </w:pPr>
          </w:p>
        </w:tc>
      </w:tr>
    </w:tbl>
    <w:p w14:paraId="65F50F7B" w14:textId="77777777" w:rsidR="00F22D61" w:rsidRDefault="00F22D61">
      <w:r>
        <w:br w:type="page"/>
      </w:r>
    </w:p>
    <w:tbl>
      <w:tblPr>
        <w:tblW w:w="4999"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3"/>
        <w:gridCol w:w="5879"/>
        <w:gridCol w:w="641"/>
        <w:gridCol w:w="963"/>
        <w:gridCol w:w="171"/>
        <w:gridCol w:w="1276"/>
        <w:gridCol w:w="47"/>
      </w:tblGrid>
      <w:tr w:rsidR="00190046" w:rsidRPr="00CF7E1B" w14:paraId="0D92304A"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3BE175C6" w14:textId="6C1B14AD" w:rsidR="00190046" w:rsidRPr="00190046" w:rsidRDefault="00190046" w:rsidP="00190046">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t>Reference</w:t>
            </w:r>
          </w:p>
        </w:tc>
        <w:tc>
          <w:tcPr>
            <w:tcW w:w="8930" w:type="dxa"/>
            <w:gridSpan w:val="5"/>
            <w:tcBorders>
              <w:top w:val="nil"/>
              <w:left w:val="single" w:sz="4" w:space="0" w:color="auto"/>
              <w:bottom w:val="nil"/>
              <w:right w:val="nil"/>
            </w:tcBorders>
            <w:vAlign w:val="bottom"/>
          </w:tcPr>
          <w:p w14:paraId="537012E8" w14:textId="22EE0F80" w:rsidR="00190046" w:rsidRPr="00190046" w:rsidRDefault="00190046" w:rsidP="00190046">
            <w:pPr>
              <w:pStyle w:val="TableText"/>
              <w:tabs>
                <w:tab w:val="left" w:pos="3306"/>
              </w:tabs>
              <w:spacing w:before="240" w:after="240"/>
              <w:rPr>
                <w:rFonts w:cs="Calibri"/>
              </w:rPr>
            </w:pPr>
            <w:r w:rsidRPr="00190046">
              <w:rPr>
                <w:rFonts w:ascii="Arial" w:hAnsi="Arial" w:cs="Arial"/>
                <w:b/>
                <w:sz w:val="32"/>
                <w:szCs w:val="32"/>
              </w:rPr>
              <w:t>NOTE 47.</w:t>
            </w:r>
            <w:r w:rsidR="00FA7C77">
              <w:rPr>
                <w:rFonts w:ascii="Arial" w:hAnsi="Arial" w:cs="Arial"/>
                <w:b/>
                <w:sz w:val="32"/>
                <w:szCs w:val="32"/>
              </w:rPr>
              <w:t xml:space="preserve"> </w:t>
            </w:r>
            <w:r w:rsidRPr="00190046">
              <w:rPr>
                <w:rFonts w:ascii="Arial" w:hAnsi="Arial" w:cs="Arial"/>
                <w:b/>
                <w:sz w:val="32"/>
                <w:szCs w:val="32"/>
              </w:rPr>
              <w:t xml:space="preserve"> RECEIVABLES –TERRITORIAL </w:t>
            </w:r>
          </w:p>
        </w:tc>
      </w:tr>
      <w:tr w:rsidR="00190046" w:rsidRPr="00CF7E1B" w14:paraId="047638F6"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976EF11" w14:textId="77777777" w:rsidR="00190046" w:rsidRPr="00190046" w:rsidRDefault="00190046" w:rsidP="00190046">
            <w:pPr>
              <w:pStyle w:val="TableReference"/>
              <w:tabs>
                <w:tab w:val="left" w:pos="3306"/>
              </w:tabs>
              <w:spacing w:before="40"/>
              <w:rPr>
                <w:rFonts w:cs="Calibri"/>
                <w:color w:val="7030A0"/>
                <w:sz w:val="16"/>
                <w:szCs w:val="16"/>
              </w:rPr>
            </w:pPr>
          </w:p>
        </w:tc>
        <w:tc>
          <w:tcPr>
            <w:tcW w:w="8930" w:type="dxa"/>
            <w:gridSpan w:val="5"/>
            <w:tcBorders>
              <w:top w:val="nil"/>
              <w:left w:val="single" w:sz="4" w:space="0" w:color="auto"/>
              <w:bottom w:val="nil"/>
              <w:right w:val="nil"/>
            </w:tcBorders>
            <w:vAlign w:val="bottom"/>
          </w:tcPr>
          <w:p w14:paraId="72BE2AA0" w14:textId="77777777" w:rsidR="00190046" w:rsidRPr="00190046" w:rsidRDefault="00190046" w:rsidP="00190046">
            <w:pPr>
              <w:pStyle w:val="TableText"/>
              <w:tabs>
                <w:tab w:val="left" w:pos="3306"/>
              </w:tabs>
              <w:rPr>
                <w:rFonts w:cs="Calibri"/>
              </w:rPr>
            </w:pPr>
            <w:r w:rsidRPr="00190046">
              <w:rPr>
                <w:rFonts w:cs="Calibri"/>
              </w:rPr>
              <w:t>The Agency does not hold any collateral for receivables that are overdue or determined to be impaired.</w:t>
            </w:r>
          </w:p>
        </w:tc>
      </w:tr>
      <w:tr w:rsidR="00190046" w:rsidRPr="00CF7E1B" w14:paraId="7B7F6AB7"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673DA28"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6585117D" w14:textId="77777777" w:rsidR="00190046" w:rsidRPr="00190046" w:rsidRDefault="00190046" w:rsidP="00190046">
            <w:pPr>
              <w:pStyle w:val="TableText"/>
              <w:tabs>
                <w:tab w:val="left" w:pos="3306"/>
              </w:tabs>
              <w:rPr>
                <w:rFonts w:cs="Calibri"/>
              </w:rPr>
            </w:pPr>
          </w:p>
        </w:tc>
        <w:tc>
          <w:tcPr>
            <w:tcW w:w="1134" w:type="dxa"/>
            <w:gridSpan w:val="2"/>
            <w:tcBorders>
              <w:top w:val="nil"/>
              <w:left w:val="nil"/>
              <w:bottom w:val="nil"/>
              <w:right w:val="nil"/>
            </w:tcBorders>
            <w:vAlign w:val="bottom"/>
          </w:tcPr>
          <w:p w14:paraId="49A5A567" w14:textId="7F92DBF6" w:rsidR="00190046" w:rsidRPr="00190046" w:rsidRDefault="00190046" w:rsidP="00190046">
            <w:pPr>
              <w:pStyle w:val="TableText"/>
              <w:jc w:val="right"/>
              <w:rPr>
                <w:rFonts w:cs="Calibri"/>
                <w:b/>
                <w:bCs/>
              </w:rPr>
            </w:pPr>
            <w:r w:rsidRPr="00190046">
              <w:rPr>
                <w:rFonts w:cs="Calibri"/>
                <w:b/>
                <w:bCs/>
              </w:rPr>
              <w:t xml:space="preserve">2022 </w:t>
            </w:r>
          </w:p>
          <w:p w14:paraId="3CFCC3E6" w14:textId="72C73250" w:rsidR="00190046" w:rsidRPr="00190046" w:rsidRDefault="00190046" w:rsidP="00190046">
            <w:pPr>
              <w:pStyle w:val="TableTitle"/>
              <w:tabs>
                <w:tab w:val="left" w:pos="3306"/>
              </w:tabs>
              <w:rPr>
                <w:rFonts w:cs="Calibri"/>
              </w:rPr>
            </w:pPr>
            <w:r w:rsidRPr="00190046">
              <w:rPr>
                <w:rFonts w:cs="Calibri"/>
              </w:rPr>
              <w:t>$’000</w:t>
            </w:r>
          </w:p>
        </w:tc>
        <w:tc>
          <w:tcPr>
            <w:tcW w:w="1276" w:type="dxa"/>
            <w:tcBorders>
              <w:top w:val="nil"/>
              <w:left w:val="nil"/>
              <w:bottom w:val="nil"/>
              <w:right w:val="nil"/>
            </w:tcBorders>
            <w:vAlign w:val="bottom"/>
          </w:tcPr>
          <w:p w14:paraId="5EE22C5C" w14:textId="0C13EACA" w:rsidR="00190046" w:rsidRPr="00190046" w:rsidRDefault="00190046" w:rsidP="00190046">
            <w:pPr>
              <w:pStyle w:val="TableText"/>
              <w:jc w:val="right"/>
              <w:rPr>
                <w:rFonts w:cs="Calibri"/>
                <w:b/>
                <w:bCs/>
              </w:rPr>
            </w:pPr>
            <w:r w:rsidRPr="00190046">
              <w:rPr>
                <w:rFonts w:cs="Calibri"/>
                <w:b/>
                <w:bCs/>
              </w:rPr>
              <w:t>2021</w:t>
            </w:r>
          </w:p>
          <w:p w14:paraId="47F42014" w14:textId="25CCA4A8" w:rsidR="00190046" w:rsidRPr="00190046" w:rsidRDefault="00190046" w:rsidP="00190046">
            <w:pPr>
              <w:pStyle w:val="TableTitle"/>
              <w:tabs>
                <w:tab w:val="left" w:pos="3306"/>
              </w:tabs>
              <w:rPr>
                <w:rFonts w:cs="Calibri"/>
              </w:rPr>
            </w:pPr>
            <w:r w:rsidRPr="00190046">
              <w:rPr>
                <w:rFonts w:cs="Calibri"/>
              </w:rPr>
              <w:t>$’000</w:t>
            </w:r>
          </w:p>
        </w:tc>
      </w:tr>
      <w:tr w:rsidR="00190046" w:rsidRPr="00CF7E1B" w14:paraId="348F5972"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22DEB4F"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16A92738" w14:textId="0F7BAEC2" w:rsidR="00190046" w:rsidRPr="00190046" w:rsidRDefault="00190046" w:rsidP="00190046">
            <w:pPr>
              <w:pStyle w:val="TableText"/>
              <w:tabs>
                <w:tab w:val="left" w:pos="3306"/>
              </w:tabs>
              <w:rPr>
                <w:rFonts w:cs="Calibri"/>
                <w:b/>
                <w:bCs/>
              </w:rPr>
            </w:pPr>
            <w:r w:rsidRPr="00190046">
              <w:rPr>
                <w:rFonts w:cs="Calibri"/>
                <w:b/>
                <w:bCs/>
              </w:rPr>
              <w:t xml:space="preserve">Reconciliation </w:t>
            </w:r>
            <w:r w:rsidRPr="00190046">
              <w:rPr>
                <w:rFonts w:asciiTheme="minorHAnsi" w:hAnsiTheme="minorHAnsi" w:cstheme="minorHAnsi"/>
                <w:b/>
                <w:bCs/>
              </w:rPr>
              <w:t>of the Loss Allowance for Receivables</w:t>
            </w:r>
          </w:p>
        </w:tc>
        <w:tc>
          <w:tcPr>
            <w:tcW w:w="1134" w:type="dxa"/>
            <w:gridSpan w:val="2"/>
            <w:tcBorders>
              <w:top w:val="nil"/>
              <w:left w:val="nil"/>
              <w:bottom w:val="nil"/>
              <w:right w:val="nil"/>
            </w:tcBorders>
          </w:tcPr>
          <w:p w14:paraId="725249EF" w14:textId="77777777"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59EB57AC" w14:textId="77777777" w:rsidR="00190046" w:rsidRPr="00190046" w:rsidRDefault="00190046" w:rsidP="00190046">
            <w:pPr>
              <w:pStyle w:val="TableText"/>
              <w:tabs>
                <w:tab w:val="left" w:pos="3306"/>
              </w:tabs>
              <w:jc w:val="right"/>
              <w:rPr>
                <w:rFonts w:cs="Calibri"/>
              </w:rPr>
            </w:pPr>
          </w:p>
        </w:tc>
      </w:tr>
      <w:tr w:rsidR="00190046" w:rsidRPr="00CF7E1B" w14:paraId="39CC4F20"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7A673CD5"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6595B016" w14:textId="77777777" w:rsidR="00190046" w:rsidRPr="00190046" w:rsidRDefault="00190046" w:rsidP="00190046">
            <w:pPr>
              <w:pStyle w:val="TableText"/>
              <w:tabs>
                <w:tab w:val="left" w:pos="3306"/>
              </w:tabs>
              <w:rPr>
                <w:rFonts w:cs="Calibri"/>
              </w:rPr>
            </w:pPr>
            <w:r w:rsidRPr="00190046">
              <w:rPr>
                <w:rFonts w:cs="Calibri"/>
              </w:rPr>
              <w:t xml:space="preserve">Allowance for Impairment Losses at the Beginning of the Reporting Period </w:t>
            </w:r>
          </w:p>
        </w:tc>
        <w:tc>
          <w:tcPr>
            <w:tcW w:w="1134" w:type="dxa"/>
            <w:gridSpan w:val="2"/>
            <w:tcBorders>
              <w:top w:val="nil"/>
              <w:left w:val="nil"/>
              <w:bottom w:val="nil"/>
              <w:right w:val="nil"/>
            </w:tcBorders>
            <w:vAlign w:val="bottom"/>
          </w:tcPr>
          <w:p w14:paraId="3A912DCF" w14:textId="2BE0E4CA"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6E9734AA" w14:textId="5BCEE981" w:rsidR="00190046" w:rsidRPr="00190046" w:rsidRDefault="00190046" w:rsidP="00190046">
            <w:pPr>
              <w:pStyle w:val="TableText"/>
              <w:tabs>
                <w:tab w:val="left" w:pos="3306"/>
              </w:tabs>
              <w:jc w:val="right"/>
              <w:rPr>
                <w:rFonts w:cs="Calibri"/>
              </w:rPr>
            </w:pPr>
          </w:p>
        </w:tc>
      </w:tr>
      <w:tr w:rsidR="00190046" w:rsidRPr="00CF7E1B" w14:paraId="4F4CB1CA"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E0451B8"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36BFEA8B" w14:textId="2B638FBA" w:rsidR="00190046" w:rsidRPr="00190046" w:rsidRDefault="00190046" w:rsidP="00190046">
            <w:pPr>
              <w:pStyle w:val="TableText"/>
              <w:tabs>
                <w:tab w:val="left" w:pos="3306"/>
              </w:tabs>
              <w:rPr>
                <w:rFonts w:cs="Calibri"/>
              </w:rPr>
            </w:pPr>
            <w:r w:rsidRPr="00190046">
              <w:rPr>
                <w:rFonts w:asciiTheme="minorHAnsi" w:hAnsiTheme="minorHAnsi" w:cstheme="minorHAnsi"/>
              </w:rPr>
              <w:t>Expected Credit Loss Expense</w:t>
            </w:r>
          </w:p>
        </w:tc>
        <w:tc>
          <w:tcPr>
            <w:tcW w:w="1134" w:type="dxa"/>
            <w:gridSpan w:val="2"/>
            <w:tcBorders>
              <w:top w:val="nil"/>
              <w:left w:val="nil"/>
              <w:bottom w:val="nil"/>
              <w:right w:val="nil"/>
            </w:tcBorders>
            <w:vAlign w:val="bottom"/>
          </w:tcPr>
          <w:p w14:paraId="7B95A325" w14:textId="73A8F845"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36A0BBAD" w14:textId="6DB5D493" w:rsidR="00190046" w:rsidRPr="00190046" w:rsidRDefault="00190046" w:rsidP="00190046">
            <w:pPr>
              <w:pStyle w:val="TableText"/>
              <w:tabs>
                <w:tab w:val="left" w:pos="3306"/>
              </w:tabs>
              <w:jc w:val="right"/>
              <w:rPr>
                <w:rFonts w:cs="Calibri"/>
              </w:rPr>
            </w:pPr>
          </w:p>
        </w:tc>
      </w:tr>
      <w:tr w:rsidR="00190046" w:rsidRPr="00CF7E1B" w14:paraId="15A7D1CF"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4C4D7955"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334A1BF" w14:textId="77777777" w:rsidR="00190046" w:rsidRPr="00190046" w:rsidRDefault="00190046" w:rsidP="00190046">
            <w:pPr>
              <w:pStyle w:val="Commentary-Bullet"/>
              <w:numPr>
                <w:ilvl w:val="0"/>
                <w:numId w:val="0"/>
              </w:numPr>
              <w:spacing w:before="40"/>
              <w:rPr>
                <w:rFonts w:cs="Calibri"/>
                <w:sz w:val="18"/>
                <w:szCs w:val="18"/>
              </w:rPr>
            </w:pPr>
            <w:r w:rsidRPr="00190046">
              <w:rPr>
                <w:rFonts w:cs="Calibri"/>
                <w:sz w:val="18"/>
                <w:szCs w:val="18"/>
              </w:rPr>
              <w:t>Reduction in Allowance from amounts Recovered During the Reporting Period</w:t>
            </w:r>
          </w:p>
        </w:tc>
        <w:tc>
          <w:tcPr>
            <w:tcW w:w="1134" w:type="dxa"/>
            <w:gridSpan w:val="2"/>
            <w:tcBorders>
              <w:top w:val="nil"/>
              <w:left w:val="nil"/>
              <w:bottom w:val="nil"/>
              <w:right w:val="nil"/>
            </w:tcBorders>
            <w:vAlign w:val="bottom"/>
          </w:tcPr>
          <w:p w14:paraId="252DFD7F" w14:textId="7FD140B9" w:rsidR="00190046" w:rsidRPr="00190046" w:rsidRDefault="00190046" w:rsidP="00190046">
            <w:pPr>
              <w:pStyle w:val="TableText"/>
              <w:tabs>
                <w:tab w:val="left" w:pos="3306"/>
              </w:tabs>
              <w:jc w:val="right"/>
              <w:rPr>
                <w:rFonts w:cs="Calibri"/>
              </w:rPr>
            </w:pPr>
          </w:p>
        </w:tc>
        <w:tc>
          <w:tcPr>
            <w:tcW w:w="1276" w:type="dxa"/>
            <w:tcBorders>
              <w:top w:val="nil"/>
              <w:left w:val="nil"/>
              <w:bottom w:val="nil"/>
              <w:right w:val="nil"/>
            </w:tcBorders>
            <w:vAlign w:val="bottom"/>
          </w:tcPr>
          <w:p w14:paraId="7062B432" w14:textId="34496C6C" w:rsidR="00190046" w:rsidRPr="00190046" w:rsidRDefault="00190046" w:rsidP="00190046">
            <w:pPr>
              <w:pStyle w:val="TableText"/>
              <w:tabs>
                <w:tab w:val="left" w:pos="3306"/>
              </w:tabs>
              <w:jc w:val="right"/>
              <w:rPr>
                <w:rFonts w:cs="Calibri"/>
              </w:rPr>
            </w:pPr>
          </w:p>
        </w:tc>
      </w:tr>
      <w:tr w:rsidR="00190046" w:rsidRPr="00CF7E1B" w14:paraId="7AE37A70"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228BE8D"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0230495" w14:textId="77777777" w:rsidR="00190046" w:rsidRPr="00190046" w:rsidRDefault="00190046" w:rsidP="00190046">
            <w:pPr>
              <w:pStyle w:val="Commentary-Bullet"/>
              <w:numPr>
                <w:ilvl w:val="0"/>
                <w:numId w:val="0"/>
              </w:numPr>
              <w:spacing w:before="40"/>
              <w:rPr>
                <w:rFonts w:cs="Calibri"/>
                <w:sz w:val="18"/>
                <w:szCs w:val="18"/>
              </w:rPr>
            </w:pPr>
            <w:r w:rsidRPr="00190046">
              <w:rPr>
                <w:rFonts w:cs="Calibri"/>
                <w:sz w:val="18"/>
                <w:szCs w:val="18"/>
              </w:rPr>
              <w:t>Reduction in Allowance from amounts Written off During the Reporting Period</w:t>
            </w:r>
          </w:p>
        </w:tc>
        <w:tc>
          <w:tcPr>
            <w:tcW w:w="1134" w:type="dxa"/>
            <w:gridSpan w:val="2"/>
            <w:tcBorders>
              <w:top w:val="nil"/>
              <w:left w:val="nil"/>
              <w:bottom w:val="single" w:sz="2" w:space="0" w:color="auto"/>
              <w:right w:val="nil"/>
            </w:tcBorders>
            <w:vAlign w:val="bottom"/>
          </w:tcPr>
          <w:p w14:paraId="6A73AE67" w14:textId="1D5BD223" w:rsidR="00190046" w:rsidRPr="00190046" w:rsidRDefault="00190046" w:rsidP="00190046">
            <w:pPr>
              <w:pStyle w:val="TableText"/>
              <w:tabs>
                <w:tab w:val="left" w:pos="3306"/>
              </w:tabs>
              <w:jc w:val="right"/>
              <w:rPr>
                <w:rFonts w:cs="Calibri"/>
              </w:rPr>
            </w:pPr>
          </w:p>
        </w:tc>
        <w:tc>
          <w:tcPr>
            <w:tcW w:w="1276" w:type="dxa"/>
            <w:tcBorders>
              <w:top w:val="nil"/>
              <w:left w:val="nil"/>
              <w:bottom w:val="single" w:sz="2" w:space="0" w:color="auto"/>
              <w:right w:val="nil"/>
            </w:tcBorders>
            <w:vAlign w:val="bottom"/>
          </w:tcPr>
          <w:p w14:paraId="72F6A34B" w14:textId="19AD0314" w:rsidR="00190046" w:rsidRPr="00190046" w:rsidRDefault="00190046" w:rsidP="00190046">
            <w:pPr>
              <w:pStyle w:val="TableText"/>
              <w:tabs>
                <w:tab w:val="left" w:pos="3306"/>
              </w:tabs>
              <w:jc w:val="right"/>
              <w:rPr>
                <w:rFonts w:cs="Calibri"/>
              </w:rPr>
            </w:pPr>
          </w:p>
        </w:tc>
      </w:tr>
      <w:tr w:rsidR="00190046" w:rsidRPr="00CF7E1B" w14:paraId="2E7F478F"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03DD272F"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5634D95D" w14:textId="77777777" w:rsidR="00190046" w:rsidRPr="00190046" w:rsidRDefault="00190046" w:rsidP="00190046">
            <w:pPr>
              <w:pStyle w:val="TableText"/>
              <w:tabs>
                <w:tab w:val="left" w:pos="3306"/>
              </w:tabs>
              <w:rPr>
                <w:rFonts w:cs="Calibri"/>
                <w:b/>
                <w:bCs/>
              </w:rPr>
            </w:pPr>
            <w:r w:rsidRPr="00190046">
              <w:rPr>
                <w:rFonts w:cs="Calibri"/>
                <w:b/>
              </w:rPr>
              <w:t xml:space="preserve">Allowance </w:t>
            </w:r>
            <w:r w:rsidRPr="00190046">
              <w:rPr>
                <w:rFonts w:cs="Calibri"/>
                <w:b/>
                <w:bCs/>
              </w:rPr>
              <w:t xml:space="preserve">for Impairment Losses at the End of the Reporting Period </w:t>
            </w:r>
          </w:p>
        </w:tc>
        <w:tc>
          <w:tcPr>
            <w:tcW w:w="1134" w:type="dxa"/>
            <w:gridSpan w:val="2"/>
            <w:tcBorders>
              <w:top w:val="single" w:sz="2" w:space="0" w:color="auto"/>
              <w:left w:val="nil"/>
              <w:bottom w:val="double" w:sz="4" w:space="0" w:color="auto"/>
              <w:right w:val="nil"/>
            </w:tcBorders>
            <w:vAlign w:val="bottom"/>
          </w:tcPr>
          <w:p w14:paraId="4483B3D4" w14:textId="20678CCF" w:rsidR="00190046" w:rsidRPr="00190046" w:rsidRDefault="00190046" w:rsidP="00190046">
            <w:pPr>
              <w:pStyle w:val="TableText"/>
              <w:jc w:val="right"/>
              <w:rPr>
                <w:rFonts w:cs="Calibri"/>
                <w:b/>
              </w:rPr>
            </w:pPr>
          </w:p>
        </w:tc>
        <w:tc>
          <w:tcPr>
            <w:tcW w:w="1276" w:type="dxa"/>
            <w:tcBorders>
              <w:top w:val="single" w:sz="2" w:space="0" w:color="auto"/>
              <w:left w:val="nil"/>
              <w:bottom w:val="double" w:sz="4" w:space="0" w:color="auto"/>
              <w:right w:val="nil"/>
            </w:tcBorders>
            <w:vAlign w:val="bottom"/>
          </w:tcPr>
          <w:p w14:paraId="0B96AD33" w14:textId="66994135" w:rsidR="00190046" w:rsidRPr="00190046" w:rsidRDefault="00190046" w:rsidP="00190046">
            <w:pPr>
              <w:pStyle w:val="TableText"/>
              <w:jc w:val="right"/>
              <w:rPr>
                <w:rFonts w:cs="Calibri"/>
                <w:b/>
              </w:rPr>
            </w:pPr>
          </w:p>
        </w:tc>
      </w:tr>
      <w:tr w:rsidR="00190046" w:rsidRPr="00CF7E1B" w14:paraId="010699B8" w14:textId="77777777" w:rsidTr="00D919F2">
        <w:trPr>
          <w:gridAfter w:val="1"/>
          <w:wAfter w:w="47" w:type="dxa"/>
          <w:cantSplit/>
          <w:trHeight w:val="23"/>
        </w:trPr>
        <w:tc>
          <w:tcPr>
            <w:tcW w:w="1563" w:type="dxa"/>
            <w:tcBorders>
              <w:top w:val="nil"/>
              <w:left w:val="single" w:sz="4" w:space="0" w:color="auto"/>
              <w:bottom w:val="nil"/>
              <w:right w:val="single" w:sz="4" w:space="0" w:color="auto"/>
            </w:tcBorders>
          </w:tcPr>
          <w:p w14:paraId="63E8FE1B" w14:textId="77777777" w:rsidR="00190046" w:rsidRPr="00190046" w:rsidRDefault="00190046" w:rsidP="00190046">
            <w:pPr>
              <w:pStyle w:val="TableReference"/>
              <w:tabs>
                <w:tab w:val="left" w:pos="3306"/>
              </w:tabs>
              <w:spacing w:before="40"/>
              <w:rPr>
                <w:rFonts w:cs="Calibri"/>
                <w:color w:val="7030A0"/>
                <w:sz w:val="16"/>
                <w:szCs w:val="16"/>
              </w:rPr>
            </w:pPr>
          </w:p>
        </w:tc>
        <w:tc>
          <w:tcPr>
            <w:tcW w:w="6520" w:type="dxa"/>
            <w:gridSpan w:val="2"/>
            <w:tcBorders>
              <w:top w:val="nil"/>
              <w:left w:val="single" w:sz="4" w:space="0" w:color="auto"/>
              <w:bottom w:val="nil"/>
              <w:right w:val="nil"/>
            </w:tcBorders>
            <w:vAlign w:val="bottom"/>
          </w:tcPr>
          <w:p w14:paraId="7C6944BF" w14:textId="77777777" w:rsidR="00190046" w:rsidRPr="00190046" w:rsidRDefault="00190046" w:rsidP="00190046">
            <w:pPr>
              <w:pStyle w:val="TableText"/>
              <w:tabs>
                <w:tab w:val="left" w:pos="3306"/>
              </w:tabs>
              <w:rPr>
                <w:rFonts w:cs="Calibri"/>
              </w:rPr>
            </w:pPr>
          </w:p>
        </w:tc>
        <w:tc>
          <w:tcPr>
            <w:tcW w:w="1134" w:type="dxa"/>
            <w:gridSpan w:val="2"/>
            <w:tcBorders>
              <w:top w:val="double" w:sz="4" w:space="0" w:color="auto"/>
              <w:left w:val="nil"/>
              <w:bottom w:val="nil"/>
              <w:right w:val="nil"/>
            </w:tcBorders>
            <w:vAlign w:val="bottom"/>
          </w:tcPr>
          <w:p w14:paraId="6D7F45A6" w14:textId="77777777" w:rsidR="00190046" w:rsidRPr="00190046" w:rsidRDefault="00190046" w:rsidP="00190046">
            <w:pPr>
              <w:pStyle w:val="TableText"/>
              <w:tabs>
                <w:tab w:val="left" w:pos="3306"/>
              </w:tabs>
              <w:jc w:val="right"/>
              <w:rPr>
                <w:rFonts w:cs="Calibri"/>
              </w:rPr>
            </w:pPr>
          </w:p>
        </w:tc>
        <w:tc>
          <w:tcPr>
            <w:tcW w:w="1276" w:type="dxa"/>
            <w:tcBorders>
              <w:top w:val="double" w:sz="4" w:space="0" w:color="auto"/>
              <w:left w:val="nil"/>
              <w:bottom w:val="nil"/>
              <w:right w:val="nil"/>
            </w:tcBorders>
            <w:vAlign w:val="bottom"/>
          </w:tcPr>
          <w:p w14:paraId="469FF1A8" w14:textId="77777777" w:rsidR="00190046" w:rsidRPr="00190046" w:rsidRDefault="00190046" w:rsidP="00190046">
            <w:pPr>
              <w:pStyle w:val="TableText"/>
              <w:tabs>
                <w:tab w:val="left" w:pos="3306"/>
              </w:tabs>
              <w:jc w:val="right"/>
              <w:rPr>
                <w:rFonts w:cs="Calibri"/>
              </w:rPr>
            </w:pPr>
          </w:p>
        </w:tc>
      </w:tr>
      <w:tr w:rsidR="00C746EC" w:rsidRPr="00CF7E1B" w14:paraId="69C2578F" w14:textId="77777777" w:rsidTr="00D919F2">
        <w:trPr>
          <w:cantSplit/>
          <w:trHeight w:val="505"/>
        </w:trPr>
        <w:tc>
          <w:tcPr>
            <w:tcW w:w="1563" w:type="dxa"/>
            <w:tcBorders>
              <w:top w:val="nil"/>
              <w:left w:val="single" w:sz="4" w:space="0" w:color="auto"/>
              <w:bottom w:val="nil"/>
              <w:right w:val="single" w:sz="4" w:space="0" w:color="auto"/>
            </w:tcBorders>
          </w:tcPr>
          <w:p w14:paraId="7010324B" w14:textId="77777777" w:rsidR="00C746EC" w:rsidRPr="00190046" w:rsidRDefault="00C746EC" w:rsidP="006B468D">
            <w:pPr>
              <w:pStyle w:val="TableReference"/>
              <w:tabs>
                <w:tab w:val="left" w:pos="3306"/>
              </w:tabs>
              <w:rPr>
                <w:rFonts w:cs="Calibri"/>
                <w:color w:val="7030A0"/>
                <w:sz w:val="14"/>
              </w:rPr>
            </w:pPr>
            <w:r w:rsidRPr="00190046">
              <w:rPr>
                <w:rFonts w:cs="Calibri"/>
                <w:color w:val="7030A0"/>
                <w:sz w:val="14"/>
              </w:rPr>
              <w:t>ACT Disclosure Policy</w:t>
            </w:r>
          </w:p>
        </w:tc>
        <w:tc>
          <w:tcPr>
            <w:tcW w:w="8977" w:type="dxa"/>
            <w:gridSpan w:val="6"/>
            <w:tcBorders>
              <w:top w:val="nil"/>
              <w:left w:val="single" w:sz="4" w:space="0" w:color="auto"/>
              <w:bottom w:val="nil"/>
              <w:right w:val="nil"/>
            </w:tcBorders>
            <w:shd w:val="clear" w:color="auto" w:fill="7030A0"/>
            <w:vAlign w:val="bottom"/>
          </w:tcPr>
          <w:p w14:paraId="494B532A" w14:textId="7BF86F42" w:rsidR="00C746EC" w:rsidRPr="00190046" w:rsidRDefault="006A5FD1" w:rsidP="006B468D">
            <w:pPr>
              <w:pStyle w:val="CommentaryText"/>
              <w:spacing w:after="240"/>
              <w:rPr>
                <w:rFonts w:cs="Calibri"/>
                <w:b/>
                <w:color w:val="FFFFFF" w:themeColor="background1"/>
                <w:sz w:val="28"/>
                <w:szCs w:val="28"/>
              </w:rPr>
            </w:pPr>
            <w:bookmarkStart w:id="965" w:name="_Toc163106422"/>
            <w:r w:rsidRPr="00190046">
              <w:rPr>
                <w:rFonts w:cs="Calibri"/>
                <w:b/>
                <w:color w:val="FFFFFF" w:themeColor="background1"/>
                <w:sz w:val="28"/>
                <w:szCs w:val="28"/>
              </w:rPr>
              <w:t xml:space="preserve">Commentary – Note </w:t>
            </w:r>
            <w:r w:rsidR="00DD6620" w:rsidRPr="00190046">
              <w:rPr>
                <w:rFonts w:cs="Calibri"/>
                <w:b/>
                <w:color w:val="FFFFFF" w:themeColor="background1"/>
                <w:sz w:val="28"/>
                <w:szCs w:val="28"/>
              </w:rPr>
              <w:t>4</w:t>
            </w:r>
            <w:r w:rsidR="00E86853" w:rsidRPr="00190046">
              <w:rPr>
                <w:rFonts w:cs="Calibri"/>
                <w:b/>
                <w:color w:val="FFFFFF" w:themeColor="background1"/>
                <w:sz w:val="28"/>
                <w:szCs w:val="28"/>
              </w:rPr>
              <w:t>7</w:t>
            </w:r>
            <w:r w:rsidRPr="00190046">
              <w:rPr>
                <w:rFonts w:cs="Calibri"/>
                <w:b/>
                <w:color w:val="FFFFFF" w:themeColor="background1"/>
                <w:sz w:val="28"/>
                <w:szCs w:val="28"/>
              </w:rPr>
              <w:t>: Receivables – Territorial</w:t>
            </w:r>
            <w:bookmarkEnd w:id="965"/>
          </w:p>
        </w:tc>
      </w:tr>
      <w:tr w:rsidR="00F85282" w:rsidRPr="00CF7E1B" w14:paraId="3ACA63CC" w14:textId="77777777" w:rsidTr="00D919F2">
        <w:trPr>
          <w:cantSplit/>
          <w:trHeight w:val="505"/>
        </w:trPr>
        <w:tc>
          <w:tcPr>
            <w:tcW w:w="1563" w:type="dxa"/>
            <w:tcBorders>
              <w:top w:val="nil"/>
              <w:left w:val="single" w:sz="4" w:space="0" w:color="auto"/>
              <w:bottom w:val="nil"/>
              <w:right w:val="single" w:sz="4" w:space="0" w:color="auto"/>
            </w:tcBorders>
          </w:tcPr>
          <w:p w14:paraId="71B0E5A3" w14:textId="77777777" w:rsidR="00F85282" w:rsidRPr="00190046" w:rsidRDefault="00F85282" w:rsidP="00C746EC">
            <w:pPr>
              <w:pStyle w:val="TableReference"/>
              <w:tabs>
                <w:tab w:val="left" w:pos="3306"/>
              </w:tabs>
              <w:spacing w:before="40"/>
              <w:rPr>
                <w:rFonts w:cs="Calibri"/>
                <w:color w:val="7030A0"/>
                <w:sz w:val="14"/>
              </w:rPr>
            </w:pPr>
          </w:p>
        </w:tc>
        <w:tc>
          <w:tcPr>
            <w:tcW w:w="8977" w:type="dxa"/>
            <w:gridSpan w:val="6"/>
            <w:tcBorders>
              <w:top w:val="nil"/>
              <w:left w:val="single" w:sz="4" w:space="0" w:color="auto"/>
              <w:bottom w:val="nil"/>
              <w:right w:val="nil"/>
            </w:tcBorders>
            <w:shd w:val="clear" w:color="auto" w:fill="7030A0"/>
            <w:vAlign w:val="bottom"/>
          </w:tcPr>
          <w:p w14:paraId="2A668A0A" w14:textId="1168DE24" w:rsidR="00F85282" w:rsidRPr="00190046" w:rsidRDefault="00F85282" w:rsidP="00C746EC">
            <w:pPr>
              <w:pStyle w:val="CommentaryText"/>
              <w:rPr>
                <w:rFonts w:cs="Calibri"/>
                <w:b/>
                <w:color w:val="FFFFFF" w:themeColor="background1"/>
                <w:sz w:val="18"/>
                <w:szCs w:val="18"/>
              </w:rPr>
            </w:pPr>
            <w:r w:rsidRPr="00190046">
              <w:rPr>
                <w:rFonts w:cs="Calibri"/>
                <w:color w:val="FFFFFF" w:themeColor="background1"/>
                <w:sz w:val="18"/>
                <w:szCs w:val="18"/>
              </w:rPr>
              <w:t>An agency is not required to include disclosures associated with ageing of their receivables where it has no receivables that are past due or impaired.</w:t>
            </w:r>
            <w:r w:rsidR="00FA7C77">
              <w:rPr>
                <w:rFonts w:cs="Calibri"/>
                <w:color w:val="FFFFFF" w:themeColor="background1"/>
                <w:sz w:val="18"/>
                <w:szCs w:val="18"/>
              </w:rPr>
              <w:t xml:space="preserve"> </w:t>
            </w:r>
            <w:r w:rsidRPr="00190046">
              <w:rPr>
                <w:rFonts w:cs="Calibri"/>
                <w:color w:val="FFFFFF" w:themeColor="background1"/>
                <w:sz w:val="18"/>
                <w:szCs w:val="18"/>
              </w:rPr>
              <w:t>They can simply state that ‘No receivables are past due or impaired.’</w:t>
            </w:r>
          </w:p>
        </w:tc>
      </w:tr>
      <w:tr w:rsidR="001456DB" w:rsidRPr="00CF7E1B" w14:paraId="3F1A0AF4" w14:textId="77777777" w:rsidTr="00D919F2">
        <w:trPr>
          <w:cantSplit/>
          <w:trHeight w:val="505"/>
        </w:trPr>
        <w:tc>
          <w:tcPr>
            <w:tcW w:w="1563" w:type="dxa"/>
            <w:tcBorders>
              <w:top w:val="nil"/>
              <w:left w:val="single" w:sz="4" w:space="0" w:color="auto"/>
              <w:bottom w:val="nil"/>
              <w:right w:val="single" w:sz="4" w:space="0" w:color="auto"/>
            </w:tcBorders>
          </w:tcPr>
          <w:p w14:paraId="2C1B0774" w14:textId="77777777" w:rsidR="001456DB" w:rsidRPr="00190046" w:rsidRDefault="001456DB" w:rsidP="00C746EC">
            <w:pPr>
              <w:pStyle w:val="TableReference"/>
              <w:tabs>
                <w:tab w:val="left" w:pos="3306"/>
              </w:tabs>
              <w:spacing w:before="40"/>
              <w:rPr>
                <w:rFonts w:cs="Calibri"/>
                <w:color w:val="7030A0"/>
                <w:sz w:val="14"/>
              </w:rPr>
            </w:pPr>
          </w:p>
        </w:tc>
        <w:tc>
          <w:tcPr>
            <w:tcW w:w="8977" w:type="dxa"/>
            <w:gridSpan w:val="6"/>
            <w:tcBorders>
              <w:top w:val="nil"/>
              <w:left w:val="single" w:sz="4" w:space="0" w:color="auto"/>
              <w:bottom w:val="nil"/>
              <w:right w:val="nil"/>
            </w:tcBorders>
            <w:shd w:val="clear" w:color="auto" w:fill="7030A0"/>
            <w:vAlign w:val="bottom"/>
          </w:tcPr>
          <w:p w14:paraId="23F9BED1" w14:textId="652300DD" w:rsidR="001456DB" w:rsidRPr="00190046" w:rsidRDefault="001456DB" w:rsidP="00C746EC">
            <w:pPr>
              <w:pStyle w:val="CommentaryText"/>
              <w:rPr>
                <w:rFonts w:cs="Calibri"/>
                <w:color w:val="FFFFFF" w:themeColor="background1"/>
                <w:sz w:val="18"/>
                <w:szCs w:val="18"/>
              </w:rPr>
            </w:pPr>
            <w:r w:rsidRPr="00190046">
              <w:rPr>
                <w:rFonts w:eastAsia="Times"/>
                <w:color w:val="FFFFFF" w:themeColor="background1"/>
                <w:sz w:val="18"/>
                <w:szCs w:val="18"/>
              </w:rPr>
              <w:t>Agencies need not undertake an exhaustive search for information but should consider all reasonable and supportable information that is available without undue cost or effort and that is relevant to the estimate of expected credit losses, including the effect of expected prepayments.</w:t>
            </w:r>
          </w:p>
        </w:tc>
      </w:tr>
      <w:tr w:rsidR="00C746EC" w:rsidRPr="00CF7E1B" w14:paraId="0FA32F1D" w14:textId="77777777" w:rsidTr="00D919F2">
        <w:trPr>
          <w:cantSplit/>
          <w:trHeight w:val="632"/>
        </w:trPr>
        <w:tc>
          <w:tcPr>
            <w:tcW w:w="1563" w:type="dxa"/>
            <w:tcBorders>
              <w:top w:val="nil"/>
              <w:left w:val="single" w:sz="4" w:space="0" w:color="auto"/>
              <w:bottom w:val="nil"/>
              <w:right w:val="single" w:sz="4" w:space="0" w:color="auto"/>
            </w:tcBorders>
          </w:tcPr>
          <w:p w14:paraId="5FA5F8F7" w14:textId="77777777" w:rsidR="00C746EC" w:rsidRPr="00190046" w:rsidRDefault="00C746EC" w:rsidP="00C746EC">
            <w:pPr>
              <w:pStyle w:val="Reference"/>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7D4D0AC5" w14:textId="59DFFAFD" w:rsidR="00C746EC" w:rsidRPr="00190046" w:rsidRDefault="00C746EC" w:rsidP="00C746EC">
            <w:pPr>
              <w:pStyle w:val="CommentaryText"/>
              <w:rPr>
                <w:rFonts w:cs="Calibri"/>
                <w:color w:val="FFFFFF" w:themeColor="background1"/>
                <w:sz w:val="18"/>
                <w:szCs w:val="18"/>
              </w:rPr>
            </w:pPr>
            <w:r w:rsidRPr="00190046">
              <w:rPr>
                <w:rFonts w:cs="Calibri"/>
                <w:color w:val="FFFFFF" w:themeColor="background1"/>
                <w:sz w:val="18"/>
                <w:szCs w:val="18"/>
              </w:rPr>
              <w:t>The agency has a net GST receivable.</w:t>
            </w:r>
            <w:r w:rsidR="00FA7C77">
              <w:rPr>
                <w:rFonts w:cs="Calibri"/>
                <w:color w:val="FFFFFF" w:themeColor="background1"/>
                <w:sz w:val="18"/>
                <w:szCs w:val="18"/>
              </w:rPr>
              <w:t xml:space="preserve"> </w:t>
            </w:r>
            <w:r w:rsidRPr="00190046">
              <w:rPr>
                <w:rFonts w:cs="Calibri"/>
                <w:color w:val="FFFFFF" w:themeColor="background1"/>
                <w:sz w:val="18"/>
                <w:szCs w:val="18"/>
              </w:rPr>
              <w:t xml:space="preserve">A net GST receivable will occur in almost all territorial financial statements as no GST is required to be remitted to the Australian Taxation Office for Payment for Expenses on Behalf of the Territory (EBT) funding or for taxes, </w:t>
            </w:r>
            <w:r w:rsidR="00DC32A6" w:rsidRPr="00190046">
              <w:rPr>
                <w:rFonts w:cs="Calibri"/>
                <w:color w:val="FFFFFF" w:themeColor="background1"/>
                <w:sz w:val="18"/>
                <w:szCs w:val="18"/>
              </w:rPr>
              <w:t xml:space="preserve">licences, </w:t>
            </w:r>
            <w:r w:rsidRPr="00190046">
              <w:rPr>
                <w:rFonts w:cs="Calibri"/>
                <w:color w:val="FFFFFF" w:themeColor="background1"/>
                <w:sz w:val="18"/>
                <w:szCs w:val="18"/>
              </w:rPr>
              <w:t>fees and fines, however, agencies will receive input tax credits for grants and purchased services provided.</w:t>
            </w:r>
          </w:p>
        </w:tc>
      </w:tr>
      <w:tr w:rsidR="00C746EC" w:rsidRPr="00CF7E1B" w14:paraId="504B0836" w14:textId="77777777" w:rsidTr="00D919F2">
        <w:trPr>
          <w:cantSplit/>
          <w:trHeight w:val="23"/>
        </w:trPr>
        <w:tc>
          <w:tcPr>
            <w:tcW w:w="1563" w:type="dxa"/>
            <w:tcBorders>
              <w:top w:val="nil"/>
              <w:left w:val="single" w:sz="4" w:space="0" w:color="auto"/>
              <w:bottom w:val="nil"/>
              <w:right w:val="single" w:sz="4" w:space="0" w:color="auto"/>
            </w:tcBorders>
          </w:tcPr>
          <w:p w14:paraId="025335A5" w14:textId="77777777" w:rsidR="00C746EC" w:rsidRPr="00190046" w:rsidRDefault="00C746EC"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4D3DA0B4" w14:textId="66F821F1" w:rsidR="00C746EC" w:rsidRPr="00190046" w:rsidRDefault="00C746EC" w:rsidP="00C746EC">
            <w:pPr>
              <w:pStyle w:val="CommentaryText"/>
              <w:rPr>
                <w:rFonts w:cs="Calibri"/>
                <w:color w:val="FFFFFF" w:themeColor="background1"/>
                <w:sz w:val="18"/>
                <w:szCs w:val="18"/>
              </w:rPr>
            </w:pPr>
            <w:r w:rsidRPr="00190046">
              <w:rPr>
                <w:rFonts w:cs="Calibri"/>
                <w:color w:val="FFFFFF" w:themeColor="background1"/>
                <w:sz w:val="18"/>
                <w:szCs w:val="18"/>
              </w:rPr>
              <w:t xml:space="preserve">If a net GST payable arises then this amount would be disclosed at Note </w:t>
            </w:r>
            <w:r w:rsidR="00E86853" w:rsidRPr="00190046">
              <w:rPr>
                <w:rFonts w:cs="Calibri"/>
                <w:color w:val="FFFFFF" w:themeColor="background1"/>
                <w:sz w:val="18"/>
                <w:szCs w:val="18"/>
              </w:rPr>
              <w:t>49</w:t>
            </w:r>
            <w:r w:rsidR="00DD6620" w:rsidRPr="00190046">
              <w:rPr>
                <w:rFonts w:cs="Calibri"/>
                <w:color w:val="FFFFFF" w:themeColor="background1"/>
                <w:sz w:val="18"/>
                <w:szCs w:val="18"/>
              </w:rPr>
              <w:t xml:space="preserve"> </w:t>
            </w:r>
            <w:r w:rsidRPr="00190046">
              <w:rPr>
                <w:rFonts w:cs="Calibri"/>
                <w:i/>
                <w:color w:val="FFFFFF" w:themeColor="background1"/>
                <w:sz w:val="18"/>
                <w:szCs w:val="18"/>
              </w:rPr>
              <w:t>Payables</w:t>
            </w:r>
            <w:r w:rsidR="002541C3" w:rsidRPr="00190046">
              <w:rPr>
                <w:rFonts w:cs="Calibri"/>
                <w:i/>
                <w:color w:val="FFFFFF" w:themeColor="background1"/>
                <w:sz w:val="18"/>
                <w:szCs w:val="18"/>
              </w:rPr>
              <w:t xml:space="preserve"> </w:t>
            </w:r>
            <w:r w:rsidR="002541C3" w:rsidRPr="00190046">
              <w:rPr>
                <w:rFonts w:cs="Calibri"/>
                <w:i/>
                <w:iCs/>
                <w:color w:val="FFFFFF" w:themeColor="background1"/>
                <w:sz w:val="18"/>
                <w:szCs w:val="18"/>
              </w:rPr>
              <w:t>and Contract Liabilities</w:t>
            </w:r>
            <w:r w:rsidRPr="00190046">
              <w:rPr>
                <w:rFonts w:cs="Calibri"/>
                <w:i/>
                <w:color w:val="FFFFFF" w:themeColor="background1"/>
                <w:sz w:val="18"/>
                <w:szCs w:val="18"/>
              </w:rPr>
              <w:t xml:space="preserve"> - Territorial</w:t>
            </w:r>
            <w:r w:rsidRPr="00190046">
              <w:rPr>
                <w:rFonts w:cs="Calibri"/>
                <w:color w:val="FFFFFF" w:themeColor="background1"/>
                <w:sz w:val="18"/>
                <w:szCs w:val="18"/>
              </w:rPr>
              <w:t xml:space="preserve"> rather than in this receivables</w:t>
            </w:r>
            <w:r w:rsidR="000C1CDA" w:rsidRPr="00190046">
              <w:rPr>
                <w:rFonts w:cs="Calibri"/>
                <w:color w:val="FFFFFF" w:themeColor="background1"/>
                <w:sz w:val="18"/>
                <w:szCs w:val="18"/>
              </w:rPr>
              <w:t xml:space="preserve"> and contract asset</w:t>
            </w:r>
            <w:r w:rsidRPr="00190046">
              <w:rPr>
                <w:rFonts w:cs="Calibri"/>
                <w:color w:val="FFFFFF" w:themeColor="background1"/>
                <w:sz w:val="18"/>
                <w:szCs w:val="18"/>
              </w:rPr>
              <w:t xml:space="preserve"> note.</w:t>
            </w:r>
          </w:p>
        </w:tc>
      </w:tr>
      <w:tr w:rsidR="00C746EC" w:rsidRPr="00CF7E1B" w14:paraId="16B15C83" w14:textId="77777777" w:rsidTr="00D919F2">
        <w:trPr>
          <w:cantSplit/>
          <w:trHeight w:val="508"/>
        </w:trPr>
        <w:tc>
          <w:tcPr>
            <w:tcW w:w="1563" w:type="dxa"/>
            <w:tcBorders>
              <w:top w:val="nil"/>
              <w:left w:val="single" w:sz="4" w:space="0" w:color="auto"/>
              <w:bottom w:val="nil"/>
              <w:right w:val="single" w:sz="4" w:space="0" w:color="auto"/>
            </w:tcBorders>
          </w:tcPr>
          <w:p w14:paraId="6986E2E5" w14:textId="77777777" w:rsidR="00C746EC" w:rsidRPr="00190046" w:rsidRDefault="00C746EC" w:rsidP="00C746EC">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tcPr>
          <w:p w14:paraId="0D33C8F7" w14:textId="104A8EFD" w:rsidR="006A5FD1" w:rsidRPr="00190046" w:rsidRDefault="00C746EC" w:rsidP="00C309DB">
            <w:pPr>
              <w:pStyle w:val="CommentaryText"/>
              <w:rPr>
                <w:rFonts w:cs="Calibri"/>
                <w:color w:val="FFFFFF" w:themeColor="background1"/>
                <w:sz w:val="18"/>
                <w:szCs w:val="18"/>
              </w:rPr>
            </w:pPr>
            <w:r w:rsidRPr="00190046">
              <w:rPr>
                <w:rFonts w:cs="Calibri"/>
                <w:color w:val="FFFFFF" w:themeColor="background1"/>
                <w:sz w:val="18"/>
                <w:szCs w:val="18"/>
              </w:rPr>
              <w:t>An agency shall disclose the amount of any impairment loss recognised for each class of financial asset (including receivables).</w:t>
            </w:r>
          </w:p>
        </w:tc>
      </w:tr>
      <w:tr w:rsidR="001456DB" w:rsidRPr="00CF7E1B" w14:paraId="4B501B8C" w14:textId="77777777" w:rsidTr="00D919F2">
        <w:trPr>
          <w:cantSplit/>
          <w:trHeight w:val="508"/>
        </w:trPr>
        <w:tc>
          <w:tcPr>
            <w:tcW w:w="1563" w:type="dxa"/>
            <w:tcBorders>
              <w:top w:val="nil"/>
              <w:left w:val="single" w:sz="4" w:space="0" w:color="auto"/>
              <w:bottom w:val="nil"/>
              <w:right w:val="single" w:sz="4" w:space="0" w:color="auto"/>
            </w:tcBorders>
          </w:tcPr>
          <w:p w14:paraId="721E352C" w14:textId="77777777" w:rsidR="001456DB" w:rsidRPr="00190046" w:rsidRDefault="001456DB" w:rsidP="001456DB">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0BEAD73E" w14:textId="0473FCE7" w:rsidR="001456DB" w:rsidRPr="006B468D" w:rsidRDefault="001456DB" w:rsidP="001456DB">
            <w:pPr>
              <w:pStyle w:val="CommentaryText"/>
              <w:spacing w:after="40"/>
              <w:rPr>
                <w:rFonts w:cs="Calibri"/>
                <w:color w:val="FFFFFF" w:themeColor="background1"/>
                <w:szCs w:val="20"/>
              </w:rPr>
            </w:pPr>
            <w:r w:rsidRPr="006B468D">
              <w:rPr>
                <w:rFonts w:cs="Calibri"/>
                <w:b/>
                <w:bCs/>
                <w:color w:val="FFFFFF" w:themeColor="background1"/>
                <w:szCs w:val="20"/>
              </w:rPr>
              <w:t>Impact of COVID-19 on Expected Credit Losses</w:t>
            </w:r>
          </w:p>
        </w:tc>
      </w:tr>
      <w:tr w:rsidR="001456DB" w:rsidRPr="00CF7E1B" w14:paraId="02AD9132" w14:textId="77777777" w:rsidTr="00D919F2">
        <w:trPr>
          <w:cantSplit/>
          <w:trHeight w:val="508"/>
        </w:trPr>
        <w:tc>
          <w:tcPr>
            <w:tcW w:w="1563" w:type="dxa"/>
            <w:tcBorders>
              <w:top w:val="nil"/>
              <w:left w:val="single" w:sz="4" w:space="0" w:color="auto"/>
              <w:bottom w:val="nil"/>
              <w:right w:val="single" w:sz="4" w:space="0" w:color="auto"/>
            </w:tcBorders>
          </w:tcPr>
          <w:p w14:paraId="75F27F91" w14:textId="77777777" w:rsidR="001456DB" w:rsidRPr="00190046" w:rsidRDefault="001456DB" w:rsidP="001456DB">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shd w:val="clear" w:color="auto" w:fill="7030A0"/>
            <w:vAlign w:val="bottom"/>
          </w:tcPr>
          <w:p w14:paraId="70B9DE5D" w14:textId="1B6005AB" w:rsidR="001456DB" w:rsidRPr="00190046" w:rsidRDefault="001456DB" w:rsidP="00930B95">
            <w:pPr>
              <w:spacing w:after="40"/>
              <w:jc w:val="both"/>
              <w:rPr>
                <w:color w:val="FFFFFF" w:themeColor="background1"/>
                <w:sz w:val="18"/>
                <w:szCs w:val="18"/>
              </w:rPr>
            </w:pPr>
            <w:r w:rsidRPr="00190046">
              <w:rPr>
                <w:color w:val="FFFFFF" w:themeColor="background1"/>
                <w:sz w:val="18"/>
                <w:szCs w:val="18"/>
              </w:rPr>
              <w:t>It is likely Expected Credit Losses (ECLs) will increase to reflect changes in the ability of people to settle their debts. Material changes to ECLs will need to be appropriately disclosed</w:t>
            </w:r>
            <w:r w:rsidR="00930B95" w:rsidRPr="00190046">
              <w:rPr>
                <w:color w:val="FFFFFF" w:themeColor="background1"/>
                <w:sz w:val="18"/>
                <w:szCs w:val="18"/>
              </w:rPr>
              <w:t>:</w:t>
            </w:r>
          </w:p>
          <w:p w14:paraId="25949BAF" w14:textId="6261651B" w:rsidR="001456DB" w:rsidRPr="00190046" w:rsidRDefault="001456DB" w:rsidP="007122BC">
            <w:pPr>
              <w:pStyle w:val="ListParagraph"/>
              <w:numPr>
                <w:ilvl w:val="0"/>
                <w:numId w:val="51"/>
              </w:numPr>
              <w:spacing w:after="40"/>
              <w:ind w:left="452" w:hanging="349"/>
              <w:contextualSpacing w:val="0"/>
              <w:jc w:val="both"/>
              <w:rPr>
                <w:color w:val="FFFFFF" w:themeColor="background1"/>
                <w:sz w:val="18"/>
                <w:szCs w:val="18"/>
              </w:rPr>
            </w:pPr>
            <w:r w:rsidRPr="00190046">
              <w:rPr>
                <w:color w:val="FFFFFF" w:themeColor="background1"/>
                <w:sz w:val="18"/>
                <w:szCs w:val="18"/>
              </w:rPr>
              <w:t>ECLs (i</w:t>
            </w:r>
            <w:r w:rsidR="0087202A">
              <w:rPr>
                <w:color w:val="FFFFFF" w:themeColor="background1"/>
                <w:sz w:val="18"/>
                <w:szCs w:val="18"/>
              </w:rPr>
              <w:t>.</w:t>
            </w:r>
            <w:r w:rsidRPr="00190046">
              <w:rPr>
                <w:color w:val="FFFFFF" w:themeColor="background1"/>
                <w:sz w:val="18"/>
                <w:szCs w:val="18"/>
              </w:rPr>
              <w:t>e</w:t>
            </w:r>
            <w:r w:rsidR="0087202A">
              <w:rPr>
                <w:color w:val="FFFFFF" w:themeColor="background1"/>
                <w:sz w:val="18"/>
                <w:szCs w:val="18"/>
              </w:rPr>
              <w:t>.</w:t>
            </w:r>
            <w:r w:rsidRPr="00190046">
              <w:rPr>
                <w:color w:val="FFFFFF" w:themeColor="background1"/>
                <w:sz w:val="18"/>
                <w:szCs w:val="18"/>
              </w:rPr>
              <w:t xml:space="preserve"> provisions) against receivables may increase substantially; and</w:t>
            </w:r>
          </w:p>
          <w:p w14:paraId="7314DEA0" w14:textId="512552D4" w:rsidR="001456DB" w:rsidRPr="00190046" w:rsidRDefault="001456DB" w:rsidP="007122BC">
            <w:pPr>
              <w:pStyle w:val="ListParagraph"/>
              <w:numPr>
                <w:ilvl w:val="0"/>
                <w:numId w:val="51"/>
              </w:numPr>
              <w:spacing w:after="120"/>
              <w:ind w:left="452" w:hanging="349"/>
              <w:contextualSpacing w:val="0"/>
              <w:jc w:val="both"/>
              <w:rPr>
                <w:color w:val="FFFFFF" w:themeColor="background1"/>
                <w:sz w:val="18"/>
                <w:szCs w:val="18"/>
              </w:rPr>
            </w:pPr>
            <w:r w:rsidRPr="00190046">
              <w:rPr>
                <w:color w:val="FFFFFF" w:themeColor="background1"/>
                <w:sz w:val="18"/>
                <w:szCs w:val="18"/>
              </w:rPr>
              <w:t>agencies need to consider the appropriateness of their existing methodologies for predicting future ECLs.</w:t>
            </w:r>
          </w:p>
        </w:tc>
      </w:tr>
      <w:tr w:rsidR="0030665C" w:rsidRPr="00CF7E1B" w14:paraId="0EF312B0" w14:textId="77777777" w:rsidTr="00D919F2">
        <w:trPr>
          <w:cantSplit/>
          <w:trHeight w:val="23"/>
        </w:trPr>
        <w:tc>
          <w:tcPr>
            <w:tcW w:w="1563" w:type="dxa"/>
            <w:tcBorders>
              <w:top w:val="nil"/>
              <w:left w:val="single" w:sz="4" w:space="0" w:color="auto"/>
              <w:bottom w:val="nil"/>
              <w:right w:val="single" w:sz="4" w:space="0" w:color="auto"/>
            </w:tcBorders>
          </w:tcPr>
          <w:p w14:paraId="2A068A6D" w14:textId="77777777" w:rsidR="0030665C" w:rsidRPr="00190046" w:rsidRDefault="0030665C" w:rsidP="00863311">
            <w:pPr>
              <w:pStyle w:val="TableReference"/>
              <w:tabs>
                <w:tab w:val="left" w:pos="3306"/>
              </w:tabs>
              <w:spacing w:before="40"/>
              <w:rPr>
                <w:rFonts w:cs="Calibri"/>
                <w:color w:val="7030A0"/>
                <w:sz w:val="16"/>
                <w:szCs w:val="16"/>
              </w:rPr>
            </w:pPr>
          </w:p>
        </w:tc>
        <w:tc>
          <w:tcPr>
            <w:tcW w:w="8977" w:type="dxa"/>
            <w:gridSpan w:val="6"/>
            <w:tcBorders>
              <w:top w:val="nil"/>
              <w:left w:val="single" w:sz="4" w:space="0" w:color="auto"/>
              <w:bottom w:val="nil"/>
              <w:right w:val="nil"/>
            </w:tcBorders>
            <w:vAlign w:val="bottom"/>
          </w:tcPr>
          <w:p w14:paraId="57F93856" w14:textId="7A891AEF" w:rsidR="0030665C" w:rsidRPr="00190046" w:rsidRDefault="00BB37EE" w:rsidP="00E80D67">
            <w:pPr>
              <w:pStyle w:val="Heading1"/>
              <w:numPr>
                <w:ilvl w:val="0"/>
                <w:numId w:val="0"/>
              </w:numPr>
            </w:pPr>
            <w:bookmarkStart w:id="966" w:name="_Toc49224366"/>
            <w:bookmarkStart w:id="967" w:name="_Ref50366037"/>
            <w:bookmarkStart w:id="968" w:name="_Toc50440437"/>
            <w:bookmarkStart w:id="969" w:name="_Ref50524528"/>
            <w:bookmarkStart w:id="970" w:name="_Toc223433233"/>
            <w:bookmarkStart w:id="971" w:name="_Toc400627381"/>
            <w:bookmarkStart w:id="972" w:name="_Toc98763206"/>
            <w:r w:rsidRPr="00190046">
              <w:t xml:space="preserve">Note </w:t>
            </w:r>
            <w:r w:rsidR="006C5890" w:rsidRPr="00190046">
              <w:t>4</w:t>
            </w:r>
            <w:r w:rsidR="00E86853" w:rsidRPr="00190046">
              <w:t>8</w:t>
            </w:r>
            <w:r w:rsidRPr="00190046">
              <w:t>.</w:t>
            </w:r>
            <w:r w:rsidR="00FA7C77">
              <w:t xml:space="preserve"> </w:t>
            </w:r>
            <w:r w:rsidRPr="00190046">
              <w:t xml:space="preserve"> </w:t>
            </w:r>
            <w:bookmarkStart w:id="973" w:name="TSotherassets"/>
            <w:r w:rsidR="0030665C" w:rsidRPr="00190046">
              <w:t>Other Assets – Territorial</w:t>
            </w:r>
            <w:bookmarkEnd w:id="966"/>
            <w:bookmarkEnd w:id="967"/>
            <w:bookmarkEnd w:id="968"/>
            <w:bookmarkEnd w:id="969"/>
            <w:bookmarkEnd w:id="970"/>
            <w:bookmarkEnd w:id="971"/>
            <w:bookmarkEnd w:id="973"/>
            <w:bookmarkEnd w:id="972"/>
          </w:p>
        </w:tc>
      </w:tr>
      <w:tr w:rsidR="007824EB" w:rsidRPr="00CF7E1B" w14:paraId="545F8884" w14:textId="77777777" w:rsidTr="00D919F2">
        <w:trPr>
          <w:cantSplit/>
          <w:trHeight w:val="23"/>
        </w:trPr>
        <w:tc>
          <w:tcPr>
            <w:tcW w:w="1563" w:type="dxa"/>
            <w:tcBorders>
              <w:top w:val="nil"/>
              <w:left w:val="single" w:sz="4" w:space="0" w:color="auto"/>
              <w:bottom w:val="nil"/>
              <w:right w:val="single" w:sz="4" w:space="0" w:color="auto"/>
            </w:tcBorders>
          </w:tcPr>
          <w:p w14:paraId="1E209C71" w14:textId="77777777" w:rsidR="007824EB" w:rsidRPr="00190046" w:rsidRDefault="007824EB" w:rsidP="007824EB">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641E5EDC" w14:textId="04B2ECA8" w:rsidR="007824EB" w:rsidRPr="00190046" w:rsidRDefault="007824EB" w:rsidP="007824EB">
            <w:pPr>
              <w:pStyle w:val="TableText"/>
              <w:tabs>
                <w:tab w:val="left" w:pos="3306"/>
              </w:tabs>
              <w:rPr>
                <w:rFonts w:cs="Calibri"/>
                <w:b/>
                <w:bCs/>
              </w:rPr>
            </w:pPr>
          </w:p>
        </w:tc>
        <w:tc>
          <w:tcPr>
            <w:tcW w:w="1604" w:type="dxa"/>
            <w:gridSpan w:val="2"/>
            <w:tcBorders>
              <w:top w:val="nil"/>
              <w:left w:val="nil"/>
              <w:bottom w:val="nil"/>
              <w:right w:val="nil"/>
            </w:tcBorders>
          </w:tcPr>
          <w:p w14:paraId="23C48C57" w14:textId="04ABD89A" w:rsidR="007824EB" w:rsidRPr="00190046" w:rsidRDefault="007824EB" w:rsidP="007824EB">
            <w:pPr>
              <w:pStyle w:val="TableText"/>
              <w:jc w:val="right"/>
              <w:rPr>
                <w:rFonts w:cs="Calibri"/>
                <w:b/>
                <w:bCs/>
              </w:rPr>
            </w:pPr>
            <w:r w:rsidRPr="00190046">
              <w:rPr>
                <w:rFonts w:cs="Calibri"/>
                <w:b/>
                <w:bCs/>
              </w:rPr>
              <w:t xml:space="preserve">2022 </w:t>
            </w:r>
          </w:p>
          <w:p w14:paraId="7C2A0685" w14:textId="4648B28F" w:rsidR="007824EB" w:rsidRPr="00190046" w:rsidRDefault="007824EB" w:rsidP="007824EB">
            <w:pPr>
              <w:pStyle w:val="TableTitle"/>
              <w:tabs>
                <w:tab w:val="left" w:pos="3306"/>
              </w:tabs>
              <w:rPr>
                <w:rFonts w:cs="Calibri"/>
                <w:szCs w:val="16"/>
              </w:rPr>
            </w:pPr>
            <w:r w:rsidRPr="00190046">
              <w:rPr>
                <w:rFonts w:cs="Calibri"/>
              </w:rPr>
              <w:t>$’000</w:t>
            </w:r>
          </w:p>
        </w:tc>
        <w:tc>
          <w:tcPr>
            <w:tcW w:w="1494" w:type="dxa"/>
            <w:gridSpan w:val="3"/>
            <w:tcBorders>
              <w:top w:val="nil"/>
              <w:left w:val="nil"/>
              <w:bottom w:val="nil"/>
              <w:right w:val="nil"/>
            </w:tcBorders>
          </w:tcPr>
          <w:p w14:paraId="6DF6E054" w14:textId="1FC5F8F6" w:rsidR="007824EB" w:rsidRPr="00190046" w:rsidRDefault="007824EB" w:rsidP="007824EB">
            <w:pPr>
              <w:pStyle w:val="TableText"/>
              <w:jc w:val="right"/>
              <w:rPr>
                <w:rFonts w:cs="Calibri"/>
                <w:b/>
                <w:bCs/>
              </w:rPr>
            </w:pPr>
            <w:r w:rsidRPr="00190046">
              <w:rPr>
                <w:rFonts w:cs="Calibri"/>
                <w:b/>
                <w:bCs/>
              </w:rPr>
              <w:t>2021</w:t>
            </w:r>
          </w:p>
          <w:p w14:paraId="73490C08" w14:textId="3308E230" w:rsidR="007824EB" w:rsidRPr="00190046" w:rsidRDefault="007824EB" w:rsidP="007824EB">
            <w:pPr>
              <w:pStyle w:val="TableTitle"/>
              <w:tabs>
                <w:tab w:val="left" w:pos="3306"/>
              </w:tabs>
              <w:rPr>
                <w:rFonts w:cs="Calibri"/>
              </w:rPr>
            </w:pPr>
            <w:r w:rsidRPr="00190046">
              <w:rPr>
                <w:rFonts w:cs="Calibri"/>
              </w:rPr>
              <w:t>$’000</w:t>
            </w:r>
          </w:p>
        </w:tc>
      </w:tr>
      <w:tr w:rsidR="007824EB" w:rsidRPr="00CF7E1B" w14:paraId="07FAAD50" w14:textId="77777777" w:rsidTr="00D919F2">
        <w:trPr>
          <w:cantSplit/>
          <w:trHeight w:val="23"/>
        </w:trPr>
        <w:tc>
          <w:tcPr>
            <w:tcW w:w="1563" w:type="dxa"/>
            <w:tcBorders>
              <w:top w:val="nil"/>
              <w:left w:val="single" w:sz="4" w:space="0" w:color="auto"/>
              <w:bottom w:val="nil"/>
              <w:right w:val="single" w:sz="4" w:space="0" w:color="auto"/>
            </w:tcBorders>
          </w:tcPr>
          <w:p w14:paraId="7005024C" w14:textId="77777777" w:rsidR="007824EB" w:rsidRPr="00190046" w:rsidRDefault="007824EB" w:rsidP="007824EB">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0B360F5B" w14:textId="5F2DA20D" w:rsidR="007824EB" w:rsidRPr="00190046" w:rsidRDefault="007824EB" w:rsidP="007824EB">
            <w:pPr>
              <w:pStyle w:val="TableText"/>
              <w:tabs>
                <w:tab w:val="left" w:pos="3306"/>
              </w:tabs>
              <w:rPr>
                <w:rFonts w:cs="Calibri"/>
              </w:rPr>
            </w:pPr>
          </w:p>
        </w:tc>
        <w:tc>
          <w:tcPr>
            <w:tcW w:w="1604" w:type="dxa"/>
            <w:gridSpan w:val="2"/>
            <w:tcBorders>
              <w:top w:val="nil"/>
              <w:left w:val="nil"/>
              <w:bottom w:val="nil"/>
              <w:right w:val="nil"/>
            </w:tcBorders>
            <w:vAlign w:val="bottom"/>
          </w:tcPr>
          <w:p w14:paraId="33F7BF58" w14:textId="64897C28" w:rsidR="007824EB" w:rsidRPr="00190046" w:rsidRDefault="007824EB" w:rsidP="007824EB">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42747008" w14:textId="44CC168A" w:rsidR="007824EB" w:rsidRPr="00190046" w:rsidRDefault="007824EB" w:rsidP="007824EB">
            <w:pPr>
              <w:pStyle w:val="TableText"/>
              <w:tabs>
                <w:tab w:val="left" w:pos="3306"/>
              </w:tabs>
              <w:jc w:val="right"/>
              <w:rPr>
                <w:rFonts w:cs="Calibri"/>
              </w:rPr>
            </w:pPr>
          </w:p>
        </w:tc>
      </w:tr>
      <w:tr w:rsidR="007824EB" w:rsidRPr="00CF7E1B" w14:paraId="6840EB3B" w14:textId="77777777" w:rsidTr="00D919F2">
        <w:trPr>
          <w:cantSplit/>
          <w:trHeight w:val="23"/>
        </w:trPr>
        <w:tc>
          <w:tcPr>
            <w:tcW w:w="1563" w:type="dxa"/>
            <w:tcBorders>
              <w:top w:val="nil"/>
              <w:left w:val="single" w:sz="4" w:space="0" w:color="auto"/>
              <w:bottom w:val="nil"/>
              <w:right w:val="single" w:sz="4" w:space="0" w:color="auto"/>
            </w:tcBorders>
          </w:tcPr>
          <w:p w14:paraId="355BF687" w14:textId="77777777" w:rsidR="007824EB" w:rsidRPr="00190046" w:rsidRDefault="007824EB" w:rsidP="007824EB">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240D7355" w14:textId="37B9F232" w:rsidR="007824EB" w:rsidRPr="00190046" w:rsidRDefault="007824EB" w:rsidP="007824EB">
            <w:pPr>
              <w:pStyle w:val="TableText"/>
              <w:tabs>
                <w:tab w:val="left" w:pos="3306"/>
              </w:tabs>
              <w:rPr>
                <w:rFonts w:cs="Calibri"/>
              </w:rPr>
            </w:pPr>
            <w:r w:rsidRPr="00190046">
              <w:rPr>
                <w:rFonts w:cs="Calibri"/>
                <w:b/>
                <w:bCs/>
              </w:rPr>
              <w:t>Current Other Assets</w:t>
            </w:r>
          </w:p>
        </w:tc>
        <w:tc>
          <w:tcPr>
            <w:tcW w:w="1604" w:type="dxa"/>
            <w:gridSpan w:val="2"/>
            <w:tcBorders>
              <w:top w:val="nil"/>
              <w:left w:val="nil"/>
              <w:bottom w:val="nil"/>
              <w:right w:val="nil"/>
            </w:tcBorders>
            <w:vAlign w:val="bottom"/>
          </w:tcPr>
          <w:p w14:paraId="330E5900" w14:textId="77777777" w:rsidR="007824EB" w:rsidRPr="00190046" w:rsidRDefault="007824EB" w:rsidP="007824EB">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487915AA" w14:textId="77777777" w:rsidR="007824EB" w:rsidRPr="00190046" w:rsidRDefault="007824EB" w:rsidP="007824EB">
            <w:pPr>
              <w:pStyle w:val="TableText"/>
              <w:tabs>
                <w:tab w:val="left" w:pos="3306"/>
              </w:tabs>
              <w:jc w:val="right"/>
              <w:rPr>
                <w:rFonts w:cs="Calibri"/>
              </w:rPr>
            </w:pPr>
          </w:p>
        </w:tc>
      </w:tr>
      <w:tr w:rsidR="007824EB" w:rsidRPr="00CF7E1B" w14:paraId="542E1758" w14:textId="77777777" w:rsidTr="00D919F2">
        <w:trPr>
          <w:cantSplit/>
          <w:trHeight w:val="23"/>
        </w:trPr>
        <w:tc>
          <w:tcPr>
            <w:tcW w:w="1563" w:type="dxa"/>
            <w:tcBorders>
              <w:top w:val="nil"/>
              <w:left w:val="single" w:sz="4" w:space="0" w:color="auto"/>
              <w:bottom w:val="nil"/>
              <w:right w:val="single" w:sz="4" w:space="0" w:color="auto"/>
            </w:tcBorders>
          </w:tcPr>
          <w:p w14:paraId="1D8D136C" w14:textId="77777777" w:rsidR="007824EB" w:rsidRPr="00190046" w:rsidRDefault="007824EB" w:rsidP="007824EB">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482ED9AB" w14:textId="738D3676" w:rsidR="007824EB" w:rsidRPr="00190046" w:rsidRDefault="007824EB" w:rsidP="007824EB">
            <w:pPr>
              <w:pStyle w:val="TableText"/>
              <w:tabs>
                <w:tab w:val="left" w:pos="3306"/>
              </w:tabs>
              <w:rPr>
                <w:rFonts w:cs="Calibri"/>
              </w:rPr>
            </w:pPr>
            <w:r w:rsidRPr="00190046">
              <w:rPr>
                <w:rFonts w:cs="Calibri"/>
              </w:rPr>
              <w:t>Prepayments</w:t>
            </w:r>
          </w:p>
        </w:tc>
        <w:tc>
          <w:tcPr>
            <w:tcW w:w="1604" w:type="dxa"/>
            <w:gridSpan w:val="2"/>
            <w:tcBorders>
              <w:top w:val="nil"/>
              <w:left w:val="nil"/>
              <w:bottom w:val="nil"/>
              <w:right w:val="nil"/>
            </w:tcBorders>
            <w:vAlign w:val="bottom"/>
          </w:tcPr>
          <w:p w14:paraId="4861613E" w14:textId="77777777" w:rsidR="007824EB" w:rsidRPr="00190046" w:rsidRDefault="007824EB" w:rsidP="007824EB">
            <w:pPr>
              <w:pStyle w:val="TableText"/>
              <w:tabs>
                <w:tab w:val="left" w:pos="3306"/>
              </w:tabs>
              <w:jc w:val="right"/>
              <w:rPr>
                <w:rFonts w:cs="Calibri"/>
              </w:rPr>
            </w:pPr>
          </w:p>
        </w:tc>
        <w:tc>
          <w:tcPr>
            <w:tcW w:w="1494" w:type="dxa"/>
            <w:gridSpan w:val="3"/>
            <w:tcBorders>
              <w:top w:val="nil"/>
              <w:left w:val="nil"/>
              <w:bottom w:val="nil"/>
              <w:right w:val="nil"/>
            </w:tcBorders>
            <w:vAlign w:val="bottom"/>
          </w:tcPr>
          <w:p w14:paraId="5ADC657B" w14:textId="77777777" w:rsidR="007824EB" w:rsidRPr="00190046" w:rsidRDefault="007824EB" w:rsidP="007824EB">
            <w:pPr>
              <w:pStyle w:val="TableText"/>
              <w:tabs>
                <w:tab w:val="left" w:pos="3306"/>
              </w:tabs>
              <w:jc w:val="right"/>
              <w:rPr>
                <w:rFonts w:cs="Calibri"/>
              </w:rPr>
            </w:pPr>
          </w:p>
        </w:tc>
      </w:tr>
      <w:tr w:rsidR="007824EB" w:rsidRPr="00CF7E1B" w14:paraId="69A11F1A" w14:textId="77777777" w:rsidTr="00D919F2">
        <w:trPr>
          <w:cantSplit/>
          <w:trHeight w:val="23"/>
        </w:trPr>
        <w:tc>
          <w:tcPr>
            <w:tcW w:w="1563" w:type="dxa"/>
            <w:tcBorders>
              <w:top w:val="nil"/>
              <w:left w:val="single" w:sz="4" w:space="0" w:color="auto"/>
              <w:bottom w:val="nil"/>
              <w:right w:val="single" w:sz="4" w:space="0" w:color="auto"/>
            </w:tcBorders>
          </w:tcPr>
          <w:p w14:paraId="36D797B3" w14:textId="77777777" w:rsidR="007824EB" w:rsidRPr="00190046" w:rsidRDefault="007824EB" w:rsidP="007824EB">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07E38C5E" w14:textId="77777777" w:rsidR="007824EB" w:rsidRPr="00190046" w:rsidRDefault="007824EB" w:rsidP="007824EB">
            <w:pPr>
              <w:pStyle w:val="TableText"/>
              <w:tabs>
                <w:tab w:val="left" w:pos="3306"/>
              </w:tabs>
              <w:rPr>
                <w:rFonts w:cs="Calibri"/>
              </w:rPr>
            </w:pPr>
            <w:r w:rsidRPr="00190046">
              <w:rPr>
                <w:rFonts w:cs="Calibri"/>
              </w:rPr>
              <w:t>Other</w:t>
            </w:r>
          </w:p>
        </w:tc>
        <w:tc>
          <w:tcPr>
            <w:tcW w:w="1604" w:type="dxa"/>
            <w:gridSpan w:val="2"/>
            <w:tcBorders>
              <w:top w:val="nil"/>
              <w:left w:val="nil"/>
              <w:bottom w:val="single" w:sz="2" w:space="0" w:color="auto"/>
              <w:right w:val="nil"/>
            </w:tcBorders>
            <w:vAlign w:val="bottom"/>
          </w:tcPr>
          <w:p w14:paraId="3F8C9990" w14:textId="317662B4" w:rsidR="007824EB" w:rsidRPr="00190046" w:rsidRDefault="007824EB" w:rsidP="007824EB">
            <w:pPr>
              <w:pStyle w:val="TableText"/>
              <w:tabs>
                <w:tab w:val="left" w:pos="3306"/>
              </w:tabs>
              <w:jc w:val="right"/>
              <w:rPr>
                <w:rFonts w:cs="Calibri"/>
              </w:rPr>
            </w:pPr>
          </w:p>
        </w:tc>
        <w:tc>
          <w:tcPr>
            <w:tcW w:w="1494" w:type="dxa"/>
            <w:gridSpan w:val="3"/>
            <w:tcBorders>
              <w:top w:val="nil"/>
              <w:left w:val="nil"/>
              <w:bottom w:val="single" w:sz="2" w:space="0" w:color="auto"/>
              <w:right w:val="nil"/>
            </w:tcBorders>
            <w:vAlign w:val="bottom"/>
          </w:tcPr>
          <w:p w14:paraId="0FEBF19F" w14:textId="096CE413" w:rsidR="007824EB" w:rsidRPr="00190046" w:rsidRDefault="007824EB" w:rsidP="007824EB">
            <w:pPr>
              <w:pStyle w:val="TableText"/>
              <w:tabs>
                <w:tab w:val="left" w:pos="3306"/>
              </w:tabs>
              <w:jc w:val="right"/>
              <w:rPr>
                <w:rFonts w:cs="Calibri"/>
              </w:rPr>
            </w:pPr>
          </w:p>
        </w:tc>
      </w:tr>
      <w:tr w:rsidR="007824EB" w:rsidRPr="00CF7E1B" w14:paraId="644CA8E6" w14:textId="77777777" w:rsidTr="00D919F2">
        <w:trPr>
          <w:cantSplit/>
          <w:trHeight w:val="23"/>
        </w:trPr>
        <w:tc>
          <w:tcPr>
            <w:tcW w:w="1563" w:type="dxa"/>
            <w:tcBorders>
              <w:top w:val="nil"/>
              <w:left w:val="single" w:sz="4" w:space="0" w:color="auto"/>
              <w:bottom w:val="nil"/>
              <w:right w:val="single" w:sz="4" w:space="0" w:color="auto"/>
            </w:tcBorders>
          </w:tcPr>
          <w:p w14:paraId="21B7D27E" w14:textId="77777777" w:rsidR="007824EB" w:rsidRPr="00190046" w:rsidRDefault="007824EB" w:rsidP="007824EB">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2412EB77" w14:textId="77777777" w:rsidR="007824EB" w:rsidRPr="00190046" w:rsidRDefault="007824EB" w:rsidP="007824EB">
            <w:pPr>
              <w:pStyle w:val="TableText"/>
              <w:tabs>
                <w:tab w:val="left" w:pos="3306"/>
              </w:tabs>
              <w:rPr>
                <w:rFonts w:cs="Calibri"/>
                <w:b/>
                <w:bCs/>
              </w:rPr>
            </w:pPr>
            <w:r w:rsidRPr="00190046">
              <w:rPr>
                <w:rFonts w:cs="Calibri"/>
                <w:b/>
                <w:bCs/>
              </w:rPr>
              <w:t>Total Current Other Assets</w:t>
            </w:r>
          </w:p>
        </w:tc>
        <w:tc>
          <w:tcPr>
            <w:tcW w:w="1604" w:type="dxa"/>
            <w:gridSpan w:val="2"/>
            <w:tcBorders>
              <w:top w:val="single" w:sz="2" w:space="0" w:color="auto"/>
              <w:left w:val="nil"/>
              <w:bottom w:val="single" w:sz="2" w:space="0" w:color="auto"/>
              <w:right w:val="nil"/>
            </w:tcBorders>
            <w:vAlign w:val="bottom"/>
          </w:tcPr>
          <w:p w14:paraId="04DFF6D8" w14:textId="38D3A8A5" w:rsidR="007824EB" w:rsidRPr="00190046" w:rsidRDefault="007824EB" w:rsidP="007824EB">
            <w:pPr>
              <w:pStyle w:val="TableText"/>
              <w:tabs>
                <w:tab w:val="left" w:pos="3306"/>
              </w:tabs>
              <w:jc w:val="right"/>
              <w:rPr>
                <w:rFonts w:cs="Calibri"/>
                <w:b/>
                <w:bCs/>
              </w:rPr>
            </w:pPr>
          </w:p>
        </w:tc>
        <w:tc>
          <w:tcPr>
            <w:tcW w:w="1494" w:type="dxa"/>
            <w:gridSpan w:val="3"/>
            <w:tcBorders>
              <w:top w:val="single" w:sz="2" w:space="0" w:color="auto"/>
              <w:left w:val="nil"/>
              <w:bottom w:val="single" w:sz="2" w:space="0" w:color="auto"/>
              <w:right w:val="nil"/>
            </w:tcBorders>
            <w:vAlign w:val="bottom"/>
          </w:tcPr>
          <w:p w14:paraId="1F0D824E" w14:textId="25B556E7" w:rsidR="007824EB" w:rsidRPr="00190046" w:rsidRDefault="007824EB" w:rsidP="007824EB">
            <w:pPr>
              <w:pStyle w:val="TableText"/>
              <w:tabs>
                <w:tab w:val="left" w:pos="3306"/>
              </w:tabs>
              <w:jc w:val="right"/>
              <w:rPr>
                <w:rFonts w:cs="Calibri"/>
                <w:b/>
                <w:bCs/>
              </w:rPr>
            </w:pPr>
          </w:p>
        </w:tc>
      </w:tr>
      <w:tr w:rsidR="007824EB" w:rsidRPr="00CF7E1B" w14:paraId="121B96FC" w14:textId="77777777" w:rsidTr="00D919F2">
        <w:trPr>
          <w:cantSplit/>
          <w:trHeight w:val="285"/>
        </w:trPr>
        <w:tc>
          <w:tcPr>
            <w:tcW w:w="1563" w:type="dxa"/>
            <w:tcBorders>
              <w:top w:val="nil"/>
              <w:left w:val="single" w:sz="4" w:space="0" w:color="auto"/>
              <w:bottom w:val="nil"/>
              <w:right w:val="single" w:sz="4" w:space="0" w:color="auto"/>
            </w:tcBorders>
          </w:tcPr>
          <w:p w14:paraId="1FE2D89F" w14:textId="77777777" w:rsidR="007824EB" w:rsidRPr="00190046" w:rsidRDefault="007824EB" w:rsidP="007824EB">
            <w:pPr>
              <w:pStyle w:val="TableReference"/>
              <w:tabs>
                <w:tab w:val="left" w:pos="3306"/>
              </w:tabs>
              <w:spacing w:before="40"/>
              <w:rPr>
                <w:rFonts w:cs="Calibri"/>
                <w:color w:val="7030A0"/>
                <w:sz w:val="16"/>
                <w:szCs w:val="16"/>
              </w:rPr>
            </w:pPr>
          </w:p>
        </w:tc>
        <w:tc>
          <w:tcPr>
            <w:tcW w:w="5879" w:type="dxa"/>
            <w:tcBorders>
              <w:top w:val="nil"/>
              <w:left w:val="single" w:sz="4" w:space="0" w:color="auto"/>
              <w:bottom w:val="nil"/>
              <w:right w:val="nil"/>
            </w:tcBorders>
            <w:vAlign w:val="bottom"/>
          </w:tcPr>
          <w:p w14:paraId="5C9D1F75" w14:textId="77777777" w:rsidR="007824EB" w:rsidRPr="00190046" w:rsidRDefault="007824EB" w:rsidP="007824EB">
            <w:pPr>
              <w:pStyle w:val="TableText"/>
              <w:tabs>
                <w:tab w:val="left" w:pos="3306"/>
              </w:tabs>
              <w:rPr>
                <w:rFonts w:cs="Calibri"/>
                <w:b/>
                <w:bCs/>
              </w:rPr>
            </w:pPr>
            <w:r w:rsidRPr="00190046">
              <w:rPr>
                <w:rFonts w:cs="Calibri"/>
                <w:b/>
                <w:bCs/>
              </w:rPr>
              <w:t>Total Other Assets</w:t>
            </w:r>
          </w:p>
        </w:tc>
        <w:tc>
          <w:tcPr>
            <w:tcW w:w="1604" w:type="dxa"/>
            <w:gridSpan w:val="2"/>
            <w:tcBorders>
              <w:top w:val="single" w:sz="2" w:space="0" w:color="auto"/>
              <w:left w:val="nil"/>
              <w:bottom w:val="double" w:sz="4" w:space="0" w:color="auto"/>
              <w:right w:val="nil"/>
            </w:tcBorders>
            <w:vAlign w:val="bottom"/>
          </w:tcPr>
          <w:p w14:paraId="12CCA13A" w14:textId="44DA1954" w:rsidR="007824EB" w:rsidRPr="00190046" w:rsidRDefault="007824EB" w:rsidP="007824EB">
            <w:pPr>
              <w:pStyle w:val="TableText"/>
              <w:tabs>
                <w:tab w:val="left" w:pos="3306"/>
              </w:tabs>
              <w:jc w:val="right"/>
              <w:rPr>
                <w:rFonts w:cs="Calibri"/>
                <w:b/>
                <w:bCs/>
              </w:rPr>
            </w:pPr>
          </w:p>
        </w:tc>
        <w:tc>
          <w:tcPr>
            <w:tcW w:w="1494" w:type="dxa"/>
            <w:gridSpan w:val="3"/>
            <w:tcBorders>
              <w:top w:val="single" w:sz="2" w:space="0" w:color="auto"/>
              <w:left w:val="nil"/>
              <w:bottom w:val="double" w:sz="4" w:space="0" w:color="auto"/>
              <w:right w:val="nil"/>
            </w:tcBorders>
            <w:vAlign w:val="bottom"/>
          </w:tcPr>
          <w:p w14:paraId="4F51D9C1" w14:textId="2AF99BC8" w:rsidR="007824EB" w:rsidRPr="00190046" w:rsidRDefault="007824EB" w:rsidP="007824EB">
            <w:pPr>
              <w:pStyle w:val="TableText"/>
              <w:tabs>
                <w:tab w:val="left" w:pos="3306"/>
              </w:tabs>
              <w:jc w:val="right"/>
              <w:rPr>
                <w:rFonts w:cs="Calibri"/>
                <w:b/>
                <w:bCs/>
              </w:rPr>
            </w:pPr>
          </w:p>
        </w:tc>
      </w:tr>
    </w:tbl>
    <w:p w14:paraId="477BFB2B" w14:textId="74AC7569" w:rsidR="00CD4214" w:rsidRDefault="00CD4214"/>
    <w:p w14:paraId="1721431F" w14:textId="77777777" w:rsidR="00A800B9" w:rsidRDefault="00A800B9"/>
    <w:p w14:paraId="05281019" w14:textId="77777777" w:rsidR="006B468D" w:rsidRDefault="006B468D">
      <w:r>
        <w:br w:type="page"/>
      </w:r>
    </w:p>
    <w:tbl>
      <w:tblPr>
        <w:tblW w:w="499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5867"/>
        <w:gridCol w:w="10"/>
        <w:gridCol w:w="1583"/>
        <w:gridCol w:w="6"/>
        <w:gridCol w:w="1511"/>
      </w:tblGrid>
      <w:tr w:rsidR="0030665C" w:rsidRPr="00CF7E1B" w14:paraId="5D69656B" w14:textId="77777777" w:rsidTr="00D919F2">
        <w:trPr>
          <w:cantSplit/>
          <w:trHeight w:val="23"/>
        </w:trPr>
        <w:tc>
          <w:tcPr>
            <w:tcW w:w="1563" w:type="dxa"/>
            <w:tcBorders>
              <w:top w:val="nil"/>
              <w:left w:val="single" w:sz="2" w:space="0" w:color="auto"/>
              <w:bottom w:val="nil"/>
              <w:right w:val="single" w:sz="2" w:space="0" w:color="auto"/>
            </w:tcBorders>
          </w:tcPr>
          <w:p w14:paraId="7A5F6E3E" w14:textId="25AD51CE" w:rsidR="0030665C" w:rsidRPr="00190046" w:rsidRDefault="00A800B9" w:rsidP="00A800B9">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t>Reference</w:t>
            </w:r>
          </w:p>
        </w:tc>
        <w:tc>
          <w:tcPr>
            <w:tcW w:w="8977" w:type="dxa"/>
            <w:gridSpan w:val="5"/>
            <w:tcBorders>
              <w:top w:val="nil"/>
              <w:left w:val="single" w:sz="2" w:space="0" w:color="auto"/>
              <w:bottom w:val="nil"/>
              <w:right w:val="nil"/>
            </w:tcBorders>
            <w:vAlign w:val="bottom"/>
          </w:tcPr>
          <w:p w14:paraId="3A15479F" w14:textId="41106525" w:rsidR="0030665C" w:rsidRPr="00CF7E1B" w:rsidRDefault="00BB37EE" w:rsidP="00E80D67">
            <w:pPr>
              <w:pStyle w:val="Heading1"/>
              <w:numPr>
                <w:ilvl w:val="0"/>
                <w:numId w:val="0"/>
              </w:numPr>
            </w:pPr>
            <w:bookmarkStart w:id="974" w:name="_Toc49224374"/>
            <w:bookmarkStart w:id="975" w:name="_Ref50366055"/>
            <w:bookmarkStart w:id="976" w:name="_Toc50440440"/>
            <w:bookmarkStart w:id="977" w:name="_Toc223433234"/>
            <w:bookmarkStart w:id="978" w:name="_Toc400627382"/>
            <w:bookmarkStart w:id="979" w:name="_Toc98763207"/>
            <w:r w:rsidRPr="00190046">
              <w:t>Note</w:t>
            </w:r>
            <w:r w:rsidR="0030665C" w:rsidRPr="00190046">
              <w:t xml:space="preserve"> </w:t>
            </w:r>
            <w:r w:rsidR="00E86853" w:rsidRPr="00190046">
              <w:t>49</w:t>
            </w:r>
            <w:r w:rsidR="0030665C" w:rsidRPr="00190046">
              <w:t>.</w:t>
            </w:r>
            <w:r w:rsidR="00FA7C77">
              <w:t xml:space="preserve"> </w:t>
            </w:r>
            <w:r w:rsidR="00570A07" w:rsidRPr="00190046">
              <w:t xml:space="preserve"> </w:t>
            </w:r>
            <w:bookmarkStart w:id="980" w:name="TSpayables"/>
            <w:r w:rsidR="0030665C" w:rsidRPr="00190046">
              <w:t>Payables</w:t>
            </w:r>
            <w:r w:rsidR="002541C3" w:rsidRPr="00190046">
              <w:t xml:space="preserve"> </w:t>
            </w:r>
            <w:r w:rsidR="002541C3" w:rsidRPr="00190046">
              <w:rPr>
                <w:rFonts w:cs="Calibri"/>
              </w:rPr>
              <w:t>and Contract Liabilities</w:t>
            </w:r>
            <w:r w:rsidR="0030665C" w:rsidRPr="00190046">
              <w:t xml:space="preserve"> – Territorial</w:t>
            </w:r>
            <w:bookmarkEnd w:id="974"/>
            <w:bookmarkEnd w:id="975"/>
            <w:bookmarkEnd w:id="976"/>
            <w:bookmarkEnd w:id="977"/>
            <w:bookmarkEnd w:id="978"/>
            <w:bookmarkEnd w:id="979"/>
            <w:r w:rsidR="0030665C" w:rsidRPr="00190046">
              <w:t xml:space="preserve"> </w:t>
            </w:r>
            <w:bookmarkEnd w:id="980"/>
          </w:p>
        </w:tc>
      </w:tr>
      <w:tr w:rsidR="00313BCC" w:rsidRPr="00CF7E1B" w14:paraId="139D6A3F" w14:textId="77777777" w:rsidTr="00D919F2">
        <w:trPr>
          <w:cantSplit/>
          <w:trHeight w:val="23"/>
        </w:trPr>
        <w:tc>
          <w:tcPr>
            <w:tcW w:w="1563" w:type="dxa"/>
            <w:tcBorders>
              <w:top w:val="nil"/>
              <w:left w:val="single" w:sz="2" w:space="0" w:color="auto"/>
              <w:bottom w:val="nil"/>
              <w:right w:val="single" w:sz="2" w:space="0" w:color="auto"/>
            </w:tcBorders>
          </w:tcPr>
          <w:p w14:paraId="5EB8A956"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6D4538B5" w14:textId="657D520E" w:rsidR="00313BCC" w:rsidRPr="00190046" w:rsidRDefault="00313BCC" w:rsidP="00313BCC">
            <w:pPr>
              <w:rPr>
                <w:b/>
                <w:bCs/>
                <w:sz w:val="18"/>
                <w:szCs w:val="18"/>
              </w:rPr>
            </w:pPr>
            <w:r w:rsidRPr="00190046">
              <w:rPr>
                <w:b/>
                <w:bCs/>
                <w:sz w:val="18"/>
                <w:szCs w:val="18"/>
              </w:rPr>
              <w:t>Description and Material Accounting Policies Relating to Payables</w:t>
            </w:r>
            <w:r w:rsidR="00153DC2" w:rsidRPr="00190046">
              <w:rPr>
                <w:b/>
                <w:bCs/>
                <w:sz w:val="18"/>
                <w:szCs w:val="18"/>
              </w:rPr>
              <w:t xml:space="preserve"> and Contract Liabilities</w:t>
            </w:r>
            <w:r w:rsidR="009E2543" w:rsidRPr="00190046">
              <w:rPr>
                <w:b/>
                <w:bCs/>
                <w:sz w:val="18"/>
                <w:szCs w:val="18"/>
              </w:rPr>
              <w:t xml:space="preserve"> </w:t>
            </w:r>
            <w:r w:rsidR="006B468D">
              <w:rPr>
                <w:b/>
                <w:bCs/>
                <w:sz w:val="18"/>
                <w:szCs w:val="18"/>
              </w:rPr>
              <w:t>–</w:t>
            </w:r>
            <w:r w:rsidR="009E2543" w:rsidRPr="00190046">
              <w:rPr>
                <w:b/>
                <w:bCs/>
                <w:sz w:val="18"/>
                <w:szCs w:val="18"/>
              </w:rPr>
              <w:t xml:space="preserve"> Territorial</w:t>
            </w:r>
            <w:r w:rsidR="006B468D">
              <w:rPr>
                <w:b/>
                <w:bCs/>
                <w:sz w:val="18"/>
                <w:szCs w:val="18"/>
              </w:rPr>
              <w:t xml:space="preserve"> </w:t>
            </w:r>
          </w:p>
        </w:tc>
      </w:tr>
      <w:tr w:rsidR="00313BCC" w:rsidRPr="00CF7E1B" w14:paraId="740A68D3" w14:textId="77777777" w:rsidTr="00D919F2">
        <w:trPr>
          <w:cantSplit/>
          <w:trHeight w:val="23"/>
        </w:trPr>
        <w:tc>
          <w:tcPr>
            <w:tcW w:w="1563" w:type="dxa"/>
            <w:tcBorders>
              <w:top w:val="nil"/>
              <w:left w:val="single" w:sz="2" w:space="0" w:color="auto"/>
              <w:bottom w:val="nil"/>
              <w:right w:val="single" w:sz="2" w:space="0" w:color="auto"/>
            </w:tcBorders>
          </w:tcPr>
          <w:p w14:paraId="1D64CF8E"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3F7B30C2" w14:textId="196C11AE" w:rsidR="00313BCC" w:rsidRPr="00190046" w:rsidRDefault="00313BCC" w:rsidP="00A800B9">
            <w:pPr>
              <w:spacing w:before="40"/>
              <w:jc w:val="both"/>
              <w:rPr>
                <w:sz w:val="18"/>
                <w:szCs w:val="18"/>
              </w:rPr>
            </w:pPr>
            <w:r w:rsidRPr="00190046">
              <w:rPr>
                <w:sz w:val="18"/>
                <w:szCs w:val="18"/>
              </w:rPr>
              <w:t>Payables include Trade Payables, Other Payables, and Payables to the Territory Banking Account.</w:t>
            </w:r>
            <w:r w:rsidR="00FA7C77">
              <w:rPr>
                <w:sz w:val="18"/>
                <w:szCs w:val="18"/>
              </w:rPr>
              <w:t xml:space="preserve"> </w:t>
            </w:r>
            <w:r w:rsidR="001823E5" w:rsidRPr="00190046">
              <w:rPr>
                <w:sz w:val="18"/>
                <w:szCs w:val="18"/>
              </w:rPr>
              <w:t>Payables are initially recognised at fair value based on the transaction cost and subsequent to initial recognition at amortised cost, with any adjustments to the carrying amount being recorded in the Operating Statement.</w:t>
            </w:r>
          </w:p>
        </w:tc>
      </w:tr>
      <w:tr w:rsidR="001823E5" w:rsidRPr="00CF7E1B" w14:paraId="049B6509" w14:textId="77777777" w:rsidTr="00D919F2">
        <w:trPr>
          <w:cantSplit/>
          <w:trHeight w:val="23"/>
        </w:trPr>
        <w:tc>
          <w:tcPr>
            <w:tcW w:w="1563" w:type="dxa"/>
            <w:tcBorders>
              <w:top w:val="nil"/>
              <w:left w:val="single" w:sz="2" w:space="0" w:color="auto"/>
              <w:bottom w:val="nil"/>
              <w:right w:val="single" w:sz="2" w:space="0" w:color="auto"/>
            </w:tcBorders>
          </w:tcPr>
          <w:p w14:paraId="7EA21D3F"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2C48EC3B" w14:textId="77EAB99C" w:rsidR="001823E5" w:rsidRPr="001823E5" w:rsidRDefault="001823E5" w:rsidP="00313BCC">
            <w:pPr>
              <w:spacing w:before="120"/>
              <w:rPr>
                <w:i/>
                <w:iCs/>
                <w:color w:val="FF0000"/>
                <w:sz w:val="18"/>
                <w:szCs w:val="18"/>
              </w:rPr>
            </w:pPr>
            <w:r w:rsidRPr="00190046">
              <w:rPr>
                <w:i/>
                <w:iCs/>
                <w:sz w:val="18"/>
                <w:szCs w:val="18"/>
              </w:rPr>
              <w:t>Trade and Other Payables</w:t>
            </w:r>
          </w:p>
        </w:tc>
      </w:tr>
      <w:tr w:rsidR="00313BCC" w:rsidRPr="00CF7E1B" w14:paraId="1043A002" w14:textId="77777777" w:rsidTr="00D919F2">
        <w:trPr>
          <w:cantSplit/>
          <w:trHeight w:val="23"/>
        </w:trPr>
        <w:tc>
          <w:tcPr>
            <w:tcW w:w="1563" w:type="dxa"/>
            <w:tcBorders>
              <w:top w:val="nil"/>
              <w:left w:val="single" w:sz="2" w:space="0" w:color="auto"/>
              <w:bottom w:val="nil"/>
              <w:right w:val="single" w:sz="2" w:space="0" w:color="auto"/>
            </w:tcBorders>
          </w:tcPr>
          <w:p w14:paraId="6892BF4E"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60C21244" w14:textId="59B50387" w:rsidR="00313BCC" w:rsidRPr="00313BCC" w:rsidRDefault="007874D1" w:rsidP="00FA7581">
            <w:pPr>
              <w:jc w:val="both"/>
              <w:rPr>
                <w:color w:val="FF0000"/>
                <w:sz w:val="18"/>
                <w:szCs w:val="18"/>
              </w:rPr>
            </w:pPr>
            <w:r w:rsidRPr="00190046">
              <w:rPr>
                <w:sz w:val="18"/>
                <w:szCs w:val="18"/>
              </w:rPr>
              <w:t xml:space="preserve">Trade and Other Payable </w:t>
            </w:r>
            <w:r w:rsidR="00313BCC" w:rsidRPr="00190046">
              <w:rPr>
                <w:sz w:val="18"/>
                <w:szCs w:val="18"/>
              </w:rPr>
              <w:t xml:space="preserve">amounts are now normally settled within </w:t>
            </w:r>
            <w:r w:rsidR="00313BCC" w:rsidRPr="00D56952">
              <w:rPr>
                <w:color w:val="C45911" w:themeColor="accent2" w:themeShade="BF"/>
                <w:sz w:val="18"/>
                <w:szCs w:val="18"/>
              </w:rPr>
              <w:t>&lt;14 days&gt;</w:t>
            </w:r>
            <w:r w:rsidR="00313BCC" w:rsidRPr="00313BCC">
              <w:rPr>
                <w:color w:val="FF0000"/>
                <w:sz w:val="18"/>
                <w:szCs w:val="18"/>
              </w:rPr>
              <w:t xml:space="preserve"> </w:t>
            </w:r>
            <w:r w:rsidR="00313BCC" w:rsidRPr="00190046">
              <w:rPr>
                <w:sz w:val="18"/>
                <w:szCs w:val="18"/>
              </w:rPr>
              <w:t>after the invoice date given the ACT Government accelerated the payments of invoices for local enterprises recognising the importance of cash flow to small and medium enterprises given the COVID-19 pandemic</w:t>
            </w:r>
            <w:r w:rsidRPr="00190046">
              <w:rPr>
                <w:sz w:val="18"/>
                <w:szCs w:val="18"/>
              </w:rPr>
              <w:t>.</w:t>
            </w:r>
          </w:p>
        </w:tc>
      </w:tr>
      <w:tr w:rsidR="001823E5" w:rsidRPr="00CF7E1B" w14:paraId="6CB89412" w14:textId="77777777" w:rsidTr="00D919F2">
        <w:trPr>
          <w:cantSplit/>
          <w:trHeight w:val="23"/>
        </w:trPr>
        <w:tc>
          <w:tcPr>
            <w:tcW w:w="1563" w:type="dxa"/>
            <w:tcBorders>
              <w:top w:val="nil"/>
              <w:left w:val="single" w:sz="2" w:space="0" w:color="auto"/>
              <w:bottom w:val="nil"/>
              <w:right w:val="single" w:sz="2" w:space="0" w:color="auto"/>
            </w:tcBorders>
          </w:tcPr>
          <w:p w14:paraId="316DDE18"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5EEE0812" w14:textId="77777777" w:rsidR="001823E5" w:rsidRDefault="001823E5" w:rsidP="00FA7581">
            <w:pPr>
              <w:jc w:val="both"/>
              <w:rPr>
                <w:color w:val="FF0000"/>
                <w:sz w:val="18"/>
                <w:szCs w:val="18"/>
              </w:rPr>
            </w:pPr>
          </w:p>
        </w:tc>
      </w:tr>
      <w:tr w:rsidR="00313BCC" w:rsidRPr="00CF7E1B" w14:paraId="5E5EE83E" w14:textId="77777777" w:rsidTr="00D919F2">
        <w:trPr>
          <w:cantSplit/>
          <w:trHeight w:val="23"/>
        </w:trPr>
        <w:tc>
          <w:tcPr>
            <w:tcW w:w="1563" w:type="dxa"/>
            <w:tcBorders>
              <w:top w:val="nil"/>
              <w:left w:val="single" w:sz="2" w:space="0" w:color="auto"/>
              <w:bottom w:val="nil"/>
              <w:right w:val="single" w:sz="2" w:space="0" w:color="auto"/>
            </w:tcBorders>
          </w:tcPr>
          <w:p w14:paraId="4EFF86C3" w14:textId="77777777" w:rsidR="00313BCC" w:rsidRPr="00190046" w:rsidRDefault="00313BCC"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vAlign w:val="bottom"/>
          </w:tcPr>
          <w:p w14:paraId="3BE1BEBB" w14:textId="1D247E63" w:rsidR="00313BCC" w:rsidRPr="00190046" w:rsidRDefault="001823E5" w:rsidP="00FA7581">
            <w:pPr>
              <w:jc w:val="both"/>
              <w:rPr>
                <w:i/>
                <w:iCs/>
              </w:rPr>
            </w:pPr>
            <w:r w:rsidRPr="00190046">
              <w:rPr>
                <w:i/>
                <w:iCs/>
                <w:sz w:val="18"/>
                <w:szCs w:val="18"/>
              </w:rPr>
              <w:t>Payables to the Territory Banking Account</w:t>
            </w:r>
          </w:p>
        </w:tc>
      </w:tr>
      <w:tr w:rsidR="001823E5" w:rsidRPr="00CF7E1B" w14:paraId="35C6B268" w14:textId="77777777" w:rsidTr="00D919F2">
        <w:trPr>
          <w:cantSplit/>
          <w:trHeight w:val="23"/>
        </w:trPr>
        <w:tc>
          <w:tcPr>
            <w:tcW w:w="1563" w:type="dxa"/>
            <w:tcBorders>
              <w:top w:val="nil"/>
              <w:left w:val="single" w:sz="2" w:space="0" w:color="auto"/>
              <w:bottom w:val="nil"/>
              <w:right w:val="single" w:sz="2" w:space="0" w:color="auto"/>
            </w:tcBorders>
          </w:tcPr>
          <w:p w14:paraId="5AD4F4F8" w14:textId="77777777" w:rsidR="001823E5" w:rsidRPr="00190046" w:rsidRDefault="001823E5" w:rsidP="00313BCC">
            <w:pPr>
              <w:pStyle w:val="TableReference"/>
              <w:tabs>
                <w:tab w:val="left" w:pos="3306"/>
              </w:tabs>
              <w:spacing w:before="40"/>
              <w:rPr>
                <w:rFonts w:cs="Calibri"/>
                <w:color w:val="7030A0"/>
                <w:sz w:val="16"/>
                <w:szCs w:val="16"/>
              </w:rPr>
            </w:pPr>
          </w:p>
        </w:tc>
        <w:tc>
          <w:tcPr>
            <w:tcW w:w="8977" w:type="dxa"/>
            <w:gridSpan w:val="5"/>
            <w:tcBorders>
              <w:top w:val="nil"/>
              <w:left w:val="single" w:sz="2" w:space="0" w:color="auto"/>
              <w:bottom w:val="nil"/>
              <w:right w:val="nil"/>
            </w:tcBorders>
          </w:tcPr>
          <w:p w14:paraId="1B30AF6D" w14:textId="6CFDA65E" w:rsidR="001823E5" w:rsidRPr="00190046" w:rsidRDefault="001823E5" w:rsidP="00FA7581">
            <w:pPr>
              <w:pStyle w:val="TableText"/>
              <w:tabs>
                <w:tab w:val="left" w:pos="3306"/>
              </w:tabs>
              <w:jc w:val="both"/>
              <w:rPr>
                <w:rFonts w:cs="Calibri"/>
              </w:rPr>
            </w:pPr>
            <w:r w:rsidRPr="00190046">
              <w:t>Payables to the Territory Banking Account arise when ‘</w:t>
            </w:r>
            <w:r w:rsidR="00347866" w:rsidRPr="00190046">
              <w:t>Burley Griffin</w:t>
            </w:r>
            <w:r w:rsidRPr="00190046">
              <w:t xml:space="preserve"> Agency’ collects taxes, licences, fees and fines or other Terri</w:t>
            </w:r>
            <w:r w:rsidR="006222F7" w:rsidRPr="00190046">
              <w:t>tor</w:t>
            </w:r>
            <w:r w:rsidRPr="00190046">
              <w:t>ial revenue and the Agency is then obligated to onpass those funds to Government by transferring them to the Territory Banking Account.</w:t>
            </w:r>
            <w:r w:rsidR="00FA7C77">
              <w:t xml:space="preserve"> </w:t>
            </w:r>
            <w:r w:rsidRPr="00190046">
              <w:t>The amount of the payable is the territorial revenue collected by the Agency less any expected credit loss that has not been transferred to the Territory Banking Account by the end of the financial year.</w:t>
            </w:r>
            <w:r w:rsidR="00FA7C77">
              <w:t xml:space="preserve">  </w:t>
            </w:r>
          </w:p>
        </w:tc>
      </w:tr>
      <w:tr w:rsidR="00BA5DE9" w:rsidRPr="00CF7E1B" w14:paraId="53E83145" w14:textId="77777777" w:rsidTr="00D919F2">
        <w:trPr>
          <w:cantSplit/>
          <w:trHeight w:val="23"/>
        </w:trPr>
        <w:tc>
          <w:tcPr>
            <w:tcW w:w="1563" w:type="dxa"/>
            <w:tcBorders>
              <w:top w:val="nil"/>
              <w:left w:val="single" w:sz="2" w:space="0" w:color="auto"/>
              <w:bottom w:val="nil"/>
              <w:right w:val="single" w:sz="2" w:space="0" w:color="auto"/>
            </w:tcBorders>
          </w:tcPr>
          <w:p w14:paraId="37600F7B" w14:textId="77777777" w:rsidR="00BA5DE9" w:rsidRPr="00190046" w:rsidRDefault="00BA5DE9"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7B3EAE55" w14:textId="77777777" w:rsidR="00BA5DE9" w:rsidRPr="00190046" w:rsidRDefault="00BA5DE9" w:rsidP="00313BCC">
            <w:pPr>
              <w:pStyle w:val="TableText"/>
              <w:tabs>
                <w:tab w:val="left" w:pos="3306"/>
              </w:tabs>
              <w:rPr>
                <w:rFonts w:cs="Calibri"/>
                <w:b/>
                <w:bCs/>
              </w:rPr>
            </w:pPr>
          </w:p>
        </w:tc>
        <w:tc>
          <w:tcPr>
            <w:tcW w:w="1589" w:type="dxa"/>
            <w:gridSpan w:val="2"/>
            <w:tcBorders>
              <w:top w:val="nil"/>
              <w:left w:val="nil"/>
              <w:bottom w:val="nil"/>
              <w:right w:val="nil"/>
            </w:tcBorders>
            <w:vAlign w:val="bottom"/>
          </w:tcPr>
          <w:p w14:paraId="2EB2EC1D" w14:textId="77777777" w:rsidR="00BA5DE9" w:rsidRPr="00190046" w:rsidRDefault="00BA5DE9"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2118EA7B" w14:textId="77777777" w:rsidR="00BA5DE9" w:rsidRPr="00190046" w:rsidRDefault="00BA5DE9" w:rsidP="00313BCC">
            <w:pPr>
              <w:pStyle w:val="TableText"/>
              <w:tabs>
                <w:tab w:val="left" w:pos="3306"/>
              </w:tabs>
              <w:jc w:val="right"/>
              <w:rPr>
                <w:rFonts w:cs="Calibri"/>
              </w:rPr>
            </w:pPr>
          </w:p>
        </w:tc>
      </w:tr>
      <w:tr w:rsidR="00190046" w:rsidRPr="00CF7E1B" w14:paraId="2AF865A2" w14:textId="77777777" w:rsidTr="00D919F2">
        <w:trPr>
          <w:cantSplit/>
          <w:trHeight w:val="23"/>
        </w:trPr>
        <w:tc>
          <w:tcPr>
            <w:tcW w:w="1563" w:type="dxa"/>
            <w:tcBorders>
              <w:top w:val="nil"/>
              <w:left w:val="single" w:sz="2" w:space="0" w:color="auto"/>
              <w:bottom w:val="nil"/>
              <w:right w:val="single" w:sz="2" w:space="0" w:color="auto"/>
            </w:tcBorders>
          </w:tcPr>
          <w:p w14:paraId="15ED2A43" w14:textId="77777777" w:rsidR="00190046" w:rsidRPr="00190046" w:rsidRDefault="00190046"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467B0CB4" w14:textId="77777777" w:rsidR="00190046" w:rsidRPr="00190046" w:rsidRDefault="00190046" w:rsidP="00313BCC">
            <w:pPr>
              <w:pStyle w:val="TableText"/>
              <w:tabs>
                <w:tab w:val="left" w:pos="3306"/>
              </w:tabs>
              <w:rPr>
                <w:rFonts w:cs="Calibri"/>
                <w:b/>
                <w:bCs/>
              </w:rPr>
            </w:pPr>
          </w:p>
        </w:tc>
        <w:tc>
          <w:tcPr>
            <w:tcW w:w="1589" w:type="dxa"/>
            <w:gridSpan w:val="2"/>
            <w:tcBorders>
              <w:top w:val="nil"/>
              <w:left w:val="nil"/>
              <w:bottom w:val="nil"/>
              <w:right w:val="nil"/>
            </w:tcBorders>
            <w:vAlign w:val="bottom"/>
          </w:tcPr>
          <w:p w14:paraId="7035F743" w14:textId="77777777" w:rsidR="00190046" w:rsidRPr="00190046" w:rsidRDefault="00190046" w:rsidP="00190046">
            <w:pPr>
              <w:pStyle w:val="TableTitle"/>
              <w:tabs>
                <w:tab w:val="left" w:pos="3306"/>
              </w:tabs>
              <w:rPr>
                <w:rFonts w:cs="Calibri"/>
                <w:szCs w:val="16"/>
              </w:rPr>
            </w:pPr>
            <w:r w:rsidRPr="00190046">
              <w:rPr>
                <w:rFonts w:cs="Calibri"/>
              </w:rPr>
              <w:t>2022</w:t>
            </w:r>
            <w:r w:rsidRPr="00190046">
              <w:rPr>
                <w:rFonts w:cs="Calibri"/>
                <w:szCs w:val="16"/>
              </w:rPr>
              <w:t xml:space="preserve"> </w:t>
            </w:r>
          </w:p>
          <w:p w14:paraId="79A3305A" w14:textId="615BC3F8" w:rsidR="00190046" w:rsidRPr="00190046" w:rsidRDefault="00190046" w:rsidP="00190046">
            <w:pPr>
              <w:pStyle w:val="TableText"/>
              <w:tabs>
                <w:tab w:val="left" w:pos="3306"/>
              </w:tabs>
              <w:jc w:val="right"/>
              <w:rPr>
                <w:rFonts w:cs="Calibri"/>
                <w:b/>
                <w:bCs/>
              </w:rPr>
            </w:pPr>
            <w:r w:rsidRPr="00190046">
              <w:rPr>
                <w:rFonts w:cs="Calibri"/>
                <w:b/>
                <w:bCs/>
                <w:szCs w:val="16"/>
              </w:rPr>
              <w:t>$’000</w:t>
            </w:r>
          </w:p>
        </w:tc>
        <w:tc>
          <w:tcPr>
            <w:tcW w:w="1511" w:type="dxa"/>
            <w:tcBorders>
              <w:top w:val="nil"/>
              <w:left w:val="nil"/>
              <w:bottom w:val="nil"/>
              <w:right w:val="nil"/>
            </w:tcBorders>
            <w:vAlign w:val="bottom"/>
          </w:tcPr>
          <w:p w14:paraId="0BAE5FF5" w14:textId="77777777" w:rsidR="006B468D" w:rsidRDefault="00190046" w:rsidP="0009580B">
            <w:pPr>
              <w:pStyle w:val="TableTitle"/>
              <w:tabs>
                <w:tab w:val="left" w:pos="3306"/>
              </w:tabs>
              <w:rPr>
                <w:rFonts w:cs="Calibri"/>
              </w:rPr>
            </w:pPr>
            <w:r w:rsidRPr="00190046">
              <w:rPr>
                <w:rFonts w:cs="Calibri"/>
              </w:rPr>
              <w:t>2021</w:t>
            </w:r>
            <w:r w:rsidR="00FA7C77">
              <w:rPr>
                <w:rFonts w:cs="Calibri"/>
              </w:rPr>
              <w:t xml:space="preserve">      </w:t>
            </w:r>
          </w:p>
          <w:p w14:paraId="0482DA2B" w14:textId="2BF907D6" w:rsidR="00190046" w:rsidRPr="00190046" w:rsidRDefault="0009580B" w:rsidP="0009580B">
            <w:pPr>
              <w:pStyle w:val="TableTitle"/>
              <w:tabs>
                <w:tab w:val="left" w:pos="3306"/>
              </w:tabs>
              <w:rPr>
                <w:rFonts w:cs="Calibri"/>
                <w:b w:val="0"/>
                <w:bCs w:val="0"/>
              </w:rPr>
            </w:pPr>
            <w:r>
              <w:rPr>
                <w:rFonts w:cs="Calibri"/>
              </w:rPr>
              <w:t xml:space="preserve"> </w:t>
            </w:r>
            <w:r w:rsidR="00190046" w:rsidRPr="0009580B">
              <w:rPr>
                <w:rFonts w:cs="Calibri"/>
              </w:rPr>
              <w:t>$’000</w:t>
            </w:r>
          </w:p>
        </w:tc>
      </w:tr>
      <w:tr w:rsidR="00313BCC" w:rsidRPr="00CF7E1B" w14:paraId="78FACB86" w14:textId="77777777" w:rsidTr="00D919F2">
        <w:trPr>
          <w:cantSplit/>
          <w:trHeight w:val="23"/>
        </w:trPr>
        <w:tc>
          <w:tcPr>
            <w:tcW w:w="1563" w:type="dxa"/>
            <w:tcBorders>
              <w:top w:val="nil"/>
              <w:left w:val="single" w:sz="2" w:space="0" w:color="auto"/>
              <w:bottom w:val="nil"/>
              <w:right w:val="single" w:sz="2" w:space="0" w:color="auto"/>
            </w:tcBorders>
          </w:tcPr>
          <w:p w14:paraId="2F649EBA"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422A0BC7" w14:textId="77777777" w:rsidR="00313BCC" w:rsidRPr="00190046" w:rsidRDefault="00313BCC" w:rsidP="00313BCC">
            <w:pPr>
              <w:pStyle w:val="TableText"/>
              <w:tabs>
                <w:tab w:val="left" w:pos="3306"/>
              </w:tabs>
              <w:rPr>
                <w:rFonts w:cs="Calibri"/>
                <w:b/>
                <w:bCs/>
              </w:rPr>
            </w:pPr>
            <w:bookmarkStart w:id="981" w:name="_Toc48468899"/>
            <w:bookmarkStart w:id="982" w:name="_Toc49155958"/>
            <w:bookmarkStart w:id="983" w:name="_Toc49224375"/>
            <w:r w:rsidRPr="00190046">
              <w:rPr>
                <w:rFonts w:cs="Calibri"/>
                <w:b/>
                <w:bCs/>
              </w:rPr>
              <w:t xml:space="preserve">Current </w:t>
            </w:r>
            <w:bookmarkEnd w:id="981"/>
            <w:bookmarkEnd w:id="982"/>
            <w:bookmarkEnd w:id="983"/>
            <w:r w:rsidRPr="00190046">
              <w:rPr>
                <w:rFonts w:cs="Calibri"/>
                <w:b/>
                <w:bCs/>
              </w:rPr>
              <w:t>Payables</w:t>
            </w:r>
          </w:p>
        </w:tc>
        <w:tc>
          <w:tcPr>
            <w:tcW w:w="1589" w:type="dxa"/>
            <w:gridSpan w:val="2"/>
            <w:tcBorders>
              <w:top w:val="nil"/>
              <w:left w:val="nil"/>
              <w:bottom w:val="nil"/>
              <w:right w:val="nil"/>
            </w:tcBorders>
            <w:vAlign w:val="bottom"/>
          </w:tcPr>
          <w:p w14:paraId="6212B2B3" w14:textId="77777777" w:rsidR="00313BCC" w:rsidRPr="00190046"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025E5BF7" w14:textId="77777777" w:rsidR="00313BCC" w:rsidRPr="00190046" w:rsidRDefault="00313BCC" w:rsidP="00313BCC">
            <w:pPr>
              <w:pStyle w:val="TableText"/>
              <w:tabs>
                <w:tab w:val="left" w:pos="3306"/>
              </w:tabs>
              <w:jc w:val="right"/>
              <w:rPr>
                <w:rFonts w:cs="Calibri"/>
              </w:rPr>
            </w:pPr>
          </w:p>
        </w:tc>
      </w:tr>
      <w:tr w:rsidR="00313BCC" w:rsidRPr="00CF7E1B" w14:paraId="3D00DC6B" w14:textId="77777777" w:rsidTr="00D919F2">
        <w:trPr>
          <w:cantSplit/>
          <w:trHeight w:val="266"/>
        </w:trPr>
        <w:tc>
          <w:tcPr>
            <w:tcW w:w="1563" w:type="dxa"/>
            <w:tcBorders>
              <w:top w:val="nil"/>
              <w:left w:val="single" w:sz="2" w:space="0" w:color="auto"/>
              <w:bottom w:val="nil"/>
              <w:right w:val="single" w:sz="2" w:space="0" w:color="auto"/>
            </w:tcBorders>
          </w:tcPr>
          <w:p w14:paraId="485EC7BF"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7721C2B9" w14:textId="77777777" w:rsidR="00313BCC" w:rsidRPr="00190046" w:rsidRDefault="00313BCC" w:rsidP="00313BCC">
            <w:pPr>
              <w:pStyle w:val="TableText"/>
              <w:tabs>
                <w:tab w:val="left" w:pos="3306"/>
              </w:tabs>
              <w:rPr>
                <w:rFonts w:cs="Calibri"/>
              </w:rPr>
            </w:pPr>
            <w:r w:rsidRPr="00190046">
              <w:rPr>
                <w:rFonts w:cs="Calibri"/>
              </w:rPr>
              <w:t xml:space="preserve">Trade Payables </w:t>
            </w:r>
          </w:p>
        </w:tc>
        <w:tc>
          <w:tcPr>
            <w:tcW w:w="1589" w:type="dxa"/>
            <w:gridSpan w:val="2"/>
            <w:tcBorders>
              <w:top w:val="nil"/>
              <w:left w:val="nil"/>
              <w:bottom w:val="nil"/>
              <w:right w:val="nil"/>
            </w:tcBorders>
            <w:vAlign w:val="bottom"/>
          </w:tcPr>
          <w:p w14:paraId="65383954" w14:textId="74998681" w:rsidR="00313BCC" w:rsidRPr="00190046"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38FC2AC0" w14:textId="7E0A84E7" w:rsidR="00313BCC" w:rsidRPr="00190046" w:rsidRDefault="00313BCC" w:rsidP="00313BCC">
            <w:pPr>
              <w:pStyle w:val="TableText"/>
              <w:tabs>
                <w:tab w:val="left" w:pos="3306"/>
              </w:tabs>
              <w:jc w:val="right"/>
              <w:rPr>
                <w:rFonts w:cs="Calibri"/>
              </w:rPr>
            </w:pPr>
          </w:p>
        </w:tc>
      </w:tr>
      <w:tr w:rsidR="00313BCC" w:rsidRPr="00CF7E1B" w14:paraId="24EC8920" w14:textId="77777777" w:rsidTr="00D919F2">
        <w:trPr>
          <w:cantSplit/>
          <w:trHeight w:val="23"/>
        </w:trPr>
        <w:tc>
          <w:tcPr>
            <w:tcW w:w="1563" w:type="dxa"/>
            <w:tcBorders>
              <w:top w:val="nil"/>
              <w:left w:val="single" w:sz="2" w:space="0" w:color="auto"/>
              <w:bottom w:val="nil"/>
              <w:right w:val="single" w:sz="2" w:space="0" w:color="auto"/>
            </w:tcBorders>
          </w:tcPr>
          <w:p w14:paraId="6514D873"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6BC09CF9" w14:textId="77777777" w:rsidR="00313BCC" w:rsidRPr="00190046" w:rsidRDefault="00313BCC" w:rsidP="00313BCC">
            <w:pPr>
              <w:pStyle w:val="TableText"/>
              <w:tabs>
                <w:tab w:val="left" w:pos="3306"/>
              </w:tabs>
              <w:rPr>
                <w:rFonts w:cs="Calibri"/>
              </w:rPr>
            </w:pPr>
            <w:r w:rsidRPr="00190046">
              <w:rPr>
                <w:rFonts w:cs="Calibri"/>
              </w:rPr>
              <w:t>Other Payables</w:t>
            </w:r>
          </w:p>
        </w:tc>
        <w:tc>
          <w:tcPr>
            <w:tcW w:w="1589" w:type="dxa"/>
            <w:gridSpan w:val="2"/>
            <w:tcBorders>
              <w:top w:val="nil"/>
              <w:left w:val="nil"/>
              <w:bottom w:val="nil"/>
              <w:right w:val="nil"/>
            </w:tcBorders>
            <w:vAlign w:val="bottom"/>
          </w:tcPr>
          <w:p w14:paraId="5752FD8F" w14:textId="1EC80D3D" w:rsidR="00313BCC" w:rsidRPr="00190046"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25D62F97" w14:textId="40C9F4FB" w:rsidR="00313BCC" w:rsidRPr="00190046" w:rsidRDefault="00313BCC" w:rsidP="00313BCC">
            <w:pPr>
              <w:pStyle w:val="TableText"/>
              <w:tabs>
                <w:tab w:val="left" w:pos="3306"/>
              </w:tabs>
              <w:jc w:val="right"/>
              <w:rPr>
                <w:rFonts w:cs="Calibri"/>
              </w:rPr>
            </w:pPr>
          </w:p>
        </w:tc>
      </w:tr>
      <w:tr w:rsidR="00313BCC" w:rsidRPr="00CF7E1B" w14:paraId="0507E981" w14:textId="77777777" w:rsidTr="00D919F2">
        <w:trPr>
          <w:cantSplit/>
          <w:trHeight w:val="23"/>
        </w:trPr>
        <w:tc>
          <w:tcPr>
            <w:tcW w:w="1563" w:type="dxa"/>
            <w:tcBorders>
              <w:top w:val="nil"/>
              <w:left w:val="single" w:sz="2" w:space="0" w:color="auto"/>
              <w:bottom w:val="nil"/>
              <w:right w:val="single" w:sz="2" w:space="0" w:color="auto"/>
            </w:tcBorders>
          </w:tcPr>
          <w:p w14:paraId="21555F3A"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6332FC4D" w14:textId="77777777" w:rsidR="00313BCC" w:rsidRPr="00190046" w:rsidRDefault="00313BCC" w:rsidP="00313BCC">
            <w:pPr>
              <w:pStyle w:val="TableText"/>
              <w:tabs>
                <w:tab w:val="left" w:pos="3306"/>
              </w:tabs>
              <w:rPr>
                <w:rFonts w:cs="Calibri"/>
              </w:rPr>
            </w:pPr>
            <w:r w:rsidRPr="00190046">
              <w:rPr>
                <w:rFonts w:cs="Calibri"/>
              </w:rPr>
              <w:t>Payable to the Territory Banking Account</w:t>
            </w:r>
          </w:p>
        </w:tc>
        <w:tc>
          <w:tcPr>
            <w:tcW w:w="1589" w:type="dxa"/>
            <w:gridSpan w:val="2"/>
            <w:tcBorders>
              <w:top w:val="nil"/>
              <w:left w:val="nil"/>
              <w:bottom w:val="nil"/>
              <w:right w:val="nil"/>
            </w:tcBorders>
            <w:vAlign w:val="bottom"/>
          </w:tcPr>
          <w:p w14:paraId="3605F3B5" w14:textId="41C316B4" w:rsidR="00313BCC" w:rsidRPr="00190046" w:rsidRDefault="00313BCC" w:rsidP="00313BCC">
            <w:pPr>
              <w:pStyle w:val="TableText"/>
              <w:tabs>
                <w:tab w:val="left" w:pos="3306"/>
              </w:tabs>
              <w:jc w:val="right"/>
              <w:rPr>
                <w:rFonts w:cs="Calibri"/>
              </w:rPr>
            </w:pPr>
          </w:p>
        </w:tc>
        <w:tc>
          <w:tcPr>
            <w:tcW w:w="1511" w:type="dxa"/>
            <w:tcBorders>
              <w:top w:val="nil"/>
              <w:left w:val="nil"/>
              <w:bottom w:val="nil"/>
              <w:right w:val="nil"/>
            </w:tcBorders>
            <w:vAlign w:val="bottom"/>
          </w:tcPr>
          <w:p w14:paraId="1D634983" w14:textId="7BB09EA5" w:rsidR="00313BCC" w:rsidRPr="00190046" w:rsidRDefault="00313BCC" w:rsidP="00313BCC">
            <w:pPr>
              <w:pStyle w:val="TableText"/>
              <w:tabs>
                <w:tab w:val="left" w:pos="3306"/>
              </w:tabs>
              <w:jc w:val="right"/>
              <w:rPr>
                <w:rFonts w:cs="Calibri"/>
              </w:rPr>
            </w:pPr>
          </w:p>
        </w:tc>
      </w:tr>
      <w:tr w:rsidR="00313BCC" w:rsidRPr="001823E5" w14:paraId="149D2979" w14:textId="77777777" w:rsidTr="00D919F2">
        <w:trPr>
          <w:cantSplit/>
          <w:trHeight w:val="23"/>
        </w:trPr>
        <w:tc>
          <w:tcPr>
            <w:tcW w:w="1563" w:type="dxa"/>
            <w:tcBorders>
              <w:top w:val="nil"/>
              <w:left w:val="single" w:sz="2" w:space="0" w:color="auto"/>
              <w:bottom w:val="nil"/>
              <w:right w:val="single" w:sz="2" w:space="0" w:color="auto"/>
            </w:tcBorders>
          </w:tcPr>
          <w:p w14:paraId="1B95B536" w14:textId="77777777" w:rsidR="00313BCC" w:rsidRPr="00190046" w:rsidRDefault="00313BCC" w:rsidP="00313BCC">
            <w:pPr>
              <w:pStyle w:val="CommentaryReference"/>
              <w:rPr>
                <w:rFonts w:cs="Calibri"/>
                <w:color w:val="7030A0"/>
                <w:sz w:val="6"/>
                <w:szCs w:val="6"/>
              </w:rPr>
            </w:pPr>
          </w:p>
        </w:tc>
        <w:tc>
          <w:tcPr>
            <w:tcW w:w="5877" w:type="dxa"/>
            <w:gridSpan w:val="2"/>
            <w:tcBorders>
              <w:top w:val="nil"/>
              <w:left w:val="single" w:sz="2" w:space="0" w:color="auto"/>
              <w:bottom w:val="nil"/>
              <w:right w:val="nil"/>
            </w:tcBorders>
            <w:vAlign w:val="bottom"/>
          </w:tcPr>
          <w:p w14:paraId="595586B2" w14:textId="77777777" w:rsidR="00313BCC" w:rsidRPr="00190046" w:rsidRDefault="00313BCC" w:rsidP="00313BCC">
            <w:pPr>
              <w:pStyle w:val="CommentaryReference"/>
              <w:rPr>
                <w:rFonts w:cs="Calibri"/>
                <w:sz w:val="6"/>
                <w:szCs w:val="6"/>
              </w:rPr>
            </w:pPr>
          </w:p>
        </w:tc>
        <w:tc>
          <w:tcPr>
            <w:tcW w:w="1589" w:type="dxa"/>
            <w:gridSpan w:val="2"/>
            <w:tcBorders>
              <w:top w:val="nil"/>
              <w:left w:val="nil"/>
              <w:bottom w:val="single" w:sz="2" w:space="0" w:color="auto"/>
              <w:right w:val="nil"/>
            </w:tcBorders>
            <w:vAlign w:val="bottom"/>
          </w:tcPr>
          <w:p w14:paraId="411D4FB4" w14:textId="77777777" w:rsidR="00313BCC" w:rsidRPr="00190046" w:rsidRDefault="00313BCC" w:rsidP="00313BCC">
            <w:pPr>
              <w:pStyle w:val="CommentaryReference"/>
              <w:rPr>
                <w:rFonts w:cs="Calibri"/>
                <w:sz w:val="6"/>
                <w:szCs w:val="6"/>
              </w:rPr>
            </w:pPr>
          </w:p>
        </w:tc>
        <w:tc>
          <w:tcPr>
            <w:tcW w:w="1511" w:type="dxa"/>
            <w:tcBorders>
              <w:top w:val="nil"/>
              <w:left w:val="nil"/>
              <w:bottom w:val="single" w:sz="2" w:space="0" w:color="auto"/>
              <w:right w:val="nil"/>
            </w:tcBorders>
            <w:vAlign w:val="bottom"/>
          </w:tcPr>
          <w:p w14:paraId="1C877B98" w14:textId="77777777" w:rsidR="00313BCC" w:rsidRPr="00190046" w:rsidRDefault="00313BCC" w:rsidP="00313BCC">
            <w:pPr>
              <w:pStyle w:val="CommentaryReference"/>
              <w:rPr>
                <w:rFonts w:cs="Calibri"/>
                <w:sz w:val="6"/>
                <w:szCs w:val="6"/>
              </w:rPr>
            </w:pPr>
          </w:p>
        </w:tc>
      </w:tr>
      <w:tr w:rsidR="00313BCC" w:rsidRPr="00CF7E1B" w14:paraId="69D051DA" w14:textId="77777777" w:rsidTr="00D919F2">
        <w:trPr>
          <w:cantSplit/>
          <w:trHeight w:val="23"/>
        </w:trPr>
        <w:tc>
          <w:tcPr>
            <w:tcW w:w="1563" w:type="dxa"/>
            <w:tcBorders>
              <w:top w:val="nil"/>
              <w:left w:val="single" w:sz="2" w:space="0" w:color="auto"/>
              <w:bottom w:val="nil"/>
              <w:right w:val="single" w:sz="2" w:space="0" w:color="auto"/>
            </w:tcBorders>
          </w:tcPr>
          <w:p w14:paraId="6C4CC3B9"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57FD75F5" w14:textId="77777777" w:rsidR="00313BCC" w:rsidRPr="00190046" w:rsidRDefault="00313BCC" w:rsidP="00313BCC">
            <w:pPr>
              <w:pStyle w:val="TableText"/>
              <w:tabs>
                <w:tab w:val="left" w:pos="3306"/>
              </w:tabs>
              <w:rPr>
                <w:rFonts w:cs="Calibri"/>
                <w:b/>
                <w:bCs/>
              </w:rPr>
            </w:pPr>
            <w:r w:rsidRPr="00190046">
              <w:rPr>
                <w:rFonts w:cs="Calibri"/>
                <w:b/>
                <w:bCs/>
              </w:rPr>
              <w:t>Total Current Payables</w:t>
            </w:r>
          </w:p>
        </w:tc>
        <w:tc>
          <w:tcPr>
            <w:tcW w:w="1589" w:type="dxa"/>
            <w:gridSpan w:val="2"/>
            <w:tcBorders>
              <w:top w:val="single" w:sz="2" w:space="0" w:color="auto"/>
              <w:left w:val="nil"/>
              <w:bottom w:val="single" w:sz="2" w:space="0" w:color="auto"/>
              <w:right w:val="nil"/>
            </w:tcBorders>
            <w:vAlign w:val="bottom"/>
          </w:tcPr>
          <w:p w14:paraId="31A32B9F" w14:textId="74B9DC92" w:rsidR="00313BCC" w:rsidRPr="00190046" w:rsidRDefault="00313BCC" w:rsidP="00313BCC">
            <w:pPr>
              <w:pStyle w:val="TableText"/>
              <w:tabs>
                <w:tab w:val="left" w:pos="3306"/>
              </w:tabs>
              <w:jc w:val="right"/>
              <w:rPr>
                <w:rFonts w:cs="Calibri"/>
                <w:b/>
                <w:bCs/>
              </w:rPr>
            </w:pPr>
          </w:p>
        </w:tc>
        <w:tc>
          <w:tcPr>
            <w:tcW w:w="1511" w:type="dxa"/>
            <w:tcBorders>
              <w:top w:val="single" w:sz="2" w:space="0" w:color="auto"/>
              <w:left w:val="nil"/>
              <w:bottom w:val="single" w:sz="2" w:space="0" w:color="auto"/>
              <w:right w:val="nil"/>
            </w:tcBorders>
            <w:vAlign w:val="bottom"/>
          </w:tcPr>
          <w:p w14:paraId="5BCD30A7" w14:textId="744ACD7B" w:rsidR="00313BCC" w:rsidRPr="00190046" w:rsidRDefault="00313BCC" w:rsidP="00313BCC">
            <w:pPr>
              <w:pStyle w:val="TableText"/>
              <w:tabs>
                <w:tab w:val="left" w:pos="3306"/>
              </w:tabs>
              <w:jc w:val="right"/>
              <w:rPr>
                <w:rFonts w:cs="Calibri"/>
                <w:b/>
                <w:bCs/>
              </w:rPr>
            </w:pPr>
          </w:p>
        </w:tc>
      </w:tr>
      <w:tr w:rsidR="001823E5" w:rsidRPr="001823E5" w14:paraId="6DD8F572" w14:textId="77777777" w:rsidTr="00D919F2">
        <w:trPr>
          <w:cantSplit/>
          <w:trHeight w:val="23"/>
        </w:trPr>
        <w:tc>
          <w:tcPr>
            <w:tcW w:w="1563" w:type="dxa"/>
            <w:tcBorders>
              <w:top w:val="nil"/>
              <w:left w:val="single" w:sz="2" w:space="0" w:color="auto"/>
              <w:bottom w:val="nil"/>
              <w:right w:val="single" w:sz="2" w:space="0" w:color="auto"/>
            </w:tcBorders>
          </w:tcPr>
          <w:p w14:paraId="60589FED" w14:textId="77777777" w:rsidR="001823E5" w:rsidRPr="00190046" w:rsidRDefault="001823E5" w:rsidP="00313BCC">
            <w:pPr>
              <w:pStyle w:val="TableReference"/>
              <w:tabs>
                <w:tab w:val="left" w:pos="3306"/>
              </w:tabs>
              <w:spacing w:before="40"/>
              <w:rPr>
                <w:rFonts w:cs="Calibri"/>
                <w:color w:val="7030A0"/>
                <w:sz w:val="14"/>
              </w:rPr>
            </w:pPr>
          </w:p>
        </w:tc>
        <w:tc>
          <w:tcPr>
            <w:tcW w:w="5877" w:type="dxa"/>
            <w:gridSpan w:val="2"/>
            <w:tcBorders>
              <w:top w:val="nil"/>
              <w:left w:val="single" w:sz="2" w:space="0" w:color="auto"/>
              <w:bottom w:val="nil"/>
              <w:right w:val="nil"/>
            </w:tcBorders>
            <w:vAlign w:val="bottom"/>
          </w:tcPr>
          <w:p w14:paraId="42FC4068" w14:textId="77777777" w:rsidR="001823E5" w:rsidRPr="00190046" w:rsidRDefault="001823E5" w:rsidP="00313BCC">
            <w:pPr>
              <w:pStyle w:val="TableText"/>
              <w:tabs>
                <w:tab w:val="left" w:pos="3306"/>
              </w:tabs>
              <w:rPr>
                <w:rFonts w:cs="Calibri"/>
                <w:b/>
                <w:bCs/>
                <w:sz w:val="14"/>
                <w:szCs w:val="14"/>
              </w:rPr>
            </w:pPr>
          </w:p>
        </w:tc>
        <w:tc>
          <w:tcPr>
            <w:tcW w:w="1589" w:type="dxa"/>
            <w:gridSpan w:val="2"/>
            <w:tcBorders>
              <w:top w:val="single" w:sz="2" w:space="0" w:color="auto"/>
              <w:left w:val="nil"/>
              <w:bottom w:val="single" w:sz="2" w:space="0" w:color="auto"/>
              <w:right w:val="nil"/>
            </w:tcBorders>
            <w:vAlign w:val="bottom"/>
          </w:tcPr>
          <w:p w14:paraId="623FB28A" w14:textId="77777777" w:rsidR="001823E5" w:rsidRPr="00190046" w:rsidRDefault="001823E5" w:rsidP="00313BCC">
            <w:pPr>
              <w:pStyle w:val="TableText"/>
              <w:tabs>
                <w:tab w:val="left" w:pos="3306"/>
              </w:tabs>
              <w:jc w:val="right"/>
              <w:rPr>
                <w:rFonts w:cs="Calibri"/>
                <w:b/>
                <w:bCs/>
                <w:sz w:val="14"/>
                <w:szCs w:val="14"/>
              </w:rPr>
            </w:pPr>
          </w:p>
        </w:tc>
        <w:tc>
          <w:tcPr>
            <w:tcW w:w="1511" w:type="dxa"/>
            <w:tcBorders>
              <w:top w:val="single" w:sz="2" w:space="0" w:color="auto"/>
              <w:left w:val="nil"/>
              <w:bottom w:val="single" w:sz="2" w:space="0" w:color="auto"/>
              <w:right w:val="nil"/>
            </w:tcBorders>
            <w:vAlign w:val="bottom"/>
          </w:tcPr>
          <w:p w14:paraId="40B15364" w14:textId="77777777" w:rsidR="001823E5" w:rsidRPr="00190046" w:rsidRDefault="001823E5" w:rsidP="00313BCC">
            <w:pPr>
              <w:pStyle w:val="TableText"/>
              <w:tabs>
                <w:tab w:val="left" w:pos="3306"/>
              </w:tabs>
              <w:jc w:val="right"/>
              <w:rPr>
                <w:rFonts w:cs="Calibri"/>
                <w:b/>
                <w:bCs/>
                <w:sz w:val="14"/>
                <w:szCs w:val="14"/>
              </w:rPr>
            </w:pPr>
          </w:p>
        </w:tc>
      </w:tr>
      <w:tr w:rsidR="00313BCC" w:rsidRPr="00CF7E1B" w14:paraId="475BA544" w14:textId="77777777" w:rsidTr="00D919F2">
        <w:trPr>
          <w:cantSplit/>
          <w:trHeight w:val="23"/>
        </w:trPr>
        <w:tc>
          <w:tcPr>
            <w:tcW w:w="1563" w:type="dxa"/>
            <w:tcBorders>
              <w:top w:val="nil"/>
              <w:left w:val="single" w:sz="2" w:space="0" w:color="auto"/>
              <w:bottom w:val="nil"/>
              <w:right w:val="single" w:sz="2" w:space="0" w:color="auto"/>
            </w:tcBorders>
          </w:tcPr>
          <w:p w14:paraId="58E057EC"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3199E60E" w14:textId="2EC21123" w:rsidR="00313BCC" w:rsidRPr="00190046" w:rsidRDefault="00313BCC" w:rsidP="00313BCC">
            <w:pPr>
              <w:pStyle w:val="TableText"/>
              <w:tabs>
                <w:tab w:val="left" w:pos="3306"/>
              </w:tabs>
              <w:rPr>
                <w:rFonts w:cs="Calibri"/>
                <w:b/>
                <w:bCs/>
              </w:rPr>
            </w:pPr>
            <w:r w:rsidRPr="00190046">
              <w:rPr>
                <w:rFonts w:cs="Calibri"/>
                <w:b/>
                <w:bCs/>
              </w:rPr>
              <w:t>Total Payables</w:t>
            </w:r>
            <w:r w:rsidR="002541C3" w:rsidRPr="00190046">
              <w:rPr>
                <w:rFonts w:cs="Calibri"/>
              </w:rPr>
              <w:t xml:space="preserve"> </w:t>
            </w:r>
            <w:r w:rsidR="002541C3" w:rsidRPr="00190046">
              <w:rPr>
                <w:rFonts w:cs="Calibri"/>
                <w:b/>
                <w:bCs/>
              </w:rPr>
              <w:t>and Contract Liabilities</w:t>
            </w:r>
          </w:p>
        </w:tc>
        <w:tc>
          <w:tcPr>
            <w:tcW w:w="1589" w:type="dxa"/>
            <w:gridSpan w:val="2"/>
            <w:tcBorders>
              <w:top w:val="single" w:sz="2" w:space="0" w:color="auto"/>
              <w:left w:val="nil"/>
              <w:bottom w:val="double" w:sz="4" w:space="0" w:color="auto"/>
              <w:right w:val="nil"/>
            </w:tcBorders>
            <w:vAlign w:val="bottom"/>
          </w:tcPr>
          <w:p w14:paraId="781B8172" w14:textId="21D2BFB1" w:rsidR="00313BCC" w:rsidRPr="00190046" w:rsidRDefault="00313BCC" w:rsidP="00313BCC">
            <w:pPr>
              <w:pStyle w:val="TableText"/>
              <w:tabs>
                <w:tab w:val="left" w:pos="3306"/>
              </w:tabs>
              <w:jc w:val="right"/>
              <w:rPr>
                <w:rFonts w:cs="Calibri"/>
                <w:b/>
                <w:bCs/>
              </w:rPr>
            </w:pPr>
          </w:p>
        </w:tc>
        <w:tc>
          <w:tcPr>
            <w:tcW w:w="1511" w:type="dxa"/>
            <w:tcBorders>
              <w:top w:val="single" w:sz="2" w:space="0" w:color="auto"/>
              <w:left w:val="nil"/>
              <w:bottom w:val="double" w:sz="4" w:space="0" w:color="auto"/>
              <w:right w:val="nil"/>
            </w:tcBorders>
            <w:vAlign w:val="bottom"/>
          </w:tcPr>
          <w:p w14:paraId="5241F4DD" w14:textId="194FB4AB" w:rsidR="00313BCC" w:rsidRPr="00190046" w:rsidRDefault="00313BCC" w:rsidP="00313BCC">
            <w:pPr>
              <w:pStyle w:val="TableText"/>
              <w:tabs>
                <w:tab w:val="left" w:pos="3306"/>
              </w:tabs>
              <w:jc w:val="right"/>
              <w:rPr>
                <w:rFonts w:cs="Calibri"/>
                <w:b/>
                <w:bCs/>
              </w:rPr>
            </w:pPr>
          </w:p>
        </w:tc>
      </w:tr>
      <w:tr w:rsidR="00313BCC" w:rsidRPr="00CF7E1B" w14:paraId="1D146FA4" w14:textId="77777777" w:rsidTr="00D919F2">
        <w:trPr>
          <w:cantSplit/>
          <w:trHeight w:val="23"/>
        </w:trPr>
        <w:tc>
          <w:tcPr>
            <w:tcW w:w="1563" w:type="dxa"/>
            <w:tcBorders>
              <w:top w:val="nil"/>
              <w:left w:val="single" w:sz="2" w:space="0" w:color="auto"/>
              <w:bottom w:val="nil"/>
              <w:right w:val="single" w:sz="2" w:space="0" w:color="auto"/>
            </w:tcBorders>
          </w:tcPr>
          <w:p w14:paraId="5D13BD91" w14:textId="77777777" w:rsidR="00313BCC" w:rsidRPr="00190046" w:rsidRDefault="00313BCC" w:rsidP="00313BCC">
            <w:pPr>
              <w:pStyle w:val="TableReference"/>
              <w:tabs>
                <w:tab w:val="left" w:pos="3306"/>
              </w:tabs>
              <w:spacing w:before="40"/>
              <w:rPr>
                <w:rFonts w:cs="Calibri"/>
                <w:color w:val="7030A0"/>
                <w:sz w:val="16"/>
                <w:szCs w:val="16"/>
              </w:rPr>
            </w:pPr>
          </w:p>
        </w:tc>
        <w:tc>
          <w:tcPr>
            <w:tcW w:w="5877" w:type="dxa"/>
            <w:gridSpan w:val="2"/>
            <w:tcBorders>
              <w:top w:val="nil"/>
              <w:left w:val="single" w:sz="2" w:space="0" w:color="auto"/>
              <w:bottom w:val="nil"/>
              <w:right w:val="nil"/>
            </w:tcBorders>
            <w:vAlign w:val="bottom"/>
          </w:tcPr>
          <w:p w14:paraId="595C4F6C" w14:textId="77777777" w:rsidR="00313BCC" w:rsidRPr="00190046" w:rsidRDefault="00313BCC" w:rsidP="00313BCC">
            <w:pPr>
              <w:pStyle w:val="TableText"/>
              <w:tabs>
                <w:tab w:val="left" w:pos="3306"/>
              </w:tabs>
              <w:rPr>
                <w:rFonts w:cs="Calibri"/>
                <w:b/>
                <w:bCs/>
              </w:rPr>
            </w:pPr>
          </w:p>
        </w:tc>
        <w:tc>
          <w:tcPr>
            <w:tcW w:w="1589" w:type="dxa"/>
            <w:gridSpan w:val="2"/>
            <w:tcBorders>
              <w:top w:val="double" w:sz="4" w:space="0" w:color="auto"/>
              <w:left w:val="nil"/>
              <w:bottom w:val="nil"/>
              <w:right w:val="nil"/>
            </w:tcBorders>
            <w:vAlign w:val="bottom"/>
          </w:tcPr>
          <w:p w14:paraId="455FC3B7" w14:textId="77777777" w:rsidR="00313BCC" w:rsidRPr="00190046" w:rsidRDefault="00313BCC" w:rsidP="00313BCC">
            <w:pPr>
              <w:pStyle w:val="TableText"/>
              <w:tabs>
                <w:tab w:val="left" w:pos="3306"/>
              </w:tabs>
              <w:jc w:val="right"/>
              <w:rPr>
                <w:rFonts w:cs="Calibri"/>
                <w:b/>
                <w:bCs/>
              </w:rPr>
            </w:pPr>
          </w:p>
        </w:tc>
        <w:tc>
          <w:tcPr>
            <w:tcW w:w="1511" w:type="dxa"/>
            <w:tcBorders>
              <w:top w:val="double" w:sz="4" w:space="0" w:color="auto"/>
              <w:left w:val="nil"/>
              <w:bottom w:val="nil"/>
              <w:right w:val="nil"/>
            </w:tcBorders>
            <w:vAlign w:val="bottom"/>
          </w:tcPr>
          <w:p w14:paraId="05E42963" w14:textId="77777777" w:rsidR="00313BCC" w:rsidRPr="00190046" w:rsidRDefault="00313BCC" w:rsidP="00313BCC">
            <w:pPr>
              <w:pStyle w:val="TableText"/>
              <w:tabs>
                <w:tab w:val="left" w:pos="3306"/>
              </w:tabs>
              <w:jc w:val="right"/>
              <w:rPr>
                <w:rFonts w:cs="Calibri"/>
                <w:b/>
                <w:bCs/>
              </w:rPr>
            </w:pPr>
          </w:p>
        </w:tc>
      </w:tr>
      <w:tr w:rsidR="002428A6" w:rsidRPr="00CF7E1B" w14:paraId="51135F2F" w14:textId="77777777" w:rsidTr="00D919F2">
        <w:trPr>
          <w:cantSplit/>
          <w:trHeight w:val="23"/>
        </w:trPr>
        <w:tc>
          <w:tcPr>
            <w:tcW w:w="1563" w:type="dxa"/>
            <w:tcBorders>
              <w:top w:val="nil"/>
              <w:left w:val="single" w:sz="2" w:space="0" w:color="auto"/>
              <w:bottom w:val="nil"/>
              <w:right w:val="single" w:sz="2" w:space="0" w:color="auto"/>
            </w:tcBorders>
          </w:tcPr>
          <w:p w14:paraId="5722DA37" w14:textId="77777777" w:rsidR="002428A6" w:rsidRPr="00190046" w:rsidRDefault="002428A6" w:rsidP="00863311">
            <w:pPr>
              <w:pStyle w:val="TableReference"/>
              <w:tabs>
                <w:tab w:val="left" w:pos="3306"/>
              </w:tabs>
              <w:spacing w:before="40"/>
              <w:rPr>
                <w:rFonts w:cs="Calibri"/>
                <w:color w:val="7030A0"/>
                <w:sz w:val="16"/>
                <w:szCs w:val="16"/>
              </w:rPr>
            </w:pPr>
          </w:p>
        </w:tc>
        <w:tc>
          <w:tcPr>
            <w:tcW w:w="5867" w:type="dxa"/>
            <w:tcBorders>
              <w:top w:val="nil"/>
              <w:left w:val="single" w:sz="2" w:space="0" w:color="auto"/>
              <w:bottom w:val="nil"/>
              <w:right w:val="nil"/>
            </w:tcBorders>
            <w:vAlign w:val="bottom"/>
          </w:tcPr>
          <w:p w14:paraId="6F1A44B9" w14:textId="77777777" w:rsidR="002428A6" w:rsidRPr="00190046" w:rsidRDefault="002428A6" w:rsidP="00863311">
            <w:pPr>
              <w:pStyle w:val="TableText"/>
              <w:tabs>
                <w:tab w:val="left" w:pos="3306"/>
              </w:tabs>
              <w:rPr>
                <w:rFonts w:cs="Calibri"/>
                <w:b/>
                <w:bCs/>
              </w:rPr>
            </w:pPr>
          </w:p>
        </w:tc>
        <w:tc>
          <w:tcPr>
            <w:tcW w:w="1593" w:type="dxa"/>
            <w:gridSpan w:val="2"/>
            <w:tcBorders>
              <w:top w:val="nil"/>
              <w:left w:val="nil"/>
              <w:bottom w:val="nil"/>
              <w:right w:val="nil"/>
            </w:tcBorders>
            <w:vAlign w:val="bottom"/>
          </w:tcPr>
          <w:p w14:paraId="5CF26C57" w14:textId="48F81477" w:rsidR="002428A6" w:rsidRPr="00190046" w:rsidRDefault="002428A6" w:rsidP="002428A6">
            <w:pPr>
              <w:pStyle w:val="TableTitle"/>
              <w:tabs>
                <w:tab w:val="left" w:pos="3306"/>
              </w:tabs>
              <w:rPr>
                <w:rFonts w:cs="Calibri"/>
                <w:szCs w:val="16"/>
              </w:rPr>
            </w:pPr>
          </w:p>
        </w:tc>
        <w:tc>
          <w:tcPr>
            <w:tcW w:w="1517" w:type="dxa"/>
            <w:gridSpan w:val="2"/>
            <w:tcBorders>
              <w:top w:val="nil"/>
              <w:left w:val="nil"/>
              <w:bottom w:val="nil"/>
              <w:right w:val="nil"/>
            </w:tcBorders>
            <w:vAlign w:val="bottom"/>
          </w:tcPr>
          <w:p w14:paraId="5591AFD5" w14:textId="2CC4DFFE" w:rsidR="002428A6" w:rsidRPr="00190046" w:rsidRDefault="002428A6" w:rsidP="002428A6">
            <w:pPr>
              <w:pStyle w:val="TableTitle"/>
              <w:tabs>
                <w:tab w:val="left" w:pos="3306"/>
              </w:tabs>
              <w:rPr>
                <w:rFonts w:cs="Calibri"/>
              </w:rPr>
            </w:pPr>
          </w:p>
        </w:tc>
      </w:tr>
      <w:tr w:rsidR="002428A6" w:rsidRPr="00CF7E1B" w14:paraId="78D0E2ED" w14:textId="77777777" w:rsidTr="00D919F2">
        <w:trPr>
          <w:cantSplit/>
          <w:trHeight w:val="23"/>
        </w:trPr>
        <w:tc>
          <w:tcPr>
            <w:tcW w:w="1563" w:type="dxa"/>
            <w:tcBorders>
              <w:top w:val="nil"/>
              <w:left w:val="single" w:sz="2" w:space="0" w:color="auto"/>
              <w:bottom w:val="nil"/>
              <w:right w:val="single" w:sz="2" w:space="0" w:color="auto"/>
            </w:tcBorders>
          </w:tcPr>
          <w:p w14:paraId="6F3781FC" w14:textId="77777777" w:rsidR="002428A6" w:rsidRPr="00190046" w:rsidRDefault="00C746EC" w:rsidP="00863311">
            <w:pPr>
              <w:pStyle w:val="TableReference"/>
              <w:tabs>
                <w:tab w:val="left" w:pos="3306"/>
              </w:tabs>
              <w:spacing w:before="40"/>
              <w:rPr>
                <w:rFonts w:cs="Calibri"/>
                <w:color w:val="7030A0"/>
                <w:sz w:val="14"/>
              </w:rPr>
            </w:pPr>
            <w:r w:rsidRPr="00190046">
              <w:rPr>
                <w:rFonts w:cs="Calibri"/>
                <w:color w:val="7030A0"/>
                <w:sz w:val="14"/>
              </w:rPr>
              <w:t>ACT Disclosure Policy</w:t>
            </w:r>
          </w:p>
        </w:tc>
        <w:tc>
          <w:tcPr>
            <w:tcW w:w="5867" w:type="dxa"/>
            <w:tcBorders>
              <w:top w:val="nil"/>
              <w:left w:val="single" w:sz="2" w:space="0" w:color="auto"/>
              <w:bottom w:val="nil"/>
              <w:right w:val="nil"/>
            </w:tcBorders>
            <w:vAlign w:val="bottom"/>
          </w:tcPr>
          <w:p w14:paraId="3F82A0AD" w14:textId="77777777" w:rsidR="002428A6" w:rsidRPr="00190046" w:rsidRDefault="002428A6" w:rsidP="00863311">
            <w:pPr>
              <w:pStyle w:val="TableText"/>
              <w:tabs>
                <w:tab w:val="left" w:pos="3306"/>
              </w:tabs>
              <w:rPr>
                <w:rFonts w:cs="Calibri"/>
                <w:b/>
                <w:bCs/>
              </w:rPr>
            </w:pPr>
            <w:r w:rsidRPr="00190046">
              <w:rPr>
                <w:rFonts w:cs="Calibri"/>
                <w:b/>
                <w:bCs/>
              </w:rPr>
              <w:t>Payables are Aged as Follows:</w:t>
            </w:r>
          </w:p>
        </w:tc>
        <w:tc>
          <w:tcPr>
            <w:tcW w:w="1593" w:type="dxa"/>
            <w:gridSpan w:val="2"/>
            <w:tcBorders>
              <w:top w:val="nil"/>
              <w:left w:val="nil"/>
              <w:bottom w:val="nil"/>
              <w:right w:val="nil"/>
            </w:tcBorders>
            <w:vAlign w:val="bottom"/>
          </w:tcPr>
          <w:p w14:paraId="115AD7B4" w14:textId="77777777" w:rsidR="002428A6" w:rsidRPr="00190046" w:rsidRDefault="002428A6" w:rsidP="002428A6">
            <w:pPr>
              <w:pStyle w:val="TableTitle"/>
              <w:tabs>
                <w:tab w:val="left" w:pos="3306"/>
              </w:tabs>
              <w:rPr>
                <w:rFonts w:cs="Calibri"/>
                <w:szCs w:val="16"/>
              </w:rPr>
            </w:pPr>
          </w:p>
        </w:tc>
        <w:tc>
          <w:tcPr>
            <w:tcW w:w="1517" w:type="dxa"/>
            <w:gridSpan w:val="2"/>
            <w:tcBorders>
              <w:top w:val="nil"/>
              <w:left w:val="nil"/>
              <w:bottom w:val="nil"/>
              <w:right w:val="nil"/>
            </w:tcBorders>
            <w:vAlign w:val="bottom"/>
          </w:tcPr>
          <w:p w14:paraId="6511D979" w14:textId="77777777" w:rsidR="002428A6" w:rsidRPr="00190046" w:rsidRDefault="002428A6" w:rsidP="002428A6">
            <w:pPr>
              <w:pStyle w:val="TableTitle"/>
              <w:tabs>
                <w:tab w:val="left" w:pos="3306"/>
              </w:tabs>
              <w:rPr>
                <w:rFonts w:cs="Calibri"/>
              </w:rPr>
            </w:pPr>
          </w:p>
        </w:tc>
      </w:tr>
      <w:tr w:rsidR="002428A6" w:rsidRPr="00CF7E1B" w14:paraId="390E1D70" w14:textId="77777777" w:rsidTr="00D919F2">
        <w:trPr>
          <w:cantSplit/>
          <w:trHeight w:val="23"/>
        </w:trPr>
        <w:tc>
          <w:tcPr>
            <w:tcW w:w="1563" w:type="dxa"/>
            <w:tcBorders>
              <w:top w:val="nil"/>
              <w:left w:val="single" w:sz="2" w:space="0" w:color="auto"/>
              <w:bottom w:val="nil"/>
              <w:right w:val="single" w:sz="2" w:space="0" w:color="auto"/>
            </w:tcBorders>
          </w:tcPr>
          <w:p w14:paraId="009E947D"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5EB33296" w14:textId="77777777" w:rsidR="002428A6" w:rsidRPr="00190046" w:rsidRDefault="002428A6" w:rsidP="00863311">
            <w:pPr>
              <w:pStyle w:val="TableText"/>
              <w:tabs>
                <w:tab w:val="left" w:pos="3306"/>
              </w:tabs>
              <w:rPr>
                <w:rFonts w:cs="Calibri"/>
              </w:rPr>
            </w:pPr>
            <w:r w:rsidRPr="00190046">
              <w:rPr>
                <w:rFonts w:cs="Calibri"/>
              </w:rPr>
              <w:t>Not Overdue</w:t>
            </w:r>
          </w:p>
        </w:tc>
        <w:tc>
          <w:tcPr>
            <w:tcW w:w="1593" w:type="dxa"/>
            <w:gridSpan w:val="2"/>
            <w:tcBorders>
              <w:top w:val="nil"/>
              <w:left w:val="nil"/>
              <w:bottom w:val="nil"/>
              <w:right w:val="nil"/>
            </w:tcBorders>
            <w:vAlign w:val="bottom"/>
          </w:tcPr>
          <w:p w14:paraId="1BA880A8" w14:textId="73AE5531" w:rsidR="002428A6" w:rsidRPr="00190046"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2A5C7C02" w14:textId="2D10AC4A" w:rsidR="002428A6" w:rsidRPr="00190046" w:rsidRDefault="002428A6" w:rsidP="00863311">
            <w:pPr>
              <w:pStyle w:val="TableText"/>
              <w:tabs>
                <w:tab w:val="left" w:pos="3306"/>
              </w:tabs>
              <w:jc w:val="right"/>
              <w:rPr>
                <w:rFonts w:cs="Calibri"/>
              </w:rPr>
            </w:pPr>
          </w:p>
        </w:tc>
      </w:tr>
      <w:tr w:rsidR="002428A6" w:rsidRPr="00CF7E1B" w14:paraId="79D1F784" w14:textId="77777777" w:rsidTr="00D919F2">
        <w:trPr>
          <w:cantSplit/>
          <w:trHeight w:val="23"/>
        </w:trPr>
        <w:tc>
          <w:tcPr>
            <w:tcW w:w="1563" w:type="dxa"/>
            <w:tcBorders>
              <w:top w:val="nil"/>
              <w:left w:val="single" w:sz="2" w:space="0" w:color="auto"/>
              <w:bottom w:val="nil"/>
              <w:right w:val="single" w:sz="2" w:space="0" w:color="auto"/>
            </w:tcBorders>
          </w:tcPr>
          <w:p w14:paraId="6D8C1AD1"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32EDA88E" w14:textId="77777777" w:rsidR="002428A6" w:rsidRPr="00190046" w:rsidRDefault="002428A6" w:rsidP="00863311">
            <w:pPr>
              <w:pStyle w:val="TableText"/>
              <w:tabs>
                <w:tab w:val="left" w:pos="3306"/>
              </w:tabs>
              <w:rPr>
                <w:rFonts w:cs="Calibri"/>
              </w:rPr>
            </w:pPr>
            <w:r w:rsidRPr="00190046">
              <w:rPr>
                <w:rFonts w:cs="Calibri"/>
              </w:rPr>
              <w:t>Overdue for Less than 30 Days</w:t>
            </w:r>
          </w:p>
        </w:tc>
        <w:tc>
          <w:tcPr>
            <w:tcW w:w="1593" w:type="dxa"/>
            <w:gridSpan w:val="2"/>
            <w:tcBorders>
              <w:top w:val="nil"/>
              <w:left w:val="nil"/>
              <w:bottom w:val="nil"/>
              <w:right w:val="nil"/>
            </w:tcBorders>
            <w:vAlign w:val="bottom"/>
          </w:tcPr>
          <w:p w14:paraId="62682753" w14:textId="68B59D75" w:rsidR="002428A6" w:rsidRPr="00190046"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50B98FE4" w14:textId="02072F7E" w:rsidR="002428A6" w:rsidRPr="00190046" w:rsidRDefault="002428A6" w:rsidP="00863311">
            <w:pPr>
              <w:pStyle w:val="TableText"/>
              <w:tabs>
                <w:tab w:val="left" w:pos="3306"/>
              </w:tabs>
              <w:jc w:val="right"/>
              <w:rPr>
                <w:rFonts w:cs="Calibri"/>
              </w:rPr>
            </w:pPr>
          </w:p>
        </w:tc>
      </w:tr>
      <w:tr w:rsidR="002428A6" w:rsidRPr="00CF7E1B" w14:paraId="070D4C81" w14:textId="77777777" w:rsidTr="00D919F2">
        <w:trPr>
          <w:cantSplit/>
          <w:trHeight w:val="23"/>
        </w:trPr>
        <w:tc>
          <w:tcPr>
            <w:tcW w:w="1563" w:type="dxa"/>
            <w:tcBorders>
              <w:top w:val="nil"/>
              <w:left w:val="single" w:sz="2" w:space="0" w:color="auto"/>
              <w:bottom w:val="nil"/>
              <w:right w:val="single" w:sz="2" w:space="0" w:color="auto"/>
            </w:tcBorders>
          </w:tcPr>
          <w:p w14:paraId="07116D0E"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42916D5B" w14:textId="77777777" w:rsidR="002428A6" w:rsidRPr="00190046" w:rsidRDefault="002428A6" w:rsidP="00863311">
            <w:pPr>
              <w:pStyle w:val="TableText"/>
              <w:tabs>
                <w:tab w:val="left" w:pos="3306"/>
              </w:tabs>
              <w:rPr>
                <w:rFonts w:cs="Calibri"/>
              </w:rPr>
            </w:pPr>
            <w:r w:rsidRPr="00190046">
              <w:rPr>
                <w:rFonts w:cs="Calibri"/>
              </w:rPr>
              <w:t>Overdue for 30 to 60 Days</w:t>
            </w:r>
          </w:p>
        </w:tc>
        <w:tc>
          <w:tcPr>
            <w:tcW w:w="1593" w:type="dxa"/>
            <w:gridSpan w:val="2"/>
            <w:tcBorders>
              <w:top w:val="nil"/>
              <w:left w:val="nil"/>
              <w:bottom w:val="nil"/>
              <w:right w:val="nil"/>
            </w:tcBorders>
            <w:vAlign w:val="bottom"/>
          </w:tcPr>
          <w:p w14:paraId="601D0988" w14:textId="69D16DDE" w:rsidR="002428A6" w:rsidRPr="00190046" w:rsidRDefault="002428A6" w:rsidP="00863311">
            <w:pPr>
              <w:pStyle w:val="TableText"/>
              <w:tabs>
                <w:tab w:val="left" w:pos="3306"/>
              </w:tabs>
              <w:jc w:val="right"/>
              <w:rPr>
                <w:rFonts w:cs="Calibri"/>
              </w:rPr>
            </w:pPr>
          </w:p>
        </w:tc>
        <w:tc>
          <w:tcPr>
            <w:tcW w:w="1517" w:type="dxa"/>
            <w:gridSpan w:val="2"/>
            <w:tcBorders>
              <w:top w:val="nil"/>
              <w:left w:val="nil"/>
              <w:bottom w:val="nil"/>
              <w:right w:val="nil"/>
            </w:tcBorders>
            <w:vAlign w:val="bottom"/>
          </w:tcPr>
          <w:p w14:paraId="55039F90" w14:textId="1A66838D" w:rsidR="002428A6" w:rsidRPr="00190046" w:rsidRDefault="002428A6" w:rsidP="00863311">
            <w:pPr>
              <w:pStyle w:val="TableText"/>
              <w:tabs>
                <w:tab w:val="left" w:pos="3306"/>
              </w:tabs>
              <w:jc w:val="right"/>
              <w:rPr>
                <w:rFonts w:cs="Calibri"/>
              </w:rPr>
            </w:pPr>
          </w:p>
        </w:tc>
      </w:tr>
      <w:tr w:rsidR="002428A6" w:rsidRPr="00CF7E1B" w14:paraId="1DFA7EF7" w14:textId="77777777" w:rsidTr="00D919F2">
        <w:trPr>
          <w:cantSplit/>
          <w:trHeight w:val="23"/>
        </w:trPr>
        <w:tc>
          <w:tcPr>
            <w:tcW w:w="1563" w:type="dxa"/>
            <w:tcBorders>
              <w:top w:val="nil"/>
              <w:left w:val="single" w:sz="2" w:space="0" w:color="auto"/>
              <w:bottom w:val="nil"/>
              <w:right w:val="single" w:sz="2" w:space="0" w:color="auto"/>
            </w:tcBorders>
          </w:tcPr>
          <w:p w14:paraId="243CA7A3"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45F7E996" w14:textId="77777777" w:rsidR="002428A6" w:rsidRPr="00190046" w:rsidRDefault="002428A6" w:rsidP="00863311">
            <w:pPr>
              <w:pStyle w:val="TableText"/>
              <w:tabs>
                <w:tab w:val="left" w:pos="3306"/>
              </w:tabs>
              <w:rPr>
                <w:rFonts w:cs="Calibri"/>
              </w:rPr>
            </w:pPr>
            <w:r w:rsidRPr="00190046">
              <w:rPr>
                <w:rFonts w:cs="Calibri"/>
              </w:rPr>
              <w:t>Overdue for More than 60 Days</w:t>
            </w:r>
          </w:p>
        </w:tc>
        <w:tc>
          <w:tcPr>
            <w:tcW w:w="1593" w:type="dxa"/>
            <w:gridSpan w:val="2"/>
            <w:tcBorders>
              <w:top w:val="nil"/>
              <w:left w:val="nil"/>
              <w:bottom w:val="single" w:sz="4" w:space="0" w:color="auto"/>
              <w:right w:val="nil"/>
            </w:tcBorders>
            <w:vAlign w:val="bottom"/>
          </w:tcPr>
          <w:p w14:paraId="52C9035F" w14:textId="5F4C423F" w:rsidR="002428A6" w:rsidRPr="00190046" w:rsidRDefault="002428A6" w:rsidP="00863311">
            <w:pPr>
              <w:pStyle w:val="TableText"/>
              <w:tabs>
                <w:tab w:val="left" w:pos="3306"/>
              </w:tabs>
              <w:jc w:val="right"/>
              <w:rPr>
                <w:rFonts w:cs="Calibri"/>
              </w:rPr>
            </w:pPr>
          </w:p>
        </w:tc>
        <w:tc>
          <w:tcPr>
            <w:tcW w:w="1517" w:type="dxa"/>
            <w:gridSpan w:val="2"/>
            <w:tcBorders>
              <w:top w:val="nil"/>
              <w:left w:val="nil"/>
              <w:bottom w:val="single" w:sz="4" w:space="0" w:color="auto"/>
              <w:right w:val="nil"/>
            </w:tcBorders>
            <w:vAlign w:val="bottom"/>
          </w:tcPr>
          <w:p w14:paraId="0493323A" w14:textId="2270DFF3" w:rsidR="002428A6" w:rsidRPr="00190046" w:rsidRDefault="002428A6" w:rsidP="00863311">
            <w:pPr>
              <w:pStyle w:val="TableText"/>
              <w:tabs>
                <w:tab w:val="left" w:pos="3306"/>
              </w:tabs>
              <w:jc w:val="right"/>
              <w:rPr>
                <w:rFonts w:cs="Calibri"/>
              </w:rPr>
            </w:pPr>
          </w:p>
        </w:tc>
      </w:tr>
      <w:tr w:rsidR="002428A6" w:rsidRPr="00CF7E1B" w14:paraId="3B126013" w14:textId="77777777" w:rsidTr="00D919F2">
        <w:trPr>
          <w:cantSplit/>
          <w:trHeight w:val="23"/>
        </w:trPr>
        <w:tc>
          <w:tcPr>
            <w:tcW w:w="1563" w:type="dxa"/>
            <w:tcBorders>
              <w:top w:val="nil"/>
              <w:left w:val="single" w:sz="2" w:space="0" w:color="auto"/>
              <w:bottom w:val="nil"/>
              <w:right w:val="single" w:sz="2" w:space="0" w:color="auto"/>
            </w:tcBorders>
          </w:tcPr>
          <w:p w14:paraId="2DE57D6F" w14:textId="77777777" w:rsidR="002428A6" w:rsidRPr="00190046" w:rsidRDefault="002428A6" w:rsidP="00863311">
            <w:pPr>
              <w:pStyle w:val="TableReference"/>
              <w:tabs>
                <w:tab w:val="left" w:pos="3306"/>
              </w:tabs>
              <w:spacing w:before="40"/>
              <w:rPr>
                <w:rFonts w:cs="Calibri"/>
                <w:color w:val="7030A0"/>
                <w:sz w:val="14"/>
              </w:rPr>
            </w:pPr>
          </w:p>
        </w:tc>
        <w:tc>
          <w:tcPr>
            <w:tcW w:w="5867" w:type="dxa"/>
            <w:tcBorders>
              <w:top w:val="nil"/>
              <w:left w:val="single" w:sz="2" w:space="0" w:color="auto"/>
              <w:bottom w:val="nil"/>
              <w:right w:val="nil"/>
            </w:tcBorders>
            <w:vAlign w:val="bottom"/>
          </w:tcPr>
          <w:p w14:paraId="5809CB89" w14:textId="77777777" w:rsidR="002428A6" w:rsidRPr="00190046" w:rsidRDefault="002428A6" w:rsidP="00863311">
            <w:pPr>
              <w:pStyle w:val="TableText"/>
              <w:tabs>
                <w:tab w:val="left" w:pos="3306"/>
              </w:tabs>
              <w:rPr>
                <w:rFonts w:cs="Calibri"/>
                <w:b/>
                <w:bCs/>
              </w:rPr>
            </w:pPr>
            <w:r w:rsidRPr="00190046">
              <w:rPr>
                <w:rFonts w:cs="Calibri"/>
                <w:b/>
                <w:bCs/>
              </w:rPr>
              <w:t>Total Payables</w:t>
            </w:r>
          </w:p>
        </w:tc>
        <w:tc>
          <w:tcPr>
            <w:tcW w:w="1593" w:type="dxa"/>
            <w:gridSpan w:val="2"/>
            <w:tcBorders>
              <w:top w:val="single" w:sz="4" w:space="0" w:color="auto"/>
              <w:left w:val="nil"/>
              <w:bottom w:val="double" w:sz="4" w:space="0" w:color="auto"/>
              <w:right w:val="nil"/>
            </w:tcBorders>
            <w:vAlign w:val="bottom"/>
          </w:tcPr>
          <w:p w14:paraId="0AD23A2A" w14:textId="1EBAA68A" w:rsidR="002428A6" w:rsidRPr="00190046" w:rsidRDefault="002428A6" w:rsidP="00863311">
            <w:pPr>
              <w:pStyle w:val="TableText"/>
              <w:tabs>
                <w:tab w:val="left" w:pos="3306"/>
              </w:tabs>
              <w:jc w:val="right"/>
              <w:rPr>
                <w:rFonts w:cs="Calibri"/>
                <w:b/>
                <w:bCs/>
              </w:rPr>
            </w:pPr>
          </w:p>
        </w:tc>
        <w:tc>
          <w:tcPr>
            <w:tcW w:w="1517" w:type="dxa"/>
            <w:gridSpan w:val="2"/>
            <w:tcBorders>
              <w:top w:val="single" w:sz="4" w:space="0" w:color="auto"/>
              <w:left w:val="nil"/>
              <w:bottom w:val="double" w:sz="4" w:space="0" w:color="auto"/>
              <w:right w:val="nil"/>
            </w:tcBorders>
            <w:vAlign w:val="bottom"/>
          </w:tcPr>
          <w:p w14:paraId="3E0E063E" w14:textId="0B9643FB" w:rsidR="002428A6" w:rsidRPr="00190046" w:rsidRDefault="002428A6" w:rsidP="00863311">
            <w:pPr>
              <w:pStyle w:val="TableText"/>
              <w:tabs>
                <w:tab w:val="left" w:pos="3306"/>
              </w:tabs>
              <w:jc w:val="right"/>
              <w:rPr>
                <w:rFonts w:cs="Calibri"/>
                <w:b/>
                <w:bCs/>
              </w:rPr>
            </w:pPr>
          </w:p>
        </w:tc>
      </w:tr>
      <w:tr w:rsidR="002428A6" w:rsidRPr="00CF7E1B" w14:paraId="5B1E54FB" w14:textId="77777777" w:rsidTr="00D919F2">
        <w:trPr>
          <w:cantSplit/>
          <w:trHeight w:val="23"/>
        </w:trPr>
        <w:tc>
          <w:tcPr>
            <w:tcW w:w="1563" w:type="dxa"/>
            <w:tcBorders>
              <w:top w:val="nil"/>
              <w:left w:val="single" w:sz="2" w:space="0" w:color="auto"/>
              <w:bottom w:val="nil"/>
              <w:right w:val="single" w:sz="2" w:space="0" w:color="auto"/>
            </w:tcBorders>
          </w:tcPr>
          <w:p w14:paraId="4AFC93CA" w14:textId="77777777" w:rsidR="002428A6" w:rsidRPr="00190046" w:rsidRDefault="002428A6" w:rsidP="00863311">
            <w:pPr>
              <w:pStyle w:val="Reference"/>
              <w:rPr>
                <w:rFonts w:cs="Calibri"/>
                <w:color w:val="7030A0"/>
                <w:sz w:val="14"/>
                <w:szCs w:val="14"/>
              </w:rPr>
            </w:pPr>
          </w:p>
        </w:tc>
        <w:tc>
          <w:tcPr>
            <w:tcW w:w="5867" w:type="dxa"/>
            <w:tcBorders>
              <w:top w:val="nil"/>
              <w:left w:val="single" w:sz="2" w:space="0" w:color="auto"/>
              <w:bottom w:val="nil"/>
              <w:right w:val="nil"/>
            </w:tcBorders>
            <w:vAlign w:val="bottom"/>
          </w:tcPr>
          <w:p w14:paraId="56BE92E2" w14:textId="77777777" w:rsidR="002428A6" w:rsidRPr="00CF7E1B" w:rsidRDefault="002428A6" w:rsidP="00863311">
            <w:pPr>
              <w:pStyle w:val="TableText"/>
              <w:tabs>
                <w:tab w:val="left" w:pos="3306"/>
              </w:tabs>
              <w:rPr>
                <w:rFonts w:cs="Calibri"/>
                <w:b/>
                <w:bCs/>
              </w:rPr>
            </w:pPr>
          </w:p>
        </w:tc>
        <w:tc>
          <w:tcPr>
            <w:tcW w:w="1593" w:type="dxa"/>
            <w:gridSpan w:val="2"/>
            <w:tcBorders>
              <w:top w:val="double" w:sz="4" w:space="0" w:color="auto"/>
              <w:left w:val="nil"/>
              <w:bottom w:val="nil"/>
              <w:right w:val="nil"/>
            </w:tcBorders>
            <w:vAlign w:val="bottom"/>
          </w:tcPr>
          <w:p w14:paraId="6815D485" w14:textId="77777777" w:rsidR="002428A6" w:rsidRPr="00CF7E1B" w:rsidRDefault="002428A6" w:rsidP="00863311">
            <w:pPr>
              <w:pStyle w:val="TableText"/>
              <w:tabs>
                <w:tab w:val="left" w:pos="3306"/>
              </w:tabs>
              <w:jc w:val="right"/>
              <w:rPr>
                <w:rFonts w:cs="Calibri"/>
                <w:b/>
                <w:bCs/>
              </w:rPr>
            </w:pPr>
          </w:p>
        </w:tc>
        <w:tc>
          <w:tcPr>
            <w:tcW w:w="1517" w:type="dxa"/>
            <w:gridSpan w:val="2"/>
            <w:tcBorders>
              <w:top w:val="double" w:sz="4" w:space="0" w:color="auto"/>
              <w:left w:val="nil"/>
              <w:bottom w:val="nil"/>
              <w:right w:val="nil"/>
            </w:tcBorders>
            <w:vAlign w:val="bottom"/>
          </w:tcPr>
          <w:p w14:paraId="2886EC27" w14:textId="77777777" w:rsidR="002428A6" w:rsidRPr="00CF7E1B" w:rsidRDefault="002428A6" w:rsidP="00863311">
            <w:pPr>
              <w:pStyle w:val="TableText"/>
              <w:tabs>
                <w:tab w:val="left" w:pos="3306"/>
              </w:tabs>
              <w:jc w:val="right"/>
              <w:rPr>
                <w:rFonts w:cs="Calibri"/>
                <w:b/>
                <w:bCs/>
              </w:rPr>
            </w:pPr>
          </w:p>
        </w:tc>
      </w:tr>
      <w:tr w:rsidR="002428A6" w:rsidRPr="00CF7E1B" w14:paraId="2798168B" w14:textId="77777777" w:rsidTr="00D919F2">
        <w:trPr>
          <w:cantSplit/>
          <w:trHeight w:val="23"/>
        </w:trPr>
        <w:tc>
          <w:tcPr>
            <w:tcW w:w="1563" w:type="dxa"/>
            <w:tcBorders>
              <w:top w:val="nil"/>
              <w:left w:val="single" w:sz="2" w:space="0" w:color="auto"/>
              <w:bottom w:val="nil"/>
              <w:right w:val="single" w:sz="2" w:space="0" w:color="auto"/>
            </w:tcBorders>
          </w:tcPr>
          <w:p w14:paraId="20C1A066" w14:textId="77777777" w:rsidR="002428A6" w:rsidRPr="00190046" w:rsidRDefault="002428A6" w:rsidP="00BA371C">
            <w:pPr>
              <w:pStyle w:val="Reference"/>
              <w:rPr>
                <w:rFonts w:cs="Calibri"/>
                <w:color w:val="7030A0"/>
                <w:sz w:val="14"/>
                <w:szCs w:val="14"/>
              </w:rPr>
            </w:pPr>
          </w:p>
        </w:tc>
        <w:tc>
          <w:tcPr>
            <w:tcW w:w="8977" w:type="dxa"/>
            <w:gridSpan w:val="5"/>
            <w:tcBorders>
              <w:top w:val="nil"/>
              <w:left w:val="single" w:sz="2" w:space="0" w:color="auto"/>
              <w:bottom w:val="nil"/>
              <w:right w:val="nil"/>
            </w:tcBorders>
            <w:vAlign w:val="bottom"/>
          </w:tcPr>
          <w:p w14:paraId="3F33217A" w14:textId="77777777" w:rsidR="002428A6" w:rsidRPr="00CF7E1B" w:rsidRDefault="002428A6" w:rsidP="00BA371C">
            <w:pPr>
              <w:pStyle w:val="TableText"/>
              <w:tabs>
                <w:tab w:val="left" w:pos="3306"/>
              </w:tabs>
              <w:jc w:val="right"/>
              <w:rPr>
                <w:rFonts w:cs="Calibri"/>
              </w:rPr>
            </w:pPr>
          </w:p>
        </w:tc>
      </w:tr>
      <w:tr w:rsidR="002428A6" w:rsidRPr="00CF7E1B" w14:paraId="1400D816" w14:textId="77777777" w:rsidTr="00D919F2">
        <w:trPr>
          <w:cantSplit/>
        </w:trPr>
        <w:tc>
          <w:tcPr>
            <w:tcW w:w="1563" w:type="dxa"/>
            <w:tcBorders>
              <w:top w:val="nil"/>
              <w:left w:val="single" w:sz="2" w:space="0" w:color="auto"/>
              <w:bottom w:val="nil"/>
              <w:right w:val="single" w:sz="2" w:space="0" w:color="auto"/>
            </w:tcBorders>
          </w:tcPr>
          <w:p w14:paraId="10A5A871" w14:textId="77777777" w:rsidR="002428A6" w:rsidRPr="00190046" w:rsidRDefault="002428A6" w:rsidP="00863311">
            <w:pPr>
              <w:pStyle w:val="TableReference"/>
              <w:spacing w:before="60"/>
              <w:rPr>
                <w:rFonts w:cs="Calibri"/>
                <w:color w:val="7030A0"/>
                <w:sz w:val="14"/>
              </w:rPr>
            </w:pPr>
          </w:p>
        </w:tc>
        <w:tc>
          <w:tcPr>
            <w:tcW w:w="8977" w:type="dxa"/>
            <w:gridSpan w:val="5"/>
            <w:tcBorders>
              <w:top w:val="nil"/>
              <w:left w:val="single" w:sz="2" w:space="0" w:color="auto"/>
              <w:bottom w:val="nil"/>
              <w:right w:val="nil"/>
            </w:tcBorders>
            <w:shd w:val="clear" w:color="auto" w:fill="7030A0"/>
          </w:tcPr>
          <w:p w14:paraId="3E3BB7A4" w14:textId="182652F1" w:rsidR="002428A6" w:rsidRPr="00190046" w:rsidRDefault="002428A6" w:rsidP="00F22D61">
            <w:pPr>
              <w:pStyle w:val="CommentaryTitle"/>
              <w:spacing w:before="0" w:after="240"/>
              <w:rPr>
                <w:rFonts w:cs="Calibri"/>
                <w:color w:val="FFFFFF" w:themeColor="background1"/>
                <w:sz w:val="28"/>
                <w:szCs w:val="28"/>
              </w:rPr>
            </w:pPr>
            <w:bookmarkStart w:id="984" w:name="_Toc163106425"/>
            <w:r w:rsidRPr="00190046">
              <w:rPr>
                <w:rFonts w:cs="Calibri"/>
                <w:color w:val="FFFFFF" w:themeColor="background1"/>
                <w:sz w:val="28"/>
                <w:szCs w:val="28"/>
              </w:rPr>
              <w:t xml:space="preserve">Commentary – Note </w:t>
            </w:r>
            <w:r w:rsidR="00E86853" w:rsidRPr="00190046">
              <w:rPr>
                <w:rFonts w:cs="Calibri"/>
                <w:color w:val="FFFFFF" w:themeColor="background1"/>
                <w:sz w:val="28"/>
                <w:szCs w:val="28"/>
              </w:rPr>
              <w:t>49</w:t>
            </w:r>
            <w:r w:rsidRPr="00190046">
              <w:rPr>
                <w:rFonts w:cs="Calibri"/>
                <w:color w:val="FFFFFF" w:themeColor="background1"/>
                <w:sz w:val="28"/>
                <w:szCs w:val="28"/>
              </w:rPr>
              <w:t>: Payables</w:t>
            </w:r>
            <w:r w:rsidR="00153DC2" w:rsidRPr="00190046">
              <w:rPr>
                <w:rFonts w:cs="Calibri"/>
                <w:color w:val="FFFFFF" w:themeColor="background1"/>
                <w:sz w:val="28"/>
                <w:szCs w:val="28"/>
              </w:rPr>
              <w:t xml:space="preserve"> and Contract Liabilities</w:t>
            </w:r>
            <w:r w:rsidRPr="00190046">
              <w:rPr>
                <w:rFonts w:cs="Calibri"/>
                <w:color w:val="FFFFFF" w:themeColor="background1"/>
                <w:sz w:val="28"/>
                <w:szCs w:val="28"/>
              </w:rPr>
              <w:t xml:space="preserve"> – Territorial</w:t>
            </w:r>
            <w:bookmarkEnd w:id="984"/>
          </w:p>
        </w:tc>
      </w:tr>
      <w:tr w:rsidR="006A7D2E" w:rsidRPr="00CF7E1B" w14:paraId="34FA1190" w14:textId="77777777" w:rsidTr="00D919F2">
        <w:trPr>
          <w:cantSplit/>
        </w:trPr>
        <w:tc>
          <w:tcPr>
            <w:tcW w:w="1563" w:type="dxa"/>
            <w:tcBorders>
              <w:top w:val="nil"/>
              <w:left w:val="single" w:sz="2" w:space="0" w:color="auto"/>
              <w:bottom w:val="nil"/>
              <w:right w:val="single" w:sz="2" w:space="0" w:color="auto"/>
            </w:tcBorders>
          </w:tcPr>
          <w:p w14:paraId="7F6E7EBC" w14:textId="77777777" w:rsidR="006A7D2E" w:rsidRPr="00190046" w:rsidRDefault="006A7D2E" w:rsidP="003E0E51">
            <w:pPr>
              <w:pStyle w:val="TableReference"/>
              <w:tabs>
                <w:tab w:val="left" w:pos="3306"/>
              </w:tabs>
              <w:spacing w:before="40"/>
              <w:rPr>
                <w:rFonts w:cs="Calibri"/>
                <w:color w:val="7030A0"/>
                <w:sz w:val="14"/>
              </w:rPr>
            </w:pPr>
            <w:r w:rsidRPr="00190046">
              <w:rPr>
                <w:rFonts w:cs="Calibri"/>
                <w:color w:val="7030A0"/>
                <w:sz w:val="14"/>
              </w:rPr>
              <w:t>ACT Disclosure Policy</w:t>
            </w:r>
          </w:p>
        </w:tc>
        <w:tc>
          <w:tcPr>
            <w:tcW w:w="8977" w:type="dxa"/>
            <w:gridSpan w:val="5"/>
            <w:tcBorders>
              <w:top w:val="nil"/>
              <w:left w:val="single" w:sz="2" w:space="0" w:color="auto"/>
              <w:bottom w:val="nil"/>
              <w:right w:val="nil"/>
            </w:tcBorders>
            <w:shd w:val="clear" w:color="auto" w:fill="7030A0"/>
            <w:vAlign w:val="bottom"/>
          </w:tcPr>
          <w:p w14:paraId="4D00DBB8" w14:textId="77777777" w:rsidR="006A7D2E" w:rsidRPr="00190046" w:rsidRDefault="006A7D2E" w:rsidP="003E0E51">
            <w:pPr>
              <w:pStyle w:val="CommentaryText"/>
              <w:rPr>
                <w:rFonts w:cs="Calibri"/>
                <w:color w:val="FFFFFF" w:themeColor="background1"/>
                <w:sz w:val="18"/>
                <w:szCs w:val="18"/>
              </w:rPr>
            </w:pPr>
            <w:r w:rsidRPr="00190046">
              <w:rPr>
                <w:rFonts w:cs="Calibri"/>
                <w:color w:val="FFFFFF" w:themeColor="background1"/>
                <w:sz w:val="18"/>
                <w:szCs w:val="18"/>
              </w:rPr>
              <w:t xml:space="preserve">An agency is not required to include disclosures associated with ageing of their payables where no payables are overdue. They can simply state that ‘No payables are overdue.’ </w:t>
            </w:r>
          </w:p>
        </w:tc>
      </w:tr>
      <w:tr w:rsidR="006A7D2E" w:rsidRPr="00CF7E1B" w14:paraId="13F8594E" w14:textId="77777777" w:rsidTr="00D919F2">
        <w:trPr>
          <w:cantSplit/>
        </w:trPr>
        <w:tc>
          <w:tcPr>
            <w:tcW w:w="1563" w:type="dxa"/>
            <w:tcBorders>
              <w:top w:val="nil"/>
              <w:left w:val="single" w:sz="2" w:space="0" w:color="auto"/>
              <w:bottom w:val="nil"/>
              <w:right w:val="single" w:sz="2" w:space="0" w:color="auto"/>
            </w:tcBorders>
            <w:vAlign w:val="bottom"/>
          </w:tcPr>
          <w:p w14:paraId="7880947B" w14:textId="77777777" w:rsidR="006A7D2E" w:rsidRPr="00190046" w:rsidRDefault="006A7D2E" w:rsidP="00863311">
            <w:pPr>
              <w:pStyle w:val="TableReference"/>
              <w:tabs>
                <w:tab w:val="left" w:pos="3306"/>
              </w:tabs>
              <w:rPr>
                <w:rFonts w:cs="Calibri"/>
                <w:color w:val="7030A0"/>
                <w:sz w:val="14"/>
              </w:rPr>
            </w:pPr>
          </w:p>
        </w:tc>
        <w:tc>
          <w:tcPr>
            <w:tcW w:w="8977" w:type="dxa"/>
            <w:gridSpan w:val="5"/>
            <w:tcBorders>
              <w:top w:val="nil"/>
              <w:left w:val="single" w:sz="2" w:space="0" w:color="auto"/>
              <w:bottom w:val="nil"/>
              <w:right w:val="nil"/>
            </w:tcBorders>
            <w:shd w:val="clear" w:color="auto" w:fill="7030A0"/>
            <w:vAlign w:val="bottom"/>
          </w:tcPr>
          <w:p w14:paraId="77CD2459" w14:textId="05ABDCA3" w:rsidR="006A7D2E" w:rsidRPr="00190046" w:rsidRDefault="006A7D2E" w:rsidP="00B475FD">
            <w:pPr>
              <w:pStyle w:val="CommentaryText"/>
              <w:rPr>
                <w:rFonts w:cs="Calibri"/>
                <w:color w:val="FFFFFF" w:themeColor="background1"/>
                <w:sz w:val="18"/>
                <w:szCs w:val="18"/>
              </w:rPr>
            </w:pPr>
            <w:r w:rsidRPr="00190046">
              <w:rPr>
                <w:rFonts w:cs="Calibri"/>
                <w:color w:val="FFFFFF" w:themeColor="background1"/>
                <w:sz w:val="18"/>
                <w:szCs w:val="18"/>
              </w:rPr>
              <w:t xml:space="preserve">The agency has a net GST Receivable that is shown in Note </w:t>
            </w:r>
            <w:r w:rsidR="00E86853" w:rsidRPr="00190046">
              <w:rPr>
                <w:rFonts w:cs="Calibri"/>
                <w:color w:val="FFFFFF" w:themeColor="background1"/>
                <w:sz w:val="18"/>
                <w:szCs w:val="18"/>
              </w:rPr>
              <w:t>47</w:t>
            </w:r>
            <w:r w:rsidR="00DD6620" w:rsidRPr="00190046">
              <w:rPr>
                <w:rFonts w:cs="Calibri"/>
                <w:color w:val="FFFFFF" w:themeColor="background1"/>
                <w:sz w:val="18"/>
                <w:szCs w:val="18"/>
              </w:rPr>
              <w:t xml:space="preserve"> </w:t>
            </w:r>
            <w:r w:rsidRPr="00190046">
              <w:rPr>
                <w:rFonts w:cs="Calibri"/>
                <w:i/>
                <w:color w:val="FFFFFF" w:themeColor="background1"/>
                <w:sz w:val="18"/>
                <w:szCs w:val="18"/>
              </w:rPr>
              <w:t>Receivables</w:t>
            </w:r>
            <w:r w:rsidR="0035272C" w:rsidRPr="00190046">
              <w:rPr>
                <w:rFonts w:cs="Calibri"/>
                <w:i/>
                <w:color w:val="FFFFFF" w:themeColor="background1"/>
                <w:sz w:val="18"/>
                <w:szCs w:val="18"/>
              </w:rPr>
              <w:t xml:space="preserve"> and Contract Assets</w:t>
            </w:r>
            <w:r w:rsidRPr="00190046">
              <w:rPr>
                <w:rFonts w:cs="Calibri"/>
                <w:i/>
                <w:color w:val="FFFFFF" w:themeColor="background1"/>
                <w:sz w:val="18"/>
                <w:szCs w:val="18"/>
              </w:rPr>
              <w:t xml:space="preserve"> - Territorial</w:t>
            </w:r>
            <w:r w:rsidRPr="00190046">
              <w:rPr>
                <w:rFonts w:cs="Calibri"/>
                <w:color w:val="FFFFFF" w:themeColor="background1"/>
                <w:sz w:val="18"/>
                <w:szCs w:val="18"/>
              </w:rPr>
              <w:t>.</w:t>
            </w:r>
            <w:r w:rsidR="00FA7C77">
              <w:rPr>
                <w:rFonts w:cs="Calibri"/>
                <w:color w:val="FFFFFF" w:themeColor="background1"/>
                <w:sz w:val="18"/>
                <w:szCs w:val="18"/>
              </w:rPr>
              <w:t xml:space="preserve"> </w:t>
            </w:r>
            <w:r w:rsidRPr="00190046">
              <w:rPr>
                <w:rFonts w:cs="Calibri"/>
                <w:color w:val="FFFFFF" w:themeColor="background1"/>
                <w:sz w:val="18"/>
                <w:szCs w:val="18"/>
              </w:rPr>
              <w:t>In most cases agencies will have a net GST Receivable.</w:t>
            </w:r>
            <w:r w:rsidR="00FA7C77">
              <w:rPr>
                <w:rFonts w:cs="Calibri"/>
                <w:color w:val="FFFFFF" w:themeColor="background1"/>
                <w:sz w:val="18"/>
                <w:szCs w:val="18"/>
              </w:rPr>
              <w:t xml:space="preserve"> </w:t>
            </w:r>
            <w:r w:rsidRPr="00190046">
              <w:rPr>
                <w:rFonts w:cs="Calibri"/>
                <w:color w:val="FFFFFF" w:themeColor="background1"/>
                <w:sz w:val="18"/>
                <w:szCs w:val="18"/>
              </w:rPr>
              <w:t>However, if a net GST Payable arises then this amount would be disclosed in this Payables</w:t>
            </w:r>
            <w:r w:rsidR="001A06B7" w:rsidRPr="00190046">
              <w:rPr>
                <w:rFonts w:cs="Calibri"/>
                <w:color w:val="FFFFFF" w:themeColor="background1"/>
                <w:sz w:val="18"/>
                <w:szCs w:val="18"/>
              </w:rPr>
              <w:t xml:space="preserve"> and Contract Liabilities</w:t>
            </w:r>
            <w:r w:rsidRPr="00190046">
              <w:rPr>
                <w:rFonts w:cs="Calibri"/>
                <w:color w:val="FFFFFF" w:themeColor="background1"/>
                <w:sz w:val="18"/>
                <w:szCs w:val="18"/>
              </w:rPr>
              <w:t xml:space="preserve"> note.</w:t>
            </w:r>
            <w:r w:rsidR="00FA7C77">
              <w:rPr>
                <w:rFonts w:cs="Calibri"/>
                <w:color w:val="FFFFFF" w:themeColor="background1"/>
                <w:sz w:val="18"/>
                <w:szCs w:val="18"/>
              </w:rPr>
              <w:t xml:space="preserve"> </w:t>
            </w:r>
          </w:p>
        </w:tc>
      </w:tr>
      <w:tr w:rsidR="006A7D2E" w:rsidRPr="00CF7E1B" w14:paraId="7FE3B387" w14:textId="77777777" w:rsidTr="00D919F2">
        <w:trPr>
          <w:cantSplit/>
        </w:trPr>
        <w:tc>
          <w:tcPr>
            <w:tcW w:w="1563" w:type="dxa"/>
            <w:tcBorders>
              <w:top w:val="nil"/>
              <w:left w:val="single" w:sz="2" w:space="0" w:color="auto"/>
              <w:bottom w:val="nil"/>
              <w:right w:val="single" w:sz="2" w:space="0" w:color="auto"/>
            </w:tcBorders>
          </w:tcPr>
          <w:p w14:paraId="3986B943" w14:textId="77777777" w:rsidR="006A7D2E" w:rsidRPr="00190046" w:rsidRDefault="006A7D2E" w:rsidP="00863311">
            <w:pPr>
              <w:pStyle w:val="TableReference"/>
              <w:spacing w:before="60"/>
              <w:rPr>
                <w:rFonts w:cs="Calibri"/>
                <w:color w:val="7030A0"/>
                <w:sz w:val="14"/>
              </w:rPr>
            </w:pPr>
            <w:r w:rsidRPr="00190046">
              <w:rPr>
                <w:rFonts w:cs="Calibri"/>
                <w:color w:val="7030A0"/>
                <w:sz w:val="14"/>
              </w:rPr>
              <w:t>Government Procurement Act Section 44 &amp; 45</w:t>
            </w:r>
          </w:p>
        </w:tc>
        <w:tc>
          <w:tcPr>
            <w:tcW w:w="8977" w:type="dxa"/>
            <w:gridSpan w:val="5"/>
            <w:tcBorders>
              <w:top w:val="nil"/>
              <w:left w:val="single" w:sz="2" w:space="0" w:color="auto"/>
              <w:bottom w:val="nil"/>
              <w:right w:val="nil"/>
            </w:tcBorders>
            <w:shd w:val="clear" w:color="auto" w:fill="7030A0"/>
          </w:tcPr>
          <w:p w14:paraId="007E1476" w14:textId="04F6AC80" w:rsidR="006A7D2E" w:rsidRPr="00190046" w:rsidRDefault="006A7D2E" w:rsidP="00863311">
            <w:pPr>
              <w:pStyle w:val="TableText"/>
              <w:spacing w:after="120"/>
              <w:jc w:val="both"/>
              <w:rPr>
                <w:rFonts w:cs="Calibri"/>
                <w:color w:val="FFFFFF" w:themeColor="background1"/>
              </w:rPr>
            </w:pPr>
            <w:r w:rsidRPr="00190046">
              <w:rPr>
                <w:rFonts w:cs="Calibri"/>
                <w:color w:val="FFFFFF" w:themeColor="background1"/>
              </w:rPr>
              <w:t xml:space="preserve">The </w:t>
            </w:r>
            <w:r w:rsidRPr="00190046">
              <w:rPr>
                <w:rFonts w:cs="Calibri"/>
                <w:i/>
                <w:iCs/>
                <w:color w:val="FFFFFF" w:themeColor="background1"/>
              </w:rPr>
              <w:t>Government Procurement Act 2001</w:t>
            </w:r>
            <w:r w:rsidRPr="00190046">
              <w:rPr>
                <w:rFonts w:cs="Calibri"/>
                <w:color w:val="FFFFFF" w:themeColor="background1"/>
              </w:rPr>
              <w:t xml:space="preserve"> requires interest to be paid where a commercial account is not paid in full by the 25</w:t>
            </w:r>
            <w:r w:rsidRPr="00190046">
              <w:rPr>
                <w:rFonts w:cs="Calibri"/>
                <w:color w:val="FFFFFF" w:themeColor="background1"/>
                <w:vertAlign w:val="superscript"/>
              </w:rPr>
              <w:t>th</w:t>
            </w:r>
            <w:r w:rsidRPr="00190046">
              <w:rPr>
                <w:rFonts w:cs="Calibri"/>
                <w:color w:val="FFFFFF" w:themeColor="background1"/>
              </w:rPr>
              <w:t xml:space="preserve"> day of the month after the month in which the payment is due.</w:t>
            </w:r>
            <w:r w:rsidR="00FA7C77">
              <w:rPr>
                <w:rFonts w:cs="Calibri"/>
                <w:color w:val="FFFFFF" w:themeColor="background1"/>
              </w:rPr>
              <w:t xml:space="preserve"> </w:t>
            </w:r>
            <w:r w:rsidRPr="00190046">
              <w:rPr>
                <w:rFonts w:cs="Calibri"/>
                <w:color w:val="FFFFFF" w:themeColor="background1"/>
              </w:rPr>
              <w:t>Therefore agencies should ensure accounts are paid before interest becomes payable.</w:t>
            </w:r>
            <w:r w:rsidR="00FA7C77">
              <w:rPr>
                <w:rFonts w:cs="Calibri"/>
                <w:color w:val="FFFFFF" w:themeColor="background1"/>
              </w:rPr>
              <w:t xml:space="preserve"> </w:t>
            </w:r>
          </w:p>
        </w:tc>
      </w:tr>
    </w:tbl>
    <w:p w14:paraId="7406BA31" w14:textId="77777777" w:rsidR="006B468D" w:rsidRDefault="006B468D">
      <w:r>
        <w:br w:type="page"/>
      </w:r>
    </w:p>
    <w:tbl>
      <w:tblPr>
        <w:tblW w:w="5000"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3114"/>
        <w:gridCol w:w="2267"/>
        <w:gridCol w:w="457"/>
        <w:gridCol w:w="114"/>
        <w:gridCol w:w="1507"/>
        <w:gridCol w:w="48"/>
        <w:gridCol w:w="1422"/>
        <w:gridCol w:w="53"/>
      </w:tblGrid>
      <w:tr w:rsidR="00FF2606" w:rsidRPr="00CF7E1B" w14:paraId="48CE0606" w14:textId="77777777" w:rsidTr="00D919F2">
        <w:trPr>
          <w:trHeight w:val="23"/>
        </w:trPr>
        <w:tc>
          <w:tcPr>
            <w:tcW w:w="1562" w:type="dxa"/>
            <w:tcBorders>
              <w:top w:val="nil"/>
              <w:left w:val="single" w:sz="2" w:space="0" w:color="auto"/>
              <w:bottom w:val="nil"/>
              <w:right w:val="single" w:sz="2" w:space="0" w:color="auto"/>
            </w:tcBorders>
          </w:tcPr>
          <w:p w14:paraId="4C52E557" w14:textId="6CFE54C3" w:rsidR="00FF2606" w:rsidRPr="00190046" w:rsidRDefault="00190046" w:rsidP="00190046">
            <w:pPr>
              <w:pStyle w:val="TableReference"/>
              <w:tabs>
                <w:tab w:val="left" w:pos="3306"/>
              </w:tabs>
              <w:spacing w:before="240" w:after="240"/>
              <w:rPr>
                <w:rFonts w:cs="Calibri"/>
                <w:color w:val="7030A0"/>
                <w:sz w:val="16"/>
                <w:szCs w:val="16"/>
              </w:rPr>
            </w:pPr>
            <w:r w:rsidRPr="00190046">
              <w:rPr>
                <w:rFonts w:asciiTheme="minorHAnsi" w:hAnsiTheme="minorHAnsi" w:cstheme="minorHAnsi"/>
                <w:b/>
                <w:bCs/>
                <w:color w:val="7030A0"/>
                <w:sz w:val="22"/>
                <w:szCs w:val="22"/>
              </w:rPr>
              <w:t>Reference</w:t>
            </w:r>
          </w:p>
        </w:tc>
        <w:tc>
          <w:tcPr>
            <w:tcW w:w="8982" w:type="dxa"/>
            <w:gridSpan w:val="8"/>
            <w:tcBorders>
              <w:top w:val="nil"/>
              <w:left w:val="single" w:sz="2" w:space="0" w:color="auto"/>
              <w:bottom w:val="nil"/>
              <w:right w:val="nil"/>
            </w:tcBorders>
            <w:vAlign w:val="bottom"/>
          </w:tcPr>
          <w:p w14:paraId="233524B5" w14:textId="085A4B8C" w:rsidR="00FF2606" w:rsidRPr="00190046" w:rsidRDefault="00FF2606" w:rsidP="009A0F2F">
            <w:pPr>
              <w:pStyle w:val="Heading1"/>
              <w:numPr>
                <w:ilvl w:val="0"/>
                <w:numId w:val="0"/>
              </w:numPr>
            </w:pPr>
            <w:bookmarkStart w:id="985" w:name="_Toc98763208"/>
            <w:r w:rsidRPr="00190046">
              <w:t xml:space="preserve">Note </w:t>
            </w:r>
            <w:r w:rsidR="00DD6620" w:rsidRPr="00190046">
              <w:t>5</w:t>
            </w:r>
            <w:r w:rsidR="00D95A93" w:rsidRPr="00190046">
              <w:t>0</w:t>
            </w:r>
            <w:r w:rsidRPr="00190046">
              <w:t>.</w:t>
            </w:r>
            <w:r w:rsidR="00FA7C77">
              <w:t xml:space="preserve"> </w:t>
            </w:r>
            <w:r w:rsidRPr="00190046">
              <w:t xml:space="preserve"> Other Provisions – Territorial</w:t>
            </w:r>
            <w:bookmarkEnd w:id="985"/>
          </w:p>
        </w:tc>
      </w:tr>
      <w:tr w:rsidR="00FF2606" w:rsidRPr="00CF7E1B" w14:paraId="5B11C52C" w14:textId="77777777" w:rsidTr="00D919F2">
        <w:trPr>
          <w:trHeight w:val="23"/>
        </w:trPr>
        <w:tc>
          <w:tcPr>
            <w:tcW w:w="1562" w:type="dxa"/>
            <w:tcBorders>
              <w:top w:val="nil"/>
              <w:left w:val="single" w:sz="2" w:space="0" w:color="auto"/>
              <w:bottom w:val="nil"/>
              <w:right w:val="single" w:sz="2" w:space="0" w:color="auto"/>
            </w:tcBorders>
          </w:tcPr>
          <w:p w14:paraId="22C9FEF4" w14:textId="77777777" w:rsidR="00FF2606" w:rsidRPr="00DE11FF" w:rsidRDefault="00FF2606" w:rsidP="009A0F2F">
            <w:pPr>
              <w:pStyle w:val="TableReference"/>
              <w:tabs>
                <w:tab w:val="left" w:pos="3306"/>
              </w:tabs>
              <w:spacing w:before="40"/>
              <w:rPr>
                <w:rFonts w:cs="Calibri"/>
                <w:color w:val="auto"/>
                <w:sz w:val="16"/>
                <w:szCs w:val="16"/>
              </w:rPr>
            </w:pPr>
          </w:p>
        </w:tc>
        <w:tc>
          <w:tcPr>
            <w:tcW w:w="8982" w:type="dxa"/>
            <w:gridSpan w:val="8"/>
            <w:tcBorders>
              <w:top w:val="nil"/>
              <w:left w:val="single" w:sz="2" w:space="0" w:color="auto"/>
              <w:bottom w:val="nil"/>
              <w:right w:val="nil"/>
            </w:tcBorders>
            <w:vAlign w:val="bottom"/>
          </w:tcPr>
          <w:p w14:paraId="19909787" w14:textId="2D3D83E1" w:rsidR="00FF2606" w:rsidRPr="00190046" w:rsidRDefault="009E2543" w:rsidP="009E2543">
            <w:pPr>
              <w:pStyle w:val="TableText"/>
              <w:tabs>
                <w:tab w:val="left" w:pos="3306"/>
              </w:tabs>
              <w:rPr>
                <w:rFonts w:cs="Calibri"/>
              </w:rPr>
            </w:pPr>
            <w:r w:rsidRPr="00190046">
              <w:rPr>
                <w:b/>
                <w:bCs/>
              </w:rPr>
              <w:t xml:space="preserve">Description and Material Accounting Policies Relating to Other Provisions </w:t>
            </w:r>
            <w:r w:rsidR="006B468D">
              <w:rPr>
                <w:b/>
                <w:bCs/>
              </w:rPr>
              <w:t>–</w:t>
            </w:r>
            <w:r w:rsidRPr="00190046">
              <w:rPr>
                <w:b/>
                <w:bCs/>
              </w:rPr>
              <w:t xml:space="preserve"> Territorial</w:t>
            </w:r>
            <w:r w:rsidR="006B468D">
              <w:rPr>
                <w:b/>
                <w:bCs/>
              </w:rPr>
              <w:t xml:space="preserve"> </w:t>
            </w:r>
          </w:p>
        </w:tc>
      </w:tr>
      <w:tr w:rsidR="00A6415E" w:rsidRPr="00CF7E1B" w14:paraId="191FFF06" w14:textId="77777777" w:rsidTr="00D919F2">
        <w:trPr>
          <w:trHeight w:val="23"/>
        </w:trPr>
        <w:tc>
          <w:tcPr>
            <w:tcW w:w="1562" w:type="dxa"/>
            <w:tcBorders>
              <w:top w:val="nil"/>
              <w:left w:val="single" w:sz="2" w:space="0" w:color="auto"/>
              <w:bottom w:val="nil"/>
              <w:right w:val="single" w:sz="2" w:space="0" w:color="auto"/>
            </w:tcBorders>
          </w:tcPr>
          <w:p w14:paraId="2B5D9B9A" w14:textId="77777777" w:rsidR="00A6415E" w:rsidRPr="00DE11FF" w:rsidRDefault="00A6415E" w:rsidP="009A0F2F">
            <w:pPr>
              <w:pStyle w:val="TableReference"/>
              <w:tabs>
                <w:tab w:val="left" w:pos="3306"/>
              </w:tabs>
              <w:spacing w:before="40"/>
              <w:rPr>
                <w:rFonts w:cs="Calibri"/>
                <w:color w:val="auto"/>
                <w:sz w:val="16"/>
                <w:szCs w:val="16"/>
              </w:rPr>
            </w:pPr>
          </w:p>
        </w:tc>
        <w:tc>
          <w:tcPr>
            <w:tcW w:w="8982" w:type="dxa"/>
            <w:gridSpan w:val="8"/>
            <w:tcBorders>
              <w:top w:val="nil"/>
              <w:left w:val="single" w:sz="2" w:space="0" w:color="auto"/>
              <w:bottom w:val="nil"/>
              <w:right w:val="nil"/>
            </w:tcBorders>
            <w:vAlign w:val="bottom"/>
          </w:tcPr>
          <w:p w14:paraId="41273B70" w14:textId="7922A94D" w:rsidR="00A6415E" w:rsidRPr="00190046" w:rsidRDefault="00A6415E" w:rsidP="009E2543">
            <w:pPr>
              <w:pStyle w:val="TableText"/>
              <w:tabs>
                <w:tab w:val="left" w:pos="3306"/>
              </w:tabs>
              <w:jc w:val="both"/>
              <w:rPr>
                <w:i/>
                <w:iCs/>
              </w:rPr>
            </w:pPr>
            <w:r w:rsidRPr="00190046">
              <w:rPr>
                <w:rFonts w:cs="Calibri"/>
                <w:i/>
                <w:iCs/>
              </w:rPr>
              <w:t>Provision for Refund of Taxes</w:t>
            </w:r>
          </w:p>
        </w:tc>
      </w:tr>
      <w:tr w:rsidR="009E2543" w:rsidRPr="00CF7E1B" w14:paraId="3906CF76" w14:textId="77777777" w:rsidTr="00D919F2">
        <w:trPr>
          <w:trHeight w:val="23"/>
        </w:trPr>
        <w:tc>
          <w:tcPr>
            <w:tcW w:w="1562" w:type="dxa"/>
            <w:tcBorders>
              <w:top w:val="nil"/>
              <w:left w:val="single" w:sz="2" w:space="0" w:color="auto"/>
              <w:bottom w:val="nil"/>
              <w:right w:val="single" w:sz="2" w:space="0" w:color="auto"/>
            </w:tcBorders>
          </w:tcPr>
          <w:p w14:paraId="158A5B99" w14:textId="77777777" w:rsidR="009E2543" w:rsidRPr="00DE11FF" w:rsidRDefault="009E2543" w:rsidP="009A0F2F">
            <w:pPr>
              <w:pStyle w:val="TableReference"/>
              <w:tabs>
                <w:tab w:val="left" w:pos="3306"/>
              </w:tabs>
              <w:spacing w:before="40"/>
              <w:rPr>
                <w:rFonts w:cs="Calibri"/>
                <w:color w:val="auto"/>
                <w:sz w:val="16"/>
                <w:szCs w:val="16"/>
              </w:rPr>
            </w:pPr>
          </w:p>
        </w:tc>
        <w:tc>
          <w:tcPr>
            <w:tcW w:w="8982" w:type="dxa"/>
            <w:gridSpan w:val="8"/>
            <w:tcBorders>
              <w:top w:val="nil"/>
              <w:left w:val="single" w:sz="2" w:space="0" w:color="auto"/>
              <w:bottom w:val="nil"/>
              <w:right w:val="nil"/>
            </w:tcBorders>
            <w:vAlign w:val="bottom"/>
          </w:tcPr>
          <w:p w14:paraId="77E8CCD4" w14:textId="3BF69326" w:rsidR="009E2543" w:rsidRPr="00190046" w:rsidRDefault="009E2543" w:rsidP="009E2543">
            <w:pPr>
              <w:pStyle w:val="TableText"/>
              <w:tabs>
                <w:tab w:val="left" w:pos="3306"/>
              </w:tabs>
              <w:jc w:val="both"/>
            </w:pPr>
            <w:r w:rsidRPr="00190046">
              <w:t>The Agency receives taxes from the ACT Government, Non-Government Entities and individuals.</w:t>
            </w:r>
            <w:r w:rsidR="00FA7C77">
              <w:t xml:space="preserve"> </w:t>
            </w:r>
            <w:r w:rsidRPr="00190046">
              <w:t xml:space="preserve">In some circumstances, taxes are </w:t>
            </w:r>
            <w:r w:rsidR="006222F7" w:rsidRPr="00190046">
              <w:t>overpaid</w:t>
            </w:r>
            <w:r w:rsidRPr="00190046">
              <w:t xml:space="preserve"> by taxpayers.</w:t>
            </w:r>
            <w:r w:rsidR="00FA7C77">
              <w:t xml:space="preserve"> </w:t>
            </w:r>
            <w:r w:rsidR="00A6415E" w:rsidRPr="00190046">
              <w:rPr>
                <w:rFonts w:cs="Calibri"/>
              </w:rPr>
              <w:t xml:space="preserve">The </w:t>
            </w:r>
            <w:r w:rsidR="00D36DC0" w:rsidRPr="00190046">
              <w:rPr>
                <w:rFonts w:cs="Calibri"/>
              </w:rPr>
              <w:t>P</w:t>
            </w:r>
            <w:r w:rsidR="00A6415E" w:rsidRPr="00190046">
              <w:rPr>
                <w:rFonts w:cs="Calibri"/>
              </w:rPr>
              <w:t xml:space="preserve">rovision </w:t>
            </w:r>
            <w:r w:rsidR="00D36DC0" w:rsidRPr="00190046">
              <w:rPr>
                <w:rFonts w:cs="Calibri"/>
              </w:rPr>
              <w:t xml:space="preserve">for </w:t>
            </w:r>
            <w:r w:rsidR="00A6415E" w:rsidRPr="00190046">
              <w:rPr>
                <w:rFonts w:cs="Calibri"/>
              </w:rPr>
              <w:t>Refund of Taxes is recognised at the point in time when the overpayment is realised.</w:t>
            </w:r>
          </w:p>
        </w:tc>
      </w:tr>
      <w:tr w:rsidR="009E2543" w:rsidRPr="00CF7E1B" w14:paraId="4B1FE204" w14:textId="77777777" w:rsidTr="00D919F2">
        <w:trPr>
          <w:trHeight w:val="23"/>
        </w:trPr>
        <w:tc>
          <w:tcPr>
            <w:tcW w:w="1562" w:type="dxa"/>
            <w:tcBorders>
              <w:top w:val="nil"/>
              <w:left w:val="single" w:sz="2" w:space="0" w:color="auto"/>
              <w:bottom w:val="nil"/>
              <w:right w:val="single" w:sz="2" w:space="0" w:color="auto"/>
            </w:tcBorders>
          </w:tcPr>
          <w:p w14:paraId="1FF8415D" w14:textId="77777777" w:rsidR="009E2543" w:rsidRPr="00DE11FF" w:rsidRDefault="009E2543" w:rsidP="009A0F2F">
            <w:pPr>
              <w:pStyle w:val="TableReference"/>
              <w:tabs>
                <w:tab w:val="left" w:pos="3306"/>
              </w:tabs>
              <w:spacing w:before="40"/>
              <w:rPr>
                <w:rFonts w:cs="Calibri"/>
                <w:color w:val="auto"/>
                <w:sz w:val="16"/>
                <w:szCs w:val="16"/>
              </w:rPr>
            </w:pPr>
          </w:p>
        </w:tc>
        <w:tc>
          <w:tcPr>
            <w:tcW w:w="8982" w:type="dxa"/>
            <w:gridSpan w:val="8"/>
            <w:tcBorders>
              <w:top w:val="nil"/>
              <w:left w:val="single" w:sz="2" w:space="0" w:color="auto"/>
              <w:bottom w:val="nil"/>
              <w:right w:val="nil"/>
            </w:tcBorders>
            <w:vAlign w:val="bottom"/>
          </w:tcPr>
          <w:p w14:paraId="11F04F53" w14:textId="77777777" w:rsidR="009E2543" w:rsidRPr="00190046" w:rsidRDefault="009E2543" w:rsidP="009E2543">
            <w:pPr>
              <w:pStyle w:val="TableText"/>
              <w:tabs>
                <w:tab w:val="left" w:pos="3306"/>
              </w:tabs>
              <w:jc w:val="both"/>
            </w:pPr>
          </w:p>
        </w:tc>
      </w:tr>
      <w:tr w:rsidR="0087202A" w:rsidRPr="00CF7E1B" w14:paraId="7E1C4CBF" w14:textId="2722F205" w:rsidTr="00D919F2">
        <w:trPr>
          <w:trHeight w:val="23"/>
        </w:trPr>
        <w:tc>
          <w:tcPr>
            <w:tcW w:w="1562" w:type="dxa"/>
            <w:tcBorders>
              <w:top w:val="nil"/>
              <w:left w:val="single" w:sz="2" w:space="0" w:color="auto"/>
              <w:bottom w:val="nil"/>
              <w:right w:val="single" w:sz="2" w:space="0" w:color="auto"/>
            </w:tcBorders>
          </w:tcPr>
          <w:p w14:paraId="184B2B3F" w14:textId="77777777" w:rsidR="0087202A" w:rsidRPr="00DE11FF" w:rsidRDefault="0087202A" w:rsidP="0087202A">
            <w:pPr>
              <w:pStyle w:val="TableReference"/>
              <w:tabs>
                <w:tab w:val="left" w:pos="3306"/>
              </w:tabs>
              <w:spacing w:before="40"/>
              <w:rPr>
                <w:rFonts w:cs="Calibri"/>
                <w:color w:val="auto"/>
                <w:sz w:val="16"/>
                <w:szCs w:val="16"/>
              </w:rPr>
            </w:pPr>
          </w:p>
        </w:tc>
        <w:tc>
          <w:tcPr>
            <w:tcW w:w="5838" w:type="dxa"/>
            <w:gridSpan w:val="3"/>
            <w:tcBorders>
              <w:top w:val="nil"/>
              <w:left w:val="single" w:sz="2" w:space="0" w:color="auto"/>
              <w:bottom w:val="nil"/>
              <w:right w:val="nil"/>
            </w:tcBorders>
            <w:vAlign w:val="bottom"/>
          </w:tcPr>
          <w:p w14:paraId="16C6CC5B" w14:textId="2730C459" w:rsidR="0087202A" w:rsidRPr="00190046" w:rsidRDefault="0087202A" w:rsidP="0087202A">
            <w:pPr>
              <w:pStyle w:val="TableText"/>
              <w:tabs>
                <w:tab w:val="left" w:pos="3306"/>
              </w:tabs>
              <w:rPr>
                <w:rFonts w:cs="Calibri"/>
                <w:b/>
                <w:bCs/>
              </w:rPr>
            </w:pPr>
          </w:p>
        </w:tc>
        <w:tc>
          <w:tcPr>
            <w:tcW w:w="1621" w:type="dxa"/>
            <w:gridSpan w:val="2"/>
            <w:tcBorders>
              <w:top w:val="nil"/>
              <w:left w:val="nil"/>
              <w:bottom w:val="nil"/>
              <w:right w:val="nil"/>
            </w:tcBorders>
          </w:tcPr>
          <w:p w14:paraId="2DC38505" w14:textId="77777777" w:rsidR="0087202A" w:rsidRPr="00190046" w:rsidRDefault="0087202A" w:rsidP="0087202A">
            <w:pPr>
              <w:pStyle w:val="TableTitle"/>
              <w:tabs>
                <w:tab w:val="left" w:pos="3306"/>
              </w:tabs>
              <w:rPr>
                <w:rFonts w:cs="Calibri"/>
                <w:szCs w:val="16"/>
              </w:rPr>
            </w:pPr>
            <w:r w:rsidRPr="00190046">
              <w:rPr>
                <w:rFonts w:cs="Calibri"/>
              </w:rPr>
              <w:t>2022</w:t>
            </w:r>
            <w:r w:rsidRPr="00190046">
              <w:rPr>
                <w:rFonts w:cs="Calibri"/>
                <w:szCs w:val="16"/>
              </w:rPr>
              <w:t xml:space="preserve"> </w:t>
            </w:r>
          </w:p>
          <w:p w14:paraId="639A88F0" w14:textId="40D2D45D" w:rsidR="0087202A" w:rsidRPr="00190046" w:rsidRDefault="0087202A" w:rsidP="0087202A">
            <w:pPr>
              <w:pStyle w:val="TableText"/>
              <w:tabs>
                <w:tab w:val="left" w:pos="3306"/>
              </w:tabs>
              <w:jc w:val="right"/>
              <w:rPr>
                <w:rFonts w:cs="Calibri"/>
              </w:rPr>
            </w:pPr>
            <w:r w:rsidRPr="00190046">
              <w:rPr>
                <w:rFonts w:cs="Calibri"/>
                <w:b/>
                <w:bCs/>
                <w:szCs w:val="16"/>
              </w:rPr>
              <w:t>$’000</w:t>
            </w:r>
          </w:p>
        </w:tc>
        <w:tc>
          <w:tcPr>
            <w:tcW w:w="1523" w:type="dxa"/>
            <w:gridSpan w:val="3"/>
            <w:tcBorders>
              <w:top w:val="nil"/>
              <w:left w:val="nil"/>
              <w:bottom w:val="nil"/>
              <w:right w:val="nil"/>
            </w:tcBorders>
          </w:tcPr>
          <w:p w14:paraId="11A58552" w14:textId="58C74CB3" w:rsidR="0087202A" w:rsidRPr="00190046" w:rsidRDefault="0087202A" w:rsidP="0087202A">
            <w:pPr>
              <w:pStyle w:val="TableTitle"/>
              <w:tabs>
                <w:tab w:val="left" w:pos="3306"/>
              </w:tabs>
              <w:rPr>
                <w:rFonts w:cs="Calibri"/>
                <w:szCs w:val="16"/>
              </w:rPr>
            </w:pPr>
            <w:r w:rsidRPr="00190046">
              <w:rPr>
                <w:rFonts w:cs="Calibri"/>
              </w:rPr>
              <w:t>202</w:t>
            </w:r>
            <w:r>
              <w:rPr>
                <w:rFonts w:cs="Calibri"/>
              </w:rPr>
              <w:t>1</w:t>
            </w:r>
            <w:r w:rsidRPr="00190046">
              <w:rPr>
                <w:rFonts w:cs="Calibri"/>
                <w:szCs w:val="16"/>
              </w:rPr>
              <w:t xml:space="preserve"> </w:t>
            </w:r>
          </w:p>
          <w:p w14:paraId="3A843CC6" w14:textId="15F852FB" w:rsidR="0087202A" w:rsidRPr="00190046" w:rsidRDefault="0087202A" w:rsidP="0087202A">
            <w:pPr>
              <w:pStyle w:val="TableText"/>
              <w:tabs>
                <w:tab w:val="left" w:pos="3306"/>
              </w:tabs>
              <w:jc w:val="right"/>
              <w:rPr>
                <w:rFonts w:cs="Calibri"/>
              </w:rPr>
            </w:pPr>
            <w:r w:rsidRPr="00190046">
              <w:rPr>
                <w:rFonts w:cs="Calibri"/>
                <w:b/>
                <w:bCs/>
                <w:szCs w:val="16"/>
              </w:rPr>
              <w:t>$’000</w:t>
            </w:r>
          </w:p>
        </w:tc>
      </w:tr>
      <w:tr w:rsidR="0087202A" w:rsidRPr="00CF7E1B" w14:paraId="774037D9" w14:textId="77777777" w:rsidTr="00D919F2">
        <w:trPr>
          <w:trHeight w:val="23"/>
        </w:trPr>
        <w:tc>
          <w:tcPr>
            <w:tcW w:w="1562" w:type="dxa"/>
            <w:tcBorders>
              <w:top w:val="nil"/>
              <w:left w:val="single" w:sz="2" w:space="0" w:color="auto"/>
              <w:bottom w:val="nil"/>
              <w:right w:val="single" w:sz="2" w:space="0" w:color="auto"/>
            </w:tcBorders>
          </w:tcPr>
          <w:p w14:paraId="4F5C072E" w14:textId="77777777" w:rsidR="0087202A" w:rsidRPr="00DE11FF" w:rsidRDefault="0087202A" w:rsidP="0087202A">
            <w:pPr>
              <w:pStyle w:val="TableReference"/>
              <w:tabs>
                <w:tab w:val="left" w:pos="3306"/>
              </w:tabs>
              <w:spacing w:before="40"/>
              <w:rPr>
                <w:rFonts w:cs="Calibri"/>
                <w:color w:val="auto"/>
                <w:sz w:val="16"/>
                <w:szCs w:val="16"/>
              </w:rPr>
            </w:pPr>
          </w:p>
        </w:tc>
        <w:tc>
          <w:tcPr>
            <w:tcW w:w="5838" w:type="dxa"/>
            <w:gridSpan w:val="3"/>
            <w:tcBorders>
              <w:top w:val="nil"/>
              <w:left w:val="single" w:sz="2" w:space="0" w:color="auto"/>
              <w:bottom w:val="nil"/>
              <w:right w:val="nil"/>
            </w:tcBorders>
            <w:vAlign w:val="bottom"/>
          </w:tcPr>
          <w:p w14:paraId="188C570A" w14:textId="457A8679" w:rsidR="0087202A" w:rsidRPr="00190046" w:rsidRDefault="0087202A" w:rsidP="0087202A">
            <w:pPr>
              <w:pStyle w:val="TableText"/>
              <w:tabs>
                <w:tab w:val="left" w:pos="3306"/>
              </w:tabs>
              <w:rPr>
                <w:rFonts w:cs="Calibri"/>
                <w:b/>
                <w:bCs/>
              </w:rPr>
            </w:pPr>
            <w:r w:rsidRPr="00190046">
              <w:rPr>
                <w:rFonts w:cs="Calibri"/>
                <w:b/>
                <w:bCs/>
              </w:rPr>
              <w:t>Current Other Provisions</w:t>
            </w:r>
          </w:p>
        </w:tc>
        <w:tc>
          <w:tcPr>
            <w:tcW w:w="1621" w:type="dxa"/>
            <w:gridSpan w:val="2"/>
            <w:tcBorders>
              <w:top w:val="nil"/>
              <w:left w:val="nil"/>
              <w:bottom w:val="nil"/>
              <w:right w:val="nil"/>
            </w:tcBorders>
            <w:vAlign w:val="bottom"/>
          </w:tcPr>
          <w:p w14:paraId="5AF3E09D" w14:textId="77777777" w:rsidR="0087202A" w:rsidRPr="00190046" w:rsidRDefault="0087202A" w:rsidP="0087202A">
            <w:pPr>
              <w:pStyle w:val="TableText"/>
              <w:tabs>
                <w:tab w:val="left" w:pos="3306"/>
              </w:tabs>
              <w:jc w:val="right"/>
              <w:rPr>
                <w:rFonts w:cs="Calibri"/>
              </w:rPr>
            </w:pPr>
          </w:p>
        </w:tc>
        <w:tc>
          <w:tcPr>
            <w:tcW w:w="1523" w:type="dxa"/>
            <w:gridSpan w:val="3"/>
            <w:tcBorders>
              <w:top w:val="nil"/>
              <w:left w:val="nil"/>
              <w:bottom w:val="nil"/>
              <w:right w:val="nil"/>
            </w:tcBorders>
            <w:vAlign w:val="bottom"/>
          </w:tcPr>
          <w:p w14:paraId="58FCD9E6" w14:textId="77777777" w:rsidR="0087202A" w:rsidRPr="00190046" w:rsidRDefault="0087202A" w:rsidP="0087202A">
            <w:pPr>
              <w:pStyle w:val="TableText"/>
              <w:tabs>
                <w:tab w:val="left" w:pos="3306"/>
              </w:tabs>
              <w:jc w:val="right"/>
              <w:rPr>
                <w:rFonts w:cs="Calibri"/>
              </w:rPr>
            </w:pPr>
          </w:p>
        </w:tc>
      </w:tr>
      <w:tr w:rsidR="0087202A" w:rsidRPr="00CF7E1B" w14:paraId="67B78757" w14:textId="77777777" w:rsidTr="00D919F2">
        <w:trPr>
          <w:trHeight w:val="23"/>
        </w:trPr>
        <w:tc>
          <w:tcPr>
            <w:tcW w:w="1562" w:type="dxa"/>
            <w:tcBorders>
              <w:top w:val="nil"/>
              <w:left w:val="single" w:sz="2" w:space="0" w:color="auto"/>
              <w:bottom w:val="nil"/>
              <w:right w:val="single" w:sz="2" w:space="0" w:color="auto"/>
            </w:tcBorders>
          </w:tcPr>
          <w:p w14:paraId="2C3E110F" w14:textId="77777777" w:rsidR="0087202A" w:rsidRPr="00DE11FF" w:rsidRDefault="0087202A" w:rsidP="0087202A">
            <w:pPr>
              <w:pStyle w:val="TableReference"/>
              <w:tabs>
                <w:tab w:val="left" w:pos="3306"/>
              </w:tabs>
              <w:spacing w:before="40"/>
              <w:rPr>
                <w:rFonts w:cs="Calibri"/>
                <w:color w:val="auto"/>
                <w:sz w:val="16"/>
                <w:szCs w:val="16"/>
              </w:rPr>
            </w:pPr>
          </w:p>
        </w:tc>
        <w:tc>
          <w:tcPr>
            <w:tcW w:w="5838" w:type="dxa"/>
            <w:gridSpan w:val="3"/>
            <w:tcBorders>
              <w:top w:val="nil"/>
              <w:left w:val="single" w:sz="2" w:space="0" w:color="auto"/>
              <w:bottom w:val="nil"/>
              <w:right w:val="nil"/>
            </w:tcBorders>
            <w:vAlign w:val="bottom"/>
          </w:tcPr>
          <w:p w14:paraId="6421332E" w14:textId="77777777" w:rsidR="0087202A" w:rsidRPr="00190046" w:rsidRDefault="0087202A" w:rsidP="0087202A">
            <w:pPr>
              <w:pStyle w:val="TableText"/>
              <w:tabs>
                <w:tab w:val="left" w:pos="3306"/>
              </w:tabs>
              <w:rPr>
                <w:rFonts w:cs="Calibri"/>
              </w:rPr>
            </w:pPr>
            <w:r w:rsidRPr="00190046">
              <w:rPr>
                <w:rFonts w:cs="Calibri"/>
              </w:rPr>
              <w:t>Provision for Refund of Taxes</w:t>
            </w:r>
          </w:p>
        </w:tc>
        <w:tc>
          <w:tcPr>
            <w:tcW w:w="1621" w:type="dxa"/>
            <w:gridSpan w:val="2"/>
            <w:tcBorders>
              <w:top w:val="nil"/>
              <w:left w:val="nil"/>
              <w:bottom w:val="single" w:sz="2" w:space="0" w:color="auto"/>
              <w:right w:val="nil"/>
            </w:tcBorders>
            <w:vAlign w:val="bottom"/>
          </w:tcPr>
          <w:p w14:paraId="68B55788" w14:textId="77777777" w:rsidR="0087202A" w:rsidRPr="00190046" w:rsidRDefault="0087202A" w:rsidP="0087202A">
            <w:pPr>
              <w:pStyle w:val="TableText"/>
              <w:tabs>
                <w:tab w:val="left" w:pos="3306"/>
              </w:tabs>
              <w:jc w:val="right"/>
              <w:rPr>
                <w:rFonts w:cs="Calibri"/>
              </w:rPr>
            </w:pPr>
          </w:p>
        </w:tc>
        <w:tc>
          <w:tcPr>
            <w:tcW w:w="1523" w:type="dxa"/>
            <w:gridSpan w:val="3"/>
            <w:tcBorders>
              <w:top w:val="nil"/>
              <w:left w:val="nil"/>
              <w:bottom w:val="single" w:sz="2" w:space="0" w:color="auto"/>
              <w:right w:val="nil"/>
            </w:tcBorders>
            <w:vAlign w:val="bottom"/>
          </w:tcPr>
          <w:p w14:paraId="0FEBE4DC" w14:textId="77777777" w:rsidR="0087202A" w:rsidRPr="00190046" w:rsidRDefault="0087202A" w:rsidP="0087202A">
            <w:pPr>
              <w:pStyle w:val="TableText"/>
              <w:tabs>
                <w:tab w:val="left" w:pos="3306"/>
              </w:tabs>
              <w:jc w:val="right"/>
              <w:rPr>
                <w:rFonts w:cs="Calibri"/>
              </w:rPr>
            </w:pPr>
          </w:p>
        </w:tc>
      </w:tr>
      <w:tr w:rsidR="0087202A" w:rsidRPr="00CF7E1B" w14:paraId="1B7D4243" w14:textId="77777777" w:rsidTr="00D919F2">
        <w:trPr>
          <w:trHeight w:val="23"/>
        </w:trPr>
        <w:tc>
          <w:tcPr>
            <w:tcW w:w="1562" w:type="dxa"/>
            <w:tcBorders>
              <w:top w:val="nil"/>
              <w:left w:val="single" w:sz="2" w:space="0" w:color="auto"/>
              <w:bottom w:val="nil"/>
              <w:right w:val="single" w:sz="2" w:space="0" w:color="auto"/>
            </w:tcBorders>
          </w:tcPr>
          <w:p w14:paraId="06CFF006" w14:textId="77777777" w:rsidR="0087202A" w:rsidRPr="00DE11FF" w:rsidRDefault="0087202A" w:rsidP="0087202A">
            <w:pPr>
              <w:pStyle w:val="TableReference"/>
              <w:tabs>
                <w:tab w:val="left" w:pos="3306"/>
              </w:tabs>
              <w:spacing w:before="40"/>
              <w:rPr>
                <w:rFonts w:cs="Calibri"/>
                <w:color w:val="auto"/>
                <w:sz w:val="16"/>
                <w:szCs w:val="16"/>
              </w:rPr>
            </w:pPr>
          </w:p>
        </w:tc>
        <w:tc>
          <w:tcPr>
            <w:tcW w:w="5838" w:type="dxa"/>
            <w:gridSpan w:val="3"/>
            <w:tcBorders>
              <w:top w:val="nil"/>
              <w:left w:val="single" w:sz="2" w:space="0" w:color="auto"/>
              <w:bottom w:val="nil"/>
              <w:right w:val="nil"/>
            </w:tcBorders>
            <w:vAlign w:val="bottom"/>
          </w:tcPr>
          <w:p w14:paraId="7237BA5E" w14:textId="76B4A2B0" w:rsidR="0087202A" w:rsidRPr="00190046" w:rsidRDefault="0087202A" w:rsidP="0087202A">
            <w:pPr>
              <w:pStyle w:val="TableText"/>
              <w:tabs>
                <w:tab w:val="left" w:pos="3306"/>
              </w:tabs>
              <w:rPr>
                <w:rFonts w:cs="Calibri"/>
                <w:b/>
                <w:bCs/>
              </w:rPr>
            </w:pPr>
            <w:r w:rsidRPr="00190046">
              <w:rPr>
                <w:rFonts w:cs="Calibri"/>
                <w:b/>
                <w:bCs/>
              </w:rPr>
              <w:t>Total Current Other Provisions</w:t>
            </w:r>
          </w:p>
        </w:tc>
        <w:tc>
          <w:tcPr>
            <w:tcW w:w="1621" w:type="dxa"/>
            <w:gridSpan w:val="2"/>
            <w:tcBorders>
              <w:top w:val="single" w:sz="2" w:space="0" w:color="auto"/>
              <w:left w:val="nil"/>
              <w:bottom w:val="single" w:sz="2" w:space="0" w:color="auto"/>
              <w:right w:val="nil"/>
            </w:tcBorders>
            <w:vAlign w:val="bottom"/>
          </w:tcPr>
          <w:p w14:paraId="5EF59E16" w14:textId="77777777" w:rsidR="0087202A" w:rsidRPr="00190046" w:rsidRDefault="0087202A" w:rsidP="0087202A">
            <w:pPr>
              <w:pStyle w:val="TableText"/>
              <w:tabs>
                <w:tab w:val="left" w:pos="3306"/>
              </w:tabs>
              <w:jc w:val="right"/>
              <w:rPr>
                <w:rFonts w:cs="Calibri"/>
                <w:b/>
                <w:bCs/>
              </w:rPr>
            </w:pPr>
          </w:p>
        </w:tc>
        <w:tc>
          <w:tcPr>
            <w:tcW w:w="1523" w:type="dxa"/>
            <w:gridSpan w:val="3"/>
            <w:tcBorders>
              <w:top w:val="single" w:sz="2" w:space="0" w:color="auto"/>
              <w:left w:val="nil"/>
              <w:bottom w:val="single" w:sz="2" w:space="0" w:color="auto"/>
              <w:right w:val="nil"/>
            </w:tcBorders>
            <w:vAlign w:val="bottom"/>
          </w:tcPr>
          <w:p w14:paraId="0FBE883D" w14:textId="77777777" w:rsidR="0087202A" w:rsidRPr="00190046" w:rsidRDefault="0087202A" w:rsidP="0087202A">
            <w:pPr>
              <w:pStyle w:val="TableText"/>
              <w:tabs>
                <w:tab w:val="left" w:pos="3306"/>
              </w:tabs>
              <w:jc w:val="right"/>
              <w:rPr>
                <w:rFonts w:cs="Calibri"/>
                <w:b/>
                <w:bCs/>
              </w:rPr>
            </w:pPr>
          </w:p>
        </w:tc>
      </w:tr>
      <w:tr w:rsidR="0087202A" w:rsidRPr="00CF7E1B" w14:paraId="54D0B8A2" w14:textId="77777777" w:rsidTr="00D919F2">
        <w:trPr>
          <w:trHeight w:val="23"/>
        </w:trPr>
        <w:tc>
          <w:tcPr>
            <w:tcW w:w="1562" w:type="dxa"/>
            <w:tcBorders>
              <w:top w:val="nil"/>
              <w:left w:val="single" w:sz="2" w:space="0" w:color="auto"/>
              <w:bottom w:val="nil"/>
              <w:right w:val="single" w:sz="2" w:space="0" w:color="auto"/>
            </w:tcBorders>
          </w:tcPr>
          <w:p w14:paraId="2F63BD5D" w14:textId="77777777" w:rsidR="0087202A" w:rsidRPr="00DE11FF" w:rsidRDefault="0087202A" w:rsidP="0087202A">
            <w:pPr>
              <w:pStyle w:val="TableReference"/>
              <w:tabs>
                <w:tab w:val="left" w:pos="3306"/>
              </w:tabs>
              <w:spacing w:before="40"/>
              <w:rPr>
                <w:rFonts w:cs="Calibri"/>
                <w:color w:val="auto"/>
                <w:sz w:val="16"/>
                <w:szCs w:val="16"/>
              </w:rPr>
            </w:pPr>
          </w:p>
        </w:tc>
        <w:tc>
          <w:tcPr>
            <w:tcW w:w="5838" w:type="dxa"/>
            <w:gridSpan w:val="3"/>
            <w:tcBorders>
              <w:top w:val="nil"/>
              <w:left w:val="single" w:sz="2" w:space="0" w:color="auto"/>
              <w:bottom w:val="nil"/>
              <w:right w:val="nil"/>
            </w:tcBorders>
            <w:vAlign w:val="bottom"/>
          </w:tcPr>
          <w:p w14:paraId="20645508" w14:textId="18747D36" w:rsidR="0087202A" w:rsidRPr="00190046" w:rsidRDefault="0087202A" w:rsidP="0087202A">
            <w:pPr>
              <w:pStyle w:val="TableText"/>
              <w:tabs>
                <w:tab w:val="left" w:pos="3306"/>
              </w:tabs>
              <w:rPr>
                <w:rFonts w:cs="Calibri"/>
                <w:b/>
                <w:bCs/>
              </w:rPr>
            </w:pPr>
            <w:r w:rsidRPr="00190046">
              <w:rPr>
                <w:rFonts w:cs="Calibri"/>
                <w:b/>
                <w:bCs/>
              </w:rPr>
              <w:t>Total Other Provisions</w:t>
            </w:r>
          </w:p>
        </w:tc>
        <w:tc>
          <w:tcPr>
            <w:tcW w:w="1621" w:type="dxa"/>
            <w:gridSpan w:val="2"/>
            <w:tcBorders>
              <w:top w:val="single" w:sz="2" w:space="0" w:color="auto"/>
              <w:left w:val="nil"/>
              <w:bottom w:val="nil"/>
              <w:right w:val="nil"/>
            </w:tcBorders>
            <w:vAlign w:val="bottom"/>
          </w:tcPr>
          <w:p w14:paraId="441EC8E1" w14:textId="77777777" w:rsidR="0087202A" w:rsidRPr="00190046" w:rsidRDefault="0087202A" w:rsidP="0087202A">
            <w:pPr>
              <w:pStyle w:val="TableText"/>
              <w:tabs>
                <w:tab w:val="left" w:pos="3306"/>
              </w:tabs>
              <w:jc w:val="right"/>
              <w:rPr>
                <w:rFonts w:cs="Calibri"/>
                <w:b/>
                <w:bCs/>
              </w:rPr>
            </w:pPr>
          </w:p>
        </w:tc>
        <w:tc>
          <w:tcPr>
            <w:tcW w:w="1523" w:type="dxa"/>
            <w:gridSpan w:val="3"/>
            <w:tcBorders>
              <w:top w:val="single" w:sz="2" w:space="0" w:color="auto"/>
              <w:left w:val="nil"/>
              <w:bottom w:val="nil"/>
              <w:right w:val="nil"/>
            </w:tcBorders>
            <w:vAlign w:val="bottom"/>
          </w:tcPr>
          <w:p w14:paraId="6C0D49AF" w14:textId="77777777" w:rsidR="0087202A" w:rsidRPr="00190046" w:rsidRDefault="0087202A" w:rsidP="0087202A">
            <w:pPr>
              <w:pStyle w:val="TableText"/>
              <w:tabs>
                <w:tab w:val="left" w:pos="3306"/>
              </w:tabs>
              <w:jc w:val="right"/>
              <w:rPr>
                <w:rFonts w:cs="Calibri"/>
                <w:b/>
                <w:bCs/>
              </w:rPr>
            </w:pPr>
          </w:p>
        </w:tc>
      </w:tr>
      <w:tr w:rsidR="0087202A" w:rsidRPr="00CF7E1B" w14:paraId="3D0C48CC" w14:textId="77777777" w:rsidTr="00D919F2">
        <w:trPr>
          <w:trHeight w:val="23"/>
        </w:trPr>
        <w:tc>
          <w:tcPr>
            <w:tcW w:w="1562" w:type="dxa"/>
            <w:tcBorders>
              <w:top w:val="nil"/>
              <w:left w:val="single" w:sz="2" w:space="0" w:color="auto"/>
              <w:bottom w:val="nil"/>
              <w:right w:val="single" w:sz="2" w:space="0" w:color="auto"/>
            </w:tcBorders>
          </w:tcPr>
          <w:p w14:paraId="7571F843" w14:textId="77777777" w:rsidR="0087202A" w:rsidRPr="00DE11FF" w:rsidRDefault="0087202A" w:rsidP="0087202A">
            <w:pPr>
              <w:pStyle w:val="TableReference"/>
              <w:tabs>
                <w:tab w:val="left" w:pos="3306"/>
              </w:tabs>
              <w:spacing w:before="40"/>
              <w:rPr>
                <w:rFonts w:cs="Calibri"/>
                <w:color w:val="auto"/>
                <w:sz w:val="16"/>
                <w:szCs w:val="16"/>
              </w:rPr>
            </w:pPr>
          </w:p>
        </w:tc>
        <w:tc>
          <w:tcPr>
            <w:tcW w:w="8982" w:type="dxa"/>
            <w:gridSpan w:val="8"/>
            <w:tcBorders>
              <w:top w:val="nil"/>
              <w:left w:val="single" w:sz="2" w:space="0" w:color="auto"/>
              <w:bottom w:val="nil"/>
              <w:right w:val="nil"/>
            </w:tcBorders>
            <w:vAlign w:val="bottom"/>
          </w:tcPr>
          <w:p w14:paraId="304E0B17" w14:textId="7A5D1B60" w:rsidR="0087202A" w:rsidRPr="00190046" w:rsidRDefault="0087202A" w:rsidP="0087202A">
            <w:pPr>
              <w:pStyle w:val="Heading1"/>
              <w:numPr>
                <w:ilvl w:val="0"/>
                <w:numId w:val="0"/>
              </w:numPr>
            </w:pPr>
            <w:bookmarkStart w:id="986" w:name="_Toc49224387"/>
            <w:bookmarkStart w:id="987" w:name="_Ref50366076"/>
            <w:bookmarkStart w:id="988" w:name="_Toc50440443"/>
            <w:bookmarkStart w:id="989" w:name="_Ref50524571"/>
            <w:bookmarkStart w:id="990" w:name="_Toc223433235"/>
            <w:bookmarkStart w:id="991" w:name="_Toc400627383"/>
            <w:bookmarkStart w:id="992" w:name="_Toc98763209"/>
            <w:r w:rsidRPr="00190046">
              <w:t>Note 51.</w:t>
            </w:r>
            <w:r w:rsidR="00FA7C77">
              <w:t xml:space="preserve"> </w:t>
            </w:r>
            <w:r w:rsidRPr="00190046">
              <w:t xml:space="preserve"> </w:t>
            </w:r>
            <w:bookmarkStart w:id="993" w:name="TSotherliabilites"/>
            <w:r w:rsidRPr="00190046">
              <w:t xml:space="preserve">Other Liabilities </w:t>
            </w:r>
            <w:bookmarkEnd w:id="993"/>
            <w:r w:rsidRPr="00190046">
              <w:t>– Territorial</w:t>
            </w:r>
            <w:bookmarkEnd w:id="986"/>
            <w:bookmarkEnd w:id="987"/>
            <w:bookmarkEnd w:id="988"/>
            <w:bookmarkEnd w:id="989"/>
            <w:bookmarkEnd w:id="990"/>
            <w:bookmarkEnd w:id="991"/>
            <w:bookmarkEnd w:id="992"/>
          </w:p>
        </w:tc>
      </w:tr>
      <w:tr w:rsidR="0087202A" w:rsidRPr="00CF7E1B" w14:paraId="68A6E5C9" w14:textId="77777777" w:rsidTr="00D919F2">
        <w:trPr>
          <w:trHeight w:val="23"/>
        </w:trPr>
        <w:tc>
          <w:tcPr>
            <w:tcW w:w="1562" w:type="dxa"/>
            <w:tcBorders>
              <w:top w:val="nil"/>
              <w:left w:val="single" w:sz="2" w:space="0" w:color="auto"/>
              <w:bottom w:val="nil"/>
              <w:right w:val="single" w:sz="2" w:space="0" w:color="auto"/>
            </w:tcBorders>
          </w:tcPr>
          <w:p w14:paraId="1852825D" w14:textId="77777777" w:rsidR="0087202A" w:rsidRPr="00B35866" w:rsidRDefault="0087202A" w:rsidP="0087202A">
            <w:pPr>
              <w:pStyle w:val="TableReference"/>
              <w:tabs>
                <w:tab w:val="left" w:pos="3306"/>
              </w:tabs>
              <w:spacing w:before="40"/>
              <w:rPr>
                <w:rFonts w:cs="Calibri"/>
                <w:color w:val="auto"/>
                <w:sz w:val="16"/>
                <w:szCs w:val="16"/>
              </w:rPr>
            </w:pPr>
          </w:p>
        </w:tc>
        <w:tc>
          <w:tcPr>
            <w:tcW w:w="8982" w:type="dxa"/>
            <w:gridSpan w:val="8"/>
            <w:tcBorders>
              <w:top w:val="nil"/>
              <w:left w:val="single" w:sz="2" w:space="0" w:color="auto"/>
              <w:bottom w:val="nil"/>
              <w:right w:val="nil"/>
            </w:tcBorders>
          </w:tcPr>
          <w:p w14:paraId="305FDCD0" w14:textId="27F93F48" w:rsidR="0087202A" w:rsidRPr="00190046" w:rsidRDefault="0087202A" w:rsidP="0087202A">
            <w:pPr>
              <w:rPr>
                <w:b/>
                <w:bCs/>
                <w:sz w:val="18"/>
                <w:szCs w:val="18"/>
              </w:rPr>
            </w:pPr>
            <w:r w:rsidRPr="00190046">
              <w:rPr>
                <w:b/>
                <w:bCs/>
                <w:sz w:val="18"/>
                <w:szCs w:val="18"/>
              </w:rPr>
              <w:t>Description and Material Accounting Policies Relating to Other Liabilities - Territorial</w:t>
            </w:r>
          </w:p>
        </w:tc>
      </w:tr>
      <w:tr w:rsidR="0087202A" w:rsidRPr="00CF7E1B" w14:paraId="6B2FE1CA" w14:textId="77777777" w:rsidTr="00D919F2">
        <w:trPr>
          <w:trHeight w:val="23"/>
        </w:trPr>
        <w:tc>
          <w:tcPr>
            <w:tcW w:w="1562" w:type="dxa"/>
            <w:tcBorders>
              <w:top w:val="nil"/>
              <w:left w:val="single" w:sz="2" w:space="0" w:color="auto"/>
              <w:bottom w:val="nil"/>
              <w:right w:val="single" w:sz="2" w:space="0" w:color="auto"/>
            </w:tcBorders>
          </w:tcPr>
          <w:p w14:paraId="05271101" w14:textId="77777777" w:rsidR="0087202A" w:rsidRPr="00DE11FF" w:rsidRDefault="0087202A" w:rsidP="0087202A"/>
        </w:tc>
        <w:tc>
          <w:tcPr>
            <w:tcW w:w="8982" w:type="dxa"/>
            <w:gridSpan w:val="8"/>
            <w:tcBorders>
              <w:top w:val="nil"/>
              <w:left w:val="single" w:sz="2" w:space="0" w:color="auto"/>
              <w:bottom w:val="nil"/>
              <w:right w:val="nil"/>
            </w:tcBorders>
            <w:vAlign w:val="bottom"/>
          </w:tcPr>
          <w:p w14:paraId="46C41394" w14:textId="79C2805A" w:rsidR="0087202A" w:rsidRPr="00190046" w:rsidRDefault="0087202A" w:rsidP="0087202A">
            <w:pPr>
              <w:spacing w:after="120"/>
              <w:rPr>
                <w:sz w:val="18"/>
                <w:szCs w:val="18"/>
              </w:rPr>
            </w:pPr>
            <w:r w:rsidRPr="00190046">
              <w:rPr>
                <w:sz w:val="18"/>
                <w:szCs w:val="18"/>
              </w:rPr>
              <w:t>Revenue Received in Advance is recognised when ‘Burley Griffin Agency’ has received appropriation for payments on behalf of the Territory and the Agency has not yet incurred the related expense.</w:t>
            </w:r>
          </w:p>
        </w:tc>
      </w:tr>
      <w:tr w:rsidR="0087202A" w:rsidRPr="00CF7E1B" w14:paraId="2A29ED4A" w14:textId="77777777" w:rsidTr="00D919F2">
        <w:trPr>
          <w:trHeight w:val="23"/>
        </w:trPr>
        <w:tc>
          <w:tcPr>
            <w:tcW w:w="1562" w:type="dxa"/>
            <w:tcBorders>
              <w:top w:val="nil"/>
              <w:left w:val="single" w:sz="2" w:space="0" w:color="auto"/>
              <w:bottom w:val="nil"/>
              <w:right w:val="single" w:sz="2" w:space="0" w:color="auto"/>
            </w:tcBorders>
          </w:tcPr>
          <w:p w14:paraId="1B5192FA" w14:textId="77777777" w:rsidR="0087202A" w:rsidRPr="00DE11FF" w:rsidRDefault="0087202A" w:rsidP="0087202A">
            <w:pPr>
              <w:pStyle w:val="TableReference"/>
              <w:tabs>
                <w:tab w:val="left" w:pos="3306"/>
              </w:tabs>
              <w:spacing w:before="40"/>
              <w:jc w:val="right"/>
              <w:rPr>
                <w:rFonts w:cs="Calibri"/>
                <w:color w:val="auto"/>
                <w:sz w:val="16"/>
                <w:szCs w:val="16"/>
              </w:rPr>
            </w:pPr>
          </w:p>
        </w:tc>
        <w:tc>
          <w:tcPr>
            <w:tcW w:w="5952" w:type="dxa"/>
            <w:gridSpan w:val="4"/>
            <w:tcBorders>
              <w:top w:val="nil"/>
              <w:left w:val="single" w:sz="2" w:space="0" w:color="auto"/>
              <w:bottom w:val="nil"/>
              <w:right w:val="nil"/>
            </w:tcBorders>
          </w:tcPr>
          <w:p w14:paraId="238044A2" w14:textId="2FCDA309" w:rsidR="0087202A" w:rsidRPr="00190046" w:rsidRDefault="0087202A" w:rsidP="0087202A">
            <w:pPr>
              <w:pStyle w:val="TableText"/>
              <w:tabs>
                <w:tab w:val="left" w:pos="3306"/>
              </w:tabs>
              <w:jc w:val="right"/>
              <w:rPr>
                <w:rFonts w:cs="Calibri"/>
                <w:b/>
                <w:bCs/>
              </w:rPr>
            </w:pPr>
          </w:p>
        </w:tc>
        <w:tc>
          <w:tcPr>
            <w:tcW w:w="1507" w:type="dxa"/>
            <w:tcBorders>
              <w:top w:val="nil"/>
              <w:left w:val="nil"/>
              <w:bottom w:val="nil"/>
              <w:right w:val="nil"/>
            </w:tcBorders>
          </w:tcPr>
          <w:p w14:paraId="2A76C1FF" w14:textId="6F3CBB59" w:rsidR="0087202A" w:rsidRPr="00190046" w:rsidRDefault="0087202A" w:rsidP="0087202A">
            <w:pPr>
              <w:pStyle w:val="TableTitle"/>
              <w:tabs>
                <w:tab w:val="left" w:pos="3306"/>
              </w:tabs>
              <w:rPr>
                <w:rFonts w:cs="Calibri"/>
                <w:szCs w:val="16"/>
              </w:rPr>
            </w:pPr>
            <w:r w:rsidRPr="00190046">
              <w:rPr>
                <w:rFonts w:cs="Calibri"/>
              </w:rPr>
              <w:t>2022</w:t>
            </w:r>
            <w:r w:rsidRPr="00190046">
              <w:rPr>
                <w:rFonts w:cs="Calibri"/>
                <w:szCs w:val="16"/>
              </w:rPr>
              <w:t xml:space="preserve"> </w:t>
            </w:r>
          </w:p>
          <w:p w14:paraId="0AD5BD17" w14:textId="28FD1F04" w:rsidR="0087202A" w:rsidRPr="00190046" w:rsidRDefault="0087202A" w:rsidP="0087202A">
            <w:pPr>
              <w:pStyle w:val="TableText"/>
              <w:tabs>
                <w:tab w:val="left" w:pos="3306"/>
              </w:tabs>
              <w:jc w:val="right"/>
              <w:rPr>
                <w:rFonts w:cs="Calibri"/>
                <w:b/>
                <w:bCs/>
              </w:rPr>
            </w:pPr>
            <w:r w:rsidRPr="00190046">
              <w:rPr>
                <w:rFonts w:cs="Calibri"/>
                <w:b/>
                <w:bCs/>
                <w:szCs w:val="16"/>
              </w:rPr>
              <w:t>$’000</w:t>
            </w:r>
          </w:p>
        </w:tc>
        <w:tc>
          <w:tcPr>
            <w:tcW w:w="1523" w:type="dxa"/>
            <w:gridSpan w:val="3"/>
            <w:tcBorders>
              <w:top w:val="nil"/>
              <w:left w:val="nil"/>
              <w:bottom w:val="nil"/>
              <w:right w:val="nil"/>
            </w:tcBorders>
          </w:tcPr>
          <w:p w14:paraId="6EA65D18" w14:textId="77777777" w:rsidR="006B468D" w:rsidRDefault="0087202A" w:rsidP="0087202A">
            <w:pPr>
              <w:pStyle w:val="TableTitle"/>
              <w:tabs>
                <w:tab w:val="left" w:pos="3306"/>
              </w:tabs>
              <w:rPr>
                <w:rFonts w:cs="Calibri"/>
              </w:rPr>
            </w:pPr>
            <w:r w:rsidRPr="00190046">
              <w:rPr>
                <w:rFonts w:cs="Calibri"/>
              </w:rPr>
              <w:t>2021</w:t>
            </w:r>
          </w:p>
          <w:p w14:paraId="44C3E4B6" w14:textId="60927BDB" w:rsidR="0087202A" w:rsidRPr="00190046" w:rsidRDefault="00FA7C77" w:rsidP="0087202A">
            <w:pPr>
              <w:pStyle w:val="TableTitle"/>
              <w:tabs>
                <w:tab w:val="left" w:pos="3306"/>
              </w:tabs>
              <w:rPr>
                <w:rFonts w:cs="Calibri"/>
                <w:b w:val="0"/>
                <w:bCs w:val="0"/>
              </w:rPr>
            </w:pPr>
            <w:r>
              <w:rPr>
                <w:rFonts w:cs="Calibri"/>
              </w:rPr>
              <w:t xml:space="preserve">      </w:t>
            </w:r>
            <w:r w:rsidR="0087202A">
              <w:rPr>
                <w:rFonts w:cs="Calibri"/>
              </w:rPr>
              <w:t xml:space="preserve"> </w:t>
            </w:r>
            <w:r w:rsidR="0087202A" w:rsidRPr="0009580B">
              <w:rPr>
                <w:rFonts w:cs="Calibri"/>
              </w:rPr>
              <w:t>$’000</w:t>
            </w:r>
          </w:p>
        </w:tc>
      </w:tr>
      <w:tr w:rsidR="0087202A" w:rsidRPr="00CF7E1B" w14:paraId="49CC4547" w14:textId="77777777" w:rsidTr="00D919F2">
        <w:trPr>
          <w:trHeight w:val="23"/>
        </w:trPr>
        <w:tc>
          <w:tcPr>
            <w:tcW w:w="1562" w:type="dxa"/>
            <w:tcBorders>
              <w:top w:val="nil"/>
              <w:left w:val="single" w:sz="2" w:space="0" w:color="auto"/>
              <w:bottom w:val="nil"/>
              <w:right w:val="single" w:sz="2" w:space="0" w:color="auto"/>
            </w:tcBorders>
          </w:tcPr>
          <w:p w14:paraId="7F5CBD68" w14:textId="77777777" w:rsidR="0087202A" w:rsidRPr="00DE11FF" w:rsidRDefault="0087202A" w:rsidP="0087202A">
            <w:pPr>
              <w:pStyle w:val="TableReference"/>
              <w:tabs>
                <w:tab w:val="left" w:pos="3306"/>
              </w:tabs>
              <w:spacing w:before="40"/>
              <w:rPr>
                <w:rFonts w:cs="Calibri"/>
                <w:color w:val="auto"/>
                <w:sz w:val="16"/>
                <w:szCs w:val="16"/>
              </w:rPr>
            </w:pPr>
          </w:p>
        </w:tc>
        <w:tc>
          <w:tcPr>
            <w:tcW w:w="5952" w:type="dxa"/>
            <w:gridSpan w:val="4"/>
            <w:tcBorders>
              <w:top w:val="nil"/>
              <w:left w:val="single" w:sz="2" w:space="0" w:color="auto"/>
              <w:bottom w:val="nil"/>
              <w:right w:val="nil"/>
            </w:tcBorders>
            <w:vAlign w:val="bottom"/>
          </w:tcPr>
          <w:p w14:paraId="23DB40C9" w14:textId="663F7D01" w:rsidR="0087202A" w:rsidRPr="00190046" w:rsidRDefault="0087202A" w:rsidP="0087202A">
            <w:pPr>
              <w:pStyle w:val="TableText"/>
              <w:tabs>
                <w:tab w:val="left" w:pos="3306"/>
              </w:tabs>
              <w:rPr>
                <w:rFonts w:cs="Calibri"/>
              </w:rPr>
            </w:pPr>
            <w:bookmarkStart w:id="994" w:name="_Toc48468913"/>
            <w:bookmarkStart w:id="995" w:name="_Toc49155968"/>
            <w:bookmarkStart w:id="996" w:name="_Toc49224388"/>
            <w:r w:rsidRPr="00190046">
              <w:rPr>
                <w:rFonts w:cs="Calibri"/>
                <w:b/>
                <w:bCs/>
              </w:rPr>
              <w:t>Current Other Liabilities</w:t>
            </w:r>
            <w:bookmarkEnd w:id="994"/>
            <w:bookmarkEnd w:id="995"/>
            <w:bookmarkEnd w:id="996"/>
          </w:p>
        </w:tc>
        <w:tc>
          <w:tcPr>
            <w:tcW w:w="1507" w:type="dxa"/>
            <w:tcBorders>
              <w:top w:val="nil"/>
              <w:left w:val="nil"/>
              <w:bottom w:val="nil"/>
              <w:right w:val="nil"/>
            </w:tcBorders>
            <w:vAlign w:val="bottom"/>
          </w:tcPr>
          <w:p w14:paraId="2D511831" w14:textId="77777777" w:rsidR="0087202A" w:rsidRPr="00190046" w:rsidRDefault="0087202A" w:rsidP="0087202A">
            <w:pPr>
              <w:pStyle w:val="TableText"/>
              <w:tabs>
                <w:tab w:val="left" w:pos="3306"/>
              </w:tabs>
              <w:jc w:val="right"/>
              <w:rPr>
                <w:rFonts w:cs="Calibri"/>
              </w:rPr>
            </w:pPr>
          </w:p>
        </w:tc>
        <w:tc>
          <w:tcPr>
            <w:tcW w:w="1523" w:type="dxa"/>
            <w:gridSpan w:val="3"/>
            <w:tcBorders>
              <w:top w:val="nil"/>
              <w:left w:val="nil"/>
              <w:bottom w:val="nil"/>
              <w:right w:val="nil"/>
            </w:tcBorders>
            <w:vAlign w:val="bottom"/>
          </w:tcPr>
          <w:p w14:paraId="1B19D9FB" w14:textId="77777777" w:rsidR="0087202A" w:rsidRPr="00190046" w:rsidRDefault="0087202A" w:rsidP="0087202A">
            <w:pPr>
              <w:pStyle w:val="TableText"/>
              <w:tabs>
                <w:tab w:val="left" w:pos="3306"/>
              </w:tabs>
              <w:jc w:val="right"/>
              <w:rPr>
                <w:rFonts w:cs="Calibri"/>
              </w:rPr>
            </w:pPr>
          </w:p>
        </w:tc>
      </w:tr>
      <w:tr w:rsidR="0087202A" w:rsidRPr="00CF7E1B" w14:paraId="0F537827" w14:textId="77777777" w:rsidTr="00D919F2">
        <w:trPr>
          <w:trHeight w:val="23"/>
        </w:trPr>
        <w:tc>
          <w:tcPr>
            <w:tcW w:w="1562" w:type="dxa"/>
            <w:tcBorders>
              <w:top w:val="nil"/>
              <w:left w:val="single" w:sz="2" w:space="0" w:color="auto"/>
              <w:bottom w:val="nil"/>
              <w:right w:val="single" w:sz="2" w:space="0" w:color="auto"/>
            </w:tcBorders>
          </w:tcPr>
          <w:p w14:paraId="2580FB30" w14:textId="77777777" w:rsidR="0087202A" w:rsidRPr="00DE11FF" w:rsidRDefault="0087202A" w:rsidP="0087202A">
            <w:pPr>
              <w:pStyle w:val="TableReference"/>
              <w:tabs>
                <w:tab w:val="left" w:pos="3306"/>
              </w:tabs>
              <w:spacing w:before="40"/>
              <w:rPr>
                <w:rFonts w:cs="Calibri"/>
                <w:color w:val="auto"/>
                <w:sz w:val="16"/>
                <w:szCs w:val="16"/>
              </w:rPr>
            </w:pPr>
          </w:p>
        </w:tc>
        <w:tc>
          <w:tcPr>
            <w:tcW w:w="5952" w:type="dxa"/>
            <w:gridSpan w:val="4"/>
            <w:tcBorders>
              <w:top w:val="nil"/>
              <w:left w:val="single" w:sz="2" w:space="0" w:color="auto"/>
              <w:bottom w:val="nil"/>
              <w:right w:val="nil"/>
            </w:tcBorders>
            <w:vAlign w:val="bottom"/>
          </w:tcPr>
          <w:p w14:paraId="603128F7" w14:textId="77777777" w:rsidR="0087202A" w:rsidRPr="00190046" w:rsidRDefault="0087202A" w:rsidP="0087202A">
            <w:pPr>
              <w:pStyle w:val="TableText"/>
              <w:tabs>
                <w:tab w:val="left" w:pos="3306"/>
              </w:tabs>
              <w:rPr>
                <w:rFonts w:cs="Calibri"/>
              </w:rPr>
            </w:pPr>
            <w:r w:rsidRPr="00190046">
              <w:rPr>
                <w:rFonts w:cs="Calibri"/>
              </w:rPr>
              <w:t xml:space="preserve">Revenue Received in Advance </w:t>
            </w:r>
          </w:p>
        </w:tc>
        <w:tc>
          <w:tcPr>
            <w:tcW w:w="1507" w:type="dxa"/>
            <w:tcBorders>
              <w:top w:val="nil"/>
              <w:left w:val="nil"/>
              <w:bottom w:val="single" w:sz="2" w:space="0" w:color="auto"/>
              <w:right w:val="nil"/>
            </w:tcBorders>
            <w:vAlign w:val="bottom"/>
          </w:tcPr>
          <w:p w14:paraId="58FD8556" w14:textId="34304AEA" w:rsidR="0087202A" w:rsidRPr="00190046" w:rsidRDefault="0087202A" w:rsidP="0087202A">
            <w:pPr>
              <w:pStyle w:val="TableText"/>
              <w:tabs>
                <w:tab w:val="left" w:pos="3306"/>
              </w:tabs>
              <w:jc w:val="right"/>
              <w:rPr>
                <w:rFonts w:cs="Calibri"/>
              </w:rPr>
            </w:pPr>
          </w:p>
        </w:tc>
        <w:tc>
          <w:tcPr>
            <w:tcW w:w="1523" w:type="dxa"/>
            <w:gridSpan w:val="3"/>
            <w:tcBorders>
              <w:top w:val="nil"/>
              <w:left w:val="nil"/>
              <w:bottom w:val="single" w:sz="2" w:space="0" w:color="auto"/>
              <w:right w:val="nil"/>
            </w:tcBorders>
            <w:vAlign w:val="bottom"/>
          </w:tcPr>
          <w:p w14:paraId="10F12CE1" w14:textId="1322AC15" w:rsidR="0087202A" w:rsidRPr="00190046" w:rsidRDefault="0087202A" w:rsidP="0087202A">
            <w:pPr>
              <w:pStyle w:val="TableText"/>
              <w:tabs>
                <w:tab w:val="left" w:pos="3306"/>
              </w:tabs>
              <w:jc w:val="right"/>
              <w:rPr>
                <w:rFonts w:cs="Calibri"/>
              </w:rPr>
            </w:pPr>
          </w:p>
        </w:tc>
      </w:tr>
      <w:tr w:rsidR="0087202A" w:rsidRPr="00CF7E1B" w14:paraId="05CE68C9" w14:textId="77777777" w:rsidTr="00D919F2">
        <w:trPr>
          <w:trHeight w:val="23"/>
        </w:trPr>
        <w:tc>
          <w:tcPr>
            <w:tcW w:w="1562" w:type="dxa"/>
            <w:tcBorders>
              <w:top w:val="nil"/>
              <w:left w:val="single" w:sz="2" w:space="0" w:color="auto"/>
              <w:bottom w:val="nil"/>
              <w:right w:val="single" w:sz="2" w:space="0" w:color="auto"/>
            </w:tcBorders>
          </w:tcPr>
          <w:p w14:paraId="0AB96F87" w14:textId="77777777" w:rsidR="0087202A" w:rsidRPr="00DE11FF" w:rsidRDefault="0087202A" w:rsidP="0087202A">
            <w:pPr>
              <w:pStyle w:val="TableReference"/>
              <w:tabs>
                <w:tab w:val="left" w:pos="3306"/>
              </w:tabs>
              <w:spacing w:before="40"/>
              <w:rPr>
                <w:rFonts w:cs="Calibri"/>
                <w:color w:val="auto"/>
                <w:sz w:val="16"/>
                <w:szCs w:val="16"/>
              </w:rPr>
            </w:pPr>
          </w:p>
        </w:tc>
        <w:tc>
          <w:tcPr>
            <w:tcW w:w="5952" w:type="dxa"/>
            <w:gridSpan w:val="4"/>
            <w:tcBorders>
              <w:top w:val="nil"/>
              <w:left w:val="single" w:sz="2" w:space="0" w:color="auto"/>
              <w:bottom w:val="nil"/>
              <w:right w:val="nil"/>
            </w:tcBorders>
            <w:vAlign w:val="bottom"/>
          </w:tcPr>
          <w:p w14:paraId="06F8468B" w14:textId="77777777" w:rsidR="0087202A" w:rsidRPr="00190046" w:rsidRDefault="0087202A" w:rsidP="0087202A">
            <w:pPr>
              <w:pStyle w:val="TableText"/>
              <w:tabs>
                <w:tab w:val="left" w:pos="3306"/>
              </w:tabs>
              <w:rPr>
                <w:rFonts w:cs="Calibri"/>
                <w:b/>
                <w:bCs/>
              </w:rPr>
            </w:pPr>
            <w:r w:rsidRPr="00190046">
              <w:rPr>
                <w:rFonts w:cs="Calibri"/>
                <w:b/>
                <w:bCs/>
              </w:rPr>
              <w:t>Total Current Other Liabilities</w:t>
            </w:r>
          </w:p>
        </w:tc>
        <w:tc>
          <w:tcPr>
            <w:tcW w:w="1507" w:type="dxa"/>
            <w:tcBorders>
              <w:top w:val="single" w:sz="2" w:space="0" w:color="auto"/>
              <w:left w:val="nil"/>
              <w:bottom w:val="single" w:sz="2" w:space="0" w:color="auto"/>
              <w:right w:val="nil"/>
            </w:tcBorders>
            <w:vAlign w:val="bottom"/>
          </w:tcPr>
          <w:p w14:paraId="7DB6F452" w14:textId="61753C8E" w:rsidR="0087202A" w:rsidRPr="00190046" w:rsidRDefault="0087202A" w:rsidP="0087202A">
            <w:pPr>
              <w:pStyle w:val="TableText"/>
              <w:tabs>
                <w:tab w:val="left" w:pos="3306"/>
              </w:tabs>
              <w:jc w:val="right"/>
              <w:rPr>
                <w:rFonts w:cs="Calibri"/>
                <w:b/>
                <w:bCs/>
              </w:rPr>
            </w:pPr>
          </w:p>
        </w:tc>
        <w:tc>
          <w:tcPr>
            <w:tcW w:w="1523" w:type="dxa"/>
            <w:gridSpan w:val="3"/>
            <w:tcBorders>
              <w:top w:val="single" w:sz="2" w:space="0" w:color="auto"/>
              <w:left w:val="nil"/>
              <w:bottom w:val="single" w:sz="2" w:space="0" w:color="auto"/>
              <w:right w:val="nil"/>
            </w:tcBorders>
            <w:vAlign w:val="bottom"/>
          </w:tcPr>
          <w:p w14:paraId="6EC7E5F9" w14:textId="4652618D" w:rsidR="0087202A" w:rsidRPr="00190046" w:rsidRDefault="0087202A" w:rsidP="0087202A">
            <w:pPr>
              <w:pStyle w:val="TableText"/>
              <w:tabs>
                <w:tab w:val="left" w:pos="3306"/>
              </w:tabs>
              <w:jc w:val="right"/>
              <w:rPr>
                <w:rFonts w:cs="Calibri"/>
                <w:b/>
                <w:bCs/>
              </w:rPr>
            </w:pPr>
          </w:p>
        </w:tc>
      </w:tr>
      <w:tr w:rsidR="0087202A" w:rsidRPr="00CF7E1B" w14:paraId="5C064297" w14:textId="77777777" w:rsidTr="00D919F2">
        <w:trPr>
          <w:trHeight w:val="23"/>
        </w:trPr>
        <w:tc>
          <w:tcPr>
            <w:tcW w:w="1562" w:type="dxa"/>
            <w:tcBorders>
              <w:top w:val="nil"/>
              <w:left w:val="single" w:sz="2" w:space="0" w:color="auto"/>
              <w:bottom w:val="nil"/>
              <w:right w:val="single" w:sz="2" w:space="0" w:color="auto"/>
            </w:tcBorders>
          </w:tcPr>
          <w:p w14:paraId="38A11160" w14:textId="77777777" w:rsidR="0087202A" w:rsidRPr="00DE11FF" w:rsidRDefault="0087202A" w:rsidP="0087202A">
            <w:pPr>
              <w:pStyle w:val="TableReference"/>
              <w:tabs>
                <w:tab w:val="left" w:pos="3306"/>
              </w:tabs>
              <w:spacing w:before="40"/>
              <w:rPr>
                <w:rFonts w:cs="Calibri"/>
                <w:color w:val="auto"/>
                <w:sz w:val="16"/>
                <w:szCs w:val="16"/>
              </w:rPr>
            </w:pPr>
          </w:p>
        </w:tc>
        <w:tc>
          <w:tcPr>
            <w:tcW w:w="5952" w:type="dxa"/>
            <w:gridSpan w:val="4"/>
            <w:tcBorders>
              <w:top w:val="nil"/>
              <w:left w:val="single" w:sz="2" w:space="0" w:color="auto"/>
              <w:bottom w:val="nil"/>
              <w:right w:val="nil"/>
            </w:tcBorders>
            <w:vAlign w:val="bottom"/>
          </w:tcPr>
          <w:p w14:paraId="162474F5" w14:textId="77777777" w:rsidR="0087202A" w:rsidRPr="00190046" w:rsidRDefault="0087202A" w:rsidP="0087202A">
            <w:pPr>
              <w:pStyle w:val="TableText"/>
              <w:tabs>
                <w:tab w:val="left" w:pos="3306"/>
              </w:tabs>
              <w:rPr>
                <w:rFonts w:cs="Calibri"/>
                <w:b/>
                <w:bCs/>
              </w:rPr>
            </w:pPr>
            <w:r w:rsidRPr="00190046">
              <w:rPr>
                <w:rFonts w:cs="Calibri"/>
                <w:b/>
                <w:bCs/>
              </w:rPr>
              <w:t>Total Other Liabilities</w:t>
            </w:r>
          </w:p>
        </w:tc>
        <w:tc>
          <w:tcPr>
            <w:tcW w:w="1507" w:type="dxa"/>
            <w:tcBorders>
              <w:top w:val="single" w:sz="2" w:space="0" w:color="auto"/>
              <w:left w:val="nil"/>
              <w:bottom w:val="double" w:sz="4" w:space="0" w:color="auto"/>
              <w:right w:val="nil"/>
            </w:tcBorders>
            <w:vAlign w:val="bottom"/>
          </w:tcPr>
          <w:p w14:paraId="0FA78FC2" w14:textId="61B232E0" w:rsidR="0087202A" w:rsidRPr="00190046" w:rsidRDefault="0087202A" w:rsidP="0087202A">
            <w:pPr>
              <w:pStyle w:val="TableText"/>
              <w:tabs>
                <w:tab w:val="left" w:pos="3306"/>
              </w:tabs>
              <w:jc w:val="right"/>
              <w:rPr>
                <w:rFonts w:cs="Calibri"/>
                <w:b/>
                <w:bCs/>
              </w:rPr>
            </w:pPr>
          </w:p>
        </w:tc>
        <w:tc>
          <w:tcPr>
            <w:tcW w:w="1523" w:type="dxa"/>
            <w:gridSpan w:val="3"/>
            <w:tcBorders>
              <w:top w:val="single" w:sz="2" w:space="0" w:color="auto"/>
              <w:left w:val="nil"/>
              <w:bottom w:val="double" w:sz="4" w:space="0" w:color="auto"/>
              <w:right w:val="nil"/>
            </w:tcBorders>
            <w:vAlign w:val="bottom"/>
          </w:tcPr>
          <w:p w14:paraId="2A42B429" w14:textId="69A107B9" w:rsidR="0087202A" w:rsidRPr="00190046" w:rsidRDefault="0087202A" w:rsidP="0087202A">
            <w:pPr>
              <w:pStyle w:val="TableText"/>
              <w:tabs>
                <w:tab w:val="left" w:pos="3306"/>
              </w:tabs>
              <w:jc w:val="right"/>
              <w:rPr>
                <w:rFonts w:cs="Calibri"/>
                <w:b/>
                <w:bCs/>
              </w:rPr>
            </w:pPr>
          </w:p>
        </w:tc>
      </w:tr>
      <w:tr w:rsidR="000610F9" w:rsidRPr="00CF7E1B" w14:paraId="2B5644D1" w14:textId="2F42E5FB"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431"/>
        </w:trPr>
        <w:tc>
          <w:tcPr>
            <w:tcW w:w="1562" w:type="dxa"/>
            <w:tcBorders>
              <w:left w:val="single" w:sz="2" w:space="0" w:color="auto"/>
              <w:right w:val="single" w:sz="2" w:space="0" w:color="auto"/>
            </w:tcBorders>
          </w:tcPr>
          <w:p w14:paraId="3A876989" w14:textId="02137DE4" w:rsidR="000610F9" w:rsidRPr="00190046" w:rsidRDefault="000610F9" w:rsidP="005D3C33">
            <w:pPr>
              <w:spacing w:before="240" w:after="240"/>
              <w:rPr>
                <w:rFonts w:asciiTheme="minorHAnsi" w:hAnsiTheme="minorHAnsi" w:cstheme="minorHAnsi"/>
                <w:b/>
                <w:color w:val="7030A0"/>
                <w:szCs w:val="22"/>
                <w:lang w:eastAsia="en-AU"/>
              </w:rPr>
            </w:pPr>
          </w:p>
        </w:tc>
        <w:tc>
          <w:tcPr>
            <w:tcW w:w="8929" w:type="dxa"/>
            <w:gridSpan w:val="7"/>
            <w:tcBorders>
              <w:left w:val="single" w:sz="2" w:space="0" w:color="auto"/>
            </w:tcBorders>
          </w:tcPr>
          <w:p w14:paraId="347D9BF6" w14:textId="452BB5BD" w:rsidR="000610F9" w:rsidRPr="00190046" w:rsidRDefault="000610F9" w:rsidP="00E80D67">
            <w:pPr>
              <w:pStyle w:val="Heading1"/>
              <w:numPr>
                <w:ilvl w:val="0"/>
                <w:numId w:val="0"/>
              </w:numPr>
              <w:rPr>
                <w:lang w:eastAsia="en-AU"/>
              </w:rPr>
            </w:pPr>
            <w:bookmarkStart w:id="997" w:name="_Toc400627385"/>
            <w:bookmarkStart w:id="998" w:name="_Toc98763210"/>
            <w:r w:rsidRPr="00190046">
              <w:rPr>
                <w:lang w:eastAsia="en-AU"/>
              </w:rPr>
              <w:t xml:space="preserve">Note </w:t>
            </w:r>
            <w:r w:rsidR="00DD6620" w:rsidRPr="00190046">
              <w:rPr>
                <w:lang w:eastAsia="en-AU"/>
              </w:rPr>
              <w:t>5</w:t>
            </w:r>
            <w:r w:rsidR="00FE2129" w:rsidRPr="00190046">
              <w:rPr>
                <w:lang w:eastAsia="en-AU"/>
              </w:rPr>
              <w:t>2</w:t>
            </w:r>
            <w:r w:rsidRPr="00190046">
              <w:rPr>
                <w:lang w:eastAsia="en-AU"/>
              </w:rPr>
              <w:t>.</w:t>
            </w:r>
            <w:r w:rsidR="00FA7C77">
              <w:rPr>
                <w:lang w:eastAsia="en-AU"/>
              </w:rPr>
              <w:t xml:space="preserve"> </w:t>
            </w:r>
            <w:r w:rsidRPr="00190046">
              <w:rPr>
                <w:lang w:eastAsia="en-AU"/>
              </w:rPr>
              <w:t xml:space="preserve"> </w:t>
            </w:r>
            <w:bookmarkStart w:id="999" w:name="RestructureAdminArrang_Territorial"/>
            <w:bookmarkStart w:id="1000" w:name="TSrestructAA"/>
            <w:bookmarkEnd w:id="999"/>
            <w:r w:rsidRPr="00190046">
              <w:rPr>
                <w:lang w:eastAsia="en-AU"/>
              </w:rPr>
              <w:t xml:space="preserve">Restructure of Administrative Arrangements </w:t>
            </w:r>
            <w:r w:rsidRPr="00190046">
              <w:t xml:space="preserve">– </w:t>
            </w:r>
            <w:r w:rsidRPr="00190046">
              <w:rPr>
                <w:lang w:eastAsia="en-AU"/>
              </w:rPr>
              <w:t>Territorial</w:t>
            </w:r>
            <w:bookmarkEnd w:id="997"/>
            <w:bookmarkEnd w:id="1000"/>
            <w:bookmarkEnd w:id="998"/>
          </w:p>
        </w:tc>
      </w:tr>
      <w:tr w:rsidR="000610F9" w:rsidRPr="00CF7E1B" w14:paraId="07A5BA01" w14:textId="51D4F4AC"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2" w:type="dxa"/>
            <w:tcBorders>
              <w:left w:val="single" w:sz="2" w:space="0" w:color="auto"/>
              <w:right w:val="single" w:sz="2" w:space="0" w:color="auto"/>
            </w:tcBorders>
            <w:vAlign w:val="center"/>
          </w:tcPr>
          <w:p w14:paraId="279AC431" w14:textId="77777777" w:rsidR="000610F9" w:rsidRPr="00190046" w:rsidRDefault="000610F9" w:rsidP="009C565C">
            <w:pPr>
              <w:pStyle w:val="TableReference"/>
              <w:spacing w:before="60"/>
              <w:rPr>
                <w:rFonts w:cs="Calibri"/>
                <w:color w:val="7030A0"/>
                <w:sz w:val="14"/>
              </w:rPr>
            </w:pPr>
            <w:r w:rsidRPr="00190046">
              <w:rPr>
                <w:rFonts w:cs="Calibri"/>
                <w:color w:val="7030A0"/>
                <w:sz w:val="14"/>
              </w:rPr>
              <w:t>AASB 1004.57</w:t>
            </w:r>
          </w:p>
        </w:tc>
        <w:tc>
          <w:tcPr>
            <w:tcW w:w="8929" w:type="dxa"/>
            <w:gridSpan w:val="7"/>
            <w:tcBorders>
              <w:left w:val="single" w:sz="2" w:space="0" w:color="auto"/>
            </w:tcBorders>
            <w:vAlign w:val="center"/>
          </w:tcPr>
          <w:p w14:paraId="71BB4F2F" w14:textId="6126F3E5" w:rsidR="000610F9" w:rsidRPr="00190046" w:rsidRDefault="000610F9" w:rsidP="00C746EC">
            <w:pPr>
              <w:pStyle w:val="TableText"/>
              <w:spacing w:before="0"/>
              <w:rPr>
                <w:rFonts w:cs="Calibri"/>
                <w:b/>
                <w:lang w:eastAsia="en-AU"/>
              </w:rPr>
            </w:pPr>
            <w:r w:rsidRPr="00190046">
              <w:rPr>
                <w:rFonts w:cs="Calibri"/>
                <w:b/>
                <w:lang w:eastAsia="en-AU"/>
              </w:rPr>
              <w:t>Restructures of Administrative Arrangements 2021-22</w:t>
            </w:r>
          </w:p>
        </w:tc>
      </w:tr>
      <w:tr w:rsidR="000610F9" w:rsidRPr="00CF7E1B" w14:paraId="7A8F49C6" w14:textId="39D9C313"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567"/>
        </w:trPr>
        <w:tc>
          <w:tcPr>
            <w:tcW w:w="1562" w:type="dxa"/>
            <w:tcBorders>
              <w:left w:val="single" w:sz="2" w:space="0" w:color="auto"/>
              <w:right w:val="single" w:sz="2" w:space="0" w:color="auto"/>
            </w:tcBorders>
          </w:tcPr>
          <w:p w14:paraId="7BDD6FE2" w14:textId="77777777" w:rsidR="000610F9" w:rsidRPr="00190046" w:rsidRDefault="000610F9" w:rsidP="009C565C">
            <w:pPr>
              <w:pStyle w:val="TableReference"/>
              <w:spacing w:before="60"/>
              <w:rPr>
                <w:rFonts w:cs="Calibri"/>
                <w:color w:val="7030A0"/>
                <w:sz w:val="14"/>
              </w:rPr>
            </w:pPr>
          </w:p>
        </w:tc>
        <w:tc>
          <w:tcPr>
            <w:tcW w:w="8929" w:type="dxa"/>
            <w:gridSpan w:val="7"/>
            <w:tcBorders>
              <w:left w:val="single" w:sz="2" w:space="0" w:color="auto"/>
            </w:tcBorders>
          </w:tcPr>
          <w:p w14:paraId="721D7343" w14:textId="1C1BAC61" w:rsidR="000610F9" w:rsidRPr="00190046" w:rsidRDefault="000610F9" w:rsidP="00924480">
            <w:pPr>
              <w:pStyle w:val="TableText"/>
              <w:tabs>
                <w:tab w:val="left" w:pos="3306"/>
              </w:tabs>
              <w:spacing w:before="60" w:after="60"/>
              <w:jc w:val="both"/>
              <w:rPr>
                <w:rFonts w:cs="Calibri"/>
                <w:lang w:eastAsia="en-AU"/>
              </w:rPr>
            </w:pPr>
            <w:r w:rsidRPr="00190046">
              <w:rPr>
                <w:rFonts w:cs="Calibri"/>
                <w:lang w:eastAsia="en-AU"/>
              </w:rPr>
              <w:t>On 7 January 2022, a restructuring of administrative arrangements occurred between ‘</w:t>
            </w:r>
            <w:r w:rsidR="00347866" w:rsidRPr="00190046">
              <w:t>Burley Griffin</w:t>
            </w:r>
            <w:r w:rsidRPr="00190046">
              <w:rPr>
                <w:rFonts w:cs="Calibri"/>
                <w:lang w:eastAsia="en-AU"/>
              </w:rPr>
              <w:t xml:space="preserve"> Agency’ and ABC Directorate involving a Heritage and Environment division. Please refer to </w:t>
            </w:r>
            <w:r w:rsidRPr="00190046">
              <w:rPr>
                <w:rFonts w:cs="Calibri"/>
                <w:iCs/>
                <w:lang w:eastAsia="en-AU"/>
              </w:rPr>
              <w:t xml:space="preserve">Note </w:t>
            </w:r>
            <w:r w:rsidR="00DD6620" w:rsidRPr="00190046">
              <w:rPr>
                <w:rFonts w:cs="Calibri"/>
                <w:iCs/>
                <w:lang w:eastAsia="en-AU"/>
              </w:rPr>
              <w:t>30</w:t>
            </w:r>
            <w:r w:rsidRPr="00190046">
              <w:rPr>
                <w:rFonts w:cs="Calibri"/>
                <w:i/>
                <w:lang w:eastAsia="en-AU"/>
              </w:rPr>
              <w:t>: Restructure of Administrative</w:t>
            </w:r>
            <w:r w:rsidRPr="00190046">
              <w:rPr>
                <w:rFonts w:cs="Calibri"/>
                <w:lang w:eastAsia="en-AU"/>
              </w:rPr>
              <w:t xml:space="preserve"> </w:t>
            </w:r>
            <w:r w:rsidRPr="00190046">
              <w:rPr>
                <w:rFonts w:cs="Calibri"/>
                <w:i/>
                <w:lang w:eastAsia="en-AU"/>
              </w:rPr>
              <w:t>Arrangements</w:t>
            </w:r>
            <w:r w:rsidRPr="00190046">
              <w:rPr>
                <w:rFonts w:cs="Calibri"/>
                <w:lang w:eastAsia="en-AU"/>
              </w:rPr>
              <w:t xml:space="preserve"> for details of this transfer.</w:t>
            </w:r>
          </w:p>
        </w:tc>
      </w:tr>
      <w:tr w:rsidR="000610F9" w:rsidRPr="00CF7E1B" w14:paraId="3B8815C2" w14:textId="6EDBB67E"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val="831"/>
        </w:trPr>
        <w:tc>
          <w:tcPr>
            <w:tcW w:w="1562" w:type="dxa"/>
            <w:tcBorders>
              <w:left w:val="single" w:sz="2" w:space="0" w:color="auto"/>
              <w:right w:val="single" w:sz="2" w:space="0" w:color="auto"/>
            </w:tcBorders>
          </w:tcPr>
          <w:p w14:paraId="660E39D2" w14:textId="77777777" w:rsidR="000610F9" w:rsidRPr="00190046" w:rsidRDefault="000610F9" w:rsidP="006B7685">
            <w:pPr>
              <w:rPr>
                <w:rFonts w:cs="Calibri"/>
                <w:color w:val="7030A0"/>
                <w:sz w:val="14"/>
                <w:szCs w:val="14"/>
                <w:lang w:eastAsia="en-AU"/>
              </w:rPr>
            </w:pPr>
          </w:p>
        </w:tc>
        <w:tc>
          <w:tcPr>
            <w:tcW w:w="8929" w:type="dxa"/>
            <w:gridSpan w:val="7"/>
            <w:tcBorders>
              <w:left w:val="single" w:sz="2" w:space="0" w:color="auto"/>
            </w:tcBorders>
          </w:tcPr>
          <w:p w14:paraId="7DF4E200" w14:textId="67A75C64" w:rsidR="000610F9" w:rsidRPr="00190046" w:rsidRDefault="000610F9" w:rsidP="00751D84">
            <w:pPr>
              <w:spacing w:before="60" w:after="120"/>
              <w:jc w:val="both"/>
              <w:rPr>
                <w:rFonts w:cs="Calibri"/>
                <w:sz w:val="18"/>
                <w:szCs w:val="18"/>
                <w:lang w:eastAsia="en-AU"/>
              </w:rPr>
            </w:pPr>
            <w:r w:rsidRPr="00190046">
              <w:rPr>
                <w:rFonts w:cs="Calibri"/>
                <w:sz w:val="18"/>
                <w:szCs w:val="18"/>
                <w:lang w:eastAsia="en-AU"/>
              </w:rPr>
              <w:t>The following table shows the territorial income and expenses associated with the Heritage and Environment division recognised by ‘</w:t>
            </w:r>
            <w:r w:rsidR="00347866" w:rsidRPr="00190046">
              <w:rPr>
                <w:sz w:val="18"/>
                <w:szCs w:val="18"/>
              </w:rPr>
              <w:t xml:space="preserve">Burley Griffin </w:t>
            </w:r>
            <w:r w:rsidRPr="00190046">
              <w:rPr>
                <w:rFonts w:cs="Calibri"/>
                <w:sz w:val="18"/>
                <w:szCs w:val="18"/>
                <w:lang w:eastAsia="en-AU"/>
              </w:rPr>
              <w:t>Agency’ for the year ended 30 June 2022. It also shows the income and expenses relating to when the division belonged to ABC Directorate. These income and expense figures were supplied by ABC Directorate and as such have been relied upon by ‘</w:t>
            </w:r>
            <w:r w:rsidR="00347866" w:rsidRPr="00190046">
              <w:rPr>
                <w:sz w:val="18"/>
                <w:szCs w:val="18"/>
              </w:rPr>
              <w:t xml:space="preserve">Burley Griffin </w:t>
            </w:r>
            <w:r w:rsidRPr="00190046">
              <w:rPr>
                <w:rFonts w:cs="Calibri"/>
                <w:sz w:val="18"/>
                <w:szCs w:val="18"/>
                <w:lang w:eastAsia="en-AU"/>
              </w:rPr>
              <w:t>Agency’. Finally, the table shows the total territorial income and expenses of the division for the whole financial year.</w:t>
            </w:r>
            <w:r w:rsidR="00FA7C77">
              <w:rPr>
                <w:rFonts w:cs="Calibri"/>
                <w:sz w:val="18"/>
                <w:szCs w:val="18"/>
                <w:lang w:eastAsia="en-AU"/>
              </w:rPr>
              <w:t xml:space="preserve"> </w:t>
            </w:r>
          </w:p>
        </w:tc>
      </w:tr>
      <w:tr w:rsidR="00B82EDA" w:rsidRPr="00CF7E1B" w14:paraId="2C159815" w14:textId="2E0B8424"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1300"/>
        </w:trPr>
        <w:tc>
          <w:tcPr>
            <w:tcW w:w="1562" w:type="dxa"/>
            <w:tcBorders>
              <w:left w:val="single" w:sz="2" w:space="0" w:color="auto"/>
              <w:right w:val="single" w:sz="2" w:space="0" w:color="auto"/>
            </w:tcBorders>
          </w:tcPr>
          <w:p w14:paraId="50240F39" w14:textId="77777777" w:rsidR="00B82EDA" w:rsidRPr="00190046" w:rsidRDefault="00B82EDA" w:rsidP="00117DF6">
            <w:pPr>
              <w:jc w:val="right"/>
              <w:rPr>
                <w:rFonts w:cs="Calibri"/>
                <w:color w:val="7030A0"/>
                <w:sz w:val="14"/>
                <w:szCs w:val="14"/>
                <w:lang w:eastAsia="en-AU"/>
              </w:rPr>
            </w:pPr>
          </w:p>
        </w:tc>
        <w:tc>
          <w:tcPr>
            <w:tcW w:w="3114" w:type="dxa"/>
            <w:tcBorders>
              <w:left w:val="single" w:sz="2" w:space="0" w:color="auto"/>
            </w:tcBorders>
            <w:shd w:val="clear" w:color="auto" w:fill="auto"/>
          </w:tcPr>
          <w:p w14:paraId="1268D8F9" w14:textId="77777777" w:rsidR="00B82EDA" w:rsidRPr="00190046" w:rsidRDefault="00B82EDA" w:rsidP="00117DF6">
            <w:pPr>
              <w:pStyle w:val="TableText"/>
              <w:tabs>
                <w:tab w:val="left" w:pos="3306"/>
              </w:tabs>
              <w:spacing w:before="0"/>
              <w:jc w:val="right"/>
              <w:rPr>
                <w:rFonts w:cs="Calibri"/>
                <w:b/>
                <w:bCs/>
                <w:lang w:eastAsia="en-AU"/>
              </w:rPr>
            </w:pPr>
          </w:p>
        </w:tc>
        <w:tc>
          <w:tcPr>
            <w:tcW w:w="2267" w:type="dxa"/>
            <w:shd w:val="clear" w:color="auto" w:fill="auto"/>
          </w:tcPr>
          <w:p w14:paraId="5B588513" w14:textId="50CE6E62" w:rsidR="00B82EDA" w:rsidRPr="00190046" w:rsidRDefault="00B82EDA" w:rsidP="00117DF6">
            <w:pPr>
              <w:jc w:val="right"/>
              <w:rPr>
                <w:rFonts w:cs="Calibri"/>
                <w:b/>
                <w:bCs/>
                <w:sz w:val="18"/>
                <w:szCs w:val="18"/>
                <w:lang w:eastAsia="en-AU"/>
              </w:rPr>
            </w:pPr>
            <w:r w:rsidRPr="00190046">
              <w:rPr>
                <w:rFonts w:cs="Calibri"/>
                <w:b/>
                <w:bCs/>
                <w:sz w:val="18"/>
                <w:szCs w:val="18"/>
                <w:lang w:eastAsia="en-AU"/>
              </w:rPr>
              <w:t xml:space="preserve">Amounts Relating to when the Function was held by ABC Directorate July </w:t>
            </w:r>
            <w:r w:rsidRPr="00190046">
              <w:rPr>
                <w:rFonts w:cs="Calibri"/>
                <w:b/>
                <w:bCs/>
                <w:sz w:val="18"/>
                <w:szCs w:val="18"/>
              </w:rPr>
              <w:t>2021</w:t>
            </w:r>
            <w:r w:rsidRPr="00190046">
              <w:rPr>
                <w:rFonts w:cs="Calibri"/>
                <w:b/>
                <w:bCs/>
                <w:sz w:val="18"/>
                <w:szCs w:val="18"/>
                <w:lang w:eastAsia="en-AU"/>
              </w:rPr>
              <w:t xml:space="preserve"> to Jan </w:t>
            </w:r>
            <w:r w:rsidRPr="00190046">
              <w:rPr>
                <w:rFonts w:cs="Calibri"/>
                <w:b/>
                <w:bCs/>
                <w:sz w:val="18"/>
                <w:szCs w:val="18"/>
              </w:rPr>
              <w:t>2022</w:t>
            </w:r>
          </w:p>
        </w:tc>
        <w:tc>
          <w:tcPr>
            <w:tcW w:w="2126" w:type="dxa"/>
            <w:gridSpan w:val="4"/>
            <w:shd w:val="clear" w:color="auto" w:fill="auto"/>
          </w:tcPr>
          <w:p w14:paraId="6DF601B7" w14:textId="3495AFC9" w:rsidR="00B82EDA" w:rsidRPr="00190046" w:rsidRDefault="00B82EDA" w:rsidP="00117DF6">
            <w:pPr>
              <w:jc w:val="right"/>
              <w:rPr>
                <w:rFonts w:cs="Calibri"/>
                <w:b/>
                <w:bCs/>
                <w:sz w:val="18"/>
                <w:szCs w:val="18"/>
                <w:lang w:eastAsia="en-AU"/>
              </w:rPr>
            </w:pPr>
            <w:r w:rsidRPr="00190046">
              <w:rPr>
                <w:rFonts w:cs="Calibri"/>
                <w:b/>
                <w:bCs/>
                <w:sz w:val="18"/>
                <w:szCs w:val="18"/>
                <w:lang w:eastAsia="en-AU"/>
              </w:rPr>
              <w:t xml:space="preserve">Amounts Relating to when the Function was held by ‘Burley Griffin Agency’ Jan </w:t>
            </w:r>
            <w:r w:rsidRPr="00190046">
              <w:rPr>
                <w:rFonts w:cs="Calibri"/>
                <w:b/>
                <w:bCs/>
                <w:sz w:val="18"/>
                <w:szCs w:val="18"/>
              </w:rPr>
              <w:t>2022</w:t>
            </w:r>
            <w:r w:rsidRPr="00190046">
              <w:rPr>
                <w:rFonts w:cs="Calibri"/>
                <w:b/>
                <w:bCs/>
                <w:sz w:val="18"/>
                <w:szCs w:val="18"/>
                <w:lang w:eastAsia="en-AU"/>
              </w:rPr>
              <w:t xml:space="preserve"> to June </w:t>
            </w:r>
            <w:r w:rsidRPr="00190046">
              <w:rPr>
                <w:rFonts w:cs="Calibri"/>
                <w:b/>
                <w:bCs/>
                <w:sz w:val="18"/>
                <w:szCs w:val="18"/>
              </w:rPr>
              <w:t>2022</w:t>
            </w:r>
          </w:p>
        </w:tc>
        <w:tc>
          <w:tcPr>
            <w:tcW w:w="1422" w:type="dxa"/>
            <w:shd w:val="clear" w:color="auto" w:fill="auto"/>
            <w:vAlign w:val="bottom"/>
          </w:tcPr>
          <w:p w14:paraId="7CA23164" w14:textId="77777777" w:rsidR="006B468D" w:rsidRDefault="00B82EDA" w:rsidP="00117DF6">
            <w:pPr>
              <w:pStyle w:val="TableText"/>
              <w:tabs>
                <w:tab w:val="left" w:pos="3306"/>
              </w:tabs>
              <w:spacing w:before="0"/>
              <w:jc w:val="right"/>
              <w:rPr>
                <w:rFonts w:cs="Calibri"/>
                <w:b/>
                <w:bCs/>
                <w:lang w:eastAsia="en-AU"/>
              </w:rPr>
            </w:pPr>
            <w:r w:rsidRPr="00190046">
              <w:rPr>
                <w:rFonts w:cs="Calibri"/>
                <w:b/>
                <w:bCs/>
                <w:lang w:eastAsia="en-AU"/>
              </w:rPr>
              <w:t>Total</w:t>
            </w:r>
            <w:r w:rsidR="00FA7C77">
              <w:rPr>
                <w:rFonts w:cs="Calibri"/>
                <w:b/>
                <w:bCs/>
                <w:lang w:eastAsia="en-AU"/>
              </w:rPr>
              <w:t xml:space="preserve">    </w:t>
            </w:r>
          </w:p>
          <w:p w14:paraId="4E0F57F3" w14:textId="7F4E5F12" w:rsidR="00B82EDA" w:rsidRPr="00190046" w:rsidRDefault="00FA7C77" w:rsidP="00117DF6">
            <w:pPr>
              <w:pStyle w:val="TableText"/>
              <w:tabs>
                <w:tab w:val="left" w:pos="3306"/>
              </w:tabs>
              <w:spacing w:before="0"/>
              <w:jc w:val="right"/>
              <w:rPr>
                <w:rFonts w:cs="Calibri"/>
                <w:b/>
                <w:bCs/>
                <w:lang w:eastAsia="en-AU"/>
              </w:rPr>
            </w:pPr>
            <w:r>
              <w:rPr>
                <w:rFonts w:cs="Calibri"/>
                <w:b/>
                <w:bCs/>
                <w:lang w:eastAsia="en-AU"/>
              </w:rPr>
              <w:t xml:space="preserve">  </w:t>
            </w:r>
            <w:r w:rsidR="00751D84" w:rsidRPr="00190046">
              <w:rPr>
                <w:rFonts w:cs="Calibri"/>
                <w:b/>
                <w:bCs/>
              </w:rPr>
              <w:t>2022</w:t>
            </w:r>
          </w:p>
          <w:p w14:paraId="11ACC531" w14:textId="794DD08E" w:rsidR="00B82EDA" w:rsidRPr="00190046" w:rsidRDefault="00B82EDA" w:rsidP="00117DF6">
            <w:pPr>
              <w:pStyle w:val="TableText"/>
              <w:tabs>
                <w:tab w:val="left" w:pos="3306"/>
              </w:tabs>
              <w:spacing w:before="0"/>
              <w:jc w:val="right"/>
              <w:rPr>
                <w:rFonts w:cs="Calibri"/>
                <w:b/>
                <w:bCs/>
                <w:lang w:eastAsia="en-AU"/>
              </w:rPr>
            </w:pPr>
          </w:p>
        </w:tc>
      </w:tr>
      <w:tr w:rsidR="00B82EDA" w:rsidRPr="00CF7E1B" w14:paraId="0876E790" w14:textId="27F6D64E"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227"/>
        </w:trPr>
        <w:tc>
          <w:tcPr>
            <w:tcW w:w="1562" w:type="dxa"/>
            <w:tcBorders>
              <w:left w:val="single" w:sz="2" w:space="0" w:color="auto"/>
              <w:right w:val="single" w:sz="2" w:space="0" w:color="auto"/>
            </w:tcBorders>
          </w:tcPr>
          <w:p w14:paraId="2E494A12" w14:textId="77777777" w:rsidR="00B82EDA" w:rsidRPr="00190046" w:rsidRDefault="00B82EDA"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4CAB57F9" w14:textId="77777777" w:rsidR="00B82EDA" w:rsidRPr="00190046" w:rsidRDefault="00B82EDA" w:rsidP="000610F9">
            <w:pPr>
              <w:pStyle w:val="TableText"/>
              <w:tabs>
                <w:tab w:val="left" w:pos="3306"/>
              </w:tabs>
              <w:rPr>
                <w:rFonts w:cs="Calibri"/>
                <w:b/>
                <w:bCs/>
                <w:lang w:eastAsia="en-AU"/>
              </w:rPr>
            </w:pPr>
          </w:p>
        </w:tc>
        <w:tc>
          <w:tcPr>
            <w:tcW w:w="2267" w:type="dxa"/>
            <w:shd w:val="clear" w:color="auto" w:fill="auto"/>
            <w:vAlign w:val="bottom"/>
          </w:tcPr>
          <w:p w14:paraId="645AD794" w14:textId="77777777" w:rsidR="00B82EDA" w:rsidRPr="00190046" w:rsidRDefault="00B82EDA" w:rsidP="00117DF6">
            <w:pPr>
              <w:pStyle w:val="TableText"/>
              <w:tabs>
                <w:tab w:val="left" w:pos="3306"/>
              </w:tabs>
              <w:spacing w:before="0"/>
              <w:jc w:val="right"/>
              <w:rPr>
                <w:rFonts w:cs="Calibri"/>
                <w:b/>
                <w:bCs/>
                <w:lang w:eastAsia="en-AU"/>
              </w:rPr>
            </w:pPr>
            <w:r w:rsidRPr="00190046">
              <w:rPr>
                <w:rFonts w:cs="Calibri"/>
                <w:b/>
                <w:bCs/>
                <w:lang w:eastAsia="en-AU"/>
              </w:rPr>
              <w:t>$’000</w:t>
            </w:r>
          </w:p>
        </w:tc>
        <w:tc>
          <w:tcPr>
            <w:tcW w:w="2126" w:type="dxa"/>
            <w:gridSpan w:val="4"/>
            <w:shd w:val="clear" w:color="auto" w:fill="auto"/>
            <w:vAlign w:val="bottom"/>
          </w:tcPr>
          <w:p w14:paraId="0C0D26BB" w14:textId="77777777" w:rsidR="00B82EDA" w:rsidRPr="00190046" w:rsidRDefault="00B82EDA" w:rsidP="00117DF6">
            <w:pPr>
              <w:pStyle w:val="TableText"/>
              <w:tabs>
                <w:tab w:val="left" w:pos="3306"/>
              </w:tabs>
              <w:spacing w:before="0"/>
              <w:jc w:val="right"/>
              <w:rPr>
                <w:rFonts w:cs="Calibri"/>
                <w:b/>
                <w:bCs/>
                <w:lang w:eastAsia="en-AU"/>
              </w:rPr>
            </w:pPr>
            <w:r w:rsidRPr="00190046">
              <w:rPr>
                <w:rFonts w:cs="Calibri"/>
                <w:b/>
                <w:bCs/>
                <w:lang w:eastAsia="en-AU"/>
              </w:rPr>
              <w:t>$’000</w:t>
            </w:r>
          </w:p>
        </w:tc>
        <w:tc>
          <w:tcPr>
            <w:tcW w:w="1422" w:type="dxa"/>
            <w:shd w:val="clear" w:color="auto" w:fill="auto"/>
            <w:vAlign w:val="bottom"/>
          </w:tcPr>
          <w:p w14:paraId="6F937EDD" w14:textId="77777777" w:rsidR="00B82EDA" w:rsidRPr="00190046" w:rsidRDefault="00B82EDA" w:rsidP="00117DF6">
            <w:pPr>
              <w:pStyle w:val="TableText"/>
              <w:tabs>
                <w:tab w:val="left" w:pos="3306"/>
              </w:tabs>
              <w:spacing w:before="0"/>
              <w:jc w:val="right"/>
              <w:rPr>
                <w:rFonts w:cs="Calibri"/>
                <w:b/>
                <w:bCs/>
                <w:lang w:eastAsia="en-AU"/>
              </w:rPr>
            </w:pPr>
            <w:r w:rsidRPr="00190046">
              <w:rPr>
                <w:rFonts w:cs="Calibri"/>
                <w:b/>
                <w:bCs/>
                <w:lang w:eastAsia="en-AU"/>
              </w:rPr>
              <w:t>$’000</w:t>
            </w:r>
          </w:p>
        </w:tc>
      </w:tr>
      <w:tr w:rsidR="00B82EDA" w:rsidRPr="00CF7E1B" w14:paraId="2058AEDD" w14:textId="5B93D70E"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2" w:type="dxa"/>
            <w:tcBorders>
              <w:left w:val="single" w:sz="2" w:space="0" w:color="auto"/>
              <w:right w:val="single" w:sz="2" w:space="0" w:color="auto"/>
            </w:tcBorders>
          </w:tcPr>
          <w:p w14:paraId="549E3BC7" w14:textId="77777777" w:rsidR="00B82EDA" w:rsidRPr="00190046" w:rsidRDefault="00B82EDA"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55683189" w14:textId="77777777" w:rsidR="00B82EDA" w:rsidRPr="00190046" w:rsidRDefault="00B82EDA" w:rsidP="000610F9">
            <w:pPr>
              <w:pStyle w:val="TableText"/>
              <w:tabs>
                <w:tab w:val="left" w:pos="3306"/>
              </w:tabs>
              <w:rPr>
                <w:rFonts w:cs="Calibri"/>
                <w:b/>
                <w:bCs/>
                <w:lang w:eastAsia="en-AU"/>
              </w:rPr>
            </w:pPr>
            <w:r w:rsidRPr="00190046">
              <w:rPr>
                <w:rFonts w:cs="Calibri"/>
                <w:b/>
                <w:bCs/>
                <w:lang w:eastAsia="en-AU"/>
              </w:rPr>
              <w:t>Income</w:t>
            </w:r>
          </w:p>
        </w:tc>
        <w:tc>
          <w:tcPr>
            <w:tcW w:w="2267" w:type="dxa"/>
            <w:shd w:val="clear" w:color="auto" w:fill="auto"/>
            <w:vAlign w:val="bottom"/>
          </w:tcPr>
          <w:p w14:paraId="1941325C" w14:textId="77777777" w:rsidR="00B82EDA" w:rsidRPr="00190046" w:rsidRDefault="00B82EDA" w:rsidP="000610F9">
            <w:pPr>
              <w:pStyle w:val="TableText"/>
              <w:tabs>
                <w:tab w:val="left" w:pos="3306"/>
              </w:tabs>
              <w:jc w:val="right"/>
              <w:rPr>
                <w:rFonts w:cs="Calibri"/>
                <w:b/>
                <w:bCs/>
                <w:lang w:eastAsia="en-AU"/>
              </w:rPr>
            </w:pPr>
          </w:p>
        </w:tc>
        <w:tc>
          <w:tcPr>
            <w:tcW w:w="2126" w:type="dxa"/>
            <w:gridSpan w:val="4"/>
            <w:shd w:val="clear" w:color="auto" w:fill="auto"/>
            <w:vAlign w:val="bottom"/>
          </w:tcPr>
          <w:p w14:paraId="7535A1E0" w14:textId="77777777" w:rsidR="00B82EDA" w:rsidRPr="00190046" w:rsidRDefault="00B82EDA" w:rsidP="000610F9">
            <w:pPr>
              <w:pStyle w:val="TableText"/>
              <w:tabs>
                <w:tab w:val="left" w:pos="3306"/>
              </w:tabs>
              <w:jc w:val="right"/>
              <w:rPr>
                <w:rFonts w:cs="Calibri"/>
                <w:b/>
                <w:bCs/>
                <w:lang w:eastAsia="en-AU"/>
              </w:rPr>
            </w:pPr>
          </w:p>
        </w:tc>
        <w:tc>
          <w:tcPr>
            <w:tcW w:w="1422" w:type="dxa"/>
            <w:shd w:val="clear" w:color="auto" w:fill="auto"/>
            <w:vAlign w:val="bottom"/>
          </w:tcPr>
          <w:p w14:paraId="258FFFE5" w14:textId="77777777" w:rsidR="00B82EDA" w:rsidRPr="00190046" w:rsidRDefault="00B82EDA" w:rsidP="000610F9">
            <w:pPr>
              <w:pStyle w:val="TableText"/>
              <w:tabs>
                <w:tab w:val="left" w:pos="3306"/>
              </w:tabs>
              <w:jc w:val="right"/>
              <w:rPr>
                <w:rFonts w:cs="Calibri"/>
                <w:b/>
                <w:bCs/>
                <w:lang w:eastAsia="en-AU"/>
              </w:rPr>
            </w:pPr>
          </w:p>
        </w:tc>
      </w:tr>
      <w:tr w:rsidR="00B82EDA" w:rsidRPr="00CF7E1B" w14:paraId="645566C5" w14:textId="21C59BD1"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2" w:type="dxa"/>
            <w:tcBorders>
              <w:left w:val="single" w:sz="2" w:space="0" w:color="auto"/>
              <w:right w:val="single" w:sz="2" w:space="0" w:color="auto"/>
            </w:tcBorders>
          </w:tcPr>
          <w:p w14:paraId="05391062" w14:textId="77777777" w:rsidR="00B82EDA" w:rsidRPr="00190046" w:rsidRDefault="00B82EDA"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793626A3" w14:textId="77777777" w:rsidR="00B82EDA" w:rsidRPr="00190046" w:rsidRDefault="00B82EDA" w:rsidP="000610F9">
            <w:pPr>
              <w:pStyle w:val="TableText"/>
              <w:tabs>
                <w:tab w:val="left" w:pos="3306"/>
              </w:tabs>
              <w:rPr>
                <w:rFonts w:cs="Calibri"/>
                <w:bCs/>
                <w:lang w:eastAsia="en-AU"/>
              </w:rPr>
            </w:pPr>
            <w:r w:rsidRPr="00190046">
              <w:rPr>
                <w:rFonts w:cs="Calibri"/>
                <w:bCs/>
                <w:lang w:eastAsia="en-AU"/>
              </w:rPr>
              <w:t>Payment for Expenses on Behalf of the Territory</w:t>
            </w:r>
          </w:p>
        </w:tc>
        <w:tc>
          <w:tcPr>
            <w:tcW w:w="2267" w:type="dxa"/>
            <w:tcBorders>
              <w:bottom w:val="single" w:sz="2" w:space="0" w:color="auto"/>
            </w:tcBorders>
            <w:shd w:val="clear" w:color="auto" w:fill="auto"/>
            <w:vAlign w:val="bottom"/>
          </w:tcPr>
          <w:p w14:paraId="2D752D68" w14:textId="75CC7A8F" w:rsidR="00B82EDA" w:rsidRPr="00190046" w:rsidRDefault="00B82EDA" w:rsidP="000610F9">
            <w:pPr>
              <w:pStyle w:val="TableText"/>
              <w:tabs>
                <w:tab w:val="left" w:pos="3306"/>
              </w:tabs>
              <w:jc w:val="right"/>
              <w:rPr>
                <w:rFonts w:cs="Calibri"/>
                <w:bCs/>
                <w:lang w:eastAsia="en-AU"/>
              </w:rPr>
            </w:pPr>
          </w:p>
        </w:tc>
        <w:tc>
          <w:tcPr>
            <w:tcW w:w="2126" w:type="dxa"/>
            <w:gridSpan w:val="4"/>
            <w:tcBorders>
              <w:bottom w:val="single" w:sz="2" w:space="0" w:color="auto"/>
            </w:tcBorders>
            <w:shd w:val="clear" w:color="auto" w:fill="auto"/>
            <w:vAlign w:val="bottom"/>
          </w:tcPr>
          <w:p w14:paraId="035BC1BB" w14:textId="0A40DF8A" w:rsidR="00B82EDA" w:rsidRPr="00190046" w:rsidRDefault="00B82EDA" w:rsidP="000610F9">
            <w:pPr>
              <w:pStyle w:val="TableText"/>
              <w:tabs>
                <w:tab w:val="left" w:pos="3306"/>
              </w:tabs>
              <w:jc w:val="right"/>
              <w:rPr>
                <w:rFonts w:cs="Calibri"/>
                <w:bCs/>
                <w:lang w:eastAsia="en-AU"/>
              </w:rPr>
            </w:pPr>
          </w:p>
        </w:tc>
        <w:tc>
          <w:tcPr>
            <w:tcW w:w="1422" w:type="dxa"/>
            <w:tcBorders>
              <w:bottom w:val="single" w:sz="2" w:space="0" w:color="auto"/>
            </w:tcBorders>
            <w:shd w:val="clear" w:color="auto" w:fill="auto"/>
            <w:vAlign w:val="bottom"/>
          </w:tcPr>
          <w:p w14:paraId="7223D954" w14:textId="4502749F" w:rsidR="00B82EDA" w:rsidRPr="00190046" w:rsidRDefault="00B82EDA" w:rsidP="000610F9">
            <w:pPr>
              <w:pStyle w:val="TableText"/>
              <w:tabs>
                <w:tab w:val="left" w:pos="3306"/>
              </w:tabs>
              <w:jc w:val="right"/>
              <w:rPr>
                <w:rFonts w:cs="Calibri"/>
                <w:bCs/>
                <w:lang w:eastAsia="en-AU"/>
              </w:rPr>
            </w:pPr>
          </w:p>
        </w:tc>
      </w:tr>
      <w:tr w:rsidR="00B82EDA" w:rsidRPr="00CF7E1B" w14:paraId="0354C5EE" w14:textId="133F191F"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2" w:type="dxa"/>
            <w:tcBorders>
              <w:left w:val="single" w:sz="2" w:space="0" w:color="auto"/>
              <w:right w:val="single" w:sz="2" w:space="0" w:color="auto"/>
            </w:tcBorders>
          </w:tcPr>
          <w:p w14:paraId="3B548C20" w14:textId="77777777" w:rsidR="00B82EDA" w:rsidRPr="00190046" w:rsidRDefault="00B82EDA"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35908B6E" w14:textId="1B1FB969" w:rsidR="00B82EDA" w:rsidRPr="00190046" w:rsidRDefault="00B82EDA" w:rsidP="000610F9">
            <w:pPr>
              <w:pStyle w:val="TableText"/>
              <w:tabs>
                <w:tab w:val="left" w:pos="3306"/>
              </w:tabs>
              <w:rPr>
                <w:rFonts w:cs="Calibri"/>
                <w:b/>
                <w:bCs/>
                <w:lang w:eastAsia="en-AU"/>
              </w:rPr>
            </w:pPr>
            <w:r w:rsidRPr="00190046">
              <w:rPr>
                <w:rFonts w:cs="Calibri"/>
                <w:b/>
                <w:bCs/>
                <w:lang w:eastAsia="en-AU"/>
              </w:rPr>
              <w:t>Total Income</w:t>
            </w:r>
          </w:p>
        </w:tc>
        <w:tc>
          <w:tcPr>
            <w:tcW w:w="2267" w:type="dxa"/>
            <w:tcBorders>
              <w:top w:val="single" w:sz="2" w:space="0" w:color="auto"/>
              <w:bottom w:val="single" w:sz="2" w:space="0" w:color="auto"/>
            </w:tcBorders>
            <w:shd w:val="clear" w:color="auto" w:fill="auto"/>
            <w:vAlign w:val="bottom"/>
          </w:tcPr>
          <w:p w14:paraId="0541D2B5" w14:textId="54B3BDED" w:rsidR="00B82EDA" w:rsidRPr="00190046" w:rsidRDefault="00B82EDA" w:rsidP="000610F9">
            <w:pPr>
              <w:pStyle w:val="TableText"/>
              <w:tabs>
                <w:tab w:val="left" w:pos="3306"/>
              </w:tabs>
              <w:jc w:val="right"/>
              <w:rPr>
                <w:rFonts w:cs="Calibri"/>
                <w:b/>
                <w:bCs/>
                <w:lang w:eastAsia="en-AU"/>
              </w:rPr>
            </w:pPr>
          </w:p>
        </w:tc>
        <w:tc>
          <w:tcPr>
            <w:tcW w:w="2126" w:type="dxa"/>
            <w:gridSpan w:val="4"/>
            <w:tcBorders>
              <w:top w:val="single" w:sz="2" w:space="0" w:color="auto"/>
              <w:bottom w:val="single" w:sz="2" w:space="0" w:color="auto"/>
            </w:tcBorders>
            <w:shd w:val="clear" w:color="auto" w:fill="auto"/>
            <w:vAlign w:val="bottom"/>
          </w:tcPr>
          <w:p w14:paraId="493D11C4" w14:textId="0C91E967" w:rsidR="00B82EDA" w:rsidRPr="00190046" w:rsidRDefault="00B82EDA" w:rsidP="000610F9">
            <w:pPr>
              <w:pStyle w:val="TableText"/>
              <w:tabs>
                <w:tab w:val="left" w:pos="3306"/>
              </w:tabs>
              <w:jc w:val="right"/>
              <w:rPr>
                <w:rFonts w:cs="Calibri"/>
                <w:b/>
                <w:bCs/>
                <w:lang w:eastAsia="en-AU"/>
              </w:rPr>
            </w:pPr>
          </w:p>
        </w:tc>
        <w:tc>
          <w:tcPr>
            <w:tcW w:w="1422" w:type="dxa"/>
            <w:tcBorders>
              <w:top w:val="single" w:sz="2" w:space="0" w:color="auto"/>
              <w:bottom w:val="single" w:sz="2" w:space="0" w:color="auto"/>
            </w:tcBorders>
            <w:shd w:val="clear" w:color="auto" w:fill="auto"/>
            <w:vAlign w:val="bottom"/>
          </w:tcPr>
          <w:p w14:paraId="46DF65E4" w14:textId="4086C074" w:rsidR="00B82EDA" w:rsidRPr="00190046" w:rsidRDefault="00B82EDA" w:rsidP="000610F9">
            <w:pPr>
              <w:pStyle w:val="TableText"/>
              <w:tabs>
                <w:tab w:val="left" w:pos="3306"/>
              </w:tabs>
              <w:jc w:val="right"/>
              <w:rPr>
                <w:rFonts w:cs="Calibri"/>
                <w:b/>
                <w:bCs/>
                <w:lang w:eastAsia="en-AU"/>
              </w:rPr>
            </w:pPr>
          </w:p>
        </w:tc>
      </w:tr>
      <w:tr w:rsidR="00B82EDA" w:rsidRPr="00CF7E1B" w14:paraId="41A5C5B6" w14:textId="5F31DE8D"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Height w:hRule="exact" w:val="113"/>
        </w:trPr>
        <w:tc>
          <w:tcPr>
            <w:tcW w:w="1562" w:type="dxa"/>
            <w:tcBorders>
              <w:left w:val="single" w:sz="2" w:space="0" w:color="auto"/>
              <w:right w:val="single" w:sz="2" w:space="0" w:color="auto"/>
            </w:tcBorders>
          </w:tcPr>
          <w:p w14:paraId="6639F6BA" w14:textId="77777777" w:rsidR="00B82EDA" w:rsidRPr="00190046" w:rsidRDefault="00B82EDA"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58BB3169" w14:textId="77777777" w:rsidR="00B82EDA" w:rsidRPr="00190046" w:rsidRDefault="00B82EDA" w:rsidP="000610F9">
            <w:pPr>
              <w:pStyle w:val="TableText"/>
              <w:tabs>
                <w:tab w:val="left" w:pos="3306"/>
              </w:tabs>
              <w:rPr>
                <w:rFonts w:cs="Calibri"/>
                <w:b/>
                <w:bCs/>
                <w:lang w:eastAsia="en-AU"/>
              </w:rPr>
            </w:pPr>
          </w:p>
        </w:tc>
        <w:tc>
          <w:tcPr>
            <w:tcW w:w="2267" w:type="dxa"/>
            <w:tcBorders>
              <w:top w:val="single" w:sz="2" w:space="0" w:color="auto"/>
            </w:tcBorders>
            <w:shd w:val="clear" w:color="auto" w:fill="auto"/>
            <w:vAlign w:val="bottom"/>
          </w:tcPr>
          <w:p w14:paraId="206372F2" w14:textId="77777777" w:rsidR="00B82EDA" w:rsidRPr="00190046" w:rsidRDefault="00B82EDA" w:rsidP="000610F9">
            <w:pPr>
              <w:pStyle w:val="TableText"/>
              <w:tabs>
                <w:tab w:val="left" w:pos="3306"/>
              </w:tabs>
              <w:jc w:val="right"/>
              <w:rPr>
                <w:rFonts w:cs="Calibri"/>
                <w:b/>
                <w:bCs/>
                <w:lang w:eastAsia="en-AU"/>
              </w:rPr>
            </w:pPr>
          </w:p>
        </w:tc>
        <w:tc>
          <w:tcPr>
            <w:tcW w:w="2126" w:type="dxa"/>
            <w:gridSpan w:val="4"/>
            <w:tcBorders>
              <w:top w:val="single" w:sz="2" w:space="0" w:color="auto"/>
            </w:tcBorders>
            <w:shd w:val="clear" w:color="auto" w:fill="auto"/>
            <w:vAlign w:val="bottom"/>
          </w:tcPr>
          <w:p w14:paraId="223D73AD" w14:textId="77777777" w:rsidR="00B82EDA" w:rsidRPr="00190046" w:rsidRDefault="00B82EDA" w:rsidP="000610F9">
            <w:pPr>
              <w:pStyle w:val="TableText"/>
              <w:tabs>
                <w:tab w:val="left" w:pos="3306"/>
              </w:tabs>
              <w:jc w:val="right"/>
              <w:rPr>
                <w:rFonts w:cs="Calibri"/>
                <w:b/>
                <w:bCs/>
                <w:lang w:eastAsia="en-AU"/>
              </w:rPr>
            </w:pPr>
          </w:p>
        </w:tc>
        <w:tc>
          <w:tcPr>
            <w:tcW w:w="1422" w:type="dxa"/>
            <w:tcBorders>
              <w:top w:val="single" w:sz="2" w:space="0" w:color="auto"/>
            </w:tcBorders>
            <w:shd w:val="clear" w:color="auto" w:fill="auto"/>
            <w:vAlign w:val="bottom"/>
          </w:tcPr>
          <w:p w14:paraId="2A8B6B72" w14:textId="77777777" w:rsidR="00B82EDA" w:rsidRPr="00190046" w:rsidRDefault="00B82EDA" w:rsidP="000610F9">
            <w:pPr>
              <w:pStyle w:val="TableText"/>
              <w:tabs>
                <w:tab w:val="left" w:pos="3306"/>
              </w:tabs>
              <w:jc w:val="right"/>
              <w:rPr>
                <w:rFonts w:cs="Calibri"/>
                <w:b/>
                <w:bCs/>
                <w:lang w:eastAsia="en-AU"/>
              </w:rPr>
            </w:pPr>
          </w:p>
        </w:tc>
      </w:tr>
      <w:tr w:rsidR="00B82EDA" w:rsidRPr="00CF7E1B" w14:paraId="71206AFC" w14:textId="3523988D"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2" w:type="dxa"/>
            <w:tcBorders>
              <w:left w:val="single" w:sz="2" w:space="0" w:color="auto"/>
              <w:right w:val="single" w:sz="2" w:space="0" w:color="auto"/>
            </w:tcBorders>
          </w:tcPr>
          <w:p w14:paraId="0F9EB408" w14:textId="77777777" w:rsidR="00B82EDA" w:rsidRPr="00190046" w:rsidRDefault="00B82EDA"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566D535F" w14:textId="77777777" w:rsidR="00B82EDA" w:rsidRPr="00190046" w:rsidRDefault="00B82EDA" w:rsidP="000610F9">
            <w:pPr>
              <w:pStyle w:val="TableText"/>
              <w:tabs>
                <w:tab w:val="left" w:pos="3306"/>
              </w:tabs>
              <w:rPr>
                <w:rFonts w:cs="Calibri"/>
                <w:b/>
                <w:bCs/>
                <w:lang w:eastAsia="en-AU"/>
              </w:rPr>
            </w:pPr>
            <w:r w:rsidRPr="00190046">
              <w:rPr>
                <w:rFonts w:cs="Calibri"/>
                <w:b/>
                <w:bCs/>
                <w:lang w:eastAsia="en-AU"/>
              </w:rPr>
              <w:t>Expenses</w:t>
            </w:r>
          </w:p>
        </w:tc>
        <w:tc>
          <w:tcPr>
            <w:tcW w:w="2267" w:type="dxa"/>
            <w:shd w:val="clear" w:color="auto" w:fill="auto"/>
            <w:vAlign w:val="bottom"/>
          </w:tcPr>
          <w:p w14:paraId="3B2453C1" w14:textId="77777777" w:rsidR="00B82EDA" w:rsidRPr="00190046" w:rsidRDefault="00B82EDA" w:rsidP="000610F9">
            <w:pPr>
              <w:pStyle w:val="TableText"/>
              <w:tabs>
                <w:tab w:val="left" w:pos="3306"/>
              </w:tabs>
              <w:jc w:val="right"/>
              <w:rPr>
                <w:rFonts w:cs="Calibri"/>
                <w:b/>
                <w:bCs/>
                <w:lang w:eastAsia="en-AU"/>
              </w:rPr>
            </w:pPr>
          </w:p>
        </w:tc>
        <w:tc>
          <w:tcPr>
            <w:tcW w:w="2126" w:type="dxa"/>
            <w:gridSpan w:val="4"/>
            <w:shd w:val="clear" w:color="auto" w:fill="auto"/>
            <w:vAlign w:val="bottom"/>
          </w:tcPr>
          <w:p w14:paraId="7BADF0B2" w14:textId="77777777" w:rsidR="00B82EDA" w:rsidRPr="00190046" w:rsidRDefault="00B82EDA" w:rsidP="000610F9">
            <w:pPr>
              <w:pStyle w:val="TableText"/>
              <w:tabs>
                <w:tab w:val="left" w:pos="3306"/>
              </w:tabs>
              <w:jc w:val="right"/>
              <w:rPr>
                <w:rFonts w:cs="Calibri"/>
                <w:b/>
                <w:bCs/>
                <w:lang w:eastAsia="en-AU"/>
              </w:rPr>
            </w:pPr>
          </w:p>
        </w:tc>
        <w:tc>
          <w:tcPr>
            <w:tcW w:w="1422" w:type="dxa"/>
            <w:shd w:val="clear" w:color="auto" w:fill="auto"/>
            <w:vAlign w:val="bottom"/>
          </w:tcPr>
          <w:p w14:paraId="5AF7D7D8" w14:textId="77777777" w:rsidR="00B82EDA" w:rsidRPr="00190046" w:rsidRDefault="00B82EDA" w:rsidP="000610F9">
            <w:pPr>
              <w:pStyle w:val="TableText"/>
              <w:tabs>
                <w:tab w:val="left" w:pos="3306"/>
              </w:tabs>
              <w:jc w:val="right"/>
              <w:rPr>
                <w:rFonts w:cs="Calibri"/>
                <w:b/>
                <w:bCs/>
                <w:lang w:eastAsia="en-AU"/>
              </w:rPr>
            </w:pPr>
          </w:p>
        </w:tc>
      </w:tr>
      <w:tr w:rsidR="00B82EDA" w:rsidRPr="00CF7E1B" w14:paraId="32953A83" w14:textId="68978CB5"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2" w:type="dxa"/>
            <w:tcBorders>
              <w:left w:val="single" w:sz="2" w:space="0" w:color="auto"/>
              <w:right w:val="single" w:sz="2" w:space="0" w:color="auto"/>
            </w:tcBorders>
          </w:tcPr>
          <w:p w14:paraId="03B52682" w14:textId="77777777" w:rsidR="00B82EDA" w:rsidRPr="00190046" w:rsidRDefault="00B82EDA"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5792FE80" w14:textId="77777777" w:rsidR="00B82EDA" w:rsidRPr="00190046" w:rsidRDefault="00B82EDA" w:rsidP="000610F9">
            <w:pPr>
              <w:pStyle w:val="TableText"/>
              <w:tabs>
                <w:tab w:val="left" w:pos="3306"/>
              </w:tabs>
              <w:rPr>
                <w:rFonts w:cs="Calibri"/>
                <w:bCs/>
                <w:lang w:eastAsia="en-AU"/>
              </w:rPr>
            </w:pPr>
            <w:r w:rsidRPr="00190046">
              <w:rPr>
                <w:rFonts w:cs="Calibri"/>
                <w:bCs/>
                <w:lang w:eastAsia="en-AU"/>
              </w:rPr>
              <w:t>Grants and Purchased Services</w:t>
            </w:r>
          </w:p>
        </w:tc>
        <w:tc>
          <w:tcPr>
            <w:tcW w:w="2267" w:type="dxa"/>
            <w:tcBorders>
              <w:bottom w:val="single" w:sz="2" w:space="0" w:color="auto"/>
            </w:tcBorders>
            <w:shd w:val="clear" w:color="auto" w:fill="auto"/>
            <w:vAlign w:val="bottom"/>
          </w:tcPr>
          <w:p w14:paraId="3D3A53F6" w14:textId="38F4601B" w:rsidR="00B82EDA" w:rsidRPr="00190046" w:rsidRDefault="00B82EDA" w:rsidP="000610F9">
            <w:pPr>
              <w:pStyle w:val="TableText"/>
              <w:tabs>
                <w:tab w:val="left" w:pos="3306"/>
              </w:tabs>
              <w:jc w:val="right"/>
              <w:rPr>
                <w:rFonts w:cs="Calibri"/>
                <w:bCs/>
                <w:lang w:eastAsia="en-AU"/>
              </w:rPr>
            </w:pPr>
          </w:p>
        </w:tc>
        <w:tc>
          <w:tcPr>
            <w:tcW w:w="2126" w:type="dxa"/>
            <w:gridSpan w:val="4"/>
            <w:tcBorders>
              <w:bottom w:val="single" w:sz="2" w:space="0" w:color="auto"/>
            </w:tcBorders>
            <w:shd w:val="clear" w:color="auto" w:fill="auto"/>
            <w:vAlign w:val="bottom"/>
          </w:tcPr>
          <w:p w14:paraId="01B3C795" w14:textId="63D68D37" w:rsidR="00B82EDA" w:rsidRPr="00190046" w:rsidRDefault="00B82EDA" w:rsidP="000610F9">
            <w:pPr>
              <w:pStyle w:val="TableText"/>
              <w:tabs>
                <w:tab w:val="left" w:pos="3306"/>
              </w:tabs>
              <w:jc w:val="right"/>
              <w:rPr>
                <w:rFonts w:cs="Calibri"/>
                <w:bCs/>
                <w:lang w:eastAsia="en-AU"/>
              </w:rPr>
            </w:pPr>
          </w:p>
        </w:tc>
        <w:tc>
          <w:tcPr>
            <w:tcW w:w="1422" w:type="dxa"/>
            <w:tcBorders>
              <w:bottom w:val="single" w:sz="2" w:space="0" w:color="auto"/>
            </w:tcBorders>
            <w:shd w:val="clear" w:color="auto" w:fill="auto"/>
            <w:vAlign w:val="bottom"/>
          </w:tcPr>
          <w:p w14:paraId="68FC4FFB" w14:textId="0E8A1F11" w:rsidR="00B82EDA" w:rsidRPr="00190046" w:rsidRDefault="00B82EDA" w:rsidP="000610F9">
            <w:pPr>
              <w:pStyle w:val="TableText"/>
              <w:tabs>
                <w:tab w:val="left" w:pos="3306"/>
              </w:tabs>
              <w:jc w:val="right"/>
              <w:rPr>
                <w:rFonts w:cs="Calibri"/>
                <w:bCs/>
                <w:lang w:eastAsia="en-AU"/>
              </w:rPr>
            </w:pPr>
          </w:p>
        </w:tc>
      </w:tr>
      <w:tr w:rsidR="00B82EDA" w:rsidRPr="00CF7E1B" w14:paraId="27FDF65B" w14:textId="6198449B"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2" w:type="dxa"/>
            <w:tcBorders>
              <w:left w:val="single" w:sz="2" w:space="0" w:color="auto"/>
              <w:right w:val="single" w:sz="2" w:space="0" w:color="auto"/>
            </w:tcBorders>
          </w:tcPr>
          <w:p w14:paraId="1FCBD4AE" w14:textId="77777777" w:rsidR="00B82EDA" w:rsidRPr="00190046" w:rsidRDefault="00B82EDA"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69AAD46D" w14:textId="77777777" w:rsidR="00B82EDA" w:rsidRPr="00190046" w:rsidRDefault="00B82EDA" w:rsidP="000610F9">
            <w:pPr>
              <w:pStyle w:val="TableText"/>
              <w:tabs>
                <w:tab w:val="left" w:pos="3306"/>
              </w:tabs>
              <w:rPr>
                <w:rFonts w:cs="Calibri"/>
                <w:b/>
                <w:bCs/>
                <w:lang w:eastAsia="en-AU"/>
              </w:rPr>
            </w:pPr>
            <w:r w:rsidRPr="00190046">
              <w:rPr>
                <w:rFonts w:cs="Calibri"/>
                <w:b/>
                <w:bCs/>
                <w:lang w:eastAsia="en-AU"/>
              </w:rPr>
              <w:t>Total Expenses</w:t>
            </w:r>
          </w:p>
        </w:tc>
        <w:tc>
          <w:tcPr>
            <w:tcW w:w="2267" w:type="dxa"/>
            <w:tcBorders>
              <w:top w:val="single" w:sz="2" w:space="0" w:color="auto"/>
              <w:bottom w:val="single" w:sz="2" w:space="0" w:color="auto"/>
            </w:tcBorders>
            <w:shd w:val="clear" w:color="auto" w:fill="auto"/>
            <w:vAlign w:val="bottom"/>
          </w:tcPr>
          <w:p w14:paraId="59A442CC" w14:textId="67FCC910" w:rsidR="00B82EDA" w:rsidRPr="00190046" w:rsidRDefault="00B82EDA" w:rsidP="000610F9">
            <w:pPr>
              <w:pStyle w:val="TableText"/>
              <w:tabs>
                <w:tab w:val="left" w:pos="3306"/>
              </w:tabs>
              <w:jc w:val="right"/>
              <w:rPr>
                <w:rFonts w:cs="Calibri"/>
                <w:b/>
                <w:bCs/>
                <w:lang w:eastAsia="en-AU"/>
              </w:rPr>
            </w:pPr>
          </w:p>
        </w:tc>
        <w:tc>
          <w:tcPr>
            <w:tcW w:w="2126" w:type="dxa"/>
            <w:gridSpan w:val="4"/>
            <w:tcBorders>
              <w:top w:val="single" w:sz="2" w:space="0" w:color="auto"/>
              <w:bottom w:val="single" w:sz="2" w:space="0" w:color="auto"/>
            </w:tcBorders>
            <w:shd w:val="clear" w:color="auto" w:fill="auto"/>
            <w:vAlign w:val="bottom"/>
          </w:tcPr>
          <w:p w14:paraId="0DA366DA" w14:textId="341D6D74" w:rsidR="00B82EDA" w:rsidRPr="00190046" w:rsidRDefault="00B82EDA" w:rsidP="000610F9">
            <w:pPr>
              <w:pStyle w:val="TableText"/>
              <w:tabs>
                <w:tab w:val="left" w:pos="3306"/>
              </w:tabs>
              <w:jc w:val="right"/>
              <w:rPr>
                <w:rFonts w:cs="Calibri"/>
                <w:b/>
                <w:bCs/>
                <w:lang w:eastAsia="en-AU"/>
              </w:rPr>
            </w:pPr>
          </w:p>
        </w:tc>
        <w:tc>
          <w:tcPr>
            <w:tcW w:w="1422" w:type="dxa"/>
            <w:tcBorders>
              <w:top w:val="single" w:sz="2" w:space="0" w:color="auto"/>
              <w:bottom w:val="single" w:sz="2" w:space="0" w:color="auto"/>
            </w:tcBorders>
            <w:shd w:val="clear" w:color="auto" w:fill="auto"/>
            <w:vAlign w:val="bottom"/>
          </w:tcPr>
          <w:p w14:paraId="50AD6B66" w14:textId="1217BF95" w:rsidR="00B82EDA" w:rsidRPr="00190046" w:rsidRDefault="00B82EDA" w:rsidP="000610F9">
            <w:pPr>
              <w:pStyle w:val="TableText"/>
              <w:tabs>
                <w:tab w:val="left" w:pos="3306"/>
              </w:tabs>
              <w:jc w:val="right"/>
              <w:rPr>
                <w:rFonts w:cs="Calibri"/>
                <w:b/>
                <w:bCs/>
                <w:lang w:eastAsia="en-AU"/>
              </w:rPr>
            </w:pPr>
          </w:p>
        </w:tc>
      </w:tr>
      <w:tr w:rsidR="00BB62BB" w:rsidRPr="00CF7E1B" w14:paraId="0C6913A2"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2" w:type="dxa"/>
            <w:tcBorders>
              <w:left w:val="single" w:sz="2" w:space="0" w:color="auto"/>
              <w:right w:val="single" w:sz="2" w:space="0" w:color="auto"/>
            </w:tcBorders>
          </w:tcPr>
          <w:p w14:paraId="6FB6A399" w14:textId="77777777" w:rsidR="00BB62BB" w:rsidRPr="00190046" w:rsidRDefault="00BB62BB" w:rsidP="000610F9">
            <w:pPr>
              <w:rPr>
                <w:rFonts w:cs="Calibri"/>
                <w:color w:val="7030A0"/>
                <w:sz w:val="14"/>
                <w:szCs w:val="14"/>
                <w:lang w:eastAsia="en-AU"/>
              </w:rPr>
            </w:pPr>
          </w:p>
        </w:tc>
        <w:tc>
          <w:tcPr>
            <w:tcW w:w="8929" w:type="dxa"/>
            <w:gridSpan w:val="7"/>
            <w:tcBorders>
              <w:left w:val="single" w:sz="2" w:space="0" w:color="auto"/>
            </w:tcBorders>
            <w:shd w:val="clear" w:color="auto" w:fill="auto"/>
            <w:vAlign w:val="bottom"/>
          </w:tcPr>
          <w:p w14:paraId="0DA19F4D" w14:textId="77777777" w:rsidR="00BB62BB" w:rsidRPr="00190046" w:rsidRDefault="00BB62BB" w:rsidP="000610F9">
            <w:pPr>
              <w:pStyle w:val="TableText"/>
              <w:tabs>
                <w:tab w:val="left" w:pos="3306"/>
              </w:tabs>
              <w:jc w:val="right"/>
              <w:rPr>
                <w:rFonts w:cs="Calibri"/>
                <w:b/>
                <w:bCs/>
                <w:lang w:eastAsia="en-AU"/>
              </w:rPr>
            </w:pPr>
          </w:p>
        </w:tc>
      </w:tr>
      <w:tr w:rsidR="000610F9" w:rsidRPr="00CF7E1B" w14:paraId="5F74EDD8" w14:textId="1D1A3B1C"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 w:type="dxa"/>
        </w:trPr>
        <w:tc>
          <w:tcPr>
            <w:tcW w:w="1562" w:type="dxa"/>
            <w:tcBorders>
              <w:left w:val="single" w:sz="2" w:space="0" w:color="auto"/>
              <w:right w:val="single" w:sz="2" w:space="0" w:color="auto"/>
            </w:tcBorders>
            <w:vAlign w:val="center"/>
          </w:tcPr>
          <w:p w14:paraId="54E0D3C7" w14:textId="77777777" w:rsidR="000610F9" w:rsidRPr="00190046" w:rsidRDefault="000610F9" w:rsidP="000610F9">
            <w:pPr>
              <w:rPr>
                <w:rFonts w:cs="Calibri"/>
                <w:color w:val="7030A0"/>
                <w:sz w:val="14"/>
                <w:szCs w:val="14"/>
                <w:lang w:eastAsia="en-AU"/>
              </w:rPr>
            </w:pPr>
          </w:p>
        </w:tc>
        <w:tc>
          <w:tcPr>
            <w:tcW w:w="8929" w:type="dxa"/>
            <w:gridSpan w:val="7"/>
            <w:tcBorders>
              <w:left w:val="single" w:sz="2" w:space="0" w:color="auto"/>
            </w:tcBorders>
          </w:tcPr>
          <w:p w14:paraId="125A73D2" w14:textId="73927138" w:rsidR="000610F9" w:rsidRPr="00190046" w:rsidRDefault="000610F9" w:rsidP="000610F9">
            <w:pPr>
              <w:pStyle w:val="TableText"/>
              <w:rPr>
                <w:rFonts w:cs="Calibri"/>
                <w:lang w:eastAsia="en-AU"/>
              </w:rPr>
            </w:pPr>
            <w:r w:rsidRPr="00190046">
              <w:rPr>
                <w:rFonts w:cs="Calibri"/>
                <w:lang w:eastAsia="en-AU"/>
              </w:rPr>
              <w:t>Details of the Assets and Liabilities transferred are presented below.</w:t>
            </w:r>
          </w:p>
        </w:tc>
      </w:tr>
    </w:tbl>
    <w:p w14:paraId="428BA6E8" w14:textId="77777777" w:rsidR="006B468D" w:rsidRDefault="006B468D">
      <w:r>
        <w:br w:type="page"/>
      </w:r>
    </w:p>
    <w:tbl>
      <w:tblPr>
        <w:tblW w:w="5000" w:type="pct"/>
        <w:tblInd w:w="-6" w:type="dxa"/>
        <w:tblLook w:val="00A0" w:firstRow="1" w:lastRow="0" w:firstColumn="1" w:lastColumn="0" w:noHBand="0" w:noVBand="0"/>
      </w:tblPr>
      <w:tblGrid>
        <w:gridCol w:w="1562"/>
        <w:gridCol w:w="3114"/>
        <w:gridCol w:w="2267"/>
        <w:gridCol w:w="421"/>
        <w:gridCol w:w="1683"/>
        <w:gridCol w:w="22"/>
        <w:gridCol w:w="1422"/>
        <w:gridCol w:w="53"/>
      </w:tblGrid>
      <w:tr w:rsidR="006B468D" w:rsidRPr="00CF7E1B" w14:paraId="3BFE2BD3" w14:textId="77777777" w:rsidTr="00D919F2">
        <w:trPr>
          <w:trHeight w:val="431"/>
        </w:trPr>
        <w:tc>
          <w:tcPr>
            <w:tcW w:w="1562" w:type="dxa"/>
            <w:tcBorders>
              <w:left w:val="single" w:sz="2" w:space="0" w:color="auto"/>
              <w:right w:val="single" w:sz="2" w:space="0" w:color="auto"/>
            </w:tcBorders>
          </w:tcPr>
          <w:p w14:paraId="7171E4FA" w14:textId="77777777" w:rsidR="006B468D" w:rsidRPr="005D3C33" w:rsidRDefault="006B468D" w:rsidP="006B468D">
            <w:pPr>
              <w:pStyle w:val="TableReference"/>
              <w:tabs>
                <w:tab w:val="left" w:pos="3306"/>
              </w:tabs>
              <w:spacing w:before="240" w:after="240"/>
              <w:rPr>
                <w:rFonts w:asciiTheme="minorHAnsi" w:hAnsiTheme="minorHAnsi" w:cstheme="minorHAnsi"/>
                <w:b/>
                <w:szCs w:val="22"/>
                <w:lang w:eastAsia="en-AU"/>
              </w:rPr>
            </w:pPr>
            <w:r w:rsidRPr="00CF7E1B">
              <w:rPr>
                <w:rFonts w:cs="Calibri"/>
                <w:b/>
                <w:bCs/>
              </w:rPr>
              <w:br w:type="page"/>
            </w:r>
            <w:r w:rsidRPr="006B468D">
              <w:rPr>
                <w:rFonts w:asciiTheme="minorHAnsi" w:hAnsiTheme="minorHAnsi" w:cstheme="minorHAnsi"/>
                <w:b/>
                <w:bCs/>
                <w:color w:val="7030A0"/>
                <w:sz w:val="22"/>
                <w:szCs w:val="22"/>
              </w:rPr>
              <w:t>Reference</w:t>
            </w:r>
          </w:p>
        </w:tc>
        <w:tc>
          <w:tcPr>
            <w:tcW w:w="8982" w:type="dxa"/>
            <w:gridSpan w:val="7"/>
            <w:tcBorders>
              <w:left w:val="single" w:sz="2" w:space="0" w:color="auto"/>
            </w:tcBorders>
          </w:tcPr>
          <w:p w14:paraId="396A3EF6" w14:textId="77777777" w:rsidR="006B468D" w:rsidRPr="00190046" w:rsidRDefault="006B468D" w:rsidP="00DA5473">
            <w:pPr>
              <w:pStyle w:val="TableText"/>
              <w:tabs>
                <w:tab w:val="left" w:pos="1038"/>
              </w:tabs>
              <w:spacing w:before="240" w:after="240"/>
              <w:rPr>
                <w:rFonts w:ascii="Arial" w:hAnsi="Arial" w:cs="Arial"/>
                <w:b/>
                <w:caps/>
                <w:sz w:val="32"/>
                <w:szCs w:val="32"/>
              </w:rPr>
            </w:pPr>
            <w:r w:rsidRPr="00190046">
              <w:rPr>
                <w:rFonts w:ascii="Arial" w:hAnsi="Arial" w:cs="Arial"/>
                <w:b/>
                <w:sz w:val="32"/>
                <w:szCs w:val="32"/>
                <w:lang w:eastAsia="en-AU"/>
              </w:rPr>
              <w:t>NOTE 52.</w:t>
            </w:r>
            <w:r>
              <w:rPr>
                <w:rFonts w:ascii="Arial" w:hAnsi="Arial" w:cs="Arial"/>
                <w:b/>
                <w:sz w:val="32"/>
                <w:szCs w:val="32"/>
                <w:lang w:eastAsia="en-AU"/>
              </w:rPr>
              <w:t xml:space="preserve"> </w:t>
            </w:r>
            <w:r w:rsidRPr="00190046">
              <w:rPr>
                <w:rFonts w:ascii="Arial" w:hAnsi="Arial" w:cs="Arial"/>
                <w:b/>
                <w:sz w:val="32"/>
                <w:szCs w:val="32"/>
                <w:lang w:eastAsia="en-AU"/>
              </w:rPr>
              <w:t xml:space="preserve"> RESTRUCTURE OF ADMINISTRATIVE ARRANGEMENTS </w:t>
            </w:r>
            <w:r w:rsidRPr="00190046">
              <w:rPr>
                <w:rFonts w:ascii="Arial" w:hAnsi="Arial" w:cs="Arial"/>
                <w:b/>
                <w:sz w:val="32"/>
                <w:szCs w:val="32"/>
              </w:rPr>
              <w:t xml:space="preserve">– </w:t>
            </w:r>
            <w:r w:rsidRPr="00190046">
              <w:rPr>
                <w:rFonts w:ascii="Arial" w:hAnsi="Arial" w:cs="Arial"/>
                <w:b/>
                <w:sz w:val="32"/>
                <w:szCs w:val="32"/>
                <w:lang w:eastAsia="en-AU"/>
              </w:rPr>
              <w:t xml:space="preserve">TERRITORIAL – CONTINUED </w:t>
            </w:r>
          </w:p>
        </w:tc>
      </w:tr>
      <w:tr w:rsidR="000610F9" w:rsidRPr="00CF7E1B" w14:paraId="71A3385A" w14:textId="2CE6E732" w:rsidTr="00D919F2">
        <w:trPr>
          <w:gridAfter w:val="1"/>
          <w:wAfter w:w="53" w:type="dxa"/>
          <w:trHeight w:val="281"/>
        </w:trPr>
        <w:tc>
          <w:tcPr>
            <w:tcW w:w="1562" w:type="dxa"/>
            <w:tcBorders>
              <w:left w:val="single" w:sz="2" w:space="0" w:color="auto"/>
              <w:right w:val="single" w:sz="2" w:space="0" w:color="auto"/>
            </w:tcBorders>
            <w:vAlign w:val="center"/>
          </w:tcPr>
          <w:p w14:paraId="7C6DFA08" w14:textId="1E5874F5" w:rsidR="000610F9" w:rsidRPr="00190046" w:rsidRDefault="000610F9" w:rsidP="000610F9">
            <w:pPr>
              <w:pStyle w:val="TableReference"/>
              <w:spacing w:before="60"/>
              <w:rPr>
                <w:rFonts w:cs="Calibri"/>
                <w:color w:val="7030A0"/>
                <w:sz w:val="14"/>
                <w:lang w:eastAsia="en-AU"/>
              </w:rPr>
            </w:pPr>
            <w:r w:rsidRPr="00190046">
              <w:rPr>
                <w:rFonts w:cs="Calibri"/>
                <w:color w:val="7030A0"/>
                <w:sz w:val="14"/>
              </w:rPr>
              <w:t>AASB 1004.57</w:t>
            </w:r>
          </w:p>
        </w:tc>
        <w:tc>
          <w:tcPr>
            <w:tcW w:w="8929" w:type="dxa"/>
            <w:gridSpan w:val="6"/>
            <w:tcBorders>
              <w:left w:val="single" w:sz="2" w:space="0" w:color="auto"/>
            </w:tcBorders>
            <w:vAlign w:val="center"/>
          </w:tcPr>
          <w:p w14:paraId="31402DBA" w14:textId="4CAAD26F" w:rsidR="000610F9" w:rsidRPr="00190046" w:rsidRDefault="000610F9" w:rsidP="000610F9">
            <w:pPr>
              <w:pStyle w:val="TableText"/>
              <w:spacing w:before="0"/>
              <w:rPr>
                <w:rFonts w:cs="Calibri"/>
                <w:b/>
                <w:lang w:eastAsia="en-AU"/>
              </w:rPr>
            </w:pPr>
            <w:r w:rsidRPr="00190046">
              <w:rPr>
                <w:rFonts w:cs="Calibri"/>
                <w:b/>
                <w:lang w:eastAsia="en-AU"/>
              </w:rPr>
              <w:t>Restructures of Administrative Arrangements 2020-21</w:t>
            </w:r>
          </w:p>
        </w:tc>
      </w:tr>
      <w:tr w:rsidR="000610F9" w:rsidRPr="00CF7E1B" w14:paraId="4B8A8BA8" w14:textId="0626F3C4" w:rsidTr="00D919F2">
        <w:trPr>
          <w:gridAfter w:val="1"/>
          <w:wAfter w:w="53" w:type="dxa"/>
          <w:trHeight w:val="567"/>
        </w:trPr>
        <w:tc>
          <w:tcPr>
            <w:tcW w:w="1562" w:type="dxa"/>
            <w:tcBorders>
              <w:left w:val="single" w:sz="2" w:space="0" w:color="auto"/>
              <w:right w:val="single" w:sz="2" w:space="0" w:color="auto"/>
            </w:tcBorders>
          </w:tcPr>
          <w:p w14:paraId="1DB5C5B1" w14:textId="77777777" w:rsidR="000610F9" w:rsidRPr="00190046" w:rsidRDefault="000610F9" w:rsidP="000610F9">
            <w:pPr>
              <w:pStyle w:val="TableReference"/>
              <w:tabs>
                <w:tab w:val="left" w:pos="3306"/>
              </w:tabs>
              <w:spacing w:before="60"/>
              <w:rPr>
                <w:rFonts w:cs="Calibri"/>
                <w:color w:val="7030A0"/>
                <w:sz w:val="14"/>
                <w:lang w:eastAsia="en-AU"/>
              </w:rPr>
            </w:pPr>
          </w:p>
        </w:tc>
        <w:tc>
          <w:tcPr>
            <w:tcW w:w="8929" w:type="dxa"/>
            <w:gridSpan w:val="6"/>
            <w:tcBorders>
              <w:left w:val="single" w:sz="2" w:space="0" w:color="auto"/>
            </w:tcBorders>
          </w:tcPr>
          <w:p w14:paraId="1F626CB7" w14:textId="4DEBBF6B" w:rsidR="000610F9" w:rsidRPr="00190046" w:rsidRDefault="000610F9" w:rsidP="000610F9">
            <w:pPr>
              <w:pStyle w:val="TableText"/>
              <w:tabs>
                <w:tab w:val="left" w:pos="3306"/>
              </w:tabs>
              <w:spacing w:before="60" w:after="60"/>
              <w:jc w:val="both"/>
              <w:rPr>
                <w:rFonts w:cs="Calibri"/>
                <w:lang w:eastAsia="en-AU"/>
              </w:rPr>
            </w:pPr>
            <w:r w:rsidRPr="00190046">
              <w:rPr>
                <w:rFonts w:cs="Calibri"/>
                <w:lang w:eastAsia="en-AU"/>
              </w:rPr>
              <w:t>On 1 June 2021, a restructuring of administrative arrangements occurred between ‘</w:t>
            </w:r>
            <w:r w:rsidR="00347866" w:rsidRPr="00190046">
              <w:t xml:space="preserve">Burley Griffin </w:t>
            </w:r>
            <w:r w:rsidRPr="00190046">
              <w:rPr>
                <w:rFonts w:cs="Calibri"/>
                <w:lang w:eastAsia="en-AU"/>
              </w:rPr>
              <w:t>Agency’ and XYZ Directorate involving a Heritage division.</w:t>
            </w:r>
            <w:r w:rsidR="00FA7C77">
              <w:rPr>
                <w:rFonts w:cs="Calibri"/>
                <w:lang w:eastAsia="en-AU"/>
              </w:rPr>
              <w:t xml:space="preserve"> </w:t>
            </w:r>
            <w:r w:rsidR="003F416F" w:rsidRPr="00190046">
              <w:rPr>
                <w:rFonts w:cs="Calibri"/>
                <w:lang w:eastAsia="en-AU"/>
              </w:rPr>
              <w:t xml:space="preserve">All Property, Plant and Equipment involved in this </w:t>
            </w:r>
            <w:r w:rsidR="00FA7581" w:rsidRPr="00190046">
              <w:rPr>
                <w:rFonts w:cs="Calibri"/>
                <w:lang w:eastAsia="en-AU"/>
              </w:rPr>
              <w:t xml:space="preserve">restructuring of administrative arrangement was transferred to Controlled and not to Territorial. </w:t>
            </w:r>
            <w:r w:rsidRPr="00190046">
              <w:rPr>
                <w:rFonts w:cs="Calibri"/>
                <w:lang w:eastAsia="en-AU"/>
              </w:rPr>
              <w:t xml:space="preserve">Please refer to </w:t>
            </w:r>
            <w:r w:rsidRPr="00190046">
              <w:rPr>
                <w:rFonts w:cs="Calibri"/>
                <w:iCs/>
                <w:lang w:eastAsia="en-AU"/>
              </w:rPr>
              <w:t xml:space="preserve">Note </w:t>
            </w:r>
            <w:r w:rsidR="00DD6620" w:rsidRPr="00190046">
              <w:rPr>
                <w:rFonts w:cs="Calibri"/>
                <w:iCs/>
                <w:lang w:eastAsia="en-AU"/>
              </w:rPr>
              <w:t>30</w:t>
            </w:r>
            <w:r w:rsidRPr="00190046">
              <w:rPr>
                <w:rFonts w:cs="Calibri"/>
                <w:i/>
                <w:lang w:eastAsia="en-AU"/>
              </w:rPr>
              <w:t xml:space="preserve"> Restructure of Administrative</w:t>
            </w:r>
            <w:r w:rsidRPr="00190046">
              <w:rPr>
                <w:rFonts w:cs="Calibri"/>
                <w:lang w:eastAsia="en-AU"/>
              </w:rPr>
              <w:t xml:space="preserve"> </w:t>
            </w:r>
            <w:r w:rsidRPr="00190046">
              <w:rPr>
                <w:rFonts w:cs="Calibri"/>
                <w:i/>
                <w:lang w:eastAsia="en-AU"/>
              </w:rPr>
              <w:t>Arrangements</w:t>
            </w:r>
            <w:r w:rsidRPr="00190046">
              <w:rPr>
                <w:rFonts w:cs="Calibri"/>
                <w:lang w:eastAsia="en-AU"/>
              </w:rPr>
              <w:t xml:space="preserve"> for details of this transfer</w:t>
            </w:r>
            <w:r w:rsidRPr="00190046">
              <w:rPr>
                <w:rFonts w:cs="Calibri"/>
                <w:bCs/>
                <w:lang w:eastAsia="en-AU"/>
              </w:rPr>
              <w:t>.</w:t>
            </w:r>
          </w:p>
        </w:tc>
      </w:tr>
      <w:tr w:rsidR="000610F9" w:rsidRPr="00CF7E1B" w14:paraId="1847E7EE" w14:textId="1DF15909" w:rsidTr="00D919F2">
        <w:trPr>
          <w:gridAfter w:val="1"/>
          <w:wAfter w:w="53" w:type="dxa"/>
          <w:trHeight w:val="255"/>
        </w:trPr>
        <w:tc>
          <w:tcPr>
            <w:tcW w:w="1562" w:type="dxa"/>
            <w:tcBorders>
              <w:left w:val="single" w:sz="2" w:space="0" w:color="auto"/>
              <w:right w:val="single" w:sz="2" w:space="0" w:color="auto"/>
            </w:tcBorders>
            <w:vAlign w:val="center"/>
          </w:tcPr>
          <w:p w14:paraId="1D1C7AEF" w14:textId="77777777" w:rsidR="000610F9" w:rsidRPr="00190046" w:rsidRDefault="000610F9" w:rsidP="000610F9">
            <w:pPr>
              <w:rPr>
                <w:rFonts w:cs="Calibri"/>
                <w:color w:val="7030A0"/>
                <w:sz w:val="14"/>
                <w:szCs w:val="14"/>
                <w:lang w:eastAsia="en-AU"/>
              </w:rPr>
            </w:pPr>
          </w:p>
        </w:tc>
        <w:tc>
          <w:tcPr>
            <w:tcW w:w="8929" w:type="dxa"/>
            <w:gridSpan w:val="6"/>
            <w:tcBorders>
              <w:left w:val="single" w:sz="2" w:space="0" w:color="auto"/>
            </w:tcBorders>
            <w:vAlign w:val="center"/>
          </w:tcPr>
          <w:p w14:paraId="4EF17CB8" w14:textId="37625313" w:rsidR="000610F9" w:rsidRPr="00190046" w:rsidRDefault="000610F9" w:rsidP="000610F9">
            <w:pPr>
              <w:jc w:val="both"/>
              <w:rPr>
                <w:rFonts w:cs="Calibri"/>
                <w:b/>
                <w:bCs/>
                <w:sz w:val="18"/>
                <w:szCs w:val="18"/>
                <w:lang w:eastAsia="en-AU"/>
              </w:rPr>
            </w:pPr>
            <w:r w:rsidRPr="00190046">
              <w:rPr>
                <w:rFonts w:cs="Calibri"/>
                <w:b/>
                <w:bCs/>
                <w:sz w:val="18"/>
                <w:szCs w:val="18"/>
                <w:lang w:eastAsia="en-AU"/>
              </w:rPr>
              <w:t>Income and Expenses</w:t>
            </w:r>
          </w:p>
        </w:tc>
      </w:tr>
      <w:tr w:rsidR="000610F9" w:rsidRPr="00CF7E1B" w14:paraId="1553801E" w14:textId="214A7F81" w:rsidTr="00D919F2">
        <w:trPr>
          <w:gridAfter w:val="1"/>
          <w:wAfter w:w="53" w:type="dxa"/>
          <w:trHeight w:val="1022"/>
        </w:trPr>
        <w:tc>
          <w:tcPr>
            <w:tcW w:w="1562" w:type="dxa"/>
            <w:tcBorders>
              <w:left w:val="single" w:sz="2" w:space="0" w:color="auto"/>
              <w:right w:val="single" w:sz="2" w:space="0" w:color="auto"/>
            </w:tcBorders>
          </w:tcPr>
          <w:p w14:paraId="1999535B" w14:textId="77777777" w:rsidR="000610F9" w:rsidRPr="00190046" w:rsidRDefault="000610F9" w:rsidP="000610F9">
            <w:pPr>
              <w:rPr>
                <w:rFonts w:cs="Calibri"/>
                <w:color w:val="7030A0"/>
                <w:sz w:val="14"/>
                <w:szCs w:val="14"/>
                <w:lang w:eastAsia="en-AU"/>
              </w:rPr>
            </w:pPr>
          </w:p>
        </w:tc>
        <w:tc>
          <w:tcPr>
            <w:tcW w:w="8929" w:type="dxa"/>
            <w:gridSpan w:val="6"/>
            <w:tcBorders>
              <w:left w:val="single" w:sz="2" w:space="0" w:color="auto"/>
            </w:tcBorders>
          </w:tcPr>
          <w:p w14:paraId="420A377A" w14:textId="04315A66" w:rsidR="000610F9" w:rsidRPr="00190046" w:rsidRDefault="000610F9" w:rsidP="000610F9">
            <w:pPr>
              <w:jc w:val="both"/>
              <w:rPr>
                <w:rFonts w:cs="Calibri"/>
                <w:sz w:val="18"/>
                <w:szCs w:val="18"/>
                <w:lang w:eastAsia="en-AU"/>
              </w:rPr>
            </w:pPr>
            <w:r w:rsidRPr="00190046">
              <w:rPr>
                <w:rFonts w:cs="Calibri"/>
                <w:sz w:val="18"/>
                <w:szCs w:val="18"/>
                <w:lang w:eastAsia="en-AU"/>
              </w:rPr>
              <w:t>The following table shows the territorial income and expense items associated with the Heritage division recognised by ‘</w:t>
            </w:r>
            <w:r w:rsidR="00347866" w:rsidRPr="00190046">
              <w:rPr>
                <w:sz w:val="18"/>
                <w:szCs w:val="18"/>
              </w:rPr>
              <w:t xml:space="preserve">Burley Griffin </w:t>
            </w:r>
            <w:r w:rsidRPr="00190046">
              <w:rPr>
                <w:rFonts w:cs="Calibri"/>
                <w:sz w:val="18"/>
                <w:szCs w:val="18"/>
                <w:lang w:eastAsia="en-AU"/>
              </w:rPr>
              <w:t>Agency’ for the year ended 30 June 2021.</w:t>
            </w:r>
            <w:r w:rsidR="00FA7C77">
              <w:rPr>
                <w:rFonts w:cs="Calibri"/>
                <w:sz w:val="18"/>
                <w:szCs w:val="18"/>
                <w:lang w:eastAsia="en-AU"/>
              </w:rPr>
              <w:t xml:space="preserve"> </w:t>
            </w:r>
            <w:r w:rsidRPr="00190046">
              <w:rPr>
                <w:rFonts w:cs="Calibri"/>
                <w:sz w:val="18"/>
                <w:szCs w:val="18"/>
                <w:lang w:eastAsia="en-AU"/>
              </w:rPr>
              <w:t>It also shows the income and expenses relating to when the division belonged to XYZ Directorate.</w:t>
            </w:r>
            <w:r w:rsidR="00FA7C77">
              <w:rPr>
                <w:rFonts w:cs="Calibri"/>
                <w:sz w:val="18"/>
                <w:szCs w:val="18"/>
                <w:lang w:eastAsia="en-AU"/>
              </w:rPr>
              <w:t xml:space="preserve"> </w:t>
            </w:r>
            <w:r w:rsidRPr="00190046">
              <w:rPr>
                <w:rFonts w:cs="Calibri"/>
                <w:sz w:val="18"/>
                <w:szCs w:val="18"/>
                <w:lang w:eastAsia="en-AU"/>
              </w:rPr>
              <w:t>These income and expense figures were supplied by XYZ Directorate and as such have been relied upon by ‘</w:t>
            </w:r>
            <w:r w:rsidR="00347866" w:rsidRPr="00190046">
              <w:rPr>
                <w:sz w:val="18"/>
                <w:szCs w:val="18"/>
              </w:rPr>
              <w:t xml:space="preserve">Burley Griffin </w:t>
            </w:r>
            <w:r w:rsidRPr="00190046">
              <w:rPr>
                <w:rFonts w:cs="Calibri"/>
                <w:sz w:val="18"/>
                <w:szCs w:val="18"/>
                <w:lang w:eastAsia="en-AU"/>
              </w:rPr>
              <w:t>Agency’.</w:t>
            </w:r>
            <w:r w:rsidR="00FA7C77">
              <w:rPr>
                <w:rFonts w:cs="Calibri"/>
                <w:sz w:val="18"/>
                <w:szCs w:val="18"/>
                <w:lang w:eastAsia="en-AU"/>
              </w:rPr>
              <w:t xml:space="preserve"> </w:t>
            </w:r>
            <w:r w:rsidRPr="00190046">
              <w:rPr>
                <w:rFonts w:cs="Calibri"/>
                <w:sz w:val="18"/>
                <w:szCs w:val="18"/>
                <w:lang w:eastAsia="en-AU"/>
              </w:rPr>
              <w:t xml:space="preserve"> Finally, the table shows the total income and expenses of the division for the whole financial year.</w:t>
            </w:r>
            <w:r w:rsidR="00FA7C77">
              <w:rPr>
                <w:rFonts w:cs="Calibri"/>
                <w:sz w:val="18"/>
                <w:szCs w:val="18"/>
                <w:lang w:eastAsia="en-AU"/>
              </w:rPr>
              <w:t xml:space="preserve"> </w:t>
            </w:r>
          </w:p>
        </w:tc>
      </w:tr>
      <w:tr w:rsidR="004A5792" w:rsidRPr="00CF7E1B" w14:paraId="44361E90" w14:textId="753BCD25" w:rsidTr="00D919F2">
        <w:trPr>
          <w:gridAfter w:val="1"/>
          <w:wAfter w:w="53" w:type="dxa"/>
          <w:trHeight w:hRule="exact" w:val="979"/>
        </w:trPr>
        <w:tc>
          <w:tcPr>
            <w:tcW w:w="1562" w:type="dxa"/>
            <w:tcBorders>
              <w:left w:val="single" w:sz="2" w:space="0" w:color="auto"/>
              <w:right w:val="single" w:sz="2" w:space="0" w:color="auto"/>
            </w:tcBorders>
            <w:vAlign w:val="bottom"/>
          </w:tcPr>
          <w:p w14:paraId="6FED77F1" w14:textId="77777777" w:rsidR="004A5792" w:rsidRPr="00190046" w:rsidRDefault="004A5792" w:rsidP="00B82EDA">
            <w:pPr>
              <w:jc w:val="right"/>
              <w:rPr>
                <w:rFonts w:cs="Calibri"/>
                <w:color w:val="7030A0"/>
                <w:sz w:val="14"/>
                <w:szCs w:val="14"/>
                <w:lang w:eastAsia="en-AU"/>
              </w:rPr>
            </w:pPr>
          </w:p>
        </w:tc>
        <w:tc>
          <w:tcPr>
            <w:tcW w:w="3114" w:type="dxa"/>
            <w:tcBorders>
              <w:left w:val="single" w:sz="2" w:space="0" w:color="auto"/>
            </w:tcBorders>
            <w:shd w:val="clear" w:color="auto" w:fill="auto"/>
            <w:vAlign w:val="bottom"/>
          </w:tcPr>
          <w:p w14:paraId="041F5922" w14:textId="77777777" w:rsidR="004A5792" w:rsidRPr="00190046" w:rsidRDefault="004A5792" w:rsidP="00B82EDA">
            <w:pPr>
              <w:pStyle w:val="TableText"/>
              <w:tabs>
                <w:tab w:val="left" w:pos="3306"/>
              </w:tabs>
              <w:jc w:val="right"/>
              <w:rPr>
                <w:rFonts w:cs="Calibri"/>
                <w:b/>
                <w:bCs/>
                <w:lang w:eastAsia="en-AU"/>
              </w:rPr>
            </w:pPr>
          </w:p>
        </w:tc>
        <w:tc>
          <w:tcPr>
            <w:tcW w:w="2267" w:type="dxa"/>
            <w:vMerge w:val="restart"/>
            <w:shd w:val="clear" w:color="auto" w:fill="auto"/>
            <w:vAlign w:val="bottom"/>
          </w:tcPr>
          <w:p w14:paraId="05BC92DD" w14:textId="77777777" w:rsidR="004A5792" w:rsidRPr="00190046" w:rsidRDefault="004A5792" w:rsidP="00B82EDA">
            <w:pPr>
              <w:pStyle w:val="TableText"/>
              <w:tabs>
                <w:tab w:val="left" w:pos="3306"/>
              </w:tabs>
              <w:jc w:val="right"/>
              <w:rPr>
                <w:rFonts w:cs="Calibri"/>
                <w:lang w:eastAsia="en-AU"/>
              </w:rPr>
            </w:pPr>
            <w:r w:rsidRPr="00190046">
              <w:rPr>
                <w:rFonts w:cs="Calibri"/>
                <w:b/>
                <w:bCs/>
                <w:lang w:eastAsia="en-AU"/>
              </w:rPr>
              <w:t>Amounts Relating to when the Function was held by the XYZ Directorate</w:t>
            </w:r>
          </w:p>
          <w:p w14:paraId="41AB2C37" w14:textId="2E5ADB8A" w:rsidR="004A5792" w:rsidRPr="00190046" w:rsidRDefault="004A5792" w:rsidP="00280B06">
            <w:pPr>
              <w:pStyle w:val="TableText"/>
              <w:tabs>
                <w:tab w:val="left" w:pos="3306"/>
              </w:tabs>
              <w:spacing w:before="0"/>
              <w:jc w:val="right"/>
              <w:rPr>
                <w:rFonts w:cs="Calibri"/>
                <w:lang w:eastAsia="en-AU"/>
              </w:rPr>
            </w:pPr>
            <w:r w:rsidRPr="00190046">
              <w:rPr>
                <w:rFonts w:cs="Calibri"/>
                <w:b/>
                <w:bCs/>
                <w:lang w:eastAsia="en-AU"/>
              </w:rPr>
              <w:t xml:space="preserve">July 2020 to May </w:t>
            </w:r>
            <w:r w:rsidRPr="00190046">
              <w:rPr>
                <w:rFonts w:cs="Calibri"/>
                <w:b/>
                <w:bCs/>
              </w:rPr>
              <w:t>2021</w:t>
            </w:r>
          </w:p>
        </w:tc>
        <w:tc>
          <w:tcPr>
            <w:tcW w:w="2126" w:type="dxa"/>
            <w:gridSpan w:val="3"/>
            <w:vMerge w:val="restart"/>
            <w:shd w:val="clear" w:color="auto" w:fill="auto"/>
            <w:vAlign w:val="bottom"/>
          </w:tcPr>
          <w:p w14:paraId="10B4F6E4" w14:textId="77777777" w:rsidR="004A5792" w:rsidRPr="00190046" w:rsidRDefault="004A5792" w:rsidP="00B82EDA">
            <w:pPr>
              <w:jc w:val="right"/>
              <w:rPr>
                <w:rFonts w:cs="Calibri"/>
                <w:b/>
                <w:bCs/>
                <w:sz w:val="18"/>
                <w:szCs w:val="18"/>
                <w:lang w:eastAsia="en-AU"/>
              </w:rPr>
            </w:pPr>
            <w:r w:rsidRPr="00190046">
              <w:rPr>
                <w:rFonts w:cs="Calibri"/>
                <w:b/>
                <w:bCs/>
                <w:sz w:val="18"/>
                <w:szCs w:val="18"/>
                <w:lang w:eastAsia="en-AU"/>
              </w:rPr>
              <w:t>Amounts Relating to when the Function was held by ‘Burley Griffin Agency’</w:t>
            </w:r>
          </w:p>
          <w:p w14:paraId="5ECC2307" w14:textId="09703484" w:rsidR="004A5792" w:rsidRPr="00190046" w:rsidRDefault="004A5792" w:rsidP="00280B06">
            <w:pPr>
              <w:pStyle w:val="TableText"/>
              <w:tabs>
                <w:tab w:val="left" w:pos="3306"/>
              </w:tabs>
              <w:spacing w:before="0"/>
              <w:jc w:val="right"/>
              <w:rPr>
                <w:rFonts w:cs="Calibri"/>
                <w:b/>
                <w:bCs/>
                <w:lang w:eastAsia="en-AU"/>
              </w:rPr>
            </w:pPr>
            <w:r w:rsidRPr="00190046">
              <w:rPr>
                <w:rFonts w:cs="Calibri"/>
                <w:b/>
                <w:bCs/>
                <w:lang w:eastAsia="en-AU"/>
              </w:rPr>
              <w:t xml:space="preserve">June </w:t>
            </w:r>
            <w:r w:rsidRPr="00190046">
              <w:rPr>
                <w:rFonts w:cs="Calibri"/>
                <w:b/>
                <w:bCs/>
              </w:rPr>
              <w:t>2021</w:t>
            </w:r>
            <w:r w:rsidRPr="00190046">
              <w:rPr>
                <w:rFonts w:cs="Calibri"/>
                <w:b/>
                <w:bCs/>
                <w:lang w:eastAsia="en-AU"/>
              </w:rPr>
              <w:t xml:space="preserve"> to June </w:t>
            </w:r>
            <w:r w:rsidRPr="00190046">
              <w:rPr>
                <w:rFonts w:cs="Calibri"/>
                <w:b/>
                <w:bCs/>
              </w:rPr>
              <w:t>2021</w:t>
            </w:r>
          </w:p>
        </w:tc>
        <w:tc>
          <w:tcPr>
            <w:tcW w:w="1422" w:type="dxa"/>
            <w:shd w:val="clear" w:color="auto" w:fill="auto"/>
            <w:vAlign w:val="bottom"/>
          </w:tcPr>
          <w:p w14:paraId="1239FB82" w14:textId="77777777" w:rsidR="004A5792" w:rsidRPr="00190046" w:rsidRDefault="004A5792" w:rsidP="00B82EDA">
            <w:pPr>
              <w:pStyle w:val="TableText"/>
              <w:tabs>
                <w:tab w:val="left" w:pos="3306"/>
              </w:tabs>
              <w:jc w:val="right"/>
              <w:rPr>
                <w:rFonts w:cs="Calibri"/>
                <w:b/>
                <w:bCs/>
                <w:lang w:eastAsia="en-AU"/>
              </w:rPr>
            </w:pPr>
          </w:p>
        </w:tc>
      </w:tr>
      <w:tr w:rsidR="004A5792" w:rsidRPr="00CF7E1B" w14:paraId="3D741484" w14:textId="4101FE85" w:rsidTr="00D919F2">
        <w:trPr>
          <w:gridAfter w:val="1"/>
          <w:wAfter w:w="53" w:type="dxa"/>
          <w:trHeight w:hRule="exact" w:val="474"/>
        </w:trPr>
        <w:tc>
          <w:tcPr>
            <w:tcW w:w="1562" w:type="dxa"/>
            <w:tcBorders>
              <w:left w:val="single" w:sz="2" w:space="0" w:color="auto"/>
              <w:right w:val="single" w:sz="2" w:space="0" w:color="auto"/>
            </w:tcBorders>
            <w:vAlign w:val="center"/>
          </w:tcPr>
          <w:p w14:paraId="7413C5BA" w14:textId="77777777" w:rsidR="004A5792" w:rsidRPr="00190046" w:rsidRDefault="004A5792" w:rsidP="000610F9">
            <w:pPr>
              <w:jc w:val="right"/>
              <w:rPr>
                <w:rFonts w:cs="Calibri"/>
                <w:color w:val="7030A0"/>
                <w:sz w:val="14"/>
                <w:szCs w:val="14"/>
                <w:lang w:eastAsia="en-AU"/>
              </w:rPr>
            </w:pPr>
          </w:p>
        </w:tc>
        <w:tc>
          <w:tcPr>
            <w:tcW w:w="3114" w:type="dxa"/>
            <w:tcBorders>
              <w:left w:val="single" w:sz="2" w:space="0" w:color="auto"/>
            </w:tcBorders>
            <w:shd w:val="clear" w:color="auto" w:fill="auto"/>
            <w:vAlign w:val="center"/>
          </w:tcPr>
          <w:p w14:paraId="35955E7E" w14:textId="77777777" w:rsidR="004A5792" w:rsidRPr="00190046" w:rsidRDefault="004A5792" w:rsidP="000610F9">
            <w:pPr>
              <w:pStyle w:val="TableText"/>
              <w:tabs>
                <w:tab w:val="left" w:pos="3306"/>
              </w:tabs>
              <w:jc w:val="right"/>
              <w:rPr>
                <w:rFonts w:cs="Calibri"/>
                <w:b/>
                <w:bCs/>
                <w:lang w:eastAsia="en-AU"/>
              </w:rPr>
            </w:pPr>
          </w:p>
        </w:tc>
        <w:tc>
          <w:tcPr>
            <w:tcW w:w="2267" w:type="dxa"/>
            <w:vMerge/>
            <w:shd w:val="clear" w:color="auto" w:fill="auto"/>
            <w:vAlign w:val="center"/>
          </w:tcPr>
          <w:p w14:paraId="3E56CD3B" w14:textId="18A825BD" w:rsidR="004A5792" w:rsidRPr="00190046" w:rsidRDefault="004A5792" w:rsidP="00280B06">
            <w:pPr>
              <w:pStyle w:val="TableText"/>
              <w:tabs>
                <w:tab w:val="left" w:pos="3306"/>
              </w:tabs>
              <w:spacing w:before="0"/>
              <w:jc w:val="right"/>
              <w:rPr>
                <w:rFonts w:cs="Calibri"/>
                <w:b/>
                <w:bCs/>
                <w:lang w:eastAsia="en-AU"/>
              </w:rPr>
            </w:pPr>
          </w:p>
        </w:tc>
        <w:tc>
          <w:tcPr>
            <w:tcW w:w="2126" w:type="dxa"/>
            <w:gridSpan w:val="3"/>
            <w:vMerge/>
            <w:shd w:val="clear" w:color="auto" w:fill="auto"/>
            <w:vAlign w:val="center"/>
          </w:tcPr>
          <w:p w14:paraId="230C38E3" w14:textId="5654DD27" w:rsidR="004A5792" w:rsidRPr="00190046" w:rsidRDefault="004A5792" w:rsidP="00280B06">
            <w:pPr>
              <w:pStyle w:val="TableText"/>
              <w:tabs>
                <w:tab w:val="left" w:pos="3306"/>
              </w:tabs>
              <w:spacing w:before="0"/>
              <w:jc w:val="right"/>
              <w:rPr>
                <w:rFonts w:cs="Calibri"/>
                <w:b/>
                <w:bCs/>
                <w:lang w:eastAsia="en-AU"/>
              </w:rPr>
            </w:pPr>
          </w:p>
        </w:tc>
        <w:tc>
          <w:tcPr>
            <w:tcW w:w="1422" w:type="dxa"/>
            <w:shd w:val="clear" w:color="auto" w:fill="auto"/>
            <w:vAlign w:val="center"/>
          </w:tcPr>
          <w:p w14:paraId="048E07A4" w14:textId="24C010AC" w:rsidR="004A5792" w:rsidRPr="00190046" w:rsidRDefault="004A5792" w:rsidP="000610F9">
            <w:pPr>
              <w:pStyle w:val="TableText"/>
              <w:tabs>
                <w:tab w:val="left" w:pos="3306"/>
              </w:tabs>
              <w:jc w:val="right"/>
              <w:rPr>
                <w:rFonts w:cs="Calibri"/>
                <w:b/>
                <w:bCs/>
              </w:rPr>
            </w:pPr>
            <w:r w:rsidRPr="00190046">
              <w:rPr>
                <w:rFonts w:cs="Calibri"/>
                <w:b/>
                <w:bCs/>
                <w:lang w:eastAsia="en-AU"/>
              </w:rPr>
              <w:t>Total</w:t>
            </w:r>
            <w:r w:rsidR="00FA7C77">
              <w:rPr>
                <w:rFonts w:cs="Calibri"/>
                <w:b/>
                <w:bCs/>
              </w:rPr>
              <w:t xml:space="preserve">                 </w:t>
            </w:r>
            <w:r w:rsidRPr="00190046">
              <w:rPr>
                <w:rFonts w:cs="Calibri"/>
                <w:b/>
                <w:bCs/>
              </w:rPr>
              <w:t xml:space="preserve"> 2021</w:t>
            </w:r>
          </w:p>
        </w:tc>
      </w:tr>
      <w:tr w:rsidR="000610F9" w:rsidRPr="00CF7E1B" w14:paraId="77757519" w14:textId="57C7D174" w:rsidTr="00D919F2">
        <w:trPr>
          <w:gridAfter w:val="1"/>
          <w:wAfter w:w="53" w:type="dxa"/>
          <w:trHeight w:hRule="exact" w:val="227"/>
        </w:trPr>
        <w:tc>
          <w:tcPr>
            <w:tcW w:w="1562" w:type="dxa"/>
            <w:tcBorders>
              <w:left w:val="single" w:sz="2" w:space="0" w:color="auto"/>
              <w:right w:val="single" w:sz="2" w:space="0" w:color="auto"/>
            </w:tcBorders>
          </w:tcPr>
          <w:p w14:paraId="2943D682" w14:textId="77777777" w:rsidR="000610F9" w:rsidRPr="00190046" w:rsidRDefault="000610F9"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2A8908CD" w14:textId="77777777" w:rsidR="000610F9" w:rsidRPr="00190046" w:rsidRDefault="000610F9" w:rsidP="000610F9">
            <w:pPr>
              <w:pStyle w:val="TableText"/>
              <w:tabs>
                <w:tab w:val="left" w:pos="3306"/>
              </w:tabs>
              <w:rPr>
                <w:rFonts w:cs="Calibri"/>
                <w:b/>
                <w:bCs/>
                <w:lang w:eastAsia="en-AU"/>
              </w:rPr>
            </w:pPr>
          </w:p>
        </w:tc>
        <w:tc>
          <w:tcPr>
            <w:tcW w:w="2267" w:type="dxa"/>
            <w:shd w:val="clear" w:color="auto" w:fill="auto"/>
            <w:vAlign w:val="bottom"/>
          </w:tcPr>
          <w:p w14:paraId="66237690" w14:textId="77777777" w:rsidR="000610F9" w:rsidRPr="00190046" w:rsidRDefault="000610F9" w:rsidP="000610F9">
            <w:pPr>
              <w:pStyle w:val="TableText"/>
              <w:tabs>
                <w:tab w:val="left" w:pos="3306"/>
              </w:tabs>
              <w:jc w:val="right"/>
              <w:rPr>
                <w:rFonts w:cs="Calibri"/>
                <w:b/>
                <w:bCs/>
                <w:lang w:eastAsia="en-AU"/>
              </w:rPr>
            </w:pPr>
            <w:r w:rsidRPr="00190046">
              <w:rPr>
                <w:rFonts w:cs="Calibri"/>
                <w:b/>
                <w:bCs/>
                <w:lang w:eastAsia="en-AU"/>
              </w:rPr>
              <w:t>$’000</w:t>
            </w:r>
          </w:p>
        </w:tc>
        <w:tc>
          <w:tcPr>
            <w:tcW w:w="2126" w:type="dxa"/>
            <w:gridSpan w:val="3"/>
            <w:shd w:val="clear" w:color="auto" w:fill="auto"/>
            <w:vAlign w:val="bottom"/>
          </w:tcPr>
          <w:p w14:paraId="79886733" w14:textId="77777777" w:rsidR="000610F9" w:rsidRPr="00190046" w:rsidRDefault="000610F9" w:rsidP="000610F9">
            <w:pPr>
              <w:pStyle w:val="TableText"/>
              <w:tabs>
                <w:tab w:val="left" w:pos="3306"/>
              </w:tabs>
              <w:jc w:val="right"/>
              <w:rPr>
                <w:rFonts w:cs="Calibri"/>
                <w:b/>
                <w:bCs/>
                <w:lang w:eastAsia="en-AU"/>
              </w:rPr>
            </w:pPr>
            <w:r w:rsidRPr="00190046">
              <w:rPr>
                <w:rFonts w:cs="Calibri"/>
                <w:b/>
                <w:bCs/>
                <w:lang w:eastAsia="en-AU"/>
              </w:rPr>
              <w:t>$’000</w:t>
            </w:r>
          </w:p>
        </w:tc>
        <w:tc>
          <w:tcPr>
            <w:tcW w:w="1422" w:type="dxa"/>
            <w:shd w:val="clear" w:color="auto" w:fill="auto"/>
            <w:vAlign w:val="bottom"/>
          </w:tcPr>
          <w:p w14:paraId="27BB35CB" w14:textId="177CDB96" w:rsidR="000610F9" w:rsidRPr="00190046" w:rsidRDefault="000610F9" w:rsidP="000610F9">
            <w:pPr>
              <w:pStyle w:val="TableText"/>
              <w:tabs>
                <w:tab w:val="left" w:pos="3306"/>
              </w:tabs>
              <w:jc w:val="right"/>
              <w:rPr>
                <w:rFonts w:cs="Calibri"/>
                <w:b/>
                <w:bCs/>
                <w:lang w:eastAsia="en-AU"/>
              </w:rPr>
            </w:pPr>
            <w:r w:rsidRPr="00190046">
              <w:rPr>
                <w:rFonts w:cs="Calibri"/>
                <w:b/>
                <w:bCs/>
                <w:lang w:eastAsia="en-AU"/>
              </w:rPr>
              <w:t>$’000</w:t>
            </w:r>
          </w:p>
        </w:tc>
      </w:tr>
      <w:tr w:rsidR="000610F9" w:rsidRPr="00CF7E1B" w14:paraId="65B53D26" w14:textId="540B80BD" w:rsidTr="00D919F2">
        <w:trPr>
          <w:gridAfter w:val="1"/>
          <w:wAfter w:w="53" w:type="dxa"/>
        </w:trPr>
        <w:tc>
          <w:tcPr>
            <w:tcW w:w="1562" w:type="dxa"/>
            <w:tcBorders>
              <w:left w:val="single" w:sz="2" w:space="0" w:color="auto"/>
              <w:right w:val="single" w:sz="2" w:space="0" w:color="auto"/>
            </w:tcBorders>
          </w:tcPr>
          <w:p w14:paraId="701A296E" w14:textId="77777777" w:rsidR="000610F9" w:rsidRPr="00190046" w:rsidRDefault="000610F9"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36B4552D" w14:textId="72C0C44C" w:rsidR="000610F9" w:rsidRPr="00190046" w:rsidRDefault="00836128" w:rsidP="000610F9">
            <w:pPr>
              <w:pStyle w:val="TableText"/>
              <w:tabs>
                <w:tab w:val="left" w:pos="3306"/>
              </w:tabs>
              <w:rPr>
                <w:rFonts w:cs="Calibri"/>
                <w:b/>
                <w:bCs/>
                <w:strike/>
                <w:lang w:eastAsia="en-AU"/>
              </w:rPr>
            </w:pPr>
            <w:r w:rsidRPr="00190046">
              <w:rPr>
                <w:rFonts w:cs="Calibri"/>
                <w:b/>
                <w:bCs/>
                <w:lang w:eastAsia="en-AU"/>
              </w:rPr>
              <w:t>Income</w:t>
            </w:r>
          </w:p>
        </w:tc>
        <w:tc>
          <w:tcPr>
            <w:tcW w:w="2267" w:type="dxa"/>
            <w:shd w:val="clear" w:color="auto" w:fill="auto"/>
            <w:vAlign w:val="bottom"/>
          </w:tcPr>
          <w:p w14:paraId="3F346EB2" w14:textId="77777777" w:rsidR="000610F9" w:rsidRPr="00190046" w:rsidRDefault="000610F9" w:rsidP="000610F9">
            <w:pPr>
              <w:pStyle w:val="TableText"/>
              <w:tabs>
                <w:tab w:val="left" w:pos="3306"/>
              </w:tabs>
              <w:jc w:val="right"/>
              <w:rPr>
                <w:rFonts w:cs="Calibri"/>
                <w:b/>
                <w:bCs/>
                <w:lang w:eastAsia="en-AU"/>
              </w:rPr>
            </w:pPr>
          </w:p>
        </w:tc>
        <w:tc>
          <w:tcPr>
            <w:tcW w:w="2126" w:type="dxa"/>
            <w:gridSpan w:val="3"/>
            <w:shd w:val="clear" w:color="auto" w:fill="auto"/>
            <w:vAlign w:val="bottom"/>
          </w:tcPr>
          <w:p w14:paraId="59878A37" w14:textId="77777777" w:rsidR="000610F9" w:rsidRPr="00190046" w:rsidRDefault="000610F9" w:rsidP="000610F9">
            <w:pPr>
              <w:pStyle w:val="TableText"/>
              <w:tabs>
                <w:tab w:val="left" w:pos="3306"/>
              </w:tabs>
              <w:jc w:val="right"/>
              <w:rPr>
                <w:rFonts w:cs="Calibri"/>
                <w:b/>
                <w:bCs/>
                <w:lang w:eastAsia="en-AU"/>
              </w:rPr>
            </w:pPr>
          </w:p>
        </w:tc>
        <w:tc>
          <w:tcPr>
            <w:tcW w:w="1422" w:type="dxa"/>
            <w:shd w:val="clear" w:color="auto" w:fill="auto"/>
            <w:vAlign w:val="bottom"/>
          </w:tcPr>
          <w:p w14:paraId="5856C440" w14:textId="77777777" w:rsidR="000610F9" w:rsidRPr="00190046" w:rsidRDefault="000610F9" w:rsidP="000610F9">
            <w:pPr>
              <w:pStyle w:val="TableText"/>
              <w:tabs>
                <w:tab w:val="left" w:pos="3306"/>
              </w:tabs>
              <w:jc w:val="right"/>
              <w:rPr>
                <w:rFonts w:cs="Calibri"/>
                <w:b/>
                <w:bCs/>
                <w:lang w:eastAsia="en-AU"/>
              </w:rPr>
            </w:pPr>
          </w:p>
        </w:tc>
      </w:tr>
      <w:tr w:rsidR="000610F9" w:rsidRPr="00CF7E1B" w14:paraId="6626CF09" w14:textId="13B3B32E" w:rsidTr="00D919F2">
        <w:trPr>
          <w:gridAfter w:val="1"/>
          <w:wAfter w:w="53" w:type="dxa"/>
        </w:trPr>
        <w:tc>
          <w:tcPr>
            <w:tcW w:w="1562" w:type="dxa"/>
            <w:tcBorders>
              <w:left w:val="single" w:sz="2" w:space="0" w:color="auto"/>
              <w:right w:val="single" w:sz="2" w:space="0" w:color="auto"/>
            </w:tcBorders>
          </w:tcPr>
          <w:p w14:paraId="74F7C739" w14:textId="77777777" w:rsidR="000610F9" w:rsidRPr="00190046" w:rsidRDefault="000610F9"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60A2CF8A" w14:textId="77777777" w:rsidR="000610F9" w:rsidRPr="00190046" w:rsidRDefault="000610F9" w:rsidP="000610F9">
            <w:pPr>
              <w:pStyle w:val="TableText"/>
              <w:tabs>
                <w:tab w:val="left" w:pos="3306"/>
              </w:tabs>
              <w:rPr>
                <w:rFonts w:cs="Calibri"/>
                <w:bCs/>
                <w:lang w:eastAsia="en-AU"/>
              </w:rPr>
            </w:pPr>
            <w:r w:rsidRPr="00190046">
              <w:rPr>
                <w:rFonts w:cs="Calibri"/>
                <w:bCs/>
                <w:lang w:eastAsia="en-AU"/>
              </w:rPr>
              <w:t>Payment for Expenses on Behalf of the Territory</w:t>
            </w:r>
          </w:p>
        </w:tc>
        <w:tc>
          <w:tcPr>
            <w:tcW w:w="2267" w:type="dxa"/>
            <w:tcBorders>
              <w:bottom w:val="single" w:sz="4" w:space="0" w:color="auto"/>
            </w:tcBorders>
            <w:shd w:val="clear" w:color="auto" w:fill="auto"/>
            <w:vAlign w:val="bottom"/>
          </w:tcPr>
          <w:p w14:paraId="6100C875" w14:textId="26FCAC44" w:rsidR="000610F9" w:rsidRPr="00190046" w:rsidRDefault="000610F9" w:rsidP="000610F9">
            <w:pPr>
              <w:pStyle w:val="TableText"/>
              <w:tabs>
                <w:tab w:val="left" w:pos="3306"/>
              </w:tabs>
              <w:jc w:val="right"/>
              <w:rPr>
                <w:rFonts w:cs="Calibri"/>
                <w:bCs/>
                <w:lang w:eastAsia="en-AU"/>
              </w:rPr>
            </w:pPr>
          </w:p>
        </w:tc>
        <w:tc>
          <w:tcPr>
            <w:tcW w:w="2126" w:type="dxa"/>
            <w:gridSpan w:val="3"/>
            <w:tcBorders>
              <w:bottom w:val="single" w:sz="4" w:space="0" w:color="auto"/>
            </w:tcBorders>
            <w:shd w:val="clear" w:color="auto" w:fill="auto"/>
            <w:vAlign w:val="bottom"/>
          </w:tcPr>
          <w:p w14:paraId="76171CD9" w14:textId="751E5054" w:rsidR="000610F9" w:rsidRPr="00190046" w:rsidRDefault="000610F9" w:rsidP="000610F9">
            <w:pPr>
              <w:pStyle w:val="TableText"/>
              <w:tabs>
                <w:tab w:val="left" w:pos="3306"/>
              </w:tabs>
              <w:jc w:val="right"/>
              <w:rPr>
                <w:rFonts w:cs="Calibri"/>
                <w:bCs/>
                <w:lang w:eastAsia="en-AU"/>
              </w:rPr>
            </w:pPr>
          </w:p>
        </w:tc>
        <w:tc>
          <w:tcPr>
            <w:tcW w:w="1422" w:type="dxa"/>
            <w:tcBorders>
              <w:bottom w:val="single" w:sz="4" w:space="0" w:color="auto"/>
            </w:tcBorders>
            <w:shd w:val="clear" w:color="auto" w:fill="auto"/>
            <w:vAlign w:val="bottom"/>
          </w:tcPr>
          <w:p w14:paraId="6FED9CB6" w14:textId="77777777" w:rsidR="000610F9" w:rsidRPr="00190046" w:rsidRDefault="000610F9" w:rsidP="000610F9">
            <w:pPr>
              <w:pStyle w:val="TableText"/>
              <w:tabs>
                <w:tab w:val="left" w:pos="3306"/>
              </w:tabs>
              <w:jc w:val="right"/>
              <w:rPr>
                <w:rFonts w:cs="Calibri"/>
                <w:bCs/>
                <w:lang w:eastAsia="en-AU"/>
              </w:rPr>
            </w:pPr>
          </w:p>
        </w:tc>
      </w:tr>
      <w:tr w:rsidR="000610F9" w:rsidRPr="00CF7E1B" w14:paraId="28F740E5" w14:textId="09A1EA61" w:rsidTr="00D919F2">
        <w:trPr>
          <w:gridAfter w:val="1"/>
          <w:wAfter w:w="53" w:type="dxa"/>
          <w:trHeight w:val="283"/>
        </w:trPr>
        <w:tc>
          <w:tcPr>
            <w:tcW w:w="1562" w:type="dxa"/>
            <w:tcBorders>
              <w:left w:val="single" w:sz="2" w:space="0" w:color="auto"/>
              <w:right w:val="single" w:sz="2" w:space="0" w:color="auto"/>
            </w:tcBorders>
          </w:tcPr>
          <w:p w14:paraId="79E17158" w14:textId="77777777" w:rsidR="000610F9" w:rsidRPr="00190046" w:rsidRDefault="000610F9"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58C63E72" w14:textId="43BB5614" w:rsidR="000610F9" w:rsidRPr="00190046" w:rsidRDefault="000610F9" w:rsidP="000610F9">
            <w:pPr>
              <w:pStyle w:val="TableText"/>
              <w:tabs>
                <w:tab w:val="left" w:pos="3306"/>
              </w:tabs>
              <w:rPr>
                <w:rFonts w:cs="Calibri"/>
                <w:b/>
                <w:bCs/>
                <w:lang w:eastAsia="en-AU"/>
              </w:rPr>
            </w:pPr>
            <w:r w:rsidRPr="00190046">
              <w:rPr>
                <w:rFonts w:cs="Calibri"/>
                <w:b/>
                <w:bCs/>
                <w:lang w:eastAsia="en-AU"/>
              </w:rPr>
              <w:t xml:space="preserve">Total </w:t>
            </w:r>
            <w:r w:rsidR="00836128" w:rsidRPr="00190046">
              <w:rPr>
                <w:rFonts w:cs="Calibri"/>
                <w:b/>
                <w:bCs/>
                <w:lang w:eastAsia="en-AU"/>
              </w:rPr>
              <w:t>Income</w:t>
            </w:r>
          </w:p>
        </w:tc>
        <w:tc>
          <w:tcPr>
            <w:tcW w:w="2267" w:type="dxa"/>
            <w:tcBorders>
              <w:top w:val="single" w:sz="4" w:space="0" w:color="auto"/>
              <w:bottom w:val="single" w:sz="4" w:space="0" w:color="auto"/>
            </w:tcBorders>
            <w:shd w:val="clear" w:color="auto" w:fill="auto"/>
            <w:vAlign w:val="bottom"/>
          </w:tcPr>
          <w:p w14:paraId="48567075" w14:textId="6759D616" w:rsidR="000610F9" w:rsidRPr="00190046" w:rsidRDefault="000610F9" w:rsidP="000610F9">
            <w:pPr>
              <w:pStyle w:val="TableText"/>
              <w:tabs>
                <w:tab w:val="left" w:pos="3306"/>
              </w:tabs>
              <w:jc w:val="right"/>
              <w:rPr>
                <w:rFonts w:cs="Calibri"/>
                <w:b/>
                <w:bCs/>
                <w:lang w:eastAsia="en-AU"/>
              </w:rPr>
            </w:pPr>
          </w:p>
        </w:tc>
        <w:tc>
          <w:tcPr>
            <w:tcW w:w="2126" w:type="dxa"/>
            <w:gridSpan w:val="3"/>
            <w:tcBorders>
              <w:top w:val="single" w:sz="4" w:space="0" w:color="auto"/>
              <w:bottom w:val="single" w:sz="4" w:space="0" w:color="auto"/>
            </w:tcBorders>
            <w:shd w:val="clear" w:color="auto" w:fill="auto"/>
            <w:vAlign w:val="bottom"/>
          </w:tcPr>
          <w:p w14:paraId="37251890" w14:textId="54EEC71F" w:rsidR="000610F9" w:rsidRPr="00190046" w:rsidRDefault="000610F9" w:rsidP="000610F9">
            <w:pPr>
              <w:pStyle w:val="TableText"/>
              <w:tabs>
                <w:tab w:val="left" w:pos="3306"/>
              </w:tabs>
              <w:jc w:val="right"/>
              <w:rPr>
                <w:rFonts w:cs="Calibri"/>
                <w:b/>
                <w:bCs/>
                <w:lang w:eastAsia="en-AU"/>
              </w:rPr>
            </w:pPr>
          </w:p>
        </w:tc>
        <w:tc>
          <w:tcPr>
            <w:tcW w:w="1422" w:type="dxa"/>
            <w:tcBorders>
              <w:top w:val="single" w:sz="4" w:space="0" w:color="auto"/>
              <w:bottom w:val="single" w:sz="4" w:space="0" w:color="auto"/>
            </w:tcBorders>
            <w:shd w:val="clear" w:color="auto" w:fill="auto"/>
            <w:vAlign w:val="bottom"/>
          </w:tcPr>
          <w:p w14:paraId="23A9533F" w14:textId="77777777" w:rsidR="000610F9" w:rsidRPr="00190046" w:rsidRDefault="000610F9" w:rsidP="000610F9">
            <w:pPr>
              <w:pStyle w:val="TableText"/>
              <w:tabs>
                <w:tab w:val="left" w:pos="3306"/>
              </w:tabs>
              <w:jc w:val="right"/>
              <w:rPr>
                <w:rFonts w:cs="Calibri"/>
                <w:b/>
                <w:bCs/>
                <w:lang w:eastAsia="en-AU"/>
              </w:rPr>
            </w:pPr>
          </w:p>
        </w:tc>
      </w:tr>
      <w:tr w:rsidR="000610F9" w:rsidRPr="00CF7E1B" w14:paraId="40D558C0" w14:textId="31EB60B8" w:rsidTr="00D919F2">
        <w:trPr>
          <w:gridAfter w:val="1"/>
          <w:wAfter w:w="53" w:type="dxa"/>
        </w:trPr>
        <w:tc>
          <w:tcPr>
            <w:tcW w:w="1562" w:type="dxa"/>
            <w:tcBorders>
              <w:left w:val="single" w:sz="2" w:space="0" w:color="auto"/>
              <w:right w:val="single" w:sz="2" w:space="0" w:color="auto"/>
            </w:tcBorders>
          </w:tcPr>
          <w:p w14:paraId="30815826" w14:textId="77777777" w:rsidR="000610F9" w:rsidRPr="00190046" w:rsidRDefault="000610F9"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6D1F842A" w14:textId="77777777" w:rsidR="000610F9" w:rsidRPr="00190046" w:rsidRDefault="000610F9" w:rsidP="000610F9">
            <w:pPr>
              <w:pStyle w:val="TableText"/>
              <w:tabs>
                <w:tab w:val="left" w:pos="3306"/>
              </w:tabs>
              <w:rPr>
                <w:rFonts w:cs="Calibri"/>
                <w:b/>
                <w:bCs/>
                <w:lang w:eastAsia="en-AU"/>
              </w:rPr>
            </w:pPr>
            <w:r w:rsidRPr="00190046">
              <w:rPr>
                <w:rFonts w:cs="Calibri"/>
                <w:b/>
                <w:bCs/>
                <w:lang w:eastAsia="en-AU"/>
              </w:rPr>
              <w:t>Expenses</w:t>
            </w:r>
          </w:p>
        </w:tc>
        <w:tc>
          <w:tcPr>
            <w:tcW w:w="2267" w:type="dxa"/>
            <w:tcBorders>
              <w:top w:val="single" w:sz="4" w:space="0" w:color="auto"/>
            </w:tcBorders>
            <w:shd w:val="clear" w:color="auto" w:fill="auto"/>
            <w:vAlign w:val="bottom"/>
          </w:tcPr>
          <w:p w14:paraId="6D1E41B5" w14:textId="77777777" w:rsidR="000610F9" w:rsidRPr="00190046" w:rsidRDefault="000610F9" w:rsidP="000610F9">
            <w:pPr>
              <w:pStyle w:val="TableText"/>
              <w:tabs>
                <w:tab w:val="left" w:pos="3306"/>
              </w:tabs>
              <w:jc w:val="right"/>
              <w:rPr>
                <w:rFonts w:cs="Calibri"/>
                <w:b/>
                <w:bCs/>
                <w:lang w:eastAsia="en-AU"/>
              </w:rPr>
            </w:pPr>
          </w:p>
        </w:tc>
        <w:tc>
          <w:tcPr>
            <w:tcW w:w="2126" w:type="dxa"/>
            <w:gridSpan w:val="3"/>
            <w:tcBorders>
              <w:top w:val="single" w:sz="4" w:space="0" w:color="auto"/>
            </w:tcBorders>
            <w:shd w:val="clear" w:color="auto" w:fill="auto"/>
            <w:vAlign w:val="bottom"/>
          </w:tcPr>
          <w:p w14:paraId="3CCB9FBC" w14:textId="77777777" w:rsidR="000610F9" w:rsidRPr="00190046" w:rsidRDefault="000610F9" w:rsidP="000610F9">
            <w:pPr>
              <w:pStyle w:val="TableText"/>
              <w:tabs>
                <w:tab w:val="left" w:pos="3306"/>
              </w:tabs>
              <w:jc w:val="right"/>
              <w:rPr>
                <w:rFonts w:cs="Calibri"/>
                <w:b/>
                <w:bCs/>
                <w:lang w:eastAsia="en-AU"/>
              </w:rPr>
            </w:pPr>
          </w:p>
        </w:tc>
        <w:tc>
          <w:tcPr>
            <w:tcW w:w="1422" w:type="dxa"/>
            <w:tcBorders>
              <w:top w:val="single" w:sz="4" w:space="0" w:color="auto"/>
            </w:tcBorders>
            <w:shd w:val="clear" w:color="auto" w:fill="auto"/>
            <w:vAlign w:val="bottom"/>
          </w:tcPr>
          <w:p w14:paraId="2DEA3B9A" w14:textId="77777777" w:rsidR="000610F9" w:rsidRPr="00190046" w:rsidRDefault="000610F9" w:rsidP="000610F9">
            <w:pPr>
              <w:pStyle w:val="TableText"/>
              <w:tabs>
                <w:tab w:val="left" w:pos="3306"/>
              </w:tabs>
              <w:jc w:val="right"/>
              <w:rPr>
                <w:rFonts w:cs="Calibri"/>
                <w:b/>
                <w:bCs/>
                <w:lang w:eastAsia="en-AU"/>
              </w:rPr>
            </w:pPr>
          </w:p>
        </w:tc>
      </w:tr>
      <w:tr w:rsidR="000610F9" w:rsidRPr="00CF7E1B" w14:paraId="1B51EA47" w14:textId="0DFD44BC" w:rsidTr="00D919F2">
        <w:trPr>
          <w:gridAfter w:val="1"/>
          <w:wAfter w:w="53" w:type="dxa"/>
        </w:trPr>
        <w:tc>
          <w:tcPr>
            <w:tcW w:w="1562" w:type="dxa"/>
            <w:tcBorders>
              <w:left w:val="single" w:sz="2" w:space="0" w:color="auto"/>
              <w:right w:val="single" w:sz="2" w:space="0" w:color="auto"/>
            </w:tcBorders>
          </w:tcPr>
          <w:p w14:paraId="53BA8F32" w14:textId="77777777" w:rsidR="000610F9" w:rsidRPr="00190046" w:rsidRDefault="000610F9" w:rsidP="000610F9">
            <w:pPr>
              <w:rPr>
                <w:rFonts w:cs="Calibri"/>
                <w:color w:val="7030A0"/>
                <w:sz w:val="14"/>
                <w:szCs w:val="14"/>
                <w:lang w:eastAsia="en-AU"/>
              </w:rPr>
            </w:pPr>
          </w:p>
        </w:tc>
        <w:tc>
          <w:tcPr>
            <w:tcW w:w="3114" w:type="dxa"/>
            <w:tcBorders>
              <w:left w:val="single" w:sz="2" w:space="0" w:color="auto"/>
            </w:tcBorders>
            <w:shd w:val="clear" w:color="auto" w:fill="auto"/>
            <w:vAlign w:val="bottom"/>
          </w:tcPr>
          <w:p w14:paraId="37145C03" w14:textId="77777777" w:rsidR="000610F9" w:rsidRPr="00190046" w:rsidRDefault="000610F9" w:rsidP="000610F9">
            <w:pPr>
              <w:pStyle w:val="TableText"/>
              <w:tabs>
                <w:tab w:val="left" w:pos="3306"/>
              </w:tabs>
              <w:rPr>
                <w:rFonts w:cs="Calibri"/>
                <w:bCs/>
                <w:lang w:eastAsia="en-AU"/>
              </w:rPr>
            </w:pPr>
            <w:r w:rsidRPr="00190046">
              <w:rPr>
                <w:rFonts w:cs="Calibri"/>
                <w:bCs/>
                <w:lang w:eastAsia="en-AU"/>
              </w:rPr>
              <w:t>Grants and Purchased Services</w:t>
            </w:r>
          </w:p>
        </w:tc>
        <w:tc>
          <w:tcPr>
            <w:tcW w:w="2267" w:type="dxa"/>
            <w:tcBorders>
              <w:bottom w:val="single" w:sz="4" w:space="0" w:color="auto"/>
            </w:tcBorders>
            <w:shd w:val="clear" w:color="auto" w:fill="auto"/>
            <w:vAlign w:val="bottom"/>
          </w:tcPr>
          <w:p w14:paraId="231AB9AE" w14:textId="5BF29EA0" w:rsidR="000610F9" w:rsidRPr="00190046" w:rsidRDefault="000610F9" w:rsidP="000610F9">
            <w:pPr>
              <w:pStyle w:val="TableText"/>
              <w:tabs>
                <w:tab w:val="left" w:pos="3306"/>
              </w:tabs>
              <w:jc w:val="right"/>
              <w:rPr>
                <w:rFonts w:cs="Calibri"/>
                <w:bCs/>
                <w:lang w:eastAsia="en-AU"/>
              </w:rPr>
            </w:pPr>
          </w:p>
        </w:tc>
        <w:tc>
          <w:tcPr>
            <w:tcW w:w="2126" w:type="dxa"/>
            <w:gridSpan w:val="3"/>
            <w:tcBorders>
              <w:bottom w:val="single" w:sz="4" w:space="0" w:color="auto"/>
            </w:tcBorders>
            <w:shd w:val="clear" w:color="auto" w:fill="auto"/>
            <w:vAlign w:val="bottom"/>
          </w:tcPr>
          <w:p w14:paraId="535212D7" w14:textId="7CF19BCA" w:rsidR="000610F9" w:rsidRPr="00190046" w:rsidRDefault="000610F9" w:rsidP="000610F9">
            <w:pPr>
              <w:pStyle w:val="TableText"/>
              <w:tabs>
                <w:tab w:val="left" w:pos="3306"/>
              </w:tabs>
              <w:jc w:val="right"/>
              <w:rPr>
                <w:rFonts w:cs="Calibri"/>
                <w:bCs/>
                <w:lang w:eastAsia="en-AU"/>
              </w:rPr>
            </w:pPr>
          </w:p>
        </w:tc>
        <w:tc>
          <w:tcPr>
            <w:tcW w:w="1422" w:type="dxa"/>
            <w:tcBorders>
              <w:bottom w:val="single" w:sz="4" w:space="0" w:color="auto"/>
            </w:tcBorders>
            <w:shd w:val="clear" w:color="auto" w:fill="auto"/>
            <w:vAlign w:val="bottom"/>
          </w:tcPr>
          <w:p w14:paraId="4842A634" w14:textId="77777777" w:rsidR="000610F9" w:rsidRPr="00190046" w:rsidRDefault="000610F9" w:rsidP="000610F9">
            <w:pPr>
              <w:pStyle w:val="TableText"/>
              <w:tabs>
                <w:tab w:val="left" w:pos="3306"/>
              </w:tabs>
              <w:jc w:val="right"/>
              <w:rPr>
                <w:rFonts w:cs="Calibri"/>
                <w:bCs/>
                <w:lang w:eastAsia="en-AU"/>
              </w:rPr>
            </w:pPr>
          </w:p>
        </w:tc>
      </w:tr>
      <w:tr w:rsidR="000610F9" w:rsidRPr="00CF7E1B" w14:paraId="278E57AF" w14:textId="3FEF04CA" w:rsidTr="00D919F2">
        <w:trPr>
          <w:gridAfter w:val="1"/>
          <w:wAfter w:w="53" w:type="dxa"/>
        </w:trPr>
        <w:tc>
          <w:tcPr>
            <w:tcW w:w="1562" w:type="dxa"/>
            <w:tcBorders>
              <w:left w:val="single" w:sz="2" w:space="0" w:color="auto"/>
              <w:right w:val="single" w:sz="2" w:space="0" w:color="auto"/>
            </w:tcBorders>
          </w:tcPr>
          <w:p w14:paraId="309574B2" w14:textId="77777777" w:rsidR="000610F9" w:rsidRPr="00190046" w:rsidRDefault="000610F9" w:rsidP="000610F9">
            <w:pPr>
              <w:rPr>
                <w:rFonts w:cs="Calibri"/>
                <w:color w:val="7030A0"/>
                <w:sz w:val="16"/>
                <w:lang w:eastAsia="en-AU"/>
              </w:rPr>
            </w:pPr>
          </w:p>
        </w:tc>
        <w:tc>
          <w:tcPr>
            <w:tcW w:w="3114" w:type="dxa"/>
            <w:tcBorders>
              <w:left w:val="single" w:sz="2" w:space="0" w:color="auto"/>
            </w:tcBorders>
            <w:shd w:val="clear" w:color="auto" w:fill="auto"/>
            <w:vAlign w:val="bottom"/>
          </w:tcPr>
          <w:p w14:paraId="70AA8E67" w14:textId="77777777" w:rsidR="000610F9" w:rsidRPr="00190046" w:rsidRDefault="000610F9" w:rsidP="000610F9">
            <w:pPr>
              <w:pStyle w:val="TableText"/>
              <w:tabs>
                <w:tab w:val="left" w:pos="3306"/>
              </w:tabs>
              <w:rPr>
                <w:rFonts w:cs="Calibri"/>
                <w:b/>
                <w:bCs/>
                <w:lang w:eastAsia="en-AU"/>
              </w:rPr>
            </w:pPr>
            <w:r w:rsidRPr="00190046">
              <w:rPr>
                <w:rFonts w:cs="Calibri"/>
                <w:b/>
                <w:bCs/>
                <w:lang w:eastAsia="en-AU"/>
              </w:rPr>
              <w:t>Total Expenses</w:t>
            </w:r>
          </w:p>
        </w:tc>
        <w:tc>
          <w:tcPr>
            <w:tcW w:w="2267" w:type="dxa"/>
            <w:tcBorders>
              <w:top w:val="single" w:sz="4" w:space="0" w:color="auto"/>
              <w:bottom w:val="single" w:sz="4" w:space="0" w:color="auto"/>
            </w:tcBorders>
            <w:shd w:val="clear" w:color="auto" w:fill="auto"/>
            <w:vAlign w:val="bottom"/>
          </w:tcPr>
          <w:p w14:paraId="5A25F908" w14:textId="4DD9B797" w:rsidR="000610F9" w:rsidRPr="00190046" w:rsidRDefault="000610F9" w:rsidP="000610F9">
            <w:pPr>
              <w:pStyle w:val="TableText"/>
              <w:tabs>
                <w:tab w:val="left" w:pos="3306"/>
              </w:tabs>
              <w:jc w:val="right"/>
              <w:rPr>
                <w:rFonts w:cs="Calibri"/>
                <w:b/>
                <w:bCs/>
                <w:lang w:eastAsia="en-AU"/>
              </w:rPr>
            </w:pPr>
          </w:p>
        </w:tc>
        <w:tc>
          <w:tcPr>
            <w:tcW w:w="2126" w:type="dxa"/>
            <w:gridSpan w:val="3"/>
            <w:tcBorders>
              <w:top w:val="single" w:sz="4" w:space="0" w:color="auto"/>
              <w:bottom w:val="single" w:sz="4" w:space="0" w:color="auto"/>
            </w:tcBorders>
            <w:shd w:val="clear" w:color="auto" w:fill="auto"/>
            <w:vAlign w:val="bottom"/>
          </w:tcPr>
          <w:p w14:paraId="7DCF8C3B" w14:textId="21C641DE" w:rsidR="000610F9" w:rsidRPr="00190046" w:rsidRDefault="000610F9" w:rsidP="000610F9">
            <w:pPr>
              <w:pStyle w:val="TableText"/>
              <w:tabs>
                <w:tab w:val="left" w:pos="3306"/>
              </w:tabs>
              <w:jc w:val="right"/>
              <w:rPr>
                <w:rFonts w:cs="Calibri"/>
                <w:b/>
                <w:bCs/>
                <w:lang w:eastAsia="en-AU"/>
              </w:rPr>
            </w:pPr>
          </w:p>
        </w:tc>
        <w:tc>
          <w:tcPr>
            <w:tcW w:w="1422" w:type="dxa"/>
            <w:tcBorders>
              <w:top w:val="single" w:sz="4" w:space="0" w:color="auto"/>
              <w:bottom w:val="single" w:sz="4" w:space="0" w:color="auto"/>
            </w:tcBorders>
            <w:shd w:val="clear" w:color="auto" w:fill="auto"/>
            <w:vAlign w:val="bottom"/>
          </w:tcPr>
          <w:p w14:paraId="4F978270" w14:textId="77777777" w:rsidR="000610F9" w:rsidRPr="00190046" w:rsidRDefault="000610F9" w:rsidP="000610F9">
            <w:pPr>
              <w:pStyle w:val="TableText"/>
              <w:tabs>
                <w:tab w:val="left" w:pos="3306"/>
              </w:tabs>
              <w:jc w:val="right"/>
              <w:rPr>
                <w:rFonts w:cs="Calibri"/>
                <w:b/>
                <w:bCs/>
                <w:lang w:eastAsia="en-AU"/>
              </w:rPr>
            </w:pPr>
          </w:p>
        </w:tc>
      </w:tr>
      <w:tr w:rsidR="001F3306" w:rsidRPr="00CF7E1B" w14:paraId="221E47A2" w14:textId="77777777" w:rsidTr="00D919F2">
        <w:tc>
          <w:tcPr>
            <w:tcW w:w="1562" w:type="dxa"/>
            <w:tcBorders>
              <w:left w:val="single" w:sz="2" w:space="0" w:color="auto"/>
              <w:right w:val="single" w:sz="2" w:space="0" w:color="auto"/>
            </w:tcBorders>
          </w:tcPr>
          <w:p w14:paraId="2862B18D" w14:textId="77777777" w:rsidR="001F3306" w:rsidRPr="004D4028" w:rsidRDefault="001F3306" w:rsidP="006B7685">
            <w:pPr>
              <w:rPr>
                <w:rFonts w:cs="Calibri"/>
                <w:sz w:val="14"/>
                <w:szCs w:val="14"/>
                <w:lang w:eastAsia="en-AU"/>
              </w:rPr>
            </w:pPr>
          </w:p>
        </w:tc>
        <w:tc>
          <w:tcPr>
            <w:tcW w:w="8982" w:type="dxa"/>
            <w:gridSpan w:val="7"/>
            <w:tcBorders>
              <w:left w:val="single" w:sz="2" w:space="0" w:color="auto"/>
            </w:tcBorders>
            <w:vAlign w:val="bottom"/>
          </w:tcPr>
          <w:p w14:paraId="6D424357" w14:textId="77777777" w:rsidR="001F3306" w:rsidRPr="00190046" w:rsidRDefault="001F3306" w:rsidP="006B7685">
            <w:pPr>
              <w:pStyle w:val="TableText"/>
              <w:tabs>
                <w:tab w:val="left" w:pos="3306"/>
              </w:tabs>
              <w:spacing w:before="0"/>
              <w:rPr>
                <w:rFonts w:cs="Calibri"/>
                <w:b/>
                <w:bCs/>
                <w:lang w:eastAsia="en-AU"/>
              </w:rPr>
            </w:pPr>
            <w:r w:rsidRPr="00190046">
              <w:rPr>
                <w:rFonts w:cs="Calibri"/>
                <w:b/>
                <w:bCs/>
                <w:lang w:eastAsia="en-AU"/>
              </w:rPr>
              <w:t>Assets and Liabilities</w:t>
            </w:r>
          </w:p>
        </w:tc>
      </w:tr>
      <w:tr w:rsidR="001F3306" w:rsidRPr="00CF7E1B" w14:paraId="5520FD8E" w14:textId="77777777" w:rsidTr="00D919F2">
        <w:trPr>
          <w:trHeight w:val="514"/>
        </w:trPr>
        <w:tc>
          <w:tcPr>
            <w:tcW w:w="1562" w:type="dxa"/>
            <w:tcBorders>
              <w:left w:val="single" w:sz="2" w:space="0" w:color="auto"/>
              <w:right w:val="single" w:sz="2" w:space="0" w:color="auto"/>
            </w:tcBorders>
          </w:tcPr>
          <w:p w14:paraId="7EAEE265" w14:textId="77777777" w:rsidR="001F3306" w:rsidRPr="004D4028" w:rsidRDefault="001F3306" w:rsidP="006B7685">
            <w:pPr>
              <w:rPr>
                <w:rFonts w:cs="Calibri"/>
                <w:sz w:val="14"/>
                <w:szCs w:val="14"/>
                <w:lang w:eastAsia="en-AU"/>
              </w:rPr>
            </w:pPr>
          </w:p>
        </w:tc>
        <w:tc>
          <w:tcPr>
            <w:tcW w:w="8982" w:type="dxa"/>
            <w:gridSpan w:val="7"/>
            <w:tcBorders>
              <w:left w:val="single" w:sz="2" w:space="0" w:color="auto"/>
            </w:tcBorders>
            <w:vAlign w:val="bottom"/>
          </w:tcPr>
          <w:p w14:paraId="16304703" w14:textId="77777777" w:rsidR="001F3306" w:rsidRPr="00190046" w:rsidRDefault="001F3306" w:rsidP="006B7685">
            <w:pPr>
              <w:pStyle w:val="TableText"/>
              <w:tabs>
                <w:tab w:val="left" w:pos="3306"/>
              </w:tabs>
              <w:spacing w:before="0"/>
              <w:jc w:val="both"/>
              <w:rPr>
                <w:rFonts w:cs="Calibri"/>
                <w:bCs/>
                <w:lang w:eastAsia="en-AU"/>
              </w:rPr>
            </w:pPr>
            <w:r w:rsidRPr="00190046">
              <w:rPr>
                <w:rFonts w:cs="Calibri"/>
                <w:bCs/>
                <w:lang w:eastAsia="en-AU"/>
              </w:rPr>
              <w:t>The territorial assets and liabilities transferred as part of the restructuring of administrative arrangements at the dates of transfer were as follows:</w:t>
            </w:r>
          </w:p>
        </w:tc>
      </w:tr>
      <w:tr w:rsidR="001F3306" w:rsidRPr="00CF7E1B" w14:paraId="7568F891" w14:textId="77777777" w:rsidTr="00D919F2">
        <w:trPr>
          <w:trHeight w:hRule="exact" w:val="707"/>
        </w:trPr>
        <w:tc>
          <w:tcPr>
            <w:tcW w:w="1562" w:type="dxa"/>
            <w:tcBorders>
              <w:left w:val="single" w:sz="2" w:space="0" w:color="auto"/>
              <w:right w:val="single" w:sz="2" w:space="0" w:color="auto"/>
            </w:tcBorders>
            <w:vAlign w:val="center"/>
          </w:tcPr>
          <w:p w14:paraId="6DAC04A7" w14:textId="77777777" w:rsidR="001F3306" w:rsidRPr="004D4028" w:rsidRDefault="001F3306" w:rsidP="006B7685">
            <w:pPr>
              <w:jc w:val="center"/>
              <w:rPr>
                <w:rFonts w:cs="Calibri"/>
                <w:sz w:val="14"/>
                <w:szCs w:val="14"/>
                <w:lang w:eastAsia="en-AU"/>
              </w:rPr>
            </w:pPr>
          </w:p>
        </w:tc>
        <w:tc>
          <w:tcPr>
            <w:tcW w:w="5802" w:type="dxa"/>
            <w:gridSpan w:val="3"/>
            <w:tcBorders>
              <w:left w:val="single" w:sz="2" w:space="0" w:color="auto"/>
            </w:tcBorders>
            <w:shd w:val="clear" w:color="auto" w:fill="auto"/>
            <w:vAlign w:val="center"/>
          </w:tcPr>
          <w:p w14:paraId="7B3B7339" w14:textId="77777777" w:rsidR="001F3306" w:rsidRPr="00190046" w:rsidRDefault="001F3306" w:rsidP="006B7685">
            <w:pPr>
              <w:pStyle w:val="TableText"/>
              <w:tabs>
                <w:tab w:val="left" w:pos="3306"/>
              </w:tabs>
              <w:jc w:val="center"/>
              <w:rPr>
                <w:rFonts w:cs="Calibri"/>
                <w:b/>
                <w:bCs/>
                <w:lang w:eastAsia="en-AU"/>
              </w:rPr>
            </w:pPr>
          </w:p>
        </w:tc>
        <w:tc>
          <w:tcPr>
            <w:tcW w:w="1683" w:type="dxa"/>
            <w:shd w:val="clear" w:color="auto" w:fill="auto"/>
            <w:vAlign w:val="center"/>
          </w:tcPr>
          <w:p w14:paraId="32C05BF3" w14:textId="77777777" w:rsidR="001F3306" w:rsidRPr="00190046" w:rsidRDefault="001F3306" w:rsidP="006B7685">
            <w:pPr>
              <w:pStyle w:val="TableText"/>
              <w:tabs>
                <w:tab w:val="left" w:pos="1659"/>
              </w:tabs>
              <w:spacing w:before="0"/>
              <w:jc w:val="right"/>
              <w:rPr>
                <w:rFonts w:cs="Calibri"/>
                <w:b/>
                <w:bCs/>
                <w:lang w:eastAsia="en-AU"/>
              </w:rPr>
            </w:pPr>
            <w:r w:rsidRPr="00190046">
              <w:rPr>
                <w:rFonts w:cs="Calibri"/>
                <w:b/>
                <w:bCs/>
                <w:lang w:eastAsia="en-AU"/>
              </w:rPr>
              <w:t>Transferred Amounts</w:t>
            </w:r>
          </w:p>
          <w:p w14:paraId="18945810" w14:textId="6221F18E" w:rsidR="001F3306" w:rsidRPr="00190046" w:rsidRDefault="00826D29" w:rsidP="00C377E9">
            <w:pPr>
              <w:pStyle w:val="TableText"/>
              <w:tabs>
                <w:tab w:val="left" w:pos="3306"/>
              </w:tabs>
              <w:jc w:val="right"/>
              <w:rPr>
                <w:rFonts w:cs="Calibri"/>
                <w:b/>
                <w:bCs/>
                <w:lang w:eastAsia="en-AU"/>
              </w:rPr>
            </w:pPr>
            <w:r w:rsidRPr="00190046">
              <w:rPr>
                <w:rFonts w:cs="Calibri"/>
                <w:b/>
                <w:bCs/>
                <w:lang w:eastAsia="en-AU"/>
              </w:rPr>
              <w:t>2022</w:t>
            </w:r>
          </w:p>
        </w:tc>
        <w:tc>
          <w:tcPr>
            <w:tcW w:w="1497" w:type="dxa"/>
            <w:gridSpan w:val="3"/>
            <w:shd w:val="clear" w:color="auto" w:fill="auto"/>
            <w:vAlign w:val="center"/>
          </w:tcPr>
          <w:p w14:paraId="0E032F0A" w14:textId="77777777" w:rsidR="001F3306" w:rsidRPr="00190046" w:rsidRDefault="001F3306" w:rsidP="006B7685">
            <w:pPr>
              <w:pStyle w:val="TableText"/>
              <w:tabs>
                <w:tab w:val="left" w:pos="1659"/>
              </w:tabs>
              <w:spacing w:before="0"/>
              <w:jc w:val="right"/>
              <w:rPr>
                <w:rFonts w:cs="Calibri"/>
                <w:b/>
                <w:bCs/>
                <w:lang w:eastAsia="en-AU"/>
              </w:rPr>
            </w:pPr>
            <w:r w:rsidRPr="00190046">
              <w:rPr>
                <w:rFonts w:cs="Calibri"/>
                <w:b/>
                <w:bCs/>
                <w:lang w:eastAsia="en-AU"/>
              </w:rPr>
              <w:t>Transferred Amounts</w:t>
            </w:r>
          </w:p>
          <w:p w14:paraId="2B304237" w14:textId="1CEAF26F" w:rsidR="001F3306" w:rsidRPr="00190046" w:rsidRDefault="00826D29" w:rsidP="00C377E9">
            <w:pPr>
              <w:pStyle w:val="TableText"/>
              <w:tabs>
                <w:tab w:val="left" w:pos="3306"/>
              </w:tabs>
              <w:spacing w:before="0"/>
              <w:jc w:val="right"/>
              <w:rPr>
                <w:rFonts w:cs="Calibri"/>
                <w:b/>
                <w:bCs/>
                <w:lang w:eastAsia="en-AU"/>
              </w:rPr>
            </w:pPr>
            <w:r w:rsidRPr="00190046">
              <w:rPr>
                <w:rFonts w:cs="Calibri"/>
                <w:b/>
                <w:bCs/>
                <w:lang w:eastAsia="en-AU"/>
              </w:rPr>
              <w:t>2021</w:t>
            </w:r>
          </w:p>
        </w:tc>
      </w:tr>
      <w:tr w:rsidR="001F3306" w:rsidRPr="00CF7E1B" w14:paraId="5C21E926" w14:textId="77777777" w:rsidTr="00D919F2">
        <w:trPr>
          <w:trHeight w:hRule="exact" w:val="227"/>
        </w:trPr>
        <w:tc>
          <w:tcPr>
            <w:tcW w:w="1562" w:type="dxa"/>
            <w:tcBorders>
              <w:left w:val="single" w:sz="2" w:space="0" w:color="auto"/>
              <w:right w:val="single" w:sz="2" w:space="0" w:color="auto"/>
            </w:tcBorders>
          </w:tcPr>
          <w:p w14:paraId="5714C28B" w14:textId="77777777" w:rsidR="001F3306" w:rsidRPr="004D4028" w:rsidRDefault="001F3306" w:rsidP="006B7685">
            <w:pPr>
              <w:rPr>
                <w:rFonts w:cs="Calibri"/>
                <w:sz w:val="14"/>
                <w:szCs w:val="14"/>
                <w:lang w:eastAsia="en-AU"/>
              </w:rPr>
            </w:pPr>
          </w:p>
        </w:tc>
        <w:tc>
          <w:tcPr>
            <w:tcW w:w="5802" w:type="dxa"/>
            <w:gridSpan w:val="3"/>
            <w:tcBorders>
              <w:left w:val="single" w:sz="2" w:space="0" w:color="auto"/>
            </w:tcBorders>
            <w:shd w:val="clear" w:color="auto" w:fill="auto"/>
            <w:vAlign w:val="bottom"/>
          </w:tcPr>
          <w:p w14:paraId="52782FAD" w14:textId="77777777" w:rsidR="001F3306" w:rsidRPr="00190046" w:rsidRDefault="001F3306" w:rsidP="006B7685">
            <w:pPr>
              <w:pStyle w:val="TableText"/>
              <w:tabs>
                <w:tab w:val="left" w:pos="3306"/>
              </w:tabs>
              <w:jc w:val="right"/>
              <w:rPr>
                <w:rFonts w:cs="Calibri"/>
                <w:b/>
                <w:bCs/>
                <w:lang w:eastAsia="en-AU"/>
              </w:rPr>
            </w:pPr>
          </w:p>
        </w:tc>
        <w:tc>
          <w:tcPr>
            <w:tcW w:w="1683" w:type="dxa"/>
            <w:shd w:val="clear" w:color="auto" w:fill="auto"/>
            <w:vAlign w:val="center"/>
          </w:tcPr>
          <w:p w14:paraId="67C9F03D" w14:textId="77777777" w:rsidR="001F3306" w:rsidRPr="00190046" w:rsidRDefault="001F3306" w:rsidP="006B7685">
            <w:pPr>
              <w:pStyle w:val="TableText"/>
              <w:jc w:val="right"/>
              <w:rPr>
                <w:rFonts w:cs="Calibri"/>
                <w:b/>
                <w:bCs/>
                <w:lang w:eastAsia="en-AU"/>
              </w:rPr>
            </w:pPr>
            <w:r w:rsidRPr="00190046">
              <w:rPr>
                <w:rFonts w:cs="Calibri"/>
                <w:b/>
                <w:bCs/>
                <w:lang w:eastAsia="en-AU"/>
              </w:rPr>
              <w:t>$’000</w:t>
            </w:r>
          </w:p>
        </w:tc>
        <w:tc>
          <w:tcPr>
            <w:tcW w:w="1497" w:type="dxa"/>
            <w:gridSpan w:val="3"/>
            <w:shd w:val="clear" w:color="auto" w:fill="auto"/>
            <w:vAlign w:val="center"/>
          </w:tcPr>
          <w:p w14:paraId="49123FAF" w14:textId="77777777" w:rsidR="001F3306" w:rsidRPr="00190046" w:rsidRDefault="001F3306" w:rsidP="006B7685">
            <w:pPr>
              <w:pStyle w:val="TableText"/>
              <w:jc w:val="right"/>
              <w:rPr>
                <w:rFonts w:cs="Calibri"/>
                <w:b/>
                <w:bCs/>
                <w:lang w:eastAsia="en-AU"/>
              </w:rPr>
            </w:pPr>
            <w:r w:rsidRPr="00190046">
              <w:rPr>
                <w:rFonts w:cs="Calibri"/>
                <w:b/>
                <w:bCs/>
                <w:lang w:eastAsia="en-AU"/>
              </w:rPr>
              <w:t>$’000</w:t>
            </w:r>
          </w:p>
        </w:tc>
      </w:tr>
      <w:tr w:rsidR="001F3306" w:rsidRPr="00CF7E1B" w14:paraId="711D8AA4" w14:textId="77777777" w:rsidTr="00D919F2">
        <w:trPr>
          <w:trHeight w:hRule="exact" w:val="227"/>
        </w:trPr>
        <w:tc>
          <w:tcPr>
            <w:tcW w:w="1562" w:type="dxa"/>
            <w:tcBorders>
              <w:left w:val="single" w:sz="2" w:space="0" w:color="auto"/>
              <w:right w:val="single" w:sz="2" w:space="0" w:color="auto"/>
            </w:tcBorders>
          </w:tcPr>
          <w:p w14:paraId="1BFA4913" w14:textId="77777777" w:rsidR="001F3306" w:rsidRPr="004D4028" w:rsidRDefault="001F3306" w:rsidP="006B7685">
            <w:pPr>
              <w:rPr>
                <w:rFonts w:cs="Calibri"/>
                <w:sz w:val="14"/>
                <w:szCs w:val="14"/>
                <w:lang w:eastAsia="en-AU"/>
              </w:rPr>
            </w:pPr>
          </w:p>
        </w:tc>
        <w:tc>
          <w:tcPr>
            <w:tcW w:w="5802" w:type="dxa"/>
            <w:gridSpan w:val="3"/>
            <w:tcBorders>
              <w:left w:val="single" w:sz="2" w:space="0" w:color="auto"/>
            </w:tcBorders>
            <w:shd w:val="clear" w:color="auto" w:fill="auto"/>
            <w:vAlign w:val="bottom"/>
          </w:tcPr>
          <w:p w14:paraId="6BD21173" w14:textId="77777777" w:rsidR="001F3306" w:rsidRPr="00190046" w:rsidRDefault="001F3306" w:rsidP="006B7685">
            <w:pPr>
              <w:pStyle w:val="TableText"/>
              <w:tabs>
                <w:tab w:val="left" w:pos="3306"/>
              </w:tabs>
              <w:rPr>
                <w:rFonts w:cs="Calibri"/>
                <w:b/>
                <w:bCs/>
                <w:lang w:eastAsia="en-AU"/>
              </w:rPr>
            </w:pPr>
            <w:r w:rsidRPr="00190046">
              <w:rPr>
                <w:rFonts w:cs="Calibri"/>
                <w:b/>
                <w:lang w:eastAsia="en-AU"/>
              </w:rPr>
              <w:t>Assets</w:t>
            </w:r>
          </w:p>
        </w:tc>
        <w:tc>
          <w:tcPr>
            <w:tcW w:w="1683" w:type="dxa"/>
            <w:shd w:val="clear" w:color="auto" w:fill="auto"/>
            <w:vAlign w:val="bottom"/>
          </w:tcPr>
          <w:p w14:paraId="74F467C7" w14:textId="77777777" w:rsidR="001F3306" w:rsidRPr="00190046" w:rsidRDefault="001F3306" w:rsidP="006B7685">
            <w:pPr>
              <w:pStyle w:val="TableText"/>
              <w:jc w:val="right"/>
              <w:rPr>
                <w:rFonts w:cs="Calibri"/>
                <w:b/>
                <w:bCs/>
                <w:lang w:eastAsia="en-AU"/>
              </w:rPr>
            </w:pPr>
          </w:p>
        </w:tc>
        <w:tc>
          <w:tcPr>
            <w:tcW w:w="1497" w:type="dxa"/>
            <w:gridSpan w:val="3"/>
            <w:shd w:val="clear" w:color="auto" w:fill="auto"/>
            <w:vAlign w:val="bottom"/>
          </w:tcPr>
          <w:p w14:paraId="5F3E38FF" w14:textId="77777777" w:rsidR="001F3306" w:rsidRPr="00190046" w:rsidRDefault="001F3306" w:rsidP="006B7685">
            <w:pPr>
              <w:pStyle w:val="TableText"/>
              <w:jc w:val="right"/>
              <w:rPr>
                <w:rFonts w:cs="Calibri"/>
                <w:b/>
                <w:bCs/>
                <w:lang w:eastAsia="en-AU"/>
              </w:rPr>
            </w:pPr>
          </w:p>
        </w:tc>
      </w:tr>
      <w:tr w:rsidR="001F3306" w:rsidRPr="00CF7E1B" w14:paraId="27FB13B2" w14:textId="77777777" w:rsidTr="00D919F2">
        <w:trPr>
          <w:trHeight w:hRule="exact" w:val="227"/>
        </w:trPr>
        <w:tc>
          <w:tcPr>
            <w:tcW w:w="1562" w:type="dxa"/>
            <w:tcBorders>
              <w:left w:val="single" w:sz="2" w:space="0" w:color="auto"/>
              <w:right w:val="single" w:sz="2" w:space="0" w:color="auto"/>
            </w:tcBorders>
          </w:tcPr>
          <w:p w14:paraId="155CA706" w14:textId="77777777" w:rsidR="001F3306" w:rsidRPr="004D4028" w:rsidRDefault="001F3306" w:rsidP="006B7685">
            <w:pPr>
              <w:rPr>
                <w:rFonts w:cs="Calibri"/>
                <w:sz w:val="14"/>
                <w:szCs w:val="14"/>
                <w:lang w:eastAsia="en-AU"/>
              </w:rPr>
            </w:pPr>
          </w:p>
        </w:tc>
        <w:tc>
          <w:tcPr>
            <w:tcW w:w="5802" w:type="dxa"/>
            <w:gridSpan w:val="3"/>
            <w:tcBorders>
              <w:left w:val="single" w:sz="2" w:space="0" w:color="auto"/>
            </w:tcBorders>
            <w:shd w:val="clear" w:color="auto" w:fill="auto"/>
            <w:vAlign w:val="bottom"/>
          </w:tcPr>
          <w:p w14:paraId="1E8044F5" w14:textId="4D3DA6FE" w:rsidR="001F3306" w:rsidRPr="00190046" w:rsidRDefault="001F3306" w:rsidP="006B7685">
            <w:pPr>
              <w:pStyle w:val="TableText"/>
              <w:tabs>
                <w:tab w:val="left" w:pos="3306"/>
              </w:tabs>
              <w:rPr>
                <w:rFonts w:cs="Calibri"/>
                <w:b/>
                <w:bCs/>
                <w:lang w:eastAsia="en-AU"/>
              </w:rPr>
            </w:pPr>
            <w:r w:rsidRPr="00190046">
              <w:rPr>
                <w:rFonts w:cs="Calibri"/>
                <w:lang w:eastAsia="en-AU"/>
              </w:rPr>
              <w:t xml:space="preserve">Cash and </w:t>
            </w:r>
            <w:r w:rsidR="00836128" w:rsidRPr="00190046">
              <w:rPr>
                <w:rFonts w:cs="Calibri"/>
                <w:lang w:eastAsia="en-AU"/>
              </w:rPr>
              <w:t>Investment</w:t>
            </w:r>
            <w:r w:rsidR="00190046" w:rsidRPr="00190046">
              <w:rPr>
                <w:rFonts w:cs="Calibri"/>
                <w:lang w:eastAsia="en-AU"/>
              </w:rPr>
              <w:t>s</w:t>
            </w:r>
            <w:r w:rsidR="00836128" w:rsidRPr="00A14734">
              <w:rPr>
                <w:rFonts w:cs="Calibri"/>
                <w:lang w:eastAsia="en-AU"/>
              </w:rPr>
              <w:t xml:space="preserve"> </w:t>
            </w:r>
          </w:p>
        </w:tc>
        <w:tc>
          <w:tcPr>
            <w:tcW w:w="1683" w:type="dxa"/>
            <w:shd w:val="clear" w:color="auto" w:fill="auto"/>
            <w:vAlign w:val="bottom"/>
          </w:tcPr>
          <w:p w14:paraId="39E23230" w14:textId="222988B5" w:rsidR="001F3306" w:rsidRPr="00190046" w:rsidRDefault="001F3306" w:rsidP="006B7685">
            <w:pPr>
              <w:pStyle w:val="TableText"/>
              <w:jc w:val="right"/>
              <w:rPr>
                <w:rFonts w:cs="Calibri"/>
                <w:bCs/>
                <w:lang w:eastAsia="en-AU"/>
              </w:rPr>
            </w:pPr>
          </w:p>
        </w:tc>
        <w:tc>
          <w:tcPr>
            <w:tcW w:w="1497" w:type="dxa"/>
            <w:gridSpan w:val="3"/>
            <w:shd w:val="clear" w:color="auto" w:fill="auto"/>
            <w:vAlign w:val="bottom"/>
          </w:tcPr>
          <w:p w14:paraId="35AC2458" w14:textId="346502CF" w:rsidR="001F3306" w:rsidRPr="00190046" w:rsidRDefault="001F3306" w:rsidP="006B7685">
            <w:pPr>
              <w:pStyle w:val="TableText"/>
              <w:jc w:val="right"/>
              <w:rPr>
                <w:rFonts w:cs="Calibri"/>
                <w:bCs/>
                <w:lang w:eastAsia="en-AU"/>
              </w:rPr>
            </w:pPr>
          </w:p>
        </w:tc>
      </w:tr>
      <w:tr w:rsidR="001F3306" w:rsidRPr="00CF7E1B" w14:paraId="6E7F4945" w14:textId="77777777" w:rsidTr="00D919F2">
        <w:trPr>
          <w:trHeight w:hRule="exact" w:val="227"/>
        </w:trPr>
        <w:tc>
          <w:tcPr>
            <w:tcW w:w="1562" w:type="dxa"/>
            <w:tcBorders>
              <w:left w:val="single" w:sz="2" w:space="0" w:color="auto"/>
              <w:right w:val="single" w:sz="2" w:space="0" w:color="auto"/>
            </w:tcBorders>
          </w:tcPr>
          <w:p w14:paraId="662F5154" w14:textId="77777777" w:rsidR="001F3306" w:rsidRPr="004D4028" w:rsidRDefault="001F3306" w:rsidP="006B7685">
            <w:pPr>
              <w:rPr>
                <w:rFonts w:cs="Calibri"/>
                <w:sz w:val="14"/>
                <w:szCs w:val="14"/>
                <w:lang w:eastAsia="en-AU"/>
              </w:rPr>
            </w:pPr>
          </w:p>
        </w:tc>
        <w:tc>
          <w:tcPr>
            <w:tcW w:w="5802" w:type="dxa"/>
            <w:gridSpan w:val="3"/>
            <w:tcBorders>
              <w:left w:val="single" w:sz="2" w:space="0" w:color="auto"/>
            </w:tcBorders>
            <w:shd w:val="clear" w:color="auto" w:fill="auto"/>
            <w:vAlign w:val="bottom"/>
          </w:tcPr>
          <w:p w14:paraId="404FF029" w14:textId="77777777" w:rsidR="001F3306" w:rsidRPr="00190046" w:rsidRDefault="001F3306" w:rsidP="006B7685">
            <w:pPr>
              <w:pStyle w:val="TableText"/>
              <w:tabs>
                <w:tab w:val="left" w:pos="3306"/>
              </w:tabs>
              <w:rPr>
                <w:rFonts w:cs="Calibri"/>
                <w:b/>
                <w:bCs/>
                <w:lang w:eastAsia="en-AU"/>
              </w:rPr>
            </w:pPr>
            <w:r w:rsidRPr="00190046">
              <w:rPr>
                <w:rFonts w:cs="Calibri"/>
                <w:lang w:eastAsia="en-AU"/>
              </w:rPr>
              <w:t>Receivables</w:t>
            </w:r>
          </w:p>
        </w:tc>
        <w:tc>
          <w:tcPr>
            <w:tcW w:w="1683" w:type="dxa"/>
            <w:tcBorders>
              <w:bottom w:val="single" w:sz="2" w:space="0" w:color="auto"/>
            </w:tcBorders>
            <w:shd w:val="clear" w:color="auto" w:fill="auto"/>
            <w:vAlign w:val="bottom"/>
          </w:tcPr>
          <w:p w14:paraId="55BD3D45" w14:textId="56F9EB8F" w:rsidR="001F3306" w:rsidRPr="00190046" w:rsidRDefault="001F3306" w:rsidP="006B7685">
            <w:pPr>
              <w:pStyle w:val="TableText"/>
              <w:jc w:val="right"/>
              <w:rPr>
                <w:rFonts w:cs="Calibri"/>
                <w:bCs/>
                <w:lang w:eastAsia="en-AU"/>
              </w:rPr>
            </w:pPr>
          </w:p>
        </w:tc>
        <w:tc>
          <w:tcPr>
            <w:tcW w:w="1497" w:type="dxa"/>
            <w:gridSpan w:val="3"/>
            <w:tcBorders>
              <w:bottom w:val="single" w:sz="2" w:space="0" w:color="auto"/>
            </w:tcBorders>
            <w:shd w:val="clear" w:color="auto" w:fill="auto"/>
            <w:vAlign w:val="bottom"/>
          </w:tcPr>
          <w:p w14:paraId="57E45AE1" w14:textId="2E6E4280" w:rsidR="001F3306" w:rsidRPr="00190046" w:rsidRDefault="001F3306" w:rsidP="006B7685">
            <w:pPr>
              <w:pStyle w:val="TableText"/>
              <w:jc w:val="right"/>
              <w:rPr>
                <w:rFonts w:cs="Calibri"/>
                <w:bCs/>
                <w:lang w:eastAsia="en-AU"/>
              </w:rPr>
            </w:pPr>
          </w:p>
        </w:tc>
      </w:tr>
      <w:tr w:rsidR="001F3306" w:rsidRPr="00CF7E1B" w14:paraId="265AB251" w14:textId="77777777" w:rsidTr="00D919F2">
        <w:tc>
          <w:tcPr>
            <w:tcW w:w="1562" w:type="dxa"/>
            <w:tcBorders>
              <w:left w:val="single" w:sz="2" w:space="0" w:color="auto"/>
              <w:right w:val="single" w:sz="2" w:space="0" w:color="auto"/>
            </w:tcBorders>
          </w:tcPr>
          <w:p w14:paraId="242ACC9C" w14:textId="77777777" w:rsidR="001F3306" w:rsidRPr="004D4028" w:rsidRDefault="001F3306" w:rsidP="006B7685">
            <w:pPr>
              <w:rPr>
                <w:rFonts w:cs="Calibri"/>
                <w:sz w:val="14"/>
                <w:szCs w:val="14"/>
                <w:lang w:eastAsia="en-AU"/>
              </w:rPr>
            </w:pPr>
          </w:p>
        </w:tc>
        <w:tc>
          <w:tcPr>
            <w:tcW w:w="5802" w:type="dxa"/>
            <w:gridSpan w:val="3"/>
            <w:tcBorders>
              <w:left w:val="single" w:sz="2" w:space="0" w:color="auto"/>
            </w:tcBorders>
            <w:shd w:val="clear" w:color="auto" w:fill="auto"/>
            <w:vAlign w:val="bottom"/>
          </w:tcPr>
          <w:p w14:paraId="18F84FEB" w14:textId="77777777" w:rsidR="001F3306" w:rsidRPr="00190046" w:rsidRDefault="001F3306" w:rsidP="00836128">
            <w:pPr>
              <w:pStyle w:val="TableText"/>
              <w:tabs>
                <w:tab w:val="left" w:pos="3306"/>
              </w:tabs>
              <w:rPr>
                <w:rFonts w:cs="Calibri"/>
                <w:b/>
                <w:bCs/>
                <w:lang w:eastAsia="en-AU"/>
              </w:rPr>
            </w:pPr>
            <w:r w:rsidRPr="00190046">
              <w:rPr>
                <w:rFonts w:cs="Calibri"/>
                <w:b/>
                <w:lang w:eastAsia="en-AU"/>
              </w:rPr>
              <w:t>Total Assets Transferred</w:t>
            </w:r>
          </w:p>
        </w:tc>
        <w:tc>
          <w:tcPr>
            <w:tcW w:w="1683" w:type="dxa"/>
            <w:tcBorders>
              <w:top w:val="single" w:sz="2" w:space="0" w:color="auto"/>
              <w:bottom w:val="single" w:sz="2" w:space="0" w:color="auto"/>
            </w:tcBorders>
            <w:shd w:val="clear" w:color="auto" w:fill="auto"/>
            <w:vAlign w:val="bottom"/>
          </w:tcPr>
          <w:p w14:paraId="091EBCA5" w14:textId="3225DF6C" w:rsidR="001F3306" w:rsidRPr="00190046" w:rsidRDefault="001F3306" w:rsidP="00836128">
            <w:pPr>
              <w:pStyle w:val="TableText"/>
              <w:spacing w:before="0"/>
              <w:jc w:val="right"/>
              <w:rPr>
                <w:rFonts w:cs="Calibri"/>
                <w:b/>
                <w:bCs/>
                <w:lang w:eastAsia="en-AU"/>
              </w:rPr>
            </w:pPr>
          </w:p>
        </w:tc>
        <w:tc>
          <w:tcPr>
            <w:tcW w:w="1497" w:type="dxa"/>
            <w:gridSpan w:val="3"/>
            <w:tcBorders>
              <w:top w:val="single" w:sz="2" w:space="0" w:color="auto"/>
              <w:bottom w:val="single" w:sz="2" w:space="0" w:color="auto"/>
            </w:tcBorders>
            <w:shd w:val="clear" w:color="auto" w:fill="auto"/>
            <w:vAlign w:val="bottom"/>
          </w:tcPr>
          <w:p w14:paraId="7B37CA59" w14:textId="4CCEBC98" w:rsidR="001F3306" w:rsidRPr="00190046" w:rsidRDefault="001F3306" w:rsidP="00836128">
            <w:pPr>
              <w:pStyle w:val="TableText"/>
              <w:spacing w:before="0"/>
              <w:jc w:val="right"/>
              <w:rPr>
                <w:rFonts w:cs="Calibri"/>
                <w:b/>
                <w:bCs/>
                <w:lang w:eastAsia="en-AU"/>
              </w:rPr>
            </w:pPr>
          </w:p>
        </w:tc>
      </w:tr>
      <w:tr w:rsidR="00836128" w:rsidRPr="00836128" w14:paraId="5AB973C5" w14:textId="77777777" w:rsidTr="00D919F2">
        <w:tc>
          <w:tcPr>
            <w:tcW w:w="1562" w:type="dxa"/>
            <w:tcBorders>
              <w:left w:val="single" w:sz="2" w:space="0" w:color="auto"/>
              <w:right w:val="single" w:sz="2" w:space="0" w:color="auto"/>
            </w:tcBorders>
          </w:tcPr>
          <w:p w14:paraId="391EC808" w14:textId="77777777" w:rsidR="00836128" w:rsidRPr="00836128" w:rsidRDefault="00836128" w:rsidP="006B7685">
            <w:pPr>
              <w:rPr>
                <w:rFonts w:cs="Calibri"/>
                <w:sz w:val="12"/>
                <w:szCs w:val="12"/>
                <w:lang w:eastAsia="en-AU"/>
              </w:rPr>
            </w:pPr>
          </w:p>
        </w:tc>
        <w:tc>
          <w:tcPr>
            <w:tcW w:w="5802" w:type="dxa"/>
            <w:gridSpan w:val="3"/>
            <w:tcBorders>
              <w:left w:val="single" w:sz="2" w:space="0" w:color="auto"/>
            </w:tcBorders>
            <w:shd w:val="clear" w:color="auto" w:fill="auto"/>
            <w:vAlign w:val="bottom"/>
          </w:tcPr>
          <w:p w14:paraId="6CECB20C" w14:textId="77777777" w:rsidR="00836128" w:rsidRPr="00190046" w:rsidRDefault="00836128" w:rsidP="00836128">
            <w:pPr>
              <w:pStyle w:val="TableText"/>
              <w:tabs>
                <w:tab w:val="left" w:pos="3306"/>
              </w:tabs>
              <w:spacing w:before="0"/>
              <w:rPr>
                <w:rFonts w:cs="Calibri"/>
                <w:b/>
                <w:sz w:val="12"/>
                <w:szCs w:val="12"/>
                <w:lang w:eastAsia="en-AU"/>
              </w:rPr>
            </w:pPr>
          </w:p>
        </w:tc>
        <w:tc>
          <w:tcPr>
            <w:tcW w:w="1683" w:type="dxa"/>
            <w:tcBorders>
              <w:top w:val="single" w:sz="2" w:space="0" w:color="auto"/>
            </w:tcBorders>
            <w:shd w:val="clear" w:color="auto" w:fill="auto"/>
            <w:vAlign w:val="bottom"/>
          </w:tcPr>
          <w:p w14:paraId="4F7759B7" w14:textId="77777777" w:rsidR="00836128" w:rsidRPr="00190046" w:rsidRDefault="00836128" w:rsidP="00836128">
            <w:pPr>
              <w:pStyle w:val="TableText"/>
              <w:spacing w:before="0"/>
              <w:jc w:val="right"/>
              <w:rPr>
                <w:rFonts w:cs="Calibri"/>
                <w:b/>
                <w:bCs/>
                <w:sz w:val="12"/>
                <w:szCs w:val="12"/>
                <w:lang w:eastAsia="en-AU"/>
              </w:rPr>
            </w:pPr>
          </w:p>
        </w:tc>
        <w:tc>
          <w:tcPr>
            <w:tcW w:w="1497" w:type="dxa"/>
            <w:gridSpan w:val="3"/>
            <w:tcBorders>
              <w:top w:val="single" w:sz="2" w:space="0" w:color="auto"/>
            </w:tcBorders>
            <w:shd w:val="clear" w:color="auto" w:fill="auto"/>
            <w:vAlign w:val="bottom"/>
          </w:tcPr>
          <w:p w14:paraId="30B995ED" w14:textId="77777777" w:rsidR="00836128" w:rsidRPr="00190046" w:rsidRDefault="00836128" w:rsidP="00836128">
            <w:pPr>
              <w:pStyle w:val="TableText"/>
              <w:spacing w:before="0"/>
              <w:jc w:val="right"/>
              <w:rPr>
                <w:rFonts w:cs="Calibri"/>
                <w:b/>
                <w:bCs/>
                <w:sz w:val="12"/>
                <w:szCs w:val="12"/>
                <w:lang w:eastAsia="en-AU"/>
              </w:rPr>
            </w:pPr>
          </w:p>
        </w:tc>
      </w:tr>
      <w:tr w:rsidR="001F3306" w:rsidRPr="00CF7E1B" w14:paraId="3D8CF2B7" w14:textId="77777777" w:rsidTr="00D919F2">
        <w:trPr>
          <w:trHeight w:val="301"/>
        </w:trPr>
        <w:tc>
          <w:tcPr>
            <w:tcW w:w="1562" w:type="dxa"/>
            <w:tcBorders>
              <w:left w:val="single" w:sz="2" w:space="0" w:color="auto"/>
              <w:right w:val="single" w:sz="2" w:space="0" w:color="auto"/>
            </w:tcBorders>
          </w:tcPr>
          <w:p w14:paraId="00779C2E" w14:textId="77777777" w:rsidR="001F3306" w:rsidRPr="004D4028" w:rsidRDefault="001F3306" w:rsidP="006B7685">
            <w:pPr>
              <w:rPr>
                <w:rFonts w:cs="Calibri"/>
                <w:sz w:val="14"/>
                <w:szCs w:val="14"/>
                <w:lang w:eastAsia="en-AU"/>
              </w:rPr>
            </w:pPr>
          </w:p>
        </w:tc>
        <w:tc>
          <w:tcPr>
            <w:tcW w:w="5802" w:type="dxa"/>
            <w:gridSpan w:val="3"/>
            <w:tcBorders>
              <w:left w:val="single" w:sz="2" w:space="0" w:color="auto"/>
            </w:tcBorders>
            <w:vAlign w:val="bottom"/>
          </w:tcPr>
          <w:p w14:paraId="07AF4085" w14:textId="77777777" w:rsidR="001F3306" w:rsidRPr="00190046" w:rsidRDefault="001F3306" w:rsidP="006B7685">
            <w:pPr>
              <w:pStyle w:val="TableText"/>
              <w:tabs>
                <w:tab w:val="left" w:pos="3306"/>
              </w:tabs>
              <w:rPr>
                <w:rFonts w:cs="Calibri"/>
                <w:bCs/>
                <w:lang w:eastAsia="en-AU"/>
              </w:rPr>
            </w:pPr>
            <w:r w:rsidRPr="00190046">
              <w:rPr>
                <w:rFonts w:cs="Calibri"/>
                <w:b/>
                <w:lang w:eastAsia="en-AU"/>
              </w:rPr>
              <w:t>Liabilities</w:t>
            </w:r>
          </w:p>
        </w:tc>
        <w:tc>
          <w:tcPr>
            <w:tcW w:w="1683" w:type="dxa"/>
            <w:shd w:val="clear" w:color="auto" w:fill="auto"/>
            <w:vAlign w:val="bottom"/>
          </w:tcPr>
          <w:p w14:paraId="694ADD72" w14:textId="77777777" w:rsidR="001F3306" w:rsidRPr="00190046" w:rsidRDefault="001F3306" w:rsidP="006B7685">
            <w:pPr>
              <w:pStyle w:val="TableText"/>
              <w:ind w:left="-51" w:firstLine="51"/>
              <w:jc w:val="right"/>
              <w:rPr>
                <w:rFonts w:cs="Calibri"/>
                <w:b/>
                <w:bCs/>
                <w:lang w:eastAsia="en-AU"/>
              </w:rPr>
            </w:pPr>
          </w:p>
        </w:tc>
        <w:tc>
          <w:tcPr>
            <w:tcW w:w="1497" w:type="dxa"/>
            <w:gridSpan w:val="3"/>
            <w:shd w:val="clear" w:color="auto" w:fill="auto"/>
            <w:vAlign w:val="bottom"/>
          </w:tcPr>
          <w:p w14:paraId="781E4D6B" w14:textId="77777777" w:rsidR="001F3306" w:rsidRPr="00190046" w:rsidRDefault="001F3306" w:rsidP="006B7685">
            <w:pPr>
              <w:pStyle w:val="TableText"/>
              <w:ind w:left="-51" w:firstLine="51"/>
              <w:jc w:val="right"/>
              <w:rPr>
                <w:rFonts w:cs="Calibri"/>
                <w:b/>
                <w:bCs/>
                <w:lang w:eastAsia="en-AU"/>
              </w:rPr>
            </w:pPr>
          </w:p>
        </w:tc>
      </w:tr>
      <w:tr w:rsidR="001F3306" w:rsidRPr="00CF7E1B" w14:paraId="35B4EF83" w14:textId="77777777" w:rsidTr="00D919F2">
        <w:trPr>
          <w:trHeight w:val="270"/>
        </w:trPr>
        <w:tc>
          <w:tcPr>
            <w:tcW w:w="1562" w:type="dxa"/>
            <w:tcBorders>
              <w:left w:val="single" w:sz="2" w:space="0" w:color="auto"/>
              <w:right w:val="single" w:sz="2" w:space="0" w:color="auto"/>
            </w:tcBorders>
          </w:tcPr>
          <w:p w14:paraId="63481F3C" w14:textId="77777777" w:rsidR="001F3306" w:rsidRPr="004D4028" w:rsidRDefault="001F3306" w:rsidP="006B7685">
            <w:pPr>
              <w:rPr>
                <w:rFonts w:cs="Calibri"/>
                <w:sz w:val="14"/>
                <w:szCs w:val="14"/>
                <w:lang w:eastAsia="en-AU"/>
              </w:rPr>
            </w:pPr>
          </w:p>
        </w:tc>
        <w:tc>
          <w:tcPr>
            <w:tcW w:w="5802" w:type="dxa"/>
            <w:gridSpan w:val="3"/>
            <w:tcBorders>
              <w:left w:val="single" w:sz="2" w:space="0" w:color="auto"/>
            </w:tcBorders>
            <w:vAlign w:val="bottom"/>
          </w:tcPr>
          <w:p w14:paraId="60E328F2" w14:textId="77777777" w:rsidR="001F3306" w:rsidRPr="00190046" w:rsidRDefault="001F3306" w:rsidP="006B7685">
            <w:pPr>
              <w:pStyle w:val="TableText"/>
              <w:tabs>
                <w:tab w:val="left" w:pos="3306"/>
              </w:tabs>
              <w:rPr>
                <w:rFonts w:cs="Calibri"/>
                <w:b/>
                <w:bCs/>
                <w:lang w:eastAsia="en-AU"/>
              </w:rPr>
            </w:pPr>
            <w:r w:rsidRPr="00190046">
              <w:rPr>
                <w:rFonts w:cs="Calibri"/>
                <w:lang w:eastAsia="en-AU"/>
              </w:rPr>
              <w:t>Payables</w:t>
            </w:r>
          </w:p>
        </w:tc>
        <w:tc>
          <w:tcPr>
            <w:tcW w:w="1683" w:type="dxa"/>
            <w:tcBorders>
              <w:bottom w:val="single" w:sz="2" w:space="0" w:color="auto"/>
            </w:tcBorders>
            <w:shd w:val="clear" w:color="auto" w:fill="auto"/>
            <w:vAlign w:val="bottom"/>
          </w:tcPr>
          <w:p w14:paraId="05A6B830" w14:textId="78C1788C" w:rsidR="001F3306" w:rsidRPr="00190046" w:rsidRDefault="001F3306" w:rsidP="006B7685">
            <w:pPr>
              <w:pStyle w:val="TableText"/>
              <w:ind w:left="-51" w:firstLine="51"/>
              <w:jc w:val="right"/>
              <w:rPr>
                <w:rFonts w:cs="Calibri"/>
                <w:bCs/>
                <w:lang w:eastAsia="en-AU"/>
              </w:rPr>
            </w:pPr>
          </w:p>
        </w:tc>
        <w:tc>
          <w:tcPr>
            <w:tcW w:w="1497" w:type="dxa"/>
            <w:gridSpan w:val="3"/>
            <w:tcBorders>
              <w:bottom w:val="single" w:sz="2" w:space="0" w:color="auto"/>
            </w:tcBorders>
            <w:shd w:val="clear" w:color="auto" w:fill="auto"/>
            <w:vAlign w:val="bottom"/>
          </w:tcPr>
          <w:p w14:paraId="67F4CEF8" w14:textId="71F901A8" w:rsidR="001F3306" w:rsidRPr="00190046" w:rsidRDefault="001F3306" w:rsidP="006B7685">
            <w:pPr>
              <w:pStyle w:val="TableText"/>
              <w:ind w:left="-51" w:firstLine="51"/>
              <w:jc w:val="right"/>
              <w:rPr>
                <w:rFonts w:cs="Calibri"/>
                <w:bCs/>
                <w:lang w:eastAsia="en-AU"/>
              </w:rPr>
            </w:pPr>
          </w:p>
        </w:tc>
      </w:tr>
      <w:tr w:rsidR="001F3306" w:rsidRPr="00CF7E1B" w14:paraId="1698EA37" w14:textId="77777777" w:rsidTr="00D919F2">
        <w:trPr>
          <w:trHeight w:val="270"/>
        </w:trPr>
        <w:tc>
          <w:tcPr>
            <w:tcW w:w="1562" w:type="dxa"/>
            <w:tcBorders>
              <w:left w:val="single" w:sz="2" w:space="0" w:color="auto"/>
              <w:right w:val="single" w:sz="2" w:space="0" w:color="auto"/>
            </w:tcBorders>
          </w:tcPr>
          <w:p w14:paraId="7955523F" w14:textId="77777777" w:rsidR="001F3306" w:rsidRPr="004D4028" w:rsidRDefault="001F3306" w:rsidP="006B7685">
            <w:pPr>
              <w:rPr>
                <w:rFonts w:cs="Calibri"/>
                <w:sz w:val="14"/>
                <w:szCs w:val="14"/>
                <w:lang w:eastAsia="en-AU"/>
              </w:rPr>
            </w:pPr>
          </w:p>
        </w:tc>
        <w:tc>
          <w:tcPr>
            <w:tcW w:w="5802" w:type="dxa"/>
            <w:gridSpan w:val="3"/>
            <w:tcBorders>
              <w:left w:val="single" w:sz="2" w:space="0" w:color="auto"/>
            </w:tcBorders>
            <w:vAlign w:val="bottom"/>
          </w:tcPr>
          <w:p w14:paraId="59413D09" w14:textId="77777777" w:rsidR="001F3306" w:rsidRPr="00190046" w:rsidRDefault="001F3306" w:rsidP="006B7685">
            <w:pPr>
              <w:pStyle w:val="TableText"/>
              <w:tabs>
                <w:tab w:val="left" w:pos="3306"/>
              </w:tabs>
              <w:rPr>
                <w:rFonts w:cs="Calibri"/>
                <w:b/>
                <w:bCs/>
                <w:lang w:eastAsia="en-AU"/>
              </w:rPr>
            </w:pPr>
            <w:r w:rsidRPr="00190046">
              <w:rPr>
                <w:rFonts w:cs="Calibri"/>
                <w:b/>
                <w:bCs/>
                <w:lang w:eastAsia="en-AU"/>
              </w:rPr>
              <w:t>Total Liabilities Transferred</w:t>
            </w:r>
          </w:p>
        </w:tc>
        <w:tc>
          <w:tcPr>
            <w:tcW w:w="1683" w:type="dxa"/>
            <w:tcBorders>
              <w:top w:val="single" w:sz="2" w:space="0" w:color="auto"/>
              <w:bottom w:val="single" w:sz="2" w:space="0" w:color="auto"/>
            </w:tcBorders>
            <w:shd w:val="clear" w:color="auto" w:fill="auto"/>
            <w:vAlign w:val="bottom"/>
          </w:tcPr>
          <w:p w14:paraId="36CF6FBE" w14:textId="2EB5A3BC" w:rsidR="001F3306" w:rsidRPr="00190046" w:rsidRDefault="001F3306" w:rsidP="006B7685">
            <w:pPr>
              <w:pStyle w:val="TableText"/>
              <w:jc w:val="right"/>
              <w:rPr>
                <w:rFonts w:cs="Calibri"/>
                <w:b/>
                <w:bCs/>
                <w:spacing w:val="-3"/>
                <w:lang w:eastAsia="en-AU"/>
              </w:rPr>
            </w:pPr>
          </w:p>
        </w:tc>
        <w:tc>
          <w:tcPr>
            <w:tcW w:w="1497" w:type="dxa"/>
            <w:gridSpan w:val="3"/>
            <w:tcBorders>
              <w:top w:val="single" w:sz="2" w:space="0" w:color="auto"/>
              <w:bottom w:val="single" w:sz="2" w:space="0" w:color="auto"/>
            </w:tcBorders>
            <w:shd w:val="clear" w:color="auto" w:fill="auto"/>
            <w:vAlign w:val="bottom"/>
          </w:tcPr>
          <w:p w14:paraId="4EFE8DF6" w14:textId="313A9011" w:rsidR="001F3306" w:rsidRPr="00190046" w:rsidRDefault="001F3306" w:rsidP="006B7685">
            <w:pPr>
              <w:pStyle w:val="FootnoteText"/>
              <w:tabs>
                <w:tab w:val="left" w:pos="3306"/>
              </w:tabs>
              <w:ind w:left="-51" w:firstLine="51"/>
              <w:jc w:val="right"/>
              <w:rPr>
                <w:rFonts w:cs="Calibri"/>
                <w:b/>
                <w:bCs/>
                <w:color w:val="auto"/>
                <w:sz w:val="18"/>
                <w:szCs w:val="18"/>
                <w:lang w:eastAsia="en-AU"/>
              </w:rPr>
            </w:pPr>
          </w:p>
        </w:tc>
      </w:tr>
      <w:tr w:rsidR="00836128" w:rsidRPr="00836128" w14:paraId="5945FEA2" w14:textId="77777777" w:rsidTr="00D919F2">
        <w:trPr>
          <w:trHeight w:val="270"/>
        </w:trPr>
        <w:tc>
          <w:tcPr>
            <w:tcW w:w="1562" w:type="dxa"/>
            <w:tcBorders>
              <w:left w:val="single" w:sz="2" w:space="0" w:color="auto"/>
              <w:right w:val="single" w:sz="2" w:space="0" w:color="auto"/>
            </w:tcBorders>
            <w:vAlign w:val="center"/>
          </w:tcPr>
          <w:p w14:paraId="64B37BC3" w14:textId="77777777" w:rsidR="00836128" w:rsidRPr="00836128" w:rsidRDefault="00836128" w:rsidP="00836128">
            <w:pPr>
              <w:jc w:val="right"/>
              <w:rPr>
                <w:rFonts w:cs="Calibri"/>
                <w:sz w:val="12"/>
                <w:szCs w:val="12"/>
                <w:lang w:eastAsia="en-AU"/>
              </w:rPr>
            </w:pPr>
          </w:p>
        </w:tc>
        <w:tc>
          <w:tcPr>
            <w:tcW w:w="5802" w:type="dxa"/>
            <w:gridSpan w:val="3"/>
            <w:tcBorders>
              <w:left w:val="single" w:sz="2" w:space="0" w:color="auto"/>
            </w:tcBorders>
            <w:vAlign w:val="center"/>
          </w:tcPr>
          <w:p w14:paraId="549FE32C" w14:textId="77777777" w:rsidR="00836128" w:rsidRPr="00190046" w:rsidRDefault="00836128" w:rsidP="00836128">
            <w:pPr>
              <w:pStyle w:val="FootnoteText"/>
              <w:tabs>
                <w:tab w:val="left" w:pos="3306"/>
              </w:tabs>
              <w:rPr>
                <w:rFonts w:cs="Calibri"/>
                <w:b/>
                <w:bCs/>
                <w:color w:val="auto"/>
                <w:sz w:val="12"/>
                <w:szCs w:val="12"/>
                <w:lang w:eastAsia="en-AU"/>
              </w:rPr>
            </w:pPr>
          </w:p>
        </w:tc>
        <w:tc>
          <w:tcPr>
            <w:tcW w:w="1683" w:type="dxa"/>
            <w:tcBorders>
              <w:top w:val="single" w:sz="2" w:space="0" w:color="auto"/>
              <w:bottom w:val="single" w:sz="2" w:space="0" w:color="auto"/>
            </w:tcBorders>
            <w:shd w:val="clear" w:color="auto" w:fill="auto"/>
            <w:vAlign w:val="center"/>
          </w:tcPr>
          <w:p w14:paraId="14DAE814" w14:textId="77777777" w:rsidR="00836128" w:rsidRPr="00190046" w:rsidRDefault="00836128" w:rsidP="00836128">
            <w:pPr>
              <w:pStyle w:val="FootnoteText"/>
              <w:tabs>
                <w:tab w:val="left" w:pos="3306"/>
              </w:tabs>
              <w:ind w:left="-51" w:firstLine="51"/>
              <w:jc w:val="right"/>
              <w:rPr>
                <w:rFonts w:cs="Calibri"/>
                <w:b/>
                <w:bCs/>
                <w:color w:val="auto"/>
                <w:sz w:val="12"/>
                <w:szCs w:val="12"/>
                <w:lang w:eastAsia="en-AU"/>
              </w:rPr>
            </w:pPr>
          </w:p>
        </w:tc>
        <w:tc>
          <w:tcPr>
            <w:tcW w:w="1497" w:type="dxa"/>
            <w:gridSpan w:val="3"/>
            <w:tcBorders>
              <w:top w:val="single" w:sz="2" w:space="0" w:color="auto"/>
              <w:bottom w:val="single" w:sz="2" w:space="0" w:color="auto"/>
            </w:tcBorders>
            <w:shd w:val="clear" w:color="auto" w:fill="auto"/>
            <w:vAlign w:val="center"/>
          </w:tcPr>
          <w:p w14:paraId="2D05F99E" w14:textId="77777777" w:rsidR="00836128" w:rsidRPr="00190046" w:rsidRDefault="00836128" w:rsidP="00836128">
            <w:pPr>
              <w:pStyle w:val="FootnoteText"/>
              <w:tabs>
                <w:tab w:val="left" w:pos="3306"/>
              </w:tabs>
              <w:ind w:left="-51" w:firstLine="51"/>
              <w:jc w:val="right"/>
              <w:rPr>
                <w:rFonts w:cs="Calibri"/>
                <w:b/>
                <w:bCs/>
                <w:color w:val="auto"/>
                <w:sz w:val="12"/>
                <w:szCs w:val="12"/>
                <w:lang w:eastAsia="en-AU"/>
              </w:rPr>
            </w:pPr>
          </w:p>
        </w:tc>
      </w:tr>
      <w:tr w:rsidR="001F3306" w:rsidRPr="00CF7E1B" w14:paraId="326A598F" w14:textId="77777777" w:rsidTr="00D919F2">
        <w:trPr>
          <w:trHeight w:val="270"/>
        </w:trPr>
        <w:tc>
          <w:tcPr>
            <w:tcW w:w="1562" w:type="dxa"/>
            <w:tcBorders>
              <w:left w:val="single" w:sz="2" w:space="0" w:color="auto"/>
              <w:right w:val="single" w:sz="2" w:space="0" w:color="auto"/>
            </w:tcBorders>
            <w:vAlign w:val="center"/>
          </w:tcPr>
          <w:p w14:paraId="035DFD47" w14:textId="77777777" w:rsidR="001F3306" w:rsidRPr="004D4028" w:rsidRDefault="001F3306" w:rsidP="006B7685">
            <w:pPr>
              <w:jc w:val="right"/>
              <w:rPr>
                <w:rFonts w:cs="Calibri"/>
                <w:sz w:val="14"/>
                <w:szCs w:val="14"/>
                <w:lang w:eastAsia="en-AU"/>
              </w:rPr>
            </w:pPr>
          </w:p>
        </w:tc>
        <w:tc>
          <w:tcPr>
            <w:tcW w:w="5802" w:type="dxa"/>
            <w:gridSpan w:val="3"/>
            <w:tcBorders>
              <w:left w:val="single" w:sz="2" w:space="0" w:color="auto"/>
            </w:tcBorders>
            <w:vAlign w:val="center"/>
          </w:tcPr>
          <w:p w14:paraId="47CA303C" w14:textId="77777777" w:rsidR="001F3306" w:rsidRPr="00190046" w:rsidRDefault="001F3306" w:rsidP="006B7685">
            <w:pPr>
              <w:pStyle w:val="FootnoteText"/>
              <w:tabs>
                <w:tab w:val="left" w:pos="3306"/>
              </w:tabs>
              <w:rPr>
                <w:rFonts w:cs="Calibri"/>
                <w:b/>
                <w:bCs/>
                <w:color w:val="auto"/>
                <w:sz w:val="18"/>
                <w:szCs w:val="18"/>
                <w:lang w:eastAsia="en-AU"/>
              </w:rPr>
            </w:pPr>
            <w:r w:rsidRPr="00190046">
              <w:rPr>
                <w:rFonts w:cs="Calibri"/>
                <w:b/>
                <w:bCs/>
                <w:color w:val="auto"/>
                <w:sz w:val="18"/>
                <w:szCs w:val="18"/>
                <w:lang w:eastAsia="en-AU"/>
              </w:rPr>
              <w:t>Total Net Assets Transferred</w:t>
            </w:r>
          </w:p>
        </w:tc>
        <w:tc>
          <w:tcPr>
            <w:tcW w:w="1683" w:type="dxa"/>
            <w:tcBorders>
              <w:top w:val="single" w:sz="2" w:space="0" w:color="auto"/>
              <w:bottom w:val="double" w:sz="4" w:space="0" w:color="auto"/>
            </w:tcBorders>
            <w:shd w:val="clear" w:color="auto" w:fill="auto"/>
            <w:vAlign w:val="center"/>
          </w:tcPr>
          <w:p w14:paraId="32A9446A" w14:textId="6FC07CB1" w:rsidR="001F3306" w:rsidRPr="00190046" w:rsidRDefault="001F3306" w:rsidP="006B7685">
            <w:pPr>
              <w:pStyle w:val="FootnoteText"/>
              <w:tabs>
                <w:tab w:val="left" w:pos="3306"/>
              </w:tabs>
              <w:ind w:left="-51" w:firstLine="51"/>
              <w:jc w:val="right"/>
              <w:rPr>
                <w:rFonts w:cs="Calibri"/>
                <w:b/>
                <w:bCs/>
                <w:color w:val="auto"/>
                <w:sz w:val="18"/>
                <w:szCs w:val="18"/>
                <w:lang w:eastAsia="en-AU"/>
              </w:rPr>
            </w:pPr>
          </w:p>
        </w:tc>
        <w:tc>
          <w:tcPr>
            <w:tcW w:w="1497" w:type="dxa"/>
            <w:gridSpan w:val="3"/>
            <w:tcBorders>
              <w:top w:val="single" w:sz="2" w:space="0" w:color="auto"/>
              <w:bottom w:val="double" w:sz="4" w:space="0" w:color="auto"/>
            </w:tcBorders>
            <w:shd w:val="clear" w:color="auto" w:fill="auto"/>
            <w:vAlign w:val="center"/>
          </w:tcPr>
          <w:p w14:paraId="22B26F73" w14:textId="095728AF" w:rsidR="001F3306" w:rsidRPr="00190046" w:rsidRDefault="001F3306" w:rsidP="006B7685">
            <w:pPr>
              <w:pStyle w:val="FootnoteText"/>
              <w:tabs>
                <w:tab w:val="left" w:pos="3306"/>
              </w:tabs>
              <w:ind w:left="-51" w:firstLine="51"/>
              <w:jc w:val="right"/>
              <w:rPr>
                <w:rFonts w:cs="Calibri"/>
                <w:b/>
                <w:bCs/>
                <w:color w:val="auto"/>
                <w:sz w:val="18"/>
                <w:szCs w:val="18"/>
                <w:lang w:eastAsia="en-AU"/>
              </w:rPr>
            </w:pPr>
          </w:p>
        </w:tc>
      </w:tr>
    </w:tbl>
    <w:p w14:paraId="7C03476C" w14:textId="5DE21D17" w:rsidR="00E1026B" w:rsidRDefault="00E1026B"/>
    <w:p w14:paraId="4682DAD0" w14:textId="22E2E0EF" w:rsidR="00E1026B" w:rsidRDefault="00E1026B">
      <w:r>
        <w:br w:type="page"/>
      </w:r>
    </w:p>
    <w:tbl>
      <w:tblPr>
        <w:tblW w:w="4975"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5689"/>
        <w:gridCol w:w="1567"/>
        <w:gridCol w:w="1674"/>
      </w:tblGrid>
      <w:tr w:rsidR="00781498" w:rsidRPr="00CF7E1B" w14:paraId="5C4DEFFB" w14:textId="77777777" w:rsidTr="00D919F2">
        <w:trPr>
          <w:cantSplit/>
          <w:trHeight w:hRule="exact" w:val="906"/>
        </w:trPr>
        <w:tc>
          <w:tcPr>
            <w:tcW w:w="1561" w:type="dxa"/>
            <w:tcBorders>
              <w:top w:val="nil"/>
              <w:left w:val="single" w:sz="2" w:space="0" w:color="auto"/>
              <w:bottom w:val="nil"/>
              <w:right w:val="single" w:sz="2" w:space="0" w:color="auto"/>
            </w:tcBorders>
          </w:tcPr>
          <w:p w14:paraId="695D0796" w14:textId="32278038" w:rsidR="00781498" w:rsidRPr="00E1026B" w:rsidRDefault="00863311" w:rsidP="005D3C33">
            <w:pPr>
              <w:pStyle w:val="TableReference"/>
              <w:tabs>
                <w:tab w:val="left" w:pos="3306"/>
              </w:tabs>
              <w:spacing w:before="240" w:after="240"/>
              <w:rPr>
                <w:rFonts w:asciiTheme="minorHAnsi" w:hAnsiTheme="minorHAnsi" w:cstheme="minorHAnsi"/>
                <w:b/>
                <w:color w:val="7030A0"/>
                <w:sz w:val="22"/>
                <w:szCs w:val="22"/>
              </w:rPr>
            </w:pPr>
            <w:r w:rsidRPr="00E1026B">
              <w:rPr>
                <w:rFonts w:cs="Calibri"/>
                <w:color w:val="7030A0"/>
              </w:rPr>
              <w:br w:type="page"/>
            </w:r>
            <w:bookmarkStart w:id="1001" w:name="FinInst_Territorial" w:colFirst="1" w:colLast="1"/>
            <w:r w:rsidR="00781498" w:rsidRPr="00E1026B">
              <w:rPr>
                <w:rFonts w:asciiTheme="minorHAnsi" w:hAnsiTheme="minorHAnsi" w:cstheme="minorHAnsi"/>
                <w:b/>
                <w:color w:val="7030A0"/>
                <w:sz w:val="22"/>
                <w:szCs w:val="22"/>
              </w:rPr>
              <w:t>Reference</w:t>
            </w:r>
          </w:p>
        </w:tc>
        <w:tc>
          <w:tcPr>
            <w:tcW w:w="8930" w:type="dxa"/>
            <w:gridSpan w:val="3"/>
            <w:tcBorders>
              <w:top w:val="nil"/>
              <w:left w:val="single" w:sz="2" w:space="0" w:color="auto"/>
              <w:bottom w:val="nil"/>
              <w:right w:val="nil"/>
            </w:tcBorders>
            <w:vAlign w:val="bottom"/>
          </w:tcPr>
          <w:p w14:paraId="30F90552" w14:textId="77468719" w:rsidR="00781498" w:rsidRPr="00E1026B" w:rsidRDefault="00781498" w:rsidP="005F62CB">
            <w:pPr>
              <w:pStyle w:val="Heading1"/>
              <w:numPr>
                <w:ilvl w:val="0"/>
                <w:numId w:val="0"/>
              </w:numPr>
            </w:pPr>
            <w:bookmarkStart w:id="1002" w:name="_Toc223433237"/>
            <w:bookmarkStart w:id="1003" w:name="_Toc400627387"/>
            <w:bookmarkStart w:id="1004" w:name="TSfininstrument"/>
            <w:bookmarkStart w:id="1005" w:name="_Toc98763211"/>
            <w:r w:rsidRPr="00E1026B">
              <w:t>Note</w:t>
            </w:r>
            <w:r w:rsidR="00D15902" w:rsidRPr="00E1026B">
              <w:t xml:space="preserve"> </w:t>
            </w:r>
            <w:r w:rsidR="00DD6620" w:rsidRPr="00E1026B">
              <w:t>5</w:t>
            </w:r>
            <w:r w:rsidR="00A05D1E" w:rsidRPr="00E1026B">
              <w:t>3</w:t>
            </w:r>
            <w:r w:rsidRPr="00E1026B">
              <w:t>.</w:t>
            </w:r>
            <w:r w:rsidR="00FA7C77">
              <w:t xml:space="preserve"> </w:t>
            </w:r>
            <w:r w:rsidRPr="00E1026B">
              <w:t xml:space="preserve"> Financial Instruments – Territorial</w:t>
            </w:r>
            <w:bookmarkEnd w:id="1002"/>
            <w:bookmarkEnd w:id="1003"/>
            <w:bookmarkEnd w:id="1004"/>
            <w:bookmarkEnd w:id="1005"/>
            <w:r w:rsidR="00400F38" w:rsidRPr="00E1026B">
              <w:rPr>
                <w:rFonts w:cs="Calibri"/>
                <w:sz w:val="18"/>
                <w:szCs w:val="18"/>
              </w:rPr>
              <w:t xml:space="preserve"> </w:t>
            </w:r>
          </w:p>
        </w:tc>
      </w:tr>
      <w:tr w:rsidR="00F40AE4" w:rsidRPr="00CF7E1B" w14:paraId="16E8E84B" w14:textId="77777777" w:rsidTr="00D919F2">
        <w:trPr>
          <w:cantSplit/>
          <w:trHeight w:hRule="exact" w:val="303"/>
        </w:trPr>
        <w:tc>
          <w:tcPr>
            <w:tcW w:w="1561" w:type="dxa"/>
            <w:tcBorders>
              <w:top w:val="nil"/>
              <w:left w:val="single" w:sz="2" w:space="0" w:color="auto"/>
              <w:bottom w:val="nil"/>
              <w:right w:val="single" w:sz="2" w:space="0" w:color="auto"/>
            </w:tcBorders>
          </w:tcPr>
          <w:p w14:paraId="27521D1C" w14:textId="77777777" w:rsidR="00F40AE4" w:rsidRPr="00E1026B" w:rsidRDefault="00F40AE4" w:rsidP="00F40AE4">
            <w:pPr>
              <w:rPr>
                <w:color w:val="7030A0"/>
              </w:rPr>
            </w:pPr>
          </w:p>
        </w:tc>
        <w:tc>
          <w:tcPr>
            <w:tcW w:w="8930" w:type="dxa"/>
            <w:gridSpan w:val="3"/>
            <w:tcBorders>
              <w:top w:val="nil"/>
              <w:left w:val="single" w:sz="2" w:space="0" w:color="auto"/>
              <w:bottom w:val="nil"/>
              <w:right w:val="nil"/>
            </w:tcBorders>
          </w:tcPr>
          <w:p w14:paraId="14338102" w14:textId="5CB97983" w:rsidR="00F40AE4" w:rsidRPr="00E1026B" w:rsidRDefault="00F40AE4" w:rsidP="00F40AE4">
            <w:r w:rsidRPr="00E1026B">
              <w:rPr>
                <w:b/>
                <w:bCs/>
                <w:sz w:val="18"/>
              </w:rPr>
              <w:t>Material Accounting Policies Relating to Financial Instruments</w:t>
            </w:r>
          </w:p>
        </w:tc>
      </w:tr>
      <w:bookmarkEnd w:id="1001"/>
      <w:tr w:rsidR="00781498" w:rsidRPr="00CF7E1B" w14:paraId="6B085E2C" w14:textId="77777777" w:rsidTr="00D919F2">
        <w:trPr>
          <w:cantSplit/>
          <w:trHeight w:val="23"/>
        </w:trPr>
        <w:tc>
          <w:tcPr>
            <w:tcW w:w="1561" w:type="dxa"/>
            <w:tcBorders>
              <w:top w:val="nil"/>
              <w:left w:val="single" w:sz="2" w:space="0" w:color="auto"/>
              <w:bottom w:val="nil"/>
              <w:right w:val="single" w:sz="2" w:space="0" w:color="auto"/>
            </w:tcBorders>
          </w:tcPr>
          <w:p w14:paraId="34FC5E2E" w14:textId="77777777" w:rsidR="00781498" w:rsidRPr="00E1026B" w:rsidRDefault="00781498" w:rsidP="00863311">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vAlign w:val="bottom"/>
          </w:tcPr>
          <w:p w14:paraId="50B5D710" w14:textId="2BEE832C" w:rsidR="00781498" w:rsidRPr="00E1026B" w:rsidRDefault="00781498" w:rsidP="005F62CB">
            <w:pPr>
              <w:spacing w:after="120"/>
              <w:jc w:val="both"/>
              <w:rPr>
                <w:rFonts w:cs="Calibri"/>
                <w:sz w:val="18"/>
                <w:szCs w:val="18"/>
              </w:rPr>
            </w:pPr>
            <w:r w:rsidRPr="00E1026B">
              <w:rPr>
                <w:rFonts w:cs="Calibri"/>
                <w:sz w:val="18"/>
                <w:szCs w:val="18"/>
              </w:rPr>
              <w:t xml:space="preserve">Details of the </w:t>
            </w:r>
            <w:r w:rsidR="00F40AE4" w:rsidRPr="00E1026B">
              <w:rPr>
                <w:rFonts w:cs="Calibri"/>
                <w:sz w:val="18"/>
                <w:szCs w:val="18"/>
              </w:rPr>
              <w:t xml:space="preserve">material accounting </w:t>
            </w:r>
            <w:r w:rsidRPr="00E1026B">
              <w:rPr>
                <w:rFonts w:cs="Calibri"/>
                <w:sz w:val="18"/>
                <w:szCs w:val="18"/>
              </w:rPr>
              <w:t xml:space="preserve">policies and methods adopted, including the criteria for recognition, the basis of measurement, and the basis on which income and expenses are recognised, with respect to each class of financial asset and financial liability are disclosed in </w:t>
            </w:r>
            <w:r w:rsidR="00F40AE4" w:rsidRPr="00E1026B">
              <w:rPr>
                <w:rFonts w:cs="Calibri"/>
                <w:sz w:val="18"/>
                <w:szCs w:val="18"/>
              </w:rPr>
              <w:t>the note to which they relate.</w:t>
            </w:r>
            <w:r w:rsidR="00FA7C77">
              <w:rPr>
                <w:rFonts w:cs="Calibri"/>
                <w:sz w:val="18"/>
                <w:szCs w:val="18"/>
              </w:rPr>
              <w:t xml:space="preserve"> </w:t>
            </w:r>
            <w:r w:rsidR="00F40AE4" w:rsidRPr="00E1026B">
              <w:rPr>
                <w:rFonts w:cs="Calibri"/>
                <w:sz w:val="18"/>
                <w:szCs w:val="18"/>
              </w:rPr>
              <w:t>In addition to these policies, the following are also accounting policies relating to financial assets and liabilities.</w:t>
            </w:r>
          </w:p>
        </w:tc>
      </w:tr>
      <w:tr w:rsidR="00CC033C" w:rsidRPr="00CF7E1B" w14:paraId="4AFB46A3" w14:textId="77777777" w:rsidTr="00D919F2">
        <w:trPr>
          <w:cantSplit/>
          <w:trHeight w:val="23"/>
        </w:trPr>
        <w:tc>
          <w:tcPr>
            <w:tcW w:w="1561" w:type="dxa"/>
            <w:tcBorders>
              <w:top w:val="nil"/>
              <w:left w:val="single" w:sz="2" w:space="0" w:color="auto"/>
              <w:bottom w:val="nil"/>
              <w:right w:val="single" w:sz="2" w:space="0" w:color="auto"/>
            </w:tcBorders>
          </w:tcPr>
          <w:p w14:paraId="01772F92"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2642233A" w14:textId="097333BE" w:rsidR="00CC033C" w:rsidRPr="00E1026B" w:rsidRDefault="00CC033C" w:rsidP="00CC033C">
            <w:pPr>
              <w:spacing w:after="40"/>
              <w:jc w:val="both"/>
              <w:rPr>
                <w:sz w:val="18"/>
                <w:szCs w:val="18"/>
              </w:rPr>
            </w:pPr>
            <w:r w:rsidRPr="00E1026B">
              <w:rPr>
                <w:sz w:val="18"/>
                <w:szCs w:val="18"/>
              </w:rPr>
              <w:t>Financial assets are subsequently ‘measured at amortised cost’, ‘fair value through other comprehensive income’ or ‘fair value through profit or loss’ on the basis of both:</w:t>
            </w:r>
          </w:p>
          <w:p w14:paraId="524E30D3" w14:textId="656239D6" w:rsidR="00CC033C" w:rsidRPr="00E1026B" w:rsidRDefault="00CC033C" w:rsidP="007122BC">
            <w:pPr>
              <w:pStyle w:val="ListParagraph"/>
              <w:numPr>
                <w:ilvl w:val="0"/>
                <w:numId w:val="64"/>
              </w:numPr>
              <w:spacing w:after="40"/>
              <w:contextualSpacing w:val="0"/>
              <w:jc w:val="both"/>
              <w:rPr>
                <w:sz w:val="18"/>
                <w:szCs w:val="18"/>
              </w:rPr>
            </w:pPr>
            <w:r w:rsidRPr="00E1026B">
              <w:rPr>
                <w:sz w:val="18"/>
                <w:szCs w:val="18"/>
              </w:rPr>
              <w:t>the business model for managing the financial assets; and</w:t>
            </w:r>
          </w:p>
          <w:p w14:paraId="546893CF" w14:textId="1CB3F6CE" w:rsidR="00CC033C" w:rsidRPr="00E1026B" w:rsidRDefault="00CC033C" w:rsidP="007122BC">
            <w:pPr>
              <w:pStyle w:val="ListParagraph"/>
              <w:numPr>
                <w:ilvl w:val="0"/>
                <w:numId w:val="64"/>
              </w:numPr>
              <w:spacing w:after="120"/>
              <w:ind w:left="714" w:hanging="357"/>
              <w:contextualSpacing w:val="0"/>
              <w:jc w:val="both"/>
              <w:rPr>
                <w:sz w:val="18"/>
                <w:szCs w:val="18"/>
              </w:rPr>
            </w:pPr>
            <w:r w:rsidRPr="00E1026B">
              <w:rPr>
                <w:sz w:val="18"/>
              </w:rPr>
              <w:t>the contractual cash flow characteristics of the financial assets.</w:t>
            </w:r>
          </w:p>
        </w:tc>
      </w:tr>
      <w:tr w:rsidR="00CC033C" w:rsidRPr="00CF7E1B" w14:paraId="19F4D677" w14:textId="77777777" w:rsidTr="00D919F2">
        <w:trPr>
          <w:cantSplit/>
          <w:trHeight w:val="23"/>
        </w:trPr>
        <w:tc>
          <w:tcPr>
            <w:tcW w:w="1561" w:type="dxa"/>
            <w:tcBorders>
              <w:top w:val="nil"/>
              <w:left w:val="single" w:sz="2" w:space="0" w:color="auto"/>
              <w:bottom w:val="nil"/>
              <w:right w:val="single" w:sz="2" w:space="0" w:color="auto"/>
            </w:tcBorders>
          </w:tcPr>
          <w:p w14:paraId="2D1A903A"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6F1BD630" w14:textId="684B4DFA" w:rsidR="00CC033C" w:rsidRPr="00E1026B" w:rsidRDefault="00DD47EC" w:rsidP="00CC033C">
            <w:pPr>
              <w:spacing w:after="120"/>
              <w:jc w:val="both"/>
              <w:rPr>
                <w:rFonts w:cs="Calibri"/>
                <w:strike/>
                <w:sz w:val="18"/>
                <w:szCs w:val="18"/>
              </w:rPr>
            </w:pPr>
            <w:r w:rsidRPr="00E1026B">
              <w:rPr>
                <w:rFonts w:eastAsiaTheme="minorHAnsi"/>
                <w:sz w:val="18"/>
                <w:szCs w:val="18"/>
              </w:rPr>
              <w:t xml:space="preserve">All </w:t>
            </w:r>
            <w:r w:rsidR="002166C2" w:rsidRPr="00E1026B">
              <w:rPr>
                <w:rFonts w:eastAsiaTheme="minorHAnsi"/>
                <w:sz w:val="18"/>
                <w:szCs w:val="18"/>
              </w:rPr>
              <w:t xml:space="preserve">territorial </w:t>
            </w:r>
            <w:r w:rsidRPr="00E1026B">
              <w:rPr>
                <w:rFonts w:eastAsiaTheme="minorHAnsi"/>
                <w:sz w:val="18"/>
                <w:szCs w:val="18"/>
              </w:rPr>
              <w:t xml:space="preserve">financial assets and financial liabilities are measured at </w:t>
            </w:r>
            <w:r w:rsidR="002166C2" w:rsidRPr="00E1026B">
              <w:rPr>
                <w:rFonts w:eastAsiaTheme="minorHAnsi"/>
                <w:sz w:val="18"/>
                <w:szCs w:val="18"/>
              </w:rPr>
              <w:t>a</w:t>
            </w:r>
            <w:r w:rsidR="002166C2" w:rsidRPr="00E1026B">
              <w:rPr>
                <w:sz w:val="18"/>
                <w:szCs w:val="18"/>
                <w:lang w:eastAsia="en-AU"/>
              </w:rPr>
              <w:t>mortised cost.</w:t>
            </w:r>
          </w:p>
        </w:tc>
      </w:tr>
      <w:tr w:rsidR="00CC033C" w:rsidRPr="00CF7E1B" w14:paraId="1AD41244" w14:textId="77777777" w:rsidTr="00D919F2">
        <w:trPr>
          <w:cantSplit/>
          <w:trHeight w:hRule="exact" w:val="284"/>
        </w:trPr>
        <w:tc>
          <w:tcPr>
            <w:tcW w:w="1561" w:type="dxa"/>
            <w:tcBorders>
              <w:top w:val="nil"/>
              <w:left w:val="single" w:sz="2" w:space="0" w:color="auto"/>
              <w:bottom w:val="nil"/>
              <w:right w:val="single" w:sz="2" w:space="0" w:color="auto"/>
            </w:tcBorders>
          </w:tcPr>
          <w:p w14:paraId="3B11A443"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2ED775EF" w14:textId="77777777" w:rsidR="00CC033C" w:rsidRPr="00E1026B" w:rsidRDefault="00CC033C" w:rsidP="00CC033C">
            <w:pPr>
              <w:pStyle w:val="CommentaryHeading"/>
              <w:keepNext w:val="0"/>
              <w:tabs>
                <w:tab w:val="left" w:pos="3306"/>
              </w:tabs>
              <w:spacing w:before="0" w:after="0"/>
              <w:rPr>
                <w:rFonts w:cs="Calibri"/>
                <w:sz w:val="18"/>
              </w:rPr>
            </w:pPr>
            <w:r w:rsidRPr="00E1026B">
              <w:rPr>
                <w:rFonts w:cs="Calibri"/>
                <w:sz w:val="18"/>
              </w:rPr>
              <w:t>Interest Rate Risk</w:t>
            </w:r>
          </w:p>
        </w:tc>
      </w:tr>
      <w:tr w:rsidR="00CC033C" w:rsidRPr="00CF7E1B" w14:paraId="7BFAA01A" w14:textId="77777777" w:rsidTr="00D919F2">
        <w:trPr>
          <w:cantSplit/>
          <w:trHeight w:val="23"/>
        </w:trPr>
        <w:tc>
          <w:tcPr>
            <w:tcW w:w="1561" w:type="dxa"/>
            <w:tcBorders>
              <w:top w:val="nil"/>
              <w:left w:val="single" w:sz="2" w:space="0" w:color="auto"/>
              <w:bottom w:val="nil"/>
              <w:right w:val="single" w:sz="2" w:space="0" w:color="auto"/>
            </w:tcBorders>
          </w:tcPr>
          <w:p w14:paraId="54CD7645"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693F1E6A" w14:textId="77777777" w:rsidR="00CC033C" w:rsidRPr="00E1026B" w:rsidRDefault="00CC033C" w:rsidP="00CC033C">
            <w:pPr>
              <w:pStyle w:val="TableText"/>
              <w:spacing w:before="0" w:after="120"/>
              <w:jc w:val="both"/>
              <w:rPr>
                <w:rFonts w:cs="Calibri"/>
              </w:rPr>
            </w:pPr>
            <w:r w:rsidRPr="00E1026B">
              <w:rPr>
                <w:rFonts w:cs="Calibri"/>
              </w:rPr>
              <w:t>Interest rate risk is the risk that the fair value or future cash flows of a financial instrument will fluctuate because of changes in market interest rates.</w:t>
            </w:r>
          </w:p>
          <w:p w14:paraId="58602865" w14:textId="59B1D8C6" w:rsidR="00CC033C" w:rsidRPr="00E1026B" w:rsidRDefault="00CC033C" w:rsidP="00F40AE4">
            <w:pPr>
              <w:pStyle w:val="TableText"/>
              <w:spacing w:before="0" w:after="120"/>
              <w:jc w:val="both"/>
              <w:rPr>
                <w:rFonts w:cs="Calibri"/>
              </w:rPr>
            </w:pPr>
            <w:r w:rsidRPr="00E1026B">
              <w:rPr>
                <w:rFonts w:cs="Calibri"/>
              </w:rPr>
              <w:t>The Agency currently has all of its financial assets and financial liabilities held in non-interest bearing arrangements.</w:t>
            </w:r>
            <w:r w:rsidR="00FA7C77">
              <w:rPr>
                <w:rFonts w:cs="Calibri"/>
              </w:rPr>
              <w:t xml:space="preserve"> </w:t>
            </w:r>
            <w:r w:rsidRPr="00E1026B">
              <w:rPr>
                <w:rFonts w:cs="Calibri"/>
              </w:rPr>
              <w:t>This means that the Agency is not exposed to any movements in interest rates, and as such does not have any interest rate risk.</w:t>
            </w:r>
            <w:r w:rsidR="00FA7C77">
              <w:rPr>
                <w:rFonts w:cs="Calibri"/>
              </w:rPr>
              <w:t xml:space="preserve">   </w:t>
            </w:r>
            <w:r w:rsidRPr="00E1026B">
              <w:rPr>
                <w:rFonts w:cs="Calibri"/>
              </w:rPr>
              <w:t xml:space="preserve"> </w:t>
            </w:r>
          </w:p>
        </w:tc>
      </w:tr>
      <w:tr w:rsidR="00F40AE4" w:rsidRPr="00CF7E1B" w14:paraId="5DBE79EE" w14:textId="77777777" w:rsidTr="00D919F2">
        <w:trPr>
          <w:cantSplit/>
          <w:trHeight w:val="23"/>
        </w:trPr>
        <w:tc>
          <w:tcPr>
            <w:tcW w:w="1561" w:type="dxa"/>
            <w:tcBorders>
              <w:top w:val="nil"/>
              <w:left w:val="single" w:sz="2" w:space="0" w:color="auto"/>
              <w:bottom w:val="nil"/>
              <w:right w:val="single" w:sz="2" w:space="0" w:color="auto"/>
            </w:tcBorders>
          </w:tcPr>
          <w:p w14:paraId="2A13AE49" w14:textId="77777777" w:rsidR="00F40AE4" w:rsidRPr="00E1026B" w:rsidRDefault="00F40AE4"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50120108" w14:textId="04740A29" w:rsidR="00F40AE4" w:rsidRPr="00E1026B" w:rsidRDefault="00F40AE4" w:rsidP="00F40AE4">
            <w:pPr>
              <w:pStyle w:val="TableText"/>
              <w:spacing w:before="0" w:after="40"/>
              <w:jc w:val="both"/>
              <w:rPr>
                <w:rFonts w:cs="Calibri"/>
              </w:rPr>
            </w:pPr>
            <w:r w:rsidRPr="00E1026B">
              <w:rPr>
                <w:rFonts w:cs="Calibri"/>
                <w:i/>
              </w:rPr>
              <w:t>Sensitivity Analysis</w:t>
            </w:r>
          </w:p>
        </w:tc>
      </w:tr>
      <w:tr w:rsidR="00F40AE4" w:rsidRPr="00CF7E1B" w14:paraId="0A06205D" w14:textId="77777777" w:rsidTr="00D919F2">
        <w:trPr>
          <w:cantSplit/>
          <w:trHeight w:val="23"/>
        </w:trPr>
        <w:tc>
          <w:tcPr>
            <w:tcW w:w="1561" w:type="dxa"/>
            <w:tcBorders>
              <w:top w:val="nil"/>
              <w:left w:val="single" w:sz="2" w:space="0" w:color="auto"/>
              <w:bottom w:val="nil"/>
              <w:right w:val="single" w:sz="2" w:space="0" w:color="auto"/>
            </w:tcBorders>
          </w:tcPr>
          <w:p w14:paraId="1F60A0C2" w14:textId="77777777" w:rsidR="00F40AE4" w:rsidRPr="00E1026B" w:rsidRDefault="00F40AE4"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59040379" w14:textId="479B4D72" w:rsidR="00F40AE4" w:rsidRPr="00E1026B" w:rsidRDefault="00F40AE4" w:rsidP="00CC033C">
            <w:pPr>
              <w:pStyle w:val="TableText"/>
              <w:spacing w:before="0" w:after="120"/>
              <w:jc w:val="both"/>
              <w:rPr>
                <w:rFonts w:cs="Calibri"/>
              </w:rPr>
            </w:pPr>
            <w:r w:rsidRPr="00E1026B">
              <w:rPr>
                <w:rFonts w:cs="Calibri"/>
              </w:rPr>
              <w:t>A sensitivity analysis has not been undertaken for the interest rate risk of the Agency as it is not exposed to any movements in interest rates.</w:t>
            </w:r>
          </w:p>
        </w:tc>
      </w:tr>
      <w:tr w:rsidR="00CC033C" w:rsidRPr="00CF7E1B" w14:paraId="536D1C9D" w14:textId="77777777" w:rsidTr="00D919F2">
        <w:trPr>
          <w:cantSplit/>
          <w:trHeight w:hRule="exact" w:val="368"/>
        </w:trPr>
        <w:tc>
          <w:tcPr>
            <w:tcW w:w="1561" w:type="dxa"/>
            <w:tcBorders>
              <w:top w:val="nil"/>
              <w:left w:val="single" w:sz="2" w:space="0" w:color="auto"/>
              <w:bottom w:val="nil"/>
              <w:right w:val="single" w:sz="2" w:space="0" w:color="auto"/>
            </w:tcBorders>
          </w:tcPr>
          <w:p w14:paraId="58DCF77C"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300F3B92" w14:textId="77777777" w:rsidR="00CC033C" w:rsidRPr="00E1026B" w:rsidRDefault="00CC033C" w:rsidP="00CC033C">
            <w:pPr>
              <w:pStyle w:val="CommentaryHeading"/>
              <w:keepNext w:val="0"/>
              <w:spacing w:after="0"/>
              <w:rPr>
                <w:rFonts w:cs="Calibri"/>
                <w:sz w:val="18"/>
              </w:rPr>
            </w:pPr>
            <w:r w:rsidRPr="00E1026B">
              <w:rPr>
                <w:rFonts w:cs="Calibri"/>
                <w:sz w:val="18"/>
              </w:rPr>
              <w:t>Credit Risk</w:t>
            </w:r>
          </w:p>
        </w:tc>
      </w:tr>
      <w:tr w:rsidR="00CC033C" w:rsidRPr="00CF7E1B" w14:paraId="57B81E13" w14:textId="77777777" w:rsidTr="00D919F2">
        <w:trPr>
          <w:cantSplit/>
          <w:trHeight w:val="1081"/>
        </w:trPr>
        <w:tc>
          <w:tcPr>
            <w:tcW w:w="1561" w:type="dxa"/>
            <w:tcBorders>
              <w:top w:val="nil"/>
              <w:left w:val="single" w:sz="2" w:space="0" w:color="auto"/>
              <w:bottom w:val="nil"/>
              <w:right w:val="single" w:sz="2" w:space="0" w:color="auto"/>
            </w:tcBorders>
          </w:tcPr>
          <w:p w14:paraId="1BEFA54E" w14:textId="77777777" w:rsidR="00CC033C" w:rsidRPr="00E1026B" w:rsidRDefault="00CC033C" w:rsidP="00CC033C">
            <w:pPr>
              <w:pStyle w:val="TableReference"/>
              <w:tabs>
                <w:tab w:val="left" w:pos="3306"/>
              </w:tabs>
              <w:spacing w:before="60"/>
              <w:rPr>
                <w:rFonts w:cs="Calibri"/>
                <w:color w:val="7030A0"/>
                <w:sz w:val="14"/>
              </w:rPr>
            </w:pPr>
          </w:p>
        </w:tc>
        <w:tc>
          <w:tcPr>
            <w:tcW w:w="8930" w:type="dxa"/>
            <w:gridSpan w:val="3"/>
            <w:tcBorders>
              <w:top w:val="nil"/>
              <w:left w:val="single" w:sz="2" w:space="0" w:color="auto"/>
              <w:bottom w:val="nil"/>
              <w:right w:val="nil"/>
            </w:tcBorders>
          </w:tcPr>
          <w:p w14:paraId="08B6611C" w14:textId="09818A75" w:rsidR="00CC033C" w:rsidRPr="00E1026B" w:rsidRDefault="00CC033C" w:rsidP="00855BC7">
            <w:pPr>
              <w:pStyle w:val="TableText"/>
              <w:spacing w:before="0" w:after="120"/>
              <w:jc w:val="both"/>
              <w:rPr>
                <w:rFonts w:cs="Calibri"/>
                <w:strike/>
                <w:lang w:eastAsia="en-AU"/>
              </w:rPr>
            </w:pPr>
            <w:r w:rsidRPr="00E1026B">
              <w:rPr>
                <w:rFonts w:cs="Calibri"/>
              </w:rPr>
              <w:t>Credit risk is the risk that one party to a financial instrument will fail to discharge an obligation and cause the other party to incur a financial loss.</w:t>
            </w:r>
            <w:r w:rsidR="00FA7C77">
              <w:rPr>
                <w:rFonts w:cs="Calibri"/>
              </w:rPr>
              <w:t xml:space="preserve"> </w:t>
            </w:r>
            <w:r w:rsidRPr="00E1026B">
              <w:rPr>
                <w:rFonts w:cs="Calibri"/>
              </w:rPr>
              <w:t>The Agency’s credit risk is limited to the amount of the financial assets held less any provision for losses.</w:t>
            </w:r>
            <w:r w:rsidR="00FA7C77">
              <w:rPr>
                <w:rFonts w:cs="Calibri"/>
              </w:rPr>
              <w:t xml:space="preserve"> </w:t>
            </w:r>
            <w:r w:rsidRPr="00E1026B">
              <w:rPr>
                <w:rFonts w:cs="Calibri"/>
              </w:rPr>
              <w:t>The Agency expects to collect all financial assets that are not past due or impaired.</w:t>
            </w:r>
            <w:r w:rsidR="00FA7C77">
              <w:rPr>
                <w:rFonts w:cs="Calibri"/>
              </w:rPr>
              <w:t xml:space="preserve"> </w:t>
            </w:r>
            <w:r w:rsidRPr="00E1026B">
              <w:rPr>
                <w:rFonts w:cs="Calibri"/>
              </w:rPr>
              <w:t>There is no collateral held as security for financial assets.</w:t>
            </w:r>
          </w:p>
        </w:tc>
      </w:tr>
      <w:tr w:rsidR="00CC033C" w:rsidRPr="00CF7E1B" w14:paraId="757A7C78" w14:textId="77777777" w:rsidTr="00D919F2">
        <w:trPr>
          <w:cantSplit/>
          <w:trHeight w:hRule="exact" w:val="272"/>
        </w:trPr>
        <w:tc>
          <w:tcPr>
            <w:tcW w:w="1561" w:type="dxa"/>
            <w:tcBorders>
              <w:top w:val="nil"/>
              <w:left w:val="single" w:sz="2" w:space="0" w:color="auto"/>
              <w:bottom w:val="nil"/>
              <w:right w:val="single" w:sz="2" w:space="0" w:color="auto"/>
            </w:tcBorders>
          </w:tcPr>
          <w:p w14:paraId="4D66B3DD"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780F13E0" w14:textId="77777777" w:rsidR="00CC033C" w:rsidRPr="00E1026B" w:rsidRDefault="00CC033C" w:rsidP="00CC033C">
            <w:pPr>
              <w:pStyle w:val="CommentaryHeading"/>
              <w:keepNext w:val="0"/>
              <w:tabs>
                <w:tab w:val="left" w:pos="3306"/>
              </w:tabs>
              <w:spacing w:before="0" w:after="0"/>
              <w:rPr>
                <w:rFonts w:cs="Calibri"/>
                <w:sz w:val="18"/>
              </w:rPr>
            </w:pPr>
            <w:r w:rsidRPr="00E1026B">
              <w:rPr>
                <w:rFonts w:cs="Calibri"/>
                <w:sz w:val="18"/>
              </w:rPr>
              <w:t>Liquidity Risk</w:t>
            </w:r>
          </w:p>
        </w:tc>
      </w:tr>
      <w:tr w:rsidR="00CC033C" w:rsidRPr="00CF7E1B" w14:paraId="5695A4AD" w14:textId="77777777" w:rsidTr="00D919F2">
        <w:trPr>
          <w:cantSplit/>
          <w:trHeight w:val="23"/>
        </w:trPr>
        <w:tc>
          <w:tcPr>
            <w:tcW w:w="1561" w:type="dxa"/>
            <w:tcBorders>
              <w:top w:val="nil"/>
              <w:left w:val="single" w:sz="2" w:space="0" w:color="auto"/>
              <w:bottom w:val="nil"/>
              <w:right w:val="single" w:sz="2" w:space="0" w:color="auto"/>
            </w:tcBorders>
          </w:tcPr>
          <w:p w14:paraId="770610C9"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3EBEDF56" w14:textId="007EE54D" w:rsidR="00CC033C" w:rsidRPr="00E1026B" w:rsidRDefault="00CC033C" w:rsidP="00CC033C">
            <w:pPr>
              <w:pStyle w:val="CommentaryHeading"/>
              <w:keepNext w:val="0"/>
              <w:tabs>
                <w:tab w:val="left" w:pos="3306"/>
              </w:tabs>
              <w:spacing w:before="0" w:after="120"/>
              <w:jc w:val="both"/>
              <w:rPr>
                <w:rFonts w:cs="Calibri"/>
                <w:b w:val="0"/>
                <w:bCs w:val="0"/>
                <w:sz w:val="18"/>
              </w:rPr>
            </w:pPr>
            <w:r w:rsidRPr="00E1026B">
              <w:rPr>
                <w:rFonts w:cs="Calibri"/>
                <w:b w:val="0"/>
                <w:bCs w:val="0"/>
                <w:sz w:val="18"/>
              </w:rPr>
              <w:t xml:space="preserve">Liquidity risk is the risk that the Agency will encounter difficulties in meeting obligations associated with financial liabilities </w:t>
            </w:r>
            <w:r w:rsidRPr="00E1026B">
              <w:rPr>
                <w:rFonts w:cs="Calibri"/>
                <w:b w:val="0"/>
                <w:sz w:val="18"/>
              </w:rPr>
              <w:t>that are settled by delivering cash or another financial asset</w:t>
            </w:r>
            <w:r w:rsidRPr="00E1026B">
              <w:rPr>
                <w:rFonts w:cs="Calibri"/>
                <w:b w:val="0"/>
                <w:bCs w:val="0"/>
                <w:sz w:val="18"/>
              </w:rPr>
              <w:t>.</w:t>
            </w:r>
            <w:r w:rsidR="00FA7C77">
              <w:rPr>
                <w:rFonts w:cs="Calibri"/>
                <w:b w:val="0"/>
                <w:bCs w:val="0"/>
                <w:sz w:val="18"/>
              </w:rPr>
              <w:t xml:space="preserve"> </w:t>
            </w:r>
            <w:r w:rsidRPr="00E1026B">
              <w:rPr>
                <w:rFonts w:cs="Calibri"/>
                <w:b w:val="0"/>
                <w:bCs w:val="0"/>
                <w:sz w:val="18"/>
              </w:rPr>
              <w:t>To limit its exposure to liquidity risk, the Agency ensures that, at any particular point in time, it has a sufficient amount of current financial assets to meet its current financial liabilities.</w:t>
            </w:r>
            <w:r w:rsidR="00FA7C77">
              <w:rPr>
                <w:rFonts w:cs="Calibri"/>
                <w:b w:val="0"/>
                <w:bCs w:val="0"/>
                <w:sz w:val="18"/>
              </w:rPr>
              <w:t xml:space="preserve"> </w:t>
            </w:r>
            <w:r w:rsidRPr="00E1026B">
              <w:rPr>
                <w:rFonts w:cs="Calibri"/>
                <w:b w:val="0"/>
                <w:bCs w:val="0"/>
                <w:sz w:val="18"/>
              </w:rPr>
              <w:t>Also, where necessary the Agency has the ability to request additional appropriation in order to meet its territorial payables.</w:t>
            </w:r>
            <w:r w:rsidR="00FA7C77">
              <w:rPr>
                <w:rFonts w:cs="Calibri"/>
                <w:b w:val="0"/>
                <w:bCs w:val="0"/>
                <w:sz w:val="18"/>
              </w:rPr>
              <w:t xml:space="preserve"> </w:t>
            </w:r>
            <w:r w:rsidRPr="00E1026B">
              <w:rPr>
                <w:rFonts w:cs="Calibri"/>
                <w:b w:val="0"/>
                <w:bCs w:val="0"/>
                <w:sz w:val="18"/>
              </w:rPr>
              <w:t>This ensures the Agency has enough liquidity to meet its emerging financial liabilities.</w:t>
            </w:r>
            <w:r w:rsidR="00FA7C77">
              <w:rPr>
                <w:rFonts w:cs="Calibri"/>
                <w:b w:val="0"/>
                <w:bCs w:val="0"/>
                <w:sz w:val="18"/>
              </w:rPr>
              <w:t xml:space="preserve"> </w:t>
            </w:r>
            <w:r w:rsidRPr="00E1026B">
              <w:rPr>
                <w:rFonts w:cs="Calibri"/>
                <w:b w:val="0"/>
                <w:bCs w:val="0"/>
                <w:sz w:val="18"/>
              </w:rPr>
              <w:t xml:space="preserve">See the maturity analysis below for further details of when financial liabilities mature. </w:t>
            </w:r>
          </w:p>
          <w:p w14:paraId="3B8ACADF" w14:textId="77777777" w:rsidR="00CC033C" w:rsidRPr="00E1026B" w:rsidRDefault="00CC033C" w:rsidP="00CC033C">
            <w:pPr>
              <w:pStyle w:val="CommentaryHeading"/>
              <w:keepNext w:val="0"/>
              <w:tabs>
                <w:tab w:val="left" w:pos="3306"/>
              </w:tabs>
              <w:spacing w:before="0" w:after="0"/>
              <w:jc w:val="both"/>
              <w:rPr>
                <w:rFonts w:cs="Calibri"/>
                <w:b w:val="0"/>
                <w:bCs w:val="0"/>
                <w:sz w:val="18"/>
              </w:rPr>
            </w:pPr>
            <w:r w:rsidRPr="00E1026B">
              <w:rPr>
                <w:rFonts w:cs="Calibri"/>
                <w:b w:val="0"/>
                <w:bCs w:val="0"/>
                <w:sz w:val="18"/>
              </w:rPr>
              <w:t xml:space="preserve">The Agency’s exposure to liquidity risk and the management of this risk has not changed since the previous </w:t>
            </w:r>
            <w:r w:rsidRPr="00E1026B">
              <w:rPr>
                <w:rFonts w:cs="Calibri"/>
                <w:b w:val="0"/>
                <w:sz w:val="18"/>
              </w:rPr>
              <w:t>reporting period</w:t>
            </w:r>
            <w:r w:rsidRPr="00E1026B">
              <w:rPr>
                <w:rFonts w:cs="Calibri"/>
                <w:b w:val="0"/>
                <w:bCs w:val="0"/>
                <w:sz w:val="18"/>
              </w:rPr>
              <w:t xml:space="preserve">. </w:t>
            </w:r>
          </w:p>
        </w:tc>
      </w:tr>
      <w:tr w:rsidR="00CC033C" w:rsidRPr="00CF7E1B" w14:paraId="4F7CB7FA" w14:textId="77777777" w:rsidTr="00D919F2">
        <w:trPr>
          <w:cantSplit/>
          <w:trHeight w:hRule="exact" w:val="542"/>
        </w:trPr>
        <w:tc>
          <w:tcPr>
            <w:tcW w:w="1561" w:type="dxa"/>
            <w:tcBorders>
              <w:top w:val="nil"/>
              <w:left w:val="single" w:sz="2" w:space="0" w:color="auto"/>
              <w:bottom w:val="nil"/>
              <w:right w:val="single" w:sz="2" w:space="0" w:color="auto"/>
            </w:tcBorders>
          </w:tcPr>
          <w:p w14:paraId="45DB6E9E" w14:textId="77777777" w:rsidR="00CC033C" w:rsidRPr="00E1026B" w:rsidRDefault="00CC033C" w:rsidP="00CC033C">
            <w:pPr>
              <w:pStyle w:val="TableReference"/>
              <w:tabs>
                <w:tab w:val="left" w:pos="3306"/>
              </w:tabs>
              <w:spacing w:before="240"/>
              <w:rPr>
                <w:rFonts w:cs="Calibri"/>
                <w:color w:val="7030A0"/>
                <w:sz w:val="14"/>
              </w:rPr>
            </w:pPr>
          </w:p>
        </w:tc>
        <w:tc>
          <w:tcPr>
            <w:tcW w:w="8930" w:type="dxa"/>
            <w:gridSpan w:val="3"/>
            <w:tcBorders>
              <w:top w:val="nil"/>
              <w:left w:val="single" w:sz="2" w:space="0" w:color="auto"/>
              <w:bottom w:val="nil"/>
              <w:right w:val="nil"/>
            </w:tcBorders>
          </w:tcPr>
          <w:p w14:paraId="0E2F8136" w14:textId="77777777" w:rsidR="00CC033C" w:rsidRPr="00E1026B" w:rsidRDefault="00CC033C" w:rsidP="00CC033C">
            <w:pPr>
              <w:pStyle w:val="CommentaryHeading"/>
              <w:keepNext w:val="0"/>
              <w:tabs>
                <w:tab w:val="left" w:pos="3306"/>
              </w:tabs>
              <w:spacing w:before="240" w:after="0"/>
              <w:rPr>
                <w:rFonts w:cs="Calibri"/>
                <w:sz w:val="18"/>
              </w:rPr>
            </w:pPr>
            <w:r w:rsidRPr="00E1026B">
              <w:rPr>
                <w:rFonts w:cs="Calibri"/>
                <w:sz w:val="18"/>
              </w:rPr>
              <w:t>Price Risk</w:t>
            </w:r>
          </w:p>
        </w:tc>
      </w:tr>
      <w:tr w:rsidR="00CC033C" w:rsidRPr="00CF7E1B" w14:paraId="2DE9AF22" w14:textId="77777777" w:rsidTr="00D919F2">
        <w:trPr>
          <w:cantSplit/>
          <w:trHeight w:val="23"/>
        </w:trPr>
        <w:tc>
          <w:tcPr>
            <w:tcW w:w="1561" w:type="dxa"/>
            <w:tcBorders>
              <w:top w:val="nil"/>
              <w:left w:val="single" w:sz="2" w:space="0" w:color="auto"/>
              <w:bottom w:val="nil"/>
              <w:right w:val="single" w:sz="2" w:space="0" w:color="auto"/>
            </w:tcBorders>
          </w:tcPr>
          <w:p w14:paraId="7EAAD6F8"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7B05F089" w14:textId="76FE025B" w:rsidR="00CC033C" w:rsidRPr="00E1026B" w:rsidRDefault="00CC033C" w:rsidP="00CC033C">
            <w:pPr>
              <w:pStyle w:val="CommentaryHeading"/>
              <w:keepNext w:val="0"/>
              <w:tabs>
                <w:tab w:val="left" w:pos="3306"/>
              </w:tabs>
              <w:spacing w:before="0" w:after="120"/>
              <w:jc w:val="both"/>
              <w:rPr>
                <w:rFonts w:cs="Calibri"/>
                <w:b w:val="0"/>
                <w:bCs w:val="0"/>
                <w:sz w:val="18"/>
              </w:rPr>
            </w:pPr>
            <w:r w:rsidRPr="00E1026B">
              <w:rPr>
                <w:rFonts w:cs="Calibri"/>
                <w:b w:val="0"/>
                <w:bCs w:val="0"/>
                <w:sz w:val="18"/>
              </w:rPr>
              <w:t>Price risk is the risk that the fair value or future cash flows of a financial instrument will fluctuate because of changes in market prices</w:t>
            </w:r>
            <w:r w:rsidR="00C57113" w:rsidRPr="00E1026B">
              <w:rPr>
                <w:rFonts w:cs="Calibri"/>
                <w:b w:val="0"/>
                <w:bCs w:val="0"/>
                <w:sz w:val="18"/>
              </w:rPr>
              <w:t>.</w:t>
            </w:r>
            <w:r w:rsidR="00FA7C77">
              <w:rPr>
                <w:rFonts w:cs="Calibri"/>
                <w:b w:val="0"/>
                <w:bCs w:val="0"/>
                <w:sz w:val="18"/>
              </w:rPr>
              <w:t xml:space="preserve"> </w:t>
            </w:r>
            <w:r w:rsidRPr="00E1026B">
              <w:rPr>
                <w:rFonts w:cs="Calibri"/>
                <w:b w:val="0"/>
                <w:bCs w:val="0"/>
                <w:sz w:val="18"/>
              </w:rPr>
              <w:t>The Agency is not exposed to any price risk.</w:t>
            </w:r>
          </w:p>
        </w:tc>
      </w:tr>
      <w:tr w:rsidR="00CC033C" w:rsidRPr="00CF7E1B" w14:paraId="0ACCCD6E" w14:textId="77777777" w:rsidTr="00D919F2">
        <w:trPr>
          <w:cantSplit/>
          <w:trHeight w:hRule="exact" w:val="236"/>
        </w:trPr>
        <w:tc>
          <w:tcPr>
            <w:tcW w:w="1561" w:type="dxa"/>
            <w:tcBorders>
              <w:top w:val="nil"/>
              <w:left w:val="single" w:sz="2" w:space="0" w:color="auto"/>
              <w:bottom w:val="nil"/>
              <w:right w:val="single" w:sz="2" w:space="0" w:color="auto"/>
            </w:tcBorders>
          </w:tcPr>
          <w:p w14:paraId="78F06C76"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3A7DE527" w14:textId="77777777" w:rsidR="00CC033C" w:rsidRPr="00E1026B" w:rsidRDefault="00CC033C" w:rsidP="00CC033C">
            <w:pPr>
              <w:pStyle w:val="CommentaryHeading"/>
              <w:keepNext w:val="0"/>
              <w:tabs>
                <w:tab w:val="left" w:pos="3306"/>
              </w:tabs>
              <w:spacing w:before="0" w:after="0"/>
              <w:rPr>
                <w:rFonts w:cs="Calibri"/>
                <w:sz w:val="18"/>
              </w:rPr>
            </w:pPr>
            <w:r w:rsidRPr="00E1026B">
              <w:rPr>
                <w:rFonts w:cs="Calibri"/>
                <w:sz w:val="18"/>
              </w:rPr>
              <w:t>Fair Value of Financial Assets and Liabilities</w:t>
            </w:r>
          </w:p>
        </w:tc>
      </w:tr>
      <w:tr w:rsidR="00CC033C" w:rsidRPr="00CF7E1B" w14:paraId="4B9CA408" w14:textId="77777777" w:rsidTr="00D919F2">
        <w:trPr>
          <w:cantSplit/>
          <w:trHeight w:hRule="exact" w:val="550"/>
        </w:trPr>
        <w:tc>
          <w:tcPr>
            <w:tcW w:w="1561" w:type="dxa"/>
            <w:tcBorders>
              <w:top w:val="nil"/>
              <w:left w:val="single" w:sz="2" w:space="0" w:color="auto"/>
              <w:bottom w:val="nil"/>
              <w:right w:val="single" w:sz="2" w:space="0" w:color="auto"/>
            </w:tcBorders>
          </w:tcPr>
          <w:p w14:paraId="27506311" w14:textId="77777777" w:rsidR="00CC033C" w:rsidRPr="00E1026B" w:rsidRDefault="00CC033C" w:rsidP="00CC033C">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right w:val="nil"/>
            </w:tcBorders>
          </w:tcPr>
          <w:p w14:paraId="51F553CC" w14:textId="4A090D03" w:rsidR="00CC033C" w:rsidRPr="00E1026B" w:rsidRDefault="00CC033C" w:rsidP="00CC033C">
            <w:pPr>
              <w:pStyle w:val="CommentaryHeading"/>
              <w:keepNext w:val="0"/>
              <w:tabs>
                <w:tab w:val="left" w:pos="3306"/>
              </w:tabs>
              <w:spacing w:before="0" w:after="0"/>
              <w:jc w:val="both"/>
              <w:rPr>
                <w:rFonts w:cs="Calibri"/>
                <w:b w:val="0"/>
                <w:bCs w:val="0"/>
                <w:sz w:val="18"/>
              </w:rPr>
            </w:pPr>
            <w:r w:rsidRPr="00E1026B">
              <w:rPr>
                <w:rFonts w:cs="Calibri"/>
                <w:b w:val="0"/>
                <w:bCs w:val="0"/>
                <w:sz w:val="18"/>
              </w:rPr>
              <w:t>The carrying amount of territorial financial assets and territorial financial liabilities of ‘</w:t>
            </w:r>
            <w:r w:rsidRPr="00E1026B">
              <w:rPr>
                <w:b w:val="0"/>
                <w:bCs w:val="0"/>
                <w:sz w:val="18"/>
              </w:rPr>
              <w:t xml:space="preserve">Burley Griffin </w:t>
            </w:r>
            <w:r w:rsidRPr="00E1026B">
              <w:rPr>
                <w:rFonts w:cs="Calibri"/>
                <w:b w:val="0"/>
                <w:bCs w:val="0"/>
                <w:sz w:val="18"/>
              </w:rPr>
              <w:t>Agency’ approximate their fair value.</w:t>
            </w:r>
          </w:p>
        </w:tc>
      </w:tr>
      <w:tr w:rsidR="003559D6" w:rsidRPr="00CF7E1B" w14:paraId="12A6885C"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1"/>
        </w:trPr>
        <w:tc>
          <w:tcPr>
            <w:tcW w:w="1561" w:type="dxa"/>
            <w:tcBorders>
              <w:top w:val="nil"/>
              <w:left w:val="single" w:sz="2" w:space="0" w:color="auto"/>
              <w:bottom w:val="nil"/>
              <w:right w:val="single" w:sz="2" w:space="0" w:color="auto"/>
            </w:tcBorders>
          </w:tcPr>
          <w:p w14:paraId="5825FAA2" w14:textId="77777777" w:rsidR="003559D6" w:rsidRPr="00E1026B" w:rsidRDefault="003559D6" w:rsidP="00855BC7">
            <w:pPr>
              <w:pStyle w:val="TableReference"/>
              <w:tabs>
                <w:tab w:val="left" w:pos="3306"/>
              </w:tabs>
              <w:spacing w:before="40"/>
              <w:rPr>
                <w:rFonts w:cs="Calibri"/>
                <w:color w:val="7030A0"/>
                <w:sz w:val="14"/>
              </w:rPr>
            </w:pPr>
          </w:p>
        </w:tc>
        <w:tc>
          <w:tcPr>
            <w:tcW w:w="5689" w:type="dxa"/>
            <w:tcBorders>
              <w:top w:val="nil"/>
              <w:left w:val="single" w:sz="2" w:space="0" w:color="auto"/>
              <w:bottom w:val="nil"/>
              <w:right w:val="nil"/>
            </w:tcBorders>
          </w:tcPr>
          <w:p w14:paraId="440CF563" w14:textId="77777777" w:rsidR="003559D6" w:rsidRPr="00E1026B" w:rsidRDefault="003559D6" w:rsidP="00855BC7">
            <w:pPr>
              <w:pStyle w:val="TableText"/>
              <w:tabs>
                <w:tab w:val="left" w:pos="3306"/>
              </w:tabs>
              <w:rPr>
                <w:rFonts w:cs="Calibri"/>
                <w:b/>
              </w:rPr>
            </w:pPr>
            <w:r w:rsidRPr="00E1026B">
              <w:rPr>
                <w:rFonts w:cs="Calibri"/>
                <w:b/>
              </w:rPr>
              <w:t>Fair Value Hierarchy</w:t>
            </w:r>
          </w:p>
        </w:tc>
        <w:tc>
          <w:tcPr>
            <w:tcW w:w="1567" w:type="dxa"/>
            <w:tcBorders>
              <w:top w:val="nil"/>
              <w:left w:val="nil"/>
              <w:right w:val="nil"/>
            </w:tcBorders>
          </w:tcPr>
          <w:p w14:paraId="402EBD51" w14:textId="77777777" w:rsidR="003559D6" w:rsidRPr="00E1026B" w:rsidRDefault="003559D6" w:rsidP="00855BC7">
            <w:pPr>
              <w:pStyle w:val="TableTitle"/>
              <w:tabs>
                <w:tab w:val="left" w:pos="3306"/>
              </w:tabs>
              <w:jc w:val="left"/>
              <w:rPr>
                <w:rFonts w:cs="Calibri"/>
              </w:rPr>
            </w:pPr>
          </w:p>
        </w:tc>
        <w:tc>
          <w:tcPr>
            <w:tcW w:w="1674" w:type="dxa"/>
            <w:tcBorders>
              <w:top w:val="nil"/>
              <w:left w:val="nil"/>
            </w:tcBorders>
          </w:tcPr>
          <w:p w14:paraId="5C21AAE9" w14:textId="77777777" w:rsidR="003559D6" w:rsidRPr="00E1026B" w:rsidRDefault="003559D6" w:rsidP="00855BC7">
            <w:pPr>
              <w:pStyle w:val="TableTitle"/>
              <w:tabs>
                <w:tab w:val="left" w:pos="3306"/>
              </w:tabs>
              <w:jc w:val="left"/>
              <w:rPr>
                <w:rFonts w:cs="Calibri"/>
              </w:rPr>
            </w:pPr>
          </w:p>
        </w:tc>
      </w:tr>
      <w:tr w:rsidR="003559D6" w:rsidRPr="00CF7E1B" w14:paraId="2D99063C"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6"/>
        </w:trPr>
        <w:tc>
          <w:tcPr>
            <w:tcW w:w="1561" w:type="dxa"/>
            <w:tcBorders>
              <w:top w:val="nil"/>
              <w:left w:val="single" w:sz="2" w:space="0" w:color="auto"/>
              <w:bottom w:val="nil"/>
              <w:right w:val="single" w:sz="2" w:space="0" w:color="auto"/>
            </w:tcBorders>
          </w:tcPr>
          <w:p w14:paraId="19C9F17D" w14:textId="77777777" w:rsidR="003559D6" w:rsidRPr="00E1026B" w:rsidRDefault="003559D6" w:rsidP="009A0F2F">
            <w:pPr>
              <w:pStyle w:val="TableReference"/>
              <w:tabs>
                <w:tab w:val="left" w:pos="3306"/>
              </w:tabs>
              <w:spacing w:before="40"/>
              <w:rPr>
                <w:rFonts w:cs="Calibri"/>
                <w:color w:val="7030A0"/>
                <w:sz w:val="14"/>
              </w:rPr>
            </w:pPr>
          </w:p>
        </w:tc>
        <w:tc>
          <w:tcPr>
            <w:tcW w:w="8930" w:type="dxa"/>
            <w:gridSpan w:val="3"/>
            <w:tcBorders>
              <w:top w:val="nil"/>
              <w:left w:val="single" w:sz="2" w:space="0" w:color="auto"/>
              <w:bottom w:val="nil"/>
            </w:tcBorders>
            <w:vAlign w:val="bottom"/>
          </w:tcPr>
          <w:p w14:paraId="7342077F" w14:textId="5AA79792" w:rsidR="003559D6" w:rsidRPr="00E1026B" w:rsidRDefault="003559D6" w:rsidP="009A0F2F">
            <w:pPr>
              <w:pStyle w:val="TableText"/>
              <w:tabs>
                <w:tab w:val="left" w:pos="3306"/>
              </w:tabs>
              <w:spacing w:before="0"/>
              <w:rPr>
                <w:rFonts w:cs="Calibri"/>
              </w:rPr>
            </w:pPr>
            <w:r w:rsidRPr="00E1026B">
              <w:rPr>
                <w:rFonts w:cs="Calibri"/>
              </w:rPr>
              <w:t>‘</w:t>
            </w:r>
            <w:r w:rsidRPr="00E1026B">
              <w:t xml:space="preserve">Burley Griffin </w:t>
            </w:r>
            <w:r w:rsidRPr="00E1026B">
              <w:rPr>
                <w:rFonts w:cs="Calibri"/>
              </w:rPr>
              <w:t>Agency’ does not have any financial assets or financial liabilities on behalf of the Territory at fair value.</w:t>
            </w:r>
            <w:r w:rsidR="00FA7C77">
              <w:rPr>
                <w:rFonts w:cs="Calibri"/>
              </w:rPr>
              <w:t xml:space="preserve"> </w:t>
            </w:r>
            <w:r w:rsidRPr="00E1026B">
              <w:rPr>
                <w:rFonts w:cs="Calibri"/>
              </w:rPr>
              <w:t>As such no Fair Value Hierarchy disclosures have been made.</w:t>
            </w:r>
          </w:p>
          <w:p w14:paraId="47269117" w14:textId="77777777" w:rsidR="003559D6" w:rsidRPr="00E1026B" w:rsidRDefault="003559D6" w:rsidP="009A0F2F">
            <w:pPr>
              <w:rPr>
                <w:sz w:val="20"/>
                <w:szCs w:val="20"/>
              </w:rPr>
            </w:pPr>
          </w:p>
        </w:tc>
      </w:tr>
    </w:tbl>
    <w:p w14:paraId="03BC04A9" w14:textId="1EDF28FD" w:rsidR="003559D6" w:rsidRPr="00CF7E1B" w:rsidRDefault="003559D6" w:rsidP="00863311">
      <w:pPr>
        <w:pStyle w:val="Header"/>
        <w:tabs>
          <w:tab w:val="clear" w:pos="4153"/>
          <w:tab w:val="clear" w:pos="8306"/>
        </w:tabs>
        <w:rPr>
          <w:rFonts w:cs="Calibri"/>
          <w:szCs w:val="16"/>
        </w:rPr>
        <w:sectPr w:rsidR="003559D6" w:rsidRPr="00CF7E1B" w:rsidSect="00C377E9">
          <w:footerReference w:type="default" r:id="rId42"/>
          <w:footnotePr>
            <w:numRestart w:val="eachPage"/>
          </w:footnotePr>
          <w:pgSz w:w="11907" w:h="16840" w:code="9"/>
          <w:pgMar w:top="680" w:right="680" w:bottom="709" w:left="680" w:header="567" w:footer="284" w:gutter="0"/>
          <w:cols w:space="720"/>
        </w:sectPr>
      </w:pPr>
    </w:p>
    <w:tbl>
      <w:tblPr>
        <w:tblW w:w="4718"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1"/>
        <w:gridCol w:w="3401"/>
        <w:gridCol w:w="1559"/>
        <w:gridCol w:w="1136"/>
        <w:gridCol w:w="1011"/>
        <w:gridCol w:w="27"/>
        <w:gridCol w:w="964"/>
        <w:gridCol w:w="27"/>
        <w:gridCol w:w="1107"/>
        <w:gridCol w:w="27"/>
        <w:gridCol w:w="1249"/>
        <w:gridCol w:w="27"/>
        <w:gridCol w:w="1273"/>
        <w:gridCol w:w="16"/>
        <w:gridCol w:w="1219"/>
      </w:tblGrid>
      <w:tr w:rsidR="00C377E9" w:rsidRPr="00CF7E1B" w14:paraId="37B18F6A" w14:textId="77777777" w:rsidTr="00D919F2">
        <w:trPr>
          <w:cantSplit/>
          <w:trHeight w:val="23"/>
        </w:trPr>
        <w:tc>
          <w:tcPr>
            <w:tcW w:w="1562" w:type="dxa"/>
            <w:tcBorders>
              <w:top w:val="nil"/>
              <w:left w:val="single" w:sz="2" w:space="0" w:color="auto"/>
              <w:bottom w:val="nil"/>
              <w:right w:val="single" w:sz="2" w:space="0" w:color="auto"/>
            </w:tcBorders>
          </w:tcPr>
          <w:p w14:paraId="55E01568" w14:textId="77777777" w:rsidR="00FB5A3D" w:rsidRPr="004A5792" w:rsidRDefault="006F4815" w:rsidP="005D3C33">
            <w:pPr>
              <w:pStyle w:val="TableReference"/>
              <w:tabs>
                <w:tab w:val="left" w:pos="3306"/>
              </w:tabs>
              <w:spacing w:before="240" w:after="240"/>
              <w:rPr>
                <w:rFonts w:asciiTheme="minorHAnsi" w:hAnsiTheme="minorHAnsi" w:cstheme="minorHAnsi"/>
                <w:b/>
                <w:color w:val="7030A0"/>
                <w:sz w:val="22"/>
                <w:szCs w:val="22"/>
              </w:rPr>
            </w:pPr>
            <w:r w:rsidRPr="004A5792">
              <w:rPr>
                <w:rFonts w:asciiTheme="minorHAnsi" w:hAnsiTheme="minorHAnsi" w:cstheme="minorHAnsi"/>
                <w:b/>
                <w:color w:val="7030A0"/>
                <w:sz w:val="22"/>
                <w:szCs w:val="22"/>
              </w:rPr>
              <w:t>Reference</w:t>
            </w:r>
          </w:p>
        </w:tc>
        <w:tc>
          <w:tcPr>
            <w:tcW w:w="13042" w:type="dxa"/>
            <w:gridSpan w:val="14"/>
            <w:tcBorders>
              <w:top w:val="nil"/>
              <w:left w:val="single" w:sz="2" w:space="0" w:color="auto"/>
              <w:bottom w:val="nil"/>
              <w:right w:val="nil"/>
            </w:tcBorders>
            <w:vAlign w:val="bottom"/>
          </w:tcPr>
          <w:p w14:paraId="10A226A7" w14:textId="30787EE7" w:rsidR="00FB5A3D" w:rsidRPr="004A5792" w:rsidRDefault="005F62CB" w:rsidP="005F62CB">
            <w:pPr>
              <w:pStyle w:val="TableText"/>
              <w:spacing w:before="240" w:after="240"/>
              <w:rPr>
                <w:rFonts w:ascii="Arial" w:hAnsi="Arial" w:cs="Arial"/>
                <w:b/>
                <w:bCs/>
                <w:caps/>
                <w:sz w:val="32"/>
                <w:szCs w:val="32"/>
              </w:rPr>
            </w:pPr>
            <w:r w:rsidRPr="004A5792">
              <w:rPr>
                <w:rFonts w:ascii="Arial" w:hAnsi="Arial" w:cs="Arial"/>
                <w:b/>
                <w:sz w:val="32"/>
                <w:szCs w:val="32"/>
              </w:rPr>
              <w:t xml:space="preserve">NOTE </w:t>
            </w:r>
            <w:r w:rsidR="00DD6620" w:rsidRPr="004A5792">
              <w:rPr>
                <w:rFonts w:ascii="Arial" w:hAnsi="Arial" w:cs="Arial"/>
                <w:b/>
                <w:sz w:val="32"/>
                <w:szCs w:val="32"/>
              </w:rPr>
              <w:t>5</w:t>
            </w:r>
            <w:r w:rsidR="00A05D1E">
              <w:rPr>
                <w:rFonts w:ascii="Arial" w:hAnsi="Arial" w:cs="Arial"/>
                <w:b/>
                <w:sz w:val="32"/>
                <w:szCs w:val="32"/>
              </w:rPr>
              <w:t>3</w:t>
            </w:r>
            <w:r w:rsidRPr="004A5792">
              <w:rPr>
                <w:rFonts w:ascii="Arial" w:hAnsi="Arial" w:cs="Arial"/>
                <w:b/>
                <w:sz w:val="32"/>
                <w:szCs w:val="32"/>
              </w:rPr>
              <w:t>.</w:t>
            </w:r>
            <w:r w:rsidR="00FA7C77">
              <w:rPr>
                <w:rFonts w:ascii="Arial" w:hAnsi="Arial" w:cs="Arial"/>
                <w:b/>
                <w:sz w:val="32"/>
                <w:szCs w:val="32"/>
              </w:rPr>
              <w:t xml:space="preserve"> </w:t>
            </w:r>
            <w:r w:rsidRPr="004A5792">
              <w:rPr>
                <w:rFonts w:ascii="Arial" w:hAnsi="Arial" w:cs="Arial"/>
                <w:b/>
                <w:sz w:val="32"/>
                <w:szCs w:val="32"/>
              </w:rPr>
              <w:t xml:space="preserve"> FINANCIAL INSTRUMENTS – TERRITORIAL – CONTINUED </w:t>
            </w:r>
          </w:p>
        </w:tc>
      </w:tr>
      <w:tr w:rsidR="00C377E9" w:rsidRPr="00CF7E1B" w14:paraId="516B2FFE" w14:textId="77777777" w:rsidTr="00D919F2">
        <w:trPr>
          <w:cantSplit/>
          <w:trHeight w:val="23"/>
        </w:trPr>
        <w:tc>
          <w:tcPr>
            <w:tcW w:w="1562" w:type="dxa"/>
            <w:tcBorders>
              <w:top w:val="nil"/>
              <w:left w:val="single" w:sz="2" w:space="0" w:color="auto"/>
              <w:bottom w:val="nil"/>
              <w:right w:val="single" w:sz="2" w:space="0" w:color="auto"/>
            </w:tcBorders>
          </w:tcPr>
          <w:p w14:paraId="31D79892" w14:textId="77777777" w:rsidR="00FB5A3D" w:rsidRPr="004A5792" w:rsidRDefault="00F458E9" w:rsidP="00C377E9">
            <w:pPr>
              <w:pStyle w:val="TableReference"/>
              <w:tabs>
                <w:tab w:val="left" w:pos="3306"/>
              </w:tabs>
              <w:spacing w:before="80"/>
              <w:rPr>
                <w:rFonts w:cs="Calibri"/>
                <w:color w:val="7030A0"/>
                <w:sz w:val="14"/>
              </w:rPr>
            </w:pPr>
            <w:r w:rsidRPr="004A5792">
              <w:rPr>
                <w:rFonts w:cs="Calibri"/>
                <w:color w:val="7030A0"/>
                <w:sz w:val="14"/>
              </w:rPr>
              <w:t>AASB 7.34(a) &amp; 39(a)</w:t>
            </w:r>
            <w:r w:rsidR="00C377E9" w:rsidRPr="004A5792">
              <w:rPr>
                <w:rFonts w:cs="Calibri"/>
                <w:color w:val="7030A0"/>
                <w:sz w:val="14"/>
              </w:rPr>
              <w:t xml:space="preserve"> &amp;</w:t>
            </w:r>
            <w:r w:rsidRPr="004A5792">
              <w:rPr>
                <w:rFonts w:cs="Calibri"/>
                <w:color w:val="7030A0"/>
                <w:sz w:val="14"/>
              </w:rPr>
              <w:t xml:space="preserve"> ACT Disclosure Policy</w:t>
            </w:r>
          </w:p>
        </w:tc>
        <w:tc>
          <w:tcPr>
            <w:tcW w:w="13042" w:type="dxa"/>
            <w:gridSpan w:val="14"/>
            <w:tcBorders>
              <w:top w:val="nil"/>
              <w:left w:val="single" w:sz="2" w:space="0" w:color="auto"/>
              <w:bottom w:val="nil"/>
              <w:right w:val="nil"/>
            </w:tcBorders>
            <w:vAlign w:val="bottom"/>
          </w:tcPr>
          <w:p w14:paraId="3704E252" w14:textId="0968D30B" w:rsidR="00FB5A3D" w:rsidRPr="004A5792" w:rsidRDefault="00FB5A3D" w:rsidP="00400F38">
            <w:pPr>
              <w:pStyle w:val="TableText"/>
              <w:spacing w:before="0" w:after="120"/>
              <w:jc w:val="both"/>
              <w:rPr>
                <w:rFonts w:cs="Calibri"/>
              </w:rPr>
            </w:pPr>
            <w:r w:rsidRPr="004A5792">
              <w:rPr>
                <w:rFonts w:cs="Calibri"/>
              </w:rPr>
              <w:t>The following table set out the Agency’s maturity analysis for financial liabilities as well as the exposure to interest rates, including the weighted average interest rates by maturity period as at 30 Jun</w:t>
            </w:r>
            <w:r w:rsidR="00400F38" w:rsidRPr="004A5792">
              <w:rPr>
                <w:rFonts w:cs="Calibri"/>
              </w:rPr>
              <w:t xml:space="preserve">e </w:t>
            </w:r>
            <w:r w:rsidR="005709FA" w:rsidRPr="004A5792">
              <w:rPr>
                <w:rFonts w:cs="Calibri"/>
              </w:rPr>
              <w:t>2022</w:t>
            </w:r>
            <w:r w:rsidRPr="004A5792">
              <w:rPr>
                <w:rFonts w:cs="Calibri"/>
              </w:rPr>
              <w:t>.</w:t>
            </w:r>
            <w:r w:rsidR="00FA7C77">
              <w:rPr>
                <w:rFonts w:cs="Calibri"/>
              </w:rPr>
              <w:t xml:space="preserve"> </w:t>
            </w:r>
            <w:r w:rsidRPr="004A5792">
              <w:rPr>
                <w:rFonts w:cs="Calibri"/>
              </w:rPr>
              <w:t>All financial liabilities which are non-interest bearing will mature in 1 year or less. All amounts appearing in the following maturity analysis are shown on an undiscounted cash flow basis.</w:t>
            </w:r>
          </w:p>
        </w:tc>
      </w:tr>
      <w:tr w:rsidR="00C377E9" w:rsidRPr="00CF7E1B" w14:paraId="4AA0AE15" w14:textId="77777777" w:rsidTr="00D919F2">
        <w:trPr>
          <w:cantSplit/>
          <w:trHeight w:val="23"/>
        </w:trPr>
        <w:tc>
          <w:tcPr>
            <w:tcW w:w="1562" w:type="dxa"/>
            <w:tcBorders>
              <w:top w:val="nil"/>
              <w:left w:val="single" w:sz="2" w:space="0" w:color="auto"/>
              <w:bottom w:val="nil"/>
              <w:right w:val="single" w:sz="2" w:space="0" w:color="auto"/>
            </w:tcBorders>
          </w:tcPr>
          <w:p w14:paraId="181CF2B3" w14:textId="77777777" w:rsidR="00FB5A3D" w:rsidRPr="004A5792" w:rsidRDefault="00FB5A3D" w:rsidP="00863311">
            <w:pPr>
              <w:pStyle w:val="TableReference"/>
              <w:tabs>
                <w:tab w:val="left" w:pos="3306"/>
              </w:tabs>
              <w:spacing w:before="40"/>
              <w:rPr>
                <w:rFonts w:cs="Calibri"/>
                <w:color w:val="7030A0"/>
                <w:sz w:val="14"/>
              </w:rPr>
            </w:pPr>
          </w:p>
        </w:tc>
        <w:tc>
          <w:tcPr>
            <w:tcW w:w="7133" w:type="dxa"/>
            <w:gridSpan w:val="5"/>
            <w:tcBorders>
              <w:top w:val="nil"/>
              <w:left w:val="single" w:sz="2" w:space="0" w:color="auto"/>
              <w:bottom w:val="nil"/>
              <w:right w:val="nil"/>
            </w:tcBorders>
            <w:vAlign w:val="bottom"/>
          </w:tcPr>
          <w:p w14:paraId="2997852F" w14:textId="77777777" w:rsidR="00FB5A3D" w:rsidRPr="004A5792" w:rsidRDefault="00FB5A3D" w:rsidP="00F239AE">
            <w:pPr>
              <w:pStyle w:val="TableText"/>
              <w:tabs>
                <w:tab w:val="left" w:pos="3306"/>
              </w:tabs>
              <w:ind w:right="1271"/>
              <w:rPr>
                <w:rFonts w:cs="Calibri"/>
              </w:rPr>
            </w:pPr>
          </w:p>
        </w:tc>
        <w:tc>
          <w:tcPr>
            <w:tcW w:w="3401" w:type="dxa"/>
            <w:gridSpan w:val="6"/>
            <w:tcBorders>
              <w:top w:val="nil"/>
              <w:left w:val="nil"/>
              <w:bottom w:val="single" w:sz="2" w:space="0" w:color="auto"/>
              <w:right w:val="nil"/>
            </w:tcBorders>
            <w:vAlign w:val="bottom"/>
          </w:tcPr>
          <w:p w14:paraId="34DD32D8" w14:textId="77777777" w:rsidR="00FB5A3D" w:rsidRPr="004A5792" w:rsidRDefault="00FB5A3D" w:rsidP="00863311">
            <w:pPr>
              <w:pStyle w:val="CommentaryHeading"/>
              <w:tabs>
                <w:tab w:val="left" w:pos="3306"/>
              </w:tabs>
              <w:jc w:val="center"/>
              <w:rPr>
                <w:rFonts w:cs="Calibri"/>
              </w:rPr>
            </w:pPr>
            <w:r w:rsidRPr="004A5792">
              <w:rPr>
                <w:rFonts w:cs="Calibri"/>
                <w:sz w:val="18"/>
              </w:rPr>
              <w:t xml:space="preserve">Fixed Interest </w:t>
            </w:r>
            <w:r w:rsidR="00BE5DF2" w:rsidRPr="004A5792">
              <w:rPr>
                <w:rFonts w:cs="Calibri"/>
                <w:sz w:val="18"/>
              </w:rPr>
              <w:t>M</w:t>
            </w:r>
            <w:r w:rsidRPr="004A5792">
              <w:rPr>
                <w:rFonts w:cs="Calibri"/>
                <w:sz w:val="18"/>
              </w:rPr>
              <w:t>aturing in:</w:t>
            </w:r>
          </w:p>
        </w:tc>
        <w:tc>
          <w:tcPr>
            <w:tcW w:w="2508" w:type="dxa"/>
            <w:gridSpan w:val="3"/>
            <w:tcBorders>
              <w:top w:val="nil"/>
              <w:left w:val="nil"/>
              <w:bottom w:val="nil"/>
              <w:right w:val="nil"/>
            </w:tcBorders>
            <w:vAlign w:val="bottom"/>
          </w:tcPr>
          <w:p w14:paraId="24F448FC" w14:textId="77777777" w:rsidR="00FB5A3D" w:rsidRPr="004A5792" w:rsidRDefault="00FB5A3D" w:rsidP="00863311">
            <w:pPr>
              <w:pStyle w:val="TableText"/>
              <w:tabs>
                <w:tab w:val="left" w:pos="3306"/>
              </w:tabs>
              <w:rPr>
                <w:rFonts w:cs="Calibri"/>
              </w:rPr>
            </w:pPr>
          </w:p>
        </w:tc>
      </w:tr>
      <w:tr w:rsidR="00C377E9" w:rsidRPr="00CF7E1B" w14:paraId="41541EF4" w14:textId="77777777" w:rsidTr="00D919F2">
        <w:trPr>
          <w:cantSplit/>
          <w:trHeight w:val="20"/>
        </w:trPr>
        <w:tc>
          <w:tcPr>
            <w:tcW w:w="1562" w:type="dxa"/>
            <w:tcBorders>
              <w:top w:val="nil"/>
              <w:left w:val="single" w:sz="2" w:space="0" w:color="auto"/>
              <w:bottom w:val="nil"/>
              <w:right w:val="single" w:sz="2" w:space="0" w:color="auto"/>
            </w:tcBorders>
          </w:tcPr>
          <w:p w14:paraId="114340DC" w14:textId="77777777" w:rsidR="004459BE" w:rsidRPr="004A5792" w:rsidRDefault="004459BE" w:rsidP="00863311">
            <w:pPr>
              <w:pStyle w:val="TableReference"/>
              <w:tabs>
                <w:tab w:val="left" w:pos="3306"/>
              </w:tabs>
              <w:spacing w:before="40"/>
              <w:rPr>
                <w:rFonts w:cs="Calibri"/>
                <w:color w:val="7030A0"/>
                <w:sz w:val="14"/>
              </w:rPr>
            </w:pPr>
            <w:r w:rsidRPr="004A5792">
              <w:rPr>
                <w:rFonts w:cs="Calibri"/>
                <w:color w:val="7030A0"/>
                <w:sz w:val="14"/>
              </w:rPr>
              <w:t xml:space="preserve"> </w:t>
            </w:r>
            <w:r w:rsidR="003368D3" w:rsidRPr="004A5792">
              <w:rPr>
                <w:rFonts w:cs="Calibri"/>
                <w:color w:val="7030A0"/>
                <w:sz w:val="14"/>
              </w:rPr>
              <w:t>AASB 7.B11</w:t>
            </w:r>
          </w:p>
        </w:tc>
        <w:tc>
          <w:tcPr>
            <w:tcW w:w="3403" w:type="dxa"/>
            <w:tcBorders>
              <w:top w:val="nil"/>
              <w:left w:val="single" w:sz="2" w:space="0" w:color="auto"/>
              <w:bottom w:val="nil"/>
              <w:right w:val="nil"/>
            </w:tcBorders>
            <w:vAlign w:val="bottom"/>
          </w:tcPr>
          <w:p w14:paraId="5C1BFA9B" w14:textId="77777777" w:rsidR="004459BE" w:rsidRPr="004A5792" w:rsidRDefault="004459BE" w:rsidP="00863311">
            <w:pPr>
              <w:pStyle w:val="TableText"/>
              <w:tabs>
                <w:tab w:val="left" w:pos="3306"/>
              </w:tabs>
              <w:rPr>
                <w:rFonts w:cs="Calibri"/>
              </w:rPr>
            </w:pPr>
          </w:p>
        </w:tc>
        <w:tc>
          <w:tcPr>
            <w:tcW w:w="1556" w:type="dxa"/>
            <w:tcBorders>
              <w:top w:val="nil"/>
              <w:left w:val="nil"/>
              <w:bottom w:val="nil"/>
              <w:right w:val="nil"/>
            </w:tcBorders>
            <w:vAlign w:val="bottom"/>
          </w:tcPr>
          <w:p w14:paraId="3869FF79" w14:textId="77777777" w:rsidR="004459BE" w:rsidRPr="004A5792" w:rsidRDefault="004459BE" w:rsidP="000641E0">
            <w:pPr>
              <w:pStyle w:val="TableTitle"/>
              <w:tabs>
                <w:tab w:val="left" w:pos="3306"/>
              </w:tabs>
              <w:jc w:val="center"/>
              <w:rPr>
                <w:rFonts w:cs="Calibri"/>
              </w:rPr>
            </w:pPr>
            <w:r w:rsidRPr="004A5792">
              <w:rPr>
                <w:rFonts w:cs="Calibri"/>
              </w:rPr>
              <w:t>Note</w:t>
            </w:r>
          </w:p>
          <w:p w14:paraId="557AA5C3" w14:textId="77777777" w:rsidR="00CD70BC" w:rsidRPr="004A5792" w:rsidRDefault="00CD70BC" w:rsidP="000641E0">
            <w:pPr>
              <w:jc w:val="center"/>
              <w:rPr>
                <w:b/>
                <w:sz w:val="18"/>
                <w:szCs w:val="18"/>
              </w:rPr>
            </w:pPr>
            <w:r w:rsidRPr="004A5792">
              <w:rPr>
                <w:b/>
                <w:sz w:val="18"/>
                <w:szCs w:val="18"/>
              </w:rPr>
              <w:t>No.</w:t>
            </w:r>
          </w:p>
        </w:tc>
        <w:tc>
          <w:tcPr>
            <w:tcW w:w="1136" w:type="dxa"/>
            <w:tcBorders>
              <w:top w:val="nil"/>
              <w:left w:val="nil"/>
              <w:bottom w:val="nil"/>
              <w:right w:val="nil"/>
            </w:tcBorders>
          </w:tcPr>
          <w:p w14:paraId="5D361DC1" w14:textId="77777777" w:rsidR="004459BE" w:rsidRPr="004A5792" w:rsidRDefault="004459BE" w:rsidP="000641E0">
            <w:pPr>
              <w:pStyle w:val="TableTitle"/>
              <w:tabs>
                <w:tab w:val="left" w:pos="3306"/>
              </w:tabs>
              <w:ind w:left="-583" w:firstLine="309"/>
              <w:rPr>
                <w:rFonts w:cs="Calibri"/>
              </w:rPr>
            </w:pPr>
            <w:r w:rsidRPr="004A5792">
              <w:rPr>
                <w:rFonts w:cs="Calibri"/>
              </w:rPr>
              <w:t>Weighted Aver</w:t>
            </w:r>
            <w:r w:rsidR="00F239AE" w:rsidRPr="004A5792">
              <w:rPr>
                <w:rFonts w:cs="Calibri"/>
              </w:rPr>
              <w:t>age</w:t>
            </w:r>
          </w:p>
          <w:p w14:paraId="474A945A" w14:textId="77777777" w:rsidR="004459BE" w:rsidRPr="004A5792" w:rsidRDefault="00996BBA" w:rsidP="000641E0">
            <w:pPr>
              <w:ind w:left="33"/>
              <w:jc w:val="right"/>
              <w:rPr>
                <w:rFonts w:cs="Calibri"/>
                <w:b/>
                <w:sz w:val="18"/>
                <w:szCs w:val="18"/>
              </w:rPr>
            </w:pPr>
            <w:r w:rsidRPr="004A5792">
              <w:rPr>
                <w:rFonts w:cs="Calibri"/>
                <w:b/>
                <w:sz w:val="18"/>
                <w:szCs w:val="18"/>
              </w:rPr>
              <w:t>Interest Rate</w:t>
            </w:r>
          </w:p>
          <w:p w14:paraId="00204EE2" w14:textId="132A17D7" w:rsidR="004D136C" w:rsidRPr="004A5792" w:rsidRDefault="004D136C" w:rsidP="000641E0">
            <w:pPr>
              <w:ind w:left="33"/>
              <w:jc w:val="right"/>
              <w:rPr>
                <w:rFonts w:cs="Calibri"/>
                <w:b/>
                <w:sz w:val="18"/>
                <w:szCs w:val="18"/>
              </w:rPr>
            </w:pPr>
            <w:r w:rsidRPr="004A5792">
              <w:rPr>
                <w:rFonts w:cs="Calibri"/>
                <w:b/>
                <w:sz w:val="18"/>
                <w:szCs w:val="18"/>
              </w:rPr>
              <w:t>%</w:t>
            </w:r>
          </w:p>
        </w:tc>
        <w:tc>
          <w:tcPr>
            <w:tcW w:w="1038" w:type="dxa"/>
            <w:gridSpan w:val="2"/>
            <w:tcBorders>
              <w:top w:val="nil"/>
              <w:left w:val="nil"/>
              <w:bottom w:val="nil"/>
              <w:right w:val="nil"/>
            </w:tcBorders>
            <w:vAlign w:val="bottom"/>
          </w:tcPr>
          <w:p w14:paraId="727ED870" w14:textId="77777777" w:rsidR="004459BE" w:rsidRPr="004A5792" w:rsidRDefault="004459BE" w:rsidP="00863311">
            <w:pPr>
              <w:pStyle w:val="TableTitle"/>
              <w:tabs>
                <w:tab w:val="left" w:pos="3306"/>
              </w:tabs>
              <w:rPr>
                <w:rFonts w:cs="Calibri"/>
              </w:rPr>
            </w:pPr>
            <w:r w:rsidRPr="004A5792">
              <w:rPr>
                <w:rFonts w:cs="Calibri"/>
              </w:rPr>
              <w:t>Floating Interest Rate</w:t>
            </w:r>
          </w:p>
          <w:p w14:paraId="07424491" w14:textId="77777777" w:rsidR="004459BE" w:rsidRPr="004A5792" w:rsidRDefault="004459BE" w:rsidP="00863311">
            <w:pPr>
              <w:pStyle w:val="TableTitle"/>
              <w:tabs>
                <w:tab w:val="left" w:pos="3306"/>
              </w:tabs>
              <w:rPr>
                <w:rFonts w:cs="Calibri"/>
              </w:rPr>
            </w:pPr>
            <w:r w:rsidRPr="004A5792">
              <w:rPr>
                <w:rFonts w:cs="Calibri"/>
              </w:rPr>
              <w:t>$’000</w:t>
            </w:r>
          </w:p>
        </w:tc>
        <w:tc>
          <w:tcPr>
            <w:tcW w:w="991" w:type="dxa"/>
            <w:gridSpan w:val="2"/>
            <w:tcBorders>
              <w:top w:val="single" w:sz="2" w:space="0" w:color="auto"/>
              <w:left w:val="nil"/>
              <w:bottom w:val="nil"/>
              <w:right w:val="nil"/>
            </w:tcBorders>
            <w:vAlign w:val="bottom"/>
          </w:tcPr>
          <w:p w14:paraId="144D248D" w14:textId="77777777" w:rsidR="004459BE" w:rsidRPr="004A5792" w:rsidRDefault="004459BE" w:rsidP="00863311">
            <w:pPr>
              <w:pStyle w:val="TableTitle"/>
              <w:tabs>
                <w:tab w:val="left" w:pos="3306"/>
              </w:tabs>
              <w:rPr>
                <w:rFonts w:cs="Calibri"/>
              </w:rPr>
            </w:pPr>
            <w:r w:rsidRPr="004A5792">
              <w:rPr>
                <w:rFonts w:cs="Calibri"/>
              </w:rPr>
              <w:t>1 Year or Less</w:t>
            </w:r>
          </w:p>
          <w:p w14:paraId="6E7FFFB3" w14:textId="77777777" w:rsidR="004459BE" w:rsidRPr="004A5792" w:rsidRDefault="004459BE" w:rsidP="00863311">
            <w:pPr>
              <w:pStyle w:val="TableTitle"/>
              <w:tabs>
                <w:tab w:val="left" w:pos="3306"/>
              </w:tabs>
              <w:rPr>
                <w:rFonts w:cs="Calibri"/>
              </w:rPr>
            </w:pPr>
            <w:r w:rsidRPr="004A5792">
              <w:rPr>
                <w:rFonts w:cs="Calibri"/>
              </w:rPr>
              <w:t>$’000</w:t>
            </w:r>
          </w:p>
        </w:tc>
        <w:tc>
          <w:tcPr>
            <w:tcW w:w="1134" w:type="dxa"/>
            <w:gridSpan w:val="2"/>
            <w:tcBorders>
              <w:top w:val="single" w:sz="2" w:space="0" w:color="auto"/>
              <w:left w:val="nil"/>
              <w:bottom w:val="nil"/>
              <w:right w:val="nil"/>
            </w:tcBorders>
            <w:vAlign w:val="bottom"/>
          </w:tcPr>
          <w:p w14:paraId="3F8164FF" w14:textId="77777777" w:rsidR="004459BE" w:rsidRPr="004A5792" w:rsidRDefault="004459BE" w:rsidP="00863311">
            <w:pPr>
              <w:pStyle w:val="TableTitle"/>
              <w:tabs>
                <w:tab w:val="left" w:pos="3306"/>
              </w:tabs>
              <w:rPr>
                <w:rFonts w:cs="Calibri"/>
              </w:rPr>
            </w:pPr>
            <w:r w:rsidRPr="004A5792">
              <w:rPr>
                <w:rFonts w:cs="Calibri"/>
              </w:rPr>
              <w:t>Over 1 Years to 5 Years</w:t>
            </w:r>
          </w:p>
          <w:p w14:paraId="620C64EC" w14:textId="77777777" w:rsidR="004459BE" w:rsidRPr="004A5792" w:rsidRDefault="004459BE" w:rsidP="00863311">
            <w:pPr>
              <w:pStyle w:val="TableTitle"/>
              <w:tabs>
                <w:tab w:val="left" w:pos="3306"/>
              </w:tabs>
              <w:rPr>
                <w:rFonts w:cs="Calibri"/>
              </w:rPr>
            </w:pPr>
            <w:r w:rsidRPr="004A5792">
              <w:rPr>
                <w:rFonts w:cs="Calibri"/>
              </w:rPr>
              <w:t>$’000</w:t>
            </w:r>
          </w:p>
        </w:tc>
        <w:tc>
          <w:tcPr>
            <w:tcW w:w="1276" w:type="dxa"/>
            <w:gridSpan w:val="2"/>
            <w:tcBorders>
              <w:top w:val="single" w:sz="2" w:space="0" w:color="auto"/>
              <w:left w:val="nil"/>
              <w:bottom w:val="nil"/>
              <w:right w:val="nil"/>
            </w:tcBorders>
            <w:vAlign w:val="bottom"/>
          </w:tcPr>
          <w:p w14:paraId="1088AD38" w14:textId="77777777" w:rsidR="004459BE" w:rsidRPr="004A5792" w:rsidRDefault="004459BE" w:rsidP="00863311">
            <w:pPr>
              <w:pStyle w:val="TableTitle"/>
              <w:tabs>
                <w:tab w:val="left" w:pos="3306"/>
              </w:tabs>
              <w:rPr>
                <w:rFonts w:cs="Calibri"/>
              </w:rPr>
            </w:pPr>
            <w:r w:rsidRPr="004A5792">
              <w:rPr>
                <w:rFonts w:cs="Calibri"/>
              </w:rPr>
              <w:t>Over 5 Years</w:t>
            </w:r>
          </w:p>
          <w:p w14:paraId="6669FE01" w14:textId="77777777" w:rsidR="004459BE" w:rsidRPr="004A5792" w:rsidRDefault="004459BE" w:rsidP="00863311">
            <w:pPr>
              <w:pStyle w:val="TableTitle"/>
              <w:tabs>
                <w:tab w:val="left" w:pos="3306"/>
              </w:tabs>
              <w:rPr>
                <w:rFonts w:cs="Calibri"/>
              </w:rPr>
            </w:pPr>
            <w:r w:rsidRPr="004A5792">
              <w:rPr>
                <w:rFonts w:cs="Calibri"/>
              </w:rPr>
              <w:t>$’000</w:t>
            </w:r>
          </w:p>
        </w:tc>
        <w:tc>
          <w:tcPr>
            <w:tcW w:w="1289" w:type="dxa"/>
            <w:gridSpan w:val="2"/>
            <w:tcBorders>
              <w:top w:val="nil"/>
              <w:left w:val="nil"/>
              <w:bottom w:val="nil"/>
              <w:right w:val="nil"/>
            </w:tcBorders>
            <w:vAlign w:val="bottom"/>
          </w:tcPr>
          <w:p w14:paraId="0B426334" w14:textId="77777777" w:rsidR="004459BE" w:rsidRPr="004A5792" w:rsidRDefault="004459BE" w:rsidP="00863311">
            <w:pPr>
              <w:pStyle w:val="TableTitle"/>
              <w:tabs>
                <w:tab w:val="left" w:pos="3306"/>
              </w:tabs>
              <w:rPr>
                <w:rFonts w:cs="Calibri"/>
              </w:rPr>
            </w:pPr>
            <w:r w:rsidRPr="004A5792">
              <w:rPr>
                <w:rFonts w:cs="Calibri"/>
              </w:rPr>
              <w:t>Non-Interest Bearing</w:t>
            </w:r>
          </w:p>
          <w:p w14:paraId="0CE47884" w14:textId="77777777" w:rsidR="004459BE" w:rsidRPr="004A5792" w:rsidRDefault="004459BE" w:rsidP="00863311">
            <w:pPr>
              <w:pStyle w:val="TableTitle"/>
              <w:tabs>
                <w:tab w:val="left" w:pos="3306"/>
              </w:tabs>
              <w:rPr>
                <w:rFonts w:cs="Calibri"/>
              </w:rPr>
            </w:pPr>
            <w:r w:rsidRPr="004A5792">
              <w:rPr>
                <w:rFonts w:cs="Calibri"/>
              </w:rPr>
              <w:t>$’000</w:t>
            </w:r>
          </w:p>
        </w:tc>
        <w:tc>
          <w:tcPr>
            <w:tcW w:w="1219" w:type="dxa"/>
            <w:tcBorders>
              <w:top w:val="nil"/>
              <w:left w:val="nil"/>
              <w:bottom w:val="nil"/>
              <w:right w:val="nil"/>
            </w:tcBorders>
            <w:vAlign w:val="bottom"/>
          </w:tcPr>
          <w:p w14:paraId="33F02364" w14:textId="77777777" w:rsidR="004459BE" w:rsidRPr="004A5792" w:rsidRDefault="004459BE" w:rsidP="00863311">
            <w:pPr>
              <w:pStyle w:val="TableTitle"/>
              <w:tabs>
                <w:tab w:val="left" w:pos="3306"/>
              </w:tabs>
              <w:rPr>
                <w:rFonts w:cs="Calibri"/>
              </w:rPr>
            </w:pPr>
            <w:r w:rsidRPr="004A5792">
              <w:rPr>
                <w:rFonts w:cs="Calibri"/>
              </w:rPr>
              <w:t>Total</w:t>
            </w:r>
          </w:p>
          <w:p w14:paraId="1E8A7917" w14:textId="77777777" w:rsidR="004459BE" w:rsidRPr="004A5792" w:rsidRDefault="004459BE" w:rsidP="00863311">
            <w:pPr>
              <w:pStyle w:val="TableTitle"/>
              <w:tabs>
                <w:tab w:val="left" w:pos="3306"/>
              </w:tabs>
              <w:rPr>
                <w:rFonts w:cs="Calibri"/>
              </w:rPr>
            </w:pPr>
            <w:r w:rsidRPr="004A5792">
              <w:rPr>
                <w:rFonts w:cs="Calibri"/>
              </w:rPr>
              <w:t>$’000</w:t>
            </w:r>
          </w:p>
        </w:tc>
      </w:tr>
      <w:tr w:rsidR="00BB62BB" w:rsidRPr="00CF7E1B" w14:paraId="1DC3CF23" w14:textId="77777777" w:rsidTr="00D919F2">
        <w:trPr>
          <w:cantSplit/>
          <w:trHeight w:val="20"/>
        </w:trPr>
        <w:tc>
          <w:tcPr>
            <w:tcW w:w="1562" w:type="dxa"/>
            <w:tcBorders>
              <w:top w:val="nil"/>
              <w:left w:val="single" w:sz="2" w:space="0" w:color="auto"/>
              <w:bottom w:val="nil"/>
              <w:right w:val="single" w:sz="2" w:space="0" w:color="auto"/>
            </w:tcBorders>
          </w:tcPr>
          <w:p w14:paraId="533447F0" w14:textId="77777777" w:rsidR="00BB62BB" w:rsidRPr="004A5792" w:rsidRDefault="00BB62BB" w:rsidP="00863311">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26BF8E53" w14:textId="3C424EAC" w:rsidR="00BB62BB" w:rsidRPr="004A5792" w:rsidRDefault="00BB62BB" w:rsidP="00BB62BB">
            <w:pPr>
              <w:pStyle w:val="TableTitle"/>
              <w:tabs>
                <w:tab w:val="left" w:pos="3306"/>
              </w:tabs>
              <w:jc w:val="left"/>
              <w:rPr>
                <w:rFonts w:cs="Calibri"/>
              </w:rPr>
            </w:pPr>
            <w:r w:rsidRPr="004A5792">
              <w:rPr>
                <w:rFonts w:cs="Calibri"/>
              </w:rPr>
              <w:t>2022</w:t>
            </w:r>
          </w:p>
        </w:tc>
      </w:tr>
      <w:tr w:rsidR="00C377E9" w:rsidRPr="00CF7E1B" w14:paraId="153D9D3F" w14:textId="77777777" w:rsidTr="00D919F2">
        <w:trPr>
          <w:cantSplit/>
          <w:trHeight w:val="193"/>
        </w:trPr>
        <w:tc>
          <w:tcPr>
            <w:tcW w:w="1562" w:type="dxa"/>
            <w:tcBorders>
              <w:top w:val="nil"/>
              <w:left w:val="single" w:sz="2" w:space="0" w:color="auto"/>
              <w:bottom w:val="nil"/>
              <w:right w:val="single" w:sz="2" w:space="0" w:color="auto"/>
            </w:tcBorders>
          </w:tcPr>
          <w:p w14:paraId="0F5E1191" w14:textId="77777777" w:rsidR="004459BE" w:rsidRPr="004A5792" w:rsidRDefault="004459BE" w:rsidP="00863311">
            <w:pPr>
              <w:pStyle w:val="TableReference"/>
              <w:tabs>
                <w:tab w:val="left" w:pos="3306"/>
              </w:tabs>
              <w:spacing w:before="60"/>
              <w:rPr>
                <w:rFonts w:cs="Calibri"/>
                <w:color w:val="7030A0"/>
              </w:rPr>
            </w:pPr>
          </w:p>
        </w:tc>
        <w:tc>
          <w:tcPr>
            <w:tcW w:w="3403" w:type="dxa"/>
            <w:tcBorders>
              <w:top w:val="nil"/>
              <w:left w:val="single" w:sz="2" w:space="0" w:color="auto"/>
              <w:bottom w:val="nil"/>
              <w:right w:val="nil"/>
            </w:tcBorders>
          </w:tcPr>
          <w:p w14:paraId="26D4A8CA" w14:textId="77777777" w:rsidR="004459BE" w:rsidRPr="004A5792" w:rsidRDefault="004459BE" w:rsidP="00863311">
            <w:pPr>
              <w:pStyle w:val="TableText"/>
              <w:tabs>
                <w:tab w:val="left" w:pos="3306"/>
              </w:tabs>
              <w:rPr>
                <w:rFonts w:cs="Calibri"/>
                <w:b/>
                <w:bCs/>
              </w:rPr>
            </w:pPr>
            <w:r w:rsidRPr="004A5792">
              <w:rPr>
                <w:rFonts w:cs="Calibri"/>
                <w:b/>
                <w:bCs/>
              </w:rPr>
              <w:t>Financial Liabilities</w:t>
            </w:r>
          </w:p>
        </w:tc>
        <w:tc>
          <w:tcPr>
            <w:tcW w:w="1556" w:type="dxa"/>
            <w:tcBorders>
              <w:top w:val="nil"/>
              <w:left w:val="nil"/>
              <w:bottom w:val="nil"/>
              <w:right w:val="nil"/>
            </w:tcBorders>
          </w:tcPr>
          <w:p w14:paraId="475C214D" w14:textId="77777777" w:rsidR="004459BE" w:rsidRPr="004A5792" w:rsidRDefault="004459BE" w:rsidP="000641E0">
            <w:pPr>
              <w:pStyle w:val="TableText"/>
              <w:tabs>
                <w:tab w:val="left" w:pos="3306"/>
              </w:tabs>
              <w:ind w:left="295" w:hanging="295"/>
              <w:jc w:val="center"/>
              <w:rPr>
                <w:rFonts w:cs="Calibri"/>
              </w:rPr>
            </w:pPr>
          </w:p>
        </w:tc>
        <w:tc>
          <w:tcPr>
            <w:tcW w:w="1136" w:type="dxa"/>
            <w:tcBorders>
              <w:top w:val="nil"/>
              <w:left w:val="nil"/>
              <w:bottom w:val="nil"/>
              <w:right w:val="nil"/>
            </w:tcBorders>
          </w:tcPr>
          <w:p w14:paraId="34767199"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nil"/>
              <w:left w:val="nil"/>
              <w:bottom w:val="nil"/>
              <w:right w:val="nil"/>
            </w:tcBorders>
          </w:tcPr>
          <w:p w14:paraId="3EF0C044" w14:textId="77777777" w:rsidR="004459BE" w:rsidRPr="004A5792" w:rsidRDefault="004459BE" w:rsidP="00863311">
            <w:pPr>
              <w:pStyle w:val="TableText"/>
              <w:tabs>
                <w:tab w:val="left" w:pos="3306"/>
              </w:tabs>
              <w:jc w:val="right"/>
              <w:rPr>
                <w:rFonts w:cs="Calibri"/>
              </w:rPr>
            </w:pPr>
          </w:p>
        </w:tc>
        <w:tc>
          <w:tcPr>
            <w:tcW w:w="991" w:type="dxa"/>
            <w:gridSpan w:val="2"/>
            <w:tcBorders>
              <w:top w:val="nil"/>
              <w:left w:val="nil"/>
              <w:bottom w:val="nil"/>
              <w:right w:val="nil"/>
            </w:tcBorders>
          </w:tcPr>
          <w:p w14:paraId="350CC7B2" w14:textId="77777777" w:rsidR="004459BE" w:rsidRPr="004A5792" w:rsidRDefault="004459BE" w:rsidP="00863311">
            <w:pPr>
              <w:pStyle w:val="TableText"/>
              <w:tabs>
                <w:tab w:val="left" w:pos="3306"/>
              </w:tabs>
              <w:jc w:val="right"/>
              <w:rPr>
                <w:rFonts w:cs="Calibri"/>
              </w:rPr>
            </w:pPr>
          </w:p>
        </w:tc>
        <w:tc>
          <w:tcPr>
            <w:tcW w:w="1134" w:type="dxa"/>
            <w:gridSpan w:val="2"/>
            <w:tcBorders>
              <w:top w:val="nil"/>
              <w:left w:val="nil"/>
              <w:bottom w:val="nil"/>
              <w:right w:val="nil"/>
            </w:tcBorders>
          </w:tcPr>
          <w:p w14:paraId="4655CD15" w14:textId="77777777" w:rsidR="004459BE" w:rsidRPr="004A5792" w:rsidRDefault="004459BE" w:rsidP="00863311">
            <w:pPr>
              <w:pStyle w:val="TableText"/>
              <w:tabs>
                <w:tab w:val="left" w:pos="3306"/>
              </w:tabs>
              <w:jc w:val="right"/>
              <w:rPr>
                <w:rFonts w:cs="Calibri"/>
              </w:rPr>
            </w:pPr>
          </w:p>
        </w:tc>
        <w:tc>
          <w:tcPr>
            <w:tcW w:w="1276" w:type="dxa"/>
            <w:gridSpan w:val="2"/>
            <w:tcBorders>
              <w:top w:val="nil"/>
              <w:left w:val="nil"/>
              <w:bottom w:val="nil"/>
              <w:right w:val="nil"/>
            </w:tcBorders>
          </w:tcPr>
          <w:p w14:paraId="64A97B2A" w14:textId="77777777" w:rsidR="004459BE" w:rsidRPr="004A5792" w:rsidRDefault="004459BE" w:rsidP="00863311">
            <w:pPr>
              <w:pStyle w:val="TableText"/>
              <w:tabs>
                <w:tab w:val="left" w:pos="3306"/>
              </w:tabs>
              <w:jc w:val="right"/>
              <w:rPr>
                <w:rFonts w:cs="Calibri"/>
              </w:rPr>
            </w:pPr>
          </w:p>
        </w:tc>
        <w:tc>
          <w:tcPr>
            <w:tcW w:w="1289" w:type="dxa"/>
            <w:gridSpan w:val="2"/>
            <w:tcBorders>
              <w:top w:val="nil"/>
              <w:left w:val="nil"/>
              <w:bottom w:val="nil"/>
              <w:right w:val="nil"/>
            </w:tcBorders>
          </w:tcPr>
          <w:p w14:paraId="54E6E09C" w14:textId="77777777" w:rsidR="004459BE" w:rsidRPr="004A5792" w:rsidRDefault="004459BE" w:rsidP="00863311">
            <w:pPr>
              <w:pStyle w:val="TableText"/>
              <w:tabs>
                <w:tab w:val="left" w:pos="3306"/>
              </w:tabs>
              <w:jc w:val="right"/>
              <w:rPr>
                <w:rFonts w:cs="Calibri"/>
              </w:rPr>
            </w:pPr>
          </w:p>
        </w:tc>
        <w:tc>
          <w:tcPr>
            <w:tcW w:w="1219" w:type="dxa"/>
            <w:tcBorders>
              <w:top w:val="nil"/>
              <w:left w:val="nil"/>
              <w:bottom w:val="nil"/>
              <w:right w:val="nil"/>
            </w:tcBorders>
          </w:tcPr>
          <w:p w14:paraId="38439F28" w14:textId="77777777" w:rsidR="004459BE" w:rsidRPr="004A5792" w:rsidRDefault="004459BE" w:rsidP="00863311">
            <w:pPr>
              <w:pStyle w:val="TableText"/>
              <w:tabs>
                <w:tab w:val="left" w:pos="3306"/>
              </w:tabs>
              <w:jc w:val="right"/>
              <w:rPr>
                <w:rFonts w:cs="Calibri"/>
              </w:rPr>
            </w:pPr>
          </w:p>
        </w:tc>
      </w:tr>
      <w:tr w:rsidR="00C377E9" w:rsidRPr="00CF7E1B" w14:paraId="6E9F619B" w14:textId="77777777" w:rsidTr="00D919F2">
        <w:trPr>
          <w:cantSplit/>
          <w:trHeight w:val="20"/>
        </w:trPr>
        <w:tc>
          <w:tcPr>
            <w:tcW w:w="1562" w:type="dxa"/>
            <w:tcBorders>
              <w:top w:val="nil"/>
              <w:left w:val="single" w:sz="2" w:space="0" w:color="auto"/>
              <w:bottom w:val="nil"/>
              <w:right w:val="single" w:sz="2" w:space="0" w:color="auto"/>
            </w:tcBorders>
          </w:tcPr>
          <w:p w14:paraId="77C639F3" w14:textId="77777777" w:rsidR="004459BE" w:rsidRPr="004A5792" w:rsidRDefault="004459BE" w:rsidP="00863311">
            <w:pPr>
              <w:pStyle w:val="TableReference"/>
              <w:tabs>
                <w:tab w:val="left" w:pos="3306"/>
              </w:tabs>
              <w:spacing w:before="60"/>
              <w:rPr>
                <w:rFonts w:cs="Calibri"/>
                <w:color w:val="7030A0"/>
              </w:rPr>
            </w:pPr>
          </w:p>
        </w:tc>
        <w:tc>
          <w:tcPr>
            <w:tcW w:w="3403" w:type="dxa"/>
            <w:tcBorders>
              <w:top w:val="nil"/>
              <w:left w:val="single" w:sz="2" w:space="0" w:color="auto"/>
              <w:bottom w:val="nil"/>
              <w:right w:val="nil"/>
            </w:tcBorders>
            <w:vAlign w:val="bottom"/>
          </w:tcPr>
          <w:p w14:paraId="0AAA04BC" w14:textId="77777777" w:rsidR="004459BE" w:rsidRPr="004A5792" w:rsidRDefault="004459BE" w:rsidP="00863311">
            <w:pPr>
              <w:pStyle w:val="TableText"/>
              <w:tabs>
                <w:tab w:val="left" w:pos="3306"/>
              </w:tabs>
              <w:rPr>
                <w:rFonts w:cs="Calibri"/>
              </w:rPr>
            </w:pPr>
            <w:r w:rsidRPr="004A5792">
              <w:rPr>
                <w:rFonts w:cs="Calibri"/>
              </w:rPr>
              <w:t>Payables</w:t>
            </w:r>
          </w:p>
        </w:tc>
        <w:tc>
          <w:tcPr>
            <w:tcW w:w="1556" w:type="dxa"/>
            <w:tcBorders>
              <w:top w:val="nil"/>
              <w:left w:val="nil"/>
              <w:bottom w:val="nil"/>
              <w:right w:val="nil"/>
            </w:tcBorders>
            <w:vAlign w:val="bottom"/>
          </w:tcPr>
          <w:p w14:paraId="378451AD" w14:textId="4779C414" w:rsidR="004459BE" w:rsidRPr="004A5792" w:rsidRDefault="00FE2129" w:rsidP="000641E0">
            <w:pPr>
              <w:pStyle w:val="TableText"/>
              <w:tabs>
                <w:tab w:val="left" w:pos="3306"/>
              </w:tabs>
              <w:ind w:left="295" w:hanging="295"/>
              <w:jc w:val="center"/>
              <w:rPr>
                <w:rFonts w:cs="Calibri"/>
              </w:rPr>
            </w:pPr>
            <w:r w:rsidRPr="004A5792">
              <w:rPr>
                <w:rFonts w:cs="Calibri"/>
              </w:rPr>
              <w:t>49</w:t>
            </w:r>
          </w:p>
        </w:tc>
        <w:tc>
          <w:tcPr>
            <w:tcW w:w="1136" w:type="dxa"/>
            <w:tcBorders>
              <w:top w:val="nil"/>
              <w:left w:val="nil"/>
              <w:bottom w:val="nil"/>
              <w:right w:val="nil"/>
            </w:tcBorders>
          </w:tcPr>
          <w:p w14:paraId="6A3E2838"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nil"/>
              <w:left w:val="nil"/>
              <w:bottom w:val="single" w:sz="4" w:space="0" w:color="auto"/>
              <w:right w:val="nil"/>
            </w:tcBorders>
            <w:vAlign w:val="bottom"/>
          </w:tcPr>
          <w:p w14:paraId="6D99EC65" w14:textId="5E8FEF9F" w:rsidR="004459BE" w:rsidRPr="004A5792" w:rsidRDefault="004459BE" w:rsidP="00863311">
            <w:pPr>
              <w:pStyle w:val="TableText"/>
              <w:tabs>
                <w:tab w:val="left" w:pos="3306"/>
              </w:tabs>
              <w:jc w:val="right"/>
              <w:rPr>
                <w:rFonts w:cs="Calibri"/>
              </w:rPr>
            </w:pPr>
          </w:p>
        </w:tc>
        <w:tc>
          <w:tcPr>
            <w:tcW w:w="991" w:type="dxa"/>
            <w:gridSpan w:val="2"/>
            <w:tcBorders>
              <w:top w:val="nil"/>
              <w:left w:val="nil"/>
              <w:bottom w:val="single" w:sz="4" w:space="0" w:color="auto"/>
              <w:right w:val="nil"/>
            </w:tcBorders>
            <w:vAlign w:val="bottom"/>
          </w:tcPr>
          <w:p w14:paraId="450EC8CA" w14:textId="0776405D" w:rsidR="004459BE" w:rsidRPr="004A5792" w:rsidRDefault="004459BE" w:rsidP="00863311">
            <w:pPr>
              <w:pStyle w:val="TableText"/>
              <w:tabs>
                <w:tab w:val="left" w:pos="3306"/>
              </w:tabs>
              <w:jc w:val="right"/>
              <w:rPr>
                <w:rFonts w:cs="Calibri"/>
              </w:rPr>
            </w:pPr>
          </w:p>
        </w:tc>
        <w:tc>
          <w:tcPr>
            <w:tcW w:w="1134" w:type="dxa"/>
            <w:gridSpan w:val="2"/>
            <w:tcBorders>
              <w:top w:val="nil"/>
              <w:left w:val="nil"/>
              <w:bottom w:val="single" w:sz="4" w:space="0" w:color="auto"/>
              <w:right w:val="nil"/>
            </w:tcBorders>
            <w:vAlign w:val="bottom"/>
          </w:tcPr>
          <w:p w14:paraId="6339CF03" w14:textId="1B28CE12" w:rsidR="004459BE" w:rsidRPr="004A5792" w:rsidRDefault="004459BE" w:rsidP="00863311">
            <w:pPr>
              <w:pStyle w:val="TableText"/>
              <w:tabs>
                <w:tab w:val="left" w:pos="3306"/>
              </w:tabs>
              <w:jc w:val="right"/>
              <w:rPr>
                <w:rFonts w:cs="Calibri"/>
              </w:rPr>
            </w:pPr>
          </w:p>
        </w:tc>
        <w:tc>
          <w:tcPr>
            <w:tcW w:w="1276" w:type="dxa"/>
            <w:gridSpan w:val="2"/>
            <w:tcBorders>
              <w:top w:val="nil"/>
              <w:left w:val="nil"/>
              <w:bottom w:val="single" w:sz="4" w:space="0" w:color="auto"/>
              <w:right w:val="nil"/>
            </w:tcBorders>
            <w:vAlign w:val="bottom"/>
          </w:tcPr>
          <w:p w14:paraId="3BC799EE" w14:textId="7EC30878" w:rsidR="004459BE" w:rsidRPr="004A5792" w:rsidRDefault="004459BE" w:rsidP="00863311">
            <w:pPr>
              <w:pStyle w:val="TableText"/>
              <w:tabs>
                <w:tab w:val="left" w:pos="3306"/>
              </w:tabs>
              <w:jc w:val="right"/>
              <w:rPr>
                <w:rFonts w:cs="Calibri"/>
              </w:rPr>
            </w:pPr>
          </w:p>
        </w:tc>
        <w:tc>
          <w:tcPr>
            <w:tcW w:w="1289" w:type="dxa"/>
            <w:gridSpan w:val="2"/>
            <w:tcBorders>
              <w:top w:val="nil"/>
              <w:left w:val="nil"/>
              <w:bottom w:val="single" w:sz="4" w:space="0" w:color="auto"/>
              <w:right w:val="nil"/>
            </w:tcBorders>
            <w:vAlign w:val="bottom"/>
          </w:tcPr>
          <w:p w14:paraId="73691241" w14:textId="59572213" w:rsidR="004459BE" w:rsidRPr="004A5792" w:rsidRDefault="004459BE" w:rsidP="00863311">
            <w:pPr>
              <w:pStyle w:val="TableText"/>
              <w:tabs>
                <w:tab w:val="left" w:pos="3306"/>
              </w:tabs>
              <w:jc w:val="right"/>
              <w:rPr>
                <w:rFonts w:cs="Calibri"/>
              </w:rPr>
            </w:pPr>
          </w:p>
        </w:tc>
        <w:tc>
          <w:tcPr>
            <w:tcW w:w="1219" w:type="dxa"/>
            <w:tcBorders>
              <w:top w:val="nil"/>
              <w:left w:val="nil"/>
              <w:bottom w:val="single" w:sz="4" w:space="0" w:color="auto"/>
              <w:right w:val="nil"/>
            </w:tcBorders>
            <w:vAlign w:val="bottom"/>
          </w:tcPr>
          <w:p w14:paraId="20EE3CCE" w14:textId="751D2851" w:rsidR="004459BE" w:rsidRPr="004A5792" w:rsidRDefault="004459BE" w:rsidP="00863311">
            <w:pPr>
              <w:pStyle w:val="TableText"/>
              <w:tabs>
                <w:tab w:val="left" w:pos="3306"/>
              </w:tabs>
              <w:jc w:val="right"/>
              <w:rPr>
                <w:rFonts w:cs="Calibri"/>
              </w:rPr>
            </w:pPr>
          </w:p>
        </w:tc>
      </w:tr>
      <w:tr w:rsidR="00C377E9" w:rsidRPr="00CF7E1B" w14:paraId="62CB7911" w14:textId="77777777" w:rsidTr="00D919F2">
        <w:trPr>
          <w:cantSplit/>
          <w:trHeight w:val="20"/>
        </w:trPr>
        <w:tc>
          <w:tcPr>
            <w:tcW w:w="1562" w:type="dxa"/>
            <w:tcBorders>
              <w:top w:val="nil"/>
              <w:left w:val="single" w:sz="2" w:space="0" w:color="auto"/>
              <w:bottom w:val="nil"/>
              <w:right w:val="single" w:sz="2" w:space="0" w:color="auto"/>
            </w:tcBorders>
          </w:tcPr>
          <w:p w14:paraId="73706F0B" w14:textId="77777777" w:rsidR="004459BE" w:rsidRPr="004A5792" w:rsidRDefault="004459BE" w:rsidP="00863311">
            <w:pPr>
              <w:pStyle w:val="TableReference"/>
              <w:tabs>
                <w:tab w:val="left" w:pos="3306"/>
              </w:tabs>
              <w:spacing w:before="40"/>
              <w:rPr>
                <w:rFonts w:cs="Calibri"/>
                <w:color w:val="7030A0"/>
              </w:rPr>
            </w:pPr>
          </w:p>
        </w:tc>
        <w:tc>
          <w:tcPr>
            <w:tcW w:w="3403" w:type="dxa"/>
            <w:tcBorders>
              <w:top w:val="nil"/>
              <w:left w:val="single" w:sz="2" w:space="0" w:color="auto"/>
              <w:bottom w:val="nil"/>
              <w:right w:val="nil"/>
            </w:tcBorders>
            <w:vAlign w:val="bottom"/>
          </w:tcPr>
          <w:p w14:paraId="3B60DD07" w14:textId="77777777" w:rsidR="004459BE" w:rsidRPr="004A5792" w:rsidRDefault="004459BE" w:rsidP="00863311">
            <w:pPr>
              <w:pStyle w:val="TableText"/>
              <w:tabs>
                <w:tab w:val="left" w:pos="3306"/>
              </w:tabs>
              <w:rPr>
                <w:rFonts w:cs="Calibri"/>
                <w:b/>
                <w:bCs/>
              </w:rPr>
            </w:pPr>
            <w:r w:rsidRPr="004A5792">
              <w:rPr>
                <w:rFonts w:cs="Calibri"/>
                <w:b/>
                <w:bCs/>
              </w:rPr>
              <w:t>Total Financial Liabilities</w:t>
            </w:r>
          </w:p>
        </w:tc>
        <w:tc>
          <w:tcPr>
            <w:tcW w:w="1556" w:type="dxa"/>
            <w:tcBorders>
              <w:top w:val="nil"/>
              <w:left w:val="nil"/>
              <w:bottom w:val="nil"/>
              <w:right w:val="nil"/>
            </w:tcBorders>
            <w:vAlign w:val="bottom"/>
          </w:tcPr>
          <w:p w14:paraId="0E0C1BE7" w14:textId="77777777" w:rsidR="004459BE" w:rsidRPr="004A5792" w:rsidRDefault="004459BE" w:rsidP="000641E0">
            <w:pPr>
              <w:pStyle w:val="TableText"/>
              <w:tabs>
                <w:tab w:val="left" w:pos="3306"/>
              </w:tabs>
              <w:ind w:left="295" w:hanging="295"/>
              <w:jc w:val="center"/>
              <w:rPr>
                <w:rFonts w:cs="Calibri"/>
                <w:b/>
                <w:bCs/>
              </w:rPr>
            </w:pPr>
          </w:p>
        </w:tc>
        <w:tc>
          <w:tcPr>
            <w:tcW w:w="1136" w:type="dxa"/>
            <w:tcBorders>
              <w:top w:val="nil"/>
              <w:left w:val="nil"/>
              <w:bottom w:val="nil"/>
              <w:right w:val="nil"/>
            </w:tcBorders>
          </w:tcPr>
          <w:p w14:paraId="019735E7" w14:textId="77777777" w:rsidR="004459BE" w:rsidRPr="004A5792" w:rsidRDefault="004459BE" w:rsidP="000641E0">
            <w:pPr>
              <w:pStyle w:val="TableText"/>
              <w:tabs>
                <w:tab w:val="left" w:pos="3306"/>
              </w:tabs>
              <w:ind w:left="295" w:hanging="295"/>
              <w:jc w:val="right"/>
              <w:rPr>
                <w:rFonts w:cs="Calibri"/>
                <w:b/>
                <w:bCs/>
              </w:rPr>
            </w:pPr>
          </w:p>
        </w:tc>
        <w:tc>
          <w:tcPr>
            <w:tcW w:w="1038" w:type="dxa"/>
            <w:gridSpan w:val="2"/>
            <w:tcBorders>
              <w:top w:val="single" w:sz="4" w:space="0" w:color="auto"/>
              <w:left w:val="nil"/>
              <w:bottom w:val="single" w:sz="4" w:space="0" w:color="auto"/>
              <w:right w:val="nil"/>
            </w:tcBorders>
            <w:vAlign w:val="bottom"/>
          </w:tcPr>
          <w:p w14:paraId="20FB8F40" w14:textId="37E9AD98" w:rsidR="004459BE" w:rsidRPr="004A5792" w:rsidRDefault="004459BE" w:rsidP="00863311">
            <w:pPr>
              <w:pStyle w:val="TableText"/>
              <w:tabs>
                <w:tab w:val="left" w:pos="3306"/>
              </w:tabs>
              <w:jc w:val="right"/>
              <w:rPr>
                <w:rFonts w:cs="Calibri"/>
                <w:b/>
                <w:bCs/>
              </w:rPr>
            </w:pPr>
          </w:p>
        </w:tc>
        <w:tc>
          <w:tcPr>
            <w:tcW w:w="991" w:type="dxa"/>
            <w:gridSpan w:val="2"/>
            <w:tcBorders>
              <w:top w:val="single" w:sz="4" w:space="0" w:color="auto"/>
              <w:left w:val="nil"/>
              <w:bottom w:val="single" w:sz="4" w:space="0" w:color="auto"/>
              <w:right w:val="nil"/>
            </w:tcBorders>
            <w:vAlign w:val="bottom"/>
          </w:tcPr>
          <w:p w14:paraId="6DB343CB" w14:textId="4FC79D48" w:rsidR="004459BE" w:rsidRPr="004A5792" w:rsidRDefault="004459BE" w:rsidP="00863311">
            <w:pPr>
              <w:pStyle w:val="TableText"/>
              <w:tabs>
                <w:tab w:val="left" w:pos="3306"/>
              </w:tabs>
              <w:jc w:val="right"/>
              <w:rPr>
                <w:rFonts w:cs="Calibri"/>
                <w:b/>
                <w:bCs/>
              </w:rPr>
            </w:pPr>
          </w:p>
        </w:tc>
        <w:tc>
          <w:tcPr>
            <w:tcW w:w="1134" w:type="dxa"/>
            <w:gridSpan w:val="2"/>
            <w:tcBorders>
              <w:top w:val="single" w:sz="4" w:space="0" w:color="auto"/>
              <w:left w:val="nil"/>
              <w:bottom w:val="single" w:sz="4" w:space="0" w:color="auto"/>
              <w:right w:val="nil"/>
            </w:tcBorders>
            <w:vAlign w:val="bottom"/>
          </w:tcPr>
          <w:p w14:paraId="113CBB45" w14:textId="2CF1B55E" w:rsidR="004459BE" w:rsidRPr="004A5792" w:rsidRDefault="004459BE" w:rsidP="00863311">
            <w:pPr>
              <w:pStyle w:val="TableText"/>
              <w:tabs>
                <w:tab w:val="left" w:pos="3306"/>
              </w:tabs>
              <w:jc w:val="right"/>
              <w:rPr>
                <w:rFonts w:cs="Calibri"/>
                <w:b/>
                <w:bCs/>
              </w:rPr>
            </w:pPr>
          </w:p>
        </w:tc>
        <w:tc>
          <w:tcPr>
            <w:tcW w:w="1276" w:type="dxa"/>
            <w:gridSpan w:val="2"/>
            <w:tcBorders>
              <w:top w:val="single" w:sz="4" w:space="0" w:color="auto"/>
              <w:left w:val="nil"/>
              <w:bottom w:val="single" w:sz="4" w:space="0" w:color="auto"/>
              <w:right w:val="nil"/>
            </w:tcBorders>
            <w:vAlign w:val="bottom"/>
          </w:tcPr>
          <w:p w14:paraId="61E91351" w14:textId="40F5B370" w:rsidR="004459BE" w:rsidRPr="004A5792" w:rsidRDefault="004459BE" w:rsidP="00863311">
            <w:pPr>
              <w:pStyle w:val="TableText"/>
              <w:tabs>
                <w:tab w:val="left" w:pos="3306"/>
              </w:tabs>
              <w:jc w:val="right"/>
              <w:rPr>
                <w:rFonts w:cs="Calibri"/>
                <w:b/>
                <w:bCs/>
              </w:rPr>
            </w:pPr>
          </w:p>
        </w:tc>
        <w:tc>
          <w:tcPr>
            <w:tcW w:w="1289" w:type="dxa"/>
            <w:gridSpan w:val="2"/>
            <w:tcBorders>
              <w:top w:val="single" w:sz="4" w:space="0" w:color="auto"/>
              <w:left w:val="nil"/>
              <w:bottom w:val="single" w:sz="4" w:space="0" w:color="auto"/>
              <w:right w:val="nil"/>
            </w:tcBorders>
            <w:vAlign w:val="bottom"/>
          </w:tcPr>
          <w:p w14:paraId="4596EEAE" w14:textId="52E89DAC" w:rsidR="004459BE" w:rsidRPr="004A5792" w:rsidRDefault="004459BE" w:rsidP="00863311">
            <w:pPr>
              <w:pStyle w:val="TableText"/>
              <w:tabs>
                <w:tab w:val="left" w:pos="3306"/>
              </w:tabs>
              <w:jc w:val="right"/>
              <w:rPr>
                <w:rFonts w:cs="Calibri"/>
                <w:b/>
                <w:bCs/>
              </w:rPr>
            </w:pPr>
          </w:p>
        </w:tc>
        <w:tc>
          <w:tcPr>
            <w:tcW w:w="1219" w:type="dxa"/>
            <w:tcBorders>
              <w:top w:val="single" w:sz="4" w:space="0" w:color="auto"/>
              <w:left w:val="nil"/>
              <w:bottom w:val="single" w:sz="4" w:space="0" w:color="auto"/>
              <w:right w:val="nil"/>
            </w:tcBorders>
            <w:vAlign w:val="bottom"/>
          </w:tcPr>
          <w:p w14:paraId="4A4F6466" w14:textId="7AA08F9A" w:rsidR="004459BE" w:rsidRPr="004A5792" w:rsidRDefault="004459BE" w:rsidP="00863311">
            <w:pPr>
              <w:pStyle w:val="TableText"/>
              <w:tabs>
                <w:tab w:val="left" w:pos="3306"/>
              </w:tabs>
              <w:jc w:val="right"/>
              <w:rPr>
                <w:rFonts w:cs="Calibri"/>
                <w:b/>
                <w:bCs/>
              </w:rPr>
            </w:pPr>
          </w:p>
        </w:tc>
      </w:tr>
      <w:tr w:rsidR="00C377E9" w:rsidRPr="00CF7E1B" w14:paraId="179B27A7" w14:textId="77777777" w:rsidTr="00D919F2">
        <w:trPr>
          <w:cantSplit/>
          <w:trHeight w:val="20"/>
        </w:trPr>
        <w:tc>
          <w:tcPr>
            <w:tcW w:w="1562" w:type="dxa"/>
            <w:tcBorders>
              <w:top w:val="nil"/>
              <w:left w:val="single" w:sz="2" w:space="0" w:color="auto"/>
              <w:bottom w:val="nil"/>
              <w:right w:val="single" w:sz="2" w:space="0" w:color="auto"/>
            </w:tcBorders>
          </w:tcPr>
          <w:p w14:paraId="32F05D1D" w14:textId="77777777" w:rsidR="004459BE" w:rsidRPr="004A5792" w:rsidRDefault="004459BE" w:rsidP="00863311">
            <w:pPr>
              <w:pStyle w:val="TableReference"/>
              <w:tabs>
                <w:tab w:val="left" w:pos="3306"/>
              </w:tabs>
              <w:spacing w:before="40"/>
              <w:rPr>
                <w:rFonts w:cs="Calibri"/>
                <w:color w:val="7030A0"/>
              </w:rPr>
            </w:pPr>
          </w:p>
        </w:tc>
        <w:tc>
          <w:tcPr>
            <w:tcW w:w="3403" w:type="dxa"/>
            <w:tcBorders>
              <w:top w:val="nil"/>
              <w:left w:val="single" w:sz="2" w:space="0" w:color="auto"/>
              <w:bottom w:val="nil"/>
              <w:right w:val="nil"/>
            </w:tcBorders>
            <w:vAlign w:val="bottom"/>
          </w:tcPr>
          <w:p w14:paraId="4A30F681" w14:textId="77777777" w:rsidR="004459BE" w:rsidRPr="004A5792" w:rsidRDefault="004459BE" w:rsidP="00863311">
            <w:pPr>
              <w:pStyle w:val="TableText"/>
              <w:tabs>
                <w:tab w:val="left" w:pos="3306"/>
              </w:tabs>
              <w:rPr>
                <w:rFonts w:cs="Calibri"/>
              </w:rPr>
            </w:pPr>
          </w:p>
        </w:tc>
        <w:tc>
          <w:tcPr>
            <w:tcW w:w="1556" w:type="dxa"/>
            <w:tcBorders>
              <w:top w:val="nil"/>
              <w:left w:val="nil"/>
              <w:bottom w:val="nil"/>
              <w:right w:val="nil"/>
            </w:tcBorders>
            <w:vAlign w:val="bottom"/>
          </w:tcPr>
          <w:p w14:paraId="536D8BF4" w14:textId="77777777" w:rsidR="004459BE" w:rsidRPr="004A5792" w:rsidRDefault="004459BE" w:rsidP="000641E0">
            <w:pPr>
              <w:pStyle w:val="TableText"/>
              <w:tabs>
                <w:tab w:val="left" w:pos="3306"/>
              </w:tabs>
              <w:ind w:left="295" w:hanging="295"/>
              <w:jc w:val="center"/>
              <w:rPr>
                <w:rFonts w:cs="Calibri"/>
              </w:rPr>
            </w:pPr>
          </w:p>
        </w:tc>
        <w:tc>
          <w:tcPr>
            <w:tcW w:w="1136" w:type="dxa"/>
            <w:tcBorders>
              <w:top w:val="nil"/>
              <w:left w:val="nil"/>
              <w:bottom w:val="nil"/>
              <w:right w:val="nil"/>
            </w:tcBorders>
          </w:tcPr>
          <w:p w14:paraId="2C9EE85B" w14:textId="77777777" w:rsidR="004459BE" w:rsidRPr="004A5792" w:rsidRDefault="004459BE" w:rsidP="000641E0">
            <w:pPr>
              <w:pStyle w:val="TableText"/>
              <w:tabs>
                <w:tab w:val="left" w:pos="3306"/>
              </w:tabs>
              <w:ind w:left="295" w:hanging="295"/>
              <w:jc w:val="right"/>
              <w:rPr>
                <w:rFonts w:cs="Calibri"/>
              </w:rPr>
            </w:pPr>
          </w:p>
        </w:tc>
        <w:tc>
          <w:tcPr>
            <w:tcW w:w="1038" w:type="dxa"/>
            <w:gridSpan w:val="2"/>
            <w:tcBorders>
              <w:top w:val="single" w:sz="4" w:space="0" w:color="auto"/>
              <w:left w:val="nil"/>
              <w:bottom w:val="nil"/>
              <w:right w:val="nil"/>
            </w:tcBorders>
            <w:vAlign w:val="bottom"/>
          </w:tcPr>
          <w:p w14:paraId="6744C74B" w14:textId="77777777" w:rsidR="004459BE" w:rsidRPr="004A5792" w:rsidRDefault="004459BE" w:rsidP="00863311">
            <w:pPr>
              <w:pStyle w:val="TableText"/>
              <w:tabs>
                <w:tab w:val="left" w:pos="3306"/>
              </w:tabs>
              <w:jc w:val="right"/>
              <w:rPr>
                <w:rFonts w:cs="Calibri"/>
              </w:rPr>
            </w:pPr>
          </w:p>
        </w:tc>
        <w:tc>
          <w:tcPr>
            <w:tcW w:w="991" w:type="dxa"/>
            <w:gridSpan w:val="2"/>
            <w:tcBorders>
              <w:top w:val="single" w:sz="4" w:space="0" w:color="auto"/>
              <w:left w:val="nil"/>
              <w:bottom w:val="nil"/>
              <w:right w:val="nil"/>
            </w:tcBorders>
            <w:vAlign w:val="bottom"/>
          </w:tcPr>
          <w:p w14:paraId="549E7916" w14:textId="77777777" w:rsidR="004459BE" w:rsidRPr="004A5792" w:rsidRDefault="004459BE" w:rsidP="00863311">
            <w:pPr>
              <w:pStyle w:val="TableText"/>
              <w:tabs>
                <w:tab w:val="left" w:pos="3306"/>
              </w:tabs>
              <w:jc w:val="right"/>
              <w:rPr>
                <w:rFonts w:cs="Calibri"/>
              </w:rPr>
            </w:pPr>
          </w:p>
        </w:tc>
        <w:tc>
          <w:tcPr>
            <w:tcW w:w="1134" w:type="dxa"/>
            <w:gridSpan w:val="2"/>
            <w:tcBorders>
              <w:top w:val="single" w:sz="4" w:space="0" w:color="auto"/>
              <w:left w:val="nil"/>
              <w:bottom w:val="nil"/>
              <w:right w:val="nil"/>
            </w:tcBorders>
            <w:vAlign w:val="bottom"/>
          </w:tcPr>
          <w:p w14:paraId="5E982FF6" w14:textId="77777777" w:rsidR="004459BE" w:rsidRPr="004A5792" w:rsidRDefault="004459BE" w:rsidP="00863311">
            <w:pPr>
              <w:pStyle w:val="TableText"/>
              <w:tabs>
                <w:tab w:val="left" w:pos="3306"/>
              </w:tabs>
              <w:jc w:val="right"/>
              <w:rPr>
                <w:rFonts w:cs="Calibri"/>
              </w:rPr>
            </w:pPr>
          </w:p>
        </w:tc>
        <w:tc>
          <w:tcPr>
            <w:tcW w:w="1276" w:type="dxa"/>
            <w:gridSpan w:val="2"/>
            <w:tcBorders>
              <w:top w:val="single" w:sz="4" w:space="0" w:color="auto"/>
              <w:left w:val="nil"/>
              <w:bottom w:val="nil"/>
              <w:right w:val="nil"/>
            </w:tcBorders>
            <w:vAlign w:val="bottom"/>
          </w:tcPr>
          <w:p w14:paraId="0F74CA96" w14:textId="77777777" w:rsidR="004459BE" w:rsidRPr="004A5792" w:rsidRDefault="004459BE" w:rsidP="00863311">
            <w:pPr>
              <w:pStyle w:val="TableText"/>
              <w:tabs>
                <w:tab w:val="left" w:pos="3306"/>
              </w:tabs>
              <w:jc w:val="right"/>
              <w:rPr>
                <w:rFonts w:cs="Calibri"/>
              </w:rPr>
            </w:pPr>
          </w:p>
        </w:tc>
        <w:tc>
          <w:tcPr>
            <w:tcW w:w="1289" w:type="dxa"/>
            <w:gridSpan w:val="2"/>
            <w:tcBorders>
              <w:top w:val="single" w:sz="4" w:space="0" w:color="auto"/>
              <w:left w:val="nil"/>
              <w:bottom w:val="nil"/>
              <w:right w:val="nil"/>
            </w:tcBorders>
            <w:vAlign w:val="bottom"/>
          </w:tcPr>
          <w:p w14:paraId="0E8C8448" w14:textId="77777777" w:rsidR="004459BE" w:rsidRPr="004A5792" w:rsidRDefault="004459BE" w:rsidP="00863311">
            <w:pPr>
              <w:pStyle w:val="TableText"/>
              <w:tabs>
                <w:tab w:val="left" w:pos="3306"/>
              </w:tabs>
              <w:jc w:val="right"/>
              <w:rPr>
                <w:rFonts w:cs="Calibri"/>
              </w:rPr>
            </w:pPr>
          </w:p>
        </w:tc>
        <w:tc>
          <w:tcPr>
            <w:tcW w:w="1219" w:type="dxa"/>
            <w:tcBorders>
              <w:top w:val="single" w:sz="4" w:space="0" w:color="auto"/>
              <w:left w:val="nil"/>
              <w:bottom w:val="nil"/>
              <w:right w:val="nil"/>
            </w:tcBorders>
            <w:vAlign w:val="bottom"/>
          </w:tcPr>
          <w:p w14:paraId="3FBB82F1" w14:textId="77777777" w:rsidR="004459BE" w:rsidRPr="004A5792" w:rsidRDefault="004459BE" w:rsidP="00863311">
            <w:pPr>
              <w:pStyle w:val="TableText"/>
              <w:tabs>
                <w:tab w:val="left" w:pos="3306"/>
              </w:tabs>
              <w:jc w:val="right"/>
              <w:rPr>
                <w:rFonts w:cs="Calibri"/>
              </w:rPr>
            </w:pPr>
          </w:p>
        </w:tc>
      </w:tr>
      <w:tr w:rsidR="004A5792" w:rsidRPr="004A5792" w14:paraId="52777BBA" w14:textId="77777777" w:rsidTr="00D919F2">
        <w:trPr>
          <w:cantSplit/>
          <w:trHeight w:val="23"/>
        </w:trPr>
        <w:tc>
          <w:tcPr>
            <w:tcW w:w="1562" w:type="dxa"/>
            <w:tcBorders>
              <w:top w:val="nil"/>
              <w:left w:val="single" w:sz="2" w:space="0" w:color="auto"/>
              <w:bottom w:val="nil"/>
              <w:right w:val="single" w:sz="2" w:space="0" w:color="auto"/>
            </w:tcBorders>
          </w:tcPr>
          <w:p w14:paraId="1A08E5F0" w14:textId="77777777" w:rsidR="005F62CB" w:rsidRPr="004A5792" w:rsidRDefault="005F62CB" w:rsidP="00C377E9">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5D604D04" w14:textId="77777777" w:rsidR="005F62CB" w:rsidRPr="004A5792" w:rsidRDefault="005F62CB" w:rsidP="00C377E9">
            <w:pPr>
              <w:pStyle w:val="TableText"/>
              <w:tabs>
                <w:tab w:val="left" w:pos="3306"/>
              </w:tabs>
              <w:jc w:val="right"/>
              <w:rPr>
                <w:rFonts w:cs="Calibri"/>
              </w:rPr>
            </w:pPr>
          </w:p>
        </w:tc>
      </w:tr>
      <w:tr w:rsidR="00BB62BB" w:rsidRPr="00CF7E1B" w14:paraId="39734A8C" w14:textId="77777777" w:rsidTr="00D919F2">
        <w:trPr>
          <w:cantSplit/>
          <w:trHeight w:val="23"/>
        </w:trPr>
        <w:tc>
          <w:tcPr>
            <w:tcW w:w="1562" w:type="dxa"/>
            <w:tcBorders>
              <w:top w:val="nil"/>
              <w:left w:val="single" w:sz="2" w:space="0" w:color="auto"/>
              <w:bottom w:val="nil"/>
              <w:right w:val="single" w:sz="2" w:space="0" w:color="auto"/>
            </w:tcBorders>
          </w:tcPr>
          <w:p w14:paraId="4CD27047" w14:textId="77777777" w:rsidR="00BB62BB" w:rsidRPr="004A5792" w:rsidRDefault="00BB62BB" w:rsidP="00C377E9">
            <w:pPr>
              <w:pStyle w:val="TableReference"/>
              <w:tabs>
                <w:tab w:val="left" w:pos="3306"/>
              </w:tabs>
              <w:spacing w:before="40"/>
              <w:rPr>
                <w:rFonts w:cs="Calibri"/>
                <w:color w:val="7030A0"/>
              </w:rPr>
            </w:pPr>
          </w:p>
        </w:tc>
        <w:tc>
          <w:tcPr>
            <w:tcW w:w="13042" w:type="dxa"/>
            <w:gridSpan w:val="14"/>
            <w:tcBorders>
              <w:top w:val="nil"/>
              <w:left w:val="single" w:sz="2" w:space="0" w:color="auto"/>
              <w:bottom w:val="nil"/>
              <w:right w:val="nil"/>
            </w:tcBorders>
            <w:vAlign w:val="bottom"/>
          </w:tcPr>
          <w:p w14:paraId="004385DE" w14:textId="3D94840B" w:rsidR="00BB62BB" w:rsidRPr="004A5792" w:rsidRDefault="00BB62BB" w:rsidP="00BB62BB">
            <w:pPr>
              <w:pStyle w:val="TableText"/>
              <w:tabs>
                <w:tab w:val="left" w:pos="3306"/>
              </w:tabs>
              <w:rPr>
                <w:rFonts w:cs="Calibri"/>
              </w:rPr>
            </w:pPr>
            <w:r w:rsidRPr="004A5792">
              <w:rPr>
                <w:rFonts w:cs="Calibri"/>
                <w:b/>
              </w:rPr>
              <w:t>2021</w:t>
            </w:r>
          </w:p>
        </w:tc>
      </w:tr>
      <w:tr w:rsidR="00C377E9" w:rsidRPr="00CF7E1B" w14:paraId="1A107EDF" w14:textId="77777777" w:rsidTr="00D919F2">
        <w:trPr>
          <w:cantSplit/>
          <w:trHeight w:val="23"/>
        </w:trPr>
        <w:tc>
          <w:tcPr>
            <w:tcW w:w="1562" w:type="dxa"/>
            <w:tcBorders>
              <w:top w:val="nil"/>
              <w:left w:val="single" w:sz="2" w:space="0" w:color="auto"/>
              <w:bottom w:val="nil"/>
              <w:right w:val="single" w:sz="2" w:space="0" w:color="auto"/>
            </w:tcBorders>
          </w:tcPr>
          <w:p w14:paraId="08A864DD" w14:textId="77777777" w:rsidR="00C377E9" w:rsidRPr="004A5792" w:rsidRDefault="00C377E9" w:rsidP="00C377E9">
            <w:pPr>
              <w:pStyle w:val="TableReference"/>
              <w:tabs>
                <w:tab w:val="left" w:pos="3306"/>
              </w:tabs>
              <w:spacing w:before="60"/>
              <w:rPr>
                <w:rFonts w:cs="Calibri"/>
                <w:color w:val="7030A0"/>
              </w:rPr>
            </w:pPr>
            <w:r w:rsidRPr="004A5792">
              <w:rPr>
                <w:rFonts w:cs="Calibri"/>
                <w:color w:val="7030A0"/>
              </w:rPr>
              <w:t xml:space="preserve"> </w:t>
            </w:r>
          </w:p>
        </w:tc>
        <w:tc>
          <w:tcPr>
            <w:tcW w:w="3400" w:type="dxa"/>
            <w:tcBorders>
              <w:top w:val="nil"/>
              <w:left w:val="single" w:sz="2" w:space="0" w:color="auto"/>
              <w:bottom w:val="nil"/>
              <w:right w:val="nil"/>
            </w:tcBorders>
            <w:vAlign w:val="bottom"/>
          </w:tcPr>
          <w:p w14:paraId="3F321F2B" w14:textId="77777777" w:rsidR="00C377E9" w:rsidRPr="004A5792" w:rsidRDefault="00C377E9" w:rsidP="000641E0">
            <w:pPr>
              <w:pStyle w:val="TableText"/>
              <w:tabs>
                <w:tab w:val="left" w:pos="3306"/>
              </w:tabs>
              <w:ind w:left="285" w:hanging="285"/>
              <w:rPr>
                <w:rFonts w:cs="Calibri"/>
                <w:b/>
                <w:bCs/>
              </w:rPr>
            </w:pPr>
            <w:r w:rsidRPr="004A5792">
              <w:rPr>
                <w:rFonts w:cs="Calibri"/>
                <w:b/>
                <w:bCs/>
              </w:rPr>
              <w:t>Financial Liabilities</w:t>
            </w:r>
          </w:p>
        </w:tc>
        <w:tc>
          <w:tcPr>
            <w:tcW w:w="1559" w:type="dxa"/>
            <w:tcBorders>
              <w:top w:val="nil"/>
              <w:left w:val="nil"/>
              <w:bottom w:val="nil"/>
              <w:right w:val="nil"/>
            </w:tcBorders>
            <w:vAlign w:val="bottom"/>
          </w:tcPr>
          <w:p w14:paraId="00E286E6" w14:textId="77777777" w:rsidR="00C377E9" w:rsidRPr="004A5792" w:rsidRDefault="00C377E9" w:rsidP="000641E0">
            <w:pPr>
              <w:pStyle w:val="TableText"/>
              <w:tabs>
                <w:tab w:val="left" w:pos="3306"/>
              </w:tabs>
              <w:ind w:left="285" w:hanging="285"/>
              <w:jc w:val="center"/>
              <w:rPr>
                <w:rFonts w:cs="Calibri"/>
              </w:rPr>
            </w:pPr>
          </w:p>
        </w:tc>
        <w:tc>
          <w:tcPr>
            <w:tcW w:w="1136" w:type="dxa"/>
            <w:tcBorders>
              <w:top w:val="nil"/>
              <w:left w:val="nil"/>
              <w:bottom w:val="nil"/>
              <w:right w:val="nil"/>
            </w:tcBorders>
          </w:tcPr>
          <w:p w14:paraId="0D5DC39B" w14:textId="77777777" w:rsidR="00C377E9" w:rsidRPr="004A5792" w:rsidRDefault="00C377E9" w:rsidP="000641E0">
            <w:pPr>
              <w:pStyle w:val="TableText"/>
              <w:tabs>
                <w:tab w:val="left" w:pos="3306"/>
              </w:tabs>
              <w:ind w:left="295" w:right="-108" w:hanging="295"/>
              <w:jc w:val="right"/>
              <w:rPr>
                <w:rFonts w:cs="Calibri"/>
              </w:rPr>
            </w:pPr>
          </w:p>
        </w:tc>
        <w:tc>
          <w:tcPr>
            <w:tcW w:w="1011" w:type="dxa"/>
            <w:tcBorders>
              <w:top w:val="nil"/>
              <w:left w:val="nil"/>
              <w:bottom w:val="nil"/>
              <w:right w:val="nil"/>
            </w:tcBorders>
            <w:vAlign w:val="bottom"/>
          </w:tcPr>
          <w:p w14:paraId="6125BE91" w14:textId="77777777" w:rsidR="00C377E9" w:rsidRPr="004A5792" w:rsidRDefault="00C377E9" w:rsidP="000641E0">
            <w:pPr>
              <w:pStyle w:val="TableText"/>
              <w:tabs>
                <w:tab w:val="left" w:pos="3306"/>
              </w:tabs>
              <w:ind w:left="295" w:hanging="295"/>
              <w:jc w:val="right"/>
              <w:rPr>
                <w:rFonts w:cs="Calibri"/>
              </w:rPr>
            </w:pPr>
          </w:p>
        </w:tc>
        <w:tc>
          <w:tcPr>
            <w:tcW w:w="991" w:type="dxa"/>
            <w:gridSpan w:val="2"/>
            <w:tcBorders>
              <w:top w:val="nil"/>
              <w:left w:val="nil"/>
              <w:bottom w:val="nil"/>
              <w:right w:val="nil"/>
            </w:tcBorders>
            <w:vAlign w:val="bottom"/>
          </w:tcPr>
          <w:p w14:paraId="000C9AEE" w14:textId="77777777" w:rsidR="00C377E9" w:rsidRPr="004A5792" w:rsidRDefault="00C377E9" w:rsidP="00C377E9">
            <w:pPr>
              <w:pStyle w:val="TableText"/>
              <w:tabs>
                <w:tab w:val="left" w:pos="3306"/>
              </w:tabs>
              <w:jc w:val="right"/>
              <w:rPr>
                <w:rFonts w:cs="Calibri"/>
              </w:rPr>
            </w:pPr>
          </w:p>
        </w:tc>
        <w:tc>
          <w:tcPr>
            <w:tcW w:w="1134" w:type="dxa"/>
            <w:gridSpan w:val="2"/>
            <w:tcBorders>
              <w:top w:val="nil"/>
              <w:left w:val="nil"/>
              <w:bottom w:val="nil"/>
              <w:right w:val="nil"/>
            </w:tcBorders>
          </w:tcPr>
          <w:p w14:paraId="7EA05AF3" w14:textId="77777777" w:rsidR="00C377E9" w:rsidRPr="004A5792" w:rsidRDefault="00C377E9" w:rsidP="00C377E9">
            <w:pPr>
              <w:pStyle w:val="TableText"/>
              <w:tabs>
                <w:tab w:val="left" w:pos="3306"/>
              </w:tabs>
              <w:jc w:val="right"/>
              <w:rPr>
                <w:rFonts w:cs="Calibri"/>
              </w:rPr>
            </w:pPr>
          </w:p>
        </w:tc>
        <w:tc>
          <w:tcPr>
            <w:tcW w:w="1276" w:type="dxa"/>
            <w:gridSpan w:val="2"/>
            <w:tcBorders>
              <w:top w:val="nil"/>
              <w:left w:val="nil"/>
              <w:bottom w:val="nil"/>
              <w:right w:val="nil"/>
            </w:tcBorders>
            <w:vAlign w:val="bottom"/>
          </w:tcPr>
          <w:p w14:paraId="68CE08D9" w14:textId="77777777" w:rsidR="00C377E9" w:rsidRPr="004A5792" w:rsidRDefault="00C377E9" w:rsidP="00C377E9">
            <w:pPr>
              <w:pStyle w:val="TableText"/>
              <w:tabs>
                <w:tab w:val="left" w:pos="3306"/>
              </w:tabs>
              <w:jc w:val="right"/>
              <w:rPr>
                <w:rFonts w:cs="Calibri"/>
              </w:rPr>
            </w:pPr>
          </w:p>
        </w:tc>
        <w:tc>
          <w:tcPr>
            <w:tcW w:w="1300" w:type="dxa"/>
            <w:gridSpan w:val="2"/>
            <w:tcBorders>
              <w:top w:val="nil"/>
              <w:left w:val="nil"/>
              <w:bottom w:val="nil"/>
              <w:right w:val="nil"/>
            </w:tcBorders>
            <w:vAlign w:val="bottom"/>
          </w:tcPr>
          <w:p w14:paraId="43365BF3" w14:textId="77777777" w:rsidR="00C377E9" w:rsidRPr="004A5792" w:rsidRDefault="00C377E9" w:rsidP="00C377E9">
            <w:pPr>
              <w:pStyle w:val="TableText"/>
              <w:tabs>
                <w:tab w:val="left" w:pos="3306"/>
              </w:tabs>
              <w:jc w:val="right"/>
              <w:rPr>
                <w:rFonts w:cs="Calibri"/>
              </w:rPr>
            </w:pPr>
          </w:p>
        </w:tc>
        <w:tc>
          <w:tcPr>
            <w:tcW w:w="1235" w:type="dxa"/>
            <w:gridSpan w:val="2"/>
            <w:tcBorders>
              <w:top w:val="nil"/>
              <w:left w:val="nil"/>
              <w:bottom w:val="nil"/>
              <w:right w:val="nil"/>
            </w:tcBorders>
            <w:vAlign w:val="bottom"/>
          </w:tcPr>
          <w:p w14:paraId="1772616E" w14:textId="77777777" w:rsidR="00C377E9" w:rsidRPr="004A5792" w:rsidRDefault="00C377E9" w:rsidP="00C377E9">
            <w:pPr>
              <w:pStyle w:val="TableText"/>
              <w:tabs>
                <w:tab w:val="left" w:pos="3306"/>
              </w:tabs>
              <w:jc w:val="right"/>
              <w:rPr>
                <w:rFonts w:cs="Calibri"/>
              </w:rPr>
            </w:pPr>
          </w:p>
        </w:tc>
      </w:tr>
      <w:tr w:rsidR="00C377E9" w:rsidRPr="00CF7E1B" w14:paraId="491D8D96" w14:textId="77777777" w:rsidTr="00D919F2">
        <w:trPr>
          <w:cantSplit/>
          <w:trHeight w:val="23"/>
        </w:trPr>
        <w:tc>
          <w:tcPr>
            <w:tcW w:w="1562" w:type="dxa"/>
            <w:tcBorders>
              <w:top w:val="nil"/>
              <w:left w:val="single" w:sz="2" w:space="0" w:color="auto"/>
              <w:bottom w:val="nil"/>
              <w:right w:val="single" w:sz="2" w:space="0" w:color="auto"/>
            </w:tcBorders>
          </w:tcPr>
          <w:p w14:paraId="05DFF68D" w14:textId="77777777" w:rsidR="00C377E9" w:rsidRPr="004A5792" w:rsidRDefault="00C377E9" w:rsidP="00C377E9">
            <w:pPr>
              <w:pStyle w:val="TableReference"/>
              <w:tabs>
                <w:tab w:val="left" w:pos="3306"/>
              </w:tabs>
              <w:spacing w:before="60"/>
              <w:rPr>
                <w:rFonts w:cs="Calibri"/>
                <w:color w:val="7030A0"/>
              </w:rPr>
            </w:pPr>
            <w:r w:rsidRPr="004A5792">
              <w:rPr>
                <w:rFonts w:cs="Calibri"/>
                <w:color w:val="7030A0"/>
              </w:rPr>
              <w:t xml:space="preserve"> </w:t>
            </w:r>
          </w:p>
        </w:tc>
        <w:tc>
          <w:tcPr>
            <w:tcW w:w="3400" w:type="dxa"/>
            <w:tcBorders>
              <w:top w:val="nil"/>
              <w:left w:val="single" w:sz="2" w:space="0" w:color="auto"/>
              <w:bottom w:val="nil"/>
              <w:right w:val="nil"/>
            </w:tcBorders>
            <w:vAlign w:val="bottom"/>
          </w:tcPr>
          <w:p w14:paraId="7C0221E9" w14:textId="77777777" w:rsidR="00C377E9" w:rsidRPr="004A5792" w:rsidRDefault="00C377E9" w:rsidP="000641E0">
            <w:pPr>
              <w:pStyle w:val="TableText"/>
              <w:tabs>
                <w:tab w:val="left" w:pos="3306"/>
              </w:tabs>
              <w:ind w:left="285" w:hanging="285"/>
              <w:rPr>
                <w:rFonts w:cs="Calibri"/>
              </w:rPr>
            </w:pPr>
            <w:r w:rsidRPr="004A5792">
              <w:rPr>
                <w:rFonts w:cs="Calibri"/>
              </w:rPr>
              <w:t>Payables</w:t>
            </w:r>
          </w:p>
        </w:tc>
        <w:tc>
          <w:tcPr>
            <w:tcW w:w="1559" w:type="dxa"/>
            <w:tcBorders>
              <w:top w:val="nil"/>
              <w:left w:val="nil"/>
              <w:bottom w:val="nil"/>
              <w:right w:val="nil"/>
            </w:tcBorders>
            <w:vAlign w:val="bottom"/>
          </w:tcPr>
          <w:p w14:paraId="78DBEBAA" w14:textId="27643076" w:rsidR="00C377E9" w:rsidRPr="004A5792" w:rsidRDefault="00FE2129" w:rsidP="000641E0">
            <w:pPr>
              <w:pStyle w:val="TableText"/>
              <w:tabs>
                <w:tab w:val="left" w:pos="3306"/>
              </w:tabs>
              <w:ind w:left="285" w:hanging="285"/>
              <w:jc w:val="center"/>
              <w:rPr>
                <w:rFonts w:cs="Calibri"/>
              </w:rPr>
            </w:pPr>
            <w:r w:rsidRPr="004A5792">
              <w:rPr>
                <w:rFonts w:cs="Calibri"/>
              </w:rPr>
              <w:t>49</w:t>
            </w:r>
          </w:p>
        </w:tc>
        <w:tc>
          <w:tcPr>
            <w:tcW w:w="1136" w:type="dxa"/>
            <w:tcBorders>
              <w:top w:val="nil"/>
              <w:left w:val="nil"/>
              <w:bottom w:val="nil"/>
              <w:right w:val="nil"/>
            </w:tcBorders>
          </w:tcPr>
          <w:p w14:paraId="27ECDB0F" w14:textId="77777777" w:rsidR="00C377E9" w:rsidRPr="004A5792" w:rsidRDefault="00C377E9" w:rsidP="000641E0">
            <w:pPr>
              <w:pStyle w:val="TableText"/>
              <w:tabs>
                <w:tab w:val="left" w:pos="3306"/>
              </w:tabs>
              <w:ind w:left="295" w:right="-108" w:hanging="295"/>
              <w:jc w:val="right"/>
              <w:rPr>
                <w:rFonts w:cs="Calibri"/>
              </w:rPr>
            </w:pPr>
          </w:p>
        </w:tc>
        <w:tc>
          <w:tcPr>
            <w:tcW w:w="1011" w:type="dxa"/>
            <w:tcBorders>
              <w:top w:val="nil"/>
              <w:left w:val="nil"/>
              <w:bottom w:val="single" w:sz="2" w:space="0" w:color="auto"/>
              <w:right w:val="nil"/>
            </w:tcBorders>
            <w:vAlign w:val="bottom"/>
          </w:tcPr>
          <w:p w14:paraId="449CA37E" w14:textId="00D2B8D8" w:rsidR="00C377E9" w:rsidRPr="004A5792" w:rsidRDefault="00C377E9" w:rsidP="000641E0">
            <w:pPr>
              <w:pStyle w:val="TableText"/>
              <w:tabs>
                <w:tab w:val="left" w:pos="3306"/>
              </w:tabs>
              <w:ind w:left="295" w:hanging="295"/>
              <w:jc w:val="right"/>
              <w:rPr>
                <w:rFonts w:cs="Calibri"/>
              </w:rPr>
            </w:pPr>
          </w:p>
        </w:tc>
        <w:tc>
          <w:tcPr>
            <w:tcW w:w="991" w:type="dxa"/>
            <w:gridSpan w:val="2"/>
            <w:tcBorders>
              <w:top w:val="nil"/>
              <w:left w:val="nil"/>
              <w:bottom w:val="single" w:sz="2" w:space="0" w:color="auto"/>
              <w:right w:val="nil"/>
            </w:tcBorders>
            <w:vAlign w:val="bottom"/>
          </w:tcPr>
          <w:p w14:paraId="4838F8D5" w14:textId="43A089C9" w:rsidR="00C377E9" w:rsidRPr="004A5792" w:rsidRDefault="00C377E9" w:rsidP="00C377E9">
            <w:pPr>
              <w:pStyle w:val="TableText"/>
              <w:tabs>
                <w:tab w:val="left" w:pos="3306"/>
              </w:tabs>
              <w:jc w:val="right"/>
              <w:rPr>
                <w:rFonts w:cs="Calibri"/>
              </w:rPr>
            </w:pPr>
          </w:p>
        </w:tc>
        <w:tc>
          <w:tcPr>
            <w:tcW w:w="1134" w:type="dxa"/>
            <w:gridSpan w:val="2"/>
            <w:tcBorders>
              <w:top w:val="nil"/>
              <w:left w:val="nil"/>
              <w:bottom w:val="single" w:sz="2" w:space="0" w:color="auto"/>
              <w:right w:val="nil"/>
            </w:tcBorders>
          </w:tcPr>
          <w:p w14:paraId="4CAED7F9" w14:textId="32CED3CF" w:rsidR="00C377E9" w:rsidRPr="004A5792" w:rsidRDefault="00C377E9" w:rsidP="00C377E9">
            <w:pPr>
              <w:pStyle w:val="TableText"/>
              <w:tabs>
                <w:tab w:val="left" w:pos="3306"/>
              </w:tabs>
              <w:jc w:val="right"/>
              <w:rPr>
                <w:rFonts w:cs="Calibri"/>
              </w:rPr>
            </w:pPr>
          </w:p>
        </w:tc>
        <w:tc>
          <w:tcPr>
            <w:tcW w:w="1276" w:type="dxa"/>
            <w:gridSpan w:val="2"/>
            <w:tcBorders>
              <w:top w:val="nil"/>
              <w:left w:val="nil"/>
              <w:bottom w:val="single" w:sz="2" w:space="0" w:color="auto"/>
              <w:right w:val="nil"/>
            </w:tcBorders>
            <w:vAlign w:val="bottom"/>
          </w:tcPr>
          <w:p w14:paraId="6AA04811" w14:textId="2373F6C6" w:rsidR="00C377E9" w:rsidRPr="004A5792" w:rsidRDefault="00C377E9" w:rsidP="00C377E9">
            <w:pPr>
              <w:pStyle w:val="TableText"/>
              <w:tabs>
                <w:tab w:val="left" w:pos="3306"/>
              </w:tabs>
              <w:jc w:val="right"/>
              <w:rPr>
                <w:rFonts w:cs="Calibri"/>
              </w:rPr>
            </w:pPr>
          </w:p>
        </w:tc>
        <w:tc>
          <w:tcPr>
            <w:tcW w:w="1300" w:type="dxa"/>
            <w:gridSpan w:val="2"/>
            <w:tcBorders>
              <w:top w:val="nil"/>
              <w:left w:val="nil"/>
              <w:bottom w:val="single" w:sz="2" w:space="0" w:color="auto"/>
              <w:right w:val="nil"/>
            </w:tcBorders>
            <w:vAlign w:val="bottom"/>
          </w:tcPr>
          <w:p w14:paraId="21F9A180" w14:textId="30AE22A6" w:rsidR="00C377E9" w:rsidRPr="004A5792" w:rsidRDefault="00C377E9" w:rsidP="00C377E9">
            <w:pPr>
              <w:pStyle w:val="TableText"/>
              <w:tabs>
                <w:tab w:val="left" w:pos="3306"/>
              </w:tabs>
              <w:jc w:val="right"/>
              <w:rPr>
                <w:rFonts w:cs="Calibri"/>
              </w:rPr>
            </w:pPr>
          </w:p>
        </w:tc>
        <w:tc>
          <w:tcPr>
            <w:tcW w:w="1235" w:type="dxa"/>
            <w:gridSpan w:val="2"/>
            <w:tcBorders>
              <w:top w:val="nil"/>
              <w:left w:val="nil"/>
              <w:bottom w:val="single" w:sz="2" w:space="0" w:color="auto"/>
              <w:right w:val="nil"/>
            </w:tcBorders>
            <w:vAlign w:val="bottom"/>
          </w:tcPr>
          <w:p w14:paraId="00B55F81" w14:textId="1D60E783" w:rsidR="00C377E9" w:rsidRPr="004A5792" w:rsidRDefault="00C377E9" w:rsidP="00C377E9">
            <w:pPr>
              <w:pStyle w:val="TableText"/>
              <w:tabs>
                <w:tab w:val="left" w:pos="3306"/>
              </w:tabs>
              <w:jc w:val="right"/>
              <w:rPr>
                <w:rFonts w:cs="Calibri"/>
              </w:rPr>
            </w:pPr>
          </w:p>
        </w:tc>
      </w:tr>
      <w:tr w:rsidR="00C377E9" w:rsidRPr="00CF7E1B" w14:paraId="4568C79C" w14:textId="77777777" w:rsidTr="00D919F2">
        <w:trPr>
          <w:cantSplit/>
          <w:trHeight w:val="23"/>
        </w:trPr>
        <w:tc>
          <w:tcPr>
            <w:tcW w:w="1562" w:type="dxa"/>
            <w:tcBorders>
              <w:top w:val="nil"/>
              <w:left w:val="single" w:sz="2" w:space="0" w:color="auto"/>
              <w:bottom w:val="nil"/>
              <w:right w:val="single" w:sz="2" w:space="0" w:color="auto"/>
            </w:tcBorders>
          </w:tcPr>
          <w:p w14:paraId="0DCD9667" w14:textId="77777777" w:rsidR="00C377E9" w:rsidRPr="004A5792" w:rsidRDefault="00C377E9" w:rsidP="00C377E9">
            <w:pPr>
              <w:pStyle w:val="TableReference"/>
              <w:tabs>
                <w:tab w:val="left" w:pos="3306"/>
              </w:tabs>
              <w:spacing w:before="40"/>
              <w:rPr>
                <w:rFonts w:cs="Calibri"/>
                <w:color w:val="7030A0"/>
              </w:rPr>
            </w:pPr>
          </w:p>
        </w:tc>
        <w:tc>
          <w:tcPr>
            <w:tcW w:w="3400" w:type="dxa"/>
            <w:tcBorders>
              <w:top w:val="nil"/>
              <w:left w:val="single" w:sz="2" w:space="0" w:color="auto"/>
              <w:bottom w:val="nil"/>
              <w:right w:val="nil"/>
            </w:tcBorders>
            <w:vAlign w:val="bottom"/>
          </w:tcPr>
          <w:p w14:paraId="230FA35E" w14:textId="77777777" w:rsidR="00C377E9" w:rsidRPr="004A5792" w:rsidRDefault="00C377E9" w:rsidP="000641E0">
            <w:pPr>
              <w:pStyle w:val="TableText"/>
              <w:tabs>
                <w:tab w:val="left" w:pos="3306"/>
              </w:tabs>
              <w:ind w:left="285" w:hanging="285"/>
              <w:rPr>
                <w:rFonts w:cs="Calibri"/>
                <w:b/>
                <w:bCs/>
              </w:rPr>
            </w:pPr>
            <w:r w:rsidRPr="004A5792">
              <w:rPr>
                <w:rFonts w:cs="Calibri"/>
                <w:b/>
                <w:bCs/>
              </w:rPr>
              <w:t xml:space="preserve">Total Financial Liabilities </w:t>
            </w:r>
          </w:p>
        </w:tc>
        <w:tc>
          <w:tcPr>
            <w:tcW w:w="1559" w:type="dxa"/>
            <w:tcBorders>
              <w:top w:val="nil"/>
              <w:left w:val="nil"/>
              <w:bottom w:val="nil"/>
              <w:right w:val="nil"/>
            </w:tcBorders>
            <w:vAlign w:val="bottom"/>
          </w:tcPr>
          <w:p w14:paraId="29FB1E99" w14:textId="77777777" w:rsidR="00C377E9" w:rsidRPr="004A5792" w:rsidRDefault="00C377E9" w:rsidP="000641E0">
            <w:pPr>
              <w:pStyle w:val="TableText"/>
              <w:tabs>
                <w:tab w:val="left" w:pos="3306"/>
              </w:tabs>
              <w:ind w:left="285" w:hanging="285"/>
              <w:jc w:val="center"/>
              <w:rPr>
                <w:rFonts w:cs="Calibri"/>
                <w:b/>
                <w:bCs/>
              </w:rPr>
            </w:pPr>
          </w:p>
        </w:tc>
        <w:tc>
          <w:tcPr>
            <w:tcW w:w="1136" w:type="dxa"/>
            <w:tcBorders>
              <w:top w:val="nil"/>
              <w:left w:val="nil"/>
              <w:bottom w:val="nil"/>
              <w:right w:val="nil"/>
            </w:tcBorders>
          </w:tcPr>
          <w:p w14:paraId="21D19812" w14:textId="77777777" w:rsidR="00C377E9" w:rsidRPr="004A5792" w:rsidRDefault="00C377E9" w:rsidP="000641E0">
            <w:pPr>
              <w:pStyle w:val="TableText"/>
              <w:tabs>
                <w:tab w:val="left" w:pos="3306"/>
              </w:tabs>
              <w:ind w:left="295" w:right="-108" w:hanging="295"/>
              <w:jc w:val="right"/>
              <w:rPr>
                <w:rFonts w:cs="Calibri"/>
                <w:b/>
                <w:bCs/>
              </w:rPr>
            </w:pPr>
          </w:p>
        </w:tc>
        <w:tc>
          <w:tcPr>
            <w:tcW w:w="1011" w:type="dxa"/>
            <w:tcBorders>
              <w:top w:val="single" w:sz="2" w:space="0" w:color="auto"/>
              <w:left w:val="nil"/>
              <w:bottom w:val="single" w:sz="2" w:space="0" w:color="auto"/>
              <w:right w:val="nil"/>
            </w:tcBorders>
            <w:vAlign w:val="bottom"/>
          </w:tcPr>
          <w:p w14:paraId="00C39EC5" w14:textId="77E04532" w:rsidR="00C377E9" w:rsidRPr="004A5792" w:rsidRDefault="00C377E9" w:rsidP="000641E0">
            <w:pPr>
              <w:pStyle w:val="TableText"/>
              <w:tabs>
                <w:tab w:val="left" w:pos="3306"/>
              </w:tabs>
              <w:ind w:left="295" w:hanging="295"/>
              <w:jc w:val="right"/>
              <w:rPr>
                <w:rFonts w:cs="Calibri"/>
                <w:b/>
                <w:bCs/>
              </w:rPr>
            </w:pPr>
          </w:p>
        </w:tc>
        <w:tc>
          <w:tcPr>
            <w:tcW w:w="991" w:type="dxa"/>
            <w:gridSpan w:val="2"/>
            <w:tcBorders>
              <w:top w:val="single" w:sz="2" w:space="0" w:color="auto"/>
              <w:left w:val="nil"/>
              <w:bottom w:val="single" w:sz="2" w:space="0" w:color="auto"/>
              <w:right w:val="nil"/>
            </w:tcBorders>
            <w:vAlign w:val="bottom"/>
          </w:tcPr>
          <w:p w14:paraId="6BAE8FD4" w14:textId="25E5B1BC" w:rsidR="00C377E9" w:rsidRPr="004A5792" w:rsidRDefault="00C377E9" w:rsidP="00C377E9">
            <w:pPr>
              <w:pStyle w:val="TableText"/>
              <w:tabs>
                <w:tab w:val="left" w:pos="3306"/>
              </w:tabs>
              <w:jc w:val="right"/>
              <w:rPr>
                <w:rFonts w:cs="Calibri"/>
                <w:b/>
                <w:bCs/>
              </w:rPr>
            </w:pPr>
          </w:p>
        </w:tc>
        <w:tc>
          <w:tcPr>
            <w:tcW w:w="1134" w:type="dxa"/>
            <w:gridSpan w:val="2"/>
            <w:tcBorders>
              <w:top w:val="single" w:sz="2" w:space="0" w:color="auto"/>
              <w:left w:val="nil"/>
              <w:bottom w:val="single" w:sz="2" w:space="0" w:color="auto"/>
              <w:right w:val="nil"/>
            </w:tcBorders>
          </w:tcPr>
          <w:p w14:paraId="22D0B4ED" w14:textId="6DF9DED0" w:rsidR="00C377E9" w:rsidRPr="004A5792" w:rsidRDefault="00C377E9" w:rsidP="00C377E9">
            <w:pPr>
              <w:pStyle w:val="TableText"/>
              <w:tabs>
                <w:tab w:val="left" w:pos="3306"/>
              </w:tabs>
              <w:jc w:val="right"/>
              <w:rPr>
                <w:rFonts w:cs="Calibri"/>
                <w:b/>
                <w:bCs/>
              </w:rPr>
            </w:pPr>
          </w:p>
        </w:tc>
        <w:tc>
          <w:tcPr>
            <w:tcW w:w="1276" w:type="dxa"/>
            <w:gridSpan w:val="2"/>
            <w:tcBorders>
              <w:top w:val="single" w:sz="2" w:space="0" w:color="auto"/>
              <w:left w:val="nil"/>
              <w:bottom w:val="single" w:sz="2" w:space="0" w:color="auto"/>
              <w:right w:val="nil"/>
            </w:tcBorders>
            <w:vAlign w:val="bottom"/>
          </w:tcPr>
          <w:p w14:paraId="3BB99F52" w14:textId="282D53F0" w:rsidR="00C377E9" w:rsidRPr="004A5792" w:rsidRDefault="00C377E9" w:rsidP="00C377E9">
            <w:pPr>
              <w:pStyle w:val="TableText"/>
              <w:tabs>
                <w:tab w:val="left" w:pos="3306"/>
              </w:tabs>
              <w:jc w:val="right"/>
              <w:rPr>
                <w:rFonts w:cs="Calibri"/>
                <w:b/>
                <w:bCs/>
              </w:rPr>
            </w:pPr>
          </w:p>
        </w:tc>
        <w:tc>
          <w:tcPr>
            <w:tcW w:w="1300" w:type="dxa"/>
            <w:gridSpan w:val="2"/>
            <w:tcBorders>
              <w:top w:val="single" w:sz="2" w:space="0" w:color="auto"/>
              <w:left w:val="nil"/>
              <w:bottom w:val="single" w:sz="2" w:space="0" w:color="auto"/>
              <w:right w:val="nil"/>
            </w:tcBorders>
            <w:vAlign w:val="bottom"/>
          </w:tcPr>
          <w:p w14:paraId="5B21E19B" w14:textId="2F09DB43" w:rsidR="00C377E9" w:rsidRPr="004A5792" w:rsidRDefault="00C377E9" w:rsidP="00C377E9">
            <w:pPr>
              <w:pStyle w:val="TableText"/>
              <w:tabs>
                <w:tab w:val="left" w:pos="3306"/>
              </w:tabs>
              <w:jc w:val="right"/>
              <w:rPr>
                <w:rFonts w:cs="Calibri"/>
                <w:b/>
                <w:bCs/>
              </w:rPr>
            </w:pPr>
          </w:p>
        </w:tc>
        <w:tc>
          <w:tcPr>
            <w:tcW w:w="1235" w:type="dxa"/>
            <w:gridSpan w:val="2"/>
            <w:tcBorders>
              <w:top w:val="single" w:sz="2" w:space="0" w:color="auto"/>
              <w:left w:val="nil"/>
              <w:bottom w:val="single" w:sz="2" w:space="0" w:color="auto"/>
              <w:right w:val="nil"/>
            </w:tcBorders>
            <w:vAlign w:val="bottom"/>
          </w:tcPr>
          <w:p w14:paraId="3DD8E8D3" w14:textId="299E4BAF" w:rsidR="00C377E9" w:rsidRPr="004A5792" w:rsidRDefault="00C377E9" w:rsidP="00C377E9">
            <w:pPr>
              <w:pStyle w:val="TableText"/>
              <w:tabs>
                <w:tab w:val="left" w:pos="3306"/>
              </w:tabs>
              <w:jc w:val="right"/>
              <w:rPr>
                <w:rFonts w:cs="Calibri"/>
                <w:b/>
                <w:bCs/>
              </w:rPr>
            </w:pPr>
          </w:p>
        </w:tc>
      </w:tr>
    </w:tbl>
    <w:p w14:paraId="13B52544" w14:textId="77777777" w:rsidR="00863311" w:rsidRPr="00253798" w:rsidRDefault="00863311" w:rsidP="00863311">
      <w:pPr>
        <w:rPr>
          <w:rFonts w:cs="Calibri"/>
          <w:szCs w:val="24"/>
        </w:rPr>
      </w:pPr>
    </w:p>
    <w:p w14:paraId="27636D4F" w14:textId="77777777" w:rsidR="00863311" w:rsidRPr="00CF7E1B" w:rsidRDefault="00863311" w:rsidP="00863311">
      <w:pPr>
        <w:pStyle w:val="TableReference"/>
        <w:tabs>
          <w:tab w:val="left" w:pos="3306"/>
        </w:tabs>
        <w:spacing w:before="40"/>
        <w:rPr>
          <w:rFonts w:cs="Calibri"/>
        </w:rPr>
        <w:sectPr w:rsidR="00863311" w:rsidRPr="00CF7E1B" w:rsidSect="004514CD">
          <w:footerReference w:type="default" r:id="rId43"/>
          <w:footnotePr>
            <w:numRestart w:val="eachPage"/>
          </w:footnotePr>
          <w:pgSz w:w="16840" w:h="11907" w:orient="landscape" w:code="9"/>
          <w:pgMar w:top="680" w:right="680" w:bottom="680" w:left="680" w:header="567" w:footer="284" w:gutter="0"/>
          <w:cols w:space="720"/>
        </w:sectPr>
      </w:pPr>
    </w:p>
    <w:tbl>
      <w:tblPr>
        <w:tblW w:w="4978" w:type="pct"/>
        <w:tblInd w:w="-6" w:type="dxa"/>
        <w:tblLook w:val="00A0" w:firstRow="1" w:lastRow="0" w:firstColumn="1" w:lastColumn="0" w:noHBand="0" w:noVBand="0"/>
      </w:tblPr>
      <w:tblGrid>
        <w:gridCol w:w="1563"/>
        <w:gridCol w:w="5693"/>
        <w:gridCol w:w="12"/>
        <w:gridCol w:w="1555"/>
        <w:gridCol w:w="6"/>
        <w:gridCol w:w="1669"/>
      </w:tblGrid>
      <w:tr w:rsidR="00863311" w:rsidRPr="00CF7E1B" w14:paraId="22C14012" w14:textId="77777777" w:rsidTr="00D919F2">
        <w:trPr>
          <w:cantSplit/>
          <w:trHeight w:val="385"/>
        </w:trPr>
        <w:tc>
          <w:tcPr>
            <w:tcW w:w="1563" w:type="dxa"/>
            <w:tcBorders>
              <w:left w:val="single" w:sz="2" w:space="0" w:color="auto"/>
              <w:right w:val="single" w:sz="2" w:space="0" w:color="auto"/>
            </w:tcBorders>
          </w:tcPr>
          <w:p w14:paraId="409894C9" w14:textId="77777777" w:rsidR="00863311" w:rsidRPr="00855BC7" w:rsidRDefault="006F4815" w:rsidP="005D3C33">
            <w:pPr>
              <w:pStyle w:val="TableReference"/>
              <w:tabs>
                <w:tab w:val="left" w:pos="3306"/>
              </w:tabs>
              <w:spacing w:before="240" w:after="240"/>
              <w:rPr>
                <w:rFonts w:asciiTheme="minorHAnsi" w:hAnsiTheme="minorHAnsi" w:cstheme="minorHAnsi"/>
                <w:b/>
                <w:color w:val="7030A0"/>
                <w:sz w:val="22"/>
                <w:szCs w:val="22"/>
              </w:rPr>
            </w:pPr>
            <w:r w:rsidRPr="00855BC7">
              <w:rPr>
                <w:rFonts w:asciiTheme="minorHAnsi" w:hAnsiTheme="minorHAnsi" w:cstheme="minorHAnsi"/>
                <w:b/>
                <w:color w:val="7030A0"/>
                <w:sz w:val="22"/>
                <w:szCs w:val="22"/>
              </w:rPr>
              <w:t>Reference</w:t>
            </w:r>
          </w:p>
        </w:tc>
        <w:tc>
          <w:tcPr>
            <w:tcW w:w="8935" w:type="dxa"/>
            <w:gridSpan w:val="5"/>
            <w:tcBorders>
              <w:left w:val="single" w:sz="2" w:space="0" w:color="auto"/>
            </w:tcBorders>
            <w:vAlign w:val="bottom"/>
          </w:tcPr>
          <w:p w14:paraId="3890B6CA" w14:textId="474934FB" w:rsidR="00863311" w:rsidRPr="004A5792" w:rsidRDefault="005F62CB" w:rsidP="005F62CB">
            <w:pPr>
              <w:pStyle w:val="TableText"/>
              <w:spacing w:before="240" w:after="240"/>
              <w:rPr>
                <w:rFonts w:cs="Calibri"/>
                <w:b/>
                <w:bCs/>
                <w:caps/>
                <w:sz w:val="24"/>
              </w:rPr>
            </w:pPr>
            <w:r w:rsidRPr="004A5792">
              <w:rPr>
                <w:rFonts w:ascii="Arial" w:hAnsi="Arial" w:cs="Arial"/>
                <w:b/>
                <w:sz w:val="32"/>
                <w:szCs w:val="32"/>
              </w:rPr>
              <w:t xml:space="preserve">NOTE </w:t>
            </w:r>
            <w:r w:rsidR="000E2959" w:rsidRPr="004A5792">
              <w:rPr>
                <w:rFonts w:ascii="Arial" w:hAnsi="Arial" w:cs="Arial"/>
                <w:b/>
                <w:sz w:val="32"/>
                <w:szCs w:val="32"/>
              </w:rPr>
              <w:t>5</w:t>
            </w:r>
            <w:r w:rsidR="00A05D1E">
              <w:rPr>
                <w:rFonts w:ascii="Arial" w:hAnsi="Arial" w:cs="Arial"/>
                <w:b/>
                <w:sz w:val="32"/>
                <w:szCs w:val="32"/>
              </w:rPr>
              <w:t>3</w:t>
            </w:r>
            <w:r w:rsidRPr="004A5792">
              <w:rPr>
                <w:rFonts w:ascii="Arial" w:hAnsi="Arial" w:cs="Arial"/>
                <w:b/>
                <w:sz w:val="32"/>
                <w:szCs w:val="32"/>
              </w:rPr>
              <w:t>.</w:t>
            </w:r>
            <w:r w:rsidR="00FA7C77">
              <w:rPr>
                <w:rFonts w:ascii="Arial" w:hAnsi="Arial" w:cs="Arial"/>
                <w:b/>
                <w:sz w:val="32"/>
                <w:szCs w:val="32"/>
              </w:rPr>
              <w:t xml:space="preserve"> </w:t>
            </w:r>
            <w:r w:rsidRPr="004A5792">
              <w:rPr>
                <w:rFonts w:ascii="Arial" w:hAnsi="Arial" w:cs="Arial"/>
                <w:b/>
                <w:sz w:val="32"/>
                <w:szCs w:val="32"/>
              </w:rPr>
              <w:t xml:space="preserve"> FINANCIAL INSTRUMENTS – TERRITORIAL – CONTINUED</w:t>
            </w:r>
          </w:p>
        </w:tc>
      </w:tr>
      <w:tr w:rsidR="00863311" w:rsidRPr="00CF7E1B" w14:paraId="3E1B1591" w14:textId="77777777" w:rsidTr="00D919F2">
        <w:trPr>
          <w:cantSplit/>
          <w:trHeight w:val="20"/>
        </w:trPr>
        <w:tc>
          <w:tcPr>
            <w:tcW w:w="1563" w:type="dxa"/>
            <w:tcBorders>
              <w:left w:val="single" w:sz="2" w:space="0" w:color="auto"/>
              <w:bottom w:val="nil"/>
              <w:right w:val="single" w:sz="2" w:space="0" w:color="auto"/>
            </w:tcBorders>
          </w:tcPr>
          <w:p w14:paraId="6AC3C076" w14:textId="77777777" w:rsidR="00863311" w:rsidRPr="00855BC7" w:rsidRDefault="00863311" w:rsidP="00D50F69">
            <w:pPr>
              <w:pStyle w:val="TableReference"/>
              <w:tabs>
                <w:tab w:val="left" w:pos="3306"/>
              </w:tabs>
              <w:rPr>
                <w:rFonts w:cs="Calibri"/>
                <w:color w:val="7030A0"/>
                <w:sz w:val="14"/>
              </w:rPr>
            </w:pPr>
            <w:bookmarkStart w:id="1006" w:name="_Hlk98672483"/>
          </w:p>
        </w:tc>
        <w:tc>
          <w:tcPr>
            <w:tcW w:w="5693" w:type="dxa"/>
            <w:tcBorders>
              <w:left w:val="single" w:sz="2" w:space="0" w:color="auto"/>
              <w:bottom w:val="nil"/>
              <w:right w:val="nil"/>
            </w:tcBorders>
            <w:vAlign w:val="bottom"/>
          </w:tcPr>
          <w:p w14:paraId="72BB6B78" w14:textId="77777777" w:rsidR="00863311" w:rsidRPr="004A5792" w:rsidRDefault="00863311" w:rsidP="00863311">
            <w:pPr>
              <w:pStyle w:val="TableText"/>
              <w:tabs>
                <w:tab w:val="left" w:pos="3306"/>
              </w:tabs>
              <w:rPr>
                <w:rFonts w:cs="Calibri"/>
              </w:rPr>
            </w:pPr>
          </w:p>
        </w:tc>
        <w:tc>
          <w:tcPr>
            <w:tcW w:w="1567" w:type="dxa"/>
            <w:gridSpan w:val="2"/>
            <w:tcBorders>
              <w:left w:val="nil"/>
              <w:right w:val="nil"/>
            </w:tcBorders>
            <w:vAlign w:val="bottom"/>
          </w:tcPr>
          <w:p w14:paraId="7FA68BB9" w14:textId="77777777" w:rsidR="00BB62BB" w:rsidRDefault="005709FA" w:rsidP="00863311">
            <w:pPr>
              <w:pStyle w:val="TableTitle"/>
              <w:tabs>
                <w:tab w:val="left" w:pos="3306"/>
              </w:tabs>
              <w:rPr>
                <w:rFonts w:cs="Calibri"/>
              </w:rPr>
            </w:pPr>
            <w:r w:rsidRPr="004A5792">
              <w:rPr>
                <w:rFonts w:cs="Calibri"/>
              </w:rPr>
              <w:t>2022</w:t>
            </w:r>
            <w:r w:rsidR="00FA7C77">
              <w:rPr>
                <w:rFonts w:cs="Calibri"/>
              </w:rPr>
              <w:t xml:space="preserve">     </w:t>
            </w:r>
          </w:p>
          <w:p w14:paraId="57393167" w14:textId="1446EAB3" w:rsidR="00863311" w:rsidRPr="004A5792" w:rsidRDefault="00FA7C77" w:rsidP="00863311">
            <w:pPr>
              <w:pStyle w:val="TableTitle"/>
              <w:tabs>
                <w:tab w:val="left" w:pos="3306"/>
              </w:tabs>
              <w:rPr>
                <w:rFonts w:cs="Calibri"/>
              </w:rPr>
            </w:pPr>
            <w:r>
              <w:rPr>
                <w:rFonts w:cs="Calibri"/>
              </w:rPr>
              <w:t xml:space="preserve">  </w:t>
            </w:r>
            <w:r w:rsidR="00D51EF3" w:rsidRPr="004A5792">
              <w:rPr>
                <w:rFonts w:cs="Calibri"/>
              </w:rPr>
              <w:t xml:space="preserve"> </w:t>
            </w:r>
            <w:r w:rsidR="00863311" w:rsidRPr="004A5792">
              <w:rPr>
                <w:rFonts w:cs="Calibri"/>
              </w:rPr>
              <w:t>$’000</w:t>
            </w:r>
          </w:p>
        </w:tc>
        <w:tc>
          <w:tcPr>
            <w:tcW w:w="1675" w:type="dxa"/>
            <w:gridSpan w:val="2"/>
            <w:tcBorders>
              <w:left w:val="nil"/>
            </w:tcBorders>
            <w:vAlign w:val="bottom"/>
          </w:tcPr>
          <w:p w14:paraId="48292CF6" w14:textId="25FED1C8" w:rsidR="00863311" w:rsidRPr="004A5792" w:rsidRDefault="007B26BF" w:rsidP="00863311">
            <w:pPr>
              <w:pStyle w:val="TableTitle"/>
              <w:tabs>
                <w:tab w:val="left" w:pos="3306"/>
              </w:tabs>
              <w:rPr>
                <w:rFonts w:cs="Calibri"/>
              </w:rPr>
            </w:pPr>
            <w:r w:rsidRPr="004A5792">
              <w:rPr>
                <w:rFonts w:cs="Calibri"/>
              </w:rPr>
              <w:t>2021</w:t>
            </w:r>
          </w:p>
          <w:p w14:paraId="6EAEAC76" w14:textId="77777777" w:rsidR="00863311" w:rsidRPr="004A5792" w:rsidRDefault="00863311" w:rsidP="00863311">
            <w:pPr>
              <w:pStyle w:val="TableTitle"/>
              <w:tabs>
                <w:tab w:val="left" w:pos="3306"/>
              </w:tabs>
              <w:rPr>
                <w:rFonts w:cs="Calibri"/>
              </w:rPr>
            </w:pPr>
            <w:r w:rsidRPr="004A5792">
              <w:rPr>
                <w:rFonts w:cs="Calibri"/>
              </w:rPr>
              <w:t>$’000</w:t>
            </w:r>
          </w:p>
        </w:tc>
      </w:tr>
      <w:bookmarkEnd w:id="1006"/>
      <w:tr w:rsidR="00863311" w:rsidRPr="00CF7E1B" w14:paraId="7DBB0A84" w14:textId="77777777" w:rsidTr="00D919F2">
        <w:trPr>
          <w:cantSplit/>
          <w:trHeight w:val="20"/>
        </w:trPr>
        <w:tc>
          <w:tcPr>
            <w:tcW w:w="1563" w:type="dxa"/>
            <w:tcBorders>
              <w:top w:val="nil"/>
              <w:left w:val="single" w:sz="2" w:space="0" w:color="auto"/>
              <w:bottom w:val="nil"/>
              <w:right w:val="single" w:sz="2" w:space="0" w:color="auto"/>
            </w:tcBorders>
          </w:tcPr>
          <w:p w14:paraId="30172854" w14:textId="77777777" w:rsidR="00863311" w:rsidRPr="00855BC7" w:rsidRDefault="00863311" w:rsidP="00863311">
            <w:pPr>
              <w:pStyle w:val="TableReference"/>
              <w:tabs>
                <w:tab w:val="left" w:pos="3306"/>
              </w:tabs>
              <w:spacing w:before="40"/>
              <w:rPr>
                <w:rFonts w:cs="Calibri"/>
                <w:color w:val="7030A0"/>
                <w:sz w:val="14"/>
              </w:rPr>
            </w:pPr>
          </w:p>
        </w:tc>
        <w:tc>
          <w:tcPr>
            <w:tcW w:w="5693" w:type="dxa"/>
            <w:tcBorders>
              <w:top w:val="nil"/>
              <w:left w:val="single" w:sz="2" w:space="0" w:color="auto"/>
              <w:bottom w:val="nil"/>
              <w:right w:val="nil"/>
            </w:tcBorders>
            <w:vAlign w:val="bottom"/>
          </w:tcPr>
          <w:p w14:paraId="0372F164" w14:textId="2940F09D" w:rsidR="00863311" w:rsidRPr="004A5792" w:rsidRDefault="00863311" w:rsidP="00863311">
            <w:pPr>
              <w:pStyle w:val="TableText"/>
              <w:tabs>
                <w:tab w:val="left" w:pos="3306"/>
              </w:tabs>
              <w:rPr>
                <w:rFonts w:cs="Calibri"/>
                <w:b/>
              </w:rPr>
            </w:pPr>
            <w:r w:rsidRPr="004A5792">
              <w:rPr>
                <w:rFonts w:cs="Calibri"/>
                <w:b/>
              </w:rPr>
              <w:t>Carrying Amount of Each Class of Financial Liability</w:t>
            </w:r>
            <w:r w:rsidR="007D2E61" w:rsidRPr="004A5792">
              <w:rPr>
                <w:rFonts w:cs="Calibri"/>
                <w:b/>
              </w:rPr>
              <w:t>:</w:t>
            </w:r>
          </w:p>
        </w:tc>
        <w:tc>
          <w:tcPr>
            <w:tcW w:w="1567" w:type="dxa"/>
            <w:gridSpan w:val="2"/>
            <w:tcBorders>
              <w:top w:val="nil"/>
              <w:left w:val="nil"/>
              <w:right w:val="nil"/>
            </w:tcBorders>
            <w:vAlign w:val="bottom"/>
          </w:tcPr>
          <w:p w14:paraId="6BA338C1" w14:textId="77777777" w:rsidR="00863311" w:rsidRPr="00CF7E1B" w:rsidRDefault="00863311" w:rsidP="00863311">
            <w:pPr>
              <w:pStyle w:val="TableTitle"/>
              <w:tabs>
                <w:tab w:val="left" w:pos="3306"/>
              </w:tabs>
              <w:rPr>
                <w:rFonts w:cs="Calibri"/>
              </w:rPr>
            </w:pPr>
          </w:p>
        </w:tc>
        <w:tc>
          <w:tcPr>
            <w:tcW w:w="1675" w:type="dxa"/>
            <w:gridSpan w:val="2"/>
            <w:tcBorders>
              <w:top w:val="nil"/>
              <w:left w:val="nil"/>
            </w:tcBorders>
            <w:vAlign w:val="bottom"/>
          </w:tcPr>
          <w:p w14:paraId="6FC5437D" w14:textId="77777777" w:rsidR="00863311" w:rsidRPr="00CF7E1B" w:rsidRDefault="00863311" w:rsidP="00863311">
            <w:pPr>
              <w:pStyle w:val="TableTitle"/>
              <w:tabs>
                <w:tab w:val="left" w:pos="3306"/>
              </w:tabs>
              <w:rPr>
                <w:rFonts w:cs="Calibri"/>
              </w:rPr>
            </w:pPr>
          </w:p>
        </w:tc>
      </w:tr>
      <w:tr w:rsidR="00863311" w:rsidRPr="00CF7E1B" w14:paraId="30DB9158" w14:textId="77777777" w:rsidTr="00D919F2">
        <w:trPr>
          <w:cantSplit/>
          <w:trHeight w:val="20"/>
        </w:trPr>
        <w:tc>
          <w:tcPr>
            <w:tcW w:w="1563" w:type="dxa"/>
            <w:tcBorders>
              <w:top w:val="nil"/>
              <w:left w:val="single" w:sz="2" w:space="0" w:color="auto"/>
              <w:bottom w:val="nil"/>
              <w:right w:val="single" w:sz="2" w:space="0" w:color="auto"/>
            </w:tcBorders>
          </w:tcPr>
          <w:p w14:paraId="67C29C26" w14:textId="77777777" w:rsidR="00863311" w:rsidRPr="00855BC7" w:rsidRDefault="00863311" w:rsidP="00863311">
            <w:pPr>
              <w:pStyle w:val="TableReference"/>
              <w:tabs>
                <w:tab w:val="left" w:pos="3306"/>
              </w:tabs>
              <w:spacing w:before="40"/>
              <w:rPr>
                <w:rFonts w:cs="Calibri"/>
                <w:color w:val="7030A0"/>
                <w:sz w:val="14"/>
              </w:rPr>
            </w:pPr>
          </w:p>
        </w:tc>
        <w:tc>
          <w:tcPr>
            <w:tcW w:w="5693" w:type="dxa"/>
            <w:tcBorders>
              <w:top w:val="nil"/>
              <w:left w:val="single" w:sz="2" w:space="0" w:color="auto"/>
              <w:bottom w:val="nil"/>
              <w:right w:val="nil"/>
            </w:tcBorders>
            <w:vAlign w:val="bottom"/>
          </w:tcPr>
          <w:p w14:paraId="2FED4056" w14:textId="77777777" w:rsidR="00863311" w:rsidRPr="004A5792" w:rsidRDefault="00863311" w:rsidP="00863311">
            <w:pPr>
              <w:pStyle w:val="TableText"/>
              <w:tabs>
                <w:tab w:val="left" w:pos="3306"/>
              </w:tabs>
              <w:rPr>
                <w:rFonts w:cs="Calibri"/>
                <w:b/>
                <w:iCs/>
              </w:rPr>
            </w:pPr>
            <w:r w:rsidRPr="004A5792">
              <w:rPr>
                <w:rFonts w:cs="Calibri"/>
                <w:b/>
                <w:iCs/>
              </w:rPr>
              <w:t>Financial Liabilities</w:t>
            </w:r>
          </w:p>
        </w:tc>
        <w:tc>
          <w:tcPr>
            <w:tcW w:w="1567" w:type="dxa"/>
            <w:gridSpan w:val="2"/>
            <w:tcBorders>
              <w:top w:val="nil"/>
              <w:left w:val="nil"/>
              <w:right w:val="nil"/>
            </w:tcBorders>
            <w:vAlign w:val="bottom"/>
          </w:tcPr>
          <w:p w14:paraId="3BC9F79D" w14:textId="77777777" w:rsidR="00863311" w:rsidRPr="00CF7E1B" w:rsidRDefault="00863311" w:rsidP="00863311">
            <w:pPr>
              <w:pStyle w:val="TableTitle"/>
              <w:tabs>
                <w:tab w:val="left" w:pos="3306"/>
              </w:tabs>
              <w:rPr>
                <w:rFonts w:cs="Calibri"/>
              </w:rPr>
            </w:pPr>
          </w:p>
        </w:tc>
        <w:tc>
          <w:tcPr>
            <w:tcW w:w="1675" w:type="dxa"/>
            <w:gridSpan w:val="2"/>
            <w:tcBorders>
              <w:top w:val="nil"/>
              <w:left w:val="nil"/>
            </w:tcBorders>
            <w:vAlign w:val="bottom"/>
          </w:tcPr>
          <w:p w14:paraId="4E2D09BE" w14:textId="77777777" w:rsidR="00863311" w:rsidRPr="00CF7E1B" w:rsidRDefault="00863311" w:rsidP="00863311">
            <w:pPr>
              <w:pStyle w:val="TableTitle"/>
              <w:tabs>
                <w:tab w:val="left" w:pos="3306"/>
              </w:tabs>
              <w:rPr>
                <w:rFonts w:cs="Calibri"/>
              </w:rPr>
            </w:pPr>
          </w:p>
        </w:tc>
      </w:tr>
      <w:tr w:rsidR="00863311" w:rsidRPr="00CF7E1B" w14:paraId="7332CF64" w14:textId="77777777" w:rsidTr="00D919F2">
        <w:trPr>
          <w:cantSplit/>
          <w:trHeight w:val="20"/>
        </w:trPr>
        <w:tc>
          <w:tcPr>
            <w:tcW w:w="1563" w:type="dxa"/>
            <w:tcBorders>
              <w:top w:val="nil"/>
              <w:left w:val="single" w:sz="2" w:space="0" w:color="auto"/>
              <w:bottom w:val="nil"/>
              <w:right w:val="single" w:sz="2" w:space="0" w:color="auto"/>
            </w:tcBorders>
          </w:tcPr>
          <w:p w14:paraId="7263B635" w14:textId="77777777" w:rsidR="00863311" w:rsidRPr="00855BC7" w:rsidRDefault="00863311" w:rsidP="00863311">
            <w:pPr>
              <w:pStyle w:val="TableReference"/>
              <w:tabs>
                <w:tab w:val="left" w:pos="3306"/>
              </w:tabs>
              <w:spacing w:before="40"/>
              <w:rPr>
                <w:rFonts w:cs="Calibri"/>
                <w:color w:val="7030A0"/>
                <w:sz w:val="14"/>
              </w:rPr>
            </w:pPr>
          </w:p>
        </w:tc>
        <w:tc>
          <w:tcPr>
            <w:tcW w:w="5693" w:type="dxa"/>
            <w:tcBorders>
              <w:top w:val="nil"/>
              <w:left w:val="single" w:sz="2" w:space="0" w:color="auto"/>
              <w:bottom w:val="nil"/>
              <w:right w:val="nil"/>
            </w:tcBorders>
            <w:vAlign w:val="bottom"/>
          </w:tcPr>
          <w:p w14:paraId="7651F5E7" w14:textId="77777777" w:rsidR="00863311" w:rsidRPr="004A5792" w:rsidRDefault="00863311" w:rsidP="003559D6">
            <w:pPr>
              <w:pStyle w:val="TableText"/>
              <w:tabs>
                <w:tab w:val="left" w:pos="3306"/>
              </w:tabs>
              <w:spacing w:before="0" w:after="240"/>
              <w:rPr>
                <w:rFonts w:cs="Calibri"/>
              </w:rPr>
            </w:pPr>
            <w:r w:rsidRPr="004A5792">
              <w:rPr>
                <w:rFonts w:cs="Calibri"/>
              </w:rPr>
              <w:t>Financial Liabilities Measured at Amortised Cost</w:t>
            </w:r>
          </w:p>
        </w:tc>
        <w:tc>
          <w:tcPr>
            <w:tcW w:w="1567" w:type="dxa"/>
            <w:gridSpan w:val="2"/>
            <w:tcBorders>
              <w:top w:val="nil"/>
              <w:left w:val="nil"/>
              <w:right w:val="nil"/>
            </w:tcBorders>
            <w:vAlign w:val="bottom"/>
          </w:tcPr>
          <w:p w14:paraId="4153996D" w14:textId="1FFA4FCC" w:rsidR="00863311" w:rsidRPr="00CF7E1B" w:rsidRDefault="00863311" w:rsidP="00863311">
            <w:pPr>
              <w:pStyle w:val="TableTitle"/>
              <w:tabs>
                <w:tab w:val="left" w:pos="3306"/>
              </w:tabs>
              <w:rPr>
                <w:rFonts w:cs="Calibri"/>
                <w:b w:val="0"/>
              </w:rPr>
            </w:pPr>
          </w:p>
        </w:tc>
        <w:tc>
          <w:tcPr>
            <w:tcW w:w="1675" w:type="dxa"/>
            <w:gridSpan w:val="2"/>
            <w:tcBorders>
              <w:top w:val="nil"/>
              <w:left w:val="nil"/>
            </w:tcBorders>
            <w:vAlign w:val="bottom"/>
          </w:tcPr>
          <w:p w14:paraId="3F31C3D6" w14:textId="4224FC92" w:rsidR="00863311" w:rsidRPr="00CF7E1B" w:rsidRDefault="00863311" w:rsidP="00863311">
            <w:pPr>
              <w:pStyle w:val="TableTitle"/>
              <w:tabs>
                <w:tab w:val="left" w:pos="3306"/>
              </w:tabs>
              <w:rPr>
                <w:rFonts w:cs="Calibri"/>
                <w:b w:val="0"/>
              </w:rPr>
            </w:pPr>
          </w:p>
        </w:tc>
      </w:tr>
      <w:tr w:rsidR="003559D6" w:rsidRPr="00CF7E1B" w14:paraId="00731182" w14:textId="77777777" w:rsidTr="00D919F2">
        <w:trPr>
          <w:cantSplit/>
          <w:trHeight w:val="20"/>
        </w:trPr>
        <w:tc>
          <w:tcPr>
            <w:tcW w:w="1563" w:type="dxa"/>
            <w:tcBorders>
              <w:top w:val="nil"/>
              <w:left w:val="single" w:sz="2" w:space="0" w:color="auto"/>
              <w:bottom w:val="nil"/>
              <w:right w:val="single" w:sz="2" w:space="0" w:color="auto"/>
            </w:tcBorders>
          </w:tcPr>
          <w:p w14:paraId="734D3C9A" w14:textId="77777777" w:rsidR="003559D6" w:rsidRPr="00855BC7" w:rsidRDefault="003559D6" w:rsidP="00863311">
            <w:pPr>
              <w:pStyle w:val="TableReference"/>
              <w:tabs>
                <w:tab w:val="left" w:pos="3306"/>
              </w:tabs>
              <w:spacing w:before="40"/>
              <w:rPr>
                <w:rFonts w:cs="Calibri"/>
                <w:color w:val="7030A0"/>
                <w:sz w:val="14"/>
              </w:rPr>
            </w:pPr>
          </w:p>
        </w:tc>
        <w:tc>
          <w:tcPr>
            <w:tcW w:w="8935" w:type="dxa"/>
            <w:gridSpan w:val="5"/>
            <w:tcBorders>
              <w:top w:val="nil"/>
              <w:left w:val="single" w:sz="2" w:space="0" w:color="auto"/>
              <w:bottom w:val="nil"/>
            </w:tcBorders>
          </w:tcPr>
          <w:p w14:paraId="54A6074E" w14:textId="1D9846F4" w:rsidR="003559D6" w:rsidRPr="004A5792" w:rsidRDefault="003559D6" w:rsidP="003559D6">
            <w:pPr>
              <w:pStyle w:val="TableTitle"/>
              <w:tabs>
                <w:tab w:val="left" w:pos="3306"/>
              </w:tabs>
              <w:jc w:val="both"/>
              <w:rPr>
                <w:rFonts w:cs="Calibri"/>
                <w:b w:val="0"/>
                <w:bCs w:val="0"/>
              </w:rPr>
            </w:pPr>
            <w:r w:rsidRPr="004A5792">
              <w:rPr>
                <w:rFonts w:cs="Calibri"/>
                <w:b w:val="0"/>
                <w:bCs w:val="0"/>
              </w:rPr>
              <w:t>The Agency does not have any Territorial financial liabilities in the ‘Financial Liabilities at Fair Value through Profit and Loss’ category and, as such, this category is not included above.</w:t>
            </w:r>
            <w:r w:rsidR="00FA7C77">
              <w:rPr>
                <w:rFonts w:cs="Calibri"/>
                <w:b w:val="0"/>
                <w:bCs w:val="0"/>
              </w:rPr>
              <w:t xml:space="preserve"> </w:t>
            </w:r>
          </w:p>
        </w:tc>
      </w:tr>
      <w:tr w:rsidR="003559D6" w:rsidRPr="00CF7E1B" w14:paraId="4C1FC55A" w14:textId="77777777" w:rsidTr="00D919F2">
        <w:trPr>
          <w:cantSplit/>
          <w:trHeight w:val="20"/>
        </w:trPr>
        <w:tc>
          <w:tcPr>
            <w:tcW w:w="1563" w:type="dxa"/>
            <w:tcBorders>
              <w:top w:val="nil"/>
              <w:left w:val="single" w:sz="2" w:space="0" w:color="auto"/>
              <w:bottom w:val="nil"/>
              <w:right w:val="single" w:sz="2" w:space="0" w:color="auto"/>
            </w:tcBorders>
          </w:tcPr>
          <w:p w14:paraId="128C06D5" w14:textId="77777777" w:rsidR="003559D6" w:rsidRPr="00855BC7" w:rsidRDefault="003559D6" w:rsidP="00863311">
            <w:pPr>
              <w:pStyle w:val="TableReference"/>
              <w:tabs>
                <w:tab w:val="left" w:pos="3306"/>
              </w:tabs>
              <w:spacing w:before="40"/>
              <w:rPr>
                <w:rFonts w:cs="Calibri"/>
                <w:color w:val="7030A0"/>
                <w:sz w:val="14"/>
              </w:rPr>
            </w:pPr>
          </w:p>
        </w:tc>
        <w:tc>
          <w:tcPr>
            <w:tcW w:w="5693" w:type="dxa"/>
            <w:tcBorders>
              <w:top w:val="nil"/>
              <w:left w:val="single" w:sz="2" w:space="0" w:color="auto"/>
              <w:bottom w:val="nil"/>
              <w:right w:val="nil"/>
            </w:tcBorders>
            <w:vAlign w:val="bottom"/>
          </w:tcPr>
          <w:p w14:paraId="20EEDF24" w14:textId="77777777" w:rsidR="003559D6" w:rsidRPr="004A5792" w:rsidRDefault="003559D6" w:rsidP="00863311">
            <w:pPr>
              <w:pStyle w:val="TableText"/>
              <w:tabs>
                <w:tab w:val="left" w:pos="3306"/>
              </w:tabs>
              <w:rPr>
                <w:rFonts w:cs="Calibri"/>
                <w:b/>
                <w:bCs/>
              </w:rPr>
            </w:pPr>
          </w:p>
        </w:tc>
        <w:tc>
          <w:tcPr>
            <w:tcW w:w="1567" w:type="dxa"/>
            <w:gridSpan w:val="2"/>
            <w:tcBorders>
              <w:top w:val="nil"/>
              <w:left w:val="nil"/>
              <w:right w:val="nil"/>
            </w:tcBorders>
            <w:vAlign w:val="bottom"/>
          </w:tcPr>
          <w:p w14:paraId="06F31FAE" w14:textId="77777777" w:rsidR="003559D6" w:rsidRPr="00CF7E1B" w:rsidRDefault="003559D6" w:rsidP="00863311">
            <w:pPr>
              <w:pStyle w:val="TableTitle"/>
              <w:tabs>
                <w:tab w:val="left" w:pos="3306"/>
              </w:tabs>
              <w:rPr>
                <w:rFonts w:cs="Calibri"/>
              </w:rPr>
            </w:pPr>
          </w:p>
        </w:tc>
        <w:tc>
          <w:tcPr>
            <w:tcW w:w="1675" w:type="dxa"/>
            <w:gridSpan w:val="2"/>
            <w:tcBorders>
              <w:top w:val="nil"/>
              <w:left w:val="nil"/>
            </w:tcBorders>
            <w:vAlign w:val="bottom"/>
          </w:tcPr>
          <w:p w14:paraId="38130125" w14:textId="77777777" w:rsidR="003559D6" w:rsidRPr="00CF7E1B" w:rsidRDefault="003559D6" w:rsidP="00863311">
            <w:pPr>
              <w:pStyle w:val="TableTitle"/>
              <w:tabs>
                <w:tab w:val="left" w:pos="3306"/>
              </w:tabs>
              <w:rPr>
                <w:rFonts w:cs="Calibri"/>
              </w:rPr>
            </w:pPr>
          </w:p>
        </w:tc>
      </w:tr>
      <w:tr w:rsidR="00863311" w:rsidRPr="00CF7E1B" w14:paraId="2E66FB82" w14:textId="77777777" w:rsidTr="00D919F2">
        <w:trPr>
          <w:cantSplit/>
          <w:trHeight w:val="20"/>
        </w:trPr>
        <w:tc>
          <w:tcPr>
            <w:tcW w:w="1563" w:type="dxa"/>
            <w:tcBorders>
              <w:top w:val="nil"/>
              <w:left w:val="single" w:sz="2" w:space="0" w:color="auto"/>
              <w:bottom w:val="nil"/>
              <w:right w:val="single" w:sz="2" w:space="0" w:color="auto"/>
            </w:tcBorders>
          </w:tcPr>
          <w:p w14:paraId="7F4B29AF" w14:textId="77777777" w:rsidR="00863311" w:rsidRPr="00855BC7" w:rsidRDefault="00863311" w:rsidP="00863311">
            <w:pPr>
              <w:pStyle w:val="TableReference"/>
              <w:tabs>
                <w:tab w:val="left" w:pos="3306"/>
              </w:tabs>
              <w:spacing w:before="40"/>
              <w:rPr>
                <w:rFonts w:cs="Calibri"/>
                <w:color w:val="7030A0"/>
                <w:sz w:val="14"/>
              </w:rPr>
            </w:pPr>
          </w:p>
        </w:tc>
        <w:tc>
          <w:tcPr>
            <w:tcW w:w="5693" w:type="dxa"/>
            <w:tcBorders>
              <w:top w:val="nil"/>
              <w:left w:val="single" w:sz="2" w:space="0" w:color="auto"/>
              <w:bottom w:val="nil"/>
              <w:right w:val="nil"/>
            </w:tcBorders>
            <w:vAlign w:val="bottom"/>
          </w:tcPr>
          <w:p w14:paraId="018B103F" w14:textId="35BBD3F1" w:rsidR="00863311" w:rsidRPr="004A5792" w:rsidRDefault="00D50F69" w:rsidP="00863311">
            <w:pPr>
              <w:pStyle w:val="TableText"/>
              <w:tabs>
                <w:tab w:val="left" w:pos="3306"/>
              </w:tabs>
              <w:rPr>
                <w:rFonts w:cs="Calibri"/>
                <w:b/>
                <w:bCs/>
              </w:rPr>
            </w:pPr>
            <w:r w:rsidRPr="004A5792">
              <w:rPr>
                <w:rFonts w:cs="Calibri"/>
                <w:b/>
                <w:bCs/>
              </w:rPr>
              <w:t>Gains</w:t>
            </w:r>
            <w:r w:rsidR="003559D6" w:rsidRPr="004A5792">
              <w:rPr>
                <w:rFonts w:cs="Calibri"/>
                <w:b/>
                <w:bCs/>
              </w:rPr>
              <w:t xml:space="preserve">/ (Losses) </w:t>
            </w:r>
            <w:r w:rsidRPr="004A5792">
              <w:rPr>
                <w:rFonts w:cs="Calibri"/>
                <w:b/>
                <w:bCs/>
              </w:rPr>
              <w:t xml:space="preserve">on Each Class of </w:t>
            </w:r>
            <w:r w:rsidRPr="004A5792">
              <w:rPr>
                <w:rFonts w:cs="Calibri"/>
                <w:b/>
              </w:rPr>
              <w:t>Financial Liability:</w:t>
            </w:r>
          </w:p>
        </w:tc>
        <w:tc>
          <w:tcPr>
            <w:tcW w:w="1567" w:type="dxa"/>
            <w:gridSpan w:val="2"/>
            <w:tcBorders>
              <w:top w:val="nil"/>
              <w:left w:val="nil"/>
              <w:right w:val="nil"/>
            </w:tcBorders>
            <w:vAlign w:val="bottom"/>
          </w:tcPr>
          <w:p w14:paraId="4EFAE321" w14:textId="77777777" w:rsidR="00863311" w:rsidRPr="00CF7E1B" w:rsidRDefault="00863311" w:rsidP="00863311">
            <w:pPr>
              <w:pStyle w:val="TableTitle"/>
              <w:tabs>
                <w:tab w:val="left" w:pos="3306"/>
              </w:tabs>
              <w:rPr>
                <w:rFonts w:cs="Calibri"/>
              </w:rPr>
            </w:pPr>
          </w:p>
        </w:tc>
        <w:tc>
          <w:tcPr>
            <w:tcW w:w="1675" w:type="dxa"/>
            <w:gridSpan w:val="2"/>
            <w:tcBorders>
              <w:top w:val="nil"/>
              <w:left w:val="nil"/>
            </w:tcBorders>
            <w:vAlign w:val="bottom"/>
          </w:tcPr>
          <w:p w14:paraId="09E84335" w14:textId="77777777" w:rsidR="00863311" w:rsidRPr="00CF7E1B" w:rsidRDefault="00863311" w:rsidP="00863311">
            <w:pPr>
              <w:pStyle w:val="TableTitle"/>
              <w:tabs>
                <w:tab w:val="left" w:pos="3306"/>
              </w:tabs>
              <w:rPr>
                <w:rFonts w:cs="Calibri"/>
              </w:rPr>
            </w:pPr>
          </w:p>
        </w:tc>
      </w:tr>
      <w:tr w:rsidR="00863311" w:rsidRPr="00CF7E1B" w14:paraId="667667A9" w14:textId="77777777" w:rsidTr="00D919F2">
        <w:trPr>
          <w:cantSplit/>
          <w:trHeight w:val="20"/>
        </w:trPr>
        <w:tc>
          <w:tcPr>
            <w:tcW w:w="1563" w:type="dxa"/>
            <w:tcBorders>
              <w:top w:val="nil"/>
              <w:left w:val="single" w:sz="2" w:space="0" w:color="auto"/>
              <w:bottom w:val="nil"/>
              <w:right w:val="single" w:sz="2" w:space="0" w:color="auto"/>
            </w:tcBorders>
          </w:tcPr>
          <w:p w14:paraId="27CD5F5A" w14:textId="77777777" w:rsidR="00863311" w:rsidRPr="00855BC7" w:rsidRDefault="00863311" w:rsidP="00863311">
            <w:pPr>
              <w:pStyle w:val="TableReference"/>
              <w:tabs>
                <w:tab w:val="left" w:pos="3306"/>
              </w:tabs>
              <w:spacing w:before="40"/>
              <w:rPr>
                <w:rFonts w:cs="Calibri"/>
                <w:color w:val="7030A0"/>
                <w:sz w:val="14"/>
              </w:rPr>
            </w:pPr>
          </w:p>
        </w:tc>
        <w:tc>
          <w:tcPr>
            <w:tcW w:w="5693" w:type="dxa"/>
            <w:tcBorders>
              <w:top w:val="nil"/>
              <w:left w:val="single" w:sz="2" w:space="0" w:color="auto"/>
              <w:bottom w:val="nil"/>
              <w:right w:val="nil"/>
            </w:tcBorders>
            <w:vAlign w:val="bottom"/>
          </w:tcPr>
          <w:p w14:paraId="0CCFC382" w14:textId="6411B97B" w:rsidR="00863311" w:rsidRPr="004A5792" w:rsidRDefault="00863311" w:rsidP="00863311">
            <w:pPr>
              <w:pStyle w:val="TableText"/>
              <w:tabs>
                <w:tab w:val="left" w:pos="3306"/>
              </w:tabs>
              <w:rPr>
                <w:rFonts w:cs="Calibri"/>
                <w:b/>
                <w:iCs/>
              </w:rPr>
            </w:pPr>
            <w:r w:rsidRPr="004A5792">
              <w:rPr>
                <w:rFonts w:cs="Calibri"/>
                <w:b/>
                <w:iCs/>
              </w:rPr>
              <w:t>Gains</w:t>
            </w:r>
            <w:r w:rsidR="003559D6" w:rsidRPr="004A5792">
              <w:rPr>
                <w:rFonts w:cs="Calibri"/>
                <w:b/>
                <w:bCs/>
                <w:iCs/>
              </w:rPr>
              <w:t xml:space="preserve">/ (Losses) </w:t>
            </w:r>
            <w:r w:rsidRPr="004A5792">
              <w:rPr>
                <w:rFonts w:cs="Calibri"/>
                <w:b/>
                <w:iCs/>
              </w:rPr>
              <w:t>on Financial Liabilities</w:t>
            </w:r>
          </w:p>
        </w:tc>
        <w:tc>
          <w:tcPr>
            <w:tcW w:w="1567" w:type="dxa"/>
            <w:gridSpan w:val="2"/>
            <w:tcBorders>
              <w:top w:val="nil"/>
              <w:left w:val="nil"/>
              <w:right w:val="nil"/>
            </w:tcBorders>
            <w:vAlign w:val="bottom"/>
          </w:tcPr>
          <w:p w14:paraId="198C1477" w14:textId="77777777" w:rsidR="00863311" w:rsidRPr="00CF7E1B" w:rsidRDefault="00863311" w:rsidP="00863311">
            <w:pPr>
              <w:pStyle w:val="TableTitle"/>
              <w:tabs>
                <w:tab w:val="left" w:pos="3306"/>
              </w:tabs>
              <w:rPr>
                <w:rFonts w:cs="Calibri"/>
              </w:rPr>
            </w:pPr>
          </w:p>
        </w:tc>
        <w:tc>
          <w:tcPr>
            <w:tcW w:w="1675" w:type="dxa"/>
            <w:gridSpan w:val="2"/>
            <w:tcBorders>
              <w:top w:val="nil"/>
              <w:left w:val="nil"/>
            </w:tcBorders>
            <w:vAlign w:val="bottom"/>
          </w:tcPr>
          <w:p w14:paraId="2DF9E296" w14:textId="77777777" w:rsidR="00863311" w:rsidRPr="00CF7E1B" w:rsidRDefault="00863311" w:rsidP="00863311">
            <w:pPr>
              <w:pStyle w:val="TableTitle"/>
              <w:tabs>
                <w:tab w:val="left" w:pos="3306"/>
              </w:tabs>
              <w:rPr>
                <w:rFonts w:cs="Calibri"/>
              </w:rPr>
            </w:pPr>
          </w:p>
        </w:tc>
      </w:tr>
      <w:tr w:rsidR="00863311" w:rsidRPr="00CF7E1B" w14:paraId="193F4307" w14:textId="77777777" w:rsidTr="00D919F2">
        <w:trPr>
          <w:cantSplit/>
          <w:trHeight w:val="20"/>
        </w:trPr>
        <w:tc>
          <w:tcPr>
            <w:tcW w:w="1563" w:type="dxa"/>
            <w:tcBorders>
              <w:top w:val="nil"/>
              <w:left w:val="single" w:sz="2" w:space="0" w:color="auto"/>
              <w:bottom w:val="nil"/>
              <w:right w:val="single" w:sz="2" w:space="0" w:color="auto"/>
            </w:tcBorders>
          </w:tcPr>
          <w:p w14:paraId="6773B00F" w14:textId="77777777" w:rsidR="00863311" w:rsidRPr="00855BC7" w:rsidRDefault="00863311" w:rsidP="00863311">
            <w:pPr>
              <w:pStyle w:val="TableReference"/>
              <w:tabs>
                <w:tab w:val="left" w:pos="3306"/>
              </w:tabs>
              <w:spacing w:before="40"/>
              <w:rPr>
                <w:rFonts w:cs="Calibri"/>
                <w:color w:val="7030A0"/>
                <w:sz w:val="14"/>
              </w:rPr>
            </w:pPr>
          </w:p>
        </w:tc>
        <w:tc>
          <w:tcPr>
            <w:tcW w:w="5693" w:type="dxa"/>
            <w:tcBorders>
              <w:top w:val="nil"/>
              <w:left w:val="single" w:sz="2" w:space="0" w:color="auto"/>
              <w:bottom w:val="nil"/>
              <w:right w:val="nil"/>
            </w:tcBorders>
            <w:vAlign w:val="bottom"/>
          </w:tcPr>
          <w:p w14:paraId="5C361E57" w14:textId="77777777" w:rsidR="00863311" w:rsidRPr="004A5792" w:rsidRDefault="00863311" w:rsidP="007D2E61">
            <w:pPr>
              <w:pStyle w:val="TableText"/>
              <w:tabs>
                <w:tab w:val="left" w:pos="3306"/>
              </w:tabs>
              <w:spacing w:before="0"/>
              <w:rPr>
                <w:rFonts w:cs="Calibri"/>
              </w:rPr>
            </w:pPr>
            <w:r w:rsidRPr="004A5792">
              <w:rPr>
                <w:rFonts w:cs="Calibri"/>
              </w:rPr>
              <w:t>Financial Liabilities Measured at Amortised Cost</w:t>
            </w:r>
          </w:p>
        </w:tc>
        <w:tc>
          <w:tcPr>
            <w:tcW w:w="1567" w:type="dxa"/>
            <w:gridSpan w:val="2"/>
            <w:tcBorders>
              <w:top w:val="nil"/>
              <w:left w:val="nil"/>
              <w:right w:val="nil"/>
            </w:tcBorders>
            <w:vAlign w:val="bottom"/>
          </w:tcPr>
          <w:p w14:paraId="2336E937" w14:textId="4930121D" w:rsidR="00863311" w:rsidRPr="00CF7E1B" w:rsidRDefault="00863311" w:rsidP="00863311">
            <w:pPr>
              <w:pStyle w:val="TableTitle"/>
              <w:tabs>
                <w:tab w:val="left" w:pos="3306"/>
              </w:tabs>
              <w:rPr>
                <w:rFonts w:cs="Calibri"/>
              </w:rPr>
            </w:pPr>
          </w:p>
        </w:tc>
        <w:tc>
          <w:tcPr>
            <w:tcW w:w="1675" w:type="dxa"/>
            <w:gridSpan w:val="2"/>
            <w:tcBorders>
              <w:top w:val="nil"/>
              <w:left w:val="nil"/>
            </w:tcBorders>
            <w:vAlign w:val="bottom"/>
          </w:tcPr>
          <w:p w14:paraId="0C9DB541" w14:textId="5A1094FA" w:rsidR="00863311" w:rsidRPr="00CF7E1B" w:rsidRDefault="00863311" w:rsidP="00863311">
            <w:pPr>
              <w:pStyle w:val="TableTitle"/>
              <w:tabs>
                <w:tab w:val="left" w:pos="3306"/>
              </w:tabs>
              <w:rPr>
                <w:rFonts w:cs="Calibri"/>
              </w:rPr>
            </w:pPr>
          </w:p>
        </w:tc>
      </w:tr>
      <w:tr w:rsidR="00D51EF3" w:rsidRPr="00CF7E1B" w14:paraId="11529EEF" w14:textId="77777777" w:rsidTr="00D919F2">
        <w:trPr>
          <w:cantSplit/>
          <w:trHeight w:val="20"/>
        </w:trPr>
        <w:tc>
          <w:tcPr>
            <w:tcW w:w="1563" w:type="dxa"/>
            <w:tcBorders>
              <w:top w:val="nil"/>
              <w:left w:val="single" w:sz="2" w:space="0" w:color="auto"/>
              <w:bottom w:val="nil"/>
              <w:right w:val="single" w:sz="2" w:space="0" w:color="auto"/>
            </w:tcBorders>
          </w:tcPr>
          <w:p w14:paraId="74A58B09" w14:textId="77777777" w:rsidR="00D51EF3" w:rsidRPr="00855BC7" w:rsidRDefault="00D51EF3" w:rsidP="00863311">
            <w:pPr>
              <w:pStyle w:val="TableReference"/>
              <w:tabs>
                <w:tab w:val="left" w:pos="3306"/>
              </w:tabs>
              <w:spacing w:before="40"/>
              <w:rPr>
                <w:rFonts w:cs="Calibri"/>
                <w:color w:val="7030A0"/>
                <w:sz w:val="14"/>
              </w:rPr>
            </w:pPr>
          </w:p>
        </w:tc>
        <w:tc>
          <w:tcPr>
            <w:tcW w:w="5693" w:type="dxa"/>
            <w:tcBorders>
              <w:top w:val="nil"/>
              <w:left w:val="single" w:sz="2" w:space="0" w:color="auto"/>
              <w:bottom w:val="nil"/>
              <w:right w:val="nil"/>
            </w:tcBorders>
            <w:vAlign w:val="bottom"/>
          </w:tcPr>
          <w:p w14:paraId="0DD3D52E" w14:textId="77777777" w:rsidR="00D51EF3" w:rsidRPr="00CF7E1B" w:rsidRDefault="00D51EF3" w:rsidP="007D2E61">
            <w:pPr>
              <w:pStyle w:val="TableText"/>
              <w:tabs>
                <w:tab w:val="left" w:pos="3306"/>
              </w:tabs>
              <w:spacing w:before="0"/>
              <w:rPr>
                <w:rFonts w:cs="Calibri"/>
              </w:rPr>
            </w:pPr>
          </w:p>
        </w:tc>
        <w:tc>
          <w:tcPr>
            <w:tcW w:w="1567" w:type="dxa"/>
            <w:gridSpan w:val="2"/>
            <w:tcBorders>
              <w:top w:val="nil"/>
              <w:left w:val="nil"/>
              <w:right w:val="nil"/>
            </w:tcBorders>
            <w:vAlign w:val="bottom"/>
          </w:tcPr>
          <w:p w14:paraId="12A5F166" w14:textId="77777777" w:rsidR="00D51EF3" w:rsidRPr="00CF7E1B" w:rsidRDefault="00D51EF3" w:rsidP="00863311">
            <w:pPr>
              <w:pStyle w:val="TableTitle"/>
              <w:tabs>
                <w:tab w:val="left" w:pos="3306"/>
              </w:tabs>
              <w:rPr>
                <w:rFonts w:cs="Calibri"/>
              </w:rPr>
            </w:pPr>
          </w:p>
        </w:tc>
        <w:tc>
          <w:tcPr>
            <w:tcW w:w="1675" w:type="dxa"/>
            <w:gridSpan w:val="2"/>
            <w:tcBorders>
              <w:top w:val="nil"/>
              <w:left w:val="nil"/>
            </w:tcBorders>
            <w:vAlign w:val="bottom"/>
          </w:tcPr>
          <w:p w14:paraId="032A8590" w14:textId="77777777" w:rsidR="00D51EF3" w:rsidRPr="00CF7E1B" w:rsidRDefault="00D51EF3" w:rsidP="00863311">
            <w:pPr>
              <w:pStyle w:val="TableTitle"/>
              <w:tabs>
                <w:tab w:val="left" w:pos="3306"/>
              </w:tabs>
              <w:rPr>
                <w:rFonts w:cs="Calibri"/>
              </w:rPr>
            </w:pPr>
          </w:p>
        </w:tc>
      </w:tr>
      <w:tr w:rsidR="00863311" w:rsidRPr="00CF7E1B" w14:paraId="49F29452" w14:textId="77777777" w:rsidTr="00D919F2">
        <w:trPr>
          <w:cantSplit/>
          <w:trHeight w:val="119"/>
        </w:trPr>
        <w:tc>
          <w:tcPr>
            <w:tcW w:w="1563" w:type="dxa"/>
            <w:tcBorders>
              <w:top w:val="nil"/>
              <w:left w:val="single" w:sz="2" w:space="0" w:color="auto"/>
              <w:bottom w:val="nil"/>
              <w:right w:val="single" w:sz="2" w:space="0" w:color="auto"/>
            </w:tcBorders>
          </w:tcPr>
          <w:p w14:paraId="46942972" w14:textId="77777777" w:rsidR="00863311" w:rsidRPr="00855BC7" w:rsidRDefault="00863311" w:rsidP="00863311">
            <w:pPr>
              <w:pStyle w:val="TableReference"/>
              <w:tabs>
                <w:tab w:val="left" w:pos="3306"/>
              </w:tabs>
              <w:spacing w:before="40"/>
              <w:rPr>
                <w:rFonts w:cs="Calibri"/>
                <w:color w:val="7030A0"/>
                <w:sz w:val="14"/>
              </w:rPr>
            </w:pPr>
          </w:p>
        </w:tc>
        <w:tc>
          <w:tcPr>
            <w:tcW w:w="8935" w:type="dxa"/>
            <w:gridSpan w:val="5"/>
            <w:tcBorders>
              <w:top w:val="nil"/>
              <w:left w:val="single" w:sz="2" w:space="0" w:color="auto"/>
              <w:bottom w:val="nil"/>
            </w:tcBorders>
            <w:shd w:val="clear" w:color="auto" w:fill="7030A0"/>
            <w:vAlign w:val="bottom"/>
          </w:tcPr>
          <w:p w14:paraId="3D06D3A7" w14:textId="3159D765" w:rsidR="00863311" w:rsidRPr="004A5792" w:rsidRDefault="00863311" w:rsidP="006B468D">
            <w:pPr>
              <w:pStyle w:val="CommentaryTitle"/>
              <w:spacing w:before="0" w:after="240"/>
              <w:rPr>
                <w:rFonts w:cs="Calibri"/>
                <w:color w:val="FFFFFF" w:themeColor="background1"/>
                <w:sz w:val="28"/>
                <w:szCs w:val="28"/>
              </w:rPr>
            </w:pPr>
            <w:r w:rsidRPr="004A5792">
              <w:rPr>
                <w:rFonts w:cs="Calibri"/>
                <w:color w:val="FFFFFF" w:themeColor="background1"/>
                <w:sz w:val="28"/>
                <w:szCs w:val="28"/>
              </w:rPr>
              <w:t xml:space="preserve">Commentary – </w:t>
            </w:r>
            <w:r w:rsidR="00834751" w:rsidRPr="004A5792">
              <w:rPr>
                <w:rFonts w:cs="Calibri"/>
                <w:color w:val="FFFFFF" w:themeColor="background1"/>
                <w:sz w:val="28"/>
                <w:szCs w:val="28"/>
              </w:rPr>
              <w:t xml:space="preserve">Note </w:t>
            </w:r>
            <w:r w:rsidR="000E2959" w:rsidRPr="004A5792">
              <w:rPr>
                <w:rFonts w:cs="Calibri"/>
                <w:color w:val="FFFFFF" w:themeColor="background1"/>
                <w:sz w:val="28"/>
                <w:szCs w:val="28"/>
              </w:rPr>
              <w:t>5</w:t>
            </w:r>
            <w:r w:rsidR="00A05D1E">
              <w:rPr>
                <w:rFonts w:cs="Calibri"/>
                <w:color w:val="FFFFFF" w:themeColor="background1"/>
                <w:sz w:val="28"/>
                <w:szCs w:val="28"/>
              </w:rPr>
              <w:t>3</w:t>
            </w:r>
            <w:r w:rsidR="005F62CB" w:rsidRPr="004A5792">
              <w:rPr>
                <w:rFonts w:cs="Calibri"/>
                <w:color w:val="FFFFFF" w:themeColor="background1"/>
                <w:sz w:val="28"/>
                <w:szCs w:val="28"/>
              </w:rPr>
              <w:t>:</w:t>
            </w:r>
            <w:r w:rsidR="00FA7C77">
              <w:rPr>
                <w:rFonts w:cs="Calibri"/>
                <w:color w:val="FFFFFF" w:themeColor="background1"/>
                <w:sz w:val="28"/>
                <w:szCs w:val="28"/>
              </w:rPr>
              <w:t xml:space="preserve"> </w:t>
            </w:r>
            <w:r w:rsidRPr="004A5792">
              <w:rPr>
                <w:rFonts w:cs="Calibri"/>
                <w:color w:val="FFFFFF" w:themeColor="background1"/>
                <w:sz w:val="28"/>
                <w:szCs w:val="28"/>
              </w:rPr>
              <w:t xml:space="preserve"> Financial Instruments</w:t>
            </w:r>
            <w:r w:rsidR="00CD70BC" w:rsidRPr="004A5792">
              <w:rPr>
                <w:rFonts w:cs="Calibri"/>
                <w:color w:val="FFFFFF" w:themeColor="background1"/>
                <w:sz w:val="28"/>
                <w:szCs w:val="28"/>
              </w:rPr>
              <w:t xml:space="preserve"> </w:t>
            </w:r>
            <w:r w:rsidR="005F62CB" w:rsidRPr="004A5792">
              <w:rPr>
                <w:rFonts w:cs="Calibri"/>
                <w:color w:val="FFFFFF" w:themeColor="background1"/>
                <w:sz w:val="28"/>
                <w:szCs w:val="28"/>
              </w:rPr>
              <w:t>–</w:t>
            </w:r>
            <w:r w:rsidR="00CD70BC" w:rsidRPr="004A5792">
              <w:rPr>
                <w:rFonts w:cs="Calibri"/>
                <w:color w:val="FFFFFF" w:themeColor="background1"/>
                <w:sz w:val="28"/>
                <w:szCs w:val="28"/>
              </w:rPr>
              <w:t xml:space="preserve"> Territorial</w:t>
            </w:r>
            <w:r w:rsidR="005F62CB" w:rsidRPr="004A5792">
              <w:rPr>
                <w:rFonts w:cs="Calibri"/>
                <w:color w:val="FFFFFF" w:themeColor="background1"/>
                <w:sz w:val="28"/>
                <w:szCs w:val="28"/>
              </w:rPr>
              <w:t xml:space="preserve"> </w:t>
            </w:r>
          </w:p>
        </w:tc>
      </w:tr>
      <w:tr w:rsidR="00863311" w:rsidRPr="00CF7E1B" w14:paraId="3DE703D0" w14:textId="77777777" w:rsidTr="00D919F2">
        <w:trPr>
          <w:cantSplit/>
          <w:trHeight w:val="851"/>
        </w:trPr>
        <w:tc>
          <w:tcPr>
            <w:tcW w:w="1563" w:type="dxa"/>
            <w:tcBorders>
              <w:top w:val="nil"/>
              <w:left w:val="single" w:sz="2" w:space="0" w:color="auto"/>
              <w:bottom w:val="nil"/>
              <w:right w:val="single" w:sz="2" w:space="0" w:color="auto"/>
            </w:tcBorders>
          </w:tcPr>
          <w:p w14:paraId="7A30E1C8" w14:textId="77777777" w:rsidR="00863311" w:rsidRPr="00855BC7" w:rsidRDefault="00863311" w:rsidP="00863311">
            <w:pPr>
              <w:pStyle w:val="TableReference"/>
              <w:tabs>
                <w:tab w:val="left" w:pos="3306"/>
              </w:tabs>
              <w:rPr>
                <w:rFonts w:cs="Calibri"/>
                <w:color w:val="7030A0"/>
                <w:sz w:val="14"/>
              </w:rPr>
            </w:pPr>
            <w:r w:rsidRPr="00855BC7">
              <w:rPr>
                <w:rFonts w:cs="Calibri"/>
                <w:color w:val="7030A0"/>
                <w:sz w:val="14"/>
              </w:rPr>
              <w:t>AASB 132</w:t>
            </w:r>
            <w:r w:rsidR="00D65811" w:rsidRPr="00855BC7">
              <w:rPr>
                <w:rFonts w:cs="Calibri"/>
                <w:color w:val="7030A0"/>
                <w:sz w:val="14"/>
              </w:rPr>
              <w:t>.</w:t>
            </w:r>
            <w:r w:rsidRPr="00855BC7">
              <w:rPr>
                <w:rFonts w:cs="Calibri"/>
                <w:color w:val="7030A0"/>
                <w:sz w:val="14"/>
              </w:rPr>
              <w:t>AG 12</w:t>
            </w:r>
          </w:p>
        </w:tc>
        <w:tc>
          <w:tcPr>
            <w:tcW w:w="8935" w:type="dxa"/>
            <w:gridSpan w:val="5"/>
            <w:tcBorders>
              <w:top w:val="nil"/>
              <w:left w:val="single" w:sz="2" w:space="0" w:color="auto"/>
              <w:bottom w:val="nil"/>
            </w:tcBorders>
            <w:shd w:val="clear" w:color="auto" w:fill="7030A0"/>
            <w:vAlign w:val="bottom"/>
          </w:tcPr>
          <w:p w14:paraId="4052A73F" w14:textId="65484CC3" w:rsidR="00863311" w:rsidRPr="004A5792" w:rsidRDefault="00863311" w:rsidP="00274EEA">
            <w:pPr>
              <w:spacing w:after="120"/>
              <w:jc w:val="both"/>
              <w:rPr>
                <w:color w:val="FFFFFF" w:themeColor="background1"/>
                <w:sz w:val="18"/>
                <w:szCs w:val="18"/>
              </w:rPr>
            </w:pPr>
            <w:r w:rsidRPr="004A5792">
              <w:rPr>
                <w:color w:val="FFFFFF" w:themeColor="background1"/>
                <w:sz w:val="18"/>
                <w:szCs w:val="18"/>
              </w:rPr>
              <w:t>Liabilities and assets that are not contractual (such as income taxes</w:t>
            </w:r>
            <w:r w:rsidR="00BB3F81" w:rsidRPr="004A5792">
              <w:rPr>
                <w:color w:val="FFFFFF" w:themeColor="background1"/>
                <w:sz w:val="18"/>
                <w:szCs w:val="18"/>
              </w:rPr>
              <w:t xml:space="preserve"> and GST receivables</w:t>
            </w:r>
            <w:r w:rsidRPr="004A5792">
              <w:rPr>
                <w:color w:val="FFFFFF" w:themeColor="background1"/>
                <w:sz w:val="18"/>
                <w:szCs w:val="18"/>
              </w:rPr>
              <w:t xml:space="preserve"> created as a result of statutory requirements imposed by governments), are not financial liabilities or </w:t>
            </w:r>
            <w:r w:rsidR="005F62CB" w:rsidRPr="004A5792">
              <w:rPr>
                <w:color w:val="FFFFFF" w:themeColor="background1"/>
                <w:sz w:val="18"/>
                <w:szCs w:val="18"/>
              </w:rPr>
              <w:t>financial assets.</w:t>
            </w:r>
            <w:r w:rsidR="00FA7C77">
              <w:rPr>
                <w:color w:val="FFFFFF" w:themeColor="background1"/>
                <w:sz w:val="18"/>
                <w:szCs w:val="18"/>
              </w:rPr>
              <w:t xml:space="preserve"> </w:t>
            </w:r>
            <w:r w:rsidR="005F62CB" w:rsidRPr="004A5792">
              <w:rPr>
                <w:color w:val="FFFFFF" w:themeColor="background1"/>
                <w:sz w:val="18"/>
                <w:szCs w:val="18"/>
              </w:rPr>
              <w:t>As such, non</w:t>
            </w:r>
            <w:r w:rsidR="005F62CB" w:rsidRPr="004A5792">
              <w:rPr>
                <w:color w:val="FFFFFF" w:themeColor="background1"/>
                <w:sz w:val="18"/>
                <w:szCs w:val="18"/>
              </w:rPr>
              <w:noBreakHyphen/>
            </w:r>
            <w:r w:rsidRPr="004A5792">
              <w:rPr>
                <w:color w:val="FFFFFF" w:themeColor="background1"/>
                <w:sz w:val="18"/>
                <w:szCs w:val="18"/>
              </w:rPr>
              <w:t>contractual receivables are not included in the financial instruments note.</w:t>
            </w:r>
            <w:r w:rsidR="00FA7C77">
              <w:rPr>
                <w:color w:val="FFFFFF" w:themeColor="background1"/>
                <w:sz w:val="18"/>
                <w:szCs w:val="18"/>
              </w:rPr>
              <w:t xml:space="preserve"> </w:t>
            </w:r>
            <w:r w:rsidRPr="004A5792">
              <w:rPr>
                <w:color w:val="FFFFFF" w:themeColor="background1"/>
                <w:sz w:val="18"/>
                <w:szCs w:val="18"/>
              </w:rPr>
              <w:t>Where there are non-contractual receivables, the total amount of receivables in the receivables</w:t>
            </w:r>
            <w:r w:rsidR="0035272C" w:rsidRPr="004A5792">
              <w:rPr>
                <w:color w:val="FFFFFF" w:themeColor="background1"/>
                <w:sz w:val="18"/>
                <w:szCs w:val="18"/>
              </w:rPr>
              <w:t xml:space="preserve"> and contract assets</w:t>
            </w:r>
            <w:r w:rsidRPr="004A5792">
              <w:rPr>
                <w:color w:val="FFFFFF" w:themeColor="background1"/>
                <w:sz w:val="18"/>
                <w:szCs w:val="18"/>
              </w:rPr>
              <w:t xml:space="preserve"> note will not equal the receivables in the financial instruments note.</w:t>
            </w:r>
            <w:r w:rsidR="00FA7C77">
              <w:rPr>
                <w:color w:val="FFFFFF" w:themeColor="background1"/>
                <w:sz w:val="18"/>
                <w:szCs w:val="18"/>
              </w:rPr>
              <w:t xml:space="preserve"> </w:t>
            </w:r>
          </w:p>
        </w:tc>
      </w:tr>
      <w:tr w:rsidR="00274EEA" w:rsidRPr="00CF7E1B" w14:paraId="16869BE9" w14:textId="77777777" w:rsidTr="00D919F2">
        <w:trPr>
          <w:cantSplit/>
          <w:trHeight w:val="155"/>
        </w:trPr>
        <w:tc>
          <w:tcPr>
            <w:tcW w:w="1563" w:type="dxa"/>
            <w:tcBorders>
              <w:top w:val="nil"/>
              <w:left w:val="single" w:sz="2" w:space="0" w:color="auto"/>
              <w:bottom w:val="nil"/>
              <w:right w:val="single" w:sz="2" w:space="0" w:color="auto"/>
            </w:tcBorders>
          </w:tcPr>
          <w:p w14:paraId="1F53C204" w14:textId="77777777" w:rsidR="00274EEA" w:rsidRPr="00855BC7" w:rsidRDefault="00274EEA" w:rsidP="00274EEA">
            <w:pPr>
              <w:pStyle w:val="TableReference"/>
              <w:tabs>
                <w:tab w:val="left" w:pos="3306"/>
              </w:tabs>
              <w:rPr>
                <w:rFonts w:cs="Calibri"/>
                <w:color w:val="7030A0"/>
                <w:sz w:val="14"/>
              </w:rPr>
            </w:pPr>
          </w:p>
        </w:tc>
        <w:tc>
          <w:tcPr>
            <w:tcW w:w="8935" w:type="dxa"/>
            <w:gridSpan w:val="5"/>
            <w:tcBorders>
              <w:top w:val="nil"/>
              <w:left w:val="single" w:sz="2" w:space="0" w:color="auto"/>
              <w:bottom w:val="nil"/>
            </w:tcBorders>
            <w:shd w:val="clear" w:color="auto" w:fill="7030A0"/>
          </w:tcPr>
          <w:p w14:paraId="6B46CF2B" w14:textId="272FEA5E" w:rsidR="00274EEA" w:rsidRPr="004A5792" w:rsidRDefault="00274EEA" w:rsidP="00274EEA">
            <w:pPr>
              <w:spacing w:after="120"/>
              <w:rPr>
                <w:color w:val="FFFFFF" w:themeColor="background1"/>
                <w:sz w:val="18"/>
                <w:szCs w:val="18"/>
              </w:rPr>
            </w:pPr>
            <w:r w:rsidRPr="004A5792">
              <w:rPr>
                <w:color w:val="FFFFFF" w:themeColor="background1"/>
                <w:sz w:val="18"/>
                <w:szCs w:val="18"/>
              </w:rPr>
              <w:t xml:space="preserve">All ‘Burley Griffin Agency’s’ territorial receivables are statutory receivables and as such </w:t>
            </w:r>
            <w:r w:rsidR="00F2277F" w:rsidRPr="004A5792">
              <w:rPr>
                <w:color w:val="FFFFFF" w:themeColor="background1"/>
                <w:sz w:val="18"/>
                <w:szCs w:val="18"/>
              </w:rPr>
              <w:t xml:space="preserve">no </w:t>
            </w:r>
            <w:r w:rsidRPr="004A5792">
              <w:rPr>
                <w:color w:val="FFFFFF" w:themeColor="background1"/>
                <w:sz w:val="18"/>
                <w:szCs w:val="18"/>
              </w:rPr>
              <w:t xml:space="preserve">receivables are included in the note disclosure above. </w:t>
            </w:r>
          </w:p>
        </w:tc>
      </w:tr>
      <w:tr w:rsidR="00F752A5" w:rsidRPr="00CF7E1B" w14:paraId="60B3B3B9" w14:textId="77777777" w:rsidTr="00D919F2">
        <w:trPr>
          <w:cantSplit/>
          <w:trHeight w:val="340"/>
        </w:trPr>
        <w:tc>
          <w:tcPr>
            <w:tcW w:w="1563" w:type="dxa"/>
            <w:tcBorders>
              <w:top w:val="nil"/>
              <w:left w:val="single" w:sz="2" w:space="0" w:color="auto"/>
              <w:bottom w:val="nil"/>
              <w:right w:val="single" w:sz="2" w:space="0" w:color="auto"/>
            </w:tcBorders>
          </w:tcPr>
          <w:p w14:paraId="4E609387" w14:textId="77777777" w:rsidR="00F752A5" w:rsidRPr="00855BC7" w:rsidRDefault="00F752A5" w:rsidP="003E0E51">
            <w:pPr>
              <w:pStyle w:val="TableReference"/>
              <w:tabs>
                <w:tab w:val="left" w:pos="3306"/>
              </w:tabs>
              <w:rPr>
                <w:rFonts w:cs="Calibri"/>
                <w:color w:val="7030A0"/>
                <w:sz w:val="14"/>
              </w:rPr>
            </w:pPr>
          </w:p>
        </w:tc>
        <w:tc>
          <w:tcPr>
            <w:tcW w:w="8935" w:type="dxa"/>
            <w:gridSpan w:val="5"/>
            <w:tcBorders>
              <w:top w:val="nil"/>
              <w:left w:val="single" w:sz="2" w:space="0" w:color="auto"/>
              <w:bottom w:val="nil"/>
            </w:tcBorders>
            <w:shd w:val="clear" w:color="auto" w:fill="auto"/>
          </w:tcPr>
          <w:p w14:paraId="6A086FBE" w14:textId="77777777" w:rsidR="00F752A5" w:rsidRPr="007D3B5E" w:rsidRDefault="00F752A5" w:rsidP="005F62CB">
            <w:pPr>
              <w:pStyle w:val="CommentaryText"/>
              <w:tabs>
                <w:tab w:val="left" w:pos="3306"/>
              </w:tabs>
              <w:spacing w:after="0"/>
              <w:rPr>
                <w:rFonts w:cs="Calibri"/>
              </w:rPr>
            </w:pPr>
          </w:p>
        </w:tc>
      </w:tr>
      <w:tr w:rsidR="00863311" w:rsidRPr="00CF7E1B" w14:paraId="700FD42C" w14:textId="77777777" w:rsidTr="00D919F2">
        <w:trPr>
          <w:cantSplit/>
          <w:trHeight w:hRule="exact" w:val="705"/>
        </w:trPr>
        <w:tc>
          <w:tcPr>
            <w:tcW w:w="1563" w:type="dxa"/>
            <w:tcBorders>
              <w:left w:val="single" w:sz="2" w:space="0" w:color="auto"/>
              <w:right w:val="single" w:sz="2" w:space="0" w:color="auto"/>
            </w:tcBorders>
          </w:tcPr>
          <w:p w14:paraId="23E74499" w14:textId="77777777" w:rsidR="00863311" w:rsidRPr="00855BC7" w:rsidRDefault="00863311" w:rsidP="00863311">
            <w:pPr>
              <w:pStyle w:val="TableReference"/>
              <w:tabs>
                <w:tab w:val="left" w:pos="3306"/>
              </w:tabs>
              <w:rPr>
                <w:rFonts w:cs="Calibri"/>
                <w:color w:val="7030A0"/>
                <w:sz w:val="14"/>
              </w:rPr>
            </w:pPr>
          </w:p>
        </w:tc>
        <w:tc>
          <w:tcPr>
            <w:tcW w:w="8935" w:type="dxa"/>
            <w:gridSpan w:val="5"/>
            <w:tcBorders>
              <w:left w:val="single" w:sz="2" w:space="0" w:color="auto"/>
            </w:tcBorders>
            <w:vAlign w:val="bottom"/>
          </w:tcPr>
          <w:p w14:paraId="7A3F78F2" w14:textId="54F7B87B" w:rsidR="00863311" w:rsidRPr="004A5792" w:rsidRDefault="00CD70BC" w:rsidP="005F62CB">
            <w:pPr>
              <w:pStyle w:val="Heading1"/>
              <w:numPr>
                <w:ilvl w:val="0"/>
                <w:numId w:val="0"/>
              </w:numPr>
              <w:spacing w:before="0"/>
            </w:pPr>
            <w:bookmarkStart w:id="1007" w:name="_Toc223433238"/>
            <w:bookmarkStart w:id="1008" w:name="_Toc400627388"/>
            <w:bookmarkStart w:id="1009" w:name="Commitments_Terr"/>
            <w:bookmarkStart w:id="1010" w:name="_Toc98763212"/>
            <w:r w:rsidRPr="004A5792">
              <w:t xml:space="preserve">Note </w:t>
            </w:r>
            <w:r w:rsidR="000E2959" w:rsidRPr="004A5792">
              <w:t>5</w:t>
            </w:r>
            <w:r w:rsidR="00A05D1E">
              <w:t>4</w:t>
            </w:r>
            <w:r w:rsidRPr="004A5792">
              <w:t>.</w:t>
            </w:r>
            <w:r w:rsidR="00FA7C77">
              <w:t xml:space="preserve"> </w:t>
            </w:r>
            <w:r w:rsidRPr="004A5792">
              <w:t xml:space="preserve"> </w:t>
            </w:r>
            <w:r w:rsidR="00863311" w:rsidRPr="004A5792">
              <w:t>Commitments – Territorial</w:t>
            </w:r>
            <w:bookmarkEnd w:id="1007"/>
            <w:bookmarkEnd w:id="1008"/>
            <w:bookmarkEnd w:id="1009"/>
            <w:bookmarkEnd w:id="1010"/>
          </w:p>
        </w:tc>
      </w:tr>
      <w:tr w:rsidR="00863311" w:rsidRPr="00CF7E1B" w14:paraId="0BAA3845" w14:textId="77777777" w:rsidTr="00D919F2">
        <w:trPr>
          <w:cantSplit/>
          <w:trHeight w:val="20"/>
        </w:trPr>
        <w:tc>
          <w:tcPr>
            <w:tcW w:w="1563" w:type="dxa"/>
            <w:tcBorders>
              <w:left w:val="single" w:sz="2" w:space="0" w:color="auto"/>
              <w:bottom w:val="nil"/>
              <w:right w:val="single" w:sz="2" w:space="0" w:color="auto"/>
            </w:tcBorders>
          </w:tcPr>
          <w:p w14:paraId="2A4B8A5B" w14:textId="77777777" w:rsidR="00863311" w:rsidRPr="00855BC7" w:rsidRDefault="00863311" w:rsidP="00863311">
            <w:pPr>
              <w:pStyle w:val="TableReference"/>
              <w:tabs>
                <w:tab w:val="left" w:pos="3306"/>
              </w:tabs>
              <w:rPr>
                <w:rFonts w:cs="Calibri"/>
                <w:color w:val="7030A0"/>
                <w:sz w:val="14"/>
              </w:rPr>
            </w:pPr>
          </w:p>
        </w:tc>
        <w:tc>
          <w:tcPr>
            <w:tcW w:w="5705" w:type="dxa"/>
            <w:gridSpan w:val="2"/>
            <w:tcBorders>
              <w:left w:val="single" w:sz="2" w:space="0" w:color="auto"/>
              <w:bottom w:val="nil"/>
              <w:right w:val="nil"/>
            </w:tcBorders>
            <w:vAlign w:val="bottom"/>
          </w:tcPr>
          <w:p w14:paraId="2F078DF7" w14:textId="77777777" w:rsidR="00863311" w:rsidRPr="004A5792" w:rsidRDefault="00863311" w:rsidP="00863311">
            <w:pPr>
              <w:pStyle w:val="TableText"/>
              <w:tabs>
                <w:tab w:val="left" w:pos="3306"/>
              </w:tabs>
              <w:rPr>
                <w:rFonts w:cs="Calibri"/>
                <w:b/>
                <w:bCs/>
              </w:rPr>
            </w:pPr>
            <w:r w:rsidRPr="004A5792">
              <w:rPr>
                <w:rFonts w:cs="Calibri"/>
                <w:b/>
                <w:bCs/>
              </w:rPr>
              <w:t xml:space="preserve">Other Commitments </w:t>
            </w:r>
          </w:p>
        </w:tc>
        <w:tc>
          <w:tcPr>
            <w:tcW w:w="1561" w:type="dxa"/>
            <w:gridSpan w:val="2"/>
            <w:tcBorders>
              <w:left w:val="nil"/>
              <w:bottom w:val="nil"/>
              <w:right w:val="nil"/>
            </w:tcBorders>
            <w:vAlign w:val="bottom"/>
          </w:tcPr>
          <w:p w14:paraId="4FDE0C74" w14:textId="77777777" w:rsidR="00863311" w:rsidRPr="004A5792" w:rsidRDefault="00863311" w:rsidP="00863311">
            <w:pPr>
              <w:pStyle w:val="TableText"/>
              <w:tabs>
                <w:tab w:val="left" w:pos="3306"/>
              </w:tabs>
              <w:jc w:val="right"/>
              <w:rPr>
                <w:rFonts w:cs="Calibri"/>
              </w:rPr>
            </w:pPr>
          </w:p>
        </w:tc>
        <w:tc>
          <w:tcPr>
            <w:tcW w:w="1669" w:type="dxa"/>
            <w:tcBorders>
              <w:left w:val="nil"/>
              <w:bottom w:val="nil"/>
            </w:tcBorders>
            <w:vAlign w:val="bottom"/>
          </w:tcPr>
          <w:p w14:paraId="1490A22C" w14:textId="77777777" w:rsidR="00863311" w:rsidRPr="004A5792" w:rsidRDefault="00863311" w:rsidP="00863311">
            <w:pPr>
              <w:pStyle w:val="TableText"/>
              <w:tabs>
                <w:tab w:val="left" w:pos="3306"/>
              </w:tabs>
              <w:jc w:val="right"/>
              <w:rPr>
                <w:rFonts w:cs="Calibri"/>
              </w:rPr>
            </w:pPr>
          </w:p>
        </w:tc>
      </w:tr>
      <w:tr w:rsidR="00863311" w:rsidRPr="00CF7E1B" w14:paraId="21D8C9CD" w14:textId="77777777" w:rsidTr="00D919F2">
        <w:trPr>
          <w:cantSplit/>
          <w:trHeight w:val="20"/>
        </w:trPr>
        <w:tc>
          <w:tcPr>
            <w:tcW w:w="1563" w:type="dxa"/>
            <w:tcBorders>
              <w:top w:val="nil"/>
              <w:left w:val="single" w:sz="2" w:space="0" w:color="auto"/>
              <w:bottom w:val="nil"/>
              <w:right w:val="single" w:sz="2" w:space="0" w:color="auto"/>
            </w:tcBorders>
          </w:tcPr>
          <w:p w14:paraId="1C3D7115" w14:textId="77777777" w:rsidR="00863311" w:rsidRPr="00855BC7" w:rsidRDefault="00863311" w:rsidP="00863311">
            <w:pPr>
              <w:pStyle w:val="TableReference"/>
              <w:tabs>
                <w:tab w:val="left" w:pos="3306"/>
              </w:tabs>
              <w:spacing w:before="60"/>
              <w:rPr>
                <w:rFonts w:cs="Calibri"/>
                <w:color w:val="7030A0"/>
                <w:sz w:val="14"/>
              </w:rPr>
            </w:pPr>
          </w:p>
        </w:tc>
        <w:tc>
          <w:tcPr>
            <w:tcW w:w="8935" w:type="dxa"/>
            <w:gridSpan w:val="5"/>
            <w:tcBorders>
              <w:top w:val="nil"/>
              <w:left w:val="single" w:sz="2" w:space="0" w:color="auto"/>
              <w:bottom w:val="nil"/>
            </w:tcBorders>
            <w:vAlign w:val="bottom"/>
          </w:tcPr>
          <w:p w14:paraId="7C27E713" w14:textId="77777777" w:rsidR="00863311" w:rsidRPr="004A5792" w:rsidRDefault="00863311" w:rsidP="00863311">
            <w:pPr>
              <w:pStyle w:val="TableText"/>
              <w:tabs>
                <w:tab w:val="left" w:pos="3306"/>
              </w:tabs>
              <w:rPr>
                <w:rFonts w:cs="Calibri"/>
              </w:rPr>
            </w:pPr>
            <w:r w:rsidRPr="004A5792">
              <w:rPr>
                <w:rFonts w:cs="Calibri"/>
              </w:rPr>
              <w:t xml:space="preserve">Other Commitments contracted at reporting date that have not been recognised as liabilities, are payable as follows: </w:t>
            </w:r>
          </w:p>
        </w:tc>
      </w:tr>
      <w:tr w:rsidR="0087202A" w:rsidRPr="00CF7E1B" w14:paraId="788DBD30" w14:textId="77777777" w:rsidTr="00D919F2">
        <w:trPr>
          <w:cantSplit/>
          <w:trHeight w:val="20"/>
        </w:trPr>
        <w:tc>
          <w:tcPr>
            <w:tcW w:w="1563" w:type="dxa"/>
            <w:tcBorders>
              <w:top w:val="nil"/>
              <w:left w:val="single" w:sz="2" w:space="0" w:color="auto"/>
              <w:bottom w:val="nil"/>
              <w:right w:val="single" w:sz="2" w:space="0" w:color="auto"/>
            </w:tcBorders>
          </w:tcPr>
          <w:p w14:paraId="3D05DBB2" w14:textId="77777777" w:rsidR="0087202A" w:rsidRPr="00855BC7" w:rsidRDefault="0087202A" w:rsidP="00863311">
            <w:pPr>
              <w:pStyle w:val="TableReference"/>
              <w:tabs>
                <w:tab w:val="left" w:pos="3306"/>
              </w:tabs>
              <w:spacing w:before="60"/>
              <w:rPr>
                <w:rFonts w:cs="Calibri"/>
                <w:color w:val="7030A0"/>
                <w:sz w:val="14"/>
              </w:rPr>
            </w:pPr>
          </w:p>
        </w:tc>
        <w:tc>
          <w:tcPr>
            <w:tcW w:w="8935" w:type="dxa"/>
            <w:gridSpan w:val="5"/>
            <w:tcBorders>
              <w:top w:val="nil"/>
              <w:left w:val="single" w:sz="2" w:space="0" w:color="auto"/>
              <w:bottom w:val="nil"/>
            </w:tcBorders>
            <w:vAlign w:val="bottom"/>
          </w:tcPr>
          <w:p w14:paraId="24CA1B80" w14:textId="77777777" w:rsidR="0087202A" w:rsidRPr="004A5792" w:rsidRDefault="0087202A" w:rsidP="00863311">
            <w:pPr>
              <w:pStyle w:val="TableText"/>
              <w:tabs>
                <w:tab w:val="left" w:pos="3306"/>
              </w:tabs>
              <w:rPr>
                <w:rFonts w:cs="Calibri"/>
              </w:rPr>
            </w:pPr>
          </w:p>
        </w:tc>
      </w:tr>
      <w:tr w:rsidR="0087202A" w:rsidRPr="00CF7E1B" w14:paraId="6B52D9EC" w14:textId="77777777" w:rsidTr="00D919F2">
        <w:trPr>
          <w:cantSplit/>
          <w:trHeight w:val="20"/>
        </w:trPr>
        <w:tc>
          <w:tcPr>
            <w:tcW w:w="1563" w:type="dxa"/>
            <w:tcBorders>
              <w:top w:val="nil"/>
              <w:left w:val="single" w:sz="2" w:space="0" w:color="auto"/>
              <w:bottom w:val="nil"/>
              <w:right w:val="single" w:sz="2" w:space="0" w:color="auto"/>
            </w:tcBorders>
          </w:tcPr>
          <w:p w14:paraId="38ED3191" w14:textId="77777777" w:rsidR="0087202A" w:rsidRPr="00855BC7" w:rsidRDefault="0087202A" w:rsidP="0087202A">
            <w:pPr>
              <w:pStyle w:val="TableReference"/>
              <w:tabs>
                <w:tab w:val="left" w:pos="3306"/>
              </w:tabs>
              <w:spacing w:before="40"/>
              <w:rPr>
                <w:rFonts w:cs="Calibri"/>
                <w:color w:val="7030A0"/>
                <w:sz w:val="14"/>
              </w:rPr>
            </w:pPr>
          </w:p>
        </w:tc>
        <w:tc>
          <w:tcPr>
            <w:tcW w:w="5705" w:type="dxa"/>
            <w:gridSpan w:val="2"/>
            <w:tcBorders>
              <w:top w:val="nil"/>
              <w:left w:val="single" w:sz="2" w:space="0" w:color="auto"/>
              <w:bottom w:val="nil"/>
              <w:right w:val="nil"/>
            </w:tcBorders>
            <w:vAlign w:val="bottom"/>
          </w:tcPr>
          <w:p w14:paraId="7E935E11" w14:textId="6D87A1CD" w:rsidR="0087202A" w:rsidRPr="004A5792" w:rsidRDefault="0087202A" w:rsidP="0087202A">
            <w:pPr>
              <w:pStyle w:val="TableText"/>
              <w:tabs>
                <w:tab w:val="left" w:pos="3306"/>
              </w:tabs>
              <w:rPr>
                <w:rFonts w:cs="Calibri"/>
              </w:rPr>
            </w:pPr>
          </w:p>
        </w:tc>
        <w:tc>
          <w:tcPr>
            <w:tcW w:w="1561" w:type="dxa"/>
            <w:gridSpan w:val="2"/>
            <w:tcBorders>
              <w:top w:val="nil"/>
              <w:left w:val="nil"/>
              <w:bottom w:val="nil"/>
              <w:right w:val="nil"/>
            </w:tcBorders>
            <w:vAlign w:val="bottom"/>
          </w:tcPr>
          <w:p w14:paraId="57813E7B" w14:textId="77777777" w:rsidR="00BB62BB" w:rsidRDefault="0087202A" w:rsidP="0087202A">
            <w:pPr>
              <w:jc w:val="right"/>
              <w:rPr>
                <w:rFonts w:cs="Calibri"/>
                <w:b/>
                <w:bCs/>
                <w:sz w:val="18"/>
                <w:szCs w:val="18"/>
              </w:rPr>
            </w:pPr>
            <w:r w:rsidRPr="0087202A">
              <w:rPr>
                <w:rFonts w:cs="Calibri"/>
                <w:b/>
                <w:bCs/>
                <w:sz w:val="18"/>
                <w:szCs w:val="18"/>
              </w:rPr>
              <w:t>2022</w:t>
            </w:r>
            <w:r w:rsidR="00FA7C77">
              <w:rPr>
                <w:rFonts w:cs="Calibri"/>
                <w:b/>
                <w:bCs/>
                <w:sz w:val="18"/>
                <w:szCs w:val="18"/>
              </w:rPr>
              <w:t xml:space="preserve">      </w:t>
            </w:r>
          </w:p>
          <w:p w14:paraId="768C9C92" w14:textId="14DF59B5" w:rsidR="0087202A" w:rsidRPr="0087202A" w:rsidRDefault="00FA7C77" w:rsidP="0087202A">
            <w:pPr>
              <w:jc w:val="right"/>
              <w:rPr>
                <w:b/>
                <w:bCs/>
                <w:sz w:val="18"/>
                <w:szCs w:val="18"/>
              </w:rPr>
            </w:pPr>
            <w:r>
              <w:rPr>
                <w:rFonts w:cs="Calibri"/>
                <w:b/>
                <w:bCs/>
                <w:sz w:val="18"/>
                <w:szCs w:val="18"/>
              </w:rPr>
              <w:t xml:space="preserve"> </w:t>
            </w:r>
            <w:r w:rsidR="0087202A" w:rsidRPr="0087202A">
              <w:rPr>
                <w:rFonts w:cs="Calibri"/>
                <w:b/>
                <w:bCs/>
                <w:sz w:val="18"/>
                <w:szCs w:val="18"/>
              </w:rPr>
              <w:t xml:space="preserve"> $’000</w:t>
            </w:r>
          </w:p>
        </w:tc>
        <w:tc>
          <w:tcPr>
            <w:tcW w:w="1669" w:type="dxa"/>
            <w:tcBorders>
              <w:top w:val="nil"/>
              <w:left w:val="nil"/>
              <w:bottom w:val="nil"/>
            </w:tcBorders>
            <w:vAlign w:val="bottom"/>
          </w:tcPr>
          <w:p w14:paraId="537A65AC" w14:textId="77777777" w:rsidR="0087202A" w:rsidRPr="0087202A" w:rsidRDefault="0087202A" w:rsidP="0087202A">
            <w:pPr>
              <w:pStyle w:val="TableTitle"/>
              <w:tabs>
                <w:tab w:val="left" w:pos="3306"/>
              </w:tabs>
              <w:rPr>
                <w:rFonts w:cs="Calibri"/>
              </w:rPr>
            </w:pPr>
            <w:r w:rsidRPr="0087202A">
              <w:rPr>
                <w:rFonts w:cs="Calibri"/>
              </w:rPr>
              <w:t>2021</w:t>
            </w:r>
          </w:p>
          <w:p w14:paraId="0B5F8A8C" w14:textId="199B66E8" w:rsidR="0087202A" w:rsidRPr="0087202A" w:rsidRDefault="0087202A" w:rsidP="0087202A">
            <w:pPr>
              <w:pStyle w:val="TableText"/>
              <w:tabs>
                <w:tab w:val="left" w:pos="3306"/>
              </w:tabs>
              <w:jc w:val="right"/>
              <w:rPr>
                <w:rFonts w:cs="Calibri"/>
                <w:b/>
                <w:bCs/>
              </w:rPr>
            </w:pPr>
            <w:r w:rsidRPr="0087202A">
              <w:rPr>
                <w:rFonts w:cs="Calibri"/>
                <w:b/>
                <w:bCs/>
              </w:rPr>
              <w:t>$’000</w:t>
            </w:r>
          </w:p>
        </w:tc>
      </w:tr>
      <w:tr w:rsidR="00863311" w:rsidRPr="00CF7E1B" w14:paraId="0D640A43" w14:textId="77777777" w:rsidTr="00D919F2">
        <w:trPr>
          <w:cantSplit/>
          <w:trHeight w:val="20"/>
        </w:trPr>
        <w:tc>
          <w:tcPr>
            <w:tcW w:w="1563" w:type="dxa"/>
            <w:tcBorders>
              <w:top w:val="nil"/>
              <w:left w:val="single" w:sz="2" w:space="0" w:color="auto"/>
              <w:bottom w:val="nil"/>
              <w:right w:val="single" w:sz="2" w:space="0" w:color="auto"/>
            </w:tcBorders>
          </w:tcPr>
          <w:p w14:paraId="14C287BB" w14:textId="77777777" w:rsidR="00863311" w:rsidRPr="00855BC7" w:rsidRDefault="00863311" w:rsidP="00863311">
            <w:pPr>
              <w:pStyle w:val="TableReference"/>
              <w:tabs>
                <w:tab w:val="left" w:pos="3306"/>
              </w:tabs>
              <w:spacing w:before="40"/>
              <w:rPr>
                <w:rFonts w:cs="Calibri"/>
                <w:color w:val="7030A0"/>
                <w:sz w:val="14"/>
              </w:rPr>
            </w:pPr>
          </w:p>
        </w:tc>
        <w:tc>
          <w:tcPr>
            <w:tcW w:w="5705" w:type="dxa"/>
            <w:gridSpan w:val="2"/>
            <w:tcBorders>
              <w:top w:val="nil"/>
              <w:left w:val="single" w:sz="2" w:space="0" w:color="auto"/>
              <w:bottom w:val="nil"/>
              <w:right w:val="nil"/>
            </w:tcBorders>
            <w:vAlign w:val="bottom"/>
          </w:tcPr>
          <w:p w14:paraId="05DDC4A3" w14:textId="77777777" w:rsidR="00863311" w:rsidRPr="004A5792" w:rsidRDefault="00863311" w:rsidP="00863311">
            <w:pPr>
              <w:pStyle w:val="TableText"/>
              <w:tabs>
                <w:tab w:val="left" w:pos="3306"/>
              </w:tabs>
              <w:rPr>
                <w:rFonts w:cs="Calibri"/>
              </w:rPr>
            </w:pPr>
            <w:r w:rsidRPr="004A5792">
              <w:rPr>
                <w:rFonts w:cs="Calibri"/>
              </w:rPr>
              <w:t>Within one year</w:t>
            </w:r>
          </w:p>
        </w:tc>
        <w:tc>
          <w:tcPr>
            <w:tcW w:w="1561" w:type="dxa"/>
            <w:gridSpan w:val="2"/>
            <w:tcBorders>
              <w:top w:val="nil"/>
              <w:left w:val="nil"/>
              <w:bottom w:val="nil"/>
              <w:right w:val="nil"/>
            </w:tcBorders>
            <w:vAlign w:val="bottom"/>
          </w:tcPr>
          <w:p w14:paraId="27CD616E" w14:textId="41448986" w:rsidR="00863311" w:rsidRPr="004A5792" w:rsidRDefault="00863311" w:rsidP="00863311">
            <w:pPr>
              <w:pStyle w:val="TableText"/>
              <w:tabs>
                <w:tab w:val="left" w:pos="3306"/>
              </w:tabs>
              <w:jc w:val="right"/>
              <w:rPr>
                <w:rFonts w:cs="Calibri"/>
              </w:rPr>
            </w:pPr>
          </w:p>
        </w:tc>
        <w:tc>
          <w:tcPr>
            <w:tcW w:w="1669" w:type="dxa"/>
            <w:tcBorders>
              <w:top w:val="nil"/>
              <w:left w:val="nil"/>
              <w:bottom w:val="nil"/>
            </w:tcBorders>
            <w:vAlign w:val="bottom"/>
          </w:tcPr>
          <w:p w14:paraId="0D1F85FE" w14:textId="60D40805" w:rsidR="00863311" w:rsidRPr="004A5792" w:rsidRDefault="00863311" w:rsidP="00863311">
            <w:pPr>
              <w:pStyle w:val="TableText"/>
              <w:tabs>
                <w:tab w:val="left" w:pos="3306"/>
              </w:tabs>
              <w:jc w:val="right"/>
              <w:rPr>
                <w:rFonts w:cs="Calibri"/>
              </w:rPr>
            </w:pPr>
          </w:p>
        </w:tc>
      </w:tr>
      <w:tr w:rsidR="00863311" w:rsidRPr="00CF7E1B" w14:paraId="04D393DB" w14:textId="77777777" w:rsidTr="00D919F2">
        <w:trPr>
          <w:cantSplit/>
          <w:trHeight w:val="20"/>
        </w:trPr>
        <w:tc>
          <w:tcPr>
            <w:tcW w:w="1563" w:type="dxa"/>
            <w:tcBorders>
              <w:top w:val="nil"/>
              <w:left w:val="single" w:sz="2" w:space="0" w:color="auto"/>
              <w:bottom w:val="nil"/>
              <w:right w:val="single" w:sz="2" w:space="0" w:color="auto"/>
            </w:tcBorders>
          </w:tcPr>
          <w:p w14:paraId="51EA6D87" w14:textId="77777777" w:rsidR="00863311" w:rsidRPr="00855BC7" w:rsidRDefault="00863311" w:rsidP="00863311">
            <w:pPr>
              <w:pStyle w:val="TableReference"/>
              <w:tabs>
                <w:tab w:val="left" w:pos="3306"/>
              </w:tabs>
              <w:spacing w:before="40"/>
              <w:rPr>
                <w:rFonts w:cs="Calibri"/>
                <w:color w:val="7030A0"/>
                <w:sz w:val="14"/>
              </w:rPr>
            </w:pPr>
          </w:p>
        </w:tc>
        <w:tc>
          <w:tcPr>
            <w:tcW w:w="5705" w:type="dxa"/>
            <w:gridSpan w:val="2"/>
            <w:tcBorders>
              <w:top w:val="nil"/>
              <w:left w:val="single" w:sz="2" w:space="0" w:color="auto"/>
              <w:bottom w:val="nil"/>
              <w:right w:val="nil"/>
            </w:tcBorders>
            <w:vAlign w:val="bottom"/>
          </w:tcPr>
          <w:p w14:paraId="2978AEEF" w14:textId="77777777" w:rsidR="00863311" w:rsidRPr="004A5792" w:rsidRDefault="00863311" w:rsidP="00863311">
            <w:pPr>
              <w:pStyle w:val="TableText"/>
              <w:tabs>
                <w:tab w:val="left" w:pos="3306"/>
              </w:tabs>
              <w:rPr>
                <w:rFonts w:cs="Calibri"/>
              </w:rPr>
            </w:pPr>
            <w:r w:rsidRPr="004A5792">
              <w:rPr>
                <w:rFonts w:cs="Calibri"/>
              </w:rPr>
              <w:t>Later than one year but not later than five years</w:t>
            </w:r>
          </w:p>
        </w:tc>
        <w:tc>
          <w:tcPr>
            <w:tcW w:w="1561" w:type="dxa"/>
            <w:gridSpan w:val="2"/>
            <w:tcBorders>
              <w:top w:val="nil"/>
              <w:left w:val="nil"/>
              <w:right w:val="nil"/>
            </w:tcBorders>
            <w:vAlign w:val="bottom"/>
          </w:tcPr>
          <w:p w14:paraId="15DBC6F7" w14:textId="6790D04C" w:rsidR="00863311" w:rsidRPr="004A5792" w:rsidRDefault="00863311" w:rsidP="00863311">
            <w:pPr>
              <w:pStyle w:val="TableText"/>
              <w:tabs>
                <w:tab w:val="left" w:pos="3306"/>
              </w:tabs>
              <w:jc w:val="right"/>
              <w:rPr>
                <w:rFonts w:cs="Calibri"/>
              </w:rPr>
            </w:pPr>
          </w:p>
        </w:tc>
        <w:tc>
          <w:tcPr>
            <w:tcW w:w="1669" w:type="dxa"/>
            <w:tcBorders>
              <w:top w:val="nil"/>
              <w:left w:val="nil"/>
            </w:tcBorders>
            <w:vAlign w:val="bottom"/>
          </w:tcPr>
          <w:p w14:paraId="2B6CB7CA" w14:textId="7D5CAE1F" w:rsidR="00863311" w:rsidRPr="004A5792" w:rsidRDefault="00863311" w:rsidP="00863311">
            <w:pPr>
              <w:pStyle w:val="TableText"/>
              <w:tabs>
                <w:tab w:val="left" w:pos="3306"/>
              </w:tabs>
              <w:jc w:val="right"/>
              <w:rPr>
                <w:rFonts w:cs="Calibri"/>
              </w:rPr>
            </w:pPr>
          </w:p>
        </w:tc>
      </w:tr>
      <w:tr w:rsidR="00863311" w:rsidRPr="00CF7E1B" w14:paraId="7C4D60E0" w14:textId="77777777" w:rsidTr="00D919F2">
        <w:trPr>
          <w:cantSplit/>
          <w:trHeight w:val="20"/>
        </w:trPr>
        <w:tc>
          <w:tcPr>
            <w:tcW w:w="1563" w:type="dxa"/>
            <w:tcBorders>
              <w:top w:val="nil"/>
              <w:left w:val="single" w:sz="2" w:space="0" w:color="auto"/>
              <w:bottom w:val="nil"/>
              <w:right w:val="single" w:sz="2" w:space="0" w:color="auto"/>
            </w:tcBorders>
          </w:tcPr>
          <w:p w14:paraId="43DBF95F" w14:textId="77777777" w:rsidR="00863311" w:rsidRPr="00855BC7" w:rsidRDefault="00863311" w:rsidP="00863311">
            <w:pPr>
              <w:pStyle w:val="TableReference"/>
              <w:tabs>
                <w:tab w:val="left" w:pos="3306"/>
              </w:tabs>
              <w:spacing w:before="40"/>
              <w:rPr>
                <w:rFonts w:cs="Calibri"/>
                <w:color w:val="7030A0"/>
                <w:sz w:val="14"/>
              </w:rPr>
            </w:pPr>
          </w:p>
        </w:tc>
        <w:tc>
          <w:tcPr>
            <w:tcW w:w="5705" w:type="dxa"/>
            <w:gridSpan w:val="2"/>
            <w:tcBorders>
              <w:top w:val="nil"/>
              <w:left w:val="single" w:sz="2" w:space="0" w:color="auto"/>
              <w:right w:val="nil"/>
            </w:tcBorders>
            <w:vAlign w:val="bottom"/>
          </w:tcPr>
          <w:p w14:paraId="68FA8FEB" w14:textId="77777777" w:rsidR="00863311" w:rsidRPr="004A5792" w:rsidRDefault="00863311" w:rsidP="00863311">
            <w:pPr>
              <w:pStyle w:val="TableText"/>
              <w:tabs>
                <w:tab w:val="left" w:pos="3306"/>
              </w:tabs>
              <w:rPr>
                <w:rFonts w:cs="Calibri"/>
              </w:rPr>
            </w:pPr>
            <w:r w:rsidRPr="004A5792">
              <w:rPr>
                <w:rFonts w:cs="Calibri"/>
              </w:rPr>
              <w:t>Later than five years</w:t>
            </w:r>
          </w:p>
        </w:tc>
        <w:tc>
          <w:tcPr>
            <w:tcW w:w="1561" w:type="dxa"/>
            <w:gridSpan w:val="2"/>
            <w:tcBorders>
              <w:top w:val="nil"/>
              <w:left w:val="nil"/>
              <w:bottom w:val="single" w:sz="4" w:space="0" w:color="auto"/>
              <w:right w:val="nil"/>
            </w:tcBorders>
            <w:vAlign w:val="bottom"/>
          </w:tcPr>
          <w:p w14:paraId="6F70257A" w14:textId="7A6AD656" w:rsidR="00863311" w:rsidRPr="004A5792" w:rsidRDefault="00863311" w:rsidP="00863311">
            <w:pPr>
              <w:pStyle w:val="TableText"/>
              <w:tabs>
                <w:tab w:val="left" w:pos="3306"/>
              </w:tabs>
              <w:jc w:val="right"/>
              <w:rPr>
                <w:rFonts w:cs="Calibri"/>
              </w:rPr>
            </w:pPr>
          </w:p>
        </w:tc>
        <w:tc>
          <w:tcPr>
            <w:tcW w:w="1669" w:type="dxa"/>
            <w:tcBorders>
              <w:top w:val="nil"/>
              <w:left w:val="nil"/>
              <w:bottom w:val="single" w:sz="4" w:space="0" w:color="auto"/>
            </w:tcBorders>
            <w:vAlign w:val="bottom"/>
          </w:tcPr>
          <w:p w14:paraId="3C5AA3DE" w14:textId="3993E953" w:rsidR="00863311" w:rsidRPr="004A5792" w:rsidRDefault="00863311" w:rsidP="00863311">
            <w:pPr>
              <w:pStyle w:val="TableText"/>
              <w:tabs>
                <w:tab w:val="left" w:pos="3306"/>
              </w:tabs>
              <w:jc w:val="right"/>
              <w:rPr>
                <w:rFonts w:cs="Calibri"/>
              </w:rPr>
            </w:pPr>
          </w:p>
        </w:tc>
      </w:tr>
      <w:tr w:rsidR="00863311" w:rsidRPr="00CF7E1B" w14:paraId="17023FFD" w14:textId="77777777" w:rsidTr="00D919F2">
        <w:trPr>
          <w:cantSplit/>
          <w:trHeight w:val="20"/>
        </w:trPr>
        <w:tc>
          <w:tcPr>
            <w:tcW w:w="1563" w:type="dxa"/>
            <w:tcBorders>
              <w:top w:val="nil"/>
              <w:left w:val="single" w:sz="2" w:space="0" w:color="auto"/>
              <w:bottom w:val="nil"/>
              <w:right w:val="single" w:sz="2" w:space="0" w:color="auto"/>
            </w:tcBorders>
          </w:tcPr>
          <w:p w14:paraId="3F8A5A6D" w14:textId="77777777" w:rsidR="00863311" w:rsidRPr="00855BC7" w:rsidRDefault="00863311" w:rsidP="00863311">
            <w:pPr>
              <w:pStyle w:val="TableReference"/>
              <w:tabs>
                <w:tab w:val="left" w:pos="3306"/>
              </w:tabs>
              <w:spacing w:before="40"/>
              <w:rPr>
                <w:rFonts w:cs="Calibri"/>
                <w:color w:val="7030A0"/>
                <w:sz w:val="14"/>
              </w:rPr>
            </w:pPr>
          </w:p>
        </w:tc>
        <w:tc>
          <w:tcPr>
            <w:tcW w:w="5705" w:type="dxa"/>
            <w:gridSpan w:val="2"/>
            <w:tcBorders>
              <w:left w:val="single" w:sz="2" w:space="0" w:color="auto"/>
              <w:right w:val="nil"/>
            </w:tcBorders>
            <w:vAlign w:val="bottom"/>
          </w:tcPr>
          <w:p w14:paraId="39BBD48D" w14:textId="77777777" w:rsidR="00863311" w:rsidRPr="004A5792" w:rsidRDefault="00863311" w:rsidP="00863311">
            <w:pPr>
              <w:pStyle w:val="TableText"/>
              <w:tabs>
                <w:tab w:val="left" w:pos="3306"/>
              </w:tabs>
              <w:rPr>
                <w:rFonts w:cs="Calibri"/>
                <w:b/>
                <w:bCs/>
              </w:rPr>
            </w:pPr>
            <w:r w:rsidRPr="004A5792">
              <w:rPr>
                <w:rFonts w:cs="Calibri"/>
                <w:b/>
                <w:bCs/>
              </w:rPr>
              <w:t>Total Other Commitments</w:t>
            </w:r>
          </w:p>
        </w:tc>
        <w:tc>
          <w:tcPr>
            <w:tcW w:w="1561" w:type="dxa"/>
            <w:gridSpan w:val="2"/>
            <w:tcBorders>
              <w:top w:val="single" w:sz="4" w:space="0" w:color="auto"/>
              <w:left w:val="nil"/>
              <w:bottom w:val="double" w:sz="4" w:space="0" w:color="auto"/>
              <w:right w:val="nil"/>
            </w:tcBorders>
            <w:vAlign w:val="bottom"/>
          </w:tcPr>
          <w:p w14:paraId="75D5ED9A" w14:textId="733FA259" w:rsidR="00863311" w:rsidRPr="004A5792" w:rsidRDefault="00863311" w:rsidP="00863311">
            <w:pPr>
              <w:pStyle w:val="TableText"/>
              <w:tabs>
                <w:tab w:val="left" w:pos="3306"/>
              </w:tabs>
              <w:jc w:val="right"/>
              <w:rPr>
                <w:rFonts w:cs="Calibri"/>
                <w:b/>
                <w:bCs/>
              </w:rPr>
            </w:pPr>
          </w:p>
        </w:tc>
        <w:tc>
          <w:tcPr>
            <w:tcW w:w="1669" w:type="dxa"/>
            <w:tcBorders>
              <w:top w:val="single" w:sz="4" w:space="0" w:color="auto"/>
              <w:left w:val="nil"/>
              <w:bottom w:val="double" w:sz="4" w:space="0" w:color="auto"/>
            </w:tcBorders>
            <w:vAlign w:val="bottom"/>
          </w:tcPr>
          <w:p w14:paraId="2B09189E" w14:textId="6FADA27E" w:rsidR="00863311" w:rsidRPr="004A5792" w:rsidRDefault="00863311" w:rsidP="00863311">
            <w:pPr>
              <w:pStyle w:val="TableText"/>
              <w:tabs>
                <w:tab w:val="left" w:pos="3306"/>
              </w:tabs>
              <w:jc w:val="right"/>
              <w:rPr>
                <w:rFonts w:cs="Calibri"/>
                <w:b/>
                <w:bCs/>
              </w:rPr>
            </w:pPr>
          </w:p>
        </w:tc>
      </w:tr>
      <w:tr w:rsidR="00B742D8" w:rsidRPr="00CF7E1B" w14:paraId="41BC7BC1" w14:textId="77777777" w:rsidTr="00D919F2">
        <w:trPr>
          <w:cantSplit/>
          <w:trHeight w:val="20"/>
        </w:trPr>
        <w:tc>
          <w:tcPr>
            <w:tcW w:w="1563" w:type="dxa"/>
            <w:tcBorders>
              <w:top w:val="nil"/>
              <w:left w:val="single" w:sz="2" w:space="0" w:color="auto"/>
              <w:bottom w:val="nil"/>
              <w:right w:val="single" w:sz="2" w:space="0" w:color="auto"/>
            </w:tcBorders>
          </w:tcPr>
          <w:p w14:paraId="46D67B6F" w14:textId="77777777" w:rsidR="00B742D8" w:rsidRPr="00855BC7" w:rsidRDefault="00B742D8" w:rsidP="00863311">
            <w:pPr>
              <w:pStyle w:val="TableReference"/>
              <w:tabs>
                <w:tab w:val="left" w:pos="3306"/>
              </w:tabs>
              <w:spacing w:before="40"/>
              <w:rPr>
                <w:rFonts w:cs="Calibri"/>
                <w:color w:val="7030A0"/>
                <w:sz w:val="14"/>
              </w:rPr>
            </w:pPr>
          </w:p>
        </w:tc>
        <w:tc>
          <w:tcPr>
            <w:tcW w:w="5705" w:type="dxa"/>
            <w:gridSpan w:val="2"/>
            <w:tcBorders>
              <w:left w:val="single" w:sz="2" w:space="0" w:color="auto"/>
              <w:right w:val="nil"/>
            </w:tcBorders>
            <w:vAlign w:val="bottom"/>
          </w:tcPr>
          <w:p w14:paraId="2D4A3428" w14:textId="77777777" w:rsidR="00B742D8" w:rsidRPr="004A5792" w:rsidRDefault="00B742D8" w:rsidP="00863311">
            <w:pPr>
              <w:pStyle w:val="TableText"/>
              <w:tabs>
                <w:tab w:val="left" w:pos="3306"/>
              </w:tabs>
              <w:rPr>
                <w:rFonts w:cs="Calibri"/>
                <w:b/>
                <w:bCs/>
              </w:rPr>
            </w:pPr>
          </w:p>
        </w:tc>
        <w:tc>
          <w:tcPr>
            <w:tcW w:w="1561" w:type="dxa"/>
            <w:gridSpan w:val="2"/>
            <w:tcBorders>
              <w:top w:val="double" w:sz="4" w:space="0" w:color="auto"/>
              <w:left w:val="nil"/>
              <w:right w:val="nil"/>
            </w:tcBorders>
            <w:vAlign w:val="bottom"/>
          </w:tcPr>
          <w:p w14:paraId="12BFAC6A" w14:textId="77777777" w:rsidR="00B742D8" w:rsidRPr="004A5792" w:rsidRDefault="00B742D8" w:rsidP="00863311">
            <w:pPr>
              <w:pStyle w:val="TableText"/>
              <w:tabs>
                <w:tab w:val="left" w:pos="3306"/>
              </w:tabs>
              <w:jc w:val="right"/>
              <w:rPr>
                <w:rFonts w:cs="Calibri"/>
                <w:b/>
                <w:bCs/>
              </w:rPr>
            </w:pPr>
          </w:p>
        </w:tc>
        <w:tc>
          <w:tcPr>
            <w:tcW w:w="1669" w:type="dxa"/>
            <w:tcBorders>
              <w:top w:val="double" w:sz="4" w:space="0" w:color="auto"/>
              <w:left w:val="nil"/>
            </w:tcBorders>
            <w:vAlign w:val="bottom"/>
          </w:tcPr>
          <w:p w14:paraId="5E4615BA" w14:textId="77777777" w:rsidR="00B742D8" w:rsidRPr="004A5792" w:rsidRDefault="00B742D8" w:rsidP="00863311">
            <w:pPr>
              <w:pStyle w:val="TableText"/>
              <w:tabs>
                <w:tab w:val="left" w:pos="3306"/>
              </w:tabs>
              <w:jc w:val="right"/>
              <w:rPr>
                <w:rFonts w:cs="Calibri"/>
                <w:b/>
                <w:bCs/>
              </w:rPr>
            </w:pPr>
          </w:p>
        </w:tc>
      </w:tr>
      <w:tr w:rsidR="00BB2BFF" w:rsidRPr="00CF7E1B" w14:paraId="0703E023" w14:textId="77777777" w:rsidTr="00D919F2">
        <w:trPr>
          <w:cantSplit/>
          <w:trHeight w:val="20"/>
        </w:trPr>
        <w:tc>
          <w:tcPr>
            <w:tcW w:w="1563" w:type="dxa"/>
            <w:tcBorders>
              <w:top w:val="nil"/>
              <w:left w:val="single" w:sz="2" w:space="0" w:color="auto"/>
              <w:bottom w:val="nil"/>
              <w:right w:val="single" w:sz="2" w:space="0" w:color="auto"/>
            </w:tcBorders>
          </w:tcPr>
          <w:p w14:paraId="41E5E158" w14:textId="77777777" w:rsidR="00BB2BFF" w:rsidRPr="00855BC7" w:rsidRDefault="00BB2BFF" w:rsidP="00863311">
            <w:pPr>
              <w:pStyle w:val="TableReference"/>
              <w:tabs>
                <w:tab w:val="left" w:pos="3306"/>
              </w:tabs>
              <w:spacing w:before="40"/>
              <w:rPr>
                <w:rFonts w:cs="Calibri"/>
                <w:color w:val="7030A0"/>
                <w:sz w:val="14"/>
              </w:rPr>
            </w:pPr>
          </w:p>
        </w:tc>
        <w:tc>
          <w:tcPr>
            <w:tcW w:w="8935" w:type="dxa"/>
            <w:gridSpan w:val="5"/>
            <w:tcBorders>
              <w:left w:val="single" w:sz="2" w:space="0" w:color="auto"/>
            </w:tcBorders>
            <w:vAlign w:val="bottom"/>
          </w:tcPr>
          <w:p w14:paraId="5657F2A1" w14:textId="55E663C1" w:rsidR="00BB2BFF" w:rsidRPr="004A5792" w:rsidRDefault="00BB2BFF" w:rsidP="00BB2BFF">
            <w:pPr>
              <w:pStyle w:val="TableText"/>
              <w:tabs>
                <w:tab w:val="left" w:pos="3306"/>
              </w:tabs>
              <w:rPr>
                <w:rFonts w:cs="Calibri"/>
                <w:b/>
                <w:bCs/>
              </w:rPr>
            </w:pPr>
            <w:r w:rsidRPr="004A5792">
              <w:rPr>
                <w:rFonts w:cs="Calibri"/>
              </w:rPr>
              <w:t>All amounts shown in the commitment note are inclusive of GST.</w:t>
            </w:r>
          </w:p>
        </w:tc>
      </w:tr>
      <w:tr w:rsidR="00B742D8" w:rsidRPr="00CF7E1B" w14:paraId="0AD1C0C2" w14:textId="77777777" w:rsidTr="00D919F2">
        <w:trPr>
          <w:cantSplit/>
          <w:trHeight w:val="20"/>
        </w:trPr>
        <w:tc>
          <w:tcPr>
            <w:tcW w:w="1563" w:type="dxa"/>
            <w:tcBorders>
              <w:top w:val="nil"/>
              <w:left w:val="single" w:sz="2" w:space="0" w:color="auto"/>
              <w:bottom w:val="nil"/>
              <w:right w:val="single" w:sz="2" w:space="0" w:color="auto"/>
            </w:tcBorders>
          </w:tcPr>
          <w:p w14:paraId="5DCDE582" w14:textId="77777777" w:rsidR="00B742D8" w:rsidRPr="00855BC7" w:rsidRDefault="00B742D8" w:rsidP="00863311">
            <w:pPr>
              <w:pStyle w:val="TableReference"/>
              <w:tabs>
                <w:tab w:val="left" w:pos="3306"/>
              </w:tabs>
              <w:spacing w:before="40"/>
              <w:rPr>
                <w:rFonts w:cs="Calibri"/>
                <w:color w:val="7030A0"/>
                <w:sz w:val="14"/>
              </w:rPr>
            </w:pPr>
          </w:p>
        </w:tc>
        <w:tc>
          <w:tcPr>
            <w:tcW w:w="5705" w:type="dxa"/>
            <w:gridSpan w:val="2"/>
            <w:tcBorders>
              <w:left w:val="single" w:sz="2" w:space="0" w:color="auto"/>
              <w:right w:val="nil"/>
            </w:tcBorders>
            <w:vAlign w:val="bottom"/>
          </w:tcPr>
          <w:p w14:paraId="3EEA9174" w14:textId="77777777" w:rsidR="00B742D8" w:rsidRPr="00CF7E1B" w:rsidRDefault="00B742D8" w:rsidP="00863311">
            <w:pPr>
              <w:pStyle w:val="TableText"/>
              <w:tabs>
                <w:tab w:val="left" w:pos="3306"/>
              </w:tabs>
              <w:rPr>
                <w:rFonts w:cs="Calibri"/>
                <w:b/>
                <w:bCs/>
              </w:rPr>
            </w:pPr>
          </w:p>
        </w:tc>
        <w:tc>
          <w:tcPr>
            <w:tcW w:w="1561" w:type="dxa"/>
            <w:gridSpan w:val="2"/>
            <w:tcBorders>
              <w:left w:val="nil"/>
              <w:right w:val="nil"/>
            </w:tcBorders>
            <w:vAlign w:val="bottom"/>
          </w:tcPr>
          <w:p w14:paraId="47DAF831" w14:textId="77777777" w:rsidR="00B742D8" w:rsidRPr="00CF7E1B" w:rsidRDefault="00B742D8" w:rsidP="00863311">
            <w:pPr>
              <w:pStyle w:val="TableText"/>
              <w:tabs>
                <w:tab w:val="left" w:pos="3306"/>
              </w:tabs>
              <w:jc w:val="right"/>
              <w:rPr>
                <w:rFonts w:cs="Calibri"/>
                <w:b/>
                <w:bCs/>
              </w:rPr>
            </w:pPr>
          </w:p>
        </w:tc>
        <w:tc>
          <w:tcPr>
            <w:tcW w:w="1669" w:type="dxa"/>
            <w:tcBorders>
              <w:left w:val="nil"/>
            </w:tcBorders>
            <w:vAlign w:val="bottom"/>
          </w:tcPr>
          <w:p w14:paraId="36703C9A" w14:textId="77777777" w:rsidR="00B742D8" w:rsidRPr="00CF7E1B" w:rsidRDefault="00B742D8" w:rsidP="00863311">
            <w:pPr>
              <w:pStyle w:val="TableText"/>
              <w:tabs>
                <w:tab w:val="left" w:pos="3306"/>
              </w:tabs>
              <w:jc w:val="right"/>
              <w:rPr>
                <w:rFonts w:cs="Calibri"/>
                <w:b/>
                <w:bCs/>
              </w:rPr>
            </w:pPr>
          </w:p>
        </w:tc>
      </w:tr>
      <w:tr w:rsidR="00863311" w:rsidRPr="00CF7E1B" w14:paraId="26E241D2" w14:textId="77777777" w:rsidTr="00D919F2">
        <w:trPr>
          <w:cantSplit/>
          <w:trHeight w:val="119"/>
        </w:trPr>
        <w:tc>
          <w:tcPr>
            <w:tcW w:w="1563" w:type="dxa"/>
            <w:tcBorders>
              <w:top w:val="nil"/>
              <w:left w:val="single" w:sz="2" w:space="0" w:color="auto"/>
              <w:bottom w:val="nil"/>
              <w:right w:val="single" w:sz="2" w:space="0" w:color="auto"/>
            </w:tcBorders>
          </w:tcPr>
          <w:p w14:paraId="4C5D978A" w14:textId="77777777" w:rsidR="00863311" w:rsidRPr="00855BC7" w:rsidRDefault="00863311" w:rsidP="00863311">
            <w:pPr>
              <w:pStyle w:val="TableReference"/>
              <w:tabs>
                <w:tab w:val="left" w:pos="3306"/>
              </w:tabs>
              <w:spacing w:before="40"/>
              <w:rPr>
                <w:rFonts w:cs="Calibri"/>
                <w:color w:val="7030A0"/>
                <w:sz w:val="14"/>
              </w:rPr>
            </w:pPr>
          </w:p>
        </w:tc>
        <w:tc>
          <w:tcPr>
            <w:tcW w:w="8935" w:type="dxa"/>
            <w:gridSpan w:val="5"/>
            <w:tcBorders>
              <w:top w:val="nil"/>
              <w:left w:val="single" w:sz="2" w:space="0" w:color="auto"/>
              <w:bottom w:val="nil"/>
            </w:tcBorders>
            <w:shd w:val="clear" w:color="auto" w:fill="7030A0"/>
            <w:vAlign w:val="bottom"/>
          </w:tcPr>
          <w:p w14:paraId="3D8B5FAD" w14:textId="6AA6714E" w:rsidR="00863311" w:rsidRPr="004A5792" w:rsidRDefault="00863311" w:rsidP="006B468D">
            <w:pPr>
              <w:pStyle w:val="CommentaryTitle"/>
              <w:spacing w:before="0" w:after="240"/>
              <w:rPr>
                <w:rFonts w:cs="Calibri"/>
                <w:color w:val="FFFFFF" w:themeColor="background1"/>
                <w:sz w:val="28"/>
                <w:szCs w:val="28"/>
              </w:rPr>
            </w:pPr>
            <w:r w:rsidRPr="004A5792">
              <w:rPr>
                <w:rFonts w:cs="Calibri"/>
                <w:color w:val="FFFFFF" w:themeColor="background1"/>
                <w:sz w:val="28"/>
                <w:szCs w:val="28"/>
              </w:rPr>
              <w:t xml:space="preserve">Commentary – Note </w:t>
            </w:r>
            <w:r w:rsidR="000E2959" w:rsidRPr="004A5792">
              <w:rPr>
                <w:rFonts w:cs="Calibri"/>
                <w:color w:val="FFFFFF" w:themeColor="background1"/>
                <w:sz w:val="28"/>
                <w:szCs w:val="28"/>
              </w:rPr>
              <w:t>5</w:t>
            </w:r>
            <w:r w:rsidR="00A05D1E">
              <w:rPr>
                <w:rFonts w:cs="Calibri"/>
                <w:color w:val="FFFFFF" w:themeColor="background1"/>
                <w:sz w:val="28"/>
                <w:szCs w:val="28"/>
              </w:rPr>
              <w:t>4</w:t>
            </w:r>
            <w:r w:rsidRPr="004A5792">
              <w:rPr>
                <w:rFonts w:cs="Calibri"/>
                <w:color w:val="FFFFFF" w:themeColor="background1"/>
                <w:sz w:val="28"/>
                <w:szCs w:val="28"/>
              </w:rPr>
              <w:t xml:space="preserve">: Commitments </w:t>
            </w:r>
            <w:r w:rsidR="005F62CB" w:rsidRPr="004A5792">
              <w:rPr>
                <w:rFonts w:cs="Calibri"/>
                <w:color w:val="FFFFFF" w:themeColor="background1"/>
                <w:sz w:val="28"/>
                <w:szCs w:val="28"/>
              </w:rPr>
              <w:t>–</w:t>
            </w:r>
            <w:r w:rsidRPr="004A5792">
              <w:rPr>
                <w:rFonts w:cs="Calibri"/>
                <w:color w:val="FFFFFF" w:themeColor="background1"/>
                <w:sz w:val="28"/>
                <w:szCs w:val="28"/>
              </w:rPr>
              <w:t xml:space="preserve"> Territorial</w:t>
            </w:r>
            <w:r w:rsidR="005F62CB" w:rsidRPr="004A5792">
              <w:rPr>
                <w:rFonts w:cs="Calibri"/>
                <w:color w:val="FFFFFF" w:themeColor="background1"/>
                <w:sz w:val="28"/>
                <w:szCs w:val="28"/>
              </w:rPr>
              <w:t xml:space="preserve"> </w:t>
            </w:r>
          </w:p>
        </w:tc>
      </w:tr>
      <w:tr w:rsidR="00A46ACC" w:rsidRPr="00253798" w14:paraId="75A5E2D0" w14:textId="77777777" w:rsidTr="00D919F2">
        <w:trPr>
          <w:cantSplit/>
          <w:trHeight w:val="697"/>
        </w:trPr>
        <w:tc>
          <w:tcPr>
            <w:tcW w:w="1563" w:type="dxa"/>
            <w:tcBorders>
              <w:top w:val="nil"/>
              <w:left w:val="single" w:sz="2" w:space="0" w:color="auto"/>
              <w:bottom w:val="nil"/>
              <w:right w:val="single" w:sz="2" w:space="0" w:color="auto"/>
            </w:tcBorders>
          </w:tcPr>
          <w:p w14:paraId="05F06FBA" w14:textId="77777777" w:rsidR="00A46ACC" w:rsidRPr="00855BC7" w:rsidRDefault="00A46ACC" w:rsidP="009A0F2F">
            <w:pPr>
              <w:pStyle w:val="TableReference"/>
              <w:tabs>
                <w:tab w:val="left" w:pos="3306"/>
              </w:tabs>
              <w:rPr>
                <w:rFonts w:cs="Calibri"/>
                <w:color w:val="7030A0"/>
                <w:sz w:val="14"/>
              </w:rPr>
            </w:pPr>
          </w:p>
          <w:p w14:paraId="73FAE9CA" w14:textId="77777777" w:rsidR="00A46ACC" w:rsidRPr="00855BC7" w:rsidRDefault="00A46ACC" w:rsidP="009A0F2F">
            <w:pPr>
              <w:pStyle w:val="TableReference"/>
              <w:tabs>
                <w:tab w:val="left" w:pos="3306"/>
              </w:tabs>
              <w:rPr>
                <w:rFonts w:cs="Calibri"/>
                <w:color w:val="7030A0"/>
                <w:sz w:val="14"/>
              </w:rPr>
            </w:pPr>
          </w:p>
          <w:p w14:paraId="7BE7E590" w14:textId="77777777" w:rsidR="00A46ACC" w:rsidRPr="00855BC7" w:rsidRDefault="00A46ACC" w:rsidP="009A0F2F">
            <w:pPr>
              <w:pStyle w:val="TableReference"/>
              <w:tabs>
                <w:tab w:val="left" w:pos="3306"/>
              </w:tabs>
              <w:rPr>
                <w:rFonts w:cs="Calibri"/>
                <w:color w:val="7030A0"/>
                <w:sz w:val="14"/>
              </w:rPr>
            </w:pPr>
            <w:r w:rsidRPr="00855BC7">
              <w:rPr>
                <w:rFonts w:cs="Calibri"/>
                <w:color w:val="7030A0"/>
                <w:sz w:val="14"/>
              </w:rPr>
              <w:t>ACT Disclosure Policy</w:t>
            </w:r>
          </w:p>
        </w:tc>
        <w:tc>
          <w:tcPr>
            <w:tcW w:w="8935" w:type="dxa"/>
            <w:gridSpan w:val="5"/>
            <w:tcBorders>
              <w:top w:val="nil"/>
              <w:left w:val="single" w:sz="2" w:space="0" w:color="auto"/>
              <w:bottom w:val="nil"/>
            </w:tcBorders>
            <w:shd w:val="clear" w:color="auto" w:fill="7030A0"/>
          </w:tcPr>
          <w:p w14:paraId="0A5EB6D5" w14:textId="77777777" w:rsidR="00A46ACC" w:rsidRPr="004A5792" w:rsidRDefault="00A46ACC" w:rsidP="009A0F2F">
            <w:pPr>
              <w:pStyle w:val="CommentaryTitle"/>
              <w:pageBreakBefore w:val="0"/>
              <w:tabs>
                <w:tab w:val="left" w:pos="3306"/>
              </w:tabs>
              <w:spacing w:after="0"/>
              <w:rPr>
                <w:rFonts w:cs="Calibri"/>
                <w:color w:val="FFFFFF" w:themeColor="background1"/>
                <w:sz w:val="18"/>
                <w:szCs w:val="18"/>
              </w:rPr>
            </w:pPr>
            <w:r w:rsidRPr="004A5792">
              <w:rPr>
                <w:rFonts w:cs="Calibri"/>
                <w:color w:val="FFFFFF" w:themeColor="background1"/>
                <w:sz w:val="18"/>
                <w:szCs w:val="18"/>
              </w:rPr>
              <w:t>Time Bands</w:t>
            </w:r>
          </w:p>
          <w:p w14:paraId="6E98C40C" w14:textId="77777777" w:rsidR="00A46ACC" w:rsidRPr="004A5792" w:rsidRDefault="00A46ACC" w:rsidP="009A0F2F">
            <w:pPr>
              <w:pStyle w:val="TableText"/>
              <w:tabs>
                <w:tab w:val="left" w:pos="3306"/>
              </w:tabs>
              <w:spacing w:before="0" w:after="120"/>
              <w:jc w:val="both"/>
              <w:rPr>
                <w:rFonts w:cs="Calibri"/>
                <w:strike/>
                <w:color w:val="FFFFFF" w:themeColor="background1"/>
              </w:rPr>
            </w:pPr>
            <w:r w:rsidRPr="004A5792">
              <w:rPr>
                <w:rFonts w:cs="Calibri"/>
                <w:color w:val="FFFFFF" w:themeColor="background1"/>
              </w:rPr>
              <w:t>Whilst there is no requirement in the accounting standards to disclose capital and expenditure commitments by time bands, ACT Disclosure Policy requires this since it is considered to provide useful information to the users of financial statements.</w:t>
            </w:r>
          </w:p>
        </w:tc>
      </w:tr>
      <w:tr w:rsidR="00863311" w:rsidRPr="00253798" w14:paraId="40BFF1A4" w14:textId="77777777" w:rsidTr="00D919F2">
        <w:trPr>
          <w:cantSplit/>
          <w:trHeight w:val="697"/>
        </w:trPr>
        <w:tc>
          <w:tcPr>
            <w:tcW w:w="1563" w:type="dxa"/>
            <w:tcBorders>
              <w:top w:val="nil"/>
              <w:left w:val="single" w:sz="2" w:space="0" w:color="auto"/>
              <w:bottom w:val="nil"/>
              <w:right w:val="single" w:sz="2" w:space="0" w:color="auto"/>
            </w:tcBorders>
          </w:tcPr>
          <w:p w14:paraId="5103E430" w14:textId="77777777" w:rsidR="00863311" w:rsidRPr="00855BC7" w:rsidRDefault="00863311" w:rsidP="00863311">
            <w:pPr>
              <w:pStyle w:val="TableReference"/>
              <w:tabs>
                <w:tab w:val="left" w:pos="3306"/>
              </w:tabs>
              <w:spacing w:before="40"/>
              <w:rPr>
                <w:rFonts w:cs="Calibri"/>
                <w:color w:val="7030A0"/>
                <w:sz w:val="14"/>
              </w:rPr>
            </w:pPr>
          </w:p>
        </w:tc>
        <w:tc>
          <w:tcPr>
            <w:tcW w:w="8935" w:type="dxa"/>
            <w:gridSpan w:val="5"/>
            <w:tcBorders>
              <w:top w:val="nil"/>
              <w:left w:val="single" w:sz="2" w:space="0" w:color="auto"/>
              <w:bottom w:val="nil"/>
            </w:tcBorders>
            <w:shd w:val="clear" w:color="auto" w:fill="7030A0"/>
          </w:tcPr>
          <w:p w14:paraId="03ED46C0" w14:textId="442F001A" w:rsidR="00863311" w:rsidRPr="004A5792" w:rsidRDefault="00863311" w:rsidP="00863311">
            <w:pPr>
              <w:rPr>
                <w:rFonts w:cs="Calibri"/>
                <w:color w:val="FFFFFF" w:themeColor="background1"/>
                <w:sz w:val="20"/>
                <w:szCs w:val="20"/>
              </w:rPr>
            </w:pPr>
            <w:r w:rsidRPr="004A5792">
              <w:rPr>
                <w:rFonts w:cs="Calibri"/>
                <w:color w:val="FFFFFF" w:themeColor="background1"/>
                <w:sz w:val="18"/>
                <w:szCs w:val="18"/>
              </w:rPr>
              <w:t xml:space="preserve">If there are no commitments to be reported the whole note should </w:t>
            </w:r>
            <w:r w:rsidR="00BD13B2" w:rsidRPr="004A5792">
              <w:rPr>
                <w:rFonts w:cs="Calibri"/>
                <w:color w:val="FFFFFF" w:themeColor="background1"/>
                <w:sz w:val="18"/>
                <w:szCs w:val="18"/>
              </w:rPr>
              <w:t>not be included in an Agency’s Financial Statements</w:t>
            </w:r>
            <w:r w:rsidRPr="004A5792">
              <w:rPr>
                <w:rFonts w:cs="Calibri"/>
                <w:color w:val="FFFFFF" w:themeColor="background1"/>
                <w:sz w:val="18"/>
                <w:szCs w:val="18"/>
              </w:rPr>
              <w:t>.</w:t>
            </w:r>
          </w:p>
        </w:tc>
      </w:tr>
    </w:tbl>
    <w:p w14:paraId="1EA5FBC5" w14:textId="3A9796B6" w:rsidR="009C6DD9" w:rsidRDefault="009C6DD9"/>
    <w:p w14:paraId="647D9497" w14:textId="40BA41D7" w:rsidR="00F85282" w:rsidRDefault="00F85282"/>
    <w:p w14:paraId="447CBEE7" w14:textId="77777777" w:rsidR="00F85282" w:rsidRDefault="00F85282"/>
    <w:tbl>
      <w:tblPr>
        <w:tblW w:w="49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2"/>
        <w:gridCol w:w="8931"/>
      </w:tblGrid>
      <w:tr w:rsidR="00253798" w:rsidRPr="00CF7E1B" w14:paraId="6FC5F1B1" w14:textId="77777777" w:rsidTr="00D919F2">
        <w:trPr>
          <w:trHeight w:val="527"/>
        </w:trPr>
        <w:tc>
          <w:tcPr>
            <w:tcW w:w="1562" w:type="dxa"/>
            <w:tcBorders>
              <w:top w:val="nil"/>
              <w:left w:val="single" w:sz="2" w:space="0" w:color="auto"/>
              <w:bottom w:val="nil"/>
              <w:right w:val="single" w:sz="2" w:space="0" w:color="auto"/>
            </w:tcBorders>
          </w:tcPr>
          <w:p w14:paraId="1DCF9BEB" w14:textId="415EC9E7" w:rsidR="00253798" w:rsidRPr="00855BC7" w:rsidRDefault="00F752A5" w:rsidP="005D3C33">
            <w:pPr>
              <w:pStyle w:val="TableReference"/>
              <w:tabs>
                <w:tab w:val="left" w:pos="3306"/>
              </w:tabs>
              <w:spacing w:before="240" w:after="240"/>
              <w:rPr>
                <w:rFonts w:asciiTheme="minorHAnsi" w:hAnsiTheme="minorHAnsi" w:cstheme="minorHAnsi"/>
                <w:color w:val="7030A0"/>
                <w:sz w:val="22"/>
                <w:szCs w:val="22"/>
              </w:rPr>
            </w:pPr>
            <w:r w:rsidRPr="00855BC7">
              <w:rPr>
                <w:rFonts w:asciiTheme="minorHAnsi" w:hAnsiTheme="minorHAnsi" w:cstheme="minorHAnsi"/>
                <w:b/>
                <w:color w:val="7030A0"/>
                <w:sz w:val="22"/>
                <w:szCs w:val="22"/>
              </w:rPr>
              <w:t>Reference</w:t>
            </w:r>
          </w:p>
        </w:tc>
        <w:tc>
          <w:tcPr>
            <w:tcW w:w="8931" w:type="dxa"/>
            <w:tcBorders>
              <w:top w:val="nil"/>
              <w:left w:val="single" w:sz="2" w:space="0" w:color="auto"/>
              <w:bottom w:val="nil"/>
              <w:right w:val="nil"/>
            </w:tcBorders>
          </w:tcPr>
          <w:p w14:paraId="409D5B57" w14:textId="2F80981A" w:rsidR="00253798" w:rsidRPr="004A5792" w:rsidRDefault="00253798" w:rsidP="006B468D">
            <w:pPr>
              <w:pStyle w:val="Heading1"/>
              <w:numPr>
                <w:ilvl w:val="0"/>
                <w:numId w:val="0"/>
              </w:numPr>
            </w:pPr>
            <w:bookmarkStart w:id="1011" w:name="_Toc223433239"/>
            <w:bookmarkStart w:id="1012" w:name="_Toc400627389"/>
            <w:bookmarkStart w:id="1013" w:name="contingentliabandassetsterritorial"/>
            <w:bookmarkStart w:id="1014" w:name="_Toc98763213"/>
            <w:r w:rsidRPr="004A5792">
              <w:t xml:space="preserve">Note </w:t>
            </w:r>
            <w:r w:rsidR="000E2959" w:rsidRPr="004A5792">
              <w:t>5</w:t>
            </w:r>
            <w:r w:rsidR="00A05D1E">
              <w:t>5</w:t>
            </w:r>
            <w:r w:rsidRPr="004A5792">
              <w:t>.</w:t>
            </w:r>
            <w:r w:rsidR="00FA7C77">
              <w:t xml:space="preserve"> </w:t>
            </w:r>
            <w:r w:rsidRPr="004A5792">
              <w:t xml:space="preserve"> Contingent Liabilities and Contingent Assets – Territorial</w:t>
            </w:r>
            <w:bookmarkEnd w:id="1011"/>
            <w:bookmarkEnd w:id="1012"/>
            <w:bookmarkEnd w:id="1013"/>
            <w:bookmarkEnd w:id="1014"/>
          </w:p>
        </w:tc>
      </w:tr>
      <w:tr w:rsidR="00F712CA" w:rsidRPr="00F712CA" w14:paraId="4E7751BF" w14:textId="77777777" w:rsidTr="00D919F2">
        <w:trPr>
          <w:trHeight w:val="170"/>
        </w:trPr>
        <w:tc>
          <w:tcPr>
            <w:tcW w:w="1562" w:type="dxa"/>
            <w:tcBorders>
              <w:top w:val="nil"/>
              <w:left w:val="single" w:sz="2" w:space="0" w:color="auto"/>
              <w:bottom w:val="nil"/>
              <w:right w:val="single" w:sz="2" w:space="0" w:color="auto"/>
            </w:tcBorders>
          </w:tcPr>
          <w:p w14:paraId="10BC8356" w14:textId="77777777" w:rsidR="00F712CA" w:rsidRPr="00855BC7" w:rsidRDefault="00F712CA" w:rsidP="00F712CA">
            <w:pPr>
              <w:rPr>
                <w:color w:val="7030A0"/>
                <w:sz w:val="18"/>
                <w:szCs w:val="18"/>
              </w:rPr>
            </w:pPr>
          </w:p>
        </w:tc>
        <w:tc>
          <w:tcPr>
            <w:tcW w:w="8931" w:type="dxa"/>
            <w:tcBorders>
              <w:top w:val="nil"/>
              <w:left w:val="single" w:sz="2" w:space="0" w:color="auto"/>
              <w:bottom w:val="nil"/>
              <w:right w:val="nil"/>
            </w:tcBorders>
          </w:tcPr>
          <w:p w14:paraId="2B07348A" w14:textId="3F7F8730" w:rsidR="00F712CA" w:rsidRPr="004A5792" w:rsidRDefault="00F712CA" w:rsidP="00F712CA">
            <w:pPr>
              <w:spacing w:after="40"/>
              <w:rPr>
                <w:b/>
                <w:sz w:val="18"/>
                <w:szCs w:val="18"/>
              </w:rPr>
            </w:pPr>
            <w:r w:rsidRPr="004A5792">
              <w:rPr>
                <w:b/>
                <w:sz w:val="18"/>
                <w:szCs w:val="18"/>
              </w:rPr>
              <w:t>Material Accounting Policies Relating to Contingent Liabilities and Contingent Assets</w:t>
            </w:r>
          </w:p>
        </w:tc>
      </w:tr>
      <w:tr w:rsidR="00F712CA" w:rsidRPr="00F712CA" w14:paraId="2844E607" w14:textId="77777777" w:rsidTr="00D919F2">
        <w:trPr>
          <w:trHeight w:val="527"/>
        </w:trPr>
        <w:tc>
          <w:tcPr>
            <w:tcW w:w="1562" w:type="dxa"/>
            <w:tcBorders>
              <w:top w:val="nil"/>
              <w:left w:val="single" w:sz="2" w:space="0" w:color="auto"/>
              <w:bottom w:val="nil"/>
              <w:right w:val="single" w:sz="2" w:space="0" w:color="auto"/>
            </w:tcBorders>
          </w:tcPr>
          <w:p w14:paraId="6DFA5F0A" w14:textId="77777777" w:rsidR="00F712CA" w:rsidRPr="00855BC7" w:rsidRDefault="00F712CA" w:rsidP="00F712CA">
            <w:pPr>
              <w:rPr>
                <w:color w:val="7030A0"/>
                <w:sz w:val="18"/>
                <w:szCs w:val="18"/>
              </w:rPr>
            </w:pPr>
          </w:p>
        </w:tc>
        <w:tc>
          <w:tcPr>
            <w:tcW w:w="8931" w:type="dxa"/>
            <w:tcBorders>
              <w:top w:val="nil"/>
              <w:left w:val="single" w:sz="2" w:space="0" w:color="auto"/>
              <w:bottom w:val="nil"/>
              <w:right w:val="nil"/>
            </w:tcBorders>
          </w:tcPr>
          <w:p w14:paraId="391CFDE4" w14:textId="55452729" w:rsidR="00F712CA" w:rsidRPr="004A5792" w:rsidRDefault="00F712CA" w:rsidP="00650A6A">
            <w:pPr>
              <w:spacing w:after="120"/>
              <w:jc w:val="both"/>
              <w:rPr>
                <w:sz w:val="18"/>
                <w:szCs w:val="18"/>
              </w:rPr>
            </w:pPr>
            <w:r w:rsidRPr="004A5792">
              <w:rPr>
                <w:bCs/>
                <w:sz w:val="18"/>
                <w:szCs w:val="18"/>
              </w:rPr>
              <w:t xml:space="preserve">Contingent </w:t>
            </w:r>
            <w:r w:rsidR="00650A6A" w:rsidRPr="004A5792">
              <w:rPr>
                <w:bCs/>
                <w:sz w:val="18"/>
                <w:szCs w:val="18"/>
              </w:rPr>
              <w:t xml:space="preserve">liabilities </w:t>
            </w:r>
            <w:r w:rsidRPr="004A5792">
              <w:rPr>
                <w:bCs/>
                <w:sz w:val="18"/>
                <w:szCs w:val="18"/>
              </w:rPr>
              <w:t xml:space="preserve">and contingent </w:t>
            </w:r>
            <w:r w:rsidR="00650A6A" w:rsidRPr="004A5792">
              <w:rPr>
                <w:bCs/>
                <w:sz w:val="18"/>
                <w:szCs w:val="18"/>
              </w:rPr>
              <w:t xml:space="preserve">assets </w:t>
            </w:r>
            <w:r w:rsidRPr="004A5792">
              <w:rPr>
                <w:bCs/>
                <w:sz w:val="18"/>
                <w:szCs w:val="18"/>
              </w:rPr>
              <w:t xml:space="preserve">are not recognised in the </w:t>
            </w:r>
            <w:r w:rsidR="00650A6A" w:rsidRPr="004A5792">
              <w:rPr>
                <w:bCs/>
                <w:sz w:val="18"/>
                <w:szCs w:val="18"/>
              </w:rPr>
              <w:t>S</w:t>
            </w:r>
            <w:r w:rsidRPr="004A5792">
              <w:rPr>
                <w:bCs/>
                <w:sz w:val="18"/>
                <w:szCs w:val="18"/>
              </w:rPr>
              <w:t xml:space="preserve">tatement of </w:t>
            </w:r>
            <w:r w:rsidR="00650A6A" w:rsidRPr="004A5792">
              <w:rPr>
                <w:bCs/>
                <w:sz w:val="18"/>
                <w:szCs w:val="18"/>
              </w:rPr>
              <w:t xml:space="preserve">Assets and Liabilities on Behalf of the Territory </w:t>
            </w:r>
            <w:r w:rsidRPr="004A5792">
              <w:rPr>
                <w:bCs/>
                <w:sz w:val="18"/>
                <w:szCs w:val="18"/>
              </w:rPr>
              <w:t>due to the uncertainty regarding any possible amount or timing of any underlying claim or obligation.</w:t>
            </w:r>
            <w:r w:rsidR="00FA7C77">
              <w:rPr>
                <w:bCs/>
                <w:sz w:val="18"/>
                <w:szCs w:val="18"/>
              </w:rPr>
              <w:t xml:space="preserve"> </w:t>
            </w:r>
            <w:r w:rsidRPr="004A5792">
              <w:rPr>
                <w:bCs/>
                <w:sz w:val="18"/>
                <w:szCs w:val="18"/>
              </w:rPr>
              <w:t>Instead they are disclosed and, if quantifiable, the best estimate is disclosed.</w:t>
            </w:r>
          </w:p>
        </w:tc>
      </w:tr>
      <w:tr w:rsidR="00A963E5" w:rsidRPr="00F712CA" w14:paraId="75B20F91" w14:textId="77777777" w:rsidTr="00D919F2">
        <w:trPr>
          <w:trHeight w:val="184"/>
        </w:trPr>
        <w:tc>
          <w:tcPr>
            <w:tcW w:w="1562" w:type="dxa"/>
            <w:tcBorders>
              <w:top w:val="nil"/>
              <w:left w:val="single" w:sz="2" w:space="0" w:color="auto"/>
              <w:bottom w:val="nil"/>
              <w:right w:val="single" w:sz="2" w:space="0" w:color="auto"/>
            </w:tcBorders>
          </w:tcPr>
          <w:p w14:paraId="15259775" w14:textId="77777777" w:rsidR="00A963E5" w:rsidRPr="00855BC7" w:rsidRDefault="00A963E5" w:rsidP="00F712CA">
            <w:pPr>
              <w:rPr>
                <w:color w:val="7030A0"/>
                <w:sz w:val="18"/>
                <w:szCs w:val="18"/>
              </w:rPr>
            </w:pPr>
          </w:p>
        </w:tc>
        <w:tc>
          <w:tcPr>
            <w:tcW w:w="8931" w:type="dxa"/>
            <w:tcBorders>
              <w:top w:val="nil"/>
              <w:left w:val="single" w:sz="2" w:space="0" w:color="auto"/>
              <w:bottom w:val="nil"/>
              <w:right w:val="nil"/>
            </w:tcBorders>
          </w:tcPr>
          <w:p w14:paraId="5E301568" w14:textId="19A90739" w:rsidR="00A963E5" w:rsidRPr="004A5792" w:rsidRDefault="00A963E5" w:rsidP="00A963E5">
            <w:pPr>
              <w:spacing w:after="40"/>
              <w:jc w:val="both"/>
              <w:rPr>
                <w:b/>
                <w:sz w:val="18"/>
                <w:szCs w:val="18"/>
              </w:rPr>
            </w:pPr>
            <w:r w:rsidRPr="004A5792">
              <w:rPr>
                <w:b/>
                <w:sz w:val="18"/>
                <w:szCs w:val="18"/>
              </w:rPr>
              <w:t>Legal Claims</w:t>
            </w:r>
          </w:p>
        </w:tc>
      </w:tr>
      <w:tr w:rsidR="00F712CA" w:rsidRPr="00253798" w14:paraId="356EE5CD" w14:textId="77777777" w:rsidTr="00D919F2">
        <w:tc>
          <w:tcPr>
            <w:tcW w:w="1562" w:type="dxa"/>
            <w:tcBorders>
              <w:top w:val="nil"/>
              <w:left w:val="single" w:sz="2" w:space="0" w:color="auto"/>
              <w:bottom w:val="nil"/>
              <w:right w:val="single" w:sz="2" w:space="0" w:color="auto"/>
            </w:tcBorders>
          </w:tcPr>
          <w:p w14:paraId="17D61262" w14:textId="77777777" w:rsidR="00F712CA" w:rsidRPr="00855BC7" w:rsidRDefault="00F712CA" w:rsidP="00F712CA">
            <w:pPr>
              <w:pStyle w:val="TableReference"/>
              <w:tabs>
                <w:tab w:val="left" w:pos="3306"/>
              </w:tabs>
              <w:rPr>
                <w:rFonts w:cs="Calibri"/>
                <w:color w:val="7030A0"/>
                <w:sz w:val="20"/>
                <w:szCs w:val="20"/>
              </w:rPr>
            </w:pPr>
          </w:p>
        </w:tc>
        <w:tc>
          <w:tcPr>
            <w:tcW w:w="8931" w:type="dxa"/>
            <w:tcBorders>
              <w:top w:val="nil"/>
              <w:left w:val="single" w:sz="2" w:space="0" w:color="auto"/>
              <w:bottom w:val="nil"/>
              <w:right w:val="nil"/>
            </w:tcBorders>
          </w:tcPr>
          <w:p w14:paraId="0A8BEF7B" w14:textId="4BB4CCA9" w:rsidR="00F712CA" w:rsidRPr="004A5792" w:rsidRDefault="00F712CA" w:rsidP="00F712CA">
            <w:pPr>
              <w:pStyle w:val="CommentaryText"/>
              <w:spacing w:after="0"/>
              <w:rPr>
                <w:rFonts w:cs="Calibri"/>
                <w:sz w:val="18"/>
                <w:szCs w:val="18"/>
              </w:rPr>
            </w:pPr>
            <w:r w:rsidRPr="004A5792">
              <w:rPr>
                <w:rFonts w:cs="Calibri"/>
                <w:sz w:val="18"/>
                <w:szCs w:val="18"/>
              </w:rPr>
              <w:t xml:space="preserve">As at 30 June 2022 there were </w:t>
            </w:r>
            <w:r w:rsidR="0087202A">
              <w:rPr>
                <w:rFonts w:cs="Calibri"/>
                <w:sz w:val="18"/>
                <w:szCs w:val="18"/>
              </w:rPr>
              <w:t>74</w:t>
            </w:r>
            <w:r w:rsidRPr="004A5792">
              <w:rPr>
                <w:rFonts w:cs="Calibri"/>
                <w:sz w:val="18"/>
                <w:szCs w:val="18"/>
              </w:rPr>
              <w:t xml:space="preserve"> outstanding legal</w:t>
            </w:r>
            <w:r w:rsidR="00A963E5" w:rsidRPr="004A5792">
              <w:rPr>
                <w:rFonts w:cs="Calibri"/>
                <w:sz w:val="18"/>
                <w:szCs w:val="18"/>
              </w:rPr>
              <w:t xml:space="preserve"> claims</w:t>
            </w:r>
            <w:r w:rsidRPr="004A5792">
              <w:rPr>
                <w:rFonts w:cs="Calibri"/>
                <w:sz w:val="18"/>
                <w:szCs w:val="18"/>
              </w:rPr>
              <w:t xml:space="preserve"> against ‘</w:t>
            </w:r>
            <w:r w:rsidR="00347866" w:rsidRPr="004A5792">
              <w:rPr>
                <w:sz w:val="18"/>
                <w:szCs w:val="18"/>
              </w:rPr>
              <w:t xml:space="preserve">Burley Griffin </w:t>
            </w:r>
            <w:r w:rsidRPr="004A5792">
              <w:rPr>
                <w:rFonts w:cs="Calibri"/>
                <w:sz w:val="18"/>
                <w:szCs w:val="18"/>
              </w:rPr>
              <w:t>Agency’ involving members of the public disputing traffic and parking fines that they had been issued in the financial year.</w:t>
            </w:r>
            <w:r w:rsidR="00FA7C77">
              <w:rPr>
                <w:rFonts w:cs="Calibri"/>
                <w:sz w:val="18"/>
                <w:szCs w:val="18"/>
              </w:rPr>
              <w:t xml:space="preserve"> </w:t>
            </w:r>
            <w:r w:rsidRPr="004A5792">
              <w:rPr>
                <w:rFonts w:cs="Calibri"/>
                <w:sz w:val="18"/>
                <w:szCs w:val="18"/>
              </w:rPr>
              <w:t>The disputes were made on the basis that the recipient either did not believe they committed the offence or they are not liable for the offence.</w:t>
            </w:r>
            <w:r w:rsidR="00FA7C77">
              <w:rPr>
                <w:rFonts w:cs="Calibri"/>
                <w:sz w:val="18"/>
                <w:szCs w:val="18"/>
              </w:rPr>
              <w:t xml:space="preserve"> </w:t>
            </w:r>
            <w:r w:rsidRPr="004A5792">
              <w:rPr>
                <w:rFonts w:cs="Calibri"/>
                <w:sz w:val="18"/>
                <w:szCs w:val="18"/>
              </w:rPr>
              <w:t>‘</w:t>
            </w:r>
            <w:r w:rsidR="00836324" w:rsidRPr="004A5792">
              <w:rPr>
                <w:sz w:val="18"/>
                <w:szCs w:val="18"/>
              </w:rPr>
              <w:t>Burley Griffin</w:t>
            </w:r>
            <w:r w:rsidRPr="004A5792">
              <w:rPr>
                <w:rFonts w:cs="Calibri"/>
                <w:sz w:val="18"/>
                <w:szCs w:val="18"/>
              </w:rPr>
              <w:t xml:space="preserve"> Agency’ is potentially liable for $xxx (2021 </w:t>
            </w:r>
            <w:r w:rsidRPr="004A5792">
              <w:rPr>
                <w:rFonts w:cs="Calibri"/>
                <w:sz w:val="18"/>
                <w:szCs w:val="18"/>
              </w:rPr>
              <w:softHyphen/>
              <w:t>$xxx).</w:t>
            </w:r>
          </w:p>
        </w:tc>
      </w:tr>
      <w:tr w:rsidR="00F712CA" w:rsidRPr="00CF7E1B" w14:paraId="05896997" w14:textId="77777777" w:rsidTr="00D919F2">
        <w:trPr>
          <w:trHeight w:val="23"/>
        </w:trPr>
        <w:tc>
          <w:tcPr>
            <w:tcW w:w="1562" w:type="dxa"/>
            <w:tcBorders>
              <w:top w:val="nil"/>
              <w:left w:val="single" w:sz="2" w:space="0" w:color="auto"/>
              <w:bottom w:val="nil"/>
              <w:right w:val="single" w:sz="2" w:space="0" w:color="auto"/>
            </w:tcBorders>
          </w:tcPr>
          <w:p w14:paraId="27617D87" w14:textId="6902A908" w:rsidR="00F712CA" w:rsidRPr="00855BC7" w:rsidRDefault="00F712CA" w:rsidP="00F712CA">
            <w:pPr>
              <w:pStyle w:val="TableReference"/>
              <w:tabs>
                <w:tab w:val="left" w:pos="3306"/>
              </w:tabs>
              <w:rPr>
                <w:rFonts w:cs="Calibri"/>
                <w:color w:val="7030A0"/>
                <w:sz w:val="14"/>
              </w:rPr>
            </w:pPr>
            <w:r w:rsidRPr="00855BC7">
              <w:rPr>
                <w:color w:val="7030A0"/>
              </w:rPr>
              <w:br w:type="page"/>
            </w:r>
          </w:p>
        </w:tc>
        <w:tc>
          <w:tcPr>
            <w:tcW w:w="8931" w:type="dxa"/>
            <w:tcBorders>
              <w:top w:val="nil"/>
              <w:left w:val="single" w:sz="2" w:space="0" w:color="auto"/>
              <w:bottom w:val="nil"/>
              <w:right w:val="nil"/>
            </w:tcBorders>
            <w:vAlign w:val="bottom"/>
          </w:tcPr>
          <w:p w14:paraId="62197424" w14:textId="407A9F42" w:rsidR="00F712CA" w:rsidRPr="004A5792" w:rsidRDefault="00F712CA" w:rsidP="00F712CA">
            <w:pPr>
              <w:pStyle w:val="Heading1"/>
              <w:numPr>
                <w:ilvl w:val="0"/>
                <w:numId w:val="0"/>
              </w:numPr>
            </w:pPr>
            <w:bookmarkStart w:id="1015" w:name="_Toc223433240"/>
            <w:bookmarkStart w:id="1016" w:name="_Toc400627390"/>
            <w:bookmarkStart w:id="1017" w:name="EventsAfterBalanceDate_Territorial"/>
            <w:bookmarkStart w:id="1018" w:name="_Toc98763214"/>
            <w:r w:rsidRPr="004A5792">
              <w:t xml:space="preserve">Note </w:t>
            </w:r>
            <w:r w:rsidR="000E2959" w:rsidRPr="004A5792">
              <w:t>5</w:t>
            </w:r>
            <w:r w:rsidR="00A05D1E">
              <w:t>6</w:t>
            </w:r>
            <w:r w:rsidRPr="004A5792">
              <w:t>.</w:t>
            </w:r>
            <w:r w:rsidR="00FA7C77">
              <w:t xml:space="preserve"> </w:t>
            </w:r>
            <w:r w:rsidRPr="004A5792">
              <w:t xml:space="preserve"> Events after the Reporting Period – Territorial</w:t>
            </w:r>
            <w:bookmarkEnd w:id="1015"/>
            <w:bookmarkEnd w:id="1016"/>
            <w:bookmarkEnd w:id="1017"/>
            <w:bookmarkEnd w:id="1018"/>
          </w:p>
        </w:tc>
      </w:tr>
      <w:tr w:rsidR="00F712CA" w:rsidRPr="00CF7E1B" w14:paraId="02B8DE86" w14:textId="77777777" w:rsidTr="00D919F2">
        <w:trPr>
          <w:trHeight w:val="23"/>
        </w:trPr>
        <w:tc>
          <w:tcPr>
            <w:tcW w:w="1562" w:type="dxa"/>
            <w:tcBorders>
              <w:top w:val="nil"/>
              <w:left w:val="single" w:sz="2" w:space="0" w:color="auto"/>
              <w:bottom w:val="nil"/>
              <w:right w:val="single" w:sz="2" w:space="0" w:color="auto"/>
            </w:tcBorders>
          </w:tcPr>
          <w:p w14:paraId="1562CF43" w14:textId="77777777" w:rsidR="00F712CA" w:rsidRPr="00855BC7" w:rsidRDefault="00F712CA" w:rsidP="00F712CA">
            <w:pPr>
              <w:pStyle w:val="TableReference"/>
              <w:tabs>
                <w:tab w:val="left" w:pos="3306"/>
              </w:tabs>
              <w:rPr>
                <w:color w:val="7030A0"/>
              </w:rPr>
            </w:pPr>
          </w:p>
        </w:tc>
        <w:tc>
          <w:tcPr>
            <w:tcW w:w="8931" w:type="dxa"/>
            <w:tcBorders>
              <w:top w:val="nil"/>
              <w:left w:val="single" w:sz="2" w:space="0" w:color="auto"/>
              <w:bottom w:val="nil"/>
              <w:right w:val="nil"/>
            </w:tcBorders>
          </w:tcPr>
          <w:p w14:paraId="0AB5FD08" w14:textId="7C776637" w:rsidR="00F712CA" w:rsidRPr="004A5792" w:rsidRDefault="00F712CA" w:rsidP="007156AA">
            <w:pPr>
              <w:spacing w:after="40"/>
              <w:rPr>
                <w:b/>
                <w:bCs/>
                <w:sz w:val="18"/>
                <w:szCs w:val="18"/>
              </w:rPr>
            </w:pPr>
            <w:r w:rsidRPr="004A5792">
              <w:rPr>
                <w:rFonts w:cs="Calibri"/>
                <w:b/>
                <w:bCs/>
                <w:sz w:val="18"/>
                <w:szCs w:val="18"/>
              </w:rPr>
              <w:t>Administrative Arrangement After the Reporting Period</w:t>
            </w:r>
          </w:p>
        </w:tc>
      </w:tr>
      <w:tr w:rsidR="00F712CA" w:rsidRPr="00CF7E1B" w14:paraId="44A2ABFB" w14:textId="77777777" w:rsidTr="00D919F2">
        <w:trPr>
          <w:trHeight w:val="227"/>
        </w:trPr>
        <w:tc>
          <w:tcPr>
            <w:tcW w:w="1562" w:type="dxa"/>
            <w:tcBorders>
              <w:top w:val="nil"/>
              <w:left w:val="single" w:sz="2" w:space="0" w:color="auto"/>
              <w:bottom w:val="nil"/>
              <w:right w:val="single" w:sz="2" w:space="0" w:color="auto"/>
            </w:tcBorders>
          </w:tcPr>
          <w:p w14:paraId="34E5AB65" w14:textId="299C6897" w:rsidR="00F712CA" w:rsidRPr="00855BC7" w:rsidRDefault="00F712CA" w:rsidP="00F712CA">
            <w:pPr>
              <w:pStyle w:val="TableReference"/>
              <w:tabs>
                <w:tab w:val="left" w:pos="3306"/>
              </w:tabs>
              <w:rPr>
                <w:rFonts w:cs="Calibri"/>
                <w:color w:val="7030A0"/>
                <w:sz w:val="14"/>
              </w:rPr>
            </w:pPr>
            <w:r w:rsidRPr="00855BC7">
              <w:rPr>
                <w:rFonts w:cs="Calibri"/>
                <w:color w:val="7030A0"/>
                <w:sz w:val="14"/>
              </w:rPr>
              <w:t>AASB 110.21(a)</w:t>
            </w:r>
          </w:p>
        </w:tc>
        <w:tc>
          <w:tcPr>
            <w:tcW w:w="8931" w:type="dxa"/>
            <w:tcBorders>
              <w:top w:val="nil"/>
              <w:left w:val="single" w:sz="2" w:space="0" w:color="auto"/>
              <w:bottom w:val="nil"/>
              <w:right w:val="nil"/>
            </w:tcBorders>
          </w:tcPr>
          <w:p w14:paraId="69ED0340" w14:textId="13F26887" w:rsidR="00F712CA" w:rsidRPr="004A5792" w:rsidRDefault="00F712CA" w:rsidP="007156AA">
            <w:pPr>
              <w:spacing w:after="120"/>
              <w:jc w:val="both"/>
              <w:rPr>
                <w:sz w:val="18"/>
                <w:szCs w:val="18"/>
              </w:rPr>
            </w:pPr>
            <w:r w:rsidRPr="004A5792">
              <w:rPr>
                <w:sz w:val="18"/>
                <w:szCs w:val="18"/>
              </w:rPr>
              <w:t>On 1 July 2022, the Executive approved an administrative arrangement that involved restructuring the Agency by moving its land and planning division to ‘Receiving Directorate’. The movement of the land and planning division was undertaken because the function was more closely aligned with the existing functions of ‘Receiving Directorate’.</w:t>
            </w:r>
            <w:r w:rsidR="00FA7C77">
              <w:rPr>
                <w:sz w:val="18"/>
                <w:szCs w:val="18"/>
              </w:rPr>
              <w:t xml:space="preserve"> </w:t>
            </w:r>
            <w:r w:rsidRPr="004A5792">
              <w:rPr>
                <w:sz w:val="18"/>
                <w:szCs w:val="18"/>
              </w:rPr>
              <w:t>The financial effect of the administrative arrangement is not reflected in the financial statements.</w:t>
            </w:r>
          </w:p>
        </w:tc>
      </w:tr>
      <w:tr w:rsidR="007156AA" w:rsidRPr="00CF7E1B" w14:paraId="7277D0CC" w14:textId="77777777" w:rsidTr="00D919F2">
        <w:trPr>
          <w:trHeight w:val="227"/>
        </w:trPr>
        <w:tc>
          <w:tcPr>
            <w:tcW w:w="1562" w:type="dxa"/>
            <w:tcBorders>
              <w:top w:val="nil"/>
              <w:left w:val="single" w:sz="2" w:space="0" w:color="auto"/>
              <w:bottom w:val="nil"/>
              <w:right w:val="single" w:sz="2" w:space="0" w:color="auto"/>
            </w:tcBorders>
          </w:tcPr>
          <w:p w14:paraId="32BF3903" w14:textId="231F7C17" w:rsidR="007156AA" w:rsidRPr="00855BC7" w:rsidRDefault="007156AA" w:rsidP="007156AA">
            <w:pPr>
              <w:pStyle w:val="TableReference"/>
              <w:tabs>
                <w:tab w:val="left" w:pos="3306"/>
              </w:tabs>
              <w:rPr>
                <w:rFonts w:cs="Calibri"/>
                <w:color w:val="7030A0"/>
                <w:sz w:val="14"/>
              </w:rPr>
            </w:pPr>
            <w:r w:rsidRPr="00855BC7">
              <w:rPr>
                <w:rFonts w:cs="Calibri"/>
                <w:color w:val="7030A0"/>
                <w:sz w:val="14"/>
              </w:rPr>
              <w:t>AASB 110.21(b)</w:t>
            </w:r>
          </w:p>
        </w:tc>
        <w:tc>
          <w:tcPr>
            <w:tcW w:w="8931" w:type="dxa"/>
            <w:tcBorders>
              <w:top w:val="nil"/>
              <w:left w:val="single" w:sz="2" w:space="0" w:color="auto"/>
              <w:bottom w:val="nil"/>
              <w:right w:val="nil"/>
            </w:tcBorders>
            <w:vAlign w:val="bottom"/>
          </w:tcPr>
          <w:p w14:paraId="6CFAF437" w14:textId="765EAF99" w:rsidR="007156AA" w:rsidRPr="004A5792" w:rsidRDefault="007156AA" w:rsidP="007156AA">
            <w:pPr>
              <w:spacing w:after="120"/>
              <w:jc w:val="both"/>
              <w:rPr>
                <w:sz w:val="18"/>
                <w:szCs w:val="18"/>
              </w:rPr>
            </w:pPr>
            <w:r w:rsidRPr="004A5792">
              <w:rPr>
                <w:rFonts w:cs="Calibri"/>
                <w:sz w:val="18"/>
                <w:szCs w:val="18"/>
              </w:rPr>
              <w:t xml:space="preserve">The total value of net assets transferred between the Agency and ‘Receiving Directorate’ after the reporting period was $xxx. </w:t>
            </w:r>
          </w:p>
        </w:tc>
      </w:tr>
      <w:tr w:rsidR="007156AA" w:rsidRPr="004E3FBE" w14:paraId="282E144B" w14:textId="77777777" w:rsidTr="00D919F2">
        <w:trPr>
          <w:trHeight w:val="227"/>
        </w:trPr>
        <w:tc>
          <w:tcPr>
            <w:tcW w:w="1562" w:type="dxa"/>
            <w:tcBorders>
              <w:top w:val="nil"/>
              <w:left w:val="single" w:sz="2" w:space="0" w:color="auto"/>
              <w:bottom w:val="nil"/>
              <w:right w:val="single" w:sz="2" w:space="0" w:color="auto"/>
            </w:tcBorders>
          </w:tcPr>
          <w:p w14:paraId="0C3F1385" w14:textId="207B9DBB" w:rsidR="007156AA" w:rsidRPr="00855BC7" w:rsidRDefault="007156AA" w:rsidP="007156AA">
            <w:pPr>
              <w:pStyle w:val="TableReference"/>
              <w:tabs>
                <w:tab w:val="left" w:pos="3306"/>
              </w:tabs>
              <w:spacing w:before="240"/>
              <w:rPr>
                <w:rFonts w:cs="Calibri"/>
                <w:b/>
                <w:color w:val="7030A0"/>
                <w:sz w:val="20"/>
                <w:szCs w:val="20"/>
              </w:rPr>
            </w:pPr>
          </w:p>
        </w:tc>
        <w:tc>
          <w:tcPr>
            <w:tcW w:w="8931" w:type="dxa"/>
            <w:tcBorders>
              <w:top w:val="nil"/>
              <w:left w:val="single" w:sz="2" w:space="0" w:color="auto"/>
              <w:bottom w:val="nil"/>
              <w:right w:val="nil"/>
            </w:tcBorders>
            <w:shd w:val="clear" w:color="auto" w:fill="auto"/>
            <w:vAlign w:val="bottom"/>
          </w:tcPr>
          <w:p w14:paraId="6ADC802C" w14:textId="08D7E81C" w:rsidR="007156AA" w:rsidRPr="004A5792" w:rsidRDefault="007156AA" w:rsidP="007156AA">
            <w:pPr>
              <w:pStyle w:val="Heading1"/>
              <w:numPr>
                <w:ilvl w:val="0"/>
                <w:numId w:val="0"/>
              </w:numPr>
              <w:rPr>
                <w:rFonts w:cs="Calibri"/>
                <w:sz w:val="18"/>
              </w:rPr>
            </w:pPr>
            <w:bookmarkStart w:id="1019" w:name="_Toc98763215"/>
            <w:bookmarkStart w:id="1020" w:name="RelatedPartyDisclosureTerritorial"/>
            <w:r w:rsidRPr="004A5792">
              <w:t xml:space="preserve">Note </w:t>
            </w:r>
            <w:r w:rsidR="00FE5DDD" w:rsidRPr="004A5792">
              <w:t>5</w:t>
            </w:r>
            <w:r w:rsidR="00A05D1E">
              <w:t>7</w:t>
            </w:r>
            <w:r w:rsidRPr="004A5792">
              <w:t>.</w:t>
            </w:r>
            <w:r w:rsidR="00FA7C77">
              <w:t xml:space="preserve"> </w:t>
            </w:r>
            <w:r w:rsidRPr="004A5792">
              <w:t xml:space="preserve"> Related Party Disclosures – Territorial</w:t>
            </w:r>
            <w:bookmarkEnd w:id="1019"/>
            <w:r w:rsidR="00FA7C77">
              <w:t xml:space="preserve"> </w:t>
            </w:r>
            <w:bookmarkEnd w:id="1020"/>
          </w:p>
        </w:tc>
      </w:tr>
      <w:tr w:rsidR="007156AA" w:rsidRPr="004E3FBE" w14:paraId="144F53E3" w14:textId="77777777" w:rsidTr="00D919F2">
        <w:trPr>
          <w:trHeight w:val="227"/>
        </w:trPr>
        <w:tc>
          <w:tcPr>
            <w:tcW w:w="1562" w:type="dxa"/>
            <w:tcBorders>
              <w:top w:val="nil"/>
              <w:left w:val="single" w:sz="2" w:space="0" w:color="auto"/>
              <w:bottom w:val="nil"/>
              <w:right w:val="single" w:sz="2" w:space="0" w:color="auto"/>
            </w:tcBorders>
          </w:tcPr>
          <w:p w14:paraId="0ACD41EA" w14:textId="77777777" w:rsidR="007156AA" w:rsidRPr="00855BC7" w:rsidRDefault="007156AA" w:rsidP="007156AA">
            <w:pPr>
              <w:pStyle w:val="TableReference"/>
              <w:tabs>
                <w:tab w:val="left" w:pos="3306"/>
              </w:tabs>
              <w:spacing w:before="40"/>
              <w:rPr>
                <w:rFonts w:cs="Calibri"/>
                <w:b/>
                <w:color w:val="7030A0"/>
                <w:sz w:val="20"/>
                <w:szCs w:val="20"/>
              </w:rPr>
            </w:pPr>
          </w:p>
        </w:tc>
        <w:tc>
          <w:tcPr>
            <w:tcW w:w="8931" w:type="dxa"/>
            <w:tcBorders>
              <w:top w:val="nil"/>
              <w:left w:val="single" w:sz="2" w:space="0" w:color="auto"/>
              <w:bottom w:val="nil"/>
              <w:right w:val="nil"/>
            </w:tcBorders>
            <w:shd w:val="clear" w:color="auto" w:fill="auto"/>
            <w:vAlign w:val="bottom"/>
          </w:tcPr>
          <w:p w14:paraId="7F66581D" w14:textId="0B606CB7" w:rsidR="007156AA" w:rsidRPr="004A5792" w:rsidRDefault="007156AA" w:rsidP="007156AA">
            <w:pPr>
              <w:spacing w:before="120" w:after="120"/>
              <w:jc w:val="both"/>
              <w:rPr>
                <w:rFonts w:cs="Calibri"/>
                <w:sz w:val="18"/>
                <w:szCs w:val="18"/>
              </w:rPr>
            </w:pPr>
            <w:r w:rsidRPr="004A5792">
              <w:rPr>
                <w:rFonts w:cs="Calibri"/>
                <w:sz w:val="18"/>
                <w:szCs w:val="18"/>
              </w:rPr>
              <w:t>Refer to Note 3</w:t>
            </w:r>
            <w:r w:rsidR="0057601E" w:rsidRPr="004A5792">
              <w:rPr>
                <w:rFonts w:cs="Calibri"/>
                <w:sz w:val="18"/>
                <w:szCs w:val="18"/>
              </w:rPr>
              <w:t>8</w:t>
            </w:r>
            <w:r w:rsidRPr="004A5792">
              <w:rPr>
                <w:rFonts w:cs="Calibri"/>
                <w:sz w:val="18"/>
                <w:szCs w:val="18"/>
              </w:rPr>
              <w:t xml:space="preserve"> </w:t>
            </w:r>
            <w:r w:rsidRPr="004A5792">
              <w:rPr>
                <w:rFonts w:cs="Calibri"/>
                <w:i/>
                <w:iCs/>
                <w:sz w:val="18"/>
                <w:szCs w:val="18"/>
              </w:rPr>
              <w:t>Related Party Disclosures</w:t>
            </w:r>
            <w:r w:rsidRPr="004A5792">
              <w:rPr>
                <w:rFonts w:cs="Calibri"/>
                <w:sz w:val="18"/>
                <w:szCs w:val="18"/>
              </w:rPr>
              <w:t xml:space="preserve"> for disclosures relating to related parties of ‘</w:t>
            </w:r>
            <w:r w:rsidRPr="004A5792">
              <w:rPr>
                <w:sz w:val="18"/>
                <w:szCs w:val="18"/>
              </w:rPr>
              <w:t xml:space="preserve">Burley Griffin </w:t>
            </w:r>
            <w:r w:rsidRPr="004A5792">
              <w:rPr>
                <w:rFonts w:cs="Calibri"/>
                <w:sz w:val="18"/>
                <w:szCs w:val="18"/>
              </w:rPr>
              <w:t xml:space="preserve">Agency’. </w:t>
            </w:r>
          </w:p>
        </w:tc>
      </w:tr>
      <w:tr w:rsidR="00CA7ECC" w:rsidRPr="00976DE1" w14:paraId="47D3C19F"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
        </w:trPr>
        <w:tc>
          <w:tcPr>
            <w:tcW w:w="1562" w:type="dxa"/>
            <w:tcBorders>
              <w:left w:val="single" w:sz="2" w:space="0" w:color="auto"/>
              <w:right w:val="single" w:sz="2" w:space="0" w:color="auto"/>
            </w:tcBorders>
          </w:tcPr>
          <w:p w14:paraId="2E16C863" w14:textId="39C44EBC" w:rsidR="00CA7ECC" w:rsidRPr="00D51EF3" w:rsidRDefault="00CA7ECC" w:rsidP="007156AA">
            <w:pPr>
              <w:pStyle w:val="TableReference"/>
              <w:tabs>
                <w:tab w:val="left" w:pos="3306"/>
              </w:tabs>
              <w:spacing w:before="240" w:after="240"/>
              <w:rPr>
                <w:rFonts w:cs="Calibri"/>
                <w:b/>
                <w:color w:val="7030A0"/>
                <w:sz w:val="22"/>
                <w:szCs w:val="22"/>
              </w:rPr>
            </w:pPr>
          </w:p>
        </w:tc>
        <w:tc>
          <w:tcPr>
            <w:tcW w:w="8931" w:type="dxa"/>
            <w:tcBorders>
              <w:left w:val="single" w:sz="2" w:space="0" w:color="auto"/>
            </w:tcBorders>
            <w:shd w:val="clear" w:color="auto" w:fill="auto"/>
            <w:vAlign w:val="bottom"/>
          </w:tcPr>
          <w:p w14:paraId="3B124AFE" w14:textId="227AEBCA" w:rsidR="00CA7ECC" w:rsidRPr="00E30AE6" w:rsidRDefault="00CA7ECC" w:rsidP="009A0F2F">
            <w:pPr>
              <w:pStyle w:val="Heading1"/>
              <w:numPr>
                <w:ilvl w:val="0"/>
                <w:numId w:val="0"/>
              </w:numPr>
              <w:ind w:left="1134" w:hanging="1134"/>
            </w:pPr>
            <w:bookmarkStart w:id="1021" w:name="_Toc98763216"/>
            <w:r w:rsidRPr="00E30AE6">
              <w:t xml:space="preserve">Note </w:t>
            </w:r>
            <w:r w:rsidR="0057601E" w:rsidRPr="00E30AE6">
              <w:t>5</w:t>
            </w:r>
            <w:r w:rsidR="00A05D1E">
              <w:t>8</w:t>
            </w:r>
            <w:r w:rsidRPr="00E30AE6">
              <w:t>.</w:t>
            </w:r>
            <w:r w:rsidR="00FA7C77">
              <w:t xml:space="preserve"> </w:t>
            </w:r>
            <w:r w:rsidRPr="00E30AE6">
              <w:t xml:space="preserve"> Budgetary Reporting – Territorial</w:t>
            </w:r>
            <w:bookmarkEnd w:id="1021"/>
          </w:p>
        </w:tc>
      </w:tr>
      <w:tr w:rsidR="00CA7ECC" w:rsidRPr="00965CC0" w14:paraId="7EF203C7"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1562" w:type="dxa"/>
            <w:tcBorders>
              <w:left w:val="single" w:sz="2" w:space="0" w:color="auto"/>
              <w:right w:val="single" w:sz="2" w:space="0" w:color="auto"/>
            </w:tcBorders>
          </w:tcPr>
          <w:p w14:paraId="21B7D851" w14:textId="77777777" w:rsidR="00CA7ECC" w:rsidRPr="00D51EF3" w:rsidRDefault="00CA7ECC" w:rsidP="009A0F2F">
            <w:pPr>
              <w:pStyle w:val="TableReference"/>
              <w:tabs>
                <w:tab w:val="left" w:pos="3306"/>
              </w:tabs>
              <w:rPr>
                <w:rFonts w:cs="Calibri"/>
                <w:color w:val="7030A0"/>
                <w:sz w:val="14"/>
              </w:rPr>
            </w:pPr>
          </w:p>
        </w:tc>
        <w:tc>
          <w:tcPr>
            <w:tcW w:w="8931" w:type="dxa"/>
            <w:tcBorders>
              <w:left w:val="single" w:sz="2" w:space="0" w:color="auto"/>
            </w:tcBorders>
            <w:shd w:val="clear" w:color="auto" w:fill="auto"/>
          </w:tcPr>
          <w:p w14:paraId="24F24FF4" w14:textId="7DEC96B6" w:rsidR="00CA7ECC" w:rsidRPr="00E30AE6" w:rsidRDefault="00CA7ECC" w:rsidP="009A0F2F">
            <w:pPr>
              <w:autoSpaceDE w:val="0"/>
              <w:autoSpaceDN w:val="0"/>
              <w:adjustRightInd w:val="0"/>
              <w:rPr>
                <w:b/>
                <w:bCs/>
                <w:sz w:val="20"/>
                <w:szCs w:val="20"/>
              </w:rPr>
            </w:pPr>
            <w:r w:rsidRPr="00E30AE6">
              <w:rPr>
                <w:b/>
                <w:bCs/>
                <w:sz w:val="18"/>
                <w:szCs w:val="18"/>
              </w:rPr>
              <w:t>Significant Accounting Judgements and Estimates – Budgetary Reporting</w:t>
            </w:r>
            <w:r w:rsidR="007156AA" w:rsidRPr="00E30AE6">
              <w:rPr>
                <w:b/>
                <w:bCs/>
                <w:sz w:val="18"/>
                <w:szCs w:val="18"/>
              </w:rPr>
              <w:t xml:space="preserve"> </w:t>
            </w:r>
            <w:r w:rsidR="006B468D">
              <w:rPr>
                <w:b/>
                <w:bCs/>
                <w:sz w:val="18"/>
                <w:szCs w:val="18"/>
              </w:rPr>
              <w:t>–</w:t>
            </w:r>
            <w:r w:rsidR="007156AA" w:rsidRPr="00E30AE6">
              <w:rPr>
                <w:b/>
                <w:bCs/>
                <w:sz w:val="18"/>
                <w:szCs w:val="18"/>
              </w:rPr>
              <w:t xml:space="preserve"> Territ</w:t>
            </w:r>
            <w:r w:rsidR="00E7716B" w:rsidRPr="00E30AE6">
              <w:rPr>
                <w:b/>
                <w:bCs/>
                <w:sz w:val="18"/>
                <w:szCs w:val="18"/>
              </w:rPr>
              <w:t>orial</w:t>
            </w:r>
            <w:r w:rsidR="006B468D">
              <w:rPr>
                <w:b/>
                <w:bCs/>
                <w:sz w:val="18"/>
                <w:szCs w:val="18"/>
              </w:rPr>
              <w:t xml:space="preserve"> </w:t>
            </w:r>
          </w:p>
        </w:tc>
      </w:tr>
      <w:tr w:rsidR="00CA7ECC" w:rsidRPr="003330AF" w14:paraId="780A3F2B"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4"/>
        </w:trPr>
        <w:tc>
          <w:tcPr>
            <w:tcW w:w="1562" w:type="dxa"/>
            <w:tcBorders>
              <w:left w:val="single" w:sz="2" w:space="0" w:color="auto"/>
              <w:right w:val="single" w:sz="2" w:space="0" w:color="auto"/>
            </w:tcBorders>
          </w:tcPr>
          <w:p w14:paraId="2587D5B7" w14:textId="77777777" w:rsidR="00CA7ECC" w:rsidRPr="00D51EF3" w:rsidRDefault="00CA7ECC" w:rsidP="009A0F2F">
            <w:pPr>
              <w:pStyle w:val="TableReference"/>
              <w:tabs>
                <w:tab w:val="left" w:pos="3306"/>
              </w:tabs>
              <w:rPr>
                <w:rFonts w:cs="Calibri"/>
                <w:color w:val="7030A0"/>
                <w:sz w:val="18"/>
                <w:szCs w:val="18"/>
              </w:rPr>
            </w:pPr>
          </w:p>
        </w:tc>
        <w:tc>
          <w:tcPr>
            <w:tcW w:w="8931" w:type="dxa"/>
            <w:tcBorders>
              <w:left w:val="single" w:sz="2" w:space="0" w:color="auto"/>
            </w:tcBorders>
            <w:shd w:val="clear" w:color="auto" w:fill="auto"/>
          </w:tcPr>
          <w:p w14:paraId="671EA106" w14:textId="77777777" w:rsidR="00CA7ECC" w:rsidRPr="00E30AE6" w:rsidRDefault="00CA7ECC" w:rsidP="0054645F">
            <w:pPr>
              <w:spacing w:before="40"/>
              <w:jc w:val="both"/>
              <w:rPr>
                <w:sz w:val="18"/>
                <w:szCs w:val="18"/>
              </w:rPr>
            </w:pPr>
            <w:r w:rsidRPr="00E30AE6">
              <w:rPr>
                <w:sz w:val="18"/>
                <w:szCs w:val="18"/>
              </w:rPr>
              <w:t>Significant judgements have been applied in determining what variances are considered ‘major variances’. Variances are considered major if both of the following criteria are met:</w:t>
            </w:r>
          </w:p>
          <w:p w14:paraId="1D145154" w14:textId="207DE07B" w:rsidR="00CA7ECC" w:rsidRPr="00E30AE6" w:rsidRDefault="00CA7ECC" w:rsidP="007122BC">
            <w:pPr>
              <w:numPr>
                <w:ilvl w:val="0"/>
                <w:numId w:val="42"/>
              </w:numPr>
              <w:spacing w:before="40"/>
              <w:ind w:left="596" w:hanging="284"/>
              <w:jc w:val="both"/>
              <w:rPr>
                <w:sz w:val="18"/>
                <w:szCs w:val="18"/>
              </w:rPr>
            </w:pPr>
            <w:r w:rsidRPr="00E30AE6">
              <w:rPr>
                <w:sz w:val="18"/>
                <w:szCs w:val="18"/>
              </w:rPr>
              <w:t xml:space="preserve">The line item is a significant line item: where either the line item actual amount accounts for </w:t>
            </w:r>
            <w:r w:rsidRPr="00E30AE6">
              <w:rPr>
                <w:sz w:val="18"/>
                <w:szCs w:val="18"/>
                <w:u w:val="single"/>
              </w:rPr>
              <w:t>more than</w:t>
            </w:r>
            <w:r w:rsidRPr="00E30AE6">
              <w:rPr>
                <w:sz w:val="18"/>
                <w:szCs w:val="18"/>
              </w:rPr>
              <w:t xml:space="preserve"> 10% of the relevant associated actual category amount (Income, Expenses, Assets, liabilities and Equity totals) or </w:t>
            </w:r>
            <w:r w:rsidRPr="00E30AE6">
              <w:rPr>
                <w:sz w:val="18"/>
                <w:szCs w:val="18"/>
                <w:u w:val="single"/>
              </w:rPr>
              <w:t>more than</w:t>
            </w:r>
            <w:r w:rsidRPr="00E30AE6">
              <w:rPr>
                <w:sz w:val="18"/>
                <w:szCs w:val="18"/>
              </w:rPr>
              <w:t xml:space="preserve"> 10% of the sub-element (e.g. Current Liabilities and Receipts from Operating Activities totals) of the financial statements; and</w:t>
            </w:r>
          </w:p>
          <w:p w14:paraId="2F80B771" w14:textId="5D864F08" w:rsidR="00CA7ECC" w:rsidRPr="00E30AE6" w:rsidRDefault="00CA7ECC" w:rsidP="007122BC">
            <w:pPr>
              <w:numPr>
                <w:ilvl w:val="0"/>
                <w:numId w:val="42"/>
              </w:numPr>
              <w:spacing w:after="120"/>
              <w:ind w:left="596" w:hanging="284"/>
              <w:jc w:val="both"/>
              <w:rPr>
                <w:sz w:val="18"/>
                <w:szCs w:val="18"/>
              </w:rPr>
            </w:pPr>
            <w:r w:rsidRPr="00E30AE6">
              <w:rPr>
                <w:sz w:val="18"/>
                <w:szCs w:val="18"/>
              </w:rPr>
              <w:t xml:space="preserve">The variances (original budget to actual) are greater than plus (+) or minus (-) </w:t>
            </w:r>
            <w:r w:rsidR="008C0EB6" w:rsidRPr="00E30AE6">
              <w:rPr>
                <w:sz w:val="18"/>
                <w:szCs w:val="18"/>
              </w:rPr>
              <w:t>10</w:t>
            </w:r>
            <w:r w:rsidRPr="00E30AE6">
              <w:rPr>
                <w:sz w:val="18"/>
                <w:szCs w:val="18"/>
              </w:rPr>
              <w:t>% and $15 million for the financial statement line item.</w:t>
            </w:r>
            <w:r w:rsidR="00C35059" w:rsidRPr="00E30AE6">
              <w:rPr>
                <w:sz w:val="18"/>
                <w:szCs w:val="18"/>
              </w:rPr>
              <w:t xml:space="preserve"> </w:t>
            </w:r>
            <w:r w:rsidRPr="00E30AE6">
              <w:rPr>
                <w:sz w:val="18"/>
                <w:szCs w:val="18"/>
              </w:rPr>
              <w:t>[Please see Comm</w:t>
            </w:r>
            <w:r w:rsidR="00771A18" w:rsidRPr="00E30AE6">
              <w:rPr>
                <w:sz w:val="18"/>
                <w:szCs w:val="18"/>
              </w:rPr>
              <w:t>ent</w:t>
            </w:r>
            <w:r w:rsidRPr="00E30AE6">
              <w:rPr>
                <w:sz w:val="18"/>
                <w:szCs w:val="18"/>
              </w:rPr>
              <w:t xml:space="preserve">ary </w:t>
            </w:r>
            <w:r w:rsidR="00771A18" w:rsidRPr="00E30AE6">
              <w:rPr>
                <w:sz w:val="18"/>
                <w:szCs w:val="18"/>
              </w:rPr>
              <w:t xml:space="preserve">in Note </w:t>
            </w:r>
            <w:r w:rsidR="0057601E" w:rsidRPr="00E30AE6">
              <w:rPr>
                <w:sz w:val="18"/>
                <w:szCs w:val="18"/>
              </w:rPr>
              <w:t>39</w:t>
            </w:r>
            <w:r w:rsidR="00771A18" w:rsidRPr="00E30AE6">
              <w:rPr>
                <w:sz w:val="18"/>
                <w:szCs w:val="18"/>
              </w:rPr>
              <w:t xml:space="preserve"> </w:t>
            </w:r>
            <w:r w:rsidRPr="00E30AE6">
              <w:rPr>
                <w:sz w:val="18"/>
                <w:szCs w:val="18"/>
              </w:rPr>
              <w:t xml:space="preserve">for </w:t>
            </w:r>
            <w:r w:rsidR="006222F7" w:rsidRPr="00E30AE6">
              <w:rPr>
                <w:sz w:val="18"/>
                <w:szCs w:val="18"/>
              </w:rPr>
              <w:t>thresholds</w:t>
            </w:r>
            <w:r w:rsidRPr="00E30AE6">
              <w:rPr>
                <w:sz w:val="18"/>
                <w:szCs w:val="18"/>
              </w:rPr>
              <w:t xml:space="preserve"> for Small Agencies.]</w:t>
            </w:r>
          </w:p>
        </w:tc>
      </w:tr>
      <w:tr w:rsidR="00CA7ECC" w:rsidRPr="00081F11" w14:paraId="5D37E17B" w14:textId="77777777" w:rsidTr="00D919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4"/>
        </w:trPr>
        <w:tc>
          <w:tcPr>
            <w:tcW w:w="1562" w:type="dxa"/>
            <w:tcBorders>
              <w:left w:val="single" w:sz="2" w:space="0" w:color="auto"/>
              <w:right w:val="single" w:sz="2" w:space="0" w:color="auto"/>
            </w:tcBorders>
          </w:tcPr>
          <w:p w14:paraId="3C263BA6" w14:textId="77777777" w:rsidR="00CA7ECC" w:rsidRPr="00D51EF3" w:rsidRDefault="00CA7ECC" w:rsidP="009A0F2F">
            <w:pPr>
              <w:pStyle w:val="TableReference"/>
              <w:tabs>
                <w:tab w:val="left" w:pos="3306"/>
              </w:tabs>
              <w:rPr>
                <w:rFonts w:cs="Calibri"/>
                <w:color w:val="7030A0"/>
                <w:sz w:val="18"/>
                <w:szCs w:val="18"/>
              </w:rPr>
            </w:pPr>
          </w:p>
        </w:tc>
        <w:tc>
          <w:tcPr>
            <w:tcW w:w="8931" w:type="dxa"/>
            <w:tcBorders>
              <w:left w:val="single" w:sz="2" w:space="0" w:color="auto"/>
            </w:tcBorders>
            <w:shd w:val="clear" w:color="auto" w:fill="auto"/>
          </w:tcPr>
          <w:p w14:paraId="21CB1FDB" w14:textId="02535C52" w:rsidR="00CA7ECC" w:rsidRPr="00E30AE6" w:rsidRDefault="00CA7ECC" w:rsidP="009A0F2F">
            <w:pPr>
              <w:spacing w:after="120"/>
              <w:jc w:val="both"/>
              <w:rPr>
                <w:sz w:val="18"/>
                <w:szCs w:val="18"/>
              </w:rPr>
            </w:pPr>
            <w:r w:rsidRPr="00E30AE6">
              <w:rPr>
                <w:sz w:val="18"/>
                <w:szCs w:val="18"/>
              </w:rPr>
              <w:t>Original Budget refers to the amounts presented to the Legislative Assembly in the original budgeted financial statements in respect of the reporting period Budget Statements.</w:t>
            </w:r>
            <w:r w:rsidR="00FA7C77">
              <w:rPr>
                <w:sz w:val="18"/>
                <w:szCs w:val="18"/>
              </w:rPr>
              <w:t xml:space="preserve"> </w:t>
            </w:r>
            <w:r w:rsidRPr="00E30AE6">
              <w:rPr>
                <w:sz w:val="18"/>
                <w:szCs w:val="18"/>
              </w:rPr>
              <w:t>These amounts have not been adjusted to reflect supplementary appropriation or appropriation instruments.</w:t>
            </w:r>
          </w:p>
          <w:p w14:paraId="0891D227" w14:textId="77777777" w:rsidR="00CA7ECC" w:rsidRPr="00E30AE6" w:rsidRDefault="00CA7ECC" w:rsidP="009A0F2F">
            <w:pPr>
              <w:rPr>
                <w:sz w:val="18"/>
                <w:szCs w:val="18"/>
              </w:rPr>
            </w:pPr>
            <w:r w:rsidRPr="00E30AE6">
              <w:rPr>
                <w:sz w:val="18"/>
                <w:szCs w:val="18"/>
              </w:rPr>
              <w:t>Note: # in the Line Item Variance % column represents a variance that is greater than 999 per cent or less than -999 per cent.</w:t>
            </w:r>
          </w:p>
        </w:tc>
      </w:tr>
    </w:tbl>
    <w:p w14:paraId="64316B78" w14:textId="77777777" w:rsidR="006B468D" w:rsidRDefault="006B468D">
      <w:r>
        <w:br w:type="page"/>
      </w:r>
    </w:p>
    <w:tbl>
      <w:tblPr>
        <w:tblW w:w="4980" w:type="pct"/>
        <w:tblInd w:w="-6" w:type="dxa"/>
        <w:tblLayout w:type="fixed"/>
        <w:tblLook w:val="00A0" w:firstRow="1" w:lastRow="0" w:firstColumn="1" w:lastColumn="0" w:noHBand="0" w:noVBand="0"/>
      </w:tblPr>
      <w:tblGrid>
        <w:gridCol w:w="1558"/>
        <w:gridCol w:w="4097"/>
        <w:gridCol w:w="6"/>
        <w:gridCol w:w="993"/>
        <w:gridCol w:w="137"/>
        <w:gridCol w:w="852"/>
        <w:gridCol w:w="856"/>
        <w:gridCol w:w="999"/>
        <w:gridCol w:w="995"/>
        <w:gridCol w:w="9"/>
      </w:tblGrid>
      <w:tr w:rsidR="004A5792" w:rsidRPr="00976DE1" w14:paraId="74A88A97" w14:textId="77777777" w:rsidTr="00D919F2">
        <w:trPr>
          <w:gridAfter w:val="1"/>
          <w:wAfter w:w="9" w:type="dxa"/>
          <w:cantSplit/>
          <w:trHeight w:val="23"/>
        </w:trPr>
        <w:tc>
          <w:tcPr>
            <w:tcW w:w="1558" w:type="dxa"/>
            <w:tcBorders>
              <w:left w:val="single" w:sz="2" w:space="0" w:color="auto"/>
              <w:right w:val="single" w:sz="2" w:space="0" w:color="auto"/>
            </w:tcBorders>
          </w:tcPr>
          <w:p w14:paraId="14C8F977" w14:textId="785EB422" w:rsidR="004A5792" w:rsidRPr="00D51EF3" w:rsidRDefault="004A5792" w:rsidP="009A0F2F">
            <w:pPr>
              <w:pStyle w:val="TableReference"/>
              <w:tabs>
                <w:tab w:val="left" w:pos="3306"/>
              </w:tabs>
              <w:spacing w:before="240" w:after="240"/>
              <w:rPr>
                <w:rFonts w:cs="Calibri"/>
                <w:b/>
                <w:color w:val="7030A0"/>
                <w:sz w:val="22"/>
                <w:szCs w:val="22"/>
              </w:rPr>
            </w:pPr>
            <w:r w:rsidRPr="00D51EF3">
              <w:rPr>
                <w:rFonts w:cs="Calibri"/>
                <w:b/>
                <w:color w:val="7030A0"/>
                <w:sz w:val="22"/>
                <w:szCs w:val="22"/>
              </w:rPr>
              <w:t>Reference</w:t>
            </w:r>
          </w:p>
        </w:tc>
        <w:tc>
          <w:tcPr>
            <w:tcW w:w="8935" w:type="dxa"/>
            <w:gridSpan w:val="8"/>
            <w:tcBorders>
              <w:left w:val="single" w:sz="2" w:space="0" w:color="auto"/>
            </w:tcBorders>
            <w:shd w:val="clear" w:color="auto" w:fill="auto"/>
            <w:vAlign w:val="bottom"/>
          </w:tcPr>
          <w:p w14:paraId="7D16F456" w14:textId="7D8DF4BD" w:rsidR="004A5792" w:rsidRPr="00E30AE6" w:rsidRDefault="004A5792" w:rsidP="006B468D">
            <w:pPr>
              <w:pStyle w:val="Heading1"/>
              <w:numPr>
                <w:ilvl w:val="0"/>
                <w:numId w:val="0"/>
              </w:numPr>
              <w:ind w:left="37" w:hanging="37"/>
            </w:pPr>
            <w:bookmarkStart w:id="1022" w:name="_Toc98763217"/>
            <w:r w:rsidRPr="00E30AE6">
              <w:t>Note 5</w:t>
            </w:r>
            <w:r w:rsidR="00A05D1E">
              <w:t>8</w:t>
            </w:r>
            <w:r w:rsidRPr="00E30AE6">
              <w:t>.</w:t>
            </w:r>
            <w:r w:rsidR="00FA7C77">
              <w:t xml:space="preserve"> </w:t>
            </w:r>
            <w:r w:rsidRPr="00E30AE6">
              <w:t xml:space="preserve"> Budgetary Reporting – Territorial</w:t>
            </w:r>
            <w:r w:rsidR="00A05D1E">
              <w:t xml:space="preserve"> </w:t>
            </w:r>
            <w:r w:rsidR="006B468D">
              <w:t>–</w:t>
            </w:r>
            <w:r w:rsidR="00A05D1E">
              <w:t>Continued</w:t>
            </w:r>
            <w:bookmarkEnd w:id="1022"/>
            <w:r w:rsidR="006B468D">
              <w:t xml:space="preserve"> </w:t>
            </w:r>
          </w:p>
        </w:tc>
      </w:tr>
      <w:tr w:rsidR="00CA7ECC" w:rsidRPr="004A1188" w14:paraId="20D0A0EF" w14:textId="77777777" w:rsidTr="00D919F2">
        <w:trPr>
          <w:gridAfter w:val="1"/>
          <w:wAfter w:w="9" w:type="dxa"/>
          <w:cantSplit/>
          <w:trHeight w:val="45"/>
        </w:trPr>
        <w:tc>
          <w:tcPr>
            <w:tcW w:w="1558" w:type="dxa"/>
            <w:tcBorders>
              <w:left w:val="single" w:sz="2" w:space="0" w:color="auto"/>
              <w:right w:val="single" w:sz="2" w:space="0" w:color="auto"/>
            </w:tcBorders>
          </w:tcPr>
          <w:p w14:paraId="43D2182E" w14:textId="77777777" w:rsidR="00CA7ECC" w:rsidRPr="00D51EF3" w:rsidRDefault="00CA7ECC" w:rsidP="009A0F2F">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tcPr>
          <w:p w14:paraId="6DF67726" w14:textId="77777777" w:rsidR="00CA7ECC" w:rsidRPr="00E30AE6" w:rsidRDefault="00CA7ECC" w:rsidP="009A0F2F">
            <w:pPr>
              <w:jc w:val="both"/>
              <w:rPr>
                <w:sz w:val="18"/>
                <w:szCs w:val="18"/>
              </w:rPr>
            </w:pPr>
          </w:p>
        </w:tc>
        <w:tc>
          <w:tcPr>
            <w:tcW w:w="1136" w:type="dxa"/>
            <w:gridSpan w:val="3"/>
            <w:vAlign w:val="bottom"/>
          </w:tcPr>
          <w:p w14:paraId="484409DB" w14:textId="3AF9312A" w:rsidR="00CA7ECC" w:rsidRPr="00E30AE6" w:rsidRDefault="00CA7ECC" w:rsidP="000B6F20">
            <w:pPr>
              <w:jc w:val="center"/>
              <w:rPr>
                <w:b/>
                <w:bCs/>
                <w:sz w:val="18"/>
                <w:szCs w:val="18"/>
                <w:lang w:eastAsia="en-AU"/>
              </w:rPr>
            </w:pPr>
            <w:r w:rsidRPr="00E30AE6">
              <w:rPr>
                <w:b/>
                <w:bCs/>
                <w:sz w:val="18"/>
                <w:szCs w:val="18"/>
                <w:lang w:eastAsia="en-AU"/>
              </w:rPr>
              <w:t>Variance Explanation</w:t>
            </w:r>
          </w:p>
        </w:tc>
        <w:tc>
          <w:tcPr>
            <w:tcW w:w="852" w:type="dxa"/>
            <w:shd w:val="clear" w:color="auto" w:fill="auto"/>
            <w:vAlign w:val="bottom"/>
          </w:tcPr>
          <w:p w14:paraId="753AF5B7" w14:textId="01A7918C" w:rsidR="00CA7ECC" w:rsidRPr="00E30AE6" w:rsidRDefault="00CA7ECC" w:rsidP="009A0F2F">
            <w:pPr>
              <w:jc w:val="right"/>
              <w:rPr>
                <w:b/>
                <w:bCs/>
                <w:sz w:val="18"/>
                <w:szCs w:val="18"/>
                <w:lang w:eastAsia="en-AU"/>
              </w:rPr>
            </w:pPr>
            <w:r w:rsidRPr="00E30AE6">
              <w:rPr>
                <w:b/>
                <w:bCs/>
                <w:sz w:val="18"/>
                <w:szCs w:val="18"/>
                <w:lang w:eastAsia="en-AU"/>
              </w:rPr>
              <w:t>Actual 2022</w:t>
            </w:r>
          </w:p>
        </w:tc>
        <w:tc>
          <w:tcPr>
            <w:tcW w:w="856" w:type="dxa"/>
            <w:shd w:val="clear" w:color="auto" w:fill="auto"/>
            <w:vAlign w:val="bottom"/>
          </w:tcPr>
          <w:p w14:paraId="71F1618B" w14:textId="664D0F6C" w:rsidR="00CA7ECC" w:rsidRPr="00E30AE6" w:rsidRDefault="00CA7ECC" w:rsidP="009A0F2F">
            <w:pPr>
              <w:jc w:val="right"/>
              <w:rPr>
                <w:b/>
                <w:bCs/>
                <w:sz w:val="18"/>
                <w:szCs w:val="18"/>
                <w:lang w:eastAsia="en-AU"/>
              </w:rPr>
            </w:pPr>
            <w:r w:rsidRPr="00E30AE6">
              <w:rPr>
                <w:b/>
                <w:bCs/>
                <w:sz w:val="18"/>
                <w:szCs w:val="18"/>
                <w:lang w:eastAsia="en-AU"/>
              </w:rPr>
              <w:t>Original Budget</w:t>
            </w:r>
            <w:r w:rsidRPr="00E30AE6">
              <w:rPr>
                <w:sz w:val="18"/>
                <w:szCs w:val="18"/>
                <w:vertAlign w:val="superscript"/>
                <w:lang w:eastAsia="en-AU"/>
              </w:rPr>
              <w:t xml:space="preserve"> </w:t>
            </w:r>
            <w:r w:rsidRPr="00E30AE6">
              <w:rPr>
                <w:b/>
                <w:bCs/>
                <w:sz w:val="18"/>
                <w:szCs w:val="18"/>
                <w:lang w:eastAsia="en-AU"/>
              </w:rPr>
              <w:t>2022</w:t>
            </w:r>
          </w:p>
        </w:tc>
        <w:tc>
          <w:tcPr>
            <w:tcW w:w="999" w:type="dxa"/>
            <w:shd w:val="clear" w:color="auto" w:fill="auto"/>
            <w:vAlign w:val="bottom"/>
          </w:tcPr>
          <w:p w14:paraId="5437F945" w14:textId="77777777" w:rsidR="00CA7ECC" w:rsidRPr="00E30AE6" w:rsidRDefault="00CA7ECC" w:rsidP="009A0F2F">
            <w:pPr>
              <w:jc w:val="right"/>
              <w:rPr>
                <w:b/>
                <w:bCs/>
                <w:sz w:val="18"/>
                <w:szCs w:val="18"/>
                <w:lang w:eastAsia="en-AU"/>
              </w:rPr>
            </w:pPr>
            <w:r w:rsidRPr="00E30AE6">
              <w:rPr>
                <w:b/>
                <w:bCs/>
                <w:sz w:val="18"/>
                <w:szCs w:val="18"/>
                <w:lang w:eastAsia="en-AU"/>
              </w:rPr>
              <w:t>Variance</w:t>
            </w:r>
          </w:p>
        </w:tc>
        <w:tc>
          <w:tcPr>
            <w:tcW w:w="995" w:type="dxa"/>
            <w:shd w:val="clear" w:color="auto" w:fill="auto"/>
            <w:vAlign w:val="bottom"/>
          </w:tcPr>
          <w:p w14:paraId="0262BBF0" w14:textId="77777777" w:rsidR="00CA7ECC" w:rsidRPr="00E30AE6" w:rsidRDefault="00CA7ECC" w:rsidP="009A0F2F">
            <w:pPr>
              <w:jc w:val="right"/>
              <w:rPr>
                <w:b/>
                <w:bCs/>
                <w:sz w:val="18"/>
                <w:szCs w:val="18"/>
                <w:lang w:eastAsia="en-AU"/>
              </w:rPr>
            </w:pPr>
            <w:r w:rsidRPr="00E30AE6">
              <w:rPr>
                <w:b/>
                <w:bCs/>
                <w:sz w:val="18"/>
                <w:szCs w:val="18"/>
                <w:lang w:eastAsia="en-AU"/>
              </w:rPr>
              <w:t>Variance</w:t>
            </w:r>
          </w:p>
        </w:tc>
      </w:tr>
      <w:tr w:rsidR="00CA7ECC" w:rsidRPr="004A1188" w14:paraId="32789D0E" w14:textId="77777777" w:rsidTr="00D919F2">
        <w:trPr>
          <w:gridAfter w:val="1"/>
          <w:wAfter w:w="9" w:type="dxa"/>
          <w:cantSplit/>
          <w:trHeight w:val="45"/>
        </w:trPr>
        <w:tc>
          <w:tcPr>
            <w:tcW w:w="1558" w:type="dxa"/>
            <w:tcBorders>
              <w:left w:val="single" w:sz="2" w:space="0" w:color="auto"/>
              <w:right w:val="single" w:sz="2" w:space="0" w:color="auto"/>
            </w:tcBorders>
          </w:tcPr>
          <w:p w14:paraId="7EBAB3E2" w14:textId="77777777" w:rsidR="00CA7ECC" w:rsidRPr="00D51EF3" w:rsidRDefault="00CA7ECC" w:rsidP="009A0F2F">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tcPr>
          <w:p w14:paraId="5B93EBBF" w14:textId="77777777" w:rsidR="00CA7ECC" w:rsidRPr="00E30AE6" w:rsidRDefault="00CA7ECC" w:rsidP="009A0F2F">
            <w:pPr>
              <w:jc w:val="both"/>
              <w:rPr>
                <w:sz w:val="18"/>
                <w:szCs w:val="18"/>
              </w:rPr>
            </w:pPr>
          </w:p>
        </w:tc>
        <w:tc>
          <w:tcPr>
            <w:tcW w:w="1136" w:type="dxa"/>
            <w:gridSpan w:val="3"/>
          </w:tcPr>
          <w:p w14:paraId="54C7E7F6" w14:textId="77777777" w:rsidR="00CA7ECC" w:rsidRPr="00E30AE6" w:rsidRDefault="00CA7ECC" w:rsidP="009A0F2F">
            <w:pPr>
              <w:jc w:val="right"/>
              <w:rPr>
                <w:b/>
                <w:bCs/>
                <w:sz w:val="18"/>
                <w:szCs w:val="18"/>
                <w:lang w:eastAsia="en-AU"/>
              </w:rPr>
            </w:pPr>
          </w:p>
        </w:tc>
        <w:tc>
          <w:tcPr>
            <w:tcW w:w="852" w:type="dxa"/>
            <w:shd w:val="clear" w:color="auto" w:fill="auto"/>
            <w:vAlign w:val="bottom"/>
          </w:tcPr>
          <w:p w14:paraId="141A9F96"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856" w:type="dxa"/>
            <w:shd w:val="clear" w:color="auto" w:fill="auto"/>
            <w:vAlign w:val="bottom"/>
          </w:tcPr>
          <w:p w14:paraId="5C690173"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9" w:type="dxa"/>
            <w:shd w:val="clear" w:color="auto" w:fill="auto"/>
            <w:vAlign w:val="bottom"/>
          </w:tcPr>
          <w:p w14:paraId="43698F50" w14:textId="77777777" w:rsidR="00CA7ECC" w:rsidRPr="00E30AE6" w:rsidRDefault="00CA7ECC" w:rsidP="009A0F2F">
            <w:pPr>
              <w:jc w:val="right"/>
              <w:rPr>
                <w:b/>
                <w:bCs/>
                <w:sz w:val="18"/>
                <w:szCs w:val="18"/>
                <w:lang w:eastAsia="en-AU"/>
              </w:rPr>
            </w:pPr>
            <w:r w:rsidRPr="00E30AE6">
              <w:rPr>
                <w:b/>
                <w:bCs/>
                <w:sz w:val="18"/>
                <w:szCs w:val="18"/>
                <w:lang w:eastAsia="en-AU"/>
              </w:rPr>
              <w:t>$’000</w:t>
            </w:r>
          </w:p>
        </w:tc>
        <w:tc>
          <w:tcPr>
            <w:tcW w:w="995" w:type="dxa"/>
            <w:shd w:val="clear" w:color="auto" w:fill="auto"/>
            <w:vAlign w:val="bottom"/>
          </w:tcPr>
          <w:p w14:paraId="43ABD78A" w14:textId="77777777" w:rsidR="00CA7ECC" w:rsidRPr="00E30AE6" w:rsidRDefault="00CA7ECC" w:rsidP="009A0F2F">
            <w:pPr>
              <w:jc w:val="right"/>
              <w:rPr>
                <w:b/>
                <w:bCs/>
                <w:sz w:val="18"/>
                <w:szCs w:val="18"/>
                <w:lang w:eastAsia="en-AU"/>
              </w:rPr>
            </w:pPr>
            <w:r w:rsidRPr="00E30AE6">
              <w:rPr>
                <w:b/>
                <w:bCs/>
                <w:sz w:val="18"/>
                <w:szCs w:val="18"/>
                <w:lang w:eastAsia="en-AU"/>
              </w:rPr>
              <w:t>%</w:t>
            </w:r>
          </w:p>
        </w:tc>
      </w:tr>
      <w:tr w:rsidR="00CA7ECC" w:rsidRPr="00416D13" w14:paraId="46F2485D" w14:textId="77777777" w:rsidTr="00D919F2">
        <w:trPr>
          <w:gridAfter w:val="1"/>
          <w:wAfter w:w="9" w:type="dxa"/>
          <w:cantSplit/>
          <w:trHeight w:val="45"/>
        </w:trPr>
        <w:tc>
          <w:tcPr>
            <w:tcW w:w="1558" w:type="dxa"/>
            <w:tcBorders>
              <w:left w:val="single" w:sz="2" w:space="0" w:color="auto"/>
              <w:right w:val="single" w:sz="2" w:space="0" w:color="auto"/>
            </w:tcBorders>
          </w:tcPr>
          <w:p w14:paraId="582DE658" w14:textId="77777777" w:rsidR="00CA7ECC" w:rsidRPr="00D51EF3" w:rsidRDefault="00CA7ECC" w:rsidP="009A0F2F">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tcPr>
          <w:p w14:paraId="73EAAA03" w14:textId="77777777" w:rsidR="00CA7ECC" w:rsidRPr="00E30AE6" w:rsidRDefault="00CA7ECC" w:rsidP="009A0F2F">
            <w:pPr>
              <w:spacing w:before="120"/>
              <w:jc w:val="both"/>
              <w:rPr>
                <w:sz w:val="18"/>
                <w:szCs w:val="18"/>
              </w:rPr>
            </w:pPr>
            <w:r w:rsidRPr="00E30AE6">
              <w:rPr>
                <w:b/>
                <w:bCs/>
                <w:sz w:val="18"/>
                <w:szCs w:val="18"/>
                <w:lang w:eastAsia="en-AU"/>
              </w:rPr>
              <w:t>Operating Statement Line Items</w:t>
            </w:r>
          </w:p>
        </w:tc>
        <w:tc>
          <w:tcPr>
            <w:tcW w:w="1136" w:type="dxa"/>
            <w:gridSpan w:val="3"/>
          </w:tcPr>
          <w:p w14:paraId="0C893273" w14:textId="77777777" w:rsidR="00CA7ECC" w:rsidRPr="00E30AE6" w:rsidRDefault="00CA7ECC" w:rsidP="009A0F2F">
            <w:pPr>
              <w:jc w:val="right"/>
              <w:rPr>
                <w:b/>
                <w:bCs/>
                <w:sz w:val="18"/>
                <w:szCs w:val="18"/>
                <w:lang w:eastAsia="en-AU"/>
              </w:rPr>
            </w:pPr>
          </w:p>
        </w:tc>
        <w:tc>
          <w:tcPr>
            <w:tcW w:w="852" w:type="dxa"/>
            <w:shd w:val="clear" w:color="auto" w:fill="auto"/>
            <w:vAlign w:val="bottom"/>
          </w:tcPr>
          <w:p w14:paraId="066114E9" w14:textId="77777777" w:rsidR="00CA7ECC" w:rsidRPr="00E30AE6" w:rsidRDefault="00CA7ECC" w:rsidP="009A0F2F">
            <w:pPr>
              <w:jc w:val="right"/>
              <w:rPr>
                <w:b/>
                <w:bCs/>
                <w:sz w:val="18"/>
                <w:szCs w:val="18"/>
                <w:lang w:eastAsia="en-AU"/>
              </w:rPr>
            </w:pPr>
          </w:p>
        </w:tc>
        <w:tc>
          <w:tcPr>
            <w:tcW w:w="856" w:type="dxa"/>
            <w:shd w:val="clear" w:color="auto" w:fill="auto"/>
            <w:vAlign w:val="bottom"/>
          </w:tcPr>
          <w:p w14:paraId="556BEBC9" w14:textId="77777777" w:rsidR="00CA7ECC" w:rsidRPr="00E30AE6" w:rsidRDefault="00CA7ECC" w:rsidP="009A0F2F">
            <w:pPr>
              <w:jc w:val="right"/>
              <w:rPr>
                <w:b/>
                <w:bCs/>
                <w:sz w:val="18"/>
                <w:szCs w:val="18"/>
                <w:lang w:eastAsia="en-AU"/>
              </w:rPr>
            </w:pPr>
          </w:p>
        </w:tc>
        <w:tc>
          <w:tcPr>
            <w:tcW w:w="999" w:type="dxa"/>
            <w:shd w:val="clear" w:color="auto" w:fill="auto"/>
            <w:vAlign w:val="bottom"/>
          </w:tcPr>
          <w:p w14:paraId="28416041" w14:textId="77777777" w:rsidR="00CA7ECC" w:rsidRPr="00E30AE6" w:rsidRDefault="00CA7ECC" w:rsidP="009A0F2F">
            <w:pPr>
              <w:jc w:val="right"/>
              <w:rPr>
                <w:b/>
                <w:bCs/>
                <w:sz w:val="18"/>
                <w:szCs w:val="18"/>
                <w:lang w:eastAsia="en-AU"/>
              </w:rPr>
            </w:pPr>
          </w:p>
        </w:tc>
        <w:tc>
          <w:tcPr>
            <w:tcW w:w="995" w:type="dxa"/>
            <w:shd w:val="clear" w:color="auto" w:fill="auto"/>
            <w:vAlign w:val="bottom"/>
          </w:tcPr>
          <w:p w14:paraId="6F16561B" w14:textId="77777777" w:rsidR="00CA7ECC" w:rsidRPr="00E30AE6" w:rsidRDefault="00CA7ECC" w:rsidP="009A0F2F">
            <w:pPr>
              <w:jc w:val="right"/>
              <w:rPr>
                <w:b/>
                <w:bCs/>
                <w:sz w:val="18"/>
                <w:szCs w:val="18"/>
                <w:lang w:eastAsia="en-AU"/>
              </w:rPr>
            </w:pPr>
          </w:p>
        </w:tc>
      </w:tr>
      <w:tr w:rsidR="00CA7ECC" w:rsidRPr="00416D13" w14:paraId="496F3DFB" w14:textId="77777777" w:rsidTr="00D919F2">
        <w:trPr>
          <w:gridAfter w:val="1"/>
          <w:wAfter w:w="9" w:type="dxa"/>
          <w:cantSplit/>
          <w:trHeight w:val="45"/>
        </w:trPr>
        <w:tc>
          <w:tcPr>
            <w:tcW w:w="1558" w:type="dxa"/>
            <w:tcBorders>
              <w:left w:val="single" w:sz="2" w:space="0" w:color="auto"/>
              <w:right w:val="single" w:sz="2" w:space="0" w:color="auto"/>
            </w:tcBorders>
          </w:tcPr>
          <w:p w14:paraId="57CEE9AE" w14:textId="77777777" w:rsidR="00CA7ECC" w:rsidRPr="00D51EF3" w:rsidRDefault="00CA7ECC" w:rsidP="009A0F2F">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tcPr>
          <w:p w14:paraId="37E7A682" w14:textId="2B922C9A" w:rsidR="00CA7ECC" w:rsidRPr="00E30AE6" w:rsidRDefault="00CA7ECC" w:rsidP="009A0F2F">
            <w:pPr>
              <w:jc w:val="both"/>
              <w:rPr>
                <w:sz w:val="18"/>
                <w:szCs w:val="18"/>
                <w:lang w:eastAsia="en-AU"/>
              </w:rPr>
            </w:pPr>
            <w:r w:rsidRPr="00E30AE6">
              <w:rPr>
                <w:sz w:val="18"/>
                <w:szCs w:val="18"/>
              </w:rPr>
              <w:t>Taxes, Licences, Fees and Fines</w:t>
            </w:r>
          </w:p>
        </w:tc>
        <w:tc>
          <w:tcPr>
            <w:tcW w:w="1136" w:type="dxa"/>
            <w:gridSpan w:val="3"/>
          </w:tcPr>
          <w:p w14:paraId="4CEB8B17" w14:textId="77777777" w:rsidR="00CA7ECC" w:rsidRPr="00E30AE6" w:rsidRDefault="00CA7ECC" w:rsidP="009A0F2F">
            <w:pPr>
              <w:jc w:val="center"/>
              <w:rPr>
                <w:sz w:val="18"/>
                <w:szCs w:val="18"/>
                <w:lang w:eastAsia="en-AU"/>
              </w:rPr>
            </w:pPr>
            <w:r w:rsidRPr="00E30AE6">
              <w:rPr>
                <w:sz w:val="18"/>
                <w:szCs w:val="18"/>
                <w:lang w:eastAsia="en-AU"/>
              </w:rPr>
              <w:t>1</w:t>
            </w:r>
          </w:p>
        </w:tc>
        <w:tc>
          <w:tcPr>
            <w:tcW w:w="852" w:type="dxa"/>
            <w:shd w:val="clear" w:color="auto" w:fill="auto"/>
          </w:tcPr>
          <w:p w14:paraId="0343BE3C" w14:textId="77777777" w:rsidR="00CA7ECC" w:rsidRPr="00E30AE6" w:rsidRDefault="00CA7ECC" w:rsidP="009A0F2F">
            <w:pPr>
              <w:jc w:val="right"/>
              <w:rPr>
                <w:b/>
                <w:bCs/>
                <w:sz w:val="18"/>
                <w:szCs w:val="18"/>
                <w:lang w:eastAsia="en-AU"/>
              </w:rPr>
            </w:pPr>
          </w:p>
        </w:tc>
        <w:tc>
          <w:tcPr>
            <w:tcW w:w="856" w:type="dxa"/>
            <w:shd w:val="clear" w:color="auto" w:fill="auto"/>
          </w:tcPr>
          <w:p w14:paraId="58E5C535" w14:textId="77777777" w:rsidR="00CA7ECC" w:rsidRPr="00E30AE6" w:rsidRDefault="00CA7ECC" w:rsidP="009A0F2F">
            <w:pPr>
              <w:jc w:val="right"/>
              <w:rPr>
                <w:b/>
                <w:bCs/>
                <w:sz w:val="18"/>
                <w:szCs w:val="18"/>
                <w:lang w:eastAsia="en-AU"/>
              </w:rPr>
            </w:pPr>
          </w:p>
        </w:tc>
        <w:tc>
          <w:tcPr>
            <w:tcW w:w="999" w:type="dxa"/>
            <w:shd w:val="clear" w:color="auto" w:fill="auto"/>
          </w:tcPr>
          <w:p w14:paraId="01CB720E" w14:textId="77777777" w:rsidR="00CA7ECC" w:rsidRPr="00E30AE6" w:rsidRDefault="00CA7ECC" w:rsidP="009A0F2F">
            <w:pPr>
              <w:jc w:val="right"/>
              <w:rPr>
                <w:b/>
                <w:bCs/>
                <w:sz w:val="18"/>
                <w:szCs w:val="18"/>
                <w:lang w:eastAsia="en-AU"/>
              </w:rPr>
            </w:pPr>
          </w:p>
        </w:tc>
        <w:tc>
          <w:tcPr>
            <w:tcW w:w="995" w:type="dxa"/>
            <w:shd w:val="clear" w:color="auto" w:fill="auto"/>
          </w:tcPr>
          <w:p w14:paraId="74E32780" w14:textId="77777777" w:rsidR="00CA7ECC" w:rsidRPr="00E30AE6" w:rsidRDefault="00CA7ECC" w:rsidP="009A0F2F">
            <w:pPr>
              <w:jc w:val="right"/>
              <w:rPr>
                <w:b/>
                <w:bCs/>
                <w:sz w:val="18"/>
                <w:szCs w:val="18"/>
                <w:lang w:eastAsia="en-AU"/>
              </w:rPr>
            </w:pPr>
          </w:p>
        </w:tc>
      </w:tr>
      <w:tr w:rsidR="00CA7ECC" w:rsidRPr="00416D13" w14:paraId="26E37F1F" w14:textId="77777777" w:rsidTr="00D919F2">
        <w:trPr>
          <w:gridAfter w:val="1"/>
          <w:wAfter w:w="9" w:type="dxa"/>
          <w:cantSplit/>
          <w:trHeight w:val="45"/>
        </w:trPr>
        <w:tc>
          <w:tcPr>
            <w:tcW w:w="1558" w:type="dxa"/>
            <w:tcBorders>
              <w:left w:val="single" w:sz="2" w:space="0" w:color="auto"/>
              <w:right w:val="single" w:sz="2" w:space="0" w:color="auto"/>
            </w:tcBorders>
          </w:tcPr>
          <w:p w14:paraId="5A29A52C" w14:textId="77777777" w:rsidR="00CA7ECC" w:rsidRPr="00D51EF3" w:rsidRDefault="00CA7ECC" w:rsidP="009A0F2F">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tcPr>
          <w:p w14:paraId="0AB26A9F" w14:textId="77777777" w:rsidR="00CA7ECC" w:rsidRPr="00E30AE6" w:rsidRDefault="00CA7ECC" w:rsidP="009A0F2F">
            <w:pPr>
              <w:jc w:val="both"/>
              <w:rPr>
                <w:sz w:val="18"/>
                <w:szCs w:val="18"/>
              </w:rPr>
            </w:pPr>
          </w:p>
        </w:tc>
        <w:tc>
          <w:tcPr>
            <w:tcW w:w="1136" w:type="dxa"/>
            <w:gridSpan w:val="3"/>
          </w:tcPr>
          <w:p w14:paraId="79B0FCDF" w14:textId="77777777" w:rsidR="00CA7ECC" w:rsidRPr="00E30AE6" w:rsidRDefault="00CA7ECC" w:rsidP="009A0F2F">
            <w:pPr>
              <w:jc w:val="center"/>
              <w:rPr>
                <w:b/>
                <w:bCs/>
                <w:sz w:val="18"/>
                <w:szCs w:val="18"/>
                <w:lang w:eastAsia="en-AU"/>
              </w:rPr>
            </w:pPr>
          </w:p>
        </w:tc>
        <w:tc>
          <w:tcPr>
            <w:tcW w:w="852" w:type="dxa"/>
            <w:shd w:val="clear" w:color="auto" w:fill="auto"/>
            <w:vAlign w:val="bottom"/>
          </w:tcPr>
          <w:p w14:paraId="15E1F02C" w14:textId="77777777" w:rsidR="00CA7ECC" w:rsidRPr="00E30AE6" w:rsidRDefault="00CA7ECC" w:rsidP="009A0F2F">
            <w:pPr>
              <w:jc w:val="right"/>
              <w:rPr>
                <w:b/>
                <w:bCs/>
                <w:sz w:val="18"/>
                <w:szCs w:val="18"/>
                <w:lang w:eastAsia="en-AU"/>
              </w:rPr>
            </w:pPr>
          </w:p>
        </w:tc>
        <w:tc>
          <w:tcPr>
            <w:tcW w:w="856" w:type="dxa"/>
            <w:shd w:val="clear" w:color="auto" w:fill="auto"/>
            <w:vAlign w:val="bottom"/>
          </w:tcPr>
          <w:p w14:paraId="17C796E3" w14:textId="77777777" w:rsidR="00CA7ECC" w:rsidRPr="00E30AE6" w:rsidRDefault="00CA7ECC" w:rsidP="009A0F2F">
            <w:pPr>
              <w:jc w:val="right"/>
              <w:rPr>
                <w:b/>
                <w:bCs/>
                <w:sz w:val="18"/>
                <w:szCs w:val="18"/>
                <w:lang w:eastAsia="en-AU"/>
              </w:rPr>
            </w:pPr>
          </w:p>
        </w:tc>
        <w:tc>
          <w:tcPr>
            <w:tcW w:w="999" w:type="dxa"/>
            <w:shd w:val="clear" w:color="auto" w:fill="auto"/>
            <w:vAlign w:val="bottom"/>
          </w:tcPr>
          <w:p w14:paraId="5EF44034" w14:textId="77777777" w:rsidR="00CA7ECC" w:rsidRPr="00E30AE6" w:rsidRDefault="00CA7ECC" w:rsidP="009A0F2F">
            <w:pPr>
              <w:jc w:val="right"/>
              <w:rPr>
                <w:b/>
                <w:bCs/>
                <w:sz w:val="18"/>
                <w:szCs w:val="18"/>
                <w:lang w:eastAsia="en-AU"/>
              </w:rPr>
            </w:pPr>
          </w:p>
        </w:tc>
        <w:tc>
          <w:tcPr>
            <w:tcW w:w="995" w:type="dxa"/>
            <w:shd w:val="clear" w:color="auto" w:fill="auto"/>
            <w:vAlign w:val="bottom"/>
          </w:tcPr>
          <w:p w14:paraId="5B4FFE81" w14:textId="77777777" w:rsidR="00CA7ECC" w:rsidRPr="00E30AE6" w:rsidRDefault="00CA7ECC" w:rsidP="009A0F2F">
            <w:pPr>
              <w:jc w:val="right"/>
              <w:rPr>
                <w:b/>
                <w:bCs/>
                <w:sz w:val="18"/>
                <w:szCs w:val="18"/>
                <w:lang w:eastAsia="en-AU"/>
              </w:rPr>
            </w:pPr>
          </w:p>
        </w:tc>
      </w:tr>
      <w:tr w:rsidR="00CA7ECC" w:rsidRPr="00416D13" w14:paraId="5CB486FB" w14:textId="77777777" w:rsidTr="00D919F2">
        <w:trPr>
          <w:gridAfter w:val="1"/>
          <w:wAfter w:w="9" w:type="dxa"/>
          <w:cantSplit/>
          <w:trHeight w:val="45"/>
        </w:trPr>
        <w:tc>
          <w:tcPr>
            <w:tcW w:w="1558" w:type="dxa"/>
            <w:tcBorders>
              <w:left w:val="single" w:sz="2" w:space="0" w:color="auto"/>
              <w:right w:val="single" w:sz="2" w:space="0" w:color="auto"/>
            </w:tcBorders>
          </w:tcPr>
          <w:p w14:paraId="00907D17" w14:textId="77777777" w:rsidR="00CA7ECC" w:rsidRPr="00D51EF3" w:rsidRDefault="00CA7ECC" w:rsidP="009A0F2F">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tcPr>
          <w:p w14:paraId="421B9101" w14:textId="77777777" w:rsidR="00CA7ECC" w:rsidRPr="00E30AE6" w:rsidRDefault="00CA7ECC" w:rsidP="009A0F2F">
            <w:pPr>
              <w:jc w:val="both"/>
              <w:rPr>
                <w:sz w:val="18"/>
                <w:szCs w:val="18"/>
              </w:rPr>
            </w:pPr>
            <w:r w:rsidRPr="00E30AE6">
              <w:rPr>
                <w:b/>
                <w:sz w:val="18"/>
                <w:szCs w:val="18"/>
                <w:lang w:eastAsia="en-AU"/>
              </w:rPr>
              <w:t>Variance Explanations</w:t>
            </w:r>
          </w:p>
        </w:tc>
        <w:tc>
          <w:tcPr>
            <w:tcW w:w="1136" w:type="dxa"/>
            <w:gridSpan w:val="3"/>
          </w:tcPr>
          <w:p w14:paraId="3696AF4D" w14:textId="77777777" w:rsidR="00CA7ECC" w:rsidRPr="00E30AE6" w:rsidRDefault="00CA7ECC" w:rsidP="009A0F2F">
            <w:pPr>
              <w:jc w:val="center"/>
              <w:rPr>
                <w:b/>
                <w:bCs/>
                <w:sz w:val="18"/>
                <w:szCs w:val="18"/>
                <w:lang w:eastAsia="en-AU"/>
              </w:rPr>
            </w:pPr>
          </w:p>
        </w:tc>
        <w:tc>
          <w:tcPr>
            <w:tcW w:w="852" w:type="dxa"/>
            <w:shd w:val="clear" w:color="auto" w:fill="auto"/>
            <w:vAlign w:val="bottom"/>
          </w:tcPr>
          <w:p w14:paraId="4DCFFD68" w14:textId="77777777" w:rsidR="00CA7ECC" w:rsidRPr="00E30AE6" w:rsidRDefault="00CA7ECC" w:rsidP="009A0F2F">
            <w:pPr>
              <w:jc w:val="right"/>
              <w:rPr>
                <w:b/>
                <w:bCs/>
                <w:sz w:val="18"/>
                <w:szCs w:val="18"/>
                <w:lang w:eastAsia="en-AU"/>
              </w:rPr>
            </w:pPr>
          </w:p>
        </w:tc>
        <w:tc>
          <w:tcPr>
            <w:tcW w:w="856" w:type="dxa"/>
            <w:shd w:val="clear" w:color="auto" w:fill="auto"/>
            <w:vAlign w:val="bottom"/>
          </w:tcPr>
          <w:p w14:paraId="3F394FDB" w14:textId="77777777" w:rsidR="00CA7ECC" w:rsidRPr="00E30AE6" w:rsidRDefault="00CA7ECC" w:rsidP="009A0F2F">
            <w:pPr>
              <w:jc w:val="right"/>
              <w:rPr>
                <w:b/>
                <w:bCs/>
                <w:sz w:val="18"/>
                <w:szCs w:val="18"/>
                <w:lang w:eastAsia="en-AU"/>
              </w:rPr>
            </w:pPr>
          </w:p>
        </w:tc>
        <w:tc>
          <w:tcPr>
            <w:tcW w:w="999" w:type="dxa"/>
            <w:shd w:val="clear" w:color="auto" w:fill="auto"/>
            <w:vAlign w:val="bottom"/>
          </w:tcPr>
          <w:p w14:paraId="14B94C91" w14:textId="77777777" w:rsidR="00CA7ECC" w:rsidRPr="00E30AE6" w:rsidRDefault="00CA7ECC" w:rsidP="009A0F2F">
            <w:pPr>
              <w:jc w:val="right"/>
              <w:rPr>
                <w:b/>
                <w:bCs/>
                <w:sz w:val="18"/>
                <w:szCs w:val="18"/>
                <w:lang w:eastAsia="en-AU"/>
              </w:rPr>
            </w:pPr>
          </w:p>
        </w:tc>
        <w:tc>
          <w:tcPr>
            <w:tcW w:w="995" w:type="dxa"/>
            <w:shd w:val="clear" w:color="auto" w:fill="auto"/>
            <w:vAlign w:val="bottom"/>
          </w:tcPr>
          <w:p w14:paraId="23BB1F82" w14:textId="77777777" w:rsidR="00CA7ECC" w:rsidRPr="00E30AE6" w:rsidRDefault="00CA7ECC" w:rsidP="009A0F2F">
            <w:pPr>
              <w:jc w:val="right"/>
              <w:rPr>
                <w:b/>
                <w:bCs/>
                <w:sz w:val="18"/>
                <w:szCs w:val="18"/>
                <w:lang w:eastAsia="en-AU"/>
              </w:rPr>
            </w:pPr>
          </w:p>
        </w:tc>
      </w:tr>
      <w:tr w:rsidR="00CA7ECC" w:rsidRPr="004A1188" w14:paraId="6E8D0DB3" w14:textId="77777777" w:rsidTr="00D919F2">
        <w:trPr>
          <w:gridAfter w:val="1"/>
          <w:wAfter w:w="9" w:type="dxa"/>
          <w:cantSplit/>
          <w:trHeight w:val="45"/>
        </w:trPr>
        <w:tc>
          <w:tcPr>
            <w:tcW w:w="1558" w:type="dxa"/>
            <w:tcBorders>
              <w:left w:val="single" w:sz="2" w:space="0" w:color="auto"/>
              <w:right w:val="single" w:sz="2" w:space="0" w:color="auto"/>
            </w:tcBorders>
          </w:tcPr>
          <w:p w14:paraId="14AB3356" w14:textId="77777777" w:rsidR="00CA7ECC" w:rsidRPr="00D51EF3" w:rsidRDefault="00CA7ECC"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06DD3027" w14:textId="7EAFC1D9" w:rsidR="00CA7ECC" w:rsidRPr="00E30AE6" w:rsidRDefault="00CA7ECC" w:rsidP="007122BC">
            <w:pPr>
              <w:pStyle w:val="ListParagraph"/>
              <w:numPr>
                <w:ilvl w:val="0"/>
                <w:numId w:val="71"/>
              </w:numPr>
              <w:rPr>
                <w:b/>
                <w:bCs/>
                <w:sz w:val="18"/>
                <w:szCs w:val="18"/>
              </w:rPr>
            </w:pPr>
            <w:r w:rsidRPr="00E30AE6">
              <w:rPr>
                <w:sz w:val="18"/>
                <w:szCs w:val="18"/>
                <w:lang w:eastAsia="en-AU"/>
              </w:rPr>
              <w:t>[Insert major variance explanation]</w:t>
            </w:r>
          </w:p>
        </w:tc>
      </w:tr>
      <w:tr w:rsidR="00CA7ECC" w:rsidRPr="004A1188" w14:paraId="27139E06" w14:textId="77777777" w:rsidTr="00D919F2">
        <w:trPr>
          <w:gridAfter w:val="1"/>
          <w:wAfter w:w="9" w:type="dxa"/>
          <w:cantSplit/>
          <w:trHeight w:val="45"/>
        </w:trPr>
        <w:tc>
          <w:tcPr>
            <w:tcW w:w="1558" w:type="dxa"/>
            <w:tcBorders>
              <w:left w:val="single" w:sz="2" w:space="0" w:color="auto"/>
              <w:right w:val="single" w:sz="2" w:space="0" w:color="auto"/>
            </w:tcBorders>
          </w:tcPr>
          <w:p w14:paraId="5D41C6BF" w14:textId="77777777" w:rsidR="00CA7ECC" w:rsidRPr="00D51EF3" w:rsidRDefault="00CA7ECC"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3F7282E0" w14:textId="77777777" w:rsidR="00CA7ECC" w:rsidRPr="00E30AE6" w:rsidRDefault="00CA7ECC" w:rsidP="009A0F2F">
            <w:pPr>
              <w:pStyle w:val="ListParagraph"/>
              <w:rPr>
                <w:sz w:val="18"/>
                <w:szCs w:val="18"/>
                <w:lang w:eastAsia="en-AU"/>
              </w:rPr>
            </w:pPr>
          </w:p>
        </w:tc>
      </w:tr>
      <w:tr w:rsidR="00CA7ECC" w:rsidRPr="004A1188" w14:paraId="76595A35" w14:textId="77777777" w:rsidTr="00D919F2">
        <w:trPr>
          <w:gridAfter w:val="1"/>
          <w:wAfter w:w="9" w:type="dxa"/>
          <w:cantSplit/>
          <w:trHeight w:val="45"/>
        </w:trPr>
        <w:tc>
          <w:tcPr>
            <w:tcW w:w="1558" w:type="dxa"/>
            <w:tcBorders>
              <w:left w:val="single" w:sz="2" w:space="0" w:color="auto"/>
              <w:right w:val="single" w:sz="2" w:space="0" w:color="auto"/>
            </w:tcBorders>
          </w:tcPr>
          <w:p w14:paraId="36A20D12" w14:textId="77777777" w:rsidR="00CA7ECC" w:rsidRPr="00D51EF3" w:rsidRDefault="00CA7ECC"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01DC2A8F" w14:textId="77777777" w:rsidR="00CA7ECC" w:rsidRPr="00E30AE6" w:rsidRDefault="00CA7ECC" w:rsidP="009A0F2F">
            <w:pPr>
              <w:pStyle w:val="ListParagraph"/>
              <w:rPr>
                <w:sz w:val="18"/>
                <w:szCs w:val="18"/>
                <w:lang w:eastAsia="en-AU"/>
              </w:rPr>
            </w:pPr>
          </w:p>
        </w:tc>
      </w:tr>
      <w:tr w:rsidR="00CA7ECC" w:rsidRPr="004A1188" w14:paraId="78384415" w14:textId="77777777" w:rsidTr="00D919F2">
        <w:trPr>
          <w:gridAfter w:val="1"/>
          <w:wAfter w:w="9" w:type="dxa"/>
          <w:cantSplit/>
          <w:trHeight w:val="45"/>
        </w:trPr>
        <w:tc>
          <w:tcPr>
            <w:tcW w:w="1558" w:type="dxa"/>
            <w:tcBorders>
              <w:left w:val="single" w:sz="2" w:space="0" w:color="auto"/>
              <w:right w:val="single" w:sz="2" w:space="0" w:color="auto"/>
            </w:tcBorders>
          </w:tcPr>
          <w:p w14:paraId="5CE68E2D" w14:textId="77777777" w:rsidR="00CA7ECC" w:rsidRPr="00D51EF3" w:rsidRDefault="00CA7ECC"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13E94CE9" w14:textId="77777777" w:rsidR="00CA7ECC" w:rsidRPr="00E30AE6" w:rsidRDefault="00CA7ECC" w:rsidP="009A0F2F">
            <w:pPr>
              <w:pStyle w:val="ListParagraph"/>
              <w:rPr>
                <w:sz w:val="18"/>
                <w:szCs w:val="18"/>
                <w:lang w:eastAsia="en-AU"/>
              </w:rPr>
            </w:pPr>
          </w:p>
        </w:tc>
      </w:tr>
      <w:tr w:rsidR="00CA7ECC" w:rsidRPr="00416D13" w14:paraId="228FD7E1" w14:textId="77777777" w:rsidTr="00D919F2">
        <w:trPr>
          <w:gridAfter w:val="1"/>
          <w:wAfter w:w="9" w:type="dxa"/>
          <w:cantSplit/>
          <w:trHeight w:val="45"/>
        </w:trPr>
        <w:tc>
          <w:tcPr>
            <w:tcW w:w="1558" w:type="dxa"/>
            <w:tcBorders>
              <w:left w:val="single" w:sz="2" w:space="0" w:color="auto"/>
              <w:right w:val="single" w:sz="2" w:space="0" w:color="auto"/>
            </w:tcBorders>
          </w:tcPr>
          <w:p w14:paraId="2198D7BC" w14:textId="77777777" w:rsidR="00CA7ECC" w:rsidRPr="00D51EF3" w:rsidRDefault="00CA7ECC" w:rsidP="009A0F2F">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tcPr>
          <w:p w14:paraId="7F9915BE" w14:textId="77777777" w:rsidR="00CA7ECC" w:rsidRPr="00E30AE6" w:rsidRDefault="00CA7ECC" w:rsidP="009A0F2F">
            <w:pPr>
              <w:jc w:val="both"/>
              <w:rPr>
                <w:sz w:val="18"/>
                <w:szCs w:val="18"/>
              </w:rPr>
            </w:pPr>
            <w:r w:rsidRPr="00E30AE6">
              <w:rPr>
                <w:b/>
                <w:bCs/>
                <w:sz w:val="18"/>
                <w:szCs w:val="18"/>
                <w:lang w:eastAsia="en-AU"/>
              </w:rPr>
              <w:t>Balance Sheet Line Items</w:t>
            </w:r>
          </w:p>
        </w:tc>
        <w:tc>
          <w:tcPr>
            <w:tcW w:w="1136" w:type="dxa"/>
            <w:gridSpan w:val="3"/>
            <w:shd w:val="clear" w:color="auto" w:fill="auto"/>
            <w:vAlign w:val="bottom"/>
          </w:tcPr>
          <w:p w14:paraId="2EE4210C" w14:textId="77777777" w:rsidR="00CA7ECC" w:rsidRPr="00E30AE6" w:rsidRDefault="00CA7ECC" w:rsidP="009A0F2F">
            <w:pPr>
              <w:jc w:val="right"/>
              <w:rPr>
                <w:b/>
                <w:bCs/>
                <w:sz w:val="18"/>
                <w:szCs w:val="18"/>
                <w:lang w:eastAsia="en-AU"/>
              </w:rPr>
            </w:pPr>
          </w:p>
        </w:tc>
        <w:tc>
          <w:tcPr>
            <w:tcW w:w="852" w:type="dxa"/>
          </w:tcPr>
          <w:p w14:paraId="00D48921" w14:textId="77777777" w:rsidR="00CA7ECC" w:rsidRPr="00E30AE6" w:rsidRDefault="00CA7ECC" w:rsidP="009A0F2F">
            <w:pPr>
              <w:jc w:val="right"/>
              <w:rPr>
                <w:b/>
                <w:bCs/>
                <w:sz w:val="18"/>
                <w:szCs w:val="18"/>
                <w:lang w:eastAsia="en-AU"/>
              </w:rPr>
            </w:pPr>
          </w:p>
        </w:tc>
        <w:tc>
          <w:tcPr>
            <w:tcW w:w="856" w:type="dxa"/>
            <w:shd w:val="clear" w:color="auto" w:fill="auto"/>
            <w:vAlign w:val="bottom"/>
          </w:tcPr>
          <w:p w14:paraId="749D5A34" w14:textId="77777777" w:rsidR="00CA7ECC" w:rsidRPr="00E30AE6" w:rsidRDefault="00CA7ECC" w:rsidP="009A0F2F">
            <w:pPr>
              <w:jc w:val="right"/>
              <w:rPr>
                <w:b/>
                <w:bCs/>
                <w:sz w:val="18"/>
                <w:szCs w:val="18"/>
                <w:lang w:eastAsia="en-AU"/>
              </w:rPr>
            </w:pPr>
          </w:p>
        </w:tc>
        <w:tc>
          <w:tcPr>
            <w:tcW w:w="999" w:type="dxa"/>
            <w:shd w:val="clear" w:color="auto" w:fill="auto"/>
            <w:vAlign w:val="bottom"/>
          </w:tcPr>
          <w:p w14:paraId="539A64F7" w14:textId="77777777" w:rsidR="00CA7ECC" w:rsidRPr="00E30AE6" w:rsidRDefault="00CA7ECC" w:rsidP="009A0F2F">
            <w:pPr>
              <w:jc w:val="right"/>
              <w:rPr>
                <w:b/>
                <w:bCs/>
                <w:sz w:val="18"/>
                <w:szCs w:val="18"/>
                <w:lang w:eastAsia="en-AU"/>
              </w:rPr>
            </w:pPr>
          </w:p>
        </w:tc>
        <w:tc>
          <w:tcPr>
            <w:tcW w:w="995" w:type="dxa"/>
            <w:shd w:val="clear" w:color="auto" w:fill="auto"/>
            <w:vAlign w:val="bottom"/>
          </w:tcPr>
          <w:p w14:paraId="652048A5" w14:textId="77777777" w:rsidR="00CA7ECC" w:rsidRPr="00E30AE6" w:rsidRDefault="00CA7ECC" w:rsidP="009A0F2F">
            <w:pPr>
              <w:jc w:val="right"/>
              <w:rPr>
                <w:b/>
                <w:bCs/>
                <w:sz w:val="18"/>
                <w:szCs w:val="18"/>
                <w:lang w:eastAsia="en-AU"/>
              </w:rPr>
            </w:pPr>
          </w:p>
        </w:tc>
      </w:tr>
      <w:tr w:rsidR="00CA7ECC" w:rsidRPr="00416D13" w14:paraId="0FC3A549" w14:textId="77777777" w:rsidTr="00D919F2">
        <w:trPr>
          <w:gridAfter w:val="1"/>
          <w:wAfter w:w="9" w:type="dxa"/>
          <w:cantSplit/>
          <w:trHeight w:val="45"/>
        </w:trPr>
        <w:tc>
          <w:tcPr>
            <w:tcW w:w="1558" w:type="dxa"/>
            <w:tcBorders>
              <w:left w:val="single" w:sz="2" w:space="0" w:color="auto"/>
              <w:right w:val="single" w:sz="2" w:space="0" w:color="auto"/>
            </w:tcBorders>
          </w:tcPr>
          <w:p w14:paraId="0359A8D6" w14:textId="77777777" w:rsidR="00CA7ECC" w:rsidRPr="00D51EF3" w:rsidRDefault="00CA7ECC" w:rsidP="00CA7ECC">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vAlign w:val="bottom"/>
          </w:tcPr>
          <w:p w14:paraId="21AEC1E8" w14:textId="1040B809" w:rsidR="00CA7ECC" w:rsidRPr="00E30AE6" w:rsidRDefault="00CA7ECC" w:rsidP="00CA7ECC">
            <w:pPr>
              <w:jc w:val="both"/>
              <w:rPr>
                <w:sz w:val="18"/>
                <w:szCs w:val="18"/>
              </w:rPr>
            </w:pPr>
            <w:r w:rsidRPr="00E30AE6">
              <w:rPr>
                <w:sz w:val="18"/>
                <w:szCs w:val="18"/>
              </w:rPr>
              <w:t>Cash and Cash Equivalents</w:t>
            </w:r>
          </w:p>
        </w:tc>
        <w:tc>
          <w:tcPr>
            <w:tcW w:w="1136" w:type="dxa"/>
            <w:gridSpan w:val="3"/>
            <w:shd w:val="clear" w:color="auto" w:fill="auto"/>
          </w:tcPr>
          <w:p w14:paraId="4851A28B" w14:textId="5CA916DD" w:rsidR="00CA7ECC" w:rsidRPr="00E30AE6" w:rsidRDefault="00CA7ECC" w:rsidP="00CA7ECC">
            <w:pPr>
              <w:jc w:val="center"/>
              <w:rPr>
                <w:sz w:val="18"/>
                <w:szCs w:val="18"/>
                <w:lang w:eastAsia="en-AU"/>
              </w:rPr>
            </w:pPr>
            <w:r w:rsidRPr="00E30AE6">
              <w:rPr>
                <w:sz w:val="18"/>
                <w:szCs w:val="18"/>
                <w:lang w:eastAsia="en-AU"/>
              </w:rPr>
              <w:t>2</w:t>
            </w:r>
          </w:p>
        </w:tc>
        <w:tc>
          <w:tcPr>
            <w:tcW w:w="852" w:type="dxa"/>
          </w:tcPr>
          <w:p w14:paraId="7ED59059" w14:textId="77777777" w:rsidR="00CA7ECC" w:rsidRPr="00E30AE6" w:rsidRDefault="00CA7ECC" w:rsidP="00CA7ECC">
            <w:pPr>
              <w:jc w:val="right"/>
              <w:rPr>
                <w:b/>
                <w:bCs/>
                <w:sz w:val="18"/>
                <w:szCs w:val="18"/>
                <w:lang w:eastAsia="en-AU"/>
              </w:rPr>
            </w:pPr>
          </w:p>
        </w:tc>
        <w:tc>
          <w:tcPr>
            <w:tcW w:w="856" w:type="dxa"/>
            <w:shd w:val="clear" w:color="auto" w:fill="auto"/>
            <w:vAlign w:val="bottom"/>
          </w:tcPr>
          <w:p w14:paraId="620FAF13" w14:textId="77777777" w:rsidR="00CA7ECC" w:rsidRPr="00E30AE6" w:rsidRDefault="00CA7ECC" w:rsidP="00CA7ECC">
            <w:pPr>
              <w:jc w:val="right"/>
              <w:rPr>
                <w:b/>
                <w:bCs/>
                <w:sz w:val="18"/>
                <w:szCs w:val="18"/>
                <w:lang w:eastAsia="en-AU"/>
              </w:rPr>
            </w:pPr>
          </w:p>
        </w:tc>
        <w:tc>
          <w:tcPr>
            <w:tcW w:w="999" w:type="dxa"/>
            <w:shd w:val="clear" w:color="auto" w:fill="auto"/>
            <w:vAlign w:val="bottom"/>
          </w:tcPr>
          <w:p w14:paraId="0EBC58C7" w14:textId="77777777" w:rsidR="00CA7ECC" w:rsidRPr="00E30AE6" w:rsidRDefault="00CA7ECC" w:rsidP="00CA7ECC">
            <w:pPr>
              <w:jc w:val="right"/>
              <w:rPr>
                <w:b/>
                <w:bCs/>
                <w:sz w:val="18"/>
                <w:szCs w:val="18"/>
                <w:lang w:eastAsia="en-AU"/>
              </w:rPr>
            </w:pPr>
          </w:p>
        </w:tc>
        <w:tc>
          <w:tcPr>
            <w:tcW w:w="995" w:type="dxa"/>
            <w:shd w:val="clear" w:color="auto" w:fill="auto"/>
            <w:vAlign w:val="bottom"/>
          </w:tcPr>
          <w:p w14:paraId="6AA67AD8" w14:textId="77777777" w:rsidR="00CA7ECC" w:rsidRPr="00E30AE6" w:rsidRDefault="00CA7ECC" w:rsidP="00CA7ECC">
            <w:pPr>
              <w:jc w:val="right"/>
              <w:rPr>
                <w:b/>
                <w:bCs/>
                <w:sz w:val="18"/>
                <w:szCs w:val="18"/>
                <w:lang w:eastAsia="en-AU"/>
              </w:rPr>
            </w:pPr>
          </w:p>
        </w:tc>
      </w:tr>
      <w:tr w:rsidR="00CA7ECC" w:rsidRPr="00416D13" w14:paraId="3DD46F46" w14:textId="77777777" w:rsidTr="00D919F2">
        <w:trPr>
          <w:gridAfter w:val="1"/>
          <w:wAfter w:w="9" w:type="dxa"/>
          <w:cantSplit/>
          <w:trHeight w:val="45"/>
        </w:trPr>
        <w:tc>
          <w:tcPr>
            <w:tcW w:w="1558" w:type="dxa"/>
            <w:tcBorders>
              <w:left w:val="single" w:sz="2" w:space="0" w:color="auto"/>
              <w:right w:val="single" w:sz="2" w:space="0" w:color="auto"/>
            </w:tcBorders>
          </w:tcPr>
          <w:p w14:paraId="5FA89BD0" w14:textId="77777777" w:rsidR="00CA7ECC" w:rsidRPr="00D51EF3" w:rsidRDefault="00CA7ECC" w:rsidP="00CA7ECC">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vAlign w:val="bottom"/>
          </w:tcPr>
          <w:p w14:paraId="626E608A" w14:textId="5A468771" w:rsidR="00CA7ECC" w:rsidRPr="00E30AE6" w:rsidRDefault="00CA7ECC" w:rsidP="00CA7ECC">
            <w:pPr>
              <w:jc w:val="both"/>
              <w:rPr>
                <w:sz w:val="18"/>
                <w:szCs w:val="18"/>
              </w:rPr>
            </w:pPr>
            <w:r w:rsidRPr="00E30AE6">
              <w:rPr>
                <w:sz w:val="18"/>
                <w:szCs w:val="18"/>
              </w:rPr>
              <w:t>Current Receivables</w:t>
            </w:r>
          </w:p>
        </w:tc>
        <w:tc>
          <w:tcPr>
            <w:tcW w:w="1136" w:type="dxa"/>
            <w:gridSpan w:val="3"/>
            <w:shd w:val="clear" w:color="auto" w:fill="auto"/>
          </w:tcPr>
          <w:p w14:paraId="3F7A7024" w14:textId="4FD1018F" w:rsidR="00CA7ECC" w:rsidRPr="00E30AE6" w:rsidRDefault="00CA7ECC" w:rsidP="00CA7ECC">
            <w:pPr>
              <w:jc w:val="center"/>
              <w:rPr>
                <w:sz w:val="18"/>
                <w:szCs w:val="18"/>
                <w:lang w:eastAsia="en-AU"/>
              </w:rPr>
            </w:pPr>
            <w:r w:rsidRPr="00E30AE6">
              <w:rPr>
                <w:sz w:val="18"/>
                <w:szCs w:val="18"/>
                <w:lang w:eastAsia="en-AU"/>
              </w:rPr>
              <w:t>3</w:t>
            </w:r>
          </w:p>
        </w:tc>
        <w:tc>
          <w:tcPr>
            <w:tcW w:w="852" w:type="dxa"/>
          </w:tcPr>
          <w:p w14:paraId="572CDF08" w14:textId="77777777" w:rsidR="00CA7ECC" w:rsidRPr="00E30AE6" w:rsidRDefault="00CA7ECC" w:rsidP="00CA7ECC">
            <w:pPr>
              <w:jc w:val="right"/>
              <w:rPr>
                <w:b/>
                <w:bCs/>
                <w:sz w:val="18"/>
                <w:szCs w:val="18"/>
                <w:lang w:eastAsia="en-AU"/>
              </w:rPr>
            </w:pPr>
          </w:p>
        </w:tc>
        <w:tc>
          <w:tcPr>
            <w:tcW w:w="856" w:type="dxa"/>
            <w:shd w:val="clear" w:color="auto" w:fill="auto"/>
            <w:vAlign w:val="bottom"/>
          </w:tcPr>
          <w:p w14:paraId="6F751A75" w14:textId="77777777" w:rsidR="00CA7ECC" w:rsidRPr="00E30AE6" w:rsidRDefault="00CA7ECC" w:rsidP="00CA7ECC">
            <w:pPr>
              <w:jc w:val="right"/>
              <w:rPr>
                <w:b/>
                <w:bCs/>
                <w:sz w:val="18"/>
                <w:szCs w:val="18"/>
                <w:lang w:eastAsia="en-AU"/>
              </w:rPr>
            </w:pPr>
          </w:p>
        </w:tc>
        <w:tc>
          <w:tcPr>
            <w:tcW w:w="999" w:type="dxa"/>
            <w:shd w:val="clear" w:color="auto" w:fill="auto"/>
            <w:vAlign w:val="bottom"/>
          </w:tcPr>
          <w:p w14:paraId="7A84F190" w14:textId="77777777" w:rsidR="00CA7ECC" w:rsidRPr="00E30AE6" w:rsidRDefault="00CA7ECC" w:rsidP="00CA7ECC">
            <w:pPr>
              <w:jc w:val="right"/>
              <w:rPr>
                <w:b/>
                <w:bCs/>
                <w:sz w:val="18"/>
                <w:szCs w:val="18"/>
                <w:lang w:eastAsia="en-AU"/>
              </w:rPr>
            </w:pPr>
          </w:p>
        </w:tc>
        <w:tc>
          <w:tcPr>
            <w:tcW w:w="995" w:type="dxa"/>
            <w:shd w:val="clear" w:color="auto" w:fill="auto"/>
            <w:vAlign w:val="bottom"/>
          </w:tcPr>
          <w:p w14:paraId="59341347" w14:textId="77777777" w:rsidR="00CA7ECC" w:rsidRPr="00E30AE6" w:rsidRDefault="00CA7ECC" w:rsidP="00CA7ECC">
            <w:pPr>
              <w:jc w:val="right"/>
              <w:rPr>
                <w:b/>
                <w:bCs/>
                <w:sz w:val="18"/>
                <w:szCs w:val="18"/>
                <w:lang w:eastAsia="en-AU"/>
              </w:rPr>
            </w:pPr>
          </w:p>
        </w:tc>
      </w:tr>
      <w:tr w:rsidR="00CA7ECC" w:rsidRPr="00416D13" w14:paraId="236035C0" w14:textId="77777777" w:rsidTr="00D919F2">
        <w:trPr>
          <w:gridAfter w:val="1"/>
          <w:wAfter w:w="9" w:type="dxa"/>
          <w:cantSplit/>
          <w:trHeight w:val="45"/>
        </w:trPr>
        <w:tc>
          <w:tcPr>
            <w:tcW w:w="1558" w:type="dxa"/>
            <w:tcBorders>
              <w:left w:val="single" w:sz="2" w:space="0" w:color="auto"/>
              <w:right w:val="single" w:sz="2" w:space="0" w:color="auto"/>
            </w:tcBorders>
          </w:tcPr>
          <w:p w14:paraId="19BD9A29" w14:textId="77777777" w:rsidR="00CA7ECC" w:rsidRPr="00D51EF3" w:rsidRDefault="00CA7ECC" w:rsidP="00CA7ECC">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vAlign w:val="bottom"/>
          </w:tcPr>
          <w:p w14:paraId="19CFE68C" w14:textId="0EF7A9C4" w:rsidR="00CA7ECC" w:rsidRPr="00E30AE6" w:rsidRDefault="00CA7ECC" w:rsidP="00CA7ECC">
            <w:pPr>
              <w:jc w:val="both"/>
              <w:rPr>
                <w:sz w:val="18"/>
                <w:szCs w:val="18"/>
              </w:rPr>
            </w:pPr>
            <w:r w:rsidRPr="00E30AE6">
              <w:rPr>
                <w:sz w:val="18"/>
                <w:szCs w:val="18"/>
              </w:rPr>
              <w:t>Current Payables</w:t>
            </w:r>
          </w:p>
        </w:tc>
        <w:tc>
          <w:tcPr>
            <w:tcW w:w="1136" w:type="dxa"/>
            <w:gridSpan w:val="3"/>
            <w:shd w:val="clear" w:color="auto" w:fill="auto"/>
          </w:tcPr>
          <w:p w14:paraId="57CC3F8E" w14:textId="48836293" w:rsidR="00CA7ECC" w:rsidRPr="00E30AE6" w:rsidRDefault="00CA7ECC" w:rsidP="00CA7ECC">
            <w:pPr>
              <w:jc w:val="center"/>
              <w:rPr>
                <w:sz w:val="18"/>
                <w:szCs w:val="18"/>
                <w:lang w:eastAsia="en-AU"/>
              </w:rPr>
            </w:pPr>
            <w:r w:rsidRPr="00E30AE6">
              <w:rPr>
                <w:sz w:val="18"/>
                <w:szCs w:val="18"/>
                <w:lang w:eastAsia="en-AU"/>
              </w:rPr>
              <w:t>4</w:t>
            </w:r>
          </w:p>
        </w:tc>
        <w:tc>
          <w:tcPr>
            <w:tcW w:w="852" w:type="dxa"/>
          </w:tcPr>
          <w:p w14:paraId="51AF1B5A" w14:textId="77777777" w:rsidR="00CA7ECC" w:rsidRPr="00E30AE6" w:rsidRDefault="00CA7ECC" w:rsidP="00CA7ECC">
            <w:pPr>
              <w:jc w:val="right"/>
              <w:rPr>
                <w:b/>
                <w:bCs/>
                <w:sz w:val="18"/>
                <w:szCs w:val="18"/>
                <w:lang w:eastAsia="en-AU"/>
              </w:rPr>
            </w:pPr>
          </w:p>
        </w:tc>
        <w:tc>
          <w:tcPr>
            <w:tcW w:w="856" w:type="dxa"/>
            <w:shd w:val="clear" w:color="auto" w:fill="auto"/>
            <w:vAlign w:val="bottom"/>
          </w:tcPr>
          <w:p w14:paraId="45B933B2" w14:textId="77777777" w:rsidR="00CA7ECC" w:rsidRPr="00E30AE6" w:rsidRDefault="00CA7ECC" w:rsidP="00CA7ECC">
            <w:pPr>
              <w:jc w:val="right"/>
              <w:rPr>
                <w:b/>
                <w:bCs/>
                <w:sz w:val="18"/>
                <w:szCs w:val="18"/>
                <w:lang w:eastAsia="en-AU"/>
              </w:rPr>
            </w:pPr>
          </w:p>
        </w:tc>
        <w:tc>
          <w:tcPr>
            <w:tcW w:w="999" w:type="dxa"/>
            <w:shd w:val="clear" w:color="auto" w:fill="auto"/>
            <w:vAlign w:val="bottom"/>
          </w:tcPr>
          <w:p w14:paraId="6D0111FF" w14:textId="77777777" w:rsidR="00CA7ECC" w:rsidRPr="00E30AE6" w:rsidRDefault="00CA7ECC" w:rsidP="00CA7ECC">
            <w:pPr>
              <w:jc w:val="right"/>
              <w:rPr>
                <w:b/>
                <w:bCs/>
                <w:sz w:val="18"/>
                <w:szCs w:val="18"/>
                <w:lang w:eastAsia="en-AU"/>
              </w:rPr>
            </w:pPr>
          </w:p>
        </w:tc>
        <w:tc>
          <w:tcPr>
            <w:tcW w:w="995" w:type="dxa"/>
            <w:shd w:val="clear" w:color="auto" w:fill="auto"/>
            <w:vAlign w:val="bottom"/>
          </w:tcPr>
          <w:p w14:paraId="5D1C57C6" w14:textId="77777777" w:rsidR="00CA7ECC" w:rsidRPr="00E30AE6" w:rsidRDefault="00CA7ECC" w:rsidP="00CA7ECC">
            <w:pPr>
              <w:jc w:val="right"/>
              <w:rPr>
                <w:b/>
                <w:bCs/>
                <w:sz w:val="18"/>
                <w:szCs w:val="18"/>
                <w:lang w:eastAsia="en-AU"/>
              </w:rPr>
            </w:pPr>
          </w:p>
        </w:tc>
      </w:tr>
      <w:tr w:rsidR="00CA7ECC" w:rsidRPr="006A75E5" w14:paraId="2B6A4790" w14:textId="77777777" w:rsidTr="00D919F2">
        <w:trPr>
          <w:gridAfter w:val="1"/>
          <w:wAfter w:w="9" w:type="dxa"/>
          <w:cantSplit/>
          <w:trHeight w:val="45"/>
        </w:trPr>
        <w:tc>
          <w:tcPr>
            <w:tcW w:w="1558" w:type="dxa"/>
            <w:tcBorders>
              <w:left w:val="single" w:sz="2" w:space="0" w:color="auto"/>
              <w:right w:val="single" w:sz="2" w:space="0" w:color="auto"/>
            </w:tcBorders>
          </w:tcPr>
          <w:p w14:paraId="73D4EFAF" w14:textId="77777777" w:rsidR="00CA7ECC" w:rsidRPr="00D51EF3" w:rsidRDefault="00CA7ECC" w:rsidP="009A0F2F">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tcPr>
          <w:p w14:paraId="4AFC1312" w14:textId="77777777" w:rsidR="00CA7ECC" w:rsidRPr="00E30AE6" w:rsidRDefault="00CA7ECC" w:rsidP="009A0F2F">
            <w:pPr>
              <w:jc w:val="both"/>
              <w:rPr>
                <w:b/>
                <w:sz w:val="18"/>
                <w:szCs w:val="18"/>
                <w:lang w:eastAsia="en-AU"/>
              </w:rPr>
            </w:pPr>
          </w:p>
        </w:tc>
        <w:tc>
          <w:tcPr>
            <w:tcW w:w="1136" w:type="dxa"/>
            <w:gridSpan w:val="3"/>
            <w:shd w:val="clear" w:color="auto" w:fill="auto"/>
            <w:vAlign w:val="bottom"/>
          </w:tcPr>
          <w:p w14:paraId="4374752D" w14:textId="77777777" w:rsidR="00CA7ECC" w:rsidRPr="00E30AE6" w:rsidRDefault="00CA7ECC" w:rsidP="009A0F2F">
            <w:pPr>
              <w:jc w:val="right"/>
              <w:rPr>
                <w:b/>
                <w:bCs/>
                <w:sz w:val="18"/>
                <w:szCs w:val="18"/>
                <w:lang w:eastAsia="en-AU"/>
              </w:rPr>
            </w:pPr>
          </w:p>
        </w:tc>
        <w:tc>
          <w:tcPr>
            <w:tcW w:w="852" w:type="dxa"/>
            <w:shd w:val="clear" w:color="auto" w:fill="auto"/>
            <w:vAlign w:val="bottom"/>
          </w:tcPr>
          <w:p w14:paraId="65C01ECE" w14:textId="77777777" w:rsidR="00CA7ECC" w:rsidRPr="00E30AE6" w:rsidRDefault="00CA7ECC" w:rsidP="009A0F2F">
            <w:pPr>
              <w:jc w:val="right"/>
              <w:rPr>
                <w:b/>
                <w:bCs/>
                <w:sz w:val="18"/>
                <w:szCs w:val="18"/>
                <w:lang w:eastAsia="en-AU"/>
              </w:rPr>
            </w:pPr>
          </w:p>
        </w:tc>
        <w:tc>
          <w:tcPr>
            <w:tcW w:w="856" w:type="dxa"/>
            <w:shd w:val="clear" w:color="auto" w:fill="auto"/>
            <w:vAlign w:val="bottom"/>
          </w:tcPr>
          <w:p w14:paraId="166AAE6A" w14:textId="77777777" w:rsidR="00CA7ECC" w:rsidRPr="00E30AE6" w:rsidRDefault="00CA7ECC" w:rsidP="009A0F2F">
            <w:pPr>
              <w:jc w:val="right"/>
              <w:rPr>
                <w:b/>
                <w:bCs/>
                <w:sz w:val="18"/>
                <w:szCs w:val="18"/>
                <w:lang w:eastAsia="en-AU"/>
              </w:rPr>
            </w:pPr>
          </w:p>
        </w:tc>
        <w:tc>
          <w:tcPr>
            <w:tcW w:w="999" w:type="dxa"/>
            <w:shd w:val="clear" w:color="auto" w:fill="auto"/>
            <w:vAlign w:val="bottom"/>
          </w:tcPr>
          <w:p w14:paraId="15B1C95D" w14:textId="77777777" w:rsidR="00CA7ECC" w:rsidRPr="00E30AE6" w:rsidRDefault="00CA7ECC" w:rsidP="009A0F2F">
            <w:pPr>
              <w:jc w:val="right"/>
              <w:rPr>
                <w:b/>
                <w:bCs/>
                <w:sz w:val="18"/>
                <w:szCs w:val="18"/>
                <w:lang w:eastAsia="en-AU"/>
              </w:rPr>
            </w:pPr>
          </w:p>
        </w:tc>
        <w:tc>
          <w:tcPr>
            <w:tcW w:w="995" w:type="dxa"/>
            <w:shd w:val="clear" w:color="auto" w:fill="auto"/>
            <w:vAlign w:val="bottom"/>
          </w:tcPr>
          <w:p w14:paraId="6086B8BE" w14:textId="77777777" w:rsidR="00CA7ECC" w:rsidRPr="00E30AE6" w:rsidRDefault="00CA7ECC" w:rsidP="009A0F2F">
            <w:pPr>
              <w:jc w:val="right"/>
              <w:rPr>
                <w:b/>
                <w:bCs/>
                <w:sz w:val="18"/>
                <w:szCs w:val="18"/>
              </w:rPr>
            </w:pPr>
          </w:p>
        </w:tc>
      </w:tr>
      <w:tr w:rsidR="00CA7ECC" w:rsidRPr="006A75E5" w14:paraId="6CCAFDFB" w14:textId="77777777" w:rsidTr="00D919F2">
        <w:trPr>
          <w:gridAfter w:val="1"/>
          <w:wAfter w:w="9" w:type="dxa"/>
          <w:cantSplit/>
          <w:trHeight w:val="45"/>
        </w:trPr>
        <w:tc>
          <w:tcPr>
            <w:tcW w:w="1558" w:type="dxa"/>
            <w:tcBorders>
              <w:left w:val="single" w:sz="2" w:space="0" w:color="auto"/>
              <w:right w:val="single" w:sz="2" w:space="0" w:color="auto"/>
            </w:tcBorders>
          </w:tcPr>
          <w:p w14:paraId="2748206D" w14:textId="77777777" w:rsidR="00CA7ECC" w:rsidRPr="00D51EF3" w:rsidRDefault="00CA7ECC" w:rsidP="009A0F2F">
            <w:pPr>
              <w:pStyle w:val="TableReference"/>
              <w:tabs>
                <w:tab w:val="left" w:pos="3306"/>
              </w:tabs>
              <w:rPr>
                <w:rFonts w:cs="Calibri"/>
                <w:color w:val="7030A0"/>
                <w:sz w:val="18"/>
                <w:szCs w:val="18"/>
              </w:rPr>
            </w:pPr>
          </w:p>
        </w:tc>
        <w:tc>
          <w:tcPr>
            <w:tcW w:w="4097" w:type="dxa"/>
            <w:tcBorders>
              <w:left w:val="single" w:sz="2" w:space="0" w:color="auto"/>
            </w:tcBorders>
            <w:shd w:val="clear" w:color="auto" w:fill="auto"/>
          </w:tcPr>
          <w:p w14:paraId="1510C985" w14:textId="77777777" w:rsidR="00CA7ECC" w:rsidRPr="00E30AE6" w:rsidRDefault="00CA7ECC" w:rsidP="009A0F2F">
            <w:pPr>
              <w:jc w:val="both"/>
              <w:rPr>
                <w:bCs/>
                <w:sz w:val="18"/>
                <w:szCs w:val="18"/>
                <w:lang w:eastAsia="en-AU"/>
              </w:rPr>
            </w:pPr>
            <w:r w:rsidRPr="00E30AE6">
              <w:rPr>
                <w:b/>
                <w:sz w:val="18"/>
                <w:szCs w:val="18"/>
                <w:lang w:eastAsia="en-AU"/>
              </w:rPr>
              <w:t>Variance Explanations</w:t>
            </w:r>
          </w:p>
        </w:tc>
        <w:tc>
          <w:tcPr>
            <w:tcW w:w="1136" w:type="dxa"/>
            <w:gridSpan w:val="3"/>
            <w:shd w:val="clear" w:color="auto" w:fill="auto"/>
            <w:vAlign w:val="bottom"/>
          </w:tcPr>
          <w:p w14:paraId="400FB794" w14:textId="77777777" w:rsidR="00CA7ECC" w:rsidRPr="00E30AE6" w:rsidRDefault="00CA7ECC" w:rsidP="009A0F2F">
            <w:pPr>
              <w:jc w:val="right"/>
              <w:rPr>
                <w:b/>
                <w:bCs/>
                <w:sz w:val="18"/>
                <w:szCs w:val="18"/>
                <w:lang w:eastAsia="en-AU"/>
              </w:rPr>
            </w:pPr>
          </w:p>
        </w:tc>
        <w:tc>
          <w:tcPr>
            <w:tcW w:w="852" w:type="dxa"/>
            <w:shd w:val="clear" w:color="auto" w:fill="auto"/>
            <w:vAlign w:val="bottom"/>
          </w:tcPr>
          <w:p w14:paraId="36026E73" w14:textId="77777777" w:rsidR="00CA7ECC" w:rsidRPr="00E30AE6" w:rsidRDefault="00CA7ECC" w:rsidP="009A0F2F">
            <w:pPr>
              <w:jc w:val="right"/>
              <w:rPr>
                <w:b/>
                <w:bCs/>
                <w:sz w:val="18"/>
                <w:szCs w:val="18"/>
                <w:lang w:eastAsia="en-AU"/>
              </w:rPr>
            </w:pPr>
          </w:p>
        </w:tc>
        <w:tc>
          <w:tcPr>
            <w:tcW w:w="856" w:type="dxa"/>
            <w:shd w:val="clear" w:color="auto" w:fill="auto"/>
            <w:vAlign w:val="bottom"/>
          </w:tcPr>
          <w:p w14:paraId="165408C6" w14:textId="77777777" w:rsidR="00CA7ECC" w:rsidRPr="00E30AE6" w:rsidRDefault="00CA7ECC" w:rsidP="009A0F2F">
            <w:pPr>
              <w:jc w:val="right"/>
              <w:rPr>
                <w:b/>
                <w:bCs/>
                <w:sz w:val="18"/>
                <w:szCs w:val="18"/>
                <w:lang w:eastAsia="en-AU"/>
              </w:rPr>
            </w:pPr>
          </w:p>
        </w:tc>
        <w:tc>
          <w:tcPr>
            <w:tcW w:w="999" w:type="dxa"/>
            <w:shd w:val="clear" w:color="auto" w:fill="auto"/>
            <w:vAlign w:val="bottom"/>
          </w:tcPr>
          <w:p w14:paraId="30E142FC" w14:textId="77777777" w:rsidR="00CA7ECC" w:rsidRPr="00E30AE6" w:rsidRDefault="00CA7ECC" w:rsidP="009A0F2F">
            <w:pPr>
              <w:jc w:val="right"/>
              <w:rPr>
                <w:b/>
                <w:bCs/>
                <w:sz w:val="18"/>
                <w:szCs w:val="18"/>
                <w:lang w:eastAsia="en-AU"/>
              </w:rPr>
            </w:pPr>
          </w:p>
        </w:tc>
        <w:tc>
          <w:tcPr>
            <w:tcW w:w="995" w:type="dxa"/>
            <w:shd w:val="clear" w:color="auto" w:fill="auto"/>
            <w:vAlign w:val="bottom"/>
          </w:tcPr>
          <w:p w14:paraId="4CD39A15" w14:textId="77777777" w:rsidR="00CA7ECC" w:rsidRPr="00E30AE6" w:rsidRDefault="00CA7ECC" w:rsidP="009A0F2F">
            <w:pPr>
              <w:jc w:val="right"/>
              <w:rPr>
                <w:b/>
                <w:bCs/>
                <w:sz w:val="18"/>
                <w:szCs w:val="18"/>
              </w:rPr>
            </w:pPr>
          </w:p>
        </w:tc>
      </w:tr>
      <w:tr w:rsidR="00CA7ECC" w:rsidRPr="004A1188" w14:paraId="4F7CE4AD" w14:textId="77777777" w:rsidTr="00D919F2">
        <w:trPr>
          <w:gridAfter w:val="1"/>
          <w:wAfter w:w="9" w:type="dxa"/>
          <w:cantSplit/>
          <w:trHeight w:val="45"/>
        </w:trPr>
        <w:tc>
          <w:tcPr>
            <w:tcW w:w="1558" w:type="dxa"/>
            <w:tcBorders>
              <w:left w:val="single" w:sz="2" w:space="0" w:color="auto"/>
              <w:right w:val="single" w:sz="2" w:space="0" w:color="auto"/>
            </w:tcBorders>
          </w:tcPr>
          <w:p w14:paraId="427E64AB" w14:textId="77777777" w:rsidR="00CA7ECC" w:rsidRPr="00D51EF3" w:rsidRDefault="00CA7ECC"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05E8CFEA" w14:textId="77777777" w:rsidR="00CA7ECC" w:rsidRPr="00E30AE6" w:rsidRDefault="00CA7ECC" w:rsidP="007122BC">
            <w:pPr>
              <w:pStyle w:val="ListParagraph"/>
              <w:numPr>
                <w:ilvl w:val="0"/>
                <w:numId w:val="71"/>
              </w:numPr>
              <w:rPr>
                <w:b/>
                <w:bCs/>
                <w:sz w:val="18"/>
                <w:szCs w:val="18"/>
              </w:rPr>
            </w:pPr>
            <w:r w:rsidRPr="00E30AE6">
              <w:rPr>
                <w:sz w:val="18"/>
                <w:szCs w:val="18"/>
                <w:lang w:eastAsia="en-AU"/>
              </w:rPr>
              <w:t>[Insert major variance explanation]</w:t>
            </w:r>
          </w:p>
        </w:tc>
      </w:tr>
      <w:tr w:rsidR="00CA7ECC" w:rsidRPr="004A1188" w14:paraId="14584E21" w14:textId="77777777" w:rsidTr="00D919F2">
        <w:trPr>
          <w:gridAfter w:val="1"/>
          <w:wAfter w:w="9" w:type="dxa"/>
          <w:cantSplit/>
          <w:trHeight w:val="45"/>
        </w:trPr>
        <w:tc>
          <w:tcPr>
            <w:tcW w:w="1558" w:type="dxa"/>
            <w:tcBorders>
              <w:left w:val="single" w:sz="2" w:space="0" w:color="auto"/>
              <w:right w:val="single" w:sz="2" w:space="0" w:color="auto"/>
            </w:tcBorders>
          </w:tcPr>
          <w:p w14:paraId="055DA22F" w14:textId="77777777" w:rsidR="00CA7ECC" w:rsidRPr="00D51EF3" w:rsidRDefault="00CA7ECC"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742396AD" w14:textId="77777777" w:rsidR="00CA7ECC" w:rsidRPr="00E30AE6" w:rsidRDefault="00CA7ECC" w:rsidP="007122BC">
            <w:pPr>
              <w:pStyle w:val="ListParagraph"/>
              <w:numPr>
                <w:ilvl w:val="0"/>
                <w:numId w:val="71"/>
              </w:numPr>
              <w:rPr>
                <w:b/>
                <w:bCs/>
                <w:sz w:val="18"/>
                <w:szCs w:val="18"/>
              </w:rPr>
            </w:pPr>
            <w:r w:rsidRPr="00E30AE6">
              <w:rPr>
                <w:sz w:val="18"/>
                <w:szCs w:val="18"/>
                <w:lang w:eastAsia="en-AU"/>
              </w:rPr>
              <w:t>[Insert major variance explanation]</w:t>
            </w:r>
          </w:p>
        </w:tc>
      </w:tr>
      <w:tr w:rsidR="00CA7ECC" w:rsidRPr="004A1188" w14:paraId="1C75F67B" w14:textId="77777777" w:rsidTr="00D919F2">
        <w:trPr>
          <w:gridAfter w:val="1"/>
          <w:wAfter w:w="9" w:type="dxa"/>
          <w:cantSplit/>
          <w:trHeight w:val="45"/>
        </w:trPr>
        <w:tc>
          <w:tcPr>
            <w:tcW w:w="1558" w:type="dxa"/>
            <w:tcBorders>
              <w:left w:val="single" w:sz="2" w:space="0" w:color="auto"/>
              <w:right w:val="single" w:sz="2" w:space="0" w:color="auto"/>
            </w:tcBorders>
          </w:tcPr>
          <w:p w14:paraId="1ABA1564" w14:textId="77777777" w:rsidR="00CA7ECC" w:rsidRPr="00D51EF3" w:rsidRDefault="00CA7ECC"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6FD36927" w14:textId="77777777" w:rsidR="00CA7ECC" w:rsidRPr="00E30AE6" w:rsidRDefault="00CA7ECC" w:rsidP="007122BC">
            <w:pPr>
              <w:pStyle w:val="ListParagraph"/>
              <w:numPr>
                <w:ilvl w:val="0"/>
                <w:numId w:val="71"/>
              </w:numPr>
              <w:rPr>
                <w:b/>
                <w:bCs/>
                <w:sz w:val="18"/>
                <w:szCs w:val="18"/>
              </w:rPr>
            </w:pPr>
            <w:r w:rsidRPr="00E30AE6">
              <w:rPr>
                <w:sz w:val="18"/>
                <w:szCs w:val="18"/>
                <w:lang w:eastAsia="en-AU"/>
              </w:rPr>
              <w:t>[Insert major variance explanation]</w:t>
            </w:r>
          </w:p>
        </w:tc>
      </w:tr>
      <w:tr w:rsidR="00CA7ECC" w:rsidRPr="006A75E5" w14:paraId="06FE6173" w14:textId="77777777" w:rsidTr="00D919F2">
        <w:trPr>
          <w:gridAfter w:val="1"/>
          <w:wAfter w:w="9" w:type="dxa"/>
          <w:cantSplit/>
          <w:trHeight w:val="45"/>
        </w:trPr>
        <w:tc>
          <w:tcPr>
            <w:tcW w:w="1558" w:type="dxa"/>
            <w:tcBorders>
              <w:left w:val="single" w:sz="2" w:space="0" w:color="auto"/>
              <w:right w:val="single" w:sz="2" w:space="0" w:color="auto"/>
            </w:tcBorders>
          </w:tcPr>
          <w:p w14:paraId="69C828C9" w14:textId="77777777" w:rsidR="00CA7ECC" w:rsidRPr="00D51EF3" w:rsidRDefault="00CA7ECC"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3ED18594" w14:textId="77777777" w:rsidR="00CA7ECC" w:rsidRPr="00E30AE6" w:rsidRDefault="00CA7ECC" w:rsidP="009A0F2F">
            <w:pPr>
              <w:rPr>
                <w:b/>
                <w:bCs/>
                <w:sz w:val="18"/>
                <w:szCs w:val="18"/>
              </w:rPr>
            </w:pPr>
          </w:p>
        </w:tc>
      </w:tr>
      <w:tr w:rsidR="00CA7ECC" w:rsidRPr="004A1188" w14:paraId="7F4C068D" w14:textId="77777777" w:rsidTr="00D919F2">
        <w:trPr>
          <w:gridAfter w:val="1"/>
          <w:wAfter w:w="9" w:type="dxa"/>
          <w:cantSplit/>
          <w:trHeight w:val="45"/>
        </w:trPr>
        <w:tc>
          <w:tcPr>
            <w:tcW w:w="1558" w:type="dxa"/>
            <w:tcBorders>
              <w:left w:val="single" w:sz="2" w:space="0" w:color="auto"/>
              <w:right w:val="single" w:sz="2" w:space="0" w:color="auto"/>
            </w:tcBorders>
          </w:tcPr>
          <w:p w14:paraId="67ED34B8" w14:textId="77777777" w:rsidR="00CA7ECC" w:rsidRPr="00D51EF3" w:rsidRDefault="00CA7ECC"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120C5CAD" w14:textId="77777777" w:rsidR="00CA7ECC" w:rsidRPr="00E30AE6" w:rsidRDefault="00CA7ECC" w:rsidP="009A0F2F">
            <w:pPr>
              <w:rPr>
                <w:b/>
                <w:bCs/>
                <w:sz w:val="18"/>
                <w:szCs w:val="18"/>
              </w:rPr>
            </w:pPr>
            <w:r w:rsidRPr="00E30AE6">
              <w:rPr>
                <w:b/>
                <w:sz w:val="18"/>
                <w:szCs w:val="18"/>
              </w:rPr>
              <w:t>Statement of Changes in Equity</w:t>
            </w:r>
            <w:r w:rsidRPr="00E30AE6">
              <w:rPr>
                <w:sz w:val="18"/>
                <w:szCs w:val="18"/>
              </w:rPr>
              <w:t xml:space="preserve"> - these line items are covered in other financial statements</w:t>
            </w:r>
          </w:p>
        </w:tc>
      </w:tr>
      <w:tr w:rsidR="0054645F" w:rsidRPr="006A75E5" w14:paraId="78DF5151" w14:textId="77777777" w:rsidTr="00D919F2">
        <w:trPr>
          <w:gridAfter w:val="1"/>
          <w:wAfter w:w="9" w:type="dxa"/>
          <w:cantSplit/>
          <w:trHeight w:val="45"/>
        </w:trPr>
        <w:tc>
          <w:tcPr>
            <w:tcW w:w="1558" w:type="dxa"/>
            <w:tcBorders>
              <w:left w:val="single" w:sz="2" w:space="0" w:color="auto"/>
              <w:right w:val="single" w:sz="2" w:space="0" w:color="auto"/>
            </w:tcBorders>
          </w:tcPr>
          <w:p w14:paraId="696EE58B" w14:textId="77777777" w:rsidR="0054645F" w:rsidRPr="00D51EF3" w:rsidRDefault="0054645F" w:rsidP="009A0F2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5E68E328" w14:textId="77777777" w:rsidR="0054645F" w:rsidRPr="00E30AE6" w:rsidRDefault="0054645F" w:rsidP="009A0F2F">
            <w:pPr>
              <w:rPr>
                <w:b/>
                <w:bCs/>
                <w:sz w:val="18"/>
                <w:szCs w:val="18"/>
              </w:rPr>
            </w:pPr>
          </w:p>
        </w:tc>
      </w:tr>
      <w:tr w:rsidR="0054645F" w:rsidRPr="006A75E5" w14:paraId="6CCFBFE4" w14:textId="77777777" w:rsidTr="00D919F2">
        <w:trPr>
          <w:gridAfter w:val="1"/>
          <w:wAfter w:w="9" w:type="dxa"/>
          <w:cantSplit/>
          <w:trHeight w:val="45"/>
        </w:trPr>
        <w:tc>
          <w:tcPr>
            <w:tcW w:w="1558" w:type="dxa"/>
            <w:tcBorders>
              <w:left w:val="single" w:sz="2" w:space="0" w:color="auto"/>
              <w:right w:val="single" w:sz="2" w:space="0" w:color="auto"/>
            </w:tcBorders>
          </w:tcPr>
          <w:p w14:paraId="670D8635" w14:textId="77777777" w:rsidR="0054645F" w:rsidRPr="00D51EF3" w:rsidRDefault="0054645F" w:rsidP="0054645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vAlign w:val="bottom"/>
          </w:tcPr>
          <w:p w14:paraId="0CE29DE3" w14:textId="412E12FB" w:rsidR="0054645F" w:rsidRPr="00E30AE6" w:rsidRDefault="0054645F" w:rsidP="0054645F">
            <w:pPr>
              <w:rPr>
                <w:b/>
                <w:bCs/>
                <w:sz w:val="18"/>
                <w:szCs w:val="18"/>
              </w:rPr>
            </w:pPr>
            <w:r w:rsidRPr="00E30AE6">
              <w:rPr>
                <w:rFonts w:cs="Calibri"/>
                <w:b/>
                <w:sz w:val="18"/>
                <w:szCs w:val="18"/>
              </w:rPr>
              <w:t>Statement of Cash Flows</w:t>
            </w:r>
            <w:r w:rsidRPr="00E30AE6">
              <w:rPr>
                <w:b/>
                <w:sz w:val="18"/>
                <w:szCs w:val="18"/>
              </w:rPr>
              <w:t xml:space="preserve"> on Behalf of the Territory Line Items</w:t>
            </w:r>
          </w:p>
        </w:tc>
      </w:tr>
      <w:tr w:rsidR="0054645F" w:rsidRPr="006A75E5" w14:paraId="4C4B1526" w14:textId="77777777" w:rsidTr="00D919F2">
        <w:trPr>
          <w:gridAfter w:val="1"/>
          <w:wAfter w:w="9" w:type="dxa"/>
          <w:cantSplit/>
          <w:trHeight w:val="45"/>
        </w:trPr>
        <w:tc>
          <w:tcPr>
            <w:tcW w:w="1558" w:type="dxa"/>
            <w:tcBorders>
              <w:left w:val="single" w:sz="2" w:space="0" w:color="auto"/>
              <w:right w:val="single" w:sz="2" w:space="0" w:color="auto"/>
            </w:tcBorders>
          </w:tcPr>
          <w:p w14:paraId="13DE4B0E" w14:textId="77777777" w:rsidR="0054645F" w:rsidRPr="00D51EF3" w:rsidRDefault="0054645F" w:rsidP="0054645F">
            <w:pPr>
              <w:pStyle w:val="TableReference"/>
              <w:tabs>
                <w:tab w:val="left" w:pos="3306"/>
              </w:tabs>
              <w:rPr>
                <w:rFonts w:cs="Calibri"/>
                <w:color w:val="7030A0"/>
                <w:sz w:val="18"/>
                <w:szCs w:val="18"/>
              </w:rPr>
            </w:pPr>
          </w:p>
        </w:tc>
        <w:tc>
          <w:tcPr>
            <w:tcW w:w="4103" w:type="dxa"/>
            <w:gridSpan w:val="2"/>
            <w:tcBorders>
              <w:left w:val="single" w:sz="2" w:space="0" w:color="auto"/>
            </w:tcBorders>
            <w:shd w:val="clear" w:color="auto" w:fill="auto"/>
          </w:tcPr>
          <w:p w14:paraId="29A58186" w14:textId="77777777" w:rsidR="0054645F" w:rsidRPr="00E30AE6" w:rsidRDefault="0054645F" w:rsidP="0054645F">
            <w:pPr>
              <w:rPr>
                <w:b/>
                <w:bCs/>
                <w:sz w:val="18"/>
                <w:szCs w:val="18"/>
              </w:rPr>
            </w:pPr>
            <w:r w:rsidRPr="00E30AE6">
              <w:rPr>
                <w:sz w:val="18"/>
                <w:szCs w:val="18"/>
              </w:rPr>
              <w:t>Cash and Cash Equivalents at the Beginning of the Reporting Period</w:t>
            </w:r>
          </w:p>
        </w:tc>
        <w:tc>
          <w:tcPr>
            <w:tcW w:w="993" w:type="dxa"/>
            <w:shd w:val="clear" w:color="auto" w:fill="auto"/>
          </w:tcPr>
          <w:p w14:paraId="4D66C3BA" w14:textId="750BDADE" w:rsidR="0054645F" w:rsidRPr="00E30AE6" w:rsidRDefault="0054645F" w:rsidP="0054645F">
            <w:pPr>
              <w:jc w:val="center"/>
              <w:rPr>
                <w:b/>
                <w:bCs/>
                <w:sz w:val="18"/>
                <w:szCs w:val="18"/>
              </w:rPr>
            </w:pPr>
            <w:r w:rsidRPr="00E30AE6">
              <w:rPr>
                <w:b/>
                <w:bCs/>
                <w:sz w:val="18"/>
                <w:szCs w:val="18"/>
              </w:rPr>
              <w:t>5</w:t>
            </w:r>
          </w:p>
        </w:tc>
        <w:tc>
          <w:tcPr>
            <w:tcW w:w="3839" w:type="dxa"/>
            <w:gridSpan w:val="5"/>
            <w:shd w:val="clear" w:color="auto" w:fill="auto"/>
          </w:tcPr>
          <w:p w14:paraId="51F20232" w14:textId="6B515136" w:rsidR="0054645F" w:rsidRPr="00E30AE6" w:rsidRDefault="0054645F" w:rsidP="0054645F">
            <w:pPr>
              <w:rPr>
                <w:b/>
                <w:bCs/>
                <w:sz w:val="18"/>
                <w:szCs w:val="18"/>
              </w:rPr>
            </w:pPr>
          </w:p>
        </w:tc>
      </w:tr>
      <w:tr w:rsidR="0054645F" w:rsidRPr="006A75E5" w14:paraId="346A82CE" w14:textId="77777777" w:rsidTr="00D919F2">
        <w:trPr>
          <w:gridAfter w:val="1"/>
          <w:wAfter w:w="9" w:type="dxa"/>
          <w:cantSplit/>
          <w:trHeight w:val="45"/>
        </w:trPr>
        <w:tc>
          <w:tcPr>
            <w:tcW w:w="1558" w:type="dxa"/>
            <w:tcBorders>
              <w:left w:val="single" w:sz="2" w:space="0" w:color="auto"/>
              <w:right w:val="single" w:sz="2" w:space="0" w:color="auto"/>
            </w:tcBorders>
          </w:tcPr>
          <w:p w14:paraId="46609CDA" w14:textId="77777777" w:rsidR="0054645F" w:rsidRPr="00D51EF3" w:rsidRDefault="0054645F" w:rsidP="0054645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036E2ABF" w14:textId="77777777" w:rsidR="0054645F" w:rsidRPr="00E30AE6" w:rsidRDefault="0054645F" w:rsidP="0054645F">
            <w:pPr>
              <w:rPr>
                <w:b/>
                <w:bCs/>
                <w:sz w:val="18"/>
                <w:szCs w:val="18"/>
              </w:rPr>
            </w:pPr>
          </w:p>
        </w:tc>
      </w:tr>
      <w:tr w:rsidR="0054645F" w:rsidRPr="006A75E5" w14:paraId="09973C3A" w14:textId="77777777" w:rsidTr="00D919F2">
        <w:trPr>
          <w:gridAfter w:val="1"/>
          <w:wAfter w:w="9" w:type="dxa"/>
          <w:cantSplit/>
          <w:trHeight w:val="45"/>
        </w:trPr>
        <w:tc>
          <w:tcPr>
            <w:tcW w:w="1558" w:type="dxa"/>
            <w:tcBorders>
              <w:left w:val="single" w:sz="2" w:space="0" w:color="auto"/>
              <w:right w:val="single" w:sz="2" w:space="0" w:color="auto"/>
            </w:tcBorders>
          </w:tcPr>
          <w:p w14:paraId="6CFBA6DE" w14:textId="77777777" w:rsidR="0054645F" w:rsidRPr="00D51EF3" w:rsidRDefault="0054645F" w:rsidP="0054645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0D3D73FC" w14:textId="38601054" w:rsidR="0054645F" w:rsidRPr="00E30AE6" w:rsidRDefault="0054645F" w:rsidP="0054645F">
            <w:pPr>
              <w:rPr>
                <w:b/>
                <w:bCs/>
                <w:sz w:val="18"/>
                <w:szCs w:val="18"/>
              </w:rPr>
            </w:pPr>
            <w:r w:rsidRPr="00E30AE6">
              <w:rPr>
                <w:b/>
                <w:sz w:val="18"/>
                <w:szCs w:val="18"/>
                <w:lang w:eastAsia="en-AU"/>
              </w:rPr>
              <w:t>Variance Explanations</w:t>
            </w:r>
          </w:p>
        </w:tc>
      </w:tr>
      <w:tr w:rsidR="0054645F" w:rsidRPr="006A75E5" w14:paraId="29B8B263" w14:textId="77777777" w:rsidTr="00D919F2">
        <w:trPr>
          <w:gridAfter w:val="1"/>
          <w:wAfter w:w="9" w:type="dxa"/>
          <w:cantSplit/>
          <w:trHeight w:val="45"/>
        </w:trPr>
        <w:tc>
          <w:tcPr>
            <w:tcW w:w="1558" w:type="dxa"/>
            <w:tcBorders>
              <w:left w:val="single" w:sz="2" w:space="0" w:color="auto"/>
              <w:right w:val="single" w:sz="2" w:space="0" w:color="auto"/>
            </w:tcBorders>
          </w:tcPr>
          <w:p w14:paraId="79A4DB4B" w14:textId="77777777" w:rsidR="0054645F" w:rsidRPr="00D51EF3" w:rsidRDefault="0054645F" w:rsidP="0054645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447DD09B" w14:textId="385F051F" w:rsidR="0054645F" w:rsidRPr="00E30AE6" w:rsidRDefault="0054645F" w:rsidP="007122BC">
            <w:pPr>
              <w:pStyle w:val="ListParagraph"/>
              <w:numPr>
                <w:ilvl w:val="0"/>
                <w:numId w:val="71"/>
              </w:numPr>
              <w:rPr>
                <w:b/>
                <w:bCs/>
                <w:sz w:val="18"/>
                <w:szCs w:val="18"/>
              </w:rPr>
            </w:pPr>
            <w:r w:rsidRPr="00E30AE6">
              <w:rPr>
                <w:sz w:val="18"/>
                <w:szCs w:val="18"/>
                <w:lang w:eastAsia="en-AU"/>
              </w:rPr>
              <w:t>[Insert major variance explanation]</w:t>
            </w:r>
          </w:p>
        </w:tc>
      </w:tr>
      <w:tr w:rsidR="0054645F" w:rsidRPr="006A75E5" w14:paraId="24DC32C5" w14:textId="77777777" w:rsidTr="00D919F2">
        <w:trPr>
          <w:gridAfter w:val="1"/>
          <w:wAfter w:w="9" w:type="dxa"/>
          <w:cantSplit/>
          <w:trHeight w:val="45"/>
        </w:trPr>
        <w:tc>
          <w:tcPr>
            <w:tcW w:w="1558" w:type="dxa"/>
            <w:tcBorders>
              <w:left w:val="single" w:sz="2" w:space="0" w:color="auto"/>
              <w:right w:val="single" w:sz="2" w:space="0" w:color="auto"/>
            </w:tcBorders>
          </w:tcPr>
          <w:p w14:paraId="0341A58F" w14:textId="77777777" w:rsidR="0054645F" w:rsidRPr="00D51EF3" w:rsidRDefault="0054645F" w:rsidP="0054645F">
            <w:pPr>
              <w:pStyle w:val="TableReference"/>
              <w:tabs>
                <w:tab w:val="left" w:pos="3306"/>
              </w:tabs>
              <w:rPr>
                <w:rFonts w:cs="Calibri"/>
                <w:color w:val="7030A0"/>
                <w:sz w:val="18"/>
                <w:szCs w:val="18"/>
              </w:rPr>
            </w:pPr>
          </w:p>
        </w:tc>
        <w:tc>
          <w:tcPr>
            <w:tcW w:w="8935" w:type="dxa"/>
            <w:gridSpan w:val="8"/>
            <w:tcBorders>
              <w:left w:val="single" w:sz="2" w:space="0" w:color="auto"/>
            </w:tcBorders>
            <w:shd w:val="clear" w:color="auto" w:fill="auto"/>
          </w:tcPr>
          <w:p w14:paraId="0878FF06" w14:textId="77777777" w:rsidR="0054645F" w:rsidRPr="00E30AE6" w:rsidRDefault="0054645F" w:rsidP="0054645F">
            <w:pPr>
              <w:rPr>
                <w:b/>
                <w:bCs/>
                <w:sz w:val="18"/>
                <w:szCs w:val="18"/>
              </w:rPr>
            </w:pPr>
          </w:p>
        </w:tc>
      </w:tr>
      <w:tr w:rsidR="001102B0" w:rsidRPr="009D3DBD" w14:paraId="633C7A45"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58" w:type="dxa"/>
            <w:tcBorders>
              <w:top w:val="nil"/>
              <w:left w:val="single" w:sz="2" w:space="0" w:color="auto"/>
              <w:bottom w:val="nil"/>
              <w:right w:val="single" w:sz="2" w:space="0" w:color="auto"/>
            </w:tcBorders>
          </w:tcPr>
          <w:p w14:paraId="16C74BCC" w14:textId="73817F4D" w:rsidR="001102B0" w:rsidRPr="00D51EF3" w:rsidRDefault="001102B0" w:rsidP="006B468D">
            <w:pPr>
              <w:pStyle w:val="TableReference"/>
              <w:tabs>
                <w:tab w:val="left" w:pos="3306"/>
              </w:tabs>
              <w:spacing w:after="240"/>
              <w:rPr>
                <w:rFonts w:asciiTheme="minorHAnsi" w:hAnsiTheme="minorHAnsi" w:cstheme="minorHAnsi"/>
                <w:b/>
                <w:color w:val="7030A0"/>
                <w:sz w:val="22"/>
                <w:szCs w:val="22"/>
              </w:rPr>
            </w:pPr>
            <w:r w:rsidRPr="00D51EF3">
              <w:rPr>
                <w:rFonts w:asciiTheme="minorHAnsi" w:hAnsiTheme="minorHAnsi" w:cstheme="minorHAnsi"/>
                <w:color w:val="7030A0"/>
                <w:sz w:val="22"/>
                <w:szCs w:val="22"/>
              </w:rPr>
              <w:br w:type="page"/>
            </w:r>
          </w:p>
        </w:tc>
        <w:tc>
          <w:tcPr>
            <w:tcW w:w="8944" w:type="dxa"/>
            <w:gridSpan w:val="9"/>
            <w:tcBorders>
              <w:top w:val="nil"/>
              <w:left w:val="single" w:sz="2" w:space="0" w:color="auto"/>
              <w:bottom w:val="nil"/>
              <w:right w:val="nil"/>
            </w:tcBorders>
            <w:shd w:val="clear" w:color="auto" w:fill="7030A0"/>
            <w:vAlign w:val="bottom"/>
          </w:tcPr>
          <w:p w14:paraId="76B39A89" w14:textId="79F33EA6" w:rsidR="001102B0" w:rsidRPr="00D51EF3" w:rsidRDefault="00BE2E80" w:rsidP="006B468D">
            <w:pPr>
              <w:pStyle w:val="CommentaryText"/>
              <w:tabs>
                <w:tab w:val="left" w:pos="3306"/>
              </w:tabs>
              <w:spacing w:after="240"/>
              <w:rPr>
                <w:rFonts w:cs="Calibri"/>
                <w:b/>
                <w:color w:val="FFFFFF" w:themeColor="background1"/>
                <w:sz w:val="28"/>
                <w:szCs w:val="28"/>
              </w:rPr>
            </w:pPr>
            <w:r w:rsidRPr="00D51EF3">
              <w:rPr>
                <w:rFonts w:cs="Calibri"/>
                <w:b/>
                <w:bCs/>
                <w:color w:val="FFFFFF" w:themeColor="background1"/>
                <w:sz w:val="28"/>
                <w:szCs w:val="28"/>
              </w:rPr>
              <w:t xml:space="preserve">Commentary Note </w:t>
            </w:r>
            <w:r w:rsidR="0057601E" w:rsidRPr="00D51EF3">
              <w:rPr>
                <w:rFonts w:cs="Calibri"/>
                <w:b/>
                <w:bCs/>
                <w:color w:val="FFFFFF" w:themeColor="background1"/>
                <w:sz w:val="28"/>
                <w:szCs w:val="28"/>
              </w:rPr>
              <w:t>5</w:t>
            </w:r>
            <w:r w:rsidR="00A05D1E">
              <w:rPr>
                <w:rFonts w:cs="Calibri"/>
                <w:b/>
                <w:bCs/>
                <w:color w:val="FFFFFF" w:themeColor="background1"/>
                <w:sz w:val="28"/>
                <w:szCs w:val="28"/>
              </w:rPr>
              <w:t>8</w:t>
            </w:r>
            <w:r w:rsidRPr="00D51EF3">
              <w:rPr>
                <w:rFonts w:cs="Calibri"/>
                <w:b/>
                <w:bCs/>
                <w:color w:val="FFFFFF" w:themeColor="background1"/>
                <w:sz w:val="28"/>
                <w:szCs w:val="28"/>
              </w:rPr>
              <w:t>: Budgetary Reporting – Territorial</w:t>
            </w:r>
          </w:p>
        </w:tc>
      </w:tr>
      <w:tr w:rsidR="001102B0" w:rsidRPr="009D3DBD" w14:paraId="137F52B8"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58" w:type="dxa"/>
            <w:tcBorders>
              <w:top w:val="nil"/>
              <w:left w:val="single" w:sz="2" w:space="0" w:color="auto"/>
              <w:bottom w:val="nil"/>
              <w:right w:val="single" w:sz="2" w:space="0" w:color="auto"/>
            </w:tcBorders>
          </w:tcPr>
          <w:p w14:paraId="2B36BFBD" w14:textId="042D742B" w:rsidR="001102B0" w:rsidRPr="00D51EF3" w:rsidRDefault="009A39A4" w:rsidP="00863311">
            <w:pPr>
              <w:pStyle w:val="TableReference"/>
              <w:tabs>
                <w:tab w:val="left" w:pos="3306"/>
              </w:tabs>
              <w:spacing w:before="40"/>
              <w:rPr>
                <w:rFonts w:cs="Calibri"/>
                <w:color w:val="7030A0"/>
                <w:sz w:val="14"/>
              </w:rPr>
            </w:pPr>
            <w:r w:rsidRPr="00D51EF3">
              <w:rPr>
                <w:rFonts w:cs="Calibri"/>
                <w:color w:val="7030A0"/>
                <w:sz w:val="14"/>
              </w:rPr>
              <w:t>ACT Disclosure Policy</w:t>
            </w:r>
          </w:p>
        </w:tc>
        <w:tc>
          <w:tcPr>
            <w:tcW w:w="8944" w:type="dxa"/>
            <w:gridSpan w:val="9"/>
            <w:tcBorders>
              <w:top w:val="nil"/>
              <w:left w:val="single" w:sz="2" w:space="0" w:color="auto"/>
              <w:bottom w:val="nil"/>
              <w:right w:val="nil"/>
            </w:tcBorders>
            <w:shd w:val="clear" w:color="auto" w:fill="7030A0"/>
            <w:vAlign w:val="bottom"/>
          </w:tcPr>
          <w:p w14:paraId="016ED21D" w14:textId="5247AFC8" w:rsidR="001102B0" w:rsidRPr="00D51EF3" w:rsidRDefault="001102B0" w:rsidP="00F85282">
            <w:pPr>
              <w:spacing w:after="120"/>
              <w:jc w:val="both"/>
              <w:rPr>
                <w:rFonts w:cs="Calibri"/>
                <w:color w:val="FFFFFF" w:themeColor="background1"/>
                <w:sz w:val="18"/>
                <w:szCs w:val="18"/>
              </w:rPr>
            </w:pPr>
            <w:r w:rsidRPr="00D51EF3">
              <w:rPr>
                <w:rFonts w:cs="Calibri"/>
                <w:color w:val="FFFFFF" w:themeColor="background1"/>
                <w:sz w:val="18"/>
                <w:szCs w:val="18"/>
              </w:rPr>
              <w:t xml:space="preserve">AASB 1055 </w:t>
            </w:r>
            <w:r w:rsidRPr="00D51EF3">
              <w:rPr>
                <w:rFonts w:cs="Calibri"/>
                <w:i/>
                <w:color w:val="FFFFFF" w:themeColor="background1"/>
                <w:sz w:val="18"/>
                <w:szCs w:val="18"/>
              </w:rPr>
              <w:t>Budgetary Reporting</w:t>
            </w:r>
            <w:r w:rsidRPr="00D51EF3">
              <w:rPr>
                <w:rFonts w:cs="Calibri"/>
                <w:color w:val="FFFFFF" w:themeColor="background1"/>
                <w:sz w:val="18"/>
                <w:szCs w:val="18"/>
              </w:rPr>
              <w:t xml:space="preserve"> sets out the budgetary reporting requirements for not-for-profit entities within the General Government Sector (GGS).</w:t>
            </w:r>
            <w:r w:rsidR="00FA7C77">
              <w:rPr>
                <w:rFonts w:cs="Calibri"/>
                <w:color w:val="FFFFFF" w:themeColor="background1"/>
                <w:sz w:val="18"/>
                <w:szCs w:val="18"/>
              </w:rPr>
              <w:t xml:space="preserve"> </w:t>
            </w:r>
            <w:r w:rsidRPr="00D51EF3">
              <w:rPr>
                <w:rFonts w:cs="Calibri"/>
                <w:color w:val="FFFFFF" w:themeColor="background1"/>
                <w:sz w:val="18"/>
                <w:szCs w:val="18"/>
              </w:rPr>
              <w:t>AASB 1055 does not apply to for-profit agencies.</w:t>
            </w:r>
            <w:r w:rsidR="00FA7C77">
              <w:rPr>
                <w:rFonts w:cs="Calibri"/>
                <w:color w:val="FFFFFF" w:themeColor="background1"/>
                <w:sz w:val="18"/>
                <w:szCs w:val="18"/>
              </w:rPr>
              <w:t xml:space="preserve"> </w:t>
            </w:r>
            <w:r w:rsidRPr="00D51EF3">
              <w:rPr>
                <w:rFonts w:cs="Calibri"/>
                <w:color w:val="FFFFFF" w:themeColor="background1"/>
                <w:sz w:val="18"/>
                <w:szCs w:val="18"/>
              </w:rPr>
              <w:t xml:space="preserve">However, it is ACT Disclosure Policy that for-profit Territory Authorities also adopt AASB 1055 for reporting purposes. </w:t>
            </w:r>
          </w:p>
        </w:tc>
      </w:tr>
      <w:tr w:rsidR="00F85282" w:rsidRPr="009D3DBD" w14:paraId="45E31297"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58" w:type="dxa"/>
            <w:tcBorders>
              <w:top w:val="nil"/>
              <w:left w:val="single" w:sz="2" w:space="0" w:color="auto"/>
              <w:bottom w:val="nil"/>
              <w:right w:val="single" w:sz="2" w:space="0" w:color="auto"/>
            </w:tcBorders>
          </w:tcPr>
          <w:p w14:paraId="022AC362" w14:textId="77777777" w:rsidR="00F85282" w:rsidRPr="00D51EF3" w:rsidRDefault="00F85282" w:rsidP="00863311">
            <w:pPr>
              <w:pStyle w:val="TableReference"/>
              <w:tabs>
                <w:tab w:val="left" w:pos="3306"/>
              </w:tabs>
              <w:spacing w:before="40"/>
              <w:rPr>
                <w:rFonts w:cs="Calibri"/>
                <w:color w:val="7030A0"/>
                <w:sz w:val="14"/>
              </w:rPr>
            </w:pPr>
          </w:p>
        </w:tc>
        <w:tc>
          <w:tcPr>
            <w:tcW w:w="8944" w:type="dxa"/>
            <w:gridSpan w:val="9"/>
            <w:tcBorders>
              <w:top w:val="nil"/>
              <w:left w:val="single" w:sz="2" w:space="0" w:color="auto"/>
              <w:bottom w:val="nil"/>
              <w:right w:val="nil"/>
            </w:tcBorders>
            <w:shd w:val="clear" w:color="auto" w:fill="7030A0"/>
            <w:vAlign w:val="bottom"/>
          </w:tcPr>
          <w:p w14:paraId="3D963103" w14:textId="6B718BCA" w:rsidR="00F85282" w:rsidRPr="00D51EF3" w:rsidRDefault="00F85282" w:rsidP="00BE2E80">
            <w:pPr>
              <w:spacing w:after="120"/>
              <w:jc w:val="both"/>
              <w:rPr>
                <w:rFonts w:cs="Calibri"/>
                <w:color w:val="FFFFFF" w:themeColor="background1"/>
                <w:sz w:val="18"/>
                <w:szCs w:val="18"/>
              </w:rPr>
            </w:pPr>
            <w:r w:rsidRPr="00D51EF3">
              <w:rPr>
                <w:rFonts w:cs="Calibri"/>
                <w:color w:val="FFFFFF" w:themeColor="background1"/>
                <w:sz w:val="18"/>
                <w:szCs w:val="18"/>
              </w:rPr>
              <w:t>Disclosures under AASB 1055 are intended to provide users with information relevant to assessing the financial performance of an agency. The main user is considered to be the Legislative Assembly.</w:t>
            </w:r>
          </w:p>
        </w:tc>
      </w:tr>
      <w:tr w:rsidR="00F85282" w:rsidRPr="009D3DBD" w14:paraId="1D87C306"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58" w:type="dxa"/>
            <w:tcBorders>
              <w:top w:val="nil"/>
              <w:left w:val="single" w:sz="2" w:space="0" w:color="auto"/>
              <w:bottom w:val="nil"/>
              <w:right w:val="single" w:sz="2" w:space="0" w:color="auto"/>
            </w:tcBorders>
          </w:tcPr>
          <w:p w14:paraId="52437A7F" w14:textId="77777777" w:rsidR="00F85282" w:rsidRPr="00D51EF3" w:rsidRDefault="00F85282" w:rsidP="00863311">
            <w:pPr>
              <w:pStyle w:val="TableReference"/>
              <w:tabs>
                <w:tab w:val="left" w:pos="3306"/>
              </w:tabs>
              <w:spacing w:before="40"/>
              <w:rPr>
                <w:rFonts w:cs="Calibri"/>
                <w:color w:val="7030A0"/>
                <w:sz w:val="14"/>
              </w:rPr>
            </w:pPr>
          </w:p>
        </w:tc>
        <w:tc>
          <w:tcPr>
            <w:tcW w:w="8944" w:type="dxa"/>
            <w:gridSpan w:val="9"/>
            <w:tcBorders>
              <w:top w:val="nil"/>
              <w:left w:val="single" w:sz="2" w:space="0" w:color="auto"/>
              <w:bottom w:val="nil"/>
              <w:right w:val="nil"/>
            </w:tcBorders>
            <w:shd w:val="clear" w:color="auto" w:fill="7030A0"/>
            <w:vAlign w:val="bottom"/>
          </w:tcPr>
          <w:p w14:paraId="30846CC7" w14:textId="77777777" w:rsidR="00F85282" w:rsidRPr="00D51EF3" w:rsidRDefault="00F85282" w:rsidP="00F85282">
            <w:pPr>
              <w:spacing w:after="120"/>
              <w:jc w:val="both"/>
              <w:rPr>
                <w:rFonts w:cs="Calibri"/>
                <w:color w:val="FFFFFF" w:themeColor="background1"/>
                <w:sz w:val="18"/>
                <w:szCs w:val="18"/>
              </w:rPr>
            </w:pPr>
            <w:r w:rsidRPr="00D51EF3">
              <w:rPr>
                <w:rFonts w:cs="Calibri"/>
                <w:color w:val="FFFFFF" w:themeColor="background1"/>
                <w:sz w:val="18"/>
                <w:szCs w:val="18"/>
              </w:rPr>
              <w:t>When a directorate’s or territory authority’s budgeted financial statements are presented to the Legislative Assembly and are separately identified, that directorate or Territory Authority will need to disclose for the reporting period:</w:t>
            </w:r>
          </w:p>
          <w:p w14:paraId="634DD8EB" w14:textId="3BE8F1C4" w:rsidR="00F85282" w:rsidRPr="00D51EF3" w:rsidRDefault="00F85282" w:rsidP="007122BC">
            <w:pPr>
              <w:numPr>
                <w:ilvl w:val="0"/>
                <w:numId w:val="33"/>
              </w:numPr>
              <w:ind w:left="414" w:hanging="357"/>
              <w:jc w:val="both"/>
              <w:rPr>
                <w:rFonts w:cs="Calibri"/>
                <w:color w:val="FFFFFF" w:themeColor="background1"/>
                <w:sz w:val="18"/>
                <w:szCs w:val="18"/>
              </w:rPr>
            </w:pPr>
            <w:r w:rsidRPr="00D51EF3">
              <w:rPr>
                <w:rFonts w:cs="Calibri"/>
                <w:color w:val="FFFFFF" w:themeColor="background1"/>
                <w:sz w:val="18"/>
                <w:szCs w:val="18"/>
              </w:rPr>
              <w:t>The original budget figures as presented to the Legislative Assembly, in a form that is consistent with the agency’s annual financial statements; and</w:t>
            </w:r>
          </w:p>
          <w:p w14:paraId="01BF28AA" w14:textId="3C87AC47" w:rsidR="00F85282" w:rsidRPr="00D51EF3" w:rsidRDefault="00F85282" w:rsidP="007122BC">
            <w:pPr>
              <w:numPr>
                <w:ilvl w:val="0"/>
                <w:numId w:val="33"/>
              </w:numPr>
              <w:ind w:left="414" w:hanging="357"/>
              <w:jc w:val="both"/>
              <w:rPr>
                <w:rFonts w:cs="Calibri"/>
                <w:color w:val="FFFFFF" w:themeColor="background1"/>
                <w:sz w:val="18"/>
                <w:szCs w:val="18"/>
              </w:rPr>
            </w:pPr>
            <w:r w:rsidRPr="00D51EF3">
              <w:rPr>
                <w:rFonts w:cs="Calibri"/>
                <w:color w:val="FFFFFF" w:themeColor="background1"/>
                <w:sz w:val="18"/>
                <w:szCs w:val="18"/>
              </w:rPr>
              <w:t>Explanations of major variances between actual amounts presented in the financial statements and the corresponding individual original budget amounts.</w:t>
            </w:r>
          </w:p>
        </w:tc>
      </w:tr>
      <w:tr w:rsidR="00F85282" w:rsidRPr="009D3DBD" w14:paraId="5D877219"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58" w:type="dxa"/>
            <w:tcBorders>
              <w:top w:val="nil"/>
              <w:left w:val="single" w:sz="2" w:space="0" w:color="auto"/>
              <w:bottom w:val="nil"/>
              <w:right w:val="single" w:sz="2" w:space="0" w:color="auto"/>
            </w:tcBorders>
          </w:tcPr>
          <w:p w14:paraId="025317FF" w14:textId="77777777" w:rsidR="00F85282" w:rsidRPr="00D51EF3" w:rsidRDefault="00F85282" w:rsidP="00863311">
            <w:pPr>
              <w:pStyle w:val="TableReference"/>
              <w:tabs>
                <w:tab w:val="left" w:pos="3306"/>
              </w:tabs>
              <w:spacing w:before="40"/>
              <w:rPr>
                <w:rFonts w:cs="Calibri"/>
                <w:color w:val="7030A0"/>
                <w:sz w:val="14"/>
              </w:rPr>
            </w:pPr>
          </w:p>
        </w:tc>
        <w:tc>
          <w:tcPr>
            <w:tcW w:w="8944" w:type="dxa"/>
            <w:gridSpan w:val="9"/>
            <w:tcBorders>
              <w:top w:val="nil"/>
              <w:left w:val="single" w:sz="2" w:space="0" w:color="auto"/>
              <w:bottom w:val="nil"/>
              <w:right w:val="nil"/>
            </w:tcBorders>
            <w:shd w:val="clear" w:color="auto" w:fill="7030A0"/>
            <w:vAlign w:val="bottom"/>
          </w:tcPr>
          <w:p w14:paraId="48CC37DA" w14:textId="475508E7" w:rsidR="00F85282" w:rsidRPr="00D51EF3" w:rsidRDefault="00F85282" w:rsidP="00F85282">
            <w:pPr>
              <w:spacing w:before="120" w:after="120"/>
              <w:jc w:val="both"/>
              <w:rPr>
                <w:rFonts w:cs="Calibri"/>
                <w:color w:val="FFFFFF" w:themeColor="background1"/>
                <w:sz w:val="18"/>
                <w:szCs w:val="18"/>
              </w:rPr>
            </w:pPr>
            <w:r w:rsidRPr="00D51EF3">
              <w:rPr>
                <w:rFonts w:cs="Calibri"/>
                <w:color w:val="FFFFFF" w:themeColor="background1"/>
                <w:sz w:val="18"/>
                <w:szCs w:val="18"/>
              </w:rPr>
              <w:t xml:space="preserve">It is ACT Disclosure Policy that budgetary reporting be disclosed for territorial as well as controlled. </w:t>
            </w:r>
          </w:p>
        </w:tc>
      </w:tr>
      <w:tr w:rsidR="00876E48" w:rsidRPr="009D3DBD" w14:paraId="346E1A6D" w14:textId="77777777" w:rsidTr="00D919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7"/>
        </w:trPr>
        <w:tc>
          <w:tcPr>
            <w:tcW w:w="1558" w:type="dxa"/>
            <w:tcBorders>
              <w:top w:val="nil"/>
              <w:left w:val="single" w:sz="2" w:space="0" w:color="auto"/>
              <w:bottom w:val="nil"/>
              <w:right w:val="single" w:sz="2" w:space="0" w:color="auto"/>
            </w:tcBorders>
          </w:tcPr>
          <w:p w14:paraId="162AD583" w14:textId="77777777" w:rsidR="00876E48" w:rsidRPr="00D51EF3" w:rsidRDefault="00876E48" w:rsidP="00863311">
            <w:pPr>
              <w:pStyle w:val="TableReference"/>
              <w:tabs>
                <w:tab w:val="left" w:pos="3306"/>
              </w:tabs>
              <w:spacing w:before="40"/>
              <w:rPr>
                <w:rFonts w:cs="Calibri"/>
                <w:color w:val="7030A0"/>
                <w:sz w:val="14"/>
              </w:rPr>
            </w:pPr>
          </w:p>
        </w:tc>
        <w:tc>
          <w:tcPr>
            <w:tcW w:w="8944" w:type="dxa"/>
            <w:gridSpan w:val="9"/>
            <w:tcBorders>
              <w:top w:val="nil"/>
              <w:left w:val="single" w:sz="2" w:space="0" w:color="auto"/>
              <w:bottom w:val="nil"/>
              <w:right w:val="nil"/>
            </w:tcBorders>
            <w:shd w:val="clear" w:color="auto" w:fill="7030A0"/>
            <w:vAlign w:val="bottom"/>
          </w:tcPr>
          <w:p w14:paraId="044DB6E5" w14:textId="6B6135CD" w:rsidR="00876E48" w:rsidRPr="00D51EF3" w:rsidRDefault="00876E48" w:rsidP="00F85282">
            <w:pPr>
              <w:spacing w:before="120" w:after="120"/>
              <w:jc w:val="both"/>
              <w:rPr>
                <w:rFonts w:cs="Calibri"/>
                <w:color w:val="FFFFFF" w:themeColor="background1"/>
                <w:sz w:val="18"/>
                <w:szCs w:val="18"/>
              </w:rPr>
            </w:pPr>
            <w:r w:rsidRPr="00D51EF3">
              <w:rPr>
                <w:rFonts w:cs="Calibri"/>
                <w:color w:val="FFFFFF" w:themeColor="background1"/>
                <w:sz w:val="18"/>
                <w:szCs w:val="18"/>
              </w:rPr>
              <w:t>For more information in relation to Budgetary Reporting see the Commentary in</w:t>
            </w:r>
            <w:r w:rsidR="0084379F" w:rsidRPr="00D51EF3">
              <w:rPr>
                <w:rFonts w:cs="Calibri"/>
                <w:color w:val="FFFFFF" w:themeColor="background1"/>
                <w:sz w:val="18"/>
                <w:szCs w:val="18"/>
              </w:rPr>
              <w:t xml:space="preserve"> Note 4</w:t>
            </w:r>
            <w:r w:rsidR="0057601E" w:rsidRPr="00D51EF3">
              <w:rPr>
                <w:rFonts w:cs="Calibri"/>
                <w:color w:val="FFFFFF" w:themeColor="background1"/>
                <w:sz w:val="18"/>
                <w:szCs w:val="18"/>
              </w:rPr>
              <w:t>0</w:t>
            </w:r>
            <w:r w:rsidR="0084379F" w:rsidRPr="00D51EF3">
              <w:rPr>
                <w:rFonts w:cs="Calibri"/>
                <w:color w:val="FFFFFF" w:themeColor="background1"/>
                <w:sz w:val="18"/>
                <w:szCs w:val="18"/>
              </w:rPr>
              <w:t xml:space="preserve"> </w:t>
            </w:r>
            <w:r w:rsidR="0084379F" w:rsidRPr="00D51EF3">
              <w:rPr>
                <w:rFonts w:cs="Calibri"/>
                <w:i/>
                <w:iCs/>
                <w:color w:val="FFFFFF" w:themeColor="background1"/>
                <w:sz w:val="18"/>
                <w:szCs w:val="18"/>
              </w:rPr>
              <w:t>Budgetary Reporting</w:t>
            </w:r>
            <w:r w:rsidR="0084379F" w:rsidRPr="00D51EF3">
              <w:rPr>
                <w:rFonts w:cs="Calibri"/>
                <w:color w:val="FFFFFF" w:themeColor="background1"/>
                <w:sz w:val="18"/>
                <w:szCs w:val="18"/>
              </w:rPr>
              <w:t>.</w:t>
            </w:r>
            <w:r w:rsidR="00FA7C77">
              <w:rPr>
                <w:rFonts w:cs="Calibri"/>
                <w:color w:val="FFFFFF" w:themeColor="background1"/>
                <w:sz w:val="18"/>
                <w:szCs w:val="18"/>
              </w:rPr>
              <w:t xml:space="preserve"> </w:t>
            </w:r>
          </w:p>
        </w:tc>
      </w:tr>
    </w:tbl>
    <w:p w14:paraId="4BEE11CE" w14:textId="6CA12DC3" w:rsidR="00E1026B" w:rsidRDefault="00E1026B" w:rsidP="00E1026B">
      <w:pPr>
        <w:sectPr w:rsidR="00E1026B" w:rsidSect="00C80800">
          <w:headerReference w:type="default" r:id="rId44"/>
          <w:footerReference w:type="default" r:id="rId45"/>
          <w:footnotePr>
            <w:numRestart w:val="eachPage"/>
          </w:footnotePr>
          <w:pgSz w:w="11907" w:h="16840" w:code="9"/>
          <w:pgMar w:top="680" w:right="680" w:bottom="584" w:left="680" w:header="567" w:footer="284" w:gutter="0"/>
          <w:cols w:space="720"/>
        </w:sectPr>
      </w:pPr>
    </w:p>
    <w:p w14:paraId="7129510F" w14:textId="4E4F0AC8" w:rsidR="00313776" w:rsidRPr="0009580B" w:rsidRDefault="00313776" w:rsidP="00A14734">
      <w:pPr>
        <w:pStyle w:val="Heading1"/>
        <w:numPr>
          <w:ilvl w:val="0"/>
          <w:numId w:val="0"/>
        </w:numPr>
        <w:rPr>
          <w:color w:val="538135" w:themeColor="accent6" w:themeShade="BF"/>
        </w:rPr>
      </w:pPr>
    </w:p>
    <w:sectPr w:rsidR="00313776" w:rsidRPr="0009580B" w:rsidSect="00E30AE6">
      <w:headerReference w:type="default" r:id="rId46"/>
      <w:pgSz w:w="11906" w:h="16838"/>
      <w:pgMar w:top="1418" w:right="1440" w:bottom="709" w:left="1440"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9A61C" w14:textId="77777777" w:rsidR="00A04F8C" w:rsidRDefault="00A04F8C">
      <w:r>
        <w:separator/>
      </w:r>
    </w:p>
  </w:endnote>
  <w:endnote w:type="continuationSeparator" w:id="0">
    <w:p w14:paraId="0AA73E53" w14:textId="77777777" w:rsidR="00A04F8C" w:rsidRDefault="00A04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BCAD" w14:textId="77777777" w:rsidR="00A04F8C" w:rsidRPr="00E4609D" w:rsidRDefault="00A04F8C" w:rsidP="009E196B">
    <w:pPr>
      <w:pStyle w:val="Footer"/>
      <w:jc w:val="center"/>
    </w:pPr>
    <w:r>
      <w:fldChar w:fldCharType="begin"/>
    </w:r>
    <w:r>
      <w:instrText xml:space="preserve"> PAGE   \* MERGEFORMAT </w:instrText>
    </w:r>
    <w:r>
      <w:fldChar w:fldCharType="separate"/>
    </w:r>
    <w:r>
      <w:rPr>
        <w:noProof/>
      </w:rPr>
      <w:t>vi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168905"/>
      <w:docPartObj>
        <w:docPartGallery w:val="Page Numbers (Bottom of Page)"/>
        <w:docPartUnique/>
      </w:docPartObj>
    </w:sdtPr>
    <w:sdtEndPr>
      <w:rPr>
        <w:noProof/>
      </w:rPr>
    </w:sdtEndPr>
    <w:sdtContent>
      <w:p w14:paraId="776D6C04"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165</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892158"/>
      <w:docPartObj>
        <w:docPartGallery w:val="Page Numbers (Bottom of Page)"/>
        <w:docPartUnique/>
      </w:docPartObj>
    </w:sdtPr>
    <w:sdtEndPr>
      <w:rPr>
        <w:noProof/>
      </w:rPr>
    </w:sdtEndPr>
    <w:sdtContent>
      <w:p w14:paraId="1566E04C" w14:textId="77777777" w:rsidR="00A04F8C" w:rsidRPr="00AE152F" w:rsidRDefault="00A04F8C" w:rsidP="00AE152F">
        <w:pPr>
          <w:pStyle w:val="Footer"/>
          <w:jc w:val="center"/>
        </w:pPr>
        <w:r>
          <w:fldChar w:fldCharType="begin"/>
        </w:r>
        <w:r>
          <w:instrText xml:space="preserve"> PAGE   \* MERGEFORMAT </w:instrText>
        </w:r>
        <w:r>
          <w:fldChar w:fldCharType="separate"/>
        </w:r>
        <w:r>
          <w:rPr>
            <w:noProof/>
          </w:rPr>
          <w:t>166</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262402"/>
      <w:docPartObj>
        <w:docPartGallery w:val="Page Numbers (Bottom of Page)"/>
        <w:docPartUnique/>
      </w:docPartObj>
    </w:sdtPr>
    <w:sdtEndPr>
      <w:rPr>
        <w:noProof/>
      </w:rPr>
    </w:sdtEndPr>
    <w:sdtContent>
      <w:p w14:paraId="4A3F98A6" w14:textId="77777777" w:rsidR="00A04F8C" w:rsidRDefault="00A04F8C" w:rsidP="00AE152F">
        <w:pPr>
          <w:pStyle w:val="Footer"/>
          <w:jc w:val="center"/>
        </w:pPr>
        <w:r>
          <w:fldChar w:fldCharType="begin"/>
        </w:r>
        <w:r>
          <w:instrText xml:space="preserve"> PAGE   \* MERGEFORMAT </w:instrText>
        </w:r>
        <w:r>
          <w:fldChar w:fldCharType="separate"/>
        </w:r>
        <w:r>
          <w:rPr>
            <w:noProof/>
          </w:rPr>
          <w:t>174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2B90" w14:textId="77777777" w:rsidR="00A04F8C" w:rsidRDefault="00A04F8C">
    <w:pPr>
      <w:pStyle w:val="Footer"/>
      <w:jc w:val="center"/>
    </w:pPr>
    <w:r>
      <w:fldChar w:fldCharType="begin"/>
    </w:r>
    <w:r>
      <w:instrText xml:space="preserve"> PAGE   \* MERGEFORMAT </w:instrText>
    </w:r>
    <w:r>
      <w:fldChar w:fldCharType="separate"/>
    </w:r>
    <w:r>
      <w:rPr>
        <w:noProof/>
      </w:rPr>
      <w:t>ii</w:t>
    </w:r>
    <w:r>
      <w:fldChar w:fldCharType="end"/>
    </w:r>
  </w:p>
  <w:p w14:paraId="7EA42739" w14:textId="77777777" w:rsidR="00A04F8C" w:rsidRPr="009E196B" w:rsidRDefault="00A04F8C" w:rsidP="009E19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349A"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15</w:t>
    </w:r>
    <w:r w:rsidRPr="00AF16A7">
      <w:rPr>
        <w:rStyle w:val="PageNumber"/>
        <w:rFonts w:cs="Calibri"/>
      </w:rPr>
      <w:fldChar w:fldCharType="end"/>
    </w:r>
  </w:p>
  <w:p w14:paraId="4C48C3D9" w14:textId="77777777" w:rsidR="00A04F8C" w:rsidRDefault="00A04F8C" w:rsidP="00C930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2F829"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17</w:t>
    </w:r>
    <w:r w:rsidRPr="00AF16A7">
      <w:rPr>
        <w:rStyle w:val="PageNumber"/>
        <w:rFonts w:cs="Calibri"/>
      </w:rPr>
      <w:fldChar w:fldCharType="end"/>
    </w:r>
  </w:p>
  <w:p w14:paraId="7C272B7C" w14:textId="77777777" w:rsidR="00A04F8C" w:rsidRDefault="00A04F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8C66B" w14:textId="77777777" w:rsidR="00A04F8C" w:rsidRPr="00AF16A7" w:rsidRDefault="00A04F8C">
    <w:pPr>
      <w:pStyle w:val="Footer"/>
      <w:framePr w:wrap="around" w:vAnchor="text" w:hAnchor="margin" w:xAlign="center" w:y="1"/>
      <w:rPr>
        <w:rStyle w:val="PageNumber"/>
        <w:rFonts w:cs="Calibri"/>
      </w:rPr>
    </w:pPr>
    <w:r w:rsidRPr="00AF16A7">
      <w:rPr>
        <w:rStyle w:val="PageNumber"/>
        <w:rFonts w:cs="Calibri"/>
      </w:rPr>
      <w:fldChar w:fldCharType="begin"/>
    </w:r>
    <w:r w:rsidRPr="00AF16A7">
      <w:rPr>
        <w:rStyle w:val="PageNumber"/>
        <w:rFonts w:cs="Calibri"/>
      </w:rPr>
      <w:instrText xml:space="preserve">PAGE  </w:instrText>
    </w:r>
    <w:r w:rsidRPr="00AF16A7">
      <w:rPr>
        <w:rStyle w:val="PageNumber"/>
        <w:rFonts w:cs="Calibri"/>
      </w:rPr>
      <w:fldChar w:fldCharType="separate"/>
    </w:r>
    <w:r>
      <w:rPr>
        <w:rStyle w:val="PageNumber"/>
        <w:rFonts w:cs="Calibri"/>
        <w:noProof/>
      </w:rPr>
      <w:t>23</w:t>
    </w:r>
    <w:r w:rsidRPr="00AF16A7">
      <w:rPr>
        <w:rStyle w:val="PageNumber"/>
        <w:rFonts w:cs="Calibri"/>
      </w:rPr>
      <w:fldChar w:fldCharType="end"/>
    </w:r>
  </w:p>
  <w:p w14:paraId="61E0A2A1" w14:textId="77777777" w:rsidR="00A04F8C" w:rsidRDefault="00A04F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991900"/>
      <w:docPartObj>
        <w:docPartGallery w:val="Page Numbers (Bottom of Page)"/>
        <w:docPartUnique/>
      </w:docPartObj>
    </w:sdtPr>
    <w:sdtEndPr>
      <w:rPr>
        <w:noProof/>
      </w:rPr>
    </w:sdtEndPr>
    <w:sdtContent>
      <w:p w14:paraId="1232A059"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82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218635"/>
      <w:docPartObj>
        <w:docPartGallery w:val="Page Numbers (Bottom of Page)"/>
        <w:docPartUnique/>
      </w:docPartObj>
    </w:sdtPr>
    <w:sdtEndPr>
      <w:rPr>
        <w:noProof/>
      </w:rPr>
    </w:sdtEndPr>
    <w:sdtContent>
      <w:p w14:paraId="5D20602C"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119</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F9EE" w14:textId="77777777" w:rsidR="00A04F8C" w:rsidRDefault="00A04F8C" w:rsidP="008633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89E717" w14:textId="77777777" w:rsidR="00A04F8C" w:rsidRDefault="00A04F8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480572"/>
      <w:docPartObj>
        <w:docPartGallery w:val="Page Numbers (Bottom of Page)"/>
        <w:docPartUnique/>
      </w:docPartObj>
    </w:sdtPr>
    <w:sdtEndPr>
      <w:rPr>
        <w:noProof/>
      </w:rPr>
    </w:sdtEndPr>
    <w:sdtContent>
      <w:p w14:paraId="3ED39FFA" w14:textId="77777777" w:rsidR="00A04F8C" w:rsidRPr="00986F4D" w:rsidRDefault="00A04F8C" w:rsidP="00986F4D">
        <w:pPr>
          <w:pStyle w:val="Footer"/>
          <w:jc w:val="center"/>
        </w:pPr>
        <w:r>
          <w:fldChar w:fldCharType="begin"/>
        </w:r>
        <w:r>
          <w:instrText xml:space="preserve"> PAGE   \* MERGEFORMAT </w:instrText>
        </w:r>
        <w:r>
          <w:fldChar w:fldCharType="separate"/>
        </w:r>
        <w:r>
          <w:rPr>
            <w:noProof/>
          </w:rPr>
          <w:t>161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B12AF" w14:textId="77777777" w:rsidR="00A04F8C" w:rsidRPr="008073D6" w:rsidRDefault="00A04F8C" w:rsidP="008073D6">
      <w:pPr>
        <w:pStyle w:val="Footer"/>
      </w:pPr>
    </w:p>
  </w:footnote>
  <w:footnote w:type="continuationSeparator" w:id="0">
    <w:p w14:paraId="788C6F78" w14:textId="77777777" w:rsidR="00A04F8C" w:rsidRDefault="00A04F8C">
      <w:r>
        <w:continuationSeparator/>
      </w:r>
    </w:p>
  </w:footnote>
  <w:footnote w:type="continuationNotice" w:id="1">
    <w:p w14:paraId="319A543D" w14:textId="77777777" w:rsidR="00A04F8C" w:rsidRDefault="00A04F8C"/>
  </w:footnote>
  <w:footnote w:id="2">
    <w:p w14:paraId="38462629" w14:textId="77777777" w:rsidR="00784D00" w:rsidRDefault="00784D00" w:rsidP="00F2614A"/>
    <w:p w14:paraId="7632B7E7" w14:textId="77777777" w:rsidR="00784D00" w:rsidRPr="00747DCD" w:rsidRDefault="00784D00" w:rsidP="00F2614A">
      <w:pPr>
        <w:pStyle w:val="FootnoteText"/>
        <w:rPr>
          <w:color w:val="auto"/>
        </w:rPr>
      </w:pPr>
    </w:p>
  </w:footnote>
  <w:footnote w:id="3">
    <w:p w14:paraId="5AAFB1CD" w14:textId="77777777" w:rsidR="00784D00" w:rsidRDefault="00784D00" w:rsidP="00F2614A"/>
    <w:p w14:paraId="2144EA41" w14:textId="77777777" w:rsidR="00784D00" w:rsidRPr="00747DCD" w:rsidRDefault="00784D00" w:rsidP="00F2614A">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BB77" w14:textId="77777777" w:rsidR="00A04F8C" w:rsidRDefault="00A04F8C" w:rsidP="00F05DC7">
    <w:pPr>
      <w:pStyle w:val="headerhead"/>
    </w:pPr>
  </w:p>
  <w:p w14:paraId="5D299D98" w14:textId="77777777" w:rsidR="00A04F8C" w:rsidRDefault="00A04F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08E7" w14:textId="754CB442" w:rsidR="00A04F8C" w:rsidRPr="00F70B16" w:rsidRDefault="00A04F8C" w:rsidP="00AD56C6">
    <w:pPr>
      <w:pStyle w:val="headerhead"/>
    </w:pPr>
    <w:r w:rsidRPr="00371BF4">
      <w:t>‘</w:t>
    </w:r>
    <w:r w:rsidR="00836324" w:rsidRPr="00F70B16">
      <w:t xml:space="preserve">Burley Griffin </w:t>
    </w:r>
    <w:r w:rsidRPr="00F70B16">
      <w:t>Agency’</w:t>
    </w:r>
  </w:p>
  <w:p w14:paraId="68C6703D" w14:textId="4CF0FE1F" w:rsidR="00A04F8C" w:rsidRPr="00F70B16" w:rsidRDefault="00A04F8C" w:rsidP="00A26DB2">
    <w:pPr>
      <w:pStyle w:val="headerhead"/>
      <w:spacing w:after="240"/>
    </w:pPr>
    <w:r w:rsidRPr="00F70B16">
      <w:t>Financial Statements For the Year Ended 30 June 2022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D604" w14:textId="3A0A12A9" w:rsidR="00A04F8C" w:rsidRPr="003E6941" w:rsidRDefault="00A04F8C" w:rsidP="00435A25">
    <w:pPr>
      <w:pStyle w:val="headerhead"/>
    </w:pPr>
    <w:r w:rsidRPr="003E6941">
      <w:t>‘</w:t>
    </w:r>
    <w:r w:rsidR="00836324" w:rsidRPr="003E6941">
      <w:t xml:space="preserve">Burley Griffin </w:t>
    </w:r>
    <w:r w:rsidRPr="003E6941">
      <w:t>Agency’</w:t>
    </w:r>
  </w:p>
  <w:p w14:paraId="259E00E4" w14:textId="1D9FD0B1" w:rsidR="00A04F8C" w:rsidRPr="003E6941" w:rsidRDefault="00A04F8C" w:rsidP="00572AEC">
    <w:pPr>
      <w:pStyle w:val="headerhead"/>
      <w:spacing w:after="240"/>
    </w:pPr>
    <w:r w:rsidRPr="003E6941">
      <w:t>Financial Statements For the Year Ended 30 June 2022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A65" w14:textId="5C7D4C24" w:rsidR="00A04F8C" w:rsidRPr="00572AEC" w:rsidRDefault="00A04F8C" w:rsidP="006128E8">
    <w:pPr>
      <w:pStyle w:val="headerhead"/>
    </w:pPr>
    <w:r w:rsidRPr="00572AEC">
      <w:t>‘</w:t>
    </w:r>
    <w:r w:rsidR="00836324" w:rsidRPr="00572AEC">
      <w:t xml:space="preserve">Burley Griffin </w:t>
    </w:r>
    <w:r w:rsidRPr="00572AEC">
      <w:t>Agency’</w:t>
    </w:r>
  </w:p>
  <w:p w14:paraId="7B056713" w14:textId="4E2EFF85" w:rsidR="00A04F8C" w:rsidRPr="00572AEC" w:rsidRDefault="00A04F8C" w:rsidP="00572AEC">
    <w:pPr>
      <w:pStyle w:val="headerhead"/>
      <w:spacing w:after="240"/>
    </w:pPr>
    <w:r w:rsidRPr="00572AEC">
      <w:t>Financial Statements For the Year Ended 30 June 2022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D5F4" w14:textId="03A924AF" w:rsidR="00A04F8C" w:rsidRPr="006911F3" w:rsidRDefault="00A04F8C" w:rsidP="006128E8">
    <w:pPr>
      <w:pStyle w:val="headerhead"/>
    </w:pPr>
    <w:r w:rsidRPr="00371BF4">
      <w:t>‘</w:t>
    </w:r>
    <w:r w:rsidR="00836324" w:rsidRPr="006911F3">
      <w:t xml:space="preserve">Burley Griffin </w:t>
    </w:r>
    <w:r w:rsidRPr="006911F3">
      <w:t>Agency’</w:t>
    </w:r>
  </w:p>
  <w:p w14:paraId="29EFC4AA" w14:textId="36748FB6" w:rsidR="00A04F8C" w:rsidRPr="006911F3" w:rsidRDefault="00A04F8C" w:rsidP="006911F3">
    <w:pPr>
      <w:pStyle w:val="headerhead"/>
      <w:spacing w:after="240"/>
      <w:rPr>
        <w:b w:val="0"/>
      </w:rPr>
    </w:pPr>
    <w:r w:rsidRPr="006911F3">
      <w:t>Financial Statements For the Year Ended 30 June 2022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B52B" w14:textId="3CC32E80" w:rsidR="00A04F8C" w:rsidRPr="009223E0" w:rsidRDefault="00A04F8C" w:rsidP="006128E8">
    <w:pPr>
      <w:pStyle w:val="headerhead"/>
    </w:pPr>
    <w:r w:rsidRPr="00371BF4">
      <w:t>‘</w:t>
    </w:r>
    <w:r w:rsidR="009A1E81" w:rsidRPr="009223E0">
      <w:t xml:space="preserve">Burley Griffin </w:t>
    </w:r>
    <w:r w:rsidRPr="009223E0">
      <w:t>Agency’</w:t>
    </w:r>
  </w:p>
  <w:p w14:paraId="1AB1299C" w14:textId="77777777" w:rsidR="00A04F8C" w:rsidRPr="009223E0" w:rsidRDefault="00A04F8C" w:rsidP="006128E8">
    <w:pPr>
      <w:pStyle w:val="headerhead"/>
    </w:pPr>
    <w:r w:rsidRPr="009223E0">
      <w:t>Notes to and Forming Part of the Financial Statements</w:t>
    </w:r>
  </w:p>
  <w:p w14:paraId="19960A3C" w14:textId="2FE76AF3" w:rsidR="00A04F8C" w:rsidRPr="009223E0" w:rsidRDefault="00A04F8C" w:rsidP="009223E0">
    <w:pPr>
      <w:pStyle w:val="headerhead"/>
      <w:spacing w:after="240"/>
      <w:rPr>
        <w:szCs w:val="36"/>
      </w:rPr>
    </w:pPr>
    <w:r w:rsidRPr="009223E0">
      <w:t>For the Year Ended 30 June 2022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688C7" w14:textId="39FFF6C7" w:rsidR="00A04F8C" w:rsidRPr="003262FD" w:rsidRDefault="00A04F8C" w:rsidP="006128E8">
    <w:pPr>
      <w:pStyle w:val="headerhead"/>
    </w:pPr>
    <w:r w:rsidRPr="003262FD">
      <w:t>‘Burley GRIFFIN Agency’</w:t>
    </w:r>
  </w:p>
  <w:p w14:paraId="130A3793" w14:textId="77777777" w:rsidR="00A04F8C" w:rsidRPr="003262FD" w:rsidRDefault="00A04F8C" w:rsidP="006128E8">
    <w:pPr>
      <w:pStyle w:val="headerhead"/>
    </w:pPr>
    <w:r w:rsidRPr="003262FD">
      <w:t xml:space="preserve">Notes to and Forming Part of the Financial Statements </w:t>
    </w:r>
  </w:p>
  <w:p w14:paraId="0A02D0DB" w14:textId="4BE4EFA1" w:rsidR="00A04F8C" w:rsidRPr="003262FD" w:rsidRDefault="00A04F8C" w:rsidP="003262FD">
    <w:pPr>
      <w:pStyle w:val="headerhead"/>
      <w:spacing w:after="120"/>
      <w:rPr>
        <w:szCs w:val="40"/>
      </w:rPr>
    </w:pPr>
    <w:r w:rsidRPr="003262FD">
      <w:t>For the Year Ended 30 June 2022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2F39" w14:textId="13EAB352" w:rsidR="00A04F8C" w:rsidRPr="00810B4A" w:rsidRDefault="00A04F8C" w:rsidP="009039C0">
    <w:pPr>
      <w:pStyle w:val="headerhead"/>
    </w:pPr>
    <w:bookmarkStart w:id="792" w:name="_Hlk90500349"/>
    <w:bookmarkStart w:id="793" w:name="_Hlk90500350"/>
    <w:r w:rsidRPr="00810B4A">
      <w:t>‘</w:t>
    </w:r>
    <w:r w:rsidR="003B044B" w:rsidRPr="00810B4A">
      <w:t xml:space="preserve">Burley Griffin </w:t>
    </w:r>
    <w:r w:rsidRPr="00810B4A">
      <w:t>Agency’</w:t>
    </w:r>
  </w:p>
  <w:p w14:paraId="2F2BA8A0" w14:textId="77777777" w:rsidR="00A04F8C" w:rsidRPr="00810B4A" w:rsidRDefault="00A04F8C" w:rsidP="009039C0">
    <w:pPr>
      <w:pStyle w:val="headerhead"/>
    </w:pPr>
    <w:r w:rsidRPr="00810B4A">
      <w:t xml:space="preserve">Notes to and Forming Part of the Financial Statements </w:t>
    </w:r>
  </w:p>
  <w:p w14:paraId="38F0D2F9" w14:textId="742DD965" w:rsidR="00A04F8C" w:rsidRPr="009039C0" w:rsidRDefault="00A04F8C" w:rsidP="00810B4A">
    <w:pPr>
      <w:pStyle w:val="headerhead"/>
      <w:spacing w:after="120"/>
      <w:rPr>
        <w:sz w:val="16"/>
      </w:rPr>
    </w:pPr>
    <w:r w:rsidRPr="00810B4A">
      <w:t xml:space="preserve">For the Year Ended 30 June </w:t>
    </w:r>
    <w:r w:rsidRPr="00810B4A">
      <w:rPr>
        <w:rFonts w:cs="Calibri"/>
      </w:rPr>
      <w:t>2022</w:t>
    </w:r>
    <w:bookmarkEnd w:id="792"/>
    <w:bookmarkEnd w:id="793"/>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C6B7" w14:textId="148BFF13" w:rsidR="00A04F8C" w:rsidRPr="00FF0025" w:rsidRDefault="00A04F8C" w:rsidP="009039C0">
    <w:pPr>
      <w:pStyle w:val="headerhead"/>
    </w:pPr>
    <w:r w:rsidRPr="00FF0025">
      <w:t>‘</w:t>
    </w:r>
    <w:r w:rsidR="00836324" w:rsidRPr="00FF0025">
      <w:t xml:space="preserve">Burley Griffin </w:t>
    </w:r>
    <w:r w:rsidRPr="00FF0025">
      <w:t>Agency’</w:t>
    </w:r>
  </w:p>
  <w:p w14:paraId="2E881BAB" w14:textId="77777777" w:rsidR="00A04F8C" w:rsidRPr="00FF0025" w:rsidRDefault="00A04F8C" w:rsidP="009039C0">
    <w:pPr>
      <w:pStyle w:val="headerhead"/>
    </w:pPr>
    <w:r w:rsidRPr="00FF0025">
      <w:t xml:space="preserve">Notes to and Forming Part of the Financial Statements </w:t>
    </w:r>
  </w:p>
  <w:p w14:paraId="5816153A" w14:textId="324D8F64" w:rsidR="00A04F8C" w:rsidRPr="00FF0025" w:rsidRDefault="00A04F8C" w:rsidP="00FF0025">
    <w:pPr>
      <w:pStyle w:val="headerhead"/>
      <w:spacing w:after="120"/>
    </w:pPr>
    <w:r w:rsidRPr="00FF0025">
      <w:t>For the Year Ended 30 June</w:t>
    </w:r>
    <w:r w:rsidR="00F52BCE" w:rsidRPr="00FF0025">
      <w:t xml:space="preserve"> 2022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CA1F2" w14:textId="493DA40B" w:rsidR="00A04F8C" w:rsidRPr="00231250" w:rsidRDefault="00A04F8C" w:rsidP="00231250">
    <w:pPr>
      <w:pStyle w:val="headerhea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D0F5" w14:textId="731684A0" w:rsidR="00A04F8C" w:rsidRPr="00E30AE6" w:rsidRDefault="00A04F8C" w:rsidP="00E12C80">
    <w:pPr>
      <w:pStyle w:val="headerhead"/>
    </w:pPr>
    <w:r w:rsidRPr="00E30AE6">
      <w:t>‘</w:t>
    </w:r>
    <w:r w:rsidR="00836324" w:rsidRPr="00E30AE6">
      <w:t xml:space="preserve">Burley Griffin </w:t>
    </w:r>
    <w:r w:rsidRPr="00E30AE6">
      <w:t>Agency’</w:t>
    </w:r>
  </w:p>
  <w:p w14:paraId="34A74795" w14:textId="77777777" w:rsidR="00A04F8C" w:rsidRPr="00E30AE6" w:rsidRDefault="00A04F8C" w:rsidP="00E12C80">
    <w:pPr>
      <w:pStyle w:val="headerhead"/>
    </w:pPr>
    <w:r w:rsidRPr="00E30AE6">
      <w:t>Notes to and Forming Part of the Financial Statements - Territorial</w:t>
    </w:r>
  </w:p>
  <w:p w14:paraId="1071ED48" w14:textId="49645309" w:rsidR="00A04F8C" w:rsidRPr="00E30AE6" w:rsidRDefault="00A04F8C" w:rsidP="00E30AE6">
    <w:pPr>
      <w:pStyle w:val="headerhead"/>
      <w:spacing w:after="120"/>
    </w:pPr>
    <w:r w:rsidRPr="00E30AE6">
      <w:t xml:space="preserve">For the Year Ended 30 June </w:t>
    </w:r>
    <w:r w:rsidR="007156AA" w:rsidRPr="00E30AE6">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B907" w14:textId="77777777" w:rsidR="00A04F8C" w:rsidRDefault="00A04F8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51CA" w14:textId="1288CA9A" w:rsidR="00A04F8C" w:rsidRPr="00D26D9F" w:rsidRDefault="00A04F8C" w:rsidP="00D26D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1877" w14:textId="4B4248A6" w:rsidR="00A04F8C" w:rsidRPr="00574DE1" w:rsidRDefault="00A04F8C" w:rsidP="00574DE1">
    <w:pPr>
      <w:pStyle w:val="Header"/>
      <w:tabs>
        <w:tab w:val="clear" w:pos="4153"/>
        <w:tab w:val="clear" w:pos="8306"/>
        <w:tab w:val="left" w:pos="578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D2294" w14:textId="56C93D59" w:rsidR="00A04F8C" w:rsidRPr="0046389C" w:rsidRDefault="00A04F8C" w:rsidP="00574DE1">
    <w:pPr>
      <w:pStyle w:val="headerhead"/>
    </w:pPr>
    <w:r w:rsidRPr="0046389C">
      <w:t>‘</w:t>
    </w:r>
    <w:r w:rsidR="007D5C59" w:rsidRPr="0046389C">
      <w:t xml:space="preserve">BURLEY GRIFFIN </w:t>
    </w:r>
    <w:r w:rsidRPr="0046389C">
      <w:t>Agency’</w:t>
    </w:r>
  </w:p>
  <w:p w14:paraId="3FCE1CA1" w14:textId="224D28ED" w:rsidR="00A04F8C" w:rsidRPr="00574DE1" w:rsidRDefault="00A04F8C" w:rsidP="0046389C">
    <w:pPr>
      <w:pStyle w:val="headerhead"/>
      <w:spacing w:after="240"/>
    </w:pPr>
    <w:r w:rsidRPr="0046389C">
      <w:t>Financial Statements for the Year Ended 30 June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C646" w14:textId="37B00795" w:rsidR="00A04F8C" w:rsidRPr="0046389C" w:rsidRDefault="00A04F8C" w:rsidP="00F1706F">
    <w:pPr>
      <w:pStyle w:val="headerhead"/>
    </w:pPr>
    <w:r w:rsidRPr="0046389C">
      <w:t>‘</w:t>
    </w:r>
    <w:r w:rsidR="00836324" w:rsidRPr="0046389C">
      <w:t xml:space="preserve">Burley Griffin </w:t>
    </w:r>
    <w:r w:rsidRPr="0046389C">
      <w:t>Agency’</w:t>
    </w:r>
  </w:p>
  <w:p w14:paraId="6B3D354F" w14:textId="20726E9F" w:rsidR="00A04F8C" w:rsidRPr="0046389C" w:rsidRDefault="00A04F8C" w:rsidP="0046389C">
    <w:pPr>
      <w:pStyle w:val="headerhead"/>
      <w:spacing w:after="240"/>
    </w:pPr>
    <w:r w:rsidRPr="0046389C">
      <w:t>Financial Statements for the Year Ended 30 June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8E82" w14:textId="6EB0583B" w:rsidR="00A04F8C" w:rsidRPr="005D080D" w:rsidRDefault="00A04F8C" w:rsidP="002E2BFB">
    <w:pPr>
      <w:pStyle w:val="headerhead"/>
    </w:pPr>
    <w:r w:rsidRPr="005D080D">
      <w:t>‘</w:t>
    </w:r>
    <w:r w:rsidR="002F67B3" w:rsidRPr="005D080D">
      <w:t xml:space="preserve">Burley Griffin </w:t>
    </w:r>
    <w:r w:rsidRPr="005D080D">
      <w:t>Agency’</w:t>
    </w:r>
  </w:p>
  <w:p w14:paraId="04106705" w14:textId="0AA350F2" w:rsidR="00A04F8C" w:rsidRPr="00F1706F" w:rsidRDefault="00A04F8C" w:rsidP="00A26DB2">
    <w:pPr>
      <w:pStyle w:val="headerhead"/>
      <w:spacing w:after="240"/>
    </w:pPr>
    <w:r w:rsidRPr="005D080D">
      <w:t>Financial Statements for the Year Ended 30 June 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7DA3C" w14:textId="5CE6E761" w:rsidR="00A04F8C" w:rsidRPr="00A26DB2" w:rsidRDefault="00A04F8C" w:rsidP="00F1706F">
    <w:pPr>
      <w:pStyle w:val="headerhead"/>
    </w:pPr>
    <w:r w:rsidRPr="00A26DB2">
      <w:t>‘</w:t>
    </w:r>
    <w:r w:rsidR="00836324" w:rsidRPr="00A26DB2">
      <w:t xml:space="preserve">Burley Griffin </w:t>
    </w:r>
    <w:r w:rsidRPr="00A26DB2">
      <w:t>Agency’</w:t>
    </w:r>
  </w:p>
  <w:p w14:paraId="143C0AD6" w14:textId="457945E5" w:rsidR="00A04F8C" w:rsidRPr="00A26DB2" w:rsidRDefault="00A04F8C" w:rsidP="00A26DB2">
    <w:pPr>
      <w:pStyle w:val="headerhead"/>
      <w:spacing w:after="240"/>
    </w:pPr>
    <w:r w:rsidRPr="00A26DB2">
      <w:t>Financial Statements For the Year Ended 30 June 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9131B" w14:textId="1A3EF25C" w:rsidR="00A04F8C" w:rsidRPr="00E10D26" w:rsidRDefault="00A04F8C" w:rsidP="00AD56C6">
    <w:pPr>
      <w:pStyle w:val="headerhead"/>
    </w:pPr>
    <w:r w:rsidRPr="00E10D26">
      <w:t>‘</w:t>
    </w:r>
    <w:r w:rsidR="00836324" w:rsidRPr="00E10D26">
      <w:t xml:space="preserve">Burley Griffin </w:t>
    </w:r>
    <w:r w:rsidRPr="00E10D26">
      <w:t>Agency’</w:t>
    </w:r>
  </w:p>
  <w:p w14:paraId="6CFEC707" w14:textId="3283FC50" w:rsidR="00A04F8C" w:rsidRPr="00E10D26" w:rsidRDefault="00A04F8C" w:rsidP="008E2886">
    <w:pPr>
      <w:pStyle w:val="headerhead"/>
      <w:spacing w:after="240"/>
    </w:pPr>
    <w:r w:rsidRPr="00E10D26">
      <w:t>Financial Statements For the Year Ended 30 June 2022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C37D" w14:textId="2FD08A91" w:rsidR="00A04F8C" w:rsidRPr="008E2886" w:rsidRDefault="00A04F8C" w:rsidP="003C13E7">
    <w:pPr>
      <w:pStyle w:val="headerhead"/>
    </w:pPr>
    <w:r w:rsidRPr="008E2886">
      <w:t>‘</w:t>
    </w:r>
    <w:r w:rsidR="002F67B3" w:rsidRPr="008E2886">
      <w:t>Burley GrifFin</w:t>
    </w:r>
    <w:r w:rsidRPr="008E2886">
      <w:t xml:space="preserve"> Agency’</w:t>
    </w:r>
  </w:p>
  <w:p w14:paraId="04824B82" w14:textId="29C15CFE" w:rsidR="00A04F8C" w:rsidRPr="008E2886" w:rsidRDefault="00A04F8C" w:rsidP="008E2886">
    <w:pPr>
      <w:pStyle w:val="headerhead"/>
      <w:spacing w:after="240"/>
    </w:pPr>
    <w:r w:rsidRPr="008E2886">
      <w:t>Financial Statements For the Year Ended 30 June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4785"/>
    <w:multiLevelType w:val="hybridMultilevel"/>
    <w:tmpl w:val="85CA0D66"/>
    <w:lvl w:ilvl="0" w:tplc="8C284F4C">
      <w:start w:val="1"/>
      <w:numFmt w:val="bullet"/>
      <w:lvlText w:val=""/>
      <w:lvlJc w:val="left"/>
      <w:pPr>
        <w:tabs>
          <w:tab w:val="num" w:pos="360"/>
        </w:tabs>
        <w:ind w:left="360" w:hanging="360"/>
      </w:pPr>
      <w:rPr>
        <w:rFonts w:ascii="Symbol" w:hAnsi="Symbol" w:hint="default"/>
      </w:rPr>
    </w:lvl>
    <w:lvl w:ilvl="1" w:tplc="2C3678E6">
      <w:start w:val="1"/>
      <w:numFmt w:val="lowerRoman"/>
      <w:lvlText w:val="(%2)"/>
      <w:lvlJc w:val="left"/>
      <w:pPr>
        <w:tabs>
          <w:tab w:val="num" w:pos="1542"/>
        </w:tabs>
        <w:ind w:left="1542" w:hanging="720"/>
      </w:pPr>
      <w:rPr>
        <w:rFonts w:hint="default"/>
      </w:rPr>
    </w:lvl>
    <w:lvl w:ilvl="2" w:tplc="6DFE1B2C">
      <w:start w:val="1"/>
      <w:numFmt w:val="lowerLetter"/>
      <w:lvlText w:val="%3)"/>
      <w:lvlJc w:val="left"/>
      <w:pPr>
        <w:tabs>
          <w:tab w:val="num" w:pos="2082"/>
        </w:tabs>
        <w:ind w:left="2082" w:hanging="360"/>
      </w:pPr>
      <w:rPr>
        <w:rFonts w:hint="default"/>
      </w:rPr>
    </w:lvl>
    <w:lvl w:ilvl="3" w:tplc="0C09000F" w:tentative="1">
      <w:start w:val="1"/>
      <w:numFmt w:val="decimal"/>
      <w:lvlText w:val="%4."/>
      <w:lvlJc w:val="left"/>
      <w:pPr>
        <w:tabs>
          <w:tab w:val="num" w:pos="2622"/>
        </w:tabs>
        <w:ind w:left="2622" w:hanging="360"/>
      </w:pPr>
    </w:lvl>
    <w:lvl w:ilvl="4" w:tplc="0C090019" w:tentative="1">
      <w:start w:val="1"/>
      <w:numFmt w:val="lowerLetter"/>
      <w:lvlText w:val="%5."/>
      <w:lvlJc w:val="left"/>
      <w:pPr>
        <w:tabs>
          <w:tab w:val="num" w:pos="3342"/>
        </w:tabs>
        <w:ind w:left="3342" w:hanging="360"/>
      </w:pPr>
    </w:lvl>
    <w:lvl w:ilvl="5" w:tplc="0C09001B" w:tentative="1">
      <w:start w:val="1"/>
      <w:numFmt w:val="lowerRoman"/>
      <w:lvlText w:val="%6."/>
      <w:lvlJc w:val="right"/>
      <w:pPr>
        <w:tabs>
          <w:tab w:val="num" w:pos="4062"/>
        </w:tabs>
        <w:ind w:left="4062" w:hanging="180"/>
      </w:pPr>
    </w:lvl>
    <w:lvl w:ilvl="6" w:tplc="0C09000F" w:tentative="1">
      <w:start w:val="1"/>
      <w:numFmt w:val="decimal"/>
      <w:lvlText w:val="%7."/>
      <w:lvlJc w:val="left"/>
      <w:pPr>
        <w:tabs>
          <w:tab w:val="num" w:pos="4782"/>
        </w:tabs>
        <w:ind w:left="4782" w:hanging="360"/>
      </w:pPr>
    </w:lvl>
    <w:lvl w:ilvl="7" w:tplc="0C090019" w:tentative="1">
      <w:start w:val="1"/>
      <w:numFmt w:val="lowerLetter"/>
      <w:lvlText w:val="%8."/>
      <w:lvlJc w:val="left"/>
      <w:pPr>
        <w:tabs>
          <w:tab w:val="num" w:pos="5502"/>
        </w:tabs>
        <w:ind w:left="5502" w:hanging="360"/>
      </w:pPr>
    </w:lvl>
    <w:lvl w:ilvl="8" w:tplc="0C09001B" w:tentative="1">
      <w:start w:val="1"/>
      <w:numFmt w:val="lowerRoman"/>
      <w:lvlText w:val="%9."/>
      <w:lvlJc w:val="right"/>
      <w:pPr>
        <w:tabs>
          <w:tab w:val="num" w:pos="6222"/>
        </w:tabs>
        <w:ind w:left="6222" w:hanging="180"/>
      </w:pPr>
    </w:lvl>
  </w:abstractNum>
  <w:abstractNum w:abstractNumId="1" w15:restartNumberingAfterBreak="0">
    <w:nsid w:val="059B4D25"/>
    <w:multiLevelType w:val="hybridMultilevel"/>
    <w:tmpl w:val="A3A0AF70"/>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 w15:restartNumberingAfterBreak="0">
    <w:nsid w:val="0B1677CF"/>
    <w:multiLevelType w:val="hybridMultilevel"/>
    <w:tmpl w:val="2BE8CA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040DFE"/>
    <w:multiLevelType w:val="hybridMultilevel"/>
    <w:tmpl w:val="E69C81A8"/>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4" w15:restartNumberingAfterBreak="0">
    <w:nsid w:val="0DC60FF8"/>
    <w:multiLevelType w:val="hybridMultilevel"/>
    <w:tmpl w:val="CE3EBEB0"/>
    <w:lvl w:ilvl="0" w:tplc="A47CABF4">
      <w:start w:val="1"/>
      <w:numFmt w:val="lowerLetter"/>
      <w:lvlText w:val="(%1)"/>
      <w:lvlJc w:val="left"/>
      <w:pPr>
        <w:ind w:left="720" w:hanging="360"/>
      </w:pPr>
      <w:rPr>
        <w:rFonts w:asciiTheme="minorHAnsi" w:hAnsiTheme="minorHAnsi" w:hint="default"/>
        <w:sz w:val="20"/>
        <w:szCs w:val="20"/>
      </w:rPr>
    </w:lvl>
    <w:lvl w:ilvl="1" w:tplc="1AA0D2C0">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0B72D4"/>
    <w:multiLevelType w:val="hybridMultilevel"/>
    <w:tmpl w:val="1D7A5980"/>
    <w:lvl w:ilvl="0" w:tplc="ED18530A">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784AA8"/>
    <w:multiLevelType w:val="hybridMultilevel"/>
    <w:tmpl w:val="E036255C"/>
    <w:lvl w:ilvl="0" w:tplc="432C768C">
      <w:start w:val="2"/>
      <w:numFmt w:val="bullet"/>
      <w:lvlText w:val="-"/>
      <w:lvlJc w:val="left"/>
      <w:pPr>
        <w:ind w:left="1316" w:hanging="360"/>
      </w:pPr>
      <w:rPr>
        <w:rFonts w:ascii="Arial" w:hAnsi="Arial" w:hint="default"/>
        <w:strike w:val="0"/>
        <w:color w:val="auto"/>
      </w:rPr>
    </w:lvl>
    <w:lvl w:ilvl="1" w:tplc="0C090003">
      <w:start w:val="1"/>
      <w:numFmt w:val="bullet"/>
      <w:lvlText w:val="o"/>
      <w:lvlJc w:val="left"/>
      <w:pPr>
        <w:ind w:left="2036" w:hanging="360"/>
      </w:pPr>
      <w:rPr>
        <w:rFonts w:ascii="Courier New" w:hAnsi="Courier New" w:cs="Courier New" w:hint="default"/>
      </w:rPr>
    </w:lvl>
    <w:lvl w:ilvl="2" w:tplc="0C090005" w:tentative="1">
      <w:start w:val="1"/>
      <w:numFmt w:val="bullet"/>
      <w:lvlText w:val=""/>
      <w:lvlJc w:val="left"/>
      <w:pPr>
        <w:ind w:left="2756" w:hanging="360"/>
      </w:pPr>
      <w:rPr>
        <w:rFonts w:ascii="Wingdings" w:hAnsi="Wingdings" w:hint="default"/>
      </w:rPr>
    </w:lvl>
    <w:lvl w:ilvl="3" w:tplc="0C090001" w:tentative="1">
      <w:start w:val="1"/>
      <w:numFmt w:val="bullet"/>
      <w:lvlText w:val=""/>
      <w:lvlJc w:val="left"/>
      <w:pPr>
        <w:ind w:left="3476" w:hanging="360"/>
      </w:pPr>
      <w:rPr>
        <w:rFonts w:ascii="Symbol" w:hAnsi="Symbol" w:hint="default"/>
      </w:rPr>
    </w:lvl>
    <w:lvl w:ilvl="4" w:tplc="0C090003" w:tentative="1">
      <w:start w:val="1"/>
      <w:numFmt w:val="bullet"/>
      <w:lvlText w:val="o"/>
      <w:lvlJc w:val="left"/>
      <w:pPr>
        <w:ind w:left="4196" w:hanging="360"/>
      </w:pPr>
      <w:rPr>
        <w:rFonts w:ascii="Courier New" w:hAnsi="Courier New" w:cs="Courier New" w:hint="default"/>
      </w:rPr>
    </w:lvl>
    <w:lvl w:ilvl="5" w:tplc="0C090005" w:tentative="1">
      <w:start w:val="1"/>
      <w:numFmt w:val="bullet"/>
      <w:lvlText w:val=""/>
      <w:lvlJc w:val="left"/>
      <w:pPr>
        <w:ind w:left="4916" w:hanging="360"/>
      </w:pPr>
      <w:rPr>
        <w:rFonts w:ascii="Wingdings" w:hAnsi="Wingdings" w:hint="default"/>
      </w:rPr>
    </w:lvl>
    <w:lvl w:ilvl="6" w:tplc="0C090001" w:tentative="1">
      <w:start w:val="1"/>
      <w:numFmt w:val="bullet"/>
      <w:lvlText w:val=""/>
      <w:lvlJc w:val="left"/>
      <w:pPr>
        <w:ind w:left="5636" w:hanging="360"/>
      </w:pPr>
      <w:rPr>
        <w:rFonts w:ascii="Symbol" w:hAnsi="Symbol" w:hint="default"/>
      </w:rPr>
    </w:lvl>
    <w:lvl w:ilvl="7" w:tplc="0C090003" w:tentative="1">
      <w:start w:val="1"/>
      <w:numFmt w:val="bullet"/>
      <w:lvlText w:val="o"/>
      <w:lvlJc w:val="left"/>
      <w:pPr>
        <w:ind w:left="6356" w:hanging="360"/>
      </w:pPr>
      <w:rPr>
        <w:rFonts w:ascii="Courier New" w:hAnsi="Courier New" w:cs="Courier New" w:hint="default"/>
      </w:rPr>
    </w:lvl>
    <w:lvl w:ilvl="8" w:tplc="0C090005" w:tentative="1">
      <w:start w:val="1"/>
      <w:numFmt w:val="bullet"/>
      <w:lvlText w:val=""/>
      <w:lvlJc w:val="left"/>
      <w:pPr>
        <w:ind w:left="7076" w:hanging="360"/>
      </w:pPr>
      <w:rPr>
        <w:rFonts w:ascii="Wingdings" w:hAnsi="Wingdings" w:hint="default"/>
      </w:rPr>
    </w:lvl>
  </w:abstractNum>
  <w:abstractNum w:abstractNumId="7" w15:restartNumberingAfterBreak="0">
    <w:nsid w:val="1055427E"/>
    <w:multiLevelType w:val="hybridMultilevel"/>
    <w:tmpl w:val="AC2471C6"/>
    <w:lvl w:ilvl="0" w:tplc="4C6C5746">
      <w:start w:val="1"/>
      <w:numFmt w:val="lowerRoman"/>
      <w:lvlText w:val="(%1)"/>
      <w:lvlJc w:val="left"/>
      <w:pPr>
        <w:tabs>
          <w:tab w:val="num" w:pos="360"/>
        </w:tabs>
        <w:ind w:left="360" w:hanging="360"/>
      </w:pPr>
      <w:rPr>
        <w:rFonts w:ascii="Calibri" w:eastAsia="Times New Roman" w:hAnsi="Calibri" w:cs="Calibri"/>
      </w:rPr>
    </w:lvl>
    <w:lvl w:ilvl="1" w:tplc="04090003">
      <w:start w:val="1"/>
      <w:numFmt w:val="bullet"/>
      <w:lvlText w:val="o"/>
      <w:lvlJc w:val="left"/>
      <w:pPr>
        <w:tabs>
          <w:tab w:val="num" w:pos="1210"/>
        </w:tabs>
        <w:ind w:left="121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2D82F01"/>
    <w:multiLevelType w:val="hybridMultilevel"/>
    <w:tmpl w:val="58DECF1C"/>
    <w:lvl w:ilvl="0" w:tplc="E9C846E4">
      <w:start w:val="1"/>
      <w:numFmt w:val="lowerLetter"/>
      <w:pStyle w:val="ListBullet"/>
      <w:lvlText w:val="(%1)"/>
      <w:lvlJc w:val="left"/>
      <w:pPr>
        <w:tabs>
          <w:tab w:val="num" w:pos="360"/>
        </w:tabs>
        <w:ind w:left="360" w:hanging="360"/>
      </w:pPr>
    </w:lvl>
    <w:lvl w:ilvl="1" w:tplc="140C975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1314F0"/>
    <w:multiLevelType w:val="hybridMultilevel"/>
    <w:tmpl w:val="EF16A11E"/>
    <w:lvl w:ilvl="0" w:tplc="0C090001">
      <w:start w:val="1"/>
      <w:numFmt w:val="bullet"/>
      <w:lvlText w:val=""/>
      <w:lvlJc w:val="left"/>
      <w:pPr>
        <w:ind w:left="390" w:hanging="360"/>
      </w:pPr>
      <w:rPr>
        <w:rFonts w:ascii="Symbol" w:hAnsi="Symbol"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0" w15:restartNumberingAfterBreak="0">
    <w:nsid w:val="19C72C58"/>
    <w:multiLevelType w:val="hybridMultilevel"/>
    <w:tmpl w:val="E9E48DB4"/>
    <w:lvl w:ilvl="0" w:tplc="6DFE1B2C">
      <w:start w:val="1"/>
      <w:numFmt w:val="lowerLetter"/>
      <w:lvlText w:val="%1)"/>
      <w:lvlJc w:val="left"/>
      <w:pPr>
        <w:tabs>
          <w:tab w:val="num" w:pos="2340"/>
        </w:tabs>
        <w:ind w:left="2340" w:hanging="360"/>
      </w:pPr>
      <w:rPr>
        <w:rFonts w:hint="default"/>
      </w:rPr>
    </w:lvl>
    <w:lvl w:ilvl="1" w:tplc="0C090019" w:tentative="1">
      <w:start w:val="1"/>
      <w:numFmt w:val="lowerLetter"/>
      <w:lvlText w:val="%2."/>
      <w:lvlJc w:val="left"/>
      <w:pPr>
        <w:ind w:left="1698" w:hanging="360"/>
      </w:pPr>
    </w:lvl>
    <w:lvl w:ilvl="2" w:tplc="0C09001B" w:tentative="1">
      <w:start w:val="1"/>
      <w:numFmt w:val="lowerRoman"/>
      <w:lvlText w:val="%3."/>
      <w:lvlJc w:val="right"/>
      <w:pPr>
        <w:ind w:left="2418" w:hanging="180"/>
      </w:pPr>
    </w:lvl>
    <w:lvl w:ilvl="3" w:tplc="0C09000F" w:tentative="1">
      <w:start w:val="1"/>
      <w:numFmt w:val="decimal"/>
      <w:lvlText w:val="%4."/>
      <w:lvlJc w:val="left"/>
      <w:pPr>
        <w:ind w:left="3138" w:hanging="360"/>
      </w:pPr>
    </w:lvl>
    <w:lvl w:ilvl="4" w:tplc="0C090019" w:tentative="1">
      <w:start w:val="1"/>
      <w:numFmt w:val="lowerLetter"/>
      <w:lvlText w:val="%5."/>
      <w:lvlJc w:val="left"/>
      <w:pPr>
        <w:ind w:left="3858" w:hanging="360"/>
      </w:pPr>
    </w:lvl>
    <w:lvl w:ilvl="5" w:tplc="0C09001B" w:tentative="1">
      <w:start w:val="1"/>
      <w:numFmt w:val="lowerRoman"/>
      <w:lvlText w:val="%6."/>
      <w:lvlJc w:val="right"/>
      <w:pPr>
        <w:ind w:left="4578" w:hanging="180"/>
      </w:pPr>
    </w:lvl>
    <w:lvl w:ilvl="6" w:tplc="0C09000F" w:tentative="1">
      <w:start w:val="1"/>
      <w:numFmt w:val="decimal"/>
      <w:lvlText w:val="%7."/>
      <w:lvlJc w:val="left"/>
      <w:pPr>
        <w:ind w:left="5298" w:hanging="360"/>
      </w:pPr>
    </w:lvl>
    <w:lvl w:ilvl="7" w:tplc="0C090019" w:tentative="1">
      <w:start w:val="1"/>
      <w:numFmt w:val="lowerLetter"/>
      <w:lvlText w:val="%8."/>
      <w:lvlJc w:val="left"/>
      <w:pPr>
        <w:ind w:left="6018" w:hanging="360"/>
      </w:pPr>
    </w:lvl>
    <w:lvl w:ilvl="8" w:tplc="0C09001B" w:tentative="1">
      <w:start w:val="1"/>
      <w:numFmt w:val="lowerRoman"/>
      <w:lvlText w:val="%9."/>
      <w:lvlJc w:val="right"/>
      <w:pPr>
        <w:ind w:left="6738" w:hanging="180"/>
      </w:pPr>
    </w:lvl>
  </w:abstractNum>
  <w:abstractNum w:abstractNumId="11" w15:restartNumberingAfterBreak="0">
    <w:nsid w:val="1C04769C"/>
    <w:multiLevelType w:val="hybridMultilevel"/>
    <w:tmpl w:val="4B068888"/>
    <w:lvl w:ilvl="0" w:tplc="3A6A7CE8">
      <w:start w:val="1"/>
      <w:numFmt w:val="bullet"/>
      <w:pStyle w:val="SFDo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164102"/>
    <w:multiLevelType w:val="hybridMultilevel"/>
    <w:tmpl w:val="4C3CF27C"/>
    <w:lvl w:ilvl="0" w:tplc="EFDED202">
      <w:start w:val="1"/>
      <w:numFmt w:val="lowerRoman"/>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1F64C9"/>
    <w:multiLevelType w:val="hybridMultilevel"/>
    <w:tmpl w:val="86D40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9C3E38"/>
    <w:multiLevelType w:val="hybridMultilevel"/>
    <w:tmpl w:val="909EA8C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23A52C7A"/>
    <w:multiLevelType w:val="hybridMultilevel"/>
    <w:tmpl w:val="0BB44B9A"/>
    <w:lvl w:ilvl="0" w:tplc="F1587F22">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522070"/>
    <w:multiLevelType w:val="hybridMultilevel"/>
    <w:tmpl w:val="0442A65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CE6D1C"/>
    <w:multiLevelType w:val="hybridMultilevel"/>
    <w:tmpl w:val="35CE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DC0C0E"/>
    <w:multiLevelType w:val="hybridMultilevel"/>
    <w:tmpl w:val="DF682204"/>
    <w:lvl w:ilvl="0" w:tplc="0C090001">
      <w:start w:val="1"/>
      <w:numFmt w:val="bullet"/>
      <w:lvlText w:val=""/>
      <w:lvlJc w:val="left"/>
      <w:pPr>
        <w:ind w:left="720" w:hanging="360"/>
      </w:pPr>
      <w:rPr>
        <w:rFonts w:ascii="Symbol" w:hAnsi="Symbol" w:hint="default"/>
      </w:rPr>
    </w:lvl>
    <w:lvl w:ilvl="1" w:tplc="74CACDDA">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F30434"/>
    <w:multiLevelType w:val="hybridMultilevel"/>
    <w:tmpl w:val="FE1E6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D67604"/>
    <w:multiLevelType w:val="hybridMultilevel"/>
    <w:tmpl w:val="977AC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21" w15:restartNumberingAfterBreak="0">
    <w:nsid w:val="298471B9"/>
    <w:multiLevelType w:val="hybridMultilevel"/>
    <w:tmpl w:val="57026BAE"/>
    <w:lvl w:ilvl="0" w:tplc="E96C8AFE">
      <w:start w:val="1"/>
      <w:numFmt w:val="lowerRoman"/>
      <w:lvlText w:val="(%1)"/>
      <w:lvlJc w:val="left"/>
      <w:pPr>
        <w:tabs>
          <w:tab w:val="num" w:pos="1440"/>
        </w:tabs>
        <w:ind w:left="720" w:firstLine="0"/>
      </w:pPr>
      <w:rPr>
        <w:rFonts w:hint="default"/>
      </w:rPr>
    </w:lvl>
    <w:lvl w:ilvl="1" w:tplc="0C090003">
      <w:start w:val="1"/>
      <w:numFmt w:val="bullet"/>
      <w:lvlText w:val="o"/>
      <w:lvlJc w:val="left"/>
      <w:pPr>
        <w:tabs>
          <w:tab w:val="num" w:pos="674"/>
        </w:tabs>
        <w:ind w:left="674"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884AA7"/>
    <w:multiLevelType w:val="hybridMultilevel"/>
    <w:tmpl w:val="9AF0821A"/>
    <w:lvl w:ilvl="0" w:tplc="363E5A42">
      <w:start w:val="1"/>
      <w:numFmt w:val="lowerLetter"/>
      <w:lvlText w:val="%1)"/>
      <w:lvlJc w:val="left"/>
      <w:pPr>
        <w:tabs>
          <w:tab w:val="num" w:pos="360"/>
        </w:tabs>
        <w:ind w:left="360" w:hanging="360"/>
      </w:pPr>
      <w:rPr>
        <w:rFonts w:hint="default"/>
        <w:color w:val="auto"/>
      </w:rPr>
    </w:lvl>
    <w:lvl w:ilvl="1" w:tplc="8BE65CB6">
      <w:start w:val="1"/>
      <w:numFmt w:val="lowerRoman"/>
      <w:lvlText w:val="%2."/>
      <w:lvlJc w:val="right"/>
      <w:pPr>
        <w:tabs>
          <w:tab w:val="num" w:pos="928"/>
        </w:tabs>
        <w:ind w:left="928" w:hanging="360"/>
      </w:pPr>
      <w:rPr>
        <w:b w:val="0"/>
      </w:rPr>
    </w:lvl>
    <w:lvl w:ilvl="2" w:tplc="04090005">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23" w15:restartNumberingAfterBreak="0">
    <w:nsid w:val="2E6A566F"/>
    <w:multiLevelType w:val="hybridMultilevel"/>
    <w:tmpl w:val="7D827734"/>
    <w:lvl w:ilvl="0" w:tplc="773250FA">
      <w:start w:val="3"/>
      <w:numFmt w:val="decimal"/>
      <w:pStyle w:val="NoteTitle"/>
      <w:lvlText w:val="Note %1."/>
      <w:lvlJc w:val="left"/>
      <w:pPr>
        <w:tabs>
          <w:tab w:val="num" w:pos="1701"/>
        </w:tabs>
        <w:ind w:left="1701" w:hanging="1134"/>
      </w:pPr>
      <w:rPr>
        <w:rFonts w:hint="default"/>
        <w:b/>
        <w:caps/>
      </w:rPr>
    </w:lvl>
    <w:lvl w:ilvl="1" w:tplc="04090001">
      <w:start w:val="1"/>
      <w:numFmt w:val="bullet"/>
      <w:lvlText w:val=""/>
      <w:lvlJc w:val="left"/>
      <w:pPr>
        <w:tabs>
          <w:tab w:val="num" w:pos="-1794"/>
        </w:tabs>
        <w:ind w:left="-1794" w:hanging="360"/>
      </w:pPr>
      <w:rPr>
        <w:rFonts w:ascii="Symbol" w:hAnsi="Symbol" w:hint="default"/>
      </w:rPr>
    </w:lvl>
    <w:lvl w:ilvl="2" w:tplc="363E5A42">
      <w:start w:val="1"/>
      <w:numFmt w:val="lowerLetter"/>
      <w:lvlText w:val="%3)"/>
      <w:lvlJc w:val="left"/>
      <w:pPr>
        <w:tabs>
          <w:tab w:val="num" w:pos="-894"/>
        </w:tabs>
        <w:ind w:left="-894" w:hanging="360"/>
      </w:pPr>
      <w:rPr>
        <w:rFonts w:hint="default"/>
      </w:rPr>
    </w:lvl>
    <w:lvl w:ilvl="3" w:tplc="0409000F" w:tentative="1">
      <w:start w:val="1"/>
      <w:numFmt w:val="decimal"/>
      <w:lvlText w:val="%4."/>
      <w:lvlJc w:val="left"/>
      <w:pPr>
        <w:tabs>
          <w:tab w:val="num" w:pos="-354"/>
        </w:tabs>
        <w:ind w:left="-354" w:hanging="360"/>
      </w:pPr>
    </w:lvl>
    <w:lvl w:ilvl="4" w:tplc="04090019" w:tentative="1">
      <w:start w:val="1"/>
      <w:numFmt w:val="lowerLetter"/>
      <w:lvlText w:val="%5."/>
      <w:lvlJc w:val="left"/>
      <w:pPr>
        <w:tabs>
          <w:tab w:val="num" w:pos="366"/>
        </w:tabs>
        <w:ind w:left="366" w:hanging="360"/>
      </w:pPr>
    </w:lvl>
    <w:lvl w:ilvl="5" w:tplc="0409001B" w:tentative="1">
      <w:start w:val="1"/>
      <w:numFmt w:val="lowerRoman"/>
      <w:lvlText w:val="%6."/>
      <w:lvlJc w:val="right"/>
      <w:pPr>
        <w:tabs>
          <w:tab w:val="num" w:pos="1086"/>
        </w:tabs>
        <w:ind w:left="1086" w:hanging="180"/>
      </w:pPr>
    </w:lvl>
    <w:lvl w:ilvl="6" w:tplc="0409000F" w:tentative="1">
      <w:start w:val="1"/>
      <w:numFmt w:val="decimal"/>
      <w:lvlText w:val="%7."/>
      <w:lvlJc w:val="left"/>
      <w:pPr>
        <w:tabs>
          <w:tab w:val="num" w:pos="1806"/>
        </w:tabs>
        <w:ind w:left="1806" w:hanging="360"/>
      </w:pPr>
    </w:lvl>
    <w:lvl w:ilvl="7" w:tplc="04090019" w:tentative="1">
      <w:start w:val="1"/>
      <w:numFmt w:val="lowerLetter"/>
      <w:lvlText w:val="%8."/>
      <w:lvlJc w:val="left"/>
      <w:pPr>
        <w:tabs>
          <w:tab w:val="num" w:pos="2526"/>
        </w:tabs>
        <w:ind w:left="2526" w:hanging="360"/>
      </w:pPr>
    </w:lvl>
    <w:lvl w:ilvl="8" w:tplc="0409001B" w:tentative="1">
      <w:start w:val="1"/>
      <w:numFmt w:val="lowerRoman"/>
      <w:lvlText w:val="%9."/>
      <w:lvlJc w:val="right"/>
      <w:pPr>
        <w:tabs>
          <w:tab w:val="num" w:pos="3246"/>
        </w:tabs>
        <w:ind w:left="3246" w:hanging="180"/>
      </w:pPr>
    </w:lvl>
  </w:abstractNum>
  <w:abstractNum w:abstractNumId="24" w15:restartNumberingAfterBreak="0">
    <w:nsid w:val="30043F20"/>
    <w:multiLevelType w:val="hybridMultilevel"/>
    <w:tmpl w:val="C7C801F4"/>
    <w:lvl w:ilvl="0" w:tplc="6DFE1B2C">
      <w:start w:val="1"/>
      <w:numFmt w:val="lowerLetter"/>
      <w:lvlText w:val="%1)"/>
      <w:lvlJc w:val="left"/>
      <w:pPr>
        <w:tabs>
          <w:tab w:val="num" w:pos="2082"/>
        </w:tabs>
        <w:ind w:left="208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1B2B90"/>
    <w:multiLevelType w:val="hybridMultilevel"/>
    <w:tmpl w:val="CE960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9C3547"/>
    <w:multiLevelType w:val="hybridMultilevel"/>
    <w:tmpl w:val="3516F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2E66696"/>
    <w:multiLevelType w:val="hybridMultilevel"/>
    <w:tmpl w:val="79F07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981D25"/>
    <w:multiLevelType w:val="hybridMultilevel"/>
    <w:tmpl w:val="F72CD5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3B60B3C"/>
    <w:multiLevelType w:val="hybridMultilevel"/>
    <w:tmpl w:val="6AAA75BE"/>
    <w:lvl w:ilvl="0" w:tplc="04090003">
      <w:start w:val="1"/>
      <w:numFmt w:val="bullet"/>
      <w:lvlText w:val="o"/>
      <w:lvlJc w:val="left"/>
      <w:pPr>
        <w:tabs>
          <w:tab w:val="num" w:pos="360"/>
        </w:tabs>
        <w:ind w:left="360" w:hanging="360"/>
      </w:pPr>
      <w:rPr>
        <w:rFonts w:ascii="Courier New" w:hAnsi="Courier New" w:hint="default"/>
      </w:rPr>
    </w:lvl>
    <w:lvl w:ilvl="1" w:tplc="681EDC4E">
      <w:start w:val="3"/>
      <w:numFmt w:val="bullet"/>
      <w:lvlText w:val="-"/>
      <w:lvlJc w:val="left"/>
      <w:pPr>
        <w:tabs>
          <w:tab w:val="num" w:pos="1080"/>
        </w:tabs>
        <w:ind w:left="1080" w:hanging="360"/>
      </w:pPr>
      <w:rPr>
        <w:rFonts w:ascii="Times New Roman" w:eastAsia="Times New Roman" w:hAnsi="Times New Roman" w:cs="Times New Roman"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7A43F00"/>
    <w:multiLevelType w:val="hybridMultilevel"/>
    <w:tmpl w:val="3BCC825C"/>
    <w:lvl w:ilvl="0" w:tplc="DCB01058">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AC73D0"/>
    <w:multiLevelType w:val="hybridMultilevel"/>
    <w:tmpl w:val="BF90B11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84316C6"/>
    <w:multiLevelType w:val="hybridMultilevel"/>
    <w:tmpl w:val="E636313C"/>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A36C45"/>
    <w:multiLevelType w:val="hybridMultilevel"/>
    <w:tmpl w:val="9D2AE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B5E3A11"/>
    <w:multiLevelType w:val="hybridMultilevel"/>
    <w:tmpl w:val="5C5A70EA"/>
    <w:lvl w:ilvl="0" w:tplc="B5364FFE">
      <w:start w:val="1"/>
      <w:numFmt w:val="lowerLetter"/>
      <w:lvlText w:val="(%1)"/>
      <w:lvlJc w:val="left"/>
      <w:pPr>
        <w:ind w:left="652" w:hanging="360"/>
      </w:pPr>
      <w:rPr>
        <w:rFonts w:hint="default"/>
      </w:rPr>
    </w:lvl>
    <w:lvl w:ilvl="1" w:tplc="0C090019" w:tentative="1">
      <w:start w:val="1"/>
      <w:numFmt w:val="lowerLetter"/>
      <w:lvlText w:val="%2."/>
      <w:lvlJc w:val="left"/>
      <w:pPr>
        <w:ind w:left="1372" w:hanging="360"/>
      </w:pPr>
    </w:lvl>
    <w:lvl w:ilvl="2" w:tplc="0C09001B" w:tentative="1">
      <w:start w:val="1"/>
      <w:numFmt w:val="lowerRoman"/>
      <w:lvlText w:val="%3."/>
      <w:lvlJc w:val="right"/>
      <w:pPr>
        <w:ind w:left="2092" w:hanging="180"/>
      </w:pPr>
    </w:lvl>
    <w:lvl w:ilvl="3" w:tplc="0C09000F" w:tentative="1">
      <w:start w:val="1"/>
      <w:numFmt w:val="decimal"/>
      <w:lvlText w:val="%4."/>
      <w:lvlJc w:val="left"/>
      <w:pPr>
        <w:ind w:left="2812" w:hanging="360"/>
      </w:pPr>
    </w:lvl>
    <w:lvl w:ilvl="4" w:tplc="0C090019" w:tentative="1">
      <w:start w:val="1"/>
      <w:numFmt w:val="lowerLetter"/>
      <w:lvlText w:val="%5."/>
      <w:lvlJc w:val="left"/>
      <w:pPr>
        <w:ind w:left="3532" w:hanging="360"/>
      </w:pPr>
    </w:lvl>
    <w:lvl w:ilvl="5" w:tplc="0C09001B" w:tentative="1">
      <w:start w:val="1"/>
      <w:numFmt w:val="lowerRoman"/>
      <w:lvlText w:val="%6."/>
      <w:lvlJc w:val="right"/>
      <w:pPr>
        <w:ind w:left="4252" w:hanging="180"/>
      </w:pPr>
    </w:lvl>
    <w:lvl w:ilvl="6" w:tplc="0C09000F" w:tentative="1">
      <w:start w:val="1"/>
      <w:numFmt w:val="decimal"/>
      <w:lvlText w:val="%7."/>
      <w:lvlJc w:val="left"/>
      <w:pPr>
        <w:ind w:left="4972" w:hanging="360"/>
      </w:pPr>
    </w:lvl>
    <w:lvl w:ilvl="7" w:tplc="0C090019" w:tentative="1">
      <w:start w:val="1"/>
      <w:numFmt w:val="lowerLetter"/>
      <w:lvlText w:val="%8."/>
      <w:lvlJc w:val="left"/>
      <w:pPr>
        <w:ind w:left="5692" w:hanging="360"/>
      </w:pPr>
    </w:lvl>
    <w:lvl w:ilvl="8" w:tplc="0C09001B" w:tentative="1">
      <w:start w:val="1"/>
      <w:numFmt w:val="lowerRoman"/>
      <w:lvlText w:val="%9."/>
      <w:lvlJc w:val="right"/>
      <w:pPr>
        <w:ind w:left="6412" w:hanging="180"/>
      </w:pPr>
    </w:lvl>
  </w:abstractNum>
  <w:abstractNum w:abstractNumId="35" w15:restartNumberingAfterBreak="0">
    <w:nsid w:val="3B991A12"/>
    <w:multiLevelType w:val="hybridMultilevel"/>
    <w:tmpl w:val="E34208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D8E266D"/>
    <w:multiLevelType w:val="hybridMultilevel"/>
    <w:tmpl w:val="E916B14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EE76502"/>
    <w:multiLevelType w:val="hybridMultilevel"/>
    <w:tmpl w:val="B62423A6"/>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AF52B4"/>
    <w:multiLevelType w:val="hybridMultilevel"/>
    <w:tmpl w:val="1EA035D8"/>
    <w:lvl w:ilvl="0" w:tplc="363E5A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02B6E9A"/>
    <w:multiLevelType w:val="hybridMultilevel"/>
    <w:tmpl w:val="AC5272CC"/>
    <w:lvl w:ilvl="0" w:tplc="FEA6C046">
      <w:start w:val="1"/>
      <w:numFmt w:val="bullet"/>
      <w:pStyle w:val="Commentary-Bullet"/>
      <w:lvlText w:val=""/>
      <w:lvlJc w:val="left"/>
      <w:pPr>
        <w:tabs>
          <w:tab w:val="num" w:pos="502"/>
        </w:tabs>
        <w:ind w:left="502" w:hanging="360"/>
      </w:pPr>
      <w:rPr>
        <w:rFonts w:ascii="Symbol" w:hAnsi="Symbol" w:hint="default"/>
      </w:rPr>
    </w:lvl>
    <w:lvl w:ilvl="1" w:tplc="04090003">
      <w:start w:val="1"/>
      <w:numFmt w:val="bullet"/>
      <w:lvlText w:val="o"/>
      <w:lvlJc w:val="left"/>
      <w:pPr>
        <w:tabs>
          <w:tab w:val="num" w:pos="751"/>
        </w:tabs>
        <w:ind w:left="751"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3A12984"/>
    <w:multiLevelType w:val="hybridMultilevel"/>
    <w:tmpl w:val="3C864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4D43923"/>
    <w:multiLevelType w:val="hybridMultilevel"/>
    <w:tmpl w:val="8A7E8D94"/>
    <w:lvl w:ilvl="0" w:tplc="B6B847A2">
      <w:start w:val="1"/>
      <w:numFmt w:val="bullet"/>
      <w:lvlText w:val=""/>
      <w:lvlJc w:val="left"/>
      <w:pPr>
        <w:ind w:left="502" w:hanging="360"/>
      </w:pPr>
      <w:rPr>
        <w:rFonts w:ascii="Symbol" w:hAnsi="Symbol" w:hint="default"/>
        <w:color w:val="0F243E"/>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2" w15:restartNumberingAfterBreak="0">
    <w:nsid w:val="4B4B4313"/>
    <w:multiLevelType w:val="hybridMultilevel"/>
    <w:tmpl w:val="F1201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F8A2515"/>
    <w:multiLevelType w:val="hybridMultilevel"/>
    <w:tmpl w:val="00809D10"/>
    <w:lvl w:ilvl="0" w:tplc="E098BD60">
      <w:start w:val="1"/>
      <w:numFmt w:val="bullet"/>
      <w:lvlText w:val=""/>
      <w:lvlJc w:val="left"/>
      <w:pPr>
        <w:ind w:left="502" w:hanging="360"/>
      </w:pPr>
      <w:rPr>
        <w:rFonts w:ascii="Symbol" w:hAnsi="Symbol" w:hint="default"/>
        <w:color w:val="auto"/>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4" w15:restartNumberingAfterBreak="0">
    <w:nsid w:val="5017523F"/>
    <w:multiLevelType w:val="hybridMultilevel"/>
    <w:tmpl w:val="DD6C1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02D06F1"/>
    <w:multiLevelType w:val="multilevel"/>
    <w:tmpl w:val="269235D6"/>
    <w:lvl w:ilvl="0">
      <w:start w:val="1"/>
      <w:numFmt w:val="decimal"/>
      <w:pStyle w:val="Heading1"/>
      <w:lvlText w:val="%1."/>
      <w:lvlJc w:val="left"/>
      <w:pPr>
        <w:tabs>
          <w:tab w:val="num" w:pos="1134"/>
        </w:tabs>
        <w:ind w:left="1134" w:hanging="1134"/>
      </w:pPr>
      <w:rPr>
        <w:rFonts w:ascii="Calibri" w:eastAsia="Calibri" w:hAnsi="Calibri"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418"/>
        </w:tabs>
        <w:ind w:left="680" w:hanging="680"/>
      </w:pPr>
      <w:rPr>
        <w:rFonts w:hint="default"/>
        <w:color w:val="auto"/>
      </w:rPr>
    </w:lvl>
    <w:lvl w:ilvl="2">
      <w:start w:val="1"/>
      <w:numFmt w:val="decimal"/>
      <w:pStyle w:val="Heading3"/>
      <w:lvlText w:val="%1.%2.%3"/>
      <w:lvlJc w:val="left"/>
      <w:pPr>
        <w:tabs>
          <w:tab w:val="num" w:pos="4114"/>
        </w:tabs>
        <w:ind w:left="2553" w:hanging="851"/>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6" w15:restartNumberingAfterBreak="0">
    <w:nsid w:val="54F46A8A"/>
    <w:multiLevelType w:val="hybridMultilevel"/>
    <w:tmpl w:val="E570968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47" w15:restartNumberingAfterBreak="0">
    <w:nsid w:val="5733183A"/>
    <w:multiLevelType w:val="hybridMultilevel"/>
    <w:tmpl w:val="24B0C5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775721D"/>
    <w:multiLevelType w:val="hybridMultilevel"/>
    <w:tmpl w:val="9FA287AA"/>
    <w:lvl w:ilvl="0" w:tplc="04090001">
      <w:start w:val="1"/>
      <w:numFmt w:val="bullet"/>
      <w:lvlText w:val=""/>
      <w:lvlJc w:val="left"/>
      <w:pPr>
        <w:tabs>
          <w:tab w:val="num" w:pos="790"/>
        </w:tabs>
        <w:ind w:left="7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FE7AF6"/>
    <w:multiLevelType w:val="hybridMultilevel"/>
    <w:tmpl w:val="DAEE5FDA"/>
    <w:lvl w:ilvl="0" w:tplc="B23EA472">
      <w:start w:val="1"/>
      <w:numFmt w:val="lowerRoman"/>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5D6075C7"/>
    <w:multiLevelType w:val="hybridMultilevel"/>
    <w:tmpl w:val="19C884F6"/>
    <w:lvl w:ilvl="0" w:tplc="8FF667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E7B6CF8"/>
    <w:multiLevelType w:val="hybridMultilevel"/>
    <w:tmpl w:val="68C83928"/>
    <w:lvl w:ilvl="0" w:tplc="157CADD6">
      <w:start w:val="1"/>
      <w:numFmt w:val="bullet"/>
      <w:lvlText w:val=""/>
      <w:lvlJc w:val="righ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5FE361A8"/>
    <w:multiLevelType w:val="hybridMultilevel"/>
    <w:tmpl w:val="9A923E62"/>
    <w:lvl w:ilvl="0" w:tplc="E96C8AFE">
      <w:start w:val="1"/>
      <w:numFmt w:val="lowerRoman"/>
      <w:pStyle w:val="NotesNumber"/>
      <w:lvlText w:val="(%1)"/>
      <w:lvlJc w:val="left"/>
      <w:pPr>
        <w:tabs>
          <w:tab w:val="num" w:pos="1428"/>
        </w:tabs>
        <w:ind w:left="708" w:firstLine="0"/>
      </w:pPr>
      <w:rPr>
        <w:rFonts w:hint="default"/>
      </w:rPr>
    </w:lvl>
    <w:lvl w:ilvl="1" w:tplc="04090019">
      <w:start w:val="1"/>
      <w:numFmt w:val="lowerLetter"/>
      <w:lvlText w:val="%2."/>
      <w:lvlJc w:val="left"/>
      <w:pPr>
        <w:tabs>
          <w:tab w:val="num" w:pos="1004"/>
        </w:tabs>
        <w:ind w:left="1004" w:hanging="360"/>
      </w:pPr>
    </w:lvl>
    <w:lvl w:ilvl="2" w:tplc="0409001B">
      <w:start w:val="1"/>
      <w:numFmt w:val="lowerRoman"/>
      <w:lvlText w:val="%3."/>
      <w:lvlJc w:val="right"/>
      <w:pPr>
        <w:tabs>
          <w:tab w:val="num" w:pos="1724"/>
        </w:tabs>
        <w:ind w:left="1724" w:hanging="180"/>
      </w:pPr>
    </w:lvl>
    <w:lvl w:ilvl="3" w:tplc="0409000F" w:tentative="1">
      <w:start w:val="1"/>
      <w:numFmt w:val="decimal"/>
      <w:lvlText w:val="%4."/>
      <w:lvlJc w:val="left"/>
      <w:pPr>
        <w:tabs>
          <w:tab w:val="num" w:pos="2444"/>
        </w:tabs>
        <w:ind w:left="2444" w:hanging="360"/>
      </w:pPr>
    </w:lvl>
    <w:lvl w:ilvl="4" w:tplc="04090019" w:tentative="1">
      <w:start w:val="1"/>
      <w:numFmt w:val="lowerLetter"/>
      <w:lvlText w:val="%5."/>
      <w:lvlJc w:val="left"/>
      <w:pPr>
        <w:tabs>
          <w:tab w:val="num" w:pos="3164"/>
        </w:tabs>
        <w:ind w:left="3164" w:hanging="360"/>
      </w:pPr>
    </w:lvl>
    <w:lvl w:ilvl="5" w:tplc="0409001B" w:tentative="1">
      <w:start w:val="1"/>
      <w:numFmt w:val="lowerRoman"/>
      <w:lvlText w:val="%6."/>
      <w:lvlJc w:val="right"/>
      <w:pPr>
        <w:tabs>
          <w:tab w:val="num" w:pos="3884"/>
        </w:tabs>
        <w:ind w:left="3884" w:hanging="180"/>
      </w:pPr>
    </w:lvl>
    <w:lvl w:ilvl="6" w:tplc="0409000F" w:tentative="1">
      <w:start w:val="1"/>
      <w:numFmt w:val="decimal"/>
      <w:lvlText w:val="%7."/>
      <w:lvlJc w:val="left"/>
      <w:pPr>
        <w:tabs>
          <w:tab w:val="num" w:pos="4604"/>
        </w:tabs>
        <w:ind w:left="4604" w:hanging="360"/>
      </w:pPr>
    </w:lvl>
    <w:lvl w:ilvl="7" w:tplc="04090019" w:tentative="1">
      <w:start w:val="1"/>
      <w:numFmt w:val="lowerLetter"/>
      <w:lvlText w:val="%8."/>
      <w:lvlJc w:val="left"/>
      <w:pPr>
        <w:tabs>
          <w:tab w:val="num" w:pos="5324"/>
        </w:tabs>
        <w:ind w:left="5324" w:hanging="360"/>
      </w:pPr>
    </w:lvl>
    <w:lvl w:ilvl="8" w:tplc="0409001B" w:tentative="1">
      <w:start w:val="1"/>
      <w:numFmt w:val="lowerRoman"/>
      <w:lvlText w:val="%9."/>
      <w:lvlJc w:val="right"/>
      <w:pPr>
        <w:tabs>
          <w:tab w:val="num" w:pos="6044"/>
        </w:tabs>
        <w:ind w:left="6044" w:hanging="180"/>
      </w:pPr>
    </w:lvl>
  </w:abstractNum>
  <w:abstractNum w:abstractNumId="53" w15:restartNumberingAfterBreak="0">
    <w:nsid w:val="617A5E48"/>
    <w:multiLevelType w:val="hybridMultilevel"/>
    <w:tmpl w:val="56904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1B232F1"/>
    <w:multiLevelType w:val="hybridMultilevel"/>
    <w:tmpl w:val="13F87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1B94AE6"/>
    <w:multiLevelType w:val="hybridMultilevel"/>
    <w:tmpl w:val="384652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62703602"/>
    <w:multiLevelType w:val="hybridMultilevel"/>
    <w:tmpl w:val="43E89E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64893582"/>
    <w:multiLevelType w:val="hybridMultilevel"/>
    <w:tmpl w:val="2E8E4BD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8" w15:restartNumberingAfterBreak="0">
    <w:nsid w:val="667D05DD"/>
    <w:multiLevelType w:val="hybridMultilevel"/>
    <w:tmpl w:val="2F1A576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6EA7AD7"/>
    <w:multiLevelType w:val="hybridMultilevel"/>
    <w:tmpl w:val="2ADA3F2C"/>
    <w:lvl w:ilvl="0" w:tplc="D12E7454">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211"/>
        </w:tabs>
        <w:ind w:left="1211"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6945486F"/>
    <w:multiLevelType w:val="hybridMultilevel"/>
    <w:tmpl w:val="BF64F9BC"/>
    <w:lvl w:ilvl="0" w:tplc="0C090001">
      <w:start w:val="1"/>
      <w:numFmt w:val="bullet"/>
      <w:lvlText w:val=""/>
      <w:lvlJc w:val="left"/>
      <w:pPr>
        <w:tabs>
          <w:tab w:val="num" w:pos="417"/>
        </w:tabs>
        <w:ind w:left="417" w:hanging="360"/>
      </w:pPr>
      <w:rPr>
        <w:rFonts w:ascii="Symbol" w:hAnsi="Symbol" w:hint="default"/>
      </w:rPr>
    </w:lvl>
    <w:lvl w:ilvl="1" w:tplc="48520938">
      <w:start w:val="1"/>
      <w:numFmt w:val="lowerRoman"/>
      <w:lvlText w:val="%2."/>
      <w:lvlJc w:val="left"/>
      <w:pPr>
        <w:ind w:left="1542" w:hanging="720"/>
      </w:pPr>
      <w:rPr>
        <w:rFonts w:hint="default"/>
      </w:rPr>
    </w:lvl>
    <w:lvl w:ilvl="2" w:tplc="0C09001B" w:tentative="1">
      <w:start w:val="1"/>
      <w:numFmt w:val="lowerRoman"/>
      <w:lvlText w:val="%3."/>
      <w:lvlJc w:val="right"/>
      <w:pPr>
        <w:tabs>
          <w:tab w:val="num" w:pos="1902"/>
        </w:tabs>
        <w:ind w:left="1902" w:hanging="180"/>
      </w:pPr>
    </w:lvl>
    <w:lvl w:ilvl="3" w:tplc="0C09000F" w:tentative="1">
      <w:start w:val="1"/>
      <w:numFmt w:val="decimal"/>
      <w:lvlText w:val="%4."/>
      <w:lvlJc w:val="left"/>
      <w:pPr>
        <w:tabs>
          <w:tab w:val="num" w:pos="2622"/>
        </w:tabs>
        <w:ind w:left="2622" w:hanging="360"/>
      </w:pPr>
    </w:lvl>
    <w:lvl w:ilvl="4" w:tplc="0C090019" w:tentative="1">
      <w:start w:val="1"/>
      <w:numFmt w:val="lowerLetter"/>
      <w:lvlText w:val="%5."/>
      <w:lvlJc w:val="left"/>
      <w:pPr>
        <w:tabs>
          <w:tab w:val="num" w:pos="3342"/>
        </w:tabs>
        <w:ind w:left="3342" w:hanging="360"/>
      </w:pPr>
    </w:lvl>
    <w:lvl w:ilvl="5" w:tplc="0C09001B" w:tentative="1">
      <w:start w:val="1"/>
      <w:numFmt w:val="lowerRoman"/>
      <w:lvlText w:val="%6."/>
      <w:lvlJc w:val="right"/>
      <w:pPr>
        <w:tabs>
          <w:tab w:val="num" w:pos="4062"/>
        </w:tabs>
        <w:ind w:left="4062" w:hanging="180"/>
      </w:pPr>
    </w:lvl>
    <w:lvl w:ilvl="6" w:tplc="0C09000F" w:tentative="1">
      <w:start w:val="1"/>
      <w:numFmt w:val="decimal"/>
      <w:lvlText w:val="%7."/>
      <w:lvlJc w:val="left"/>
      <w:pPr>
        <w:tabs>
          <w:tab w:val="num" w:pos="4782"/>
        </w:tabs>
        <w:ind w:left="4782" w:hanging="360"/>
      </w:pPr>
    </w:lvl>
    <w:lvl w:ilvl="7" w:tplc="0C090019" w:tentative="1">
      <w:start w:val="1"/>
      <w:numFmt w:val="lowerLetter"/>
      <w:lvlText w:val="%8."/>
      <w:lvlJc w:val="left"/>
      <w:pPr>
        <w:tabs>
          <w:tab w:val="num" w:pos="5502"/>
        </w:tabs>
        <w:ind w:left="5502" w:hanging="360"/>
      </w:pPr>
    </w:lvl>
    <w:lvl w:ilvl="8" w:tplc="0C09001B" w:tentative="1">
      <w:start w:val="1"/>
      <w:numFmt w:val="lowerRoman"/>
      <w:lvlText w:val="%9."/>
      <w:lvlJc w:val="right"/>
      <w:pPr>
        <w:tabs>
          <w:tab w:val="num" w:pos="6222"/>
        </w:tabs>
        <w:ind w:left="6222" w:hanging="180"/>
      </w:pPr>
    </w:lvl>
  </w:abstractNum>
  <w:abstractNum w:abstractNumId="62" w15:restartNumberingAfterBreak="0">
    <w:nsid w:val="6B0A3D09"/>
    <w:multiLevelType w:val="hybridMultilevel"/>
    <w:tmpl w:val="90B2A14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E8B25C4"/>
    <w:multiLevelType w:val="hybridMultilevel"/>
    <w:tmpl w:val="E5D80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0EA00A5"/>
    <w:multiLevelType w:val="hybridMultilevel"/>
    <w:tmpl w:val="F2FA0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7B609B"/>
    <w:multiLevelType w:val="hybridMultilevel"/>
    <w:tmpl w:val="2252218A"/>
    <w:lvl w:ilvl="0" w:tplc="0C090003">
      <w:start w:val="1"/>
      <w:numFmt w:val="bullet"/>
      <w:lvlText w:val="o"/>
      <w:lvlJc w:val="left"/>
      <w:pPr>
        <w:ind w:left="1041" w:hanging="360"/>
      </w:pPr>
      <w:rPr>
        <w:rFonts w:ascii="Courier New" w:hAnsi="Courier New" w:cs="Courier New"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66" w15:restartNumberingAfterBreak="0">
    <w:nsid w:val="75F804A9"/>
    <w:multiLevelType w:val="hybridMultilevel"/>
    <w:tmpl w:val="EBFE1A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64E6E15"/>
    <w:multiLevelType w:val="hybridMultilevel"/>
    <w:tmpl w:val="B90EC21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68" w15:restartNumberingAfterBreak="0">
    <w:nsid w:val="766134D6"/>
    <w:multiLevelType w:val="hybridMultilevel"/>
    <w:tmpl w:val="7B7A8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6E92ACA"/>
    <w:multiLevelType w:val="hybridMultilevel"/>
    <w:tmpl w:val="71564C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8801E32"/>
    <w:multiLevelType w:val="hybridMultilevel"/>
    <w:tmpl w:val="3E54A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78F80A49"/>
    <w:multiLevelType w:val="hybridMultilevel"/>
    <w:tmpl w:val="3D1A8DEA"/>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C440927"/>
    <w:multiLevelType w:val="hybridMultilevel"/>
    <w:tmpl w:val="36CA509A"/>
    <w:lvl w:ilvl="0" w:tplc="6E54E720">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7C5B0A46"/>
    <w:multiLevelType w:val="hybridMultilevel"/>
    <w:tmpl w:val="B54CCB3A"/>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4" w15:restartNumberingAfterBreak="0">
    <w:nsid w:val="7CDF562C"/>
    <w:multiLevelType w:val="hybridMultilevel"/>
    <w:tmpl w:val="2A94E1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7EB25172"/>
    <w:multiLevelType w:val="hybridMultilevel"/>
    <w:tmpl w:val="19C884F6"/>
    <w:lvl w:ilvl="0" w:tplc="8FF6677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ED927EE"/>
    <w:multiLevelType w:val="hybridMultilevel"/>
    <w:tmpl w:val="07AA8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F193609"/>
    <w:multiLevelType w:val="hybridMultilevel"/>
    <w:tmpl w:val="627ED9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868683818">
    <w:abstractNumId w:val="39"/>
  </w:num>
  <w:num w:numId="2" w16cid:durableId="1765879025">
    <w:abstractNumId w:val="23"/>
  </w:num>
  <w:num w:numId="3" w16cid:durableId="1635453301">
    <w:abstractNumId w:val="52"/>
  </w:num>
  <w:num w:numId="4" w16cid:durableId="65105885">
    <w:abstractNumId w:val="45"/>
  </w:num>
  <w:num w:numId="5" w16cid:durableId="1428967076">
    <w:abstractNumId w:val="8"/>
  </w:num>
  <w:num w:numId="6" w16cid:durableId="1453087565">
    <w:abstractNumId w:val="48"/>
  </w:num>
  <w:num w:numId="7" w16cid:durableId="890381313">
    <w:abstractNumId w:val="7"/>
  </w:num>
  <w:num w:numId="8" w16cid:durableId="158414">
    <w:abstractNumId w:val="56"/>
  </w:num>
  <w:num w:numId="9" w16cid:durableId="1634090634">
    <w:abstractNumId w:val="44"/>
  </w:num>
  <w:num w:numId="10" w16cid:durableId="1021275140">
    <w:abstractNumId w:val="40"/>
  </w:num>
  <w:num w:numId="11" w16cid:durableId="593247472">
    <w:abstractNumId w:val="19"/>
  </w:num>
  <w:num w:numId="12" w16cid:durableId="1959025071">
    <w:abstractNumId w:val="51"/>
  </w:num>
  <w:num w:numId="13" w16cid:durableId="1077216270">
    <w:abstractNumId w:val="23"/>
  </w:num>
  <w:num w:numId="14" w16cid:durableId="1531724508">
    <w:abstractNumId w:val="66"/>
  </w:num>
  <w:num w:numId="15" w16cid:durableId="1682655952">
    <w:abstractNumId w:val="77"/>
  </w:num>
  <w:num w:numId="16" w16cid:durableId="1163737790">
    <w:abstractNumId w:val="37"/>
  </w:num>
  <w:num w:numId="17" w16cid:durableId="1187214346">
    <w:abstractNumId w:val="71"/>
  </w:num>
  <w:num w:numId="18" w16cid:durableId="510216130">
    <w:abstractNumId w:val="1"/>
  </w:num>
  <w:num w:numId="19" w16cid:durableId="462771061">
    <w:abstractNumId w:val="73"/>
  </w:num>
  <w:num w:numId="20" w16cid:durableId="295726415">
    <w:abstractNumId w:val="3"/>
  </w:num>
  <w:num w:numId="21" w16cid:durableId="1624843219">
    <w:abstractNumId w:val="32"/>
  </w:num>
  <w:num w:numId="22" w16cid:durableId="103506542">
    <w:abstractNumId w:val="61"/>
  </w:num>
  <w:num w:numId="23" w16cid:durableId="1990665972">
    <w:abstractNumId w:val="0"/>
  </w:num>
  <w:num w:numId="24" w16cid:durableId="620108796">
    <w:abstractNumId w:val="58"/>
  </w:num>
  <w:num w:numId="25" w16cid:durableId="1822234274">
    <w:abstractNumId w:val="21"/>
  </w:num>
  <w:num w:numId="26" w16cid:durableId="1784954908">
    <w:abstractNumId w:val="5"/>
  </w:num>
  <w:num w:numId="27" w16cid:durableId="374889077">
    <w:abstractNumId w:val="2"/>
  </w:num>
  <w:num w:numId="28" w16cid:durableId="197208684">
    <w:abstractNumId w:val="69"/>
  </w:num>
  <w:num w:numId="29" w16cid:durableId="191767699">
    <w:abstractNumId w:val="70"/>
  </w:num>
  <w:num w:numId="30" w16cid:durableId="594748505">
    <w:abstractNumId w:val="47"/>
  </w:num>
  <w:num w:numId="31" w16cid:durableId="641735245">
    <w:abstractNumId w:val="67"/>
  </w:num>
  <w:num w:numId="32" w16cid:durableId="858616927">
    <w:abstractNumId w:val="20"/>
  </w:num>
  <w:num w:numId="33" w16cid:durableId="766853776">
    <w:abstractNumId w:val="46"/>
  </w:num>
  <w:num w:numId="34" w16cid:durableId="1627203367">
    <w:abstractNumId w:val="18"/>
  </w:num>
  <w:num w:numId="35" w16cid:durableId="5526859">
    <w:abstractNumId w:val="17"/>
  </w:num>
  <w:num w:numId="36" w16cid:durableId="793912171">
    <w:abstractNumId w:val="68"/>
  </w:num>
  <w:num w:numId="37" w16cid:durableId="322778128">
    <w:abstractNumId w:val="4"/>
  </w:num>
  <w:num w:numId="38" w16cid:durableId="496772528">
    <w:abstractNumId w:val="72"/>
  </w:num>
  <w:num w:numId="39" w16cid:durableId="740055229">
    <w:abstractNumId w:val="49"/>
  </w:num>
  <w:num w:numId="40" w16cid:durableId="798914500">
    <w:abstractNumId w:val="41"/>
  </w:num>
  <w:num w:numId="41" w16cid:durableId="1761946836">
    <w:abstractNumId w:val="43"/>
  </w:num>
  <w:num w:numId="42" w16cid:durableId="168833370">
    <w:abstractNumId w:val="14"/>
  </w:num>
  <w:num w:numId="43" w16cid:durableId="1596740961">
    <w:abstractNumId w:val="59"/>
  </w:num>
  <w:num w:numId="44" w16cid:durableId="1251356362">
    <w:abstractNumId w:val="57"/>
  </w:num>
  <w:num w:numId="45" w16cid:durableId="1572042842">
    <w:abstractNumId w:val="9"/>
  </w:num>
  <w:num w:numId="46" w16cid:durableId="1755318758">
    <w:abstractNumId w:val="11"/>
  </w:num>
  <w:num w:numId="47" w16cid:durableId="1000040778">
    <w:abstractNumId w:val="74"/>
  </w:num>
  <w:num w:numId="48" w16cid:durableId="1445463944">
    <w:abstractNumId w:val="35"/>
  </w:num>
  <w:num w:numId="49" w16cid:durableId="2052531865">
    <w:abstractNumId w:val="50"/>
  </w:num>
  <w:num w:numId="50" w16cid:durableId="89161067">
    <w:abstractNumId w:val="26"/>
  </w:num>
  <w:num w:numId="51" w16cid:durableId="975649173">
    <w:abstractNumId w:val="28"/>
  </w:num>
  <w:num w:numId="52" w16cid:durableId="360522403">
    <w:abstractNumId w:val="30"/>
  </w:num>
  <w:num w:numId="53" w16cid:durableId="1429960038">
    <w:abstractNumId w:val="13"/>
  </w:num>
  <w:num w:numId="54" w16cid:durableId="890310177">
    <w:abstractNumId w:val="36"/>
  </w:num>
  <w:num w:numId="55" w16cid:durableId="553352182">
    <w:abstractNumId w:val="24"/>
  </w:num>
  <w:num w:numId="56" w16cid:durableId="846292477">
    <w:abstractNumId w:val="53"/>
  </w:num>
  <w:num w:numId="57" w16cid:durableId="1049500731">
    <w:abstractNumId w:val="45"/>
  </w:num>
  <w:num w:numId="58" w16cid:durableId="1598557959">
    <w:abstractNumId w:val="25"/>
  </w:num>
  <w:num w:numId="59" w16cid:durableId="1826123157">
    <w:abstractNumId w:val="29"/>
  </w:num>
  <w:num w:numId="60" w16cid:durableId="157162460">
    <w:abstractNumId w:val="76"/>
  </w:num>
  <w:num w:numId="61" w16cid:durableId="1338843720">
    <w:abstractNumId w:val="33"/>
  </w:num>
  <w:num w:numId="62" w16cid:durableId="1795252798">
    <w:abstractNumId w:val="55"/>
  </w:num>
  <w:num w:numId="63" w16cid:durableId="608240176">
    <w:abstractNumId w:val="60"/>
  </w:num>
  <w:num w:numId="64" w16cid:durableId="1857453828">
    <w:abstractNumId w:val="75"/>
  </w:num>
  <w:num w:numId="65" w16cid:durableId="1744066161">
    <w:abstractNumId w:val="65"/>
  </w:num>
  <w:num w:numId="66" w16cid:durableId="2099518313">
    <w:abstractNumId w:val="54"/>
  </w:num>
  <w:num w:numId="67" w16cid:durableId="11349320">
    <w:abstractNumId w:val="6"/>
  </w:num>
  <w:num w:numId="68" w16cid:durableId="803086467">
    <w:abstractNumId w:val="34"/>
  </w:num>
  <w:num w:numId="69" w16cid:durableId="839084116">
    <w:abstractNumId w:val="16"/>
  </w:num>
  <w:num w:numId="70" w16cid:durableId="1035076719">
    <w:abstractNumId w:val="63"/>
  </w:num>
  <w:num w:numId="71" w16cid:durableId="227036670">
    <w:abstractNumId w:val="31"/>
  </w:num>
  <w:num w:numId="72" w16cid:durableId="366952519">
    <w:abstractNumId w:val="38"/>
  </w:num>
  <w:num w:numId="73" w16cid:durableId="2087874131">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74" w16cid:durableId="1780372311">
    <w:abstractNumId w:val="12"/>
  </w:num>
  <w:num w:numId="75" w16cid:durableId="1074163231">
    <w:abstractNumId w:val="64"/>
  </w:num>
  <w:num w:numId="76" w16cid:durableId="464474349">
    <w:abstractNumId w:val="27"/>
  </w:num>
  <w:num w:numId="77" w16cid:durableId="1140153259">
    <w:abstractNumId w:val="10"/>
  </w:num>
  <w:num w:numId="78" w16cid:durableId="220749971">
    <w:abstractNumId w:val="42"/>
  </w:num>
  <w:num w:numId="79" w16cid:durableId="722602218">
    <w:abstractNumId w:val="15"/>
  </w:num>
  <w:num w:numId="80" w16cid:durableId="1966503265">
    <w:abstractNumId w:val="11"/>
  </w:num>
  <w:num w:numId="81" w16cid:durableId="1172453593">
    <w:abstractNumId w:val="11"/>
  </w:num>
  <w:num w:numId="82" w16cid:durableId="1580868757">
    <w:abstractNumId w:val="62"/>
  </w:num>
  <w:num w:numId="83" w16cid:durableId="1381247951">
    <w:abstractNumId w:val="4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470172045">
    <w:abstractNumId w:val="45"/>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2142311">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39"/>
  <w:displayHorizontalDrawingGridEvery w:val="0"/>
  <w:displayVerticalDrawingGridEvery w:val="0"/>
  <w:characterSpacingControl w:val="doNotCompress"/>
  <w:hdrShapeDefaults>
    <o:shapedefaults v:ext="edit" spidmax="105473"/>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D40"/>
    <w:rsid w:val="00000280"/>
    <w:rsid w:val="000002A7"/>
    <w:rsid w:val="000002AA"/>
    <w:rsid w:val="000003DF"/>
    <w:rsid w:val="00000510"/>
    <w:rsid w:val="000007F9"/>
    <w:rsid w:val="00000835"/>
    <w:rsid w:val="00000E66"/>
    <w:rsid w:val="00000EB0"/>
    <w:rsid w:val="00000F3D"/>
    <w:rsid w:val="00001007"/>
    <w:rsid w:val="00001443"/>
    <w:rsid w:val="00001562"/>
    <w:rsid w:val="00001F3B"/>
    <w:rsid w:val="0000244A"/>
    <w:rsid w:val="0000249D"/>
    <w:rsid w:val="0000263C"/>
    <w:rsid w:val="00002759"/>
    <w:rsid w:val="0000280F"/>
    <w:rsid w:val="00002E4F"/>
    <w:rsid w:val="000031C3"/>
    <w:rsid w:val="00003322"/>
    <w:rsid w:val="00003325"/>
    <w:rsid w:val="00003665"/>
    <w:rsid w:val="000036AF"/>
    <w:rsid w:val="000037AF"/>
    <w:rsid w:val="00003CB7"/>
    <w:rsid w:val="00003FBD"/>
    <w:rsid w:val="0000431D"/>
    <w:rsid w:val="0000438D"/>
    <w:rsid w:val="0000488C"/>
    <w:rsid w:val="000048BD"/>
    <w:rsid w:val="00004ADE"/>
    <w:rsid w:val="00004DF5"/>
    <w:rsid w:val="000054F6"/>
    <w:rsid w:val="00005B71"/>
    <w:rsid w:val="00005F0C"/>
    <w:rsid w:val="000061CF"/>
    <w:rsid w:val="000069EF"/>
    <w:rsid w:val="00006A2C"/>
    <w:rsid w:val="00006B24"/>
    <w:rsid w:val="00006D3F"/>
    <w:rsid w:val="00006F4B"/>
    <w:rsid w:val="0000717F"/>
    <w:rsid w:val="00007369"/>
    <w:rsid w:val="00007675"/>
    <w:rsid w:val="0000776A"/>
    <w:rsid w:val="00007826"/>
    <w:rsid w:val="000078DE"/>
    <w:rsid w:val="00007F34"/>
    <w:rsid w:val="00010060"/>
    <w:rsid w:val="00010572"/>
    <w:rsid w:val="000106B3"/>
    <w:rsid w:val="000108B3"/>
    <w:rsid w:val="00010910"/>
    <w:rsid w:val="00010C7A"/>
    <w:rsid w:val="00010CE4"/>
    <w:rsid w:val="00010EC8"/>
    <w:rsid w:val="000112D4"/>
    <w:rsid w:val="00011626"/>
    <w:rsid w:val="00011C67"/>
    <w:rsid w:val="00011F86"/>
    <w:rsid w:val="00012156"/>
    <w:rsid w:val="00012210"/>
    <w:rsid w:val="00012531"/>
    <w:rsid w:val="000125F1"/>
    <w:rsid w:val="00012730"/>
    <w:rsid w:val="00012760"/>
    <w:rsid w:val="00012822"/>
    <w:rsid w:val="00012899"/>
    <w:rsid w:val="00012A5C"/>
    <w:rsid w:val="00012B68"/>
    <w:rsid w:val="00012CFC"/>
    <w:rsid w:val="00012D6C"/>
    <w:rsid w:val="00012E7E"/>
    <w:rsid w:val="00013038"/>
    <w:rsid w:val="00013121"/>
    <w:rsid w:val="000132F4"/>
    <w:rsid w:val="000133DF"/>
    <w:rsid w:val="0001356C"/>
    <w:rsid w:val="00013591"/>
    <w:rsid w:val="00013762"/>
    <w:rsid w:val="00013D2E"/>
    <w:rsid w:val="00013F5A"/>
    <w:rsid w:val="00014482"/>
    <w:rsid w:val="000144FF"/>
    <w:rsid w:val="00014F3B"/>
    <w:rsid w:val="00015198"/>
    <w:rsid w:val="00015236"/>
    <w:rsid w:val="000153B6"/>
    <w:rsid w:val="000155C0"/>
    <w:rsid w:val="0001580A"/>
    <w:rsid w:val="00015A23"/>
    <w:rsid w:val="00015ABB"/>
    <w:rsid w:val="00015C5B"/>
    <w:rsid w:val="00015D54"/>
    <w:rsid w:val="00016655"/>
    <w:rsid w:val="00016BFC"/>
    <w:rsid w:val="00016E4E"/>
    <w:rsid w:val="000172EE"/>
    <w:rsid w:val="0001730D"/>
    <w:rsid w:val="0001731B"/>
    <w:rsid w:val="00017350"/>
    <w:rsid w:val="00017411"/>
    <w:rsid w:val="00017517"/>
    <w:rsid w:val="0001780D"/>
    <w:rsid w:val="000201F9"/>
    <w:rsid w:val="000205CA"/>
    <w:rsid w:val="0002064E"/>
    <w:rsid w:val="00020D40"/>
    <w:rsid w:val="000210DC"/>
    <w:rsid w:val="00021585"/>
    <w:rsid w:val="000217DD"/>
    <w:rsid w:val="00021893"/>
    <w:rsid w:val="00021BAF"/>
    <w:rsid w:val="00021BBD"/>
    <w:rsid w:val="00021C57"/>
    <w:rsid w:val="00021F15"/>
    <w:rsid w:val="0002201A"/>
    <w:rsid w:val="00022145"/>
    <w:rsid w:val="000222D1"/>
    <w:rsid w:val="00022318"/>
    <w:rsid w:val="000225D7"/>
    <w:rsid w:val="00022B78"/>
    <w:rsid w:val="00022C99"/>
    <w:rsid w:val="00022DC7"/>
    <w:rsid w:val="00023237"/>
    <w:rsid w:val="000235BF"/>
    <w:rsid w:val="0002363B"/>
    <w:rsid w:val="00023A4A"/>
    <w:rsid w:val="00023C9A"/>
    <w:rsid w:val="00023D4D"/>
    <w:rsid w:val="00023DA9"/>
    <w:rsid w:val="00023DFF"/>
    <w:rsid w:val="00024A27"/>
    <w:rsid w:val="00024D49"/>
    <w:rsid w:val="00025483"/>
    <w:rsid w:val="00025543"/>
    <w:rsid w:val="000258A6"/>
    <w:rsid w:val="00025A97"/>
    <w:rsid w:val="00025B04"/>
    <w:rsid w:val="00025C90"/>
    <w:rsid w:val="00025CF9"/>
    <w:rsid w:val="00026227"/>
    <w:rsid w:val="0002626C"/>
    <w:rsid w:val="0002663A"/>
    <w:rsid w:val="000267AB"/>
    <w:rsid w:val="000268A8"/>
    <w:rsid w:val="00026B25"/>
    <w:rsid w:val="00026CC6"/>
    <w:rsid w:val="00026E98"/>
    <w:rsid w:val="00027080"/>
    <w:rsid w:val="00027250"/>
    <w:rsid w:val="000273A3"/>
    <w:rsid w:val="00027412"/>
    <w:rsid w:val="000274E1"/>
    <w:rsid w:val="00027610"/>
    <w:rsid w:val="00027960"/>
    <w:rsid w:val="000279F4"/>
    <w:rsid w:val="000305A4"/>
    <w:rsid w:val="0003110B"/>
    <w:rsid w:val="00031229"/>
    <w:rsid w:val="000312ED"/>
    <w:rsid w:val="000313E2"/>
    <w:rsid w:val="000317A7"/>
    <w:rsid w:val="00031870"/>
    <w:rsid w:val="0003190A"/>
    <w:rsid w:val="00031BE3"/>
    <w:rsid w:val="00031C85"/>
    <w:rsid w:val="00031CDE"/>
    <w:rsid w:val="00031DA4"/>
    <w:rsid w:val="000327E6"/>
    <w:rsid w:val="0003296C"/>
    <w:rsid w:val="00032A3A"/>
    <w:rsid w:val="00032E19"/>
    <w:rsid w:val="00032E8A"/>
    <w:rsid w:val="00033360"/>
    <w:rsid w:val="0003360C"/>
    <w:rsid w:val="00033AC1"/>
    <w:rsid w:val="00033D35"/>
    <w:rsid w:val="00033D8F"/>
    <w:rsid w:val="00033DB2"/>
    <w:rsid w:val="00033E89"/>
    <w:rsid w:val="00034253"/>
    <w:rsid w:val="0003436C"/>
    <w:rsid w:val="000345A0"/>
    <w:rsid w:val="0003466F"/>
    <w:rsid w:val="000346A8"/>
    <w:rsid w:val="0003494F"/>
    <w:rsid w:val="00034983"/>
    <w:rsid w:val="0003539E"/>
    <w:rsid w:val="000353DF"/>
    <w:rsid w:val="000356A2"/>
    <w:rsid w:val="00035826"/>
    <w:rsid w:val="0003588E"/>
    <w:rsid w:val="00035A0B"/>
    <w:rsid w:val="00035A12"/>
    <w:rsid w:val="00035DD6"/>
    <w:rsid w:val="00035FFD"/>
    <w:rsid w:val="000360E6"/>
    <w:rsid w:val="00036360"/>
    <w:rsid w:val="00036657"/>
    <w:rsid w:val="000368F1"/>
    <w:rsid w:val="00036A62"/>
    <w:rsid w:val="00036CBD"/>
    <w:rsid w:val="00036CC5"/>
    <w:rsid w:val="00036D63"/>
    <w:rsid w:val="00036F8C"/>
    <w:rsid w:val="000371C8"/>
    <w:rsid w:val="00037619"/>
    <w:rsid w:val="00037A67"/>
    <w:rsid w:val="00037F3D"/>
    <w:rsid w:val="0004022E"/>
    <w:rsid w:val="0004044D"/>
    <w:rsid w:val="000405DE"/>
    <w:rsid w:val="000406A2"/>
    <w:rsid w:val="000410A2"/>
    <w:rsid w:val="00041213"/>
    <w:rsid w:val="00041268"/>
    <w:rsid w:val="000413B6"/>
    <w:rsid w:val="000413C4"/>
    <w:rsid w:val="000415DA"/>
    <w:rsid w:val="000415FC"/>
    <w:rsid w:val="00041A7D"/>
    <w:rsid w:val="00042247"/>
    <w:rsid w:val="00042DD2"/>
    <w:rsid w:val="00042E08"/>
    <w:rsid w:val="00042E38"/>
    <w:rsid w:val="00042F41"/>
    <w:rsid w:val="00043111"/>
    <w:rsid w:val="00043143"/>
    <w:rsid w:val="00043199"/>
    <w:rsid w:val="000434BD"/>
    <w:rsid w:val="000439B1"/>
    <w:rsid w:val="00043C78"/>
    <w:rsid w:val="00043F2C"/>
    <w:rsid w:val="00043FC6"/>
    <w:rsid w:val="0004419F"/>
    <w:rsid w:val="00044355"/>
    <w:rsid w:val="000444D2"/>
    <w:rsid w:val="0004485F"/>
    <w:rsid w:val="00045101"/>
    <w:rsid w:val="00045125"/>
    <w:rsid w:val="000452F7"/>
    <w:rsid w:val="000454E4"/>
    <w:rsid w:val="00045640"/>
    <w:rsid w:val="0004564D"/>
    <w:rsid w:val="00045793"/>
    <w:rsid w:val="00045A97"/>
    <w:rsid w:val="00045ACB"/>
    <w:rsid w:val="00045F4F"/>
    <w:rsid w:val="00045FE8"/>
    <w:rsid w:val="0004625B"/>
    <w:rsid w:val="00046802"/>
    <w:rsid w:val="00046B0E"/>
    <w:rsid w:val="00046B55"/>
    <w:rsid w:val="00046CB5"/>
    <w:rsid w:val="00047194"/>
    <w:rsid w:val="000471A4"/>
    <w:rsid w:val="00047429"/>
    <w:rsid w:val="000478E1"/>
    <w:rsid w:val="000505C6"/>
    <w:rsid w:val="00050DB1"/>
    <w:rsid w:val="00050DDF"/>
    <w:rsid w:val="00050EF8"/>
    <w:rsid w:val="00051368"/>
    <w:rsid w:val="000513E5"/>
    <w:rsid w:val="000517AB"/>
    <w:rsid w:val="000518AB"/>
    <w:rsid w:val="00051A22"/>
    <w:rsid w:val="00051CDD"/>
    <w:rsid w:val="00051E8D"/>
    <w:rsid w:val="00051FE3"/>
    <w:rsid w:val="0005214E"/>
    <w:rsid w:val="000521C5"/>
    <w:rsid w:val="0005266D"/>
    <w:rsid w:val="00052B66"/>
    <w:rsid w:val="00052B6F"/>
    <w:rsid w:val="00052E16"/>
    <w:rsid w:val="00052EA6"/>
    <w:rsid w:val="00052F59"/>
    <w:rsid w:val="000530EA"/>
    <w:rsid w:val="00053EC2"/>
    <w:rsid w:val="00054923"/>
    <w:rsid w:val="00054B43"/>
    <w:rsid w:val="00054BC7"/>
    <w:rsid w:val="0005553B"/>
    <w:rsid w:val="00055556"/>
    <w:rsid w:val="000557E3"/>
    <w:rsid w:val="0005582D"/>
    <w:rsid w:val="0005595A"/>
    <w:rsid w:val="00055B8D"/>
    <w:rsid w:val="00055C59"/>
    <w:rsid w:val="00055D81"/>
    <w:rsid w:val="00055F14"/>
    <w:rsid w:val="00055F17"/>
    <w:rsid w:val="00055FB5"/>
    <w:rsid w:val="00055FC3"/>
    <w:rsid w:val="000565D7"/>
    <w:rsid w:val="000566DC"/>
    <w:rsid w:val="00056919"/>
    <w:rsid w:val="000569E5"/>
    <w:rsid w:val="0005718D"/>
    <w:rsid w:val="00057216"/>
    <w:rsid w:val="00057256"/>
    <w:rsid w:val="000574E2"/>
    <w:rsid w:val="000577B3"/>
    <w:rsid w:val="00057C1B"/>
    <w:rsid w:val="00057D7D"/>
    <w:rsid w:val="000603A8"/>
    <w:rsid w:val="0006055F"/>
    <w:rsid w:val="000606B0"/>
    <w:rsid w:val="0006083A"/>
    <w:rsid w:val="00060862"/>
    <w:rsid w:val="00060BFF"/>
    <w:rsid w:val="00060DCA"/>
    <w:rsid w:val="000610F9"/>
    <w:rsid w:val="00061194"/>
    <w:rsid w:val="00061411"/>
    <w:rsid w:val="00061D86"/>
    <w:rsid w:val="0006226D"/>
    <w:rsid w:val="000623AF"/>
    <w:rsid w:val="00062429"/>
    <w:rsid w:val="000624C3"/>
    <w:rsid w:val="000624E5"/>
    <w:rsid w:val="00062719"/>
    <w:rsid w:val="000627F8"/>
    <w:rsid w:val="00062CDE"/>
    <w:rsid w:val="00062DDD"/>
    <w:rsid w:val="00062E22"/>
    <w:rsid w:val="00063247"/>
    <w:rsid w:val="00063769"/>
    <w:rsid w:val="00063921"/>
    <w:rsid w:val="00063E9D"/>
    <w:rsid w:val="00063FFB"/>
    <w:rsid w:val="000641BD"/>
    <w:rsid w:val="000641E0"/>
    <w:rsid w:val="00064359"/>
    <w:rsid w:val="0006446D"/>
    <w:rsid w:val="0006449A"/>
    <w:rsid w:val="00064717"/>
    <w:rsid w:val="0006479B"/>
    <w:rsid w:val="00064CD4"/>
    <w:rsid w:val="00064D9D"/>
    <w:rsid w:val="00065067"/>
    <w:rsid w:val="00065079"/>
    <w:rsid w:val="00065411"/>
    <w:rsid w:val="00065634"/>
    <w:rsid w:val="00065709"/>
    <w:rsid w:val="00065B2B"/>
    <w:rsid w:val="00065FB1"/>
    <w:rsid w:val="000662B0"/>
    <w:rsid w:val="000664A1"/>
    <w:rsid w:val="0006654B"/>
    <w:rsid w:val="000669BB"/>
    <w:rsid w:val="00066A26"/>
    <w:rsid w:val="000672A3"/>
    <w:rsid w:val="00067411"/>
    <w:rsid w:val="000674AC"/>
    <w:rsid w:val="00067820"/>
    <w:rsid w:val="000678C4"/>
    <w:rsid w:val="00070059"/>
    <w:rsid w:val="000701E8"/>
    <w:rsid w:val="00070219"/>
    <w:rsid w:val="000702E1"/>
    <w:rsid w:val="00070511"/>
    <w:rsid w:val="0007083B"/>
    <w:rsid w:val="00070A73"/>
    <w:rsid w:val="00070ACF"/>
    <w:rsid w:val="00070E5E"/>
    <w:rsid w:val="000710F1"/>
    <w:rsid w:val="0007167C"/>
    <w:rsid w:val="0007188C"/>
    <w:rsid w:val="00071B3A"/>
    <w:rsid w:val="00071F65"/>
    <w:rsid w:val="000720C1"/>
    <w:rsid w:val="000720D0"/>
    <w:rsid w:val="00072158"/>
    <w:rsid w:val="000723F4"/>
    <w:rsid w:val="00072768"/>
    <w:rsid w:val="00072B1E"/>
    <w:rsid w:val="00072E88"/>
    <w:rsid w:val="00073574"/>
    <w:rsid w:val="000735AC"/>
    <w:rsid w:val="000736E0"/>
    <w:rsid w:val="000737E2"/>
    <w:rsid w:val="000737EB"/>
    <w:rsid w:val="000739BC"/>
    <w:rsid w:val="00073D93"/>
    <w:rsid w:val="00074062"/>
    <w:rsid w:val="0007414C"/>
    <w:rsid w:val="000748E9"/>
    <w:rsid w:val="0007497D"/>
    <w:rsid w:val="00074BF9"/>
    <w:rsid w:val="00074D60"/>
    <w:rsid w:val="0007503C"/>
    <w:rsid w:val="00075118"/>
    <w:rsid w:val="000751A4"/>
    <w:rsid w:val="000755C0"/>
    <w:rsid w:val="00075827"/>
    <w:rsid w:val="000759F0"/>
    <w:rsid w:val="00075A77"/>
    <w:rsid w:val="00075B50"/>
    <w:rsid w:val="0007629A"/>
    <w:rsid w:val="0007668E"/>
    <w:rsid w:val="000769A9"/>
    <w:rsid w:val="00076EC3"/>
    <w:rsid w:val="00076F5F"/>
    <w:rsid w:val="000773AB"/>
    <w:rsid w:val="00077677"/>
    <w:rsid w:val="00077A18"/>
    <w:rsid w:val="00077A97"/>
    <w:rsid w:val="00077C8E"/>
    <w:rsid w:val="0008005E"/>
    <w:rsid w:val="000802F9"/>
    <w:rsid w:val="000807DB"/>
    <w:rsid w:val="00080BAE"/>
    <w:rsid w:val="00080D30"/>
    <w:rsid w:val="0008124A"/>
    <w:rsid w:val="00081360"/>
    <w:rsid w:val="0008139D"/>
    <w:rsid w:val="000819CB"/>
    <w:rsid w:val="00081E24"/>
    <w:rsid w:val="00081F11"/>
    <w:rsid w:val="0008209B"/>
    <w:rsid w:val="0008229A"/>
    <w:rsid w:val="000824E2"/>
    <w:rsid w:val="00082883"/>
    <w:rsid w:val="00082C9C"/>
    <w:rsid w:val="000832C9"/>
    <w:rsid w:val="00083598"/>
    <w:rsid w:val="00083735"/>
    <w:rsid w:val="000837D2"/>
    <w:rsid w:val="0008395B"/>
    <w:rsid w:val="00083AF0"/>
    <w:rsid w:val="00083DFA"/>
    <w:rsid w:val="00083E94"/>
    <w:rsid w:val="0008403C"/>
    <w:rsid w:val="000840C4"/>
    <w:rsid w:val="000841AC"/>
    <w:rsid w:val="00084549"/>
    <w:rsid w:val="000848D8"/>
    <w:rsid w:val="00084C9A"/>
    <w:rsid w:val="0008552A"/>
    <w:rsid w:val="00085712"/>
    <w:rsid w:val="000857B7"/>
    <w:rsid w:val="00085E18"/>
    <w:rsid w:val="00086422"/>
    <w:rsid w:val="00086B78"/>
    <w:rsid w:val="000874B4"/>
    <w:rsid w:val="000875FB"/>
    <w:rsid w:val="00087BAE"/>
    <w:rsid w:val="00087CCD"/>
    <w:rsid w:val="00087D37"/>
    <w:rsid w:val="000909CD"/>
    <w:rsid w:val="00090A5A"/>
    <w:rsid w:val="00090AC2"/>
    <w:rsid w:val="00090ECF"/>
    <w:rsid w:val="0009119F"/>
    <w:rsid w:val="000916B2"/>
    <w:rsid w:val="00091735"/>
    <w:rsid w:val="00091925"/>
    <w:rsid w:val="00091A86"/>
    <w:rsid w:val="00092143"/>
    <w:rsid w:val="00092692"/>
    <w:rsid w:val="000926D0"/>
    <w:rsid w:val="00092B55"/>
    <w:rsid w:val="00092BFE"/>
    <w:rsid w:val="00092D8E"/>
    <w:rsid w:val="000934AD"/>
    <w:rsid w:val="00093722"/>
    <w:rsid w:val="000938D6"/>
    <w:rsid w:val="00093A4F"/>
    <w:rsid w:val="00093A91"/>
    <w:rsid w:val="00093E42"/>
    <w:rsid w:val="000941A5"/>
    <w:rsid w:val="0009489C"/>
    <w:rsid w:val="00094A36"/>
    <w:rsid w:val="0009531F"/>
    <w:rsid w:val="0009580B"/>
    <w:rsid w:val="000958C0"/>
    <w:rsid w:val="00095B4F"/>
    <w:rsid w:val="00095C54"/>
    <w:rsid w:val="00095D64"/>
    <w:rsid w:val="0009630F"/>
    <w:rsid w:val="00096458"/>
    <w:rsid w:val="00096734"/>
    <w:rsid w:val="000968B6"/>
    <w:rsid w:val="00096984"/>
    <w:rsid w:val="000969A3"/>
    <w:rsid w:val="00096F7B"/>
    <w:rsid w:val="0009715B"/>
    <w:rsid w:val="000974DF"/>
    <w:rsid w:val="00097604"/>
    <w:rsid w:val="00097B0E"/>
    <w:rsid w:val="00097DD0"/>
    <w:rsid w:val="00097FB4"/>
    <w:rsid w:val="000A061C"/>
    <w:rsid w:val="000A08D5"/>
    <w:rsid w:val="000A0B8B"/>
    <w:rsid w:val="000A14F2"/>
    <w:rsid w:val="000A151C"/>
    <w:rsid w:val="000A1595"/>
    <w:rsid w:val="000A1AB4"/>
    <w:rsid w:val="000A1EDA"/>
    <w:rsid w:val="000A23CA"/>
    <w:rsid w:val="000A23D7"/>
    <w:rsid w:val="000A26E7"/>
    <w:rsid w:val="000A2B15"/>
    <w:rsid w:val="000A2E79"/>
    <w:rsid w:val="000A2F74"/>
    <w:rsid w:val="000A3241"/>
    <w:rsid w:val="000A3584"/>
    <w:rsid w:val="000A36E5"/>
    <w:rsid w:val="000A378C"/>
    <w:rsid w:val="000A3F64"/>
    <w:rsid w:val="000A4241"/>
    <w:rsid w:val="000A44F2"/>
    <w:rsid w:val="000A45B3"/>
    <w:rsid w:val="000A4C8D"/>
    <w:rsid w:val="000A4E21"/>
    <w:rsid w:val="000A505E"/>
    <w:rsid w:val="000A5097"/>
    <w:rsid w:val="000A559D"/>
    <w:rsid w:val="000A5833"/>
    <w:rsid w:val="000A5AE9"/>
    <w:rsid w:val="000A5F2B"/>
    <w:rsid w:val="000A6026"/>
    <w:rsid w:val="000A615E"/>
    <w:rsid w:val="000A699A"/>
    <w:rsid w:val="000A6AAE"/>
    <w:rsid w:val="000A6F73"/>
    <w:rsid w:val="000A7082"/>
    <w:rsid w:val="000A71B1"/>
    <w:rsid w:val="000A7248"/>
    <w:rsid w:val="000A7367"/>
    <w:rsid w:val="000A747B"/>
    <w:rsid w:val="000A77A2"/>
    <w:rsid w:val="000A796F"/>
    <w:rsid w:val="000A7FC7"/>
    <w:rsid w:val="000B0457"/>
    <w:rsid w:val="000B109F"/>
    <w:rsid w:val="000B198C"/>
    <w:rsid w:val="000B1BD2"/>
    <w:rsid w:val="000B1E08"/>
    <w:rsid w:val="000B1F59"/>
    <w:rsid w:val="000B2154"/>
    <w:rsid w:val="000B23AF"/>
    <w:rsid w:val="000B255B"/>
    <w:rsid w:val="000B2582"/>
    <w:rsid w:val="000B2682"/>
    <w:rsid w:val="000B26B5"/>
    <w:rsid w:val="000B279C"/>
    <w:rsid w:val="000B28EF"/>
    <w:rsid w:val="000B294B"/>
    <w:rsid w:val="000B29A4"/>
    <w:rsid w:val="000B2F0B"/>
    <w:rsid w:val="000B3337"/>
    <w:rsid w:val="000B3381"/>
    <w:rsid w:val="000B37BC"/>
    <w:rsid w:val="000B3846"/>
    <w:rsid w:val="000B3951"/>
    <w:rsid w:val="000B3C7A"/>
    <w:rsid w:val="000B3C8F"/>
    <w:rsid w:val="000B41AF"/>
    <w:rsid w:val="000B4213"/>
    <w:rsid w:val="000B42FD"/>
    <w:rsid w:val="000B47A7"/>
    <w:rsid w:val="000B4A51"/>
    <w:rsid w:val="000B4AB3"/>
    <w:rsid w:val="000B4CB0"/>
    <w:rsid w:val="000B4D14"/>
    <w:rsid w:val="000B4F68"/>
    <w:rsid w:val="000B51A7"/>
    <w:rsid w:val="000B5699"/>
    <w:rsid w:val="000B5730"/>
    <w:rsid w:val="000B585F"/>
    <w:rsid w:val="000B59B0"/>
    <w:rsid w:val="000B59BE"/>
    <w:rsid w:val="000B5A0F"/>
    <w:rsid w:val="000B5C1F"/>
    <w:rsid w:val="000B61C4"/>
    <w:rsid w:val="000B653D"/>
    <w:rsid w:val="000B68B4"/>
    <w:rsid w:val="000B6CF4"/>
    <w:rsid w:val="000B6F20"/>
    <w:rsid w:val="000B735D"/>
    <w:rsid w:val="000B738C"/>
    <w:rsid w:val="000B7404"/>
    <w:rsid w:val="000B763C"/>
    <w:rsid w:val="000B7705"/>
    <w:rsid w:val="000B7836"/>
    <w:rsid w:val="000B79E7"/>
    <w:rsid w:val="000B7AD0"/>
    <w:rsid w:val="000B7C59"/>
    <w:rsid w:val="000C001B"/>
    <w:rsid w:val="000C02F1"/>
    <w:rsid w:val="000C0390"/>
    <w:rsid w:val="000C048C"/>
    <w:rsid w:val="000C04D2"/>
    <w:rsid w:val="000C0602"/>
    <w:rsid w:val="000C06DA"/>
    <w:rsid w:val="000C0B32"/>
    <w:rsid w:val="000C0C34"/>
    <w:rsid w:val="000C0D1E"/>
    <w:rsid w:val="000C0FAE"/>
    <w:rsid w:val="000C10B2"/>
    <w:rsid w:val="000C174A"/>
    <w:rsid w:val="000C1935"/>
    <w:rsid w:val="000C1B36"/>
    <w:rsid w:val="000C1CDA"/>
    <w:rsid w:val="000C2014"/>
    <w:rsid w:val="000C22EC"/>
    <w:rsid w:val="000C2491"/>
    <w:rsid w:val="000C2606"/>
    <w:rsid w:val="000C277A"/>
    <w:rsid w:val="000C2B60"/>
    <w:rsid w:val="000C2DCF"/>
    <w:rsid w:val="000C321F"/>
    <w:rsid w:val="000C3553"/>
    <w:rsid w:val="000C37D8"/>
    <w:rsid w:val="000C4088"/>
    <w:rsid w:val="000C40BD"/>
    <w:rsid w:val="000C418E"/>
    <w:rsid w:val="000C44B3"/>
    <w:rsid w:val="000C458E"/>
    <w:rsid w:val="000C4980"/>
    <w:rsid w:val="000C4C28"/>
    <w:rsid w:val="000C4F43"/>
    <w:rsid w:val="000C4F52"/>
    <w:rsid w:val="000C528B"/>
    <w:rsid w:val="000C54CB"/>
    <w:rsid w:val="000C5613"/>
    <w:rsid w:val="000C5A0C"/>
    <w:rsid w:val="000C5A91"/>
    <w:rsid w:val="000C5B3A"/>
    <w:rsid w:val="000C5BFB"/>
    <w:rsid w:val="000C5C88"/>
    <w:rsid w:val="000C5F9A"/>
    <w:rsid w:val="000C604E"/>
    <w:rsid w:val="000C6144"/>
    <w:rsid w:val="000C68C6"/>
    <w:rsid w:val="000C693A"/>
    <w:rsid w:val="000C6AA2"/>
    <w:rsid w:val="000C6C58"/>
    <w:rsid w:val="000C711A"/>
    <w:rsid w:val="000C75E5"/>
    <w:rsid w:val="000C7A66"/>
    <w:rsid w:val="000C7E03"/>
    <w:rsid w:val="000D0396"/>
    <w:rsid w:val="000D0665"/>
    <w:rsid w:val="000D07E1"/>
    <w:rsid w:val="000D0AAB"/>
    <w:rsid w:val="000D0DE4"/>
    <w:rsid w:val="000D1487"/>
    <w:rsid w:val="000D15FC"/>
    <w:rsid w:val="000D18D7"/>
    <w:rsid w:val="000D1933"/>
    <w:rsid w:val="000D1CFA"/>
    <w:rsid w:val="000D1EF6"/>
    <w:rsid w:val="000D2372"/>
    <w:rsid w:val="000D25C4"/>
    <w:rsid w:val="000D2768"/>
    <w:rsid w:val="000D2B49"/>
    <w:rsid w:val="000D2B7B"/>
    <w:rsid w:val="000D2EB4"/>
    <w:rsid w:val="000D37BB"/>
    <w:rsid w:val="000D3A31"/>
    <w:rsid w:val="000D3A44"/>
    <w:rsid w:val="000D3B20"/>
    <w:rsid w:val="000D3C6E"/>
    <w:rsid w:val="000D3C98"/>
    <w:rsid w:val="000D3CF2"/>
    <w:rsid w:val="000D3DF9"/>
    <w:rsid w:val="000D3EED"/>
    <w:rsid w:val="000D403E"/>
    <w:rsid w:val="000D40D0"/>
    <w:rsid w:val="000D42CC"/>
    <w:rsid w:val="000D430E"/>
    <w:rsid w:val="000D4A57"/>
    <w:rsid w:val="000D4C5D"/>
    <w:rsid w:val="000D529F"/>
    <w:rsid w:val="000D560A"/>
    <w:rsid w:val="000D56B5"/>
    <w:rsid w:val="000D59AC"/>
    <w:rsid w:val="000D5BC9"/>
    <w:rsid w:val="000D625D"/>
    <w:rsid w:val="000D628F"/>
    <w:rsid w:val="000D6708"/>
    <w:rsid w:val="000D673B"/>
    <w:rsid w:val="000D68C5"/>
    <w:rsid w:val="000D6909"/>
    <w:rsid w:val="000D6A09"/>
    <w:rsid w:val="000D6A44"/>
    <w:rsid w:val="000D6F9B"/>
    <w:rsid w:val="000D6FCF"/>
    <w:rsid w:val="000D7460"/>
    <w:rsid w:val="000D7B08"/>
    <w:rsid w:val="000D7C38"/>
    <w:rsid w:val="000E0027"/>
    <w:rsid w:val="000E0320"/>
    <w:rsid w:val="000E119E"/>
    <w:rsid w:val="000E1774"/>
    <w:rsid w:val="000E1CE7"/>
    <w:rsid w:val="000E1DF2"/>
    <w:rsid w:val="000E26AB"/>
    <w:rsid w:val="000E26CE"/>
    <w:rsid w:val="000E2882"/>
    <w:rsid w:val="000E28BE"/>
    <w:rsid w:val="000E2959"/>
    <w:rsid w:val="000E2B1F"/>
    <w:rsid w:val="000E2BF2"/>
    <w:rsid w:val="000E2BF7"/>
    <w:rsid w:val="000E2D75"/>
    <w:rsid w:val="000E2DC7"/>
    <w:rsid w:val="000E2E89"/>
    <w:rsid w:val="000E314B"/>
    <w:rsid w:val="000E31C1"/>
    <w:rsid w:val="000E35E3"/>
    <w:rsid w:val="000E3F76"/>
    <w:rsid w:val="000E3F9D"/>
    <w:rsid w:val="000E4156"/>
    <w:rsid w:val="000E449F"/>
    <w:rsid w:val="000E4A16"/>
    <w:rsid w:val="000E4A2D"/>
    <w:rsid w:val="000E4FC3"/>
    <w:rsid w:val="000E5234"/>
    <w:rsid w:val="000E568E"/>
    <w:rsid w:val="000E5B6B"/>
    <w:rsid w:val="000E5C82"/>
    <w:rsid w:val="000E5EC4"/>
    <w:rsid w:val="000E6116"/>
    <w:rsid w:val="000E6274"/>
    <w:rsid w:val="000E6477"/>
    <w:rsid w:val="000E65BB"/>
    <w:rsid w:val="000E6A19"/>
    <w:rsid w:val="000E6C09"/>
    <w:rsid w:val="000E6E2F"/>
    <w:rsid w:val="000E6F7C"/>
    <w:rsid w:val="000E7030"/>
    <w:rsid w:val="000E7891"/>
    <w:rsid w:val="000E78AE"/>
    <w:rsid w:val="000E78D6"/>
    <w:rsid w:val="000E7C7F"/>
    <w:rsid w:val="000E7F56"/>
    <w:rsid w:val="000F0505"/>
    <w:rsid w:val="000F058A"/>
    <w:rsid w:val="000F05CA"/>
    <w:rsid w:val="000F06FC"/>
    <w:rsid w:val="000F081F"/>
    <w:rsid w:val="000F0850"/>
    <w:rsid w:val="000F0884"/>
    <w:rsid w:val="000F09BA"/>
    <w:rsid w:val="000F0AE9"/>
    <w:rsid w:val="000F0C36"/>
    <w:rsid w:val="000F0C90"/>
    <w:rsid w:val="000F11B1"/>
    <w:rsid w:val="000F132A"/>
    <w:rsid w:val="000F1837"/>
    <w:rsid w:val="000F19A9"/>
    <w:rsid w:val="000F1EE2"/>
    <w:rsid w:val="000F1EFF"/>
    <w:rsid w:val="000F2032"/>
    <w:rsid w:val="000F2283"/>
    <w:rsid w:val="000F238D"/>
    <w:rsid w:val="000F23D7"/>
    <w:rsid w:val="000F269D"/>
    <w:rsid w:val="000F26CE"/>
    <w:rsid w:val="000F283E"/>
    <w:rsid w:val="000F2867"/>
    <w:rsid w:val="000F2901"/>
    <w:rsid w:val="000F2D68"/>
    <w:rsid w:val="000F355F"/>
    <w:rsid w:val="000F38B3"/>
    <w:rsid w:val="000F43DD"/>
    <w:rsid w:val="000F4492"/>
    <w:rsid w:val="000F4868"/>
    <w:rsid w:val="000F4E27"/>
    <w:rsid w:val="000F4F78"/>
    <w:rsid w:val="000F4FB0"/>
    <w:rsid w:val="000F4FF6"/>
    <w:rsid w:val="000F51E0"/>
    <w:rsid w:val="000F5685"/>
    <w:rsid w:val="000F58E1"/>
    <w:rsid w:val="000F5D3D"/>
    <w:rsid w:val="000F62B8"/>
    <w:rsid w:val="000F67AC"/>
    <w:rsid w:val="000F67C4"/>
    <w:rsid w:val="000F69C9"/>
    <w:rsid w:val="000F6DC3"/>
    <w:rsid w:val="000F6F28"/>
    <w:rsid w:val="000F6F58"/>
    <w:rsid w:val="000F702E"/>
    <w:rsid w:val="000F7263"/>
    <w:rsid w:val="000F7396"/>
    <w:rsid w:val="000F7B5F"/>
    <w:rsid w:val="00100094"/>
    <w:rsid w:val="001000C4"/>
    <w:rsid w:val="00100322"/>
    <w:rsid w:val="00100864"/>
    <w:rsid w:val="001014DB"/>
    <w:rsid w:val="00101A49"/>
    <w:rsid w:val="00101D48"/>
    <w:rsid w:val="00101E3C"/>
    <w:rsid w:val="001025D6"/>
    <w:rsid w:val="0010269E"/>
    <w:rsid w:val="00102D30"/>
    <w:rsid w:val="00102DF5"/>
    <w:rsid w:val="001031C0"/>
    <w:rsid w:val="001031E3"/>
    <w:rsid w:val="001034AD"/>
    <w:rsid w:val="001035EC"/>
    <w:rsid w:val="001037E9"/>
    <w:rsid w:val="00103B63"/>
    <w:rsid w:val="00103EBC"/>
    <w:rsid w:val="00104172"/>
    <w:rsid w:val="00104210"/>
    <w:rsid w:val="001042CA"/>
    <w:rsid w:val="001044B1"/>
    <w:rsid w:val="00104634"/>
    <w:rsid w:val="001046D9"/>
    <w:rsid w:val="001048AE"/>
    <w:rsid w:val="00104AEF"/>
    <w:rsid w:val="001053C0"/>
    <w:rsid w:val="00105406"/>
    <w:rsid w:val="00105561"/>
    <w:rsid w:val="00105615"/>
    <w:rsid w:val="00105765"/>
    <w:rsid w:val="00105798"/>
    <w:rsid w:val="001058F5"/>
    <w:rsid w:val="00105AF0"/>
    <w:rsid w:val="00105BC0"/>
    <w:rsid w:val="00105EE5"/>
    <w:rsid w:val="00106229"/>
    <w:rsid w:val="00106329"/>
    <w:rsid w:val="00106C93"/>
    <w:rsid w:val="00106C94"/>
    <w:rsid w:val="00106CCB"/>
    <w:rsid w:val="001070C7"/>
    <w:rsid w:val="0010739C"/>
    <w:rsid w:val="001074B7"/>
    <w:rsid w:val="00107DE7"/>
    <w:rsid w:val="00110056"/>
    <w:rsid w:val="001101E3"/>
    <w:rsid w:val="001102B0"/>
    <w:rsid w:val="001105AF"/>
    <w:rsid w:val="0011061D"/>
    <w:rsid w:val="00110D55"/>
    <w:rsid w:val="00110E1C"/>
    <w:rsid w:val="00111230"/>
    <w:rsid w:val="00111286"/>
    <w:rsid w:val="001115B8"/>
    <w:rsid w:val="0011171A"/>
    <w:rsid w:val="00111745"/>
    <w:rsid w:val="001118B5"/>
    <w:rsid w:val="00111D03"/>
    <w:rsid w:val="00111DBA"/>
    <w:rsid w:val="001120C6"/>
    <w:rsid w:val="001122EB"/>
    <w:rsid w:val="001129FA"/>
    <w:rsid w:val="00112B7A"/>
    <w:rsid w:val="00112CDE"/>
    <w:rsid w:val="00113043"/>
    <w:rsid w:val="00113427"/>
    <w:rsid w:val="0011353F"/>
    <w:rsid w:val="001138CE"/>
    <w:rsid w:val="00113903"/>
    <w:rsid w:val="00113A7B"/>
    <w:rsid w:val="00114653"/>
    <w:rsid w:val="00114971"/>
    <w:rsid w:val="00114A78"/>
    <w:rsid w:val="00114E7A"/>
    <w:rsid w:val="00114F15"/>
    <w:rsid w:val="001151FF"/>
    <w:rsid w:val="00115359"/>
    <w:rsid w:val="00115449"/>
    <w:rsid w:val="00115584"/>
    <w:rsid w:val="001156CE"/>
    <w:rsid w:val="00115733"/>
    <w:rsid w:val="001157D8"/>
    <w:rsid w:val="001158FA"/>
    <w:rsid w:val="00115A8E"/>
    <w:rsid w:val="00115CE9"/>
    <w:rsid w:val="00115D03"/>
    <w:rsid w:val="00115F4E"/>
    <w:rsid w:val="0011603F"/>
    <w:rsid w:val="001162F9"/>
    <w:rsid w:val="001163E0"/>
    <w:rsid w:val="00116A2F"/>
    <w:rsid w:val="00116A44"/>
    <w:rsid w:val="001172AB"/>
    <w:rsid w:val="00117446"/>
    <w:rsid w:val="00117494"/>
    <w:rsid w:val="00117580"/>
    <w:rsid w:val="00117606"/>
    <w:rsid w:val="001179F3"/>
    <w:rsid w:val="00117B6C"/>
    <w:rsid w:val="00117BAF"/>
    <w:rsid w:val="00117DF2"/>
    <w:rsid w:val="00117DF6"/>
    <w:rsid w:val="00120144"/>
    <w:rsid w:val="00120246"/>
    <w:rsid w:val="00120447"/>
    <w:rsid w:val="00120556"/>
    <w:rsid w:val="00120824"/>
    <w:rsid w:val="001209B1"/>
    <w:rsid w:val="00120C14"/>
    <w:rsid w:val="00120DDA"/>
    <w:rsid w:val="00120F5D"/>
    <w:rsid w:val="0012126D"/>
    <w:rsid w:val="001213AC"/>
    <w:rsid w:val="00121458"/>
    <w:rsid w:val="00121504"/>
    <w:rsid w:val="0012172E"/>
    <w:rsid w:val="001218C1"/>
    <w:rsid w:val="001219A8"/>
    <w:rsid w:val="001219ED"/>
    <w:rsid w:val="00121C7E"/>
    <w:rsid w:val="00121D88"/>
    <w:rsid w:val="00121EF9"/>
    <w:rsid w:val="00121F8A"/>
    <w:rsid w:val="00121F8D"/>
    <w:rsid w:val="00121FF3"/>
    <w:rsid w:val="001220C0"/>
    <w:rsid w:val="00122353"/>
    <w:rsid w:val="00122572"/>
    <w:rsid w:val="0012261D"/>
    <w:rsid w:val="001227E7"/>
    <w:rsid w:val="00122D42"/>
    <w:rsid w:val="001232A6"/>
    <w:rsid w:val="001232E3"/>
    <w:rsid w:val="00123354"/>
    <w:rsid w:val="00123A2B"/>
    <w:rsid w:val="00123A5F"/>
    <w:rsid w:val="00123CA8"/>
    <w:rsid w:val="00123D0B"/>
    <w:rsid w:val="00124234"/>
    <w:rsid w:val="00124B9E"/>
    <w:rsid w:val="00124C37"/>
    <w:rsid w:val="00124C5D"/>
    <w:rsid w:val="00124DF3"/>
    <w:rsid w:val="001252D7"/>
    <w:rsid w:val="00125A2B"/>
    <w:rsid w:val="00125A72"/>
    <w:rsid w:val="001260AA"/>
    <w:rsid w:val="00126305"/>
    <w:rsid w:val="0012664E"/>
    <w:rsid w:val="001267B5"/>
    <w:rsid w:val="00126AD6"/>
    <w:rsid w:val="00126B3B"/>
    <w:rsid w:val="00126C02"/>
    <w:rsid w:val="001275AD"/>
    <w:rsid w:val="00127699"/>
    <w:rsid w:val="00127864"/>
    <w:rsid w:val="00127EBC"/>
    <w:rsid w:val="0013015D"/>
    <w:rsid w:val="00130453"/>
    <w:rsid w:val="0013084B"/>
    <w:rsid w:val="00130E4E"/>
    <w:rsid w:val="0013112E"/>
    <w:rsid w:val="00131153"/>
    <w:rsid w:val="0013118E"/>
    <w:rsid w:val="00131368"/>
    <w:rsid w:val="0013158E"/>
    <w:rsid w:val="00131639"/>
    <w:rsid w:val="00131AF1"/>
    <w:rsid w:val="00132090"/>
    <w:rsid w:val="001323BC"/>
    <w:rsid w:val="00132E17"/>
    <w:rsid w:val="001330C9"/>
    <w:rsid w:val="001333A5"/>
    <w:rsid w:val="00133421"/>
    <w:rsid w:val="00133505"/>
    <w:rsid w:val="00133748"/>
    <w:rsid w:val="00133E5F"/>
    <w:rsid w:val="00133F3B"/>
    <w:rsid w:val="00134045"/>
    <w:rsid w:val="00134468"/>
    <w:rsid w:val="0013456C"/>
    <w:rsid w:val="0013482A"/>
    <w:rsid w:val="0013483A"/>
    <w:rsid w:val="00134D1F"/>
    <w:rsid w:val="00135AE6"/>
    <w:rsid w:val="00135D67"/>
    <w:rsid w:val="001361E7"/>
    <w:rsid w:val="00136323"/>
    <w:rsid w:val="001367E6"/>
    <w:rsid w:val="00136B08"/>
    <w:rsid w:val="00136BDC"/>
    <w:rsid w:val="00136C28"/>
    <w:rsid w:val="00136E72"/>
    <w:rsid w:val="0013753D"/>
    <w:rsid w:val="001375C8"/>
    <w:rsid w:val="0013780F"/>
    <w:rsid w:val="001400C0"/>
    <w:rsid w:val="001405A0"/>
    <w:rsid w:val="00140B02"/>
    <w:rsid w:val="00140C8A"/>
    <w:rsid w:val="0014151A"/>
    <w:rsid w:val="00141C27"/>
    <w:rsid w:val="00142106"/>
    <w:rsid w:val="00142589"/>
    <w:rsid w:val="001427A8"/>
    <w:rsid w:val="0014283A"/>
    <w:rsid w:val="001428C3"/>
    <w:rsid w:val="00142B86"/>
    <w:rsid w:val="00142E04"/>
    <w:rsid w:val="001431F0"/>
    <w:rsid w:val="00143516"/>
    <w:rsid w:val="00143667"/>
    <w:rsid w:val="00143C0A"/>
    <w:rsid w:val="00143C3D"/>
    <w:rsid w:val="00143C8A"/>
    <w:rsid w:val="00143CB4"/>
    <w:rsid w:val="00143D7D"/>
    <w:rsid w:val="00143D8C"/>
    <w:rsid w:val="00143DDF"/>
    <w:rsid w:val="001440DC"/>
    <w:rsid w:val="00144539"/>
    <w:rsid w:val="00144B31"/>
    <w:rsid w:val="00144D87"/>
    <w:rsid w:val="00145211"/>
    <w:rsid w:val="0014530A"/>
    <w:rsid w:val="00145457"/>
    <w:rsid w:val="001456DB"/>
    <w:rsid w:val="0014602D"/>
    <w:rsid w:val="00146151"/>
    <w:rsid w:val="001461E3"/>
    <w:rsid w:val="00146647"/>
    <w:rsid w:val="001466ED"/>
    <w:rsid w:val="0014672E"/>
    <w:rsid w:val="00146859"/>
    <w:rsid w:val="00146CD1"/>
    <w:rsid w:val="00147400"/>
    <w:rsid w:val="0014755E"/>
    <w:rsid w:val="00147824"/>
    <w:rsid w:val="0014799D"/>
    <w:rsid w:val="00147A14"/>
    <w:rsid w:val="00147AED"/>
    <w:rsid w:val="00147C6F"/>
    <w:rsid w:val="001501C3"/>
    <w:rsid w:val="001502AD"/>
    <w:rsid w:val="0015068A"/>
    <w:rsid w:val="0015095D"/>
    <w:rsid w:val="00151714"/>
    <w:rsid w:val="00151782"/>
    <w:rsid w:val="00151807"/>
    <w:rsid w:val="0015210D"/>
    <w:rsid w:val="001521D4"/>
    <w:rsid w:val="0015228E"/>
    <w:rsid w:val="00152A1B"/>
    <w:rsid w:val="00152FA0"/>
    <w:rsid w:val="001530C5"/>
    <w:rsid w:val="001533A7"/>
    <w:rsid w:val="0015345E"/>
    <w:rsid w:val="00153523"/>
    <w:rsid w:val="001535D4"/>
    <w:rsid w:val="0015360D"/>
    <w:rsid w:val="001536F9"/>
    <w:rsid w:val="00153DC2"/>
    <w:rsid w:val="00154026"/>
    <w:rsid w:val="0015411F"/>
    <w:rsid w:val="00154287"/>
    <w:rsid w:val="001542E7"/>
    <w:rsid w:val="00154450"/>
    <w:rsid w:val="00154792"/>
    <w:rsid w:val="00154C14"/>
    <w:rsid w:val="00154EA8"/>
    <w:rsid w:val="001550D0"/>
    <w:rsid w:val="001551A2"/>
    <w:rsid w:val="001557AD"/>
    <w:rsid w:val="00155ED3"/>
    <w:rsid w:val="00156117"/>
    <w:rsid w:val="001562B2"/>
    <w:rsid w:val="001564B9"/>
    <w:rsid w:val="001568C7"/>
    <w:rsid w:val="00156C91"/>
    <w:rsid w:val="00156E45"/>
    <w:rsid w:val="00157196"/>
    <w:rsid w:val="0015748F"/>
    <w:rsid w:val="00157AC8"/>
    <w:rsid w:val="00157B15"/>
    <w:rsid w:val="00157D2C"/>
    <w:rsid w:val="001604D1"/>
    <w:rsid w:val="0016052E"/>
    <w:rsid w:val="00160AF7"/>
    <w:rsid w:val="00160CB5"/>
    <w:rsid w:val="00161556"/>
    <w:rsid w:val="00161677"/>
    <w:rsid w:val="00161757"/>
    <w:rsid w:val="00161F5B"/>
    <w:rsid w:val="00162188"/>
    <w:rsid w:val="001624AD"/>
    <w:rsid w:val="001625AF"/>
    <w:rsid w:val="001626A7"/>
    <w:rsid w:val="00162CD4"/>
    <w:rsid w:val="00162D0D"/>
    <w:rsid w:val="001630BF"/>
    <w:rsid w:val="0016314D"/>
    <w:rsid w:val="001632DA"/>
    <w:rsid w:val="001632DF"/>
    <w:rsid w:val="001635A3"/>
    <w:rsid w:val="00163B7A"/>
    <w:rsid w:val="00163C32"/>
    <w:rsid w:val="00163D01"/>
    <w:rsid w:val="00164140"/>
    <w:rsid w:val="001641B7"/>
    <w:rsid w:val="001642A4"/>
    <w:rsid w:val="00164947"/>
    <w:rsid w:val="00164A4E"/>
    <w:rsid w:val="00164C5B"/>
    <w:rsid w:val="00164D24"/>
    <w:rsid w:val="00164F56"/>
    <w:rsid w:val="00165035"/>
    <w:rsid w:val="0016530E"/>
    <w:rsid w:val="00165510"/>
    <w:rsid w:val="00165A1A"/>
    <w:rsid w:val="00165A2D"/>
    <w:rsid w:val="00165A93"/>
    <w:rsid w:val="001661A0"/>
    <w:rsid w:val="001668DA"/>
    <w:rsid w:val="00166B4A"/>
    <w:rsid w:val="00166B53"/>
    <w:rsid w:val="00166D4E"/>
    <w:rsid w:val="00166F09"/>
    <w:rsid w:val="00167A48"/>
    <w:rsid w:val="00167B16"/>
    <w:rsid w:val="00167BB9"/>
    <w:rsid w:val="001701ED"/>
    <w:rsid w:val="00170787"/>
    <w:rsid w:val="00170D01"/>
    <w:rsid w:val="00171392"/>
    <w:rsid w:val="001714B4"/>
    <w:rsid w:val="0017197C"/>
    <w:rsid w:val="001721ED"/>
    <w:rsid w:val="00172204"/>
    <w:rsid w:val="001726EC"/>
    <w:rsid w:val="00172BB4"/>
    <w:rsid w:val="00172CCF"/>
    <w:rsid w:val="00172DF5"/>
    <w:rsid w:val="00172ECD"/>
    <w:rsid w:val="00173379"/>
    <w:rsid w:val="00173417"/>
    <w:rsid w:val="00173796"/>
    <w:rsid w:val="001739DB"/>
    <w:rsid w:val="00173DE7"/>
    <w:rsid w:val="00173F56"/>
    <w:rsid w:val="0017443B"/>
    <w:rsid w:val="00174509"/>
    <w:rsid w:val="001745A1"/>
    <w:rsid w:val="001746F1"/>
    <w:rsid w:val="00174E73"/>
    <w:rsid w:val="00174E85"/>
    <w:rsid w:val="00175029"/>
    <w:rsid w:val="001752CB"/>
    <w:rsid w:val="00175611"/>
    <w:rsid w:val="001756BE"/>
    <w:rsid w:val="00175A8C"/>
    <w:rsid w:val="00175DEB"/>
    <w:rsid w:val="0017619D"/>
    <w:rsid w:val="001761C6"/>
    <w:rsid w:val="00176519"/>
    <w:rsid w:val="00176548"/>
    <w:rsid w:val="00176551"/>
    <w:rsid w:val="00176A60"/>
    <w:rsid w:val="00176ABD"/>
    <w:rsid w:val="00176B3E"/>
    <w:rsid w:val="00176F0F"/>
    <w:rsid w:val="00176F2B"/>
    <w:rsid w:val="001771DB"/>
    <w:rsid w:val="0017756B"/>
    <w:rsid w:val="001775F7"/>
    <w:rsid w:val="00177676"/>
    <w:rsid w:val="00177856"/>
    <w:rsid w:val="00177C38"/>
    <w:rsid w:val="00177C92"/>
    <w:rsid w:val="00177D40"/>
    <w:rsid w:val="00177E8A"/>
    <w:rsid w:val="00180843"/>
    <w:rsid w:val="00180D55"/>
    <w:rsid w:val="0018143C"/>
    <w:rsid w:val="00181444"/>
    <w:rsid w:val="00181CEA"/>
    <w:rsid w:val="0018212C"/>
    <w:rsid w:val="00182146"/>
    <w:rsid w:val="001823E5"/>
    <w:rsid w:val="001828E6"/>
    <w:rsid w:val="00182D84"/>
    <w:rsid w:val="00182DB5"/>
    <w:rsid w:val="00183564"/>
    <w:rsid w:val="00183584"/>
    <w:rsid w:val="00183969"/>
    <w:rsid w:val="00183AEF"/>
    <w:rsid w:val="00183BD1"/>
    <w:rsid w:val="00183D2F"/>
    <w:rsid w:val="00183D32"/>
    <w:rsid w:val="00183F19"/>
    <w:rsid w:val="00184525"/>
    <w:rsid w:val="0018465E"/>
    <w:rsid w:val="0018487B"/>
    <w:rsid w:val="001854AF"/>
    <w:rsid w:val="0018579C"/>
    <w:rsid w:val="00185B06"/>
    <w:rsid w:val="001865F7"/>
    <w:rsid w:val="001868C8"/>
    <w:rsid w:val="001869E2"/>
    <w:rsid w:val="00186A35"/>
    <w:rsid w:val="00186ACD"/>
    <w:rsid w:val="00186AE7"/>
    <w:rsid w:val="00186DBA"/>
    <w:rsid w:val="00186E6D"/>
    <w:rsid w:val="00186FC1"/>
    <w:rsid w:val="00187231"/>
    <w:rsid w:val="00187446"/>
    <w:rsid w:val="0018762A"/>
    <w:rsid w:val="00190046"/>
    <w:rsid w:val="00190479"/>
    <w:rsid w:val="00190693"/>
    <w:rsid w:val="0019080F"/>
    <w:rsid w:val="00190B79"/>
    <w:rsid w:val="0019122B"/>
    <w:rsid w:val="00191306"/>
    <w:rsid w:val="00191452"/>
    <w:rsid w:val="00191C87"/>
    <w:rsid w:val="00191F83"/>
    <w:rsid w:val="00191F90"/>
    <w:rsid w:val="00192200"/>
    <w:rsid w:val="001922C8"/>
    <w:rsid w:val="0019257A"/>
    <w:rsid w:val="001928C7"/>
    <w:rsid w:val="001928FA"/>
    <w:rsid w:val="001931FD"/>
    <w:rsid w:val="00193494"/>
    <w:rsid w:val="001936EF"/>
    <w:rsid w:val="00193C0D"/>
    <w:rsid w:val="00193D2F"/>
    <w:rsid w:val="0019401F"/>
    <w:rsid w:val="0019409A"/>
    <w:rsid w:val="0019446A"/>
    <w:rsid w:val="00194AD4"/>
    <w:rsid w:val="00194B88"/>
    <w:rsid w:val="00194C5A"/>
    <w:rsid w:val="001950C9"/>
    <w:rsid w:val="0019586D"/>
    <w:rsid w:val="0019589E"/>
    <w:rsid w:val="00195A0C"/>
    <w:rsid w:val="00195E38"/>
    <w:rsid w:val="001960AF"/>
    <w:rsid w:val="001969E9"/>
    <w:rsid w:val="001969EE"/>
    <w:rsid w:val="00196AA5"/>
    <w:rsid w:val="00196B88"/>
    <w:rsid w:val="00196CCB"/>
    <w:rsid w:val="0019767C"/>
    <w:rsid w:val="001976E2"/>
    <w:rsid w:val="0019794B"/>
    <w:rsid w:val="001979FC"/>
    <w:rsid w:val="00197E49"/>
    <w:rsid w:val="00197F31"/>
    <w:rsid w:val="001A0130"/>
    <w:rsid w:val="001A0408"/>
    <w:rsid w:val="001A06B7"/>
    <w:rsid w:val="001A098C"/>
    <w:rsid w:val="001A0A21"/>
    <w:rsid w:val="001A0B85"/>
    <w:rsid w:val="001A0F19"/>
    <w:rsid w:val="001A0FAA"/>
    <w:rsid w:val="001A12A3"/>
    <w:rsid w:val="001A1417"/>
    <w:rsid w:val="001A1510"/>
    <w:rsid w:val="001A1550"/>
    <w:rsid w:val="001A258B"/>
    <w:rsid w:val="001A25A3"/>
    <w:rsid w:val="001A26DD"/>
    <w:rsid w:val="001A2E8E"/>
    <w:rsid w:val="001A31F2"/>
    <w:rsid w:val="001A336B"/>
    <w:rsid w:val="001A3D40"/>
    <w:rsid w:val="001A3D7C"/>
    <w:rsid w:val="001A4985"/>
    <w:rsid w:val="001A4A83"/>
    <w:rsid w:val="001A4D5F"/>
    <w:rsid w:val="001A4EC6"/>
    <w:rsid w:val="001A4F36"/>
    <w:rsid w:val="001A52CB"/>
    <w:rsid w:val="001A531E"/>
    <w:rsid w:val="001A55A4"/>
    <w:rsid w:val="001A5918"/>
    <w:rsid w:val="001A5952"/>
    <w:rsid w:val="001A5A2D"/>
    <w:rsid w:val="001A5A5E"/>
    <w:rsid w:val="001A5ADB"/>
    <w:rsid w:val="001A5C8B"/>
    <w:rsid w:val="001A5C97"/>
    <w:rsid w:val="001A5E3F"/>
    <w:rsid w:val="001A6017"/>
    <w:rsid w:val="001A67CE"/>
    <w:rsid w:val="001A6B8B"/>
    <w:rsid w:val="001A6C09"/>
    <w:rsid w:val="001A6CD8"/>
    <w:rsid w:val="001A6CDA"/>
    <w:rsid w:val="001A7842"/>
    <w:rsid w:val="001A7993"/>
    <w:rsid w:val="001A79FA"/>
    <w:rsid w:val="001A7B3D"/>
    <w:rsid w:val="001A7CB0"/>
    <w:rsid w:val="001A7E68"/>
    <w:rsid w:val="001B0114"/>
    <w:rsid w:val="001B05F5"/>
    <w:rsid w:val="001B09A2"/>
    <w:rsid w:val="001B0CE4"/>
    <w:rsid w:val="001B0FD4"/>
    <w:rsid w:val="001B12D4"/>
    <w:rsid w:val="001B17A3"/>
    <w:rsid w:val="001B18BC"/>
    <w:rsid w:val="001B1A1D"/>
    <w:rsid w:val="001B1EF5"/>
    <w:rsid w:val="001B1F0D"/>
    <w:rsid w:val="001B231B"/>
    <w:rsid w:val="001B24F4"/>
    <w:rsid w:val="001B250D"/>
    <w:rsid w:val="001B2806"/>
    <w:rsid w:val="001B2A8C"/>
    <w:rsid w:val="001B2AC5"/>
    <w:rsid w:val="001B2BF5"/>
    <w:rsid w:val="001B312E"/>
    <w:rsid w:val="001B33B2"/>
    <w:rsid w:val="001B362D"/>
    <w:rsid w:val="001B3A14"/>
    <w:rsid w:val="001B3B95"/>
    <w:rsid w:val="001B3E62"/>
    <w:rsid w:val="001B41EA"/>
    <w:rsid w:val="001B43FE"/>
    <w:rsid w:val="001B457B"/>
    <w:rsid w:val="001B4606"/>
    <w:rsid w:val="001B4700"/>
    <w:rsid w:val="001B4771"/>
    <w:rsid w:val="001B4821"/>
    <w:rsid w:val="001B4DCC"/>
    <w:rsid w:val="001B519C"/>
    <w:rsid w:val="001B5206"/>
    <w:rsid w:val="001B5213"/>
    <w:rsid w:val="001B5252"/>
    <w:rsid w:val="001B54A5"/>
    <w:rsid w:val="001B58E2"/>
    <w:rsid w:val="001B5D8C"/>
    <w:rsid w:val="001B6146"/>
    <w:rsid w:val="001B6489"/>
    <w:rsid w:val="001B6517"/>
    <w:rsid w:val="001B6934"/>
    <w:rsid w:val="001B6B0B"/>
    <w:rsid w:val="001B6B99"/>
    <w:rsid w:val="001B6B9F"/>
    <w:rsid w:val="001B6CC6"/>
    <w:rsid w:val="001B700F"/>
    <w:rsid w:val="001B7340"/>
    <w:rsid w:val="001B7731"/>
    <w:rsid w:val="001B78DF"/>
    <w:rsid w:val="001B7C30"/>
    <w:rsid w:val="001B7D59"/>
    <w:rsid w:val="001B7F7B"/>
    <w:rsid w:val="001C1578"/>
    <w:rsid w:val="001C18D1"/>
    <w:rsid w:val="001C195B"/>
    <w:rsid w:val="001C1B00"/>
    <w:rsid w:val="001C1B9C"/>
    <w:rsid w:val="001C1DD9"/>
    <w:rsid w:val="001C1FC4"/>
    <w:rsid w:val="001C215C"/>
    <w:rsid w:val="001C221D"/>
    <w:rsid w:val="001C2CA4"/>
    <w:rsid w:val="001C2E84"/>
    <w:rsid w:val="001C2F6F"/>
    <w:rsid w:val="001C2F7E"/>
    <w:rsid w:val="001C354F"/>
    <w:rsid w:val="001C382C"/>
    <w:rsid w:val="001C3898"/>
    <w:rsid w:val="001C3A62"/>
    <w:rsid w:val="001C3A9D"/>
    <w:rsid w:val="001C4273"/>
    <w:rsid w:val="001C480E"/>
    <w:rsid w:val="001C4985"/>
    <w:rsid w:val="001C49B2"/>
    <w:rsid w:val="001C4AB9"/>
    <w:rsid w:val="001C4BA2"/>
    <w:rsid w:val="001C4DF3"/>
    <w:rsid w:val="001C50C4"/>
    <w:rsid w:val="001C50FC"/>
    <w:rsid w:val="001C5B7D"/>
    <w:rsid w:val="001C5C3D"/>
    <w:rsid w:val="001C5C78"/>
    <w:rsid w:val="001C6298"/>
    <w:rsid w:val="001C6573"/>
    <w:rsid w:val="001C7242"/>
    <w:rsid w:val="001C75E3"/>
    <w:rsid w:val="001C7BB1"/>
    <w:rsid w:val="001C7FB2"/>
    <w:rsid w:val="001D02EE"/>
    <w:rsid w:val="001D0382"/>
    <w:rsid w:val="001D03F1"/>
    <w:rsid w:val="001D0573"/>
    <w:rsid w:val="001D0585"/>
    <w:rsid w:val="001D0775"/>
    <w:rsid w:val="001D0AD0"/>
    <w:rsid w:val="001D0B89"/>
    <w:rsid w:val="001D0DD0"/>
    <w:rsid w:val="001D0EC9"/>
    <w:rsid w:val="001D1137"/>
    <w:rsid w:val="001D121A"/>
    <w:rsid w:val="001D131E"/>
    <w:rsid w:val="001D180F"/>
    <w:rsid w:val="001D195F"/>
    <w:rsid w:val="001D1B91"/>
    <w:rsid w:val="001D1E0C"/>
    <w:rsid w:val="001D205D"/>
    <w:rsid w:val="001D230B"/>
    <w:rsid w:val="001D2BC4"/>
    <w:rsid w:val="001D2EA3"/>
    <w:rsid w:val="001D2FDA"/>
    <w:rsid w:val="001D31AB"/>
    <w:rsid w:val="001D327E"/>
    <w:rsid w:val="001D33B1"/>
    <w:rsid w:val="001D34BB"/>
    <w:rsid w:val="001D37AC"/>
    <w:rsid w:val="001D3D33"/>
    <w:rsid w:val="001D4693"/>
    <w:rsid w:val="001D4836"/>
    <w:rsid w:val="001D49AD"/>
    <w:rsid w:val="001D5293"/>
    <w:rsid w:val="001D5430"/>
    <w:rsid w:val="001D5461"/>
    <w:rsid w:val="001D56B2"/>
    <w:rsid w:val="001D5872"/>
    <w:rsid w:val="001D58B1"/>
    <w:rsid w:val="001D5D17"/>
    <w:rsid w:val="001D5DCA"/>
    <w:rsid w:val="001D5F14"/>
    <w:rsid w:val="001D6464"/>
    <w:rsid w:val="001D656B"/>
    <w:rsid w:val="001D661E"/>
    <w:rsid w:val="001D664B"/>
    <w:rsid w:val="001D66DB"/>
    <w:rsid w:val="001D6B8F"/>
    <w:rsid w:val="001D6C45"/>
    <w:rsid w:val="001D75E2"/>
    <w:rsid w:val="001D7811"/>
    <w:rsid w:val="001D7B93"/>
    <w:rsid w:val="001D7C7C"/>
    <w:rsid w:val="001D7CE6"/>
    <w:rsid w:val="001D7D76"/>
    <w:rsid w:val="001D7E72"/>
    <w:rsid w:val="001E014C"/>
    <w:rsid w:val="001E042C"/>
    <w:rsid w:val="001E10BF"/>
    <w:rsid w:val="001E1329"/>
    <w:rsid w:val="001E1DD5"/>
    <w:rsid w:val="001E1E06"/>
    <w:rsid w:val="001E2018"/>
    <w:rsid w:val="001E2BF2"/>
    <w:rsid w:val="001E2C95"/>
    <w:rsid w:val="001E2DA2"/>
    <w:rsid w:val="001E2DCC"/>
    <w:rsid w:val="001E2E9C"/>
    <w:rsid w:val="001E2FE6"/>
    <w:rsid w:val="001E301A"/>
    <w:rsid w:val="001E30FF"/>
    <w:rsid w:val="001E312A"/>
    <w:rsid w:val="001E324D"/>
    <w:rsid w:val="001E3533"/>
    <w:rsid w:val="001E378C"/>
    <w:rsid w:val="001E3A08"/>
    <w:rsid w:val="001E3ADE"/>
    <w:rsid w:val="001E3AF7"/>
    <w:rsid w:val="001E3B5E"/>
    <w:rsid w:val="001E3EA0"/>
    <w:rsid w:val="001E3F29"/>
    <w:rsid w:val="001E3F2F"/>
    <w:rsid w:val="001E4126"/>
    <w:rsid w:val="001E4C2D"/>
    <w:rsid w:val="001E4C72"/>
    <w:rsid w:val="001E4E9E"/>
    <w:rsid w:val="001E527F"/>
    <w:rsid w:val="001E52F2"/>
    <w:rsid w:val="001E5352"/>
    <w:rsid w:val="001E53B6"/>
    <w:rsid w:val="001E5862"/>
    <w:rsid w:val="001E5907"/>
    <w:rsid w:val="001E5CCA"/>
    <w:rsid w:val="001E5CF1"/>
    <w:rsid w:val="001E5D98"/>
    <w:rsid w:val="001E6154"/>
    <w:rsid w:val="001E616A"/>
    <w:rsid w:val="001E61A0"/>
    <w:rsid w:val="001E61CA"/>
    <w:rsid w:val="001E6221"/>
    <w:rsid w:val="001E62F8"/>
    <w:rsid w:val="001E6664"/>
    <w:rsid w:val="001E67D4"/>
    <w:rsid w:val="001E688C"/>
    <w:rsid w:val="001E6A24"/>
    <w:rsid w:val="001E6A34"/>
    <w:rsid w:val="001E7311"/>
    <w:rsid w:val="001E73D1"/>
    <w:rsid w:val="001E7494"/>
    <w:rsid w:val="001E76B9"/>
    <w:rsid w:val="001E77F2"/>
    <w:rsid w:val="001E788B"/>
    <w:rsid w:val="001E78CA"/>
    <w:rsid w:val="001E7B3C"/>
    <w:rsid w:val="001E7C6E"/>
    <w:rsid w:val="001E7E5D"/>
    <w:rsid w:val="001E7EBE"/>
    <w:rsid w:val="001F04AD"/>
    <w:rsid w:val="001F072B"/>
    <w:rsid w:val="001F072D"/>
    <w:rsid w:val="001F0A39"/>
    <w:rsid w:val="001F0AD1"/>
    <w:rsid w:val="001F1130"/>
    <w:rsid w:val="001F117D"/>
    <w:rsid w:val="001F1448"/>
    <w:rsid w:val="001F14C8"/>
    <w:rsid w:val="001F15A7"/>
    <w:rsid w:val="001F1661"/>
    <w:rsid w:val="001F1C58"/>
    <w:rsid w:val="001F1D2C"/>
    <w:rsid w:val="001F240D"/>
    <w:rsid w:val="001F2903"/>
    <w:rsid w:val="001F2A25"/>
    <w:rsid w:val="001F2DAD"/>
    <w:rsid w:val="001F3306"/>
    <w:rsid w:val="001F35A5"/>
    <w:rsid w:val="001F39EF"/>
    <w:rsid w:val="001F3A4C"/>
    <w:rsid w:val="001F3A5A"/>
    <w:rsid w:val="001F3E2C"/>
    <w:rsid w:val="001F3F4D"/>
    <w:rsid w:val="001F406C"/>
    <w:rsid w:val="001F40EA"/>
    <w:rsid w:val="001F4128"/>
    <w:rsid w:val="001F4216"/>
    <w:rsid w:val="001F4222"/>
    <w:rsid w:val="001F4292"/>
    <w:rsid w:val="001F42E1"/>
    <w:rsid w:val="001F44CE"/>
    <w:rsid w:val="001F48CA"/>
    <w:rsid w:val="001F55C8"/>
    <w:rsid w:val="001F56E4"/>
    <w:rsid w:val="001F57A2"/>
    <w:rsid w:val="001F5CBC"/>
    <w:rsid w:val="001F5E8D"/>
    <w:rsid w:val="001F5F04"/>
    <w:rsid w:val="001F624C"/>
    <w:rsid w:val="001F661B"/>
    <w:rsid w:val="001F668A"/>
    <w:rsid w:val="001F68AD"/>
    <w:rsid w:val="001F6B32"/>
    <w:rsid w:val="001F6C2D"/>
    <w:rsid w:val="001F6CAC"/>
    <w:rsid w:val="001F6E8C"/>
    <w:rsid w:val="001F7581"/>
    <w:rsid w:val="001F78C8"/>
    <w:rsid w:val="001F7AE9"/>
    <w:rsid w:val="001F7CE7"/>
    <w:rsid w:val="001F7E3E"/>
    <w:rsid w:val="001F7E79"/>
    <w:rsid w:val="001F7E89"/>
    <w:rsid w:val="001F7ED5"/>
    <w:rsid w:val="001F7F23"/>
    <w:rsid w:val="002007FE"/>
    <w:rsid w:val="00200B39"/>
    <w:rsid w:val="00200C16"/>
    <w:rsid w:val="00200E9B"/>
    <w:rsid w:val="00200ED4"/>
    <w:rsid w:val="0020139C"/>
    <w:rsid w:val="00201439"/>
    <w:rsid w:val="00201511"/>
    <w:rsid w:val="0020170A"/>
    <w:rsid w:val="0020199E"/>
    <w:rsid w:val="00202012"/>
    <w:rsid w:val="0020201B"/>
    <w:rsid w:val="00202249"/>
    <w:rsid w:val="0020224A"/>
    <w:rsid w:val="0020257D"/>
    <w:rsid w:val="00202937"/>
    <w:rsid w:val="00202B01"/>
    <w:rsid w:val="00202D02"/>
    <w:rsid w:val="00202D47"/>
    <w:rsid w:val="00202D5D"/>
    <w:rsid w:val="00202D60"/>
    <w:rsid w:val="00202DDD"/>
    <w:rsid w:val="00203101"/>
    <w:rsid w:val="0020314C"/>
    <w:rsid w:val="00203355"/>
    <w:rsid w:val="00203716"/>
    <w:rsid w:val="00203A47"/>
    <w:rsid w:val="00203FC3"/>
    <w:rsid w:val="002040A5"/>
    <w:rsid w:val="00204856"/>
    <w:rsid w:val="00204861"/>
    <w:rsid w:val="00204902"/>
    <w:rsid w:val="00204BB0"/>
    <w:rsid w:val="00204D56"/>
    <w:rsid w:val="00204F3C"/>
    <w:rsid w:val="002050C4"/>
    <w:rsid w:val="00205880"/>
    <w:rsid w:val="00205EB4"/>
    <w:rsid w:val="00205ED3"/>
    <w:rsid w:val="00205EE5"/>
    <w:rsid w:val="0020645F"/>
    <w:rsid w:val="00206515"/>
    <w:rsid w:val="0020684C"/>
    <w:rsid w:val="00206872"/>
    <w:rsid w:val="0020691F"/>
    <w:rsid w:val="0020698D"/>
    <w:rsid w:val="00206B5F"/>
    <w:rsid w:val="00206B8E"/>
    <w:rsid w:val="00206CF7"/>
    <w:rsid w:val="00206D31"/>
    <w:rsid w:val="00206FA1"/>
    <w:rsid w:val="002071C0"/>
    <w:rsid w:val="002072C1"/>
    <w:rsid w:val="002077BD"/>
    <w:rsid w:val="0020786B"/>
    <w:rsid w:val="00207B67"/>
    <w:rsid w:val="00207BB9"/>
    <w:rsid w:val="00207D42"/>
    <w:rsid w:val="00210210"/>
    <w:rsid w:val="002105CB"/>
    <w:rsid w:val="00210AEE"/>
    <w:rsid w:val="00210C6A"/>
    <w:rsid w:val="00210CCB"/>
    <w:rsid w:val="00210CEB"/>
    <w:rsid w:val="00210DE9"/>
    <w:rsid w:val="00211207"/>
    <w:rsid w:val="002119D8"/>
    <w:rsid w:val="00211C6C"/>
    <w:rsid w:val="002120BB"/>
    <w:rsid w:val="00212550"/>
    <w:rsid w:val="0021264E"/>
    <w:rsid w:val="00212951"/>
    <w:rsid w:val="00212970"/>
    <w:rsid w:val="00212A56"/>
    <w:rsid w:val="00212A7F"/>
    <w:rsid w:val="00212B8F"/>
    <w:rsid w:val="0021330A"/>
    <w:rsid w:val="00213366"/>
    <w:rsid w:val="00213494"/>
    <w:rsid w:val="0021349B"/>
    <w:rsid w:val="002134E2"/>
    <w:rsid w:val="00213799"/>
    <w:rsid w:val="00213E9D"/>
    <w:rsid w:val="0021409B"/>
    <w:rsid w:val="0021438A"/>
    <w:rsid w:val="0021441D"/>
    <w:rsid w:val="002147FC"/>
    <w:rsid w:val="00214871"/>
    <w:rsid w:val="002148DC"/>
    <w:rsid w:val="00214B28"/>
    <w:rsid w:val="00214B8A"/>
    <w:rsid w:val="00214D0B"/>
    <w:rsid w:val="00214D40"/>
    <w:rsid w:val="00214E0E"/>
    <w:rsid w:val="0021515A"/>
    <w:rsid w:val="002151CA"/>
    <w:rsid w:val="00215516"/>
    <w:rsid w:val="002155B2"/>
    <w:rsid w:val="0021638F"/>
    <w:rsid w:val="002166C2"/>
    <w:rsid w:val="002167FC"/>
    <w:rsid w:val="00216994"/>
    <w:rsid w:val="002169D7"/>
    <w:rsid w:val="00216AE0"/>
    <w:rsid w:val="00217043"/>
    <w:rsid w:val="00217070"/>
    <w:rsid w:val="002172C2"/>
    <w:rsid w:val="002177E0"/>
    <w:rsid w:val="00217963"/>
    <w:rsid w:val="00217BF3"/>
    <w:rsid w:val="00217D36"/>
    <w:rsid w:val="00217FDD"/>
    <w:rsid w:val="0022008A"/>
    <w:rsid w:val="0022071C"/>
    <w:rsid w:val="002209FB"/>
    <w:rsid w:val="00220E4C"/>
    <w:rsid w:val="002210EB"/>
    <w:rsid w:val="002213BD"/>
    <w:rsid w:val="00221FEC"/>
    <w:rsid w:val="00222422"/>
    <w:rsid w:val="00222898"/>
    <w:rsid w:val="0022293B"/>
    <w:rsid w:val="00222AEE"/>
    <w:rsid w:val="00222B43"/>
    <w:rsid w:val="00222C9F"/>
    <w:rsid w:val="002233BF"/>
    <w:rsid w:val="002234FC"/>
    <w:rsid w:val="0022357F"/>
    <w:rsid w:val="00223928"/>
    <w:rsid w:val="00223949"/>
    <w:rsid w:val="00223C4F"/>
    <w:rsid w:val="00223DE3"/>
    <w:rsid w:val="0022406B"/>
    <w:rsid w:val="0022418C"/>
    <w:rsid w:val="002244E1"/>
    <w:rsid w:val="002247FC"/>
    <w:rsid w:val="002248C4"/>
    <w:rsid w:val="00224CAC"/>
    <w:rsid w:val="00224F2C"/>
    <w:rsid w:val="00224FF4"/>
    <w:rsid w:val="002250DB"/>
    <w:rsid w:val="0022527B"/>
    <w:rsid w:val="00225312"/>
    <w:rsid w:val="0022563B"/>
    <w:rsid w:val="0022564C"/>
    <w:rsid w:val="002258D2"/>
    <w:rsid w:val="00225AA5"/>
    <w:rsid w:val="00225E13"/>
    <w:rsid w:val="00226066"/>
    <w:rsid w:val="002261B6"/>
    <w:rsid w:val="00226363"/>
    <w:rsid w:val="0022649D"/>
    <w:rsid w:val="00226946"/>
    <w:rsid w:val="00226A74"/>
    <w:rsid w:val="00226D92"/>
    <w:rsid w:val="002270E9"/>
    <w:rsid w:val="00227430"/>
    <w:rsid w:val="00227576"/>
    <w:rsid w:val="002277CD"/>
    <w:rsid w:val="00227BC5"/>
    <w:rsid w:val="00227C8B"/>
    <w:rsid w:val="00230167"/>
    <w:rsid w:val="00230305"/>
    <w:rsid w:val="00230B67"/>
    <w:rsid w:val="00230CA2"/>
    <w:rsid w:val="00231090"/>
    <w:rsid w:val="00231250"/>
    <w:rsid w:val="002314C5"/>
    <w:rsid w:val="00231F5C"/>
    <w:rsid w:val="0023202A"/>
    <w:rsid w:val="00232181"/>
    <w:rsid w:val="00232565"/>
    <w:rsid w:val="00232720"/>
    <w:rsid w:val="002328F6"/>
    <w:rsid w:val="00232C6D"/>
    <w:rsid w:val="002334EA"/>
    <w:rsid w:val="0023355D"/>
    <w:rsid w:val="00233708"/>
    <w:rsid w:val="0023378D"/>
    <w:rsid w:val="0023387D"/>
    <w:rsid w:val="002339B3"/>
    <w:rsid w:val="00233AC2"/>
    <w:rsid w:val="00233D64"/>
    <w:rsid w:val="00233E2D"/>
    <w:rsid w:val="00234222"/>
    <w:rsid w:val="002343CA"/>
    <w:rsid w:val="00234822"/>
    <w:rsid w:val="00234974"/>
    <w:rsid w:val="00235217"/>
    <w:rsid w:val="00235A7C"/>
    <w:rsid w:val="00235E33"/>
    <w:rsid w:val="00235E6A"/>
    <w:rsid w:val="002361DE"/>
    <w:rsid w:val="00236204"/>
    <w:rsid w:val="00236696"/>
    <w:rsid w:val="0023769E"/>
    <w:rsid w:val="002376A9"/>
    <w:rsid w:val="0023781D"/>
    <w:rsid w:val="002379DC"/>
    <w:rsid w:val="002379DF"/>
    <w:rsid w:val="002401C1"/>
    <w:rsid w:val="00240A05"/>
    <w:rsid w:val="00240FE6"/>
    <w:rsid w:val="00241082"/>
    <w:rsid w:val="002410B4"/>
    <w:rsid w:val="00241228"/>
    <w:rsid w:val="002414E7"/>
    <w:rsid w:val="002417AD"/>
    <w:rsid w:val="00241BE7"/>
    <w:rsid w:val="00241C4E"/>
    <w:rsid w:val="00241E28"/>
    <w:rsid w:val="0024238D"/>
    <w:rsid w:val="002428A6"/>
    <w:rsid w:val="00242E32"/>
    <w:rsid w:val="00242E5F"/>
    <w:rsid w:val="00242EA5"/>
    <w:rsid w:val="00242F48"/>
    <w:rsid w:val="002430D0"/>
    <w:rsid w:val="002437BA"/>
    <w:rsid w:val="00243B05"/>
    <w:rsid w:val="00243C34"/>
    <w:rsid w:val="00243D44"/>
    <w:rsid w:val="00243E63"/>
    <w:rsid w:val="00243E99"/>
    <w:rsid w:val="0024434C"/>
    <w:rsid w:val="00244458"/>
    <w:rsid w:val="00244BB3"/>
    <w:rsid w:val="00244FEC"/>
    <w:rsid w:val="002452B5"/>
    <w:rsid w:val="0024558A"/>
    <w:rsid w:val="002456E5"/>
    <w:rsid w:val="00245A22"/>
    <w:rsid w:val="00245CA6"/>
    <w:rsid w:val="0024645F"/>
    <w:rsid w:val="00246976"/>
    <w:rsid w:val="00246B57"/>
    <w:rsid w:val="00246BB1"/>
    <w:rsid w:val="00246DEB"/>
    <w:rsid w:val="00246F0D"/>
    <w:rsid w:val="00247823"/>
    <w:rsid w:val="0024796F"/>
    <w:rsid w:val="00247E12"/>
    <w:rsid w:val="00250036"/>
    <w:rsid w:val="00250208"/>
    <w:rsid w:val="00250444"/>
    <w:rsid w:val="0025046C"/>
    <w:rsid w:val="00250B50"/>
    <w:rsid w:val="00250BE9"/>
    <w:rsid w:val="00250ED5"/>
    <w:rsid w:val="00250F66"/>
    <w:rsid w:val="00250FCA"/>
    <w:rsid w:val="00251606"/>
    <w:rsid w:val="00251756"/>
    <w:rsid w:val="002519C6"/>
    <w:rsid w:val="00251A10"/>
    <w:rsid w:val="00251B66"/>
    <w:rsid w:val="00251DE4"/>
    <w:rsid w:val="00252277"/>
    <w:rsid w:val="00252364"/>
    <w:rsid w:val="00252426"/>
    <w:rsid w:val="002527F2"/>
    <w:rsid w:val="0025289B"/>
    <w:rsid w:val="002529BD"/>
    <w:rsid w:val="00252D88"/>
    <w:rsid w:val="002531D5"/>
    <w:rsid w:val="00253335"/>
    <w:rsid w:val="002535E1"/>
    <w:rsid w:val="002536F9"/>
    <w:rsid w:val="00253798"/>
    <w:rsid w:val="00253AD5"/>
    <w:rsid w:val="002541C3"/>
    <w:rsid w:val="00254344"/>
    <w:rsid w:val="0025470D"/>
    <w:rsid w:val="0025485F"/>
    <w:rsid w:val="0025487B"/>
    <w:rsid w:val="00254886"/>
    <w:rsid w:val="002550FE"/>
    <w:rsid w:val="00255121"/>
    <w:rsid w:val="00255474"/>
    <w:rsid w:val="00255511"/>
    <w:rsid w:val="00255564"/>
    <w:rsid w:val="002555E6"/>
    <w:rsid w:val="002556F9"/>
    <w:rsid w:val="00255C9F"/>
    <w:rsid w:val="002563FA"/>
    <w:rsid w:val="002564B5"/>
    <w:rsid w:val="002564E8"/>
    <w:rsid w:val="0025686E"/>
    <w:rsid w:val="002569D5"/>
    <w:rsid w:val="00256CB9"/>
    <w:rsid w:val="00256D67"/>
    <w:rsid w:val="00256E61"/>
    <w:rsid w:val="002573A4"/>
    <w:rsid w:val="00257538"/>
    <w:rsid w:val="0025798E"/>
    <w:rsid w:val="00257D3E"/>
    <w:rsid w:val="002601FC"/>
    <w:rsid w:val="00260276"/>
    <w:rsid w:val="002603FE"/>
    <w:rsid w:val="0026050E"/>
    <w:rsid w:val="0026051E"/>
    <w:rsid w:val="002605FF"/>
    <w:rsid w:val="002606EC"/>
    <w:rsid w:val="00260911"/>
    <w:rsid w:val="00260A30"/>
    <w:rsid w:val="00260AA3"/>
    <w:rsid w:val="00260C36"/>
    <w:rsid w:val="00260CA7"/>
    <w:rsid w:val="00260DE0"/>
    <w:rsid w:val="00260DEA"/>
    <w:rsid w:val="00260F74"/>
    <w:rsid w:val="00260FB3"/>
    <w:rsid w:val="00261341"/>
    <w:rsid w:val="00261364"/>
    <w:rsid w:val="00261426"/>
    <w:rsid w:val="00261536"/>
    <w:rsid w:val="00261604"/>
    <w:rsid w:val="00261636"/>
    <w:rsid w:val="00261E77"/>
    <w:rsid w:val="00262019"/>
    <w:rsid w:val="002620E3"/>
    <w:rsid w:val="00262461"/>
    <w:rsid w:val="00262679"/>
    <w:rsid w:val="002626C5"/>
    <w:rsid w:val="0026275E"/>
    <w:rsid w:val="002629C0"/>
    <w:rsid w:val="002629CA"/>
    <w:rsid w:val="00262BD5"/>
    <w:rsid w:val="00262DBF"/>
    <w:rsid w:val="002631C4"/>
    <w:rsid w:val="00263480"/>
    <w:rsid w:val="00263805"/>
    <w:rsid w:val="0026382F"/>
    <w:rsid w:val="002638FD"/>
    <w:rsid w:val="00263EF6"/>
    <w:rsid w:val="00264112"/>
    <w:rsid w:val="00264852"/>
    <w:rsid w:val="00264F75"/>
    <w:rsid w:val="00265038"/>
    <w:rsid w:val="002650E7"/>
    <w:rsid w:val="002652D6"/>
    <w:rsid w:val="002654B0"/>
    <w:rsid w:val="002656D8"/>
    <w:rsid w:val="00265A12"/>
    <w:rsid w:val="00265BEF"/>
    <w:rsid w:val="0026628F"/>
    <w:rsid w:val="00266478"/>
    <w:rsid w:val="00266486"/>
    <w:rsid w:val="002666CA"/>
    <w:rsid w:val="002669EC"/>
    <w:rsid w:val="00266BF0"/>
    <w:rsid w:val="00266DC5"/>
    <w:rsid w:val="00266FC2"/>
    <w:rsid w:val="0026704D"/>
    <w:rsid w:val="002672B0"/>
    <w:rsid w:val="002674FE"/>
    <w:rsid w:val="0026757D"/>
    <w:rsid w:val="00267777"/>
    <w:rsid w:val="0026781E"/>
    <w:rsid w:val="00267986"/>
    <w:rsid w:val="00267B88"/>
    <w:rsid w:val="00267DA4"/>
    <w:rsid w:val="00267F61"/>
    <w:rsid w:val="00270064"/>
    <w:rsid w:val="00270334"/>
    <w:rsid w:val="002706B6"/>
    <w:rsid w:val="0027072B"/>
    <w:rsid w:val="00270E4E"/>
    <w:rsid w:val="00270F18"/>
    <w:rsid w:val="002712C9"/>
    <w:rsid w:val="00271452"/>
    <w:rsid w:val="002714EC"/>
    <w:rsid w:val="0027179C"/>
    <w:rsid w:val="00271D58"/>
    <w:rsid w:val="00271F17"/>
    <w:rsid w:val="002721F3"/>
    <w:rsid w:val="00272522"/>
    <w:rsid w:val="0027263E"/>
    <w:rsid w:val="002727E6"/>
    <w:rsid w:val="00272839"/>
    <w:rsid w:val="0027288A"/>
    <w:rsid w:val="0027294E"/>
    <w:rsid w:val="00272B58"/>
    <w:rsid w:val="00272CF4"/>
    <w:rsid w:val="00272DF5"/>
    <w:rsid w:val="002731C0"/>
    <w:rsid w:val="002732E5"/>
    <w:rsid w:val="0027414C"/>
    <w:rsid w:val="002743BC"/>
    <w:rsid w:val="00274597"/>
    <w:rsid w:val="00274974"/>
    <w:rsid w:val="00274BF6"/>
    <w:rsid w:val="00274E01"/>
    <w:rsid w:val="00274EEA"/>
    <w:rsid w:val="002751DC"/>
    <w:rsid w:val="0027536D"/>
    <w:rsid w:val="00275420"/>
    <w:rsid w:val="002756A2"/>
    <w:rsid w:val="00275C52"/>
    <w:rsid w:val="00275EB9"/>
    <w:rsid w:val="00276253"/>
    <w:rsid w:val="00276956"/>
    <w:rsid w:val="00276BBE"/>
    <w:rsid w:val="00276E4B"/>
    <w:rsid w:val="00277239"/>
    <w:rsid w:val="0027725C"/>
    <w:rsid w:val="002772A4"/>
    <w:rsid w:val="00277AAB"/>
    <w:rsid w:val="00277BC4"/>
    <w:rsid w:val="00277E0C"/>
    <w:rsid w:val="00277E8C"/>
    <w:rsid w:val="00280355"/>
    <w:rsid w:val="002809E1"/>
    <w:rsid w:val="00280B06"/>
    <w:rsid w:val="00280E98"/>
    <w:rsid w:val="00280EA0"/>
    <w:rsid w:val="00281098"/>
    <w:rsid w:val="00281201"/>
    <w:rsid w:val="002816B0"/>
    <w:rsid w:val="00281EEA"/>
    <w:rsid w:val="00281FCB"/>
    <w:rsid w:val="0028242F"/>
    <w:rsid w:val="002825AB"/>
    <w:rsid w:val="002827AB"/>
    <w:rsid w:val="00282A18"/>
    <w:rsid w:val="00282A95"/>
    <w:rsid w:val="00282FBC"/>
    <w:rsid w:val="00282FDB"/>
    <w:rsid w:val="002833A4"/>
    <w:rsid w:val="00283547"/>
    <w:rsid w:val="002837D8"/>
    <w:rsid w:val="0028389B"/>
    <w:rsid w:val="002838F7"/>
    <w:rsid w:val="0028393B"/>
    <w:rsid w:val="00283ADB"/>
    <w:rsid w:val="00283B38"/>
    <w:rsid w:val="00283DD7"/>
    <w:rsid w:val="00284395"/>
    <w:rsid w:val="00284946"/>
    <w:rsid w:val="00284B31"/>
    <w:rsid w:val="00284C5B"/>
    <w:rsid w:val="00284C94"/>
    <w:rsid w:val="00284D0C"/>
    <w:rsid w:val="00284D66"/>
    <w:rsid w:val="00285792"/>
    <w:rsid w:val="00285AC3"/>
    <w:rsid w:val="00285C22"/>
    <w:rsid w:val="00286053"/>
    <w:rsid w:val="002860BA"/>
    <w:rsid w:val="00286108"/>
    <w:rsid w:val="00286191"/>
    <w:rsid w:val="00286387"/>
    <w:rsid w:val="002863D0"/>
    <w:rsid w:val="0028654F"/>
    <w:rsid w:val="002868D0"/>
    <w:rsid w:val="00286B8C"/>
    <w:rsid w:val="0028743C"/>
    <w:rsid w:val="002875AA"/>
    <w:rsid w:val="002879B7"/>
    <w:rsid w:val="00287ADA"/>
    <w:rsid w:val="00290305"/>
    <w:rsid w:val="0029031B"/>
    <w:rsid w:val="00290473"/>
    <w:rsid w:val="00290AD1"/>
    <w:rsid w:val="00290B4E"/>
    <w:rsid w:val="00290C4F"/>
    <w:rsid w:val="00290CEB"/>
    <w:rsid w:val="0029123C"/>
    <w:rsid w:val="002915C2"/>
    <w:rsid w:val="00291A35"/>
    <w:rsid w:val="00291C0F"/>
    <w:rsid w:val="00291F5C"/>
    <w:rsid w:val="00292348"/>
    <w:rsid w:val="00292371"/>
    <w:rsid w:val="002926F9"/>
    <w:rsid w:val="002927A7"/>
    <w:rsid w:val="002927B1"/>
    <w:rsid w:val="0029284C"/>
    <w:rsid w:val="00292898"/>
    <w:rsid w:val="002929D1"/>
    <w:rsid w:val="00293062"/>
    <w:rsid w:val="002934DF"/>
    <w:rsid w:val="002939B8"/>
    <w:rsid w:val="00293BBE"/>
    <w:rsid w:val="00293C50"/>
    <w:rsid w:val="00293DEE"/>
    <w:rsid w:val="00293F95"/>
    <w:rsid w:val="00294030"/>
    <w:rsid w:val="00294319"/>
    <w:rsid w:val="00294409"/>
    <w:rsid w:val="0029443E"/>
    <w:rsid w:val="0029450B"/>
    <w:rsid w:val="00294AB5"/>
    <w:rsid w:val="00294E29"/>
    <w:rsid w:val="0029509B"/>
    <w:rsid w:val="0029564D"/>
    <w:rsid w:val="002956A0"/>
    <w:rsid w:val="00295868"/>
    <w:rsid w:val="00295A21"/>
    <w:rsid w:val="00295BEF"/>
    <w:rsid w:val="00295C32"/>
    <w:rsid w:val="00295C4E"/>
    <w:rsid w:val="0029606A"/>
    <w:rsid w:val="00296093"/>
    <w:rsid w:val="0029617D"/>
    <w:rsid w:val="0029647C"/>
    <w:rsid w:val="00296742"/>
    <w:rsid w:val="0029674F"/>
    <w:rsid w:val="002967F1"/>
    <w:rsid w:val="00296921"/>
    <w:rsid w:val="00296C68"/>
    <w:rsid w:val="002970C1"/>
    <w:rsid w:val="0029721B"/>
    <w:rsid w:val="00297C22"/>
    <w:rsid w:val="002A0133"/>
    <w:rsid w:val="002A0724"/>
    <w:rsid w:val="002A0C5B"/>
    <w:rsid w:val="002A107B"/>
    <w:rsid w:val="002A1393"/>
    <w:rsid w:val="002A139A"/>
    <w:rsid w:val="002A1516"/>
    <w:rsid w:val="002A16D9"/>
    <w:rsid w:val="002A1F1A"/>
    <w:rsid w:val="002A1F55"/>
    <w:rsid w:val="002A1FD0"/>
    <w:rsid w:val="002A206C"/>
    <w:rsid w:val="002A2099"/>
    <w:rsid w:val="002A2145"/>
    <w:rsid w:val="002A21F2"/>
    <w:rsid w:val="002A2268"/>
    <w:rsid w:val="002A22B8"/>
    <w:rsid w:val="002A24F7"/>
    <w:rsid w:val="002A250F"/>
    <w:rsid w:val="002A2B17"/>
    <w:rsid w:val="002A2C5F"/>
    <w:rsid w:val="002A335B"/>
    <w:rsid w:val="002A33EB"/>
    <w:rsid w:val="002A345C"/>
    <w:rsid w:val="002A347D"/>
    <w:rsid w:val="002A34C4"/>
    <w:rsid w:val="002A37DF"/>
    <w:rsid w:val="002A39A0"/>
    <w:rsid w:val="002A3C6D"/>
    <w:rsid w:val="002A3FA9"/>
    <w:rsid w:val="002A40CF"/>
    <w:rsid w:val="002A44C2"/>
    <w:rsid w:val="002A48A8"/>
    <w:rsid w:val="002A4BBE"/>
    <w:rsid w:val="002A519C"/>
    <w:rsid w:val="002A58A5"/>
    <w:rsid w:val="002A5D88"/>
    <w:rsid w:val="002A667B"/>
    <w:rsid w:val="002A66B8"/>
    <w:rsid w:val="002A697A"/>
    <w:rsid w:val="002A6AB4"/>
    <w:rsid w:val="002A6E84"/>
    <w:rsid w:val="002A70B6"/>
    <w:rsid w:val="002A742B"/>
    <w:rsid w:val="002A77FC"/>
    <w:rsid w:val="002A7EEF"/>
    <w:rsid w:val="002B0071"/>
    <w:rsid w:val="002B0114"/>
    <w:rsid w:val="002B017E"/>
    <w:rsid w:val="002B029D"/>
    <w:rsid w:val="002B051D"/>
    <w:rsid w:val="002B0630"/>
    <w:rsid w:val="002B089D"/>
    <w:rsid w:val="002B0A1C"/>
    <w:rsid w:val="002B0B18"/>
    <w:rsid w:val="002B0C71"/>
    <w:rsid w:val="002B1352"/>
    <w:rsid w:val="002B1480"/>
    <w:rsid w:val="002B1643"/>
    <w:rsid w:val="002B16D6"/>
    <w:rsid w:val="002B1B72"/>
    <w:rsid w:val="002B1B98"/>
    <w:rsid w:val="002B1BFE"/>
    <w:rsid w:val="002B1E49"/>
    <w:rsid w:val="002B1FE9"/>
    <w:rsid w:val="002B21DE"/>
    <w:rsid w:val="002B22EC"/>
    <w:rsid w:val="002B2417"/>
    <w:rsid w:val="002B2688"/>
    <w:rsid w:val="002B2FB8"/>
    <w:rsid w:val="002B3031"/>
    <w:rsid w:val="002B35B6"/>
    <w:rsid w:val="002B35E2"/>
    <w:rsid w:val="002B361F"/>
    <w:rsid w:val="002B3644"/>
    <w:rsid w:val="002B3732"/>
    <w:rsid w:val="002B3808"/>
    <w:rsid w:val="002B38F1"/>
    <w:rsid w:val="002B3C4E"/>
    <w:rsid w:val="002B3D78"/>
    <w:rsid w:val="002B3E39"/>
    <w:rsid w:val="002B3F87"/>
    <w:rsid w:val="002B3FD1"/>
    <w:rsid w:val="002B3FE7"/>
    <w:rsid w:val="002B4167"/>
    <w:rsid w:val="002B4373"/>
    <w:rsid w:val="002B469F"/>
    <w:rsid w:val="002B496A"/>
    <w:rsid w:val="002B4987"/>
    <w:rsid w:val="002B4A1D"/>
    <w:rsid w:val="002B4A96"/>
    <w:rsid w:val="002B4B82"/>
    <w:rsid w:val="002B5DD5"/>
    <w:rsid w:val="002B61A6"/>
    <w:rsid w:val="002B6665"/>
    <w:rsid w:val="002B66A5"/>
    <w:rsid w:val="002B68BC"/>
    <w:rsid w:val="002B690B"/>
    <w:rsid w:val="002B6A10"/>
    <w:rsid w:val="002B6B5E"/>
    <w:rsid w:val="002B6D05"/>
    <w:rsid w:val="002B6D44"/>
    <w:rsid w:val="002B6E2A"/>
    <w:rsid w:val="002B70D5"/>
    <w:rsid w:val="002B70EA"/>
    <w:rsid w:val="002B74CD"/>
    <w:rsid w:val="002B7757"/>
    <w:rsid w:val="002B77EA"/>
    <w:rsid w:val="002B797C"/>
    <w:rsid w:val="002B7B49"/>
    <w:rsid w:val="002B7B9F"/>
    <w:rsid w:val="002B7C8C"/>
    <w:rsid w:val="002B7CB7"/>
    <w:rsid w:val="002C008A"/>
    <w:rsid w:val="002C02DA"/>
    <w:rsid w:val="002C0330"/>
    <w:rsid w:val="002C03D8"/>
    <w:rsid w:val="002C049C"/>
    <w:rsid w:val="002C0AAF"/>
    <w:rsid w:val="002C0ABD"/>
    <w:rsid w:val="002C0D3B"/>
    <w:rsid w:val="002C0E38"/>
    <w:rsid w:val="002C1111"/>
    <w:rsid w:val="002C11B4"/>
    <w:rsid w:val="002C12A2"/>
    <w:rsid w:val="002C1319"/>
    <w:rsid w:val="002C14B5"/>
    <w:rsid w:val="002C153F"/>
    <w:rsid w:val="002C1F8F"/>
    <w:rsid w:val="002C2877"/>
    <w:rsid w:val="002C2973"/>
    <w:rsid w:val="002C2A73"/>
    <w:rsid w:val="002C2F4F"/>
    <w:rsid w:val="002C3310"/>
    <w:rsid w:val="002C3441"/>
    <w:rsid w:val="002C3BE6"/>
    <w:rsid w:val="002C44E2"/>
    <w:rsid w:val="002C4629"/>
    <w:rsid w:val="002C49DC"/>
    <w:rsid w:val="002C4A15"/>
    <w:rsid w:val="002C4B84"/>
    <w:rsid w:val="002C4D44"/>
    <w:rsid w:val="002C59F2"/>
    <w:rsid w:val="002C5B0F"/>
    <w:rsid w:val="002C6003"/>
    <w:rsid w:val="002C6306"/>
    <w:rsid w:val="002C6F4A"/>
    <w:rsid w:val="002C73D5"/>
    <w:rsid w:val="002C7AC0"/>
    <w:rsid w:val="002C7AEF"/>
    <w:rsid w:val="002C7BA0"/>
    <w:rsid w:val="002C7C46"/>
    <w:rsid w:val="002C7E3D"/>
    <w:rsid w:val="002C7F7C"/>
    <w:rsid w:val="002D0208"/>
    <w:rsid w:val="002D02CD"/>
    <w:rsid w:val="002D037A"/>
    <w:rsid w:val="002D03BB"/>
    <w:rsid w:val="002D06D8"/>
    <w:rsid w:val="002D06F1"/>
    <w:rsid w:val="002D0832"/>
    <w:rsid w:val="002D0B74"/>
    <w:rsid w:val="002D0F8E"/>
    <w:rsid w:val="002D13B2"/>
    <w:rsid w:val="002D1634"/>
    <w:rsid w:val="002D174E"/>
    <w:rsid w:val="002D184C"/>
    <w:rsid w:val="002D1A98"/>
    <w:rsid w:val="002D1D9C"/>
    <w:rsid w:val="002D20CA"/>
    <w:rsid w:val="002D21E8"/>
    <w:rsid w:val="002D25C9"/>
    <w:rsid w:val="002D2900"/>
    <w:rsid w:val="002D2D5E"/>
    <w:rsid w:val="002D2F6F"/>
    <w:rsid w:val="002D2F9C"/>
    <w:rsid w:val="002D30F1"/>
    <w:rsid w:val="002D3160"/>
    <w:rsid w:val="002D31E6"/>
    <w:rsid w:val="002D3527"/>
    <w:rsid w:val="002D3591"/>
    <w:rsid w:val="002D379C"/>
    <w:rsid w:val="002D3B2E"/>
    <w:rsid w:val="002D3E8B"/>
    <w:rsid w:val="002D3EE1"/>
    <w:rsid w:val="002D3F22"/>
    <w:rsid w:val="002D42F7"/>
    <w:rsid w:val="002D44E1"/>
    <w:rsid w:val="002D4643"/>
    <w:rsid w:val="002D46E4"/>
    <w:rsid w:val="002D480D"/>
    <w:rsid w:val="002D4841"/>
    <w:rsid w:val="002D4955"/>
    <w:rsid w:val="002D4D94"/>
    <w:rsid w:val="002D4FDA"/>
    <w:rsid w:val="002D50D5"/>
    <w:rsid w:val="002D5291"/>
    <w:rsid w:val="002D5542"/>
    <w:rsid w:val="002D5BB5"/>
    <w:rsid w:val="002D60DC"/>
    <w:rsid w:val="002D62F0"/>
    <w:rsid w:val="002D6512"/>
    <w:rsid w:val="002D6B09"/>
    <w:rsid w:val="002D6FFE"/>
    <w:rsid w:val="002D706A"/>
    <w:rsid w:val="002D728D"/>
    <w:rsid w:val="002D75DC"/>
    <w:rsid w:val="002D77CD"/>
    <w:rsid w:val="002D797D"/>
    <w:rsid w:val="002D7C10"/>
    <w:rsid w:val="002D7E5D"/>
    <w:rsid w:val="002D7F57"/>
    <w:rsid w:val="002E00A3"/>
    <w:rsid w:val="002E0339"/>
    <w:rsid w:val="002E048A"/>
    <w:rsid w:val="002E0647"/>
    <w:rsid w:val="002E06D6"/>
    <w:rsid w:val="002E0784"/>
    <w:rsid w:val="002E08A7"/>
    <w:rsid w:val="002E114B"/>
    <w:rsid w:val="002E151B"/>
    <w:rsid w:val="002E1536"/>
    <w:rsid w:val="002E23A5"/>
    <w:rsid w:val="002E246E"/>
    <w:rsid w:val="002E255A"/>
    <w:rsid w:val="002E25E6"/>
    <w:rsid w:val="002E2870"/>
    <w:rsid w:val="002E2ADF"/>
    <w:rsid w:val="002E2BA4"/>
    <w:rsid w:val="002E2BFB"/>
    <w:rsid w:val="002E2E85"/>
    <w:rsid w:val="002E3024"/>
    <w:rsid w:val="002E31E1"/>
    <w:rsid w:val="002E3848"/>
    <w:rsid w:val="002E389E"/>
    <w:rsid w:val="002E39AE"/>
    <w:rsid w:val="002E3AFF"/>
    <w:rsid w:val="002E40E6"/>
    <w:rsid w:val="002E40FF"/>
    <w:rsid w:val="002E469E"/>
    <w:rsid w:val="002E479E"/>
    <w:rsid w:val="002E47A8"/>
    <w:rsid w:val="002E48C3"/>
    <w:rsid w:val="002E49FB"/>
    <w:rsid w:val="002E4A11"/>
    <w:rsid w:val="002E4C57"/>
    <w:rsid w:val="002E4E6F"/>
    <w:rsid w:val="002E5173"/>
    <w:rsid w:val="002E51D8"/>
    <w:rsid w:val="002E5769"/>
    <w:rsid w:val="002E5ABC"/>
    <w:rsid w:val="002E5B90"/>
    <w:rsid w:val="002E6720"/>
    <w:rsid w:val="002E6AF7"/>
    <w:rsid w:val="002E6B21"/>
    <w:rsid w:val="002E7078"/>
    <w:rsid w:val="002E7879"/>
    <w:rsid w:val="002E7A7F"/>
    <w:rsid w:val="002E7C75"/>
    <w:rsid w:val="002E7EAC"/>
    <w:rsid w:val="002E7ED0"/>
    <w:rsid w:val="002E7EFF"/>
    <w:rsid w:val="002F0093"/>
    <w:rsid w:val="002F013D"/>
    <w:rsid w:val="002F0148"/>
    <w:rsid w:val="002F040C"/>
    <w:rsid w:val="002F0454"/>
    <w:rsid w:val="002F057A"/>
    <w:rsid w:val="002F072B"/>
    <w:rsid w:val="002F07A4"/>
    <w:rsid w:val="002F0BDF"/>
    <w:rsid w:val="002F0F9D"/>
    <w:rsid w:val="002F0FBA"/>
    <w:rsid w:val="002F1014"/>
    <w:rsid w:val="002F1060"/>
    <w:rsid w:val="002F1064"/>
    <w:rsid w:val="002F10C0"/>
    <w:rsid w:val="002F1245"/>
    <w:rsid w:val="002F1378"/>
    <w:rsid w:val="002F155E"/>
    <w:rsid w:val="002F1B9A"/>
    <w:rsid w:val="002F21FB"/>
    <w:rsid w:val="002F22D6"/>
    <w:rsid w:val="002F24F6"/>
    <w:rsid w:val="002F2654"/>
    <w:rsid w:val="002F26FD"/>
    <w:rsid w:val="002F2737"/>
    <w:rsid w:val="002F279D"/>
    <w:rsid w:val="002F29E6"/>
    <w:rsid w:val="002F2ED2"/>
    <w:rsid w:val="002F3153"/>
    <w:rsid w:val="002F35DF"/>
    <w:rsid w:val="002F3A6D"/>
    <w:rsid w:val="002F3CB5"/>
    <w:rsid w:val="002F4429"/>
    <w:rsid w:val="002F4A89"/>
    <w:rsid w:val="002F4AB1"/>
    <w:rsid w:val="002F4D0F"/>
    <w:rsid w:val="002F4F9F"/>
    <w:rsid w:val="002F5201"/>
    <w:rsid w:val="002F521F"/>
    <w:rsid w:val="002F52D7"/>
    <w:rsid w:val="002F5342"/>
    <w:rsid w:val="002F567C"/>
    <w:rsid w:val="002F57DB"/>
    <w:rsid w:val="002F5839"/>
    <w:rsid w:val="002F5996"/>
    <w:rsid w:val="002F5A7C"/>
    <w:rsid w:val="002F5C33"/>
    <w:rsid w:val="002F6529"/>
    <w:rsid w:val="002F67B3"/>
    <w:rsid w:val="002F689F"/>
    <w:rsid w:val="002F6A78"/>
    <w:rsid w:val="002F6C81"/>
    <w:rsid w:val="002F6D49"/>
    <w:rsid w:val="002F6E8F"/>
    <w:rsid w:val="002F748A"/>
    <w:rsid w:val="002F7CD6"/>
    <w:rsid w:val="002F7EB6"/>
    <w:rsid w:val="002F7EE8"/>
    <w:rsid w:val="002F7FD4"/>
    <w:rsid w:val="00300074"/>
    <w:rsid w:val="00300092"/>
    <w:rsid w:val="00300197"/>
    <w:rsid w:val="00300292"/>
    <w:rsid w:val="003006BF"/>
    <w:rsid w:val="0030089C"/>
    <w:rsid w:val="00300A07"/>
    <w:rsid w:val="00300B28"/>
    <w:rsid w:val="0030112D"/>
    <w:rsid w:val="0030126C"/>
    <w:rsid w:val="0030143C"/>
    <w:rsid w:val="003014F3"/>
    <w:rsid w:val="003016BE"/>
    <w:rsid w:val="00301B1D"/>
    <w:rsid w:val="00301C2A"/>
    <w:rsid w:val="003021EF"/>
    <w:rsid w:val="00302217"/>
    <w:rsid w:val="00302224"/>
    <w:rsid w:val="00302295"/>
    <w:rsid w:val="0030234D"/>
    <w:rsid w:val="003028C8"/>
    <w:rsid w:val="0030294D"/>
    <w:rsid w:val="00302D12"/>
    <w:rsid w:val="00302D48"/>
    <w:rsid w:val="00302E5E"/>
    <w:rsid w:val="00303035"/>
    <w:rsid w:val="00303068"/>
    <w:rsid w:val="0030334D"/>
    <w:rsid w:val="00303691"/>
    <w:rsid w:val="00303AD0"/>
    <w:rsid w:val="003044C2"/>
    <w:rsid w:val="00304B00"/>
    <w:rsid w:val="00304B92"/>
    <w:rsid w:val="00304CAA"/>
    <w:rsid w:val="00304DDE"/>
    <w:rsid w:val="003052FB"/>
    <w:rsid w:val="00305549"/>
    <w:rsid w:val="00305732"/>
    <w:rsid w:val="0030577E"/>
    <w:rsid w:val="00305E08"/>
    <w:rsid w:val="00306376"/>
    <w:rsid w:val="0030665C"/>
    <w:rsid w:val="00306884"/>
    <w:rsid w:val="003068DF"/>
    <w:rsid w:val="0030712E"/>
    <w:rsid w:val="003073E1"/>
    <w:rsid w:val="00307526"/>
    <w:rsid w:val="003076D3"/>
    <w:rsid w:val="003076F3"/>
    <w:rsid w:val="00307991"/>
    <w:rsid w:val="00307AB5"/>
    <w:rsid w:val="00307DD6"/>
    <w:rsid w:val="0031013C"/>
    <w:rsid w:val="00310613"/>
    <w:rsid w:val="00310663"/>
    <w:rsid w:val="00310BED"/>
    <w:rsid w:val="00310ED3"/>
    <w:rsid w:val="00310FCF"/>
    <w:rsid w:val="003112B4"/>
    <w:rsid w:val="00311610"/>
    <w:rsid w:val="00311B8E"/>
    <w:rsid w:val="00311E33"/>
    <w:rsid w:val="003125A9"/>
    <w:rsid w:val="00312874"/>
    <w:rsid w:val="003128B4"/>
    <w:rsid w:val="003129A3"/>
    <w:rsid w:val="00312F0E"/>
    <w:rsid w:val="00313389"/>
    <w:rsid w:val="00313707"/>
    <w:rsid w:val="00313776"/>
    <w:rsid w:val="00313778"/>
    <w:rsid w:val="003138D4"/>
    <w:rsid w:val="00313BCC"/>
    <w:rsid w:val="00313C0A"/>
    <w:rsid w:val="00314205"/>
    <w:rsid w:val="003149AA"/>
    <w:rsid w:val="00314E76"/>
    <w:rsid w:val="0031500E"/>
    <w:rsid w:val="00315184"/>
    <w:rsid w:val="00315319"/>
    <w:rsid w:val="003153C8"/>
    <w:rsid w:val="00315487"/>
    <w:rsid w:val="003155CC"/>
    <w:rsid w:val="00315980"/>
    <w:rsid w:val="00315AFC"/>
    <w:rsid w:val="00315D91"/>
    <w:rsid w:val="003160E2"/>
    <w:rsid w:val="00316160"/>
    <w:rsid w:val="0031630E"/>
    <w:rsid w:val="00316550"/>
    <w:rsid w:val="0031656C"/>
    <w:rsid w:val="003165D6"/>
    <w:rsid w:val="00316B4F"/>
    <w:rsid w:val="003170B8"/>
    <w:rsid w:val="003171A5"/>
    <w:rsid w:val="00317818"/>
    <w:rsid w:val="0031790A"/>
    <w:rsid w:val="00317ECD"/>
    <w:rsid w:val="003200CB"/>
    <w:rsid w:val="00320465"/>
    <w:rsid w:val="00320510"/>
    <w:rsid w:val="00320C24"/>
    <w:rsid w:val="00320F6F"/>
    <w:rsid w:val="00321349"/>
    <w:rsid w:val="0032143A"/>
    <w:rsid w:val="00321725"/>
    <w:rsid w:val="00321844"/>
    <w:rsid w:val="00321849"/>
    <w:rsid w:val="00322257"/>
    <w:rsid w:val="00322577"/>
    <w:rsid w:val="00322752"/>
    <w:rsid w:val="00322CB1"/>
    <w:rsid w:val="00322FFA"/>
    <w:rsid w:val="00323344"/>
    <w:rsid w:val="003237A6"/>
    <w:rsid w:val="00323B0E"/>
    <w:rsid w:val="00323E59"/>
    <w:rsid w:val="0032435F"/>
    <w:rsid w:val="00324488"/>
    <w:rsid w:val="00324A21"/>
    <w:rsid w:val="00324B6C"/>
    <w:rsid w:val="00324CB4"/>
    <w:rsid w:val="00324E4B"/>
    <w:rsid w:val="00325221"/>
    <w:rsid w:val="0032522E"/>
    <w:rsid w:val="00325BC3"/>
    <w:rsid w:val="00325BCA"/>
    <w:rsid w:val="00326060"/>
    <w:rsid w:val="0032612F"/>
    <w:rsid w:val="003262FD"/>
    <w:rsid w:val="00326470"/>
    <w:rsid w:val="003268EB"/>
    <w:rsid w:val="00326F23"/>
    <w:rsid w:val="00327366"/>
    <w:rsid w:val="003273F9"/>
    <w:rsid w:val="00327A39"/>
    <w:rsid w:val="00327AFB"/>
    <w:rsid w:val="00327BF3"/>
    <w:rsid w:val="00330091"/>
    <w:rsid w:val="0033032D"/>
    <w:rsid w:val="0033035D"/>
    <w:rsid w:val="0033078A"/>
    <w:rsid w:val="00330922"/>
    <w:rsid w:val="00330F46"/>
    <w:rsid w:val="00330F9C"/>
    <w:rsid w:val="00330FBD"/>
    <w:rsid w:val="00331022"/>
    <w:rsid w:val="003310B8"/>
    <w:rsid w:val="0033191C"/>
    <w:rsid w:val="00331955"/>
    <w:rsid w:val="0033202E"/>
    <w:rsid w:val="0033279C"/>
    <w:rsid w:val="00332880"/>
    <w:rsid w:val="003329B4"/>
    <w:rsid w:val="00332AFE"/>
    <w:rsid w:val="00332E05"/>
    <w:rsid w:val="00332EAA"/>
    <w:rsid w:val="00333063"/>
    <w:rsid w:val="003330AF"/>
    <w:rsid w:val="00333187"/>
    <w:rsid w:val="003333A4"/>
    <w:rsid w:val="0033347F"/>
    <w:rsid w:val="003334D4"/>
    <w:rsid w:val="00333B8F"/>
    <w:rsid w:val="003340CD"/>
    <w:rsid w:val="00334A57"/>
    <w:rsid w:val="00334BFD"/>
    <w:rsid w:val="00334F66"/>
    <w:rsid w:val="00335315"/>
    <w:rsid w:val="003355F9"/>
    <w:rsid w:val="00335761"/>
    <w:rsid w:val="0033602E"/>
    <w:rsid w:val="00336100"/>
    <w:rsid w:val="003368D3"/>
    <w:rsid w:val="0033690A"/>
    <w:rsid w:val="0033691F"/>
    <w:rsid w:val="00336F46"/>
    <w:rsid w:val="00337383"/>
    <w:rsid w:val="00337522"/>
    <w:rsid w:val="003377CB"/>
    <w:rsid w:val="003378ED"/>
    <w:rsid w:val="00337951"/>
    <w:rsid w:val="00337D80"/>
    <w:rsid w:val="00337DBA"/>
    <w:rsid w:val="0034013E"/>
    <w:rsid w:val="003401FB"/>
    <w:rsid w:val="003407B7"/>
    <w:rsid w:val="00340AD5"/>
    <w:rsid w:val="00340B49"/>
    <w:rsid w:val="00341241"/>
    <w:rsid w:val="003412EC"/>
    <w:rsid w:val="00341805"/>
    <w:rsid w:val="00341BE9"/>
    <w:rsid w:val="00341C62"/>
    <w:rsid w:val="00341DD1"/>
    <w:rsid w:val="00341FC7"/>
    <w:rsid w:val="00342707"/>
    <w:rsid w:val="0034298A"/>
    <w:rsid w:val="00342BC7"/>
    <w:rsid w:val="00342CF5"/>
    <w:rsid w:val="00342F57"/>
    <w:rsid w:val="00343226"/>
    <w:rsid w:val="00343335"/>
    <w:rsid w:val="00343573"/>
    <w:rsid w:val="003435DC"/>
    <w:rsid w:val="0034368A"/>
    <w:rsid w:val="003436DC"/>
    <w:rsid w:val="003437E5"/>
    <w:rsid w:val="00343822"/>
    <w:rsid w:val="0034382A"/>
    <w:rsid w:val="00343B12"/>
    <w:rsid w:val="00343CE0"/>
    <w:rsid w:val="00343D63"/>
    <w:rsid w:val="0034417C"/>
    <w:rsid w:val="003441F0"/>
    <w:rsid w:val="00344560"/>
    <w:rsid w:val="0034465B"/>
    <w:rsid w:val="00344983"/>
    <w:rsid w:val="00344AB3"/>
    <w:rsid w:val="00344DD4"/>
    <w:rsid w:val="00344E58"/>
    <w:rsid w:val="00345033"/>
    <w:rsid w:val="00345191"/>
    <w:rsid w:val="00345C68"/>
    <w:rsid w:val="00345F30"/>
    <w:rsid w:val="00346A3A"/>
    <w:rsid w:val="00346C28"/>
    <w:rsid w:val="00346D35"/>
    <w:rsid w:val="00346D9E"/>
    <w:rsid w:val="0034702F"/>
    <w:rsid w:val="00347303"/>
    <w:rsid w:val="00347352"/>
    <w:rsid w:val="0034760D"/>
    <w:rsid w:val="00347866"/>
    <w:rsid w:val="00347B17"/>
    <w:rsid w:val="00347F31"/>
    <w:rsid w:val="003500DF"/>
    <w:rsid w:val="003500ED"/>
    <w:rsid w:val="003501AF"/>
    <w:rsid w:val="003502EC"/>
    <w:rsid w:val="0035032B"/>
    <w:rsid w:val="00350349"/>
    <w:rsid w:val="003503AC"/>
    <w:rsid w:val="00350411"/>
    <w:rsid w:val="00350670"/>
    <w:rsid w:val="00350761"/>
    <w:rsid w:val="00351131"/>
    <w:rsid w:val="0035153F"/>
    <w:rsid w:val="003519CC"/>
    <w:rsid w:val="00351BA3"/>
    <w:rsid w:val="00351BEC"/>
    <w:rsid w:val="00351F2E"/>
    <w:rsid w:val="00351FC3"/>
    <w:rsid w:val="0035240A"/>
    <w:rsid w:val="0035272C"/>
    <w:rsid w:val="00352909"/>
    <w:rsid w:val="00352E3F"/>
    <w:rsid w:val="00353141"/>
    <w:rsid w:val="003533E5"/>
    <w:rsid w:val="00353781"/>
    <w:rsid w:val="00353821"/>
    <w:rsid w:val="00353F5A"/>
    <w:rsid w:val="00353F82"/>
    <w:rsid w:val="00354061"/>
    <w:rsid w:val="00354376"/>
    <w:rsid w:val="003544B5"/>
    <w:rsid w:val="0035482C"/>
    <w:rsid w:val="003549FC"/>
    <w:rsid w:val="00354B92"/>
    <w:rsid w:val="00355171"/>
    <w:rsid w:val="0035542C"/>
    <w:rsid w:val="0035563D"/>
    <w:rsid w:val="003559D6"/>
    <w:rsid w:val="00355A25"/>
    <w:rsid w:val="00355BA5"/>
    <w:rsid w:val="00355DF9"/>
    <w:rsid w:val="0035638A"/>
    <w:rsid w:val="00357046"/>
    <w:rsid w:val="003570D0"/>
    <w:rsid w:val="00357786"/>
    <w:rsid w:val="00357813"/>
    <w:rsid w:val="00360217"/>
    <w:rsid w:val="0036043B"/>
    <w:rsid w:val="003616DC"/>
    <w:rsid w:val="0036171F"/>
    <w:rsid w:val="003620B7"/>
    <w:rsid w:val="0036247B"/>
    <w:rsid w:val="00362490"/>
    <w:rsid w:val="00362496"/>
    <w:rsid w:val="003624BF"/>
    <w:rsid w:val="003625A5"/>
    <w:rsid w:val="00362666"/>
    <w:rsid w:val="00362812"/>
    <w:rsid w:val="00362876"/>
    <w:rsid w:val="00362B37"/>
    <w:rsid w:val="00362D32"/>
    <w:rsid w:val="00362E12"/>
    <w:rsid w:val="00363195"/>
    <w:rsid w:val="003632E6"/>
    <w:rsid w:val="003635D1"/>
    <w:rsid w:val="003636AB"/>
    <w:rsid w:val="003637B9"/>
    <w:rsid w:val="003639B8"/>
    <w:rsid w:val="00363A2D"/>
    <w:rsid w:val="00363AA3"/>
    <w:rsid w:val="00363B15"/>
    <w:rsid w:val="00363EC7"/>
    <w:rsid w:val="00364281"/>
    <w:rsid w:val="003645F3"/>
    <w:rsid w:val="003647FF"/>
    <w:rsid w:val="00364C55"/>
    <w:rsid w:val="00364D33"/>
    <w:rsid w:val="00364EB1"/>
    <w:rsid w:val="00365157"/>
    <w:rsid w:val="0036539A"/>
    <w:rsid w:val="0036540D"/>
    <w:rsid w:val="003655BB"/>
    <w:rsid w:val="00365890"/>
    <w:rsid w:val="00365960"/>
    <w:rsid w:val="0036598F"/>
    <w:rsid w:val="00365A35"/>
    <w:rsid w:val="00365CD8"/>
    <w:rsid w:val="003665B6"/>
    <w:rsid w:val="0036694B"/>
    <w:rsid w:val="00367093"/>
    <w:rsid w:val="003670D0"/>
    <w:rsid w:val="00367203"/>
    <w:rsid w:val="00367409"/>
    <w:rsid w:val="0036774D"/>
    <w:rsid w:val="003678AB"/>
    <w:rsid w:val="00367A6E"/>
    <w:rsid w:val="00367A83"/>
    <w:rsid w:val="00367F01"/>
    <w:rsid w:val="003700DC"/>
    <w:rsid w:val="003706DB"/>
    <w:rsid w:val="0037084C"/>
    <w:rsid w:val="00370ECA"/>
    <w:rsid w:val="00370EEF"/>
    <w:rsid w:val="0037110B"/>
    <w:rsid w:val="00371142"/>
    <w:rsid w:val="003712A4"/>
    <w:rsid w:val="0037187F"/>
    <w:rsid w:val="00371927"/>
    <w:rsid w:val="00371988"/>
    <w:rsid w:val="00371BF4"/>
    <w:rsid w:val="0037204E"/>
    <w:rsid w:val="003721A6"/>
    <w:rsid w:val="00372247"/>
    <w:rsid w:val="0037254A"/>
    <w:rsid w:val="00372554"/>
    <w:rsid w:val="00372828"/>
    <w:rsid w:val="00372870"/>
    <w:rsid w:val="00372903"/>
    <w:rsid w:val="003729F9"/>
    <w:rsid w:val="00372CDF"/>
    <w:rsid w:val="00372E03"/>
    <w:rsid w:val="00372EBC"/>
    <w:rsid w:val="00372EC2"/>
    <w:rsid w:val="0037312B"/>
    <w:rsid w:val="00373232"/>
    <w:rsid w:val="00373417"/>
    <w:rsid w:val="00373768"/>
    <w:rsid w:val="00373A9E"/>
    <w:rsid w:val="00373FE8"/>
    <w:rsid w:val="00374100"/>
    <w:rsid w:val="00374524"/>
    <w:rsid w:val="00374599"/>
    <w:rsid w:val="00374790"/>
    <w:rsid w:val="00374D60"/>
    <w:rsid w:val="0037529C"/>
    <w:rsid w:val="003754B6"/>
    <w:rsid w:val="003754F4"/>
    <w:rsid w:val="003759C0"/>
    <w:rsid w:val="00375DBD"/>
    <w:rsid w:val="003765B6"/>
    <w:rsid w:val="00376863"/>
    <w:rsid w:val="00376CA4"/>
    <w:rsid w:val="00376CAD"/>
    <w:rsid w:val="00376F71"/>
    <w:rsid w:val="0037703D"/>
    <w:rsid w:val="003770C1"/>
    <w:rsid w:val="003772F3"/>
    <w:rsid w:val="003774C5"/>
    <w:rsid w:val="00380E33"/>
    <w:rsid w:val="00381254"/>
    <w:rsid w:val="00381279"/>
    <w:rsid w:val="00381622"/>
    <w:rsid w:val="0038175E"/>
    <w:rsid w:val="0038192F"/>
    <w:rsid w:val="00381D99"/>
    <w:rsid w:val="003820A0"/>
    <w:rsid w:val="0038219B"/>
    <w:rsid w:val="003821A4"/>
    <w:rsid w:val="0038240D"/>
    <w:rsid w:val="003828B8"/>
    <w:rsid w:val="00382AF6"/>
    <w:rsid w:val="00382D79"/>
    <w:rsid w:val="00382EA3"/>
    <w:rsid w:val="00382EF2"/>
    <w:rsid w:val="0038319F"/>
    <w:rsid w:val="00383295"/>
    <w:rsid w:val="00383B19"/>
    <w:rsid w:val="0038437F"/>
    <w:rsid w:val="00384538"/>
    <w:rsid w:val="003847CC"/>
    <w:rsid w:val="00384A40"/>
    <w:rsid w:val="00384CAC"/>
    <w:rsid w:val="00384DD9"/>
    <w:rsid w:val="003850B2"/>
    <w:rsid w:val="00385341"/>
    <w:rsid w:val="0038543F"/>
    <w:rsid w:val="0038548D"/>
    <w:rsid w:val="00385492"/>
    <w:rsid w:val="00385725"/>
    <w:rsid w:val="0038579F"/>
    <w:rsid w:val="003857CE"/>
    <w:rsid w:val="00385877"/>
    <w:rsid w:val="00385B48"/>
    <w:rsid w:val="00385E43"/>
    <w:rsid w:val="00385F9B"/>
    <w:rsid w:val="00386482"/>
    <w:rsid w:val="00386938"/>
    <w:rsid w:val="00386A8B"/>
    <w:rsid w:val="00386DAE"/>
    <w:rsid w:val="00386EEE"/>
    <w:rsid w:val="00386F54"/>
    <w:rsid w:val="0038723E"/>
    <w:rsid w:val="00387551"/>
    <w:rsid w:val="00387806"/>
    <w:rsid w:val="00387862"/>
    <w:rsid w:val="003879D7"/>
    <w:rsid w:val="00387DE9"/>
    <w:rsid w:val="0039045F"/>
    <w:rsid w:val="00390479"/>
    <w:rsid w:val="00390AB9"/>
    <w:rsid w:val="00390AD8"/>
    <w:rsid w:val="00390CFD"/>
    <w:rsid w:val="003911D3"/>
    <w:rsid w:val="003918D4"/>
    <w:rsid w:val="00391CDC"/>
    <w:rsid w:val="003921F7"/>
    <w:rsid w:val="0039230A"/>
    <w:rsid w:val="00392750"/>
    <w:rsid w:val="00392A2E"/>
    <w:rsid w:val="00392B65"/>
    <w:rsid w:val="003931AB"/>
    <w:rsid w:val="0039327D"/>
    <w:rsid w:val="00393349"/>
    <w:rsid w:val="00393369"/>
    <w:rsid w:val="00393458"/>
    <w:rsid w:val="003939B5"/>
    <w:rsid w:val="00393C72"/>
    <w:rsid w:val="00393D82"/>
    <w:rsid w:val="00393E62"/>
    <w:rsid w:val="00393EE9"/>
    <w:rsid w:val="00394048"/>
    <w:rsid w:val="00394A8D"/>
    <w:rsid w:val="003951B0"/>
    <w:rsid w:val="00395478"/>
    <w:rsid w:val="0039554A"/>
    <w:rsid w:val="003956B6"/>
    <w:rsid w:val="00395A14"/>
    <w:rsid w:val="00395CC9"/>
    <w:rsid w:val="00395ECE"/>
    <w:rsid w:val="003964DD"/>
    <w:rsid w:val="0039657D"/>
    <w:rsid w:val="00396654"/>
    <w:rsid w:val="0039689F"/>
    <w:rsid w:val="003969F8"/>
    <w:rsid w:val="00396D1E"/>
    <w:rsid w:val="003970E6"/>
    <w:rsid w:val="0039719B"/>
    <w:rsid w:val="003972C3"/>
    <w:rsid w:val="003973ED"/>
    <w:rsid w:val="00397857"/>
    <w:rsid w:val="003978DB"/>
    <w:rsid w:val="00397FAA"/>
    <w:rsid w:val="003A022C"/>
    <w:rsid w:val="003A064C"/>
    <w:rsid w:val="003A06A0"/>
    <w:rsid w:val="003A0CD0"/>
    <w:rsid w:val="003A0D17"/>
    <w:rsid w:val="003A0D63"/>
    <w:rsid w:val="003A13A9"/>
    <w:rsid w:val="003A183F"/>
    <w:rsid w:val="003A189C"/>
    <w:rsid w:val="003A1A2C"/>
    <w:rsid w:val="003A1B7B"/>
    <w:rsid w:val="003A1CBD"/>
    <w:rsid w:val="003A25AA"/>
    <w:rsid w:val="003A2704"/>
    <w:rsid w:val="003A2C55"/>
    <w:rsid w:val="003A2D8E"/>
    <w:rsid w:val="003A37C2"/>
    <w:rsid w:val="003A39ED"/>
    <w:rsid w:val="003A3C34"/>
    <w:rsid w:val="003A4053"/>
    <w:rsid w:val="003A41B4"/>
    <w:rsid w:val="003A46AF"/>
    <w:rsid w:val="003A4B88"/>
    <w:rsid w:val="003A4CCB"/>
    <w:rsid w:val="003A4D15"/>
    <w:rsid w:val="003A4D81"/>
    <w:rsid w:val="003A523A"/>
    <w:rsid w:val="003A55BB"/>
    <w:rsid w:val="003A57B3"/>
    <w:rsid w:val="003A5B8B"/>
    <w:rsid w:val="003A64F5"/>
    <w:rsid w:val="003A67DB"/>
    <w:rsid w:val="003A67E9"/>
    <w:rsid w:val="003A69E5"/>
    <w:rsid w:val="003A6CB5"/>
    <w:rsid w:val="003A74C3"/>
    <w:rsid w:val="003A772B"/>
    <w:rsid w:val="003A7828"/>
    <w:rsid w:val="003A7981"/>
    <w:rsid w:val="003A7C5F"/>
    <w:rsid w:val="003A7E65"/>
    <w:rsid w:val="003A7F7A"/>
    <w:rsid w:val="003B0031"/>
    <w:rsid w:val="003B00F3"/>
    <w:rsid w:val="003B035A"/>
    <w:rsid w:val="003B044B"/>
    <w:rsid w:val="003B085C"/>
    <w:rsid w:val="003B0CDD"/>
    <w:rsid w:val="003B0D66"/>
    <w:rsid w:val="003B0E8A"/>
    <w:rsid w:val="003B0F9D"/>
    <w:rsid w:val="003B110F"/>
    <w:rsid w:val="003B12A0"/>
    <w:rsid w:val="003B1381"/>
    <w:rsid w:val="003B13F8"/>
    <w:rsid w:val="003B19D2"/>
    <w:rsid w:val="003B1E1B"/>
    <w:rsid w:val="003B2FF3"/>
    <w:rsid w:val="003B37FD"/>
    <w:rsid w:val="003B397A"/>
    <w:rsid w:val="003B3B40"/>
    <w:rsid w:val="003B3F08"/>
    <w:rsid w:val="003B4259"/>
    <w:rsid w:val="003B43BF"/>
    <w:rsid w:val="003B457B"/>
    <w:rsid w:val="003B4590"/>
    <w:rsid w:val="003B494D"/>
    <w:rsid w:val="003B495C"/>
    <w:rsid w:val="003B497B"/>
    <w:rsid w:val="003B5260"/>
    <w:rsid w:val="003B5314"/>
    <w:rsid w:val="003B5B70"/>
    <w:rsid w:val="003B5E2D"/>
    <w:rsid w:val="003B5E91"/>
    <w:rsid w:val="003B6836"/>
    <w:rsid w:val="003B6996"/>
    <w:rsid w:val="003B6E3F"/>
    <w:rsid w:val="003B6F86"/>
    <w:rsid w:val="003B7357"/>
    <w:rsid w:val="003B73BB"/>
    <w:rsid w:val="003B7535"/>
    <w:rsid w:val="003B756F"/>
    <w:rsid w:val="003B76D0"/>
    <w:rsid w:val="003B77EE"/>
    <w:rsid w:val="003B79E0"/>
    <w:rsid w:val="003B7B83"/>
    <w:rsid w:val="003B7DA2"/>
    <w:rsid w:val="003C01D8"/>
    <w:rsid w:val="003C048F"/>
    <w:rsid w:val="003C07C3"/>
    <w:rsid w:val="003C0895"/>
    <w:rsid w:val="003C0C9E"/>
    <w:rsid w:val="003C0E54"/>
    <w:rsid w:val="003C1381"/>
    <w:rsid w:val="003C13E7"/>
    <w:rsid w:val="003C1CEE"/>
    <w:rsid w:val="003C1D84"/>
    <w:rsid w:val="003C1F81"/>
    <w:rsid w:val="003C21E1"/>
    <w:rsid w:val="003C21E6"/>
    <w:rsid w:val="003C2C64"/>
    <w:rsid w:val="003C2C81"/>
    <w:rsid w:val="003C2E45"/>
    <w:rsid w:val="003C307E"/>
    <w:rsid w:val="003C3219"/>
    <w:rsid w:val="003C3B4D"/>
    <w:rsid w:val="003C3D01"/>
    <w:rsid w:val="003C43EB"/>
    <w:rsid w:val="003C4474"/>
    <w:rsid w:val="003C497C"/>
    <w:rsid w:val="003C4C40"/>
    <w:rsid w:val="003C4F15"/>
    <w:rsid w:val="003C501C"/>
    <w:rsid w:val="003C5217"/>
    <w:rsid w:val="003C52ED"/>
    <w:rsid w:val="003C53AE"/>
    <w:rsid w:val="003C5530"/>
    <w:rsid w:val="003C553E"/>
    <w:rsid w:val="003C57F6"/>
    <w:rsid w:val="003C5B5D"/>
    <w:rsid w:val="003C5BB3"/>
    <w:rsid w:val="003C5DCC"/>
    <w:rsid w:val="003C5E61"/>
    <w:rsid w:val="003C5EE0"/>
    <w:rsid w:val="003C6050"/>
    <w:rsid w:val="003C6059"/>
    <w:rsid w:val="003C6159"/>
    <w:rsid w:val="003C62A7"/>
    <w:rsid w:val="003C6503"/>
    <w:rsid w:val="003C66EE"/>
    <w:rsid w:val="003C6896"/>
    <w:rsid w:val="003C6984"/>
    <w:rsid w:val="003C69DA"/>
    <w:rsid w:val="003C7289"/>
    <w:rsid w:val="003C76F4"/>
    <w:rsid w:val="003C77AF"/>
    <w:rsid w:val="003C7A22"/>
    <w:rsid w:val="003C7E36"/>
    <w:rsid w:val="003D0607"/>
    <w:rsid w:val="003D0753"/>
    <w:rsid w:val="003D0A28"/>
    <w:rsid w:val="003D0B47"/>
    <w:rsid w:val="003D0BE5"/>
    <w:rsid w:val="003D0CC0"/>
    <w:rsid w:val="003D0DB3"/>
    <w:rsid w:val="003D1116"/>
    <w:rsid w:val="003D128A"/>
    <w:rsid w:val="003D173C"/>
    <w:rsid w:val="003D18A1"/>
    <w:rsid w:val="003D1921"/>
    <w:rsid w:val="003D198A"/>
    <w:rsid w:val="003D1A52"/>
    <w:rsid w:val="003D1D47"/>
    <w:rsid w:val="003D1D63"/>
    <w:rsid w:val="003D1D9B"/>
    <w:rsid w:val="003D2076"/>
    <w:rsid w:val="003D2195"/>
    <w:rsid w:val="003D25DB"/>
    <w:rsid w:val="003D25E1"/>
    <w:rsid w:val="003D26ED"/>
    <w:rsid w:val="003D2BCD"/>
    <w:rsid w:val="003D2DBF"/>
    <w:rsid w:val="003D30B1"/>
    <w:rsid w:val="003D33F2"/>
    <w:rsid w:val="003D34D3"/>
    <w:rsid w:val="003D3788"/>
    <w:rsid w:val="003D384A"/>
    <w:rsid w:val="003D391C"/>
    <w:rsid w:val="003D39C7"/>
    <w:rsid w:val="003D39EB"/>
    <w:rsid w:val="003D3D69"/>
    <w:rsid w:val="003D42BE"/>
    <w:rsid w:val="003D49A5"/>
    <w:rsid w:val="003D4B15"/>
    <w:rsid w:val="003D4C02"/>
    <w:rsid w:val="003D510E"/>
    <w:rsid w:val="003D52C2"/>
    <w:rsid w:val="003D5390"/>
    <w:rsid w:val="003D55B0"/>
    <w:rsid w:val="003D5632"/>
    <w:rsid w:val="003D5ACC"/>
    <w:rsid w:val="003D5BD7"/>
    <w:rsid w:val="003D5C65"/>
    <w:rsid w:val="003D61EE"/>
    <w:rsid w:val="003D621A"/>
    <w:rsid w:val="003D64A5"/>
    <w:rsid w:val="003D6814"/>
    <w:rsid w:val="003D6A5E"/>
    <w:rsid w:val="003D6BD3"/>
    <w:rsid w:val="003D6CC2"/>
    <w:rsid w:val="003D71CF"/>
    <w:rsid w:val="003D7241"/>
    <w:rsid w:val="003D72F7"/>
    <w:rsid w:val="003D767A"/>
    <w:rsid w:val="003D7B73"/>
    <w:rsid w:val="003D7CFF"/>
    <w:rsid w:val="003E0C2B"/>
    <w:rsid w:val="003E0CEA"/>
    <w:rsid w:val="003E0E51"/>
    <w:rsid w:val="003E11FE"/>
    <w:rsid w:val="003E18CA"/>
    <w:rsid w:val="003E1BC3"/>
    <w:rsid w:val="003E1BC4"/>
    <w:rsid w:val="003E1EC6"/>
    <w:rsid w:val="003E2554"/>
    <w:rsid w:val="003E2756"/>
    <w:rsid w:val="003E28E6"/>
    <w:rsid w:val="003E2AEB"/>
    <w:rsid w:val="003E2C9E"/>
    <w:rsid w:val="003E2EC4"/>
    <w:rsid w:val="003E332C"/>
    <w:rsid w:val="003E353D"/>
    <w:rsid w:val="003E382E"/>
    <w:rsid w:val="003E3EC4"/>
    <w:rsid w:val="003E4058"/>
    <w:rsid w:val="003E43FD"/>
    <w:rsid w:val="003E44FD"/>
    <w:rsid w:val="003E4799"/>
    <w:rsid w:val="003E49A9"/>
    <w:rsid w:val="003E4AB4"/>
    <w:rsid w:val="003E4C5B"/>
    <w:rsid w:val="003E4DA9"/>
    <w:rsid w:val="003E53DD"/>
    <w:rsid w:val="003E571C"/>
    <w:rsid w:val="003E5956"/>
    <w:rsid w:val="003E59F6"/>
    <w:rsid w:val="003E5A46"/>
    <w:rsid w:val="003E5DED"/>
    <w:rsid w:val="003E6343"/>
    <w:rsid w:val="003E6521"/>
    <w:rsid w:val="003E658E"/>
    <w:rsid w:val="003E6734"/>
    <w:rsid w:val="003E690C"/>
    <w:rsid w:val="003E693E"/>
    <w:rsid w:val="003E6941"/>
    <w:rsid w:val="003E7122"/>
    <w:rsid w:val="003E75E3"/>
    <w:rsid w:val="003E75EF"/>
    <w:rsid w:val="003E7833"/>
    <w:rsid w:val="003E79B5"/>
    <w:rsid w:val="003F0448"/>
    <w:rsid w:val="003F075B"/>
    <w:rsid w:val="003F1297"/>
    <w:rsid w:val="003F13D4"/>
    <w:rsid w:val="003F1725"/>
    <w:rsid w:val="003F1A33"/>
    <w:rsid w:val="003F1B1C"/>
    <w:rsid w:val="003F1D11"/>
    <w:rsid w:val="003F1E1F"/>
    <w:rsid w:val="003F1F5A"/>
    <w:rsid w:val="003F1F95"/>
    <w:rsid w:val="003F2459"/>
    <w:rsid w:val="003F2597"/>
    <w:rsid w:val="003F270D"/>
    <w:rsid w:val="003F2B3E"/>
    <w:rsid w:val="003F2B63"/>
    <w:rsid w:val="003F2BAF"/>
    <w:rsid w:val="003F2BB9"/>
    <w:rsid w:val="003F2C86"/>
    <w:rsid w:val="003F2F81"/>
    <w:rsid w:val="003F3191"/>
    <w:rsid w:val="003F322C"/>
    <w:rsid w:val="003F3254"/>
    <w:rsid w:val="003F3284"/>
    <w:rsid w:val="003F32CB"/>
    <w:rsid w:val="003F3927"/>
    <w:rsid w:val="003F3A77"/>
    <w:rsid w:val="003F3ABF"/>
    <w:rsid w:val="003F3B1B"/>
    <w:rsid w:val="003F3FC2"/>
    <w:rsid w:val="003F416F"/>
    <w:rsid w:val="003F48ED"/>
    <w:rsid w:val="003F5571"/>
    <w:rsid w:val="003F5D48"/>
    <w:rsid w:val="003F60A2"/>
    <w:rsid w:val="003F63CC"/>
    <w:rsid w:val="003F6529"/>
    <w:rsid w:val="003F6842"/>
    <w:rsid w:val="003F68DC"/>
    <w:rsid w:val="003F6BE9"/>
    <w:rsid w:val="003F70C5"/>
    <w:rsid w:val="003F7173"/>
    <w:rsid w:val="003F75E4"/>
    <w:rsid w:val="003F78A9"/>
    <w:rsid w:val="003F7E5A"/>
    <w:rsid w:val="0040054D"/>
    <w:rsid w:val="0040062B"/>
    <w:rsid w:val="00400658"/>
    <w:rsid w:val="004009A3"/>
    <w:rsid w:val="00400F38"/>
    <w:rsid w:val="004012A2"/>
    <w:rsid w:val="0040131F"/>
    <w:rsid w:val="00401408"/>
    <w:rsid w:val="004017E6"/>
    <w:rsid w:val="00402233"/>
    <w:rsid w:val="00402846"/>
    <w:rsid w:val="00402B3B"/>
    <w:rsid w:val="00402BE5"/>
    <w:rsid w:val="0040347A"/>
    <w:rsid w:val="0040391C"/>
    <w:rsid w:val="00403AE1"/>
    <w:rsid w:val="00403D5A"/>
    <w:rsid w:val="00403F8F"/>
    <w:rsid w:val="0040449B"/>
    <w:rsid w:val="00404719"/>
    <w:rsid w:val="00404738"/>
    <w:rsid w:val="00404A0B"/>
    <w:rsid w:val="00404A8D"/>
    <w:rsid w:val="00404AF7"/>
    <w:rsid w:val="00404FDE"/>
    <w:rsid w:val="0040506B"/>
    <w:rsid w:val="004050E5"/>
    <w:rsid w:val="0040539B"/>
    <w:rsid w:val="00405485"/>
    <w:rsid w:val="004054C0"/>
    <w:rsid w:val="004054C5"/>
    <w:rsid w:val="004059B3"/>
    <w:rsid w:val="00405AEA"/>
    <w:rsid w:val="00406387"/>
    <w:rsid w:val="00406474"/>
    <w:rsid w:val="00406796"/>
    <w:rsid w:val="00406899"/>
    <w:rsid w:val="00406E74"/>
    <w:rsid w:val="004071C8"/>
    <w:rsid w:val="00407912"/>
    <w:rsid w:val="00407B89"/>
    <w:rsid w:val="00407BB8"/>
    <w:rsid w:val="00407C25"/>
    <w:rsid w:val="00407DC6"/>
    <w:rsid w:val="00410083"/>
    <w:rsid w:val="00410641"/>
    <w:rsid w:val="004107FE"/>
    <w:rsid w:val="00410B79"/>
    <w:rsid w:val="00410F5C"/>
    <w:rsid w:val="00410F73"/>
    <w:rsid w:val="004110EE"/>
    <w:rsid w:val="00411210"/>
    <w:rsid w:val="004112A8"/>
    <w:rsid w:val="0041188A"/>
    <w:rsid w:val="004119BB"/>
    <w:rsid w:val="00411C6D"/>
    <w:rsid w:val="00411D5C"/>
    <w:rsid w:val="00412227"/>
    <w:rsid w:val="004122E1"/>
    <w:rsid w:val="00412598"/>
    <w:rsid w:val="004127CE"/>
    <w:rsid w:val="00412947"/>
    <w:rsid w:val="00412A61"/>
    <w:rsid w:val="00412C54"/>
    <w:rsid w:val="004130E2"/>
    <w:rsid w:val="004131DA"/>
    <w:rsid w:val="00413463"/>
    <w:rsid w:val="00413639"/>
    <w:rsid w:val="00413B75"/>
    <w:rsid w:val="00413B80"/>
    <w:rsid w:val="00413D72"/>
    <w:rsid w:val="00413F41"/>
    <w:rsid w:val="00413F42"/>
    <w:rsid w:val="00413FC5"/>
    <w:rsid w:val="00414BC5"/>
    <w:rsid w:val="00414DB4"/>
    <w:rsid w:val="00415036"/>
    <w:rsid w:val="00415060"/>
    <w:rsid w:val="0041507E"/>
    <w:rsid w:val="004151DF"/>
    <w:rsid w:val="0041539E"/>
    <w:rsid w:val="0041554F"/>
    <w:rsid w:val="004155C7"/>
    <w:rsid w:val="00415B75"/>
    <w:rsid w:val="00415BD9"/>
    <w:rsid w:val="00415EA2"/>
    <w:rsid w:val="00416166"/>
    <w:rsid w:val="00416336"/>
    <w:rsid w:val="00416744"/>
    <w:rsid w:val="00416A3F"/>
    <w:rsid w:val="00416D13"/>
    <w:rsid w:val="00416F71"/>
    <w:rsid w:val="004170A8"/>
    <w:rsid w:val="0041720A"/>
    <w:rsid w:val="004172A0"/>
    <w:rsid w:val="0041744B"/>
    <w:rsid w:val="00417B0E"/>
    <w:rsid w:val="004203E9"/>
    <w:rsid w:val="004204E5"/>
    <w:rsid w:val="004204F7"/>
    <w:rsid w:val="00420695"/>
    <w:rsid w:val="004208EC"/>
    <w:rsid w:val="00420A74"/>
    <w:rsid w:val="00420AE1"/>
    <w:rsid w:val="00420F3A"/>
    <w:rsid w:val="0042134D"/>
    <w:rsid w:val="004213AA"/>
    <w:rsid w:val="00421579"/>
    <w:rsid w:val="004218DF"/>
    <w:rsid w:val="004219CE"/>
    <w:rsid w:val="00421CE0"/>
    <w:rsid w:val="00421D32"/>
    <w:rsid w:val="0042203F"/>
    <w:rsid w:val="0042255C"/>
    <w:rsid w:val="00422628"/>
    <w:rsid w:val="00422B8F"/>
    <w:rsid w:val="00422E6C"/>
    <w:rsid w:val="00423184"/>
    <w:rsid w:val="004231C4"/>
    <w:rsid w:val="0042346B"/>
    <w:rsid w:val="00423574"/>
    <w:rsid w:val="00423697"/>
    <w:rsid w:val="00423732"/>
    <w:rsid w:val="00423A40"/>
    <w:rsid w:val="00423AC2"/>
    <w:rsid w:val="00423C81"/>
    <w:rsid w:val="00423DFC"/>
    <w:rsid w:val="00423E76"/>
    <w:rsid w:val="0042405E"/>
    <w:rsid w:val="004244A4"/>
    <w:rsid w:val="00424520"/>
    <w:rsid w:val="00424A6B"/>
    <w:rsid w:val="00424B5E"/>
    <w:rsid w:val="00424C8F"/>
    <w:rsid w:val="00424EE9"/>
    <w:rsid w:val="004255DB"/>
    <w:rsid w:val="004256A3"/>
    <w:rsid w:val="004257BC"/>
    <w:rsid w:val="004259E5"/>
    <w:rsid w:val="00425BCE"/>
    <w:rsid w:val="00425BF0"/>
    <w:rsid w:val="00425C9F"/>
    <w:rsid w:val="00425CFF"/>
    <w:rsid w:val="00425D5E"/>
    <w:rsid w:val="0042609F"/>
    <w:rsid w:val="0042621A"/>
    <w:rsid w:val="00426746"/>
    <w:rsid w:val="00426ED0"/>
    <w:rsid w:val="004274DE"/>
    <w:rsid w:val="00427873"/>
    <w:rsid w:val="004304D7"/>
    <w:rsid w:val="0043057A"/>
    <w:rsid w:val="004305E8"/>
    <w:rsid w:val="00430800"/>
    <w:rsid w:val="004308A3"/>
    <w:rsid w:val="0043095D"/>
    <w:rsid w:val="00430DA9"/>
    <w:rsid w:val="00430FFD"/>
    <w:rsid w:val="00431077"/>
    <w:rsid w:val="004314CF"/>
    <w:rsid w:val="004315C7"/>
    <w:rsid w:val="00431BAF"/>
    <w:rsid w:val="00431C00"/>
    <w:rsid w:val="00431CB4"/>
    <w:rsid w:val="004323D8"/>
    <w:rsid w:val="00432859"/>
    <w:rsid w:val="00432973"/>
    <w:rsid w:val="00432CE4"/>
    <w:rsid w:val="00432D1A"/>
    <w:rsid w:val="00433050"/>
    <w:rsid w:val="0043321A"/>
    <w:rsid w:val="00433BFD"/>
    <w:rsid w:val="00433CD2"/>
    <w:rsid w:val="004340EB"/>
    <w:rsid w:val="0043465B"/>
    <w:rsid w:val="00434999"/>
    <w:rsid w:val="00434CD9"/>
    <w:rsid w:val="004350EA"/>
    <w:rsid w:val="00435391"/>
    <w:rsid w:val="00435602"/>
    <w:rsid w:val="00435A25"/>
    <w:rsid w:val="00435DA2"/>
    <w:rsid w:val="00436241"/>
    <w:rsid w:val="00436310"/>
    <w:rsid w:val="004367E9"/>
    <w:rsid w:val="00436B8D"/>
    <w:rsid w:val="00436BDE"/>
    <w:rsid w:val="00436E09"/>
    <w:rsid w:val="00436E48"/>
    <w:rsid w:val="00436F00"/>
    <w:rsid w:val="004371C7"/>
    <w:rsid w:val="0043755C"/>
    <w:rsid w:val="004379B5"/>
    <w:rsid w:val="00437B25"/>
    <w:rsid w:val="0044003A"/>
    <w:rsid w:val="00440CE4"/>
    <w:rsid w:val="0044116F"/>
    <w:rsid w:val="004412A9"/>
    <w:rsid w:val="00441402"/>
    <w:rsid w:val="00441443"/>
    <w:rsid w:val="0044181F"/>
    <w:rsid w:val="00441B44"/>
    <w:rsid w:val="00442048"/>
    <w:rsid w:val="00442069"/>
    <w:rsid w:val="00442239"/>
    <w:rsid w:val="0044240C"/>
    <w:rsid w:val="0044248E"/>
    <w:rsid w:val="00442C63"/>
    <w:rsid w:val="00442D58"/>
    <w:rsid w:val="0044325D"/>
    <w:rsid w:val="00443340"/>
    <w:rsid w:val="00443536"/>
    <w:rsid w:val="004435EF"/>
    <w:rsid w:val="004438FF"/>
    <w:rsid w:val="00443A43"/>
    <w:rsid w:val="00443DA3"/>
    <w:rsid w:val="00443E09"/>
    <w:rsid w:val="00443FFC"/>
    <w:rsid w:val="004442D3"/>
    <w:rsid w:val="0044435F"/>
    <w:rsid w:val="00444384"/>
    <w:rsid w:val="0044463E"/>
    <w:rsid w:val="00444697"/>
    <w:rsid w:val="00444712"/>
    <w:rsid w:val="0044479F"/>
    <w:rsid w:val="004451E0"/>
    <w:rsid w:val="00445432"/>
    <w:rsid w:val="004458F7"/>
    <w:rsid w:val="004459BE"/>
    <w:rsid w:val="00445AB8"/>
    <w:rsid w:val="00445B11"/>
    <w:rsid w:val="004465C9"/>
    <w:rsid w:val="004467B8"/>
    <w:rsid w:val="00446865"/>
    <w:rsid w:val="00446BA6"/>
    <w:rsid w:val="00446F04"/>
    <w:rsid w:val="00447070"/>
    <w:rsid w:val="00447415"/>
    <w:rsid w:val="004474AE"/>
    <w:rsid w:val="00447B67"/>
    <w:rsid w:val="00447CB7"/>
    <w:rsid w:val="0045115A"/>
    <w:rsid w:val="0045115C"/>
    <w:rsid w:val="00451231"/>
    <w:rsid w:val="004514CD"/>
    <w:rsid w:val="0045165A"/>
    <w:rsid w:val="00451880"/>
    <w:rsid w:val="004518EB"/>
    <w:rsid w:val="004519D6"/>
    <w:rsid w:val="00451A50"/>
    <w:rsid w:val="00451DFE"/>
    <w:rsid w:val="00451E78"/>
    <w:rsid w:val="004527AF"/>
    <w:rsid w:val="00452C00"/>
    <w:rsid w:val="00452EDE"/>
    <w:rsid w:val="00453633"/>
    <w:rsid w:val="004538B5"/>
    <w:rsid w:val="004539B3"/>
    <w:rsid w:val="00453BE8"/>
    <w:rsid w:val="00453E6A"/>
    <w:rsid w:val="004541BB"/>
    <w:rsid w:val="004542A6"/>
    <w:rsid w:val="004545D0"/>
    <w:rsid w:val="00454704"/>
    <w:rsid w:val="00454763"/>
    <w:rsid w:val="00454DAF"/>
    <w:rsid w:val="00455802"/>
    <w:rsid w:val="0045648F"/>
    <w:rsid w:val="0045649F"/>
    <w:rsid w:val="0045652F"/>
    <w:rsid w:val="004565B3"/>
    <w:rsid w:val="0045668B"/>
    <w:rsid w:val="00456C28"/>
    <w:rsid w:val="00456C8A"/>
    <w:rsid w:val="00456FCF"/>
    <w:rsid w:val="00457133"/>
    <w:rsid w:val="00457410"/>
    <w:rsid w:val="00457876"/>
    <w:rsid w:val="00457AC6"/>
    <w:rsid w:val="00457EFD"/>
    <w:rsid w:val="00457F62"/>
    <w:rsid w:val="00460224"/>
    <w:rsid w:val="0046040B"/>
    <w:rsid w:val="0046041D"/>
    <w:rsid w:val="00460539"/>
    <w:rsid w:val="00460A5F"/>
    <w:rsid w:val="00460F59"/>
    <w:rsid w:val="00461AFE"/>
    <w:rsid w:val="00461D2E"/>
    <w:rsid w:val="00461E07"/>
    <w:rsid w:val="00461FCA"/>
    <w:rsid w:val="00462032"/>
    <w:rsid w:val="00462131"/>
    <w:rsid w:val="00462452"/>
    <w:rsid w:val="0046263A"/>
    <w:rsid w:val="00462670"/>
    <w:rsid w:val="00462A9A"/>
    <w:rsid w:val="00462D30"/>
    <w:rsid w:val="00463739"/>
    <w:rsid w:val="0046389C"/>
    <w:rsid w:val="00463B27"/>
    <w:rsid w:val="0046400A"/>
    <w:rsid w:val="00464854"/>
    <w:rsid w:val="0046485D"/>
    <w:rsid w:val="004651B6"/>
    <w:rsid w:val="00465686"/>
    <w:rsid w:val="00465A25"/>
    <w:rsid w:val="0046619B"/>
    <w:rsid w:val="00466322"/>
    <w:rsid w:val="004664F2"/>
    <w:rsid w:val="00466639"/>
    <w:rsid w:val="004666A3"/>
    <w:rsid w:val="0046685B"/>
    <w:rsid w:val="00466CF8"/>
    <w:rsid w:val="00466DE7"/>
    <w:rsid w:val="00466F23"/>
    <w:rsid w:val="0046701D"/>
    <w:rsid w:val="004671F3"/>
    <w:rsid w:val="00467219"/>
    <w:rsid w:val="0046728E"/>
    <w:rsid w:val="0046742A"/>
    <w:rsid w:val="004675D0"/>
    <w:rsid w:val="004675F0"/>
    <w:rsid w:val="00467B4D"/>
    <w:rsid w:val="00467E6F"/>
    <w:rsid w:val="00470081"/>
    <w:rsid w:val="004700C7"/>
    <w:rsid w:val="004703C6"/>
    <w:rsid w:val="00470415"/>
    <w:rsid w:val="00471299"/>
    <w:rsid w:val="004712BC"/>
    <w:rsid w:val="00471387"/>
    <w:rsid w:val="00471632"/>
    <w:rsid w:val="00471654"/>
    <w:rsid w:val="004719A8"/>
    <w:rsid w:val="00471A47"/>
    <w:rsid w:val="00471B80"/>
    <w:rsid w:val="00471BD8"/>
    <w:rsid w:val="00471E2C"/>
    <w:rsid w:val="00471EEC"/>
    <w:rsid w:val="004723A6"/>
    <w:rsid w:val="00472A84"/>
    <w:rsid w:val="00472C1B"/>
    <w:rsid w:val="00472F37"/>
    <w:rsid w:val="004732C9"/>
    <w:rsid w:val="00473401"/>
    <w:rsid w:val="004734F2"/>
    <w:rsid w:val="00473699"/>
    <w:rsid w:val="004736B6"/>
    <w:rsid w:val="00473860"/>
    <w:rsid w:val="00473B9C"/>
    <w:rsid w:val="00473D35"/>
    <w:rsid w:val="00473D46"/>
    <w:rsid w:val="00474144"/>
    <w:rsid w:val="00474283"/>
    <w:rsid w:val="004742B2"/>
    <w:rsid w:val="00474386"/>
    <w:rsid w:val="004743E1"/>
    <w:rsid w:val="00474577"/>
    <w:rsid w:val="004745DC"/>
    <w:rsid w:val="00474A58"/>
    <w:rsid w:val="00474D3D"/>
    <w:rsid w:val="00474D42"/>
    <w:rsid w:val="00474E50"/>
    <w:rsid w:val="00475061"/>
    <w:rsid w:val="004750B8"/>
    <w:rsid w:val="00475313"/>
    <w:rsid w:val="004753EA"/>
    <w:rsid w:val="0047558D"/>
    <w:rsid w:val="00475598"/>
    <w:rsid w:val="004757FF"/>
    <w:rsid w:val="00475890"/>
    <w:rsid w:val="0047598C"/>
    <w:rsid w:val="00475B54"/>
    <w:rsid w:val="00475B98"/>
    <w:rsid w:val="00476D47"/>
    <w:rsid w:val="00476EB6"/>
    <w:rsid w:val="00476FAA"/>
    <w:rsid w:val="00477002"/>
    <w:rsid w:val="004772DE"/>
    <w:rsid w:val="00477559"/>
    <w:rsid w:val="0047774F"/>
    <w:rsid w:val="004778CF"/>
    <w:rsid w:val="00477934"/>
    <w:rsid w:val="00477E03"/>
    <w:rsid w:val="004801E3"/>
    <w:rsid w:val="0048045B"/>
    <w:rsid w:val="004807B0"/>
    <w:rsid w:val="004809EA"/>
    <w:rsid w:val="00480AC2"/>
    <w:rsid w:val="00480AC5"/>
    <w:rsid w:val="004810F3"/>
    <w:rsid w:val="004811AC"/>
    <w:rsid w:val="004811B0"/>
    <w:rsid w:val="0048135F"/>
    <w:rsid w:val="00481965"/>
    <w:rsid w:val="00482058"/>
    <w:rsid w:val="0048289E"/>
    <w:rsid w:val="0048295A"/>
    <w:rsid w:val="00482AA2"/>
    <w:rsid w:val="00482ABB"/>
    <w:rsid w:val="00483170"/>
    <w:rsid w:val="004831E1"/>
    <w:rsid w:val="004833B0"/>
    <w:rsid w:val="00483BA4"/>
    <w:rsid w:val="00483CC4"/>
    <w:rsid w:val="00483DD8"/>
    <w:rsid w:val="0048448D"/>
    <w:rsid w:val="0048449C"/>
    <w:rsid w:val="00484702"/>
    <w:rsid w:val="00484C16"/>
    <w:rsid w:val="00484C52"/>
    <w:rsid w:val="00484F08"/>
    <w:rsid w:val="00485049"/>
    <w:rsid w:val="004853A5"/>
    <w:rsid w:val="0048557C"/>
    <w:rsid w:val="00485854"/>
    <w:rsid w:val="00485AA5"/>
    <w:rsid w:val="00485AE3"/>
    <w:rsid w:val="00485D53"/>
    <w:rsid w:val="00486033"/>
    <w:rsid w:val="0048605E"/>
    <w:rsid w:val="004860F0"/>
    <w:rsid w:val="00486BBE"/>
    <w:rsid w:val="00486F9A"/>
    <w:rsid w:val="00487079"/>
    <w:rsid w:val="004871BD"/>
    <w:rsid w:val="004878A5"/>
    <w:rsid w:val="00487AAC"/>
    <w:rsid w:val="004903AA"/>
    <w:rsid w:val="00490450"/>
    <w:rsid w:val="004904D9"/>
    <w:rsid w:val="0049065D"/>
    <w:rsid w:val="00490815"/>
    <w:rsid w:val="00490B5D"/>
    <w:rsid w:val="00490D7F"/>
    <w:rsid w:val="00491181"/>
    <w:rsid w:val="0049135D"/>
    <w:rsid w:val="00491464"/>
    <w:rsid w:val="004914B2"/>
    <w:rsid w:val="004914DB"/>
    <w:rsid w:val="00491C20"/>
    <w:rsid w:val="00491E42"/>
    <w:rsid w:val="00491F84"/>
    <w:rsid w:val="0049215C"/>
    <w:rsid w:val="004922F0"/>
    <w:rsid w:val="0049247C"/>
    <w:rsid w:val="00492DF2"/>
    <w:rsid w:val="00492EC2"/>
    <w:rsid w:val="00493022"/>
    <w:rsid w:val="004931B5"/>
    <w:rsid w:val="00493439"/>
    <w:rsid w:val="00493482"/>
    <w:rsid w:val="0049374A"/>
    <w:rsid w:val="00493807"/>
    <w:rsid w:val="0049387E"/>
    <w:rsid w:val="00493931"/>
    <w:rsid w:val="00493C0B"/>
    <w:rsid w:val="00493F96"/>
    <w:rsid w:val="0049429E"/>
    <w:rsid w:val="004945DE"/>
    <w:rsid w:val="00494B0F"/>
    <w:rsid w:val="00494BDE"/>
    <w:rsid w:val="00494C85"/>
    <w:rsid w:val="0049500B"/>
    <w:rsid w:val="00495078"/>
    <w:rsid w:val="004950BE"/>
    <w:rsid w:val="00495322"/>
    <w:rsid w:val="004956AB"/>
    <w:rsid w:val="00495962"/>
    <w:rsid w:val="00496481"/>
    <w:rsid w:val="00496779"/>
    <w:rsid w:val="00496D60"/>
    <w:rsid w:val="00496D98"/>
    <w:rsid w:val="00496F24"/>
    <w:rsid w:val="00497135"/>
    <w:rsid w:val="0049731D"/>
    <w:rsid w:val="00497963"/>
    <w:rsid w:val="004A02E4"/>
    <w:rsid w:val="004A0397"/>
    <w:rsid w:val="004A06A3"/>
    <w:rsid w:val="004A0E21"/>
    <w:rsid w:val="004A0F63"/>
    <w:rsid w:val="004A0F71"/>
    <w:rsid w:val="004A0FCD"/>
    <w:rsid w:val="004A1188"/>
    <w:rsid w:val="004A126B"/>
    <w:rsid w:val="004A12F7"/>
    <w:rsid w:val="004A162C"/>
    <w:rsid w:val="004A1911"/>
    <w:rsid w:val="004A1A95"/>
    <w:rsid w:val="004A1C31"/>
    <w:rsid w:val="004A1DF2"/>
    <w:rsid w:val="004A20AC"/>
    <w:rsid w:val="004A2243"/>
    <w:rsid w:val="004A22D7"/>
    <w:rsid w:val="004A2379"/>
    <w:rsid w:val="004A2508"/>
    <w:rsid w:val="004A29A2"/>
    <w:rsid w:val="004A29C0"/>
    <w:rsid w:val="004A2A77"/>
    <w:rsid w:val="004A2BD4"/>
    <w:rsid w:val="004A2CFD"/>
    <w:rsid w:val="004A3A16"/>
    <w:rsid w:val="004A3A9F"/>
    <w:rsid w:val="004A4187"/>
    <w:rsid w:val="004A43F0"/>
    <w:rsid w:val="004A49C7"/>
    <w:rsid w:val="004A4CB1"/>
    <w:rsid w:val="004A53D8"/>
    <w:rsid w:val="004A5792"/>
    <w:rsid w:val="004A5A0C"/>
    <w:rsid w:val="004A5B24"/>
    <w:rsid w:val="004A5E3E"/>
    <w:rsid w:val="004A5EFF"/>
    <w:rsid w:val="004A5FD7"/>
    <w:rsid w:val="004A60B9"/>
    <w:rsid w:val="004A61D0"/>
    <w:rsid w:val="004A644B"/>
    <w:rsid w:val="004A664E"/>
    <w:rsid w:val="004A68E1"/>
    <w:rsid w:val="004A6F6A"/>
    <w:rsid w:val="004A707C"/>
    <w:rsid w:val="004A74B4"/>
    <w:rsid w:val="004B0246"/>
    <w:rsid w:val="004B04D3"/>
    <w:rsid w:val="004B05CF"/>
    <w:rsid w:val="004B0618"/>
    <w:rsid w:val="004B06D4"/>
    <w:rsid w:val="004B07B3"/>
    <w:rsid w:val="004B0951"/>
    <w:rsid w:val="004B0AA0"/>
    <w:rsid w:val="004B0ACD"/>
    <w:rsid w:val="004B0C16"/>
    <w:rsid w:val="004B0EB7"/>
    <w:rsid w:val="004B1428"/>
    <w:rsid w:val="004B1531"/>
    <w:rsid w:val="004B1869"/>
    <w:rsid w:val="004B1BD6"/>
    <w:rsid w:val="004B2868"/>
    <w:rsid w:val="004B29BA"/>
    <w:rsid w:val="004B2ECC"/>
    <w:rsid w:val="004B3364"/>
    <w:rsid w:val="004B3B2F"/>
    <w:rsid w:val="004B3BE0"/>
    <w:rsid w:val="004B3E25"/>
    <w:rsid w:val="004B3F53"/>
    <w:rsid w:val="004B3FED"/>
    <w:rsid w:val="004B4065"/>
    <w:rsid w:val="004B4A29"/>
    <w:rsid w:val="004B4BA1"/>
    <w:rsid w:val="004B4D93"/>
    <w:rsid w:val="004B5118"/>
    <w:rsid w:val="004B554F"/>
    <w:rsid w:val="004B593F"/>
    <w:rsid w:val="004B5C5F"/>
    <w:rsid w:val="004B6418"/>
    <w:rsid w:val="004B6B44"/>
    <w:rsid w:val="004B6C99"/>
    <w:rsid w:val="004B6DDC"/>
    <w:rsid w:val="004B6F08"/>
    <w:rsid w:val="004B7252"/>
    <w:rsid w:val="004B7404"/>
    <w:rsid w:val="004B792A"/>
    <w:rsid w:val="004B7AEA"/>
    <w:rsid w:val="004B7BCB"/>
    <w:rsid w:val="004B7E42"/>
    <w:rsid w:val="004C014A"/>
    <w:rsid w:val="004C01FB"/>
    <w:rsid w:val="004C03C3"/>
    <w:rsid w:val="004C0716"/>
    <w:rsid w:val="004C0915"/>
    <w:rsid w:val="004C0D32"/>
    <w:rsid w:val="004C0FC5"/>
    <w:rsid w:val="004C12A8"/>
    <w:rsid w:val="004C15E4"/>
    <w:rsid w:val="004C1793"/>
    <w:rsid w:val="004C19B3"/>
    <w:rsid w:val="004C19F3"/>
    <w:rsid w:val="004C1B14"/>
    <w:rsid w:val="004C1F45"/>
    <w:rsid w:val="004C20C2"/>
    <w:rsid w:val="004C20DE"/>
    <w:rsid w:val="004C215B"/>
    <w:rsid w:val="004C26D6"/>
    <w:rsid w:val="004C2D36"/>
    <w:rsid w:val="004C2DA2"/>
    <w:rsid w:val="004C31F7"/>
    <w:rsid w:val="004C348D"/>
    <w:rsid w:val="004C3973"/>
    <w:rsid w:val="004C397D"/>
    <w:rsid w:val="004C3998"/>
    <w:rsid w:val="004C3AF4"/>
    <w:rsid w:val="004C4609"/>
    <w:rsid w:val="004C4857"/>
    <w:rsid w:val="004C4ACA"/>
    <w:rsid w:val="004C4D8A"/>
    <w:rsid w:val="004C4FC5"/>
    <w:rsid w:val="004C5277"/>
    <w:rsid w:val="004C5348"/>
    <w:rsid w:val="004C5431"/>
    <w:rsid w:val="004C5BE7"/>
    <w:rsid w:val="004C5C05"/>
    <w:rsid w:val="004C5E9D"/>
    <w:rsid w:val="004C6029"/>
    <w:rsid w:val="004C6356"/>
    <w:rsid w:val="004C649C"/>
    <w:rsid w:val="004C6BD7"/>
    <w:rsid w:val="004C6C17"/>
    <w:rsid w:val="004C6CCE"/>
    <w:rsid w:val="004C742E"/>
    <w:rsid w:val="004C787D"/>
    <w:rsid w:val="004C7A57"/>
    <w:rsid w:val="004C7ACD"/>
    <w:rsid w:val="004C7C2C"/>
    <w:rsid w:val="004D0031"/>
    <w:rsid w:val="004D0899"/>
    <w:rsid w:val="004D0A47"/>
    <w:rsid w:val="004D0D7E"/>
    <w:rsid w:val="004D1111"/>
    <w:rsid w:val="004D136C"/>
    <w:rsid w:val="004D14AC"/>
    <w:rsid w:val="004D1B4F"/>
    <w:rsid w:val="004D1EC6"/>
    <w:rsid w:val="004D1F33"/>
    <w:rsid w:val="004D201A"/>
    <w:rsid w:val="004D22C6"/>
    <w:rsid w:val="004D22CE"/>
    <w:rsid w:val="004D2398"/>
    <w:rsid w:val="004D2630"/>
    <w:rsid w:val="004D2784"/>
    <w:rsid w:val="004D28D9"/>
    <w:rsid w:val="004D3293"/>
    <w:rsid w:val="004D38C9"/>
    <w:rsid w:val="004D3A29"/>
    <w:rsid w:val="004D3AFD"/>
    <w:rsid w:val="004D3CFD"/>
    <w:rsid w:val="004D3E43"/>
    <w:rsid w:val="004D3F56"/>
    <w:rsid w:val="004D4028"/>
    <w:rsid w:val="004D4054"/>
    <w:rsid w:val="004D43C8"/>
    <w:rsid w:val="004D445F"/>
    <w:rsid w:val="004D44BC"/>
    <w:rsid w:val="004D4815"/>
    <w:rsid w:val="004D49A5"/>
    <w:rsid w:val="004D4D37"/>
    <w:rsid w:val="004D4F45"/>
    <w:rsid w:val="004D5174"/>
    <w:rsid w:val="004D530E"/>
    <w:rsid w:val="004D56FF"/>
    <w:rsid w:val="004D616C"/>
    <w:rsid w:val="004D6460"/>
    <w:rsid w:val="004D66FE"/>
    <w:rsid w:val="004D679A"/>
    <w:rsid w:val="004D67C6"/>
    <w:rsid w:val="004D6959"/>
    <w:rsid w:val="004D6C08"/>
    <w:rsid w:val="004D6C87"/>
    <w:rsid w:val="004D7162"/>
    <w:rsid w:val="004D72A0"/>
    <w:rsid w:val="004D749B"/>
    <w:rsid w:val="004D7563"/>
    <w:rsid w:val="004D7F2B"/>
    <w:rsid w:val="004E1068"/>
    <w:rsid w:val="004E107C"/>
    <w:rsid w:val="004E1566"/>
    <w:rsid w:val="004E18EF"/>
    <w:rsid w:val="004E1B82"/>
    <w:rsid w:val="004E1EEF"/>
    <w:rsid w:val="004E1F47"/>
    <w:rsid w:val="004E2093"/>
    <w:rsid w:val="004E281D"/>
    <w:rsid w:val="004E2AC4"/>
    <w:rsid w:val="004E2C2C"/>
    <w:rsid w:val="004E2D63"/>
    <w:rsid w:val="004E30F5"/>
    <w:rsid w:val="004E3281"/>
    <w:rsid w:val="004E3313"/>
    <w:rsid w:val="004E339F"/>
    <w:rsid w:val="004E3419"/>
    <w:rsid w:val="004E3426"/>
    <w:rsid w:val="004E392E"/>
    <w:rsid w:val="004E3FA4"/>
    <w:rsid w:val="004E3FBE"/>
    <w:rsid w:val="004E4224"/>
    <w:rsid w:val="004E4367"/>
    <w:rsid w:val="004E43B2"/>
    <w:rsid w:val="004E45E6"/>
    <w:rsid w:val="004E4BEC"/>
    <w:rsid w:val="004E4FAB"/>
    <w:rsid w:val="004E5074"/>
    <w:rsid w:val="004E5FDC"/>
    <w:rsid w:val="004E6399"/>
    <w:rsid w:val="004E66CD"/>
    <w:rsid w:val="004E6C00"/>
    <w:rsid w:val="004E6F87"/>
    <w:rsid w:val="004E7067"/>
    <w:rsid w:val="004E74D1"/>
    <w:rsid w:val="004E7AC3"/>
    <w:rsid w:val="004F000C"/>
    <w:rsid w:val="004F009E"/>
    <w:rsid w:val="004F045D"/>
    <w:rsid w:val="004F0581"/>
    <w:rsid w:val="004F0624"/>
    <w:rsid w:val="004F0B08"/>
    <w:rsid w:val="004F0BDB"/>
    <w:rsid w:val="004F0F6C"/>
    <w:rsid w:val="004F13D6"/>
    <w:rsid w:val="004F1609"/>
    <w:rsid w:val="004F165C"/>
    <w:rsid w:val="004F1833"/>
    <w:rsid w:val="004F187E"/>
    <w:rsid w:val="004F19E3"/>
    <w:rsid w:val="004F1CCB"/>
    <w:rsid w:val="004F2565"/>
    <w:rsid w:val="004F2776"/>
    <w:rsid w:val="004F2BEE"/>
    <w:rsid w:val="004F2D2D"/>
    <w:rsid w:val="004F3213"/>
    <w:rsid w:val="004F3728"/>
    <w:rsid w:val="004F3834"/>
    <w:rsid w:val="004F38B5"/>
    <w:rsid w:val="004F39AF"/>
    <w:rsid w:val="004F3E20"/>
    <w:rsid w:val="004F3EC4"/>
    <w:rsid w:val="004F3F15"/>
    <w:rsid w:val="004F40F6"/>
    <w:rsid w:val="004F41EE"/>
    <w:rsid w:val="004F432E"/>
    <w:rsid w:val="004F443F"/>
    <w:rsid w:val="004F4683"/>
    <w:rsid w:val="004F47AC"/>
    <w:rsid w:val="004F47C3"/>
    <w:rsid w:val="004F4825"/>
    <w:rsid w:val="004F493B"/>
    <w:rsid w:val="004F4D95"/>
    <w:rsid w:val="004F5163"/>
    <w:rsid w:val="004F5552"/>
    <w:rsid w:val="004F5FB2"/>
    <w:rsid w:val="004F6122"/>
    <w:rsid w:val="004F612D"/>
    <w:rsid w:val="004F629E"/>
    <w:rsid w:val="004F66E4"/>
    <w:rsid w:val="004F720D"/>
    <w:rsid w:val="004F7868"/>
    <w:rsid w:val="004F7B2E"/>
    <w:rsid w:val="004F7FD4"/>
    <w:rsid w:val="00500161"/>
    <w:rsid w:val="005006D4"/>
    <w:rsid w:val="00500848"/>
    <w:rsid w:val="00500945"/>
    <w:rsid w:val="00500B32"/>
    <w:rsid w:val="00500BDD"/>
    <w:rsid w:val="00500CD8"/>
    <w:rsid w:val="00500DD7"/>
    <w:rsid w:val="005010B8"/>
    <w:rsid w:val="00501228"/>
    <w:rsid w:val="0050125E"/>
    <w:rsid w:val="00501327"/>
    <w:rsid w:val="00501820"/>
    <w:rsid w:val="00501938"/>
    <w:rsid w:val="00501BC5"/>
    <w:rsid w:val="00501F58"/>
    <w:rsid w:val="00502380"/>
    <w:rsid w:val="0050249D"/>
    <w:rsid w:val="005024E9"/>
    <w:rsid w:val="005028F5"/>
    <w:rsid w:val="00502A9F"/>
    <w:rsid w:val="00502C01"/>
    <w:rsid w:val="00502F12"/>
    <w:rsid w:val="00502F1F"/>
    <w:rsid w:val="00503184"/>
    <w:rsid w:val="00503348"/>
    <w:rsid w:val="005035D6"/>
    <w:rsid w:val="00503A6C"/>
    <w:rsid w:val="00504129"/>
    <w:rsid w:val="0050421D"/>
    <w:rsid w:val="0050480C"/>
    <w:rsid w:val="0050483C"/>
    <w:rsid w:val="00504C59"/>
    <w:rsid w:val="00505007"/>
    <w:rsid w:val="00505156"/>
    <w:rsid w:val="0050580F"/>
    <w:rsid w:val="005059BD"/>
    <w:rsid w:val="005059C3"/>
    <w:rsid w:val="00505AB8"/>
    <w:rsid w:val="00505C19"/>
    <w:rsid w:val="00505D33"/>
    <w:rsid w:val="005060E7"/>
    <w:rsid w:val="00506116"/>
    <w:rsid w:val="00506120"/>
    <w:rsid w:val="00506477"/>
    <w:rsid w:val="00506CA0"/>
    <w:rsid w:val="00506EA7"/>
    <w:rsid w:val="00507028"/>
    <w:rsid w:val="005074E7"/>
    <w:rsid w:val="005075B7"/>
    <w:rsid w:val="005075D2"/>
    <w:rsid w:val="00507CC8"/>
    <w:rsid w:val="00507F7F"/>
    <w:rsid w:val="00510187"/>
    <w:rsid w:val="0051066D"/>
    <w:rsid w:val="005107E9"/>
    <w:rsid w:val="0051081B"/>
    <w:rsid w:val="00510B79"/>
    <w:rsid w:val="00510B85"/>
    <w:rsid w:val="0051110C"/>
    <w:rsid w:val="0051145F"/>
    <w:rsid w:val="005116F1"/>
    <w:rsid w:val="0051170F"/>
    <w:rsid w:val="0051180F"/>
    <w:rsid w:val="00511C39"/>
    <w:rsid w:val="00511ED5"/>
    <w:rsid w:val="00511FD1"/>
    <w:rsid w:val="005122DD"/>
    <w:rsid w:val="00512537"/>
    <w:rsid w:val="005125BE"/>
    <w:rsid w:val="00512706"/>
    <w:rsid w:val="00512821"/>
    <w:rsid w:val="00512EAE"/>
    <w:rsid w:val="00512F4C"/>
    <w:rsid w:val="0051302B"/>
    <w:rsid w:val="005130CD"/>
    <w:rsid w:val="00513283"/>
    <w:rsid w:val="005132D1"/>
    <w:rsid w:val="00513339"/>
    <w:rsid w:val="0051339F"/>
    <w:rsid w:val="005134CC"/>
    <w:rsid w:val="00513D7E"/>
    <w:rsid w:val="00513D8C"/>
    <w:rsid w:val="00513F8D"/>
    <w:rsid w:val="00514268"/>
    <w:rsid w:val="005142BA"/>
    <w:rsid w:val="005142D4"/>
    <w:rsid w:val="005146B0"/>
    <w:rsid w:val="0051478F"/>
    <w:rsid w:val="005149FB"/>
    <w:rsid w:val="00514B94"/>
    <w:rsid w:val="00514D82"/>
    <w:rsid w:val="005150E1"/>
    <w:rsid w:val="0051527E"/>
    <w:rsid w:val="00515625"/>
    <w:rsid w:val="005157D6"/>
    <w:rsid w:val="005157FB"/>
    <w:rsid w:val="005158E5"/>
    <w:rsid w:val="00515A82"/>
    <w:rsid w:val="00515D1B"/>
    <w:rsid w:val="00515EFD"/>
    <w:rsid w:val="00516149"/>
    <w:rsid w:val="00516470"/>
    <w:rsid w:val="0051658F"/>
    <w:rsid w:val="005165E9"/>
    <w:rsid w:val="0051661F"/>
    <w:rsid w:val="005167EF"/>
    <w:rsid w:val="00516917"/>
    <w:rsid w:val="00516E32"/>
    <w:rsid w:val="00516EBF"/>
    <w:rsid w:val="0051747E"/>
    <w:rsid w:val="00520922"/>
    <w:rsid w:val="00520BA8"/>
    <w:rsid w:val="00520C41"/>
    <w:rsid w:val="00521249"/>
    <w:rsid w:val="005212AC"/>
    <w:rsid w:val="00521472"/>
    <w:rsid w:val="0052169B"/>
    <w:rsid w:val="00521D0A"/>
    <w:rsid w:val="00521D8B"/>
    <w:rsid w:val="00521E58"/>
    <w:rsid w:val="0052210F"/>
    <w:rsid w:val="005221D0"/>
    <w:rsid w:val="00522585"/>
    <w:rsid w:val="005229E0"/>
    <w:rsid w:val="00522BC1"/>
    <w:rsid w:val="00522D3D"/>
    <w:rsid w:val="00522F0F"/>
    <w:rsid w:val="00523C63"/>
    <w:rsid w:val="00523CDC"/>
    <w:rsid w:val="0052404C"/>
    <w:rsid w:val="0052458F"/>
    <w:rsid w:val="00524617"/>
    <w:rsid w:val="00524980"/>
    <w:rsid w:val="00524A19"/>
    <w:rsid w:val="00524CC4"/>
    <w:rsid w:val="00524D9C"/>
    <w:rsid w:val="00525397"/>
    <w:rsid w:val="005257AA"/>
    <w:rsid w:val="00525D20"/>
    <w:rsid w:val="00525E37"/>
    <w:rsid w:val="00526044"/>
    <w:rsid w:val="00526331"/>
    <w:rsid w:val="005264DC"/>
    <w:rsid w:val="00526568"/>
    <w:rsid w:val="00526806"/>
    <w:rsid w:val="00526A1C"/>
    <w:rsid w:val="00526ABD"/>
    <w:rsid w:val="00526B41"/>
    <w:rsid w:val="00526C30"/>
    <w:rsid w:val="00526D9A"/>
    <w:rsid w:val="00526DF8"/>
    <w:rsid w:val="005270F4"/>
    <w:rsid w:val="00527269"/>
    <w:rsid w:val="00527A00"/>
    <w:rsid w:val="00527A92"/>
    <w:rsid w:val="00527F06"/>
    <w:rsid w:val="00530695"/>
    <w:rsid w:val="0053094B"/>
    <w:rsid w:val="00530BE6"/>
    <w:rsid w:val="00530C06"/>
    <w:rsid w:val="00530C6B"/>
    <w:rsid w:val="005311A1"/>
    <w:rsid w:val="005312CA"/>
    <w:rsid w:val="00531B51"/>
    <w:rsid w:val="00531DB7"/>
    <w:rsid w:val="00531FF6"/>
    <w:rsid w:val="00532134"/>
    <w:rsid w:val="0053252F"/>
    <w:rsid w:val="00532899"/>
    <w:rsid w:val="005329FC"/>
    <w:rsid w:val="00532ACD"/>
    <w:rsid w:val="00532D0E"/>
    <w:rsid w:val="005333B2"/>
    <w:rsid w:val="00533586"/>
    <w:rsid w:val="005335B5"/>
    <w:rsid w:val="00533821"/>
    <w:rsid w:val="00533AE5"/>
    <w:rsid w:val="00533CEE"/>
    <w:rsid w:val="005342A6"/>
    <w:rsid w:val="0053442A"/>
    <w:rsid w:val="005346DC"/>
    <w:rsid w:val="00534888"/>
    <w:rsid w:val="00534C05"/>
    <w:rsid w:val="005350CD"/>
    <w:rsid w:val="005353E5"/>
    <w:rsid w:val="005354D4"/>
    <w:rsid w:val="005354F3"/>
    <w:rsid w:val="00535786"/>
    <w:rsid w:val="005358BD"/>
    <w:rsid w:val="005362EA"/>
    <w:rsid w:val="005363CD"/>
    <w:rsid w:val="00536874"/>
    <w:rsid w:val="005369F2"/>
    <w:rsid w:val="00536AB7"/>
    <w:rsid w:val="00536E34"/>
    <w:rsid w:val="00536E47"/>
    <w:rsid w:val="00536E55"/>
    <w:rsid w:val="00536EB0"/>
    <w:rsid w:val="005375CF"/>
    <w:rsid w:val="005377F2"/>
    <w:rsid w:val="0054045D"/>
    <w:rsid w:val="00540460"/>
    <w:rsid w:val="005404B5"/>
    <w:rsid w:val="00540599"/>
    <w:rsid w:val="00540E72"/>
    <w:rsid w:val="00540F05"/>
    <w:rsid w:val="00540F7E"/>
    <w:rsid w:val="00541032"/>
    <w:rsid w:val="00541371"/>
    <w:rsid w:val="00541393"/>
    <w:rsid w:val="005414D6"/>
    <w:rsid w:val="0054162A"/>
    <w:rsid w:val="00541722"/>
    <w:rsid w:val="00541A1E"/>
    <w:rsid w:val="00542006"/>
    <w:rsid w:val="00542014"/>
    <w:rsid w:val="005420F9"/>
    <w:rsid w:val="005421AC"/>
    <w:rsid w:val="00542537"/>
    <w:rsid w:val="00542690"/>
    <w:rsid w:val="00542710"/>
    <w:rsid w:val="00542C4B"/>
    <w:rsid w:val="00542EA8"/>
    <w:rsid w:val="00542ED3"/>
    <w:rsid w:val="00542F0C"/>
    <w:rsid w:val="0054321F"/>
    <w:rsid w:val="00543637"/>
    <w:rsid w:val="00543799"/>
    <w:rsid w:val="00543952"/>
    <w:rsid w:val="005439DF"/>
    <w:rsid w:val="00543C8A"/>
    <w:rsid w:val="005446B9"/>
    <w:rsid w:val="005446BF"/>
    <w:rsid w:val="005448E1"/>
    <w:rsid w:val="00544A8F"/>
    <w:rsid w:val="00544B0E"/>
    <w:rsid w:val="00544BF5"/>
    <w:rsid w:val="00544CFE"/>
    <w:rsid w:val="00544E36"/>
    <w:rsid w:val="00544EB6"/>
    <w:rsid w:val="00545600"/>
    <w:rsid w:val="005456F3"/>
    <w:rsid w:val="0054593F"/>
    <w:rsid w:val="00545E95"/>
    <w:rsid w:val="00545F2B"/>
    <w:rsid w:val="005463F8"/>
    <w:rsid w:val="00546445"/>
    <w:rsid w:val="0054645F"/>
    <w:rsid w:val="00546643"/>
    <w:rsid w:val="00546697"/>
    <w:rsid w:val="00546815"/>
    <w:rsid w:val="00546BB1"/>
    <w:rsid w:val="00546ED4"/>
    <w:rsid w:val="00547129"/>
    <w:rsid w:val="00547145"/>
    <w:rsid w:val="005474CC"/>
    <w:rsid w:val="005476A6"/>
    <w:rsid w:val="005479B8"/>
    <w:rsid w:val="00547B35"/>
    <w:rsid w:val="00547D8A"/>
    <w:rsid w:val="00547FC4"/>
    <w:rsid w:val="00550172"/>
    <w:rsid w:val="00550735"/>
    <w:rsid w:val="00551156"/>
    <w:rsid w:val="005513FA"/>
    <w:rsid w:val="0055199B"/>
    <w:rsid w:val="00551A2A"/>
    <w:rsid w:val="00551F51"/>
    <w:rsid w:val="005521DE"/>
    <w:rsid w:val="0055251C"/>
    <w:rsid w:val="00552ECB"/>
    <w:rsid w:val="0055344D"/>
    <w:rsid w:val="0055368C"/>
    <w:rsid w:val="00553D20"/>
    <w:rsid w:val="005540DC"/>
    <w:rsid w:val="00554450"/>
    <w:rsid w:val="005544C4"/>
    <w:rsid w:val="00554671"/>
    <w:rsid w:val="0055467C"/>
    <w:rsid w:val="0055481A"/>
    <w:rsid w:val="00554A71"/>
    <w:rsid w:val="0055523F"/>
    <w:rsid w:val="00555A12"/>
    <w:rsid w:val="00555CCE"/>
    <w:rsid w:val="00556250"/>
    <w:rsid w:val="0055629E"/>
    <w:rsid w:val="0055658C"/>
    <w:rsid w:val="005566F4"/>
    <w:rsid w:val="00556813"/>
    <w:rsid w:val="00556ABB"/>
    <w:rsid w:val="00556C11"/>
    <w:rsid w:val="00556D3E"/>
    <w:rsid w:val="00557A23"/>
    <w:rsid w:val="00557EF7"/>
    <w:rsid w:val="00557F01"/>
    <w:rsid w:val="00560176"/>
    <w:rsid w:val="00560247"/>
    <w:rsid w:val="00560349"/>
    <w:rsid w:val="005605E3"/>
    <w:rsid w:val="005606BE"/>
    <w:rsid w:val="0056129F"/>
    <w:rsid w:val="00561500"/>
    <w:rsid w:val="00561976"/>
    <w:rsid w:val="00561B7A"/>
    <w:rsid w:val="00561CDB"/>
    <w:rsid w:val="0056203E"/>
    <w:rsid w:val="005625FA"/>
    <w:rsid w:val="00562AAA"/>
    <w:rsid w:val="00562E74"/>
    <w:rsid w:val="005639AA"/>
    <w:rsid w:val="00563F4A"/>
    <w:rsid w:val="0056449B"/>
    <w:rsid w:val="0056464A"/>
    <w:rsid w:val="00564695"/>
    <w:rsid w:val="005648FE"/>
    <w:rsid w:val="00564A99"/>
    <w:rsid w:val="00564C4F"/>
    <w:rsid w:val="00564D4D"/>
    <w:rsid w:val="00564FD6"/>
    <w:rsid w:val="0056552F"/>
    <w:rsid w:val="005658F9"/>
    <w:rsid w:val="00565C76"/>
    <w:rsid w:val="005660F0"/>
    <w:rsid w:val="00566395"/>
    <w:rsid w:val="005663BD"/>
    <w:rsid w:val="00566839"/>
    <w:rsid w:val="005668FE"/>
    <w:rsid w:val="0056698B"/>
    <w:rsid w:val="005669E5"/>
    <w:rsid w:val="00566CBF"/>
    <w:rsid w:val="00566CCD"/>
    <w:rsid w:val="00566D97"/>
    <w:rsid w:val="00567438"/>
    <w:rsid w:val="00567A44"/>
    <w:rsid w:val="00567F0B"/>
    <w:rsid w:val="005700B3"/>
    <w:rsid w:val="005701A3"/>
    <w:rsid w:val="005709F4"/>
    <w:rsid w:val="005709FA"/>
    <w:rsid w:val="00570A07"/>
    <w:rsid w:val="00570A21"/>
    <w:rsid w:val="00570BCE"/>
    <w:rsid w:val="0057114D"/>
    <w:rsid w:val="00571517"/>
    <w:rsid w:val="00571AB1"/>
    <w:rsid w:val="0057206B"/>
    <w:rsid w:val="00572938"/>
    <w:rsid w:val="0057296F"/>
    <w:rsid w:val="00572AEC"/>
    <w:rsid w:val="00573032"/>
    <w:rsid w:val="00573238"/>
    <w:rsid w:val="0057325E"/>
    <w:rsid w:val="0057337B"/>
    <w:rsid w:val="00573A6A"/>
    <w:rsid w:val="00573B92"/>
    <w:rsid w:val="00573D50"/>
    <w:rsid w:val="00573F5F"/>
    <w:rsid w:val="00573F8F"/>
    <w:rsid w:val="00574179"/>
    <w:rsid w:val="005748EC"/>
    <w:rsid w:val="0057497D"/>
    <w:rsid w:val="00574BA9"/>
    <w:rsid w:val="00574C0F"/>
    <w:rsid w:val="00574DE1"/>
    <w:rsid w:val="005750CF"/>
    <w:rsid w:val="005753CF"/>
    <w:rsid w:val="005757DA"/>
    <w:rsid w:val="00575828"/>
    <w:rsid w:val="00575835"/>
    <w:rsid w:val="0057583A"/>
    <w:rsid w:val="00575AE7"/>
    <w:rsid w:val="0057601E"/>
    <w:rsid w:val="00576062"/>
    <w:rsid w:val="005762F5"/>
    <w:rsid w:val="00576584"/>
    <w:rsid w:val="005768FD"/>
    <w:rsid w:val="00576C7F"/>
    <w:rsid w:val="00576F31"/>
    <w:rsid w:val="00576F8F"/>
    <w:rsid w:val="00577144"/>
    <w:rsid w:val="005772E6"/>
    <w:rsid w:val="00577331"/>
    <w:rsid w:val="0057744B"/>
    <w:rsid w:val="0057780C"/>
    <w:rsid w:val="00577838"/>
    <w:rsid w:val="00577A29"/>
    <w:rsid w:val="00577A79"/>
    <w:rsid w:val="00577DE0"/>
    <w:rsid w:val="005805C5"/>
    <w:rsid w:val="0058078F"/>
    <w:rsid w:val="005807FA"/>
    <w:rsid w:val="00580AE8"/>
    <w:rsid w:val="00580C81"/>
    <w:rsid w:val="005810C6"/>
    <w:rsid w:val="00581795"/>
    <w:rsid w:val="00581C35"/>
    <w:rsid w:val="00581C5A"/>
    <w:rsid w:val="00581E6C"/>
    <w:rsid w:val="00581FE5"/>
    <w:rsid w:val="005829FC"/>
    <w:rsid w:val="00582C5C"/>
    <w:rsid w:val="00582E3A"/>
    <w:rsid w:val="005830A6"/>
    <w:rsid w:val="00583132"/>
    <w:rsid w:val="005834B4"/>
    <w:rsid w:val="00583702"/>
    <w:rsid w:val="00583E2B"/>
    <w:rsid w:val="00583E66"/>
    <w:rsid w:val="00584A6C"/>
    <w:rsid w:val="00584A6F"/>
    <w:rsid w:val="00584BE3"/>
    <w:rsid w:val="00584CA4"/>
    <w:rsid w:val="00584E92"/>
    <w:rsid w:val="00585294"/>
    <w:rsid w:val="00585449"/>
    <w:rsid w:val="0058570F"/>
    <w:rsid w:val="00585DD0"/>
    <w:rsid w:val="00585F1D"/>
    <w:rsid w:val="00586114"/>
    <w:rsid w:val="0058636C"/>
    <w:rsid w:val="00586448"/>
    <w:rsid w:val="00586B6B"/>
    <w:rsid w:val="00586C40"/>
    <w:rsid w:val="00586CCC"/>
    <w:rsid w:val="00586F5B"/>
    <w:rsid w:val="00586FFC"/>
    <w:rsid w:val="00587156"/>
    <w:rsid w:val="005871FB"/>
    <w:rsid w:val="00587688"/>
    <w:rsid w:val="0058769C"/>
    <w:rsid w:val="00587795"/>
    <w:rsid w:val="00590340"/>
    <w:rsid w:val="0059057B"/>
    <w:rsid w:val="00590A24"/>
    <w:rsid w:val="00590B10"/>
    <w:rsid w:val="00590C54"/>
    <w:rsid w:val="00590D10"/>
    <w:rsid w:val="00590D87"/>
    <w:rsid w:val="00590E0D"/>
    <w:rsid w:val="005912F9"/>
    <w:rsid w:val="005914B8"/>
    <w:rsid w:val="005914EB"/>
    <w:rsid w:val="00591668"/>
    <w:rsid w:val="005918E9"/>
    <w:rsid w:val="00591B8A"/>
    <w:rsid w:val="00591D64"/>
    <w:rsid w:val="00591F13"/>
    <w:rsid w:val="00592181"/>
    <w:rsid w:val="005921C9"/>
    <w:rsid w:val="0059227D"/>
    <w:rsid w:val="00592557"/>
    <w:rsid w:val="00592626"/>
    <w:rsid w:val="00592749"/>
    <w:rsid w:val="00592830"/>
    <w:rsid w:val="00592852"/>
    <w:rsid w:val="00592B43"/>
    <w:rsid w:val="00592CE3"/>
    <w:rsid w:val="00592E01"/>
    <w:rsid w:val="0059350F"/>
    <w:rsid w:val="00593A55"/>
    <w:rsid w:val="00593B71"/>
    <w:rsid w:val="00593BB9"/>
    <w:rsid w:val="00593CC6"/>
    <w:rsid w:val="00593E6F"/>
    <w:rsid w:val="00594AD8"/>
    <w:rsid w:val="00594B62"/>
    <w:rsid w:val="00594BF4"/>
    <w:rsid w:val="00594D6E"/>
    <w:rsid w:val="00595110"/>
    <w:rsid w:val="00595221"/>
    <w:rsid w:val="005956AD"/>
    <w:rsid w:val="00595C5A"/>
    <w:rsid w:val="00595F8B"/>
    <w:rsid w:val="00596659"/>
    <w:rsid w:val="00596709"/>
    <w:rsid w:val="00596754"/>
    <w:rsid w:val="00596E06"/>
    <w:rsid w:val="00596F7A"/>
    <w:rsid w:val="00597034"/>
    <w:rsid w:val="00597770"/>
    <w:rsid w:val="00597C01"/>
    <w:rsid w:val="005A0D4C"/>
    <w:rsid w:val="005A1178"/>
    <w:rsid w:val="005A143A"/>
    <w:rsid w:val="005A14E7"/>
    <w:rsid w:val="005A151F"/>
    <w:rsid w:val="005A19E6"/>
    <w:rsid w:val="005A1D1D"/>
    <w:rsid w:val="005A20DE"/>
    <w:rsid w:val="005A2348"/>
    <w:rsid w:val="005A2924"/>
    <w:rsid w:val="005A2A9B"/>
    <w:rsid w:val="005A2AA9"/>
    <w:rsid w:val="005A2F93"/>
    <w:rsid w:val="005A3027"/>
    <w:rsid w:val="005A31A1"/>
    <w:rsid w:val="005A35A3"/>
    <w:rsid w:val="005A36BD"/>
    <w:rsid w:val="005A3709"/>
    <w:rsid w:val="005A3E48"/>
    <w:rsid w:val="005A4099"/>
    <w:rsid w:val="005A41DF"/>
    <w:rsid w:val="005A4415"/>
    <w:rsid w:val="005A44D3"/>
    <w:rsid w:val="005A45AB"/>
    <w:rsid w:val="005A4731"/>
    <w:rsid w:val="005A4954"/>
    <w:rsid w:val="005A4967"/>
    <w:rsid w:val="005A4A7B"/>
    <w:rsid w:val="005A5159"/>
    <w:rsid w:val="005A5586"/>
    <w:rsid w:val="005A6171"/>
    <w:rsid w:val="005A6237"/>
    <w:rsid w:val="005A6256"/>
    <w:rsid w:val="005A6741"/>
    <w:rsid w:val="005A67FD"/>
    <w:rsid w:val="005A7337"/>
    <w:rsid w:val="005A77A8"/>
    <w:rsid w:val="005A7848"/>
    <w:rsid w:val="005A787E"/>
    <w:rsid w:val="005A7D06"/>
    <w:rsid w:val="005B0181"/>
    <w:rsid w:val="005B043C"/>
    <w:rsid w:val="005B09CD"/>
    <w:rsid w:val="005B0BEB"/>
    <w:rsid w:val="005B0D04"/>
    <w:rsid w:val="005B0EFB"/>
    <w:rsid w:val="005B0F14"/>
    <w:rsid w:val="005B0F80"/>
    <w:rsid w:val="005B1145"/>
    <w:rsid w:val="005B11AC"/>
    <w:rsid w:val="005B12B3"/>
    <w:rsid w:val="005B150E"/>
    <w:rsid w:val="005B17DF"/>
    <w:rsid w:val="005B1856"/>
    <w:rsid w:val="005B1A14"/>
    <w:rsid w:val="005B2208"/>
    <w:rsid w:val="005B24DE"/>
    <w:rsid w:val="005B2551"/>
    <w:rsid w:val="005B27F4"/>
    <w:rsid w:val="005B2841"/>
    <w:rsid w:val="005B2A77"/>
    <w:rsid w:val="005B2C1F"/>
    <w:rsid w:val="005B2DCB"/>
    <w:rsid w:val="005B30ED"/>
    <w:rsid w:val="005B331F"/>
    <w:rsid w:val="005B3FB4"/>
    <w:rsid w:val="005B4031"/>
    <w:rsid w:val="005B43FE"/>
    <w:rsid w:val="005B44D3"/>
    <w:rsid w:val="005B4572"/>
    <w:rsid w:val="005B47A3"/>
    <w:rsid w:val="005B48F1"/>
    <w:rsid w:val="005B4984"/>
    <w:rsid w:val="005B5207"/>
    <w:rsid w:val="005B53B3"/>
    <w:rsid w:val="005B5412"/>
    <w:rsid w:val="005B5701"/>
    <w:rsid w:val="005B58B2"/>
    <w:rsid w:val="005B5A40"/>
    <w:rsid w:val="005B5B44"/>
    <w:rsid w:val="005B5EE1"/>
    <w:rsid w:val="005B60B8"/>
    <w:rsid w:val="005B62C5"/>
    <w:rsid w:val="005B66DD"/>
    <w:rsid w:val="005B676A"/>
    <w:rsid w:val="005B678C"/>
    <w:rsid w:val="005B684C"/>
    <w:rsid w:val="005B68D7"/>
    <w:rsid w:val="005B695A"/>
    <w:rsid w:val="005B707E"/>
    <w:rsid w:val="005B78BD"/>
    <w:rsid w:val="005B7A79"/>
    <w:rsid w:val="005B7E37"/>
    <w:rsid w:val="005B7E9F"/>
    <w:rsid w:val="005C0F09"/>
    <w:rsid w:val="005C11F9"/>
    <w:rsid w:val="005C1386"/>
    <w:rsid w:val="005C162A"/>
    <w:rsid w:val="005C197A"/>
    <w:rsid w:val="005C19EC"/>
    <w:rsid w:val="005C1D53"/>
    <w:rsid w:val="005C211E"/>
    <w:rsid w:val="005C2171"/>
    <w:rsid w:val="005C2306"/>
    <w:rsid w:val="005C234E"/>
    <w:rsid w:val="005C24E1"/>
    <w:rsid w:val="005C27DD"/>
    <w:rsid w:val="005C2B4F"/>
    <w:rsid w:val="005C2B70"/>
    <w:rsid w:val="005C2C7A"/>
    <w:rsid w:val="005C2DE9"/>
    <w:rsid w:val="005C3B87"/>
    <w:rsid w:val="005C413B"/>
    <w:rsid w:val="005C42EC"/>
    <w:rsid w:val="005C43EB"/>
    <w:rsid w:val="005C4505"/>
    <w:rsid w:val="005C49A6"/>
    <w:rsid w:val="005C4B5D"/>
    <w:rsid w:val="005C4C38"/>
    <w:rsid w:val="005C5347"/>
    <w:rsid w:val="005C535C"/>
    <w:rsid w:val="005C5553"/>
    <w:rsid w:val="005C5748"/>
    <w:rsid w:val="005C58EF"/>
    <w:rsid w:val="005C5B7A"/>
    <w:rsid w:val="005C5CF7"/>
    <w:rsid w:val="005C60C3"/>
    <w:rsid w:val="005C61E2"/>
    <w:rsid w:val="005C675F"/>
    <w:rsid w:val="005C6945"/>
    <w:rsid w:val="005C69FD"/>
    <w:rsid w:val="005C6BD1"/>
    <w:rsid w:val="005C6DAE"/>
    <w:rsid w:val="005C6F57"/>
    <w:rsid w:val="005C6F80"/>
    <w:rsid w:val="005C7365"/>
    <w:rsid w:val="005C74A0"/>
    <w:rsid w:val="005C7620"/>
    <w:rsid w:val="005C7646"/>
    <w:rsid w:val="005C7649"/>
    <w:rsid w:val="005C77C3"/>
    <w:rsid w:val="005C7866"/>
    <w:rsid w:val="005C79BC"/>
    <w:rsid w:val="005C7A5C"/>
    <w:rsid w:val="005C7DE8"/>
    <w:rsid w:val="005C7EB1"/>
    <w:rsid w:val="005D039F"/>
    <w:rsid w:val="005D0759"/>
    <w:rsid w:val="005D080D"/>
    <w:rsid w:val="005D09D8"/>
    <w:rsid w:val="005D0B8A"/>
    <w:rsid w:val="005D0F5B"/>
    <w:rsid w:val="005D0FB4"/>
    <w:rsid w:val="005D14CB"/>
    <w:rsid w:val="005D15E9"/>
    <w:rsid w:val="005D1A24"/>
    <w:rsid w:val="005D1A56"/>
    <w:rsid w:val="005D1C11"/>
    <w:rsid w:val="005D1C4B"/>
    <w:rsid w:val="005D1C5F"/>
    <w:rsid w:val="005D1CF8"/>
    <w:rsid w:val="005D1DAD"/>
    <w:rsid w:val="005D1E73"/>
    <w:rsid w:val="005D2024"/>
    <w:rsid w:val="005D26A0"/>
    <w:rsid w:val="005D279B"/>
    <w:rsid w:val="005D2D5B"/>
    <w:rsid w:val="005D34C5"/>
    <w:rsid w:val="005D38C1"/>
    <w:rsid w:val="005D38D8"/>
    <w:rsid w:val="005D39C3"/>
    <w:rsid w:val="005D3C33"/>
    <w:rsid w:val="005D3F3E"/>
    <w:rsid w:val="005D3F77"/>
    <w:rsid w:val="005D4088"/>
    <w:rsid w:val="005D43B6"/>
    <w:rsid w:val="005D4602"/>
    <w:rsid w:val="005D4DFD"/>
    <w:rsid w:val="005D56DF"/>
    <w:rsid w:val="005D574D"/>
    <w:rsid w:val="005D580D"/>
    <w:rsid w:val="005D6142"/>
    <w:rsid w:val="005D62D3"/>
    <w:rsid w:val="005D63FE"/>
    <w:rsid w:val="005D7028"/>
    <w:rsid w:val="005D7152"/>
    <w:rsid w:val="005D7A72"/>
    <w:rsid w:val="005D7B62"/>
    <w:rsid w:val="005D7F4C"/>
    <w:rsid w:val="005E0562"/>
    <w:rsid w:val="005E0CEA"/>
    <w:rsid w:val="005E0E63"/>
    <w:rsid w:val="005E11FB"/>
    <w:rsid w:val="005E13F6"/>
    <w:rsid w:val="005E1C1F"/>
    <w:rsid w:val="005E219A"/>
    <w:rsid w:val="005E25E3"/>
    <w:rsid w:val="005E2B10"/>
    <w:rsid w:val="005E2DD8"/>
    <w:rsid w:val="005E3099"/>
    <w:rsid w:val="005E3176"/>
    <w:rsid w:val="005E3264"/>
    <w:rsid w:val="005E333B"/>
    <w:rsid w:val="005E375F"/>
    <w:rsid w:val="005E3765"/>
    <w:rsid w:val="005E37B8"/>
    <w:rsid w:val="005E3DDF"/>
    <w:rsid w:val="005E3DFA"/>
    <w:rsid w:val="005E3E91"/>
    <w:rsid w:val="005E413E"/>
    <w:rsid w:val="005E4472"/>
    <w:rsid w:val="005E4993"/>
    <w:rsid w:val="005E49D2"/>
    <w:rsid w:val="005E4C54"/>
    <w:rsid w:val="005E50A3"/>
    <w:rsid w:val="005E5F08"/>
    <w:rsid w:val="005E624F"/>
    <w:rsid w:val="005E6310"/>
    <w:rsid w:val="005E6345"/>
    <w:rsid w:val="005E6A4A"/>
    <w:rsid w:val="005E6F56"/>
    <w:rsid w:val="005E70BF"/>
    <w:rsid w:val="005E7138"/>
    <w:rsid w:val="005E7198"/>
    <w:rsid w:val="005E7469"/>
    <w:rsid w:val="005E7597"/>
    <w:rsid w:val="005E7FBE"/>
    <w:rsid w:val="005F0199"/>
    <w:rsid w:val="005F05A3"/>
    <w:rsid w:val="005F0AAA"/>
    <w:rsid w:val="005F0BDC"/>
    <w:rsid w:val="005F0D5F"/>
    <w:rsid w:val="005F1543"/>
    <w:rsid w:val="005F1BE2"/>
    <w:rsid w:val="005F2169"/>
    <w:rsid w:val="005F22E5"/>
    <w:rsid w:val="005F2551"/>
    <w:rsid w:val="005F2842"/>
    <w:rsid w:val="005F2A04"/>
    <w:rsid w:val="005F2CD0"/>
    <w:rsid w:val="005F2E12"/>
    <w:rsid w:val="005F3045"/>
    <w:rsid w:val="005F3367"/>
    <w:rsid w:val="005F34A9"/>
    <w:rsid w:val="005F34CA"/>
    <w:rsid w:val="005F363B"/>
    <w:rsid w:val="005F3B55"/>
    <w:rsid w:val="005F4036"/>
    <w:rsid w:val="005F4405"/>
    <w:rsid w:val="005F44DB"/>
    <w:rsid w:val="005F4905"/>
    <w:rsid w:val="005F4D04"/>
    <w:rsid w:val="005F4F0A"/>
    <w:rsid w:val="005F5427"/>
    <w:rsid w:val="005F5473"/>
    <w:rsid w:val="005F55F9"/>
    <w:rsid w:val="005F5A02"/>
    <w:rsid w:val="005F5B4C"/>
    <w:rsid w:val="005F5FA1"/>
    <w:rsid w:val="005F5FE2"/>
    <w:rsid w:val="005F615A"/>
    <w:rsid w:val="005F62CB"/>
    <w:rsid w:val="005F6613"/>
    <w:rsid w:val="005F6691"/>
    <w:rsid w:val="005F6710"/>
    <w:rsid w:val="005F68A6"/>
    <w:rsid w:val="005F696B"/>
    <w:rsid w:val="005F6A0E"/>
    <w:rsid w:val="005F7356"/>
    <w:rsid w:val="005F74EC"/>
    <w:rsid w:val="005F7B7D"/>
    <w:rsid w:val="005F7C63"/>
    <w:rsid w:val="005F7E79"/>
    <w:rsid w:val="005F7EFA"/>
    <w:rsid w:val="005F7F2E"/>
    <w:rsid w:val="00600126"/>
    <w:rsid w:val="00600504"/>
    <w:rsid w:val="00600805"/>
    <w:rsid w:val="00600F7B"/>
    <w:rsid w:val="00601420"/>
    <w:rsid w:val="006022E9"/>
    <w:rsid w:val="006023C3"/>
    <w:rsid w:val="0060258C"/>
    <w:rsid w:val="00602835"/>
    <w:rsid w:val="0060294E"/>
    <w:rsid w:val="00602CD5"/>
    <w:rsid w:val="00602CE5"/>
    <w:rsid w:val="00602F2E"/>
    <w:rsid w:val="00603743"/>
    <w:rsid w:val="006039D0"/>
    <w:rsid w:val="00603A8B"/>
    <w:rsid w:val="00603AC6"/>
    <w:rsid w:val="00603FDD"/>
    <w:rsid w:val="006041F3"/>
    <w:rsid w:val="0060427C"/>
    <w:rsid w:val="006046F1"/>
    <w:rsid w:val="00604724"/>
    <w:rsid w:val="00604863"/>
    <w:rsid w:val="006049C1"/>
    <w:rsid w:val="0060532C"/>
    <w:rsid w:val="006059FF"/>
    <w:rsid w:val="00605C3C"/>
    <w:rsid w:val="00605DCE"/>
    <w:rsid w:val="006060C9"/>
    <w:rsid w:val="0060643C"/>
    <w:rsid w:val="006065E6"/>
    <w:rsid w:val="00606647"/>
    <w:rsid w:val="00606827"/>
    <w:rsid w:val="00606CA7"/>
    <w:rsid w:val="00606F4C"/>
    <w:rsid w:val="006072BD"/>
    <w:rsid w:val="0060754F"/>
    <w:rsid w:val="00607802"/>
    <w:rsid w:val="00607883"/>
    <w:rsid w:val="006078EA"/>
    <w:rsid w:val="00607914"/>
    <w:rsid w:val="00607A9C"/>
    <w:rsid w:val="00607E12"/>
    <w:rsid w:val="00607E9C"/>
    <w:rsid w:val="00607F75"/>
    <w:rsid w:val="00610389"/>
    <w:rsid w:val="006104E1"/>
    <w:rsid w:val="00610655"/>
    <w:rsid w:val="00610937"/>
    <w:rsid w:val="00610DBF"/>
    <w:rsid w:val="00610FF6"/>
    <w:rsid w:val="00611458"/>
    <w:rsid w:val="00611508"/>
    <w:rsid w:val="006118E4"/>
    <w:rsid w:val="00611EBA"/>
    <w:rsid w:val="00611F37"/>
    <w:rsid w:val="0061255C"/>
    <w:rsid w:val="0061282E"/>
    <w:rsid w:val="006128E8"/>
    <w:rsid w:val="00612B2F"/>
    <w:rsid w:val="00612C28"/>
    <w:rsid w:val="00612CF0"/>
    <w:rsid w:val="00612EA6"/>
    <w:rsid w:val="00612EB3"/>
    <w:rsid w:val="00612F00"/>
    <w:rsid w:val="00613180"/>
    <w:rsid w:val="0061352E"/>
    <w:rsid w:val="0061369C"/>
    <w:rsid w:val="0061370C"/>
    <w:rsid w:val="006137DE"/>
    <w:rsid w:val="00613978"/>
    <w:rsid w:val="00613B21"/>
    <w:rsid w:val="00613C96"/>
    <w:rsid w:val="00613F9D"/>
    <w:rsid w:val="006141B9"/>
    <w:rsid w:val="006141EB"/>
    <w:rsid w:val="0061448C"/>
    <w:rsid w:val="006145F3"/>
    <w:rsid w:val="00614CDF"/>
    <w:rsid w:val="00614FBB"/>
    <w:rsid w:val="00615214"/>
    <w:rsid w:val="00615665"/>
    <w:rsid w:val="00615815"/>
    <w:rsid w:val="00615F28"/>
    <w:rsid w:val="00615F4A"/>
    <w:rsid w:val="006163D8"/>
    <w:rsid w:val="00616785"/>
    <w:rsid w:val="00616AAB"/>
    <w:rsid w:val="00616C03"/>
    <w:rsid w:val="00616CED"/>
    <w:rsid w:val="00616DD0"/>
    <w:rsid w:val="00616ED0"/>
    <w:rsid w:val="00616F81"/>
    <w:rsid w:val="0061700D"/>
    <w:rsid w:val="00617343"/>
    <w:rsid w:val="00617586"/>
    <w:rsid w:val="00617617"/>
    <w:rsid w:val="006177C8"/>
    <w:rsid w:val="0062027A"/>
    <w:rsid w:val="006202EE"/>
    <w:rsid w:val="00620695"/>
    <w:rsid w:val="00620A53"/>
    <w:rsid w:val="00620A74"/>
    <w:rsid w:val="00620B6E"/>
    <w:rsid w:val="00620D4E"/>
    <w:rsid w:val="00620EAA"/>
    <w:rsid w:val="00621148"/>
    <w:rsid w:val="006218F4"/>
    <w:rsid w:val="006218FF"/>
    <w:rsid w:val="00621C4A"/>
    <w:rsid w:val="00621D76"/>
    <w:rsid w:val="00622188"/>
    <w:rsid w:val="006222F7"/>
    <w:rsid w:val="006225F5"/>
    <w:rsid w:val="00622A71"/>
    <w:rsid w:val="00623175"/>
    <w:rsid w:val="006232C8"/>
    <w:rsid w:val="0062399C"/>
    <w:rsid w:val="00623AC5"/>
    <w:rsid w:val="00623DDE"/>
    <w:rsid w:val="00624297"/>
    <w:rsid w:val="006243BD"/>
    <w:rsid w:val="006246E6"/>
    <w:rsid w:val="006249BF"/>
    <w:rsid w:val="00624A1E"/>
    <w:rsid w:val="00624CE6"/>
    <w:rsid w:val="00625085"/>
    <w:rsid w:val="006252EB"/>
    <w:rsid w:val="00625312"/>
    <w:rsid w:val="0062568F"/>
    <w:rsid w:val="0062596C"/>
    <w:rsid w:val="00625B3F"/>
    <w:rsid w:val="00626570"/>
    <w:rsid w:val="00626A11"/>
    <w:rsid w:val="00626AB6"/>
    <w:rsid w:val="00626E4D"/>
    <w:rsid w:val="0062708C"/>
    <w:rsid w:val="00627176"/>
    <w:rsid w:val="006271B3"/>
    <w:rsid w:val="006273B3"/>
    <w:rsid w:val="00627495"/>
    <w:rsid w:val="006275F1"/>
    <w:rsid w:val="0062764C"/>
    <w:rsid w:val="00627755"/>
    <w:rsid w:val="00627844"/>
    <w:rsid w:val="00627F56"/>
    <w:rsid w:val="006303C6"/>
    <w:rsid w:val="0063045C"/>
    <w:rsid w:val="006304B9"/>
    <w:rsid w:val="00630B7E"/>
    <w:rsid w:val="006310D1"/>
    <w:rsid w:val="006317A4"/>
    <w:rsid w:val="00631914"/>
    <w:rsid w:val="00631A55"/>
    <w:rsid w:val="00631BBF"/>
    <w:rsid w:val="00631FA4"/>
    <w:rsid w:val="00631FF2"/>
    <w:rsid w:val="00632693"/>
    <w:rsid w:val="0063296A"/>
    <w:rsid w:val="00632BD7"/>
    <w:rsid w:val="00632E57"/>
    <w:rsid w:val="0063319D"/>
    <w:rsid w:val="00633522"/>
    <w:rsid w:val="00633A3A"/>
    <w:rsid w:val="00633D04"/>
    <w:rsid w:val="00633EB7"/>
    <w:rsid w:val="00634290"/>
    <w:rsid w:val="0063481B"/>
    <w:rsid w:val="0063483B"/>
    <w:rsid w:val="00634C01"/>
    <w:rsid w:val="00635711"/>
    <w:rsid w:val="00635724"/>
    <w:rsid w:val="006358EB"/>
    <w:rsid w:val="00635A3C"/>
    <w:rsid w:val="00635AC6"/>
    <w:rsid w:val="00635D40"/>
    <w:rsid w:val="00635D4E"/>
    <w:rsid w:val="00635EAC"/>
    <w:rsid w:val="00635FDB"/>
    <w:rsid w:val="006362B8"/>
    <w:rsid w:val="00636663"/>
    <w:rsid w:val="006366FF"/>
    <w:rsid w:val="00636759"/>
    <w:rsid w:val="006369E9"/>
    <w:rsid w:val="00636A09"/>
    <w:rsid w:val="00636F7C"/>
    <w:rsid w:val="006374EE"/>
    <w:rsid w:val="00637510"/>
    <w:rsid w:val="006376DE"/>
    <w:rsid w:val="006378A4"/>
    <w:rsid w:val="00637A2B"/>
    <w:rsid w:val="00637A5C"/>
    <w:rsid w:val="0064003C"/>
    <w:rsid w:val="0064039E"/>
    <w:rsid w:val="00640426"/>
    <w:rsid w:val="006405BF"/>
    <w:rsid w:val="00640BD8"/>
    <w:rsid w:val="0064130A"/>
    <w:rsid w:val="00641345"/>
    <w:rsid w:val="00641FF6"/>
    <w:rsid w:val="006424C1"/>
    <w:rsid w:val="006427B9"/>
    <w:rsid w:val="006427C7"/>
    <w:rsid w:val="006429D2"/>
    <w:rsid w:val="00642F2C"/>
    <w:rsid w:val="00643090"/>
    <w:rsid w:val="00643401"/>
    <w:rsid w:val="0064350C"/>
    <w:rsid w:val="006437E0"/>
    <w:rsid w:val="00643A30"/>
    <w:rsid w:val="00643BBA"/>
    <w:rsid w:val="00643E27"/>
    <w:rsid w:val="00643EDC"/>
    <w:rsid w:val="00644515"/>
    <w:rsid w:val="0064471A"/>
    <w:rsid w:val="00644A41"/>
    <w:rsid w:val="00644A51"/>
    <w:rsid w:val="00644E65"/>
    <w:rsid w:val="00645030"/>
    <w:rsid w:val="0064515B"/>
    <w:rsid w:val="006451CA"/>
    <w:rsid w:val="0064531C"/>
    <w:rsid w:val="00645629"/>
    <w:rsid w:val="006457B7"/>
    <w:rsid w:val="0064582D"/>
    <w:rsid w:val="00645854"/>
    <w:rsid w:val="00645E43"/>
    <w:rsid w:val="00646129"/>
    <w:rsid w:val="0064669B"/>
    <w:rsid w:val="00646DC8"/>
    <w:rsid w:val="00646E69"/>
    <w:rsid w:val="00647008"/>
    <w:rsid w:val="00647288"/>
    <w:rsid w:val="006474EE"/>
    <w:rsid w:val="00647535"/>
    <w:rsid w:val="00647AE7"/>
    <w:rsid w:val="006500AC"/>
    <w:rsid w:val="0065051F"/>
    <w:rsid w:val="00650A6A"/>
    <w:rsid w:val="00650D5C"/>
    <w:rsid w:val="00650D66"/>
    <w:rsid w:val="00650DF8"/>
    <w:rsid w:val="00650E1A"/>
    <w:rsid w:val="00651138"/>
    <w:rsid w:val="00651431"/>
    <w:rsid w:val="00651444"/>
    <w:rsid w:val="00651BB0"/>
    <w:rsid w:val="00651ED2"/>
    <w:rsid w:val="00651FC3"/>
    <w:rsid w:val="006520B9"/>
    <w:rsid w:val="0065212C"/>
    <w:rsid w:val="0065225D"/>
    <w:rsid w:val="00652342"/>
    <w:rsid w:val="0065234A"/>
    <w:rsid w:val="00652691"/>
    <w:rsid w:val="006529F4"/>
    <w:rsid w:val="00652BFE"/>
    <w:rsid w:val="00652EED"/>
    <w:rsid w:val="00653A77"/>
    <w:rsid w:val="00653C64"/>
    <w:rsid w:val="00653DBF"/>
    <w:rsid w:val="00653ECA"/>
    <w:rsid w:val="00654269"/>
    <w:rsid w:val="006544C5"/>
    <w:rsid w:val="00654BF2"/>
    <w:rsid w:val="00654D4A"/>
    <w:rsid w:val="006552A6"/>
    <w:rsid w:val="00655456"/>
    <w:rsid w:val="006557BC"/>
    <w:rsid w:val="0065591C"/>
    <w:rsid w:val="00655BDF"/>
    <w:rsid w:val="00655DBA"/>
    <w:rsid w:val="00655E64"/>
    <w:rsid w:val="00656037"/>
    <w:rsid w:val="00656172"/>
    <w:rsid w:val="0065642D"/>
    <w:rsid w:val="0065681D"/>
    <w:rsid w:val="006569D8"/>
    <w:rsid w:val="00656D60"/>
    <w:rsid w:val="00656EF3"/>
    <w:rsid w:val="006570A3"/>
    <w:rsid w:val="0065716B"/>
    <w:rsid w:val="00657171"/>
    <w:rsid w:val="00657172"/>
    <w:rsid w:val="006572B8"/>
    <w:rsid w:val="00657402"/>
    <w:rsid w:val="006574D3"/>
    <w:rsid w:val="0065789E"/>
    <w:rsid w:val="0066045E"/>
    <w:rsid w:val="006608C8"/>
    <w:rsid w:val="00660AC1"/>
    <w:rsid w:val="00660B20"/>
    <w:rsid w:val="00660C45"/>
    <w:rsid w:val="00660DC6"/>
    <w:rsid w:val="006612A1"/>
    <w:rsid w:val="00661AF6"/>
    <w:rsid w:val="00661BF7"/>
    <w:rsid w:val="00662AD9"/>
    <w:rsid w:val="00662D20"/>
    <w:rsid w:val="00662FE8"/>
    <w:rsid w:val="00663105"/>
    <w:rsid w:val="006631CC"/>
    <w:rsid w:val="00663421"/>
    <w:rsid w:val="0066345E"/>
    <w:rsid w:val="00663BFD"/>
    <w:rsid w:val="00663C10"/>
    <w:rsid w:val="00663D3A"/>
    <w:rsid w:val="00663D77"/>
    <w:rsid w:val="00663DB8"/>
    <w:rsid w:val="00663F03"/>
    <w:rsid w:val="00664212"/>
    <w:rsid w:val="00664338"/>
    <w:rsid w:val="00664759"/>
    <w:rsid w:val="0066475F"/>
    <w:rsid w:val="006647C2"/>
    <w:rsid w:val="00665034"/>
    <w:rsid w:val="006650F5"/>
    <w:rsid w:val="00665622"/>
    <w:rsid w:val="006656A1"/>
    <w:rsid w:val="006659D2"/>
    <w:rsid w:val="00666028"/>
    <w:rsid w:val="00666453"/>
    <w:rsid w:val="00666596"/>
    <w:rsid w:val="006665F9"/>
    <w:rsid w:val="00666C89"/>
    <w:rsid w:val="00666CD5"/>
    <w:rsid w:val="00667166"/>
    <w:rsid w:val="0067084D"/>
    <w:rsid w:val="0067087D"/>
    <w:rsid w:val="006708AE"/>
    <w:rsid w:val="00670B38"/>
    <w:rsid w:val="00670DEB"/>
    <w:rsid w:val="00670F20"/>
    <w:rsid w:val="00671495"/>
    <w:rsid w:val="00671849"/>
    <w:rsid w:val="00671943"/>
    <w:rsid w:val="00671BB9"/>
    <w:rsid w:val="00671C5D"/>
    <w:rsid w:val="00671CE4"/>
    <w:rsid w:val="00671D29"/>
    <w:rsid w:val="00671EEC"/>
    <w:rsid w:val="00671EF1"/>
    <w:rsid w:val="00671F8E"/>
    <w:rsid w:val="00672007"/>
    <w:rsid w:val="0067207D"/>
    <w:rsid w:val="006721C9"/>
    <w:rsid w:val="0067241D"/>
    <w:rsid w:val="006726A9"/>
    <w:rsid w:val="006727A3"/>
    <w:rsid w:val="006727DA"/>
    <w:rsid w:val="006729D0"/>
    <w:rsid w:val="00672FD5"/>
    <w:rsid w:val="00673098"/>
    <w:rsid w:val="0067344C"/>
    <w:rsid w:val="0067354A"/>
    <w:rsid w:val="006737EF"/>
    <w:rsid w:val="00673831"/>
    <w:rsid w:val="00673B2E"/>
    <w:rsid w:val="00673EC3"/>
    <w:rsid w:val="00674571"/>
    <w:rsid w:val="00674578"/>
    <w:rsid w:val="006746FA"/>
    <w:rsid w:val="00674E96"/>
    <w:rsid w:val="00675639"/>
    <w:rsid w:val="00675698"/>
    <w:rsid w:val="0067593A"/>
    <w:rsid w:val="00675B66"/>
    <w:rsid w:val="00675FA2"/>
    <w:rsid w:val="0067624B"/>
    <w:rsid w:val="00676485"/>
    <w:rsid w:val="006765B7"/>
    <w:rsid w:val="00676EF7"/>
    <w:rsid w:val="00677FFD"/>
    <w:rsid w:val="0068052F"/>
    <w:rsid w:val="00680A02"/>
    <w:rsid w:val="00680CFA"/>
    <w:rsid w:val="00680DD5"/>
    <w:rsid w:val="00680F50"/>
    <w:rsid w:val="006813F0"/>
    <w:rsid w:val="0068143E"/>
    <w:rsid w:val="00681A6B"/>
    <w:rsid w:val="00681AD1"/>
    <w:rsid w:val="00681DAC"/>
    <w:rsid w:val="00682659"/>
    <w:rsid w:val="0068276E"/>
    <w:rsid w:val="006827CF"/>
    <w:rsid w:val="00682AFA"/>
    <w:rsid w:val="00682BEF"/>
    <w:rsid w:val="00682C7B"/>
    <w:rsid w:val="00683352"/>
    <w:rsid w:val="00683745"/>
    <w:rsid w:val="0068380E"/>
    <w:rsid w:val="006838D8"/>
    <w:rsid w:val="00683A3E"/>
    <w:rsid w:val="00683F94"/>
    <w:rsid w:val="006841A9"/>
    <w:rsid w:val="0068466F"/>
    <w:rsid w:val="00684B17"/>
    <w:rsid w:val="00684C07"/>
    <w:rsid w:val="00685383"/>
    <w:rsid w:val="00685593"/>
    <w:rsid w:val="006859E3"/>
    <w:rsid w:val="00685AB3"/>
    <w:rsid w:val="00685C9F"/>
    <w:rsid w:val="00685DB3"/>
    <w:rsid w:val="00685FDE"/>
    <w:rsid w:val="0068601B"/>
    <w:rsid w:val="006861FE"/>
    <w:rsid w:val="0068630B"/>
    <w:rsid w:val="00686828"/>
    <w:rsid w:val="00686A56"/>
    <w:rsid w:val="00686BFD"/>
    <w:rsid w:val="00686DE2"/>
    <w:rsid w:val="00686F2E"/>
    <w:rsid w:val="00687114"/>
    <w:rsid w:val="00687602"/>
    <w:rsid w:val="00687AD5"/>
    <w:rsid w:val="0069013D"/>
    <w:rsid w:val="00690157"/>
    <w:rsid w:val="006902C4"/>
    <w:rsid w:val="0069047C"/>
    <w:rsid w:val="00690809"/>
    <w:rsid w:val="00691186"/>
    <w:rsid w:val="006911F3"/>
    <w:rsid w:val="006912E9"/>
    <w:rsid w:val="006915F8"/>
    <w:rsid w:val="00691ECA"/>
    <w:rsid w:val="006920A2"/>
    <w:rsid w:val="006926DE"/>
    <w:rsid w:val="006929B2"/>
    <w:rsid w:val="00693541"/>
    <w:rsid w:val="006935C4"/>
    <w:rsid w:val="00693709"/>
    <w:rsid w:val="00693750"/>
    <w:rsid w:val="0069383A"/>
    <w:rsid w:val="006938A3"/>
    <w:rsid w:val="0069391E"/>
    <w:rsid w:val="006942BF"/>
    <w:rsid w:val="006944FB"/>
    <w:rsid w:val="00694AB0"/>
    <w:rsid w:val="00694F63"/>
    <w:rsid w:val="00695914"/>
    <w:rsid w:val="00695B25"/>
    <w:rsid w:val="0069628F"/>
    <w:rsid w:val="006965A3"/>
    <w:rsid w:val="00696C1C"/>
    <w:rsid w:val="00696C24"/>
    <w:rsid w:val="006973C8"/>
    <w:rsid w:val="006974D1"/>
    <w:rsid w:val="00697C4E"/>
    <w:rsid w:val="00697D33"/>
    <w:rsid w:val="006A0327"/>
    <w:rsid w:val="006A04CF"/>
    <w:rsid w:val="006A075F"/>
    <w:rsid w:val="006A0982"/>
    <w:rsid w:val="006A0B78"/>
    <w:rsid w:val="006A1010"/>
    <w:rsid w:val="006A1128"/>
    <w:rsid w:val="006A11D5"/>
    <w:rsid w:val="006A12F5"/>
    <w:rsid w:val="006A138B"/>
    <w:rsid w:val="006A156E"/>
    <w:rsid w:val="006A1B10"/>
    <w:rsid w:val="006A21A4"/>
    <w:rsid w:val="006A25E9"/>
    <w:rsid w:val="006A27C9"/>
    <w:rsid w:val="006A2847"/>
    <w:rsid w:val="006A287D"/>
    <w:rsid w:val="006A2896"/>
    <w:rsid w:val="006A28F4"/>
    <w:rsid w:val="006A2A69"/>
    <w:rsid w:val="006A2D29"/>
    <w:rsid w:val="006A2D39"/>
    <w:rsid w:val="006A2D64"/>
    <w:rsid w:val="006A3308"/>
    <w:rsid w:val="006A3745"/>
    <w:rsid w:val="006A395C"/>
    <w:rsid w:val="006A3D46"/>
    <w:rsid w:val="006A3F47"/>
    <w:rsid w:val="006A4081"/>
    <w:rsid w:val="006A4165"/>
    <w:rsid w:val="006A41C2"/>
    <w:rsid w:val="006A4C99"/>
    <w:rsid w:val="006A4D37"/>
    <w:rsid w:val="006A4D73"/>
    <w:rsid w:val="006A4E19"/>
    <w:rsid w:val="006A4EE4"/>
    <w:rsid w:val="006A55D8"/>
    <w:rsid w:val="006A5604"/>
    <w:rsid w:val="006A5947"/>
    <w:rsid w:val="006A5C74"/>
    <w:rsid w:val="006A5D73"/>
    <w:rsid w:val="006A5DE7"/>
    <w:rsid w:val="006A5E1C"/>
    <w:rsid w:val="006A5FD1"/>
    <w:rsid w:val="006A6034"/>
    <w:rsid w:val="006A61EE"/>
    <w:rsid w:val="006A66B1"/>
    <w:rsid w:val="006A6C35"/>
    <w:rsid w:val="006A7180"/>
    <w:rsid w:val="006A75E5"/>
    <w:rsid w:val="006A75ED"/>
    <w:rsid w:val="006A7840"/>
    <w:rsid w:val="006A7D2E"/>
    <w:rsid w:val="006A7EFC"/>
    <w:rsid w:val="006A7FAE"/>
    <w:rsid w:val="006B00CE"/>
    <w:rsid w:val="006B04BB"/>
    <w:rsid w:val="006B0675"/>
    <w:rsid w:val="006B0706"/>
    <w:rsid w:val="006B0A5E"/>
    <w:rsid w:val="006B0D41"/>
    <w:rsid w:val="006B168B"/>
    <w:rsid w:val="006B179C"/>
    <w:rsid w:val="006B18A4"/>
    <w:rsid w:val="006B1A5D"/>
    <w:rsid w:val="006B20C9"/>
    <w:rsid w:val="006B214E"/>
    <w:rsid w:val="006B2A12"/>
    <w:rsid w:val="006B2D30"/>
    <w:rsid w:val="006B2EC2"/>
    <w:rsid w:val="006B3063"/>
    <w:rsid w:val="006B30F4"/>
    <w:rsid w:val="006B34BF"/>
    <w:rsid w:val="006B35DD"/>
    <w:rsid w:val="006B38C1"/>
    <w:rsid w:val="006B3918"/>
    <w:rsid w:val="006B3D81"/>
    <w:rsid w:val="006B3E8E"/>
    <w:rsid w:val="006B3F0F"/>
    <w:rsid w:val="006B41E4"/>
    <w:rsid w:val="006B468D"/>
    <w:rsid w:val="006B46E4"/>
    <w:rsid w:val="006B4B5B"/>
    <w:rsid w:val="006B509F"/>
    <w:rsid w:val="006B5415"/>
    <w:rsid w:val="006B56ED"/>
    <w:rsid w:val="006B57F7"/>
    <w:rsid w:val="006B590F"/>
    <w:rsid w:val="006B5DC9"/>
    <w:rsid w:val="006B5DF1"/>
    <w:rsid w:val="006B60D8"/>
    <w:rsid w:val="006B60E4"/>
    <w:rsid w:val="006B61E2"/>
    <w:rsid w:val="006B6955"/>
    <w:rsid w:val="006B6C14"/>
    <w:rsid w:val="006B6E8E"/>
    <w:rsid w:val="006B6EB9"/>
    <w:rsid w:val="006B6EDB"/>
    <w:rsid w:val="006B70FB"/>
    <w:rsid w:val="006B71F3"/>
    <w:rsid w:val="006B7212"/>
    <w:rsid w:val="006B72DF"/>
    <w:rsid w:val="006B7685"/>
    <w:rsid w:val="006B7D87"/>
    <w:rsid w:val="006C0192"/>
    <w:rsid w:val="006C09EF"/>
    <w:rsid w:val="006C0B86"/>
    <w:rsid w:val="006C0B9B"/>
    <w:rsid w:val="006C1117"/>
    <w:rsid w:val="006C11A3"/>
    <w:rsid w:val="006C12E0"/>
    <w:rsid w:val="006C1374"/>
    <w:rsid w:val="006C141C"/>
    <w:rsid w:val="006C1A91"/>
    <w:rsid w:val="006C1C1D"/>
    <w:rsid w:val="006C1D98"/>
    <w:rsid w:val="006C1D9D"/>
    <w:rsid w:val="006C1F5A"/>
    <w:rsid w:val="006C23AF"/>
    <w:rsid w:val="006C2572"/>
    <w:rsid w:val="006C26C2"/>
    <w:rsid w:val="006C2C28"/>
    <w:rsid w:val="006C2C39"/>
    <w:rsid w:val="006C2DD5"/>
    <w:rsid w:val="006C2F2D"/>
    <w:rsid w:val="006C33C0"/>
    <w:rsid w:val="006C360F"/>
    <w:rsid w:val="006C3643"/>
    <w:rsid w:val="006C3782"/>
    <w:rsid w:val="006C38A8"/>
    <w:rsid w:val="006C3EFC"/>
    <w:rsid w:val="006C40DA"/>
    <w:rsid w:val="006C4961"/>
    <w:rsid w:val="006C49B2"/>
    <w:rsid w:val="006C5075"/>
    <w:rsid w:val="006C5330"/>
    <w:rsid w:val="006C53A8"/>
    <w:rsid w:val="006C53F4"/>
    <w:rsid w:val="006C5861"/>
    <w:rsid w:val="006C5890"/>
    <w:rsid w:val="006C5973"/>
    <w:rsid w:val="006C597F"/>
    <w:rsid w:val="006C5B9B"/>
    <w:rsid w:val="006C5DD9"/>
    <w:rsid w:val="006C6418"/>
    <w:rsid w:val="006C6445"/>
    <w:rsid w:val="006C67E1"/>
    <w:rsid w:val="006C6AA9"/>
    <w:rsid w:val="006C6B41"/>
    <w:rsid w:val="006C6F75"/>
    <w:rsid w:val="006C7123"/>
    <w:rsid w:val="006C7429"/>
    <w:rsid w:val="006C77B5"/>
    <w:rsid w:val="006C78D5"/>
    <w:rsid w:val="006C7998"/>
    <w:rsid w:val="006C7C66"/>
    <w:rsid w:val="006C7C78"/>
    <w:rsid w:val="006C7E87"/>
    <w:rsid w:val="006C7EE3"/>
    <w:rsid w:val="006C7EF4"/>
    <w:rsid w:val="006D0187"/>
    <w:rsid w:val="006D0279"/>
    <w:rsid w:val="006D04A1"/>
    <w:rsid w:val="006D0504"/>
    <w:rsid w:val="006D07AB"/>
    <w:rsid w:val="006D0B2B"/>
    <w:rsid w:val="006D0B30"/>
    <w:rsid w:val="006D0C3F"/>
    <w:rsid w:val="006D0E3C"/>
    <w:rsid w:val="006D0F1B"/>
    <w:rsid w:val="006D14FE"/>
    <w:rsid w:val="006D1C12"/>
    <w:rsid w:val="006D1E12"/>
    <w:rsid w:val="006D1E1B"/>
    <w:rsid w:val="006D2667"/>
    <w:rsid w:val="006D266F"/>
    <w:rsid w:val="006D2D4B"/>
    <w:rsid w:val="006D2EB2"/>
    <w:rsid w:val="006D2F68"/>
    <w:rsid w:val="006D3089"/>
    <w:rsid w:val="006D3102"/>
    <w:rsid w:val="006D3186"/>
    <w:rsid w:val="006D3324"/>
    <w:rsid w:val="006D3C1B"/>
    <w:rsid w:val="006D3E30"/>
    <w:rsid w:val="006D3F7C"/>
    <w:rsid w:val="006D426F"/>
    <w:rsid w:val="006D427B"/>
    <w:rsid w:val="006D4786"/>
    <w:rsid w:val="006D4D0C"/>
    <w:rsid w:val="006D4EC2"/>
    <w:rsid w:val="006D4F2A"/>
    <w:rsid w:val="006D5772"/>
    <w:rsid w:val="006D5796"/>
    <w:rsid w:val="006D5A41"/>
    <w:rsid w:val="006D5B63"/>
    <w:rsid w:val="006D6319"/>
    <w:rsid w:val="006D682C"/>
    <w:rsid w:val="006D6920"/>
    <w:rsid w:val="006D6C14"/>
    <w:rsid w:val="006D6ED4"/>
    <w:rsid w:val="006D7030"/>
    <w:rsid w:val="006D72D1"/>
    <w:rsid w:val="006D7323"/>
    <w:rsid w:val="006D73C5"/>
    <w:rsid w:val="006D765C"/>
    <w:rsid w:val="006D7715"/>
    <w:rsid w:val="006D7777"/>
    <w:rsid w:val="006D7B43"/>
    <w:rsid w:val="006D7B72"/>
    <w:rsid w:val="006D7CFE"/>
    <w:rsid w:val="006D7D93"/>
    <w:rsid w:val="006E03C0"/>
    <w:rsid w:val="006E0516"/>
    <w:rsid w:val="006E160A"/>
    <w:rsid w:val="006E18CD"/>
    <w:rsid w:val="006E19C2"/>
    <w:rsid w:val="006E1B12"/>
    <w:rsid w:val="006E1C8E"/>
    <w:rsid w:val="006E2435"/>
    <w:rsid w:val="006E24C8"/>
    <w:rsid w:val="006E26FA"/>
    <w:rsid w:val="006E293E"/>
    <w:rsid w:val="006E2AB4"/>
    <w:rsid w:val="006E2D7B"/>
    <w:rsid w:val="006E2D9C"/>
    <w:rsid w:val="006E2E6D"/>
    <w:rsid w:val="006E3038"/>
    <w:rsid w:val="006E324A"/>
    <w:rsid w:val="006E3696"/>
    <w:rsid w:val="006E3766"/>
    <w:rsid w:val="006E37E9"/>
    <w:rsid w:val="006E3914"/>
    <w:rsid w:val="006E3A90"/>
    <w:rsid w:val="006E3D28"/>
    <w:rsid w:val="006E3E88"/>
    <w:rsid w:val="006E3E8C"/>
    <w:rsid w:val="006E3EF5"/>
    <w:rsid w:val="006E3F1B"/>
    <w:rsid w:val="006E4DB5"/>
    <w:rsid w:val="006E4DBA"/>
    <w:rsid w:val="006E4E03"/>
    <w:rsid w:val="006E50C0"/>
    <w:rsid w:val="006E51FA"/>
    <w:rsid w:val="006E5514"/>
    <w:rsid w:val="006E586A"/>
    <w:rsid w:val="006E58DB"/>
    <w:rsid w:val="006E5B08"/>
    <w:rsid w:val="006E5EE2"/>
    <w:rsid w:val="006E5F44"/>
    <w:rsid w:val="006E5FFB"/>
    <w:rsid w:val="006E658A"/>
    <w:rsid w:val="006E6673"/>
    <w:rsid w:val="006E66DD"/>
    <w:rsid w:val="006E6744"/>
    <w:rsid w:val="006E6D9F"/>
    <w:rsid w:val="006E6F0B"/>
    <w:rsid w:val="006E6FF5"/>
    <w:rsid w:val="006E71B3"/>
    <w:rsid w:val="006E7BFC"/>
    <w:rsid w:val="006E7FE9"/>
    <w:rsid w:val="006F019A"/>
    <w:rsid w:val="006F08BD"/>
    <w:rsid w:val="006F09CF"/>
    <w:rsid w:val="006F1320"/>
    <w:rsid w:val="006F15DE"/>
    <w:rsid w:val="006F1CFB"/>
    <w:rsid w:val="006F21E2"/>
    <w:rsid w:val="006F2476"/>
    <w:rsid w:val="006F2883"/>
    <w:rsid w:val="006F28BA"/>
    <w:rsid w:val="006F299E"/>
    <w:rsid w:val="006F2B3E"/>
    <w:rsid w:val="006F2C41"/>
    <w:rsid w:val="006F32E6"/>
    <w:rsid w:val="006F33CC"/>
    <w:rsid w:val="006F3697"/>
    <w:rsid w:val="006F37B9"/>
    <w:rsid w:val="006F390A"/>
    <w:rsid w:val="006F396B"/>
    <w:rsid w:val="006F3CE3"/>
    <w:rsid w:val="006F42DC"/>
    <w:rsid w:val="006F44F0"/>
    <w:rsid w:val="006F4744"/>
    <w:rsid w:val="006F4755"/>
    <w:rsid w:val="006F4815"/>
    <w:rsid w:val="006F4A63"/>
    <w:rsid w:val="006F4C3D"/>
    <w:rsid w:val="006F4C8B"/>
    <w:rsid w:val="006F4E6E"/>
    <w:rsid w:val="006F4F38"/>
    <w:rsid w:val="006F5B02"/>
    <w:rsid w:val="006F5B3D"/>
    <w:rsid w:val="006F6038"/>
    <w:rsid w:val="006F6754"/>
    <w:rsid w:val="006F6E07"/>
    <w:rsid w:val="006F7026"/>
    <w:rsid w:val="006F73EF"/>
    <w:rsid w:val="006F768C"/>
    <w:rsid w:val="006F7AF3"/>
    <w:rsid w:val="006F7D34"/>
    <w:rsid w:val="007001C1"/>
    <w:rsid w:val="007003AE"/>
    <w:rsid w:val="007003FE"/>
    <w:rsid w:val="00700734"/>
    <w:rsid w:val="0070081A"/>
    <w:rsid w:val="00700850"/>
    <w:rsid w:val="00700AD0"/>
    <w:rsid w:val="00700C66"/>
    <w:rsid w:val="00701116"/>
    <w:rsid w:val="0070144A"/>
    <w:rsid w:val="0070144E"/>
    <w:rsid w:val="0070169A"/>
    <w:rsid w:val="00701762"/>
    <w:rsid w:val="007017A9"/>
    <w:rsid w:val="00701BEF"/>
    <w:rsid w:val="00701C1F"/>
    <w:rsid w:val="00701C8C"/>
    <w:rsid w:val="00701D94"/>
    <w:rsid w:val="00701E12"/>
    <w:rsid w:val="00702347"/>
    <w:rsid w:val="00702593"/>
    <w:rsid w:val="00702832"/>
    <w:rsid w:val="007031D8"/>
    <w:rsid w:val="00703393"/>
    <w:rsid w:val="0070340D"/>
    <w:rsid w:val="00703502"/>
    <w:rsid w:val="00703748"/>
    <w:rsid w:val="00703D62"/>
    <w:rsid w:val="0070432E"/>
    <w:rsid w:val="00704570"/>
    <w:rsid w:val="007045FC"/>
    <w:rsid w:val="0070493B"/>
    <w:rsid w:val="00704C14"/>
    <w:rsid w:val="00705328"/>
    <w:rsid w:val="007057FE"/>
    <w:rsid w:val="00705931"/>
    <w:rsid w:val="00705AAD"/>
    <w:rsid w:val="00705ECA"/>
    <w:rsid w:val="00706134"/>
    <w:rsid w:val="00706664"/>
    <w:rsid w:val="0070699F"/>
    <w:rsid w:val="00706A3C"/>
    <w:rsid w:val="00706CB0"/>
    <w:rsid w:val="00706FF0"/>
    <w:rsid w:val="00707138"/>
    <w:rsid w:val="007074AE"/>
    <w:rsid w:val="00707535"/>
    <w:rsid w:val="007075A3"/>
    <w:rsid w:val="0070776A"/>
    <w:rsid w:val="00707937"/>
    <w:rsid w:val="00707B31"/>
    <w:rsid w:val="00707F40"/>
    <w:rsid w:val="00707F52"/>
    <w:rsid w:val="00707FAD"/>
    <w:rsid w:val="0071009A"/>
    <w:rsid w:val="00710302"/>
    <w:rsid w:val="00710553"/>
    <w:rsid w:val="00710686"/>
    <w:rsid w:val="0071075D"/>
    <w:rsid w:val="0071197C"/>
    <w:rsid w:val="00711F5E"/>
    <w:rsid w:val="0071205F"/>
    <w:rsid w:val="007122BC"/>
    <w:rsid w:val="00712899"/>
    <w:rsid w:val="007128B1"/>
    <w:rsid w:val="007129D1"/>
    <w:rsid w:val="00712A02"/>
    <w:rsid w:val="00712C21"/>
    <w:rsid w:val="00713043"/>
    <w:rsid w:val="007132BF"/>
    <w:rsid w:val="00713538"/>
    <w:rsid w:val="00713962"/>
    <w:rsid w:val="007139BC"/>
    <w:rsid w:val="007139C1"/>
    <w:rsid w:val="00713BE5"/>
    <w:rsid w:val="00713E0F"/>
    <w:rsid w:val="00714040"/>
    <w:rsid w:val="00714075"/>
    <w:rsid w:val="00714E11"/>
    <w:rsid w:val="00715528"/>
    <w:rsid w:val="00715538"/>
    <w:rsid w:val="0071561D"/>
    <w:rsid w:val="00715648"/>
    <w:rsid w:val="007156AA"/>
    <w:rsid w:val="00715721"/>
    <w:rsid w:val="00715914"/>
    <w:rsid w:val="00715A53"/>
    <w:rsid w:val="00716281"/>
    <w:rsid w:val="00716478"/>
    <w:rsid w:val="00716485"/>
    <w:rsid w:val="00716590"/>
    <w:rsid w:val="007168A3"/>
    <w:rsid w:val="00716CE8"/>
    <w:rsid w:val="0071741A"/>
    <w:rsid w:val="007174F5"/>
    <w:rsid w:val="0071764C"/>
    <w:rsid w:val="00717711"/>
    <w:rsid w:val="00717AA1"/>
    <w:rsid w:val="00717AFE"/>
    <w:rsid w:val="00720201"/>
    <w:rsid w:val="007202A5"/>
    <w:rsid w:val="007206D9"/>
    <w:rsid w:val="00720D1F"/>
    <w:rsid w:val="0072147A"/>
    <w:rsid w:val="00721C09"/>
    <w:rsid w:val="00722206"/>
    <w:rsid w:val="00722738"/>
    <w:rsid w:val="00722BF2"/>
    <w:rsid w:val="00722C53"/>
    <w:rsid w:val="00722C67"/>
    <w:rsid w:val="00723365"/>
    <w:rsid w:val="0072347F"/>
    <w:rsid w:val="00723751"/>
    <w:rsid w:val="00723914"/>
    <w:rsid w:val="0072400F"/>
    <w:rsid w:val="0072477B"/>
    <w:rsid w:val="00724AA5"/>
    <w:rsid w:val="00724AF1"/>
    <w:rsid w:val="00724C26"/>
    <w:rsid w:val="00724EBD"/>
    <w:rsid w:val="00724FE5"/>
    <w:rsid w:val="00725151"/>
    <w:rsid w:val="0072535C"/>
    <w:rsid w:val="00725A66"/>
    <w:rsid w:val="00726101"/>
    <w:rsid w:val="007261BA"/>
    <w:rsid w:val="00726639"/>
    <w:rsid w:val="00726686"/>
    <w:rsid w:val="00726777"/>
    <w:rsid w:val="00726BD2"/>
    <w:rsid w:val="00726C9F"/>
    <w:rsid w:val="00726ED7"/>
    <w:rsid w:val="00726FBB"/>
    <w:rsid w:val="00727166"/>
    <w:rsid w:val="00727200"/>
    <w:rsid w:val="007272DB"/>
    <w:rsid w:val="00727662"/>
    <w:rsid w:val="007276D8"/>
    <w:rsid w:val="00727746"/>
    <w:rsid w:val="00727AA8"/>
    <w:rsid w:val="00730597"/>
    <w:rsid w:val="00730645"/>
    <w:rsid w:val="007307B3"/>
    <w:rsid w:val="00730815"/>
    <w:rsid w:val="00730A38"/>
    <w:rsid w:val="00730ABB"/>
    <w:rsid w:val="00730D96"/>
    <w:rsid w:val="007312BE"/>
    <w:rsid w:val="00731471"/>
    <w:rsid w:val="007316DB"/>
    <w:rsid w:val="007317AD"/>
    <w:rsid w:val="00731BE1"/>
    <w:rsid w:val="00731D7C"/>
    <w:rsid w:val="00731F5D"/>
    <w:rsid w:val="007321C8"/>
    <w:rsid w:val="007324D0"/>
    <w:rsid w:val="007326CC"/>
    <w:rsid w:val="00732BBD"/>
    <w:rsid w:val="00732C8E"/>
    <w:rsid w:val="00732D84"/>
    <w:rsid w:val="00732F23"/>
    <w:rsid w:val="0073334B"/>
    <w:rsid w:val="007335FD"/>
    <w:rsid w:val="007336A3"/>
    <w:rsid w:val="007337E9"/>
    <w:rsid w:val="007337EF"/>
    <w:rsid w:val="00733BA5"/>
    <w:rsid w:val="00733CBA"/>
    <w:rsid w:val="00734353"/>
    <w:rsid w:val="00734881"/>
    <w:rsid w:val="007348DE"/>
    <w:rsid w:val="00734999"/>
    <w:rsid w:val="00734C49"/>
    <w:rsid w:val="00734C56"/>
    <w:rsid w:val="0073533F"/>
    <w:rsid w:val="00735CA8"/>
    <w:rsid w:val="00735EFD"/>
    <w:rsid w:val="00735F79"/>
    <w:rsid w:val="00736182"/>
    <w:rsid w:val="007361D1"/>
    <w:rsid w:val="00736294"/>
    <w:rsid w:val="00736355"/>
    <w:rsid w:val="007368C5"/>
    <w:rsid w:val="00736911"/>
    <w:rsid w:val="00736D13"/>
    <w:rsid w:val="0073713A"/>
    <w:rsid w:val="0073717D"/>
    <w:rsid w:val="007373DA"/>
    <w:rsid w:val="0073741C"/>
    <w:rsid w:val="00737517"/>
    <w:rsid w:val="00737595"/>
    <w:rsid w:val="00737634"/>
    <w:rsid w:val="007379D5"/>
    <w:rsid w:val="00737A93"/>
    <w:rsid w:val="00737BEB"/>
    <w:rsid w:val="00737DC7"/>
    <w:rsid w:val="00737E3B"/>
    <w:rsid w:val="00740209"/>
    <w:rsid w:val="007402D3"/>
    <w:rsid w:val="007404CF"/>
    <w:rsid w:val="00740861"/>
    <w:rsid w:val="00741957"/>
    <w:rsid w:val="00741B7F"/>
    <w:rsid w:val="00741D22"/>
    <w:rsid w:val="00741F25"/>
    <w:rsid w:val="00741F57"/>
    <w:rsid w:val="00741F7D"/>
    <w:rsid w:val="00741FD0"/>
    <w:rsid w:val="00742A54"/>
    <w:rsid w:val="00742A7C"/>
    <w:rsid w:val="00742D20"/>
    <w:rsid w:val="00742EC9"/>
    <w:rsid w:val="007430FB"/>
    <w:rsid w:val="00743200"/>
    <w:rsid w:val="007438B9"/>
    <w:rsid w:val="00743B1A"/>
    <w:rsid w:val="00743C98"/>
    <w:rsid w:val="00743D8F"/>
    <w:rsid w:val="00743EE6"/>
    <w:rsid w:val="007440C9"/>
    <w:rsid w:val="00744560"/>
    <w:rsid w:val="007445DE"/>
    <w:rsid w:val="007447FB"/>
    <w:rsid w:val="00744DDB"/>
    <w:rsid w:val="00744FD7"/>
    <w:rsid w:val="00744FFC"/>
    <w:rsid w:val="00745C1F"/>
    <w:rsid w:val="007461BF"/>
    <w:rsid w:val="00746C95"/>
    <w:rsid w:val="00747745"/>
    <w:rsid w:val="007477A1"/>
    <w:rsid w:val="00747B99"/>
    <w:rsid w:val="00747DCD"/>
    <w:rsid w:val="007507D0"/>
    <w:rsid w:val="00750E0D"/>
    <w:rsid w:val="00751795"/>
    <w:rsid w:val="00751A2A"/>
    <w:rsid w:val="00751D84"/>
    <w:rsid w:val="007521FB"/>
    <w:rsid w:val="007524E3"/>
    <w:rsid w:val="0075260F"/>
    <w:rsid w:val="00752BC6"/>
    <w:rsid w:val="00752BE4"/>
    <w:rsid w:val="00752C70"/>
    <w:rsid w:val="0075300F"/>
    <w:rsid w:val="0075336F"/>
    <w:rsid w:val="00753565"/>
    <w:rsid w:val="00754193"/>
    <w:rsid w:val="00754832"/>
    <w:rsid w:val="0075484D"/>
    <w:rsid w:val="00754BB2"/>
    <w:rsid w:val="00754CDB"/>
    <w:rsid w:val="00754CE3"/>
    <w:rsid w:val="007550F2"/>
    <w:rsid w:val="007551E7"/>
    <w:rsid w:val="00755FC5"/>
    <w:rsid w:val="00756067"/>
    <w:rsid w:val="00756597"/>
    <w:rsid w:val="007567A9"/>
    <w:rsid w:val="00756AB9"/>
    <w:rsid w:val="00756BF7"/>
    <w:rsid w:val="00756C5C"/>
    <w:rsid w:val="00756CA7"/>
    <w:rsid w:val="007572BA"/>
    <w:rsid w:val="007572E4"/>
    <w:rsid w:val="00757344"/>
    <w:rsid w:val="007575CF"/>
    <w:rsid w:val="00757842"/>
    <w:rsid w:val="00757B56"/>
    <w:rsid w:val="00757FD6"/>
    <w:rsid w:val="00760397"/>
    <w:rsid w:val="0076068D"/>
    <w:rsid w:val="00760A25"/>
    <w:rsid w:val="00760B5A"/>
    <w:rsid w:val="00761840"/>
    <w:rsid w:val="00761C5D"/>
    <w:rsid w:val="00761F25"/>
    <w:rsid w:val="0076228E"/>
    <w:rsid w:val="007622E0"/>
    <w:rsid w:val="00762481"/>
    <w:rsid w:val="007624E9"/>
    <w:rsid w:val="00762551"/>
    <w:rsid w:val="007627B7"/>
    <w:rsid w:val="00762DE5"/>
    <w:rsid w:val="00762E7F"/>
    <w:rsid w:val="00762FA1"/>
    <w:rsid w:val="00762FD2"/>
    <w:rsid w:val="00763211"/>
    <w:rsid w:val="007633F8"/>
    <w:rsid w:val="007633FE"/>
    <w:rsid w:val="007635EB"/>
    <w:rsid w:val="00763617"/>
    <w:rsid w:val="00763722"/>
    <w:rsid w:val="0076386D"/>
    <w:rsid w:val="00763E15"/>
    <w:rsid w:val="0076430F"/>
    <w:rsid w:val="0076462E"/>
    <w:rsid w:val="007646A9"/>
    <w:rsid w:val="007648C8"/>
    <w:rsid w:val="007649F1"/>
    <w:rsid w:val="00764C78"/>
    <w:rsid w:val="00765118"/>
    <w:rsid w:val="007651F1"/>
    <w:rsid w:val="00765222"/>
    <w:rsid w:val="0076564E"/>
    <w:rsid w:val="0076592B"/>
    <w:rsid w:val="00765B24"/>
    <w:rsid w:val="00765BAD"/>
    <w:rsid w:val="00765BB7"/>
    <w:rsid w:val="00765C5E"/>
    <w:rsid w:val="00765EE7"/>
    <w:rsid w:val="00765F94"/>
    <w:rsid w:val="00766207"/>
    <w:rsid w:val="00766223"/>
    <w:rsid w:val="0076624A"/>
    <w:rsid w:val="007664DA"/>
    <w:rsid w:val="007666F5"/>
    <w:rsid w:val="007669BA"/>
    <w:rsid w:val="00766A70"/>
    <w:rsid w:val="00766B2B"/>
    <w:rsid w:val="0076703C"/>
    <w:rsid w:val="00767076"/>
    <w:rsid w:val="0076708F"/>
    <w:rsid w:val="007672D1"/>
    <w:rsid w:val="007673E7"/>
    <w:rsid w:val="00767895"/>
    <w:rsid w:val="00767E18"/>
    <w:rsid w:val="00767F08"/>
    <w:rsid w:val="00767F6D"/>
    <w:rsid w:val="00770053"/>
    <w:rsid w:val="007707CA"/>
    <w:rsid w:val="00770C22"/>
    <w:rsid w:val="00770DE8"/>
    <w:rsid w:val="00770EA6"/>
    <w:rsid w:val="00770F02"/>
    <w:rsid w:val="00771001"/>
    <w:rsid w:val="00771104"/>
    <w:rsid w:val="00771A18"/>
    <w:rsid w:val="00771A3F"/>
    <w:rsid w:val="00771A61"/>
    <w:rsid w:val="00771BDB"/>
    <w:rsid w:val="00771E12"/>
    <w:rsid w:val="00772154"/>
    <w:rsid w:val="00772AC2"/>
    <w:rsid w:val="00772AC4"/>
    <w:rsid w:val="00772BBF"/>
    <w:rsid w:val="00772BF3"/>
    <w:rsid w:val="007730B0"/>
    <w:rsid w:val="007734C8"/>
    <w:rsid w:val="00773769"/>
    <w:rsid w:val="0077399A"/>
    <w:rsid w:val="00773A89"/>
    <w:rsid w:val="00773C2D"/>
    <w:rsid w:val="00773C8D"/>
    <w:rsid w:val="007742B2"/>
    <w:rsid w:val="00774E1B"/>
    <w:rsid w:val="00774ECE"/>
    <w:rsid w:val="00775494"/>
    <w:rsid w:val="00775809"/>
    <w:rsid w:val="00775965"/>
    <w:rsid w:val="00776003"/>
    <w:rsid w:val="00776075"/>
    <w:rsid w:val="00776723"/>
    <w:rsid w:val="0077678E"/>
    <w:rsid w:val="007768C2"/>
    <w:rsid w:val="007768E2"/>
    <w:rsid w:val="00776950"/>
    <w:rsid w:val="0077698B"/>
    <w:rsid w:val="00776995"/>
    <w:rsid w:val="007769B4"/>
    <w:rsid w:val="007770B1"/>
    <w:rsid w:val="0077719E"/>
    <w:rsid w:val="007771B6"/>
    <w:rsid w:val="007771C9"/>
    <w:rsid w:val="0077744D"/>
    <w:rsid w:val="00777A4F"/>
    <w:rsid w:val="00777EB0"/>
    <w:rsid w:val="00780203"/>
    <w:rsid w:val="007806CB"/>
    <w:rsid w:val="0078083D"/>
    <w:rsid w:val="00780A9C"/>
    <w:rsid w:val="00780AC7"/>
    <w:rsid w:val="00781498"/>
    <w:rsid w:val="00781598"/>
    <w:rsid w:val="00781A79"/>
    <w:rsid w:val="00781C7F"/>
    <w:rsid w:val="007824EB"/>
    <w:rsid w:val="00782ADF"/>
    <w:rsid w:val="00782BE2"/>
    <w:rsid w:val="0078302A"/>
    <w:rsid w:val="007830FF"/>
    <w:rsid w:val="0078337C"/>
    <w:rsid w:val="00783418"/>
    <w:rsid w:val="007836A3"/>
    <w:rsid w:val="007837DE"/>
    <w:rsid w:val="00783D0A"/>
    <w:rsid w:val="00783D2E"/>
    <w:rsid w:val="00784251"/>
    <w:rsid w:val="0078425A"/>
    <w:rsid w:val="00784564"/>
    <w:rsid w:val="00784A0A"/>
    <w:rsid w:val="00784BCE"/>
    <w:rsid w:val="00784C1E"/>
    <w:rsid w:val="00784D00"/>
    <w:rsid w:val="00785533"/>
    <w:rsid w:val="00785548"/>
    <w:rsid w:val="00785FD4"/>
    <w:rsid w:val="00786076"/>
    <w:rsid w:val="007865CE"/>
    <w:rsid w:val="007869DC"/>
    <w:rsid w:val="00786A39"/>
    <w:rsid w:val="00786CB8"/>
    <w:rsid w:val="00786E18"/>
    <w:rsid w:val="007871AE"/>
    <w:rsid w:val="00787469"/>
    <w:rsid w:val="007874D1"/>
    <w:rsid w:val="0078764D"/>
    <w:rsid w:val="00787BFA"/>
    <w:rsid w:val="00787FB2"/>
    <w:rsid w:val="007901DC"/>
    <w:rsid w:val="007907C5"/>
    <w:rsid w:val="00790B3E"/>
    <w:rsid w:val="00790BA5"/>
    <w:rsid w:val="00790BA7"/>
    <w:rsid w:val="00790FBA"/>
    <w:rsid w:val="00791016"/>
    <w:rsid w:val="00791040"/>
    <w:rsid w:val="00791657"/>
    <w:rsid w:val="0079185D"/>
    <w:rsid w:val="007918F1"/>
    <w:rsid w:val="00791E87"/>
    <w:rsid w:val="00792465"/>
    <w:rsid w:val="007924ED"/>
    <w:rsid w:val="0079297D"/>
    <w:rsid w:val="00792AED"/>
    <w:rsid w:val="00792B31"/>
    <w:rsid w:val="00792F3D"/>
    <w:rsid w:val="0079345C"/>
    <w:rsid w:val="0079360C"/>
    <w:rsid w:val="0079362B"/>
    <w:rsid w:val="00793899"/>
    <w:rsid w:val="00794322"/>
    <w:rsid w:val="0079496F"/>
    <w:rsid w:val="00794AF5"/>
    <w:rsid w:val="00794B7D"/>
    <w:rsid w:val="00794B98"/>
    <w:rsid w:val="00794D0E"/>
    <w:rsid w:val="00794D63"/>
    <w:rsid w:val="00795155"/>
    <w:rsid w:val="00795183"/>
    <w:rsid w:val="00795260"/>
    <w:rsid w:val="007952E2"/>
    <w:rsid w:val="00795B8A"/>
    <w:rsid w:val="00795D3A"/>
    <w:rsid w:val="00795D46"/>
    <w:rsid w:val="00795D7B"/>
    <w:rsid w:val="00795DB2"/>
    <w:rsid w:val="00795DDD"/>
    <w:rsid w:val="00796581"/>
    <w:rsid w:val="007970D3"/>
    <w:rsid w:val="00797480"/>
    <w:rsid w:val="007975D5"/>
    <w:rsid w:val="00797667"/>
    <w:rsid w:val="007977B4"/>
    <w:rsid w:val="007978A9"/>
    <w:rsid w:val="007978D2"/>
    <w:rsid w:val="00797C4A"/>
    <w:rsid w:val="00797C86"/>
    <w:rsid w:val="00797D9C"/>
    <w:rsid w:val="00797FAC"/>
    <w:rsid w:val="00797FEC"/>
    <w:rsid w:val="007A0464"/>
    <w:rsid w:val="007A04CB"/>
    <w:rsid w:val="007A07B7"/>
    <w:rsid w:val="007A0887"/>
    <w:rsid w:val="007A0BF2"/>
    <w:rsid w:val="007A0D1F"/>
    <w:rsid w:val="007A0D64"/>
    <w:rsid w:val="007A0E8C"/>
    <w:rsid w:val="007A1018"/>
    <w:rsid w:val="007A12EA"/>
    <w:rsid w:val="007A1AA8"/>
    <w:rsid w:val="007A1AC1"/>
    <w:rsid w:val="007A1C58"/>
    <w:rsid w:val="007A20A4"/>
    <w:rsid w:val="007A21E9"/>
    <w:rsid w:val="007A2A6A"/>
    <w:rsid w:val="007A2BB2"/>
    <w:rsid w:val="007A2E0D"/>
    <w:rsid w:val="007A325E"/>
    <w:rsid w:val="007A3318"/>
    <w:rsid w:val="007A3490"/>
    <w:rsid w:val="007A3557"/>
    <w:rsid w:val="007A3567"/>
    <w:rsid w:val="007A35BC"/>
    <w:rsid w:val="007A3631"/>
    <w:rsid w:val="007A3691"/>
    <w:rsid w:val="007A42FE"/>
    <w:rsid w:val="007A4833"/>
    <w:rsid w:val="007A493C"/>
    <w:rsid w:val="007A49AA"/>
    <w:rsid w:val="007A4A13"/>
    <w:rsid w:val="007A4D36"/>
    <w:rsid w:val="007A4E06"/>
    <w:rsid w:val="007A57ED"/>
    <w:rsid w:val="007A58D1"/>
    <w:rsid w:val="007A62E4"/>
    <w:rsid w:val="007A6ACC"/>
    <w:rsid w:val="007A7356"/>
    <w:rsid w:val="007B027A"/>
    <w:rsid w:val="007B029C"/>
    <w:rsid w:val="007B03D7"/>
    <w:rsid w:val="007B04DC"/>
    <w:rsid w:val="007B0771"/>
    <w:rsid w:val="007B0FE3"/>
    <w:rsid w:val="007B1127"/>
    <w:rsid w:val="007B178F"/>
    <w:rsid w:val="007B19EB"/>
    <w:rsid w:val="007B1B71"/>
    <w:rsid w:val="007B2096"/>
    <w:rsid w:val="007B20F6"/>
    <w:rsid w:val="007B2622"/>
    <w:rsid w:val="007B26BF"/>
    <w:rsid w:val="007B299F"/>
    <w:rsid w:val="007B2A0B"/>
    <w:rsid w:val="007B2A17"/>
    <w:rsid w:val="007B2D51"/>
    <w:rsid w:val="007B316A"/>
    <w:rsid w:val="007B346B"/>
    <w:rsid w:val="007B35B5"/>
    <w:rsid w:val="007B36B5"/>
    <w:rsid w:val="007B3EF1"/>
    <w:rsid w:val="007B4117"/>
    <w:rsid w:val="007B419E"/>
    <w:rsid w:val="007B42E1"/>
    <w:rsid w:val="007B4BC8"/>
    <w:rsid w:val="007B4E2A"/>
    <w:rsid w:val="007B53F8"/>
    <w:rsid w:val="007B5631"/>
    <w:rsid w:val="007B5672"/>
    <w:rsid w:val="007B56BE"/>
    <w:rsid w:val="007B5795"/>
    <w:rsid w:val="007B5816"/>
    <w:rsid w:val="007B5A91"/>
    <w:rsid w:val="007B5C97"/>
    <w:rsid w:val="007B6084"/>
    <w:rsid w:val="007B6537"/>
    <w:rsid w:val="007B66A3"/>
    <w:rsid w:val="007B66E7"/>
    <w:rsid w:val="007B690D"/>
    <w:rsid w:val="007B6D4A"/>
    <w:rsid w:val="007B6FC6"/>
    <w:rsid w:val="007B720B"/>
    <w:rsid w:val="007B7832"/>
    <w:rsid w:val="007B7A0B"/>
    <w:rsid w:val="007B7B05"/>
    <w:rsid w:val="007B7CA3"/>
    <w:rsid w:val="007B7CB5"/>
    <w:rsid w:val="007B7CCD"/>
    <w:rsid w:val="007B7FE9"/>
    <w:rsid w:val="007C01C3"/>
    <w:rsid w:val="007C033F"/>
    <w:rsid w:val="007C0340"/>
    <w:rsid w:val="007C03E7"/>
    <w:rsid w:val="007C0795"/>
    <w:rsid w:val="007C0954"/>
    <w:rsid w:val="007C09A4"/>
    <w:rsid w:val="007C0A88"/>
    <w:rsid w:val="007C0F9E"/>
    <w:rsid w:val="007C17DA"/>
    <w:rsid w:val="007C1ADC"/>
    <w:rsid w:val="007C2279"/>
    <w:rsid w:val="007C25EE"/>
    <w:rsid w:val="007C2B8C"/>
    <w:rsid w:val="007C2E28"/>
    <w:rsid w:val="007C3140"/>
    <w:rsid w:val="007C365B"/>
    <w:rsid w:val="007C3B82"/>
    <w:rsid w:val="007C3CDB"/>
    <w:rsid w:val="007C3EB1"/>
    <w:rsid w:val="007C3EDD"/>
    <w:rsid w:val="007C3F11"/>
    <w:rsid w:val="007C3F27"/>
    <w:rsid w:val="007C3F35"/>
    <w:rsid w:val="007C4139"/>
    <w:rsid w:val="007C4612"/>
    <w:rsid w:val="007C47AB"/>
    <w:rsid w:val="007C5459"/>
    <w:rsid w:val="007C5484"/>
    <w:rsid w:val="007C5A8D"/>
    <w:rsid w:val="007C6181"/>
    <w:rsid w:val="007C64B3"/>
    <w:rsid w:val="007C6607"/>
    <w:rsid w:val="007C69D6"/>
    <w:rsid w:val="007C6ADA"/>
    <w:rsid w:val="007C6C0F"/>
    <w:rsid w:val="007C739F"/>
    <w:rsid w:val="007C7485"/>
    <w:rsid w:val="007C74CF"/>
    <w:rsid w:val="007C7A47"/>
    <w:rsid w:val="007C7BFF"/>
    <w:rsid w:val="007C7D5F"/>
    <w:rsid w:val="007C7E04"/>
    <w:rsid w:val="007C7EEB"/>
    <w:rsid w:val="007C7F97"/>
    <w:rsid w:val="007D0026"/>
    <w:rsid w:val="007D0150"/>
    <w:rsid w:val="007D06FD"/>
    <w:rsid w:val="007D0986"/>
    <w:rsid w:val="007D0CE9"/>
    <w:rsid w:val="007D0E84"/>
    <w:rsid w:val="007D0F97"/>
    <w:rsid w:val="007D13DE"/>
    <w:rsid w:val="007D13DF"/>
    <w:rsid w:val="007D13FA"/>
    <w:rsid w:val="007D14D6"/>
    <w:rsid w:val="007D170D"/>
    <w:rsid w:val="007D1753"/>
    <w:rsid w:val="007D1BF1"/>
    <w:rsid w:val="007D1C2D"/>
    <w:rsid w:val="007D1D97"/>
    <w:rsid w:val="007D1E44"/>
    <w:rsid w:val="007D1FBA"/>
    <w:rsid w:val="007D1FBB"/>
    <w:rsid w:val="007D2948"/>
    <w:rsid w:val="007D29E3"/>
    <w:rsid w:val="007D29FB"/>
    <w:rsid w:val="007D2D10"/>
    <w:rsid w:val="007D2E61"/>
    <w:rsid w:val="007D2EFF"/>
    <w:rsid w:val="007D3004"/>
    <w:rsid w:val="007D312C"/>
    <w:rsid w:val="007D31DC"/>
    <w:rsid w:val="007D3530"/>
    <w:rsid w:val="007D393C"/>
    <w:rsid w:val="007D3B5E"/>
    <w:rsid w:val="007D3C96"/>
    <w:rsid w:val="007D3DCD"/>
    <w:rsid w:val="007D41B1"/>
    <w:rsid w:val="007D41B9"/>
    <w:rsid w:val="007D424F"/>
    <w:rsid w:val="007D427E"/>
    <w:rsid w:val="007D4345"/>
    <w:rsid w:val="007D4774"/>
    <w:rsid w:val="007D4C46"/>
    <w:rsid w:val="007D4CE1"/>
    <w:rsid w:val="007D4DCE"/>
    <w:rsid w:val="007D4E0B"/>
    <w:rsid w:val="007D4FBB"/>
    <w:rsid w:val="007D50BC"/>
    <w:rsid w:val="007D5113"/>
    <w:rsid w:val="007D569B"/>
    <w:rsid w:val="007D5C59"/>
    <w:rsid w:val="007D5D1D"/>
    <w:rsid w:val="007D5E96"/>
    <w:rsid w:val="007D5F89"/>
    <w:rsid w:val="007D632B"/>
    <w:rsid w:val="007D647D"/>
    <w:rsid w:val="007D6555"/>
    <w:rsid w:val="007D683A"/>
    <w:rsid w:val="007D6973"/>
    <w:rsid w:val="007D69AD"/>
    <w:rsid w:val="007D7CF5"/>
    <w:rsid w:val="007E0381"/>
    <w:rsid w:val="007E0503"/>
    <w:rsid w:val="007E0533"/>
    <w:rsid w:val="007E0A85"/>
    <w:rsid w:val="007E0A9F"/>
    <w:rsid w:val="007E1223"/>
    <w:rsid w:val="007E12A8"/>
    <w:rsid w:val="007E1584"/>
    <w:rsid w:val="007E1C94"/>
    <w:rsid w:val="007E2071"/>
    <w:rsid w:val="007E20B2"/>
    <w:rsid w:val="007E211A"/>
    <w:rsid w:val="007E2183"/>
    <w:rsid w:val="007E2438"/>
    <w:rsid w:val="007E2A5D"/>
    <w:rsid w:val="007E2F97"/>
    <w:rsid w:val="007E3368"/>
    <w:rsid w:val="007E35FB"/>
    <w:rsid w:val="007E373A"/>
    <w:rsid w:val="007E37D3"/>
    <w:rsid w:val="007E387B"/>
    <w:rsid w:val="007E39DD"/>
    <w:rsid w:val="007E3A59"/>
    <w:rsid w:val="007E3AE3"/>
    <w:rsid w:val="007E3CBB"/>
    <w:rsid w:val="007E3E3C"/>
    <w:rsid w:val="007E3EEA"/>
    <w:rsid w:val="007E40C2"/>
    <w:rsid w:val="007E43C9"/>
    <w:rsid w:val="007E451C"/>
    <w:rsid w:val="007E49E6"/>
    <w:rsid w:val="007E4B24"/>
    <w:rsid w:val="007E526F"/>
    <w:rsid w:val="007E554F"/>
    <w:rsid w:val="007E5593"/>
    <w:rsid w:val="007E5622"/>
    <w:rsid w:val="007E5995"/>
    <w:rsid w:val="007E59F9"/>
    <w:rsid w:val="007E5A34"/>
    <w:rsid w:val="007E5C41"/>
    <w:rsid w:val="007E61B6"/>
    <w:rsid w:val="007E61E2"/>
    <w:rsid w:val="007E6380"/>
    <w:rsid w:val="007E638B"/>
    <w:rsid w:val="007E64C0"/>
    <w:rsid w:val="007E6CAF"/>
    <w:rsid w:val="007E6D1C"/>
    <w:rsid w:val="007E6E41"/>
    <w:rsid w:val="007E70BB"/>
    <w:rsid w:val="007E71B3"/>
    <w:rsid w:val="007E7570"/>
    <w:rsid w:val="007E7945"/>
    <w:rsid w:val="007E7A21"/>
    <w:rsid w:val="007E7DF4"/>
    <w:rsid w:val="007F0023"/>
    <w:rsid w:val="007F07B2"/>
    <w:rsid w:val="007F0886"/>
    <w:rsid w:val="007F0A40"/>
    <w:rsid w:val="007F0BB1"/>
    <w:rsid w:val="007F0E48"/>
    <w:rsid w:val="007F0F42"/>
    <w:rsid w:val="007F0F7A"/>
    <w:rsid w:val="007F1019"/>
    <w:rsid w:val="007F14C2"/>
    <w:rsid w:val="007F1972"/>
    <w:rsid w:val="007F1AB9"/>
    <w:rsid w:val="007F1B7A"/>
    <w:rsid w:val="007F20A7"/>
    <w:rsid w:val="007F2206"/>
    <w:rsid w:val="007F2566"/>
    <w:rsid w:val="007F26B6"/>
    <w:rsid w:val="007F292C"/>
    <w:rsid w:val="007F2AFF"/>
    <w:rsid w:val="007F2C2B"/>
    <w:rsid w:val="007F2FC7"/>
    <w:rsid w:val="007F2FD9"/>
    <w:rsid w:val="007F4372"/>
    <w:rsid w:val="007F43B6"/>
    <w:rsid w:val="007F45DC"/>
    <w:rsid w:val="007F47C5"/>
    <w:rsid w:val="007F4BAF"/>
    <w:rsid w:val="007F5193"/>
    <w:rsid w:val="007F51E8"/>
    <w:rsid w:val="007F543B"/>
    <w:rsid w:val="007F5558"/>
    <w:rsid w:val="007F555A"/>
    <w:rsid w:val="007F56D7"/>
    <w:rsid w:val="007F5A92"/>
    <w:rsid w:val="007F5DD5"/>
    <w:rsid w:val="007F63A9"/>
    <w:rsid w:val="007F6459"/>
    <w:rsid w:val="007F6600"/>
    <w:rsid w:val="007F6655"/>
    <w:rsid w:val="007F67D9"/>
    <w:rsid w:val="007F682E"/>
    <w:rsid w:val="007F6866"/>
    <w:rsid w:val="007F6882"/>
    <w:rsid w:val="007F6FAE"/>
    <w:rsid w:val="007F7310"/>
    <w:rsid w:val="007F731B"/>
    <w:rsid w:val="007F74E6"/>
    <w:rsid w:val="007F7A5A"/>
    <w:rsid w:val="007F7C23"/>
    <w:rsid w:val="007F7CA6"/>
    <w:rsid w:val="007F7ECF"/>
    <w:rsid w:val="0080003B"/>
    <w:rsid w:val="00800187"/>
    <w:rsid w:val="00800197"/>
    <w:rsid w:val="008002BA"/>
    <w:rsid w:val="00800434"/>
    <w:rsid w:val="008008A5"/>
    <w:rsid w:val="0080095D"/>
    <w:rsid w:val="00800FEF"/>
    <w:rsid w:val="008013B1"/>
    <w:rsid w:val="0080189A"/>
    <w:rsid w:val="008018C8"/>
    <w:rsid w:val="00801AA3"/>
    <w:rsid w:val="00801B08"/>
    <w:rsid w:val="00802390"/>
    <w:rsid w:val="008023FD"/>
    <w:rsid w:val="00802786"/>
    <w:rsid w:val="00802889"/>
    <w:rsid w:val="00802A03"/>
    <w:rsid w:val="00802CB1"/>
    <w:rsid w:val="008031A3"/>
    <w:rsid w:val="00803514"/>
    <w:rsid w:val="008036CE"/>
    <w:rsid w:val="008037F1"/>
    <w:rsid w:val="00803883"/>
    <w:rsid w:val="008038A5"/>
    <w:rsid w:val="0080437A"/>
    <w:rsid w:val="00804443"/>
    <w:rsid w:val="008047E6"/>
    <w:rsid w:val="00805327"/>
    <w:rsid w:val="00805BA1"/>
    <w:rsid w:val="00806177"/>
    <w:rsid w:val="0080632F"/>
    <w:rsid w:val="0080634B"/>
    <w:rsid w:val="00806527"/>
    <w:rsid w:val="00806625"/>
    <w:rsid w:val="008066E4"/>
    <w:rsid w:val="00806AF7"/>
    <w:rsid w:val="008070D4"/>
    <w:rsid w:val="008073D6"/>
    <w:rsid w:val="008075F4"/>
    <w:rsid w:val="00807673"/>
    <w:rsid w:val="0080771B"/>
    <w:rsid w:val="00807A2F"/>
    <w:rsid w:val="00807C7F"/>
    <w:rsid w:val="00807E2B"/>
    <w:rsid w:val="00807F58"/>
    <w:rsid w:val="00810522"/>
    <w:rsid w:val="008106FC"/>
    <w:rsid w:val="00810701"/>
    <w:rsid w:val="00810A38"/>
    <w:rsid w:val="00810AFD"/>
    <w:rsid w:val="00810B4A"/>
    <w:rsid w:val="00811261"/>
    <w:rsid w:val="00811466"/>
    <w:rsid w:val="00811723"/>
    <w:rsid w:val="008118C3"/>
    <w:rsid w:val="00811AF6"/>
    <w:rsid w:val="00811C67"/>
    <w:rsid w:val="00811D0C"/>
    <w:rsid w:val="00811D60"/>
    <w:rsid w:val="00812017"/>
    <w:rsid w:val="0081211E"/>
    <w:rsid w:val="008124AD"/>
    <w:rsid w:val="008124F0"/>
    <w:rsid w:val="008127CE"/>
    <w:rsid w:val="00812932"/>
    <w:rsid w:val="0081335E"/>
    <w:rsid w:val="0081339C"/>
    <w:rsid w:val="00813820"/>
    <w:rsid w:val="008138F1"/>
    <w:rsid w:val="008139CD"/>
    <w:rsid w:val="008139DB"/>
    <w:rsid w:val="00813C6E"/>
    <w:rsid w:val="00813DC1"/>
    <w:rsid w:val="00813E5E"/>
    <w:rsid w:val="00813E74"/>
    <w:rsid w:val="008143FD"/>
    <w:rsid w:val="0081476E"/>
    <w:rsid w:val="00814A46"/>
    <w:rsid w:val="00814CFD"/>
    <w:rsid w:val="00814D82"/>
    <w:rsid w:val="00814DFF"/>
    <w:rsid w:val="00815091"/>
    <w:rsid w:val="0081523D"/>
    <w:rsid w:val="008153A5"/>
    <w:rsid w:val="0081574E"/>
    <w:rsid w:val="00815957"/>
    <w:rsid w:val="00815C0B"/>
    <w:rsid w:val="00815C78"/>
    <w:rsid w:val="00816344"/>
    <w:rsid w:val="0081658A"/>
    <w:rsid w:val="008165F8"/>
    <w:rsid w:val="00817034"/>
    <w:rsid w:val="008174E0"/>
    <w:rsid w:val="00817828"/>
    <w:rsid w:val="00817B78"/>
    <w:rsid w:val="008202F0"/>
    <w:rsid w:val="00820D1A"/>
    <w:rsid w:val="0082104D"/>
    <w:rsid w:val="00821096"/>
    <w:rsid w:val="0082115B"/>
    <w:rsid w:val="008214A2"/>
    <w:rsid w:val="008216CA"/>
    <w:rsid w:val="00821B36"/>
    <w:rsid w:val="008221AC"/>
    <w:rsid w:val="008222B0"/>
    <w:rsid w:val="00822ADF"/>
    <w:rsid w:val="008231F7"/>
    <w:rsid w:val="008234F9"/>
    <w:rsid w:val="008237B6"/>
    <w:rsid w:val="00823832"/>
    <w:rsid w:val="008238E7"/>
    <w:rsid w:val="00823A4C"/>
    <w:rsid w:val="00823EEF"/>
    <w:rsid w:val="0082434F"/>
    <w:rsid w:val="00824594"/>
    <w:rsid w:val="0082462D"/>
    <w:rsid w:val="00824665"/>
    <w:rsid w:val="008248BC"/>
    <w:rsid w:val="00824947"/>
    <w:rsid w:val="008252BF"/>
    <w:rsid w:val="008257A7"/>
    <w:rsid w:val="0082581E"/>
    <w:rsid w:val="0082596F"/>
    <w:rsid w:val="00825DD3"/>
    <w:rsid w:val="00825F78"/>
    <w:rsid w:val="00826157"/>
    <w:rsid w:val="00826443"/>
    <w:rsid w:val="0082670A"/>
    <w:rsid w:val="0082689C"/>
    <w:rsid w:val="00826D29"/>
    <w:rsid w:val="00826E41"/>
    <w:rsid w:val="00827172"/>
    <w:rsid w:val="0082743C"/>
    <w:rsid w:val="00827474"/>
    <w:rsid w:val="008276E3"/>
    <w:rsid w:val="00827991"/>
    <w:rsid w:val="00827C2A"/>
    <w:rsid w:val="00827CA7"/>
    <w:rsid w:val="00827F84"/>
    <w:rsid w:val="0083016D"/>
    <w:rsid w:val="00830227"/>
    <w:rsid w:val="008302B5"/>
    <w:rsid w:val="00830387"/>
    <w:rsid w:val="008305AF"/>
    <w:rsid w:val="00830607"/>
    <w:rsid w:val="008307F1"/>
    <w:rsid w:val="00830C45"/>
    <w:rsid w:val="008314D2"/>
    <w:rsid w:val="00831843"/>
    <w:rsid w:val="00831C03"/>
    <w:rsid w:val="00832457"/>
    <w:rsid w:val="008326B7"/>
    <w:rsid w:val="008329EA"/>
    <w:rsid w:val="008331AC"/>
    <w:rsid w:val="0083335E"/>
    <w:rsid w:val="0083363C"/>
    <w:rsid w:val="0083392E"/>
    <w:rsid w:val="00833C50"/>
    <w:rsid w:val="00833CD8"/>
    <w:rsid w:val="00833F15"/>
    <w:rsid w:val="00834309"/>
    <w:rsid w:val="00834751"/>
    <w:rsid w:val="008348C7"/>
    <w:rsid w:val="008351AC"/>
    <w:rsid w:val="008356D6"/>
    <w:rsid w:val="0083580D"/>
    <w:rsid w:val="00835995"/>
    <w:rsid w:val="00835DFF"/>
    <w:rsid w:val="00835ED6"/>
    <w:rsid w:val="00835FC5"/>
    <w:rsid w:val="00836128"/>
    <w:rsid w:val="00836324"/>
    <w:rsid w:val="0083661E"/>
    <w:rsid w:val="0083696A"/>
    <w:rsid w:val="00837347"/>
    <w:rsid w:val="00837448"/>
    <w:rsid w:val="00837523"/>
    <w:rsid w:val="00837740"/>
    <w:rsid w:val="00837B44"/>
    <w:rsid w:val="00837E77"/>
    <w:rsid w:val="008401DC"/>
    <w:rsid w:val="008401F1"/>
    <w:rsid w:val="00840348"/>
    <w:rsid w:val="00840D3E"/>
    <w:rsid w:val="00840D77"/>
    <w:rsid w:val="008410E3"/>
    <w:rsid w:val="0084116C"/>
    <w:rsid w:val="008412CD"/>
    <w:rsid w:val="0084138F"/>
    <w:rsid w:val="008419B8"/>
    <w:rsid w:val="00841AD5"/>
    <w:rsid w:val="00841BE9"/>
    <w:rsid w:val="0084216A"/>
    <w:rsid w:val="0084230D"/>
    <w:rsid w:val="00842442"/>
    <w:rsid w:val="008427AE"/>
    <w:rsid w:val="0084285B"/>
    <w:rsid w:val="0084287E"/>
    <w:rsid w:val="00842993"/>
    <w:rsid w:val="00842B5D"/>
    <w:rsid w:val="0084339C"/>
    <w:rsid w:val="008434A8"/>
    <w:rsid w:val="0084379F"/>
    <w:rsid w:val="008437B5"/>
    <w:rsid w:val="00844361"/>
    <w:rsid w:val="00844903"/>
    <w:rsid w:val="00845028"/>
    <w:rsid w:val="008451D5"/>
    <w:rsid w:val="008455E2"/>
    <w:rsid w:val="0084590B"/>
    <w:rsid w:val="00845961"/>
    <w:rsid w:val="00845CB8"/>
    <w:rsid w:val="0084626B"/>
    <w:rsid w:val="008462A2"/>
    <w:rsid w:val="008463E7"/>
    <w:rsid w:val="00846511"/>
    <w:rsid w:val="00846578"/>
    <w:rsid w:val="0084686F"/>
    <w:rsid w:val="00846F26"/>
    <w:rsid w:val="00846F93"/>
    <w:rsid w:val="00847206"/>
    <w:rsid w:val="008473FA"/>
    <w:rsid w:val="008474A4"/>
    <w:rsid w:val="008475E2"/>
    <w:rsid w:val="0084785D"/>
    <w:rsid w:val="00847B21"/>
    <w:rsid w:val="00850183"/>
    <w:rsid w:val="00850B5B"/>
    <w:rsid w:val="00850D65"/>
    <w:rsid w:val="00850FF0"/>
    <w:rsid w:val="0085129A"/>
    <w:rsid w:val="008518DC"/>
    <w:rsid w:val="00851F40"/>
    <w:rsid w:val="00851F70"/>
    <w:rsid w:val="00851F94"/>
    <w:rsid w:val="0085213D"/>
    <w:rsid w:val="0085223D"/>
    <w:rsid w:val="008526C1"/>
    <w:rsid w:val="00852B7F"/>
    <w:rsid w:val="00853402"/>
    <w:rsid w:val="008535FE"/>
    <w:rsid w:val="00853627"/>
    <w:rsid w:val="00853846"/>
    <w:rsid w:val="00853880"/>
    <w:rsid w:val="00853891"/>
    <w:rsid w:val="00853D22"/>
    <w:rsid w:val="00853ECF"/>
    <w:rsid w:val="0085457F"/>
    <w:rsid w:val="008546A3"/>
    <w:rsid w:val="00854728"/>
    <w:rsid w:val="00854776"/>
    <w:rsid w:val="008548F7"/>
    <w:rsid w:val="00854987"/>
    <w:rsid w:val="008549AD"/>
    <w:rsid w:val="00854E23"/>
    <w:rsid w:val="00854F9A"/>
    <w:rsid w:val="00855232"/>
    <w:rsid w:val="0085534C"/>
    <w:rsid w:val="008553BA"/>
    <w:rsid w:val="008557C2"/>
    <w:rsid w:val="00855BC7"/>
    <w:rsid w:val="00855F36"/>
    <w:rsid w:val="0085638C"/>
    <w:rsid w:val="008563AD"/>
    <w:rsid w:val="0085677C"/>
    <w:rsid w:val="00856A35"/>
    <w:rsid w:val="00856AE2"/>
    <w:rsid w:val="00856CFB"/>
    <w:rsid w:val="008570D2"/>
    <w:rsid w:val="00857306"/>
    <w:rsid w:val="0085735E"/>
    <w:rsid w:val="0085740F"/>
    <w:rsid w:val="0085761D"/>
    <w:rsid w:val="00857E06"/>
    <w:rsid w:val="00860419"/>
    <w:rsid w:val="00860442"/>
    <w:rsid w:val="0086064F"/>
    <w:rsid w:val="00860738"/>
    <w:rsid w:val="008607EC"/>
    <w:rsid w:val="00860802"/>
    <w:rsid w:val="00860FC6"/>
    <w:rsid w:val="0086124D"/>
    <w:rsid w:val="00861308"/>
    <w:rsid w:val="008614B4"/>
    <w:rsid w:val="00861A25"/>
    <w:rsid w:val="00861D14"/>
    <w:rsid w:val="0086256B"/>
    <w:rsid w:val="00862989"/>
    <w:rsid w:val="00862D66"/>
    <w:rsid w:val="00862EA2"/>
    <w:rsid w:val="008630F3"/>
    <w:rsid w:val="00863311"/>
    <w:rsid w:val="0086368E"/>
    <w:rsid w:val="008636EA"/>
    <w:rsid w:val="00863FC4"/>
    <w:rsid w:val="008641A6"/>
    <w:rsid w:val="008646B2"/>
    <w:rsid w:val="0086484B"/>
    <w:rsid w:val="00864938"/>
    <w:rsid w:val="008649B4"/>
    <w:rsid w:val="00864C75"/>
    <w:rsid w:val="00864DD2"/>
    <w:rsid w:val="00865380"/>
    <w:rsid w:val="008655C1"/>
    <w:rsid w:val="0086589F"/>
    <w:rsid w:val="00865993"/>
    <w:rsid w:val="00866207"/>
    <w:rsid w:val="008664A9"/>
    <w:rsid w:val="00866582"/>
    <w:rsid w:val="008668B5"/>
    <w:rsid w:val="008669AA"/>
    <w:rsid w:val="00867AA2"/>
    <w:rsid w:val="00867B85"/>
    <w:rsid w:val="00867B88"/>
    <w:rsid w:val="0087009E"/>
    <w:rsid w:val="008700C3"/>
    <w:rsid w:val="0087018F"/>
    <w:rsid w:val="008708E3"/>
    <w:rsid w:val="00870B06"/>
    <w:rsid w:val="0087111F"/>
    <w:rsid w:val="00871277"/>
    <w:rsid w:val="0087202A"/>
    <w:rsid w:val="00872594"/>
    <w:rsid w:val="00872D5A"/>
    <w:rsid w:val="00872FAD"/>
    <w:rsid w:val="008739C8"/>
    <w:rsid w:val="00873C39"/>
    <w:rsid w:val="00874C5B"/>
    <w:rsid w:val="00874CBE"/>
    <w:rsid w:val="00875084"/>
    <w:rsid w:val="0087520B"/>
    <w:rsid w:val="00875360"/>
    <w:rsid w:val="00875394"/>
    <w:rsid w:val="00875B8E"/>
    <w:rsid w:val="00875EF9"/>
    <w:rsid w:val="008762A7"/>
    <w:rsid w:val="008764B0"/>
    <w:rsid w:val="008766E0"/>
    <w:rsid w:val="008767F7"/>
    <w:rsid w:val="00876887"/>
    <w:rsid w:val="0087689D"/>
    <w:rsid w:val="00876E48"/>
    <w:rsid w:val="008774FA"/>
    <w:rsid w:val="00877523"/>
    <w:rsid w:val="008775A9"/>
    <w:rsid w:val="008777C3"/>
    <w:rsid w:val="008778FD"/>
    <w:rsid w:val="0087796A"/>
    <w:rsid w:val="00877BA3"/>
    <w:rsid w:val="00877D2B"/>
    <w:rsid w:val="00877D84"/>
    <w:rsid w:val="00877DF7"/>
    <w:rsid w:val="00880874"/>
    <w:rsid w:val="00880D6E"/>
    <w:rsid w:val="00880D88"/>
    <w:rsid w:val="00880F4F"/>
    <w:rsid w:val="0088111C"/>
    <w:rsid w:val="00881136"/>
    <w:rsid w:val="0088118B"/>
    <w:rsid w:val="008811D2"/>
    <w:rsid w:val="008811E0"/>
    <w:rsid w:val="008817F5"/>
    <w:rsid w:val="00881F01"/>
    <w:rsid w:val="00882314"/>
    <w:rsid w:val="008827E0"/>
    <w:rsid w:val="008828D3"/>
    <w:rsid w:val="008828ED"/>
    <w:rsid w:val="008832FD"/>
    <w:rsid w:val="00883568"/>
    <w:rsid w:val="00883637"/>
    <w:rsid w:val="00883676"/>
    <w:rsid w:val="008837B3"/>
    <w:rsid w:val="0088384B"/>
    <w:rsid w:val="00883A9F"/>
    <w:rsid w:val="008843F0"/>
    <w:rsid w:val="008844A5"/>
    <w:rsid w:val="008846D4"/>
    <w:rsid w:val="0088481A"/>
    <w:rsid w:val="0088484B"/>
    <w:rsid w:val="008848A7"/>
    <w:rsid w:val="008848E8"/>
    <w:rsid w:val="00884A48"/>
    <w:rsid w:val="00884C5E"/>
    <w:rsid w:val="00884CCA"/>
    <w:rsid w:val="00884CE7"/>
    <w:rsid w:val="00884E21"/>
    <w:rsid w:val="00885876"/>
    <w:rsid w:val="00885EB1"/>
    <w:rsid w:val="00885F8A"/>
    <w:rsid w:val="008864BC"/>
    <w:rsid w:val="0088689A"/>
    <w:rsid w:val="00886D38"/>
    <w:rsid w:val="00887060"/>
    <w:rsid w:val="008873B0"/>
    <w:rsid w:val="00887473"/>
    <w:rsid w:val="008876A5"/>
    <w:rsid w:val="00887CAD"/>
    <w:rsid w:val="0089020B"/>
    <w:rsid w:val="0089044A"/>
    <w:rsid w:val="008905D0"/>
    <w:rsid w:val="008907E8"/>
    <w:rsid w:val="008909A1"/>
    <w:rsid w:val="00890A09"/>
    <w:rsid w:val="00890A97"/>
    <w:rsid w:val="00890CC5"/>
    <w:rsid w:val="00890D8E"/>
    <w:rsid w:val="00891204"/>
    <w:rsid w:val="0089151A"/>
    <w:rsid w:val="00891572"/>
    <w:rsid w:val="0089189F"/>
    <w:rsid w:val="00892043"/>
    <w:rsid w:val="008923D2"/>
    <w:rsid w:val="00892487"/>
    <w:rsid w:val="008924D1"/>
    <w:rsid w:val="008925E8"/>
    <w:rsid w:val="0089289A"/>
    <w:rsid w:val="00892E00"/>
    <w:rsid w:val="00892F12"/>
    <w:rsid w:val="00893009"/>
    <w:rsid w:val="0089312B"/>
    <w:rsid w:val="008937D0"/>
    <w:rsid w:val="008939D1"/>
    <w:rsid w:val="00893B52"/>
    <w:rsid w:val="00893D39"/>
    <w:rsid w:val="008940CF"/>
    <w:rsid w:val="00894745"/>
    <w:rsid w:val="00894956"/>
    <w:rsid w:val="00894EDA"/>
    <w:rsid w:val="00895019"/>
    <w:rsid w:val="008951E6"/>
    <w:rsid w:val="008955A9"/>
    <w:rsid w:val="0089577F"/>
    <w:rsid w:val="00895AB1"/>
    <w:rsid w:val="00895AFB"/>
    <w:rsid w:val="00895C2E"/>
    <w:rsid w:val="00895EBA"/>
    <w:rsid w:val="00895F9B"/>
    <w:rsid w:val="0089611B"/>
    <w:rsid w:val="00896339"/>
    <w:rsid w:val="00896353"/>
    <w:rsid w:val="00896BAA"/>
    <w:rsid w:val="008975AA"/>
    <w:rsid w:val="008976D6"/>
    <w:rsid w:val="00897A72"/>
    <w:rsid w:val="00897AC0"/>
    <w:rsid w:val="00897C02"/>
    <w:rsid w:val="00897F92"/>
    <w:rsid w:val="008A0171"/>
    <w:rsid w:val="008A0A34"/>
    <w:rsid w:val="008A0C55"/>
    <w:rsid w:val="008A0C9D"/>
    <w:rsid w:val="008A0CA6"/>
    <w:rsid w:val="008A0DA5"/>
    <w:rsid w:val="008A0F4A"/>
    <w:rsid w:val="008A103B"/>
    <w:rsid w:val="008A1059"/>
    <w:rsid w:val="008A113F"/>
    <w:rsid w:val="008A11A1"/>
    <w:rsid w:val="008A1459"/>
    <w:rsid w:val="008A17DE"/>
    <w:rsid w:val="008A1E76"/>
    <w:rsid w:val="008A23AB"/>
    <w:rsid w:val="008A2529"/>
    <w:rsid w:val="008A25A7"/>
    <w:rsid w:val="008A2822"/>
    <w:rsid w:val="008A287F"/>
    <w:rsid w:val="008A28B0"/>
    <w:rsid w:val="008A292B"/>
    <w:rsid w:val="008A2B0F"/>
    <w:rsid w:val="008A2CB0"/>
    <w:rsid w:val="008A326A"/>
    <w:rsid w:val="008A35E1"/>
    <w:rsid w:val="008A39AA"/>
    <w:rsid w:val="008A3C50"/>
    <w:rsid w:val="008A3F56"/>
    <w:rsid w:val="008A3FA6"/>
    <w:rsid w:val="008A4794"/>
    <w:rsid w:val="008A48C3"/>
    <w:rsid w:val="008A4CEA"/>
    <w:rsid w:val="008A4E97"/>
    <w:rsid w:val="008A5268"/>
    <w:rsid w:val="008A57CF"/>
    <w:rsid w:val="008A591F"/>
    <w:rsid w:val="008A61A6"/>
    <w:rsid w:val="008A644A"/>
    <w:rsid w:val="008A6660"/>
    <w:rsid w:val="008A6DC1"/>
    <w:rsid w:val="008A6FF4"/>
    <w:rsid w:val="008A703A"/>
    <w:rsid w:val="008A716D"/>
    <w:rsid w:val="008A7554"/>
    <w:rsid w:val="008A772F"/>
    <w:rsid w:val="008A7AC0"/>
    <w:rsid w:val="008A7FED"/>
    <w:rsid w:val="008B05F2"/>
    <w:rsid w:val="008B091A"/>
    <w:rsid w:val="008B0A8B"/>
    <w:rsid w:val="008B0B38"/>
    <w:rsid w:val="008B0E6B"/>
    <w:rsid w:val="008B0F04"/>
    <w:rsid w:val="008B1188"/>
    <w:rsid w:val="008B1924"/>
    <w:rsid w:val="008B1C30"/>
    <w:rsid w:val="008B1C32"/>
    <w:rsid w:val="008B1C65"/>
    <w:rsid w:val="008B1E68"/>
    <w:rsid w:val="008B1F34"/>
    <w:rsid w:val="008B2204"/>
    <w:rsid w:val="008B2420"/>
    <w:rsid w:val="008B249D"/>
    <w:rsid w:val="008B25F3"/>
    <w:rsid w:val="008B287E"/>
    <w:rsid w:val="008B29B3"/>
    <w:rsid w:val="008B2B8C"/>
    <w:rsid w:val="008B2EA3"/>
    <w:rsid w:val="008B2EE6"/>
    <w:rsid w:val="008B2FF3"/>
    <w:rsid w:val="008B33E4"/>
    <w:rsid w:val="008B381B"/>
    <w:rsid w:val="008B3917"/>
    <w:rsid w:val="008B397E"/>
    <w:rsid w:val="008B3B26"/>
    <w:rsid w:val="008B464B"/>
    <w:rsid w:val="008B46A4"/>
    <w:rsid w:val="008B46D1"/>
    <w:rsid w:val="008B49D6"/>
    <w:rsid w:val="008B4CF6"/>
    <w:rsid w:val="008B4F25"/>
    <w:rsid w:val="008B50F8"/>
    <w:rsid w:val="008B5477"/>
    <w:rsid w:val="008B557C"/>
    <w:rsid w:val="008B580B"/>
    <w:rsid w:val="008B5A52"/>
    <w:rsid w:val="008B5B57"/>
    <w:rsid w:val="008B5D6E"/>
    <w:rsid w:val="008B5FE4"/>
    <w:rsid w:val="008B6050"/>
    <w:rsid w:val="008B613B"/>
    <w:rsid w:val="008B6575"/>
    <w:rsid w:val="008B7206"/>
    <w:rsid w:val="008B7527"/>
    <w:rsid w:val="008B77AB"/>
    <w:rsid w:val="008B7896"/>
    <w:rsid w:val="008B7E48"/>
    <w:rsid w:val="008B7EEE"/>
    <w:rsid w:val="008C075A"/>
    <w:rsid w:val="008C0AD3"/>
    <w:rsid w:val="008C0EB6"/>
    <w:rsid w:val="008C1006"/>
    <w:rsid w:val="008C1757"/>
    <w:rsid w:val="008C1BDC"/>
    <w:rsid w:val="008C1E5E"/>
    <w:rsid w:val="008C258B"/>
    <w:rsid w:val="008C25B4"/>
    <w:rsid w:val="008C2EA0"/>
    <w:rsid w:val="008C3030"/>
    <w:rsid w:val="008C3750"/>
    <w:rsid w:val="008C3AB7"/>
    <w:rsid w:val="008C3F3F"/>
    <w:rsid w:val="008C42BE"/>
    <w:rsid w:val="008C44B8"/>
    <w:rsid w:val="008C4BA8"/>
    <w:rsid w:val="008C4C82"/>
    <w:rsid w:val="008C4CA8"/>
    <w:rsid w:val="008C51C9"/>
    <w:rsid w:val="008C5248"/>
    <w:rsid w:val="008C53C3"/>
    <w:rsid w:val="008C5423"/>
    <w:rsid w:val="008C5437"/>
    <w:rsid w:val="008C5A87"/>
    <w:rsid w:val="008C64B1"/>
    <w:rsid w:val="008C6556"/>
    <w:rsid w:val="008C68D3"/>
    <w:rsid w:val="008C6ABD"/>
    <w:rsid w:val="008C6B4E"/>
    <w:rsid w:val="008C6D88"/>
    <w:rsid w:val="008C6E2B"/>
    <w:rsid w:val="008C720C"/>
    <w:rsid w:val="008C75E5"/>
    <w:rsid w:val="008C7995"/>
    <w:rsid w:val="008C7C0F"/>
    <w:rsid w:val="008D010E"/>
    <w:rsid w:val="008D04DB"/>
    <w:rsid w:val="008D058C"/>
    <w:rsid w:val="008D0989"/>
    <w:rsid w:val="008D0AE6"/>
    <w:rsid w:val="008D0B86"/>
    <w:rsid w:val="008D0D6F"/>
    <w:rsid w:val="008D1052"/>
    <w:rsid w:val="008D1343"/>
    <w:rsid w:val="008D13E2"/>
    <w:rsid w:val="008D14EE"/>
    <w:rsid w:val="008D14F7"/>
    <w:rsid w:val="008D19E5"/>
    <w:rsid w:val="008D1BE0"/>
    <w:rsid w:val="008D1CF7"/>
    <w:rsid w:val="008D262C"/>
    <w:rsid w:val="008D26D0"/>
    <w:rsid w:val="008D2726"/>
    <w:rsid w:val="008D2A33"/>
    <w:rsid w:val="008D2BE0"/>
    <w:rsid w:val="008D2D1D"/>
    <w:rsid w:val="008D2D4B"/>
    <w:rsid w:val="008D2DE4"/>
    <w:rsid w:val="008D32E8"/>
    <w:rsid w:val="008D36D4"/>
    <w:rsid w:val="008D38DE"/>
    <w:rsid w:val="008D3A1B"/>
    <w:rsid w:val="008D3C8B"/>
    <w:rsid w:val="008D3C9F"/>
    <w:rsid w:val="008D40D7"/>
    <w:rsid w:val="008D4316"/>
    <w:rsid w:val="008D46BB"/>
    <w:rsid w:val="008D47E0"/>
    <w:rsid w:val="008D485C"/>
    <w:rsid w:val="008D48E4"/>
    <w:rsid w:val="008D4DFE"/>
    <w:rsid w:val="008D4E9F"/>
    <w:rsid w:val="008D5210"/>
    <w:rsid w:val="008D5344"/>
    <w:rsid w:val="008D5F8D"/>
    <w:rsid w:val="008D604A"/>
    <w:rsid w:val="008D6856"/>
    <w:rsid w:val="008D6A8A"/>
    <w:rsid w:val="008D7300"/>
    <w:rsid w:val="008D73B9"/>
    <w:rsid w:val="008D7539"/>
    <w:rsid w:val="008D75C0"/>
    <w:rsid w:val="008D7766"/>
    <w:rsid w:val="008D7781"/>
    <w:rsid w:val="008D7993"/>
    <w:rsid w:val="008D7E1D"/>
    <w:rsid w:val="008E0629"/>
    <w:rsid w:val="008E0712"/>
    <w:rsid w:val="008E1042"/>
    <w:rsid w:val="008E1597"/>
    <w:rsid w:val="008E1639"/>
    <w:rsid w:val="008E166F"/>
    <w:rsid w:val="008E1728"/>
    <w:rsid w:val="008E1947"/>
    <w:rsid w:val="008E1B0F"/>
    <w:rsid w:val="008E1BFE"/>
    <w:rsid w:val="008E1E1E"/>
    <w:rsid w:val="008E1FB7"/>
    <w:rsid w:val="008E2633"/>
    <w:rsid w:val="008E2886"/>
    <w:rsid w:val="008E297B"/>
    <w:rsid w:val="008E2A2F"/>
    <w:rsid w:val="008E2C50"/>
    <w:rsid w:val="008E2DA4"/>
    <w:rsid w:val="008E317F"/>
    <w:rsid w:val="008E33F2"/>
    <w:rsid w:val="008E383C"/>
    <w:rsid w:val="008E39CB"/>
    <w:rsid w:val="008E3B15"/>
    <w:rsid w:val="008E3B68"/>
    <w:rsid w:val="008E3F52"/>
    <w:rsid w:val="008E3F60"/>
    <w:rsid w:val="008E4337"/>
    <w:rsid w:val="008E4486"/>
    <w:rsid w:val="008E45CF"/>
    <w:rsid w:val="008E4931"/>
    <w:rsid w:val="008E4BBA"/>
    <w:rsid w:val="008E5027"/>
    <w:rsid w:val="008E54E5"/>
    <w:rsid w:val="008E55BA"/>
    <w:rsid w:val="008E5774"/>
    <w:rsid w:val="008E5A0A"/>
    <w:rsid w:val="008E5AEE"/>
    <w:rsid w:val="008E5E62"/>
    <w:rsid w:val="008E647B"/>
    <w:rsid w:val="008E658A"/>
    <w:rsid w:val="008E65BF"/>
    <w:rsid w:val="008E6748"/>
    <w:rsid w:val="008E68E1"/>
    <w:rsid w:val="008E6A62"/>
    <w:rsid w:val="008E6F8E"/>
    <w:rsid w:val="008E7245"/>
    <w:rsid w:val="008E7594"/>
    <w:rsid w:val="008E762B"/>
    <w:rsid w:val="008E7BA4"/>
    <w:rsid w:val="008E7FAF"/>
    <w:rsid w:val="008F05F2"/>
    <w:rsid w:val="008F07A3"/>
    <w:rsid w:val="008F09D1"/>
    <w:rsid w:val="008F0E4C"/>
    <w:rsid w:val="008F0EFE"/>
    <w:rsid w:val="008F0F45"/>
    <w:rsid w:val="008F1178"/>
    <w:rsid w:val="008F1928"/>
    <w:rsid w:val="008F2060"/>
    <w:rsid w:val="008F23D3"/>
    <w:rsid w:val="008F240C"/>
    <w:rsid w:val="008F2991"/>
    <w:rsid w:val="008F2A67"/>
    <w:rsid w:val="008F2D83"/>
    <w:rsid w:val="008F2E70"/>
    <w:rsid w:val="008F3733"/>
    <w:rsid w:val="008F38B1"/>
    <w:rsid w:val="008F3AA1"/>
    <w:rsid w:val="008F3D11"/>
    <w:rsid w:val="008F3F10"/>
    <w:rsid w:val="008F4264"/>
    <w:rsid w:val="008F4547"/>
    <w:rsid w:val="008F4631"/>
    <w:rsid w:val="008F46B4"/>
    <w:rsid w:val="008F4B6F"/>
    <w:rsid w:val="008F534A"/>
    <w:rsid w:val="008F5419"/>
    <w:rsid w:val="008F565E"/>
    <w:rsid w:val="008F571C"/>
    <w:rsid w:val="008F58B3"/>
    <w:rsid w:val="008F596B"/>
    <w:rsid w:val="008F5987"/>
    <w:rsid w:val="008F5AC7"/>
    <w:rsid w:val="008F5E03"/>
    <w:rsid w:val="008F6904"/>
    <w:rsid w:val="008F6921"/>
    <w:rsid w:val="008F6A91"/>
    <w:rsid w:val="008F6ECB"/>
    <w:rsid w:val="008F6F20"/>
    <w:rsid w:val="008F739F"/>
    <w:rsid w:val="008F7A28"/>
    <w:rsid w:val="008F7AD2"/>
    <w:rsid w:val="008F7C8F"/>
    <w:rsid w:val="008F7EA8"/>
    <w:rsid w:val="008F7FE3"/>
    <w:rsid w:val="00900082"/>
    <w:rsid w:val="00900133"/>
    <w:rsid w:val="009001C4"/>
    <w:rsid w:val="00900216"/>
    <w:rsid w:val="00900487"/>
    <w:rsid w:val="00900C40"/>
    <w:rsid w:val="00900CF9"/>
    <w:rsid w:val="00900DB6"/>
    <w:rsid w:val="009010C8"/>
    <w:rsid w:val="009011A9"/>
    <w:rsid w:val="009019F2"/>
    <w:rsid w:val="00902133"/>
    <w:rsid w:val="009025B7"/>
    <w:rsid w:val="009025F5"/>
    <w:rsid w:val="0090269C"/>
    <w:rsid w:val="00902A8E"/>
    <w:rsid w:val="00902D2A"/>
    <w:rsid w:val="00902F08"/>
    <w:rsid w:val="00902FE4"/>
    <w:rsid w:val="009030F8"/>
    <w:rsid w:val="00903335"/>
    <w:rsid w:val="00903418"/>
    <w:rsid w:val="00903513"/>
    <w:rsid w:val="009039C0"/>
    <w:rsid w:val="00903EE0"/>
    <w:rsid w:val="00904828"/>
    <w:rsid w:val="00904993"/>
    <w:rsid w:val="00904EBE"/>
    <w:rsid w:val="00905865"/>
    <w:rsid w:val="009058D2"/>
    <w:rsid w:val="00905A67"/>
    <w:rsid w:val="00905AD5"/>
    <w:rsid w:val="00905B06"/>
    <w:rsid w:val="00905B5C"/>
    <w:rsid w:val="00905C9A"/>
    <w:rsid w:val="009064BD"/>
    <w:rsid w:val="00906636"/>
    <w:rsid w:val="0090687E"/>
    <w:rsid w:val="00906E7B"/>
    <w:rsid w:val="00907221"/>
    <w:rsid w:val="00907273"/>
    <w:rsid w:val="00907543"/>
    <w:rsid w:val="00907607"/>
    <w:rsid w:val="00907720"/>
    <w:rsid w:val="0090793A"/>
    <w:rsid w:val="00907958"/>
    <w:rsid w:val="009079FD"/>
    <w:rsid w:val="00910ABE"/>
    <w:rsid w:val="00910EA2"/>
    <w:rsid w:val="0091104F"/>
    <w:rsid w:val="009110A8"/>
    <w:rsid w:val="009112D2"/>
    <w:rsid w:val="009114AA"/>
    <w:rsid w:val="009115FC"/>
    <w:rsid w:val="009116A2"/>
    <w:rsid w:val="00911AE5"/>
    <w:rsid w:val="00911C24"/>
    <w:rsid w:val="00911C3F"/>
    <w:rsid w:val="00911E57"/>
    <w:rsid w:val="00912429"/>
    <w:rsid w:val="0091260B"/>
    <w:rsid w:val="009127D0"/>
    <w:rsid w:val="009128D1"/>
    <w:rsid w:val="00912A56"/>
    <w:rsid w:val="00913402"/>
    <w:rsid w:val="0091386B"/>
    <w:rsid w:val="00913EAD"/>
    <w:rsid w:val="009141B2"/>
    <w:rsid w:val="009143CA"/>
    <w:rsid w:val="00914536"/>
    <w:rsid w:val="00914619"/>
    <w:rsid w:val="00914636"/>
    <w:rsid w:val="00914679"/>
    <w:rsid w:val="0091493A"/>
    <w:rsid w:val="00914A27"/>
    <w:rsid w:val="00914BB4"/>
    <w:rsid w:val="00914D46"/>
    <w:rsid w:val="00914FDD"/>
    <w:rsid w:val="00915083"/>
    <w:rsid w:val="00915267"/>
    <w:rsid w:val="00915295"/>
    <w:rsid w:val="009153D1"/>
    <w:rsid w:val="00915676"/>
    <w:rsid w:val="00915CB8"/>
    <w:rsid w:val="00915CF1"/>
    <w:rsid w:val="00915D28"/>
    <w:rsid w:val="00915DC4"/>
    <w:rsid w:val="00916059"/>
    <w:rsid w:val="00916183"/>
    <w:rsid w:val="009161D7"/>
    <w:rsid w:val="009164CB"/>
    <w:rsid w:val="00916662"/>
    <w:rsid w:val="00916C26"/>
    <w:rsid w:val="00917148"/>
    <w:rsid w:val="009173DB"/>
    <w:rsid w:val="009173F7"/>
    <w:rsid w:val="0091766B"/>
    <w:rsid w:val="00917A69"/>
    <w:rsid w:val="00917C70"/>
    <w:rsid w:val="00917E4D"/>
    <w:rsid w:val="00920078"/>
    <w:rsid w:val="009200E9"/>
    <w:rsid w:val="009201F5"/>
    <w:rsid w:val="0092059B"/>
    <w:rsid w:val="00920DE4"/>
    <w:rsid w:val="00920E33"/>
    <w:rsid w:val="00920EA7"/>
    <w:rsid w:val="009210EA"/>
    <w:rsid w:val="00921116"/>
    <w:rsid w:val="00921548"/>
    <w:rsid w:val="009217C5"/>
    <w:rsid w:val="00921BB7"/>
    <w:rsid w:val="009223E0"/>
    <w:rsid w:val="00922B12"/>
    <w:rsid w:val="00922B35"/>
    <w:rsid w:val="00923092"/>
    <w:rsid w:val="0092334E"/>
    <w:rsid w:val="0092345C"/>
    <w:rsid w:val="00923913"/>
    <w:rsid w:val="00923F16"/>
    <w:rsid w:val="00924480"/>
    <w:rsid w:val="009244C6"/>
    <w:rsid w:val="009247F2"/>
    <w:rsid w:val="00924E05"/>
    <w:rsid w:val="00924E3A"/>
    <w:rsid w:val="00924EB8"/>
    <w:rsid w:val="00925420"/>
    <w:rsid w:val="0092550A"/>
    <w:rsid w:val="00925C26"/>
    <w:rsid w:val="00925D16"/>
    <w:rsid w:val="00926557"/>
    <w:rsid w:val="009265D6"/>
    <w:rsid w:val="009266DD"/>
    <w:rsid w:val="00926816"/>
    <w:rsid w:val="00926B8E"/>
    <w:rsid w:val="00926D07"/>
    <w:rsid w:val="00926EE5"/>
    <w:rsid w:val="0092715C"/>
    <w:rsid w:val="009271AD"/>
    <w:rsid w:val="00927D33"/>
    <w:rsid w:val="00927D4E"/>
    <w:rsid w:val="00927DAD"/>
    <w:rsid w:val="00927E75"/>
    <w:rsid w:val="00927F27"/>
    <w:rsid w:val="00930178"/>
    <w:rsid w:val="009302A0"/>
    <w:rsid w:val="009303F5"/>
    <w:rsid w:val="009306A8"/>
    <w:rsid w:val="0093073D"/>
    <w:rsid w:val="00930B95"/>
    <w:rsid w:val="00930BF7"/>
    <w:rsid w:val="00930D02"/>
    <w:rsid w:val="00930D9A"/>
    <w:rsid w:val="009315BB"/>
    <w:rsid w:val="009315F6"/>
    <w:rsid w:val="009318CA"/>
    <w:rsid w:val="00931C10"/>
    <w:rsid w:val="00931FB7"/>
    <w:rsid w:val="0093224D"/>
    <w:rsid w:val="009323DB"/>
    <w:rsid w:val="00932402"/>
    <w:rsid w:val="0093248E"/>
    <w:rsid w:val="00932817"/>
    <w:rsid w:val="00932822"/>
    <w:rsid w:val="0093295E"/>
    <w:rsid w:val="00932CCF"/>
    <w:rsid w:val="00932D89"/>
    <w:rsid w:val="00933377"/>
    <w:rsid w:val="0093339C"/>
    <w:rsid w:val="009335F8"/>
    <w:rsid w:val="0093382A"/>
    <w:rsid w:val="00933A18"/>
    <w:rsid w:val="00933B6D"/>
    <w:rsid w:val="00933C94"/>
    <w:rsid w:val="00933F22"/>
    <w:rsid w:val="00934017"/>
    <w:rsid w:val="0093405B"/>
    <w:rsid w:val="0093406B"/>
    <w:rsid w:val="0093440E"/>
    <w:rsid w:val="00934A12"/>
    <w:rsid w:val="00934F54"/>
    <w:rsid w:val="009351A6"/>
    <w:rsid w:val="0093531E"/>
    <w:rsid w:val="00935385"/>
    <w:rsid w:val="0093544F"/>
    <w:rsid w:val="0093559E"/>
    <w:rsid w:val="00935694"/>
    <w:rsid w:val="0093570B"/>
    <w:rsid w:val="009358A9"/>
    <w:rsid w:val="00935BAB"/>
    <w:rsid w:val="00935DBD"/>
    <w:rsid w:val="00936277"/>
    <w:rsid w:val="009362FA"/>
    <w:rsid w:val="009364C5"/>
    <w:rsid w:val="00936840"/>
    <w:rsid w:val="009369A5"/>
    <w:rsid w:val="00936AB8"/>
    <w:rsid w:val="00936C14"/>
    <w:rsid w:val="00937027"/>
    <w:rsid w:val="0093717A"/>
    <w:rsid w:val="00937274"/>
    <w:rsid w:val="00937431"/>
    <w:rsid w:val="0093771E"/>
    <w:rsid w:val="009403E7"/>
    <w:rsid w:val="00940425"/>
    <w:rsid w:val="009406DC"/>
    <w:rsid w:val="00940750"/>
    <w:rsid w:val="009407C1"/>
    <w:rsid w:val="0094089F"/>
    <w:rsid w:val="00940AF3"/>
    <w:rsid w:val="009411CB"/>
    <w:rsid w:val="00941A0E"/>
    <w:rsid w:val="00941C5E"/>
    <w:rsid w:val="00941DB7"/>
    <w:rsid w:val="00941DFF"/>
    <w:rsid w:val="00942BCE"/>
    <w:rsid w:val="009431CE"/>
    <w:rsid w:val="00943331"/>
    <w:rsid w:val="00943891"/>
    <w:rsid w:val="009438EB"/>
    <w:rsid w:val="009439AD"/>
    <w:rsid w:val="00943F6C"/>
    <w:rsid w:val="0094405A"/>
    <w:rsid w:val="009442C7"/>
    <w:rsid w:val="00944372"/>
    <w:rsid w:val="00944385"/>
    <w:rsid w:val="00944419"/>
    <w:rsid w:val="009453E4"/>
    <w:rsid w:val="00945A01"/>
    <w:rsid w:val="00945AC5"/>
    <w:rsid w:val="00945DBA"/>
    <w:rsid w:val="00946037"/>
    <w:rsid w:val="009460FF"/>
    <w:rsid w:val="00946420"/>
    <w:rsid w:val="00946581"/>
    <w:rsid w:val="00946D6B"/>
    <w:rsid w:val="00947070"/>
    <w:rsid w:val="00947700"/>
    <w:rsid w:val="00947AF5"/>
    <w:rsid w:val="00947B07"/>
    <w:rsid w:val="00947B65"/>
    <w:rsid w:val="00947C73"/>
    <w:rsid w:val="00947E79"/>
    <w:rsid w:val="00950127"/>
    <w:rsid w:val="00950179"/>
    <w:rsid w:val="00950B3B"/>
    <w:rsid w:val="00950DCB"/>
    <w:rsid w:val="00951049"/>
    <w:rsid w:val="009514AA"/>
    <w:rsid w:val="00951B21"/>
    <w:rsid w:val="00951B4F"/>
    <w:rsid w:val="00951BC6"/>
    <w:rsid w:val="00951E21"/>
    <w:rsid w:val="00952378"/>
    <w:rsid w:val="00952428"/>
    <w:rsid w:val="00952449"/>
    <w:rsid w:val="00952466"/>
    <w:rsid w:val="009526B9"/>
    <w:rsid w:val="00952BD6"/>
    <w:rsid w:val="00952C3D"/>
    <w:rsid w:val="00952C66"/>
    <w:rsid w:val="00952E47"/>
    <w:rsid w:val="00952FF1"/>
    <w:rsid w:val="00953397"/>
    <w:rsid w:val="0095382D"/>
    <w:rsid w:val="00953876"/>
    <w:rsid w:val="00953877"/>
    <w:rsid w:val="00953A91"/>
    <w:rsid w:val="00953E16"/>
    <w:rsid w:val="009542D8"/>
    <w:rsid w:val="009542FF"/>
    <w:rsid w:val="009543E5"/>
    <w:rsid w:val="00954409"/>
    <w:rsid w:val="009544EB"/>
    <w:rsid w:val="009550FA"/>
    <w:rsid w:val="0095579A"/>
    <w:rsid w:val="00955913"/>
    <w:rsid w:val="009559A9"/>
    <w:rsid w:val="00956022"/>
    <w:rsid w:val="009561BB"/>
    <w:rsid w:val="009566EB"/>
    <w:rsid w:val="00956745"/>
    <w:rsid w:val="00956A70"/>
    <w:rsid w:val="00956D4B"/>
    <w:rsid w:val="00957143"/>
    <w:rsid w:val="0095733E"/>
    <w:rsid w:val="009573A0"/>
    <w:rsid w:val="00957502"/>
    <w:rsid w:val="009578C9"/>
    <w:rsid w:val="00957DFF"/>
    <w:rsid w:val="00960275"/>
    <w:rsid w:val="009602A7"/>
    <w:rsid w:val="009602E4"/>
    <w:rsid w:val="009603A1"/>
    <w:rsid w:val="00960704"/>
    <w:rsid w:val="00960982"/>
    <w:rsid w:val="00960E21"/>
    <w:rsid w:val="0096118D"/>
    <w:rsid w:val="00961705"/>
    <w:rsid w:val="009617E4"/>
    <w:rsid w:val="00961A04"/>
    <w:rsid w:val="00962049"/>
    <w:rsid w:val="009624C9"/>
    <w:rsid w:val="00962611"/>
    <w:rsid w:val="00962944"/>
    <w:rsid w:val="00963148"/>
    <w:rsid w:val="00963583"/>
    <w:rsid w:val="009637EB"/>
    <w:rsid w:val="00963959"/>
    <w:rsid w:val="00963CF6"/>
    <w:rsid w:val="00964149"/>
    <w:rsid w:val="009645C7"/>
    <w:rsid w:val="00964647"/>
    <w:rsid w:val="00964D8D"/>
    <w:rsid w:val="00964F5C"/>
    <w:rsid w:val="00965053"/>
    <w:rsid w:val="009652EC"/>
    <w:rsid w:val="009655AC"/>
    <w:rsid w:val="009658BF"/>
    <w:rsid w:val="00965B93"/>
    <w:rsid w:val="00965CA3"/>
    <w:rsid w:val="00965CC0"/>
    <w:rsid w:val="00965D03"/>
    <w:rsid w:val="0096659C"/>
    <w:rsid w:val="009666A5"/>
    <w:rsid w:val="0096672B"/>
    <w:rsid w:val="00966B48"/>
    <w:rsid w:val="009676D0"/>
    <w:rsid w:val="00967B7F"/>
    <w:rsid w:val="00970146"/>
    <w:rsid w:val="009703BD"/>
    <w:rsid w:val="009705A7"/>
    <w:rsid w:val="009708EF"/>
    <w:rsid w:val="00970DCF"/>
    <w:rsid w:val="00970EC1"/>
    <w:rsid w:val="00970FDF"/>
    <w:rsid w:val="0097116C"/>
    <w:rsid w:val="0097165C"/>
    <w:rsid w:val="009718E2"/>
    <w:rsid w:val="0097195A"/>
    <w:rsid w:val="00971A8C"/>
    <w:rsid w:val="009720DC"/>
    <w:rsid w:val="00972655"/>
    <w:rsid w:val="00972712"/>
    <w:rsid w:val="00972780"/>
    <w:rsid w:val="00972942"/>
    <w:rsid w:val="00972B4F"/>
    <w:rsid w:val="00972CCB"/>
    <w:rsid w:val="00972E2A"/>
    <w:rsid w:val="0097334C"/>
    <w:rsid w:val="00973966"/>
    <w:rsid w:val="00973A5C"/>
    <w:rsid w:val="0097447C"/>
    <w:rsid w:val="009744CE"/>
    <w:rsid w:val="00974600"/>
    <w:rsid w:val="009746F2"/>
    <w:rsid w:val="0097497A"/>
    <w:rsid w:val="00975091"/>
    <w:rsid w:val="0097537D"/>
    <w:rsid w:val="009755F8"/>
    <w:rsid w:val="009756F3"/>
    <w:rsid w:val="009759FC"/>
    <w:rsid w:val="00975DF7"/>
    <w:rsid w:val="00975FEC"/>
    <w:rsid w:val="0097657E"/>
    <w:rsid w:val="009765C5"/>
    <w:rsid w:val="00976716"/>
    <w:rsid w:val="0097680B"/>
    <w:rsid w:val="00976AB2"/>
    <w:rsid w:val="00976ADF"/>
    <w:rsid w:val="00976B70"/>
    <w:rsid w:val="00976DE1"/>
    <w:rsid w:val="0097700C"/>
    <w:rsid w:val="009770A4"/>
    <w:rsid w:val="009772D7"/>
    <w:rsid w:val="00977AAB"/>
    <w:rsid w:val="00977CF1"/>
    <w:rsid w:val="00980416"/>
    <w:rsid w:val="009806B0"/>
    <w:rsid w:val="009806ED"/>
    <w:rsid w:val="0098092D"/>
    <w:rsid w:val="00980967"/>
    <w:rsid w:val="00980A9E"/>
    <w:rsid w:val="00980BC2"/>
    <w:rsid w:val="009810B1"/>
    <w:rsid w:val="009814A1"/>
    <w:rsid w:val="0098151F"/>
    <w:rsid w:val="009816A8"/>
    <w:rsid w:val="009816E7"/>
    <w:rsid w:val="0098193C"/>
    <w:rsid w:val="009819AD"/>
    <w:rsid w:val="009819D7"/>
    <w:rsid w:val="00981EB7"/>
    <w:rsid w:val="0098253D"/>
    <w:rsid w:val="00982A59"/>
    <w:rsid w:val="00982A9E"/>
    <w:rsid w:val="00982C08"/>
    <w:rsid w:val="00982FF2"/>
    <w:rsid w:val="0098345C"/>
    <w:rsid w:val="009835B4"/>
    <w:rsid w:val="009836FA"/>
    <w:rsid w:val="009837ED"/>
    <w:rsid w:val="00983D85"/>
    <w:rsid w:val="00983EEA"/>
    <w:rsid w:val="00984282"/>
    <w:rsid w:val="009844EC"/>
    <w:rsid w:val="00984522"/>
    <w:rsid w:val="009846EE"/>
    <w:rsid w:val="00984ABF"/>
    <w:rsid w:val="00984D85"/>
    <w:rsid w:val="00984FC0"/>
    <w:rsid w:val="009851FC"/>
    <w:rsid w:val="00985306"/>
    <w:rsid w:val="009853EE"/>
    <w:rsid w:val="009855A7"/>
    <w:rsid w:val="00985758"/>
    <w:rsid w:val="00985908"/>
    <w:rsid w:val="00985A9F"/>
    <w:rsid w:val="00986112"/>
    <w:rsid w:val="0098614F"/>
    <w:rsid w:val="009862CF"/>
    <w:rsid w:val="0098679B"/>
    <w:rsid w:val="009868F2"/>
    <w:rsid w:val="00986F4D"/>
    <w:rsid w:val="00986F98"/>
    <w:rsid w:val="0098702F"/>
    <w:rsid w:val="009872F6"/>
    <w:rsid w:val="00987352"/>
    <w:rsid w:val="009873BB"/>
    <w:rsid w:val="00987478"/>
    <w:rsid w:val="00987479"/>
    <w:rsid w:val="009878CD"/>
    <w:rsid w:val="00987A61"/>
    <w:rsid w:val="00987BE9"/>
    <w:rsid w:val="00987D4D"/>
    <w:rsid w:val="00990072"/>
    <w:rsid w:val="009901FC"/>
    <w:rsid w:val="0099063C"/>
    <w:rsid w:val="00990A86"/>
    <w:rsid w:val="00990BA7"/>
    <w:rsid w:val="00990BDC"/>
    <w:rsid w:val="00990C9F"/>
    <w:rsid w:val="009910E8"/>
    <w:rsid w:val="00991445"/>
    <w:rsid w:val="00991611"/>
    <w:rsid w:val="00991AA5"/>
    <w:rsid w:val="00991BC2"/>
    <w:rsid w:val="00991FB2"/>
    <w:rsid w:val="009923D8"/>
    <w:rsid w:val="0099247E"/>
    <w:rsid w:val="00992DAB"/>
    <w:rsid w:val="00992DAC"/>
    <w:rsid w:val="00992F53"/>
    <w:rsid w:val="0099318F"/>
    <w:rsid w:val="009932CF"/>
    <w:rsid w:val="00993313"/>
    <w:rsid w:val="009941BA"/>
    <w:rsid w:val="00994311"/>
    <w:rsid w:val="009943F1"/>
    <w:rsid w:val="009948BB"/>
    <w:rsid w:val="00994BEA"/>
    <w:rsid w:val="00994F72"/>
    <w:rsid w:val="00994FF0"/>
    <w:rsid w:val="00995224"/>
    <w:rsid w:val="00995443"/>
    <w:rsid w:val="00995503"/>
    <w:rsid w:val="0099570E"/>
    <w:rsid w:val="00995A09"/>
    <w:rsid w:val="00995F18"/>
    <w:rsid w:val="009963B2"/>
    <w:rsid w:val="0099683B"/>
    <w:rsid w:val="00996A29"/>
    <w:rsid w:val="00996B70"/>
    <w:rsid w:val="00996BBA"/>
    <w:rsid w:val="00996D05"/>
    <w:rsid w:val="00996DEE"/>
    <w:rsid w:val="00996F5A"/>
    <w:rsid w:val="00996F6E"/>
    <w:rsid w:val="00997024"/>
    <w:rsid w:val="009975BC"/>
    <w:rsid w:val="009978C0"/>
    <w:rsid w:val="00997F2C"/>
    <w:rsid w:val="00997FF9"/>
    <w:rsid w:val="009A0267"/>
    <w:rsid w:val="009A0387"/>
    <w:rsid w:val="009A05AA"/>
    <w:rsid w:val="009A06B1"/>
    <w:rsid w:val="009A083C"/>
    <w:rsid w:val="009A0B2F"/>
    <w:rsid w:val="009A0BAE"/>
    <w:rsid w:val="009A0C7B"/>
    <w:rsid w:val="009A0D09"/>
    <w:rsid w:val="009A0F2F"/>
    <w:rsid w:val="009A1120"/>
    <w:rsid w:val="009A1429"/>
    <w:rsid w:val="009A188C"/>
    <w:rsid w:val="009A1CEF"/>
    <w:rsid w:val="009A1E81"/>
    <w:rsid w:val="009A1F66"/>
    <w:rsid w:val="009A214F"/>
    <w:rsid w:val="009A235C"/>
    <w:rsid w:val="009A2494"/>
    <w:rsid w:val="009A2762"/>
    <w:rsid w:val="009A2896"/>
    <w:rsid w:val="009A2A02"/>
    <w:rsid w:val="009A2BF1"/>
    <w:rsid w:val="009A2CC8"/>
    <w:rsid w:val="009A2D36"/>
    <w:rsid w:val="009A36EA"/>
    <w:rsid w:val="009A39A4"/>
    <w:rsid w:val="009A3ACE"/>
    <w:rsid w:val="009A3C46"/>
    <w:rsid w:val="009A3E96"/>
    <w:rsid w:val="009A3FA5"/>
    <w:rsid w:val="009A4021"/>
    <w:rsid w:val="009A44B1"/>
    <w:rsid w:val="009A4544"/>
    <w:rsid w:val="009A4AF5"/>
    <w:rsid w:val="009A56EF"/>
    <w:rsid w:val="009A5713"/>
    <w:rsid w:val="009A579C"/>
    <w:rsid w:val="009A5A2A"/>
    <w:rsid w:val="009A5B87"/>
    <w:rsid w:val="009A5C42"/>
    <w:rsid w:val="009A62EE"/>
    <w:rsid w:val="009A6429"/>
    <w:rsid w:val="009A6439"/>
    <w:rsid w:val="009A66F4"/>
    <w:rsid w:val="009A6A19"/>
    <w:rsid w:val="009A6B49"/>
    <w:rsid w:val="009A6E3E"/>
    <w:rsid w:val="009A6FC9"/>
    <w:rsid w:val="009A70A4"/>
    <w:rsid w:val="009A7786"/>
    <w:rsid w:val="009A7A8B"/>
    <w:rsid w:val="009B0564"/>
    <w:rsid w:val="009B06B3"/>
    <w:rsid w:val="009B11F5"/>
    <w:rsid w:val="009B1BB9"/>
    <w:rsid w:val="009B1C26"/>
    <w:rsid w:val="009B1C99"/>
    <w:rsid w:val="009B1CCF"/>
    <w:rsid w:val="009B1F1A"/>
    <w:rsid w:val="009B24A0"/>
    <w:rsid w:val="009B2934"/>
    <w:rsid w:val="009B29FD"/>
    <w:rsid w:val="009B2CEF"/>
    <w:rsid w:val="009B38D0"/>
    <w:rsid w:val="009B3917"/>
    <w:rsid w:val="009B3C51"/>
    <w:rsid w:val="009B4018"/>
    <w:rsid w:val="009B416B"/>
    <w:rsid w:val="009B423D"/>
    <w:rsid w:val="009B43EF"/>
    <w:rsid w:val="009B45CD"/>
    <w:rsid w:val="009B4727"/>
    <w:rsid w:val="009B48DA"/>
    <w:rsid w:val="009B4A75"/>
    <w:rsid w:val="009B4B7E"/>
    <w:rsid w:val="009B4CE3"/>
    <w:rsid w:val="009B4CE9"/>
    <w:rsid w:val="009B4DF1"/>
    <w:rsid w:val="009B50D3"/>
    <w:rsid w:val="009B5164"/>
    <w:rsid w:val="009B53CF"/>
    <w:rsid w:val="009B544B"/>
    <w:rsid w:val="009B5BD2"/>
    <w:rsid w:val="009B5FE9"/>
    <w:rsid w:val="009B6249"/>
    <w:rsid w:val="009B643A"/>
    <w:rsid w:val="009B674F"/>
    <w:rsid w:val="009B6A91"/>
    <w:rsid w:val="009B6BC9"/>
    <w:rsid w:val="009B6BD6"/>
    <w:rsid w:val="009B6C7E"/>
    <w:rsid w:val="009B6FDE"/>
    <w:rsid w:val="009B7068"/>
    <w:rsid w:val="009B7172"/>
    <w:rsid w:val="009B7243"/>
    <w:rsid w:val="009B78C0"/>
    <w:rsid w:val="009B7C23"/>
    <w:rsid w:val="009B7D11"/>
    <w:rsid w:val="009B7F32"/>
    <w:rsid w:val="009C004A"/>
    <w:rsid w:val="009C011B"/>
    <w:rsid w:val="009C01DF"/>
    <w:rsid w:val="009C02EF"/>
    <w:rsid w:val="009C0F83"/>
    <w:rsid w:val="009C19C4"/>
    <w:rsid w:val="009C19EE"/>
    <w:rsid w:val="009C1D76"/>
    <w:rsid w:val="009C1EE3"/>
    <w:rsid w:val="009C237D"/>
    <w:rsid w:val="009C27A8"/>
    <w:rsid w:val="009C2F56"/>
    <w:rsid w:val="009C30D3"/>
    <w:rsid w:val="009C3164"/>
    <w:rsid w:val="009C3685"/>
    <w:rsid w:val="009C3707"/>
    <w:rsid w:val="009C3941"/>
    <w:rsid w:val="009C3C13"/>
    <w:rsid w:val="009C3D08"/>
    <w:rsid w:val="009C3DB5"/>
    <w:rsid w:val="009C3F22"/>
    <w:rsid w:val="009C3F89"/>
    <w:rsid w:val="009C4267"/>
    <w:rsid w:val="009C4551"/>
    <w:rsid w:val="009C4877"/>
    <w:rsid w:val="009C52E9"/>
    <w:rsid w:val="009C565C"/>
    <w:rsid w:val="009C5AEC"/>
    <w:rsid w:val="009C5E92"/>
    <w:rsid w:val="009C66ED"/>
    <w:rsid w:val="009C6A74"/>
    <w:rsid w:val="009C6C65"/>
    <w:rsid w:val="009C6D55"/>
    <w:rsid w:val="009C6DD9"/>
    <w:rsid w:val="009C6E55"/>
    <w:rsid w:val="009C6F08"/>
    <w:rsid w:val="009C6F7F"/>
    <w:rsid w:val="009C75BC"/>
    <w:rsid w:val="009C7894"/>
    <w:rsid w:val="009C79FE"/>
    <w:rsid w:val="009C7C28"/>
    <w:rsid w:val="009C7C8C"/>
    <w:rsid w:val="009C7CBD"/>
    <w:rsid w:val="009C7DF1"/>
    <w:rsid w:val="009C7DF7"/>
    <w:rsid w:val="009C7EB1"/>
    <w:rsid w:val="009D090E"/>
    <w:rsid w:val="009D0926"/>
    <w:rsid w:val="009D099B"/>
    <w:rsid w:val="009D0A05"/>
    <w:rsid w:val="009D0B9A"/>
    <w:rsid w:val="009D0C18"/>
    <w:rsid w:val="009D0C84"/>
    <w:rsid w:val="009D0DC8"/>
    <w:rsid w:val="009D1259"/>
    <w:rsid w:val="009D15D2"/>
    <w:rsid w:val="009D190B"/>
    <w:rsid w:val="009D252F"/>
    <w:rsid w:val="009D2961"/>
    <w:rsid w:val="009D2B65"/>
    <w:rsid w:val="009D3319"/>
    <w:rsid w:val="009D34F2"/>
    <w:rsid w:val="009D3571"/>
    <w:rsid w:val="009D3758"/>
    <w:rsid w:val="009D3769"/>
    <w:rsid w:val="009D37DE"/>
    <w:rsid w:val="009D3DBD"/>
    <w:rsid w:val="009D3F5D"/>
    <w:rsid w:val="009D40D9"/>
    <w:rsid w:val="009D412C"/>
    <w:rsid w:val="009D4820"/>
    <w:rsid w:val="009D4951"/>
    <w:rsid w:val="009D49E8"/>
    <w:rsid w:val="009D4A50"/>
    <w:rsid w:val="009D5417"/>
    <w:rsid w:val="009D5779"/>
    <w:rsid w:val="009D5DF3"/>
    <w:rsid w:val="009D60CD"/>
    <w:rsid w:val="009D62E2"/>
    <w:rsid w:val="009D6638"/>
    <w:rsid w:val="009D6A02"/>
    <w:rsid w:val="009D6E68"/>
    <w:rsid w:val="009D6F57"/>
    <w:rsid w:val="009D712F"/>
    <w:rsid w:val="009D72FA"/>
    <w:rsid w:val="009D7603"/>
    <w:rsid w:val="009D77F8"/>
    <w:rsid w:val="009E02A0"/>
    <w:rsid w:val="009E03CE"/>
    <w:rsid w:val="009E081D"/>
    <w:rsid w:val="009E0AAA"/>
    <w:rsid w:val="009E0D49"/>
    <w:rsid w:val="009E139E"/>
    <w:rsid w:val="009E1566"/>
    <w:rsid w:val="009E178B"/>
    <w:rsid w:val="009E188F"/>
    <w:rsid w:val="009E196B"/>
    <w:rsid w:val="009E1A35"/>
    <w:rsid w:val="009E1C43"/>
    <w:rsid w:val="009E1FE6"/>
    <w:rsid w:val="009E21CB"/>
    <w:rsid w:val="009E2239"/>
    <w:rsid w:val="009E246A"/>
    <w:rsid w:val="009E2543"/>
    <w:rsid w:val="009E25B0"/>
    <w:rsid w:val="009E25F9"/>
    <w:rsid w:val="009E26CF"/>
    <w:rsid w:val="009E2832"/>
    <w:rsid w:val="009E2891"/>
    <w:rsid w:val="009E2F17"/>
    <w:rsid w:val="009E2F23"/>
    <w:rsid w:val="009E2F6F"/>
    <w:rsid w:val="009E309B"/>
    <w:rsid w:val="009E342C"/>
    <w:rsid w:val="009E3488"/>
    <w:rsid w:val="009E3495"/>
    <w:rsid w:val="009E3772"/>
    <w:rsid w:val="009E381A"/>
    <w:rsid w:val="009E38C1"/>
    <w:rsid w:val="009E38E3"/>
    <w:rsid w:val="009E3C5C"/>
    <w:rsid w:val="009E3EEC"/>
    <w:rsid w:val="009E401D"/>
    <w:rsid w:val="009E4487"/>
    <w:rsid w:val="009E45F4"/>
    <w:rsid w:val="009E4D70"/>
    <w:rsid w:val="009E4E71"/>
    <w:rsid w:val="009E5048"/>
    <w:rsid w:val="009E568D"/>
    <w:rsid w:val="009E5964"/>
    <w:rsid w:val="009E5DD2"/>
    <w:rsid w:val="009E60E3"/>
    <w:rsid w:val="009E6136"/>
    <w:rsid w:val="009E62C7"/>
    <w:rsid w:val="009E63EF"/>
    <w:rsid w:val="009E6724"/>
    <w:rsid w:val="009E6756"/>
    <w:rsid w:val="009E6780"/>
    <w:rsid w:val="009E6A89"/>
    <w:rsid w:val="009E6B6D"/>
    <w:rsid w:val="009E6E8D"/>
    <w:rsid w:val="009E747B"/>
    <w:rsid w:val="009E7672"/>
    <w:rsid w:val="009E7AB5"/>
    <w:rsid w:val="009E7EC3"/>
    <w:rsid w:val="009F0413"/>
    <w:rsid w:val="009F0472"/>
    <w:rsid w:val="009F072B"/>
    <w:rsid w:val="009F0984"/>
    <w:rsid w:val="009F0AFC"/>
    <w:rsid w:val="009F0D45"/>
    <w:rsid w:val="009F0DC1"/>
    <w:rsid w:val="009F0EB3"/>
    <w:rsid w:val="009F0FED"/>
    <w:rsid w:val="009F14E5"/>
    <w:rsid w:val="009F16A9"/>
    <w:rsid w:val="009F17F5"/>
    <w:rsid w:val="009F1A6D"/>
    <w:rsid w:val="009F1BEA"/>
    <w:rsid w:val="009F1D44"/>
    <w:rsid w:val="009F1D8B"/>
    <w:rsid w:val="009F1F10"/>
    <w:rsid w:val="009F23E0"/>
    <w:rsid w:val="009F2550"/>
    <w:rsid w:val="009F26D8"/>
    <w:rsid w:val="009F2870"/>
    <w:rsid w:val="009F2AA9"/>
    <w:rsid w:val="009F2B4C"/>
    <w:rsid w:val="009F302C"/>
    <w:rsid w:val="009F31C7"/>
    <w:rsid w:val="009F326B"/>
    <w:rsid w:val="009F35AC"/>
    <w:rsid w:val="009F370F"/>
    <w:rsid w:val="009F3C52"/>
    <w:rsid w:val="009F3C95"/>
    <w:rsid w:val="009F3D1B"/>
    <w:rsid w:val="009F400A"/>
    <w:rsid w:val="009F404C"/>
    <w:rsid w:val="009F451E"/>
    <w:rsid w:val="009F46C4"/>
    <w:rsid w:val="009F4874"/>
    <w:rsid w:val="009F4879"/>
    <w:rsid w:val="009F4A54"/>
    <w:rsid w:val="009F4BB8"/>
    <w:rsid w:val="009F4D75"/>
    <w:rsid w:val="009F4EB8"/>
    <w:rsid w:val="009F4F2E"/>
    <w:rsid w:val="009F4F84"/>
    <w:rsid w:val="009F5139"/>
    <w:rsid w:val="009F515B"/>
    <w:rsid w:val="009F5278"/>
    <w:rsid w:val="009F52E1"/>
    <w:rsid w:val="009F5C14"/>
    <w:rsid w:val="009F6282"/>
    <w:rsid w:val="009F644F"/>
    <w:rsid w:val="009F6486"/>
    <w:rsid w:val="009F6587"/>
    <w:rsid w:val="009F662A"/>
    <w:rsid w:val="009F671E"/>
    <w:rsid w:val="009F6877"/>
    <w:rsid w:val="009F6FDA"/>
    <w:rsid w:val="009F72BB"/>
    <w:rsid w:val="009F73F7"/>
    <w:rsid w:val="009F75CB"/>
    <w:rsid w:val="009F777D"/>
    <w:rsid w:val="009F787E"/>
    <w:rsid w:val="009F78CB"/>
    <w:rsid w:val="009F7B79"/>
    <w:rsid w:val="009F7C94"/>
    <w:rsid w:val="00A0035C"/>
    <w:rsid w:val="00A00F10"/>
    <w:rsid w:val="00A00F3C"/>
    <w:rsid w:val="00A00FFA"/>
    <w:rsid w:val="00A011E5"/>
    <w:rsid w:val="00A0144A"/>
    <w:rsid w:val="00A01BA5"/>
    <w:rsid w:val="00A01F1A"/>
    <w:rsid w:val="00A02145"/>
    <w:rsid w:val="00A021B9"/>
    <w:rsid w:val="00A02ABD"/>
    <w:rsid w:val="00A02AD6"/>
    <w:rsid w:val="00A02F46"/>
    <w:rsid w:val="00A03437"/>
    <w:rsid w:val="00A0353E"/>
    <w:rsid w:val="00A036BE"/>
    <w:rsid w:val="00A037D5"/>
    <w:rsid w:val="00A039D1"/>
    <w:rsid w:val="00A04442"/>
    <w:rsid w:val="00A04502"/>
    <w:rsid w:val="00A0479F"/>
    <w:rsid w:val="00A04BDB"/>
    <w:rsid w:val="00A04CF4"/>
    <w:rsid w:val="00A04F8C"/>
    <w:rsid w:val="00A05198"/>
    <w:rsid w:val="00A051F3"/>
    <w:rsid w:val="00A05463"/>
    <w:rsid w:val="00A054C6"/>
    <w:rsid w:val="00A054D1"/>
    <w:rsid w:val="00A0558C"/>
    <w:rsid w:val="00A0565E"/>
    <w:rsid w:val="00A05840"/>
    <w:rsid w:val="00A05B1B"/>
    <w:rsid w:val="00A05D1E"/>
    <w:rsid w:val="00A05F99"/>
    <w:rsid w:val="00A064C3"/>
    <w:rsid w:val="00A06615"/>
    <w:rsid w:val="00A0692A"/>
    <w:rsid w:val="00A06BBB"/>
    <w:rsid w:val="00A06CE2"/>
    <w:rsid w:val="00A06CFF"/>
    <w:rsid w:val="00A078B8"/>
    <w:rsid w:val="00A07F3D"/>
    <w:rsid w:val="00A100F6"/>
    <w:rsid w:val="00A101BE"/>
    <w:rsid w:val="00A1068C"/>
    <w:rsid w:val="00A108CE"/>
    <w:rsid w:val="00A10968"/>
    <w:rsid w:val="00A109AC"/>
    <w:rsid w:val="00A109F0"/>
    <w:rsid w:val="00A10ACA"/>
    <w:rsid w:val="00A10D58"/>
    <w:rsid w:val="00A10FB4"/>
    <w:rsid w:val="00A1117A"/>
    <w:rsid w:val="00A1147B"/>
    <w:rsid w:val="00A1185F"/>
    <w:rsid w:val="00A11C59"/>
    <w:rsid w:val="00A11CD3"/>
    <w:rsid w:val="00A11E36"/>
    <w:rsid w:val="00A11F05"/>
    <w:rsid w:val="00A12128"/>
    <w:rsid w:val="00A1250B"/>
    <w:rsid w:val="00A12821"/>
    <w:rsid w:val="00A129F8"/>
    <w:rsid w:val="00A12BE0"/>
    <w:rsid w:val="00A1317B"/>
    <w:rsid w:val="00A13296"/>
    <w:rsid w:val="00A132B0"/>
    <w:rsid w:val="00A13679"/>
    <w:rsid w:val="00A137C7"/>
    <w:rsid w:val="00A1405B"/>
    <w:rsid w:val="00A14076"/>
    <w:rsid w:val="00A140C8"/>
    <w:rsid w:val="00A141DD"/>
    <w:rsid w:val="00A143E6"/>
    <w:rsid w:val="00A14734"/>
    <w:rsid w:val="00A14F75"/>
    <w:rsid w:val="00A1504C"/>
    <w:rsid w:val="00A15310"/>
    <w:rsid w:val="00A15506"/>
    <w:rsid w:val="00A15581"/>
    <w:rsid w:val="00A1575C"/>
    <w:rsid w:val="00A1580A"/>
    <w:rsid w:val="00A15997"/>
    <w:rsid w:val="00A159D8"/>
    <w:rsid w:val="00A15CCE"/>
    <w:rsid w:val="00A15F2C"/>
    <w:rsid w:val="00A160B4"/>
    <w:rsid w:val="00A16456"/>
    <w:rsid w:val="00A164A4"/>
    <w:rsid w:val="00A166E8"/>
    <w:rsid w:val="00A1696F"/>
    <w:rsid w:val="00A16DCE"/>
    <w:rsid w:val="00A16F8D"/>
    <w:rsid w:val="00A16FC8"/>
    <w:rsid w:val="00A1707A"/>
    <w:rsid w:val="00A1721B"/>
    <w:rsid w:val="00A17693"/>
    <w:rsid w:val="00A176A5"/>
    <w:rsid w:val="00A17712"/>
    <w:rsid w:val="00A17954"/>
    <w:rsid w:val="00A17A4B"/>
    <w:rsid w:val="00A17BB5"/>
    <w:rsid w:val="00A17CFA"/>
    <w:rsid w:val="00A2027B"/>
    <w:rsid w:val="00A204FA"/>
    <w:rsid w:val="00A20507"/>
    <w:rsid w:val="00A205B3"/>
    <w:rsid w:val="00A20892"/>
    <w:rsid w:val="00A208A8"/>
    <w:rsid w:val="00A2128F"/>
    <w:rsid w:val="00A212A9"/>
    <w:rsid w:val="00A2131C"/>
    <w:rsid w:val="00A213EF"/>
    <w:rsid w:val="00A214A2"/>
    <w:rsid w:val="00A219CF"/>
    <w:rsid w:val="00A21A66"/>
    <w:rsid w:val="00A21C1E"/>
    <w:rsid w:val="00A22119"/>
    <w:rsid w:val="00A2229F"/>
    <w:rsid w:val="00A2241D"/>
    <w:rsid w:val="00A226A2"/>
    <w:rsid w:val="00A227A0"/>
    <w:rsid w:val="00A2283B"/>
    <w:rsid w:val="00A2296F"/>
    <w:rsid w:val="00A229DC"/>
    <w:rsid w:val="00A22BC4"/>
    <w:rsid w:val="00A22CBF"/>
    <w:rsid w:val="00A22E73"/>
    <w:rsid w:val="00A22FCB"/>
    <w:rsid w:val="00A230E9"/>
    <w:rsid w:val="00A2315A"/>
    <w:rsid w:val="00A236F9"/>
    <w:rsid w:val="00A237BE"/>
    <w:rsid w:val="00A23A2D"/>
    <w:rsid w:val="00A23A92"/>
    <w:rsid w:val="00A23AB5"/>
    <w:rsid w:val="00A23BF2"/>
    <w:rsid w:val="00A23E0E"/>
    <w:rsid w:val="00A23F18"/>
    <w:rsid w:val="00A24055"/>
    <w:rsid w:val="00A24224"/>
    <w:rsid w:val="00A24A00"/>
    <w:rsid w:val="00A25299"/>
    <w:rsid w:val="00A25384"/>
    <w:rsid w:val="00A2559B"/>
    <w:rsid w:val="00A25619"/>
    <w:rsid w:val="00A2563F"/>
    <w:rsid w:val="00A2606B"/>
    <w:rsid w:val="00A26093"/>
    <w:rsid w:val="00A26218"/>
    <w:rsid w:val="00A26B0B"/>
    <w:rsid w:val="00A26C42"/>
    <w:rsid w:val="00A26DB2"/>
    <w:rsid w:val="00A26F3F"/>
    <w:rsid w:val="00A2734A"/>
    <w:rsid w:val="00A274A8"/>
    <w:rsid w:val="00A27CF5"/>
    <w:rsid w:val="00A27FC6"/>
    <w:rsid w:val="00A3025F"/>
    <w:rsid w:val="00A3038D"/>
    <w:rsid w:val="00A305E7"/>
    <w:rsid w:val="00A3072A"/>
    <w:rsid w:val="00A307C2"/>
    <w:rsid w:val="00A308BA"/>
    <w:rsid w:val="00A30E72"/>
    <w:rsid w:val="00A30ED6"/>
    <w:rsid w:val="00A31142"/>
    <w:rsid w:val="00A312C8"/>
    <w:rsid w:val="00A313AA"/>
    <w:rsid w:val="00A316D3"/>
    <w:rsid w:val="00A31DD7"/>
    <w:rsid w:val="00A31F93"/>
    <w:rsid w:val="00A31FEC"/>
    <w:rsid w:val="00A325D4"/>
    <w:rsid w:val="00A32956"/>
    <w:rsid w:val="00A32BA6"/>
    <w:rsid w:val="00A32D28"/>
    <w:rsid w:val="00A32F38"/>
    <w:rsid w:val="00A33198"/>
    <w:rsid w:val="00A333DD"/>
    <w:rsid w:val="00A3379B"/>
    <w:rsid w:val="00A33CB5"/>
    <w:rsid w:val="00A33D63"/>
    <w:rsid w:val="00A33D67"/>
    <w:rsid w:val="00A34106"/>
    <w:rsid w:val="00A3468F"/>
    <w:rsid w:val="00A3469D"/>
    <w:rsid w:val="00A34736"/>
    <w:rsid w:val="00A347BD"/>
    <w:rsid w:val="00A34C39"/>
    <w:rsid w:val="00A35278"/>
    <w:rsid w:val="00A3559F"/>
    <w:rsid w:val="00A355AC"/>
    <w:rsid w:val="00A358A9"/>
    <w:rsid w:val="00A35910"/>
    <w:rsid w:val="00A35C64"/>
    <w:rsid w:val="00A35CD6"/>
    <w:rsid w:val="00A35EF3"/>
    <w:rsid w:val="00A363DC"/>
    <w:rsid w:val="00A3647D"/>
    <w:rsid w:val="00A366E5"/>
    <w:rsid w:val="00A36A5B"/>
    <w:rsid w:val="00A36B62"/>
    <w:rsid w:val="00A36D90"/>
    <w:rsid w:val="00A36FA5"/>
    <w:rsid w:val="00A3747F"/>
    <w:rsid w:val="00A377D4"/>
    <w:rsid w:val="00A37A21"/>
    <w:rsid w:val="00A37AEC"/>
    <w:rsid w:val="00A37D6A"/>
    <w:rsid w:val="00A37E3D"/>
    <w:rsid w:val="00A40212"/>
    <w:rsid w:val="00A4022B"/>
    <w:rsid w:val="00A4042A"/>
    <w:rsid w:val="00A405C5"/>
    <w:rsid w:val="00A4073B"/>
    <w:rsid w:val="00A4100B"/>
    <w:rsid w:val="00A41089"/>
    <w:rsid w:val="00A4121C"/>
    <w:rsid w:val="00A41A54"/>
    <w:rsid w:val="00A41C53"/>
    <w:rsid w:val="00A41DB0"/>
    <w:rsid w:val="00A41EF6"/>
    <w:rsid w:val="00A423A6"/>
    <w:rsid w:val="00A42497"/>
    <w:rsid w:val="00A4259B"/>
    <w:rsid w:val="00A42689"/>
    <w:rsid w:val="00A42730"/>
    <w:rsid w:val="00A428D7"/>
    <w:rsid w:val="00A42BBC"/>
    <w:rsid w:val="00A42FCB"/>
    <w:rsid w:val="00A436A9"/>
    <w:rsid w:val="00A43A7C"/>
    <w:rsid w:val="00A43EDB"/>
    <w:rsid w:val="00A446E1"/>
    <w:rsid w:val="00A4470B"/>
    <w:rsid w:val="00A44A2A"/>
    <w:rsid w:val="00A44B2F"/>
    <w:rsid w:val="00A44BB6"/>
    <w:rsid w:val="00A45812"/>
    <w:rsid w:val="00A45F37"/>
    <w:rsid w:val="00A46357"/>
    <w:rsid w:val="00A463EC"/>
    <w:rsid w:val="00A4649A"/>
    <w:rsid w:val="00A466AC"/>
    <w:rsid w:val="00A467FB"/>
    <w:rsid w:val="00A46A9F"/>
    <w:rsid w:val="00A46ACC"/>
    <w:rsid w:val="00A46BE9"/>
    <w:rsid w:val="00A47100"/>
    <w:rsid w:val="00A47378"/>
    <w:rsid w:val="00A475AB"/>
    <w:rsid w:val="00A477CF"/>
    <w:rsid w:val="00A479F5"/>
    <w:rsid w:val="00A47A0C"/>
    <w:rsid w:val="00A47DE5"/>
    <w:rsid w:val="00A47F27"/>
    <w:rsid w:val="00A50107"/>
    <w:rsid w:val="00A50562"/>
    <w:rsid w:val="00A51170"/>
    <w:rsid w:val="00A516D4"/>
    <w:rsid w:val="00A518C1"/>
    <w:rsid w:val="00A51BE3"/>
    <w:rsid w:val="00A51F62"/>
    <w:rsid w:val="00A52293"/>
    <w:rsid w:val="00A527D1"/>
    <w:rsid w:val="00A52B94"/>
    <w:rsid w:val="00A52CDB"/>
    <w:rsid w:val="00A52DFC"/>
    <w:rsid w:val="00A531BA"/>
    <w:rsid w:val="00A53790"/>
    <w:rsid w:val="00A5381A"/>
    <w:rsid w:val="00A53867"/>
    <w:rsid w:val="00A538F1"/>
    <w:rsid w:val="00A53A93"/>
    <w:rsid w:val="00A53D1F"/>
    <w:rsid w:val="00A53F02"/>
    <w:rsid w:val="00A542E8"/>
    <w:rsid w:val="00A546B7"/>
    <w:rsid w:val="00A54916"/>
    <w:rsid w:val="00A54C45"/>
    <w:rsid w:val="00A54D23"/>
    <w:rsid w:val="00A54D2A"/>
    <w:rsid w:val="00A54F62"/>
    <w:rsid w:val="00A54F92"/>
    <w:rsid w:val="00A5532E"/>
    <w:rsid w:val="00A55556"/>
    <w:rsid w:val="00A556B6"/>
    <w:rsid w:val="00A559D2"/>
    <w:rsid w:val="00A55A6C"/>
    <w:rsid w:val="00A55C3C"/>
    <w:rsid w:val="00A55C87"/>
    <w:rsid w:val="00A55D8B"/>
    <w:rsid w:val="00A56351"/>
    <w:rsid w:val="00A56D18"/>
    <w:rsid w:val="00A56E8F"/>
    <w:rsid w:val="00A5730B"/>
    <w:rsid w:val="00A5769E"/>
    <w:rsid w:val="00A5799D"/>
    <w:rsid w:val="00A57A1F"/>
    <w:rsid w:val="00A57B8B"/>
    <w:rsid w:val="00A60020"/>
    <w:rsid w:val="00A60448"/>
    <w:rsid w:val="00A604C3"/>
    <w:rsid w:val="00A607DD"/>
    <w:rsid w:val="00A60941"/>
    <w:rsid w:val="00A61383"/>
    <w:rsid w:val="00A61CF6"/>
    <w:rsid w:val="00A61D5E"/>
    <w:rsid w:val="00A61E86"/>
    <w:rsid w:val="00A61EFF"/>
    <w:rsid w:val="00A62040"/>
    <w:rsid w:val="00A623EC"/>
    <w:rsid w:val="00A62BBB"/>
    <w:rsid w:val="00A63513"/>
    <w:rsid w:val="00A635FC"/>
    <w:rsid w:val="00A63A28"/>
    <w:rsid w:val="00A63BB1"/>
    <w:rsid w:val="00A6415E"/>
    <w:rsid w:val="00A64356"/>
    <w:rsid w:val="00A643A8"/>
    <w:rsid w:val="00A648C6"/>
    <w:rsid w:val="00A6496E"/>
    <w:rsid w:val="00A6519E"/>
    <w:rsid w:val="00A65412"/>
    <w:rsid w:val="00A65AAA"/>
    <w:rsid w:val="00A65DBA"/>
    <w:rsid w:val="00A666DC"/>
    <w:rsid w:val="00A66A09"/>
    <w:rsid w:val="00A66D7D"/>
    <w:rsid w:val="00A66DAA"/>
    <w:rsid w:val="00A67105"/>
    <w:rsid w:val="00A67B77"/>
    <w:rsid w:val="00A67B85"/>
    <w:rsid w:val="00A67E55"/>
    <w:rsid w:val="00A67FEB"/>
    <w:rsid w:val="00A700A4"/>
    <w:rsid w:val="00A7037A"/>
    <w:rsid w:val="00A7058E"/>
    <w:rsid w:val="00A70781"/>
    <w:rsid w:val="00A70DA7"/>
    <w:rsid w:val="00A70DC7"/>
    <w:rsid w:val="00A714F1"/>
    <w:rsid w:val="00A714F2"/>
    <w:rsid w:val="00A7189A"/>
    <w:rsid w:val="00A71AD7"/>
    <w:rsid w:val="00A71C9A"/>
    <w:rsid w:val="00A72190"/>
    <w:rsid w:val="00A722C4"/>
    <w:rsid w:val="00A72608"/>
    <w:rsid w:val="00A728B9"/>
    <w:rsid w:val="00A728FD"/>
    <w:rsid w:val="00A72B25"/>
    <w:rsid w:val="00A72B7A"/>
    <w:rsid w:val="00A7313F"/>
    <w:rsid w:val="00A7334E"/>
    <w:rsid w:val="00A73410"/>
    <w:rsid w:val="00A73769"/>
    <w:rsid w:val="00A737C0"/>
    <w:rsid w:val="00A739A5"/>
    <w:rsid w:val="00A73C15"/>
    <w:rsid w:val="00A73CCE"/>
    <w:rsid w:val="00A73CDB"/>
    <w:rsid w:val="00A73DCB"/>
    <w:rsid w:val="00A74CFE"/>
    <w:rsid w:val="00A7506A"/>
    <w:rsid w:val="00A75097"/>
    <w:rsid w:val="00A7522F"/>
    <w:rsid w:val="00A75264"/>
    <w:rsid w:val="00A756B4"/>
    <w:rsid w:val="00A75756"/>
    <w:rsid w:val="00A757F7"/>
    <w:rsid w:val="00A758E1"/>
    <w:rsid w:val="00A75C71"/>
    <w:rsid w:val="00A75D93"/>
    <w:rsid w:val="00A75F2A"/>
    <w:rsid w:val="00A76543"/>
    <w:rsid w:val="00A768C5"/>
    <w:rsid w:val="00A76A80"/>
    <w:rsid w:val="00A76AD6"/>
    <w:rsid w:val="00A76B8E"/>
    <w:rsid w:val="00A76B9D"/>
    <w:rsid w:val="00A76EF5"/>
    <w:rsid w:val="00A771BB"/>
    <w:rsid w:val="00A7722F"/>
    <w:rsid w:val="00A77393"/>
    <w:rsid w:val="00A77535"/>
    <w:rsid w:val="00A776A3"/>
    <w:rsid w:val="00A77939"/>
    <w:rsid w:val="00A77944"/>
    <w:rsid w:val="00A77A79"/>
    <w:rsid w:val="00A77AA0"/>
    <w:rsid w:val="00A80090"/>
    <w:rsid w:val="00A800B9"/>
    <w:rsid w:val="00A8041C"/>
    <w:rsid w:val="00A80793"/>
    <w:rsid w:val="00A80A78"/>
    <w:rsid w:val="00A80BCD"/>
    <w:rsid w:val="00A81061"/>
    <w:rsid w:val="00A8115B"/>
    <w:rsid w:val="00A81A68"/>
    <w:rsid w:val="00A81B99"/>
    <w:rsid w:val="00A8263F"/>
    <w:rsid w:val="00A82856"/>
    <w:rsid w:val="00A82DC4"/>
    <w:rsid w:val="00A82E62"/>
    <w:rsid w:val="00A82EE1"/>
    <w:rsid w:val="00A82F30"/>
    <w:rsid w:val="00A830A0"/>
    <w:rsid w:val="00A831C8"/>
    <w:rsid w:val="00A833C7"/>
    <w:rsid w:val="00A833E6"/>
    <w:rsid w:val="00A83547"/>
    <w:rsid w:val="00A83644"/>
    <w:rsid w:val="00A83800"/>
    <w:rsid w:val="00A84186"/>
    <w:rsid w:val="00A84273"/>
    <w:rsid w:val="00A843B2"/>
    <w:rsid w:val="00A84480"/>
    <w:rsid w:val="00A844C4"/>
    <w:rsid w:val="00A845A9"/>
    <w:rsid w:val="00A84688"/>
    <w:rsid w:val="00A846E4"/>
    <w:rsid w:val="00A84B82"/>
    <w:rsid w:val="00A84C4A"/>
    <w:rsid w:val="00A84CC0"/>
    <w:rsid w:val="00A84D11"/>
    <w:rsid w:val="00A84F68"/>
    <w:rsid w:val="00A84FFC"/>
    <w:rsid w:val="00A85214"/>
    <w:rsid w:val="00A856BF"/>
    <w:rsid w:val="00A85933"/>
    <w:rsid w:val="00A859BD"/>
    <w:rsid w:val="00A85C36"/>
    <w:rsid w:val="00A8615B"/>
    <w:rsid w:val="00A86515"/>
    <w:rsid w:val="00A8656F"/>
    <w:rsid w:val="00A86634"/>
    <w:rsid w:val="00A86814"/>
    <w:rsid w:val="00A86825"/>
    <w:rsid w:val="00A86BB8"/>
    <w:rsid w:val="00A86DA0"/>
    <w:rsid w:val="00A86DD0"/>
    <w:rsid w:val="00A8727A"/>
    <w:rsid w:val="00A87476"/>
    <w:rsid w:val="00A877C1"/>
    <w:rsid w:val="00A879B2"/>
    <w:rsid w:val="00A87AC7"/>
    <w:rsid w:val="00A87BD2"/>
    <w:rsid w:val="00A87C75"/>
    <w:rsid w:val="00A87D4F"/>
    <w:rsid w:val="00A87F34"/>
    <w:rsid w:val="00A905A9"/>
    <w:rsid w:val="00A9105D"/>
    <w:rsid w:val="00A91278"/>
    <w:rsid w:val="00A9175B"/>
    <w:rsid w:val="00A922E4"/>
    <w:rsid w:val="00A92A09"/>
    <w:rsid w:val="00A92AEA"/>
    <w:rsid w:val="00A92C6B"/>
    <w:rsid w:val="00A92E53"/>
    <w:rsid w:val="00A92F5A"/>
    <w:rsid w:val="00A936C3"/>
    <w:rsid w:val="00A93B9D"/>
    <w:rsid w:val="00A94274"/>
    <w:rsid w:val="00A94766"/>
    <w:rsid w:val="00A948F8"/>
    <w:rsid w:val="00A950A0"/>
    <w:rsid w:val="00A950D2"/>
    <w:rsid w:val="00A95109"/>
    <w:rsid w:val="00A9529E"/>
    <w:rsid w:val="00A9538F"/>
    <w:rsid w:val="00A954BC"/>
    <w:rsid w:val="00A9560C"/>
    <w:rsid w:val="00A956E7"/>
    <w:rsid w:val="00A95883"/>
    <w:rsid w:val="00A95A58"/>
    <w:rsid w:val="00A95FDE"/>
    <w:rsid w:val="00A963E5"/>
    <w:rsid w:val="00A96718"/>
    <w:rsid w:val="00A96A2A"/>
    <w:rsid w:val="00A96AA4"/>
    <w:rsid w:val="00A96EF1"/>
    <w:rsid w:val="00A96F03"/>
    <w:rsid w:val="00A96F4D"/>
    <w:rsid w:val="00A97034"/>
    <w:rsid w:val="00AA043F"/>
    <w:rsid w:val="00AA0676"/>
    <w:rsid w:val="00AA067E"/>
    <w:rsid w:val="00AA07F1"/>
    <w:rsid w:val="00AA0B06"/>
    <w:rsid w:val="00AA0B63"/>
    <w:rsid w:val="00AA0B6B"/>
    <w:rsid w:val="00AA0CD3"/>
    <w:rsid w:val="00AA0D46"/>
    <w:rsid w:val="00AA11E5"/>
    <w:rsid w:val="00AA1216"/>
    <w:rsid w:val="00AA1240"/>
    <w:rsid w:val="00AA141D"/>
    <w:rsid w:val="00AA14C2"/>
    <w:rsid w:val="00AA15DE"/>
    <w:rsid w:val="00AA20E5"/>
    <w:rsid w:val="00AA2532"/>
    <w:rsid w:val="00AA269B"/>
    <w:rsid w:val="00AA2942"/>
    <w:rsid w:val="00AA2F1D"/>
    <w:rsid w:val="00AA2F88"/>
    <w:rsid w:val="00AA34B7"/>
    <w:rsid w:val="00AA34F9"/>
    <w:rsid w:val="00AA35E7"/>
    <w:rsid w:val="00AA3C32"/>
    <w:rsid w:val="00AA3E6A"/>
    <w:rsid w:val="00AA3F14"/>
    <w:rsid w:val="00AA468F"/>
    <w:rsid w:val="00AA4A4D"/>
    <w:rsid w:val="00AA4C46"/>
    <w:rsid w:val="00AA4D35"/>
    <w:rsid w:val="00AA4FD2"/>
    <w:rsid w:val="00AA567F"/>
    <w:rsid w:val="00AA5C05"/>
    <w:rsid w:val="00AA5CA3"/>
    <w:rsid w:val="00AA5E4F"/>
    <w:rsid w:val="00AA6335"/>
    <w:rsid w:val="00AA661F"/>
    <w:rsid w:val="00AA66DA"/>
    <w:rsid w:val="00AA6914"/>
    <w:rsid w:val="00AA69B3"/>
    <w:rsid w:val="00AA6CAB"/>
    <w:rsid w:val="00AA6CC1"/>
    <w:rsid w:val="00AA711D"/>
    <w:rsid w:val="00AA7154"/>
    <w:rsid w:val="00AA72E9"/>
    <w:rsid w:val="00AA7342"/>
    <w:rsid w:val="00AA735B"/>
    <w:rsid w:val="00AA73E4"/>
    <w:rsid w:val="00AA755C"/>
    <w:rsid w:val="00AA76A0"/>
    <w:rsid w:val="00AA7B87"/>
    <w:rsid w:val="00AA7D16"/>
    <w:rsid w:val="00AA7E6E"/>
    <w:rsid w:val="00AB0029"/>
    <w:rsid w:val="00AB0376"/>
    <w:rsid w:val="00AB08BA"/>
    <w:rsid w:val="00AB0C90"/>
    <w:rsid w:val="00AB0D06"/>
    <w:rsid w:val="00AB0E62"/>
    <w:rsid w:val="00AB1019"/>
    <w:rsid w:val="00AB11CD"/>
    <w:rsid w:val="00AB13A6"/>
    <w:rsid w:val="00AB1649"/>
    <w:rsid w:val="00AB1E26"/>
    <w:rsid w:val="00AB2007"/>
    <w:rsid w:val="00AB2101"/>
    <w:rsid w:val="00AB23B6"/>
    <w:rsid w:val="00AB272D"/>
    <w:rsid w:val="00AB2C09"/>
    <w:rsid w:val="00AB2C6F"/>
    <w:rsid w:val="00AB2D26"/>
    <w:rsid w:val="00AB3361"/>
    <w:rsid w:val="00AB3663"/>
    <w:rsid w:val="00AB4450"/>
    <w:rsid w:val="00AB4696"/>
    <w:rsid w:val="00AB4981"/>
    <w:rsid w:val="00AB4BE5"/>
    <w:rsid w:val="00AB4C0A"/>
    <w:rsid w:val="00AB4C4E"/>
    <w:rsid w:val="00AB4E52"/>
    <w:rsid w:val="00AB4F65"/>
    <w:rsid w:val="00AB4FD1"/>
    <w:rsid w:val="00AB56E8"/>
    <w:rsid w:val="00AB5A6F"/>
    <w:rsid w:val="00AB5DB3"/>
    <w:rsid w:val="00AB5DD3"/>
    <w:rsid w:val="00AB63EE"/>
    <w:rsid w:val="00AB6707"/>
    <w:rsid w:val="00AB6A06"/>
    <w:rsid w:val="00AB6C0F"/>
    <w:rsid w:val="00AB6F29"/>
    <w:rsid w:val="00AB7088"/>
    <w:rsid w:val="00AB72F6"/>
    <w:rsid w:val="00AB7939"/>
    <w:rsid w:val="00AB7FCE"/>
    <w:rsid w:val="00AC0001"/>
    <w:rsid w:val="00AC00C1"/>
    <w:rsid w:val="00AC0200"/>
    <w:rsid w:val="00AC0473"/>
    <w:rsid w:val="00AC05AE"/>
    <w:rsid w:val="00AC0960"/>
    <w:rsid w:val="00AC0ED1"/>
    <w:rsid w:val="00AC1085"/>
    <w:rsid w:val="00AC10C4"/>
    <w:rsid w:val="00AC12C6"/>
    <w:rsid w:val="00AC1356"/>
    <w:rsid w:val="00AC1423"/>
    <w:rsid w:val="00AC1510"/>
    <w:rsid w:val="00AC16AA"/>
    <w:rsid w:val="00AC1A5D"/>
    <w:rsid w:val="00AC1BFD"/>
    <w:rsid w:val="00AC1D10"/>
    <w:rsid w:val="00AC1F6F"/>
    <w:rsid w:val="00AC24B7"/>
    <w:rsid w:val="00AC2A1F"/>
    <w:rsid w:val="00AC2FCA"/>
    <w:rsid w:val="00AC344A"/>
    <w:rsid w:val="00AC37EF"/>
    <w:rsid w:val="00AC397D"/>
    <w:rsid w:val="00AC3B95"/>
    <w:rsid w:val="00AC3CDA"/>
    <w:rsid w:val="00AC3CDF"/>
    <w:rsid w:val="00AC3DDE"/>
    <w:rsid w:val="00AC3E02"/>
    <w:rsid w:val="00AC3E97"/>
    <w:rsid w:val="00AC3EE6"/>
    <w:rsid w:val="00AC43D9"/>
    <w:rsid w:val="00AC43E3"/>
    <w:rsid w:val="00AC43FB"/>
    <w:rsid w:val="00AC471F"/>
    <w:rsid w:val="00AC4B27"/>
    <w:rsid w:val="00AC51A4"/>
    <w:rsid w:val="00AC55C9"/>
    <w:rsid w:val="00AC5B4D"/>
    <w:rsid w:val="00AC6256"/>
    <w:rsid w:val="00AC6586"/>
    <w:rsid w:val="00AC6AA8"/>
    <w:rsid w:val="00AC6B0B"/>
    <w:rsid w:val="00AC6C9E"/>
    <w:rsid w:val="00AC6D20"/>
    <w:rsid w:val="00AC725F"/>
    <w:rsid w:val="00AC7522"/>
    <w:rsid w:val="00AC7637"/>
    <w:rsid w:val="00AC79E3"/>
    <w:rsid w:val="00AC7BAD"/>
    <w:rsid w:val="00AC7BD4"/>
    <w:rsid w:val="00AC7FC7"/>
    <w:rsid w:val="00AD02DC"/>
    <w:rsid w:val="00AD0629"/>
    <w:rsid w:val="00AD0926"/>
    <w:rsid w:val="00AD0A0F"/>
    <w:rsid w:val="00AD0BEF"/>
    <w:rsid w:val="00AD11FA"/>
    <w:rsid w:val="00AD1D9A"/>
    <w:rsid w:val="00AD1F30"/>
    <w:rsid w:val="00AD2464"/>
    <w:rsid w:val="00AD2AD1"/>
    <w:rsid w:val="00AD2C62"/>
    <w:rsid w:val="00AD2D89"/>
    <w:rsid w:val="00AD2D98"/>
    <w:rsid w:val="00AD2F18"/>
    <w:rsid w:val="00AD2F3C"/>
    <w:rsid w:val="00AD31E8"/>
    <w:rsid w:val="00AD3341"/>
    <w:rsid w:val="00AD34EB"/>
    <w:rsid w:val="00AD3565"/>
    <w:rsid w:val="00AD362F"/>
    <w:rsid w:val="00AD36CF"/>
    <w:rsid w:val="00AD37C9"/>
    <w:rsid w:val="00AD38AE"/>
    <w:rsid w:val="00AD3967"/>
    <w:rsid w:val="00AD41FD"/>
    <w:rsid w:val="00AD4986"/>
    <w:rsid w:val="00AD557D"/>
    <w:rsid w:val="00AD56C6"/>
    <w:rsid w:val="00AD586B"/>
    <w:rsid w:val="00AD5BB1"/>
    <w:rsid w:val="00AD608D"/>
    <w:rsid w:val="00AD6602"/>
    <w:rsid w:val="00AD6856"/>
    <w:rsid w:val="00AD6903"/>
    <w:rsid w:val="00AD6988"/>
    <w:rsid w:val="00AD6ADB"/>
    <w:rsid w:val="00AD6B55"/>
    <w:rsid w:val="00AD6F6D"/>
    <w:rsid w:val="00AD6FCB"/>
    <w:rsid w:val="00AD75DD"/>
    <w:rsid w:val="00AD7673"/>
    <w:rsid w:val="00AD77D1"/>
    <w:rsid w:val="00AD78C5"/>
    <w:rsid w:val="00AD7902"/>
    <w:rsid w:val="00AD7B47"/>
    <w:rsid w:val="00AD7BB1"/>
    <w:rsid w:val="00AD7DA5"/>
    <w:rsid w:val="00AD7E79"/>
    <w:rsid w:val="00AE0055"/>
    <w:rsid w:val="00AE017C"/>
    <w:rsid w:val="00AE02B2"/>
    <w:rsid w:val="00AE04B7"/>
    <w:rsid w:val="00AE061E"/>
    <w:rsid w:val="00AE0B56"/>
    <w:rsid w:val="00AE0B88"/>
    <w:rsid w:val="00AE0E79"/>
    <w:rsid w:val="00AE11DE"/>
    <w:rsid w:val="00AE1455"/>
    <w:rsid w:val="00AE14D2"/>
    <w:rsid w:val="00AE152F"/>
    <w:rsid w:val="00AE153B"/>
    <w:rsid w:val="00AE1AC7"/>
    <w:rsid w:val="00AE1BC0"/>
    <w:rsid w:val="00AE1E55"/>
    <w:rsid w:val="00AE231B"/>
    <w:rsid w:val="00AE2756"/>
    <w:rsid w:val="00AE2ACA"/>
    <w:rsid w:val="00AE2AE5"/>
    <w:rsid w:val="00AE2F99"/>
    <w:rsid w:val="00AE3092"/>
    <w:rsid w:val="00AE3115"/>
    <w:rsid w:val="00AE315D"/>
    <w:rsid w:val="00AE338F"/>
    <w:rsid w:val="00AE36EB"/>
    <w:rsid w:val="00AE3729"/>
    <w:rsid w:val="00AE389D"/>
    <w:rsid w:val="00AE405E"/>
    <w:rsid w:val="00AE40A5"/>
    <w:rsid w:val="00AE4147"/>
    <w:rsid w:val="00AE4817"/>
    <w:rsid w:val="00AE4DA1"/>
    <w:rsid w:val="00AE507E"/>
    <w:rsid w:val="00AE53F3"/>
    <w:rsid w:val="00AE579E"/>
    <w:rsid w:val="00AE58BD"/>
    <w:rsid w:val="00AE591C"/>
    <w:rsid w:val="00AE5960"/>
    <w:rsid w:val="00AE597F"/>
    <w:rsid w:val="00AE5BE8"/>
    <w:rsid w:val="00AE66E0"/>
    <w:rsid w:val="00AE6913"/>
    <w:rsid w:val="00AE6D42"/>
    <w:rsid w:val="00AE6F4C"/>
    <w:rsid w:val="00AE6FD0"/>
    <w:rsid w:val="00AE70BA"/>
    <w:rsid w:val="00AE7553"/>
    <w:rsid w:val="00AE7783"/>
    <w:rsid w:val="00AE79D8"/>
    <w:rsid w:val="00AE7A0F"/>
    <w:rsid w:val="00AE7E15"/>
    <w:rsid w:val="00AE7E9C"/>
    <w:rsid w:val="00AF0114"/>
    <w:rsid w:val="00AF03F8"/>
    <w:rsid w:val="00AF041E"/>
    <w:rsid w:val="00AF0A50"/>
    <w:rsid w:val="00AF0C02"/>
    <w:rsid w:val="00AF0D20"/>
    <w:rsid w:val="00AF10EE"/>
    <w:rsid w:val="00AF11A0"/>
    <w:rsid w:val="00AF12F5"/>
    <w:rsid w:val="00AF16A7"/>
    <w:rsid w:val="00AF1FE6"/>
    <w:rsid w:val="00AF2194"/>
    <w:rsid w:val="00AF230B"/>
    <w:rsid w:val="00AF2482"/>
    <w:rsid w:val="00AF25D9"/>
    <w:rsid w:val="00AF26ED"/>
    <w:rsid w:val="00AF2884"/>
    <w:rsid w:val="00AF2931"/>
    <w:rsid w:val="00AF2E21"/>
    <w:rsid w:val="00AF3735"/>
    <w:rsid w:val="00AF3B05"/>
    <w:rsid w:val="00AF3BE0"/>
    <w:rsid w:val="00AF3E8F"/>
    <w:rsid w:val="00AF41B9"/>
    <w:rsid w:val="00AF4882"/>
    <w:rsid w:val="00AF5108"/>
    <w:rsid w:val="00AF51FF"/>
    <w:rsid w:val="00AF52EA"/>
    <w:rsid w:val="00AF559A"/>
    <w:rsid w:val="00AF5816"/>
    <w:rsid w:val="00AF583B"/>
    <w:rsid w:val="00AF5909"/>
    <w:rsid w:val="00AF59A3"/>
    <w:rsid w:val="00AF59D7"/>
    <w:rsid w:val="00AF5A42"/>
    <w:rsid w:val="00AF5CE7"/>
    <w:rsid w:val="00AF5F64"/>
    <w:rsid w:val="00AF6295"/>
    <w:rsid w:val="00AF634C"/>
    <w:rsid w:val="00AF6496"/>
    <w:rsid w:val="00AF6839"/>
    <w:rsid w:val="00AF691E"/>
    <w:rsid w:val="00AF6D2C"/>
    <w:rsid w:val="00AF707B"/>
    <w:rsid w:val="00AF709F"/>
    <w:rsid w:val="00AF7140"/>
    <w:rsid w:val="00AF7265"/>
    <w:rsid w:val="00AF7800"/>
    <w:rsid w:val="00AF7886"/>
    <w:rsid w:val="00AF79FD"/>
    <w:rsid w:val="00AF7FA8"/>
    <w:rsid w:val="00B0006A"/>
    <w:rsid w:val="00B00A29"/>
    <w:rsid w:val="00B00AE2"/>
    <w:rsid w:val="00B00F36"/>
    <w:rsid w:val="00B00F40"/>
    <w:rsid w:val="00B0110C"/>
    <w:rsid w:val="00B01585"/>
    <w:rsid w:val="00B01710"/>
    <w:rsid w:val="00B01932"/>
    <w:rsid w:val="00B01B31"/>
    <w:rsid w:val="00B01C34"/>
    <w:rsid w:val="00B01C5D"/>
    <w:rsid w:val="00B01E81"/>
    <w:rsid w:val="00B01EAA"/>
    <w:rsid w:val="00B02141"/>
    <w:rsid w:val="00B0215E"/>
    <w:rsid w:val="00B02277"/>
    <w:rsid w:val="00B0229D"/>
    <w:rsid w:val="00B022F8"/>
    <w:rsid w:val="00B028FC"/>
    <w:rsid w:val="00B02AD2"/>
    <w:rsid w:val="00B03210"/>
    <w:rsid w:val="00B0340D"/>
    <w:rsid w:val="00B0341B"/>
    <w:rsid w:val="00B036AE"/>
    <w:rsid w:val="00B03F4D"/>
    <w:rsid w:val="00B043AB"/>
    <w:rsid w:val="00B043C0"/>
    <w:rsid w:val="00B04639"/>
    <w:rsid w:val="00B04CAF"/>
    <w:rsid w:val="00B0558A"/>
    <w:rsid w:val="00B055AE"/>
    <w:rsid w:val="00B0572C"/>
    <w:rsid w:val="00B05B2B"/>
    <w:rsid w:val="00B05FD7"/>
    <w:rsid w:val="00B0600C"/>
    <w:rsid w:val="00B06495"/>
    <w:rsid w:val="00B067A4"/>
    <w:rsid w:val="00B0693C"/>
    <w:rsid w:val="00B06E90"/>
    <w:rsid w:val="00B06EB3"/>
    <w:rsid w:val="00B06F6F"/>
    <w:rsid w:val="00B0704B"/>
    <w:rsid w:val="00B076DD"/>
    <w:rsid w:val="00B07AF5"/>
    <w:rsid w:val="00B07B05"/>
    <w:rsid w:val="00B07DDE"/>
    <w:rsid w:val="00B1012A"/>
    <w:rsid w:val="00B10764"/>
    <w:rsid w:val="00B10D8E"/>
    <w:rsid w:val="00B10F7E"/>
    <w:rsid w:val="00B11117"/>
    <w:rsid w:val="00B11155"/>
    <w:rsid w:val="00B113E4"/>
    <w:rsid w:val="00B11433"/>
    <w:rsid w:val="00B11849"/>
    <w:rsid w:val="00B11FCA"/>
    <w:rsid w:val="00B120B8"/>
    <w:rsid w:val="00B12150"/>
    <w:rsid w:val="00B1226C"/>
    <w:rsid w:val="00B1233F"/>
    <w:rsid w:val="00B125AF"/>
    <w:rsid w:val="00B1261E"/>
    <w:rsid w:val="00B1284B"/>
    <w:rsid w:val="00B12851"/>
    <w:rsid w:val="00B1291C"/>
    <w:rsid w:val="00B13630"/>
    <w:rsid w:val="00B13910"/>
    <w:rsid w:val="00B13CA0"/>
    <w:rsid w:val="00B13D20"/>
    <w:rsid w:val="00B13E02"/>
    <w:rsid w:val="00B13E7F"/>
    <w:rsid w:val="00B140A5"/>
    <w:rsid w:val="00B142EB"/>
    <w:rsid w:val="00B1487C"/>
    <w:rsid w:val="00B149C9"/>
    <w:rsid w:val="00B14F2B"/>
    <w:rsid w:val="00B150DF"/>
    <w:rsid w:val="00B150E7"/>
    <w:rsid w:val="00B152B9"/>
    <w:rsid w:val="00B15431"/>
    <w:rsid w:val="00B158B8"/>
    <w:rsid w:val="00B15916"/>
    <w:rsid w:val="00B15C1F"/>
    <w:rsid w:val="00B15EC7"/>
    <w:rsid w:val="00B16216"/>
    <w:rsid w:val="00B164C3"/>
    <w:rsid w:val="00B165C9"/>
    <w:rsid w:val="00B166DD"/>
    <w:rsid w:val="00B168DE"/>
    <w:rsid w:val="00B16EA9"/>
    <w:rsid w:val="00B17249"/>
    <w:rsid w:val="00B17CA8"/>
    <w:rsid w:val="00B17DF6"/>
    <w:rsid w:val="00B17EBE"/>
    <w:rsid w:val="00B20655"/>
    <w:rsid w:val="00B208FF"/>
    <w:rsid w:val="00B20C67"/>
    <w:rsid w:val="00B20C82"/>
    <w:rsid w:val="00B20DCA"/>
    <w:rsid w:val="00B21CFB"/>
    <w:rsid w:val="00B21E47"/>
    <w:rsid w:val="00B21F50"/>
    <w:rsid w:val="00B220C1"/>
    <w:rsid w:val="00B22217"/>
    <w:rsid w:val="00B22756"/>
    <w:rsid w:val="00B22759"/>
    <w:rsid w:val="00B228FF"/>
    <w:rsid w:val="00B22C4C"/>
    <w:rsid w:val="00B23085"/>
    <w:rsid w:val="00B23321"/>
    <w:rsid w:val="00B235BD"/>
    <w:rsid w:val="00B235D5"/>
    <w:rsid w:val="00B23670"/>
    <w:rsid w:val="00B23A12"/>
    <w:rsid w:val="00B23BF5"/>
    <w:rsid w:val="00B23C70"/>
    <w:rsid w:val="00B23C9D"/>
    <w:rsid w:val="00B23F9A"/>
    <w:rsid w:val="00B23FCA"/>
    <w:rsid w:val="00B24233"/>
    <w:rsid w:val="00B243A3"/>
    <w:rsid w:val="00B24758"/>
    <w:rsid w:val="00B247A1"/>
    <w:rsid w:val="00B24997"/>
    <w:rsid w:val="00B24D49"/>
    <w:rsid w:val="00B24F3C"/>
    <w:rsid w:val="00B2530F"/>
    <w:rsid w:val="00B25483"/>
    <w:rsid w:val="00B256A9"/>
    <w:rsid w:val="00B25724"/>
    <w:rsid w:val="00B26109"/>
    <w:rsid w:val="00B26110"/>
    <w:rsid w:val="00B264DF"/>
    <w:rsid w:val="00B26FCA"/>
    <w:rsid w:val="00B271B5"/>
    <w:rsid w:val="00B27431"/>
    <w:rsid w:val="00B274F9"/>
    <w:rsid w:val="00B27BDD"/>
    <w:rsid w:val="00B27CAC"/>
    <w:rsid w:val="00B27E42"/>
    <w:rsid w:val="00B307C9"/>
    <w:rsid w:val="00B31017"/>
    <w:rsid w:val="00B314BA"/>
    <w:rsid w:val="00B31DBC"/>
    <w:rsid w:val="00B31EA9"/>
    <w:rsid w:val="00B31F9B"/>
    <w:rsid w:val="00B323D9"/>
    <w:rsid w:val="00B328E3"/>
    <w:rsid w:val="00B3291D"/>
    <w:rsid w:val="00B32DEF"/>
    <w:rsid w:val="00B32F46"/>
    <w:rsid w:val="00B33072"/>
    <w:rsid w:val="00B330CA"/>
    <w:rsid w:val="00B33B65"/>
    <w:rsid w:val="00B33CD5"/>
    <w:rsid w:val="00B33E76"/>
    <w:rsid w:val="00B341EA"/>
    <w:rsid w:val="00B342D2"/>
    <w:rsid w:val="00B34C7F"/>
    <w:rsid w:val="00B34DEF"/>
    <w:rsid w:val="00B35866"/>
    <w:rsid w:val="00B35E81"/>
    <w:rsid w:val="00B36075"/>
    <w:rsid w:val="00B36098"/>
    <w:rsid w:val="00B3614F"/>
    <w:rsid w:val="00B362FB"/>
    <w:rsid w:val="00B365B2"/>
    <w:rsid w:val="00B3686A"/>
    <w:rsid w:val="00B36BAC"/>
    <w:rsid w:val="00B370E0"/>
    <w:rsid w:val="00B371ED"/>
    <w:rsid w:val="00B37202"/>
    <w:rsid w:val="00B376F6"/>
    <w:rsid w:val="00B37875"/>
    <w:rsid w:val="00B378C1"/>
    <w:rsid w:val="00B37B34"/>
    <w:rsid w:val="00B4024B"/>
    <w:rsid w:val="00B40259"/>
    <w:rsid w:val="00B40325"/>
    <w:rsid w:val="00B40471"/>
    <w:rsid w:val="00B40621"/>
    <w:rsid w:val="00B409A7"/>
    <w:rsid w:val="00B40AA3"/>
    <w:rsid w:val="00B40BE4"/>
    <w:rsid w:val="00B40D84"/>
    <w:rsid w:val="00B410A1"/>
    <w:rsid w:val="00B41460"/>
    <w:rsid w:val="00B41485"/>
    <w:rsid w:val="00B41725"/>
    <w:rsid w:val="00B41875"/>
    <w:rsid w:val="00B41B36"/>
    <w:rsid w:val="00B41C76"/>
    <w:rsid w:val="00B41E89"/>
    <w:rsid w:val="00B41EC8"/>
    <w:rsid w:val="00B41F16"/>
    <w:rsid w:val="00B42058"/>
    <w:rsid w:val="00B421CD"/>
    <w:rsid w:val="00B42280"/>
    <w:rsid w:val="00B42384"/>
    <w:rsid w:val="00B42515"/>
    <w:rsid w:val="00B426B9"/>
    <w:rsid w:val="00B4285D"/>
    <w:rsid w:val="00B42BB4"/>
    <w:rsid w:val="00B43237"/>
    <w:rsid w:val="00B43303"/>
    <w:rsid w:val="00B437F4"/>
    <w:rsid w:val="00B43A7D"/>
    <w:rsid w:val="00B43F8B"/>
    <w:rsid w:val="00B4410E"/>
    <w:rsid w:val="00B441FE"/>
    <w:rsid w:val="00B445D3"/>
    <w:rsid w:val="00B44674"/>
    <w:rsid w:val="00B44830"/>
    <w:rsid w:val="00B449EC"/>
    <w:rsid w:val="00B44C34"/>
    <w:rsid w:val="00B44DA7"/>
    <w:rsid w:val="00B44E15"/>
    <w:rsid w:val="00B45040"/>
    <w:rsid w:val="00B45353"/>
    <w:rsid w:val="00B453A3"/>
    <w:rsid w:val="00B45442"/>
    <w:rsid w:val="00B459E5"/>
    <w:rsid w:val="00B45A62"/>
    <w:rsid w:val="00B45C3A"/>
    <w:rsid w:val="00B46554"/>
    <w:rsid w:val="00B467CD"/>
    <w:rsid w:val="00B46A63"/>
    <w:rsid w:val="00B46EC9"/>
    <w:rsid w:val="00B46F01"/>
    <w:rsid w:val="00B470BF"/>
    <w:rsid w:val="00B471E0"/>
    <w:rsid w:val="00B47264"/>
    <w:rsid w:val="00B47279"/>
    <w:rsid w:val="00B47414"/>
    <w:rsid w:val="00B475FD"/>
    <w:rsid w:val="00B4785F"/>
    <w:rsid w:val="00B47969"/>
    <w:rsid w:val="00B47BD1"/>
    <w:rsid w:val="00B502B7"/>
    <w:rsid w:val="00B502F2"/>
    <w:rsid w:val="00B503F0"/>
    <w:rsid w:val="00B50750"/>
    <w:rsid w:val="00B50766"/>
    <w:rsid w:val="00B50CE7"/>
    <w:rsid w:val="00B50D1A"/>
    <w:rsid w:val="00B50FAC"/>
    <w:rsid w:val="00B5115E"/>
    <w:rsid w:val="00B5123D"/>
    <w:rsid w:val="00B51335"/>
    <w:rsid w:val="00B513E5"/>
    <w:rsid w:val="00B5141E"/>
    <w:rsid w:val="00B515F9"/>
    <w:rsid w:val="00B51BAD"/>
    <w:rsid w:val="00B51C58"/>
    <w:rsid w:val="00B51E81"/>
    <w:rsid w:val="00B5233A"/>
    <w:rsid w:val="00B5238F"/>
    <w:rsid w:val="00B5278D"/>
    <w:rsid w:val="00B52A4A"/>
    <w:rsid w:val="00B53451"/>
    <w:rsid w:val="00B535B5"/>
    <w:rsid w:val="00B53B78"/>
    <w:rsid w:val="00B53CB5"/>
    <w:rsid w:val="00B53F20"/>
    <w:rsid w:val="00B5432D"/>
    <w:rsid w:val="00B54674"/>
    <w:rsid w:val="00B54B35"/>
    <w:rsid w:val="00B54BA2"/>
    <w:rsid w:val="00B54E51"/>
    <w:rsid w:val="00B55331"/>
    <w:rsid w:val="00B5534E"/>
    <w:rsid w:val="00B5536E"/>
    <w:rsid w:val="00B554D6"/>
    <w:rsid w:val="00B555FB"/>
    <w:rsid w:val="00B55EC9"/>
    <w:rsid w:val="00B5609E"/>
    <w:rsid w:val="00B560E2"/>
    <w:rsid w:val="00B562AB"/>
    <w:rsid w:val="00B5647C"/>
    <w:rsid w:val="00B56826"/>
    <w:rsid w:val="00B56870"/>
    <w:rsid w:val="00B56AE3"/>
    <w:rsid w:val="00B56DB9"/>
    <w:rsid w:val="00B56E0D"/>
    <w:rsid w:val="00B56E90"/>
    <w:rsid w:val="00B56F29"/>
    <w:rsid w:val="00B57359"/>
    <w:rsid w:val="00B5745D"/>
    <w:rsid w:val="00B576BF"/>
    <w:rsid w:val="00B57787"/>
    <w:rsid w:val="00B578B1"/>
    <w:rsid w:val="00B57C11"/>
    <w:rsid w:val="00B57C34"/>
    <w:rsid w:val="00B57CCA"/>
    <w:rsid w:val="00B57E07"/>
    <w:rsid w:val="00B57E13"/>
    <w:rsid w:val="00B57E5F"/>
    <w:rsid w:val="00B60171"/>
    <w:rsid w:val="00B60255"/>
    <w:rsid w:val="00B604A9"/>
    <w:rsid w:val="00B60776"/>
    <w:rsid w:val="00B60A69"/>
    <w:rsid w:val="00B61281"/>
    <w:rsid w:val="00B61337"/>
    <w:rsid w:val="00B614E6"/>
    <w:rsid w:val="00B6154F"/>
    <w:rsid w:val="00B618DE"/>
    <w:rsid w:val="00B61D6C"/>
    <w:rsid w:val="00B629B3"/>
    <w:rsid w:val="00B630A5"/>
    <w:rsid w:val="00B6318C"/>
    <w:rsid w:val="00B6327C"/>
    <w:rsid w:val="00B63D2E"/>
    <w:rsid w:val="00B63D31"/>
    <w:rsid w:val="00B63DAF"/>
    <w:rsid w:val="00B63DB3"/>
    <w:rsid w:val="00B63FF1"/>
    <w:rsid w:val="00B640AA"/>
    <w:rsid w:val="00B642E9"/>
    <w:rsid w:val="00B64949"/>
    <w:rsid w:val="00B656AE"/>
    <w:rsid w:val="00B65AE0"/>
    <w:rsid w:val="00B65DFB"/>
    <w:rsid w:val="00B66382"/>
    <w:rsid w:val="00B66BE0"/>
    <w:rsid w:val="00B66BEB"/>
    <w:rsid w:val="00B66DB2"/>
    <w:rsid w:val="00B66E3A"/>
    <w:rsid w:val="00B66E6C"/>
    <w:rsid w:val="00B67199"/>
    <w:rsid w:val="00B6745D"/>
    <w:rsid w:val="00B674E3"/>
    <w:rsid w:val="00B6775D"/>
    <w:rsid w:val="00B679E6"/>
    <w:rsid w:val="00B67DB2"/>
    <w:rsid w:val="00B70094"/>
    <w:rsid w:val="00B70508"/>
    <w:rsid w:val="00B70538"/>
    <w:rsid w:val="00B706E2"/>
    <w:rsid w:val="00B70AA0"/>
    <w:rsid w:val="00B70B90"/>
    <w:rsid w:val="00B70D6D"/>
    <w:rsid w:val="00B70F68"/>
    <w:rsid w:val="00B70FBD"/>
    <w:rsid w:val="00B711A0"/>
    <w:rsid w:val="00B715D7"/>
    <w:rsid w:val="00B718FF"/>
    <w:rsid w:val="00B719D4"/>
    <w:rsid w:val="00B71CE9"/>
    <w:rsid w:val="00B71DF6"/>
    <w:rsid w:val="00B727C3"/>
    <w:rsid w:val="00B728CB"/>
    <w:rsid w:val="00B734D2"/>
    <w:rsid w:val="00B73770"/>
    <w:rsid w:val="00B7381D"/>
    <w:rsid w:val="00B7389E"/>
    <w:rsid w:val="00B73EF2"/>
    <w:rsid w:val="00B742D8"/>
    <w:rsid w:val="00B745CD"/>
    <w:rsid w:val="00B746FE"/>
    <w:rsid w:val="00B74EEC"/>
    <w:rsid w:val="00B74F72"/>
    <w:rsid w:val="00B752C5"/>
    <w:rsid w:val="00B755CA"/>
    <w:rsid w:val="00B75741"/>
    <w:rsid w:val="00B7606E"/>
    <w:rsid w:val="00B762BD"/>
    <w:rsid w:val="00B7657E"/>
    <w:rsid w:val="00B765EA"/>
    <w:rsid w:val="00B767F1"/>
    <w:rsid w:val="00B76F9B"/>
    <w:rsid w:val="00B7700D"/>
    <w:rsid w:val="00B77252"/>
    <w:rsid w:val="00B77B4F"/>
    <w:rsid w:val="00B77B85"/>
    <w:rsid w:val="00B77C43"/>
    <w:rsid w:val="00B77CBD"/>
    <w:rsid w:val="00B77CFD"/>
    <w:rsid w:val="00B80200"/>
    <w:rsid w:val="00B803CF"/>
    <w:rsid w:val="00B80683"/>
    <w:rsid w:val="00B80830"/>
    <w:rsid w:val="00B8092F"/>
    <w:rsid w:val="00B80C19"/>
    <w:rsid w:val="00B810A0"/>
    <w:rsid w:val="00B8118B"/>
    <w:rsid w:val="00B814E4"/>
    <w:rsid w:val="00B81637"/>
    <w:rsid w:val="00B8189F"/>
    <w:rsid w:val="00B81B19"/>
    <w:rsid w:val="00B8216E"/>
    <w:rsid w:val="00B82260"/>
    <w:rsid w:val="00B823E0"/>
    <w:rsid w:val="00B8290C"/>
    <w:rsid w:val="00B82A66"/>
    <w:rsid w:val="00B82BC4"/>
    <w:rsid w:val="00B82EDA"/>
    <w:rsid w:val="00B83858"/>
    <w:rsid w:val="00B83922"/>
    <w:rsid w:val="00B83ABA"/>
    <w:rsid w:val="00B83EF9"/>
    <w:rsid w:val="00B8405B"/>
    <w:rsid w:val="00B8463D"/>
    <w:rsid w:val="00B848F1"/>
    <w:rsid w:val="00B849F9"/>
    <w:rsid w:val="00B849FB"/>
    <w:rsid w:val="00B8535C"/>
    <w:rsid w:val="00B85732"/>
    <w:rsid w:val="00B8589A"/>
    <w:rsid w:val="00B858B9"/>
    <w:rsid w:val="00B85A0E"/>
    <w:rsid w:val="00B86355"/>
    <w:rsid w:val="00B86641"/>
    <w:rsid w:val="00B86B1E"/>
    <w:rsid w:val="00B86DEA"/>
    <w:rsid w:val="00B86F9F"/>
    <w:rsid w:val="00B87185"/>
    <w:rsid w:val="00B872D0"/>
    <w:rsid w:val="00B8732F"/>
    <w:rsid w:val="00B87383"/>
    <w:rsid w:val="00B87677"/>
    <w:rsid w:val="00B876DB"/>
    <w:rsid w:val="00B87898"/>
    <w:rsid w:val="00B878B7"/>
    <w:rsid w:val="00B87C23"/>
    <w:rsid w:val="00B90981"/>
    <w:rsid w:val="00B90AE6"/>
    <w:rsid w:val="00B90C76"/>
    <w:rsid w:val="00B91295"/>
    <w:rsid w:val="00B91541"/>
    <w:rsid w:val="00B91A27"/>
    <w:rsid w:val="00B91FCA"/>
    <w:rsid w:val="00B9269E"/>
    <w:rsid w:val="00B92775"/>
    <w:rsid w:val="00B92A69"/>
    <w:rsid w:val="00B92BE1"/>
    <w:rsid w:val="00B92C76"/>
    <w:rsid w:val="00B92DDA"/>
    <w:rsid w:val="00B93074"/>
    <w:rsid w:val="00B930A1"/>
    <w:rsid w:val="00B930B8"/>
    <w:rsid w:val="00B933AD"/>
    <w:rsid w:val="00B93856"/>
    <w:rsid w:val="00B93E7B"/>
    <w:rsid w:val="00B93F30"/>
    <w:rsid w:val="00B940B1"/>
    <w:rsid w:val="00B940E9"/>
    <w:rsid w:val="00B94541"/>
    <w:rsid w:val="00B945AA"/>
    <w:rsid w:val="00B948D2"/>
    <w:rsid w:val="00B94AC5"/>
    <w:rsid w:val="00B95046"/>
    <w:rsid w:val="00B9516A"/>
    <w:rsid w:val="00B95193"/>
    <w:rsid w:val="00B95254"/>
    <w:rsid w:val="00B953A7"/>
    <w:rsid w:val="00B95578"/>
    <w:rsid w:val="00B956A6"/>
    <w:rsid w:val="00B957DB"/>
    <w:rsid w:val="00B95B80"/>
    <w:rsid w:val="00B95BAC"/>
    <w:rsid w:val="00B95BCA"/>
    <w:rsid w:val="00B95D2F"/>
    <w:rsid w:val="00B95D82"/>
    <w:rsid w:val="00B95DAD"/>
    <w:rsid w:val="00B95F73"/>
    <w:rsid w:val="00B96250"/>
    <w:rsid w:val="00B963E7"/>
    <w:rsid w:val="00B964BA"/>
    <w:rsid w:val="00B96964"/>
    <w:rsid w:val="00B96965"/>
    <w:rsid w:val="00B96A2F"/>
    <w:rsid w:val="00B96D8D"/>
    <w:rsid w:val="00B96E6D"/>
    <w:rsid w:val="00B96EB1"/>
    <w:rsid w:val="00B9714A"/>
    <w:rsid w:val="00B972B3"/>
    <w:rsid w:val="00B9734C"/>
    <w:rsid w:val="00B97585"/>
    <w:rsid w:val="00B9776B"/>
    <w:rsid w:val="00B97C8C"/>
    <w:rsid w:val="00BA0136"/>
    <w:rsid w:val="00BA07D5"/>
    <w:rsid w:val="00BA0A76"/>
    <w:rsid w:val="00BA0B3B"/>
    <w:rsid w:val="00BA0BF7"/>
    <w:rsid w:val="00BA0DF6"/>
    <w:rsid w:val="00BA1025"/>
    <w:rsid w:val="00BA15C5"/>
    <w:rsid w:val="00BA15CC"/>
    <w:rsid w:val="00BA19F6"/>
    <w:rsid w:val="00BA1BFC"/>
    <w:rsid w:val="00BA2144"/>
    <w:rsid w:val="00BA2279"/>
    <w:rsid w:val="00BA232E"/>
    <w:rsid w:val="00BA277E"/>
    <w:rsid w:val="00BA29AF"/>
    <w:rsid w:val="00BA2C91"/>
    <w:rsid w:val="00BA2D61"/>
    <w:rsid w:val="00BA2E09"/>
    <w:rsid w:val="00BA2EB3"/>
    <w:rsid w:val="00BA2F13"/>
    <w:rsid w:val="00BA3343"/>
    <w:rsid w:val="00BA344C"/>
    <w:rsid w:val="00BA371C"/>
    <w:rsid w:val="00BA3729"/>
    <w:rsid w:val="00BA3890"/>
    <w:rsid w:val="00BA38B0"/>
    <w:rsid w:val="00BA40DB"/>
    <w:rsid w:val="00BA43B6"/>
    <w:rsid w:val="00BA44AE"/>
    <w:rsid w:val="00BA45BB"/>
    <w:rsid w:val="00BA48C7"/>
    <w:rsid w:val="00BA4AA0"/>
    <w:rsid w:val="00BA4D5E"/>
    <w:rsid w:val="00BA4EBB"/>
    <w:rsid w:val="00BA54B2"/>
    <w:rsid w:val="00BA57CF"/>
    <w:rsid w:val="00BA583A"/>
    <w:rsid w:val="00BA5B26"/>
    <w:rsid w:val="00BA5B36"/>
    <w:rsid w:val="00BA5DDF"/>
    <w:rsid w:val="00BA5DE9"/>
    <w:rsid w:val="00BA60DB"/>
    <w:rsid w:val="00BA6256"/>
    <w:rsid w:val="00BA636E"/>
    <w:rsid w:val="00BA64DF"/>
    <w:rsid w:val="00BA6793"/>
    <w:rsid w:val="00BA6829"/>
    <w:rsid w:val="00BA6DAE"/>
    <w:rsid w:val="00BA6E92"/>
    <w:rsid w:val="00BA763D"/>
    <w:rsid w:val="00BA7938"/>
    <w:rsid w:val="00BA7B19"/>
    <w:rsid w:val="00BA7B20"/>
    <w:rsid w:val="00BA7E58"/>
    <w:rsid w:val="00BA7F9E"/>
    <w:rsid w:val="00BB0270"/>
    <w:rsid w:val="00BB0329"/>
    <w:rsid w:val="00BB0418"/>
    <w:rsid w:val="00BB044C"/>
    <w:rsid w:val="00BB0502"/>
    <w:rsid w:val="00BB07DF"/>
    <w:rsid w:val="00BB09AC"/>
    <w:rsid w:val="00BB0CA9"/>
    <w:rsid w:val="00BB180D"/>
    <w:rsid w:val="00BB18F0"/>
    <w:rsid w:val="00BB191A"/>
    <w:rsid w:val="00BB1A8A"/>
    <w:rsid w:val="00BB1BEC"/>
    <w:rsid w:val="00BB1D55"/>
    <w:rsid w:val="00BB1F16"/>
    <w:rsid w:val="00BB21DA"/>
    <w:rsid w:val="00BB22FE"/>
    <w:rsid w:val="00BB23BC"/>
    <w:rsid w:val="00BB26DB"/>
    <w:rsid w:val="00BB287C"/>
    <w:rsid w:val="00BB2BFF"/>
    <w:rsid w:val="00BB2E31"/>
    <w:rsid w:val="00BB3473"/>
    <w:rsid w:val="00BB362A"/>
    <w:rsid w:val="00BB37EE"/>
    <w:rsid w:val="00BB3F81"/>
    <w:rsid w:val="00BB4105"/>
    <w:rsid w:val="00BB42C1"/>
    <w:rsid w:val="00BB48D2"/>
    <w:rsid w:val="00BB4D05"/>
    <w:rsid w:val="00BB54F4"/>
    <w:rsid w:val="00BB55EB"/>
    <w:rsid w:val="00BB59B1"/>
    <w:rsid w:val="00BB5CBB"/>
    <w:rsid w:val="00BB5F05"/>
    <w:rsid w:val="00BB6266"/>
    <w:rsid w:val="00BB62BB"/>
    <w:rsid w:val="00BB6410"/>
    <w:rsid w:val="00BB6458"/>
    <w:rsid w:val="00BB696B"/>
    <w:rsid w:val="00BB6D20"/>
    <w:rsid w:val="00BB6DDC"/>
    <w:rsid w:val="00BB7200"/>
    <w:rsid w:val="00BB7CF3"/>
    <w:rsid w:val="00BB7D0C"/>
    <w:rsid w:val="00BB7DCE"/>
    <w:rsid w:val="00BC0266"/>
    <w:rsid w:val="00BC03FB"/>
    <w:rsid w:val="00BC0445"/>
    <w:rsid w:val="00BC0466"/>
    <w:rsid w:val="00BC09EE"/>
    <w:rsid w:val="00BC0E47"/>
    <w:rsid w:val="00BC0FD4"/>
    <w:rsid w:val="00BC1774"/>
    <w:rsid w:val="00BC186B"/>
    <w:rsid w:val="00BC1944"/>
    <w:rsid w:val="00BC1B79"/>
    <w:rsid w:val="00BC2389"/>
    <w:rsid w:val="00BC24D7"/>
    <w:rsid w:val="00BC2A04"/>
    <w:rsid w:val="00BC35DE"/>
    <w:rsid w:val="00BC39C2"/>
    <w:rsid w:val="00BC3B7B"/>
    <w:rsid w:val="00BC3D87"/>
    <w:rsid w:val="00BC406F"/>
    <w:rsid w:val="00BC43CD"/>
    <w:rsid w:val="00BC4515"/>
    <w:rsid w:val="00BC4AB9"/>
    <w:rsid w:val="00BC5452"/>
    <w:rsid w:val="00BC563E"/>
    <w:rsid w:val="00BC57AD"/>
    <w:rsid w:val="00BC5967"/>
    <w:rsid w:val="00BC6053"/>
    <w:rsid w:val="00BC60F1"/>
    <w:rsid w:val="00BC675F"/>
    <w:rsid w:val="00BC6A13"/>
    <w:rsid w:val="00BC6FAA"/>
    <w:rsid w:val="00BC714D"/>
    <w:rsid w:val="00BC7365"/>
    <w:rsid w:val="00BC7611"/>
    <w:rsid w:val="00BC7952"/>
    <w:rsid w:val="00BC7D59"/>
    <w:rsid w:val="00BC7DC4"/>
    <w:rsid w:val="00BD02CF"/>
    <w:rsid w:val="00BD0711"/>
    <w:rsid w:val="00BD0D7D"/>
    <w:rsid w:val="00BD11F8"/>
    <w:rsid w:val="00BD12C4"/>
    <w:rsid w:val="00BD13B2"/>
    <w:rsid w:val="00BD1515"/>
    <w:rsid w:val="00BD1784"/>
    <w:rsid w:val="00BD1833"/>
    <w:rsid w:val="00BD1849"/>
    <w:rsid w:val="00BD1976"/>
    <w:rsid w:val="00BD1BEE"/>
    <w:rsid w:val="00BD1DCB"/>
    <w:rsid w:val="00BD1F3A"/>
    <w:rsid w:val="00BD250F"/>
    <w:rsid w:val="00BD298F"/>
    <w:rsid w:val="00BD2FF8"/>
    <w:rsid w:val="00BD3162"/>
    <w:rsid w:val="00BD3744"/>
    <w:rsid w:val="00BD3A94"/>
    <w:rsid w:val="00BD3AF1"/>
    <w:rsid w:val="00BD3B1E"/>
    <w:rsid w:val="00BD3C22"/>
    <w:rsid w:val="00BD3F29"/>
    <w:rsid w:val="00BD3FC2"/>
    <w:rsid w:val="00BD41AB"/>
    <w:rsid w:val="00BD428B"/>
    <w:rsid w:val="00BD46D8"/>
    <w:rsid w:val="00BD4A60"/>
    <w:rsid w:val="00BD5603"/>
    <w:rsid w:val="00BD561E"/>
    <w:rsid w:val="00BD6236"/>
    <w:rsid w:val="00BD6692"/>
    <w:rsid w:val="00BD6DAC"/>
    <w:rsid w:val="00BD7087"/>
    <w:rsid w:val="00BD73BF"/>
    <w:rsid w:val="00BD74E6"/>
    <w:rsid w:val="00BD7952"/>
    <w:rsid w:val="00BD7B85"/>
    <w:rsid w:val="00BE01D4"/>
    <w:rsid w:val="00BE0EC1"/>
    <w:rsid w:val="00BE116E"/>
    <w:rsid w:val="00BE13F5"/>
    <w:rsid w:val="00BE16A7"/>
    <w:rsid w:val="00BE16D6"/>
    <w:rsid w:val="00BE195A"/>
    <w:rsid w:val="00BE1A93"/>
    <w:rsid w:val="00BE1CDF"/>
    <w:rsid w:val="00BE1E75"/>
    <w:rsid w:val="00BE1FD9"/>
    <w:rsid w:val="00BE20E7"/>
    <w:rsid w:val="00BE2642"/>
    <w:rsid w:val="00BE2922"/>
    <w:rsid w:val="00BE2B86"/>
    <w:rsid w:val="00BE2E80"/>
    <w:rsid w:val="00BE30E1"/>
    <w:rsid w:val="00BE349E"/>
    <w:rsid w:val="00BE364B"/>
    <w:rsid w:val="00BE386A"/>
    <w:rsid w:val="00BE3AD4"/>
    <w:rsid w:val="00BE3F43"/>
    <w:rsid w:val="00BE43E5"/>
    <w:rsid w:val="00BE4602"/>
    <w:rsid w:val="00BE470A"/>
    <w:rsid w:val="00BE48A0"/>
    <w:rsid w:val="00BE48FF"/>
    <w:rsid w:val="00BE4908"/>
    <w:rsid w:val="00BE5336"/>
    <w:rsid w:val="00BE5678"/>
    <w:rsid w:val="00BE57E2"/>
    <w:rsid w:val="00BE5C9D"/>
    <w:rsid w:val="00BE5DF2"/>
    <w:rsid w:val="00BE6140"/>
    <w:rsid w:val="00BE62A9"/>
    <w:rsid w:val="00BE6754"/>
    <w:rsid w:val="00BE7F0D"/>
    <w:rsid w:val="00BF0129"/>
    <w:rsid w:val="00BF027A"/>
    <w:rsid w:val="00BF0507"/>
    <w:rsid w:val="00BF092E"/>
    <w:rsid w:val="00BF0CD8"/>
    <w:rsid w:val="00BF1186"/>
    <w:rsid w:val="00BF1279"/>
    <w:rsid w:val="00BF1441"/>
    <w:rsid w:val="00BF1A50"/>
    <w:rsid w:val="00BF1BA6"/>
    <w:rsid w:val="00BF1BF2"/>
    <w:rsid w:val="00BF1D83"/>
    <w:rsid w:val="00BF1EFC"/>
    <w:rsid w:val="00BF1FD9"/>
    <w:rsid w:val="00BF2014"/>
    <w:rsid w:val="00BF204D"/>
    <w:rsid w:val="00BF21F2"/>
    <w:rsid w:val="00BF2207"/>
    <w:rsid w:val="00BF22B2"/>
    <w:rsid w:val="00BF2399"/>
    <w:rsid w:val="00BF246E"/>
    <w:rsid w:val="00BF30D3"/>
    <w:rsid w:val="00BF3177"/>
    <w:rsid w:val="00BF34A3"/>
    <w:rsid w:val="00BF34EB"/>
    <w:rsid w:val="00BF35FA"/>
    <w:rsid w:val="00BF37AB"/>
    <w:rsid w:val="00BF37B6"/>
    <w:rsid w:val="00BF3863"/>
    <w:rsid w:val="00BF3BC0"/>
    <w:rsid w:val="00BF426A"/>
    <w:rsid w:val="00BF43B4"/>
    <w:rsid w:val="00BF46BF"/>
    <w:rsid w:val="00BF4CEF"/>
    <w:rsid w:val="00BF4E9C"/>
    <w:rsid w:val="00BF4F69"/>
    <w:rsid w:val="00BF5200"/>
    <w:rsid w:val="00BF5345"/>
    <w:rsid w:val="00BF53F7"/>
    <w:rsid w:val="00BF55F2"/>
    <w:rsid w:val="00BF56F7"/>
    <w:rsid w:val="00BF5701"/>
    <w:rsid w:val="00BF5E4A"/>
    <w:rsid w:val="00BF5F5F"/>
    <w:rsid w:val="00BF5F7D"/>
    <w:rsid w:val="00BF61A6"/>
    <w:rsid w:val="00BF6304"/>
    <w:rsid w:val="00BF6444"/>
    <w:rsid w:val="00BF6588"/>
    <w:rsid w:val="00BF658C"/>
    <w:rsid w:val="00BF667F"/>
    <w:rsid w:val="00BF67C0"/>
    <w:rsid w:val="00BF6906"/>
    <w:rsid w:val="00BF69F8"/>
    <w:rsid w:val="00BF6D4A"/>
    <w:rsid w:val="00BF6D5B"/>
    <w:rsid w:val="00BF7173"/>
    <w:rsid w:val="00BF7295"/>
    <w:rsid w:val="00BF744F"/>
    <w:rsid w:val="00BF747F"/>
    <w:rsid w:val="00BF74A2"/>
    <w:rsid w:val="00BF7580"/>
    <w:rsid w:val="00BF7817"/>
    <w:rsid w:val="00BF7861"/>
    <w:rsid w:val="00BF78AC"/>
    <w:rsid w:val="00BF7C38"/>
    <w:rsid w:val="00BF7D65"/>
    <w:rsid w:val="00C00566"/>
    <w:rsid w:val="00C006B6"/>
    <w:rsid w:val="00C009A9"/>
    <w:rsid w:val="00C00AB6"/>
    <w:rsid w:val="00C00B49"/>
    <w:rsid w:val="00C00CD2"/>
    <w:rsid w:val="00C00E75"/>
    <w:rsid w:val="00C01268"/>
    <w:rsid w:val="00C0127A"/>
    <w:rsid w:val="00C01D60"/>
    <w:rsid w:val="00C01DD0"/>
    <w:rsid w:val="00C01EC6"/>
    <w:rsid w:val="00C01EFF"/>
    <w:rsid w:val="00C024B3"/>
    <w:rsid w:val="00C026CB"/>
    <w:rsid w:val="00C0290C"/>
    <w:rsid w:val="00C02912"/>
    <w:rsid w:val="00C02B9B"/>
    <w:rsid w:val="00C02E5A"/>
    <w:rsid w:val="00C030FA"/>
    <w:rsid w:val="00C032B3"/>
    <w:rsid w:val="00C03B5E"/>
    <w:rsid w:val="00C04260"/>
    <w:rsid w:val="00C0429B"/>
    <w:rsid w:val="00C043BA"/>
    <w:rsid w:val="00C05069"/>
    <w:rsid w:val="00C050C3"/>
    <w:rsid w:val="00C0544A"/>
    <w:rsid w:val="00C0547F"/>
    <w:rsid w:val="00C06856"/>
    <w:rsid w:val="00C06C18"/>
    <w:rsid w:val="00C06DA3"/>
    <w:rsid w:val="00C06FDF"/>
    <w:rsid w:val="00C072B6"/>
    <w:rsid w:val="00C076A3"/>
    <w:rsid w:val="00C07768"/>
    <w:rsid w:val="00C078F8"/>
    <w:rsid w:val="00C079D9"/>
    <w:rsid w:val="00C07BC5"/>
    <w:rsid w:val="00C07E78"/>
    <w:rsid w:val="00C101B4"/>
    <w:rsid w:val="00C101C3"/>
    <w:rsid w:val="00C10732"/>
    <w:rsid w:val="00C10880"/>
    <w:rsid w:val="00C10BA5"/>
    <w:rsid w:val="00C116FC"/>
    <w:rsid w:val="00C119AB"/>
    <w:rsid w:val="00C11EE4"/>
    <w:rsid w:val="00C12541"/>
    <w:rsid w:val="00C129D8"/>
    <w:rsid w:val="00C12BB1"/>
    <w:rsid w:val="00C12C73"/>
    <w:rsid w:val="00C1324A"/>
    <w:rsid w:val="00C133A0"/>
    <w:rsid w:val="00C133F9"/>
    <w:rsid w:val="00C13F53"/>
    <w:rsid w:val="00C14305"/>
    <w:rsid w:val="00C1443A"/>
    <w:rsid w:val="00C146B0"/>
    <w:rsid w:val="00C14BB9"/>
    <w:rsid w:val="00C15213"/>
    <w:rsid w:val="00C15973"/>
    <w:rsid w:val="00C159C8"/>
    <w:rsid w:val="00C15E16"/>
    <w:rsid w:val="00C1682F"/>
    <w:rsid w:val="00C16969"/>
    <w:rsid w:val="00C16CAA"/>
    <w:rsid w:val="00C16F57"/>
    <w:rsid w:val="00C17260"/>
    <w:rsid w:val="00C1729E"/>
    <w:rsid w:val="00C177E5"/>
    <w:rsid w:val="00C17834"/>
    <w:rsid w:val="00C178DF"/>
    <w:rsid w:val="00C17EB5"/>
    <w:rsid w:val="00C202DD"/>
    <w:rsid w:val="00C20376"/>
    <w:rsid w:val="00C203AE"/>
    <w:rsid w:val="00C20484"/>
    <w:rsid w:val="00C20B71"/>
    <w:rsid w:val="00C20DC3"/>
    <w:rsid w:val="00C210D6"/>
    <w:rsid w:val="00C2118C"/>
    <w:rsid w:val="00C216F5"/>
    <w:rsid w:val="00C2195D"/>
    <w:rsid w:val="00C21BD1"/>
    <w:rsid w:val="00C21ECD"/>
    <w:rsid w:val="00C21F1C"/>
    <w:rsid w:val="00C222C6"/>
    <w:rsid w:val="00C22780"/>
    <w:rsid w:val="00C22936"/>
    <w:rsid w:val="00C22A5F"/>
    <w:rsid w:val="00C22BD1"/>
    <w:rsid w:val="00C22E6D"/>
    <w:rsid w:val="00C22EFA"/>
    <w:rsid w:val="00C23683"/>
    <w:rsid w:val="00C23EC6"/>
    <w:rsid w:val="00C23F57"/>
    <w:rsid w:val="00C244BB"/>
    <w:rsid w:val="00C24AFC"/>
    <w:rsid w:val="00C24D6C"/>
    <w:rsid w:val="00C24DD5"/>
    <w:rsid w:val="00C24E33"/>
    <w:rsid w:val="00C25082"/>
    <w:rsid w:val="00C2558A"/>
    <w:rsid w:val="00C2563B"/>
    <w:rsid w:val="00C256FC"/>
    <w:rsid w:val="00C25808"/>
    <w:rsid w:val="00C2589B"/>
    <w:rsid w:val="00C25ADE"/>
    <w:rsid w:val="00C260A2"/>
    <w:rsid w:val="00C26913"/>
    <w:rsid w:val="00C2696B"/>
    <w:rsid w:val="00C26B21"/>
    <w:rsid w:val="00C26CFE"/>
    <w:rsid w:val="00C27231"/>
    <w:rsid w:val="00C27342"/>
    <w:rsid w:val="00C273F6"/>
    <w:rsid w:val="00C27562"/>
    <w:rsid w:val="00C27D09"/>
    <w:rsid w:val="00C27DBC"/>
    <w:rsid w:val="00C27DFE"/>
    <w:rsid w:val="00C303D0"/>
    <w:rsid w:val="00C30533"/>
    <w:rsid w:val="00C309DB"/>
    <w:rsid w:val="00C30DAC"/>
    <w:rsid w:val="00C3118A"/>
    <w:rsid w:val="00C312A7"/>
    <w:rsid w:val="00C31673"/>
    <w:rsid w:val="00C31856"/>
    <w:rsid w:val="00C31C18"/>
    <w:rsid w:val="00C31DC8"/>
    <w:rsid w:val="00C32097"/>
    <w:rsid w:val="00C32AEA"/>
    <w:rsid w:val="00C32BD7"/>
    <w:rsid w:val="00C32EB3"/>
    <w:rsid w:val="00C32F4F"/>
    <w:rsid w:val="00C33129"/>
    <w:rsid w:val="00C33299"/>
    <w:rsid w:val="00C33720"/>
    <w:rsid w:val="00C338FA"/>
    <w:rsid w:val="00C33EEF"/>
    <w:rsid w:val="00C341AF"/>
    <w:rsid w:val="00C342AF"/>
    <w:rsid w:val="00C344AC"/>
    <w:rsid w:val="00C34738"/>
    <w:rsid w:val="00C34A6B"/>
    <w:rsid w:val="00C34A6F"/>
    <w:rsid w:val="00C34B84"/>
    <w:rsid w:val="00C34DE4"/>
    <w:rsid w:val="00C35059"/>
    <w:rsid w:val="00C3518A"/>
    <w:rsid w:val="00C351C4"/>
    <w:rsid w:val="00C35229"/>
    <w:rsid w:val="00C354D9"/>
    <w:rsid w:val="00C35E02"/>
    <w:rsid w:val="00C36582"/>
    <w:rsid w:val="00C36589"/>
    <w:rsid w:val="00C3666E"/>
    <w:rsid w:val="00C368F2"/>
    <w:rsid w:val="00C373FF"/>
    <w:rsid w:val="00C374B8"/>
    <w:rsid w:val="00C375DD"/>
    <w:rsid w:val="00C377E9"/>
    <w:rsid w:val="00C379FE"/>
    <w:rsid w:val="00C37CB8"/>
    <w:rsid w:val="00C37DA0"/>
    <w:rsid w:val="00C37E1D"/>
    <w:rsid w:val="00C40119"/>
    <w:rsid w:val="00C4016C"/>
    <w:rsid w:val="00C40298"/>
    <w:rsid w:val="00C4049A"/>
    <w:rsid w:val="00C40BBA"/>
    <w:rsid w:val="00C40C7B"/>
    <w:rsid w:val="00C40D79"/>
    <w:rsid w:val="00C4115B"/>
    <w:rsid w:val="00C41235"/>
    <w:rsid w:val="00C41740"/>
    <w:rsid w:val="00C41DAD"/>
    <w:rsid w:val="00C41F18"/>
    <w:rsid w:val="00C41F25"/>
    <w:rsid w:val="00C4226D"/>
    <w:rsid w:val="00C42799"/>
    <w:rsid w:val="00C42854"/>
    <w:rsid w:val="00C42940"/>
    <w:rsid w:val="00C42A9B"/>
    <w:rsid w:val="00C43190"/>
    <w:rsid w:val="00C43749"/>
    <w:rsid w:val="00C437E2"/>
    <w:rsid w:val="00C43BB3"/>
    <w:rsid w:val="00C43DD8"/>
    <w:rsid w:val="00C441BB"/>
    <w:rsid w:val="00C44597"/>
    <w:rsid w:val="00C446AE"/>
    <w:rsid w:val="00C44752"/>
    <w:rsid w:val="00C44AFA"/>
    <w:rsid w:val="00C44E4C"/>
    <w:rsid w:val="00C4515D"/>
    <w:rsid w:val="00C45325"/>
    <w:rsid w:val="00C45C70"/>
    <w:rsid w:val="00C45D27"/>
    <w:rsid w:val="00C45D6F"/>
    <w:rsid w:val="00C45D88"/>
    <w:rsid w:val="00C45E86"/>
    <w:rsid w:val="00C45F04"/>
    <w:rsid w:val="00C4628F"/>
    <w:rsid w:val="00C464FA"/>
    <w:rsid w:val="00C4652F"/>
    <w:rsid w:val="00C469C0"/>
    <w:rsid w:val="00C46A48"/>
    <w:rsid w:val="00C46E6E"/>
    <w:rsid w:val="00C4710D"/>
    <w:rsid w:val="00C473E8"/>
    <w:rsid w:val="00C477D2"/>
    <w:rsid w:val="00C47930"/>
    <w:rsid w:val="00C479A8"/>
    <w:rsid w:val="00C47D2D"/>
    <w:rsid w:val="00C47E43"/>
    <w:rsid w:val="00C50049"/>
    <w:rsid w:val="00C500CE"/>
    <w:rsid w:val="00C5010A"/>
    <w:rsid w:val="00C50266"/>
    <w:rsid w:val="00C5103D"/>
    <w:rsid w:val="00C51479"/>
    <w:rsid w:val="00C51542"/>
    <w:rsid w:val="00C51AB5"/>
    <w:rsid w:val="00C51BD2"/>
    <w:rsid w:val="00C51F43"/>
    <w:rsid w:val="00C52050"/>
    <w:rsid w:val="00C52873"/>
    <w:rsid w:val="00C52977"/>
    <w:rsid w:val="00C52C35"/>
    <w:rsid w:val="00C52E35"/>
    <w:rsid w:val="00C5306B"/>
    <w:rsid w:val="00C53155"/>
    <w:rsid w:val="00C53254"/>
    <w:rsid w:val="00C5337C"/>
    <w:rsid w:val="00C5390F"/>
    <w:rsid w:val="00C53C27"/>
    <w:rsid w:val="00C53F4B"/>
    <w:rsid w:val="00C542B2"/>
    <w:rsid w:val="00C5462F"/>
    <w:rsid w:val="00C54968"/>
    <w:rsid w:val="00C54CE1"/>
    <w:rsid w:val="00C54DBF"/>
    <w:rsid w:val="00C5508E"/>
    <w:rsid w:val="00C5567B"/>
    <w:rsid w:val="00C55980"/>
    <w:rsid w:val="00C55B39"/>
    <w:rsid w:val="00C55F64"/>
    <w:rsid w:val="00C561DC"/>
    <w:rsid w:val="00C56367"/>
    <w:rsid w:val="00C56381"/>
    <w:rsid w:val="00C56545"/>
    <w:rsid w:val="00C56994"/>
    <w:rsid w:val="00C56B34"/>
    <w:rsid w:val="00C56E30"/>
    <w:rsid w:val="00C56F53"/>
    <w:rsid w:val="00C56FFC"/>
    <w:rsid w:val="00C57004"/>
    <w:rsid w:val="00C57113"/>
    <w:rsid w:val="00C571CA"/>
    <w:rsid w:val="00C57514"/>
    <w:rsid w:val="00C57692"/>
    <w:rsid w:val="00C5789C"/>
    <w:rsid w:val="00C57A7B"/>
    <w:rsid w:val="00C57B32"/>
    <w:rsid w:val="00C6040C"/>
    <w:rsid w:val="00C608A2"/>
    <w:rsid w:val="00C608CE"/>
    <w:rsid w:val="00C60A1E"/>
    <w:rsid w:val="00C60E32"/>
    <w:rsid w:val="00C612A8"/>
    <w:rsid w:val="00C613DB"/>
    <w:rsid w:val="00C61786"/>
    <w:rsid w:val="00C6180A"/>
    <w:rsid w:val="00C61909"/>
    <w:rsid w:val="00C61ACE"/>
    <w:rsid w:val="00C61DE2"/>
    <w:rsid w:val="00C61DF0"/>
    <w:rsid w:val="00C61EC0"/>
    <w:rsid w:val="00C625FE"/>
    <w:rsid w:val="00C62609"/>
    <w:rsid w:val="00C627ED"/>
    <w:rsid w:val="00C62895"/>
    <w:rsid w:val="00C62C3D"/>
    <w:rsid w:val="00C63117"/>
    <w:rsid w:val="00C633D6"/>
    <w:rsid w:val="00C63556"/>
    <w:rsid w:val="00C63A13"/>
    <w:rsid w:val="00C63A57"/>
    <w:rsid w:val="00C63A79"/>
    <w:rsid w:val="00C63BB9"/>
    <w:rsid w:val="00C63D2E"/>
    <w:rsid w:val="00C64029"/>
    <w:rsid w:val="00C6446C"/>
    <w:rsid w:val="00C64581"/>
    <w:rsid w:val="00C646C2"/>
    <w:rsid w:val="00C646D3"/>
    <w:rsid w:val="00C6480C"/>
    <w:rsid w:val="00C6497E"/>
    <w:rsid w:val="00C64AC2"/>
    <w:rsid w:val="00C64B1A"/>
    <w:rsid w:val="00C64C19"/>
    <w:rsid w:val="00C64DCD"/>
    <w:rsid w:val="00C6511B"/>
    <w:rsid w:val="00C6573A"/>
    <w:rsid w:val="00C657C5"/>
    <w:rsid w:val="00C65A42"/>
    <w:rsid w:val="00C65B30"/>
    <w:rsid w:val="00C65C27"/>
    <w:rsid w:val="00C65FC2"/>
    <w:rsid w:val="00C66708"/>
    <w:rsid w:val="00C66734"/>
    <w:rsid w:val="00C66753"/>
    <w:rsid w:val="00C66B84"/>
    <w:rsid w:val="00C66DAB"/>
    <w:rsid w:val="00C66E0D"/>
    <w:rsid w:val="00C670D8"/>
    <w:rsid w:val="00C679DA"/>
    <w:rsid w:val="00C67A2A"/>
    <w:rsid w:val="00C67D9F"/>
    <w:rsid w:val="00C67DC6"/>
    <w:rsid w:val="00C702E5"/>
    <w:rsid w:val="00C70352"/>
    <w:rsid w:val="00C705B5"/>
    <w:rsid w:val="00C7084E"/>
    <w:rsid w:val="00C70DCC"/>
    <w:rsid w:val="00C7130F"/>
    <w:rsid w:val="00C7139F"/>
    <w:rsid w:val="00C7159D"/>
    <w:rsid w:val="00C71650"/>
    <w:rsid w:val="00C716AA"/>
    <w:rsid w:val="00C71E32"/>
    <w:rsid w:val="00C72166"/>
    <w:rsid w:val="00C7222A"/>
    <w:rsid w:val="00C725A3"/>
    <w:rsid w:val="00C72EFD"/>
    <w:rsid w:val="00C72F3D"/>
    <w:rsid w:val="00C7342B"/>
    <w:rsid w:val="00C73564"/>
    <w:rsid w:val="00C735F7"/>
    <w:rsid w:val="00C736E0"/>
    <w:rsid w:val="00C73A12"/>
    <w:rsid w:val="00C73FEE"/>
    <w:rsid w:val="00C744FA"/>
    <w:rsid w:val="00C745C9"/>
    <w:rsid w:val="00C745DB"/>
    <w:rsid w:val="00C746EC"/>
    <w:rsid w:val="00C74760"/>
    <w:rsid w:val="00C74C16"/>
    <w:rsid w:val="00C74D98"/>
    <w:rsid w:val="00C74F75"/>
    <w:rsid w:val="00C74FD3"/>
    <w:rsid w:val="00C75120"/>
    <w:rsid w:val="00C752E1"/>
    <w:rsid w:val="00C7534B"/>
    <w:rsid w:val="00C75934"/>
    <w:rsid w:val="00C7595D"/>
    <w:rsid w:val="00C75AA3"/>
    <w:rsid w:val="00C75B6F"/>
    <w:rsid w:val="00C7606A"/>
    <w:rsid w:val="00C76242"/>
    <w:rsid w:val="00C76883"/>
    <w:rsid w:val="00C76A11"/>
    <w:rsid w:val="00C76AC1"/>
    <w:rsid w:val="00C76BFC"/>
    <w:rsid w:val="00C76C84"/>
    <w:rsid w:val="00C7702F"/>
    <w:rsid w:val="00C7748A"/>
    <w:rsid w:val="00C774FD"/>
    <w:rsid w:val="00C777CC"/>
    <w:rsid w:val="00C77919"/>
    <w:rsid w:val="00C77BEE"/>
    <w:rsid w:val="00C77C47"/>
    <w:rsid w:val="00C77D14"/>
    <w:rsid w:val="00C77E14"/>
    <w:rsid w:val="00C80019"/>
    <w:rsid w:val="00C801EF"/>
    <w:rsid w:val="00C80275"/>
    <w:rsid w:val="00C804A8"/>
    <w:rsid w:val="00C804F0"/>
    <w:rsid w:val="00C80509"/>
    <w:rsid w:val="00C806DD"/>
    <w:rsid w:val="00C80800"/>
    <w:rsid w:val="00C808FB"/>
    <w:rsid w:val="00C8097B"/>
    <w:rsid w:val="00C80B6C"/>
    <w:rsid w:val="00C80BFF"/>
    <w:rsid w:val="00C81D9C"/>
    <w:rsid w:val="00C820EF"/>
    <w:rsid w:val="00C8213D"/>
    <w:rsid w:val="00C82426"/>
    <w:rsid w:val="00C827FF"/>
    <w:rsid w:val="00C828AE"/>
    <w:rsid w:val="00C82A7F"/>
    <w:rsid w:val="00C82AD4"/>
    <w:rsid w:val="00C82F1A"/>
    <w:rsid w:val="00C8301F"/>
    <w:rsid w:val="00C830B4"/>
    <w:rsid w:val="00C833DD"/>
    <w:rsid w:val="00C83ACF"/>
    <w:rsid w:val="00C83FBC"/>
    <w:rsid w:val="00C84213"/>
    <w:rsid w:val="00C847B1"/>
    <w:rsid w:val="00C849F7"/>
    <w:rsid w:val="00C84FAC"/>
    <w:rsid w:val="00C851BB"/>
    <w:rsid w:val="00C85324"/>
    <w:rsid w:val="00C85383"/>
    <w:rsid w:val="00C8542B"/>
    <w:rsid w:val="00C85AA1"/>
    <w:rsid w:val="00C864E3"/>
    <w:rsid w:val="00C864EA"/>
    <w:rsid w:val="00C8685B"/>
    <w:rsid w:val="00C8690F"/>
    <w:rsid w:val="00C869B4"/>
    <w:rsid w:val="00C87392"/>
    <w:rsid w:val="00C875C1"/>
    <w:rsid w:val="00C87655"/>
    <w:rsid w:val="00C8769B"/>
    <w:rsid w:val="00C87C69"/>
    <w:rsid w:val="00C902C9"/>
    <w:rsid w:val="00C9048E"/>
    <w:rsid w:val="00C90546"/>
    <w:rsid w:val="00C90655"/>
    <w:rsid w:val="00C909FC"/>
    <w:rsid w:val="00C90C26"/>
    <w:rsid w:val="00C91042"/>
    <w:rsid w:val="00C91308"/>
    <w:rsid w:val="00C91528"/>
    <w:rsid w:val="00C916E9"/>
    <w:rsid w:val="00C91855"/>
    <w:rsid w:val="00C91C6F"/>
    <w:rsid w:val="00C91CD9"/>
    <w:rsid w:val="00C92680"/>
    <w:rsid w:val="00C92B3B"/>
    <w:rsid w:val="00C92BD5"/>
    <w:rsid w:val="00C92D01"/>
    <w:rsid w:val="00C92EAB"/>
    <w:rsid w:val="00C9308A"/>
    <w:rsid w:val="00C930C5"/>
    <w:rsid w:val="00C930EB"/>
    <w:rsid w:val="00C931CE"/>
    <w:rsid w:val="00C93272"/>
    <w:rsid w:val="00C934D5"/>
    <w:rsid w:val="00C93863"/>
    <w:rsid w:val="00C93C28"/>
    <w:rsid w:val="00C93CD6"/>
    <w:rsid w:val="00C94119"/>
    <w:rsid w:val="00C941D2"/>
    <w:rsid w:val="00C947EF"/>
    <w:rsid w:val="00C94AC5"/>
    <w:rsid w:val="00C94E50"/>
    <w:rsid w:val="00C9523B"/>
    <w:rsid w:val="00C952E6"/>
    <w:rsid w:val="00C95390"/>
    <w:rsid w:val="00C953A8"/>
    <w:rsid w:val="00C95669"/>
    <w:rsid w:val="00C95673"/>
    <w:rsid w:val="00C956F7"/>
    <w:rsid w:val="00C957ED"/>
    <w:rsid w:val="00C958E9"/>
    <w:rsid w:val="00C958F7"/>
    <w:rsid w:val="00C95A7C"/>
    <w:rsid w:val="00C95C62"/>
    <w:rsid w:val="00C95CA1"/>
    <w:rsid w:val="00C95E3B"/>
    <w:rsid w:val="00C95EBA"/>
    <w:rsid w:val="00C966FA"/>
    <w:rsid w:val="00C96852"/>
    <w:rsid w:val="00C96AFE"/>
    <w:rsid w:val="00C96ECF"/>
    <w:rsid w:val="00C96F05"/>
    <w:rsid w:val="00C97D46"/>
    <w:rsid w:val="00C97DCF"/>
    <w:rsid w:val="00CA04B3"/>
    <w:rsid w:val="00CA099B"/>
    <w:rsid w:val="00CA0CD4"/>
    <w:rsid w:val="00CA0D24"/>
    <w:rsid w:val="00CA0D6E"/>
    <w:rsid w:val="00CA16AD"/>
    <w:rsid w:val="00CA1AA0"/>
    <w:rsid w:val="00CA1EC6"/>
    <w:rsid w:val="00CA1ECC"/>
    <w:rsid w:val="00CA24F3"/>
    <w:rsid w:val="00CA2896"/>
    <w:rsid w:val="00CA2A0D"/>
    <w:rsid w:val="00CA2B57"/>
    <w:rsid w:val="00CA2B85"/>
    <w:rsid w:val="00CA2BE7"/>
    <w:rsid w:val="00CA2F59"/>
    <w:rsid w:val="00CA3054"/>
    <w:rsid w:val="00CA355E"/>
    <w:rsid w:val="00CA3705"/>
    <w:rsid w:val="00CA37D6"/>
    <w:rsid w:val="00CA3AC7"/>
    <w:rsid w:val="00CA3E2C"/>
    <w:rsid w:val="00CA3FB8"/>
    <w:rsid w:val="00CA46FE"/>
    <w:rsid w:val="00CA47F3"/>
    <w:rsid w:val="00CA4852"/>
    <w:rsid w:val="00CA49B1"/>
    <w:rsid w:val="00CA4BF2"/>
    <w:rsid w:val="00CA4F57"/>
    <w:rsid w:val="00CA5198"/>
    <w:rsid w:val="00CA534B"/>
    <w:rsid w:val="00CA54CD"/>
    <w:rsid w:val="00CA5535"/>
    <w:rsid w:val="00CA560B"/>
    <w:rsid w:val="00CA5AA0"/>
    <w:rsid w:val="00CA605A"/>
    <w:rsid w:val="00CA624A"/>
    <w:rsid w:val="00CA62D9"/>
    <w:rsid w:val="00CA667A"/>
    <w:rsid w:val="00CA67B0"/>
    <w:rsid w:val="00CA68F4"/>
    <w:rsid w:val="00CA70AE"/>
    <w:rsid w:val="00CA71BB"/>
    <w:rsid w:val="00CA72EC"/>
    <w:rsid w:val="00CA7312"/>
    <w:rsid w:val="00CA7406"/>
    <w:rsid w:val="00CA7751"/>
    <w:rsid w:val="00CA787C"/>
    <w:rsid w:val="00CA79A5"/>
    <w:rsid w:val="00CA7E15"/>
    <w:rsid w:val="00CA7E23"/>
    <w:rsid w:val="00CA7ECC"/>
    <w:rsid w:val="00CB0181"/>
    <w:rsid w:val="00CB04D6"/>
    <w:rsid w:val="00CB0732"/>
    <w:rsid w:val="00CB097B"/>
    <w:rsid w:val="00CB0D6B"/>
    <w:rsid w:val="00CB1149"/>
    <w:rsid w:val="00CB138F"/>
    <w:rsid w:val="00CB1A90"/>
    <w:rsid w:val="00CB1BCB"/>
    <w:rsid w:val="00CB1BE0"/>
    <w:rsid w:val="00CB1EE9"/>
    <w:rsid w:val="00CB241A"/>
    <w:rsid w:val="00CB2434"/>
    <w:rsid w:val="00CB24C8"/>
    <w:rsid w:val="00CB2DB2"/>
    <w:rsid w:val="00CB3182"/>
    <w:rsid w:val="00CB3203"/>
    <w:rsid w:val="00CB3267"/>
    <w:rsid w:val="00CB3379"/>
    <w:rsid w:val="00CB3539"/>
    <w:rsid w:val="00CB37F2"/>
    <w:rsid w:val="00CB38C0"/>
    <w:rsid w:val="00CB3928"/>
    <w:rsid w:val="00CB3C13"/>
    <w:rsid w:val="00CB3F83"/>
    <w:rsid w:val="00CB407C"/>
    <w:rsid w:val="00CB418A"/>
    <w:rsid w:val="00CB4270"/>
    <w:rsid w:val="00CB4446"/>
    <w:rsid w:val="00CB45E9"/>
    <w:rsid w:val="00CB479E"/>
    <w:rsid w:val="00CB49FA"/>
    <w:rsid w:val="00CB4B64"/>
    <w:rsid w:val="00CB4D9D"/>
    <w:rsid w:val="00CB4F78"/>
    <w:rsid w:val="00CB514C"/>
    <w:rsid w:val="00CB585C"/>
    <w:rsid w:val="00CB5AFD"/>
    <w:rsid w:val="00CB5FDC"/>
    <w:rsid w:val="00CB62BC"/>
    <w:rsid w:val="00CB667A"/>
    <w:rsid w:val="00CB66F7"/>
    <w:rsid w:val="00CB689C"/>
    <w:rsid w:val="00CB6912"/>
    <w:rsid w:val="00CB69CB"/>
    <w:rsid w:val="00CB7922"/>
    <w:rsid w:val="00CB7A2B"/>
    <w:rsid w:val="00CC033C"/>
    <w:rsid w:val="00CC05ED"/>
    <w:rsid w:val="00CC05F5"/>
    <w:rsid w:val="00CC05FD"/>
    <w:rsid w:val="00CC0AA9"/>
    <w:rsid w:val="00CC0C0C"/>
    <w:rsid w:val="00CC0C97"/>
    <w:rsid w:val="00CC0CBF"/>
    <w:rsid w:val="00CC0EB3"/>
    <w:rsid w:val="00CC106A"/>
    <w:rsid w:val="00CC13BF"/>
    <w:rsid w:val="00CC14B6"/>
    <w:rsid w:val="00CC16AC"/>
    <w:rsid w:val="00CC2049"/>
    <w:rsid w:val="00CC2236"/>
    <w:rsid w:val="00CC2457"/>
    <w:rsid w:val="00CC2799"/>
    <w:rsid w:val="00CC2807"/>
    <w:rsid w:val="00CC2850"/>
    <w:rsid w:val="00CC2998"/>
    <w:rsid w:val="00CC2DDC"/>
    <w:rsid w:val="00CC2FD2"/>
    <w:rsid w:val="00CC30BF"/>
    <w:rsid w:val="00CC320E"/>
    <w:rsid w:val="00CC3225"/>
    <w:rsid w:val="00CC3278"/>
    <w:rsid w:val="00CC3985"/>
    <w:rsid w:val="00CC3A70"/>
    <w:rsid w:val="00CC4262"/>
    <w:rsid w:val="00CC434B"/>
    <w:rsid w:val="00CC47DA"/>
    <w:rsid w:val="00CC4A43"/>
    <w:rsid w:val="00CC4FCF"/>
    <w:rsid w:val="00CC5956"/>
    <w:rsid w:val="00CC5BAB"/>
    <w:rsid w:val="00CC5C4F"/>
    <w:rsid w:val="00CC6192"/>
    <w:rsid w:val="00CC6334"/>
    <w:rsid w:val="00CC6410"/>
    <w:rsid w:val="00CC6645"/>
    <w:rsid w:val="00CC6956"/>
    <w:rsid w:val="00CC713E"/>
    <w:rsid w:val="00CC71FB"/>
    <w:rsid w:val="00CC79F8"/>
    <w:rsid w:val="00CD008E"/>
    <w:rsid w:val="00CD017F"/>
    <w:rsid w:val="00CD02F2"/>
    <w:rsid w:val="00CD0B3F"/>
    <w:rsid w:val="00CD0D08"/>
    <w:rsid w:val="00CD1262"/>
    <w:rsid w:val="00CD1464"/>
    <w:rsid w:val="00CD16B8"/>
    <w:rsid w:val="00CD177A"/>
    <w:rsid w:val="00CD18E6"/>
    <w:rsid w:val="00CD19DC"/>
    <w:rsid w:val="00CD1A7D"/>
    <w:rsid w:val="00CD1B76"/>
    <w:rsid w:val="00CD1BC4"/>
    <w:rsid w:val="00CD1F84"/>
    <w:rsid w:val="00CD2014"/>
    <w:rsid w:val="00CD2107"/>
    <w:rsid w:val="00CD217F"/>
    <w:rsid w:val="00CD2240"/>
    <w:rsid w:val="00CD24F5"/>
    <w:rsid w:val="00CD25AE"/>
    <w:rsid w:val="00CD2764"/>
    <w:rsid w:val="00CD298D"/>
    <w:rsid w:val="00CD29E4"/>
    <w:rsid w:val="00CD2A2E"/>
    <w:rsid w:val="00CD2B85"/>
    <w:rsid w:val="00CD2C4B"/>
    <w:rsid w:val="00CD2C6C"/>
    <w:rsid w:val="00CD3019"/>
    <w:rsid w:val="00CD3407"/>
    <w:rsid w:val="00CD3447"/>
    <w:rsid w:val="00CD36A0"/>
    <w:rsid w:val="00CD3AD8"/>
    <w:rsid w:val="00CD3C9F"/>
    <w:rsid w:val="00CD3E7D"/>
    <w:rsid w:val="00CD40D4"/>
    <w:rsid w:val="00CD4214"/>
    <w:rsid w:val="00CD47AD"/>
    <w:rsid w:val="00CD483D"/>
    <w:rsid w:val="00CD4886"/>
    <w:rsid w:val="00CD4A22"/>
    <w:rsid w:val="00CD4C96"/>
    <w:rsid w:val="00CD4DA8"/>
    <w:rsid w:val="00CD5002"/>
    <w:rsid w:val="00CD51C3"/>
    <w:rsid w:val="00CD528C"/>
    <w:rsid w:val="00CD54ED"/>
    <w:rsid w:val="00CD5556"/>
    <w:rsid w:val="00CD5D5F"/>
    <w:rsid w:val="00CD5E56"/>
    <w:rsid w:val="00CD62BC"/>
    <w:rsid w:val="00CD6366"/>
    <w:rsid w:val="00CD6B49"/>
    <w:rsid w:val="00CD70BC"/>
    <w:rsid w:val="00CD73FF"/>
    <w:rsid w:val="00CD77C8"/>
    <w:rsid w:val="00CD77F0"/>
    <w:rsid w:val="00CD7BF5"/>
    <w:rsid w:val="00CD7C6D"/>
    <w:rsid w:val="00CE05DB"/>
    <w:rsid w:val="00CE0ABF"/>
    <w:rsid w:val="00CE16C2"/>
    <w:rsid w:val="00CE21AE"/>
    <w:rsid w:val="00CE23A1"/>
    <w:rsid w:val="00CE26E6"/>
    <w:rsid w:val="00CE2BFE"/>
    <w:rsid w:val="00CE2EA9"/>
    <w:rsid w:val="00CE2EF8"/>
    <w:rsid w:val="00CE3035"/>
    <w:rsid w:val="00CE34E4"/>
    <w:rsid w:val="00CE3AF0"/>
    <w:rsid w:val="00CE3B5B"/>
    <w:rsid w:val="00CE3BAF"/>
    <w:rsid w:val="00CE3EE0"/>
    <w:rsid w:val="00CE4037"/>
    <w:rsid w:val="00CE40B2"/>
    <w:rsid w:val="00CE4707"/>
    <w:rsid w:val="00CE4B95"/>
    <w:rsid w:val="00CE4D1F"/>
    <w:rsid w:val="00CE54D4"/>
    <w:rsid w:val="00CE560A"/>
    <w:rsid w:val="00CE5649"/>
    <w:rsid w:val="00CE56AC"/>
    <w:rsid w:val="00CE592F"/>
    <w:rsid w:val="00CE59A5"/>
    <w:rsid w:val="00CE5DAD"/>
    <w:rsid w:val="00CE6352"/>
    <w:rsid w:val="00CE65F5"/>
    <w:rsid w:val="00CE6786"/>
    <w:rsid w:val="00CE67BF"/>
    <w:rsid w:val="00CE67CE"/>
    <w:rsid w:val="00CE6BD8"/>
    <w:rsid w:val="00CE750D"/>
    <w:rsid w:val="00CE7561"/>
    <w:rsid w:val="00CE7A35"/>
    <w:rsid w:val="00CE7DF8"/>
    <w:rsid w:val="00CF02BD"/>
    <w:rsid w:val="00CF07CB"/>
    <w:rsid w:val="00CF0B41"/>
    <w:rsid w:val="00CF0D59"/>
    <w:rsid w:val="00CF0D9C"/>
    <w:rsid w:val="00CF1195"/>
    <w:rsid w:val="00CF131B"/>
    <w:rsid w:val="00CF1418"/>
    <w:rsid w:val="00CF1E46"/>
    <w:rsid w:val="00CF1F1C"/>
    <w:rsid w:val="00CF231F"/>
    <w:rsid w:val="00CF25C4"/>
    <w:rsid w:val="00CF2697"/>
    <w:rsid w:val="00CF26E8"/>
    <w:rsid w:val="00CF2CC9"/>
    <w:rsid w:val="00CF2E06"/>
    <w:rsid w:val="00CF33C8"/>
    <w:rsid w:val="00CF349F"/>
    <w:rsid w:val="00CF3533"/>
    <w:rsid w:val="00CF35F6"/>
    <w:rsid w:val="00CF36D0"/>
    <w:rsid w:val="00CF3845"/>
    <w:rsid w:val="00CF3DEF"/>
    <w:rsid w:val="00CF4393"/>
    <w:rsid w:val="00CF451A"/>
    <w:rsid w:val="00CF4596"/>
    <w:rsid w:val="00CF4979"/>
    <w:rsid w:val="00CF4C7F"/>
    <w:rsid w:val="00CF4FC1"/>
    <w:rsid w:val="00CF50B3"/>
    <w:rsid w:val="00CF531A"/>
    <w:rsid w:val="00CF551F"/>
    <w:rsid w:val="00CF5D2A"/>
    <w:rsid w:val="00CF652C"/>
    <w:rsid w:val="00CF6845"/>
    <w:rsid w:val="00CF6AF7"/>
    <w:rsid w:val="00CF6D89"/>
    <w:rsid w:val="00CF6DE1"/>
    <w:rsid w:val="00CF6E0E"/>
    <w:rsid w:val="00CF6E5C"/>
    <w:rsid w:val="00CF72A5"/>
    <w:rsid w:val="00CF7634"/>
    <w:rsid w:val="00CF771C"/>
    <w:rsid w:val="00CF7994"/>
    <w:rsid w:val="00CF7999"/>
    <w:rsid w:val="00CF7A45"/>
    <w:rsid w:val="00CF7A78"/>
    <w:rsid w:val="00CF7D6C"/>
    <w:rsid w:val="00CF7E1B"/>
    <w:rsid w:val="00D001B7"/>
    <w:rsid w:val="00D00497"/>
    <w:rsid w:val="00D00505"/>
    <w:rsid w:val="00D005EB"/>
    <w:rsid w:val="00D011AB"/>
    <w:rsid w:val="00D01A22"/>
    <w:rsid w:val="00D01AE6"/>
    <w:rsid w:val="00D01B64"/>
    <w:rsid w:val="00D01C90"/>
    <w:rsid w:val="00D01E49"/>
    <w:rsid w:val="00D01F9D"/>
    <w:rsid w:val="00D0242B"/>
    <w:rsid w:val="00D02584"/>
    <w:rsid w:val="00D02610"/>
    <w:rsid w:val="00D02DBA"/>
    <w:rsid w:val="00D030CE"/>
    <w:rsid w:val="00D03140"/>
    <w:rsid w:val="00D032F3"/>
    <w:rsid w:val="00D03549"/>
    <w:rsid w:val="00D04774"/>
    <w:rsid w:val="00D049E6"/>
    <w:rsid w:val="00D04D85"/>
    <w:rsid w:val="00D04D95"/>
    <w:rsid w:val="00D04DB3"/>
    <w:rsid w:val="00D04FCB"/>
    <w:rsid w:val="00D0511E"/>
    <w:rsid w:val="00D0528C"/>
    <w:rsid w:val="00D05545"/>
    <w:rsid w:val="00D0569A"/>
    <w:rsid w:val="00D05817"/>
    <w:rsid w:val="00D05A5D"/>
    <w:rsid w:val="00D05D36"/>
    <w:rsid w:val="00D05F33"/>
    <w:rsid w:val="00D05F83"/>
    <w:rsid w:val="00D05FAA"/>
    <w:rsid w:val="00D0703F"/>
    <w:rsid w:val="00D070AF"/>
    <w:rsid w:val="00D07405"/>
    <w:rsid w:val="00D075ED"/>
    <w:rsid w:val="00D0778D"/>
    <w:rsid w:val="00D07C54"/>
    <w:rsid w:val="00D10039"/>
    <w:rsid w:val="00D10246"/>
    <w:rsid w:val="00D10CF2"/>
    <w:rsid w:val="00D10F18"/>
    <w:rsid w:val="00D10FB4"/>
    <w:rsid w:val="00D11321"/>
    <w:rsid w:val="00D11C1E"/>
    <w:rsid w:val="00D11C41"/>
    <w:rsid w:val="00D11C4B"/>
    <w:rsid w:val="00D11D53"/>
    <w:rsid w:val="00D11F09"/>
    <w:rsid w:val="00D11F5F"/>
    <w:rsid w:val="00D12083"/>
    <w:rsid w:val="00D125F1"/>
    <w:rsid w:val="00D12613"/>
    <w:rsid w:val="00D127EE"/>
    <w:rsid w:val="00D12A36"/>
    <w:rsid w:val="00D12D1F"/>
    <w:rsid w:val="00D12D57"/>
    <w:rsid w:val="00D12FAF"/>
    <w:rsid w:val="00D13226"/>
    <w:rsid w:val="00D13482"/>
    <w:rsid w:val="00D134AA"/>
    <w:rsid w:val="00D135A1"/>
    <w:rsid w:val="00D135C5"/>
    <w:rsid w:val="00D1374B"/>
    <w:rsid w:val="00D13AB9"/>
    <w:rsid w:val="00D13B41"/>
    <w:rsid w:val="00D1400C"/>
    <w:rsid w:val="00D1421C"/>
    <w:rsid w:val="00D148C8"/>
    <w:rsid w:val="00D14C07"/>
    <w:rsid w:val="00D14DAB"/>
    <w:rsid w:val="00D14DCD"/>
    <w:rsid w:val="00D14DFB"/>
    <w:rsid w:val="00D14FEE"/>
    <w:rsid w:val="00D15010"/>
    <w:rsid w:val="00D15034"/>
    <w:rsid w:val="00D151E0"/>
    <w:rsid w:val="00D1530C"/>
    <w:rsid w:val="00D153C4"/>
    <w:rsid w:val="00D15902"/>
    <w:rsid w:val="00D15C54"/>
    <w:rsid w:val="00D167F7"/>
    <w:rsid w:val="00D16984"/>
    <w:rsid w:val="00D16B8B"/>
    <w:rsid w:val="00D16E89"/>
    <w:rsid w:val="00D16EEE"/>
    <w:rsid w:val="00D1717D"/>
    <w:rsid w:val="00D172CA"/>
    <w:rsid w:val="00D17322"/>
    <w:rsid w:val="00D17401"/>
    <w:rsid w:val="00D176CD"/>
    <w:rsid w:val="00D17A4E"/>
    <w:rsid w:val="00D17E2D"/>
    <w:rsid w:val="00D17EF9"/>
    <w:rsid w:val="00D20226"/>
    <w:rsid w:val="00D20569"/>
    <w:rsid w:val="00D20A68"/>
    <w:rsid w:val="00D21001"/>
    <w:rsid w:val="00D21B63"/>
    <w:rsid w:val="00D22003"/>
    <w:rsid w:val="00D2233F"/>
    <w:rsid w:val="00D223A2"/>
    <w:rsid w:val="00D22402"/>
    <w:rsid w:val="00D22700"/>
    <w:rsid w:val="00D22C11"/>
    <w:rsid w:val="00D22D34"/>
    <w:rsid w:val="00D23154"/>
    <w:rsid w:val="00D232F5"/>
    <w:rsid w:val="00D23D0B"/>
    <w:rsid w:val="00D23F09"/>
    <w:rsid w:val="00D240F7"/>
    <w:rsid w:val="00D24853"/>
    <w:rsid w:val="00D24D78"/>
    <w:rsid w:val="00D24FFF"/>
    <w:rsid w:val="00D25114"/>
    <w:rsid w:val="00D2529D"/>
    <w:rsid w:val="00D2568B"/>
    <w:rsid w:val="00D25FA4"/>
    <w:rsid w:val="00D26167"/>
    <w:rsid w:val="00D262BA"/>
    <w:rsid w:val="00D26627"/>
    <w:rsid w:val="00D26D9F"/>
    <w:rsid w:val="00D27150"/>
    <w:rsid w:val="00D271A6"/>
    <w:rsid w:val="00D27279"/>
    <w:rsid w:val="00D272CA"/>
    <w:rsid w:val="00D2765C"/>
    <w:rsid w:val="00D276A3"/>
    <w:rsid w:val="00D276AC"/>
    <w:rsid w:val="00D27C67"/>
    <w:rsid w:val="00D27DE2"/>
    <w:rsid w:val="00D27E26"/>
    <w:rsid w:val="00D3000B"/>
    <w:rsid w:val="00D300A9"/>
    <w:rsid w:val="00D30C12"/>
    <w:rsid w:val="00D30E8F"/>
    <w:rsid w:val="00D31168"/>
    <w:rsid w:val="00D3122A"/>
    <w:rsid w:val="00D31414"/>
    <w:rsid w:val="00D31756"/>
    <w:rsid w:val="00D3186D"/>
    <w:rsid w:val="00D320AC"/>
    <w:rsid w:val="00D3215C"/>
    <w:rsid w:val="00D321AA"/>
    <w:rsid w:val="00D322BE"/>
    <w:rsid w:val="00D325D2"/>
    <w:rsid w:val="00D32868"/>
    <w:rsid w:val="00D32C53"/>
    <w:rsid w:val="00D32E99"/>
    <w:rsid w:val="00D3320D"/>
    <w:rsid w:val="00D3335B"/>
    <w:rsid w:val="00D335D5"/>
    <w:rsid w:val="00D339E7"/>
    <w:rsid w:val="00D33BB6"/>
    <w:rsid w:val="00D33BB8"/>
    <w:rsid w:val="00D34D08"/>
    <w:rsid w:val="00D34E8A"/>
    <w:rsid w:val="00D351AF"/>
    <w:rsid w:val="00D35250"/>
    <w:rsid w:val="00D35612"/>
    <w:rsid w:val="00D35645"/>
    <w:rsid w:val="00D3582A"/>
    <w:rsid w:val="00D36357"/>
    <w:rsid w:val="00D363FB"/>
    <w:rsid w:val="00D368EB"/>
    <w:rsid w:val="00D36BD2"/>
    <w:rsid w:val="00D36DC0"/>
    <w:rsid w:val="00D36E88"/>
    <w:rsid w:val="00D36F3B"/>
    <w:rsid w:val="00D36F48"/>
    <w:rsid w:val="00D36FC0"/>
    <w:rsid w:val="00D3703F"/>
    <w:rsid w:val="00D370E5"/>
    <w:rsid w:val="00D371FB"/>
    <w:rsid w:val="00D37950"/>
    <w:rsid w:val="00D37A89"/>
    <w:rsid w:val="00D37DB8"/>
    <w:rsid w:val="00D37DFC"/>
    <w:rsid w:val="00D37F84"/>
    <w:rsid w:val="00D400F1"/>
    <w:rsid w:val="00D404F0"/>
    <w:rsid w:val="00D404F8"/>
    <w:rsid w:val="00D405DB"/>
    <w:rsid w:val="00D4076A"/>
    <w:rsid w:val="00D40863"/>
    <w:rsid w:val="00D40D3D"/>
    <w:rsid w:val="00D40D59"/>
    <w:rsid w:val="00D41322"/>
    <w:rsid w:val="00D41390"/>
    <w:rsid w:val="00D414D4"/>
    <w:rsid w:val="00D41506"/>
    <w:rsid w:val="00D41530"/>
    <w:rsid w:val="00D41A70"/>
    <w:rsid w:val="00D41BDF"/>
    <w:rsid w:val="00D41DE2"/>
    <w:rsid w:val="00D41F42"/>
    <w:rsid w:val="00D42158"/>
    <w:rsid w:val="00D42225"/>
    <w:rsid w:val="00D4242B"/>
    <w:rsid w:val="00D424A2"/>
    <w:rsid w:val="00D42721"/>
    <w:rsid w:val="00D42A91"/>
    <w:rsid w:val="00D42F74"/>
    <w:rsid w:val="00D42F7A"/>
    <w:rsid w:val="00D42FA5"/>
    <w:rsid w:val="00D43177"/>
    <w:rsid w:val="00D43472"/>
    <w:rsid w:val="00D43E2E"/>
    <w:rsid w:val="00D43EF0"/>
    <w:rsid w:val="00D43F9A"/>
    <w:rsid w:val="00D44170"/>
    <w:rsid w:val="00D4417E"/>
    <w:rsid w:val="00D442F7"/>
    <w:rsid w:val="00D44587"/>
    <w:rsid w:val="00D4476D"/>
    <w:rsid w:val="00D449CC"/>
    <w:rsid w:val="00D44AF2"/>
    <w:rsid w:val="00D44C59"/>
    <w:rsid w:val="00D45437"/>
    <w:rsid w:val="00D4563C"/>
    <w:rsid w:val="00D45882"/>
    <w:rsid w:val="00D4603C"/>
    <w:rsid w:val="00D4605E"/>
    <w:rsid w:val="00D46605"/>
    <w:rsid w:val="00D4685A"/>
    <w:rsid w:val="00D46CE3"/>
    <w:rsid w:val="00D46E80"/>
    <w:rsid w:val="00D472B9"/>
    <w:rsid w:val="00D475B8"/>
    <w:rsid w:val="00D47626"/>
    <w:rsid w:val="00D4782F"/>
    <w:rsid w:val="00D47A83"/>
    <w:rsid w:val="00D47B0E"/>
    <w:rsid w:val="00D47C8F"/>
    <w:rsid w:val="00D47DAA"/>
    <w:rsid w:val="00D47E1F"/>
    <w:rsid w:val="00D501C8"/>
    <w:rsid w:val="00D502C0"/>
    <w:rsid w:val="00D5041D"/>
    <w:rsid w:val="00D504B9"/>
    <w:rsid w:val="00D505B0"/>
    <w:rsid w:val="00D506D9"/>
    <w:rsid w:val="00D50801"/>
    <w:rsid w:val="00D5080C"/>
    <w:rsid w:val="00D50C6B"/>
    <w:rsid w:val="00D50CD5"/>
    <w:rsid w:val="00D50EA5"/>
    <w:rsid w:val="00D50F69"/>
    <w:rsid w:val="00D514FC"/>
    <w:rsid w:val="00D515F6"/>
    <w:rsid w:val="00D515F8"/>
    <w:rsid w:val="00D517AD"/>
    <w:rsid w:val="00D5198A"/>
    <w:rsid w:val="00D51A51"/>
    <w:rsid w:val="00D51B95"/>
    <w:rsid w:val="00D51DE1"/>
    <w:rsid w:val="00D51EF3"/>
    <w:rsid w:val="00D520D0"/>
    <w:rsid w:val="00D52141"/>
    <w:rsid w:val="00D5227F"/>
    <w:rsid w:val="00D52567"/>
    <w:rsid w:val="00D52D67"/>
    <w:rsid w:val="00D530AE"/>
    <w:rsid w:val="00D53530"/>
    <w:rsid w:val="00D53783"/>
    <w:rsid w:val="00D538B3"/>
    <w:rsid w:val="00D53A64"/>
    <w:rsid w:val="00D53E94"/>
    <w:rsid w:val="00D53F50"/>
    <w:rsid w:val="00D540B5"/>
    <w:rsid w:val="00D54715"/>
    <w:rsid w:val="00D5497C"/>
    <w:rsid w:val="00D54B41"/>
    <w:rsid w:val="00D54BD0"/>
    <w:rsid w:val="00D54DE2"/>
    <w:rsid w:val="00D54F6E"/>
    <w:rsid w:val="00D550D1"/>
    <w:rsid w:val="00D552A5"/>
    <w:rsid w:val="00D558CF"/>
    <w:rsid w:val="00D55975"/>
    <w:rsid w:val="00D55D0B"/>
    <w:rsid w:val="00D56493"/>
    <w:rsid w:val="00D56747"/>
    <w:rsid w:val="00D56952"/>
    <w:rsid w:val="00D56CD8"/>
    <w:rsid w:val="00D5732E"/>
    <w:rsid w:val="00D576D6"/>
    <w:rsid w:val="00D57C99"/>
    <w:rsid w:val="00D57CD4"/>
    <w:rsid w:val="00D57CED"/>
    <w:rsid w:val="00D60080"/>
    <w:rsid w:val="00D604F4"/>
    <w:rsid w:val="00D605D8"/>
    <w:rsid w:val="00D60F58"/>
    <w:rsid w:val="00D6111B"/>
    <w:rsid w:val="00D61188"/>
    <w:rsid w:val="00D6142B"/>
    <w:rsid w:val="00D617C2"/>
    <w:rsid w:val="00D61998"/>
    <w:rsid w:val="00D61A2F"/>
    <w:rsid w:val="00D61BDF"/>
    <w:rsid w:val="00D62102"/>
    <w:rsid w:val="00D62270"/>
    <w:rsid w:val="00D624F1"/>
    <w:rsid w:val="00D627F8"/>
    <w:rsid w:val="00D62A95"/>
    <w:rsid w:val="00D62C14"/>
    <w:rsid w:val="00D62D65"/>
    <w:rsid w:val="00D62F93"/>
    <w:rsid w:val="00D6318A"/>
    <w:rsid w:val="00D63570"/>
    <w:rsid w:val="00D6399E"/>
    <w:rsid w:val="00D63A3A"/>
    <w:rsid w:val="00D63B38"/>
    <w:rsid w:val="00D6401A"/>
    <w:rsid w:val="00D64497"/>
    <w:rsid w:val="00D64AC5"/>
    <w:rsid w:val="00D64D1D"/>
    <w:rsid w:val="00D64DCB"/>
    <w:rsid w:val="00D6508C"/>
    <w:rsid w:val="00D6536D"/>
    <w:rsid w:val="00D6550C"/>
    <w:rsid w:val="00D65811"/>
    <w:rsid w:val="00D65A52"/>
    <w:rsid w:val="00D65B8E"/>
    <w:rsid w:val="00D65B95"/>
    <w:rsid w:val="00D6604D"/>
    <w:rsid w:val="00D664B1"/>
    <w:rsid w:val="00D664BA"/>
    <w:rsid w:val="00D6685D"/>
    <w:rsid w:val="00D670BF"/>
    <w:rsid w:val="00D6724C"/>
    <w:rsid w:val="00D673F7"/>
    <w:rsid w:val="00D67615"/>
    <w:rsid w:val="00D6774D"/>
    <w:rsid w:val="00D67A5B"/>
    <w:rsid w:val="00D701A7"/>
    <w:rsid w:val="00D701F1"/>
    <w:rsid w:val="00D70512"/>
    <w:rsid w:val="00D70805"/>
    <w:rsid w:val="00D70942"/>
    <w:rsid w:val="00D70CF2"/>
    <w:rsid w:val="00D70E7B"/>
    <w:rsid w:val="00D70F08"/>
    <w:rsid w:val="00D710D3"/>
    <w:rsid w:val="00D712C5"/>
    <w:rsid w:val="00D71399"/>
    <w:rsid w:val="00D7161B"/>
    <w:rsid w:val="00D716B5"/>
    <w:rsid w:val="00D71774"/>
    <w:rsid w:val="00D71836"/>
    <w:rsid w:val="00D71B4E"/>
    <w:rsid w:val="00D71D49"/>
    <w:rsid w:val="00D7251C"/>
    <w:rsid w:val="00D728FD"/>
    <w:rsid w:val="00D7293D"/>
    <w:rsid w:val="00D72BB3"/>
    <w:rsid w:val="00D72BE6"/>
    <w:rsid w:val="00D73466"/>
    <w:rsid w:val="00D73992"/>
    <w:rsid w:val="00D73BDE"/>
    <w:rsid w:val="00D73D7D"/>
    <w:rsid w:val="00D73DE9"/>
    <w:rsid w:val="00D73E14"/>
    <w:rsid w:val="00D73F3A"/>
    <w:rsid w:val="00D742AE"/>
    <w:rsid w:val="00D742EE"/>
    <w:rsid w:val="00D748AF"/>
    <w:rsid w:val="00D74F0E"/>
    <w:rsid w:val="00D7560C"/>
    <w:rsid w:val="00D7560F"/>
    <w:rsid w:val="00D75A9A"/>
    <w:rsid w:val="00D75B2F"/>
    <w:rsid w:val="00D75C20"/>
    <w:rsid w:val="00D75C27"/>
    <w:rsid w:val="00D75CDC"/>
    <w:rsid w:val="00D76097"/>
    <w:rsid w:val="00D763B8"/>
    <w:rsid w:val="00D764A0"/>
    <w:rsid w:val="00D765D5"/>
    <w:rsid w:val="00D770AF"/>
    <w:rsid w:val="00D77AD2"/>
    <w:rsid w:val="00D77D6F"/>
    <w:rsid w:val="00D806AE"/>
    <w:rsid w:val="00D8083F"/>
    <w:rsid w:val="00D8118D"/>
    <w:rsid w:val="00D8124A"/>
    <w:rsid w:val="00D81306"/>
    <w:rsid w:val="00D8130D"/>
    <w:rsid w:val="00D8142F"/>
    <w:rsid w:val="00D81D82"/>
    <w:rsid w:val="00D820C3"/>
    <w:rsid w:val="00D823DA"/>
    <w:rsid w:val="00D824B5"/>
    <w:rsid w:val="00D82863"/>
    <w:rsid w:val="00D828C2"/>
    <w:rsid w:val="00D82A9C"/>
    <w:rsid w:val="00D82DC9"/>
    <w:rsid w:val="00D82EE0"/>
    <w:rsid w:val="00D8328D"/>
    <w:rsid w:val="00D8351B"/>
    <w:rsid w:val="00D83521"/>
    <w:rsid w:val="00D83E7E"/>
    <w:rsid w:val="00D844F9"/>
    <w:rsid w:val="00D84584"/>
    <w:rsid w:val="00D8464E"/>
    <w:rsid w:val="00D8484E"/>
    <w:rsid w:val="00D849FC"/>
    <w:rsid w:val="00D84C05"/>
    <w:rsid w:val="00D84C0A"/>
    <w:rsid w:val="00D84E68"/>
    <w:rsid w:val="00D85171"/>
    <w:rsid w:val="00D85565"/>
    <w:rsid w:val="00D856BE"/>
    <w:rsid w:val="00D857B0"/>
    <w:rsid w:val="00D85B38"/>
    <w:rsid w:val="00D85B67"/>
    <w:rsid w:val="00D85C31"/>
    <w:rsid w:val="00D8653A"/>
    <w:rsid w:val="00D86816"/>
    <w:rsid w:val="00D86A24"/>
    <w:rsid w:val="00D86A71"/>
    <w:rsid w:val="00D86B46"/>
    <w:rsid w:val="00D86FD8"/>
    <w:rsid w:val="00D86FED"/>
    <w:rsid w:val="00D872AE"/>
    <w:rsid w:val="00D872FB"/>
    <w:rsid w:val="00D874BA"/>
    <w:rsid w:val="00D8760A"/>
    <w:rsid w:val="00D876C9"/>
    <w:rsid w:val="00D87A0D"/>
    <w:rsid w:val="00D87F98"/>
    <w:rsid w:val="00D90117"/>
    <w:rsid w:val="00D90F28"/>
    <w:rsid w:val="00D90F91"/>
    <w:rsid w:val="00D913DE"/>
    <w:rsid w:val="00D914F4"/>
    <w:rsid w:val="00D915F5"/>
    <w:rsid w:val="00D916E4"/>
    <w:rsid w:val="00D919E5"/>
    <w:rsid w:val="00D919F2"/>
    <w:rsid w:val="00D919F3"/>
    <w:rsid w:val="00D91BE5"/>
    <w:rsid w:val="00D91F97"/>
    <w:rsid w:val="00D91FA2"/>
    <w:rsid w:val="00D9217E"/>
    <w:rsid w:val="00D92B04"/>
    <w:rsid w:val="00D936CD"/>
    <w:rsid w:val="00D936D6"/>
    <w:rsid w:val="00D937CB"/>
    <w:rsid w:val="00D941E0"/>
    <w:rsid w:val="00D946BD"/>
    <w:rsid w:val="00D94BB9"/>
    <w:rsid w:val="00D94CD7"/>
    <w:rsid w:val="00D955D3"/>
    <w:rsid w:val="00D95646"/>
    <w:rsid w:val="00D9571B"/>
    <w:rsid w:val="00D959D8"/>
    <w:rsid w:val="00D95A93"/>
    <w:rsid w:val="00D95CB4"/>
    <w:rsid w:val="00D9638E"/>
    <w:rsid w:val="00D963E5"/>
    <w:rsid w:val="00D9642D"/>
    <w:rsid w:val="00D96530"/>
    <w:rsid w:val="00D96677"/>
    <w:rsid w:val="00D96800"/>
    <w:rsid w:val="00D96989"/>
    <w:rsid w:val="00D97202"/>
    <w:rsid w:val="00D97209"/>
    <w:rsid w:val="00D9726C"/>
    <w:rsid w:val="00D972E2"/>
    <w:rsid w:val="00D9780C"/>
    <w:rsid w:val="00D97E01"/>
    <w:rsid w:val="00D97F1F"/>
    <w:rsid w:val="00DA027F"/>
    <w:rsid w:val="00DA0564"/>
    <w:rsid w:val="00DA070B"/>
    <w:rsid w:val="00DA0C00"/>
    <w:rsid w:val="00DA1174"/>
    <w:rsid w:val="00DA120A"/>
    <w:rsid w:val="00DA1436"/>
    <w:rsid w:val="00DA1649"/>
    <w:rsid w:val="00DA1AE4"/>
    <w:rsid w:val="00DA1E45"/>
    <w:rsid w:val="00DA1F0B"/>
    <w:rsid w:val="00DA1F65"/>
    <w:rsid w:val="00DA216F"/>
    <w:rsid w:val="00DA224A"/>
    <w:rsid w:val="00DA238B"/>
    <w:rsid w:val="00DA2BEA"/>
    <w:rsid w:val="00DA3072"/>
    <w:rsid w:val="00DA35A2"/>
    <w:rsid w:val="00DA365C"/>
    <w:rsid w:val="00DA3B1E"/>
    <w:rsid w:val="00DA3C9B"/>
    <w:rsid w:val="00DA3E2F"/>
    <w:rsid w:val="00DA4022"/>
    <w:rsid w:val="00DA40FA"/>
    <w:rsid w:val="00DA44A6"/>
    <w:rsid w:val="00DA47BF"/>
    <w:rsid w:val="00DA5048"/>
    <w:rsid w:val="00DA512D"/>
    <w:rsid w:val="00DA5322"/>
    <w:rsid w:val="00DA553C"/>
    <w:rsid w:val="00DA5693"/>
    <w:rsid w:val="00DA5848"/>
    <w:rsid w:val="00DA5ACB"/>
    <w:rsid w:val="00DA5B5A"/>
    <w:rsid w:val="00DA5C77"/>
    <w:rsid w:val="00DA6118"/>
    <w:rsid w:val="00DA622F"/>
    <w:rsid w:val="00DA64E7"/>
    <w:rsid w:val="00DA6D51"/>
    <w:rsid w:val="00DA6FAE"/>
    <w:rsid w:val="00DA6FBF"/>
    <w:rsid w:val="00DA702B"/>
    <w:rsid w:val="00DA7633"/>
    <w:rsid w:val="00DA7868"/>
    <w:rsid w:val="00DA7D97"/>
    <w:rsid w:val="00DA7FF4"/>
    <w:rsid w:val="00DB02DF"/>
    <w:rsid w:val="00DB04BD"/>
    <w:rsid w:val="00DB0533"/>
    <w:rsid w:val="00DB0827"/>
    <w:rsid w:val="00DB0A81"/>
    <w:rsid w:val="00DB16CA"/>
    <w:rsid w:val="00DB1A8E"/>
    <w:rsid w:val="00DB1BCE"/>
    <w:rsid w:val="00DB2126"/>
    <w:rsid w:val="00DB2171"/>
    <w:rsid w:val="00DB2291"/>
    <w:rsid w:val="00DB2585"/>
    <w:rsid w:val="00DB26E5"/>
    <w:rsid w:val="00DB2B58"/>
    <w:rsid w:val="00DB2D9D"/>
    <w:rsid w:val="00DB2F31"/>
    <w:rsid w:val="00DB31CF"/>
    <w:rsid w:val="00DB3258"/>
    <w:rsid w:val="00DB32FA"/>
    <w:rsid w:val="00DB344E"/>
    <w:rsid w:val="00DB351A"/>
    <w:rsid w:val="00DB3572"/>
    <w:rsid w:val="00DB35A9"/>
    <w:rsid w:val="00DB37B4"/>
    <w:rsid w:val="00DB3824"/>
    <w:rsid w:val="00DB38D0"/>
    <w:rsid w:val="00DB411C"/>
    <w:rsid w:val="00DB4175"/>
    <w:rsid w:val="00DB41B3"/>
    <w:rsid w:val="00DB42D7"/>
    <w:rsid w:val="00DB42DD"/>
    <w:rsid w:val="00DB4465"/>
    <w:rsid w:val="00DB4629"/>
    <w:rsid w:val="00DB48DC"/>
    <w:rsid w:val="00DB491D"/>
    <w:rsid w:val="00DB4EB6"/>
    <w:rsid w:val="00DB4F13"/>
    <w:rsid w:val="00DB5382"/>
    <w:rsid w:val="00DB56B3"/>
    <w:rsid w:val="00DB5714"/>
    <w:rsid w:val="00DB57F8"/>
    <w:rsid w:val="00DB5C0E"/>
    <w:rsid w:val="00DB5D71"/>
    <w:rsid w:val="00DB5E99"/>
    <w:rsid w:val="00DB5FB2"/>
    <w:rsid w:val="00DB6355"/>
    <w:rsid w:val="00DB6CB8"/>
    <w:rsid w:val="00DB6D27"/>
    <w:rsid w:val="00DB6D29"/>
    <w:rsid w:val="00DB6E89"/>
    <w:rsid w:val="00DB7238"/>
    <w:rsid w:val="00DB7306"/>
    <w:rsid w:val="00DB75E7"/>
    <w:rsid w:val="00DB7BA9"/>
    <w:rsid w:val="00DC008C"/>
    <w:rsid w:val="00DC024D"/>
    <w:rsid w:val="00DC0333"/>
    <w:rsid w:val="00DC047B"/>
    <w:rsid w:val="00DC04BA"/>
    <w:rsid w:val="00DC0528"/>
    <w:rsid w:val="00DC05AF"/>
    <w:rsid w:val="00DC0724"/>
    <w:rsid w:val="00DC07CE"/>
    <w:rsid w:val="00DC0AC6"/>
    <w:rsid w:val="00DC0AED"/>
    <w:rsid w:val="00DC0B70"/>
    <w:rsid w:val="00DC0E25"/>
    <w:rsid w:val="00DC12BC"/>
    <w:rsid w:val="00DC1620"/>
    <w:rsid w:val="00DC1630"/>
    <w:rsid w:val="00DC16CE"/>
    <w:rsid w:val="00DC21D0"/>
    <w:rsid w:val="00DC2401"/>
    <w:rsid w:val="00DC24DE"/>
    <w:rsid w:val="00DC25E3"/>
    <w:rsid w:val="00DC299A"/>
    <w:rsid w:val="00DC3084"/>
    <w:rsid w:val="00DC3114"/>
    <w:rsid w:val="00DC32A6"/>
    <w:rsid w:val="00DC36D5"/>
    <w:rsid w:val="00DC3C21"/>
    <w:rsid w:val="00DC42B3"/>
    <w:rsid w:val="00DC442A"/>
    <w:rsid w:val="00DC4472"/>
    <w:rsid w:val="00DC4889"/>
    <w:rsid w:val="00DC5B8E"/>
    <w:rsid w:val="00DC5C39"/>
    <w:rsid w:val="00DC5DDD"/>
    <w:rsid w:val="00DC5F22"/>
    <w:rsid w:val="00DC6142"/>
    <w:rsid w:val="00DC61AD"/>
    <w:rsid w:val="00DC62D7"/>
    <w:rsid w:val="00DC64F9"/>
    <w:rsid w:val="00DC64FB"/>
    <w:rsid w:val="00DC6623"/>
    <w:rsid w:val="00DC687F"/>
    <w:rsid w:val="00DC6A20"/>
    <w:rsid w:val="00DC6EE4"/>
    <w:rsid w:val="00DC7115"/>
    <w:rsid w:val="00DC725D"/>
    <w:rsid w:val="00DC754B"/>
    <w:rsid w:val="00DC7551"/>
    <w:rsid w:val="00DC779A"/>
    <w:rsid w:val="00DC79C2"/>
    <w:rsid w:val="00DC7A16"/>
    <w:rsid w:val="00DC7A50"/>
    <w:rsid w:val="00DC7A54"/>
    <w:rsid w:val="00DC7A9B"/>
    <w:rsid w:val="00DC7CDE"/>
    <w:rsid w:val="00DD0001"/>
    <w:rsid w:val="00DD09E3"/>
    <w:rsid w:val="00DD0A76"/>
    <w:rsid w:val="00DD0E91"/>
    <w:rsid w:val="00DD1056"/>
    <w:rsid w:val="00DD10C2"/>
    <w:rsid w:val="00DD11FC"/>
    <w:rsid w:val="00DD1275"/>
    <w:rsid w:val="00DD15C3"/>
    <w:rsid w:val="00DD179F"/>
    <w:rsid w:val="00DD1883"/>
    <w:rsid w:val="00DD1BA5"/>
    <w:rsid w:val="00DD1C1C"/>
    <w:rsid w:val="00DD1C65"/>
    <w:rsid w:val="00DD1DB8"/>
    <w:rsid w:val="00DD2353"/>
    <w:rsid w:val="00DD26A6"/>
    <w:rsid w:val="00DD296A"/>
    <w:rsid w:val="00DD29FB"/>
    <w:rsid w:val="00DD2CD6"/>
    <w:rsid w:val="00DD2FA3"/>
    <w:rsid w:val="00DD338D"/>
    <w:rsid w:val="00DD3659"/>
    <w:rsid w:val="00DD383D"/>
    <w:rsid w:val="00DD3AFA"/>
    <w:rsid w:val="00DD3C91"/>
    <w:rsid w:val="00DD3DC0"/>
    <w:rsid w:val="00DD40E4"/>
    <w:rsid w:val="00DD4524"/>
    <w:rsid w:val="00DD47EC"/>
    <w:rsid w:val="00DD48C5"/>
    <w:rsid w:val="00DD49C9"/>
    <w:rsid w:val="00DD49DD"/>
    <w:rsid w:val="00DD4F65"/>
    <w:rsid w:val="00DD4FBF"/>
    <w:rsid w:val="00DD53A1"/>
    <w:rsid w:val="00DD5814"/>
    <w:rsid w:val="00DD5A35"/>
    <w:rsid w:val="00DD5BF8"/>
    <w:rsid w:val="00DD5D7D"/>
    <w:rsid w:val="00DD600D"/>
    <w:rsid w:val="00DD61FF"/>
    <w:rsid w:val="00DD6620"/>
    <w:rsid w:val="00DD699C"/>
    <w:rsid w:val="00DD6BE9"/>
    <w:rsid w:val="00DD6D08"/>
    <w:rsid w:val="00DD6DD4"/>
    <w:rsid w:val="00DD7011"/>
    <w:rsid w:val="00DD7110"/>
    <w:rsid w:val="00DD75A4"/>
    <w:rsid w:val="00DD7C9E"/>
    <w:rsid w:val="00DD7CBD"/>
    <w:rsid w:val="00DE0048"/>
    <w:rsid w:val="00DE024B"/>
    <w:rsid w:val="00DE030D"/>
    <w:rsid w:val="00DE03DA"/>
    <w:rsid w:val="00DE0617"/>
    <w:rsid w:val="00DE0691"/>
    <w:rsid w:val="00DE06A5"/>
    <w:rsid w:val="00DE07B4"/>
    <w:rsid w:val="00DE08CC"/>
    <w:rsid w:val="00DE0966"/>
    <w:rsid w:val="00DE0967"/>
    <w:rsid w:val="00DE0E79"/>
    <w:rsid w:val="00DE11FF"/>
    <w:rsid w:val="00DE120A"/>
    <w:rsid w:val="00DE15A1"/>
    <w:rsid w:val="00DE1683"/>
    <w:rsid w:val="00DE1761"/>
    <w:rsid w:val="00DE1849"/>
    <w:rsid w:val="00DE1E5D"/>
    <w:rsid w:val="00DE21F8"/>
    <w:rsid w:val="00DE2615"/>
    <w:rsid w:val="00DE2804"/>
    <w:rsid w:val="00DE287B"/>
    <w:rsid w:val="00DE2AC4"/>
    <w:rsid w:val="00DE2D27"/>
    <w:rsid w:val="00DE2E84"/>
    <w:rsid w:val="00DE2F8D"/>
    <w:rsid w:val="00DE3205"/>
    <w:rsid w:val="00DE3213"/>
    <w:rsid w:val="00DE32E9"/>
    <w:rsid w:val="00DE34F9"/>
    <w:rsid w:val="00DE370F"/>
    <w:rsid w:val="00DE3BDD"/>
    <w:rsid w:val="00DE3C76"/>
    <w:rsid w:val="00DE4454"/>
    <w:rsid w:val="00DE4722"/>
    <w:rsid w:val="00DE4743"/>
    <w:rsid w:val="00DE4765"/>
    <w:rsid w:val="00DE4D47"/>
    <w:rsid w:val="00DE4F6D"/>
    <w:rsid w:val="00DE5529"/>
    <w:rsid w:val="00DE5AA9"/>
    <w:rsid w:val="00DE5E15"/>
    <w:rsid w:val="00DE5E64"/>
    <w:rsid w:val="00DE5EF1"/>
    <w:rsid w:val="00DE615C"/>
    <w:rsid w:val="00DE622C"/>
    <w:rsid w:val="00DE67DB"/>
    <w:rsid w:val="00DE6C8A"/>
    <w:rsid w:val="00DE6D19"/>
    <w:rsid w:val="00DE6F59"/>
    <w:rsid w:val="00DE71BA"/>
    <w:rsid w:val="00DE7233"/>
    <w:rsid w:val="00DE7597"/>
    <w:rsid w:val="00DE7682"/>
    <w:rsid w:val="00DE79C1"/>
    <w:rsid w:val="00DE79E9"/>
    <w:rsid w:val="00DE7CC9"/>
    <w:rsid w:val="00DE7DDC"/>
    <w:rsid w:val="00DF0188"/>
    <w:rsid w:val="00DF03F7"/>
    <w:rsid w:val="00DF0FAE"/>
    <w:rsid w:val="00DF0FF6"/>
    <w:rsid w:val="00DF1228"/>
    <w:rsid w:val="00DF125F"/>
    <w:rsid w:val="00DF144A"/>
    <w:rsid w:val="00DF1701"/>
    <w:rsid w:val="00DF1E5C"/>
    <w:rsid w:val="00DF1EFC"/>
    <w:rsid w:val="00DF214F"/>
    <w:rsid w:val="00DF2B54"/>
    <w:rsid w:val="00DF2E30"/>
    <w:rsid w:val="00DF2FE7"/>
    <w:rsid w:val="00DF3103"/>
    <w:rsid w:val="00DF3882"/>
    <w:rsid w:val="00DF39E3"/>
    <w:rsid w:val="00DF3A53"/>
    <w:rsid w:val="00DF3F3A"/>
    <w:rsid w:val="00DF4052"/>
    <w:rsid w:val="00DF42FE"/>
    <w:rsid w:val="00DF4A32"/>
    <w:rsid w:val="00DF50D2"/>
    <w:rsid w:val="00DF5461"/>
    <w:rsid w:val="00DF57F5"/>
    <w:rsid w:val="00DF611A"/>
    <w:rsid w:val="00DF63D2"/>
    <w:rsid w:val="00DF63E0"/>
    <w:rsid w:val="00DF6511"/>
    <w:rsid w:val="00DF6707"/>
    <w:rsid w:val="00DF6946"/>
    <w:rsid w:val="00DF6F98"/>
    <w:rsid w:val="00DF7677"/>
    <w:rsid w:val="00DF7713"/>
    <w:rsid w:val="00DF79E8"/>
    <w:rsid w:val="00DF7B26"/>
    <w:rsid w:val="00DF7D02"/>
    <w:rsid w:val="00DF7EA5"/>
    <w:rsid w:val="00E004D2"/>
    <w:rsid w:val="00E0050C"/>
    <w:rsid w:val="00E005D7"/>
    <w:rsid w:val="00E00670"/>
    <w:rsid w:val="00E006ED"/>
    <w:rsid w:val="00E00B05"/>
    <w:rsid w:val="00E00BD3"/>
    <w:rsid w:val="00E00DEC"/>
    <w:rsid w:val="00E0100E"/>
    <w:rsid w:val="00E01016"/>
    <w:rsid w:val="00E0106A"/>
    <w:rsid w:val="00E011D2"/>
    <w:rsid w:val="00E015C2"/>
    <w:rsid w:val="00E01809"/>
    <w:rsid w:val="00E01F77"/>
    <w:rsid w:val="00E020FE"/>
    <w:rsid w:val="00E027E7"/>
    <w:rsid w:val="00E02811"/>
    <w:rsid w:val="00E0287D"/>
    <w:rsid w:val="00E02AD0"/>
    <w:rsid w:val="00E02E03"/>
    <w:rsid w:val="00E02FF3"/>
    <w:rsid w:val="00E034CF"/>
    <w:rsid w:val="00E03509"/>
    <w:rsid w:val="00E038B5"/>
    <w:rsid w:val="00E03D2C"/>
    <w:rsid w:val="00E03FE1"/>
    <w:rsid w:val="00E042DA"/>
    <w:rsid w:val="00E04874"/>
    <w:rsid w:val="00E0489E"/>
    <w:rsid w:val="00E048FE"/>
    <w:rsid w:val="00E049F8"/>
    <w:rsid w:val="00E04D92"/>
    <w:rsid w:val="00E04E7F"/>
    <w:rsid w:val="00E04F3C"/>
    <w:rsid w:val="00E05221"/>
    <w:rsid w:val="00E0525C"/>
    <w:rsid w:val="00E05296"/>
    <w:rsid w:val="00E056CF"/>
    <w:rsid w:val="00E0586C"/>
    <w:rsid w:val="00E05D65"/>
    <w:rsid w:val="00E05DCE"/>
    <w:rsid w:val="00E06155"/>
    <w:rsid w:val="00E0651C"/>
    <w:rsid w:val="00E06646"/>
    <w:rsid w:val="00E06B05"/>
    <w:rsid w:val="00E076EB"/>
    <w:rsid w:val="00E076FF"/>
    <w:rsid w:val="00E078D4"/>
    <w:rsid w:val="00E07A3C"/>
    <w:rsid w:val="00E07C3F"/>
    <w:rsid w:val="00E07C96"/>
    <w:rsid w:val="00E07D80"/>
    <w:rsid w:val="00E07DFB"/>
    <w:rsid w:val="00E1001B"/>
    <w:rsid w:val="00E10085"/>
    <w:rsid w:val="00E100D9"/>
    <w:rsid w:val="00E1026B"/>
    <w:rsid w:val="00E10272"/>
    <w:rsid w:val="00E10676"/>
    <w:rsid w:val="00E1085D"/>
    <w:rsid w:val="00E10A97"/>
    <w:rsid w:val="00E10AE5"/>
    <w:rsid w:val="00E10D26"/>
    <w:rsid w:val="00E1110C"/>
    <w:rsid w:val="00E11384"/>
    <w:rsid w:val="00E11505"/>
    <w:rsid w:val="00E11578"/>
    <w:rsid w:val="00E117EE"/>
    <w:rsid w:val="00E118B7"/>
    <w:rsid w:val="00E1202B"/>
    <w:rsid w:val="00E12133"/>
    <w:rsid w:val="00E12344"/>
    <w:rsid w:val="00E1277E"/>
    <w:rsid w:val="00E127A3"/>
    <w:rsid w:val="00E12C80"/>
    <w:rsid w:val="00E13115"/>
    <w:rsid w:val="00E136CF"/>
    <w:rsid w:val="00E13DD8"/>
    <w:rsid w:val="00E13EE0"/>
    <w:rsid w:val="00E1403E"/>
    <w:rsid w:val="00E142BC"/>
    <w:rsid w:val="00E1439A"/>
    <w:rsid w:val="00E1460C"/>
    <w:rsid w:val="00E1469F"/>
    <w:rsid w:val="00E14A91"/>
    <w:rsid w:val="00E14D5A"/>
    <w:rsid w:val="00E1549E"/>
    <w:rsid w:val="00E154EB"/>
    <w:rsid w:val="00E15703"/>
    <w:rsid w:val="00E15AC7"/>
    <w:rsid w:val="00E15E42"/>
    <w:rsid w:val="00E16246"/>
    <w:rsid w:val="00E166EF"/>
    <w:rsid w:val="00E16D69"/>
    <w:rsid w:val="00E1721F"/>
    <w:rsid w:val="00E17229"/>
    <w:rsid w:val="00E17591"/>
    <w:rsid w:val="00E178FE"/>
    <w:rsid w:val="00E17B14"/>
    <w:rsid w:val="00E20240"/>
    <w:rsid w:val="00E2076A"/>
    <w:rsid w:val="00E20869"/>
    <w:rsid w:val="00E20DB2"/>
    <w:rsid w:val="00E213C9"/>
    <w:rsid w:val="00E2144C"/>
    <w:rsid w:val="00E21512"/>
    <w:rsid w:val="00E2198D"/>
    <w:rsid w:val="00E21C29"/>
    <w:rsid w:val="00E21DFD"/>
    <w:rsid w:val="00E229FC"/>
    <w:rsid w:val="00E22A38"/>
    <w:rsid w:val="00E22C9D"/>
    <w:rsid w:val="00E22C9F"/>
    <w:rsid w:val="00E22EC6"/>
    <w:rsid w:val="00E22F32"/>
    <w:rsid w:val="00E22F4F"/>
    <w:rsid w:val="00E23121"/>
    <w:rsid w:val="00E23285"/>
    <w:rsid w:val="00E233D7"/>
    <w:rsid w:val="00E235E1"/>
    <w:rsid w:val="00E23704"/>
    <w:rsid w:val="00E23C43"/>
    <w:rsid w:val="00E23D73"/>
    <w:rsid w:val="00E23F3D"/>
    <w:rsid w:val="00E24059"/>
    <w:rsid w:val="00E24374"/>
    <w:rsid w:val="00E243AC"/>
    <w:rsid w:val="00E244BD"/>
    <w:rsid w:val="00E244FD"/>
    <w:rsid w:val="00E24D6C"/>
    <w:rsid w:val="00E24F1B"/>
    <w:rsid w:val="00E250DC"/>
    <w:rsid w:val="00E2530D"/>
    <w:rsid w:val="00E258A3"/>
    <w:rsid w:val="00E25A37"/>
    <w:rsid w:val="00E25AD1"/>
    <w:rsid w:val="00E25D72"/>
    <w:rsid w:val="00E26117"/>
    <w:rsid w:val="00E261C4"/>
    <w:rsid w:val="00E265B0"/>
    <w:rsid w:val="00E265C7"/>
    <w:rsid w:val="00E2693D"/>
    <w:rsid w:val="00E2734E"/>
    <w:rsid w:val="00E273DF"/>
    <w:rsid w:val="00E27545"/>
    <w:rsid w:val="00E27A42"/>
    <w:rsid w:val="00E27FC2"/>
    <w:rsid w:val="00E30005"/>
    <w:rsid w:val="00E30279"/>
    <w:rsid w:val="00E30AE6"/>
    <w:rsid w:val="00E30CB6"/>
    <w:rsid w:val="00E30D65"/>
    <w:rsid w:val="00E3137D"/>
    <w:rsid w:val="00E31574"/>
    <w:rsid w:val="00E3185A"/>
    <w:rsid w:val="00E31A72"/>
    <w:rsid w:val="00E31AA0"/>
    <w:rsid w:val="00E3204C"/>
    <w:rsid w:val="00E3210E"/>
    <w:rsid w:val="00E323BB"/>
    <w:rsid w:val="00E32965"/>
    <w:rsid w:val="00E32C29"/>
    <w:rsid w:val="00E32C8A"/>
    <w:rsid w:val="00E32FA8"/>
    <w:rsid w:val="00E33142"/>
    <w:rsid w:val="00E332D2"/>
    <w:rsid w:val="00E3336E"/>
    <w:rsid w:val="00E333C7"/>
    <w:rsid w:val="00E336DC"/>
    <w:rsid w:val="00E336F9"/>
    <w:rsid w:val="00E33A2F"/>
    <w:rsid w:val="00E33A7C"/>
    <w:rsid w:val="00E33DC2"/>
    <w:rsid w:val="00E34112"/>
    <w:rsid w:val="00E3415A"/>
    <w:rsid w:val="00E34168"/>
    <w:rsid w:val="00E34307"/>
    <w:rsid w:val="00E35A24"/>
    <w:rsid w:val="00E35CD2"/>
    <w:rsid w:val="00E35D88"/>
    <w:rsid w:val="00E35DF1"/>
    <w:rsid w:val="00E35EE4"/>
    <w:rsid w:val="00E3612F"/>
    <w:rsid w:val="00E362FC"/>
    <w:rsid w:val="00E364D6"/>
    <w:rsid w:val="00E3651F"/>
    <w:rsid w:val="00E36526"/>
    <w:rsid w:val="00E3688E"/>
    <w:rsid w:val="00E36F35"/>
    <w:rsid w:val="00E36F65"/>
    <w:rsid w:val="00E370EB"/>
    <w:rsid w:val="00E37219"/>
    <w:rsid w:val="00E373E3"/>
    <w:rsid w:val="00E3743B"/>
    <w:rsid w:val="00E377FF"/>
    <w:rsid w:val="00E37DA2"/>
    <w:rsid w:val="00E4057E"/>
    <w:rsid w:val="00E40765"/>
    <w:rsid w:val="00E40BCC"/>
    <w:rsid w:val="00E40CEB"/>
    <w:rsid w:val="00E40D37"/>
    <w:rsid w:val="00E40F69"/>
    <w:rsid w:val="00E41123"/>
    <w:rsid w:val="00E41303"/>
    <w:rsid w:val="00E41339"/>
    <w:rsid w:val="00E41844"/>
    <w:rsid w:val="00E41C41"/>
    <w:rsid w:val="00E41E9A"/>
    <w:rsid w:val="00E41F98"/>
    <w:rsid w:val="00E424B9"/>
    <w:rsid w:val="00E42613"/>
    <w:rsid w:val="00E4274F"/>
    <w:rsid w:val="00E427E2"/>
    <w:rsid w:val="00E429E2"/>
    <w:rsid w:val="00E42B03"/>
    <w:rsid w:val="00E42C06"/>
    <w:rsid w:val="00E42ED1"/>
    <w:rsid w:val="00E434A8"/>
    <w:rsid w:val="00E43912"/>
    <w:rsid w:val="00E43AAC"/>
    <w:rsid w:val="00E43BBA"/>
    <w:rsid w:val="00E43BEA"/>
    <w:rsid w:val="00E43CA9"/>
    <w:rsid w:val="00E4410C"/>
    <w:rsid w:val="00E443F0"/>
    <w:rsid w:val="00E4449C"/>
    <w:rsid w:val="00E44817"/>
    <w:rsid w:val="00E4482C"/>
    <w:rsid w:val="00E448FC"/>
    <w:rsid w:val="00E44A49"/>
    <w:rsid w:val="00E44A72"/>
    <w:rsid w:val="00E44EEB"/>
    <w:rsid w:val="00E451A6"/>
    <w:rsid w:val="00E45554"/>
    <w:rsid w:val="00E456E1"/>
    <w:rsid w:val="00E45A06"/>
    <w:rsid w:val="00E45A36"/>
    <w:rsid w:val="00E45AAF"/>
    <w:rsid w:val="00E45B58"/>
    <w:rsid w:val="00E45CC6"/>
    <w:rsid w:val="00E45F3F"/>
    <w:rsid w:val="00E4609D"/>
    <w:rsid w:val="00E464CB"/>
    <w:rsid w:val="00E466EC"/>
    <w:rsid w:val="00E473EA"/>
    <w:rsid w:val="00E474CD"/>
    <w:rsid w:val="00E476A8"/>
    <w:rsid w:val="00E47ED9"/>
    <w:rsid w:val="00E47FAA"/>
    <w:rsid w:val="00E502C2"/>
    <w:rsid w:val="00E5036B"/>
    <w:rsid w:val="00E5046E"/>
    <w:rsid w:val="00E50C1D"/>
    <w:rsid w:val="00E50E58"/>
    <w:rsid w:val="00E51068"/>
    <w:rsid w:val="00E51355"/>
    <w:rsid w:val="00E517C7"/>
    <w:rsid w:val="00E51A5B"/>
    <w:rsid w:val="00E5214F"/>
    <w:rsid w:val="00E521D7"/>
    <w:rsid w:val="00E5225F"/>
    <w:rsid w:val="00E526BB"/>
    <w:rsid w:val="00E52A17"/>
    <w:rsid w:val="00E52B4E"/>
    <w:rsid w:val="00E52CCA"/>
    <w:rsid w:val="00E53981"/>
    <w:rsid w:val="00E53C51"/>
    <w:rsid w:val="00E53D8E"/>
    <w:rsid w:val="00E542B9"/>
    <w:rsid w:val="00E5477E"/>
    <w:rsid w:val="00E547D6"/>
    <w:rsid w:val="00E547E3"/>
    <w:rsid w:val="00E54BE7"/>
    <w:rsid w:val="00E54C50"/>
    <w:rsid w:val="00E54CA3"/>
    <w:rsid w:val="00E54DAC"/>
    <w:rsid w:val="00E54EC2"/>
    <w:rsid w:val="00E5504E"/>
    <w:rsid w:val="00E558D2"/>
    <w:rsid w:val="00E55C70"/>
    <w:rsid w:val="00E55D94"/>
    <w:rsid w:val="00E55F99"/>
    <w:rsid w:val="00E560BC"/>
    <w:rsid w:val="00E563AC"/>
    <w:rsid w:val="00E5657E"/>
    <w:rsid w:val="00E566E4"/>
    <w:rsid w:val="00E5688C"/>
    <w:rsid w:val="00E56B14"/>
    <w:rsid w:val="00E56CCA"/>
    <w:rsid w:val="00E56D37"/>
    <w:rsid w:val="00E56EEC"/>
    <w:rsid w:val="00E574B3"/>
    <w:rsid w:val="00E57A1B"/>
    <w:rsid w:val="00E57CB3"/>
    <w:rsid w:val="00E60250"/>
    <w:rsid w:val="00E6027A"/>
    <w:rsid w:val="00E60A1A"/>
    <w:rsid w:val="00E60E84"/>
    <w:rsid w:val="00E61032"/>
    <w:rsid w:val="00E61402"/>
    <w:rsid w:val="00E6184E"/>
    <w:rsid w:val="00E61A4A"/>
    <w:rsid w:val="00E61B8A"/>
    <w:rsid w:val="00E61D61"/>
    <w:rsid w:val="00E61E1F"/>
    <w:rsid w:val="00E621F2"/>
    <w:rsid w:val="00E62624"/>
    <w:rsid w:val="00E6293A"/>
    <w:rsid w:val="00E62C2A"/>
    <w:rsid w:val="00E6308B"/>
    <w:rsid w:val="00E63323"/>
    <w:rsid w:val="00E63454"/>
    <w:rsid w:val="00E63B24"/>
    <w:rsid w:val="00E63B5F"/>
    <w:rsid w:val="00E63BFB"/>
    <w:rsid w:val="00E643DD"/>
    <w:rsid w:val="00E6484D"/>
    <w:rsid w:val="00E64A8A"/>
    <w:rsid w:val="00E64E3B"/>
    <w:rsid w:val="00E6508C"/>
    <w:rsid w:val="00E650B2"/>
    <w:rsid w:val="00E651DF"/>
    <w:rsid w:val="00E65387"/>
    <w:rsid w:val="00E65588"/>
    <w:rsid w:val="00E65744"/>
    <w:rsid w:val="00E659C7"/>
    <w:rsid w:val="00E659C9"/>
    <w:rsid w:val="00E65B79"/>
    <w:rsid w:val="00E65C53"/>
    <w:rsid w:val="00E65C7F"/>
    <w:rsid w:val="00E65D3D"/>
    <w:rsid w:val="00E65F4B"/>
    <w:rsid w:val="00E65F53"/>
    <w:rsid w:val="00E6621B"/>
    <w:rsid w:val="00E663C8"/>
    <w:rsid w:val="00E66645"/>
    <w:rsid w:val="00E66B53"/>
    <w:rsid w:val="00E66B7B"/>
    <w:rsid w:val="00E67A50"/>
    <w:rsid w:val="00E67BBD"/>
    <w:rsid w:val="00E67BE1"/>
    <w:rsid w:val="00E67F55"/>
    <w:rsid w:val="00E7007E"/>
    <w:rsid w:val="00E70082"/>
    <w:rsid w:val="00E704B2"/>
    <w:rsid w:val="00E70535"/>
    <w:rsid w:val="00E707AF"/>
    <w:rsid w:val="00E70A90"/>
    <w:rsid w:val="00E70F23"/>
    <w:rsid w:val="00E70F47"/>
    <w:rsid w:val="00E7139A"/>
    <w:rsid w:val="00E716D3"/>
    <w:rsid w:val="00E7190F"/>
    <w:rsid w:val="00E71C3B"/>
    <w:rsid w:val="00E71C42"/>
    <w:rsid w:val="00E71EA8"/>
    <w:rsid w:val="00E71FFA"/>
    <w:rsid w:val="00E7206A"/>
    <w:rsid w:val="00E72297"/>
    <w:rsid w:val="00E7262E"/>
    <w:rsid w:val="00E728CA"/>
    <w:rsid w:val="00E73068"/>
    <w:rsid w:val="00E73414"/>
    <w:rsid w:val="00E736CE"/>
    <w:rsid w:val="00E73A46"/>
    <w:rsid w:val="00E73A82"/>
    <w:rsid w:val="00E73D1B"/>
    <w:rsid w:val="00E7443A"/>
    <w:rsid w:val="00E74673"/>
    <w:rsid w:val="00E74A64"/>
    <w:rsid w:val="00E74B07"/>
    <w:rsid w:val="00E74C30"/>
    <w:rsid w:val="00E74EAF"/>
    <w:rsid w:val="00E75101"/>
    <w:rsid w:val="00E751B2"/>
    <w:rsid w:val="00E755CF"/>
    <w:rsid w:val="00E75710"/>
    <w:rsid w:val="00E7581C"/>
    <w:rsid w:val="00E7590F"/>
    <w:rsid w:val="00E75B07"/>
    <w:rsid w:val="00E75B85"/>
    <w:rsid w:val="00E75C68"/>
    <w:rsid w:val="00E76015"/>
    <w:rsid w:val="00E7670A"/>
    <w:rsid w:val="00E769B9"/>
    <w:rsid w:val="00E76C17"/>
    <w:rsid w:val="00E76EC1"/>
    <w:rsid w:val="00E7716B"/>
    <w:rsid w:val="00E77767"/>
    <w:rsid w:val="00E802EB"/>
    <w:rsid w:val="00E80547"/>
    <w:rsid w:val="00E8082D"/>
    <w:rsid w:val="00E80A90"/>
    <w:rsid w:val="00E80C50"/>
    <w:rsid w:val="00E80CA1"/>
    <w:rsid w:val="00E80D67"/>
    <w:rsid w:val="00E812C4"/>
    <w:rsid w:val="00E812C9"/>
    <w:rsid w:val="00E81B90"/>
    <w:rsid w:val="00E81C59"/>
    <w:rsid w:val="00E81C64"/>
    <w:rsid w:val="00E81D29"/>
    <w:rsid w:val="00E81D3C"/>
    <w:rsid w:val="00E81E18"/>
    <w:rsid w:val="00E8209B"/>
    <w:rsid w:val="00E820DB"/>
    <w:rsid w:val="00E8249A"/>
    <w:rsid w:val="00E826C7"/>
    <w:rsid w:val="00E8289A"/>
    <w:rsid w:val="00E82A6C"/>
    <w:rsid w:val="00E82CAF"/>
    <w:rsid w:val="00E82D6A"/>
    <w:rsid w:val="00E830F1"/>
    <w:rsid w:val="00E83278"/>
    <w:rsid w:val="00E83339"/>
    <w:rsid w:val="00E835BE"/>
    <w:rsid w:val="00E839DD"/>
    <w:rsid w:val="00E83AD9"/>
    <w:rsid w:val="00E8434C"/>
    <w:rsid w:val="00E84399"/>
    <w:rsid w:val="00E84882"/>
    <w:rsid w:val="00E84C97"/>
    <w:rsid w:val="00E84CAC"/>
    <w:rsid w:val="00E85069"/>
    <w:rsid w:val="00E85262"/>
    <w:rsid w:val="00E85339"/>
    <w:rsid w:val="00E8558D"/>
    <w:rsid w:val="00E85667"/>
    <w:rsid w:val="00E85940"/>
    <w:rsid w:val="00E8595B"/>
    <w:rsid w:val="00E85A80"/>
    <w:rsid w:val="00E85BDE"/>
    <w:rsid w:val="00E85F27"/>
    <w:rsid w:val="00E860C8"/>
    <w:rsid w:val="00E86131"/>
    <w:rsid w:val="00E86599"/>
    <w:rsid w:val="00E8683F"/>
    <w:rsid w:val="00E86853"/>
    <w:rsid w:val="00E86A21"/>
    <w:rsid w:val="00E86A76"/>
    <w:rsid w:val="00E86BC5"/>
    <w:rsid w:val="00E871D5"/>
    <w:rsid w:val="00E871EE"/>
    <w:rsid w:val="00E8743E"/>
    <w:rsid w:val="00E8758F"/>
    <w:rsid w:val="00E87956"/>
    <w:rsid w:val="00E87BCC"/>
    <w:rsid w:val="00E87D49"/>
    <w:rsid w:val="00E87DE1"/>
    <w:rsid w:val="00E87F96"/>
    <w:rsid w:val="00E9021E"/>
    <w:rsid w:val="00E90554"/>
    <w:rsid w:val="00E90581"/>
    <w:rsid w:val="00E9073C"/>
    <w:rsid w:val="00E907D6"/>
    <w:rsid w:val="00E90C0F"/>
    <w:rsid w:val="00E90CB4"/>
    <w:rsid w:val="00E90D43"/>
    <w:rsid w:val="00E911C4"/>
    <w:rsid w:val="00E91368"/>
    <w:rsid w:val="00E91B7F"/>
    <w:rsid w:val="00E92317"/>
    <w:rsid w:val="00E923DF"/>
    <w:rsid w:val="00E926A3"/>
    <w:rsid w:val="00E926E5"/>
    <w:rsid w:val="00E92761"/>
    <w:rsid w:val="00E92B40"/>
    <w:rsid w:val="00E93254"/>
    <w:rsid w:val="00E93614"/>
    <w:rsid w:val="00E938AD"/>
    <w:rsid w:val="00E938C2"/>
    <w:rsid w:val="00E93DB8"/>
    <w:rsid w:val="00E942EC"/>
    <w:rsid w:val="00E944C0"/>
    <w:rsid w:val="00E949E6"/>
    <w:rsid w:val="00E94AEC"/>
    <w:rsid w:val="00E95028"/>
    <w:rsid w:val="00E950A4"/>
    <w:rsid w:val="00E9511E"/>
    <w:rsid w:val="00E95147"/>
    <w:rsid w:val="00E95202"/>
    <w:rsid w:val="00E95471"/>
    <w:rsid w:val="00E958BA"/>
    <w:rsid w:val="00E958C4"/>
    <w:rsid w:val="00E95C9B"/>
    <w:rsid w:val="00E95D45"/>
    <w:rsid w:val="00E95E3B"/>
    <w:rsid w:val="00E95F6B"/>
    <w:rsid w:val="00E95FDE"/>
    <w:rsid w:val="00E96021"/>
    <w:rsid w:val="00E96D73"/>
    <w:rsid w:val="00E96EA4"/>
    <w:rsid w:val="00E972C2"/>
    <w:rsid w:val="00E973C7"/>
    <w:rsid w:val="00E97519"/>
    <w:rsid w:val="00E97716"/>
    <w:rsid w:val="00E978AA"/>
    <w:rsid w:val="00E97A27"/>
    <w:rsid w:val="00E97E27"/>
    <w:rsid w:val="00E97F41"/>
    <w:rsid w:val="00EA039F"/>
    <w:rsid w:val="00EA05A7"/>
    <w:rsid w:val="00EA07D2"/>
    <w:rsid w:val="00EA0D95"/>
    <w:rsid w:val="00EA0E19"/>
    <w:rsid w:val="00EA1220"/>
    <w:rsid w:val="00EA1489"/>
    <w:rsid w:val="00EA169B"/>
    <w:rsid w:val="00EA1B6B"/>
    <w:rsid w:val="00EA1CD1"/>
    <w:rsid w:val="00EA1D5A"/>
    <w:rsid w:val="00EA23AF"/>
    <w:rsid w:val="00EA29CB"/>
    <w:rsid w:val="00EA2A20"/>
    <w:rsid w:val="00EA2AC3"/>
    <w:rsid w:val="00EA2B5B"/>
    <w:rsid w:val="00EA2BE2"/>
    <w:rsid w:val="00EA2CB7"/>
    <w:rsid w:val="00EA316D"/>
    <w:rsid w:val="00EA35CF"/>
    <w:rsid w:val="00EA3DEE"/>
    <w:rsid w:val="00EA3FAC"/>
    <w:rsid w:val="00EA3FFF"/>
    <w:rsid w:val="00EA4832"/>
    <w:rsid w:val="00EA4A81"/>
    <w:rsid w:val="00EA4D18"/>
    <w:rsid w:val="00EA4E95"/>
    <w:rsid w:val="00EA4EFA"/>
    <w:rsid w:val="00EA502E"/>
    <w:rsid w:val="00EA503E"/>
    <w:rsid w:val="00EA50B5"/>
    <w:rsid w:val="00EA5134"/>
    <w:rsid w:val="00EA5E45"/>
    <w:rsid w:val="00EA60B1"/>
    <w:rsid w:val="00EA6467"/>
    <w:rsid w:val="00EA6484"/>
    <w:rsid w:val="00EA68A1"/>
    <w:rsid w:val="00EA6D74"/>
    <w:rsid w:val="00EA7290"/>
    <w:rsid w:val="00EA7588"/>
    <w:rsid w:val="00EB0458"/>
    <w:rsid w:val="00EB05FD"/>
    <w:rsid w:val="00EB06D0"/>
    <w:rsid w:val="00EB096E"/>
    <w:rsid w:val="00EB0BEB"/>
    <w:rsid w:val="00EB0FB4"/>
    <w:rsid w:val="00EB0FF3"/>
    <w:rsid w:val="00EB1058"/>
    <w:rsid w:val="00EB10D3"/>
    <w:rsid w:val="00EB11C0"/>
    <w:rsid w:val="00EB11FC"/>
    <w:rsid w:val="00EB1CB1"/>
    <w:rsid w:val="00EB2186"/>
    <w:rsid w:val="00EB2258"/>
    <w:rsid w:val="00EB22FB"/>
    <w:rsid w:val="00EB24C4"/>
    <w:rsid w:val="00EB29BA"/>
    <w:rsid w:val="00EB2C21"/>
    <w:rsid w:val="00EB30E6"/>
    <w:rsid w:val="00EB30F3"/>
    <w:rsid w:val="00EB34C6"/>
    <w:rsid w:val="00EB3A0D"/>
    <w:rsid w:val="00EB3BC7"/>
    <w:rsid w:val="00EB3E24"/>
    <w:rsid w:val="00EB474E"/>
    <w:rsid w:val="00EB4EE6"/>
    <w:rsid w:val="00EB51DA"/>
    <w:rsid w:val="00EB525E"/>
    <w:rsid w:val="00EB52FE"/>
    <w:rsid w:val="00EB5492"/>
    <w:rsid w:val="00EB55BF"/>
    <w:rsid w:val="00EB55EE"/>
    <w:rsid w:val="00EB57A0"/>
    <w:rsid w:val="00EB589B"/>
    <w:rsid w:val="00EB6844"/>
    <w:rsid w:val="00EB735A"/>
    <w:rsid w:val="00EB7A49"/>
    <w:rsid w:val="00EB7DCE"/>
    <w:rsid w:val="00EB7E33"/>
    <w:rsid w:val="00EC0070"/>
    <w:rsid w:val="00EC01C8"/>
    <w:rsid w:val="00EC032E"/>
    <w:rsid w:val="00EC03F8"/>
    <w:rsid w:val="00EC049B"/>
    <w:rsid w:val="00EC0D8F"/>
    <w:rsid w:val="00EC1A69"/>
    <w:rsid w:val="00EC1E6D"/>
    <w:rsid w:val="00EC1EF9"/>
    <w:rsid w:val="00EC2061"/>
    <w:rsid w:val="00EC212A"/>
    <w:rsid w:val="00EC26D1"/>
    <w:rsid w:val="00EC2B74"/>
    <w:rsid w:val="00EC2C91"/>
    <w:rsid w:val="00EC2DB6"/>
    <w:rsid w:val="00EC2EBB"/>
    <w:rsid w:val="00EC2F33"/>
    <w:rsid w:val="00EC319F"/>
    <w:rsid w:val="00EC362D"/>
    <w:rsid w:val="00EC3632"/>
    <w:rsid w:val="00EC3A8A"/>
    <w:rsid w:val="00EC3F64"/>
    <w:rsid w:val="00EC3FF0"/>
    <w:rsid w:val="00EC408F"/>
    <w:rsid w:val="00EC4221"/>
    <w:rsid w:val="00EC4593"/>
    <w:rsid w:val="00EC47A0"/>
    <w:rsid w:val="00EC498D"/>
    <w:rsid w:val="00EC4C82"/>
    <w:rsid w:val="00EC4CD1"/>
    <w:rsid w:val="00EC4D28"/>
    <w:rsid w:val="00EC4DFE"/>
    <w:rsid w:val="00EC4EAA"/>
    <w:rsid w:val="00EC4F8C"/>
    <w:rsid w:val="00EC5525"/>
    <w:rsid w:val="00EC59DA"/>
    <w:rsid w:val="00EC5F4C"/>
    <w:rsid w:val="00EC621D"/>
    <w:rsid w:val="00EC64D1"/>
    <w:rsid w:val="00EC6526"/>
    <w:rsid w:val="00EC669C"/>
    <w:rsid w:val="00EC6B3B"/>
    <w:rsid w:val="00EC6CA1"/>
    <w:rsid w:val="00EC70D8"/>
    <w:rsid w:val="00EC7340"/>
    <w:rsid w:val="00EC750B"/>
    <w:rsid w:val="00EC791B"/>
    <w:rsid w:val="00EC7A1C"/>
    <w:rsid w:val="00EC7D2F"/>
    <w:rsid w:val="00EC7F2C"/>
    <w:rsid w:val="00ED0859"/>
    <w:rsid w:val="00ED10FE"/>
    <w:rsid w:val="00ED1148"/>
    <w:rsid w:val="00ED115F"/>
    <w:rsid w:val="00ED1443"/>
    <w:rsid w:val="00ED1682"/>
    <w:rsid w:val="00ED19C1"/>
    <w:rsid w:val="00ED2CAD"/>
    <w:rsid w:val="00ED2F14"/>
    <w:rsid w:val="00ED2F3F"/>
    <w:rsid w:val="00ED31FB"/>
    <w:rsid w:val="00ED3353"/>
    <w:rsid w:val="00ED345C"/>
    <w:rsid w:val="00ED37D7"/>
    <w:rsid w:val="00ED39F2"/>
    <w:rsid w:val="00ED3A67"/>
    <w:rsid w:val="00ED3C55"/>
    <w:rsid w:val="00ED3CB9"/>
    <w:rsid w:val="00ED3E74"/>
    <w:rsid w:val="00ED409E"/>
    <w:rsid w:val="00ED41F2"/>
    <w:rsid w:val="00ED445C"/>
    <w:rsid w:val="00ED446B"/>
    <w:rsid w:val="00ED4C9F"/>
    <w:rsid w:val="00ED4F6C"/>
    <w:rsid w:val="00ED4FB8"/>
    <w:rsid w:val="00ED4FE2"/>
    <w:rsid w:val="00ED502A"/>
    <w:rsid w:val="00ED5032"/>
    <w:rsid w:val="00ED506F"/>
    <w:rsid w:val="00ED538E"/>
    <w:rsid w:val="00ED56F9"/>
    <w:rsid w:val="00ED59B7"/>
    <w:rsid w:val="00ED5CD9"/>
    <w:rsid w:val="00ED5F75"/>
    <w:rsid w:val="00ED64D1"/>
    <w:rsid w:val="00ED67D9"/>
    <w:rsid w:val="00ED68D5"/>
    <w:rsid w:val="00ED6975"/>
    <w:rsid w:val="00ED7747"/>
    <w:rsid w:val="00ED7749"/>
    <w:rsid w:val="00ED782D"/>
    <w:rsid w:val="00ED79DE"/>
    <w:rsid w:val="00ED7CA9"/>
    <w:rsid w:val="00ED7F2A"/>
    <w:rsid w:val="00ED7FED"/>
    <w:rsid w:val="00EE0A63"/>
    <w:rsid w:val="00EE0B2E"/>
    <w:rsid w:val="00EE0C18"/>
    <w:rsid w:val="00EE117E"/>
    <w:rsid w:val="00EE11EE"/>
    <w:rsid w:val="00EE12D6"/>
    <w:rsid w:val="00EE142C"/>
    <w:rsid w:val="00EE14CF"/>
    <w:rsid w:val="00EE16B7"/>
    <w:rsid w:val="00EE171B"/>
    <w:rsid w:val="00EE1AC7"/>
    <w:rsid w:val="00EE1D72"/>
    <w:rsid w:val="00EE20ED"/>
    <w:rsid w:val="00EE2497"/>
    <w:rsid w:val="00EE26DB"/>
    <w:rsid w:val="00EE28A1"/>
    <w:rsid w:val="00EE2A5B"/>
    <w:rsid w:val="00EE2B04"/>
    <w:rsid w:val="00EE2B97"/>
    <w:rsid w:val="00EE2D53"/>
    <w:rsid w:val="00EE313A"/>
    <w:rsid w:val="00EE3347"/>
    <w:rsid w:val="00EE3354"/>
    <w:rsid w:val="00EE4123"/>
    <w:rsid w:val="00EE449C"/>
    <w:rsid w:val="00EE455E"/>
    <w:rsid w:val="00EE4A60"/>
    <w:rsid w:val="00EE4CFA"/>
    <w:rsid w:val="00EE4D82"/>
    <w:rsid w:val="00EE4E8B"/>
    <w:rsid w:val="00EE5443"/>
    <w:rsid w:val="00EE5749"/>
    <w:rsid w:val="00EE579D"/>
    <w:rsid w:val="00EE57B2"/>
    <w:rsid w:val="00EE5898"/>
    <w:rsid w:val="00EE5AE1"/>
    <w:rsid w:val="00EE5FBE"/>
    <w:rsid w:val="00EE65F6"/>
    <w:rsid w:val="00EE6B7B"/>
    <w:rsid w:val="00EE6C47"/>
    <w:rsid w:val="00EE6DFC"/>
    <w:rsid w:val="00EE6F2C"/>
    <w:rsid w:val="00EE6F97"/>
    <w:rsid w:val="00EE7614"/>
    <w:rsid w:val="00EE7C20"/>
    <w:rsid w:val="00EE7D65"/>
    <w:rsid w:val="00EF015C"/>
    <w:rsid w:val="00EF02BB"/>
    <w:rsid w:val="00EF02F9"/>
    <w:rsid w:val="00EF03B7"/>
    <w:rsid w:val="00EF0931"/>
    <w:rsid w:val="00EF0BF2"/>
    <w:rsid w:val="00EF0D06"/>
    <w:rsid w:val="00EF0DF0"/>
    <w:rsid w:val="00EF1256"/>
    <w:rsid w:val="00EF1509"/>
    <w:rsid w:val="00EF1557"/>
    <w:rsid w:val="00EF19E0"/>
    <w:rsid w:val="00EF1AB0"/>
    <w:rsid w:val="00EF23BC"/>
    <w:rsid w:val="00EF253E"/>
    <w:rsid w:val="00EF258F"/>
    <w:rsid w:val="00EF282A"/>
    <w:rsid w:val="00EF28A8"/>
    <w:rsid w:val="00EF298A"/>
    <w:rsid w:val="00EF2E5A"/>
    <w:rsid w:val="00EF3159"/>
    <w:rsid w:val="00EF3306"/>
    <w:rsid w:val="00EF34C9"/>
    <w:rsid w:val="00EF39A2"/>
    <w:rsid w:val="00EF3D67"/>
    <w:rsid w:val="00EF3F77"/>
    <w:rsid w:val="00EF3F91"/>
    <w:rsid w:val="00EF4028"/>
    <w:rsid w:val="00EF4068"/>
    <w:rsid w:val="00EF43A6"/>
    <w:rsid w:val="00EF49BC"/>
    <w:rsid w:val="00EF4CFB"/>
    <w:rsid w:val="00EF51E9"/>
    <w:rsid w:val="00EF53F7"/>
    <w:rsid w:val="00EF554D"/>
    <w:rsid w:val="00EF5753"/>
    <w:rsid w:val="00EF5C9B"/>
    <w:rsid w:val="00EF5E7B"/>
    <w:rsid w:val="00EF6086"/>
    <w:rsid w:val="00EF60E4"/>
    <w:rsid w:val="00EF62FB"/>
    <w:rsid w:val="00EF6403"/>
    <w:rsid w:val="00EF7072"/>
    <w:rsid w:val="00EF7657"/>
    <w:rsid w:val="00EF76BA"/>
    <w:rsid w:val="00EF79AC"/>
    <w:rsid w:val="00EF7AAC"/>
    <w:rsid w:val="00F000BD"/>
    <w:rsid w:val="00F00425"/>
    <w:rsid w:val="00F0055C"/>
    <w:rsid w:val="00F00A16"/>
    <w:rsid w:val="00F0126E"/>
    <w:rsid w:val="00F0133C"/>
    <w:rsid w:val="00F01831"/>
    <w:rsid w:val="00F018F7"/>
    <w:rsid w:val="00F01A92"/>
    <w:rsid w:val="00F01B8C"/>
    <w:rsid w:val="00F02100"/>
    <w:rsid w:val="00F02587"/>
    <w:rsid w:val="00F02658"/>
    <w:rsid w:val="00F02A45"/>
    <w:rsid w:val="00F02D9C"/>
    <w:rsid w:val="00F033A6"/>
    <w:rsid w:val="00F034D3"/>
    <w:rsid w:val="00F039D3"/>
    <w:rsid w:val="00F0465D"/>
    <w:rsid w:val="00F04B73"/>
    <w:rsid w:val="00F04C72"/>
    <w:rsid w:val="00F054D4"/>
    <w:rsid w:val="00F05983"/>
    <w:rsid w:val="00F05CEA"/>
    <w:rsid w:val="00F05DC7"/>
    <w:rsid w:val="00F05F48"/>
    <w:rsid w:val="00F06360"/>
    <w:rsid w:val="00F063C2"/>
    <w:rsid w:val="00F06629"/>
    <w:rsid w:val="00F06847"/>
    <w:rsid w:val="00F0692C"/>
    <w:rsid w:val="00F06B1D"/>
    <w:rsid w:val="00F06B22"/>
    <w:rsid w:val="00F07545"/>
    <w:rsid w:val="00F075F8"/>
    <w:rsid w:val="00F0775A"/>
    <w:rsid w:val="00F07B39"/>
    <w:rsid w:val="00F07E33"/>
    <w:rsid w:val="00F10206"/>
    <w:rsid w:val="00F103F1"/>
    <w:rsid w:val="00F104CE"/>
    <w:rsid w:val="00F1053A"/>
    <w:rsid w:val="00F106BF"/>
    <w:rsid w:val="00F107A6"/>
    <w:rsid w:val="00F109A3"/>
    <w:rsid w:val="00F10E11"/>
    <w:rsid w:val="00F11728"/>
    <w:rsid w:val="00F117D3"/>
    <w:rsid w:val="00F118C9"/>
    <w:rsid w:val="00F11A2D"/>
    <w:rsid w:val="00F11B2D"/>
    <w:rsid w:val="00F11BDD"/>
    <w:rsid w:val="00F12112"/>
    <w:rsid w:val="00F121A3"/>
    <w:rsid w:val="00F12490"/>
    <w:rsid w:val="00F1256D"/>
    <w:rsid w:val="00F1283F"/>
    <w:rsid w:val="00F12934"/>
    <w:rsid w:val="00F12CCF"/>
    <w:rsid w:val="00F12D36"/>
    <w:rsid w:val="00F12D4E"/>
    <w:rsid w:val="00F12F7C"/>
    <w:rsid w:val="00F13104"/>
    <w:rsid w:val="00F13375"/>
    <w:rsid w:val="00F13624"/>
    <w:rsid w:val="00F13B39"/>
    <w:rsid w:val="00F13C6C"/>
    <w:rsid w:val="00F13CA5"/>
    <w:rsid w:val="00F13E5A"/>
    <w:rsid w:val="00F140A7"/>
    <w:rsid w:val="00F141EA"/>
    <w:rsid w:val="00F14298"/>
    <w:rsid w:val="00F1454D"/>
    <w:rsid w:val="00F14B06"/>
    <w:rsid w:val="00F155ED"/>
    <w:rsid w:val="00F15CC8"/>
    <w:rsid w:val="00F15CDD"/>
    <w:rsid w:val="00F160E3"/>
    <w:rsid w:val="00F1694D"/>
    <w:rsid w:val="00F16B07"/>
    <w:rsid w:val="00F16C93"/>
    <w:rsid w:val="00F1706F"/>
    <w:rsid w:val="00F17995"/>
    <w:rsid w:val="00F179FC"/>
    <w:rsid w:val="00F17C4B"/>
    <w:rsid w:val="00F17F81"/>
    <w:rsid w:val="00F20070"/>
    <w:rsid w:val="00F2062E"/>
    <w:rsid w:val="00F2074E"/>
    <w:rsid w:val="00F20BCF"/>
    <w:rsid w:val="00F20EB9"/>
    <w:rsid w:val="00F21507"/>
    <w:rsid w:val="00F21A88"/>
    <w:rsid w:val="00F21C52"/>
    <w:rsid w:val="00F22499"/>
    <w:rsid w:val="00F224E2"/>
    <w:rsid w:val="00F224F3"/>
    <w:rsid w:val="00F2254C"/>
    <w:rsid w:val="00F22565"/>
    <w:rsid w:val="00F2277F"/>
    <w:rsid w:val="00F22D61"/>
    <w:rsid w:val="00F22DB5"/>
    <w:rsid w:val="00F230E1"/>
    <w:rsid w:val="00F234CA"/>
    <w:rsid w:val="00F239AE"/>
    <w:rsid w:val="00F23A9D"/>
    <w:rsid w:val="00F23E8F"/>
    <w:rsid w:val="00F2439A"/>
    <w:rsid w:val="00F24750"/>
    <w:rsid w:val="00F24E6C"/>
    <w:rsid w:val="00F24E7E"/>
    <w:rsid w:val="00F25366"/>
    <w:rsid w:val="00F257E0"/>
    <w:rsid w:val="00F2614A"/>
    <w:rsid w:val="00F268CF"/>
    <w:rsid w:val="00F269E9"/>
    <w:rsid w:val="00F26BA4"/>
    <w:rsid w:val="00F27140"/>
    <w:rsid w:val="00F27187"/>
    <w:rsid w:val="00F27370"/>
    <w:rsid w:val="00F274F2"/>
    <w:rsid w:val="00F2775F"/>
    <w:rsid w:val="00F277A2"/>
    <w:rsid w:val="00F278A5"/>
    <w:rsid w:val="00F27A6B"/>
    <w:rsid w:val="00F27AF7"/>
    <w:rsid w:val="00F30454"/>
    <w:rsid w:val="00F306DC"/>
    <w:rsid w:val="00F308D2"/>
    <w:rsid w:val="00F30B9B"/>
    <w:rsid w:val="00F3125F"/>
    <w:rsid w:val="00F317A7"/>
    <w:rsid w:val="00F31934"/>
    <w:rsid w:val="00F31DD5"/>
    <w:rsid w:val="00F321D0"/>
    <w:rsid w:val="00F322BA"/>
    <w:rsid w:val="00F3236C"/>
    <w:rsid w:val="00F324C6"/>
    <w:rsid w:val="00F32779"/>
    <w:rsid w:val="00F32A6E"/>
    <w:rsid w:val="00F32AC8"/>
    <w:rsid w:val="00F32F20"/>
    <w:rsid w:val="00F332CC"/>
    <w:rsid w:val="00F339EC"/>
    <w:rsid w:val="00F33CB8"/>
    <w:rsid w:val="00F33E60"/>
    <w:rsid w:val="00F33E86"/>
    <w:rsid w:val="00F33EF9"/>
    <w:rsid w:val="00F34012"/>
    <w:rsid w:val="00F3402B"/>
    <w:rsid w:val="00F34A79"/>
    <w:rsid w:val="00F34DBF"/>
    <w:rsid w:val="00F34F33"/>
    <w:rsid w:val="00F34FA8"/>
    <w:rsid w:val="00F34FFF"/>
    <w:rsid w:val="00F35214"/>
    <w:rsid w:val="00F35297"/>
    <w:rsid w:val="00F353E1"/>
    <w:rsid w:val="00F35584"/>
    <w:rsid w:val="00F35CBA"/>
    <w:rsid w:val="00F35D33"/>
    <w:rsid w:val="00F35E82"/>
    <w:rsid w:val="00F36069"/>
    <w:rsid w:val="00F363B9"/>
    <w:rsid w:val="00F36BDA"/>
    <w:rsid w:val="00F36BE7"/>
    <w:rsid w:val="00F36C2D"/>
    <w:rsid w:val="00F37547"/>
    <w:rsid w:val="00F3793A"/>
    <w:rsid w:val="00F37A70"/>
    <w:rsid w:val="00F37E6F"/>
    <w:rsid w:val="00F37F1B"/>
    <w:rsid w:val="00F40173"/>
    <w:rsid w:val="00F40954"/>
    <w:rsid w:val="00F40995"/>
    <w:rsid w:val="00F40AE4"/>
    <w:rsid w:val="00F40B22"/>
    <w:rsid w:val="00F40D88"/>
    <w:rsid w:val="00F40FA6"/>
    <w:rsid w:val="00F410EE"/>
    <w:rsid w:val="00F413DA"/>
    <w:rsid w:val="00F41ACC"/>
    <w:rsid w:val="00F41B50"/>
    <w:rsid w:val="00F41DFB"/>
    <w:rsid w:val="00F41EAF"/>
    <w:rsid w:val="00F42177"/>
    <w:rsid w:val="00F42664"/>
    <w:rsid w:val="00F426F3"/>
    <w:rsid w:val="00F42D20"/>
    <w:rsid w:val="00F42E0A"/>
    <w:rsid w:val="00F43040"/>
    <w:rsid w:val="00F43172"/>
    <w:rsid w:val="00F43361"/>
    <w:rsid w:val="00F433A8"/>
    <w:rsid w:val="00F435FD"/>
    <w:rsid w:val="00F43EC4"/>
    <w:rsid w:val="00F43FD7"/>
    <w:rsid w:val="00F44180"/>
    <w:rsid w:val="00F44FD0"/>
    <w:rsid w:val="00F450E2"/>
    <w:rsid w:val="00F45102"/>
    <w:rsid w:val="00F457CC"/>
    <w:rsid w:val="00F458E9"/>
    <w:rsid w:val="00F458F6"/>
    <w:rsid w:val="00F45E13"/>
    <w:rsid w:val="00F46335"/>
    <w:rsid w:val="00F469E4"/>
    <w:rsid w:val="00F46D28"/>
    <w:rsid w:val="00F50567"/>
    <w:rsid w:val="00F505B1"/>
    <w:rsid w:val="00F50A1C"/>
    <w:rsid w:val="00F50AD9"/>
    <w:rsid w:val="00F517CD"/>
    <w:rsid w:val="00F51935"/>
    <w:rsid w:val="00F51BD6"/>
    <w:rsid w:val="00F520A4"/>
    <w:rsid w:val="00F5219A"/>
    <w:rsid w:val="00F521B8"/>
    <w:rsid w:val="00F52355"/>
    <w:rsid w:val="00F525B4"/>
    <w:rsid w:val="00F52BCE"/>
    <w:rsid w:val="00F52F72"/>
    <w:rsid w:val="00F5319A"/>
    <w:rsid w:val="00F53416"/>
    <w:rsid w:val="00F53533"/>
    <w:rsid w:val="00F53545"/>
    <w:rsid w:val="00F53678"/>
    <w:rsid w:val="00F536D3"/>
    <w:rsid w:val="00F537B9"/>
    <w:rsid w:val="00F537CD"/>
    <w:rsid w:val="00F53840"/>
    <w:rsid w:val="00F53BE3"/>
    <w:rsid w:val="00F54003"/>
    <w:rsid w:val="00F54064"/>
    <w:rsid w:val="00F54074"/>
    <w:rsid w:val="00F5472D"/>
    <w:rsid w:val="00F5488D"/>
    <w:rsid w:val="00F54903"/>
    <w:rsid w:val="00F54F4E"/>
    <w:rsid w:val="00F55171"/>
    <w:rsid w:val="00F5529C"/>
    <w:rsid w:val="00F55516"/>
    <w:rsid w:val="00F555B3"/>
    <w:rsid w:val="00F5577F"/>
    <w:rsid w:val="00F55F21"/>
    <w:rsid w:val="00F5613E"/>
    <w:rsid w:val="00F561BD"/>
    <w:rsid w:val="00F56407"/>
    <w:rsid w:val="00F56A4A"/>
    <w:rsid w:val="00F56C8D"/>
    <w:rsid w:val="00F56F64"/>
    <w:rsid w:val="00F5728E"/>
    <w:rsid w:val="00F5742B"/>
    <w:rsid w:val="00F57565"/>
    <w:rsid w:val="00F57611"/>
    <w:rsid w:val="00F57860"/>
    <w:rsid w:val="00F57A2A"/>
    <w:rsid w:val="00F601B2"/>
    <w:rsid w:val="00F60426"/>
    <w:rsid w:val="00F6054A"/>
    <w:rsid w:val="00F605A5"/>
    <w:rsid w:val="00F60ADE"/>
    <w:rsid w:val="00F60D50"/>
    <w:rsid w:val="00F60DDD"/>
    <w:rsid w:val="00F612EF"/>
    <w:rsid w:val="00F61311"/>
    <w:rsid w:val="00F6163E"/>
    <w:rsid w:val="00F616B6"/>
    <w:rsid w:val="00F6184F"/>
    <w:rsid w:val="00F61DCA"/>
    <w:rsid w:val="00F625C5"/>
    <w:rsid w:val="00F62900"/>
    <w:rsid w:val="00F637F8"/>
    <w:rsid w:val="00F63AF4"/>
    <w:rsid w:val="00F63CF3"/>
    <w:rsid w:val="00F64226"/>
    <w:rsid w:val="00F642D8"/>
    <w:rsid w:val="00F64B6B"/>
    <w:rsid w:val="00F6508E"/>
    <w:rsid w:val="00F650DC"/>
    <w:rsid w:val="00F65176"/>
    <w:rsid w:val="00F65645"/>
    <w:rsid w:val="00F65D19"/>
    <w:rsid w:val="00F661A9"/>
    <w:rsid w:val="00F66327"/>
    <w:rsid w:val="00F664AA"/>
    <w:rsid w:val="00F664B1"/>
    <w:rsid w:val="00F665AC"/>
    <w:rsid w:val="00F669C1"/>
    <w:rsid w:val="00F66DF2"/>
    <w:rsid w:val="00F6704C"/>
    <w:rsid w:val="00F670EC"/>
    <w:rsid w:val="00F67297"/>
    <w:rsid w:val="00F6748F"/>
    <w:rsid w:val="00F677D2"/>
    <w:rsid w:val="00F679DA"/>
    <w:rsid w:val="00F67A54"/>
    <w:rsid w:val="00F67AC1"/>
    <w:rsid w:val="00F67D3B"/>
    <w:rsid w:val="00F700E5"/>
    <w:rsid w:val="00F70162"/>
    <w:rsid w:val="00F706F4"/>
    <w:rsid w:val="00F708E9"/>
    <w:rsid w:val="00F70B16"/>
    <w:rsid w:val="00F712CA"/>
    <w:rsid w:val="00F7159E"/>
    <w:rsid w:val="00F7192A"/>
    <w:rsid w:val="00F71AF3"/>
    <w:rsid w:val="00F72315"/>
    <w:rsid w:val="00F725A6"/>
    <w:rsid w:val="00F7287A"/>
    <w:rsid w:val="00F728EB"/>
    <w:rsid w:val="00F72E4A"/>
    <w:rsid w:val="00F73147"/>
    <w:rsid w:val="00F73636"/>
    <w:rsid w:val="00F7364F"/>
    <w:rsid w:val="00F7374A"/>
    <w:rsid w:val="00F73A56"/>
    <w:rsid w:val="00F73BC2"/>
    <w:rsid w:val="00F73DDD"/>
    <w:rsid w:val="00F7421E"/>
    <w:rsid w:val="00F748CA"/>
    <w:rsid w:val="00F74965"/>
    <w:rsid w:val="00F74A4F"/>
    <w:rsid w:val="00F74D44"/>
    <w:rsid w:val="00F74FE8"/>
    <w:rsid w:val="00F752A5"/>
    <w:rsid w:val="00F75333"/>
    <w:rsid w:val="00F756C2"/>
    <w:rsid w:val="00F75C65"/>
    <w:rsid w:val="00F75D08"/>
    <w:rsid w:val="00F760F8"/>
    <w:rsid w:val="00F76201"/>
    <w:rsid w:val="00F7629B"/>
    <w:rsid w:val="00F76492"/>
    <w:rsid w:val="00F769F4"/>
    <w:rsid w:val="00F76D2C"/>
    <w:rsid w:val="00F76DDC"/>
    <w:rsid w:val="00F77170"/>
    <w:rsid w:val="00F777FA"/>
    <w:rsid w:val="00F77973"/>
    <w:rsid w:val="00F77B28"/>
    <w:rsid w:val="00F77CD5"/>
    <w:rsid w:val="00F77DBA"/>
    <w:rsid w:val="00F80177"/>
    <w:rsid w:val="00F80470"/>
    <w:rsid w:val="00F80654"/>
    <w:rsid w:val="00F80F7B"/>
    <w:rsid w:val="00F811FB"/>
    <w:rsid w:val="00F8126C"/>
    <w:rsid w:val="00F81651"/>
    <w:rsid w:val="00F81670"/>
    <w:rsid w:val="00F81AF0"/>
    <w:rsid w:val="00F81C11"/>
    <w:rsid w:val="00F81F39"/>
    <w:rsid w:val="00F82272"/>
    <w:rsid w:val="00F82431"/>
    <w:rsid w:val="00F824EA"/>
    <w:rsid w:val="00F82674"/>
    <w:rsid w:val="00F82879"/>
    <w:rsid w:val="00F829FF"/>
    <w:rsid w:val="00F82AFA"/>
    <w:rsid w:val="00F82D46"/>
    <w:rsid w:val="00F82E19"/>
    <w:rsid w:val="00F830CC"/>
    <w:rsid w:val="00F835F1"/>
    <w:rsid w:val="00F836DA"/>
    <w:rsid w:val="00F83856"/>
    <w:rsid w:val="00F838FA"/>
    <w:rsid w:val="00F83C16"/>
    <w:rsid w:val="00F83F2D"/>
    <w:rsid w:val="00F841A1"/>
    <w:rsid w:val="00F846DD"/>
    <w:rsid w:val="00F847AA"/>
    <w:rsid w:val="00F84B1A"/>
    <w:rsid w:val="00F84FB8"/>
    <w:rsid w:val="00F850EC"/>
    <w:rsid w:val="00F8527D"/>
    <w:rsid w:val="00F85282"/>
    <w:rsid w:val="00F8529A"/>
    <w:rsid w:val="00F857F6"/>
    <w:rsid w:val="00F85817"/>
    <w:rsid w:val="00F859F0"/>
    <w:rsid w:val="00F85A50"/>
    <w:rsid w:val="00F861AC"/>
    <w:rsid w:val="00F86543"/>
    <w:rsid w:val="00F86589"/>
    <w:rsid w:val="00F869B0"/>
    <w:rsid w:val="00F869D1"/>
    <w:rsid w:val="00F86A92"/>
    <w:rsid w:val="00F86BE1"/>
    <w:rsid w:val="00F86D2B"/>
    <w:rsid w:val="00F86D2C"/>
    <w:rsid w:val="00F86F80"/>
    <w:rsid w:val="00F86FF0"/>
    <w:rsid w:val="00F870D9"/>
    <w:rsid w:val="00F87120"/>
    <w:rsid w:val="00F873A4"/>
    <w:rsid w:val="00F87498"/>
    <w:rsid w:val="00F875DB"/>
    <w:rsid w:val="00F87924"/>
    <w:rsid w:val="00F87C88"/>
    <w:rsid w:val="00F87F9F"/>
    <w:rsid w:val="00F90120"/>
    <w:rsid w:val="00F90575"/>
    <w:rsid w:val="00F90AAF"/>
    <w:rsid w:val="00F90AE3"/>
    <w:rsid w:val="00F910A8"/>
    <w:rsid w:val="00F910F1"/>
    <w:rsid w:val="00F913D8"/>
    <w:rsid w:val="00F918E8"/>
    <w:rsid w:val="00F91B3B"/>
    <w:rsid w:val="00F91BB4"/>
    <w:rsid w:val="00F91BDC"/>
    <w:rsid w:val="00F91F8F"/>
    <w:rsid w:val="00F92323"/>
    <w:rsid w:val="00F923AC"/>
    <w:rsid w:val="00F92CA4"/>
    <w:rsid w:val="00F92EA8"/>
    <w:rsid w:val="00F930F9"/>
    <w:rsid w:val="00F9319D"/>
    <w:rsid w:val="00F9338B"/>
    <w:rsid w:val="00F933B8"/>
    <w:rsid w:val="00F934A9"/>
    <w:rsid w:val="00F9354D"/>
    <w:rsid w:val="00F93698"/>
    <w:rsid w:val="00F9369D"/>
    <w:rsid w:val="00F938B6"/>
    <w:rsid w:val="00F938FC"/>
    <w:rsid w:val="00F93956"/>
    <w:rsid w:val="00F93A08"/>
    <w:rsid w:val="00F93B2E"/>
    <w:rsid w:val="00F93BDF"/>
    <w:rsid w:val="00F93F56"/>
    <w:rsid w:val="00F94364"/>
    <w:rsid w:val="00F94548"/>
    <w:rsid w:val="00F94884"/>
    <w:rsid w:val="00F94F22"/>
    <w:rsid w:val="00F95024"/>
    <w:rsid w:val="00F951D9"/>
    <w:rsid w:val="00F951F2"/>
    <w:rsid w:val="00F952E5"/>
    <w:rsid w:val="00F9540F"/>
    <w:rsid w:val="00F9541D"/>
    <w:rsid w:val="00F9595A"/>
    <w:rsid w:val="00F95AF9"/>
    <w:rsid w:val="00F95AFF"/>
    <w:rsid w:val="00F95EC8"/>
    <w:rsid w:val="00F95FBA"/>
    <w:rsid w:val="00F960C1"/>
    <w:rsid w:val="00F961F5"/>
    <w:rsid w:val="00F9641A"/>
    <w:rsid w:val="00F964D6"/>
    <w:rsid w:val="00F96565"/>
    <w:rsid w:val="00F9666E"/>
    <w:rsid w:val="00F96821"/>
    <w:rsid w:val="00F96B64"/>
    <w:rsid w:val="00F96C3D"/>
    <w:rsid w:val="00F96F31"/>
    <w:rsid w:val="00F970A6"/>
    <w:rsid w:val="00F9716F"/>
    <w:rsid w:val="00F9717E"/>
    <w:rsid w:val="00F97436"/>
    <w:rsid w:val="00F975E9"/>
    <w:rsid w:val="00F9793C"/>
    <w:rsid w:val="00F97979"/>
    <w:rsid w:val="00F97C03"/>
    <w:rsid w:val="00F97C4B"/>
    <w:rsid w:val="00F97EA4"/>
    <w:rsid w:val="00FA0123"/>
    <w:rsid w:val="00FA01A0"/>
    <w:rsid w:val="00FA0314"/>
    <w:rsid w:val="00FA086A"/>
    <w:rsid w:val="00FA0C47"/>
    <w:rsid w:val="00FA1132"/>
    <w:rsid w:val="00FA1169"/>
    <w:rsid w:val="00FA12D1"/>
    <w:rsid w:val="00FA1D50"/>
    <w:rsid w:val="00FA243C"/>
    <w:rsid w:val="00FA2880"/>
    <w:rsid w:val="00FA29CD"/>
    <w:rsid w:val="00FA2C5D"/>
    <w:rsid w:val="00FA2DF6"/>
    <w:rsid w:val="00FA2FE5"/>
    <w:rsid w:val="00FA351F"/>
    <w:rsid w:val="00FA361A"/>
    <w:rsid w:val="00FA36BB"/>
    <w:rsid w:val="00FA3776"/>
    <w:rsid w:val="00FA3858"/>
    <w:rsid w:val="00FA3D29"/>
    <w:rsid w:val="00FA3E79"/>
    <w:rsid w:val="00FA414B"/>
    <w:rsid w:val="00FA4355"/>
    <w:rsid w:val="00FA499D"/>
    <w:rsid w:val="00FA4C99"/>
    <w:rsid w:val="00FA4CC1"/>
    <w:rsid w:val="00FA4E0B"/>
    <w:rsid w:val="00FA518B"/>
    <w:rsid w:val="00FA5304"/>
    <w:rsid w:val="00FA531E"/>
    <w:rsid w:val="00FA56B4"/>
    <w:rsid w:val="00FA5795"/>
    <w:rsid w:val="00FA5797"/>
    <w:rsid w:val="00FA5A8C"/>
    <w:rsid w:val="00FA5D19"/>
    <w:rsid w:val="00FA653F"/>
    <w:rsid w:val="00FA6573"/>
    <w:rsid w:val="00FA69D0"/>
    <w:rsid w:val="00FA6B97"/>
    <w:rsid w:val="00FA6E72"/>
    <w:rsid w:val="00FA71D0"/>
    <w:rsid w:val="00FA7581"/>
    <w:rsid w:val="00FA7C77"/>
    <w:rsid w:val="00FA7FA0"/>
    <w:rsid w:val="00FB000A"/>
    <w:rsid w:val="00FB0365"/>
    <w:rsid w:val="00FB038D"/>
    <w:rsid w:val="00FB057B"/>
    <w:rsid w:val="00FB05D7"/>
    <w:rsid w:val="00FB06E5"/>
    <w:rsid w:val="00FB0CB4"/>
    <w:rsid w:val="00FB0E3C"/>
    <w:rsid w:val="00FB0EE3"/>
    <w:rsid w:val="00FB2136"/>
    <w:rsid w:val="00FB294C"/>
    <w:rsid w:val="00FB2E06"/>
    <w:rsid w:val="00FB3080"/>
    <w:rsid w:val="00FB3096"/>
    <w:rsid w:val="00FB313A"/>
    <w:rsid w:val="00FB394C"/>
    <w:rsid w:val="00FB3A01"/>
    <w:rsid w:val="00FB3AD2"/>
    <w:rsid w:val="00FB3C11"/>
    <w:rsid w:val="00FB3CC8"/>
    <w:rsid w:val="00FB40FE"/>
    <w:rsid w:val="00FB4100"/>
    <w:rsid w:val="00FB4215"/>
    <w:rsid w:val="00FB45B0"/>
    <w:rsid w:val="00FB4731"/>
    <w:rsid w:val="00FB49FF"/>
    <w:rsid w:val="00FB4AB4"/>
    <w:rsid w:val="00FB4C24"/>
    <w:rsid w:val="00FB4DD5"/>
    <w:rsid w:val="00FB4E82"/>
    <w:rsid w:val="00FB509D"/>
    <w:rsid w:val="00FB51DE"/>
    <w:rsid w:val="00FB5241"/>
    <w:rsid w:val="00FB54D6"/>
    <w:rsid w:val="00FB57CD"/>
    <w:rsid w:val="00FB58E7"/>
    <w:rsid w:val="00FB5909"/>
    <w:rsid w:val="00FB5A3D"/>
    <w:rsid w:val="00FB5ACB"/>
    <w:rsid w:val="00FB5C85"/>
    <w:rsid w:val="00FB5CD5"/>
    <w:rsid w:val="00FB61FE"/>
    <w:rsid w:val="00FB6568"/>
    <w:rsid w:val="00FB65DD"/>
    <w:rsid w:val="00FB66B8"/>
    <w:rsid w:val="00FB6715"/>
    <w:rsid w:val="00FB6756"/>
    <w:rsid w:val="00FB686B"/>
    <w:rsid w:val="00FB68CB"/>
    <w:rsid w:val="00FB6AA9"/>
    <w:rsid w:val="00FB6B2D"/>
    <w:rsid w:val="00FB6E90"/>
    <w:rsid w:val="00FB7193"/>
    <w:rsid w:val="00FB7294"/>
    <w:rsid w:val="00FB72E7"/>
    <w:rsid w:val="00FB7382"/>
    <w:rsid w:val="00FB73FE"/>
    <w:rsid w:val="00FB7A10"/>
    <w:rsid w:val="00FB7A37"/>
    <w:rsid w:val="00FB7AEC"/>
    <w:rsid w:val="00FC015F"/>
    <w:rsid w:val="00FC1149"/>
    <w:rsid w:val="00FC119C"/>
    <w:rsid w:val="00FC12C6"/>
    <w:rsid w:val="00FC174E"/>
    <w:rsid w:val="00FC17BE"/>
    <w:rsid w:val="00FC181F"/>
    <w:rsid w:val="00FC1C4A"/>
    <w:rsid w:val="00FC21B7"/>
    <w:rsid w:val="00FC237D"/>
    <w:rsid w:val="00FC24B3"/>
    <w:rsid w:val="00FC25EA"/>
    <w:rsid w:val="00FC2A5A"/>
    <w:rsid w:val="00FC2C61"/>
    <w:rsid w:val="00FC2C9F"/>
    <w:rsid w:val="00FC2CD2"/>
    <w:rsid w:val="00FC2D19"/>
    <w:rsid w:val="00FC2D3A"/>
    <w:rsid w:val="00FC2DA4"/>
    <w:rsid w:val="00FC363B"/>
    <w:rsid w:val="00FC36C2"/>
    <w:rsid w:val="00FC3CDD"/>
    <w:rsid w:val="00FC3E9D"/>
    <w:rsid w:val="00FC406D"/>
    <w:rsid w:val="00FC40E5"/>
    <w:rsid w:val="00FC4264"/>
    <w:rsid w:val="00FC4325"/>
    <w:rsid w:val="00FC4A29"/>
    <w:rsid w:val="00FC4AAE"/>
    <w:rsid w:val="00FC4B96"/>
    <w:rsid w:val="00FC4E4A"/>
    <w:rsid w:val="00FC520D"/>
    <w:rsid w:val="00FC5824"/>
    <w:rsid w:val="00FC5881"/>
    <w:rsid w:val="00FC5B95"/>
    <w:rsid w:val="00FC5B97"/>
    <w:rsid w:val="00FC5BAA"/>
    <w:rsid w:val="00FC5E24"/>
    <w:rsid w:val="00FC5E99"/>
    <w:rsid w:val="00FC5ECE"/>
    <w:rsid w:val="00FC6229"/>
    <w:rsid w:val="00FC64E0"/>
    <w:rsid w:val="00FC6668"/>
    <w:rsid w:val="00FC69F0"/>
    <w:rsid w:val="00FC6A34"/>
    <w:rsid w:val="00FC6F13"/>
    <w:rsid w:val="00FC7369"/>
    <w:rsid w:val="00FC7B18"/>
    <w:rsid w:val="00FC7C48"/>
    <w:rsid w:val="00FD04DC"/>
    <w:rsid w:val="00FD06F4"/>
    <w:rsid w:val="00FD07A3"/>
    <w:rsid w:val="00FD0B4A"/>
    <w:rsid w:val="00FD0DEB"/>
    <w:rsid w:val="00FD0E66"/>
    <w:rsid w:val="00FD1106"/>
    <w:rsid w:val="00FD13FC"/>
    <w:rsid w:val="00FD169B"/>
    <w:rsid w:val="00FD1B64"/>
    <w:rsid w:val="00FD1E41"/>
    <w:rsid w:val="00FD1EB4"/>
    <w:rsid w:val="00FD1F43"/>
    <w:rsid w:val="00FD2274"/>
    <w:rsid w:val="00FD24F7"/>
    <w:rsid w:val="00FD2847"/>
    <w:rsid w:val="00FD30EB"/>
    <w:rsid w:val="00FD33DE"/>
    <w:rsid w:val="00FD3627"/>
    <w:rsid w:val="00FD3829"/>
    <w:rsid w:val="00FD39A1"/>
    <w:rsid w:val="00FD3A31"/>
    <w:rsid w:val="00FD3C1D"/>
    <w:rsid w:val="00FD3C86"/>
    <w:rsid w:val="00FD3F52"/>
    <w:rsid w:val="00FD3F94"/>
    <w:rsid w:val="00FD4058"/>
    <w:rsid w:val="00FD4105"/>
    <w:rsid w:val="00FD456C"/>
    <w:rsid w:val="00FD46E6"/>
    <w:rsid w:val="00FD477D"/>
    <w:rsid w:val="00FD4B5D"/>
    <w:rsid w:val="00FD4BD5"/>
    <w:rsid w:val="00FD5674"/>
    <w:rsid w:val="00FD576D"/>
    <w:rsid w:val="00FD5781"/>
    <w:rsid w:val="00FD5A2A"/>
    <w:rsid w:val="00FD5E99"/>
    <w:rsid w:val="00FD630F"/>
    <w:rsid w:val="00FD63D0"/>
    <w:rsid w:val="00FD692D"/>
    <w:rsid w:val="00FD6C0F"/>
    <w:rsid w:val="00FD6C68"/>
    <w:rsid w:val="00FD6F7D"/>
    <w:rsid w:val="00FD71B0"/>
    <w:rsid w:val="00FD7264"/>
    <w:rsid w:val="00FD7480"/>
    <w:rsid w:val="00FD78DF"/>
    <w:rsid w:val="00FD7DE3"/>
    <w:rsid w:val="00FE00A4"/>
    <w:rsid w:val="00FE053A"/>
    <w:rsid w:val="00FE06D3"/>
    <w:rsid w:val="00FE0856"/>
    <w:rsid w:val="00FE0E0C"/>
    <w:rsid w:val="00FE11F7"/>
    <w:rsid w:val="00FE12B8"/>
    <w:rsid w:val="00FE13E8"/>
    <w:rsid w:val="00FE18ED"/>
    <w:rsid w:val="00FE19B7"/>
    <w:rsid w:val="00FE2129"/>
    <w:rsid w:val="00FE2931"/>
    <w:rsid w:val="00FE2B23"/>
    <w:rsid w:val="00FE2E33"/>
    <w:rsid w:val="00FE2E51"/>
    <w:rsid w:val="00FE30C2"/>
    <w:rsid w:val="00FE36DF"/>
    <w:rsid w:val="00FE3B2D"/>
    <w:rsid w:val="00FE3D70"/>
    <w:rsid w:val="00FE4169"/>
    <w:rsid w:val="00FE43CC"/>
    <w:rsid w:val="00FE4B1F"/>
    <w:rsid w:val="00FE4B4F"/>
    <w:rsid w:val="00FE4FA9"/>
    <w:rsid w:val="00FE541E"/>
    <w:rsid w:val="00FE56FB"/>
    <w:rsid w:val="00FE5703"/>
    <w:rsid w:val="00FE575A"/>
    <w:rsid w:val="00FE5846"/>
    <w:rsid w:val="00FE5959"/>
    <w:rsid w:val="00FE5960"/>
    <w:rsid w:val="00FE5B79"/>
    <w:rsid w:val="00FE5C31"/>
    <w:rsid w:val="00FE5D4D"/>
    <w:rsid w:val="00FE5DDD"/>
    <w:rsid w:val="00FE6216"/>
    <w:rsid w:val="00FE6420"/>
    <w:rsid w:val="00FE6BD2"/>
    <w:rsid w:val="00FE6EFA"/>
    <w:rsid w:val="00FE7004"/>
    <w:rsid w:val="00FE717C"/>
    <w:rsid w:val="00FE739A"/>
    <w:rsid w:val="00FE74D7"/>
    <w:rsid w:val="00FE7679"/>
    <w:rsid w:val="00FE79F3"/>
    <w:rsid w:val="00FE7F96"/>
    <w:rsid w:val="00FE7FA6"/>
    <w:rsid w:val="00FE7FF1"/>
    <w:rsid w:val="00FF0025"/>
    <w:rsid w:val="00FF011A"/>
    <w:rsid w:val="00FF0170"/>
    <w:rsid w:val="00FF03F5"/>
    <w:rsid w:val="00FF06C8"/>
    <w:rsid w:val="00FF0A0E"/>
    <w:rsid w:val="00FF0D4F"/>
    <w:rsid w:val="00FF10BD"/>
    <w:rsid w:val="00FF1470"/>
    <w:rsid w:val="00FF1D96"/>
    <w:rsid w:val="00FF1E2A"/>
    <w:rsid w:val="00FF1F02"/>
    <w:rsid w:val="00FF23B7"/>
    <w:rsid w:val="00FF240B"/>
    <w:rsid w:val="00FF2606"/>
    <w:rsid w:val="00FF2710"/>
    <w:rsid w:val="00FF2D84"/>
    <w:rsid w:val="00FF2F1B"/>
    <w:rsid w:val="00FF320D"/>
    <w:rsid w:val="00FF33FE"/>
    <w:rsid w:val="00FF35E8"/>
    <w:rsid w:val="00FF387E"/>
    <w:rsid w:val="00FF3AB3"/>
    <w:rsid w:val="00FF3EE3"/>
    <w:rsid w:val="00FF4284"/>
    <w:rsid w:val="00FF448B"/>
    <w:rsid w:val="00FF45C1"/>
    <w:rsid w:val="00FF4C0B"/>
    <w:rsid w:val="00FF4D61"/>
    <w:rsid w:val="00FF511E"/>
    <w:rsid w:val="00FF5175"/>
    <w:rsid w:val="00FF564C"/>
    <w:rsid w:val="00FF5C34"/>
    <w:rsid w:val="00FF604F"/>
    <w:rsid w:val="00FF60D9"/>
    <w:rsid w:val="00FF61FB"/>
    <w:rsid w:val="00FF629A"/>
    <w:rsid w:val="00FF6349"/>
    <w:rsid w:val="00FF64F2"/>
    <w:rsid w:val="00FF65F9"/>
    <w:rsid w:val="00FF68F9"/>
    <w:rsid w:val="00FF6C63"/>
    <w:rsid w:val="00FF7090"/>
    <w:rsid w:val="00FF715E"/>
    <w:rsid w:val="00FF7172"/>
    <w:rsid w:val="00FF724F"/>
    <w:rsid w:val="00FF762B"/>
    <w:rsid w:val="00FF76CE"/>
    <w:rsid w:val="00FF7965"/>
    <w:rsid w:val="00FF7ADC"/>
    <w:rsid w:val="00FF7B3C"/>
    <w:rsid w:val="00FF7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5473"/>
    <o:shapelayout v:ext="edit">
      <o:idmap v:ext="edit" data="1"/>
    </o:shapelayout>
  </w:shapeDefaults>
  <w:decimalSymbol w:val="."/>
  <w:listSeparator w:val=","/>
  <w14:docId w14:val="0C4183CD"/>
  <w15:chartTrackingRefBased/>
  <w15:docId w15:val="{E427BA0E-D0A6-461C-A217-F17047C2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BAC"/>
    <w:rPr>
      <w:rFonts w:ascii="Calibri" w:hAnsi="Calibri"/>
      <w:sz w:val="22"/>
      <w:szCs w:val="16"/>
      <w:lang w:eastAsia="en-US"/>
    </w:rPr>
  </w:style>
  <w:style w:type="paragraph" w:styleId="Heading1">
    <w:name w:val="heading 1"/>
    <w:basedOn w:val="Normal"/>
    <w:next w:val="Normal"/>
    <w:link w:val="Heading1Char"/>
    <w:qFormat/>
    <w:rsid w:val="007975D5"/>
    <w:pPr>
      <w:keepNext/>
      <w:numPr>
        <w:numId w:val="57"/>
      </w:numPr>
      <w:spacing w:before="240" w:after="240"/>
      <w:outlineLvl w:val="0"/>
    </w:pPr>
    <w:rPr>
      <w:rFonts w:ascii="Arial" w:hAnsi="Arial"/>
      <w:b/>
      <w:bCs/>
      <w:caps/>
      <w:sz w:val="32"/>
      <w:szCs w:val="24"/>
    </w:rPr>
  </w:style>
  <w:style w:type="paragraph" w:styleId="Heading2">
    <w:name w:val="heading 2"/>
    <w:basedOn w:val="Normal"/>
    <w:next w:val="Normal"/>
    <w:link w:val="Heading2Char"/>
    <w:qFormat/>
    <w:rsid w:val="00C303D0"/>
    <w:pPr>
      <w:keepNext/>
      <w:numPr>
        <w:ilvl w:val="1"/>
        <w:numId w:val="57"/>
      </w:numPr>
      <w:spacing w:before="240" w:after="120"/>
      <w:outlineLvl w:val="1"/>
    </w:pPr>
    <w:rPr>
      <w:rFonts w:ascii="Arial Bold" w:hAnsi="Arial Bold"/>
      <w:b/>
      <w:bCs/>
      <w:caps/>
      <w:sz w:val="28"/>
      <w:szCs w:val="28"/>
    </w:rPr>
  </w:style>
  <w:style w:type="paragraph" w:styleId="Heading3">
    <w:name w:val="heading 3"/>
    <w:basedOn w:val="Normal"/>
    <w:next w:val="Normal"/>
    <w:qFormat/>
    <w:rsid w:val="00C303D0"/>
    <w:pPr>
      <w:keepNext/>
      <w:numPr>
        <w:ilvl w:val="2"/>
        <w:numId w:val="57"/>
      </w:numPr>
      <w:spacing w:before="120" w:after="60"/>
      <w:outlineLvl w:val="2"/>
    </w:pPr>
    <w:rPr>
      <w:rFonts w:ascii="Arial Bold" w:hAnsi="Arial Bold"/>
      <w:b/>
      <w:bCs/>
      <w:smallCaps/>
    </w:rPr>
  </w:style>
  <w:style w:type="paragraph" w:styleId="Heading4">
    <w:name w:val="heading 4"/>
    <w:basedOn w:val="Normal"/>
    <w:next w:val="Normal"/>
    <w:rsid w:val="00510B79"/>
    <w:pPr>
      <w:keepNext/>
      <w:spacing w:before="120" w:after="120"/>
      <w:outlineLvl w:val="3"/>
    </w:pPr>
    <w:rPr>
      <w:b/>
      <w:bCs/>
      <w:iCs/>
      <w:smallCaps/>
      <w:szCs w:val="24"/>
    </w:rPr>
  </w:style>
  <w:style w:type="paragraph" w:styleId="Heading5">
    <w:name w:val="heading 5"/>
    <w:basedOn w:val="Normal"/>
    <w:next w:val="Normal"/>
    <w:rsid w:val="00B5233A"/>
    <w:pPr>
      <w:keepNext/>
      <w:numPr>
        <w:ilvl w:val="4"/>
        <w:numId w:val="57"/>
      </w:numPr>
      <w:outlineLvl w:val="4"/>
    </w:pPr>
    <w:rPr>
      <w:b/>
      <w:bCs/>
      <w:i/>
      <w:iCs/>
      <w:szCs w:val="24"/>
    </w:rPr>
  </w:style>
  <w:style w:type="paragraph" w:styleId="Heading6">
    <w:name w:val="heading 6"/>
    <w:basedOn w:val="Normal"/>
    <w:next w:val="Normal"/>
    <w:rsid w:val="00B5233A"/>
    <w:pPr>
      <w:keepNext/>
      <w:numPr>
        <w:ilvl w:val="5"/>
        <w:numId w:val="57"/>
      </w:numPr>
      <w:outlineLvl w:val="5"/>
    </w:pPr>
    <w:rPr>
      <w:b/>
      <w:bCs/>
      <w:szCs w:val="24"/>
    </w:rPr>
  </w:style>
  <w:style w:type="paragraph" w:styleId="Heading7">
    <w:name w:val="heading 7"/>
    <w:basedOn w:val="Normal"/>
    <w:next w:val="Normal"/>
    <w:rsid w:val="00B5233A"/>
    <w:pPr>
      <w:keepNext/>
      <w:numPr>
        <w:ilvl w:val="6"/>
        <w:numId w:val="57"/>
      </w:numPr>
      <w:outlineLvl w:val="6"/>
    </w:pPr>
    <w:rPr>
      <w:b/>
      <w:bCs/>
      <w:color w:val="0000FF"/>
      <w:sz w:val="18"/>
      <w:szCs w:val="18"/>
    </w:rPr>
  </w:style>
  <w:style w:type="paragraph" w:styleId="Heading8">
    <w:name w:val="heading 8"/>
    <w:basedOn w:val="Normal"/>
    <w:next w:val="Normal"/>
    <w:rsid w:val="00B5233A"/>
    <w:pPr>
      <w:keepNext/>
      <w:numPr>
        <w:ilvl w:val="7"/>
        <w:numId w:val="57"/>
      </w:numPr>
      <w:jc w:val="right"/>
      <w:outlineLvl w:val="7"/>
    </w:pPr>
    <w:rPr>
      <w:b/>
      <w:bCs/>
    </w:rPr>
  </w:style>
  <w:style w:type="paragraph" w:styleId="Heading9">
    <w:name w:val="heading 9"/>
    <w:basedOn w:val="Heading2"/>
    <w:next w:val="Normal"/>
    <w:rsid w:val="00B5233A"/>
    <w:pPr>
      <w:numPr>
        <w:ilvl w:val="8"/>
      </w:numPr>
      <w:outlineLvl w:val="8"/>
    </w:pPr>
    <w:rPr>
      <w:bCs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13776"/>
    <w:rPr>
      <w:rFonts w:ascii="Arial" w:hAnsi="Arial"/>
      <w:b/>
      <w:bCs/>
      <w:caps/>
      <w:sz w:val="32"/>
      <w:szCs w:val="24"/>
      <w:lang w:eastAsia="en-US"/>
    </w:rPr>
  </w:style>
  <w:style w:type="paragraph" w:styleId="FootnoteText">
    <w:name w:val="footnote text"/>
    <w:basedOn w:val="Normal"/>
    <w:link w:val="FootnoteTextChar"/>
    <w:semiHidden/>
    <w:rsid w:val="00B5233A"/>
    <w:rPr>
      <w:color w:val="008000"/>
      <w:sz w:val="16"/>
    </w:rPr>
  </w:style>
  <w:style w:type="character" w:customStyle="1" w:styleId="FootnoteTextChar">
    <w:name w:val="Footnote Text Char"/>
    <w:link w:val="FootnoteText"/>
    <w:semiHidden/>
    <w:rsid w:val="00DA1174"/>
    <w:rPr>
      <w:color w:val="008000"/>
      <w:sz w:val="16"/>
      <w:szCs w:val="16"/>
      <w:lang w:eastAsia="en-US"/>
    </w:rPr>
  </w:style>
  <w:style w:type="character" w:styleId="FootnoteReference">
    <w:name w:val="footnote reference"/>
    <w:semiHidden/>
    <w:rsid w:val="00B5233A"/>
    <w:rPr>
      <w:vertAlign w:val="superscript"/>
    </w:rPr>
  </w:style>
  <w:style w:type="paragraph" w:styleId="DocumentMap">
    <w:name w:val="Document Map"/>
    <w:basedOn w:val="Normal"/>
    <w:semiHidden/>
    <w:rsid w:val="00B5233A"/>
    <w:pPr>
      <w:shd w:val="clear" w:color="auto" w:fill="000080"/>
    </w:pPr>
    <w:rPr>
      <w:rFonts w:ascii="Tahoma" w:hAnsi="Tahoma" w:cs="Tahoma"/>
    </w:rPr>
  </w:style>
  <w:style w:type="paragraph" w:styleId="Header">
    <w:name w:val="header"/>
    <w:basedOn w:val="Normal"/>
    <w:link w:val="HeaderChar"/>
    <w:uiPriority w:val="99"/>
    <w:rsid w:val="00B5233A"/>
    <w:pPr>
      <w:tabs>
        <w:tab w:val="center" w:pos="4153"/>
        <w:tab w:val="right" w:pos="8306"/>
      </w:tabs>
    </w:pPr>
    <w:rPr>
      <w:szCs w:val="24"/>
    </w:rPr>
  </w:style>
  <w:style w:type="character" w:customStyle="1" w:styleId="HeaderChar">
    <w:name w:val="Header Char"/>
    <w:link w:val="Header"/>
    <w:uiPriority w:val="99"/>
    <w:rsid w:val="004956AB"/>
    <w:rPr>
      <w:rFonts w:ascii="Calibri" w:hAnsi="Calibri"/>
      <w:sz w:val="24"/>
      <w:szCs w:val="24"/>
      <w:lang w:eastAsia="en-US"/>
    </w:rPr>
  </w:style>
  <w:style w:type="paragraph" w:styleId="Footer">
    <w:name w:val="footer"/>
    <w:basedOn w:val="Normal"/>
    <w:link w:val="FooterChar"/>
    <w:uiPriority w:val="99"/>
    <w:rsid w:val="00B5233A"/>
    <w:pPr>
      <w:tabs>
        <w:tab w:val="center" w:pos="4153"/>
        <w:tab w:val="right" w:pos="8306"/>
      </w:tabs>
    </w:pPr>
    <w:rPr>
      <w:szCs w:val="24"/>
    </w:rPr>
  </w:style>
  <w:style w:type="character" w:customStyle="1" w:styleId="FooterChar">
    <w:name w:val="Footer Char"/>
    <w:link w:val="Footer"/>
    <w:uiPriority w:val="99"/>
    <w:rsid w:val="00A226A2"/>
    <w:rPr>
      <w:rFonts w:ascii="Calibri" w:hAnsi="Calibri"/>
      <w:sz w:val="24"/>
      <w:szCs w:val="24"/>
      <w:lang w:eastAsia="en-US"/>
    </w:rPr>
  </w:style>
  <w:style w:type="paragraph" w:styleId="Title">
    <w:name w:val="Title"/>
    <w:basedOn w:val="Normal"/>
    <w:link w:val="TitleChar"/>
    <w:uiPriority w:val="10"/>
    <w:qFormat/>
    <w:rsid w:val="007975D5"/>
    <w:pPr>
      <w:keepNext/>
      <w:spacing w:line="360" w:lineRule="auto"/>
      <w:jc w:val="center"/>
    </w:pPr>
    <w:rPr>
      <w:rFonts w:ascii="Arial" w:hAnsi="Arial"/>
      <w:b/>
      <w:bCs/>
      <w:caps/>
      <w:sz w:val="40"/>
      <w:szCs w:val="28"/>
    </w:rPr>
  </w:style>
  <w:style w:type="character" w:customStyle="1" w:styleId="TitleChar">
    <w:name w:val="Title Char"/>
    <w:link w:val="Title"/>
    <w:uiPriority w:val="10"/>
    <w:rsid w:val="004956AB"/>
    <w:rPr>
      <w:rFonts w:ascii="Arial" w:hAnsi="Arial"/>
      <w:b/>
      <w:bCs/>
      <w:caps/>
      <w:sz w:val="40"/>
      <w:szCs w:val="28"/>
      <w:lang w:eastAsia="en-US"/>
    </w:rPr>
  </w:style>
  <w:style w:type="character" w:styleId="PageNumber">
    <w:name w:val="page number"/>
    <w:basedOn w:val="DefaultParagraphFont"/>
    <w:rsid w:val="00B5233A"/>
  </w:style>
  <w:style w:type="paragraph" w:customStyle="1" w:styleId="TableReference">
    <w:name w:val="Table Reference"/>
    <w:basedOn w:val="Normal"/>
    <w:rsid w:val="00B5233A"/>
    <w:rPr>
      <w:color w:val="008000"/>
      <w:sz w:val="12"/>
      <w:szCs w:val="14"/>
    </w:rPr>
  </w:style>
  <w:style w:type="paragraph" w:customStyle="1" w:styleId="CommentaryTitle">
    <w:name w:val="Commentary Title"/>
    <w:basedOn w:val="Normal"/>
    <w:rsid w:val="00B5233A"/>
    <w:pPr>
      <w:pageBreakBefore/>
      <w:spacing w:before="120" w:after="360"/>
    </w:pPr>
    <w:rPr>
      <w:b/>
      <w:bCs/>
      <w:szCs w:val="24"/>
    </w:rPr>
  </w:style>
  <w:style w:type="paragraph" w:customStyle="1" w:styleId="Title2">
    <w:name w:val="Title 2"/>
    <w:basedOn w:val="Title"/>
    <w:rsid w:val="00B5233A"/>
    <w:pPr>
      <w:spacing w:line="240" w:lineRule="auto"/>
    </w:pPr>
  </w:style>
  <w:style w:type="character" w:customStyle="1" w:styleId="EmailStyle251">
    <w:name w:val="EmailStyle251"/>
    <w:rsid w:val="00B5233A"/>
    <w:rPr>
      <w:rFonts w:ascii="Arial" w:hAnsi="Arial" w:cs="Arial"/>
      <w:color w:val="000080"/>
      <w:sz w:val="20"/>
    </w:rPr>
  </w:style>
  <w:style w:type="paragraph" w:customStyle="1" w:styleId="MajorTitle">
    <w:name w:val="Major Title"/>
    <w:basedOn w:val="Normal"/>
    <w:next w:val="Normal"/>
    <w:rsid w:val="00B5233A"/>
    <w:pPr>
      <w:spacing w:before="180" w:line="300" w:lineRule="atLeast"/>
      <w:jc w:val="center"/>
    </w:pPr>
    <w:rPr>
      <w:b/>
      <w:bCs/>
      <w:sz w:val="48"/>
      <w:szCs w:val="48"/>
    </w:rPr>
  </w:style>
  <w:style w:type="paragraph" w:styleId="TOC1">
    <w:name w:val="toc 1"/>
    <w:basedOn w:val="Normal"/>
    <w:next w:val="Normal"/>
    <w:uiPriority w:val="39"/>
    <w:rsid w:val="006B60D8"/>
    <w:pPr>
      <w:tabs>
        <w:tab w:val="left" w:pos="720"/>
        <w:tab w:val="right" w:leader="dot" w:pos="9628"/>
      </w:tabs>
      <w:spacing w:before="240"/>
    </w:pPr>
    <w:rPr>
      <w:b/>
      <w:bCs/>
      <w:color w:val="000000"/>
      <w:szCs w:val="28"/>
    </w:rPr>
  </w:style>
  <w:style w:type="paragraph" w:styleId="TOC2">
    <w:name w:val="toc 2"/>
    <w:basedOn w:val="Normal"/>
    <w:next w:val="Normal"/>
    <w:uiPriority w:val="39"/>
    <w:rsid w:val="00B5233A"/>
    <w:pPr>
      <w:spacing w:before="240"/>
      <w:ind w:left="1440" w:right="567" w:hanging="720"/>
    </w:pPr>
    <w:rPr>
      <w:bCs/>
      <w:szCs w:val="24"/>
    </w:rPr>
  </w:style>
  <w:style w:type="paragraph" w:styleId="TOC3">
    <w:name w:val="toc 3"/>
    <w:basedOn w:val="Normal"/>
    <w:next w:val="Normal"/>
    <w:uiPriority w:val="39"/>
    <w:rsid w:val="00B5233A"/>
    <w:pPr>
      <w:spacing w:before="120"/>
      <w:ind w:left="1854" w:right="567" w:hanging="720"/>
    </w:pPr>
    <w:rPr>
      <w:szCs w:val="24"/>
    </w:rPr>
  </w:style>
  <w:style w:type="paragraph" w:styleId="TOC4">
    <w:name w:val="toc 4"/>
    <w:basedOn w:val="Normal"/>
    <w:next w:val="Normal"/>
    <w:uiPriority w:val="39"/>
    <w:rsid w:val="00B5233A"/>
    <w:pPr>
      <w:ind w:left="2160" w:right="567" w:hanging="720"/>
    </w:pPr>
    <w:rPr>
      <w:szCs w:val="24"/>
    </w:rPr>
  </w:style>
  <w:style w:type="paragraph" w:styleId="TOC5">
    <w:name w:val="toc 5"/>
    <w:basedOn w:val="Normal"/>
    <w:next w:val="Normal"/>
    <w:uiPriority w:val="39"/>
    <w:rsid w:val="00B5233A"/>
    <w:pPr>
      <w:ind w:left="720" w:right="567"/>
    </w:pPr>
    <w:rPr>
      <w:szCs w:val="24"/>
    </w:rPr>
  </w:style>
  <w:style w:type="paragraph" w:styleId="TOC6">
    <w:name w:val="toc 6"/>
    <w:basedOn w:val="Normal"/>
    <w:next w:val="Normal"/>
    <w:autoRedefine/>
    <w:uiPriority w:val="39"/>
    <w:rsid w:val="00B5233A"/>
    <w:pPr>
      <w:ind w:left="960"/>
    </w:pPr>
    <w:rPr>
      <w:szCs w:val="24"/>
    </w:rPr>
  </w:style>
  <w:style w:type="paragraph" w:styleId="TOC7">
    <w:name w:val="toc 7"/>
    <w:basedOn w:val="Normal"/>
    <w:next w:val="Normal"/>
    <w:autoRedefine/>
    <w:uiPriority w:val="39"/>
    <w:rsid w:val="00B5233A"/>
    <w:pPr>
      <w:ind w:left="1200"/>
    </w:pPr>
    <w:rPr>
      <w:szCs w:val="24"/>
    </w:rPr>
  </w:style>
  <w:style w:type="paragraph" w:styleId="TOC8">
    <w:name w:val="toc 8"/>
    <w:basedOn w:val="Normal"/>
    <w:next w:val="Normal"/>
    <w:autoRedefine/>
    <w:uiPriority w:val="39"/>
    <w:rsid w:val="00B5233A"/>
    <w:pPr>
      <w:ind w:left="1440"/>
    </w:pPr>
    <w:rPr>
      <w:szCs w:val="24"/>
    </w:rPr>
  </w:style>
  <w:style w:type="paragraph" w:styleId="TOC9">
    <w:name w:val="toc 9"/>
    <w:basedOn w:val="Normal"/>
    <w:next w:val="Normal"/>
    <w:autoRedefine/>
    <w:uiPriority w:val="39"/>
    <w:rsid w:val="00B5233A"/>
    <w:pPr>
      <w:ind w:left="1680"/>
    </w:pPr>
    <w:rPr>
      <w:szCs w:val="24"/>
    </w:rPr>
  </w:style>
  <w:style w:type="character" w:styleId="FollowedHyperlink">
    <w:name w:val="FollowedHyperlink"/>
    <w:rsid w:val="00B5233A"/>
    <w:rPr>
      <w:color w:val="800080"/>
      <w:u w:val="single"/>
    </w:rPr>
  </w:style>
  <w:style w:type="paragraph" w:customStyle="1" w:styleId="MajorTitle2">
    <w:name w:val="Major Title 2"/>
    <w:basedOn w:val="Normal"/>
    <w:next w:val="Normal"/>
    <w:rsid w:val="00B5233A"/>
    <w:pPr>
      <w:jc w:val="center"/>
    </w:pPr>
    <w:rPr>
      <w:b/>
      <w:bCs/>
      <w:sz w:val="40"/>
      <w:szCs w:val="40"/>
    </w:rPr>
  </w:style>
  <w:style w:type="paragraph" w:customStyle="1" w:styleId="TableTitle">
    <w:name w:val="Table Title"/>
    <w:basedOn w:val="Normal"/>
    <w:next w:val="Normal"/>
    <w:rsid w:val="00B5233A"/>
    <w:pPr>
      <w:jc w:val="right"/>
    </w:pPr>
    <w:rPr>
      <w:b/>
      <w:bCs/>
      <w:sz w:val="18"/>
      <w:szCs w:val="18"/>
    </w:rPr>
  </w:style>
  <w:style w:type="paragraph" w:customStyle="1" w:styleId="CommentaryReference">
    <w:name w:val="Commentary Reference"/>
    <w:basedOn w:val="Normal"/>
    <w:rsid w:val="00B5233A"/>
    <w:rPr>
      <w:sz w:val="14"/>
    </w:rPr>
  </w:style>
  <w:style w:type="paragraph" w:customStyle="1" w:styleId="TableText">
    <w:name w:val="Table Text"/>
    <w:basedOn w:val="Normal"/>
    <w:next w:val="Normal"/>
    <w:rsid w:val="00B5233A"/>
    <w:pPr>
      <w:spacing w:before="40"/>
    </w:pPr>
    <w:rPr>
      <w:sz w:val="18"/>
      <w:szCs w:val="18"/>
    </w:rPr>
  </w:style>
  <w:style w:type="paragraph" w:customStyle="1" w:styleId="TableFootnote">
    <w:name w:val="Table Footnote"/>
    <w:basedOn w:val="Normal"/>
    <w:next w:val="Normal"/>
    <w:rsid w:val="00B5233A"/>
    <w:pPr>
      <w:spacing w:before="240"/>
    </w:pPr>
    <w:rPr>
      <w:sz w:val="18"/>
    </w:rPr>
  </w:style>
  <w:style w:type="paragraph" w:customStyle="1" w:styleId="CommentaryText">
    <w:name w:val="Commentary Text"/>
    <w:basedOn w:val="Normal"/>
    <w:rsid w:val="00B5233A"/>
    <w:pPr>
      <w:spacing w:after="120"/>
      <w:jc w:val="both"/>
    </w:pPr>
    <w:rPr>
      <w:sz w:val="20"/>
    </w:rPr>
  </w:style>
  <w:style w:type="paragraph" w:customStyle="1" w:styleId="Commentary-Bullet">
    <w:name w:val="Commentary - Bullet"/>
    <w:basedOn w:val="CommentaryText"/>
    <w:rsid w:val="00B5233A"/>
    <w:pPr>
      <w:numPr>
        <w:numId w:val="1"/>
      </w:numPr>
      <w:tabs>
        <w:tab w:val="left" w:pos="3306"/>
      </w:tabs>
      <w:spacing w:after="60"/>
    </w:pPr>
  </w:style>
  <w:style w:type="paragraph" w:customStyle="1" w:styleId="CommentaryHeading">
    <w:name w:val="Commentary Heading"/>
    <w:basedOn w:val="Normal"/>
    <w:rsid w:val="00B5233A"/>
    <w:pPr>
      <w:keepNext/>
      <w:spacing w:before="120" w:after="60"/>
    </w:pPr>
    <w:rPr>
      <w:b/>
      <w:bCs/>
      <w:sz w:val="20"/>
      <w:szCs w:val="18"/>
    </w:rPr>
  </w:style>
  <w:style w:type="paragraph" w:customStyle="1" w:styleId="NoteTitle">
    <w:name w:val="Note Title"/>
    <w:basedOn w:val="Normal"/>
    <w:link w:val="NoteTitleChar"/>
    <w:rsid w:val="00B5233A"/>
    <w:pPr>
      <w:numPr>
        <w:numId w:val="13"/>
      </w:numPr>
      <w:spacing w:after="240"/>
    </w:pPr>
    <w:rPr>
      <w:b/>
      <w:caps/>
    </w:rPr>
  </w:style>
  <w:style w:type="character" w:customStyle="1" w:styleId="NoteTitleChar">
    <w:name w:val="Note Title Char"/>
    <w:link w:val="NoteTitle"/>
    <w:rsid w:val="00B43237"/>
    <w:rPr>
      <w:rFonts w:ascii="Calibri" w:hAnsi="Calibri"/>
      <w:b/>
      <w:caps/>
      <w:sz w:val="22"/>
      <w:szCs w:val="16"/>
      <w:lang w:eastAsia="en-US"/>
    </w:rPr>
  </w:style>
  <w:style w:type="paragraph" w:customStyle="1" w:styleId="NotesNumber">
    <w:name w:val="Notes Number"/>
    <w:basedOn w:val="Normal"/>
    <w:rsid w:val="00B5233A"/>
    <w:pPr>
      <w:numPr>
        <w:numId w:val="3"/>
      </w:numPr>
    </w:pPr>
    <w:rPr>
      <w:iCs/>
      <w:sz w:val="20"/>
      <w:szCs w:val="20"/>
    </w:rPr>
  </w:style>
  <w:style w:type="character" w:styleId="Hyperlink">
    <w:name w:val="Hyperlink"/>
    <w:uiPriority w:val="99"/>
    <w:rsid w:val="00B5233A"/>
    <w:rPr>
      <w:color w:val="0000FF"/>
      <w:u w:val="single"/>
    </w:rPr>
  </w:style>
  <w:style w:type="paragraph" w:customStyle="1" w:styleId="StatementName">
    <w:name w:val="Statement Name"/>
    <w:basedOn w:val="Title"/>
    <w:rsid w:val="00B5233A"/>
    <w:pPr>
      <w:spacing w:line="240" w:lineRule="auto"/>
    </w:pPr>
  </w:style>
  <w:style w:type="paragraph" w:customStyle="1" w:styleId="Reference">
    <w:name w:val="Reference"/>
    <w:basedOn w:val="TableTitle"/>
    <w:link w:val="ReferenceChar"/>
    <w:rsid w:val="00B5233A"/>
    <w:pPr>
      <w:jc w:val="left"/>
    </w:pPr>
    <w:rPr>
      <w:sz w:val="20"/>
    </w:rPr>
  </w:style>
  <w:style w:type="paragraph" w:customStyle="1" w:styleId="Normtr">
    <w:name w:val="Normtr"/>
    <w:basedOn w:val="Normal"/>
    <w:rsid w:val="00B5233A"/>
    <w:pPr>
      <w:spacing w:line="360" w:lineRule="auto"/>
      <w:jc w:val="both"/>
    </w:pPr>
    <w:rPr>
      <w:szCs w:val="20"/>
    </w:rPr>
  </w:style>
  <w:style w:type="paragraph" w:styleId="BodyText3">
    <w:name w:val="Body Text 3"/>
    <w:basedOn w:val="Normal"/>
    <w:rsid w:val="00B5233A"/>
    <w:rPr>
      <w:color w:val="FF0000"/>
      <w:szCs w:val="20"/>
    </w:rPr>
  </w:style>
  <w:style w:type="paragraph" w:styleId="ListBullet">
    <w:name w:val="List Bullet"/>
    <w:basedOn w:val="Normal"/>
    <w:autoRedefine/>
    <w:rsid w:val="00B5233A"/>
    <w:pPr>
      <w:numPr>
        <w:numId w:val="5"/>
      </w:numPr>
      <w:tabs>
        <w:tab w:val="clear" w:pos="360"/>
        <w:tab w:val="num" w:pos="851"/>
      </w:tabs>
      <w:spacing w:after="60" w:line="360" w:lineRule="auto"/>
      <w:jc w:val="both"/>
    </w:pPr>
    <w:rPr>
      <w:szCs w:val="20"/>
    </w:rPr>
  </w:style>
  <w:style w:type="paragraph" w:customStyle="1" w:styleId="Quote1">
    <w:name w:val="Quote1"/>
    <w:basedOn w:val="Normal"/>
    <w:rsid w:val="00B5233A"/>
    <w:pPr>
      <w:spacing w:line="360" w:lineRule="auto"/>
      <w:jc w:val="both"/>
    </w:pPr>
    <w:rPr>
      <w:rFonts w:ascii="Courier New" w:hAnsi="Courier New"/>
      <w:i/>
      <w:szCs w:val="20"/>
    </w:rPr>
  </w:style>
  <w:style w:type="paragraph" w:styleId="BodyText">
    <w:name w:val="Body Text"/>
    <w:basedOn w:val="Normal"/>
    <w:link w:val="BodyTextChar"/>
    <w:rsid w:val="00B5233A"/>
    <w:pPr>
      <w:jc w:val="both"/>
    </w:pPr>
  </w:style>
  <w:style w:type="character" w:customStyle="1" w:styleId="BodyTextChar">
    <w:name w:val="Body Text Char"/>
    <w:link w:val="BodyText"/>
    <w:rsid w:val="0022418C"/>
    <w:rPr>
      <w:rFonts w:ascii="Calibri" w:hAnsi="Calibri"/>
      <w:sz w:val="24"/>
      <w:szCs w:val="16"/>
      <w:lang w:eastAsia="en-US"/>
    </w:rPr>
  </w:style>
  <w:style w:type="paragraph" w:customStyle="1" w:styleId="CellBodyRight">
    <w:name w:val="Cell Body Right"/>
    <w:basedOn w:val="Normal"/>
    <w:rsid w:val="00B5233A"/>
    <w:pPr>
      <w:overflowPunct w:val="0"/>
      <w:autoSpaceDE w:val="0"/>
      <w:autoSpaceDN w:val="0"/>
      <w:adjustRightInd w:val="0"/>
      <w:ind w:right="57"/>
      <w:jc w:val="right"/>
      <w:textAlignment w:val="baseline"/>
    </w:pPr>
    <w:rPr>
      <w:noProof/>
      <w:color w:val="000000"/>
      <w:sz w:val="20"/>
      <w:szCs w:val="20"/>
      <w:lang w:val="en-GB"/>
    </w:rPr>
  </w:style>
  <w:style w:type="paragraph" w:customStyle="1" w:styleId="CellBodyRightParens">
    <w:name w:val="Cell Body Right Parens"/>
    <w:basedOn w:val="Normal"/>
    <w:rsid w:val="00B5233A"/>
    <w:pPr>
      <w:overflowPunct w:val="0"/>
      <w:autoSpaceDE w:val="0"/>
      <w:autoSpaceDN w:val="0"/>
      <w:adjustRightInd w:val="0"/>
      <w:jc w:val="right"/>
      <w:textAlignment w:val="baseline"/>
    </w:pPr>
    <w:rPr>
      <w:noProof/>
      <w:color w:val="000000"/>
      <w:sz w:val="20"/>
      <w:szCs w:val="20"/>
      <w:lang w:val="en-GB"/>
    </w:rPr>
  </w:style>
  <w:style w:type="paragraph" w:customStyle="1" w:styleId="CellBodyCenter">
    <w:name w:val="Cell Body Center"/>
    <w:basedOn w:val="Normal"/>
    <w:rsid w:val="00B5233A"/>
    <w:pPr>
      <w:overflowPunct w:val="0"/>
      <w:autoSpaceDE w:val="0"/>
      <w:autoSpaceDN w:val="0"/>
      <w:adjustRightInd w:val="0"/>
      <w:jc w:val="center"/>
      <w:textAlignment w:val="baseline"/>
    </w:pPr>
    <w:rPr>
      <w:noProof/>
      <w:color w:val="000000"/>
      <w:sz w:val="20"/>
      <w:szCs w:val="20"/>
      <w:lang w:val="en-GB"/>
    </w:rPr>
  </w:style>
  <w:style w:type="paragraph" w:styleId="BodyText2">
    <w:name w:val="Body Text 2"/>
    <w:basedOn w:val="Normal"/>
    <w:rsid w:val="00B5233A"/>
    <w:pPr>
      <w:tabs>
        <w:tab w:val="left" w:pos="3306"/>
      </w:tabs>
    </w:pPr>
    <w:rPr>
      <w:sz w:val="20"/>
    </w:rPr>
  </w:style>
  <w:style w:type="paragraph" w:customStyle="1" w:styleId="TableReference1">
    <w:name w:val="Table Reference 1"/>
    <w:basedOn w:val="TableReference"/>
    <w:rsid w:val="005829FC"/>
    <w:pPr>
      <w:tabs>
        <w:tab w:val="left" w:pos="3306"/>
      </w:tabs>
      <w:spacing w:before="60"/>
    </w:pPr>
  </w:style>
  <w:style w:type="paragraph" w:customStyle="1" w:styleId="CoverLeadPara">
    <w:name w:val="Cover LeadPara"/>
    <w:basedOn w:val="Normal"/>
    <w:next w:val="Normal"/>
    <w:rsid w:val="00B5233A"/>
    <w:pPr>
      <w:spacing w:after="100" w:line="200" w:lineRule="exact"/>
    </w:pPr>
    <w:rPr>
      <w:sz w:val="20"/>
      <w:szCs w:val="20"/>
    </w:rPr>
  </w:style>
  <w:style w:type="paragraph" w:customStyle="1" w:styleId="DefnPara">
    <w:name w:val="Defn Para"/>
    <w:basedOn w:val="Normal"/>
    <w:rsid w:val="00B5233A"/>
    <w:pPr>
      <w:spacing w:after="200" w:line="200" w:lineRule="exact"/>
      <w:ind w:left="1077" w:hanging="340"/>
    </w:pPr>
    <w:rPr>
      <w:b/>
      <w:sz w:val="20"/>
      <w:szCs w:val="20"/>
    </w:rPr>
  </w:style>
  <w:style w:type="paragraph" w:customStyle="1" w:styleId="NumBold2">
    <w:name w:val="Num Bold2"/>
    <w:basedOn w:val="Normal"/>
    <w:rsid w:val="00B5233A"/>
    <w:pPr>
      <w:spacing w:after="200" w:line="200" w:lineRule="exact"/>
      <w:ind w:left="1020" w:hanging="510"/>
    </w:pPr>
    <w:rPr>
      <w:b/>
      <w:sz w:val="20"/>
      <w:szCs w:val="20"/>
    </w:rPr>
  </w:style>
  <w:style w:type="paragraph" w:styleId="Index1">
    <w:name w:val="index 1"/>
    <w:basedOn w:val="Normal"/>
    <w:next w:val="Normal"/>
    <w:autoRedefine/>
    <w:semiHidden/>
    <w:rsid w:val="00B5233A"/>
    <w:pPr>
      <w:ind w:left="240" w:hanging="240"/>
    </w:pPr>
  </w:style>
  <w:style w:type="paragraph" w:styleId="BodyTextIndent">
    <w:name w:val="Body Text Indent"/>
    <w:basedOn w:val="Normal"/>
    <w:rsid w:val="00B5233A"/>
    <w:pPr>
      <w:autoSpaceDE w:val="0"/>
      <w:autoSpaceDN w:val="0"/>
      <w:adjustRightInd w:val="0"/>
      <w:ind w:left="720"/>
      <w:jc w:val="both"/>
    </w:pPr>
    <w:rPr>
      <w:sz w:val="20"/>
    </w:rPr>
  </w:style>
  <w:style w:type="paragraph" w:styleId="BalloonText">
    <w:name w:val="Balloon Text"/>
    <w:basedOn w:val="Normal"/>
    <w:semiHidden/>
    <w:rsid w:val="00345191"/>
    <w:rPr>
      <w:rFonts w:ascii="Tahoma" w:hAnsi="Tahoma" w:cs="Tahoma"/>
      <w:sz w:val="16"/>
    </w:rPr>
  </w:style>
  <w:style w:type="character" w:styleId="CommentReference">
    <w:name w:val="annotation reference"/>
    <w:semiHidden/>
    <w:rsid w:val="001B362D"/>
    <w:rPr>
      <w:sz w:val="16"/>
      <w:szCs w:val="16"/>
    </w:rPr>
  </w:style>
  <w:style w:type="paragraph" w:styleId="CommentText">
    <w:name w:val="annotation text"/>
    <w:basedOn w:val="Normal"/>
    <w:link w:val="CommentTextChar"/>
    <w:rsid w:val="001B362D"/>
    <w:rPr>
      <w:sz w:val="20"/>
      <w:szCs w:val="20"/>
    </w:rPr>
  </w:style>
  <w:style w:type="character" w:customStyle="1" w:styleId="CommentTextChar">
    <w:name w:val="Comment Text Char"/>
    <w:basedOn w:val="DefaultParagraphFont"/>
    <w:link w:val="CommentText"/>
    <w:rsid w:val="00FD30EB"/>
    <w:rPr>
      <w:rFonts w:ascii="Calibri" w:hAnsi="Calibri"/>
      <w:lang w:eastAsia="en-US"/>
    </w:rPr>
  </w:style>
  <w:style w:type="paragraph" w:customStyle="1" w:styleId="Char">
    <w:name w:val="Char"/>
    <w:basedOn w:val="Normal"/>
    <w:rsid w:val="00F835F1"/>
    <w:pPr>
      <w:spacing w:after="160" w:line="240" w:lineRule="exact"/>
    </w:pPr>
    <w:rPr>
      <w:rFonts w:ascii="Tahoma" w:hAnsi="Tahoma" w:cs="Tahoma"/>
      <w:sz w:val="20"/>
      <w:szCs w:val="20"/>
      <w:lang w:val="en-US"/>
    </w:rPr>
  </w:style>
  <w:style w:type="paragraph" w:customStyle="1" w:styleId="BIP1tabletext">
    <w:name w:val="BIP1 table text"/>
    <w:basedOn w:val="TableText"/>
    <w:rsid w:val="00D351AF"/>
    <w:pPr>
      <w:spacing w:before="30" w:after="20"/>
      <w:ind w:left="72" w:hanging="72"/>
    </w:pPr>
    <w:rPr>
      <w:rFonts w:ascii="Arial" w:hAnsi="Arial"/>
      <w:noProof/>
      <w:szCs w:val="20"/>
    </w:rPr>
  </w:style>
  <w:style w:type="paragraph" w:customStyle="1" w:styleId="NormalBlue">
    <w:name w:val="Normal Blue"/>
    <w:basedOn w:val="Normal"/>
    <w:link w:val="NormalBlueChar"/>
    <w:rsid w:val="00D351AF"/>
    <w:pPr>
      <w:spacing w:before="120"/>
      <w:jc w:val="both"/>
    </w:pPr>
    <w:rPr>
      <w:color w:val="0000FF"/>
      <w:szCs w:val="22"/>
    </w:rPr>
  </w:style>
  <w:style w:type="character" w:customStyle="1" w:styleId="NormalBlueChar">
    <w:name w:val="Normal Blue Char"/>
    <w:link w:val="NormalBlue"/>
    <w:rsid w:val="00D351AF"/>
    <w:rPr>
      <w:color w:val="0000FF"/>
      <w:sz w:val="22"/>
      <w:szCs w:val="22"/>
      <w:lang w:val="en-AU" w:eastAsia="en-US" w:bidi="ar-SA"/>
    </w:rPr>
  </w:style>
  <w:style w:type="paragraph" w:customStyle="1" w:styleId="aalphablue">
    <w:name w:val="(a) alpha blue"/>
    <w:basedOn w:val="NormalBlue"/>
    <w:link w:val="aalphablueChar"/>
    <w:rsid w:val="00D351AF"/>
    <w:pPr>
      <w:ind w:left="425" w:hanging="425"/>
    </w:pPr>
    <w:rPr>
      <w:lang w:eastAsia="en-AU"/>
    </w:rPr>
  </w:style>
  <w:style w:type="character" w:customStyle="1" w:styleId="aalphablueChar">
    <w:name w:val="(a) alpha blue Char"/>
    <w:link w:val="aalphablue"/>
    <w:rsid w:val="00D351AF"/>
    <w:rPr>
      <w:color w:val="0000FF"/>
      <w:sz w:val="22"/>
      <w:szCs w:val="22"/>
      <w:lang w:val="en-AU" w:eastAsia="en-AU" w:bidi="ar-SA"/>
    </w:rPr>
  </w:style>
  <w:style w:type="table" w:styleId="TableGrid">
    <w:name w:val="Table Grid"/>
    <w:aliases w:val="CV table"/>
    <w:basedOn w:val="TableNormal"/>
    <w:uiPriority w:val="39"/>
    <w:rsid w:val="002C6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396"/>
    <w:pPr>
      <w:autoSpaceDE w:val="0"/>
      <w:autoSpaceDN w:val="0"/>
      <w:adjustRightInd w:val="0"/>
    </w:pPr>
    <w:rPr>
      <w:color w:val="000000"/>
      <w:sz w:val="24"/>
      <w:szCs w:val="24"/>
    </w:rPr>
  </w:style>
  <w:style w:type="paragraph" w:customStyle="1" w:styleId="DefinePoint">
    <w:name w:val="Define Point"/>
    <w:basedOn w:val="Default"/>
    <w:next w:val="Default"/>
    <w:rsid w:val="00EE6F2C"/>
    <w:pPr>
      <w:spacing w:after="120"/>
    </w:pPr>
    <w:rPr>
      <w:color w:val="auto"/>
    </w:rPr>
  </w:style>
  <w:style w:type="paragraph" w:styleId="CommentSubject">
    <w:name w:val="annotation subject"/>
    <w:basedOn w:val="CommentText"/>
    <w:next w:val="CommentText"/>
    <w:semiHidden/>
    <w:rsid w:val="005C6BD1"/>
    <w:rPr>
      <w:b/>
      <w:bCs/>
    </w:rPr>
  </w:style>
  <w:style w:type="character" w:customStyle="1" w:styleId="apple-style-span">
    <w:name w:val="apple-style-span"/>
    <w:basedOn w:val="DefaultParagraphFont"/>
    <w:rsid w:val="00A52DFC"/>
  </w:style>
  <w:style w:type="character" w:customStyle="1" w:styleId="apple-converted-space">
    <w:name w:val="apple-converted-space"/>
    <w:basedOn w:val="DefaultParagraphFont"/>
    <w:rsid w:val="00A52DFC"/>
  </w:style>
  <w:style w:type="paragraph" w:styleId="ListParagraph">
    <w:name w:val="List Paragraph"/>
    <w:aliases w:val="OLG List Paragraph Bullets"/>
    <w:basedOn w:val="Normal"/>
    <w:link w:val="ListParagraphChar"/>
    <w:uiPriority w:val="34"/>
    <w:qFormat/>
    <w:rsid w:val="00975DF7"/>
    <w:pPr>
      <w:ind w:left="720"/>
      <w:contextualSpacing/>
    </w:pPr>
  </w:style>
  <w:style w:type="paragraph" w:customStyle="1" w:styleId="ModelBody">
    <w:name w:val="Model Body"/>
    <w:basedOn w:val="Normal"/>
    <w:link w:val="ModelBodyChar"/>
    <w:rsid w:val="00AB5A6F"/>
    <w:pPr>
      <w:keepNext/>
      <w:spacing w:before="120" w:after="120"/>
      <w:jc w:val="both"/>
      <w:outlineLvl w:val="0"/>
    </w:pPr>
    <w:rPr>
      <w:rFonts w:ascii="Arial" w:hAnsi="Arial" w:cs="Arial"/>
      <w:kern w:val="28"/>
      <w:sz w:val="18"/>
      <w:szCs w:val="32"/>
      <w:lang w:eastAsia="en-AU"/>
    </w:rPr>
  </w:style>
  <w:style w:type="character" w:customStyle="1" w:styleId="ModelBodyChar">
    <w:name w:val="Model Body Char"/>
    <w:link w:val="ModelBody"/>
    <w:rsid w:val="00AB5A6F"/>
    <w:rPr>
      <w:rFonts w:ascii="Arial" w:hAnsi="Arial" w:cs="Arial"/>
      <w:kern w:val="28"/>
      <w:sz w:val="18"/>
      <w:szCs w:val="32"/>
    </w:rPr>
  </w:style>
  <w:style w:type="paragraph" w:customStyle="1" w:styleId="ModelTable">
    <w:name w:val="Model Table"/>
    <w:basedOn w:val="ModelBody"/>
    <w:link w:val="ModelTableChar"/>
    <w:rsid w:val="00AB5A6F"/>
    <w:pPr>
      <w:spacing w:before="20" w:after="20"/>
    </w:pPr>
    <w:rPr>
      <w:sz w:val="16"/>
    </w:rPr>
  </w:style>
  <w:style w:type="character" w:customStyle="1" w:styleId="ModelTableChar">
    <w:name w:val="Model Table Char"/>
    <w:link w:val="ModelTable"/>
    <w:rsid w:val="00AB5A6F"/>
    <w:rPr>
      <w:rFonts w:ascii="Arial" w:hAnsi="Arial" w:cs="Arial"/>
      <w:kern w:val="28"/>
      <w:sz w:val="16"/>
      <w:szCs w:val="32"/>
    </w:rPr>
  </w:style>
  <w:style w:type="paragraph" w:customStyle="1" w:styleId="SourceReferenceBody">
    <w:name w:val="Source Reference Body"/>
    <w:basedOn w:val="Normal"/>
    <w:link w:val="SourceReferenceBodyChar"/>
    <w:rsid w:val="00A87AC7"/>
    <w:pPr>
      <w:keepNext/>
      <w:outlineLvl w:val="0"/>
    </w:pPr>
    <w:rPr>
      <w:rFonts w:ascii="Arial" w:hAnsi="Arial" w:cs="Arial"/>
      <w:i/>
      <w:kern w:val="28"/>
      <w:sz w:val="16"/>
      <w:szCs w:val="32"/>
    </w:rPr>
  </w:style>
  <w:style w:type="character" w:customStyle="1" w:styleId="SourceReferenceBodyChar">
    <w:name w:val="Source Reference Body Char"/>
    <w:link w:val="SourceReferenceBody"/>
    <w:rsid w:val="00A87AC7"/>
    <w:rPr>
      <w:rFonts w:ascii="Arial" w:hAnsi="Arial" w:cs="Arial"/>
      <w:i/>
      <w:kern w:val="28"/>
      <w:sz w:val="16"/>
      <w:szCs w:val="32"/>
      <w:lang w:eastAsia="en-US"/>
    </w:rPr>
  </w:style>
  <w:style w:type="character" w:styleId="Emphasis">
    <w:name w:val="Emphasis"/>
    <w:uiPriority w:val="20"/>
    <w:qFormat/>
    <w:rsid w:val="003D2BCD"/>
    <w:rPr>
      <w:i/>
      <w:iCs/>
    </w:rPr>
  </w:style>
  <w:style w:type="paragraph" w:styleId="Subtitle">
    <w:name w:val="Subtitle"/>
    <w:basedOn w:val="Normal"/>
    <w:next w:val="Normal"/>
    <w:link w:val="SubtitleChar"/>
    <w:qFormat/>
    <w:rsid w:val="007975D5"/>
    <w:pPr>
      <w:jc w:val="center"/>
      <w:outlineLvl w:val="0"/>
    </w:pPr>
    <w:rPr>
      <w:rFonts w:ascii="Arial" w:hAnsi="Arial"/>
      <w:b/>
      <w:sz w:val="40"/>
      <w:szCs w:val="24"/>
    </w:rPr>
  </w:style>
  <w:style w:type="character" w:customStyle="1" w:styleId="SubtitleChar">
    <w:name w:val="Subtitle Char"/>
    <w:link w:val="Subtitle"/>
    <w:rsid w:val="007975D5"/>
    <w:rPr>
      <w:rFonts w:ascii="Arial" w:hAnsi="Arial"/>
      <w:b/>
      <w:sz w:val="40"/>
      <w:szCs w:val="24"/>
      <w:lang w:eastAsia="en-US"/>
    </w:rPr>
  </w:style>
  <w:style w:type="paragraph" w:customStyle="1" w:styleId="plainhanging0">
    <w:name w:val="plainhanging0"/>
    <w:basedOn w:val="Normal"/>
    <w:rsid w:val="00CA49B1"/>
    <w:pPr>
      <w:spacing w:before="100" w:beforeAutospacing="1" w:after="100" w:afterAutospacing="1"/>
    </w:pPr>
    <w:rPr>
      <w:rFonts w:ascii="Times New Roman" w:hAnsi="Times New Roman"/>
      <w:szCs w:val="24"/>
      <w:lang w:eastAsia="en-AU"/>
    </w:rPr>
  </w:style>
  <w:style w:type="paragraph" w:customStyle="1" w:styleId="headinga">
    <w:name w:val="heading a"/>
    <w:basedOn w:val="TOC2"/>
    <w:rsid w:val="00B113E4"/>
    <w:pPr>
      <w:tabs>
        <w:tab w:val="left" w:pos="960"/>
        <w:tab w:val="right" w:leader="dot" w:pos="10065"/>
      </w:tabs>
      <w:spacing w:before="60" w:after="60"/>
      <w:ind w:left="0" w:right="0" w:hanging="753"/>
    </w:pPr>
    <w:rPr>
      <w:rFonts w:ascii="Times New Roman Bold" w:hAnsi="Times New Roman Bold" w:cs="Calibri"/>
      <w:b/>
      <w:caps/>
      <w:noProof/>
      <w:sz w:val="20"/>
      <w:szCs w:val="20"/>
    </w:rPr>
  </w:style>
  <w:style w:type="paragraph" w:customStyle="1" w:styleId="reference0">
    <w:name w:val="reference"/>
    <w:basedOn w:val="Normal"/>
    <w:link w:val="referenceChar0"/>
    <w:qFormat/>
    <w:rsid w:val="004956AB"/>
    <w:pPr>
      <w:shd w:val="clear" w:color="auto" w:fill="F2F2F2"/>
      <w:ind w:left="567" w:right="567"/>
    </w:pPr>
    <w:rPr>
      <w:sz w:val="20"/>
      <w:lang w:bidi="en-US"/>
    </w:rPr>
  </w:style>
  <w:style w:type="character" w:customStyle="1" w:styleId="referenceChar0">
    <w:name w:val="reference Char"/>
    <w:link w:val="reference0"/>
    <w:rsid w:val="004956AB"/>
    <w:rPr>
      <w:rFonts w:ascii="Calibri" w:hAnsi="Calibri"/>
      <w:szCs w:val="16"/>
      <w:shd w:val="clear" w:color="auto" w:fill="F2F2F2"/>
      <w:lang w:eastAsia="en-US" w:bidi="en-US"/>
    </w:rPr>
  </w:style>
  <w:style w:type="paragraph" w:customStyle="1" w:styleId="SectionHeading">
    <w:name w:val="Section Heading"/>
    <w:basedOn w:val="Subtitle"/>
    <w:next w:val="Normal"/>
    <w:link w:val="SectionHeadingChar"/>
    <w:qFormat/>
    <w:rsid w:val="004956AB"/>
    <w:pPr>
      <w:numPr>
        <w:ilvl w:val="1"/>
      </w:numPr>
      <w:spacing w:before="480" w:after="240"/>
    </w:pPr>
    <w:rPr>
      <w:rFonts w:ascii="Arial Bold" w:hAnsi="Arial Bold"/>
      <w:b w:val="0"/>
      <w:bCs/>
      <w:iCs/>
      <w:caps/>
      <w:smallCaps/>
      <w:spacing w:val="15"/>
      <w:sz w:val="36"/>
      <w:szCs w:val="16"/>
    </w:rPr>
  </w:style>
  <w:style w:type="character" w:customStyle="1" w:styleId="SectionHeadingChar">
    <w:name w:val="Section Heading Char"/>
    <w:link w:val="SectionHeading"/>
    <w:rsid w:val="004956AB"/>
    <w:rPr>
      <w:rFonts w:ascii="Arial Bold" w:hAnsi="Arial Bold"/>
      <w:b/>
      <w:bCs/>
      <w:iCs/>
      <w:caps/>
      <w:smallCaps/>
      <w:spacing w:val="15"/>
      <w:sz w:val="36"/>
      <w:szCs w:val="16"/>
      <w:lang w:eastAsia="en-US"/>
    </w:rPr>
  </w:style>
  <w:style w:type="paragraph" w:customStyle="1" w:styleId="bullet">
    <w:name w:val="bullet"/>
    <w:basedOn w:val="Normal"/>
    <w:link w:val="bulletChar"/>
    <w:qFormat/>
    <w:rsid w:val="00932822"/>
    <w:pPr>
      <w:numPr>
        <w:numId w:val="43"/>
      </w:numPr>
      <w:spacing w:after="120"/>
    </w:pPr>
    <w:rPr>
      <w:lang w:eastAsia="en-AU"/>
    </w:rPr>
  </w:style>
  <w:style w:type="character" w:customStyle="1" w:styleId="bulletChar">
    <w:name w:val="bullet Char"/>
    <w:link w:val="bullet"/>
    <w:rsid w:val="00932822"/>
    <w:rPr>
      <w:rFonts w:ascii="Calibri" w:hAnsi="Calibri"/>
      <w:sz w:val="22"/>
      <w:szCs w:val="16"/>
    </w:rPr>
  </w:style>
  <w:style w:type="paragraph" w:customStyle="1" w:styleId="Appxhead2">
    <w:name w:val="Appxhead2"/>
    <w:basedOn w:val="Normal"/>
    <w:link w:val="Appxhead2Char"/>
    <w:qFormat/>
    <w:rsid w:val="000807DB"/>
    <w:pPr>
      <w:spacing w:before="240" w:after="120"/>
    </w:pPr>
    <w:rPr>
      <w:rFonts w:ascii="Arial" w:hAnsi="Arial"/>
      <w:b/>
      <w:caps/>
      <w:sz w:val="28"/>
      <w:szCs w:val="28"/>
    </w:rPr>
  </w:style>
  <w:style w:type="character" w:customStyle="1" w:styleId="Appxhead2Char">
    <w:name w:val="Appxhead2 Char"/>
    <w:link w:val="Appxhead2"/>
    <w:rsid w:val="000807DB"/>
    <w:rPr>
      <w:rFonts w:ascii="Arial" w:hAnsi="Arial"/>
      <w:b/>
      <w:caps/>
      <w:sz w:val="28"/>
      <w:szCs w:val="28"/>
      <w:lang w:eastAsia="en-US"/>
    </w:rPr>
  </w:style>
  <w:style w:type="paragraph" w:customStyle="1" w:styleId="Appxhead3">
    <w:name w:val="Appxhead3"/>
    <w:basedOn w:val="Normal"/>
    <w:link w:val="Appxhead3Char"/>
    <w:qFormat/>
    <w:rsid w:val="000807DB"/>
    <w:pPr>
      <w:spacing w:before="120" w:after="60"/>
    </w:pPr>
    <w:rPr>
      <w:rFonts w:ascii="Arial" w:hAnsi="Arial" w:cs="Arial"/>
      <w:b/>
      <w:smallCaps/>
    </w:rPr>
  </w:style>
  <w:style w:type="character" w:customStyle="1" w:styleId="Appxhead3Char">
    <w:name w:val="Appxhead3 Char"/>
    <w:link w:val="Appxhead3"/>
    <w:rsid w:val="000807DB"/>
    <w:rPr>
      <w:rFonts w:ascii="Arial" w:hAnsi="Arial" w:cs="Arial"/>
      <w:b/>
      <w:smallCaps/>
      <w:sz w:val="24"/>
      <w:szCs w:val="16"/>
      <w:lang w:eastAsia="en-US"/>
    </w:rPr>
  </w:style>
  <w:style w:type="paragraph" w:customStyle="1" w:styleId="headerhead">
    <w:name w:val="headerhead"/>
    <w:basedOn w:val="Normal"/>
    <w:link w:val="headerheadChar"/>
    <w:qFormat/>
    <w:rsid w:val="00371BF4"/>
    <w:pPr>
      <w:jc w:val="center"/>
    </w:pPr>
    <w:rPr>
      <w:rFonts w:cs="Arial"/>
      <w:b/>
      <w:caps/>
    </w:rPr>
  </w:style>
  <w:style w:type="character" w:customStyle="1" w:styleId="headerheadChar">
    <w:name w:val="headerhead Char"/>
    <w:link w:val="headerhead"/>
    <w:rsid w:val="00371BF4"/>
    <w:rPr>
      <w:rFonts w:ascii="Calibri" w:hAnsi="Calibri" w:cs="Arial"/>
      <w:b/>
      <w:caps/>
      <w:sz w:val="24"/>
      <w:szCs w:val="16"/>
      <w:lang w:eastAsia="en-US"/>
    </w:rPr>
  </w:style>
  <w:style w:type="paragraph" w:customStyle="1" w:styleId="Tableheader">
    <w:name w:val="Table header"/>
    <w:basedOn w:val="Normal"/>
    <w:uiPriority w:val="6"/>
    <w:rsid w:val="00332E05"/>
    <w:pPr>
      <w:keepNext/>
      <w:keepLines/>
      <w:spacing w:before="120" w:after="60" w:line="264" w:lineRule="auto"/>
    </w:pPr>
    <w:rPr>
      <w:rFonts w:eastAsia="Calibri"/>
      <w:color w:val="FFFFFF"/>
      <w:spacing w:val="2"/>
      <w:sz w:val="20"/>
      <w:szCs w:val="21"/>
    </w:rPr>
  </w:style>
  <w:style w:type="paragraph" w:customStyle="1" w:styleId="Tabletext0">
    <w:name w:val="Table text"/>
    <w:basedOn w:val="Normal"/>
    <w:uiPriority w:val="6"/>
    <w:rsid w:val="00332E05"/>
    <w:pPr>
      <w:spacing w:before="60" w:after="60" w:line="264" w:lineRule="auto"/>
    </w:pPr>
    <w:rPr>
      <w:spacing w:val="2"/>
      <w:sz w:val="17"/>
      <w:szCs w:val="20"/>
      <w:lang w:eastAsia="en-AU"/>
    </w:rPr>
  </w:style>
  <w:style w:type="paragraph" w:customStyle="1" w:styleId="NormalSF">
    <w:name w:val="Normal SF"/>
    <w:basedOn w:val="Normal"/>
    <w:qFormat/>
    <w:rsid w:val="00D849FC"/>
    <w:pPr>
      <w:keepLines/>
      <w:spacing w:before="120" w:after="120"/>
    </w:pPr>
    <w:rPr>
      <w:szCs w:val="24"/>
      <w:lang w:val="en-US" w:eastAsia="en-AU"/>
    </w:rPr>
  </w:style>
  <w:style w:type="paragraph" w:customStyle="1" w:styleId="HeadingSF3">
    <w:name w:val="Heading SF3"/>
    <w:basedOn w:val="Normal"/>
    <w:next w:val="NormalSF"/>
    <w:qFormat/>
    <w:rsid w:val="00D849FC"/>
    <w:pPr>
      <w:keepNext/>
      <w:keepLines/>
      <w:tabs>
        <w:tab w:val="left" w:pos="1134"/>
      </w:tabs>
      <w:spacing w:before="120" w:after="120"/>
      <w:outlineLvl w:val="2"/>
    </w:pPr>
    <w:rPr>
      <w:b/>
      <w:i/>
      <w:color w:val="1F497D"/>
      <w:kern w:val="32"/>
      <w:szCs w:val="27"/>
      <w:lang w:val="en-US" w:eastAsia="en-AU"/>
    </w:rPr>
  </w:style>
  <w:style w:type="paragraph" w:customStyle="1" w:styleId="NormalSFLeadIn">
    <w:name w:val="Normal SF Lead In"/>
    <w:basedOn w:val="NormalSF"/>
    <w:qFormat/>
    <w:rsid w:val="00D849FC"/>
    <w:pPr>
      <w:keepNext/>
    </w:pPr>
  </w:style>
  <w:style w:type="paragraph" w:customStyle="1" w:styleId="SFDot1">
    <w:name w:val="SF Dot 1"/>
    <w:basedOn w:val="NormalSF"/>
    <w:qFormat/>
    <w:rsid w:val="00D849FC"/>
    <w:pPr>
      <w:numPr>
        <w:numId w:val="46"/>
      </w:numPr>
      <w:tabs>
        <w:tab w:val="left" w:pos="567"/>
      </w:tabs>
    </w:pPr>
  </w:style>
  <w:style w:type="table" w:customStyle="1" w:styleId="CVtable1">
    <w:name w:val="CV table1"/>
    <w:basedOn w:val="TableNormal"/>
    <w:next w:val="TableGrid"/>
    <w:rsid w:val="003C2C64"/>
    <w:rPr>
      <w:rFonts w:ascii="Calibri" w:eastAsia="Times"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72870"/>
    <w:rPr>
      <w:color w:val="605E5C"/>
      <w:shd w:val="clear" w:color="auto" w:fill="E1DFDD"/>
    </w:rPr>
  </w:style>
  <w:style w:type="paragraph" w:customStyle="1" w:styleId="ModelTableBody">
    <w:name w:val="Model Table Body"/>
    <w:basedOn w:val="Normal"/>
    <w:link w:val="ModelTableBodyChar"/>
    <w:rsid w:val="00D03549"/>
    <w:pPr>
      <w:keepLines/>
      <w:spacing w:before="20" w:after="20"/>
      <w:outlineLvl w:val="0"/>
    </w:pPr>
    <w:rPr>
      <w:rFonts w:ascii="Arial" w:hAnsi="Arial" w:cs="Arial"/>
      <w:kern w:val="28"/>
      <w:sz w:val="20"/>
      <w:szCs w:val="32"/>
      <w:lang w:eastAsia="en-AU"/>
    </w:rPr>
  </w:style>
  <w:style w:type="character" w:customStyle="1" w:styleId="ModelTableBodyChar">
    <w:name w:val="Model Table Body Char"/>
    <w:basedOn w:val="DefaultParagraphFont"/>
    <w:link w:val="ModelTableBody"/>
    <w:rsid w:val="00D03549"/>
    <w:rPr>
      <w:rFonts w:ascii="Arial" w:hAnsi="Arial" w:cs="Arial"/>
      <w:kern w:val="28"/>
      <w:szCs w:val="32"/>
    </w:rPr>
  </w:style>
  <w:style w:type="table" w:customStyle="1" w:styleId="TableGrid1">
    <w:name w:val="Table Grid1"/>
    <w:basedOn w:val="TableNormal"/>
    <w:next w:val="TableGrid"/>
    <w:uiPriority w:val="39"/>
    <w:rsid w:val="00CF26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253AD5"/>
    <w:rPr>
      <w:color w:val="605E5C"/>
      <w:shd w:val="clear" w:color="auto" w:fill="E1DFDD"/>
    </w:rPr>
  </w:style>
  <w:style w:type="paragraph" w:styleId="Revision">
    <w:name w:val="Revision"/>
    <w:hidden/>
    <w:uiPriority w:val="99"/>
    <w:semiHidden/>
    <w:rsid w:val="002E0784"/>
    <w:rPr>
      <w:rFonts w:ascii="Calibri" w:hAnsi="Calibri"/>
      <w:sz w:val="22"/>
      <w:szCs w:val="16"/>
      <w:lang w:eastAsia="en-US"/>
    </w:rPr>
  </w:style>
  <w:style w:type="character" w:styleId="UnresolvedMention">
    <w:name w:val="Unresolved Mention"/>
    <w:basedOn w:val="DefaultParagraphFont"/>
    <w:uiPriority w:val="99"/>
    <w:semiHidden/>
    <w:unhideWhenUsed/>
    <w:rsid w:val="00C66E0D"/>
    <w:rPr>
      <w:color w:val="605E5C"/>
      <w:shd w:val="clear" w:color="auto" w:fill="E1DFDD"/>
    </w:rPr>
  </w:style>
  <w:style w:type="character" w:customStyle="1" w:styleId="ReferenceChar">
    <w:name w:val="Reference Char"/>
    <w:basedOn w:val="DefaultParagraphFont"/>
    <w:link w:val="Reference"/>
    <w:rsid w:val="00B765EA"/>
    <w:rPr>
      <w:rFonts w:ascii="Calibri" w:hAnsi="Calibri"/>
      <w:b/>
      <w:bCs/>
      <w:szCs w:val="18"/>
      <w:lang w:eastAsia="en-US"/>
    </w:rPr>
  </w:style>
  <w:style w:type="character" w:customStyle="1" w:styleId="ListParagraphChar">
    <w:name w:val="List Paragraph Char"/>
    <w:aliases w:val="OLG List Paragraph Bullets Char"/>
    <w:link w:val="ListParagraph"/>
    <w:uiPriority w:val="34"/>
    <w:rsid w:val="00EE4E8B"/>
    <w:rPr>
      <w:rFonts w:ascii="Calibri" w:hAnsi="Calibri"/>
      <w:sz w:val="22"/>
      <w:szCs w:val="16"/>
      <w:lang w:eastAsia="en-US"/>
    </w:rPr>
  </w:style>
  <w:style w:type="paragraph" w:customStyle="1" w:styleId="Normal1">
    <w:name w:val="Normal1"/>
    <w:basedOn w:val="Normal"/>
    <w:next w:val="Normal"/>
    <w:qFormat/>
    <w:rsid w:val="00172BB4"/>
    <w:pPr>
      <w:keepNext/>
    </w:pPr>
    <w:rPr>
      <w:rFonts w:eastAsia="SimSun"/>
      <w:noProof/>
      <w:kern w:val="22"/>
      <w:szCs w:val="21"/>
      <w:lang w:eastAsia="en-AU"/>
    </w:rPr>
  </w:style>
  <w:style w:type="character" w:styleId="Strong">
    <w:name w:val="Strong"/>
    <w:uiPriority w:val="22"/>
    <w:qFormat/>
    <w:rsid w:val="00411D5C"/>
    <w:rPr>
      <w:b/>
      <w:bCs/>
    </w:rPr>
  </w:style>
  <w:style w:type="paragraph" w:customStyle="1" w:styleId="Bullet1">
    <w:name w:val="Bullet 1"/>
    <w:basedOn w:val="Normal"/>
    <w:link w:val="Bullet1Char"/>
    <w:qFormat/>
    <w:rsid w:val="00574DE1"/>
    <w:pPr>
      <w:numPr>
        <w:numId w:val="63"/>
      </w:numPr>
      <w:spacing w:after="60"/>
    </w:pPr>
    <w:rPr>
      <w:rFonts w:asciiTheme="minorHAnsi" w:hAnsiTheme="minorHAnsi"/>
      <w:szCs w:val="20"/>
    </w:rPr>
  </w:style>
  <w:style w:type="character" w:customStyle="1" w:styleId="Bullet1Char">
    <w:name w:val="Bullet 1 Char"/>
    <w:basedOn w:val="DefaultParagraphFont"/>
    <w:link w:val="Bullet1"/>
    <w:rsid w:val="00574DE1"/>
    <w:rPr>
      <w:rFonts w:asciiTheme="minorHAnsi" w:hAnsiTheme="minorHAnsi"/>
      <w:sz w:val="22"/>
      <w:lang w:eastAsia="en-US"/>
    </w:rPr>
  </w:style>
  <w:style w:type="character" w:customStyle="1" w:styleId="Heading2Char">
    <w:name w:val="Heading 2 Char"/>
    <w:basedOn w:val="DefaultParagraphFont"/>
    <w:link w:val="Heading2"/>
    <w:rsid w:val="009315BB"/>
    <w:rPr>
      <w:rFonts w:ascii="Arial Bold" w:hAnsi="Arial Bold"/>
      <w:b/>
      <w:bCs/>
      <w:caps/>
      <w:sz w:val="28"/>
      <w:szCs w:val="28"/>
      <w:lang w:eastAsia="en-US"/>
    </w:rPr>
  </w:style>
  <w:style w:type="paragraph" w:customStyle="1" w:styleId="isubpara">
    <w:name w:val="isubpara"/>
    <w:basedOn w:val="Normal"/>
    <w:rsid w:val="009C6C65"/>
    <w:pPr>
      <w:spacing w:before="100" w:beforeAutospacing="1" w:after="100" w:afterAutospacing="1"/>
    </w:pPr>
    <w:rPr>
      <w:rFonts w:ascii="Times New Roman" w:hAnsi="Times New Roman"/>
      <w:sz w:val="24"/>
      <w:szCs w:val="24"/>
      <w:lang w:eastAsia="en-AU"/>
    </w:rPr>
  </w:style>
  <w:style w:type="paragraph" w:customStyle="1" w:styleId="Intro">
    <w:name w:val="Intro"/>
    <w:basedOn w:val="Normal"/>
    <w:rsid w:val="00754BB2"/>
    <w:pPr>
      <w:spacing w:after="200" w:line="300" w:lineRule="exact"/>
    </w:pPr>
    <w:rPr>
      <w:rFonts w:asciiTheme="minorHAnsi" w:eastAsiaTheme="minorHAnsi" w:hAnsiTheme="minorHAnsi"/>
      <w:color w:val="E7E6E6" w:themeColor="background2"/>
      <w:w w:val="110"/>
      <w:sz w:val="25"/>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6975">
      <w:bodyDiv w:val="1"/>
      <w:marLeft w:val="0"/>
      <w:marRight w:val="0"/>
      <w:marTop w:val="0"/>
      <w:marBottom w:val="0"/>
      <w:divBdr>
        <w:top w:val="none" w:sz="0" w:space="0" w:color="auto"/>
        <w:left w:val="none" w:sz="0" w:space="0" w:color="auto"/>
        <w:bottom w:val="none" w:sz="0" w:space="0" w:color="auto"/>
        <w:right w:val="none" w:sz="0" w:space="0" w:color="auto"/>
      </w:divBdr>
    </w:div>
    <w:div w:id="35855055">
      <w:bodyDiv w:val="1"/>
      <w:marLeft w:val="0"/>
      <w:marRight w:val="0"/>
      <w:marTop w:val="0"/>
      <w:marBottom w:val="0"/>
      <w:divBdr>
        <w:top w:val="none" w:sz="0" w:space="0" w:color="auto"/>
        <w:left w:val="none" w:sz="0" w:space="0" w:color="auto"/>
        <w:bottom w:val="none" w:sz="0" w:space="0" w:color="auto"/>
        <w:right w:val="none" w:sz="0" w:space="0" w:color="auto"/>
      </w:divBdr>
    </w:div>
    <w:div w:id="66459329">
      <w:bodyDiv w:val="1"/>
      <w:marLeft w:val="0"/>
      <w:marRight w:val="0"/>
      <w:marTop w:val="0"/>
      <w:marBottom w:val="0"/>
      <w:divBdr>
        <w:top w:val="none" w:sz="0" w:space="0" w:color="auto"/>
        <w:left w:val="none" w:sz="0" w:space="0" w:color="auto"/>
        <w:bottom w:val="none" w:sz="0" w:space="0" w:color="auto"/>
        <w:right w:val="none" w:sz="0" w:space="0" w:color="auto"/>
      </w:divBdr>
    </w:div>
    <w:div w:id="95176968">
      <w:bodyDiv w:val="1"/>
      <w:marLeft w:val="0"/>
      <w:marRight w:val="0"/>
      <w:marTop w:val="0"/>
      <w:marBottom w:val="0"/>
      <w:divBdr>
        <w:top w:val="none" w:sz="0" w:space="0" w:color="auto"/>
        <w:left w:val="none" w:sz="0" w:space="0" w:color="auto"/>
        <w:bottom w:val="none" w:sz="0" w:space="0" w:color="auto"/>
        <w:right w:val="none" w:sz="0" w:space="0" w:color="auto"/>
      </w:divBdr>
    </w:div>
    <w:div w:id="134029177">
      <w:bodyDiv w:val="1"/>
      <w:marLeft w:val="0"/>
      <w:marRight w:val="0"/>
      <w:marTop w:val="0"/>
      <w:marBottom w:val="0"/>
      <w:divBdr>
        <w:top w:val="none" w:sz="0" w:space="0" w:color="auto"/>
        <w:left w:val="none" w:sz="0" w:space="0" w:color="auto"/>
        <w:bottom w:val="none" w:sz="0" w:space="0" w:color="auto"/>
        <w:right w:val="none" w:sz="0" w:space="0" w:color="auto"/>
      </w:divBdr>
    </w:div>
    <w:div w:id="217860918">
      <w:bodyDiv w:val="1"/>
      <w:marLeft w:val="0"/>
      <w:marRight w:val="0"/>
      <w:marTop w:val="0"/>
      <w:marBottom w:val="0"/>
      <w:divBdr>
        <w:top w:val="none" w:sz="0" w:space="0" w:color="auto"/>
        <w:left w:val="none" w:sz="0" w:space="0" w:color="auto"/>
        <w:bottom w:val="none" w:sz="0" w:space="0" w:color="auto"/>
        <w:right w:val="none" w:sz="0" w:space="0" w:color="auto"/>
      </w:divBdr>
    </w:div>
    <w:div w:id="229735070">
      <w:bodyDiv w:val="1"/>
      <w:marLeft w:val="0"/>
      <w:marRight w:val="0"/>
      <w:marTop w:val="0"/>
      <w:marBottom w:val="0"/>
      <w:divBdr>
        <w:top w:val="none" w:sz="0" w:space="0" w:color="auto"/>
        <w:left w:val="none" w:sz="0" w:space="0" w:color="auto"/>
        <w:bottom w:val="none" w:sz="0" w:space="0" w:color="auto"/>
        <w:right w:val="none" w:sz="0" w:space="0" w:color="auto"/>
      </w:divBdr>
    </w:div>
    <w:div w:id="249192842">
      <w:bodyDiv w:val="1"/>
      <w:marLeft w:val="0"/>
      <w:marRight w:val="0"/>
      <w:marTop w:val="0"/>
      <w:marBottom w:val="0"/>
      <w:divBdr>
        <w:top w:val="none" w:sz="0" w:space="0" w:color="auto"/>
        <w:left w:val="none" w:sz="0" w:space="0" w:color="auto"/>
        <w:bottom w:val="none" w:sz="0" w:space="0" w:color="auto"/>
        <w:right w:val="none" w:sz="0" w:space="0" w:color="auto"/>
      </w:divBdr>
    </w:div>
    <w:div w:id="280306616">
      <w:bodyDiv w:val="1"/>
      <w:marLeft w:val="0"/>
      <w:marRight w:val="0"/>
      <w:marTop w:val="0"/>
      <w:marBottom w:val="0"/>
      <w:divBdr>
        <w:top w:val="none" w:sz="0" w:space="0" w:color="auto"/>
        <w:left w:val="none" w:sz="0" w:space="0" w:color="auto"/>
        <w:bottom w:val="none" w:sz="0" w:space="0" w:color="auto"/>
        <w:right w:val="none" w:sz="0" w:space="0" w:color="auto"/>
      </w:divBdr>
      <w:divsChild>
        <w:div w:id="921449643">
          <w:marLeft w:val="0"/>
          <w:marRight w:val="0"/>
          <w:marTop w:val="0"/>
          <w:marBottom w:val="0"/>
          <w:divBdr>
            <w:top w:val="none" w:sz="0" w:space="0" w:color="auto"/>
            <w:left w:val="none" w:sz="0" w:space="0" w:color="auto"/>
            <w:bottom w:val="none" w:sz="0" w:space="0" w:color="auto"/>
            <w:right w:val="none" w:sz="0" w:space="0" w:color="auto"/>
          </w:divBdr>
        </w:div>
      </w:divsChild>
    </w:div>
    <w:div w:id="329531022">
      <w:bodyDiv w:val="1"/>
      <w:marLeft w:val="0"/>
      <w:marRight w:val="0"/>
      <w:marTop w:val="0"/>
      <w:marBottom w:val="0"/>
      <w:divBdr>
        <w:top w:val="none" w:sz="0" w:space="0" w:color="auto"/>
        <w:left w:val="none" w:sz="0" w:space="0" w:color="auto"/>
        <w:bottom w:val="none" w:sz="0" w:space="0" w:color="auto"/>
        <w:right w:val="none" w:sz="0" w:space="0" w:color="auto"/>
      </w:divBdr>
    </w:div>
    <w:div w:id="458107930">
      <w:bodyDiv w:val="1"/>
      <w:marLeft w:val="0"/>
      <w:marRight w:val="0"/>
      <w:marTop w:val="0"/>
      <w:marBottom w:val="0"/>
      <w:divBdr>
        <w:top w:val="none" w:sz="0" w:space="0" w:color="auto"/>
        <w:left w:val="none" w:sz="0" w:space="0" w:color="auto"/>
        <w:bottom w:val="none" w:sz="0" w:space="0" w:color="auto"/>
        <w:right w:val="none" w:sz="0" w:space="0" w:color="auto"/>
      </w:divBdr>
    </w:div>
    <w:div w:id="491608231">
      <w:bodyDiv w:val="1"/>
      <w:marLeft w:val="0"/>
      <w:marRight w:val="0"/>
      <w:marTop w:val="0"/>
      <w:marBottom w:val="0"/>
      <w:divBdr>
        <w:top w:val="none" w:sz="0" w:space="0" w:color="auto"/>
        <w:left w:val="none" w:sz="0" w:space="0" w:color="auto"/>
        <w:bottom w:val="none" w:sz="0" w:space="0" w:color="auto"/>
        <w:right w:val="none" w:sz="0" w:space="0" w:color="auto"/>
      </w:divBdr>
    </w:div>
    <w:div w:id="534657646">
      <w:bodyDiv w:val="1"/>
      <w:marLeft w:val="0"/>
      <w:marRight w:val="0"/>
      <w:marTop w:val="0"/>
      <w:marBottom w:val="0"/>
      <w:divBdr>
        <w:top w:val="none" w:sz="0" w:space="0" w:color="auto"/>
        <w:left w:val="none" w:sz="0" w:space="0" w:color="auto"/>
        <w:bottom w:val="none" w:sz="0" w:space="0" w:color="auto"/>
        <w:right w:val="none" w:sz="0" w:space="0" w:color="auto"/>
      </w:divBdr>
    </w:div>
    <w:div w:id="560991733">
      <w:bodyDiv w:val="1"/>
      <w:marLeft w:val="0"/>
      <w:marRight w:val="0"/>
      <w:marTop w:val="0"/>
      <w:marBottom w:val="0"/>
      <w:divBdr>
        <w:top w:val="none" w:sz="0" w:space="0" w:color="auto"/>
        <w:left w:val="none" w:sz="0" w:space="0" w:color="auto"/>
        <w:bottom w:val="none" w:sz="0" w:space="0" w:color="auto"/>
        <w:right w:val="none" w:sz="0" w:space="0" w:color="auto"/>
      </w:divBdr>
    </w:div>
    <w:div w:id="589124054">
      <w:bodyDiv w:val="1"/>
      <w:marLeft w:val="0"/>
      <w:marRight w:val="0"/>
      <w:marTop w:val="0"/>
      <w:marBottom w:val="0"/>
      <w:divBdr>
        <w:top w:val="none" w:sz="0" w:space="0" w:color="auto"/>
        <w:left w:val="none" w:sz="0" w:space="0" w:color="auto"/>
        <w:bottom w:val="none" w:sz="0" w:space="0" w:color="auto"/>
        <w:right w:val="none" w:sz="0" w:space="0" w:color="auto"/>
      </w:divBdr>
    </w:div>
    <w:div w:id="623510503">
      <w:bodyDiv w:val="1"/>
      <w:marLeft w:val="0"/>
      <w:marRight w:val="0"/>
      <w:marTop w:val="0"/>
      <w:marBottom w:val="0"/>
      <w:divBdr>
        <w:top w:val="none" w:sz="0" w:space="0" w:color="auto"/>
        <w:left w:val="none" w:sz="0" w:space="0" w:color="auto"/>
        <w:bottom w:val="none" w:sz="0" w:space="0" w:color="auto"/>
        <w:right w:val="none" w:sz="0" w:space="0" w:color="auto"/>
      </w:divBdr>
    </w:div>
    <w:div w:id="677852107">
      <w:bodyDiv w:val="1"/>
      <w:marLeft w:val="0"/>
      <w:marRight w:val="0"/>
      <w:marTop w:val="0"/>
      <w:marBottom w:val="0"/>
      <w:divBdr>
        <w:top w:val="none" w:sz="0" w:space="0" w:color="auto"/>
        <w:left w:val="none" w:sz="0" w:space="0" w:color="auto"/>
        <w:bottom w:val="none" w:sz="0" w:space="0" w:color="auto"/>
        <w:right w:val="none" w:sz="0" w:space="0" w:color="auto"/>
      </w:divBdr>
    </w:div>
    <w:div w:id="689989760">
      <w:bodyDiv w:val="1"/>
      <w:marLeft w:val="0"/>
      <w:marRight w:val="0"/>
      <w:marTop w:val="0"/>
      <w:marBottom w:val="0"/>
      <w:divBdr>
        <w:top w:val="none" w:sz="0" w:space="0" w:color="auto"/>
        <w:left w:val="none" w:sz="0" w:space="0" w:color="auto"/>
        <w:bottom w:val="none" w:sz="0" w:space="0" w:color="auto"/>
        <w:right w:val="none" w:sz="0" w:space="0" w:color="auto"/>
      </w:divBdr>
    </w:div>
    <w:div w:id="695080530">
      <w:bodyDiv w:val="1"/>
      <w:marLeft w:val="0"/>
      <w:marRight w:val="0"/>
      <w:marTop w:val="0"/>
      <w:marBottom w:val="0"/>
      <w:divBdr>
        <w:top w:val="none" w:sz="0" w:space="0" w:color="auto"/>
        <w:left w:val="none" w:sz="0" w:space="0" w:color="auto"/>
        <w:bottom w:val="none" w:sz="0" w:space="0" w:color="auto"/>
        <w:right w:val="none" w:sz="0" w:space="0" w:color="auto"/>
      </w:divBdr>
    </w:div>
    <w:div w:id="719280356">
      <w:bodyDiv w:val="1"/>
      <w:marLeft w:val="0"/>
      <w:marRight w:val="0"/>
      <w:marTop w:val="0"/>
      <w:marBottom w:val="0"/>
      <w:divBdr>
        <w:top w:val="none" w:sz="0" w:space="0" w:color="auto"/>
        <w:left w:val="none" w:sz="0" w:space="0" w:color="auto"/>
        <w:bottom w:val="none" w:sz="0" w:space="0" w:color="auto"/>
        <w:right w:val="none" w:sz="0" w:space="0" w:color="auto"/>
      </w:divBdr>
    </w:div>
    <w:div w:id="751128063">
      <w:bodyDiv w:val="1"/>
      <w:marLeft w:val="0"/>
      <w:marRight w:val="0"/>
      <w:marTop w:val="0"/>
      <w:marBottom w:val="0"/>
      <w:divBdr>
        <w:top w:val="none" w:sz="0" w:space="0" w:color="auto"/>
        <w:left w:val="none" w:sz="0" w:space="0" w:color="auto"/>
        <w:bottom w:val="none" w:sz="0" w:space="0" w:color="auto"/>
        <w:right w:val="none" w:sz="0" w:space="0" w:color="auto"/>
      </w:divBdr>
    </w:div>
    <w:div w:id="882669541">
      <w:bodyDiv w:val="1"/>
      <w:marLeft w:val="0"/>
      <w:marRight w:val="0"/>
      <w:marTop w:val="0"/>
      <w:marBottom w:val="0"/>
      <w:divBdr>
        <w:top w:val="none" w:sz="0" w:space="0" w:color="auto"/>
        <w:left w:val="none" w:sz="0" w:space="0" w:color="auto"/>
        <w:bottom w:val="none" w:sz="0" w:space="0" w:color="auto"/>
        <w:right w:val="none" w:sz="0" w:space="0" w:color="auto"/>
      </w:divBdr>
    </w:div>
    <w:div w:id="945965298">
      <w:bodyDiv w:val="1"/>
      <w:marLeft w:val="0"/>
      <w:marRight w:val="0"/>
      <w:marTop w:val="0"/>
      <w:marBottom w:val="0"/>
      <w:divBdr>
        <w:top w:val="none" w:sz="0" w:space="0" w:color="auto"/>
        <w:left w:val="none" w:sz="0" w:space="0" w:color="auto"/>
        <w:bottom w:val="none" w:sz="0" w:space="0" w:color="auto"/>
        <w:right w:val="none" w:sz="0" w:space="0" w:color="auto"/>
      </w:divBdr>
    </w:div>
    <w:div w:id="963849465">
      <w:bodyDiv w:val="1"/>
      <w:marLeft w:val="0"/>
      <w:marRight w:val="0"/>
      <w:marTop w:val="0"/>
      <w:marBottom w:val="0"/>
      <w:divBdr>
        <w:top w:val="none" w:sz="0" w:space="0" w:color="auto"/>
        <w:left w:val="none" w:sz="0" w:space="0" w:color="auto"/>
        <w:bottom w:val="none" w:sz="0" w:space="0" w:color="auto"/>
        <w:right w:val="none" w:sz="0" w:space="0" w:color="auto"/>
      </w:divBdr>
    </w:div>
    <w:div w:id="964506182">
      <w:bodyDiv w:val="1"/>
      <w:marLeft w:val="0"/>
      <w:marRight w:val="0"/>
      <w:marTop w:val="0"/>
      <w:marBottom w:val="0"/>
      <w:divBdr>
        <w:top w:val="none" w:sz="0" w:space="0" w:color="auto"/>
        <w:left w:val="none" w:sz="0" w:space="0" w:color="auto"/>
        <w:bottom w:val="none" w:sz="0" w:space="0" w:color="auto"/>
        <w:right w:val="none" w:sz="0" w:space="0" w:color="auto"/>
      </w:divBdr>
    </w:div>
    <w:div w:id="968820175">
      <w:bodyDiv w:val="1"/>
      <w:marLeft w:val="0"/>
      <w:marRight w:val="0"/>
      <w:marTop w:val="0"/>
      <w:marBottom w:val="0"/>
      <w:divBdr>
        <w:top w:val="none" w:sz="0" w:space="0" w:color="auto"/>
        <w:left w:val="none" w:sz="0" w:space="0" w:color="auto"/>
        <w:bottom w:val="none" w:sz="0" w:space="0" w:color="auto"/>
        <w:right w:val="none" w:sz="0" w:space="0" w:color="auto"/>
      </w:divBdr>
    </w:div>
    <w:div w:id="1024818395">
      <w:bodyDiv w:val="1"/>
      <w:marLeft w:val="0"/>
      <w:marRight w:val="0"/>
      <w:marTop w:val="0"/>
      <w:marBottom w:val="0"/>
      <w:divBdr>
        <w:top w:val="none" w:sz="0" w:space="0" w:color="auto"/>
        <w:left w:val="none" w:sz="0" w:space="0" w:color="auto"/>
        <w:bottom w:val="none" w:sz="0" w:space="0" w:color="auto"/>
        <w:right w:val="none" w:sz="0" w:space="0" w:color="auto"/>
      </w:divBdr>
    </w:div>
    <w:div w:id="1042442348">
      <w:bodyDiv w:val="1"/>
      <w:marLeft w:val="0"/>
      <w:marRight w:val="0"/>
      <w:marTop w:val="0"/>
      <w:marBottom w:val="0"/>
      <w:divBdr>
        <w:top w:val="none" w:sz="0" w:space="0" w:color="auto"/>
        <w:left w:val="none" w:sz="0" w:space="0" w:color="auto"/>
        <w:bottom w:val="none" w:sz="0" w:space="0" w:color="auto"/>
        <w:right w:val="none" w:sz="0" w:space="0" w:color="auto"/>
      </w:divBdr>
    </w:div>
    <w:div w:id="1060637142">
      <w:bodyDiv w:val="1"/>
      <w:marLeft w:val="0"/>
      <w:marRight w:val="0"/>
      <w:marTop w:val="0"/>
      <w:marBottom w:val="0"/>
      <w:divBdr>
        <w:top w:val="none" w:sz="0" w:space="0" w:color="auto"/>
        <w:left w:val="none" w:sz="0" w:space="0" w:color="auto"/>
        <w:bottom w:val="none" w:sz="0" w:space="0" w:color="auto"/>
        <w:right w:val="none" w:sz="0" w:space="0" w:color="auto"/>
      </w:divBdr>
    </w:div>
    <w:div w:id="1073771518">
      <w:bodyDiv w:val="1"/>
      <w:marLeft w:val="0"/>
      <w:marRight w:val="0"/>
      <w:marTop w:val="0"/>
      <w:marBottom w:val="0"/>
      <w:divBdr>
        <w:top w:val="none" w:sz="0" w:space="0" w:color="auto"/>
        <w:left w:val="none" w:sz="0" w:space="0" w:color="auto"/>
        <w:bottom w:val="none" w:sz="0" w:space="0" w:color="auto"/>
        <w:right w:val="none" w:sz="0" w:space="0" w:color="auto"/>
      </w:divBdr>
      <w:divsChild>
        <w:div w:id="1718310039">
          <w:marLeft w:val="0"/>
          <w:marRight w:val="0"/>
          <w:marTop w:val="0"/>
          <w:marBottom w:val="0"/>
          <w:divBdr>
            <w:top w:val="none" w:sz="0" w:space="0" w:color="auto"/>
            <w:left w:val="none" w:sz="0" w:space="0" w:color="auto"/>
            <w:bottom w:val="none" w:sz="0" w:space="0" w:color="auto"/>
            <w:right w:val="none" w:sz="0" w:space="0" w:color="auto"/>
          </w:divBdr>
        </w:div>
      </w:divsChild>
    </w:div>
    <w:div w:id="1100443028">
      <w:bodyDiv w:val="1"/>
      <w:marLeft w:val="0"/>
      <w:marRight w:val="0"/>
      <w:marTop w:val="0"/>
      <w:marBottom w:val="0"/>
      <w:divBdr>
        <w:top w:val="none" w:sz="0" w:space="0" w:color="auto"/>
        <w:left w:val="none" w:sz="0" w:space="0" w:color="auto"/>
        <w:bottom w:val="none" w:sz="0" w:space="0" w:color="auto"/>
        <w:right w:val="none" w:sz="0" w:space="0" w:color="auto"/>
      </w:divBdr>
    </w:div>
    <w:div w:id="1114250389">
      <w:bodyDiv w:val="1"/>
      <w:marLeft w:val="0"/>
      <w:marRight w:val="0"/>
      <w:marTop w:val="0"/>
      <w:marBottom w:val="0"/>
      <w:divBdr>
        <w:top w:val="none" w:sz="0" w:space="0" w:color="auto"/>
        <w:left w:val="none" w:sz="0" w:space="0" w:color="auto"/>
        <w:bottom w:val="none" w:sz="0" w:space="0" w:color="auto"/>
        <w:right w:val="none" w:sz="0" w:space="0" w:color="auto"/>
      </w:divBdr>
    </w:div>
    <w:div w:id="1119186496">
      <w:bodyDiv w:val="1"/>
      <w:marLeft w:val="0"/>
      <w:marRight w:val="0"/>
      <w:marTop w:val="0"/>
      <w:marBottom w:val="0"/>
      <w:divBdr>
        <w:top w:val="none" w:sz="0" w:space="0" w:color="auto"/>
        <w:left w:val="none" w:sz="0" w:space="0" w:color="auto"/>
        <w:bottom w:val="none" w:sz="0" w:space="0" w:color="auto"/>
        <w:right w:val="none" w:sz="0" w:space="0" w:color="auto"/>
      </w:divBdr>
    </w:div>
    <w:div w:id="1133013857">
      <w:bodyDiv w:val="1"/>
      <w:marLeft w:val="0"/>
      <w:marRight w:val="0"/>
      <w:marTop w:val="0"/>
      <w:marBottom w:val="0"/>
      <w:divBdr>
        <w:top w:val="none" w:sz="0" w:space="0" w:color="auto"/>
        <w:left w:val="none" w:sz="0" w:space="0" w:color="auto"/>
        <w:bottom w:val="none" w:sz="0" w:space="0" w:color="auto"/>
        <w:right w:val="none" w:sz="0" w:space="0" w:color="auto"/>
      </w:divBdr>
    </w:div>
    <w:div w:id="1159224404">
      <w:bodyDiv w:val="1"/>
      <w:marLeft w:val="0"/>
      <w:marRight w:val="0"/>
      <w:marTop w:val="0"/>
      <w:marBottom w:val="0"/>
      <w:divBdr>
        <w:top w:val="none" w:sz="0" w:space="0" w:color="auto"/>
        <w:left w:val="none" w:sz="0" w:space="0" w:color="auto"/>
        <w:bottom w:val="none" w:sz="0" w:space="0" w:color="auto"/>
        <w:right w:val="none" w:sz="0" w:space="0" w:color="auto"/>
      </w:divBdr>
    </w:div>
    <w:div w:id="1195575639">
      <w:bodyDiv w:val="1"/>
      <w:marLeft w:val="0"/>
      <w:marRight w:val="0"/>
      <w:marTop w:val="0"/>
      <w:marBottom w:val="0"/>
      <w:divBdr>
        <w:top w:val="none" w:sz="0" w:space="0" w:color="auto"/>
        <w:left w:val="none" w:sz="0" w:space="0" w:color="auto"/>
        <w:bottom w:val="none" w:sz="0" w:space="0" w:color="auto"/>
        <w:right w:val="none" w:sz="0" w:space="0" w:color="auto"/>
      </w:divBdr>
    </w:div>
    <w:div w:id="1262252856">
      <w:bodyDiv w:val="1"/>
      <w:marLeft w:val="0"/>
      <w:marRight w:val="0"/>
      <w:marTop w:val="0"/>
      <w:marBottom w:val="0"/>
      <w:divBdr>
        <w:top w:val="none" w:sz="0" w:space="0" w:color="auto"/>
        <w:left w:val="none" w:sz="0" w:space="0" w:color="auto"/>
        <w:bottom w:val="none" w:sz="0" w:space="0" w:color="auto"/>
        <w:right w:val="none" w:sz="0" w:space="0" w:color="auto"/>
      </w:divBdr>
    </w:div>
    <w:div w:id="1274362948">
      <w:bodyDiv w:val="1"/>
      <w:marLeft w:val="0"/>
      <w:marRight w:val="0"/>
      <w:marTop w:val="0"/>
      <w:marBottom w:val="0"/>
      <w:divBdr>
        <w:top w:val="none" w:sz="0" w:space="0" w:color="auto"/>
        <w:left w:val="none" w:sz="0" w:space="0" w:color="auto"/>
        <w:bottom w:val="none" w:sz="0" w:space="0" w:color="auto"/>
        <w:right w:val="none" w:sz="0" w:space="0" w:color="auto"/>
      </w:divBdr>
    </w:div>
    <w:div w:id="1322192981">
      <w:bodyDiv w:val="1"/>
      <w:marLeft w:val="0"/>
      <w:marRight w:val="0"/>
      <w:marTop w:val="0"/>
      <w:marBottom w:val="0"/>
      <w:divBdr>
        <w:top w:val="none" w:sz="0" w:space="0" w:color="auto"/>
        <w:left w:val="none" w:sz="0" w:space="0" w:color="auto"/>
        <w:bottom w:val="none" w:sz="0" w:space="0" w:color="auto"/>
        <w:right w:val="none" w:sz="0" w:space="0" w:color="auto"/>
      </w:divBdr>
    </w:div>
    <w:div w:id="1344282014">
      <w:bodyDiv w:val="1"/>
      <w:marLeft w:val="0"/>
      <w:marRight w:val="0"/>
      <w:marTop w:val="0"/>
      <w:marBottom w:val="0"/>
      <w:divBdr>
        <w:top w:val="none" w:sz="0" w:space="0" w:color="auto"/>
        <w:left w:val="none" w:sz="0" w:space="0" w:color="auto"/>
        <w:bottom w:val="none" w:sz="0" w:space="0" w:color="auto"/>
        <w:right w:val="none" w:sz="0" w:space="0" w:color="auto"/>
      </w:divBdr>
    </w:div>
    <w:div w:id="1458067554">
      <w:bodyDiv w:val="1"/>
      <w:marLeft w:val="0"/>
      <w:marRight w:val="0"/>
      <w:marTop w:val="0"/>
      <w:marBottom w:val="0"/>
      <w:divBdr>
        <w:top w:val="none" w:sz="0" w:space="0" w:color="auto"/>
        <w:left w:val="none" w:sz="0" w:space="0" w:color="auto"/>
        <w:bottom w:val="none" w:sz="0" w:space="0" w:color="auto"/>
        <w:right w:val="none" w:sz="0" w:space="0" w:color="auto"/>
      </w:divBdr>
    </w:div>
    <w:div w:id="1487161616">
      <w:bodyDiv w:val="1"/>
      <w:marLeft w:val="0"/>
      <w:marRight w:val="0"/>
      <w:marTop w:val="0"/>
      <w:marBottom w:val="0"/>
      <w:divBdr>
        <w:top w:val="none" w:sz="0" w:space="0" w:color="auto"/>
        <w:left w:val="none" w:sz="0" w:space="0" w:color="auto"/>
        <w:bottom w:val="none" w:sz="0" w:space="0" w:color="auto"/>
        <w:right w:val="none" w:sz="0" w:space="0" w:color="auto"/>
      </w:divBdr>
    </w:div>
    <w:div w:id="1488084115">
      <w:bodyDiv w:val="1"/>
      <w:marLeft w:val="0"/>
      <w:marRight w:val="0"/>
      <w:marTop w:val="0"/>
      <w:marBottom w:val="0"/>
      <w:divBdr>
        <w:top w:val="none" w:sz="0" w:space="0" w:color="auto"/>
        <w:left w:val="none" w:sz="0" w:space="0" w:color="auto"/>
        <w:bottom w:val="none" w:sz="0" w:space="0" w:color="auto"/>
        <w:right w:val="none" w:sz="0" w:space="0" w:color="auto"/>
      </w:divBdr>
    </w:div>
    <w:div w:id="1493523797">
      <w:bodyDiv w:val="1"/>
      <w:marLeft w:val="0"/>
      <w:marRight w:val="0"/>
      <w:marTop w:val="0"/>
      <w:marBottom w:val="0"/>
      <w:divBdr>
        <w:top w:val="none" w:sz="0" w:space="0" w:color="auto"/>
        <w:left w:val="none" w:sz="0" w:space="0" w:color="auto"/>
        <w:bottom w:val="none" w:sz="0" w:space="0" w:color="auto"/>
        <w:right w:val="none" w:sz="0" w:space="0" w:color="auto"/>
      </w:divBdr>
    </w:div>
    <w:div w:id="1530140797">
      <w:bodyDiv w:val="1"/>
      <w:marLeft w:val="0"/>
      <w:marRight w:val="0"/>
      <w:marTop w:val="0"/>
      <w:marBottom w:val="0"/>
      <w:divBdr>
        <w:top w:val="none" w:sz="0" w:space="0" w:color="auto"/>
        <w:left w:val="none" w:sz="0" w:space="0" w:color="auto"/>
        <w:bottom w:val="none" w:sz="0" w:space="0" w:color="auto"/>
        <w:right w:val="none" w:sz="0" w:space="0" w:color="auto"/>
      </w:divBdr>
      <w:divsChild>
        <w:div w:id="1711487953">
          <w:marLeft w:val="0"/>
          <w:marRight w:val="0"/>
          <w:marTop w:val="0"/>
          <w:marBottom w:val="0"/>
          <w:divBdr>
            <w:top w:val="none" w:sz="0" w:space="0" w:color="auto"/>
            <w:left w:val="none" w:sz="0" w:space="0" w:color="auto"/>
            <w:bottom w:val="none" w:sz="0" w:space="0" w:color="auto"/>
            <w:right w:val="none" w:sz="0" w:space="0" w:color="auto"/>
          </w:divBdr>
          <w:divsChild>
            <w:div w:id="415636141">
              <w:marLeft w:val="0"/>
              <w:marRight w:val="0"/>
              <w:marTop w:val="0"/>
              <w:marBottom w:val="0"/>
              <w:divBdr>
                <w:top w:val="none" w:sz="0" w:space="0" w:color="auto"/>
                <w:left w:val="none" w:sz="0" w:space="0" w:color="auto"/>
                <w:bottom w:val="none" w:sz="0" w:space="0" w:color="auto"/>
                <w:right w:val="none" w:sz="0" w:space="0" w:color="auto"/>
              </w:divBdr>
              <w:divsChild>
                <w:div w:id="2056464287">
                  <w:marLeft w:val="0"/>
                  <w:marRight w:val="0"/>
                  <w:marTop w:val="0"/>
                  <w:marBottom w:val="0"/>
                  <w:divBdr>
                    <w:top w:val="none" w:sz="0" w:space="0" w:color="auto"/>
                    <w:left w:val="none" w:sz="0" w:space="0" w:color="auto"/>
                    <w:bottom w:val="none" w:sz="0" w:space="0" w:color="auto"/>
                    <w:right w:val="none" w:sz="0" w:space="0" w:color="auto"/>
                  </w:divBdr>
                  <w:divsChild>
                    <w:div w:id="949361599">
                      <w:marLeft w:val="0"/>
                      <w:marRight w:val="0"/>
                      <w:marTop w:val="0"/>
                      <w:marBottom w:val="0"/>
                      <w:divBdr>
                        <w:top w:val="none" w:sz="0" w:space="0" w:color="auto"/>
                        <w:left w:val="none" w:sz="0" w:space="0" w:color="auto"/>
                        <w:bottom w:val="none" w:sz="0" w:space="0" w:color="auto"/>
                        <w:right w:val="none" w:sz="0" w:space="0" w:color="auto"/>
                      </w:divBdr>
                      <w:divsChild>
                        <w:div w:id="1108433157">
                          <w:marLeft w:val="0"/>
                          <w:marRight w:val="0"/>
                          <w:marTop w:val="0"/>
                          <w:marBottom w:val="0"/>
                          <w:divBdr>
                            <w:top w:val="single" w:sz="4" w:space="0" w:color="828282"/>
                            <w:left w:val="single" w:sz="4" w:space="0" w:color="828282"/>
                            <w:bottom w:val="single" w:sz="4" w:space="0" w:color="828282"/>
                            <w:right w:val="single" w:sz="4" w:space="0" w:color="828282"/>
                          </w:divBdr>
                          <w:divsChild>
                            <w:div w:id="1840461916">
                              <w:marLeft w:val="0"/>
                              <w:marRight w:val="0"/>
                              <w:marTop w:val="0"/>
                              <w:marBottom w:val="0"/>
                              <w:divBdr>
                                <w:top w:val="none" w:sz="0" w:space="0" w:color="auto"/>
                                <w:left w:val="none" w:sz="0" w:space="0" w:color="auto"/>
                                <w:bottom w:val="none" w:sz="0" w:space="0" w:color="auto"/>
                                <w:right w:val="none" w:sz="0" w:space="0" w:color="auto"/>
                              </w:divBdr>
                              <w:divsChild>
                                <w:div w:id="1010647471">
                                  <w:marLeft w:val="0"/>
                                  <w:marRight w:val="0"/>
                                  <w:marTop w:val="0"/>
                                  <w:marBottom w:val="0"/>
                                  <w:divBdr>
                                    <w:top w:val="none" w:sz="0" w:space="0" w:color="auto"/>
                                    <w:left w:val="none" w:sz="0" w:space="0" w:color="auto"/>
                                    <w:bottom w:val="none" w:sz="0" w:space="0" w:color="auto"/>
                                    <w:right w:val="none" w:sz="0" w:space="0" w:color="auto"/>
                                  </w:divBdr>
                                  <w:divsChild>
                                    <w:div w:id="2068608547">
                                      <w:marLeft w:val="0"/>
                                      <w:marRight w:val="0"/>
                                      <w:marTop w:val="0"/>
                                      <w:marBottom w:val="0"/>
                                      <w:divBdr>
                                        <w:top w:val="none" w:sz="0" w:space="0" w:color="auto"/>
                                        <w:left w:val="none" w:sz="0" w:space="0" w:color="auto"/>
                                        <w:bottom w:val="none" w:sz="0" w:space="0" w:color="auto"/>
                                        <w:right w:val="none" w:sz="0" w:space="0" w:color="auto"/>
                                      </w:divBdr>
                                      <w:divsChild>
                                        <w:div w:id="348793702">
                                          <w:marLeft w:val="0"/>
                                          <w:marRight w:val="0"/>
                                          <w:marTop w:val="0"/>
                                          <w:marBottom w:val="0"/>
                                          <w:divBdr>
                                            <w:top w:val="none" w:sz="0" w:space="0" w:color="auto"/>
                                            <w:left w:val="none" w:sz="0" w:space="0" w:color="auto"/>
                                            <w:bottom w:val="none" w:sz="0" w:space="0" w:color="auto"/>
                                            <w:right w:val="none" w:sz="0" w:space="0" w:color="auto"/>
                                          </w:divBdr>
                                          <w:divsChild>
                                            <w:div w:id="1819297197">
                                              <w:marLeft w:val="0"/>
                                              <w:marRight w:val="0"/>
                                              <w:marTop w:val="0"/>
                                              <w:marBottom w:val="0"/>
                                              <w:divBdr>
                                                <w:top w:val="none" w:sz="0" w:space="0" w:color="auto"/>
                                                <w:left w:val="none" w:sz="0" w:space="0" w:color="auto"/>
                                                <w:bottom w:val="none" w:sz="0" w:space="0" w:color="auto"/>
                                                <w:right w:val="none" w:sz="0" w:space="0" w:color="auto"/>
                                              </w:divBdr>
                                              <w:divsChild>
                                                <w:div w:id="1372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1674453">
      <w:bodyDiv w:val="1"/>
      <w:marLeft w:val="0"/>
      <w:marRight w:val="0"/>
      <w:marTop w:val="0"/>
      <w:marBottom w:val="0"/>
      <w:divBdr>
        <w:top w:val="none" w:sz="0" w:space="0" w:color="auto"/>
        <w:left w:val="none" w:sz="0" w:space="0" w:color="auto"/>
        <w:bottom w:val="none" w:sz="0" w:space="0" w:color="auto"/>
        <w:right w:val="none" w:sz="0" w:space="0" w:color="auto"/>
      </w:divBdr>
    </w:div>
    <w:div w:id="1592201487">
      <w:bodyDiv w:val="1"/>
      <w:marLeft w:val="0"/>
      <w:marRight w:val="0"/>
      <w:marTop w:val="0"/>
      <w:marBottom w:val="0"/>
      <w:divBdr>
        <w:top w:val="none" w:sz="0" w:space="0" w:color="auto"/>
        <w:left w:val="none" w:sz="0" w:space="0" w:color="auto"/>
        <w:bottom w:val="none" w:sz="0" w:space="0" w:color="auto"/>
        <w:right w:val="none" w:sz="0" w:space="0" w:color="auto"/>
      </w:divBdr>
    </w:div>
    <w:div w:id="1598365742">
      <w:bodyDiv w:val="1"/>
      <w:marLeft w:val="0"/>
      <w:marRight w:val="0"/>
      <w:marTop w:val="0"/>
      <w:marBottom w:val="0"/>
      <w:divBdr>
        <w:top w:val="none" w:sz="0" w:space="0" w:color="auto"/>
        <w:left w:val="none" w:sz="0" w:space="0" w:color="auto"/>
        <w:bottom w:val="none" w:sz="0" w:space="0" w:color="auto"/>
        <w:right w:val="none" w:sz="0" w:space="0" w:color="auto"/>
      </w:divBdr>
    </w:div>
    <w:div w:id="1662613801">
      <w:bodyDiv w:val="1"/>
      <w:marLeft w:val="0"/>
      <w:marRight w:val="0"/>
      <w:marTop w:val="0"/>
      <w:marBottom w:val="0"/>
      <w:divBdr>
        <w:top w:val="none" w:sz="0" w:space="0" w:color="auto"/>
        <w:left w:val="none" w:sz="0" w:space="0" w:color="auto"/>
        <w:bottom w:val="none" w:sz="0" w:space="0" w:color="auto"/>
        <w:right w:val="none" w:sz="0" w:space="0" w:color="auto"/>
      </w:divBdr>
    </w:div>
    <w:div w:id="1674649681">
      <w:bodyDiv w:val="1"/>
      <w:marLeft w:val="0"/>
      <w:marRight w:val="0"/>
      <w:marTop w:val="0"/>
      <w:marBottom w:val="0"/>
      <w:divBdr>
        <w:top w:val="none" w:sz="0" w:space="0" w:color="auto"/>
        <w:left w:val="none" w:sz="0" w:space="0" w:color="auto"/>
        <w:bottom w:val="none" w:sz="0" w:space="0" w:color="auto"/>
        <w:right w:val="none" w:sz="0" w:space="0" w:color="auto"/>
      </w:divBdr>
    </w:div>
    <w:div w:id="1712608555">
      <w:bodyDiv w:val="1"/>
      <w:marLeft w:val="0"/>
      <w:marRight w:val="0"/>
      <w:marTop w:val="0"/>
      <w:marBottom w:val="0"/>
      <w:divBdr>
        <w:top w:val="none" w:sz="0" w:space="0" w:color="auto"/>
        <w:left w:val="none" w:sz="0" w:space="0" w:color="auto"/>
        <w:bottom w:val="none" w:sz="0" w:space="0" w:color="auto"/>
        <w:right w:val="none" w:sz="0" w:space="0" w:color="auto"/>
      </w:divBdr>
    </w:div>
    <w:div w:id="1719359182">
      <w:bodyDiv w:val="1"/>
      <w:marLeft w:val="0"/>
      <w:marRight w:val="0"/>
      <w:marTop w:val="0"/>
      <w:marBottom w:val="0"/>
      <w:divBdr>
        <w:top w:val="none" w:sz="0" w:space="0" w:color="auto"/>
        <w:left w:val="none" w:sz="0" w:space="0" w:color="auto"/>
        <w:bottom w:val="none" w:sz="0" w:space="0" w:color="auto"/>
        <w:right w:val="none" w:sz="0" w:space="0" w:color="auto"/>
      </w:divBdr>
    </w:div>
    <w:div w:id="1726372547">
      <w:bodyDiv w:val="1"/>
      <w:marLeft w:val="0"/>
      <w:marRight w:val="0"/>
      <w:marTop w:val="0"/>
      <w:marBottom w:val="0"/>
      <w:divBdr>
        <w:top w:val="none" w:sz="0" w:space="0" w:color="auto"/>
        <w:left w:val="none" w:sz="0" w:space="0" w:color="auto"/>
        <w:bottom w:val="none" w:sz="0" w:space="0" w:color="auto"/>
        <w:right w:val="none" w:sz="0" w:space="0" w:color="auto"/>
      </w:divBdr>
    </w:div>
    <w:div w:id="1734499165">
      <w:bodyDiv w:val="1"/>
      <w:marLeft w:val="0"/>
      <w:marRight w:val="0"/>
      <w:marTop w:val="0"/>
      <w:marBottom w:val="0"/>
      <w:divBdr>
        <w:top w:val="none" w:sz="0" w:space="0" w:color="auto"/>
        <w:left w:val="none" w:sz="0" w:space="0" w:color="auto"/>
        <w:bottom w:val="none" w:sz="0" w:space="0" w:color="auto"/>
        <w:right w:val="none" w:sz="0" w:space="0" w:color="auto"/>
      </w:divBdr>
    </w:div>
    <w:div w:id="1770589470">
      <w:bodyDiv w:val="1"/>
      <w:marLeft w:val="0"/>
      <w:marRight w:val="0"/>
      <w:marTop w:val="0"/>
      <w:marBottom w:val="0"/>
      <w:divBdr>
        <w:top w:val="none" w:sz="0" w:space="0" w:color="auto"/>
        <w:left w:val="none" w:sz="0" w:space="0" w:color="auto"/>
        <w:bottom w:val="none" w:sz="0" w:space="0" w:color="auto"/>
        <w:right w:val="none" w:sz="0" w:space="0" w:color="auto"/>
      </w:divBdr>
    </w:div>
    <w:div w:id="1864780078">
      <w:bodyDiv w:val="1"/>
      <w:marLeft w:val="0"/>
      <w:marRight w:val="0"/>
      <w:marTop w:val="0"/>
      <w:marBottom w:val="0"/>
      <w:divBdr>
        <w:top w:val="none" w:sz="0" w:space="0" w:color="auto"/>
        <w:left w:val="none" w:sz="0" w:space="0" w:color="auto"/>
        <w:bottom w:val="none" w:sz="0" w:space="0" w:color="auto"/>
        <w:right w:val="none" w:sz="0" w:space="0" w:color="auto"/>
      </w:divBdr>
    </w:div>
    <w:div w:id="1886523323">
      <w:bodyDiv w:val="1"/>
      <w:marLeft w:val="0"/>
      <w:marRight w:val="0"/>
      <w:marTop w:val="0"/>
      <w:marBottom w:val="0"/>
      <w:divBdr>
        <w:top w:val="none" w:sz="0" w:space="0" w:color="auto"/>
        <w:left w:val="none" w:sz="0" w:space="0" w:color="auto"/>
        <w:bottom w:val="none" w:sz="0" w:space="0" w:color="auto"/>
        <w:right w:val="none" w:sz="0" w:space="0" w:color="auto"/>
      </w:divBdr>
    </w:div>
    <w:div w:id="1941988598">
      <w:bodyDiv w:val="1"/>
      <w:marLeft w:val="0"/>
      <w:marRight w:val="0"/>
      <w:marTop w:val="0"/>
      <w:marBottom w:val="0"/>
      <w:divBdr>
        <w:top w:val="none" w:sz="0" w:space="0" w:color="auto"/>
        <w:left w:val="none" w:sz="0" w:space="0" w:color="auto"/>
        <w:bottom w:val="none" w:sz="0" w:space="0" w:color="auto"/>
        <w:right w:val="none" w:sz="0" w:space="0" w:color="auto"/>
      </w:divBdr>
    </w:div>
    <w:div w:id="1944218247">
      <w:bodyDiv w:val="1"/>
      <w:marLeft w:val="0"/>
      <w:marRight w:val="0"/>
      <w:marTop w:val="0"/>
      <w:marBottom w:val="0"/>
      <w:divBdr>
        <w:top w:val="none" w:sz="0" w:space="0" w:color="auto"/>
        <w:left w:val="none" w:sz="0" w:space="0" w:color="auto"/>
        <w:bottom w:val="none" w:sz="0" w:space="0" w:color="auto"/>
        <w:right w:val="none" w:sz="0" w:space="0" w:color="auto"/>
      </w:divBdr>
    </w:div>
    <w:div w:id="1967352865">
      <w:bodyDiv w:val="1"/>
      <w:marLeft w:val="0"/>
      <w:marRight w:val="0"/>
      <w:marTop w:val="0"/>
      <w:marBottom w:val="0"/>
      <w:divBdr>
        <w:top w:val="none" w:sz="0" w:space="0" w:color="auto"/>
        <w:left w:val="none" w:sz="0" w:space="0" w:color="auto"/>
        <w:bottom w:val="none" w:sz="0" w:space="0" w:color="auto"/>
        <w:right w:val="none" w:sz="0" w:space="0" w:color="auto"/>
      </w:divBdr>
    </w:div>
    <w:div w:id="207300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footer" Target="footer10.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eader" Target="header10.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header" Target="header17.xml"/><Relationship Id="rId45"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yperlink" Target="http://www.act.gov.au/accounting" TargetMode="Externa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yperlink" Target="https://apps.treasury.act.gov.au/accounting"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footer" Target="footer7.xml"/><Relationship Id="rId43" Type="http://schemas.openxmlformats.org/officeDocument/2006/relationships/footer" Target="footer1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6C38B0B53726438DBD435BD47E4541" ma:contentTypeVersion="0" ma:contentTypeDescription="Create a new document." ma:contentTypeScope="" ma:versionID="2a5c338f351633089c667d822728f48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79480E-4370-4EAD-9EE1-8077351D1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9C54562-BB2F-4E59-A870-B75834CD0DC1}">
  <ds:schemaRefs>
    <ds:schemaRef ds:uri="http://schemas.microsoft.com/sharepoint/v3/contenttype/forms"/>
  </ds:schemaRefs>
</ds:datastoreItem>
</file>

<file path=customXml/itemProps3.xml><?xml version="1.0" encoding="utf-8"?>
<ds:datastoreItem xmlns:ds="http://schemas.openxmlformats.org/officeDocument/2006/customXml" ds:itemID="{72ED8BC4-CB19-4F19-805B-0412ECE28D5D}">
  <ds:schemaRefs>
    <ds:schemaRef ds:uri="http://schemas.openxmlformats.org/officeDocument/2006/bibliography"/>
  </ds:schemaRefs>
</ds:datastoreItem>
</file>

<file path=customXml/itemProps4.xml><?xml version="1.0" encoding="utf-8"?>
<ds:datastoreItem xmlns:ds="http://schemas.openxmlformats.org/officeDocument/2006/customXml" ds:itemID="{25517517-51AD-4A0A-8AAE-97E416799927}">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http://purl.org/dc/elements/1.1/"/>
    <ds:schemaRef ds:uri="http://purl.org/dc/dcmitype/"/>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77484</Words>
  <Characters>441664</Characters>
  <Application>Microsoft Office Word</Application>
  <DocSecurity>0</DocSecurity>
  <Lines>3680</Lines>
  <Paragraphs>1036</Paragraphs>
  <ScaleCrop>false</ScaleCrop>
  <HeadingPairs>
    <vt:vector size="2" baseType="variant">
      <vt:variant>
        <vt:lpstr>Title</vt:lpstr>
      </vt:variant>
      <vt:variant>
        <vt:i4>1</vt:i4>
      </vt:variant>
    </vt:vector>
  </HeadingPairs>
  <TitlesOfParts>
    <vt:vector size="1" baseType="lpstr">
      <vt:lpstr>Model Financial Statements 2021-22</vt:lpstr>
    </vt:vector>
  </TitlesOfParts>
  <Company>ACT Government</Company>
  <LinksUpToDate>false</LinksUpToDate>
  <CharactersWithSpaces>518112</CharactersWithSpaces>
  <SharedDoc>false</SharedDoc>
  <HLinks>
    <vt:vector size="792" baseType="variant">
      <vt:variant>
        <vt:i4>5439568</vt:i4>
      </vt:variant>
      <vt:variant>
        <vt:i4>939</vt:i4>
      </vt:variant>
      <vt:variant>
        <vt:i4>0</vt:i4>
      </vt:variant>
      <vt:variant>
        <vt:i4>5</vt:i4>
      </vt:variant>
      <vt:variant>
        <vt:lpwstr>http://apps.treasury.act.gov.au/publications</vt:lpwstr>
      </vt:variant>
      <vt:variant>
        <vt:lpwstr/>
      </vt:variant>
      <vt:variant>
        <vt:i4>5439568</vt:i4>
      </vt:variant>
      <vt:variant>
        <vt:i4>936</vt:i4>
      </vt:variant>
      <vt:variant>
        <vt:i4>0</vt:i4>
      </vt:variant>
      <vt:variant>
        <vt:i4>5</vt:i4>
      </vt:variant>
      <vt:variant>
        <vt:lpwstr>http://apps.treasury.act.gov.au/publications</vt:lpwstr>
      </vt:variant>
      <vt:variant>
        <vt:lpwstr/>
      </vt:variant>
      <vt:variant>
        <vt:i4>5439568</vt:i4>
      </vt:variant>
      <vt:variant>
        <vt:i4>933</vt:i4>
      </vt:variant>
      <vt:variant>
        <vt:i4>0</vt:i4>
      </vt:variant>
      <vt:variant>
        <vt:i4>5</vt:i4>
      </vt:variant>
      <vt:variant>
        <vt:lpwstr>http://apps.treasury.act.gov.au/publications</vt:lpwstr>
      </vt:variant>
      <vt:variant>
        <vt:lpwstr/>
      </vt:variant>
      <vt:variant>
        <vt:i4>852036</vt:i4>
      </vt:variant>
      <vt:variant>
        <vt:i4>765</vt:i4>
      </vt:variant>
      <vt:variant>
        <vt:i4>0</vt:i4>
      </vt:variant>
      <vt:variant>
        <vt:i4>5</vt:i4>
      </vt:variant>
      <vt:variant>
        <vt:lpwstr>http://www.act.gov.au/accounting</vt:lpwstr>
      </vt:variant>
      <vt:variant>
        <vt:lpwstr/>
      </vt:variant>
      <vt:variant>
        <vt:i4>852036</vt:i4>
      </vt:variant>
      <vt:variant>
        <vt:i4>762</vt:i4>
      </vt:variant>
      <vt:variant>
        <vt:i4>0</vt:i4>
      </vt:variant>
      <vt:variant>
        <vt:i4>5</vt:i4>
      </vt:variant>
      <vt:variant>
        <vt:lpwstr>http://www.act.gov.au/accounting</vt:lpwstr>
      </vt:variant>
      <vt:variant>
        <vt:lpwstr/>
      </vt:variant>
      <vt:variant>
        <vt:i4>1769523</vt:i4>
      </vt:variant>
      <vt:variant>
        <vt:i4>755</vt:i4>
      </vt:variant>
      <vt:variant>
        <vt:i4>0</vt:i4>
      </vt:variant>
      <vt:variant>
        <vt:i4>5</vt:i4>
      </vt:variant>
      <vt:variant>
        <vt:lpwstr/>
      </vt:variant>
      <vt:variant>
        <vt:lpwstr>_Toc506992976</vt:lpwstr>
      </vt:variant>
      <vt:variant>
        <vt:i4>1769523</vt:i4>
      </vt:variant>
      <vt:variant>
        <vt:i4>749</vt:i4>
      </vt:variant>
      <vt:variant>
        <vt:i4>0</vt:i4>
      </vt:variant>
      <vt:variant>
        <vt:i4>5</vt:i4>
      </vt:variant>
      <vt:variant>
        <vt:lpwstr/>
      </vt:variant>
      <vt:variant>
        <vt:lpwstr>_Toc506992975</vt:lpwstr>
      </vt:variant>
      <vt:variant>
        <vt:i4>1769523</vt:i4>
      </vt:variant>
      <vt:variant>
        <vt:i4>743</vt:i4>
      </vt:variant>
      <vt:variant>
        <vt:i4>0</vt:i4>
      </vt:variant>
      <vt:variant>
        <vt:i4>5</vt:i4>
      </vt:variant>
      <vt:variant>
        <vt:lpwstr/>
      </vt:variant>
      <vt:variant>
        <vt:lpwstr>_Toc506992974</vt:lpwstr>
      </vt:variant>
      <vt:variant>
        <vt:i4>1769523</vt:i4>
      </vt:variant>
      <vt:variant>
        <vt:i4>737</vt:i4>
      </vt:variant>
      <vt:variant>
        <vt:i4>0</vt:i4>
      </vt:variant>
      <vt:variant>
        <vt:i4>5</vt:i4>
      </vt:variant>
      <vt:variant>
        <vt:lpwstr/>
      </vt:variant>
      <vt:variant>
        <vt:lpwstr>_Toc506992973</vt:lpwstr>
      </vt:variant>
      <vt:variant>
        <vt:i4>1769523</vt:i4>
      </vt:variant>
      <vt:variant>
        <vt:i4>731</vt:i4>
      </vt:variant>
      <vt:variant>
        <vt:i4>0</vt:i4>
      </vt:variant>
      <vt:variant>
        <vt:i4>5</vt:i4>
      </vt:variant>
      <vt:variant>
        <vt:lpwstr/>
      </vt:variant>
      <vt:variant>
        <vt:lpwstr>_Toc506992972</vt:lpwstr>
      </vt:variant>
      <vt:variant>
        <vt:i4>1769523</vt:i4>
      </vt:variant>
      <vt:variant>
        <vt:i4>725</vt:i4>
      </vt:variant>
      <vt:variant>
        <vt:i4>0</vt:i4>
      </vt:variant>
      <vt:variant>
        <vt:i4>5</vt:i4>
      </vt:variant>
      <vt:variant>
        <vt:lpwstr/>
      </vt:variant>
      <vt:variant>
        <vt:lpwstr>_Toc506992971</vt:lpwstr>
      </vt:variant>
      <vt:variant>
        <vt:i4>1769523</vt:i4>
      </vt:variant>
      <vt:variant>
        <vt:i4>719</vt:i4>
      </vt:variant>
      <vt:variant>
        <vt:i4>0</vt:i4>
      </vt:variant>
      <vt:variant>
        <vt:i4>5</vt:i4>
      </vt:variant>
      <vt:variant>
        <vt:lpwstr/>
      </vt:variant>
      <vt:variant>
        <vt:lpwstr>_Toc506992970</vt:lpwstr>
      </vt:variant>
      <vt:variant>
        <vt:i4>1703987</vt:i4>
      </vt:variant>
      <vt:variant>
        <vt:i4>713</vt:i4>
      </vt:variant>
      <vt:variant>
        <vt:i4>0</vt:i4>
      </vt:variant>
      <vt:variant>
        <vt:i4>5</vt:i4>
      </vt:variant>
      <vt:variant>
        <vt:lpwstr/>
      </vt:variant>
      <vt:variant>
        <vt:lpwstr>_Toc506992969</vt:lpwstr>
      </vt:variant>
      <vt:variant>
        <vt:i4>1703987</vt:i4>
      </vt:variant>
      <vt:variant>
        <vt:i4>707</vt:i4>
      </vt:variant>
      <vt:variant>
        <vt:i4>0</vt:i4>
      </vt:variant>
      <vt:variant>
        <vt:i4>5</vt:i4>
      </vt:variant>
      <vt:variant>
        <vt:lpwstr/>
      </vt:variant>
      <vt:variant>
        <vt:lpwstr>_Toc506992968</vt:lpwstr>
      </vt:variant>
      <vt:variant>
        <vt:i4>1703987</vt:i4>
      </vt:variant>
      <vt:variant>
        <vt:i4>701</vt:i4>
      </vt:variant>
      <vt:variant>
        <vt:i4>0</vt:i4>
      </vt:variant>
      <vt:variant>
        <vt:i4>5</vt:i4>
      </vt:variant>
      <vt:variant>
        <vt:lpwstr/>
      </vt:variant>
      <vt:variant>
        <vt:lpwstr>_Toc506992967</vt:lpwstr>
      </vt:variant>
      <vt:variant>
        <vt:i4>1703987</vt:i4>
      </vt:variant>
      <vt:variant>
        <vt:i4>695</vt:i4>
      </vt:variant>
      <vt:variant>
        <vt:i4>0</vt:i4>
      </vt:variant>
      <vt:variant>
        <vt:i4>5</vt:i4>
      </vt:variant>
      <vt:variant>
        <vt:lpwstr/>
      </vt:variant>
      <vt:variant>
        <vt:lpwstr>_Toc506992966</vt:lpwstr>
      </vt:variant>
      <vt:variant>
        <vt:i4>1703987</vt:i4>
      </vt:variant>
      <vt:variant>
        <vt:i4>689</vt:i4>
      </vt:variant>
      <vt:variant>
        <vt:i4>0</vt:i4>
      </vt:variant>
      <vt:variant>
        <vt:i4>5</vt:i4>
      </vt:variant>
      <vt:variant>
        <vt:lpwstr/>
      </vt:variant>
      <vt:variant>
        <vt:lpwstr>_Toc506992965</vt:lpwstr>
      </vt:variant>
      <vt:variant>
        <vt:i4>1703987</vt:i4>
      </vt:variant>
      <vt:variant>
        <vt:i4>683</vt:i4>
      </vt:variant>
      <vt:variant>
        <vt:i4>0</vt:i4>
      </vt:variant>
      <vt:variant>
        <vt:i4>5</vt:i4>
      </vt:variant>
      <vt:variant>
        <vt:lpwstr/>
      </vt:variant>
      <vt:variant>
        <vt:lpwstr>_Toc506992964</vt:lpwstr>
      </vt:variant>
      <vt:variant>
        <vt:i4>1703987</vt:i4>
      </vt:variant>
      <vt:variant>
        <vt:i4>677</vt:i4>
      </vt:variant>
      <vt:variant>
        <vt:i4>0</vt:i4>
      </vt:variant>
      <vt:variant>
        <vt:i4>5</vt:i4>
      </vt:variant>
      <vt:variant>
        <vt:lpwstr/>
      </vt:variant>
      <vt:variant>
        <vt:lpwstr>_Toc506992963</vt:lpwstr>
      </vt:variant>
      <vt:variant>
        <vt:i4>1703987</vt:i4>
      </vt:variant>
      <vt:variant>
        <vt:i4>671</vt:i4>
      </vt:variant>
      <vt:variant>
        <vt:i4>0</vt:i4>
      </vt:variant>
      <vt:variant>
        <vt:i4>5</vt:i4>
      </vt:variant>
      <vt:variant>
        <vt:lpwstr/>
      </vt:variant>
      <vt:variant>
        <vt:lpwstr>_Toc506992962</vt:lpwstr>
      </vt:variant>
      <vt:variant>
        <vt:i4>1703987</vt:i4>
      </vt:variant>
      <vt:variant>
        <vt:i4>665</vt:i4>
      </vt:variant>
      <vt:variant>
        <vt:i4>0</vt:i4>
      </vt:variant>
      <vt:variant>
        <vt:i4>5</vt:i4>
      </vt:variant>
      <vt:variant>
        <vt:lpwstr/>
      </vt:variant>
      <vt:variant>
        <vt:lpwstr>_Toc506992961</vt:lpwstr>
      </vt:variant>
      <vt:variant>
        <vt:i4>1703987</vt:i4>
      </vt:variant>
      <vt:variant>
        <vt:i4>659</vt:i4>
      </vt:variant>
      <vt:variant>
        <vt:i4>0</vt:i4>
      </vt:variant>
      <vt:variant>
        <vt:i4>5</vt:i4>
      </vt:variant>
      <vt:variant>
        <vt:lpwstr/>
      </vt:variant>
      <vt:variant>
        <vt:lpwstr>_Toc506992960</vt:lpwstr>
      </vt:variant>
      <vt:variant>
        <vt:i4>1638451</vt:i4>
      </vt:variant>
      <vt:variant>
        <vt:i4>653</vt:i4>
      </vt:variant>
      <vt:variant>
        <vt:i4>0</vt:i4>
      </vt:variant>
      <vt:variant>
        <vt:i4>5</vt:i4>
      </vt:variant>
      <vt:variant>
        <vt:lpwstr/>
      </vt:variant>
      <vt:variant>
        <vt:lpwstr>_Toc506992959</vt:lpwstr>
      </vt:variant>
      <vt:variant>
        <vt:i4>1638451</vt:i4>
      </vt:variant>
      <vt:variant>
        <vt:i4>647</vt:i4>
      </vt:variant>
      <vt:variant>
        <vt:i4>0</vt:i4>
      </vt:variant>
      <vt:variant>
        <vt:i4>5</vt:i4>
      </vt:variant>
      <vt:variant>
        <vt:lpwstr/>
      </vt:variant>
      <vt:variant>
        <vt:lpwstr>_Toc506992958</vt:lpwstr>
      </vt:variant>
      <vt:variant>
        <vt:i4>1638451</vt:i4>
      </vt:variant>
      <vt:variant>
        <vt:i4>641</vt:i4>
      </vt:variant>
      <vt:variant>
        <vt:i4>0</vt:i4>
      </vt:variant>
      <vt:variant>
        <vt:i4>5</vt:i4>
      </vt:variant>
      <vt:variant>
        <vt:lpwstr/>
      </vt:variant>
      <vt:variant>
        <vt:lpwstr>_Toc506992957</vt:lpwstr>
      </vt:variant>
      <vt:variant>
        <vt:i4>1638451</vt:i4>
      </vt:variant>
      <vt:variant>
        <vt:i4>635</vt:i4>
      </vt:variant>
      <vt:variant>
        <vt:i4>0</vt:i4>
      </vt:variant>
      <vt:variant>
        <vt:i4>5</vt:i4>
      </vt:variant>
      <vt:variant>
        <vt:lpwstr/>
      </vt:variant>
      <vt:variant>
        <vt:lpwstr>_Toc506992956</vt:lpwstr>
      </vt:variant>
      <vt:variant>
        <vt:i4>1638451</vt:i4>
      </vt:variant>
      <vt:variant>
        <vt:i4>629</vt:i4>
      </vt:variant>
      <vt:variant>
        <vt:i4>0</vt:i4>
      </vt:variant>
      <vt:variant>
        <vt:i4>5</vt:i4>
      </vt:variant>
      <vt:variant>
        <vt:lpwstr/>
      </vt:variant>
      <vt:variant>
        <vt:lpwstr>_Toc506992955</vt:lpwstr>
      </vt:variant>
      <vt:variant>
        <vt:i4>1638451</vt:i4>
      </vt:variant>
      <vt:variant>
        <vt:i4>623</vt:i4>
      </vt:variant>
      <vt:variant>
        <vt:i4>0</vt:i4>
      </vt:variant>
      <vt:variant>
        <vt:i4>5</vt:i4>
      </vt:variant>
      <vt:variant>
        <vt:lpwstr/>
      </vt:variant>
      <vt:variant>
        <vt:lpwstr>_Toc506992954</vt:lpwstr>
      </vt:variant>
      <vt:variant>
        <vt:i4>1638451</vt:i4>
      </vt:variant>
      <vt:variant>
        <vt:i4>617</vt:i4>
      </vt:variant>
      <vt:variant>
        <vt:i4>0</vt:i4>
      </vt:variant>
      <vt:variant>
        <vt:i4>5</vt:i4>
      </vt:variant>
      <vt:variant>
        <vt:lpwstr/>
      </vt:variant>
      <vt:variant>
        <vt:lpwstr>_Toc506992953</vt:lpwstr>
      </vt:variant>
      <vt:variant>
        <vt:i4>1638451</vt:i4>
      </vt:variant>
      <vt:variant>
        <vt:i4>611</vt:i4>
      </vt:variant>
      <vt:variant>
        <vt:i4>0</vt:i4>
      </vt:variant>
      <vt:variant>
        <vt:i4>5</vt:i4>
      </vt:variant>
      <vt:variant>
        <vt:lpwstr/>
      </vt:variant>
      <vt:variant>
        <vt:lpwstr>_Toc506992952</vt:lpwstr>
      </vt:variant>
      <vt:variant>
        <vt:i4>1638451</vt:i4>
      </vt:variant>
      <vt:variant>
        <vt:i4>605</vt:i4>
      </vt:variant>
      <vt:variant>
        <vt:i4>0</vt:i4>
      </vt:variant>
      <vt:variant>
        <vt:i4>5</vt:i4>
      </vt:variant>
      <vt:variant>
        <vt:lpwstr/>
      </vt:variant>
      <vt:variant>
        <vt:lpwstr>_Toc506992951</vt:lpwstr>
      </vt:variant>
      <vt:variant>
        <vt:i4>1638451</vt:i4>
      </vt:variant>
      <vt:variant>
        <vt:i4>599</vt:i4>
      </vt:variant>
      <vt:variant>
        <vt:i4>0</vt:i4>
      </vt:variant>
      <vt:variant>
        <vt:i4>5</vt:i4>
      </vt:variant>
      <vt:variant>
        <vt:lpwstr/>
      </vt:variant>
      <vt:variant>
        <vt:lpwstr>_Toc506992950</vt:lpwstr>
      </vt:variant>
      <vt:variant>
        <vt:i4>1572915</vt:i4>
      </vt:variant>
      <vt:variant>
        <vt:i4>593</vt:i4>
      </vt:variant>
      <vt:variant>
        <vt:i4>0</vt:i4>
      </vt:variant>
      <vt:variant>
        <vt:i4>5</vt:i4>
      </vt:variant>
      <vt:variant>
        <vt:lpwstr/>
      </vt:variant>
      <vt:variant>
        <vt:lpwstr>_Toc506992949</vt:lpwstr>
      </vt:variant>
      <vt:variant>
        <vt:i4>1572915</vt:i4>
      </vt:variant>
      <vt:variant>
        <vt:i4>587</vt:i4>
      </vt:variant>
      <vt:variant>
        <vt:i4>0</vt:i4>
      </vt:variant>
      <vt:variant>
        <vt:i4>5</vt:i4>
      </vt:variant>
      <vt:variant>
        <vt:lpwstr/>
      </vt:variant>
      <vt:variant>
        <vt:lpwstr>_Toc506992948</vt:lpwstr>
      </vt:variant>
      <vt:variant>
        <vt:i4>1572915</vt:i4>
      </vt:variant>
      <vt:variant>
        <vt:i4>581</vt:i4>
      </vt:variant>
      <vt:variant>
        <vt:i4>0</vt:i4>
      </vt:variant>
      <vt:variant>
        <vt:i4>5</vt:i4>
      </vt:variant>
      <vt:variant>
        <vt:lpwstr/>
      </vt:variant>
      <vt:variant>
        <vt:lpwstr>_Toc506992947</vt:lpwstr>
      </vt:variant>
      <vt:variant>
        <vt:i4>1572915</vt:i4>
      </vt:variant>
      <vt:variant>
        <vt:i4>575</vt:i4>
      </vt:variant>
      <vt:variant>
        <vt:i4>0</vt:i4>
      </vt:variant>
      <vt:variant>
        <vt:i4>5</vt:i4>
      </vt:variant>
      <vt:variant>
        <vt:lpwstr/>
      </vt:variant>
      <vt:variant>
        <vt:lpwstr>_Toc506992946</vt:lpwstr>
      </vt:variant>
      <vt:variant>
        <vt:i4>1572915</vt:i4>
      </vt:variant>
      <vt:variant>
        <vt:i4>569</vt:i4>
      </vt:variant>
      <vt:variant>
        <vt:i4>0</vt:i4>
      </vt:variant>
      <vt:variant>
        <vt:i4>5</vt:i4>
      </vt:variant>
      <vt:variant>
        <vt:lpwstr/>
      </vt:variant>
      <vt:variant>
        <vt:lpwstr>_Toc506992945</vt:lpwstr>
      </vt:variant>
      <vt:variant>
        <vt:i4>1572915</vt:i4>
      </vt:variant>
      <vt:variant>
        <vt:i4>563</vt:i4>
      </vt:variant>
      <vt:variant>
        <vt:i4>0</vt:i4>
      </vt:variant>
      <vt:variant>
        <vt:i4>5</vt:i4>
      </vt:variant>
      <vt:variant>
        <vt:lpwstr/>
      </vt:variant>
      <vt:variant>
        <vt:lpwstr>_Toc506992944</vt:lpwstr>
      </vt:variant>
      <vt:variant>
        <vt:i4>1572915</vt:i4>
      </vt:variant>
      <vt:variant>
        <vt:i4>557</vt:i4>
      </vt:variant>
      <vt:variant>
        <vt:i4>0</vt:i4>
      </vt:variant>
      <vt:variant>
        <vt:i4>5</vt:i4>
      </vt:variant>
      <vt:variant>
        <vt:lpwstr/>
      </vt:variant>
      <vt:variant>
        <vt:lpwstr>_Toc506992943</vt:lpwstr>
      </vt:variant>
      <vt:variant>
        <vt:i4>1572915</vt:i4>
      </vt:variant>
      <vt:variant>
        <vt:i4>551</vt:i4>
      </vt:variant>
      <vt:variant>
        <vt:i4>0</vt:i4>
      </vt:variant>
      <vt:variant>
        <vt:i4>5</vt:i4>
      </vt:variant>
      <vt:variant>
        <vt:lpwstr/>
      </vt:variant>
      <vt:variant>
        <vt:lpwstr>_Toc506992942</vt:lpwstr>
      </vt:variant>
      <vt:variant>
        <vt:i4>1572915</vt:i4>
      </vt:variant>
      <vt:variant>
        <vt:i4>545</vt:i4>
      </vt:variant>
      <vt:variant>
        <vt:i4>0</vt:i4>
      </vt:variant>
      <vt:variant>
        <vt:i4>5</vt:i4>
      </vt:variant>
      <vt:variant>
        <vt:lpwstr/>
      </vt:variant>
      <vt:variant>
        <vt:lpwstr>_Toc506992941</vt:lpwstr>
      </vt:variant>
      <vt:variant>
        <vt:i4>1572915</vt:i4>
      </vt:variant>
      <vt:variant>
        <vt:i4>539</vt:i4>
      </vt:variant>
      <vt:variant>
        <vt:i4>0</vt:i4>
      </vt:variant>
      <vt:variant>
        <vt:i4>5</vt:i4>
      </vt:variant>
      <vt:variant>
        <vt:lpwstr/>
      </vt:variant>
      <vt:variant>
        <vt:lpwstr>_Toc506992940</vt:lpwstr>
      </vt:variant>
      <vt:variant>
        <vt:i4>2031667</vt:i4>
      </vt:variant>
      <vt:variant>
        <vt:i4>533</vt:i4>
      </vt:variant>
      <vt:variant>
        <vt:i4>0</vt:i4>
      </vt:variant>
      <vt:variant>
        <vt:i4>5</vt:i4>
      </vt:variant>
      <vt:variant>
        <vt:lpwstr/>
      </vt:variant>
      <vt:variant>
        <vt:lpwstr>_Toc506992939</vt:lpwstr>
      </vt:variant>
      <vt:variant>
        <vt:i4>2031667</vt:i4>
      </vt:variant>
      <vt:variant>
        <vt:i4>527</vt:i4>
      </vt:variant>
      <vt:variant>
        <vt:i4>0</vt:i4>
      </vt:variant>
      <vt:variant>
        <vt:i4>5</vt:i4>
      </vt:variant>
      <vt:variant>
        <vt:lpwstr/>
      </vt:variant>
      <vt:variant>
        <vt:lpwstr>_Toc506992938</vt:lpwstr>
      </vt:variant>
      <vt:variant>
        <vt:i4>2031667</vt:i4>
      </vt:variant>
      <vt:variant>
        <vt:i4>521</vt:i4>
      </vt:variant>
      <vt:variant>
        <vt:i4>0</vt:i4>
      </vt:variant>
      <vt:variant>
        <vt:i4>5</vt:i4>
      </vt:variant>
      <vt:variant>
        <vt:lpwstr/>
      </vt:variant>
      <vt:variant>
        <vt:lpwstr>_Toc506992937</vt:lpwstr>
      </vt:variant>
      <vt:variant>
        <vt:i4>2031667</vt:i4>
      </vt:variant>
      <vt:variant>
        <vt:i4>515</vt:i4>
      </vt:variant>
      <vt:variant>
        <vt:i4>0</vt:i4>
      </vt:variant>
      <vt:variant>
        <vt:i4>5</vt:i4>
      </vt:variant>
      <vt:variant>
        <vt:lpwstr/>
      </vt:variant>
      <vt:variant>
        <vt:lpwstr>_Toc506992936</vt:lpwstr>
      </vt:variant>
      <vt:variant>
        <vt:i4>2031667</vt:i4>
      </vt:variant>
      <vt:variant>
        <vt:i4>509</vt:i4>
      </vt:variant>
      <vt:variant>
        <vt:i4>0</vt:i4>
      </vt:variant>
      <vt:variant>
        <vt:i4>5</vt:i4>
      </vt:variant>
      <vt:variant>
        <vt:lpwstr/>
      </vt:variant>
      <vt:variant>
        <vt:lpwstr>_Toc506992935</vt:lpwstr>
      </vt:variant>
      <vt:variant>
        <vt:i4>2031667</vt:i4>
      </vt:variant>
      <vt:variant>
        <vt:i4>503</vt:i4>
      </vt:variant>
      <vt:variant>
        <vt:i4>0</vt:i4>
      </vt:variant>
      <vt:variant>
        <vt:i4>5</vt:i4>
      </vt:variant>
      <vt:variant>
        <vt:lpwstr/>
      </vt:variant>
      <vt:variant>
        <vt:lpwstr>_Toc506992934</vt:lpwstr>
      </vt:variant>
      <vt:variant>
        <vt:i4>2031667</vt:i4>
      </vt:variant>
      <vt:variant>
        <vt:i4>497</vt:i4>
      </vt:variant>
      <vt:variant>
        <vt:i4>0</vt:i4>
      </vt:variant>
      <vt:variant>
        <vt:i4>5</vt:i4>
      </vt:variant>
      <vt:variant>
        <vt:lpwstr/>
      </vt:variant>
      <vt:variant>
        <vt:lpwstr>_Toc506992933</vt:lpwstr>
      </vt:variant>
      <vt:variant>
        <vt:i4>2031667</vt:i4>
      </vt:variant>
      <vt:variant>
        <vt:i4>491</vt:i4>
      </vt:variant>
      <vt:variant>
        <vt:i4>0</vt:i4>
      </vt:variant>
      <vt:variant>
        <vt:i4>5</vt:i4>
      </vt:variant>
      <vt:variant>
        <vt:lpwstr/>
      </vt:variant>
      <vt:variant>
        <vt:lpwstr>_Toc506992932</vt:lpwstr>
      </vt:variant>
      <vt:variant>
        <vt:i4>2031667</vt:i4>
      </vt:variant>
      <vt:variant>
        <vt:i4>485</vt:i4>
      </vt:variant>
      <vt:variant>
        <vt:i4>0</vt:i4>
      </vt:variant>
      <vt:variant>
        <vt:i4>5</vt:i4>
      </vt:variant>
      <vt:variant>
        <vt:lpwstr/>
      </vt:variant>
      <vt:variant>
        <vt:lpwstr>_Toc506992931</vt:lpwstr>
      </vt:variant>
      <vt:variant>
        <vt:i4>2031667</vt:i4>
      </vt:variant>
      <vt:variant>
        <vt:i4>479</vt:i4>
      </vt:variant>
      <vt:variant>
        <vt:i4>0</vt:i4>
      </vt:variant>
      <vt:variant>
        <vt:i4>5</vt:i4>
      </vt:variant>
      <vt:variant>
        <vt:lpwstr/>
      </vt:variant>
      <vt:variant>
        <vt:lpwstr>_Toc506992930</vt:lpwstr>
      </vt:variant>
      <vt:variant>
        <vt:i4>1966131</vt:i4>
      </vt:variant>
      <vt:variant>
        <vt:i4>473</vt:i4>
      </vt:variant>
      <vt:variant>
        <vt:i4>0</vt:i4>
      </vt:variant>
      <vt:variant>
        <vt:i4>5</vt:i4>
      </vt:variant>
      <vt:variant>
        <vt:lpwstr/>
      </vt:variant>
      <vt:variant>
        <vt:lpwstr>_Toc506992929</vt:lpwstr>
      </vt:variant>
      <vt:variant>
        <vt:i4>1966131</vt:i4>
      </vt:variant>
      <vt:variant>
        <vt:i4>467</vt:i4>
      </vt:variant>
      <vt:variant>
        <vt:i4>0</vt:i4>
      </vt:variant>
      <vt:variant>
        <vt:i4>5</vt:i4>
      </vt:variant>
      <vt:variant>
        <vt:lpwstr/>
      </vt:variant>
      <vt:variant>
        <vt:lpwstr>_Toc506992928</vt:lpwstr>
      </vt:variant>
      <vt:variant>
        <vt:i4>1966131</vt:i4>
      </vt:variant>
      <vt:variant>
        <vt:i4>461</vt:i4>
      </vt:variant>
      <vt:variant>
        <vt:i4>0</vt:i4>
      </vt:variant>
      <vt:variant>
        <vt:i4>5</vt:i4>
      </vt:variant>
      <vt:variant>
        <vt:lpwstr/>
      </vt:variant>
      <vt:variant>
        <vt:lpwstr>_Toc506992927</vt:lpwstr>
      </vt:variant>
      <vt:variant>
        <vt:i4>1966131</vt:i4>
      </vt:variant>
      <vt:variant>
        <vt:i4>455</vt:i4>
      </vt:variant>
      <vt:variant>
        <vt:i4>0</vt:i4>
      </vt:variant>
      <vt:variant>
        <vt:i4>5</vt:i4>
      </vt:variant>
      <vt:variant>
        <vt:lpwstr/>
      </vt:variant>
      <vt:variant>
        <vt:lpwstr>_Toc506992926</vt:lpwstr>
      </vt:variant>
      <vt:variant>
        <vt:i4>1966131</vt:i4>
      </vt:variant>
      <vt:variant>
        <vt:i4>449</vt:i4>
      </vt:variant>
      <vt:variant>
        <vt:i4>0</vt:i4>
      </vt:variant>
      <vt:variant>
        <vt:i4>5</vt:i4>
      </vt:variant>
      <vt:variant>
        <vt:lpwstr/>
      </vt:variant>
      <vt:variant>
        <vt:lpwstr>_Toc506992925</vt:lpwstr>
      </vt:variant>
      <vt:variant>
        <vt:i4>1966131</vt:i4>
      </vt:variant>
      <vt:variant>
        <vt:i4>443</vt:i4>
      </vt:variant>
      <vt:variant>
        <vt:i4>0</vt:i4>
      </vt:variant>
      <vt:variant>
        <vt:i4>5</vt:i4>
      </vt:variant>
      <vt:variant>
        <vt:lpwstr/>
      </vt:variant>
      <vt:variant>
        <vt:lpwstr>_Toc506992924</vt:lpwstr>
      </vt:variant>
      <vt:variant>
        <vt:i4>1966131</vt:i4>
      </vt:variant>
      <vt:variant>
        <vt:i4>437</vt:i4>
      </vt:variant>
      <vt:variant>
        <vt:i4>0</vt:i4>
      </vt:variant>
      <vt:variant>
        <vt:i4>5</vt:i4>
      </vt:variant>
      <vt:variant>
        <vt:lpwstr/>
      </vt:variant>
      <vt:variant>
        <vt:lpwstr>_Toc506992923</vt:lpwstr>
      </vt:variant>
      <vt:variant>
        <vt:i4>1966131</vt:i4>
      </vt:variant>
      <vt:variant>
        <vt:i4>431</vt:i4>
      </vt:variant>
      <vt:variant>
        <vt:i4>0</vt:i4>
      </vt:variant>
      <vt:variant>
        <vt:i4>5</vt:i4>
      </vt:variant>
      <vt:variant>
        <vt:lpwstr/>
      </vt:variant>
      <vt:variant>
        <vt:lpwstr>_Toc506992922</vt:lpwstr>
      </vt:variant>
      <vt:variant>
        <vt:i4>1966131</vt:i4>
      </vt:variant>
      <vt:variant>
        <vt:i4>425</vt:i4>
      </vt:variant>
      <vt:variant>
        <vt:i4>0</vt:i4>
      </vt:variant>
      <vt:variant>
        <vt:i4>5</vt:i4>
      </vt:variant>
      <vt:variant>
        <vt:lpwstr/>
      </vt:variant>
      <vt:variant>
        <vt:lpwstr>_Toc506992921</vt:lpwstr>
      </vt:variant>
      <vt:variant>
        <vt:i4>1966131</vt:i4>
      </vt:variant>
      <vt:variant>
        <vt:i4>419</vt:i4>
      </vt:variant>
      <vt:variant>
        <vt:i4>0</vt:i4>
      </vt:variant>
      <vt:variant>
        <vt:i4>5</vt:i4>
      </vt:variant>
      <vt:variant>
        <vt:lpwstr/>
      </vt:variant>
      <vt:variant>
        <vt:lpwstr>_Toc506992920</vt:lpwstr>
      </vt:variant>
      <vt:variant>
        <vt:i4>1900595</vt:i4>
      </vt:variant>
      <vt:variant>
        <vt:i4>413</vt:i4>
      </vt:variant>
      <vt:variant>
        <vt:i4>0</vt:i4>
      </vt:variant>
      <vt:variant>
        <vt:i4>5</vt:i4>
      </vt:variant>
      <vt:variant>
        <vt:lpwstr/>
      </vt:variant>
      <vt:variant>
        <vt:lpwstr>_Toc506992919</vt:lpwstr>
      </vt:variant>
      <vt:variant>
        <vt:i4>1900595</vt:i4>
      </vt:variant>
      <vt:variant>
        <vt:i4>407</vt:i4>
      </vt:variant>
      <vt:variant>
        <vt:i4>0</vt:i4>
      </vt:variant>
      <vt:variant>
        <vt:i4>5</vt:i4>
      </vt:variant>
      <vt:variant>
        <vt:lpwstr/>
      </vt:variant>
      <vt:variant>
        <vt:lpwstr>_Toc506992918</vt:lpwstr>
      </vt:variant>
      <vt:variant>
        <vt:i4>1900595</vt:i4>
      </vt:variant>
      <vt:variant>
        <vt:i4>401</vt:i4>
      </vt:variant>
      <vt:variant>
        <vt:i4>0</vt:i4>
      </vt:variant>
      <vt:variant>
        <vt:i4>5</vt:i4>
      </vt:variant>
      <vt:variant>
        <vt:lpwstr/>
      </vt:variant>
      <vt:variant>
        <vt:lpwstr>_Toc506992917</vt:lpwstr>
      </vt:variant>
      <vt:variant>
        <vt:i4>1900595</vt:i4>
      </vt:variant>
      <vt:variant>
        <vt:i4>395</vt:i4>
      </vt:variant>
      <vt:variant>
        <vt:i4>0</vt:i4>
      </vt:variant>
      <vt:variant>
        <vt:i4>5</vt:i4>
      </vt:variant>
      <vt:variant>
        <vt:lpwstr/>
      </vt:variant>
      <vt:variant>
        <vt:lpwstr>_Toc506992916</vt:lpwstr>
      </vt:variant>
      <vt:variant>
        <vt:i4>1900595</vt:i4>
      </vt:variant>
      <vt:variant>
        <vt:i4>389</vt:i4>
      </vt:variant>
      <vt:variant>
        <vt:i4>0</vt:i4>
      </vt:variant>
      <vt:variant>
        <vt:i4>5</vt:i4>
      </vt:variant>
      <vt:variant>
        <vt:lpwstr/>
      </vt:variant>
      <vt:variant>
        <vt:lpwstr>_Toc506992915</vt:lpwstr>
      </vt:variant>
      <vt:variant>
        <vt:i4>1900595</vt:i4>
      </vt:variant>
      <vt:variant>
        <vt:i4>383</vt:i4>
      </vt:variant>
      <vt:variant>
        <vt:i4>0</vt:i4>
      </vt:variant>
      <vt:variant>
        <vt:i4>5</vt:i4>
      </vt:variant>
      <vt:variant>
        <vt:lpwstr/>
      </vt:variant>
      <vt:variant>
        <vt:lpwstr>_Toc506992914</vt:lpwstr>
      </vt:variant>
      <vt:variant>
        <vt:i4>1900595</vt:i4>
      </vt:variant>
      <vt:variant>
        <vt:i4>377</vt:i4>
      </vt:variant>
      <vt:variant>
        <vt:i4>0</vt:i4>
      </vt:variant>
      <vt:variant>
        <vt:i4>5</vt:i4>
      </vt:variant>
      <vt:variant>
        <vt:lpwstr/>
      </vt:variant>
      <vt:variant>
        <vt:lpwstr>_Toc506992913</vt:lpwstr>
      </vt:variant>
      <vt:variant>
        <vt:i4>1900595</vt:i4>
      </vt:variant>
      <vt:variant>
        <vt:i4>371</vt:i4>
      </vt:variant>
      <vt:variant>
        <vt:i4>0</vt:i4>
      </vt:variant>
      <vt:variant>
        <vt:i4>5</vt:i4>
      </vt:variant>
      <vt:variant>
        <vt:lpwstr/>
      </vt:variant>
      <vt:variant>
        <vt:lpwstr>_Toc506992912</vt:lpwstr>
      </vt:variant>
      <vt:variant>
        <vt:i4>1900595</vt:i4>
      </vt:variant>
      <vt:variant>
        <vt:i4>365</vt:i4>
      </vt:variant>
      <vt:variant>
        <vt:i4>0</vt:i4>
      </vt:variant>
      <vt:variant>
        <vt:i4>5</vt:i4>
      </vt:variant>
      <vt:variant>
        <vt:lpwstr/>
      </vt:variant>
      <vt:variant>
        <vt:lpwstr>_Toc506992911</vt:lpwstr>
      </vt:variant>
      <vt:variant>
        <vt:i4>1900595</vt:i4>
      </vt:variant>
      <vt:variant>
        <vt:i4>359</vt:i4>
      </vt:variant>
      <vt:variant>
        <vt:i4>0</vt:i4>
      </vt:variant>
      <vt:variant>
        <vt:i4>5</vt:i4>
      </vt:variant>
      <vt:variant>
        <vt:lpwstr/>
      </vt:variant>
      <vt:variant>
        <vt:lpwstr>_Toc506992910</vt:lpwstr>
      </vt:variant>
      <vt:variant>
        <vt:i4>1835059</vt:i4>
      </vt:variant>
      <vt:variant>
        <vt:i4>353</vt:i4>
      </vt:variant>
      <vt:variant>
        <vt:i4>0</vt:i4>
      </vt:variant>
      <vt:variant>
        <vt:i4>5</vt:i4>
      </vt:variant>
      <vt:variant>
        <vt:lpwstr/>
      </vt:variant>
      <vt:variant>
        <vt:lpwstr>_Toc506992909</vt:lpwstr>
      </vt:variant>
      <vt:variant>
        <vt:i4>1835059</vt:i4>
      </vt:variant>
      <vt:variant>
        <vt:i4>347</vt:i4>
      </vt:variant>
      <vt:variant>
        <vt:i4>0</vt:i4>
      </vt:variant>
      <vt:variant>
        <vt:i4>5</vt:i4>
      </vt:variant>
      <vt:variant>
        <vt:lpwstr/>
      </vt:variant>
      <vt:variant>
        <vt:lpwstr>_Toc506992908</vt:lpwstr>
      </vt:variant>
      <vt:variant>
        <vt:i4>1835059</vt:i4>
      </vt:variant>
      <vt:variant>
        <vt:i4>341</vt:i4>
      </vt:variant>
      <vt:variant>
        <vt:i4>0</vt:i4>
      </vt:variant>
      <vt:variant>
        <vt:i4>5</vt:i4>
      </vt:variant>
      <vt:variant>
        <vt:lpwstr/>
      </vt:variant>
      <vt:variant>
        <vt:lpwstr>_Toc506992907</vt:lpwstr>
      </vt:variant>
      <vt:variant>
        <vt:i4>1835059</vt:i4>
      </vt:variant>
      <vt:variant>
        <vt:i4>335</vt:i4>
      </vt:variant>
      <vt:variant>
        <vt:i4>0</vt:i4>
      </vt:variant>
      <vt:variant>
        <vt:i4>5</vt:i4>
      </vt:variant>
      <vt:variant>
        <vt:lpwstr/>
      </vt:variant>
      <vt:variant>
        <vt:lpwstr>_Toc506992906</vt:lpwstr>
      </vt:variant>
      <vt:variant>
        <vt:i4>1835059</vt:i4>
      </vt:variant>
      <vt:variant>
        <vt:i4>329</vt:i4>
      </vt:variant>
      <vt:variant>
        <vt:i4>0</vt:i4>
      </vt:variant>
      <vt:variant>
        <vt:i4>5</vt:i4>
      </vt:variant>
      <vt:variant>
        <vt:lpwstr/>
      </vt:variant>
      <vt:variant>
        <vt:lpwstr>_Toc506992905</vt:lpwstr>
      </vt:variant>
      <vt:variant>
        <vt:i4>1835059</vt:i4>
      </vt:variant>
      <vt:variant>
        <vt:i4>323</vt:i4>
      </vt:variant>
      <vt:variant>
        <vt:i4>0</vt:i4>
      </vt:variant>
      <vt:variant>
        <vt:i4>5</vt:i4>
      </vt:variant>
      <vt:variant>
        <vt:lpwstr/>
      </vt:variant>
      <vt:variant>
        <vt:lpwstr>_Toc506992904</vt:lpwstr>
      </vt:variant>
      <vt:variant>
        <vt:i4>1835059</vt:i4>
      </vt:variant>
      <vt:variant>
        <vt:i4>317</vt:i4>
      </vt:variant>
      <vt:variant>
        <vt:i4>0</vt:i4>
      </vt:variant>
      <vt:variant>
        <vt:i4>5</vt:i4>
      </vt:variant>
      <vt:variant>
        <vt:lpwstr/>
      </vt:variant>
      <vt:variant>
        <vt:lpwstr>_Toc506992903</vt:lpwstr>
      </vt:variant>
      <vt:variant>
        <vt:i4>1835059</vt:i4>
      </vt:variant>
      <vt:variant>
        <vt:i4>311</vt:i4>
      </vt:variant>
      <vt:variant>
        <vt:i4>0</vt:i4>
      </vt:variant>
      <vt:variant>
        <vt:i4>5</vt:i4>
      </vt:variant>
      <vt:variant>
        <vt:lpwstr/>
      </vt:variant>
      <vt:variant>
        <vt:lpwstr>_Toc506992902</vt:lpwstr>
      </vt:variant>
      <vt:variant>
        <vt:i4>1835059</vt:i4>
      </vt:variant>
      <vt:variant>
        <vt:i4>305</vt:i4>
      </vt:variant>
      <vt:variant>
        <vt:i4>0</vt:i4>
      </vt:variant>
      <vt:variant>
        <vt:i4>5</vt:i4>
      </vt:variant>
      <vt:variant>
        <vt:lpwstr/>
      </vt:variant>
      <vt:variant>
        <vt:lpwstr>_Toc506992901</vt:lpwstr>
      </vt:variant>
      <vt:variant>
        <vt:i4>1835059</vt:i4>
      </vt:variant>
      <vt:variant>
        <vt:i4>299</vt:i4>
      </vt:variant>
      <vt:variant>
        <vt:i4>0</vt:i4>
      </vt:variant>
      <vt:variant>
        <vt:i4>5</vt:i4>
      </vt:variant>
      <vt:variant>
        <vt:lpwstr/>
      </vt:variant>
      <vt:variant>
        <vt:lpwstr>_Toc506992900</vt:lpwstr>
      </vt:variant>
      <vt:variant>
        <vt:i4>1376306</vt:i4>
      </vt:variant>
      <vt:variant>
        <vt:i4>293</vt:i4>
      </vt:variant>
      <vt:variant>
        <vt:i4>0</vt:i4>
      </vt:variant>
      <vt:variant>
        <vt:i4>5</vt:i4>
      </vt:variant>
      <vt:variant>
        <vt:lpwstr/>
      </vt:variant>
      <vt:variant>
        <vt:lpwstr>_Toc506992899</vt:lpwstr>
      </vt:variant>
      <vt:variant>
        <vt:i4>1376306</vt:i4>
      </vt:variant>
      <vt:variant>
        <vt:i4>287</vt:i4>
      </vt:variant>
      <vt:variant>
        <vt:i4>0</vt:i4>
      </vt:variant>
      <vt:variant>
        <vt:i4>5</vt:i4>
      </vt:variant>
      <vt:variant>
        <vt:lpwstr/>
      </vt:variant>
      <vt:variant>
        <vt:lpwstr>_Toc506992898</vt:lpwstr>
      </vt:variant>
      <vt:variant>
        <vt:i4>1376306</vt:i4>
      </vt:variant>
      <vt:variant>
        <vt:i4>281</vt:i4>
      </vt:variant>
      <vt:variant>
        <vt:i4>0</vt:i4>
      </vt:variant>
      <vt:variant>
        <vt:i4>5</vt:i4>
      </vt:variant>
      <vt:variant>
        <vt:lpwstr/>
      </vt:variant>
      <vt:variant>
        <vt:lpwstr>_Toc506992897</vt:lpwstr>
      </vt:variant>
      <vt:variant>
        <vt:i4>1376306</vt:i4>
      </vt:variant>
      <vt:variant>
        <vt:i4>275</vt:i4>
      </vt:variant>
      <vt:variant>
        <vt:i4>0</vt:i4>
      </vt:variant>
      <vt:variant>
        <vt:i4>5</vt:i4>
      </vt:variant>
      <vt:variant>
        <vt:lpwstr/>
      </vt:variant>
      <vt:variant>
        <vt:lpwstr>_Toc506992896</vt:lpwstr>
      </vt:variant>
      <vt:variant>
        <vt:i4>1376306</vt:i4>
      </vt:variant>
      <vt:variant>
        <vt:i4>269</vt:i4>
      </vt:variant>
      <vt:variant>
        <vt:i4>0</vt:i4>
      </vt:variant>
      <vt:variant>
        <vt:i4>5</vt:i4>
      </vt:variant>
      <vt:variant>
        <vt:lpwstr/>
      </vt:variant>
      <vt:variant>
        <vt:lpwstr>_Toc506992895</vt:lpwstr>
      </vt:variant>
      <vt:variant>
        <vt:i4>1376306</vt:i4>
      </vt:variant>
      <vt:variant>
        <vt:i4>263</vt:i4>
      </vt:variant>
      <vt:variant>
        <vt:i4>0</vt:i4>
      </vt:variant>
      <vt:variant>
        <vt:i4>5</vt:i4>
      </vt:variant>
      <vt:variant>
        <vt:lpwstr/>
      </vt:variant>
      <vt:variant>
        <vt:lpwstr>_Toc506992894</vt:lpwstr>
      </vt:variant>
      <vt:variant>
        <vt:i4>1376306</vt:i4>
      </vt:variant>
      <vt:variant>
        <vt:i4>257</vt:i4>
      </vt:variant>
      <vt:variant>
        <vt:i4>0</vt:i4>
      </vt:variant>
      <vt:variant>
        <vt:i4>5</vt:i4>
      </vt:variant>
      <vt:variant>
        <vt:lpwstr/>
      </vt:variant>
      <vt:variant>
        <vt:lpwstr>_Toc506992893</vt:lpwstr>
      </vt:variant>
      <vt:variant>
        <vt:i4>1376306</vt:i4>
      </vt:variant>
      <vt:variant>
        <vt:i4>251</vt:i4>
      </vt:variant>
      <vt:variant>
        <vt:i4>0</vt:i4>
      </vt:variant>
      <vt:variant>
        <vt:i4>5</vt:i4>
      </vt:variant>
      <vt:variant>
        <vt:lpwstr/>
      </vt:variant>
      <vt:variant>
        <vt:lpwstr>_Toc506992892</vt:lpwstr>
      </vt:variant>
      <vt:variant>
        <vt:i4>1376306</vt:i4>
      </vt:variant>
      <vt:variant>
        <vt:i4>245</vt:i4>
      </vt:variant>
      <vt:variant>
        <vt:i4>0</vt:i4>
      </vt:variant>
      <vt:variant>
        <vt:i4>5</vt:i4>
      </vt:variant>
      <vt:variant>
        <vt:lpwstr/>
      </vt:variant>
      <vt:variant>
        <vt:lpwstr>_Toc506992891</vt:lpwstr>
      </vt:variant>
      <vt:variant>
        <vt:i4>1376306</vt:i4>
      </vt:variant>
      <vt:variant>
        <vt:i4>239</vt:i4>
      </vt:variant>
      <vt:variant>
        <vt:i4>0</vt:i4>
      </vt:variant>
      <vt:variant>
        <vt:i4>5</vt:i4>
      </vt:variant>
      <vt:variant>
        <vt:lpwstr/>
      </vt:variant>
      <vt:variant>
        <vt:lpwstr>_Toc506992890</vt:lpwstr>
      </vt:variant>
      <vt:variant>
        <vt:i4>1310770</vt:i4>
      </vt:variant>
      <vt:variant>
        <vt:i4>233</vt:i4>
      </vt:variant>
      <vt:variant>
        <vt:i4>0</vt:i4>
      </vt:variant>
      <vt:variant>
        <vt:i4>5</vt:i4>
      </vt:variant>
      <vt:variant>
        <vt:lpwstr/>
      </vt:variant>
      <vt:variant>
        <vt:lpwstr>_Toc506992889</vt:lpwstr>
      </vt:variant>
      <vt:variant>
        <vt:i4>1310770</vt:i4>
      </vt:variant>
      <vt:variant>
        <vt:i4>227</vt:i4>
      </vt:variant>
      <vt:variant>
        <vt:i4>0</vt:i4>
      </vt:variant>
      <vt:variant>
        <vt:i4>5</vt:i4>
      </vt:variant>
      <vt:variant>
        <vt:lpwstr/>
      </vt:variant>
      <vt:variant>
        <vt:lpwstr>_Toc506992888</vt:lpwstr>
      </vt:variant>
      <vt:variant>
        <vt:i4>1310770</vt:i4>
      </vt:variant>
      <vt:variant>
        <vt:i4>221</vt:i4>
      </vt:variant>
      <vt:variant>
        <vt:i4>0</vt:i4>
      </vt:variant>
      <vt:variant>
        <vt:i4>5</vt:i4>
      </vt:variant>
      <vt:variant>
        <vt:lpwstr/>
      </vt:variant>
      <vt:variant>
        <vt:lpwstr>_Toc506992887</vt:lpwstr>
      </vt:variant>
      <vt:variant>
        <vt:i4>1310770</vt:i4>
      </vt:variant>
      <vt:variant>
        <vt:i4>215</vt:i4>
      </vt:variant>
      <vt:variant>
        <vt:i4>0</vt:i4>
      </vt:variant>
      <vt:variant>
        <vt:i4>5</vt:i4>
      </vt:variant>
      <vt:variant>
        <vt:lpwstr/>
      </vt:variant>
      <vt:variant>
        <vt:lpwstr>_Toc506992886</vt:lpwstr>
      </vt:variant>
      <vt:variant>
        <vt:i4>1310770</vt:i4>
      </vt:variant>
      <vt:variant>
        <vt:i4>209</vt:i4>
      </vt:variant>
      <vt:variant>
        <vt:i4>0</vt:i4>
      </vt:variant>
      <vt:variant>
        <vt:i4>5</vt:i4>
      </vt:variant>
      <vt:variant>
        <vt:lpwstr/>
      </vt:variant>
      <vt:variant>
        <vt:lpwstr>_Toc506992885</vt:lpwstr>
      </vt:variant>
      <vt:variant>
        <vt:i4>1310770</vt:i4>
      </vt:variant>
      <vt:variant>
        <vt:i4>203</vt:i4>
      </vt:variant>
      <vt:variant>
        <vt:i4>0</vt:i4>
      </vt:variant>
      <vt:variant>
        <vt:i4>5</vt:i4>
      </vt:variant>
      <vt:variant>
        <vt:lpwstr/>
      </vt:variant>
      <vt:variant>
        <vt:lpwstr>_Toc506992884</vt:lpwstr>
      </vt:variant>
      <vt:variant>
        <vt:i4>1310770</vt:i4>
      </vt:variant>
      <vt:variant>
        <vt:i4>197</vt:i4>
      </vt:variant>
      <vt:variant>
        <vt:i4>0</vt:i4>
      </vt:variant>
      <vt:variant>
        <vt:i4>5</vt:i4>
      </vt:variant>
      <vt:variant>
        <vt:lpwstr/>
      </vt:variant>
      <vt:variant>
        <vt:lpwstr>_Toc506992883</vt:lpwstr>
      </vt:variant>
      <vt:variant>
        <vt:i4>1310770</vt:i4>
      </vt:variant>
      <vt:variant>
        <vt:i4>191</vt:i4>
      </vt:variant>
      <vt:variant>
        <vt:i4>0</vt:i4>
      </vt:variant>
      <vt:variant>
        <vt:i4>5</vt:i4>
      </vt:variant>
      <vt:variant>
        <vt:lpwstr/>
      </vt:variant>
      <vt:variant>
        <vt:lpwstr>_Toc506992882</vt:lpwstr>
      </vt:variant>
      <vt:variant>
        <vt:i4>1310770</vt:i4>
      </vt:variant>
      <vt:variant>
        <vt:i4>185</vt:i4>
      </vt:variant>
      <vt:variant>
        <vt:i4>0</vt:i4>
      </vt:variant>
      <vt:variant>
        <vt:i4>5</vt:i4>
      </vt:variant>
      <vt:variant>
        <vt:lpwstr/>
      </vt:variant>
      <vt:variant>
        <vt:lpwstr>_Toc506992881</vt:lpwstr>
      </vt:variant>
      <vt:variant>
        <vt:i4>1310770</vt:i4>
      </vt:variant>
      <vt:variant>
        <vt:i4>179</vt:i4>
      </vt:variant>
      <vt:variant>
        <vt:i4>0</vt:i4>
      </vt:variant>
      <vt:variant>
        <vt:i4>5</vt:i4>
      </vt:variant>
      <vt:variant>
        <vt:lpwstr/>
      </vt:variant>
      <vt:variant>
        <vt:lpwstr>_Toc506992880</vt:lpwstr>
      </vt:variant>
      <vt:variant>
        <vt:i4>1769522</vt:i4>
      </vt:variant>
      <vt:variant>
        <vt:i4>173</vt:i4>
      </vt:variant>
      <vt:variant>
        <vt:i4>0</vt:i4>
      </vt:variant>
      <vt:variant>
        <vt:i4>5</vt:i4>
      </vt:variant>
      <vt:variant>
        <vt:lpwstr/>
      </vt:variant>
      <vt:variant>
        <vt:lpwstr>_Toc506992879</vt:lpwstr>
      </vt:variant>
      <vt:variant>
        <vt:i4>1769522</vt:i4>
      </vt:variant>
      <vt:variant>
        <vt:i4>167</vt:i4>
      </vt:variant>
      <vt:variant>
        <vt:i4>0</vt:i4>
      </vt:variant>
      <vt:variant>
        <vt:i4>5</vt:i4>
      </vt:variant>
      <vt:variant>
        <vt:lpwstr/>
      </vt:variant>
      <vt:variant>
        <vt:lpwstr>_Toc506992878</vt:lpwstr>
      </vt:variant>
      <vt:variant>
        <vt:i4>1769522</vt:i4>
      </vt:variant>
      <vt:variant>
        <vt:i4>161</vt:i4>
      </vt:variant>
      <vt:variant>
        <vt:i4>0</vt:i4>
      </vt:variant>
      <vt:variant>
        <vt:i4>5</vt:i4>
      </vt:variant>
      <vt:variant>
        <vt:lpwstr/>
      </vt:variant>
      <vt:variant>
        <vt:lpwstr>_Toc506992877</vt:lpwstr>
      </vt:variant>
      <vt:variant>
        <vt:i4>1769522</vt:i4>
      </vt:variant>
      <vt:variant>
        <vt:i4>155</vt:i4>
      </vt:variant>
      <vt:variant>
        <vt:i4>0</vt:i4>
      </vt:variant>
      <vt:variant>
        <vt:i4>5</vt:i4>
      </vt:variant>
      <vt:variant>
        <vt:lpwstr/>
      </vt:variant>
      <vt:variant>
        <vt:lpwstr>_Toc506992876</vt:lpwstr>
      </vt:variant>
      <vt:variant>
        <vt:i4>1769522</vt:i4>
      </vt:variant>
      <vt:variant>
        <vt:i4>149</vt:i4>
      </vt:variant>
      <vt:variant>
        <vt:i4>0</vt:i4>
      </vt:variant>
      <vt:variant>
        <vt:i4>5</vt:i4>
      </vt:variant>
      <vt:variant>
        <vt:lpwstr/>
      </vt:variant>
      <vt:variant>
        <vt:lpwstr>_Toc506992875</vt:lpwstr>
      </vt:variant>
      <vt:variant>
        <vt:i4>1769522</vt:i4>
      </vt:variant>
      <vt:variant>
        <vt:i4>143</vt:i4>
      </vt:variant>
      <vt:variant>
        <vt:i4>0</vt:i4>
      </vt:variant>
      <vt:variant>
        <vt:i4>5</vt:i4>
      </vt:variant>
      <vt:variant>
        <vt:lpwstr/>
      </vt:variant>
      <vt:variant>
        <vt:lpwstr>_Toc506992874</vt:lpwstr>
      </vt:variant>
      <vt:variant>
        <vt:i4>1769522</vt:i4>
      </vt:variant>
      <vt:variant>
        <vt:i4>137</vt:i4>
      </vt:variant>
      <vt:variant>
        <vt:i4>0</vt:i4>
      </vt:variant>
      <vt:variant>
        <vt:i4>5</vt:i4>
      </vt:variant>
      <vt:variant>
        <vt:lpwstr/>
      </vt:variant>
      <vt:variant>
        <vt:lpwstr>_Toc506992873</vt:lpwstr>
      </vt:variant>
      <vt:variant>
        <vt:i4>1769522</vt:i4>
      </vt:variant>
      <vt:variant>
        <vt:i4>131</vt:i4>
      </vt:variant>
      <vt:variant>
        <vt:i4>0</vt:i4>
      </vt:variant>
      <vt:variant>
        <vt:i4>5</vt:i4>
      </vt:variant>
      <vt:variant>
        <vt:lpwstr/>
      </vt:variant>
      <vt:variant>
        <vt:lpwstr>_Toc506992872</vt:lpwstr>
      </vt:variant>
      <vt:variant>
        <vt:i4>1769522</vt:i4>
      </vt:variant>
      <vt:variant>
        <vt:i4>125</vt:i4>
      </vt:variant>
      <vt:variant>
        <vt:i4>0</vt:i4>
      </vt:variant>
      <vt:variant>
        <vt:i4>5</vt:i4>
      </vt:variant>
      <vt:variant>
        <vt:lpwstr/>
      </vt:variant>
      <vt:variant>
        <vt:lpwstr>_Toc506992871</vt:lpwstr>
      </vt:variant>
      <vt:variant>
        <vt:i4>1769522</vt:i4>
      </vt:variant>
      <vt:variant>
        <vt:i4>119</vt:i4>
      </vt:variant>
      <vt:variant>
        <vt:i4>0</vt:i4>
      </vt:variant>
      <vt:variant>
        <vt:i4>5</vt:i4>
      </vt:variant>
      <vt:variant>
        <vt:lpwstr/>
      </vt:variant>
      <vt:variant>
        <vt:lpwstr>_Toc506992870</vt:lpwstr>
      </vt:variant>
      <vt:variant>
        <vt:i4>1703986</vt:i4>
      </vt:variant>
      <vt:variant>
        <vt:i4>113</vt:i4>
      </vt:variant>
      <vt:variant>
        <vt:i4>0</vt:i4>
      </vt:variant>
      <vt:variant>
        <vt:i4>5</vt:i4>
      </vt:variant>
      <vt:variant>
        <vt:lpwstr/>
      </vt:variant>
      <vt:variant>
        <vt:lpwstr>_Toc506992869</vt:lpwstr>
      </vt:variant>
      <vt:variant>
        <vt:i4>1703986</vt:i4>
      </vt:variant>
      <vt:variant>
        <vt:i4>107</vt:i4>
      </vt:variant>
      <vt:variant>
        <vt:i4>0</vt:i4>
      </vt:variant>
      <vt:variant>
        <vt:i4>5</vt:i4>
      </vt:variant>
      <vt:variant>
        <vt:lpwstr/>
      </vt:variant>
      <vt:variant>
        <vt:lpwstr>_Toc506992868</vt:lpwstr>
      </vt:variant>
      <vt:variant>
        <vt:i4>1703986</vt:i4>
      </vt:variant>
      <vt:variant>
        <vt:i4>101</vt:i4>
      </vt:variant>
      <vt:variant>
        <vt:i4>0</vt:i4>
      </vt:variant>
      <vt:variant>
        <vt:i4>5</vt:i4>
      </vt:variant>
      <vt:variant>
        <vt:lpwstr/>
      </vt:variant>
      <vt:variant>
        <vt:lpwstr>_Toc506992867</vt:lpwstr>
      </vt:variant>
      <vt:variant>
        <vt:i4>1703986</vt:i4>
      </vt:variant>
      <vt:variant>
        <vt:i4>95</vt:i4>
      </vt:variant>
      <vt:variant>
        <vt:i4>0</vt:i4>
      </vt:variant>
      <vt:variant>
        <vt:i4>5</vt:i4>
      </vt:variant>
      <vt:variant>
        <vt:lpwstr/>
      </vt:variant>
      <vt:variant>
        <vt:lpwstr>_Toc506992866</vt:lpwstr>
      </vt:variant>
      <vt:variant>
        <vt:i4>1703986</vt:i4>
      </vt:variant>
      <vt:variant>
        <vt:i4>89</vt:i4>
      </vt:variant>
      <vt:variant>
        <vt:i4>0</vt:i4>
      </vt:variant>
      <vt:variant>
        <vt:i4>5</vt:i4>
      </vt:variant>
      <vt:variant>
        <vt:lpwstr/>
      </vt:variant>
      <vt:variant>
        <vt:lpwstr>_Toc506992865</vt:lpwstr>
      </vt:variant>
      <vt:variant>
        <vt:i4>1703986</vt:i4>
      </vt:variant>
      <vt:variant>
        <vt:i4>83</vt:i4>
      </vt:variant>
      <vt:variant>
        <vt:i4>0</vt:i4>
      </vt:variant>
      <vt:variant>
        <vt:i4>5</vt:i4>
      </vt:variant>
      <vt:variant>
        <vt:lpwstr/>
      </vt:variant>
      <vt:variant>
        <vt:lpwstr>_Toc506992864</vt:lpwstr>
      </vt:variant>
      <vt:variant>
        <vt:i4>1703986</vt:i4>
      </vt:variant>
      <vt:variant>
        <vt:i4>77</vt:i4>
      </vt:variant>
      <vt:variant>
        <vt:i4>0</vt:i4>
      </vt:variant>
      <vt:variant>
        <vt:i4>5</vt:i4>
      </vt:variant>
      <vt:variant>
        <vt:lpwstr/>
      </vt:variant>
      <vt:variant>
        <vt:lpwstr>_Toc506992863</vt:lpwstr>
      </vt:variant>
      <vt:variant>
        <vt:i4>1703986</vt:i4>
      </vt:variant>
      <vt:variant>
        <vt:i4>71</vt:i4>
      </vt:variant>
      <vt:variant>
        <vt:i4>0</vt:i4>
      </vt:variant>
      <vt:variant>
        <vt:i4>5</vt:i4>
      </vt:variant>
      <vt:variant>
        <vt:lpwstr/>
      </vt:variant>
      <vt:variant>
        <vt:lpwstr>_Toc506992862</vt:lpwstr>
      </vt:variant>
      <vt:variant>
        <vt:i4>1703986</vt:i4>
      </vt:variant>
      <vt:variant>
        <vt:i4>65</vt:i4>
      </vt:variant>
      <vt:variant>
        <vt:i4>0</vt:i4>
      </vt:variant>
      <vt:variant>
        <vt:i4>5</vt:i4>
      </vt:variant>
      <vt:variant>
        <vt:lpwstr/>
      </vt:variant>
      <vt:variant>
        <vt:lpwstr>_Toc506992861</vt:lpwstr>
      </vt:variant>
      <vt:variant>
        <vt:i4>1703986</vt:i4>
      </vt:variant>
      <vt:variant>
        <vt:i4>59</vt:i4>
      </vt:variant>
      <vt:variant>
        <vt:i4>0</vt:i4>
      </vt:variant>
      <vt:variant>
        <vt:i4>5</vt:i4>
      </vt:variant>
      <vt:variant>
        <vt:lpwstr/>
      </vt:variant>
      <vt:variant>
        <vt:lpwstr>_Toc506992860</vt:lpwstr>
      </vt:variant>
      <vt:variant>
        <vt:i4>1638450</vt:i4>
      </vt:variant>
      <vt:variant>
        <vt:i4>53</vt:i4>
      </vt:variant>
      <vt:variant>
        <vt:i4>0</vt:i4>
      </vt:variant>
      <vt:variant>
        <vt:i4>5</vt:i4>
      </vt:variant>
      <vt:variant>
        <vt:lpwstr/>
      </vt:variant>
      <vt:variant>
        <vt:lpwstr>_Toc506992859</vt:lpwstr>
      </vt:variant>
      <vt:variant>
        <vt:i4>1638450</vt:i4>
      </vt:variant>
      <vt:variant>
        <vt:i4>47</vt:i4>
      </vt:variant>
      <vt:variant>
        <vt:i4>0</vt:i4>
      </vt:variant>
      <vt:variant>
        <vt:i4>5</vt:i4>
      </vt:variant>
      <vt:variant>
        <vt:lpwstr/>
      </vt:variant>
      <vt:variant>
        <vt:lpwstr>_Toc506992858</vt:lpwstr>
      </vt:variant>
      <vt:variant>
        <vt:i4>1638450</vt:i4>
      </vt:variant>
      <vt:variant>
        <vt:i4>41</vt:i4>
      </vt:variant>
      <vt:variant>
        <vt:i4>0</vt:i4>
      </vt:variant>
      <vt:variant>
        <vt:i4>5</vt:i4>
      </vt:variant>
      <vt:variant>
        <vt:lpwstr/>
      </vt:variant>
      <vt:variant>
        <vt:lpwstr>_Toc506992857</vt:lpwstr>
      </vt:variant>
      <vt:variant>
        <vt:i4>1638450</vt:i4>
      </vt:variant>
      <vt:variant>
        <vt:i4>35</vt:i4>
      </vt:variant>
      <vt:variant>
        <vt:i4>0</vt:i4>
      </vt:variant>
      <vt:variant>
        <vt:i4>5</vt:i4>
      </vt:variant>
      <vt:variant>
        <vt:lpwstr/>
      </vt:variant>
      <vt:variant>
        <vt:lpwstr>_Toc506992856</vt:lpwstr>
      </vt:variant>
      <vt:variant>
        <vt:i4>1638450</vt:i4>
      </vt:variant>
      <vt:variant>
        <vt:i4>29</vt:i4>
      </vt:variant>
      <vt:variant>
        <vt:i4>0</vt:i4>
      </vt:variant>
      <vt:variant>
        <vt:i4>5</vt:i4>
      </vt:variant>
      <vt:variant>
        <vt:lpwstr/>
      </vt:variant>
      <vt:variant>
        <vt:lpwstr>_Toc506992855</vt:lpwstr>
      </vt:variant>
      <vt:variant>
        <vt:i4>1638450</vt:i4>
      </vt:variant>
      <vt:variant>
        <vt:i4>23</vt:i4>
      </vt:variant>
      <vt:variant>
        <vt:i4>0</vt:i4>
      </vt:variant>
      <vt:variant>
        <vt:i4>5</vt:i4>
      </vt:variant>
      <vt:variant>
        <vt:lpwstr/>
      </vt:variant>
      <vt:variant>
        <vt:lpwstr>_Toc506992854</vt:lpwstr>
      </vt:variant>
      <vt:variant>
        <vt:i4>1638450</vt:i4>
      </vt:variant>
      <vt:variant>
        <vt:i4>17</vt:i4>
      </vt:variant>
      <vt:variant>
        <vt:i4>0</vt:i4>
      </vt:variant>
      <vt:variant>
        <vt:i4>5</vt:i4>
      </vt:variant>
      <vt:variant>
        <vt:lpwstr/>
      </vt:variant>
      <vt:variant>
        <vt:lpwstr>_Toc506992853</vt:lpwstr>
      </vt:variant>
      <vt:variant>
        <vt:i4>1638450</vt:i4>
      </vt:variant>
      <vt:variant>
        <vt:i4>11</vt:i4>
      </vt:variant>
      <vt:variant>
        <vt:i4>0</vt:i4>
      </vt:variant>
      <vt:variant>
        <vt:i4>5</vt:i4>
      </vt:variant>
      <vt:variant>
        <vt:lpwstr/>
      </vt:variant>
      <vt:variant>
        <vt:lpwstr>_Toc506992852</vt:lpwstr>
      </vt:variant>
      <vt:variant>
        <vt:i4>1638450</vt:i4>
      </vt:variant>
      <vt:variant>
        <vt:i4>5</vt:i4>
      </vt:variant>
      <vt:variant>
        <vt:i4>0</vt:i4>
      </vt:variant>
      <vt:variant>
        <vt:i4>5</vt:i4>
      </vt:variant>
      <vt:variant>
        <vt:lpwstr/>
      </vt:variant>
      <vt:variant>
        <vt:lpwstr>_Toc506992851</vt:lpwstr>
      </vt:variant>
      <vt:variant>
        <vt:i4>393340</vt:i4>
      </vt:variant>
      <vt:variant>
        <vt:i4>0</vt:i4>
      </vt:variant>
      <vt:variant>
        <vt:i4>0</vt:i4>
      </vt:variant>
      <vt:variant>
        <vt:i4>5</vt:i4>
      </vt:variant>
      <vt:variant>
        <vt:lpwstr>C:\Users\lyn grigg\AppData\Local\Microsoft\Windows\Temporary Internet Files\2015-16\Versions with Audit Office 18 Feb\geoff.britt@act.gov.au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Financial Statements 2021-22</dc:title>
  <dc:subject>Model Financial Statements 2021-22</dc:subject>
  <dc:creator>ACT Government</dc:creator>
  <cp:keywords>Model Financial Statements 2021-22</cp:keywords>
  <dc:description/>
  <cp:lastModifiedBy>Palfreyman, Hamish</cp:lastModifiedBy>
  <cp:revision>2</cp:revision>
  <cp:lastPrinted>2022-03-21T04:05:00Z</cp:lastPrinted>
  <dcterms:created xsi:type="dcterms:W3CDTF">2023-06-15T23:56:00Z</dcterms:created>
  <dcterms:modified xsi:type="dcterms:W3CDTF">2023-06-15T23:56:00Z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fb5ca6e8-7c6b-4563-80bb-acb884940ac8</vt:lpwstr>
  </property>
  <property fmtid="{D5CDD505-2E9C-101B-9397-08002B2CF9AE}" pid="3" name="bjSaver">
    <vt:lpwstr>vDEHdaPZRkbcyDNvj7libs3AymtQh9h7</vt:lpwstr>
  </property>
  <property fmtid="{D5CDD505-2E9C-101B-9397-08002B2CF9AE}" pid="4" name="Description">
    <vt:lpwstr>ACT Model Financial Statment for reporting period ending 30 June 2015</vt:lpwstr>
  </property>
  <property fmtid="{D5CDD505-2E9C-101B-9397-08002B2CF9AE}" pid="5" name="bjDocumentLabelXML">
    <vt:lpwstr>&lt;?xml version="1.0"?&gt;&lt;sisl xmlns:xsi="http://www.w3.org/2001/XMLSchema-instance" xmlns:xsd="http://www.w3.org/2001/XMLSchema" sislVersion="0" policy="1865c0a7-d648-4a74-80fe-fa9dc7fe13cc" xmlns="http://www.boldonjames.com/2008/01/sie/internal/label"&gt;  &lt;el</vt:lpwstr>
  </property>
  <property fmtid="{D5CDD505-2E9C-101B-9397-08002B2CF9AE}" pid="6" name="bjDocumentLabelXML-0">
    <vt:lpwstr>ement uid="a68a5297-83bb-4ba8-a7cd-4b62d6981a77" value="" /&gt;&lt;/sisl&gt;</vt:lpwstr>
  </property>
  <property fmtid="{D5CDD505-2E9C-101B-9397-08002B2CF9AE}" pid="7" name="bjDocumentSecurityLabel">
    <vt:lpwstr>UNCLASSIFIED - NO MARKING - WORD, EXCEL &amp; POWERPOINT ONLY</vt:lpwstr>
  </property>
</Properties>
</file>